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988C1" w14:textId="77777777" w:rsidR="00D21C1F" w:rsidRDefault="00A42880">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616498946"/>
          <w:lock w:val="sdtLocked"/>
          <w:placeholder>
            <w:docPart w:val="GBC22222222222222222222222222222"/>
          </w:placeholder>
        </w:sdtPr>
        <w:sdtEndPr/>
        <w:sdtContent>
          <w:r>
            <w:rPr>
              <w:rFonts w:ascii="Times New Roman" w:hAnsi="Times New Roman" w:hint="eastAsia"/>
              <w:bCs/>
              <w:szCs w:val="21"/>
            </w:rPr>
            <w:t>688165</w:t>
          </w:r>
        </w:sdtContent>
      </w:sdt>
      <w:r>
        <w:rPr>
          <w:rFonts w:hint="eastAsia"/>
          <w:bCs/>
          <w:szCs w:val="21"/>
        </w:rPr>
        <w:t xml:space="preserve">                      　　　　　　</w:t>
      </w:r>
      <w:r>
        <w:rPr>
          <w:bCs/>
          <w:szCs w:val="21"/>
        </w:rPr>
        <w:tab/>
      </w:r>
      <w:r>
        <w:rPr>
          <w:bCs/>
          <w:szCs w:val="21"/>
        </w:rPr>
        <w:tab/>
      </w:r>
      <w:r>
        <w:rPr>
          <w:bCs/>
          <w:szCs w:val="21"/>
        </w:rPr>
        <w:tab/>
      </w:r>
      <w:r>
        <w:rPr>
          <w:rFonts w:hint="eastAsia"/>
          <w:bCs/>
          <w:szCs w:val="21"/>
        </w:rPr>
        <w:t xml:space="preserve">　　　　公司简称：</w:t>
      </w:r>
      <w:sdt>
        <w:sdtPr>
          <w:rPr>
            <w:rFonts w:hint="eastAsia"/>
            <w:bCs/>
            <w:szCs w:val="21"/>
          </w:rPr>
          <w:alias w:val="公司简称"/>
          <w:tag w:val="_GBC_0384ae715a1e4b4894a29e4d27f5bef4"/>
          <w:id w:val="751245072"/>
          <w:lock w:val="sdtLocked"/>
          <w:placeholder>
            <w:docPart w:val="GBC22222222222222222222222222222"/>
          </w:placeholder>
        </w:sdtPr>
        <w:sdtEndPr/>
        <w:sdtContent>
          <w:r>
            <w:rPr>
              <w:rFonts w:hint="eastAsia"/>
              <w:bCs/>
              <w:szCs w:val="21"/>
            </w:rPr>
            <w:t>埃夫特</w:t>
          </w:r>
        </w:sdtContent>
      </w:sdt>
    </w:p>
    <w:p w14:paraId="39400CFC" w14:textId="77777777" w:rsidR="00D21C1F" w:rsidRDefault="00D21C1F">
      <w:pPr>
        <w:pStyle w:val="97"/>
      </w:pPr>
    </w:p>
    <w:p w14:paraId="693EF437" w14:textId="77777777" w:rsidR="00D21C1F" w:rsidRDefault="00D21C1F">
      <w:pPr>
        <w:pStyle w:val="97"/>
      </w:pPr>
    </w:p>
    <w:p w14:paraId="2F2BC590" w14:textId="77777777" w:rsidR="00D21C1F" w:rsidRDefault="00D21C1F">
      <w:pPr>
        <w:pStyle w:val="97"/>
      </w:pPr>
    </w:p>
    <w:p w14:paraId="3D46E826" w14:textId="77777777" w:rsidR="00D21C1F" w:rsidRDefault="00D21C1F">
      <w:pPr>
        <w:pStyle w:val="97"/>
      </w:pPr>
    </w:p>
    <w:p w14:paraId="6444D48A" w14:textId="77777777" w:rsidR="00D21C1F" w:rsidRDefault="00D21C1F">
      <w:pPr>
        <w:pStyle w:val="97"/>
      </w:pPr>
    </w:p>
    <w:p w14:paraId="3F9AB110" w14:textId="77777777" w:rsidR="00D21C1F" w:rsidRDefault="00D21C1F">
      <w:pPr>
        <w:pStyle w:val="97"/>
      </w:pPr>
    </w:p>
    <w:p w14:paraId="2C87811D" w14:textId="77777777" w:rsidR="00D21C1F" w:rsidRDefault="00D21C1F">
      <w:pPr>
        <w:pStyle w:val="97"/>
      </w:pPr>
    </w:p>
    <w:p w14:paraId="65710841" w14:textId="77777777" w:rsidR="00D21C1F" w:rsidRDefault="00045EC6">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17629679"/>
          <w:lock w:val="sdtLocked"/>
          <w:placeholder>
            <w:docPart w:val="GBC22222222222222222222222222222"/>
          </w:placeholder>
          <w:dataBinding w:prefixMappings="xmlns:clcid-cgi='clcid-cgi'" w:xpath="/*/clcid-cgi:GongSiFaDingZhongWenMingCheng" w:storeItemID="{89EBAB94-44A0-46A2-B712-30D997D04A6D}"/>
          <w:text/>
        </w:sdtPr>
        <w:sdtEndPr/>
        <w:sdtContent>
          <w:r w:rsidR="00A42880">
            <w:rPr>
              <w:rFonts w:ascii="黑体" w:eastAsia="黑体" w:hAnsi="黑体" w:hint="eastAsia"/>
              <w:b/>
              <w:bCs/>
              <w:color w:val="FF0000"/>
              <w:sz w:val="44"/>
              <w:szCs w:val="44"/>
            </w:rPr>
            <w:t>埃夫特智能装备股份有限公司</w:t>
          </w:r>
        </w:sdtContent>
      </w:sdt>
    </w:p>
    <w:p w14:paraId="3C5693D5" w14:textId="77777777" w:rsidR="00D21C1F" w:rsidRDefault="00A42880">
      <w:pPr>
        <w:jc w:val="center"/>
        <w:rPr>
          <w:rFonts w:ascii="黑体" w:eastAsia="黑体" w:hAnsi="黑体"/>
          <w:b/>
          <w:bCs/>
          <w:color w:val="FF0000"/>
          <w:sz w:val="44"/>
          <w:szCs w:val="44"/>
        </w:rPr>
      </w:pPr>
      <w:r>
        <w:rPr>
          <w:rFonts w:ascii="Times New Roman" w:eastAsia="黑体" w:hAnsi="Times New Roman"/>
          <w:b/>
          <w:bCs/>
          <w:color w:val="FF0000"/>
          <w:sz w:val="44"/>
          <w:szCs w:val="44"/>
        </w:rPr>
        <w:t>2021</w:t>
      </w:r>
      <w:r>
        <w:rPr>
          <w:rFonts w:ascii="黑体" w:eastAsia="黑体" w:hAnsi="黑体" w:hint="eastAsia"/>
          <w:b/>
          <w:bCs/>
          <w:color w:val="FF0000"/>
          <w:sz w:val="44"/>
          <w:szCs w:val="44"/>
        </w:rPr>
        <w:t>年半年度报告</w:t>
      </w:r>
    </w:p>
    <w:p w14:paraId="607233A2" w14:textId="77777777" w:rsidR="00D21C1F" w:rsidRDefault="00A42880">
      <w:pPr>
        <w:jc w:val="center"/>
        <w:rPr>
          <w:rFonts w:ascii="黑体" w:eastAsia="黑体" w:hAnsi="黑体"/>
          <w:b/>
          <w:bCs/>
          <w:color w:val="FF0000"/>
          <w:sz w:val="44"/>
          <w:szCs w:val="44"/>
        </w:rPr>
      </w:pPr>
      <w:r>
        <w:rPr>
          <w:rFonts w:ascii="黑体" w:eastAsia="黑体" w:hAnsi="黑体"/>
          <w:b/>
          <w:bCs/>
          <w:noProof/>
          <w:color w:val="FF0000"/>
          <w:sz w:val="44"/>
          <w:szCs w:val="44"/>
        </w:rPr>
        <w:drawing>
          <wp:inline distT="0" distB="0" distL="0" distR="0" wp14:anchorId="521217D1" wp14:editId="1B289873">
            <wp:extent cx="3384550" cy="1050290"/>
            <wp:effectExtent l="0" t="0" r="635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3" cstate="print">
                      <a:extLst>
                        <a:ext uri="{28A0092B-C50C-407E-A947-70E740481C1C}">
                          <a14:useLocalDpi xmlns:a14="http://schemas.microsoft.com/office/drawing/2010/main" val="0"/>
                        </a:ext>
                      </a:extLst>
                    </a:blip>
                    <a:srcRect r="38573" b="57433"/>
                    <a:stretch>
                      <a:fillRect/>
                    </a:stretch>
                  </pic:blipFill>
                  <pic:spPr>
                    <a:xfrm>
                      <a:off x="0" y="0"/>
                      <a:ext cx="3384637" cy="1050474"/>
                    </a:xfrm>
                    <a:prstGeom prst="rect">
                      <a:avLst/>
                    </a:prstGeom>
                  </pic:spPr>
                </pic:pic>
              </a:graphicData>
            </a:graphic>
          </wp:inline>
        </w:drawing>
      </w:r>
    </w:p>
    <w:p w14:paraId="1833C537" w14:textId="77777777" w:rsidR="00D21C1F" w:rsidRDefault="00D21C1F">
      <w:pPr>
        <w:pStyle w:val="97"/>
      </w:pPr>
    </w:p>
    <w:p w14:paraId="15219005" w14:textId="77777777" w:rsidR="00D21C1F" w:rsidRDefault="00D21C1F">
      <w:pPr>
        <w:pStyle w:val="97"/>
      </w:pPr>
    </w:p>
    <w:p w14:paraId="439EDCC5" w14:textId="77777777" w:rsidR="00D21C1F" w:rsidRDefault="00D21C1F">
      <w:pPr>
        <w:pStyle w:val="97"/>
      </w:pPr>
    </w:p>
    <w:p w14:paraId="408839F3" w14:textId="77777777" w:rsidR="00D21C1F" w:rsidRDefault="00D21C1F">
      <w:pPr>
        <w:pStyle w:val="97"/>
      </w:pPr>
    </w:p>
    <w:p w14:paraId="4523E496" w14:textId="77777777" w:rsidR="00D21C1F" w:rsidRDefault="00D21C1F">
      <w:pPr>
        <w:pStyle w:val="97"/>
      </w:pPr>
    </w:p>
    <w:p w14:paraId="0D052902" w14:textId="77777777" w:rsidR="00D21C1F" w:rsidRDefault="00D21C1F">
      <w:pPr>
        <w:pStyle w:val="97"/>
      </w:pPr>
    </w:p>
    <w:p w14:paraId="1A02F564" w14:textId="77777777" w:rsidR="00D21C1F" w:rsidRDefault="00D21C1F">
      <w:pPr>
        <w:pStyle w:val="97"/>
      </w:pPr>
    </w:p>
    <w:p w14:paraId="7E8CB1A0" w14:textId="77777777" w:rsidR="00D21C1F" w:rsidRDefault="00A42880">
      <w:pPr>
        <w:pStyle w:val="97"/>
      </w:pPr>
      <w:r>
        <w:br w:type="page"/>
      </w:r>
    </w:p>
    <w:p w14:paraId="76873F15" w14:textId="77777777" w:rsidR="00D21C1F" w:rsidRDefault="00A42880">
      <w:pPr>
        <w:pStyle w:val="afb"/>
        <w:spacing w:after="280" w:afterAutospacing="0"/>
        <w:jc w:val="center"/>
        <w:rPr>
          <w:b/>
          <w:bCs/>
          <w:sz w:val="28"/>
          <w:szCs w:val="28"/>
        </w:rPr>
      </w:pPr>
      <w:bookmarkStart w:id="0" w:name="_Toc387656034"/>
      <w:r>
        <w:rPr>
          <w:rFonts w:hint="eastAsia"/>
          <w:b/>
          <w:bCs/>
          <w:sz w:val="28"/>
          <w:szCs w:val="28"/>
        </w:rPr>
        <w:lastRenderedPageBreak/>
        <w:t>重要提示</w:t>
      </w:r>
      <w:bookmarkEnd w:id="0"/>
    </w:p>
    <w:sdt>
      <w:sdtPr>
        <w:rPr>
          <w:rFonts w:hint="eastAsia"/>
        </w:rPr>
        <w:alias w:val="选项模块:董事会及董事声明"/>
        <w:tag w:val="_SEC_d5e0e82062cc4f3cb5a290078031cbd7"/>
        <w:id w:val="-1343538010"/>
        <w:lock w:val="sdtLocked"/>
        <w:placeholder>
          <w:docPart w:val="GBC22222222222222222222222222222"/>
        </w:placeholder>
      </w:sdtPr>
      <w:sdtEndPr/>
      <w:sdtContent>
        <w:p w14:paraId="3D8C017D" w14:textId="77777777" w:rsidR="00D21C1F" w:rsidRDefault="00045EC6">
          <w:pPr>
            <w:pStyle w:val="2"/>
          </w:pPr>
          <w:sdt>
            <w:sdtPr>
              <w:rPr>
                <w:rFonts w:hint="eastAsia"/>
              </w:rPr>
              <w:alias w:val="董事会及董事声明"/>
              <w:tag w:val="_GBC_6c6da163383e4e4c92758ff24076a138"/>
              <w:id w:val="495376950"/>
              <w:lock w:val="sdtLocked"/>
              <w:placeholder>
                <w:docPart w:val="GBC22222222222222222222222222222"/>
              </w:placeholder>
            </w:sdtPr>
            <w:sdtEndPr/>
            <w:sdtContent>
              <w:r w:rsidR="00A42880">
                <w:t>本公司董事会、监事会及董事、监事、高级管理人员保证</w:t>
              </w:r>
              <w:r w:rsidR="00A42880">
                <w:rPr>
                  <w:rFonts w:hint="eastAsia"/>
                </w:rPr>
                <w:t>半</w:t>
              </w:r>
              <w:r w:rsidR="00A42880">
                <w:t>年度报告内容的真实、准确、完整，不存在虚假记载、误导性陈述或重大遗漏，并承担个别和连带的法律责任。</w:t>
              </w:r>
            </w:sdtContent>
          </w:sdt>
        </w:p>
      </w:sdtContent>
    </w:sdt>
    <w:p w14:paraId="3F21F1CD" w14:textId="77777777" w:rsidR="00D21C1F" w:rsidRDefault="00D21C1F">
      <w:pPr>
        <w:pStyle w:val="97"/>
      </w:pPr>
    </w:p>
    <w:p w14:paraId="144613B3" w14:textId="77777777" w:rsidR="00D21C1F" w:rsidRDefault="00A42880">
      <w:pPr>
        <w:pStyle w:val="2"/>
      </w:pPr>
      <w:bookmarkStart w:id="1" w:name="_Hlk42788241"/>
      <w:bookmarkStart w:id="2" w:name="_Hlk25308637"/>
      <w:r>
        <w:rPr>
          <w:rFonts w:hint="eastAsia"/>
        </w:rPr>
        <w:t>重大风险提示</w:t>
      </w:r>
    </w:p>
    <w:sdt>
      <w:sdtPr>
        <w:alias w:val="模块:重大风险提示"/>
        <w:tag w:val="_SEC_d289b74961cd4e19abf2c16dd76cf909"/>
        <w:id w:val="-634253037"/>
        <w:lock w:val="sdtLocked"/>
        <w:placeholder>
          <w:docPart w:val="DefaultPlaceholder_-1854013440"/>
        </w:placeholder>
      </w:sdtPr>
      <w:sdtEndPr/>
      <w:sdtContent>
        <w:p w14:paraId="5F6E85C7" w14:textId="77777777" w:rsidR="00D21C1F" w:rsidRDefault="00045EC6">
          <w:pPr>
            <w:spacing w:line="360" w:lineRule="auto"/>
            <w:ind w:firstLineChars="200" w:firstLine="420"/>
            <w:jc w:val="both"/>
          </w:pPr>
          <w:sdt>
            <w:sdtPr>
              <w:alias w:val="重大风险提示"/>
              <w:tag w:val="_GBC_a92ea1e98f114605a77a44817ca7cfd8"/>
              <w:id w:val="283617988"/>
              <w:lock w:val="sdtLocked"/>
              <w:placeholder>
                <w:docPart w:val="GBC22222222222222222222222222222"/>
              </w:placeholder>
            </w:sdtPr>
            <w:sdtEndPr/>
            <w:sdtContent>
              <w:bookmarkStart w:id="3" w:name="_Hlk78360679"/>
              <w:r w:rsidR="00A42880">
                <w:rPr>
                  <w:rFonts w:hint="eastAsia"/>
                </w:rPr>
                <w:t>公司已在本报告中详细阐述公司尚未盈利风险、核心竞争力风险、经营风险、行业风险、宏观环境风险及其他重大风险等因素，敬请查阅本报告第三节“管理层讨论与分析”之“五、风险因素”。</w:t>
              </w:r>
              <w:bookmarkEnd w:id="3"/>
            </w:sdtContent>
          </w:sdt>
        </w:p>
      </w:sdtContent>
    </w:sdt>
    <w:bookmarkEnd w:id="1"/>
    <w:bookmarkEnd w:id="2"/>
    <w:p w14:paraId="2E0F15A3" w14:textId="77777777" w:rsidR="00D21C1F" w:rsidRDefault="00D21C1F">
      <w:pPr>
        <w:pStyle w:val="97"/>
      </w:pPr>
    </w:p>
    <w:sdt>
      <w:sdtPr>
        <w:rPr>
          <w:rFonts w:hint="eastAsia"/>
          <w:b w:val="0"/>
          <w:bCs w:val="0"/>
          <w:sz w:val="24"/>
          <w:szCs w:val="22"/>
        </w:rPr>
        <w:alias w:val="选项模块:公司全体董事出席董事会会议。"/>
        <w:tag w:val="_GBC_1b1325bf1ae840869be71054a10ad268"/>
        <w:id w:val="1942644337"/>
        <w:lock w:val="sdtLocked"/>
        <w:placeholder>
          <w:docPart w:val="GBC22222222222222222222222222222"/>
        </w:placeholder>
      </w:sdtPr>
      <w:sdtEndPr>
        <w:rPr>
          <w:rFonts w:hint="default"/>
          <w:b/>
          <w:bCs/>
          <w:sz w:val="21"/>
          <w:szCs w:val="24"/>
        </w:rPr>
      </w:sdtEndPr>
      <w:sdtContent>
        <w:p w14:paraId="13BDC8BD" w14:textId="77777777" w:rsidR="00D21C1F" w:rsidRDefault="00A42880">
          <w:pPr>
            <w:pStyle w:val="2"/>
          </w:pPr>
          <w:r>
            <w:rPr>
              <w:rFonts w:hint="eastAsia"/>
            </w:rPr>
            <w:t>公司</w:t>
          </w:r>
          <w:sdt>
            <w:sdtPr>
              <w:rPr>
                <w:rFonts w:hint="eastAsia"/>
              </w:rPr>
              <w:tag w:val="_GBC_2e0ee33ebae04a83b92e8b1aa6754169"/>
              <w:id w:val="-1768456562"/>
              <w:lock w:val="sdtLocked"/>
              <w:placeholder>
                <w:docPart w:val="GBC22222222222222222222222222222"/>
              </w:placeholder>
            </w:sdtPr>
            <w:sdtEndPr/>
            <w:sdtContent>
              <w:r>
                <w:rPr>
                  <w:rFonts w:hint="eastAsia"/>
                </w:rPr>
                <w:t>全体董事出席</w:t>
              </w:r>
            </w:sdtContent>
          </w:sdt>
          <w:r>
            <w:rPr>
              <w:rFonts w:hint="eastAsia"/>
            </w:rPr>
            <w:t>董事会会议。</w:t>
          </w:r>
        </w:p>
      </w:sdtContent>
    </w:sdt>
    <w:p w14:paraId="72CAA8D0" w14:textId="77777777" w:rsidR="00D21C1F" w:rsidRDefault="00D21C1F">
      <w:pPr>
        <w:pStyle w:val="97"/>
      </w:pPr>
    </w:p>
    <w:sdt>
      <w:sdtPr>
        <w:rPr>
          <w:rFonts w:hint="eastAsia"/>
          <w:b w:val="0"/>
          <w:bCs w:val="0"/>
          <w:sz w:val="24"/>
        </w:rPr>
        <w:alias w:val="选项模块:本年度报告未经审计。"/>
        <w:tag w:val="_GBC_07370c6ee32a4bea8271133440d087fd"/>
        <w:id w:val="-137968185"/>
        <w:lock w:val="sdtLocked"/>
        <w:placeholder>
          <w:docPart w:val="GBC22222222222222222222222222222"/>
        </w:placeholder>
      </w:sdtPr>
      <w:sdtEndPr>
        <w:rPr>
          <w:rFonts w:hint="default"/>
          <w:sz w:val="21"/>
        </w:rPr>
      </w:sdtEndPr>
      <w:sdtContent>
        <w:p w14:paraId="63BB2F91" w14:textId="77777777" w:rsidR="00D21C1F" w:rsidRDefault="00A42880">
          <w:pPr>
            <w:pStyle w:val="2"/>
          </w:pPr>
          <w:r>
            <w:rPr>
              <w:rFonts w:hint="eastAsia"/>
            </w:rPr>
            <w:t>本半年度报告</w:t>
          </w:r>
          <w:sdt>
            <w:sdtPr>
              <w:rPr>
                <w:rFonts w:hint="eastAsia"/>
              </w:rPr>
              <w:tag w:val="_GBC_be15b7a71d95430e82193d4cab461623"/>
              <w:id w:val="1470564738"/>
              <w:lock w:val="sdtLocked"/>
              <w:placeholder>
                <w:docPart w:val="GBC22222222222222222222222222222"/>
              </w:placeholder>
            </w:sdtPr>
            <w:sdtEndPr/>
            <w:sdtContent>
              <w:r>
                <w:rPr>
                  <w:rFonts w:hint="eastAsia"/>
                </w:rPr>
                <w:t>未经审计</w:t>
              </w:r>
            </w:sdtContent>
          </w:sdt>
          <w:r>
            <w:rPr>
              <w:rFonts w:hint="eastAsia"/>
            </w:rPr>
            <w:t>。</w:t>
          </w:r>
        </w:p>
        <w:p w14:paraId="1F1CBF32" w14:textId="77777777" w:rsidR="00D21C1F" w:rsidRDefault="00045EC6">
          <w:pPr>
            <w:rPr>
              <w:szCs w:val="21"/>
            </w:rPr>
          </w:pPr>
        </w:p>
      </w:sdtContent>
    </w:sdt>
    <w:sdt>
      <w:sdtPr>
        <w:rPr>
          <w:rFonts w:hint="eastAsia"/>
        </w:rPr>
        <w:alias w:val="模块:公司负责人等声明"/>
        <w:tag w:val="_GBC_04b137e7f87b43b8812b2c33bd605e04"/>
        <w:id w:val="2052186052"/>
        <w:lock w:val="sdtLocked"/>
        <w:placeholder>
          <w:docPart w:val="GBC22222222222222222222222222222"/>
        </w:placeholder>
      </w:sdtPr>
      <w:sdtEndPr/>
      <w:sdtContent>
        <w:p w14:paraId="2CDF9BC2" w14:textId="77777777" w:rsidR="00D21C1F" w:rsidRDefault="00A42880">
          <w:pPr>
            <w:pStyle w:val="2"/>
          </w:pPr>
          <w:r>
            <w:rPr>
              <w:rFonts w:hint="eastAsia"/>
            </w:rPr>
            <w:t>公司负责人</w:t>
          </w:r>
          <w:sdt>
            <w:sdtPr>
              <w:rPr>
                <w:rFonts w:hint="eastAsia"/>
              </w:rPr>
              <w:alias w:val="公司负责人姓名"/>
              <w:tag w:val="_GBC_ee6b72f666bb497bbe8fc037096654d2"/>
              <w:id w:val="-1062325358"/>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rPr>
                <w:t xml:space="preserve">许礼进 </w:t>
              </w:r>
            </w:sdtContent>
          </w:sdt>
          <w:r>
            <w:rPr>
              <w:rFonts w:hint="eastAsia"/>
            </w:rPr>
            <w:t>、主管会计工作负责人</w:t>
          </w:r>
          <w:sdt>
            <w:sdtPr>
              <w:rPr>
                <w:rFonts w:hint="eastAsia"/>
              </w:rPr>
              <w:alias w:val="主管会计工作负责人姓名"/>
              <w:tag w:val="_GBC_51ed55c6ff134dadaa6756998c964cdf"/>
              <w:id w:val="-132673949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rPr>
                <w:t xml:space="preserve">康斌 </w:t>
              </w:r>
            </w:sdtContent>
          </w:sdt>
          <w:r>
            <w:rPr>
              <w:rFonts w:hint="eastAsia"/>
            </w:rPr>
            <w:t>及会计机构负责人（会计主管人员）</w:t>
          </w:r>
          <w:sdt>
            <w:sdtPr>
              <w:rPr>
                <w:rFonts w:hint="eastAsia"/>
              </w:rPr>
              <w:alias w:val="会计机构负责人姓名"/>
              <w:tag w:val="_GBC_aa7d9e44d6e64b9abdcdefb4a3968427"/>
              <w:id w:val="617959418"/>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rPr>
                <w:t>汪洋</w:t>
              </w:r>
            </w:sdtContent>
          </w:sdt>
          <w:r>
            <w:rPr>
              <w:rFonts w:hint="eastAsia"/>
            </w:rPr>
            <w:t>声明：保证半年度报告中财务报告的真实、准确、完整。</w:t>
          </w:r>
        </w:p>
      </w:sdtContent>
    </w:sdt>
    <w:p w14:paraId="19673CF7" w14:textId="77777777" w:rsidR="00D21C1F" w:rsidRDefault="00D21C1F">
      <w:pPr>
        <w:pStyle w:val="97"/>
      </w:pPr>
    </w:p>
    <w:sdt>
      <w:sdtPr>
        <w:rPr>
          <w:b w:val="0"/>
          <w:bCs w:val="0"/>
          <w:sz w:val="24"/>
        </w:rPr>
        <w:alias w:val="模块:经董事会审议的报告期利润分配预案或公积金转增股本预案"/>
        <w:tag w:val="_GBC_21c095fa67114a208ee8411405e3a22a"/>
        <w:id w:val="-763142011"/>
        <w:lock w:val="sdtLocked"/>
        <w:placeholder>
          <w:docPart w:val="GBC22222222222222222222222222222"/>
        </w:placeholder>
      </w:sdtPr>
      <w:sdtEndPr>
        <w:rPr>
          <w:rFonts w:hint="eastAsia"/>
          <w:sz w:val="21"/>
          <w:shd w:val="pct10" w:color="auto" w:fill="FFFFFF"/>
        </w:rPr>
      </w:sdtEndPr>
      <w:sdtContent>
        <w:p w14:paraId="289AA141" w14:textId="77777777" w:rsidR="00D21C1F" w:rsidRDefault="00A42880">
          <w:pPr>
            <w:pStyle w:val="2"/>
            <w:rPr>
              <w:sz w:val="24"/>
            </w:rPr>
          </w:pPr>
          <w:r>
            <w:t>董事会决议通过的本报告期利润分配预案或公积金转增股本预案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887021862"/>
            <w:lock w:val="sdtLocked"/>
            <w:placeholder>
              <w:docPart w:val="GBC22222222222222222222222222222"/>
            </w:placeholder>
          </w:sdtPr>
          <w:sdtEndPr>
            <w:rPr>
              <w:shd w:val="pct10" w:color="auto" w:fill="FFFFFF"/>
            </w:rPr>
          </w:sdtEndPr>
          <w:sdtContent>
            <w:p w14:paraId="4F290611" w14:textId="77777777" w:rsidR="00D21C1F" w:rsidRDefault="00A42880">
              <w:pPr>
                <w:kinsoku w:val="0"/>
                <w:overflowPunct w:val="0"/>
                <w:autoSpaceDE w:val="0"/>
                <w:autoSpaceDN w:val="0"/>
                <w:adjustRightInd w:val="0"/>
                <w:snapToGrid w:val="0"/>
                <w:spacing w:line="360" w:lineRule="exact"/>
                <w:rPr>
                  <w:szCs w:val="21"/>
                  <w:shd w:val="pct10" w:color="auto" w:fill="FFFFFF"/>
                </w:rPr>
              </w:pPr>
              <w:r>
                <w:rPr>
                  <w:rFonts w:hint="eastAsia"/>
                  <w:szCs w:val="21"/>
                </w:rPr>
                <w:t>无</w:t>
              </w:r>
            </w:p>
          </w:sdtContent>
        </w:sdt>
      </w:sdtContent>
    </w:sdt>
    <w:p w14:paraId="73DA90A4" w14:textId="77777777" w:rsidR="00D21C1F" w:rsidRDefault="00D21C1F">
      <w:pPr>
        <w:kinsoku w:val="0"/>
        <w:overflowPunct w:val="0"/>
        <w:autoSpaceDE w:val="0"/>
        <w:autoSpaceDN w:val="0"/>
        <w:adjustRightInd w:val="0"/>
        <w:snapToGrid w:val="0"/>
        <w:spacing w:line="360" w:lineRule="exact"/>
        <w:rPr>
          <w:szCs w:val="21"/>
          <w:shd w:val="pct10" w:color="auto" w:fill="FFFFFF"/>
        </w:rPr>
      </w:pPr>
    </w:p>
    <w:bookmarkStart w:id="4" w:name="_Hlk25309040" w:displacedByCustomXml="next"/>
    <w:bookmarkStart w:id="5" w:name="_Hlk42788472" w:displacedByCustomXml="next"/>
    <w:sdt>
      <w:sdtPr>
        <w:rPr>
          <w:b w:val="0"/>
          <w:bCs w:val="0"/>
          <w:shd w:val="pct10" w:color="auto" w:fill="FFFFFF"/>
        </w:rPr>
        <w:alias w:val="模块:是否存在公司治理特殊安排等重要事项"/>
        <w:tag w:val="_SEC_2679260b05a148c89859774873975e4e"/>
        <w:id w:val="-256529521"/>
        <w:lock w:val="sdtLocked"/>
        <w:placeholder>
          <w:docPart w:val="GBC22222222222222222222222222222"/>
        </w:placeholder>
      </w:sdtPr>
      <w:sdtEndPr/>
      <w:sdtContent>
        <w:p w14:paraId="22EBD4F2" w14:textId="77777777" w:rsidR="00D21C1F" w:rsidRDefault="00A42880">
          <w:pPr>
            <w:pStyle w:val="2"/>
          </w:pPr>
          <w:r>
            <w:rPr>
              <w:rFonts w:hint="eastAsia"/>
            </w:rPr>
            <w:t>是否</w:t>
          </w:r>
          <w:r>
            <w:t>存在</w:t>
          </w:r>
          <w:r>
            <w:rPr>
              <w:rFonts w:hint="eastAsia"/>
            </w:rPr>
            <w:t>公司治理特殊安排等重要事项</w:t>
          </w:r>
        </w:p>
        <w:sdt>
          <w:sdtPr>
            <w:alias w:val="是否适用：是否存在公司治理特殊安排等重要事项[双击切换]"/>
            <w:tag w:val="_GBC_a5391eb2962043ca9bd4b462a9df92bf"/>
            <w:id w:val="599538747"/>
            <w:lock w:val="sdtLocked"/>
            <w:placeholder>
              <w:docPart w:val="GBC22222222222222222222222222222"/>
            </w:placeholder>
          </w:sdtPr>
          <w:sdtEndPr/>
          <w:sdtContent>
            <w:p w14:paraId="4C551B02" w14:textId="77777777" w:rsidR="00D21C1F" w:rsidRDefault="00A42880">
              <w:pPr>
                <w:rPr>
                  <w:szCs w:val="21"/>
                  <w:shd w:val="pct10" w:color="auto" w:fill="FFFFFF"/>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FA066C" w14:textId="77777777" w:rsidR="00D21C1F" w:rsidRDefault="00045EC6">
          <w:pPr>
            <w:kinsoku w:val="0"/>
            <w:overflowPunct w:val="0"/>
            <w:autoSpaceDE w:val="0"/>
            <w:autoSpaceDN w:val="0"/>
            <w:adjustRightInd w:val="0"/>
            <w:snapToGrid w:val="0"/>
            <w:spacing w:line="360" w:lineRule="exact"/>
            <w:rPr>
              <w:szCs w:val="21"/>
              <w:shd w:val="pct10" w:color="auto" w:fill="FFFFFF"/>
            </w:rPr>
          </w:pPr>
        </w:p>
      </w:sdtContent>
    </w:sdt>
    <w:bookmarkEnd w:id="4" w:displacedByCustomXml="next"/>
    <w:bookmarkEnd w:id="5" w:displacedByCustomXml="next"/>
    <w:sdt>
      <w:sdtPr>
        <w:rPr>
          <w:b w:val="0"/>
          <w:bCs w:val="0"/>
          <w:sz w:val="24"/>
        </w:rPr>
        <w:alias w:val="模块:前瞻性陈述的风险声明"/>
        <w:tag w:val="_GBC_cc24ced211694e75b40a9765d2616e01"/>
        <w:id w:val="1573307708"/>
        <w:lock w:val="sdtLocked"/>
        <w:placeholder>
          <w:docPart w:val="GBC22222222222222222222222222222"/>
        </w:placeholder>
      </w:sdtPr>
      <w:sdtEndPr>
        <w:rPr>
          <w:rFonts w:hint="eastAsia"/>
          <w:sz w:val="21"/>
          <w:shd w:val="pct10" w:color="auto" w:fill="FFFFFF"/>
        </w:rPr>
      </w:sdtEndPr>
      <w:sdtContent>
        <w:p w14:paraId="4DD55040" w14:textId="77777777" w:rsidR="00D21C1F" w:rsidRDefault="00A42880">
          <w:pPr>
            <w:pStyle w:val="2"/>
          </w:pPr>
          <w:r>
            <w:t>前瞻性陈述的风险声明</w:t>
          </w:r>
        </w:p>
        <w:sdt>
          <w:sdtPr>
            <w:alias w:val="是否适用：前瞻性陈述的风险声明[双击切换]"/>
            <w:tag w:val="_GBC_6a28949332914149bda7cc0225d614b7"/>
            <w:id w:val="-588076721"/>
            <w:lock w:val="sdtLocked"/>
            <w:placeholder>
              <w:docPart w:val="GBC22222222222222222222222222222"/>
            </w:placeholder>
          </w:sdtPr>
          <w:sdtEndPr/>
          <w:sdtContent>
            <w:p w14:paraId="0B747A3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1371998149"/>
            <w:lock w:val="sdtLocked"/>
            <w:placeholder>
              <w:docPart w:val="GBC22222222222222222222222222222"/>
            </w:placeholder>
          </w:sdtPr>
          <w:sdtEndPr>
            <w:rPr>
              <w:shd w:val="pct10" w:color="auto" w:fill="FFFFFF"/>
            </w:rPr>
          </w:sdtEndPr>
          <w:sdtContent>
            <w:p w14:paraId="0E80ACEE" w14:textId="77777777" w:rsidR="00D21C1F" w:rsidRDefault="00A42880">
              <w:pPr>
                <w:kinsoku w:val="0"/>
                <w:overflowPunct w:val="0"/>
                <w:autoSpaceDE w:val="0"/>
                <w:autoSpaceDN w:val="0"/>
                <w:adjustRightInd w:val="0"/>
                <w:snapToGrid w:val="0"/>
                <w:spacing w:line="360" w:lineRule="auto"/>
                <w:ind w:firstLineChars="200" w:firstLine="420"/>
                <w:jc w:val="both"/>
                <w:rPr>
                  <w:szCs w:val="21"/>
                </w:rPr>
              </w:pPr>
              <w:r>
                <w:rPr>
                  <w:rFonts w:hint="eastAsia"/>
                  <w:szCs w:val="21"/>
                </w:rPr>
                <w:t>本报告所涉及的公司未来计划、发展战略等前瞻性陈述，不构成对公司投资者的实质承诺，请投资者注意投资风险。</w:t>
              </w:r>
            </w:p>
          </w:sdtContent>
        </w:sdt>
      </w:sdtContent>
    </w:sdt>
    <w:p w14:paraId="7976D4FD" w14:textId="77777777" w:rsidR="00D21C1F" w:rsidRDefault="00D21C1F">
      <w:pPr>
        <w:kinsoku w:val="0"/>
        <w:overflowPunct w:val="0"/>
        <w:autoSpaceDE w:val="0"/>
        <w:autoSpaceDN w:val="0"/>
        <w:adjustRightInd w:val="0"/>
        <w:snapToGrid w:val="0"/>
        <w:spacing w:line="360" w:lineRule="exact"/>
        <w:rPr>
          <w:szCs w:val="21"/>
          <w:shd w:val="pct10" w:color="auto" w:fill="FFFFFF"/>
        </w:rPr>
      </w:pPr>
    </w:p>
    <w:sdt>
      <w:sdtPr>
        <w:rPr>
          <w:rFonts w:hint="eastAsia"/>
          <w:b w:val="0"/>
          <w:bCs w:val="0"/>
          <w:sz w:val="24"/>
          <w:shd w:val="pct10" w:color="auto" w:fill="FFFFFF"/>
        </w:rPr>
        <w:alias w:val="模块:是否存在被控股股东及其关联方非经营性占用资金情况"/>
        <w:tag w:val="_GBC_70f733efbc484640a48089ddc49bf2b9"/>
        <w:id w:val="1475342"/>
        <w:lock w:val="sdtLocked"/>
        <w:placeholder>
          <w:docPart w:val="GBC22222222222222222222222222222"/>
        </w:placeholder>
      </w:sdtPr>
      <w:sdtEndPr>
        <w:rPr>
          <w:sz w:val="21"/>
          <w:shd w:val="clear" w:color="auto" w:fill="auto"/>
        </w:rPr>
      </w:sdtEndPr>
      <w:sdtContent>
        <w:p w14:paraId="5ED5E665" w14:textId="77777777" w:rsidR="00D21C1F" w:rsidRDefault="00A42880">
          <w:pPr>
            <w:pStyle w:val="2"/>
          </w:pPr>
          <w:r>
            <w:t>是否存在被控股股东及其关联方非经营性占用资金情况</w:t>
          </w:r>
        </w:p>
        <w:sdt>
          <w:sdtPr>
            <w:rPr>
              <w:rFonts w:hint="eastAsia"/>
              <w:bCs/>
              <w:szCs w:val="21"/>
            </w:rPr>
            <w:alias w:val="本公司是否存在大股东占用资金情况"/>
            <w:tag w:val="_GBC_a32400ff33ee44d89632e0d79a7f2c42"/>
            <w:id w:val="-95255167"/>
            <w:lock w:val="sdtLocked"/>
            <w:placeholder>
              <w:docPart w:val="GBC22222222222222222222222222222"/>
            </w:placeholder>
            <w:comboBox>
              <w:listItem w:displayText="是" w:value="true"/>
              <w:listItem w:displayText="否" w:value="false"/>
            </w:comboBox>
          </w:sdtPr>
          <w:sdtEndPr/>
          <w:sdtContent>
            <w:p w14:paraId="4EF48D87" w14:textId="77777777" w:rsidR="00D21C1F" w:rsidRDefault="00A42880">
              <w:pPr>
                <w:kinsoku w:val="0"/>
                <w:overflowPunct w:val="0"/>
                <w:autoSpaceDE w:val="0"/>
                <w:autoSpaceDN w:val="0"/>
                <w:adjustRightInd w:val="0"/>
                <w:snapToGrid w:val="0"/>
                <w:spacing w:line="360" w:lineRule="exact"/>
                <w:rPr>
                  <w:bCs/>
                  <w:szCs w:val="21"/>
                </w:rPr>
              </w:pPr>
              <w:r>
                <w:rPr>
                  <w:rFonts w:hint="eastAsia"/>
                  <w:bCs/>
                  <w:szCs w:val="21"/>
                </w:rPr>
                <w:t>否</w:t>
              </w:r>
            </w:p>
          </w:sdtContent>
        </w:sdt>
      </w:sdtContent>
    </w:sdt>
    <w:p w14:paraId="16E64FE8" w14:textId="77777777" w:rsidR="00D21C1F" w:rsidRDefault="00D21C1F">
      <w:pPr>
        <w:kinsoku w:val="0"/>
        <w:overflowPunct w:val="0"/>
        <w:autoSpaceDE w:val="0"/>
        <w:autoSpaceDN w:val="0"/>
        <w:adjustRightInd w:val="0"/>
        <w:snapToGrid w:val="0"/>
        <w:spacing w:line="360" w:lineRule="exact"/>
        <w:rPr>
          <w:szCs w:val="21"/>
          <w:shd w:val="pct10" w:color="auto" w:fill="FFFFFF"/>
        </w:rPr>
      </w:pPr>
    </w:p>
    <w:sdt>
      <w:sdtPr>
        <w:rPr>
          <w:b w:val="0"/>
          <w:bCs w:val="0"/>
          <w:sz w:val="24"/>
        </w:rPr>
        <w:alias w:val="模块:是否存在违反规定决策程序对外提供担保的情况"/>
        <w:tag w:val="_GBC_0b5725dfa5c04f85874bece4083eddb4"/>
        <w:id w:val="83120248"/>
        <w:lock w:val="sdtLocked"/>
        <w:placeholder>
          <w:docPart w:val="GBC22222222222222222222222222222"/>
        </w:placeholder>
      </w:sdtPr>
      <w:sdtEndPr>
        <w:rPr>
          <w:rFonts w:hint="eastAsia"/>
          <w:sz w:val="21"/>
        </w:rPr>
      </w:sdtEndPr>
      <w:sdtContent>
        <w:p w14:paraId="1C944549" w14:textId="77777777" w:rsidR="00D21C1F" w:rsidRDefault="00A42880">
          <w:pPr>
            <w:pStyle w:val="2"/>
          </w:pPr>
          <w:r>
            <w:t>是否存在违反规定决策程序对外提供担保的情况？</w:t>
          </w:r>
        </w:p>
        <w:sdt>
          <w:sdtPr>
            <w:rPr>
              <w:rFonts w:hint="eastAsia"/>
              <w:szCs w:val="21"/>
            </w:rPr>
            <w:alias w:val="本公司是否存在违反规定决策程序对外提供担保的情况"/>
            <w:tag w:val="_GBC_3bc3f02bd342494aa2858bb9a39d8458"/>
            <w:id w:val="148634618"/>
            <w:lock w:val="sdtLocked"/>
            <w:placeholder>
              <w:docPart w:val="GBC22222222222222222222222222222"/>
            </w:placeholder>
            <w:comboBox>
              <w:listItem w:displayText="是" w:value="true"/>
              <w:listItem w:displayText="否" w:value="false"/>
            </w:comboBox>
          </w:sdtPr>
          <w:sdtEndPr/>
          <w:sdtContent>
            <w:p w14:paraId="7F32B85D" w14:textId="77777777" w:rsidR="00D21C1F" w:rsidRDefault="00A42880">
              <w:pPr>
                <w:rPr>
                  <w:szCs w:val="21"/>
                </w:rPr>
              </w:pPr>
              <w:r>
                <w:rPr>
                  <w:rFonts w:hint="eastAsia"/>
                  <w:szCs w:val="21"/>
                </w:rPr>
                <w:t>否</w:t>
              </w:r>
            </w:p>
          </w:sdtContent>
        </w:sdt>
      </w:sdtContent>
    </w:sdt>
    <w:p w14:paraId="57D7C67D" w14:textId="77777777" w:rsidR="00D21C1F" w:rsidRDefault="00D21C1F">
      <w:pPr>
        <w:rPr>
          <w:szCs w:val="21"/>
        </w:rPr>
      </w:pPr>
    </w:p>
    <w:bookmarkStart w:id="6" w:name="_Hlk61881950" w:displacedByCustomXml="next"/>
    <w:bookmarkStart w:id="7" w:name="_Hlk72769553" w:displacedByCustomXml="next"/>
    <w:bookmarkStart w:id="8" w:name="_Hlk72844194" w:displacedByCustomXml="next"/>
    <w:sdt>
      <w:sdtPr>
        <w:rPr>
          <w:b w:val="0"/>
          <w:bCs w:val="0"/>
        </w:rPr>
        <w:alias w:val="模块:是否存在半数以上董事无法保证公司所披露年度报告的真实性、准确性和完整性"/>
        <w:tag w:val="_SEC_f3d90b018fb74509a6e51e7c86960c43"/>
        <w:id w:val="-496875581"/>
        <w:lock w:val="sdtLocked"/>
        <w:placeholder>
          <w:docPart w:val="GBC22222222222222222222222222222"/>
        </w:placeholder>
      </w:sdtPr>
      <w:sdtEndPr/>
      <w:sdtContent>
        <w:p w14:paraId="0BE6893F" w14:textId="77777777" w:rsidR="00D21C1F" w:rsidRDefault="00A42880">
          <w:pPr>
            <w:pStyle w:val="2"/>
          </w:pPr>
          <w:r>
            <w:t>是否存在半数</w:t>
          </w:r>
          <w:r>
            <w:rPr>
              <w:rFonts w:hint="eastAsia"/>
            </w:rPr>
            <w:t>以上</w:t>
          </w:r>
          <w:r>
            <w:t>董事无法保证公司所披露</w:t>
          </w:r>
          <w:r>
            <w:rPr>
              <w:rFonts w:hint="eastAsia"/>
            </w:rPr>
            <w:t>半</w:t>
          </w:r>
          <w:r>
            <w:t>年度报告的真实性、准确性和完整性</w:t>
          </w:r>
          <w:bookmarkEnd w:id="6"/>
        </w:p>
        <w:sdt>
          <w:sdtPr>
            <w:rPr>
              <w:rFonts w:hint="eastAsia"/>
            </w:rPr>
            <w:alias w:val="是否存在半数以上董事无法保证公司所披露年度报告的真实性、准确性和完整性"/>
            <w:tag w:val="_GBC_12af6d6c23f7426692c9e0628778ec1c"/>
            <w:id w:val="1677467281"/>
            <w:lock w:val="sdtLocked"/>
            <w:placeholder>
              <w:docPart w:val="GBC22222222222222222222222222222"/>
            </w:placeholder>
            <w:comboBox>
              <w:listItem w:displayText="是" w:value="是"/>
              <w:listItem w:displayText="否" w:value="否"/>
            </w:comboBox>
          </w:sdtPr>
          <w:sdtEndPr/>
          <w:sdtContent>
            <w:p w14:paraId="262BF594" w14:textId="77777777" w:rsidR="00D21C1F" w:rsidRDefault="00A42880">
              <w:pPr>
                <w:pStyle w:val="97"/>
              </w:pPr>
              <w:r>
                <w:rPr>
                  <w:rFonts w:hint="eastAsia"/>
                </w:rPr>
                <w:t>否</w:t>
              </w:r>
            </w:p>
          </w:sdtContent>
        </w:sdt>
        <w:p w14:paraId="7F78F160" w14:textId="77777777" w:rsidR="00D21C1F" w:rsidRDefault="00045EC6">
          <w:pPr>
            <w:rPr>
              <w:szCs w:val="21"/>
            </w:rPr>
          </w:pPr>
        </w:p>
      </w:sdtContent>
    </w:sdt>
    <w:bookmarkEnd w:id="7" w:displacedByCustomXml="next"/>
    <w:bookmarkEnd w:id="8" w:displacedByCustomXml="next"/>
    <w:sdt>
      <w:sdtPr>
        <w:rPr>
          <w:b w:val="0"/>
          <w:bCs w:val="0"/>
        </w:rPr>
        <w:alias w:val="模块:重要提示的其他情况说明"/>
        <w:tag w:val="_GBC_b8bb35c675b44fbdaf150c1114447d89"/>
        <w:id w:val="-2049061954"/>
        <w:lock w:val="sdtLocked"/>
        <w:placeholder>
          <w:docPart w:val="GBC22222222222222222222222222222"/>
        </w:placeholder>
      </w:sdtPr>
      <w:sdtEndPr/>
      <w:sdtContent>
        <w:p w14:paraId="5DD0DC12" w14:textId="77777777" w:rsidR="00D21C1F" w:rsidRDefault="00A42880">
          <w:pPr>
            <w:pStyle w:val="2"/>
          </w:pPr>
          <w:r>
            <w:rPr>
              <w:rFonts w:hint="eastAsia"/>
            </w:rPr>
            <w:t>其他</w:t>
          </w:r>
        </w:p>
        <w:sdt>
          <w:sdtPr>
            <w:alias w:val="是否适用：其他重要提示[双击切换]"/>
            <w:tag w:val="_GBC_3a91363d913942688077b069148debc5"/>
            <w:id w:val="1327162650"/>
            <w:lock w:val="sdtLocked"/>
            <w:placeholder>
              <w:docPart w:val="GBC22222222222222222222222222222"/>
            </w:placeholder>
          </w:sdtPr>
          <w:sdtEndPr/>
          <w:sdtContent>
            <w:p w14:paraId="30978378"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F9B5FC5" w14:textId="77777777" w:rsidR="00D21C1F" w:rsidRDefault="00D21C1F">
      <w:pPr>
        <w:rPr>
          <w:szCs w:val="21"/>
        </w:rPr>
        <w:sectPr w:rsidR="00D21C1F">
          <w:headerReference w:type="default" r:id="rId14"/>
          <w:footerReference w:type="default" r:id="rId15"/>
          <w:pgSz w:w="11906" w:h="16838"/>
          <w:pgMar w:top="1525" w:right="1276" w:bottom="1440" w:left="1797" w:header="855" w:footer="992" w:gutter="0"/>
          <w:cols w:space="425"/>
          <w:docGrid w:linePitch="312"/>
        </w:sectPr>
      </w:pPr>
      <w:bookmarkStart w:id="9" w:name="_Hlk78361817"/>
      <w:bookmarkEnd w:id="9"/>
    </w:p>
    <w:p w14:paraId="46B5E5DA" w14:textId="77777777" w:rsidR="00D21C1F" w:rsidRDefault="00D21C1F">
      <w:pPr>
        <w:rPr>
          <w:szCs w:val="21"/>
        </w:rPr>
      </w:pPr>
    </w:p>
    <w:p w14:paraId="4B3FBB81" w14:textId="77777777" w:rsidR="00D21C1F" w:rsidRDefault="00A42880">
      <w:pPr>
        <w:kinsoku w:val="0"/>
        <w:overflowPunct w:val="0"/>
        <w:autoSpaceDE w:val="0"/>
        <w:autoSpaceDN w:val="0"/>
        <w:adjustRightInd w:val="0"/>
        <w:snapToGrid w:val="0"/>
        <w:spacing w:line="480" w:lineRule="auto"/>
        <w:jc w:val="center"/>
        <w:rPr>
          <w:noProof/>
        </w:rPr>
      </w:pPr>
      <w:r>
        <w:rPr>
          <w:rFonts w:hint="eastAsia"/>
          <w:b/>
          <w:sz w:val="32"/>
          <w:szCs w:val="32"/>
        </w:rPr>
        <w:t>目录</w:t>
      </w:r>
      <w:r>
        <w:rPr>
          <w:b/>
          <w:shd w:val="pct10" w:color="auto" w:fill="FFFFFF"/>
        </w:rPr>
        <w:fldChar w:fldCharType="begin"/>
      </w:r>
      <w:r>
        <w:rPr>
          <w:b/>
          <w:shd w:val="pct10" w:color="auto" w:fill="FFFFFF"/>
        </w:rPr>
        <w:instrText xml:space="preserve"> TOC \o "1-1" \h \z \u </w:instrText>
      </w:r>
      <w:r>
        <w:rPr>
          <w:b/>
          <w:shd w:val="pct10" w:color="auto" w:fill="FFFFFF"/>
        </w:rPr>
        <w:fldChar w:fldCharType="separate"/>
      </w:r>
    </w:p>
    <w:p w14:paraId="67091F80" w14:textId="1C34CC45" w:rsidR="00D21C1F" w:rsidRDefault="00045EC6">
      <w:pPr>
        <w:pStyle w:val="TOC1"/>
        <w:rPr>
          <w:rFonts w:asciiTheme="minorHAnsi" w:eastAsiaTheme="minorEastAsia" w:hAnsiTheme="minorHAnsi" w:cstheme="minorBidi"/>
          <w:noProof/>
          <w:szCs w:val="22"/>
        </w:rPr>
      </w:pPr>
      <w:hyperlink w:anchor="_Toc79755140" w:history="1">
        <w:r w:rsidR="00A42880">
          <w:rPr>
            <w:rStyle w:val="aff2"/>
            <w:rFonts w:ascii="黑体" w:hAnsi="黑体"/>
            <w:noProof/>
          </w:rPr>
          <w:t>第一节</w:t>
        </w:r>
        <w:r w:rsidR="00A42880">
          <w:rPr>
            <w:rFonts w:asciiTheme="minorHAnsi" w:eastAsiaTheme="minorEastAsia" w:hAnsiTheme="minorHAnsi" w:cstheme="minorBidi"/>
            <w:noProof/>
            <w:szCs w:val="22"/>
          </w:rPr>
          <w:tab/>
        </w:r>
        <w:r w:rsidR="00A42880">
          <w:rPr>
            <w:rStyle w:val="aff2"/>
            <w:rFonts w:ascii="黑体" w:hAnsi="黑体"/>
            <w:noProof/>
          </w:rPr>
          <w:t>释义</w:t>
        </w:r>
        <w:bookmarkStart w:id="10" w:name="_GoBack"/>
        <w:bookmarkEnd w:id="10"/>
        <w:r w:rsidR="00A42880">
          <w:rPr>
            <w:noProof/>
          </w:rPr>
          <w:tab/>
        </w:r>
        <w:r w:rsidR="00A42880">
          <w:rPr>
            <w:noProof/>
          </w:rPr>
          <w:fldChar w:fldCharType="begin"/>
        </w:r>
        <w:r w:rsidR="00A42880">
          <w:rPr>
            <w:noProof/>
          </w:rPr>
          <w:instrText xml:space="preserve"> PAGEREF _Toc79755140 \h </w:instrText>
        </w:r>
        <w:r w:rsidR="00A42880">
          <w:rPr>
            <w:noProof/>
          </w:rPr>
        </w:r>
        <w:r w:rsidR="00A42880">
          <w:rPr>
            <w:noProof/>
          </w:rPr>
          <w:fldChar w:fldCharType="separate"/>
        </w:r>
        <w:r w:rsidR="00B24AF7">
          <w:rPr>
            <w:noProof/>
          </w:rPr>
          <w:t>4</w:t>
        </w:r>
        <w:r w:rsidR="00A42880">
          <w:rPr>
            <w:noProof/>
          </w:rPr>
          <w:fldChar w:fldCharType="end"/>
        </w:r>
      </w:hyperlink>
    </w:p>
    <w:p w14:paraId="640A50F5" w14:textId="144A0F7F" w:rsidR="00D21C1F" w:rsidRDefault="00045EC6">
      <w:pPr>
        <w:pStyle w:val="TOC1"/>
        <w:rPr>
          <w:rFonts w:asciiTheme="minorHAnsi" w:eastAsiaTheme="minorEastAsia" w:hAnsiTheme="minorHAnsi" w:cstheme="minorBidi"/>
          <w:noProof/>
          <w:szCs w:val="22"/>
        </w:rPr>
      </w:pPr>
      <w:hyperlink w:anchor="_Toc79755141" w:history="1">
        <w:r w:rsidR="00A42880">
          <w:rPr>
            <w:rStyle w:val="aff2"/>
            <w:rFonts w:ascii="黑体" w:hAnsi="黑体"/>
            <w:noProof/>
          </w:rPr>
          <w:t>第二节</w:t>
        </w:r>
        <w:r w:rsidR="00A42880">
          <w:rPr>
            <w:rFonts w:asciiTheme="minorHAnsi" w:eastAsiaTheme="minorEastAsia" w:hAnsiTheme="minorHAnsi" w:cstheme="minorBidi"/>
            <w:noProof/>
            <w:szCs w:val="22"/>
          </w:rPr>
          <w:tab/>
        </w:r>
        <w:r w:rsidR="00A42880">
          <w:rPr>
            <w:rStyle w:val="aff2"/>
            <w:rFonts w:ascii="黑体" w:hAnsi="黑体"/>
            <w:noProof/>
          </w:rPr>
          <w:t>公司简介和主要财务指标</w:t>
        </w:r>
        <w:r w:rsidR="00A42880">
          <w:rPr>
            <w:noProof/>
          </w:rPr>
          <w:tab/>
        </w:r>
        <w:r w:rsidR="00A42880">
          <w:rPr>
            <w:noProof/>
          </w:rPr>
          <w:fldChar w:fldCharType="begin"/>
        </w:r>
        <w:r w:rsidR="00A42880">
          <w:rPr>
            <w:noProof/>
          </w:rPr>
          <w:instrText xml:space="preserve"> PAGEREF _Toc79755141 \h </w:instrText>
        </w:r>
        <w:r w:rsidR="00A42880">
          <w:rPr>
            <w:noProof/>
          </w:rPr>
        </w:r>
        <w:r w:rsidR="00A42880">
          <w:rPr>
            <w:noProof/>
          </w:rPr>
          <w:fldChar w:fldCharType="separate"/>
        </w:r>
        <w:r w:rsidR="00B24AF7">
          <w:rPr>
            <w:noProof/>
          </w:rPr>
          <w:t>8</w:t>
        </w:r>
        <w:r w:rsidR="00A42880">
          <w:rPr>
            <w:noProof/>
          </w:rPr>
          <w:fldChar w:fldCharType="end"/>
        </w:r>
      </w:hyperlink>
    </w:p>
    <w:p w14:paraId="7AD0B093" w14:textId="04CCBC88" w:rsidR="00D21C1F" w:rsidRDefault="00045EC6">
      <w:pPr>
        <w:pStyle w:val="TOC1"/>
        <w:rPr>
          <w:rFonts w:asciiTheme="minorHAnsi" w:eastAsiaTheme="minorEastAsia" w:hAnsiTheme="minorHAnsi" w:cstheme="minorBidi"/>
          <w:noProof/>
          <w:szCs w:val="22"/>
        </w:rPr>
      </w:pPr>
      <w:hyperlink w:anchor="_Toc79755142" w:history="1">
        <w:r w:rsidR="00A42880">
          <w:rPr>
            <w:rStyle w:val="aff2"/>
            <w:rFonts w:ascii="黑体" w:hAnsi="黑体"/>
            <w:noProof/>
          </w:rPr>
          <w:t>第三节</w:t>
        </w:r>
        <w:r w:rsidR="00A42880">
          <w:rPr>
            <w:rFonts w:asciiTheme="minorHAnsi" w:eastAsiaTheme="minorEastAsia" w:hAnsiTheme="minorHAnsi" w:cstheme="minorBidi"/>
            <w:noProof/>
            <w:szCs w:val="22"/>
          </w:rPr>
          <w:tab/>
        </w:r>
        <w:r w:rsidR="00A42880">
          <w:rPr>
            <w:rStyle w:val="aff2"/>
            <w:rFonts w:ascii="黑体" w:hAnsi="黑体"/>
            <w:noProof/>
          </w:rPr>
          <w:t>管理层讨论与分析</w:t>
        </w:r>
        <w:r w:rsidR="00A42880">
          <w:rPr>
            <w:noProof/>
          </w:rPr>
          <w:tab/>
        </w:r>
        <w:r w:rsidR="00A42880">
          <w:rPr>
            <w:noProof/>
          </w:rPr>
          <w:fldChar w:fldCharType="begin"/>
        </w:r>
        <w:r w:rsidR="00A42880">
          <w:rPr>
            <w:noProof/>
          </w:rPr>
          <w:instrText xml:space="preserve"> PAGEREF _Toc79755142 \h </w:instrText>
        </w:r>
        <w:r w:rsidR="00A42880">
          <w:rPr>
            <w:noProof/>
          </w:rPr>
        </w:r>
        <w:r w:rsidR="00A42880">
          <w:rPr>
            <w:noProof/>
          </w:rPr>
          <w:fldChar w:fldCharType="separate"/>
        </w:r>
        <w:r w:rsidR="00B24AF7">
          <w:rPr>
            <w:noProof/>
          </w:rPr>
          <w:t>12</w:t>
        </w:r>
        <w:r w:rsidR="00A42880">
          <w:rPr>
            <w:noProof/>
          </w:rPr>
          <w:fldChar w:fldCharType="end"/>
        </w:r>
      </w:hyperlink>
    </w:p>
    <w:p w14:paraId="3312F4FC" w14:textId="1CA84779" w:rsidR="00D21C1F" w:rsidRDefault="00045EC6">
      <w:pPr>
        <w:pStyle w:val="TOC1"/>
        <w:rPr>
          <w:rFonts w:asciiTheme="minorHAnsi" w:eastAsiaTheme="minorEastAsia" w:hAnsiTheme="minorHAnsi" w:cstheme="minorBidi"/>
          <w:noProof/>
          <w:szCs w:val="22"/>
        </w:rPr>
      </w:pPr>
      <w:hyperlink w:anchor="_Toc79755143" w:history="1">
        <w:r w:rsidR="00A42880">
          <w:rPr>
            <w:rStyle w:val="aff2"/>
            <w:rFonts w:ascii="黑体" w:hAnsi="黑体"/>
            <w:noProof/>
          </w:rPr>
          <w:t>第四节</w:t>
        </w:r>
        <w:r w:rsidR="00A42880">
          <w:rPr>
            <w:rFonts w:asciiTheme="minorHAnsi" w:eastAsiaTheme="minorEastAsia" w:hAnsiTheme="minorHAnsi" w:cstheme="minorBidi"/>
            <w:noProof/>
            <w:szCs w:val="22"/>
          </w:rPr>
          <w:tab/>
        </w:r>
        <w:r w:rsidR="00A42880">
          <w:rPr>
            <w:rStyle w:val="aff2"/>
            <w:rFonts w:ascii="黑体" w:hAnsi="黑体"/>
            <w:noProof/>
          </w:rPr>
          <w:t>公司治理</w:t>
        </w:r>
        <w:r w:rsidR="00A42880">
          <w:rPr>
            <w:noProof/>
          </w:rPr>
          <w:tab/>
        </w:r>
        <w:r w:rsidR="00A42880">
          <w:rPr>
            <w:noProof/>
          </w:rPr>
          <w:fldChar w:fldCharType="begin"/>
        </w:r>
        <w:r w:rsidR="00A42880">
          <w:rPr>
            <w:noProof/>
          </w:rPr>
          <w:instrText xml:space="preserve"> PAGEREF _Toc79755143 \h </w:instrText>
        </w:r>
        <w:r w:rsidR="00A42880">
          <w:rPr>
            <w:noProof/>
          </w:rPr>
        </w:r>
        <w:r w:rsidR="00A42880">
          <w:rPr>
            <w:noProof/>
          </w:rPr>
          <w:fldChar w:fldCharType="separate"/>
        </w:r>
        <w:r w:rsidR="00B24AF7">
          <w:rPr>
            <w:noProof/>
          </w:rPr>
          <w:t>47</w:t>
        </w:r>
        <w:r w:rsidR="00A42880">
          <w:rPr>
            <w:noProof/>
          </w:rPr>
          <w:fldChar w:fldCharType="end"/>
        </w:r>
      </w:hyperlink>
    </w:p>
    <w:p w14:paraId="794D2B81" w14:textId="7DEDF5D9" w:rsidR="00D21C1F" w:rsidRDefault="00045EC6">
      <w:pPr>
        <w:pStyle w:val="TOC1"/>
        <w:rPr>
          <w:rFonts w:asciiTheme="minorHAnsi" w:eastAsiaTheme="minorEastAsia" w:hAnsiTheme="minorHAnsi" w:cstheme="minorBidi"/>
          <w:noProof/>
          <w:szCs w:val="22"/>
        </w:rPr>
      </w:pPr>
      <w:hyperlink w:anchor="_Toc79755144" w:history="1">
        <w:r w:rsidR="00A42880">
          <w:rPr>
            <w:rStyle w:val="aff2"/>
            <w:rFonts w:ascii="黑体" w:hAnsi="黑体"/>
            <w:noProof/>
          </w:rPr>
          <w:t>第五节</w:t>
        </w:r>
        <w:r w:rsidR="00A42880">
          <w:rPr>
            <w:rFonts w:asciiTheme="minorHAnsi" w:eastAsiaTheme="minorEastAsia" w:hAnsiTheme="minorHAnsi" w:cstheme="minorBidi"/>
            <w:noProof/>
            <w:szCs w:val="22"/>
          </w:rPr>
          <w:tab/>
        </w:r>
        <w:r w:rsidR="00A42880">
          <w:rPr>
            <w:rStyle w:val="aff2"/>
            <w:rFonts w:ascii="黑体" w:hAnsi="黑体"/>
            <w:noProof/>
          </w:rPr>
          <w:t>环境与社会责任</w:t>
        </w:r>
        <w:r w:rsidR="00A42880">
          <w:rPr>
            <w:noProof/>
          </w:rPr>
          <w:tab/>
        </w:r>
        <w:r w:rsidR="00A42880">
          <w:rPr>
            <w:noProof/>
          </w:rPr>
          <w:fldChar w:fldCharType="begin"/>
        </w:r>
        <w:r w:rsidR="00A42880">
          <w:rPr>
            <w:noProof/>
          </w:rPr>
          <w:instrText xml:space="preserve"> PAGEREF _Toc79755144 \h </w:instrText>
        </w:r>
        <w:r w:rsidR="00A42880">
          <w:rPr>
            <w:noProof/>
          </w:rPr>
        </w:r>
        <w:r w:rsidR="00A42880">
          <w:rPr>
            <w:noProof/>
          </w:rPr>
          <w:fldChar w:fldCharType="separate"/>
        </w:r>
        <w:r w:rsidR="00B24AF7">
          <w:rPr>
            <w:noProof/>
          </w:rPr>
          <w:t>50</w:t>
        </w:r>
        <w:r w:rsidR="00A42880">
          <w:rPr>
            <w:noProof/>
          </w:rPr>
          <w:fldChar w:fldCharType="end"/>
        </w:r>
      </w:hyperlink>
    </w:p>
    <w:p w14:paraId="208AEA67" w14:textId="51EA2361" w:rsidR="00D21C1F" w:rsidRDefault="00045EC6">
      <w:pPr>
        <w:pStyle w:val="TOC1"/>
        <w:rPr>
          <w:rFonts w:asciiTheme="minorHAnsi" w:eastAsiaTheme="minorEastAsia" w:hAnsiTheme="minorHAnsi" w:cstheme="minorBidi"/>
          <w:noProof/>
          <w:szCs w:val="22"/>
        </w:rPr>
      </w:pPr>
      <w:hyperlink w:anchor="_Toc79755145" w:history="1">
        <w:r w:rsidR="00A42880">
          <w:rPr>
            <w:rStyle w:val="aff2"/>
            <w:rFonts w:ascii="黑体" w:hAnsi="黑体"/>
            <w:noProof/>
          </w:rPr>
          <w:t>第六节</w:t>
        </w:r>
        <w:r w:rsidR="00A42880">
          <w:rPr>
            <w:rFonts w:asciiTheme="minorHAnsi" w:eastAsiaTheme="minorEastAsia" w:hAnsiTheme="minorHAnsi" w:cstheme="minorBidi"/>
            <w:noProof/>
            <w:szCs w:val="22"/>
          </w:rPr>
          <w:tab/>
        </w:r>
        <w:r w:rsidR="00A42880">
          <w:rPr>
            <w:rStyle w:val="aff2"/>
            <w:rFonts w:ascii="黑体" w:hAnsi="黑体"/>
            <w:noProof/>
          </w:rPr>
          <w:t>重要事项</w:t>
        </w:r>
        <w:r w:rsidR="00A42880">
          <w:rPr>
            <w:noProof/>
          </w:rPr>
          <w:tab/>
        </w:r>
        <w:r w:rsidR="00A42880">
          <w:rPr>
            <w:noProof/>
          </w:rPr>
          <w:fldChar w:fldCharType="begin"/>
        </w:r>
        <w:r w:rsidR="00A42880">
          <w:rPr>
            <w:noProof/>
          </w:rPr>
          <w:instrText xml:space="preserve"> PAGEREF _Toc79755145 \h </w:instrText>
        </w:r>
        <w:r w:rsidR="00A42880">
          <w:rPr>
            <w:noProof/>
          </w:rPr>
        </w:r>
        <w:r w:rsidR="00A42880">
          <w:rPr>
            <w:noProof/>
          </w:rPr>
          <w:fldChar w:fldCharType="separate"/>
        </w:r>
        <w:r w:rsidR="00B24AF7">
          <w:rPr>
            <w:noProof/>
          </w:rPr>
          <w:t>51</w:t>
        </w:r>
        <w:r w:rsidR="00A42880">
          <w:rPr>
            <w:noProof/>
          </w:rPr>
          <w:fldChar w:fldCharType="end"/>
        </w:r>
      </w:hyperlink>
    </w:p>
    <w:p w14:paraId="0C4F32AF" w14:textId="7FC953CE" w:rsidR="00D21C1F" w:rsidRDefault="00045EC6">
      <w:pPr>
        <w:pStyle w:val="TOC1"/>
        <w:rPr>
          <w:rFonts w:asciiTheme="minorHAnsi" w:eastAsiaTheme="minorEastAsia" w:hAnsiTheme="minorHAnsi" w:cstheme="minorBidi"/>
          <w:noProof/>
          <w:szCs w:val="22"/>
        </w:rPr>
      </w:pPr>
      <w:hyperlink w:anchor="_Toc79755146" w:history="1">
        <w:r w:rsidR="00A42880">
          <w:rPr>
            <w:rStyle w:val="aff2"/>
            <w:rFonts w:ascii="黑体" w:hAnsi="黑体"/>
            <w:noProof/>
          </w:rPr>
          <w:t>第七节</w:t>
        </w:r>
        <w:r w:rsidR="00A42880">
          <w:rPr>
            <w:rFonts w:asciiTheme="minorHAnsi" w:eastAsiaTheme="minorEastAsia" w:hAnsiTheme="minorHAnsi" w:cstheme="minorBidi"/>
            <w:noProof/>
            <w:szCs w:val="22"/>
          </w:rPr>
          <w:tab/>
        </w:r>
        <w:r w:rsidR="00A42880">
          <w:rPr>
            <w:rStyle w:val="aff2"/>
            <w:rFonts w:ascii="黑体" w:hAnsi="黑体"/>
            <w:noProof/>
          </w:rPr>
          <w:t>股份变动及股东情况</w:t>
        </w:r>
        <w:r w:rsidR="00A42880">
          <w:rPr>
            <w:noProof/>
          </w:rPr>
          <w:tab/>
        </w:r>
        <w:r w:rsidR="00A42880">
          <w:rPr>
            <w:noProof/>
          </w:rPr>
          <w:fldChar w:fldCharType="begin"/>
        </w:r>
        <w:r w:rsidR="00A42880">
          <w:rPr>
            <w:noProof/>
          </w:rPr>
          <w:instrText xml:space="preserve"> PAGEREF _Toc79755146 \h </w:instrText>
        </w:r>
        <w:r w:rsidR="00A42880">
          <w:rPr>
            <w:noProof/>
          </w:rPr>
        </w:r>
        <w:r w:rsidR="00A42880">
          <w:rPr>
            <w:noProof/>
          </w:rPr>
          <w:fldChar w:fldCharType="separate"/>
        </w:r>
        <w:r w:rsidR="00B24AF7">
          <w:rPr>
            <w:noProof/>
          </w:rPr>
          <w:t>81</w:t>
        </w:r>
        <w:r w:rsidR="00A42880">
          <w:rPr>
            <w:noProof/>
          </w:rPr>
          <w:fldChar w:fldCharType="end"/>
        </w:r>
      </w:hyperlink>
    </w:p>
    <w:p w14:paraId="55581F11" w14:textId="586BA582" w:rsidR="00D21C1F" w:rsidRDefault="00045EC6">
      <w:pPr>
        <w:pStyle w:val="TOC1"/>
        <w:rPr>
          <w:rFonts w:asciiTheme="minorHAnsi" w:eastAsiaTheme="minorEastAsia" w:hAnsiTheme="minorHAnsi" w:cstheme="minorBidi"/>
          <w:noProof/>
          <w:szCs w:val="22"/>
        </w:rPr>
      </w:pPr>
      <w:hyperlink w:anchor="_Toc79755147" w:history="1">
        <w:r w:rsidR="00A42880">
          <w:rPr>
            <w:rStyle w:val="aff2"/>
            <w:rFonts w:ascii="黑体" w:hAnsi="黑体"/>
            <w:noProof/>
          </w:rPr>
          <w:t>第八节</w:t>
        </w:r>
        <w:r w:rsidR="00A42880">
          <w:rPr>
            <w:rFonts w:asciiTheme="minorHAnsi" w:eastAsiaTheme="minorEastAsia" w:hAnsiTheme="minorHAnsi" w:cstheme="minorBidi"/>
            <w:noProof/>
            <w:szCs w:val="22"/>
          </w:rPr>
          <w:tab/>
        </w:r>
        <w:r w:rsidR="00A42880">
          <w:rPr>
            <w:rStyle w:val="aff2"/>
            <w:rFonts w:ascii="黑体" w:hAnsi="黑体"/>
            <w:noProof/>
          </w:rPr>
          <w:t>优先股相关情况</w:t>
        </w:r>
        <w:r w:rsidR="00A42880">
          <w:rPr>
            <w:noProof/>
          </w:rPr>
          <w:tab/>
        </w:r>
        <w:r w:rsidR="00A42880">
          <w:rPr>
            <w:noProof/>
          </w:rPr>
          <w:fldChar w:fldCharType="begin"/>
        </w:r>
        <w:r w:rsidR="00A42880">
          <w:rPr>
            <w:noProof/>
          </w:rPr>
          <w:instrText xml:space="preserve"> PAGEREF _Toc79755147 \h </w:instrText>
        </w:r>
        <w:r w:rsidR="00A42880">
          <w:rPr>
            <w:noProof/>
          </w:rPr>
        </w:r>
        <w:r w:rsidR="00A42880">
          <w:rPr>
            <w:noProof/>
          </w:rPr>
          <w:fldChar w:fldCharType="separate"/>
        </w:r>
        <w:r w:rsidR="00B24AF7">
          <w:rPr>
            <w:noProof/>
          </w:rPr>
          <w:t>87</w:t>
        </w:r>
        <w:r w:rsidR="00A42880">
          <w:rPr>
            <w:noProof/>
          </w:rPr>
          <w:fldChar w:fldCharType="end"/>
        </w:r>
      </w:hyperlink>
    </w:p>
    <w:p w14:paraId="30ACB18F" w14:textId="09932D74" w:rsidR="00D21C1F" w:rsidRDefault="00045EC6">
      <w:pPr>
        <w:pStyle w:val="TOC1"/>
        <w:rPr>
          <w:rFonts w:asciiTheme="minorHAnsi" w:eastAsiaTheme="minorEastAsia" w:hAnsiTheme="minorHAnsi" w:cstheme="minorBidi"/>
          <w:noProof/>
          <w:szCs w:val="22"/>
        </w:rPr>
      </w:pPr>
      <w:hyperlink w:anchor="_Toc79755148" w:history="1">
        <w:r w:rsidR="00A42880">
          <w:rPr>
            <w:rStyle w:val="aff2"/>
            <w:rFonts w:ascii="黑体" w:hAnsi="黑体"/>
            <w:noProof/>
          </w:rPr>
          <w:t>第九节</w:t>
        </w:r>
        <w:r w:rsidR="00A42880">
          <w:rPr>
            <w:rFonts w:asciiTheme="minorHAnsi" w:eastAsiaTheme="minorEastAsia" w:hAnsiTheme="minorHAnsi" w:cstheme="minorBidi"/>
            <w:noProof/>
            <w:szCs w:val="22"/>
          </w:rPr>
          <w:tab/>
        </w:r>
        <w:r w:rsidR="00A42880">
          <w:rPr>
            <w:rStyle w:val="aff2"/>
            <w:rFonts w:ascii="黑体" w:hAnsi="黑体"/>
            <w:noProof/>
          </w:rPr>
          <w:t>债券相关情况</w:t>
        </w:r>
        <w:r w:rsidR="00A42880">
          <w:rPr>
            <w:noProof/>
          </w:rPr>
          <w:tab/>
        </w:r>
        <w:r w:rsidR="00A42880">
          <w:rPr>
            <w:noProof/>
          </w:rPr>
          <w:fldChar w:fldCharType="begin"/>
        </w:r>
        <w:r w:rsidR="00A42880">
          <w:rPr>
            <w:noProof/>
          </w:rPr>
          <w:instrText xml:space="preserve"> PAGEREF _Toc79755148 \h </w:instrText>
        </w:r>
        <w:r w:rsidR="00A42880">
          <w:rPr>
            <w:noProof/>
          </w:rPr>
        </w:r>
        <w:r w:rsidR="00A42880">
          <w:rPr>
            <w:noProof/>
          </w:rPr>
          <w:fldChar w:fldCharType="separate"/>
        </w:r>
        <w:r w:rsidR="00B24AF7">
          <w:rPr>
            <w:noProof/>
          </w:rPr>
          <w:t>87</w:t>
        </w:r>
        <w:r w:rsidR="00A42880">
          <w:rPr>
            <w:noProof/>
          </w:rPr>
          <w:fldChar w:fldCharType="end"/>
        </w:r>
      </w:hyperlink>
    </w:p>
    <w:p w14:paraId="6C248161" w14:textId="025AB10F" w:rsidR="00D21C1F" w:rsidRDefault="00045EC6">
      <w:pPr>
        <w:pStyle w:val="TOC1"/>
        <w:rPr>
          <w:rFonts w:asciiTheme="minorHAnsi" w:eastAsiaTheme="minorEastAsia" w:hAnsiTheme="minorHAnsi" w:cstheme="minorBidi"/>
          <w:noProof/>
          <w:szCs w:val="22"/>
        </w:rPr>
      </w:pPr>
      <w:hyperlink w:anchor="_Toc79755149" w:history="1">
        <w:r w:rsidR="00A42880">
          <w:rPr>
            <w:rStyle w:val="aff2"/>
            <w:rFonts w:ascii="黑体" w:hAnsi="黑体"/>
            <w:noProof/>
          </w:rPr>
          <w:t>第十节</w:t>
        </w:r>
        <w:r w:rsidR="00A42880">
          <w:rPr>
            <w:rFonts w:asciiTheme="minorHAnsi" w:eastAsiaTheme="minorEastAsia" w:hAnsiTheme="minorHAnsi" w:cstheme="minorBidi"/>
            <w:noProof/>
            <w:szCs w:val="22"/>
          </w:rPr>
          <w:tab/>
        </w:r>
        <w:r w:rsidR="00A42880">
          <w:rPr>
            <w:rStyle w:val="aff2"/>
            <w:rFonts w:ascii="黑体" w:hAnsi="黑体"/>
            <w:noProof/>
          </w:rPr>
          <w:t>财务报告</w:t>
        </w:r>
        <w:r w:rsidR="00A42880">
          <w:rPr>
            <w:noProof/>
          </w:rPr>
          <w:tab/>
        </w:r>
        <w:r w:rsidR="00A42880">
          <w:rPr>
            <w:noProof/>
          </w:rPr>
          <w:fldChar w:fldCharType="begin"/>
        </w:r>
        <w:r w:rsidR="00A42880">
          <w:rPr>
            <w:noProof/>
          </w:rPr>
          <w:instrText xml:space="preserve"> PAGEREF _Toc79755149 \h </w:instrText>
        </w:r>
        <w:r w:rsidR="00A42880">
          <w:rPr>
            <w:noProof/>
          </w:rPr>
        </w:r>
        <w:r w:rsidR="00A42880">
          <w:rPr>
            <w:noProof/>
          </w:rPr>
          <w:fldChar w:fldCharType="separate"/>
        </w:r>
        <w:r w:rsidR="00B24AF7">
          <w:rPr>
            <w:noProof/>
          </w:rPr>
          <w:t>88</w:t>
        </w:r>
        <w:r w:rsidR="00A42880">
          <w:rPr>
            <w:noProof/>
          </w:rPr>
          <w:fldChar w:fldCharType="end"/>
        </w:r>
      </w:hyperlink>
    </w:p>
    <w:p w14:paraId="4F845C8D" w14:textId="77777777" w:rsidR="00D21C1F" w:rsidRDefault="00A42880">
      <w:pPr>
        <w:kinsoku w:val="0"/>
        <w:overflowPunct w:val="0"/>
        <w:autoSpaceDE w:val="0"/>
        <w:autoSpaceDN w:val="0"/>
        <w:adjustRightInd w:val="0"/>
        <w:snapToGrid w:val="0"/>
        <w:spacing w:line="480" w:lineRule="auto"/>
        <w:rPr>
          <w:shd w:val="pct10" w:color="auto" w:fill="FFFFFF"/>
        </w:rPr>
      </w:pPr>
      <w:r>
        <w:rPr>
          <w:b/>
          <w:shd w:val="pct10" w:color="auto" w:fill="FFFFFF"/>
        </w:rPr>
        <w:fldChar w:fldCharType="end"/>
      </w:r>
    </w:p>
    <w:bookmarkStart w:id="11" w:name="_Hlk76115473" w:displacedByCustomXml="next"/>
    <w:sdt>
      <w:sdtPr>
        <w:rPr>
          <w:b/>
          <w:bCs/>
          <w:sz w:val="24"/>
        </w:rPr>
        <w:alias w:val="模块:备查文件目录"/>
        <w:tag w:val="_SEC_ef26d90e8ac949ad930d36c731da2798"/>
        <w:id w:val="431935931"/>
        <w:lock w:val="sdtLocked"/>
        <w:placeholder>
          <w:docPart w:val="GBC22222222222222222222222222222"/>
        </w:placeholder>
      </w:sdtPr>
      <w:sdtEndPr>
        <w:rPr>
          <w:b w:val="0"/>
          <w:bCs w:val="0"/>
          <w:sz w:val="21"/>
        </w:rPr>
      </w:sdtEndPr>
      <w:sdtContent>
        <w:p w14:paraId="23DF5FDF" w14:textId="77777777" w:rsidR="00D21C1F" w:rsidRDefault="00D21C1F">
          <w:pPr>
            <w:spacing w:line="360" w:lineRule="exact"/>
            <w:ind w:right="5"/>
            <w:rPr>
              <w:b/>
              <w:bCs/>
              <w:sz w:val="24"/>
            </w:rPr>
          </w:pPr>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547"/>
          </w:tblGrid>
          <w:sdt>
            <w:sdtPr>
              <w:alias w:val="备查文件情况"/>
              <w:tag w:val="_TUP_73075a500b154dca9e589cd56f1cec75"/>
              <w:id w:val="1003244234"/>
              <w:lock w:val="sdtLocked"/>
              <w:placeholder>
                <w:docPart w:val="GBC11111111111111111111111111111"/>
              </w:placeholder>
            </w:sdtPr>
            <w:sdtEndPr/>
            <w:sdtContent>
              <w:tr w:rsidR="00D21C1F" w14:paraId="07A0AB73" w14:textId="7777777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33609dba91e94c189f89be0dc3f017f7"/>
                      <w:id w:val="-2063864035"/>
                      <w:lock w:val="sdtLocked"/>
                    </w:sdtPr>
                    <w:sdtEndPr/>
                    <w:sdtContent>
                      <w:p w14:paraId="4B6DAEE6" w14:textId="77777777" w:rsidR="00D21C1F" w:rsidRDefault="00A42880">
                        <w:pPr>
                          <w:autoSpaceDE w:val="0"/>
                          <w:autoSpaceDN w:val="0"/>
                          <w:adjustRightInd w:val="0"/>
                          <w:jc w:val="center"/>
                        </w:pPr>
                        <w:r>
                          <w:t>备查文件目录</w:t>
                        </w:r>
                      </w:p>
                    </w:sdtContent>
                  </w:sdt>
                </w:tc>
                <w:sdt>
                  <w:sdtPr>
                    <w:alias w:val="备查文件目录"/>
                    <w:tag w:val="_GBC_a5fdb756f9f84699a04e4830bab3b5ae"/>
                    <w:id w:val="-1767758622"/>
                  </w:sdtPr>
                  <w:sdtEndPr/>
                  <w:sdtContent>
                    <w:tc>
                      <w:tcPr>
                        <w:tcW w:w="3710" w:type="pct"/>
                        <w:tcBorders>
                          <w:top w:val="single" w:sz="4" w:space="0" w:color="auto"/>
                          <w:left w:val="single" w:sz="4" w:space="0" w:color="auto"/>
                          <w:bottom w:val="single" w:sz="4" w:space="0" w:color="auto"/>
                          <w:right w:val="single" w:sz="4" w:space="0" w:color="auto"/>
                        </w:tcBorders>
                      </w:tcPr>
                      <w:p w14:paraId="49DB92EF" w14:textId="77777777" w:rsidR="00D21C1F" w:rsidRDefault="00A42880">
                        <w:pPr>
                          <w:autoSpaceDE w:val="0"/>
                          <w:autoSpaceDN w:val="0"/>
                          <w:adjustRightInd w:val="0"/>
                        </w:pPr>
                        <w:r>
                          <w:rPr>
                            <w:rFonts w:hint="eastAsia"/>
                          </w:rPr>
                          <w:t>载有法定代表人、主管会计工作负责人、会计机构负责人签名并盖章的财务报表</w:t>
                        </w:r>
                      </w:p>
                    </w:tc>
                  </w:sdtContent>
                </w:sdt>
              </w:tr>
            </w:sdtContent>
          </w:sdt>
          <w:tr w:rsidR="00D21C1F" w14:paraId="53E909FB"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39DE1F56" w14:textId="77777777" w:rsidR="00D21C1F" w:rsidRDefault="00D21C1F">
                <w:pPr>
                  <w:pStyle w:val="97"/>
                </w:pPr>
              </w:p>
            </w:tc>
            <w:sdt>
              <w:sdtPr>
                <w:alias w:val="备查文件目录"/>
                <w:tag w:val="_GBC_a5fdb756f9f84699a04e4830bab3b5ae"/>
                <w:id w:val="-2081510986"/>
              </w:sdtPr>
              <w:sdtEndPr/>
              <w:sdtContent>
                <w:tc>
                  <w:tcPr>
                    <w:tcW w:w="3710" w:type="pct"/>
                    <w:tcBorders>
                      <w:top w:val="single" w:sz="4" w:space="0" w:color="auto"/>
                      <w:left w:val="single" w:sz="4" w:space="0" w:color="auto"/>
                      <w:bottom w:val="single" w:sz="4" w:space="0" w:color="auto"/>
                      <w:right w:val="single" w:sz="4" w:space="0" w:color="auto"/>
                    </w:tcBorders>
                  </w:tcPr>
                  <w:p w14:paraId="196507CD" w14:textId="77777777" w:rsidR="00D21C1F" w:rsidRDefault="00A42880">
                    <w:pPr>
                      <w:autoSpaceDE w:val="0"/>
                      <w:autoSpaceDN w:val="0"/>
                      <w:adjustRightInd w:val="0"/>
                    </w:pPr>
                    <w:r>
                      <w:rPr>
                        <w:rFonts w:hint="eastAsia"/>
                      </w:rPr>
                      <w:t>报告期内在中国证监会指定报纸上公开披露过的所有公司文件的正本及公告原稿</w:t>
                    </w:r>
                  </w:p>
                </w:tc>
              </w:sdtContent>
            </w:sdt>
          </w:tr>
        </w:tbl>
        <w:p w14:paraId="2E30B91A" w14:textId="77777777" w:rsidR="00D21C1F" w:rsidRDefault="00045EC6">
          <w:pPr>
            <w:spacing w:line="360" w:lineRule="exact"/>
          </w:pPr>
        </w:p>
      </w:sdtContent>
    </w:sdt>
    <w:bookmarkEnd w:id="11"/>
    <w:p w14:paraId="1E39E8E6" w14:textId="77777777" w:rsidR="00D21C1F" w:rsidRDefault="00D21C1F">
      <w:pPr>
        <w:kinsoku w:val="0"/>
        <w:overflowPunct w:val="0"/>
        <w:autoSpaceDE w:val="0"/>
        <w:autoSpaceDN w:val="0"/>
        <w:adjustRightInd w:val="0"/>
        <w:snapToGrid w:val="0"/>
        <w:spacing w:line="360" w:lineRule="exact"/>
        <w:rPr>
          <w:szCs w:val="21"/>
          <w:shd w:val="pct10" w:color="auto" w:fill="FFFFFF"/>
        </w:rPr>
      </w:pPr>
    </w:p>
    <w:p w14:paraId="2EA879DA" w14:textId="77777777" w:rsidR="00D21C1F" w:rsidRDefault="00A42880">
      <w:pPr>
        <w:rPr>
          <w:szCs w:val="21"/>
        </w:rPr>
      </w:pPr>
      <w:r>
        <w:rPr>
          <w:szCs w:val="21"/>
        </w:rPr>
        <w:br w:type="page"/>
      </w:r>
    </w:p>
    <w:p w14:paraId="10575FD0" w14:textId="77777777" w:rsidR="00D21C1F" w:rsidRDefault="00A42880">
      <w:pPr>
        <w:pStyle w:val="10"/>
        <w:numPr>
          <w:ilvl w:val="0"/>
          <w:numId w:val="3"/>
        </w:numPr>
        <w:rPr>
          <w:rFonts w:ascii="黑体" w:hAnsi="黑体"/>
        </w:rPr>
      </w:pPr>
      <w:bookmarkStart w:id="12" w:name="_Toc79755140"/>
      <w:bookmarkStart w:id="13" w:name="_Toc342565880"/>
      <w:r>
        <w:rPr>
          <w:rFonts w:ascii="黑体" w:hAnsi="黑体" w:hint="eastAsia"/>
        </w:rPr>
        <w:lastRenderedPageBreak/>
        <w:t>释义</w:t>
      </w:r>
      <w:bookmarkEnd w:id="12"/>
    </w:p>
    <w:sdt>
      <w:sdtPr>
        <w:rPr>
          <w:rFonts w:eastAsiaTheme="minorEastAsia"/>
          <w:b/>
          <w:bCs/>
          <w:sz w:val="24"/>
          <w:szCs w:val="22"/>
        </w:rPr>
        <w:alias w:val="模块:释义"/>
        <w:tag w:val="_GBC_5d2d156d1e654b289921f6ca279d0332"/>
        <w:id w:val="-780490052"/>
        <w:lock w:val="sdtLocked"/>
        <w:placeholder>
          <w:docPart w:val="GBC22222222222222222222222222222"/>
        </w:placeholder>
      </w:sdtPr>
      <w:sdtEndPr>
        <w:rPr>
          <w:b w:val="0"/>
          <w:bCs w:val="0"/>
          <w:sz w:val="21"/>
          <w:szCs w:val="24"/>
        </w:rPr>
      </w:sdtEndPr>
      <w:sdtContent>
        <w:p w14:paraId="03036A36" w14:textId="77777777" w:rsidR="00D21C1F" w:rsidRDefault="00A42880">
          <w:pPr>
            <w:jc w:val="both"/>
            <w:rPr>
              <w:szCs w:val="21"/>
            </w:rPr>
          </w:pPr>
          <w:r>
            <w:rPr>
              <w:szCs w:val="21"/>
            </w:rPr>
            <w:t>在本报告书中，除非文义另有所指，下列词语具有如下含义：</w:t>
          </w:r>
        </w:p>
        <w:tbl>
          <w:tblPr>
            <w:tblStyle w:val="aff0"/>
            <w:tblW w:w="0" w:type="auto"/>
            <w:tblLook w:val="04A0" w:firstRow="1" w:lastRow="0" w:firstColumn="1" w:lastColumn="0" w:noHBand="0" w:noVBand="1"/>
          </w:tblPr>
          <w:tblGrid>
            <w:gridCol w:w="1761"/>
            <w:gridCol w:w="691"/>
            <w:gridCol w:w="6371"/>
          </w:tblGrid>
          <w:tr w:rsidR="00D21C1F" w14:paraId="7E4EFECE" w14:textId="77777777">
            <w:sdt>
              <w:sdtPr>
                <w:rPr>
                  <w:rFonts w:ascii="Times New Roman" w:hAnsi="Times New Roman"/>
                  <w:szCs w:val="21"/>
                </w:rPr>
                <w:tag w:val="_PLD_d73bff14187b49a1b1c86b56316c5e47"/>
                <w:id w:val="1708906823"/>
                <w:lock w:val="sdtLocked"/>
              </w:sdtPr>
              <w:sdtEndPr/>
              <w:sdtContent>
                <w:tc>
                  <w:tcPr>
                    <w:tcW w:w="9048" w:type="dxa"/>
                    <w:gridSpan w:val="3"/>
                  </w:tcPr>
                  <w:p w14:paraId="350E3D36" w14:textId="77777777" w:rsidR="00D21C1F" w:rsidRDefault="00A42880">
                    <w:pPr>
                      <w:rPr>
                        <w:szCs w:val="21"/>
                      </w:rPr>
                    </w:pPr>
                    <w:r>
                      <w:rPr>
                        <w:szCs w:val="21"/>
                      </w:rPr>
                      <w:t>常用词语释义</w:t>
                    </w:r>
                  </w:p>
                </w:tc>
              </w:sdtContent>
            </w:sdt>
          </w:tr>
          <w:sdt>
            <w:sdtPr>
              <w:rPr>
                <w:rFonts w:ascii="Times New Roman" w:hAnsi="Times New Roman" w:cs="Times New Roman"/>
                <w:kern w:val="2"/>
                <w:szCs w:val="21"/>
              </w:rPr>
              <w:alias w:val="释义"/>
              <w:tag w:val="_GBC_ca5c2cb7a4e545e2b2d9d1b94b528746"/>
              <w:id w:val="-1910367450"/>
              <w:placeholder>
                <w:docPart w:val="3CFB5CE425494A0B845369A112A16B3A"/>
              </w:placeholder>
            </w:sdtPr>
            <w:sdtEndPr/>
            <w:sdtContent>
              <w:tr w:rsidR="00D21C1F" w14:paraId="7A5BBA74" w14:textId="77777777">
                <w:tc>
                  <w:tcPr>
                    <w:tcW w:w="1809" w:type="dxa"/>
                  </w:tcPr>
                  <w:p w14:paraId="379232E7" w14:textId="77777777" w:rsidR="00D21C1F" w:rsidRDefault="00A42880">
                    <w:pPr>
                      <w:rPr>
                        <w:rFonts w:ascii="Times New Roman" w:hAnsi="Times New Roman" w:cs="Times New Roman"/>
                        <w:szCs w:val="21"/>
                      </w:rPr>
                    </w:pPr>
                    <w:r>
                      <w:rPr>
                        <w:rFonts w:ascii="Times New Roman" w:hAnsi="Times New Roman" w:cs="Times New Roman"/>
                        <w:kern w:val="2"/>
                        <w:szCs w:val="21"/>
                      </w:rPr>
                      <w:t>埃夫特、公司、发行人</w:t>
                    </w:r>
                  </w:p>
                </w:tc>
                <w:tc>
                  <w:tcPr>
                    <w:tcW w:w="709" w:type="dxa"/>
                  </w:tcPr>
                  <w:sdt>
                    <w:sdtPr>
                      <w:rPr>
                        <w:rFonts w:ascii="Times New Roman" w:hAnsi="Times New Roman" w:cs="Times New Roman"/>
                        <w:szCs w:val="21"/>
                      </w:rPr>
                      <w:tag w:val="_PLD_289cf7e5c3a845d59c038a21dcd4a571"/>
                      <w:id w:val="-455718060"/>
                      <w:lock w:val="sdtLocked"/>
                    </w:sdtPr>
                    <w:sdtEndPr/>
                    <w:sdtContent>
                      <w:p w14:paraId="7EB78A60"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6244897F"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561760720"/>
                        <w:lock w:val="sdtLocked"/>
                      </w:sdtPr>
                      <w:sdtEndPr/>
                      <w:sdtContent>
                        <w:r w:rsidR="00A42880">
                          <w:rPr>
                            <w:rFonts w:ascii="Times New Roman" w:hAnsi="Times New Roman" w:cs="Times New Roman"/>
                            <w:szCs w:val="21"/>
                          </w:rPr>
                          <w:t>埃夫特智能装备股份有限公司</w:t>
                        </w:r>
                      </w:sdtContent>
                    </w:sdt>
                  </w:p>
                </w:tc>
              </w:tr>
            </w:sdtContent>
          </w:sdt>
          <w:sdt>
            <w:sdtPr>
              <w:rPr>
                <w:rFonts w:ascii="Times New Roman" w:hAnsi="Times New Roman" w:cs="Times New Roman"/>
                <w:kern w:val="2"/>
                <w:szCs w:val="21"/>
              </w:rPr>
              <w:alias w:val="释义"/>
              <w:tag w:val="_GBC_ca5c2cb7a4e545e2b2d9d1b94b528746"/>
              <w:id w:val="-1994636493"/>
              <w:placeholder>
                <w:docPart w:val="3CFB5CE425494A0B845369A112A16B3A"/>
              </w:placeholder>
            </w:sdtPr>
            <w:sdtEndPr/>
            <w:sdtContent>
              <w:tr w:rsidR="00D21C1F" w14:paraId="497DC685" w14:textId="77777777">
                <w:tc>
                  <w:tcPr>
                    <w:tcW w:w="1809" w:type="dxa"/>
                  </w:tcPr>
                  <w:p w14:paraId="2C0CF4DE" w14:textId="77777777" w:rsidR="00D21C1F" w:rsidRDefault="00A42880">
                    <w:pPr>
                      <w:rPr>
                        <w:rFonts w:ascii="Times New Roman" w:hAnsi="Times New Roman" w:cs="Times New Roman"/>
                        <w:szCs w:val="21"/>
                      </w:rPr>
                    </w:pPr>
                    <w:r>
                      <w:rPr>
                        <w:rFonts w:ascii="Times New Roman" w:hAnsi="Times New Roman" w:cs="Times New Roman"/>
                        <w:kern w:val="2"/>
                        <w:szCs w:val="21"/>
                      </w:rPr>
                      <w:t>国信资本</w:t>
                    </w:r>
                  </w:p>
                </w:tc>
                <w:tc>
                  <w:tcPr>
                    <w:tcW w:w="709" w:type="dxa"/>
                  </w:tcPr>
                  <w:sdt>
                    <w:sdtPr>
                      <w:rPr>
                        <w:rFonts w:ascii="Times New Roman" w:hAnsi="Times New Roman" w:cs="Times New Roman"/>
                        <w:szCs w:val="21"/>
                      </w:rPr>
                      <w:tag w:val="_PLD_289cf7e5c3a845d59c038a21dcd4a571"/>
                      <w:id w:val="-706180812"/>
                      <w:lock w:val="sdtLocked"/>
                    </w:sdtPr>
                    <w:sdtEndPr/>
                    <w:sdtContent>
                      <w:p w14:paraId="081AC4E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545058680"/>
                    <w:lock w:val="sdtLocked"/>
                  </w:sdtPr>
                  <w:sdtEndPr/>
                  <w:sdtContent>
                    <w:tc>
                      <w:tcPr>
                        <w:tcW w:w="6530" w:type="dxa"/>
                      </w:tcPr>
                      <w:p w14:paraId="060002F3" w14:textId="77777777" w:rsidR="00D21C1F" w:rsidRDefault="00A42880">
                        <w:pPr>
                          <w:rPr>
                            <w:rFonts w:ascii="Times New Roman" w:hAnsi="Times New Roman" w:cs="Times New Roman"/>
                            <w:szCs w:val="21"/>
                          </w:rPr>
                        </w:pPr>
                        <w:r>
                          <w:rPr>
                            <w:rFonts w:ascii="Times New Roman" w:hAnsi="Times New Roman" w:cs="Times New Roman"/>
                            <w:szCs w:val="21"/>
                          </w:rPr>
                          <w:t>国信资本有限责任公司，系公司的股东</w:t>
                        </w:r>
                      </w:p>
                    </w:tc>
                  </w:sdtContent>
                </w:sdt>
              </w:tr>
            </w:sdtContent>
          </w:sdt>
          <w:sdt>
            <w:sdtPr>
              <w:rPr>
                <w:rFonts w:ascii="Times New Roman" w:hAnsi="Times New Roman" w:cs="Times New Roman"/>
                <w:kern w:val="2"/>
                <w:szCs w:val="21"/>
              </w:rPr>
              <w:alias w:val="释义"/>
              <w:tag w:val="_GBC_ca5c2cb7a4e545e2b2d9d1b94b528746"/>
              <w:id w:val="-916245276"/>
              <w:placeholder>
                <w:docPart w:val="3CFB5CE425494A0B845369A112A16B3A"/>
              </w:placeholder>
            </w:sdtPr>
            <w:sdtEndPr/>
            <w:sdtContent>
              <w:tr w:rsidR="00D21C1F" w14:paraId="3E017B44" w14:textId="77777777">
                <w:tc>
                  <w:tcPr>
                    <w:tcW w:w="1809" w:type="dxa"/>
                  </w:tcPr>
                  <w:p w14:paraId="7935B687" w14:textId="77777777" w:rsidR="00D21C1F" w:rsidRDefault="00A42880">
                    <w:pPr>
                      <w:rPr>
                        <w:rFonts w:ascii="Times New Roman" w:hAnsi="Times New Roman" w:cs="Times New Roman"/>
                        <w:szCs w:val="21"/>
                      </w:rPr>
                    </w:pPr>
                    <w:r>
                      <w:rPr>
                        <w:rFonts w:ascii="Times New Roman" w:hAnsi="Times New Roman" w:cs="Times New Roman"/>
                        <w:kern w:val="2"/>
                        <w:szCs w:val="21"/>
                      </w:rPr>
                      <w:t>芜湖市国资委</w:t>
                    </w:r>
                  </w:p>
                </w:tc>
                <w:tc>
                  <w:tcPr>
                    <w:tcW w:w="709" w:type="dxa"/>
                  </w:tcPr>
                  <w:sdt>
                    <w:sdtPr>
                      <w:rPr>
                        <w:rFonts w:ascii="Times New Roman" w:hAnsi="Times New Roman" w:cs="Times New Roman"/>
                        <w:szCs w:val="21"/>
                      </w:rPr>
                      <w:tag w:val="_PLD_289cf7e5c3a845d59c038a21dcd4a571"/>
                      <w:id w:val="1622577110"/>
                      <w:lock w:val="sdtLocked"/>
                    </w:sdtPr>
                    <w:sdtEndPr/>
                    <w:sdtContent>
                      <w:p w14:paraId="1CA84D8F"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619103878"/>
                    <w:lock w:val="sdtLocked"/>
                  </w:sdtPr>
                  <w:sdtEndPr/>
                  <w:sdtContent>
                    <w:tc>
                      <w:tcPr>
                        <w:tcW w:w="6530" w:type="dxa"/>
                      </w:tcPr>
                      <w:p w14:paraId="7FB42BCE" w14:textId="77777777" w:rsidR="00D21C1F" w:rsidRDefault="00A42880">
                        <w:pPr>
                          <w:rPr>
                            <w:rFonts w:ascii="Times New Roman" w:hAnsi="Times New Roman" w:cs="Times New Roman"/>
                            <w:szCs w:val="21"/>
                          </w:rPr>
                        </w:pPr>
                        <w:r>
                          <w:rPr>
                            <w:rFonts w:ascii="Times New Roman" w:hAnsi="Times New Roman" w:cs="Times New Roman"/>
                            <w:szCs w:val="21"/>
                          </w:rPr>
                          <w:t>芜湖市国有资产监督管理委员会，系公司的实际控制人</w:t>
                        </w:r>
                      </w:p>
                    </w:tc>
                  </w:sdtContent>
                </w:sdt>
              </w:tr>
            </w:sdtContent>
          </w:sdt>
          <w:sdt>
            <w:sdtPr>
              <w:rPr>
                <w:rFonts w:ascii="Times New Roman" w:hAnsi="Times New Roman" w:cs="Times New Roman"/>
                <w:kern w:val="2"/>
                <w:szCs w:val="21"/>
              </w:rPr>
              <w:alias w:val="释义"/>
              <w:tag w:val="_GBC_ca5c2cb7a4e545e2b2d9d1b94b528746"/>
              <w:id w:val="1866170433"/>
              <w:placeholder>
                <w:docPart w:val="3CFB5CE425494A0B845369A112A16B3A"/>
              </w:placeholder>
            </w:sdtPr>
            <w:sdtEndPr/>
            <w:sdtContent>
              <w:tr w:rsidR="00D21C1F" w14:paraId="20DBBA9E" w14:textId="77777777">
                <w:tc>
                  <w:tcPr>
                    <w:tcW w:w="1809" w:type="dxa"/>
                  </w:tcPr>
                  <w:p w14:paraId="59E2BC3D" w14:textId="77777777" w:rsidR="00D21C1F" w:rsidRDefault="00A42880">
                    <w:pPr>
                      <w:rPr>
                        <w:rFonts w:ascii="Times New Roman" w:hAnsi="Times New Roman" w:cs="Times New Roman"/>
                        <w:szCs w:val="21"/>
                      </w:rPr>
                    </w:pPr>
                    <w:r>
                      <w:rPr>
                        <w:rFonts w:ascii="Times New Roman" w:hAnsi="Times New Roman" w:cs="Times New Roman"/>
                        <w:kern w:val="2"/>
                        <w:szCs w:val="21"/>
                      </w:rPr>
                      <w:t>芜湖远宏</w:t>
                    </w:r>
                  </w:p>
                </w:tc>
                <w:tc>
                  <w:tcPr>
                    <w:tcW w:w="709" w:type="dxa"/>
                  </w:tcPr>
                  <w:sdt>
                    <w:sdtPr>
                      <w:rPr>
                        <w:rFonts w:ascii="Times New Roman" w:hAnsi="Times New Roman" w:cs="Times New Roman"/>
                        <w:szCs w:val="21"/>
                      </w:rPr>
                      <w:tag w:val="_PLD_289cf7e5c3a845d59c038a21dcd4a571"/>
                      <w:id w:val="1326312404"/>
                      <w:lock w:val="sdtLocked"/>
                    </w:sdtPr>
                    <w:sdtEndPr/>
                    <w:sdtContent>
                      <w:p w14:paraId="6A5C5683"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848780876"/>
                    <w:lock w:val="sdtLocked"/>
                  </w:sdtPr>
                  <w:sdtEndPr/>
                  <w:sdtContent>
                    <w:tc>
                      <w:tcPr>
                        <w:tcW w:w="6530" w:type="dxa"/>
                      </w:tcPr>
                      <w:p w14:paraId="736FBE12" w14:textId="77777777" w:rsidR="00D21C1F" w:rsidRDefault="00A42880">
                        <w:pPr>
                          <w:rPr>
                            <w:rFonts w:ascii="Times New Roman" w:hAnsi="Times New Roman" w:cs="Times New Roman"/>
                            <w:szCs w:val="21"/>
                          </w:rPr>
                        </w:pPr>
                        <w:r>
                          <w:rPr>
                            <w:rFonts w:ascii="Times New Roman" w:hAnsi="Times New Roman" w:cs="Times New Roman"/>
                            <w:szCs w:val="21"/>
                          </w:rPr>
                          <w:t>芜湖远宏工业机器人投资有限公司，系公司的股东</w:t>
                        </w:r>
                      </w:p>
                    </w:tc>
                  </w:sdtContent>
                </w:sdt>
              </w:tr>
            </w:sdtContent>
          </w:sdt>
          <w:sdt>
            <w:sdtPr>
              <w:rPr>
                <w:rFonts w:ascii="Times New Roman" w:hAnsi="Times New Roman" w:cs="Times New Roman"/>
                <w:kern w:val="2"/>
                <w:szCs w:val="21"/>
              </w:rPr>
              <w:alias w:val="释义"/>
              <w:tag w:val="_GBC_ca5c2cb7a4e545e2b2d9d1b94b528746"/>
              <w:id w:val="253561789"/>
              <w:placeholder>
                <w:docPart w:val="3CFB5CE425494A0B845369A112A16B3A"/>
              </w:placeholder>
            </w:sdtPr>
            <w:sdtEndPr/>
            <w:sdtContent>
              <w:tr w:rsidR="00D21C1F" w14:paraId="477F9C0A" w14:textId="77777777">
                <w:tc>
                  <w:tcPr>
                    <w:tcW w:w="1809" w:type="dxa"/>
                  </w:tcPr>
                  <w:p w14:paraId="2892FF77" w14:textId="77777777" w:rsidR="00D21C1F" w:rsidRDefault="00A42880">
                    <w:pPr>
                      <w:rPr>
                        <w:rFonts w:ascii="Times New Roman" w:hAnsi="Times New Roman" w:cs="Times New Roman"/>
                        <w:szCs w:val="21"/>
                      </w:rPr>
                    </w:pPr>
                    <w:r>
                      <w:rPr>
                        <w:rFonts w:ascii="Times New Roman" w:hAnsi="Times New Roman" w:cs="Times New Roman"/>
                        <w:kern w:val="2"/>
                        <w:szCs w:val="21"/>
                      </w:rPr>
                      <w:t>芜湖建投</w:t>
                    </w:r>
                  </w:p>
                </w:tc>
                <w:tc>
                  <w:tcPr>
                    <w:tcW w:w="709" w:type="dxa"/>
                  </w:tcPr>
                  <w:sdt>
                    <w:sdtPr>
                      <w:rPr>
                        <w:rFonts w:ascii="Times New Roman" w:hAnsi="Times New Roman" w:cs="Times New Roman"/>
                        <w:szCs w:val="21"/>
                      </w:rPr>
                      <w:tag w:val="_PLD_289cf7e5c3a845d59c038a21dcd4a571"/>
                      <w:id w:val="-1991472207"/>
                      <w:lock w:val="sdtLocked"/>
                    </w:sdtPr>
                    <w:sdtEndPr/>
                    <w:sdtContent>
                      <w:p w14:paraId="2A5F375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851139657"/>
                    <w:lock w:val="sdtLocked"/>
                  </w:sdtPr>
                  <w:sdtEndPr/>
                  <w:sdtContent>
                    <w:tc>
                      <w:tcPr>
                        <w:tcW w:w="6530" w:type="dxa"/>
                      </w:tcPr>
                      <w:p w14:paraId="21DA1C62" w14:textId="77777777" w:rsidR="00D21C1F" w:rsidRDefault="00A42880">
                        <w:pPr>
                          <w:rPr>
                            <w:rFonts w:ascii="Times New Roman" w:hAnsi="Times New Roman" w:cs="Times New Roman"/>
                            <w:szCs w:val="21"/>
                          </w:rPr>
                        </w:pPr>
                        <w:r>
                          <w:rPr>
                            <w:rFonts w:ascii="Times New Roman" w:hAnsi="Times New Roman" w:cs="Times New Roman"/>
                            <w:szCs w:val="21"/>
                          </w:rPr>
                          <w:t>芜湖市建设投资有限公司，系公司的间接控股股东</w:t>
                        </w:r>
                      </w:p>
                    </w:tc>
                  </w:sdtContent>
                </w:sdt>
              </w:tr>
            </w:sdtContent>
          </w:sdt>
          <w:sdt>
            <w:sdtPr>
              <w:rPr>
                <w:rFonts w:ascii="Times New Roman" w:hAnsi="Times New Roman" w:cs="Times New Roman"/>
                <w:kern w:val="2"/>
                <w:szCs w:val="21"/>
              </w:rPr>
              <w:alias w:val="释义"/>
              <w:tag w:val="_GBC_ca5c2cb7a4e545e2b2d9d1b94b528746"/>
              <w:id w:val="-135181795"/>
              <w:placeholder>
                <w:docPart w:val="3CFB5CE425494A0B845369A112A16B3A"/>
              </w:placeholder>
            </w:sdtPr>
            <w:sdtEndPr/>
            <w:sdtContent>
              <w:tr w:rsidR="00D21C1F" w14:paraId="193AB4DD" w14:textId="77777777">
                <w:tc>
                  <w:tcPr>
                    <w:tcW w:w="1809" w:type="dxa"/>
                  </w:tcPr>
                  <w:p w14:paraId="05920D91" w14:textId="77777777" w:rsidR="00D21C1F" w:rsidRDefault="00A42880">
                    <w:pPr>
                      <w:rPr>
                        <w:rFonts w:ascii="Times New Roman" w:hAnsi="Times New Roman" w:cs="Times New Roman"/>
                        <w:szCs w:val="21"/>
                      </w:rPr>
                    </w:pPr>
                    <w:r>
                      <w:rPr>
                        <w:rFonts w:ascii="Times New Roman" w:hAnsi="Times New Roman" w:cs="Times New Roman"/>
                        <w:kern w:val="2"/>
                        <w:szCs w:val="21"/>
                      </w:rPr>
                      <w:t>远大创投</w:t>
                    </w:r>
                  </w:p>
                </w:tc>
                <w:tc>
                  <w:tcPr>
                    <w:tcW w:w="709" w:type="dxa"/>
                  </w:tcPr>
                  <w:sdt>
                    <w:sdtPr>
                      <w:rPr>
                        <w:rFonts w:ascii="Times New Roman" w:hAnsi="Times New Roman" w:cs="Times New Roman"/>
                        <w:szCs w:val="21"/>
                      </w:rPr>
                      <w:tag w:val="_PLD_289cf7e5c3a845d59c038a21dcd4a571"/>
                      <w:id w:val="-1810632784"/>
                      <w:lock w:val="sdtLocked"/>
                    </w:sdtPr>
                    <w:sdtEndPr/>
                    <w:sdtContent>
                      <w:p w14:paraId="4F1F36A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665237438"/>
                    <w:lock w:val="sdtLocked"/>
                  </w:sdtPr>
                  <w:sdtEndPr/>
                  <w:sdtContent>
                    <w:tc>
                      <w:tcPr>
                        <w:tcW w:w="6530" w:type="dxa"/>
                      </w:tcPr>
                      <w:p w14:paraId="7B80DA11" w14:textId="77777777" w:rsidR="00D21C1F" w:rsidRDefault="00A42880">
                        <w:pPr>
                          <w:rPr>
                            <w:rFonts w:ascii="Times New Roman" w:hAnsi="Times New Roman" w:cs="Times New Roman"/>
                            <w:szCs w:val="21"/>
                          </w:rPr>
                        </w:pPr>
                        <w:r>
                          <w:rPr>
                            <w:rFonts w:ascii="Times New Roman" w:hAnsi="Times New Roman" w:cs="Times New Roman"/>
                            <w:szCs w:val="21"/>
                          </w:rPr>
                          <w:t>芜湖远大创业投资有限公司，系公司的间接控股股东</w:t>
                        </w:r>
                      </w:p>
                    </w:tc>
                  </w:sdtContent>
                </w:sdt>
              </w:tr>
            </w:sdtContent>
          </w:sdt>
          <w:sdt>
            <w:sdtPr>
              <w:rPr>
                <w:rFonts w:ascii="Times New Roman" w:hAnsi="Times New Roman" w:cs="Times New Roman"/>
                <w:kern w:val="2"/>
                <w:szCs w:val="21"/>
              </w:rPr>
              <w:alias w:val="释义"/>
              <w:tag w:val="_GBC_ca5c2cb7a4e545e2b2d9d1b94b528746"/>
              <w:id w:val="731668144"/>
              <w:placeholder>
                <w:docPart w:val="3CFB5CE425494A0B845369A112A16B3A"/>
              </w:placeholder>
            </w:sdtPr>
            <w:sdtEndPr/>
            <w:sdtContent>
              <w:tr w:rsidR="00D21C1F" w14:paraId="26BDAAC5" w14:textId="77777777">
                <w:tc>
                  <w:tcPr>
                    <w:tcW w:w="1809" w:type="dxa"/>
                  </w:tcPr>
                  <w:p w14:paraId="7C395155" w14:textId="77777777" w:rsidR="00D21C1F" w:rsidRDefault="00A42880">
                    <w:pPr>
                      <w:rPr>
                        <w:rFonts w:ascii="Times New Roman" w:hAnsi="Times New Roman" w:cs="Times New Roman"/>
                        <w:szCs w:val="21"/>
                      </w:rPr>
                    </w:pPr>
                    <w:r>
                      <w:rPr>
                        <w:rFonts w:ascii="Times New Roman" w:hAnsi="Times New Roman" w:cs="Times New Roman"/>
                        <w:kern w:val="2"/>
                        <w:szCs w:val="21"/>
                      </w:rPr>
                      <w:t>睿博投资</w:t>
                    </w:r>
                  </w:p>
                </w:tc>
                <w:tc>
                  <w:tcPr>
                    <w:tcW w:w="709" w:type="dxa"/>
                  </w:tcPr>
                  <w:sdt>
                    <w:sdtPr>
                      <w:rPr>
                        <w:rFonts w:ascii="Times New Roman" w:hAnsi="Times New Roman" w:cs="Times New Roman"/>
                        <w:szCs w:val="21"/>
                      </w:rPr>
                      <w:tag w:val="_PLD_289cf7e5c3a845d59c038a21dcd4a571"/>
                      <w:id w:val="-1957933206"/>
                      <w:lock w:val="sdtLocked"/>
                    </w:sdtPr>
                    <w:sdtEndPr/>
                    <w:sdtContent>
                      <w:p w14:paraId="3DF21BE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655990604"/>
                    <w:lock w:val="sdtLocked"/>
                  </w:sdtPr>
                  <w:sdtEndPr/>
                  <w:sdtContent>
                    <w:tc>
                      <w:tcPr>
                        <w:tcW w:w="6530" w:type="dxa"/>
                      </w:tcPr>
                      <w:p w14:paraId="0C25F1E6" w14:textId="77777777" w:rsidR="00D21C1F" w:rsidRDefault="00A42880">
                        <w:pPr>
                          <w:rPr>
                            <w:rFonts w:ascii="Times New Roman" w:hAnsi="Times New Roman" w:cs="Times New Roman"/>
                            <w:szCs w:val="21"/>
                          </w:rPr>
                        </w:pPr>
                        <w:r>
                          <w:rPr>
                            <w:rFonts w:ascii="Times New Roman" w:hAnsi="Times New Roman" w:cs="Times New Roman"/>
                            <w:szCs w:val="21"/>
                          </w:rPr>
                          <w:t>芜湖睿博投资管理中心（有限合伙），公司员工持股平台，系公司的股东</w:t>
                        </w:r>
                      </w:p>
                    </w:tc>
                  </w:sdtContent>
                </w:sdt>
              </w:tr>
            </w:sdtContent>
          </w:sdt>
          <w:sdt>
            <w:sdtPr>
              <w:rPr>
                <w:rFonts w:ascii="Times New Roman" w:hAnsi="Times New Roman" w:cs="Times New Roman"/>
                <w:kern w:val="2"/>
                <w:szCs w:val="21"/>
              </w:rPr>
              <w:alias w:val="释义"/>
              <w:tag w:val="_GBC_ca5c2cb7a4e545e2b2d9d1b94b528746"/>
              <w:id w:val="855389896"/>
              <w:placeholder>
                <w:docPart w:val="3CFB5CE425494A0B845369A112A16B3A"/>
              </w:placeholder>
            </w:sdtPr>
            <w:sdtEndPr/>
            <w:sdtContent>
              <w:tr w:rsidR="00D21C1F" w14:paraId="460DDCEB" w14:textId="77777777">
                <w:tc>
                  <w:tcPr>
                    <w:tcW w:w="1809" w:type="dxa"/>
                  </w:tcPr>
                  <w:p w14:paraId="554D1378" w14:textId="77777777" w:rsidR="00D21C1F" w:rsidRDefault="00A42880">
                    <w:pPr>
                      <w:rPr>
                        <w:rFonts w:ascii="Times New Roman" w:hAnsi="Times New Roman" w:cs="Times New Roman"/>
                        <w:szCs w:val="21"/>
                      </w:rPr>
                    </w:pPr>
                    <w:r>
                      <w:rPr>
                        <w:rFonts w:ascii="Times New Roman" w:hAnsi="Times New Roman" w:cs="Times New Roman"/>
                        <w:kern w:val="2"/>
                        <w:szCs w:val="21"/>
                      </w:rPr>
                      <w:t>睿泽投资</w:t>
                    </w:r>
                  </w:p>
                </w:tc>
                <w:tc>
                  <w:tcPr>
                    <w:tcW w:w="709" w:type="dxa"/>
                  </w:tcPr>
                  <w:sdt>
                    <w:sdtPr>
                      <w:rPr>
                        <w:rFonts w:ascii="Times New Roman" w:hAnsi="Times New Roman" w:cs="Times New Roman"/>
                        <w:szCs w:val="21"/>
                      </w:rPr>
                      <w:tag w:val="_PLD_289cf7e5c3a845d59c038a21dcd4a571"/>
                      <w:id w:val="-708575326"/>
                      <w:lock w:val="sdtLocked"/>
                    </w:sdtPr>
                    <w:sdtEndPr/>
                    <w:sdtContent>
                      <w:p w14:paraId="08F0BC83"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759331189"/>
                    <w:lock w:val="sdtLocked"/>
                  </w:sdtPr>
                  <w:sdtEndPr/>
                  <w:sdtContent>
                    <w:tc>
                      <w:tcPr>
                        <w:tcW w:w="6530" w:type="dxa"/>
                      </w:tcPr>
                      <w:p w14:paraId="167C9FDF" w14:textId="77777777" w:rsidR="00D21C1F" w:rsidRDefault="00A42880">
                        <w:pPr>
                          <w:rPr>
                            <w:rFonts w:ascii="Times New Roman" w:hAnsi="Times New Roman" w:cs="Times New Roman"/>
                            <w:szCs w:val="21"/>
                          </w:rPr>
                        </w:pPr>
                        <w:r>
                          <w:rPr>
                            <w:rFonts w:ascii="Times New Roman" w:hAnsi="Times New Roman" w:cs="Times New Roman"/>
                            <w:szCs w:val="21"/>
                          </w:rPr>
                          <w:t>芜湖睿泽投资管理中心（有限合伙），公司员工持股平台，系睿博投资的有限合伙人</w:t>
                        </w:r>
                      </w:p>
                    </w:tc>
                  </w:sdtContent>
                </w:sdt>
              </w:tr>
            </w:sdtContent>
          </w:sdt>
          <w:sdt>
            <w:sdtPr>
              <w:rPr>
                <w:rFonts w:ascii="Times New Roman" w:hAnsi="Times New Roman" w:cs="Times New Roman"/>
                <w:kern w:val="2"/>
                <w:szCs w:val="21"/>
              </w:rPr>
              <w:alias w:val="释义"/>
              <w:tag w:val="_GBC_ca5c2cb7a4e545e2b2d9d1b94b528746"/>
              <w:id w:val="-124771033"/>
              <w:placeholder>
                <w:docPart w:val="3CFB5CE425494A0B845369A112A16B3A"/>
              </w:placeholder>
            </w:sdtPr>
            <w:sdtEndPr/>
            <w:sdtContent>
              <w:tr w:rsidR="00D21C1F" w14:paraId="792F5F50" w14:textId="77777777">
                <w:tc>
                  <w:tcPr>
                    <w:tcW w:w="1809" w:type="dxa"/>
                  </w:tcPr>
                  <w:p w14:paraId="1CE0F1F9" w14:textId="77777777" w:rsidR="00D21C1F" w:rsidRDefault="00A42880">
                    <w:pPr>
                      <w:rPr>
                        <w:rFonts w:ascii="Times New Roman" w:hAnsi="Times New Roman" w:cs="Times New Roman"/>
                        <w:szCs w:val="21"/>
                      </w:rPr>
                    </w:pPr>
                    <w:r>
                      <w:rPr>
                        <w:rFonts w:ascii="Times New Roman" w:hAnsi="Times New Roman" w:cs="Times New Roman"/>
                        <w:kern w:val="2"/>
                        <w:szCs w:val="21"/>
                      </w:rPr>
                      <w:t>睿埃咨询</w:t>
                    </w:r>
                  </w:p>
                </w:tc>
                <w:tc>
                  <w:tcPr>
                    <w:tcW w:w="709" w:type="dxa"/>
                  </w:tcPr>
                  <w:sdt>
                    <w:sdtPr>
                      <w:rPr>
                        <w:rFonts w:ascii="Times New Roman" w:hAnsi="Times New Roman" w:cs="Times New Roman"/>
                        <w:szCs w:val="21"/>
                      </w:rPr>
                      <w:tag w:val="_PLD_289cf7e5c3a845d59c038a21dcd4a571"/>
                      <w:id w:val="-599642010"/>
                      <w:lock w:val="sdtLocked"/>
                    </w:sdtPr>
                    <w:sdtEndPr/>
                    <w:sdtContent>
                      <w:p w14:paraId="7CAFA5AF"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75211648"/>
                    <w:lock w:val="sdtLocked"/>
                  </w:sdtPr>
                  <w:sdtEndPr/>
                  <w:sdtContent>
                    <w:tc>
                      <w:tcPr>
                        <w:tcW w:w="6530" w:type="dxa"/>
                      </w:tcPr>
                      <w:p w14:paraId="79742EAB" w14:textId="77777777" w:rsidR="00D21C1F" w:rsidRDefault="00A42880">
                        <w:pPr>
                          <w:rPr>
                            <w:rFonts w:ascii="Times New Roman" w:hAnsi="Times New Roman" w:cs="Times New Roman"/>
                            <w:szCs w:val="21"/>
                          </w:rPr>
                        </w:pPr>
                        <w:r>
                          <w:rPr>
                            <w:rFonts w:ascii="Times New Roman" w:hAnsi="Times New Roman" w:cs="Times New Roman"/>
                            <w:szCs w:val="21"/>
                          </w:rPr>
                          <w:t>芜湖睿埃企业管理咨询中心（有限合伙），公司员工持股平台，系睿博投资的有限合伙人</w:t>
                        </w:r>
                      </w:p>
                    </w:tc>
                  </w:sdtContent>
                </w:sdt>
              </w:tr>
            </w:sdtContent>
          </w:sdt>
          <w:sdt>
            <w:sdtPr>
              <w:rPr>
                <w:rFonts w:ascii="Times New Roman" w:hAnsi="Times New Roman" w:cs="Times New Roman"/>
                <w:kern w:val="2"/>
                <w:szCs w:val="21"/>
              </w:rPr>
              <w:alias w:val="释义"/>
              <w:tag w:val="_GBC_ca5c2cb7a4e545e2b2d9d1b94b528746"/>
              <w:id w:val="-331213331"/>
              <w:placeholder>
                <w:docPart w:val="3CFB5CE425494A0B845369A112A16B3A"/>
              </w:placeholder>
            </w:sdtPr>
            <w:sdtEndPr/>
            <w:sdtContent>
              <w:tr w:rsidR="00D21C1F" w14:paraId="648CDBD5" w14:textId="77777777">
                <w:tc>
                  <w:tcPr>
                    <w:tcW w:w="1809" w:type="dxa"/>
                  </w:tcPr>
                  <w:p w14:paraId="29687062" w14:textId="77777777" w:rsidR="00D21C1F" w:rsidRDefault="00A42880">
                    <w:pPr>
                      <w:rPr>
                        <w:rFonts w:ascii="Times New Roman" w:hAnsi="Times New Roman" w:cs="Times New Roman"/>
                        <w:szCs w:val="21"/>
                      </w:rPr>
                    </w:pPr>
                    <w:r>
                      <w:rPr>
                        <w:rFonts w:ascii="Times New Roman" w:hAnsi="Times New Roman" w:cs="Times New Roman"/>
                        <w:kern w:val="2"/>
                        <w:szCs w:val="21"/>
                      </w:rPr>
                      <w:t>美的集团</w:t>
                    </w:r>
                  </w:p>
                </w:tc>
                <w:tc>
                  <w:tcPr>
                    <w:tcW w:w="709" w:type="dxa"/>
                  </w:tcPr>
                  <w:sdt>
                    <w:sdtPr>
                      <w:rPr>
                        <w:rFonts w:ascii="Times New Roman" w:hAnsi="Times New Roman" w:cs="Times New Roman"/>
                        <w:szCs w:val="21"/>
                      </w:rPr>
                      <w:tag w:val="_PLD_289cf7e5c3a845d59c038a21dcd4a571"/>
                      <w:id w:val="-1972500571"/>
                      <w:lock w:val="sdtLocked"/>
                    </w:sdtPr>
                    <w:sdtEndPr/>
                    <w:sdtContent>
                      <w:p w14:paraId="26AC1DDE"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402A551"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756809027"/>
                        <w:lock w:val="sdtLocked"/>
                      </w:sdtPr>
                      <w:sdtEndPr/>
                      <w:sdtContent>
                        <w:r w:rsidR="00A42880">
                          <w:rPr>
                            <w:rFonts w:ascii="Times New Roman" w:hAnsi="Times New Roman" w:cs="Times New Roman"/>
                            <w:szCs w:val="21"/>
                          </w:rPr>
                          <w:t>美的集团股份有限公司（</w:t>
                        </w:r>
                        <w:r w:rsidR="00A42880">
                          <w:rPr>
                            <w:rFonts w:ascii="Times New Roman" w:hAnsi="Times New Roman" w:cs="Times New Roman"/>
                            <w:szCs w:val="21"/>
                          </w:rPr>
                          <w:t>000333.SZ</w:t>
                        </w:r>
                        <w:r w:rsidR="00A42880">
                          <w:rPr>
                            <w:rFonts w:ascii="Times New Roman" w:hAnsi="Times New Roman" w:cs="Times New Roman"/>
                            <w:szCs w:val="21"/>
                          </w:rPr>
                          <w:t>），系公司的股东</w:t>
                        </w:r>
                      </w:sdtContent>
                    </w:sdt>
                  </w:p>
                </w:tc>
              </w:tr>
            </w:sdtContent>
          </w:sdt>
          <w:sdt>
            <w:sdtPr>
              <w:rPr>
                <w:rFonts w:ascii="Times New Roman" w:hAnsi="Times New Roman" w:cs="Times New Roman"/>
                <w:kern w:val="2"/>
                <w:szCs w:val="21"/>
              </w:rPr>
              <w:alias w:val="释义"/>
              <w:tag w:val="_GBC_ca5c2cb7a4e545e2b2d9d1b94b528746"/>
              <w:id w:val="-1323894510"/>
              <w:placeholder>
                <w:docPart w:val="3CFB5CE425494A0B845369A112A16B3A"/>
              </w:placeholder>
            </w:sdtPr>
            <w:sdtEndPr/>
            <w:sdtContent>
              <w:tr w:rsidR="00D21C1F" w14:paraId="57313B97" w14:textId="77777777">
                <w:tc>
                  <w:tcPr>
                    <w:tcW w:w="1809" w:type="dxa"/>
                  </w:tcPr>
                  <w:p w14:paraId="0ADA5831" w14:textId="77777777" w:rsidR="00D21C1F" w:rsidRDefault="00A42880">
                    <w:pPr>
                      <w:rPr>
                        <w:rFonts w:ascii="Times New Roman" w:hAnsi="Times New Roman" w:cs="Times New Roman"/>
                        <w:szCs w:val="21"/>
                      </w:rPr>
                    </w:pPr>
                    <w:r>
                      <w:rPr>
                        <w:rFonts w:ascii="Times New Roman" w:hAnsi="Times New Roman" w:cs="Times New Roman"/>
                        <w:kern w:val="2"/>
                        <w:szCs w:val="21"/>
                      </w:rPr>
                      <w:t>信惟基石</w:t>
                    </w:r>
                  </w:p>
                </w:tc>
                <w:tc>
                  <w:tcPr>
                    <w:tcW w:w="709" w:type="dxa"/>
                  </w:tcPr>
                  <w:sdt>
                    <w:sdtPr>
                      <w:rPr>
                        <w:rFonts w:ascii="Times New Roman" w:hAnsi="Times New Roman" w:cs="Times New Roman"/>
                        <w:szCs w:val="21"/>
                      </w:rPr>
                      <w:tag w:val="_PLD_289cf7e5c3a845d59c038a21dcd4a571"/>
                      <w:id w:val="2012025738"/>
                      <w:lock w:val="sdtLocked"/>
                    </w:sdtPr>
                    <w:sdtEndPr/>
                    <w:sdtContent>
                      <w:p w14:paraId="7576132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311796470"/>
                    <w:lock w:val="sdtLocked"/>
                  </w:sdtPr>
                  <w:sdtEndPr/>
                  <w:sdtContent>
                    <w:tc>
                      <w:tcPr>
                        <w:tcW w:w="6530" w:type="dxa"/>
                      </w:tcPr>
                      <w:p w14:paraId="4DC9F10C" w14:textId="77777777" w:rsidR="00D21C1F" w:rsidRDefault="00A42880">
                        <w:pPr>
                          <w:rPr>
                            <w:rFonts w:ascii="Times New Roman" w:hAnsi="Times New Roman" w:cs="Times New Roman"/>
                            <w:szCs w:val="21"/>
                          </w:rPr>
                        </w:pPr>
                        <w:r>
                          <w:rPr>
                            <w:rFonts w:ascii="Times New Roman" w:hAnsi="Times New Roman" w:cs="Times New Roman"/>
                            <w:szCs w:val="21"/>
                          </w:rPr>
                          <w:t>安徽信惟基石产业升级基金合伙企业（有限合伙），系公司的股东</w:t>
                        </w:r>
                      </w:p>
                    </w:tc>
                  </w:sdtContent>
                </w:sdt>
              </w:tr>
            </w:sdtContent>
          </w:sdt>
          <w:sdt>
            <w:sdtPr>
              <w:rPr>
                <w:rFonts w:ascii="Times New Roman" w:hAnsi="Times New Roman" w:cs="Times New Roman"/>
                <w:kern w:val="2"/>
                <w:szCs w:val="21"/>
              </w:rPr>
              <w:alias w:val="释义"/>
              <w:tag w:val="_GBC_ca5c2cb7a4e545e2b2d9d1b94b528746"/>
              <w:id w:val="1511262864"/>
              <w:placeholder>
                <w:docPart w:val="3CFB5CE425494A0B845369A112A16B3A"/>
              </w:placeholder>
            </w:sdtPr>
            <w:sdtEndPr/>
            <w:sdtContent>
              <w:tr w:rsidR="00D21C1F" w14:paraId="4956D9A9" w14:textId="77777777">
                <w:tc>
                  <w:tcPr>
                    <w:tcW w:w="1809" w:type="dxa"/>
                  </w:tcPr>
                  <w:p w14:paraId="16C7EEB8" w14:textId="77777777" w:rsidR="00D21C1F" w:rsidRDefault="00A42880">
                    <w:pPr>
                      <w:rPr>
                        <w:rFonts w:ascii="Times New Roman" w:hAnsi="Times New Roman" w:cs="Times New Roman"/>
                        <w:szCs w:val="21"/>
                      </w:rPr>
                    </w:pPr>
                    <w:r>
                      <w:rPr>
                        <w:rFonts w:ascii="Times New Roman" w:hAnsi="Times New Roman" w:cs="Times New Roman"/>
                        <w:kern w:val="2"/>
                        <w:szCs w:val="21"/>
                      </w:rPr>
                      <w:t>鼎晖源霖</w:t>
                    </w:r>
                  </w:p>
                </w:tc>
                <w:tc>
                  <w:tcPr>
                    <w:tcW w:w="709" w:type="dxa"/>
                  </w:tcPr>
                  <w:sdt>
                    <w:sdtPr>
                      <w:rPr>
                        <w:rFonts w:ascii="Times New Roman" w:hAnsi="Times New Roman" w:cs="Times New Roman"/>
                        <w:szCs w:val="21"/>
                      </w:rPr>
                      <w:tag w:val="_PLD_289cf7e5c3a845d59c038a21dcd4a571"/>
                      <w:id w:val="-1914692192"/>
                      <w:lock w:val="sdtLocked"/>
                    </w:sdtPr>
                    <w:sdtEndPr/>
                    <w:sdtContent>
                      <w:p w14:paraId="0F1DBAAD"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656619131"/>
                    <w:lock w:val="sdtLocked"/>
                  </w:sdtPr>
                  <w:sdtEndPr/>
                  <w:sdtContent>
                    <w:tc>
                      <w:tcPr>
                        <w:tcW w:w="6530" w:type="dxa"/>
                      </w:tcPr>
                      <w:p w14:paraId="028F2A4F" w14:textId="77777777" w:rsidR="00D21C1F" w:rsidRDefault="00A42880">
                        <w:pPr>
                          <w:rPr>
                            <w:rFonts w:ascii="Times New Roman" w:hAnsi="Times New Roman" w:cs="Times New Roman"/>
                            <w:szCs w:val="21"/>
                          </w:rPr>
                        </w:pPr>
                        <w:r>
                          <w:rPr>
                            <w:rFonts w:ascii="Times New Roman" w:hAnsi="Times New Roman" w:cs="Times New Roman"/>
                            <w:szCs w:val="21"/>
                          </w:rPr>
                          <w:t>上海鼎晖源霖股权投资合伙企业（有限合伙），系公司的股东</w:t>
                        </w:r>
                      </w:p>
                    </w:tc>
                  </w:sdtContent>
                </w:sdt>
              </w:tr>
            </w:sdtContent>
          </w:sdt>
          <w:sdt>
            <w:sdtPr>
              <w:rPr>
                <w:rFonts w:ascii="Times New Roman" w:hAnsi="Times New Roman" w:cs="Times New Roman"/>
                <w:kern w:val="2"/>
                <w:szCs w:val="21"/>
              </w:rPr>
              <w:alias w:val="释义"/>
              <w:tag w:val="_GBC_ca5c2cb7a4e545e2b2d9d1b94b528746"/>
              <w:id w:val="-1429498047"/>
              <w:placeholder>
                <w:docPart w:val="3CFB5CE425494A0B845369A112A16B3A"/>
              </w:placeholder>
            </w:sdtPr>
            <w:sdtEndPr/>
            <w:sdtContent>
              <w:tr w:rsidR="00D21C1F" w14:paraId="27FF854A" w14:textId="77777777">
                <w:tc>
                  <w:tcPr>
                    <w:tcW w:w="1809" w:type="dxa"/>
                  </w:tcPr>
                  <w:p w14:paraId="23E914BF" w14:textId="77777777" w:rsidR="00D21C1F" w:rsidRDefault="00A42880">
                    <w:pPr>
                      <w:rPr>
                        <w:rFonts w:ascii="Times New Roman" w:hAnsi="Times New Roman" w:cs="Times New Roman"/>
                        <w:szCs w:val="21"/>
                      </w:rPr>
                    </w:pPr>
                    <w:r>
                      <w:rPr>
                        <w:rFonts w:ascii="Times New Roman" w:hAnsi="Times New Roman" w:cs="Times New Roman"/>
                        <w:kern w:val="2"/>
                        <w:szCs w:val="21"/>
                      </w:rPr>
                      <w:t>马鞍山基石</w:t>
                    </w:r>
                  </w:p>
                </w:tc>
                <w:tc>
                  <w:tcPr>
                    <w:tcW w:w="709" w:type="dxa"/>
                  </w:tcPr>
                  <w:sdt>
                    <w:sdtPr>
                      <w:rPr>
                        <w:rFonts w:ascii="Times New Roman" w:hAnsi="Times New Roman" w:cs="Times New Roman"/>
                        <w:szCs w:val="21"/>
                      </w:rPr>
                      <w:tag w:val="_PLD_289cf7e5c3a845d59c038a21dcd4a571"/>
                      <w:id w:val="-1884937419"/>
                      <w:lock w:val="sdtLocked"/>
                    </w:sdtPr>
                    <w:sdtEndPr/>
                    <w:sdtContent>
                      <w:p w14:paraId="3FCDA087"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35158203"/>
                    <w:lock w:val="sdtLocked"/>
                  </w:sdtPr>
                  <w:sdtEndPr/>
                  <w:sdtContent>
                    <w:tc>
                      <w:tcPr>
                        <w:tcW w:w="6530" w:type="dxa"/>
                      </w:tcPr>
                      <w:p w14:paraId="4E943D46" w14:textId="77777777" w:rsidR="00D21C1F" w:rsidRDefault="00A42880">
                        <w:pPr>
                          <w:rPr>
                            <w:rFonts w:ascii="Times New Roman" w:hAnsi="Times New Roman" w:cs="Times New Roman"/>
                            <w:szCs w:val="21"/>
                          </w:rPr>
                        </w:pPr>
                        <w:r>
                          <w:rPr>
                            <w:rFonts w:ascii="Times New Roman" w:hAnsi="Times New Roman" w:cs="Times New Roman"/>
                            <w:szCs w:val="21"/>
                          </w:rPr>
                          <w:t>马鞍山基石智能制造产业基金合伙企业（有限合伙），系公司的股东</w:t>
                        </w:r>
                      </w:p>
                    </w:tc>
                  </w:sdtContent>
                </w:sdt>
              </w:tr>
            </w:sdtContent>
          </w:sdt>
          <w:sdt>
            <w:sdtPr>
              <w:rPr>
                <w:rFonts w:ascii="Times New Roman" w:hAnsi="Times New Roman" w:cs="Times New Roman"/>
                <w:kern w:val="2"/>
                <w:szCs w:val="21"/>
              </w:rPr>
              <w:alias w:val="释义"/>
              <w:tag w:val="_GBC_ca5c2cb7a4e545e2b2d9d1b94b528746"/>
              <w:id w:val="43269541"/>
              <w:placeholder>
                <w:docPart w:val="3CFB5CE425494A0B845369A112A16B3A"/>
              </w:placeholder>
            </w:sdtPr>
            <w:sdtEndPr/>
            <w:sdtContent>
              <w:tr w:rsidR="00D21C1F" w14:paraId="73C027C0" w14:textId="77777777">
                <w:tc>
                  <w:tcPr>
                    <w:tcW w:w="1809" w:type="dxa"/>
                  </w:tcPr>
                  <w:p w14:paraId="10A94014" w14:textId="77777777" w:rsidR="00D21C1F" w:rsidRDefault="00A42880">
                    <w:pPr>
                      <w:rPr>
                        <w:rFonts w:ascii="Times New Roman" w:hAnsi="Times New Roman" w:cs="Times New Roman"/>
                        <w:szCs w:val="21"/>
                      </w:rPr>
                    </w:pPr>
                    <w:r>
                      <w:rPr>
                        <w:rFonts w:ascii="Times New Roman" w:hAnsi="Times New Roman" w:cs="Times New Roman"/>
                        <w:kern w:val="2"/>
                        <w:szCs w:val="21"/>
                      </w:rPr>
                      <w:t>Phinda Holding</w:t>
                    </w:r>
                  </w:p>
                </w:tc>
                <w:tc>
                  <w:tcPr>
                    <w:tcW w:w="709" w:type="dxa"/>
                  </w:tcPr>
                  <w:sdt>
                    <w:sdtPr>
                      <w:rPr>
                        <w:rFonts w:ascii="Times New Roman" w:hAnsi="Times New Roman" w:cs="Times New Roman"/>
                        <w:szCs w:val="21"/>
                      </w:rPr>
                      <w:tag w:val="_PLD_289cf7e5c3a845d59c038a21dcd4a571"/>
                      <w:id w:val="-1267072905"/>
                      <w:lock w:val="sdtLocked"/>
                    </w:sdtPr>
                    <w:sdtEndPr/>
                    <w:sdtContent>
                      <w:p w14:paraId="480BEAB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594370539"/>
                    <w:lock w:val="sdtLocked"/>
                  </w:sdtPr>
                  <w:sdtEndPr/>
                  <w:sdtContent>
                    <w:tc>
                      <w:tcPr>
                        <w:tcW w:w="6530" w:type="dxa"/>
                      </w:tcPr>
                      <w:p w14:paraId="0C38A289" w14:textId="77777777" w:rsidR="00D21C1F" w:rsidRDefault="00A42880">
                        <w:pPr>
                          <w:rPr>
                            <w:rFonts w:ascii="Times New Roman" w:hAnsi="Times New Roman" w:cs="Times New Roman"/>
                            <w:szCs w:val="21"/>
                          </w:rPr>
                        </w:pPr>
                        <w:r>
                          <w:rPr>
                            <w:rFonts w:ascii="Times New Roman" w:hAnsi="Times New Roman" w:cs="Times New Roman"/>
                            <w:szCs w:val="21"/>
                          </w:rPr>
                          <w:t>Phinda Holding S.A.</w:t>
                        </w:r>
                        <w:r>
                          <w:rPr>
                            <w:rFonts w:ascii="Times New Roman" w:hAnsi="Times New Roman" w:cs="Times New Roman"/>
                            <w:szCs w:val="21"/>
                          </w:rPr>
                          <w:t>，系公司的股东</w:t>
                        </w:r>
                      </w:p>
                    </w:tc>
                  </w:sdtContent>
                </w:sdt>
              </w:tr>
            </w:sdtContent>
          </w:sdt>
          <w:sdt>
            <w:sdtPr>
              <w:rPr>
                <w:rFonts w:ascii="Times New Roman" w:hAnsi="Times New Roman" w:cs="Times New Roman"/>
                <w:kern w:val="2"/>
                <w:szCs w:val="21"/>
              </w:rPr>
              <w:alias w:val="释义"/>
              <w:tag w:val="_GBC_ca5c2cb7a4e545e2b2d9d1b94b528746"/>
              <w:id w:val="683176130"/>
              <w:placeholder>
                <w:docPart w:val="3CFB5CE425494A0B845369A112A16B3A"/>
              </w:placeholder>
            </w:sdtPr>
            <w:sdtEndPr/>
            <w:sdtContent>
              <w:tr w:rsidR="00D21C1F" w14:paraId="6B88362A" w14:textId="77777777">
                <w:tc>
                  <w:tcPr>
                    <w:tcW w:w="1809" w:type="dxa"/>
                  </w:tcPr>
                  <w:p w14:paraId="2DC1E39E" w14:textId="77777777" w:rsidR="00D21C1F" w:rsidRDefault="00A42880">
                    <w:pPr>
                      <w:rPr>
                        <w:rFonts w:ascii="Times New Roman" w:hAnsi="Times New Roman" w:cs="Times New Roman"/>
                        <w:szCs w:val="21"/>
                      </w:rPr>
                    </w:pPr>
                    <w:r>
                      <w:rPr>
                        <w:rFonts w:ascii="Times New Roman" w:hAnsi="Times New Roman" w:cs="Times New Roman"/>
                        <w:kern w:val="2"/>
                        <w:szCs w:val="21"/>
                      </w:rPr>
                      <w:t>建信投资</w:t>
                    </w:r>
                  </w:p>
                </w:tc>
                <w:tc>
                  <w:tcPr>
                    <w:tcW w:w="709" w:type="dxa"/>
                  </w:tcPr>
                  <w:sdt>
                    <w:sdtPr>
                      <w:rPr>
                        <w:rFonts w:ascii="Times New Roman" w:hAnsi="Times New Roman" w:cs="Times New Roman"/>
                        <w:szCs w:val="21"/>
                      </w:rPr>
                      <w:tag w:val="_PLD_289cf7e5c3a845d59c038a21dcd4a571"/>
                      <w:id w:val="658509805"/>
                      <w:lock w:val="sdtLocked"/>
                    </w:sdtPr>
                    <w:sdtEndPr/>
                    <w:sdtContent>
                      <w:p w14:paraId="0245E96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440420961"/>
                    <w:lock w:val="sdtLocked"/>
                  </w:sdtPr>
                  <w:sdtEndPr/>
                  <w:sdtContent>
                    <w:tc>
                      <w:tcPr>
                        <w:tcW w:w="6530" w:type="dxa"/>
                      </w:tcPr>
                      <w:p w14:paraId="4F181FC9" w14:textId="77777777" w:rsidR="00D21C1F" w:rsidRDefault="00A42880">
                        <w:pPr>
                          <w:rPr>
                            <w:rFonts w:ascii="Times New Roman" w:hAnsi="Times New Roman" w:cs="Times New Roman"/>
                            <w:szCs w:val="21"/>
                          </w:rPr>
                        </w:pPr>
                        <w:r>
                          <w:rPr>
                            <w:rFonts w:ascii="Times New Roman" w:hAnsi="Times New Roman" w:cs="Times New Roman"/>
                            <w:szCs w:val="21"/>
                          </w:rPr>
                          <w:t>建信（北京）投资基金管理有限责任公司，系公司的股东</w:t>
                        </w:r>
                      </w:p>
                    </w:tc>
                  </w:sdtContent>
                </w:sdt>
              </w:tr>
            </w:sdtContent>
          </w:sdt>
          <w:sdt>
            <w:sdtPr>
              <w:rPr>
                <w:rFonts w:ascii="Times New Roman" w:hAnsi="Times New Roman" w:cs="Times New Roman"/>
                <w:kern w:val="2"/>
                <w:szCs w:val="21"/>
              </w:rPr>
              <w:alias w:val="释义"/>
              <w:tag w:val="_GBC_ca5c2cb7a4e545e2b2d9d1b94b528746"/>
              <w:id w:val="-590928565"/>
              <w:placeholder>
                <w:docPart w:val="3CFB5CE425494A0B845369A112A16B3A"/>
              </w:placeholder>
            </w:sdtPr>
            <w:sdtEndPr/>
            <w:sdtContent>
              <w:tr w:rsidR="00D21C1F" w14:paraId="2F2D5968" w14:textId="77777777">
                <w:tc>
                  <w:tcPr>
                    <w:tcW w:w="1809" w:type="dxa"/>
                  </w:tcPr>
                  <w:p w14:paraId="6392D96C" w14:textId="77777777" w:rsidR="00D21C1F" w:rsidRDefault="00A42880">
                    <w:pPr>
                      <w:rPr>
                        <w:rFonts w:ascii="Times New Roman" w:hAnsi="Times New Roman" w:cs="Times New Roman"/>
                        <w:szCs w:val="21"/>
                      </w:rPr>
                    </w:pPr>
                    <w:r>
                      <w:rPr>
                        <w:rFonts w:ascii="Times New Roman" w:hAnsi="Times New Roman" w:cs="Times New Roman"/>
                        <w:kern w:val="2"/>
                        <w:szCs w:val="21"/>
                      </w:rPr>
                      <w:t>京道智勤</w:t>
                    </w:r>
                  </w:p>
                </w:tc>
                <w:tc>
                  <w:tcPr>
                    <w:tcW w:w="709" w:type="dxa"/>
                  </w:tcPr>
                  <w:sdt>
                    <w:sdtPr>
                      <w:rPr>
                        <w:rFonts w:ascii="Times New Roman" w:hAnsi="Times New Roman" w:cs="Times New Roman"/>
                        <w:szCs w:val="21"/>
                      </w:rPr>
                      <w:tag w:val="_PLD_289cf7e5c3a845d59c038a21dcd4a571"/>
                      <w:id w:val="596380398"/>
                      <w:lock w:val="sdtLocked"/>
                    </w:sdtPr>
                    <w:sdtEndPr/>
                    <w:sdtContent>
                      <w:p w14:paraId="13AC014B"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732075051"/>
                    <w:lock w:val="sdtLocked"/>
                  </w:sdtPr>
                  <w:sdtEndPr/>
                  <w:sdtContent>
                    <w:tc>
                      <w:tcPr>
                        <w:tcW w:w="6530" w:type="dxa"/>
                      </w:tcPr>
                      <w:p w14:paraId="48BA53CA" w14:textId="77777777" w:rsidR="00D21C1F" w:rsidRDefault="00A42880">
                        <w:pPr>
                          <w:rPr>
                            <w:rFonts w:ascii="Times New Roman" w:hAnsi="Times New Roman" w:cs="Times New Roman"/>
                            <w:szCs w:val="21"/>
                          </w:rPr>
                        </w:pPr>
                        <w:r>
                          <w:rPr>
                            <w:rFonts w:ascii="Times New Roman" w:hAnsi="Times New Roman" w:cs="Times New Roman"/>
                            <w:szCs w:val="21"/>
                          </w:rPr>
                          <w:t>厦门京道智勤投资合伙企业（有限合伙），系公司的股东</w:t>
                        </w:r>
                      </w:p>
                    </w:tc>
                  </w:sdtContent>
                </w:sdt>
              </w:tr>
            </w:sdtContent>
          </w:sdt>
          <w:sdt>
            <w:sdtPr>
              <w:rPr>
                <w:rFonts w:ascii="Times New Roman" w:hAnsi="Times New Roman" w:cs="Times New Roman"/>
                <w:kern w:val="2"/>
                <w:szCs w:val="21"/>
              </w:rPr>
              <w:alias w:val="释义"/>
              <w:tag w:val="_GBC_ca5c2cb7a4e545e2b2d9d1b94b528746"/>
              <w:id w:val="-717278919"/>
              <w:placeholder>
                <w:docPart w:val="3CFB5CE425494A0B845369A112A16B3A"/>
              </w:placeholder>
            </w:sdtPr>
            <w:sdtEndPr/>
            <w:sdtContent>
              <w:tr w:rsidR="00D21C1F" w14:paraId="3805D091" w14:textId="77777777">
                <w:tc>
                  <w:tcPr>
                    <w:tcW w:w="1809" w:type="dxa"/>
                  </w:tcPr>
                  <w:p w14:paraId="79CBA945" w14:textId="77777777" w:rsidR="00D21C1F" w:rsidRDefault="00A42880">
                    <w:pPr>
                      <w:rPr>
                        <w:rFonts w:ascii="Times New Roman" w:hAnsi="Times New Roman" w:cs="Times New Roman"/>
                        <w:szCs w:val="21"/>
                      </w:rPr>
                    </w:pPr>
                    <w:r>
                      <w:rPr>
                        <w:rFonts w:ascii="Times New Roman" w:hAnsi="Times New Roman" w:cs="Times New Roman"/>
                        <w:kern w:val="2"/>
                        <w:szCs w:val="21"/>
                      </w:rPr>
                      <w:t>雅瑞悦世</w:t>
                    </w:r>
                  </w:p>
                </w:tc>
                <w:tc>
                  <w:tcPr>
                    <w:tcW w:w="709" w:type="dxa"/>
                  </w:tcPr>
                  <w:sdt>
                    <w:sdtPr>
                      <w:rPr>
                        <w:rFonts w:ascii="Times New Roman" w:hAnsi="Times New Roman" w:cs="Times New Roman"/>
                        <w:szCs w:val="21"/>
                      </w:rPr>
                      <w:tag w:val="_PLD_289cf7e5c3a845d59c038a21dcd4a571"/>
                      <w:id w:val="-237169284"/>
                      <w:lock w:val="sdtLocked"/>
                    </w:sdtPr>
                    <w:sdtEndPr/>
                    <w:sdtContent>
                      <w:p w14:paraId="1529A8A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876917758"/>
                    <w:lock w:val="sdtLocked"/>
                  </w:sdtPr>
                  <w:sdtEndPr/>
                  <w:sdtContent>
                    <w:tc>
                      <w:tcPr>
                        <w:tcW w:w="6530" w:type="dxa"/>
                      </w:tcPr>
                      <w:p w14:paraId="7A3756B1" w14:textId="77777777" w:rsidR="00D21C1F" w:rsidRDefault="00A42880">
                        <w:pPr>
                          <w:rPr>
                            <w:rFonts w:ascii="Times New Roman" w:hAnsi="Times New Roman" w:cs="Times New Roman"/>
                            <w:szCs w:val="21"/>
                          </w:rPr>
                        </w:pPr>
                        <w:r>
                          <w:rPr>
                            <w:rFonts w:ascii="Times New Roman" w:hAnsi="Times New Roman" w:cs="Times New Roman"/>
                            <w:szCs w:val="21"/>
                          </w:rPr>
                          <w:t>宁波梅山保税港区雅瑞悦世投资合伙企业（有限合伙），系公司的股东</w:t>
                        </w:r>
                      </w:p>
                    </w:tc>
                  </w:sdtContent>
                </w:sdt>
              </w:tr>
            </w:sdtContent>
          </w:sdt>
          <w:sdt>
            <w:sdtPr>
              <w:rPr>
                <w:rFonts w:ascii="Times New Roman" w:hAnsi="Times New Roman" w:cs="Times New Roman"/>
                <w:kern w:val="2"/>
                <w:szCs w:val="21"/>
              </w:rPr>
              <w:alias w:val="释义"/>
              <w:tag w:val="_GBC_ca5c2cb7a4e545e2b2d9d1b94b528746"/>
              <w:id w:val="-1058002044"/>
              <w:placeholder>
                <w:docPart w:val="3CFB5CE425494A0B845369A112A16B3A"/>
              </w:placeholder>
            </w:sdtPr>
            <w:sdtEndPr/>
            <w:sdtContent>
              <w:tr w:rsidR="00D21C1F" w14:paraId="42E1156C" w14:textId="77777777">
                <w:tc>
                  <w:tcPr>
                    <w:tcW w:w="1809" w:type="dxa"/>
                  </w:tcPr>
                  <w:p w14:paraId="521F25B6" w14:textId="77777777" w:rsidR="00D21C1F" w:rsidRDefault="00A42880">
                    <w:pPr>
                      <w:rPr>
                        <w:rFonts w:ascii="Times New Roman" w:hAnsi="Times New Roman" w:cs="Times New Roman"/>
                        <w:szCs w:val="21"/>
                      </w:rPr>
                    </w:pPr>
                    <w:r>
                      <w:rPr>
                        <w:rFonts w:ascii="Times New Roman" w:hAnsi="Times New Roman" w:cs="Times New Roman"/>
                        <w:kern w:val="2"/>
                        <w:szCs w:val="21"/>
                      </w:rPr>
                      <w:t>深创投</w:t>
                    </w:r>
                  </w:p>
                </w:tc>
                <w:tc>
                  <w:tcPr>
                    <w:tcW w:w="709" w:type="dxa"/>
                  </w:tcPr>
                  <w:sdt>
                    <w:sdtPr>
                      <w:rPr>
                        <w:rFonts w:ascii="Times New Roman" w:hAnsi="Times New Roman" w:cs="Times New Roman"/>
                        <w:szCs w:val="21"/>
                      </w:rPr>
                      <w:tag w:val="_PLD_289cf7e5c3a845d59c038a21dcd4a571"/>
                      <w:id w:val="-1482222069"/>
                      <w:lock w:val="sdtLocked"/>
                    </w:sdtPr>
                    <w:sdtEndPr/>
                    <w:sdtContent>
                      <w:p w14:paraId="0FF6AB8F"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8929771"/>
                    <w:lock w:val="sdtLocked"/>
                  </w:sdtPr>
                  <w:sdtEndPr/>
                  <w:sdtContent>
                    <w:tc>
                      <w:tcPr>
                        <w:tcW w:w="6530" w:type="dxa"/>
                      </w:tcPr>
                      <w:p w14:paraId="05204AC5" w14:textId="77777777" w:rsidR="00D21C1F" w:rsidRDefault="00A42880">
                        <w:pPr>
                          <w:rPr>
                            <w:rFonts w:ascii="Times New Roman" w:hAnsi="Times New Roman" w:cs="Times New Roman"/>
                            <w:szCs w:val="21"/>
                          </w:rPr>
                        </w:pPr>
                        <w:r>
                          <w:rPr>
                            <w:rFonts w:ascii="Times New Roman" w:hAnsi="Times New Roman" w:cs="Times New Roman"/>
                            <w:szCs w:val="21"/>
                          </w:rPr>
                          <w:t>深圳市创新投资集团有限公司，系公司的股东</w:t>
                        </w:r>
                      </w:p>
                    </w:tc>
                  </w:sdtContent>
                </w:sdt>
              </w:tr>
            </w:sdtContent>
          </w:sdt>
          <w:sdt>
            <w:sdtPr>
              <w:rPr>
                <w:rFonts w:ascii="Times New Roman" w:hAnsi="Times New Roman" w:cs="Times New Roman"/>
                <w:kern w:val="2"/>
                <w:szCs w:val="21"/>
              </w:rPr>
              <w:alias w:val="释义"/>
              <w:tag w:val="_GBC_ca5c2cb7a4e545e2b2d9d1b94b528746"/>
              <w:id w:val="-1789735804"/>
              <w:placeholder>
                <w:docPart w:val="3CFB5CE425494A0B845369A112A16B3A"/>
              </w:placeholder>
            </w:sdtPr>
            <w:sdtEndPr/>
            <w:sdtContent>
              <w:tr w:rsidR="00D21C1F" w14:paraId="49BDB701" w14:textId="77777777">
                <w:tc>
                  <w:tcPr>
                    <w:tcW w:w="1809" w:type="dxa"/>
                  </w:tcPr>
                  <w:p w14:paraId="4FFFB05E" w14:textId="77777777" w:rsidR="00D21C1F" w:rsidRDefault="00A42880">
                    <w:pPr>
                      <w:rPr>
                        <w:rFonts w:ascii="Times New Roman" w:hAnsi="Times New Roman" w:cs="Times New Roman"/>
                        <w:szCs w:val="21"/>
                      </w:rPr>
                    </w:pPr>
                    <w:r>
                      <w:rPr>
                        <w:rFonts w:ascii="Times New Roman" w:hAnsi="Times New Roman" w:cs="Times New Roman"/>
                        <w:kern w:val="2"/>
                        <w:szCs w:val="21"/>
                      </w:rPr>
                      <w:t>红土丝路</w:t>
                    </w:r>
                  </w:p>
                </w:tc>
                <w:tc>
                  <w:tcPr>
                    <w:tcW w:w="709" w:type="dxa"/>
                  </w:tcPr>
                  <w:sdt>
                    <w:sdtPr>
                      <w:rPr>
                        <w:rFonts w:ascii="Times New Roman" w:hAnsi="Times New Roman" w:cs="Times New Roman"/>
                        <w:szCs w:val="21"/>
                      </w:rPr>
                      <w:tag w:val="_PLD_289cf7e5c3a845d59c038a21dcd4a571"/>
                      <w:id w:val="-1262287629"/>
                      <w:lock w:val="sdtLocked"/>
                    </w:sdtPr>
                    <w:sdtEndPr/>
                    <w:sdtContent>
                      <w:p w14:paraId="1F1DE1B7"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605932518"/>
                    <w:lock w:val="sdtLocked"/>
                  </w:sdtPr>
                  <w:sdtEndPr/>
                  <w:sdtContent>
                    <w:tc>
                      <w:tcPr>
                        <w:tcW w:w="6530" w:type="dxa"/>
                      </w:tcPr>
                      <w:p w14:paraId="5868DB9B" w14:textId="77777777" w:rsidR="00D21C1F" w:rsidRDefault="00A42880">
                        <w:pPr>
                          <w:rPr>
                            <w:rFonts w:ascii="Times New Roman" w:hAnsi="Times New Roman" w:cs="Times New Roman"/>
                            <w:szCs w:val="21"/>
                          </w:rPr>
                        </w:pPr>
                        <w:r>
                          <w:rPr>
                            <w:rFonts w:ascii="Times New Roman" w:hAnsi="Times New Roman" w:cs="Times New Roman"/>
                            <w:szCs w:val="21"/>
                          </w:rPr>
                          <w:t>无锡红土丝路创业投资企业（有限合伙），系公司的股东</w:t>
                        </w:r>
                      </w:p>
                    </w:tc>
                  </w:sdtContent>
                </w:sdt>
              </w:tr>
            </w:sdtContent>
          </w:sdt>
          <w:sdt>
            <w:sdtPr>
              <w:rPr>
                <w:rFonts w:ascii="Times New Roman" w:hAnsi="Times New Roman" w:cs="Times New Roman"/>
                <w:kern w:val="2"/>
                <w:szCs w:val="21"/>
              </w:rPr>
              <w:alias w:val="释义"/>
              <w:tag w:val="_GBC_ca5c2cb7a4e545e2b2d9d1b94b528746"/>
              <w:id w:val="929629343"/>
              <w:placeholder>
                <w:docPart w:val="3CFB5CE425494A0B845369A112A16B3A"/>
              </w:placeholder>
            </w:sdtPr>
            <w:sdtEndPr/>
            <w:sdtContent>
              <w:tr w:rsidR="00D21C1F" w14:paraId="0509BB82" w14:textId="77777777">
                <w:tc>
                  <w:tcPr>
                    <w:tcW w:w="1809" w:type="dxa"/>
                  </w:tcPr>
                  <w:p w14:paraId="0E227835" w14:textId="77777777" w:rsidR="00D21C1F" w:rsidRDefault="00A42880">
                    <w:pPr>
                      <w:rPr>
                        <w:rFonts w:ascii="Times New Roman" w:hAnsi="Times New Roman" w:cs="Times New Roman"/>
                        <w:szCs w:val="21"/>
                      </w:rPr>
                    </w:pPr>
                    <w:r>
                      <w:rPr>
                        <w:rFonts w:ascii="Times New Roman" w:hAnsi="Times New Roman" w:cs="Times New Roman"/>
                        <w:kern w:val="2"/>
                        <w:szCs w:val="21"/>
                      </w:rPr>
                      <w:t>红土智能</w:t>
                    </w:r>
                  </w:p>
                </w:tc>
                <w:tc>
                  <w:tcPr>
                    <w:tcW w:w="709" w:type="dxa"/>
                  </w:tcPr>
                  <w:sdt>
                    <w:sdtPr>
                      <w:rPr>
                        <w:rFonts w:ascii="Times New Roman" w:hAnsi="Times New Roman" w:cs="Times New Roman"/>
                        <w:szCs w:val="21"/>
                      </w:rPr>
                      <w:tag w:val="_PLD_289cf7e5c3a845d59c038a21dcd4a571"/>
                      <w:id w:val="1339196305"/>
                      <w:lock w:val="sdtLocked"/>
                    </w:sdtPr>
                    <w:sdtEndPr/>
                    <w:sdtContent>
                      <w:p w14:paraId="5B6A50B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1155603316"/>
                    <w:lock w:val="sdtLocked"/>
                  </w:sdtPr>
                  <w:sdtEndPr/>
                  <w:sdtContent>
                    <w:tc>
                      <w:tcPr>
                        <w:tcW w:w="6530" w:type="dxa"/>
                      </w:tcPr>
                      <w:p w14:paraId="18A82114" w14:textId="77777777" w:rsidR="00D21C1F" w:rsidRDefault="00A42880">
                        <w:pPr>
                          <w:rPr>
                            <w:rFonts w:ascii="Times New Roman" w:hAnsi="Times New Roman" w:cs="Times New Roman"/>
                            <w:szCs w:val="21"/>
                          </w:rPr>
                        </w:pPr>
                        <w:r>
                          <w:rPr>
                            <w:rFonts w:ascii="Times New Roman" w:hAnsi="Times New Roman" w:cs="Times New Roman"/>
                            <w:szCs w:val="21"/>
                          </w:rPr>
                          <w:t>江苏疌泉红土智能创业投资基金（有限合伙），系公司的股东</w:t>
                        </w:r>
                      </w:p>
                    </w:tc>
                  </w:sdtContent>
                </w:sdt>
              </w:tr>
            </w:sdtContent>
          </w:sdt>
          <w:sdt>
            <w:sdtPr>
              <w:rPr>
                <w:rFonts w:ascii="Times New Roman" w:hAnsi="Times New Roman" w:cs="Times New Roman"/>
                <w:kern w:val="2"/>
                <w:szCs w:val="21"/>
              </w:rPr>
              <w:alias w:val="释义"/>
              <w:tag w:val="_GBC_ca5c2cb7a4e545e2b2d9d1b94b528746"/>
              <w:id w:val="-858580314"/>
              <w:placeholder>
                <w:docPart w:val="3CFB5CE425494A0B845369A112A16B3A"/>
              </w:placeholder>
            </w:sdtPr>
            <w:sdtEndPr/>
            <w:sdtContent>
              <w:tr w:rsidR="00D21C1F" w14:paraId="5A564FBF" w14:textId="77777777">
                <w:tc>
                  <w:tcPr>
                    <w:tcW w:w="1809" w:type="dxa"/>
                  </w:tcPr>
                  <w:p w14:paraId="616B2964" w14:textId="77777777" w:rsidR="00D21C1F" w:rsidRDefault="00A42880">
                    <w:pPr>
                      <w:rPr>
                        <w:rFonts w:ascii="Times New Roman" w:hAnsi="Times New Roman" w:cs="Times New Roman"/>
                        <w:szCs w:val="21"/>
                      </w:rPr>
                    </w:pPr>
                    <w:r>
                      <w:rPr>
                        <w:rFonts w:ascii="Times New Roman" w:hAnsi="Times New Roman" w:cs="Times New Roman"/>
                        <w:kern w:val="2"/>
                        <w:szCs w:val="21"/>
                      </w:rPr>
                      <w:t>盛世元尚</w:t>
                    </w:r>
                  </w:p>
                </w:tc>
                <w:tc>
                  <w:tcPr>
                    <w:tcW w:w="709" w:type="dxa"/>
                  </w:tcPr>
                  <w:sdt>
                    <w:sdtPr>
                      <w:rPr>
                        <w:rFonts w:ascii="Times New Roman" w:hAnsi="Times New Roman" w:cs="Times New Roman"/>
                        <w:szCs w:val="21"/>
                      </w:rPr>
                      <w:tag w:val="_PLD_289cf7e5c3a845d59c038a21dcd4a571"/>
                      <w:id w:val="-2057316348"/>
                      <w:lock w:val="sdtLocked"/>
                    </w:sdtPr>
                    <w:sdtEndPr/>
                    <w:sdtContent>
                      <w:p w14:paraId="671FBFE3"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8114A25"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969392617"/>
                        <w:lock w:val="sdtLocked"/>
                      </w:sdtPr>
                      <w:sdtEndPr/>
                      <w:sdtContent>
                        <w:r w:rsidR="00A42880">
                          <w:rPr>
                            <w:rFonts w:ascii="Times New Roman" w:hAnsi="Times New Roman" w:cs="Times New Roman"/>
                            <w:szCs w:val="21"/>
                          </w:rPr>
                          <w:t>霍尔果斯盛世元尚股权投资合伙企业（有限合伙），系公司的股东</w:t>
                        </w:r>
                      </w:sdtContent>
                    </w:sdt>
                  </w:p>
                </w:tc>
              </w:tr>
            </w:sdtContent>
          </w:sdt>
          <w:sdt>
            <w:sdtPr>
              <w:rPr>
                <w:rFonts w:ascii="Times New Roman" w:hAnsi="Times New Roman" w:cs="Times New Roman"/>
                <w:kern w:val="2"/>
                <w:szCs w:val="21"/>
              </w:rPr>
              <w:alias w:val="释义"/>
              <w:tag w:val="_GBC_ca5c2cb7a4e545e2b2d9d1b94b528746"/>
              <w:id w:val="-640807846"/>
              <w:placeholder>
                <w:docPart w:val="3CFB5CE425494A0B845369A112A16B3A"/>
              </w:placeholder>
            </w:sdtPr>
            <w:sdtEndPr/>
            <w:sdtContent>
              <w:tr w:rsidR="00D21C1F" w14:paraId="5171892D" w14:textId="77777777">
                <w:tc>
                  <w:tcPr>
                    <w:tcW w:w="1809" w:type="dxa"/>
                  </w:tcPr>
                  <w:p w14:paraId="3C3E3837" w14:textId="77777777" w:rsidR="00D21C1F" w:rsidRDefault="00A42880">
                    <w:pPr>
                      <w:rPr>
                        <w:rFonts w:ascii="Times New Roman" w:hAnsi="Times New Roman" w:cs="Times New Roman"/>
                        <w:szCs w:val="21"/>
                      </w:rPr>
                    </w:pPr>
                    <w:r>
                      <w:rPr>
                        <w:rFonts w:ascii="Times New Roman" w:hAnsi="Times New Roman" w:cs="Times New Roman"/>
                        <w:kern w:val="2"/>
                        <w:szCs w:val="21"/>
                      </w:rPr>
                      <w:t>盛世创鑫</w:t>
                    </w:r>
                  </w:p>
                </w:tc>
                <w:tc>
                  <w:tcPr>
                    <w:tcW w:w="709" w:type="dxa"/>
                  </w:tcPr>
                  <w:sdt>
                    <w:sdtPr>
                      <w:rPr>
                        <w:rFonts w:ascii="Times New Roman" w:hAnsi="Times New Roman" w:cs="Times New Roman"/>
                        <w:szCs w:val="21"/>
                      </w:rPr>
                      <w:tag w:val="_PLD_289cf7e5c3a845d59c038a21dcd4a571"/>
                      <w:id w:val="-1617205139"/>
                      <w:lock w:val="sdtLocked"/>
                    </w:sdtPr>
                    <w:sdtEndPr/>
                    <w:sdtContent>
                      <w:p w14:paraId="39FF6A0D"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69446EC"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986198420"/>
                        <w:lock w:val="sdtLocked"/>
                      </w:sdtPr>
                      <w:sdtEndPr/>
                      <w:sdtContent>
                        <w:r w:rsidR="00A42880">
                          <w:rPr>
                            <w:rFonts w:ascii="Times New Roman" w:hAnsi="Times New Roman" w:cs="Times New Roman"/>
                            <w:szCs w:val="21"/>
                          </w:rPr>
                          <w:t>霍尔果斯盛世创鑫股权投资合伙企业（有限合伙），系公司的股东</w:t>
                        </w:r>
                      </w:sdtContent>
                    </w:sdt>
                  </w:p>
                </w:tc>
              </w:tr>
            </w:sdtContent>
          </w:sdt>
          <w:sdt>
            <w:sdtPr>
              <w:rPr>
                <w:rFonts w:ascii="Times New Roman" w:hAnsi="Times New Roman" w:cs="Times New Roman"/>
                <w:kern w:val="2"/>
                <w:szCs w:val="21"/>
              </w:rPr>
              <w:alias w:val="释义"/>
              <w:tag w:val="_GBC_ca5c2cb7a4e545e2b2d9d1b94b528746"/>
              <w:id w:val="1589570981"/>
              <w:placeholder>
                <w:docPart w:val="3CFB5CE425494A0B845369A112A16B3A"/>
              </w:placeholder>
            </w:sdtPr>
            <w:sdtEndPr/>
            <w:sdtContent>
              <w:tr w:rsidR="00D21C1F" w14:paraId="4B7BC7DC" w14:textId="77777777">
                <w:tc>
                  <w:tcPr>
                    <w:tcW w:w="1809" w:type="dxa"/>
                  </w:tcPr>
                  <w:p w14:paraId="0BA85B18" w14:textId="77777777" w:rsidR="00D21C1F" w:rsidRDefault="00A42880">
                    <w:pPr>
                      <w:rPr>
                        <w:rFonts w:ascii="Times New Roman" w:hAnsi="Times New Roman" w:cs="Times New Roman"/>
                        <w:szCs w:val="21"/>
                      </w:rPr>
                    </w:pPr>
                    <w:r>
                      <w:rPr>
                        <w:rFonts w:ascii="Times New Roman" w:hAnsi="Times New Roman" w:cs="Times New Roman"/>
                        <w:kern w:val="2"/>
                        <w:szCs w:val="21"/>
                      </w:rPr>
                      <w:t>奇瑞科技</w:t>
                    </w:r>
                  </w:p>
                </w:tc>
                <w:tc>
                  <w:tcPr>
                    <w:tcW w:w="709" w:type="dxa"/>
                  </w:tcPr>
                  <w:sdt>
                    <w:sdtPr>
                      <w:rPr>
                        <w:rFonts w:ascii="Times New Roman" w:hAnsi="Times New Roman" w:cs="Times New Roman"/>
                        <w:szCs w:val="21"/>
                      </w:rPr>
                      <w:tag w:val="_PLD_289cf7e5c3a845d59c038a21dcd4a571"/>
                      <w:id w:val="475110531"/>
                      <w:lock w:val="sdtLocked"/>
                    </w:sdtPr>
                    <w:sdtEndPr/>
                    <w:sdtContent>
                      <w:p w14:paraId="54BB4FBB"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0EE92A0"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106195497"/>
                        <w:lock w:val="sdtLocked"/>
                      </w:sdtPr>
                      <w:sdtEndPr/>
                      <w:sdtContent>
                        <w:r w:rsidR="00A42880">
                          <w:rPr>
                            <w:rFonts w:ascii="Times New Roman" w:hAnsi="Times New Roman" w:cs="Times New Roman"/>
                            <w:szCs w:val="21"/>
                          </w:rPr>
                          <w:t>芜湖奇瑞科技有限公司，系公司的股东</w:t>
                        </w:r>
                      </w:sdtContent>
                    </w:sdt>
                  </w:p>
                </w:tc>
              </w:tr>
            </w:sdtContent>
          </w:sdt>
          <w:sdt>
            <w:sdtPr>
              <w:rPr>
                <w:rFonts w:ascii="Times New Roman" w:hAnsi="Times New Roman" w:cs="Times New Roman"/>
                <w:kern w:val="2"/>
                <w:szCs w:val="21"/>
              </w:rPr>
              <w:alias w:val="释义"/>
              <w:tag w:val="_GBC_ca5c2cb7a4e545e2b2d9d1b94b528746"/>
              <w:id w:val="629673505"/>
              <w:placeholder>
                <w:docPart w:val="3CFB5CE425494A0B845369A112A16B3A"/>
              </w:placeholder>
            </w:sdtPr>
            <w:sdtEndPr/>
            <w:sdtContent>
              <w:tr w:rsidR="00D21C1F" w14:paraId="55CAB87F" w14:textId="77777777">
                <w:tc>
                  <w:tcPr>
                    <w:tcW w:w="1809" w:type="dxa"/>
                  </w:tcPr>
                  <w:p w14:paraId="66AF248D" w14:textId="77777777" w:rsidR="00D21C1F" w:rsidRDefault="00A42880">
                    <w:pPr>
                      <w:rPr>
                        <w:rFonts w:ascii="Times New Roman" w:hAnsi="Times New Roman" w:cs="Times New Roman"/>
                        <w:szCs w:val="21"/>
                      </w:rPr>
                    </w:pPr>
                    <w:r>
                      <w:rPr>
                        <w:rFonts w:ascii="Times New Roman" w:hAnsi="Times New Roman" w:cs="Times New Roman"/>
                        <w:kern w:val="2"/>
                        <w:szCs w:val="21"/>
                      </w:rPr>
                      <w:t>芜湖希美埃</w:t>
                    </w:r>
                  </w:p>
                </w:tc>
                <w:tc>
                  <w:tcPr>
                    <w:tcW w:w="709" w:type="dxa"/>
                  </w:tcPr>
                  <w:sdt>
                    <w:sdtPr>
                      <w:rPr>
                        <w:rFonts w:ascii="Times New Roman" w:hAnsi="Times New Roman" w:cs="Times New Roman"/>
                        <w:szCs w:val="21"/>
                      </w:rPr>
                      <w:tag w:val="_PLD_289cf7e5c3a845d59c038a21dcd4a571"/>
                      <w:id w:val="1294632789"/>
                      <w:lock w:val="sdtLocked"/>
                    </w:sdtPr>
                    <w:sdtEndPr/>
                    <w:sdtContent>
                      <w:p w14:paraId="681A290F"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EA61D9C"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938034564"/>
                        <w:lock w:val="sdtLocked"/>
                      </w:sdtPr>
                      <w:sdtEndPr/>
                      <w:sdtContent>
                        <w:r w:rsidR="00A42880">
                          <w:rPr>
                            <w:rFonts w:ascii="Times New Roman" w:hAnsi="Times New Roman" w:cs="Times New Roman"/>
                            <w:szCs w:val="21"/>
                          </w:rPr>
                          <w:t>希美埃（芜湖）机器人技术有限公司，系公司的子公司</w:t>
                        </w:r>
                      </w:sdtContent>
                    </w:sdt>
                  </w:p>
                </w:tc>
              </w:tr>
            </w:sdtContent>
          </w:sdt>
          <w:sdt>
            <w:sdtPr>
              <w:rPr>
                <w:rFonts w:ascii="Times New Roman" w:hAnsi="Times New Roman" w:cs="Times New Roman"/>
                <w:kern w:val="2"/>
                <w:szCs w:val="21"/>
              </w:rPr>
              <w:alias w:val="释义"/>
              <w:tag w:val="_GBC_ca5c2cb7a4e545e2b2d9d1b94b528746"/>
              <w:id w:val="1049887867"/>
              <w:placeholder>
                <w:docPart w:val="3CFB5CE425494A0B845369A112A16B3A"/>
              </w:placeholder>
            </w:sdtPr>
            <w:sdtEndPr/>
            <w:sdtContent>
              <w:tr w:rsidR="00D21C1F" w14:paraId="6B0BF67A" w14:textId="77777777">
                <w:tc>
                  <w:tcPr>
                    <w:tcW w:w="1809" w:type="dxa"/>
                  </w:tcPr>
                  <w:p w14:paraId="5D14BD45" w14:textId="77777777" w:rsidR="00D21C1F" w:rsidRDefault="00A42880">
                    <w:pPr>
                      <w:rPr>
                        <w:rFonts w:ascii="Times New Roman" w:hAnsi="Times New Roman" w:cs="Times New Roman"/>
                        <w:szCs w:val="21"/>
                      </w:rPr>
                    </w:pPr>
                    <w:r>
                      <w:rPr>
                        <w:rFonts w:ascii="Times New Roman" w:hAnsi="Times New Roman" w:cs="Times New Roman"/>
                        <w:kern w:val="2"/>
                        <w:szCs w:val="21"/>
                      </w:rPr>
                      <w:t>江西希美埃</w:t>
                    </w:r>
                  </w:p>
                </w:tc>
                <w:tc>
                  <w:tcPr>
                    <w:tcW w:w="709" w:type="dxa"/>
                  </w:tcPr>
                  <w:sdt>
                    <w:sdtPr>
                      <w:rPr>
                        <w:rFonts w:ascii="Times New Roman" w:hAnsi="Times New Roman" w:cs="Times New Roman"/>
                        <w:szCs w:val="21"/>
                      </w:rPr>
                      <w:tag w:val="_PLD_289cf7e5c3a845d59c038a21dcd4a571"/>
                      <w:id w:val="1586025201"/>
                      <w:lock w:val="sdtLocked"/>
                    </w:sdtPr>
                    <w:sdtEndPr/>
                    <w:sdtContent>
                      <w:p w14:paraId="7FADF7C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008575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07281194"/>
                        <w:lock w:val="sdtLocked"/>
                      </w:sdtPr>
                      <w:sdtEndPr/>
                      <w:sdtContent>
                        <w:r w:rsidR="00A42880">
                          <w:rPr>
                            <w:rFonts w:ascii="Times New Roman" w:hAnsi="Times New Roman" w:cs="Times New Roman"/>
                            <w:szCs w:val="21"/>
                          </w:rPr>
                          <w:t>江西希美埃机器人工程有限公司，系芜湖希美埃的子公司</w:t>
                        </w:r>
                      </w:sdtContent>
                    </w:sdt>
                  </w:p>
                </w:tc>
              </w:tr>
            </w:sdtContent>
          </w:sdt>
          <w:sdt>
            <w:sdtPr>
              <w:rPr>
                <w:rFonts w:ascii="Times New Roman" w:hAnsi="Times New Roman" w:cs="Times New Roman"/>
                <w:kern w:val="2"/>
                <w:szCs w:val="21"/>
              </w:rPr>
              <w:alias w:val="释义"/>
              <w:tag w:val="_GBC_ca5c2cb7a4e545e2b2d9d1b94b528746"/>
              <w:id w:val="-389813557"/>
              <w:placeholder>
                <w:docPart w:val="3CFB5CE425494A0B845369A112A16B3A"/>
              </w:placeholder>
            </w:sdtPr>
            <w:sdtEndPr/>
            <w:sdtContent>
              <w:tr w:rsidR="00D21C1F" w14:paraId="565A24E6" w14:textId="77777777">
                <w:tc>
                  <w:tcPr>
                    <w:tcW w:w="1809" w:type="dxa"/>
                  </w:tcPr>
                  <w:p w14:paraId="44FB9DE8" w14:textId="77777777" w:rsidR="00D21C1F" w:rsidRDefault="00A42880">
                    <w:pPr>
                      <w:rPr>
                        <w:rFonts w:ascii="Times New Roman" w:hAnsi="Times New Roman" w:cs="Times New Roman"/>
                        <w:szCs w:val="21"/>
                      </w:rPr>
                    </w:pPr>
                    <w:r>
                      <w:rPr>
                        <w:rFonts w:ascii="Times New Roman" w:hAnsi="Times New Roman" w:cs="Times New Roman"/>
                        <w:kern w:val="2"/>
                        <w:szCs w:val="21"/>
                      </w:rPr>
                      <w:t>芜湖埃华路</w:t>
                    </w:r>
                  </w:p>
                </w:tc>
                <w:tc>
                  <w:tcPr>
                    <w:tcW w:w="709" w:type="dxa"/>
                  </w:tcPr>
                  <w:sdt>
                    <w:sdtPr>
                      <w:rPr>
                        <w:rFonts w:ascii="Times New Roman" w:hAnsi="Times New Roman" w:cs="Times New Roman"/>
                        <w:szCs w:val="21"/>
                      </w:rPr>
                      <w:tag w:val="_PLD_289cf7e5c3a845d59c038a21dcd4a571"/>
                      <w:id w:val="703071671"/>
                      <w:lock w:val="sdtLocked"/>
                    </w:sdtPr>
                    <w:sdtEndPr/>
                    <w:sdtContent>
                      <w:p w14:paraId="03E5A33A"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BB3A8A9"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057390416"/>
                        <w:lock w:val="sdtLocked"/>
                      </w:sdtPr>
                      <w:sdtEndPr/>
                      <w:sdtContent>
                        <w:r w:rsidR="00A42880">
                          <w:rPr>
                            <w:rFonts w:ascii="Times New Roman" w:hAnsi="Times New Roman" w:cs="Times New Roman"/>
                            <w:szCs w:val="21"/>
                          </w:rPr>
                          <w:t>埃华路（芜湖）机器人工程有限公司，系公司的子公司</w:t>
                        </w:r>
                      </w:sdtContent>
                    </w:sdt>
                  </w:p>
                </w:tc>
              </w:tr>
            </w:sdtContent>
          </w:sdt>
          <w:sdt>
            <w:sdtPr>
              <w:rPr>
                <w:rFonts w:ascii="Times New Roman" w:hAnsi="Times New Roman" w:cs="Times New Roman"/>
                <w:kern w:val="2"/>
                <w:szCs w:val="21"/>
              </w:rPr>
              <w:alias w:val="释义"/>
              <w:tag w:val="_GBC_ca5c2cb7a4e545e2b2d9d1b94b528746"/>
              <w:id w:val="618033335"/>
              <w:placeholder>
                <w:docPart w:val="3CFB5CE425494A0B845369A112A16B3A"/>
              </w:placeholder>
            </w:sdtPr>
            <w:sdtEndPr/>
            <w:sdtContent>
              <w:tr w:rsidR="00D21C1F" w14:paraId="2BED823E" w14:textId="77777777">
                <w:tc>
                  <w:tcPr>
                    <w:tcW w:w="1809" w:type="dxa"/>
                  </w:tcPr>
                  <w:p w14:paraId="5B466CA9" w14:textId="77777777" w:rsidR="00D21C1F" w:rsidRDefault="00A42880">
                    <w:pPr>
                      <w:rPr>
                        <w:rFonts w:ascii="Times New Roman" w:hAnsi="Times New Roman" w:cs="Times New Roman"/>
                        <w:szCs w:val="21"/>
                      </w:rPr>
                    </w:pPr>
                    <w:r>
                      <w:rPr>
                        <w:rFonts w:ascii="Times New Roman" w:hAnsi="Times New Roman" w:cs="Times New Roman"/>
                        <w:kern w:val="2"/>
                        <w:szCs w:val="21"/>
                      </w:rPr>
                      <w:t>广东埃华路</w:t>
                    </w:r>
                  </w:p>
                </w:tc>
                <w:tc>
                  <w:tcPr>
                    <w:tcW w:w="709" w:type="dxa"/>
                  </w:tcPr>
                  <w:sdt>
                    <w:sdtPr>
                      <w:rPr>
                        <w:rFonts w:ascii="Times New Roman" w:hAnsi="Times New Roman" w:cs="Times New Roman"/>
                        <w:szCs w:val="21"/>
                      </w:rPr>
                      <w:tag w:val="_PLD_289cf7e5c3a845d59c038a21dcd4a571"/>
                      <w:id w:val="-494496150"/>
                      <w:lock w:val="sdtLocked"/>
                    </w:sdtPr>
                    <w:sdtEndPr/>
                    <w:sdtContent>
                      <w:p w14:paraId="37C378D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60FED991"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868223619"/>
                        <w:lock w:val="sdtLocked"/>
                      </w:sdtPr>
                      <w:sdtEndPr/>
                      <w:sdtContent>
                        <w:r w:rsidR="00A42880">
                          <w:rPr>
                            <w:rFonts w:ascii="Times New Roman" w:hAnsi="Times New Roman" w:cs="Times New Roman"/>
                            <w:szCs w:val="21"/>
                          </w:rPr>
                          <w:t>广东埃华路机器人工程有限公司，系芜湖埃华路的子公司</w:t>
                        </w:r>
                      </w:sdtContent>
                    </w:sdt>
                  </w:p>
                </w:tc>
              </w:tr>
            </w:sdtContent>
          </w:sdt>
          <w:sdt>
            <w:sdtPr>
              <w:rPr>
                <w:rFonts w:ascii="Times New Roman" w:hAnsi="Times New Roman" w:cs="Times New Roman"/>
                <w:kern w:val="2"/>
                <w:szCs w:val="21"/>
              </w:rPr>
              <w:alias w:val="释义"/>
              <w:tag w:val="_GBC_ca5c2cb7a4e545e2b2d9d1b94b528746"/>
              <w:id w:val="-1950071751"/>
              <w:placeholder>
                <w:docPart w:val="3CFB5CE425494A0B845369A112A16B3A"/>
              </w:placeholder>
            </w:sdtPr>
            <w:sdtEndPr/>
            <w:sdtContent>
              <w:tr w:rsidR="00D21C1F" w14:paraId="60712F3B" w14:textId="77777777">
                <w:tc>
                  <w:tcPr>
                    <w:tcW w:w="1809" w:type="dxa"/>
                  </w:tcPr>
                  <w:p w14:paraId="51AA53F2" w14:textId="77777777" w:rsidR="00D21C1F" w:rsidRDefault="00A42880">
                    <w:pPr>
                      <w:rPr>
                        <w:rFonts w:ascii="Times New Roman" w:hAnsi="Times New Roman" w:cs="Times New Roman"/>
                        <w:szCs w:val="21"/>
                      </w:rPr>
                    </w:pPr>
                    <w:r>
                      <w:rPr>
                        <w:rFonts w:ascii="Times New Roman" w:hAnsi="Times New Roman" w:cs="Times New Roman"/>
                        <w:kern w:val="2"/>
                        <w:szCs w:val="21"/>
                      </w:rPr>
                      <w:t>瑞博思</w:t>
                    </w:r>
                  </w:p>
                </w:tc>
                <w:tc>
                  <w:tcPr>
                    <w:tcW w:w="709" w:type="dxa"/>
                  </w:tcPr>
                  <w:sdt>
                    <w:sdtPr>
                      <w:rPr>
                        <w:rFonts w:ascii="Times New Roman" w:hAnsi="Times New Roman" w:cs="Times New Roman"/>
                        <w:szCs w:val="21"/>
                      </w:rPr>
                      <w:tag w:val="_PLD_289cf7e5c3a845d59c038a21dcd4a571"/>
                      <w:id w:val="1893621582"/>
                      <w:lock w:val="sdtLocked"/>
                    </w:sdtPr>
                    <w:sdtEndPr/>
                    <w:sdtContent>
                      <w:p w14:paraId="0E635970"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46ACE18"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902056185"/>
                        <w:lock w:val="sdtLocked"/>
                      </w:sdtPr>
                      <w:sdtEndPr/>
                      <w:sdtContent>
                        <w:r w:rsidR="00A42880">
                          <w:rPr>
                            <w:rFonts w:ascii="Times New Roman" w:hAnsi="Times New Roman" w:cs="Times New Roman"/>
                            <w:szCs w:val="21"/>
                          </w:rPr>
                          <w:t>瑞博思（芜湖）智能控制系统有限公司，系公司的子公司</w:t>
                        </w:r>
                      </w:sdtContent>
                    </w:sdt>
                  </w:p>
                </w:tc>
              </w:tr>
            </w:sdtContent>
          </w:sdt>
          <w:sdt>
            <w:sdtPr>
              <w:rPr>
                <w:rFonts w:ascii="Times New Roman" w:hAnsi="Times New Roman" w:cs="Times New Roman"/>
                <w:kern w:val="2"/>
                <w:szCs w:val="21"/>
              </w:rPr>
              <w:alias w:val="释义"/>
              <w:tag w:val="_GBC_ca5c2cb7a4e545e2b2d9d1b94b528746"/>
              <w:id w:val="1923213545"/>
              <w:placeholder>
                <w:docPart w:val="3CFB5CE425494A0B845369A112A16B3A"/>
              </w:placeholder>
            </w:sdtPr>
            <w:sdtEndPr/>
            <w:sdtContent>
              <w:tr w:rsidR="00D21C1F" w14:paraId="72089997" w14:textId="77777777">
                <w:tc>
                  <w:tcPr>
                    <w:tcW w:w="1809" w:type="dxa"/>
                  </w:tcPr>
                  <w:p w14:paraId="712DD355" w14:textId="77777777" w:rsidR="00D21C1F" w:rsidRDefault="00A42880">
                    <w:pPr>
                      <w:rPr>
                        <w:rFonts w:ascii="Times New Roman" w:hAnsi="Times New Roman" w:cs="Times New Roman"/>
                        <w:szCs w:val="21"/>
                      </w:rPr>
                    </w:pPr>
                    <w:r>
                      <w:rPr>
                        <w:rFonts w:ascii="Times New Roman" w:hAnsi="Times New Roman" w:cs="Times New Roman"/>
                        <w:kern w:val="2"/>
                        <w:szCs w:val="21"/>
                      </w:rPr>
                      <w:t>上海埃奇</w:t>
                    </w:r>
                  </w:p>
                </w:tc>
                <w:tc>
                  <w:tcPr>
                    <w:tcW w:w="709" w:type="dxa"/>
                  </w:tcPr>
                  <w:sdt>
                    <w:sdtPr>
                      <w:rPr>
                        <w:rFonts w:ascii="Times New Roman" w:hAnsi="Times New Roman" w:cs="Times New Roman"/>
                        <w:szCs w:val="21"/>
                      </w:rPr>
                      <w:tag w:val="_PLD_289cf7e5c3a845d59c038a21dcd4a571"/>
                      <w:id w:val="2142222127"/>
                      <w:lock w:val="sdtLocked"/>
                    </w:sdtPr>
                    <w:sdtEndPr/>
                    <w:sdtContent>
                      <w:p w14:paraId="0611491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602E79EE"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8267785"/>
                        <w:lock w:val="sdtLocked"/>
                      </w:sdtPr>
                      <w:sdtEndPr/>
                      <w:sdtContent>
                        <w:r w:rsidR="00A42880">
                          <w:rPr>
                            <w:rFonts w:ascii="Times New Roman" w:hAnsi="Times New Roman" w:cs="Times New Roman"/>
                            <w:szCs w:val="21"/>
                          </w:rPr>
                          <w:t>上海埃奇机器人技术有限公司，系公司的子公司</w:t>
                        </w:r>
                      </w:sdtContent>
                    </w:sdt>
                  </w:p>
                </w:tc>
              </w:tr>
            </w:sdtContent>
          </w:sdt>
          <w:sdt>
            <w:sdtPr>
              <w:rPr>
                <w:rFonts w:ascii="Times New Roman" w:hAnsi="Times New Roman" w:cs="Times New Roman"/>
                <w:kern w:val="2"/>
                <w:szCs w:val="21"/>
              </w:rPr>
              <w:alias w:val="释义"/>
              <w:tag w:val="_GBC_ca5c2cb7a4e545e2b2d9d1b94b528746"/>
              <w:id w:val="24844943"/>
              <w:placeholder>
                <w:docPart w:val="3CFB5CE425494A0B845369A112A16B3A"/>
              </w:placeholder>
            </w:sdtPr>
            <w:sdtEndPr/>
            <w:sdtContent>
              <w:tr w:rsidR="00D21C1F" w14:paraId="413E537D" w14:textId="77777777">
                <w:tc>
                  <w:tcPr>
                    <w:tcW w:w="1809" w:type="dxa"/>
                  </w:tcPr>
                  <w:p w14:paraId="4EF938E8" w14:textId="77777777" w:rsidR="00D21C1F" w:rsidRDefault="00A42880">
                    <w:pPr>
                      <w:rPr>
                        <w:rFonts w:ascii="Times New Roman" w:hAnsi="Times New Roman" w:cs="Times New Roman"/>
                        <w:szCs w:val="21"/>
                      </w:rPr>
                    </w:pPr>
                    <w:r>
                      <w:rPr>
                        <w:rFonts w:ascii="Times New Roman" w:hAnsi="Times New Roman" w:cs="Times New Roman"/>
                        <w:kern w:val="2"/>
                        <w:szCs w:val="21"/>
                      </w:rPr>
                      <w:t>广东埃汇</w:t>
                    </w:r>
                  </w:p>
                </w:tc>
                <w:tc>
                  <w:tcPr>
                    <w:tcW w:w="709" w:type="dxa"/>
                  </w:tcPr>
                  <w:sdt>
                    <w:sdtPr>
                      <w:rPr>
                        <w:rFonts w:ascii="Times New Roman" w:hAnsi="Times New Roman" w:cs="Times New Roman"/>
                        <w:szCs w:val="21"/>
                      </w:rPr>
                      <w:tag w:val="_PLD_289cf7e5c3a845d59c038a21dcd4a571"/>
                      <w:id w:val="-1819032537"/>
                      <w:lock w:val="sdtLocked"/>
                    </w:sdtPr>
                    <w:sdtEndPr/>
                    <w:sdtContent>
                      <w:p w14:paraId="4A08EA48"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310A95E"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070531329"/>
                        <w:lock w:val="sdtLocked"/>
                      </w:sdtPr>
                      <w:sdtEndPr/>
                      <w:sdtContent>
                        <w:r w:rsidR="00A42880">
                          <w:rPr>
                            <w:rFonts w:ascii="Times New Roman" w:hAnsi="Times New Roman" w:cs="Times New Roman"/>
                            <w:szCs w:val="21"/>
                          </w:rPr>
                          <w:t>广东埃汇智能装备有限公司，系公司的子公司</w:t>
                        </w:r>
                      </w:sdtContent>
                    </w:sdt>
                  </w:p>
                </w:tc>
              </w:tr>
            </w:sdtContent>
          </w:sdt>
          <w:sdt>
            <w:sdtPr>
              <w:rPr>
                <w:rFonts w:ascii="Times New Roman" w:hAnsi="Times New Roman" w:cs="Times New Roman"/>
                <w:kern w:val="2"/>
                <w:szCs w:val="21"/>
              </w:rPr>
              <w:alias w:val="释义"/>
              <w:tag w:val="_GBC_ca5c2cb7a4e545e2b2d9d1b94b528746"/>
              <w:id w:val="-903445183"/>
              <w:placeholder>
                <w:docPart w:val="3CFB5CE425494A0B845369A112A16B3A"/>
              </w:placeholder>
            </w:sdtPr>
            <w:sdtEndPr/>
            <w:sdtContent>
              <w:tr w:rsidR="00D21C1F" w14:paraId="49F8A8DE" w14:textId="77777777">
                <w:tc>
                  <w:tcPr>
                    <w:tcW w:w="1809" w:type="dxa"/>
                  </w:tcPr>
                  <w:p w14:paraId="0F15C22C" w14:textId="77777777" w:rsidR="00D21C1F" w:rsidRDefault="00A42880">
                    <w:pPr>
                      <w:rPr>
                        <w:rFonts w:ascii="Times New Roman" w:hAnsi="Times New Roman" w:cs="Times New Roman"/>
                        <w:szCs w:val="21"/>
                      </w:rPr>
                    </w:pPr>
                    <w:r>
                      <w:rPr>
                        <w:rFonts w:ascii="Times New Roman" w:hAnsi="Times New Roman" w:cs="Times New Roman"/>
                        <w:kern w:val="2"/>
                        <w:szCs w:val="21"/>
                      </w:rPr>
                      <w:t>WFC</w:t>
                    </w:r>
                  </w:p>
                </w:tc>
                <w:tc>
                  <w:tcPr>
                    <w:tcW w:w="709" w:type="dxa"/>
                  </w:tcPr>
                  <w:sdt>
                    <w:sdtPr>
                      <w:rPr>
                        <w:rFonts w:ascii="Times New Roman" w:hAnsi="Times New Roman" w:cs="Times New Roman"/>
                        <w:szCs w:val="21"/>
                      </w:rPr>
                      <w:tag w:val="_PLD_289cf7e5c3a845d59c038a21dcd4a571"/>
                      <w:id w:val="914293437"/>
                      <w:lock w:val="sdtLocked"/>
                    </w:sdtPr>
                    <w:sdtEndPr/>
                    <w:sdtContent>
                      <w:p w14:paraId="50C6CAB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55B487C" w14:textId="69CCFB54"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259330943"/>
                        <w:lock w:val="sdtLocked"/>
                      </w:sdtPr>
                      <w:sdtEndPr/>
                      <w:sdtContent>
                        <w:r w:rsidR="00325574">
                          <w:rPr>
                            <w:rFonts w:ascii="Times New Roman" w:hAnsi="Times New Roman" w:cs="Times New Roman" w:hint="eastAsia"/>
                            <w:szCs w:val="21"/>
                          </w:rPr>
                          <w:t>原名</w:t>
                        </w:r>
                        <w:r w:rsidR="00A42880">
                          <w:rPr>
                            <w:rFonts w:ascii="Times New Roman" w:hAnsi="Times New Roman" w:cs="Times New Roman"/>
                            <w:szCs w:val="21"/>
                          </w:rPr>
                          <w:t>W.F.C. Holding S.p.A.</w:t>
                        </w:r>
                        <w:r w:rsidR="00325574">
                          <w:rPr>
                            <w:rFonts w:ascii="Times New Roman" w:hAnsi="Times New Roman" w:cs="Times New Roman" w:hint="eastAsia"/>
                            <w:szCs w:val="21"/>
                          </w:rPr>
                          <w:t>现已更名</w:t>
                        </w:r>
                        <w:r w:rsidR="002D21DE">
                          <w:rPr>
                            <w:rFonts w:ascii="Times New Roman" w:hAnsi="Times New Roman" w:cs="Times New Roman" w:hint="eastAsia"/>
                            <w:szCs w:val="21"/>
                          </w:rPr>
                          <w:t>为</w:t>
                        </w:r>
                        <w:r w:rsidR="00325574">
                          <w:rPr>
                            <w:rFonts w:ascii="Times New Roman" w:hAnsi="Times New Roman" w:cs="Times New Roman"/>
                            <w:szCs w:val="21"/>
                          </w:rPr>
                          <w:t>EFORT</w:t>
                        </w:r>
                        <w:r w:rsidR="00325574">
                          <w:t xml:space="preserve"> </w:t>
                        </w:r>
                        <w:r w:rsidR="00325574" w:rsidRPr="00325574">
                          <w:rPr>
                            <w:rFonts w:ascii="Times New Roman" w:hAnsi="Times New Roman" w:cs="Times New Roman"/>
                            <w:szCs w:val="21"/>
                          </w:rPr>
                          <w:t>W.F.C. Holding S.p.A.</w:t>
                        </w:r>
                        <w:r w:rsidR="00325574">
                          <w:rPr>
                            <w:rFonts w:ascii="Times New Roman" w:hAnsi="Times New Roman" w:cs="Times New Roman"/>
                            <w:szCs w:val="21"/>
                          </w:rPr>
                          <w:t xml:space="preserve"> </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217025008"/>
              <w:placeholder>
                <w:docPart w:val="3CFB5CE425494A0B845369A112A16B3A"/>
              </w:placeholder>
            </w:sdtPr>
            <w:sdtEndPr/>
            <w:sdtContent>
              <w:tr w:rsidR="00D21C1F" w14:paraId="58F30BC8" w14:textId="77777777">
                <w:tc>
                  <w:tcPr>
                    <w:tcW w:w="1809" w:type="dxa"/>
                  </w:tcPr>
                  <w:p w14:paraId="6373352C" w14:textId="77777777" w:rsidR="00D21C1F" w:rsidRDefault="00A42880">
                    <w:pPr>
                      <w:rPr>
                        <w:rFonts w:ascii="Times New Roman" w:hAnsi="Times New Roman" w:cs="Times New Roman"/>
                        <w:szCs w:val="21"/>
                      </w:rPr>
                    </w:pPr>
                    <w:r>
                      <w:rPr>
                        <w:rFonts w:ascii="Times New Roman" w:hAnsi="Times New Roman" w:cs="Times New Roman"/>
                        <w:kern w:val="2"/>
                        <w:szCs w:val="21"/>
                      </w:rPr>
                      <w:t>EVOLUT</w:t>
                    </w:r>
                  </w:p>
                </w:tc>
                <w:tc>
                  <w:tcPr>
                    <w:tcW w:w="709" w:type="dxa"/>
                  </w:tcPr>
                  <w:sdt>
                    <w:sdtPr>
                      <w:rPr>
                        <w:rFonts w:ascii="Times New Roman" w:hAnsi="Times New Roman" w:cs="Times New Roman"/>
                        <w:szCs w:val="21"/>
                      </w:rPr>
                      <w:tag w:val="_PLD_289cf7e5c3a845d59c038a21dcd4a571"/>
                      <w:id w:val="2106839421"/>
                      <w:lock w:val="sdtLocked"/>
                    </w:sdtPr>
                    <w:sdtEndPr/>
                    <w:sdtContent>
                      <w:p w14:paraId="55CBC1B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4D42098" w14:textId="77D2B77A"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373825383"/>
                        <w:lock w:val="sdtLocked"/>
                      </w:sdtPr>
                      <w:sdtEndPr/>
                      <w:sdtContent>
                        <w:r w:rsidR="00A42880">
                          <w:rPr>
                            <w:rFonts w:ascii="Times New Roman" w:hAnsi="Times New Roman" w:cs="Times New Roman"/>
                            <w:szCs w:val="21"/>
                          </w:rPr>
                          <w:t>原名</w:t>
                        </w:r>
                        <w:r w:rsidR="00A42880">
                          <w:rPr>
                            <w:rFonts w:ascii="Times New Roman" w:hAnsi="Times New Roman" w:cs="Times New Roman"/>
                            <w:szCs w:val="21"/>
                          </w:rPr>
                          <w:t>Evolut S.p.A.</w:t>
                        </w:r>
                        <w:r w:rsidR="00A42880">
                          <w:rPr>
                            <w:rFonts w:ascii="Times New Roman" w:hAnsi="Times New Roman" w:cs="Times New Roman"/>
                            <w:szCs w:val="21"/>
                          </w:rPr>
                          <w:t>现已更名为</w:t>
                        </w:r>
                        <w:r w:rsidR="00A42880">
                          <w:rPr>
                            <w:rFonts w:ascii="Times New Roman" w:hAnsi="Times New Roman" w:cs="Times New Roman"/>
                            <w:szCs w:val="21"/>
                          </w:rPr>
                          <w:t>Evolut Service S.r.l.</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2005045513"/>
              <w:placeholder>
                <w:docPart w:val="3CFB5CE425494A0B845369A112A16B3A"/>
              </w:placeholder>
            </w:sdtPr>
            <w:sdtEndPr/>
            <w:sdtContent>
              <w:tr w:rsidR="00D21C1F" w14:paraId="46C90D54" w14:textId="77777777">
                <w:tc>
                  <w:tcPr>
                    <w:tcW w:w="1809" w:type="dxa"/>
                  </w:tcPr>
                  <w:p w14:paraId="7F17EA11" w14:textId="77777777" w:rsidR="00D21C1F" w:rsidRDefault="00A42880">
                    <w:pPr>
                      <w:rPr>
                        <w:rFonts w:ascii="Times New Roman" w:hAnsi="Times New Roman" w:cs="Times New Roman"/>
                        <w:szCs w:val="21"/>
                      </w:rPr>
                    </w:pPr>
                    <w:r>
                      <w:rPr>
                        <w:rFonts w:ascii="Times New Roman" w:hAnsi="Times New Roman" w:cs="Times New Roman"/>
                        <w:kern w:val="2"/>
                        <w:szCs w:val="21"/>
                      </w:rPr>
                      <w:t>CMA</w:t>
                    </w:r>
                  </w:p>
                </w:tc>
                <w:tc>
                  <w:tcPr>
                    <w:tcW w:w="709" w:type="dxa"/>
                  </w:tcPr>
                  <w:sdt>
                    <w:sdtPr>
                      <w:rPr>
                        <w:rFonts w:ascii="Times New Roman" w:hAnsi="Times New Roman" w:cs="Times New Roman"/>
                        <w:szCs w:val="21"/>
                      </w:rPr>
                      <w:tag w:val="_PLD_289cf7e5c3a845d59c038a21dcd4a571"/>
                      <w:id w:val="730207574"/>
                      <w:lock w:val="sdtLocked"/>
                    </w:sdtPr>
                    <w:sdtEndPr/>
                    <w:sdtContent>
                      <w:p w14:paraId="537B9C6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82B78E0" w14:textId="69D5CE16"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018848053"/>
                        <w:lock w:val="sdtLocked"/>
                      </w:sdtPr>
                      <w:sdtEndPr/>
                      <w:sdtContent>
                        <w:r w:rsidR="00A42880">
                          <w:rPr>
                            <w:rFonts w:ascii="Times New Roman" w:hAnsi="Times New Roman" w:cs="Times New Roman"/>
                            <w:szCs w:val="21"/>
                          </w:rPr>
                          <w:t>CMA Robotics S.p.A.</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1127079977"/>
              <w:placeholder>
                <w:docPart w:val="3CFB5CE425494A0B845369A112A16B3A"/>
              </w:placeholder>
            </w:sdtPr>
            <w:sdtEndPr/>
            <w:sdtContent>
              <w:tr w:rsidR="00D21C1F" w14:paraId="73ECA27D" w14:textId="77777777">
                <w:tc>
                  <w:tcPr>
                    <w:tcW w:w="1809" w:type="dxa"/>
                  </w:tcPr>
                  <w:p w14:paraId="2A113532" w14:textId="77777777" w:rsidR="00D21C1F" w:rsidRDefault="00A42880">
                    <w:pPr>
                      <w:rPr>
                        <w:rFonts w:ascii="Times New Roman" w:hAnsi="Times New Roman" w:cs="Times New Roman"/>
                        <w:szCs w:val="21"/>
                      </w:rPr>
                    </w:pPr>
                    <w:r>
                      <w:rPr>
                        <w:rFonts w:ascii="Times New Roman" w:hAnsi="Times New Roman" w:cs="Times New Roman"/>
                        <w:kern w:val="2"/>
                        <w:szCs w:val="21"/>
                      </w:rPr>
                      <w:t>CMA GmbH</w:t>
                    </w:r>
                  </w:p>
                </w:tc>
                <w:tc>
                  <w:tcPr>
                    <w:tcW w:w="709" w:type="dxa"/>
                  </w:tcPr>
                  <w:sdt>
                    <w:sdtPr>
                      <w:rPr>
                        <w:rFonts w:ascii="Times New Roman" w:hAnsi="Times New Roman" w:cs="Times New Roman"/>
                        <w:szCs w:val="21"/>
                      </w:rPr>
                      <w:tag w:val="_PLD_289cf7e5c3a845d59c038a21dcd4a571"/>
                      <w:id w:val="1361627723"/>
                      <w:lock w:val="sdtLocked"/>
                    </w:sdtPr>
                    <w:sdtEndPr/>
                    <w:sdtContent>
                      <w:p w14:paraId="7132854B"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A308F0C" w14:textId="4A500B1E"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365797498"/>
                        <w:lock w:val="sdtLocked"/>
                      </w:sdtPr>
                      <w:sdtEndPr/>
                      <w:sdtContent>
                        <w:r w:rsidR="00A42880">
                          <w:rPr>
                            <w:rFonts w:ascii="Times New Roman" w:hAnsi="Times New Roman" w:cs="Times New Roman"/>
                            <w:szCs w:val="21"/>
                          </w:rPr>
                          <w:t>CMA Roboter GmbH</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1579204242"/>
              <w:placeholder>
                <w:docPart w:val="3CFB5CE425494A0B845369A112A16B3A"/>
              </w:placeholder>
            </w:sdtPr>
            <w:sdtEndPr/>
            <w:sdtContent>
              <w:tr w:rsidR="00D21C1F" w14:paraId="10760BE0" w14:textId="77777777">
                <w:tc>
                  <w:tcPr>
                    <w:tcW w:w="1809" w:type="dxa"/>
                  </w:tcPr>
                  <w:p w14:paraId="58227B29" w14:textId="77777777" w:rsidR="00D21C1F" w:rsidRDefault="00A42880">
                    <w:pPr>
                      <w:rPr>
                        <w:rFonts w:ascii="Times New Roman" w:hAnsi="Times New Roman" w:cs="Times New Roman"/>
                        <w:szCs w:val="21"/>
                      </w:rPr>
                    </w:pPr>
                    <w:r>
                      <w:rPr>
                        <w:rFonts w:ascii="Times New Roman" w:hAnsi="Times New Roman" w:cs="Times New Roman"/>
                        <w:kern w:val="2"/>
                        <w:szCs w:val="21"/>
                      </w:rPr>
                      <w:t>Efort Systems</w:t>
                    </w:r>
                  </w:p>
                </w:tc>
                <w:tc>
                  <w:tcPr>
                    <w:tcW w:w="709" w:type="dxa"/>
                  </w:tcPr>
                  <w:sdt>
                    <w:sdtPr>
                      <w:rPr>
                        <w:rFonts w:ascii="Times New Roman" w:hAnsi="Times New Roman" w:cs="Times New Roman"/>
                        <w:szCs w:val="21"/>
                      </w:rPr>
                      <w:tag w:val="_PLD_289cf7e5c3a845d59c038a21dcd4a571"/>
                      <w:id w:val="-938834122"/>
                      <w:lock w:val="sdtLocked"/>
                    </w:sdtPr>
                    <w:sdtEndPr/>
                    <w:sdtContent>
                      <w:p w14:paraId="3DDBC78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381AA7B" w14:textId="7BC751AA"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055528517"/>
                        <w:lock w:val="sdtLocked"/>
                      </w:sdtPr>
                      <w:sdtEndPr/>
                      <w:sdtContent>
                        <w:r w:rsidR="00A42880">
                          <w:rPr>
                            <w:rFonts w:ascii="Times New Roman" w:hAnsi="Times New Roman" w:cs="Times New Roman"/>
                            <w:szCs w:val="21"/>
                          </w:rPr>
                          <w:t>原名</w:t>
                        </w:r>
                        <w:r w:rsidR="00A42880">
                          <w:rPr>
                            <w:rFonts w:ascii="Times New Roman" w:hAnsi="Times New Roman" w:cs="Times New Roman"/>
                            <w:szCs w:val="21"/>
                          </w:rPr>
                          <w:t>Webb Robotica S.r.l.</w:t>
                        </w:r>
                        <w:r w:rsidR="00A42880">
                          <w:rPr>
                            <w:rFonts w:ascii="Times New Roman" w:hAnsi="Times New Roman" w:cs="Times New Roman"/>
                            <w:szCs w:val="21"/>
                          </w:rPr>
                          <w:t>现已更名为</w:t>
                        </w:r>
                        <w:r w:rsidR="00A42880">
                          <w:rPr>
                            <w:rFonts w:ascii="Times New Roman" w:hAnsi="Times New Roman" w:cs="Times New Roman"/>
                            <w:szCs w:val="21"/>
                          </w:rPr>
                          <w:t>EFORT Systems S.r.l.</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518384586"/>
              <w:placeholder>
                <w:docPart w:val="3CFB5CE425494A0B845369A112A16B3A"/>
              </w:placeholder>
            </w:sdtPr>
            <w:sdtEndPr/>
            <w:sdtContent>
              <w:tr w:rsidR="00D21C1F" w14:paraId="29FDF4BD" w14:textId="77777777">
                <w:tc>
                  <w:tcPr>
                    <w:tcW w:w="1809" w:type="dxa"/>
                  </w:tcPr>
                  <w:p w14:paraId="1BB24607" w14:textId="77777777" w:rsidR="00D21C1F" w:rsidRDefault="00A42880">
                    <w:pPr>
                      <w:rPr>
                        <w:rFonts w:ascii="Times New Roman" w:hAnsi="Times New Roman" w:cs="Times New Roman"/>
                        <w:szCs w:val="21"/>
                      </w:rPr>
                    </w:pPr>
                    <w:r>
                      <w:rPr>
                        <w:rFonts w:ascii="Times New Roman" w:hAnsi="Times New Roman" w:cs="Times New Roman"/>
                        <w:kern w:val="2"/>
                        <w:szCs w:val="21"/>
                      </w:rPr>
                      <w:t>OLCI</w:t>
                    </w:r>
                  </w:p>
                </w:tc>
                <w:tc>
                  <w:tcPr>
                    <w:tcW w:w="709" w:type="dxa"/>
                  </w:tcPr>
                  <w:sdt>
                    <w:sdtPr>
                      <w:rPr>
                        <w:rFonts w:ascii="Times New Roman" w:hAnsi="Times New Roman" w:cs="Times New Roman"/>
                        <w:szCs w:val="21"/>
                      </w:rPr>
                      <w:tag w:val="_PLD_289cf7e5c3a845d59c038a21dcd4a571"/>
                      <w:id w:val="1622811643"/>
                      <w:lock w:val="sdtLocked"/>
                    </w:sdtPr>
                    <w:sdtEndPr/>
                    <w:sdtContent>
                      <w:p w14:paraId="2135301E"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083C3DF" w14:textId="2894E9CF"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369066922"/>
                        <w:lock w:val="sdtLocked"/>
                      </w:sdtPr>
                      <w:sdtEndPr/>
                      <w:sdtContent>
                        <w:r w:rsidR="00A42880">
                          <w:rPr>
                            <w:rFonts w:ascii="Times New Roman" w:hAnsi="Times New Roman" w:cs="Times New Roman"/>
                            <w:szCs w:val="21"/>
                          </w:rPr>
                          <w:t>O.L.C.I. Engineering S.r.l</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1752615135"/>
              <w:placeholder>
                <w:docPart w:val="3CFB5CE425494A0B845369A112A16B3A"/>
              </w:placeholder>
            </w:sdtPr>
            <w:sdtEndPr/>
            <w:sdtContent>
              <w:tr w:rsidR="00D21C1F" w14:paraId="7A469B0E" w14:textId="77777777">
                <w:tc>
                  <w:tcPr>
                    <w:tcW w:w="1809" w:type="dxa"/>
                  </w:tcPr>
                  <w:p w14:paraId="0EA2CF61" w14:textId="77777777" w:rsidR="00D21C1F" w:rsidRDefault="00A42880">
                    <w:pPr>
                      <w:rPr>
                        <w:rFonts w:ascii="Times New Roman" w:hAnsi="Times New Roman" w:cs="Times New Roman"/>
                        <w:szCs w:val="21"/>
                      </w:rPr>
                    </w:pPr>
                    <w:r>
                      <w:rPr>
                        <w:rFonts w:ascii="Times New Roman" w:hAnsi="Times New Roman" w:cs="Times New Roman"/>
                        <w:kern w:val="2"/>
                        <w:szCs w:val="21"/>
                      </w:rPr>
                      <w:t>OLCI India</w:t>
                    </w:r>
                  </w:p>
                </w:tc>
                <w:tc>
                  <w:tcPr>
                    <w:tcW w:w="709" w:type="dxa"/>
                  </w:tcPr>
                  <w:sdt>
                    <w:sdtPr>
                      <w:rPr>
                        <w:rFonts w:ascii="Times New Roman" w:hAnsi="Times New Roman" w:cs="Times New Roman"/>
                        <w:szCs w:val="21"/>
                      </w:rPr>
                      <w:tag w:val="_PLD_289cf7e5c3a845d59c038a21dcd4a571"/>
                      <w:id w:val="-1426104789"/>
                      <w:lock w:val="sdtLocked"/>
                    </w:sdtPr>
                    <w:sdtEndPr/>
                    <w:sdtContent>
                      <w:p w14:paraId="16FA721D"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20F88D04" w14:textId="73DA7832"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86693477"/>
                        <w:lock w:val="sdtLocked"/>
                      </w:sdtPr>
                      <w:sdtEndPr/>
                      <w:sdtContent>
                        <w:r w:rsidR="00A42880">
                          <w:rPr>
                            <w:rFonts w:ascii="Times New Roman" w:hAnsi="Times New Roman" w:cs="Times New Roman"/>
                            <w:szCs w:val="21"/>
                          </w:rPr>
                          <w:t>O.L.C.I. ENGINEERING INDIA PRIVATE LIMITED</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799300513"/>
              <w:placeholder>
                <w:docPart w:val="3CFB5CE425494A0B845369A112A16B3A"/>
              </w:placeholder>
            </w:sdtPr>
            <w:sdtEndPr/>
            <w:sdtContent>
              <w:tr w:rsidR="00D21C1F" w14:paraId="25B7BD24" w14:textId="77777777">
                <w:tc>
                  <w:tcPr>
                    <w:tcW w:w="1809" w:type="dxa"/>
                  </w:tcPr>
                  <w:p w14:paraId="01B768AB" w14:textId="77777777" w:rsidR="00D21C1F" w:rsidRDefault="00A42880">
                    <w:pPr>
                      <w:rPr>
                        <w:rFonts w:ascii="Times New Roman" w:hAnsi="Times New Roman" w:cs="Times New Roman"/>
                        <w:szCs w:val="21"/>
                      </w:rPr>
                    </w:pPr>
                    <w:r>
                      <w:rPr>
                        <w:rFonts w:ascii="Times New Roman" w:hAnsi="Times New Roman" w:cs="Times New Roman"/>
                        <w:szCs w:val="21"/>
                      </w:rPr>
                      <w:t>GME</w:t>
                    </w:r>
                  </w:p>
                </w:tc>
                <w:tc>
                  <w:tcPr>
                    <w:tcW w:w="709" w:type="dxa"/>
                  </w:tcPr>
                  <w:sdt>
                    <w:sdtPr>
                      <w:rPr>
                        <w:rFonts w:ascii="Times New Roman" w:hAnsi="Times New Roman" w:cs="Times New Roman"/>
                        <w:szCs w:val="21"/>
                      </w:rPr>
                      <w:tag w:val="_PLD_289cf7e5c3a845d59c038a21dcd4a571"/>
                      <w:id w:val="2057514351"/>
                      <w:lock w:val="sdtLocked"/>
                    </w:sdtPr>
                    <w:sdtEndPr/>
                    <w:sdtContent>
                      <w:p w14:paraId="74370FE8"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F6A226D" w14:textId="1F4219BE"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493599796"/>
                        <w:lock w:val="sdtLocked"/>
                      </w:sdtPr>
                      <w:sdtEndPr/>
                      <w:sdtContent>
                        <w:r w:rsidR="00A42880">
                          <w:rPr>
                            <w:rFonts w:ascii="Times New Roman" w:hAnsi="Times New Roman" w:cs="Times New Roman"/>
                            <w:szCs w:val="21"/>
                          </w:rPr>
                          <w:t>GME Aerospace Indústria de Material Composto S.A.</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1213774795"/>
              <w:placeholder>
                <w:docPart w:val="3CFB5CE425494A0B845369A112A16B3A"/>
              </w:placeholder>
            </w:sdtPr>
            <w:sdtEndPr/>
            <w:sdtContent>
              <w:tr w:rsidR="00D21C1F" w14:paraId="0A485FF3" w14:textId="77777777">
                <w:tc>
                  <w:tcPr>
                    <w:tcW w:w="1809" w:type="dxa"/>
                  </w:tcPr>
                  <w:p w14:paraId="14DFC634" w14:textId="77777777" w:rsidR="00D21C1F" w:rsidRDefault="00A42880">
                    <w:pPr>
                      <w:rPr>
                        <w:rFonts w:ascii="Times New Roman" w:hAnsi="Times New Roman" w:cs="Times New Roman"/>
                        <w:szCs w:val="21"/>
                      </w:rPr>
                    </w:pPr>
                    <w:r>
                      <w:rPr>
                        <w:rFonts w:ascii="Times New Roman" w:hAnsi="Times New Roman" w:cs="Times New Roman"/>
                        <w:kern w:val="2"/>
                        <w:szCs w:val="21"/>
                      </w:rPr>
                      <w:t>ECG</w:t>
                    </w:r>
                  </w:p>
                </w:tc>
                <w:tc>
                  <w:tcPr>
                    <w:tcW w:w="709" w:type="dxa"/>
                  </w:tcPr>
                  <w:sdt>
                    <w:sdtPr>
                      <w:rPr>
                        <w:rFonts w:ascii="Times New Roman" w:hAnsi="Times New Roman" w:cs="Times New Roman"/>
                        <w:szCs w:val="21"/>
                      </w:rPr>
                      <w:tag w:val="_PLD_289cf7e5c3a845d59c038a21dcd4a571"/>
                      <w:id w:val="970561428"/>
                      <w:lock w:val="sdtLocked"/>
                    </w:sdtPr>
                    <w:sdtEndPr/>
                    <w:sdtContent>
                      <w:p w14:paraId="67C36E3D"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F690096" w14:textId="45E24000"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883285657"/>
                        <w:lock w:val="sdtLocked"/>
                      </w:sdtPr>
                      <w:sdtEndPr/>
                      <w:sdtContent>
                        <w:r w:rsidR="00A42880">
                          <w:rPr>
                            <w:rFonts w:ascii="Times New Roman" w:hAnsi="Times New Roman" w:cs="Times New Roman"/>
                            <w:szCs w:val="21"/>
                          </w:rPr>
                          <w:t>ECG Administra ção e Participa ções Ltda.</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r w:rsidR="00A42880">
                          <w:rPr>
                            <w:rFonts w:ascii="Times New Roman" w:hAnsi="Times New Roman" w:cs="Times New Roman"/>
                            <w:szCs w:val="21"/>
                          </w:rPr>
                          <w:t>,</w:t>
                        </w:r>
                        <w:r w:rsidR="00A42880">
                          <w:rPr>
                            <w:rFonts w:ascii="Times New Roman" w:hAnsi="Times New Roman" w:cs="Times New Roman"/>
                            <w:szCs w:val="21"/>
                          </w:rPr>
                          <w:t>现已注销</w:t>
                        </w:r>
                      </w:sdtContent>
                    </w:sdt>
                  </w:p>
                </w:tc>
              </w:tr>
            </w:sdtContent>
          </w:sdt>
          <w:sdt>
            <w:sdtPr>
              <w:rPr>
                <w:rFonts w:ascii="Times New Roman" w:hAnsi="Times New Roman" w:cs="Times New Roman"/>
                <w:kern w:val="2"/>
                <w:szCs w:val="21"/>
              </w:rPr>
              <w:alias w:val="释义"/>
              <w:tag w:val="_GBC_ca5c2cb7a4e545e2b2d9d1b94b528746"/>
              <w:id w:val="1561596720"/>
              <w:placeholder>
                <w:docPart w:val="3CFB5CE425494A0B845369A112A16B3A"/>
              </w:placeholder>
            </w:sdtPr>
            <w:sdtEndPr/>
            <w:sdtContent>
              <w:tr w:rsidR="00D21C1F" w14:paraId="4FD1C149" w14:textId="77777777">
                <w:tc>
                  <w:tcPr>
                    <w:tcW w:w="1809" w:type="dxa"/>
                  </w:tcPr>
                  <w:p w14:paraId="15959E82" w14:textId="77777777" w:rsidR="00D21C1F" w:rsidRDefault="00A42880">
                    <w:pPr>
                      <w:rPr>
                        <w:rFonts w:ascii="Times New Roman" w:hAnsi="Times New Roman" w:cs="Times New Roman"/>
                        <w:szCs w:val="21"/>
                      </w:rPr>
                    </w:pPr>
                    <w:r>
                      <w:rPr>
                        <w:rFonts w:ascii="Times New Roman" w:hAnsi="Times New Roman" w:cs="Times New Roman"/>
                        <w:szCs w:val="21"/>
                      </w:rPr>
                      <w:t>Autorobot</w:t>
                    </w:r>
                  </w:p>
                </w:tc>
                <w:tc>
                  <w:tcPr>
                    <w:tcW w:w="709" w:type="dxa"/>
                  </w:tcPr>
                  <w:sdt>
                    <w:sdtPr>
                      <w:rPr>
                        <w:rFonts w:ascii="Times New Roman" w:hAnsi="Times New Roman" w:cs="Times New Roman"/>
                        <w:szCs w:val="21"/>
                      </w:rPr>
                      <w:tag w:val="_PLD_289cf7e5c3a845d59c038a21dcd4a571"/>
                      <w:id w:val="-873157201"/>
                      <w:lock w:val="sdtLocked"/>
                    </w:sdtPr>
                    <w:sdtEndPr/>
                    <w:sdtContent>
                      <w:p w14:paraId="27EEA1AB"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8BCD8B1" w14:textId="13BE1FC3"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794330057"/>
                        <w:lock w:val="sdtLocked"/>
                      </w:sdtPr>
                      <w:sdtEndPr/>
                      <w:sdtContent>
                        <w:r w:rsidR="00A42880">
                          <w:rPr>
                            <w:rFonts w:ascii="Times New Roman" w:hAnsi="Times New Roman" w:cs="Times New Roman"/>
                            <w:szCs w:val="21"/>
                          </w:rPr>
                          <w:t>“AUTOROBOT-STREFA”Spółka z ograniczoną odpowied zialnością</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1423180089"/>
              <w:placeholder>
                <w:docPart w:val="3CFB5CE425494A0B845369A112A16B3A"/>
              </w:placeholder>
            </w:sdtPr>
            <w:sdtEndPr/>
            <w:sdtContent>
              <w:tr w:rsidR="00D21C1F" w14:paraId="497BA88C" w14:textId="77777777">
                <w:tc>
                  <w:tcPr>
                    <w:tcW w:w="1809" w:type="dxa"/>
                  </w:tcPr>
                  <w:p w14:paraId="3CF0F632" w14:textId="77777777" w:rsidR="00D21C1F" w:rsidRDefault="00A42880">
                    <w:pPr>
                      <w:rPr>
                        <w:rFonts w:ascii="Times New Roman" w:hAnsi="Times New Roman" w:cs="Times New Roman"/>
                        <w:szCs w:val="21"/>
                      </w:rPr>
                    </w:pPr>
                    <w:r>
                      <w:rPr>
                        <w:rFonts w:ascii="Times New Roman" w:hAnsi="Times New Roman" w:cs="Times New Roman"/>
                        <w:szCs w:val="21"/>
                      </w:rPr>
                      <w:t>Efort Europe</w:t>
                    </w:r>
                  </w:p>
                </w:tc>
                <w:tc>
                  <w:tcPr>
                    <w:tcW w:w="709" w:type="dxa"/>
                  </w:tcPr>
                  <w:sdt>
                    <w:sdtPr>
                      <w:rPr>
                        <w:rFonts w:ascii="Times New Roman" w:hAnsi="Times New Roman" w:cs="Times New Roman"/>
                        <w:szCs w:val="21"/>
                      </w:rPr>
                      <w:tag w:val="_PLD_289cf7e5c3a845d59c038a21dcd4a571"/>
                      <w:id w:val="1664808716"/>
                      <w:lock w:val="sdtLocked"/>
                    </w:sdtPr>
                    <w:sdtEndPr/>
                    <w:sdtContent>
                      <w:p w14:paraId="0321AC7E"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DE30676" w14:textId="7FD5348F"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362825138"/>
                        <w:lock w:val="sdtLocked"/>
                      </w:sdtPr>
                      <w:sdtEndPr/>
                      <w:sdtContent>
                        <w:r w:rsidR="00A42880">
                          <w:rPr>
                            <w:rFonts w:ascii="Times New Roman" w:hAnsi="Times New Roman" w:cs="Times New Roman"/>
                            <w:szCs w:val="21"/>
                          </w:rPr>
                          <w:t>Efort Europe S.r.l.</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110441446"/>
              <w:placeholder>
                <w:docPart w:val="3CFB5CE425494A0B845369A112A16B3A"/>
              </w:placeholder>
            </w:sdtPr>
            <w:sdtEndPr/>
            <w:sdtContent>
              <w:tr w:rsidR="00D21C1F" w14:paraId="1DBC78FB" w14:textId="77777777">
                <w:tc>
                  <w:tcPr>
                    <w:tcW w:w="1809" w:type="dxa"/>
                  </w:tcPr>
                  <w:p w14:paraId="27FDDEE0" w14:textId="77777777" w:rsidR="00D21C1F" w:rsidRDefault="00A42880">
                    <w:pPr>
                      <w:rPr>
                        <w:rFonts w:ascii="Times New Roman" w:hAnsi="Times New Roman" w:cs="Times New Roman"/>
                        <w:szCs w:val="21"/>
                      </w:rPr>
                    </w:pPr>
                    <w:r>
                      <w:rPr>
                        <w:rFonts w:ascii="Times New Roman" w:hAnsi="Times New Roman" w:cs="Times New Roman"/>
                        <w:szCs w:val="21"/>
                      </w:rPr>
                      <w:t>Efort France</w:t>
                    </w:r>
                  </w:p>
                </w:tc>
                <w:tc>
                  <w:tcPr>
                    <w:tcW w:w="709" w:type="dxa"/>
                  </w:tcPr>
                  <w:sdt>
                    <w:sdtPr>
                      <w:rPr>
                        <w:rFonts w:ascii="Times New Roman" w:hAnsi="Times New Roman" w:cs="Times New Roman"/>
                        <w:szCs w:val="21"/>
                      </w:rPr>
                      <w:tag w:val="_PLD_289cf7e5c3a845d59c038a21dcd4a571"/>
                      <w:id w:val="2089116897"/>
                      <w:lock w:val="sdtLocked"/>
                    </w:sdtPr>
                    <w:sdtEndPr/>
                    <w:sdtContent>
                      <w:p w14:paraId="515BECF3"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E9DFB3F" w14:textId="314E3F0C"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628043928"/>
                        <w:lock w:val="sdtLocked"/>
                      </w:sdtPr>
                      <w:sdtEndPr/>
                      <w:sdtContent>
                        <w:r w:rsidR="00A42880">
                          <w:rPr>
                            <w:rFonts w:ascii="Times New Roman" w:hAnsi="Times New Roman" w:cs="Times New Roman"/>
                            <w:szCs w:val="21"/>
                          </w:rPr>
                          <w:t>Efort France S.A.S.</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子公司</w:t>
                        </w:r>
                      </w:sdtContent>
                    </w:sdt>
                  </w:p>
                </w:tc>
              </w:tr>
            </w:sdtContent>
          </w:sdt>
          <w:sdt>
            <w:sdtPr>
              <w:rPr>
                <w:rFonts w:ascii="Times New Roman" w:hAnsi="Times New Roman" w:cs="Times New Roman"/>
                <w:kern w:val="2"/>
                <w:szCs w:val="21"/>
              </w:rPr>
              <w:alias w:val="释义"/>
              <w:tag w:val="_GBC_ca5c2cb7a4e545e2b2d9d1b94b528746"/>
              <w:id w:val="1961763876"/>
              <w:placeholder>
                <w:docPart w:val="3CFB5CE425494A0B845369A112A16B3A"/>
              </w:placeholder>
            </w:sdtPr>
            <w:sdtEndPr/>
            <w:sdtContent>
              <w:tr w:rsidR="00D21C1F" w14:paraId="7E251C01" w14:textId="77777777">
                <w:tc>
                  <w:tcPr>
                    <w:tcW w:w="1809" w:type="dxa"/>
                  </w:tcPr>
                  <w:p w14:paraId="6279E789" w14:textId="77777777" w:rsidR="00D21C1F" w:rsidRDefault="00A42880">
                    <w:pPr>
                      <w:rPr>
                        <w:rFonts w:ascii="Times New Roman" w:hAnsi="Times New Roman" w:cs="Times New Roman"/>
                        <w:szCs w:val="21"/>
                      </w:rPr>
                    </w:pPr>
                    <w:r>
                      <w:rPr>
                        <w:rFonts w:ascii="Times New Roman" w:hAnsi="Times New Roman" w:cs="Times New Roman"/>
                        <w:szCs w:val="21"/>
                      </w:rPr>
                      <w:t>ROBOX</w:t>
                    </w:r>
                  </w:p>
                </w:tc>
                <w:tc>
                  <w:tcPr>
                    <w:tcW w:w="709" w:type="dxa"/>
                  </w:tcPr>
                  <w:sdt>
                    <w:sdtPr>
                      <w:rPr>
                        <w:rFonts w:ascii="Times New Roman" w:hAnsi="Times New Roman" w:cs="Times New Roman"/>
                        <w:szCs w:val="21"/>
                      </w:rPr>
                      <w:tag w:val="_PLD_289cf7e5c3a845d59c038a21dcd4a571"/>
                      <w:id w:val="1794162741"/>
                      <w:lock w:val="sdtLocked"/>
                    </w:sdtPr>
                    <w:sdtEndPr/>
                    <w:sdtContent>
                      <w:p w14:paraId="79B44F01"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547CA35" w14:textId="21D574D2"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403959113"/>
                        <w:lock w:val="sdtLocked"/>
                      </w:sdtPr>
                      <w:sdtEndPr/>
                      <w:sdtContent>
                        <w:r w:rsidR="00A42880">
                          <w:rPr>
                            <w:rFonts w:ascii="Times New Roman" w:hAnsi="Times New Roman" w:cs="Times New Roman"/>
                            <w:szCs w:val="21"/>
                          </w:rPr>
                          <w:t>ROBOX S.p.A.</w:t>
                        </w:r>
                        <w:r w:rsidR="00A42880">
                          <w:rPr>
                            <w:rFonts w:ascii="Times New Roman" w:hAnsi="Times New Roman" w:cs="Times New Roman"/>
                            <w:szCs w:val="21"/>
                          </w:rPr>
                          <w:t>，系公司的</w:t>
                        </w:r>
                        <w:r w:rsidR="00D07E51">
                          <w:rPr>
                            <w:rFonts w:ascii="Times New Roman" w:hAnsi="Times New Roman" w:cs="Times New Roman"/>
                            <w:szCs w:val="21"/>
                          </w:rPr>
                          <w:t>境外</w:t>
                        </w:r>
                        <w:r w:rsidR="00A42880">
                          <w:rPr>
                            <w:rFonts w:ascii="Times New Roman" w:hAnsi="Times New Roman" w:cs="Times New Roman"/>
                            <w:szCs w:val="21"/>
                          </w:rPr>
                          <w:t>参股公司</w:t>
                        </w:r>
                      </w:sdtContent>
                    </w:sdt>
                  </w:p>
                </w:tc>
              </w:tr>
            </w:sdtContent>
          </w:sdt>
          <w:sdt>
            <w:sdtPr>
              <w:rPr>
                <w:rFonts w:ascii="Times New Roman" w:hAnsi="Times New Roman" w:cs="Times New Roman"/>
                <w:kern w:val="2"/>
                <w:szCs w:val="21"/>
              </w:rPr>
              <w:alias w:val="释义"/>
              <w:tag w:val="_GBC_ca5c2cb7a4e545e2b2d9d1b94b528746"/>
              <w:id w:val="-359507040"/>
              <w:placeholder>
                <w:docPart w:val="3CFB5CE425494A0B845369A112A16B3A"/>
              </w:placeholder>
            </w:sdtPr>
            <w:sdtEndPr/>
            <w:sdtContent>
              <w:tr w:rsidR="00D21C1F" w14:paraId="7622AACF" w14:textId="77777777">
                <w:tc>
                  <w:tcPr>
                    <w:tcW w:w="1809" w:type="dxa"/>
                  </w:tcPr>
                  <w:p w14:paraId="70B060E0" w14:textId="77777777" w:rsidR="00D21C1F" w:rsidRDefault="00A42880">
                    <w:pPr>
                      <w:rPr>
                        <w:rFonts w:ascii="Times New Roman" w:hAnsi="Times New Roman" w:cs="Times New Roman"/>
                        <w:szCs w:val="21"/>
                      </w:rPr>
                    </w:pPr>
                    <w:r>
                      <w:rPr>
                        <w:rFonts w:ascii="Times New Roman" w:hAnsi="Times New Roman" w:cs="Times New Roman"/>
                        <w:szCs w:val="21"/>
                      </w:rPr>
                      <w:t>奥一精机</w:t>
                    </w:r>
                  </w:p>
                </w:tc>
                <w:tc>
                  <w:tcPr>
                    <w:tcW w:w="709" w:type="dxa"/>
                  </w:tcPr>
                  <w:sdt>
                    <w:sdtPr>
                      <w:rPr>
                        <w:rFonts w:ascii="Times New Roman" w:hAnsi="Times New Roman" w:cs="Times New Roman"/>
                        <w:szCs w:val="21"/>
                      </w:rPr>
                      <w:tag w:val="_PLD_289cf7e5c3a845d59c038a21dcd4a571"/>
                      <w:id w:val="-1260989655"/>
                      <w:lock w:val="sdtLocked"/>
                    </w:sdtPr>
                    <w:sdtEndPr/>
                    <w:sdtContent>
                      <w:p w14:paraId="39815DC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2F82EA8"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976652322"/>
                        <w:lock w:val="sdtLocked"/>
                      </w:sdtPr>
                      <w:sdtEndPr/>
                      <w:sdtContent>
                        <w:r w:rsidR="00A42880">
                          <w:rPr>
                            <w:rFonts w:ascii="Times New Roman" w:hAnsi="Times New Roman" w:cs="Times New Roman"/>
                            <w:szCs w:val="21"/>
                          </w:rPr>
                          <w:t>芜湖奥一精机有限公司，系公司的参股公司</w:t>
                        </w:r>
                      </w:sdtContent>
                    </w:sdt>
                  </w:p>
                </w:tc>
              </w:tr>
            </w:sdtContent>
          </w:sdt>
          <w:sdt>
            <w:sdtPr>
              <w:rPr>
                <w:rFonts w:ascii="Times New Roman" w:hAnsi="Times New Roman" w:cs="Times New Roman"/>
                <w:kern w:val="2"/>
                <w:szCs w:val="21"/>
              </w:rPr>
              <w:alias w:val="释义"/>
              <w:tag w:val="_GBC_ca5c2cb7a4e545e2b2d9d1b94b528746"/>
              <w:id w:val="759947556"/>
              <w:placeholder>
                <w:docPart w:val="3CFB5CE425494A0B845369A112A16B3A"/>
              </w:placeholder>
            </w:sdtPr>
            <w:sdtEndPr/>
            <w:sdtContent>
              <w:tr w:rsidR="00D21C1F" w14:paraId="30E9E3B8" w14:textId="77777777">
                <w:tc>
                  <w:tcPr>
                    <w:tcW w:w="1809" w:type="dxa"/>
                  </w:tcPr>
                  <w:p w14:paraId="2AFFC7DA" w14:textId="77777777" w:rsidR="00D21C1F" w:rsidRDefault="00A42880">
                    <w:pPr>
                      <w:rPr>
                        <w:rFonts w:ascii="Times New Roman" w:hAnsi="Times New Roman" w:cs="Times New Roman"/>
                        <w:szCs w:val="21"/>
                      </w:rPr>
                    </w:pPr>
                    <w:r>
                      <w:rPr>
                        <w:rFonts w:ascii="Times New Roman" w:hAnsi="Times New Roman" w:cs="Times New Roman"/>
                        <w:szCs w:val="21"/>
                      </w:rPr>
                      <w:t>瑞埃研究院</w:t>
                    </w:r>
                  </w:p>
                </w:tc>
                <w:tc>
                  <w:tcPr>
                    <w:tcW w:w="709" w:type="dxa"/>
                  </w:tcPr>
                  <w:sdt>
                    <w:sdtPr>
                      <w:rPr>
                        <w:rFonts w:ascii="Times New Roman" w:hAnsi="Times New Roman" w:cs="Times New Roman"/>
                        <w:szCs w:val="21"/>
                      </w:rPr>
                      <w:tag w:val="_PLD_289cf7e5c3a845d59c038a21dcd4a571"/>
                      <w:id w:val="1868407771"/>
                      <w:lock w:val="sdtLocked"/>
                    </w:sdtPr>
                    <w:sdtEndPr/>
                    <w:sdtContent>
                      <w:p w14:paraId="31A2CB6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D6182F6"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921512896"/>
                        <w:lock w:val="sdtLocked"/>
                      </w:sdtPr>
                      <w:sdtEndPr/>
                      <w:sdtContent>
                        <w:r w:rsidR="00A42880">
                          <w:rPr>
                            <w:rFonts w:ascii="Times New Roman" w:hAnsi="Times New Roman" w:cs="Times New Roman"/>
                            <w:szCs w:val="21"/>
                          </w:rPr>
                          <w:t>安徽瑞埃工业机器人研究院有限公司，系公司的参股公司</w:t>
                        </w:r>
                      </w:sdtContent>
                    </w:sdt>
                  </w:p>
                </w:tc>
              </w:tr>
            </w:sdtContent>
          </w:sdt>
          <w:sdt>
            <w:sdtPr>
              <w:rPr>
                <w:rFonts w:ascii="Times New Roman" w:hAnsi="Times New Roman" w:cs="Times New Roman"/>
                <w:kern w:val="2"/>
                <w:szCs w:val="21"/>
              </w:rPr>
              <w:alias w:val="释义"/>
              <w:tag w:val="_GBC_ca5c2cb7a4e545e2b2d9d1b94b528746"/>
              <w:id w:val="148949104"/>
              <w:placeholder>
                <w:docPart w:val="3CFB5CE425494A0B845369A112A16B3A"/>
              </w:placeholder>
            </w:sdtPr>
            <w:sdtEndPr/>
            <w:sdtContent>
              <w:tr w:rsidR="00D21C1F" w14:paraId="3F671F8C" w14:textId="77777777">
                <w:tc>
                  <w:tcPr>
                    <w:tcW w:w="1809" w:type="dxa"/>
                  </w:tcPr>
                  <w:p w14:paraId="17D1E735" w14:textId="77777777" w:rsidR="00D21C1F" w:rsidRDefault="00A42880">
                    <w:pPr>
                      <w:rPr>
                        <w:rFonts w:ascii="Times New Roman" w:hAnsi="Times New Roman" w:cs="Times New Roman"/>
                        <w:szCs w:val="21"/>
                      </w:rPr>
                    </w:pPr>
                    <w:r>
                      <w:rPr>
                        <w:rFonts w:ascii="Times New Roman" w:hAnsi="Times New Roman" w:cs="Times New Roman"/>
                        <w:szCs w:val="21"/>
                      </w:rPr>
                      <w:t>工布智造</w:t>
                    </w:r>
                  </w:p>
                </w:tc>
                <w:tc>
                  <w:tcPr>
                    <w:tcW w:w="709" w:type="dxa"/>
                  </w:tcPr>
                  <w:sdt>
                    <w:sdtPr>
                      <w:rPr>
                        <w:rFonts w:ascii="Times New Roman" w:hAnsi="Times New Roman" w:cs="Times New Roman"/>
                        <w:szCs w:val="21"/>
                      </w:rPr>
                      <w:tag w:val="_PLD_289cf7e5c3a845d59c038a21dcd4a571"/>
                      <w:id w:val="-1706859643"/>
                      <w:lock w:val="sdtLocked"/>
                    </w:sdtPr>
                    <w:sdtEndPr/>
                    <w:sdtContent>
                      <w:p w14:paraId="6A9F9C2A"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836F524"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171061827"/>
                        <w:lock w:val="sdtLocked"/>
                      </w:sdtPr>
                      <w:sdtEndPr/>
                      <w:sdtContent>
                        <w:r w:rsidR="00A42880">
                          <w:rPr>
                            <w:rFonts w:ascii="Times New Roman" w:hAnsi="Times New Roman" w:cs="Times New Roman"/>
                            <w:szCs w:val="21"/>
                          </w:rPr>
                          <w:t>安徽工布智造工业科技有限公司，系公司的参股公司</w:t>
                        </w:r>
                      </w:sdtContent>
                    </w:sdt>
                  </w:p>
                </w:tc>
              </w:tr>
            </w:sdtContent>
          </w:sdt>
          <w:sdt>
            <w:sdtPr>
              <w:rPr>
                <w:rFonts w:ascii="Times New Roman" w:hAnsi="Times New Roman" w:cs="Times New Roman"/>
                <w:kern w:val="2"/>
                <w:szCs w:val="21"/>
              </w:rPr>
              <w:alias w:val="释义"/>
              <w:tag w:val="_GBC_ca5c2cb7a4e545e2b2d9d1b94b528746"/>
              <w:id w:val="-1854099764"/>
              <w:placeholder>
                <w:docPart w:val="3CFB5CE425494A0B845369A112A16B3A"/>
              </w:placeholder>
            </w:sdtPr>
            <w:sdtEndPr/>
            <w:sdtContent>
              <w:tr w:rsidR="00D21C1F" w14:paraId="39CE7B05" w14:textId="77777777">
                <w:tc>
                  <w:tcPr>
                    <w:tcW w:w="1809" w:type="dxa"/>
                  </w:tcPr>
                  <w:p w14:paraId="723223E9" w14:textId="77777777" w:rsidR="00D21C1F" w:rsidRDefault="00A42880">
                    <w:pPr>
                      <w:rPr>
                        <w:rFonts w:ascii="Times New Roman" w:hAnsi="Times New Roman" w:cs="Times New Roman"/>
                        <w:szCs w:val="21"/>
                      </w:rPr>
                    </w:pPr>
                    <w:r>
                      <w:rPr>
                        <w:rFonts w:ascii="Times New Roman" w:hAnsi="Times New Roman" w:cs="Times New Roman"/>
                        <w:kern w:val="2"/>
                        <w:szCs w:val="21"/>
                      </w:rPr>
                      <w:t>海螺中南</w:t>
                    </w:r>
                  </w:p>
                </w:tc>
                <w:tc>
                  <w:tcPr>
                    <w:tcW w:w="709" w:type="dxa"/>
                  </w:tcPr>
                  <w:sdt>
                    <w:sdtPr>
                      <w:rPr>
                        <w:rFonts w:ascii="Times New Roman" w:hAnsi="Times New Roman" w:cs="Times New Roman"/>
                        <w:szCs w:val="21"/>
                      </w:rPr>
                      <w:tag w:val="_PLD_289cf7e5c3a845d59c038a21dcd4a571"/>
                      <w:id w:val="-866600764"/>
                      <w:lock w:val="sdtLocked"/>
                    </w:sdtPr>
                    <w:sdtEndPr/>
                    <w:sdtContent>
                      <w:p w14:paraId="08988A9F"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F0ABBAB"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908198290"/>
                        <w:lock w:val="sdtLocked"/>
                      </w:sdtPr>
                      <w:sdtEndPr/>
                      <w:sdtContent>
                        <w:r w:rsidR="00A42880">
                          <w:rPr>
                            <w:rFonts w:ascii="Times New Roman" w:hAnsi="Times New Roman" w:cs="Times New Roman"/>
                            <w:szCs w:val="21"/>
                          </w:rPr>
                          <w:t>安徽海螺中南智能机器人有限责任公司，系公司的参股公司</w:t>
                        </w:r>
                      </w:sdtContent>
                    </w:sdt>
                  </w:p>
                </w:tc>
              </w:tr>
            </w:sdtContent>
          </w:sdt>
          <w:sdt>
            <w:sdtPr>
              <w:rPr>
                <w:rFonts w:ascii="Times New Roman" w:hAnsi="Times New Roman" w:cs="Times New Roman"/>
                <w:kern w:val="2"/>
                <w:szCs w:val="21"/>
              </w:rPr>
              <w:alias w:val="释义"/>
              <w:tag w:val="_GBC_ca5c2cb7a4e545e2b2d9d1b94b528746"/>
              <w:id w:val="-1583595047"/>
              <w:placeholder>
                <w:docPart w:val="3CFB5CE425494A0B845369A112A16B3A"/>
              </w:placeholder>
            </w:sdtPr>
            <w:sdtEndPr/>
            <w:sdtContent>
              <w:tr w:rsidR="00D21C1F" w14:paraId="453DB976" w14:textId="77777777">
                <w:tc>
                  <w:tcPr>
                    <w:tcW w:w="1809" w:type="dxa"/>
                  </w:tcPr>
                  <w:p w14:paraId="415237DF" w14:textId="77777777" w:rsidR="00D21C1F" w:rsidRDefault="00A42880">
                    <w:pPr>
                      <w:rPr>
                        <w:rFonts w:ascii="Times New Roman" w:hAnsi="Times New Roman" w:cs="Times New Roman"/>
                        <w:szCs w:val="21"/>
                      </w:rPr>
                    </w:pPr>
                    <w:r>
                      <w:rPr>
                        <w:rFonts w:ascii="Times New Roman" w:hAnsi="Times New Roman" w:cs="Times New Roman"/>
                        <w:szCs w:val="21"/>
                      </w:rPr>
                      <w:t>汇有美</w:t>
                    </w:r>
                  </w:p>
                </w:tc>
                <w:tc>
                  <w:tcPr>
                    <w:tcW w:w="709" w:type="dxa"/>
                  </w:tcPr>
                  <w:sdt>
                    <w:sdtPr>
                      <w:rPr>
                        <w:rFonts w:ascii="Times New Roman" w:hAnsi="Times New Roman" w:cs="Times New Roman"/>
                        <w:szCs w:val="21"/>
                      </w:rPr>
                      <w:tag w:val="_PLD_289cf7e5c3a845d59c038a21dcd4a571"/>
                      <w:id w:val="993373991"/>
                      <w:lock w:val="sdtLocked"/>
                    </w:sdtPr>
                    <w:sdtEndPr/>
                    <w:sdtContent>
                      <w:p w14:paraId="0A3643AD"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ECEF945"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60548847"/>
                        <w:lock w:val="sdtLocked"/>
                      </w:sdtPr>
                      <w:sdtEndPr/>
                      <w:sdtContent>
                        <w:r w:rsidR="00A42880">
                          <w:rPr>
                            <w:rFonts w:ascii="Times New Roman" w:hAnsi="Times New Roman" w:cs="Times New Roman"/>
                            <w:szCs w:val="21"/>
                          </w:rPr>
                          <w:t>江西汇有美智能涂装科技有限公司，系公司的参股公司</w:t>
                        </w:r>
                      </w:sdtContent>
                    </w:sdt>
                  </w:p>
                </w:tc>
              </w:tr>
            </w:sdtContent>
          </w:sdt>
          <w:sdt>
            <w:sdtPr>
              <w:rPr>
                <w:rFonts w:ascii="Times New Roman" w:hAnsi="Times New Roman" w:cs="Times New Roman"/>
                <w:kern w:val="2"/>
                <w:szCs w:val="21"/>
              </w:rPr>
              <w:alias w:val="释义"/>
              <w:tag w:val="_GBC_ca5c2cb7a4e545e2b2d9d1b94b528746"/>
              <w:id w:val="118268189"/>
              <w:placeholder>
                <w:docPart w:val="3CFB5CE425494A0B845369A112A16B3A"/>
              </w:placeholder>
            </w:sdtPr>
            <w:sdtEndPr/>
            <w:sdtContent>
              <w:tr w:rsidR="00D21C1F" w14:paraId="286A6C3B" w14:textId="77777777">
                <w:tc>
                  <w:tcPr>
                    <w:tcW w:w="1809" w:type="dxa"/>
                  </w:tcPr>
                  <w:p w14:paraId="6C00C532" w14:textId="77777777" w:rsidR="00D21C1F" w:rsidRDefault="00A42880">
                    <w:pPr>
                      <w:rPr>
                        <w:rFonts w:ascii="Times New Roman" w:hAnsi="Times New Roman" w:cs="Times New Roman"/>
                        <w:szCs w:val="21"/>
                      </w:rPr>
                    </w:pPr>
                    <w:r>
                      <w:rPr>
                        <w:rFonts w:ascii="Times New Roman" w:hAnsi="Times New Roman" w:cs="Times New Roman"/>
                        <w:kern w:val="2"/>
                        <w:szCs w:val="21"/>
                      </w:rPr>
                      <w:t>江西汇明</w:t>
                    </w:r>
                  </w:p>
                </w:tc>
                <w:tc>
                  <w:tcPr>
                    <w:tcW w:w="709" w:type="dxa"/>
                  </w:tcPr>
                  <w:sdt>
                    <w:sdtPr>
                      <w:rPr>
                        <w:rFonts w:ascii="Times New Roman" w:hAnsi="Times New Roman" w:cs="Times New Roman"/>
                        <w:szCs w:val="21"/>
                      </w:rPr>
                      <w:tag w:val="_PLD_289cf7e5c3a845d59c038a21dcd4a571"/>
                      <w:id w:val="-2128306482"/>
                      <w:lock w:val="sdtLocked"/>
                    </w:sdtPr>
                    <w:sdtEndPr/>
                    <w:sdtContent>
                      <w:p w14:paraId="749A0D7E"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5047E34"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612502398"/>
                        <w:lock w:val="sdtLocked"/>
                      </w:sdtPr>
                      <w:sdtEndPr/>
                      <w:sdtContent>
                        <w:r w:rsidR="00A42880">
                          <w:rPr>
                            <w:rFonts w:ascii="Times New Roman" w:hAnsi="Times New Roman" w:cs="Times New Roman"/>
                            <w:szCs w:val="21"/>
                          </w:rPr>
                          <w:t>江西汇明智能喷涂科技有限公司，系汇有美股东</w:t>
                        </w:r>
                      </w:sdtContent>
                    </w:sdt>
                  </w:p>
                </w:tc>
              </w:tr>
            </w:sdtContent>
          </w:sdt>
          <w:sdt>
            <w:sdtPr>
              <w:rPr>
                <w:rFonts w:ascii="Times New Roman" w:hAnsi="Times New Roman" w:cs="Times New Roman"/>
                <w:kern w:val="2"/>
                <w:szCs w:val="21"/>
              </w:rPr>
              <w:alias w:val="释义"/>
              <w:tag w:val="_GBC_ca5c2cb7a4e545e2b2d9d1b94b528746"/>
              <w:id w:val="1567301369"/>
              <w:placeholder>
                <w:docPart w:val="3CFB5CE425494A0B845369A112A16B3A"/>
              </w:placeholder>
            </w:sdtPr>
            <w:sdtEndPr/>
            <w:sdtContent>
              <w:tr w:rsidR="00D21C1F" w14:paraId="319781BF" w14:textId="77777777">
                <w:tc>
                  <w:tcPr>
                    <w:tcW w:w="1809" w:type="dxa"/>
                  </w:tcPr>
                  <w:p w14:paraId="15C6D706" w14:textId="77777777" w:rsidR="00D21C1F" w:rsidRDefault="00A42880">
                    <w:pPr>
                      <w:rPr>
                        <w:rFonts w:ascii="Times New Roman" w:hAnsi="Times New Roman" w:cs="Times New Roman"/>
                        <w:szCs w:val="21"/>
                      </w:rPr>
                    </w:pPr>
                    <w:r>
                      <w:rPr>
                        <w:rFonts w:ascii="Times New Roman" w:hAnsi="Times New Roman" w:cs="Times New Roman"/>
                        <w:kern w:val="2"/>
                        <w:szCs w:val="21"/>
                      </w:rPr>
                      <w:t>深圳有为</w:t>
                    </w:r>
                  </w:p>
                </w:tc>
                <w:tc>
                  <w:tcPr>
                    <w:tcW w:w="709" w:type="dxa"/>
                  </w:tcPr>
                  <w:sdt>
                    <w:sdtPr>
                      <w:rPr>
                        <w:rFonts w:ascii="Times New Roman" w:hAnsi="Times New Roman" w:cs="Times New Roman"/>
                        <w:szCs w:val="21"/>
                      </w:rPr>
                      <w:tag w:val="_PLD_289cf7e5c3a845d59c038a21dcd4a571"/>
                      <w:id w:val="1171603677"/>
                      <w:lock w:val="sdtLocked"/>
                    </w:sdtPr>
                    <w:sdtEndPr/>
                    <w:sdtContent>
                      <w:p w14:paraId="0833AE8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1BAAD4F"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032959400"/>
                        <w:lock w:val="sdtLocked"/>
                      </w:sdtPr>
                      <w:sdtEndPr/>
                      <w:sdtContent>
                        <w:r w:rsidR="00A42880">
                          <w:rPr>
                            <w:rFonts w:ascii="Times New Roman" w:hAnsi="Times New Roman" w:cs="Times New Roman"/>
                            <w:szCs w:val="21"/>
                          </w:rPr>
                          <w:t>深圳有为技术控股集团有限公司，系汇有美股东</w:t>
                        </w:r>
                      </w:sdtContent>
                    </w:sdt>
                  </w:p>
                </w:tc>
              </w:tr>
            </w:sdtContent>
          </w:sdt>
          <w:sdt>
            <w:sdtPr>
              <w:rPr>
                <w:rFonts w:ascii="Times New Roman" w:hAnsi="Times New Roman" w:cs="Times New Roman"/>
                <w:kern w:val="2"/>
                <w:szCs w:val="21"/>
              </w:rPr>
              <w:alias w:val="释义"/>
              <w:tag w:val="_GBC_ca5c2cb7a4e545e2b2d9d1b94b528746"/>
              <w:id w:val="-874389025"/>
              <w:placeholder>
                <w:docPart w:val="3CFB5CE425494A0B845369A112A16B3A"/>
              </w:placeholder>
            </w:sdtPr>
            <w:sdtEndPr/>
            <w:sdtContent>
              <w:tr w:rsidR="00D21C1F" w14:paraId="4A4A9FFC" w14:textId="77777777">
                <w:tc>
                  <w:tcPr>
                    <w:tcW w:w="1809" w:type="dxa"/>
                  </w:tcPr>
                  <w:p w14:paraId="1C595242" w14:textId="6FCF81B2" w:rsidR="00D21C1F" w:rsidRDefault="003A34E4">
                    <w:pPr>
                      <w:rPr>
                        <w:rFonts w:ascii="Times New Roman" w:hAnsi="Times New Roman" w:cs="Times New Roman"/>
                        <w:szCs w:val="21"/>
                      </w:rPr>
                    </w:pPr>
                    <w:r w:rsidRPr="003A34E4">
                      <w:rPr>
                        <w:rFonts w:ascii="Times New Roman" w:hAnsi="Times New Roman" w:cs="Times New Roman"/>
                        <w:szCs w:val="21"/>
                      </w:rPr>
                      <w:t>Stellantis</w:t>
                    </w:r>
                    <w:r w:rsidR="00267EAB">
                      <w:rPr>
                        <w:rFonts w:ascii="Times New Roman" w:hAnsi="Times New Roman" w:cs="Times New Roman" w:hint="eastAsia"/>
                        <w:szCs w:val="21"/>
                      </w:rPr>
                      <w:t>集团</w:t>
                    </w:r>
                  </w:p>
                </w:tc>
                <w:tc>
                  <w:tcPr>
                    <w:tcW w:w="709" w:type="dxa"/>
                  </w:tcPr>
                  <w:sdt>
                    <w:sdtPr>
                      <w:rPr>
                        <w:rFonts w:ascii="Times New Roman" w:hAnsi="Times New Roman" w:cs="Times New Roman"/>
                        <w:szCs w:val="21"/>
                      </w:rPr>
                      <w:tag w:val="_PLD_289cf7e5c3a845d59c038a21dcd4a571"/>
                      <w:id w:val="1902717267"/>
                      <w:lock w:val="sdtLocked"/>
                    </w:sdtPr>
                    <w:sdtEndPr/>
                    <w:sdtContent>
                      <w:p w14:paraId="29B5679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2F542636" w14:textId="18E48CB3"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542669705"/>
                        <w:lock w:val="sdtLocked"/>
                      </w:sdtPr>
                      <w:sdtEndPr/>
                      <w:sdtContent>
                        <w:r w:rsidR="003A34E4">
                          <w:rPr>
                            <w:rFonts w:ascii="Times New Roman" w:hAnsi="Times New Roman" w:cs="Times New Roman" w:hint="eastAsia"/>
                            <w:szCs w:val="21"/>
                          </w:rPr>
                          <w:t>菲亚特克莱斯勒集团（</w:t>
                        </w:r>
                        <w:r w:rsidR="00A42880">
                          <w:rPr>
                            <w:rFonts w:ascii="Times New Roman" w:hAnsi="Times New Roman" w:cs="Times New Roman"/>
                            <w:szCs w:val="21"/>
                          </w:rPr>
                          <w:t>Fiat Chrysler Automobiles N.V.</w:t>
                        </w:r>
                        <w:r w:rsidR="003A34E4">
                          <w:rPr>
                            <w:rFonts w:ascii="Times New Roman" w:hAnsi="Times New Roman" w:cs="Times New Roman" w:hint="eastAsia"/>
                            <w:szCs w:val="21"/>
                          </w:rPr>
                          <w:t>）</w:t>
                        </w:r>
                        <w:r w:rsidR="00A42880">
                          <w:rPr>
                            <w:rFonts w:ascii="Times New Roman" w:hAnsi="Times New Roman" w:cs="Times New Roman"/>
                            <w:szCs w:val="21"/>
                          </w:rPr>
                          <w:t>与</w:t>
                        </w:r>
                        <w:r w:rsidR="003A34E4">
                          <w:rPr>
                            <w:rFonts w:ascii="Times New Roman" w:hAnsi="Times New Roman" w:cs="Times New Roman" w:hint="eastAsia"/>
                            <w:szCs w:val="21"/>
                          </w:rPr>
                          <w:t>标志雪铁龙</w:t>
                        </w:r>
                        <w:r w:rsidR="00A42880">
                          <w:rPr>
                            <w:rFonts w:ascii="Times New Roman" w:hAnsi="Times New Roman" w:cs="Times New Roman"/>
                            <w:szCs w:val="21"/>
                          </w:rPr>
                          <w:t>集团</w:t>
                        </w:r>
                        <w:r w:rsidR="003A34E4">
                          <w:rPr>
                            <w:rFonts w:ascii="Times New Roman" w:hAnsi="Times New Roman" w:cs="Times New Roman" w:hint="eastAsia"/>
                            <w:szCs w:val="21"/>
                          </w:rPr>
                          <w:t>（</w:t>
                        </w:r>
                        <w:r w:rsidR="003A34E4">
                          <w:rPr>
                            <w:rFonts w:ascii="Times New Roman" w:hAnsi="Times New Roman" w:cs="Times New Roman" w:hint="eastAsia"/>
                            <w:szCs w:val="21"/>
                          </w:rPr>
                          <w:t>P</w:t>
                        </w:r>
                        <w:r w:rsidR="003A34E4">
                          <w:rPr>
                            <w:rFonts w:ascii="Times New Roman" w:hAnsi="Times New Roman" w:cs="Times New Roman"/>
                            <w:szCs w:val="21"/>
                          </w:rPr>
                          <w:t>SA Automobiles SA</w:t>
                        </w:r>
                        <w:r w:rsidR="003A34E4">
                          <w:rPr>
                            <w:rFonts w:ascii="Times New Roman" w:hAnsi="Times New Roman" w:cs="Times New Roman" w:hint="eastAsia"/>
                            <w:szCs w:val="21"/>
                          </w:rPr>
                          <w:t>）于</w:t>
                        </w:r>
                        <w:r w:rsidR="003A34E4">
                          <w:rPr>
                            <w:rFonts w:ascii="Times New Roman" w:hAnsi="Times New Roman" w:cs="Times New Roman" w:hint="eastAsia"/>
                            <w:szCs w:val="21"/>
                          </w:rPr>
                          <w:t>2</w:t>
                        </w:r>
                        <w:r w:rsidR="003A34E4">
                          <w:rPr>
                            <w:rFonts w:ascii="Times New Roman" w:hAnsi="Times New Roman" w:cs="Times New Roman"/>
                            <w:szCs w:val="21"/>
                          </w:rPr>
                          <w:t>021</w:t>
                        </w:r>
                        <w:r w:rsidR="003A34E4">
                          <w:rPr>
                            <w:rFonts w:ascii="Times New Roman" w:hAnsi="Times New Roman" w:cs="Times New Roman" w:hint="eastAsia"/>
                            <w:szCs w:val="21"/>
                          </w:rPr>
                          <w:t>年</w:t>
                        </w:r>
                        <w:r w:rsidR="00A42880">
                          <w:rPr>
                            <w:rFonts w:ascii="Times New Roman" w:hAnsi="Times New Roman" w:cs="Times New Roman"/>
                            <w:szCs w:val="21"/>
                          </w:rPr>
                          <w:t>合并</w:t>
                        </w:r>
                        <w:r w:rsidR="003A34E4">
                          <w:rPr>
                            <w:rFonts w:ascii="Times New Roman" w:hAnsi="Times New Roman" w:cs="Times New Roman" w:hint="eastAsia"/>
                            <w:szCs w:val="21"/>
                          </w:rPr>
                          <w:t>成</w:t>
                        </w:r>
                        <w:r w:rsidR="00A42880">
                          <w:rPr>
                            <w:rFonts w:ascii="Times New Roman" w:hAnsi="Times New Roman" w:cs="Times New Roman"/>
                            <w:szCs w:val="21"/>
                          </w:rPr>
                          <w:t>为</w:t>
                        </w:r>
                        <w:r w:rsidR="00A42880">
                          <w:rPr>
                            <w:rFonts w:ascii="Times New Roman" w:hAnsi="Times New Roman" w:cs="Times New Roman"/>
                            <w:szCs w:val="21"/>
                          </w:rPr>
                          <w:t>Stellantis</w:t>
                        </w:r>
                      </w:sdtContent>
                    </w:sdt>
                    <w:r w:rsidR="00A42880">
                      <w:rPr>
                        <w:rFonts w:ascii="Times New Roman" w:hAnsi="Times New Roman" w:cs="Times New Roman"/>
                        <w:szCs w:val="21"/>
                      </w:rPr>
                      <w:t>集团</w:t>
                    </w:r>
                    <w:r w:rsidR="00267EAB">
                      <w:rPr>
                        <w:rFonts w:ascii="Times New Roman" w:hAnsi="Times New Roman" w:cs="Times New Roman" w:hint="eastAsia"/>
                        <w:szCs w:val="21"/>
                      </w:rPr>
                      <w:t>(</w:t>
                    </w:r>
                    <w:r w:rsidR="00267EAB">
                      <w:rPr>
                        <w:rFonts w:ascii="Times New Roman" w:hAnsi="Times New Roman" w:cs="Times New Roman"/>
                        <w:szCs w:val="21"/>
                      </w:rPr>
                      <w:t>Stellantis N.V.)</w:t>
                    </w:r>
                  </w:p>
                </w:tc>
              </w:tr>
            </w:sdtContent>
          </w:sdt>
          <w:sdt>
            <w:sdtPr>
              <w:rPr>
                <w:rFonts w:ascii="Times New Roman" w:hAnsi="Times New Roman" w:cs="Times New Roman"/>
                <w:kern w:val="2"/>
                <w:szCs w:val="21"/>
              </w:rPr>
              <w:alias w:val="释义"/>
              <w:tag w:val="_GBC_ca5c2cb7a4e545e2b2d9d1b94b528746"/>
              <w:id w:val="-1950463668"/>
              <w:placeholder>
                <w:docPart w:val="3CFB5CE425494A0B845369A112A16B3A"/>
              </w:placeholder>
            </w:sdtPr>
            <w:sdtEndPr/>
            <w:sdtContent>
              <w:tr w:rsidR="00D21C1F" w14:paraId="1BA1593E" w14:textId="77777777">
                <w:tc>
                  <w:tcPr>
                    <w:tcW w:w="1809" w:type="dxa"/>
                  </w:tcPr>
                  <w:p w14:paraId="2BE8737F" w14:textId="77777777" w:rsidR="00D21C1F" w:rsidRDefault="00A42880">
                    <w:pPr>
                      <w:rPr>
                        <w:rFonts w:ascii="Times New Roman" w:hAnsi="Times New Roman" w:cs="Times New Roman"/>
                        <w:szCs w:val="21"/>
                      </w:rPr>
                    </w:pPr>
                    <w:r>
                      <w:rPr>
                        <w:rFonts w:ascii="Times New Roman" w:hAnsi="Times New Roman" w:cs="Times New Roman"/>
                        <w:szCs w:val="21"/>
                      </w:rPr>
                      <w:t>股东大会</w:t>
                    </w:r>
                  </w:p>
                </w:tc>
                <w:tc>
                  <w:tcPr>
                    <w:tcW w:w="709" w:type="dxa"/>
                  </w:tcPr>
                  <w:sdt>
                    <w:sdtPr>
                      <w:rPr>
                        <w:rFonts w:ascii="Times New Roman" w:hAnsi="Times New Roman" w:cs="Times New Roman"/>
                        <w:szCs w:val="21"/>
                      </w:rPr>
                      <w:tag w:val="_PLD_289cf7e5c3a845d59c038a21dcd4a571"/>
                      <w:id w:val="-1506434994"/>
                      <w:lock w:val="sdtLocked"/>
                    </w:sdtPr>
                    <w:sdtEndPr/>
                    <w:sdtContent>
                      <w:p w14:paraId="0FA386A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F71CBB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38544208"/>
                        <w:lock w:val="sdtLocked"/>
                      </w:sdtPr>
                      <w:sdtEndPr/>
                      <w:sdtContent>
                        <w:r w:rsidR="00A42880">
                          <w:rPr>
                            <w:rFonts w:ascii="Times New Roman" w:hAnsi="Times New Roman" w:cs="Times New Roman"/>
                            <w:szCs w:val="21"/>
                          </w:rPr>
                          <w:t>埃夫特智能装备股份有限公司股东大会</w:t>
                        </w:r>
                      </w:sdtContent>
                    </w:sdt>
                  </w:p>
                </w:tc>
              </w:tr>
            </w:sdtContent>
          </w:sdt>
          <w:sdt>
            <w:sdtPr>
              <w:rPr>
                <w:rFonts w:ascii="Times New Roman" w:hAnsi="Times New Roman" w:cs="Times New Roman"/>
                <w:kern w:val="2"/>
                <w:szCs w:val="21"/>
              </w:rPr>
              <w:alias w:val="释义"/>
              <w:tag w:val="_GBC_ca5c2cb7a4e545e2b2d9d1b94b528746"/>
              <w:id w:val="-1789111962"/>
              <w:placeholder>
                <w:docPart w:val="3CFB5CE425494A0B845369A112A16B3A"/>
              </w:placeholder>
            </w:sdtPr>
            <w:sdtEndPr/>
            <w:sdtContent>
              <w:tr w:rsidR="00D21C1F" w14:paraId="7ADBE1EA" w14:textId="77777777">
                <w:tc>
                  <w:tcPr>
                    <w:tcW w:w="1809" w:type="dxa"/>
                  </w:tcPr>
                  <w:p w14:paraId="17E95B9E" w14:textId="77777777" w:rsidR="00D21C1F" w:rsidRDefault="00A42880">
                    <w:pPr>
                      <w:rPr>
                        <w:rFonts w:ascii="Times New Roman" w:hAnsi="Times New Roman" w:cs="Times New Roman"/>
                        <w:szCs w:val="21"/>
                      </w:rPr>
                    </w:pPr>
                    <w:r>
                      <w:rPr>
                        <w:rFonts w:ascii="Times New Roman" w:hAnsi="Times New Roman" w:cs="Times New Roman"/>
                        <w:szCs w:val="21"/>
                      </w:rPr>
                      <w:t>董事会</w:t>
                    </w:r>
                  </w:p>
                </w:tc>
                <w:tc>
                  <w:tcPr>
                    <w:tcW w:w="709" w:type="dxa"/>
                  </w:tcPr>
                  <w:sdt>
                    <w:sdtPr>
                      <w:rPr>
                        <w:rFonts w:ascii="Times New Roman" w:hAnsi="Times New Roman" w:cs="Times New Roman"/>
                        <w:szCs w:val="21"/>
                      </w:rPr>
                      <w:tag w:val="_PLD_289cf7e5c3a845d59c038a21dcd4a571"/>
                      <w:id w:val="1294635480"/>
                      <w:lock w:val="sdtLocked"/>
                    </w:sdtPr>
                    <w:sdtEndPr/>
                    <w:sdtContent>
                      <w:p w14:paraId="6E6C89C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4EF494D"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989976345"/>
                        <w:lock w:val="sdtLocked"/>
                      </w:sdtPr>
                      <w:sdtEndPr/>
                      <w:sdtContent>
                        <w:r w:rsidR="00A42880">
                          <w:rPr>
                            <w:rFonts w:ascii="Times New Roman" w:hAnsi="Times New Roman" w:cs="Times New Roman"/>
                            <w:szCs w:val="21"/>
                          </w:rPr>
                          <w:t>埃夫特智能装备股份有限公司董事会</w:t>
                        </w:r>
                      </w:sdtContent>
                    </w:sdt>
                  </w:p>
                </w:tc>
              </w:tr>
            </w:sdtContent>
          </w:sdt>
          <w:sdt>
            <w:sdtPr>
              <w:rPr>
                <w:rFonts w:ascii="Times New Roman" w:hAnsi="Times New Roman" w:cs="Times New Roman"/>
                <w:kern w:val="2"/>
                <w:szCs w:val="21"/>
              </w:rPr>
              <w:alias w:val="释义"/>
              <w:tag w:val="_GBC_ca5c2cb7a4e545e2b2d9d1b94b528746"/>
              <w:id w:val="-613204156"/>
              <w:placeholder>
                <w:docPart w:val="3CFB5CE425494A0B845369A112A16B3A"/>
              </w:placeholder>
            </w:sdtPr>
            <w:sdtEndPr/>
            <w:sdtContent>
              <w:tr w:rsidR="00D21C1F" w14:paraId="65487E58" w14:textId="77777777">
                <w:tc>
                  <w:tcPr>
                    <w:tcW w:w="1809" w:type="dxa"/>
                  </w:tcPr>
                  <w:p w14:paraId="6076D121" w14:textId="77777777" w:rsidR="00D21C1F" w:rsidRDefault="00A42880">
                    <w:pPr>
                      <w:rPr>
                        <w:rFonts w:ascii="Times New Roman" w:hAnsi="Times New Roman" w:cs="Times New Roman"/>
                        <w:szCs w:val="21"/>
                      </w:rPr>
                    </w:pPr>
                    <w:r>
                      <w:rPr>
                        <w:rFonts w:ascii="Times New Roman" w:hAnsi="Times New Roman" w:cs="Times New Roman"/>
                        <w:szCs w:val="21"/>
                      </w:rPr>
                      <w:t>监事会</w:t>
                    </w:r>
                  </w:p>
                </w:tc>
                <w:tc>
                  <w:tcPr>
                    <w:tcW w:w="709" w:type="dxa"/>
                  </w:tcPr>
                  <w:sdt>
                    <w:sdtPr>
                      <w:rPr>
                        <w:rFonts w:ascii="Times New Roman" w:hAnsi="Times New Roman" w:cs="Times New Roman"/>
                        <w:szCs w:val="21"/>
                      </w:rPr>
                      <w:tag w:val="_PLD_289cf7e5c3a845d59c038a21dcd4a571"/>
                      <w:id w:val="432248807"/>
                      <w:lock w:val="sdtLocked"/>
                    </w:sdtPr>
                    <w:sdtEndPr/>
                    <w:sdtContent>
                      <w:p w14:paraId="4941DA65"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E6434BF"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340392018"/>
                        <w:lock w:val="sdtLocked"/>
                      </w:sdtPr>
                      <w:sdtEndPr/>
                      <w:sdtContent>
                        <w:r w:rsidR="00A42880">
                          <w:rPr>
                            <w:rFonts w:ascii="Times New Roman" w:hAnsi="Times New Roman" w:cs="Times New Roman"/>
                            <w:szCs w:val="21"/>
                          </w:rPr>
                          <w:t>埃夫特智能装备股份有限监事会</w:t>
                        </w:r>
                      </w:sdtContent>
                    </w:sdt>
                  </w:p>
                </w:tc>
              </w:tr>
            </w:sdtContent>
          </w:sdt>
          <w:sdt>
            <w:sdtPr>
              <w:rPr>
                <w:rFonts w:ascii="Times New Roman" w:hAnsi="Times New Roman" w:cs="Times New Roman"/>
                <w:kern w:val="2"/>
                <w:szCs w:val="21"/>
              </w:rPr>
              <w:alias w:val="释义"/>
              <w:tag w:val="_GBC_ca5c2cb7a4e545e2b2d9d1b94b528746"/>
              <w:id w:val="1993288773"/>
              <w:placeholder>
                <w:docPart w:val="3CFB5CE425494A0B845369A112A16B3A"/>
              </w:placeholder>
            </w:sdtPr>
            <w:sdtEndPr/>
            <w:sdtContent>
              <w:tr w:rsidR="00D21C1F" w14:paraId="172AEA5A" w14:textId="77777777">
                <w:tc>
                  <w:tcPr>
                    <w:tcW w:w="1809" w:type="dxa"/>
                  </w:tcPr>
                  <w:p w14:paraId="2923D2A8" w14:textId="77777777" w:rsidR="00D21C1F" w:rsidRDefault="00A42880">
                    <w:pPr>
                      <w:rPr>
                        <w:rFonts w:ascii="Times New Roman" w:hAnsi="Times New Roman" w:cs="Times New Roman"/>
                        <w:szCs w:val="21"/>
                      </w:rPr>
                    </w:pPr>
                    <w:r>
                      <w:rPr>
                        <w:rFonts w:ascii="Times New Roman" w:hAnsi="Times New Roman" w:cs="Times New Roman"/>
                        <w:szCs w:val="21"/>
                      </w:rPr>
                      <w:t>公司章程</w:t>
                    </w:r>
                  </w:p>
                </w:tc>
                <w:tc>
                  <w:tcPr>
                    <w:tcW w:w="709" w:type="dxa"/>
                  </w:tcPr>
                  <w:sdt>
                    <w:sdtPr>
                      <w:rPr>
                        <w:rFonts w:ascii="Times New Roman" w:hAnsi="Times New Roman" w:cs="Times New Roman"/>
                        <w:szCs w:val="21"/>
                      </w:rPr>
                      <w:tag w:val="_PLD_289cf7e5c3a845d59c038a21dcd4a571"/>
                      <w:id w:val="1898160611"/>
                      <w:lock w:val="sdtLocked"/>
                    </w:sdtPr>
                    <w:sdtEndPr/>
                    <w:sdtContent>
                      <w:p w14:paraId="5E5544F5"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8434140"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741634743"/>
                        <w:lock w:val="sdtLocked"/>
                      </w:sdtPr>
                      <w:sdtEndPr/>
                      <w:sdtContent>
                        <w:r w:rsidR="00A42880">
                          <w:rPr>
                            <w:rFonts w:ascii="Times New Roman" w:hAnsi="Times New Roman" w:cs="Times New Roman"/>
                            <w:szCs w:val="21"/>
                          </w:rPr>
                          <w:t>现行有效的《埃夫特智能装备股份有限公司章程》</w:t>
                        </w:r>
                      </w:sdtContent>
                    </w:sdt>
                  </w:p>
                </w:tc>
              </w:tr>
            </w:sdtContent>
          </w:sdt>
          <w:sdt>
            <w:sdtPr>
              <w:rPr>
                <w:rFonts w:ascii="Times New Roman" w:hAnsi="Times New Roman" w:cs="Times New Roman"/>
                <w:kern w:val="2"/>
                <w:szCs w:val="21"/>
              </w:rPr>
              <w:alias w:val="释义"/>
              <w:tag w:val="_GBC_ca5c2cb7a4e545e2b2d9d1b94b528746"/>
              <w:id w:val="102226359"/>
              <w:placeholder>
                <w:docPart w:val="3CFB5CE425494A0B845369A112A16B3A"/>
              </w:placeholder>
            </w:sdtPr>
            <w:sdtEndPr/>
            <w:sdtContent>
              <w:tr w:rsidR="00D21C1F" w14:paraId="79D4C576" w14:textId="77777777">
                <w:tc>
                  <w:tcPr>
                    <w:tcW w:w="1809" w:type="dxa"/>
                  </w:tcPr>
                  <w:p w14:paraId="646D37B7" w14:textId="77777777" w:rsidR="00D21C1F" w:rsidRDefault="00A42880">
                    <w:pPr>
                      <w:rPr>
                        <w:rFonts w:ascii="Times New Roman" w:hAnsi="Times New Roman" w:cs="Times New Roman"/>
                        <w:szCs w:val="21"/>
                      </w:rPr>
                    </w:pPr>
                    <w:r>
                      <w:rPr>
                        <w:rFonts w:ascii="Times New Roman" w:hAnsi="Times New Roman" w:cs="Times New Roman"/>
                        <w:szCs w:val="21"/>
                      </w:rPr>
                      <w:t>财政部</w:t>
                    </w:r>
                  </w:p>
                </w:tc>
                <w:tc>
                  <w:tcPr>
                    <w:tcW w:w="709" w:type="dxa"/>
                  </w:tcPr>
                  <w:sdt>
                    <w:sdtPr>
                      <w:rPr>
                        <w:rFonts w:ascii="Times New Roman" w:hAnsi="Times New Roman" w:cs="Times New Roman"/>
                        <w:szCs w:val="21"/>
                      </w:rPr>
                      <w:tag w:val="_PLD_289cf7e5c3a845d59c038a21dcd4a571"/>
                      <w:id w:val="-1437660593"/>
                      <w:lock w:val="sdtLocked"/>
                    </w:sdtPr>
                    <w:sdtEndPr/>
                    <w:sdtContent>
                      <w:p w14:paraId="4CFF4A16"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8CA0954"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909155159"/>
                        <w:lock w:val="sdtLocked"/>
                      </w:sdtPr>
                      <w:sdtEndPr/>
                      <w:sdtContent>
                        <w:r w:rsidR="00A42880">
                          <w:rPr>
                            <w:rFonts w:ascii="Times New Roman" w:hAnsi="Times New Roman" w:cs="Times New Roman"/>
                            <w:szCs w:val="21"/>
                          </w:rPr>
                          <w:t>中华人民共和国财政部</w:t>
                        </w:r>
                      </w:sdtContent>
                    </w:sdt>
                  </w:p>
                </w:tc>
              </w:tr>
            </w:sdtContent>
          </w:sdt>
          <w:sdt>
            <w:sdtPr>
              <w:rPr>
                <w:rFonts w:ascii="Times New Roman" w:hAnsi="Times New Roman" w:cs="Times New Roman"/>
                <w:kern w:val="2"/>
                <w:szCs w:val="21"/>
              </w:rPr>
              <w:alias w:val="释义"/>
              <w:tag w:val="_GBC_ca5c2cb7a4e545e2b2d9d1b94b528746"/>
              <w:id w:val="-1759743696"/>
              <w:placeholder>
                <w:docPart w:val="3CFB5CE425494A0B845369A112A16B3A"/>
              </w:placeholder>
            </w:sdtPr>
            <w:sdtEndPr/>
            <w:sdtContent>
              <w:tr w:rsidR="00D21C1F" w14:paraId="12CAC57F" w14:textId="77777777">
                <w:tc>
                  <w:tcPr>
                    <w:tcW w:w="1809" w:type="dxa"/>
                  </w:tcPr>
                  <w:p w14:paraId="72A83A13" w14:textId="77777777" w:rsidR="00D21C1F" w:rsidRDefault="00A42880">
                    <w:pPr>
                      <w:rPr>
                        <w:rFonts w:ascii="Times New Roman" w:hAnsi="Times New Roman" w:cs="Times New Roman"/>
                        <w:szCs w:val="21"/>
                      </w:rPr>
                    </w:pPr>
                    <w:r>
                      <w:rPr>
                        <w:rFonts w:ascii="Times New Roman" w:hAnsi="Times New Roman" w:cs="Times New Roman"/>
                        <w:szCs w:val="21"/>
                      </w:rPr>
                      <w:t>证监会、中国证监会</w:t>
                    </w:r>
                  </w:p>
                </w:tc>
                <w:tc>
                  <w:tcPr>
                    <w:tcW w:w="709" w:type="dxa"/>
                  </w:tcPr>
                  <w:sdt>
                    <w:sdtPr>
                      <w:rPr>
                        <w:rFonts w:ascii="Times New Roman" w:hAnsi="Times New Roman" w:cs="Times New Roman"/>
                        <w:szCs w:val="21"/>
                      </w:rPr>
                      <w:tag w:val="_PLD_289cf7e5c3a845d59c038a21dcd4a571"/>
                      <w:id w:val="-1622142636"/>
                      <w:lock w:val="sdtLocked"/>
                    </w:sdtPr>
                    <w:sdtEndPr/>
                    <w:sdtContent>
                      <w:p w14:paraId="3AC8CEA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4ABEDB3"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52397535"/>
                        <w:lock w:val="sdtLocked"/>
                      </w:sdtPr>
                      <w:sdtEndPr/>
                      <w:sdtContent>
                        <w:r w:rsidR="00A42880">
                          <w:rPr>
                            <w:rFonts w:ascii="Times New Roman" w:hAnsi="Times New Roman" w:cs="Times New Roman"/>
                            <w:szCs w:val="21"/>
                          </w:rPr>
                          <w:t>中国证券监督管理委员会</w:t>
                        </w:r>
                      </w:sdtContent>
                    </w:sdt>
                  </w:p>
                </w:tc>
              </w:tr>
            </w:sdtContent>
          </w:sdt>
          <w:sdt>
            <w:sdtPr>
              <w:rPr>
                <w:rFonts w:ascii="Times New Roman" w:hAnsi="Times New Roman" w:cs="Times New Roman"/>
                <w:kern w:val="2"/>
                <w:szCs w:val="21"/>
              </w:rPr>
              <w:alias w:val="释义"/>
              <w:tag w:val="_GBC_ca5c2cb7a4e545e2b2d9d1b94b528746"/>
              <w:id w:val="-2063089219"/>
              <w:placeholder>
                <w:docPart w:val="3CFB5CE425494A0B845369A112A16B3A"/>
              </w:placeholder>
            </w:sdtPr>
            <w:sdtEndPr/>
            <w:sdtContent>
              <w:tr w:rsidR="00D21C1F" w14:paraId="6717F618" w14:textId="77777777">
                <w:tc>
                  <w:tcPr>
                    <w:tcW w:w="1809" w:type="dxa"/>
                  </w:tcPr>
                  <w:p w14:paraId="080747F8" w14:textId="77777777" w:rsidR="00D21C1F" w:rsidRDefault="00A42880">
                    <w:pPr>
                      <w:rPr>
                        <w:rFonts w:ascii="Times New Roman" w:hAnsi="Times New Roman" w:cs="Times New Roman"/>
                        <w:szCs w:val="21"/>
                      </w:rPr>
                    </w:pPr>
                    <w:r>
                      <w:rPr>
                        <w:rFonts w:ascii="Times New Roman" w:hAnsi="Times New Roman" w:cs="Times New Roman"/>
                        <w:szCs w:val="21"/>
                      </w:rPr>
                      <w:t>国家发改委</w:t>
                    </w:r>
                  </w:p>
                </w:tc>
                <w:tc>
                  <w:tcPr>
                    <w:tcW w:w="709" w:type="dxa"/>
                  </w:tcPr>
                  <w:sdt>
                    <w:sdtPr>
                      <w:rPr>
                        <w:rFonts w:ascii="Times New Roman" w:hAnsi="Times New Roman" w:cs="Times New Roman"/>
                        <w:szCs w:val="21"/>
                      </w:rPr>
                      <w:tag w:val="_PLD_289cf7e5c3a845d59c038a21dcd4a571"/>
                      <w:id w:val="-1863043255"/>
                      <w:lock w:val="sdtLocked"/>
                    </w:sdtPr>
                    <w:sdtEndPr/>
                    <w:sdtContent>
                      <w:p w14:paraId="1A60BCBA"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C34F7ED"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803210092"/>
                        <w:lock w:val="sdtLocked"/>
                      </w:sdtPr>
                      <w:sdtEndPr/>
                      <w:sdtContent>
                        <w:r w:rsidR="00A42880">
                          <w:rPr>
                            <w:rFonts w:ascii="Times New Roman" w:hAnsi="Times New Roman" w:cs="Times New Roman"/>
                            <w:szCs w:val="21"/>
                          </w:rPr>
                          <w:t>中华人民共和国国家发展和改革委员会</w:t>
                        </w:r>
                      </w:sdtContent>
                    </w:sdt>
                  </w:p>
                </w:tc>
              </w:tr>
            </w:sdtContent>
          </w:sdt>
          <w:sdt>
            <w:sdtPr>
              <w:rPr>
                <w:rFonts w:ascii="Times New Roman" w:hAnsi="Times New Roman" w:cs="Times New Roman"/>
                <w:kern w:val="2"/>
                <w:szCs w:val="21"/>
              </w:rPr>
              <w:alias w:val="释义"/>
              <w:tag w:val="_GBC_ca5c2cb7a4e545e2b2d9d1b94b528746"/>
              <w:id w:val="461708379"/>
              <w:placeholder>
                <w:docPart w:val="3CFB5CE425494A0B845369A112A16B3A"/>
              </w:placeholder>
            </w:sdtPr>
            <w:sdtEndPr/>
            <w:sdtContent>
              <w:tr w:rsidR="00D21C1F" w14:paraId="08E2080E" w14:textId="77777777">
                <w:tc>
                  <w:tcPr>
                    <w:tcW w:w="1809" w:type="dxa"/>
                  </w:tcPr>
                  <w:p w14:paraId="1D48DD00" w14:textId="77777777" w:rsidR="00D21C1F" w:rsidRDefault="00A42880">
                    <w:pPr>
                      <w:rPr>
                        <w:rFonts w:ascii="Times New Roman" w:hAnsi="Times New Roman" w:cs="Times New Roman"/>
                        <w:szCs w:val="21"/>
                      </w:rPr>
                    </w:pPr>
                    <w:r>
                      <w:rPr>
                        <w:rFonts w:ascii="Times New Roman" w:hAnsi="Times New Roman" w:cs="Times New Roman"/>
                        <w:szCs w:val="21"/>
                      </w:rPr>
                      <w:t>工信部</w:t>
                    </w:r>
                  </w:p>
                </w:tc>
                <w:tc>
                  <w:tcPr>
                    <w:tcW w:w="709" w:type="dxa"/>
                  </w:tcPr>
                  <w:sdt>
                    <w:sdtPr>
                      <w:rPr>
                        <w:rFonts w:ascii="Times New Roman" w:hAnsi="Times New Roman" w:cs="Times New Roman"/>
                        <w:szCs w:val="21"/>
                      </w:rPr>
                      <w:tag w:val="_PLD_289cf7e5c3a845d59c038a21dcd4a571"/>
                      <w:id w:val="-669411036"/>
                      <w:lock w:val="sdtLocked"/>
                    </w:sdtPr>
                    <w:sdtEndPr/>
                    <w:sdtContent>
                      <w:p w14:paraId="0F52FA28"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D5389FF"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659342190"/>
                        <w:lock w:val="sdtLocked"/>
                      </w:sdtPr>
                      <w:sdtEndPr/>
                      <w:sdtContent>
                        <w:r w:rsidR="00A42880">
                          <w:rPr>
                            <w:rFonts w:ascii="Times New Roman" w:hAnsi="Times New Roman" w:cs="Times New Roman"/>
                            <w:szCs w:val="21"/>
                          </w:rPr>
                          <w:t>中华人民共和国工业和信息化部</w:t>
                        </w:r>
                      </w:sdtContent>
                    </w:sdt>
                  </w:p>
                </w:tc>
              </w:tr>
            </w:sdtContent>
          </w:sdt>
          <w:sdt>
            <w:sdtPr>
              <w:rPr>
                <w:rFonts w:ascii="Times New Roman" w:hAnsi="Times New Roman" w:cs="Times New Roman"/>
                <w:kern w:val="2"/>
                <w:szCs w:val="21"/>
              </w:rPr>
              <w:alias w:val="释义"/>
              <w:tag w:val="_GBC_ca5c2cb7a4e545e2b2d9d1b94b528746"/>
              <w:id w:val="-1937963684"/>
              <w:placeholder>
                <w:docPart w:val="3CFB5CE425494A0B845369A112A16B3A"/>
              </w:placeholder>
            </w:sdtPr>
            <w:sdtEndPr/>
            <w:sdtContent>
              <w:tr w:rsidR="00D21C1F" w14:paraId="1A882BDB" w14:textId="77777777">
                <w:tc>
                  <w:tcPr>
                    <w:tcW w:w="1809" w:type="dxa"/>
                  </w:tcPr>
                  <w:p w14:paraId="625BC3D8" w14:textId="77777777" w:rsidR="00D21C1F" w:rsidRDefault="00A42880">
                    <w:pPr>
                      <w:rPr>
                        <w:rFonts w:ascii="Times New Roman" w:hAnsi="Times New Roman" w:cs="Times New Roman"/>
                        <w:szCs w:val="21"/>
                      </w:rPr>
                    </w:pPr>
                    <w:r>
                      <w:rPr>
                        <w:rFonts w:ascii="Times New Roman" w:hAnsi="Times New Roman" w:cs="Times New Roman"/>
                        <w:szCs w:val="21"/>
                      </w:rPr>
                      <w:t>科技部</w:t>
                    </w:r>
                  </w:p>
                </w:tc>
                <w:tc>
                  <w:tcPr>
                    <w:tcW w:w="709" w:type="dxa"/>
                  </w:tcPr>
                  <w:sdt>
                    <w:sdtPr>
                      <w:rPr>
                        <w:rFonts w:ascii="Times New Roman" w:hAnsi="Times New Roman" w:cs="Times New Roman"/>
                        <w:szCs w:val="21"/>
                      </w:rPr>
                      <w:tag w:val="_PLD_289cf7e5c3a845d59c038a21dcd4a571"/>
                      <w:id w:val="351767202"/>
                      <w:lock w:val="sdtLocked"/>
                    </w:sdtPr>
                    <w:sdtEndPr/>
                    <w:sdtContent>
                      <w:p w14:paraId="75752F9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2BB003A2"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130930527"/>
                        <w:lock w:val="sdtLocked"/>
                      </w:sdtPr>
                      <w:sdtEndPr/>
                      <w:sdtContent>
                        <w:r w:rsidR="00A42880">
                          <w:rPr>
                            <w:rFonts w:ascii="Times New Roman" w:hAnsi="Times New Roman" w:cs="Times New Roman"/>
                            <w:szCs w:val="21"/>
                          </w:rPr>
                          <w:t>中华人民共和国科学技术部</w:t>
                        </w:r>
                      </w:sdtContent>
                    </w:sdt>
                  </w:p>
                </w:tc>
              </w:tr>
            </w:sdtContent>
          </w:sdt>
          <w:sdt>
            <w:sdtPr>
              <w:rPr>
                <w:rFonts w:ascii="Times New Roman" w:hAnsi="Times New Roman" w:cs="Times New Roman"/>
                <w:kern w:val="2"/>
                <w:szCs w:val="21"/>
              </w:rPr>
              <w:alias w:val="释义"/>
              <w:tag w:val="_GBC_ca5c2cb7a4e545e2b2d9d1b94b528746"/>
              <w:id w:val="147635082"/>
              <w:placeholder>
                <w:docPart w:val="3CFB5CE425494A0B845369A112A16B3A"/>
              </w:placeholder>
            </w:sdtPr>
            <w:sdtEndPr/>
            <w:sdtContent>
              <w:tr w:rsidR="00D21C1F" w14:paraId="674FF0C5" w14:textId="77777777">
                <w:tc>
                  <w:tcPr>
                    <w:tcW w:w="1809" w:type="dxa"/>
                  </w:tcPr>
                  <w:p w14:paraId="75072767" w14:textId="77777777" w:rsidR="00D21C1F" w:rsidRDefault="00A42880">
                    <w:pPr>
                      <w:rPr>
                        <w:rFonts w:ascii="Times New Roman" w:hAnsi="Times New Roman" w:cs="Times New Roman"/>
                        <w:szCs w:val="21"/>
                      </w:rPr>
                    </w:pPr>
                    <w:r>
                      <w:rPr>
                        <w:rFonts w:ascii="Times New Roman" w:hAnsi="Times New Roman" w:cs="Times New Roman"/>
                        <w:szCs w:val="21"/>
                      </w:rPr>
                      <w:t>上交所</w:t>
                    </w:r>
                  </w:p>
                </w:tc>
                <w:tc>
                  <w:tcPr>
                    <w:tcW w:w="709" w:type="dxa"/>
                  </w:tcPr>
                  <w:sdt>
                    <w:sdtPr>
                      <w:rPr>
                        <w:rFonts w:ascii="Times New Roman" w:hAnsi="Times New Roman" w:cs="Times New Roman"/>
                        <w:szCs w:val="21"/>
                      </w:rPr>
                      <w:tag w:val="_PLD_289cf7e5c3a845d59c038a21dcd4a571"/>
                      <w:id w:val="-531337679"/>
                      <w:lock w:val="sdtLocked"/>
                    </w:sdtPr>
                    <w:sdtEndPr/>
                    <w:sdtContent>
                      <w:p w14:paraId="2E7F9920"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0221A18"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503816851"/>
                        <w:lock w:val="sdtLocked"/>
                      </w:sdtPr>
                      <w:sdtEndPr/>
                      <w:sdtContent>
                        <w:r w:rsidR="00A42880">
                          <w:rPr>
                            <w:rFonts w:ascii="Times New Roman" w:hAnsi="Times New Roman" w:cs="Times New Roman"/>
                            <w:szCs w:val="21"/>
                          </w:rPr>
                          <w:t>上海证券交易所</w:t>
                        </w:r>
                      </w:sdtContent>
                    </w:sdt>
                  </w:p>
                </w:tc>
              </w:tr>
            </w:sdtContent>
          </w:sdt>
          <w:sdt>
            <w:sdtPr>
              <w:rPr>
                <w:rFonts w:ascii="Times New Roman" w:hAnsi="Times New Roman" w:cs="Times New Roman"/>
                <w:kern w:val="2"/>
                <w:szCs w:val="21"/>
              </w:rPr>
              <w:alias w:val="释义"/>
              <w:tag w:val="_GBC_ca5c2cb7a4e545e2b2d9d1b94b528746"/>
              <w:id w:val="-1312783338"/>
              <w:placeholder>
                <w:docPart w:val="3CFB5CE425494A0B845369A112A16B3A"/>
              </w:placeholder>
            </w:sdtPr>
            <w:sdtEndPr/>
            <w:sdtContent>
              <w:tr w:rsidR="00D21C1F" w14:paraId="1DE53D9D" w14:textId="77777777">
                <w:tc>
                  <w:tcPr>
                    <w:tcW w:w="1809" w:type="dxa"/>
                  </w:tcPr>
                  <w:p w14:paraId="00D49EB2" w14:textId="77777777" w:rsidR="00D21C1F" w:rsidRDefault="00A42880">
                    <w:pPr>
                      <w:rPr>
                        <w:rFonts w:ascii="Times New Roman" w:hAnsi="Times New Roman" w:cs="Times New Roman"/>
                        <w:szCs w:val="21"/>
                      </w:rPr>
                    </w:pPr>
                    <w:r>
                      <w:rPr>
                        <w:rFonts w:ascii="Times New Roman" w:hAnsi="Times New Roman" w:cs="Times New Roman"/>
                        <w:szCs w:val="21"/>
                      </w:rPr>
                      <w:t>ISO</w:t>
                    </w:r>
                  </w:p>
                </w:tc>
                <w:tc>
                  <w:tcPr>
                    <w:tcW w:w="709" w:type="dxa"/>
                  </w:tcPr>
                  <w:sdt>
                    <w:sdtPr>
                      <w:rPr>
                        <w:rFonts w:ascii="Times New Roman" w:hAnsi="Times New Roman" w:cs="Times New Roman"/>
                        <w:szCs w:val="21"/>
                      </w:rPr>
                      <w:tag w:val="_PLD_289cf7e5c3a845d59c038a21dcd4a571"/>
                      <w:id w:val="-261678674"/>
                      <w:lock w:val="sdtLocked"/>
                    </w:sdtPr>
                    <w:sdtEndPr/>
                    <w:sdtContent>
                      <w:p w14:paraId="77D8C011"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14D4F3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001929730"/>
                        <w:lock w:val="sdtLocked"/>
                      </w:sdtPr>
                      <w:sdtEndPr/>
                      <w:sdtContent>
                        <w:r w:rsidR="00A42880">
                          <w:rPr>
                            <w:rFonts w:ascii="Times New Roman" w:hAnsi="Times New Roman" w:cs="Times New Roman"/>
                            <w:szCs w:val="21"/>
                          </w:rPr>
                          <w:t>International Organization for Standardization</w:t>
                        </w:r>
                        <w:r w:rsidR="00A42880">
                          <w:rPr>
                            <w:rFonts w:ascii="Times New Roman" w:hAnsi="Times New Roman" w:cs="Times New Roman"/>
                            <w:szCs w:val="21"/>
                          </w:rPr>
                          <w:t>，即国际标准化组织</w:t>
                        </w:r>
                      </w:sdtContent>
                    </w:sdt>
                  </w:p>
                </w:tc>
              </w:tr>
            </w:sdtContent>
          </w:sdt>
          <w:sdt>
            <w:sdtPr>
              <w:rPr>
                <w:rFonts w:ascii="Times New Roman" w:hAnsi="Times New Roman" w:cs="Times New Roman"/>
                <w:kern w:val="2"/>
                <w:szCs w:val="21"/>
              </w:rPr>
              <w:alias w:val="释义"/>
              <w:tag w:val="_GBC_ca5c2cb7a4e545e2b2d9d1b94b528746"/>
              <w:id w:val="2103914008"/>
              <w:placeholder>
                <w:docPart w:val="3CFB5CE425494A0B845369A112A16B3A"/>
              </w:placeholder>
            </w:sdtPr>
            <w:sdtEndPr/>
            <w:sdtContent>
              <w:tr w:rsidR="00D21C1F" w14:paraId="33841B51" w14:textId="77777777">
                <w:tc>
                  <w:tcPr>
                    <w:tcW w:w="1809" w:type="dxa"/>
                  </w:tcPr>
                  <w:p w14:paraId="7E7965D5" w14:textId="77777777" w:rsidR="00D21C1F" w:rsidRDefault="00A42880">
                    <w:pPr>
                      <w:rPr>
                        <w:rFonts w:ascii="Times New Roman" w:hAnsi="Times New Roman" w:cs="Times New Roman"/>
                        <w:szCs w:val="21"/>
                      </w:rPr>
                    </w:pPr>
                    <w:r>
                      <w:rPr>
                        <w:rFonts w:ascii="Times New Roman" w:hAnsi="Times New Roman" w:cs="Times New Roman"/>
                        <w:szCs w:val="21"/>
                      </w:rPr>
                      <w:t>报告期</w:t>
                    </w:r>
                  </w:p>
                </w:tc>
                <w:tc>
                  <w:tcPr>
                    <w:tcW w:w="709" w:type="dxa"/>
                  </w:tcPr>
                  <w:sdt>
                    <w:sdtPr>
                      <w:rPr>
                        <w:rFonts w:ascii="Times New Roman" w:hAnsi="Times New Roman" w:cs="Times New Roman"/>
                        <w:szCs w:val="21"/>
                      </w:rPr>
                      <w:tag w:val="_PLD_289cf7e5c3a845d59c038a21dcd4a571"/>
                      <w:id w:val="-1846552877"/>
                      <w:lock w:val="sdtLocked"/>
                    </w:sdtPr>
                    <w:sdtEndPr/>
                    <w:sdtContent>
                      <w:p w14:paraId="12448641"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69DF386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715113817"/>
                        <w:lock w:val="sdtLocked"/>
                      </w:sdtPr>
                      <w:sdtEndPr/>
                      <w:sdtContent>
                        <w:r w:rsidR="00A42880">
                          <w:rPr>
                            <w:rFonts w:ascii="Times New Roman" w:hAnsi="Times New Roman" w:cs="Times New Roman"/>
                            <w:szCs w:val="21"/>
                          </w:rPr>
                          <w:t>2021</w:t>
                        </w:r>
                        <w:r w:rsidR="00A42880">
                          <w:rPr>
                            <w:rFonts w:ascii="Times New Roman" w:hAnsi="Times New Roman" w:cs="Times New Roman"/>
                            <w:szCs w:val="21"/>
                          </w:rPr>
                          <w:t>年</w:t>
                        </w:r>
                        <w:r w:rsidR="00A42880">
                          <w:rPr>
                            <w:rFonts w:ascii="Times New Roman" w:hAnsi="Times New Roman" w:cs="Times New Roman"/>
                            <w:szCs w:val="21"/>
                          </w:rPr>
                          <w:t>1</w:t>
                        </w:r>
                        <w:r w:rsidR="00A42880">
                          <w:rPr>
                            <w:rFonts w:ascii="Times New Roman" w:hAnsi="Times New Roman" w:cs="Times New Roman"/>
                            <w:szCs w:val="21"/>
                          </w:rPr>
                          <w:t>月</w:t>
                        </w:r>
                        <w:r w:rsidR="00A42880">
                          <w:rPr>
                            <w:rFonts w:ascii="Times New Roman" w:hAnsi="Times New Roman" w:cs="Times New Roman"/>
                            <w:szCs w:val="21"/>
                          </w:rPr>
                          <w:t>1</w:t>
                        </w:r>
                        <w:r w:rsidR="00A42880">
                          <w:rPr>
                            <w:rFonts w:ascii="Times New Roman" w:hAnsi="Times New Roman" w:cs="Times New Roman"/>
                            <w:szCs w:val="21"/>
                          </w:rPr>
                          <w:t>日至</w:t>
                        </w:r>
                        <w:r w:rsidR="00A42880">
                          <w:rPr>
                            <w:rFonts w:ascii="Times New Roman" w:hAnsi="Times New Roman" w:cs="Times New Roman"/>
                            <w:szCs w:val="21"/>
                          </w:rPr>
                          <w:t>2021</w:t>
                        </w:r>
                        <w:r w:rsidR="00A42880">
                          <w:rPr>
                            <w:rFonts w:ascii="Times New Roman" w:hAnsi="Times New Roman" w:cs="Times New Roman"/>
                            <w:szCs w:val="21"/>
                          </w:rPr>
                          <w:t>年</w:t>
                        </w:r>
                        <w:r w:rsidR="00A42880">
                          <w:rPr>
                            <w:rFonts w:ascii="Times New Roman" w:hAnsi="Times New Roman" w:cs="Times New Roman"/>
                            <w:szCs w:val="21"/>
                          </w:rPr>
                          <w:t>6</w:t>
                        </w:r>
                        <w:r w:rsidR="00A42880">
                          <w:rPr>
                            <w:rFonts w:ascii="Times New Roman" w:hAnsi="Times New Roman" w:cs="Times New Roman"/>
                            <w:szCs w:val="21"/>
                          </w:rPr>
                          <w:t>月</w:t>
                        </w:r>
                        <w:r w:rsidR="00A42880">
                          <w:rPr>
                            <w:rFonts w:ascii="Times New Roman" w:hAnsi="Times New Roman" w:cs="Times New Roman"/>
                            <w:szCs w:val="21"/>
                          </w:rPr>
                          <w:t>30</w:t>
                        </w:r>
                        <w:r w:rsidR="00A42880">
                          <w:rPr>
                            <w:rFonts w:ascii="Times New Roman" w:hAnsi="Times New Roman" w:cs="Times New Roman"/>
                            <w:szCs w:val="21"/>
                          </w:rPr>
                          <w:t>日</w:t>
                        </w:r>
                      </w:sdtContent>
                    </w:sdt>
                  </w:p>
                </w:tc>
              </w:tr>
            </w:sdtContent>
          </w:sdt>
          <w:sdt>
            <w:sdtPr>
              <w:rPr>
                <w:rFonts w:ascii="Times New Roman" w:hAnsi="Times New Roman" w:cs="Times New Roman"/>
                <w:kern w:val="2"/>
                <w:szCs w:val="21"/>
              </w:rPr>
              <w:alias w:val="释义"/>
              <w:tag w:val="_GBC_ca5c2cb7a4e545e2b2d9d1b94b528746"/>
              <w:id w:val="1289093567"/>
              <w:placeholder>
                <w:docPart w:val="3CFB5CE425494A0B845369A112A16B3A"/>
              </w:placeholder>
            </w:sdtPr>
            <w:sdtEndPr/>
            <w:sdtContent>
              <w:tr w:rsidR="00D21C1F" w14:paraId="4B6CB76A" w14:textId="77777777">
                <w:tc>
                  <w:tcPr>
                    <w:tcW w:w="1809" w:type="dxa"/>
                  </w:tcPr>
                  <w:p w14:paraId="6E18BFF9" w14:textId="77777777" w:rsidR="00D21C1F" w:rsidRDefault="00A42880">
                    <w:pPr>
                      <w:rPr>
                        <w:rFonts w:ascii="Times New Roman" w:hAnsi="Times New Roman" w:cs="Times New Roman"/>
                        <w:szCs w:val="21"/>
                      </w:rPr>
                    </w:pPr>
                    <w:r>
                      <w:rPr>
                        <w:rFonts w:ascii="Times New Roman" w:hAnsi="Times New Roman" w:cs="Times New Roman"/>
                        <w:szCs w:val="21"/>
                      </w:rPr>
                      <w:t>元、万元、亿元</w:t>
                    </w:r>
                  </w:p>
                </w:tc>
                <w:tc>
                  <w:tcPr>
                    <w:tcW w:w="709" w:type="dxa"/>
                  </w:tcPr>
                  <w:sdt>
                    <w:sdtPr>
                      <w:rPr>
                        <w:rFonts w:ascii="Times New Roman" w:hAnsi="Times New Roman" w:cs="Times New Roman"/>
                        <w:szCs w:val="21"/>
                      </w:rPr>
                      <w:tag w:val="_PLD_289cf7e5c3a845d59c038a21dcd4a571"/>
                      <w:id w:val="-1343924628"/>
                      <w:lock w:val="sdtLocked"/>
                    </w:sdtPr>
                    <w:sdtEndPr/>
                    <w:sdtContent>
                      <w:p w14:paraId="4689B396"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2BBB4C59"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091301535"/>
                        <w:lock w:val="sdtLocked"/>
                      </w:sdtPr>
                      <w:sdtEndPr/>
                      <w:sdtContent>
                        <w:r w:rsidR="00A42880">
                          <w:rPr>
                            <w:rFonts w:ascii="Times New Roman" w:hAnsi="Times New Roman" w:cs="Times New Roman"/>
                            <w:szCs w:val="21"/>
                          </w:rPr>
                          <w:t>人民币元、万元、亿元</w:t>
                        </w:r>
                      </w:sdtContent>
                    </w:sdt>
                  </w:p>
                </w:tc>
              </w:tr>
            </w:sdtContent>
          </w:sdt>
          <w:sdt>
            <w:sdtPr>
              <w:rPr>
                <w:rFonts w:ascii="Times New Roman" w:hAnsi="Times New Roman" w:cs="Times New Roman"/>
                <w:kern w:val="2"/>
                <w:szCs w:val="21"/>
              </w:rPr>
              <w:alias w:val="释义"/>
              <w:tag w:val="_GBC_ca5c2cb7a4e545e2b2d9d1b94b528746"/>
              <w:id w:val="892158088"/>
              <w:placeholder>
                <w:docPart w:val="3CFB5CE425494A0B845369A112A16B3A"/>
              </w:placeholder>
            </w:sdtPr>
            <w:sdtEndPr/>
            <w:sdtContent>
              <w:tr w:rsidR="00D21C1F" w14:paraId="09C3A969" w14:textId="77777777">
                <w:tc>
                  <w:tcPr>
                    <w:tcW w:w="1809" w:type="dxa"/>
                  </w:tcPr>
                  <w:p w14:paraId="24C5497B" w14:textId="77777777" w:rsidR="00D21C1F" w:rsidRDefault="00A42880">
                    <w:pPr>
                      <w:rPr>
                        <w:rFonts w:ascii="Times New Roman" w:hAnsi="Times New Roman" w:cs="Times New Roman"/>
                        <w:szCs w:val="21"/>
                      </w:rPr>
                    </w:pPr>
                    <w:r>
                      <w:rPr>
                        <w:rFonts w:ascii="Times New Roman" w:hAnsi="Times New Roman" w:cs="Times New Roman"/>
                        <w:szCs w:val="21"/>
                      </w:rPr>
                      <w:t>工业机器人</w:t>
                    </w:r>
                  </w:p>
                </w:tc>
                <w:tc>
                  <w:tcPr>
                    <w:tcW w:w="709" w:type="dxa"/>
                  </w:tcPr>
                  <w:sdt>
                    <w:sdtPr>
                      <w:rPr>
                        <w:rFonts w:ascii="Times New Roman" w:hAnsi="Times New Roman" w:cs="Times New Roman"/>
                        <w:szCs w:val="21"/>
                      </w:rPr>
                      <w:tag w:val="_PLD_289cf7e5c3a845d59c038a21dcd4a571"/>
                      <w:id w:val="978493551"/>
                      <w:lock w:val="sdtLocked"/>
                    </w:sdtPr>
                    <w:sdtEndPr/>
                    <w:sdtContent>
                      <w:p w14:paraId="3FA0C3B5"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580D04C"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45708350"/>
                        <w:lock w:val="sdtLocked"/>
                      </w:sdtPr>
                      <w:sdtEndPr/>
                      <w:sdtContent>
                        <w:r w:rsidR="00A42880">
                          <w:rPr>
                            <w:rFonts w:ascii="Times New Roman" w:hAnsi="Times New Roman" w:cs="Times New Roman"/>
                            <w:szCs w:val="21"/>
                          </w:rPr>
                          <w:t>自动控制的、可重复编程、多用途、移动或固定式的操作机，可对三个或三个以上轴进行编程，应用于工业自动化（</w:t>
                        </w:r>
                        <w:r w:rsidR="00A42880">
                          <w:rPr>
                            <w:rFonts w:ascii="Times New Roman" w:hAnsi="Times New Roman" w:cs="Times New Roman"/>
                            <w:szCs w:val="21"/>
                          </w:rPr>
                          <w:t>ISO8373:2012</w:t>
                        </w:r>
                        <w:r w:rsidR="00A42880">
                          <w:rPr>
                            <w:rFonts w:ascii="Times New Roman" w:hAnsi="Times New Roman" w:cs="Times New Roman"/>
                            <w:szCs w:val="21"/>
                          </w:rPr>
                          <w:t>标准定义）</w:t>
                        </w:r>
                      </w:sdtContent>
                    </w:sdt>
                  </w:p>
                </w:tc>
              </w:tr>
            </w:sdtContent>
          </w:sdt>
          <w:sdt>
            <w:sdtPr>
              <w:rPr>
                <w:rFonts w:ascii="Times New Roman" w:hAnsi="Times New Roman" w:cs="Times New Roman"/>
                <w:kern w:val="2"/>
                <w:szCs w:val="21"/>
              </w:rPr>
              <w:alias w:val="释义"/>
              <w:tag w:val="_GBC_ca5c2cb7a4e545e2b2d9d1b94b528746"/>
              <w:id w:val="-2039193570"/>
              <w:placeholder>
                <w:docPart w:val="3CFB5CE425494A0B845369A112A16B3A"/>
              </w:placeholder>
            </w:sdtPr>
            <w:sdtEndPr/>
            <w:sdtContent>
              <w:tr w:rsidR="00D21C1F" w14:paraId="1C83A61A" w14:textId="77777777">
                <w:tc>
                  <w:tcPr>
                    <w:tcW w:w="1809" w:type="dxa"/>
                  </w:tcPr>
                  <w:p w14:paraId="3246E4A8" w14:textId="77777777" w:rsidR="00D21C1F" w:rsidRDefault="00A42880">
                    <w:pPr>
                      <w:rPr>
                        <w:rFonts w:ascii="Times New Roman" w:hAnsi="Times New Roman" w:cs="Times New Roman"/>
                        <w:szCs w:val="21"/>
                      </w:rPr>
                    </w:pPr>
                    <w:r>
                      <w:rPr>
                        <w:rFonts w:ascii="Times New Roman" w:hAnsi="Times New Roman" w:cs="Times New Roman"/>
                        <w:szCs w:val="21"/>
                      </w:rPr>
                      <w:t>桌面机器人</w:t>
                    </w:r>
                  </w:p>
                </w:tc>
                <w:tc>
                  <w:tcPr>
                    <w:tcW w:w="709" w:type="dxa"/>
                  </w:tcPr>
                  <w:sdt>
                    <w:sdtPr>
                      <w:rPr>
                        <w:rFonts w:ascii="Times New Roman" w:hAnsi="Times New Roman" w:cs="Times New Roman"/>
                        <w:szCs w:val="21"/>
                      </w:rPr>
                      <w:tag w:val="_PLD_289cf7e5c3a845d59c038a21dcd4a571"/>
                      <w:id w:val="-165480649"/>
                      <w:lock w:val="sdtLocked"/>
                    </w:sdtPr>
                    <w:sdtEndPr/>
                    <w:sdtContent>
                      <w:p w14:paraId="64BECDC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6E86552"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471323500"/>
                        <w:lock w:val="sdtLocked"/>
                      </w:sdtPr>
                      <w:sdtEndPr/>
                      <w:sdtContent>
                        <w:r w:rsidR="00A42880">
                          <w:rPr>
                            <w:rFonts w:ascii="Times New Roman" w:hAnsi="Times New Roman" w:cs="Times New Roman"/>
                            <w:szCs w:val="21"/>
                          </w:rPr>
                          <w:t>一般行业内将负载较轻，且可以在桌面安装的机器人称为桌面机器人。公司生产的桌面机器人产品为负载小于等于</w:t>
                        </w:r>
                        <w:r w:rsidR="00A42880">
                          <w:rPr>
                            <w:rFonts w:ascii="Times New Roman" w:hAnsi="Times New Roman" w:cs="Times New Roman"/>
                            <w:szCs w:val="21"/>
                          </w:rPr>
                          <w:t>10</w:t>
                        </w:r>
                        <w:r w:rsidR="00A42880">
                          <w:rPr>
                            <w:rFonts w:ascii="Times New Roman" w:hAnsi="Times New Roman" w:cs="Times New Roman"/>
                            <w:szCs w:val="21"/>
                          </w:rPr>
                          <w:t>公斤，自重小于</w:t>
                        </w:r>
                        <w:r w:rsidR="00A42880">
                          <w:rPr>
                            <w:rFonts w:ascii="Times New Roman" w:hAnsi="Times New Roman" w:cs="Times New Roman"/>
                            <w:szCs w:val="21"/>
                          </w:rPr>
                          <w:t>50</w:t>
                        </w:r>
                        <w:r w:rsidR="00A42880">
                          <w:rPr>
                            <w:rFonts w:ascii="Times New Roman" w:hAnsi="Times New Roman" w:cs="Times New Roman"/>
                            <w:szCs w:val="21"/>
                          </w:rPr>
                          <w:t>公斤的机器人机型</w:t>
                        </w:r>
                      </w:sdtContent>
                    </w:sdt>
                  </w:p>
                </w:tc>
              </w:tr>
            </w:sdtContent>
          </w:sdt>
          <w:sdt>
            <w:sdtPr>
              <w:rPr>
                <w:rFonts w:ascii="Times New Roman" w:hAnsi="Times New Roman" w:cs="Times New Roman"/>
                <w:kern w:val="2"/>
                <w:szCs w:val="21"/>
              </w:rPr>
              <w:alias w:val="释义"/>
              <w:tag w:val="_GBC_ca5c2cb7a4e545e2b2d9d1b94b528746"/>
              <w:id w:val="-244568440"/>
              <w:placeholder>
                <w:docPart w:val="3CFB5CE425494A0B845369A112A16B3A"/>
              </w:placeholder>
            </w:sdtPr>
            <w:sdtEndPr/>
            <w:sdtContent>
              <w:tr w:rsidR="00D21C1F" w14:paraId="5AF74875" w14:textId="77777777">
                <w:tc>
                  <w:tcPr>
                    <w:tcW w:w="1809" w:type="dxa"/>
                  </w:tcPr>
                  <w:p w14:paraId="0187E67A" w14:textId="77777777" w:rsidR="00D21C1F" w:rsidRDefault="00A42880">
                    <w:pPr>
                      <w:rPr>
                        <w:rFonts w:ascii="Times New Roman" w:hAnsi="Times New Roman" w:cs="Times New Roman"/>
                        <w:szCs w:val="21"/>
                      </w:rPr>
                    </w:pPr>
                    <w:r>
                      <w:rPr>
                        <w:rFonts w:ascii="Times New Roman" w:hAnsi="Times New Roman" w:cs="Times New Roman"/>
                        <w:szCs w:val="21"/>
                      </w:rPr>
                      <w:t>中小型机器人</w:t>
                    </w:r>
                  </w:p>
                </w:tc>
                <w:tc>
                  <w:tcPr>
                    <w:tcW w:w="709" w:type="dxa"/>
                  </w:tcPr>
                  <w:sdt>
                    <w:sdtPr>
                      <w:rPr>
                        <w:rFonts w:ascii="Times New Roman" w:hAnsi="Times New Roman" w:cs="Times New Roman"/>
                        <w:szCs w:val="21"/>
                      </w:rPr>
                      <w:tag w:val="_PLD_289cf7e5c3a845d59c038a21dcd4a571"/>
                      <w:id w:val="-1141033844"/>
                      <w:lock w:val="sdtLocked"/>
                    </w:sdtPr>
                    <w:sdtEndPr/>
                    <w:sdtContent>
                      <w:p w14:paraId="55A17E2E"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2F729CD4"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077404096"/>
                        <w:lock w:val="sdtLocked"/>
                      </w:sdtPr>
                      <w:sdtEndPr/>
                      <w:sdtContent>
                        <w:r w:rsidR="00A42880">
                          <w:rPr>
                            <w:rFonts w:ascii="Times New Roman" w:hAnsi="Times New Roman" w:cs="Times New Roman"/>
                            <w:szCs w:val="21"/>
                          </w:rPr>
                          <w:t>一般行业内将负载较轻和中等，且在地面或墙壁安装的机器人统称为中小型机器人。公司生产的中小型机器人产品为负载小于等于</w:t>
                        </w:r>
                        <w:r w:rsidR="00A42880">
                          <w:rPr>
                            <w:rFonts w:ascii="Times New Roman" w:hAnsi="Times New Roman" w:cs="Times New Roman"/>
                            <w:szCs w:val="21"/>
                          </w:rPr>
                          <w:t>80</w:t>
                        </w:r>
                        <w:r w:rsidR="00A42880">
                          <w:rPr>
                            <w:rFonts w:ascii="Times New Roman" w:hAnsi="Times New Roman" w:cs="Times New Roman"/>
                            <w:szCs w:val="21"/>
                          </w:rPr>
                          <w:t>公斤，自重大于</w:t>
                        </w:r>
                        <w:r w:rsidR="00A42880">
                          <w:rPr>
                            <w:rFonts w:ascii="Times New Roman" w:hAnsi="Times New Roman" w:cs="Times New Roman"/>
                            <w:szCs w:val="21"/>
                          </w:rPr>
                          <w:t>50</w:t>
                        </w:r>
                        <w:r w:rsidR="00A42880">
                          <w:rPr>
                            <w:rFonts w:ascii="Times New Roman" w:hAnsi="Times New Roman" w:cs="Times New Roman"/>
                            <w:szCs w:val="21"/>
                          </w:rPr>
                          <w:t>公斤的机器人机型</w:t>
                        </w:r>
                      </w:sdtContent>
                    </w:sdt>
                  </w:p>
                </w:tc>
              </w:tr>
            </w:sdtContent>
          </w:sdt>
          <w:sdt>
            <w:sdtPr>
              <w:rPr>
                <w:rFonts w:ascii="Times New Roman" w:hAnsi="Times New Roman" w:cs="Times New Roman"/>
                <w:kern w:val="2"/>
                <w:szCs w:val="21"/>
              </w:rPr>
              <w:alias w:val="释义"/>
              <w:tag w:val="_GBC_ca5c2cb7a4e545e2b2d9d1b94b528746"/>
              <w:id w:val="-1897660785"/>
              <w:placeholder>
                <w:docPart w:val="3CFB5CE425494A0B845369A112A16B3A"/>
              </w:placeholder>
            </w:sdtPr>
            <w:sdtEndPr/>
            <w:sdtContent>
              <w:tr w:rsidR="00D21C1F" w14:paraId="601B9CAE" w14:textId="77777777">
                <w:tc>
                  <w:tcPr>
                    <w:tcW w:w="1809" w:type="dxa"/>
                  </w:tcPr>
                  <w:p w14:paraId="5BA3895E" w14:textId="77777777" w:rsidR="00D21C1F" w:rsidRDefault="00A42880">
                    <w:pPr>
                      <w:rPr>
                        <w:rFonts w:ascii="Times New Roman" w:hAnsi="Times New Roman" w:cs="Times New Roman"/>
                        <w:szCs w:val="21"/>
                      </w:rPr>
                    </w:pPr>
                    <w:r>
                      <w:rPr>
                        <w:rFonts w:ascii="Times New Roman" w:hAnsi="Times New Roman" w:cs="Times New Roman"/>
                        <w:szCs w:val="21"/>
                      </w:rPr>
                      <w:t>协作机器人</w:t>
                    </w:r>
                  </w:p>
                </w:tc>
                <w:tc>
                  <w:tcPr>
                    <w:tcW w:w="709" w:type="dxa"/>
                  </w:tcPr>
                  <w:sdt>
                    <w:sdtPr>
                      <w:rPr>
                        <w:rFonts w:ascii="Times New Roman" w:hAnsi="Times New Roman" w:cs="Times New Roman"/>
                        <w:szCs w:val="21"/>
                      </w:rPr>
                      <w:tag w:val="_PLD_289cf7e5c3a845d59c038a21dcd4a571"/>
                      <w:id w:val="1559903507"/>
                      <w:lock w:val="sdtLocked"/>
                    </w:sdtPr>
                    <w:sdtEndPr/>
                    <w:sdtContent>
                      <w:p w14:paraId="2BD9C553"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C73C363"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362864803"/>
                        <w:lock w:val="sdtLocked"/>
                      </w:sdtPr>
                      <w:sdtEndPr/>
                      <w:sdtContent>
                        <w:r w:rsidR="00A42880">
                          <w:rPr>
                            <w:rFonts w:ascii="Times New Roman" w:hAnsi="Times New Roman" w:cs="Times New Roman"/>
                            <w:szCs w:val="21"/>
                          </w:rPr>
                          <w:t>和人类在共同工作空间中有近距离互动的机器人</w:t>
                        </w:r>
                      </w:sdtContent>
                    </w:sdt>
                  </w:p>
                </w:tc>
              </w:tr>
            </w:sdtContent>
          </w:sdt>
          <w:sdt>
            <w:sdtPr>
              <w:rPr>
                <w:rFonts w:ascii="Times New Roman" w:hAnsi="Times New Roman" w:cs="Times New Roman"/>
                <w:kern w:val="2"/>
                <w:szCs w:val="21"/>
              </w:rPr>
              <w:alias w:val="释义"/>
              <w:tag w:val="_GBC_ca5c2cb7a4e545e2b2d9d1b94b528746"/>
              <w:id w:val="1267667361"/>
              <w:placeholder>
                <w:docPart w:val="3CFB5CE425494A0B845369A112A16B3A"/>
              </w:placeholder>
            </w:sdtPr>
            <w:sdtEndPr/>
            <w:sdtContent>
              <w:tr w:rsidR="00D21C1F" w14:paraId="4A3FE6A0" w14:textId="77777777">
                <w:tc>
                  <w:tcPr>
                    <w:tcW w:w="1809" w:type="dxa"/>
                  </w:tcPr>
                  <w:p w14:paraId="1E56B8BF" w14:textId="77777777" w:rsidR="00D21C1F" w:rsidRDefault="00A42880">
                    <w:pPr>
                      <w:rPr>
                        <w:rFonts w:ascii="Times New Roman" w:hAnsi="Times New Roman" w:cs="Times New Roman"/>
                        <w:szCs w:val="21"/>
                      </w:rPr>
                    </w:pPr>
                    <w:r>
                      <w:rPr>
                        <w:rFonts w:ascii="Times New Roman" w:hAnsi="Times New Roman" w:cs="Times New Roman"/>
                        <w:szCs w:val="21"/>
                      </w:rPr>
                      <w:t>系统集成</w:t>
                    </w:r>
                  </w:p>
                </w:tc>
                <w:tc>
                  <w:tcPr>
                    <w:tcW w:w="709" w:type="dxa"/>
                  </w:tcPr>
                  <w:sdt>
                    <w:sdtPr>
                      <w:rPr>
                        <w:rFonts w:ascii="Times New Roman" w:hAnsi="Times New Roman" w:cs="Times New Roman"/>
                        <w:szCs w:val="21"/>
                      </w:rPr>
                      <w:tag w:val="_PLD_289cf7e5c3a845d59c038a21dcd4a571"/>
                      <w:id w:val="348848148"/>
                      <w:lock w:val="sdtLocked"/>
                    </w:sdtPr>
                    <w:sdtEndPr/>
                    <w:sdtContent>
                      <w:p w14:paraId="7FFA42B0"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EDD48D5"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349364979"/>
                        <w:lock w:val="sdtLocked"/>
                      </w:sdtPr>
                      <w:sdtEndPr/>
                      <w:sdtContent>
                        <w:r w:rsidR="00A42880">
                          <w:rPr>
                            <w:rFonts w:ascii="Times New Roman" w:hAnsi="Times New Roman" w:cs="Times New Roman"/>
                            <w:szCs w:val="21"/>
                          </w:rPr>
                          <w:t>通过以工业机器人和自动化生产单元为基础，根据不同客户的实际情况、技术参数和工艺要求，利用机械、电子、控制、工业软件、传感器、人工智能等技术，将机器人、夹具、焊枪、移动装置、变位装置、电气装置等集成为能够实现焊接、机械加工、搬运、码</w:t>
                        </w:r>
                        <w:r w:rsidR="00A42880">
                          <w:rPr>
                            <w:rFonts w:ascii="Times New Roman" w:hAnsi="Times New Roman" w:cs="Times New Roman"/>
                            <w:szCs w:val="21"/>
                          </w:rPr>
                          <w:lastRenderedPageBreak/>
                          <w:t>垛、装配、分拣等功能的自动化生产线</w:t>
                        </w:r>
                      </w:sdtContent>
                    </w:sdt>
                  </w:p>
                </w:tc>
              </w:tr>
            </w:sdtContent>
          </w:sdt>
          <w:sdt>
            <w:sdtPr>
              <w:rPr>
                <w:rFonts w:ascii="Times New Roman" w:hAnsi="Times New Roman" w:cs="Times New Roman"/>
                <w:kern w:val="2"/>
                <w:szCs w:val="21"/>
              </w:rPr>
              <w:alias w:val="释义"/>
              <w:tag w:val="_GBC_ca5c2cb7a4e545e2b2d9d1b94b528746"/>
              <w:id w:val="-1528552896"/>
              <w:placeholder>
                <w:docPart w:val="3CFB5CE425494A0B845369A112A16B3A"/>
              </w:placeholder>
            </w:sdtPr>
            <w:sdtEndPr/>
            <w:sdtContent>
              <w:tr w:rsidR="00D21C1F" w14:paraId="32AC78F2" w14:textId="77777777">
                <w:tc>
                  <w:tcPr>
                    <w:tcW w:w="1809" w:type="dxa"/>
                  </w:tcPr>
                  <w:p w14:paraId="107F5A66" w14:textId="77777777" w:rsidR="00D21C1F" w:rsidRDefault="00A42880">
                    <w:pPr>
                      <w:rPr>
                        <w:rFonts w:ascii="Times New Roman" w:hAnsi="Times New Roman" w:cs="Times New Roman"/>
                        <w:szCs w:val="21"/>
                      </w:rPr>
                    </w:pPr>
                    <w:r>
                      <w:rPr>
                        <w:rFonts w:ascii="Times New Roman" w:hAnsi="Times New Roman" w:cs="Times New Roman"/>
                        <w:szCs w:val="21"/>
                      </w:rPr>
                      <w:t>关节机器人</w:t>
                    </w:r>
                  </w:p>
                </w:tc>
                <w:tc>
                  <w:tcPr>
                    <w:tcW w:w="709" w:type="dxa"/>
                  </w:tcPr>
                  <w:sdt>
                    <w:sdtPr>
                      <w:rPr>
                        <w:rFonts w:ascii="Times New Roman" w:hAnsi="Times New Roman" w:cs="Times New Roman"/>
                        <w:szCs w:val="21"/>
                      </w:rPr>
                      <w:tag w:val="_PLD_289cf7e5c3a845d59c038a21dcd4a571"/>
                      <w:id w:val="-1888565111"/>
                      <w:lock w:val="sdtLocked"/>
                    </w:sdtPr>
                    <w:sdtEndPr/>
                    <w:sdtContent>
                      <w:p w14:paraId="00BBBF78"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DAD0BD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692676859"/>
                        <w:lock w:val="sdtLocked"/>
                      </w:sdtPr>
                      <w:sdtEndPr/>
                      <w:sdtContent>
                        <w:r w:rsidR="00A42880">
                          <w:rPr>
                            <w:rFonts w:ascii="Times New Roman" w:hAnsi="Times New Roman" w:cs="Times New Roman"/>
                            <w:szCs w:val="21"/>
                          </w:rPr>
                          <w:t>是工业领域中常见的工业机器人的形态之一，适合用于诸多工业领域的机械自动化作业。按摆动方向，分为垂直关节机器人和水平关节机器人</w:t>
                        </w:r>
                      </w:sdtContent>
                    </w:sdt>
                  </w:p>
                </w:tc>
              </w:tr>
            </w:sdtContent>
          </w:sdt>
          <w:sdt>
            <w:sdtPr>
              <w:rPr>
                <w:rFonts w:ascii="Times New Roman" w:hAnsi="Times New Roman" w:cs="Times New Roman"/>
                <w:kern w:val="2"/>
                <w:szCs w:val="21"/>
              </w:rPr>
              <w:alias w:val="释义"/>
              <w:tag w:val="_GBC_ca5c2cb7a4e545e2b2d9d1b94b528746"/>
              <w:id w:val="-315886121"/>
              <w:placeholder>
                <w:docPart w:val="3CFB5CE425494A0B845369A112A16B3A"/>
              </w:placeholder>
            </w:sdtPr>
            <w:sdtEndPr/>
            <w:sdtContent>
              <w:tr w:rsidR="00D21C1F" w14:paraId="698B2588" w14:textId="77777777">
                <w:tc>
                  <w:tcPr>
                    <w:tcW w:w="1809" w:type="dxa"/>
                  </w:tcPr>
                  <w:p w14:paraId="1DA8BD8C" w14:textId="77777777" w:rsidR="00D21C1F" w:rsidRDefault="00A42880">
                    <w:pPr>
                      <w:rPr>
                        <w:rFonts w:ascii="Times New Roman" w:hAnsi="Times New Roman" w:cs="Times New Roman"/>
                        <w:szCs w:val="21"/>
                      </w:rPr>
                    </w:pPr>
                    <w:r>
                      <w:rPr>
                        <w:rFonts w:ascii="Times New Roman" w:hAnsi="Times New Roman" w:cs="Times New Roman"/>
                        <w:szCs w:val="21"/>
                      </w:rPr>
                      <w:t>AGV</w:t>
                    </w:r>
                  </w:p>
                </w:tc>
                <w:tc>
                  <w:tcPr>
                    <w:tcW w:w="709" w:type="dxa"/>
                  </w:tcPr>
                  <w:sdt>
                    <w:sdtPr>
                      <w:rPr>
                        <w:rFonts w:ascii="Times New Roman" w:hAnsi="Times New Roman" w:cs="Times New Roman"/>
                        <w:szCs w:val="21"/>
                      </w:rPr>
                      <w:tag w:val="_PLD_289cf7e5c3a845d59c038a21dcd4a571"/>
                      <w:id w:val="891543631"/>
                      <w:lock w:val="sdtLocked"/>
                    </w:sdtPr>
                    <w:sdtEndPr/>
                    <w:sdtContent>
                      <w:p w14:paraId="6D7C7155"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A14C309"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809007768"/>
                        <w:lock w:val="sdtLocked"/>
                      </w:sdtPr>
                      <w:sdtEndPr/>
                      <w:sdtContent>
                        <w:r w:rsidR="00A42880">
                          <w:rPr>
                            <w:rFonts w:ascii="Times New Roman" w:hAnsi="Times New Roman" w:cs="Times New Roman"/>
                            <w:szCs w:val="21"/>
                          </w:rPr>
                          <w:t>Automated Guided Vehicle</w:t>
                        </w:r>
                        <w:r w:rsidR="00A42880">
                          <w:rPr>
                            <w:rFonts w:ascii="Times New Roman" w:hAnsi="Times New Roman" w:cs="Times New Roman"/>
                            <w:szCs w:val="21"/>
                          </w:rPr>
                          <w:t>，移动机器人，指装备有电磁或光学等自动导引装置，能够沿规定的导引路径行驶，具有安全保护以及各种移载功能的运输车，工业应用中不需驾驶员的搬运车，以可充电之蓄电池为其动力来源</w:t>
                        </w:r>
                      </w:sdtContent>
                    </w:sdt>
                  </w:p>
                </w:tc>
              </w:tr>
            </w:sdtContent>
          </w:sdt>
          <w:sdt>
            <w:sdtPr>
              <w:rPr>
                <w:rFonts w:ascii="Times New Roman" w:hAnsi="Times New Roman" w:cs="Times New Roman"/>
                <w:kern w:val="2"/>
                <w:szCs w:val="21"/>
              </w:rPr>
              <w:alias w:val="释义"/>
              <w:tag w:val="_GBC_ca5c2cb7a4e545e2b2d9d1b94b528746"/>
              <w:id w:val="494929594"/>
              <w:placeholder>
                <w:docPart w:val="3CFB5CE425494A0B845369A112A16B3A"/>
              </w:placeholder>
            </w:sdtPr>
            <w:sdtEndPr/>
            <w:sdtContent>
              <w:tr w:rsidR="00D21C1F" w14:paraId="275CBC9D" w14:textId="77777777">
                <w:tc>
                  <w:tcPr>
                    <w:tcW w:w="1809" w:type="dxa"/>
                  </w:tcPr>
                  <w:p w14:paraId="1A2BB683" w14:textId="77777777" w:rsidR="00D21C1F" w:rsidRDefault="00A42880">
                    <w:pPr>
                      <w:rPr>
                        <w:rFonts w:ascii="Times New Roman" w:hAnsi="Times New Roman" w:cs="Times New Roman"/>
                        <w:szCs w:val="21"/>
                      </w:rPr>
                    </w:pPr>
                    <w:r>
                      <w:rPr>
                        <w:rFonts w:ascii="Times New Roman" w:hAnsi="Times New Roman" w:cs="Times New Roman"/>
                        <w:szCs w:val="21"/>
                      </w:rPr>
                      <w:t>物联网</w:t>
                    </w:r>
                  </w:p>
                </w:tc>
                <w:tc>
                  <w:tcPr>
                    <w:tcW w:w="709" w:type="dxa"/>
                  </w:tcPr>
                  <w:sdt>
                    <w:sdtPr>
                      <w:rPr>
                        <w:rFonts w:ascii="Times New Roman" w:hAnsi="Times New Roman" w:cs="Times New Roman"/>
                        <w:szCs w:val="21"/>
                      </w:rPr>
                      <w:tag w:val="_PLD_289cf7e5c3a845d59c038a21dcd4a571"/>
                      <w:id w:val="-1561626130"/>
                      <w:lock w:val="sdtLocked"/>
                    </w:sdtPr>
                    <w:sdtEndPr/>
                    <w:sdtContent>
                      <w:p w14:paraId="1A058CD8"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61F8F85C"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42105801"/>
                        <w:lock w:val="sdtLocked"/>
                      </w:sdtPr>
                      <w:sdtEndPr/>
                      <w:sdtContent>
                        <w:r w:rsidR="00A42880">
                          <w:rPr>
                            <w:rFonts w:ascii="Times New Roman" w:hAnsi="Times New Roman" w:cs="Times New Roman"/>
                            <w:szCs w:val="21"/>
                          </w:rPr>
                          <w:t>通过互联网、传统电信网等信息承载体，将所有能行使独立功能的普通物体实现互联互通的网络</w:t>
                        </w:r>
                      </w:sdtContent>
                    </w:sdt>
                  </w:p>
                </w:tc>
              </w:tr>
            </w:sdtContent>
          </w:sdt>
          <w:sdt>
            <w:sdtPr>
              <w:rPr>
                <w:rFonts w:ascii="Times New Roman" w:hAnsi="Times New Roman" w:cs="Times New Roman"/>
                <w:kern w:val="2"/>
                <w:szCs w:val="21"/>
              </w:rPr>
              <w:alias w:val="释义"/>
              <w:tag w:val="_GBC_ca5c2cb7a4e545e2b2d9d1b94b528746"/>
              <w:id w:val="-2081438416"/>
              <w:placeholder>
                <w:docPart w:val="3CFB5CE425494A0B845369A112A16B3A"/>
              </w:placeholder>
            </w:sdtPr>
            <w:sdtEndPr/>
            <w:sdtContent>
              <w:tr w:rsidR="00D21C1F" w14:paraId="5B904A30" w14:textId="77777777">
                <w:tc>
                  <w:tcPr>
                    <w:tcW w:w="1809" w:type="dxa"/>
                  </w:tcPr>
                  <w:p w14:paraId="2BBC88AF" w14:textId="77777777" w:rsidR="00D21C1F" w:rsidRDefault="00A42880">
                    <w:pPr>
                      <w:rPr>
                        <w:rFonts w:ascii="Times New Roman" w:hAnsi="Times New Roman" w:cs="Times New Roman"/>
                        <w:szCs w:val="21"/>
                      </w:rPr>
                    </w:pPr>
                    <w:r>
                      <w:rPr>
                        <w:rFonts w:ascii="Times New Roman" w:hAnsi="Times New Roman" w:cs="Times New Roman"/>
                        <w:szCs w:val="21"/>
                      </w:rPr>
                      <w:t>人工智能、</w:t>
                    </w:r>
                    <w:r>
                      <w:rPr>
                        <w:rFonts w:ascii="Times New Roman" w:hAnsi="Times New Roman" w:cs="Times New Roman"/>
                        <w:szCs w:val="21"/>
                      </w:rPr>
                      <w:t>AI</w:t>
                    </w:r>
                  </w:p>
                </w:tc>
                <w:tc>
                  <w:tcPr>
                    <w:tcW w:w="709" w:type="dxa"/>
                  </w:tcPr>
                  <w:sdt>
                    <w:sdtPr>
                      <w:rPr>
                        <w:rFonts w:ascii="Times New Roman" w:hAnsi="Times New Roman" w:cs="Times New Roman"/>
                        <w:szCs w:val="21"/>
                      </w:rPr>
                      <w:tag w:val="_PLD_289cf7e5c3a845d59c038a21dcd4a571"/>
                      <w:id w:val="1288694028"/>
                      <w:lock w:val="sdtLocked"/>
                    </w:sdtPr>
                    <w:sdtEndPr/>
                    <w:sdtContent>
                      <w:p w14:paraId="7AD47D8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4DFDF8F"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311555680"/>
                        <w:lock w:val="sdtLocked"/>
                      </w:sdtPr>
                      <w:sdtEndPr/>
                      <w:sdtContent>
                        <w:r w:rsidR="00A42880">
                          <w:rPr>
                            <w:rFonts w:ascii="Times New Roman" w:hAnsi="Times New Roman" w:cs="Times New Roman"/>
                            <w:szCs w:val="21"/>
                          </w:rPr>
                          <w:t>Artificial Intelligence</w:t>
                        </w:r>
                        <w:r w:rsidR="00A42880">
                          <w:rPr>
                            <w:rFonts w:ascii="Times New Roman" w:hAnsi="Times New Roman" w:cs="Times New Roman"/>
                            <w:szCs w:val="21"/>
                          </w:rPr>
                          <w:t>，简称</w:t>
                        </w:r>
                        <w:r w:rsidR="00A42880">
                          <w:rPr>
                            <w:rFonts w:ascii="Times New Roman" w:hAnsi="Times New Roman" w:cs="Times New Roman"/>
                            <w:szCs w:val="21"/>
                          </w:rPr>
                          <w:t>AI</w:t>
                        </w:r>
                        <w:r w:rsidR="00A42880">
                          <w:rPr>
                            <w:rFonts w:ascii="Times New Roman" w:hAnsi="Times New Roman" w:cs="Times New Roman"/>
                            <w:szCs w:val="21"/>
                          </w:rPr>
                          <w:t>，一门研究、开发用于模拟、延伸和扩展人的智能的理论、方法、技术及应用系统的技术科学</w:t>
                        </w:r>
                      </w:sdtContent>
                    </w:sdt>
                  </w:p>
                </w:tc>
              </w:tr>
            </w:sdtContent>
          </w:sdt>
          <w:sdt>
            <w:sdtPr>
              <w:rPr>
                <w:rFonts w:ascii="Times New Roman" w:hAnsi="Times New Roman" w:cs="Times New Roman"/>
                <w:kern w:val="2"/>
                <w:szCs w:val="21"/>
              </w:rPr>
              <w:alias w:val="释义"/>
              <w:tag w:val="_GBC_ca5c2cb7a4e545e2b2d9d1b94b528746"/>
              <w:id w:val="-1593620511"/>
              <w:placeholder>
                <w:docPart w:val="3CFB5CE425494A0B845369A112A16B3A"/>
              </w:placeholder>
            </w:sdtPr>
            <w:sdtEndPr/>
            <w:sdtContent>
              <w:tr w:rsidR="00D21C1F" w14:paraId="6871E8A8" w14:textId="77777777">
                <w:tc>
                  <w:tcPr>
                    <w:tcW w:w="1809" w:type="dxa"/>
                  </w:tcPr>
                  <w:p w14:paraId="497AFA17" w14:textId="77777777" w:rsidR="00D21C1F" w:rsidRDefault="00A42880">
                    <w:pPr>
                      <w:rPr>
                        <w:rFonts w:ascii="Times New Roman" w:hAnsi="Times New Roman" w:cs="Times New Roman"/>
                        <w:szCs w:val="21"/>
                      </w:rPr>
                    </w:pPr>
                    <w:r>
                      <w:rPr>
                        <w:rFonts w:ascii="Times New Roman" w:hAnsi="Times New Roman" w:cs="Times New Roman"/>
                        <w:szCs w:val="21"/>
                      </w:rPr>
                      <w:t>通用工业</w:t>
                    </w:r>
                  </w:p>
                </w:tc>
                <w:tc>
                  <w:tcPr>
                    <w:tcW w:w="709" w:type="dxa"/>
                  </w:tcPr>
                  <w:sdt>
                    <w:sdtPr>
                      <w:rPr>
                        <w:rFonts w:ascii="Times New Roman" w:hAnsi="Times New Roman" w:cs="Times New Roman"/>
                        <w:szCs w:val="21"/>
                      </w:rPr>
                      <w:tag w:val="_PLD_289cf7e5c3a845d59c038a21dcd4a571"/>
                      <w:id w:val="574324571"/>
                      <w:lock w:val="sdtLocked"/>
                    </w:sdtPr>
                    <w:sdtEndPr/>
                    <w:sdtContent>
                      <w:p w14:paraId="0DD9185A"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C87FFEC"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47330964"/>
                        <w:lock w:val="sdtLocked"/>
                      </w:sdtPr>
                      <w:sdtEndPr/>
                      <w:sdtContent>
                        <w:r w:rsidR="00A42880">
                          <w:rPr>
                            <w:rFonts w:ascii="Times New Roman" w:hAnsi="Times New Roman" w:cs="Times New Roman"/>
                            <w:szCs w:val="21"/>
                          </w:rPr>
                          <w:t>General Industry</w:t>
                        </w:r>
                        <w:r w:rsidR="00A42880">
                          <w:rPr>
                            <w:rFonts w:ascii="Times New Roman" w:hAnsi="Times New Roman" w:cs="Times New Roman"/>
                            <w:szCs w:val="21"/>
                          </w:rPr>
                          <w:t>，也称一般工业，在机器人领域通常指汽车工业以外的其他工业部门</w:t>
                        </w:r>
                      </w:sdtContent>
                    </w:sdt>
                  </w:p>
                </w:tc>
              </w:tr>
            </w:sdtContent>
          </w:sdt>
          <w:sdt>
            <w:sdtPr>
              <w:rPr>
                <w:rFonts w:ascii="Times New Roman" w:hAnsi="Times New Roman" w:cs="Times New Roman"/>
                <w:kern w:val="2"/>
                <w:szCs w:val="21"/>
              </w:rPr>
              <w:alias w:val="释义"/>
              <w:tag w:val="_GBC_ca5c2cb7a4e545e2b2d9d1b94b528746"/>
              <w:id w:val="564229391"/>
              <w:placeholder>
                <w:docPart w:val="3CFB5CE425494A0B845369A112A16B3A"/>
              </w:placeholder>
            </w:sdtPr>
            <w:sdtEndPr/>
            <w:sdtContent>
              <w:tr w:rsidR="00D21C1F" w14:paraId="7639EEF3" w14:textId="77777777">
                <w:tc>
                  <w:tcPr>
                    <w:tcW w:w="1809" w:type="dxa"/>
                  </w:tcPr>
                  <w:p w14:paraId="74F772C2" w14:textId="77777777" w:rsidR="00D21C1F" w:rsidRDefault="00A42880">
                    <w:pPr>
                      <w:rPr>
                        <w:rFonts w:ascii="Times New Roman" w:hAnsi="Times New Roman" w:cs="Times New Roman"/>
                        <w:szCs w:val="21"/>
                      </w:rPr>
                    </w:pPr>
                    <w:r>
                      <w:rPr>
                        <w:rFonts w:ascii="Times New Roman" w:hAnsi="Times New Roman" w:cs="Times New Roman"/>
                        <w:szCs w:val="21"/>
                      </w:rPr>
                      <w:t>3C</w:t>
                    </w:r>
                  </w:p>
                </w:tc>
                <w:tc>
                  <w:tcPr>
                    <w:tcW w:w="709" w:type="dxa"/>
                  </w:tcPr>
                  <w:sdt>
                    <w:sdtPr>
                      <w:rPr>
                        <w:rFonts w:ascii="Times New Roman" w:hAnsi="Times New Roman" w:cs="Times New Roman"/>
                        <w:szCs w:val="21"/>
                      </w:rPr>
                      <w:tag w:val="_PLD_289cf7e5c3a845d59c038a21dcd4a571"/>
                      <w:id w:val="-895896717"/>
                      <w:lock w:val="sdtLocked"/>
                    </w:sdtPr>
                    <w:sdtEndPr/>
                    <w:sdtContent>
                      <w:p w14:paraId="53FA74B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A5D3EA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757347220"/>
                        <w:lock w:val="sdtLocked"/>
                      </w:sdtPr>
                      <w:sdtEndPr/>
                      <w:sdtContent>
                        <w:r w:rsidR="00A42880">
                          <w:rPr>
                            <w:rFonts w:ascii="Times New Roman" w:hAnsi="Times New Roman" w:cs="Times New Roman"/>
                            <w:szCs w:val="21"/>
                          </w:rPr>
                          <w:t>是计算机（</w:t>
                        </w:r>
                        <w:r w:rsidR="00A42880">
                          <w:rPr>
                            <w:rFonts w:ascii="Times New Roman" w:hAnsi="Times New Roman" w:cs="Times New Roman"/>
                            <w:szCs w:val="21"/>
                          </w:rPr>
                          <w:t>Computer</w:t>
                        </w:r>
                        <w:r w:rsidR="00A42880">
                          <w:rPr>
                            <w:rFonts w:ascii="Times New Roman" w:hAnsi="Times New Roman" w:cs="Times New Roman"/>
                            <w:szCs w:val="21"/>
                          </w:rPr>
                          <w:t>）、通信（</w:t>
                        </w:r>
                        <w:r w:rsidR="00A42880">
                          <w:rPr>
                            <w:rFonts w:ascii="Times New Roman" w:hAnsi="Times New Roman" w:cs="Times New Roman"/>
                            <w:szCs w:val="21"/>
                          </w:rPr>
                          <w:t>Communication</w:t>
                        </w:r>
                        <w:r w:rsidR="00A42880">
                          <w:rPr>
                            <w:rFonts w:ascii="Times New Roman" w:hAnsi="Times New Roman" w:cs="Times New Roman"/>
                            <w:szCs w:val="21"/>
                          </w:rPr>
                          <w:t>）和消费电子（</w:t>
                        </w:r>
                        <w:r w:rsidR="00A42880">
                          <w:rPr>
                            <w:rFonts w:ascii="Times New Roman" w:hAnsi="Times New Roman" w:cs="Times New Roman"/>
                            <w:szCs w:val="21"/>
                          </w:rPr>
                          <w:t>Consumer Electronics</w:t>
                        </w:r>
                        <w:r w:rsidR="00A42880">
                          <w:rPr>
                            <w:rFonts w:ascii="Times New Roman" w:hAnsi="Times New Roman" w:cs="Times New Roman"/>
                            <w:szCs w:val="21"/>
                          </w:rPr>
                          <w:t>）首字母的合并简称</w:t>
                        </w:r>
                      </w:sdtContent>
                    </w:sdt>
                  </w:p>
                </w:tc>
              </w:tr>
            </w:sdtContent>
          </w:sdt>
          <w:sdt>
            <w:sdtPr>
              <w:rPr>
                <w:rFonts w:ascii="Times New Roman" w:hAnsi="Times New Roman" w:cs="Times New Roman"/>
                <w:kern w:val="2"/>
                <w:szCs w:val="21"/>
              </w:rPr>
              <w:alias w:val="释义"/>
              <w:tag w:val="_GBC_ca5c2cb7a4e545e2b2d9d1b94b528746"/>
              <w:id w:val="-531798974"/>
              <w:placeholder>
                <w:docPart w:val="3CFB5CE425494A0B845369A112A16B3A"/>
              </w:placeholder>
            </w:sdtPr>
            <w:sdtEndPr/>
            <w:sdtContent>
              <w:tr w:rsidR="00D21C1F" w14:paraId="1311B1D1" w14:textId="77777777">
                <w:tc>
                  <w:tcPr>
                    <w:tcW w:w="1809" w:type="dxa"/>
                  </w:tcPr>
                  <w:p w14:paraId="2790CF66" w14:textId="77777777" w:rsidR="00D21C1F" w:rsidRDefault="00A42880">
                    <w:pPr>
                      <w:rPr>
                        <w:rFonts w:ascii="Times New Roman" w:hAnsi="Times New Roman" w:cs="Times New Roman"/>
                        <w:szCs w:val="21"/>
                      </w:rPr>
                    </w:pPr>
                    <w:r>
                      <w:rPr>
                        <w:rFonts w:ascii="Times New Roman" w:hAnsi="Times New Roman" w:cs="Times New Roman"/>
                        <w:kern w:val="2"/>
                        <w:szCs w:val="21"/>
                      </w:rPr>
                      <w:t>PCB</w:t>
                    </w:r>
                  </w:p>
                </w:tc>
                <w:tc>
                  <w:tcPr>
                    <w:tcW w:w="709" w:type="dxa"/>
                  </w:tcPr>
                  <w:sdt>
                    <w:sdtPr>
                      <w:rPr>
                        <w:rFonts w:ascii="Times New Roman" w:hAnsi="Times New Roman" w:cs="Times New Roman"/>
                        <w:szCs w:val="21"/>
                      </w:rPr>
                      <w:tag w:val="_PLD_289cf7e5c3a845d59c038a21dcd4a571"/>
                      <w:id w:val="202365928"/>
                      <w:lock w:val="sdtLocked"/>
                    </w:sdtPr>
                    <w:sdtEndPr/>
                    <w:sdtContent>
                      <w:p w14:paraId="79713DEA"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8612D40"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989477039"/>
                        <w:lock w:val="sdtLocked"/>
                      </w:sdtPr>
                      <w:sdtEndPr/>
                      <w:sdtContent>
                        <w:r w:rsidR="00A42880">
                          <w:rPr>
                            <w:rFonts w:ascii="Times New Roman" w:hAnsi="Times New Roman" w:cs="Times New Roman"/>
                            <w:szCs w:val="21"/>
                          </w:rPr>
                          <w:t>印制电路板，又称印刷线路板</w:t>
                        </w:r>
                        <w:r w:rsidR="00A42880">
                          <w:rPr>
                            <w:rFonts w:ascii="Times New Roman" w:hAnsi="Times New Roman" w:cs="Times New Roman"/>
                            <w:szCs w:val="21"/>
                          </w:rPr>
                          <w:t>(Printed Circuit Board)</w:t>
                        </w:r>
                        <w:r w:rsidR="00A42880">
                          <w:rPr>
                            <w:rFonts w:ascii="Times New Roman" w:hAnsi="Times New Roman" w:cs="Times New Roman"/>
                            <w:szCs w:val="21"/>
                          </w:rPr>
                          <w:t>，是重要的电子部件，是电子元器件的支撑体，是电子元器件电气连接的载体。</w:t>
                        </w:r>
                      </w:sdtContent>
                    </w:sdt>
                  </w:p>
                </w:tc>
              </w:tr>
            </w:sdtContent>
          </w:sdt>
          <w:sdt>
            <w:sdtPr>
              <w:rPr>
                <w:rFonts w:ascii="Times New Roman" w:hAnsi="Times New Roman" w:cs="Times New Roman"/>
                <w:kern w:val="2"/>
                <w:szCs w:val="21"/>
              </w:rPr>
              <w:alias w:val="释义"/>
              <w:tag w:val="_GBC_ca5c2cb7a4e545e2b2d9d1b94b528746"/>
              <w:id w:val="-1964492755"/>
              <w:placeholder>
                <w:docPart w:val="3CFB5CE425494A0B845369A112A16B3A"/>
              </w:placeholder>
            </w:sdtPr>
            <w:sdtEndPr/>
            <w:sdtContent>
              <w:tr w:rsidR="00D21C1F" w14:paraId="6CF8F8EB" w14:textId="77777777">
                <w:tc>
                  <w:tcPr>
                    <w:tcW w:w="1809" w:type="dxa"/>
                  </w:tcPr>
                  <w:p w14:paraId="28DF4FEE" w14:textId="77777777" w:rsidR="00D21C1F" w:rsidRDefault="00A42880">
                    <w:pPr>
                      <w:rPr>
                        <w:rFonts w:ascii="Times New Roman" w:hAnsi="Times New Roman" w:cs="Times New Roman"/>
                        <w:szCs w:val="21"/>
                      </w:rPr>
                    </w:pPr>
                    <w:r>
                      <w:rPr>
                        <w:rFonts w:ascii="Times New Roman" w:hAnsi="Times New Roman" w:cs="Times New Roman"/>
                        <w:szCs w:val="21"/>
                      </w:rPr>
                      <w:t>白车身</w:t>
                    </w:r>
                  </w:p>
                </w:tc>
                <w:tc>
                  <w:tcPr>
                    <w:tcW w:w="709" w:type="dxa"/>
                  </w:tcPr>
                  <w:sdt>
                    <w:sdtPr>
                      <w:rPr>
                        <w:rFonts w:ascii="Times New Roman" w:hAnsi="Times New Roman" w:cs="Times New Roman"/>
                        <w:szCs w:val="21"/>
                      </w:rPr>
                      <w:tag w:val="_PLD_289cf7e5c3a845d59c038a21dcd4a571"/>
                      <w:id w:val="-1658067747"/>
                      <w:lock w:val="sdtLocked"/>
                    </w:sdtPr>
                    <w:sdtEndPr/>
                    <w:sdtContent>
                      <w:p w14:paraId="1A0A2F5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3C7A45B"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646934449"/>
                        <w:lock w:val="sdtLocked"/>
                      </w:sdtPr>
                      <w:sdtEndPr/>
                      <w:sdtContent>
                        <w:r w:rsidR="00A42880">
                          <w:rPr>
                            <w:rFonts w:ascii="Times New Roman" w:hAnsi="Times New Roman" w:cs="Times New Roman"/>
                            <w:szCs w:val="21"/>
                          </w:rPr>
                          <w:t>Body in White</w:t>
                        </w:r>
                        <w:r w:rsidR="00A42880">
                          <w:rPr>
                            <w:rFonts w:ascii="Times New Roman" w:hAnsi="Times New Roman" w:cs="Times New Roman"/>
                            <w:szCs w:val="21"/>
                          </w:rPr>
                          <w:t>（</w:t>
                        </w:r>
                        <w:r w:rsidR="00A42880">
                          <w:rPr>
                            <w:rFonts w:ascii="Times New Roman" w:hAnsi="Times New Roman" w:cs="Times New Roman"/>
                            <w:szCs w:val="21"/>
                          </w:rPr>
                          <w:t>BIW</w:t>
                        </w:r>
                        <w:r w:rsidR="00A42880">
                          <w:rPr>
                            <w:rFonts w:ascii="Times New Roman" w:hAnsi="Times New Roman" w:cs="Times New Roman"/>
                            <w:szCs w:val="21"/>
                          </w:rPr>
                          <w:t>），完成焊接但未涂装之前的车身</w:t>
                        </w:r>
                      </w:sdtContent>
                    </w:sdt>
                  </w:p>
                </w:tc>
              </w:tr>
            </w:sdtContent>
          </w:sdt>
          <w:sdt>
            <w:sdtPr>
              <w:rPr>
                <w:rFonts w:ascii="Times New Roman" w:hAnsi="Times New Roman" w:cs="Times New Roman"/>
                <w:kern w:val="2"/>
                <w:szCs w:val="21"/>
              </w:rPr>
              <w:alias w:val="释义"/>
              <w:tag w:val="_GBC_ca5c2cb7a4e545e2b2d9d1b94b528746"/>
              <w:id w:val="2104994996"/>
              <w:placeholder>
                <w:docPart w:val="3CFB5CE425494A0B845369A112A16B3A"/>
              </w:placeholder>
            </w:sdtPr>
            <w:sdtEndPr/>
            <w:sdtContent>
              <w:tr w:rsidR="00D21C1F" w14:paraId="00B7422E" w14:textId="77777777">
                <w:tc>
                  <w:tcPr>
                    <w:tcW w:w="1809" w:type="dxa"/>
                  </w:tcPr>
                  <w:p w14:paraId="2672429D" w14:textId="77777777" w:rsidR="00D21C1F" w:rsidRDefault="00A42880">
                    <w:pPr>
                      <w:rPr>
                        <w:rFonts w:ascii="Times New Roman" w:hAnsi="Times New Roman" w:cs="Times New Roman"/>
                        <w:szCs w:val="21"/>
                      </w:rPr>
                    </w:pPr>
                    <w:r>
                      <w:rPr>
                        <w:rFonts w:ascii="Times New Roman" w:hAnsi="Times New Roman" w:cs="Times New Roman"/>
                        <w:szCs w:val="21"/>
                      </w:rPr>
                      <w:t>焊装</w:t>
                    </w:r>
                  </w:p>
                </w:tc>
                <w:tc>
                  <w:tcPr>
                    <w:tcW w:w="709" w:type="dxa"/>
                  </w:tcPr>
                  <w:sdt>
                    <w:sdtPr>
                      <w:rPr>
                        <w:rFonts w:ascii="Times New Roman" w:hAnsi="Times New Roman" w:cs="Times New Roman"/>
                        <w:szCs w:val="21"/>
                      </w:rPr>
                      <w:tag w:val="_PLD_289cf7e5c3a845d59c038a21dcd4a571"/>
                      <w:id w:val="2056040652"/>
                      <w:lock w:val="sdtLocked"/>
                    </w:sdtPr>
                    <w:sdtEndPr/>
                    <w:sdtContent>
                      <w:p w14:paraId="0872429A"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2271BEF3"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76017892"/>
                        <w:lock w:val="sdtLocked"/>
                      </w:sdtPr>
                      <w:sdtEndPr/>
                      <w:sdtContent>
                        <w:r w:rsidR="00A42880">
                          <w:rPr>
                            <w:rFonts w:ascii="Times New Roman" w:hAnsi="Times New Roman" w:cs="Times New Roman"/>
                            <w:szCs w:val="21"/>
                          </w:rPr>
                          <w:t>利用各种焊接手段将各种零部件拼焊在一起的工艺。是汽车制造四大工艺流程（冲压、焊装、涂装和总装）中自动化程度最高，应用工业机器人最多的环节</w:t>
                        </w:r>
                      </w:sdtContent>
                    </w:sdt>
                  </w:p>
                </w:tc>
              </w:tr>
            </w:sdtContent>
          </w:sdt>
          <w:sdt>
            <w:sdtPr>
              <w:rPr>
                <w:rFonts w:ascii="Times New Roman" w:hAnsi="Times New Roman" w:cs="Times New Roman"/>
                <w:kern w:val="2"/>
                <w:szCs w:val="21"/>
              </w:rPr>
              <w:alias w:val="释义"/>
              <w:tag w:val="_GBC_ca5c2cb7a4e545e2b2d9d1b94b528746"/>
              <w:id w:val="-386729114"/>
              <w:placeholder>
                <w:docPart w:val="3CFB5CE425494A0B845369A112A16B3A"/>
              </w:placeholder>
            </w:sdtPr>
            <w:sdtEndPr/>
            <w:sdtContent>
              <w:tr w:rsidR="00D21C1F" w14:paraId="5AA9F243" w14:textId="77777777">
                <w:tc>
                  <w:tcPr>
                    <w:tcW w:w="1809" w:type="dxa"/>
                  </w:tcPr>
                  <w:p w14:paraId="11728048" w14:textId="77777777" w:rsidR="00D21C1F" w:rsidRDefault="00A42880">
                    <w:pPr>
                      <w:rPr>
                        <w:rFonts w:ascii="Times New Roman" w:hAnsi="Times New Roman" w:cs="Times New Roman"/>
                        <w:szCs w:val="21"/>
                      </w:rPr>
                    </w:pPr>
                    <w:r>
                      <w:rPr>
                        <w:rFonts w:ascii="Times New Roman" w:hAnsi="Times New Roman" w:cs="Times New Roman"/>
                        <w:szCs w:val="21"/>
                      </w:rPr>
                      <w:t>工业机器人四大家族</w:t>
                    </w:r>
                  </w:p>
                </w:tc>
                <w:tc>
                  <w:tcPr>
                    <w:tcW w:w="709" w:type="dxa"/>
                  </w:tcPr>
                  <w:sdt>
                    <w:sdtPr>
                      <w:rPr>
                        <w:rFonts w:ascii="Times New Roman" w:hAnsi="Times New Roman" w:cs="Times New Roman"/>
                        <w:szCs w:val="21"/>
                      </w:rPr>
                      <w:tag w:val="_PLD_289cf7e5c3a845d59c038a21dcd4a571"/>
                      <w:id w:val="-979311077"/>
                      <w:lock w:val="sdtLocked"/>
                    </w:sdtPr>
                    <w:sdtEndPr/>
                    <w:sdtContent>
                      <w:p w14:paraId="70B00C0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2CC9F432"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60106882"/>
                        <w:lock w:val="sdtLocked"/>
                      </w:sdtPr>
                      <w:sdtEndPr/>
                      <w:sdtContent>
                        <w:r w:rsidR="00A42880">
                          <w:rPr>
                            <w:rFonts w:ascii="Times New Roman" w:hAnsi="Times New Roman" w:cs="Times New Roman"/>
                            <w:szCs w:val="21"/>
                          </w:rPr>
                          <w:t>工业机器人行业知名度较高的四家公司，分别为日本的发那科（</w:t>
                        </w:r>
                        <w:r w:rsidR="00A42880">
                          <w:rPr>
                            <w:rFonts w:ascii="Times New Roman" w:hAnsi="Times New Roman" w:cs="Times New Roman"/>
                            <w:szCs w:val="21"/>
                          </w:rPr>
                          <w:t>FANUC Corporation</w:t>
                        </w:r>
                        <w:r w:rsidR="00A42880">
                          <w:rPr>
                            <w:rFonts w:ascii="Times New Roman" w:hAnsi="Times New Roman" w:cs="Times New Roman"/>
                            <w:szCs w:val="21"/>
                          </w:rPr>
                          <w:t>）、日本的安川（</w:t>
                        </w:r>
                        <w:r w:rsidR="00A42880">
                          <w:rPr>
                            <w:rFonts w:ascii="Times New Roman" w:hAnsi="Times New Roman" w:cs="Times New Roman"/>
                            <w:szCs w:val="21"/>
                          </w:rPr>
                          <w:t>YASKAWA Electric Corporation</w:t>
                        </w:r>
                        <w:r w:rsidR="00A42880">
                          <w:rPr>
                            <w:rFonts w:ascii="Times New Roman" w:hAnsi="Times New Roman" w:cs="Times New Roman"/>
                            <w:szCs w:val="21"/>
                          </w:rPr>
                          <w:t>）、瑞士的</w:t>
                        </w:r>
                        <w:r w:rsidR="00A42880">
                          <w:rPr>
                            <w:rFonts w:ascii="Times New Roman" w:hAnsi="Times New Roman" w:cs="Times New Roman"/>
                            <w:szCs w:val="21"/>
                          </w:rPr>
                          <w:t>ABB</w:t>
                        </w:r>
                        <w:r w:rsidR="00A42880">
                          <w:rPr>
                            <w:rFonts w:ascii="Times New Roman" w:hAnsi="Times New Roman" w:cs="Times New Roman"/>
                            <w:szCs w:val="21"/>
                          </w:rPr>
                          <w:t>（</w:t>
                        </w:r>
                        <w:r w:rsidR="00A42880">
                          <w:rPr>
                            <w:rFonts w:ascii="Times New Roman" w:hAnsi="Times New Roman" w:cs="Times New Roman"/>
                            <w:szCs w:val="21"/>
                          </w:rPr>
                          <w:t>ABB Ltd</w:t>
                        </w:r>
                        <w:r w:rsidR="00A42880">
                          <w:rPr>
                            <w:rFonts w:ascii="Times New Roman" w:hAnsi="Times New Roman" w:cs="Times New Roman"/>
                            <w:szCs w:val="21"/>
                          </w:rPr>
                          <w:t>）、德国的库卡（</w:t>
                        </w:r>
                        <w:r w:rsidR="00A42880">
                          <w:rPr>
                            <w:rFonts w:ascii="Times New Roman" w:hAnsi="Times New Roman" w:cs="Times New Roman"/>
                            <w:szCs w:val="21"/>
                          </w:rPr>
                          <w:t>KUKA   Aktiengesellschaft</w:t>
                        </w:r>
                        <w:r w:rsidR="00A42880">
                          <w:rPr>
                            <w:rFonts w:ascii="Times New Roman" w:hAnsi="Times New Roman" w:cs="Times New Roman"/>
                            <w:szCs w:val="21"/>
                          </w:rPr>
                          <w:t>）</w:t>
                        </w:r>
                      </w:sdtContent>
                    </w:sdt>
                  </w:p>
                </w:tc>
              </w:tr>
            </w:sdtContent>
          </w:sdt>
          <w:sdt>
            <w:sdtPr>
              <w:rPr>
                <w:rFonts w:ascii="Times New Roman" w:hAnsi="Times New Roman" w:cs="Times New Roman"/>
                <w:kern w:val="2"/>
                <w:szCs w:val="21"/>
              </w:rPr>
              <w:alias w:val="释义"/>
              <w:tag w:val="_GBC_ca5c2cb7a4e545e2b2d9d1b94b528746"/>
              <w:id w:val="-1830361447"/>
              <w:placeholder>
                <w:docPart w:val="3CFB5CE425494A0B845369A112A16B3A"/>
              </w:placeholder>
            </w:sdtPr>
            <w:sdtEndPr/>
            <w:sdtContent>
              <w:tr w:rsidR="00D21C1F" w14:paraId="4472148B" w14:textId="77777777">
                <w:tc>
                  <w:tcPr>
                    <w:tcW w:w="1809" w:type="dxa"/>
                  </w:tcPr>
                  <w:p w14:paraId="44BFD4D9" w14:textId="77777777" w:rsidR="00D21C1F" w:rsidRDefault="00A42880">
                    <w:pPr>
                      <w:rPr>
                        <w:rFonts w:ascii="Times New Roman" w:hAnsi="Times New Roman" w:cs="Times New Roman"/>
                        <w:szCs w:val="21"/>
                      </w:rPr>
                    </w:pPr>
                    <w:r>
                      <w:rPr>
                        <w:rFonts w:ascii="Times New Roman" w:hAnsi="Times New Roman" w:cs="Times New Roman"/>
                        <w:szCs w:val="21"/>
                      </w:rPr>
                      <w:t>夹具</w:t>
                    </w:r>
                  </w:p>
                </w:tc>
                <w:tc>
                  <w:tcPr>
                    <w:tcW w:w="709" w:type="dxa"/>
                  </w:tcPr>
                  <w:sdt>
                    <w:sdtPr>
                      <w:rPr>
                        <w:rFonts w:ascii="Times New Roman" w:hAnsi="Times New Roman" w:cs="Times New Roman"/>
                        <w:szCs w:val="21"/>
                      </w:rPr>
                      <w:tag w:val="_PLD_289cf7e5c3a845d59c038a21dcd4a571"/>
                      <w:id w:val="-483553115"/>
                      <w:lock w:val="sdtLocked"/>
                    </w:sdtPr>
                    <w:sdtEndPr/>
                    <w:sdtContent>
                      <w:p w14:paraId="0E5560E0"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C723542"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472411952"/>
                        <w:lock w:val="sdtLocked"/>
                      </w:sdtPr>
                      <w:sdtEndPr/>
                      <w:sdtContent>
                        <w:r w:rsidR="00A42880">
                          <w:rPr>
                            <w:rFonts w:ascii="Times New Roman" w:hAnsi="Times New Roman" w:cs="Times New Roman"/>
                            <w:szCs w:val="21"/>
                          </w:rPr>
                          <w:t>机械制造过程中用来固定加工对象，使之始终占有正确的位置，以接受施工或检测的装置</w:t>
                        </w:r>
                      </w:sdtContent>
                    </w:sdt>
                  </w:p>
                </w:tc>
              </w:tr>
            </w:sdtContent>
          </w:sdt>
          <w:sdt>
            <w:sdtPr>
              <w:rPr>
                <w:rFonts w:ascii="Times New Roman" w:hAnsi="Times New Roman" w:cs="Times New Roman"/>
                <w:kern w:val="2"/>
                <w:szCs w:val="21"/>
              </w:rPr>
              <w:alias w:val="释义"/>
              <w:tag w:val="_GBC_ca5c2cb7a4e545e2b2d9d1b94b528746"/>
              <w:id w:val="-679267323"/>
              <w:placeholder>
                <w:docPart w:val="3CFB5CE425494A0B845369A112A16B3A"/>
              </w:placeholder>
            </w:sdtPr>
            <w:sdtEndPr/>
            <w:sdtContent>
              <w:tr w:rsidR="00D21C1F" w14:paraId="3F0BB78A" w14:textId="77777777">
                <w:tc>
                  <w:tcPr>
                    <w:tcW w:w="1809" w:type="dxa"/>
                  </w:tcPr>
                  <w:p w14:paraId="678B042A" w14:textId="77777777" w:rsidR="00D21C1F" w:rsidRDefault="00A42880">
                    <w:pPr>
                      <w:rPr>
                        <w:rFonts w:ascii="Times New Roman" w:hAnsi="Times New Roman" w:cs="Times New Roman"/>
                        <w:szCs w:val="21"/>
                      </w:rPr>
                    </w:pPr>
                    <w:r>
                      <w:rPr>
                        <w:rFonts w:ascii="Times New Roman" w:hAnsi="Times New Roman" w:cs="Times New Roman"/>
                        <w:szCs w:val="21"/>
                      </w:rPr>
                      <w:t>减速器、减速机</w:t>
                    </w:r>
                  </w:p>
                </w:tc>
                <w:tc>
                  <w:tcPr>
                    <w:tcW w:w="709" w:type="dxa"/>
                  </w:tcPr>
                  <w:sdt>
                    <w:sdtPr>
                      <w:rPr>
                        <w:rFonts w:ascii="Times New Roman" w:hAnsi="Times New Roman" w:cs="Times New Roman"/>
                        <w:szCs w:val="21"/>
                      </w:rPr>
                      <w:tag w:val="_PLD_289cf7e5c3a845d59c038a21dcd4a571"/>
                      <w:id w:val="-582141911"/>
                      <w:lock w:val="sdtLocked"/>
                    </w:sdtPr>
                    <w:sdtEndPr/>
                    <w:sdtContent>
                      <w:p w14:paraId="5B2BC02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876C260"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555626143"/>
                        <w:lock w:val="sdtLocked"/>
                      </w:sdtPr>
                      <w:sdtEndPr/>
                      <w:sdtContent>
                        <w:r w:rsidR="00A42880">
                          <w:rPr>
                            <w:rFonts w:ascii="Times New Roman" w:hAnsi="Times New Roman" w:cs="Times New Roman"/>
                            <w:szCs w:val="21"/>
                          </w:rPr>
                          <w:t>工业机器人核心零部件，在原动机和工作机或执行机构之间起匹配转速和传递转矩的作用，分为</w:t>
                        </w:r>
                        <w:r w:rsidR="00A42880">
                          <w:rPr>
                            <w:rFonts w:ascii="Times New Roman" w:hAnsi="Times New Roman" w:cs="Times New Roman"/>
                            <w:szCs w:val="21"/>
                          </w:rPr>
                          <w:t>RV</w:t>
                        </w:r>
                        <w:r w:rsidR="00A42880">
                          <w:rPr>
                            <w:rFonts w:ascii="Times New Roman" w:hAnsi="Times New Roman" w:cs="Times New Roman"/>
                            <w:szCs w:val="21"/>
                          </w:rPr>
                          <w:t>减速器和谐波减速器</w:t>
                        </w:r>
                      </w:sdtContent>
                    </w:sdt>
                  </w:p>
                </w:tc>
              </w:tr>
            </w:sdtContent>
          </w:sdt>
          <w:sdt>
            <w:sdtPr>
              <w:rPr>
                <w:rFonts w:ascii="Times New Roman" w:hAnsi="Times New Roman" w:cs="Times New Roman"/>
                <w:kern w:val="2"/>
                <w:szCs w:val="21"/>
              </w:rPr>
              <w:alias w:val="释义"/>
              <w:tag w:val="_GBC_ca5c2cb7a4e545e2b2d9d1b94b528746"/>
              <w:id w:val="-588303194"/>
              <w:placeholder>
                <w:docPart w:val="3CFB5CE425494A0B845369A112A16B3A"/>
              </w:placeholder>
            </w:sdtPr>
            <w:sdtEndPr/>
            <w:sdtContent>
              <w:tr w:rsidR="00D21C1F" w14:paraId="72B15C28" w14:textId="77777777">
                <w:tc>
                  <w:tcPr>
                    <w:tcW w:w="1809" w:type="dxa"/>
                  </w:tcPr>
                  <w:p w14:paraId="3F8CFABB" w14:textId="77777777" w:rsidR="00D21C1F" w:rsidRDefault="00A42880">
                    <w:pPr>
                      <w:rPr>
                        <w:rFonts w:ascii="Times New Roman" w:hAnsi="Times New Roman" w:cs="Times New Roman"/>
                        <w:szCs w:val="21"/>
                      </w:rPr>
                    </w:pPr>
                    <w:r>
                      <w:rPr>
                        <w:rFonts w:ascii="Times New Roman" w:hAnsi="Times New Roman" w:cs="Times New Roman"/>
                        <w:szCs w:val="21"/>
                      </w:rPr>
                      <w:t>RV</w:t>
                    </w:r>
                    <w:r>
                      <w:rPr>
                        <w:rFonts w:ascii="Times New Roman" w:hAnsi="Times New Roman" w:cs="Times New Roman"/>
                        <w:szCs w:val="21"/>
                      </w:rPr>
                      <w:t>减速器</w:t>
                    </w:r>
                  </w:p>
                </w:tc>
                <w:tc>
                  <w:tcPr>
                    <w:tcW w:w="709" w:type="dxa"/>
                  </w:tcPr>
                  <w:sdt>
                    <w:sdtPr>
                      <w:rPr>
                        <w:rFonts w:ascii="Times New Roman" w:hAnsi="Times New Roman" w:cs="Times New Roman"/>
                        <w:szCs w:val="21"/>
                      </w:rPr>
                      <w:tag w:val="_PLD_289cf7e5c3a845d59c038a21dcd4a571"/>
                      <w:id w:val="-261677274"/>
                      <w:lock w:val="sdtLocked"/>
                    </w:sdtPr>
                    <w:sdtEndPr/>
                    <w:sdtContent>
                      <w:p w14:paraId="1E7BAA5B"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9433769"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417445836"/>
                        <w:lock w:val="sdtLocked"/>
                      </w:sdtPr>
                      <w:sdtEndPr/>
                      <w:sdtContent>
                        <w:r w:rsidR="00A42880">
                          <w:rPr>
                            <w:rFonts w:ascii="Times New Roman" w:hAnsi="Times New Roman" w:cs="Times New Roman"/>
                            <w:szCs w:val="21"/>
                          </w:rPr>
                          <w:t>一种可用于机器人负载较大关节的精密减速器，其采用行星轮与摆线针轮复合运动传递动力和运动的传动系统，具有传动精度高、刚度高、输出扭矩大、耐冲击等特点</w:t>
                        </w:r>
                      </w:sdtContent>
                    </w:sdt>
                  </w:p>
                </w:tc>
              </w:tr>
            </w:sdtContent>
          </w:sdt>
          <w:sdt>
            <w:sdtPr>
              <w:rPr>
                <w:rFonts w:ascii="Times New Roman" w:hAnsi="Times New Roman" w:cs="Times New Roman"/>
                <w:kern w:val="2"/>
                <w:szCs w:val="21"/>
              </w:rPr>
              <w:alias w:val="释义"/>
              <w:tag w:val="_GBC_ca5c2cb7a4e545e2b2d9d1b94b528746"/>
              <w:id w:val="-1532722266"/>
              <w:placeholder>
                <w:docPart w:val="3CFB5CE425494A0B845369A112A16B3A"/>
              </w:placeholder>
            </w:sdtPr>
            <w:sdtEndPr/>
            <w:sdtContent>
              <w:tr w:rsidR="00D21C1F" w14:paraId="1F765F2F" w14:textId="77777777">
                <w:tc>
                  <w:tcPr>
                    <w:tcW w:w="1809" w:type="dxa"/>
                  </w:tcPr>
                  <w:p w14:paraId="19296065" w14:textId="77777777" w:rsidR="00D21C1F" w:rsidRDefault="00A42880">
                    <w:pPr>
                      <w:rPr>
                        <w:rFonts w:ascii="Times New Roman" w:hAnsi="Times New Roman" w:cs="Times New Roman"/>
                        <w:szCs w:val="21"/>
                      </w:rPr>
                    </w:pPr>
                    <w:r>
                      <w:rPr>
                        <w:rFonts w:ascii="Times New Roman" w:hAnsi="Times New Roman" w:cs="Times New Roman"/>
                        <w:szCs w:val="21"/>
                      </w:rPr>
                      <w:t>谐波减速器</w:t>
                    </w:r>
                  </w:p>
                </w:tc>
                <w:tc>
                  <w:tcPr>
                    <w:tcW w:w="709" w:type="dxa"/>
                  </w:tcPr>
                  <w:sdt>
                    <w:sdtPr>
                      <w:rPr>
                        <w:rFonts w:ascii="Times New Roman" w:hAnsi="Times New Roman" w:cs="Times New Roman"/>
                        <w:szCs w:val="21"/>
                      </w:rPr>
                      <w:tag w:val="_PLD_289cf7e5c3a845d59c038a21dcd4a571"/>
                      <w:id w:val="192966776"/>
                      <w:lock w:val="sdtLocked"/>
                    </w:sdtPr>
                    <w:sdtEndPr/>
                    <w:sdtContent>
                      <w:p w14:paraId="6363D1E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777F172"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3571333"/>
                        <w:lock w:val="sdtLocked"/>
                      </w:sdtPr>
                      <w:sdtEndPr/>
                      <w:sdtContent>
                        <w:r w:rsidR="00A42880">
                          <w:rPr>
                            <w:rFonts w:ascii="Times New Roman" w:hAnsi="Times New Roman" w:cs="Times New Roman"/>
                            <w:szCs w:val="21"/>
                          </w:rPr>
                          <w:t>一种可用于机器人负载较小关节的精密减速器，其靠波发生器使柔性齿轮产生可控弹性变形，并与刚性齿轮相啮合，传递运动和动力的传动系统，具有传动精度高、质量轻、体积小等特点</w:t>
                        </w:r>
                      </w:sdtContent>
                    </w:sdt>
                  </w:p>
                </w:tc>
              </w:tr>
            </w:sdtContent>
          </w:sdt>
          <w:sdt>
            <w:sdtPr>
              <w:rPr>
                <w:rFonts w:ascii="Times New Roman" w:hAnsi="Times New Roman" w:cs="Times New Roman"/>
                <w:kern w:val="2"/>
                <w:szCs w:val="21"/>
              </w:rPr>
              <w:alias w:val="释义"/>
              <w:tag w:val="_GBC_ca5c2cb7a4e545e2b2d9d1b94b528746"/>
              <w:id w:val="130376605"/>
              <w:placeholder>
                <w:docPart w:val="3CFB5CE425494A0B845369A112A16B3A"/>
              </w:placeholder>
            </w:sdtPr>
            <w:sdtEndPr/>
            <w:sdtContent>
              <w:tr w:rsidR="00D21C1F" w14:paraId="30E77B98" w14:textId="77777777">
                <w:tc>
                  <w:tcPr>
                    <w:tcW w:w="1809" w:type="dxa"/>
                  </w:tcPr>
                  <w:p w14:paraId="1B2E4D77" w14:textId="77777777" w:rsidR="00D21C1F" w:rsidRDefault="00A42880">
                    <w:pPr>
                      <w:rPr>
                        <w:rFonts w:ascii="Times New Roman" w:hAnsi="Times New Roman" w:cs="Times New Roman"/>
                        <w:szCs w:val="21"/>
                      </w:rPr>
                    </w:pPr>
                    <w:r>
                      <w:rPr>
                        <w:rFonts w:ascii="Times New Roman" w:hAnsi="Times New Roman" w:cs="Times New Roman"/>
                        <w:szCs w:val="21"/>
                      </w:rPr>
                      <w:t>控制器</w:t>
                    </w:r>
                  </w:p>
                </w:tc>
                <w:tc>
                  <w:tcPr>
                    <w:tcW w:w="709" w:type="dxa"/>
                  </w:tcPr>
                  <w:sdt>
                    <w:sdtPr>
                      <w:rPr>
                        <w:rFonts w:ascii="Times New Roman" w:hAnsi="Times New Roman" w:cs="Times New Roman"/>
                        <w:szCs w:val="21"/>
                      </w:rPr>
                      <w:tag w:val="_PLD_289cf7e5c3a845d59c038a21dcd4a571"/>
                      <w:id w:val="-704242585"/>
                      <w:lock w:val="sdtLocked"/>
                    </w:sdtPr>
                    <w:sdtEndPr/>
                    <w:sdtContent>
                      <w:p w14:paraId="5A5E9B55"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A79E231"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392731986"/>
                        <w:lock w:val="sdtLocked"/>
                      </w:sdtPr>
                      <w:sdtEndPr/>
                      <w:sdtContent>
                        <w:r w:rsidR="00A42880">
                          <w:rPr>
                            <w:rFonts w:ascii="Times New Roman" w:hAnsi="Times New Roman" w:cs="Times New Roman"/>
                            <w:szCs w:val="21"/>
                          </w:rPr>
                          <w:t>工业机器人核心零部件，根据指令以及传感信息控制机器人完成一定的动作或作业任务的装置，直接决定机器人性能</w:t>
                        </w:r>
                      </w:sdtContent>
                    </w:sdt>
                  </w:p>
                </w:tc>
              </w:tr>
            </w:sdtContent>
          </w:sdt>
          <w:sdt>
            <w:sdtPr>
              <w:rPr>
                <w:rFonts w:ascii="Times New Roman" w:hAnsi="Times New Roman" w:cs="Times New Roman"/>
                <w:kern w:val="2"/>
                <w:szCs w:val="21"/>
              </w:rPr>
              <w:alias w:val="释义"/>
              <w:tag w:val="_GBC_ca5c2cb7a4e545e2b2d9d1b94b528746"/>
              <w:id w:val="234440445"/>
              <w:placeholder>
                <w:docPart w:val="3CFB5CE425494A0B845369A112A16B3A"/>
              </w:placeholder>
            </w:sdtPr>
            <w:sdtEndPr/>
            <w:sdtContent>
              <w:tr w:rsidR="00D21C1F" w14:paraId="587EC7F3" w14:textId="77777777">
                <w:tc>
                  <w:tcPr>
                    <w:tcW w:w="1809" w:type="dxa"/>
                  </w:tcPr>
                  <w:p w14:paraId="3B7D518F" w14:textId="77777777" w:rsidR="00D21C1F" w:rsidRDefault="00A42880">
                    <w:pPr>
                      <w:rPr>
                        <w:rFonts w:ascii="Times New Roman" w:hAnsi="Times New Roman" w:cs="Times New Roman"/>
                        <w:szCs w:val="21"/>
                      </w:rPr>
                    </w:pPr>
                    <w:r>
                      <w:rPr>
                        <w:rFonts w:ascii="Times New Roman" w:hAnsi="Times New Roman" w:cs="Times New Roman"/>
                        <w:szCs w:val="21"/>
                      </w:rPr>
                      <w:t>弧焊</w:t>
                    </w:r>
                  </w:p>
                </w:tc>
                <w:tc>
                  <w:tcPr>
                    <w:tcW w:w="709" w:type="dxa"/>
                  </w:tcPr>
                  <w:sdt>
                    <w:sdtPr>
                      <w:rPr>
                        <w:rFonts w:ascii="Times New Roman" w:hAnsi="Times New Roman" w:cs="Times New Roman"/>
                        <w:szCs w:val="21"/>
                      </w:rPr>
                      <w:tag w:val="_PLD_289cf7e5c3a845d59c038a21dcd4a571"/>
                      <w:id w:val="-494717606"/>
                      <w:lock w:val="sdtLocked"/>
                    </w:sdtPr>
                    <w:sdtEndPr/>
                    <w:sdtContent>
                      <w:p w14:paraId="51AE9E89"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304C177"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223350083"/>
                        <w:lock w:val="sdtLocked"/>
                      </w:sdtPr>
                      <w:sdtEndPr/>
                      <w:sdtContent>
                        <w:r w:rsidR="00A42880">
                          <w:rPr>
                            <w:rFonts w:ascii="Times New Roman" w:hAnsi="Times New Roman" w:cs="Times New Roman"/>
                            <w:szCs w:val="21"/>
                          </w:rPr>
                          <w:t>工业生产中应用最广泛的焊接方法，它的原理是利用电弧放电（俗称电弧燃烧）所产生的热量将焊条与工件互相熔化并在冷凝后形成焊缝，从而获得牢固接头的焊接过程</w:t>
                        </w:r>
                      </w:sdtContent>
                    </w:sdt>
                  </w:p>
                </w:tc>
              </w:tr>
            </w:sdtContent>
          </w:sdt>
          <w:sdt>
            <w:sdtPr>
              <w:rPr>
                <w:rFonts w:ascii="Times New Roman" w:hAnsi="Times New Roman" w:cs="Times New Roman"/>
                <w:kern w:val="2"/>
                <w:szCs w:val="21"/>
              </w:rPr>
              <w:alias w:val="释义"/>
              <w:tag w:val="_GBC_ca5c2cb7a4e545e2b2d9d1b94b528746"/>
              <w:id w:val="-2056692066"/>
              <w:placeholder>
                <w:docPart w:val="3CFB5CE425494A0B845369A112A16B3A"/>
              </w:placeholder>
            </w:sdtPr>
            <w:sdtEndPr/>
            <w:sdtContent>
              <w:tr w:rsidR="00D21C1F" w14:paraId="32A5E219" w14:textId="77777777">
                <w:tc>
                  <w:tcPr>
                    <w:tcW w:w="1809" w:type="dxa"/>
                  </w:tcPr>
                  <w:p w14:paraId="12C98754" w14:textId="77777777" w:rsidR="00D21C1F" w:rsidRDefault="00A42880">
                    <w:pPr>
                      <w:rPr>
                        <w:rFonts w:ascii="Times New Roman" w:hAnsi="Times New Roman" w:cs="Times New Roman"/>
                        <w:szCs w:val="21"/>
                      </w:rPr>
                    </w:pPr>
                    <w:r>
                      <w:rPr>
                        <w:rFonts w:ascii="Times New Roman" w:hAnsi="Times New Roman" w:cs="Times New Roman"/>
                        <w:szCs w:val="21"/>
                      </w:rPr>
                      <w:t>动力学</w:t>
                    </w:r>
                  </w:p>
                </w:tc>
                <w:tc>
                  <w:tcPr>
                    <w:tcW w:w="709" w:type="dxa"/>
                  </w:tcPr>
                  <w:sdt>
                    <w:sdtPr>
                      <w:rPr>
                        <w:rFonts w:ascii="Times New Roman" w:hAnsi="Times New Roman" w:cs="Times New Roman"/>
                        <w:szCs w:val="21"/>
                      </w:rPr>
                      <w:tag w:val="_PLD_289cf7e5c3a845d59c038a21dcd4a571"/>
                      <w:id w:val="-1551991909"/>
                      <w:lock w:val="sdtLocked"/>
                    </w:sdtPr>
                    <w:sdtEndPr/>
                    <w:sdtContent>
                      <w:p w14:paraId="58595105"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5860CCC"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148014720"/>
                        <w:lock w:val="sdtLocked"/>
                      </w:sdtPr>
                      <w:sdtEndPr/>
                      <w:sdtContent>
                        <w:r w:rsidR="00A42880">
                          <w:rPr>
                            <w:rFonts w:ascii="Times New Roman" w:hAnsi="Times New Roman" w:cs="Times New Roman"/>
                            <w:szCs w:val="21"/>
                          </w:rPr>
                          <w:t>动力学是理论力学的一个分支学科，它主要研究作用于物体的力与物体运动的关系</w:t>
                        </w:r>
                      </w:sdtContent>
                    </w:sdt>
                  </w:p>
                </w:tc>
              </w:tr>
            </w:sdtContent>
          </w:sdt>
          <w:sdt>
            <w:sdtPr>
              <w:rPr>
                <w:rFonts w:ascii="Times New Roman" w:hAnsi="Times New Roman" w:cs="Times New Roman"/>
                <w:kern w:val="2"/>
                <w:szCs w:val="21"/>
              </w:rPr>
              <w:alias w:val="释义"/>
              <w:tag w:val="_GBC_ca5c2cb7a4e545e2b2d9d1b94b528746"/>
              <w:id w:val="-318124152"/>
              <w:placeholder>
                <w:docPart w:val="3CFB5CE425494A0B845369A112A16B3A"/>
              </w:placeholder>
            </w:sdtPr>
            <w:sdtEndPr/>
            <w:sdtContent>
              <w:tr w:rsidR="00D21C1F" w14:paraId="7644ECDC" w14:textId="77777777">
                <w:tc>
                  <w:tcPr>
                    <w:tcW w:w="1809" w:type="dxa"/>
                  </w:tcPr>
                  <w:p w14:paraId="20DFB9D1" w14:textId="77777777" w:rsidR="00D21C1F" w:rsidRDefault="00A42880">
                    <w:pPr>
                      <w:rPr>
                        <w:rFonts w:ascii="Times New Roman" w:hAnsi="Times New Roman" w:cs="Times New Roman"/>
                        <w:szCs w:val="21"/>
                      </w:rPr>
                    </w:pPr>
                    <w:r>
                      <w:rPr>
                        <w:rFonts w:ascii="Times New Roman" w:hAnsi="Times New Roman" w:cs="Times New Roman"/>
                        <w:szCs w:val="21"/>
                      </w:rPr>
                      <w:t>运动学</w:t>
                    </w:r>
                  </w:p>
                </w:tc>
                <w:tc>
                  <w:tcPr>
                    <w:tcW w:w="709" w:type="dxa"/>
                  </w:tcPr>
                  <w:sdt>
                    <w:sdtPr>
                      <w:rPr>
                        <w:rFonts w:ascii="Times New Roman" w:hAnsi="Times New Roman" w:cs="Times New Roman"/>
                        <w:szCs w:val="21"/>
                      </w:rPr>
                      <w:tag w:val="_PLD_289cf7e5c3a845d59c038a21dcd4a571"/>
                      <w:id w:val="826399023"/>
                      <w:lock w:val="sdtLocked"/>
                    </w:sdtPr>
                    <w:sdtEndPr/>
                    <w:sdtContent>
                      <w:p w14:paraId="41E84D82"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7F2521E"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125347921"/>
                        <w:lock w:val="sdtLocked"/>
                      </w:sdtPr>
                      <w:sdtEndPr/>
                      <w:sdtContent>
                        <w:r w:rsidR="00A42880">
                          <w:rPr>
                            <w:rFonts w:ascii="Times New Roman" w:hAnsi="Times New Roman" w:cs="Times New Roman"/>
                            <w:szCs w:val="21"/>
                          </w:rPr>
                          <w:t>理论力学的分支学科，从几何的角度研究物体的运动。这里的</w:t>
                        </w:r>
                        <w:r w:rsidR="00A42880">
                          <w:rPr>
                            <w:rFonts w:ascii="Times New Roman" w:hAnsi="Times New Roman" w:cs="Times New Roman"/>
                            <w:szCs w:val="21"/>
                          </w:rPr>
                          <w:t>“</w:t>
                        </w:r>
                        <w:r w:rsidR="00A42880">
                          <w:rPr>
                            <w:rFonts w:ascii="Times New Roman" w:hAnsi="Times New Roman" w:cs="Times New Roman"/>
                            <w:szCs w:val="21"/>
                          </w:rPr>
                          <w:t>运动</w:t>
                        </w:r>
                        <w:r w:rsidR="00A42880">
                          <w:rPr>
                            <w:rFonts w:ascii="Times New Roman" w:hAnsi="Times New Roman" w:cs="Times New Roman"/>
                            <w:szCs w:val="21"/>
                          </w:rPr>
                          <w:t>”</w:t>
                        </w:r>
                        <w:r w:rsidR="00A42880">
                          <w:rPr>
                            <w:rFonts w:ascii="Times New Roman" w:hAnsi="Times New Roman" w:cs="Times New Roman"/>
                            <w:szCs w:val="21"/>
                          </w:rPr>
                          <w:t>指机械运动，即物体位置的改变</w:t>
                        </w:r>
                      </w:sdtContent>
                    </w:sdt>
                  </w:p>
                </w:tc>
              </w:tr>
            </w:sdtContent>
          </w:sdt>
          <w:sdt>
            <w:sdtPr>
              <w:rPr>
                <w:rFonts w:ascii="Times New Roman" w:hAnsi="Times New Roman" w:cs="Times New Roman"/>
                <w:kern w:val="2"/>
                <w:szCs w:val="21"/>
              </w:rPr>
              <w:alias w:val="释义"/>
              <w:tag w:val="_GBC_ca5c2cb7a4e545e2b2d9d1b94b528746"/>
              <w:id w:val="1999309698"/>
              <w:placeholder>
                <w:docPart w:val="3CFB5CE425494A0B845369A112A16B3A"/>
              </w:placeholder>
            </w:sdtPr>
            <w:sdtEndPr/>
            <w:sdtContent>
              <w:tr w:rsidR="00D21C1F" w14:paraId="3E693D95" w14:textId="77777777">
                <w:tc>
                  <w:tcPr>
                    <w:tcW w:w="1809" w:type="dxa"/>
                  </w:tcPr>
                  <w:p w14:paraId="4D3FBB51" w14:textId="77777777" w:rsidR="00D21C1F" w:rsidRDefault="00A42880">
                    <w:pPr>
                      <w:rPr>
                        <w:rFonts w:ascii="Times New Roman" w:hAnsi="Times New Roman" w:cs="Times New Roman"/>
                        <w:szCs w:val="21"/>
                      </w:rPr>
                    </w:pPr>
                    <w:r>
                      <w:rPr>
                        <w:rFonts w:ascii="Times New Roman" w:hAnsi="Times New Roman" w:cs="Times New Roman"/>
                        <w:szCs w:val="21"/>
                      </w:rPr>
                      <w:t>运动控制</w:t>
                    </w:r>
                  </w:p>
                </w:tc>
                <w:tc>
                  <w:tcPr>
                    <w:tcW w:w="709" w:type="dxa"/>
                  </w:tcPr>
                  <w:sdt>
                    <w:sdtPr>
                      <w:rPr>
                        <w:rFonts w:ascii="Times New Roman" w:hAnsi="Times New Roman" w:cs="Times New Roman"/>
                        <w:szCs w:val="21"/>
                      </w:rPr>
                      <w:tag w:val="_PLD_289cf7e5c3a845d59c038a21dcd4a571"/>
                      <w:id w:val="-68817910"/>
                      <w:lock w:val="sdtLocked"/>
                    </w:sdtPr>
                    <w:sdtEndPr/>
                    <w:sdtContent>
                      <w:p w14:paraId="2101F4F5"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631F2F5F"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390106797"/>
                        <w:lock w:val="sdtLocked"/>
                      </w:sdtPr>
                      <w:sdtEndPr/>
                      <w:sdtContent>
                        <w:r w:rsidR="00A42880">
                          <w:rPr>
                            <w:rFonts w:ascii="Times New Roman" w:hAnsi="Times New Roman" w:cs="Times New Roman"/>
                          </w:rPr>
                          <w:t>运动控制是自动化的一个分支，就是对机械运动部件的位置、速度等进行实时的控制管理，使其按照预期的运动轨迹和规定的运动参数进行运动。分控制器和驱动装置，控制器有专用或者通用的运动控制卡或运动控制器。驱动装置有多种形式，如液压缸、电机、电缸，是为了实现将电能转化为机械能的机构，这过程中实现对机械</w:t>
                        </w:r>
                        <w:r w:rsidR="00A42880">
                          <w:rPr>
                            <w:rFonts w:ascii="Times New Roman" w:hAnsi="Times New Roman" w:cs="Times New Roman"/>
                          </w:rPr>
                          <w:lastRenderedPageBreak/>
                          <w:t>运动的精确位置或速度控制。</w:t>
                        </w:r>
                      </w:sdtContent>
                    </w:sdt>
                  </w:p>
                </w:tc>
              </w:tr>
            </w:sdtContent>
          </w:sdt>
          <w:sdt>
            <w:sdtPr>
              <w:rPr>
                <w:rFonts w:ascii="Times New Roman" w:hAnsi="Times New Roman" w:cs="Times New Roman"/>
                <w:kern w:val="2"/>
                <w:szCs w:val="21"/>
              </w:rPr>
              <w:alias w:val="释义"/>
              <w:tag w:val="_GBC_ca5c2cb7a4e545e2b2d9d1b94b528746"/>
              <w:id w:val="1684246351"/>
              <w:placeholder>
                <w:docPart w:val="3CFB5CE425494A0B845369A112A16B3A"/>
              </w:placeholder>
            </w:sdtPr>
            <w:sdtEndPr/>
            <w:sdtContent>
              <w:tr w:rsidR="00D21C1F" w14:paraId="29B56CCE" w14:textId="77777777">
                <w:tc>
                  <w:tcPr>
                    <w:tcW w:w="1809" w:type="dxa"/>
                  </w:tcPr>
                  <w:p w14:paraId="666C5072" w14:textId="77777777" w:rsidR="00D21C1F" w:rsidRDefault="00A42880">
                    <w:pPr>
                      <w:rPr>
                        <w:rFonts w:ascii="Times New Roman" w:hAnsi="Times New Roman" w:cs="Times New Roman"/>
                        <w:szCs w:val="21"/>
                      </w:rPr>
                    </w:pPr>
                    <w:r>
                      <w:rPr>
                        <w:rFonts w:ascii="Times New Roman" w:hAnsi="Times New Roman" w:cs="Times New Roman"/>
                        <w:szCs w:val="21"/>
                      </w:rPr>
                      <w:t>轨迹精度</w:t>
                    </w:r>
                  </w:p>
                </w:tc>
                <w:tc>
                  <w:tcPr>
                    <w:tcW w:w="709" w:type="dxa"/>
                  </w:tcPr>
                  <w:sdt>
                    <w:sdtPr>
                      <w:rPr>
                        <w:rFonts w:ascii="Times New Roman" w:hAnsi="Times New Roman" w:cs="Times New Roman"/>
                        <w:szCs w:val="21"/>
                      </w:rPr>
                      <w:tag w:val="_PLD_289cf7e5c3a845d59c038a21dcd4a571"/>
                      <w:id w:val="-1252887046"/>
                      <w:lock w:val="sdtLocked"/>
                    </w:sdtPr>
                    <w:sdtEndPr/>
                    <w:sdtContent>
                      <w:p w14:paraId="64572504"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7E33F11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262956802"/>
                        <w:lock w:val="sdtLocked"/>
                      </w:sdtPr>
                      <w:sdtEndPr/>
                      <w:sdtContent>
                        <w:r w:rsidR="00A42880">
                          <w:rPr>
                            <w:rFonts w:ascii="Times New Roman" w:hAnsi="Times New Roman" w:cs="Times New Roman"/>
                            <w:szCs w:val="21"/>
                          </w:rPr>
                          <w:t>是机器人的动态精度指标，是指实际运动轨迹接近于指令给定轨迹的程度</w:t>
                        </w:r>
                      </w:sdtContent>
                    </w:sdt>
                  </w:p>
                </w:tc>
              </w:tr>
            </w:sdtContent>
          </w:sdt>
          <w:sdt>
            <w:sdtPr>
              <w:rPr>
                <w:rFonts w:ascii="Times New Roman" w:hAnsi="Times New Roman" w:cs="Times New Roman"/>
                <w:kern w:val="2"/>
                <w:szCs w:val="21"/>
              </w:rPr>
              <w:alias w:val="释义"/>
              <w:tag w:val="_GBC_ca5c2cb7a4e545e2b2d9d1b94b528746"/>
              <w:id w:val="-1190062770"/>
              <w:placeholder>
                <w:docPart w:val="3CFB5CE425494A0B845369A112A16B3A"/>
              </w:placeholder>
            </w:sdtPr>
            <w:sdtEndPr/>
            <w:sdtContent>
              <w:tr w:rsidR="00D21C1F" w14:paraId="64A263A4" w14:textId="77777777">
                <w:tc>
                  <w:tcPr>
                    <w:tcW w:w="1809" w:type="dxa"/>
                  </w:tcPr>
                  <w:p w14:paraId="301BE624" w14:textId="77777777" w:rsidR="00D21C1F" w:rsidRDefault="00A42880">
                    <w:pPr>
                      <w:rPr>
                        <w:rFonts w:ascii="Times New Roman" w:hAnsi="Times New Roman" w:cs="Times New Roman"/>
                        <w:szCs w:val="21"/>
                      </w:rPr>
                    </w:pPr>
                    <w:r>
                      <w:rPr>
                        <w:rFonts w:ascii="Times New Roman" w:hAnsi="Times New Roman" w:cs="Times New Roman"/>
                        <w:szCs w:val="21"/>
                      </w:rPr>
                      <w:t>数字孪生</w:t>
                    </w:r>
                  </w:p>
                </w:tc>
                <w:tc>
                  <w:tcPr>
                    <w:tcW w:w="709" w:type="dxa"/>
                  </w:tcPr>
                  <w:sdt>
                    <w:sdtPr>
                      <w:rPr>
                        <w:rFonts w:ascii="Times New Roman" w:hAnsi="Times New Roman" w:cs="Times New Roman"/>
                        <w:szCs w:val="21"/>
                      </w:rPr>
                      <w:tag w:val="_PLD_289cf7e5c3a845d59c038a21dcd4a571"/>
                      <w:id w:val="599609326"/>
                      <w:lock w:val="sdtLocked"/>
                    </w:sdtPr>
                    <w:sdtEndPr/>
                    <w:sdtContent>
                      <w:p w14:paraId="3958BB9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1C2222EB"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438676972"/>
                        <w:lock w:val="sdtLocked"/>
                      </w:sdtPr>
                      <w:sdtEndPr/>
                      <w:sdtContent>
                        <w:r w:rsidR="00A42880">
                          <w:rPr>
                            <w:rFonts w:ascii="Times New Roman" w:hAnsi="Times New Roman" w:cs="Times New Roman"/>
                            <w:szCs w:val="21"/>
                          </w:rPr>
                          <w:t>是充分利用物理模型、传感器更新、运行历史等数据，集成多学科、多物理量、多尺度、多概率的仿真过程，在虚拟空间中完成映射，从而反映相对应的实体装备的全生命周期过程</w:t>
                        </w:r>
                      </w:sdtContent>
                    </w:sdt>
                  </w:p>
                </w:tc>
              </w:tr>
            </w:sdtContent>
          </w:sdt>
          <w:sdt>
            <w:sdtPr>
              <w:rPr>
                <w:rFonts w:ascii="Times New Roman" w:hAnsi="Times New Roman" w:cs="Times New Roman"/>
                <w:kern w:val="2"/>
                <w:szCs w:val="21"/>
              </w:rPr>
              <w:alias w:val="释义"/>
              <w:tag w:val="_GBC_ca5c2cb7a4e545e2b2d9d1b94b528746"/>
              <w:id w:val="414444327"/>
              <w:placeholder>
                <w:docPart w:val="3CFB5CE425494A0B845369A112A16B3A"/>
              </w:placeholder>
            </w:sdtPr>
            <w:sdtEndPr/>
            <w:sdtContent>
              <w:tr w:rsidR="00D21C1F" w14:paraId="165B9785" w14:textId="77777777">
                <w:tc>
                  <w:tcPr>
                    <w:tcW w:w="1809" w:type="dxa"/>
                  </w:tcPr>
                  <w:p w14:paraId="44D5755A" w14:textId="77777777" w:rsidR="00D21C1F" w:rsidRDefault="00A42880">
                    <w:pPr>
                      <w:rPr>
                        <w:rFonts w:ascii="Times New Roman" w:hAnsi="Times New Roman" w:cs="Times New Roman"/>
                        <w:szCs w:val="21"/>
                      </w:rPr>
                    </w:pPr>
                    <w:r>
                      <w:rPr>
                        <w:rFonts w:ascii="Times New Roman" w:hAnsi="Times New Roman" w:cs="Times New Roman"/>
                        <w:szCs w:val="21"/>
                      </w:rPr>
                      <w:t>离线编程</w:t>
                    </w:r>
                  </w:p>
                </w:tc>
                <w:tc>
                  <w:tcPr>
                    <w:tcW w:w="709" w:type="dxa"/>
                  </w:tcPr>
                  <w:sdt>
                    <w:sdtPr>
                      <w:rPr>
                        <w:rFonts w:ascii="Times New Roman" w:hAnsi="Times New Roman" w:cs="Times New Roman"/>
                        <w:szCs w:val="21"/>
                      </w:rPr>
                      <w:tag w:val="_PLD_289cf7e5c3a845d59c038a21dcd4a571"/>
                      <w:id w:val="-1963492329"/>
                      <w:lock w:val="sdtLocked"/>
                    </w:sdtPr>
                    <w:sdtEndPr/>
                    <w:sdtContent>
                      <w:p w14:paraId="4C03D151"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4981DF2D"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655681549"/>
                        <w:lock w:val="sdtLocked"/>
                      </w:sdtPr>
                      <w:sdtEndPr/>
                      <w:sdtContent>
                        <w:r w:rsidR="00A42880">
                          <w:rPr>
                            <w:rFonts w:ascii="Times New Roman" w:hAnsi="Times New Roman" w:cs="Times New Roman"/>
                            <w:szCs w:val="21"/>
                          </w:rPr>
                          <w:t>机器人离线编程，是指操作者在编程软件里构建整个机器人工作应用场景的三维虚拟环境，然后根据加工工艺等相关需求，进行一系列操作，自动生成机器人的运动轨迹，即控制指令，然后在软件中仿真与调整轨迹，最后生成机器人执行程序传输给机器人</w:t>
                        </w:r>
                      </w:sdtContent>
                    </w:sdt>
                  </w:p>
                </w:tc>
              </w:tr>
            </w:sdtContent>
          </w:sdt>
          <w:sdt>
            <w:sdtPr>
              <w:rPr>
                <w:rFonts w:ascii="Times New Roman" w:hAnsi="Times New Roman" w:cs="Times New Roman"/>
                <w:kern w:val="2"/>
                <w:szCs w:val="21"/>
              </w:rPr>
              <w:alias w:val="释义"/>
              <w:tag w:val="_GBC_ca5c2cb7a4e545e2b2d9d1b94b528746"/>
              <w:id w:val="2251716"/>
              <w:placeholder>
                <w:docPart w:val="3CFB5CE425494A0B845369A112A16B3A"/>
              </w:placeholder>
            </w:sdtPr>
            <w:sdtEndPr/>
            <w:sdtContent>
              <w:tr w:rsidR="00D21C1F" w14:paraId="75C517CD" w14:textId="77777777">
                <w:tc>
                  <w:tcPr>
                    <w:tcW w:w="1809" w:type="dxa"/>
                  </w:tcPr>
                  <w:p w14:paraId="52D07872" w14:textId="77777777" w:rsidR="00D21C1F" w:rsidRDefault="00A42880">
                    <w:pPr>
                      <w:rPr>
                        <w:rFonts w:ascii="Times New Roman" w:hAnsi="Times New Roman" w:cs="Times New Roman"/>
                        <w:szCs w:val="21"/>
                      </w:rPr>
                    </w:pPr>
                    <w:r>
                      <w:rPr>
                        <w:rFonts w:ascii="Times New Roman" w:hAnsi="Times New Roman" w:cs="Times New Roman"/>
                        <w:szCs w:val="21"/>
                      </w:rPr>
                      <w:t>机器学习</w:t>
                    </w:r>
                  </w:p>
                </w:tc>
                <w:tc>
                  <w:tcPr>
                    <w:tcW w:w="709" w:type="dxa"/>
                  </w:tcPr>
                  <w:sdt>
                    <w:sdtPr>
                      <w:rPr>
                        <w:rFonts w:ascii="Times New Roman" w:hAnsi="Times New Roman" w:cs="Times New Roman"/>
                        <w:szCs w:val="21"/>
                      </w:rPr>
                      <w:tag w:val="_PLD_289cf7e5c3a845d59c038a21dcd4a571"/>
                      <w:id w:val="-1487314478"/>
                      <w:lock w:val="sdtLocked"/>
                    </w:sdtPr>
                    <w:sdtEndPr/>
                    <w:sdtContent>
                      <w:p w14:paraId="22A990E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E29699A"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439959548"/>
                        <w:lock w:val="sdtLocked"/>
                      </w:sdtPr>
                      <w:sdtEndPr/>
                      <w:sdtContent>
                        <w:r w:rsidR="00A42880">
                          <w:rPr>
                            <w:rFonts w:ascii="Times New Roman" w:hAnsi="Times New Roman" w:cs="Times New Roman"/>
                            <w:szCs w:val="21"/>
                          </w:rPr>
                          <w:t>机器学习是一门多领域交叉学科，涉及概率论、统计学、逼近论、凸分析、算法复杂度理论等多门学科。专门研究计算机怎样模拟或实现人类的学习行为，以获取新的知识或技能，重新组织已有的知识结构使之不断改善自身的性能</w:t>
                        </w:r>
                      </w:sdtContent>
                    </w:sdt>
                  </w:p>
                </w:tc>
              </w:tr>
            </w:sdtContent>
          </w:sdt>
          <w:sdt>
            <w:sdtPr>
              <w:rPr>
                <w:rFonts w:ascii="Times New Roman" w:hAnsi="Times New Roman" w:cs="Times New Roman"/>
                <w:kern w:val="2"/>
                <w:szCs w:val="21"/>
              </w:rPr>
              <w:alias w:val="释义"/>
              <w:tag w:val="_GBC_ca5c2cb7a4e545e2b2d9d1b94b528746"/>
              <w:id w:val="1058051600"/>
              <w:placeholder>
                <w:docPart w:val="3CFB5CE425494A0B845369A112A16B3A"/>
              </w:placeholder>
            </w:sdtPr>
            <w:sdtEndPr/>
            <w:sdtContent>
              <w:tr w:rsidR="00D21C1F" w14:paraId="50C64B68" w14:textId="77777777">
                <w:tc>
                  <w:tcPr>
                    <w:tcW w:w="1809" w:type="dxa"/>
                  </w:tcPr>
                  <w:p w14:paraId="252F1207" w14:textId="77777777" w:rsidR="00D21C1F" w:rsidRDefault="00A42880">
                    <w:pPr>
                      <w:rPr>
                        <w:rFonts w:ascii="Times New Roman" w:hAnsi="Times New Roman" w:cs="Times New Roman"/>
                        <w:szCs w:val="21"/>
                      </w:rPr>
                    </w:pPr>
                    <w:r>
                      <w:rPr>
                        <w:rFonts w:ascii="Times New Roman" w:hAnsi="Times New Roman" w:cs="Times New Roman"/>
                        <w:szCs w:val="21"/>
                      </w:rPr>
                      <w:t>正向设计</w:t>
                    </w:r>
                  </w:p>
                </w:tc>
                <w:tc>
                  <w:tcPr>
                    <w:tcW w:w="709" w:type="dxa"/>
                  </w:tcPr>
                  <w:sdt>
                    <w:sdtPr>
                      <w:rPr>
                        <w:rFonts w:ascii="Times New Roman" w:hAnsi="Times New Roman" w:cs="Times New Roman"/>
                        <w:szCs w:val="21"/>
                      </w:rPr>
                      <w:tag w:val="_PLD_289cf7e5c3a845d59c038a21dcd4a571"/>
                      <w:id w:val="-1258280884"/>
                      <w:lock w:val="sdtLocked"/>
                    </w:sdtPr>
                    <w:sdtEndPr/>
                    <w:sdtContent>
                      <w:p w14:paraId="19D36871"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E5A7EFB"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864862489"/>
                        <w:lock w:val="sdtLocked"/>
                      </w:sdtPr>
                      <w:sdtEndPr/>
                      <w:sdtContent>
                        <w:r w:rsidR="00A42880">
                          <w:rPr>
                            <w:rFonts w:ascii="Times New Roman" w:hAnsi="Times New Roman" w:cs="Times New Roman"/>
                            <w:szCs w:val="21"/>
                          </w:rPr>
                          <w:t>以系统工程理论、专业的设计方法论和过程模型为指导，面向市场导向和客户需求，系统性的进行产品研发和原创设计，区别于模仿、抄袭、从同类产品实物反推设计的一种设计和开发路径</w:t>
                        </w:r>
                      </w:sdtContent>
                    </w:sdt>
                  </w:p>
                </w:tc>
              </w:tr>
            </w:sdtContent>
          </w:sdt>
          <w:sdt>
            <w:sdtPr>
              <w:rPr>
                <w:rFonts w:ascii="Times New Roman" w:hAnsi="Times New Roman" w:cs="Times New Roman"/>
                <w:kern w:val="2"/>
                <w:szCs w:val="21"/>
              </w:rPr>
              <w:alias w:val="释义"/>
              <w:tag w:val="_GBC_ca5c2cb7a4e545e2b2d9d1b94b528746"/>
              <w:id w:val="-1731915679"/>
              <w:placeholder>
                <w:docPart w:val="3CFB5CE425494A0B845369A112A16B3A"/>
              </w:placeholder>
            </w:sdtPr>
            <w:sdtEndPr/>
            <w:sdtContent>
              <w:tr w:rsidR="00D21C1F" w14:paraId="011B1173" w14:textId="77777777">
                <w:tc>
                  <w:tcPr>
                    <w:tcW w:w="1809" w:type="dxa"/>
                  </w:tcPr>
                  <w:p w14:paraId="6247C805" w14:textId="77777777" w:rsidR="00D21C1F" w:rsidRDefault="00A42880">
                    <w:pPr>
                      <w:rPr>
                        <w:rFonts w:ascii="Times New Roman" w:hAnsi="Times New Roman" w:cs="Times New Roman"/>
                        <w:szCs w:val="21"/>
                      </w:rPr>
                    </w:pPr>
                    <w:r>
                      <w:rPr>
                        <w:rFonts w:ascii="Times New Roman" w:hAnsi="Times New Roman" w:cs="Times New Roman"/>
                        <w:kern w:val="2"/>
                        <w:szCs w:val="21"/>
                      </w:rPr>
                      <w:t>热弯</w:t>
                    </w:r>
                  </w:p>
                </w:tc>
                <w:tc>
                  <w:tcPr>
                    <w:tcW w:w="709" w:type="dxa"/>
                  </w:tcPr>
                  <w:sdt>
                    <w:sdtPr>
                      <w:rPr>
                        <w:rFonts w:ascii="Times New Roman" w:hAnsi="Times New Roman" w:cs="Times New Roman"/>
                        <w:szCs w:val="21"/>
                      </w:rPr>
                      <w:tag w:val="_PLD_289cf7e5c3a845d59c038a21dcd4a571"/>
                      <w:id w:val="775376421"/>
                      <w:lock w:val="sdtLocked"/>
                    </w:sdtPr>
                    <w:sdtEndPr/>
                    <w:sdtContent>
                      <w:p w14:paraId="76D14F97"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56E743A6"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30684954"/>
                        <w:lock w:val="sdtLocked"/>
                      </w:sdtPr>
                      <w:sdtEndPr/>
                      <w:sdtContent>
                        <w:r w:rsidR="00A42880">
                          <w:rPr>
                            <w:rFonts w:ascii="Times New Roman" w:hAnsi="Times New Roman" w:cs="Times New Roman"/>
                          </w:rPr>
                          <w:t>热弯是玻璃曲面加工的一种应用较广的工艺，曲面玻璃兼具特性优良、外观精美、工艺成熟、成本低等多重优势，已逐渐成为中高端智能手机盖板市场的潮流，因此（玻璃）热弯机在</w:t>
                        </w:r>
                        <w:r w:rsidR="00A42880">
                          <w:rPr>
                            <w:rFonts w:ascii="Times New Roman" w:hAnsi="Times New Roman" w:cs="Times New Roman"/>
                          </w:rPr>
                          <w:t>3C</w:t>
                        </w:r>
                        <w:r w:rsidR="00A42880">
                          <w:rPr>
                            <w:rFonts w:ascii="Times New Roman" w:hAnsi="Times New Roman" w:cs="Times New Roman"/>
                          </w:rPr>
                          <w:t>行业近年来成长迅猛</w:t>
                        </w:r>
                      </w:sdtContent>
                    </w:sdt>
                  </w:p>
                </w:tc>
              </w:tr>
            </w:sdtContent>
          </w:sdt>
          <w:sdt>
            <w:sdtPr>
              <w:rPr>
                <w:rFonts w:ascii="Times New Roman" w:hAnsi="Times New Roman" w:cs="Times New Roman"/>
                <w:kern w:val="2"/>
                <w:szCs w:val="21"/>
              </w:rPr>
              <w:alias w:val="释义"/>
              <w:tag w:val="_GBC_ca5c2cb7a4e545e2b2d9d1b94b528746"/>
              <w:id w:val="-1803695137"/>
              <w:placeholder>
                <w:docPart w:val="3CFB5CE425494A0B845369A112A16B3A"/>
              </w:placeholder>
            </w:sdtPr>
            <w:sdtEndPr/>
            <w:sdtContent>
              <w:tr w:rsidR="00D21C1F" w14:paraId="36AF9C90" w14:textId="77777777">
                <w:tc>
                  <w:tcPr>
                    <w:tcW w:w="1809" w:type="dxa"/>
                  </w:tcPr>
                  <w:p w14:paraId="0679099A" w14:textId="77777777" w:rsidR="00D21C1F" w:rsidRDefault="00A42880">
                    <w:pPr>
                      <w:rPr>
                        <w:rFonts w:ascii="Times New Roman" w:hAnsi="Times New Roman" w:cs="Times New Roman"/>
                        <w:szCs w:val="21"/>
                      </w:rPr>
                    </w:pPr>
                    <w:r>
                      <w:rPr>
                        <w:rFonts w:ascii="Times New Roman" w:hAnsi="Times New Roman" w:cs="Times New Roman"/>
                        <w:kern w:val="2"/>
                        <w:szCs w:val="21"/>
                      </w:rPr>
                      <w:t>Andon</w:t>
                    </w:r>
                  </w:p>
                </w:tc>
                <w:tc>
                  <w:tcPr>
                    <w:tcW w:w="709" w:type="dxa"/>
                  </w:tcPr>
                  <w:sdt>
                    <w:sdtPr>
                      <w:rPr>
                        <w:rFonts w:ascii="Times New Roman" w:hAnsi="Times New Roman" w:cs="Times New Roman"/>
                        <w:szCs w:val="21"/>
                      </w:rPr>
                      <w:tag w:val="_PLD_289cf7e5c3a845d59c038a21dcd4a571"/>
                      <w:id w:val="-1422798927"/>
                      <w:lock w:val="sdtLocked"/>
                    </w:sdtPr>
                    <w:sdtEndPr/>
                    <w:sdtContent>
                      <w:p w14:paraId="6C71FB7C"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6BC9C5A1"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728030570"/>
                        <w:lock w:val="sdtLocked"/>
                      </w:sdtPr>
                      <w:sdtEndPr/>
                      <w:sdtContent>
                        <w:r w:rsidR="00A42880">
                          <w:rPr>
                            <w:rFonts w:ascii="Times New Roman" w:hAnsi="Times New Roman" w:cs="Times New Roman"/>
                            <w:szCs w:val="21"/>
                          </w:rPr>
                          <w:t>Andon</w:t>
                        </w:r>
                        <w:r w:rsidR="00A42880">
                          <w:rPr>
                            <w:rFonts w:ascii="Times New Roman" w:hAnsi="Times New Roman" w:cs="Times New Roman"/>
                            <w:szCs w:val="21"/>
                          </w:rPr>
                          <w:t>（安东）系统是应用在车间生产线上的实时呼叫系统，用来帮助生产线上的工人在一定生产节拍内、完成符合质量要求的产品装配任务</w:t>
                        </w:r>
                      </w:sdtContent>
                    </w:sdt>
                  </w:p>
                </w:tc>
              </w:tr>
            </w:sdtContent>
          </w:sdt>
          <w:sdt>
            <w:sdtPr>
              <w:rPr>
                <w:rFonts w:ascii="Times New Roman" w:hAnsi="Times New Roman" w:cs="Times New Roman"/>
                <w:kern w:val="2"/>
                <w:szCs w:val="21"/>
              </w:rPr>
              <w:alias w:val="释义"/>
              <w:tag w:val="_GBC_ca5c2cb7a4e545e2b2d9d1b94b528746"/>
              <w:id w:val="-1674643771"/>
              <w:placeholder>
                <w:docPart w:val="3CFB5CE425494A0B845369A112A16B3A"/>
              </w:placeholder>
            </w:sdtPr>
            <w:sdtEndPr/>
            <w:sdtContent>
              <w:tr w:rsidR="00D21C1F" w14:paraId="5301A959" w14:textId="77777777">
                <w:tc>
                  <w:tcPr>
                    <w:tcW w:w="1809" w:type="dxa"/>
                  </w:tcPr>
                  <w:p w14:paraId="0A160985" w14:textId="77777777" w:rsidR="00D21C1F" w:rsidRDefault="00A42880">
                    <w:pPr>
                      <w:rPr>
                        <w:rFonts w:ascii="Times New Roman" w:hAnsi="Times New Roman" w:cs="Times New Roman"/>
                        <w:szCs w:val="21"/>
                      </w:rPr>
                    </w:pPr>
                    <w:r>
                      <w:rPr>
                        <w:rFonts w:ascii="Times New Roman" w:hAnsi="Times New Roman" w:cs="Times New Roman"/>
                        <w:kern w:val="2"/>
                        <w:szCs w:val="21"/>
                      </w:rPr>
                      <w:t>PMC</w:t>
                    </w:r>
                  </w:p>
                </w:tc>
                <w:tc>
                  <w:tcPr>
                    <w:tcW w:w="709" w:type="dxa"/>
                  </w:tcPr>
                  <w:sdt>
                    <w:sdtPr>
                      <w:rPr>
                        <w:rFonts w:ascii="Times New Roman" w:hAnsi="Times New Roman" w:cs="Times New Roman"/>
                        <w:szCs w:val="21"/>
                      </w:rPr>
                      <w:tag w:val="_PLD_289cf7e5c3a845d59c038a21dcd4a571"/>
                      <w:id w:val="-1793194570"/>
                      <w:lock w:val="sdtLocked"/>
                    </w:sdtPr>
                    <w:sdtEndPr/>
                    <w:sdtContent>
                      <w:p w14:paraId="0A77F88E"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37870CC5" w14:textId="77777777"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487748506"/>
                        <w:lock w:val="sdtLocked"/>
                      </w:sdtPr>
                      <w:sdtEndPr/>
                      <w:sdtContent>
                        <w:r w:rsidR="00A42880">
                          <w:rPr>
                            <w:rFonts w:ascii="Times New Roman" w:hAnsi="Times New Roman" w:cs="Times New Roman"/>
                            <w:szCs w:val="21"/>
                          </w:rPr>
                          <w:t>PMC</w:t>
                        </w:r>
                        <w:r w:rsidR="00A42880">
                          <w:rPr>
                            <w:rFonts w:ascii="Times New Roman" w:hAnsi="Times New Roman" w:cs="Times New Roman"/>
                            <w:szCs w:val="21"/>
                          </w:rPr>
                          <w:t>（</w:t>
                        </w:r>
                        <w:r w:rsidR="00A42880">
                          <w:rPr>
                            <w:rFonts w:ascii="Times New Roman" w:hAnsi="Times New Roman" w:cs="Times New Roman"/>
                            <w:szCs w:val="21"/>
                          </w:rPr>
                          <w:t xml:space="preserve">Product Material Control </w:t>
                        </w:r>
                        <w:r w:rsidR="00A42880">
                          <w:rPr>
                            <w:rFonts w:ascii="Times New Roman" w:hAnsi="Times New Roman" w:cs="Times New Roman"/>
                            <w:szCs w:val="21"/>
                          </w:rPr>
                          <w:t>）是指对生产的计划与生产进度，以及物料的计划、跟踪、收发、存储、使用等各方面的监督与管理和废料的预防处理工作。</w:t>
                        </w:r>
                        <w:r w:rsidR="00A42880">
                          <w:rPr>
                            <w:rFonts w:ascii="Times New Roman" w:hAnsi="Times New Roman" w:cs="Times New Roman"/>
                            <w:szCs w:val="21"/>
                          </w:rPr>
                          <w:t>PMC</w:t>
                        </w:r>
                        <w:r w:rsidR="00A42880">
                          <w:rPr>
                            <w:rFonts w:ascii="Times New Roman" w:hAnsi="Times New Roman" w:cs="Times New Roman"/>
                            <w:szCs w:val="21"/>
                          </w:rPr>
                          <w:t>主要有两方面的工作内容，即生产控制与物料控制</w:t>
                        </w:r>
                      </w:sdtContent>
                    </w:sdt>
                  </w:p>
                </w:tc>
              </w:tr>
            </w:sdtContent>
          </w:sdt>
          <w:sdt>
            <w:sdtPr>
              <w:rPr>
                <w:rFonts w:ascii="Times New Roman" w:hAnsi="Times New Roman" w:cs="Times New Roman"/>
                <w:kern w:val="2"/>
                <w:szCs w:val="21"/>
              </w:rPr>
              <w:alias w:val="释义"/>
              <w:tag w:val="_GBC_ca5c2cb7a4e545e2b2d9d1b94b528746"/>
              <w:id w:val="-607352196"/>
              <w:placeholder>
                <w:docPart w:val="3CFB5CE425494A0B845369A112A16B3A"/>
              </w:placeholder>
            </w:sdtPr>
            <w:sdtEndPr/>
            <w:sdtContent>
              <w:tr w:rsidR="00D21C1F" w14:paraId="3ABA7DAE" w14:textId="77777777">
                <w:tc>
                  <w:tcPr>
                    <w:tcW w:w="1809" w:type="dxa"/>
                  </w:tcPr>
                  <w:p w14:paraId="01CA95A0" w14:textId="77777777" w:rsidR="00D21C1F" w:rsidRDefault="00A42880">
                    <w:pPr>
                      <w:rPr>
                        <w:rFonts w:ascii="Times New Roman" w:hAnsi="Times New Roman" w:cs="Times New Roman"/>
                        <w:szCs w:val="21"/>
                      </w:rPr>
                    </w:pPr>
                    <w:r>
                      <w:rPr>
                        <w:rFonts w:ascii="Times New Roman" w:hAnsi="Times New Roman" w:cs="Times New Roman"/>
                        <w:kern w:val="2"/>
                        <w:szCs w:val="21"/>
                      </w:rPr>
                      <w:t>AVI</w:t>
                    </w:r>
                  </w:p>
                </w:tc>
                <w:tc>
                  <w:tcPr>
                    <w:tcW w:w="709" w:type="dxa"/>
                  </w:tcPr>
                  <w:sdt>
                    <w:sdtPr>
                      <w:rPr>
                        <w:rFonts w:ascii="Times New Roman" w:hAnsi="Times New Roman" w:cs="Times New Roman"/>
                        <w:szCs w:val="21"/>
                      </w:rPr>
                      <w:tag w:val="_PLD_289cf7e5c3a845d59c038a21dcd4a571"/>
                      <w:id w:val="1613086389"/>
                      <w:lock w:val="sdtLocked"/>
                    </w:sdtPr>
                    <w:sdtEndPr/>
                    <w:sdtContent>
                      <w:p w14:paraId="53DAC9E1" w14:textId="77777777" w:rsidR="00D21C1F" w:rsidRDefault="00A42880">
                        <w:pPr>
                          <w:rPr>
                            <w:rFonts w:ascii="Times New Roman" w:hAnsi="Times New Roman" w:cs="Times New Roman"/>
                            <w:szCs w:val="21"/>
                            <w:highlight w:val="lightGray"/>
                          </w:rPr>
                        </w:pPr>
                        <w:r>
                          <w:rPr>
                            <w:rFonts w:ascii="Times New Roman" w:hAnsi="Times New Roman" w:cs="Times New Roman"/>
                            <w:szCs w:val="21"/>
                          </w:rPr>
                          <w:t>指</w:t>
                        </w:r>
                      </w:p>
                    </w:sdtContent>
                  </w:sdt>
                </w:tc>
                <w:tc>
                  <w:tcPr>
                    <w:tcW w:w="6530" w:type="dxa"/>
                  </w:tcPr>
                  <w:p w14:paraId="0B7FA3C5" w14:textId="2F659114" w:rsidR="00D21C1F" w:rsidRDefault="00045EC6">
                    <w:pPr>
                      <w:rPr>
                        <w:rFonts w:ascii="Times New Roman" w:hAnsi="Times New Roman" w:cs="Times New Roman"/>
                        <w:szCs w:val="21"/>
                      </w:rPr>
                    </w:pPr>
                    <w:sdt>
                      <w:sdtPr>
                        <w:rPr>
                          <w:rFonts w:ascii="Times New Roman" w:hAnsi="Times New Roman" w:cs="Times New Roman"/>
                          <w:szCs w:val="21"/>
                        </w:rPr>
                        <w:alias w:val="常用词语释义"/>
                        <w:tag w:val="_GBC_b625dd71b03542c3b074c2ce59de70ad"/>
                        <w:id w:val="-1784331105"/>
                        <w:lock w:val="sdtLocked"/>
                      </w:sdtPr>
                      <w:sdtEndPr/>
                      <w:sdtContent>
                        <w:r w:rsidR="00A42880">
                          <w:rPr>
                            <w:rFonts w:ascii="Times New Roman" w:hAnsi="Times New Roman" w:cs="Times New Roman"/>
                          </w:rPr>
                          <w:t>AVI</w:t>
                        </w:r>
                        <w:r w:rsidR="00A42880">
                          <w:rPr>
                            <w:rFonts w:ascii="Times New Roman" w:hAnsi="Times New Roman" w:cs="Times New Roman"/>
                          </w:rPr>
                          <w:t>（</w:t>
                        </w:r>
                        <w:r w:rsidR="00A42880">
                          <w:rPr>
                            <w:rFonts w:ascii="Times New Roman" w:hAnsi="Times New Roman" w:cs="Times New Roman"/>
                          </w:rPr>
                          <w:t>Automatic Vehicle Iden</w:t>
                        </w:r>
                        <w:r w:rsidR="00D07E51">
                          <w:rPr>
                            <w:rFonts w:ascii="Times New Roman" w:hAnsi="Times New Roman" w:cs="Times New Roman"/>
                          </w:rPr>
                          <w:t>ti</w:t>
                        </w:r>
                        <w:r w:rsidR="00A42880">
                          <w:rPr>
                            <w:rFonts w:ascii="Times New Roman" w:hAnsi="Times New Roman" w:cs="Times New Roman"/>
                          </w:rPr>
                          <w:t>fic</w:t>
                        </w:r>
                        <w:r w:rsidR="00D07E51">
                          <w:rPr>
                            <w:rFonts w:ascii="Times New Roman" w:hAnsi="Times New Roman" w:cs="Times New Roman"/>
                          </w:rPr>
                          <w:t>ation</w:t>
                        </w:r>
                        <w:r w:rsidR="00A42880">
                          <w:rPr>
                            <w:rFonts w:ascii="Times New Roman" w:hAnsi="Times New Roman" w:cs="Times New Roman"/>
                          </w:rPr>
                          <w:t> System</w:t>
                        </w:r>
                        <w:r w:rsidR="00A42880">
                          <w:rPr>
                            <w:rFonts w:ascii="Times New Roman" w:hAnsi="Times New Roman" w:cs="Times New Roman"/>
                          </w:rPr>
                          <w:t>）即车体自动识别跟踪系统</w:t>
                        </w:r>
                      </w:sdtContent>
                    </w:sdt>
                  </w:p>
                </w:tc>
              </w:tr>
            </w:sdtContent>
          </w:sdt>
        </w:tbl>
        <w:p w14:paraId="1F745022" w14:textId="77777777" w:rsidR="00D21C1F" w:rsidRDefault="00D21C1F"/>
        <w:p w14:paraId="4C32EC9C" w14:textId="77777777" w:rsidR="00D21C1F" w:rsidRDefault="00045EC6">
          <w:pPr>
            <w:pStyle w:val="97"/>
          </w:pPr>
        </w:p>
      </w:sdtContent>
    </w:sdt>
    <w:p w14:paraId="58AC08B8" w14:textId="77777777" w:rsidR="00D21C1F" w:rsidRDefault="00A42880">
      <w:pPr>
        <w:rPr>
          <w:rFonts w:eastAsiaTheme="minorEastAsia"/>
        </w:rPr>
      </w:pPr>
      <w:r>
        <w:br w:type="page"/>
      </w:r>
    </w:p>
    <w:p w14:paraId="5AD751D6" w14:textId="77777777" w:rsidR="00D21C1F" w:rsidRDefault="00D21C1F">
      <w:pPr>
        <w:pStyle w:val="97"/>
      </w:pPr>
    </w:p>
    <w:p w14:paraId="116B542A" w14:textId="77777777" w:rsidR="00D21C1F" w:rsidRDefault="00D21C1F">
      <w:pPr>
        <w:pStyle w:val="97"/>
      </w:pPr>
    </w:p>
    <w:p w14:paraId="5D88856E" w14:textId="77777777" w:rsidR="00D21C1F" w:rsidRDefault="00A42880">
      <w:pPr>
        <w:pStyle w:val="10"/>
        <w:numPr>
          <w:ilvl w:val="0"/>
          <w:numId w:val="3"/>
        </w:numPr>
        <w:rPr>
          <w:rFonts w:ascii="黑体" w:hAnsi="黑体"/>
          <w:color w:val="FF0000"/>
          <w:u w:val="single"/>
        </w:rPr>
      </w:pPr>
      <w:bookmarkStart w:id="14" w:name="_Toc79755141"/>
      <w:r>
        <w:rPr>
          <w:rFonts w:ascii="黑体" w:hAnsi="黑体" w:hint="eastAsia"/>
        </w:rPr>
        <w:t>公司简介</w:t>
      </w:r>
      <w:bookmarkEnd w:id="13"/>
      <w:r>
        <w:rPr>
          <w:rFonts w:ascii="黑体" w:hAnsi="黑体" w:hint="eastAsia"/>
        </w:rPr>
        <w:t>和主要财务指标</w:t>
      </w:r>
      <w:bookmarkEnd w:id="14"/>
    </w:p>
    <w:bookmarkStart w:id="15" w:name="_Hlk42788742" w:displacedByCustomXml="next"/>
    <w:sdt>
      <w:sdtPr>
        <w:rPr>
          <w:b w:val="0"/>
          <w:bCs w:val="0"/>
        </w:rPr>
        <w:alias w:val="模块:公司基本情况"/>
        <w:tag w:val="_SEC_b2285d7e9f7f40e687452b08d10f596c"/>
        <w:id w:val="2107295866"/>
        <w:lock w:val="sdtLocked"/>
        <w:placeholder>
          <w:docPart w:val="GBC22222222222222222222222222222"/>
        </w:placeholder>
      </w:sdtPr>
      <w:sdtEndPr/>
      <w:sdtContent>
        <w:p w14:paraId="5973B350" w14:textId="77777777" w:rsidR="00D21C1F" w:rsidRDefault="00A42880">
          <w:pPr>
            <w:pStyle w:val="2"/>
            <w:numPr>
              <w:ilvl w:val="1"/>
              <w:numId w:val="4"/>
            </w:numPr>
          </w:pPr>
          <w:r>
            <w:rPr>
              <w:rFonts w:hint="eastAsia"/>
            </w:rPr>
            <w:t>公司基本情况</w:t>
          </w:r>
        </w:p>
        <w:tbl>
          <w:tblPr>
            <w:tblStyle w:val="88"/>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D21C1F" w14:paraId="2D7EF778" w14:textId="77777777">
            <w:trPr>
              <w:trHeight w:val="293"/>
            </w:trPr>
            <w:tc>
              <w:tcPr>
                <w:tcW w:w="2169" w:type="pct"/>
                <w:tcBorders>
                  <w:top w:val="single" w:sz="4" w:space="0" w:color="auto"/>
                  <w:bottom w:val="single" w:sz="4" w:space="0" w:color="auto"/>
                  <w:right w:val="single" w:sz="4" w:space="0" w:color="auto"/>
                </w:tcBorders>
                <w:shd w:val="clear" w:color="auto" w:fill="auto"/>
              </w:tcPr>
              <w:bookmarkStart w:id="16" w:name="_Hlk74815631" w:displacedByCustomXml="next"/>
              <w:sdt>
                <w:sdtPr>
                  <w:rPr>
                    <w:rFonts w:hint="eastAsia"/>
                    <w:szCs w:val="21"/>
                  </w:rPr>
                  <w:tag w:val="_PLD_bad126009df143b0b0e5380732900c4f"/>
                  <w:id w:val="1384679076"/>
                  <w:lock w:val="sdtLocked"/>
                </w:sdtPr>
                <w:sdtEndPr/>
                <w:sdtContent>
                  <w:p w14:paraId="46B2E28C" w14:textId="77777777" w:rsidR="00D21C1F" w:rsidRDefault="00A42880">
                    <w:pPr>
                      <w:kinsoku w:val="0"/>
                      <w:overflowPunct w:val="0"/>
                      <w:autoSpaceDE w:val="0"/>
                      <w:autoSpaceDN w:val="0"/>
                      <w:adjustRightInd w:val="0"/>
                      <w:snapToGrid w:val="0"/>
                      <w:rPr>
                        <w:szCs w:val="21"/>
                      </w:rPr>
                    </w:pPr>
                    <w:r>
                      <w:rPr>
                        <w:rFonts w:hint="eastAsia"/>
                        <w:szCs w:val="21"/>
                      </w:rPr>
                      <w:t>公司的中文名称</w:t>
                    </w:r>
                  </w:p>
                </w:sdtContent>
              </w:sdt>
            </w:tc>
            <w:sdt>
              <w:sdtPr>
                <w:rPr>
                  <w:rFonts w:hint="eastAsia"/>
                  <w:szCs w:val="21"/>
                </w:rPr>
                <w:alias w:val="公司法定中文名称"/>
                <w:tag w:val="_GBC_79441fb1ebeb4559ae0922781c58e21b"/>
                <w:id w:val="-1932884463"/>
                <w:lock w:val="sdtLocked"/>
                <w:text/>
              </w:sdtPr>
              <w:sdtEndPr/>
              <w:sdtContent>
                <w:tc>
                  <w:tcPr>
                    <w:tcW w:w="2831" w:type="pct"/>
                    <w:tcBorders>
                      <w:top w:val="single" w:sz="4" w:space="0" w:color="auto"/>
                      <w:left w:val="single" w:sz="4" w:space="0" w:color="auto"/>
                      <w:bottom w:val="single" w:sz="4" w:space="0" w:color="auto"/>
                    </w:tcBorders>
                  </w:tcPr>
                  <w:p w14:paraId="57A9F092" w14:textId="77777777" w:rsidR="00D21C1F" w:rsidRDefault="00A42880">
                    <w:pPr>
                      <w:kinsoku w:val="0"/>
                      <w:overflowPunct w:val="0"/>
                      <w:autoSpaceDE w:val="0"/>
                      <w:autoSpaceDN w:val="0"/>
                      <w:adjustRightInd w:val="0"/>
                      <w:snapToGrid w:val="0"/>
                      <w:rPr>
                        <w:szCs w:val="21"/>
                      </w:rPr>
                    </w:pPr>
                    <w:r>
                      <w:rPr>
                        <w:rFonts w:hint="eastAsia"/>
                        <w:szCs w:val="21"/>
                      </w:rPr>
                      <w:t>埃夫特智能装备股份有限公司</w:t>
                    </w:r>
                  </w:p>
                </w:tc>
              </w:sdtContent>
            </w:sdt>
          </w:tr>
          <w:tr w:rsidR="00D21C1F" w14:paraId="2EAF3C23"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rFonts w:hint="eastAsia"/>
                    <w:szCs w:val="21"/>
                  </w:rPr>
                  <w:tag w:val="_PLD_b7881c5c0da645969d4fdb338d6fc061"/>
                  <w:id w:val="-1541733885"/>
                  <w:lock w:val="sdtLocked"/>
                </w:sdtPr>
                <w:sdtEndPr/>
                <w:sdtContent>
                  <w:p w14:paraId="7AE875AE" w14:textId="77777777" w:rsidR="00D21C1F" w:rsidRDefault="00A42880">
                    <w:pPr>
                      <w:kinsoku w:val="0"/>
                      <w:overflowPunct w:val="0"/>
                      <w:autoSpaceDE w:val="0"/>
                      <w:autoSpaceDN w:val="0"/>
                      <w:adjustRightInd w:val="0"/>
                      <w:snapToGrid w:val="0"/>
                      <w:rPr>
                        <w:szCs w:val="21"/>
                      </w:rPr>
                    </w:pPr>
                    <w:r>
                      <w:rPr>
                        <w:rFonts w:hint="eastAsia"/>
                        <w:szCs w:val="21"/>
                      </w:rPr>
                      <w:t>公司的中文简称</w:t>
                    </w:r>
                  </w:p>
                </w:sdtContent>
              </w:sdt>
            </w:tc>
            <w:tc>
              <w:tcPr>
                <w:tcW w:w="2831" w:type="pct"/>
                <w:tcBorders>
                  <w:top w:val="single" w:sz="4" w:space="0" w:color="auto"/>
                  <w:left w:val="single" w:sz="4" w:space="0" w:color="auto"/>
                  <w:bottom w:val="single" w:sz="4" w:space="0" w:color="auto"/>
                </w:tcBorders>
              </w:tcPr>
              <w:p w14:paraId="42F7922A" w14:textId="77777777" w:rsidR="00D21C1F" w:rsidRDefault="00A42880">
                <w:pPr>
                  <w:kinsoku w:val="0"/>
                  <w:overflowPunct w:val="0"/>
                  <w:autoSpaceDE w:val="0"/>
                  <w:autoSpaceDN w:val="0"/>
                  <w:adjustRightInd w:val="0"/>
                  <w:snapToGrid w:val="0"/>
                  <w:rPr>
                    <w:szCs w:val="21"/>
                  </w:rPr>
                </w:pPr>
                <w:r>
                  <w:rPr>
                    <w:rFonts w:hint="eastAsia"/>
                    <w:szCs w:val="21"/>
                  </w:rPr>
                  <w:t>埃夫特</w:t>
                </w:r>
              </w:p>
            </w:tc>
          </w:tr>
          <w:tr w:rsidR="00D21C1F" w14:paraId="57DE325E"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fb6cff6332ab4590b00f8af2677fb340"/>
                  <w:id w:val="2137600211"/>
                  <w:lock w:val="sdtLocked"/>
                </w:sdtPr>
                <w:sdtEndPr/>
                <w:sdtContent>
                  <w:p w14:paraId="13A2CD41" w14:textId="77777777" w:rsidR="00D21C1F" w:rsidRDefault="00A42880">
                    <w:pPr>
                      <w:kinsoku w:val="0"/>
                      <w:overflowPunct w:val="0"/>
                      <w:autoSpaceDE w:val="0"/>
                      <w:autoSpaceDN w:val="0"/>
                      <w:adjustRightInd w:val="0"/>
                      <w:snapToGrid w:val="0"/>
                      <w:rPr>
                        <w:szCs w:val="21"/>
                      </w:rPr>
                    </w:pPr>
                    <w:r>
                      <w:rPr>
                        <w:szCs w:val="21"/>
                      </w:rPr>
                      <w:t>公司的外文名称</w:t>
                    </w:r>
                  </w:p>
                </w:sdtContent>
              </w:sdt>
            </w:tc>
            <w:tc>
              <w:tcPr>
                <w:tcW w:w="2831" w:type="pct"/>
                <w:tcBorders>
                  <w:top w:val="single" w:sz="4" w:space="0" w:color="auto"/>
                  <w:left w:val="single" w:sz="4" w:space="0" w:color="auto"/>
                  <w:bottom w:val="single" w:sz="4" w:space="0" w:color="auto"/>
                </w:tcBorders>
              </w:tcPr>
              <w:p w14:paraId="67A8F57A"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EFORT Intelligent Equipment Co., Ltd.</w:t>
                </w:r>
              </w:p>
            </w:tc>
          </w:tr>
          <w:tr w:rsidR="00D21C1F" w14:paraId="1D4A8C91"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0f9e49e8650042ec9b8c21ec5745e8fb"/>
                  <w:id w:val="1729339428"/>
                  <w:lock w:val="sdtLocked"/>
                </w:sdtPr>
                <w:sdtEndPr/>
                <w:sdtContent>
                  <w:p w14:paraId="023F3351" w14:textId="77777777" w:rsidR="00D21C1F" w:rsidRDefault="00A42880">
                    <w:pPr>
                      <w:kinsoku w:val="0"/>
                      <w:overflowPunct w:val="0"/>
                      <w:autoSpaceDE w:val="0"/>
                      <w:autoSpaceDN w:val="0"/>
                      <w:adjustRightInd w:val="0"/>
                      <w:snapToGrid w:val="0"/>
                      <w:rPr>
                        <w:szCs w:val="21"/>
                      </w:rPr>
                    </w:pPr>
                    <w:r>
                      <w:rPr>
                        <w:szCs w:val="21"/>
                      </w:rPr>
                      <w:t>公司的外文名称缩写</w:t>
                    </w:r>
                  </w:p>
                </w:sdtContent>
              </w:sdt>
            </w:tc>
            <w:tc>
              <w:tcPr>
                <w:tcW w:w="2831" w:type="pct"/>
                <w:tcBorders>
                  <w:top w:val="single" w:sz="4" w:space="0" w:color="auto"/>
                  <w:left w:val="single" w:sz="4" w:space="0" w:color="auto"/>
                  <w:bottom w:val="single" w:sz="4" w:space="0" w:color="auto"/>
                </w:tcBorders>
              </w:tcPr>
              <w:p w14:paraId="4DA064DF"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EFORT</w:t>
                </w:r>
              </w:p>
            </w:tc>
          </w:tr>
          <w:tr w:rsidR="00D21C1F" w14:paraId="0548230B"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0a355bec727a4b57973a85395f5b5218"/>
                  <w:id w:val="-726612091"/>
                  <w:lock w:val="sdtLocked"/>
                </w:sdtPr>
                <w:sdtEndPr/>
                <w:sdtContent>
                  <w:p w14:paraId="4FFF6114" w14:textId="77777777" w:rsidR="00D21C1F" w:rsidRDefault="00A42880">
                    <w:pPr>
                      <w:kinsoku w:val="0"/>
                      <w:overflowPunct w:val="0"/>
                      <w:autoSpaceDE w:val="0"/>
                      <w:autoSpaceDN w:val="0"/>
                      <w:adjustRightInd w:val="0"/>
                      <w:snapToGrid w:val="0"/>
                      <w:rPr>
                        <w:szCs w:val="21"/>
                      </w:rPr>
                    </w:pPr>
                    <w:r>
                      <w:rPr>
                        <w:szCs w:val="21"/>
                      </w:rPr>
                      <w:t>公司的法定代表人</w:t>
                    </w:r>
                  </w:p>
                </w:sdtContent>
              </w:sdt>
            </w:tc>
            <w:tc>
              <w:tcPr>
                <w:tcW w:w="2831" w:type="pct"/>
                <w:tcBorders>
                  <w:top w:val="single" w:sz="4" w:space="0" w:color="auto"/>
                  <w:left w:val="single" w:sz="4" w:space="0" w:color="auto"/>
                  <w:bottom w:val="single" w:sz="4" w:space="0" w:color="auto"/>
                </w:tcBorders>
              </w:tcPr>
              <w:p w14:paraId="133C2445"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许礼进</w:t>
                </w:r>
              </w:p>
            </w:tc>
          </w:tr>
          <w:tr w:rsidR="00D21C1F" w14:paraId="3EE6387B"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1eee9472f73240b6886637ff8496e0af"/>
                  <w:id w:val="-1344476725"/>
                  <w:lock w:val="sdtLocked"/>
                </w:sdtPr>
                <w:sdtEndPr/>
                <w:sdtContent>
                  <w:p w14:paraId="3B750469" w14:textId="77777777" w:rsidR="00D21C1F" w:rsidRDefault="00A42880">
                    <w:pPr>
                      <w:kinsoku w:val="0"/>
                      <w:overflowPunct w:val="0"/>
                      <w:autoSpaceDE w:val="0"/>
                      <w:autoSpaceDN w:val="0"/>
                      <w:adjustRightInd w:val="0"/>
                      <w:snapToGrid w:val="0"/>
                      <w:rPr>
                        <w:szCs w:val="21"/>
                      </w:rPr>
                    </w:pPr>
                    <w:r>
                      <w:rPr>
                        <w:szCs w:val="21"/>
                      </w:rPr>
                      <w:t>公司注册地址</w:t>
                    </w:r>
                  </w:p>
                </w:sdtContent>
              </w:sdt>
            </w:tc>
            <w:tc>
              <w:tcPr>
                <w:tcW w:w="2831" w:type="pct"/>
                <w:tcBorders>
                  <w:top w:val="single" w:sz="4" w:space="0" w:color="auto"/>
                  <w:left w:val="single" w:sz="4" w:space="0" w:color="auto"/>
                  <w:bottom w:val="single" w:sz="4" w:space="0" w:color="auto"/>
                </w:tcBorders>
              </w:tcPr>
              <w:p w14:paraId="1336F874"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中国（安徽）自由贸易试验区芜湖片区万春东路</w:t>
                </w:r>
                <w:r>
                  <w:rPr>
                    <w:rFonts w:ascii="Times New Roman" w:hAnsi="Times New Roman" w:cs="Times New Roman"/>
                    <w:szCs w:val="21"/>
                  </w:rPr>
                  <w:t>96</w:t>
                </w:r>
                <w:r>
                  <w:rPr>
                    <w:rFonts w:ascii="Times New Roman" w:hAnsi="Times New Roman" w:cs="Times New Roman"/>
                    <w:szCs w:val="21"/>
                  </w:rPr>
                  <w:t>号</w:t>
                </w:r>
              </w:p>
            </w:tc>
          </w:tr>
          <w:tr w:rsidR="00D21C1F" w14:paraId="43C2FD16"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rFonts w:hint="eastAsia"/>
                  </w:rPr>
                  <w:tag w:val="_PLD_7e8efc1fcfdf4b0d948b488cdce8f258"/>
                  <w:id w:val="2087487599"/>
                  <w:lock w:val="sdtLocked"/>
                </w:sdtPr>
                <w:sdtEndPr/>
                <w:sdtContent>
                  <w:p w14:paraId="2111A552" w14:textId="77777777" w:rsidR="00D21C1F" w:rsidRDefault="00A42880">
                    <w:pPr>
                      <w:kinsoku w:val="0"/>
                      <w:overflowPunct w:val="0"/>
                      <w:autoSpaceDE w:val="0"/>
                      <w:autoSpaceDN w:val="0"/>
                      <w:adjustRightInd w:val="0"/>
                      <w:snapToGrid w:val="0"/>
                      <w:rPr>
                        <w:szCs w:val="21"/>
                      </w:rPr>
                    </w:pPr>
                    <w:r>
                      <w:rPr>
                        <w:rFonts w:hint="eastAsia"/>
                      </w:rPr>
                      <w:t>公司注册地址的历史变更情况</w:t>
                    </w:r>
                  </w:p>
                </w:sdtContent>
              </w:sdt>
            </w:tc>
            <w:tc>
              <w:tcPr>
                <w:tcW w:w="2831" w:type="pct"/>
                <w:tcBorders>
                  <w:top w:val="single" w:sz="4" w:space="0" w:color="auto"/>
                  <w:left w:val="single" w:sz="4" w:space="0" w:color="auto"/>
                  <w:bottom w:val="single" w:sz="4" w:space="0" w:color="auto"/>
                </w:tcBorders>
              </w:tcPr>
              <w:p w14:paraId="3CFFFE13"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016</w:t>
                </w:r>
                <w:r>
                  <w:rPr>
                    <w:rFonts w:ascii="Times New Roman" w:hAnsi="Times New Roman" w:cs="Times New Roman" w:hint="eastAsia"/>
                    <w:szCs w:val="21"/>
                  </w:rPr>
                  <w:t>年</w:t>
                </w:r>
                <w:r>
                  <w:rPr>
                    <w:rFonts w:ascii="Times New Roman" w:hAnsi="Times New Roman" w:cs="Times New Roman" w:hint="eastAsia"/>
                    <w:szCs w:val="21"/>
                  </w:rPr>
                  <w:t>1</w:t>
                </w:r>
                <w:r>
                  <w:rPr>
                    <w:rFonts w:ascii="Times New Roman" w:hAnsi="Times New Roman" w:cs="Times New Roman" w:hint="eastAsia"/>
                    <w:szCs w:val="21"/>
                  </w:rPr>
                  <w:t>月</w:t>
                </w:r>
                <w:r>
                  <w:rPr>
                    <w:rFonts w:ascii="Times New Roman" w:hAnsi="Times New Roman" w:cs="Times New Roman" w:hint="eastAsia"/>
                    <w:szCs w:val="21"/>
                  </w:rPr>
                  <w:t>2</w:t>
                </w:r>
                <w:r>
                  <w:rPr>
                    <w:rFonts w:ascii="Times New Roman" w:hAnsi="Times New Roman" w:cs="Times New Roman"/>
                    <w:szCs w:val="21"/>
                  </w:rPr>
                  <w:t>9</w:t>
                </w:r>
                <w:r>
                  <w:rPr>
                    <w:rFonts w:ascii="Times New Roman" w:hAnsi="Times New Roman" w:cs="Times New Roman" w:hint="eastAsia"/>
                    <w:szCs w:val="21"/>
                  </w:rPr>
                  <w:t>日，公司注册地址由“安徽省芜湖市鸠江经济开发区飞跃东路</w:t>
                </w:r>
                <w:r>
                  <w:rPr>
                    <w:rFonts w:ascii="Times New Roman" w:hAnsi="Times New Roman" w:cs="Times New Roman"/>
                    <w:szCs w:val="21"/>
                  </w:rPr>
                  <w:t>8</w:t>
                </w:r>
                <w:r>
                  <w:rPr>
                    <w:rFonts w:ascii="Times New Roman" w:hAnsi="Times New Roman" w:cs="Times New Roman"/>
                    <w:szCs w:val="21"/>
                  </w:rPr>
                  <w:t>号</w:t>
                </w:r>
                <w:r>
                  <w:rPr>
                    <w:rFonts w:ascii="Times New Roman" w:hAnsi="Times New Roman" w:cs="Times New Roman" w:hint="eastAsia"/>
                    <w:szCs w:val="21"/>
                  </w:rPr>
                  <w:t>”变更为“安徽省芜湖市鸠江经济开发区万春东路</w:t>
                </w:r>
                <w:r>
                  <w:rPr>
                    <w:rFonts w:ascii="Times New Roman" w:hAnsi="Times New Roman" w:cs="Times New Roman"/>
                    <w:szCs w:val="21"/>
                  </w:rPr>
                  <w:t>96</w:t>
                </w:r>
                <w:r>
                  <w:rPr>
                    <w:rFonts w:ascii="Times New Roman" w:hAnsi="Times New Roman" w:cs="Times New Roman"/>
                    <w:szCs w:val="21"/>
                  </w:rPr>
                  <w:t>号</w:t>
                </w: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szCs w:val="21"/>
                  </w:rPr>
                  <w:t>020</w:t>
                </w:r>
                <w:r>
                  <w:rPr>
                    <w:rFonts w:ascii="Times New Roman" w:hAnsi="Times New Roman" w:cs="Times New Roman" w:hint="eastAsia"/>
                    <w:szCs w:val="21"/>
                  </w:rPr>
                  <w:t>年，安徽省芜湖市鸠江经济开发区更名为中国（安徽）自由贸易试验区芜湖片区</w:t>
                </w:r>
              </w:p>
            </w:tc>
          </w:tr>
          <w:tr w:rsidR="00D21C1F" w14:paraId="2734B313"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fe7b9f4f318643168118457a12e0c67e"/>
                  <w:id w:val="1989512647"/>
                  <w:lock w:val="sdtLocked"/>
                </w:sdtPr>
                <w:sdtEndPr/>
                <w:sdtContent>
                  <w:p w14:paraId="2A741B32" w14:textId="77777777" w:rsidR="00D21C1F" w:rsidRDefault="00A42880">
                    <w:pPr>
                      <w:kinsoku w:val="0"/>
                      <w:overflowPunct w:val="0"/>
                      <w:autoSpaceDE w:val="0"/>
                      <w:autoSpaceDN w:val="0"/>
                      <w:adjustRightInd w:val="0"/>
                      <w:snapToGrid w:val="0"/>
                      <w:rPr>
                        <w:szCs w:val="21"/>
                      </w:rPr>
                    </w:pPr>
                    <w:r>
                      <w:rPr>
                        <w:szCs w:val="21"/>
                      </w:rPr>
                      <w:t>公司办公地址</w:t>
                    </w:r>
                  </w:p>
                </w:sdtContent>
              </w:sdt>
            </w:tc>
            <w:tc>
              <w:tcPr>
                <w:tcW w:w="2831" w:type="pct"/>
                <w:tcBorders>
                  <w:top w:val="single" w:sz="4" w:space="0" w:color="auto"/>
                  <w:left w:val="single" w:sz="4" w:space="0" w:color="auto"/>
                  <w:bottom w:val="single" w:sz="4" w:space="0" w:color="auto"/>
                </w:tcBorders>
              </w:tcPr>
              <w:p w14:paraId="43441DB6"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中国（安徽）自由贸易试验区芜湖片区万春东路</w:t>
                </w:r>
                <w:r>
                  <w:rPr>
                    <w:rFonts w:ascii="Times New Roman" w:hAnsi="Times New Roman" w:cs="Times New Roman"/>
                    <w:szCs w:val="21"/>
                  </w:rPr>
                  <w:t>96</w:t>
                </w:r>
                <w:r>
                  <w:rPr>
                    <w:rFonts w:ascii="Times New Roman" w:hAnsi="Times New Roman" w:cs="Times New Roman"/>
                    <w:szCs w:val="21"/>
                  </w:rPr>
                  <w:t>号</w:t>
                </w:r>
              </w:p>
            </w:tc>
          </w:tr>
          <w:tr w:rsidR="00D21C1F" w14:paraId="39613BC2"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51de3710b3d74624b615230197e3d63a"/>
                  <w:id w:val="1475176005"/>
                  <w:lock w:val="sdtLocked"/>
                </w:sdtPr>
                <w:sdtEndPr/>
                <w:sdtContent>
                  <w:p w14:paraId="2BC69F38" w14:textId="77777777" w:rsidR="00D21C1F" w:rsidRDefault="00A42880">
                    <w:pPr>
                      <w:kinsoku w:val="0"/>
                      <w:overflowPunct w:val="0"/>
                      <w:autoSpaceDE w:val="0"/>
                      <w:autoSpaceDN w:val="0"/>
                      <w:adjustRightInd w:val="0"/>
                      <w:snapToGrid w:val="0"/>
                      <w:rPr>
                        <w:szCs w:val="21"/>
                      </w:rPr>
                    </w:pPr>
                    <w:r>
                      <w:rPr>
                        <w:szCs w:val="21"/>
                      </w:rPr>
                      <w:t>公司办公地址的邮政编码</w:t>
                    </w:r>
                  </w:p>
                </w:sdtContent>
              </w:sdt>
            </w:tc>
            <w:tc>
              <w:tcPr>
                <w:tcW w:w="2831" w:type="pct"/>
                <w:tcBorders>
                  <w:top w:val="single" w:sz="4" w:space="0" w:color="auto"/>
                  <w:left w:val="single" w:sz="4" w:space="0" w:color="auto"/>
                  <w:bottom w:val="single" w:sz="4" w:space="0" w:color="auto"/>
                </w:tcBorders>
              </w:tcPr>
              <w:p w14:paraId="7DD6ED79"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241000</w:t>
                </w:r>
              </w:p>
            </w:tc>
          </w:tr>
          <w:tr w:rsidR="00D21C1F" w14:paraId="22BF56EA"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42ba5800e2804210abe095307917d109"/>
                  <w:id w:val="-1262672546"/>
                  <w:lock w:val="sdtLocked"/>
                </w:sdtPr>
                <w:sdtEndPr/>
                <w:sdtContent>
                  <w:p w14:paraId="623E649B" w14:textId="77777777" w:rsidR="00D21C1F" w:rsidRDefault="00A42880">
                    <w:pPr>
                      <w:kinsoku w:val="0"/>
                      <w:overflowPunct w:val="0"/>
                      <w:autoSpaceDE w:val="0"/>
                      <w:autoSpaceDN w:val="0"/>
                      <w:adjustRightInd w:val="0"/>
                      <w:snapToGrid w:val="0"/>
                      <w:rPr>
                        <w:szCs w:val="21"/>
                      </w:rPr>
                    </w:pPr>
                    <w:r>
                      <w:rPr>
                        <w:szCs w:val="21"/>
                      </w:rPr>
                      <w:t>公司网址</w:t>
                    </w:r>
                  </w:p>
                </w:sdtContent>
              </w:sdt>
            </w:tc>
            <w:tc>
              <w:tcPr>
                <w:tcW w:w="2831" w:type="pct"/>
                <w:tcBorders>
                  <w:top w:val="single" w:sz="4" w:space="0" w:color="auto"/>
                  <w:left w:val="single" w:sz="4" w:space="0" w:color="auto"/>
                  <w:bottom w:val="single" w:sz="4" w:space="0" w:color="auto"/>
                </w:tcBorders>
              </w:tcPr>
              <w:p w14:paraId="0EA67411"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http://www.efort.com.cn/</w:t>
                </w:r>
              </w:p>
            </w:tc>
          </w:tr>
          <w:tr w:rsidR="00D21C1F" w14:paraId="4FBC6364"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szCs w:val="21"/>
                  </w:rPr>
                  <w:tag w:val="_PLD_6fc91174c2f5423b8efe824d1c103fed"/>
                  <w:id w:val="-757139271"/>
                  <w:lock w:val="sdtLocked"/>
                </w:sdtPr>
                <w:sdtEndPr/>
                <w:sdtContent>
                  <w:p w14:paraId="21762554" w14:textId="77777777" w:rsidR="00D21C1F" w:rsidRDefault="00A42880">
                    <w:pPr>
                      <w:kinsoku w:val="0"/>
                      <w:overflowPunct w:val="0"/>
                      <w:autoSpaceDE w:val="0"/>
                      <w:autoSpaceDN w:val="0"/>
                      <w:adjustRightInd w:val="0"/>
                      <w:snapToGrid w:val="0"/>
                      <w:rPr>
                        <w:szCs w:val="21"/>
                      </w:rPr>
                    </w:pPr>
                    <w:r>
                      <w:rPr>
                        <w:szCs w:val="21"/>
                      </w:rPr>
                      <w:t>电子信箱</w:t>
                    </w:r>
                  </w:p>
                </w:sdtContent>
              </w:sdt>
            </w:tc>
            <w:tc>
              <w:tcPr>
                <w:tcW w:w="2831" w:type="pct"/>
                <w:tcBorders>
                  <w:top w:val="single" w:sz="4" w:space="0" w:color="auto"/>
                  <w:left w:val="single" w:sz="4" w:space="0" w:color="auto"/>
                  <w:bottom w:val="single" w:sz="4" w:space="0" w:color="auto"/>
                </w:tcBorders>
              </w:tcPr>
              <w:p w14:paraId="4C82C495" w14:textId="77777777" w:rsidR="00D21C1F" w:rsidRDefault="00045EC6">
                <w:pPr>
                  <w:kinsoku w:val="0"/>
                  <w:overflowPunct w:val="0"/>
                  <w:autoSpaceDE w:val="0"/>
                  <w:autoSpaceDN w:val="0"/>
                  <w:adjustRightInd w:val="0"/>
                  <w:snapToGrid w:val="0"/>
                  <w:rPr>
                    <w:rFonts w:ascii="Times New Roman" w:hAnsi="Times New Roman" w:cs="Times New Roman"/>
                    <w:szCs w:val="21"/>
                  </w:rPr>
                </w:pPr>
                <w:hyperlink r:id="rId16" w:history="1">
                  <w:r w:rsidR="00A42880">
                    <w:rPr>
                      <w:rStyle w:val="aff2"/>
                      <w:rFonts w:ascii="Times New Roman" w:hAnsi="Times New Roman"/>
                      <w:szCs w:val="21"/>
                    </w:rPr>
                    <w:t>ir@efort.com.cn</w:t>
                  </w:r>
                </w:hyperlink>
              </w:p>
            </w:tc>
          </w:tr>
          <w:tr w:rsidR="00D21C1F" w14:paraId="2F76D94C" w14:textId="77777777">
            <w:trPr>
              <w:trHeight w:val="293"/>
            </w:trPr>
            <w:tc>
              <w:tcPr>
                <w:tcW w:w="2169" w:type="pct"/>
                <w:tcBorders>
                  <w:top w:val="single" w:sz="4" w:space="0" w:color="auto"/>
                  <w:bottom w:val="single" w:sz="4" w:space="0" w:color="auto"/>
                  <w:right w:val="single" w:sz="4" w:space="0" w:color="auto"/>
                </w:tcBorders>
                <w:shd w:val="clear" w:color="auto" w:fill="auto"/>
              </w:tcPr>
              <w:sdt>
                <w:sdtPr>
                  <w:rPr>
                    <w:rFonts w:hint="eastAsia"/>
                    <w:szCs w:val="21"/>
                  </w:rPr>
                  <w:tag w:val="_PLD_5feb529ab1a6493ea712c360c1230a77"/>
                  <w:id w:val="752863722"/>
                  <w:lock w:val="sdtLocked"/>
                </w:sdtPr>
                <w:sdtEndPr>
                  <w:rPr>
                    <w:rFonts w:hint="default"/>
                    <w:szCs w:val="24"/>
                  </w:rPr>
                </w:sdtEndPr>
                <w:sdtContent>
                  <w:p w14:paraId="093DD650" w14:textId="77777777" w:rsidR="00D21C1F" w:rsidRDefault="00A42880">
                    <w:pPr>
                      <w:kinsoku w:val="0"/>
                      <w:overflowPunct w:val="0"/>
                      <w:autoSpaceDE w:val="0"/>
                      <w:autoSpaceDN w:val="0"/>
                      <w:adjustRightInd w:val="0"/>
                      <w:snapToGrid w:val="0"/>
                      <w:rPr>
                        <w:szCs w:val="21"/>
                      </w:rPr>
                    </w:pPr>
                    <w:r>
                      <w:rPr>
                        <w:rFonts w:hint="eastAsia"/>
                        <w:szCs w:val="21"/>
                      </w:rPr>
                      <w:t>报告期</w:t>
                    </w:r>
                    <w:r>
                      <w:t>内变更情况查询索引</w:t>
                    </w:r>
                  </w:p>
                </w:sdtContent>
              </w:sdt>
            </w:tc>
            <w:tc>
              <w:tcPr>
                <w:tcW w:w="2831" w:type="pct"/>
                <w:tcBorders>
                  <w:top w:val="single" w:sz="4" w:space="0" w:color="auto"/>
                  <w:left w:val="single" w:sz="4" w:space="0" w:color="auto"/>
                  <w:bottom w:val="single" w:sz="4" w:space="0" w:color="auto"/>
                </w:tcBorders>
              </w:tcPr>
              <w:p w14:paraId="24536C84" w14:textId="77777777" w:rsidR="00D21C1F" w:rsidRDefault="00A42880">
                <w:pPr>
                  <w:kinsoku w:val="0"/>
                  <w:overflowPunct w:val="0"/>
                  <w:autoSpaceDE w:val="0"/>
                  <w:autoSpaceDN w:val="0"/>
                  <w:adjustRightInd w:val="0"/>
                  <w:snapToGrid w:val="0"/>
                  <w:rPr>
                    <w:szCs w:val="21"/>
                  </w:rPr>
                </w:pPr>
                <w:r>
                  <w:rPr>
                    <w:rFonts w:hint="eastAsia"/>
                    <w:szCs w:val="21"/>
                  </w:rPr>
                  <w:t>/</w:t>
                </w:r>
              </w:p>
            </w:tc>
          </w:tr>
        </w:tbl>
        <w:p w14:paraId="7D7B0E2D" w14:textId="77777777" w:rsidR="00D21C1F" w:rsidRDefault="00045EC6">
          <w:pPr>
            <w:kinsoku w:val="0"/>
            <w:overflowPunct w:val="0"/>
            <w:autoSpaceDE w:val="0"/>
            <w:autoSpaceDN w:val="0"/>
            <w:adjustRightInd w:val="0"/>
            <w:snapToGrid w:val="0"/>
            <w:rPr>
              <w:szCs w:val="21"/>
            </w:rPr>
          </w:pPr>
        </w:p>
      </w:sdtContent>
    </w:sdt>
    <w:bookmarkEnd w:id="16" w:displacedByCustomXml="next"/>
    <w:bookmarkEnd w:id="15" w:displacedByCustomXml="next"/>
    <w:bookmarkStart w:id="17" w:name="_Toc342051042" w:displacedByCustomXml="next"/>
    <w:bookmarkStart w:id="18" w:name="_Toc342565882" w:displacedByCustomXml="next"/>
    <w:sdt>
      <w:sdtPr>
        <w:rPr>
          <w:rFonts w:hint="eastAsia"/>
          <w:b w:val="0"/>
          <w:bCs w:val="0"/>
          <w:sz w:val="24"/>
          <w:szCs w:val="22"/>
        </w:rPr>
        <w:alias w:val="模块:联系人和联系方式"/>
        <w:tag w:val="_GBC_c68db6bd18a148f3a9683d04b791123b"/>
        <w:id w:val="-1058631904"/>
        <w:lock w:val="sdtLocked"/>
        <w:placeholder>
          <w:docPart w:val="GBC22222222222222222222222222222"/>
        </w:placeholder>
      </w:sdtPr>
      <w:sdtEndPr>
        <w:rPr>
          <w:rFonts w:ascii="Times New Roman" w:hAnsi="Times New Roman" w:cs="Times New Roman" w:hint="default"/>
          <w:sz w:val="21"/>
          <w:szCs w:val="21"/>
        </w:rPr>
      </w:sdtEndPr>
      <w:sdtContent>
        <w:p w14:paraId="74DBBED1" w14:textId="77777777" w:rsidR="00D21C1F" w:rsidRDefault="00A42880">
          <w:pPr>
            <w:pStyle w:val="2"/>
            <w:numPr>
              <w:ilvl w:val="1"/>
              <w:numId w:val="4"/>
            </w:numPr>
          </w:pPr>
          <w:r>
            <w:rPr>
              <w:rFonts w:hint="eastAsia"/>
            </w:rPr>
            <w:t>联系人和联系方式</w:t>
          </w:r>
          <w:bookmarkEnd w:id="18"/>
          <w:bookmarkEnd w:id="17"/>
        </w:p>
        <w:tbl>
          <w:tblPr>
            <w:tblStyle w:val="88"/>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547"/>
            <w:gridCol w:w="3334"/>
            <w:gridCol w:w="2942"/>
          </w:tblGrid>
          <w:tr w:rsidR="00D21C1F" w14:paraId="79D051E5" w14:textId="77777777">
            <w:tc>
              <w:tcPr>
                <w:tcW w:w="1443" w:type="pct"/>
                <w:tcBorders>
                  <w:top w:val="single" w:sz="4" w:space="0" w:color="auto"/>
                  <w:bottom w:val="single" w:sz="4" w:space="0" w:color="auto"/>
                  <w:right w:val="single" w:sz="4" w:space="0" w:color="auto"/>
                </w:tcBorders>
                <w:shd w:val="clear" w:color="auto" w:fill="auto"/>
              </w:tcPr>
              <w:p w14:paraId="2D345C7A" w14:textId="77777777" w:rsidR="00D21C1F" w:rsidRDefault="00D21C1F">
                <w:pPr>
                  <w:kinsoku w:val="0"/>
                  <w:overflowPunct w:val="0"/>
                  <w:autoSpaceDE w:val="0"/>
                  <w:autoSpaceDN w:val="0"/>
                  <w:adjustRightInd w:val="0"/>
                  <w:snapToGrid w:val="0"/>
                  <w:rPr>
                    <w:szCs w:val="21"/>
                  </w:rPr>
                </w:pPr>
              </w:p>
            </w:tc>
            <w:tc>
              <w:tcPr>
                <w:tcW w:w="1889" w:type="pct"/>
                <w:tcBorders>
                  <w:top w:val="single" w:sz="4" w:space="0" w:color="auto"/>
                  <w:left w:val="single" w:sz="4" w:space="0" w:color="auto"/>
                  <w:bottom w:val="single" w:sz="4" w:space="0" w:color="auto"/>
                  <w:right w:val="single" w:sz="4" w:space="0" w:color="auto"/>
                </w:tcBorders>
                <w:shd w:val="clear" w:color="auto" w:fill="auto"/>
              </w:tcPr>
              <w:p w14:paraId="4CCC743C" w14:textId="77777777" w:rsidR="00D21C1F" w:rsidRDefault="00A42880">
                <w:pPr>
                  <w:pStyle w:val="ab"/>
                  <w:kinsoku w:val="0"/>
                  <w:overflowPunct w:val="0"/>
                  <w:autoSpaceDE w:val="0"/>
                  <w:autoSpaceDN w:val="0"/>
                  <w:adjustRightInd w:val="0"/>
                  <w:snapToGrid w:val="0"/>
                  <w:jc w:val="center"/>
                  <w:rPr>
                    <w:rFonts w:ascii="宋体" w:hAnsi="宋体"/>
                    <w:color w:val="008000"/>
                  </w:rPr>
                </w:pPr>
                <w:r>
                  <w:rPr>
                    <w:rFonts w:ascii="宋体" w:hAnsi="宋体"/>
                  </w:rPr>
                  <w:t xml:space="preserve"> </w:t>
                </w:r>
                <w:sdt>
                  <w:sdtPr>
                    <w:rPr>
                      <w:rFonts w:ascii="宋体" w:hAnsi="宋体"/>
                    </w:rPr>
                    <w:tag w:val="_PLD_40ee7e78ae754409b6b50e1b819c6047"/>
                    <w:id w:val="1385291372"/>
                    <w:lock w:val="sdtLocked"/>
                  </w:sdtPr>
                  <w:sdtEndPr>
                    <w:rPr>
                      <w:rFonts w:hint="eastAsia"/>
                    </w:rPr>
                  </w:sdtEndPr>
                  <w:sdtContent>
                    <w:r>
                      <w:rPr>
                        <w:rFonts w:ascii="宋体" w:hAnsi="宋体" w:hint="eastAsia"/>
                      </w:rPr>
                      <w:t>董事会秘书（</w:t>
                    </w:r>
                    <w:r>
                      <w:rPr>
                        <w:rFonts w:ascii="宋体" w:hAnsi="宋体" w:cs="宋体" w:hint="eastAsia"/>
                      </w:rPr>
                      <w:t>信息</w:t>
                    </w:r>
                    <w:r>
                      <w:rPr>
                        <w:rFonts w:ascii="宋体" w:hAnsi="宋体" w:cs="宋体"/>
                      </w:rPr>
                      <w:t>披露</w:t>
                    </w:r>
                    <w:r>
                      <w:rPr>
                        <w:rFonts w:ascii="宋体" w:hAnsi="宋体" w:cs="宋体" w:hint="eastAsia"/>
                      </w:rPr>
                      <w:t>境内代表</w:t>
                    </w:r>
                    <w:r>
                      <w:rPr>
                        <w:rFonts w:ascii="宋体" w:hAnsi="宋体" w:hint="eastAsia"/>
                      </w:rPr>
                      <w:t>）</w:t>
                    </w:r>
                  </w:sdtContent>
                </w:sdt>
              </w:p>
            </w:tc>
            <w:sdt>
              <w:sdtPr>
                <w:rPr>
                  <w:rFonts w:ascii="宋体" w:hAnsi="宋体"/>
                </w:rPr>
                <w:tag w:val="_PLD_3a25396416c14d2cb0688ae0ac8a1d4d"/>
                <w:id w:val="768673312"/>
                <w:lock w:val="sdtLocked"/>
              </w:sdtPr>
              <w:sdtEndPr/>
              <w:sdtContent>
                <w:tc>
                  <w:tcPr>
                    <w:tcW w:w="1667" w:type="pct"/>
                    <w:tcBorders>
                      <w:top w:val="single" w:sz="4" w:space="0" w:color="auto"/>
                      <w:left w:val="single" w:sz="4" w:space="0" w:color="auto"/>
                      <w:bottom w:val="single" w:sz="4" w:space="0" w:color="auto"/>
                    </w:tcBorders>
                    <w:shd w:val="clear" w:color="auto" w:fill="auto"/>
                  </w:tcPr>
                  <w:p w14:paraId="5A93F950" w14:textId="77777777" w:rsidR="00D21C1F" w:rsidRDefault="00A42880">
                    <w:pPr>
                      <w:pStyle w:val="ab"/>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D21C1F" w14:paraId="691C5896" w14:textId="77777777">
            <w:sdt>
              <w:sdtPr>
                <w:tag w:val="_PLD_c18fe8824f6a4cb6b9318e599fe71657"/>
                <w:id w:val="1088505802"/>
                <w:lock w:val="sdtLocked"/>
              </w:sdtPr>
              <w:sdtEndPr/>
              <w:sdtContent>
                <w:tc>
                  <w:tcPr>
                    <w:tcW w:w="1443" w:type="pct"/>
                    <w:tcBorders>
                      <w:top w:val="single" w:sz="4" w:space="0" w:color="auto"/>
                      <w:bottom w:val="single" w:sz="4" w:space="0" w:color="auto"/>
                      <w:right w:val="single" w:sz="4" w:space="0" w:color="auto"/>
                    </w:tcBorders>
                    <w:shd w:val="clear" w:color="auto" w:fill="auto"/>
                  </w:tcPr>
                  <w:p w14:paraId="47E2A43E" w14:textId="77777777" w:rsidR="00D21C1F" w:rsidRDefault="00A42880">
                    <w:pPr>
                      <w:kinsoku w:val="0"/>
                      <w:overflowPunct w:val="0"/>
                      <w:autoSpaceDE w:val="0"/>
                      <w:autoSpaceDN w:val="0"/>
                      <w:adjustRightInd w:val="0"/>
                      <w:snapToGrid w:val="0"/>
                      <w:rPr>
                        <w:szCs w:val="21"/>
                      </w:rPr>
                    </w:pPr>
                    <w:r>
                      <w:rPr>
                        <w:rFonts w:hint="eastAsia"/>
                        <w:szCs w:val="21"/>
                      </w:rPr>
                      <w:t>姓名</w:t>
                    </w:r>
                  </w:p>
                </w:tc>
              </w:sdtContent>
            </w:sdt>
            <w:tc>
              <w:tcPr>
                <w:tcW w:w="1889" w:type="pct"/>
                <w:tcBorders>
                  <w:top w:val="single" w:sz="4" w:space="0" w:color="auto"/>
                  <w:left w:val="single" w:sz="4" w:space="0" w:color="auto"/>
                  <w:bottom w:val="single" w:sz="4" w:space="0" w:color="auto"/>
                  <w:right w:val="single" w:sz="4" w:space="0" w:color="auto"/>
                </w:tcBorders>
              </w:tcPr>
              <w:p w14:paraId="5CC3C7A5" w14:textId="77777777" w:rsidR="00D21C1F" w:rsidRDefault="00A42880">
                <w:pPr>
                  <w:kinsoku w:val="0"/>
                  <w:overflowPunct w:val="0"/>
                  <w:autoSpaceDE w:val="0"/>
                  <w:autoSpaceDN w:val="0"/>
                  <w:adjustRightInd w:val="0"/>
                  <w:snapToGrid w:val="0"/>
                  <w:rPr>
                    <w:szCs w:val="21"/>
                  </w:rPr>
                </w:pPr>
                <w:r>
                  <w:rPr>
                    <w:rFonts w:hint="eastAsia"/>
                    <w:szCs w:val="21"/>
                  </w:rPr>
                  <w:t>康斌</w:t>
                </w:r>
              </w:p>
            </w:tc>
            <w:tc>
              <w:tcPr>
                <w:tcW w:w="1667" w:type="pct"/>
                <w:tcBorders>
                  <w:top w:val="single" w:sz="4" w:space="0" w:color="auto"/>
                  <w:left w:val="single" w:sz="4" w:space="0" w:color="auto"/>
                  <w:bottom w:val="single" w:sz="4" w:space="0" w:color="auto"/>
                </w:tcBorders>
              </w:tcPr>
              <w:p w14:paraId="5DCEFF13" w14:textId="77777777" w:rsidR="00D21C1F" w:rsidRDefault="00A42880">
                <w:pPr>
                  <w:kinsoku w:val="0"/>
                  <w:overflowPunct w:val="0"/>
                  <w:autoSpaceDE w:val="0"/>
                  <w:autoSpaceDN w:val="0"/>
                  <w:adjustRightInd w:val="0"/>
                  <w:snapToGrid w:val="0"/>
                  <w:rPr>
                    <w:szCs w:val="21"/>
                  </w:rPr>
                </w:pPr>
                <w:r>
                  <w:rPr>
                    <w:rFonts w:hint="eastAsia"/>
                    <w:szCs w:val="21"/>
                  </w:rPr>
                  <w:t>季先萍</w:t>
                </w:r>
              </w:p>
            </w:tc>
          </w:tr>
          <w:tr w:rsidR="00D21C1F" w14:paraId="399898B5" w14:textId="77777777">
            <w:sdt>
              <w:sdtPr>
                <w:tag w:val="_PLD_7d3032f58380420991f3cbceac5e81fd"/>
                <w:id w:val="1480351367"/>
                <w:lock w:val="sdtLocked"/>
              </w:sdtPr>
              <w:sdtEndPr/>
              <w:sdtContent>
                <w:tc>
                  <w:tcPr>
                    <w:tcW w:w="1443" w:type="pct"/>
                    <w:tcBorders>
                      <w:top w:val="single" w:sz="4" w:space="0" w:color="auto"/>
                      <w:bottom w:val="single" w:sz="4" w:space="0" w:color="auto"/>
                      <w:right w:val="single" w:sz="4" w:space="0" w:color="auto"/>
                    </w:tcBorders>
                    <w:shd w:val="clear" w:color="auto" w:fill="auto"/>
                  </w:tcPr>
                  <w:p w14:paraId="7F7F66C7" w14:textId="77777777" w:rsidR="00D21C1F" w:rsidRDefault="00A42880">
                    <w:pPr>
                      <w:kinsoku w:val="0"/>
                      <w:overflowPunct w:val="0"/>
                      <w:autoSpaceDE w:val="0"/>
                      <w:autoSpaceDN w:val="0"/>
                      <w:adjustRightInd w:val="0"/>
                      <w:snapToGrid w:val="0"/>
                      <w:rPr>
                        <w:szCs w:val="21"/>
                      </w:rPr>
                    </w:pPr>
                    <w:r>
                      <w:rPr>
                        <w:rFonts w:hint="eastAsia"/>
                        <w:szCs w:val="21"/>
                      </w:rPr>
                      <w:t>联系地址</w:t>
                    </w:r>
                  </w:p>
                </w:tc>
              </w:sdtContent>
            </w:sdt>
            <w:tc>
              <w:tcPr>
                <w:tcW w:w="1889" w:type="pct"/>
                <w:tcBorders>
                  <w:top w:val="single" w:sz="4" w:space="0" w:color="auto"/>
                  <w:left w:val="single" w:sz="4" w:space="0" w:color="auto"/>
                  <w:bottom w:val="single" w:sz="4" w:space="0" w:color="auto"/>
                  <w:right w:val="single" w:sz="4" w:space="0" w:color="auto"/>
                </w:tcBorders>
              </w:tcPr>
              <w:p w14:paraId="5596DCE6"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中国（安徽）自由贸易试验区芜湖片区万春东路</w:t>
                </w:r>
                <w:r>
                  <w:rPr>
                    <w:rFonts w:ascii="Times New Roman" w:hAnsi="Times New Roman" w:cs="Times New Roman"/>
                    <w:szCs w:val="21"/>
                  </w:rPr>
                  <w:t>96</w:t>
                </w:r>
                <w:r>
                  <w:rPr>
                    <w:rFonts w:ascii="Times New Roman" w:hAnsi="Times New Roman" w:cs="Times New Roman"/>
                    <w:szCs w:val="21"/>
                  </w:rPr>
                  <w:t>号</w:t>
                </w:r>
              </w:p>
            </w:tc>
            <w:tc>
              <w:tcPr>
                <w:tcW w:w="1667" w:type="pct"/>
                <w:tcBorders>
                  <w:top w:val="single" w:sz="4" w:space="0" w:color="auto"/>
                  <w:left w:val="single" w:sz="4" w:space="0" w:color="auto"/>
                  <w:bottom w:val="single" w:sz="4" w:space="0" w:color="auto"/>
                </w:tcBorders>
              </w:tcPr>
              <w:p w14:paraId="17A54018"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中国（安徽）自由贸易试验区芜湖片区万春东路</w:t>
                </w:r>
                <w:r>
                  <w:rPr>
                    <w:rFonts w:ascii="Times New Roman" w:hAnsi="Times New Roman" w:cs="Times New Roman"/>
                    <w:szCs w:val="21"/>
                  </w:rPr>
                  <w:t>96</w:t>
                </w:r>
                <w:r>
                  <w:rPr>
                    <w:rFonts w:ascii="Times New Roman" w:hAnsi="Times New Roman" w:cs="Times New Roman"/>
                    <w:szCs w:val="21"/>
                  </w:rPr>
                  <w:t>号</w:t>
                </w:r>
              </w:p>
            </w:tc>
          </w:tr>
          <w:tr w:rsidR="00D21C1F" w14:paraId="28736024" w14:textId="77777777">
            <w:sdt>
              <w:sdtPr>
                <w:tag w:val="_PLD_84ed4619f9cd46ba8ed261c2524b976d"/>
                <w:id w:val="-1099482417"/>
                <w:lock w:val="sdtLocked"/>
              </w:sdtPr>
              <w:sdtEndPr/>
              <w:sdtContent>
                <w:tc>
                  <w:tcPr>
                    <w:tcW w:w="1443" w:type="pct"/>
                    <w:tcBorders>
                      <w:top w:val="single" w:sz="4" w:space="0" w:color="auto"/>
                      <w:bottom w:val="single" w:sz="4" w:space="0" w:color="auto"/>
                      <w:right w:val="single" w:sz="4" w:space="0" w:color="auto"/>
                    </w:tcBorders>
                    <w:shd w:val="clear" w:color="auto" w:fill="auto"/>
                  </w:tcPr>
                  <w:p w14:paraId="2E27363D" w14:textId="77777777" w:rsidR="00D21C1F" w:rsidRDefault="00A42880">
                    <w:pPr>
                      <w:kinsoku w:val="0"/>
                      <w:overflowPunct w:val="0"/>
                      <w:autoSpaceDE w:val="0"/>
                      <w:autoSpaceDN w:val="0"/>
                      <w:adjustRightInd w:val="0"/>
                      <w:snapToGrid w:val="0"/>
                      <w:rPr>
                        <w:szCs w:val="21"/>
                      </w:rPr>
                    </w:pPr>
                    <w:r>
                      <w:rPr>
                        <w:szCs w:val="21"/>
                      </w:rPr>
                      <w:t>电话</w:t>
                    </w:r>
                  </w:p>
                </w:tc>
              </w:sdtContent>
            </w:sdt>
            <w:tc>
              <w:tcPr>
                <w:tcW w:w="1889" w:type="pct"/>
                <w:tcBorders>
                  <w:top w:val="single" w:sz="4" w:space="0" w:color="auto"/>
                  <w:left w:val="single" w:sz="4" w:space="0" w:color="auto"/>
                  <w:bottom w:val="single" w:sz="4" w:space="0" w:color="auto"/>
                  <w:right w:val="single" w:sz="4" w:space="0" w:color="auto"/>
                </w:tcBorders>
              </w:tcPr>
              <w:p w14:paraId="31589DE0"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0553-5670638</w:t>
                </w:r>
              </w:p>
            </w:tc>
            <w:tc>
              <w:tcPr>
                <w:tcW w:w="1667" w:type="pct"/>
                <w:tcBorders>
                  <w:top w:val="single" w:sz="4" w:space="0" w:color="auto"/>
                  <w:left w:val="single" w:sz="4" w:space="0" w:color="auto"/>
                  <w:bottom w:val="single" w:sz="4" w:space="0" w:color="auto"/>
                </w:tcBorders>
              </w:tcPr>
              <w:p w14:paraId="2FAD5A71"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0553-5670638</w:t>
                </w:r>
              </w:p>
            </w:tc>
          </w:tr>
          <w:tr w:rsidR="00D21C1F" w14:paraId="0D41081C" w14:textId="77777777">
            <w:sdt>
              <w:sdtPr>
                <w:tag w:val="_PLD_53ff1b9808534a99b3bbc1bc09dac246"/>
                <w:id w:val="1934542407"/>
                <w:lock w:val="sdtLocked"/>
              </w:sdtPr>
              <w:sdtEndPr/>
              <w:sdtContent>
                <w:tc>
                  <w:tcPr>
                    <w:tcW w:w="1443" w:type="pct"/>
                    <w:tcBorders>
                      <w:top w:val="single" w:sz="4" w:space="0" w:color="auto"/>
                      <w:bottom w:val="single" w:sz="4" w:space="0" w:color="auto"/>
                      <w:right w:val="single" w:sz="4" w:space="0" w:color="auto"/>
                    </w:tcBorders>
                    <w:shd w:val="clear" w:color="auto" w:fill="auto"/>
                  </w:tcPr>
                  <w:p w14:paraId="6D3C1CAB" w14:textId="77777777" w:rsidR="00D21C1F" w:rsidRDefault="00A42880">
                    <w:pPr>
                      <w:kinsoku w:val="0"/>
                      <w:overflowPunct w:val="0"/>
                      <w:autoSpaceDE w:val="0"/>
                      <w:autoSpaceDN w:val="0"/>
                      <w:adjustRightInd w:val="0"/>
                      <w:snapToGrid w:val="0"/>
                      <w:rPr>
                        <w:szCs w:val="21"/>
                      </w:rPr>
                    </w:pPr>
                    <w:r>
                      <w:rPr>
                        <w:szCs w:val="21"/>
                      </w:rPr>
                      <w:t>传真</w:t>
                    </w:r>
                  </w:p>
                </w:tc>
              </w:sdtContent>
            </w:sdt>
            <w:tc>
              <w:tcPr>
                <w:tcW w:w="1889" w:type="pct"/>
                <w:tcBorders>
                  <w:top w:val="single" w:sz="4" w:space="0" w:color="auto"/>
                  <w:left w:val="single" w:sz="4" w:space="0" w:color="auto"/>
                  <w:bottom w:val="single" w:sz="4" w:space="0" w:color="auto"/>
                  <w:right w:val="single" w:sz="4" w:space="0" w:color="auto"/>
                </w:tcBorders>
              </w:tcPr>
              <w:p w14:paraId="3624B2EC"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0553-5635270</w:t>
                </w:r>
              </w:p>
            </w:tc>
            <w:tc>
              <w:tcPr>
                <w:tcW w:w="1667" w:type="pct"/>
                <w:tcBorders>
                  <w:top w:val="single" w:sz="4" w:space="0" w:color="auto"/>
                  <w:left w:val="single" w:sz="4" w:space="0" w:color="auto"/>
                  <w:bottom w:val="single" w:sz="4" w:space="0" w:color="auto"/>
                </w:tcBorders>
              </w:tcPr>
              <w:p w14:paraId="38F0E9AB"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0553-5635270</w:t>
                </w:r>
              </w:p>
            </w:tc>
          </w:tr>
          <w:tr w:rsidR="00D21C1F" w14:paraId="2A12F7FE" w14:textId="77777777">
            <w:sdt>
              <w:sdtPr>
                <w:tag w:val="_PLD_18165b6e55e1423db094125dc7ac3ad0"/>
                <w:id w:val="-362292708"/>
                <w:lock w:val="sdtLocked"/>
              </w:sdtPr>
              <w:sdtEndPr/>
              <w:sdtContent>
                <w:tc>
                  <w:tcPr>
                    <w:tcW w:w="1443" w:type="pct"/>
                    <w:tcBorders>
                      <w:top w:val="single" w:sz="4" w:space="0" w:color="auto"/>
                      <w:bottom w:val="single" w:sz="4" w:space="0" w:color="auto"/>
                      <w:right w:val="single" w:sz="4" w:space="0" w:color="auto"/>
                    </w:tcBorders>
                    <w:shd w:val="clear" w:color="auto" w:fill="auto"/>
                  </w:tcPr>
                  <w:p w14:paraId="12E0DC7D" w14:textId="77777777" w:rsidR="00D21C1F" w:rsidRDefault="00A42880">
                    <w:pPr>
                      <w:kinsoku w:val="0"/>
                      <w:overflowPunct w:val="0"/>
                      <w:autoSpaceDE w:val="0"/>
                      <w:autoSpaceDN w:val="0"/>
                      <w:adjustRightInd w:val="0"/>
                      <w:snapToGrid w:val="0"/>
                      <w:rPr>
                        <w:szCs w:val="21"/>
                      </w:rPr>
                    </w:pPr>
                    <w:r>
                      <w:rPr>
                        <w:szCs w:val="21"/>
                      </w:rPr>
                      <w:t>电子信箱</w:t>
                    </w:r>
                  </w:p>
                </w:tc>
              </w:sdtContent>
            </w:sdt>
            <w:tc>
              <w:tcPr>
                <w:tcW w:w="1889" w:type="pct"/>
                <w:tcBorders>
                  <w:top w:val="single" w:sz="4" w:space="0" w:color="auto"/>
                  <w:left w:val="single" w:sz="4" w:space="0" w:color="auto"/>
                  <w:bottom w:val="single" w:sz="4" w:space="0" w:color="auto"/>
                  <w:right w:val="single" w:sz="4" w:space="0" w:color="auto"/>
                </w:tcBorders>
              </w:tcPr>
              <w:p w14:paraId="5777515E"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ir@efort.com.cn</w:t>
                </w:r>
              </w:p>
            </w:tc>
            <w:tc>
              <w:tcPr>
                <w:tcW w:w="1667" w:type="pct"/>
                <w:tcBorders>
                  <w:top w:val="single" w:sz="4" w:space="0" w:color="auto"/>
                  <w:left w:val="single" w:sz="4" w:space="0" w:color="auto"/>
                  <w:bottom w:val="single" w:sz="4" w:space="0" w:color="auto"/>
                </w:tcBorders>
              </w:tcPr>
              <w:p w14:paraId="17797890"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ir@efort.com.cn</w:t>
                </w:r>
              </w:p>
            </w:tc>
          </w:tr>
        </w:tbl>
      </w:sdtContent>
    </w:sdt>
    <w:p w14:paraId="34C09049" w14:textId="77777777" w:rsidR="00D21C1F" w:rsidRDefault="00D21C1F">
      <w:pPr>
        <w:kinsoku w:val="0"/>
        <w:overflowPunct w:val="0"/>
        <w:autoSpaceDE w:val="0"/>
        <w:autoSpaceDN w:val="0"/>
        <w:adjustRightInd w:val="0"/>
        <w:snapToGrid w:val="0"/>
        <w:rPr>
          <w:szCs w:val="21"/>
        </w:rPr>
      </w:pPr>
    </w:p>
    <w:sdt>
      <w:sdtPr>
        <w:rPr>
          <w:b w:val="0"/>
          <w:bCs w:val="0"/>
          <w:szCs w:val="22"/>
        </w:rPr>
        <w:alias w:val="模块:信息披露及备置地点变更情况简介"/>
        <w:tag w:val="_GBC_20a39c6141734cc19616660ebf1a0dfa"/>
        <w:id w:val="479816258"/>
        <w:lock w:val="sdtLocked"/>
        <w:placeholder>
          <w:docPart w:val="GBC22222222222222222222222222222"/>
        </w:placeholder>
      </w:sdtPr>
      <w:sdtEndPr>
        <w:rPr>
          <w:rFonts w:hint="eastAsia"/>
          <w:szCs w:val="24"/>
        </w:rPr>
      </w:sdtEndPr>
      <w:sdtContent>
        <w:p w14:paraId="5A6BFF29" w14:textId="77777777" w:rsidR="00D21C1F" w:rsidRDefault="00A42880">
          <w:pPr>
            <w:pStyle w:val="2"/>
            <w:numPr>
              <w:ilvl w:val="1"/>
              <w:numId w:val="4"/>
            </w:numPr>
          </w:pPr>
          <w:r>
            <w:t>信息披露及备置地点变更情况简介</w:t>
          </w:r>
        </w:p>
        <w:tbl>
          <w:tblPr>
            <w:tblStyle w:val="88"/>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D21C1F" w14:paraId="6B7FE5F1" w14:textId="77777777">
            <w:trPr>
              <w:trHeight w:val="293"/>
            </w:trPr>
            <w:sdt>
              <w:sdtPr>
                <w:tag w:val="_PLD_5a9e1277ac2b48eb8d7aa1b69c532d31"/>
                <w:id w:val="50510634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C289C09" w14:textId="77777777" w:rsidR="00D21C1F" w:rsidRDefault="00A42880">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512415609"/>
                <w:lock w:val="sdtLocked"/>
              </w:sdtPr>
              <w:sdtEndPr/>
              <w:sdtContent>
                <w:tc>
                  <w:tcPr>
                    <w:tcW w:w="2831" w:type="pct"/>
                    <w:tcBorders>
                      <w:top w:val="single" w:sz="4" w:space="0" w:color="auto"/>
                      <w:left w:val="single" w:sz="4" w:space="0" w:color="auto"/>
                      <w:bottom w:val="single" w:sz="4" w:space="0" w:color="auto"/>
                    </w:tcBorders>
                  </w:tcPr>
                  <w:p w14:paraId="3CF704CC" w14:textId="77777777" w:rsidR="00D21C1F" w:rsidRDefault="00A42880">
                    <w:pPr>
                      <w:kinsoku w:val="0"/>
                      <w:overflowPunct w:val="0"/>
                      <w:autoSpaceDE w:val="0"/>
                      <w:autoSpaceDN w:val="0"/>
                      <w:adjustRightInd w:val="0"/>
                      <w:snapToGrid w:val="0"/>
                      <w:rPr>
                        <w:szCs w:val="21"/>
                      </w:rPr>
                    </w:pPr>
                    <w:r>
                      <w:rPr>
                        <w:rFonts w:hint="eastAsia"/>
                        <w:szCs w:val="21"/>
                      </w:rPr>
                      <w:t>中国证券报、证券日报、证券时报、上海证券报</w:t>
                    </w:r>
                  </w:p>
                </w:tc>
              </w:sdtContent>
            </w:sdt>
          </w:tr>
          <w:tr w:rsidR="00D21C1F" w14:paraId="57CA434F" w14:textId="77777777">
            <w:trPr>
              <w:trHeight w:val="293"/>
            </w:trPr>
            <w:sdt>
              <w:sdtPr>
                <w:tag w:val="_PLD_34ad3e071c96488fa36dcc1913587c39"/>
                <w:id w:val="-169652849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4A5349B" w14:textId="77777777" w:rsidR="00D21C1F" w:rsidRDefault="00A42880">
                    <w:pPr>
                      <w:kinsoku w:val="0"/>
                      <w:overflowPunct w:val="0"/>
                      <w:autoSpaceDE w:val="0"/>
                      <w:autoSpaceDN w:val="0"/>
                      <w:adjustRightInd w:val="0"/>
                      <w:snapToGrid w:val="0"/>
                      <w:rPr>
                        <w:szCs w:val="21"/>
                      </w:rPr>
                    </w:pPr>
                    <w:r>
                      <w:t>登载半年度报告的</w:t>
                    </w:r>
                    <w:r>
                      <w:rPr>
                        <w:rFonts w:hint="eastAsia"/>
                      </w:rPr>
                      <w:t>网站地址</w:t>
                    </w:r>
                  </w:p>
                </w:tc>
              </w:sdtContent>
            </w:sdt>
            <w:tc>
              <w:tcPr>
                <w:tcW w:w="2831" w:type="pct"/>
                <w:tcBorders>
                  <w:top w:val="single" w:sz="4" w:space="0" w:color="auto"/>
                  <w:left w:val="single" w:sz="4" w:space="0" w:color="auto"/>
                  <w:bottom w:val="single" w:sz="4" w:space="0" w:color="auto"/>
                </w:tcBorders>
              </w:tcPr>
              <w:p w14:paraId="70DFE111" w14:textId="77777777" w:rsidR="00D21C1F" w:rsidRDefault="00045EC6">
                <w:pPr>
                  <w:kinsoku w:val="0"/>
                  <w:overflowPunct w:val="0"/>
                  <w:autoSpaceDE w:val="0"/>
                  <w:autoSpaceDN w:val="0"/>
                  <w:adjustRightInd w:val="0"/>
                  <w:snapToGrid w:val="0"/>
                  <w:rPr>
                    <w:rFonts w:ascii="Times New Roman" w:hAnsi="Times New Roman" w:cs="Times New Roman"/>
                    <w:szCs w:val="21"/>
                  </w:rPr>
                </w:pPr>
                <w:hyperlink r:id="rId17" w:history="1">
                  <w:r w:rsidR="00A42880">
                    <w:rPr>
                      <w:rStyle w:val="aff2"/>
                      <w:rFonts w:ascii="Times New Roman" w:hAnsi="Times New Roman"/>
                      <w:szCs w:val="21"/>
                    </w:rPr>
                    <w:t>www.sse.com.cn</w:t>
                  </w:r>
                </w:hyperlink>
              </w:p>
            </w:tc>
          </w:tr>
          <w:tr w:rsidR="00D21C1F" w14:paraId="6ECEE5D9" w14:textId="77777777">
            <w:trPr>
              <w:trHeight w:val="293"/>
            </w:trPr>
            <w:sdt>
              <w:sdtPr>
                <w:tag w:val="_PLD_533f230e5c504d15b6024014067b6306"/>
                <w:id w:val="-68775207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5850A8A" w14:textId="77777777" w:rsidR="00D21C1F" w:rsidRDefault="00A42880">
                    <w:pPr>
                      <w:kinsoku w:val="0"/>
                      <w:overflowPunct w:val="0"/>
                      <w:autoSpaceDE w:val="0"/>
                      <w:autoSpaceDN w:val="0"/>
                      <w:adjustRightInd w:val="0"/>
                      <w:snapToGrid w:val="0"/>
                      <w:rPr>
                        <w:szCs w:val="21"/>
                      </w:rPr>
                    </w:pPr>
                    <w:r>
                      <w:t>公司半年度报告备置地点</w:t>
                    </w:r>
                  </w:p>
                </w:tc>
              </w:sdtContent>
            </w:sdt>
            <w:tc>
              <w:tcPr>
                <w:tcW w:w="2831" w:type="pct"/>
                <w:tcBorders>
                  <w:top w:val="single" w:sz="4" w:space="0" w:color="auto"/>
                  <w:left w:val="single" w:sz="4" w:space="0" w:color="auto"/>
                  <w:bottom w:val="single" w:sz="4" w:space="0" w:color="auto"/>
                </w:tcBorders>
              </w:tcPr>
              <w:p w14:paraId="5BF205A1" w14:textId="77777777" w:rsidR="00D21C1F" w:rsidRDefault="00A42880">
                <w:pPr>
                  <w:kinsoku w:val="0"/>
                  <w:overflowPunct w:val="0"/>
                  <w:autoSpaceDE w:val="0"/>
                  <w:autoSpaceDN w:val="0"/>
                  <w:adjustRightInd w:val="0"/>
                  <w:snapToGrid w:val="0"/>
                  <w:rPr>
                    <w:szCs w:val="21"/>
                  </w:rPr>
                </w:pPr>
                <w:r>
                  <w:rPr>
                    <w:rFonts w:hint="eastAsia"/>
                    <w:szCs w:val="21"/>
                  </w:rPr>
                  <w:t>公司证券部</w:t>
                </w:r>
              </w:p>
            </w:tc>
          </w:tr>
          <w:tr w:rsidR="00D21C1F" w14:paraId="24D3BC06" w14:textId="77777777">
            <w:trPr>
              <w:trHeight w:val="293"/>
            </w:trPr>
            <w:sdt>
              <w:sdtPr>
                <w:tag w:val="_PLD_71b3b22b33f543709c7346090ee03414"/>
                <w:id w:val="-52578815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254B969" w14:textId="77777777" w:rsidR="00D21C1F" w:rsidRDefault="00A42880">
                    <w:pPr>
                      <w:kinsoku w:val="0"/>
                      <w:overflowPunct w:val="0"/>
                      <w:autoSpaceDE w:val="0"/>
                      <w:autoSpaceDN w:val="0"/>
                      <w:adjustRightInd w:val="0"/>
                      <w:snapToGrid w:val="0"/>
                      <w:rPr>
                        <w:szCs w:val="21"/>
                      </w:rPr>
                    </w:pPr>
                    <w:r>
                      <w:t>报告期内变更情况查询索引</w:t>
                    </w:r>
                  </w:p>
                </w:tc>
              </w:sdtContent>
            </w:sdt>
            <w:tc>
              <w:tcPr>
                <w:tcW w:w="2831" w:type="pct"/>
                <w:tcBorders>
                  <w:top w:val="single" w:sz="4" w:space="0" w:color="auto"/>
                  <w:left w:val="single" w:sz="4" w:space="0" w:color="auto"/>
                  <w:bottom w:val="single" w:sz="4" w:space="0" w:color="auto"/>
                </w:tcBorders>
              </w:tcPr>
              <w:p w14:paraId="5759A31F" w14:textId="77777777" w:rsidR="00D21C1F" w:rsidRDefault="00A42880">
                <w:pPr>
                  <w:kinsoku w:val="0"/>
                  <w:overflowPunct w:val="0"/>
                  <w:autoSpaceDE w:val="0"/>
                  <w:autoSpaceDN w:val="0"/>
                  <w:adjustRightInd w:val="0"/>
                  <w:snapToGrid w:val="0"/>
                  <w:rPr>
                    <w:szCs w:val="21"/>
                  </w:rPr>
                </w:pPr>
                <w:r>
                  <w:rPr>
                    <w:rFonts w:hint="eastAsia"/>
                    <w:szCs w:val="21"/>
                  </w:rPr>
                  <w:t>/</w:t>
                </w:r>
              </w:p>
            </w:tc>
          </w:tr>
        </w:tbl>
      </w:sdtContent>
    </w:sdt>
    <w:p w14:paraId="69E0EAE6" w14:textId="77777777" w:rsidR="00D21C1F" w:rsidRDefault="00D21C1F">
      <w:pPr>
        <w:kinsoku w:val="0"/>
        <w:overflowPunct w:val="0"/>
        <w:autoSpaceDE w:val="0"/>
        <w:autoSpaceDN w:val="0"/>
        <w:adjustRightInd w:val="0"/>
        <w:snapToGrid w:val="0"/>
        <w:rPr>
          <w:szCs w:val="21"/>
        </w:rPr>
      </w:pPr>
    </w:p>
    <w:bookmarkStart w:id="19" w:name="_Hlk25322244" w:displacedByCustomXml="next"/>
    <w:bookmarkStart w:id="20" w:name="_Hlk42789066" w:displacedByCustomXml="next"/>
    <w:sdt>
      <w:sdtPr>
        <w:rPr>
          <w:b w:val="0"/>
          <w:bCs w:val="0"/>
          <w:color w:val="0070C0"/>
        </w:rPr>
        <w:alias w:val="模块:公司股票简况"/>
        <w:tag w:val="_SEC_5312e31acd7547adb43c6abb47f3b5c1"/>
        <w:id w:val="250779472"/>
        <w:lock w:val="sdtLocked"/>
        <w:placeholder>
          <w:docPart w:val="GBC22222222222222222222222222222"/>
        </w:placeholder>
      </w:sdtPr>
      <w:sdtEndPr/>
      <w:sdtContent>
        <w:p w14:paraId="74A066A6" w14:textId="77777777" w:rsidR="00D21C1F" w:rsidRDefault="00A42880">
          <w:pPr>
            <w:pStyle w:val="2"/>
            <w:numPr>
              <w:ilvl w:val="1"/>
              <w:numId w:val="4"/>
            </w:numPr>
          </w:pPr>
          <w:r>
            <w:rPr>
              <w:rFonts w:hint="eastAsia"/>
            </w:rPr>
            <w:t>公司股票/存托凭证简况</w:t>
          </w:r>
        </w:p>
        <w:p w14:paraId="488EDA20" w14:textId="77777777" w:rsidR="00D21C1F" w:rsidRDefault="00A42880">
          <w:pPr>
            <w:pStyle w:val="3"/>
            <w:numPr>
              <w:ilvl w:val="0"/>
              <w:numId w:val="5"/>
            </w:numPr>
            <w:rPr>
              <w:rFonts w:ascii="宋体" w:hAnsi="宋体"/>
            </w:rPr>
          </w:pPr>
          <w:r>
            <w:rPr>
              <w:rFonts w:ascii="宋体" w:hAnsi="宋体" w:hint="eastAsia"/>
            </w:rPr>
            <w:t>公司股票简况</w:t>
          </w:r>
        </w:p>
        <w:p w14:paraId="2B52E627" w14:textId="77777777" w:rsidR="00D21C1F" w:rsidRDefault="00045EC6">
          <w:pPr>
            <w:pStyle w:val="97"/>
          </w:pPr>
          <w:sdt>
            <w:sdtPr>
              <w:rPr>
                <w:szCs w:val="21"/>
              </w:rPr>
              <w:alias w:val="是否适用：公司股票简况[双击切换]"/>
              <w:tag w:val="_GBC_9990f9c707c04cafa68f80707c06040e"/>
              <w:id w:val="-1138572247"/>
              <w:lock w:val="sdtLocked"/>
              <w:placeholder>
                <w:docPart w:val="GBC22222222222222222222222222222"/>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65"/>
            <w:gridCol w:w="1632"/>
            <w:gridCol w:w="1895"/>
            <w:gridCol w:w="1765"/>
            <w:gridCol w:w="1766"/>
          </w:tblGrid>
          <w:tr w:rsidR="00D21C1F" w14:paraId="05A4A6E2" w14:textId="77777777">
            <w:trPr>
              <w:trHeight w:val="293"/>
            </w:trPr>
            <w:sdt>
              <w:sdtPr>
                <w:tag w:val="_PLD_ff4c23f6371f4a1f9d52bcc965a7478c"/>
                <w:id w:val="-1038895100"/>
                <w:lock w:val="sdtLocked"/>
              </w:sdtPr>
              <w:sdtEndPr/>
              <w:sdtContent>
                <w:tc>
                  <w:tcPr>
                    <w:tcW w:w="5000" w:type="pct"/>
                    <w:gridSpan w:val="5"/>
                    <w:tcBorders>
                      <w:top w:val="single" w:sz="4" w:space="0" w:color="auto"/>
                      <w:bottom w:val="single" w:sz="4" w:space="0" w:color="auto"/>
                    </w:tcBorders>
                    <w:shd w:val="clear" w:color="auto" w:fill="auto"/>
                  </w:tcPr>
                  <w:p w14:paraId="2654288E" w14:textId="77777777" w:rsidR="00D21C1F" w:rsidRDefault="00A42880">
                    <w:pPr>
                      <w:kinsoku w:val="0"/>
                      <w:overflowPunct w:val="0"/>
                      <w:autoSpaceDE w:val="0"/>
                      <w:autoSpaceDN w:val="0"/>
                      <w:adjustRightInd w:val="0"/>
                      <w:snapToGrid w:val="0"/>
                      <w:jc w:val="center"/>
                      <w:rPr>
                        <w:szCs w:val="21"/>
                      </w:rPr>
                    </w:pPr>
                    <w:r>
                      <w:rPr>
                        <w:rFonts w:hint="eastAsia"/>
                        <w:szCs w:val="21"/>
                      </w:rPr>
                      <w:t>公司股票简况</w:t>
                    </w:r>
                  </w:p>
                </w:tc>
              </w:sdtContent>
            </w:sdt>
          </w:tr>
          <w:tr w:rsidR="00D21C1F" w14:paraId="0B6F9EA4" w14:textId="77777777">
            <w:trPr>
              <w:trHeight w:val="293"/>
            </w:trPr>
            <w:sdt>
              <w:sdtPr>
                <w:tag w:val="_PLD_2fd06bfb1197432eb6ae0612bb92e411"/>
                <w:id w:val="-843011408"/>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18A2D0AB" w14:textId="77777777" w:rsidR="00D21C1F" w:rsidRDefault="00A42880">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2d21521b81bc45ae8daaf3942767c474"/>
                <w:id w:val="-1838842629"/>
                <w:lock w:val="sdtLocked"/>
              </w:sdtPr>
              <w:sdtEndPr/>
              <w:sdtContent>
                <w:tc>
                  <w:tcPr>
                    <w:tcW w:w="925" w:type="pct"/>
                    <w:tcBorders>
                      <w:top w:val="single" w:sz="4" w:space="0" w:color="auto"/>
                      <w:left w:val="single" w:sz="4" w:space="0" w:color="auto"/>
                      <w:bottom w:val="single" w:sz="4" w:space="0" w:color="auto"/>
                      <w:right w:val="single" w:sz="4" w:space="0" w:color="auto"/>
                    </w:tcBorders>
                    <w:shd w:val="clear" w:color="auto" w:fill="auto"/>
                  </w:tcPr>
                  <w:p w14:paraId="392BFC2D" w14:textId="77777777" w:rsidR="00D21C1F" w:rsidRDefault="00A42880">
                    <w:pPr>
                      <w:kinsoku w:val="0"/>
                      <w:overflowPunct w:val="0"/>
                      <w:autoSpaceDE w:val="0"/>
                      <w:autoSpaceDN w:val="0"/>
                      <w:adjustRightInd w:val="0"/>
                      <w:snapToGrid w:val="0"/>
                      <w:jc w:val="center"/>
                      <w:rPr>
                        <w:szCs w:val="21"/>
                      </w:rPr>
                    </w:pPr>
                    <w:r>
                      <w:rPr>
                        <w:rFonts w:hint="eastAsia"/>
                        <w:szCs w:val="21"/>
                      </w:rPr>
                      <w:t>股票上市交易所及板块</w:t>
                    </w:r>
                  </w:p>
                </w:tc>
              </w:sdtContent>
            </w:sdt>
            <w:sdt>
              <w:sdtPr>
                <w:tag w:val="_PLD_3c517e55e52845a9ab2326a3a30dc08d"/>
                <w:id w:val="354319266"/>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14:paraId="67760BD5" w14:textId="77777777" w:rsidR="00D21C1F" w:rsidRDefault="00A42880">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3a98b4b719cc45f2b778dd7d0511f1ec"/>
                <w:id w:val="143956958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6B0E124" w14:textId="77777777" w:rsidR="00D21C1F" w:rsidRDefault="00A42880">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d7d29afe954742b6be5616e81eeabf19"/>
                <w:id w:val="-885637986"/>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3AB9F819" w14:textId="77777777" w:rsidR="00D21C1F" w:rsidRDefault="00A42880">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ascii="Times New Roman" w:hAnsi="Times New Roman" w:cs="Times New Roman"/>
                <w:szCs w:val="21"/>
              </w:rPr>
              <w:alias w:val="公司其他股票简况"/>
              <w:tag w:val="_TUP_55489ad8124743fd86974eb59f4b6853"/>
              <w:id w:val="-956175588"/>
              <w:lock w:val="sdtLocked"/>
              <w:placeholder>
                <w:docPart w:val="GBC11111111111111111111111111111"/>
              </w:placeholder>
            </w:sdtPr>
            <w:sdtEndPr>
              <w:rPr>
                <w:rFonts w:ascii="宋体" w:hAnsi="宋体" w:cs="宋体" w:hint="eastAsia"/>
              </w:rPr>
            </w:sdtEndPr>
            <w:sdtContent>
              <w:tr w:rsidR="00D21C1F" w14:paraId="344FE99B" w14:textId="77777777">
                <w:trPr>
                  <w:trHeight w:val="293"/>
                </w:trPr>
                <w:tc>
                  <w:tcPr>
                    <w:tcW w:w="1000" w:type="pct"/>
                    <w:tcBorders>
                      <w:top w:val="single" w:sz="4" w:space="0" w:color="auto"/>
                      <w:bottom w:val="single" w:sz="4" w:space="0" w:color="auto"/>
                      <w:right w:val="single" w:sz="4" w:space="0" w:color="auto"/>
                    </w:tcBorders>
                    <w:shd w:val="clear" w:color="auto" w:fill="auto"/>
                  </w:tcPr>
                  <w:p w14:paraId="5425BEF6"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股</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471BC4D9"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上交所科创板</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0F5B9EBD"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埃夫特</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8E56D56" w14:textId="77777777" w:rsidR="00D21C1F" w:rsidRDefault="00A42880">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688165</w:t>
                    </w:r>
                  </w:p>
                </w:tc>
                <w:tc>
                  <w:tcPr>
                    <w:tcW w:w="1000" w:type="pct"/>
                    <w:tcBorders>
                      <w:top w:val="single" w:sz="4" w:space="0" w:color="auto"/>
                      <w:left w:val="single" w:sz="4" w:space="0" w:color="auto"/>
                      <w:bottom w:val="single" w:sz="4" w:space="0" w:color="auto"/>
                    </w:tcBorders>
                    <w:shd w:val="clear" w:color="auto" w:fill="auto"/>
                  </w:tcPr>
                  <w:p w14:paraId="24A04A52" w14:textId="77777777" w:rsidR="00D21C1F" w:rsidRDefault="00A42880">
                    <w:pPr>
                      <w:kinsoku w:val="0"/>
                      <w:overflowPunct w:val="0"/>
                      <w:autoSpaceDE w:val="0"/>
                      <w:autoSpaceDN w:val="0"/>
                      <w:adjustRightInd w:val="0"/>
                      <w:snapToGrid w:val="0"/>
                      <w:rPr>
                        <w:szCs w:val="21"/>
                      </w:rPr>
                    </w:pPr>
                    <w:r>
                      <w:rPr>
                        <w:rFonts w:hint="eastAsia"/>
                        <w:szCs w:val="21"/>
                      </w:rPr>
                      <w:t>不适用</w:t>
                    </w:r>
                  </w:p>
                </w:tc>
              </w:tr>
            </w:sdtContent>
          </w:sdt>
        </w:tbl>
        <w:p w14:paraId="78C1B386" w14:textId="77777777" w:rsidR="00D21C1F" w:rsidRDefault="00045EC6">
          <w:pPr>
            <w:kinsoku w:val="0"/>
            <w:overflowPunct w:val="0"/>
            <w:autoSpaceDE w:val="0"/>
            <w:autoSpaceDN w:val="0"/>
            <w:adjustRightInd w:val="0"/>
            <w:snapToGrid w:val="0"/>
            <w:rPr>
              <w:color w:val="0070C0"/>
            </w:rPr>
          </w:pPr>
        </w:p>
      </w:sdtContent>
    </w:sdt>
    <w:bookmarkEnd w:id="19" w:displacedByCustomXml="next"/>
    <w:bookmarkEnd w:id="20" w:displacedByCustomXml="next"/>
    <w:bookmarkStart w:id="21" w:name="_Hlk42789097" w:displacedByCustomXml="next"/>
    <w:bookmarkStart w:id="22" w:name="_Hlk26539481" w:displacedByCustomXml="next"/>
    <w:sdt>
      <w:sdtPr>
        <w:rPr>
          <w:rFonts w:ascii="宋体" w:hAnsi="宋体" w:cs="宋体"/>
          <w:b w:val="0"/>
          <w:bCs w:val="0"/>
          <w:color w:val="0070C0"/>
          <w:kern w:val="0"/>
          <w:szCs w:val="21"/>
        </w:rPr>
        <w:alias w:val="模块:公司存托凭证简况"/>
        <w:tag w:val="_SEC_b930d956d3014db8852adeefc5de5f27"/>
        <w:id w:val="-785660258"/>
        <w:lock w:val="sdtLocked"/>
        <w:placeholder>
          <w:docPart w:val="GBC22222222222222222222222222222"/>
        </w:placeholder>
      </w:sdtPr>
      <w:sdtEndPr/>
      <w:sdtContent>
        <w:p w14:paraId="3A11222D" w14:textId="77777777" w:rsidR="00D21C1F" w:rsidRDefault="00A42880">
          <w:pPr>
            <w:pStyle w:val="3"/>
            <w:numPr>
              <w:ilvl w:val="0"/>
              <w:numId w:val="5"/>
            </w:numPr>
            <w:rPr>
              <w:rFonts w:ascii="宋体" w:hAnsi="宋体"/>
            </w:rPr>
          </w:pPr>
          <w:r>
            <w:rPr>
              <w:rFonts w:ascii="宋体" w:hAnsi="宋体" w:hint="eastAsia"/>
            </w:rPr>
            <w:t>公司</w:t>
          </w:r>
          <w:r>
            <w:rPr>
              <w:rFonts w:ascii="宋体" w:hAnsi="宋体"/>
            </w:rPr>
            <w:t>存托凭证</w:t>
          </w:r>
          <w:r>
            <w:rPr>
              <w:rFonts w:ascii="宋体" w:hAnsi="宋体" w:hint="eastAsia"/>
            </w:rPr>
            <w:t>简</w:t>
          </w:r>
          <w:r>
            <w:rPr>
              <w:rFonts w:ascii="宋体" w:hAnsi="宋体"/>
            </w:rPr>
            <w:t>况</w:t>
          </w:r>
        </w:p>
        <w:sdt>
          <w:sdtPr>
            <w:rPr>
              <w:szCs w:val="21"/>
            </w:rPr>
            <w:alias w:val="是否适用：公司存托凭证简况[双击切换]"/>
            <w:tag w:val="_GBC_bbcaca45c892498faf4513265395b492"/>
            <w:id w:val="775604296"/>
            <w:lock w:val="sdtLocked"/>
            <w:placeholder>
              <w:docPart w:val="GBC22222222222222222222222222222"/>
            </w:placeholder>
          </w:sdtPr>
          <w:sdtEndPr/>
          <w:sdtContent>
            <w:p w14:paraId="3E58F3FC" w14:textId="77777777" w:rsidR="00D21C1F" w:rsidRDefault="00A42880">
              <w:pPr>
                <w:rPr>
                  <w:color w:val="0070C0"/>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23" w:name="_Hlk77690551" w:displacedByCustomXml="next"/>
    <w:bookmarkEnd w:id="23" w:displacedByCustomXml="next"/>
    <w:bookmarkEnd w:id="21" w:displacedByCustomXml="next"/>
    <w:bookmarkEnd w:id="22" w:displacedByCustomXml="next"/>
    <w:sdt>
      <w:sdtPr>
        <w:rPr>
          <w:rFonts w:eastAsiaTheme="minorEastAsia"/>
          <w:b w:val="0"/>
          <w:bCs w:val="0"/>
          <w:szCs w:val="22"/>
        </w:rPr>
        <w:alias w:val="模块:其他有关资料"/>
        <w:tag w:val="_GBC_cd186ef4acaf4e28b71fed998e691ebd"/>
        <w:id w:val="-460732707"/>
        <w:lock w:val="sdtLocked"/>
        <w:placeholder>
          <w:docPart w:val="GBC22222222222222222222222222222"/>
        </w:placeholder>
      </w:sdtPr>
      <w:sdtEndPr>
        <w:rPr>
          <w:rFonts w:hint="eastAsia"/>
          <w:szCs w:val="24"/>
        </w:rPr>
      </w:sdtEndPr>
      <w:sdtContent>
        <w:p w14:paraId="7594EA01" w14:textId="77777777" w:rsidR="00D21C1F" w:rsidRDefault="00A42880">
          <w:pPr>
            <w:pStyle w:val="2"/>
            <w:numPr>
              <w:ilvl w:val="1"/>
              <w:numId w:val="4"/>
            </w:numPr>
          </w:pPr>
          <w:r>
            <w:t>其他有关资料</w:t>
          </w:r>
        </w:p>
        <w:sdt>
          <w:sdtPr>
            <w:alias w:val="是否适用：其他有关资料[双击切换]"/>
            <w:tag w:val="_GBC_78c3cc115c0d4dd3bf5e7c57142e5e68"/>
            <w:id w:val="-212583299"/>
            <w:lock w:val="sdtLocked"/>
            <w:placeholder>
              <w:docPart w:val="GBC22222222222222222222222222222"/>
            </w:placeholder>
          </w:sdtPr>
          <w:sdtEndPr/>
          <w:sdtContent>
            <w:p w14:paraId="6CE211E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7D6FB7B" w14:textId="77777777" w:rsidR="00D21C1F" w:rsidRDefault="00D21C1F">
      <w:pPr>
        <w:rPr>
          <w:bdr w:val="single" w:sz="4" w:space="0" w:color="auto"/>
        </w:rPr>
      </w:pPr>
      <w:bookmarkStart w:id="24" w:name="_Hlk78363179"/>
      <w:bookmarkEnd w:id="24"/>
    </w:p>
    <w:p w14:paraId="4D7A68B0" w14:textId="77777777" w:rsidR="00D21C1F" w:rsidRDefault="00A42880">
      <w:pPr>
        <w:pStyle w:val="2"/>
        <w:numPr>
          <w:ilvl w:val="1"/>
          <w:numId w:val="4"/>
        </w:numPr>
      </w:pPr>
      <w:bookmarkStart w:id="25" w:name="_Toc342565889"/>
      <w:bookmarkStart w:id="26" w:name="_Toc342056397"/>
      <w:r>
        <w:rPr>
          <w:rFonts w:hint="eastAsia"/>
        </w:rPr>
        <w:t>公司主要会计数据和财务指标</w:t>
      </w:r>
      <w:bookmarkEnd w:id="25"/>
      <w:bookmarkEnd w:id="26"/>
    </w:p>
    <w:p w14:paraId="6C0EFAF5" w14:textId="77777777" w:rsidR="00D21C1F" w:rsidRDefault="00A42880">
      <w:pPr>
        <w:pStyle w:val="3"/>
        <w:numPr>
          <w:ilvl w:val="1"/>
          <w:numId w:val="6"/>
        </w:numPr>
        <w:rPr>
          <w:rFonts w:ascii="宋体" w:hAnsi="宋体"/>
        </w:rPr>
      </w:pPr>
      <w:r>
        <w:rPr>
          <w:rFonts w:ascii="宋体" w:hAnsi="宋体" w:hint="eastAsia"/>
        </w:rPr>
        <w:t>主要会计数据</w:t>
      </w:r>
    </w:p>
    <w:p w14:paraId="15BE6CBD" w14:textId="77777777" w:rsidR="00D21C1F" w:rsidRDefault="00A42880">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8528274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1053655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bookmarkStart w:id="27" w:name="_Hlk72844764" w:displacedByCustomXml="next"/>
    <w:sdt>
      <w:sdtPr>
        <w:rPr>
          <w:rFonts w:hint="eastAsia"/>
          <w:szCs w:val="21"/>
        </w:rPr>
        <w:alias w:val="选项模块:主要会计数据(无追溯)"/>
        <w:tag w:val="_GBC_aea1fefe2cc54d88a8a870982a41d97a"/>
        <w:id w:val="-392731338"/>
        <w:lock w:val="sdtLocked"/>
        <w:placeholder>
          <w:docPart w:val="GBC22222222222222222222222222222"/>
        </w:placeholder>
      </w:sdtPr>
      <w:sdtEndPr>
        <w:rPr>
          <w:rFonts w:ascii="Times New Roman" w:hAnsi="Times New Roman" w:cs="Times New Roman" w:hint="default"/>
          <w:szCs w:val="24"/>
        </w:rPr>
      </w:sdtEndPr>
      <w:sdtContent>
        <w:tbl>
          <w:tblPr>
            <w:tblStyle w:val="aff0"/>
            <w:tblW w:w="5000" w:type="pct"/>
            <w:tblLook w:val="04A0" w:firstRow="1" w:lastRow="0" w:firstColumn="1" w:lastColumn="0" w:noHBand="0" w:noVBand="1"/>
          </w:tblPr>
          <w:tblGrid>
            <w:gridCol w:w="3586"/>
            <w:gridCol w:w="1775"/>
            <w:gridCol w:w="1747"/>
            <w:gridCol w:w="1715"/>
          </w:tblGrid>
          <w:tr w:rsidR="00D21C1F" w14:paraId="350B86B6" w14:textId="77777777">
            <w:trPr>
              <w:trHeight w:val="596"/>
            </w:trPr>
            <w:sdt>
              <w:sdtPr>
                <w:rPr>
                  <w:rFonts w:hint="eastAsia"/>
                  <w:szCs w:val="21"/>
                </w:rPr>
                <w:tag w:val="_PLD_e63d02b963714237aa4678b1878c888d"/>
                <w:id w:val="-1839688680"/>
                <w:lock w:val="sdtLocked"/>
              </w:sdtPr>
              <w:sdtEndPr>
                <w:rPr>
                  <w:rFonts w:ascii="Times New Roman" w:hAnsi="Times New Roman" w:hint="default"/>
                  <w:szCs w:val="24"/>
                </w:rPr>
              </w:sdtEndPr>
              <w:sdtContent>
                <w:tc>
                  <w:tcPr>
                    <w:tcW w:w="2032" w:type="pct"/>
                    <w:vAlign w:val="center"/>
                  </w:tcPr>
                  <w:p w14:paraId="455E3925" w14:textId="77777777" w:rsidR="00D21C1F" w:rsidRDefault="00A42880">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1007982968"/>
                <w:lock w:val="sdtLocked"/>
              </w:sdtPr>
              <w:sdtEndPr/>
              <w:sdtContent>
                <w:tc>
                  <w:tcPr>
                    <w:tcW w:w="1006" w:type="pct"/>
                    <w:vAlign w:val="center"/>
                  </w:tcPr>
                  <w:p w14:paraId="4AC319E8" w14:textId="77777777" w:rsidR="00D21C1F" w:rsidRDefault="00A42880">
                    <w:pPr>
                      <w:kinsoku w:val="0"/>
                      <w:overflowPunct w:val="0"/>
                      <w:autoSpaceDE w:val="0"/>
                      <w:autoSpaceDN w:val="0"/>
                      <w:adjustRightInd w:val="0"/>
                      <w:snapToGrid w:val="0"/>
                      <w:jc w:val="center"/>
                    </w:pPr>
                    <w:r>
                      <w:rPr>
                        <w:rFonts w:hint="eastAsia"/>
                      </w:rPr>
                      <w:t>本</w:t>
                    </w:r>
                    <w:r>
                      <w:t>报告期</w:t>
                    </w:r>
                  </w:p>
                  <w:p w14:paraId="39C5AE7A" w14:textId="77777777" w:rsidR="00D21C1F" w:rsidRDefault="00A42880">
                    <w:pPr>
                      <w:kinsoku w:val="0"/>
                      <w:overflowPunct w:val="0"/>
                      <w:autoSpaceDE w:val="0"/>
                      <w:autoSpaceDN w:val="0"/>
                      <w:adjustRightInd w:val="0"/>
                      <w:snapToGrid w:val="0"/>
                      <w:jc w:val="center"/>
                      <w:rPr>
                        <w:szCs w:val="21"/>
                      </w:rPr>
                    </w:pPr>
                    <w:r>
                      <w:t>（</w:t>
                    </w:r>
                    <w:r>
                      <w:rPr>
                        <w:rFonts w:ascii="Times New Roman" w:hAnsi="Times New Roman"/>
                      </w:rPr>
                      <w:t>1</w:t>
                    </w:r>
                    <w:r>
                      <w:t>－</w:t>
                    </w:r>
                    <w:r>
                      <w:rPr>
                        <w:rFonts w:ascii="Times New Roman" w:hAnsi="Times New Roman"/>
                      </w:rPr>
                      <w:t>6</w:t>
                    </w:r>
                    <w:r>
                      <w:t>月）</w:t>
                    </w:r>
                  </w:p>
                </w:tc>
              </w:sdtContent>
            </w:sdt>
            <w:sdt>
              <w:sdtPr>
                <w:tag w:val="_PLD_0f32665f64034720b1ecd674058f4d8b"/>
                <w:id w:val="-933741491"/>
                <w:lock w:val="sdtLocked"/>
              </w:sdtPr>
              <w:sdtEndPr/>
              <w:sdtContent>
                <w:tc>
                  <w:tcPr>
                    <w:tcW w:w="990" w:type="pct"/>
                    <w:vAlign w:val="center"/>
                  </w:tcPr>
                  <w:p w14:paraId="6FC345F3" w14:textId="77777777" w:rsidR="00D21C1F" w:rsidRDefault="00A42880">
                    <w:pPr>
                      <w:kinsoku w:val="0"/>
                      <w:overflowPunct w:val="0"/>
                      <w:autoSpaceDE w:val="0"/>
                      <w:autoSpaceDN w:val="0"/>
                      <w:adjustRightInd w:val="0"/>
                      <w:snapToGrid w:val="0"/>
                      <w:jc w:val="center"/>
                      <w:rPr>
                        <w:szCs w:val="21"/>
                      </w:rPr>
                    </w:pPr>
                    <w:r>
                      <w:t>上年同期</w:t>
                    </w:r>
                  </w:p>
                </w:tc>
              </w:sdtContent>
            </w:sdt>
            <w:sdt>
              <w:sdtPr>
                <w:tag w:val="_PLD_e634aa67fe8c44038b152224d8a245d6"/>
                <w:id w:val="-1642728936"/>
                <w:lock w:val="sdtLocked"/>
              </w:sdtPr>
              <w:sdtEndPr/>
              <w:sdtContent>
                <w:tc>
                  <w:tcPr>
                    <w:tcW w:w="972" w:type="pct"/>
                    <w:vAlign w:val="center"/>
                  </w:tcPr>
                  <w:p w14:paraId="315F6DFE" w14:textId="77777777" w:rsidR="00D21C1F" w:rsidRDefault="00A42880">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D21C1F" w14:paraId="7B302E5C" w14:textId="77777777">
            <w:trPr>
              <w:trHeight w:val="285"/>
            </w:trPr>
            <w:sdt>
              <w:sdtPr>
                <w:tag w:val="_PLD_601d7d8438f74f1c9abca1ce60a4f163"/>
                <w:id w:val="-253816671"/>
                <w:lock w:val="sdtLocked"/>
              </w:sdtPr>
              <w:sdtEndPr/>
              <w:sdtContent>
                <w:tc>
                  <w:tcPr>
                    <w:tcW w:w="2032" w:type="pct"/>
                  </w:tcPr>
                  <w:p w14:paraId="163BBB01" w14:textId="77777777" w:rsidR="00D21C1F" w:rsidRDefault="00A42880">
                    <w:pPr>
                      <w:kinsoku w:val="0"/>
                      <w:overflowPunct w:val="0"/>
                      <w:autoSpaceDE w:val="0"/>
                      <w:autoSpaceDN w:val="0"/>
                      <w:adjustRightInd w:val="0"/>
                      <w:snapToGrid w:val="0"/>
                      <w:rPr>
                        <w:szCs w:val="21"/>
                      </w:rPr>
                    </w:pPr>
                    <w:r>
                      <w:rPr>
                        <w:rFonts w:hint="eastAsia"/>
                        <w:szCs w:val="21"/>
                      </w:rPr>
                      <w:t>营业收入</w:t>
                    </w:r>
                  </w:p>
                </w:tc>
              </w:sdtContent>
            </w:sdt>
            <w:tc>
              <w:tcPr>
                <w:tcW w:w="1006" w:type="pct"/>
                <w:vAlign w:val="center"/>
              </w:tcPr>
              <w:p w14:paraId="0C81C266"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57,163.73</w:t>
                </w:r>
              </w:p>
            </w:tc>
            <w:tc>
              <w:tcPr>
                <w:tcW w:w="990" w:type="pct"/>
                <w:vAlign w:val="center"/>
              </w:tcPr>
              <w:p w14:paraId="690B7CE6"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bCs/>
                    <w:szCs w:val="21"/>
                  </w:rPr>
                </w:pPr>
                <w:r w:rsidRPr="00102F64">
                  <w:rPr>
                    <w:rFonts w:ascii="Times New Roman" w:hAnsi="Times New Roman" w:cs="Times New Roman"/>
                  </w:rPr>
                  <w:t>45,999.84</w:t>
                </w:r>
              </w:p>
            </w:tc>
            <w:tc>
              <w:tcPr>
                <w:tcW w:w="972" w:type="pct"/>
                <w:vAlign w:val="center"/>
              </w:tcPr>
              <w:p w14:paraId="78C36615" w14:textId="77777777" w:rsidR="00D21C1F" w:rsidRDefault="00A42880">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rPr>
                  <w:t>24.27</w:t>
                </w:r>
              </w:p>
            </w:tc>
          </w:tr>
          <w:tr w:rsidR="00D21C1F" w14:paraId="0DA96448" w14:textId="77777777">
            <w:trPr>
              <w:trHeight w:val="285"/>
            </w:trPr>
            <w:sdt>
              <w:sdtPr>
                <w:tag w:val="_PLD_1825ec6c60fc481f877063c3cecfffca"/>
                <w:id w:val="1169527469"/>
                <w:lock w:val="sdtLocked"/>
              </w:sdtPr>
              <w:sdtEndPr/>
              <w:sdtContent>
                <w:tc>
                  <w:tcPr>
                    <w:tcW w:w="2032" w:type="pct"/>
                  </w:tcPr>
                  <w:p w14:paraId="026F6DA5" w14:textId="77777777" w:rsidR="00D21C1F" w:rsidRDefault="00A42880">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06" w:type="pct"/>
                <w:vAlign w:val="center"/>
              </w:tcPr>
              <w:p w14:paraId="07CE0DEA"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-5,647.90</w:t>
                </w:r>
              </w:p>
            </w:tc>
            <w:tc>
              <w:tcPr>
                <w:tcW w:w="990" w:type="pct"/>
                <w:vAlign w:val="center"/>
              </w:tcPr>
              <w:p w14:paraId="06F87B9E"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bCs/>
                    <w:szCs w:val="21"/>
                  </w:rPr>
                </w:pPr>
                <w:r w:rsidRPr="00102F64">
                  <w:rPr>
                    <w:rFonts w:ascii="Times New Roman" w:hAnsi="Times New Roman" w:cs="Times New Roman"/>
                  </w:rPr>
                  <w:t>-6,335.15</w:t>
                </w:r>
              </w:p>
            </w:tc>
            <w:tc>
              <w:tcPr>
                <w:tcW w:w="972" w:type="pct"/>
                <w:vAlign w:val="center"/>
              </w:tcPr>
              <w:p w14:paraId="05AB09F3" w14:textId="77777777" w:rsidR="00D21C1F" w:rsidRDefault="00A42880">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不适用</w:t>
                </w:r>
              </w:p>
            </w:tc>
          </w:tr>
          <w:tr w:rsidR="00D21C1F" w14:paraId="32906FDF" w14:textId="77777777">
            <w:trPr>
              <w:trHeight w:val="285"/>
            </w:trPr>
            <w:sdt>
              <w:sdtPr>
                <w:tag w:val="_PLD_f59cc08add024388b79135816e85f0a1"/>
                <w:id w:val="1381903456"/>
                <w:lock w:val="sdtLocked"/>
              </w:sdtPr>
              <w:sdtEndPr/>
              <w:sdtContent>
                <w:tc>
                  <w:tcPr>
                    <w:tcW w:w="2032" w:type="pct"/>
                  </w:tcPr>
                  <w:p w14:paraId="3678E927" w14:textId="77777777" w:rsidR="00D21C1F" w:rsidRDefault="00A42880">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06" w:type="pct"/>
                <w:vAlign w:val="center"/>
              </w:tcPr>
              <w:p w14:paraId="579540F1"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-8,215.44</w:t>
                </w:r>
              </w:p>
            </w:tc>
            <w:tc>
              <w:tcPr>
                <w:tcW w:w="990" w:type="pct"/>
                <w:vAlign w:val="center"/>
              </w:tcPr>
              <w:p w14:paraId="13E92F86"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bCs/>
                    <w:szCs w:val="21"/>
                  </w:rPr>
                </w:pPr>
                <w:r w:rsidRPr="00102F64">
                  <w:rPr>
                    <w:rFonts w:ascii="Times New Roman" w:hAnsi="Times New Roman" w:cs="Times New Roman"/>
                  </w:rPr>
                  <w:t>-8,548.74</w:t>
                </w:r>
              </w:p>
            </w:tc>
            <w:tc>
              <w:tcPr>
                <w:tcW w:w="972" w:type="pct"/>
                <w:vAlign w:val="center"/>
              </w:tcPr>
              <w:p w14:paraId="73D0F694" w14:textId="77777777" w:rsidR="00D21C1F" w:rsidRDefault="00A42880">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不适用</w:t>
                </w:r>
              </w:p>
            </w:tc>
          </w:tr>
          <w:tr w:rsidR="00D21C1F" w14:paraId="60BE878D" w14:textId="77777777">
            <w:trPr>
              <w:trHeight w:val="285"/>
            </w:trPr>
            <w:sdt>
              <w:sdtPr>
                <w:tag w:val="_PLD_895da6708d8042d69e93b2530ead8964"/>
                <w:id w:val="-1524545649"/>
                <w:lock w:val="sdtLocked"/>
              </w:sdtPr>
              <w:sdtEndPr/>
              <w:sdtContent>
                <w:tc>
                  <w:tcPr>
                    <w:tcW w:w="2032" w:type="pct"/>
                  </w:tcPr>
                  <w:p w14:paraId="6A208B43" w14:textId="77777777" w:rsidR="00D21C1F" w:rsidRDefault="00A42880">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06" w:type="pct"/>
                <w:vAlign w:val="center"/>
              </w:tcPr>
              <w:p w14:paraId="7D8B6D97"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-11,563.48</w:t>
                </w:r>
              </w:p>
            </w:tc>
            <w:tc>
              <w:tcPr>
                <w:tcW w:w="990" w:type="pct"/>
                <w:vAlign w:val="center"/>
              </w:tcPr>
              <w:p w14:paraId="68F83B68"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-587.67</w:t>
                </w:r>
              </w:p>
            </w:tc>
            <w:tc>
              <w:tcPr>
                <w:tcW w:w="972" w:type="pct"/>
                <w:vAlign w:val="center"/>
              </w:tcPr>
              <w:p w14:paraId="160BE0DF" w14:textId="77777777" w:rsidR="00D21C1F" w:rsidRDefault="00A42880">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rPr>
                  <w:t>不适用</w:t>
                </w:r>
              </w:p>
            </w:tc>
          </w:tr>
          <w:tr w:rsidR="00D21C1F" w14:paraId="40E67A68" w14:textId="77777777">
            <w:trPr>
              <w:trHeight w:val="533"/>
            </w:trPr>
            <w:tc>
              <w:tcPr>
                <w:tcW w:w="2032" w:type="pct"/>
                <w:vAlign w:val="center"/>
              </w:tcPr>
              <w:p w14:paraId="08632370" w14:textId="77777777" w:rsidR="00D21C1F" w:rsidRDefault="00D21C1F">
                <w:pPr>
                  <w:kinsoku w:val="0"/>
                  <w:overflowPunct w:val="0"/>
                  <w:autoSpaceDE w:val="0"/>
                  <w:autoSpaceDN w:val="0"/>
                  <w:adjustRightInd w:val="0"/>
                  <w:snapToGrid w:val="0"/>
                  <w:jc w:val="center"/>
                  <w:rPr>
                    <w:szCs w:val="21"/>
                  </w:rPr>
                </w:pPr>
              </w:p>
            </w:tc>
            <w:sdt>
              <w:sdtPr>
                <w:rPr>
                  <w:rFonts w:ascii="Times New Roman" w:hAnsi="Times New Roman" w:cs="Times New Roman"/>
                </w:rPr>
                <w:tag w:val="_PLD_b75e9aa554cc48539ab9de572d244f45"/>
                <w:id w:val="1651169362"/>
                <w:lock w:val="sdtLocked"/>
              </w:sdtPr>
              <w:sdtEndPr/>
              <w:sdtContent>
                <w:tc>
                  <w:tcPr>
                    <w:tcW w:w="1006" w:type="pct"/>
                    <w:vAlign w:val="center"/>
                  </w:tcPr>
                  <w:p w14:paraId="5E5332C9" w14:textId="77777777" w:rsidR="00D21C1F" w:rsidRPr="00102F64" w:rsidRDefault="00A42880">
                    <w:pPr>
                      <w:kinsoku w:val="0"/>
                      <w:overflowPunct w:val="0"/>
                      <w:autoSpaceDE w:val="0"/>
                      <w:autoSpaceDN w:val="0"/>
                      <w:adjustRightInd w:val="0"/>
                      <w:snapToGrid w:val="0"/>
                      <w:jc w:val="center"/>
                      <w:rPr>
                        <w:rFonts w:ascii="Times New Roman" w:hAnsi="Times New Roman" w:cs="Times New Roman"/>
                        <w:szCs w:val="21"/>
                      </w:rPr>
                    </w:pPr>
                    <w:r w:rsidRPr="00102F64">
                      <w:rPr>
                        <w:rFonts w:ascii="Times New Roman" w:hAnsi="Times New Roman" w:cs="Times New Roman"/>
                      </w:rPr>
                      <w:t>本报告期末</w:t>
                    </w:r>
                  </w:p>
                </w:tc>
              </w:sdtContent>
            </w:sdt>
            <w:sdt>
              <w:sdtPr>
                <w:rPr>
                  <w:rFonts w:ascii="Times New Roman" w:hAnsi="Times New Roman" w:cs="Times New Roman"/>
                </w:rPr>
                <w:tag w:val="_PLD_7425b2bc6a39452296814978a781ba72"/>
                <w:id w:val="419605023"/>
                <w:lock w:val="sdtLocked"/>
              </w:sdtPr>
              <w:sdtEndPr/>
              <w:sdtContent>
                <w:tc>
                  <w:tcPr>
                    <w:tcW w:w="990" w:type="pct"/>
                    <w:vAlign w:val="center"/>
                  </w:tcPr>
                  <w:p w14:paraId="38D04494" w14:textId="77777777" w:rsidR="00D21C1F" w:rsidRPr="00102F64" w:rsidRDefault="00A42880">
                    <w:pPr>
                      <w:kinsoku w:val="0"/>
                      <w:overflowPunct w:val="0"/>
                      <w:autoSpaceDE w:val="0"/>
                      <w:autoSpaceDN w:val="0"/>
                      <w:adjustRightInd w:val="0"/>
                      <w:snapToGrid w:val="0"/>
                      <w:jc w:val="center"/>
                      <w:rPr>
                        <w:rFonts w:ascii="Times New Roman" w:hAnsi="Times New Roman" w:cs="Times New Roman"/>
                        <w:szCs w:val="21"/>
                      </w:rPr>
                    </w:pPr>
                    <w:r w:rsidRPr="00102F64">
                      <w:rPr>
                        <w:rFonts w:ascii="Times New Roman" w:hAnsi="Times New Roman" w:cs="Times New Roman"/>
                      </w:rPr>
                      <w:t>上年度末</w:t>
                    </w:r>
                  </w:p>
                </w:tc>
              </w:sdtContent>
            </w:sdt>
            <w:sdt>
              <w:sdtPr>
                <w:rPr>
                  <w:rFonts w:ascii="Times New Roman" w:hAnsi="Times New Roman" w:cs="Times New Roman"/>
                </w:rPr>
                <w:tag w:val="_PLD_7a1ba9a6d9b54e51bd320f47b6233184"/>
                <w:id w:val="-905530566"/>
                <w:lock w:val="sdtLocked"/>
              </w:sdtPr>
              <w:sdtEndPr/>
              <w:sdtContent>
                <w:tc>
                  <w:tcPr>
                    <w:tcW w:w="972" w:type="pct"/>
                    <w:vAlign w:val="center"/>
                  </w:tcPr>
                  <w:p w14:paraId="28E3A966" w14:textId="77777777" w:rsidR="00D21C1F" w:rsidRDefault="00A42880">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rPr>
                      <w:t>本报告期末比上年度末增减</w:t>
                    </w:r>
                    <w:r>
                      <w:rPr>
                        <w:rFonts w:ascii="Times New Roman" w:hAnsi="Times New Roman" w:cs="Times New Roman"/>
                        <w:szCs w:val="21"/>
                      </w:rPr>
                      <w:t>(%)</w:t>
                    </w:r>
                  </w:p>
                </w:tc>
              </w:sdtContent>
            </w:sdt>
          </w:tr>
          <w:tr w:rsidR="00D21C1F" w14:paraId="5952E4D9" w14:textId="77777777">
            <w:trPr>
              <w:trHeight w:val="285"/>
            </w:trPr>
            <w:sdt>
              <w:sdtPr>
                <w:tag w:val="_PLD_c12ab31af03f46e4bd02eb659877c070"/>
                <w:id w:val="208842771"/>
                <w:lock w:val="sdtLocked"/>
              </w:sdtPr>
              <w:sdtEndPr/>
              <w:sdtContent>
                <w:tc>
                  <w:tcPr>
                    <w:tcW w:w="2032" w:type="pct"/>
                  </w:tcPr>
                  <w:p w14:paraId="64F2C524" w14:textId="77777777" w:rsidR="00D21C1F" w:rsidRDefault="00A42880">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06" w:type="pct"/>
                <w:vAlign w:val="center"/>
              </w:tcPr>
              <w:p w14:paraId="5081DC5B"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204,594.34</w:t>
                </w:r>
              </w:p>
            </w:tc>
            <w:tc>
              <w:tcPr>
                <w:tcW w:w="990" w:type="pct"/>
                <w:vAlign w:val="center"/>
              </w:tcPr>
              <w:p w14:paraId="20EF6694"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bCs/>
                    <w:szCs w:val="21"/>
                  </w:rPr>
                </w:pPr>
                <w:r w:rsidRPr="00102F64">
                  <w:rPr>
                    <w:rFonts w:ascii="Times New Roman" w:hAnsi="Times New Roman" w:cs="Times New Roman"/>
                  </w:rPr>
                  <w:t>210,943.59</w:t>
                </w:r>
              </w:p>
            </w:tc>
            <w:tc>
              <w:tcPr>
                <w:tcW w:w="972" w:type="pct"/>
                <w:vAlign w:val="center"/>
              </w:tcPr>
              <w:p w14:paraId="1B3EF53D" w14:textId="77777777" w:rsidR="00D21C1F" w:rsidRDefault="00A42880">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rPr>
                  <w:t>-3.01</w:t>
                </w:r>
              </w:p>
            </w:tc>
          </w:tr>
          <w:tr w:rsidR="00D21C1F" w14:paraId="210CD1A9" w14:textId="77777777">
            <w:trPr>
              <w:trHeight w:val="285"/>
            </w:trPr>
            <w:sdt>
              <w:sdtPr>
                <w:tag w:val="_PLD_c9e79cad72304cada434a9145656a31f"/>
                <w:id w:val="708536196"/>
                <w:lock w:val="sdtLocked"/>
              </w:sdtPr>
              <w:sdtEndPr/>
              <w:sdtContent>
                <w:tc>
                  <w:tcPr>
                    <w:tcW w:w="2032" w:type="pct"/>
                  </w:tcPr>
                  <w:p w14:paraId="5C2241CE" w14:textId="77777777" w:rsidR="00D21C1F" w:rsidRDefault="00A42880">
                    <w:pPr>
                      <w:kinsoku w:val="0"/>
                      <w:overflowPunct w:val="0"/>
                      <w:autoSpaceDE w:val="0"/>
                      <w:autoSpaceDN w:val="0"/>
                      <w:adjustRightInd w:val="0"/>
                      <w:snapToGrid w:val="0"/>
                      <w:rPr>
                        <w:szCs w:val="21"/>
                      </w:rPr>
                    </w:pPr>
                    <w:r>
                      <w:rPr>
                        <w:rFonts w:hint="eastAsia"/>
                        <w:szCs w:val="21"/>
                      </w:rPr>
                      <w:t>总资产</w:t>
                    </w:r>
                  </w:p>
                </w:tc>
              </w:sdtContent>
            </w:sdt>
            <w:tc>
              <w:tcPr>
                <w:tcW w:w="1006" w:type="pct"/>
                <w:vAlign w:val="center"/>
              </w:tcPr>
              <w:p w14:paraId="29436809"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333,196.71</w:t>
                </w:r>
              </w:p>
            </w:tc>
            <w:tc>
              <w:tcPr>
                <w:tcW w:w="990" w:type="pct"/>
                <w:vAlign w:val="center"/>
              </w:tcPr>
              <w:p w14:paraId="19FADFD6"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bCs/>
                    <w:szCs w:val="21"/>
                  </w:rPr>
                </w:pPr>
                <w:r w:rsidRPr="00102F64">
                  <w:rPr>
                    <w:rFonts w:ascii="Times New Roman" w:hAnsi="Times New Roman" w:cs="Times New Roman"/>
                  </w:rPr>
                  <w:t>330,733.29</w:t>
                </w:r>
              </w:p>
            </w:tc>
            <w:tc>
              <w:tcPr>
                <w:tcW w:w="972" w:type="pct"/>
                <w:vAlign w:val="center"/>
              </w:tcPr>
              <w:p w14:paraId="4869E1EB" w14:textId="77777777" w:rsidR="00D21C1F" w:rsidRDefault="00A42880">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rPr>
                  <w:t>0.74</w:t>
                </w:r>
              </w:p>
            </w:tc>
          </w:tr>
          <w:bookmarkEnd w:id="27"/>
        </w:tbl>
      </w:sdtContent>
    </w:sdt>
    <w:p w14:paraId="03D3F958" w14:textId="77777777" w:rsidR="00D21C1F" w:rsidRDefault="00D21C1F">
      <w:pPr>
        <w:kinsoku w:val="0"/>
        <w:overflowPunct w:val="0"/>
        <w:autoSpaceDE w:val="0"/>
        <w:autoSpaceDN w:val="0"/>
        <w:adjustRightInd w:val="0"/>
        <w:snapToGrid w:val="0"/>
        <w:rPr>
          <w:szCs w:val="21"/>
        </w:rPr>
      </w:pPr>
    </w:p>
    <w:p w14:paraId="76115A3D" w14:textId="77777777" w:rsidR="00D21C1F" w:rsidRDefault="00D21C1F">
      <w:pPr>
        <w:kinsoku w:val="0"/>
        <w:overflowPunct w:val="0"/>
        <w:autoSpaceDE w:val="0"/>
        <w:autoSpaceDN w:val="0"/>
        <w:adjustRightInd w:val="0"/>
        <w:snapToGrid w:val="0"/>
        <w:rPr>
          <w:szCs w:val="21"/>
        </w:rPr>
      </w:pPr>
    </w:p>
    <w:p w14:paraId="12BFDBFC" w14:textId="77777777" w:rsidR="00D21C1F" w:rsidRDefault="00A42880">
      <w:pPr>
        <w:pStyle w:val="3"/>
        <w:numPr>
          <w:ilvl w:val="1"/>
          <w:numId w:val="6"/>
        </w:numPr>
        <w:rPr>
          <w:rFonts w:ascii="宋体" w:hAnsi="宋体"/>
          <w:szCs w:val="21"/>
        </w:rPr>
      </w:pPr>
      <w:r>
        <w:rPr>
          <w:rFonts w:ascii="宋体" w:hAnsi="宋体"/>
        </w:rPr>
        <w:t>主要财务指标</w:t>
      </w:r>
    </w:p>
    <w:sdt>
      <w:sdtPr>
        <w:alias w:val="选项模块:主要财务指标(无追溯)"/>
        <w:tag w:val="_GBC_b44cc48c2c094fe699f563d257345cf5"/>
        <w:id w:val="-966591722"/>
        <w:placeholder>
          <w:docPart w:val="GBC22222222222222222222222222222"/>
        </w:placeholder>
      </w:sdtPr>
      <w:sdtEndPr>
        <w:rPr>
          <w:rFonts w:ascii="Times New Roman" w:hAnsi="Times New Roman" w:cs="Times New Roman"/>
        </w:rPr>
      </w:sdtEndPr>
      <w:sdtContent>
        <w:tbl>
          <w:tblPr>
            <w:tblStyle w:val="aff0"/>
            <w:tblW w:w="8926" w:type="dxa"/>
            <w:tblLook w:val="04A0" w:firstRow="1" w:lastRow="0" w:firstColumn="1" w:lastColumn="0" w:noHBand="0" w:noVBand="1"/>
          </w:tblPr>
          <w:tblGrid>
            <w:gridCol w:w="3552"/>
            <w:gridCol w:w="1661"/>
            <w:gridCol w:w="1586"/>
            <w:gridCol w:w="2127"/>
          </w:tblGrid>
          <w:tr w:rsidR="00D21C1F" w14:paraId="78EC58B9" w14:textId="77777777">
            <w:sdt>
              <w:sdtPr>
                <w:tag w:val="_PLD_b12e929543994adfbc7a21fe743cd125"/>
                <w:id w:val="382444634"/>
                <w:lock w:val="sdtLocked"/>
              </w:sdtPr>
              <w:sdtEndPr/>
              <w:sdtContent>
                <w:tc>
                  <w:tcPr>
                    <w:tcW w:w="3552" w:type="dxa"/>
                    <w:vAlign w:val="center"/>
                  </w:tcPr>
                  <w:p w14:paraId="656715E8" w14:textId="77777777" w:rsidR="00D21C1F" w:rsidRDefault="00A42880">
                    <w:pPr>
                      <w:kinsoku w:val="0"/>
                      <w:overflowPunct w:val="0"/>
                      <w:autoSpaceDE w:val="0"/>
                      <w:autoSpaceDN w:val="0"/>
                      <w:adjustRightInd w:val="0"/>
                      <w:snapToGrid w:val="0"/>
                      <w:jc w:val="center"/>
                      <w:rPr>
                        <w:szCs w:val="21"/>
                      </w:rPr>
                    </w:pPr>
                    <w:r>
                      <w:t>主要财务指标</w:t>
                    </w:r>
                  </w:p>
                </w:tc>
              </w:sdtContent>
            </w:sdt>
            <w:sdt>
              <w:sdtPr>
                <w:tag w:val="_PLD_d04f89449ff14c5fa39e871117b7e9e2"/>
                <w:id w:val="1647239611"/>
                <w:lock w:val="sdtLocked"/>
              </w:sdtPr>
              <w:sdtEndPr/>
              <w:sdtContent>
                <w:tc>
                  <w:tcPr>
                    <w:tcW w:w="1661" w:type="dxa"/>
                    <w:vAlign w:val="center"/>
                  </w:tcPr>
                  <w:p w14:paraId="3EC04A6F" w14:textId="77777777" w:rsidR="00D21C1F" w:rsidRDefault="00A42880">
                    <w:pPr>
                      <w:kinsoku w:val="0"/>
                      <w:overflowPunct w:val="0"/>
                      <w:autoSpaceDE w:val="0"/>
                      <w:autoSpaceDN w:val="0"/>
                      <w:adjustRightInd w:val="0"/>
                      <w:snapToGrid w:val="0"/>
                      <w:jc w:val="center"/>
                    </w:pPr>
                    <w:r>
                      <w:t>本报告期</w:t>
                    </w:r>
                  </w:p>
                  <w:p w14:paraId="71F46667" w14:textId="77777777" w:rsidR="00D21C1F" w:rsidRDefault="00A42880">
                    <w:pPr>
                      <w:kinsoku w:val="0"/>
                      <w:overflowPunct w:val="0"/>
                      <w:autoSpaceDE w:val="0"/>
                      <w:autoSpaceDN w:val="0"/>
                      <w:adjustRightInd w:val="0"/>
                      <w:snapToGrid w:val="0"/>
                      <w:jc w:val="center"/>
                      <w:rPr>
                        <w:szCs w:val="21"/>
                      </w:rPr>
                    </w:pPr>
                    <w:r>
                      <w:t>（</w:t>
                    </w:r>
                    <w:r>
                      <w:rPr>
                        <w:rFonts w:ascii="Times New Roman" w:hAnsi="Times New Roman"/>
                      </w:rPr>
                      <w:t>1</w:t>
                    </w:r>
                    <w:r>
                      <w:t>－</w:t>
                    </w:r>
                    <w:r>
                      <w:rPr>
                        <w:rFonts w:ascii="Times New Roman" w:hAnsi="Times New Roman"/>
                      </w:rPr>
                      <w:t>6</w:t>
                    </w:r>
                    <w:r>
                      <w:t>月）</w:t>
                    </w:r>
                  </w:p>
                </w:tc>
              </w:sdtContent>
            </w:sdt>
            <w:sdt>
              <w:sdtPr>
                <w:tag w:val="_PLD_bdb91a2a58254a0e945eecc5aef91521"/>
                <w:id w:val="834107255"/>
                <w:lock w:val="sdtLocked"/>
              </w:sdtPr>
              <w:sdtEndPr/>
              <w:sdtContent>
                <w:tc>
                  <w:tcPr>
                    <w:tcW w:w="1586" w:type="dxa"/>
                    <w:vAlign w:val="center"/>
                  </w:tcPr>
                  <w:p w14:paraId="480974B4" w14:textId="77777777" w:rsidR="00D21C1F" w:rsidRDefault="00A42880">
                    <w:pPr>
                      <w:kinsoku w:val="0"/>
                      <w:overflowPunct w:val="0"/>
                      <w:autoSpaceDE w:val="0"/>
                      <w:autoSpaceDN w:val="0"/>
                      <w:adjustRightInd w:val="0"/>
                      <w:snapToGrid w:val="0"/>
                      <w:jc w:val="center"/>
                      <w:rPr>
                        <w:szCs w:val="21"/>
                      </w:rPr>
                    </w:pPr>
                    <w:r>
                      <w:t>上年同期</w:t>
                    </w:r>
                  </w:p>
                </w:tc>
              </w:sdtContent>
            </w:sdt>
            <w:sdt>
              <w:sdtPr>
                <w:tag w:val="_PLD_08306889e5b040aa83784b3f6db386f1"/>
                <w:id w:val="1617331532"/>
                <w:lock w:val="sdtLocked"/>
              </w:sdtPr>
              <w:sdtEndPr/>
              <w:sdtContent>
                <w:tc>
                  <w:tcPr>
                    <w:tcW w:w="2127" w:type="dxa"/>
                    <w:vAlign w:val="center"/>
                  </w:tcPr>
                  <w:p w14:paraId="2DCEFDD3" w14:textId="77777777" w:rsidR="00D21C1F" w:rsidRDefault="00A42880">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D21C1F" w14:paraId="15FE7ACE" w14:textId="77777777">
            <w:sdt>
              <w:sdtPr>
                <w:tag w:val="_PLD_089671b43cd048bda3f42f7ff187200a"/>
                <w:id w:val="410522092"/>
                <w:lock w:val="sdtLocked"/>
              </w:sdtPr>
              <w:sdtEndPr/>
              <w:sdtContent>
                <w:tc>
                  <w:tcPr>
                    <w:tcW w:w="3552" w:type="dxa"/>
                  </w:tcPr>
                  <w:p w14:paraId="1E149F94" w14:textId="77777777" w:rsidR="00D21C1F" w:rsidRDefault="00A42880">
                    <w:pPr>
                      <w:kinsoku w:val="0"/>
                      <w:overflowPunct w:val="0"/>
                      <w:autoSpaceDE w:val="0"/>
                      <w:autoSpaceDN w:val="0"/>
                      <w:adjustRightInd w:val="0"/>
                      <w:snapToGrid w:val="0"/>
                      <w:rPr>
                        <w:szCs w:val="21"/>
                      </w:rPr>
                    </w:pPr>
                    <w:r>
                      <w:t>基本每股收益（元／股）</w:t>
                    </w:r>
                  </w:p>
                </w:tc>
              </w:sdtContent>
            </w:sdt>
            <w:tc>
              <w:tcPr>
                <w:tcW w:w="1661" w:type="dxa"/>
                <w:vAlign w:val="bottom"/>
              </w:tcPr>
              <w:p w14:paraId="183AB9AC"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-0.11</w:t>
                </w:r>
              </w:p>
            </w:tc>
            <w:tc>
              <w:tcPr>
                <w:tcW w:w="1586" w:type="dxa"/>
                <w:vAlign w:val="bottom"/>
              </w:tcPr>
              <w:p w14:paraId="1FF1CB36"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-0.16</w:t>
                </w:r>
              </w:p>
            </w:tc>
            <w:tc>
              <w:tcPr>
                <w:tcW w:w="2127" w:type="dxa"/>
                <w:vAlign w:val="center"/>
              </w:tcPr>
              <w:p w14:paraId="1A0D9449"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szCs w:val="21"/>
                  </w:rPr>
                  <w:t>不适用</w:t>
                </w:r>
              </w:p>
            </w:tc>
          </w:tr>
          <w:tr w:rsidR="00D21C1F" w14:paraId="78D719BE" w14:textId="77777777">
            <w:sdt>
              <w:sdtPr>
                <w:tag w:val="_PLD_b53c618810f6494198af9022cf5f9c92"/>
                <w:id w:val="-508373174"/>
                <w:lock w:val="sdtLocked"/>
              </w:sdtPr>
              <w:sdtEndPr/>
              <w:sdtContent>
                <w:tc>
                  <w:tcPr>
                    <w:tcW w:w="3552" w:type="dxa"/>
                  </w:tcPr>
                  <w:p w14:paraId="5EB9F2D9" w14:textId="77777777" w:rsidR="00D21C1F" w:rsidRDefault="00A42880">
                    <w:pPr>
                      <w:kinsoku w:val="0"/>
                      <w:overflowPunct w:val="0"/>
                      <w:autoSpaceDE w:val="0"/>
                      <w:autoSpaceDN w:val="0"/>
                      <w:adjustRightInd w:val="0"/>
                      <w:snapToGrid w:val="0"/>
                      <w:rPr>
                        <w:szCs w:val="21"/>
                      </w:rPr>
                    </w:pPr>
                    <w:r>
                      <w:t>稀释每股收益（元／股）</w:t>
                    </w:r>
                  </w:p>
                </w:tc>
              </w:sdtContent>
            </w:sdt>
            <w:tc>
              <w:tcPr>
                <w:tcW w:w="1661" w:type="dxa"/>
                <w:vAlign w:val="bottom"/>
              </w:tcPr>
              <w:p w14:paraId="1EA649A6"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szCs w:val="21"/>
                  </w:rPr>
                  <w:t>/</w:t>
                </w:r>
              </w:p>
            </w:tc>
            <w:tc>
              <w:tcPr>
                <w:tcW w:w="1586" w:type="dxa"/>
                <w:vAlign w:val="bottom"/>
              </w:tcPr>
              <w:p w14:paraId="6C641E79"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szCs w:val="21"/>
                  </w:rPr>
                  <w:t>/</w:t>
                </w:r>
              </w:p>
            </w:tc>
            <w:tc>
              <w:tcPr>
                <w:tcW w:w="2127" w:type="dxa"/>
                <w:vAlign w:val="center"/>
              </w:tcPr>
              <w:p w14:paraId="57F1F880"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szCs w:val="21"/>
                  </w:rPr>
                  <w:t xml:space="preserve">/ </w:t>
                </w:r>
              </w:p>
            </w:tc>
          </w:tr>
          <w:tr w:rsidR="00D21C1F" w14:paraId="5C21B3F2" w14:textId="77777777">
            <w:sdt>
              <w:sdtPr>
                <w:tag w:val="_PLD_7995656a90ee4448a470f6a06fe39000"/>
                <w:id w:val="-1967960989"/>
                <w:lock w:val="sdtLocked"/>
              </w:sdtPr>
              <w:sdtEndPr/>
              <w:sdtContent>
                <w:tc>
                  <w:tcPr>
                    <w:tcW w:w="3552" w:type="dxa"/>
                  </w:tcPr>
                  <w:p w14:paraId="6F0386A8" w14:textId="77777777" w:rsidR="00D21C1F" w:rsidRDefault="00A42880">
                    <w:pPr>
                      <w:kinsoku w:val="0"/>
                      <w:overflowPunct w:val="0"/>
                      <w:autoSpaceDE w:val="0"/>
                      <w:autoSpaceDN w:val="0"/>
                      <w:adjustRightInd w:val="0"/>
                      <w:snapToGrid w:val="0"/>
                      <w:rPr>
                        <w:szCs w:val="21"/>
                      </w:rPr>
                    </w:pPr>
                    <w:r>
                      <w:t>扣除非经常性损益后的基本每股收益（元／股）</w:t>
                    </w:r>
                  </w:p>
                </w:tc>
              </w:sdtContent>
            </w:sdt>
            <w:tc>
              <w:tcPr>
                <w:tcW w:w="1661" w:type="dxa"/>
                <w:vAlign w:val="bottom"/>
              </w:tcPr>
              <w:p w14:paraId="7551C5F3"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-0.16</w:t>
                </w:r>
              </w:p>
            </w:tc>
            <w:tc>
              <w:tcPr>
                <w:tcW w:w="1586" w:type="dxa"/>
                <w:vAlign w:val="bottom"/>
              </w:tcPr>
              <w:p w14:paraId="5D240345"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-0.22</w:t>
                </w:r>
              </w:p>
            </w:tc>
            <w:tc>
              <w:tcPr>
                <w:tcW w:w="2127" w:type="dxa"/>
                <w:vAlign w:val="center"/>
              </w:tcPr>
              <w:p w14:paraId="499E61FB"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szCs w:val="21"/>
                  </w:rPr>
                  <w:t>不适用</w:t>
                </w:r>
              </w:p>
            </w:tc>
          </w:tr>
          <w:tr w:rsidR="00D21C1F" w14:paraId="0271C3A8" w14:textId="77777777">
            <w:sdt>
              <w:sdtPr>
                <w:tag w:val="_PLD_7ae3fa8992794ff1bdf49e4e770ce96d"/>
                <w:id w:val="-1276017769"/>
                <w:lock w:val="sdtLocked"/>
              </w:sdtPr>
              <w:sdtEndPr/>
              <w:sdtContent>
                <w:tc>
                  <w:tcPr>
                    <w:tcW w:w="3552" w:type="dxa"/>
                  </w:tcPr>
                  <w:p w14:paraId="14013BFC" w14:textId="77777777" w:rsidR="00D21C1F" w:rsidRDefault="00A42880">
                    <w:pPr>
                      <w:kinsoku w:val="0"/>
                      <w:overflowPunct w:val="0"/>
                      <w:autoSpaceDE w:val="0"/>
                      <w:autoSpaceDN w:val="0"/>
                      <w:adjustRightInd w:val="0"/>
                      <w:snapToGrid w:val="0"/>
                      <w:rPr>
                        <w:szCs w:val="21"/>
                      </w:rPr>
                    </w:pPr>
                    <w:r>
                      <w:t>加权平均净资产收益率（%）</w:t>
                    </w:r>
                  </w:p>
                </w:tc>
              </w:sdtContent>
            </w:sdt>
            <w:tc>
              <w:tcPr>
                <w:tcW w:w="1661" w:type="dxa"/>
                <w:vAlign w:val="bottom"/>
              </w:tcPr>
              <w:p w14:paraId="0E66E9B3"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-2.72</w:t>
                </w:r>
              </w:p>
            </w:tc>
            <w:tc>
              <w:tcPr>
                <w:tcW w:w="1586" w:type="dxa"/>
                <w:vAlign w:val="bottom"/>
              </w:tcPr>
              <w:p w14:paraId="1D201F84"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-4.09</w:t>
                </w:r>
              </w:p>
            </w:tc>
            <w:tc>
              <w:tcPr>
                <w:tcW w:w="2127" w:type="dxa"/>
                <w:vAlign w:val="center"/>
              </w:tcPr>
              <w:p w14:paraId="7465DA39" w14:textId="77777777" w:rsidR="00D21C1F" w:rsidRPr="00102F64" w:rsidRDefault="00A42880">
                <w:pPr>
                  <w:kinsoku w:val="0"/>
                  <w:overflowPunct w:val="0"/>
                  <w:autoSpaceDE w:val="0"/>
                  <w:autoSpaceDN w:val="0"/>
                  <w:adjustRightInd w:val="0"/>
                  <w:snapToGrid w:val="0"/>
                  <w:ind w:right="105"/>
                  <w:jc w:val="right"/>
                  <w:rPr>
                    <w:rFonts w:ascii="Times New Roman" w:hAnsi="Times New Roman" w:cs="Times New Roman"/>
                    <w:szCs w:val="21"/>
                  </w:rPr>
                </w:pPr>
                <w:r w:rsidRPr="00102F64">
                  <w:rPr>
                    <w:rFonts w:ascii="Times New Roman" w:hAnsi="Times New Roman" w:cs="Times New Roman"/>
                  </w:rPr>
                  <w:t>不</w:t>
                </w:r>
                <w:r w:rsidRPr="00102F64">
                  <w:rPr>
                    <w:rFonts w:ascii="Times New Roman" w:hAnsi="Times New Roman" w:cs="Times New Roman"/>
                    <w:szCs w:val="21"/>
                  </w:rPr>
                  <w:t>适用</w:t>
                </w:r>
              </w:p>
            </w:tc>
          </w:tr>
          <w:tr w:rsidR="00D21C1F" w14:paraId="6FCC0DE8" w14:textId="77777777">
            <w:sdt>
              <w:sdtPr>
                <w:tag w:val="_PLD_37d92f3112bf450196ad8233f93a5237"/>
                <w:id w:val="-1737081134"/>
                <w:lock w:val="sdtLocked"/>
              </w:sdtPr>
              <w:sdtEndPr/>
              <w:sdtContent>
                <w:tc>
                  <w:tcPr>
                    <w:tcW w:w="3552" w:type="dxa"/>
                  </w:tcPr>
                  <w:p w14:paraId="616BBCC0" w14:textId="77777777" w:rsidR="00D21C1F" w:rsidRDefault="00A42880">
                    <w:pPr>
                      <w:kinsoku w:val="0"/>
                      <w:overflowPunct w:val="0"/>
                      <w:autoSpaceDE w:val="0"/>
                      <w:autoSpaceDN w:val="0"/>
                      <w:adjustRightInd w:val="0"/>
                      <w:snapToGrid w:val="0"/>
                      <w:rPr>
                        <w:szCs w:val="21"/>
                      </w:rPr>
                    </w:pPr>
                    <w:r>
                      <w:t>扣除非经常性损益后的加权平均净资产收益率（%）</w:t>
                    </w:r>
                  </w:p>
                </w:tc>
              </w:sdtContent>
            </w:sdt>
            <w:tc>
              <w:tcPr>
                <w:tcW w:w="1661" w:type="dxa"/>
                <w:vAlign w:val="bottom"/>
              </w:tcPr>
              <w:p w14:paraId="7D34FED8"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-3.95</w:t>
                </w:r>
              </w:p>
            </w:tc>
            <w:tc>
              <w:tcPr>
                <w:tcW w:w="1586" w:type="dxa"/>
                <w:vAlign w:val="bottom"/>
              </w:tcPr>
              <w:p w14:paraId="7521A74A"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-5.52</w:t>
                </w:r>
              </w:p>
            </w:tc>
            <w:tc>
              <w:tcPr>
                <w:tcW w:w="2127" w:type="dxa"/>
                <w:vAlign w:val="center"/>
              </w:tcPr>
              <w:p w14:paraId="271BC7C8"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不适用</w:t>
                </w:r>
              </w:p>
            </w:tc>
          </w:tr>
          <w:tr w:rsidR="00D21C1F" w14:paraId="454343BE" w14:textId="77777777">
            <w:tc>
              <w:tcPr>
                <w:tcW w:w="3552" w:type="dxa"/>
              </w:tcPr>
              <w:sdt>
                <w:sdtPr>
                  <w:rPr>
                    <w:rFonts w:ascii="Times New Roman" w:hAnsi="Times New Roman" w:hint="eastAsia"/>
                    <w:szCs w:val="21"/>
                  </w:rPr>
                  <w:tag w:val="_PLD_a142584ba0b24f70b1e37295f59c9f19"/>
                  <w:id w:val="1134910637"/>
                  <w:lock w:val="sdtLocked"/>
                </w:sdtPr>
                <w:sdtEndPr>
                  <w:rPr>
                    <w:rFonts w:hint="default"/>
                  </w:rPr>
                </w:sdtEndPr>
                <w:sdtContent>
                  <w:p w14:paraId="023E7DB6" w14:textId="77777777" w:rsidR="00D21C1F" w:rsidRDefault="00A42880">
                    <w:pPr>
                      <w:kinsoku w:val="0"/>
                      <w:overflowPunct w:val="0"/>
                      <w:autoSpaceDE w:val="0"/>
                      <w:autoSpaceDN w:val="0"/>
                      <w:adjustRightInd w:val="0"/>
                      <w:snapToGrid w:val="0"/>
                      <w:rPr>
                        <w:szCs w:val="21"/>
                      </w:rPr>
                    </w:pPr>
                    <w:r>
                      <w:rPr>
                        <w:rFonts w:hint="eastAsia"/>
                        <w:szCs w:val="21"/>
                      </w:rPr>
                      <w:t>研发</w:t>
                    </w:r>
                    <w:r>
                      <w:rPr>
                        <w:szCs w:val="21"/>
                      </w:rPr>
                      <w:t>投入占营业收入的比例</w:t>
                    </w:r>
                    <w:r>
                      <w:rPr>
                        <w:rFonts w:hint="eastAsia"/>
                        <w:szCs w:val="21"/>
                      </w:rPr>
                      <w:t>（%</w:t>
                    </w:r>
                    <w:r>
                      <w:rPr>
                        <w:szCs w:val="21"/>
                      </w:rPr>
                      <w:t>）</w:t>
                    </w:r>
                  </w:p>
                </w:sdtContent>
              </w:sdt>
            </w:tc>
            <w:tc>
              <w:tcPr>
                <w:tcW w:w="1661" w:type="dxa"/>
                <w:vAlign w:val="bottom"/>
              </w:tcPr>
              <w:p w14:paraId="32696F7B"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8.69</w:t>
                </w:r>
              </w:p>
            </w:tc>
            <w:tc>
              <w:tcPr>
                <w:tcW w:w="1586" w:type="dxa"/>
                <w:vAlign w:val="bottom"/>
              </w:tcPr>
              <w:p w14:paraId="11E69CA7" w14:textId="77777777" w:rsidR="00D21C1F" w:rsidRPr="00102F64" w:rsidRDefault="00A42880">
                <w:pPr>
                  <w:kinsoku w:val="0"/>
                  <w:overflowPunct w:val="0"/>
                  <w:autoSpaceDE w:val="0"/>
                  <w:autoSpaceDN w:val="0"/>
                  <w:adjustRightInd w:val="0"/>
                  <w:snapToGrid w:val="0"/>
                  <w:jc w:val="right"/>
                  <w:rPr>
                    <w:rFonts w:ascii="Times New Roman" w:hAnsi="Times New Roman" w:cs="Times New Roman"/>
                    <w:szCs w:val="21"/>
                  </w:rPr>
                </w:pPr>
                <w:r w:rsidRPr="00102F64">
                  <w:rPr>
                    <w:rFonts w:ascii="Times New Roman" w:hAnsi="Times New Roman" w:cs="Times New Roman"/>
                  </w:rPr>
                  <w:t>6.98</w:t>
                </w:r>
              </w:p>
            </w:tc>
            <w:tc>
              <w:tcPr>
                <w:tcW w:w="2127" w:type="dxa"/>
                <w:vAlign w:val="center"/>
              </w:tcPr>
              <w:p w14:paraId="57146A6A" w14:textId="77777777" w:rsidR="00D21C1F" w:rsidRPr="00102F64" w:rsidRDefault="00A42880">
                <w:pPr>
                  <w:kinsoku w:val="0"/>
                  <w:overflowPunct w:val="0"/>
                  <w:autoSpaceDE w:val="0"/>
                  <w:autoSpaceDN w:val="0"/>
                  <w:adjustRightInd w:val="0"/>
                  <w:snapToGrid w:val="0"/>
                  <w:ind w:right="210"/>
                  <w:jc w:val="right"/>
                  <w:rPr>
                    <w:rFonts w:ascii="Times New Roman" w:hAnsi="Times New Roman" w:cs="Times New Roman"/>
                    <w:szCs w:val="21"/>
                  </w:rPr>
                </w:pPr>
                <w:r w:rsidRPr="00102F64">
                  <w:rPr>
                    <w:rFonts w:ascii="Times New Roman" w:hAnsi="Times New Roman" w:cs="Times New Roman"/>
                    <w:szCs w:val="21"/>
                  </w:rPr>
                  <w:t>增加</w:t>
                </w:r>
                <w:r w:rsidRPr="00102F64">
                  <w:rPr>
                    <w:rFonts w:ascii="Times New Roman" w:hAnsi="Times New Roman" w:cs="Times New Roman"/>
                    <w:szCs w:val="21"/>
                  </w:rPr>
                  <w:t>1.71</w:t>
                </w:r>
                <w:r w:rsidRPr="00102F64">
                  <w:rPr>
                    <w:rFonts w:ascii="Times New Roman" w:hAnsi="Times New Roman" w:cs="Times New Roman"/>
                    <w:szCs w:val="21"/>
                  </w:rPr>
                  <w:t>个百分点</w:t>
                </w:r>
              </w:p>
            </w:tc>
          </w:tr>
        </w:tbl>
      </w:sdtContent>
    </w:sdt>
    <w:p w14:paraId="408AA4B1" w14:textId="77777777" w:rsidR="00D21C1F" w:rsidRDefault="00A42880">
      <w:pPr>
        <w:spacing w:line="360" w:lineRule="auto"/>
        <w:ind w:firstLineChars="200" w:firstLine="420"/>
        <w:jc w:val="both"/>
      </w:pPr>
      <w:bookmarkStart w:id="28" w:name="_Toc342056398"/>
      <w:bookmarkStart w:id="29" w:name="_Toc342565890"/>
      <w:r>
        <w:rPr>
          <w:rFonts w:hint="eastAsia"/>
        </w:rPr>
        <w:t>注：研发投入指研发费用加上研发样机销售金额。</w:t>
      </w:r>
    </w:p>
    <w:p w14:paraId="21DCFDE2" w14:textId="77777777" w:rsidR="00D21C1F" w:rsidRDefault="00A42880">
      <w:pPr>
        <w:pStyle w:val="97"/>
      </w:pPr>
      <w:r>
        <w:rPr>
          <w:rStyle w:val="aff3"/>
          <w:rFonts w:ascii="Times New Roman" w:hAnsi="Times New Roman"/>
        </w:rPr>
        <w:t xml:space="preserve"> </w:t>
      </w:r>
    </w:p>
    <w:sdt>
      <w:sdtPr>
        <w:rPr>
          <w:rFonts w:eastAsia="宋体"/>
        </w:rPr>
        <w:alias w:val="模块:公司主要会计数据和财务指标的说明"/>
        <w:tag w:val="_GBC_89dd4b4cf79140928f55be83e164f009"/>
        <w:id w:val="1315677186"/>
        <w:lock w:val="sdtLocked"/>
        <w:placeholder>
          <w:docPart w:val="GBC22222222222222222222222222222"/>
        </w:placeholder>
      </w:sdtPr>
      <w:sdtEndPr/>
      <w:sdtContent>
        <w:p w14:paraId="360489F0" w14:textId="77777777" w:rsidR="00D21C1F" w:rsidRDefault="00A42880">
          <w:pPr>
            <w:pStyle w:val="97"/>
          </w:pPr>
          <w:r>
            <w:t>公司主要会计数据和财务指标的说明</w:t>
          </w:r>
        </w:p>
        <w:sdt>
          <w:sdtPr>
            <w:alias w:val="是否适用：公司主要会计数据和财务指标的说明[双击切换]"/>
            <w:tag w:val="_GBC_cfe99dae5f804f6f8f02eb429483f98a"/>
            <w:id w:val="2086259665"/>
            <w:lock w:val="sdtLocked"/>
            <w:placeholder>
              <w:docPart w:val="GBC22222222222222222222222222222"/>
            </w:placeholder>
          </w:sdtPr>
          <w:sdtEndPr/>
          <w:sdtContent>
            <w:p w14:paraId="672C96E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eastAsiaTheme="minorEastAsia"/>
            </w:rPr>
            <w:alias w:val="公司主要会计数据和财务指标的说明"/>
            <w:tag w:val="_GBC_97608ceee0dd4babbeaf5daeb2216ce1"/>
            <w:id w:val="1960677921"/>
            <w:lock w:val="sdtLocked"/>
            <w:placeholder>
              <w:docPart w:val="GBC22222222222222222222222222222"/>
            </w:placeholder>
          </w:sdtPr>
          <w:sdtEndPr>
            <w:rPr>
              <w:rFonts w:eastAsia="宋体"/>
            </w:rPr>
          </w:sdtEndPr>
          <w:sdtContent>
            <w:p w14:paraId="34A6DAAA" w14:textId="77777777" w:rsidR="00D21C1F" w:rsidRDefault="00A42880">
              <w:pPr>
                <w:spacing w:line="360" w:lineRule="auto"/>
                <w:ind w:firstLine="420"/>
                <w:jc w:val="both"/>
                <w:rPr>
                  <w:rFonts w:ascii="Times New Roman" w:hAnsi="Times New Roman" w:cs="Times New Roman"/>
                  <w:szCs w:val="21"/>
                </w:rPr>
              </w:pPr>
              <w:r>
                <w:rPr>
                  <w:rFonts w:ascii="Times New Roman" w:hAnsi="Times New Roman" w:cs="Times New Roman"/>
                  <w:szCs w:val="21"/>
                </w:rPr>
                <w:t>公司</w:t>
              </w:r>
              <w:r>
                <w:rPr>
                  <w:rFonts w:ascii="Times New Roman" w:hAnsi="Times New Roman" w:cs="Times New Roman"/>
                  <w:szCs w:val="21"/>
                </w:rPr>
                <w:t>2021</w:t>
              </w:r>
              <w:r>
                <w:rPr>
                  <w:rFonts w:ascii="Times New Roman" w:hAnsi="Times New Roman" w:cs="Times New Roman"/>
                  <w:szCs w:val="21"/>
                </w:rPr>
                <w:t>年上半年营业收入较上年同期增加</w:t>
              </w:r>
              <w:r>
                <w:rPr>
                  <w:rFonts w:ascii="Times New Roman" w:hAnsi="Times New Roman" w:cs="Times New Roman" w:hint="eastAsia"/>
                  <w:szCs w:val="21"/>
                </w:rPr>
                <w:t>2</w:t>
              </w:r>
              <w:r>
                <w:rPr>
                  <w:rFonts w:ascii="Times New Roman" w:hAnsi="Times New Roman" w:cs="Times New Roman"/>
                  <w:szCs w:val="21"/>
                </w:rPr>
                <w:t>4.3%</w:t>
              </w:r>
              <w:r>
                <w:rPr>
                  <w:rFonts w:ascii="Times New Roman" w:hAnsi="Times New Roman" w:cs="Times New Roman"/>
                  <w:szCs w:val="21"/>
                </w:rPr>
                <w:t>，主要由于公司机器人业务实现销售收入</w:t>
              </w:r>
              <w:r>
                <w:rPr>
                  <w:rFonts w:ascii="Times New Roman" w:hAnsi="Times New Roman" w:cs="Times New Roman"/>
                  <w:szCs w:val="21"/>
                </w:rPr>
                <w:t>21,651.69</w:t>
              </w:r>
              <w:r>
                <w:rPr>
                  <w:rFonts w:ascii="Times New Roman" w:hAnsi="Times New Roman" w:cs="Times New Roman"/>
                  <w:szCs w:val="21"/>
                </w:rPr>
                <w:t>万元，比</w:t>
              </w:r>
              <w:r>
                <w:rPr>
                  <w:rFonts w:ascii="Times New Roman" w:hAnsi="Times New Roman" w:cs="Times New Roman"/>
                  <w:szCs w:val="21"/>
                </w:rPr>
                <w:t>2020</w:t>
              </w:r>
              <w:r>
                <w:rPr>
                  <w:rFonts w:ascii="Times New Roman" w:hAnsi="Times New Roman" w:cs="Times New Roman"/>
                  <w:szCs w:val="21"/>
                </w:rPr>
                <w:t>年上半年增长</w:t>
              </w:r>
              <w:r>
                <w:rPr>
                  <w:rFonts w:ascii="Times New Roman" w:hAnsi="Times New Roman" w:cs="Times New Roman"/>
                  <w:szCs w:val="21"/>
                </w:rPr>
                <w:t>194.2%</w:t>
              </w:r>
              <w:r>
                <w:rPr>
                  <w:rFonts w:ascii="Times New Roman" w:hAnsi="Times New Roman" w:cs="Times New Roman"/>
                  <w:szCs w:val="21"/>
                </w:rPr>
                <w:t>。得益于中国</w:t>
              </w:r>
              <w:r>
                <w:rPr>
                  <w:rFonts w:ascii="Times New Roman" w:hAnsi="Times New Roman" w:cs="Times New Roman"/>
                  <w:szCs w:val="21"/>
                </w:rPr>
                <w:t>“</w:t>
              </w:r>
              <w:r>
                <w:rPr>
                  <w:rFonts w:ascii="Times New Roman" w:hAnsi="Times New Roman" w:cs="Times New Roman"/>
                  <w:szCs w:val="21"/>
                </w:rPr>
                <w:t>双碳</w:t>
              </w:r>
              <w:r>
                <w:rPr>
                  <w:rFonts w:ascii="Times New Roman" w:hAnsi="Times New Roman" w:cs="Times New Roman"/>
                  <w:szCs w:val="21"/>
                </w:rPr>
                <w:t>”</w:t>
              </w:r>
              <w:r>
                <w:rPr>
                  <w:rFonts w:ascii="Times New Roman" w:hAnsi="Times New Roman" w:cs="Times New Roman"/>
                  <w:szCs w:val="21"/>
                </w:rPr>
                <w:t>的中长期国策助推、后疫情制造业自动化需求反弹以及消费类电子需求的升级换代，公司借助多年的行业深耕和逐步凸显的产品差异化优势</w:t>
              </w:r>
              <w:r>
                <w:rPr>
                  <w:rFonts w:ascii="Times New Roman" w:hAnsi="Times New Roman" w:cs="Times New Roman" w:hint="eastAsia"/>
                  <w:szCs w:val="21"/>
                </w:rPr>
                <w:t>、</w:t>
              </w:r>
              <w:r>
                <w:rPr>
                  <w:rFonts w:ascii="Times New Roman" w:hAnsi="Times New Roman" w:cs="Times New Roman"/>
                  <w:szCs w:val="21"/>
                </w:rPr>
                <w:t>抓住上半年产业成长契机</w:t>
              </w:r>
              <w:r>
                <w:rPr>
                  <w:rFonts w:ascii="Times New Roman" w:hAnsi="Times New Roman" w:cs="Times New Roman" w:hint="eastAsia"/>
                  <w:szCs w:val="21"/>
                </w:rPr>
                <w:t>，</w:t>
              </w:r>
              <w:r>
                <w:rPr>
                  <w:rFonts w:ascii="Times New Roman" w:hAnsi="Times New Roman" w:cs="Times New Roman"/>
                  <w:szCs w:val="21"/>
                </w:rPr>
                <w:t>2021</w:t>
              </w:r>
              <w:r>
                <w:rPr>
                  <w:rFonts w:ascii="Times New Roman" w:hAnsi="Times New Roman" w:cs="Times New Roman"/>
                  <w:szCs w:val="21"/>
                </w:rPr>
                <w:t>年上半年公司机器人业务收入占主营业务收入比重从去年同期的</w:t>
              </w:r>
              <w:r>
                <w:rPr>
                  <w:rFonts w:ascii="Times New Roman" w:hAnsi="Times New Roman" w:cs="Times New Roman"/>
                  <w:szCs w:val="21"/>
                </w:rPr>
                <w:t>16.1%</w:t>
              </w:r>
              <w:r>
                <w:rPr>
                  <w:rFonts w:ascii="Times New Roman" w:hAnsi="Times New Roman" w:cs="Times New Roman"/>
                  <w:szCs w:val="21"/>
                </w:rPr>
                <w:t>增长到</w:t>
              </w:r>
              <w:r>
                <w:rPr>
                  <w:rFonts w:ascii="Times New Roman" w:hAnsi="Times New Roman" w:cs="Times New Roman"/>
                  <w:szCs w:val="21"/>
                </w:rPr>
                <w:t>2021</w:t>
              </w:r>
              <w:r>
                <w:rPr>
                  <w:rFonts w:ascii="Times New Roman" w:hAnsi="Times New Roman" w:cs="Times New Roman"/>
                  <w:szCs w:val="21"/>
                </w:rPr>
                <w:t>年上半年的</w:t>
              </w:r>
              <w:r>
                <w:rPr>
                  <w:rFonts w:ascii="Times New Roman" w:hAnsi="Times New Roman" w:cs="Times New Roman"/>
                  <w:szCs w:val="21"/>
                </w:rPr>
                <w:t>38.5%</w:t>
              </w:r>
              <w:r>
                <w:rPr>
                  <w:rFonts w:ascii="Times New Roman" w:hAnsi="Times New Roman" w:cs="Times New Roman"/>
                  <w:szCs w:val="21"/>
                </w:rPr>
                <w:t>。</w:t>
              </w:r>
            </w:p>
            <w:p w14:paraId="001F7A10" w14:textId="0DA469E1" w:rsidR="00D21C1F" w:rsidRDefault="00A42880">
              <w:pPr>
                <w:spacing w:line="360" w:lineRule="auto"/>
                <w:ind w:firstLine="420"/>
                <w:jc w:val="both"/>
                <w:rPr>
                  <w:rFonts w:ascii="Times New Roman" w:hAnsi="Times New Roman" w:cs="Times New Roman"/>
                  <w:szCs w:val="21"/>
                </w:rPr>
              </w:pPr>
              <w:r>
                <w:rPr>
                  <w:rFonts w:ascii="Times New Roman" w:hAnsi="Times New Roman" w:cs="Times New Roman"/>
                  <w:szCs w:val="21"/>
                </w:rPr>
                <w:t>公司</w:t>
              </w:r>
              <w:r>
                <w:rPr>
                  <w:rFonts w:ascii="Times New Roman" w:hAnsi="Times New Roman" w:cs="Times New Roman"/>
                  <w:szCs w:val="21"/>
                </w:rPr>
                <w:t>2021</w:t>
              </w:r>
              <w:r>
                <w:rPr>
                  <w:rFonts w:ascii="Times New Roman" w:hAnsi="Times New Roman" w:cs="Times New Roman"/>
                  <w:szCs w:val="21"/>
                </w:rPr>
                <w:t>年上半年整体毛利率从上年同期的</w:t>
              </w:r>
              <w:r>
                <w:rPr>
                  <w:rFonts w:ascii="Times New Roman" w:hAnsi="Times New Roman" w:cs="Times New Roman"/>
                  <w:szCs w:val="21"/>
                </w:rPr>
                <w:t>12.6%</w:t>
              </w:r>
              <w:r>
                <w:rPr>
                  <w:rFonts w:ascii="Times New Roman" w:hAnsi="Times New Roman" w:cs="Times New Roman"/>
                  <w:szCs w:val="21"/>
                </w:rPr>
                <w:t>增加到</w:t>
              </w:r>
              <w:r>
                <w:rPr>
                  <w:rFonts w:ascii="Times New Roman" w:hAnsi="Times New Roman" w:cs="Times New Roman"/>
                  <w:szCs w:val="21"/>
                </w:rPr>
                <w:t>16.5%</w:t>
              </w:r>
              <w:r w:rsidR="00D07E51">
                <w:rPr>
                  <w:rFonts w:ascii="Times New Roman" w:hAnsi="Times New Roman" w:cs="Times New Roman" w:hint="eastAsia"/>
                  <w:szCs w:val="21"/>
                </w:rPr>
                <w:t>，</w:t>
              </w:r>
              <w:r>
                <w:rPr>
                  <w:rFonts w:ascii="Times New Roman" w:hAnsi="Times New Roman" w:cs="Times New Roman" w:hint="eastAsia"/>
                  <w:szCs w:val="21"/>
                </w:rPr>
                <w:t>主要由于机器人业务</w:t>
              </w:r>
              <w:r w:rsidR="00D07E51">
                <w:rPr>
                  <w:rFonts w:ascii="Times New Roman" w:hAnsi="Times New Roman" w:cs="Times New Roman" w:hint="eastAsia"/>
                  <w:szCs w:val="21"/>
                </w:rPr>
                <w:t>毛利率较集成业务高，机器人业务</w:t>
              </w:r>
              <w:r>
                <w:rPr>
                  <w:rFonts w:ascii="Times New Roman" w:hAnsi="Times New Roman" w:cs="Times New Roman" w:hint="eastAsia"/>
                  <w:szCs w:val="21"/>
                </w:rPr>
                <w:t>销售收入增长及占比增加带动整体毛利率提升。</w:t>
              </w:r>
              <w:r>
                <w:rPr>
                  <w:rFonts w:ascii="Times New Roman" w:hAnsi="Times New Roman" w:cs="Times New Roman"/>
                  <w:szCs w:val="21"/>
                </w:rPr>
                <w:t>尽管</w:t>
              </w:r>
              <w:r>
                <w:rPr>
                  <w:rFonts w:ascii="Times New Roman" w:hAnsi="Times New Roman" w:cs="Times New Roman"/>
                  <w:szCs w:val="21"/>
                </w:rPr>
                <w:t>2021</w:t>
              </w:r>
              <w:r>
                <w:rPr>
                  <w:rFonts w:ascii="Times New Roman" w:hAnsi="Times New Roman" w:cs="Times New Roman"/>
                  <w:szCs w:val="21"/>
                </w:rPr>
                <w:t>年上半</w:t>
              </w:r>
              <w:r>
                <w:rPr>
                  <w:rFonts w:ascii="Times New Roman" w:hAnsi="Times New Roman" w:cs="Times New Roman"/>
                  <w:szCs w:val="21"/>
                </w:rPr>
                <w:lastRenderedPageBreak/>
                <w:t>年公司研发费用，销售费用和管理费用分别比去年同期增加了</w:t>
              </w:r>
              <w:r>
                <w:rPr>
                  <w:rFonts w:ascii="Times New Roman" w:hAnsi="Times New Roman" w:cs="Times New Roman"/>
                  <w:szCs w:val="21"/>
                </w:rPr>
                <w:t>1,765.70</w:t>
              </w:r>
              <w:r>
                <w:rPr>
                  <w:rFonts w:ascii="Times New Roman" w:hAnsi="Times New Roman" w:cs="Times New Roman"/>
                  <w:szCs w:val="21"/>
                </w:rPr>
                <w:t>万元，</w:t>
              </w:r>
              <w:r>
                <w:rPr>
                  <w:rFonts w:ascii="Times New Roman" w:hAnsi="Times New Roman" w:cs="Times New Roman"/>
                  <w:szCs w:val="21"/>
                </w:rPr>
                <w:t>548.74</w:t>
              </w:r>
              <w:r>
                <w:rPr>
                  <w:rFonts w:ascii="Times New Roman" w:hAnsi="Times New Roman" w:cs="Times New Roman"/>
                  <w:szCs w:val="21"/>
                </w:rPr>
                <w:t>万元和</w:t>
              </w:r>
              <w:r>
                <w:rPr>
                  <w:rFonts w:ascii="Times New Roman" w:hAnsi="Times New Roman" w:cs="Times New Roman"/>
                  <w:szCs w:val="21"/>
                </w:rPr>
                <w:t>950.36</w:t>
              </w:r>
              <w:r>
                <w:rPr>
                  <w:rFonts w:ascii="Times New Roman" w:hAnsi="Times New Roman" w:cs="Times New Roman"/>
                  <w:szCs w:val="21"/>
                </w:rPr>
                <w:t>万元，得益于公司整体业务的成长和整体毛利率的提升，</w:t>
              </w:r>
              <w:r>
                <w:rPr>
                  <w:rFonts w:ascii="Times New Roman" w:hAnsi="Times New Roman" w:cs="Times New Roman"/>
                  <w:szCs w:val="21"/>
                </w:rPr>
                <w:t>2021</w:t>
              </w:r>
              <w:r>
                <w:rPr>
                  <w:rFonts w:ascii="Times New Roman" w:hAnsi="Times New Roman" w:cs="Times New Roman"/>
                  <w:szCs w:val="21"/>
                </w:rPr>
                <w:t>年上半年归属于上市公司股东的净亏损比去年同期减少</w:t>
              </w:r>
              <w:r>
                <w:rPr>
                  <w:rFonts w:ascii="Times New Roman" w:hAnsi="Times New Roman" w:cs="Times New Roman"/>
                  <w:szCs w:val="21"/>
                </w:rPr>
                <w:t>10.8 %</w:t>
              </w:r>
              <w:r>
                <w:rPr>
                  <w:rFonts w:ascii="Times New Roman" w:hAnsi="Times New Roman" w:cs="Times New Roman"/>
                  <w:szCs w:val="21"/>
                </w:rPr>
                <w:t>，归属于上市公司股东的扣除非经常性损益的净亏损比去年同期减少</w:t>
              </w:r>
              <w:r>
                <w:rPr>
                  <w:rFonts w:ascii="Times New Roman" w:hAnsi="Times New Roman" w:cs="Times New Roman"/>
                  <w:szCs w:val="21"/>
                </w:rPr>
                <w:t>3.9 %</w:t>
              </w:r>
              <w:r>
                <w:rPr>
                  <w:rFonts w:ascii="Times New Roman" w:hAnsi="Times New Roman" w:cs="Times New Roman"/>
                  <w:szCs w:val="21"/>
                </w:rPr>
                <w:t>。</w:t>
              </w:r>
            </w:p>
            <w:p w14:paraId="529A642B" w14:textId="77777777" w:rsidR="00D21C1F" w:rsidRDefault="00A42880">
              <w:pPr>
                <w:spacing w:line="360" w:lineRule="auto"/>
                <w:ind w:firstLine="420"/>
                <w:jc w:val="both"/>
                <w:rPr>
                  <w:rFonts w:ascii="Times New Roman" w:hAnsi="Times New Roman" w:cs="Times New Roman"/>
                  <w:szCs w:val="21"/>
                </w:rPr>
              </w:pPr>
              <w:r>
                <w:rPr>
                  <w:rFonts w:ascii="Times New Roman" w:hAnsi="Times New Roman" w:cs="Times New Roman"/>
                  <w:szCs w:val="21"/>
                </w:rPr>
                <w:t>公司</w:t>
              </w:r>
              <w:r>
                <w:rPr>
                  <w:rFonts w:ascii="Times New Roman" w:hAnsi="Times New Roman" w:cs="Times New Roman"/>
                  <w:szCs w:val="21"/>
                </w:rPr>
                <w:t>2021</w:t>
              </w:r>
              <w:r>
                <w:rPr>
                  <w:rFonts w:ascii="Times New Roman" w:hAnsi="Times New Roman" w:cs="Times New Roman"/>
                  <w:szCs w:val="21"/>
                </w:rPr>
                <w:t>年上半年经营活动产生的现金流量净</w:t>
              </w:r>
              <w:r>
                <w:rPr>
                  <w:rFonts w:ascii="Times New Roman" w:hAnsi="Times New Roman" w:cs="Times New Roman" w:hint="eastAsia"/>
                  <w:szCs w:val="21"/>
                </w:rPr>
                <w:t>流</w:t>
              </w:r>
              <w:r>
                <w:rPr>
                  <w:rFonts w:ascii="Times New Roman" w:hAnsi="Times New Roman" w:cs="Times New Roman"/>
                  <w:szCs w:val="21"/>
                </w:rPr>
                <w:t>出比去年同期增加</w:t>
              </w:r>
              <w:r>
                <w:rPr>
                  <w:rFonts w:ascii="Times New Roman" w:hAnsi="Times New Roman" w:cs="Times New Roman"/>
                  <w:szCs w:val="21"/>
                </w:rPr>
                <w:t>10,975.81</w:t>
              </w:r>
              <w:r>
                <w:rPr>
                  <w:rFonts w:ascii="Times New Roman" w:hAnsi="Times New Roman" w:cs="Times New Roman"/>
                  <w:szCs w:val="21"/>
                </w:rPr>
                <w:t>万元，主要为</w:t>
              </w:r>
              <w:r>
                <w:rPr>
                  <w:rFonts w:ascii="Times New Roman" w:hAnsi="Times New Roman" w:cs="Times New Roman"/>
                  <w:szCs w:val="21"/>
                </w:rPr>
                <w:t>2021</w:t>
              </w:r>
              <w:r>
                <w:rPr>
                  <w:rFonts w:ascii="Times New Roman" w:hAnsi="Times New Roman" w:cs="Times New Roman"/>
                  <w:szCs w:val="21"/>
                </w:rPr>
                <w:t>年上半年营业收入快速增长以及机器人业务原材料</w:t>
              </w:r>
              <w:r>
                <w:rPr>
                  <w:rFonts w:ascii="Times New Roman" w:hAnsi="Times New Roman" w:cs="Times New Roman" w:hint="eastAsia"/>
                  <w:szCs w:val="21"/>
                </w:rPr>
                <w:t>及产成品增加占用资金</w:t>
              </w:r>
              <w:r>
                <w:rPr>
                  <w:rFonts w:ascii="Times New Roman" w:hAnsi="Times New Roman" w:cs="Times New Roman"/>
                  <w:szCs w:val="21"/>
                </w:rPr>
                <w:t>所致</w:t>
              </w:r>
              <w:r>
                <w:rPr>
                  <w:rFonts w:ascii="Times New Roman" w:hAnsi="Times New Roman" w:cs="Times New Roman" w:hint="eastAsia"/>
                  <w:szCs w:val="21"/>
                </w:rPr>
                <w:t>。</w:t>
              </w:r>
            </w:p>
            <w:p w14:paraId="0801B3D9" w14:textId="5FF16D8F" w:rsidR="00D21C1F" w:rsidRDefault="00A42880">
              <w:pPr>
                <w:spacing w:line="360" w:lineRule="auto"/>
                <w:ind w:firstLine="420"/>
                <w:jc w:val="both"/>
                <w:rPr>
                  <w:rFonts w:ascii="Times New Roman" w:hAnsi="Times New Roman" w:cs="Times New Roman"/>
                  <w:szCs w:val="21"/>
                </w:rPr>
              </w:pPr>
              <w:r>
                <w:rPr>
                  <w:rFonts w:ascii="Times New Roman" w:hAnsi="Times New Roman" w:cs="Times New Roman"/>
                  <w:szCs w:val="21"/>
                </w:rPr>
                <w:t>公司</w:t>
              </w:r>
              <w:r>
                <w:rPr>
                  <w:rFonts w:ascii="Times New Roman" w:hAnsi="Times New Roman" w:cs="Times New Roman"/>
                  <w:szCs w:val="21"/>
                </w:rPr>
                <w:t>2021</w:t>
              </w:r>
              <w:r>
                <w:rPr>
                  <w:rFonts w:ascii="Times New Roman" w:hAnsi="Times New Roman" w:cs="Times New Roman"/>
                  <w:szCs w:val="21"/>
                </w:rPr>
                <w:t>年上半年研发费用</w:t>
              </w:r>
              <w:r w:rsidR="00D07E51">
                <w:rPr>
                  <w:rFonts w:ascii="Times New Roman" w:hAnsi="Times New Roman" w:cs="Times New Roman" w:hint="eastAsia"/>
                  <w:szCs w:val="21"/>
                </w:rPr>
                <w:t>为</w:t>
              </w:r>
              <w:r>
                <w:rPr>
                  <w:rFonts w:ascii="Times New Roman" w:hAnsi="Times New Roman" w:cs="Times New Roman"/>
                  <w:szCs w:val="21"/>
                </w:rPr>
                <w:t>4,927.10</w:t>
              </w:r>
              <w:r>
                <w:rPr>
                  <w:rFonts w:ascii="Times New Roman" w:hAnsi="Times New Roman" w:cs="Times New Roman"/>
                  <w:szCs w:val="21"/>
                </w:rPr>
                <w:t>万元，比去年同期增长</w:t>
              </w:r>
              <w:r>
                <w:rPr>
                  <w:rFonts w:ascii="Times New Roman" w:hAnsi="Times New Roman" w:cs="Times New Roman"/>
                  <w:szCs w:val="21"/>
                </w:rPr>
                <w:t>55.85%</w:t>
              </w:r>
              <w:r>
                <w:rPr>
                  <w:rFonts w:ascii="Times New Roman" w:hAnsi="Times New Roman" w:cs="Times New Roman"/>
                  <w:szCs w:val="21"/>
                </w:rPr>
                <w:t>。</w:t>
              </w:r>
            </w:p>
          </w:sdtContent>
        </w:sdt>
      </w:sdtContent>
    </w:sdt>
    <w:p w14:paraId="445D2EC0" w14:textId="77777777" w:rsidR="00D21C1F" w:rsidRDefault="00D21C1F">
      <w:pPr>
        <w:pStyle w:val="97"/>
      </w:pPr>
    </w:p>
    <w:p w14:paraId="45D747F4" w14:textId="77777777" w:rsidR="00D21C1F" w:rsidRDefault="00A42880">
      <w:pPr>
        <w:pStyle w:val="2"/>
        <w:numPr>
          <w:ilvl w:val="1"/>
          <w:numId w:val="4"/>
        </w:numPr>
      </w:pPr>
      <w:r>
        <w:rPr>
          <w:rFonts w:hint="eastAsia"/>
        </w:rPr>
        <w:t>境内外会计准则下会计数据差异</w:t>
      </w:r>
      <w:bookmarkEnd w:id="28"/>
      <w:bookmarkEnd w:id="29"/>
    </w:p>
    <w:sdt>
      <w:sdtPr>
        <w:alias w:val="是否适用：境内外会计准则下会计数据差异[双击切换]"/>
        <w:tag w:val="_GBC_bdabc18d82504a7696c49b78e67b7ce4"/>
        <w:id w:val="1432710103"/>
        <w:lock w:val="sdtLocked"/>
        <w:placeholder>
          <w:docPart w:val="GBC22222222222222222222222222222"/>
        </w:placeholder>
      </w:sdtPr>
      <w:sdtEndPr/>
      <w:sdtContent>
        <w:p w14:paraId="6EF02B1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B0F356" w14:textId="77777777" w:rsidR="00D21C1F" w:rsidRDefault="00D21C1F">
      <w:pPr>
        <w:pStyle w:val="97"/>
      </w:pPr>
    </w:p>
    <w:bookmarkStart w:id="30" w:name="_Hlk10207943" w:displacedByCustomXml="next"/>
    <w:sdt>
      <w:sdtPr>
        <w:rPr>
          <w:rFonts w:eastAsiaTheme="minorEastAsia"/>
          <w:b w:val="0"/>
          <w:bCs w:val="0"/>
          <w:szCs w:val="22"/>
        </w:rPr>
        <w:alias w:val="模块:非经常性损益项目和金额"/>
        <w:tag w:val="_GBC_cc768cb4b3324e91897639bcc1eabf3a"/>
        <w:id w:val="1218863159"/>
        <w:lock w:val="sdtLocked"/>
        <w:placeholder>
          <w:docPart w:val="GBC22222222222222222222222222222"/>
        </w:placeholder>
      </w:sdtPr>
      <w:sdtEndPr>
        <w:rPr>
          <w:rFonts w:hint="eastAsia"/>
          <w:szCs w:val="24"/>
        </w:rPr>
      </w:sdtEndPr>
      <w:sdtContent>
        <w:p w14:paraId="3573DAB9" w14:textId="77777777" w:rsidR="00D21C1F" w:rsidRDefault="00A42880">
          <w:pPr>
            <w:pStyle w:val="2"/>
            <w:numPr>
              <w:ilvl w:val="1"/>
              <w:numId w:val="4"/>
            </w:numPr>
          </w:pPr>
          <w:r>
            <w:t>非经常性损益项目和金额</w:t>
          </w:r>
        </w:p>
        <w:sdt>
          <w:sdtPr>
            <w:alias w:val="是否适用：扣除非经常性损益项目和金额[双击切换]"/>
            <w:tag w:val="_GBC_73788dbb480b4eb4a9ce7ed83af2d844"/>
            <w:id w:val="2072080698"/>
            <w:lock w:val="sdtLocked"/>
            <w:placeholder>
              <w:docPart w:val="GBC22222222222222222222222222222"/>
            </w:placeholder>
          </w:sdtPr>
          <w:sdtEndPr/>
          <w:sdtContent>
            <w:p w14:paraId="389AB2B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C5EEB8" w14:textId="77777777" w:rsidR="00D21C1F" w:rsidRDefault="00A42880">
          <w:pPr>
            <w:jc w:val="right"/>
          </w:pPr>
          <w:r>
            <w:rPr>
              <w:rFonts w:hint="eastAsia"/>
            </w:rPr>
            <w:t>单位:</w:t>
          </w:r>
          <w:sdt>
            <w:sdtPr>
              <w:rPr>
                <w:rFonts w:hint="eastAsia"/>
              </w:rPr>
              <w:alias w:val="单位：扣除非经常性损益项目和金额"/>
              <w:tag w:val="_GBC_4e9158759d174bf5a404e9d2ad2cb849"/>
              <w:id w:val="6014596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扣除非经常性损益项目和金额"/>
              <w:tag w:val="_GBC_afe0377f3c754b5092310bd32f09f447"/>
              <w:id w:val="19123394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0"/>
            <w:tblW w:w="0" w:type="auto"/>
            <w:tblLook w:val="04A0" w:firstRow="1" w:lastRow="0" w:firstColumn="1" w:lastColumn="0" w:noHBand="0" w:noVBand="1"/>
          </w:tblPr>
          <w:tblGrid>
            <w:gridCol w:w="2943"/>
            <w:gridCol w:w="2937"/>
            <w:gridCol w:w="2943"/>
          </w:tblGrid>
          <w:tr w:rsidR="00D21C1F" w14:paraId="1DA3290A" w14:textId="77777777">
            <w:sdt>
              <w:sdtPr>
                <w:rPr>
                  <w:rFonts w:ascii="宋体" w:hAnsi="宋体"/>
                </w:rPr>
                <w:tag w:val="_PLD_46af532b652e45b49bf4f28412917df0"/>
                <w:id w:val="1710843994"/>
                <w:lock w:val="sdtLocked"/>
              </w:sdtPr>
              <w:sdtEndPr/>
              <w:sdtContent>
                <w:tc>
                  <w:tcPr>
                    <w:tcW w:w="2943" w:type="dxa"/>
                  </w:tcPr>
                  <w:p w14:paraId="4163C815" w14:textId="77777777" w:rsidR="00D21C1F" w:rsidRDefault="00A42880">
                    <w:pPr>
                      <w:pStyle w:val="aff4"/>
                      <w:ind w:firstLineChars="0" w:firstLine="0"/>
                      <w:jc w:val="center"/>
                      <w:rPr>
                        <w:rFonts w:ascii="宋体" w:hAnsi="宋体"/>
                      </w:rPr>
                    </w:pPr>
                    <w:r>
                      <w:rPr>
                        <w:rFonts w:ascii="宋体" w:hAnsi="宋体" w:hint="eastAsia"/>
                      </w:rPr>
                      <w:t>非经常性损益项目</w:t>
                    </w:r>
                  </w:p>
                </w:tc>
              </w:sdtContent>
            </w:sdt>
            <w:sdt>
              <w:sdtPr>
                <w:rPr>
                  <w:rFonts w:ascii="宋体" w:hAnsi="宋体"/>
                </w:rPr>
                <w:tag w:val="_PLD_61b9b734635d488db996440c136563c8"/>
                <w:id w:val="-1413773859"/>
                <w:lock w:val="sdtLocked"/>
              </w:sdtPr>
              <w:sdtEndPr/>
              <w:sdtContent>
                <w:tc>
                  <w:tcPr>
                    <w:tcW w:w="2937" w:type="dxa"/>
                  </w:tcPr>
                  <w:p w14:paraId="2BFFB329" w14:textId="77777777" w:rsidR="00D21C1F" w:rsidRDefault="00A42880">
                    <w:pPr>
                      <w:pStyle w:val="aff4"/>
                      <w:ind w:firstLineChars="0" w:firstLine="0"/>
                      <w:jc w:val="center"/>
                      <w:rPr>
                        <w:rFonts w:ascii="宋体" w:hAnsi="宋体"/>
                      </w:rPr>
                    </w:pPr>
                    <w:r>
                      <w:rPr>
                        <w:rFonts w:ascii="宋体" w:hAnsi="宋体" w:hint="eastAsia"/>
                      </w:rPr>
                      <w:t>金额</w:t>
                    </w:r>
                  </w:p>
                </w:tc>
              </w:sdtContent>
            </w:sdt>
            <w:sdt>
              <w:sdtPr>
                <w:rPr>
                  <w:rFonts w:ascii="宋体" w:hAnsi="宋体"/>
                </w:rPr>
                <w:tag w:val="_PLD_9e5d4505fc224fa08bc94ae2dc6cd081"/>
                <w:id w:val="-551456585"/>
                <w:lock w:val="sdtLocked"/>
              </w:sdtPr>
              <w:sdtEndPr/>
              <w:sdtContent>
                <w:tc>
                  <w:tcPr>
                    <w:tcW w:w="2943" w:type="dxa"/>
                  </w:tcPr>
                  <w:p w14:paraId="0B88E418" w14:textId="77777777" w:rsidR="00D21C1F" w:rsidRDefault="00A42880">
                    <w:pPr>
                      <w:pStyle w:val="aff4"/>
                      <w:ind w:firstLineChars="0" w:firstLine="0"/>
                      <w:jc w:val="center"/>
                      <w:rPr>
                        <w:rFonts w:ascii="宋体" w:hAnsi="宋体"/>
                      </w:rPr>
                    </w:pPr>
                    <w:r>
                      <w:rPr>
                        <w:rFonts w:ascii="宋体" w:hAnsi="宋体" w:hint="eastAsia"/>
                      </w:rPr>
                      <w:t>附注（如适用）</w:t>
                    </w:r>
                  </w:p>
                </w:tc>
              </w:sdtContent>
            </w:sdt>
          </w:tr>
          <w:tr w:rsidR="00D21C1F" w14:paraId="51D8FB0F" w14:textId="77777777">
            <w:sdt>
              <w:sdtPr>
                <w:rPr>
                  <w:rFonts w:ascii="宋体" w:hAnsi="宋体"/>
                </w:rPr>
                <w:tag w:val="_PLD_1ec9e925297d478d84779a68eec2bcd9"/>
                <w:id w:val="1823390581"/>
                <w:lock w:val="sdtLocked"/>
              </w:sdtPr>
              <w:sdtEndPr/>
              <w:sdtContent>
                <w:tc>
                  <w:tcPr>
                    <w:tcW w:w="2943" w:type="dxa"/>
                  </w:tcPr>
                  <w:p w14:paraId="176A2094" w14:textId="77777777" w:rsidR="00D21C1F" w:rsidRDefault="00A42880">
                    <w:pPr>
                      <w:pStyle w:val="aff4"/>
                      <w:ind w:firstLineChars="0" w:firstLine="0"/>
                      <w:jc w:val="left"/>
                      <w:rPr>
                        <w:rFonts w:ascii="宋体" w:hAnsi="宋体"/>
                      </w:rPr>
                    </w:pPr>
                    <w:r>
                      <w:rPr>
                        <w:rFonts w:ascii="宋体" w:hAnsi="宋体"/>
                      </w:rPr>
                      <w:t>非流动资产处置损益</w:t>
                    </w:r>
                  </w:p>
                </w:tc>
              </w:sdtContent>
            </w:sdt>
            <w:tc>
              <w:tcPr>
                <w:tcW w:w="2937" w:type="dxa"/>
                <w:vAlign w:val="center"/>
              </w:tcPr>
              <w:p w14:paraId="5D708D3A" w14:textId="77777777" w:rsidR="00D21C1F" w:rsidRDefault="00A42880">
                <w:pPr>
                  <w:jc w:val="right"/>
                  <w:rPr>
                    <w:rFonts w:ascii="Times New Roman" w:hAnsi="Times New Roman" w:cs="Times New Roman"/>
                  </w:rPr>
                </w:pPr>
                <w:r>
                  <w:rPr>
                    <w:rFonts w:ascii="Times New Roman" w:hAnsi="Times New Roman" w:cs="Times New Roman"/>
                  </w:rPr>
                  <w:t>41.59</w:t>
                </w:r>
              </w:p>
            </w:tc>
            <w:tc>
              <w:tcPr>
                <w:tcW w:w="2943" w:type="dxa"/>
              </w:tcPr>
              <w:p w14:paraId="41E6E481" w14:textId="77777777" w:rsidR="00D21C1F" w:rsidRDefault="00D21C1F">
                <w:pPr>
                  <w:jc w:val="left"/>
                </w:pPr>
              </w:p>
            </w:tc>
          </w:tr>
          <w:tr w:rsidR="00D21C1F" w14:paraId="2F002004" w14:textId="77777777">
            <w:sdt>
              <w:sdtPr>
                <w:rPr>
                  <w:rFonts w:ascii="宋体" w:hAnsi="宋体"/>
                </w:rPr>
                <w:tag w:val="_PLD_69edea550024421a884da164740efd47"/>
                <w:id w:val="-793522715"/>
                <w:lock w:val="sdtLocked"/>
              </w:sdtPr>
              <w:sdtEndPr/>
              <w:sdtContent>
                <w:tc>
                  <w:tcPr>
                    <w:tcW w:w="2943" w:type="dxa"/>
                  </w:tcPr>
                  <w:p w14:paraId="0C245242" w14:textId="77777777" w:rsidR="00D21C1F" w:rsidRDefault="00A42880">
                    <w:pPr>
                      <w:pStyle w:val="aff4"/>
                      <w:ind w:firstLineChars="0" w:firstLine="0"/>
                      <w:jc w:val="left"/>
                      <w:rPr>
                        <w:rFonts w:ascii="宋体" w:hAnsi="宋体"/>
                      </w:rPr>
                    </w:pPr>
                    <w:r>
                      <w:rPr>
                        <w:rFonts w:ascii="宋体" w:hAnsi="宋体"/>
                      </w:rPr>
                      <w:t>越权审批，或无正式批准文件，或偶发性的税收返还、减免</w:t>
                    </w:r>
                  </w:p>
                </w:tc>
              </w:sdtContent>
            </w:sdt>
            <w:tc>
              <w:tcPr>
                <w:tcW w:w="2937" w:type="dxa"/>
                <w:vAlign w:val="center"/>
              </w:tcPr>
              <w:p w14:paraId="68745F5A"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537AF46F" w14:textId="77777777" w:rsidR="00D21C1F" w:rsidRDefault="00D21C1F">
                <w:pPr>
                  <w:jc w:val="left"/>
                </w:pPr>
              </w:p>
            </w:tc>
          </w:tr>
          <w:tr w:rsidR="00D21C1F" w14:paraId="095DC841" w14:textId="77777777">
            <w:sdt>
              <w:sdtPr>
                <w:rPr>
                  <w:rFonts w:ascii="宋体" w:hAnsi="宋体"/>
                </w:rPr>
                <w:tag w:val="_PLD_02595b9db1a84694900203cf9656bfe9"/>
                <w:id w:val="976502314"/>
                <w:lock w:val="sdtLocked"/>
              </w:sdtPr>
              <w:sdtEndPr/>
              <w:sdtContent>
                <w:tc>
                  <w:tcPr>
                    <w:tcW w:w="2943" w:type="dxa"/>
                  </w:tcPr>
                  <w:p w14:paraId="32D8FD30" w14:textId="77777777" w:rsidR="00D21C1F" w:rsidRDefault="00A42880">
                    <w:pPr>
                      <w:pStyle w:val="aff4"/>
                      <w:ind w:firstLineChars="0" w:firstLine="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2937" w:type="dxa"/>
                <w:vAlign w:val="center"/>
              </w:tcPr>
              <w:p w14:paraId="4975FC12" w14:textId="77777777" w:rsidR="00D21C1F" w:rsidRDefault="00A42880">
                <w:pPr>
                  <w:jc w:val="right"/>
                  <w:rPr>
                    <w:rFonts w:ascii="Times New Roman" w:hAnsi="Times New Roman" w:cs="Times New Roman"/>
                  </w:rPr>
                </w:pPr>
                <w:r>
                  <w:rPr>
                    <w:rFonts w:ascii="Times New Roman" w:hAnsi="Times New Roman" w:cs="Times New Roman"/>
                  </w:rPr>
                  <w:t>710.84</w:t>
                </w:r>
              </w:p>
            </w:tc>
            <w:tc>
              <w:tcPr>
                <w:tcW w:w="2943" w:type="dxa"/>
              </w:tcPr>
              <w:p w14:paraId="4E540C04" w14:textId="77777777" w:rsidR="00D21C1F" w:rsidRDefault="00D21C1F">
                <w:pPr>
                  <w:jc w:val="left"/>
                </w:pPr>
              </w:p>
            </w:tc>
          </w:tr>
          <w:tr w:rsidR="00D21C1F" w14:paraId="2C25831D" w14:textId="77777777">
            <w:sdt>
              <w:sdtPr>
                <w:rPr>
                  <w:rFonts w:ascii="宋体" w:hAnsi="宋体"/>
                </w:rPr>
                <w:tag w:val="_PLD_e255b5bb064c4c0694bb65440d7bb1c2"/>
                <w:id w:val="704454792"/>
                <w:lock w:val="sdtLocked"/>
              </w:sdtPr>
              <w:sdtEndPr/>
              <w:sdtContent>
                <w:tc>
                  <w:tcPr>
                    <w:tcW w:w="2943" w:type="dxa"/>
                  </w:tcPr>
                  <w:p w14:paraId="6DD80E12" w14:textId="77777777" w:rsidR="00D21C1F" w:rsidRDefault="00A42880">
                    <w:pPr>
                      <w:pStyle w:val="aff4"/>
                      <w:ind w:firstLineChars="0" w:firstLine="0"/>
                      <w:jc w:val="left"/>
                      <w:rPr>
                        <w:rFonts w:ascii="宋体" w:hAnsi="宋体"/>
                      </w:rPr>
                    </w:pPr>
                    <w:r>
                      <w:rPr>
                        <w:rFonts w:ascii="宋体" w:hAnsi="宋体"/>
                      </w:rPr>
                      <w:t>计入当期损益的对非金融企业收取的资金占用费</w:t>
                    </w:r>
                  </w:p>
                </w:tc>
              </w:sdtContent>
            </w:sdt>
            <w:tc>
              <w:tcPr>
                <w:tcW w:w="2937" w:type="dxa"/>
                <w:vAlign w:val="center"/>
              </w:tcPr>
              <w:p w14:paraId="14A0CC0B"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77C06D14" w14:textId="77777777" w:rsidR="00D21C1F" w:rsidRDefault="00D21C1F">
                <w:pPr>
                  <w:jc w:val="left"/>
                </w:pPr>
              </w:p>
            </w:tc>
          </w:tr>
          <w:tr w:rsidR="00D21C1F" w14:paraId="7BE6ECE8" w14:textId="77777777">
            <w:sdt>
              <w:sdtPr>
                <w:rPr>
                  <w:rFonts w:ascii="宋体" w:hAnsi="宋体"/>
                </w:rPr>
                <w:tag w:val="_PLD_09b4af3349af48359dce87b8be6a224a"/>
                <w:id w:val="1599983869"/>
                <w:lock w:val="sdtLocked"/>
              </w:sdtPr>
              <w:sdtEndPr/>
              <w:sdtContent>
                <w:tc>
                  <w:tcPr>
                    <w:tcW w:w="2943" w:type="dxa"/>
                  </w:tcPr>
                  <w:p w14:paraId="3623CA46" w14:textId="77777777" w:rsidR="00D21C1F" w:rsidRDefault="00A42880">
                    <w:pPr>
                      <w:pStyle w:val="aff4"/>
                      <w:ind w:firstLineChars="0" w:firstLine="0"/>
                      <w:jc w:val="left"/>
                      <w:rPr>
                        <w:rFonts w:ascii="宋体" w:hAnsi="宋体"/>
                      </w:rPr>
                    </w:pPr>
                    <w:r>
                      <w:rPr>
                        <w:rFonts w:ascii="宋体" w:hAnsi="宋体"/>
                      </w:rPr>
                      <w:t>企业取得子公司、联营企业及合营企业的投资成本小于取得投资时应享有被投资单位可辨认净资产公允价值产生的收益</w:t>
                    </w:r>
                  </w:p>
                </w:tc>
              </w:sdtContent>
            </w:sdt>
            <w:tc>
              <w:tcPr>
                <w:tcW w:w="2937" w:type="dxa"/>
                <w:vAlign w:val="center"/>
              </w:tcPr>
              <w:p w14:paraId="1613B7FF"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0D867FF1" w14:textId="77777777" w:rsidR="00D21C1F" w:rsidRDefault="00D21C1F">
                <w:pPr>
                  <w:jc w:val="left"/>
                </w:pPr>
              </w:p>
            </w:tc>
          </w:tr>
          <w:tr w:rsidR="00D21C1F" w14:paraId="5906D73F" w14:textId="77777777">
            <w:sdt>
              <w:sdtPr>
                <w:rPr>
                  <w:rFonts w:ascii="宋体" w:hAnsi="宋体"/>
                </w:rPr>
                <w:tag w:val="_PLD_428e8a6b0f714a4895facab4d1ebbbd6"/>
                <w:id w:val="-317962234"/>
                <w:lock w:val="sdtLocked"/>
              </w:sdtPr>
              <w:sdtEndPr/>
              <w:sdtContent>
                <w:tc>
                  <w:tcPr>
                    <w:tcW w:w="2943" w:type="dxa"/>
                  </w:tcPr>
                  <w:p w14:paraId="651B6E80" w14:textId="77777777" w:rsidR="00D21C1F" w:rsidRDefault="00A42880">
                    <w:pPr>
                      <w:pStyle w:val="aff4"/>
                      <w:ind w:firstLineChars="0" w:firstLine="0"/>
                      <w:jc w:val="left"/>
                      <w:rPr>
                        <w:rFonts w:ascii="宋体" w:hAnsi="宋体"/>
                      </w:rPr>
                    </w:pPr>
                    <w:r>
                      <w:rPr>
                        <w:rFonts w:ascii="宋体" w:hAnsi="宋体"/>
                      </w:rPr>
                      <w:t>非货币性资产交换损益</w:t>
                    </w:r>
                  </w:p>
                </w:tc>
              </w:sdtContent>
            </w:sdt>
            <w:tc>
              <w:tcPr>
                <w:tcW w:w="2937" w:type="dxa"/>
                <w:vAlign w:val="center"/>
              </w:tcPr>
              <w:p w14:paraId="686B05D4"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6CCB9458" w14:textId="77777777" w:rsidR="00D21C1F" w:rsidRDefault="00D21C1F">
                <w:pPr>
                  <w:jc w:val="left"/>
                </w:pPr>
              </w:p>
            </w:tc>
          </w:tr>
          <w:tr w:rsidR="00D21C1F" w14:paraId="5B86EE64" w14:textId="77777777">
            <w:sdt>
              <w:sdtPr>
                <w:rPr>
                  <w:rFonts w:ascii="宋体" w:hAnsi="宋体"/>
                </w:rPr>
                <w:tag w:val="_PLD_9cc3804b94354fc1b0925734be3d281a"/>
                <w:id w:val="1495681950"/>
                <w:lock w:val="sdtLocked"/>
              </w:sdtPr>
              <w:sdtEndPr/>
              <w:sdtContent>
                <w:tc>
                  <w:tcPr>
                    <w:tcW w:w="2943" w:type="dxa"/>
                  </w:tcPr>
                  <w:p w14:paraId="767C7FA6" w14:textId="77777777" w:rsidR="00D21C1F" w:rsidRDefault="00A42880">
                    <w:pPr>
                      <w:pStyle w:val="aff4"/>
                      <w:ind w:firstLineChars="0" w:firstLine="0"/>
                      <w:jc w:val="left"/>
                      <w:rPr>
                        <w:rFonts w:ascii="宋体" w:hAnsi="宋体"/>
                      </w:rPr>
                    </w:pPr>
                    <w:r>
                      <w:rPr>
                        <w:rFonts w:ascii="宋体" w:hAnsi="宋体"/>
                      </w:rPr>
                      <w:t>委托他人投资或管理资产的损益</w:t>
                    </w:r>
                  </w:p>
                </w:tc>
              </w:sdtContent>
            </w:sdt>
            <w:tc>
              <w:tcPr>
                <w:tcW w:w="2937" w:type="dxa"/>
                <w:vAlign w:val="center"/>
              </w:tcPr>
              <w:p w14:paraId="2139F57F"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478BDC15" w14:textId="77777777" w:rsidR="00D21C1F" w:rsidRDefault="00D21C1F">
                <w:pPr>
                  <w:jc w:val="left"/>
                </w:pPr>
              </w:p>
            </w:tc>
          </w:tr>
          <w:tr w:rsidR="00D21C1F" w14:paraId="0FB8A310" w14:textId="77777777">
            <w:sdt>
              <w:sdtPr>
                <w:rPr>
                  <w:rFonts w:ascii="宋体" w:hAnsi="宋体"/>
                </w:rPr>
                <w:tag w:val="_PLD_fecca44b524c43b6a0e1f89ecfc4895f"/>
                <w:id w:val="769897663"/>
                <w:lock w:val="sdtLocked"/>
              </w:sdtPr>
              <w:sdtEndPr/>
              <w:sdtContent>
                <w:tc>
                  <w:tcPr>
                    <w:tcW w:w="2943" w:type="dxa"/>
                  </w:tcPr>
                  <w:p w14:paraId="62744738" w14:textId="77777777" w:rsidR="00D21C1F" w:rsidRDefault="00A42880">
                    <w:pPr>
                      <w:pStyle w:val="aff4"/>
                      <w:ind w:firstLineChars="0" w:firstLine="0"/>
                      <w:jc w:val="left"/>
                      <w:rPr>
                        <w:rFonts w:ascii="宋体" w:hAnsi="宋体"/>
                      </w:rPr>
                    </w:pPr>
                    <w:r>
                      <w:rPr>
                        <w:rFonts w:ascii="宋体" w:hAnsi="宋体"/>
                      </w:rPr>
                      <w:t>因不可抗力因素，如遭受自然灾害而计提的各项资产减值准备</w:t>
                    </w:r>
                  </w:p>
                </w:tc>
              </w:sdtContent>
            </w:sdt>
            <w:tc>
              <w:tcPr>
                <w:tcW w:w="2937" w:type="dxa"/>
                <w:vAlign w:val="center"/>
              </w:tcPr>
              <w:p w14:paraId="21DD27D5"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3C4DCCDA" w14:textId="77777777" w:rsidR="00D21C1F" w:rsidRDefault="00D21C1F">
                <w:pPr>
                  <w:jc w:val="left"/>
                </w:pPr>
              </w:p>
            </w:tc>
          </w:tr>
          <w:tr w:rsidR="00D21C1F" w14:paraId="6F711D15" w14:textId="77777777">
            <w:sdt>
              <w:sdtPr>
                <w:rPr>
                  <w:rFonts w:ascii="宋体" w:hAnsi="宋体"/>
                </w:rPr>
                <w:tag w:val="_PLD_c626abd827544a1fb3e7de188e0e31cd"/>
                <w:id w:val="1580096629"/>
                <w:lock w:val="sdtLocked"/>
              </w:sdtPr>
              <w:sdtEndPr/>
              <w:sdtContent>
                <w:tc>
                  <w:tcPr>
                    <w:tcW w:w="2943" w:type="dxa"/>
                  </w:tcPr>
                  <w:p w14:paraId="39544473" w14:textId="77777777" w:rsidR="00D21C1F" w:rsidRDefault="00A42880">
                    <w:pPr>
                      <w:pStyle w:val="aff4"/>
                      <w:ind w:firstLineChars="0" w:firstLine="0"/>
                      <w:jc w:val="left"/>
                      <w:rPr>
                        <w:rFonts w:ascii="宋体" w:hAnsi="宋体"/>
                      </w:rPr>
                    </w:pPr>
                    <w:r>
                      <w:rPr>
                        <w:rFonts w:ascii="宋体" w:hAnsi="宋体"/>
                      </w:rPr>
                      <w:t>债务重组损益</w:t>
                    </w:r>
                  </w:p>
                </w:tc>
              </w:sdtContent>
            </w:sdt>
            <w:tc>
              <w:tcPr>
                <w:tcW w:w="2937" w:type="dxa"/>
                <w:vAlign w:val="center"/>
              </w:tcPr>
              <w:p w14:paraId="70D2CCFC"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620EDE40" w14:textId="77777777" w:rsidR="00D21C1F" w:rsidRDefault="00D21C1F">
                <w:pPr>
                  <w:jc w:val="left"/>
                </w:pPr>
              </w:p>
            </w:tc>
          </w:tr>
          <w:tr w:rsidR="00D21C1F" w14:paraId="21228AEE" w14:textId="77777777">
            <w:sdt>
              <w:sdtPr>
                <w:rPr>
                  <w:rFonts w:ascii="宋体" w:hAnsi="宋体"/>
                </w:rPr>
                <w:tag w:val="_PLD_ae9b12ee17354afbb6160dc193b1ac86"/>
                <w:id w:val="1170443958"/>
                <w:lock w:val="sdtLocked"/>
              </w:sdtPr>
              <w:sdtEndPr/>
              <w:sdtContent>
                <w:tc>
                  <w:tcPr>
                    <w:tcW w:w="2943" w:type="dxa"/>
                  </w:tcPr>
                  <w:p w14:paraId="617594AE" w14:textId="77777777" w:rsidR="00D21C1F" w:rsidRDefault="00A42880">
                    <w:pPr>
                      <w:pStyle w:val="aff4"/>
                      <w:ind w:firstLineChars="0" w:firstLine="0"/>
                      <w:jc w:val="left"/>
                      <w:rPr>
                        <w:rFonts w:ascii="宋体" w:hAnsi="宋体"/>
                      </w:rPr>
                    </w:pPr>
                    <w:r>
                      <w:rPr>
                        <w:rFonts w:ascii="宋体" w:hAnsi="宋体"/>
                      </w:rPr>
                      <w:t>企业重组费用，如安置职工的支出、整合费用等</w:t>
                    </w:r>
                  </w:p>
                </w:tc>
              </w:sdtContent>
            </w:sdt>
            <w:tc>
              <w:tcPr>
                <w:tcW w:w="2937" w:type="dxa"/>
                <w:vAlign w:val="center"/>
              </w:tcPr>
              <w:p w14:paraId="76D5C055"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01407704" w14:textId="77777777" w:rsidR="00D21C1F" w:rsidRDefault="00D21C1F">
                <w:pPr>
                  <w:jc w:val="left"/>
                </w:pPr>
              </w:p>
            </w:tc>
          </w:tr>
          <w:tr w:rsidR="00D21C1F" w14:paraId="7F519EE9" w14:textId="77777777">
            <w:sdt>
              <w:sdtPr>
                <w:rPr>
                  <w:rFonts w:ascii="宋体" w:hAnsi="宋体"/>
                </w:rPr>
                <w:tag w:val="_PLD_d593e972b89d4f63b162bd30012b012a"/>
                <w:id w:val="911741430"/>
                <w:lock w:val="sdtLocked"/>
              </w:sdtPr>
              <w:sdtEndPr/>
              <w:sdtContent>
                <w:tc>
                  <w:tcPr>
                    <w:tcW w:w="2943" w:type="dxa"/>
                  </w:tcPr>
                  <w:p w14:paraId="453881F6" w14:textId="77777777" w:rsidR="00D21C1F" w:rsidRDefault="00A42880">
                    <w:pPr>
                      <w:pStyle w:val="aff4"/>
                      <w:ind w:firstLineChars="0" w:firstLine="0"/>
                      <w:jc w:val="left"/>
                      <w:rPr>
                        <w:rFonts w:ascii="宋体" w:hAnsi="宋体"/>
                      </w:rPr>
                    </w:pPr>
                    <w:r>
                      <w:rPr>
                        <w:rFonts w:ascii="宋体" w:hAnsi="宋体"/>
                      </w:rPr>
                      <w:t>交易价格显失公允的交易产生的超过公允价值部分的损益</w:t>
                    </w:r>
                  </w:p>
                </w:tc>
              </w:sdtContent>
            </w:sdt>
            <w:tc>
              <w:tcPr>
                <w:tcW w:w="2937" w:type="dxa"/>
                <w:vAlign w:val="center"/>
              </w:tcPr>
              <w:p w14:paraId="23DE93DF"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2CDB978C" w14:textId="77777777" w:rsidR="00D21C1F" w:rsidRDefault="00D21C1F">
                <w:pPr>
                  <w:jc w:val="left"/>
                </w:pPr>
              </w:p>
            </w:tc>
          </w:tr>
          <w:tr w:rsidR="00D21C1F" w14:paraId="176905D6" w14:textId="77777777">
            <w:sdt>
              <w:sdtPr>
                <w:rPr>
                  <w:rFonts w:ascii="宋体" w:hAnsi="宋体"/>
                </w:rPr>
                <w:tag w:val="_PLD_d0759855140a42e887b44ac9b84eefb5"/>
                <w:id w:val="1465232630"/>
                <w:lock w:val="sdtLocked"/>
              </w:sdtPr>
              <w:sdtEndPr/>
              <w:sdtContent>
                <w:tc>
                  <w:tcPr>
                    <w:tcW w:w="2943" w:type="dxa"/>
                  </w:tcPr>
                  <w:p w14:paraId="794A54AA" w14:textId="77777777" w:rsidR="00D21C1F" w:rsidRDefault="00A42880">
                    <w:pPr>
                      <w:pStyle w:val="aff4"/>
                      <w:ind w:firstLineChars="0" w:firstLine="0"/>
                      <w:jc w:val="left"/>
                      <w:rPr>
                        <w:rFonts w:ascii="宋体" w:hAnsi="宋体"/>
                      </w:rPr>
                    </w:pPr>
                    <w:r>
                      <w:rPr>
                        <w:rFonts w:ascii="宋体" w:hAnsi="宋体"/>
                      </w:rPr>
                      <w:t>同一控制下企业合并产生的子公司期初至合并日的当期</w:t>
                    </w:r>
                    <w:r>
                      <w:rPr>
                        <w:rFonts w:ascii="宋体" w:hAnsi="宋体"/>
                      </w:rPr>
                      <w:lastRenderedPageBreak/>
                      <w:t>净损益</w:t>
                    </w:r>
                  </w:p>
                </w:tc>
              </w:sdtContent>
            </w:sdt>
            <w:tc>
              <w:tcPr>
                <w:tcW w:w="2937" w:type="dxa"/>
                <w:vAlign w:val="center"/>
              </w:tcPr>
              <w:p w14:paraId="339F000F" w14:textId="77777777" w:rsidR="00D21C1F" w:rsidRDefault="00A42880">
                <w:pPr>
                  <w:jc w:val="right"/>
                  <w:rPr>
                    <w:rFonts w:ascii="Times New Roman" w:hAnsi="Times New Roman" w:cs="Times New Roman"/>
                  </w:rPr>
                </w:pPr>
                <w:r>
                  <w:rPr>
                    <w:rFonts w:ascii="Times New Roman" w:hAnsi="Times New Roman" w:cs="Times New Roman"/>
                  </w:rPr>
                  <w:lastRenderedPageBreak/>
                  <w:t>-</w:t>
                </w:r>
              </w:p>
            </w:tc>
            <w:tc>
              <w:tcPr>
                <w:tcW w:w="2943" w:type="dxa"/>
              </w:tcPr>
              <w:p w14:paraId="75D2147D" w14:textId="77777777" w:rsidR="00D21C1F" w:rsidRDefault="00D21C1F">
                <w:pPr>
                  <w:jc w:val="left"/>
                </w:pPr>
              </w:p>
            </w:tc>
          </w:tr>
          <w:tr w:rsidR="00D21C1F" w14:paraId="22C39CE8" w14:textId="77777777">
            <w:sdt>
              <w:sdtPr>
                <w:rPr>
                  <w:rFonts w:ascii="宋体" w:hAnsi="宋体"/>
                </w:rPr>
                <w:tag w:val="_PLD_0eefeb426a104d448899cf6f7c9f4fae"/>
                <w:id w:val="-1192142016"/>
                <w:lock w:val="sdtLocked"/>
              </w:sdtPr>
              <w:sdtEndPr/>
              <w:sdtContent>
                <w:tc>
                  <w:tcPr>
                    <w:tcW w:w="2943" w:type="dxa"/>
                  </w:tcPr>
                  <w:p w14:paraId="33119120" w14:textId="77777777" w:rsidR="00D21C1F" w:rsidRDefault="00A42880">
                    <w:pPr>
                      <w:pStyle w:val="aff4"/>
                      <w:ind w:firstLineChars="0" w:firstLine="0"/>
                      <w:jc w:val="left"/>
                      <w:rPr>
                        <w:rFonts w:ascii="宋体" w:hAnsi="宋体"/>
                      </w:rPr>
                    </w:pPr>
                    <w:r>
                      <w:rPr>
                        <w:rFonts w:ascii="宋体" w:hAnsi="宋体"/>
                      </w:rPr>
                      <w:t>与公司正常经营业务无关的或有事项产生的损益</w:t>
                    </w:r>
                  </w:p>
                </w:tc>
              </w:sdtContent>
            </w:sdt>
            <w:tc>
              <w:tcPr>
                <w:tcW w:w="2937" w:type="dxa"/>
                <w:vAlign w:val="center"/>
              </w:tcPr>
              <w:p w14:paraId="43F93CCF"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4B9EB647" w14:textId="77777777" w:rsidR="00D21C1F" w:rsidRDefault="00D21C1F">
                <w:pPr>
                  <w:jc w:val="left"/>
                </w:pPr>
              </w:p>
            </w:tc>
          </w:tr>
          <w:tr w:rsidR="00D21C1F" w14:paraId="1B92D93B" w14:textId="77777777">
            <w:tc>
              <w:tcPr>
                <w:tcW w:w="2943" w:type="dxa"/>
                <w:vAlign w:val="center"/>
              </w:tcPr>
              <w:sdt>
                <w:sdtPr>
                  <w:rPr>
                    <w:rFonts w:ascii="宋体" w:hAnsi="宋体" w:hint="eastAsia"/>
                  </w:rPr>
                  <w:tag w:val="_PLD_9013c99948ab4bafbc5ae7fb21987377"/>
                  <w:id w:val="169064283"/>
                  <w:lock w:val="sdtLocked"/>
                </w:sdtPr>
                <w:sdtEndPr/>
                <w:sdtContent>
                  <w:p w14:paraId="45674553" w14:textId="77777777" w:rsidR="00D21C1F" w:rsidRDefault="00A42880">
                    <w:pPr>
                      <w:pStyle w:val="aff4"/>
                      <w:ind w:firstLineChars="0" w:firstLine="0"/>
                      <w:rPr>
                        <w:rFonts w:ascii="宋体" w:hAnsi="宋体"/>
                      </w:rPr>
                    </w:pPr>
                    <w:r>
                      <w:rPr>
                        <w:rFonts w:ascii="宋体" w:hAnsi="宋体"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2937" w:type="dxa"/>
                <w:vAlign w:val="center"/>
              </w:tcPr>
              <w:p w14:paraId="25DB6136" w14:textId="77777777" w:rsidR="00D21C1F" w:rsidRDefault="00A42880">
                <w:pPr>
                  <w:jc w:val="right"/>
                  <w:rPr>
                    <w:rFonts w:ascii="Times New Roman" w:hAnsi="Times New Roman" w:cs="Times New Roman"/>
                    <w:szCs w:val="21"/>
                  </w:rPr>
                </w:pPr>
                <w:r>
                  <w:rPr>
                    <w:rFonts w:ascii="Times New Roman" w:hAnsi="Times New Roman" w:cs="Times New Roman"/>
                  </w:rPr>
                  <w:t>1,927.17</w:t>
                </w:r>
              </w:p>
            </w:tc>
            <w:tc>
              <w:tcPr>
                <w:tcW w:w="2943" w:type="dxa"/>
              </w:tcPr>
              <w:p w14:paraId="6C2D2935" w14:textId="77777777" w:rsidR="00D21C1F" w:rsidRDefault="00D21C1F">
                <w:pPr>
                  <w:rPr>
                    <w:szCs w:val="21"/>
                  </w:rPr>
                </w:pPr>
              </w:p>
            </w:tc>
          </w:tr>
          <w:tr w:rsidR="00D21C1F" w14:paraId="2DE3579D" w14:textId="77777777">
            <w:tc>
              <w:tcPr>
                <w:tcW w:w="2943" w:type="dxa"/>
                <w:vAlign w:val="center"/>
              </w:tcPr>
              <w:sdt>
                <w:sdtPr>
                  <w:rPr>
                    <w:rFonts w:ascii="宋体" w:hAnsi="宋体" w:hint="eastAsia"/>
                  </w:rPr>
                  <w:tag w:val="_PLD_07983e73f75f4d6380526934b80f9026"/>
                  <w:id w:val="-1811633181"/>
                  <w:lock w:val="sdtLocked"/>
                </w:sdtPr>
                <w:sdtEndPr/>
                <w:sdtContent>
                  <w:p w14:paraId="6BA47363" w14:textId="77777777" w:rsidR="00D21C1F" w:rsidRDefault="00A42880">
                    <w:pPr>
                      <w:pStyle w:val="aff4"/>
                      <w:ind w:firstLineChars="0" w:firstLine="0"/>
                      <w:rPr>
                        <w:rFonts w:ascii="宋体" w:hAnsi="宋体"/>
                      </w:rPr>
                    </w:pPr>
                    <w:r>
                      <w:rPr>
                        <w:rFonts w:ascii="宋体" w:hAnsi="宋体" w:hint="eastAsia"/>
                      </w:rPr>
                      <w:t>单独进行减值测试的应收款项、合同资产减值准备转回</w:t>
                    </w:r>
                  </w:p>
                </w:sdtContent>
              </w:sdt>
            </w:tc>
            <w:tc>
              <w:tcPr>
                <w:tcW w:w="2937" w:type="dxa"/>
                <w:vAlign w:val="center"/>
              </w:tcPr>
              <w:p w14:paraId="1EEB9DB2" w14:textId="77777777" w:rsidR="00D21C1F" w:rsidRDefault="00A42880">
                <w:pPr>
                  <w:jc w:val="right"/>
                  <w:rPr>
                    <w:rFonts w:ascii="Times New Roman" w:hAnsi="Times New Roman" w:cs="Times New Roman"/>
                    <w:szCs w:val="21"/>
                  </w:rPr>
                </w:pPr>
                <w:r>
                  <w:rPr>
                    <w:rFonts w:ascii="Times New Roman" w:hAnsi="Times New Roman" w:cs="Times New Roman"/>
                  </w:rPr>
                  <w:t>-</w:t>
                </w:r>
              </w:p>
            </w:tc>
            <w:sdt>
              <w:sdtPr>
                <w:rPr>
                  <w:rFonts w:ascii="Times New Roman" w:hAnsi="Times New Roman"/>
                  <w:szCs w:val="21"/>
                </w:rPr>
                <w:alias w:val="单独进行减值测试的应收款项、合同资产减值准备转回的说明（非经常性损益项目）"/>
                <w:tag w:val="_GBC_bad7c98154a64afe8bf80aee3a621494"/>
                <w:id w:val="-196502705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2943" w:type="dxa"/>
                  </w:tcPr>
                  <w:p w14:paraId="500D6B89" w14:textId="77777777" w:rsidR="00D21C1F" w:rsidRDefault="00A42880">
                    <w:pPr>
                      <w:rPr>
                        <w:szCs w:val="21"/>
                      </w:rPr>
                    </w:pPr>
                    <w:r>
                      <w:rPr>
                        <w:rFonts w:hint="eastAsia"/>
                      </w:rPr>
                      <w:t xml:space="preserve">　</w:t>
                    </w:r>
                  </w:p>
                </w:tc>
              </w:sdtContent>
            </w:sdt>
          </w:tr>
          <w:tr w:rsidR="00D21C1F" w14:paraId="7A3D1856" w14:textId="77777777">
            <w:sdt>
              <w:sdtPr>
                <w:rPr>
                  <w:rFonts w:ascii="宋体" w:hAnsi="宋体"/>
                </w:rPr>
                <w:tag w:val="_PLD_299f6d9f507d4cb48114acd837ad8359"/>
                <w:id w:val="2104138067"/>
                <w:lock w:val="sdtLocked"/>
              </w:sdtPr>
              <w:sdtEndPr/>
              <w:sdtContent>
                <w:tc>
                  <w:tcPr>
                    <w:tcW w:w="2943" w:type="dxa"/>
                  </w:tcPr>
                  <w:p w14:paraId="05A4EAA5" w14:textId="77777777" w:rsidR="00D21C1F" w:rsidRDefault="00A42880">
                    <w:pPr>
                      <w:pStyle w:val="aff4"/>
                      <w:ind w:firstLineChars="0" w:firstLine="0"/>
                      <w:jc w:val="left"/>
                      <w:rPr>
                        <w:rFonts w:ascii="宋体" w:hAnsi="宋体"/>
                      </w:rPr>
                    </w:pPr>
                    <w:r>
                      <w:rPr>
                        <w:rFonts w:ascii="宋体" w:hAnsi="宋体"/>
                      </w:rPr>
                      <w:t>对外委托贷款取得的损益</w:t>
                    </w:r>
                  </w:p>
                </w:tc>
              </w:sdtContent>
            </w:sdt>
            <w:tc>
              <w:tcPr>
                <w:tcW w:w="2937" w:type="dxa"/>
                <w:vAlign w:val="center"/>
              </w:tcPr>
              <w:p w14:paraId="22CA6FCB"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4B2F8CE5" w14:textId="77777777" w:rsidR="00D21C1F" w:rsidRDefault="00D21C1F">
                <w:pPr>
                  <w:jc w:val="left"/>
                </w:pPr>
              </w:p>
            </w:tc>
          </w:tr>
          <w:tr w:rsidR="00D21C1F" w14:paraId="0864045D" w14:textId="77777777">
            <w:sdt>
              <w:sdtPr>
                <w:rPr>
                  <w:rFonts w:ascii="宋体" w:hAnsi="宋体"/>
                </w:rPr>
                <w:tag w:val="_PLD_72cb907064dc458eba67ef7a85130648"/>
                <w:id w:val="1873956027"/>
                <w:lock w:val="sdtLocked"/>
              </w:sdtPr>
              <w:sdtEndPr/>
              <w:sdtContent>
                <w:tc>
                  <w:tcPr>
                    <w:tcW w:w="2943" w:type="dxa"/>
                  </w:tcPr>
                  <w:p w14:paraId="14DB91B5" w14:textId="77777777" w:rsidR="00D21C1F" w:rsidRDefault="00A42880">
                    <w:pPr>
                      <w:pStyle w:val="aff4"/>
                      <w:ind w:firstLineChars="0" w:firstLine="0"/>
                      <w:jc w:val="left"/>
                      <w:rPr>
                        <w:rFonts w:ascii="宋体" w:hAnsi="宋体"/>
                      </w:rPr>
                    </w:pPr>
                    <w:r>
                      <w:rPr>
                        <w:rFonts w:ascii="宋体" w:hAnsi="宋体"/>
                      </w:rPr>
                      <w:t>采用公允价值模式进行后续计量的投资性房地产公允价值变动产生的损益</w:t>
                    </w:r>
                  </w:p>
                </w:tc>
              </w:sdtContent>
            </w:sdt>
            <w:tc>
              <w:tcPr>
                <w:tcW w:w="2937" w:type="dxa"/>
                <w:vAlign w:val="center"/>
              </w:tcPr>
              <w:p w14:paraId="467186F9"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0C53DD78" w14:textId="77777777" w:rsidR="00D21C1F" w:rsidRDefault="00D21C1F">
                <w:pPr>
                  <w:jc w:val="left"/>
                </w:pPr>
              </w:p>
            </w:tc>
          </w:tr>
          <w:tr w:rsidR="00D21C1F" w14:paraId="2D0B198C" w14:textId="77777777">
            <w:sdt>
              <w:sdtPr>
                <w:rPr>
                  <w:rFonts w:ascii="宋体" w:hAnsi="宋体"/>
                </w:rPr>
                <w:tag w:val="_PLD_aa0be028e1d94d7091c2fcdebb5010f4"/>
                <w:id w:val="105240747"/>
                <w:lock w:val="sdtLocked"/>
              </w:sdtPr>
              <w:sdtEndPr/>
              <w:sdtContent>
                <w:tc>
                  <w:tcPr>
                    <w:tcW w:w="2943" w:type="dxa"/>
                  </w:tcPr>
                  <w:p w14:paraId="00080701" w14:textId="77777777" w:rsidR="00D21C1F" w:rsidRDefault="00A42880">
                    <w:pPr>
                      <w:pStyle w:val="aff4"/>
                      <w:ind w:firstLineChars="0" w:firstLine="0"/>
                      <w:jc w:val="left"/>
                      <w:rPr>
                        <w:rFonts w:ascii="宋体" w:hAnsi="宋体"/>
                      </w:rPr>
                    </w:pPr>
                    <w:r>
                      <w:rPr>
                        <w:rFonts w:ascii="宋体" w:hAnsi="宋体"/>
                      </w:rPr>
                      <w:t>根据税收、会计等法律、法规的要求对当期损益进行一次性调整对当期损益的影响</w:t>
                    </w:r>
                  </w:p>
                </w:tc>
              </w:sdtContent>
            </w:sdt>
            <w:tc>
              <w:tcPr>
                <w:tcW w:w="2937" w:type="dxa"/>
                <w:vAlign w:val="center"/>
              </w:tcPr>
              <w:p w14:paraId="4F017313"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05A88536" w14:textId="77777777" w:rsidR="00D21C1F" w:rsidRDefault="00D21C1F">
                <w:pPr>
                  <w:jc w:val="left"/>
                </w:pPr>
              </w:p>
            </w:tc>
          </w:tr>
          <w:tr w:rsidR="00D21C1F" w14:paraId="4C574BBF" w14:textId="77777777">
            <w:sdt>
              <w:sdtPr>
                <w:rPr>
                  <w:rFonts w:ascii="宋体" w:hAnsi="宋体"/>
                </w:rPr>
                <w:tag w:val="_PLD_c52efb594a7b40eeacf6cee54ea027cd"/>
                <w:id w:val="1967394370"/>
                <w:lock w:val="sdtLocked"/>
              </w:sdtPr>
              <w:sdtEndPr/>
              <w:sdtContent>
                <w:tc>
                  <w:tcPr>
                    <w:tcW w:w="2943" w:type="dxa"/>
                  </w:tcPr>
                  <w:p w14:paraId="1DDFDACA" w14:textId="77777777" w:rsidR="00D21C1F" w:rsidRDefault="00A42880">
                    <w:pPr>
                      <w:pStyle w:val="aff4"/>
                      <w:ind w:firstLineChars="0" w:firstLine="0"/>
                      <w:jc w:val="left"/>
                      <w:rPr>
                        <w:rFonts w:ascii="宋体" w:hAnsi="宋体"/>
                      </w:rPr>
                    </w:pPr>
                    <w:r>
                      <w:rPr>
                        <w:rFonts w:ascii="宋体" w:hAnsi="宋体"/>
                      </w:rPr>
                      <w:t>受托经营取得的托管费收入</w:t>
                    </w:r>
                  </w:p>
                </w:tc>
              </w:sdtContent>
            </w:sdt>
            <w:tc>
              <w:tcPr>
                <w:tcW w:w="2937" w:type="dxa"/>
                <w:vAlign w:val="center"/>
              </w:tcPr>
              <w:p w14:paraId="2FD94370"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3CFCE12D" w14:textId="77777777" w:rsidR="00D21C1F" w:rsidRDefault="00D21C1F">
                <w:pPr>
                  <w:jc w:val="left"/>
                </w:pPr>
              </w:p>
            </w:tc>
          </w:tr>
          <w:tr w:rsidR="00D21C1F" w14:paraId="11BD2A8B" w14:textId="77777777">
            <w:sdt>
              <w:sdtPr>
                <w:rPr>
                  <w:rFonts w:ascii="宋体" w:hAnsi="宋体"/>
                </w:rPr>
                <w:tag w:val="_PLD_65d777c46bf342c69b250c467e00507e"/>
                <w:id w:val="1355075034"/>
                <w:lock w:val="sdtLocked"/>
              </w:sdtPr>
              <w:sdtEndPr/>
              <w:sdtContent>
                <w:tc>
                  <w:tcPr>
                    <w:tcW w:w="2943" w:type="dxa"/>
                  </w:tcPr>
                  <w:p w14:paraId="4C01B467" w14:textId="77777777" w:rsidR="00D21C1F" w:rsidRDefault="00A42880">
                    <w:pPr>
                      <w:pStyle w:val="aff4"/>
                      <w:ind w:firstLineChars="0" w:firstLine="0"/>
                      <w:jc w:val="left"/>
                      <w:rPr>
                        <w:rFonts w:ascii="宋体" w:hAnsi="宋体"/>
                      </w:rPr>
                    </w:pPr>
                    <w:r>
                      <w:rPr>
                        <w:rFonts w:ascii="宋体" w:hAnsi="宋体"/>
                      </w:rPr>
                      <w:t>除上述各项之外的其他营业外收入和支出</w:t>
                    </w:r>
                  </w:p>
                </w:tc>
              </w:sdtContent>
            </w:sdt>
            <w:tc>
              <w:tcPr>
                <w:tcW w:w="2937" w:type="dxa"/>
                <w:vAlign w:val="center"/>
              </w:tcPr>
              <w:p w14:paraId="7872C156" w14:textId="77777777" w:rsidR="00D21C1F" w:rsidRDefault="00A42880">
                <w:pPr>
                  <w:jc w:val="right"/>
                  <w:rPr>
                    <w:rFonts w:ascii="Times New Roman" w:hAnsi="Times New Roman" w:cs="Times New Roman"/>
                  </w:rPr>
                </w:pPr>
                <w:r>
                  <w:rPr>
                    <w:rFonts w:ascii="Times New Roman" w:hAnsi="Times New Roman" w:cs="Times New Roman"/>
                  </w:rPr>
                  <w:t>489.86</w:t>
                </w:r>
              </w:p>
            </w:tc>
            <w:tc>
              <w:tcPr>
                <w:tcW w:w="2943" w:type="dxa"/>
              </w:tcPr>
              <w:p w14:paraId="656FEBFD" w14:textId="77777777" w:rsidR="00D21C1F" w:rsidRDefault="00D21C1F">
                <w:pPr>
                  <w:jc w:val="left"/>
                </w:pPr>
              </w:p>
            </w:tc>
          </w:tr>
          <w:tr w:rsidR="00D21C1F" w14:paraId="1E106BD3" w14:textId="77777777">
            <w:sdt>
              <w:sdtPr>
                <w:rPr>
                  <w:rFonts w:ascii="宋体" w:hAnsi="宋体"/>
                </w:rPr>
                <w:tag w:val="_PLD_0bcc4b6356f34adeb11de3e851d72079"/>
                <w:id w:val="-1800143433"/>
                <w:lock w:val="sdtLocked"/>
              </w:sdtPr>
              <w:sdtEndPr/>
              <w:sdtContent>
                <w:tc>
                  <w:tcPr>
                    <w:tcW w:w="2943" w:type="dxa"/>
                  </w:tcPr>
                  <w:p w14:paraId="2115E3F9" w14:textId="77777777" w:rsidR="00D21C1F" w:rsidRDefault="00A42880">
                    <w:pPr>
                      <w:pStyle w:val="aff4"/>
                      <w:ind w:firstLineChars="0" w:firstLine="0"/>
                      <w:jc w:val="left"/>
                      <w:rPr>
                        <w:rFonts w:ascii="宋体" w:hAnsi="宋体"/>
                      </w:rPr>
                    </w:pPr>
                    <w:r>
                      <w:rPr>
                        <w:rFonts w:ascii="宋体" w:hAnsi="宋体"/>
                      </w:rPr>
                      <w:t>其他符合非经常性损益定义的损益项目</w:t>
                    </w:r>
                  </w:p>
                </w:tc>
              </w:sdtContent>
            </w:sdt>
            <w:tc>
              <w:tcPr>
                <w:tcW w:w="2937" w:type="dxa"/>
                <w:vAlign w:val="center"/>
              </w:tcPr>
              <w:p w14:paraId="5FD79A40" w14:textId="77777777" w:rsidR="00D21C1F" w:rsidRDefault="00A42880">
                <w:pPr>
                  <w:jc w:val="right"/>
                  <w:rPr>
                    <w:rFonts w:ascii="Times New Roman" w:hAnsi="Times New Roman" w:cs="Times New Roman"/>
                  </w:rPr>
                </w:pPr>
                <w:r>
                  <w:rPr>
                    <w:rFonts w:ascii="Times New Roman" w:hAnsi="Times New Roman" w:cs="Times New Roman"/>
                  </w:rPr>
                  <w:t>-</w:t>
                </w:r>
              </w:p>
            </w:tc>
            <w:tc>
              <w:tcPr>
                <w:tcW w:w="2943" w:type="dxa"/>
              </w:tcPr>
              <w:p w14:paraId="6D457E6F" w14:textId="77777777" w:rsidR="00D21C1F" w:rsidRDefault="00D21C1F">
                <w:pPr>
                  <w:jc w:val="left"/>
                </w:pPr>
              </w:p>
            </w:tc>
          </w:tr>
          <w:tr w:rsidR="00D21C1F" w14:paraId="691F0A17" w14:textId="77777777">
            <w:sdt>
              <w:sdtPr>
                <w:rPr>
                  <w:rFonts w:ascii="宋体" w:hAnsi="宋体"/>
                </w:rPr>
                <w:tag w:val="_PLD_4e0667d68c0b417b952eb294efd204d7"/>
                <w:id w:val="-1814246326"/>
                <w:lock w:val="sdtLocked"/>
              </w:sdtPr>
              <w:sdtEndPr/>
              <w:sdtContent>
                <w:tc>
                  <w:tcPr>
                    <w:tcW w:w="2943" w:type="dxa"/>
                  </w:tcPr>
                  <w:p w14:paraId="77054F19" w14:textId="77777777" w:rsidR="00D21C1F" w:rsidRDefault="00A42880">
                    <w:pPr>
                      <w:pStyle w:val="aff4"/>
                      <w:ind w:firstLineChars="0" w:firstLine="0"/>
                      <w:jc w:val="left"/>
                      <w:rPr>
                        <w:rFonts w:ascii="宋体" w:hAnsi="宋体"/>
                      </w:rPr>
                    </w:pPr>
                    <w:r>
                      <w:rPr>
                        <w:rFonts w:ascii="宋体" w:hAnsi="宋体"/>
                      </w:rPr>
                      <w:t>少数股东权益影响额</w:t>
                    </w:r>
                  </w:p>
                </w:tc>
              </w:sdtContent>
            </w:sdt>
            <w:tc>
              <w:tcPr>
                <w:tcW w:w="2937" w:type="dxa"/>
                <w:vAlign w:val="center"/>
              </w:tcPr>
              <w:p w14:paraId="21B85CEF" w14:textId="77777777" w:rsidR="00D21C1F" w:rsidRDefault="00A42880">
                <w:pPr>
                  <w:jc w:val="right"/>
                  <w:rPr>
                    <w:rFonts w:ascii="Times New Roman" w:hAnsi="Times New Roman" w:cs="Times New Roman"/>
                  </w:rPr>
                </w:pPr>
                <w:r>
                  <w:rPr>
                    <w:rFonts w:ascii="Times New Roman" w:hAnsi="Times New Roman" w:cs="Times New Roman"/>
                  </w:rPr>
                  <w:t>-0.78</w:t>
                </w:r>
              </w:p>
            </w:tc>
            <w:tc>
              <w:tcPr>
                <w:tcW w:w="2943" w:type="dxa"/>
              </w:tcPr>
              <w:p w14:paraId="38D1F133" w14:textId="77777777" w:rsidR="00D21C1F" w:rsidRDefault="00D21C1F">
                <w:pPr>
                  <w:jc w:val="left"/>
                </w:pPr>
              </w:p>
            </w:tc>
          </w:tr>
          <w:tr w:rsidR="00D21C1F" w14:paraId="6A511B2A" w14:textId="77777777">
            <w:sdt>
              <w:sdtPr>
                <w:rPr>
                  <w:rFonts w:ascii="宋体" w:hAnsi="宋体"/>
                </w:rPr>
                <w:tag w:val="_PLD_f67b3fcceba046d6ad67b7ce52c94054"/>
                <w:id w:val="-1886090511"/>
                <w:lock w:val="sdtLocked"/>
              </w:sdtPr>
              <w:sdtEndPr/>
              <w:sdtContent>
                <w:tc>
                  <w:tcPr>
                    <w:tcW w:w="2943" w:type="dxa"/>
                  </w:tcPr>
                  <w:p w14:paraId="66D30904" w14:textId="77777777" w:rsidR="00D21C1F" w:rsidRDefault="00A42880">
                    <w:pPr>
                      <w:pStyle w:val="aff4"/>
                      <w:ind w:firstLineChars="0" w:firstLine="0"/>
                      <w:jc w:val="left"/>
                      <w:rPr>
                        <w:rFonts w:ascii="宋体" w:hAnsi="宋体"/>
                      </w:rPr>
                    </w:pPr>
                    <w:r>
                      <w:rPr>
                        <w:rFonts w:ascii="宋体" w:hAnsi="宋体"/>
                      </w:rPr>
                      <w:t>所得税影响额</w:t>
                    </w:r>
                  </w:p>
                </w:tc>
              </w:sdtContent>
            </w:sdt>
            <w:tc>
              <w:tcPr>
                <w:tcW w:w="2937" w:type="dxa"/>
                <w:vAlign w:val="center"/>
              </w:tcPr>
              <w:p w14:paraId="490DD789" w14:textId="77777777" w:rsidR="00D21C1F" w:rsidRDefault="00A42880">
                <w:pPr>
                  <w:jc w:val="right"/>
                  <w:rPr>
                    <w:rFonts w:ascii="Times New Roman" w:hAnsi="Times New Roman" w:cs="Times New Roman"/>
                  </w:rPr>
                </w:pPr>
                <w:r>
                  <w:rPr>
                    <w:rFonts w:ascii="Times New Roman" w:hAnsi="Times New Roman" w:cs="Times New Roman"/>
                  </w:rPr>
                  <w:t>-601.14</w:t>
                </w:r>
              </w:p>
            </w:tc>
            <w:tc>
              <w:tcPr>
                <w:tcW w:w="2943" w:type="dxa"/>
              </w:tcPr>
              <w:p w14:paraId="331290FD" w14:textId="77777777" w:rsidR="00D21C1F" w:rsidRDefault="00D21C1F">
                <w:pPr>
                  <w:jc w:val="left"/>
                </w:pPr>
              </w:p>
            </w:tc>
          </w:tr>
          <w:tr w:rsidR="00D21C1F" w14:paraId="73AAF7FA" w14:textId="77777777">
            <w:sdt>
              <w:sdtPr>
                <w:rPr>
                  <w:rFonts w:ascii="宋体" w:hAnsi="宋体"/>
                </w:rPr>
                <w:tag w:val="_PLD_196ea10929cc45b2a25a10ce3f3fd3ad"/>
                <w:id w:val="-1967660372"/>
                <w:lock w:val="sdtLocked"/>
              </w:sdtPr>
              <w:sdtEndPr/>
              <w:sdtContent>
                <w:tc>
                  <w:tcPr>
                    <w:tcW w:w="2943" w:type="dxa"/>
                  </w:tcPr>
                  <w:p w14:paraId="448C119E" w14:textId="77777777" w:rsidR="00D21C1F" w:rsidRDefault="00A42880">
                    <w:pPr>
                      <w:pStyle w:val="aff4"/>
                      <w:ind w:firstLineChars="0" w:firstLine="0"/>
                      <w:jc w:val="left"/>
                      <w:rPr>
                        <w:rFonts w:ascii="宋体" w:hAnsi="宋体"/>
                      </w:rPr>
                    </w:pPr>
                    <w:r>
                      <w:rPr>
                        <w:rFonts w:ascii="宋体" w:hAnsi="宋体"/>
                      </w:rPr>
                      <w:t>合计</w:t>
                    </w:r>
                  </w:p>
                </w:tc>
              </w:sdtContent>
            </w:sdt>
            <w:tc>
              <w:tcPr>
                <w:tcW w:w="2937" w:type="dxa"/>
                <w:vAlign w:val="center"/>
              </w:tcPr>
              <w:p w14:paraId="4C8CC1CD" w14:textId="77777777" w:rsidR="00D21C1F" w:rsidRDefault="00A42880">
                <w:pPr>
                  <w:jc w:val="right"/>
                  <w:rPr>
                    <w:rFonts w:ascii="Times New Roman" w:hAnsi="Times New Roman" w:cs="Times New Roman"/>
                  </w:rPr>
                </w:pPr>
                <w:r>
                  <w:rPr>
                    <w:rFonts w:ascii="Times New Roman" w:hAnsi="Times New Roman" w:cs="Times New Roman"/>
                  </w:rPr>
                  <w:t>2,567.54</w:t>
                </w:r>
              </w:p>
            </w:tc>
            <w:tc>
              <w:tcPr>
                <w:tcW w:w="2943" w:type="dxa"/>
              </w:tcPr>
              <w:p w14:paraId="4EF3A26C" w14:textId="77777777" w:rsidR="00D21C1F" w:rsidRDefault="00D21C1F">
                <w:pPr>
                  <w:jc w:val="left"/>
                </w:pPr>
              </w:p>
            </w:tc>
          </w:tr>
        </w:tbl>
        <w:p w14:paraId="00F81D7F" w14:textId="77777777" w:rsidR="00D21C1F" w:rsidRDefault="00045EC6">
          <w:pPr>
            <w:pStyle w:val="97"/>
          </w:pPr>
        </w:p>
      </w:sdtContent>
    </w:sdt>
    <w:bookmarkEnd w:id="30" w:displacedByCustomXml="next"/>
    <w:bookmarkStart w:id="31" w:name="_Hlk59697297" w:displacedByCustomXml="next"/>
    <w:bookmarkStart w:id="32" w:name="_Hlk72845387" w:displacedByCustomXml="next"/>
    <w:sdt>
      <w:sdtPr>
        <w:rPr>
          <w:rFonts w:eastAsiaTheme="minorEastAsia" w:hint="eastAsia"/>
          <w:b w:val="0"/>
          <w:bCs w:val="0"/>
        </w:rPr>
        <w:alias w:val="模块:非企业会计准则业绩指标说明"/>
        <w:tag w:val="_SEC_6c403613f02b40eba21786ea5695593b"/>
        <w:id w:val="-737014656"/>
        <w:lock w:val="sdtLocked"/>
        <w:placeholder>
          <w:docPart w:val="GBC22222222222222222222222222222"/>
        </w:placeholder>
      </w:sdtPr>
      <w:sdtEndPr>
        <w:rPr>
          <w:rFonts w:eastAsia="宋体"/>
        </w:rPr>
      </w:sdtEndPr>
      <w:sdtContent>
        <w:p w14:paraId="4990455D" w14:textId="77777777" w:rsidR="00D21C1F" w:rsidRDefault="00A42880">
          <w:pPr>
            <w:pStyle w:val="2"/>
            <w:numPr>
              <w:ilvl w:val="1"/>
              <w:numId w:val="4"/>
            </w:numPr>
          </w:pPr>
          <w:r>
            <w:rPr>
              <w:rFonts w:hint="eastAsia"/>
            </w:rPr>
            <w:t>非企业会计准则业绩指标说明</w:t>
          </w:r>
        </w:p>
        <w:sdt>
          <w:sdtPr>
            <w:rPr>
              <w:rFonts w:eastAsia="宋体"/>
            </w:rPr>
            <w:alias w:val="是否适用：非企业会计准则业绩指标说明[双击切换]"/>
            <w:tag w:val="_GBC_679aea099c1d400f96e53eb44112035b"/>
            <w:id w:val="-1935121927"/>
            <w:lock w:val="sdtLocked"/>
            <w:placeholder>
              <w:docPart w:val="GBC22222222222222222222222222222"/>
            </w:placeholder>
          </w:sdtPr>
          <w:sdtEndPr/>
          <w:sdtContent>
            <w:p w14:paraId="3EC1CB6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2BA58384" w14:textId="77777777" w:rsidR="00D21C1F" w:rsidRDefault="00A42880">
              <w:pPr>
                <w:rPr>
                  <w:rFonts w:eastAsiaTheme="minorEastAsia"/>
                </w:rPr>
              </w:pPr>
              <w:r>
                <w:br w:type="page"/>
              </w:r>
            </w:p>
          </w:sdtContent>
        </w:sdt>
      </w:sdtContent>
    </w:sdt>
    <w:p w14:paraId="07B328E9" w14:textId="77777777" w:rsidR="00D21C1F" w:rsidRDefault="00A42880">
      <w:pPr>
        <w:pStyle w:val="10"/>
        <w:numPr>
          <w:ilvl w:val="0"/>
          <w:numId w:val="3"/>
        </w:numPr>
        <w:rPr>
          <w:rFonts w:ascii="黑体" w:hAnsi="黑体"/>
          <w:szCs w:val="21"/>
        </w:rPr>
      </w:pPr>
      <w:bookmarkStart w:id="33" w:name="_Toc79755142"/>
      <w:bookmarkEnd w:id="32"/>
      <w:bookmarkEnd w:id="31"/>
      <w:r>
        <w:rPr>
          <w:rFonts w:ascii="黑体" w:hAnsi="黑体" w:hint="eastAsia"/>
          <w:szCs w:val="21"/>
        </w:rPr>
        <w:lastRenderedPageBreak/>
        <w:t>管理层讨论与分析</w:t>
      </w:r>
      <w:bookmarkEnd w:id="33"/>
    </w:p>
    <w:sdt>
      <w:sdtPr>
        <w:rPr>
          <w:rFonts w:hint="eastAsia"/>
          <w:b w:val="0"/>
          <w:bCs w:val="0"/>
        </w:rPr>
        <w:alias w:val="模块:报告期内公司所从事的主要业务、经营模式及行业情况说明"/>
        <w:tag w:val="_SEC_30613ac4c1d74a918acca2b58acc457d"/>
        <w:id w:val="779772277"/>
        <w:lock w:val="sdtLocked"/>
        <w:placeholder>
          <w:docPart w:val="GBC22222222222222222222222222222"/>
        </w:placeholder>
      </w:sdtPr>
      <w:sdtEndPr/>
      <w:sdtContent>
        <w:p w14:paraId="7F3530D5" w14:textId="77777777" w:rsidR="00D21C1F" w:rsidRDefault="00A42880">
          <w:pPr>
            <w:pStyle w:val="2"/>
            <w:numPr>
              <w:ilvl w:val="0"/>
              <w:numId w:val="7"/>
            </w:numPr>
          </w:pPr>
          <w:r>
            <w:rPr>
              <w:rFonts w:hint="eastAsia"/>
            </w:rPr>
            <w:t>报告期内公司所属行业及主营业务情况说明</w:t>
          </w:r>
        </w:p>
        <w:sdt>
          <w:sdtPr>
            <w:rPr>
              <w:rFonts w:ascii="宋体" w:hAnsi="宋体" w:cs="宋体" w:hint="eastAsia"/>
              <w:b w:val="0"/>
              <w:bCs w:val="0"/>
              <w:kern w:val="0"/>
              <w:szCs w:val="24"/>
            </w:rPr>
            <w:alias w:val="报告期内公司所从事的主要业务、经营模式及行业情况说明"/>
            <w:tag w:val="_GBC_5c28d6f46eea48f892bed0c5fc99ab60"/>
            <w:id w:val="-1923712315"/>
            <w:lock w:val="sdtLocked"/>
            <w:placeholder>
              <w:docPart w:val="GBC22222222222222222222222222222"/>
            </w:placeholder>
          </w:sdtPr>
          <w:sdtEndPr/>
          <w:sdtContent>
            <w:p w14:paraId="369F5271" w14:textId="77777777" w:rsidR="00D21C1F" w:rsidRDefault="00A42880">
              <w:pPr>
                <w:pStyle w:val="3"/>
                <w:numPr>
                  <w:ilvl w:val="0"/>
                  <w:numId w:val="8"/>
                </w:numPr>
              </w:pPr>
              <w:r>
                <w:rPr>
                  <w:rFonts w:hint="eastAsia"/>
                </w:rPr>
                <w:t>所处行业情况</w:t>
              </w:r>
            </w:p>
            <w:p w14:paraId="192A84A8" w14:textId="77777777" w:rsidR="00D21C1F" w:rsidRDefault="00A42880">
              <w:pPr>
                <w:pStyle w:val="4"/>
                <w:numPr>
                  <w:ilvl w:val="0"/>
                  <w:numId w:val="9"/>
                </w:numPr>
              </w:pPr>
              <w:r>
                <w:t>行业的发展阶段、基本特点、主要技术门槛</w:t>
              </w:r>
            </w:p>
            <w:p w14:paraId="0F2FDF13" w14:textId="77777777" w:rsidR="00D21C1F" w:rsidRDefault="00A42880">
              <w:pPr>
                <w:numPr>
                  <w:ilvl w:val="1"/>
                  <w:numId w:val="10"/>
                </w:numPr>
              </w:pPr>
              <w:r>
                <w:rPr>
                  <w:rFonts w:hint="eastAsia"/>
                </w:rPr>
                <w:t>行业基本特点：</w:t>
              </w:r>
            </w:p>
            <w:p w14:paraId="3A8D9EAA" w14:textId="77777777" w:rsidR="00D21C1F" w:rsidRDefault="00A42880">
              <w:pPr>
                <w:spacing w:line="360" w:lineRule="auto"/>
                <w:ind w:firstLineChars="200" w:firstLine="420"/>
                <w:jc w:val="both"/>
                <w:rPr>
                  <w:szCs w:val="21"/>
                </w:rPr>
              </w:pPr>
              <w:r>
                <w:rPr>
                  <w:rFonts w:hint="eastAsia"/>
                  <w:szCs w:val="21"/>
                </w:rPr>
                <w:t>公司主要从事工业机器人核心零部件、整机、系统集成的研发、生产、销售业务。</w:t>
              </w:r>
            </w:p>
            <w:p w14:paraId="660CB387" w14:textId="77777777" w:rsidR="00D21C1F" w:rsidRDefault="00A42880">
              <w:pPr>
                <w:spacing w:line="360" w:lineRule="auto"/>
                <w:ind w:firstLineChars="200" w:firstLine="420"/>
                <w:jc w:val="both"/>
                <w:rPr>
                  <w:szCs w:val="21"/>
                </w:rPr>
              </w:pPr>
              <w:r>
                <w:rPr>
                  <w:rFonts w:hint="eastAsia"/>
                  <w:szCs w:val="21"/>
                </w:rPr>
                <w:t>根据《上市公司行业分类指引》（</w:t>
              </w:r>
              <w:r>
                <w:rPr>
                  <w:rFonts w:ascii="Times New Roman" w:hAnsi="Times New Roman"/>
                  <w:szCs w:val="21"/>
                </w:rPr>
                <w:t>2012</w:t>
              </w:r>
              <w:r>
                <w:rPr>
                  <w:szCs w:val="21"/>
                </w:rPr>
                <w:t xml:space="preserve"> 年修订）和《国民经济行业分类》（</w:t>
              </w:r>
              <w:r>
                <w:rPr>
                  <w:rFonts w:ascii="Times New Roman" w:hAnsi="Times New Roman"/>
                  <w:szCs w:val="21"/>
                </w:rPr>
                <w:t>GB</w:t>
              </w:r>
              <w:r>
                <w:rPr>
                  <w:szCs w:val="21"/>
                </w:rPr>
                <w:t>/</w:t>
              </w:r>
              <w:r>
                <w:rPr>
                  <w:rFonts w:ascii="Times New Roman" w:hAnsi="Times New Roman"/>
                  <w:szCs w:val="21"/>
                </w:rPr>
                <w:t>T4754</w:t>
              </w:r>
              <w:r>
                <w:rPr>
                  <w:szCs w:val="21"/>
                </w:rPr>
                <w:t>-</w:t>
              </w:r>
              <w:r>
                <w:rPr>
                  <w:rFonts w:ascii="Times New Roman" w:hAnsi="Times New Roman"/>
                  <w:szCs w:val="21"/>
                </w:rPr>
                <w:t>2017</w:t>
              </w:r>
              <w:r>
                <w:rPr>
                  <w:szCs w:val="21"/>
                </w:rPr>
                <w:t>），公司工业机器人整机业务属于“</w:t>
              </w:r>
              <w:r>
                <w:rPr>
                  <w:rFonts w:ascii="Times New Roman" w:hAnsi="Times New Roman"/>
                  <w:szCs w:val="21"/>
                </w:rPr>
                <w:t>C34</w:t>
              </w:r>
              <w:r>
                <w:rPr>
                  <w:szCs w:val="21"/>
                </w:rPr>
                <w:t>通用设备制造业”中的“</w:t>
              </w:r>
              <w:r>
                <w:rPr>
                  <w:rFonts w:ascii="Times New Roman" w:hAnsi="Times New Roman"/>
                  <w:szCs w:val="21"/>
                </w:rPr>
                <w:t>C3491</w:t>
              </w:r>
              <w:r>
                <w:rPr>
                  <w:szCs w:val="21"/>
                </w:rPr>
                <w:t>工业机器人</w:t>
              </w:r>
              <w:r>
                <w:rPr>
                  <w:rFonts w:hint="eastAsia"/>
                  <w:szCs w:val="21"/>
                </w:rPr>
                <w:t>制造”</w:t>
              </w:r>
              <w:r>
                <w:rPr>
                  <w:szCs w:val="21"/>
                </w:rPr>
                <w:t xml:space="preserve"> ；公司控制器及伺服驱动业务归属于“</w:t>
              </w:r>
              <w:r>
                <w:rPr>
                  <w:rFonts w:ascii="Times New Roman" w:hAnsi="Times New Roman"/>
                  <w:szCs w:val="21"/>
                </w:rPr>
                <w:t>C40</w:t>
              </w:r>
              <w:r>
                <w:rPr>
                  <w:szCs w:val="21"/>
                </w:rPr>
                <w:t>仪器仪表制造业”中的“</w:t>
              </w:r>
              <w:r>
                <w:rPr>
                  <w:rFonts w:ascii="Times New Roman" w:hAnsi="Times New Roman"/>
                  <w:szCs w:val="21"/>
                </w:rPr>
                <w:t>C4011</w:t>
              </w:r>
              <w:r>
                <w:rPr>
                  <w:szCs w:val="21"/>
                </w:rPr>
                <w:t>工业自动控制</w:t>
              </w:r>
              <w:r>
                <w:rPr>
                  <w:rFonts w:hint="eastAsia"/>
                  <w:szCs w:val="21"/>
                </w:rPr>
                <w:t>系统装置制造”</w:t>
              </w:r>
              <w:r>
                <w:rPr>
                  <w:szCs w:val="21"/>
                </w:rPr>
                <w:t>；公司工业机器人系统集成业务属于“</w:t>
              </w:r>
              <w:r>
                <w:rPr>
                  <w:rFonts w:ascii="Times New Roman" w:hAnsi="Times New Roman"/>
                  <w:szCs w:val="21"/>
                </w:rPr>
                <w:t>C35</w:t>
              </w:r>
              <w:r>
                <w:rPr>
                  <w:szCs w:val="21"/>
                </w:rPr>
                <w:t>专用设备制造业”。根据《战略性新</w:t>
              </w:r>
              <w:r>
                <w:rPr>
                  <w:rFonts w:hint="eastAsia"/>
                  <w:szCs w:val="21"/>
                </w:rPr>
                <w:t>兴产业分类（</w:t>
              </w:r>
              <w:r>
                <w:rPr>
                  <w:rFonts w:ascii="Times New Roman" w:hAnsi="Times New Roman"/>
                  <w:szCs w:val="21"/>
                </w:rPr>
                <w:t>2018</w:t>
              </w:r>
              <w:r>
                <w:rPr>
                  <w:szCs w:val="21"/>
                </w:rPr>
                <w:t>）》，高端装备制造产业作为中国当前重点发展的战略性新兴产业之一，公司</w:t>
              </w:r>
              <w:r>
                <w:rPr>
                  <w:rFonts w:hint="eastAsia"/>
                  <w:szCs w:val="21"/>
                </w:rPr>
                <w:t>主营业务属于“</w:t>
              </w:r>
              <w:r>
                <w:rPr>
                  <w:rFonts w:ascii="Times New Roman" w:hAnsi="Times New Roman"/>
                  <w:szCs w:val="21"/>
                </w:rPr>
                <w:t>2</w:t>
              </w:r>
              <w:r>
                <w:rPr>
                  <w:szCs w:val="21"/>
                </w:rPr>
                <w:t>高端装备制造产业” 中的“</w:t>
              </w:r>
              <w:r>
                <w:rPr>
                  <w:rFonts w:ascii="Times New Roman" w:hAnsi="Times New Roman"/>
                  <w:szCs w:val="21"/>
                </w:rPr>
                <w:t>2</w:t>
              </w:r>
              <w:r>
                <w:rPr>
                  <w:szCs w:val="21"/>
                </w:rPr>
                <w:t>.</w:t>
              </w:r>
              <w:r>
                <w:rPr>
                  <w:rFonts w:ascii="Times New Roman" w:hAnsi="Times New Roman"/>
                  <w:szCs w:val="21"/>
                </w:rPr>
                <w:t>1</w:t>
              </w:r>
              <w:r>
                <w:rPr>
                  <w:szCs w:val="21"/>
                </w:rPr>
                <w:t>智能制造装备产业” 。</w:t>
              </w:r>
            </w:p>
            <w:p w14:paraId="10501EBC" w14:textId="77777777" w:rsidR="00D21C1F" w:rsidRDefault="00A42880">
              <w:pPr>
                <w:spacing w:line="360" w:lineRule="auto"/>
                <w:ind w:firstLineChars="200" w:firstLine="420"/>
                <w:jc w:val="both"/>
                <w:rPr>
                  <w:szCs w:val="21"/>
                </w:rPr>
              </w:pPr>
              <w:r>
                <w:rPr>
                  <w:szCs w:val="21"/>
                </w:rPr>
                <w:t>产业链上游主要为伺服系统、减速器、控制器等核心零部件和齿轮、涡轮、蜗杆等关键材料。减速器、伺服系统（包括伺服电机和伺服驱动）及控制器是工业机器人的三大核心零部件，直接决定工业机器人的性能、可靠性和负荷能力，对机器人整机起着至关重要的作用。</w:t>
              </w:r>
            </w:p>
            <w:p w14:paraId="6CB7B9DB" w14:textId="77777777" w:rsidR="00D21C1F" w:rsidRDefault="00A42880">
              <w:pPr>
                <w:spacing w:line="360" w:lineRule="auto"/>
                <w:ind w:firstLineChars="200" w:firstLine="420"/>
                <w:jc w:val="both"/>
                <w:rPr>
                  <w:szCs w:val="21"/>
                </w:rPr>
              </w:pPr>
              <w:r>
                <w:rPr>
                  <w:szCs w:val="21"/>
                </w:rPr>
                <w:t>产业链中游是工业机器人整机制造，工业机器人整机制造的技术主要体现于：</w:t>
              </w:r>
              <w:r>
                <w:rPr>
                  <w:rFonts w:hint="eastAsia"/>
                  <w:szCs w:val="21"/>
                </w:rPr>
                <w:t>①</w:t>
              </w:r>
              <w:r>
                <w:rPr>
                  <w:szCs w:val="21"/>
                </w:rPr>
                <w:t>整机结构设计和加工工艺，重点解决机械防护、精度补偿、机械刚度优化等机械问题；</w:t>
              </w:r>
              <w:r>
                <w:rPr>
                  <w:rFonts w:hint="eastAsia"/>
                  <w:szCs w:val="21"/>
                </w:rPr>
                <w:t>②</w:t>
              </w:r>
              <w:r>
                <w:rPr>
                  <w:szCs w:val="21"/>
                </w:rPr>
                <w:t>结合机械本体开发机器人专用运动学，动力学控制算法，实现机器人整机的各项性能指标；</w:t>
              </w:r>
              <w:r>
                <w:rPr>
                  <w:rFonts w:hint="eastAsia"/>
                  <w:szCs w:val="21"/>
                </w:rPr>
                <w:t>③</w:t>
              </w:r>
              <w:r>
                <w:rPr>
                  <w:szCs w:val="21"/>
                </w:rPr>
                <w:t>针对行业和应用场景，开发机器人编程环境和工艺包，以满足机器人相关功能需求。</w:t>
              </w:r>
            </w:p>
            <w:p w14:paraId="5F62032A" w14:textId="77777777" w:rsidR="00D21C1F" w:rsidRDefault="00A42880">
              <w:pPr>
                <w:spacing w:line="360" w:lineRule="auto"/>
                <w:ind w:firstLineChars="200" w:firstLine="420"/>
                <w:jc w:val="both"/>
                <w:rPr>
                  <w:szCs w:val="21"/>
                </w:rPr>
              </w:pPr>
              <w:r>
                <w:rPr>
                  <w:szCs w:val="21"/>
                </w:rPr>
                <w:t>产业链下游主要面向终端用户及市场应用，包括系统集成、销售代理、本地合作、工业机器人租赁、工业机器人培训等第三方服务。</w:t>
              </w:r>
            </w:p>
            <w:p w14:paraId="4E203ECB" w14:textId="77777777" w:rsidR="00D21C1F" w:rsidRDefault="00A42880">
              <w:pPr>
                <w:numPr>
                  <w:ilvl w:val="1"/>
                  <w:numId w:val="10"/>
                </w:numPr>
              </w:pPr>
              <w:r>
                <w:rPr>
                  <w:rFonts w:hint="eastAsia"/>
                </w:rPr>
                <w:t>行业主要技术门槛：</w:t>
              </w:r>
            </w:p>
            <w:p w14:paraId="4615D819" w14:textId="03F4FD6B" w:rsidR="00D21C1F" w:rsidRDefault="00A42880">
              <w:pPr>
                <w:spacing w:line="360" w:lineRule="auto"/>
                <w:ind w:firstLineChars="200" w:firstLine="420"/>
                <w:jc w:val="both"/>
                <w:rPr>
                  <w:szCs w:val="21"/>
                </w:rPr>
              </w:pPr>
              <w:r>
                <w:rPr>
                  <w:rFonts w:hint="eastAsia"/>
                  <w:szCs w:val="21"/>
                </w:rPr>
                <w:t>工业机器人及核心零部件和系统集成是一个技术门槛相对较高，需要长期行业及应用积累的行业，集成了精密传动、伺服驱动、运动控制、人机交互、视觉等技术领域。除了提供标准产品外，还需要提供相关的技术支持和培训的服务。机器人为标准的产品，针对不同的行业应用需要系统集成进行一定的定制化解决方案开发</w:t>
              </w:r>
              <w:r w:rsidR="006D52F9">
                <w:rPr>
                  <w:rFonts w:hint="eastAsia"/>
                  <w:szCs w:val="21"/>
                </w:rPr>
                <w:t>，</w:t>
              </w:r>
              <w:r>
                <w:rPr>
                  <w:rFonts w:hint="eastAsia"/>
                  <w:szCs w:val="21"/>
                </w:rPr>
                <w:t>应用领域涉及到制造业的各个方面，如汽车、</w:t>
              </w:r>
              <w:r>
                <w:rPr>
                  <w:rFonts w:ascii="Times New Roman" w:hAnsi="Times New Roman" w:cs="Times New Roman"/>
                  <w:szCs w:val="21"/>
                </w:rPr>
                <w:t>3C</w:t>
              </w:r>
              <w:r>
                <w:rPr>
                  <w:rFonts w:hint="eastAsia"/>
                  <w:szCs w:val="21"/>
                </w:rPr>
                <w:t>电子、金属加工、新能源、船舶、桥梁、航空航天、食品、建材、卫浴陶瓷、家具等等，其为一种通用的工具，为生产柔性化制造提供执行的单元。</w:t>
              </w:r>
            </w:p>
            <w:p w14:paraId="4F101591" w14:textId="77777777" w:rsidR="00D21C1F" w:rsidRDefault="00A42880">
              <w:pPr>
                <w:spacing w:line="360" w:lineRule="auto"/>
                <w:ind w:firstLineChars="200" w:firstLine="420"/>
                <w:jc w:val="both"/>
                <w:rPr>
                  <w:szCs w:val="21"/>
                </w:rPr>
              </w:pPr>
              <w:r>
                <w:rPr>
                  <w:szCs w:val="21"/>
                </w:rPr>
                <w:t>该领域的技术门槛按核心零部件、机器人整机及系统集成包含：</w:t>
              </w:r>
            </w:p>
            <w:p w14:paraId="37183764" w14:textId="77777777" w:rsidR="00D21C1F" w:rsidRDefault="00A42880">
              <w:pPr>
                <w:spacing w:line="360" w:lineRule="auto"/>
                <w:ind w:firstLineChars="200" w:firstLine="420"/>
                <w:jc w:val="both"/>
                <w:rPr>
                  <w:szCs w:val="21"/>
                </w:rPr>
              </w:pPr>
              <w:r>
                <w:rPr>
                  <w:szCs w:val="21"/>
                </w:rPr>
                <w:t>核心零部件减速器：谐波减速器已实现技术突破，可实现进口替代，但</w:t>
              </w:r>
              <w:r>
                <w:rPr>
                  <w:rFonts w:ascii="Times New Roman" w:hAnsi="Times New Roman"/>
                  <w:szCs w:val="21"/>
                </w:rPr>
                <w:t>RV</w:t>
              </w:r>
              <w:r>
                <w:rPr>
                  <w:szCs w:val="21"/>
                </w:rPr>
                <w:t>减速器由于传动精度、扭转刚度等性能问题，部分仍然依赖进口；</w:t>
              </w:r>
            </w:p>
            <w:p w14:paraId="3711B765" w14:textId="77777777" w:rsidR="00D21C1F" w:rsidRDefault="00A42880">
              <w:pPr>
                <w:spacing w:line="360" w:lineRule="auto"/>
                <w:ind w:firstLineChars="200" w:firstLine="420"/>
                <w:jc w:val="both"/>
                <w:rPr>
                  <w:szCs w:val="21"/>
                </w:rPr>
              </w:pPr>
              <w:r>
                <w:rPr>
                  <w:szCs w:val="21"/>
                </w:rPr>
                <w:t>伺服系统：机器人需要高速、高精度、高可靠的伺服电机和伺服驱动（统称为伺服系统），国产产品只能满足部分低端机器人需求；</w:t>
              </w:r>
            </w:p>
            <w:p w14:paraId="3DB55CC8" w14:textId="77777777" w:rsidR="00D21C1F" w:rsidRDefault="00A42880">
              <w:pPr>
                <w:spacing w:line="360" w:lineRule="auto"/>
                <w:ind w:firstLineChars="200" w:firstLine="420"/>
                <w:jc w:val="both"/>
                <w:rPr>
                  <w:szCs w:val="21"/>
                </w:rPr>
              </w:pPr>
              <w:r>
                <w:rPr>
                  <w:szCs w:val="21"/>
                </w:rPr>
                <w:lastRenderedPageBreak/>
                <w:t>控制器：国产厂商已经解决有无问题，但在稳定性、响应速度、易用性方面与国际主流产品存在一定的差距。</w:t>
              </w:r>
            </w:p>
            <w:p w14:paraId="71B53C3F" w14:textId="77777777" w:rsidR="00D21C1F" w:rsidRDefault="00A42880">
              <w:pPr>
                <w:spacing w:line="360" w:lineRule="auto"/>
                <w:ind w:firstLineChars="200" w:firstLine="420"/>
                <w:jc w:val="both"/>
                <w:rPr>
                  <w:szCs w:val="21"/>
                </w:rPr>
              </w:pPr>
              <w:r>
                <w:rPr>
                  <w:szCs w:val="21"/>
                </w:rPr>
                <w:t>机器人整机的技术包括：①关节机器人的整机优化设计；②新一代智能机器人控制技术；③核心零部件制造技术；④关节机器人</w:t>
              </w:r>
              <w:r>
                <w:rPr>
                  <w:rFonts w:hint="eastAsia"/>
                  <w:szCs w:val="21"/>
                </w:rPr>
                <w:t>的离线编程和仿真技术；⑤基于外部传感技术的运动控制；⑥远程故障诊断和修复；⑦人机协同作业技术。</w:t>
              </w:r>
            </w:p>
            <w:p w14:paraId="50D523B0" w14:textId="77777777" w:rsidR="00D21C1F" w:rsidRDefault="00A42880">
              <w:pPr>
                <w:spacing w:line="360" w:lineRule="auto"/>
                <w:ind w:firstLineChars="200" w:firstLine="420"/>
                <w:jc w:val="both"/>
                <w:rPr>
                  <w:szCs w:val="21"/>
                </w:rPr>
              </w:pPr>
              <w:r>
                <w:rPr>
                  <w:rFonts w:hint="eastAsia"/>
                  <w:szCs w:val="21"/>
                </w:rPr>
                <w:t>系统集成的技术包括：面向汽车行业高端系统集成技术，如动力总成、车身制造、总装设备、柔性冲压、高效精冲、高端涂装线等技术，以及面向通用行业的相关工艺技术。</w:t>
              </w:r>
            </w:p>
            <w:p w14:paraId="1BC6F8DF" w14:textId="77777777" w:rsidR="00D21C1F" w:rsidRDefault="00A42880">
              <w:pPr>
                <w:numPr>
                  <w:ilvl w:val="1"/>
                  <w:numId w:val="10"/>
                </w:numPr>
              </w:pPr>
              <w:r>
                <w:rPr>
                  <w:rFonts w:hint="eastAsia"/>
                </w:rPr>
                <w:t>行业发展趋势：</w:t>
              </w:r>
            </w:p>
            <w:p w14:paraId="3B464600" w14:textId="77777777" w:rsidR="00D21C1F" w:rsidRDefault="00A42880">
              <w:pPr>
                <w:spacing w:line="360" w:lineRule="auto"/>
                <w:ind w:firstLineChars="200" w:firstLine="420"/>
                <w:jc w:val="both"/>
                <w:rPr>
                  <w:szCs w:val="21"/>
                </w:rPr>
              </w:pPr>
              <w:r>
                <w:rPr>
                  <w:rFonts w:hint="eastAsia"/>
                  <w:szCs w:val="21"/>
                </w:rPr>
                <w:t>我国从</w:t>
              </w:r>
              <w:r>
                <w:rPr>
                  <w:rFonts w:ascii="Times New Roman" w:hAnsi="Times New Roman"/>
                  <w:szCs w:val="21"/>
                </w:rPr>
                <w:t>2013</w:t>
              </w:r>
              <w:r>
                <w:rPr>
                  <w:szCs w:val="21"/>
                </w:rPr>
                <w:t>年起成为全球最大的机器人应用市场</w:t>
              </w:r>
              <w:r>
                <w:rPr>
                  <w:rFonts w:hint="eastAsia"/>
                  <w:szCs w:val="21"/>
                </w:rPr>
                <w:t>。</w:t>
              </w:r>
              <w:r>
                <w:rPr>
                  <w:szCs w:val="21"/>
                </w:rPr>
                <w:t>随着碳中和、制造业转型升级、新基建、汽车电动化等新发展动力和趋势推动下，从</w:t>
              </w:r>
              <w:r>
                <w:rPr>
                  <w:rFonts w:ascii="Times New Roman" w:hAnsi="Times New Roman"/>
                  <w:szCs w:val="21"/>
                </w:rPr>
                <w:t>2020</w:t>
              </w:r>
              <w:r>
                <w:rPr>
                  <w:szCs w:val="21"/>
                </w:rPr>
                <w:t>年第</w:t>
              </w:r>
              <w:r>
                <w:rPr>
                  <w:rFonts w:ascii="Times New Roman" w:hAnsi="Times New Roman"/>
                  <w:szCs w:val="21"/>
                </w:rPr>
                <w:t>4</w:t>
              </w:r>
              <w:r>
                <w:rPr>
                  <w:szCs w:val="21"/>
                </w:rPr>
                <w:t>季度开始行业进入一个</w:t>
              </w:r>
              <w:r>
                <w:rPr>
                  <w:rFonts w:hint="eastAsia"/>
                  <w:szCs w:val="21"/>
                </w:rPr>
                <w:t>较为</w:t>
              </w:r>
              <w:r>
                <w:rPr>
                  <w:szCs w:val="21"/>
                </w:rPr>
                <w:t>快速</w:t>
              </w:r>
              <w:r>
                <w:rPr>
                  <w:rFonts w:hint="eastAsia"/>
                  <w:szCs w:val="21"/>
                </w:rPr>
                <w:t>的</w:t>
              </w:r>
              <w:r>
                <w:rPr>
                  <w:szCs w:val="21"/>
                </w:rPr>
                <w:t>发展阶段。</w:t>
              </w:r>
              <w:r>
                <w:rPr>
                  <w:rFonts w:hint="eastAsia"/>
                  <w:szCs w:val="21"/>
                </w:rPr>
                <w:t>特别是后疫情时代，各个生产企业在复工复产的过程中逐渐认识到自动化生产、减小人员依赖的重要性，开始尝试提高自己的自动化率，这也</w:t>
              </w:r>
              <w:r>
                <w:rPr>
                  <w:rFonts w:ascii="Times New Roman" w:hAnsi="Times New Roman" w:cs="Times New Roman"/>
                  <w:szCs w:val="21"/>
                </w:rPr>
                <w:t>是</w:t>
              </w:r>
              <w:r>
                <w:rPr>
                  <w:rFonts w:ascii="Times New Roman" w:hAnsi="Times New Roman" w:cs="Times New Roman"/>
                  <w:szCs w:val="21"/>
                </w:rPr>
                <w:t>2020</w:t>
              </w:r>
              <w:r>
                <w:rPr>
                  <w:rFonts w:ascii="Times New Roman" w:hAnsi="Times New Roman" w:cs="Times New Roman"/>
                  <w:szCs w:val="21"/>
                </w:rPr>
                <w:t>年第</w:t>
              </w:r>
              <w:r>
                <w:rPr>
                  <w:rFonts w:ascii="Times New Roman" w:hAnsi="Times New Roman" w:cs="Times New Roman"/>
                  <w:szCs w:val="21"/>
                </w:rPr>
                <w:t>4</w:t>
              </w:r>
              <w:r>
                <w:rPr>
                  <w:rFonts w:ascii="Times New Roman" w:hAnsi="Times New Roman" w:cs="Times New Roman"/>
                  <w:szCs w:val="21"/>
                </w:rPr>
                <w:t>季</w:t>
              </w:r>
              <w:r>
                <w:rPr>
                  <w:rFonts w:hint="eastAsia"/>
                  <w:szCs w:val="21"/>
                </w:rPr>
                <w:t>度以来工业机器人下游需求持续增长的重要原因之一。</w:t>
              </w:r>
            </w:p>
            <w:p w14:paraId="11F83051" w14:textId="64B4E6CD" w:rsidR="00D21C1F" w:rsidRDefault="00A42880">
              <w:pPr>
                <w:spacing w:line="360" w:lineRule="auto"/>
                <w:ind w:firstLineChars="200" w:firstLine="420"/>
                <w:jc w:val="both"/>
                <w:rPr>
                  <w:szCs w:val="21"/>
                </w:rPr>
              </w:pPr>
              <w:r>
                <w:rPr>
                  <w:szCs w:val="21"/>
                </w:rPr>
                <w:t>在我国制造业具有庞大规模和产业工人逐步减少的大背景下，机器人市场存在较大的发展空间。</w:t>
              </w:r>
              <w:r>
                <w:rPr>
                  <w:rFonts w:hint="eastAsia"/>
                  <w:szCs w:val="21"/>
                </w:rPr>
                <w:t>中商产业研究院预测，</w:t>
              </w:r>
              <w:r>
                <w:rPr>
                  <w:rFonts w:ascii="Times New Roman" w:hAnsi="Times New Roman" w:cs="Times New Roman"/>
                  <w:szCs w:val="21"/>
                </w:rPr>
                <w:t>2021</w:t>
              </w:r>
              <w:r>
                <w:rPr>
                  <w:rFonts w:ascii="Times New Roman" w:hAnsi="Times New Roman" w:cs="Times New Roman"/>
                  <w:szCs w:val="21"/>
                </w:rPr>
                <w:t>年我国工业机器人销售额将达</w:t>
              </w:r>
              <w:r>
                <w:rPr>
                  <w:rFonts w:ascii="Times New Roman" w:hAnsi="Times New Roman" w:cs="Times New Roman"/>
                  <w:szCs w:val="21"/>
                </w:rPr>
                <w:t>66.3</w:t>
              </w:r>
              <w:r>
                <w:rPr>
                  <w:rFonts w:hint="eastAsia"/>
                  <w:szCs w:val="21"/>
                </w:rPr>
                <w:t>亿美元。而另一方面，我国的工业机器人市场仍主要为外资品牌主导，国产</w:t>
              </w:r>
              <w:r w:rsidR="00D07E51">
                <w:rPr>
                  <w:rFonts w:hint="eastAsia"/>
                  <w:szCs w:val="21"/>
                </w:rPr>
                <w:t>工业</w:t>
              </w:r>
              <w:r>
                <w:rPr>
                  <w:rFonts w:hint="eastAsia"/>
                  <w:szCs w:val="21"/>
                </w:rPr>
                <w:t>机器人市场占有率仅</w:t>
              </w:r>
              <w:r w:rsidR="00D07E51">
                <w:rPr>
                  <w:rFonts w:hint="eastAsia"/>
                  <w:szCs w:val="21"/>
                </w:rPr>
                <w:t>在</w:t>
              </w:r>
              <w:r>
                <w:rPr>
                  <w:rFonts w:ascii="Times New Roman" w:hAnsi="Times New Roman" w:hint="eastAsia"/>
                  <w:szCs w:val="21"/>
                </w:rPr>
                <w:t>3</w:t>
              </w:r>
              <w:r>
                <w:rPr>
                  <w:rFonts w:ascii="Times New Roman" w:hAnsi="Times New Roman"/>
                  <w:szCs w:val="21"/>
                </w:rPr>
                <w:t>0</w:t>
              </w:r>
              <w:r>
                <w:rPr>
                  <w:rFonts w:hint="eastAsia"/>
                  <w:szCs w:val="21"/>
                </w:rPr>
                <w:t>%左右，国产工业机器人有广阔的发展空间。</w:t>
              </w:r>
            </w:p>
            <w:p w14:paraId="79623D62" w14:textId="77777777" w:rsidR="00D21C1F" w:rsidRDefault="00A42880">
              <w:pPr>
                <w:pStyle w:val="4"/>
                <w:numPr>
                  <w:ilvl w:val="0"/>
                  <w:numId w:val="9"/>
                </w:numPr>
              </w:pPr>
              <w:r>
                <w:rPr>
                  <w:rFonts w:hint="eastAsia"/>
                </w:rPr>
                <w:t>公司所处的行业地位分析及其变化</w:t>
              </w:r>
              <w:r>
                <w:t>情况</w:t>
              </w:r>
            </w:p>
            <w:p w14:paraId="48D9CE04" w14:textId="77777777" w:rsidR="00D21C1F" w:rsidRDefault="00A42880">
              <w:pPr>
                <w:spacing w:line="360" w:lineRule="auto"/>
                <w:ind w:firstLineChars="200" w:firstLine="420"/>
                <w:jc w:val="both"/>
              </w:pPr>
              <w:r>
                <w:rPr>
                  <w:rFonts w:hint="eastAsia"/>
                </w:rPr>
                <w:t>公司</w:t>
              </w:r>
              <w:r>
                <w:t>是中国工业机器人第一梯队企业（</w:t>
              </w:r>
              <w:r>
                <w:rPr>
                  <w:rFonts w:hint="eastAsia"/>
                </w:rPr>
                <w:t>引自</w:t>
              </w:r>
              <w:r>
                <w:t>《中国机器人产业发展报告（</w:t>
              </w:r>
              <w:r>
                <w:rPr>
                  <w:rFonts w:ascii="Times New Roman" w:hAnsi="Times New Roman"/>
                </w:rPr>
                <w:t>2019</w:t>
              </w:r>
              <w:r>
                <w:t>）》）</w:t>
              </w:r>
              <w:r>
                <w:rPr>
                  <w:rFonts w:hint="eastAsia"/>
                </w:rPr>
                <w:t>。公司是国家机器人产业区域集聚发展试点重点单位、中国机器人产业联盟副理事长单位、国家机器人标准化总体组成员单位、</w:t>
              </w:r>
              <w:r>
                <w:rPr>
                  <w:rFonts w:ascii="Times New Roman" w:hAnsi="Times New Roman"/>
                </w:rPr>
                <w:t>G60</w:t>
              </w:r>
              <w:r>
                <w:t>科创走廊机器人产业联盟理事长单位。</w:t>
              </w:r>
            </w:p>
            <w:p w14:paraId="66C13B34" w14:textId="1283D982" w:rsidR="00D21C1F" w:rsidRDefault="00A42880">
              <w:pPr>
                <w:spacing w:line="360" w:lineRule="auto"/>
                <w:ind w:firstLineChars="200" w:firstLine="420"/>
                <w:jc w:val="both"/>
              </w:pPr>
              <w:r>
                <w:rPr>
                  <w:rFonts w:hint="eastAsia"/>
                </w:rPr>
                <w:t>公司技术中心</w:t>
              </w:r>
              <w:r>
                <w:rPr>
                  <w:rFonts w:ascii="Times New Roman" w:hAnsi="Times New Roman"/>
                </w:rPr>
                <w:t>2019</w:t>
              </w:r>
              <w:r>
                <w:t>年</w:t>
              </w:r>
              <w:r>
                <w:rPr>
                  <w:rFonts w:hint="eastAsia"/>
                </w:rPr>
                <w:t>被国家发改委、科技部、财政部、海关总署认定为“国家企业技术中心”</w:t>
              </w:r>
              <w:r>
                <w:t>，</w:t>
              </w:r>
              <w:r>
                <w:rPr>
                  <w:rFonts w:hint="eastAsia"/>
                </w:rPr>
                <w:t>公司</w:t>
              </w:r>
              <w:r>
                <w:t>在中国、意大利分别设立研发中心，并与哈尔滨工业大学、中国科学技术大学等全球知名高校和研究机构达成战略合作，主持、承担或参与工信部、科技部国家科技重大专项</w:t>
              </w:r>
              <w:r>
                <w:rPr>
                  <w:rFonts w:ascii="Times New Roman" w:hAnsi="Times New Roman"/>
                </w:rPr>
                <w:t>2</w:t>
              </w:r>
              <w:r>
                <w:t>项、</w:t>
              </w:r>
              <w:r>
                <w:rPr>
                  <w:rFonts w:ascii="Times New Roman" w:hAnsi="Times New Roman"/>
                </w:rPr>
                <w:t>863</w:t>
              </w:r>
              <w:r>
                <w:t>计划项目</w:t>
              </w:r>
              <w:r>
                <w:rPr>
                  <w:rFonts w:ascii="Times New Roman" w:hAnsi="Times New Roman"/>
                </w:rPr>
                <w:t>5</w:t>
              </w:r>
              <w:r>
                <w:t>项、十三五国家重点研发计划</w:t>
              </w:r>
              <w:r w:rsidR="00624B6F">
                <w:rPr>
                  <w:rFonts w:ascii="Times New Roman" w:hAnsi="Times New Roman"/>
                </w:rPr>
                <w:t>18</w:t>
              </w:r>
              <w:r>
                <w:t>项，国家智能制造装备发展专项</w:t>
              </w:r>
              <w:r>
                <w:rPr>
                  <w:rFonts w:ascii="Times New Roman" w:hAnsi="Times New Roman"/>
                </w:rPr>
                <w:t>9</w:t>
              </w:r>
              <w:r>
                <w:t>项，参与国家科技支撑计划</w:t>
              </w:r>
              <w:r>
                <w:rPr>
                  <w:rFonts w:ascii="Times New Roman" w:hAnsi="Times New Roman"/>
                </w:rPr>
                <w:t>1</w:t>
              </w:r>
              <w:r>
                <w:t>项，参与制定机器人行业国家标准、行业、团体标准</w:t>
              </w:r>
              <w:r w:rsidR="00624B6F">
                <w:rPr>
                  <w:rFonts w:ascii="Times New Roman" w:hAnsi="Times New Roman"/>
                </w:rPr>
                <w:t>10</w:t>
              </w:r>
              <w:r>
                <w:t>项（其中国家标准</w:t>
              </w:r>
              <w:r>
                <w:rPr>
                  <w:rFonts w:ascii="Times New Roman" w:hAnsi="Times New Roman"/>
                </w:rPr>
                <w:t>2</w:t>
              </w:r>
              <w:r>
                <w:t>项，行业标准</w:t>
              </w:r>
              <w:r w:rsidR="00E66123">
                <w:rPr>
                  <w:rFonts w:ascii="Times New Roman" w:hAnsi="Times New Roman"/>
                </w:rPr>
                <w:t>2</w:t>
              </w:r>
              <w:r>
                <w:t>项，团体标准</w:t>
              </w:r>
              <w:r w:rsidR="00E66123">
                <w:rPr>
                  <w:rFonts w:ascii="Times New Roman" w:hAnsi="Times New Roman"/>
                </w:rPr>
                <w:t>6</w:t>
              </w:r>
              <w:r>
                <w:t>项），建有机器人行业国家企业技术中心、国家地方联合工程研究中心、院士工作站和博士</w:t>
              </w:r>
              <w:r>
                <w:rPr>
                  <w:rFonts w:hint="eastAsia"/>
                </w:rPr>
                <w:t>后流动站。经过多年研发创新，公司实现了关键核心技术自主可控，获得国家科技进步二等奖（作为奇瑞汽车下属项目组获得）、安徽省科学技术奖二等奖、安徽省专利金奖、中国专利优秀奖等奖项。</w:t>
              </w:r>
            </w:p>
            <w:p w14:paraId="1E092C3C" w14:textId="77777777" w:rsidR="00D21C1F" w:rsidRDefault="00A42880">
              <w:pPr>
                <w:spacing w:line="360" w:lineRule="auto"/>
                <w:ind w:firstLineChars="200" w:firstLine="420"/>
                <w:jc w:val="both"/>
              </w:pPr>
              <w:r>
                <w:rPr>
                  <w:rFonts w:hint="eastAsia"/>
                </w:rPr>
                <w:t>公司</w:t>
              </w:r>
              <w:r>
                <w:t>子公司</w:t>
              </w:r>
              <w:r>
                <w:rPr>
                  <w:rFonts w:ascii="Times New Roman" w:hAnsi="Times New Roman"/>
                </w:rPr>
                <w:t>GR6100ST</w:t>
              </w:r>
              <w:r>
                <w:t>、</w:t>
              </w:r>
              <w:r>
                <w:rPr>
                  <w:rFonts w:ascii="Times New Roman" w:hAnsi="Times New Roman"/>
                </w:rPr>
                <w:t>GR680ST</w:t>
              </w:r>
              <w:r>
                <w:t>、</w:t>
              </w:r>
              <w:r>
                <w:rPr>
                  <w:rFonts w:ascii="Times New Roman" w:hAnsi="Times New Roman"/>
                </w:rPr>
                <w:t>GR630ST</w:t>
              </w:r>
              <w:r>
                <w:t>、</w:t>
              </w:r>
              <w:r>
                <w:rPr>
                  <w:rFonts w:ascii="Times New Roman" w:hAnsi="Times New Roman"/>
                </w:rPr>
                <w:t>GR650ST</w:t>
              </w:r>
              <w:r>
                <w:t>的</w:t>
              </w:r>
              <w:r>
                <w:rPr>
                  <w:rFonts w:ascii="Times New Roman" w:hAnsi="Times New Roman"/>
                </w:rPr>
                <w:t>4</w:t>
              </w:r>
              <w:r>
                <w:t>款喷涂机器人，获得了欧盟</w:t>
              </w:r>
              <w:r>
                <w:rPr>
                  <w:rFonts w:ascii="Times New Roman" w:hAnsi="Times New Roman"/>
                </w:rPr>
                <w:t>ATEX</w:t>
              </w:r>
              <w:r>
                <w:t>防爆认证证书，这是首家国内机器人企业获得欧盟</w:t>
              </w:r>
              <w:r>
                <w:rPr>
                  <w:rFonts w:ascii="Times New Roman" w:hAnsi="Times New Roman"/>
                </w:rPr>
                <w:t>ATEX</w:t>
              </w:r>
              <w:r>
                <w:t>防爆认证证书</w:t>
              </w:r>
              <w:r>
                <w:rPr>
                  <w:rFonts w:hint="eastAsia"/>
                </w:rPr>
                <w:t>。</w:t>
              </w:r>
            </w:p>
            <w:p w14:paraId="60F2B450" w14:textId="77777777" w:rsidR="00D21C1F" w:rsidRDefault="00A42880">
              <w:pPr>
                <w:pStyle w:val="3"/>
                <w:numPr>
                  <w:ilvl w:val="0"/>
                  <w:numId w:val="8"/>
                </w:numPr>
              </w:pPr>
              <w:r>
                <w:rPr>
                  <w:rFonts w:hint="eastAsia"/>
                </w:rPr>
                <w:lastRenderedPageBreak/>
                <w:t>主营业务情况</w:t>
              </w:r>
            </w:p>
            <w:p w14:paraId="59FC5BF2" w14:textId="77777777" w:rsidR="00D21C1F" w:rsidRDefault="00A42880">
              <w:pPr>
                <w:spacing w:line="360" w:lineRule="auto"/>
                <w:ind w:firstLineChars="200" w:firstLine="420"/>
                <w:jc w:val="both"/>
                <w:rPr>
                  <w:szCs w:val="21"/>
                </w:rPr>
              </w:pPr>
              <w:r>
                <w:rPr>
                  <w:rFonts w:hint="eastAsia"/>
                  <w:szCs w:val="21"/>
                </w:rPr>
                <w:t>公司属于智能制造装备行业，主营业务为工业机器人整机及其核心零部件、系统集成的研发、生产、销售。</w:t>
              </w:r>
            </w:p>
            <w:p w14:paraId="4160288F" w14:textId="77777777" w:rsidR="00D21C1F" w:rsidRDefault="00A42880">
              <w:pPr>
                <w:spacing w:line="360" w:lineRule="auto"/>
                <w:ind w:firstLineChars="200" w:firstLine="420"/>
                <w:jc w:val="both"/>
                <w:rPr>
                  <w:szCs w:val="21"/>
                </w:rPr>
              </w:pPr>
              <w:r>
                <w:rPr>
                  <w:rFonts w:hint="eastAsia"/>
                  <w:szCs w:val="21"/>
                </w:rPr>
                <w:t>公司主要产品分为三大类别：核心零部件产品、整机产品、机器人系统集成解决方案，具体如下：</w:t>
              </w:r>
            </w:p>
            <w:tbl>
              <w:tblPr>
                <w:tblStyle w:val="87"/>
                <w:tblW w:w="5000" w:type="pct"/>
                <w:jc w:val="center"/>
                <w:tblInd w:w="0" w:type="dxa"/>
                <w:tblBorders>
                  <w:top w:val="thinThickSmallGap" w:sz="12" w:space="0" w:color="auto"/>
                  <w:bottom w:val="thickThinSmallGap" w:sz="12" w:space="0" w:color="auto"/>
                  <w:insideH w:val="single" w:sz="4" w:space="0" w:color="auto"/>
                  <w:insideV w:val="single" w:sz="4" w:space="0" w:color="auto"/>
                </w:tblBorders>
                <w:tblLook w:val="04A0" w:firstRow="1" w:lastRow="0" w:firstColumn="1" w:lastColumn="0" w:noHBand="0" w:noVBand="1"/>
              </w:tblPr>
              <w:tblGrid>
                <w:gridCol w:w="910"/>
                <w:gridCol w:w="2607"/>
                <w:gridCol w:w="1350"/>
                <w:gridCol w:w="3966"/>
              </w:tblGrid>
              <w:tr w:rsidR="00D21C1F" w14:paraId="1A127CFF" w14:textId="77777777">
                <w:trPr>
                  <w:trHeight w:val="340"/>
                  <w:jc w:val="center"/>
                </w:trPr>
                <w:tc>
                  <w:tcPr>
                    <w:tcW w:w="545" w:type="pct"/>
                    <w:shd w:val="clear" w:color="auto" w:fill="auto"/>
                    <w:vAlign w:val="center"/>
                  </w:tcPr>
                  <w:p w14:paraId="2100C108" w14:textId="77777777" w:rsidR="00D21C1F" w:rsidRDefault="00A42880">
                    <w:pPr>
                      <w:autoSpaceDE w:val="0"/>
                      <w:autoSpaceDN w:val="0"/>
                      <w:adjustRightInd w:val="0"/>
                      <w:snapToGrid w:val="0"/>
                      <w:jc w:val="both"/>
                      <w:outlineLvl w:val="3"/>
                      <w:rPr>
                        <w:b/>
                        <w:sz w:val="18"/>
                        <w:szCs w:val="18"/>
                      </w:rPr>
                    </w:pPr>
                    <w:bookmarkStart w:id="34" w:name="_Hlk69413979"/>
                    <w:r>
                      <w:rPr>
                        <w:b/>
                        <w:sz w:val="18"/>
                        <w:szCs w:val="18"/>
                      </w:rPr>
                      <w:t>产品类型</w:t>
                    </w:r>
                  </w:p>
                </w:tc>
                <w:tc>
                  <w:tcPr>
                    <w:tcW w:w="1506" w:type="pct"/>
                    <w:shd w:val="clear" w:color="auto" w:fill="auto"/>
                    <w:vAlign w:val="center"/>
                  </w:tcPr>
                  <w:p w14:paraId="34FA0388" w14:textId="77777777" w:rsidR="00D21C1F" w:rsidRDefault="00A42880">
                    <w:pPr>
                      <w:autoSpaceDE w:val="0"/>
                      <w:autoSpaceDN w:val="0"/>
                      <w:adjustRightInd w:val="0"/>
                      <w:snapToGrid w:val="0"/>
                      <w:jc w:val="center"/>
                      <w:outlineLvl w:val="3"/>
                      <w:rPr>
                        <w:b/>
                        <w:sz w:val="18"/>
                        <w:szCs w:val="18"/>
                      </w:rPr>
                    </w:pPr>
                    <w:r>
                      <w:rPr>
                        <w:b/>
                        <w:sz w:val="18"/>
                        <w:szCs w:val="18"/>
                      </w:rPr>
                      <w:t>产品</w:t>
                    </w:r>
                  </w:p>
                </w:tc>
                <w:tc>
                  <w:tcPr>
                    <w:tcW w:w="794" w:type="pct"/>
                    <w:vAlign w:val="center"/>
                  </w:tcPr>
                  <w:p w14:paraId="76665803" w14:textId="77777777" w:rsidR="00D21C1F" w:rsidRDefault="00A42880">
                    <w:pPr>
                      <w:autoSpaceDE w:val="0"/>
                      <w:autoSpaceDN w:val="0"/>
                      <w:adjustRightInd w:val="0"/>
                      <w:snapToGrid w:val="0"/>
                      <w:jc w:val="center"/>
                      <w:outlineLvl w:val="3"/>
                      <w:rPr>
                        <w:b/>
                        <w:sz w:val="18"/>
                        <w:szCs w:val="18"/>
                      </w:rPr>
                    </w:pPr>
                    <w:r>
                      <w:rPr>
                        <w:b/>
                        <w:sz w:val="18"/>
                        <w:szCs w:val="18"/>
                      </w:rPr>
                      <w:t>生产主体</w:t>
                    </w:r>
                  </w:p>
                </w:tc>
                <w:tc>
                  <w:tcPr>
                    <w:tcW w:w="2156" w:type="pct"/>
                    <w:vAlign w:val="center"/>
                  </w:tcPr>
                  <w:p w14:paraId="4F4B629A" w14:textId="77777777" w:rsidR="00D21C1F" w:rsidRDefault="00A42880">
                    <w:pPr>
                      <w:autoSpaceDE w:val="0"/>
                      <w:autoSpaceDN w:val="0"/>
                      <w:adjustRightInd w:val="0"/>
                      <w:snapToGrid w:val="0"/>
                      <w:jc w:val="center"/>
                      <w:outlineLvl w:val="3"/>
                      <w:rPr>
                        <w:b/>
                        <w:sz w:val="18"/>
                        <w:szCs w:val="18"/>
                      </w:rPr>
                    </w:pPr>
                    <w:r>
                      <w:rPr>
                        <w:b/>
                        <w:sz w:val="18"/>
                        <w:szCs w:val="18"/>
                      </w:rPr>
                      <w:t>代表产品示例</w:t>
                    </w:r>
                  </w:p>
                </w:tc>
              </w:tr>
              <w:tr w:rsidR="00D21C1F" w14:paraId="41B684A2" w14:textId="77777777">
                <w:trPr>
                  <w:trHeight w:val="340"/>
                  <w:jc w:val="center"/>
                </w:trPr>
                <w:tc>
                  <w:tcPr>
                    <w:tcW w:w="545" w:type="pct"/>
                    <w:shd w:val="clear" w:color="auto" w:fill="auto"/>
                    <w:vAlign w:val="center"/>
                  </w:tcPr>
                  <w:p w14:paraId="52520E50" w14:textId="77777777" w:rsidR="00D21C1F" w:rsidRDefault="00A42880">
                    <w:pPr>
                      <w:autoSpaceDE w:val="0"/>
                      <w:autoSpaceDN w:val="0"/>
                      <w:adjustRightInd w:val="0"/>
                      <w:snapToGrid w:val="0"/>
                      <w:jc w:val="both"/>
                      <w:outlineLvl w:val="3"/>
                      <w:rPr>
                        <w:sz w:val="18"/>
                        <w:szCs w:val="18"/>
                      </w:rPr>
                    </w:pPr>
                    <w:r>
                      <w:rPr>
                        <w:sz w:val="18"/>
                        <w:szCs w:val="18"/>
                      </w:rPr>
                      <w:t>核心</w:t>
                    </w:r>
                  </w:p>
                  <w:p w14:paraId="30FBFE70" w14:textId="77777777" w:rsidR="00D21C1F" w:rsidRDefault="00A42880">
                    <w:pPr>
                      <w:autoSpaceDE w:val="0"/>
                      <w:autoSpaceDN w:val="0"/>
                      <w:adjustRightInd w:val="0"/>
                      <w:snapToGrid w:val="0"/>
                      <w:jc w:val="both"/>
                      <w:outlineLvl w:val="3"/>
                      <w:rPr>
                        <w:sz w:val="18"/>
                        <w:szCs w:val="18"/>
                      </w:rPr>
                    </w:pPr>
                    <w:r>
                      <w:rPr>
                        <w:sz w:val="18"/>
                        <w:szCs w:val="18"/>
                      </w:rPr>
                      <w:t>零部件</w:t>
                    </w:r>
                  </w:p>
                </w:tc>
                <w:tc>
                  <w:tcPr>
                    <w:tcW w:w="1506" w:type="pct"/>
                    <w:shd w:val="clear" w:color="auto" w:fill="auto"/>
                    <w:vAlign w:val="center"/>
                  </w:tcPr>
                  <w:p w14:paraId="4E5CCD54" w14:textId="77777777" w:rsidR="00D21C1F" w:rsidRDefault="00A42880">
                    <w:pPr>
                      <w:jc w:val="both"/>
                      <w:rPr>
                        <w:sz w:val="18"/>
                        <w:szCs w:val="18"/>
                      </w:rPr>
                    </w:pPr>
                    <w:r>
                      <w:rPr>
                        <w:sz w:val="18"/>
                        <w:szCs w:val="18"/>
                      </w:rPr>
                      <w:t>运动控制器、伺服系统</w:t>
                    </w:r>
                  </w:p>
                </w:tc>
                <w:tc>
                  <w:tcPr>
                    <w:tcW w:w="794" w:type="pct"/>
                    <w:vAlign w:val="center"/>
                  </w:tcPr>
                  <w:p w14:paraId="593DE3A9" w14:textId="77777777" w:rsidR="00D21C1F" w:rsidRDefault="00A42880">
                    <w:pPr>
                      <w:jc w:val="center"/>
                      <w:rPr>
                        <w:sz w:val="18"/>
                        <w:szCs w:val="18"/>
                      </w:rPr>
                    </w:pPr>
                    <w:r>
                      <w:rPr>
                        <w:sz w:val="18"/>
                        <w:szCs w:val="18"/>
                      </w:rPr>
                      <w:t>瑞博思</w:t>
                    </w:r>
                  </w:p>
                </w:tc>
                <w:tc>
                  <w:tcPr>
                    <w:tcW w:w="2156" w:type="pct"/>
                    <w:vAlign w:val="center"/>
                  </w:tcPr>
                  <w:p w14:paraId="3653A38F" w14:textId="77777777" w:rsidR="00D21C1F" w:rsidRDefault="00A42880">
                    <w:pPr>
                      <w:rPr>
                        <w:sz w:val="18"/>
                        <w:szCs w:val="18"/>
                      </w:rPr>
                    </w:pPr>
                    <w:r>
                      <w:rPr>
                        <w:noProof/>
                        <w:sz w:val="18"/>
                        <w:szCs w:val="18"/>
                      </w:rPr>
                      <w:drawing>
                        <wp:inline distT="0" distB="0" distL="0" distR="0" wp14:anchorId="7F6D405A" wp14:editId="1D4AAEF7">
                          <wp:extent cx="970280" cy="1181100"/>
                          <wp:effectExtent l="0" t="0" r="1270" b="0"/>
                          <wp:docPr id="18" name="图片 18" descr="http://www.robox.it/common/prod/rp_1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robox.it/common/prod/rp_1_c.png"/>
                                  <pic:cNvPicPr>
                                    <a:picLocks noChangeAspect="1" noChangeArrowheads="1"/>
                                  </pic:cNvPicPr>
                                </pic:nvPicPr>
                                <pic:blipFill>
                                  <a:blip r:embed="rId18" cstate="print">
                                    <a:extLst>
                                      <a:ext uri="{28A0092B-C50C-407E-A947-70E740481C1C}">
                                        <a14:useLocalDpi xmlns:a14="http://schemas.microsoft.com/office/drawing/2010/main" val="0"/>
                                      </a:ext>
                                    </a:extLst>
                                  </a:blip>
                                  <a:srcRect l="18092" t="20654" r="20084" b="4106"/>
                                  <a:stretch>
                                    <a:fillRect/>
                                  </a:stretch>
                                </pic:blipFill>
                                <pic:spPr>
                                  <a:xfrm>
                                    <a:off x="0" y="0"/>
                                    <a:ext cx="979949" cy="1192604"/>
                                  </a:xfrm>
                                  <a:prstGeom prst="rect">
                                    <a:avLst/>
                                  </a:prstGeom>
                                  <a:noFill/>
                                  <a:ln>
                                    <a:noFill/>
                                  </a:ln>
                                </pic:spPr>
                              </pic:pic>
                            </a:graphicData>
                          </a:graphic>
                        </wp:inline>
                      </w:drawing>
                    </w:r>
                    <w:r>
                      <w:rPr>
                        <w:noProof/>
                        <w:sz w:val="18"/>
                        <w:szCs w:val="18"/>
                      </w:rPr>
                      <w:drawing>
                        <wp:inline distT="0" distB="0" distL="0" distR="0" wp14:anchorId="5526ED5B" wp14:editId="516C9BAB">
                          <wp:extent cx="1395095" cy="1068705"/>
                          <wp:effectExtent l="0" t="0" r="0" b="0"/>
                          <wp:docPr id="19" name="图片 19" descr="http://www.robox.it/common/prod/as920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robox.it/common/prod/as9201.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97049" cy="1069963"/>
                                  </a:xfrm>
                                  <a:prstGeom prst="rect">
                                    <a:avLst/>
                                  </a:prstGeom>
                                  <a:noFill/>
                                  <a:ln>
                                    <a:noFill/>
                                  </a:ln>
                                </pic:spPr>
                              </pic:pic>
                            </a:graphicData>
                          </a:graphic>
                        </wp:inline>
                      </w:drawing>
                    </w:r>
                  </w:p>
                </w:tc>
              </w:tr>
              <w:tr w:rsidR="00D21C1F" w14:paraId="3352F5B2" w14:textId="77777777">
                <w:trPr>
                  <w:trHeight w:val="340"/>
                  <w:jc w:val="center"/>
                </w:trPr>
                <w:tc>
                  <w:tcPr>
                    <w:tcW w:w="545" w:type="pct"/>
                    <w:shd w:val="clear" w:color="auto" w:fill="auto"/>
                    <w:vAlign w:val="center"/>
                  </w:tcPr>
                  <w:p w14:paraId="120B12F8" w14:textId="77777777" w:rsidR="00D21C1F" w:rsidRDefault="00A42880">
                    <w:pPr>
                      <w:autoSpaceDE w:val="0"/>
                      <w:autoSpaceDN w:val="0"/>
                      <w:adjustRightInd w:val="0"/>
                      <w:snapToGrid w:val="0"/>
                      <w:jc w:val="both"/>
                      <w:outlineLvl w:val="3"/>
                      <w:rPr>
                        <w:sz w:val="18"/>
                        <w:szCs w:val="18"/>
                      </w:rPr>
                    </w:pPr>
                    <w:r>
                      <w:rPr>
                        <w:sz w:val="18"/>
                        <w:szCs w:val="18"/>
                      </w:rPr>
                      <w:t>机器人</w:t>
                    </w:r>
                  </w:p>
                  <w:p w14:paraId="4DE37EF2" w14:textId="77777777" w:rsidR="00D21C1F" w:rsidRDefault="00A42880">
                    <w:pPr>
                      <w:autoSpaceDE w:val="0"/>
                      <w:autoSpaceDN w:val="0"/>
                      <w:adjustRightInd w:val="0"/>
                      <w:snapToGrid w:val="0"/>
                      <w:jc w:val="both"/>
                      <w:outlineLvl w:val="3"/>
                      <w:rPr>
                        <w:sz w:val="18"/>
                        <w:szCs w:val="18"/>
                      </w:rPr>
                    </w:pPr>
                    <w:r>
                      <w:rPr>
                        <w:sz w:val="18"/>
                        <w:szCs w:val="18"/>
                      </w:rPr>
                      <w:t>整机</w:t>
                    </w:r>
                  </w:p>
                </w:tc>
                <w:tc>
                  <w:tcPr>
                    <w:tcW w:w="1506" w:type="pct"/>
                    <w:shd w:val="clear" w:color="auto" w:fill="auto"/>
                    <w:vAlign w:val="center"/>
                  </w:tcPr>
                  <w:p w14:paraId="2B89F55D" w14:textId="77777777" w:rsidR="00D21C1F" w:rsidRDefault="00A42880">
                    <w:pPr>
                      <w:rPr>
                        <w:sz w:val="18"/>
                        <w:szCs w:val="18"/>
                      </w:rPr>
                    </w:pPr>
                    <w:r>
                      <w:rPr>
                        <w:rFonts w:ascii="Times New Roman" w:hAnsi="Times New Roman"/>
                        <w:szCs w:val="18"/>
                      </w:rPr>
                      <w:t>EFORT</w:t>
                    </w:r>
                    <w:r>
                      <w:rPr>
                        <w:sz w:val="18"/>
                        <w:szCs w:val="18"/>
                      </w:rPr>
                      <w:t>工业机器人</w:t>
                    </w:r>
                  </w:p>
                  <w:p w14:paraId="6696B664" w14:textId="77777777" w:rsidR="00D21C1F" w:rsidRDefault="00A42880">
                    <w:pPr>
                      <w:rPr>
                        <w:sz w:val="18"/>
                        <w:szCs w:val="18"/>
                      </w:rPr>
                    </w:pPr>
                    <w:r>
                      <w:rPr>
                        <w:rFonts w:ascii="Times New Roman" w:hAnsi="Times New Roman"/>
                        <w:szCs w:val="18"/>
                      </w:rPr>
                      <w:t>CMA</w:t>
                    </w:r>
                    <w:r>
                      <w:rPr>
                        <w:sz w:val="18"/>
                        <w:szCs w:val="18"/>
                      </w:rPr>
                      <w:t>喷涂工业机器人</w:t>
                    </w:r>
                  </w:p>
                </w:tc>
                <w:tc>
                  <w:tcPr>
                    <w:tcW w:w="794" w:type="pct"/>
                    <w:vAlign w:val="center"/>
                  </w:tcPr>
                  <w:p w14:paraId="3EE010B7" w14:textId="77777777" w:rsidR="00D21C1F" w:rsidRDefault="00A42880">
                    <w:pPr>
                      <w:jc w:val="center"/>
                      <w:rPr>
                        <w:sz w:val="18"/>
                        <w:szCs w:val="18"/>
                      </w:rPr>
                    </w:pPr>
                    <w:r>
                      <w:rPr>
                        <w:sz w:val="18"/>
                        <w:szCs w:val="18"/>
                      </w:rPr>
                      <w:t>埃夫特</w:t>
                    </w:r>
                  </w:p>
                  <w:p w14:paraId="34EE1605" w14:textId="77777777" w:rsidR="00D21C1F" w:rsidRDefault="00A42880">
                    <w:pPr>
                      <w:jc w:val="center"/>
                      <w:rPr>
                        <w:sz w:val="18"/>
                        <w:szCs w:val="18"/>
                      </w:rPr>
                    </w:pPr>
                    <w:r>
                      <w:rPr>
                        <w:rFonts w:ascii="Times New Roman" w:hAnsi="Times New Roman"/>
                        <w:szCs w:val="18"/>
                      </w:rPr>
                      <w:t>CMA</w:t>
                    </w:r>
                  </w:p>
                </w:tc>
                <w:tc>
                  <w:tcPr>
                    <w:tcW w:w="2156" w:type="pct"/>
                    <w:vAlign w:val="center"/>
                  </w:tcPr>
                  <w:p w14:paraId="2CCF99FB" w14:textId="77777777" w:rsidR="00D21C1F" w:rsidRDefault="00A42880">
                    <w:pPr>
                      <w:jc w:val="center"/>
                      <w:rPr>
                        <w:sz w:val="18"/>
                        <w:szCs w:val="18"/>
                      </w:rPr>
                    </w:pPr>
                    <w:r>
                      <w:rPr>
                        <w:noProof/>
                        <w:sz w:val="18"/>
                        <w:szCs w:val="18"/>
                      </w:rPr>
                      <w:drawing>
                        <wp:inline distT="0" distB="0" distL="0" distR="0" wp14:anchorId="4E9CC045" wp14:editId="6E88E60A">
                          <wp:extent cx="914400" cy="1344930"/>
                          <wp:effectExtent l="0" t="0" r="0" b="7620"/>
                          <wp:docPr id="60" name="图片 60" descr="http://www.efort.com.cn/images/product/1507798598f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www.efort.com.cn/images/product/1507798598f_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456" t="7778" r="21609" b="5513"/>
                                  <a:stretch>
                                    <a:fillRect/>
                                  </a:stretch>
                                </pic:blipFill>
                                <pic:spPr>
                                  <a:xfrm>
                                    <a:off x="0" y="0"/>
                                    <a:ext cx="922210" cy="1356805"/>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14EDF8B5" wp14:editId="086B00F6">
                          <wp:extent cx="1060450" cy="1207135"/>
                          <wp:effectExtent l="0" t="0" r="6350" b="0"/>
                          <wp:docPr id="61" name="图片 61" descr="http://www.efort.com.cn/images/product/1525258200f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ttp://www.efort.com.cn/images/product/1525258200f_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l="12148"/>
                                  <a:stretch>
                                    <a:fillRect/>
                                  </a:stretch>
                                </pic:blipFill>
                                <pic:spPr>
                                  <a:xfrm>
                                    <a:off x="0" y="0"/>
                                    <a:ext cx="1067932" cy="1215611"/>
                                  </a:xfrm>
                                  <a:prstGeom prst="rect">
                                    <a:avLst/>
                                  </a:prstGeom>
                                  <a:noFill/>
                                  <a:ln>
                                    <a:noFill/>
                                  </a:ln>
                                </pic:spPr>
                              </pic:pic>
                            </a:graphicData>
                          </a:graphic>
                        </wp:inline>
                      </w:drawing>
                    </w:r>
                  </w:p>
                </w:tc>
              </w:tr>
              <w:tr w:rsidR="00D21C1F" w14:paraId="09E74F79" w14:textId="77777777">
                <w:trPr>
                  <w:trHeight w:val="340"/>
                  <w:jc w:val="center"/>
                </w:trPr>
                <w:tc>
                  <w:tcPr>
                    <w:tcW w:w="545" w:type="pct"/>
                    <w:shd w:val="clear" w:color="auto" w:fill="auto"/>
                    <w:vAlign w:val="center"/>
                  </w:tcPr>
                  <w:p w14:paraId="10A87A65" w14:textId="77777777" w:rsidR="00D21C1F" w:rsidRDefault="00A42880">
                    <w:pPr>
                      <w:autoSpaceDE w:val="0"/>
                      <w:autoSpaceDN w:val="0"/>
                      <w:adjustRightInd w:val="0"/>
                      <w:snapToGrid w:val="0"/>
                      <w:jc w:val="both"/>
                      <w:outlineLvl w:val="3"/>
                      <w:rPr>
                        <w:sz w:val="18"/>
                        <w:szCs w:val="18"/>
                      </w:rPr>
                    </w:pPr>
                    <w:r>
                      <w:rPr>
                        <w:sz w:val="18"/>
                        <w:szCs w:val="18"/>
                      </w:rPr>
                      <w:t>机器人系统集成</w:t>
                    </w:r>
                  </w:p>
                </w:tc>
                <w:tc>
                  <w:tcPr>
                    <w:tcW w:w="1506" w:type="pct"/>
                    <w:shd w:val="clear" w:color="auto" w:fill="auto"/>
                    <w:vAlign w:val="center"/>
                  </w:tcPr>
                  <w:p w14:paraId="2A6C282B" w14:textId="77777777" w:rsidR="00D21C1F" w:rsidRDefault="00A42880">
                    <w:pPr>
                      <w:jc w:val="both"/>
                      <w:rPr>
                        <w:sz w:val="18"/>
                        <w:szCs w:val="18"/>
                      </w:rPr>
                    </w:pPr>
                    <w:r>
                      <w:rPr>
                        <w:sz w:val="18"/>
                        <w:szCs w:val="18"/>
                      </w:rPr>
                      <w:t>焊接和铆接生产线解决方案</w:t>
                    </w:r>
                  </w:p>
                  <w:p w14:paraId="124DCB4C" w14:textId="77777777" w:rsidR="00D21C1F" w:rsidRDefault="00A42880">
                    <w:pPr>
                      <w:jc w:val="both"/>
                      <w:rPr>
                        <w:sz w:val="18"/>
                        <w:szCs w:val="18"/>
                      </w:rPr>
                    </w:pPr>
                    <w:r>
                      <w:rPr>
                        <w:sz w:val="18"/>
                        <w:szCs w:val="18"/>
                      </w:rPr>
                      <w:t>搬运和检测生产线解决方案</w:t>
                    </w:r>
                  </w:p>
                  <w:p w14:paraId="4D7CD5A3" w14:textId="77777777" w:rsidR="00D21C1F" w:rsidRDefault="00A42880">
                    <w:pPr>
                      <w:jc w:val="both"/>
                      <w:rPr>
                        <w:sz w:val="18"/>
                        <w:szCs w:val="18"/>
                      </w:rPr>
                    </w:pPr>
                    <w:r>
                      <w:rPr>
                        <w:sz w:val="18"/>
                        <w:szCs w:val="18"/>
                      </w:rPr>
                      <w:t>喷涂生产线解决方案</w:t>
                    </w:r>
                  </w:p>
                  <w:p w14:paraId="491C9C71" w14:textId="77777777" w:rsidR="00D21C1F" w:rsidRDefault="00A42880">
                    <w:pPr>
                      <w:jc w:val="both"/>
                      <w:rPr>
                        <w:sz w:val="18"/>
                        <w:szCs w:val="18"/>
                      </w:rPr>
                    </w:pPr>
                    <w:r>
                      <w:rPr>
                        <w:sz w:val="18"/>
                        <w:szCs w:val="18"/>
                      </w:rPr>
                      <w:t>打磨和抛光生产线解决方案</w:t>
                    </w:r>
                  </w:p>
                  <w:p w14:paraId="69AA66CD" w14:textId="77777777" w:rsidR="00D21C1F" w:rsidRDefault="00A42880">
                    <w:pPr>
                      <w:jc w:val="both"/>
                      <w:rPr>
                        <w:sz w:val="18"/>
                        <w:szCs w:val="18"/>
                      </w:rPr>
                    </w:pPr>
                    <w:r>
                      <w:rPr>
                        <w:sz w:val="18"/>
                        <w:szCs w:val="18"/>
                      </w:rPr>
                      <w:t>铸造生产线解决方案</w:t>
                    </w:r>
                  </w:p>
                  <w:p w14:paraId="4936B8D0" w14:textId="77777777" w:rsidR="00D21C1F" w:rsidRDefault="00A42880">
                    <w:pPr>
                      <w:jc w:val="both"/>
                      <w:rPr>
                        <w:sz w:val="18"/>
                        <w:szCs w:val="18"/>
                      </w:rPr>
                    </w:pPr>
                    <w:r>
                      <w:rPr>
                        <w:sz w:val="18"/>
                        <w:szCs w:val="18"/>
                      </w:rPr>
                      <w:t>智能物流与输送生产线解决方案</w:t>
                    </w:r>
                  </w:p>
                </w:tc>
                <w:tc>
                  <w:tcPr>
                    <w:tcW w:w="794" w:type="pct"/>
                    <w:vAlign w:val="center"/>
                  </w:tcPr>
                  <w:p w14:paraId="535CE472" w14:textId="77777777" w:rsidR="00D21C1F" w:rsidRDefault="00A42880">
                    <w:pPr>
                      <w:jc w:val="both"/>
                      <w:rPr>
                        <w:sz w:val="18"/>
                        <w:szCs w:val="18"/>
                      </w:rPr>
                    </w:pPr>
                    <w:r>
                      <w:rPr>
                        <w:sz w:val="18"/>
                        <w:szCs w:val="18"/>
                      </w:rPr>
                      <w:t>埃夫特、</w:t>
                    </w:r>
                    <w:r>
                      <w:rPr>
                        <w:rFonts w:ascii="Times New Roman" w:hAnsi="Times New Roman"/>
                        <w:szCs w:val="18"/>
                      </w:rPr>
                      <w:t>WFC</w:t>
                    </w:r>
                    <w:r>
                      <w:rPr>
                        <w:sz w:val="18"/>
                        <w:szCs w:val="18"/>
                      </w:rPr>
                      <w:t>及下属子公司、</w:t>
                    </w:r>
                    <w:r>
                      <w:rPr>
                        <w:rFonts w:ascii="Times New Roman" w:hAnsi="Times New Roman"/>
                        <w:szCs w:val="18"/>
                      </w:rPr>
                      <w:t>CMA</w:t>
                    </w:r>
                    <w:r>
                      <w:rPr>
                        <w:sz w:val="18"/>
                        <w:szCs w:val="18"/>
                      </w:rPr>
                      <w:t>、希美埃及下属子公司、</w:t>
                    </w:r>
                    <w:r>
                      <w:rPr>
                        <w:rFonts w:ascii="Times New Roman" w:hAnsi="Times New Roman"/>
                        <w:szCs w:val="18"/>
                      </w:rPr>
                      <w:t>EVOLUT</w:t>
                    </w:r>
                    <w:r>
                      <w:rPr>
                        <w:sz w:val="18"/>
                        <w:szCs w:val="18"/>
                      </w:rPr>
                      <w:t>、埃华路及下属子公司</w:t>
                    </w:r>
                  </w:p>
                </w:tc>
                <w:tc>
                  <w:tcPr>
                    <w:tcW w:w="2156" w:type="pct"/>
                    <w:vAlign w:val="center"/>
                  </w:tcPr>
                  <w:p w14:paraId="2DB4BDEF" w14:textId="77777777" w:rsidR="00D21C1F" w:rsidRDefault="00A42880">
                    <w:pPr>
                      <w:rPr>
                        <w:sz w:val="18"/>
                        <w:szCs w:val="18"/>
                      </w:rPr>
                    </w:pPr>
                    <w:r>
                      <w:rPr>
                        <w:noProof/>
                        <w:sz w:val="18"/>
                        <w:szCs w:val="18"/>
                      </w:rPr>
                      <w:drawing>
                        <wp:inline distT="0" distB="0" distL="0" distR="0" wp14:anchorId="0C10A29B" wp14:editId="753AC17D">
                          <wp:extent cx="2343150" cy="1280160"/>
                          <wp:effectExtent l="19050" t="19050" r="19050" b="15240"/>
                          <wp:docPr id="62" name="图片 2" descr="图片包含 建筑物, 室内&#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图片包含 建筑物, 室内&#10;&#10;已生成极高可信度的说明"/>
                                  <pic:cNvPicPr>
                                    <a:picLocks noChangeAspect="1"/>
                                  </pic:cNvPicPr>
                                </pic:nvPicPr>
                                <pic:blipFill>
                                  <a:blip r:embed="rId22" cstate="print">
                                    <a:extLst>
                                      <a:ext uri="{28A0092B-C50C-407E-A947-70E740481C1C}">
                                        <a14:useLocalDpi xmlns:a14="http://schemas.microsoft.com/office/drawing/2010/main" val="0"/>
                                      </a:ext>
                                    </a:extLst>
                                  </a:blip>
                                  <a:srcRect t="2013"/>
                                  <a:stretch>
                                    <a:fillRect/>
                                  </a:stretch>
                                </pic:blipFill>
                                <pic:spPr>
                                  <a:xfrm>
                                    <a:off x="0" y="0"/>
                                    <a:ext cx="2365233" cy="1292106"/>
                                  </a:xfrm>
                                  <a:prstGeom prst="rect">
                                    <a:avLst/>
                                  </a:prstGeom>
                                  <a:ln w="19050">
                                    <a:solidFill>
                                      <a:srgbClr val="F08500"/>
                                    </a:solidFill>
                                  </a:ln>
                                </pic:spPr>
                              </pic:pic>
                            </a:graphicData>
                          </a:graphic>
                        </wp:inline>
                      </w:drawing>
                    </w:r>
                  </w:p>
                </w:tc>
              </w:tr>
              <w:bookmarkEnd w:id="34"/>
            </w:tbl>
            <w:p w14:paraId="09E079AD" w14:textId="77777777" w:rsidR="00D21C1F" w:rsidRDefault="00D21C1F">
              <w:pPr>
                <w:pStyle w:val="aff4"/>
              </w:pPr>
            </w:p>
            <w:p w14:paraId="03A8957A" w14:textId="77777777" w:rsidR="00D21C1F" w:rsidRDefault="00A42880">
              <w:pPr>
                <w:spacing w:line="360" w:lineRule="auto"/>
                <w:ind w:firstLineChars="200" w:firstLine="420"/>
                <w:jc w:val="both"/>
                <w:rPr>
                  <w:szCs w:val="21"/>
                </w:rPr>
              </w:pPr>
              <w:r>
                <w:rPr>
                  <w:rFonts w:hint="eastAsia"/>
                  <w:szCs w:val="21"/>
                </w:rPr>
                <w:t>（</w:t>
              </w:r>
              <w:r>
                <w:rPr>
                  <w:rFonts w:ascii="Times New Roman" w:hAnsi="Times New Roman"/>
                  <w:szCs w:val="21"/>
                </w:rPr>
                <w:t>1</w:t>
              </w:r>
              <w:r>
                <w:rPr>
                  <w:szCs w:val="21"/>
                </w:rPr>
                <w:t>）工业机器人核心零部件产品</w:t>
              </w:r>
            </w:p>
            <w:p w14:paraId="757B2290" w14:textId="77777777" w:rsidR="00D21C1F" w:rsidRDefault="00A42880">
              <w:pPr>
                <w:spacing w:line="360" w:lineRule="auto"/>
                <w:ind w:firstLineChars="200" w:firstLine="420"/>
                <w:jc w:val="both"/>
                <w:rPr>
                  <w:szCs w:val="21"/>
                </w:rPr>
              </w:pPr>
              <w:r>
                <w:rPr>
                  <w:rFonts w:hint="eastAsia"/>
                  <w:szCs w:val="21"/>
                </w:rPr>
                <w:t>公司核心零部件产品主要为控股子公司瑞博思生产的控制器和伺服驱动产品。报告期内，瑞博思生产的控制器主要用于公司自主生产的工业机器人整机，部分应用于</w:t>
              </w:r>
              <w:r>
                <w:rPr>
                  <w:rFonts w:ascii="Times New Roman" w:hAnsi="Times New Roman" w:hint="eastAsia"/>
                  <w:szCs w:val="21"/>
                </w:rPr>
                <w:t>A</w:t>
              </w:r>
              <w:r>
                <w:rPr>
                  <w:rFonts w:ascii="Times New Roman" w:hAnsi="Times New Roman"/>
                  <w:szCs w:val="21"/>
                </w:rPr>
                <w:t>GV</w:t>
              </w:r>
              <w:r>
                <w:rPr>
                  <w:rFonts w:hint="eastAsia"/>
                  <w:szCs w:val="21"/>
                </w:rPr>
                <w:t>及其他智能装备控制。</w:t>
              </w:r>
            </w:p>
            <w:p w14:paraId="0FE9E5D4" w14:textId="77777777" w:rsidR="00D21C1F" w:rsidRDefault="00A42880">
              <w:pPr>
                <w:spacing w:line="360" w:lineRule="auto"/>
                <w:ind w:firstLineChars="200" w:firstLine="420"/>
                <w:jc w:val="both"/>
                <w:rPr>
                  <w:szCs w:val="21"/>
                </w:rPr>
              </w:pPr>
              <w:r>
                <w:rPr>
                  <w:rFonts w:hint="eastAsia"/>
                  <w:szCs w:val="21"/>
                </w:rPr>
                <w:t>（</w:t>
              </w:r>
              <w:r>
                <w:rPr>
                  <w:rFonts w:ascii="Times New Roman" w:hAnsi="Times New Roman"/>
                  <w:szCs w:val="21"/>
                </w:rPr>
                <w:t>2</w:t>
              </w:r>
              <w:r>
                <w:rPr>
                  <w:szCs w:val="21"/>
                </w:rPr>
                <w:t>）工业机器人整机产品</w:t>
              </w:r>
            </w:p>
            <w:p w14:paraId="1B229EB4" w14:textId="77777777" w:rsidR="00D21C1F" w:rsidRDefault="00A42880">
              <w:pPr>
                <w:spacing w:line="360" w:lineRule="auto"/>
                <w:ind w:firstLineChars="200" w:firstLine="420"/>
                <w:jc w:val="both"/>
                <w:rPr>
                  <w:szCs w:val="21"/>
                </w:rPr>
              </w:pPr>
              <w:r>
                <w:rPr>
                  <w:rFonts w:hint="eastAsia"/>
                  <w:szCs w:val="21"/>
                </w:rPr>
                <w:t>在工业机器人整机领域，公司产品以关节型机器人为主，具有弧焊、上下料、装配、搬运、码垛、打磨、喷涂、切割等功能，可应用于汽车零部件、家具制造、陶瓷卫浴、</w:t>
              </w:r>
              <w:r>
                <w:rPr>
                  <w:rFonts w:ascii="Times New Roman" w:hAnsi="Times New Roman"/>
                  <w:szCs w:val="21"/>
                </w:rPr>
                <w:t>3C</w:t>
              </w:r>
              <w:r>
                <w:rPr>
                  <w:szCs w:val="21"/>
                </w:rPr>
                <w:t>电子等诸多行业。公司整机产品分为轻型桌面型（负载小于</w:t>
              </w:r>
              <w:r>
                <w:rPr>
                  <w:rFonts w:ascii="Times New Roman" w:hAnsi="Times New Roman"/>
                  <w:szCs w:val="21"/>
                </w:rPr>
                <w:t>10</w:t>
              </w:r>
              <w:r>
                <w:rPr>
                  <w:szCs w:val="21"/>
                </w:rPr>
                <w:t>公斤、自重小于</w:t>
              </w:r>
              <w:r>
                <w:rPr>
                  <w:rFonts w:ascii="Times New Roman" w:hAnsi="Times New Roman"/>
                  <w:szCs w:val="21"/>
                </w:rPr>
                <w:t>50</w:t>
              </w:r>
              <w:r>
                <w:rPr>
                  <w:szCs w:val="21"/>
                </w:rPr>
                <w:t>公斤）、中小型负载（负载小于</w:t>
              </w:r>
              <w:r>
                <w:rPr>
                  <w:rFonts w:ascii="Times New Roman" w:hAnsi="Times New Roman"/>
                  <w:szCs w:val="21"/>
                </w:rPr>
                <w:t>80</w:t>
              </w:r>
              <w:r>
                <w:rPr>
                  <w:szCs w:val="21"/>
                </w:rPr>
                <w:t>公斤、自重大于</w:t>
              </w:r>
              <w:r>
                <w:rPr>
                  <w:rFonts w:ascii="Times New Roman" w:hAnsi="Times New Roman"/>
                  <w:szCs w:val="21"/>
                </w:rPr>
                <w:t>50</w:t>
              </w:r>
              <w:r>
                <w:rPr>
                  <w:szCs w:val="21"/>
                </w:rPr>
                <w:t>公斤）、大型负载（负载大于</w:t>
              </w:r>
              <w:r>
                <w:rPr>
                  <w:rFonts w:ascii="Times New Roman" w:hAnsi="Times New Roman"/>
                  <w:szCs w:val="21"/>
                </w:rPr>
                <w:t>80</w:t>
              </w:r>
              <w:r>
                <w:rPr>
                  <w:szCs w:val="21"/>
                </w:rPr>
                <w:t>公斤）。</w:t>
              </w:r>
            </w:p>
            <w:p w14:paraId="1A2F2B12" w14:textId="77777777" w:rsidR="00D21C1F" w:rsidRDefault="00A42880">
              <w:pPr>
                <w:spacing w:line="360" w:lineRule="auto"/>
                <w:ind w:firstLineChars="200" w:firstLine="420"/>
                <w:jc w:val="both"/>
                <w:rPr>
                  <w:szCs w:val="21"/>
                </w:rPr>
              </w:pPr>
              <w:r>
                <w:rPr>
                  <w:rFonts w:hint="eastAsia"/>
                  <w:szCs w:val="21"/>
                </w:rPr>
                <w:t>公司主力机型为</w:t>
              </w:r>
              <w:r>
                <w:rPr>
                  <w:rFonts w:ascii="Times New Roman" w:hAnsi="Times New Roman"/>
                  <w:szCs w:val="21"/>
                </w:rPr>
                <w:t>3</w:t>
              </w:r>
              <w:r>
                <w:rPr>
                  <w:szCs w:val="21"/>
                </w:rPr>
                <w:t>公斤负载、</w:t>
              </w:r>
              <w:r>
                <w:rPr>
                  <w:rFonts w:ascii="Times New Roman" w:hAnsi="Times New Roman"/>
                  <w:szCs w:val="21"/>
                </w:rPr>
                <w:t>7</w:t>
              </w:r>
              <w:r>
                <w:rPr>
                  <w:szCs w:val="21"/>
                </w:rPr>
                <w:t>公斤负载</w:t>
              </w:r>
              <w:r>
                <w:rPr>
                  <w:rFonts w:hint="eastAsia"/>
                  <w:szCs w:val="21"/>
                </w:rPr>
                <w:t>、</w:t>
              </w:r>
              <w:r>
                <w:rPr>
                  <w:rFonts w:ascii="Times New Roman" w:hAnsi="Times New Roman" w:hint="eastAsia"/>
                  <w:szCs w:val="21"/>
                </w:rPr>
                <w:t>1</w:t>
              </w:r>
              <w:r>
                <w:rPr>
                  <w:rFonts w:ascii="Times New Roman" w:hAnsi="Times New Roman"/>
                  <w:szCs w:val="21"/>
                </w:rPr>
                <w:t>5</w:t>
              </w:r>
              <w:r>
                <w:rPr>
                  <w:rFonts w:hint="eastAsia"/>
                  <w:szCs w:val="21"/>
                </w:rPr>
                <w:t>公斤负载、</w:t>
              </w:r>
              <w:r>
                <w:rPr>
                  <w:rFonts w:ascii="Times New Roman" w:hAnsi="Times New Roman"/>
                  <w:szCs w:val="21"/>
                </w:rPr>
                <w:t>20</w:t>
              </w:r>
              <w:r>
                <w:rPr>
                  <w:szCs w:val="21"/>
                </w:rPr>
                <w:t>公斤负载</w:t>
              </w:r>
              <w:r>
                <w:rPr>
                  <w:rFonts w:hint="eastAsia"/>
                  <w:szCs w:val="21"/>
                </w:rPr>
                <w:t>、</w:t>
              </w:r>
              <w:r>
                <w:rPr>
                  <w:rFonts w:ascii="Times New Roman" w:hAnsi="Times New Roman" w:hint="eastAsia"/>
                  <w:szCs w:val="21"/>
                </w:rPr>
                <w:t>5</w:t>
              </w:r>
              <w:r>
                <w:rPr>
                  <w:rFonts w:ascii="Times New Roman" w:hAnsi="Times New Roman"/>
                  <w:szCs w:val="21"/>
                </w:rPr>
                <w:t>0</w:t>
              </w:r>
              <w:r>
                <w:rPr>
                  <w:rFonts w:hint="eastAsia"/>
                  <w:szCs w:val="21"/>
                </w:rPr>
                <w:t>公斤负载和</w:t>
              </w:r>
              <w:r>
                <w:rPr>
                  <w:rFonts w:ascii="Times New Roman" w:hAnsi="Times New Roman" w:hint="eastAsia"/>
                  <w:szCs w:val="21"/>
                </w:rPr>
                <w:t>2</w:t>
              </w:r>
              <w:r>
                <w:rPr>
                  <w:rFonts w:ascii="Times New Roman" w:hAnsi="Times New Roman"/>
                  <w:szCs w:val="21"/>
                </w:rPr>
                <w:t>10</w:t>
              </w:r>
              <w:r>
                <w:rPr>
                  <w:rFonts w:hint="eastAsia"/>
                  <w:szCs w:val="21"/>
                </w:rPr>
                <w:t>公斤负载</w:t>
              </w:r>
              <w:r>
                <w:rPr>
                  <w:szCs w:val="21"/>
                </w:rPr>
                <w:t>。</w:t>
              </w:r>
              <w:r>
                <w:rPr>
                  <w:rFonts w:ascii="Times New Roman" w:hAnsi="Times New Roman"/>
                  <w:szCs w:val="21"/>
                </w:rPr>
                <w:t>3</w:t>
              </w:r>
              <w:r>
                <w:rPr>
                  <w:szCs w:val="21"/>
                </w:rPr>
                <w:t>公斤负载</w:t>
              </w:r>
              <w:r>
                <w:rPr>
                  <w:rFonts w:hint="eastAsia"/>
                  <w:szCs w:val="21"/>
                </w:rPr>
                <w:t>和</w:t>
              </w:r>
              <w:r>
                <w:rPr>
                  <w:rFonts w:ascii="Times New Roman" w:hAnsi="Times New Roman" w:hint="eastAsia"/>
                  <w:szCs w:val="21"/>
                </w:rPr>
                <w:t>7</w:t>
              </w:r>
              <w:r>
                <w:rPr>
                  <w:rFonts w:hint="eastAsia"/>
                  <w:szCs w:val="21"/>
                </w:rPr>
                <w:t>公斤负载</w:t>
              </w:r>
              <w:r>
                <w:rPr>
                  <w:szCs w:val="21"/>
                </w:rPr>
                <w:t>机器人自重较轻，为轻型桌面型机器人，主要用于</w:t>
              </w:r>
              <w:r>
                <w:rPr>
                  <w:rFonts w:ascii="Times New Roman" w:hAnsi="Times New Roman"/>
                  <w:szCs w:val="21"/>
                </w:rPr>
                <w:t>3C</w:t>
              </w:r>
              <w:r>
                <w:rPr>
                  <w:szCs w:val="21"/>
                </w:rPr>
                <w:t>行业的搬运、检测、上下料及教育行业的教学系统；公司</w:t>
              </w:r>
              <w:r>
                <w:rPr>
                  <w:rFonts w:ascii="Times New Roman" w:hAnsi="Times New Roman" w:hint="eastAsia"/>
                  <w:szCs w:val="21"/>
                </w:rPr>
                <w:t>1</w:t>
              </w:r>
              <w:r>
                <w:rPr>
                  <w:rFonts w:ascii="Times New Roman" w:hAnsi="Times New Roman"/>
                  <w:szCs w:val="21"/>
                </w:rPr>
                <w:t>5</w:t>
              </w:r>
              <w:r>
                <w:rPr>
                  <w:rFonts w:hint="eastAsia"/>
                  <w:szCs w:val="21"/>
                </w:rPr>
                <w:t>公斤负载及</w:t>
              </w:r>
              <w:r>
                <w:rPr>
                  <w:rFonts w:ascii="Times New Roman" w:hAnsi="Times New Roman"/>
                  <w:szCs w:val="21"/>
                </w:rPr>
                <w:t>20</w:t>
              </w:r>
              <w:r>
                <w:rPr>
                  <w:szCs w:val="21"/>
                </w:rPr>
                <w:t>公斤负载机器人均为中小</w:t>
              </w:r>
              <w:r>
                <w:rPr>
                  <w:szCs w:val="21"/>
                </w:rPr>
                <w:lastRenderedPageBreak/>
                <w:t>型机器人，可以实现喷涂、打磨、焊接等功能</w:t>
              </w:r>
              <w:r>
                <w:rPr>
                  <w:rFonts w:hint="eastAsia"/>
                  <w:szCs w:val="21"/>
                </w:rPr>
                <w:t>，主要应用于汽车零部件、家具制造、陶瓷卫浴、</w:t>
              </w:r>
              <w:r>
                <w:rPr>
                  <w:rFonts w:ascii="Times New Roman" w:hAnsi="Times New Roman" w:hint="eastAsia"/>
                  <w:szCs w:val="21"/>
                </w:rPr>
                <w:t>P</w:t>
              </w:r>
              <w:r>
                <w:rPr>
                  <w:rFonts w:ascii="Times New Roman" w:hAnsi="Times New Roman"/>
                  <w:szCs w:val="21"/>
                </w:rPr>
                <w:t>CB</w:t>
              </w:r>
              <w:r>
                <w:rPr>
                  <w:rFonts w:hint="eastAsia"/>
                  <w:szCs w:val="21"/>
                </w:rPr>
                <w:t>等行业</w:t>
              </w:r>
              <w:r>
                <w:rPr>
                  <w:szCs w:val="21"/>
                </w:rPr>
                <w:t>。公司</w:t>
              </w:r>
              <w:r>
                <w:rPr>
                  <w:rFonts w:ascii="Times New Roman" w:hAnsi="Times New Roman" w:hint="eastAsia"/>
                  <w:szCs w:val="21"/>
                </w:rPr>
                <w:t>5</w:t>
              </w:r>
              <w:r>
                <w:rPr>
                  <w:rFonts w:ascii="Times New Roman" w:hAnsi="Times New Roman"/>
                  <w:szCs w:val="21"/>
                </w:rPr>
                <w:t>0</w:t>
              </w:r>
              <w:r>
                <w:rPr>
                  <w:rFonts w:hint="eastAsia"/>
                  <w:szCs w:val="21"/>
                </w:rPr>
                <w:t>公斤及以上的</w:t>
              </w:r>
              <w:r>
                <w:rPr>
                  <w:szCs w:val="21"/>
                </w:rPr>
                <w:t>大负载型机器人</w:t>
              </w:r>
              <w:r>
                <w:rPr>
                  <w:rFonts w:hint="eastAsia"/>
                  <w:szCs w:val="21"/>
                </w:rPr>
                <w:t>主要应用于光伏和建陶行业。公司主力机型产品在线性轨迹精度、线性轨迹重复性等核心性能指标上与国外知名品牌水平接近，在整体稳定性、指令集丰富程度与外资品牌存在差距；在智能快速示教、特定作业场景下的防护等级等技术指标上，更贴近通用工业对机器人应用的需求。</w:t>
              </w:r>
            </w:p>
            <w:p w14:paraId="1E94168D" w14:textId="77777777" w:rsidR="00D21C1F" w:rsidRDefault="00A42880">
              <w:pPr>
                <w:spacing w:line="360" w:lineRule="auto"/>
                <w:ind w:firstLineChars="200" w:firstLine="420"/>
                <w:jc w:val="both"/>
                <w:rPr>
                  <w:szCs w:val="21"/>
                </w:rPr>
              </w:pPr>
              <w:r>
                <w:rPr>
                  <w:rFonts w:hint="eastAsia"/>
                  <w:szCs w:val="21"/>
                </w:rPr>
                <w:t>（</w:t>
              </w:r>
              <w:r>
                <w:rPr>
                  <w:rFonts w:ascii="Times New Roman" w:hAnsi="Times New Roman"/>
                  <w:szCs w:val="21"/>
                </w:rPr>
                <w:t>3</w:t>
              </w:r>
              <w:r>
                <w:rPr>
                  <w:szCs w:val="21"/>
                </w:rPr>
                <w:t>）</w:t>
              </w:r>
              <w:r>
                <w:rPr>
                  <w:rFonts w:hint="eastAsia"/>
                  <w:szCs w:val="21"/>
                </w:rPr>
                <w:t>机器人</w:t>
              </w:r>
              <w:r>
                <w:rPr>
                  <w:szCs w:val="21"/>
                </w:rPr>
                <w:t>系统集成</w:t>
              </w:r>
              <w:r>
                <w:rPr>
                  <w:rFonts w:hint="eastAsia"/>
                  <w:szCs w:val="21"/>
                </w:rPr>
                <w:t>业务</w:t>
              </w:r>
            </w:p>
            <w:p w14:paraId="3231DDDD" w14:textId="77777777" w:rsidR="00D21C1F" w:rsidRDefault="00A42880">
              <w:pPr>
                <w:spacing w:line="360" w:lineRule="auto"/>
                <w:ind w:firstLineChars="200" w:firstLine="420"/>
                <w:jc w:val="both"/>
              </w:pPr>
              <w:r>
                <w:rPr>
                  <w:rFonts w:hint="eastAsia"/>
                  <w:szCs w:val="21"/>
                </w:rPr>
                <w:t>按照生产线产品性能，公司系统集成为汽车、汽车零部件、家具制造、金属加工、轨道交通等行业提供焊接和铆接、搬运和检测、喷涂、打磨和抛光、铸造、智能装配、智能物流与输送等解决方案。</w:t>
              </w:r>
            </w:p>
          </w:sdtContent>
        </w:sdt>
      </w:sdtContent>
    </w:sdt>
    <w:sdt>
      <w:sdtPr>
        <w:rPr>
          <w:rFonts w:eastAsiaTheme="minorEastAsia"/>
          <w:b w:val="0"/>
          <w:bCs w:val="0"/>
        </w:rPr>
        <w:alias w:val="模块:核心技术及其先进性以及报告期内的变化情况"/>
        <w:tag w:val="_SEC_f6b0c9161b7b473e931020c4a93e3239"/>
        <w:id w:val="2004781798"/>
        <w:lock w:val="sdtLocked"/>
        <w:placeholder>
          <w:docPart w:val="GBC22222222222222222222222222222"/>
        </w:placeholder>
      </w:sdtPr>
      <w:sdtEndPr/>
      <w:sdtContent>
        <w:p w14:paraId="3E193B6E" w14:textId="77777777" w:rsidR="00D21C1F" w:rsidRDefault="00A42880">
          <w:pPr>
            <w:pStyle w:val="2"/>
            <w:numPr>
              <w:ilvl w:val="0"/>
              <w:numId w:val="7"/>
            </w:numPr>
            <w:rPr>
              <w:bCs w:val="0"/>
            </w:rPr>
          </w:pPr>
          <w:r>
            <w:rPr>
              <w:rFonts w:hint="eastAsia"/>
              <w:bCs w:val="0"/>
            </w:rPr>
            <w:t>核心</w:t>
          </w:r>
          <w:r>
            <w:rPr>
              <w:bCs w:val="0"/>
            </w:rPr>
            <w:t>技术与研发</w:t>
          </w:r>
          <w:r>
            <w:rPr>
              <w:rFonts w:hint="eastAsia"/>
              <w:bCs w:val="0"/>
            </w:rPr>
            <w:t>进展</w:t>
          </w:r>
        </w:p>
        <w:p w14:paraId="6909C420" w14:textId="77777777" w:rsidR="00D21C1F" w:rsidRDefault="00A42880">
          <w:pPr>
            <w:pStyle w:val="3"/>
            <w:numPr>
              <w:ilvl w:val="0"/>
              <w:numId w:val="11"/>
            </w:numPr>
            <w:rPr>
              <w:rFonts w:ascii="宋体" w:hAnsi="宋体"/>
            </w:rPr>
          </w:pPr>
          <w:r>
            <w:rPr>
              <w:rFonts w:ascii="宋体" w:hAnsi="宋体"/>
            </w:rPr>
            <w:t>核心技术</w:t>
          </w:r>
          <w:r>
            <w:rPr>
              <w:rFonts w:ascii="宋体" w:hAnsi="宋体" w:hint="eastAsia"/>
            </w:rPr>
            <w:t>及其</w:t>
          </w:r>
          <w:r>
            <w:rPr>
              <w:rFonts w:ascii="宋体" w:hAnsi="宋体"/>
            </w:rPr>
            <w:t>先进性</w:t>
          </w:r>
          <w:r>
            <w:rPr>
              <w:rFonts w:ascii="宋体" w:hAnsi="宋体" w:hint="eastAsia"/>
            </w:rPr>
            <w:t>以及报告期内</w:t>
          </w:r>
          <w:r>
            <w:rPr>
              <w:rFonts w:ascii="宋体" w:hAnsi="宋体"/>
            </w:rPr>
            <w:t>的变化情况</w:t>
          </w:r>
        </w:p>
        <w:sdt>
          <w:sdtPr>
            <w:alias w:val="核心技术及其先进性以及报告期内的变化情况"/>
            <w:tag w:val="_GBC_9499a9c1815b43368641f4c8a725d048"/>
            <w:id w:val="326941234"/>
            <w:lock w:val="sdtLocked"/>
            <w:placeholder>
              <w:docPart w:val="GBC22222222222222222222222222222"/>
            </w:placeholder>
          </w:sdtPr>
          <w:sdtEndPr>
            <w:rPr>
              <w:rFonts w:ascii="Times New Roman" w:hAnsi="Times New Roman" w:cs="Times New Roman"/>
            </w:rPr>
          </w:sdtEndPr>
          <w:sdtContent>
            <w:p w14:paraId="36B5DF4F" w14:textId="14EF5E61" w:rsidR="00D21C1F" w:rsidRDefault="00A42880">
              <w:pPr>
                <w:spacing w:line="360" w:lineRule="auto"/>
                <w:ind w:firstLineChars="200" w:firstLine="420"/>
                <w:jc w:val="both"/>
              </w:pPr>
              <w:r>
                <w:rPr>
                  <w:rFonts w:hint="eastAsia"/>
                </w:rPr>
                <w:t>公司截至本报告期末拥有</w:t>
              </w:r>
              <w:r>
                <w:rPr>
                  <w:rFonts w:ascii="Times New Roman" w:hAnsi="Times New Roman"/>
                </w:rPr>
                <w:t>16</w:t>
              </w:r>
              <w:r>
                <w:t>项核心技术，其中</w:t>
              </w:r>
              <w:r>
                <w:rPr>
                  <w:rFonts w:ascii="Times New Roman" w:hAnsi="Times New Roman"/>
                </w:rPr>
                <w:t>8</w:t>
              </w:r>
              <w:r>
                <w:t>项为独立自主研发，</w:t>
              </w:r>
              <w:r>
                <w:rPr>
                  <w:rFonts w:ascii="Times New Roman" w:hAnsi="Times New Roman"/>
                </w:rPr>
                <w:t>7</w:t>
              </w:r>
              <w:r>
                <w:t>项为并购境外企业后吸收再创新，</w:t>
              </w:r>
              <w:r>
                <w:rPr>
                  <w:rFonts w:ascii="Times New Roman" w:hAnsi="Times New Roman"/>
                </w:rPr>
                <w:t>1</w:t>
              </w:r>
              <w:r>
                <w:t>项为引进</w:t>
              </w:r>
              <w:r w:rsidR="00D07E51">
                <w:t>境外</w:t>
              </w:r>
              <w:r>
                <w:t>技术后吸收再研发</w:t>
              </w:r>
              <w:r>
                <w:rPr>
                  <w:rFonts w:hint="eastAsia"/>
                </w:rPr>
                <w:t>。公司机器人整机正向设计技术主要为产品技术，先进性主要体现在产品性能上；机器人运动控制技术主要为运动控制算法、驱动控制硬件技术、底层开发环境及系统自主仿真软件平台，先进性主要体现在算法先进性，以及对国外技术垄断的替代；公司智能化及系统集成技术，主要基于系统集成应用形成的应用技术和机器人控制技术，将云平台技术、机器视觉等先进技术与智能制造技术结合，提升智能化，该等技术均达到国内或国际领先水平。公司各项核心技术具体情况如下：</w:t>
              </w:r>
            </w:p>
            <w:tbl>
              <w:tblPr>
                <w:tblStyle w:val="g1"/>
                <w:tblW w:w="5000" w:type="pct"/>
                <w:jc w:val="center"/>
                <w:tblInd w:w="0" w:type="dxa"/>
                <w:tblBorders>
                  <w:top w:val="thinThickSmallGap" w:sz="12" w:space="0" w:color="auto"/>
                  <w:bottom w:val="thinThickSmallGap" w:sz="12" w:space="0" w:color="auto"/>
                  <w:insideH w:val="single" w:sz="4" w:space="0" w:color="000000"/>
                  <w:insideV w:val="single" w:sz="4" w:space="0" w:color="000000"/>
                </w:tblBorders>
                <w:tblLook w:val="04A0" w:firstRow="1" w:lastRow="0" w:firstColumn="1" w:lastColumn="0" w:noHBand="0" w:noVBand="1"/>
              </w:tblPr>
              <w:tblGrid>
                <w:gridCol w:w="1546"/>
                <w:gridCol w:w="1957"/>
                <w:gridCol w:w="1477"/>
                <w:gridCol w:w="1380"/>
                <w:gridCol w:w="1295"/>
                <w:gridCol w:w="1178"/>
              </w:tblGrid>
              <w:tr w:rsidR="00D21C1F" w14:paraId="24DE448A" w14:textId="77777777">
                <w:trPr>
                  <w:trHeight w:val="340"/>
                  <w:jc w:val="center"/>
                </w:trPr>
                <w:tc>
                  <w:tcPr>
                    <w:tcW w:w="875" w:type="pct"/>
                    <w:shd w:val="clear" w:color="auto" w:fill="auto"/>
                    <w:vAlign w:val="center"/>
                  </w:tcPr>
                  <w:p w14:paraId="7A44B1D0" w14:textId="77777777" w:rsidR="00D21C1F" w:rsidRDefault="00A42880">
                    <w:pPr>
                      <w:contextualSpacing/>
                      <w:jc w:val="center"/>
                      <w:rPr>
                        <w:rFonts w:ascii="Times New Roman" w:hAnsi="Times New Roman" w:cs="Times New Roman"/>
                        <w:b/>
                        <w:sz w:val="18"/>
                        <w:szCs w:val="18"/>
                      </w:rPr>
                    </w:pPr>
                    <w:bookmarkStart w:id="35" w:name="_Hlk48048309"/>
                    <w:r>
                      <w:rPr>
                        <w:rFonts w:ascii="Times New Roman" w:hAnsi="Times New Roman" w:cs="Times New Roman"/>
                        <w:b/>
                        <w:sz w:val="18"/>
                        <w:szCs w:val="18"/>
                      </w:rPr>
                      <w:t>核心技术类别</w:t>
                    </w:r>
                  </w:p>
                </w:tc>
                <w:tc>
                  <w:tcPr>
                    <w:tcW w:w="1108" w:type="pct"/>
                    <w:shd w:val="clear" w:color="auto" w:fill="auto"/>
                    <w:vAlign w:val="center"/>
                  </w:tcPr>
                  <w:p w14:paraId="386669C8" w14:textId="77777777" w:rsidR="00D21C1F" w:rsidRDefault="00A42880">
                    <w:pPr>
                      <w:contextualSpacing/>
                      <w:jc w:val="center"/>
                      <w:rPr>
                        <w:rFonts w:ascii="Times New Roman" w:hAnsi="Times New Roman" w:cs="Times New Roman"/>
                        <w:b/>
                        <w:sz w:val="18"/>
                        <w:szCs w:val="18"/>
                      </w:rPr>
                    </w:pPr>
                    <w:r>
                      <w:rPr>
                        <w:rFonts w:ascii="Times New Roman" w:hAnsi="Times New Roman" w:cs="Times New Roman"/>
                        <w:b/>
                        <w:sz w:val="18"/>
                        <w:szCs w:val="18"/>
                      </w:rPr>
                      <w:t>具体技术</w:t>
                    </w:r>
                  </w:p>
                </w:tc>
                <w:tc>
                  <w:tcPr>
                    <w:tcW w:w="836" w:type="pct"/>
                    <w:shd w:val="clear" w:color="auto" w:fill="auto"/>
                    <w:vAlign w:val="center"/>
                  </w:tcPr>
                  <w:p w14:paraId="4BF4E2D1"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b/>
                        <w:sz w:val="18"/>
                        <w:szCs w:val="18"/>
                      </w:rPr>
                      <w:t>按产业链位置分类类别</w:t>
                    </w:r>
                  </w:p>
                </w:tc>
                <w:tc>
                  <w:tcPr>
                    <w:tcW w:w="781" w:type="pct"/>
                    <w:vAlign w:val="center"/>
                  </w:tcPr>
                  <w:p w14:paraId="0CAE3882" w14:textId="77777777" w:rsidR="00D21C1F" w:rsidRDefault="00A42880">
                    <w:pPr>
                      <w:contextualSpacing/>
                      <w:jc w:val="center"/>
                      <w:rPr>
                        <w:rFonts w:ascii="Times New Roman" w:hAnsi="Times New Roman" w:cs="Times New Roman"/>
                        <w:b/>
                        <w:sz w:val="18"/>
                        <w:szCs w:val="18"/>
                      </w:rPr>
                    </w:pPr>
                    <w:r>
                      <w:rPr>
                        <w:rFonts w:ascii="Times New Roman" w:hAnsi="Times New Roman" w:cs="Times New Roman"/>
                        <w:b/>
                        <w:sz w:val="18"/>
                        <w:szCs w:val="18"/>
                      </w:rPr>
                      <w:t>拥有主体</w:t>
                    </w:r>
                  </w:p>
                </w:tc>
                <w:tc>
                  <w:tcPr>
                    <w:tcW w:w="733" w:type="pct"/>
                    <w:shd w:val="clear" w:color="auto" w:fill="auto"/>
                    <w:vAlign w:val="center"/>
                  </w:tcPr>
                  <w:p w14:paraId="12BA78C5" w14:textId="77777777" w:rsidR="00D21C1F" w:rsidRDefault="00A42880">
                    <w:pPr>
                      <w:contextualSpacing/>
                      <w:jc w:val="center"/>
                      <w:rPr>
                        <w:rFonts w:ascii="Times New Roman" w:hAnsi="Times New Roman" w:cs="Times New Roman"/>
                        <w:b/>
                        <w:sz w:val="18"/>
                        <w:szCs w:val="18"/>
                      </w:rPr>
                    </w:pPr>
                    <w:r>
                      <w:rPr>
                        <w:rFonts w:ascii="Times New Roman" w:hAnsi="Times New Roman" w:cs="Times New Roman"/>
                        <w:b/>
                        <w:sz w:val="18"/>
                        <w:szCs w:val="18"/>
                      </w:rPr>
                      <w:t>技术来源</w:t>
                    </w:r>
                  </w:p>
                </w:tc>
                <w:tc>
                  <w:tcPr>
                    <w:tcW w:w="667" w:type="pct"/>
                    <w:vAlign w:val="center"/>
                  </w:tcPr>
                  <w:p w14:paraId="16B7D11F" w14:textId="77777777" w:rsidR="00D21C1F" w:rsidRDefault="00A42880">
                    <w:pPr>
                      <w:contextualSpacing/>
                      <w:jc w:val="center"/>
                      <w:rPr>
                        <w:rFonts w:ascii="Times New Roman" w:hAnsi="Times New Roman" w:cs="Times New Roman"/>
                        <w:b/>
                        <w:sz w:val="18"/>
                        <w:szCs w:val="18"/>
                      </w:rPr>
                    </w:pPr>
                    <w:r>
                      <w:rPr>
                        <w:rFonts w:ascii="Times New Roman" w:hAnsi="Times New Roman" w:cs="Times New Roman"/>
                        <w:b/>
                        <w:sz w:val="18"/>
                        <w:szCs w:val="18"/>
                      </w:rPr>
                      <w:t>量产或生产开始时间</w:t>
                    </w:r>
                  </w:p>
                </w:tc>
              </w:tr>
              <w:tr w:rsidR="00D21C1F" w14:paraId="70D74182" w14:textId="77777777">
                <w:trPr>
                  <w:trHeight w:val="340"/>
                  <w:jc w:val="center"/>
                </w:trPr>
                <w:tc>
                  <w:tcPr>
                    <w:tcW w:w="875" w:type="pct"/>
                    <w:vMerge w:val="restart"/>
                    <w:shd w:val="clear" w:color="auto" w:fill="auto"/>
                    <w:vAlign w:val="center"/>
                  </w:tcPr>
                  <w:p w14:paraId="7DF83766"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机器人整机正向设计技术</w:t>
                    </w:r>
                  </w:p>
                </w:tc>
                <w:tc>
                  <w:tcPr>
                    <w:tcW w:w="1108" w:type="pct"/>
                    <w:shd w:val="clear" w:color="auto" w:fill="auto"/>
                    <w:vAlign w:val="center"/>
                  </w:tcPr>
                  <w:p w14:paraId="36723905"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面向动态性能的机器人机械本体正向设计与优化技术</w:t>
                    </w:r>
                  </w:p>
                </w:tc>
                <w:tc>
                  <w:tcPr>
                    <w:tcW w:w="836" w:type="pct"/>
                    <w:shd w:val="clear" w:color="auto" w:fill="auto"/>
                    <w:vAlign w:val="center"/>
                  </w:tcPr>
                  <w:p w14:paraId="57023D1F"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w:t>
                    </w:r>
                  </w:p>
                </w:tc>
                <w:tc>
                  <w:tcPr>
                    <w:tcW w:w="781" w:type="pct"/>
                    <w:vAlign w:val="center"/>
                  </w:tcPr>
                  <w:p w14:paraId="0BEFB2F8"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tc>
                <w:tc>
                  <w:tcPr>
                    <w:tcW w:w="733" w:type="pct"/>
                    <w:shd w:val="clear" w:color="auto" w:fill="auto"/>
                    <w:vAlign w:val="center"/>
                  </w:tcPr>
                  <w:p w14:paraId="05B18C5E"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0762B570"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2010</w:t>
                    </w:r>
                    <w:r>
                      <w:rPr>
                        <w:rFonts w:ascii="Times New Roman" w:hAnsi="Times New Roman" w:cs="Times New Roman"/>
                        <w:sz w:val="18"/>
                        <w:szCs w:val="18"/>
                      </w:rPr>
                      <w:t>年</w:t>
                    </w:r>
                  </w:p>
                </w:tc>
              </w:tr>
              <w:tr w:rsidR="00D21C1F" w14:paraId="58055564" w14:textId="77777777">
                <w:trPr>
                  <w:trHeight w:val="340"/>
                  <w:jc w:val="center"/>
                </w:trPr>
                <w:tc>
                  <w:tcPr>
                    <w:tcW w:w="875" w:type="pct"/>
                    <w:vMerge/>
                    <w:shd w:val="clear" w:color="auto" w:fill="auto"/>
                    <w:vAlign w:val="center"/>
                  </w:tcPr>
                  <w:p w14:paraId="0CF8FE6F"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47459282"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面向特殊作业环境下的机器人结构设计技术</w:t>
                    </w:r>
                  </w:p>
                </w:tc>
                <w:tc>
                  <w:tcPr>
                    <w:tcW w:w="836" w:type="pct"/>
                    <w:shd w:val="clear" w:color="auto" w:fill="auto"/>
                    <w:vAlign w:val="center"/>
                  </w:tcPr>
                  <w:p w14:paraId="5312692E"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w:t>
                    </w:r>
                  </w:p>
                </w:tc>
                <w:tc>
                  <w:tcPr>
                    <w:tcW w:w="781" w:type="pct"/>
                    <w:vAlign w:val="center"/>
                  </w:tcPr>
                  <w:p w14:paraId="0459EF65"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tc>
                <w:tc>
                  <w:tcPr>
                    <w:tcW w:w="733" w:type="pct"/>
                    <w:shd w:val="clear" w:color="auto" w:fill="auto"/>
                    <w:vAlign w:val="center"/>
                  </w:tcPr>
                  <w:p w14:paraId="09419577"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340FAA4F"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2011</w:t>
                    </w:r>
                    <w:r>
                      <w:rPr>
                        <w:rFonts w:ascii="Times New Roman" w:hAnsi="Times New Roman" w:cs="Times New Roman"/>
                        <w:sz w:val="18"/>
                        <w:szCs w:val="18"/>
                      </w:rPr>
                      <w:t>年</w:t>
                    </w:r>
                  </w:p>
                </w:tc>
              </w:tr>
              <w:tr w:rsidR="00D21C1F" w14:paraId="10E965A4" w14:textId="77777777">
                <w:trPr>
                  <w:trHeight w:val="340"/>
                  <w:jc w:val="center"/>
                </w:trPr>
                <w:tc>
                  <w:tcPr>
                    <w:tcW w:w="875" w:type="pct"/>
                    <w:vMerge/>
                    <w:shd w:val="clear" w:color="auto" w:fill="auto"/>
                    <w:vAlign w:val="center"/>
                  </w:tcPr>
                  <w:p w14:paraId="5FA9BC1C"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0DA275C3"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面向手持示教的结构设计技术</w:t>
                    </w:r>
                  </w:p>
                </w:tc>
                <w:tc>
                  <w:tcPr>
                    <w:tcW w:w="836" w:type="pct"/>
                    <w:shd w:val="clear" w:color="auto" w:fill="auto"/>
                    <w:vAlign w:val="center"/>
                  </w:tcPr>
                  <w:p w14:paraId="2C8C696C"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w:t>
                    </w:r>
                  </w:p>
                </w:tc>
                <w:tc>
                  <w:tcPr>
                    <w:tcW w:w="781" w:type="pct"/>
                    <w:vAlign w:val="center"/>
                  </w:tcPr>
                  <w:p w14:paraId="21B514D3"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tc>
                <w:tc>
                  <w:tcPr>
                    <w:tcW w:w="733" w:type="pct"/>
                    <w:shd w:val="clear" w:color="auto" w:fill="auto"/>
                    <w:vAlign w:val="center"/>
                  </w:tcPr>
                  <w:p w14:paraId="3AECAC28"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吸收</w:t>
                    </w:r>
                    <w:r>
                      <w:rPr>
                        <w:rFonts w:ascii="Times New Roman" w:hAnsi="Times New Roman" w:cs="Times New Roman"/>
                        <w:szCs w:val="18"/>
                      </w:rPr>
                      <w:t>CMA</w:t>
                    </w:r>
                    <w:r>
                      <w:rPr>
                        <w:rFonts w:ascii="Times New Roman" w:hAnsi="Times New Roman" w:cs="Times New Roman"/>
                        <w:sz w:val="18"/>
                        <w:szCs w:val="18"/>
                      </w:rPr>
                      <w:t>技术后创新</w:t>
                    </w:r>
                  </w:p>
                </w:tc>
                <w:tc>
                  <w:tcPr>
                    <w:tcW w:w="667" w:type="pct"/>
                    <w:shd w:val="clear" w:color="auto" w:fill="auto"/>
                    <w:vAlign w:val="center"/>
                  </w:tcPr>
                  <w:p w14:paraId="24955BA4"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2017</w:t>
                    </w:r>
                    <w:r>
                      <w:rPr>
                        <w:rFonts w:ascii="Times New Roman" w:hAnsi="Times New Roman" w:cs="Times New Roman"/>
                        <w:sz w:val="18"/>
                        <w:szCs w:val="18"/>
                      </w:rPr>
                      <w:t>年</w:t>
                    </w:r>
                  </w:p>
                </w:tc>
              </w:tr>
              <w:tr w:rsidR="00D21C1F" w14:paraId="005F0E90" w14:textId="77777777">
                <w:trPr>
                  <w:trHeight w:val="340"/>
                  <w:jc w:val="center"/>
                </w:trPr>
                <w:tc>
                  <w:tcPr>
                    <w:tcW w:w="875" w:type="pct"/>
                    <w:vMerge/>
                    <w:shd w:val="clear" w:color="auto" w:fill="auto"/>
                    <w:vAlign w:val="center"/>
                  </w:tcPr>
                  <w:p w14:paraId="64ED0DDB"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75397D1F"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面向高速高精度三维激光切割新型机器人机构技术</w:t>
                    </w:r>
                  </w:p>
                </w:tc>
                <w:tc>
                  <w:tcPr>
                    <w:tcW w:w="836" w:type="pct"/>
                    <w:shd w:val="clear" w:color="auto" w:fill="auto"/>
                    <w:vAlign w:val="center"/>
                  </w:tcPr>
                  <w:p w14:paraId="3982040D"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w:t>
                    </w:r>
                  </w:p>
                </w:tc>
                <w:tc>
                  <w:tcPr>
                    <w:tcW w:w="781" w:type="pct"/>
                    <w:vAlign w:val="center"/>
                  </w:tcPr>
                  <w:p w14:paraId="4BE22EE1"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tc>
                <w:tc>
                  <w:tcPr>
                    <w:tcW w:w="733" w:type="pct"/>
                    <w:shd w:val="clear" w:color="auto" w:fill="auto"/>
                    <w:vAlign w:val="center"/>
                  </w:tcPr>
                  <w:p w14:paraId="3F2D4481" w14:textId="3E046AA8"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引进</w:t>
                    </w:r>
                    <w:r w:rsidR="00D07E51">
                      <w:rPr>
                        <w:rFonts w:ascii="Times New Roman" w:hAnsi="Times New Roman" w:cs="Times New Roman"/>
                        <w:sz w:val="18"/>
                        <w:szCs w:val="18"/>
                      </w:rPr>
                      <w:t>境外</w:t>
                    </w:r>
                    <w:r>
                      <w:rPr>
                        <w:rFonts w:ascii="Times New Roman" w:hAnsi="Times New Roman" w:cs="Times New Roman"/>
                        <w:sz w:val="18"/>
                        <w:szCs w:val="18"/>
                      </w:rPr>
                      <w:t>技术后研发</w:t>
                    </w:r>
                  </w:p>
                </w:tc>
                <w:tc>
                  <w:tcPr>
                    <w:tcW w:w="667" w:type="pct"/>
                    <w:shd w:val="clear" w:color="auto" w:fill="auto"/>
                    <w:vAlign w:val="center"/>
                  </w:tcPr>
                  <w:p w14:paraId="46A9EFBD"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2022</w:t>
                    </w:r>
                    <w:r>
                      <w:rPr>
                        <w:rFonts w:ascii="Times New Roman" w:hAnsi="Times New Roman" w:cs="Times New Roman" w:hint="eastAsia"/>
                        <w:szCs w:val="18"/>
                      </w:rPr>
                      <w:t>年底</w:t>
                    </w:r>
                    <w:r>
                      <w:rPr>
                        <w:rFonts w:ascii="Times New Roman" w:hAnsi="Times New Roman" w:cs="Times New Roman" w:hint="eastAsia"/>
                        <w:sz w:val="16"/>
                        <w:szCs w:val="16"/>
                      </w:rPr>
                      <w:t>【注</w:t>
                    </w:r>
                    <w:r>
                      <w:rPr>
                        <w:rFonts w:ascii="Times New Roman" w:hAnsi="Times New Roman" w:cs="Times New Roman" w:hint="eastAsia"/>
                        <w:sz w:val="16"/>
                        <w:szCs w:val="16"/>
                      </w:rPr>
                      <w:t>1</w:t>
                    </w:r>
                    <w:r>
                      <w:rPr>
                        <w:rFonts w:ascii="Times New Roman" w:hAnsi="Times New Roman" w:cs="Times New Roman" w:hint="eastAsia"/>
                        <w:sz w:val="16"/>
                        <w:szCs w:val="16"/>
                      </w:rPr>
                      <w:t>】</w:t>
                    </w:r>
                  </w:p>
                </w:tc>
              </w:tr>
              <w:tr w:rsidR="00D21C1F" w14:paraId="5DD03F7F" w14:textId="77777777">
                <w:trPr>
                  <w:trHeight w:val="340"/>
                  <w:jc w:val="center"/>
                </w:trPr>
                <w:tc>
                  <w:tcPr>
                    <w:tcW w:w="875" w:type="pct"/>
                    <w:vMerge/>
                    <w:shd w:val="clear" w:color="auto" w:fill="auto"/>
                    <w:vAlign w:val="center"/>
                  </w:tcPr>
                  <w:p w14:paraId="59BE692D"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78D5CC65"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面向协作机器人一体化关节设计技术</w:t>
                    </w:r>
                  </w:p>
                </w:tc>
                <w:tc>
                  <w:tcPr>
                    <w:tcW w:w="836" w:type="pct"/>
                    <w:shd w:val="clear" w:color="auto" w:fill="auto"/>
                    <w:vAlign w:val="center"/>
                  </w:tcPr>
                  <w:p w14:paraId="3D0F403E"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w:t>
                    </w:r>
                  </w:p>
                </w:tc>
                <w:tc>
                  <w:tcPr>
                    <w:tcW w:w="781" w:type="pct"/>
                    <w:vAlign w:val="center"/>
                  </w:tcPr>
                  <w:p w14:paraId="0D20669D"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tc>
                <w:tc>
                  <w:tcPr>
                    <w:tcW w:w="733" w:type="pct"/>
                    <w:shd w:val="clear" w:color="auto" w:fill="auto"/>
                    <w:vAlign w:val="center"/>
                  </w:tcPr>
                  <w:p w14:paraId="2F0D5194"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2CFF6B9D"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2019</w:t>
                    </w:r>
                    <w:r>
                      <w:rPr>
                        <w:rFonts w:ascii="Times New Roman" w:hAnsi="Times New Roman" w:cs="Times New Roman"/>
                        <w:szCs w:val="18"/>
                      </w:rPr>
                      <w:t>年</w:t>
                    </w:r>
                  </w:p>
                </w:tc>
              </w:tr>
              <w:tr w:rsidR="00D21C1F" w14:paraId="059013B8" w14:textId="77777777">
                <w:trPr>
                  <w:trHeight w:val="340"/>
                  <w:jc w:val="center"/>
                </w:trPr>
                <w:tc>
                  <w:tcPr>
                    <w:tcW w:w="875" w:type="pct"/>
                    <w:vMerge w:val="restart"/>
                    <w:shd w:val="clear" w:color="auto" w:fill="auto"/>
                    <w:vAlign w:val="center"/>
                  </w:tcPr>
                  <w:p w14:paraId="1920E6B2" w14:textId="77777777" w:rsidR="00D21C1F" w:rsidRDefault="00A42880">
                    <w:pPr>
                      <w:contextualSpacing/>
                      <w:rPr>
                        <w:rFonts w:ascii="Times New Roman" w:hAnsi="Times New Roman" w:cs="Times New Roman"/>
                        <w:bCs/>
                        <w:sz w:val="18"/>
                        <w:szCs w:val="18"/>
                      </w:rPr>
                    </w:pPr>
                    <w:r>
                      <w:rPr>
                        <w:rFonts w:ascii="Times New Roman" w:hAnsi="Times New Roman" w:cs="Times New Roman"/>
                        <w:bCs/>
                        <w:sz w:val="18"/>
                        <w:szCs w:val="18"/>
                      </w:rPr>
                      <w:t>机器人运动控制技术</w:t>
                    </w:r>
                  </w:p>
                </w:tc>
                <w:tc>
                  <w:tcPr>
                    <w:tcW w:w="1108" w:type="pct"/>
                    <w:shd w:val="clear" w:color="auto" w:fill="auto"/>
                    <w:vAlign w:val="center"/>
                  </w:tcPr>
                  <w:p w14:paraId="1E3F024C"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高精度（绝对精度）运动学算法及其参数辨识与标定技术</w:t>
                    </w:r>
                  </w:p>
                </w:tc>
                <w:tc>
                  <w:tcPr>
                    <w:tcW w:w="836" w:type="pct"/>
                    <w:shd w:val="clear" w:color="auto" w:fill="auto"/>
                    <w:vAlign w:val="center"/>
                  </w:tcPr>
                  <w:p w14:paraId="7247E9F5"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整机、核心零部件</w:t>
                    </w:r>
                  </w:p>
                </w:tc>
                <w:tc>
                  <w:tcPr>
                    <w:tcW w:w="781" w:type="pct"/>
                    <w:vAlign w:val="center"/>
                  </w:tcPr>
                  <w:p w14:paraId="4BE75FBA"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p w14:paraId="06504900"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瑞博思</w:t>
                    </w:r>
                  </w:p>
                </w:tc>
                <w:tc>
                  <w:tcPr>
                    <w:tcW w:w="733" w:type="pct"/>
                    <w:shd w:val="clear" w:color="auto" w:fill="auto"/>
                    <w:vAlign w:val="center"/>
                  </w:tcPr>
                  <w:p w14:paraId="510D4417"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04F9FDF3"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2017</w:t>
                    </w:r>
                    <w:r>
                      <w:rPr>
                        <w:rFonts w:ascii="Times New Roman" w:hAnsi="Times New Roman" w:cs="Times New Roman"/>
                        <w:sz w:val="18"/>
                        <w:szCs w:val="18"/>
                      </w:rPr>
                      <w:t>年</w:t>
                    </w:r>
                  </w:p>
                </w:tc>
              </w:tr>
              <w:tr w:rsidR="00D21C1F" w14:paraId="15146D1D" w14:textId="77777777">
                <w:trPr>
                  <w:trHeight w:val="340"/>
                  <w:jc w:val="center"/>
                </w:trPr>
                <w:tc>
                  <w:tcPr>
                    <w:tcW w:w="875" w:type="pct"/>
                    <w:vMerge/>
                    <w:shd w:val="clear" w:color="auto" w:fill="auto"/>
                    <w:vAlign w:val="center"/>
                  </w:tcPr>
                  <w:p w14:paraId="0351356A" w14:textId="77777777" w:rsidR="00D21C1F" w:rsidRDefault="00D21C1F">
                    <w:pPr>
                      <w:contextualSpacing/>
                      <w:rPr>
                        <w:rFonts w:ascii="Times New Roman" w:hAnsi="Times New Roman" w:cs="Times New Roman"/>
                        <w:bCs/>
                        <w:sz w:val="18"/>
                        <w:szCs w:val="18"/>
                      </w:rPr>
                    </w:pPr>
                  </w:p>
                </w:tc>
                <w:tc>
                  <w:tcPr>
                    <w:tcW w:w="1108" w:type="pct"/>
                    <w:shd w:val="clear" w:color="auto" w:fill="auto"/>
                    <w:vAlign w:val="center"/>
                  </w:tcPr>
                  <w:p w14:paraId="5D7AE67E"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动力学参数辨识与动力学控制算法</w:t>
                    </w:r>
                  </w:p>
                </w:tc>
                <w:tc>
                  <w:tcPr>
                    <w:tcW w:w="836" w:type="pct"/>
                    <w:shd w:val="clear" w:color="auto" w:fill="auto"/>
                    <w:vAlign w:val="center"/>
                  </w:tcPr>
                  <w:p w14:paraId="4EE95873"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整机、核心零部件</w:t>
                    </w:r>
                  </w:p>
                </w:tc>
                <w:tc>
                  <w:tcPr>
                    <w:tcW w:w="781" w:type="pct"/>
                    <w:vAlign w:val="center"/>
                  </w:tcPr>
                  <w:p w14:paraId="68F31B1A"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p w14:paraId="5163A0CA"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瑞博思</w:t>
                    </w:r>
                  </w:p>
                </w:tc>
                <w:tc>
                  <w:tcPr>
                    <w:tcW w:w="733" w:type="pct"/>
                    <w:shd w:val="clear" w:color="auto" w:fill="auto"/>
                    <w:vAlign w:val="center"/>
                  </w:tcPr>
                  <w:p w14:paraId="761C583F"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3872542F"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2017</w:t>
                    </w:r>
                    <w:r>
                      <w:rPr>
                        <w:rFonts w:ascii="Times New Roman" w:hAnsi="Times New Roman" w:cs="Times New Roman"/>
                        <w:sz w:val="18"/>
                        <w:szCs w:val="18"/>
                      </w:rPr>
                      <w:t>年</w:t>
                    </w:r>
                  </w:p>
                </w:tc>
              </w:tr>
              <w:tr w:rsidR="00D21C1F" w14:paraId="0DD0003A" w14:textId="77777777">
                <w:trPr>
                  <w:trHeight w:val="340"/>
                  <w:jc w:val="center"/>
                </w:trPr>
                <w:tc>
                  <w:tcPr>
                    <w:tcW w:w="875" w:type="pct"/>
                    <w:vMerge/>
                    <w:shd w:val="clear" w:color="auto" w:fill="auto"/>
                    <w:vAlign w:val="center"/>
                  </w:tcPr>
                  <w:p w14:paraId="4BAAA370" w14:textId="77777777" w:rsidR="00D21C1F" w:rsidRDefault="00D21C1F">
                    <w:pPr>
                      <w:contextualSpacing/>
                      <w:rPr>
                        <w:rFonts w:ascii="Times New Roman" w:hAnsi="Times New Roman" w:cs="Times New Roman"/>
                        <w:bCs/>
                        <w:sz w:val="18"/>
                        <w:szCs w:val="18"/>
                      </w:rPr>
                    </w:pPr>
                  </w:p>
                </w:tc>
                <w:tc>
                  <w:tcPr>
                    <w:tcW w:w="1108" w:type="pct"/>
                    <w:shd w:val="clear" w:color="auto" w:fill="auto"/>
                    <w:vAlign w:val="center"/>
                  </w:tcPr>
                  <w:p w14:paraId="6C4CD87A"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基于动力学的碰撞检测及最优运动规划算法</w:t>
                    </w:r>
                  </w:p>
                </w:tc>
                <w:tc>
                  <w:tcPr>
                    <w:tcW w:w="836" w:type="pct"/>
                    <w:shd w:val="clear" w:color="auto" w:fill="auto"/>
                    <w:vAlign w:val="center"/>
                  </w:tcPr>
                  <w:p w14:paraId="5B19A386"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整机、核心零部件</w:t>
                    </w:r>
                  </w:p>
                </w:tc>
                <w:tc>
                  <w:tcPr>
                    <w:tcW w:w="781" w:type="pct"/>
                    <w:vAlign w:val="center"/>
                  </w:tcPr>
                  <w:p w14:paraId="01A33868"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p w14:paraId="6DB79065"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瑞博思</w:t>
                    </w:r>
                  </w:p>
                </w:tc>
                <w:tc>
                  <w:tcPr>
                    <w:tcW w:w="733" w:type="pct"/>
                    <w:shd w:val="clear" w:color="auto" w:fill="auto"/>
                    <w:vAlign w:val="center"/>
                  </w:tcPr>
                  <w:p w14:paraId="362B6FC0"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3B6ADDE9"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2018</w:t>
                    </w:r>
                    <w:r>
                      <w:rPr>
                        <w:rFonts w:ascii="Times New Roman" w:hAnsi="Times New Roman" w:cs="Times New Roman"/>
                        <w:sz w:val="18"/>
                        <w:szCs w:val="18"/>
                      </w:rPr>
                      <w:t>年</w:t>
                    </w:r>
                  </w:p>
                </w:tc>
              </w:tr>
              <w:tr w:rsidR="00D21C1F" w14:paraId="0524FD32" w14:textId="77777777">
                <w:trPr>
                  <w:trHeight w:val="340"/>
                  <w:jc w:val="center"/>
                </w:trPr>
                <w:tc>
                  <w:tcPr>
                    <w:tcW w:w="875" w:type="pct"/>
                    <w:vMerge/>
                    <w:shd w:val="clear" w:color="auto" w:fill="auto"/>
                    <w:vAlign w:val="center"/>
                  </w:tcPr>
                  <w:p w14:paraId="7FA5569B" w14:textId="77777777" w:rsidR="00D21C1F" w:rsidRDefault="00D21C1F">
                    <w:pPr>
                      <w:contextualSpacing/>
                      <w:rPr>
                        <w:rFonts w:ascii="Times New Roman" w:hAnsi="Times New Roman" w:cs="Times New Roman"/>
                        <w:bCs/>
                        <w:sz w:val="18"/>
                        <w:szCs w:val="18"/>
                      </w:rPr>
                    </w:pPr>
                  </w:p>
                </w:tc>
                <w:tc>
                  <w:tcPr>
                    <w:tcW w:w="1108" w:type="pct"/>
                    <w:shd w:val="clear" w:color="auto" w:fill="auto"/>
                    <w:vAlign w:val="center"/>
                  </w:tcPr>
                  <w:p w14:paraId="04F87897"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高性能机器人控制与驱动硬件技术</w:t>
                    </w:r>
                  </w:p>
                </w:tc>
                <w:tc>
                  <w:tcPr>
                    <w:tcW w:w="836" w:type="pct"/>
                    <w:shd w:val="clear" w:color="auto" w:fill="auto"/>
                    <w:vAlign w:val="center"/>
                  </w:tcPr>
                  <w:p w14:paraId="4B36EB22"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核心零部件</w:t>
                    </w:r>
                  </w:p>
                </w:tc>
                <w:tc>
                  <w:tcPr>
                    <w:tcW w:w="781" w:type="pct"/>
                    <w:vAlign w:val="center"/>
                  </w:tcPr>
                  <w:p w14:paraId="14E74C9F"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p w14:paraId="08733E5D"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瑞博思</w:t>
                    </w:r>
                  </w:p>
                </w:tc>
                <w:tc>
                  <w:tcPr>
                    <w:tcW w:w="733" w:type="pct"/>
                    <w:shd w:val="clear" w:color="auto" w:fill="auto"/>
                    <w:vAlign w:val="center"/>
                  </w:tcPr>
                  <w:p w14:paraId="482C3E04"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吸收</w:t>
                    </w:r>
                    <w:r>
                      <w:rPr>
                        <w:rFonts w:ascii="Times New Roman" w:hAnsi="Times New Roman" w:cs="Times New Roman"/>
                        <w:szCs w:val="18"/>
                      </w:rPr>
                      <w:t>ROBOX</w:t>
                    </w:r>
                    <w:r>
                      <w:rPr>
                        <w:rFonts w:ascii="Times New Roman" w:hAnsi="Times New Roman" w:cs="Times New Roman"/>
                        <w:sz w:val="18"/>
                        <w:szCs w:val="18"/>
                      </w:rPr>
                      <w:t>技术后创新</w:t>
                    </w:r>
                  </w:p>
                </w:tc>
                <w:tc>
                  <w:tcPr>
                    <w:tcW w:w="667" w:type="pct"/>
                    <w:shd w:val="clear" w:color="auto" w:fill="auto"/>
                    <w:vAlign w:val="center"/>
                  </w:tcPr>
                  <w:p w14:paraId="6453FD30"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2019</w:t>
                    </w:r>
                    <w:r>
                      <w:rPr>
                        <w:rFonts w:ascii="Times New Roman" w:hAnsi="Times New Roman" w:cs="Times New Roman"/>
                        <w:sz w:val="18"/>
                        <w:szCs w:val="18"/>
                      </w:rPr>
                      <w:t>年</w:t>
                    </w:r>
                  </w:p>
                </w:tc>
              </w:tr>
              <w:tr w:rsidR="00D21C1F" w14:paraId="6FB5FB52" w14:textId="77777777">
                <w:trPr>
                  <w:trHeight w:val="340"/>
                  <w:jc w:val="center"/>
                </w:trPr>
                <w:tc>
                  <w:tcPr>
                    <w:tcW w:w="875" w:type="pct"/>
                    <w:vMerge/>
                    <w:shd w:val="clear" w:color="auto" w:fill="auto"/>
                    <w:vAlign w:val="center"/>
                  </w:tcPr>
                  <w:p w14:paraId="77122A12" w14:textId="77777777" w:rsidR="00D21C1F" w:rsidRDefault="00D21C1F">
                    <w:pPr>
                      <w:contextualSpacing/>
                      <w:rPr>
                        <w:rFonts w:ascii="Times New Roman" w:hAnsi="Times New Roman" w:cs="Times New Roman"/>
                        <w:bCs/>
                        <w:sz w:val="18"/>
                        <w:szCs w:val="18"/>
                      </w:rPr>
                    </w:pPr>
                  </w:p>
                </w:tc>
                <w:tc>
                  <w:tcPr>
                    <w:tcW w:w="1108" w:type="pct"/>
                    <w:shd w:val="clear" w:color="auto" w:fill="auto"/>
                    <w:vAlign w:val="center"/>
                  </w:tcPr>
                  <w:p w14:paraId="0EE4FC9D"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实时操作系统内核（</w:t>
                    </w:r>
                    <w:r>
                      <w:rPr>
                        <w:rFonts w:ascii="Times New Roman" w:hAnsi="Times New Roman" w:cs="Times New Roman"/>
                        <w:szCs w:val="18"/>
                      </w:rPr>
                      <w:t>RTE</w:t>
                    </w:r>
                    <w:r>
                      <w:rPr>
                        <w:rFonts w:ascii="Times New Roman" w:hAnsi="Times New Roman" w:cs="Times New Roman"/>
                        <w:sz w:val="18"/>
                        <w:szCs w:val="18"/>
                      </w:rPr>
                      <w:t>）和第三方集成开发平台（</w:t>
                    </w:r>
                    <w:r>
                      <w:rPr>
                        <w:rFonts w:ascii="Times New Roman" w:hAnsi="Times New Roman" w:cs="Times New Roman"/>
                        <w:szCs w:val="18"/>
                      </w:rPr>
                      <w:t>RDE</w:t>
                    </w:r>
                    <w:r>
                      <w:rPr>
                        <w:rFonts w:ascii="Times New Roman" w:hAnsi="Times New Roman" w:cs="Times New Roman"/>
                        <w:sz w:val="18"/>
                        <w:szCs w:val="18"/>
                      </w:rPr>
                      <w:t>）</w:t>
                    </w:r>
                  </w:p>
                </w:tc>
                <w:tc>
                  <w:tcPr>
                    <w:tcW w:w="836" w:type="pct"/>
                    <w:shd w:val="clear" w:color="auto" w:fill="auto"/>
                    <w:vAlign w:val="center"/>
                  </w:tcPr>
                  <w:p w14:paraId="01BBC11F"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核心零部件</w:t>
                    </w:r>
                  </w:p>
                </w:tc>
                <w:tc>
                  <w:tcPr>
                    <w:tcW w:w="781" w:type="pct"/>
                    <w:vAlign w:val="center"/>
                  </w:tcPr>
                  <w:p w14:paraId="1AEC6A93"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p w14:paraId="7AC1589A"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瑞博思</w:t>
                    </w:r>
                  </w:p>
                </w:tc>
                <w:tc>
                  <w:tcPr>
                    <w:tcW w:w="733" w:type="pct"/>
                    <w:shd w:val="clear" w:color="auto" w:fill="auto"/>
                    <w:vAlign w:val="center"/>
                  </w:tcPr>
                  <w:p w14:paraId="6670FC8F"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吸收</w:t>
                    </w:r>
                    <w:r>
                      <w:rPr>
                        <w:rFonts w:ascii="Times New Roman" w:hAnsi="Times New Roman" w:cs="Times New Roman"/>
                        <w:szCs w:val="18"/>
                      </w:rPr>
                      <w:t>ROBOX</w:t>
                    </w:r>
                    <w:r>
                      <w:rPr>
                        <w:rFonts w:ascii="Times New Roman" w:hAnsi="Times New Roman" w:cs="Times New Roman"/>
                        <w:sz w:val="18"/>
                        <w:szCs w:val="18"/>
                      </w:rPr>
                      <w:t>技术后创新</w:t>
                    </w:r>
                  </w:p>
                </w:tc>
                <w:tc>
                  <w:tcPr>
                    <w:tcW w:w="667" w:type="pct"/>
                    <w:shd w:val="clear" w:color="auto" w:fill="auto"/>
                    <w:vAlign w:val="center"/>
                  </w:tcPr>
                  <w:p w14:paraId="1795FA74"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2018</w:t>
                    </w:r>
                    <w:r>
                      <w:rPr>
                        <w:rFonts w:ascii="Times New Roman" w:hAnsi="Times New Roman" w:cs="Times New Roman"/>
                        <w:sz w:val="18"/>
                        <w:szCs w:val="18"/>
                      </w:rPr>
                      <w:t>年</w:t>
                    </w:r>
                  </w:p>
                </w:tc>
              </w:tr>
              <w:tr w:rsidR="00D21C1F" w14:paraId="555193C6" w14:textId="77777777">
                <w:trPr>
                  <w:trHeight w:val="340"/>
                  <w:jc w:val="center"/>
                </w:trPr>
                <w:tc>
                  <w:tcPr>
                    <w:tcW w:w="875" w:type="pct"/>
                    <w:vMerge/>
                    <w:shd w:val="clear" w:color="auto" w:fill="auto"/>
                    <w:vAlign w:val="center"/>
                  </w:tcPr>
                  <w:p w14:paraId="3377680F"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06DFD740"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机器人与智能制造系统自主仿真软件平台</w:t>
                    </w:r>
                  </w:p>
                </w:tc>
                <w:tc>
                  <w:tcPr>
                    <w:tcW w:w="836" w:type="pct"/>
                    <w:shd w:val="clear" w:color="auto" w:fill="auto"/>
                    <w:vAlign w:val="center"/>
                  </w:tcPr>
                  <w:p w14:paraId="545176E2"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核心零部件、系统集成</w:t>
                    </w:r>
                  </w:p>
                </w:tc>
                <w:tc>
                  <w:tcPr>
                    <w:tcW w:w="781" w:type="pct"/>
                    <w:vAlign w:val="center"/>
                  </w:tcPr>
                  <w:p w14:paraId="544AA4A0"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p w14:paraId="4E9A76E0"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瑞博思</w:t>
                    </w:r>
                  </w:p>
                </w:tc>
                <w:tc>
                  <w:tcPr>
                    <w:tcW w:w="733" w:type="pct"/>
                    <w:shd w:val="clear" w:color="auto" w:fill="auto"/>
                    <w:vAlign w:val="center"/>
                  </w:tcPr>
                  <w:p w14:paraId="16CF46AB"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28D6D90D"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2015</w:t>
                    </w:r>
                    <w:r>
                      <w:rPr>
                        <w:rFonts w:ascii="Times New Roman" w:hAnsi="Times New Roman" w:cs="Times New Roman"/>
                        <w:sz w:val="18"/>
                        <w:szCs w:val="18"/>
                      </w:rPr>
                      <w:t>年</w:t>
                    </w:r>
                  </w:p>
                </w:tc>
              </w:tr>
              <w:tr w:rsidR="00D21C1F" w14:paraId="0EFDB531" w14:textId="77777777">
                <w:trPr>
                  <w:trHeight w:val="340"/>
                  <w:jc w:val="center"/>
                </w:trPr>
                <w:tc>
                  <w:tcPr>
                    <w:tcW w:w="875" w:type="pct"/>
                    <w:vMerge w:val="restart"/>
                    <w:shd w:val="clear" w:color="auto" w:fill="auto"/>
                    <w:vAlign w:val="center"/>
                  </w:tcPr>
                  <w:p w14:paraId="359EFAC8"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机器人智能化及系统集成技术</w:t>
                    </w:r>
                  </w:p>
                </w:tc>
                <w:tc>
                  <w:tcPr>
                    <w:tcW w:w="1108" w:type="pct"/>
                    <w:shd w:val="clear" w:color="auto" w:fill="auto"/>
                    <w:vAlign w:val="center"/>
                  </w:tcPr>
                  <w:p w14:paraId="2F079B0E"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基于云端架构和智能算法的机器人柔性作业架构</w:t>
                    </w:r>
                  </w:p>
                </w:tc>
                <w:tc>
                  <w:tcPr>
                    <w:tcW w:w="836" w:type="pct"/>
                    <w:shd w:val="clear" w:color="auto" w:fill="auto"/>
                    <w:vAlign w:val="center"/>
                  </w:tcPr>
                  <w:p w14:paraId="51D43E1A"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整机、系统集成</w:t>
                    </w:r>
                  </w:p>
                </w:tc>
                <w:tc>
                  <w:tcPr>
                    <w:tcW w:w="781" w:type="pct"/>
                    <w:vAlign w:val="center"/>
                  </w:tcPr>
                  <w:p w14:paraId="565F595D"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p>
                  <w:p w14:paraId="22F43089"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瑞博思</w:t>
                    </w:r>
                  </w:p>
                </w:tc>
                <w:tc>
                  <w:tcPr>
                    <w:tcW w:w="733" w:type="pct"/>
                    <w:shd w:val="clear" w:color="auto" w:fill="auto"/>
                    <w:vAlign w:val="center"/>
                  </w:tcPr>
                  <w:p w14:paraId="0CF6B2E4"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自主研发</w:t>
                    </w:r>
                  </w:p>
                </w:tc>
                <w:tc>
                  <w:tcPr>
                    <w:tcW w:w="667" w:type="pct"/>
                    <w:shd w:val="clear" w:color="auto" w:fill="auto"/>
                    <w:vAlign w:val="center"/>
                  </w:tcPr>
                  <w:p w14:paraId="6F39945D" w14:textId="77777777" w:rsidR="00D21C1F" w:rsidRDefault="00A42880">
                    <w:pPr>
                      <w:contextualSpacing/>
                      <w:rPr>
                        <w:rFonts w:ascii="Times New Roman" w:hAnsi="Times New Roman" w:cs="Times New Roman"/>
                        <w:sz w:val="18"/>
                        <w:szCs w:val="18"/>
                      </w:rPr>
                    </w:pPr>
                    <w:r>
                      <w:rPr>
                        <w:rFonts w:ascii="Times New Roman" w:hAnsi="Times New Roman" w:cs="Times New Roman" w:hint="eastAsia"/>
                        <w:szCs w:val="18"/>
                      </w:rPr>
                      <w:t>2021</w:t>
                    </w:r>
                    <w:r>
                      <w:rPr>
                        <w:rFonts w:ascii="Times New Roman" w:hAnsi="Times New Roman" w:cs="Times New Roman" w:hint="eastAsia"/>
                        <w:szCs w:val="18"/>
                      </w:rPr>
                      <w:t>年底</w:t>
                    </w:r>
                    <w:r>
                      <w:rPr>
                        <w:rFonts w:ascii="Times New Roman" w:hAnsi="Times New Roman" w:cs="Times New Roman" w:hint="eastAsia"/>
                        <w:sz w:val="16"/>
                        <w:szCs w:val="16"/>
                      </w:rPr>
                      <w:t>【注</w:t>
                    </w:r>
                    <w:r>
                      <w:rPr>
                        <w:rFonts w:ascii="Times New Roman" w:hAnsi="Times New Roman" w:cs="Times New Roman" w:hint="eastAsia"/>
                        <w:sz w:val="16"/>
                        <w:szCs w:val="16"/>
                      </w:rPr>
                      <w:t>2</w:t>
                    </w:r>
                    <w:r>
                      <w:rPr>
                        <w:rFonts w:ascii="Times New Roman" w:hAnsi="Times New Roman" w:cs="Times New Roman" w:hint="eastAsia"/>
                        <w:sz w:val="16"/>
                        <w:szCs w:val="16"/>
                      </w:rPr>
                      <w:t>】</w:t>
                    </w:r>
                  </w:p>
                </w:tc>
              </w:tr>
              <w:tr w:rsidR="00D21C1F" w14:paraId="0EDA9316" w14:textId="77777777">
                <w:trPr>
                  <w:trHeight w:val="340"/>
                  <w:jc w:val="center"/>
                </w:trPr>
                <w:tc>
                  <w:tcPr>
                    <w:tcW w:w="875" w:type="pct"/>
                    <w:vMerge/>
                    <w:shd w:val="clear" w:color="auto" w:fill="auto"/>
                    <w:vAlign w:val="center"/>
                  </w:tcPr>
                  <w:p w14:paraId="361CC097"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081525A5"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机器人智能喷涂系统成套解决方案</w:t>
                    </w:r>
                  </w:p>
                </w:tc>
                <w:tc>
                  <w:tcPr>
                    <w:tcW w:w="836" w:type="pct"/>
                    <w:shd w:val="clear" w:color="auto" w:fill="auto"/>
                    <w:vAlign w:val="center"/>
                  </w:tcPr>
                  <w:p w14:paraId="2E51D4AE"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系统集成</w:t>
                    </w:r>
                  </w:p>
                </w:tc>
                <w:tc>
                  <w:tcPr>
                    <w:tcW w:w="781" w:type="pct"/>
                    <w:vAlign w:val="center"/>
                  </w:tcPr>
                  <w:p w14:paraId="1458D15C"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CMA</w:t>
                    </w:r>
                    <w:r>
                      <w:rPr>
                        <w:rFonts w:ascii="Times New Roman" w:hAnsi="Times New Roman" w:cs="Times New Roman"/>
                        <w:sz w:val="18"/>
                        <w:szCs w:val="18"/>
                      </w:rPr>
                      <w:t>、希美埃</w:t>
                    </w:r>
                  </w:p>
                </w:tc>
                <w:tc>
                  <w:tcPr>
                    <w:tcW w:w="733" w:type="pct"/>
                    <w:shd w:val="clear" w:color="auto" w:fill="auto"/>
                    <w:vAlign w:val="center"/>
                  </w:tcPr>
                  <w:p w14:paraId="2E64681A"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吸收</w:t>
                    </w:r>
                    <w:r>
                      <w:rPr>
                        <w:rFonts w:ascii="Times New Roman" w:hAnsi="Times New Roman" w:cs="Times New Roman"/>
                        <w:szCs w:val="18"/>
                      </w:rPr>
                      <w:t>CMA</w:t>
                    </w:r>
                    <w:r>
                      <w:rPr>
                        <w:rFonts w:ascii="Times New Roman" w:hAnsi="Times New Roman" w:cs="Times New Roman"/>
                        <w:sz w:val="18"/>
                        <w:szCs w:val="18"/>
                      </w:rPr>
                      <w:t>技术后创新</w:t>
                    </w:r>
                  </w:p>
                </w:tc>
                <w:tc>
                  <w:tcPr>
                    <w:tcW w:w="667" w:type="pct"/>
                    <w:shd w:val="clear" w:color="auto" w:fill="auto"/>
                    <w:vAlign w:val="center"/>
                  </w:tcPr>
                  <w:p w14:paraId="5CFA7154"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2015</w:t>
                    </w:r>
                    <w:r>
                      <w:rPr>
                        <w:rFonts w:ascii="Times New Roman" w:hAnsi="Times New Roman" w:cs="Times New Roman"/>
                        <w:sz w:val="18"/>
                        <w:szCs w:val="18"/>
                      </w:rPr>
                      <w:t>年</w:t>
                    </w:r>
                  </w:p>
                </w:tc>
              </w:tr>
              <w:tr w:rsidR="00D21C1F" w14:paraId="4D6E45F0" w14:textId="77777777">
                <w:trPr>
                  <w:trHeight w:val="340"/>
                  <w:jc w:val="center"/>
                </w:trPr>
                <w:tc>
                  <w:tcPr>
                    <w:tcW w:w="875" w:type="pct"/>
                    <w:vMerge/>
                    <w:shd w:val="clear" w:color="auto" w:fill="auto"/>
                    <w:vAlign w:val="center"/>
                  </w:tcPr>
                  <w:p w14:paraId="72497839"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07961C9E"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智能抛光和打磨系统解决方案</w:t>
                    </w:r>
                  </w:p>
                </w:tc>
                <w:tc>
                  <w:tcPr>
                    <w:tcW w:w="836" w:type="pct"/>
                    <w:shd w:val="clear" w:color="auto" w:fill="auto"/>
                    <w:vAlign w:val="center"/>
                  </w:tcPr>
                  <w:p w14:paraId="24D4A142"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系统集成</w:t>
                    </w:r>
                  </w:p>
                </w:tc>
                <w:tc>
                  <w:tcPr>
                    <w:tcW w:w="781" w:type="pct"/>
                    <w:vAlign w:val="center"/>
                  </w:tcPr>
                  <w:p w14:paraId="0C3B1BE0"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EVOLUT</w:t>
                    </w:r>
                    <w:r>
                      <w:rPr>
                        <w:rFonts w:ascii="Times New Roman" w:hAnsi="Times New Roman" w:cs="Times New Roman"/>
                        <w:sz w:val="18"/>
                        <w:szCs w:val="18"/>
                      </w:rPr>
                      <w:t>、埃华路</w:t>
                    </w:r>
                  </w:p>
                </w:tc>
                <w:tc>
                  <w:tcPr>
                    <w:tcW w:w="733" w:type="pct"/>
                    <w:shd w:val="clear" w:color="auto" w:fill="auto"/>
                    <w:vAlign w:val="center"/>
                  </w:tcPr>
                  <w:p w14:paraId="52A90B02"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吸收</w:t>
                    </w:r>
                    <w:r>
                      <w:rPr>
                        <w:rFonts w:ascii="Times New Roman" w:hAnsi="Times New Roman" w:cs="Times New Roman"/>
                        <w:szCs w:val="18"/>
                      </w:rPr>
                      <w:t>EVOLUT</w:t>
                    </w:r>
                    <w:r>
                      <w:rPr>
                        <w:rFonts w:ascii="Times New Roman" w:hAnsi="Times New Roman" w:cs="Times New Roman"/>
                        <w:sz w:val="18"/>
                        <w:szCs w:val="18"/>
                      </w:rPr>
                      <w:t>技术后创新</w:t>
                    </w:r>
                  </w:p>
                </w:tc>
                <w:tc>
                  <w:tcPr>
                    <w:tcW w:w="667" w:type="pct"/>
                    <w:shd w:val="clear" w:color="auto" w:fill="auto"/>
                    <w:vAlign w:val="center"/>
                  </w:tcPr>
                  <w:p w14:paraId="3A183321"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2018</w:t>
                    </w:r>
                    <w:r>
                      <w:rPr>
                        <w:rFonts w:ascii="Times New Roman" w:hAnsi="Times New Roman" w:cs="Times New Roman"/>
                        <w:sz w:val="18"/>
                        <w:szCs w:val="18"/>
                      </w:rPr>
                      <w:t>年</w:t>
                    </w:r>
                  </w:p>
                </w:tc>
              </w:tr>
              <w:tr w:rsidR="00D21C1F" w14:paraId="2F09F5C4" w14:textId="77777777">
                <w:trPr>
                  <w:trHeight w:val="340"/>
                  <w:jc w:val="center"/>
                </w:trPr>
                <w:tc>
                  <w:tcPr>
                    <w:tcW w:w="875" w:type="pct"/>
                    <w:vMerge/>
                    <w:shd w:val="clear" w:color="auto" w:fill="auto"/>
                    <w:vAlign w:val="center"/>
                  </w:tcPr>
                  <w:p w14:paraId="1A7DF6EF"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6D76F421"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机器人焊装线体全流程虚拟调试技术</w:t>
                    </w:r>
                  </w:p>
                </w:tc>
                <w:tc>
                  <w:tcPr>
                    <w:tcW w:w="836" w:type="pct"/>
                    <w:shd w:val="clear" w:color="auto" w:fill="auto"/>
                    <w:vAlign w:val="center"/>
                  </w:tcPr>
                  <w:p w14:paraId="078096DE"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系统集成</w:t>
                    </w:r>
                  </w:p>
                </w:tc>
                <w:tc>
                  <w:tcPr>
                    <w:tcW w:w="781" w:type="pct"/>
                    <w:vAlign w:val="center"/>
                  </w:tcPr>
                  <w:p w14:paraId="6B28864E"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r>
                      <w:rPr>
                        <w:rFonts w:ascii="Times New Roman" w:hAnsi="Times New Roman" w:cs="Times New Roman"/>
                        <w:szCs w:val="18"/>
                      </w:rPr>
                      <w:t>WFC</w:t>
                    </w:r>
                  </w:p>
                </w:tc>
                <w:tc>
                  <w:tcPr>
                    <w:tcW w:w="733" w:type="pct"/>
                    <w:shd w:val="clear" w:color="auto" w:fill="auto"/>
                    <w:vAlign w:val="center"/>
                  </w:tcPr>
                  <w:p w14:paraId="0CB55F5E"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吸收</w:t>
                    </w:r>
                    <w:r>
                      <w:rPr>
                        <w:rFonts w:ascii="Times New Roman" w:hAnsi="Times New Roman" w:cs="Times New Roman"/>
                        <w:szCs w:val="18"/>
                      </w:rPr>
                      <w:t>WFC</w:t>
                    </w:r>
                    <w:r>
                      <w:rPr>
                        <w:rFonts w:ascii="Times New Roman" w:hAnsi="Times New Roman" w:cs="Times New Roman"/>
                        <w:sz w:val="18"/>
                        <w:szCs w:val="18"/>
                      </w:rPr>
                      <w:t>技术后创新</w:t>
                    </w:r>
                  </w:p>
                </w:tc>
                <w:tc>
                  <w:tcPr>
                    <w:tcW w:w="667" w:type="pct"/>
                    <w:shd w:val="clear" w:color="auto" w:fill="auto"/>
                    <w:vAlign w:val="center"/>
                  </w:tcPr>
                  <w:p w14:paraId="25184489"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2018</w:t>
                    </w:r>
                    <w:r>
                      <w:rPr>
                        <w:rFonts w:ascii="Times New Roman" w:hAnsi="Times New Roman" w:cs="Times New Roman"/>
                        <w:sz w:val="18"/>
                        <w:szCs w:val="18"/>
                      </w:rPr>
                      <w:t>年</w:t>
                    </w:r>
                  </w:p>
                </w:tc>
              </w:tr>
              <w:tr w:rsidR="00D21C1F" w14:paraId="7F6902E1" w14:textId="77777777">
                <w:trPr>
                  <w:trHeight w:val="340"/>
                  <w:jc w:val="center"/>
                </w:trPr>
                <w:tc>
                  <w:tcPr>
                    <w:tcW w:w="875" w:type="pct"/>
                    <w:vMerge/>
                    <w:shd w:val="clear" w:color="auto" w:fill="auto"/>
                    <w:vAlign w:val="center"/>
                  </w:tcPr>
                  <w:p w14:paraId="2C262A4F" w14:textId="77777777" w:rsidR="00D21C1F" w:rsidRDefault="00D21C1F">
                    <w:pPr>
                      <w:contextualSpacing/>
                      <w:rPr>
                        <w:rFonts w:ascii="Times New Roman" w:hAnsi="Times New Roman" w:cs="Times New Roman"/>
                        <w:sz w:val="18"/>
                        <w:szCs w:val="18"/>
                      </w:rPr>
                    </w:pPr>
                  </w:p>
                </w:tc>
                <w:tc>
                  <w:tcPr>
                    <w:tcW w:w="1108" w:type="pct"/>
                    <w:shd w:val="clear" w:color="auto" w:fill="auto"/>
                    <w:vAlign w:val="center"/>
                  </w:tcPr>
                  <w:p w14:paraId="4F31E4D3"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基于多</w:t>
                    </w:r>
                    <w:r>
                      <w:rPr>
                        <w:rFonts w:ascii="Times New Roman" w:hAnsi="Times New Roman" w:cs="Times New Roman"/>
                        <w:szCs w:val="18"/>
                      </w:rPr>
                      <w:t>AGV</w:t>
                    </w:r>
                    <w:r>
                      <w:rPr>
                        <w:rFonts w:ascii="Times New Roman" w:hAnsi="Times New Roman" w:cs="Times New Roman"/>
                        <w:sz w:val="18"/>
                        <w:szCs w:val="18"/>
                      </w:rPr>
                      <w:t>调度超柔性焊装技术</w:t>
                    </w:r>
                  </w:p>
                </w:tc>
                <w:tc>
                  <w:tcPr>
                    <w:tcW w:w="836" w:type="pct"/>
                    <w:shd w:val="clear" w:color="auto" w:fill="auto"/>
                    <w:vAlign w:val="center"/>
                  </w:tcPr>
                  <w:p w14:paraId="48246179" w14:textId="77777777" w:rsidR="00D21C1F" w:rsidRDefault="00A42880">
                    <w:pPr>
                      <w:contextualSpacing/>
                      <w:jc w:val="center"/>
                      <w:rPr>
                        <w:rFonts w:ascii="Times New Roman" w:eastAsia="楷体_GB2312" w:hAnsi="Times New Roman" w:cs="Times New Roman"/>
                        <w:b/>
                        <w:sz w:val="18"/>
                        <w:szCs w:val="18"/>
                      </w:rPr>
                    </w:pPr>
                    <w:r>
                      <w:rPr>
                        <w:rFonts w:ascii="Times New Roman" w:hAnsi="Times New Roman" w:cs="Times New Roman"/>
                        <w:sz w:val="18"/>
                        <w:szCs w:val="18"/>
                      </w:rPr>
                      <w:t>系统集成</w:t>
                    </w:r>
                  </w:p>
                </w:tc>
                <w:tc>
                  <w:tcPr>
                    <w:tcW w:w="781" w:type="pct"/>
                    <w:vAlign w:val="center"/>
                  </w:tcPr>
                  <w:p w14:paraId="36BC2B3C"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埃夫特、</w:t>
                    </w:r>
                    <w:r>
                      <w:rPr>
                        <w:rFonts w:ascii="Times New Roman" w:hAnsi="Times New Roman" w:cs="Times New Roman"/>
                        <w:szCs w:val="18"/>
                      </w:rPr>
                      <w:t>WFC</w:t>
                    </w:r>
                  </w:p>
                </w:tc>
                <w:tc>
                  <w:tcPr>
                    <w:tcW w:w="733" w:type="pct"/>
                    <w:shd w:val="clear" w:color="auto" w:fill="auto"/>
                    <w:vAlign w:val="center"/>
                  </w:tcPr>
                  <w:p w14:paraId="6BD37330" w14:textId="77777777" w:rsidR="00D21C1F" w:rsidRDefault="00A42880">
                    <w:pPr>
                      <w:contextualSpacing/>
                      <w:rPr>
                        <w:rFonts w:ascii="Times New Roman" w:hAnsi="Times New Roman" w:cs="Times New Roman"/>
                        <w:sz w:val="18"/>
                        <w:szCs w:val="18"/>
                      </w:rPr>
                    </w:pPr>
                    <w:r>
                      <w:rPr>
                        <w:rFonts w:ascii="Times New Roman" w:hAnsi="Times New Roman" w:cs="Times New Roman"/>
                        <w:sz w:val="18"/>
                        <w:szCs w:val="18"/>
                      </w:rPr>
                      <w:t>吸收</w:t>
                    </w:r>
                    <w:r>
                      <w:rPr>
                        <w:rFonts w:ascii="Times New Roman" w:hAnsi="Times New Roman" w:cs="Times New Roman"/>
                        <w:szCs w:val="18"/>
                      </w:rPr>
                      <w:t>WFC</w:t>
                    </w:r>
                    <w:r>
                      <w:rPr>
                        <w:rFonts w:ascii="Times New Roman" w:hAnsi="Times New Roman" w:cs="Times New Roman"/>
                        <w:sz w:val="18"/>
                        <w:szCs w:val="18"/>
                      </w:rPr>
                      <w:t>技术后创新</w:t>
                    </w:r>
                  </w:p>
                </w:tc>
                <w:tc>
                  <w:tcPr>
                    <w:tcW w:w="667" w:type="pct"/>
                    <w:shd w:val="clear" w:color="auto" w:fill="auto"/>
                    <w:vAlign w:val="center"/>
                  </w:tcPr>
                  <w:p w14:paraId="29F6E2D6" w14:textId="77777777" w:rsidR="00D21C1F" w:rsidRDefault="00A42880">
                    <w:pPr>
                      <w:contextualSpacing/>
                      <w:rPr>
                        <w:rFonts w:ascii="Times New Roman" w:hAnsi="Times New Roman" w:cs="Times New Roman"/>
                        <w:sz w:val="18"/>
                        <w:szCs w:val="18"/>
                      </w:rPr>
                    </w:pPr>
                    <w:r>
                      <w:rPr>
                        <w:rFonts w:ascii="Times New Roman" w:hAnsi="Times New Roman" w:cs="Times New Roman"/>
                        <w:szCs w:val="18"/>
                      </w:rPr>
                      <w:t>2019</w:t>
                    </w:r>
                    <w:r>
                      <w:rPr>
                        <w:rFonts w:ascii="Times New Roman" w:hAnsi="Times New Roman" w:cs="Times New Roman"/>
                        <w:sz w:val="18"/>
                        <w:szCs w:val="18"/>
                      </w:rPr>
                      <w:t>年</w:t>
                    </w:r>
                  </w:p>
                </w:tc>
              </w:tr>
            </w:tbl>
            <w:bookmarkEnd w:id="35"/>
            <w:p w14:paraId="7AA07B74" w14:textId="77777777" w:rsidR="00D21C1F" w:rsidRDefault="00A42880">
              <w:pPr>
                <w:pStyle w:val="95"/>
                <w:spacing w:line="360" w:lineRule="auto"/>
                <w:jc w:val="both"/>
                <w:rPr>
                  <w:rFonts w:ascii="Times New Roman" w:hAnsi="Times New Roman" w:cs="Times New Roman"/>
                  <w:sz w:val="20"/>
                  <w:szCs w:val="22"/>
                </w:rPr>
              </w:pPr>
              <w:r>
                <w:rPr>
                  <w:rFonts w:ascii="Times New Roman" w:hAnsi="Times New Roman" w:cs="Times New Roman"/>
                  <w:sz w:val="20"/>
                  <w:szCs w:val="22"/>
                </w:rPr>
                <w:t>注</w:t>
              </w:r>
              <w:r>
                <w:rPr>
                  <w:rFonts w:ascii="Times New Roman" w:hAnsi="Times New Roman" w:cs="Times New Roman"/>
                  <w:sz w:val="20"/>
                  <w:szCs w:val="22"/>
                </w:rPr>
                <w:t>1</w:t>
              </w:r>
              <w:r>
                <w:rPr>
                  <w:rFonts w:ascii="Times New Roman" w:hAnsi="Times New Roman" w:cs="Times New Roman"/>
                  <w:sz w:val="20"/>
                  <w:szCs w:val="22"/>
                </w:rPr>
                <w:t>：三维激光切割项目的零部件为定制，由于疫情原因定制零部件到货延期，预计量产时间延期到</w:t>
              </w:r>
              <w:r>
                <w:rPr>
                  <w:rFonts w:ascii="Times New Roman" w:hAnsi="Times New Roman" w:cs="Times New Roman"/>
                  <w:sz w:val="20"/>
                  <w:szCs w:val="22"/>
                </w:rPr>
                <w:t>2022</w:t>
              </w:r>
              <w:r>
                <w:rPr>
                  <w:rFonts w:ascii="Times New Roman" w:hAnsi="Times New Roman" w:cs="Times New Roman"/>
                  <w:sz w:val="20"/>
                  <w:szCs w:val="22"/>
                </w:rPr>
                <w:t>年底；</w:t>
              </w:r>
            </w:p>
            <w:p w14:paraId="79AD0BF2" w14:textId="77777777" w:rsidR="00D21C1F" w:rsidRDefault="00A42880">
              <w:pPr>
                <w:pStyle w:val="95"/>
                <w:spacing w:line="360" w:lineRule="auto"/>
                <w:jc w:val="both"/>
                <w:rPr>
                  <w:rFonts w:ascii="Times New Roman" w:hAnsi="Times New Roman" w:cs="Times New Roman"/>
                </w:rPr>
              </w:pPr>
              <w:r>
                <w:rPr>
                  <w:rFonts w:ascii="Times New Roman" w:hAnsi="Times New Roman" w:cs="Times New Roman"/>
                  <w:sz w:val="20"/>
                  <w:szCs w:val="22"/>
                </w:rPr>
                <w:t>注</w:t>
              </w:r>
              <w:r>
                <w:rPr>
                  <w:rFonts w:ascii="Times New Roman" w:hAnsi="Times New Roman" w:cs="Times New Roman"/>
                  <w:sz w:val="20"/>
                  <w:szCs w:val="22"/>
                </w:rPr>
                <w:t>2</w:t>
              </w:r>
              <w:r>
                <w:rPr>
                  <w:rFonts w:ascii="Times New Roman" w:hAnsi="Times New Roman" w:cs="Times New Roman"/>
                  <w:sz w:val="20"/>
                  <w:szCs w:val="22"/>
                </w:rPr>
                <w:t>：云机器人系统由于人员到位不及预期，产品推出延期。</w:t>
              </w:r>
            </w:p>
          </w:sdtContent>
        </w:sdt>
        <w:p w14:paraId="7EB03806" w14:textId="77777777" w:rsidR="00D21C1F" w:rsidRDefault="00045EC6">
          <w:pPr>
            <w:pStyle w:val="97"/>
          </w:pPr>
        </w:p>
      </w:sdtContent>
    </w:sdt>
    <w:bookmarkStart w:id="36" w:name="_Hlk42789855" w:displacedByCustomXml="next"/>
    <w:sdt>
      <w:sdtPr>
        <w:rPr>
          <w:rFonts w:ascii="宋体" w:hAnsi="宋体" w:cs="宋体"/>
          <w:b w:val="0"/>
          <w:bCs w:val="0"/>
          <w:kern w:val="0"/>
          <w:szCs w:val="24"/>
        </w:rPr>
        <w:alias w:val="模块:报告期内获得的研发成果"/>
        <w:tag w:val="_SEC_bfc6d852ec364ccd8d2af81ade4bfb2f"/>
        <w:id w:val="1176761631"/>
        <w:lock w:val="sdtLocked"/>
        <w:placeholder>
          <w:docPart w:val="GBC22222222222222222222222222222"/>
        </w:placeholder>
      </w:sdtPr>
      <w:sdtEndPr>
        <w:rPr>
          <w:rFonts w:ascii="Times New Roman" w:hAnsi="Times New Roman" w:cs="Times New Roman"/>
        </w:rPr>
      </w:sdtEndPr>
      <w:sdtContent>
        <w:p w14:paraId="49623AC9" w14:textId="77777777" w:rsidR="00D21C1F" w:rsidRDefault="00A42880">
          <w:pPr>
            <w:pStyle w:val="3"/>
            <w:numPr>
              <w:ilvl w:val="0"/>
              <w:numId w:val="11"/>
            </w:numPr>
            <w:rPr>
              <w:rFonts w:ascii="宋体" w:hAnsi="宋体"/>
            </w:rPr>
          </w:pPr>
          <w:r>
            <w:rPr>
              <w:rFonts w:ascii="宋体" w:hAnsi="宋体"/>
            </w:rPr>
            <w:t>报告期内获得的研发成</w:t>
          </w:r>
          <w:r>
            <w:rPr>
              <w:rFonts w:ascii="宋体" w:hAnsi="宋体" w:hint="eastAsia"/>
            </w:rPr>
            <w:t>果</w:t>
          </w:r>
        </w:p>
        <w:sdt>
          <w:sdtPr>
            <w:alias w:val="报告期内获得的研发成果"/>
            <w:tag w:val="_GBC_d2d7491b19b14e958bbccca821c1de07"/>
            <w:id w:val="-1901666534"/>
            <w:lock w:val="sdtLocked"/>
            <w:placeholder>
              <w:docPart w:val="GBC22222222222222222222222222222"/>
            </w:placeholder>
          </w:sdtPr>
          <w:sdtEndPr>
            <w:rPr>
              <w:rFonts w:ascii="Times New Roman" w:hAnsi="Times New Roman" w:cs="Times New Roman"/>
            </w:rPr>
          </w:sdtEndPr>
          <w:sdtContent>
            <w:p w14:paraId="58760D8E" w14:textId="77777777" w:rsidR="00D21C1F" w:rsidRDefault="00A42880">
              <w:pPr>
                <w:spacing w:line="360" w:lineRule="auto"/>
                <w:ind w:firstLineChars="200" w:firstLine="420"/>
                <w:jc w:val="both"/>
              </w:pPr>
              <w:r>
                <w:rPr>
                  <w:rFonts w:ascii="Times New Roman" w:hAnsi="Times New Roman" w:cs="Times New Roman"/>
                </w:rPr>
                <w:t>2021</w:t>
              </w:r>
              <w:r>
                <w:rPr>
                  <w:rFonts w:ascii="Times New Roman" w:hAnsi="Times New Roman" w:cs="Times New Roman"/>
                </w:rPr>
                <w:t>年</w:t>
              </w:r>
              <w:r>
                <w:rPr>
                  <w:rFonts w:ascii="Times New Roman" w:hAnsi="Times New Roman" w:cs="Times New Roman" w:hint="eastAsia"/>
                </w:rPr>
                <w:t>上半年公司</w:t>
              </w:r>
              <w:r>
                <w:rPr>
                  <w:rFonts w:ascii="Times New Roman" w:hAnsi="Times New Roman" w:cs="Times New Roman"/>
                </w:rPr>
                <w:t>新申请发明专利</w:t>
              </w:r>
              <w:r>
                <w:rPr>
                  <w:rFonts w:ascii="Times New Roman" w:hAnsi="Times New Roman" w:cs="Times New Roman"/>
                </w:rPr>
                <w:t>17</w:t>
              </w:r>
              <w:r>
                <w:rPr>
                  <w:rFonts w:ascii="Times New Roman" w:hAnsi="Times New Roman" w:cs="Times New Roman"/>
                </w:rPr>
                <w:t>项，实用新型专利</w:t>
              </w:r>
              <w:r>
                <w:rPr>
                  <w:rFonts w:ascii="Times New Roman" w:hAnsi="Times New Roman" w:cs="Times New Roman" w:hint="eastAsia"/>
                </w:rPr>
                <w:t>3</w:t>
              </w:r>
              <w:r>
                <w:rPr>
                  <w:rFonts w:ascii="Times New Roman" w:hAnsi="Times New Roman" w:cs="Times New Roman"/>
                </w:rPr>
                <w:t>2</w:t>
              </w:r>
              <w:r>
                <w:rPr>
                  <w:rFonts w:ascii="Times New Roman" w:hAnsi="Times New Roman" w:cs="Times New Roman"/>
                </w:rPr>
                <w:t>项，</w:t>
              </w:r>
              <w:r>
                <w:rPr>
                  <w:rFonts w:ascii="Times New Roman" w:hAnsi="Times New Roman" w:cs="Times New Roman" w:hint="eastAsia"/>
                </w:rPr>
                <w:t>外观设计专利</w:t>
              </w:r>
              <w:r>
                <w:rPr>
                  <w:rFonts w:ascii="Times New Roman" w:hAnsi="Times New Roman" w:cs="Times New Roman" w:hint="eastAsia"/>
                </w:rPr>
                <w:t>7</w:t>
              </w:r>
              <w:r>
                <w:rPr>
                  <w:rFonts w:ascii="Times New Roman" w:hAnsi="Times New Roman" w:cs="Times New Roman" w:hint="eastAsia"/>
                </w:rPr>
                <w:t>项，</w:t>
              </w:r>
              <w:r>
                <w:rPr>
                  <w:rFonts w:ascii="Times New Roman" w:hAnsi="Times New Roman" w:cs="Times New Roman"/>
                </w:rPr>
                <w:t xml:space="preserve"> </w:t>
              </w:r>
              <w:r>
                <w:rPr>
                  <w:rFonts w:ascii="Times New Roman" w:hAnsi="Times New Roman" w:cs="Times New Roman"/>
                </w:rPr>
                <w:t>软件著作权</w:t>
              </w:r>
              <w:r>
                <w:rPr>
                  <w:rFonts w:ascii="Times New Roman" w:hAnsi="Times New Roman" w:cs="Times New Roman"/>
                </w:rPr>
                <w:t>7</w:t>
              </w:r>
              <w:r>
                <w:rPr>
                  <w:rFonts w:ascii="Times New Roman" w:hAnsi="Times New Roman" w:cs="Times New Roman"/>
                </w:rPr>
                <w:t>项；获得授权发明专利</w:t>
              </w:r>
              <w:r>
                <w:rPr>
                  <w:rFonts w:ascii="Times New Roman" w:hAnsi="Times New Roman" w:cs="Times New Roman"/>
                </w:rPr>
                <w:t>1</w:t>
              </w:r>
              <w:r>
                <w:rPr>
                  <w:rFonts w:ascii="Times New Roman" w:hAnsi="Times New Roman" w:cs="Times New Roman"/>
                </w:rPr>
                <w:t>项，实用新型专利</w:t>
              </w:r>
              <w:r>
                <w:rPr>
                  <w:rFonts w:ascii="Times New Roman" w:hAnsi="Times New Roman" w:cs="Times New Roman"/>
                </w:rPr>
                <w:t>21</w:t>
              </w:r>
              <w:r>
                <w:rPr>
                  <w:rFonts w:ascii="Times New Roman" w:hAnsi="Times New Roman" w:cs="Times New Roman"/>
                </w:rPr>
                <w:t>项，外观设计专利</w:t>
              </w:r>
              <w:r>
                <w:rPr>
                  <w:rFonts w:ascii="Times New Roman" w:hAnsi="Times New Roman" w:cs="Times New Roman"/>
                </w:rPr>
                <w:t>6</w:t>
              </w:r>
              <w:r>
                <w:rPr>
                  <w:rFonts w:ascii="Times New Roman" w:hAnsi="Times New Roman" w:cs="Times New Roman"/>
                </w:rPr>
                <w:t>项，软件著作权</w:t>
              </w:r>
              <w:r>
                <w:rPr>
                  <w:rFonts w:ascii="Times New Roman" w:hAnsi="Times New Roman" w:cs="Times New Roman"/>
                </w:rPr>
                <w:t>7</w:t>
              </w:r>
              <w:r>
                <w:rPr>
                  <w:rFonts w:ascii="Times New Roman" w:hAnsi="Times New Roman" w:cs="Times New Roman"/>
                </w:rPr>
                <w:t>项。</w:t>
              </w:r>
            </w:p>
            <w:p w14:paraId="43F2E6F0"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hint="eastAsia"/>
                </w:rPr>
                <w:t>截至本报告发布日，公司的“传感器</w:t>
              </w:r>
              <w:r>
                <w:rPr>
                  <w:rFonts w:ascii="Times New Roman" w:hAnsi="Times New Roman" w:cs="Times New Roman" w:hint="eastAsia"/>
                </w:rPr>
                <w:t>-</w:t>
              </w:r>
              <w:r>
                <w:rPr>
                  <w:rFonts w:ascii="Times New Roman" w:hAnsi="Times New Roman" w:cs="Times New Roman" w:hint="eastAsia"/>
                </w:rPr>
                <w:t>机器人坐标系转换方法及机器人手眼标定方法”专利获得第八届安徽省专利金奖；子公司芜湖</w:t>
              </w:r>
              <w:r>
                <w:rPr>
                  <w:rFonts w:ascii="Times New Roman" w:hAnsi="Times New Roman" w:cs="Times New Roman"/>
                </w:rPr>
                <w:t>希美埃</w:t>
              </w:r>
              <w:r>
                <w:rPr>
                  <w:rFonts w:ascii="Times New Roman" w:hAnsi="Times New Roman" w:cs="Times New Roman" w:hint="eastAsia"/>
                </w:rPr>
                <w:t>的</w:t>
              </w:r>
              <w:r>
                <w:rPr>
                  <w:rFonts w:ascii="Times New Roman" w:hAnsi="Times New Roman" w:cs="Times New Roman"/>
                </w:rPr>
                <w:t>“</w:t>
              </w:r>
              <w:r>
                <w:rPr>
                  <w:rFonts w:ascii="Times New Roman" w:hAnsi="Times New Roman" w:cs="Times New Roman"/>
                </w:rPr>
                <w:t>高铁表面处理展智能喷涂机器人系统研发</w:t>
              </w:r>
              <w:r>
                <w:rPr>
                  <w:rFonts w:ascii="Times New Roman" w:hAnsi="Times New Roman" w:cs="Times New Roman"/>
                </w:rPr>
                <w:t>”</w:t>
              </w:r>
              <w:r>
                <w:rPr>
                  <w:rFonts w:ascii="Times New Roman" w:hAnsi="Times New Roman" w:cs="Times New Roman"/>
                </w:rPr>
                <w:t>项目荣获安徽省科技进步奖三等奖</w:t>
              </w:r>
              <w:r>
                <w:rPr>
                  <w:rFonts w:ascii="Times New Roman" w:hAnsi="Times New Roman" w:cs="Times New Roman"/>
                </w:rPr>
                <w:t>1</w:t>
              </w:r>
              <w:r>
                <w:rPr>
                  <w:rFonts w:ascii="Times New Roman" w:hAnsi="Times New Roman" w:cs="Times New Roman"/>
                </w:rPr>
                <w:t>项</w:t>
              </w:r>
              <w:r>
                <w:rPr>
                  <w:rFonts w:ascii="Times New Roman" w:hAnsi="Times New Roman" w:cs="Times New Roman" w:hint="eastAsia"/>
                </w:rPr>
                <w:t>，专利“一种机器人自动喷涂系统的控制方法”荣获第八届安徽省专利银奖</w:t>
              </w:r>
              <w:r>
                <w:rPr>
                  <w:rFonts w:ascii="Times New Roman" w:hAnsi="Times New Roman" w:cs="Times New Roman"/>
                </w:rPr>
                <w:t>。</w:t>
              </w:r>
            </w:p>
          </w:sdtContent>
        </w:sdt>
      </w:sdtContent>
    </w:sdt>
    <w:bookmarkEnd w:id="36" w:displacedByCustomXml="next"/>
    <w:bookmarkStart w:id="37" w:name="_Hlk72845452" w:displacedByCustomXml="next"/>
    <w:sdt>
      <w:sdtPr>
        <w:rPr>
          <w:rFonts w:ascii="宋体" w:eastAsiaTheme="minorEastAsia" w:hAnsi="宋体" w:cs="宋体"/>
          <w:kern w:val="0"/>
          <w:szCs w:val="24"/>
        </w:rPr>
        <w:alias w:val="模块:报告期内获得的知识产权列表"/>
        <w:tag w:val="_SEC_90037acfce13454aab573152215623e5"/>
        <w:id w:val="-1183896789"/>
        <w:lock w:val="sdtLocked"/>
        <w:placeholder>
          <w:docPart w:val="GBC22222222222222222222222222222"/>
        </w:placeholder>
      </w:sdtPr>
      <w:sdtEndPr/>
      <w:sdtContent>
        <w:p w14:paraId="589263AC" w14:textId="77777777" w:rsidR="00D21C1F" w:rsidRDefault="00A42880">
          <w:pPr>
            <w:pStyle w:val="aff7"/>
            <w:rPr>
              <w:rFonts w:ascii="宋体" w:hAnsi="宋体"/>
            </w:rPr>
          </w:pPr>
          <w:r>
            <w:rPr>
              <w:rFonts w:ascii="宋体" w:hAnsi="宋体" w:hint="eastAsia"/>
            </w:rPr>
            <w:t>报告期</w:t>
          </w:r>
          <w:r>
            <w:rPr>
              <w:rFonts w:ascii="宋体" w:hAnsi="宋体"/>
            </w:rPr>
            <w:t>内获得的知识产权列表</w:t>
          </w:r>
        </w:p>
        <w:tbl>
          <w:tblPr>
            <w:tblStyle w:val="8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764"/>
            <w:gridCol w:w="1765"/>
            <w:gridCol w:w="1765"/>
            <w:gridCol w:w="1765"/>
          </w:tblGrid>
          <w:tr w:rsidR="00D21C1F" w14:paraId="7B63F44A" w14:textId="77777777">
            <w:trPr>
              <w:trHeight w:val="135"/>
            </w:trPr>
            <w:tc>
              <w:tcPr>
                <w:tcW w:w="1764" w:type="dxa"/>
                <w:vMerge w:val="restart"/>
                <w:tcBorders>
                  <w:top w:val="single" w:sz="4" w:space="0" w:color="auto"/>
                  <w:left w:val="single" w:sz="4" w:space="0" w:color="auto"/>
                  <w:bottom w:val="single" w:sz="4" w:space="0" w:color="auto"/>
                  <w:right w:val="single" w:sz="4" w:space="0" w:color="auto"/>
                </w:tcBorders>
              </w:tcPr>
              <w:p w14:paraId="03069933" w14:textId="77777777" w:rsidR="00D21C1F" w:rsidRDefault="00D21C1F">
                <w:pPr>
                  <w:widowControl w:val="0"/>
                  <w:jc w:val="both"/>
                </w:pPr>
              </w:p>
            </w:tc>
            <w:tc>
              <w:tcPr>
                <w:tcW w:w="3529" w:type="dxa"/>
                <w:gridSpan w:val="2"/>
                <w:tcBorders>
                  <w:top w:val="single" w:sz="4" w:space="0" w:color="auto"/>
                  <w:left w:val="single" w:sz="4" w:space="0" w:color="auto"/>
                  <w:bottom w:val="single" w:sz="4" w:space="0" w:color="auto"/>
                  <w:right w:val="single" w:sz="4" w:space="0" w:color="auto"/>
                </w:tcBorders>
              </w:tcPr>
              <w:sdt>
                <w:sdtPr>
                  <w:rPr>
                    <w:rFonts w:hint="eastAsia"/>
                  </w:rPr>
                  <w:tag w:val="_PLD_c8c997092a254a67843ee052d2940ab8"/>
                  <w:id w:val="490221239"/>
                  <w:lock w:val="sdtLocked"/>
                </w:sdtPr>
                <w:sdtEndPr/>
                <w:sdtContent>
                  <w:p w14:paraId="2F2FF998" w14:textId="77777777" w:rsidR="00D21C1F" w:rsidRDefault="00A42880">
                    <w:pPr>
                      <w:widowControl w:val="0"/>
                      <w:jc w:val="center"/>
                    </w:pPr>
                    <w:r>
                      <w:rPr>
                        <w:rFonts w:hint="eastAsia"/>
                      </w:rPr>
                      <w:t>本期新增</w:t>
                    </w:r>
                  </w:p>
                </w:sdtContent>
              </w:sdt>
            </w:tc>
            <w:tc>
              <w:tcPr>
                <w:tcW w:w="3530" w:type="dxa"/>
                <w:gridSpan w:val="2"/>
                <w:tcBorders>
                  <w:top w:val="single" w:sz="4" w:space="0" w:color="auto"/>
                  <w:left w:val="single" w:sz="4" w:space="0" w:color="auto"/>
                  <w:bottom w:val="single" w:sz="4" w:space="0" w:color="auto"/>
                  <w:right w:val="single" w:sz="4" w:space="0" w:color="auto"/>
                </w:tcBorders>
              </w:tcPr>
              <w:sdt>
                <w:sdtPr>
                  <w:rPr>
                    <w:rFonts w:hint="eastAsia"/>
                  </w:rPr>
                  <w:tag w:val="_PLD_675eed6f83ed41d48a51f9c262bbf062"/>
                  <w:id w:val="1659657810"/>
                  <w:lock w:val="sdtLocked"/>
                </w:sdtPr>
                <w:sdtEndPr/>
                <w:sdtContent>
                  <w:p w14:paraId="5E86FB4F" w14:textId="77777777" w:rsidR="00D21C1F" w:rsidRDefault="00A42880">
                    <w:pPr>
                      <w:widowControl w:val="0"/>
                      <w:jc w:val="center"/>
                    </w:pPr>
                    <w:r>
                      <w:rPr>
                        <w:rFonts w:hint="eastAsia"/>
                      </w:rPr>
                      <w:t>累计数量</w:t>
                    </w:r>
                  </w:p>
                </w:sdtContent>
              </w:sdt>
            </w:tc>
          </w:tr>
          <w:tr w:rsidR="00D21C1F" w14:paraId="2CFABEE1" w14:textId="77777777">
            <w:trPr>
              <w:trHeight w:val="135"/>
            </w:trPr>
            <w:tc>
              <w:tcPr>
                <w:tcW w:w="0" w:type="auto"/>
                <w:vMerge/>
                <w:tcBorders>
                  <w:top w:val="single" w:sz="4" w:space="0" w:color="auto"/>
                  <w:left w:val="single" w:sz="4" w:space="0" w:color="auto"/>
                  <w:bottom w:val="single" w:sz="4" w:space="0" w:color="auto"/>
                  <w:right w:val="single" w:sz="4" w:space="0" w:color="auto"/>
                </w:tcBorders>
                <w:vAlign w:val="center"/>
              </w:tcPr>
              <w:p w14:paraId="449FBEFB" w14:textId="77777777" w:rsidR="00D21C1F" w:rsidRDefault="00D21C1F">
                <w:pPr>
                  <w:pStyle w:val="97"/>
                </w:pPr>
              </w:p>
            </w:tc>
            <w:tc>
              <w:tcPr>
                <w:tcW w:w="1764" w:type="dxa"/>
                <w:tcBorders>
                  <w:top w:val="single" w:sz="4" w:space="0" w:color="auto"/>
                  <w:left w:val="single" w:sz="4" w:space="0" w:color="auto"/>
                  <w:bottom w:val="single" w:sz="4" w:space="0" w:color="auto"/>
                  <w:right w:val="single" w:sz="4" w:space="0" w:color="auto"/>
                </w:tcBorders>
              </w:tcPr>
              <w:sdt>
                <w:sdtPr>
                  <w:rPr>
                    <w:rFonts w:hint="eastAsia"/>
                  </w:rPr>
                  <w:tag w:val="_PLD_c184a2a5f94347ccb6957daebb9320a2"/>
                  <w:id w:val="-1135483569"/>
                  <w:lock w:val="sdtLocked"/>
                </w:sdtPr>
                <w:sdtEndPr/>
                <w:sdtContent>
                  <w:p w14:paraId="3F6E8604" w14:textId="77777777" w:rsidR="00D21C1F" w:rsidRDefault="00A42880">
                    <w:pPr>
                      <w:widowControl w:val="0"/>
                      <w:jc w:val="center"/>
                    </w:pPr>
                    <w:r>
                      <w:rPr>
                        <w:rFonts w:hint="eastAsia"/>
                      </w:rPr>
                      <w:t>申请数（个）</w:t>
                    </w:r>
                  </w:p>
                </w:sdtContent>
              </w:sdt>
            </w:tc>
            <w:tc>
              <w:tcPr>
                <w:tcW w:w="1765" w:type="dxa"/>
                <w:tcBorders>
                  <w:top w:val="single" w:sz="4" w:space="0" w:color="auto"/>
                  <w:left w:val="single" w:sz="4" w:space="0" w:color="auto"/>
                  <w:bottom w:val="single" w:sz="4" w:space="0" w:color="auto"/>
                  <w:right w:val="single" w:sz="4" w:space="0" w:color="auto"/>
                </w:tcBorders>
              </w:tcPr>
              <w:sdt>
                <w:sdtPr>
                  <w:rPr>
                    <w:rFonts w:hint="eastAsia"/>
                  </w:rPr>
                  <w:tag w:val="_PLD_5b49ad967d8b4fbb8ba5a5cc0ac81259"/>
                  <w:id w:val="1787853035"/>
                  <w:lock w:val="sdtLocked"/>
                </w:sdtPr>
                <w:sdtEndPr/>
                <w:sdtContent>
                  <w:p w14:paraId="0E181156" w14:textId="77777777" w:rsidR="00D21C1F" w:rsidRDefault="00A42880">
                    <w:pPr>
                      <w:widowControl w:val="0"/>
                      <w:jc w:val="center"/>
                    </w:pPr>
                    <w:r>
                      <w:rPr>
                        <w:rFonts w:hint="eastAsia"/>
                      </w:rPr>
                      <w:t>获得数（个）</w:t>
                    </w:r>
                  </w:p>
                </w:sdtContent>
              </w:sdt>
            </w:tc>
            <w:tc>
              <w:tcPr>
                <w:tcW w:w="1765" w:type="dxa"/>
                <w:tcBorders>
                  <w:top w:val="single" w:sz="4" w:space="0" w:color="auto"/>
                  <w:left w:val="single" w:sz="4" w:space="0" w:color="auto"/>
                  <w:bottom w:val="single" w:sz="4" w:space="0" w:color="auto"/>
                  <w:right w:val="single" w:sz="4" w:space="0" w:color="auto"/>
                </w:tcBorders>
              </w:tcPr>
              <w:sdt>
                <w:sdtPr>
                  <w:rPr>
                    <w:rFonts w:hint="eastAsia"/>
                  </w:rPr>
                  <w:tag w:val="_PLD_b842ab07372a4358892eb17662568ff2"/>
                  <w:id w:val="924765159"/>
                  <w:lock w:val="sdtLocked"/>
                </w:sdtPr>
                <w:sdtEndPr/>
                <w:sdtContent>
                  <w:p w14:paraId="4C5DC777" w14:textId="77777777" w:rsidR="00D21C1F" w:rsidRDefault="00A42880">
                    <w:pPr>
                      <w:widowControl w:val="0"/>
                      <w:jc w:val="center"/>
                    </w:pPr>
                    <w:r>
                      <w:rPr>
                        <w:rFonts w:hint="eastAsia"/>
                      </w:rPr>
                      <w:t>申请数（个）</w:t>
                    </w:r>
                  </w:p>
                </w:sdtContent>
              </w:sdt>
            </w:tc>
            <w:tc>
              <w:tcPr>
                <w:tcW w:w="1765" w:type="dxa"/>
                <w:tcBorders>
                  <w:top w:val="single" w:sz="4" w:space="0" w:color="auto"/>
                  <w:left w:val="single" w:sz="4" w:space="0" w:color="auto"/>
                  <w:bottom w:val="single" w:sz="4" w:space="0" w:color="auto"/>
                  <w:right w:val="single" w:sz="4" w:space="0" w:color="auto"/>
                </w:tcBorders>
              </w:tcPr>
              <w:sdt>
                <w:sdtPr>
                  <w:rPr>
                    <w:rFonts w:hint="eastAsia"/>
                  </w:rPr>
                  <w:tag w:val="_PLD_66fd56dbabbf4ca5ba2633a2f633aff6"/>
                  <w:id w:val="-1777862816"/>
                  <w:lock w:val="sdtLocked"/>
                </w:sdtPr>
                <w:sdtEndPr/>
                <w:sdtContent>
                  <w:p w14:paraId="44B9F50D" w14:textId="77777777" w:rsidR="00D21C1F" w:rsidRDefault="00A42880">
                    <w:pPr>
                      <w:widowControl w:val="0"/>
                      <w:jc w:val="center"/>
                    </w:pPr>
                    <w:r>
                      <w:rPr>
                        <w:rFonts w:hint="eastAsia"/>
                      </w:rPr>
                      <w:t>获得数（个）</w:t>
                    </w:r>
                  </w:p>
                </w:sdtContent>
              </w:sdt>
            </w:tc>
          </w:tr>
          <w:tr w:rsidR="00D21C1F" w14:paraId="2742FD09" w14:textId="77777777">
            <w:tc>
              <w:tcPr>
                <w:tcW w:w="1764" w:type="dxa"/>
                <w:tcBorders>
                  <w:top w:val="single" w:sz="4" w:space="0" w:color="auto"/>
                  <w:left w:val="single" w:sz="4" w:space="0" w:color="auto"/>
                  <w:bottom w:val="single" w:sz="4" w:space="0" w:color="auto"/>
                  <w:right w:val="single" w:sz="4" w:space="0" w:color="auto"/>
                </w:tcBorders>
              </w:tcPr>
              <w:sdt>
                <w:sdtPr>
                  <w:rPr>
                    <w:rFonts w:hint="eastAsia"/>
                  </w:rPr>
                  <w:tag w:val="_PLD_ff9c3f2f9e5d42af875792c0e551f3c0"/>
                  <w:id w:val="-1966808800"/>
                  <w:lock w:val="sdtLocked"/>
                </w:sdtPr>
                <w:sdtEndPr/>
                <w:sdtContent>
                  <w:p w14:paraId="2A797855" w14:textId="77777777" w:rsidR="00D21C1F" w:rsidRDefault="00A42880">
                    <w:pPr>
                      <w:widowControl w:val="0"/>
                      <w:jc w:val="both"/>
                    </w:pPr>
                    <w:r>
                      <w:rPr>
                        <w:rFonts w:hint="eastAsia"/>
                      </w:rPr>
                      <w:t>发明专利</w:t>
                    </w:r>
                  </w:p>
                </w:sdtContent>
              </w:sdt>
            </w:tc>
            <w:tc>
              <w:tcPr>
                <w:tcW w:w="1764" w:type="dxa"/>
                <w:tcBorders>
                  <w:top w:val="single" w:sz="4" w:space="0" w:color="auto"/>
                  <w:left w:val="single" w:sz="4" w:space="0" w:color="auto"/>
                  <w:bottom w:val="single" w:sz="4" w:space="0" w:color="auto"/>
                  <w:right w:val="single" w:sz="4" w:space="0" w:color="auto"/>
                </w:tcBorders>
              </w:tcPr>
              <w:p w14:paraId="110A305F" w14:textId="77777777" w:rsidR="00D21C1F" w:rsidRDefault="00A42880">
                <w:pPr>
                  <w:widowControl w:val="0"/>
                  <w:jc w:val="right"/>
                  <w:rPr>
                    <w:rFonts w:ascii="Times New Roman" w:hAnsi="Times New Roman" w:cs="Times New Roman"/>
                  </w:rPr>
                </w:pPr>
                <w:r>
                  <w:rPr>
                    <w:rFonts w:ascii="Times New Roman" w:hAnsi="Times New Roman" w:cs="Times New Roman"/>
                  </w:rPr>
                  <w:t>17</w:t>
                </w:r>
              </w:p>
            </w:tc>
            <w:tc>
              <w:tcPr>
                <w:tcW w:w="1765" w:type="dxa"/>
                <w:tcBorders>
                  <w:top w:val="single" w:sz="4" w:space="0" w:color="auto"/>
                  <w:left w:val="single" w:sz="4" w:space="0" w:color="auto"/>
                  <w:bottom w:val="single" w:sz="4" w:space="0" w:color="auto"/>
                  <w:right w:val="single" w:sz="4" w:space="0" w:color="auto"/>
                </w:tcBorders>
              </w:tcPr>
              <w:p w14:paraId="4EEE57AB" w14:textId="77777777" w:rsidR="00D21C1F" w:rsidRDefault="00A42880">
                <w:pPr>
                  <w:widowControl w:val="0"/>
                  <w:jc w:val="right"/>
                  <w:rPr>
                    <w:rFonts w:ascii="Times New Roman" w:hAnsi="Times New Roman" w:cs="Times New Roman"/>
                  </w:rPr>
                </w:pPr>
                <w:r>
                  <w:rPr>
                    <w:rFonts w:ascii="Times New Roman" w:hAnsi="Times New Roman" w:cs="Times New Roman"/>
                  </w:rPr>
                  <w:t>1</w:t>
                </w:r>
              </w:p>
            </w:tc>
            <w:tc>
              <w:tcPr>
                <w:tcW w:w="1765" w:type="dxa"/>
                <w:tcBorders>
                  <w:top w:val="single" w:sz="4" w:space="0" w:color="auto"/>
                  <w:left w:val="single" w:sz="4" w:space="0" w:color="auto"/>
                  <w:bottom w:val="single" w:sz="4" w:space="0" w:color="auto"/>
                  <w:right w:val="single" w:sz="4" w:space="0" w:color="auto"/>
                </w:tcBorders>
              </w:tcPr>
              <w:p w14:paraId="28A62CF0" w14:textId="77777777" w:rsidR="00D21C1F" w:rsidRDefault="00A42880">
                <w:pPr>
                  <w:widowControl w:val="0"/>
                  <w:jc w:val="right"/>
                  <w:rPr>
                    <w:rFonts w:ascii="Times New Roman" w:hAnsi="Times New Roman" w:cs="Times New Roman"/>
                  </w:rPr>
                </w:pPr>
                <w:r>
                  <w:rPr>
                    <w:rFonts w:ascii="Times New Roman" w:hAnsi="Times New Roman" w:cs="Times New Roman"/>
                  </w:rPr>
                  <w:t>165</w:t>
                </w:r>
              </w:p>
            </w:tc>
            <w:tc>
              <w:tcPr>
                <w:tcW w:w="1765" w:type="dxa"/>
                <w:tcBorders>
                  <w:top w:val="single" w:sz="4" w:space="0" w:color="auto"/>
                  <w:left w:val="single" w:sz="4" w:space="0" w:color="auto"/>
                  <w:bottom w:val="single" w:sz="4" w:space="0" w:color="auto"/>
                  <w:right w:val="single" w:sz="4" w:space="0" w:color="auto"/>
                </w:tcBorders>
              </w:tcPr>
              <w:p w14:paraId="0A16C9A9" w14:textId="77777777" w:rsidR="00D21C1F" w:rsidRDefault="00A42880">
                <w:pPr>
                  <w:widowControl w:val="0"/>
                  <w:jc w:val="right"/>
                  <w:rPr>
                    <w:rFonts w:ascii="Times New Roman" w:hAnsi="Times New Roman" w:cs="Times New Roman"/>
                  </w:rPr>
                </w:pPr>
                <w:r>
                  <w:rPr>
                    <w:rFonts w:ascii="Times New Roman" w:hAnsi="Times New Roman" w:cs="Times New Roman"/>
                  </w:rPr>
                  <w:t>42</w:t>
                </w:r>
              </w:p>
            </w:tc>
          </w:tr>
          <w:tr w:rsidR="00D21C1F" w14:paraId="27D2C271" w14:textId="77777777">
            <w:tc>
              <w:tcPr>
                <w:tcW w:w="1764" w:type="dxa"/>
                <w:tcBorders>
                  <w:top w:val="single" w:sz="4" w:space="0" w:color="auto"/>
                  <w:left w:val="single" w:sz="4" w:space="0" w:color="auto"/>
                  <w:bottom w:val="single" w:sz="4" w:space="0" w:color="auto"/>
                  <w:right w:val="single" w:sz="4" w:space="0" w:color="auto"/>
                </w:tcBorders>
              </w:tcPr>
              <w:sdt>
                <w:sdtPr>
                  <w:rPr>
                    <w:rFonts w:hint="eastAsia"/>
                  </w:rPr>
                  <w:tag w:val="_PLD_01472211d81b463ca347216867748eea"/>
                  <w:id w:val="-429430130"/>
                  <w:lock w:val="sdtLocked"/>
                </w:sdtPr>
                <w:sdtEndPr/>
                <w:sdtContent>
                  <w:p w14:paraId="4FF2154A" w14:textId="77777777" w:rsidR="00D21C1F" w:rsidRDefault="00A42880">
                    <w:pPr>
                      <w:widowControl w:val="0"/>
                      <w:jc w:val="both"/>
                    </w:pPr>
                    <w:r>
                      <w:rPr>
                        <w:rFonts w:hint="eastAsia"/>
                      </w:rPr>
                      <w:t>实用新型专利</w:t>
                    </w:r>
                  </w:p>
                </w:sdtContent>
              </w:sdt>
            </w:tc>
            <w:tc>
              <w:tcPr>
                <w:tcW w:w="1764" w:type="dxa"/>
                <w:tcBorders>
                  <w:top w:val="single" w:sz="4" w:space="0" w:color="auto"/>
                  <w:left w:val="single" w:sz="4" w:space="0" w:color="auto"/>
                  <w:bottom w:val="single" w:sz="4" w:space="0" w:color="auto"/>
                  <w:right w:val="single" w:sz="4" w:space="0" w:color="auto"/>
                </w:tcBorders>
              </w:tcPr>
              <w:p w14:paraId="15279B9E" w14:textId="77777777" w:rsidR="00D21C1F" w:rsidRDefault="00A42880">
                <w:pPr>
                  <w:widowControl w:val="0"/>
                  <w:jc w:val="right"/>
                  <w:rPr>
                    <w:rFonts w:ascii="Times New Roman" w:hAnsi="Times New Roman" w:cs="Times New Roman"/>
                  </w:rPr>
                </w:pPr>
                <w:r>
                  <w:rPr>
                    <w:rFonts w:ascii="Times New Roman" w:hAnsi="Times New Roman" w:cs="Times New Roman"/>
                  </w:rPr>
                  <w:t>32</w:t>
                </w:r>
              </w:p>
            </w:tc>
            <w:tc>
              <w:tcPr>
                <w:tcW w:w="1765" w:type="dxa"/>
                <w:tcBorders>
                  <w:top w:val="single" w:sz="4" w:space="0" w:color="auto"/>
                  <w:left w:val="single" w:sz="4" w:space="0" w:color="auto"/>
                  <w:bottom w:val="single" w:sz="4" w:space="0" w:color="auto"/>
                  <w:right w:val="single" w:sz="4" w:space="0" w:color="auto"/>
                </w:tcBorders>
              </w:tcPr>
              <w:p w14:paraId="2B89A6CF" w14:textId="77777777" w:rsidR="00D21C1F" w:rsidRDefault="00A42880">
                <w:pPr>
                  <w:widowControl w:val="0"/>
                  <w:jc w:val="right"/>
                  <w:rPr>
                    <w:rFonts w:ascii="Times New Roman" w:hAnsi="Times New Roman" w:cs="Times New Roman"/>
                  </w:rPr>
                </w:pPr>
                <w:r>
                  <w:rPr>
                    <w:rFonts w:ascii="Times New Roman" w:hAnsi="Times New Roman" w:cs="Times New Roman"/>
                  </w:rPr>
                  <w:t>21</w:t>
                </w:r>
              </w:p>
            </w:tc>
            <w:tc>
              <w:tcPr>
                <w:tcW w:w="1765" w:type="dxa"/>
                <w:tcBorders>
                  <w:top w:val="single" w:sz="4" w:space="0" w:color="auto"/>
                  <w:left w:val="single" w:sz="4" w:space="0" w:color="auto"/>
                  <w:bottom w:val="single" w:sz="4" w:space="0" w:color="auto"/>
                  <w:right w:val="single" w:sz="4" w:space="0" w:color="auto"/>
                </w:tcBorders>
              </w:tcPr>
              <w:p w14:paraId="5AD125B2" w14:textId="77777777" w:rsidR="00D21C1F" w:rsidRDefault="00A42880">
                <w:pPr>
                  <w:widowControl w:val="0"/>
                  <w:jc w:val="right"/>
                  <w:rPr>
                    <w:rFonts w:ascii="Times New Roman" w:hAnsi="Times New Roman" w:cs="Times New Roman"/>
                  </w:rPr>
                </w:pPr>
                <w:r>
                  <w:rPr>
                    <w:rFonts w:ascii="Times New Roman" w:hAnsi="Times New Roman" w:cs="Times New Roman"/>
                  </w:rPr>
                  <w:t>247</w:t>
                </w:r>
              </w:p>
            </w:tc>
            <w:tc>
              <w:tcPr>
                <w:tcW w:w="1765" w:type="dxa"/>
                <w:tcBorders>
                  <w:top w:val="single" w:sz="4" w:space="0" w:color="auto"/>
                  <w:left w:val="single" w:sz="4" w:space="0" w:color="auto"/>
                  <w:bottom w:val="single" w:sz="4" w:space="0" w:color="auto"/>
                  <w:right w:val="single" w:sz="4" w:space="0" w:color="auto"/>
                </w:tcBorders>
              </w:tcPr>
              <w:p w14:paraId="249FF6FB" w14:textId="77777777" w:rsidR="00D21C1F" w:rsidRDefault="00A42880">
                <w:pPr>
                  <w:widowControl w:val="0"/>
                  <w:jc w:val="right"/>
                  <w:rPr>
                    <w:rFonts w:ascii="Times New Roman" w:hAnsi="Times New Roman" w:cs="Times New Roman"/>
                  </w:rPr>
                </w:pPr>
                <w:r>
                  <w:rPr>
                    <w:rFonts w:ascii="Times New Roman" w:hAnsi="Times New Roman" w:cs="Times New Roman"/>
                  </w:rPr>
                  <w:t>211</w:t>
                </w:r>
              </w:p>
            </w:tc>
          </w:tr>
          <w:tr w:rsidR="00D21C1F" w14:paraId="14856F66" w14:textId="77777777">
            <w:tc>
              <w:tcPr>
                <w:tcW w:w="1764" w:type="dxa"/>
                <w:tcBorders>
                  <w:top w:val="single" w:sz="4" w:space="0" w:color="auto"/>
                  <w:left w:val="single" w:sz="4" w:space="0" w:color="auto"/>
                  <w:bottom w:val="single" w:sz="4" w:space="0" w:color="auto"/>
                  <w:right w:val="single" w:sz="4" w:space="0" w:color="auto"/>
                </w:tcBorders>
              </w:tcPr>
              <w:sdt>
                <w:sdtPr>
                  <w:rPr>
                    <w:rFonts w:hint="eastAsia"/>
                  </w:rPr>
                  <w:tag w:val="_PLD_1454386759c44c2ca7ad9b0f72ae8cbb"/>
                  <w:id w:val="358484022"/>
                  <w:lock w:val="sdtLocked"/>
                </w:sdtPr>
                <w:sdtEndPr/>
                <w:sdtContent>
                  <w:p w14:paraId="5B7A38EC" w14:textId="77777777" w:rsidR="00D21C1F" w:rsidRDefault="00A42880">
                    <w:pPr>
                      <w:widowControl w:val="0"/>
                      <w:jc w:val="both"/>
                    </w:pPr>
                    <w:r>
                      <w:rPr>
                        <w:rFonts w:hint="eastAsia"/>
                      </w:rPr>
                      <w:t>外观设计专利</w:t>
                    </w:r>
                  </w:p>
                </w:sdtContent>
              </w:sdt>
            </w:tc>
            <w:tc>
              <w:tcPr>
                <w:tcW w:w="1764" w:type="dxa"/>
                <w:tcBorders>
                  <w:top w:val="single" w:sz="4" w:space="0" w:color="auto"/>
                  <w:left w:val="single" w:sz="4" w:space="0" w:color="auto"/>
                  <w:bottom w:val="single" w:sz="4" w:space="0" w:color="auto"/>
                  <w:right w:val="single" w:sz="4" w:space="0" w:color="auto"/>
                </w:tcBorders>
              </w:tcPr>
              <w:p w14:paraId="7AE6A7B2" w14:textId="77777777" w:rsidR="00D21C1F" w:rsidRDefault="00A42880">
                <w:pPr>
                  <w:widowControl w:val="0"/>
                  <w:jc w:val="right"/>
                  <w:rPr>
                    <w:rFonts w:ascii="Times New Roman" w:hAnsi="Times New Roman" w:cs="Times New Roman"/>
                  </w:rPr>
                </w:pPr>
                <w:r>
                  <w:rPr>
                    <w:rFonts w:ascii="Times New Roman" w:hAnsi="Times New Roman" w:cs="Times New Roman"/>
                  </w:rPr>
                  <w:t>7</w:t>
                </w:r>
              </w:p>
            </w:tc>
            <w:tc>
              <w:tcPr>
                <w:tcW w:w="1765" w:type="dxa"/>
                <w:tcBorders>
                  <w:top w:val="single" w:sz="4" w:space="0" w:color="auto"/>
                  <w:left w:val="single" w:sz="4" w:space="0" w:color="auto"/>
                  <w:bottom w:val="single" w:sz="4" w:space="0" w:color="auto"/>
                  <w:right w:val="single" w:sz="4" w:space="0" w:color="auto"/>
                </w:tcBorders>
              </w:tcPr>
              <w:p w14:paraId="7DBC626E" w14:textId="77777777" w:rsidR="00D21C1F" w:rsidRDefault="00A42880">
                <w:pPr>
                  <w:widowControl w:val="0"/>
                  <w:jc w:val="right"/>
                  <w:rPr>
                    <w:rFonts w:ascii="Times New Roman" w:hAnsi="Times New Roman" w:cs="Times New Roman"/>
                  </w:rPr>
                </w:pPr>
                <w:r>
                  <w:rPr>
                    <w:rFonts w:ascii="Times New Roman" w:hAnsi="Times New Roman" w:cs="Times New Roman"/>
                  </w:rPr>
                  <w:t>6</w:t>
                </w:r>
              </w:p>
            </w:tc>
            <w:tc>
              <w:tcPr>
                <w:tcW w:w="1765" w:type="dxa"/>
                <w:tcBorders>
                  <w:top w:val="single" w:sz="4" w:space="0" w:color="auto"/>
                  <w:left w:val="single" w:sz="4" w:space="0" w:color="auto"/>
                  <w:bottom w:val="single" w:sz="4" w:space="0" w:color="auto"/>
                  <w:right w:val="single" w:sz="4" w:space="0" w:color="auto"/>
                </w:tcBorders>
              </w:tcPr>
              <w:p w14:paraId="3F18FF16" w14:textId="77777777" w:rsidR="00D21C1F" w:rsidRDefault="00A42880">
                <w:pPr>
                  <w:widowControl w:val="0"/>
                  <w:jc w:val="right"/>
                  <w:rPr>
                    <w:rFonts w:ascii="Times New Roman" w:hAnsi="Times New Roman" w:cs="Times New Roman"/>
                  </w:rPr>
                </w:pPr>
                <w:r>
                  <w:rPr>
                    <w:rFonts w:ascii="Times New Roman" w:hAnsi="Times New Roman" w:cs="Times New Roman"/>
                  </w:rPr>
                  <w:t>47</w:t>
                </w:r>
              </w:p>
            </w:tc>
            <w:tc>
              <w:tcPr>
                <w:tcW w:w="1765" w:type="dxa"/>
                <w:tcBorders>
                  <w:top w:val="single" w:sz="4" w:space="0" w:color="auto"/>
                  <w:left w:val="single" w:sz="4" w:space="0" w:color="auto"/>
                  <w:bottom w:val="single" w:sz="4" w:space="0" w:color="auto"/>
                  <w:right w:val="single" w:sz="4" w:space="0" w:color="auto"/>
                </w:tcBorders>
              </w:tcPr>
              <w:p w14:paraId="3CFEC2D6" w14:textId="77777777" w:rsidR="00D21C1F" w:rsidRDefault="00A42880">
                <w:pPr>
                  <w:widowControl w:val="0"/>
                  <w:jc w:val="right"/>
                  <w:rPr>
                    <w:rFonts w:ascii="Times New Roman" w:hAnsi="Times New Roman" w:cs="Times New Roman"/>
                  </w:rPr>
                </w:pPr>
                <w:r>
                  <w:rPr>
                    <w:rFonts w:ascii="Times New Roman" w:hAnsi="Times New Roman" w:cs="Times New Roman"/>
                  </w:rPr>
                  <w:t>45</w:t>
                </w:r>
              </w:p>
            </w:tc>
          </w:tr>
          <w:tr w:rsidR="00D21C1F" w14:paraId="0D6A5809" w14:textId="77777777">
            <w:tc>
              <w:tcPr>
                <w:tcW w:w="1764" w:type="dxa"/>
                <w:tcBorders>
                  <w:top w:val="single" w:sz="4" w:space="0" w:color="auto"/>
                  <w:left w:val="single" w:sz="4" w:space="0" w:color="auto"/>
                  <w:bottom w:val="single" w:sz="4" w:space="0" w:color="auto"/>
                  <w:right w:val="single" w:sz="4" w:space="0" w:color="auto"/>
                </w:tcBorders>
              </w:tcPr>
              <w:sdt>
                <w:sdtPr>
                  <w:rPr>
                    <w:rFonts w:hint="eastAsia"/>
                  </w:rPr>
                  <w:tag w:val="_PLD_8a0aa28dfa7d4eb0bf33209f5e5ef4d8"/>
                  <w:id w:val="1376659407"/>
                  <w:lock w:val="sdtLocked"/>
                </w:sdtPr>
                <w:sdtEndPr/>
                <w:sdtContent>
                  <w:p w14:paraId="5E0F65DC" w14:textId="77777777" w:rsidR="00D21C1F" w:rsidRDefault="00A42880">
                    <w:pPr>
                      <w:widowControl w:val="0"/>
                      <w:jc w:val="both"/>
                    </w:pPr>
                    <w:r>
                      <w:rPr>
                        <w:rFonts w:hint="eastAsia"/>
                      </w:rPr>
                      <w:t>软件著作权</w:t>
                    </w:r>
                  </w:p>
                </w:sdtContent>
              </w:sdt>
            </w:tc>
            <w:tc>
              <w:tcPr>
                <w:tcW w:w="1764" w:type="dxa"/>
                <w:tcBorders>
                  <w:top w:val="single" w:sz="4" w:space="0" w:color="auto"/>
                  <w:left w:val="single" w:sz="4" w:space="0" w:color="auto"/>
                  <w:bottom w:val="single" w:sz="4" w:space="0" w:color="auto"/>
                  <w:right w:val="single" w:sz="4" w:space="0" w:color="auto"/>
                </w:tcBorders>
              </w:tcPr>
              <w:p w14:paraId="0FC37F8B" w14:textId="77777777" w:rsidR="00D21C1F" w:rsidRDefault="00A42880">
                <w:pPr>
                  <w:widowControl w:val="0"/>
                  <w:jc w:val="right"/>
                  <w:rPr>
                    <w:rFonts w:ascii="Times New Roman" w:hAnsi="Times New Roman" w:cs="Times New Roman"/>
                  </w:rPr>
                </w:pPr>
                <w:r>
                  <w:rPr>
                    <w:rFonts w:ascii="Times New Roman" w:hAnsi="Times New Roman" w:cs="Times New Roman"/>
                  </w:rPr>
                  <w:t>7</w:t>
                </w:r>
              </w:p>
            </w:tc>
            <w:tc>
              <w:tcPr>
                <w:tcW w:w="1765" w:type="dxa"/>
                <w:tcBorders>
                  <w:top w:val="single" w:sz="4" w:space="0" w:color="auto"/>
                  <w:left w:val="single" w:sz="4" w:space="0" w:color="auto"/>
                  <w:bottom w:val="single" w:sz="4" w:space="0" w:color="auto"/>
                  <w:right w:val="single" w:sz="4" w:space="0" w:color="auto"/>
                </w:tcBorders>
              </w:tcPr>
              <w:p w14:paraId="5A00AA12" w14:textId="77777777" w:rsidR="00D21C1F" w:rsidRDefault="00A42880">
                <w:pPr>
                  <w:widowControl w:val="0"/>
                  <w:jc w:val="right"/>
                  <w:rPr>
                    <w:rFonts w:ascii="Times New Roman" w:hAnsi="Times New Roman" w:cs="Times New Roman"/>
                  </w:rPr>
                </w:pPr>
                <w:r>
                  <w:rPr>
                    <w:rFonts w:ascii="Times New Roman" w:hAnsi="Times New Roman" w:cs="Times New Roman"/>
                  </w:rPr>
                  <w:t>7</w:t>
                </w:r>
              </w:p>
            </w:tc>
            <w:tc>
              <w:tcPr>
                <w:tcW w:w="1765" w:type="dxa"/>
                <w:tcBorders>
                  <w:top w:val="single" w:sz="4" w:space="0" w:color="auto"/>
                  <w:left w:val="single" w:sz="4" w:space="0" w:color="auto"/>
                  <w:bottom w:val="single" w:sz="4" w:space="0" w:color="auto"/>
                  <w:right w:val="single" w:sz="4" w:space="0" w:color="auto"/>
                </w:tcBorders>
              </w:tcPr>
              <w:p w14:paraId="668965AE" w14:textId="77777777" w:rsidR="00D21C1F" w:rsidRDefault="00A42880">
                <w:pPr>
                  <w:widowControl w:val="0"/>
                  <w:jc w:val="right"/>
                  <w:rPr>
                    <w:rFonts w:ascii="Times New Roman" w:hAnsi="Times New Roman" w:cs="Times New Roman"/>
                  </w:rPr>
                </w:pPr>
                <w:r>
                  <w:rPr>
                    <w:rFonts w:ascii="Times New Roman" w:hAnsi="Times New Roman" w:cs="Times New Roman"/>
                  </w:rPr>
                  <w:t>30</w:t>
                </w:r>
              </w:p>
            </w:tc>
            <w:tc>
              <w:tcPr>
                <w:tcW w:w="1765" w:type="dxa"/>
                <w:tcBorders>
                  <w:top w:val="single" w:sz="4" w:space="0" w:color="auto"/>
                  <w:left w:val="single" w:sz="4" w:space="0" w:color="auto"/>
                  <w:bottom w:val="single" w:sz="4" w:space="0" w:color="auto"/>
                  <w:right w:val="single" w:sz="4" w:space="0" w:color="auto"/>
                </w:tcBorders>
              </w:tcPr>
              <w:p w14:paraId="400EA8B1" w14:textId="77777777" w:rsidR="00D21C1F" w:rsidRDefault="00A42880">
                <w:pPr>
                  <w:widowControl w:val="0"/>
                  <w:jc w:val="right"/>
                  <w:rPr>
                    <w:rFonts w:ascii="Times New Roman" w:hAnsi="Times New Roman" w:cs="Times New Roman"/>
                  </w:rPr>
                </w:pPr>
                <w:r>
                  <w:rPr>
                    <w:rFonts w:ascii="Times New Roman" w:hAnsi="Times New Roman" w:cs="Times New Roman"/>
                  </w:rPr>
                  <w:t>30</w:t>
                </w:r>
              </w:p>
            </w:tc>
          </w:tr>
          <w:tr w:rsidR="00D21C1F" w14:paraId="5C1B128D" w14:textId="77777777">
            <w:tc>
              <w:tcPr>
                <w:tcW w:w="1764" w:type="dxa"/>
                <w:tcBorders>
                  <w:top w:val="single" w:sz="4" w:space="0" w:color="auto"/>
                  <w:left w:val="single" w:sz="4" w:space="0" w:color="auto"/>
                  <w:bottom w:val="single" w:sz="4" w:space="0" w:color="auto"/>
                  <w:right w:val="single" w:sz="4" w:space="0" w:color="auto"/>
                </w:tcBorders>
              </w:tcPr>
              <w:sdt>
                <w:sdtPr>
                  <w:rPr>
                    <w:rFonts w:hint="eastAsia"/>
                  </w:rPr>
                  <w:tag w:val="_PLD_924ecf71be5c4c93bde83ed169ac52ac"/>
                  <w:id w:val="-2129538083"/>
                  <w:lock w:val="sdtLocked"/>
                </w:sdtPr>
                <w:sdtEndPr/>
                <w:sdtContent>
                  <w:p w14:paraId="43BFFA8E" w14:textId="77777777" w:rsidR="00D21C1F" w:rsidRDefault="00A42880">
                    <w:pPr>
                      <w:widowControl w:val="0"/>
                      <w:jc w:val="both"/>
                    </w:pPr>
                    <w:r>
                      <w:rPr>
                        <w:rFonts w:hint="eastAsia"/>
                      </w:rPr>
                      <w:t>其他</w:t>
                    </w:r>
                  </w:p>
                </w:sdtContent>
              </w:sdt>
            </w:tc>
            <w:tc>
              <w:tcPr>
                <w:tcW w:w="1764" w:type="dxa"/>
                <w:tcBorders>
                  <w:top w:val="single" w:sz="4" w:space="0" w:color="auto"/>
                  <w:left w:val="single" w:sz="4" w:space="0" w:color="auto"/>
                  <w:bottom w:val="single" w:sz="4" w:space="0" w:color="auto"/>
                  <w:right w:val="single" w:sz="4" w:space="0" w:color="auto"/>
                </w:tcBorders>
              </w:tcPr>
              <w:p w14:paraId="36FBF6A6" w14:textId="77777777" w:rsidR="00D21C1F" w:rsidRDefault="00A42880">
                <w:pPr>
                  <w:widowControl w:val="0"/>
                  <w:jc w:val="right"/>
                  <w:rPr>
                    <w:rFonts w:ascii="Times New Roman" w:hAnsi="Times New Roman" w:cs="Times New Roman"/>
                  </w:rPr>
                </w:pPr>
                <w:r>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tcPr>
              <w:p w14:paraId="7B3208B5" w14:textId="77777777" w:rsidR="00D21C1F" w:rsidRDefault="00A42880">
                <w:pPr>
                  <w:widowControl w:val="0"/>
                  <w:jc w:val="right"/>
                  <w:rPr>
                    <w:rFonts w:ascii="Times New Roman" w:hAnsi="Times New Roman" w:cs="Times New Roman"/>
                  </w:rPr>
                </w:pPr>
                <w:r>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tcPr>
              <w:p w14:paraId="4984EFC1" w14:textId="77777777" w:rsidR="00D21C1F" w:rsidRDefault="00A42880">
                <w:pPr>
                  <w:widowControl w:val="0"/>
                  <w:jc w:val="right"/>
                  <w:rPr>
                    <w:rFonts w:ascii="Times New Roman" w:hAnsi="Times New Roman" w:cs="Times New Roman"/>
                  </w:rPr>
                </w:pPr>
                <w:r>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tcPr>
              <w:p w14:paraId="0BEE9D74" w14:textId="77777777" w:rsidR="00D21C1F" w:rsidRDefault="00A42880">
                <w:pPr>
                  <w:widowControl w:val="0"/>
                  <w:jc w:val="right"/>
                  <w:rPr>
                    <w:rFonts w:ascii="Times New Roman" w:hAnsi="Times New Roman" w:cs="Times New Roman"/>
                  </w:rPr>
                </w:pPr>
                <w:r>
                  <w:rPr>
                    <w:rFonts w:ascii="Times New Roman" w:hAnsi="Times New Roman" w:cs="Times New Roman"/>
                  </w:rPr>
                  <w:t>0</w:t>
                </w:r>
              </w:p>
            </w:tc>
          </w:tr>
          <w:tr w:rsidR="00D21C1F" w14:paraId="1B628CCF" w14:textId="77777777">
            <w:tc>
              <w:tcPr>
                <w:tcW w:w="1764" w:type="dxa"/>
                <w:tcBorders>
                  <w:top w:val="single" w:sz="4" w:space="0" w:color="auto"/>
                  <w:left w:val="single" w:sz="4" w:space="0" w:color="auto"/>
                  <w:bottom w:val="single" w:sz="4" w:space="0" w:color="auto"/>
                  <w:right w:val="single" w:sz="4" w:space="0" w:color="auto"/>
                </w:tcBorders>
              </w:tcPr>
              <w:sdt>
                <w:sdtPr>
                  <w:rPr>
                    <w:rFonts w:hint="eastAsia"/>
                  </w:rPr>
                  <w:tag w:val="_PLD_5f7c34f963564a3c94a0f014ea60de80"/>
                  <w:id w:val="784860160"/>
                  <w:lock w:val="sdtLocked"/>
                </w:sdtPr>
                <w:sdtEndPr/>
                <w:sdtContent>
                  <w:p w14:paraId="15A399E5" w14:textId="77777777" w:rsidR="00D21C1F" w:rsidRDefault="00A42880">
                    <w:pPr>
                      <w:widowControl w:val="0"/>
                      <w:jc w:val="center"/>
                    </w:pPr>
                    <w:r>
                      <w:rPr>
                        <w:rFonts w:hint="eastAsia"/>
                      </w:rPr>
                      <w:t>合计</w:t>
                    </w:r>
                  </w:p>
                </w:sdtContent>
              </w:sdt>
            </w:tc>
            <w:tc>
              <w:tcPr>
                <w:tcW w:w="1764" w:type="dxa"/>
                <w:tcBorders>
                  <w:top w:val="single" w:sz="4" w:space="0" w:color="auto"/>
                  <w:left w:val="single" w:sz="4" w:space="0" w:color="auto"/>
                  <w:bottom w:val="single" w:sz="4" w:space="0" w:color="auto"/>
                  <w:right w:val="single" w:sz="4" w:space="0" w:color="auto"/>
                </w:tcBorders>
              </w:tcPr>
              <w:p w14:paraId="4053A488" w14:textId="77777777" w:rsidR="00D21C1F" w:rsidRDefault="00A42880">
                <w:pPr>
                  <w:widowControl w:val="0"/>
                  <w:jc w:val="right"/>
                  <w:rPr>
                    <w:rFonts w:ascii="Times New Roman" w:hAnsi="Times New Roman" w:cs="Times New Roman"/>
                  </w:rPr>
                </w:pPr>
                <w:r>
                  <w:rPr>
                    <w:rFonts w:ascii="Times New Roman" w:hAnsi="Times New Roman" w:cs="Times New Roman"/>
                  </w:rPr>
                  <w:t>63</w:t>
                </w:r>
              </w:p>
            </w:tc>
            <w:tc>
              <w:tcPr>
                <w:tcW w:w="1765" w:type="dxa"/>
                <w:tcBorders>
                  <w:top w:val="single" w:sz="4" w:space="0" w:color="auto"/>
                  <w:left w:val="single" w:sz="4" w:space="0" w:color="auto"/>
                  <w:bottom w:val="single" w:sz="4" w:space="0" w:color="auto"/>
                  <w:right w:val="single" w:sz="4" w:space="0" w:color="auto"/>
                </w:tcBorders>
              </w:tcPr>
              <w:p w14:paraId="63DBD40A" w14:textId="77777777" w:rsidR="00D21C1F" w:rsidRDefault="00A42880">
                <w:pPr>
                  <w:widowControl w:val="0"/>
                  <w:jc w:val="right"/>
                  <w:rPr>
                    <w:rFonts w:ascii="Times New Roman" w:hAnsi="Times New Roman" w:cs="Times New Roman"/>
                  </w:rPr>
                </w:pPr>
                <w:r>
                  <w:rPr>
                    <w:rFonts w:ascii="Times New Roman" w:hAnsi="Times New Roman" w:cs="Times New Roman"/>
                  </w:rPr>
                  <w:t>35</w:t>
                </w:r>
              </w:p>
            </w:tc>
            <w:tc>
              <w:tcPr>
                <w:tcW w:w="1765" w:type="dxa"/>
                <w:tcBorders>
                  <w:top w:val="single" w:sz="4" w:space="0" w:color="auto"/>
                  <w:left w:val="single" w:sz="4" w:space="0" w:color="auto"/>
                  <w:bottom w:val="single" w:sz="4" w:space="0" w:color="auto"/>
                  <w:right w:val="single" w:sz="4" w:space="0" w:color="auto"/>
                </w:tcBorders>
              </w:tcPr>
              <w:p w14:paraId="03626D49" w14:textId="77777777" w:rsidR="00D21C1F" w:rsidRDefault="00A42880">
                <w:pPr>
                  <w:widowControl w:val="0"/>
                  <w:jc w:val="right"/>
                  <w:rPr>
                    <w:rFonts w:ascii="Times New Roman" w:hAnsi="Times New Roman" w:cs="Times New Roman"/>
                  </w:rPr>
                </w:pPr>
                <w:r>
                  <w:rPr>
                    <w:rFonts w:ascii="Times New Roman" w:hAnsi="Times New Roman" w:cs="Times New Roman"/>
                  </w:rPr>
                  <w:t>489</w:t>
                </w:r>
              </w:p>
            </w:tc>
            <w:tc>
              <w:tcPr>
                <w:tcW w:w="1765" w:type="dxa"/>
                <w:tcBorders>
                  <w:top w:val="single" w:sz="4" w:space="0" w:color="auto"/>
                  <w:left w:val="single" w:sz="4" w:space="0" w:color="auto"/>
                  <w:bottom w:val="single" w:sz="4" w:space="0" w:color="auto"/>
                  <w:right w:val="single" w:sz="4" w:space="0" w:color="auto"/>
                </w:tcBorders>
              </w:tcPr>
              <w:p w14:paraId="72074157" w14:textId="77777777" w:rsidR="00D21C1F" w:rsidRDefault="00A42880">
                <w:pPr>
                  <w:widowControl w:val="0"/>
                  <w:jc w:val="right"/>
                  <w:rPr>
                    <w:rFonts w:ascii="Times New Roman" w:hAnsi="Times New Roman" w:cs="Times New Roman"/>
                  </w:rPr>
                </w:pPr>
                <w:r>
                  <w:rPr>
                    <w:rFonts w:ascii="Times New Roman" w:hAnsi="Times New Roman" w:cs="Times New Roman"/>
                  </w:rPr>
                  <w:t>328</w:t>
                </w:r>
              </w:p>
            </w:tc>
          </w:tr>
        </w:tbl>
        <w:p w14:paraId="2EC0B1C0" w14:textId="77777777" w:rsidR="00D21C1F" w:rsidRDefault="00045EC6">
          <w:pPr>
            <w:pStyle w:val="97"/>
          </w:pPr>
        </w:p>
      </w:sdtContent>
    </w:sdt>
    <w:bookmarkEnd w:id="37" w:displacedByCustomXml="next"/>
    <w:bookmarkStart w:id="38" w:name="_Hlk25332505" w:displacedByCustomXml="next"/>
    <w:bookmarkStart w:id="39" w:name="_Hlk72845587" w:displacedByCustomXml="next"/>
    <w:sdt>
      <w:sdtPr>
        <w:rPr>
          <w:rFonts w:ascii="宋体" w:hAnsi="宋体" w:cs="宋体" w:hint="eastAsia"/>
          <w:b w:val="0"/>
          <w:bCs w:val="0"/>
          <w:kern w:val="0"/>
          <w:szCs w:val="24"/>
        </w:rPr>
        <w:alias w:val="模块:研发投入情况表"/>
        <w:tag w:val="_SEC_bc25c0a5e23e49e784c4d9a8036f442c"/>
        <w:id w:val="-2051372080"/>
        <w:lock w:val="sdtLocked"/>
        <w:placeholder>
          <w:docPart w:val="GBC22222222222222222222222222222"/>
        </w:placeholder>
      </w:sdtPr>
      <w:sdtEndPr/>
      <w:sdtContent>
        <w:p w14:paraId="316FD058" w14:textId="77777777" w:rsidR="00D21C1F" w:rsidRDefault="00A42880">
          <w:pPr>
            <w:pStyle w:val="3"/>
            <w:numPr>
              <w:ilvl w:val="0"/>
              <w:numId w:val="11"/>
            </w:numPr>
            <w:rPr>
              <w:rFonts w:ascii="宋体" w:hAnsi="宋体" w:cs="宋体"/>
              <w:kern w:val="0"/>
              <w:szCs w:val="24"/>
            </w:rPr>
          </w:pPr>
          <w:r>
            <w:rPr>
              <w:rFonts w:ascii="宋体" w:hAnsi="宋体" w:cs="宋体"/>
              <w:kern w:val="0"/>
              <w:szCs w:val="24"/>
            </w:rPr>
            <w:t>研发</w:t>
          </w:r>
          <w:r>
            <w:rPr>
              <w:rFonts w:ascii="宋体" w:hAnsi="宋体" w:cs="宋体" w:hint="eastAsia"/>
              <w:kern w:val="0"/>
              <w:szCs w:val="24"/>
            </w:rPr>
            <w:t>投入</w:t>
          </w:r>
          <w:r>
            <w:rPr>
              <w:rFonts w:ascii="宋体" w:hAnsi="宋体" w:cs="宋体"/>
              <w:kern w:val="0"/>
              <w:szCs w:val="24"/>
            </w:rPr>
            <w:t>情况表</w:t>
          </w:r>
        </w:p>
        <w:p w14:paraId="29987F49" w14:textId="77777777" w:rsidR="00D21C1F" w:rsidRDefault="00A42880">
          <w:pPr>
            <w:jc w:val="right"/>
            <w:rPr>
              <w:rStyle w:val="50"/>
              <w:b w:val="0"/>
              <w:szCs w:val="21"/>
            </w:rPr>
          </w:pPr>
          <w:r>
            <w:rPr>
              <w:rFonts w:hint="eastAsia"/>
              <w:szCs w:val="21"/>
            </w:rPr>
            <w:t>单位：</w:t>
          </w:r>
          <w:sdt>
            <w:sdtPr>
              <w:rPr>
                <w:rFonts w:hint="eastAsia"/>
                <w:szCs w:val="21"/>
              </w:rPr>
              <w:alias w:val="单位：研发支出"/>
              <w:tag w:val="_GBC_29a25e303028474e810e030d02f2ba54"/>
              <w:id w:val="13310919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p>
        <w:tbl>
          <w:tblPr>
            <w:tblStyle w:val="aff0"/>
            <w:tblW w:w="5058" w:type="pct"/>
            <w:tblLook w:val="04A0" w:firstRow="1" w:lastRow="0" w:firstColumn="1" w:lastColumn="0" w:noHBand="0" w:noVBand="1"/>
          </w:tblPr>
          <w:tblGrid>
            <w:gridCol w:w="3422"/>
            <w:gridCol w:w="1676"/>
            <w:gridCol w:w="1701"/>
            <w:gridCol w:w="2126"/>
          </w:tblGrid>
          <w:tr w:rsidR="00D21C1F" w14:paraId="6CE59880" w14:textId="77777777">
            <w:trPr>
              <w:trHeight w:val="135"/>
            </w:trPr>
            <w:tc>
              <w:tcPr>
                <w:tcW w:w="1917" w:type="pct"/>
              </w:tcPr>
              <w:p w14:paraId="5A57D9A7" w14:textId="77777777" w:rsidR="00D21C1F" w:rsidRDefault="00D21C1F">
                <w:pPr>
                  <w:pStyle w:val="97"/>
                </w:pPr>
              </w:p>
            </w:tc>
            <w:tc>
              <w:tcPr>
                <w:tcW w:w="939" w:type="pct"/>
              </w:tcPr>
              <w:sdt>
                <w:sdtPr>
                  <w:rPr>
                    <w:rStyle w:val="50"/>
                    <w:rFonts w:ascii="Times New Roman" w:hAnsi="Times New Roman" w:hint="eastAsia"/>
                    <w:b w:val="0"/>
                    <w:szCs w:val="21"/>
                  </w:rPr>
                  <w:tag w:val="_PLD_f807e9ef6bde4e67a448470738e6a377"/>
                  <w:id w:val="76952125"/>
                  <w:lock w:val="sdtLocked"/>
                </w:sdtPr>
                <w:sdtEndPr>
                  <w:rPr>
                    <w:rStyle w:val="50"/>
                  </w:rPr>
                </w:sdtEndPr>
                <w:sdtContent>
                  <w:p w14:paraId="7745B61A" w14:textId="77777777" w:rsidR="00D21C1F" w:rsidRDefault="00A42880">
                    <w:pPr>
                      <w:jc w:val="center"/>
                      <w:rPr>
                        <w:rStyle w:val="50"/>
                        <w:b w:val="0"/>
                        <w:szCs w:val="21"/>
                      </w:rPr>
                    </w:pPr>
                    <w:r>
                      <w:rPr>
                        <w:rStyle w:val="50"/>
                        <w:rFonts w:hint="eastAsia"/>
                        <w:b w:val="0"/>
                        <w:szCs w:val="21"/>
                      </w:rPr>
                      <w:t>本期数</w:t>
                    </w:r>
                  </w:p>
                </w:sdtContent>
              </w:sdt>
            </w:tc>
            <w:tc>
              <w:tcPr>
                <w:tcW w:w="953" w:type="pct"/>
              </w:tcPr>
              <w:sdt>
                <w:sdtPr>
                  <w:rPr>
                    <w:rStyle w:val="50"/>
                    <w:rFonts w:ascii="Times New Roman" w:hAnsi="Times New Roman" w:hint="eastAsia"/>
                    <w:b w:val="0"/>
                    <w:szCs w:val="21"/>
                  </w:rPr>
                  <w:tag w:val="_PLD_6fac5f4eb49c4d6f90418dc6e0206e54"/>
                  <w:id w:val="-1599779997"/>
                  <w:lock w:val="sdtLocked"/>
                </w:sdtPr>
                <w:sdtEndPr>
                  <w:rPr>
                    <w:rStyle w:val="50"/>
                  </w:rPr>
                </w:sdtEndPr>
                <w:sdtContent>
                  <w:p w14:paraId="48680CDD" w14:textId="77777777" w:rsidR="00D21C1F" w:rsidRDefault="00A42880">
                    <w:pPr>
                      <w:jc w:val="center"/>
                      <w:rPr>
                        <w:rStyle w:val="50"/>
                        <w:b w:val="0"/>
                        <w:szCs w:val="21"/>
                      </w:rPr>
                    </w:pPr>
                    <w:r>
                      <w:rPr>
                        <w:rStyle w:val="50"/>
                        <w:rFonts w:hint="eastAsia"/>
                        <w:b w:val="0"/>
                        <w:szCs w:val="21"/>
                      </w:rPr>
                      <w:t>上期数</w:t>
                    </w:r>
                  </w:p>
                </w:sdtContent>
              </w:sdt>
            </w:tc>
            <w:tc>
              <w:tcPr>
                <w:tcW w:w="1191" w:type="pct"/>
              </w:tcPr>
              <w:sdt>
                <w:sdtPr>
                  <w:rPr>
                    <w:rStyle w:val="50"/>
                    <w:rFonts w:ascii="Times New Roman" w:hAnsi="Times New Roman" w:hint="eastAsia"/>
                    <w:b w:val="0"/>
                    <w:szCs w:val="21"/>
                  </w:rPr>
                  <w:tag w:val="_PLD_400ad4cc43fe4d92bce6292988483976"/>
                  <w:id w:val="1519187082"/>
                  <w:lock w:val="sdtLocked"/>
                </w:sdtPr>
                <w:sdtEndPr>
                  <w:rPr>
                    <w:rStyle w:val="50"/>
                  </w:rPr>
                </w:sdtEndPr>
                <w:sdtContent>
                  <w:p w14:paraId="5AC25938" w14:textId="77777777" w:rsidR="00D21C1F" w:rsidRDefault="00A42880">
                    <w:pPr>
                      <w:jc w:val="center"/>
                      <w:rPr>
                        <w:rStyle w:val="50"/>
                        <w:b w:val="0"/>
                        <w:szCs w:val="21"/>
                      </w:rPr>
                    </w:pPr>
                    <w:r>
                      <w:rPr>
                        <w:rStyle w:val="50"/>
                        <w:rFonts w:hint="eastAsia"/>
                        <w:b w:val="0"/>
                        <w:szCs w:val="21"/>
                      </w:rPr>
                      <w:t>变化幅度</w:t>
                    </w:r>
                    <w:r>
                      <w:rPr>
                        <w:szCs w:val="21"/>
                      </w:rPr>
                      <w:t>（%）</w:t>
                    </w:r>
                  </w:p>
                </w:sdtContent>
              </w:sdt>
            </w:tc>
          </w:tr>
          <w:tr w:rsidR="00D21C1F" w14:paraId="56969A13" w14:textId="77777777">
            <w:trPr>
              <w:trHeight w:val="135"/>
            </w:trPr>
            <w:sdt>
              <w:sdtPr>
                <w:tag w:val="_PLD_abc284ee24884b24a5f42f40c40051f3"/>
                <w:id w:val="-841083676"/>
                <w:lock w:val="sdtLocked"/>
              </w:sdtPr>
              <w:sdtEndPr/>
              <w:sdtContent>
                <w:tc>
                  <w:tcPr>
                    <w:tcW w:w="1917" w:type="pct"/>
                  </w:tcPr>
                  <w:p w14:paraId="3F185A90" w14:textId="77777777" w:rsidR="00D21C1F" w:rsidRDefault="00A42880">
                    <w:pPr>
                      <w:rPr>
                        <w:rStyle w:val="50"/>
                        <w:b w:val="0"/>
                        <w:bCs w:val="0"/>
                        <w:szCs w:val="21"/>
                      </w:rPr>
                    </w:pPr>
                    <w:r>
                      <w:rPr>
                        <w:szCs w:val="21"/>
                      </w:rPr>
                      <w:t>费用化研发</w:t>
                    </w:r>
                    <w:r>
                      <w:rPr>
                        <w:rFonts w:hint="eastAsia"/>
                        <w:szCs w:val="21"/>
                      </w:rPr>
                      <w:t>投入</w:t>
                    </w:r>
                  </w:p>
                </w:tc>
              </w:sdtContent>
            </w:sdt>
            <w:tc>
              <w:tcPr>
                <w:tcW w:w="939" w:type="pct"/>
                <w:vAlign w:val="bottom"/>
              </w:tcPr>
              <w:p w14:paraId="24572E17"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4,927.10</w:t>
                </w:r>
              </w:p>
            </w:tc>
            <w:tc>
              <w:tcPr>
                <w:tcW w:w="953" w:type="pct"/>
                <w:vAlign w:val="bottom"/>
              </w:tcPr>
              <w:p w14:paraId="3F8FF1C9"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3,161.39</w:t>
                </w:r>
              </w:p>
            </w:tc>
            <w:tc>
              <w:tcPr>
                <w:tcW w:w="1191" w:type="pct"/>
                <w:vAlign w:val="bottom"/>
              </w:tcPr>
              <w:p w14:paraId="103B8629" w14:textId="77777777" w:rsidR="00D21C1F" w:rsidRPr="00102F64" w:rsidRDefault="00A42880">
                <w:pPr>
                  <w:jc w:val="right"/>
                  <w:rPr>
                    <w:rStyle w:val="50"/>
                    <w:rFonts w:ascii="Times New Roman" w:hAnsi="Times New Roman" w:cs="Times New Roman"/>
                    <w:b w:val="0"/>
                    <w:szCs w:val="21"/>
                  </w:rPr>
                </w:pPr>
                <w:r w:rsidRPr="00102F64">
                  <w:rPr>
                    <w:rStyle w:val="50"/>
                    <w:rFonts w:ascii="Times New Roman" w:hAnsi="Times New Roman" w:cs="Times New Roman"/>
                    <w:b w:val="0"/>
                    <w:szCs w:val="21"/>
                  </w:rPr>
                  <w:t>55.85</w:t>
                </w:r>
              </w:p>
            </w:tc>
          </w:tr>
          <w:tr w:rsidR="00D21C1F" w14:paraId="6604DB59" w14:textId="77777777">
            <w:trPr>
              <w:trHeight w:val="147"/>
            </w:trPr>
            <w:sdt>
              <w:sdtPr>
                <w:rPr>
                  <w:rFonts w:ascii="Times New Roman" w:hAnsi="Times New Roman"/>
                  <w:b/>
                  <w:bCs/>
                  <w:kern w:val="2"/>
                  <w:szCs w:val="28"/>
                </w:rPr>
                <w:tag w:val="_PLD_d910a2fd45d3414e8ca31e2341d7855d"/>
                <w:id w:val="-1436047811"/>
                <w:lock w:val="sdtLocked"/>
              </w:sdtPr>
              <w:sdtEndPr>
                <w:rPr>
                  <w:b w:val="0"/>
                  <w:bCs w:val="0"/>
                  <w:kern w:val="0"/>
                  <w:szCs w:val="24"/>
                </w:rPr>
              </w:sdtEndPr>
              <w:sdtContent>
                <w:tc>
                  <w:tcPr>
                    <w:tcW w:w="1917" w:type="pct"/>
                  </w:tcPr>
                  <w:p w14:paraId="6AA1BA2B" w14:textId="77777777" w:rsidR="00D21C1F" w:rsidRDefault="00A42880">
                    <w:pPr>
                      <w:rPr>
                        <w:rStyle w:val="50"/>
                        <w:szCs w:val="21"/>
                      </w:rPr>
                    </w:pPr>
                    <w:r>
                      <w:rPr>
                        <w:szCs w:val="21"/>
                      </w:rPr>
                      <w:t>资本化研发</w:t>
                    </w:r>
                    <w:r>
                      <w:rPr>
                        <w:rFonts w:hint="eastAsia"/>
                        <w:szCs w:val="21"/>
                      </w:rPr>
                      <w:t>投入</w:t>
                    </w:r>
                  </w:p>
                </w:tc>
              </w:sdtContent>
            </w:sdt>
            <w:tc>
              <w:tcPr>
                <w:tcW w:w="939" w:type="pct"/>
                <w:vAlign w:val="bottom"/>
              </w:tcPr>
              <w:p w14:paraId="596FF9B5"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w:t>
                </w:r>
              </w:p>
            </w:tc>
            <w:tc>
              <w:tcPr>
                <w:tcW w:w="953" w:type="pct"/>
                <w:vAlign w:val="bottom"/>
              </w:tcPr>
              <w:p w14:paraId="37CB78C9"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w:t>
                </w:r>
              </w:p>
            </w:tc>
            <w:tc>
              <w:tcPr>
                <w:tcW w:w="1191" w:type="pct"/>
                <w:vAlign w:val="bottom"/>
              </w:tcPr>
              <w:p w14:paraId="13E57D4E" w14:textId="77777777" w:rsidR="00D21C1F" w:rsidRPr="00102F64" w:rsidRDefault="00A42880">
                <w:pPr>
                  <w:jc w:val="right"/>
                  <w:rPr>
                    <w:rStyle w:val="50"/>
                    <w:rFonts w:ascii="Times New Roman" w:hAnsi="Times New Roman" w:cs="Times New Roman"/>
                    <w:b w:val="0"/>
                    <w:szCs w:val="21"/>
                  </w:rPr>
                </w:pPr>
                <w:r w:rsidRPr="00102F64">
                  <w:rPr>
                    <w:rStyle w:val="50"/>
                    <w:rFonts w:ascii="Times New Roman" w:hAnsi="Times New Roman" w:cs="Times New Roman"/>
                    <w:b w:val="0"/>
                    <w:szCs w:val="21"/>
                  </w:rPr>
                  <w:t>-</w:t>
                </w:r>
              </w:p>
            </w:tc>
          </w:tr>
          <w:tr w:rsidR="00D21C1F" w14:paraId="391AC529" w14:textId="77777777">
            <w:trPr>
              <w:trHeight w:val="102"/>
            </w:trPr>
            <w:tc>
              <w:tcPr>
                <w:tcW w:w="1917" w:type="pct"/>
              </w:tcPr>
              <w:p w14:paraId="635FC025" w14:textId="77777777" w:rsidR="00D21C1F" w:rsidRDefault="00A42880">
                <w:pPr>
                  <w:rPr>
                    <w:rFonts w:ascii="Times New Roman" w:hAnsi="Times New Roman"/>
                    <w:bCs/>
                    <w:kern w:val="2"/>
                    <w:szCs w:val="28"/>
                  </w:rPr>
                </w:pPr>
                <w:r>
                  <w:rPr>
                    <w:rFonts w:ascii="Times New Roman" w:hAnsi="Times New Roman" w:hint="eastAsia"/>
                    <w:bCs/>
                    <w:kern w:val="2"/>
                    <w:szCs w:val="28"/>
                  </w:rPr>
                  <w:t>研发样机销售金额</w:t>
                </w:r>
              </w:p>
            </w:tc>
            <w:tc>
              <w:tcPr>
                <w:tcW w:w="939" w:type="pct"/>
                <w:vAlign w:val="bottom"/>
              </w:tcPr>
              <w:p w14:paraId="6B5B2AF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41.74</w:t>
                </w:r>
              </w:p>
            </w:tc>
            <w:tc>
              <w:tcPr>
                <w:tcW w:w="953" w:type="pct"/>
                <w:vAlign w:val="bottom"/>
              </w:tcPr>
              <w:p w14:paraId="238C8300"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51.12</w:t>
                </w:r>
              </w:p>
            </w:tc>
            <w:tc>
              <w:tcPr>
                <w:tcW w:w="1191" w:type="pct"/>
                <w:vAlign w:val="bottom"/>
              </w:tcPr>
              <w:p w14:paraId="608A6A3E"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-18.35</w:t>
                </w:r>
              </w:p>
            </w:tc>
          </w:tr>
          <w:tr w:rsidR="00D21C1F" w14:paraId="3997AFA6" w14:textId="77777777">
            <w:trPr>
              <w:trHeight w:val="102"/>
            </w:trPr>
            <w:sdt>
              <w:sdtPr>
                <w:rPr>
                  <w:rFonts w:ascii="Times New Roman" w:hAnsi="Times New Roman"/>
                  <w:b/>
                  <w:bCs/>
                  <w:kern w:val="2"/>
                  <w:szCs w:val="28"/>
                </w:rPr>
                <w:tag w:val="_PLD_6cdeecbeab5749b1a05c1b55ab9b6ff2"/>
                <w:id w:val="-484547221"/>
                <w:lock w:val="sdtLocked"/>
              </w:sdtPr>
              <w:sdtEndPr>
                <w:rPr>
                  <w:b w:val="0"/>
                  <w:bCs w:val="0"/>
                  <w:kern w:val="0"/>
                  <w:szCs w:val="24"/>
                </w:rPr>
              </w:sdtEndPr>
              <w:sdtContent>
                <w:tc>
                  <w:tcPr>
                    <w:tcW w:w="1917" w:type="pct"/>
                  </w:tcPr>
                  <w:p w14:paraId="530A7A4E" w14:textId="77777777" w:rsidR="00D21C1F" w:rsidRDefault="00A42880">
                    <w:pPr>
                      <w:rPr>
                        <w:rStyle w:val="50"/>
                        <w:szCs w:val="21"/>
                      </w:rPr>
                    </w:pPr>
                    <w:r>
                      <w:rPr>
                        <w:szCs w:val="21"/>
                      </w:rPr>
                      <w:t>研发</w:t>
                    </w:r>
                    <w:r>
                      <w:rPr>
                        <w:rFonts w:hint="eastAsia"/>
                        <w:szCs w:val="21"/>
                      </w:rPr>
                      <w:t>投入</w:t>
                    </w:r>
                    <w:r>
                      <w:rPr>
                        <w:szCs w:val="21"/>
                      </w:rPr>
                      <w:t>合计</w:t>
                    </w:r>
                  </w:p>
                </w:tc>
              </w:sdtContent>
            </w:sdt>
            <w:tc>
              <w:tcPr>
                <w:tcW w:w="939" w:type="pct"/>
                <w:vAlign w:val="bottom"/>
              </w:tcPr>
              <w:p w14:paraId="5402D5F4"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4,968.84</w:t>
                </w:r>
              </w:p>
            </w:tc>
            <w:tc>
              <w:tcPr>
                <w:tcW w:w="953" w:type="pct"/>
                <w:vAlign w:val="bottom"/>
              </w:tcPr>
              <w:p w14:paraId="0BD6E6C2"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3,212.52</w:t>
                </w:r>
              </w:p>
            </w:tc>
            <w:tc>
              <w:tcPr>
                <w:tcW w:w="1191" w:type="pct"/>
                <w:vAlign w:val="bottom"/>
              </w:tcPr>
              <w:p w14:paraId="4E5F5048"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54.67</w:t>
                </w:r>
              </w:p>
            </w:tc>
          </w:tr>
          <w:tr w:rsidR="00D21C1F" w14:paraId="4623B381" w14:textId="77777777">
            <w:trPr>
              <w:trHeight w:val="135"/>
            </w:trPr>
            <w:sdt>
              <w:sdtPr>
                <w:rPr>
                  <w:rFonts w:ascii="Times New Roman" w:hAnsi="Times New Roman"/>
                  <w:b/>
                  <w:bCs/>
                  <w:kern w:val="2"/>
                  <w:szCs w:val="28"/>
                </w:rPr>
                <w:tag w:val="_PLD_a80f05869f6f4d6eb2b13c87cf03bf64"/>
                <w:id w:val="259493334"/>
                <w:lock w:val="sdtLocked"/>
              </w:sdtPr>
              <w:sdtEndPr>
                <w:rPr>
                  <w:b w:val="0"/>
                  <w:bCs w:val="0"/>
                  <w:kern w:val="0"/>
                  <w:szCs w:val="24"/>
                </w:rPr>
              </w:sdtEndPr>
              <w:sdtContent>
                <w:tc>
                  <w:tcPr>
                    <w:tcW w:w="1917" w:type="pct"/>
                  </w:tcPr>
                  <w:p w14:paraId="0B3A56D0" w14:textId="77777777" w:rsidR="00D21C1F" w:rsidRDefault="00A42880">
                    <w:pPr>
                      <w:rPr>
                        <w:rStyle w:val="50"/>
                        <w:szCs w:val="21"/>
                      </w:rPr>
                    </w:pPr>
                    <w:r>
                      <w:rPr>
                        <w:szCs w:val="21"/>
                      </w:rPr>
                      <w:t>研发</w:t>
                    </w:r>
                    <w:r>
                      <w:rPr>
                        <w:rFonts w:hint="eastAsia"/>
                        <w:szCs w:val="21"/>
                      </w:rPr>
                      <w:t>投入</w:t>
                    </w:r>
                    <w:r>
                      <w:rPr>
                        <w:szCs w:val="21"/>
                      </w:rPr>
                      <w:t>总额占营业收入比例（%）</w:t>
                    </w:r>
                  </w:p>
                </w:tc>
              </w:sdtContent>
            </w:sdt>
            <w:tc>
              <w:tcPr>
                <w:tcW w:w="939" w:type="pct"/>
                <w:vAlign w:val="bottom"/>
              </w:tcPr>
              <w:p w14:paraId="5821256E"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8.69</w:t>
                </w:r>
              </w:p>
            </w:tc>
            <w:tc>
              <w:tcPr>
                <w:tcW w:w="953" w:type="pct"/>
                <w:vAlign w:val="bottom"/>
              </w:tcPr>
              <w:p w14:paraId="0AA5CBD3"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6.98</w:t>
                </w:r>
              </w:p>
            </w:tc>
            <w:tc>
              <w:tcPr>
                <w:tcW w:w="1191" w:type="pct"/>
                <w:vAlign w:val="bottom"/>
              </w:tcPr>
              <w:p w14:paraId="15890F7C" w14:textId="77777777" w:rsidR="00D21C1F" w:rsidRPr="00102F64" w:rsidRDefault="00A42880">
                <w:pPr>
                  <w:jc w:val="right"/>
                  <w:rPr>
                    <w:rStyle w:val="50"/>
                    <w:rFonts w:ascii="Times New Roman" w:hAnsi="Times New Roman" w:cs="Times New Roman"/>
                    <w:b w:val="0"/>
                    <w:szCs w:val="21"/>
                  </w:rPr>
                </w:pPr>
                <w:r w:rsidRPr="00102F64">
                  <w:rPr>
                    <w:rFonts w:ascii="Times New Roman" w:hAnsi="Times New Roman" w:cs="Times New Roman"/>
                  </w:rPr>
                  <w:t>增加</w:t>
                </w:r>
                <w:r w:rsidRPr="00102F64">
                  <w:rPr>
                    <w:rFonts w:ascii="Times New Roman" w:hAnsi="Times New Roman" w:cs="Times New Roman"/>
                  </w:rPr>
                  <w:t>1.71</w:t>
                </w:r>
                <w:r w:rsidRPr="00102F64">
                  <w:rPr>
                    <w:rFonts w:ascii="Times New Roman" w:hAnsi="Times New Roman" w:cs="Times New Roman"/>
                  </w:rPr>
                  <w:t>个百分点</w:t>
                </w:r>
              </w:p>
            </w:tc>
          </w:tr>
          <w:tr w:rsidR="00D21C1F" w14:paraId="427D0112" w14:textId="77777777">
            <w:trPr>
              <w:trHeight w:val="135"/>
            </w:trPr>
            <w:sdt>
              <w:sdtPr>
                <w:rPr>
                  <w:rFonts w:ascii="Times New Roman" w:hAnsi="Times New Roman"/>
                  <w:b/>
                  <w:bCs/>
                  <w:kern w:val="2"/>
                  <w:szCs w:val="28"/>
                </w:rPr>
                <w:tag w:val="_PLD_ba5be98d3ab54fef97e05b87422f937a"/>
                <w:id w:val="-1133327847"/>
                <w:lock w:val="sdtLocked"/>
              </w:sdtPr>
              <w:sdtEndPr>
                <w:rPr>
                  <w:b w:val="0"/>
                  <w:bCs w:val="0"/>
                  <w:kern w:val="0"/>
                  <w:szCs w:val="24"/>
                </w:rPr>
              </w:sdtEndPr>
              <w:sdtContent>
                <w:tc>
                  <w:tcPr>
                    <w:tcW w:w="1917" w:type="pct"/>
                  </w:tcPr>
                  <w:p w14:paraId="62AA4330" w14:textId="77777777" w:rsidR="00D21C1F" w:rsidRDefault="00A42880">
                    <w:pPr>
                      <w:rPr>
                        <w:szCs w:val="21"/>
                      </w:rPr>
                    </w:pPr>
                    <w:r>
                      <w:rPr>
                        <w:rFonts w:hint="eastAsia"/>
                        <w:szCs w:val="21"/>
                      </w:rPr>
                      <w:t>研发投入资本化的比重</w:t>
                    </w:r>
                    <w:r>
                      <w:rPr>
                        <w:szCs w:val="21"/>
                      </w:rPr>
                      <w:t>（%）</w:t>
                    </w:r>
                  </w:p>
                </w:tc>
              </w:sdtContent>
            </w:sdt>
            <w:tc>
              <w:tcPr>
                <w:tcW w:w="939" w:type="pct"/>
                <w:vAlign w:val="bottom"/>
              </w:tcPr>
              <w:p w14:paraId="38E074C9" w14:textId="77777777" w:rsidR="00D21C1F" w:rsidRDefault="00A42880">
                <w:pPr>
                  <w:jc w:val="right"/>
                  <w:rPr>
                    <w:rFonts w:ascii="Times New Roman" w:hAnsi="Times New Roman" w:cs="Times New Roman"/>
                  </w:rPr>
                </w:pPr>
                <w:r>
                  <w:rPr>
                    <w:rFonts w:ascii="Times New Roman" w:hAnsi="Times New Roman" w:cs="Times New Roman"/>
                  </w:rPr>
                  <w:t>-</w:t>
                </w:r>
              </w:p>
            </w:tc>
            <w:tc>
              <w:tcPr>
                <w:tcW w:w="953" w:type="pct"/>
                <w:vAlign w:val="bottom"/>
              </w:tcPr>
              <w:p w14:paraId="15ED0F86" w14:textId="77777777" w:rsidR="00D21C1F" w:rsidRDefault="00A42880">
                <w:pPr>
                  <w:jc w:val="right"/>
                  <w:rPr>
                    <w:rFonts w:ascii="Times New Roman" w:hAnsi="Times New Roman" w:cs="Times New Roman"/>
                  </w:rPr>
                </w:pPr>
                <w:r>
                  <w:rPr>
                    <w:rFonts w:ascii="Times New Roman" w:hAnsi="Times New Roman" w:cs="Times New Roman"/>
                  </w:rPr>
                  <w:t>-</w:t>
                </w:r>
              </w:p>
            </w:tc>
            <w:tc>
              <w:tcPr>
                <w:tcW w:w="1191" w:type="pct"/>
                <w:vAlign w:val="bottom"/>
              </w:tcPr>
              <w:p w14:paraId="42794C9D" w14:textId="77777777" w:rsidR="00D21C1F" w:rsidRDefault="00A42880">
                <w:pPr>
                  <w:jc w:val="right"/>
                  <w:rPr>
                    <w:rFonts w:ascii="Times New Roman" w:hAnsi="Times New Roman" w:cs="Times New Roman"/>
                  </w:rPr>
                </w:pPr>
                <w:r>
                  <w:rPr>
                    <w:rFonts w:ascii="Times New Roman" w:hAnsi="Times New Roman" w:cs="Times New Roman"/>
                  </w:rPr>
                  <w:t>-</w:t>
                </w:r>
              </w:p>
            </w:tc>
          </w:tr>
        </w:tbl>
        <w:bookmarkEnd w:id="38"/>
        <w:p w14:paraId="509EE7CE" w14:textId="77777777" w:rsidR="00D21C1F" w:rsidRDefault="00A42880">
          <w:pPr>
            <w:spacing w:line="360" w:lineRule="auto"/>
            <w:ind w:firstLineChars="200" w:firstLine="420"/>
            <w:jc w:val="both"/>
          </w:pPr>
          <w:r>
            <w:rPr>
              <w:rFonts w:hint="eastAsia"/>
            </w:rPr>
            <w:t>注：研发投入指研发费用加上研发样机销售金额。</w:t>
          </w:r>
        </w:p>
      </w:sdtContent>
    </w:sdt>
    <w:bookmarkStart w:id="40" w:name="_Hlk59450744" w:displacedByCustomXml="next"/>
    <w:bookmarkEnd w:id="40" w:displacedByCustomXml="next"/>
    <w:bookmarkStart w:id="41" w:name="_Hlk72845693" w:displacedByCustomXml="next"/>
    <w:bookmarkStart w:id="42" w:name="_Hlk59698928" w:displacedByCustomXml="next"/>
    <w:sdt>
      <w:sdtPr>
        <w:alias w:val="模块:研发投入总额较上年发生重大变化的原因"/>
        <w:tag w:val="_SEC_830eb93e5dc64ef4bd975b2acc17564a"/>
        <w:id w:val="-1547372276"/>
        <w:lock w:val="sdtLocked"/>
        <w:placeholder>
          <w:docPart w:val="GBC22222222222222222222222222222"/>
        </w:placeholder>
      </w:sdtPr>
      <w:sdtEndPr/>
      <w:sdtContent>
        <w:p w14:paraId="7B2FA29F" w14:textId="77777777" w:rsidR="00D21C1F" w:rsidRDefault="00A42880">
          <w:pPr>
            <w:rPr>
              <w:highlight w:val="yellow"/>
            </w:rPr>
          </w:pPr>
          <w:r>
            <w:rPr>
              <w:rFonts w:hint="eastAsia"/>
              <w:b/>
            </w:rPr>
            <w:t>研发投入总额较上年发生重大变化的原因</w:t>
          </w:r>
        </w:p>
        <w:sdt>
          <w:sdtPr>
            <w:rPr>
              <w:rStyle w:val="50"/>
              <w:b w:val="0"/>
              <w:bCs w:val="0"/>
              <w:szCs w:val="21"/>
            </w:rPr>
            <w:alias w:val="是否适用：研发投入总额较上年发生重大变化的原因[双击切换]"/>
            <w:tag w:val="_GBC_ca7b0d730a4e4eabb0e335c246db9952"/>
            <w:id w:val="324096294"/>
            <w:lock w:val="sdtLocked"/>
            <w:placeholder>
              <w:docPart w:val="GBC22222222222222222222222222222"/>
            </w:placeholder>
          </w:sdtPr>
          <w:sdtEndPr>
            <w:rPr>
              <w:rStyle w:val="50"/>
            </w:rPr>
          </w:sdtEndPr>
          <w:sdtContent>
            <w:p w14:paraId="6D7EB754" w14:textId="77777777" w:rsidR="00D21C1F" w:rsidRDefault="00A42880">
              <w:pPr>
                <w:rPr>
                  <w:rStyle w:val="50"/>
                  <w:b w:val="0"/>
                  <w:bCs w:val="0"/>
                  <w:szCs w:val="21"/>
                </w:rPr>
              </w:pPr>
              <w:r>
                <w:rPr>
                  <w:rStyle w:val="50"/>
                  <w:b w:val="0"/>
                  <w:bCs w:val="0"/>
                  <w:szCs w:val="21"/>
                </w:rPr>
                <w:fldChar w:fldCharType="begin"/>
              </w:r>
              <w:r>
                <w:rPr>
                  <w:rStyle w:val="50"/>
                  <w:b w:val="0"/>
                  <w:bCs w:val="0"/>
                  <w:szCs w:val="21"/>
                </w:rPr>
                <w:instrText xml:space="preserve"> MACROBUTTON  SnrToggleCheckbox √适用 </w:instrText>
              </w:r>
              <w:r>
                <w:rPr>
                  <w:rStyle w:val="50"/>
                  <w:b w:val="0"/>
                  <w:bCs w:val="0"/>
                  <w:szCs w:val="21"/>
                </w:rPr>
                <w:fldChar w:fldCharType="end"/>
              </w:r>
              <w:r>
                <w:rPr>
                  <w:rStyle w:val="50"/>
                  <w:b w:val="0"/>
                  <w:bCs w:val="0"/>
                  <w:szCs w:val="21"/>
                </w:rPr>
                <w:fldChar w:fldCharType="begin"/>
              </w:r>
              <w:r>
                <w:rPr>
                  <w:rStyle w:val="50"/>
                  <w:b w:val="0"/>
                  <w:bCs w:val="0"/>
                  <w:szCs w:val="21"/>
                </w:rPr>
                <w:instrText xml:space="preserve"> MACROBUTTON  SnrToggleCheckbox □不适用 </w:instrText>
              </w:r>
              <w:r>
                <w:rPr>
                  <w:rStyle w:val="50"/>
                  <w:b w:val="0"/>
                  <w:bCs w:val="0"/>
                  <w:szCs w:val="21"/>
                </w:rPr>
                <w:fldChar w:fldCharType="end"/>
              </w:r>
            </w:p>
          </w:sdtContent>
        </w:sdt>
        <w:sdt>
          <w:sdtPr>
            <w:alias w:val="研发投入总额较上年发生重大变化的原因"/>
            <w:tag w:val="_GBC_156f5a0311364d4db2201cc4c88c27d2"/>
            <w:id w:val="2065836391"/>
            <w:lock w:val="sdtLocked"/>
            <w:placeholder>
              <w:docPart w:val="GBC22222222222222222222222222222"/>
            </w:placeholder>
          </w:sdtPr>
          <w:sdtEndPr/>
          <w:sdtContent>
            <w:p w14:paraId="314BFE3D" w14:textId="0B0720C4" w:rsidR="00D21C1F" w:rsidRDefault="00A42880">
              <w:pPr>
                <w:ind w:firstLineChars="200" w:firstLine="420"/>
                <w:rPr>
                  <w:b/>
                </w:rPr>
              </w:pPr>
              <w:r>
                <w:rPr>
                  <w:rFonts w:hint="eastAsia"/>
                </w:rPr>
                <w:t>公司本期研发投入较上期增长</w:t>
              </w:r>
              <w:r>
                <w:rPr>
                  <w:rFonts w:ascii="Times New Roman" w:hAnsi="Times New Roman" w:cs="Times New Roman"/>
                </w:rPr>
                <w:t>54.67 %</w:t>
              </w:r>
              <w:r>
                <w:rPr>
                  <w:rFonts w:ascii="Times New Roman" w:hAnsi="Times New Roman" w:cs="Times New Roman"/>
                </w:rPr>
                <w:t>，</w:t>
              </w:r>
              <w:r>
                <w:rPr>
                  <w:rFonts w:hint="eastAsia"/>
                </w:rPr>
                <w:t>主要系公司为提升产品核心竞争力，在公司三大募投项目持续增加研发投入</w:t>
              </w:r>
              <w:r w:rsidR="00D07E51">
                <w:rPr>
                  <w:rFonts w:hint="eastAsia"/>
                </w:rPr>
                <w:t>所致</w:t>
              </w:r>
              <w:r>
                <w:rPr>
                  <w:rFonts w:hint="eastAsia"/>
                </w:rPr>
                <w:t>。</w:t>
              </w:r>
            </w:p>
          </w:sdtContent>
        </w:sdt>
      </w:sdtContent>
    </w:sdt>
    <w:bookmarkEnd w:id="42"/>
    <w:bookmarkEnd w:id="41"/>
    <w:p w14:paraId="4B653337" w14:textId="77777777" w:rsidR="00D21C1F" w:rsidRDefault="00D21C1F">
      <w:pPr>
        <w:pStyle w:val="97"/>
      </w:pPr>
    </w:p>
    <w:bookmarkStart w:id="43" w:name="_Hlk59450772" w:displacedByCustomXml="next"/>
    <w:bookmarkEnd w:id="43" w:displacedByCustomXml="next"/>
    <w:bookmarkStart w:id="44" w:name="_Hlk59698986" w:displacedByCustomXml="next"/>
    <w:bookmarkStart w:id="45" w:name="_Hlk72845757" w:displacedByCustomXml="next"/>
    <w:sdt>
      <w:sdtPr>
        <w:rPr>
          <w:rFonts w:hint="eastAsia"/>
        </w:rPr>
        <w:alias w:val="模块:研发投入资本化的比重大幅变动的原因及其合理性说明"/>
        <w:tag w:val="_SEC_e8f20007f61c4d80942a9b2561a5d39b"/>
        <w:id w:val="532537687"/>
        <w:lock w:val="sdtLocked"/>
        <w:placeholder>
          <w:docPart w:val="GBC22222222222222222222222222222"/>
        </w:placeholder>
      </w:sdtPr>
      <w:sdtEndPr/>
      <w:sdtContent>
        <w:p w14:paraId="046AA2A5" w14:textId="77777777" w:rsidR="00D21C1F" w:rsidRDefault="00A42880">
          <w:pPr>
            <w:rPr>
              <w:highlight w:val="yellow"/>
            </w:rPr>
          </w:pPr>
          <w:r>
            <w:rPr>
              <w:rFonts w:hint="eastAsia"/>
              <w:b/>
            </w:rPr>
            <w:t>研发投入资本化的比重大幅变动的原因及其合理性说明</w:t>
          </w:r>
        </w:p>
        <w:p w14:paraId="09EE495E" w14:textId="77777777" w:rsidR="00D21C1F" w:rsidRDefault="00045EC6">
          <w:pPr>
            <w:pStyle w:val="97"/>
          </w:pPr>
          <w:sdt>
            <w:sdtPr>
              <w:rPr>
                <w:rStyle w:val="50"/>
                <w:b w:val="0"/>
                <w:bCs w:val="0"/>
                <w:szCs w:val="21"/>
              </w:rPr>
              <w:alias w:val="是否适用：研发投入资本化的比重大幅变动的原因及其合理性说明[双击切换]"/>
              <w:tag w:val="_GBC_5816fe49eead4f4e99863524ffdbe55b"/>
              <w:id w:val="-1257900435"/>
              <w:lock w:val="sdtLocked"/>
              <w:placeholder>
                <w:docPart w:val="GBC22222222222222222222222222222"/>
              </w:placeholder>
            </w:sdtPr>
            <w:sdtEndPr>
              <w:rPr>
                <w:rStyle w:val="50"/>
              </w:rPr>
            </w:sdtEndPr>
            <w:sdtContent>
              <w:r w:rsidR="00A42880">
                <w:rPr>
                  <w:rStyle w:val="50"/>
                  <w:b w:val="0"/>
                  <w:bCs w:val="0"/>
                  <w:szCs w:val="21"/>
                </w:rPr>
                <w:fldChar w:fldCharType="begin"/>
              </w:r>
              <w:r w:rsidR="00A42880">
                <w:rPr>
                  <w:rStyle w:val="50"/>
                  <w:b w:val="0"/>
                  <w:bCs w:val="0"/>
                  <w:szCs w:val="21"/>
                </w:rPr>
                <w:instrText xml:space="preserve"> MACROBUTTON  SnrToggleCheckbox □适用 </w:instrText>
              </w:r>
              <w:r w:rsidR="00A42880">
                <w:rPr>
                  <w:rStyle w:val="50"/>
                  <w:b w:val="0"/>
                  <w:bCs w:val="0"/>
                  <w:szCs w:val="21"/>
                </w:rPr>
                <w:fldChar w:fldCharType="end"/>
              </w:r>
              <w:r w:rsidR="00A42880">
                <w:rPr>
                  <w:rStyle w:val="50"/>
                  <w:b w:val="0"/>
                  <w:bCs w:val="0"/>
                  <w:szCs w:val="21"/>
                </w:rPr>
                <w:fldChar w:fldCharType="begin"/>
              </w:r>
              <w:r w:rsidR="00A42880">
                <w:rPr>
                  <w:rStyle w:val="50"/>
                  <w:b w:val="0"/>
                  <w:bCs w:val="0"/>
                  <w:szCs w:val="21"/>
                </w:rPr>
                <w:instrText xml:space="preserve"> MACROBUTTON  SnrToggleCheckbox √不适用 </w:instrText>
              </w:r>
              <w:r w:rsidR="00A42880">
                <w:rPr>
                  <w:rStyle w:val="50"/>
                  <w:b w:val="0"/>
                  <w:bCs w:val="0"/>
                  <w:szCs w:val="21"/>
                </w:rPr>
                <w:fldChar w:fldCharType="end"/>
              </w:r>
            </w:sdtContent>
          </w:sdt>
          <w:bookmarkEnd w:id="44"/>
        </w:p>
        <w:p w14:paraId="1581622F" w14:textId="77777777" w:rsidR="00D21C1F" w:rsidRDefault="00045EC6">
          <w:pPr>
            <w:sectPr w:rsidR="00D21C1F">
              <w:pgSz w:w="11906" w:h="16838"/>
              <w:pgMar w:top="1525" w:right="1276" w:bottom="1440" w:left="1797" w:header="851" w:footer="992" w:gutter="0"/>
              <w:cols w:space="425"/>
              <w:docGrid w:linePitch="312"/>
            </w:sectPr>
          </w:pPr>
        </w:p>
      </w:sdtContent>
    </w:sdt>
    <w:bookmarkEnd w:id="45"/>
    <w:p w14:paraId="1FA0600C" w14:textId="77777777" w:rsidR="00D21C1F" w:rsidRDefault="00D21C1F">
      <w:pPr>
        <w:pStyle w:val="97"/>
      </w:pPr>
    </w:p>
    <w:bookmarkEnd w:id="39" w:displacedByCustomXml="next"/>
    <w:bookmarkStart w:id="46" w:name="_Hlk42789987" w:displacedByCustomXml="next"/>
    <w:sdt>
      <w:sdtPr>
        <w:rPr>
          <w:rFonts w:ascii="宋体" w:eastAsiaTheme="minorEastAsia" w:hAnsi="宋体" w:cs="宋体" w:hint="eastAsia"/>
          <w:b w:val="0"/>
          <w:bCs w:val="0"/>
          <w:kern w:val="0"/>
          <w:szCs w:val="24"/>
        </w:rPr>
        <w:alias w:val="模块:在研项目情况"/>
        <w:tag w:val="_SEC_4205c3b70eea471a95a362c209eb94a6"/>
        <w:id w:val="-1557698233"/>
        <w:lock w:val="sdtLocked"/>
        <w:placeholder>
          <w:docPart w:val="GBC22222222222222222222222222222"/>
        </w:placeholder>
      </w:sdtPr>
      <w:sdtEndPr/>
      <w:sdtContent>
        <w:p w14:paraId="66915DF6" w14:textId="77777777" w:rsidR="00D21C1F" w:rsidRDefault="00A42880">
          <w:pPr>
            <w:pStyle w:val="3"/>
            <w:numPr>
              <w:ilvl w:val="0"/>
              <w:numId w:val="11"/>
            </w:numPr>
            <w:rPr>
              <w:rFonts w:ascii="宋体" w:hAnsi="宋体"/>
            </w:rPr>
          </w:pPr>
          <w:r>
            <w:rPr>
              <w:rFonts w:ascii="宋体" w:hAnsi="宋体" w:hint="eastAsia"/>
            </w:rPr>
            <w:t>在研</w:t>
          </w:r>
          <w:r>
            <w:rPr>
              <w:rFonts w:ascii="宋体" w:hAnsi="宋体"/>
            </w:rPr>
            <w:t>项目情况</w:t>
          </w:r>
        </w:p>
        <w:sdt>
          <w:sdtPr>
            <w:rPr>
              <w:rStyle w:val="50"/>
              <w:rFonts w:hint="eastAsia"/>
              <w:b w:val="0"/>
              <w:szCs w:val="21"/>
            </w:rPr>
            <w:alias w:val="是否适用：在研项目情况[双击切换]"/>
            <w:tag w:val="_GBC_32a479cbe7be491292860518537abaee"/>
            <w:id w:val="1263497886"/>
            <w:lock w:val="sdtLocked"/>
            <w:placeholder>
              <w:docPart w:val="GBC22222222222222222222222222222"/>
            </w:placeholder>
          </w:sdtPr>
          <w:sdtEndPr>
            <w:rPr>
              <w:rStyle w:val="50"/>
            </w:rPr>
          </w:sdtEndPr>
          <w:sdtContent>
            <w:p w14:paraId="71CE89A5" w14:textId="77777777" w:rsidR="00D21C1F" w:rsidRDefault="00A42880">
              <w:pPr>
                <w:rPr>
                  <w:rStyle w:val="50"/>
                  <w:b w:val="0"/>
                  <w:szCs w:val="21"/>
                </w:rPr>
              </w:pPr>
              <w:r>
                <w:rPr>
                  <w:rStyle w:val="50"/>
                  <w:b w:val="0"/>
                  <w:szCs w:val="21"/>
                </w:rPr>
                <w:fldChar w:fldCharType="begin"/>
              </w:r>
              <w:r>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1B8372A2" w14:textId="77777777" w:rsidR="00D21C1F" w:rsidRDefault="00A42880">
          <w:pPr>
            <w:ind w:right="210"/>
            <w:jc w:val="right"/>
            <w:rPr>
              <w:bCs/>
              <w:kern w:val="2"/>
              <w:szCs w:val="21"/>
            </w:rPr>
          </w:pPr>
          <w:r>
            <w:rPr>
              <w:rFonts w:hint="eastAsia"/>
              <w:szCs w:val="21"/>
            </w:rPr>
            <w:t>单位：</w:t>
          </w:r>
          <w:sdt>
            <w:sdtPr>
              <w:rPr>
                <w:rFonts w:hint="eastAsia"/>
                <w:szCs w:val="21"/>
              </w:rPr>
              <w:alias w:val="单位：在研项目情况"/>
              <w:tag w:val="_GBC_e3f1bb544a334b08aca7a93e9b88440e"/>
              <w:id w:val="1863397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万元</w:t>
              </w:r>
            </w:sdtContent>
          </w:sdt>
        </w:p>
        <w:tbl>
          <w:tblPr>
            <w:tblStyle w:val="88"/>
            <w:tblW w:w="140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127"/>
            <w:gridCol w:w="1134"/>
            <w:gridCol w:w="993"/>
            <w:gridCol w:w="1134"/>
            <w:gridCol w:w="1950"/>
            <w:gridCol w:w="2019"/>
            <w:gridCol w:w="1701"/>
            <w:gridCol w:w="3349"/>
          </w:tblGrid>
          <w:tr w:rsidR="00D21C1F" w14:paraId="4A9A8A6F" w14:textId="77777777">
            <w:tc>
              <w:tcPr>
                <w:tcW w:w="682" w:type="dxa"/>
                <w:shd w:val="clear" w:color="auto" w:fill="auto"/>
                <w:vAlign w:val="center"/>
              </w:tcPr>
              <w:sdt>
                <w:sdtPr>
                  <w:rPr>
                    <w:rFonts w:ascii="Times New Roman" w:hAnsi="Times New Roman" w:cs="Times New Roman"/>
                  </w:rPr>
                  <w:tag w:val="_PLD_b9392addd70446e4b077a92aa408c245"/>
                  <w:id w:val="1359622426"/>
                  <w:lock w:val="sdtLocked"/>
                </w:sdtPr>
                <w:sdtEndPr/>
                <w:sdtContent>
                  <w:p w14:paraId="1CD175B7" w14:textId="77777777" w:rsidR="00D21C1F" w:rsidRDefault="00A42880">
                    <w:pPr>
                      <w:jc w:val="center"/>
                      <w:rPr>
                        <w:rFonts w:ascii="Times New Roman" w:hAnsi="Times New Roman" w:cs="Times New Roman"/>
                      </w:rPr>
                    </w:pPr>
                    <w:r>
                      <w:rPr>
                        <w:rFonts w:ascii="Times New Roman" w:hAnsi="Times New Roman" w:cs="Times New Roman"/>
                      </w:rPr>
                      <w:t>序号</w:t>
                    </w:r>
                  </w:p>
                </w:sdtContent>
              </w:sdt>
            </w:tc>
            <w:tc>
              <w:tcPr>
                <w:tcW w:w="1127" w:type="dxa"/>
                <w:shd w:val="clear" w:color="auto" w:fill="auto"/>
                <w:vAlign w:val="center"/>
              </w:tcPr>
              <w:sdt>
                <w:sdtPr>
                  <w:rPr>
                    <w:rFonts w:ascii="Times New Roman" w:hAnsi="Times New Roman" w:cs="Times New Roman"/>
                  </w:rPr>
                  <w:tag w:val="_PLD_26d6c8b5251f4407b59b321345390203"/>
                  <w:id w:val="-162390785"/>
                  <w:lock w:val="sdtLocked"/>
                </w:sdtPr>
                <w:sdtEndPr/>
                <w:sdtContent>
                  <w:p w14:paraId="2A9D9E2F" w14:textId="77777777" w:rsidR="00D21C1F" w:rsidRDefault="00A42880">
                    <w:pPr>
                      <w:jc w:val="both"/>
                      <w:rPr>
                        <w:rFonts w:ascii="Times New Roman" w:hAnsi="Times New Roman" w:cs="Times New Roman"/>
                      </w:rPr>
                    </w:pPr>
                    <w:r>
                      <w:rPr>
                        <w:rFonts w:ascii="Times New Roman" w:hAnsi="Times New Roman" w:cs="Times New Roman"/>
                      </w:rPr>
                      <w:t>项目名称</w:t>
                    </w:r>
                  </w:p>
                </w:sdtContent>
              </w:sdt>
            </w:tc>
            <w:tc>
              <w:tcPr>
                <w:tcW w:w="1134" w:type="dxa"/>
                <w:shd w:val="clear" w:color="auto" w:fill="auto"/>
                <w:vAlign w:val="center"/>
              </w:tcPr>
              <w:sdt>
                <w:sdtPr>
                  <w:rPr>
                    <w:rFonts w:ascii="Times New Roman" w:hAnsi="Times New Roman" w:cs="Times New Roman"/>
                  </w:rPr>
                  <w:tag w:val="_PLD_c198e0ecff0b470e91b6c6ea6422b513"/>
                  <w:id w:val="-1071568081"/>
                  <w:lock w:val="sdtLocked"/>
                </w:sdtPr>
                <w:sdtEndPr/>
                <w:sdtContent>
                  <w:p w14:paraId="7BCA4D75" w14:textId="77777777" w:rsidR="00D21C1F" w:rsidRDefault="00A42880">
                    <w:pPr>
                      <w:jc w:val="center"/>
                      <w:rPr>
                        <w:rFonts w:ascii="Times New Roman" w:hAnsi="Times New Roman" w:cs="Times New Roman"/>
                      </w:rPr>
                    </w:pPr>
                    <w:r>
                      <w:rPr>
                        <w:rFonts w:ascii="Times New Roman" w:hAnsi="Times New Roman" w:cs="Times New Roman"/>
                      </w:rPr>
                      <w:t>预计总投资规模</w:t>
                    </w:r>
                  </w:p>
                </w:sdtContent>
              </w:sdt>
            </w:tc>
            <w:tc>
              <w:tcPr>
                <w:tcW w:w="993" w:type="dxa"/>
                <w:shd w:val="clear" w:color="auto" w:fill="auto"/>
                <w:vAlign w:val="center"/>
              </w:tcPr>
              <w:sdt>
                <w:sdtPr>
                  <w:rPr>
                    <w:rFonts w:ascii="Times New Roman" w:hAnsi="Times New Roman" w:cs="Times New Roman"/>
                  </w:rPr>
                  <w:tag w:val="_PLD_84be2a6faf354001b76d10a7b2286e93"/>
                  <w:id w:val="-359973123"/>
                  <w:lock w:val="sdtLocked"/>
                </w:sdtPr>
                <w:sdtEndPr/>
                <w:sdtContent>
                  <w:p w14:paraId="1B0A8049" w14:textId="77777777" w:rsidR="00D21C1F" w:rsidRDefault="00A42880">
                    <w:pPr>
                      <w:jc w:val="center"/>
                      <w:rPr>
                        <w:rFonts w:ascii="Times New Roman" w:hAnsi="Times New Roman" w:cs="Times New Roman"/>
                      </w:rPr>
                    </w:pPr>
                    <w:r>
                      <w:rPr>
                        <w:rFonts w:ascii="Times New Roman" w:hAnsi="Times New Roman" w:cs="Times New Roman"/>
                      </w:rPr>
                      <w:t>本期投入金额</w:t>
                    </w:r>
                  </w:p>
                </w:sdtContent>
              </w:sdt>
            </w:tc>
            <w:tc>
              <w:tcPr>
                <w:tcW w:w="1134" w:type="dxa"/>
                <w:shd w:val="clear" w:color="auto" w:fill="auto"/>
                <w:vAlign w:val="center"/>
              </w:tcPr>
              <w:sdt>
                <w:sdtPr>
                  <w:rPr>
                    <w:rFonts w:ascii="Times New Roman" w:hAnsi="Times New Roman" w:cs="Times New Roman"/>
                  </w:rPr>
                  <w:tag w:val="_PLD_0ac1f3050a2d4b4bb6c34b951c96b3f6"/>
                  <w:id w:val="-1080518327"/>
                  <w:lock w:val="sdtLocked"/>
                </w:sdtPr>
                <w:sdtEndPr/>
                <w:sdtContent>
                  <w:p w14:paraId="7CE830E1" w14:textId="77777777" w:rsidR="00D21C1F" w:rsidRDefault="00A42880">
                    <w:pPr>
                      <w:jc w:val="center"/>
                      <w:rPr>
                        <w:rFonts w:ascii="Times New Roman" w:hAnsi="Times New Roman" w:cs="Times New Roman"/>
                      </w:rPr>
                    </w:pPr>
                    <w:r>
                      <w:rPr>
                        <w:rFonts w:ascii="Times New Roman" w:hAnsi="Times New Roman" w:cs="Times New Roman"/>
                      </w:rPr>
                      <w:t>累计投入金额</w:t>
                    </w:r>
                  </w:p>
                </w:sdtContent>
              </w:sdt>
            </w:tc>
            <w:tc>
              <w:tcPr>
                <w:tcW w:w="1950" w:type="dxa"/>
                <w:shd w:val="clear" w:color="auto" w:fill="auto"/>
                <w:vAlign w:val="center"/>
              </w:tcPr>
              <w:sdt>
                <w:sdtPr>
                  <w:rPr>
                    <w:rFonts w:ascii="Times New Roman" w:hAnsi="Times New Roman" w:cs="Times New Roman"/>
                  </w:rPr>
                  <w:tag w:val="_PLD_1b211320015e470f96c6b44d5279c624"/>
                  <w:id w:val="-426809858"/>
                  <w:lock w:val="sdtLocked"/>
                </w:sdtPr>
                <w:sdtEndPr/>
                <w:sdtContent>
                  <w:p w14:paraId="72A82910" w14:textId="77777777" w:rsidR="00D21C1F" w:rsidRDefault="00A42880">
                    <w:pPr>
                      <w:jc w:val="center"/>
                      <w:rPr>
                        <w:rFonts w:ascii="Times New Roman" w:hAnsi="Times New Roman" w:cs="Times New Roman"/>
                      </w:rPr>
                    </w:pPr>
                    <w:r>
                      <w:rPr>
                        <w:rFonts w:ascii="Times New Roman" w:hAnsi="Times New Roman" w:cs="Times New Roman"/>
                      </w:rPr>
                      <w:t>进展或阶段性成果</w:t>
                    </w:r>
                  </w:p>
                </w:sdtContent>
              </w:sdt>
            </w:tc>
            <w:tc>
              <w:tcPr>
                <w:tcW w:w="2019" w:type="dxa"/>
                <w:shd w:val="clear" w:color="auto" w:fill="auto"/>
                <w:vAlign w:val="center"/>
              </w:tcPr>
              <w:sdt>
                <w:sdtPr>
                  <w:rPr>
                    <w:rFonts w:ascii="Times New Roman" w:hAnsi="Times New Roman" w:cs="Times New Roman"/>
                  </w:rPr>
                  <w:tag w:val="_PLD_95fc6e5046ad4199be7ccb049fcd5133"/>
                  <w:id w:val="658657054"/>
                  <w:lock w:val="sdtLocked"/>
                </w:sdtPr>
                <w:sdtEndPr/>
                <w:sdtContent>
                  <w:p w14:paraId="383C386F" w14:textId="77777777" w:rsidR="00D21C1F" w:rsidRDefault="00A42880">
                    <w:pPr>
                      <w:jc w:val="center"/>
                      <w:rPr>
                        <w:rFonts w:ascii="Times New Roman" w:hAnsi="Times New Roman" w:cs="Times New Roman"/>
                      </w:rPr>
                    </w:pPr>
                    <w:r>
                      <w:rPr>
                        <w:rFonts w:ascii="Times New Roman" w:hAnsi="Times New Roman" w:cs="Times New Roman"/>
                      </w:rPr>
                      <w:t>拟达到目标</w:t>
                    </w:r>
                  </w:p>
                </w:sdtContent>
              </w:sdt>
            </w:tc>
            <w:tc>
              <w:tcPr>
                <w:tcW w:w="1701" w:type="dxa"/>
                <w:shd w:val="clear" w:color="auto" w:fill="auto"/>
                <w:vAlign w:val="center"/>
              </w:tcPr>
              <w:sdt>
                <w:sdtPr>
                  <w:rPr>
                    <w:rFonts w:ascii="Times New Roman" w:hAnsi="Times New Roman" w:cs="Times New Roman"/>
                  </w:rPr>
                  <w:tag w:val="_PLD_3828bc0bf4f04288b1b9769f9b495a0a"/>
                  <w:id w:val="2081709744"/>
                  <w:lock w:val="sdtLocked"/>
                </w:sdtPr>
                <w:sdtEndPr/>
                <w:sdtContent>
                  <w:p w14:paraId="794DCA45" w14:textId="77777777" w:rsidR="00D21C1F" w:rsidRDefault="00A42880">
                    <w:pPr>
                      <w:jc w:val="center"/>
                      <w:rPr>
                        <w:rFonts w:ascii="Times New Roman" w:hAnsi="Times New Roman" w:cs="Times New Roman"/>
                      </w:rPr>
                    </w:pPr>
                    <w:r>
                      <w:rPr>
                        <w:rFonts w:ascii="Times New Roman" w:hAnsi="Times New Roman" w:cs="Times New Roman"/>
                      </w:rPr>
                      <w:t>技术水平</w:t>
                    </w:r>
                  </w:p>
                </w:sdtContent>
              </w:sdt>
            </w:tc>
            <w:tc>
              <w:tcPr>
                <w:tcW w:w="3349" w:type="dxa"/>
                <w:shd w:val="clear" w:color="auto" w:fill="auto"/>
                <w:vAlign w:val="center"/>
              </w:tcPr>
              <w:sdt>
                <w:sdtPr>
                  <w:rPr>
                    <w:rFonts w:ascii="Times New Roman" w:hAnsi="Times New Roman" w:cs="Times New Roman"/>
                  </w:rPr>
                  <w:tag w:val="_PLD_8f169df836364c3ebbe60e92cdc6e443"/>
                  <w:id w:val="-631404189"/>
                  <w:lock w:val="sdtLocked"/>
                </w:sdtPr>
                <w:sdtEndPr/>
                <w:sdtContent>
                  <w:p w14:paraId="3855B200" w14:textId="77777777" w:rsidR="00D21C1F" w:rsidRDefault="00A42880">
                    <w:pPr>
                      <w:jc w:val="center"/>
                      <w:rPr>
                        <w:rFonts w:ascii="Times New Roman" w:hAnsi="Times New Roman" w:cs="Times New Roman"/>
                      </w:rPr>
                    </w:pPr>
                    <w:r>
                      <w:rPr>
                        <w:rFonts w:ascii="Times New Roman" w:hAnsi="Times New Roman" w:cs="Times New Roman"/>
                      </w:rPr>
                      <w:t>具体应用前景</w:t>
                    </w:r>
                  </w:p>
                </w:sdtContent>
              </w:sdt>
            </w:tc>
          </w:tr>
          <w:sdt>
            <w:sdtPr>
              <w:rPr>
                <w:rFonts w:ascii="Times New Roman" w:hAnsi="Times New Roman" w:cs="Times New Roman"/>
              </w:rPr>
              <w:alias w:val="在研项目情况明细"/>
              <w:tag w:val="_TUP_9ddfad86f77e4024ab38f89df3f23e23"/>
              <w:id w:val="-81523169"/>
              <w:lock w:val="sdtLocked"/>
              <w:placeholder>
                <w:docPart w:val="BD03748146ED43BEA71869DA6577BA52"/>
              </w:placeholder>
            </w:sdtPr>
            <w:sdtEndPr/>
            <w:sdtContent>
              <w:tr w:rsidR="00D21C1F" w14:paraId="6545F5E4" w14:textId="77777777">
                <w:tc>
                  <w:tcPr>
                    <w:tcW w:w="682" w:type="dxa"/>
                    <w:shd w:val="clear" w:color="auto" w:fill="auto"/>
                  </w:tcPr>
                  <w:p w14:paraId="25BD9566" w14:textId="77777777" w:rsidR="00D21C1F" w:rsidRDefault="00A42880">
                    <w:pPr>
                      <w:rPr>
                        <w:rFonts w:ascii="Times New Roman" w:hAnsi="Times New Roman" w:cs="Times New Roman"/>
                      </w:rPr>
                    </w:pPr>
                    <w:r>
                      <w:rPr>
                        <w:rFonts w:ascii="Times New Roman" w:hAnsi="Times New Roman" w:cs="Times New Roman"/>
                      </w:rPr>
                      <w:t>1</w:t>
                    </w:r>
                  </w:p>
                </w:tc>
                <w:tc>
                  <w:tcPr>
                    <w:tcW w:w="1127" w:type="dxa"/>
                    <w:shd w:val="clear" w:color="auto" w:fill="auto"/>
                  </w:tcPr>
                  <w:p w14:paraId="7519320F" w14:textId="77777777" w:rsidR="00D21C1F" w:rsidRDefault="00A42880">
                    <w:pPr>
                      <w:jc w:val="both"/>
                      <w:rPr>
                        <w:rFonts w:ascii="Times New Roman" w:hAnsi="Times New Roman" w:cs="Times New Roman"/>
                      </w:rPr>
                    </w:pPr>
                    <w:r>
                      <w:rPr>
                        <w:rFonts w:ascii="Times New Roman" w:hAnsi="Times New Roman" w:cs="Times New Roman"/>
                      </w:rPr>
                      <w:t>机器人打磨测试工作站项目</w:t>
                    </w:r>
                  </w:p>
                </w:tc>
                <w:tc>
                  <w:tcPr>
                    <w:tcW w:w="1134" w:type="dxa"/>
                    <w:shd w:val="clear" w:color="auto" w:fill="auto"/>
                  </w:tcPr>
                  <w:p w14:paraId="62A258A4"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317.90</w:t>
                    </w:r>
                  </w:p>
                </w:tc>
                <w:tc>
                  <w:tcPr>
                    <w:tcW w:w="993" w:type="dxa"/>
                    <w:shd w:val="clear" w:color="auto" w:fill="auto"/>
                  </w:tcPr>
                  <w:p w14:paraId="092F7AB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81.64</w:t>
                    </w:r>
                  </w:p>
                </w:tc>
                <w:tc>
                  <w:tcPr>
                    <w:tcW w:w="1134" w:type="dxa"/>
                    <w:shd w:val="clear" w:color="auto" w:fill="auto"/>
                  </w:tcPr>
                  <w:p w14:paraId="7D82E6D0"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196.34</w:t>
                    </w:r>
                  </w:p>
                </w:tc>
                <w:tc>
                  <w:tcPr>
                    <w:tcW w:w="1950" w:type="dxa"/>
                    <w:shd w:val="clear" w:color="auto" w:fill="auto"/>
                  </w:tcPr>
                  <w:p w14:paraId="21DDA5D6"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）采用线激光传感器扫描，自动识别毛刺的位置、高度和厚度，毛刺扫描获取正确；</w:t>
                    </w:r>
                  </w:p>
                  <w:p w14:paraId="4F2FC85A"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）实现毛刺点云数据提取，并生成毛刺信息，导入机器人离线编程软件，自动生成机器人打磨轨迹，同时在离线平台可对打磨切削量，打磨速度等工艺参数进行设定；</w:t>
                    </w:r>
                  </w:p>
                  <w:p w14:paraId="7725F4B7"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）已实现机器人程序在线下载；</w:t>
                    </w:r>
                    <w:r>
                      <w:rPr>
                        <w:rFonts w:ascii="Times New Roman" w:hAnsi="Times New Roman" w:cs="Times New Roman"/>
                      </w:rPr>
                      <w:t>4</w:t>
                    </w:r>
                    <w:r>
                      <w:rPr>
                        <w:rFonts w:ascii="Times New Roman" w:hAnsi="Times New Roman" w:cs="Times New Roman"/>
                      </w:rPr>
                      <w:t>）工作站相关设备或部件已完成标准化设计，作为企业标准执行。</w:t>
                    </w:r>
                  </w:p>
                </w:tc>
                <w:tc>
                  <w:tcPr>
                    <w:tcW w:w="2019" w:type="dxa"/>
                    <w:shd w:val="clear" w:color="auto" w:fill="auto"/>
                  </w:tcPr>
                  <w:p w14:paraId="062A1063"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）金刚石砂轮性能测试；</w:t>
                    </w:r>
                  </w:p>
                  <w:p w14:paraId="16C35BD7"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）针对不同打磨工件材质的树脂砂轮性能测试；</w:t>
                    </w:r>
                  </w:p>
                  <w:p w14:paraId="5FA71195" w14:textId="77777777" w:rsidR="00D21C1F" w:rsidRDefault="00A42880">
                    <w:pPr>
                      <w:jc w:val="both"/>
                      <w:rPr>
                        <w:rFonts w:ascii="Times New Roman" w:hAnsi="Times New Roman" w:cs="Times New Roman"/>
                      </w:rPr>
                    </w:pPr>
                    <w:r>
                      <w:rPr>
                        <w:rFonts w:ascii="Times New Roman" w:hAnsi="Times New Roman" w:cs="Times New Roman"/>
                      </w:rPr>
                      <w:t xml:space="preserve"> 3</w:t>
                    </w:r>
                    <w:r>
                      <w:rPr>
                        <w:rFonts w:ascii="Times New Roman" w:hAnsi="Times New Roman" w:cs="Times New Roman"/>
                      </w:rPr>
                      <w:t>）浮动打磨机的改进（技术优化和国产化）测试</w:t>
                    </w:r>
                  </w:p>
                  <w:p w14:paraId="275A7019" w14:textId="77777777" w:rsidR="00D21C1F" w:rsidRDefault="00A42880">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）埃夫特机器人应用于打磨领域的性能测试；</w:t>
                    </w:r>
                  </w:p>
                  <w:p w14:paraId="538B494B" w14:textId="77777777" w:rsidR="00D21C1F" w:rsidRDefault="00A42880">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）图形化离线编程技术与打磨应用结合，实现快速人工编程；</w:t>
                    </w:r>
                  </w:p>
                  <w:p w14:paraId="2187B6C3" w14:textId="77777777" w:rsidR="00D21C1F" w:rsidRDefault="00A42880">
                    <w:pPr>
                      <w:jc w:val="both"/>
                      <w:rPr>
                        <w:rFonts w:ascii="Times New Roman" w:hAnsi="Times New Roman" w:cs="Times New Roman"/>
                      </w:rPr>
                    </w:pPr>
                    <w:r>
                      <w:rPr>
                        <w:rFonts w:ascii="Times New Roman" w:hAnsi="Times New Roman" w:cs="Times New Roman"/>
                      </w:rPr>
                      <w:t xml:space="preserve"> 6</w:t>
                    </w:r>
                    <w:r>
                      <w:rPr>
                        <w:rFonts w:ascii="Times New Roman" w:hAnsi="Times New Roman" w:cs="Times New Roman"/>
                      </w:rPr>
                      <w:t>）打磨节拍的分析；</w:t>
                    </w:r>
                  </w:p>
                  <w:p w14:paraId="6E7B1B9F" w14:textId="77777777" w:rsidR="00D21C1F" w:rsidRDefault="00A42880">
                    <w:pPr>
                      <w:jc w:val="both"/>
                      <w:rPr>
                        <w:rFonts w:ascii="Times New Roman" w:hAnsi="Times New Roman" w:cs="Times New Roman"/>
                      </w:rPr>
                    </w:pPr>
                    <w:r>
                      <w:rPr>
                        <w:rFonts w:ascii="Times New Roman" w:hAnsi="Times New Roman" w:cs="Times New Roman"/>
                      </w:rPr>
                      <w:t>7</w:t>
                    </w:r>
                    <w:r>
                      <w:rPr>
                        <w:rFonts w:ascii="Times New Roman" w:hAnsi="Times New Roman" w:cs="Times New Roman"/>
                      </w:rPr>
                      <w:t>）基于视觉或者其他传感器的毛刺测量，实现机器人自动编程和打磨，满足客户多品种小批量的需求。</w:t>
                    </w:r>
                  </w:p>
                </w:tc>
                <w:tc>
                  <w:tcPr>
                    <w:tcW w:w="1701" w:type="dxa"/>
                    <w:shd w:val="clear" w:color="auto" w:fill="auto"/>
                  </w:tcPr>
                  <w:p w14:paraId="03DF993A" w14:textId="77777777" w:rsidR="00D21C1F" w:rsidRDefault="00A42880">
                    <w:pPr>
                      <w:jc w:val="both"/>
                      <w:rPr>
                        <w:rFonts w:ascii="Times New Roman" w:hAnsi="Times New Roman" w:cs="Times New Roman"/>
                      </w:rPr>
                    </w:pPr>
                    <w:r>
                      <w:rPr>
                        <w:rFonts w:ascii="Times New Roman" w:hAnsi="Times New Roman" w:cs="Times New Roman"/>
                      </w:rPr>
                      <w:t>国内领先</w:t>
                    </w:r>
                  </w:p>
                </w:tc>
                <w:tc>
                  <w:tcPr>
                    <w:tcW w:w="3349" w:type="dxa"/>
                    <w:shd w:val="clear" w:color="auto" w:fill="auto"/>
                  </w:tcPr>
                  <w:p w14:paraId="3406004A" w14:textId="77777777" w:rsidR="00D21C1F" w:rsidRDefault="00A42880">
                    <w:pPr>
                      <w:jc w:val="both"/>
                      <w:rPr>
                        <w:rFonts w:ascii="Times New Roman" w:hAnsi="Times New Roman" w:cs="Times New Roman"/>
                      </w:rPr>
                    </w:pPr>
                    <w:r>
                      <w:rPr>
                        <w:rFonts w:ascii="Times New Roman" w:hAnsi="Times New Roman" w:cs="Times New Roman"/>
                      </w:rPr>
                      <w:t>打磨（含抛光）是需求量仅次于焊接的机器人应用场景，智能化打磨工作站，能有效降低工件切换所需的编程时间，大幅提高机器人系统生产效率，目前国内外机器人厂家在该领域都处于起步状态，需求明确，前景广阔。</w:t>
                    </w:r>
                  </w:p>
                </w:tc>
              </w:tr>
            </w:sdtContent>
          </w:sdt>
          <w:sdt>
            <w:sdtPr>
              <w:rPr>
                <w:rFonts w:ascii="Times New Roman" w:hAnsi="Times New Roman" w:cs="Times New Roman"/>
              </w:rPr>
              <w:alias w:val="在研项目情况明细"/>
              <w:tag w:val="_TUP_9ddfad86f77e4024ab38f89df3f23e23"/>
              <w:id w:val="1829938428"/>
              <w:lock w:val="sdtLocked"/>
              <w:placeholder>
                <w:docPart w:val="BD03748146ED43BEA71869DA6577BA52"/>
              </w:placeholder>
            </w:sdtPr>
            <w:sdtEndPr/>
            <w:sdtContent>
              <w:tr w:rsidR="00D21C1F" w14:paraId="5C33B142" w14:textId="77777777">
                <w:tc>
                  <w:tcPr>
                    <w:tcW w:w="682" w:type="dxa"/>
                    <w:shd w:val="clear" w:color="auto" w:fill="auto"/>
                  </w:tcPr>
                  <w:p w14:paraId="47F711F5" w14:textId="77777777" w:rsidR="00D21C1F" w:rsidRDefault="00A42880">
                    <w:pPr>
                      <w:rPr>
                        <w:rFonts w:ascii="Times New Roman" w:hAnsi="Times New Roman" w:cs="Times New Roman"/>
                      </w:rPr>
                    </w:pPr>
                    <w:r>
                      <w:rPr>
                        <w:rFonts w:ascii="Times New Roman" w:hAnsi="Times New Roman" w:cs="Times New Roman"/>
                      </w:rPr>
                      <w:t>2</w:t>
                    </w:r>
                  </w:p>
                </w:tc>
                <w:tc>
                  <w:tcPr>
                    <w:tcW w:w="1127" w:type="dxa"/>
                    <w:shd w:val="clear" w:color="auto" w:fill="auto"/>
                  </w:tcPr>
                  <w:p w14:paraId="6C78AD95" w14:textId="77777777" w:rsidR="00D21C1F" w:rsidRDefault="00A42880">
                    <w:pPr>
                      <w:jc w:val="both"/>
                      <w:rPr>
                        <w:rFonts w:ascii="Times New Roman" w:hAnsi="Times New Roman" w:cs="Times New Roman"/>
                      </w:rPr>
                    </w:pPr>
                    <w:r>
                      <w:rPr>
                        <w:rFonts w:ascii="Times New Roman" w:hAnsi="Times New Roman" w:cs="Times New Roman"/>
                      </w:rPr>
                      <w:t>AGV</w:t>
                    </w:r>
                    <w:r>
                      <w:rPr>
                        <w:rFonts w:ascii="Times New Roman" w:hAnsi="Times New Roman" w:cs="Times New Roman"/>
                      </w:rPr>
                      <w:t>小车及</w:t>
                    </w:r>
                    <w:r>
                      <w:rPr>
                        <w:rFonts w:ascii="Times New Roman" w:hAnsi="Times New Roman" w:cs="Times New Roman"/>
                      </w:rPr>
                      <w:t>AGV Manager</w:t>
                    </w:r>
                    <w:r>
                      <w:rPr>
                        <w:rFonts w:ascii="Times New Roman" w:hAnsi="Times New Roman" w:cs="Times New Roman"/>
                      </w:rPr>
                      <w:t>研发</w:t>
                    </w:r>
                  </w:p>
                </w:tc>
                <w:tc>
                  <w:tcPr>
                    <w:tcW w:w="1134" w:type="dxa"/>
                    <w:shd w:val="clear" w:color="auto" w:fill="auto"/>
                  </w:tcPr>
                  <w:p w14:paraId="6CA81534"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300.00</w:t>
                    </w:r>
                  </w:p>
                </w:tc>
                <w:tc>
                  <w:tcPr>
                    <w:tcW w:w="993" w:type="dxa"/>
                    <w:shd w:val="clear" w:color="auto" w:fill="auto"/>
                  </w:tcPr>
                  <w:p w14:paraId="07425146"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56.86</w:t>
                    </w:r>
                  </w:p>
                </w:tc>
                <w:tc>
                  <w:tcPr>
                    <w:tcW w:w="1134" w:type="dxa"/>
                    <w:shd w:val="clear" w:color="auto" w:fill="auto"/>
                  </w:tcPr>
                  <w:p w14:paraId="163494C4"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319.01</w:t>
                    </w:r>
                  </w:p>
                </w:tc>
                <w:tc>
                  <w:tcPr>
                    <w:tcW w:w="1950" w:type="dxa"/>
                    <w:shd w:val="clear" w:color="auto" w:fill="auto"/>
                  </w:tcPr>
                  <w:p w14:paraId="7A3BEEBA"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）客户批量订货，</w:t>
                    </w:r>
                    <w:r>
                      <w:rPr>
                        <w:rFonts w:ascii="Times New Roman" w:hAnsi="Times New Roman" w:cs="Times New Roman" w:hint="eastAsia"/>
                      </w:rPr>
                      <w:t>已实现订单</w:t>
                    </w:r>
                    <w:r>
                      <w:rPr>
                        <w:rFonts w:ascii="Times New Roman" w:hAnsi="Times New Roman" w:cs="Times New Roman"/>
                      </w:rPr>
                      <w:t>700</w:t>
                    </w:r>
                    <w:r>
                      <w:rPr>
                        <w:rFonts w:ascii="Times New Roman" w:hAnsi="Times New Roman" w:cs="Times New Roman"/>
                      </w:rPr>
                      <w:t>万</w:t>
                    </w:r>
                    <w:r>
                      <w:rPr>
                        <w:rFonts w:ascii="Times New Roman" w:hAnsi="Times New Roman" w:cs="Times New Roman" w:hint="eastAsia"/>
                      </w:rPr>
                      <w:t>元人民币</w:t>
                    </w:r>
                    <w:r>
                      <w:rPr>
                        <w:rFonts w:ascii="Times New Roman" w:hAnsi="Times New Roman" w:cs="Times New Roman"/>
                      </w:rPr>
                      <w:t>；</w:t>
                    </w:r>
                  </w:p>
                  <w:p w14:paraId="6842595E"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）已有</w:t>
                    </w:r>
                    <w:r>
                      <w:rPr>
                        <w:rFonts w:ascii="Times New Roman" w:hAnsi="Times New Roman" w:cs="Times New Roman"/>
                      </w:rPr>
                      <w:t>18</w:t>
                    </w:r>
                    <w:r>
                      <w:rPr>
                        <w:rFonts w:ascii="Times New Roman" w:hAnsi="Times New Roman" w:cs="Times New Roman"/>
                      </w:rPr>
                      <w:t>台</w:t>
                    </w:r>
                    <w:r>
                      <w:rPr>
                        <w:rFonts w:ascii="Times New Roman" w:hAnsi="Times New Roman" w:cs="Times New Roman"/>
                      </w:rPr>
                      <w:t>AGV</w:t>
                    </w:r>
                    <w:r>
                      <w:rPr>
                        <w:rFonts w:ascii="Times New Roman" w:hAnsi="Times New Roman" w:cs="Times New Roman"/>
                      </w:rPr>
                      <w:t>配置控制系统现场稳定运行。</w:t>
                    </w:r>
                  </w:p>
                </w:tc>
                <w:tc>
                  <w:tcPr>
                    <w:tcW w:w="2019" w:type="dxa"/>
                    <w:shd w:val="clear" w:color="auto" w:fill="auto"/>
                  </w:tcPr>
                  <w:p w14:paraId="546B5878" w14:textId="77777777" w:rsidR="00D21C1F" w:rsidRDefault="00A42880">
                    <w:pPr>
                      <w:jc w:val="both"/>
                      <w:rPr>
                        <w:rFonts w:ascii="Times New Roman" w:hAnsi="Times New Roman" w:cs="Times New Roman"/>
                      </w:rPr>
                    </w:pPr>
                    <w:r>
                      <w:rPr>
                        <w:rFonts w:ascii="Times New Roman" w:hAnsi="Times New Roman" w:cs="Times New Roman"/>
                      </w:rPr>
                      <w:t>稳定系统，可直接交付客户使用</w:t>
                    </w:r>
                  </w:p>
                </w:tc>
                <w:tc>
                  <w:tcPr>
                    <w:tcW w:w="1701" w:type="dxa"/>
                    <w:shd w:val="clear" w:color="auto" w:fill="auto"/>
                  </w:tcPr>
                  <w:p w14:paraId="352DCDF5" w14:textId="77777777" w:rsidR="00D21C1F" w:rsidRDefault="00A42880">
                    <w:pPr>
                      <w:jc w:val="both"/>
                      <w:rPr>
                        <w:rFonts w:ascii="Times New Roman" w:hAnsi="Times New Roman" w:cs="Times New Roman"/>
                      </w:rPr>
                    </w:pPr>
                    <w:r>
                      <w:rPr>
                        <w:rFonts w:ascii="Times New Roman" w:hAnsi="Times New Roman" w:cs="Times New Roman"/>
                      </w:rPr>
                      <w:t>国内领先，细分行业（化纤织造）全国第一</w:t>
                    </w:r>
                  </w:p>
                </w:tc>
                <w:tc>
                  <w:tcPr>
                    <w:tcW w:w="3349" w:type="dxa"/>
                    <w:shd w:val="clear" w:color="auto" w:fill="auto"/>
                  </w:tcPr>
                  <w:p w14:paraId="39430C17" w14:textId="77777777" w:rsidR="00D21C1F" w:rsidRDefault="00A42880">
                    <w:pPr>
                      <w:jc w:val="both"/>
                      <w:rPr>
                        <w:rFonts w:ascii="Times New Roman" w:hAnsi="Times New Roman" w:cs="Times New Roman"/>
                      </w:rPr>
                    </w:pPr>
                    <w:r>
                      <w:rPr>
                        <w:rFonts w:ascii="Times New Roman" w:hAnsi="Times New Roman" w:cs="Times New Roman"/>
                      </w:rPr>
                      <w:t>目前仅化纤</w:t>
                    </w:r>
                    <w:r>
                      <w:rPr>
                        <w:rFonts w:ascii="Times New Roman" w:hAnsi="Times New Roman" w:cs="Times New Roman" w:hint="eastAsia"/>
                      </w:rPr>
                      <w:t>行业</w:t>
                    </w:r>
                    <w:r>
                      <w:rPr>
                        <w:rFonts w:ascii="Times New Roman" w:hAnsi="Times New Roman" w:cs="Times New Roman"/>
                      </w:rPr>
                      <w:t>全国目标市场</w:t>
                    </w:r>
                    <w:r>
                      <w:rPr>
                        <w:rFonts w:ascii="Times New Roman" w:hAnsi="Times New Roman" w:cs="Times New Roman" w:hint="eastAsia"/>
                      </w:rPr>
                      <w:t>超过</w:t>
                    </w:r>
                    <w:r>
                      <w:rPr>
                        <w:rFonts w:ascii="Times New Roman" w:hAnsi="Times New Roman" w:cs="Times New Roman" w:hint="eastAsia"/>
                      </w:rPr>
                      <w:t>2</w:t>
                    </w:r>
                    <w:r>
                      <w:rPr>
                        <w:rFonts w:ascii="Times New Roman" w:hAnsi="Times New Roman" w:cs="Times New Roman"/>
                      </w:rPr>
                      <w:t>亿</w:t>
                    </w:r>
                    <w:r>
                      <w:rPr>
                        <w:rFonts w:ascii="Times New Roman" w:hAnsi="Times New Roman" w:cs="Times New Roman" w:hint="eastAsia"/>
                      </w:rPr>
                      <w:t>元人民币</w:t>
                    </w:r>
                    <w:r>
                      <w:rPr>
                        <w:rFonts w:ascii="Times New Roman" w:hAnsi="Times New Roman" w:cs="Times New Roman"/>
                      </w:rPr>
                      <w:t>的市场容量，如推广到其他类似重载高精度</w:t>
                    </w:r>
                    <w:r>
                      <w:rPr>
                        <w:rFonts w:ascii="Times New Roman" w:hAnsi="Times New Roman" w:cs="Times New Roman"/>
                      </w:rPr>
                      <w:t>AGV</w:t>
                    </w:r>
                    <w:r>
                      <w:rPr>
                        <w:rFonts w:ascii="Times New Roman" w:hAnsi="Times New Roman" w:cs="Times New Roman"/>
                      </w:rPr>
                      <w:t>场景，市场则更为广阔</w:t>
                    </w:r>
                  </w:p>
                </w:tc>
              </w:tr>
            </w:sdtContent>
          </w:sdt>
          <w:sdt>
            <w:sdtPr>
              <w:rPr>
                <w:rFonts w:ascii="Times New Roman" w:hAnsi="Times New Roman" w:cs="Times New Roman"/>
              </w:rPr>
              <w:alias w:val="在研项目情况明细"/>
              <w:tag w:val="_TUP_9ddfad86f77e4024ab38f89df3f23e23"/>
              <w:id w:val="-1346326316"/>
              <w:lock w:val="sdtLocked"/>
              <w:placeholder>
                <w:docPart w:val="BD03748146ED43BEA71869DA6577BA52"/>
              </w:placeholder>
            </w:sdtPr>
            <w:sdtEndPr/>
            <w:sdtContent>
              <w:tr w:rsidR="00D21C1F" w14:paraId="71571F2F" w14:textId="77777777">
                <w:tc>
                  <w:tcPr>
                    <w:tcW w:w="682" w:type="dxa"/>
                    <w:shd w:val="clear" w:color="auto" w:fill="auto"/>
                  </w:tcPr>
                  <w:p w14:paraId="46242830" w14:textId="77777777" w:rsidR="00D21C1F" w:rsidRDefault="00A42880">
                    <w:pPr>
                      <w:rPr>
                        <w:rFonts w:ascii="Times New Roman" w:hAnsi="Times New Roman" w:cs="Times New Roman"/>
                      </w:rPr>
                    </w:pPr>
                    <w:r>
                      <w:rPr>
                        <w:rFonts w:ascii="Times New Roman" w:hAnsi="Times New Roman" w:cs="Times New Roman"/>
                      </w:rPr>
                      <w:t>3</w:t>
                    </w:r>
                  </w:p>
                </w:tc>
                <w:tc>
                  <w:tcPr>
                    <w:tcW w:w="1127" w:type="dxa"/>
                    <w:shd w:val="clear" w:color="auto" w:fill="auto"/>
                  </w:tcPr>
                  <w:p w14:paraId="742692E6" w14:textId="77777777" w:rsidR="00D21C1F" w:rsidRDefault="00A42880">
                    <w:pPr>
                      <w:jc w:val="both"/>
                      <w:rPr>
                        <w:rFonts w:ascii="Times New Roman" w:hAnsi="Times New Roman" w:cs="Times New Roman"/>
                      </w:rPr>
                    </w:pPr>
                    <w:r>
                      <w:rPr>
                        <w:rFonts w:ascii="Times New Roman" w:hAnsi="Times New Roman" w:cs="Times New Roman"/>
                      </w:rPr>
                      <w:t>激光切割机控制系统开发</w:t>
                    </w:r>
                  </w:p>
                </w:tc>
                <w:tc>
                  <w:tcPr>
                    <w:tcW w:w="1134" w:type="dxa"/>
                    <w:shd w:val="clear" w:color="auto" w:fill="auto"/>
                  </w:tcPr>
                  <w:p w14:paraId="06DE7D1E"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370.00</w:t>
                    </w:r>
                  </w:p>
                </w:tc>
                <w:tc>
                  <w:tcPr>
                    <w:tcW w:w="993" w:type="dxa"/>
                    <w:shd w:val="clear" w:color="auto" w:fill="auto"/>
                  </w:tcPr>
                  <w:p w14:paraId="2072893E"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47.52</w:t>
                    </w:r>
                  </w:p>
                </w:tc>
                <w:tc>
                  <w:tcPr>
                    <w:tcW w:w="1134" w:type="dxa"/>
                    <w:shd w:val="clear" w:color="auto" w:fill="auto"/>
                  </w:tcPr>
                  <w:p w14:paraId="6507E2D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339.73</w:t>
                    </w:r>
                  </w:p>
                </w:tc>
                <w:tc>
                  <w:tcPr>
                    <w:tcW w:w="1950" w:type="dxa"/>
                    <w:shd w:val="clear" w:color="auto" w:fill="auto"/>
                  </w:tcPr>
                  <w:p w14:paraId="7A9651B5"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w:t>
                    </w:r>
                    <w:r>
                      <w:rPr>
                        <w:rFonts w:ascii="Times New Roman" w:hAnsi="Times New Roman" w:cs="Times New Roman"/>
                      </w:rPr>
                      <w:t>90%</w:t>
                    </w:r>
                    <w:r>
                      <w:rPr>
                        <w:rFonts w:ascii="Times New Roman" w:hAnsi="Times New Roman" w:cs="Times New Roman"/>
                      </w:rPr>
                      <w:t>的基本功能；</w:t>
                    </w:r>
                  </w:p>
                  <w:p w14:paraId="73C97367"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）在自动化落料方面完成完整地配套方案。</w:t>
                    </w:r>
                  </w:p>
                </w:tc>
                <w:tc>
                  <w:tcPr>
                    <w:tcW w:w="2019" w:type="dxa"/>
                    <w:shd w:val="clear" w:color="auto" w:fill="auto"/>
                  </w:tcPr>
                  <w:p w14:paraId="125D30EE" w14:textId="77777777" w:rsidR="00D21C1F" w:rsidRDefault="00A42880">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轴标准激光切割控制系统</w:t>
                    </w:r>
                  </w:p>
                </w:tc>
                <w:tc>
                  <w:tcPr>
                    <w:tcW w:w="1701" w:type="dxa"/>
                    <w:shd w:val="clear" w:color="auto" w:fill="auto"/>
                  </w:tcPr>
                  <w:p w14:paraId="1C2ACD57" w14:textId="77777777" w:rsidR="00D21C1F" w:rsidRDefault="00A42880">
                    <w:pPr>
                      <w:jc w:val="both"/>
                      <w:rPr>
                        <w:rFonts w:ascii="Times New Roman" w:hAnsi="Times New Roman" w:cs="Times New Roman"/>
                      </w:rPr>
                    </w:pPr>
                    <w:r>
                      <w:rPr>
                        <w:rFonts w:ascii="Times New Roman" w:hAnsi="Times New Roman" w:cs="Times New Roman"/>
                      </w:rPr>
                      <w:t>业界一般水平，在</w:t>
                    </w:r>
                    <w:r>
                      <w:rPr>
                        <w:rFonts w:ascii="Times New Roman" w:hAnsi="Times New Roman" w:cs="Times New Roman" w:hint="eastAsia"/>
                      </w:rPr>
                      <w:t>运动控制等</w:t>
                    </w:r>
                    <w:r>
                      <w:rPr>
                        <w:rFonts w:ascii="Times New Roman" w:hAnsi="Times New Roman" w:cs="Times New Roman"/>
                      </w:rPr>
                      <w:t>特殊功能定制上有一定特色</w:t>
                    </w:r>
                  </w:p>
                </w:tc>
                <w:tc>
                  <w:tcPr>
                    <w:tcW w:w="3349" w:type="dxa"/>
                    <w:shd w:val="clear" w:color="auto" w:fill="auto"/>
                  </w:tcPr>
                  <w:p w14:paraId="311442E5" w14:textId="77777777" w:rsidR="00D21C1F" w:rsidRDefault="00A42880">
                    <w:pPr>
                      <w:jc w:val="both"/>
                      <w:rPr>
                        <w:rFonts w:ascii="Times New Roman" w:hAnsi="Times New Roman" w:cs="Times New Roman"/>
                      </w:rPr>
                    </w:pPr>
                    <w:r>
                      <w:rPr>
                        <w:rFonts w:ascii="Times New Roman" w:hAnsi="Times New Roman" w:cs="Times New Roman"/>
                      </w:rPr>
                      <w:t>该目标市场全国年度销售额潜力</w:t>
                    </w:r>
                    <w:r>
                      <w:rPr>
                        <w:rFonts w:ascii="Times New Roman" w:hAnsi="Times New Roman" w:cs="Times New Roman"/>
                      </w:rPr>
                      <w:t>2</w:t>
                    </w:r>
                    <w:r>
                      <w:rPr>
                        <w:rFonts w:ascii="Times New Roman" w:hAnsi="Times New Roman" w:cs="Times New Roman"/>
                      </w:rPr>
                      <w:t>亿</w:t>
                    </w:r>
                    <w:r>
                      <w:rPr>
                        <w:rFonts w:ascii="Times New Roman" w:hAnsi="Times New Roman" w:cs="Times New Roman" w:hint="eastAsia"/>
                      </w:rPr>
                      <w:t>元人民币</w:t>
                    </w:r>
                  </w:p>
                </w:tc>
              </w:tr>
            </w:sdtContent>
          </w:sdt>
          <w:sdt>
            <w:sdtPr>
              <w:rPr>
                <w:rFonts w:ascii="Times New Roman" w:hAnsi="Times New Roman" w:cs="Times New Roman"/>
              </w:rPr>
              <w:alias w:val="在研项目情况明细"/>
              <w:tag w:val="_TUP_9ddfad86f77e4024ab38f89df3f23e23"/>
              <w:id w:val="-480849505"/>
              <w:lock w:val="sdtLocked"/>
              <w:placeholder>
                <w:docPart w:val="BD03748146ED43BEA71869DA6577BA52"/>
              </w:placeholder>
            </w:sdtPr>
            <w:sdtEndPr/>
            <w:sdtContent>
              <w:tr w:rsidR="00D21C1F" w14:paraId="6DBDA9E8" w14:textId="77777777">
                <w:tc>
                  <w:tcPr>
                    <w:tcW w:w="682" w:type="dxa"/>
                    <w:shd w:val="clear" w:color="auto" w:fill="auto"/>
                  </w:tcPr>
                  <w:p w14:paraId="36543FAB" w14:textId="77777777" w:rsidR="00D21C1F" w:rsidRDefault="00A42880">
                    <w:pPr>
                      <w:rPr>
                        <w:rFonts w:ascii="Times New Roman" w:hAnsi="Times New Roman" w:cs="Times New Roman"/>
                      </w:rPr>
                    </w:pPr>
                    <w:r>
                      <w:rPr>
                        <w:rFonts w:ascii="Times New Roman" w:hAnsi="Times New Roman" w:cs="Times New Roman"/>
                      </w:rPr>
                      <w:t>4</w:t>
                    </w:r>
                  </w:p>
                </w:tc>
                <w:tc>
                  <w:tcPr>
                    <w:tcW w:w="1127" w:type="dxa"/>
                    <w:shd w:val="clear" w:color="auto" w:fill="auto"/>
                  </w:tcPr>
                  <w:p w14:paraId="591B44AF" w14:textId="77777777" w:rsidR="00D21C1F" w:rsidRDefault="00A42880">
                    <w:pPr>
                      <w:jc w:val="both"/>
                      <w:rPr>
                        <w:rFonts w:ascii="Times New Roman" w:hAnsi="Times New Roman" w:cs="Times New Roman"/>
                      </w:rPr>
                    </w:pPr>
                    <w:r>
                      <w:rPr>
                        <w:rFonts w:ascii="Times New Roman" w:hAnsi="Times New Roman" w:cs="Times New Roman" w:hint="eastAsia"/>
                      </w:rPr>
                      <w:t>自主伺服驱动器</w:t>
                    </w:r>
                    <w:r>
                      <w:rPr>
                        <w:rFonts w:ascii="Times New Roman" w:hAnsi="Times New Roman" w:cs="Times New Roman"/>
                      </w:rPr>
                      <w:t>EC2A</w:t>
                    </w:r>
                    <w:r>
                      <w:rPr>
                        <w:rFonts w:ascii="Times New Roman" w:hAnsi="Times New Roman" w:cs="Times New Roman"/>
                      </w:rPr>
                      <w:t>技术开发</w:t>
                    </w:r>
                  </w:p>
                </w:tc>
                <w:tc>
                  <w:tcPr>
                    <w:tcW w:w="1134" w:type="dxa"/>
                    <w:shd w:val="clear" w:color="auto" w:fill="auto"/>
                  </w:tcPr>
                  <w:p w14:paraId="0626C4F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1,300.00</w:t>
                    </w:r>
                  </w:p>
                </w:tc>
                <w:tc>
                  <w:tcPr>
                    <w:tcW w:w="993" w:type="dxa"/>
                    <w:shd w:val="clear" w:color="auto" w:fill="auto"/>
                  </w:tcPr>
                  <w:p w14:paraId="185E237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210.84</w:t>
                    </w:r>
                  </w:p>
                </w:tc>
                <w:tc>
                  <w:tcPr>
                    <w:tcW w:w="1134" w:type="dxa"/>
                    <w:shd w:val="clear" w:color="auto" w:fill="auto"/>
                  </w:tcPr>
                  <w:p w14:paraId="6E82BAB5"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1,082.58</w:t>
                    </w:r>
                  </w:p>
                </w:tc>
                <w:tc>
                  <w:tcPr>
                    <w:tcW w:w="1950" w:type="dxa"/>
                    <w:shd w:val="clear" w:color="auto" w:fill="auto"/>
                  </w:tcPr>
                  <w:p w14:paraId="284199FB"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自主伺服驱动器</w:t>
                    </w:r>
                    <w:r>
                      <w:rPr>
                        <w:rFonts w:ascii="Times New Roman" w:hAnsi="Times New Roman" w:cs="Times New Roman"/>
                      </w:rPr>
                      <w:t>EC2A</w:t>
                    </w:r>
                    <w:r>
                      <w:rPr>
                        <w:rFonts w:ascii="Times New Roman" w:hAnsi="Times New Roman" w:cs="Times New Roman"/>
                      </w:rPr>
                      <w:t>国产化版本完成小批量制造；</w:t>
                    </w:r>
                  </w:p>
                  <w:p w14:paraId="77BCFF22"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）进行性能和功能</w:t>
                    </w:r>
                    <w:r>
                      <w:rPr>
                        <w:rFonts w:ascii="Times New Roman" w:hAnsi="Times New Roman" w:cs="Times New Roman" w:hint="eastAsia"/>
                      </w:rPr>
                      <w:t>侧</w:t>
                    </w:r>
                    <w:r>
                      <w:rPr>
                        <w:rFonts w:ascii="Times New Roman" w:hAnsi="Times New Roman" w:cs="Times New Roman"/>
                      </w:rPr>
                      <w:t>以及机器人整机试验。</w:t>
                    </w:r>
                  </w:p>
                </w:tc>
                <w:tc>
                  <w:tcPr>
                    <w:tcW w:w="2019" w:type="dxa"/>
                    <w:shd w:val="clear" w:color="auto" w:fill="auto"/>
                  </w:tcPr>
                  <w:p w14:paraId="2894AA19" w14:textId="77777777" w:rsidR="00D21C1F" w:rsidRDefault="00A42880">
                    <w:pPr>
                      <w:jc w:val="both"/>
                      <w:rPr>
                        <w:rFonts w:ascii="Times New Roman" w:hAnsi="Times New Roman" w:cs="Times New Roman"/>
                      </w:rPr>
                    </w:pPr>
                    <w:r>
                      <w:rPr>
                        <w:rFonts w:ascii="Times New Roman" w:hAnsi="Times New Roman" w:cs="Times New Roman"/>
                      </w:rPr>
                      <w:t>批量化生产，</w:t>
                    </w:r>
                    <w:r>
                      <w:rPr>
                        <w:rFonts w:ascii="Times New Roman" w:hAnsi="Times New Roman" w:cs="Times New Roman" w:hint="eastAsia"/>
                      </w:rPr>
                      <w:t>对埃夫特自主机器人实现</w:t>
                    </w:r>
                    <w:r>
                      <w:rPr>
                        <w:rFonts w:ascii="Times New Roman" w:hAnsi="Times New Roman" w:cs="Times New Roman"/>
                      </w:rPr>
                      <w:t>全覆盖</w:t>
                    </w:r>
                    <w:r>
                      <w:rPr>
                        <w:rFonts w:ascii="Times New Roman" w:hAnsi="Times New Roman" w:cs="Times New Roman" w:hint="eastAsia"/>
                      </w:rPr>
                      <w:t>，实现小批量应用销售</w:t>
                    </w:r>
                  </w:p>
                </w:tc>
                <w:tc>
                  <w:tcPr>
                    <w:tcW w:w="1701" w:type="dxa"/>
                    <w:shd w:val="clear" w:color="auto" w:fill="auto"/>
                  </w:tcPr>
                  <w:p w14:paraId="6A4E468A" w14:textId="77777777" w:rsidR="00D21C1F" w:rsidRDefault="00A42880">
                    <w:pPr>
                      <w:jc w:val="both"/>
                      <w:rPr>
                        <w:rFonts w:ascii="Times New Roman" w:hAnsi="Times New Roman" w:cs="Times New Roman"/>
                      </w:rPr>
                    </w:pPr>
                    <w:r>
                      <w:rPr>
                        <w:rFonts w:ascii="Times New Roman" w:hAnsi="Times New Roman" w:cs="Times New Roman"/>
                      </w:rPr>
                      <w:t>行业领先</w:t>
                    </w:r>
                  </w:p>
                </w:tc>
                <w:tc>
                  <w:tcPr>
                    <w:tcW w:w="3349" w:type="dxa"/>
                    <w:shd w:val="clear" w:color="auto" w:fill="auto"/>
                  </w:tcPr>
                  <w:p w14:paraId="57F50495" w14:textId="77777777" w:rsidR="00D21C1F" w:rsidRDefault="00A42880">
                    <w:pPr>
                      <w:jc w:val="both"/>
                      <w:rPr>
                        <w:rFonts w:ascii="Times New Roman" w:hAnsi="Times New Roman" w:cs="Times New Roman"/>
                      </w:rPr>
                    </w:pPr>
                    <w:r>
                      <w:rPr>
                        <w:rFonts w:ascii="Times New Roman" w:hAnsi="Times New Roman" w:cs="Times New Roman"/>
                      </w:rPr>
                      <w:t>作为自主伺服驱动产品可以实现对外购产品的批量替换，有效降低全系列机器人的成本，同时针对机器人应用场景的定制和优化可以大幅提升机器人性能。</w:t>
                    </w:r>
                  </w:p>
                </w:tc>
              </w:tr>
            </w:sdtContent>
          </w:sdt>
          <w:sdt>
            <w:sdtPr>
              <w:rPr>
                <w:rFonts w:ascii="Times New Roman" w:hAnsi="Times New Roman" w:cs="Times New Roman"/>
              </w:rPr>
              <w:alias w:val="在研项目情况明细"/>
              <w:tag w:val="_TUP_9ddfad86f77e4024ab38f89df3f23e23"/>
              <w:id w:val="472266753"/>
              <w:lock w:val="sdtLocked"/>
              <w:placeholder>
                <w:docPart w:val="BD03748146ED43BEA71869DA6577BA52"/>
              </w:placeholder>
            </w:sdtPr>
            <w:sdtEndPr/>
            <w:sdtContent>
              <w:tr w:rsidR="00D21C1F" w14:paraId="76F74FD2" w14:textId="77777777">
                <w:tc>
                  <w:tcPr>
                    <w:tcW w:w="682" w:type="dxa"/>
                    <w:shd w:val="clear" w:color="auto" w:fill="auto"/>
                  </w:tcPr>
                  <w:p w14:paraId="202C2B0F" w14:textId="77777777" w:rsidR="00D21C1F" w:rsidRDefault="00A42880">
                    <w:pPr>
                      <w:rPr>
                        <w:rFonts w:ascii="Times New Roman" w:hAnsi="Times New Roman" w:cs="Times New Roman"/>
                      </w:rPr>
                    </w:pPr>
                    <w:r>
                      <w:rPr>
                        <w:rFonts w:ascii="Times New Roman" w:hAnsi="Times New Roman" w:cs="Times New Roman"/>
                      </w:rPr>
                      <w:t>5</w:t>
                    </w:r>
                  </w:p>
                </w:tc>
                <w:tc>
                  <w:tcPr>
                    <w:tcW w:w="1127" w:type="dxa"/>
                    <w:shd w:val="clear" w:color="auto" w:fill="auto"/>
                  </w:tcPr>
                  <w:p w14:paraId="597CA900" w14:textId="77777777" w:rsidR="00D21C1F" w:rsidRDefault="00A42880">
                    <w:pPr>
                      <w:jc w:val="both"/>
                      <w:rPr>
                        <w:rFonts w:ascii="Times New Roman" w:hAnsi="Times New Roman" w:cs="Times New Roman"/>
                      </w:rPr>
                    </w:pPr>
                    <w:r>
                      <w:rPr>
                        <w:rFonts w:ascii="Times New Roman" w:hAnsi="Times New Roman" w:cs="Times New Roman"/>
                      </w:rPr>
                      <w:t>钢结构机器人智能喷涂研发项目（安徽省科技研发项目）</w:t>
                    </w:r>
                  </w:p>
                </w:tc>
                <w:tc>
                  <w:tcPr>
                    <w:tcW w:w="1134" w:type="dxa"/>
                    <w:shd w:val="clear" w:color="auto" w:fill="auto"/>
                  </w:tcPr>
                  <w:p w14:paraId="1E6C5AF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265.00</w:t>
                    </w:r>
                  </w:p>
                </w:tc>
                <w:tc>
                  <w:tcPr>
                    <w:tcW w:w="993" w:type="dxa"/>
                    <w:shd w:val="clear" w:color="auto" w:fill="auto"/>
                  </w:tcPr>
                  <w:p w14:paraId="3DE97F4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36.75</w:t>
                    </w:r>
                  </w:p>
                </w:tc>
                <w:tc>
                  <w:tcPr>
                    <w:tcW w:w="1134" w:type="dxa"/>
                    <w:shd w:val="clear" w:color="auto" w:fill="auto"/>
                  </w:tcPr>
                  <w:p w14:paraId="41C4BBAE"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310.60</w:t>
                    </w:r>
                  </w:p>
                </w:tc>
                <w:tc>
                  <w:tcPr>
                    <w:tcW w:w="1950" w:type="dxa"/>
                    <w:shd w:val="clear" w:color="auto" w:fill="auto"/>
                  </w:tcPr>
                  <w:p w14:paraId="3360E9D6"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月通过初步验收，项目最终结题报告待省科技厅统一协调安排；</w:t>
                    </w:r>
                  </w:p>
                  <w:p w14:paraId="27F7989A"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）样机测试完成，研制完成</w:t>
                    </w:r>
                    <w:r>
                      <w:rPr>
                        <w:rFonts w:ascii="Times New Roman" w:hAnsi="Times New Roman" w:cs="Times New Roman"/>
                      </w:rPr>
                      <w:t>“H"</w:t>
                    </w:r>
                    <w:r>
                      <w:rPr>
                        <w:rFonts w:ascii="Times New Roman" w:hAnsi="Times New Roman" w:cs="Times New Roman"/>
                      </w:rPr>
                      <w:t>型钢机器人自动轨迹生成。</w:t>
                    </w:r>
                  </w:p>
                </w:tc>
                <w:tc>
                  <w:tcPr>
                    <w:tcW w:w="2019" w:type="dxa"/>
                    <w:shd w:val="clear" w:color="auto" w:fill="auto"/>
                  </w:tcPr>
                  <w:p w14:paraId="60A607F6" w14:textId="77777777" w:rsidR="00D21C1F" w:rsidRDefault="00A42880">
                    <w:pPr>
                      <w:jc w:val="both"/>
                      <w:rPr>
                        <w:rFonts w:ascii="Times New Roman" w:hAnsi="Times New Roman" w:cs="Times New Roman"/>
                      </w:rPr>
                    </w:pPr>
                    <w:r>
                      <w:rPr>
                        <w:rFonts w:ascii="Times New Roman" w:hAnsi="Times New Roman" w:cs="Times New Roman"/>
                      </w:rPr>
                      <w:t>实现</w:t>
                    </w:r>
                    <w:r>
                      <w:rPr>
                        <w:rFonts w:ascii="Times New Roman" w:hAnsi="Times New Roman" w:cs="Times New Roman"/>
                      </w:rPr>
                      <w:t>“H"</w:t>
                    </w:r>
                    <w:r>
                      <w:rPr>
                        <w:rFonts w:ascii="Times New Roman" w:hAnsi="Times New Roman" w:cs="Times New Roman"/>
                      </w:rPr>
                      <w:t>型钢机器人喷涂轨迹自动生成及自动喷涂</w:t>
                    </w:r>
                  </w:p>
                </w:tc>
                <w:tc>
                  <w:tcPr>
                    <w:tcW w:w="1701" w:type="dxa"/>
                    <w:shd w:val="clear" w:color="auto" w:fill="auto"/>
                  </w:tcPr>
                  <w:p w14:paraId="5C8C5529" w14:textId="77777777" w:rsidR="00D21C1F" w:rsidRDefault="00A42880">
                    <w:pPr>
                      <w:jc w:val="both"/>
                      <w:rPr>
                        <w:rFonts w:ascii="Times New Roman" w:hAnsi="Times New Roman" w:cs="Times New Roman"/>
                      </w:rPr>
                    </w:pPr>
                    <w:r>
                      <w:rPr>
                        <w:rFonts w:ascii="Times New Roman" w:hAnsi="Times New Roman" w:cs="Times New Roman"/>
                      </w:rPr>
                      <w:t>适用于钢结构自动喷涂的轨迹自动生成系统软件使用方便，减少机器人示教时间，柔性化、模块化。</w:t>
                    </w:r>
                  </w:p>
                </w:tc>
                <w:tc>
                  <w:tcPr>
                    <w:tcW w:w="3349" w:type="dxa"/>
                    <w:shd w:val="clear" w:color="auto" w:fill="auto"/>
                  </w:tcPr>
                  <w:p w14:paraId="0EABFC36" w14:textId="77777777" w:rsidR="00D21C1F" w:rsidRDefault="00A42880">
                    <w:pPr>
                      <w:jc w:val="both"/>
                      <w:rPr>
                        <w:rFonts w:ascii="Times New Roman" w:hAnsi="Times New Roman" w:cs="Times New Roman"/>
                      </w:rPr>
                    </w:pPr>
                    <w:r>
                      <w:rPr>
                        <w:rFonts w:ascii="Times New Roman" w:hAnsi="Times New Roman" w:cs="Times New Roman"/>
                      </w:rPr>
                      <w:t>适用于钢结构</w:t>
                    </w:r>
                    <w:r>
                      <w:rPr>
                        <w:rFonts w:ascii="Times New Roman" w:hAnsi="Times New Roman" w:cs="Times New Roman"/>
                      </w:rPr>
                      <w:t>“H”</w:t>
                    </w:r>
                    <w:r>
                      <w:rPr>
                        <w:rFonts w:ascii="Times New Roman" w:hAnsi="Times New Roman" w:cs="Times New Roman"/>
                      </w:rPr>
                      <w:t>型钢的机器人自动喷涂应用。全中国钢构喷涂市场机器人渗透率还很低，接近于零，具有广阔的市场意义。</w:t>
                    </w:r>
                  </w:p>
                </w:tc>
              </w:tr>
            </w:sdtContent>
          </w:sdt>
          <w:sdt>
            <w:sdtPr>
              <w:rPr>
                <w:rFonts w:ascii="Times New Roman" w:hAnsi="Times New Roman" w:cs="Times New Roman"/>
              </w:rPr>
              <w:alias w:val="在研项目情况明细"/>
              <w:tag w:val="_TUP_9ddfad86f77e4024ab38f89df3f23e23"/>
              <w:id w:val="-960725090"/>
              <w:lock w:val="sdtLocked"/>
              <w:placeholder>
                <w:docPart w:val="BD03748146ED43BEA71869DA6577BA52"/>
              </w:placeholder>
            </w:sdtPr>
            <w:sdtEndPr/>
            <w:sdtContent>
              <w:tr w:rsidR="00D21C1F" w14:paraId="740C414A" w14:textId="77777777">
                <w:tc>
                  <w:tcPr>
                    <w:tcW w:w="682" w:type="dxa"/>
                    <w:shd w:val="clear" w:color="auto" w:fill="auto"/>
                  </w:tcPr>
                  <w:p w14:paraId="08BE31F0" w14:textId="77777777" w:rsidR="00D21C1F" w:rsidRDefault="00A42880">
                    <w:pPr>
                      <w:rPr>
                        <w:rFonts w:ascii="Times New Roman" w:hAnsi="Times New Roman" w:cs="Times New Roman"/>
                      </w:rPr>
                    </w:pPr>
                    <w:r>
                      <w:rPr>
                        <w:rFonts w:ascii="Times New Roman" w:hAnsi="Times New Roman" w:cs="Times New Roman"/>
                      </w:rPr>
                      <w:t>6</w:t>
                    </w:r>
                  </w:p>
                </w:tc>
                <w:tc>
                  <w:tcPr>
                    <w:tcW w:w="1127" w:type="dxa"/>
                    <w:shd w:val="clear" w:color="auto" w:fill="auto"/>
                  </w:tcPr>
                  <w:p w14:paraId="038E8767" w14:textId="77777777" w:rsidR="00D21C1F" w:rsidRDefault="00A42880">
                    <w:pPr>
                      <w:jc w:val="both"/>
                      <w:rPr>
                        <w:rFonts w:ascii="Times New Roman" w:hAnsi="Times New Roman" w:cs="Times New Roman"/>
                      </w:rPr>
                    </w:pPr>
                    <w:r>
                      <w:rPr>
                        <w:rFonts w:ascii="Times New Roman" w:hAnsi="Times New Roman" w:cs="Times New Roman"/>
                      </w:rPr>
                      <w:t>基于机器学习和快速示教的智能型防</w:t>
                    </w:r>
                    <w:r>
                      <w:rPr>
                        <w:rFonts w:ascii="Times New Roman" w:hAnsi="Times New Roman" w:cs="Times New Roman"/>
                      </w:rPr>
                      <w:lastRenderedPageBreak/>
                      <w:t>爆喷涂机器人研制</w:t>
                    </w:r>
                  </w:p>
                </w:tc>
                <w:tc>
                  <w:tcPr>
                    <w:tcW w:w="1134" w:type="dxa"/>
                    <w:shd w:val="clear" w:color="auto" w:fill="auto"/>
                  </w:tcPr>
                  <w:p w14:paraId="0DED2B46"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lastRenderedPageBreak/>
                      <w:t>282.50</w:t>
                    </w:r>
                  </w:p>
                </w:tc>
                <w:tc>
                  <w:tcPr>
                    <w:tcW w:w="993" w:type="dxa"/>
                    <w:shd w:val="clear" w:color="auto" w:fill="auto"/>
                  </w:tcPr>
                  <w:p w14:paraId="5EA1E06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113.37</w:t>
                    </w:r>
                  </w:p>
                </w:tc>
                <w:tc>
                  <w:tcPr>
                    <w:tcW w:w="1134" w:type="dxa"/>
                    <w:shd w:val="clear" w:color="auto" w:fill="auto"/>
                  </w:tcPr>
                  <w:p w14:paraId="032A2C8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256.46</w:t>
                    </w:r>
                  </w:p>
                </w:tc>
                <w:tc>
                  <w:tcPr>
                    <w:tcW w:w="1950" w:type="dxa"/>
                    <w:shd w:val="clear" w:color="auto" w:fill="auto"/>
                  </w:tcPr>
                  <w:p w14:paraId="03FA11FB"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月科技部中期验收通过，项目预计</w:t>
                    </w:r>
                    <w:r>
                      <w:rPr>
                        <w:rFonts w:ascii="Times New Roman" w:hAnsi="Times New Roman" w:cs="Times New Roman"/>
                      </w:rPr>
                      <w:t>2021</w:t>
                    </w:r>
                    <w:r>
                      <w:rPr>
                        <w:rFonts w:ascii="Times New Roman" w:hAnsi="Times New Roman" w:cs="Times New Roman"/>
                      </w:rPr>
                      <w:t>年下半年结题；</w:t>
                    </w:r>
                    <w:r>
                      <w:rPr>
                        <w:rFonts w:ascii="Times New Roman" w:hAnsi="Times New Roman" w:cs="Times New Roman"/>
                      </w:rPr>
                      <w:t xml:space="preserve">     </w:t>
                    </w:r>
                    <w:r>
                      <w:rPr>
                        <w:rFonts w:ascii="Times New Roman" w:hAnsi="Times New Roman" w:cs="Times New Roman"/>
                      </w:rPr>
                      <w:lastRenderedPageBreak/>
                      <w:t>2</w:t>
                    </w:r>
                    <w:r>
                      <w:rPr>
                        <w:rFonts w:ascii="Times New Roman" w:hAnsi="Times New Roman" w:cs="Times New Roman"/>
                      </w:rPr>
                      <w:t>）研究成果包括研制</w:t>
                    </w:r>
                    <w:r>
                      <w:rPr>
                        <w:rFonts w:ascii="Times New Roman" w:hAnsi="Times New Roman" w:cs="Times New Roman"/>
                      </w:rPr>
                      <w:t>2</w:t>
                    </w:r>
                    <w:r>
                      <w:rPr>
                        <w:rFonts w:ascii="Times New Roman" w:hAnsi="Times New Roman" w:cs="Times New Roman"/>
                      </w:rPr>
                      <w:t>款防爆喷涂机器人，机器人已经实现在家具、金属喷涂等行业推广应用。</w:t>
                    </w:r>
                  </w:p>
                </w:tc>
                <w:tc>
                  <w:tcPr>
                    <w:tcW w:w="2019" w:type="dxa"/>
                    <w:shd w:val="clear" w:color="auto" w:fill="auto"/>
                  </w:tcPr>
                  <w:p w14:paraId="2B9077BE" w14:textId="77777777" w:rsidR="00D21C1F" w:rsidRDefault="00A42880">
                    <w:pPr>
                      <w:jc w:val="both"/>
                      <w:rPr>
                        <w:rFonts w:ascii="Times New Roman" w:hAnsi="Times New Roman" w:cs="Times New Roman"/>
                      </w:rPr>
                    </w:pPr>
                    <w:r>
                      <w:rPr>
                        <w:rFonts w:ascii="Times New Roman" w:hAnsi="Times New Roman" w:cs="Times New Roman"/>
                      </w:rPr>
                      <w:lastRenderedPageBreak/>
                      <w:t>1 )</w:t>
                    </w:r>
                    <w:r>
                      <w:rPr>
                        <w:rFonts w:ascii="Times New Roman" w:hAnsi="Times New Roman" w:cs="Times New Roman"/>
                      </w:rPr>
                      <w:t>减轻本体运动部件重量</w:t>
                    </w:r>
                    <w:r>
                      <w:rPr>
                        <w:rFonts w:ascii="Times New Roman" w:hAnsi="Times New Roman" w:cs="Times New Roman"/>
                      </w:rPr>
                      <w:t>30%</w:t>
                    </w:r>
                    <w:r>
                      <w:rPr>
                        <w:rFonts w:ascii="Times New Roman" w:hAnsi="Times New Roman" w:cs="Times New Roman"/>
                      </w:rPr>
                      <w:t>；</w:t>
                    </w:r>
                  </w:p>
                  <w:p w14:paraId="604E8F46" w14:textId="77777777" w:rsidR="00D21C1F" w:rsidRDefault="00A42880">
                    <w:pPr>
                      <w:jc w:val="both"/>
                      <w:rPr>
                        <w:rFonts w:ascii="Times New Roman" w:hAnsi="Times New Roman" w:cs="Times New Roman"/>
                      </w:rPr>
                    </w:pPr>
                    <w:r>
                      <w:rPr>
                        <w:rFonts w:ascii="Times New Roman" w:hAnsi="Times New Roman" w:cs="Times New Roman"/>
                      </w:rPr>
                      <w:t>2 )</w:t>
                    </w:r>
                    <w:r>
                      <w:rPr>
                        <w:rFonts w:ascii="Times New Roman" w:hAnsi="Times New Roman" w:cs="Times New Roman"/>
                      </w:rPr>
                      <w:t>实现机器人任意位置动态平衡；</w:t>
                    </w:r>
                  </w:p>
                  <w:p w14:paraId="40DB6A87" w14:textId="77777777" w:rsidR="00D21C1F" w:rsidRDefault="00A42880">
                    <w:pPr>
                      <w:jc w:val="both"/>
                      <w:rPr>
                        <w:rFonts w:ascii="Times New Roman" w:hAnsi="Times New Roman" w:cs="Times New Roman"/>
                      </w:rPr>
                    </w:pPr>
                    <w:r>
                      <w:rPr>
                        <w:rFonts w:ascii="Times New Roman" w:hAnsi="Times New Roman" w:cs="Times New Roman"/>
                      </w:rPr>
                      <w:lastRenderedPageBreak/>
                      <w:t>3 )</w:t>
                    </w:r>
                    <w:r>
                      <w:rPr>
                        <w:rFonts w:ascii="Times New Roman" w:hAnsi="Times New Roman" w:cs="Times New Roman"/>
                      </w:rPr>
                      <w:t>开发无线拖动手柄；</w:t>
                    </w:r>
                  </w:p>
                </w:tc>
                <w:tc>
                  <w:tcPr>
                    <w:tcW w:w="1701" w:type="dxa"/>
                    <w:shd w:val="clear" w:color="auto" w:fill="auto"/>
                  </w:tcPr>
                  <w:p w14:paraId="3C928307" w14:textId="77777777" w:rsidR="00D21C1F" w:rsidRDefault="00A42880">
                    <w:pPr>
                      <w:jc w:val="both"/>
                      <w:rPr>
                        <w:rFonts w:ascii="Times New Roman" w:hAnsi="Times New Roman" w:cs="Times New Roman"/>
                      </w:rPr>
                    </w:pPr>
                    <w:r>
                      <w:rPr>
                        <w:rFonts w:ascii="Times New Roman" w:hAnsi="Times New Roman" w:cs="Times New Roman"/>
                      </w:rPr>
                      <w:lastRenderedPageBreak/>
                      <w:t>机器人快速示教功能、模拟仿真、机器人防爆技术、机器人喷</w:t>
                    </w:r>
                    <w:r>
                      <w:rPr>
                        <w:rFonts w:ascii="Times New Roman" w:hAnsi="Times New Roman" w:cs="Times New Roman"/>
                      </w:rPr>
                      <w:lastRenderedPageBreak/>
                      <w:t>涂调试的基本功能。</w:t>
                    </w:r>
                  </w:p>
                </w:tc>
                <w:tc>
                  <w:tcPr>
                    <w:tcW w:w="3349" w:type="dxa"/>
                    <w:shd w:val="clear" w:color="auto" w:fill="auto"/>
                  </w:tcPr>
                  <w:p w14:paraId="5BB9700B" w14:textId="77777777" w:rsidR="00D21C1F" w:rsidRDefault="00A42880">
                    <w:pPr>
                      <w:jc w:val="both"/>
                      <w:rPr>
                        <w:rFonts w:ascii="Times New Roman" w:hAnsi="Times New Roman" w:cs="Times New Roman"/>
                      </w:rPr>
                    </w:pPr>
                    <w:r>
                      <w:rPr>
                        <w:rFonts w:ascii="Times New Roman" w:hAnsi="Times New Roman" w:cs="Times New Roman"/>
                      </w:rPr>
                      <w:lastRenderedPageBreak/>
                      <w:t>智能喷涂技术能有效降低工件切换所需的编程时间，大幅提高机器人系统生产效率，是共享喷涂工厂的技术基础，也能激发家</w:t>
                    </w:r>
                    <w:r>
                      <w:rPr>
                        <w:rFonts w:ascii="Times New Roman" w:hAnsi="Times New Roman" w:cs="Times New Roman"/>
                      </w:rPr>
                      <w:lastRenderedPageBreak/>
                      <w:t>具、建材、钢结构这类非标件喷涂的增量市场。</w:t>
                    </w:r>
                  </w:p>
                </w:tc>
              </w:tr>
            </w:sdtContent>
          </w:sdt>
          <w:sdt>
            <w:sdtPr>
              <w:rPr>
                <w:rFonts w:ascii="Times New Roman" w:hAnsi="Times New Roman" w:cs="Times New Roman"/>
              </w:rPr>
              <w:alias w:val="在研项目情况明细"/>
              <w:tag w:val="_TUP_9ddfad86f77e4024ab38f89df3f23e23"/>
              <w:id w:val="508872849"/>
              <w:lock w:val="sdtLocked"/>
              <w:placeholder>
                <w:docPart w:val="BD03748146ED43BEA71869DA6577BA52"/>
              </w:placeholder>
            </w:sdtPr>
            <w:sdtEndPr/>
            <w:sdtContent>
              <w:tr w:rsidR="00D21C1F" w14:paraId="756A75DE" w14:textId="77777777">
                <w:tc>
                  <w:tcPr>
                    <w:tcW w:w="682" w:type="dxa"/>
                    <w:shd w:val="clear" w:color="auto" w:fill="auto"/>
                  </w:tcPr>
                  <w:p w14:paraId="1531B849" w14:textId="77777777" w:rsidR="00D21C1F" w:rsidRDefault="00A42880">
                    <w:pPr>
                      <w:rPr>
                        <w:rFonts w:ascii="Times New Roman" w:hAnsi="Times New Roman" w:cs="Times New Roman"/>
                      </w:rPr>
                    </w:pPr>
                    <w:r>
                      <w:rPr>
                        <w:rFonts w:ascii="Times New Roman" w:hAnsi="Times New Roman" w:cs="Times New Roman"/>
                      </w:rPr>
                      <w:t>7</w:t>
                    </w:r>
                  </w:p>
                </w:tc>
                <w:tc>
                  <w:tcPr>
                    <w:tcW w:w="1127" w:type="dxa"/>
                    <w:shd w:val="clear" w:color="auto" w:fill="auto"/>
                  </w:tcPr>
                  <w:p w14:paraId="2F777A7F" w14:textId="77777777" w:rsidR="00D21C1F" w:rsidRDefault="00A42880">
                    <w:pPr>
                      <w:jc w:val="both"/>
                      <w:rPr>
                        <w:rFonts w:ascii="Times New Roman" w:hAnsi="Times New Roman" w:cs="Times New Roman"/>
                      </w:rPr>
                    </w:pPr>
                    <w:r>
                      <w:rPr>
                        <w:rFonts w:ascii="Times New Roman" w:hAnsi="Times New Roman" w:cs="Times New Roman"/>
                      </w:rPr>
                      <w:t>三维激光切割机器人项目</w:t>
                    </w:r>
                  </w:p>
                </w:tc>
                <w:tc>
                  <w:tcPr>
                    <w:tcW w:w="1134" w:type="dxa"/>
                    <w:shd w:val="clear" w:color="auto" w:fill="auto"/>
                  </w:tcPr>
                  <w:p w14:paraId="15A339E6"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12,538.00</w:t>
                    </w:r>
                  </w:p>
                </w:tc>
                <w:tc>
                  <w:tcPr>
                    <w:tcW w:w="993" w:type="dxa"/>
                    <w:shd w:val="clear" w:color="auto" w:fill="auto"/>
                  </w:tcPr>
                  <w:p w14:paraId="31F0E54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603.98</w:t>
                    </w:r>
                  </w:p>
                </w:tc>
                <w:tc>
                  <w:tcPr>
                    <w:tcW w:w="1134" w:type="dxa"/>
                    <w:shd w:val="clear" w:color="auto" w:fill="auto"/>
                  </w:tcPr>
                  <w:p w14:paraId="01989B8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4,860.38</w:t>
                    </w:r>
                  </w:p>
                </w:tc>
                <w:tc>
                  <w:tcPr>
                    <w:tcW w:w="1950" w:type="dxa"/>
                    <w:shd w:val="clear" w:color="auto" w:fill="auto"/>
                  </w:tcPr>
                  <w:p w14:paraId="56934F80"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）已完成第</w:t>
                    </w:r>
                    <w:r>
                      <w:rPr>
                        <w:rFonts w:ascii="Times New Roman" w:hAnsi="Times New Roman" w:cs="Times New Roman"/>
                      </w:rPr>
                      <w:t>1</w:t>
                    </w:r>
                    <w:r>
                      <w:rPr>
                        <w:rFonts w:ascii="Times New Roman" w:hAnsi="Times New Roman" w:cs="Times New Roman"/>
                      </w:rPr>
                      <w:t>轮样机相关的测试，主要性能指标满足预期要求；</w:t>
                    </w:r>
                  </w:p>
                  <w:p w14:paraId="6C5DC9F3"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）完成第</w:t>
                    </w:r>
                    <w:r>
                      <w:rPr>
                        <w:rFonts w:ascii="Times New Roman" w:hAnsi="Times New Roman" w:cs="Times New Roman"/>
                      </w:rPr>
                      <w:t>1</w:t>
                    </w:r>
                    <w:r>
                      <w:rPr>
                        <w:rFonts w:ascii="Times New Roman" w:hAnsi="Times New Roman" w:cs="Times New Roman"/>
                      </w:rPr>
                      <w:t>轮样机总结报告及改进预案；</w:t>
                    </w:r>
                  </w:p>
                  <w:p w14:paraId="65195C85"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）对关键技术问题进行专项开发和试验验证；</w:t>
                    </w:r>
                  </w:p>
                  <w:p w14:paraId="18FF543A" w14:textId="77777777" w:rsidR="00D21C1F" w:rsidRDefault="00A42880">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）完成第二轮样机的设计并投入样机制作，第二轮样机预计在第三季度完成装配；</w:t>
                    </w:r>
                  </w:p>
                  <w:p w14:paraId="164EFCDB" w14:textId="77777777" w:rsidR="00D21C1F" w:rsidRDefault="00A42880">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）开始对部分关键零部件国产化寻源工作。</w:t>
                    </w:r>
                  </w:p>
                </w:tc>
                <w:tc>
                  <w:tcPr>
                    <w:tcW w:w="2019" w:type="dxa"/>
                    <w:shd w:val="clear" w:color="auto" w:fill="auto"/>
                  </w:tcPr>
                  <w:p w14:paraId="6F47117B" w14:textId="77777777" w:rsidR="00D21C1F" w:rsidRDefault="00A42880">
                    <w:pPr>
                      <w:jc w:val="both"/>
                      <w:rPr>
                        <w:rFonts w:ascii="Times New Roman" w:hAnsi="Times New Roman" w:cs="Times New Roman"/>
                      </w:rPr>
                    </w:pPr>
                    <w:r>
                      <w:rPr>
                        <w:rFonts w:ascii="Times New Roman" w:hAnsi="Times New Roman" w:cs="Times New Roman"/>
                      </w:rPr>
                      <w:t>优化新型激光切割头设计并进行工程优化</w:t>
                    </w:r>
                  </w:p>
                  <w:p w14:paraId="1476972B"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）研究具有最佳频谱的样条插补算法和运动参数约束条件下轨迹段间平滑过渡算法研究，实现恒定切割速率并避免运动突变造成振动</w:t>
                    </w:r>
                  </w:p>
                  <w:p w14:paraId="24920D49"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）完成样机试制，相对于国际主流三维激光切割机床激光切割的效率提升</w:t>
                    </w:r>
                    <w:r>
                      <w:rPr>
                        <w:rFonts w:ascii="Times New Roman" w:hAnsi="Times New Roman" w:cs="Times New Roman"/>
                      </w:rPr>
                      <w:t>30%</w:t>
                    </w:r>
                    <w:r>
                      <w:rPr>
                        <w:rFonts w:ascii="Times New Roman" w:hAnsi="Times New Roman" w:cs="Times New Roman"/>
                      </w:rPr>
                      <w:t>以上</w:t>
                    </w:r>
                  </w:p>
                </w:tc>
                <w:tc>
                  <w:tcPr>
                    <w:tcW w:w="1701" w:type="dxa"/>
                    <w:shd w:val="clear" w:color="auto" w:fill="auto"/>
                  </w:tcPr>
                  <w:p w14:paraId="121479FF" w14:textId="77777777" w:rsidR="00D21C1F" w:rsidRDefault="00A42880">
                    <w:pPr>
                      <w:jc w:val="both"/>
                      <w:rPr>
                        <w:rFonts w:ascii="Times New Roman" w:hAnsi="Times New Roman" w:cs="Times New Roman"/>
                      </w:rPr>
                    </w:pPr>
                    <w:r>
                      <w:rPr>
                        <w:rFonts w:ascii="Times New Roman" w:hAnsi="Times New Roman" w:cs="Times New Roman"/>
                      </w:rPr>
                      <w:t>基于国际发明专利所开发的产品解决了三维激光切割大曲率变化情形下切割效率低、精度低的问题，在同样的精度和板厚条件下，切割效率相对于欧日主流产品预计有</w:t>
                    </w:r>
                    <w:r>
                      <w:rPr>
                        <w:rFonts w:ascii="Times New Roman" w:hAnsi="Times New Roman" w:cs="Times New Roman"/>
                      </w:rPr>
                      <w:t>30%</w:t>
                    </w:r>
                    <w:r>
                      <w:rPr>
                        <w:rFonts w:ascii="Times New Roman" w:hAnsi="Times New Roman" w:cs="Times New Roman"/>
                      </w:rPr>
                      <w:t>提升。竞争优势明显，项目开发完成后达到国际领先水平</w:t>
                    </w:r>
                  </w:p>
                </w:tc>
                <w:tc>
                  <w:tcPr>
                    <w:tcW w:w="3349" w:type="dxa"/>
                    <w:shd w:val="clear" w:color="auto" w:fill="auto"/>
                  </w:tcPr>
                  <w:p w14:paraId="3698E243" w14:textId="77777777" w:rsidR="00D21C1F" w:rsidRDefault="00A42880">
                    <w:pPr>
                      <w:jc w:val="both"/>
                      <w:rPr>
                        <w:rFonts w:ascii="Times New Roman" w:hAnsi="Times New Roman" w:cs="Times New Roman"/>
                      </w:rPr>
                    </w:pPr>
                    <w:r>
                      <w:rPr>
                        <w:rFonts w:ascii="Times New Roman" w:hAnsi="Times New Roman" w:cs="Times New Roman"/>
                      </w:rPr>
                      <w:t>在汽车车身更新换代速度加快的趋势下，传统模具制造成本高，不利于柔性换产，同时随着高强度钢和极高强度钢的使用，模具的维护成本也越来越高，高速高精度三维激光切割可以替换传统冲孔和切边工艺。客户群主要是：</w:t>
                    </w:r>
                  </w:p>
                  <w:p w14:paraId="222CE7C7" w14:textId="77777777" w:rsidR="00D21C1F" w:rsidRDefault="00A42880">
                    <w:pPr>
                      <w:jc w:val="both"/>
                      <w:rPr>
                        <w:rFonts w:ascii="Times New Roman" w:hAnsi="Times New Roman" w:cs="Times New Roman"/>
                      </w:rPr>
                    </w:pPr>
                    <w:r>
                      <w:rPr>
                        <w:rFonts w:ascii="Times New Roman" w:hAnsi="Times New Roman" w:cs="Times New Roman"/>
                      </w:rPr>
                      <w:t>1 )</w:t>
                    </w:r>
                    <w:r>
                      <w:rPr>
                        <w:rFonts w:ascii="Times New Roman" w:hAnsi="Times New Roman" w:cs="Times New Roman"/>
                      </w:rPr>
                      <w:t>模具厂，主要做模具未开完前的小批量试制件的开孔、切边等。</w:t>
                    </w:r>
                  </w:p>
                  <w:p w14:paraId="2FC4830D" w14:textId="77777777" w:rsidR="00D21C1F" w:rsidRDefault="00A42880">
                    <w:pPr>
                      <w:jc w:val="both"/>
                      <w:rPr>
                        <w:rFonts w:ascii="Times New Roman" w:hAnsi="Times New Roman" w:cs="Times New Roman"/>
                      </w:rPr>
                    </w:pPr>
                    <w:r>
                      <w:rPr>
                        <w:rFonts w:ascii="Times New Roman" w:hAnsi="Times New Roman" w:cs="Times New Roman"/>
                      </w:rPr>
                      <w:t>2 )</w:t>
                    </w:r>
                    <w:r>
                      <w:rPr>
                        <w:rFonts w:ascii="Times New Roman" w:hAnsi="Times New Roman" w:cs="Times New Roman"/>
                      </w:rPr>
                      <w:t>汽车整车厂，热成型钢板的开孔，这是批量生产，此为主要市场</w:t>
                    </w:r>
                    <w:r>
                      <w:rPr>
                        <w:rFonts w:ascii="Times New Roman" w:hAnsi="Times New Roman" w:cs="Times New Roman" w:hint="eastAsia"/>
                      </w:rPr>
                      <w:t>。</w:t>
                    </w:r>
                  </w:p>
                  <w:p w14:paraId="20E467AF" w14:textId="77777777" w:rsidR="00D21C1F" w:rsidRDefault="00A42880">
                    <w:pPr>
                      <w:jc w:val="both"/>
                      <w:rPr>
                        <w:rFonts w:ascii="Times New Roman" w:hAnsi="Times New Roman" w:cs="Times New Roman"/>
                      </w:rPr>
                    </w:pPr>
                    <w:r>
                      <w:rPr>
                        <w:rFonts w:ascii="Times New Roman" w:hAnsi="Times New Roman" w:cs="Times New Roman"/>
                      </w:rPr>
                      <w:t>3 )</w:t>
                    </w:r>
                    <w:r>
                      <w:rPr>
                        <w:rFonts w:ascii="Times New Roman" w:hAnsi="Times New Roman" w:cs="Times New Roman"/>
                      </w:rPr>
                      <w:t>主机厂的研发部门，改款车的试制件切割。存量市场传统设备替代需求广阔。</w:t>
                    </w:r>
                  </w:p>
                </w:tc>
              </w:tr>
            </w:sdtContent>
          </w:sdt>
          <w:sdt>
            <w:sdtPr>
              <w:rPr>
                <w:rFonts w:ascii="Times New Roman" w:hAnsi="Times New Roman" w:cs="Times New Roman"/>
              </w:rPr>
              <w:alias w:val="在研项目情况明细"/>
              <w:tag w:val="_TUP_9ddfad86f77e4024ab38f89df3f23e23"/>
              <w:id w:val="-980992176"/>
              <w:lock w:val="sdtLocked"/>
              <w:placeholder>
                <w:docPart w:val="BD03748146ED43BEA71869DA6577BA52"/>
              </w:placeholder>
            </w:sdtPr>
            <w:sdtEndPr/>
            <w:sdtContent>
              <w:tr w:rsidR="00D21C1F" w14:paraId="62173F58" w14:textId="77777777">
                <w:tc>
                  <w:tcPr>
                    <w:tcW w:w="682" w:type="dxa"/>
                    <w:shd w:val="clear" w:color="auto" w:fill="auto"/>
                  </w:tcPr>
                  <w:p w14:paraId="1038C8ED" w14:textId="77777777" w:rsidR="00D21C1F" w:rsidRDefault="00A42880">
                    <w:pPr>
                      <w:rPr>
                        <w:rFonts w:ascii="Times New Roman" w:hAnsi="Times New Roman" w:cs="Times New Roman"/>
                      </w:rPr>
                    </w:pPr>
                    <w:r>
                      <w:rPr>
                        <w:rFonts w:ascii="Times New Roman" w:hAnsi="Times New Roman" w:cs="Times New Roman"/>
                      </w:rPr>
                      <w:t>8</w:t>
                    </w:r>
                  </w:p>
                </w:tc>
                <w:tc>
                  <w:tcPr>
                    <w:tcW w:w="1127" w:type="dxa"/>
                    <w:shd w:val="clear" w:color="auto" w:fill="auto"/>
                  </w:tcPr>
                  <w:p w14:paraId="6D80E890" w14:textId="0D946F70" w:rsidR="00D21C1F" w:rsidRDefault="00A42880">
                    <w:pPr>
                      <w:jc w:val="both"/>
                      <w:rPr>
                        <w:rFonts w:ascii="Times New Roman" w:hAnsi="Times New Roman" w:cs="Times New Roman"/>
                      </w:rPr>
                    </w:pPr>
                    <w:r>
                      <w:rPr>
                        <w:rFonts w:ascii="Times New Roman" w:hAnsi="Times New Roman" w:cs="Times New Roman"/>
                      </w:rPr>
                      <w:t>机器人智能接插组装系统研究</w:t>
                    </w:r>
                  </w:p>
                </w:tc>
                <w:tc>
                  <w:tcPr>
                    <w:tcW w:w="1134" w:type="dxa"/>
                    <w:shd w:val="clear" w:color="auto" w:fill="auto"/>
                  </w:tcPr>
                  <w:p w14:paraId="0566CC8F"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1,865.00</w:t>
                    </w:r>
                  </w:p>
                </w:tc>
                <w:tc>
                  <w:tcPr>
                    <w:tcW w:w="993" w:type="dxa"/>
                    <w:shd w:val="clear" w:color="auto" w:fill="auto"/>
                  </w:tcPr>
                  <w:p w14:paraId="53C2415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201.39</w:t>
                    </w:r>
                  </w:p>
                </w:tc>
                <w:tc>
                  <w:tcPr>
                    <w:tcW w:w="1134" w:type="dxa"/>
                    <w:shd w:val="clear" w:color="auto" w:fill="auto"/>
                  </w:tcPr>
                  <w:p w14:paraId="5E50C98B"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653.76</w:t>
                    </w:r>
                  </w:p>
                </w:tc>
                <w:tc>
                  <w:tcPr>
                    <w:tcW w:w="1950" w:type="dxa"/>
                    <w:shd w:val="clear" w:color="auto" w:fill="auto"/>
                  </w:tcPr>
                  <w:p w14:paraId="5C50C2C5"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）已实现基于</w:t>
                    </w:r>
                    <w:r>
                      <w:rPr>
                        <w:rFonts w:ascii="Times New Roman" w:hAnsi="Times New Roman" w:cs="Times New Roman"/>
                      </w:rPr>
                      <w:t>GMM</w:t>
                    </w:r>
                    <w:r>
                      <w:rPr>
                        <w:rFonts w:ascii="Times New Roman" w:hAnsi="Times New Roman" w:cs="Times New Roman"/>
                      </w:rPr>
                      <w:t>的实时接插控制算法；</w:t>
                    </w:r>
                  </w:p>
                  <w:p w14:paraId="214CE146"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）完成基于强化学习的引脚寻位对齐算法开发；</w:t>
                    </w:r>
                  </w:p>
                  <w:p w14:paraId="1D6B0EE0" w14:textId="77777777" w:rsidR="00D21C1F" w:rsidRDefault="00A42880">
                    <w:pPr>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）完成仿真验证样机测试；</w:t>
                    </w:r>
                  </w:p>
                  <w:p w14:paraId="2F26760D" w14:textId="77777777" w:rsidR="00D21C1F" w:rsidRDefault="00A42880">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）完成试验样机验证，形成试验数据。</w:t>
                    </w:r>
                  </w:p>
                </w:tc>
                <w:tc>
                  <w:tcPr>
                    <w:tcW w:w="2019" w:type="dxa"/>
                    <w:shd w:val="clear" w:color="auto" w:fill="auto"/>
                  </w:tcPr>
                  <w:p w14:paraId="718B9FEB" w14:textId="77777777" w:rsidR="00D21C1F" w:rsidRDefault="00A42880">
                    <w:pPr>
                      <w:jc w:val="both"/>
                      <w:rPr>
                        <w:rFonts w:ascii="Times New Roman" w:hAnsi="Times New Roman" w:cs="Times New Roman"/>
                      </w:rPr>
                    </w:pPr>
                    <w:r>
                      <w:rPr>
                        <w:rFonts w:ascii="Times New Roman" w:hAnsi="Times New Roman" w:cs="Times New Roman"/>
                      </w:rPr>
                      <w:lastRenderedPageBreak/>
                      <w:t>研发面向接插装配任务，开发对应机器人系统原型。</w:t>
                    </w:r>
                  </w:p>
                  <w:p w14:paraId="1482FA5A"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）研究用于实时控制的机器人接插力控算法，实现接插</w:t>
                    </w:r>
                    <w:r>
                      <w:rPr>
                        <w:rFonts w:ascii="Times New Roman" w:hAnsi="Times New Roman" w:cs="Times New Roman"/>
                      </w:rPr>
                      <w:lastRenderedPageBreak/>
                      <w:t>过程的实时动态调整及误差补偿；</w:t>
                    </w:r>
                  </w:p>
                  <w:p w14:paraId="7FCB0B75"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）基于视觉的零件识别及安装点定位算法，研究基于强化学习机制的安装寻位模型训练方式，实现结合零件引脚结构的安装点寻位对齐及过程优化；</w:t>
                    </w:r>
                    <w:r>
                      <w:rPr>
                        <w:rFonts w:ascii="Times New Roman" w:hAnsi="Times New Roman" w:cs="Times New Roman"/>
                      </w:rPr>
                      <w:t> </w:t>
                    </w:r>
                  </w:p>
                </w:tc>
                <w:tc>
                  <w:tcPr>
                    <w:tcW w:w="1701" w:type="dxa"/>
                    <w:shd w:val="clear" w:color="auto" w:fill="auto"/>
                  </w:tcPr>
                  <w:p w14:paraId="2B83939F" w14:textId="77777777" w:rsidR="00D21C1F" w:rsidRDefault="00A42880">
                    <w:pPr>
                      <w:jc w:val="both"/>
                      <w:rPr>
                        <w:rFonts w:ascii="Times New Roman" w:hAnsi="Times New Roman" w:cs="Times New Roman"/>
                      </w:rPr>
                    </w:pPr>
                    <w:r>
                      <w:rPr>
                        <w:rFonts w:ascii="Times New Roman" w:hAnsi="Times New Roman" w:cs="Times New Roman"/>
                      </w:rPr>
                      <w:lastRenderedPageBreak/>
                      <w:t>基于</w:t>
                    </w:r>
                    <w:r>
                      <w:rPr>
                        <w:rFonts w:ascii="Times New Roman" w:hAnsi="Times New Roman" w:cs="Times New Roman"/>
                      </w:rPr>
                      <w:t>SOTA</w:t>
                    </w:r>
                    <w:r>
                      <w:rPr>
                        <w:rFonts w:ascii="Times New Roman" w:hAnsi="Times New Roman" w:cs="Times New Roman"/>
                      </w:rPr>
                      <w:t>的机器人控制，视觉及机器学习技术开展的原型系统研发。在仿真环境下进行了验证，相比基线方</w:t>
                    </w:r>
                    <w:r>
                      <w:rPr>
                        <w:rFonts w:ascii="Times New Roman" w:hAnsi="Times New Roman" w:cs="Times New Roman"/>
                      </w:rPr>
                      <w:lastRenderedPageBreak/>
                      <w:t>法成功率提高约</w:t>
                    </w:r>
                    <w:r>
                      <w:rPr>
                        <w:rFonts w:ascii="Times New Roman" w:hAnsi="Times New Roman" w:cs="Times New Roman"/>
                      </w:rPr>
                      <w:t>2%</w:t>
                    </w:r>
                    <w:r>
                      <w:rPr>
                        <w:rFonts w:ascii="Times New Roman" w:hAnsi="Times New Roman" w:cs="Times New Roman"/>
                      </w:rPr>
                      <w:t>，效率提升约</w:t>
                    </w:r>
                    <w:r>
                      <w:rPr>
                        <w:rFonts w:ascii="Times New Roman" w:hAnsi="Times New Roman" w:cs="Times New Roman"/>
                      </w:rPr>
                      <w:t>11%</w:t>
                    </w:r>
                    <w:r>
                      <w:rPr>
                        <w:rFonts w:ascii="Times New Roman" w:hAnsi="Times New Roman" w:cs="Times New Roman"/>
                      </w:rPr>
                      <w:t>，同时具备处理零件种类变换调整等基线系统无法完成的任务的能力。</w:t>
                    </w:r>
                    <w:r>
                      <w:rPr>
                        <w:rFonts w:ascii="Times New Roman" w:hAnsi="Times New Roman" w:cs="Times New Roman"/>
                      </w:rPr>
                      <w:t> </w:t>
                    </w:r>
                  </w:p>
                </w:tc>
                <w:tc>
                  <w:tcPr>
                    <w:tcW w:w="3349" w:type="dxa"/>
                    <w:shd w:val="clear" w:color="auto" w:fill="auto"/>
                  </w:tcPr>
                  <w:p w14:paraId="71C30803" w14:textId="77777777" w:rsidR="00D21C1F" w:rsidRDefault="00A42880">
                    <w:pPr>
                      <w:jc w:val="both"/>
                      <w:rPr>
                        <w:rFonts w:ascii="Times New Roman" w:hAnsi="Times New Roman" w:cs="Times New Roman"/>
                      </w:rPr>
                    </w:pPr>
                    <w:r>
                      <w:rPr>
                        <w:rFonts w:ascii="Times New Roman" w:hAnsi="Times New Roman" w:cs="Times New Roman"/>
                      </w:rPr>
                      <w:lastRenderedPageBreak/>
                      <w:t>相关技术及系统在机加装配、家具组装、电子电路组装拼装、工业物料投放等多种工业应用场景中有着广泛的应用前景。</w:t>
                    </w:r>
                    <w:r>
                      <w:rPr>
                        <w:rFonts w:ascii="Times New Roman" w:hAnsi="Times New Roman" w:cs="Times New Roman"/>
                      </w:rPr>
                      <w:t> </w:t>
                    </w:r>
                  </w:p>
                </w:tc>
              </w:tr>
            </w:sdtContent>
          </w:sdt>
          <w:sdt>
            <w:sdtPr>
              <w:rPr>
                <w:rFonts w:ascii="Times New Roman" w:hAnsi="Times New Roman" w:cs="Times New Roman"/>
              </w:rPr>
              <w:alias w:val="在研项目情况明细"/>
              <w:tag w:val="_TUP_9ddfad86f77e4024ab38f89df3f23e23"/>
              <w:id w:val="675232398"/>
              <w:lock w:val="sdtLocked"/>
              <w:placeholder>
                <w:docPart w:val="BD03748146ED43BEA71869DA6577BA52"/>
              </w:placeholder>
            </w:sdtPr>
            <w:sdtEndPr/>
            <w:sdtContent>
              <w:tr w:rsidR="00D21C1F" w14:paraId="040EF8B3" w14:textId="77777777">
                <w:tc>
                  <w:tcPr>
                    <w:tcW w:w="682" w:type="dxa"/>
                    <w:shd w:val="clear" w:color="auto" w:fill="auto"/>
                  </w:tcPr>
                  <w:p w14:paraId="30E5EE4F" w14:textId="77777777" w:rsidR="00D21C1F" w:rsidRDefault="00A42880">
                    <w:pPr>
                      <w:rPr>
                        <w:rFonts w:ascii="Times New Roman" w:hAnsi="Times New Roman" w:cs="Times New Roman"/>
                      </w:rPr>
                    </w:pPr>
                    <w:r>
                      <w:rPr>
                        <w:rFonts w:ascii="Times New Roman" w:hAnsi="Times New Roman" w:cs="Times New Roman"/>
                      </w:rPr>
                      <w:t>9</w:t>
                    </w:r>
                  </w:p>
                </w:tc>
                <w:tc>
                  <w:tcPr>
                    <w:tcW w:w="1127" w:type="dxa"/>
                    <w:shd w:val="clear" w:color="auto" w:fill="auto"/>
                  </w:tcPr>
                  <w:p w14:paraId="7FF41048" w14:textId="77777777" w:rsidR="00D21C1F" w:rsidRDefault="00A42880">
                    <w:pPr>
                      <w:jc w:val="both"/>
                      <w:rPr>
                        <w:rFonts w:ascii="Times New Roman" w:hAnsi="Times New Roman" w:cs="Times New Roman"/>
                      </w:rPr>
                    </w:pPr>
                    <w:r>
                      <w:rPr>
                        <w:rFonts w:ascii="Times New Roman" w:hAnsi="Times New Roman" w:cs="Times New Roman"/>
                      </w:rPr>
                      <w:t>五金行业的国产机器人系统集成及应用示范</w:t>
                    </w:r>
                  </w:p>
                </w:tc>
                <w:tc>
                  <w:tcPr>
                    <w:tcW w:w="1134" w:type="dxa"/>
                    <w:shd w:val="clear" w:color="auto" w:fill="auto"/>
                  </w:tcPr>
                  <w:p w14:paraId="5121943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575.00</w:t>
                    </w:r>
                  </w:p>
                </w:tc>
                <w:tc>
                  <w:tcPr>
                    <w:tcW w:w="993" w:type="dxa"/>
                    <w:shd w:val="clear" w:color="auto" w:fill="auto"/>
                  </w:tcPr>
                  <w:p w14:paraId="103FD7C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384.42</w:t>
                    </w:r>
                  </w:p>
                </w:tc>
                <w:tc>
                  <w:tcPr>
                    <w:tcW w:w="1134" w:type="dxa"/>
                    <w:shd w:val="clear" w:color="auto" w:fill="auto"/>
                  </w:tcPr>
                  <w:p w14:paraId="7C459FF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671.40</w:t>
                    </w:r>
                  </w:p>
                </w:tc>
                <w:tc>
                  <w:tcPr>
                    <w:tcW w:w="1950" w:type="dxa"/>
                    <w:shd w:val="clear" w:color="auto" w:fill="auto"/>
                  </w:tcPr>
                  <w:p w14:paraId="1615D8AA"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）在相关技术和工艺研发的基础上，在两家企业分别示范应用了两类面向五金办公文具和五金锅具的智能化生产线；</w:t>
                    </w:r>
                  </w:p>
                  <w:p w14:paraId="5F25ABD3"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）攻克了异形工件的抓取与加工难点，整体技术及产线达到国际领先水平；</w:t>
                    </w:r>
                  </w:p>
                  <w:p w14:paraId="433DB517"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）攻克了异形锅具的自动化砂光打磨，整体技术及产线达到国际领先水平；</w:t>
                    </w:r>
                  </w:p>
                  <w:p w14:paraId="3158FB5D" w14:textId="77777777" w:rsidR="00D21C1F" w:rsidRDefault="00A42880">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）在应用示范带动下，在多家五金行业公司应用推广</w:t>
                    </w:r>
                    <w:r>
                      <w:rPr>
                        <w:rFonts w:ascii="Times New Roman" w:hAnsi="Times New Roman" w:cs="Times New Roman"/>
                      </w:rPr>
                      <w:lastRenderedPageBreak/>
                      <w:t>机器人及技术产线。</w:t>
                    </w:r>
                  </w:p>
                </w:tc>
                <w:tc>
                  <w:tcPr>
                    <w:tcW w:w="2019" w:type="dxa"/>
                    <w:shd w:val="clear" w:color="auto" w:fill="auto"/>
                  </w:tcPr>
                  <w:p w14:paraId="3DAFE79E" w14:textId="77777777" w:rsidR="00D21C1F" w:rsidRDefault="00A42880">
                    <w:pPr>
                      <w:jc w:val="both"/>
                      <w:rPr>
                        <w:rFonts w:ascii="Times New Roman" w:hAnsi="Times New Roman" w:cs="Times New Roman"/>
                      </w:rPr>
                    </w:pPr>
                    <w:r>
                      <w:rPr>
                        <w:rFonts w:ascii="Times New Roman" w:hAnsi="Times New Roman" w:cs="Times New Roman"/>
                      </w:rPr>
                      <w:lastRenderedPageBreak/>
                      <w:t>实现机器人冲压、焊接、抛光、喷涂、码垛；在物流环节，实现机器人贴标、码垛、包装以及</w:t>
                    </w:r>
                    <w:r>
                      <w:rPr>
                        <w:rFonts w:ascii="Times New Roman" w:hAnsi="Times New Roman" w:cs="Times New Roman"/>
                      </w:rPr>
                      <w:t>AGV</w:t>
                    </w:r>
                    <w:r>
                      <w:rPr>
                        <w:rFonts w:ascii="Times New Roman" w:hAnsi="Times New Roman" w:cs="Times New Roman"/>
                      </w:rPr>
                      <w:t>转运；实现机器人与周边加工设备、成套物流装备系统集成，完成五金餐厨具和办公家具文具等两类五金行业的国产机器人柔性化智能生产线系统的集成应用示范，应用国产机器人</w:t>
                    </w:r>
                    <w:r>
                      <w:rPr>
                        <w:rFonts w:ascii="Times New Roman" w:hAnsi="Times New Roman" w:cs="Times New Roman"/>
                      </w:rPr>
                      <w:t>1000</w:t>
                    </w:r>
                    <w:r>
                      <w:rPr>
                        <w:rFonts w:ascii="Times New Roman" w:hAnsi="Times New Roman" w:cs="Times New Roman"/>
                      </w:rPr>
                      <w:t>台以上。</w:t>
                    </w:r>
                  </w:p>
                </w:tc>
                <w:tc>
                  <w:tcPr>
                    <w:tcW w:w="1701" w:type="dxa"/>
                    <w:shd w:val="clear" w:color="auto" w:fill="auto"/>
                  </w:tcPr>
                  <w:p w14:paraId="20556128" w14:textId="77777777" w:rsidR="00D21C1F" w:rsidRDefault="00A42880">
                    <w:pPr>
                      <w:jc w:val="both"/>
                      <w:rPr>
                        <w:rFonts w:ascii="Times New Roman" w:hAnsi="Times New Roman" w:cs="Times New Roman"/>
                      </w:rPr>
                    </w:pPr>
                    <w:r>
                      <w:rPr>
                        <w:rFonts w:ascii="Times New Roman" w:hAnsi="Times New Roman" w:cs="Times New Roman"/>
                      </w:rPr>
                      <w:t>项目完成后，突破五金行业机器人柔性化智能生产线的数字化建模仿真和布局优化、五金制造过程的多机器人自组织协作与柔性车间调度技术、五金件刚柔耦合夹持与抛光力位控制强化学习优化技术、多样化五金件三维重建及</w:t>
                    </w:r>
                    <w:r>
                      <w:rPr>
                        <w:rFonts w:ascii="Times New Roman" w:hAnsi="Times New Roman" w:cs="Times New Roman"/>
                      </w:rPr>
                      <w:t>RGB-D</w:t>
                    </w:r>
                    <w:r>
                      <w:rPr>
                        <w:rFonts w:ascii="Times New Roman" w:hAnsi="Times New Roman" w:cs="Times New Roman"/>
                      </w:rPr>
                      <w:t>图像检测识别技术、多工艺多机器人协作及柔性化智能生产线集成等关键技术。</w:t>
                    </w:r>
                  </w:p>
                </w:tc>
                <w:tc>
                  <w:tcPr>
                    <w:tcW w:w="3349" w:type="dxa"/>
                    <w:shd w:val="clear" w:color="auto" w:fill="auto"/>
                  </w:tcPr>
                  <w:p w14:paraId="067CFD52" w14:textId="77777777" w:rsidR="00D21C1F" w:rsidRDefault="00A42880">
                    <w:pPr>
                      <w:jc w:val="both"/>
                      <w:rPr>
                        <w:rFonts w:ascii="Times New Roman" w:hAnsi="Times New Roman" w:cs="Times New Roman"/>
                      </w:rPr>
                    </w:pPr>
                    <w:r>
                      <w:rPr>
                        <w:rFonts w:ascii="Times New Roman" w:hAnsi="Times New Roman" w:cs="Times New Roman"/>
                      </w:rPr>
                      <w:t>五金制品广泛应用于工业、农业和人们生活的各个领域，当前五金行业市场需求变化迅速，例如在餐厨具和办公家具文具等个性化产品定制领域。传统生产模式自动化水平低，难以应对小批量、多批次的快速产线切换需求，亟需提升柔性化和智能化水平，市场需求旺盛。</w:t>
                    </w:r>
                  </w:p>
                </w:tc>
              </w:tr>
            </w:sdtContent>
          </w:sdt>
          <w:sdt>
            <w:sdtPr>
              <w:rPr>
                <w:rFonts w:ascii="Times New Roman" w:hAnsi="Times New Roman" w:cs="Times New Roman"/>
              </w:rPr>
              <w:alias w:val="在研项目情况明细"/>
              <w:tag w:val="_TUP_9ddfad86f77e4024ab38f89df3f23e23"/>
              <w:id w:val="-1515531446"/>
              <w:lock w:val="sdtLocked"/>
              <w:placeholder>
                <w:docPart w:val="BD03748146ED43BEA71869DA6577BA52"/>
              </w:placeholder>
            </w:sdtPr>
            <w:sdtEndPr/>
            <w:sdtContent>
              <w:tr w:rsidR="00D21C1F" w14:paraId="71E45CA8" w14:textId="77777777">
                <w:tc>
                  <w:tcPr>
                    <w:tcW w:w="682" w:type="dxa"/>
                    <w:shd w:val="clear" w:color="auto" w:fill="auto"/>
                  </w:tcPr>
                  <w:p w14:paraId="4D67B08F" w14:textId="77777777" w:rsidR="00D21C1F" w:rsidRDefault="00A42880">
                    <w:pPr>
                      <w:rPr>
                        <w:rFonts w:ascii="Times New Roman" w:hAnsi="Times New Roman" w:cs="Times New Roman"/>
                      </w:rPr>
                    </w:pPr>
                    <w:r>
                      <w:rPr>
                        <w:rFonts w:ascii="Times New Roman" w:hAnsi="Times New Roman" w:cs="Times New Roman"/>
                      </w:rPr>
                      <w:t>10</w:t>
                    </w:r>
                  </w:p>
                </w:tc>
                <w:tc>
                  <w:tcPr>
                    <w:tcW w:w="1127" w:type="dxa"/>
                    <w:shd w:val="clear" w:color="auto" w:fill="auto"/>
                  </w:tcPr>
                  <w:p w14:paraId="1DED4D5F" w14:textId="77777777" w:rsidR="00D21C1F" w:rsidRDefault="00A42880">
                    <w:pPr>
                      <w:jc w:val="both"/>
                      <w:rPr>
                        <w:rFonts w:ascii="Times New Roman" w:hAnsi="Times New Roman" w:cs="Times New Roman"/>
                      </w:rPr>
                    </w:pPr>
                    <w:r>
                      <w:rPr>
                        <w:rFonts w:ascii="Times New Roman" w:hAnsi="Times New Roman" w:cs="Times New Roman"/>
                      </w:rPr>
                      <w:t>自动往复杆</w:t>
                    </w:r>
                  </w:p>
                </w:tc>
                <w:tc>
                  <w:tcPr>
                    <w:tcW w:w="1134" w:type="dxa"/>
                    <w:shd w:val="clear" w:color="auto" w:fill="auto"/>
                  </w:tcPr>
                  <w:p w14:paraId="33BDECCF"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311.23</w:t>
                    </w:r>
                  </w:p>
                </w:tc>
                <w:tc>
                  <w:tcPr>
                    <w:tcW w:w="993" w:type="dxa"/>
                    <w:shd w:val="clear" w:color="auto" w:fill="auto"/>
                  </w:tcPr>
                  <w:p w14:paraId="18329CFD"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0.17</w:t>
                    </w:r>
                  </w:p>
                </w:tc>
                <w:tc>
                  <w:tcPr>
                    <w:tcW w:w="1134" w:type="dxa"/>
                    <w:shd w:val="clear" w:color="auto" w:fill="auto"/>
                  </w:tcPr>
                  <w:p w14:paraId="68BD5CF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263.82</w:t>
                    </w:r>
                  </w:p>
                </w:tc>
                <w:tc>
                  <w:tcPr>
                    <w:tcW w:w="1950" w:type="dxa"/>
                    <w:shd w:val="clear" w:color="auto" w:fill="auto"/>
                  </w:tcPr>
                  <w:p w14:paraId="43A36AE2"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）测试自动往复杆输送机线体运行负载及最大输送速度，满足</w:t>
                    </w:r>
                    <w:r>
                      <w:rPr>
                        <w:rFonts w:ascii="Times New Roman" w:hAnsi="Times New Roman" w:cs="Times New Roman"/>
                      </w:rPr>
                      <w:t>30JPH</w:t>
                    </w:r>
                    <w:r>
                      <w:rPr>
                        <w:rFonts w:ascii="Times New Roman" w:hAnsi="Times New Roman" w:cs="Times New Roman"/>
                      </w:rPr>
                      <w:t>白车身产线输送需求；</w:t>
                    </w:r>
                  </w:p>
                  <w:p w14:paraId="6F483811"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）传输精度和设备稳定性满足白车身传输精度要求；</w:t>
                    </w:r>
                  </w:p>
                  <w:p w14:paraId="409BC775"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）设备平均故障时间不低于白车身焊装行业标准。</w:t>
                    </w:r>
                  </w:p>
                </w:tc>
                <w:tc>
                  <w:tcPr>
                    <w:tcW w:w="2019" w:type="dxa"/>
                    <w:shd w:val="clear" w:color="auto" w:fill="auto"/>
                  </w:tcPr>
                  <w:p w14:paraId="333FA0E8" w14:textId="77777777" w:rsidR="00D21C1F" w:rsidRDefault="00A42880">
                    <w:pPr>
                      <w:jc w:val="both"/>
                      <w:rPr>
                        <w:rFonts w:ascii="Times New Roman" w:hAnsi="Times New Roman" w:cs="Times New Roman"/>
                      </w:rPr>
                    </w:pPr>
                    <w:r>
                      <w:rPr>
                        <w:rFonts w:ascii="Times New Roman" w:hAnsi="Times New Roman" w:cs="Times New Roman"/>
                      </w:rPr>
                      <w:t>研制的往复杆使用气动系统与减速电机组合动力，同时应用新材料技术，使得系统运行能耗低，同时降低系统维护成本。</w:t>
                    </w:r>
                  </w:p>
                </w:tc>
                <w:tc>
                  <w:tcPr>
                    <w:tcW w:w="1701" w:type="dxa"/>
                    <w:shd w:val="clear" w:color="auto" w:fill="auto"/>
                  </w:tcPr>
                  <w:p w14:paraId="2B0CB01C" w14:textId="77777777" w:rsidR="00D21C1F" w:rsidRDefault="00A42880">
                    <w:pPr>
                      <w:jc w:val="both"/>
                      <w:rPr>
                        <w:rFonts w:ascii="Times New Roman" w:hAnsi="Times New Roman" w:cs="Times New Roman"/>
                      </w:rPr>
                    </w:pPr>
                    <w:r>
                      <w:rPr>
                        <w:rFonts w:ascii="Times New Roman" w:hAnsi="Times New Roman" w:cs="Times New Roman"/>
                      </w:rPr>
                      <w:t>基于国内外白车身生产厂家对运行能耗、维护成本的需求，可应用于白车身二级总成零部件的自动化传输，项目研发完毕后处于同行领先水平。</w:t>
                    </w:r>
                  </w:p>
                </w:tc>
                <w:tc>
                  <w:tcPr>
                    <w:tcW w:w="3349" w:type="dxa"/>
                    <w:shd w:val="clear" w:color="auto" w:fill="auto"/>
                  </w:tcPr>
                  <w:p w14:paraId="20CCF51F" w14:textId="77777777" w:rsidR="00D21C1F" w:rsidRDefault="00A42880">
                    <w:pPr>
                      <w:jc w:val="both"/>
                      <w:rPr>
                        <w:rFonts w:ascii="Times New Roman" w:hAnsi="Times New Roman" w:cs="Times New Roman"/>
                      </w:rPr>
                    </w:pPr>
                    <w:r>
                      <w:rPr>
                        <w:rFonts w:ascii="Times New Roman" w:hAnsi="Times New Roman" w:cs="Times New Roman"/>
                      </w:rPr>
                      <w:t>主要用于白车身二级总成自动化产线的自动化传输，属于白车身生产线的重要部件</w:t>
                    </w:r>
                  </w:p>
                </w:tc>
              </w:tr>
            </w:sdtContent>
          </w:sdt>
          <w:sdt>
            <w:sdtPr>
              <w:rPr>
                <w:rFonts w:ascii="Times New Roman" w:hAnsi="Times New Roman" w:cs="Times New Roman"/>
              </w:rPr>
              <w:alias w:val="在研项目情况明细"/>
              <w:tag w:val="_TUP_9ddfad86f77e4024ab38f89df3f23e23"/>
              <w:id w:val="768355268"/>
              <w:lock w:val="sdtLocked"/>
              <w:placeholder>
                <w:docPart w:val="BD03748146ED43BEA71869DA6577BA52"/>
              </w:placeholder>
            </w:sdtPr>
            <w:sdtEndPr/>
            <w:sdtContent>
              <w:tr w:rsidR="00D21C1F" w14:paraId="48E1F565" w14:textId="77777777">
                <w:tc>
                  <w:tcPr>
                    <w:tcW w:w="682" w:type="dxa"/>
                    <w:shd w:val="clear" w:color="auto" w:fill="auto"/>
                  </w:tcPr>
                  <w:p w14:paraId="60C39449" w14:textId="77777777" w:rsidR="00D21C1F" w:rsidRDefault="00A42880">
                    <w:pPr>
                      <w:rPr>
                        <w:rFonts w:ascii="Times New Roman" w:hAnsi="Times New Roman" w:cs="Times New Roman"/>
                      </w:rPr>
                    </w:pPr>
                    <w:r>
                      <w:rPr>
                        <w:rFonts w:ascii="Times New Roman" w:hAnsi="Times New Roman" w:cs="Times New Roman"/>
                      </w:rPr>
                      <w:t>11</w:t>
                    </w:r>
                  </w:p>
                </w:tc>
                <w:tc>
                  <w:tcPr>
                    <w:tcW w:w="1127" w:type="dxa"/>
                    <w:shd w:val="clear" w:color="auto" w:fill="auto"/>
                  </w:tcPr>
                  <w:p w14:paraId="4A1CAD14" w14:textId="77777777" w:rsidR="00D21C1F" w:rsidRDefault="00A42880">
                    <w:pPr>
                      <w:jc w:val="both"/>
                      <w:rPr>
                        <w:rFonts w:ascii="Times New Roman" w:hAnsi="Times New Roman" w:cs="Times New Roman"/>
                      </w:rPr>
                    </w:pPr>
                    <w:r>
                      <w:rPr>
                        <w:rFonts w:ascii="Times New Roman" w:hAnsi="Times New Roman" w:cs="Times New Roman"/>
                      </w:rPr>
                      <w:t>机器人视觉感知与电子皮肤安全控制技术研究</w:t>
                    </w:r>
                  </w:p>
                </w:tc>
                <w:tc>
                  <w:tcPr>
                    <w:tcW w:w="1134" w:type="dxa"/>
                    <w:shd w:val="clear" w:color="auto" w:fill="auto"/>
                  </w:tcPr>
                  <w:p w14:paraId="4928BC1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943.00</w:t>
                    </w:r>
                  </w:p>
                </w:tc>
                <w:tc>
                  <w:tcPr>
                    <w:tcW w:w="993" w:type="dxa"/>
                    <w:shd w:val="clear" w:color="auto" w:fill="auto"/>
                  </w:tcPr>
                  <w:p w14:paraId="3AC3D64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79.36</w:t>
                    </w:r>
                  </w:p>
                </w:tc>
                <w:tc>
                  <w:tcPr>
                    <w:tcW w:w="1134" w:type="dxa"/>
                    <w:shd w:val="clear" w:color="auto" w:fill="auto"/>
                  </w:tcPr>
                  <w:p w14:paraId="0600568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634.05</w:t>
                    </w:r>
                  </w:p>
                </w:tc>
                <w:tc>
                  <w:tcPr>
                    <w:tcW w:w="1950" w:type="dxa"/>
                    <w:shd w:val="clear" w:color="auto" w:fill="auto"/>
                  </w:tcPr>
                  <w:p w14:paraId="56047918"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）完成机器人磨削场景搭建；</w:t>
                    </w:r>
                    <w:r>
                      <w:rPr>
                        <w:rFonts w:ascii="Times New Roman" w:hAnsi="Times New Roman" w:cs="Times New Roman"/>
                      </w:rPr>
                      <w:t xml:space="preserve">        2</w:t>
                    </w:r>
                    <w:r>
                      <w:rPr>
                        <w:rFonts w:ascii="Times New Roman" w:hAnsi="Times New Roman" w:cs="Times New Roman"/>
                      </w:rPr>
                      <w:t>）完成控制器接口通讯的搭建；</w:t>
                    </w:r>
                    <w:r>
                      <w:rPr>
                        <w:rFonts w:ascii="Times New Roman" w:hAnsi="Times New Roman" w:cs="Times New Roman"/>
                      </w:rPr>
                      <w:t xml:space="preserve">      3</w:t>
                    </w:r>
                    <w:r>
                      <w:rPr>
                        <w:rFonts w:ascii="Times New Roman" w:hAnsi="Times New Roman" w:cs="Times New Roman"/>
                      </w:rPr>
                      <w:t>）完成机器人场</w:t>
                    </w:r>
                    <w:r>
                      <w:rPr>
                        <w:rFonts w:ascii="Times New Roman" w:hAnsi="Times New Roman" w:cs="Times New Roman" w:hint="eastAsia"/>
                      </w:rPr>
                      <w:t>景</w:t>
                    </w:r>
                    <w:r>
                      <w:rPr>
                        <w:rFonts w:ascii="Times New Roman" w:hAnsi="Times New Roman" w:cs="Times New Roman"/>
                      </w:rPr>
                      <w:t>对电子皮肤要求的定义。</w:t>
                    </w:r>
                  </w:p>
                </w:tc>
                <w:tc>
                  <w:tcPr>
                    <w:tcW w:w="2019" w:type="dxa"/>
                    <w:shd w:val="clear" w:color="auto" w:fill="auto"/>
                  </w:tcPr>
                  <w:p w14:paraId="04A677D2" w14:textId="77777777" w:rsidR="00D21C1F" w:rsidRDefault="00A42880">
                    <w:pPr>
                      <w:jc w:val="both"/>
                      <w:rPr>
                        <w:rFonts w:ascii="Times New Roman" w:hAnsi="Times New Roman" w:cs="Times New Roman"/>
                      </w:rPr>
                    </w:pPr>
                    <w:r>
                      <w:rPr>
                        <w:rFonts w:ascii="Times New Roman" w:hAnsi="Times New Roman" w:cs="Times New Roman"/>
                      </w:rPr>
                      <w:t>基于视觉机器人安全控制系统实现工业场景示范应用：</w:t>
                    </w:r>
                    <w:r>
                      <w:rPr>
                        <w:rFonts w:ascii="Times New Roman" w:hAnsi="Times New Roman" w:cs="Times New Roman"/>
                      </w:rPr>
                      <w:t>16</w:t>
                    </w:r>
                    <w:r>
                      <w:rPr>
                        <w:rFonts w:ascii="Times New Roman" w:hAnsi="Times New Roman" w:cs="Times New Roman"/>
                      </w:rPr>
                      <w:t>套</w:t>
                    </w:r>
                  </w:p>
                </w:tc>
                <w:tc>
                  <w:tcPr>
                    <w:tcW w:w="1701" w:type="dxa"/>
                    <w:shd w:val="clear" w:color="auto" w:fill="auto"/>
                  </w:tcPr>
                  <w:p w14:paraId="014F6E90" w14:textId="77777777" w:rsidR="00D21C1F" w:rsidRDefault="00A42880">
                    <w:pPr>
                      <w:jc w:val="both"/>
                      <w:rPr>
                        <w:rFonts w:ascii="Times New Roman" w:hAnsi="Times New Roman" w:cs="Times New Roman"/>
                      </w:rPr>
                    </w:pPr>
                    <w:r>
                      <w:rPr>
                        <w:rFonts w:ascii="Times New Roman" w:hAnsi="Times New Roman" w:cs="Times New Roman"/>
                      </w:rPr>
                      <w:t>研发完成将达到国内领先水平</w:t>
                    </w:r>
                    <w:r>
                      <w:rPr>
                        <w:rFonts w:ascii="Times New Roman" w:hAnsi="Times New Roman" w:cs="Times New Roman"/>
                      </w:rPr>
                      <w:t> </w:t>
                    </w:r>
                  </w:p>
                </w:tc>
                <w:tc>
                  <w:tcPr>
                    <w:tcW w:w="3349" w:type="dxa"/>
                    <w:shd w:val="clear" w:color="auto" w:fill="auto"/>
                  </w:tcPr>
                  <w:p w14:paraId="5F51316C" w14:textId="77777777" w:rsidR="00D21C1F" w:rsidRDefault="00A42880">
                    <w:pPr>
                      <w:jc w:val="both"/>
                      <w:rPr>
                        <w:rFonts w:ascii="Times New Roman" w:hAnsi="Times New Roman" w:cs="Times New Roman"/>
                      </w:rPr>
                    </w:pPr>
                    <w:r>
                      <w:rPr>
                        <w:rFonts w:ascii="Times New Roman" w:hAnsi="Times New Roman" w:cs="Times New Roman"/>
                      </w:rPr>
                      <w:t>是实现机器人安全控制的核心部件，目前基本被进口厂商垄断，需要实现自主化，降低制造成本</w:t>
                    </w:r>
                  </w:p>
                </w:tc>
              </w:tr>
            </w:sdtContent>
          </w:sdt>
          <w:sdt>
            <w:sdtPr>
              <w:rPr>
                <w:rFonts w:ascii="Times New Roman" w:hAnsi="Times New Roman" w:cs="Times New Roman"/>
              </w:rPr>
              <w:alias w:val="在研项目情况明细"/>
              <w:tag w:val="_TUP_9ddfad86f77e4024ab38f89df3f23e23"/>
              <w:id w:val="1212306151"/>
              <w:lock w:val="sdtLocked"/>
              <w:placeholder>
                <w:docPart w:val="027C1C82ED9F479DAAF34B47D59320D8"/>
              </w:placeholder>
            </w:sdtPr>
            <w:sdtEndPr/>
            <w:sdtContent>
              <w:tr w:rsidR="00D21C1F" w14:paraId="1FB3FC35" w14:textId="77777777">
                <w:tc>
                  <w:tcPr>
                    <w:tcW w:w="682" w:type="dxa"/>
                    <w:shd w:val="clear" w:color="auto" w:fill="auto"/>
                  </w:tcPr>
                  <w:p w14:paraId="1F8FFDFB" w14:textId="77777777" w:rsidR="00D21C1F" w:rsidRDefault="00A42880">
                    <w:pPr>
                      <w:rPr>
                        <w:rFonts w:ascii="Times New Roman" w:hAnsi="Times New Roman" w:cs="Times New Roman"/>
                      </w:rPr>
                    </w:pPr>
                    <w:r>
                      <w:rPr>
                        <w:rFonts w:ascii="Times New Roman" w:hAnsi="Times New Roman" w:cs="Times New Roman"/>
                      </w:rPr>
                      <w:t>12</w:t>
                    </w:r>
                  </w:p>
                </w:tc>
                <w:tc>
                  <w:tcPr>
                    <w:tcW w:w="1127" w:type="dxa"/>
                    <w:shd w:val="clear" w:color="auto" w:fill="auto"/>
                  </w:tcPr>
                  <w:p w14:paraId="720F5B4D" w14:textId="77777777" w:rsidR="00D21C1F" w:rsidRDefault="00A42880">
                    <w:pPr>
                      <w:jc w:val="both"/>
                      <w:rPr>
                        <w:rFonts w:ascii="Times New Roman" w:hAnsi="Times New Roman" w:cs="Times New Roman"/>
                      </w:rPr>
                    </w:pPr>
                    <w:r>
                      <w:rPr>
                        <w:rFonts w:ascii="Times New Roman" w:hAnsi="Times New Roman" w:cs="Times New Roman"/>
                      </w:rPr>
                      <w:t>喷涂机器人技术及在家具行业的示范应用项目</w:t>
                    </w:r>
                  </w:p>
                </w:tc>
                <w:tc>
                  <w:tcPr>
                    <w:tcW w:w="1134" w:type="dxa"/>
                    <w:shd w:val="clear" w:color="auto" w:fill="auto"/>
                  </w:tcPr>
                  <w:p w14:paraId="522E8000"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991.94</w:t>
                    </w:r>
                  </w:p>
                </w:tc>
                <w:tc>
                  <w:tcPr>
                    <w:tcW w:w="993" w:type="dxa"/>
                    <w:shd w:val="clear" w:color="auto" w:fill="auto"/>
                  </w:tcPr>
                  <w:p w14:paraId="5CF1508C"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74.37</w:t>
                    </w:r>
                  </w:p>
                  <w:p w14:paraId="30ABEED1" w14:textId="77777777" w:rsidR="00D21C1F" w:rsidRPr="00102F64" w:rsidRDefault="00D21C1F">
                    <w:pPr>
                      <w:jc w:val="right"/>
                      <w:rPr>
                        <w:rFonts w:ascii="Times New Roman" w:hAnsi="Times New Roman" w:cs="Times New Roman"/>
                      </w:rPr>
                    </w:pPr>
                  </w:p>
                </w:tc>
                <w:tc>
                  <w:tcPr>
                    <w:tcW w:w="1134" w:type="dxa"/>
                    <w:shd w:val="clear" w:color="auto" w:fill="auto"/>
                  </w:tcPr>
                  <w:p w14:paraId="4EF5873D"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898.58</w:t>
                    </w:r>
                  </w:p>
                  <w:p w14:paraId="3C521BA8" w14:textId="77777777" w:rsidR="00D21C1F" w:rsidRPr="00102F64" w:rsidRDefault="00D21C1F">
                    <w:pPr>
                      <w:jc w:val="right"/>
                      <w:rPr>
                        <w:rFonts w:ascii="Times New Roman" w:hAnsi="Times New Roman" w:cs="Times New Roman"/>
                      </w:rPr>
                    </w:pPr>
                  </w:p>
                </w:tc>
                <w:tc>
                  <w:tcPr>
                    <w:tcW w:w="1950" w:type="dxa"/>
                    <w:shd w:val="clear" w:color="auto" w:fill="auto"/>
                  </w:tcPr>
                  <w:p w14:paraId="34FBD678"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）完成自学习机器人拖动示教编程防爆喷涂机器人和视觉扫描自动编程功能，机器人具备可佩带旋杯的中空手腕；</w:t>
                    </w:r>
                  </w:p>
                  <w:p w14:paraId="3C5F9CA6"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）已通过防爆认证，各项指标通过第三方认证；</w:t>
                    </w:r>
                  </w:p>
                  <w:p w14:paraId="3B096B17" w14:textId="77777777" w:rsidR="00D21C1F" w:rsidRDefault="00A42880">
                    <w:pPr>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）已经完成了样机制造及批量生产，并在示范生产线上成功应用。</w:t>
                    </w:r>
                  </w:p>
                </w:tc>
                <w:tc>
                  <w:tcPr>
                    <w:tcW w:w="2019" w:type="dxa"/>
                    <w:shd w:val="clear" w:color="auto" w:fill="auto"/>
                  </w:tcPr>
                  <w:p w14:paraId="735E2293" w14:textId="77777777" w:rsidR="00D21C1F" w:rsidRDefault="00A42880">
                    <w:pPr>
                      <w:jc w:val="both"/>
                      <w:rPr>
                        <w:rFonts w:ascii="Times New Roman" w:hAnsi="Times New Roman" w:cs="Times New Roman"/>
                      </w:rPr>
                    </w:pPr>
                    <w:r>
                      <w:rPr>
                        <w:rFonts w:ascii="Times New Roman" w:hAnsi="Times New Roman" w:cs="Times New Roman"/>
                      </w:rPr>
                      <w:lastRenderedPageBreak/>
                      <w:t>开发研发自学习机器人拖动示教编程防爆喷涂机器人和视觉扫描自动编程功能，喷涂机器人可佩带旋杯的中空喷涂机器人，满足高端客户需求；开发壁挂版机器人产品，满足喷涂空间</w:t>
                    </w:r>
                    <w:r>
                      <w:rPr>
                        <w:rFonts w:ascii="Times New Roman" w:hAnsi="Times New Roman" w:cs="Times New Roman"/>
                      </w:rPr>
                      <w:lastRenderedPageBreak/>
                      <w:t>紧凑环境下的应用；开发喷涂机器人正交腕、偏置腕、分段线缆特性，实现降本、易用、满足多工况需求。</w:t>
                    </w:r>
                  </w:p>
                </w:tc>
                <w:tc>
                  <w:tcPr>
                    <w:tcW w:w="1701" w:type="dxa"/>
                    <w:shd w:val="clear" w:color="auto" w:fill="auto"/>
                  </w:tcPr>
                  <w:p w14:paraId="7D615DB4" w14:textId="77777777" w:rsidR="00D21C1F" w:rsidRDefault="00A42880">
                    <w:pPr>
                      <w:jc w:val="both"/>
                      <w:rPr>
                        <w:rFonts w:ascii="Times New Roman" w:hAnsi="Times New Roman" w:cs="Times New Roman"/>
                      </w:rPr>
                    </w:pPr>
                    <w:r>
                      <w:rPr>
                        <w:rFonts w:ascii="Times New Roman" w:hAnsi="Times New Roman" w:cs="Times New Roman"/>
                      </w:rPr>
                      <w:lastRenderedPageBreak/>
                      <w:t>项目完成后，可以实现机器人拖动示教编程，同时喷涂机器人具备防爆、中空、偏置、壁挂等特性，臂展和负载规格齐全，性能全面与国际同行对标，国内未见</w:t>
                    </w:r>
                    <w:r>
                      <w:rPr>
                        <w:rFonts w:ascii="Times New Roman" w:hAnsi="Times New Roman" w:cs="Times New Roman"/>
                      </w:rPr>
                      <w:lastRenderedPageBreak/>
                      <w:t>同类型产品，项目开发完成后达到国内领先水平</w:t>
                    </w:r>
                  </w:p>
                </w:tc>
                <w:tc>
                  <w:tcPr>
                    <w:tcW w:w="3349" w:type="dxa"/>
                    <w:shd w:val="clear" w:color="auto" w:fill="auto"/>
                  </w:tcPr>
                  <w:p w14:paraId="1B54CFC8" w14:textId="77777777" w:rsidR="00D21C1F" w:rsidRDefault="00A42880">
                    <w:pPr>
                      <w:jc w:val="both"/>
                      <w:rPr>
                        <w:rFonts w:ascii="Times New Roman" w:hAnsi="Times New Roman" w:cs="Times New Roman"/>
                      </w:rPr>
                    </w:pPr>
                    <w:r>
                      <w:rPr>
                        <w:rFonts w:ascii="Times New Roman" w:hAnsi="Times New Roman" w:cs="Times New Roman"/>
                      </w:rPr>
                      <w:lastRenderedPageBreak/>
                      <w:t>本示范应用项目的，可以实现不同种类家具产品并线喷涂生产线的集成示范并推广应用，全面提升我国家具产业的智能化制造水平，继而带动相关产业的集群发展；同时，家具机器人喷涂柔性化生产线的推广使用对于控制行业环境污染、实现污染排放集中处理、降低能源和材料消耗等环保瓶颈问题具有积极作用；</w:t>
                    </w:r>
                    <w:r>
                      <w:rPr>
                        <w:rFonts w:ascii="Times New Roman" w:hAnsi="Times New Roman" w:cs="Times New Roman"/>
                      </w:rPr>
                      <w:t> </w:t>
                    </w:r>
                  </w:p>
                </w:tc>
              </w:tr>
            </w:sdtContent>
          </w:sdt>
          <w:sdt>
            <w:sdtPr>
              <w:rPr>
                <w:rFonts w:ascii="Times New Roman" w:hAnsi="Times New Roman" w:cs="Times New Roman"/>
              </w:rPr>
              <w:alias w:val="在研项目情况明细"/>
              <w:tag w:val="_TUP_9ddfad86f77e4024ab38f89df3f23e23"/>
              <w:id w:val="-945842256"/>
              <w:lock w:val="sdtLocked"/>
              <w:placeholder>
                <w:docPart w:val="BD03748146ED43BEA71869DA6577BA52"/>
              </w:placeholder>
            </w:sdtPr>
            <w:sdtEndPr/>
            <w:sdtContent>
              <w:tr w:rsidR="00D21C1F" w14:paraId="59DD3580" w14:textId="77777777">
                <w:tc>
                  <w:tcPr>
                    <w:tcW w:w="682" w:type="dxa"/>
                    <w:shd w:val="clear" w:color="auto" w:fill="auto"/>
                  </w:tcPr>
                  <w:p w14:paraId="56DF3AD8" w14:textId="77777777" w:rsidR="00D21C1F" w:rsidRDefault="00A42880">
                    <w:pPr>
                      <w:rPr>
                        <w:rFonts w:ascii="Times New Roman" w:hAnsi="Times New Roman" w:cs="Times New Roman"/>
                      </w:rPr>
                    </w:pPr>
                    <w:r>
                      <w:rPr>
                        <w:rFonts w:ascii="Times New Roman" w:hAnsi="Times New Roman" w:cs="Times New Roman"/>
                      </w:rPr>
                      <w:t>13</w:t>
                    </w:r>
                  </w:p>
                </w:tc>
                <w:tc>
                  <w:tcPr>
                    <w:tcW w:w="1127" w:type="dxa"/>
                    <w:shd w:val="clear" w:color="auto" w:fill="auto"/>
                  </w:tcPr>
                  <w:p w14:paraId="4CE15625" w14:textId="77777777" w:rsidR="00D21C1F" w:rsidRDefault="00A42880">
                    <w:pPr>
                      <w:jc w:val="both"/>
                      <w:rPr>
                        <w:rFonts w:ascii="Times New Roman" w:hAnsi="Times New Roman" w:cs="Times New Roman"/>
                      </w:rPr>
                    </w:pPr>
                    <w:r>
                      <w:rPr>
                        <w:rFonts w:ascii="Times New Roman" w:hAnsi="Times New Roman" w:cs="Times New Roman"/>
                      </w:rPr>
                      <w:t>工业机器人核心零部件技术与应用示范</w:t>
                    </w:r>
                  </w:p>
                </w:tc>
                <w:tc>
                  <w:tcPr>
                    <w:tcW w:w="1134" w:type="dxa"/>
                    <w:shd w:val="clear" w:color="auto" w:fill="auto"/>
                  </w:tcPr>
                  <w:p w14:paraId="7BB2B5EF"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1,029.02</w:t>
                    </w:r>
                  </w:p>
                </w:tc>
                <w:tc>
                  <w:tcPr>
                    <w:tcW w:w="993" w:type="dxa"/>
                    <w:shd w:val="clear" w:color="auto" w:fill="auto"/>
                  </w:tcPr>
                  <w:p w14:paraId="11FA92A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442.91</w:t>
                    </w:r>
                  </w:p>
                </w:tc>
                <w:tc>
                  <w:tcPr>
                    <w:tcW w:w="1134" w:type="dxa"/>
                    <w:shd w:val="clear" w:color="auto" w:fill="auto"/>
                  </w:tcPr>
                  <w:p w14:paraId="54D7E74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559.16</w:t>
                    </w:r>
                  </w:p>
                </w:tc>
                <w:tc>
                  <w:tcPr>
                    <w:tcW w:w="1950" w:type="dxa"/>
                    <w:shd w:val="clear" w:color="auto" w:fill="auto"/>
                  </w:tcPr>
                  <w:p w14:paraId="79CF8E5D"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）进行了需求调研，建立了机器人及核心零部件参数集及评估方法，完成了</w:t>
                    </w:r>
                    <w:r>
                      <w:rPr>
                        <w:rFonts w:ascii="Times New Roman" w:hAnsi="Times New Roman" w:cs="Times New Roman"/>
                      </w:rPr>
                      <w:t>7</w:t>
                    </w:r>
                    <w:r>
                      <w:rPr>
                        <w:rFonts w:ascii="Times New Roman" w:hAnsi="Times New Roman" w:cs="Times New Roman"/>
                      </w:rPr>
                      <w:t>款机器人开发工作；</w:t>
                    </w:r>
                  </w:p>
                  <w:p w14:paraId="2A957940"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）进行了控制器、驱动器、减速机关键技术的研究，并取得了阶段性成果；</w:t>
                    </w:r>
                  </w:p>
                  <w:p w14:paraId="435962A4"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）开发出了新一代一体式高集成驱动器，轻量化电机产品，并在机器人上进行了应用。</w:t>
                    </w:r>
                    <w:r>
                      <w:rPr>
                        <w:rFonts w:ascii="Times New Roman" w:hAnsi="Times New Roman" w:cs="Times New Roman"/>
                      </w:rPr>
                      <w:t>4</w:t>
                    </w:r>
                    <w:r>
                      <w:rPr>
                        <w:rFonts w:ascii="Times New Roman" w:hAnsi="Times New Roman" w:cs="Times New Roman"/>
                      </w:rPr>
                      <w:t>）项目完成中期阶段性汇报材料并提交系统。</w:t>
                    </w:r>
                  </w:p>
                </w:tc>
                <w:tc>
                  <w:tcPr>
                    <w:tcW w:w="2019" w:type="dxa"/>
                    <w:shd w:val="clear" w:color="auto" w:fill="auto"/>
                  </w:tcPr>
                  <w:p w14:paraId="572A17FA" w14:textId="77777777" w:rsidR="00D21C1F" w:rsidRDefault="00A42880">
                    <w:pPr>
                      <w:jc w:val="both"/>
                      <w:rPr>
                        <w:rFonts w:ascii="Times New Roman" w:hAnsi="Times New Roman" w:cs="Times New Roman"/>
                      </w:rPr>
                    </w:pPr>
                    <w:r>
                      <w:rPr>
                        <w:rFonts w:ascii="Times New Roman" w:hAnsi="Times New Roman" w:cs="Times New Roman"/>
                      </w:rPr>
                      <w:t>面向工业机器人国产核心部件自主化不足，高端缺失，迫切需要批量应用的需求，突破工业机器人控制器、伺服电机及驱动、精密减速机等核心部件及其规模化生产与应用的核心技术，研制出</w:t>
                    </w:r>
                    <w:r>
                      <w:rPr>
                        <w:rFonts w:ascii="Times New Roman" w:hAnsi="Times New Roman" w:cs="Times New Roman"/>
                      </w:rPr>
                      <w:t>7</w:t>
                    </w:r>
                    <w:r>
                      <w:rPr>
                        <w:rFonts w:ascii="Times New Roman" w:hAnsi="Times New Roman" w:cs="Times New Roman"/>
                      </w:rPr>
                      <w:t>种规格</w:t>
                    </w:r>
                    <w:r>
                      <w:rPr>
                        <w:rFonts w:ascii="Times New Roman" w:hAnsi="Times New Roman" w:cs="Times New Roman"/>
                      </w:rPr>
                      <w:t xml:space="preserve"> 6</w:t>
                    </w:r>
                    <w:r>
                      <w:rPr>
                        <w:rFonts w:ascii="Times New Roman" w:hAnsi="Times New Roman" w:cs="Times New Roman"/>
                      </w:rPr>
                      <w:t>关节集成高性能核心部件的工业机器人，实现在焊接、打磨、装配、搬运、喷涂等场景不低于</w:t>
                    </w:r>
                    <w:r>
                      <w:rPr>
                        <w:rFonts w:ascii="Times New Roman" w:hAnsi="Times New Roman" w:cs="Times New Roman"/>
                      </w:rPr>
                      <w:t xml:space="preserve">3000 </w:t>
                    </w:r>
                    <w:r>
                      <w:rPr>
                        <w:rFonts w:ascii="Times New Roman" w:hAnsi="Times New Roman" w:cs="Times New Roman"/>
                      </w:rPr>
                      <w:t>台套的批量应用</w:t>
                    </w:r>
                  </w:p>
                </w:tc>
                <w:tc>
                  <w:tcPr>
                    <w:tcW w:w="1701" w:type="dxa"/>
                    <w:shd w:val="clear" w:color="auto" w:fill="auto"/>
                  </w:tcPr>
                  <w:p w14:paraId="04E6A8F7" w14:textId="77777777" w:rsidR="00D21C1F" w:rsidRDefault="00A42880">
                    <w:pPr>
                      <w:jc w:val="both"/>
                      <w:rPr>
                        <w:rFonts w:ascii="Times New Roman" w:hAnsi="Times New Roman" w:cs="Times New Roman"/>
                      </w:rPr>
                    </w:pPr>
                    <w:r>
                      <w:rPr>
                        <w:rFonts w:ascii="Times New Roman" w:hAnsi="Times New Roman" w:cs="Times New Roman"/>
                      </w:rPr>
                      <w:t>研制出机器人精密减速机、伺服电机和驱动器、机器人控制器等核心零部件产品，性能指标达到国际先进水平；</w:t>
                    </w:r>
                    <w:r>
                      <w:rPr>
                        <w:rFonts w:ascii="Times New Roman" w:hAnsi="Times New Roman" w:cs="Times New Roman"/>
                      </w:rPr>
                      <w:t xml:space="preserve"> </w:t>
                    </w:r>
                    <w:r>
                      <w:rPr>
                        <w:rFonts w:ascii="Times New Roman" w:hAnsi="Times New Roman" w:cs="Times New Roman"/>
                      </w:rPr>
                      <w:t>以此为基础，研制出不少于</w:t>
                    </w:r>
                    <w:r>
                      <w:rPr>
                        <w:rFonts w:ascii="Times New Roman" w:hAnsi="Times New Roman" w:cs="Times New Roman"/>
                      </w:rPr>
                      <w:t xml:space="preserve"> 5 </w:t>
                    </w:r>
                    <w:r>
                      <w:rPr>
                        <w:rFonts w:ascii="Times New Roman" w:hAnsi="Times New Roman" w:cs="Times New Roman"/>
                      </w:rPr>
                      <w:t>种规格、</w:t>
                    </w:r>
                    <w:r>
                      <w:rPr>
                        <w:rFonts w:ascii="Times New Roman" w:hAnsi="Times New Roman" w:cs="Times New Roman"/>
                      </w:rPr>
                      <w:t xml:space="preserve">6   </w:t>
                    </w:r>
                    <w:r>
                      <w:rPr>
                        <w:rFonts w:ascii="Times New Roman" w:hAnsi="Times New Roman" w:cs="Times New Roman"/>
                      </w:rPr>
                      <w:t>自由度及以上关节型工业机器人，重复定位精度、速度、负载自重比等指标达到国际同</w:t>
                    </w:r>
                    <w:r>
                      <w:rPr>
                        <w:rFonts w:ascii="Times New Roman" w:hAnsi="Times New Roman" w:cs="Times New Roman"/>
                      </w:rPr>
                      <w:t xml:space="preserve"> </w:t>
                    </w:r>
                    <w:r>
                      <w:rPr>
                        <w:rFonts w:ascii="Times New Roman" w:hAnsi="Times New Roman" w:cs="Times New Roman"/>
                      </w:rPr>
                      <w:t>类产品先进水平</w:t>
                    </w:r>
                  </w:p>
                </w:tc>
                <w:tc>
                  <w:tcPr>
                    <w:tcW w:w="3349" w:type="dxa"/>
                    <w:shd w:val="clear" w:color="auto" w:fill="auto"/>
                  </w:tcPr>
                  <w:p w14:paraId="1FECC8B9" w14:textId="7185C7A2" w:rsidR="00D21C1F" w:rsidRDefault="00A42880">
                    <w:pPr>
                      <w:jc w:val="both"/>
                      <w:rPr>
                        <w:rFonts w:ascii="Times New Roman" w:hAnsi="Times New Roman" w:cs="Times New Roman"/>
                      </w:rPr>
                    </w:pPr>
                    <w:r>
                      <w:rPr>
                        <w:rFonts w:ascii="Times New Roman" w:hAnsi="Times New Roman" w:cs="Times New Roman"/>
                      </w:rPr>
                      <w:t>推动自主核心零部件在埃夫特机器人的批量导入，有效提高</w:t>
                    </w:r>
                    <w:r w:rsidR="00574874">
                      <w:rPr>
                        <w:rFonts w:ascii="Times New Roman" w:hAnsi="Times New Roman" w:cs="Times New Roman" w:hint="eastAsia"/>
                      </w:rPr>
                      <w:t>埃夫特机器人的</w:t>
                    </w:r>
                    <w:r>
                      <w:rPr>
                        <w:rFonts w:ascii="Times New Roman" w:hAnsi="Times New Roman" w:cs="Times New Roman"/>
                      </w:rPr>
                      <w:t>核心竞争力。</w:t>
                    </w:r>
                  </w:p>
                </w:tc>
              </w:tr>
            </w:sdtContent>
          </w:sdt>
          <w:sdt>
            <w:sdtPr>
              <w:rPr>
                <w:rFonts w:ascii="Times New Roman" w:hAnsi="Times New Roman" w:cs="Times New Roman"/>
              </w:rPr>
              <w:alias w:val="在研项目情况明细"/>
              <w:tag w:val="_TUP_9ddfad86f77e4024ab38f89df3f23e23"/>
              <w:id w:val="-1839152000"/>
              <w:lock w:val="sdtLocked"/>
              <w:placeholder>
                <w:docPart w:val="BD03748146ED43BEA71869DA6577BA52"/>
              </w:placeholder>
            </w:sdtPr>
            <w:sdtEndPr/>
            <w:sdtContent>
              <w:tr w:rsidR="00D21C1F" w14:paraId="52A9FC2B" w14:textId="77777777">
                <w:tc>
                  <w:tcPr>
                    <w:tcW w:w="682" w:type="dxa"/>
                    <w:shd w:val="clear" w:color="auto" w:fill="auto"/>
                  </w:tcPr>
                  <w:p w14:paraId="165A569B" w14:textId="77777777" w:rsidR="00D21C1F" w:rsidRDefault="00A42880">
                    <w:pPr>
                      <w:rPr>
                        <w:rFonts w:ascii="Times New Roman" w:hAnsi="Times New Roman" w:cs="Times New Roman"/>
                      </w:rPr>
                    </w:pPr>
                    <w:r>
                      <w:rPr>
                        <w:rFonts w:ascii="Times New Roman" w:hAnsi="Times New Roman" w:cs="Times New Roman"/>
                      </w:rPr>
                      <w:t>14</w:t>
                    </w:r>
                  </w:p>
                </w:tc>
                <w:tc>
                  <w:tcPr>
                    <w:tcW w:w="1127" w:type="dxa"/>
                    <w:shd w:val="clear" w:color="auto" w:fill="auto"/>
                  </w:tcPr>
                  <w:p w14:paraId="22B92964" w14:textId="77777777" w:rsidR="00D21C1F" w:rsidRDefault="00A42880">
                    <w:pPr>
                      <w:jc w:val="both"/>
                      <w:rPr>
                        <w:rFonts w:ascii="Times New Roman" w:hAnsi="Times New Roman" w:cs="Times New Roman"/>
                      </w:rPr>
                    </w:pPr>
                    <w:r>
                      <w:rPr>
                        <w:rFonts w:ascii="Times New Roman" w:hAnsi="Times New Roman" w:cs="Times New Roman"/>
                      </w:rPr>
                      <w:t>高刚高精密减速机设计和关键工艺技术</w:t>
                    </w:r>
                  </w:p>
                </w:tc>
                <w:tc>
                  <w:tcPr>
                    <w:tcW w:w="1134" w:type="dxa"/>
                    <w:shd w:val="clear" w:color="auto" w:fill="auto"/>
                  </w:tcPr>
                  <w:p w14:paraId="347593D5"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1,000.00</w:t>
                    </w:r>
                  </w:p>
                </w:tc>
                <w:tc>
                  <w:tcPr>
                    <w:tcW w:w="993" w:type="dxa"/>
                    <w:shd w:val="clear" w:color="auto" w:fill="auto"/>
                  </w:tcPr>
                  <w:p w14:paraId="1DB5163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821.72</w:t>
                    </w:r>
                  </w:p>
                </w:tc>
                <w:tc>
                  <w:tcPr>
                    <w:tcW w:w="1134" w:type="dxa"/>
                    <w:shd w:val="clear" w:color="auto" w:fill="auto"/>
                  </w:tcPr>
                  <w:p w14:paraId="4721180A"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877.84</w:t>
                    </w:r>
                  </w:p>
                </w:tc>
                <w:tc>
                  <w:tcPr>
                    <w:tcW w:w="1950" w:type="dxa"/>
                    <w:shd w:val="clear" w:color="auto" w:fill="auto"/>
                  </w:tcPr>
                  <w:p w14:paraId="5BA400FC"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w:t>
                    </w:r>
                    <w:r>
                      <w:rPr>
                        <w:rFonts w:ascii="Times New Roman" w:hAnsi="Times New Roman" w:cs="Times New Roman"/>
                      </w:rPr>
                      <w:t>16</w:t>
                    </w:r>
                    <w:r>
                      <w:rPr>
                        <w:rFonts w:ascii="Times New Roman" w:hAnsi="Times New Roman" w:cs="Times New Roman"/>
                      </w:rPr>
                      <w:t>款电机齿轮开发，其中</w:t>
                    </w:r>
                    <w:r>
                      <w:rPr>
                        <w:rFonts w:ascii="Times New Roman" w:hAnsi="Times New Roman" w:cs="Times New Roman"/>
                      </w:rPr>
                      <w:t>42N</w:t>
                    </w:r>
                    <w:r>
                      <w:rPr>
                        <w:rFonts w:ascii="Times New Roman" w:hAnsi="Times New Roman" w:cs="Times New Roman"/>
                      </w:rPr>
                      <w:t>、</w:t>
                    </w:r>
                    <w:r>
                      <w:rPr>
                        <w:rFonts w:ascii="Times New Roman" w:hAnsi="Times New Roman" w:cs="Times New Roman"/>
                      </w:rPr>
                      <w:t>60N</w:t>
                    </w:r>
                    <w:r>
                      <w:rPr>
                        <w:rFonts w:ascii="Times New Roman" w:hAnsi="Times New Roman" w:cs="Times New Roman"/>
                      </w:rPr>
                      <w:t>、</w:t>
                    </w:r>
                    <w:r>
                      <w:rPr>
                        <w:rFonts w:ascii="Times New Roman" w:hAnsi="Times New Roman" w:cs="Times New Roman"/>
                      </w:rPr>
                      <w:t>160N</w:t>
                    </w:r>
                    <w:r>
                      <w:rPr>
                        <w:rFonts w:ascii="Times New Roman" w:hAnsi="Times New Roman" w:cs="Times New Roman"/>
                      </w:rPr>
                      <w:t>、</w:t>
                    </w:r>
                    <w:r>
                      <w:rPr>
                        <w:rFonts w:ascii="Times New Roman" w:hAnsi="Times New Roman" w:cs="Times New Roman"/>
                      </w:rPr>
                      <w:t>320E</w:t>
                    </w:r>
                    <w:r>
                      <w:rPr>
                        <w:rFonts w:ascii="Times New Roman" w:hAnsi="Times New Roman" w:cs="Times New Roman"/>
                      </w:rPr>
                      <w:t>等搭载</w:t>
                    </w:r>
                    <w:r>
                      <w:rPr>
                        <w:rFonts w:ascii="Times New Roman" w:hAnsi="Times New Roman" w:cs="Times New Roman"/>
                      </w:rPr>
                      <w:t>Nab</w:t>
                    </w:r>
                    <w:r>
                      <w:rPr>
                        <w:rFonts w:ascii="Times New Roman" w:hAnsi="Times New Roman" w:cs="Times New Roman"/>
                      </w:rPr>
                      <w:t>批量使用；</w:t>
                    </w:r>
                  </w:p>
                  <w:p w14:paraId="3DC6BD15" w14:textId="77777777" w:rsidR="00D21C1F" w:rsidRDefault="00A42880">
                    <w:pPr>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）整体精度提升至</w:t>
                    </w:r>
                    <w:r>
                      <w:rPr>
                        <w:rFonts w:ascii="Times New Roman" w:hAnsi="Times New Roman" w:cs="Times New Roman"/>
                      </w:rPr>
                      <w:t>IT6</w:t>
                    </w:r>
                    <w:r>
                      <w:rPr>
                        <w:rFonts w:ascii="Times New Roman" w:hAnsi="Times New Roman" w:cs="Times New Roman"/>
                      </w:rPr>
                      <w:t>级，如</w:t>
                    </w:r>
                    <w:r>
                      <w:rPr>
                        <w:rFonts w:ascii="Times New Roman" w:hAnsi="Times New Roman" w:cs="Times New Roman"/>
                      </w:rPr>
                      <w:t>FHβ</w:t>
                    </w:r>
                    <w:r>
                      <w:rPr>
                        <w:rFonts w:ascii="Times New Roman" w:hAnsi="Times New Roman" w:cs="Times New Roman"/>
                      </w:rPr>
                      <w:t>、</w:t>
                    </w:r>
                    <w:r>
                      <w:rPr>
                        <w:rFonts w:ascii="Times New Roman" w:hAnsi="Times New Roman" w:cs="Times New Roman"/>
                      </w:rPr>
                      <w:t>Fβ</w:t>
                    </w:r>
                    <w:r>
                      <w:rPr>
                        <w:rFonts w:ascii="Times New Roman" w:hAnsi="Times New Roman" w:cs="Times New Roman"/>
                      </w:rPr>
                      <w:t>、</w:t>
                    </w:r>
                    <w:r>
                      <w:rPr>
                        <w:rFonts w:ascii="Times New Roman" w:hAnsi="Times New Roman" w:cs="Times New Roman"/>
                      </w:rPr>
                      <w:t>FFβ</w:t>
                    </w:r>
                    <w:r>
                      <w:rPr>
                        <w:rFonts w:ascii="Times New Roman" w:hAnsi="Times New Roman" w:cs="Times New Roman"/>
                      </w:rPr>
                      <w:t>；</w:t>
                    </w:r>
                  </w:p>
                  <w:p w14:paraId="0C5099EF"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）完成产线建设；</w:t>
                    </w:r>
                  </w:p>
                  <w:p w14:paraId="0B2E2E5C" w14:textId="77777777" w:rsidR="00D21C1F" w:rsidRDefault="00A42880">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hAnsi="Times New Roman" w:cs="Times New Roman" w:hint="eastAsia"/>
                      </w:rPr>
                      <w:t>完成</w:t>
                    </w:r>
                    <w:r>
                      <w:rPr>
                        <w:rFonts w:ascii="Times New Roman" w:hAnsi="Times New Roman" w:cs="Times New Roman"/>
                      </w:rPr>
                      <w:t>14</w:t>
                    </w:r>
                    <w:r>
                      <w:t>种输出、输出法兰的加工</w:t>
                    </w:r>
                    <w:r>
                      <w:rPr>
                        <w:rFonts w:ascii="Times New Roman" w:hAnsi="Times New Roman" w:cs="Times New Roman"/>
                      </w:rPr>
                      <w:t>。</w:t>
                    </w:r>
                  </w:p>
                </w:tc>
                <w:tc>
                  <w:tcPr>
                    <w:tcW w:w="2019" w:type="dxa"/>
                    <w:shd w:val="clear" w:color="auto" w:fill="auto"/>
                  </w:tcPr>
                  <w:p w14:paraId="05B52C4F" w14:textId="77777777" w:rsidR="00D21C1F" w:rsidRDefault="00A42880">
                    <w:pPr>
                      <w:jc w:val="both"/>
                      <w:rPr>
                        <w:rFonts w:ascii="Times New Roman" w:hAnsi="Times New Roman" w:cs="Times New Roman"/>
                      </w:rPr>
                    </w:pPr>
                    <w:r>
                      <w:rPr>
                        <w:rFonts w:ascii="Times New Roman" w:hAnsi="Times New Roman" w:cs="Times New Roman"/>
                      </w:rPr>
                      <w:lastRenderedPageBreak/>
                      <w:t>1</w:t>
                    </w:r>
                    <w:r>
                      <w:rPr>
                        <w:rFonts w:ascii="Times New Roman" w:hAnsi="Times New Roman" w:cs="Times New Roman"/>
                      </w:rPr>
                      <w:t>）</w:t>
                    </w:r>
                    <w:r>
                      <w:rPr>
                        <w:rFonts w:ascii="Times New Roman" w:hAnsi="Times New Roman" w:cs="Times New Roman"/>
                      </w:rPr>
                      <w:t xml:space="preserve">RV   </w:t>
                    </w:r>
                    <w:r>
                      <w:rPr>
                        <w:rFonts w:ascii="Times New Roman" w:hAnsi="Times New Roman" w:cs="Times New Roman"/>
                      </w:rPr>
                      <w:t>精密减速机：研制适用于多工况工业机器人</w:t>
                    </w:r>
                    <w:r>
                      <w:rPr>
                        <w:rFonts w:ascii="Times New Roman" w:hAnsi="Times New Roman" w:cs="Times New Roman"/>
                      </w:rPr>
                      <w:t xml:space="preserve">RV </w:t>
                    </w:r>
                    <w:r>
                      <w:rPr>
                        <w:rFonts w:ascii="Times New Roman" w:hAnsi="Times New Roman" w:cs="Times New Roman"/>
                      </w:rPr>
                      <w:t>减速机</w:t>
                    </w:r>
                    <w:r>
                      <w:rPr>
                        <w:rFonts w:ascii="Times New Roman" w:hAnsi="Times New Roman" w:cs="Times New Roman"/>
                      </w:rPr>
                      <w:t xml:space="preserve"> 3 </w:t>
                    </w:r>
                    <w:r>
                      <w:rPr>
                        <w:rFonts w:ascii="Times New Roman" w:hAnsi="Times New Roman" w:cs="Times New Roman"/>
                      </w:rPr>
                      <w:t>个系列</w:t>
                    </w:r>
                    <w:r>
                      <w:rPr>
                        <w:rFonts w:ascii="Times New Roman" w:hAnsi="Times New Roman" w:cs="Times New Roman"/>
                      </w:rPr>
                      <w:t xml:space="preserve"> 10 </w:t>
                    </w:r>
                    <w:r>
                      <w:rPr>
                        <w:rFonts w:ascii="Times New Roman" w:hAnsi="Times New Roman" w:cs="Times New Roman"/>
                      </w:rPr>
                      <w:t>种，背隙（齿隙）</w:t>
                    </w:r>
                    <w:r>
                      <w:rPr>
                        <w:rFonts w:ascii="Times New Roman" w:hAnsi="Times New Roman" w:cs="Times New Roman"/>
                      </w:rPr>
                      <w:t xml:space="preserve"> </w:t>
                    </w:r>
                    <w:r>
                      <w:rPr>
                        <w:rFonts w:ascii="Times New Roman" w:hAnsi="Times New Roman" w:cs="Times New Roman"/>
                      </w:rPr>
                      <w:lastRenderedPageBreak/>
                      <w:t>≤0.6   arc.min</w:t>
                    </w:r>
                    <w:r>
                      <w:rPr>
                        <w:rFonts w:ascii="Times New Roman" w:hAnsi="Times New Roman" w:cs="Times New Roman"/>
                      </w:rPr>
                      <w:t>，传动效率</w:t>
                    </w:r>
                    <w:r>
                      <w:rPr>
                        <w:rFonts w:ascii="Times New Roman" w:hAnsi="Times New Roman" w:cs="Times New Roman"/>
                      </w:rPr>
                      <w:t>≥83%</w:t>
                    </w:r>
                    <w:r>
                      <w:rPr>
                        <w:rFonts w:ascii="Times New Roman" w:hAnsi="Times New Roman" w:cs="Times New Roman"/>
                      </w:rPr>
                      <w:t>，噪声</w:t>
                    </w:r>
                    <w:r>
                      <w:rPr>
                        <w:rFonts w:ascii="Times New Roman" w:hAnsi="Times New Roman" w:cs="Times New Roman"/>
                      </w:rPr>
                      <w:t>≤70dB</w:t>
                    </w:r>
                    <w:r>
                      <w:rPr>
                        <w:rFonts w:ascii="Times New Roman" w:hAnsi="Times New Roman" w:cs="Times New Roman"/>
                      </w:rPr>
                      <w:t>；</w:t>
                    </w:r>
                  </w:p>
                  <w:p w14:paraId="12717E9C"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）控制器：最大控制轴数</w:t>
                    </w:r>
                    <w:r>
                      <w:rPr>
                        <w:rFonts w:ascii="Times New Roman" w:hAnsi="Times New Roman" w:cs="Times New Roman"/>
                      </w:rPr>
                      <w:t xml:space="preserve"> 256 </w:t>
                    </w:r>
                    <w:r>
                      <w:rPr>
                        <w:rFonts w:ascii="Times New Roman" w:hAnsi="Times New Roman" w:cs="Times New Roman"/>
                      </w:rPr>
                      <w:t>轴，</w:t>
                    </w:r>
                    <w:r>
                      <w:rPr>
                        <w:rFonts w:ascii="Times New Roman" w:hAnsi="Times New Roman" w:cs="Times New Roman"/>
                      </w:rPr>
                      <w:t xml:space="preserve"> </w:t>
                    </w:r>
                    <w:r>
                      <w:rPr>
                        <w:rFonts w:ascii="Times New Roman" w:hAnsi="Times New Roman" w:cs="Times New Roman"/>
                      </w:rPr>
                      <w:t>具有</w:t>
                    </w:r>
                    <w:r>
                      <w:rPr>
                        <w:rFonts w:ascii="Times New Roman" w:hAnsi="Times New Roman" w:cs="Times New Roman"/>
                      </w:rPr>
                      <w:t>Ethercat</w:t>
                    </w:r>
                    <w:r>
                      <w:rPr>
                        <w:rFonts w:ascii="Times New Roman" w:hAnsi="Times New Roman" w:cs="Times New Roman"/>
                      </w:rPr>
                      <w:t>、</w:t>
                    </w:r>
                    <w:r>
                      <w:rPr>
                        <w:rFonts w:ascii="Times New Roman" w:hAnsi="Times New Roman" w:cs="Times New Roman"/>
                      </w:rPr>
                      <w:t xml:space="preserve"> Profinet</w:t>
                    </w:r>
                    <w:r>
                      <w:rPr>
                        <w:rFonts w:ascii="Times New Roman" w:hAnsi="Times New Roman" w:cs="Times New Roman"/>
                      </w:rPr>
                      <w:t>、工业以太网总线接口；功能安全单元安全等级</w:t>
                    </w:r>
                    <w:r>
                      <w:rPr>
                        <w:rFonts w:ascii="Times New Roman" w:hAnsi="Times New Roman" w:cs="Times New Roman"/>
                      </w:rPr>
                      <w:t>SIL2</w:t>
                    </w:r>
                    <w:r>
                      <w:rPr>
                        <w:rFonts w:ascii="Times New Roman" w:hAnsi="Times New Roman" w:cs="Times New Roman"/>
                      </w:rPr>
                      <w:t>；</w:t>
                    </w:r>
                  </w:p>
                  <w:p w14:paraId="2712EB15"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）驱动器：研制系列伺服驱动器，</w:t>
                    </w:r>
                    <w:r>
                      <w:rPr>
                        <w:rFonts w:ascii="Times New Roman" w:hAnsi="Times New Roman" w:cs="Times New Roman"/>
                      </w:rPr>
                      <w:t xml:space="preserve"> </w:t>
                    </w:r>
                    <w:r>
                      <w:rPr>
                        <w:rFonts w:ascii="Times New Roman" w:hAnsi="Times New Roman" w:cs="Times New Roman"/>
                      </w:rPr>
                      <w:t>功率范围</w:t>
                    </w:r>
                    <w:r>
                      <w:rPr>
                        <w:rFonts w:ascii="Times New Roman" w:hAnsi="Times New Roman" w:cs="Times New Roman"/>
                      </w:rPr>
                      <w:t>2kW-20kW</w:t>
                    </w:r>
                    <w:r>
                      <w:rPr>
                        <w:rFonts w:ascii="Times New Roman" w:hAnsi="Times New Roman" w:cs="Times New Roman"/>
                      </w:rPr>
                      <w:t>，</w:t>
                    </w:r>
                    <w:r>
                      <w:rPr>
                        <w:rFonts w:ascii="Times New Roman" w:hAnsi="Times New Roman" w:cs="Times New Roman"/>
                      </w:rPr>
                      <w:t xml:space="preserve"> 3.5</w:t>
                    </w:r>
                    <w:r>
                      <w:rPr>
                        <w:rFonts w:ascii="Times New Roman" w:hAnsi="Times New Roman" w:cs="Times New Roman"/>
                      </w:rPr>
                      <w:t>倍以上过载，最高速度</w:t>
                    </w:r>
                    <w:r>
                      <w:rPr>
                        <w:rFonts w:ascii="Times New Roman" w:hAnsi="Times New Roman" w:cs="Times New Roman"/>
                      </w:rPr>
                      <w:t>6500r/min</w:t>
                    </w:r>
                    <w:r>
                      <w:rPr>
                        <w:rFonts w:ascii="Times New Roman" w:hAnsi="Times New Roman" w:cs="Times New Roman"/>
                      </w:rPr>
                      <w:t>，转矩环带宽</w:t>
                    </w:r>
                    <w:r>
                      <w:rPr>
                        <w:rFonts w:ascii="Times New Roman" w:hAnsi="Times New Roman" w:cs="Times New Roman"/>
                      </w:rPr>
                      <w:t>≥8kHz</w:t>
                    </w:r>
                    <w:r>
                      <w:rPr>
                        <w:rFonts w:ascii="Times New Roman" w:hAnsi="Times New Roman" w:cs="Times New Roman"/>
                      </w:rPr>
                      <w:t>，速度环带宽</w:t>
                    </w:r>
                    <w:r>
                      <w:rPr>
                        <w:rFonts w:ascii="Times New Roman" w:hAnsi="Times New Roman" w:cs="Times New Roman"/>
                      </w:rPr>
                      <w:t>≥3kHz</w:t>
                    </w:r>
                    <w:r>
                      <w:rPr>
                        <w:rFonts w:ascii="Times New Roman" w:hAnsi="Times New Roman" w:cs="Times New Roman"/>
                      </w:rPr>
                      <w:t>，参数辨识与自整定，</w:t>
                    </w:r>
                    <w:r>
                      <w:rPr>
                        <w:rFonts w:ascii="Times New Roman" w:hAnsi="Times New Roman" w:cs="Times New Roman"/>
                      </w:rPr>
                      <w:t xml:space="preserve"> </w:t>
                    </w:r>
                    <w:r>
                      <w:rPr>
                        <w:rFonts w:ascii="Times New Roman" w:hAnsi="Times New Roman" w:cs="Times New Roman"/>
                      </w:rPr>
                      <w:t>控制模式在线切换，</w:t>
                    </w:r>
                    <w:r>
                      <w:rPr>
                        <w:rFonts w:ascii="Times New Roman" w:hAnsi="Times New Roman" w:cs="Times New Roman"/>
                      </w:rPr>
                      <w:t xml:space="preserve"> </w:t>
                    </w:r>
                    <w:r>
                      <w:rPr>
                        <w:rFonts w:ascii="Times New Roman" w:hAnsi="Times New Roman" w:cs="Times New Roman"/>
                      </w:rPr>
                      <w:t>功能安全；</w:t>
                    </w:r>
                  </w:p>
                </w:tc>
                <w:tc>
                  <w:tcPr>
                    <w:tcW w:w="1701" w:type="dxa"/>
                    <w:shd w:val="clear" w:color="auto" w:fill="auto"/>
                  </w:tcPr>
                  <w:p w14:paraId="1BD15840" w14:textId="77777777" w:rsidR="00D21C1F" w:rsidRDefault="00A42880">
                    <w:pPr>
                      <w:jc w:val="both"/>
                      <w:rPr>
                        <w:rFonts w:ascii="Times New Roman" w:hAnsi="Times New Roman" w:cs="Times New Roman"/>
                      </w:rPr>
                    </w:pPr>
                    <w:r>
                      <w:rPr>
                        <w:rFonts w:ascii="Times New Roman" w:hAnsi="Times New Roman" w:cs="Times New Roman"/>
                      </w:rPr>
                      <w:lastRenderedPageBreak/>
                      <w:t>研发完成将达到国内领先水平</w:t>
                    </w:r>
                    <w:r>
                      <w:rPr>
                        <w:rFonts w:ascii="Times New Roman" w:hAnsi="Times New Roman" w:cs="Times New Roman"/>
                      </w:rPr>
                      <w:t> </w:t>
                    </w:r>
                  </w:p>
                </w:tc>
                <w:tc>
                  <w:tcPr>
                    <w:tcW w:w="3349" w:type="dxa"/>
                    <w:shd w:val="clear" w:color="auto" w:fill="auto"/>
                  </w:tcPr>
                  <w:p w14:paraId="49335E00" w14:textId="77777777" w:rsidR="00D21C1F" w:rsidRDefault="00A42880">
                    <w:pPr>
                      <w:jc w:val="both"/>
                      <w:rPr>
                        <w:rFonts w:ascii="Times New Roman" w:hAnsi="Times New Roman" w:cs="Times New Roman"/>
                      </w:rPr>
                    </w:pPr>
                    <w:r>
                      <w:rPr>
                        <w:rFonts w:ascii="Times New Roman" w:hAnsi="Times New Roman" w:cs="Times New Roman"/>
                      </w:rPr>
                      <w:t>围绕工业机器人减速机核心技术开展，针对一般工业领域中目前国产减速机存在的核心问题展开，研发具有明确的技术目标和指标，项目预计达到国际领先水</w:t>
                    </w:r>
                    <w:r>
                      <w:rPr>
                        <w:rFonts w:ascii="Times New Roman" w:hAnsi="Times New Roman" w:cs="Times New Roman"/>
                      </w:rPr>
                      <w:lastRenderedPageBreak/>
                      <w:t>平，实现我国机器人精密减速机在本项目研发的产品可以应用于汽车及零部件、电子、金属加工、建筑及材料、食品饮料、造船、航空航天等领域，具有广阔的应用前景。</w:t>
                    </w:r>
                  </w:p>
                </w:tc>
              </w:tr>
            </w:sdtContent>
          </w:sdt>
          <w:sdt>
            <w:sdtPr>
              <w:rPr>
                <w:rFonts w:ascii="Times New Roman" w:hAnsi="Times New Roman" w:cs="Times New Roman"/>
              </w:rPr>
              <w:alias w:val="在研项目情况明细"/>
              <w:tag w:val="_TUP_9ddfad86f77e4024ab38f89df3f23e23"/>
              <w:id w:val="-1043977617"/>
              <w:lock w:val="sdtLocked"/>
              <w:placeholder>
                <w:docPart w:val="BD03748146ED43BEA71869DA6577BA52"/>
              </w:placeholder>
            </w:sdtPr>
            <w:sdtEndPr/>
            <w:sdtContent>
              <w:tr w:rsidR="00D21C1F" w14:paraId="1B806D02" w14:textId="77777777">
                <w:tc>
                  <w:tcPr>
                    <w:tcW w:w="682" w:type="dxa"/>
                    <w:shd w:val="clear" w:color="auto" w:fill="auto"/>
                  </w:tcPr>
                  <w:p w14:paraId="5E3BD31D" w14:textId="77777777" w:rsidR="00D21C1F" w:rsidRDefault="00A42880">
                    <w:pPr>
                      <w:rPr>
                        <w:rFonts w:ascii="Times New Roman" w:hAnsi="Times New Roman" w:cs="Times New Roman"/>
                      </w:rPr>
                    </w:pPr>
                    <w:r>
                      <w:rPr>
                        <w:rFonts w:ascii="Times New Roman" w:hAnsi="Times New Roman" w:cs="Times New Roman"/>
                      </w:rPr>
                      <w:t>15</w:t>
                    </w:r>
                  </w:p>
                </w:tc>
                <w:tc>
                  <w:tcPr>
                    <w:tcW w:w="1127" w:type="dxa"/>
                    <w:shd w:val="clear" w:color="auto" w:fill="auto"/>
                  </w:tcPr>
                  <w:p w14:paraId="381EE30A" w14:textId="77777777" w:rsidR="00D21C1F" w:rsidRDefault="00A42880">
                    <w:pPr>
                      <w:jc w:val="both"/>
                      <w:rPr>
                        <w:rFonts w:ascii="Times New Roman" w:hAnsi="Times New Roman" w:cs="Times New Roman"/>
                      </w:rPr>
                    </w:pPr>
                    <w:r>
                      <w:rPr>
                        <w:rFonts w:ascii="Times New Roman" w:hAnsi="Times New Roman" w:cs="Times New Roman"/>
                      </w:rPr>
                      <w:t>机器人系列化高精度谐波减速器产品性能优化</w:t>
                    </w:r>
                  </w:p>
                </w:tc>
                <w:tc>
                  <w:tcPr>
                    <w:tcW w:w="1134" w:type="dxa"/>
                    <w:shd w:val="clear" w:color="auto" w:fill="auto"/>
                  </w:tcPr>
                  <w:p w14:paraId="13F8D8DE"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823.75</w:t>
                    </w:r>
                  </w:p>
                </w:tc>
                <w:tc>
                  <w:tcPr>
                    <w:tcW w:w="993" w:type="dxa"/>
                    <w:shd w:val="clear" w:color="auto" w:fill="auto"/>
                  </w:tcPr>
                  <w:p w14:paraId="4CA47525"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2.25</w:t>
                    </w:r>
                  </w:p>
                </w:tc>
                <w:tc>
                  <w:tcPr>
                    <w:tcW w:w="1134" w:type="dxa"/>
                    <w:shd w:val="clear" w:color="auto" w:fill="auto"/>
                  </w:tcPr>
                  <w:p w14:paraId="5C2EE4A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785.34</w:t>
                    </w:r>
                  </w:p>
                </w:tc>
                <w:tc>
                  <w:tcPr>
                    <w:tcW w:w="1950" w:type="dxa"/>
                    <w:shd w:val="clear" w:color="auto" w:fill="auto"/>
                  </w:tcPr>
                  <w:p w14:paraId="0E05ECAD"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）完成国内外谐波减速器累计</w:t>
                    </w:r>
                    <w:r>
                      <w:rPr>
                        <w:rFonts w:ascii="Times New Roman" w:hAnsi="Times New Roman" w:cs="Times New Roman"/>
                      </w:rPr>
                      <w:t>20000</w:t>
                    </w:r>
                    <w:r>
                      <w:rPr>
                        <w:rFonts w:ascii="Times New Roman" w:hAnsi="Times New Roman" w:cs="Times New Roman"/>
                      </w:rPr>
                      <w:t>小时的等寿命测试；</w:t>
                    </w:r>
                  </w:p>
                  <w:p w14:paraId="145569D0"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）基于谐波减速器等寿命、加速寿命实验构建了其全生命周期评估方法；</w:t>
                    </w:r>
                  </w:p>
                  <w:p w14:paraId="2BC9168C" w14:textId="77777777" w:rsidR="00D21C1F" w:rsidRDefault="00A42880">
                    <w:pPr>
                      <w:jc w:val="both"/>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）等待项目专家评审，达到项目要求结题要求。</w:t>
                    </w:r>
                  </w:p>
                </w:tc>
                <w:tc>
                  <w:tcPr>
                    <w:tcW w:w="2019" w:type="dxa"/>
                    <w:shd w:val="clear" w:color="auto" w:fill="auto"/>
                  </w:tcPr>
                  <w:p w14:paraId="5C72C55C" w14:textId="77777777" w:rsidR="00D21C1F" w:rsidRDefault="00A42880">
                    <w:pPr>
                      <w:jc w:val="both"/>
                      <w:rPr>
                        <w:rFonts w:ascii="Times New Roman" w:hAnsi="Times New Roman" w:cs="Times New Roman"/>
                      </w:rPr>
                    </w:pPr>
                    <w:r>
                      <w:rPr>
                        <w:rFonts w:ascii="Times New Roman" w:hAnsi="Times New Roman" w:cs="Times New Roman"/>
                      </w:rPr>
                      <w:lastRenderedPageBreak/>
                      <w:t>掌握机器人谐波减速器系统匹配性及全生命周期性能评估技术</w:t>
                    </w:r>
                    <w:r>
                      <w:rPr>
                        <w:rFonts w:ascii="Times New Roman" w:hAnsi="Times New Roman" w:cs="Times New Roman"/>
                      </w:rPr>
                      <w:t> </w:t>
                    </w:r>
                  </w:p>
                </w:tc>
                <w:tc>
                  <w:tcPr>
                    <w:tcW w:w="1701" w:type="dxa"/>
                    <w:shd w:val="clear" w:color="auto" w:fill="auto"/>
                  </w:tcPr>
                  <w:p w14:paraId="3A0A45B8" w14:textId="77777777" w:rsidR="00D21C1F" w:rsidRDefault="00A42880">
                    <w:pPr>
                      <w:jc w:val="both"/>
                      <w:rPr>
                        <w:rFonts w:ascii="Times New Roman" w:hAnsi="Times New Roman" w:cs="Times New Roman"/>
                      </w:rPr>
                    </w:pPr>
                    <w:r>
                      <w:rPr>
                        <w:rFonts w:ascii="Times New Roman" w:hAnsi="Times New Roman" w:cs="Times New Roman"/>
                      </w:rPr>
                      <w:t>该技术国内未见公开报道，项目完成后达到国际先进，国内领先水平</w:t>
                    </w:r>
                    <w:r>
                      <w:rPr>
                        <w:rFonts w:ascii="Times New Roman" w:hAnsi="Times New Roman" w:cs="Times New Roman"/>
                      </w:rPr>
                      <w:t> </w:t>
                    </w:r>
                  </w:p>
                </w:tc>
                <w:tc>
                  <w:tcPr>
                    <w:tcW w:w="3349" w:type="dxa"/>
                    <w:shd w:val="clear" w:color="auto" w:fill="auto"/>
                  </w:tcPr>
                  <w:p w14:paraId="372181E1" w14:textId="77777777" w:rsidR="00D21C1F" w:rsidRDefault="00A42880">
                    <w:pPr>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完成国产谐波减速器高性能应用测试，降低机器人制造成本的同时提升机器人核心性能指标</w:t>
                    </w:r>
                    <w:r>
                      <w:rPr>
                        <w:rFonts w:ascii="Times New Roman" w:hAnsi="Times New Roman" w:cs="Times New Roman"/>
                      </w:rPr>
                      <w:t xml:space="preserve">     2) </w:t>
                    </w:r>
                    <w:r>
                      <w:rPr>
                        <w:rFonts w:ascii="Times New Roman" w:hAnsi="Times New Roman" w:cs="Times New Roman"/>
                      </w:rPr>
                      <w:t>完成机器人智能运维应用，提升机器人智能化水平，降低机器人使用门槛</w:t>
                    </w:r>
                  </w:p>
                </w:tc>
              </w:tr>
            </w:sdtContent>
          </w:sdt>
          <w:sdt>
            <w:sdtPr>
              <w:rPr>
                <w:rFonts w:ascii="Times New Roman" w:hAnsi="Times New Roman" w:cs="Times New Roman"/>
              </w:rPr>
              <w:alias w:val="在研项目情况明细"/>
              <w:tag w:val="_TUP_9ddfad86f77e4024ab38f89df3f23e23"/>
              <w:id w:val="946821708"/>
              <w:lock w:val="sdtLocked"/>
              <w:placeholder>
                <w:docPart w:val="BD03748146ED43BEA71869DA6577BA52"/>
              </w:placeholder>
            </w:sdtPr>
            <w:sdtEndPr/>
            <w:sdtContent>
              <w:tr w:rsidR="00D21C1F" w14:paraId="34B79EEB" w14:textId="77777777">
                <w:tc>
                  <w:tcPr>
                    <w:tcW w:w="682" w:type="dxa"/>
                    <w:shd w:val="clear" w:color="auto" w:fill="auto"/>
                  </w:tcPr>
                  <w:p w14:paraId="28E29828" w14:textId="77777777" w:rsidR="00D21C1F" w:rsidRDefault="00A42880">
                    <w:pPr>
                      <w:rPr>
                        <w:rFonts w:ascii="Times New Roman" w:hAnsi="Times New Roman" w:cs="Times New Roman"/>
                      </w:rPr>
                    </w:pPr>
                    <w:r>
                      <w:rPr>
                        <w:rFonts w:ascii="Times New Roman" w:hAnsi="Times New Roman" w:cs="Times New Roman"/>
                      </w:rPr>
                      <w:t>16</w:t>
                    </w:r>
                  </w:p>
                </w:tc>
                <w:tc>
                  <w:tcPr>
                    <w:tcW w:w="1127" w:type="dxa"/>
                    <w:shd w:val="clear" w:color="auto" w:fill="auto"/>
                  </w:tcPr>
                  <w:p w14:paraId="17F3F360" w14:textId="77777777" w:rsidR="00D21C1F" w:rsidRDefault="00A42880">
                    <w:pPr>
                      <w:jc w:val="both"/>
                      <w:rPr>
                        <w:rFonts w:ascii="Times New Roman" w:hAnsi="Times New Roman" w:cs="Times New Roman"/>
                      </w:rPr>
                    </w:pPr>
                    <w:r>
                      <w:rPr>
                        <w:rFonts w:ascii="Times New Roman" w:hAnsi="Times New Roman" w:cs="Times New Roman"/>
                      </w:rPr>
                      <w:t>卫浴陶瓷制造机器人自动化生产示范线</w:t>
                    </w:r>
                  </w:p>
                </w:tc>
                <w:tc>
                  <w:tcPr>
                    <w:tcW w:w="1134" w:type="dxa"/>
                    <w:shd w:val="clear" w:color="auto" w:fill="auto"/>
                  </w:tcPr>
                  <w:p w14:paraId="04CC703D"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760.37</w:t>
                    </w:r>
                  </w:p>
                </w:tc>
                <w:tc>
                  <w:tcPr>
                    <w:tcW w:w="993" w:type="dxa"/>
                    <w:shd w:val="clear" w:color="auto" w:fill="auto"/>
                  </w:tcPr>
                  <w:p w14:paraId="31FA76C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107.70</w:t>
                    </w:r>
                  </w:p>
                </w:tc>
                <w:tc>
                  <w:tcPr>
                    <w:tcW w:w="1134" w:type="dxa"/>
                    <w:shd w:val="clear" w:color="auto" w:fill="auto"/>
                  </w:tcPr>
                  <w:p w14:paraId="70AB86FB"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299.06</w:t>
                    </w:r>
                  </w:p>
                </w:tc>
                <w:tc>
                  <w:tcPr>
                    <w:tcW w:w="1950" w:type="dxa"/>
                    <w:shd w:val="clear" w:color="auto" w:fill="auto"/>
                  </w:tcPr>
                  <w:p w14:paraId="7F665174"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）开发完成专用于喷釉的机器人；</w:t>
                    </w:r>
                    <w:r>
                      <w:rPr>
                        <w:rFonts w:ascii="Times New Roman" w:hAnsi="Times New Roman" w:cs="Times New Roman"/>
                      </w:rPr>
                      <w:t xml:space="preserve">     2</w:t>
                    </w:r>
                    <w:r>
                      <w:rPr>
                        <w:rFonts w:ascii="Times New Roman" w:hAnsi="Times New Roman" w:cs="Times New Roman"/>
                      </w:rPr>
                      <w:t>）建立卫浴陶瓷机器人修坯专家库；</w:t>
                    </w:r>
                  </w:p>
                  <w:p w14:paraId="134FBC2A"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）完成气动一维主动恒力装置设计方案；</w:t>
                    </w:r>
                  </w:p>
                  <w:p w14:paraId="74F255D2" w14:textId="77777777" w:rsidR="00D21C1F" w:rsidRDefault="00A42880">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）研究搭建力位混合柔顺控制的机器人修坯抛磨精确力控技术平台的方案；</w:t>
                    </w:r>
                  </w:p>
                  <w:p w14:paraId="0FD34CD5" w14:textId="77777777" w:rsidR="00D21C1F" w:rsidRDefault="00A42880">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）完成</w:t>
                    </w:r>
                    <w:r>
                      <w:rPr>
                        <w:rFonts w:ascii="Times New Roman" w:hAnsi="Times New Roman" w:cs="Times New Roman"/>
                      </w:rPr>
                      <w:t>MES</w:t>
                    </w:r>
                    <w:r>
                      <w:rPr>
                        <w:rFonts w:ascii="Times New Roman" w:hAnsi="Times New Roman" w:cs="Times New Roman"/>
                      </w:rPr>
                      <w:t>接口的开发。</w:t>
                    </w:r>
                  </w:p>
                  <w:p w14:paraId="38373E74" w14:textId="77777777" w:rsidR="00D21C1F" w:rsidRDefault="00A42880">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）完成项目阶段性沟通</w:t>
                    </w:r>
                  </w:p>
                </w:tc>
                <w:tc>
                  <w:tcPr>
                    <w:tcW w:w="2019" w:type="dxa"/>
                    <w:shd w:val="clear" w:color="auto" w:fill="auto"/>
                  </w:tcPr>
                  <w:p w14:paraId="3A63AF06"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）项目完成时研制机器人本体卫浴陶瓷产品成型制坯合格率</w:t>
                    </w:r>
                    <w:r>
                      <w:rPr>
                        <w:rFonts w:ascii="Times New Roman" w:hAnsi="Times New Roman" w:cs="Times New Roman"/>
                      </w:rPr>
                      <w:t>≥99%</w:t>
                    </w:r>
                    <w:r>
                      <w:rPr>
                        <w:rFonts w:ascii="Times New Roman" w:hAnsi="Times New Roman" w:cs="Times New Roman"/>
                      </w:rPr>
                      <w:t>，模具寿命</w:t>
                    </w:r>
                    <w:r>
                      <w:rPr>
                        <w:rFonts w:ascii="Times New Roman" w:hAnsi="Times New Roman" w:cs="Times New Roman"/>
                      </w:rPr>
                      <w:t>   1~3</w:t>
                    </w:r>
                    <w:r>
                      <w:rPr>
                        <w:rFonts w:ascii="Times New Roman" w:hAnsi="Times New Roman" w:cs="Times New Roman"/>
                      </w:rPr>
                      <w:t>万次</w:t>
                    </w:r>
                  </w:p>
                  <w:p w14:paraId="1D3E4C94"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）机器人修坯效率提高</w:t>
                    </w:r>
                    <w:r>
                      <w:rPr>
                        <w:rFonts w:ascii="Times New Roman" w:hAnsi="Times New Roman" w:cs="Times New Roman"/>
                      </w:rPr>
                      <w:t>50%</w:t>
                    </w:r>
                    <w:r>
                      <w:rPr>
                        <w:rFonts w:ascii="Times New Roman" w:hAnsi="Times New Roman" w:cs="Times New Roman"/>
                      </w:rPr>
                      <w:t>，质量缺陷率下降</w:t>
                    </w:r>
                    <w:r>
                      <w:rPr>
                        <w:rFonts w:ascii="Times New Roman" w:hAnsi="Times New Roman" w:cs="Times New Roman"/>
                      </w:rPr>
                      <w:t>1%</w:t>
                    </w:r>
                    <w:r>
                      <w:rPr>
                        <w:rFonts w:ascii="Times New Roman" w:hAnsi="Times New Roman" w:cs="Times New Roman"/>
                      </w:rPr>
                      <w:t>以上</w:t>
                    </w:r>
                  </w:p>
                  <w:p w14:paraId="7A0C839B"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）机器人喷釉效率提升</w:t>
                    </w:r>
                    <w:r>
                      <w:rPr>
                        <w:rFonts w:ascii="Times New Roman" w:hAnsi="Times New Roman" w:cs="Times New Roman"/>
                      </w:rPr>
                      <w:t>10%</w:t>
                    </w:r>
                    <w:r>
                      <w:rPr>
                        <w:rFonts w:ascii="Times New Roman" w:hAnsi="Times New Roman" w:cs="Times New Roman"/>
                      </w:rPr>
                      <w:t>，釉料回收率提高</w:t>
                    </w:r>
                    <w:r>
                      <w:rPr>
                        <w:rFonts w:ascii="Times New Roman" w:hAnsi="Times New Roman" w:cs="Times New Roman"/>
                      </w:rPr>
                      <w:t>5%</w:t>
                    </w:r>
                    <w:r>
                      <w:rPr>
                        <w:rFonts w:ascii="Times New Roman" w:hAnsi="Times New Roman" w:cs="Times New Roman"/>
                      </w:rPr>
                      <w:t>，单线产能</w:t>
                    </w:r>
                    <w:r>
                      <w:rPr>
                        <w:rFonts w:ascii="Times New Roman" w:hAnsi="Times New Roman" w:cs="Times New Roman"/>
                      </w:rPr>
                      <w:t>≥3000</w:t>
                    </w:r>
                    <w:r>
                      <w:rPr>
                        <w:rFonts w:ascii="Times New Roman" w:hAnsi="Times New Roman" w:cs="Times New Roman"/>
                      </w:rPr>
                      <w:t>件</w:t>
                    </w:r>
                    <w:r>
                      <w:rPr>
                        <w:rFonts w:ascii="Times New Roman" w:hAnsi="Times New Roman" w:cs="Times New Roman"/>
                      </w:rPr>
                      <w:t>/</w:t>
                    </w:r>
                    <w:r>
                      <w:rPr>
                        <w:rFonts w:ascii="Times New Roman" w:hAnsi="Times New Roman" w:cs="Times New Roman"/>
                      </w:rPr>
                      <w:t>天，在修坯、喷釉、检测单元适应不少于</w:t>
                    </w:r>
                    <w:r>
                      <w:rPr>
                        <w:rFonts w:ascii="Times New Roman" w:hAnsi="Times New Roman" w:cs="Times New Roman"/>
                      </w:rPr>
                      <w:t>50</w:t>
                    </w:r>
                    <w:r>
                      <w:rPr>
                        <w:rFonts w:ascii="Times New Roman" w:hAnsi="Times New Roman" w:cs="Times New Roman"/>
                      </w:rPr>
                      <w:t>种卫浴陶瓷产品</w:t>
                    </w:r>
                    <w:r>
                      <w:rPr>
                        <w:rFonts w:ascii="Times New Roman" w:hAnsi="Times New Roman" w:cs="Times New Roman"/>
                      </w:rPr>
                      <w:t> </w:t>
                    </w:r>
                  </w:p>
                </w:tc>
                <w:tc>
                  <w:tcPr>
                    <w:tcW w:w="1701" w:type="dxa"/>
                    <w:shd w:val="clear" w:color="auto" w:fill="auto"/>
                  </w:tcPr>
                  <w:p w14:paraId="4D21DA34" w14:textId="77777777" w:rsidR="00D21C1F" w:rsidRDefault="00A42880">
                    <w:pPr>
                      <w:jc w:val="both"/>
                      <w:rPr>
                        <w:rFonts w:ascii="Times New Roman" w:hAnsi="Times New Roman" w:cs="Times New Roman"/>
                      </w:rPr>
                    </w:pPr>
                    <w:r>
                      <w:rPr>
                        <w:rFonts w:ascii="Times New Roman" w:hAnsi="Times New Roman" w:cs="Times New Roman"/>
                      </w:rPr>
                      <w:t>研发完成将达到国内领先水平</w:t>
                    </w:r>
                    <w:r>
                      <w:rPr>
                        <w:rFonts w:ascii="Times New Roman" w:hAnsi="Times New Roman" w:cs="Times New Roman"/>
                      </w:rPr>
                      <w:t> </w:t>
                    </w:r>
                  </w:p>
                </w:tc>
                <w:tc>
                  <w:tcPr>
                    <w:tcW w:w="3349" w:type="dxa"/>
                    <w:shd w:val="clear" w:color="auto" w:fill="auto"/>
                  </w:tcPr>
                  <w:p w14:paraId="26BCD156" w14:textId="77777777" w:rsidR="00D21C1F" w:rsidRDefault="00A42880">
                    <w:pPr>
                      <w:jc w:val="both"/>
                      <w:rPr>
                        <w:rFonts w:ascii="Times New Roman" w:hAnsi="Times New Roman" w:cs="Times New Roman"/>
                      </w:rPr>
                    </w:pPr>
                    <w:r>
                      <w:rPr>
                        <w:rFonts w:ascii="Times New Roman" w:hAnsi="Times New Roman" w:cs="Times New Roman"/>
                      </w:rPr>
                      <w:t>开发基于力位混合柔顺控制的自适应机器人修坯工艺和精确抛磨力控技术，研制基于主动恒力控制装置和生产经验的修坯打磨系统，实现抛磨力精确控制的机器人修坯，从而适应陶瓷卫浴行业多品种小批量的作业要求。</w:t>
                    </w:r>
                    <w:r>
                      <w:rPr>
                        <w:rFonts w:ascii="Times New Roman" w:hAnsi="Times New Roman" w:cs="Times New Roman"/>
                      </w:rPr>
                      <w:t> </w:t>
                    </w:r>
                  </w:p>
                </w:tc>
              </w:tr>
            </w:sdtContent>
          </w:sdt>
          <w:sdt>
            <w:sdtPr>
              <w:rPr>
                <w:rFonts w:ascii="Times New Roman" w:hAnsi="Times New Roman" w:cs="Times New Roman"/>
              </w:rPr>
              <w:alias w:val="在研项目情况明细"/>
              <w:tag w:val="_TUP_9ddfad86f77e4024ab38f89df3f23e23"/>
              <w:id w:val="2071929408"/>
              <w:lock w:val="sdtLocked"/>
              <w:placeholder>
                <w:docPart w:val="BD03748146ED43BEA71869DA6577BA52"/>
              </w:placeholder>
            </w:sdtPr>
            <w:sdtEndPr/>
            <w:sdtContent>
              <w:tr w:rsidR="00D21C1F" w14:paraId="0A426956" w14:textId="77777777">
                <w:tc>
                  <w:tcPr>
                    <w:tcW w:w="682" w:type="dxa"/>
                    <w:shd w:val="clear" w:color="auto" w:fill="auto"/>
                  </w:tcPr>
                  <w:p w14:paraId="03586C93" w14:textId="77777777" w:rsidR="00D21C1F" w:rsidRDefault="00A42880">
                    <w:pPr>
                      <w:rPr>
                        <w:rFonts w:ascii="Times New Roman" w:hAnsi="Times New Roman" w:cs="Times New Roman"/>
                      </w:rPr>
                    </w:pPr>
                    <w:r>
                      <w:rPr>
                        <w:rFonts w:ascii="Times New Roman" w:hAnsi="Times New Roman" w:cs="Times New Roman"/>
                      </w:rPr>
                      <w:t>17</w:t>
                    </w:r>
                  </w:p>
                </w:tc>
                <w:tc>
                  <w:tcPr>
                    <w:tcW w:w="1127" w:type="dxa"/>
                    <w:shd w:val="clear" w:color="auto" w:fill="auto"/>
                  </w:tcPr>
                  <w:p w14:paraId="7249F6A7" w14:textId="77777777" w:rsidR="00D21C1F" w:rsidRDefault="00A42880">
                    <w:pPr>
                      <w:jc w:val="both"/>
                      <w:rPr>
                        <w:rFonts w:ascii="Times New Roman" w:hAnsi="Times New Roman" w:cs="Times New Roman"/>
                      </w:rPr>
                    </w:pPr>
                    <w:r>
                      <w:rPr>
                        <w:rFonts w:ascii="Times New Roman" w:hAnsi="Times New Roman" w:cs="Times New Roman"/>
                      </w:rPr>
                      <w:t>面向酿造工艺流程的机器人智能作业系统</w:t>
                    </w:r>
                  </w:p>
                </w:tc>
                <w:tc>
                  <w:tcPr>
                    <w:tcW w:w="1134" w:type="dxa"/>
                    <w:shd w:val="clear" w:color="auto" w:fill="auto"/>
                  </w:tcPr>
                  <w:p w14:paraId="1A8847CD"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507.00</w:t>
                    </w:r>
                  </w:p>
                </w:tc>
                <w:tc>
                  <w:tcPr>
                    <w:tcW w:w="993" w:type="dxa"/>
                    <w:shd w:val="clear" w:color="auto" w:fill="auto"/>
                  </w:tcPr>
                  <w:p w14:paraId="793742EF"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140.11</w:t>
                    </w:r>
                  </w:p>
                </w:tc>
                <w:tc>
                  <w:tcPr>
                    <w:tcW w:w="1134" w:type="dxa"/>
                    <w:shd w:val="clear" w:color="auto" w:fill="auto"/>
                  </w:tcPr>
                  <w:p w14:paraId="580FC54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322.50</w:t>
                    </w:r>
                  </w:p>
                </w:tc>
                <w:tc>
                  <w:tcPr>
                    <w:tcW w:w="1950" w:type="dxa"/>
                    <w:shd w:val="clear" w:color="auto" w:fill="auto"/>
                  </w:tcPr>
                  <w:p w14:paraId="700F4752"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）完成提取人工方法的实测；</w:t>
                    </w:r>
                  </w:p>
                  <w:p w14:paraId="15300688"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）完成离线仿真系统开发和测试</w:t>
                    </w:r>
                  </w:p>
                  <w:p w14:paraId="6E775F0D"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小批量测试，测试人工手法通信。</w:t>
                    </w:r>
                  </w:p>
                </w:tc>
                <w:tc>
                  <w:tcPr>
                    <w:tcW w:w="2019" w:type="dxa"/>
                    <w:shd w:val="clear" w:color="auto" w:fill="auto"/>
                  </w:tcPr>
                  <w:p w14:paraId="74867925"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）提出人工上甑典型轨迹的提取与泛化编码方法</w:t>
                    </w:r>
                  </w:p>
                  <w:p w14:paraId="65E2715B"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）开发专用的上甑机器人离线仿真系统，生成机器人仿人上甑工艺库</w:t>
                    </w:r>
                    <w:r>
                      <w:rPr>
                        <w:rFonts w:ascii="Times New Roman" w:hAnsi="Times New Roman" w:cs="Times New Roman"/>
                      </w:rPr>
                      <w:t xml:space="preserve"> </w:t>
                    </w:r>
                  </w:p>
                  <w:p w14:paraId="3B23A612"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）研制高刚度高防护多自由度上甑机器人系统，提出面向</w:t>
                    </w:r>
                    <w:r>
                      <w:rPr>
                        <w:rFonts w:ascii="Times New Roman" w:hAnsi="Times New Roman" w:cs="Times New Roman"/>
                      </w:rPr>
                      <w:t>“</w:t>
                    </w:r>
                    <w:r>
                      <w:rPr>
                        <w:rFonts w:ascii="Times New Roman" w:hAnsi="Times New Roman" w:cs="Times New Roman"/>
                      </w:rPr>
                      <w:t>轻撒匀铺</w:t>
                    </w:r>
                    <w:r>
                      <w:rPr>
                        <w:rFonts w:ascii="Times New Roman" w:hAnsi="Times New Roman" w:cs="Times New Roman"/>
                      </w:rPr>
                      <w:t>”</w:t>
                    </w:r>
                    <w:r>
                      <w:rPr>
                        <w:rFonts w:ascii="Times New Roman" w:hAnsi="Times New Roman" w:cs="Times New Roman"/>
                      </w:rPr>
                      <w:t>的仿</w:t>
                    </w:r>
                    <w:r>
                      <w:rPr>
                        <w:rFonts w:ascii="Times New Roman" w:hAnsi="Times New Roman" w:cs="Times New Roman"/>
                      </w:rPr>
                      <w:lastRenderedPageBreak/>
                      <w:t>人精准铺料控制算法。</w:t>
                    </w:r>
                  </w:p>
                </w:tc>
                <w:tc>
                  <w:tcPr>
                    <w:tcW w:w="1701" w:type="dxa"/>
                    <w:shd w:val="clear" w:color="auto" w:fill="auto"/>
                  </w:tcPr>
                  <w:p w14:paraId="61A6DD99" w14:textId="77777777" w:rsidR="00D21C1F" w:rsidRDefault="00A42880">
                    <w:pPr>
                      <w:jc w:val="both"/>
                      <w:rPr>
                        <w:rFonts w:ascii="Times New Roman" w:hAnsi="Times New Roman" w:cs="Times New Roman"/>
                      </w:rPr>
                    </w:pPr>
                    <w:r>
                      <w:rPr>
                        <w:rFonts w:ascii="Times New Roman" w:hAnsi="Times New Roman" w:cs="Times New Roman"/>
                      </w:rPr>
                      <w:lastRenderedPageBreak/>
                      <w:t>研发完成将达到国内领先水平</w:t>
                    </w:r>
                  </w:p>
                </w:tc>
                <w:tc>
                  <w:tcPr>
                    <w:tcW w:w="3349" w:type="dxa"/>
                    <w:shd w:val="clear" w:color="auto" w:fill="auto"/>
                  </w:tcPr>
                  <w:p w14:paraId="59902759" w14:textId="77777777" w:rsidR="00D21C1F" w:rsidRDefault="00A42880">
                    <w:pPr>
                      <w:jc w:val="both"/>
                      <w:rPr>
                        <w:rFonts w:ascii="Times New Roman" w:hAnsi="Times New Roman" w:cs="Times New Roman"/>
                      </w:rPr>
                    </w:pPr>
                    <w:r>
                      <w:rPr>
                        <w:rFonts w:ascii="Times New Roman" w:hAnsi="Times New Roman" w:cs="Times New Roman"/>
                      </w:rPr>
                      <w:t>可以批量推广至全国近一万家白酒行</w:t>
                    </w:r>
                    <w:r>
                      <w:rPr>
                        <w:rFonts w:ascii="Times New Roman" w:hAnsi="Times New Roman" w:cs="Times New Roman" w:hint="eastAsia"/>
                      </w:rPr>
                      <w:t>业</w:t>
                    </w:r>
                    <w:r>
                      <w:rPr>
                        <w:rFonts w:ascii="Times New Roman" w:hAnsi="Times New Roman" w:cs="Times New Roman"/>
                      </w:rPr>
                      <w:t>企业，提升白酒生产过程中的自动化和智能化水平，市场需求明确，前景广阔。</w:t>
                    </w:r>
                  </w:p>
                </w:tc>
              </w:tr>
            </w:sdtContent>
          </w:sdt>
          <w:sdt>
            <w:sdtPr>
              <w:rPr>
                <w:rFonts w:ascii="Times New Roman" w:hAnsi="Times New Roman" w:cs="Times New Roman"/>
              </w:rPr>
              <w:alias w:val="在研项目情况明细"/>
              <w:tag w:val="_TUP_9ddfad86f77e4024ab38f89df3f23e23"/>
              <w:id w:val="814618389"/>
              <w:lock w:val="sdtLocked"/>
              <w:placeholder>
                <w:docPart w:val="BD03748146ED43BEA71869DA6577BA52"/>
              </w:placeholder>
            </w:sdtPr>
            <w:sdtEndPr/>
            <w:sdtContent>
              <w:tr w:rsidR="00D21C1F" w14:paraId="3E4FCDAD" w14:textId="77777777">
                <w:tc>
                  <w:tcPr>
                    <w:tcW w:w="682" w:type="dxa"/>
                    <w:shd w:val="clear" w:color="auto" w:fill="auto"/>
                  </w:tcPr>
                  <w:p w14:paraId="30CFC037" w14:textId="77777777" w:rsidR="00D21C1F" w:rsidRDefault="00A42880">
                    <w:pPr>
                      <w:rPr>
                        <w:rFonts w:ascii="Times New Roman" w:hAnsi="Times New Roman" w:cs="Times New Roman"/>
                      </w:rPr>
                    </w:pPr>
                    <w:r>
                      <w:rPr>
                        <w:rFonts w:ascii="Times New Roman" w:hAnsi="Times New Roman" w:cs="Times New Roman"/>
                      </w:rPr>
                      <w:t>18</w:t>
                    </w:r>
                  </w:p>
                </w:tc>
                <w:tc>
                  <w:tcPr>
                    <w:tcW w:w="1127" w:type="dxa"/>
                    <w:shd w:val="clear" w:color="auto" w:fill="auto"/>
                  </w:tcPr>
                  <w:p w14:paraId="2D0DCBC2" w14:textId="77777777" w:rsidR="00D21C1F" w:rsidRDefault="00A42880">
                    <w:pPr>
                      <w:jc w:val="both"/>
                      <w:rPr>
                        <w:rFonts w:ascii="Times New Roman" w:hAnsi="Times New Roman" w:cs="Times New Roman"/>
                      </w:rPr>
                    </w:pPr>
                    <w:r>
                      <w:rPr>
                        <w:rFonts w:ascii="Times New Roman" w:hAnsi="Times New Roman" w:cs="Times New Roman"/>
                      </w:rPr>
                      <w:t>钣金制造机器人自动化生产线集成系统</w:t>
                    </w:r>
                  </w:p>
                </w:tc>
                <w:tc>
                  <w:tcPr>
                    <w:tcW w:w="1134" w:type="dxa"/>
                    <w:shd w:val="clear" w:color="auto" w:fill="auto"/>
                  </w:tcPr>
                  <w:p w14:paraId="054E99C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342.87</w:t>
                    </w:r>
                  </w:p>
                </w:tc>
                <w:tc>
                  <w:tcPr>
                    <w:tcW w:w="993" w:type="dxa"/>
                    <w:shd w:val="clear" w:color="auto" w:fill="auto"/>
                  </w:tcPr>
                  <w:p w14:paraId="336E725C"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46.65</w:t>
                    </w:r>
                  </w:p>
                </w:tc>
                <w:tc>
                  <w:tcPr>
                    <w:tcW w:w="1134" w:type="dxa"/>
                    <w:shd w:val="clear" w:color="auto" w:fill="auto"/>
                  </w:tcPr>
                  <w:p w14:paraId="2F26120F"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170.85</w:t>
                    </w:r>
                  </w:p>
                </w:tc>
                <w:tc>
                  <w:tcPr>
                    <w:tcW w:w="1950" w:type="dxa"/>
                    <w:shd w:val="clear" w:color="auto" w:fill="auto"/>
                  </w:tcPr>
                  <w:p w14:paraId="628F8CBC"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）研发样机试制完成，已初步实现机器人与折弯机的联调和测试；</w:t>
                    </w:r>
                  </w:p>
                  <w:p w14:paraId="3816E67C"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）已达到机器人与折弯机的折弯功能和折弯跟随算法，后期根据国家项目计划，配合参与单位进行轨迹优化，视觉处理，折弯轨迹在线生成等工作；</w:t>
                    </w:r>
                  </w:p>
                </w:tc>
                <w:tc>
                  <w:tcPr>
                    <w:tcW w:w="2019" w:type="dxa"/>
                    <w:shd w:val="clear" w:color="auto" w:fill="auto"/>
                  </w:tcPr>
                  <w:p w14:paraId="6194E2E2" w14:textId="77777777" w:rsidR="00D21C1F" w:rsidRDefault="00A42880">
                    <w:pPr>
                      <w:jc w:val="both"/>
                      <w:rPr>
                        <w:rFonts w:ascii="Times New Roman" w:hAnsi="Times New Roman" w:cs="Times New Roman"/>
                      </w:rPr>
                    </w:pPr>
                    <w:r>
                      <w:rPr>
                        <w:rFonts w:ascii="Times New Roman" w:hAnsi="Times New Roman" w:cs="Times New Roman"/>
                      </w:rPr>
                      <w:t>基于自主机器人控制器，研发钣金专用机器人高速高精运动控制算法；在机器人折弯过程中，采用阻抗控制算法，通过雅克比矩阵和选择矩阵将作业空间任意方向的力和位置分配到各个关节上。使机器人按照指令要求的轨迹及速度运动，开发出</w:t>
                    </w:r>
                    <w:r>
                      <w:rPr>
                        <w:rFonts w:ascii="Times New Roman" w:hAnsi="Times New Roman" w:cs="Times New Roman"/>
                      </w:rPr>
                      <w:t>6-DOF</w:t>
                    </w:r>
                    <w:r>
                      <w:rPr>
                        <w:rFonts w:ascii="Times New Roman" w:hAnsi="Times New Roman" w:cs="Times New Roman"/>
                      </w:rPr>
                      <w:t>机器人专用控制系统，并重点研究机器人折弯随动时的轨迹规律，设计机器人的折弯随动算法，实时规划机器人的运动轨迹。</w:t>
                    </w:r>
                    <w:r>
                      <w:rPr>
                        <w:rFonts w:ascii="Times New Roman" w:hAnsi="Times New Roman" w:cs="Times New Roman"/>
                      </w:rPr>
                      <w:t> </w:t>
                    </w:r>
                  </w:p>
                </w:tc>
                <w:tc>
                  <w:tcPr>
                    <w:tcW w:w="1701" w:type="dxa"/>
                    <w:shd w:val="clear" w:color="auto" w:fill="auto"/>
                  </w:tcPr>
                  <w:p w14:paraId="27D0EF04" w14:textId="77777777" w:rsidR="00D21C1F" w:rsidRDefault="00A42880">
                    <w:pPr>
                      <w:jc w:val="both"/>
                      <w:rPr>
                        <w:rFonts w:ascii="Times New Roman" w:hAnsi="Times New Roman" w:cs="Times New Roman"/>
                      </w:rPr>
                    </w:pPr>
                    <w:r>
                      <w:rPr>
                        <w:rFonts w:ascii="Times New Roman" w:hAnsi="Times New Roman" w:cs="Times New Roman"/>
                      </w:rPr>
                      <w:t>在现有的六关节机器人路径规划基础上</w:t>
                    </w:r>
                    <w:r>
                      <w:rPr>
                        <w:rFonts w:ascii="Times New Roman" w:hAnsi="Times New Roman" w:cs="Times New Roman"/>
                      </w:rPr>
                      <w:t>,</w:t>
                    </w:r>
                    <w:r>
                      <w:rPr>
                        <w:rFonts w:ascii="Times New Roman" w:hAnsi="Times New Roman" w:cs="Times New Roman"/>
                      </w:rPr>
                      <w:t>路径优化效率提升</w:t>
                    </w:r>
                    <w:r>
                      <w:rPr>
                        <w:rFonts w:ascii="Times New Roman" w:hAnsi="Times New Roman" w:cs="Times New Roman"/>
                      </w:rPr>
                      <w:t>≥10%</w:t>
                    </w:r>
                    <w:r>
                      <w:rPr>
                        <w:rFonts w:ascii="Times New Roman" w:hAnsi="Times New Roman" w:cs="Times New Roman"/>
                      </w:rPr>
                      <w:t>。</w:t>
                    </w:r>
                  </w:p>
                </w:tc>
                <w:tc>
                  <w:tcPr>
                    <w:tcW w:w="3349" w:type="dxa"/>
                    <w:shd w:val="clear" w:color="auto" w:fill="auto"/>
                  </w:tcPr>
                  <w:p w14:paraId="156E2A0C" w14:textId="77777777" w:rsidR="00D21C1F" w:rsidRDefault="00A42880">
                    <w:pPr>
                      <w:jc w:val="both"/>
                      <w:rPr>
                        <w:rFonts w:ascii="Times New Roman" w:hAnsi="Times New Roman" w:cs="Times New Roman"/>
                      </w:rPr>
                    </w:pPr>
                    <w:r>
                      <w:rPr>
                        <w:rFonts w:ascii="Times New Roman" w:hAnsi="Times New Roman" w:cs="Times New Roman"/>
                      </w:rPr>
                      <w:t>针对不同尺寸钣金件加工作业对机器人运动空间特殊要求，以及折弯过程的工艺要求，通过总线实现折弯相关参数配置，通过高速高精运动控制算法和路径优化，满足钣金件加工高柔性、高可靠性制造要求，市场需求明确，前景广阔。</w:t>
                    </w:r>
                  </w:p>
                </w:tc>
              </w:tr>
            </w:sdtContent>
          </w:sdt>
          <w:sdt>
            <w:sdtPr>
              <w:rPr>
                <w:rFonts w:ascii="Times New Roman" w:hAnsi="Times New Roman" w:cs="Times New Roman"/>
              </w:rPr>
              <w:alias w:val="在研项目情况明细"/>
              <w:tag w:val="_TUP_9ddfad86f77e4024ab38f89df3f23e23"/>
              <w:id w:val="-638265859"/>
              <w:lock w:val="sdtLocked"/>
              <w:placeholder>
                <w:docPart w:val="BD03748146ED43BEA71869DA6577BA52"/>
              </w:placeholder>
            </w:sdtPr>
            <w:sdtEndPr/>
            <w:sdtContent>
              <w:tr w:rsidR="00D21C1F" w14:paraId="49198F09" w14:textId="77777777">
                <w:tc>
                  <w:tcPr>
                    <w:tcW w:w="682" w:type="dxa"/>
                    <w:shd w:val="clear" w:color="auto" w:fill="auto"/>
                  </w:tcPr>
                  <w:p w14:paraId="16922BFC" w14:textId="77777777" w:rsidR="00D21C1F" w:rsidRDefault="00A42880">
                    <w:pPr>
                      <w:rPr>
                        <w:rFonts w:ascii="Times New Roman" w:hAnsi="Times New Roman" w:cs="Times New Roman"/>
                      </w:rPr>
                    </w:pPr>
                    <w:r>
                      <w:rPr>
                        <w:rFonts w:ascii="Times New Roman" w:hAnsi="Times New Roman" w:cs="Times New Roman"/>
                      </w:rPr>
                      <w:t>19</w:t>
                    </w:r>
                  </w:p>
                </w:tc>
                <w:tc>
                  <w:tcPr>
                    <w:tcW w:w="1127" w:type="dxa"/>
                    <w:shd w:val="clear" w:color="auto" w:fill="auto"/>
                  </w:tcPr>
                  <w:p w14:paraId="00AE16A0" w14:textId="77777777" w:rsidR="00D21C1F" w:rsidRDefault="00A42880">
                    <w:pPr>
                      <w:jc w:val="both"/>
                      <w:rPr>
                        <w:rFonts w:ascii="Times New Roman" w:hAnsi="Times New Roman" w:cs="Times New Roman"/>
                      </w:rPr>
                    </w:pPr>
                    <w:r>
                      <w:rPr>
                        <w:rFonts w:ascii="Times New Roman" w:hAnsi="Times New Roman" w:cs="Times New Roman"/>
                      </w:rPr>
                      <w:t>机器人操作系统及开发环境研究与应用验证</w:t>
                    </w:r>
                  </w:p>
                </w:tc>
                <w:tc>
                  <w:tcPr>
                    <w:tcW w:w="1134" w:type="dxa"/>
                    <w:shd w:val="clear" w:color="auto" w:fill="auto"/>
                  </w:tcPr>
                  <w:p w14:paraId="31A6B4D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603.40</w:t>
                    </w:r>
                  </w:p>
                </w:tc>
                <w:tc>
                  <w:tcPr>
                    <w:tcW w:w="993" w:type="dxa"/>
                    <w:shd w:val="clear" w:color="auto" w:fill="auto"/>
                  </w:tcPr>
                  <w:p w14:paraId="637394B6"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1.49</w:t>
                    </w:r>
                  </w:p>
                </w:tc>
                <w:tc>
                  <w:tcPr>
                    <w:tcW w:w="1134" w:type="dxa"/>
                    <w:shd w:val="clear" w:color="auto" w:fill="auto"/>
                  </w:tcPr>
                  <w:p w14:paraId="641CE6D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404.64</w:t>
                    </w:r>
                  </w:p>
                </w:tc>
                <w:tc>
                  <w:tcPr>
                    <w:tcW w:w="1950" w:type="dxa"/>
                    <w:shd w:val="clear" w:color="auto" w:fill="auto"/>
                  </w:tcPr>
                  <w:p w14:paraId="43D0AAA9" w14:textId="77777777" w:rsidR="00D21C1F" w:rsidRDefault="00A42880">
                    <w:pPr>
                      <w:jc w:val="both"/>
                      <w:rPr>
                        <w:rFonts w:ascii="Times New Roman" w:hAnsi="Times New Roman" w:cs="Times New Roman"/>
                      </w:rPr>
                    </w:pPr>
                    <w:r>
                      <w:rPr>
                        <w:rFonts w:ascii="Times New Roman" w:hAnsi="Times New Roman" w:cs="Times New Roman"/>
                      </w:rPr>
                      <w:t>开发工作已经完成，等待项目验收</w:t>
                    </w:r>
                  </w:p>
                </w:tc>
                <w:tc>
                  <w:tcPr>
                    <w:tcW w:w="2019" w:type="dxa"/>
                    <w:shd w:val="clear" w:color="auto" w:fill="auto"/>
                  </w:tcPr>
                  <w:p w14:paraId="372FE618" w14:textId="77777777" w:rsidR="00D21C1F" w:rsidRDefault="00A42880">
                    <w:pPr>
                      <w:jc w:val="both"/>
                      <w:rPr>
                        <w:rFonts w:ascii="Times New Roman" w:hAnsi="Times New Roman" w:cs="Times New Roman"/>
                      </w:rPr>
                    </w:pPr>
                    <w:r>
                      <w:rPr>
                        <w:rFonts w:ascii="Times New Roman" w:hAnsi="Times New Roman" w:cs="Times New Roman"/>
                      </w:rPr>
                      <w:t>基于国产实时操作系统，进行工业机器人喷涂、上下料应用软件的开发及机器人操作系统功能验证</w:t>
                    </w:r>
                    <w:r>
                      <w:rPr>
                        <w:rFonts w:ascii="Times New Roman" w:hAnsi="Times New Roman" w:cs="Times New Roman"/>
                      </w:rPr>
                      <w:t> </w:t>
                    </w:r>
                  </w:p>
                </w:tc>
                <w:tc>
                  <w:tcPr>
                    <w:tcW w:w="1701" w:type="dxa"/>
                    <w:shd w:val="clear" w:color="auto" w:fill="auto"/>
                  </w:tcPr>
                  <w:p w14:paraId="439AF23F" w14:textId="77777777" w:rsidR="00D21C1F" w:rsidRDefault="00A42880">
                    <w:pPr>
                      <w:jc w:val="both"/>
                      <w:rPr>
                        <w:rFonts w:ascii="Times New Roman" w:hAnsi="Times New Roman" w:cs="Times New Roman"/>
                      </w:rPr>
                    </w:pPr>
                    <w:r>
                      <w:rPr>
                        <w:rFonts w:ascii="Times New Roman" w:hAnsi="Times New Roman" w:cs="Times New Roman"/>
                      </w:rPr>
                      <w:t>国产实时操作系统在机器人中的批量使用国内未见报道，该项目完成将处于国内领先水平</w:t>
                    </w:r>
                    <w:r>
                      <w:rPr>
                        <w:rFonts w:ascii="Times New Roman" w:hAnsi="Times New Roman" w:cs="Times New Roman"/>
                      </w:rPr>
                      <w:t> </w:t>
                    </w:r>
                  </w:p>
                </w:tc>
                <w:tc>
                  <w:tcPr>
                    <w:tcW w:w="3349" w:type="dxa"/>
                    <w:shd w:val="clear" w:color="auto" w:fill="auto"/>
                  </w:tcPr>
                  <w:p w14:paraId="2A4C3853" w14:textId="77777777" w:rsidR="00D21C1F" w:rsidRDefault="00A42880">
                    <w:pPr>
                      <w:jc w:val="both"/>
                      <w:rPr>
                        <w:rFonts w:ascii="Times New Roman" w:hAnsi="Times New Roman" w:cs="Times New Roman"/>
                      </w:rPr>
                    </w:pPr>
                    <w:r>
                      <w:rPr>
                        <w:rFonts w:ascii="Times New Roman" w:hAnsi="Times New Roman" w:cs="Times New Roman"/>
                      </w:rPr>
                      <w:t>为国产机器人底层操作系统自主可控奠定基础，具有明显的战略意义。</w:t>
                    </w:r>
                  </w:p>
                </w:tc>
              </w:tr>
            </w:sdtContent>
          </w:sdt>
          <w:sdt>
            <w:sdtPr>
              <w:rPr>
                <w:rFonts w:ascii="Times New Roman" w:hAnsi="Times New Roman" w:cs="Times New Roman"/>
              </w:rPr>
              <w:alias w:val="在研项目情况明细"/>
              <w:tag w:val="_TUP_9ddfad86f77e4024ab38f89df3f23e23"/>
              <w:id w:val="-2136395884"/>
              <w:lock w:val="sdtLocked"/>
              <w:placeholder>
                <w:docPart w:val="BD03748146ED43BEA71869DA6577BA52"/>
              </w:placeholder>
            </w:sdtPr>
            <w:sdtEndPr/>
            <w:sdtContent>
              <w:tr w:rsidR="00D21C1F" w14:paraId="61BD4C6A" w14:textId="77777777">
                <w:tc>
                  <w:tcPr>
                    <w:tcW w:w="682" w:type="dxa"/>
                    <w:shd w:val="clear" w:color="auto" w:fill="auto"/>
                  </w:tcPr>
                  <w:p w14:paraId="74911FA9" w14:textId="77777777" w:rsidR="00D21C1F" w:rsidRDefault="00A42880">
                    <w:pPr>
                      <w:rPr>
                        <w:rFonts w:ascii="Times New Roman" w:hAnsi="Times New Roman" w:cs="Times New Roman"/>
                      </w:rPr>
                    </w:pPr>
                    <w:r>
                      <w:rPr>
                        <w:rFonts w:ascii="Times New Roman" w:hAnsi="Times New Roman" w:cs="Times New Roman"/>
                      </w:rPr>
                      <w:t>20</w:t>
                    </w:r>
                  </w:p>
                </w:tc>
                <w:tc>
                  <w:tcPr>
                    <w:tcW w:w="1127" w:type="dxa"/>
                    <w:shd w:val="clear" w:color="auto" w:fill="auto"/>
                  </w:tcPr>
                  <w:p w14:paraId="7E789CF6" w14:textId="77777777" w:rsidR="00D21C1F" w:rsidRDefault="00A42880">
                    <w:pPr>
                      <w:jc w:val="both"/>
                      <w:rPr>
                        <w:rFonts w:ascii="Times New Roman" w:hAnsi="Times New Roman" w:cs="Times New Roman"/>
                      </w:rPr>
                    </w:pPr>
                    <w:r>
                      <w:rPr>
                        <w:rFonts w:ascii="Times New Roman" w:hAnsi="Times New Roman" w:cs="Times New Roman"/>
                      </w:rPr>
                      <w:t>底盘摩擦线输送机项目</w:t>
                    </w:r>
                  </w:p>
                </w:tc>
                <w:tc>
                  <w:tcPr>
                    <w:tcW w:w="1134" w:type="dxa"/>
                    <w:shd w:val="clear" w:color="auto" w:fill="auto"/>
                  </w:tcPr>
                  <w:p w14:paraId="742A924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260.00</w:t>
                    </w:r>
                  </w:p>
                </w:tc>
                <w:tc>
                  <w:tcPr>
                    <w:tcW w:w="993" w:type="dxa"/>
                    <w:shd w:val="clear" w:color="auto" w:fill="auto"/>
                  </w:tcPr>
                  <w:p w14:paraId="2039E8C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7.02</w:t>
                    </w:r>
                  </w:p>
                </w:tc>
                <w:tc>
                  <w:tcPr>
                    <w:tcW w:w="1134" w:type="dxa"/>
                    <w:shd w:val="clear" w:color="auto" w:fill="auto"/>
                  </w:tcPr>
                  <w:p w14:paraId="68A435C4"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206.51</w:t>
                    </w:r>
                  </w:p>
                </w:tc>
                <w:tc>
                  <w:tcPr>
                    <w:tcW w:w="1950" w:type="dxa"/>
                    <w:shd w:val="clear" w:color="auto" w:fill="auto"/>
                  </w:tcPr>
                  <w:p w14:paraId="7EAF9CBB" w14:textId="77777777" w:rsidR="00D21C1F" w:rsidRDefault="00A42880">
                    <w:pPr>
                      <w:jc w:val="both"/>
                      <w:rPr>
                        <w:rFonts w:ascii="Times New Roman" w:hAnsi="Times New Roman" w:cs="Times New Roman"/>
                      </w:rPr>
                    </w:pPr>
                    <w:r>
                      <w:rPr>
                        <w:rFonts w:ascii="Times New Roman" w:hAnsi="Times New Roman" w:cs="Times New Roman"/>
                      </w:rPr>
                      <w:t>研发样机试制完成，已经发往终端客户现场使用。本项目已结项。</w:t>
                    </w:r>
                  </w:p>
                </w:tc>
                <w:tc>
                  <w:tcPr>
                    <w:tcW w:w="2019" w:type="dxa"/>
                    <w:shd w:val="clear" w:color="auto" w:fill="auto"/>
                  </w:tcPr>
                  <w:p w14:paraId="321CADCB" w14:textId="77777777" w:rsidR="00D21C1F" w:rsidRDefault="00A42880">
                    <w:pPr>
                      <w:jc w:val="both"/>
                      <w:rPr>
                        <w:rFonts w:ascii="Times New Roman" w:hAnsi="Times New Roman" w:cs="Times New Roman"/>
                      </w:rPr>
                    </w:pPr>
                    <w:r>
                      <w:rPr>
                        <w:rFonts w:ascii="Times New Roman" w:hAnsi="Times New Roman" w:cs="Times New Roman"/>
                      </w:rPr>
                      <w:t>底盘摩擦输送机的研发填补相关空白，提高汽车装备产品的核心竞争力</w:t>
                    </w:r>
                  </w:p>
                </w:tc>
                <w:tc>
                  <w:tcPr>
                    <w:tcW w:w="1701" w:type="dxa"/>
                    <w:shd w:val="clear" w:color="auto" w:fill="auto"/>
                  </w:tcPr>
                  <w:p w14:paraId="114401F7" w14:textId="77777777" w:rsidR="00D21C1F" w:rsidRDefault="00A42880">
                    <w:pPr>
                      <w:jc w:val="both"/>
                      <w:rPr>
                        <w:rFonts w:ascii="Times New Roman" w:hAnsi="Times New Roman" w:cs="Times New Roman"/>
                      </w:rPr>
                    </w:pPr>
                    <w:r>
                      <w:rPr>
                        <w:rFonts w:ascii="Times New Roman" w:hAnsi="Times New Roman" w:cs="Times New Roman"/>
                      </w:rPr>
                      <w:t>研发产品达到，国内同等水平。</w:t>
                    </w:r>
                  </w:p>
                </w:tc>
                <w:tc>
                  <w:tcPr>
                    <w:tcW w:w="3349" w:type="dxa"/>
                    <w:shd w:val="clear" w:color="auto" w:fill="auto"/>
                  </w:tcPr>
                  <w:p w14:paraId="790C2390" w14:textId="77777777" w:rsidR="00D21C1F" w:rsidRDefault="00A42880">
                    <w:pPr>
                      <w:jc w:val="both"/>
                      <w:rPr>
                        <w:rFonts w:ascii="Times New Roman" w:hAnsi="Times New Roman" w:cs="Times New Roman"/>
                      </w:rPr>
                    </w:pPr>
                    <w:r>
                      <w:rPr>
                        <w:rFonts w:ascii="Times New Roman" w:hAnsi="Times New Roman" w:cs="Times New Roman"/>
                      </w:rPr>
                      <w:t>可用于汽车总装生产车间的底盘装配线和底盘转运线，需求明确，应用市场广阔</w:t>
                    </w:r>
                  </w:p>
                </w:tc>
              </w:tr>
            </w:sdtContent>
          </w:sdt>
          <w:sdt>
            <w:sdtPr>
              <w:rPr>
                <w:rFonts w:ascii="Times New Roman" w:hAnsi="Times New Roman" w:cs="Times New Roman"/>
              </w:rPr>
              <w:alias w:val="在研项目情况明细"/>
              <w:tag w:val="_TUP_9ddfad86f77e4024ab38f89df3f23e23"/>
              <w:id w:val="-1640499720"/>
              <w:lock w:val="sdtLocked"/>
              <w:placeholder>
                <w:docPart w:val="BD03748146ED43BEA71869DA6577BA52"/>
              </w:placeholder>
            </w:sdtPr>
            <w:sdtEndPr/>
            <w:sdtContent>
              <w:tr w:rsidR="00D21C1F" w14:paraId="44BFBF92" w14:textId="77777777">
                <w:tc>
                  <w:tcPr>
                    <w:tcW w:w="682" w:type="dxa"/>
                    <w:shd w:val="clear" w:color="auto" w:fill="auto"/>
                  </w:tcPr>
                  <w:p w14:paraId="36295726" w14:textId="77777777" w:rsidR="00D21C1F" w:rsidRDefault="00A42880">
                    <w:pPr>
                      <w:rPr>
                        <w:rFonts w:ascii="Times New Roman" w:hAnsi="Times New Roman" w:cs="Times New Roman"/>
                      </w:rPr>
                    </w:pPr>
                    <w:r>
                      <w:rPr>
                        <w:rFonts w:ascii="Times New Roman" w:hAnsi="Times New Roman" w:cs="Times New Roman"/>
                      </w:rPr>
                      <w:t>21</w:t>
                    </w:r>
                  </w:p>
                </w:tc>
                <w:tc>
                  <w:tcPr>
                    <w:tcW w:w="1127" w:type="dxa"/>
                    <w:shd w:val="clear" w:color="auto" w:fill="auto"/>
                  </w:tcPr>
                  <w:p w14:paraId="6B012212" w14:textId="77777777" w:rsidR="00D21C1F" w:rsidRDefault="00A42880">
                    <w:pPr>
                      <w:jc w:val="both"/>
                      <w:rPr>
                        <w:rFonts w:ascii="Times New Roman" w:hAnsi="Times New Roman" w:cs="Times New Roman"/>
                      </w:rPr>
                    </w:pPr>
                    <w:r>
                      <w:rPr>
                        <w:rFonts w:ascii="Times New Roman" w:hAnsi="Times New Roman" w:cs="Times New Roman"/>
                      </w:rPr>
                      <w:t>面向特钢棒材精整作业的机器人系统</w:t>
                    </w:r>
                  </w:p>
                </w:tc>
                <w:tc>
                  <w:tcPr>
                    <w:tcW w:w="1134" w:type="dxa"/>
                    <w:shd w:val="clear" w:color="auto" w:fill="auto"/>
                  </w:tcPr>
                  <w:p w14:paraId="2585018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95.09</w:t>
                    </w:r>
                  </w:p>
                </w:tc>
                <w:tc>
                  <w:tcPr>
                    <w:tcW w:w="993" w:type="dxa"/>
                    <w:shd w:val="clear" w:color="auto" w:fill="auto"/>
                  </w:tcPr>
                  <w:p w14:paraId="7A977A2A"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49.77</w:t>
                    </w:r>
                  </w:p>
                </w:tc>
                <w:tc>
                  <w:tcPr>
                    <w:tcW w:w="1134" w:type="dxa"/>
                    <w:shd w:val="clear" w:color="auto" w:fill="auto"/>
                  </w:tcPr>
                  <w:p w14:paraId="2036A854"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106.03</w:t>
                    </w:r>
                  </w:p>
                </w:tc>
                <w:tc>
                  <w:tcPr>
                    <w:tcW w:w="1950" w:type="dxa"/>
                    <w:shd w:val="clear" w:color="auto" w:fill="auto"/>
                  </w:tcPr>
                  <w:p w14:paraId="6BE456C9"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）完成喷涂机器人软件系统的优化设计；</w:t>
                    </w:r>
                  </w:p>
                  <w:p w14:paraId="31E246AB"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）完成棒材涂油装置和端面喷漆装置研发设计。</w:t>
                    </w:r>
                  </w:p>
                </w:tc>
                <w:tc>
                  <w:tcPr>
                    <w:tcW w:w="2019" w:type="dxa"/>
                    <w:shd w:val="clear" w:color="auto" w:fill="auto"/>
                  </w:tcPr>
                  <w:p w14:paraId="50BDEC75" w14:textId="77777777" w:rsidR="00D21C1F" w:rsidRDefault="00A42880">
                    <w:pPr>
                      <w:jc w:val="both"/>
                      <w:rPr>
                        <w:rFonts w:ascii="Times New Roman" w:hAnsi="Times New Roman" w:cs="Times New Roman"/>
                      </w:rPr>
                    </w:pPr>
                    <w:r>
                      <w:rPr>
                        <w:rFonts w:ascii="Times New Roman" w:hAnsi="Times New Roman" w:cs="Times New Roman"/>
                      </w:rPr>
                      <w:t>项目完成时喷涂机器人本体满足端部喷漆，单根喷漆时间</w:t>
                    </w:r>
                    <w:r>
                      <w:rPr>
                        <w:rFonts w:ascii="Times New Roman" w:hAnsi="Times New Roman" w:cs="Times New Roman"/>
                      </w:rPr>
                      <w:t>≤10s</w:t>
                    </w:r>
                    <w:r>
                      <w:rPr>
                        <w:rFonts w:ascii="Times New Roman" w:hAnsi="Times New Roman" w:cs="Times New Roman"/>
                      </w:rPr>
                      <w:t>，直径范围</w:t>
                    </w:r>
                    <w:r>
                      <w:rPr>
                        <w:rFonts w:ascii="Times New Roman" w:hAnsi="Times New Roman" w:cs="Times New Roman"/>
                      </w:rPr>
                      <w:t>50-200mm</w:t>
                    </w:r>
                    <w:r>
                      <w:rPr>
                        <w:rFonts w:ascii="Times New Roman" w:hAnsi="Times New Roman" w:cs="Times New Roman"/>
                      </w:rPr>
                      <w:t>，长度范围</w:t>
                    </w:r>
                    <w:r>
                      <w:rPr>
                        <w:rFonts w:ascii="Times New Roman" w:hAnsi="Times New Roman" w:cs="Times New Roman"/>
                      </w:rPr>
                      <w:t>4-12m </w:t>
                    </w:r>
                  </w:p>
                </w:tc>
                <w:tc>
                  <w:tcPr>
                    <w:tcW w:w="1701" w:type="dxa"/>
                    <w:shd w:val="clear" w:color="auto" w:fill="auto"/>
                  </w:tcPr>
                  <w:p w14:paraId="21251248" w14:textId="77777777" w:rsidR="00D21C1F" w:rsidRDefault="00A42880">
                    <w:pPr>
                      <w:jc w:val="both"/>
                      <w:rPr>
                        <w:rFonts w:ascii="Times New Roman" w:hAnsi="Times New Roman" w:cs="Times New Roman"/>
                      </w:rPr>
                    </w:pPr>
                    <w:r>
                      <w:rPr>
                        <w:rFonts w:ascii="Times New Roman" w:hAnsi="Times New Roman" w:cs="Times New Roman"/>
                      </w:rPr>
                      <w:t>研发完成将达到国内领先水平</w:t>
                    </w:r>
                    <w:r>
                      <w:rPr>
                        <w:rFonts w:ascii="Times New Roman" w:hAnsi="Times New Roman" w:cs="Times New Roman"/>
                      </w:rPr>
                      <w:t> </w:t>
                    </w:r>
                  </w:p>
                </w:tc>
                <w:tc>
                  <w:tcPr>
                    <w:tcW w:w="3349" w:type="dxa"/>
                    <w:shd w:val="clear" w:color="auto" w:fill="auto"/>
                  </w:tcPr>
                  <w:p w14:paraId="263B1C77" w14:textId="77777777" w:rsidR="00D21C1F" w:rsidRDefault="00A42880">
                    <w:pPr>
                      <w:jc w:val="both"/>
                      <w:rPr>
                        <w:rFonts w:ascii="Times New Roman" w:hAnsi="Times New Roman" w:cs="Times New Roman"/>
                      </w:rPr>
                    </w:pPr>
                    <w:r>
                      <w:rPr>
                        <w:rFonts w:ascii="Times New Roman" w:hAnsi="Times New Roman" w:cs="Times New Roman"/>
                      </w:rPr>
                      <w:t>开发机器人末端执行装置，研究各个机器人的轨迹优化、路径的动静态智能规划和决策理论，实现拆捆、打捆、喷码、修磨、贴标、喷漆、涂油等工业机器人系统的集成；开发网络通信接口，实现工业机器人与企业生产管控系统的信息融合。</w:t>
                    </w:r>
                  </w:p>
                </w:tc>
              </w:tr>
            </w:sdtContent>
          </w:sdt>
          <w:sdt>
            <w:sdtPr>
              <w:rPr>
                <w:rFonts w:ascii="Times New Roman" w:hAnsi="Times New Roman" w:cs="Times New Roman"/>
              </w:rPr>
              <w:alias w:val="在研项目情况明细"/>
              <w:tag w:val="_TUP_9ddfad86f77e4024ab38f89df3f23e23"/>
              <w:id w:val="-1846856826"/>
              <w:lock w:val="sdtLocked"/>
              <w:placeholder>
                <w:docPart w:val="BD03748146ED43BEA71869DA6577BA52"/>
              </w:placeholder>
            </w:sdtPr>
            <w:sdtEndPr/>
            <w:sdtContent>
              <w:tr w:rsidR="00D21C1F" w14:paraId="58A022EF" w14:textId="77777777">
                <w:tc>
                  <w:tcPr>
                    <w:tcW w:w="682" w:type="dxa"/>
                    <w:shd w:val="clear" w:color="auto" w:fill="auto"/>
                  </w:tcPr>
                  <w:p w14:paraId="0B2522AD" w14:textId="77777777" w:rsidR="00D21C1F" w:rsidRDefault="00A42880">
                    <w:pPr>
                      <w:rPr>
                        <w:rFonts w:ascii="Times New Roman" w:hAnsi="Times New Roman" w:cs="Times New Roman"/>
                      </w:rPr>
                    </w:pPr>
                    <w:r>
                      <w:rPr>
                        <w:rFonts w:ascii="Times New Roman" w:hAnsi="Times New Roman" w:cs="Times New Roman"/>
                      </w:rPr>
                      <w:t>22</w:t>
                    </w:r>
                  </w:p>
                </w:tc>
                <w:tc>
                  <w:tcPr>
                    <w:tcW w:w="1127" w:type="dxa"/>
                    <w:shd w:val="clear" w:color="auto" w:fill="auto"/>
                  </w:tcPr>
                  <w:p w14:paraId="2AB00A23" w14:textId="77777777" w:rsidR="00D21C1F" w:rsidRDefault="00A42880">
                    <w:pPr>
                      <w:jc w:val="both"/>
                      <w:rPr>
                        <w:rFonts w:ascii="Times New Roman" w:hAnsi="Times New Roman" w:cs="Times New Roman"/>
                      </w:rPr>
                    </w:pPr>
                    <w:r>
                      <w:rPr>
                        <w:rFonts w:ascii="Times New Roman" w:hAnsi="Times New Roman" w:cs="Times New Roman"/>
                      </w:rPr>
                      <w:t>偃师（云平台系统开发项目）</w:t>
                    </w:r>
                  </w:p>
                </w:tc>
                <w:tc>
                  <w:tcPr>
                    <w:tcW w:w="1134" w:type="dxa"/>
                    <w:shd w:val="clear" w:color="auto" w:fill="auto"/>
                  </w:tcPr>
                  <w:p w14:paraId="3E81988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101.91</w:t>
                    </w:r>
                  </w:p>
                </w:tc>
                <w:tc>
                  <w:tcPr>
                    <w:tcW w:w="993" w:type="dxa"/>
                    <w:shd w:val="clear" w:color="auto" w:fill="auto"/>
                  </w:tcPr>
                  <w:p w14:paraId="0CC5A5FA"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10.50</w:t>
                    </w:r>
                  </w:p>
                </w:tc>
                <w:tc>
                  <w:tcPr>
                    <w:tcW w:w="1134" w:type="dxa"/>
                    <w:shd w:val="clear" w:color="auto" w:fill="auto"/>
                  </w:tcPr>
                  <w:p w14:paraId="157D120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60.95</w:t>
                    </w:r>
                  </w:p>
                </w:tc>
                <w:tc>
                  <w:tcPr>
                    <w:tcW w:w="1950" w:type="dxa"/>
                    <w:shd w:val="clear" w:color="auto" w:fill="auto"/>
                  </w:tcPr>
                  <w:p w14:paraId="7A289450" w14:textId="77777777" w:rsidR="00D21C1F" w:rsidRDefault="00A42880">
                    <w:pPr>
                      <w:jc w:val="both"/>
                      <w:rPr>
                        <w:rFonts w:ascii="Times New Roman" w:hAnsi="Times New Roman" w:cs="Times New Roman"/>
                      </w:rPr>
                    </w:pPr>
                    <w:r>
                      <w:rPr>
                        <w:rFonts w:ascii="Times New Roman" w:hAnsi="Times New Roman" w:cs="Times New Roman"/>
                      </w:rPr>
                      <w:t>第一阶段系统构建完成，项目得以验证，并且完成第一阶段验收。</w:t>
                    </w:r>
                  </w:p>
                </w:tc>
                <w:tc>
                  <w:tcPr>
                    <w:tcW w:w="2019" w:type="dxa"/>
                    <w:shd w:val="clear" w:color="auto" w:fill="auto"/>
                  </w:tcPr>
                  <w:p w14:paraId="01CECD1C" w14:textId="77777777" w:rsidR="00D21C1F" w:rsidRDefault="00A42880">
                    <w:pPr>
                      <w:jc w:val="both"/>
                      <w:rPr>
                        <w:rFonts w:ascii="Times New Roman" w:hAnsi="Times New Roman" w:cs="Times New Roman"/>
                      </w:rPr>
                    </w:pPr>
                    <w:r>
                      <w:rPr>
                        <w:rFonts w:ascii="Times New Roman" w:hAnsi="Times New Roman" w:cs="Times New Roman"/>
                      </w:rPr>
                      <w:t>满足客户现场应用要求，符合立项指标</w:t>
                    </w:r>
                  </w:p>
                </w:tc>
                <w:tc>
                  <w:tcPr>
                    <w:tcW w:w="1701" w:type="dxa"/>
                    <w:shd w:val="clear" w:color="auto" w:fill="auto"/>
                  </w:tcPr>
                  <w:p w14:paraId="759F4B03" w14:textId="77777777" w:rsidR="00D21C1F" w:rsidRDefault="00A42880">
                    <w:pPr>
                      <w:jc w:val="both"/>
                      <w:rPr>
                        <w:rFonts w:ascii="Times New Roman" w:hAnsi="Times New Roman" w:cs="Times New Roman"/>
                      </w:rPr>
                    </w:pPr>
                    <w:r>
                      <w:rPr>
                        <w:rFonts w:ascii="Times New Roman" w:hAnsi="Times New Roman" w:cs="Times New Roman"/>
                      </w:rPr>
                      <w:t>采用多路复用的机器人信息采集机制，数据在云平台通过大数据分析的方法集中管理。在国内同行业中属于领先地位。</w:t>
                    </w:r>
                  </w:p>
                </w:tc>
                <w:tc>
                  <w:tcPr>
                    <w:tcW w:w="3349" w:type="dxa"/>
                    <w:shd w:val="clear" w:color="auto" w:fill="auto"/>
                  </w:tcPr>
                  <w:p w14:paraId="7B0DB9DC" w14:textId="77777777" w:rsidR="00D21C1F" w:rsidRDefault="00A42880">
                    <w:pPr>
                      <w:jc w:val="both"/>
                      <w:rPr>
                        <w:rFonts w:ascii="Times New Roman" w:hAnsi="Times New Roman" w:cs="Times New Roman"/>
                      </w:rPr>
                    </w:pPr>
                    <w:r>
                      <w:rPr>
                        <w:rFonts w:ascii="Times New Roman" w:hAnsi="Times New Roman" w:cs="Times New Roman"/>
                      </w:rPr>
                      <w:t>可以对机器人的运行状态做到远程监控，程序远程升级。</w:t>
                    </w:r>
                  </w:p>
                </w:tc>
              </w:tr>
            </w:sdtContent>
          </w:sdt>
          <w:sdt>
            <w:sdtPr>
              <w:rPr>
                <w:rFonts w:ascii="Times New Roman" w:hAnsi="Times New Roman" w:cs="Times New Roman"/>
              </w:rPr>
              <w:alias w:val="在研项目情况明细"/>
              <w:tag w:val="_TUP_9ddfad86f77e4024ab38f89df3f23e23"/>
              <w:id w:val="-447851909"/>
              <w:lock w:val="sdtLocked"/>
              <w:placeholder>
                <w:docPart w:val="BD03748146ED43BEA71869DA6577BA52"/>
              </w:placeholder>
            </w:sdtPr>
            <w:sdtEndPr/>
            <w:sdtContent>
              <w:tr w:rsidR="00D21C1F" w14:paraId="20E6DED7" w14:textId="77777777">
                <w:tc>
                  <w:tcPr>
                    <w:tcW w:w="682" w:type="dxa"/>
                    <w:shd w:val="clear" w:color="auto" w:fill="auto"/>
                  </w:tcPr>
                  <w:p w14:paraId="126907F7" w14:textId="77777777" w:rsidR="00D21C1F" w:rsidRDefault="00A42880">
                    <w:pPr>
                      <w:rPr>
                        <w:rFonts w:ascii="Times New Roman" w:hAnsi="Times New Roman" w:cs="Times New Roman"/>
                      </w:rPr>
                    </w:pPr>
                    <w:r>
                      <w:rPr>
                        <w:rFonts w:ascii="Times New Roman" w:hAnsi="Times New Roman" w:cs="Times New Roman"/>
                      </w:rPr>
                      <w:t>23</w:t>
                    </w:r>
                  </w:p>
                </w:tc>
                <w:tc>
                  <w:tcPr>
                    <w:tcW w:w="1127" w:type="dxa"/>
                    <w:shd w:val="clear" w:color="auto" w:fill="auto"/>
                  </w:tcPr>
                  <w:p w14:paraId="626339BD" w14:textId="77777777" w:rsidR="00D21C1F" w:rsidRDefault="00A42880">
                    <w:pPr>
                      <w:jc w:val="both"/>
                      <w:rPr>
                        <w:rFonts w:ascii="Times New Roman" w:hAnsi="Times New Roman" w:cs="Times New Roman"/>
                      </w:rPr>
                    </w:pPr>
                    <w:r>
                      <w:rPr>
                        <w:rFonts w:ascii="Times New Roman" w:hAnsi="Times New Roman" w:cs="Times New Roman"/>
                      </w:rPr>
                      <w:t>重载弧焊总装多轴变位机</w:t>
                    </w:r>
                  </w:p>
                </w:tc>
                <w:tc>
                  <w:tcPr>
                    <w:tcW w:w="1134" w:type="dxa"/>
                    <w:shd w:val="clear" w:color="auto" w:fill="auto"/>
                  </w:tcPr>
                  <w:p w14:paraId="13AAEB8B"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260.00</w:t>
                    </w:r>
                  </w:p>
                </w:tc>
                <w:tc>
                  <w:tcPr>
                    <w:tcW w:w="993" w:type="dxa"/>
                    <w:shd w:val="clear" w:color="auto" w:fill="auto"/>
                  </w:tcPr>
                  <w:p w14:paraId="1F1AEBD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8.25</w:t>
                    </w:r>
                  </w:p>
                </w:tc>
                <w:tc>
                  <w:tcPr>
                    <w:tcW w:w="1134" w:type="dxa"/>
                    <w:shd w:val="clear" w:color="auto" w:fill="auto"/>
                  </w:tcPr>
                  <w:p w14:paraId="66D687B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8.25</w:t>
                    </w:r>
                  </w:p>
                </w:tc>
                <w:tc>
                  <w:tcPr>
                    <w:tcW w:w="1950" w:type="dxa"/>
                    <w:shd w:val="clear" w:color="auto" w:fill="auto"/>
                  </w:tcPr>
                  <w:p w14:paraId="4F219E45"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）完成关键计算及选型。</w:t>
                    </w:r>
                  </w:p>
                  <w:p w14:paraId="57C1A3A4"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w:t>
                    </w:r>
                    <w:r>
                      <w:rPr>
                        <w:rFonts w:ascii="Times New Roman" w:hAnsi="Times New Roman" w:cs="Times New Roman"/>
                      </w:rPr>
                      <w:t>3D</w:t>
                    </w:r>
                    <w:r>
                      <w:rPr>
                        <w:rFonts w:ascii="Times New Roman" w:hAnsi="Times New Roman" w:cs="Times New Roman"/>
                      </w:rPr>
                      <w:t>建模。</w:t>
                    </w:r>
                    <w:r>
                      <w:rPr>
                        <w:rFonts w:ascii="Times New Roman" w:hAnsi="Times New Roman" w:cs="Times New Roman"/>
                      </w:rPr>
                      <w:t xml:space="preserve">     3</w:t>
                    </w:r>
                    <w:r>
                      <w:rPr>
                        <w:rFonts w:ascii="Times New Roman" w:hAnsi="Times New Roman" w:cs="Times New Roman"/>
                      </w:rPr>
                      <w:t>）完成</w:t>
                    </w:r>
                    <w:r>
                      <w:rPr>
                        <w:rFonts w:ascii="Times New Roman" w:hAnsi="Times New Roman" w:cs="Times New Roman"/>
                      </w:rPr>
                      <w:t>2D</w:t>
                    </w:r>
                    <w:r>
                      <w:rPr>
                        <w:rFonts w:ascii="Times New Roman" w:hAnsi="Times New Roman" w:cs="Times New Roman"/>
                      </w:rPr>
                      <w:t>加工图下发及外购件申报</w:t>
                    </w:r>
                  </w:p>
                </w:tc>
                <w:tc>
                  <w:tcPr>
                    <w:tcW w:w="2019" w:type="dxa"/>
                    <w:shd w:val="clear" w:color="auto" w:fill="auto"/>
                  </w:tcPr>
                  <w:p w14:paraId="3AAFBDF8"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）负载</w:t>
                    </w:r>
                    <w:r>
                      <w:rPr>
                        <w:rFonts w:ascii="Times New Roman" w:hAnsi="Times New Roman" w:cs="Times New Roman"/>
                      </w:rPr>
                      <w:t>2.5</w:t>
                    </w:r>
                    <w:r>
                      <w:rPr>
                        <w:rFonts w:ascii="Times New Roman" w:hAnsi="Times New Roman" w:cs="Times New Roman"/>
                      </w:rPr>
                      <w:t>吨；</w:t>
                    </w:r>
                    <w:r>
                      <w:rPr>
                        <w:rFonts w:ascii="Times New Roman" w:hAnsi="Times New Roman" w:cs="Times New Roman"/>
                      </w:rPr>
                      <w:t xml:space="preserve">     2</w:t>
                    </w:r>
                    <w:r>
                      <w:rPr>
                        <w:rFonts w:ascii="Times New Roman" w:hAnsi="Times New Roman" w:cs="Times New Roman"/>
                      </w:rPr>
                      <w:t>）抓手采用伺服电机夹紧控制。</w:t>
                    </w:r>
                  </w:p>
                </w:tc>
                <w:tc>
                  <w:tcPr>
                    <w:tcW w:w="1701" w:type="dxa"/>
                    <w:shd w:val="clear" w:color="auto" w:fill="auto"/>
                  </w:tcPr>
                  <w:p w14:paraId="0317A272" w14:textId="77777777" w:rsidR="00D21C1F" w:rsidRDefault="00A42880">
                    <w:pPr>
                      <w:jc w:val="both"/>
                      <w:rPr>
                        <w:rFonts w:ascii="Times New Roman" w:hAnsi="Times New Roman" w:cs="Times New Roman"/>
                      </w:rPr>
                    </w:pPr>
                    <w:r>
                      <w:rPr>
                        <w:rFonts w:ascii="Times New Roman" w:hAnsi="Times New Roman" w:cs="Times New Roman"/>
                      </w:rPr>
                      <w:t>研发完成将达到国内同等先进水平</w:t>
                    </w:r>
                    <w:r>
                      <w:rPr>
                        <w:rFonts w:ascii="Times New Roman" w:hAnsi="Times New Roman" w:cs="Times New Roman"/>
                      </w:rPr>
                      <w:t> </w:t>
                    </w:r>
                  </w:p>
                </w:tc>
                <w:tc>
                  <w:tcPr>
                    <w:tcW w:w="3349" w:type="dxa"/>
                    <w:shd w:val="clear" w:color="auto" w:fill="auto"/>
                  </w:tcPr>
                  <w:p w14:paraId="3CBFB09A" w14:textId="77777777" w:rsidR="00D21C1F" w:rsidRDefault="00A42880">
                    <w:pPr>
                      <w:jc w:val="both"/>
                      <w:rPr>
                        <w:rFonts w:ascii="Times New Roman" w:hAnsi="Times New Roman" w:cs="Times New Roman"/>
                      </w:rPr>
                    </w:pPr>
                    <w:r>
                      <w:rPr>
                        <w:rFonts w:ascii="Times New Roman" w:hAnsi="Times New Roman" w:cs="Times New Roman"/>
                      </w:rPr>
                      <w:t>可用于重工行业生产线及其它重型构件变位协同作业。</w:t>
                    </w:r>
                  </w:p>
                </w:tc>
              </w:tr>
            </w:sdtContent>
          </w:sdt>
          <w:sdt>
            <w:sdtPr>
              <w:rPr>
                <w:rFonts w:ascii="Times New Roman" w:hAnsi="Times New Roman" w:cs="Times New Roman"/>
              </w:rPr>
              <w:alias w:val="在研项目情况明细"/>
              <w:tag w:val="_TUP_9ddfad86f77e4024ab38f89df3f23e23"/>
              <w:id w:val="-1603103574"/>
              <w:lock w:val="sdtLocked"/>
              <w:placeholder>
                <w:docPart w:val="BD03748146ED43BEA71869DA6577BA52"/>
              </w:placeholder>
            </w:sdtPr>
            <w:sdtEndPr/>
            <w:sdtContent>
              <w:tr w:rsidR="00D21C1F" w14:paraId="57E5EBBA" w14:textId="77777777">
                <w:tc>
                  <w:tcPr>
                    <w:tcW w:w="682" w:type="dxa"/>
                    <w:shd w:val="clear" w:color="auto" w:fill="auto"/>
                  </w:tcPr>
                  <w:p w14:paraId="53FF8EE2" w14:textId="77777777" w:rsidR="00D21C1F" w:rsidRDefault="00A42880">
                    <w:pPr>
                      <w:rPr>
                        <w:rFonts w:ascii="Times New Roman" w:hAnsi="Times New Roman" w:cs="Times New Roman"/>
                      </w:rPr>
                    </w:pPr>
                    <w:r>
                      <w:rPr>
                        <w:rFonts w:ascii="Times New Roman" w:hAnsi="Times New Roman" w:cs="Times New Roman"/>
                      </w:rPr>
                      <w:t>24</w:t>
                    </w:r>
                  </w:p>
                </w:tc>
                <w:tc>
                  <w:tcPr>
                    <w:tcW w:w="1127" w:type="dxa"/>
                    <w:shd w:val="clear" w:color="auto" w:fill="auto"/>
                  </w:tcPr>
                  <w:p w14:paraId="0E195776" w14:textId="77777777" w:rsidR="00D21C1F" w:rsidRDefault="00A42880">
                    <w:pPr>
                      <w:jc w:val="both"/>
                      <w:rPr>
                        <w:rFonts w:ascii="Times New Roman" w:hAnsi="Times New Roman" w:cs="Times New Roman"/>
                      </w:rPr>
                    </w:pPr>
                    <w:r>
                      <w:rPr>
                        <w:rFonts w:ascii="Times New Roman" w:hAnsi="Times New Roman" w:cs="Times New Roman"/>
                      </w:rPr>
                      <w:t>有轨制导车辆（</w:t>
                    </w:r>
                    <w:r>
                      <w:rPr>
                        <w:rFonts w:ascii="Times New Roman" w:hAnsi="Times New Roman" w:cs="Times New Roman"/>
                      </w:rPr>
                      <w:t>RGV</w:t>
                    </w:r>
                    <w:r>
                      <w:rPr>
                        <w:rFonts w:ascii="Times New Roman" w:hAnsi="Times New Roman" w:cs="Times New Roman"/>
                      </w:rPr>
                      <w:t>）重工行业智能制造生产线</w:t>
                    </w:r>
                  </w:p>
                </w:tc>
                <w:tc>
                  <w:tcPr>
                    <w:tcW w:w="1134" w:type="dxa"/>
                    <w:shd w:val="clear" w:color="auto" w:fill="auto"/>
                  </w:tcPr>
                  <w:p w14:paraId="7D3CF7CB"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300.00</w:t>
                    </w:r>
                  </w:p>
                </w:tc>
                <w:tc>
                  <w:tcPr>
                    <w:tcW w:w="993" w:type="dxa"/>
                    <w:shd w:val="clear" w:color="auto" w:fill="auto"/>
                  </w:tcPr>
                  <w:p w14:paraId="26FB3436"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15.85</w:t>
                    </w:r>
                  </w:p>
                </w:tc>
                <w:tc>
                  <w:tcPr>
                    <w:tcW w:w="1134" w:type="dxa"/>
                    <w:shd w:val="clear" w:color="auto" w:fill="auto"/>
                  </w:tcPr>
                  <w:p w14:paraId="0E0ED310"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15.85</w:t>
                    </w:r>
                  </w:p>
                </w:tc>
                <w:tc>
                  <w:tcPr>
                    <w:tcW w:w="1950" w:type="dxa"/>
                    <w:shd w:val="clear" w:color="auto" w:fill="auto"/>
                  </w:tcPr>
                  <w:p w14:paraId="69C3BF50"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）技术研究分析工作完成；</w:t>
                    </w:r>
                    <w:r>
                      <w:rPr>
                        <w:rFonts w:ascii="Times New Roman" w:hAnsi="Times New Roman" w:cs="Times New Roman"/>
                      </w:rPr>
                      <w:t xml:space="preserve"> </w:t>
                    </w:r>
                  </w:p>
                  <w:p w14:paraId="158F4A3D"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）项目开发进行中。</w:t>
                    </w:r>
                  </w:p>
                </w:tc>
                <w:tc>
                  <w:tcPr>
                    <w:tcW w:w="2019" w:type="dxa"/>
                    <w:shd w:val="clear" w:color="auto" w:fill="auto"/>
                  </w:tcPr>
                  <w:p w14:paraId="351FC866" w14:textId="77777777" w:rsidR="00D21C1F" w:rsidRDefault="00A42880">
                    <w:pPr>
                      <w:jc w:val="both"/>
                      <w:rPr>
                        <w:rFonts w:ascii="Times New Roman" w:hAnsi="Times New Roman" w:cs="Times New Roman"/>
                      </w:rPr>
                    </w:pPr>
                    <w:r>
                      <w:rPr>
                        <w:rFonts w:ascii="Times New Roman" w:hAnsi="Times New Roman" w:cs="Times New Roman"/>
                      </w:rPr>
                      <w:t>负载不小</w:t>
                    </w:r>
                    <w:r>
                      <w:rPr>
                        <w:rFonts w:ascii="Times New Roman" w:hAnsi="Times New Roman" w:cs="Times New Roman"/>
                      </w:rPr>
                      <w:t>30</w:t>
                    </w:r>
                    <w:r>
                      <w:rPr>
                        <w:rFonts w:ascii="Times New Roman" w:hAnsi="Times New Roman" w:cs="Times New Roman"/>
                      </w:rPr>
                      <w:t>吨，</w:t>
                    </w:r>
                    <w:r>
                      <w:rPr>
                        <w:rFonts w:ascii="Times New Roman" w:hAnsi="Times New Roman" w:cs="Times New Roman"/>
                      </w:rPr>
                      <w:t>XY</w:t>
                    </w:r>
                    <w:r>
                      <w:rPr>
                        <w:rFonts w:ascii="Times New Roman" w:hAnsi="Times New Roman" w:cs="Times New Roman"/>
                      </w:rPr>
                      <w:t>方向自动运行。</w:t>
                    </w:r>
                  </w:p>
                </w:tc>
                <w:tc>
                  <w:tcPr>
                    <w:tcW w:w="1701" w:type="dxa"/>
                    <w:shd w:val="clear" w:color="auto" w:fill="auto"/>
                  </w:tcPr>
                  <w:p w14:paraId="1F57BA69" w14:textId="77777777" w:rsidR="00D21C1F" w:rsidRDefault="00A42880">
                    <w:pPr>
                      <w:jc w:val="both"/>
                      <w:rPr>
                        <w:rFonts w:ascii="Times New Roman" w:hAnsi="Times New Roman" w:cs="Times New Roman"/>
                      </w:rPr>
                    </w:pPr>
                    <w:r>
                      <w:rPr>
                        <w:rFonts w:ascii="Times New Roman" w:hAnsi="Times New Roman" w:cs="Times New Roman"/>
                      </w:rPr>
                      <w:t>研发完成将达到国内同等水平</w:t>
                    </w:r>
                    <w:r>
                      <w:rPr>
                        <w:rFonts w:ascii="Times New Roman" w:hAnsi="Times New Roman" w:cs="Times New Roman"/>
                      </w:rPr>
                      <w:t> </w:t>
                    </w:r>
                  </w:p>
                </w:tc>
                <w:tc>
                  <w:tcPr>
                    <w:tcW w:w="3349" w:type="dxa"/>
                    <w:shd w:val="clear" w:color="auto" w:fill="auto"/>
                  </w:tcPr>
                  <w:p w14:paraId="03972152" w14:textId="77777777" w:rsidR="00D21C1F" w:rsidRDefault="00A42880">
                    <w:pPr>
                      <w:jc w:val="both"/>
                      <w:rPr>
                        <w:rFonts w:ascii="Times New Roman" w:hAnsi="Times New Roman" w:cs="Times New Roman"/>
                      </w:rPr>
                    </w:pPr>
                    <w:r>
                      <w:rPr>
                        <w:rFonts w:ascii="Times New Roman" w:hAnsi="Times New Roman" w:cs="Times New Roman"/>
                      </w:rPr>
                      <w:t>可用于重工行业总装生产线及其它重型构件产品智能生产线。</w:t>
                    </w:r>
                  </w:p>
                </w:tc>
              </w:tr>
            </w:sdtContent>
          </w:sdt>
          <w:sdt>
            <w:sdtPr>
              <w:rPr>
                <w:rFonts w:ascii="Times New Roman" w:hAnsi="Times New Roman" w:cs="Times New Roman"/>
              </w:rPr>
              <w:alias w:val="在研项目情况明细"/>
              <w:tag w:val="_TUP_9ddfad86f77e4024ab38f89df3f23e23"/>
              <w:id w:val="-1517220826"/>
              <w:lock w:val="sdtLocked"/>
              <w:placeholder>
                <w:docPart w:val="BD03748146ED43BEA71869DA6577BA52"/>
              </w:placeholder>
            </w:sdtPr>
            <w:sdtEndPr/>
            <w:sdtContent>
              <w:tr w:rsidR="00D21C1F" w14:paraId="2106ABA2" w14:textId="77777777">
                <w:tc>
                  <w:tcPr>
                    <w:tcW w:w="682" w:type="dxa"/>
                    <w:shd w:val="clear" w:color="auto" w:fill="auto"/>
                  </w:tcPr>
                  <w:p w14:paraId="2A912D77" w14:textId="77777777" w:rsidR="00D21C1F" w:rsidRDefault="00A42880">
                    <w:pPr>
                      <w:rPr>
                        <w:rFonts w:ascii="Times New Roman" w:hAnsi="Times New Roman" w:cs="Times New Roman"/>
                      </w:rPr>
                    </w:pPr>
                    <w:r>
                      <w:rPr>
                        <w:rFonts w:ascii="Times New Roman" w:hAnsi="Times New Roman" w:cs="Times New Roman"/>
                      </w:rPr>
                      <w:t>25</w:t>
                    </w:r>
                  </w:p>
                </w:tc>
                <w:tc>
                  <w:tcPr>
                    <w:tcW w:w="1127" w:type="dxa"/>
                    <w:shd w:val="clear" w:color="auto" w:fill="auto"/>
                  </w:tcPr>
                  <w:p w14:paraId="1E8A017A" w14:textId="77777777" w:rsidR="00D21C1F" w:rsidRDefault="00A42880">
                    <w:pPr>
                      <w:jc w:val="both"/>
                      <w:rPr>
                        <w:rFonts w:ascii="Times New Roman" w:hAnsi="Times New Roman" w:cs="Times New Roman"/>
                      </w:rPr>
                    </w:pPr>
                    <w:r>
                      <w:rPr>
                        <w:rFonts w:ascii="Times New Roman" w:hAnsi="Times New Roman" w:cs="Times New Roman"/>
                      </w:rPr>
                      <w:t>自动化立体仓库（</w:t>
                    </w:r>
                    <w:r>
                      <w:rPr>
                        <w:rFonts w:ascii="Times New Roman" w:hAnsi="Times New Roman" w:cs="Times New Roman"/>
                      </w:rPr>
                      <w:t>AS/RS)</w:t>
                    </w:r>
                  </w:p>
                </w:tc>
                <w:tc>
                  <w:tcPr>
                    <w:tcW w:w="1134" w:type="dxa"/>
                    <w:shd w:val="clear" w:color="auto" w:fill="auto"/>
                  </w:tcPr>
                  <w:p w14:paraId="2F67779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200.00</w:t>
                    </w:r>
                  </w:p>
                </w:tc>
                <w:tc>
                  <w:tcPr>
                    <w:tcW w:w="993" w:type="dxa"/>
                    <w:shd w:val="clear" w:color="auto" w:fill="auto"/>
                  </w:tcPr>
                  <w:p w14:paraId="2F63C6A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85.63</w:t>
                    </w:r>
                  </w:p>
                </w:tc>
                <w:tc>
                  <w:tcPr>
                    <w:tcW w:w="1134" w:type="dxa"/>
                    <w:shd w:val="clear" w:color="auto" w:fill="auto"/>
                  </w:tcPr>
                  <w:p w14:paraId="21C7E21C"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85.63</w:t>
                    </w:r>
                  </w:p>
                </w:tc>
                <w:tc>
                  <w:tcPr>
                    <w:tcW w:w="1950" w:type="dxa"/>
                    <w:shd w:val="clear" w:color="auto" w:fill="auto"/>
                  </w:tcPr>
                  <w:p w14:paraId="0C3A1AED"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）完成关键计算及选型。</w:t>
                    </w:r>
                    <w:r>
                      <w:rPr>
                        <w:rFonts w:ascii="Times New Roman" w:hAnsi="Times New Roman" w:cs="Times New Roman"/>
                      </w:rPr>
                      <w:t xml:space="preserve">     </w:t>
                    </w:r>
                  </w:p>
                  <w:p w14:paraId="2C27A5E7"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）完成关键结构的设计建模。</w:t>
                    </w:r>
                  </w:p>
                </w:tc>
                <w:tc>
                  <w:tcPr>
                    <w:tcW w:w="2019" w:type="dxa"/>
                    <w:shd w:val="clear" w:color="auto" w:fill="auto"/>
                  </w:tcPr>
                  <w:p w14:paraId="0814646A" w14:textId="77777777" w:rsidR="00D21C1F" w:rsidRDefault="00A42880">
                    <w:pPr>
                      <w:jc w:val="both"/>
                      <w:rPr>
                        <w:rFonts w:ascii="Times New Roman" w:hAnsi="Times New Roman" w:cs="Times New Roman"/>
                      </w:rPr>
                    </w:pPr>
                    <w:r>
                      <w:rPr>
                        <w:rFonts w:ascii="Times New Roman" w:hAnsi="Times New Roman" w:cs="Times New Roman"/>
                      </w:rPr>
                      <w:t>负载</w:t>
                    </w:r>
                    <w:r>
                      <w:rPr>
                        <w:rFonts w:ascii="Times New Roman" w:hAnsi="Times New Roman" w:cs="Times New Roman"/>
                      </w:rPr>
                      <w:t>600KG</w:t>
                    </w:r>
                    <w:r>
                      <w:rPr>
                        <w:rFonts w:ascii="Times New Roman" w:hAnsi="Times New Roman" w:cs="Times New Roman"/>
                      </w:rPr>
                      <w:t>，</w:t>
                    </w:r>
                    <w:r>
                      <w:rPr>
                        <w:rFonts w:ascii="Times New Roman" w:hAnsi="Times New Roman" w:cs="Times New Roman"/>
                      </w:rPr>
                      <w:t>X</w:t>
                    </w:r>
                    <w:r>
                      <w:rPr>
                        <w:rFonts w:ascii="Times New Roman" w:hAnsi="Times New Roman" w:cs="Times New Roman"/>
                      </w:rPr>
                      <w:t>速度</w:t>
                    </w:r>
                    <w:r>
                      <w:rPr>
                        <w:rFonts w:ascii="Times New Roman" w:hAnsi="Times New Roman" w:cs="Times New Roman"/>
                      </w:rPr>
                      <w:t>120m/min;Y</w:t>
                    </w:r>
                    <w:r>
                      <w:rPr>
                        <w:rFonts w:ascii="Times New Roman" w:hAnsi="Times New Roman" w:cs="Times New Roman"/>
                      </w:rPr>
                      <w:t>速度</w:t>
                    </w:r>
                    <w:r>
                      <w:rPr>
                        <w:rFonts w:ascii="Times New Roman" w:hAnsi="Times New Roman" w:cs="Times New Roman"/>
                      </w:rPr>
                      <w:t>24m/min;Z</w:t>
                    </w:r>
                    <w:r>
                      <w:rPr>
                        <w:rFonts w:ascii="Times New Roman" w:hAnsi="Times New Roman" w:cs="Times New Roman"/>
                      </w:rPr>
                      <w:t>速度</w:t>
                    </w:r>
                    <w:r>
                      <w:rPr>
                        <w:rFonts w:ascii="Times New Roman" w:hAnsi="Times New Roman" w:cs="Times New Roman"/>
                      </w:rPr>
                      <w:t>30m/min.</w:t>
                    </w:r>
                  </w:p>
                </w:tc>
                <w:tc>
                  <w:tcPr>
                    <w:tcW w:w="1701" w:type="dxa"/>
                    <w:shd w:val="clear" w:color="auto" w:fill="auto"/>
                  </w:tcPr>
                  <w:p w14:paraId="115CF3A7" w14:textId="77777777" w:rsidR="00D21C1F" w:rsidRDefault="00A42880">
                    <w:pPr>
                      <w:jc w:val="both"/>
                      <w:rPr>
                        <w:rFonts w:ascii="Times New Roman" w:hAnsi="Times New Roman" w:cs="Times New Roman"/>
                      </w:rPr>
                    </w:pPr>
                    <w:r>
                      <w:rPr>
                        <w:rFonts w:ascii="Times New Roman" w:hAnsi="Times New Roman" w:cs="Times New Roman"/>
                      </w:rPr>
                      <w:t>是传统仓储货架与现代控制设备有限结合的高端仓储设备。研发完成将达到国内同等水平</w:t>
                    </w:r>
                    <w:r>
                      <w:rPr>
                        <w:rFonts w:ascii="Times New Roman" w:hAnsi="Times New Roman" w:cs="Times New Roman"/>
                      </w:rPr>
                      <w:t> </w:t>
                    </w:r>
                  </w:p>
                </w:tc>
                <w:tc>
                  <w:tcPr>
                    <w:tcW w:w="3349" w:type="dxa"/>
                    <w:shd w:val="clear" w:color="auto" w:fill="auto"/>
                  </w:tcPr>
                  <w:p w14:paraId="35FC0989" w14:textId="77777777" w:rsidR="00D21C1F" w:rsidRDefault="00A42880">
                    <w:pPr>
                      <w:jc w:val="both"/>
                      <w:rPr>
                        <w:rFonts w:ascii="Times New Roman" w:hAnsi="Times New Roman" w:cs="Times New Roman"/>
                      </w:rPr>
                    </w:pPr>
                    <w:r>
                      <w:rPr>
                        <w:rFonts w:ascii="Times New Roman" w:hAnsi="Times New Roman" w:cs="Times New Roman"/>
                      </w:rPr>
                      <w:t>行业应用较广，医药领域、汽车制造领域、烟草制造与物流领域等智能智造领域均可。</w:t>
                    </w:r>
                  </w:p>
                </w:tc>
              </w:tr>
            </w:sdtContent>
          </w:sdt>
          <w:sdt>
            <w:sdtPr>
              <w:rPr>
                <w:rFonts w:ascii="Times New Roman" w:hAnsi="Times New Roman" w:cs="Times New Roman"/>
              </w:rPr>
              <w:alias w:val="在研项目情况明细"/>
              <w:tag w:val="_TUP_9ddfad86f77e4024ab38f89df3f23e23"/>
              <w:id w:val="1801492420"/>
              <w:lock w:val="sdtLocked"/>
              <w:placeholder>
                <w:docPart w:val="BD03748146ED43BEA71869DA6577BA52"/>
              </w:placeholder>
            </w:sdtPr>
            <w:sdtEndPr/>
            <w:sdtContent>
              <w:tr w:rsidR="00D21C1F" w14:paraId="6A6EE2C1" w14:textId="77777777">
                <w:tc>
                  <w:tcPr>
                    <w:tcW w:w="682" w:type="dxa"/>
                    <w:shd w:val="clear" w:color="auto" w:fill="auto"/>
                  </w:tcPr>
                  <w:p w14:paraId="17F317AF" w14:textId="77777777" w:rsidR="00D21C1F" w:rsidRDefault="00A42880">
                    <w:pPr>
                      <w:rPr>
                        <w:rFonts w:ascii="Times New Roman" w:hAnsi="Times New Roman" w:cs="Times New Roman"/>
                      </w:rPr>
                    </w:pPr>
                    <w:r>
                      <w:rPr>
                        <w:rFonts w:ascii="Times New Roman" w:hAnsi="Times New Roman" w:cs="Times New Roman"/>
                      </w:rPr>
                      <w:t>26</w:t>
                    </w:r>
                  </w:p>
                </w:tc>
                <w:tc>
                  <w:tcPr>
                    <w:tcW w:w="1127" w:type="dxa"/>
                    <w:shd w:val="clear" w:color="auto" w:fill="auto"/>
                  </w:tcPr>
                  <w:p w14:paraId="63E04008" w14:textId="77777777" w:rsidR="00D21C1F" w:rsidRDefault="00A42880">
                    <w:pPr>
                      <w:jc w:val="both"/>
                      <w:rPr>
                        <w:rFonts w:ascii="Times New Roman" w:hAnsi="Times New Roman" w:cs="Times New Roman"/>
                      </w:rPr>
                    </w:pPr>
                    <w:r>
                      <w:rPr>
                        <w:rFonts w:ascii="Times New Roman" w:hAnsi="Times New Roman" w:cs="Times New Roman"/>
                      </w:rPr>
                      <w:t>VC&amp;VR</w:t>
                    </w:r>
                    <w:r>
                      <w:rPr>
                        <w:rFonts w:ascii="Times New Roman" w:hAnsi="Times New Roman" w:cs="Times New Roman"/>
                      </w:rPr>
                      <w:t>虚拟调试实验室</w:t>
                    </w:r>
                  </w:p>
                </w:tc>
                <w:tc>
                  <w:tcPr>
                    <w:tcW w:w="1134" w:type="dxa"/>
                    <w:shd w:val="clear" w:color="auto" w:fill="auto"/>
                  </w:tcPr>
                  <w:p w14:paraId="2D055A3C"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511.00</w:t>
                    </w:r>
                  </w:p>
                </w:tc>
                <w:tc>
                  <w:tcPr>
                    <w:tcW w:w="993" w:type="dxa"/>
                    <w:shd w:val="clear" w:color="auto" w:fill="auto"/>
                  </w:tcPr>
                  <w:p w14:paraId="416375C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108.44</w:t>
                    </w:r>
                  </w:p>
                </w:tc>
                <w:tc>
                  <w:tcPr>
                    <w:tcW w:w="1134" w:type="dxa"/>
                    <w:shd w:val="clear" w:color="auto" w:fill="auto"/>
                  </w:tcPr>
                  <w:p w14:paraId="1FAA462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108.44</w:t>
                    </w:r>
                  </w:p>
                </w:tc>
                <w:tc>
                  <w:tcPr>
                    <w:tcW w:w="1950" w:type="dxa"/>
                    <w:shd w:val="clear" w:color="auto" w:fill="auto"/>
                  </w:tcPr>
                  <w:p w14:paraId="625257D4"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）完成虚拟调试小组的组建</w:t>
                    </w:r>
                  </w:p>
                  <w:p w14:paraId="0C003E0E"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）完成虚拟调试的标准制定</w:t>
                    </w:r>
                  </w:p>
                  <w:p w14:paraId="005950FE" w14:textId="77777777" w:rsidR="00D21C1F" w:rsidRDefault="00A42880">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）完成虚拟调试过程中与电气，机器人项目间分工和接口定义</w:t>
                    </w:r>
                  </w:p>
                </w:tc>
                <w:tc>
                  <w:tcPr>
                    <w:tcW w:w="2019" w:type="dxa"/>
                    <w:shd w:val="clear" w:color="auto" w:fill="auto"/>
                  </w:tcPr>
                  <w:p w14:paraId="7D84D2B2" w14:textId="77777777" w:rsidR="00D21C1F" w:rsidRDefault="00A42880">
                    <w:pPr>
                      <w:jc w:val="both"/>
                      <w:rPr>
                        <w:rFonts w:ascii="Times New Roman" w:hAnsi="Times New Roman" w:cs="Times New Roman"/>
                      </w:rPr>
                    </w:pPr>
                    <w:r>
                      <w:rPr>
                        <w:rFonts w:ascii="Times New Roman" w:hAnsi="Times New Roman" w:cs="Times New Roman"/>
                      </w:rPr>
                      <w:t>满足项目中虚拟调试的需求，在项目进厂前完成项目的虚拟调试工作，节省现场设备安装完成后调试时间</w:t>
                    </w:r>
                  </w:p>
                </w:tc>
                <w:tc>
                  <w:tcPr>
                    <w:tcW w:w="1701" w:type="dxa"/>
                    <w:shd w:val="clear" w:color="auto" w:fill="auto"/>
                  </w:tcPr>
                  <w:p w14:paraId="6B94003B" w14:textId="77777777" w:rsidR="00D21C1F" w:rsidRDefault="00A42880">
                    <w:pPr>
                      <w:jc w:val="both"/>
                      <w:rPr>
                        <w:rFonts w:ascii="Times New Roman" w:hAnsi="Times New Roman" w:cs="Times New Roman"/>
                      </w:rPr>
                    </w:pPr>
                    <w:r>
                      <w:rPr>
                        <w:rFonts w:ascii="Times New Roman" w:hAnsi="Times New Roman" w:cs="Times New Roman"/>
                      </w:rPr>
                      <w:t>在国内同行业内处于领先地位</w:t>
                    </w:r>
                  </w:p>
                </w:tc>
                <w:tc>
                  <w:tcPr>
                    <w:tcW w:w="3349" w:type="dxa"/>
                    <w:shd w:val="clear" w:color="auto" w:fill="auto"/>
                  </w:tcPr>
                  <w:p w14:paraId="27D9D28B" w14:textId="77777777" w:rsidR="00D21C1F" w:rsidRDefault="00A42880">
                    <w:pPr>
                      <w:jc w:val="both"/>
                      <w:rPr>
                        <w:rFonts w:ascii="Times New Roman" w:hAnsi="Times New Roman" w:cs="Times New Roman"/>
                      </w:rPr>
                    </w:pPr>
                    <w:r>
                      <w:rPr>
                        <w:rFonts w:ascii="Times New Roman" w:hAnsi="Times New Roman" w:cs="Times New Roman"/>
                      </w:rPr>
                      <w:t>基于数字孪生的概念，为智能制造提供虚拟现实</w:t>
                    </w:r>
                  </w:p>
                </w:tc>
              </w:tr>
            </w:sdtContent>
          </w:sdt>
          <w:sdt>
            <w:sdtPr>
              <w:rPr>
                <w:rFonts w:ascii="Times New Roman" w:hAnsi="Times New Roman" w:cs="Times New Roman"/>
              </w:rPr>
              <w:alias w:val="在研项目情况明细"/>
              <w:tag w:val="_TUP_9ddfad86f77e4024ab38f89df3f23e23"/>
              <w:id w:val="-1871051957"/>
              <w:lock w:val="sdtLocked"/>
              <w:placeholder>
                <w:docPart w:val="BD03748146ED43BEA71869DA6577BA52"/>
              </w:placeholder>
            </w:sdtPr>
            <w:sdtEndPr/>
            <w:sdtContent>
              <w:tr w:rsidR="00D21C1F" w14:paraId="35C2C439" w14:textId="77777777">
                <w:tc>
                  <w:tcPr>
                    <w:tcW w:w="682" w:type="dxa"/>
                    <w:shd w:val="clear" w:color="auto" w:fill="auto"/>
                  </w:tcPr>
                  <w:p w14:paraId="3AFDF229" w14:textId="77777777" w:rsidR="00D21C1F" w:rsidRDefault="00A42880">
                    <w:pPr>
                      <w:rPr>
                        <w:rFonts w:ascii="Times New Roman" w:hAnsi="Times New Roman" w:cs="Times New Roman"/>
                      </w:rPr>
                    </w:pPr>
                    <w:r>
                      <w:rPr>
                        <w:rFonts w:ascii="Times New Roman" w:hAnsi="Times New Roman" w:cs="Times New Roman"/>
                      </w:rPr>
                      <w:t>27</w:t>
                    </w:r>
                  </w:p>
                </w:tc>
                <w:tc>
                  <w:tcPr>
                    <w:tcW w:w="1127" w:type="dxa"/>
                    <w:shd w:val="clear" w:color="auto" w:fill="auto"/>
                  </w:tcPr>
                  <w:p w14:paraId="3B3FE5E3" w14:textId="77777777" w:rsidR="00D21C1F" w:rsidRDefault="00A42880">
                    <w:pPr>
                      <w:jc w:val="both"/>
                      <w:rPr>
                        <w:rFonts w:ascii="Times New Roman" w:hAnsi="Times New Roman" w:cs="Times New Roman"/>
                      </w:rPr>
                    </w:pPr>
                    <w:r>
                      <w:rPr>
                        <w:rFonts w:ascii="Times New Roman" w:hAnsi="Times New Roman" w:cs="Times New Roman"/>
                      </w:rPr>
                      <w:t>柔性夹具存储立体库</w:t>
                    </w:r>
                  </w:p>
                </w:tc>
                <w:tc>
                  <w:tcPr>
                    <w:tcW w:w="1134" w:type="dxa"/>
                    <w:shd w:val="clear" w:color="auto" w:fill="auto"/>
                  </w:tcPr>
                  <w:p w14:paraId="1D630AE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300.00</w:t>
                    </w:r>
                  </w:p>
                </w:tc>
                <w:tc>
                  <w:tcPr>
                    <w:tcW w:w="993" w:type="dxa"/>
                    <w:shd w:val="clear" w:color="auto" w:fill="auto"/>
                  </w:tcPr>
                  <w:p w14:paraId="7BA55CA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60.39</w:t>
                    </w:r>
                  </w:p>
                </w:tc>
                <w:tc>
                  <w:tcPr>
                    <w:tcW w:w="1134" w:type="dxa"/>
                    <w:shd w:val="clear" w:color="auto" w:fill="auto"/>
                  </w:tcPr>
                  <w:p w14:paraId="11DFBF9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60.39</w:t>
                    </w:r>
                  </w:p>
                </w:tc>
                <w:tc>
                  <w:tcPr>
                    <w:tcW w:w="1950" w:type="dxa"/>
                    <w:shd w:val="clear" w:color="auto" w:fill="auto"/>
                  </w:tcPr>
                  <w:p w14:paraId="4FC4FC4F"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）完成立体库的概念设计</w:t>
                    </w:r>
                  </w:p>
                  <w:p w14:paraId="53104C59"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）完成立体库的工艺分析和节拍计算</w:t>
                    </w:r>
                  </w:p>
                </w:tc>
                <w:tc>
                  <w:tcPr>
                    <w:tcW w:w="2019" w:type="dxa"/>
                    <w:shd w:val="clear" w:color="auto" w:fill="auto"/>
                  </w:tcPr>
                  <w:p w14:paraId="334DD085" w14:textId="77777777" w:rsidR="00D21C1F" w:rsidRDefault="00A42880">
                    <w:pPr>
                      <w:jc w:val="both"/>
                      <w:rPr>
                        <w:rFonts w:ascii="Times New Roman" w:hAnsi="Times New Roman" w:cs="Times New Roman"/>
                      </w:rPr>
                    </w:pPr>
                    <w:r>
                      <w:rPr>
                        <w:rFonts w:ascii="Times New Roman" w:hAnsi="Times New Roman" w:cs="Times New Roman"/>
                      </w:rPr>
                      <w:t>在有限的空间内完成夹具存放和切换的需求，达到生产车间的场地最大利用化，满足高柔生产线多车型的切换需求</w:t>
                    </w:r>
                  </w:p>
                </w:tc>
                <w:tc>
                  <w:tcPr>
                    <w:tcW w:w="1701" w:type="dxa"/>
                    <w:shd w:val="clear" w:color="auto" w:fill="auto"/>
                  </w:tcPr>
                  <w:p w14:paraId="4B453E28" w14:textId="77777777" w:rsidR="00D21C1F" w:rsidRDefault="00A42880">
                    <w:pPr>
                      <w:jc w:val="both"/>
                      <w:rPr>
                        <w:rFonts w:ascii="Times New Roman" w:hAnsi="Times New Roman" w:cs="Times New Roman"/>
                      </w:rPr>
                    </w:pPr>
                    <w:r>
                      <w:rPr>
                        <w:rFonts w:ascii="Times New Roman" w:hAnsi="Times New Roman" w:cs="Times New Roman"/>
                      </w:rPr>
                      <w:t>在行业内处于领先地位</w:t>
                    </w:r>
                  </w:p>
                </w:tc>
                <w:tc>
                  <w:tcPr>
                    <w:tcW w:w="3349" w:type="dxa"/>
                    <w:shd w:val="clear" w:color="auto" w:fill="auto"/>
                  </w:tcPr>
                  <w:p w14:paraId="3A6E5514" w14:textId="77777777" w:rsidR="00D21C1F" w:rsidRDefault="00A42880">
                    <w:pPr>
                      <w:jc w:val="both"/>
                      <w:rPr>
                        <w:rFonts w:ascii="Times New Roman" w:hAnsi="Times New Roman" w:cs="Times New Roman"/>
                      </w:rPr>
                    </w:pPr>
                    <w:r>
                      <w:rPr>
                        <w:rFonts w:ascii="Times New Roman" w:hAnsi="Times New Roman" w:cs="Times New Roman"/>
                      </w:rPr>
                      <w:t>满足小批量多品种的生产模式需求，最大的满足有限场地内的柔性生产需求</w:t>
                    </w:r>
                  </w:p>
                </w:tc>
              </w:tr>
            </w:sdtContent>
          </w:sdt>
          <w:sdt>
            <w:sdtPr>
              <w:rPr>
                <w:rFonts w:ascii="Times New Roman" w:hAnsi="Times New Roman" w:cs="Times New Roman"/>
              </w:rPr>
              <w:alias w:val="在研项目情况明细"/>
              <w:tag w:val="_TUP_9ddfad86f77e4024ab38f89df3f23e23"/>
              <w:id w:val="-1620214787"/>
              <w:lock w:val="sdtLocked"/>
              <w:placeholder>
                <w:docPart w:val="BD03748146ED43BEA71869DA6577BA52"/>
              </w:placeholder>
            </w:sdtPr>
            <w:sdtEndPr/>
            <w:sdtContent>
              <w:tr w:rsidR="00D21C1F" w14:paraId="394530BE" w14:textId="77777777">
                <w:tc>
                  <w:tcPr>
                    <w:tcW w:w="682" w:type="dxa"/>
                    <w:shd w:val="clear" w:color="auto" w:fill="auto"/>
                  </w:tcPr>
                  <w:p w14:paraId="0BEE7E06" w14:textId="77777777" w:rsidR="00D21C1F" w:rsidRDefault="00A42880">
                    <w:pPr>
                      <w:rPr>
                        <w:rFonts w:ascii="Times New Roman" w:hAnsi="Times New Roman" w:cs="Times New Roman"/>
                      </w:rPr>
                    </w:pPr>
                    <w:r>
                      <w:rPr>
                        <w:rFonts w:ascii="Times New Roman" w:hAnsi="Times New Roman" w:cs="Times New Roman"/>
                      </w:rPr>
                      <w:t>28</w:t>
                    </w:r>
                  </w:p>
                </w:tc>
                <w:tc>
                  <w:tcPr>
                    <w:tcW w:w="1127" w:type="dxa"/>
                    <w:shd w:val="clear" w:color="auto" w:fill="auto"/>
                  </w:tcPr>
                  <w:p w14:paraId="57657250" w14:textId="77777777" w:rsidR="00D21C1F" w:rsidRDefault="00A42880">
                    <w:pPr>
                      <w:jc w:val="both"/>
                      <w:rPr>
                        <w:rFonts w:ascii="Times New Roman" w:hAnsi="Times New Roman" w:cs="Times New Roman"/>
                      </w:rPr>
                    </w:pPr>
                    <w:r>
                      <w:rPr>
                        <w:rFonts w:ascii="Times New Roman" w:hAnsi="Times New Roman" w:cs="Times New Roman"/>
                      </w:rPr>
                      <w:t>重载三轴桁架</w:t>
                    </w:r>
                  </w:p>
                </w:tc>
                <w:tc>
                  <w:tcPr>
                    <w:tcW w:w="1134" w:type="dxa"/>
                    <w:shd w:val="clear" w:color="auto" w:fill="auto"/>
                  </w:tcPr>
                  <w:p w14:paraId="69DF4180"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280.00</w:t>
                    </w:r>
                  </w:p>
                </w:tc>
                <w:tc>
                  <w:tcPr>
                    <w:tcW w:w="993" w:type="dxa"/>
                    <w:shd w:val="clear" w:color="auto" w:fill="auto"/>
                  </w:tcPr>
                  <w:p w14:paraId="34E0AE8E"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24.77</w:t>
                    </w:r>
                  </w:p>
                </w:tc>
                <w:tc>
                  <w:tcPr>
                    <w:tcW w:w="1134" w:type="dxa"/>
                    <w:shd w:val="clear" w:color="auto" w:fill="auto"/>
                  </w:tcPr>
                  <w:p w14:paraId="2A955C5F"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24.77</w:t>
                    </w:r>
                  </w:p>
                </w:tc>
                <w:tc>
                  <w:tcPr>
                    <w:tcW w:w="1950" w:type="dxa"/>
                    <w:shd w:val="clear" w:color="auto" w:fill="auto"/>
                  </w:tcPr>
                  <w:p w14:paraId="3F0579BC" w14:textId="77777777" w:rsidR="00D21C1F" w:rsidRDefault="00A42880">
                    <w:pPr>
                      <w:jc w:val="both"/>
                      <w:rPr>
                        <w:rFonts w:ascii="Times New Roman" w:hAnsi="Times New Roman" w:cs="Times New Roman"/>
                      </w:rPr>
                    </w:pPr>
                    <w:r>
                      <w:rPr>
                        <w:rFonts w:ascii="Times New Roman" w:hAnsi="Times New Roman" w:cs="Times New Roman"/>
                      </w:rPr>
                      <w:t>技术研究分析工作中，项目开发进行中。</w:t>
                    </w:r>
                  </w:p>
                </w:tc>
                <w:tc>
                  <w:tcPr>
                    <w:tcW w:w="2019" w:type="dxa"/>
                    <w:shd w:val="clear" w:color="auto" w:fill="auto"/>
                  </w:tcPr>
                  <w:p w14:paraId="501BF73D"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）负载</w:t>
                    </w:r>
                    <w:r>
                      <w:rPr>
                        <w:rFonts w:ascii="Times New Roman" w:hAnsi="Times New Roman" w:cs="Times New Roman"/>
                      </w:rPr>
                      <w:t>5</w:t>
                    </w:r>
                    <w:r>
                      <w:rPr>
                        <w:rFonts w:ascii="Times New Roman" w:hAnsi="Times New Roman" w:cs="Times New Roman"/>
                      </w:rPr>
                      <w:t>吨；</w:t>
                    </w:r>
                    <w:r>
                      <w:rPr>
                        <w:rFonts w:ascii="Times New Roman" w:hAnsi="Times New Roman" w:cs="Times New Roman"/>
                      </w:rPr>
                      <w:t xml:space="preserve">     2</w:t>
                    </w:r>
                    <w:r>
                      <w:rPr>
                        <w:rFonts w:ascii="Times New Roman" w:hAnsi="Times New Roman" w:cs="Times New Roman"/>
                      </w:rPr>
                      <w:t>）</w:t>
                    </w:r>
                    <w:r>
                      <w:rPr>
                        <w:rFonts w:ascii="Times New Roman" w:hAnsi="Times New Roman" w:cs="Times New Roman"/>
                      </w:rPr>
                      <w:t>XYZ</w:t>
                    </w:r>
                    <w:r>
                      <w:rPr>
                        <w:rFonts w:ascii="Times New Roman" w:hAnsi="Times New Roman" w:cs="Times New Roman"/>
                      </w:rPr>
                      <w:t>方向自动运行。</w:t>
                    </w:r>
                  </w:p>
                </w:tc>
                <w:tc>
                  <w:tcPr>
                    <w:tcW w:w="1701" w:type="dxa"/>
                    <w:shd w:val="clear" w:color="auto" w:fill="auto"/>
                  </w:tcPr>
                  <w:p w14:paraId="5BE8C61C" w14:textId="77777777" w:rsidR="00D21C1F" w:rsidRDefault="00A42880">
                    <w:pPr>
                      <w:jc w:val="both"/>
                      <w:rPr>
                        <w:rFonts w:ascii="Times New Roman" w:hAnsi="Times New Roman" w:cs="Times New Roman"/>
                      </w:rPr>
                    </w:pPr>
                    <w:r>
                      <w:rPr>
                        <w:rFonts w:ascii="Times New Roman" w:hAnsi="Times New Roman" w:cs="Times New Roman"/>
                      </w:rPr>
                      <w:t>研发完成将达到国内同等先进水平</w:t>
                    </w:r>
                    <w:r>
                      <w:rPr>
                        <w:rFonts w:ascii="Times New Roman" w:hAnsi="Times New Roman" w:cs="Times New Roman"/>
                      </w:rPr>
                      <w:t> </w:t>
                    </w:r>
                  </w:p>
                </w:tc>
                <w:tc>
                  <w:tcPr>
                    <w:tcW w:w="3349" w:type="dxa"/>
                    <w:shd w:val="clear" w:color="auto" w:fill="auto"/>
                  </w:tcPr>
                  <w:p w14:paraId="0C05100B" w14:textId="77777777" w:rsidR="00D21C1F" w:rsidRDefault="00A42880">
                    <w:pPr>
                      <w:jc w:val="both"/>
                      <w:rPr>
                        <w:rFonts w:ascii="Times New Roman" w:hAnsi="Times New Roman" w:cs="Times New Roman"/>
                      </w:rPr>
                    </w:pPr>
                    <w:r>
                      <w:rPr>
                        <w:rFonts w:ascii="Times New Roman" w:hAnsi="Times New Roman" w:cs="Times New Roman"/>
                      </w:rPr>
                      <w:t>研发完成可作为标准品向各集成商提供，可用于焊接、喷涂、加工、装配及区域性搬运码垛</w:t>
                    </w:r>
                  </w:p>
                </w:tc>
              </w:tr>
            </w:sdtContent>
          </w:sdt>
          <w:sdt>
            <w:sdtPr>
              <w:rPr>
                <w:rFonts w:ascii="Times New Roman" w:hAnsi="Times New Roman" w:cs="Times New Roman"/>
              </w:rPr>
              <w:alias w:val="在研项目情况明细"/>
              <w:tag w:val="_TUP_9ddfad86f77e4024ab38f89df3f23e23"/>
              <w:id w:val="-38511470"/>
              <w:lock w:val="sdtLocked"/>
              <w:placeholder>
                <w:docPart w:val="BD03748146ED43BEA71869DA6577BA52"/>
              </w:placeholder>
            </w:sdtPr>
            <w:sdtEndPr/>
            <w:sdtContent>
              <w:tr w:rsidR="00D21C1F" w14:paraId="11FB03D6" w14:textId="77777777">
                <w:tc>
                  <w:tcPr>
                    <w:tcW w:w="682" w:type="dxa"/>
                    <w:shd w:val="clear" w:color="auto" w:fill="auto"/>
                  </w:tcPr>
                  <w:p w14:paraId="2E6BAC16" w14:textId="77777777" w:rsidR="00D21C1F" w:rsidRDefault="00A42880">
                    <w:pPr>
                      <w:rPr>
                        <w:rFonts w:ascii="Times New Roman" w:hAnsi="Times New Roman" w:cs="Times New Roman"/>
                      </w:rPr>
                    </w:pPr>
                    <w:r>
                      <w:rPr>
                        <w:rFonts w:ascii="Times New Roman" w:hAnsi="Times New Roman" w:cs="Times New Roman"/>
                      </w:rPr>
                      <w:t>29</w:t>
                    </w:r>
                  </w:p>
                </w:tc>
                <w:tc>
                  <w:tcPr>
                    <w:tcW w:w="1127" w:type="dxa"/>
                    <w:shd w:val="clear" w:color="auto" w:fill="auto"/>
                  </w:tcPr>
                  <w:p w14:paraId="73B59145" w14:textId="77777777" w:rsidR="00D21C1F" w:rsidRDefault="00A42880">
                    <w:pPr>
                      <w:jc w:val="both"/>
                      <w:rPr>
                        <w:rFonts w:ascii="Times New Roman" w:hAnsi="Times New Roman" w:cs="Times New Roman"/>
                      </w:rPr>
                    </w:pPr>
                    <w:r>
                      <w:rPr>
                        <w:rFonts w:ascii="Times New Roman" w:hAnsi="Times New Roman" w:cs="Times New Roman"/>
                      </w:rPr>
                      <w:t>桌面式</w:t>
                    </w:r>
                    <w:r>
                      <w:rPr>
                        <w:rFonts w:ascii="Times New Roman" w:hAnsi="Times New Roman" w:cs="Times New Roman"/>
                      </w:rPr>
                      <w:t>20</w:t>
                    </w:r>
                    <w:r>
                      <w:rPr>
                        <w:rFonts w:ascii="Times New Roman" w:hAnsi="Times New Roman" w:cs="Times New Roman"/>
                      </w:rPr>
                      <w:t>公斤短臂机器人打磨系统</w:t>
                    </w:r>
                  </w:p>
                </w:tc>
                <w:tc>
                  <w:tcPr>
                    <w:tcW w:w="1134" w:type="dxa"/>
                    <w:shd w:val="clear" w:color="auto" w:fill="auto"/>
                  </w:tcPr>
                  <w:p w14:paraId="1792F6A2"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72.76</w:t>
                    </w:r>
                  </w:p>
                </w:tc>
                <w:tc>
                  <w:tcPr>
                    <w:tcW w:w="993" w:type="dxa"/>
                    <w:shd w:val="clear" w:color="auto" w:fill="auto"/>
                  </w:tcPr>
                  <w:p w14:paraId="7C0C745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50.80</w:t>
                    </w:r>
                  </w:p>
                </w:tc>
                <w:tc>
                  <w:tcPr>
                    <w:tcW w:w="1134" w:type="dxa"/>
                    <w:shd w:val="clear" w:color="auto" w:fill="auto"/>
                  </w:tcPr>
                  <w:p w14:paraId="04D86FD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50.80</w:t>
                    </w:r>
                  </w:p>
                </w:tc>
                <w:tc>
                  <w:tcPr>
                    <w:tcW w:w="1950" w:type="dxa"/>
                    <w:shd w:val="clear" w:color="auto" w:fill="auto"/>
                  </w:tcPr>
                  <w:p w14:paraId="7E469DEE"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）制作部分加工件对</w:t>
                    </w:r>
                    <w:r>
                      <w:rPr>
                        <w:rFonts w:ascii="Times New Roman" w:hAnsi="Times New Roman" w:cs="Times New Roman"/>
                      </w:rPr>
                      <w:t>ER20-1100</w:t>
                    </w:r>
                    <w:r>
                      <w:rPr>
                        <w:rFonts w:ascii="Times New Roman" w:hAnsi="Times New Roman" w:cs="Times New Roman"/>
                      </w:rPr>
                      <w:t>机器人参数验证完成，初步分析扭矩满足要求，下一步验证精度；</w:t>
                    </w:r>
                  </w:p>
                  <w:p w14:paraId="7625C113" w14:textId="77777777" w:rsidR="00D21C1F" w:rsidRDefault="00A42880">
                    <w:pPr>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）设计工站，</w:t>
                    </w:r>
                    <w:r>
                      <w:rPr>
                        <w:rFonts w:ascii="Times New Roman" w:hAnsi="Times New Roman" w:cs="Times New Roman"/>
                      </w:rPr>
                      <w:t>3D2D</w:t>
                    </w:r>
                    <w:r>
                      <w:rPr>
                        <w:rFonts w:ascii="Times New Roman" w:hAnsi="Times New Roman" w:cs="Times New Roman"/>
                      </w:rPr>
                      <w:t>设计，</w:t>
                    </w:r>
                    <w:r>
                      <w:rPr>
                        <w:rFonts w:ascii="Times New Roman" w:hAnsi="Times New Roman" w:cs="Times New Roman"/>
                      </w:rPr>
                      <w:t>BOM</w:t>
                    </w:r>
                    <w:r>
                      <w:rPr>
                        <w:rFonts w:ascii="Times New Roman" w:hAnsi="Times New Roman" w:cs="Times New Roman"/>
                      </w:rPr>
                      <w:t>表下发，采购物料中；</w:t>
                    </w:r>
                  </w:p>
                </w:tc>
                <w:tc>
                  <w:tcPr>
                    <w:tcW w:w="2019" w:type="dxa"/>
                    <w:shd w:val="clear" w:color="auto" w:fill="auto"/>
                  </w:tcPr>
                  <w:p w14:paraId="216CDB6F" w14:textId="77777777" w:rsidR="00D21C1F" w:rsidRDefault="00A42880">
                    <w:pPr>
                      <w:jc w:val="both"/>
                      <w:rPr>
                        <w:rFonts w:ascii="Times New Roman" w:hAnsi="Times New Roman" w:cs="Times New Roman"/>
                      </w:rPr>
                    </w:pPr>
                    <w:r>
                      <w:rPr>
                        <w:rFonts w:ascii="Times New Roman" w:hAnsi="Times New Roman" w:cs="Times New Roman"/>
                      </w:rPr>
                      <w:lastRenderedPageBreak/>
                      <w:t>研制成本优势下的桌面式打磨工站</w:t>
                    </w:r>
                  </w:p>
                </w:tc>
                <w:tc>
                  <w:tcPr>
                    <w:tcW w:w="1701" w:type="dxa"/>
                    <w:shd w:val="clear" w:color="auto" w:fill="auto"/>
                  </w:tcPr>
                  <w:p w14:paraId="682AE998" w14:textId="77777777" w:rsidR="00D21C1F" w:rsidRDefault="00A42880">
                    <w:pPr>
                      <w:jc w:val="both"/>
                      <w:rPr>
                        <w:rFonts w:ascii="Times New Roman" w:hAnsi="Times New Roman" w:cs="Times New Roman"/>
                      </w:rPr>
                    </w:pPr>
                    <w:r>
                      <w:rPr>
                        <w:rFonts w:ascii="Times New Roman" w:hAnsi="Times New Roman" w:cs="Times New Roman"/>
                      </w:rPr>
                      <w:t>研发完成后国内领先</w:t>
                    </w:r>
                  </w:p>
                </w:tc>
                <w:tc>
                  <w:tcPr>
                    <w:tcW w:w="3349" w:type="dxa"/>
                    <w:shd w:val="clear" w:color="auto" w:fill="auto"/>
                  </w:tcPr>
                  <w:p w14:paraId="515055DE" w14:textId="77777777" w:rsidR="00D21C1F" w:rsidRDefault="00A42880">
                    <w:pPr>
                      <w:jc w:val="both"/>
                      <w:rPr>
                        <w:rFonts w:ascii="Times New Roman" w:hAnsi="Times New Roman" w:cs="Times New Roman"/>
                      </w:rPr>
                    </w:pPr>
                    <w:r>
                      <w:rPr>
                        <w:rFonts w:ascii="Times New Roman" w:hAnsi="Times New Roman" w:cs="Times New Roman"/>
                      </w:rPr>
                      <w:t>医疗植入物，卫浴五金，建筑五金，刀具工具等</w:t>
                    </w:r>
                    <w:r>
                      <w:rPr>
                        <w:rFonts w:ascii="Times New Roman" w:hAnsi="Times New Roman" w:cs="Times New Roman"/>
                      </w:rPr>
                      <w:t>1</w:t>
                    </w:r>
                    <w:r>
                      <w:rPr>
                        <w:rFonts w:ascii="Times New Roman" w:hAnsi="Times New Roman" w:cs="Times New Roman"/>
                      </w:rPr>
                      <w:t>公斤以下有色金属打磨</w:t>
                    </w:r>
                  </w:p>
                </w:tc>
              </w:tr>
            </w:sdtContent>
          </w:sdt>
          <w:sdt>
            <w:sdtPr>
              <w:rPr>
                <w:rFonts w:ascii="Times New Roman" w:hAnsi="Times New Roman" w:cs="Times New Roman"/>
              </w:rPr>
              <w:alias w:val="在研项目情况明细"/>
              <w:tag w:val="_TUP_9ddfad86f77e4024ab38f89df3f23e23"/>
              <w:id w:val="-1392809462"/>
              <w:lock w:val="sdtLocked"/>
              <w:placeholder>
                <w:docPart w:val="BD03748146ED43BEA71869DA6577BA52"/>
              </w:placeholder>
            </w:sdtPr>
            <w:sdtEndPr/>
            <w:sdtContent>
              <w:tr w:rsidR="00D21C1F" w14:paraId="345FE91D" w14:textId="77777777">
                <w:tc>
                  <w:tcPr>
                    <w:tcW w:w="682" w:type="dxa"/>
                    <w:shd w:val="clear" w:color="auto" w:fill="auto"/>
                  </w:tcPr>
                  <w:p w14:paraId="65CEE894" w14:textId="77777777" w:rsidR="00D21C1F" w:rsidRDefault="00A42880">
                    <w:pPr>
                      <w:rPr>
                        <w:rFonts w:ascii="Times New Roman" w:hAnsi="Times New Roman" w:cs="Times New Roman"/>
                      </w:rPr>
                    </w:pPr>
                    <w:r>
                      <w:rPr>
                        <w:rFonts w:ascii="Times New Roman" w:hAnsi="Times New Roman" w:cs="Times New Roman"/>
                      </w:rPr>
                      <w:t>30</w:t>
                    </w:r>
                  </w:p>
                </w:tc>
                <w:tc>
                  <w:tcPr>
                    <w:tcW w:w="1127" w:type="dxa"/>
                    <w:shd w:val="clear" w:color="auto" w:fill="auto"/>
                  </w:tcPr>
                  <w:p w14:paraId="4DBD6CAD" w14:textId="77777777" w:rsidR="00D21C1F" w:rsidRDefault="00A42880">
                    <w:pPr>
                      <w:jc w:val="both"/>
                      <w:rPr>
                        <w:rFonts w:ascii="Times New Roman" w:hAnsi="Times New Roman" w:cs="Times New Roman"/>
                      </w:rPr>
                    </w:pPr>
                    <w:r>
                      <w:rPr>
                        <w:rFonts w:ascii="Times New Roman" w:hAnsi="Times New Roman" w:cs="Times New Roman"/>
                      </w:rPr>
                      <w:t>轻量化可调力控打磨工具系统</w:t>
                    </w:r>
                  </w:p>
                </w:tc>
                <w:tc>
                  <w:tcPr>
                    <w:tcW w:w="1134" w:type="dxa"/>
                    <w:shd w:val="clear" w:color="auto" w:fill="auto"/>
                  </w:tcPr>
                  <w:p w14:paraId="76FF0CCD"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63.96</w:t>
                    </w:r>
                  </w:p>
                </w:tc>
                <w:tc>
                  <w:tcPr>
                    <w:tcW w:w="993" w:type="dxa"/>
                    <w:shd w:val="clear" w:color="auto" w:fill="auto"/>
                  </w:tcPr>
                  <w:p w14:paraId="319AFA2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44.66</w:t>
                    </w:r>
                  </w:p>
                </w:tc>
                <w:tc>
                  <w:tcPr>
                    <w:tcW w:w="1134" w:type="dxa"/>
                    <w:shd w:val="clear" w:color="auto" w:fill="auto"/>
                  </w:tcPr>
                  <w:p w14:paraId="217B706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44.66</w:t>
                    </w:r>
                  </w:p>
                </w:tc>
                <w:tc>
                  <w:tcPr>
                    <w:tcW w:w="1950" w:type="dxa"/>
                    <w:shd w:val="clear" w:color="auto" w:fill="auto"/>
                  </w:tcPr>
                  <w:p w14:paraId="1792F449" w14:textId="77777777" w:rsidR="00D21C1F" w:rsidRDefault="00A42880">
                    <w:pPr>
                      <w:jc w:val="both"/>
                      <w:rPr>
                        <w:rFonts w:ascii="Times New Roman" w:hAnsi="Times New Roman" w:cs="Times New Roman"/>
                      </w:rPr>
                    </w:pPr>
                    <w:r>
                      <w:rPr>
                        <w:rFonts w:ascii="Times New Roman" w:hAnsi="Times New Roman" w:cs="Times New Roman"/>
                      </w:rPr>
                      <w:t>试制样机测试中，待记录问题下一步改善</w:t>
                    </w:r>
                  </w:p>
                </w:tc>
                <w:tc>
                  <w:tcPr>
                    <w:tcW w:w="2019" w:type="dxa"/>
                    <w:shd w:val="clear" w:color="auto" w:fill="auto"/>
                  </w:tcPr>
                  <w:p w14:paraId="7BB24D16" w14:textId="77777777" w:rsidR="00D21C1F" w:rsidRDefault="00A42880">
                    <w:pPr>
                      <w:jc w:val="both"/>
                      <w:rPr>
                        <w:rFonts w:ascii="Times New Roman" w:hAnsi="Times New Roman" w:cs="Times New Roman"/>
                      </w:rPr>
                    </w:pPr>
                    <w:r>
                      <w:rPr>
                        <w:rFonts w:ascii="Times New Roman" w:hAnsi="Times New Roman" w:cs="Times New Roman"/>
                      </w:rPr>
                      <w:t>手动或半自动的力控打磨，主要为飞机外壳打磨</w:t>
                    </w:r>
                  </w:p>
                </w:tc>
                <w:tc>
                  <w:tcPr>
                    <w:tcW w:w="1701" w:type="dxa"/>
                    <w:shd w:val="clear" w:color="auto" w:fill="auto"/>
                  </w:tcPr>
                  <w:p w14:paraId="02444A85" w14:textId="77777777" w:rsidR="00D21C1F" w:rsidRDefault="00A42880">
                    <w:pPr>
                      <w:jc w:val="both"/>
                      <w:rPr>
                        <w:rFonts w:ascii="Times New Roman" w:hAnsi="Times New Roman" w:cs="Times New Roman"/>
                      </w:rPr>
                    </w:pPr>
                    <w:r>
                      <w:rPr>
                        <w:rFonts w:ascii="Times New Roman" w:hAnsi="Times New Roman" w:cs="Times New Roman"/>
                      </w:rPr>
                      <w:t>研发完成后国内领先，但与国外技术仍有差距</w:t>
                    </w:r>
                  </w:p>
                </w:tc>
                <w:tc>
                  <w:tcPr>
                    <w:tcW w:w="3349" w:type="dxa"/>
                    <w:shd w:val="clear" w:color="auto" w:fill="auto"/>
                  </w:tcPr>
                  <w:p w14:paraId="10EB77CF" w14:textId="77777777" w:rsidR="00D21C1F" w:rsidRDefault="00A42880">
                    <w:pPr>
                      <w:jc w:val="both"/>
                      <w:rPr>
                        <w:rFonts w:ascii="Times New Roman" w:hAnsi="Times New Roman" w:cs="Times New Roman"/>
                      </w:rPr>
                    </w:pPr>
                    <w:r>
                      <w:rPr>
                        <w:rFonts w:ascii="Times New Roman" w:hAnsi="Times New Roman" w:cs="Times New Roman"/>
                      </w:rPr>
                      <w:t>叶片，邮轮，飞机外壳等蒙皮的半自动打磨</w:t>
                    </w:r>
                  </w:p>
                </w:tc>
              </w:tr>
            </w:sdtContent>
          </w:sdt>
          <w:sdt>
            <w:sdtPr>
              <w:rPr>
                <w:rFonts w:ascii="Times New Roman" w:hAnsi="Times New Roman" w:cs="Times New Roman"/>
              </w:rPr>
              <w:alias w:val="在研项目情况明细"/>
              <w:tag w:val="_TUP_9ddfad86f77e4024ab38f89df3f23e23"/>
              <w:id w:val="1505395163"/>
              <w:lock w:val="sdtLocked"/>
              <w:placeholder>
                <w:docPart w:val="BD03748146ED43BEA71869DA6577BA52"/>
              </w:placeholder>
            </w:sdtPr>
            <w:sdtEndPr/>
            <w:sdtContent>
              <w:tr w:rsidR="00D21C1F" w14:paraId="70A99CDF" w14:textId="77777777">
                <w:tc>
                  <w:tcPr>
                    <w:tcW w:w="682" w:type="dxa"/>
                    <w:shd w:val="clear" w:color="auto" w:fill="auto"/>
                  </w:tcPr>
                  <w:p w14:paraId="5E7ECEC2" w14:textId="77777777" w:rsidR="00D21C1F" w:rsidRDefault="00A42880">
                    <w:pPr>
                      <w:rPr>
                        <w:rFonts w:ascii="Times New Roman" w:hAnsi="Times New Roman" w:cs="Times New Roman"/>
                      </w:rPr>
                    </w:pPr>
                    <w:r>
                      <w:rPr>
                        <w:rFonts w:ascii="Times New Roman" w:hAnsi="Times New Roman" w:cs="Times New Roman"/>
                      </w:rPr>
                      <w:t>31</w:t>
                    </w:r>
                  </w:p>
                </w:tc>
                <w:tc>
                  <w:tcPr>
                    <w:tcW w:w="1127" w:type="dxa"/>
                    <w:shd w:val="clear" w:color="auto" w:fill="auto"/>
                  </w:tcPr>
                  <w:p w14:paraId="41CEBE6B" w14:textId="77777777" w:rsidR="00D21C1F" w:rsidRDefault="00A42880">
                    <w:pPr>
                      <w:jc w:val="both"/>
                      <w:rPr>
                        <w:rFonts w:ascii="Times New Roman" w:hAnsi="Times New Roman" w:cs="Times New Roman"/>
                      </w:rPr>
                    </w:pPr>
                    <w:r>
                      <w:rPr>
                        <w:rFonts w:ascii="Times New Roman" w:hAnsi="Times New Roman" w:cs="Times New Roman"/>
                      </w:rPr>
                      <w:t>桌面式</w:t>
                    </w:r>
                    <w:r>
                      <w:rPr>
                        <w:rFonts w:ascii="Times New Roman" w:hAnsi="Times New Roman" w:cs="Times New Roman"/>
                      </w:rPr>
                      <w:t>20KG</w:t>
                    </w:r>
                    <w:r>
                      <w:rPr>
                        <w:rFonts w:ascii="Times New Roman" w:hAnsi="Times New Roman" w:cs="Times New Roman"/>
                      </w:rPr>
                      <w:t>短臂机器人抛光系统</w:t>
                    </w:r>
                  </w:p>
                </w:tc>
                <w:tc>
                  <w:tcPr>
                    <w:tcW w:w="1134" w:type="dxa"/>
                    <w:shd w:val="clear" w:color="auto" w:fill="auto"/>
                  </w:tcPr>
                  <w:p w14:paraId="336BF5D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73.14</w:t>
                    </w:r>
                  </w:p>
                </w:tc>
                <w:tc>
                  <w:tcPr>
                    <w:tcW w:w="993" w:type="dxa"/>
                    <w:shd w:val="clear" w:color="auto" w:fill="auto"/>
                  </w:tcPr>
                  <w:p w14:paraId="4FC26928"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51.07</w:t>
                    </w:r>
                  </w:p>
                </w:tc>
                <w:tc>
                  <w:tcPr>
                    <w:tcW w:w="1134" w:type="dxa"/>
                    <w:shd w:val="clear" w:color="auto" w:fill="auto"/>
                  </w:tcPr>
                  <w:p w14:paraId="704904A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51.07</w:t>
                    </w:r>
                  </w:p>
                </w:tc>
                <w:tc>
                  <w:tcPr>
                    <w:tcW w:w="1950" w:type="dxa"/>
                    <w:shd w:val="clear" w:color="auto" w:fill="auto"/>
                  </w:tcPr>
                  <w:p w14:paraId="3C43CAA4"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）部分模块功能试制测试中；</w:t>
                    </w:r>
                  </w:p>
                  <w:p w14:paraId="0FC1BEF0" w14:textId="77777777" w:rsidR="00D21C1F" w:rsidRDefault="00A42880">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rPr>
                      <w:t>3D</w:t>
                    </w:r>
                    <w:r>
                      <w:rPr>
                        <w:rFonts w:ascii="Times New Roman" w:hAnsi="Times New Roman" w:cs="Times New Roman"/>
                      </w:rPr>
                      <w:t>设计阶段</w:t>
                    </w:r>
                  </w:p>
                </w:tc>
                <w:tc>
                  <w:tcPr>
                    <w:tcW w:w="2019" w:type="dxa"/>
                    <w:shd w:val="clear" w:color="auto" w:fill="auto"/>
                  </w:tcPr>
                  <w:p w14:paraId="16C6A9FF" w14:textId="77777777" w:rsidR="00D21C1F" w:rsidRDefault="00A42880">
                    <w:pPr>
                      <w:jc w:val="both"/>
                      <w:rPr>
                        <w:rFonts w:ascii="Times New Roman" w:hAnsi="Times New Roman" w:cs="Times New Roman"/>
                      </w:rPr>
                    </w:pPr>
                    <w:r>
                      <w:rPr>
                        <w:rFonts w:ascii="Times New Roman" w:hAnsi="Times New Roman" w:cs="Times New Roman"/>
                      </w:rPr>
                      <w:t>研制成本优势下的桌面式抛光工站</w:t>
                    </w:r>
                  </w:p>
                </w:tc>
                <w:tc>
                  <w:tcPr>
                    <w:tcW w:w="1701" w:type="dxa"/>
                    <w:shd w:val="clear" w:color="auto" w:fill="auto"/>
                  </w:tcPr>
                  <w:p w14:paraId="5E7466F0" w14:textId="77777777" w:rsidR="00D21C1F" w:rsidRDefault="00A42880">
                    <w:pPr>
                      <w:jc w:val="both"/>
                      <w:rPr>
                        <w:rFonts w:ascii="Times New Roman" w:hAnsi="Times New Roman" w:cs="Times New Roman"/>
                      </w:rPr>
                    </w:pPr>
                    <w:r>
                      <w:rPr>
                        <w:rFonts w:ascii="Times New Roman" w:hAnsi="Times New Roman" w:cs="Times New Roman"/>
                      </w:rPr>
                      <w:t>研发完成后国内领先</w:t>
                    </w:r>
                  </w:p>
                </w:tc>
                <w:tc>
                  <w:tcPr>
                    <w:tcW w:w="3349" w:type="dxa"/>
                    <w:shd w:val="clear" w:color="auto" w:fill="auto"/>
                  </w:tcPr>
                  <w:p w14:paraId="329DF415" w14:textId="77777777" w:rsidR="00D21C1F" w:rsidRDefault="00A42880">
                    <w:pPr>
                      <w:jc w:val="both"/>
                      <w:rPr>
                        <w:rFonts w:ascii="Times New Roman" w:hAnsi="Times New Roman" w:cs="Times New Roman"/>
                      </w:rPr>
                    </w:pPr>
                    <w:r>
                      <w:rPr>
                        <w:rFonts w:ascii="Times New Roman" w:hAnsi="Times New Roman" w:cs="Times New Roman"/>
                      </w:rPr>
                      <w:t>医疗植入物，卫浴五金，建筑五金，刀具工具等</w:t>
                    </w:r>
                    <w:r>
                      <w:rPr>
                        <w:rFonts w:ascii="Times New Roman" w:hAnsi="Times New Roman" w:cs="Times New Roman"/>
                      </w:rPr>
                      <w:t>1</w:t>
                    </w:r>
                    <w:r>
                      <w:rPr>
                        <w:rFonts w:ascii="Times New Roman" w:hAnsi="Times New Roman" w:cs="Times New Roman"/>
                      </w:rPr>
                      <w:t>公斤以下有色金属抛光</w:t>
                    </w:r>
                  </w:p>
                </w:tc>
              </w:tr>
            </w:sdtContent>
          </w:sdt>
          <w:sdt>
            <w:sdtPr>
              <w:rPr>
                <w:rFonts w:ascii="Times New Roman" w:hAnsi="Times New Roman" w:cs="Times New Roman"/>
              </w:rPr>
              <w:alias w:val="在研项目情况明细"/>
              <w:tag w:val="_TUP_9ddfad86f77e4024ab38f89df3f23e23"/>
              <w:id w:val="230821579"/>
              <w:lock w:val="sdtLocked"/>
              <w:placeholder>
                <w:docPart w:val="BD03748146ED43BEA71869DA6577BA52"/>
              </w:placeholder>
            </w:sdtPr>
            <w:sdtEndPr/>
            <w:sdtContent>
              <w:tr w:rsidR="00D21C1F" w14:paraId="0C15E4F6" w14:textId="77777777">
                <w:tc>
                  <w:tcPr>
                    <w:tcW w:w="682" w:type="dxa"/>
                    <w:shd w:val="clear" w:color="auto" w:fill="auto"/>
                  </w:tcPr>
                  <w:p w14:paraId="35F40FA6" w14:textId="77777777" w:rsidR="00D21C1F" w:rsidRDefault="00A42880">
                    <w:pPr>
                      <w:rPr>
                        <w:rFonts w:ascii="Times New Roman" w:hAnsi="Times New Roman" w:cs="Times New Roman"/>
                      </w:rPr>
                    </w:pPr>
                    <w:r>
                      <w:rPr>
                        <w:rFonts w:ascii="Times New Roman" w:hAnsi="Times New Roman" w:cs="Times New Roman"/>
                      </w:rPr>
                      <w:t>32</w:t>
                    </w:r>
                  </w:p>
                </w:tc>
                <w:tc>
                  <w:tcPr>
                    <w:tcW w:w="1127" w:type="dxa"/>
                    <w:shd w:val="clear" w:color="auto" w:fill="auto"/>
                  </w:tcPr>
                  <w:p w14:paraId="6F0917DD" w14:textId="77777777" w:rsidR="00D21C1F" w:rsidRDefault="00A42880">
                    <w:pPr>
                      <w:jc w:val="both"/>
                      <w:rPr>
                        <w:rFonts w:ascii="Times New Roman" w:hAnsi="Times New Roman" w:cs="Times New Roman"/>
                      </w:rPr>
                    </w:pPr>
                    <w:r>
                      <w:rPr>
                        <w:rFonts w:ascii="Times New Roman" w:hAnsi="Times New Roman" w:cs="Times New Roman"/>
                      </w:rPr>
                      <w:t>2020</w:t>
                    </w:r>
                    <w:r>
                      <w:rPr>
                        <w:rFonts w:ascii="Times New Roman" w:hAnsi="Times New Roman" w:cs="Times New Roman"/>
                      </w:rPr>
                      <w:t>年工信部工业机器人核心关键技术验证与支撑保障服务平台建设项目</w:t>
                    </w:r>
                  </w:p>
                </w:tc>
                <w:tc>
                  <w:tcPr>
                    <w:tcW w:w="1134" w:type="dxa"/>
                    <w:shd w:val="clear" w:color="auto" w:fill="auto"/>
                  </w:tcPr>
                  <w:p w14:paraId="4AE55AD7"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1,582.00</w:t>
                    </w:r>
                  </w:p>
                </w:tc>
                <w:tc>
                  <w:tcPr>
                    <w:tcW w:w="993" w:type="dxa"/>
                    <w:shd w:val="clear" w:color="auto" w:fill="auto"/>
                  </w:tcPr>
                  <w:p w14:paraId="5BDAD720"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172.37</w:t>
                    </w:r>
                  </w:p>
                </w:tc>
                <w:tc>
                  <w:tcPr>
                    <w:tcW w:w="1134" w:type="dxa"/>
                    <w:shd w:val="clear" w:color="auto" w:fill="auto"/>
                  </w:tcPr>
                  <w:p w14:paraId="757BCB7A"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172.37</w:t>
                    </w:r>
                  </w:p>
                </w:tc>
                <w:tc>
                  <w:tcPr>
                    <w:tcW w:w="1950" w:type="dxa"/>
                    <w:shd w:val="clear" w:color="auto" w:fill="auto"/>
                  </w:tcPr>
                  <w:p w14:paraId="2939F3E5" w14:textId="77777777" w:rsidR="00D21C1F" w:rsidRDefault="00A42880">
                    <w:pPr>
                      <w:jc w:val="both"/>
                      <w:rPr>
                        <w:rFonts w:ascii="Times New Roman" w:hAnsi="Times New Roman" w:cs="Times New Roman"/>
                      </w:rPr>
                    </w:pPr>
                    <w:r>
                      <w:rPr>
                        <w:rFonts w:ascii="Times New Roman" w:hAnsi="Times New Roman" w:cs="Times New Roman"/>
                      </w:rPr>
                      <w:t>测试方案已基本确定，方案实施中；</w:t>
                    </w:r>
                    <w:r>
                      <w:rPr>
                        <w:rFonts w:ascii="Times New Roman" w:hAnsi="Times New Roman" w:cs="Times New Roman"/>
                      </w:rPr>
                      <w:t xml:space="preserve">     1 )</w:t>
                    </w:r>
                    <w:r>
                      <w:rPr>
                        <w:rFonts w:ascii="Times New Roman" w:hAnsi="Times New Roman" w:cs="Times New Roman"/>
                      </w:rPr>
                      <w:t>减速机初始性能测试进行中</w:t>
                    </w:r>
                  </w:p>
                  <w:p w14:paraId="2F4E5350" w14:textId="77777777" w:rsidR="00D21C1F" w:rsidRDefault="00A42880">
                    <w:pPr>
                      <w:jc w:val="both"/>
                      <w:rPr>
                        <w:rFonts w:ascii="Times New Roman" w:hAnsi="Times New Roman" w:cs="Times New Roman"/>
                      </w:rPr>
                    </w:pPr>
                    <w:r>
                      <w:rPr>
                        <w:rFonts w:ascii="Times New Roman" w:hAnsi="Times New Roman" w:cs="Times New Roman"/>
                      </w:rPr>
                      <w:t>2 )</w:t>
                    </w:r>
                    <w:r>
                      <w:rPr>
                        <w:rFonts w:ascii="Times New Roman" w:hAnsi="Times New Roman" w:cs="Times New Roman"/>
                      </w:rPr>
                      <w:t>场地准备：机器人安装底座的安装施工阶段；</w:t>
                    </w:r>
                  </w:p>
                  <w:p w14:paraId="6ADEE399" w14:textId="77777777" w:rsidR="00D21C1F" w:rsidRDefault="00A42880">
                    <w:pPr>
                      <w:jc w:val="both"/>
                      <w:rPr>
                        <w:rFonts w:ascii="Times New Roman" w:hAnsi="Times New Roman" w:cs="Times New Roman"/>
                      </w:rPr>
                    </w:pPr>
                    <w:r>
                      <w:rPr>
                        <w:rFonts w:ascii="Times New Roman" w:hAnsi="Times New Roman" w:cs="Times New Roman"/>
                      </w:rPr>
                      <w:t>3 )</w:t>
                    </w:r>
                    <w:r>
                      <w:rPr>
                        <w:rFonts w:ascii="Times New Roman" w:hAnsi="Times New Roman" w:cs="Times New Roman"/>
                      </w:rPr>
                      <w:t>与其他协作单位就数据采集进行技术对接（进行中）</w:t>
                    </w:r>
                  </w:p>
                </w:tc>
                <w:tc>
                  <w:tcPr>
                    <w:tcW w:w="2019" w:type="dxa"/>
                    <w:shd w:val="clear" w:color="auto" w:fill="auto"/>
                  </w:tcPr>
                  <w:p w14:paraId="03CE65FD" w14:textId="77777777" w:rsidR="00D21C1F" w:rsidRDefault="00A42880">
                    <w:pPr>
                      <w:jc w:val="both"/>
                      <w:rPr>
                        <w:rFonts w:ascii="Times New Roman" w:hAnsi="Times New Roman" w:cs="Times New Roman"/>
                      </w:rPr>
                    </w:pPr>
                    <w:r>
                      <w:rPr>
                        <w:rFonts w:ascii="Times New Roman" w:hAnsi="Times New Roman" w:cs="Times New Roman"/>
                      </w:rPr>
                      <w:t>1 )</w:t>
                    </w:r>
                    <w:r>
                      <w:rPr>
                        <w:rFonts w:ascii="Times New Roman" w:hAnsi="Times New Roman" w:cs="Times New Roman"/>
                      </w:rPr>
                      <w:t>完成测试基础数据的采集；</w:t>
                    </w:r>
                    <w:r>
                      <w:rPr>
                        <w:rFonts w:ascii="Times New Roman" w:hAnsi="Times New Roman" w:cs="Times New Roman"/>
                      </w:rPr>
                      <w:t xml:space="preserve">     2 )</w:t>
                    </w:r>
                    <w:r>
                      <w:rPr>
                        <w:rFonts w:ascii="Times New Roman" w:hAnsi="Times New Roman" w:cs="Times New Roman"/>
                      </w:rPr>
                      <w:t>测试平台系统的搭建完成；</w:t>
                    </w:r>
                    <w:r>
                      <w:rPr>
                        <w:rFonts w:ascii="Times New Roman" w:hAnsi="Times New Roman" w:cs="Times New Roman"/>
                      </w:rPr>
                      <w:t xml:space="preserve">     3 )</w:t>
                    </w:r>
                    <w:r>
                      <w:rPr>
                        <w:rFonts w:ascii="Times New Roman" w:hAnsi="Times New Roman" w:cs="Times New Roman"/>
                      </w:rPr>
                      <w:t>在线数据采集系统搭建完成；</w:t>
                    </w:r>
                    <w:r>
                      <w:rPr>
                        <w:rFonts w:ascii="Times New Roman" w:hAnsi="Times New Roman" w:cs="Times New Roman"/>
                      </w:rPr>
                      <w:t xml:space="preserve">     4 )</w:t>
                    </w:r>
                    <w:r>
                      <w:rPr>
                        <w:rFonts w:ascii="Times New Roman" w:hAnsi="Times New Roman" w:cs="Times New Roman"/>
                      </w:rPr>
                      <w:t>测试用例及首次测试完成；</w:t>
                    </w:r>
                  </w:p>
                </w:tc>
                <w:tc>
                  <w:tcPr>
                    <w:tcW w:w="1701" w:type="dxa"/>
                    <w:shd w:val="clear" w:color="auto" w:fill="auto"/>
                  </w:tcPr>
                  <w:p w14:paraId="202B42B3" w14:textId="77777777" w:rsidR="00D21C1F" w:rsidRDefault="00A42880">
                    <w:pPr>
                      <w:jc w:val="both"/>
                      <w:rPr>
                        <w:rFonts w:ascii="Times New Roman" w:hAnsi="Times New Roman" w:cs="Times New Roman"/>
                      </w:rPr>
                    </w:pPr>
                    <w:r>
                      <w:rPr>
                        <w:rFonts w:ascii="Times New Roman" w:hAnsi="Times New Roman" w:cs="Times New Roman"/>
                      </w:rPr>
                      <w:t>1 )</w:t>
                    </w:r>
                    <w:r>
                      <w:rPr>
                        <w:rFonts w:ascii="Times New Roman" w:hAnsi="Times New Roman" w:cs="Times New Roman"/>
                      </w:rPr>
                      <w:t>全周期测试</w:t>
                    </w:r>
                    <w:r>
                      <w:rPr>
                        <w:rFonts w:ascii="Times New Roman" w:hAnsi="Times New Roman" w:cs="Times New Roman"/>
                      </w:rPr>
                      <w:t>RV</w:t>
                    </w:r>
                    <w:r>
                      <w:rPr>
                        <w:rFonts w:ascii="Times New Roman" w:hAnsi="Times New Roman" w:cs="Times New Roman"/>
                      </w:rPr>
                      <w:t>减速机及搭载整机测试性能及性能变化；</w:t>
                    </w:r>
                  </w:p>
                  <w:p w14:paraId="36AA91D0" w14:textId="77777777" w:rsidR="00D21C1F" w:rsidRDefault="00A42880">
                    <w:pPr>
                      <w:jc w:val="both"/>
                      <w:rPr>
                        <w:rFonts w:ascii="Times New Roman" w:hAnsi="Times New Roman" w:cs="Times New Roman"/>
                      </w:rPr>
                    </w:pPr>
                    <w:r>
                      <w:rPr>
                        <w:rFonts w:ascii="Times New Roman" w:hAnsi="Times New Roman" w:cs="Times New Roman"/>
                      </w:rPr>
                      <w:t>2 )</w:t>
                    </w:r>
                    <w:r>
                      <w:rPr>
                        <w:rFonts w:ascii="Times New Roman" w:hAnsi="Times New Roman" w:cs="Times New Roman"/>
                      </w:rPr>
                      <w:t>结合相关测试结论开发及评估机器人性能评估指标；</w:t>
                    </w:r>
                  </w:p>
                </w:tc>
                <w:tc>
                  <w:tcPr>
                    <w:tcW w:w="3349" w:type="dxa"/>
                    <w:shd w:val="clear" w:color="auto" w:fill="auto"/>
                  </w:tcPr>
                  <w:p w14:paraId="48A8A8A9" w14:textId="77777777" w:rsidR="00D21C1F" w:rsidRDefault="00A42880">
                    <w:pPr>
                      <w:jc w:val="both"/>
                      <w:rPr>
                        <w:rFonts w:ascii="Times New Roman" w:hAnsi="Times New Roman" w:cs="Times New Roman"/>
                      </w:rPr>
                    </w:pPr>
                    <w:r>
                      <w:rPr>
                        <w:rFonts w:ascii="Times New Roman" w:hAnsi="Times New Roman" w:cs="Times New Roman"/>
                      </w:rPr>
                      <w:t>1 )</w:t>
                    </w:r>
                    <w:r>
                      <w:rPr>
                        <w:rFonts w:ascii="Times New Roman" w:hAnsi="Times New Roman" w:cs="Times New Roman"/>
                      </w:rPr>
                      <w:t>系统评估整机（减速机）性能水平及性能变化趋势；</w:t>
                    </w:r>
                  </w:p>
                  <w:p w14:paraId="095B3BE8" w14:textId="77777777" w:rsidR="00D21C1F" w:rsidRDefault="00A42880">
                    <w:pPr>
                      <w:jc w:val="both"/>
                      <w:rPr>
                        <w:rFonts w:ascii="Times New Roman" w:hAnsi="Times New Roman" w:cs="Times New Roman"/>
                      </w:rPr>
                    </w:pPr>
                    <w:r>
                      <w:rPr>
                        <w:rFonts w:ascii="Times New Roman" w:hAnsi="Times New Roman" w:cs="Times New Roman"/>
                      </w:rPr>
                      <w:t>2 )</w:t>
                    </w:r>
                    <w:r>
                      <w:rPr>
                        <w:rFonts w:ascii="Times New Roman" w:hAnsi="Times New Roman" w:cs="Times New Roman"/>
                      </w:rPr>
                      <w:t>基于测试结果，开发在线故障诊断技术；</w:t>
                    </w:r>
                  </w:p>
                </w:tc>
              </w:tr>
            </w:sdtContent>
          </w:sdt>
          <w:sdt>
            <w:sdtPr>
              <w:rPr>
                <w:rFonts w:ascii="Times New Roman" w:hAnsi="Times New Roman" w:cs="Times New Roman"/>
              </w:rPr>
              <w:alias w:val="在研项目情况明细"/>
              <w:tag w:val="_TUP_9ddfad86f77e4024ab38f89df3f23e23"/>
              <w:id w:val="-930965013"/>
              <w:lock w:val="sdtLocked"/>
              <w:placeholder>
                <w:docPart w:val="66786C3445A24923B36996716BA4832F"/>
              </w:placeholder>
            </w:sdtPr>
            <w:sdtEndPr/>
            <w:sdtContent>
              <w:tr w:rsidR="00D21C1F" w14:paraId="111B8B05" w14:textId="77777777">
                <w:tc>
                  <w:tcPr>
                    <w:tcW w:w="682" w:type="dxa"/>
                    <w:shd w:val="clear" w:color="auto" w:fill="auto"/>
                  </w:tcPr>
                  <w:p w14:paraId="3EFD7541" w14:textId="77777777" w:rsidR="00D21C1F" w:rsidRDefault="00A42880">
                    <w:pPr>
                      <w:rPr>
                        <w:rFonts w:ascii="Times New Roman" w:hAnsi="Times New Roman" w:cs="Times New Roman"/>
                      </w:rPr>
                    </w:pPr>
                    <w:r>
                      <w:rPr>
                        <w:rFonts w:ascii="Times New Roman" w:hAnsi="Times New Roman" w:cs="Times New Roman"/>
                      </w:rPr>
                      <w:t>33</w:t>
                    </w:r>
                  </w:p>
                </w:tc>
                <w:tc>
                  <w:tcPr>
                    <w:tcW w:w="1127" w:type="dxa"/>
                    <w:shd w:val="clear" w:color="auto" w:fill="auto"/>
                  </w:tcPr>
                  <w:p w14:paraId="1C8807D2" w14:textId="77777777" w:rsidR="00D21C1F" w:rsidRDefault="00A42880">
                    <w:pPr>
                      <w:jc w:val="both"/>
                      <w:rPr>
                        <w:rFonts w:ascii="Times New Roman" w:hAnsi="Times New Roman" w:cs="Times New Roman"/>
                      </w:rPr>
                    </w:pPr>
                    <w:r>
                      <w:rPr>
                        <w:rFonts w:ascii="Times New Roman" w:hAnsi="Times New Roman" w:cs="Times New Roman"/>
                      </w:rPr>
                      <w:t>汽车白车身零部件铝弧焊自动化新产品开发</w:t>
                    </w:r>
                  </w:p>
                </w:tc>
                <w:tc>
                  <w:tcPr>
                    <w:tcW w:w="1134" w:type="dxa"/>
                    <w:shd w:val="clear" w:color="auto" w:fill="auto"/>
                  </w:tcPr>
                  <w:p w14:paraId="29A0C886"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305.50</w:t>
                    </w:r>
                  </w:p>
                </w:tc>
                <w:tc>
                  <w:tcPr>
                    <w:tcW w:w="993" w:type="dxa"/>
                    <w:shd w:val="clear" w:color="auto" w:fill="auto"/>
                  </w:tcPr>
                  <w:p w14:paraId="1839903A"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10.36</w:t>
                    </w:r>
                  </w:p>
                </w:tc>
                <w:tc>
                  <w:tcPr>
                    <w:tcW w:w="1134" w:type="dxa"/>
                    <w:shd w:val="clear" w:color="auto" w:fill="auto"/>
                  </w:tcPr>
                  <w:p w14:paraId="735EC8D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10.36</w:t>
                    </w:r>
                  </w:p>
                </w:tc>
                <w:tc>
                  <w:tcPr>
                    <w:tcW w:w="1950" w:type="dxa"/>
                    <w:shd w:val="clear" w:color="auto" w:fill="auto"/>
                  </w:tcPr>
                  <w:p w14:paraId="164C2D7D" w14:textId="77777777" w:rsidR="00D21C1F" w:rsidRDefault="00A42880">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）市场调研完成</w:t>
                    </w:r>
                    <w:r>
                      <w:rPr>
                        <w:rFonts w:ascii="Times New Roman" w:hAnsi="Times New Roman" w:cs="Times New Roman"/>
                      </w:rPr>
                      <w:t xml:space="preserve">     2</w:t>
                    </w:r>
                    <w:r>
                      <w:rPr>
                        <w:rFonts w:ascii="Times New Roman" w:hAnsi="Times New Roman" w:cs="Times New Roman"/>
                      </w:rPr>
                      <w:t>）</w:t>
                    </w:r>
                    <w:r>
                      <w:rPr>
                        <w:rFonts w:ascii="Times New Roman" w:hAnsi="Times New Roman" w:cs="Times New Roman"/>
                      </w:rPr>
                      <w:t>CATIA</w:t>
                    </w:r>
                    <w:r>
                      <w:rPr>
                        <w:rFonts w:ascii="Times New Roman" w:hAnsi="Times New Roman" w:cs="Times New Roman"/>
                      </w:rPr>
                      <w:t>三维机械结构设计完成，交付</w:t>
                    </w:r>
                    <w:r>
                      <w:rPr>
                        <w:rFonts w:ascii="Times New Roman" w:hAnsi="Times New Roman" w:cs="Times New Roman"/>
                      </w:rPr>
                      <w:t>3D</w:t>
                    </w:r>
                    <w:r>
                      <w:rPr>
                        <w:rFonts w:ascii="Times New Roman" w:hAnsi="Times New Roman" w:cs="Times New Roman"/>
                      </w:rPr>
                      <w:t>、</w:t>
                    </w:r>
                    <w:r>
                      <w:rPr>
                        <w:rFonts w:ascii="Times New Roman" w:hAnsi="Times New Roman" w:cs="Times New Roman"/>
                      </w:rPr>
                      <w:t>2D</w:t>
                    </w:r>
                    <w:r>
                      <w:rPr>
                        <w:rFonts w:ascii="Times New Roman" w:hAnsi="Times New Roman" w:cs="Times New Roman"/>
                      </w:rPr>
                      <w:t>图纸</w:t>
                    </w:r>
                    <w:r>
                      <w:rPr>
                        <w:rFonts w:ascii="Times New Roman" w:hAnsi="Times New Roman" w:cs="Times New Roman"/>
                      </w:rPr>
                      <w:t xml:space="preserve">     3</w:t>
                    </w:r>
                    <w:r>
                      <w:rPr>
                        <w:rFonts w:ascii="Times New Roman" w:hAnsi="Times New Roman" w:cs="Times New Roman"/>
                      </w:rPr>
                      <w:t>）电控系统设计完成，交付电控图纸</w:t>
                    </w:r>
                  </w:p>
                  <w:p w14:paraId="0379C33F" w14:textId="77777777" w:rsidR="00D21C1F" w:rsidRDefault="00A42880">
                    <w:pPr>
                      <w:jc w:val="both"/>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）制造、安装、调试完成并进行试运行</w:t>
                    </w:r>
                  </w:p>
                </w:tc>
                <w:tc>
                  <w:tcPr>
                    <w:tcW w:w="2019" w:type="dxa"/>
                    <w:shd w:val="clear" w:color="auto" w:fill="auto"/>
                  </w:tcPr>
                  <w:p w14:paraId="7143E927" w14:textId="77777777" w:rsidR="00D21C1F" w:rsidRDefault="00A42880">
                    <w:pPr>
                      <w:jc w:val="both"/>
                      <w:rPr>
                        <w:rFonts w:ascii="Times New Roman" w:hAnsi="Times New Roman" w:cs="Times New Roman"/>
                      </w:rPr>
                    </w:pPr>
                    <w:r>
                      <w:lastRenderedPageBreak/>
                      <w:t>掌握铝弧焊工艺技术对机器人系统的功能需求</w:t>
                    </w:r>
                    <w:r>
                      <w:rPr>
                        <w:rFonts w:ascii="Times New Roman" w:hAnsi="Times New Roman" w:cs="Times New Roman"/>
                      </w:rPr>
                      <w:t>；在系统集成方面，要充分理解铝弧焊设备的集成应用，以及铝弧焊工艺调试和质量管理</w:t>
                    </w:r>
                  </w:p>
                </w:tc>
                <w:tc>
                  <w:tcPr>
                    <w:tcW w:w="1701" w:type="dxa"/>
                    <w:shd w:val="clear" w:color="auto" w:fill="auto"/>
                  </w:tcPr>
                  <w:p w14:paraId="55546FE2" w14:textId="77777777" w:rsidR="00D21C1F" w:rsidRDefault="00A42880">
                    <w:pPr>
                      <w:jc w:val="both"/>
                      <w:rPr>
                        <w:rFonts w:ascii="Times New Roman" w:hAnsi="Times New Roman" w:cs="Times New Roman"/>
                      </w:rPr>
                    </w:pPr>
                    <w:r>
                      <w:rPr>
                        <w:rFonts w:ascii="Times New Roman" w:hAnsi="Times New Roman" w:cs="Times New Roman"/>
                      </w:rPr>
                      <w:t>铝弧焊行业机器人及系统集成的领军企业</w:t>
                    </w:r>
                  </w:p>
                </w:tc>
                <w:tc>
                  <w:tcPr>
                    <w:tcW w:w="3349" w:type="dxa"/>
                    <w:shd w:val="clear" w:color="auto" w:fill="auto"/>
                  </w:tcPr>
                  <w:p w14:paraId="23550E8A" w14:textId="77777777" w:rsidR="00D21C1F" w:rsidRDefault="00A42880">
                    <w:pPr>
                      <w:jc w:val="both"/>
                      <w:rPr>
                        <w:rFonts w:ascii="Times New Roman" w:hAnsi="Times New Roman" w:cs="Times New Roman"/>
                      </w:rPr>
                    </w:pPr>
                    <w:r>
                      <w:rPr>
                        <w:rFonts w:ascii="Times New Roman" w:hAnsi="Times New Roman" w:cs="Times New Roman"/>
                      </w:rPr>
                      <w:t>新能源汽车的迅猛发展，对于铝焊接的大量需求</w:t>
                    </w:r>
                  </w:p>
                </w:tc>
              </w:tr>
            </w:sdtContent>
          </w:sdt>
          <w:tr w:rsidR="00D21C1F" w14:paraId="25093A3B" w14:textId="77777777">
            <w:tc>
              <w:tcPr>
                <w:tcW w:w="682" w:type="dxa"/>
                <w:shd w:val="clear" w:color="auto" w:fill="auto"/>
              </w:tcPr>
              <w:sdt>
                <w:sdtPr>
                  <w:rPr>
                    <w:rFonts w:ascii="Times New Roman" w:hAnsi="Times New Roman" w:cs="Times New Roman"/>
                  </w:rPr>
                  <w:tag w:val="_PLD_bce037e65d0647e195723178957cda5b"/>
                  <w:id w:val="974418726"/>
                  <w:lock w:val="sdtLocked"/>
                </w:sdtPr>
                <w:sdtEndPr/>
                <w:sdtContent>
                  <w:p w14:paraId="68B0EBD9" w14:textId="77777777" w:rsidR="00D21C1F" w:rsidRDefault="00A42880">
                    <w:pPr>
                      <w:jc w:val="center"/>
                      <w:rPr>
                        <w:rFonts w:ascii="Times New Roman" w:hAnsi="Times New Roman" w:cs="Times New Roman"/>
                      </w:rPr>
                    </w:pPr>
                    <w:r>
                      <w:rPr>
                        <w:rFonts w:ascii="Times New Roman" w:hAnsi="Times New Roman" w:cs="Times New Roman"/>
                      </w:rPr>
                      <w:t>合计</w:t>
                    </w:r>
                  </w:p>
                </w:sdtContent>
              </w:sdt>
            </w:tc>
            <w:tc>
              <w:tcPr>
                <w:tcW w:w="1127" w:type="dxa"/>
                <w:shd w:val="clear" w:color="auto" w:fill="auto"/>
              </w:tcPr>
              <w:p w14:paraId="6654C40A" w14:textId="77777777" w:rsidR="00D21C1F" w:rsidRDefault="00A42880">
                <w:pPr>
                  <w:jc w:val="both"/>
                  <w:rPr>
                    <w:rFonts w:ascii="Times New Roman" w:hAnsi="Times New Roman" w:cs="Times New Roman"/>
                  </w:rPr>
                </w:pPr>
                <w:r>
                  <w:rPr>
                    <w:rFonts w:ascii="Times New Roman" w:hAnsi="Times New Roman" w:cs="Times New Roman"/>
                  </w:rPr>
                  <w:t>/</w:t>
                </w:r>
              </w:p>
            </w:tc>
            <w:tc>
              <w:tcPr>
                <w:tcW w:w="1134" w:type="dxa"/>
                <w:shd w:val="clear" w:color="auto" w:fill="auto"/>
                <w:vAlign w:val="center"/>
              </w:tcPr>
              <w:p w14:paraId="5CF19629"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29,531.34</w:t>
                </w:r>
              </w:p>
            </w:tc>
            <w:tc>
              <w:tcPr>
                <w:tcW w:w="993" w:type="dxa"/>
                <w:shd w:val="clear" w:color="auto" w:fill="auto"/>
                <w:vAlign w:val="center"/>
              </w:tcPr>
              <w:p w14:paraId="3B1A9DA1"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4,153.38</w:t>
                </w:r>
              </w:p>
            </w:tc>
            <w:tc>
              <w:tcPr>
                <w:tcW w:w="1134" w:type="dxa"/>
                <w:shd w:val="clear" w:color="auto" w:fill="auto"/>
                <w:vAlign w:val="center"/>
              </w:tcPr>
              <w:p w14:paraId="071DF133" w14:textId="77777777" w:rsidR="00D21C1F" w:rsidRPr="00102F64" w:rsidRDefault="00A42880">
                <w:pPr>
                  <w:jc w:val="right"/>
                  <w:rPr>
                    <w:rFonts w:ascii="Times New Roman" w:hAnsi="Times New Roman" w:cs="Times New Roman"/>
                  </w:rPr>
                </w:pPr>
                <w:r w:rsidRPr="00102F64">
                  <w:rPr>
                    <w:rFonts w:ascii="Times New Roman" w:hAnsi="Times New Roman" w:cs="Times New Roman"/>
                  </w:rPr>
                  <w:t>14,912.18</w:t>
                </w:r>
              </w:p>
            </w:tc>
            <w:tc>
              <w:tcPr>
                <w:tcW w:w="1950" w:type="dxa"/>
                <w:shd w:val="clear" w:color="auto" w:fill="auto"/>
              </w:tcPr>
              <w:p w14:paraId="22BADE7D" w14:textId="77777777" w:rsidR="00D21C1F" w:rsidRDefault="00A42880">
                <w:pPr>
                  <w:jc w:val="both"/>
                  <w:rPr>
                    <w:rFonts w:ascii="Times New Roman" w:hAnsi="Times New Roman" w:cs="Times New Roman"/>
                  </w:rPr>
                </w:pPr>
                <w:r>
                  <w:rPr>
                    <w:rFonts w:ascii="Times New Roman" w:hAnsi="Times New Roman" w:cs="Times New Roman"/>
                  </w:rPr>
                  <w:t>/</w:t>
                </w:r>
              </w:p>
            </w:tc>
            <w:tc>
              <w:tcPr>
                <w:tcW w:w="2019" w:type="dxa"/>
                <w:shd w:val="clear" w:color="auto" w:fill="auto"/>
              </w:tcPr>
              <w:p w14:paraId="75F61449" w14:textId="77777777" w:rsidR="00D21C1F" w:rsidRDefault="00A42880">
                <w:pPr>
                  <w:jc w:val="both"/>
                  <w:rPr>
                    <w:rFonts w:ascii="Times New Roman" w:hAnsi="Times New Roman" w:cs="Times New Roman"/>
                  </w:rPr>
                </w:pPr>
                <w:r>
                  <w:rPr>
                    <w:rFonts w:ascii="Times New Roman" w:hAnsi="Times New Roman" w:cs="Times New Roman"/>
                  </w:rPr>
                  <w:t>/</w:t>
                </w:r>
              </w:p>
            </w:tc>
            <w:tc>
              <w:tcPr>
                <w:tcW w:w="1701" w:type="dxa"/>
                <w:shd w:val="clear" w:color="auto" w:fill="auto"/>
              </w:tcPr>
              <w:p w14:paraId="7C751B2B" w14:textId="77777777" w:rsidR="00D21C1F" w:rsidRDefault="00A42880">
                <w:pPr>
                  <w:jc w:val="both"/>
                  <w:rPr>
                    <w:rFonts w:ascii="Times New Roman" w:hAnsi="Times New Roman" w:cs="Times New Roman"/>
                  </w:rPr>
                </w:pPr>
                <w:r>
                  <w:rPr>
                    <w:rFonts w:ascii="Times New Roman" w:hAnsi="Times New Roman" w:cs="Times New Roman"/>
                  </w:rPr>
                  <w:t>/</w:t>
                </w:r>
              </w:p>
            </w:tc>
            <w:tc>
              <w:tcPr>
                <w:tcW w:w="3349" w:type="dxa"/>
                <w:shd w:val="clear" w:color="auto" w:fill="auto"/>
              </w:tcPr>
              <w:p w14:paraId="33A03B21" w14:textId="77777777" w:rsidR="00D21C1F" w:rsidRDefault="00A42880">
                <w:pPr>
                  <w:jc w:val="both"/>
                  <w:rPr>
                    <w:rFonts w:ascii="Times New Roman" w:hAnsi="Times New Roman" w:cs="Times New Roman"/>
                  </w:rPr>
                </w:pPr>
                <w:r>
                  <w:rPr>
                    <w:rFonts w:ascii="Times New Roman" w:hAnsi="Times New Roman" w:cs="Times New Roman"/>
                  </w:rPr>
                  <w:t>/</w:t>
                </w:r>
              </w:p>
            </w:tc>
          </w:tr>
        </w:tbl>
        <w:p w14:paraId="6E0BA9B8" w14:textId="77777777" w:rsidR="00D21C1F" w:rsidRDefault="00D21C1F">
          <w:pPr>
            <w:sectPr w:rsidR="00D21C1F">
              <w:pgSz w:w="16838" w:h="11906" w:orient="landscape"/>
              <w:pgMar w:top="1797" w:right="1525" w:bottom="1276" w:left="1440" w:header="851" w:footer="992" w:gutter="0"/>
              <w:cols w:space="425"/>
              <w:docGrid w:linePitch="312"/>
            </w:sectPr>
          </w:pPr>
        </w:p>
        <w:p w14:paraId="507AF233" w14:textId="77777777" w:rsidR="00D21C1F" w:rsidRDefault="00045EC6">
          <w:pPr>
            <w:pStyle w:val="97"/>
          </w:pPr>
        </w:p>
      </w:sdtContent>
    </w:sdt>
    <w:bookmarkEnd w:id="46" w:displacedByCustomXml="next"/>
    <w:bookmarkStart w:id="47" w:name="_Hlk59699132" w:displacedByCustomXml="next"/>
    <w:bookmarkStart w:id="48" w:name="_Hlk72845837" w:displacedByCustomXml="next"/>
    <w:sdt>
      <w:sdtPr>
        <w:rPr>
          <w:rFonts w:ascii="宋体" w:eastAsiaTheme="minorEastAsia" w:hAnsi="宋体" w:cs="宋体"/>
          <w:b w:val="0"/>
          <w:bCs w:val="0"/>
          <w:kern w:val="0"/>
          <w:szCs w:val="24"/>
        </w:rPr>
        <w:alias w:val="模块:研发人员情况"/>
        <w:tag w:val="_SEC_b8beff14ec524c15a77c3970b8f4f408"/>
        <w:id w:val="-408700251"/>
        <w:lock w:val="sdtLocked"/>
        <w:placeholder>
          <w:docPart w:val="GBC22222222222222222222222222222"/>
        </w:placeholder>
      </w:sdtPr>
      <w:sdtEndPr/>
      <w:sdtContent>
        <w:p w14:paraId="17AA8032" w14:textId="77777777" w:rsidR="00D21C1F" w:rsidRDefault="00A42880">
          <w:pPr>
            <w:pStyle w:val="3"/>
            <w:numPr>
              <w:ilvl w:val="0"/>
              <w:numId w:val="11"/>
            </w:numPr>
            <w:rPr>
              <w:rFonts w:ascii="宋体" w:hAnsi="宋体" w:cs="宋体"/>
              <w:kern w:val="0"/>
              <w:szCs w:val="24"/>
            </w:rPr>
          </w:pPr>
          <w:r>
            <w:rPr>
              <w:rFonts w:ascii="宋体" w:hAnsi="宋体" w:cs="宋体" w:hint="eastAsia"/>
              <w:kern w:val="0"/>
              <w:szCs w:val="24"/>
            </w:rPr>
            <w:t>研发</w:t>
          </w:r>
          <w:r>
            <w:rPr>
              <w:rFonts w:ascii="宋体" w:hAnsi="宋体" w:cs="宋体"/>
              <w:kern w:val="0"/>
              <w:szCs w:val="24"/>
            </w:rPr>
            <w:t>人员情况</w:t>
          </w:r>
        </w:p>
        <w:p w14:paraId="0304C6B3" w14:textId="77777777" w:rsidR="00D21C1F" w:rsidRDefault="00A42880">
          <w:pPr>
            <w:wordWrap w:val="0"/>
            <w:jc w:val="right"/>
            <w:rPr>
              <w:szCs w:val="21"/>
            </w:rPr>
          </w:pPr>
          <w:r>
            <w:rPr>
              <w:rFonts w:hint="eastAsia"/>
              <w:szCs w:val="21"/>
            </w:rPr>
            <w:t>单位:</w:t>
          </w:r>
          <w:sdt>
            <w:sdtPr>
              <w:rPr>
                <w:rFonts w:hint="eastAsia"/>
                <w:szCs w:val="21"/>
              </w:rPr>
              <w:alias w:val="单位：研发人员薪酬情况"/>
              <w:tag w:val="_GBC_1e2db2322f604700ad96ca07b5788b03"/>
              <w:id w:val="8328017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万元</w:t>
              </w:r>
            </w:sdtContent>
          </w:sdt>
          <w:r>
            <w:rPr>
              <w:rFonts w:hint="eastAsia"/>
              <w:szCs w:val="21"/>
            </w:rPr>
            <w:t xml:space="preserve">  币种:</w:t>
          </w:r>
          <w:sdt>
            <w:sdtPr>
              <w:rPr>
                <w:rFonts w:hint="eastAsia"/>
                <w:szCs w:val="21"/>
              </w:rPr>
              <w:alias w:val="币种：研发人员薪酬情况"/>
              <w:tag w:val="_GBC_08e2f37be5a04a22801963fd1ee26429"/>
              <w:id w:val="-16769511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8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10"/>
            <w:gridCol w:w="2307"/>
          </w:tblGrid>
          <w:tr w:rsidR="00D21C1F" w14:paraId="745055EA" w14:textId="77777777">
            <w:tc>
              <w:tcPr>
                <w:tcW w:w="8823" w:type="dxa"/>
                <w:gridSpan w:val="3"/>
                <w:shd w:val="clear" w:color="auto" w:fill="auto"/>
              </w:tcPr>
              <w:sdt>
                <w:sdtPr>
                  <w:rPr>
                    <w:rStyle w:val="5Char"/>
                    <w:rFonts w:hint="eastAsia"/>
                    <w:b w:val="0"/>
                    <w:bCs w:val="0"/>
                    <w:szCs w:val="21"/>
                  </w:rPr>
                  <w:tag w:val="_PLD_3e648f37caae4f14b618827bfb180aef"/>
                  <w:id w:val="-643892177"/>
                  <w:lock w:val="sdtLocked"/>
                </w:sdtPr>
                <w:sdtEndPr>
                  <w:rPr>
                    <w:rStyle w:val="5Char"/>
                  </w:rPr>
                </w:sdtEndPr>
                <w:sdtContent>
                  <w:p w14:paraId="69476DE8" w14:textId="77777777" w:rsidR="00D21C1F" w:rsidRDefault="00A42880">
                    <w:pPr>
                      <w:widowControl w:val="0"/>
                      <w:ind w:firstLineChars="1650" w:firstLine="3465"/>
                      <w:rPr>
                        <w:rStyle w:val="5Char"/>
                        <w:b w:val="0"/>
                        <w:bCs w:val="0"/>
                        <w:szCs w:val="21"/>
                      </w:rPr>
                    </w:pPr>
                    <w:r>
                      <w:rPr>
                        <w:rStyle w:val="5Char"/>
                        <w:rFonts w:hint="eastAsia"/>
                        <w:b w:val="0"/>
                        <w:bCs w:val="0"/>
                        <w:szCs w:val="21"/>
                      </w:rPr>
                      <w:t>基本情况</w:t>
                    </w:r>
                  </w:p>
                </w:sdtContent>
              </w:sdt>
            </w:tc>
          </w:tr>
          <w:tr w:rsidR="00D21C1F" w14:paraId="501CBAEA" w14:textId="77777777">
            <w:tc>
              <w:tcPr>
                <w:tcW w:w="4106" w:type="dxa"/>
                <w:shd w:val="clear" w:color="auto" w:fill="auto"/>
              </w:tcPr>
              <w:p w14:paraId="48FCF3C9" w14:textId="77777777" w:rsidR="00D21C1F" w:rsidRDefault="00D21C1F">
                <w:pPr>
                  <w:widowControl w:val="0"/>
                  <w:jc w:val="center"/>
                  <w:rPr>
                    <w:rStyle w:val="5Char"/>
                    <w:b w:val="0"/>
                    <w:bCs w:val="0"/>
                    <w:szCs w:val="21"/>
                  </w:rPr>
                </w:pPr>
              </w:p>
            </w:tc>
            <w:tc>
              <w:tcPr>
                <w:tcW w:w="2410" w:type="dxa"/>
                <w:shd w:val="clear" w:color="auto" w:fill="auto"/>
              </w:tcPr>
              <w:sdt>
                <w:sdtPr>
                  <w:rPr>
                    <w:rStyle w:val="5Char"/>
                    <w:rFonts w:hint="eastAsia"/>
                    <w:b w:val="0"/>
                    <w:bCs w:val="0"/>
                    <w:szCs w:val="21"/>
                  </w:rPr>
                  <w:tag w:val="_PLD_ea8f5226711d4900b8c4dbe1a73f8a06"/>
                  <w:id w:val="-13466735"/>
                  <w:lock w:val="sdtLocked"/>
                </w:sdtPr>
                <w:sdtEndPr>
                  <w:rPr>
                    <w:rStyle w:val="5Char"/>
                  </w:rPr>
                </w:sdtEndPr>
                <w:sdtContent>
                  <w:p w14:paraId="2B213093" w14:textId="77777777" w:rsidR="00D21C1F" w:rsidRDefault="00A42880">
                    <w:pPr>
                      <w:widowControl w:val="0"/>
                      <w:jc w:val="center"/>
                      <w:rPr>
                        <w:rStyle w:val="5Char"/>
                        <w:b w:val="0"/>
                        <w:bCs w:val="0"/>
                        <w:szCs w:val="21"/>
                      </w:rPr>
                    </w:pPr>
                    <w:r>
                      <w:rPr>
                        <w:rStyle w:val="5Char"/>
                        <w:rFonts w:hint="eastAsia"/>
                        <w:b w:val="0"/>
                        <w:bCs w:val="0"/>
                        <w:szCs w:val="21"/>
                      </w:rPr>
                      <w:t>本期数</w:t>
                    </w:r>
                  </w:p>
                </w:sdtContent>
              </w:sdt>
            </w:tc>
            <w:tc>
              <w:tcPr>
                <w:tcW w:w="2307" w:type="dxa"/>
                <w:shd w:val="clear" w:color="auto" w:fill="auto"/>
              </w:tcPr>
              <w:sdt>
                <w:sdtPr>
                  <w:rPr>
                    <w:rStyle w:val="5Char"/>
                    <w:rFonts w:hint="eastAsia"/>
                    <w:b w:val="0"/>
                    <w:bCs w:val="0"/>
                    <w:szCs w:val="21"/>
                  </w:rPr>
                  <w:tag w:val="_PLD_d4612407817545d9a0ec42091d2b5ca4"/>
                  <w:id w:val="-1139799823"/>
                  <w:lock w:val="sdtLocked"/>
                </w:sdtPr>
                <w:sdtEndPr>
                  <w:rPr>
                    <w:rStyle w:val="5Char"/>
                  </w:rPr>
                </w:sdtEndPr>
                <w:sdtContent>
                  <w:p w14:paraId="335146FA" w14:textId="77777777" w:rsidR="00D21C1F" w:rsidRDefault="00A42880">
                    <w:pPr>
                      <w:jc w:val="center"/>
                      <w:rPr>
                        <w:rStyle w:val="5Char"/>
                        <w:b w:val="0"/>
                        <w:bCs w:val="0"/>
                        <w:sz w:val="24"/>
                      </w:rPr>
                    </w:pPr>
                    <w:r>
                      <w:rPr>
                        <w:rStyle w:val="5Char"/>
                        <w:rFonts w:hint="eastAsia"/>
                        <w:b w:val="0"/>
                        <w:bCs w:val="0"/>
                        <w:szCs w:val="21"/>
                      </w:rPr>
                      <w:t>上期数</w:t>
                    </w:r>
                  </w:p>
                </w:sdtContent>
              </w:sdt>
            </w:tc>
          </w:tr>
          <w:tr w:rsidR="00D21C1F" w14:paraId="4EBAC52A" w14:textId="77777777">
            <w:tc>
              <w:tcPr>
                <w:tcW w:w="4106" w:type="dxa"/>
                <w:shd w:val="clear" w:color="auto" w:fill="auto"/>
              </w:tcPr>
              <w:sdt>
                <w:sdtPr>
                  <w:rPr>
                    <w:rFonts w:hint="eastAsia"/>
                    <w:szCs w:val="21"/>
                  </w:rPr>
                  <w:tag w:val="_PLD_cfa4f00c6b644aa2a9808d9ad8d016d5"/>
                  <w:id w:val="1510795010"/>
                  <w:lock w:val="sdtLocked"/>
                </w:sdtPr>
                <w:sdtEndPr/>
                <w:sdtContent>
                  <w:p w14:paraId="793B7188" w14:textId="77777777" w:rsidR="00D21C1F" w:rsidRDefault="00A42880">
                    <w:pPr>
                      <w:widowControl w:val="0"/>
                      <w:rPr>
                        <w:rStyle w:val="5Char"/>
                        <w:b w:val="0"/>
                        <w:bCs w:val="0"/>
                        <w:szCs w:val="21"/>
                      </w:rPr>
                    </w:pPr>
                    <w:r>
                      <w:rPr>
                        <w:rFonts w:hint="eastAsia"/>
                        <w:szCs w:val="21"/>
                      </w:rPr>
                      <w:t>公司研发人员的数量（人）</w:t>
                    </w:r>
                  </w:p>
                </w:sdtContent>
              </w:sdt>
            </w:tc>
            <w:tc>
              <w:tcPr>
                <w:tcW w:w="2410" w:type="dxa"/>
                <w:shd w:val="clear" w:color="auto" w:fill="auto"/>
                <w:vAlign w:val="center"/>
              </w:tcPr>
              <w:p w14:paraId="787F5607"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295</w:t>
                </w:r>
              </w:p>
            </w:tc>
            <w:tc>
              <w:tcPr>
                <w:tcW w:w="2307" w:type="dxa"/>
                <w:shd w:val="clear" w:color="auto" w:fill="auto"/>
                <w:vAlign w:val="center"/>
              </w:tcPr>
              <w:p w14:paraId="481452D6"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277</w:t>
                </w:r>
              </w:p>
            </w:tc>
          </w:tr>
          <w:tr w:rsidR="00D21C1F" w14:paraId="5DA35D0A" w14:textId="77777777">
            <w:tc>
              <w:tcPr>
                <w:tcW w:w="4106" w:type="dxa"/>
                <w:shd w:val="clear" w:color="auto" w:fill="auto"/>
              </w:tcPr>
              <w:sdt>
                <w:sdtPr>
                  <w:rPr>
                    <w:rFonts w:hint="eastAsia"/>
                    <w:b/>
                    <w:bCs/>
                    <w:kern w:val="2"/>
                    <w:szCs w:val="21"/>
                  </w:rPr>
                  <w:tag w:val="_PLD_5f4f5743f97c45beaea46767fc48a69f"/>
                  <w:id w:val="-1820412764"/>
                  <w:lock w:val="sdtLocked"/>
                </w:sdtPr>
                <w:sdtEndPr/>
                <w:sdtContent>
                  <w:p w14:paraId="6E2ACBE6" w14:textId="77777777" w:rsidR="00D21C1F" w:rsidRDefault="00A42880">
                    <w:pPr>
                      <w:widowControl w:val="0"/>
                      <w:rPr>
                        <w:rStyle w:val="5Char"/>
                        <w:b w:val="0"/>
                        <w:bCs w:val="0"/>
                        <w:szCs w:val="21"/>
                      </w:rPr>
                    </w:pPr>
                    <w:r>
                      <w:rPr>
                        <w:rFonts w:hint="eastAsia"/>
                        <w:szCs w:val="21"/>
                      </w:rPr>
                      <w:t>研发人员数量占公司总人数的比例（%）</w:t>
                    </w:r>
                  </w:p>
                </w:sdtContent>
              </w:sdt>
            </w:tc>
            <w:tc>
              <w:tcPr>
                <w:tcW w:w="2410" w:type="dxa"/>
                <w:shd w:val="clear" w:color="auto" w:fill="auto"/>
                <w:vAlign w:val="center"/>
              </w:tcPr>
              <w:p w14:paraId="7ADD291E"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21.03</w:t>
                </w:r>
              </w:p>
            </w:tc>
            <w:tc>
              <w:tcPr>
                <w:tcW w:w="2307" w:type="dxa"/>
                <w:shd w:val="clear" w:color="auto" w:fill="auto"/>
                <w:vAlign w:val="center"/>
              </w:tcPr>
              <w:p w14:paraId="117F59C4"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19.33</w:t>
                </w:r>
              </w:p>
            </w:tc>
          </w:tr>
          <w:tr w:rsidR="00D21C1F" w14:paraId="40FB7F5B" w14:textId="77777777">
            <w:tc>
              <w:tcPr>
                <w:tcW w:w="4106" w:type="dxa"/>
                <w:shd w:val="clear" w:color="auto" w:fill="auto"/>
              </w:tcPr>
              <w:sdt>
                <w:sdtPr>
                  <w:rPr>
                    <w:rStyle w:val="5Char"/>
                    <w:rFonts w:hint="eastAsia"/>
                    <w:b w:val="0"/>
                    <w:bCs w:val="0"/>
                    <w:szCs w:val="21"/>
                  </w:rPr>
                  <w:tag w:val="_PLD_d5db6229da914388af38ea386cfdc3f5"/>
                  <w:id w:val="1577553183"/>
                  <w:lock w:val="sdtLocked"/>
                </w:sdtPr>
                <w:sdtEndPr>
                  <w:rPr>
                    <w:rStyle w:val="5Char"/>
                  </w:rPr>
                </w:sdtEndPr>
                <w:sdtContent>
                  <w:p w14:paraId="5F35223F" w14:textId="77777777" w:rsidR="00D21C1F" w:rsidRDefault="00A42880">
                    <w:pPr>
                      <w:widowControl w:val="0"/>
                      <w:rPr>
                        <w:rStyle w:val="5Char"/>
                        <w:b w:val="0"/>
                        <w:bCs w:val="0"/>
                        <w:szCs w:val="21"/>
                      </w:rPr>
                    </w:pPr>
                    <w:r>
                      <w:rPr>
                        <w:rStyle w:val="5Char"/>
                        <w:rFonts w:hint="eastAsia"/>
                        <w:b w:val="0"/>
                        <w:bCs w:val="0"/>
                        <w:szCs w:val="21"/>
                      </w:rPr>
                      <w:t>研发人员薪酬合计</w:t>
                    </w:r>
                  </w:p>
                </w:sdtContent>
              </w:sdt>
            </w:tc>
            <w:tc>
              <w:tcPr>
                <w:tcW w:w="2410" w:type="dxa"/>
                <w:shd w:val="clear" w:color="auto" w:fill="auto"/>
                <w:vAlign w:val="center"/>
              </w:tcPr>
              <w:p w14:paraId="146FAE05"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3,269.50</w:t>
                </w:r>
              </w:p>
            </w:tc>
            <w:tc>
              <w:tcPr>
                <w:tcW w:w="2307" w:type="dxa"/>
                <w:shd w:val="clear" w:color="auto" w:fill="auto"/>
                <w:vAlign w:val="center"/>
              </w:tcPr>
              <w:p w14:paraId="1B73B535"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2,881.11</w:t>
                </w:r>
              </w:p>
            </w:tc>
          </w:tr>
          <w:tr w:rsidR="00D21C1F" w14:paraId="4B405190" w14:textId="77777777">
            <w:tc>
              <w:tcPr>
                <w:tcW w:w="4106" w:type="dxa"/>
                <w:shd w:val="clear" w:color="auto" w:fill="auto"/>
              </w:tcPr>
              <w:sdt>
                <w:sdtPr>
                  <w:rPr>
                    <w:rStyle w:val="5Char"/>
                    <w:rFonts w:hint="eastAsia"/>
                    <w:b w:val="0"/>
                    <w:bCs w:val="0"/>
                    <w:szCs w:val="21"/>
                  </w:rPr>
                  <w:tag w:val="_PLD_34ba9e1e0d5145a183da3aae9bec2f51"/>
                  <w:id w:val="786084288"/>
                  <w:lock w:val="sdtLocked"/>
                </w:sdtPr>
                <w:sdtEndPr>
                  <w:rPr>
                    <w:rStyle w:val="5Char"/>
                  </w:rPr>
                </w:sdtEndPr>
                <w:sdtContent>
                  <w:p w14:paraId="0B519C61" w14:textId="77777777" w:rsidR="00D21C1F" w:rsidRDefault="00A42880">
                    <w:pPr>
                      <w:widowControl w:val="0"/>
                      <w:rPr>
                        <w:rStyle w:val="5Char"/>
                        <w:b w:val="0"/>
                        <w:bCs w:val="0"/>
                        <w:szCs w:val="21"/>
                      </w:rPr>
                    </w:pPr>
                    <w:r>
                      <w:rPr>
                        <w:rStyle w:val="5Char"/>
                        <w:rFonts w:hint="eastAsia"/>
                        <w:b w:val="0"/>
                        <w:bCs w:val="0"/>
                        <w:szCs w:val="21"/>
                      </w:rPr>
                      <w:t>研发人员平均薪酬</w:t>
                    </w:r>
                  </w:p>
                </w:sdtContent>
              </w:sdt>
            </w:tc>
            <w:tc>
              <w:tcPr>
                <w:tcW w:w="2410" w:type="dxa"/>
                <w:shd w:val="clear" w:color="auto" w:fill="auto"/>
                <w:vAlign w:val="center"/>
              </w:tcPr>
              <w:p w14:paraId="54E8F24E"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11.08</w:t>
                </w:r>
              </w:p>
            </w:tc>
            <w:tc>
              <w:tcPr>
                <w:tcW w:w="2307" w:type="dxa"/>
                <w:shd w:val="clear" w:color="auto" w:fill="auto"/>
                <w:vAlign w:val="center"/>
              </w:tcPr>
              <w:p w14:paraId="07A4759A" w14:textId="77777777" w:rsidR="00D21C1F" w:rsidRDefault="00A42880">
                <w:pPr>
                  <w:jc w:val="right"/>
                  <w:rPr>
                    <w:rStyle w:val="5Char"/>
                    <w:rFonts w:ascii="Times New Roman" w:hAnsi="Times New Roman" w:cs="Times New Roman"/>
                    <w:b w:val="0"/>
                    <w:bCs w:val="0"/>
                    <w:szCs w:val="21"/>
                  </w:rPr>
                </w:pPr>
                <w:r>
                  <w:rPr>
                    <w:rFonts w:ascii="Times New Roman" w:hAnsi="Times New Roman" w:cs="Times New Roman"/>
                  </w:rPr>
                  <w:t>10.40</w:t>
                </w:r>
              </w:p>
            </w:tc>
          </w:tr>
        </w:tbl>
        <w:p w14:paraId="7D85D920" w14:textId="77777777" w:rsidR="00D21C1F" w:rsidRDefault="00D21C1F">
          <w:pPr>
            <w:rPr>
              <w:highlight w:val="yellow"/>
            </w:rPr>
          </w:pPr>
        </w:p>
        <w:tbl>
          <w:tblPr>
            <w:tblStyle w:val="8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10"/>
            <w:gridCol w:w="2307"/>
          </w:tblGrid>
          <w:tr w:rsidR="00D21C1F" w14:paraId="5A653E85" w14:textId="77777777">
            <w:tc>
              <w:tcPr>
                <w:tcW w:w="8823" w:type="dxa"/>
                <w:gridSpan w:val="3"/>
                <w:shd w:val="clear" w:color="auto" w:fill="auto"/>
              </w:tcPr>
              <w:bookmarkEnd w:id="47"/>
              <w:p w14:paraId="12E79C56" w14:textId="77777777" w:rsidR="00D21C1F" w:rsidRDefault="00045EC6">
                <w:pPr>
                  <w:ind w:firstLineChars="1700" w:firstLine="3570"/>
                  <w:rPr>
                    <w:rStyle w:val="5Char"/>
                    <w:b w:val="0"/>
                    <w:bCs w:val="0"/>
                    <w:szCs w:val="21"/>
                  </w:rPr>
                </w:pPr>
                <w:sdt>
                  <w:sdtPr>
                    <w:rPr>
                      <w:rStyle w:val="5Char"/>
                      <w:rFonts w:hint="eastAsia"/>
                      <w:b w:val="0"/>
                      <w:bCs w:val="0"/>
                      <w:szCs w:val="21"/>
                    </w:rPr>
                    <w:tag w:val="_PLD_4020927f5086431c9de6bd2c36643f24"/>
                    <w:id w:val="2066136608"/>
                    <w:lock w:val="sdtLocked"/>
                  </w:sdtPr>
                  <w:sdtEndPr>
                    <w:rPr>
                      <w:rStyle w:val="5Char"/>
                      <w:rFonts w:hint="default"/>
                    </w:rPr>
                  </w:sdtEndPr>
                  <w:sdtContent>
                    <w:r w:rsidR="00A42880">
                      <w:rPr>
                        <w:rStyle w:val="5Char"/>
                        <w:rFonts w:hint="eastAsia"/>
                        <w:b w:val="0"/>
                        <w:bCs w:val="0"/>
                        <w:szCs w:val="21"/>
                      </w:rPr>
                      <w:t>教育</w:t>
                    </w:r>
                    <w:r w:rsidR="00A42880">
                      <w:rPr>
                        <w:rStyle w:val="5Char"/>
                        <w:b w:val="0"/>
                        <w:bCs w:val="0"/>
                        <w:szCs w:val="21"/>
                      </w:rPr>
                      <w:t>程度</w:t>
                    </w:r>
                  </w:sdtContent>
                </w:sdt>
              </w:p>
            </w:tc>
          </w:tr>
          <w:tr w:rsidR="00D21C1F" w14:paraId="2AAB9220" w14:textId="77777777">
            <w:tc>
              <w:tcPr>
                <w:tcW w:w="4106" w:type="dxa"/>
                <w:shd w:val="clear" w:color="auto" w:fill="auto"/>
              </w:tcPr>
              <w:sdt>
                <w:sdtPr>
                  <w:rPr>
                    <w:rStyle w:val="5Char"/>
                    <w:rFonts w:hint="eastAsia"/>
                    <w:b w:val="0"/>
                    <w:bCs w:val="0"/>
                    <w:szCs w:val="21"/>
                  </w:rPr>
                  <w:tag w:val="_PLD_632abf64c8e04b23bd517408efdf0ac6"/>
                  <w:id w:val="963320376"/>
                  <w:lock w:val="sdtLocked"/>
                </w:sdtPr>
                <w:sdtEndPr>
                  <w:rPr>
                    <w:rStyle w:val="5Char"/>
                    <w:rFonts w:hint="default"/>
                  </w:rPr>
                </w:sdtEndPr>
                <w:sdtContent>
                  <w:p w14:paraId="791C65C1" w14:textId="77777777" w:rsidR="00D21C1F" w:rsidRDefault="00A42880">
                    <w:pPr>
                      <w:jc w:val="center"/>
                      <w:rPr>
                        <w:rStyle w:val="5Char"/>
                        <w:b w:val="0"/>
                        <w:bCs w:val="0"/>
                        <w:szCs w:val="21"/>
                      </w:rPr>
                    </w:pPr>
                    <w:r>
                      <w:rPr>
                        <w:rStyle w:val="5Char"/>
                        <w:rFonts w:hint="eastAsia"/>
                        <w:b w:val="0"/>
                        <w:bCs w:val="0"/>
                        <w:szCs w:val="21"/>
                      </w:rPr>
                      <w:t>学历</w:t>
                    </w:r>
                    <w:r>
                      <w:rPr>
                        <w:rStyle w:val="5Char"/>
                        <w:b w:val="0"/>
                        <w:bCs w:val="0"/>
                        <w:szCs w:val="21"/>
                      </w:rPr>
                      <w:t>构成</w:t>
                    </w:r>
                  </w:p>
                </w:sdtContent>
              </w:sdt>
            </w:tc>
            <w:tc>
              <w:tcPr>
                <w:tcW w:w="2410" w:type="dxa"/>
                <w:shd w:val="clear" w:color="auto" w:fill="auto"/>
              </w:tcPr>
              <w:sdt>
                <w:sdtPr>
                  <w:rPr>
                    <w:rStyle w:val="5Char"/>
                    <w:rFonts w:hint="eastAsia"/>
                    <w:b w:val="0"/>
                    <w:bCs w:val="0"/>
                    <w:szCs w:val="21"/>
                  </w:rPr>
                  <w:tag w:val="_PLD_37d1edd68d7949959a7125d951bbadd8"/>
                  <w:id w:val="445980053"/>
                  <w:lock w:val="sdtLocked"/>
                </w:sdtPr>
                <w:sdtEndPr>
                  <w:rPr>
                    <w:rStyle w:val="5Char"/>
                    <w:rFonts w:hint="default"/>
                  </w:rPr>
                </w:sdtEndPr>
                <w:sdtContent>
                  <w:p w14:paraId="51789D77" w14:textId="77777777" w:rsidR="00D21C1F" w:rsidRDefault="00A42880">
                    <w:pPr>
                      <w:jc w:val="center"/>
                      <w:rPr>
                        <w:rStyle w:val="5Char"/>
                        <w:b w:val="0"/>
                        <w:bCs w:val="0"/>
                        <w:szCs w:val="21"/>
                      </w:rPr>
                    </w:pPr>
                    <w:r>
                      <w:rPr>
                        <w:rStyle w:val="5Char"/>
                        <w:rFonts w:hint="eastAsia"/>
                        <w:b w:val="0"/>
                        <w:bCs w:val="0"/>
                        <w:szCs w:val="21"/>
                      </w:rPr>
                      <w:t>数量（人</w:t>
                    </w:r>
                    <w:r>
                      <w:rPr>
                        <w:rStyle w:val="5Char"/>
                        <w:b w:val="0"/>
                        <w:bCs w:val="0"/>
                        <w:szCs w:val="21"/>
                      </w:rPr>
                      <w:t>）</w:t>
                    </w:r>
                  </w:p>
                </w:sdtContent>
              </w:sdt>
            </w:tc>
            <w:tc>
              <w:tcPr>
                <w:tcW w:w="2307" w:type="dxa"/>
                <w:shd w:val="clear" w:color="auto" w:fill="auto"/>
              </w:tcPr>
              <w:sdt>
                <w:sdtPr>
                  <w:rPr>
                    <w:rStyle w:val="5Char"/>
                    <w:rFonts w:hint="eastAsia"/>
                    <w:b w:val="0"/>
                    <w:bCs w:val="0"/>
                    <w:szCs w:val="21"/>
                  </w:rPr>
                  <w:tag w:val="_PLD_ab85521ad13b4f068162b405bdd3a974"/>
                  <w:id w:val="1029372368"/>
                  <w:lock w:val="sdtLocked"/>
                </w:sdtPr>
                <w:sdtEndPr>
                  <w:rPr>
                    <w:rStyle w:val="5Char"/>
                  </w:rPr>
                </w:sdtEndPr>
                <w:sdtContent>
                  <w:p w14:paraId="1B3DBDEB" w14:textId="77777777" w:rsidR="00D21C1F" w:rsidRDefault="00A42880">
                    <w:pPr>
                      <w:jc w:val="center"/>
                      <w:rPr>
                        <w:rStyle w:val="5Char"/>
                        <w:b w:val="0"/>
                        <w:bCs w:val="0"/>
                        <w:szCs w:val="21"/>
                      </w:rPr>
                    </w:pPr>
                    <w:r>
                      <w:rPr>
                        <w:rStyle w:val="5Char"/>
                        <w:rFonts w:hint="eastAsia"/>
                        <w:b w:val="0"/>
                        <w:bCs w:val="0"/>
                        <w:szCs w:val="21"/>
                      </w:rPr>
                      <w:t>比例(</w:t>
                    </w:r>
                    <w:r>
                      <w:rPr>
                        <w:rStyle w:val="5Char"/>
                        <w:b w:val="0"/>
                        <w:bCs w:val="0"/>
                        <w:szCs w:val="21"/>
                      </w:rPr>
                      <w:t>%)</w:t>
                    </w:r>
                  </w:p>
                </w:sdtContent>
              </w:sdt>
            </w:tc>
          </w:tr>
          <w:sdt>
            <w:sdtPr>
              <w:rPr>
                <w:rStyle w:val="5Char"/>
                <w:b w:val="0"/>
                <w:bCs w:val="0"/>
                <w:szCs w:val="21"/>
              </w:rPr>
              <w:alias w:val="研发人员教育程度情况明细"/>
              <w:tag w:val="_TUP_51f6b62a0c464ae7b3bd8c2423dbb5c3"/>
              <w:id w:val="411975134"/>
              <w:lock w:val="sdtLocked"/>
              <w:placeholder>
                <w:docPart w:val="8884F2889E494521A6CF8C3A2019BD0A"/>
              </w:placeholder>
            </w:sdtPr>
            <w:sdtEndPr>
              <w:rPr>
                <w:rStyle w:val="5Char"/>
                <w:rFonts w:ascii="Times New Roman" w:hAnsi="Times New Roman" w:cs="Times New Roman"/>
                <w:b/>
              </w:rPr>
            </w:sdtEndPr>
            <w:sdtContent>
              <w:tr w:rsidR="00D21C1F" w14:paraId="2610F85F" w14:textId="77777777">
                <w:tc>
                  <w:tcPr>
                    <w:tcW w:w="4106" w:type="dxa"/>
                    <w:shd w:val="clear" w:color="auto" w:fill="auto"/>
                  </w:tcPr>
                  <w:p w14:paraId="1311A07B" w14:textId="77777777" w:rsidR="00D21C1F" w:rsidRDefault="00A42880">
                    <w:pPr>
                      <w:rPr>
                        <w:rStyle w:val="5Char"/>
                        <w:b w:val="0"/>
                        <w:bCs w:val="0"/>
                        <w:szCs w:val="21"/>
                      </w:rPr>
                    </w:pPr>
                    <w:r>
                      <w:t>博士</w:t>
                    </w:r>
                  </w:p>
                </w:tc>
                <w:tc>
                  <w:tcPr>
                    <w:tcW w:w="2410" w:type="dxa"/>
                    <w:shd w:val="clear" w:color="auto" w:fill="auto"/>
                  </w:tcPr>
                  <w:p w14:paraId="264653C5"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8</w:t>
                    </w:r>
                  </w:p>
                </w:tc>
                <w:tc>
                  <w:tcPr>
                    <w:tcW w:w="2307" w:type="dxa"/>
                    <w:shd w:val="clear" w:color="auto" w:fill="auto"/>
                  </w:tcPr>
                  <w:p w14:paraId="7308722C"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2.71</w:t>
                    </w:r>
                  </w:p>
                </w:tc>
              </w:tr>
            </w:sdtContent>
          </w:sdt>
          <w:sdt>
            <w:sdtPr>
              <w:rPr>
                <w:rStyle w:val="5Char"/>
                <w:b w:val="0"/>
                <w:bCs w:val="0"/>
                <w:szCs w:val="21"/>
              </w:rPr>
              <w:alias w:val="研发人员教育程度情况明细"/>
              <w:tag w:val="_TUP_51f6b62a0c464ae7b3bd8c2423dbb5c3"/>
              <w:id w:val="-1213885159"/>
              <w:lock w:val="sdtLocked"/>
              <w:placeholder>
                <w:docPart w:val="057EB621C0DC4E6884C3F1B5A72E55E7"/>
              </w:placeholder>
            </w:sdtPr>
            <w:sdtEndPr>
              <w:rPr>
                <w:rStyle w:val="5Char"/>
                <w:rFonts w:ascii="Times New Roman" w:hAnsi="Times New Roman" w:cs="Times New Roman"/>
                <w:b/>
              </w:rPr>
            </w:sdtEndPr>
            <w:sdtContent>
              <w:tr w:rsidR="00D21C1F" w14:paraId="05CFF25E" w14:textId="77777777">
                <w:tc>
                  <w:tcPr>
                    <w:tcW w:w="4106" w:type="dxa"/>
                    <w:shd w:val="clear" w:color="auto" w:fill="auto"/>
                  </w:tcPr>
                  <w:p w14:paraId="74152E0C" w14:textId="77777777" w:rsidR="00D21C1F" w:rsidRDefault="00A42880">
                    <w:pPr>
                      <w:rPr>
                        <w:rStyle w:val="5Char"/>
                        <w:b w:val="0"/>
                        <w:bCs w:val="0"/>
                        <w:szCs w:val="21"/>
                      </w:rPr>
                    </w:pPr>
                    <w:r>
                      <w:t>硕士</w:t>
                    </w:r>
                  </w:p>
                </w:tc>
                <w:tc>
                  <w:tcPr>
                    <w:tcW w:w="2410" w:type="dxa"/>
                    <w:shd w:val="clear" w:color="auto" w:fill="auto"/>
                  </w:tcPr>
                  <w:p w14:paraId="6B9484E2"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69</w:t>
                    </w:r>
                  </w:p>
                </w:tc>
                <w:tc>
                  <w:tcPr>
                    <w:tcW w:w="2307" w:type="dxa"/>
                    <w:shd w:val="clear" w:color="auto" w:fill="auto"/>
                  </w:tcPr>
                  <w:p w14:paraId="3BBABC20"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23.39</w:t>
                    </w:r>
                  </w:p>
                </w:tc>
              </w:tr>
            </w:sdtContent>
          </w:sdt>
          <w:sdt>
            <w:sdtPr>
              <w:rPr>
                <w:rStyle w:val="5Char"/>
                <w:b w:val="0"/>
                <w:bCs w:val="0"/>
                <w:szCs w:val="21"/>
              </w:rPr>
              <w:alias w:val="研发人员教育程度情况明细"/>
              <w:tag w:val="_TUP_51f6b62a0c464ae7b3bd8c2423dbb5c3"/>
              <w:id w:val="1073317754"/>
              <w:lock w:val="sdtLocked"/>
              <w:placeholder>
                <w:docPart w:val="057EB621C0DC4E6884C3F1B5A72E55E7"/>
              </w:placeholder>
            </w:sdtPr>
            <w:sdtEndPr>
              <w:rPr>
                <w:rStyle w:val="5Char"/>
                <w:rFonts w:ascii="Times New Roman" w:hAnsi="Times New Roman" w:cs="Times New Roman"/>
                <w:b/>
              </w:rPr>
            </w:sdtEndPr>
            <w:sdtContent>
              <w:tr w:rsidR="00D21C1F" w14:paraId="6B296A47" w14:textId="77777777">
                <w:tc>
                  <w:tcPr>
                    <w:tcW w:w="4106" w:type="dxa"/>
                    <w:shd w:val="clear" w:color="auto" w:fill="auto"/>
                  </w:tcPr>
                  <w:p w14:paraId="1591B25A" w14:textId="77777777" w:rsidR="00D21C1F" w:rsidRDefault="00A42880">
                    <w:pPr>
                      <w:rPr>
                        <w:rStyle w:val="5Char"/>
                        <w:b w:val="0"/>
                        <w:bCs w:val="0"/>
                        <w:szCs w:val="21"/>
                      </w:rPr>
                    </w:pPr>
                    <w:r>
                      <w:t>本科</w:t>
                    </w:r>
                  </w:p>
                </w:tc>
                <w:tc>
                  <w:tcPr>
                    <w:tcW w:w="2410" w:type="dxa"/>
                    <w:shd w:val="clear" w:color="auto" w:fill="auto"/>
                  </w:tcPr>
                  <w:p w14:paraId="1173F500"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153</w:t>
                    </w:r>
                  </w:p>
                </w:tc>
                <w:tc>
                  <w:tcPr>
                    <w:tcW w:w="2307" w:type="dxa"/>
                    <w:shd w:val="clear" w:color="auto" w:fill="auto"/>
                  </w:tcPr>
                  <w:p w14:paraId="288AAD5C"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51.86</w:t>
                    </w:r>
                  </w:p>
                </w:tc>
              </w:tr>
            </w:sdtContent>
          </w:sdt>
          <w:sdt>
            <w:sdtPr>
              <w:rPr>
                <w:rStyle w:val="5Char"/>
                <w:b w:val="0"/>
                <w:bCs w:val="0"/>
                <w:szCs w:val="21"/>
              </w:rPr>
              <w:alias w:val="研发人员教育程度情况明细"/>
              <w:tag w:val="_TUP_51f6b62a0c464ae7b3bd8c2423dbb5c3"/>
              <w:id w:val="-1389796665"/>
              <w:lock w:val="sdtLocked"/>
              <w:placeholder>
                <w:docPart w:val="057EB621C0DC4E6884C3F1B5A72E55E7"/>
              </w:placeholder>
            </w:sdtPr>
            <w:sdtEndPr>
              <w:rPr>
                <w:rStyle w:val="5Char"/>
                <w:rFonts w:ascii="Times New Roman" w:hAnsi="Times New Roman" w:cs="Times New Roman"/>
                <w:b/>
              </w:rPr>
            </w:sdtEndPr>
            <w:sdtContent>
              <w:tr w:rsidR="00D21C1F" w14:paraId="65D4A19E" w14:textId="77777777">
                <w:tc>
                  <w:tcPr>
                    <w:tcW w:w="4106" w:type="dxa"/>
                    <w:shd w:val="clear" w:color="auto" w:fill="auto"/>
                  </w:tcPr>
                  <w:p w14:paraId="2EDF070D" w14:textId="77777777" w:rsidR="00D21C1F" w:rsidRDefault="00A42880">
                    <w:pPr>
                      <w:rPr>
                        <w:rStyle w:val="5Char"/>
                        <w:b w:val="0"/>
                        <w:bCs w:val="0"/>
                        <w:szCs w:val="21"/>
                      </w:rPr>
                    </w:pPr>
                    <w:r>
                      <w:t>职业学校</w:t>
                    </w:r>
                  </w:p>
                </w:tc>
                <w:tc>
                  <w:tcPr>
                    <w:tcW w:w="2410" w:type="dxa"/>
                    <w:shd w:val="clear" w:color="auto" w:fill="auto"/>
                  </w:tcPr>
                  <w:p w14:paraId="3D1E4EDF"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9</w:t>
                    </w:r>
                  </w:p>
                </w:tc>
                <w:tc>
                  <w:tcPr>
                    <w:tcW w:w="2307" w:type="dxa"/>
                    <w:shd w:val="clear" w:color="auto" w:fill="auto"/>
                  </w:tcPr>
                  <w:p w14:paraId="4EC48FFC"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3.05</w:t>
                    </w:r>
                  </w:p>
                </w:tc>
              </w:tr>
            </w:sdtContent>
          </w:sdt>
          <w:sdt>
            <w:sdtPr>
              <w:rPr>
                <w:rStyle w:val="5Char"/>
                <w:b w:val="0"/>
                <w:bCs w:val="0"/>
                <w:szCs w:val="21"/>
              </w:rPr>
              <w:alias w:val="研发人员教育程度情况明细"/>
              <w:tag w:val="_TUP_51f6b62a0c464ae7b3bd8c2423dbb5c3"/>
              <w:id w:val="-772557241"/>
              <w:lock w:val="sdtLocked"/>
              <w:placeholder>
                <w:docPart w:val="057EB621C0DC4E6884C3F1B5A72E55E7"/>
              </w:placeholder>
            </w:sdtPr>
            <w:sdtEndPr>
              <w:rPr>
                <w:rStyle w:val="5Char"/>
                <w:rFonts w:ascii="Times New Roman" w:hAnsi="Times New Roman" w:cs="Times New Roman"/>
                <w:b/>
              </w:rPr>
            </w:sdtEndPr>
            <w:sdtContent>
              <w:tr w:rsidR="00D21C1F" w14:paraId="4357838B" w14:textId="77777777">
                <w:tc>
                  <w:tcPr>
                    <w:tcW w:w="4106" w:type="dxa"/>
                    <w:shd w:val="clear" w:color="auto" w:fill="auto"/>
                  </w:tcPr>
                  <w:p w14:paraId="294919E5" w14:textId="77777777" w:rsidR="00D21C1F" w:rsidRDefault="00A42880">
                    <w:pPr>
                      <w:rPr>
                        <w:rStyle w:val="5Char"/>
                        <w:b w:val="0"/>
                        <w:bCs w:val="0"/>
                        <w:szCs w:val="21"/>
                      </w:rPr>
                    </w:pPr>
                    <w:r>
                      <w:t>大专</w:t>
                    </w:r>
                  </w:p>
                </w:tc>
                <w:tc>
                  <w:tcPr>
                    <w:tcW w:w="2410" w:type="dxa"/>
                    <w:shd w:val="clear" w:color="auto" w:fill="auto"/>
                  </w:tcPr>
                  <w:p w14:paraId="74732474"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53</w:t>
                    </w:r>
                  </w:p>
                </w:tc>
                <w:tc>
                  <w:tcPr>
                    <w:tcW w:w="2307" w:type="dxa"/>
                    <w:shd w:val="clear" w:color="auto" w:fill="auto"/>
                  </w:tcPr>
                  <w:p w14:paraId="004A742D"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17.97</w:t>
                    </w:r>
                  </w:p>
                </w:tc>
              </w:tr>
            </w:sdtContent>
          </w:sdt>
          <w:sdt>
            <w:sdtPr>
              <w:rPr>
                <w:rStyle w:val="5Char"/>
                <w:b w:val="0"/>
                <w:bCs w:val="0"/>
                <w:szCs w:val="21"/>
              </w:rPr>
              <w:alias w:val="研发人员教育程度情况明细"/>
              <w:tag w:val="_TUP_51f6b62a0c464ae7b3bd8c2423dbb5c3"/>
              <w:id w:val="423075429"/>
              <w:lock w:val="sdtLocked"/>
              <w:placeholder>
                <w:docPart w:val="8884F2889E494521A6CF8C3A2019BD0A"/>
              </w:placeholder>
            </w:sdtPr>
            <w:sdtEndPr>
              <w:rPr>
                <w:rStyle w:val="5Char"/>
                <w:rFonts w:ascii="Times New Roman" w:hAnsi="Times New Roman" w:cs="Times New Roman"/>
                <w:b/>
              </w:rPr>
            </w:sdtEndPr>
            <w:sdtContent>
              <w:tr w:rsidR="00D21C1F" w14:paraId="277FA9EF" w14:textId="77777777">
                <w:tc>
                  <w:tcPr>
                    <w:tcW w:w="4106" w:type="dxa"/>
                    <w:shd w:val="clear" w:color="auto" w:fill="auto"/>
                  </w:tcPr>
                  <w:p w14:paraId="0F5E30E2" w14:textId="77777777" w:rsidR="00D21C1F" w:rsidRDefault="00A42880">
                    <w:pPr>
                      <w:rPr>
                        <w:rStyle w:val="5Char"/>
                        <w:b w:val="0"/>
                        <w:bCs w:val="0"/>
                        <w:szCs w:val="21"/>
                      </w:rPr>
                    </w:pPr>
                    <w:r>
                      <w:t>高中及以下</w:t>
                    </w:r>
                  </w:p>
                </w:tc>
                <w:tc>
                  <w:tcPr>
                    <w:tcW w:w="2410" w:type="dxa"/>
                    <w:shd w:val="clear" w:color="auto" w:fill="auto"/>
                  </w:tcPr>
                  <w:p w14:paraId="2B86179C"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3</w:t>
                    </w:r>
                  </w:p>
                </w:tc>
                <w:tc>
                  <w:tcPr>
                    <w:tcW w:w="2307" w:type="dxa"/>
                    <w:shd w:val="clear" w:color="auto" w:fill="auto"/>
                  </w:tcPr>
                  <w:p w14:paraId="5244766A"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1.02</w:t>
                    </w:r>
                  </w:p>
                </w:tc>
              </w:tr>
            </w:sdtContent>
          </w:sdt>
          <w:tr w:rsidR="00D21C1F" w14:paraId="68EA1D1B" w14:textId="77777777">
            <w:tc>
              <w:tcPr>
                <w:tcW w:w="4106" w:type="dxa"/>
                <w:shd w:val="clear" w:color="auto" w:fill="auto"/>
              </w:tcPr>
              <w:sdt>
                <w:sdtPr>
                  <w:rPr>
                    <w:rStyle w:val="5Char"/>
                    <w:rFonts w:hint="eastAsia"/>
                    <w:b w:val="0"/>
                    <w:bCs w:val="0"/>
                    <w:szCs w:val="21"/>
                  </w:rPr>
                  <w:tag w:val="_PLD_f16d061b0b0c426bb82a671a68313ff5"/>
                  <w:id w:val="-594095985"/>
                  <w:lock w:val="sdtLocked"/>
                </w:sdtPr>
                <w:sdtEndPr>
                  <w:rPr>
                    <w:rStyle w:val="5Char"/>
                  </w:rPr>
                </w:sdtEndPr>
                <w:sdtContent>
                  <w:p w14:paraId="67A6FF1A" w14:textId="77777777" w:rsidR="00D21C1F" w:rsidRDefault="00A42880">
                    <w:pPr>
                      <w:rPr>
                        <w:rStyle w:val="5Char"/>
                        <w:b w:val="0"/>
                        <w:bCs w:val="0"/>
                        <w:szCs w:val="21"/>
                      </w:rPr>
                    </w:pPr>
                    <w:r>
                      <w:rPr>
                        <w:rStyle w:val="5Char"/>
                        <w:rFonts w:hint="eastAsia"/>
                        <w:b w:val="0"/>
                        <w:bCs w:val="0"/>
                        <w:szCs w:val="21"/>
                      </w:rPr>
                      <w:t>合计</w:t>
                    </w:r>
                  </w:p>
                </w:sdtContent>
              </w:sdt>
            </w:tc>
            <w:tc>
              <w:tcPr>
                <w:tcW w:w="2410" w:type="dxa"/>
                <w:shd w:val="clear" w:color="auto" w:fill="auto"/>
              </w:tcPr>
              <w:p w14:paraId="0C957B04" w14:textId="77777777" w:rsidR="00D21C1F" w:rsidRDefault="00A42880">
                <w:pPr>
                  <w:jc w:val="right"/>
                  <w:rPr>
                    <w:rStyle w:val="5Char"/>
                    <w:rFonts w:ascii="Times New Roman" w:hAnsi="Times New Roman" w:cs="Times New Roman"/>
                    <w:b w:val="0"/>
                    <w:bCs w:val="0"/>
                    <w:szCs w:val="21"/>
                  </w:rPr>
                </w:pPr>
                <w:r>
                  <w:rPr>
                    <w:rStyle w:val="5Char"/>
                    <w:rFonts w:ascii="Times New Roman" w:hAnsi="Times New Roman" w:cs="Times New Roman"/>
                    <w:b w:val="0"/>
                    <w:bCs w:val="0"/>
                    <w:szCs w:val="21"/>
                  </w:rPr>
                  <w:t>2</w:t>
                </w:r>
                <w:r>
                  <w:rPr>
                    <w:rStyle w:val="5Char"/>
                    <w:rFonts w:ascii="Times New Roman" w:hAnsi="Times New Roman" w:cs="Times New Roman"/>
                    <w:b w:val="0"/>
                    <w:szCs w:val="21"/>
                  </w:rPr>
                  <w:t>95</w:t>
                </w:r>
              </w:p>
            </w:tc>
            <w:tc>
              <w:tcPr>
                <w:tcW w:w="2307" w:type="dxa"/>
                <w:shd w:val="clear" w:color="auto" w:fill="auto"/>
              </w:tcPr>
              <w:p w14:paraId="5D9CF183" w14:textId="77777777" w:rsidR="00D21C1F" w:rsidRDefault="00A42880">
                <w:pPr>
                  <w:jc w:val="right"/>
                  <w:rPr>
                    <w:rStyle w:val="5Char"/>
                    <w:rFonts w:ascii="Times New Roman" w:hAnsi="Times New Roman" w:cs="Times New Roman"/>
                    <w:b w:val="0"/>
                    <w:bCs w:val="0"/>
                    <w:szCs w:val="21"/>
                  </w:rPr>
                </w:pPr>
                <w:r>
                  <w:rPr>
                    <w:rStyle w:val="5Char"/>
                    <w:rFonts w:ascii="Times New Roman" w:hAnsi="Times New Roman" w:cs="Times New Roman"/>
                    <w:b w:val="0"/>
                    <w:bCs w:val="0"/>
                    <w:szCs w:val="21"/>
                  </w:rPr>
                  <w:t>1</w:t>
                </w:r>
                <w:r>
                  <w:rPr>
                    <w:rStyle w:val="5Char"/>
                    <w:rFonts w:ascii="Times New Roman" w:hAnsi="Times New Roman" w:cs="Times New Roman"/>
                    <w:b w:val="0"/>
                    <w:szCs w:val="21"/>
                  </w:rPr>
                  <w:t>00</w:t>
                </w:r>
              </w:p>
            </w:tc>
          </w:tr>
          <w:tr w:rsidR="00D21C1F" w14:paraId="51CA8B10" w14:textId="77777777">
            <w:tc>
              <w:tcPr>
                <w:tcW w:w="8823" w:type="dxa"/>
                <w:gridSpan w:val="3"/>
                <w:shd w:val="clear" w:color="auto" w:fill="auto"/>
              </w:tcPr>
              <w:p w14:paraId="786B91F0" w14:textId="77777777" w:rsidR="00D21C1F" w:rsidRDefault="00045EC6">
                <w:pPr>
                  <w:ind w:firstLineChars="1700" w:firstLine="3570"/>
                  <w:rPr>
                    <w:rStyle w:val="5Char"/>
                    <w:b w:val="0"/>
                    <w:bCs w:val="0"/>
                    <w:szCs w:val="21"/>
                  </w:rPr>
                </w:pPr>
                <w:sdt>
                  <w:sdtPr>
                    <w:rPr>
                      <w:rStyle w:val="5Char"/>
                      <w:rFonts w:hint="eastAsia"/>
                      <w:b w:val="0"/>
                      <w:bCs w:val="0"/>
                      <w:szCs w:val="21"/>
                    </w:rPr>
                    <w:tag w:val="_PLD_7de742a459964137b2095fcaac303401"/>
                    <w:id w:val="1820225909"/>
                    <w:lock w:val="sdtLocked"/>
                  </w:sdtPr>
                  <w:sdtEndPr>
                    <w:rPr>
                      <w:rStyle w:val="5Char"/>
                    </w:rPr>
                  </w:sdtEndPr>
                  <w:sdtContent>
                    <w:r w:rsidR="00A42880">
                      <w:rPr>
                        <w:rStyle w:val="5Char"/>
                        <w:rFonts w:hint="eastAsia"/>
                        <w:b w:val="0"/>
                        <w:bCs w:val="0"/>
                        <w:szCs w:val="21"/>
                      </w:rPr>
                      <w:t>年龄结构</w:t>
                    </w:r>
                  </w:sdtContent>
                </w:sdt>
              </w:p>
            </w:tc>
          </w:tr>
          <w:tr w:rsidR="00D21C1F" w14:paraId="5058B5D2" w14:textId="77777777">
            <w:tc>
              <w:tcPr>
                <w:tcW w:w="4106" w:type="dxa"/>
                <w:shd w:val="clear" w:color="auto" w:fill="auto"/>
              </w:tcPr>
              <w:sdt>
                <w:sdtPr>
                  <w:rPr>
                    <w:rStyle w:val="5Char"/>
                    <w:rFonts w:hint="eastAsia"/>
                    <w:b w:val="0"/>
                    <w:bCs w:val="0"/>
                    <w:szCs w:val="21"/>
                  </w:rPr>
                  <w:tag w:val="_PLD_8ae67d163f4c4f97a94e9edaf591b2b0"/>
                  <w:id w:val="-242954141"/>
                  <w:lock w:val="sdtLocked"/>
                </w:sdtPr>
                <w:sdtEndPr>
                  <w:rPr>
                    <w:rStyle w:val="5Char"/>
                    <w:rFonts w:hint="default"/>
                  </w:rPr>
                </w:sdtEndPr>
                <w:sdtContent>
                  <w:p w14:paraId="6245CDC9" w14:textId="77777777" w:rsidR="00D21C1F" w:rsidRDefault="00A42880">
                    <w:pPr>
                      <w:jc w:val="center"/>
                      <w:rPr>
                        <w:rStyle w:val="5Char"/>
                        <w:b w:val="0"/>
                        <w:bCs w:val="0"/>
                        <w:szCs w:val="21"/>
                      </w:rPr>
                    </w:pPr>
                    <w:r>
                      <w:rPr>
                        <w:rStyle w:val="5Char"/>
                        <w:rFonts w:hint="eastAsia"/>
                        <w:b w:val="0"/>
                        <w:bCs w:val="0"/>
                        <w:szCs w:val="21"/>
                      </w:rPr>
                      <w:t>年龄</w:t>
                    </w:r>
                    <w:r>
                      <w:rPr>
                        <w:rStyle w:val="5Char"/>
                        <w:b w:val="0"/>
                        <w:bCs w:val="0"/>
                        <w:szCs w:val="21"/>
                      </w:rPr>
                      <w:t>区间</w:t>
                    </w:r>
                  </w:p>
                </w:sdtContent>
              </w:sdt>
            </w:tc>
            <w:tc>
              <w:tcPr>
                <w:tcW w:w="2410" w:type="dxa"/>
                <w:shd w:val="clear" w:color="auto" w:fill="auto"/>
              </w:tcPr>
              <w:sdt>
                <w:sdtPr>
                  <w:rPr>
                    <w:rStyle w:val="5Char"/>
                    <w:rFonts w:hint="eastAsia"/>
                    <w:b w:val="0"/>
                    <w:bCs w:val="0"/>
                    <w:szCs w:val="21"/>
                  </w:rPr>
                  <w:tag w:val="_PLD_e43716f5e5f84f759972232c3f45da77"/>
                  <w:id w:val="-1147672782"/>
                  <w:lock w:val="sdtLocked"/>
                </w:sdtPr>
                <w:sdtEndPr>
                  <w:rPr>
                    <w:rStyle w:val="5Char"/>
                    <w:rFonts w:hint="default"/>
                  </w:rPr>
                </w:sdtEndPr>
                <w:sdtContent>
                  <w:p w14:paraId="2AF48438" w14:textId="77777777" w:rsidR="00D21C1F" w:rsidRDefault="00A42880">
                    <w:pPr>
                      <w:jc w:val="center"/>
                      <w:rPr>
                        <w:rStyle w:val="5Char"/>
                        <w:b w:val="0"/>
                        <w:bCs w:val="0"/>
                        <w:szCs w:val="21"/>
                      </w:rPr>
                    </w:pPr>
                    <w:r>
                      <w:rPr>
                        <w:rStyle w:val="5Char"/>
                        <w:rFonts w:hint="eastAsia"/>
                        <w:b w:val="0"/>
                        <w:bCs w:val="0"/>
                        <w:szCs w:val="21"/>
                      </w:rPr>
                      <w:t>数量（人</w:t>
                    </w:r>
                    <w:r>
                      <w:rPr>
                        <w:rStyle w:val="5Char"/>
                        <w:b w:val="0"/>
                        <w:bCs w:val="0"/>
                        <w:szCs w:val="21"/>
                      </w:rPr>
                      <w:t>）</w:t>
                    </w:r>
                  </w:p>
                </w:sdtContent>
              </w:sdt>
            </w:tc>
            <w:tc>
              <w:tcPr>
                <w:tcW w:w="2307" w:type="dxa"/>
                <w:shd w:val="clear" w:color="auto" w:fill="auto"/>
              </w:tcPr>
              <w:sdt>
                <w:sdtPr>
                  <w:rPr>
                    <w:rStyle w:val="5Char"/>
                    <w:rFonts w:hint="eastAsia"/>
                    <w:b w:val="0"/>
                    <w:bCs w:val="0"/>
                    <w:szCs w:val="21"/>
                  </w:rPr>
                  <w:tag w:val="_PLD_f98e00970e554451bae7764721837814"/>
                  <w:id w:val="-1012833997"/>
                  <w:lock w:val="sdtLocked"/>
                </w:sdtPr>
                <w:sdtEndPr>
                  <w:rPr>
                    <w:rStyle w:val="5Char"/>
                  </w:rPr>
                </w:sdtEndPr>
                <w:sdtContent>
                  <w:p w14:paraId="018116EA" w14:textId="77777777" w:rsidR="00D21C1F" w:rsidRDefault="00A42880">
                    <w:pPr>
                      <w:jc w:val="center"/>
                      <w:rPr>
                        <w:rStyle w:val="5Char"/>
                        <w:b w:val="0"/>
                        <w:bCs w:val="0"/>
                        <w:szCs w:val="21"/>
                      </w:rPr>
                    </w:pPr>
                    <w:r>
                      <w:rPr>
                        <w:rStyle w:val="5Char"/>
                        <w:rFonts w:hint="eastAsia"/>
                        <w:b w:val="0"/>
                        <w:bCs w:val="0"/>
                        <w:szCs w:val="21"/>
                      </w:rPr>
                      <w:t>比例(</w:t>
                    </w:r>
                    <w:r>
                      <w:rPr>
                        <w:rStyle w:val="5Char"/>
                        <w:b w:val="0"/>
                        <w:bCs w:val="0"/>
                        <w:szCs w:val="21"/>
                      </w:rPr>
                      <w:t>%)</w:t>
                    </w:r>
                  </w:p>
                </w:sdtContent>
              </w:sdt>
            </w:tc>
          </w:tr>
          <w:sdt>
            <w:sdtPr>
              <w:rPr>
                <w:rStyle w:val="5Char"/>
                <w:b w:val="0"/>
                <w:bCs w:val="0"/>
                <w:szCs w:val="21"/>
              </w:rPr>
              <w:alias w:val="研发人员年龄结构情况明细"/>
              <w:tag w:val="_TUP_ba03b6704ae64d42893f5c677b2b5ac1"/>
              <w:id w:val="1113323449"/>
              <w:lock w:val="sdtLocked"/>
              <w:placeholder>
                <w:docPart w:val="E3EC7B045FAC4D77921EFAB1D0B41689"/>
              </w:placeholder>
            </w:sdtPr>
            <w:sdtEndPr>
              <w:rPr>
                <w:rStyle w:val="5Char"/>
                <w:rFonts w:ascii="Times New Roman" w:hAnsi="Times New Roman" w:cs="Times New Roman"/>
                <w:b/>
              </w:rPr>
            </w:sdtEndPr>
            <w:sdtContent>
              <w:tr w:rsidR="00D21C1F" w14:paraId="2474F5B7" w14:textId="77777777">
                <w:tc>
                  <w:tcPr>
                    <w:tcW w:w="4106" w:type="dxa"/>
                    <w:shd w:val="clear" w:color="auto" w:fill="auto"/>
                  </w:tcPr>
                  <w:p w14:paraId="76441693" w14:textId="77777777" w:rsidR="00D21C1F" w:rsidRDefault="00A42880">
                    <w:pPr>
                      <w:rPr>
                        <w:rStyle w:val="5Char"/>
                        <w:b w:val="0"/>
                        <w:bCs w:val="0"/>
                        <w:szCs w:val="21"/>
                      </w:rPr>
                    </w:pPr>
                    <w:r>
                      <w:rPr>
                        <w:rFonts w:ascii="Times New Roman" w:hAnsi="Times New Roman"/>
                      </w:rPr>
                      <w:t>51</w:t>
                    </w:r>
                    <w:r>
                      <w:t>岁以上</w:t>
                    </w:r>
                  </w:p>
                </w:tc>
                <w:tc>
                  <w:tcPr>
                    <w:tcW w:w="2410" w:type="dxa"/>
                    <w:shd w:val="clear" w:color="auto" w:fill="auto"/>
                  </w:tcPr>
                  <w:p w14:paraId="2D22F02D"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8</w:t>
                    </w:r>
                  </w:p>
                </w:tc>
                <w:tc>
                  <w:tcPr>
                    <w:tcW w:w="2307" w:type="dxa"/>
                    <w:shd w:val="clear" w:color="auto" w:fill="auto"/>
                  </w:tcPr>
                  <w:p w14:paraId="3064C20B"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2.71</w:t>
                    </w:r>
                  </w:p>
                </w:tc>
              </w:tr>
            </w:sdtContent>
          </w:sdt>
          <w:sdt>
            <w:sdtPr>
              <w:rPr>
                <w:rStyle w:val="5Char"/>
                <w:b w:val="0"/>
                <w:bCs w:val="0"/>
                <w:szCs w:val="21"/>
              </w:rPr>
              <w:alias w:val="研发人员年龄结构情况明细"/>
              <w:tag w:val="_TUP_ba03b6704ae64d42893f5c677b2b5ac1"/>
              <w:id w:val="-540664134"/>
              <w:lock w:val="sdtLocked"/>
              <w:placeholder>
                <w:docPart w:val="E3EC7B045FAC4D77921EFAB1D0B41689"/>
              </w:placeholder>
            </w:sdtPr>
            <w:sdtEndPr>
              <w:rPr>
                <w:rStyle w:val="5Char"/>
                <w:rFonts w:ascii="Times New Roman" w:hAnsi="Times New Roman" w:cs="Times New Roman"/>
                <w:b/>
              </w:rPr>
            </w:sdtEndPr>
            <w:sdtContent>
              <w:tr w:rsidR="00D21C1F" w14:paraId="3D8B1B1D" w14:textId="77777777">
                <w:tc>
                  <w:tcPr>
                    <w:tcW w:w="4106" w:type="dxa"/>
                    <w:shd w:val="clear" w:color="auto" w:fill="auto"/>
                  </w:tcPr>
                  <w:p w14:paraId="36033F87" w14:textId="77777777" w:rsidR="00D21C1F" w:rsidRDefault="00A42880">
                    <w:pPr>
                      <w:rPr>
                        <w:rStyle w:val="5Char"/>
                        <w:b w:val="0"/>
                        <w:bCs w:val="0"/>
                        <w:szCs w:val="21"/>
                      </w:rPr>
                    </w:pPr>
                    <w:r>
                      <w:rPr>
                        <w:rFonts w:ascii="Times New Roman" w:hAnsi="Times New Roman"/>
                      </w:rPr>
                      <w:t>41</w:t>
                    </w:r>
                    <w:r>
                      <w:t>-</w:t>
                    </w:r>
                    <w:r>
                      <w:rPr>
                        <w:rFonts w:ascii="Times New Roman" w:hAnsi="Times New Roman"/>
                      </w:rPr>
                      <w:t>50</w:t>
                    </w:r>
                    <w:r>
                      <w:t>岁</w:t>
                    </w:r>
                  </w:p>
                </w:tc>
                <w:tc>
                  <w:tcPr>
                    <w:tcW w:w="2410" w:type="dxa"/>
                    <w:shd w:val="clear" w:color="auto" w:fill="auto"/>
                  </w:tcPr>
                  <w:p w14:paraId="35A8F3E9"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26</w:t>
                    </w:r>
                  </w:p>
                </w:tc>
                <w:tc>
                  <w:tcPr>
                    <w:tcW w:w="2307" w:type="dxa"/>
                    <w:shd w:val="clear" w:color="auto" w:fill="auto"/>
                  </w:tcPr>
                  <w:p w14:paraId="2DA211A1"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8.81</w:t>
                    </w:r>
                  </w:p>
                </w:tc>
              </w:tr>
            </w:sdtContent>
          </w:sdt>
          <w:sdt>
            <w:sdtPr>
              <w:rPr>
                <w:rStyle w:val="5Char"/>
                <w:b w:val="0"/>
                <w:bCs w:val="0"/>
                <w:szCs w:val="21"/>
              </w:rPr>
              <w:alias w:val="研发人员年龄结构情况明细"/>
              <w:tag w:val="_TUP_ba03b6704ae64d42893f5c677b2b5ac1"/>
              <w:id w:val="45344748"/>
              <w:lock w:val="sdtLocked"/>
              <w:placeholder>
                <w:docPart w:val="8884F2889E494521A6CF8C3A2019BD0A"/>
              </w:placeholder>
            </w:sdtPr>
            <w:sdtEndPr>
              <w:rPr>
                <w:rStyle w:val="5Char"/>
                <w:rFonts w:ascii="Times New Roman" w:hAnsi="Times New Roman" w:cs="Times New Roman"/>
                <w:b/>
              </w:rPr>
            </w:sdtEndPr>
            <w:sdtContent>
              <w:tr w:rsidR="00D21C1F" w14:paraId="17D91522" w14:textId="77777777">
                <w:tc>
                  <w:tcPr>
                    <w:tcW w:w="4106" w:type="dxa"/>
                    <w:shd w:val="clear" w:color="auto" w:fill="auto"/>
                  </w:tcPr>
                  <w:p w14:paraId="1C9C0845" w14:textId="77777777" w:rsidR="00D21C1F" w:rsidRDefault="00A42880">
                    <w:pPr>
                      <w:rPr>
                        <w:rStyle w:val="5Char"/>
                        <w:b w:val="0"/>
                        <w:bCs w:val="0"/>
                        <w:szCs w:val="21"/>
                      </w:rPr>
                    </w:pPr>
                    <w:r>
                      <w:rPr>
                        <w:rFonts w:ascii="Times New Roman" w:hAnsi="Times New Roman"/>
                      </w:rPr>
                      <w:t>31</w:t>
                    </w:r>
                    <w:r>
                      <w:t>-</w:t>
                    </w:r>
                    <w:r>
                      <w:rPr>
                        <w:rFonts w:ascii="Times New Roman" w:hAnsi="Times New Roman"/>
                      </w:rPr>
                      <w:t>40</w:t>
                    </w:r>
                    <w:r>
                      <w:t>岁</w:t>
                    </w:r>
                  </w:p>
                </w:tc>
                <w:tc>
                  <w:tcPr>
                    <w:tcW w:w="2410" w:type="dxa"/>
                    <w:shd w:val="clear" w:color="auto" w:fill="auto"/>
                  </w:tcPr>
                  <w:p w14:paraId="28F605A7"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111</w:t>
                    </w:r>
                  </w:p>
                </w:tc>
                <w:tc>
                  <w:tcPr>
                    <w:tcW w:w="2307" w:type="dxa"/>
                    <w:shd w:val="clear" w:color="auto" w:fill="auto"/>
                  </w:tcPr>
                  <w:p w14:paraId="01438F32"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37.63</w:t>
                    </w:r>
                  </w:p>
                </w:tc>
              </w:tr>
            </w:sdtContent>
          </w:sdt>
          <w:sdt>
            <w:sdtPr>
              <w:rPr>
                <w:rStyle w:val="5Char"/>
                <w:b w:val="0"/>
                <w:bCs w:val="0"/>
                <w:szCs w:val="21"/>
              </w:rPr>
              <w:alias w:val="研发人员年龄结构情况明细"/>
              <w:tag w:val="_TUP_ba03b6704ae64d42893f5c677b2b5ac1"/>
              <w:id w:val="-1198624346"/>
              <w:lock w:val="sdtLocked"/>
              <w:placeholder>
                <w:docPart w:val="8884F2889E494521A6CF8C3A2019BD0A"/>
              </w:placeholder>
            </w:sdtPr>
            <w:sdtEndPr>
              <w:rPr>
                <w:rStyle w:val="5Char"/>
                <w:rFonts w:ascii="Times New Roman" w:hAnsi="Times New Roman" w:cs="Times New Roman"/>
                <w:b/>
              </w:rPr>
            </w:sdtEndPr>
            <w:sdtContent>
              <w:tr w:rsidR="00D21C1F" w14:paraId="0004FD5D" w14:textId="77777777">
                <w:tc>
                  <w:tcPr>
                    <w:tcW w:w="4106" w:type="dxa"/>
                    <w:shd w:val="clear" w:color="auto" w:fill="auto"/>
                  </w:tcPr>
                  <w:p w14:paraId="7E0C7405" w14:textId="77777777" w:rsidR="00D21C1F" w:rsidRDefault="00A42880">
                    <w:pPr>
                      <w:rPr>
                        <w:rStyle w:val="5Char"/>
                        <w:b w:val="0"/>
                        <w:bCs w:val="0"/>
                        <w:szCs w:val="21"/>
                      </w:rPr>
                    </w:pPr>
                    <w:r>
                      <w:rPr>
                        <w:rFonts w:ascii="Times New Roman" w:hAnsi="Times New Roman"/>
                      </w:rPr>
                      <w:t>30</w:t>
                    </w:r>
                    <w:r>
                      <w:t>岁以下</w:t>
                    </w:r>
                  </w:p>
                </w:tc>
                <w:tc>
                  <w:tcPr>
                    <w:tcW w:w="2410" w:type="dxa"/>
                    <w:shd w:val="clear" w:color="auto" w:fill="auto"/>
                  </w:tcPr>
                  <w:p w14:paraId="3ECBD1C6"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150</w:t>
                    </w:r>
                  </w:p>
                </w:tc>
                <w:tc>
                  <w:tcPr>
                    <w:tcW w:w="2307" w:type="dxa"/>
                    <w:shd w:val="clear" w:color="auto" w:fill="auto"/>
                  </w:tcPr>
                  <w:p w14:paraId="2C3B7505"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50.85</w:t>
                    </w:r>
                  </w:p>
                </w:tc>
              </w:tr>
            </w:sdtContent>
          </w:sdt>
          <w:tr w:rsidR="00D21C1F" w14:paraId="7DA380A6" w14:textId="77777777">
            <w:tc>
              <w:tcPr>
                <w:tcW w:w="4106" w:type="dxa"/>
                <w:shd w:val="clear" w:color="auto" w:fill="auto"/>
              </w:tcPr>
              <w:sdt>
                <w:sdtPr>
                  <w:rPr>
                    <w:rStyle w:val="5Char"/>
                    <w:rFonts w:hint="eastAsia"/>
                    <w:b w:val="0"/>
                    <w:bCs w:val="0"/>
                    <w:szCs w:val="21"/>
                  </w:rPr>
                  <w:tag w:val="_PLD_85fef01ffc2d431badad87087aecd36c"/>
                  <w:id w:val="1399551226"/>
                  <w:lock w:val="sdtLocked"/>
                </w:sdtPr>
                <w:sdtEndPr>
                  <w:rPr>
                    <w:rStyle w:val="5Char"/>
                  </w:rPr>
                </w:sdtEndPr>
                <w:sdtContent>
                  <w:p w14:paraId="5A788345" w14:textId="77777777" w:rsidR="00D21C1F" w:rsidRDefault="00A42880">
                    <w:pPr>
                      <w:rPr>
                        <w:rStyle w:val="5Char"/>
                        <w:b w:val="0"/>
                        <w:bCs w:val="0"/>
                        <w:szCs w:val="21"/>
                      </w:rPr>
                    </w:pPr>
                    <w:r>
                      <w:rPr>
                        <w:rStyle w:val="5Char"/>
                        <w:rFonts w:hint="eastAsia"/>
                        <w:b w:val="0"/>
                        <w:bCs w:val="0"/>
                        <w:szCs w:val="21"/>
                      </w:rPr>
                      <w:t>合计</w:t>
                    </w:r>
                  </w:p>
                </w:sdtContent>
              </w:sdt>
            </w:tc>
            <w:tc>
              <w:tcPr>
                <w:tcW w:w="2410" w:type="dxa"/>
                <w:shd w:val="clear" w:color="auto" w:fill="auto"/>
                <w:vAlign w:val="center"/>
              </w:tcPr>
              <w:p w14:paraId="5C50C788"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295</w:t>
                </w:r>
              </w:p>
            </w:tc>
            <w:tc>
              <w:tcPr>
                <w:tcW w:w="2307" w:type="dxa"/>
                <w:shd w:val="clear" w:color="auto" w:fill="auto"/>
                <w:vAlign w:val="center"/>
              </w:tcPr>
              <w:p w14:paraId="22038F77" w14:textId="77777777" w:rsidR="00D21C1F" w:rsidRDefault="00A42880">
                <w:pPr>
                  <w:jc w:val="right"/>
                  <w:rPr>
                    <w:rStyle w:val="5Char"/>
                    <w:rFonts w:ascii="Times New Roman" w:hAnsi="Times New Roman" w:cs="Times New Roman"/>
                    <w:bCs w:val="0"/>
                    <w:szCs w:val="21"/>
                  </w:rPr>
                </w:pPr>
                <w:r>
                  <w:rPr>
                    <w:rFonts w:ascii="Times New Roman" w:hAnsi="Times New Roman" w:cs="Times New Roman"/>
                  </w:rPr>
                  <w:t>100</w:t>
                </w:r>
              </w:p>
            </w:tc>
          </w:tr>
        </w:tbl>
        <w:p w14:paraId="048B57E5" w14:textId="77777777" w:rsidR="00D21C1F" w:rsidRDefault="00D21C1F">
          <w:pPr>
            <w:pStyle w:val="97"/>
          </w:pPr>
        </w:p>
        <w:p w14:paraId="70B79BC5" w14:textId="77777777" w:rsidR="00D21C1F" w:rsidRDefault="00045EC6">
          <w:pPr>
            <w:pStyle w:val="97"/>
          </w:pPr>
        </w:p>
      </w:sdtContent>
    </w:sdt>
    <w:bookmarkEnd w:id="48" w:displacedByCustomXml="next"/>
    <w:bookmarkStart w:id="49" w:name="_Hlk42790088" w:displacedByCustomXml="next"/>
    <w:sdt>
      <w:sdtPr>
        <w:rPr>
          <w:rFonts w:ascii="宋体" w:eastAsiaTheme="minorEastAsia" w:hAnsi="宋体" w:cs="宋体" w:hint="eastAsia"/>
          <w:b w:val="0"/>
          <w:bCs w:val="0"/>
          <w:kern w:val="0"/>
          <w:szCs w:val="24"/>
        </w:rPr>
        <w:alias w:val="模块:研发人员情况说明"/>
        <w:tag w:val="_SEC_2b0047910d6a4f4aab71492020e0a01c"/>
        <w:id w:val="1333955345"/>
        <w:lock w:val="sdtLocked"/>
        <w:placeholder>
          <w:docPart w:val="GBC22222222222222222222222222222"/>
        </w:placeholder>
      </w:sdtPr>
      <w:sdtEndPr/>
      <w:sdtContent>
        <w:p w14:paraId="4EDFBB84" w14:textId="77777777" w:rsidR="00D21C1F" w:rsidRDefault="00A42880">
          <w:pPr>
            <w:pStyle w:val="3"/>
            <w:numPr>
              <w:ilvl w:val="0"/>
              <w:numId w:val="11"/>
            </w:numPr>
            <w:rPr>
              <w:rFonts w:ascii="宋体" w:hAnsi="宋体"/>
            </w:rPr>
          </w:pPr>
          <w:r>
            <w:rPr>
              <w:rFonts w:ascii="宋体" w:hAnsi="宋体"/>
            </w:rPr>
            <w:t>其他说明</w:t>
          </w:r>
        </w:p>
        <w:sdt>
          <w:sdtPr>
            <w:alias w:val="是否适用：核心技术与研发进展的其他说明[双击切换]"/>
            <w:tag w:val="_GBC_dfb930818f264444a804ad9b6a1534d1"/>
            <w:id w:val="-2050284725"/>
            <w:lock w:val="sdtLocked"/>
            <w:placeholder>
              <w:docPart w:val="GBC22222222222222222222222222222"/>
            </w:placeholder>
          </w:sdtPr>
          <w:sdtEndPr/>
          <w:sdtContent>
            <w:p w14:paraId="7829A6F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0F76723" w14:textId="77777777" w:rsidR="00D21C1F" w:rsidRDefault="00045EC6">
          <w:pPr>
            <w:pStyle w:val="97"/>
          </w:pPr>
        </w:p>
      </w:sdtContent>
    </w:sdt>
    <w:bookmarkEnd w:id="49" w:displacedByCustomXml="next"/>
    <w:bookmarkStart w:id="50" w:name="_Hlk42850101" w:displacedByCustomXml="next"/>
    <w:bookmarkStart w:id="51" w:name="_Hlk25571647" w:displacedByCustomXml="next"/>
    <w:sdt>
      <w:sdtPr>
        <w:rPr>
          <w:b w:val="0"/>
          <w:bCs w:val="0"/>
        </w:rPr>
        <w:alias w:val="模块:核心竞争力分析"/>
        <w:tag w:val="_SEC_894a60b996734f37bd0eeeb512ab3f7a"/>
        <w:id w:val="-911619884"/>
        <w:lock w:val="sdtLocked"/>
        <w:placeholder>
          <w:docPart w:val="GBC22222222222222222222222222222"/>
        </w:placeholder>
      </w:sdtPr>
      <w:sdtEndPr>
        <w:rPr>
          <w:rFonts w:ascii="Times New Roman" w:hAnsi="Times New Roman" w:cs="Times New Roman"/>
        </w:rPr>
      </w:sdtEndPr>
      <w:sdtContent>
        <w:p w14:paraId="5E3C8B0C" w14:textId="77777777" w:rsidR="00D21C1F" w:rsidRDefault="00A42880">
          <w:pPr>
            <w:pStyle w:val="2"/>
            <w:numPr>
              <w:ilvl w:val="0"/>
              <w:numId w:val="7"/>
            </w:numPr>
            <w:rPr>
              <w:bCs w:val="0"/>
            </w:rPr>
          </w:pPr>
          <w:r>
            <w:rPr>
              <w:rFonts w:hint="eastAsia"/>
              <w:bCs w:val="0"/>
            </w:rPr>
            <w:t>报告期内核心竞争力分析</w:t>
          </w:r>
        </w:p>
        <w:p w14:paraId="53AF2366" w14:textId="77777777" w:rsidR="00D21C1F" w:rsidRDefault="00A42880">
          <w:pPr>
            <w:pStyle w:val="3"/>
            <w:numPr>
              <w:ilvl w:val="0"/>
              <w:numId w:val="12"/>
            </w:numPr>
            <w:rPr>
              <w:rFonts w:ascii="宋体" w:hAnsi="宋体"/>
            </w:rPr>
          </w:pPr>
          <w:r>
            <w:rPr>
              <w:rFonts w:ascii="宋体" w:hAnsi="宋体" w:hint="eastAsia"/>
            </w:rPr>
            <w:t>核心竞争力</w:t>
          </w:r>
          <w:r>
            <w:rPr>
              <w:rFonts w:ascii="宋体" w:hAnsi="宋体"/>
            </w:rPr>
            <w:t>分析</w:t>
          </w:r>
        </w:p>
        <w:sdt>
          <w:sdtPr>
            <w:alias w:val="是否适用：报告期内核心竞争力分析[双击切换]"/>
            <w:tag w:val="_GBC_e35c2d300efd4806a41a236bb894ef98"/>
            <w:id w:val="1474486182"/>
            <w:lock w:val="sdtLocked"/>
            <w:placeholder>
              <w:docPart w:val="GBC22222222222222222222222222222"/>
            </w:placeholder>
          </w:sdtPr>
          <w:sdtEndPr/>
          <w:sdtContent>
            <w:p w14:paraId="00EDEA4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报告期内核心竞争力分析"/>
            <w:tag w:val="_GBC_792fc85c6e76488c9abf835c437aa61f"/>
            <w:id w:val="1527449357"/>
            <w:lock w:val="sdtLocked"/>
            <w:placeholder>
              <w:docPart w:val="GBC22222222222222222222222222222"/>
            </w:placeholder>
          </w:sdtPr>
          <w:sdtEndPr>
            <w:rPr>
              <w:rFonts w:ascii="Times New Roman" w:hAnsi="Times New Roman" w:cs="Times New Roman"/>
            </w:rPr>
          </w:sdtEndPr>
          <w:sdtContent>
            <w:p w14:paraId="42427B8B" w14:textId="77777777" w:rsidR="00D21C1F" w:rsidRDefault="00A42880">
              <w:pPr>
                <w:spacing w:line="360" w:lineRule="auto"/>
                <w:ind w:firstLineChars="200" w:firstLine="420"/>
                <w:contextualSpacing/>
                <w:jc w:val="both"/>
              </w:pPr>
              <w:r>
                <w:t>公司是中国工业机器人第一梯队企业（</w:t>
              </w:r>
              <w:r>
                <w:rPr>
                  <w:rFonts w:hint="eastAsia"/>
                </w:rPr>
                <w:t>引自</w:t>
              </w:r>
              <w:r>
                <w:t>《中国机器人产业发展报告（</w:t>
              </w:r>
              <w:r>
                <w:rPr>
                  <w:rFonts w:ascii="Times New Roman" w:hAnsi="Times New Roman" w:hint="eastAsia"/>
                </w:rPr>
                <w:t>2019</w:t>
              </w:r>
              <w:r>
                <w:t>）》），初步具备与国际厂商竞争的能力，</w:t>
              </w:r>
              <w:r>
                <w:rPr>
                  <w:rFonts w:hint="eastAsia"/>
                </w:rPr>
                <w:t>与国内竞争对手比，</w:t>
              </w:r>
              <w:r>
                <w:t>公司</w:t>
              </w:r>
              <w:r>
                <w:rPr>
                  <w:rFonts w:hint="eastAsia"/>
                </w:rPr>
                <w:t>核心竞争力</w:t>
              </w:r>
              <w:r>
                <w:t>如下：</w:t>
              </w:r>
            </w:p>
            <w:p w14:paraId="0B8A48BC" w14:textId="77777777" w:rsidR="00D21C1F" w:rsidRDefault="00A42880">
              <w:pPr>
                <w:pStyle w:val="aff4"/>
                <w:numPr>
                  <w:ilvl w:val="0"/>
                  <w:numId w:val="13"/>
                </w:numPr>
                <w:spacing w:line="360" w:lineRule="auto"/>
                <w:ind w:left="0" w:firstLineChars="0" w:firstLine="200"/>
                <w:contextualSpacing/>
                <w:rPr>
                  <w:b/>
                  <w:bCs/>
                </w:rPr>
              </w:pPr>
              <w:r>
                <w:rPr>
                  <w:rFonts w:hint="eastAsia"/>
                  <w:b/>
                  <w:bCs/>
                </w:rPr>
                <w:t>全产业链布局，具有协同效应</w:t>
              </w:r>
            </w:p>
            <w:p w14:paraId="53150CF1" w14:textId="77777777" w:rsidR="00D21C1F" w:rsidRDefault="00A42880">
              <w:pPr>
                <w:spacing w:line="360" w:lineRule="auto"/>
                <w:ind w:firstLineChars="200" w:firstLine="420"/>
                <w:contextualSpacing/>
                <w:jc w:val="both"/>
              </w:pPr>
              <w:r>
                <w:rPr>
                  <w:rFonts w:hint="eastAsia"/>
                </w:rPr>
                <w:t>公司是少数国产机器人企业同时布局核心零部件、整机制造、系统集成的厂商，同时产品线覆盖中高端制造业工艺流程的铸造、切割、焊接、抛光打磨、喷涂等主要环节。除此之外，公司是国内厂商中少数布局下一代智能工业机器人及系统（已获得工信部立项）等世界前沿性工业机器人与智能制造升级技术的厂商。</w:t>
              </w:r>
            </w:p>
            <w:p w14:paraId="699E5FAD" w14:textId="77777777" w:rsidR="00D21C1F" w:rsidRDefault="00A42880">
              <w:pPr>
                <w:spacing w:line="360" w:lineRule="auto"/>
                <w:ind w:firstLine="200"/>
                <w:contextualSpacing/>
                <w:jc w:val="both"/>
              </w:pPr>
              <w:r>
                <w:rPr>
                  <w:noProof/>
                </w:rPr>
                <w:lastRenderedPageBreak/>
                <w:drawing>
                  <wp:inline distT="0" distB="0" distL="0" distR="0" wp14:anchorId="6A1DC68D" wp14:editId="13571007">
                    <wp:extent cx="5274310" cy="172783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5274310" cy="1728372"/>
                            </a:xfrm>
                            <a:prstGeom prst="rect">
                              <a:avLst/>
                            </a:prstGeom>
                          </pic:spPr>
                        </pic:pic>
                      </a:graphicData>
                    </a:graphic>
                  </wp:inline>
                </w:drawing>
              </w:r>
            </w:p>
            <w:p w14:paraId="7BC95FCA" w14:textId="77777777" w:rsidR="00D21C1F" w:rsidRDefault="00D21C1F">
              <w:pPr>
                <w:spacing w:line="360" w:lineRule="auto"/>
                <w:ind w:firstLineChars="200" w:firstLine="420"/>
                <w:contextualSpacing/>
                <w:jc w:val="both"/>
              </w:pPr>
            </w:p>
            <w:p w14:paraId="776CB075" w14:textId="77777777" w:rsidR="00D21C1F" w:rsidRDefault="00A42880">
              <w:pPr>
                <w:spacing w:line="360" w:lineRule="auto"/>
                <w:ind w:firstLineChars="200" w:firstLine="420"/>
                <w:contextualSpacing/>
                <w:jc w:val="both"/>
              </w:pPr>
              <w:r>
                <w:t>公司上述布局，既保证重大核心技术实现自主可控，从而实现对制造业深度融合，提升盈利水平，又保证了对从驱动控制，到云平台等影响未来核心竞争力的关键技术的掌握。</w:t>
              </w:r>
            </w:p>
            <w:p w14:paraId="1FBA5DE2" w14:textId="77777777" w:rsidR="00D21C1F" w:rsidRDefault="00A42880">
              <w:pPr>
                <w:pStyle w:val="aff4"/>
                <w:numPr>
                  <w:ilvl w:val="0"/>
                  <w:numId w:val="13"/>
                </w:numPr>
                <w:spacing w:line="360" w:lineRule="auto"/>
                <w:ind w:left="0" w:firstLineChars="0" w:firstLine="200"/>
                <w:contextualSpacing/>
                <w:rPr>
                  <w:b/>
                  <w:bCs/>
                </w:rPr>
              </w:pPr>
              <w:r>
                <w:rPr>
                  <w:rFonts w:hint="eastAsia"/>
                  <w:b/>
                  <w:bCs/>
                </w:rPr>
                <w:t>行业领先的核心技术</w:t>
              </w:r>
            </w:p>
            <w:p w14:paraId="4BB077CD" w14:textId="77777777" w:rsidR="00D21C1F" w:rsidRDefault="00A42880">
              <w:pPr>
                <w:spacing w:line="360" w:lineRule="auto"/>
                <w:ind w:firstLineChars="200" w:firstLine="420"/>
                <w:contextualSpacing/>
                <w:jc w:val="both"/>
              </w:pPr>
              <w:r>
                <w:t>经过多年持续独立研发创新，公司突破多项国外技术垄断，形成了关键核心技术，获得国家科技进步二等奖（作为奇瑞汽车下属项目），研制国内首台重载</w:t>
              </w:r>
              <w:r>
                <w:rPr>
                  <w:rFonts w:ascii="Times New Roman" w:hAnsi="Times New Roman"/>
                </w:rPr>
                <w:t>165</w:t>
              </w:r>
              <w:r>
                <w:t>公斤机器人。</w:t>
              </w:r>
            </w:p>
            <w:p w14:paraId="4BF0BF00" w14:textId="1E99B437" w:rsidR="00D21C1F" w:rsidRDefault="00A42880">
              <w:pPr>
                <w:spacing w:line="360" w:lineRule="auto"/>
                <w:ind w:firstLineChars="200" w:firstLine="420"/>
                <w:contextualSpacing/>
                <w:jc w:val="both"/>
              </w:pPr>
              <w:r>
                <w:rPr>
                  <w:rFonts w:hint="eastAsia"/>
                </w:rPr>
                <w:t>在自研的基础上公司</w:t>
              </w:r>
              <w:r>
                <w:rPr>
                  <w:rFonts w:hint="eastAsia"/>
                  <w:szCs w:val="21"/>
                </w:rPr>
                <w:t>持续加强</w:t>
              </w:r>
              <w:r w:rsidR="00D07E51">
                <w:rPr>
                  <w:rFonts w:hint="eastAsia"/>
                  <w:szCs w:val="21"/>
                </w:rPr>
                <w:t>境外</w:t>
              </w:r>
              <w:r>
                <w:rPr>
                  <w:rFonts w:hint="eastAsia"/>
                  <w:szCs w:val="21"/>
                </w:rPr>
                <w:t>子公司与国内子公司之间技术和市场的协同和合作，实现</w:t>
              </w:r>
              <w:r w:rsidR="00D07E51">
                <w:rPr>
                  <w:rFonts w:hint="eastAsia"/>
                  <w:szCs w:val="21"/>
                </w:rPr>
                <w:t>境外</w:t>
              </w:r>
              <w:r>
                <w:rPr>
                  <w:rFonts w:hint="eastAsia"/>
                  <w:szCs w:val="21"/>
                </w:rPr>
                <w:t>关键技术在中国的消化吸收再创新，实现</w:t>
              </w:r>
              <w:r w:rsidR="00D07E51">
                <w:rPr>
                  <w:rFonts w:hint="eastAsia"/>
                  <w:szCs w:val="21"/>
                </w:rPr>
                <w:t>境外</w:t>
              </w:r>
              <w:r>
                <w:rPr>
                  <w:rFonts w:hint="eastAsia"/>
                  <w:szCs w:val="21"/>
                </w:rPr>
                <w:t>子公司灯塔客户在中国市场的协同。</w:t>
              </w:r>
              <w:r>
                <w:rPr>
                  <w:rFonts w:hint="eastAsia"/>
                </w:rPr>
                <w:t>公司通过消化吸收</w:t>
              </w:r>
              <w:r w:rsidR="00D07E51">
                <w:rPr>
                  <w:rFonts w:hint="eastAsia"/>
                </w:rPr>
                <w:t>境外</w:t>
              </w:r>
              <w:r>
                <w:rPr>
                  <w:rFonts w:hint="eastAsia"/>
                </w:rPr>
                <w:t>关键技术，</w:t>
              </w:r>
              <w:r>
                <w:t>形成了“面向手持示教的结构设计技术”和“机器人智能喷涂系统成套解决方案”</w:t>
              </w:r>
              <w:r>
                <w:rPr>
                  <w:rFonts w:hint="eastAsia"/>
                </w:rPr>
                <w:t>，</w:t>
              </w:r>
              <w:r>
                <w:t>“智能抛光和打磨系统解决方案”</w:t>
              </w:r>
              <w:r>
                <w:rPr>
                  <w:rFonts w:hint="eastAsia"/>
                </w:rPr>
                <w:t>，</w:t>
              </w:r>
              <w:r>
                <w:t>“机器人焊装线体全流程虚拟调试技术”和“基于多</w:t>
              </w:r>
              <w:r>
                <w:rPr>
                  <w:rFonts w:ascii="Times New Roman" w:hAnsi="Times New Roman"/>
                </w:rPr>
                <w:t>AGV</w:t>
              </w:r>
              <w:r>
                <w:t>调度超柔性焊装技术”等相关核心技术，“高性能机器人控制与驱动硬件技术”，“实时操作系统内核（</w:t>
              </w:r>
              <w:r>
                <w:rPr>
                  <w:rFonts w:ascii="Times New Roman" w:hAnsi="Times New Roman"/>
                </w:rPr>
                <w:t>RTE</w:t>
              </w:r>
              <w:r>
                <w:t>）和第三方集成开发平台（</w:t>
              </w:r>
              <w:r>
                <w:rPr>
                  <w:rFonts w:ascii="Times New Roman" w:hAnsi="Times New Roman"/>
                </w:rPr>
                <w:t>RDE</w:t>
              </w:r>
              <w:r>
                <w:t>）”等核心技术</w:t>
              </w:r>
              <w:r>
                <w:rPr>
                  <w:rFonts w:hint="eastAsia"/>
                </w:rPr>
                <w:t>。</w:t>
              </w:r>
            </w:p>
            <w:p w14:paraId="6DDC406F" w14:textId="77777777" w:rsidR="00D21C1F" w:rsidRDefault="00A42880">
              <w:pPr>
                <w:spacing w:line="360" w:lineRule="auto"/>
                <w:ind w:firstLineChars="200" w:firstLine="420"/>
                <w:contextualSpacing/>
                <w:jc w:val="both"/>
              </w:pPr>
              <w:r>
                <w:t>经过多年的研发积累以及消化吸收，公司形成了机器人正向设计技术、机器人运动控制技术、机器人智能化及系统集成技术三大类核心技术。截至</w:t>
              </w:r>
              <w:r>
                <w:rPr>
                  <w:rFonts w:hint="eastAsia"/>
                </w:rPr>
                <w:t>报告期末</w:t>
              </w:r>
              <w:r>
                <w:t>，</w:t>
              </w:r>
              <w:r>
                <w:rPr>
                  <w:rFonts w:hint="eastAsia"/>
                </w:rPr>
                <w:t>公司拥有境内外专利</w:t>
              </w:r>
              <w:r>
                <w:rPr>
                  <w:rFonts w:ascii="Times New Roman" w:hAnsi="Times New Roman"/>
                </w:rPr>
                <w:t>298</w:t>
              </w:r>
              <w:r>
                <w:t>项</w:t>
              </w:r>
              <w:r>
                <w:rPr>
                  <w:rFonts w:hint="eastAsia"/>
                </w:rPr>
                <w:t>（包括发明专利</w:t>
              </w:r>
              <w:r>
                <w:rPr>
                  <w:rFonts w:ascii="Times New Roman" w:hAnsi="Times New Roman"/>
                </w:rPr>
                <w:t>42</w:t>
              </w:r>
              <w:r>
                <w:t>项</w:t>
              </w:r>
              <w:r>
                <w:rPr>
                  <w:rFonts w:hint="eastAsia"/>
                </w:rPr>
                <w:t>）及软件著作权</w:t>
              </w:r>
              <w:r>
                <w:rPr>
                  <w:rFonts w:ascii="Times New Roman" w:hAnsi="Times New Roman"/>
                </w:rPr>
                <w:t>30</w:t>
              </w:r>
              <w:r>
                <w:rPr>
                  <w:rFonts w:hint="eastAsia"/>
                </w:rPr>
                <w:t>项。</w:t>
              </w:r>
            </w:p>
            <w:p w14:paraId="35A0CF92" w14:textId="77777777" w:rsidR="00D21C1F" w:rsidRDefault="00A42880">
              <w:pPr>
                <w:spacing w:line="360" w:lineRule="auto"/>
                <w:ind w:firstLineChars="200" w:firstLine="420"/>
                <w:contextualSpacing/>
                <w:jc w:val="both"/>
              </w:pPr>
              <w:r>
                <w:rPr>
                  <w:rFonts w:hint="eastAsia"/>
                  <w:szCs w:val="21"/>
                </w:rPr>
                <w:t>公司主力机型为</w:t>
              </w:r>
              <w:r>
                <w:rPr>
                  <w:rFonts w:ascii="Times New Roman" w:hAnsi="Times New Roman"/>
                  <w:szCs w:val="21"/>
                </w:rPr>
                <w:t>3</w:t>
              </w:r>
              <w:r>
                <w:rPr>
                  <w:szCs w:val="21"/>
                </w:rPr>
                <w:t>公斤负载、</w:t>
              </w:r>
              <w:r>
                <w:rPr>
                  <w:rFonts w:ascii="Times New Roman" w:hAnsi="Times New Roman"/>
                  <w:szCs w:val="21"/>
                </w:rPr>
                <w:t>7</w:t>
              </w:r>
              <w:r>
                <w:rPr>
                  <w:szCs w:val="21"/>
                </w:rPr>
                <w:t>公斤负载</w:t>
              </w:r>
              <w:r>
                <w:rPr>
                  <w:rFonts w:hint="eastAsia"/>
                  <w:szCs w:val="21"/>
                </w:rPr>
                <w:t>、</w:t>
              </w:r>
              <w:r>
                <w:rPr>
                  <w:rFonts w:ascii="Times New Roman" w:hAnsi="Times New Roman" w:hint="eastAsia"/>
                  <w:szCs w:val="21"/>
                </w:rPr>
                <w:t>1</w:t>
              </w:r>
              <w:r>
                <w:rPr>
                  <w:rFonts w:ascii="Times New Roman" w:hAnsi="Times New Roman"/>
                  <w:szCs w:val="21"/>
                </w:rPr>
                <w:t>5</w:t>
              </w:r>
              <w:r>
                <w:rPr>
                  <w:rFonts w:hint="eastAsia"/>
                  <w:szCs w:val="21"/>
                </w:rPr>
                <w:t>公斤负载、</w:t>
              </w:r>
              <w:r>
                <w:rPr>
                  <w:rFonts w:ascii="Times New Roman" w:hAnsi="Times New Roman"/>
                  <w:szCs w:val="21"/>
                </w:rPr>
                <w:t>20</w:t>
              </w:r>
              <w:r>
                <w:rPr>
                  <w:szCs w:val="21"/>
                </w:rPr>
                <w:t>公斤负载</w:t>
              </w:r>
              <w:r>
                <w:rPr>
                  <w:rFonts w:hint="eastAsia"/>
                  <w:szCs w:val="21"/>
                </w:rPr>
                <w:t>、</w:t>
              </w:r>
              <w:r>
                <w:rPr>
                  <w:rFonts w:ascii="Times New Roman" w:hAnsi="Times New Roman" w:hint="eastAsia"/>
                  <w:szCs w:val="21"/>
                </w:rPr>
                <w:t>5</w:t>
              </w:r>
              <w:r>
                <w:rPr>
                  <w:rFonts w:ascii="Times New Roman" w:hAnsi="Times New Roman"/>
                  <w:szCs w:val="21"/>
                </w:rPr>
                <w:t>0</w:t>
              </w:r>
              <w:r>
                <w:rPr>
                  <w:rFonts w:hint="eastAsia"/>
                  <w:szCs w:val="21"/>
                </w:rPr>
                <w:t>公斤负载和</w:t>
              </w:r>
              <w:r>
                <w:rPr>
                  <w:rFonts w:ascii="Times New Roman" w:hAnsi="Times New Roman" w:hint="eastAsia"/>
                  <w:szCs w:val="21"/>
                </w:rPr>
                <w:t>2</w:t>
              </w:r>
              <w:r>
                <w:rPr>
                  <w:rFonts w:ascii="Times New Roman" w:hAnsi="Times New Roman"/>
                  <w:szCs w:val="21"/>
                </w:rPr>
                <w:t>10</w:t>
              </w:r>
              <w:r>
                <w:rPr>
                  <w:rFonts w:hint="eastAsia"/>
                  <w:szCs w:val="21"/>
                </w:rPr>
                <w:t>公斤负载</w:t>
              </w:r>
              <w:r>
                <w:rPr>
                  <w:szCs w:val="21"/>
                </w:rPr>
                <w:t>。</w:t>
              </w:r>
              <w:r>
                <w:t>对于线性轨迹精度、线性轨迹重复性两个核心性能指标，与国际知名品牌处于同一水平；公司喷涂机器人是国内</w:t>
              </w:r>
              <w:r>
                <w:rPr>
                  <w:rFonts w:hint="eastAsia"/>
                </w:rPr>
                <w:t>首个</w:t>
              </w:r>
              <w:r>
                <w:t>获得欧盟</w:t>
              </w:r>
              <w:r>
                <w:rPr>
                  <w:rFonts w:ascii="Times New Roman" w:hAnsi="Times New Roman"/>
                </w:rPr>
                <w:t>ATEX</w:t>
              </w:r>
              <w:r>
                <w:t>防爆认证证书产品。智能喷涂解决方案、智能抛光打磨方案国内领先，基于多</w:t>
              </w:r>
              <w:r>
                <w:rPr>
                  <w:rFonts w:ascii="Times New Roman" w:hAnsi="Times New Roman"/>
                </w:rPr>
                <w:t>AGV</w:t>
              </w:r>
              <w:r>
                <w:t>调度超柔性焊装技术具有突破意义。</w:t>
              </w:r>
            </w:p>
            <w:p w14:paraId="7547E795" w14:textId="77777777" w:rsidR="00D21C1F" w:rsidRDefault="00A42880">
              <w:pPr>
                <w:pStyle w:val="aff4"/>
                <w:numPr>
                  <w:ilvl w:val="0"/>
                  <w:numId w:val="13"/>
                </w:numPr>
                <w:spacing w:line="360" w:lineRule="auto"/>
                <w:ind w:left="0" w:firstLineChars="0" w:firstLine="200"/>
                <w:contextualSpacing/>
                <w:rPr>
                  <w:b/>
                  <w:bCs/>
                </w:rPr>
              </w:pPr>
              <w:r>
                <w:rPr>
                  <w:b/>
                  <w:bCs/>
                </w:rPr>
                <w:t>研发能力</w:t>
              </w:r>
              <w:r>
                <w:rPr>
                  <w:rFonts w:hint="eastAsia"/>
                  <w:b/>
                  <w:bCs/>
                </w:rPr>
                <w:t>优势</w:t>
              </w:r>
            </w:p>
            <w:p w14:paraId="628C2D46" w14:textId="77777777" w:rsidR="00D21C1F" w:rsidRDefault="00A42880">
              <w:pPr>
                <w:spacing w:line="360" w:lineRule="auto"/>
                <w:ind w:firstLineChars="200" w:firstLine="420"/>
                <w:contextualSpacing/>
                <w:jc w:val="both"/>
                <w:rPr>
                  <w:rFonts w:ascii="Times New Roman" w:hAnsi="Times New Roman" w:cs="Times New Roman"/>
                  <w:sz w:val="24"/>
                </w:rPr>
              </w:pPr>
              <w:r>
                <w:t>公司技术中心</w:t>
              </w:r>
              <w:r>
                <w:rPr>
                  <w:rFonts w:ascii="Times New Roman" w:hAnsi="Times New Roman"/>
                </w:rPr>
                <w:t>2019</w:t>
              </w:r>
              <w:r>
                <w:t>年被认定为“国家企业技术中心”。公司自成立以来已形成了核心的研发团队，公司所处行业的研发工程师需要对运动控制器技术、离线编程和仿真技术、本体优化技术、核心零部件制造技术、人工智能技术深入理解，同时需要拥有长期的下游行业应用积累。截至</w:t>
              </w:r>
              <w:r>
                <w:rPr>
                  <w:rFonts w:hint="eastAsia"/>
                </w:rPr>
                <w:t>报告期末</w:t>
              </w:r>
              <w:r>
                <w:t>，公司拥有研发人员</w:t>
              </w:r>
              <w:r>
                <w:rPr>
                  <w:rFonts w:ascii="Times New Roman" w:hAnsi="Times New Roman"/>
                </w:rPr>
                <w:t>295</w:t>
              </w:r>
              <w:r>
                <w:t>名，在公司总员工人数中的占比为</w:t>
              </w:r>
              <w:r>
                <w:rPr>
                  <w:rFonts w:ascii="Times New Roman" w:hAnsi="Times New Roman"/>
                </w:rPr>
                <w:t>21.03</w:t>
              </w:r>
              <w:r>
                <w:t>%，公司核心技术人员均有</w:t>
              </w:r>
              <w:r>
                <w:rPr>
                  <w:rFonts w:ascii="Times New Roman" w:hAnsi="Times New Roman"/>
                </w:rPr>
                <w:t>10</w:t>
              </w:r>
              <w:r>
                <w:t>年以上行业积累。</w:t>
              </w:r>
            </w:p>
            <w:p w14:paraId="36B1B0DE" w14:textId="77777777" w:rsidR="00D21C1F" w:rsidRDefault="00A42880">
              <w:pPr>
                <w:spacing w:line="360" w:lineRule="auto"/>
                <w:ind w:firstLineChars="200" w:firstLine="420"/>
                <w:contextualSpacing/>
                <w:jc w:val="both"/>
              </w:pPr>
              <w:r>
                <w:t>公司在中国、意大利分别设立研发中心，并与哈工大、中科大等全球研究机构达成战略合作。</w:t>
              </w:r>
            </w:p>
            <w:p w14:paraId="59DB17B4" w14:textId="702597D7" w:rsidR="00D21C1F" w:rsidRDefault="00A42880">
              <w:pPr>
                <w:spacing w:line="360" w:lineRule="auto"/>
                <w:ind w:firstLineChars="200" w:firstLine="420"/>
                <w:contextualSpacing/>
                <w:jc w:val="both"/>
              </w:pPr>
              <w:r>
                <w:lastRenderedPageBreak/>
                <w:t>公司是国家机器人产业区域集聚发展试点重点单位，机器人国家标准起草单位，主持、承担或参与工信部、科技部国家科技重大专项</w:t>
              </w:r>
              <w:r>
                <w:rPr>
                  <w:rFonts w:ascii="Times New Roman" w:hAnsi="Times New Roman"/>
                </w:rPr>
                <w:t>2</w:t>
              </w:r>
              <w:r>
                <w:t>项、</w:t>
              </w:r>
              <w:r>
                <w:rPr>
                  <w:rFonts w:ascii="Times New Roman" w:hAnsi="Times New Roman"/>
                </w:rPr>
                <w:t>863</w:t>
              </w:r>
              <w:r>
                <w:t>计划项目</w:t>
              </w:r>
              <w:r>
                <w:rPr>
                  <w:rFonts w:ascii="Times New Roman" w:hAnsi="Times New Roman"/>
                </w:rPr>
                <w:t>5</w:t>
              </w:r>
              <w:r>
                <w:t>项、十三五国家重点研发计划</w:t>
              </w:r>
              <w:r w:rsidR="00717BCE">
                <w:rPr>
                  <w:rFonts w:ascii="Times New Roman" w:hAnsi="Times New Roman"/>
                </w:rPr>
                <w:t>18</w:t>
              </w:r>
              <w:r>
                <w:rPr>
                  <w:rFonts w:hint="eastAsia"/>
                </w:rPr>
                <w:t>项</w:t>
              </w:r>
              <w:r>
                <w:t>，国家智能制造装备发展专项</w:t>
              </w:r>
              <w:r>
                <w:rPr>
                  <w:rFonts w:ascii="Times New Roman" w:hAnsi="Times New Roman"/>
                </w:rPr>
                <w:t>9</w:t>
              </w:r>
              <w:r>
                <w:t>项，参与国家科技支撑计划</w:t>
              </w:r>
              <w:r>
                <w:rPr>
                  <w:rFonts w:ascii="Times New Roman" w:hAnsi="Times New Roman"/>
                </w:rPr>
                <w:t>1</w:t>
              </w:r>
              <w:r>
                <w:t>项，参与制定机器人行业国家标准、行业和团体标准</w:t>
              </w:r>
              <w:r w:rsidR="00624B6F">
                <w:rPr>
                  <w:rFonts w:ascii="Times New Roman" w:hAnsi="Times New Roman"/>
                </w:rPr>
                <w:t>10</w:t>
              </w:r>
              <w:r>
                <w:t>项，建有院士工作站和博士后流动站。</w:t>
              </w:r>
            </w:p>
            <w:p w14:paraId="4529332D" w14:textId="77777777" w:rsidR="00D21C1F" w:rsidRDefault="00A42880">
              <w:pPr>
                <w:spacing w:line="360" w:lineRule="auto"/>
                <w:ind w:firstLineChars="200" w:firstLine="420"/>
                <w:contextualSpacing/>
                <w:jc w:val="both"/>
              </w:pPr>
              <w:r>
                <w:rPr>
                  <w:rFonts w:hint="eastAsia"/>
                </w:rPr>
                <w:t>公司积极布局机器人技术与物联网、工业互联网、大数据、人工智能技术的结合，发挥自身研发实力，发挥公司工艺云发明专利（全称：一种工业机器人工艺云系统及其工作方法，荣获中国专利优秀奖）价值，推动具有感知、学习、决策和执行能力的智能机器人的发展。</w:t>
              </w:r>
            </w:p>
            <w:p w14:paraId="589D1692" w14:textId="77777777" w:rsidR="00D21C1F" w:rsidRDefault="00A42880">
              <w:pPr>
                <w:pStyle w:val="aff4"/>
                <w:numPr>
                  <w:ilvl w:val="0"/>
                  <w:numId w:val="13"/>
                </w:numPr>
                <w:spacing w:line="360" w:lineRule="auto"/>
                <w:ind w:left="0" w:firstLineChars="0" w:firstLine="200"/>
                <w:contextualSpacing/>
                <w:rPr>
                  <w:b/>
                  <w:bCs/>
                </w:rPr>
              </w:pPr>
              <w:r>
                <w:rPr>
                  <w:b/>
                  <w:bCs/>
                </w:rPr>
                <w:t>客户资源和市场优势</w:t>
              </w:r>
            </w:p>
            <w:p w14:paraId="1D77B4FC" w14:textId="77777777" w:rsidR="00D21C1F" w:rsidRDefault="00A42880">
              <w:pPr>
                <w:spacing w:line="360" w:lineRule="auto"/>
                <w:ind w:firstLineChars="200" w:firstLine="420"/>
                <w:contextualSpacing/>
                <w:jc w:val="both"/>
              </w:pPr>
              <w:r>
                <w:t>依托公司独立发展，以及收购</w:t>
              </w:r>
              <w:r>
                <w:rPr>
                  <w:rFonts w:ascii="Times New Roman" w:hAnsi="Times New Roman"/>
                </w:rPr>
                <w:t>CMA</w:t>
              </w:r>
              <w:r>
                <w:t>、</w:t>
              </w:r>
              <w:r>
                <w:rPr>
                  <w:rFonts w:ascii="Times New Roman" w:hAnsi="Times New Roman"/>
                </w:rPr>
                <w:t>EVOLUT</w:t>
              </w:r>
              <w:r>
                <w:t>、</w:t>
              </w:r>
              <w:r>
                <w:rPr>
                  <w:rFonts w:ascii="Times New Roman" w:hAnsi="Times New Roman"/>
                </w:rPr>
                <w:t>WFC</w:t>
              </w:r>
              <w:r>
                <w:t>后的市场拓展，公司在全球范围内逐步积累了汽车工业、航空及轨道交通业、汽车零部件及其他通用工业的客户资源：</w:t>
              </w:r>
            </w:p>
            <w:tbl>
              <w:tblPr>
                <w:tblStyle w:val="g1"/>
                <w:tblW w:w="5000" w:type="pct"/>
                <w:tblInd w:w="0" w:type="dxa"/>
                <w:tblBorders>
                  <w:top w:val="thinThickSmallGap" w:sz="12" w:space="0" w:color="auto"/>
                  <w:bottom w:val="thinThickSmallGap" w:sz="12" w:space="0" w:color="auto"/>
                  <w:insideH w:val="single" w:sz="4" w:space="0" w:color="000000"/>
                  <w:insideV w:val="single" w:sz="4" w:space="0" w:color="000000"/>
                </w:tblBorders>
                <w:tblLook w:val="04A0" w:firstRow="1" w:lastRow="0" w:firstColumn="1" w:lastColumn="0" w:noHBand="0" w:noVBand="1"/>
              </w:tblPr>
              <w:tblGrid>
                <w:gridCol w:w="1659"/>
                <w:gridCol w:w="7174"/>
              </w:tblGrid>
              <w:tr w:rsidR="00D21C1F" w14:paraId="33E65574" w14:textId="77777777">
                <w:trPr>
                  <w:trHeight w:val="340"/>
                </w:trPr>
                <w:tc>
                  <w:tcPr>
                    <w:tcW w:w="939" w:type="pct"/>
                    <w:shd w:val="clear" w:color="auto" w:fill="auto"/>
                    <w:vAlign w:val="center"/>
                  </w:tcPr>
                  <w:p w14:paraId="1466E823" w14:textId="77777777" w:rsidR="00D21C1F" w:rsidRDefault="00A42880">
                    <w:pPr>
                      <w:jc w:val="both"/>
                      <w:rPr>
                        <w:rFonts w:ascii="Times New Roman" w:hAnsi="Times New Roman"/>
                        <w:b/>
                        <w:kern w:val="2"/>
                        <w:szCs w:val="21"/>
                      </w:rPr>
                    </w:pPr>
                    <w:bookmarkStart w:id="52" w:name="_Hlk48057860"/>
                    <w:r>
                      <w:rPr>
                        <w:rFonts w:ascii="Times New Roman" w:hAnsi="Times New Roman"/>
                        <w:b/>
                        <w:kern w:val="2"/>
                        <w:szCs w:val="21"/>
                      </w:rPr>
                      <w:t>下游行业</w:t>
                    </w:r>
                  </w:p>
                </w:tc>
                <w:tc>
                  <w:tcPr>
                    <w:tcW w:w="4061" w:type="pct"/>
                    <w:shd w:val="clear" w:color="auto" w:fill="auto"/>
                    <w:vAlign w:val="center"/>
                  </w:tcPr>
                  <w:p w14:paraId="4AE45038" w14:textId="77777777" w:rsidR="00D21C1F" w:rsidRDefault="00A42880">
                    <w:pPr>
                      <w:jc w:val="both"/>
                      <w:rPr>
                        <w:rFonts w:ascii="Times New Roman" w:hAnsi="Times New Roman"/>
                        <w:b/>
                        <w:kern w:val="2"/>
                        <w:szCs w:val="21"/>
                      </w:rPr>
                    </w:pPr>
                    <w:r>
                      <w:rPr>
                        <w:rFonts w:ascii="Times New Roman" w:hAnsi="Times New Roman"/>
                        <w:b/>
                        <w:kern w:val="2"/>
                        <w:szCs w:val="21"/>
                      </w:rPr>
                      <w:t>客户</w:t>
                    </w:r>
                  </w:p>
                </w:tc>
              </w:tr>
              <w:tr w:rsidR="00D21C1F" w14:paraId="2B68DE30" w14:textId="77777777">
                <w:trPr>
                  <w:trHeight w:val="340"/>
                </w:trPr>
                <w:tc>
                  <w:tcPr>
                    <w:tcW w:w="939" w:type="pct"/>
                    <w:shd w:val="clear" w:color="auto" w:fill="auto"/>
                    <w:vAlign w:val="center"/>
                  </w:tcPr>
                  <w:p w14:paraId="26690634" w14:textId="77777777" w:rsidR="00D21C1F" w:rsidRDefault="00A42880">
                    <w:pPr>
                      <w:jc w:val="both"/>
                    </w:pPr>
                    <w:r>
                      <w:t>汽车工业</w:t>
                    </w:r>
                  </w:p>
                </w:tc>
                <w:tc>
                  <w:tcPr>
                    <w:tcW w:w="4061" w:type="pct"/>
                    <w:shd w:val="clear" w:color="auto" w:fill="auto"/>
                    <w:vAlign w:val="center"/>
                  </w:tcPr>
                  <w:p w14:paraId="261FC22C" w14:textId="6F6C48FD" w:rsidR="00D21C1F" w:rsidRDefault="003A34E4">
                    <w:pPr>
                      <w:jc w:val="both"/>
                    </w:pPr>
                    <w:r w:rsidRPr="00267EAB">
                      <w:rPr>
                        <w:rFonts w:ascii="Times New Roman" w:hAnsi="Times New Roman" w:cs="Times New Roman"/>
                      </w:rPr>
                      <w:t>Stellantis</w:t>
                    </w:r>
                    <w:r w:rsidR="00267EAB">
                      <w:rPr>
                        <w:rFonts w:hint="eastAsia"/>
                      </w:rPr>
                      <w:t>集团</w:t>
                    </w:r>
                    <w:r w:rsidR="00A42880">
                      <w:t>、通用、大众、丰田、雷诺</w:t>
                    </w:r>
                    <w:r w:rsidR="00A42880">
                      <w:rPr>
                        <w:rFonts w:hint="eastAsia"/>
                      </w:rPr>
                      <w:t>、</w:t>
                    </w:r>
                    <w:r w:rsidR="00A42880">
                      <w:t>北汽</w:t>
                    </w:r>
                    <w:r w:rsidR="00A42880">
                      <w:rPr>
                        <w:rFonts w:hint="eastAsia"/>
                      </w:rPr>
                      <w:t>、</w:t>
                    </w:r>
                    <w:r w:rsidR="00A42880">
                      <w:t>奇瑞</w:t>
                    </w:r>
                    <w:r w:rsidR="00A42880">
                      <w:rPr>
                        <w:rFonts w:hint="eastAsia"/>
                      </w:rPr>
                      <w:t>、</w:t>
                    </w:r>
                    <w:r w:rsidR="00A42880">
                      <w:t>吉利</w:t>
                    </w:r>
                    <w:r w:rsidR="00A42880">
                      <w:rPr>
                        <w:rFonts w:hint="eastAsia"/>
                      </w:rPr>
                      <w:t>、合众</w:t>
                    </w:r>
                    <w:r w:rsidR="00A42880">
                      <w:t>等</w:t>
                    </w:r>
                  </w:p>
                </w:tc>
              </w:tr>
              <w:tr w:rsidR="00D21C1F" w14:paraId="121EA9E5" w14:textId="77777777">
                <w:trPr>
                  <w:trHeight w:val="340"/>
                </w:trPr>
                <w:tc>
                  <w:tcPr>
                    <w:tcW w:w="939" w:type="pct"/>
                    <w:shd w:val="clear" w:color="auto" w:fill="auto"/>
                    <w:vAlign w:val="center"/>
                  </w:tcPr>
                  <w:p w14:paraId="7120A6DC" w14:textId="77777777" w:rsidR="00D21C1F" w:rsidRDefault="00A42880">
                    <w:pPr>
                      <w:jc w:val="both"/>
                    </w:pPr>
                    <w:r>
                      <w:t>通用工业-汽车零部件</w:t>
                    </w:r>
                  </w:p>
                </w:tc>
                <w:tc>
                  <w:tcPr>
                    <w:tcW w:w="4061" w:type="pct"/>
                    <w:shd w:val="clear" w:color="auto" w:fill="auto"/>
                    <w:vAlign w:val="center"/>
                  </w:tcPr>
                  <w:p w14:paraId="0CAE3472" w14:textId="77777777" w:rsidR="00D21C1F" w:rsidRDefault="00A42880">
                    <w:pPr>
                      <w:jc w:val="both"/>
                    </w:pPr>
                    <w:r>
                      <w:t>法雷奥（</w:t>
                    </w:r>
                    <w:r>
                      <w:rPr>
                        <w:rFonts w:ascii="Times New Roman" w:hAnsi="Times New Roman"/>
                      </w:rPr>
                      <w:t>VALEO</w:t>
                    </w:r>
                    <w:r>
                      <w:t>）、麦格纳</w:t>
                    </w:r>
                    <w:r>
                      <w:rPr>
                        <w:rFonts w:hint="eastAsia"/>
                      </w:rPr>
                      <w:t>（</w:t>
                    </w:r>
                    <w:r>
                      <w:rPr>
                        <w:rFonts w:ascii="Times New Roman" w:hAnsi="Times New Roman"/>
                      </w:rPr>
                      <w:t>MAGNA</w:t>
                    </w:r>
                    <w:r>
                      <w:rPr>
                        <w:rFonts w:hint="eastAsia"/>
                      </w:rPr>
                      <w:t>）</w:t>
                    </w:r>
                    <w:r>
                      <w:t>、马瑞利（</w:t>
                    </w:r>
                    <w:r>
                      <w:rPr>
                        <w:rFonts w:ascii="Times New Roman" w:hAnsi="Times New Roman"/>
                      </w:rPr>
                      <w:t>Magneti</w:t>
                    </w:r>
                    <w:r>
                      <w:t xml:space="preserve"> </w:t>
                    </w:r>
                    <w:r>
                      <w:rPr>
                        <w:rFonts w:ascii="Times New Roman" w:hAnsi="Times New Roman"/>
                      </w:rPr>
                      <w:t>Marelli</w:t>
                    </w:r>
                    <w:r>
                      <w:t xml:space="preserve"> </w:t>
                    </w:r>
                    <w:r>
                      <w:rPr>
                        <w:rFonts w:ascii="Times New Roman" w:hAnsi="Times New Roman"/>
                      </w:rPr>
                      <w:t>S.p.A.</w:t>
                    </w:r>
                    <w:r>
                      <w:t>）</w:t>
                    </w:r>
                    <w:r>
                      <w:rPr>
                        <w:rFonts w:hint="eastAsia"/>
                      </w:rPr>
                      <w:t>、布雷博（</w:t>
                    </w:r>
                    <w:r>
                      <w:rPr>
                        <w:rFonts w:ascii="Times New Roman" w:hAnsi="Times New Roman"/>
                      </w:rPr>
                      <w:t>Brembo</w:t>
                    </w:r>
                    <w:r>
                      <w:rPr>
                        <w:rFonts w:hint="eastAsia"/>
                      </w:rPr>
                      <w:t>）</w:t>
                    </w:r>
                    <w:r>
                      <w:t>、</w:t>
                    </w:r>
                    <w:r>
                      <w:rPr>
                        <w:rFonts w:ascii="Times New Roman" w:hAnsi="Times New Roman"/>
                      </w:rPr>
                      <w:t>Valmet</w:t>
                    </w:r>
                    <w:r>
                      <w:t>等</w:t>
                    </w:r>
                  </w:p>
                </w:tc>
              </w:tr>
              <w:tr w:rsidR="00D21C1F" w14:paraId="53D833F1" w14:textId="77777777">
                <w:trPr>
                  <w:trHeight w:val="340"/>
                </w:trPr>
                <w:tc>
                  <w:tcPr>
                    <w:tcW w:w="939" w:type="pct"/>
                    <w:shd w:val="clear" w:color="auto" w:fill="auto"/>
                    <w:vAlign w:val="center"/>
                  </w:tcPr>
                  <w:p w14:paraId="3D687DAC" w14:textId="77777777" w:rsidR="00D21C1F" w:rsidRDefault="00A42880">
                    <w:pPr>
                      <w:jc w:val="both"/>
                    </w:pPr>
                    <w:r>
                      <w:t>通用工业-航空及轨道交通业</w:t>
                    </w:r>
                  </w:p>
                </w:tc>
                <w:tc>
                  <w:tcPr>
                    <w:tcW w:w="4061" w:type="pct"/>
                    <w:shd w:val="clear" w:color="auto" w:fill="auto"/>
                    <w:vAlign w:val="center"/>
                  </w:tcPr>
                  <w:p w14:paraId="6CAA1443" w14:textId="77777777" w:rsidR="00D21C1F" w:rsidRDefault="00A42880">
                    <w:pPr>
                      <w:jc w:val="both"/>
                    </w:pPr>
                    <w:r>
                      <w:t>中车集团、中国商飞、阿尔斯通</w:t>
                    </w:r>
                    <w:r>
                      <w:rPr>
                        <w:rFonts w:hint="eastAsia"/>
                      </w:rPr>
                      <w:t>（</w:t>
                    </w:r>
                    <w:r>
                      <w:rPr>
                        <w:rFonts w:ascii="Times New Roman" w:hAnsi="Times New Roman" w:hint="eastAsia"/>
                      </w:rPr>
                      <w:t>ALSTOM</w:t>
                    </w:r>
                    <w:r>
                      <w:rPr>
                        <w:rFonts w:hint="eastAsia"/>
                      </w:rPr>
                      <w:t>）、应流集团</w:t>
                    </w:r>
                    <w:r>
                      <w:t>等</w:t>
                    </w:r>
                  </w:p>
                </w:tc>
              </w:tr>
              <w:tr w:rsidR="00D21C1F" w14:paraId="24812456" w14:textId="77777777">
                <w:trPr>
                  <w:trHeight w:val="340"/>
                </w:trPr>
                <w:tc>
                  <w:tcPr>
                    <w:tcW w:w="939" w:type="pct"/>
                    <w:shd w:val="clear" w:color="auto" w:fill="auto"/>
                    <w:vAlign w:val="center"/>
                  </w:tcPr>
                  <w:p w14:paraId="284D8A15" w14:textId="77777777" w:rsidR="00D21C1F" w:rsidRDefault="00A42880">
                    <w:pPr>
                      <w:jc w:val="both"/>
                    </w:pPr>
                    <w:r>
                      <w:t>通用工业-电子电器行业</w:t>
                    </w:r>
                  </w:p>
                </w:tc>
                <w:tc>
                  <w:tcPr>
                    <w:tcW w:w="4061" w:type="pct"/>
                    <w:shd w:val="clear" w:color="auto" w:fill="auto"/>
                    <w:vAlign w:val="center"/>
                  </w:tcPr>
                  <w:p w14:paraId="41B6FFD3" w14:textId="77777777" w:rsidR="00D21C1F" w:rsidRDefault="00A42880">
                    <w:pPr>
                      <w:jc w:val="both"/>
                    </w:pPr>
                    <w:r>
                      <w:t>蓝思科技、长盈精密、中光电</w:t>
                    </w:r>
                    <w:r>
                      <w:rPr>
                        <w:rFonts w:hint="eastAsia"/>
                      </w:rPr>
                      <w:t>、罗博特科、先导智能、捷佳伟创、</w:t>
                    </w:r>
                    <w:r>
                      <w:t>无锡江松等</w:t>
                    </w:r>
                  </w:p>
                </w:tc>
              </w:tr>
              <w:tr w:rsidR="00D21C1F" w14:paraId="00342CFE" w14:textId="77777777">
                <w:trPr>
                  <w:trHeight w:val="340"/>
                </w:trPr>
                <w:tc>
                  <w:tcPr>
                    <w:tcW w:w="939" w:type="pct"/>
                    <w:tcBorders>
                      <w:top w:val="single" w:sz="4" w:space="0" w:color="000000"/>
                      <w:bottom w:val="thinThickSmallGap" w:sz="12" w:space="0" w:color="auto"/>
                      <w:right w:val="single" w:sz="4" w:space="0" w:color="000000"/>
                    </w:tcBorders>
                    <w:shd w:val="clear" w:color="auto" w:fill="auto"/>
                    <w:vAlign w:val="center"/>
                  </w:tcPr>
                  <w:p w14:paraId="095BB330" w14:textId="77777777" w:rsidR="00D21C1F" w:rsidRDefault="00A42880">
                    <w:pPr>
                      <w:jc w:val="both"/>
                    </w:pPr>
                    <w:r>
                      <w:t>通用工业-其他</w:t>
                    </w:r>
                  </w:p>
                </w:tc>
                <w:tc>
                  <w:tcPr>
                    <w:tcW w:w="4061" w:type="pct"/>
                    <w:tcBorders>
                      <w:top w:val="single" w:sz="4" w:space="0" w:color="000000"/>
                      <w:left w:val="single" w:sz="4" w:space="0" w:color="000000"/>
                      <w:bottom w:val="thinThickSmallGap" w:sz="12" w:space="0" w:color="auto"/>
                    </w:tcBorders>
                    <w:shd w:val="clear" w:color="auto" w:fill="auto"/>
                    <w:vAlign w:val="center"/>
                  </w:tcPr>
                  <w:p w14:paraId="1DF5F7E7" w14:textId="77777777" w:rsidR="00D21C1F" w:rsidRDefault="00A42880">
                    <w:pPr>
                      <w:jc w:val="both"/>
                    </w:pPr>
                    <w:r>
                      <w:t>中集集团、京东物流、鸿路钢构、箭牌卫浴、全友家居、双虎家私</w:t>
                    </w:r>
                    <w:r>
                      <w:rPr>
                        <w:rFonts w:hint="eastAsia"/>
                      </w:rPr>
                      <w:t>、三一重工、中远海运、合力叉车</w:t>
                    </w:r>
                    <w:r>
                      <w:t>等</w:t>
                    </w:r>
                  </w:p>
                </w:tc>
              </w:tr>
            </w:tbl>
            <w:bookmarkEnd w:id="52"/>
            <w:p w14:paraId="6CAEB81B" w14:textId="77777777" w:rsidR="00D21C1F" w:rsidRDefault="00A42880">
              <w:pPr>
                <w:spacing w:line="360" w:lineRule="auto"/>
                <w:ind w:firstLineChars="200" w:firstLine="420"/>
                <w:jc w:val="both"/>
              </w:pPr>
              <w:r>
                <w:t>同时，公司及其子公司市场区域遍及中国、欧洲、拉美、印度等世界市场。</w:t>
              </w:r>
            </w:p>
            <w:p w14:paraId="05D9C79E" w14:textId="77777777" w:rsidR="00D21C1F" w:rsidRDefault="00A42880">
              <w:pPr>
                <w:spacing w:line="360" w:lineRule="auto"/>
                <w:ind w:firstLineChars="200" w:firstLine="420"/>
                <w:jc w:val="both"/>
              </w:pPr>
              <w:r>
                <w:t>丰富的客户资源和市场资源优势，拓展了公司行业应用技术积累及视野，拓展了公司在高端制造业领域的行业应用积累。</w:t>
              </w:r>
            </w:p>
            <w:p w14:paraId="0ECBB82A" w14:textId="77777777" w:rsidR="00D21C1F" w:rsidRDefault="00D21C1F">
              <w:pPr>
                <w:spacing w:line="360" w:lineRule="auto"/>
                <w:ind w:firstLineChars="200" w:firstLine="420"/>
                <w:jc w:val="both"/>
              </w:pPr>
            </w:p>
            <w:p w14:paraId="3864ECD7" w14:textId="77777777" w:rsidR="00D21C1F" w:rsidRDefault="00A42880">
              <w:pPr>
                <w:spacing w:line="360" w:lineRule="auto"/>
                <w:ind w:firstLineChars="200" w:firstLine="420"/>
                <w:jc w:val="both"/>
              </w:pPr>
              <w:r>
                <w:t>与国外</w:t>
              </w:r>
              <w:r>
                <w:rPr>
                  <w:rFonts w:hint="eastAsia"/>
                </w:rPr>
                <w:t>竞争对手相比,</w:t>
              </w:r>
              <w:r>
                <w:t>公司整体还存在较大的差距。但在如下几个方面</w:t>
              </w:r>
              <w:r>
                <w:rPr>
                  <w:rFonts w:hint="eastAsia"/>
                </w:rPr>
                <w:t>,</w:t>
              </w:r>
              <w:r>
                <w:t>公司具有相对竞争</w:t>
              </w:r>
              <w:r>
                <w:rPr>
                  <w:rFonts w:hint="eastAsia"/>
                </w:rPr>
                <w:t>优势：</w:t>
              </w:r>
            </w:p>
            <w:p w14:paraId="12DEB5D2" w14:textId="77777777" w:rsidR="00D21C1F" w:rsidRDefault="00A42880">
              <w:pPr>
                <w:pStyle w:val="aff4"/>
                <w:numPr>
                  <w:ilvl w:val="0"/>
                  <w:numId w:val="14"/>
                </w:numPr>
                <w:spacing w:line="360" w:lineRule="auto"/>
                <w:ind w:firstLineChars="0"/>
                <w:contextualSpacing/>
                <w:rPr>
                  <w:b/>
                  <w:bCs/>
                </w:rPr>
              </w:pPr>
              <w:r>
                <w:rPr>
                  <w:rFonts w:hint="eastAsia"/>
                  <w:b/>
                  <w:bCs/>
                </w:rPr>
                <w:t>贴近市场，服务通用工业的能力</w:t>
              </w:r>
            </w:p>
            <w:p w14:paraId="04F1F83C" w14:textId="77777777" w:rsidR="00D21C1F" w:rsidRDefault="00A42880">
              <w:pPr>
                <w:spacing w:line="360" w:lineRule="auto"/>
                <w:ind w:firstLineChars="200" w:firstLine="420"/>
                <w:jc w:val="both"/>
              </w:pPr>
              <w:r>
                <w:rPr>
                  <w:rFonts w:hint="eastAsia"/>
                </w:rPr>
                <w:t>通用服务工业是工业机器人的蓝海市场，但在服务通用工业能力上，国内外工业机器人厂商均处于起步阶段，埃夫特等中国本土工业机器人企业具有贴近市场的优势。埃夫特将服务通用工业市场作为与国外厂商竞争的核心领域，在解决通用工业机器人使用密度、</w:t>
              </w:r>
              <w:r>
                <w:t>使用痛点上，埃夫特形成了局部先发优势。以卫浴陶瓷行业为例，公司产品在快速示教、高</w:t>
              </w:r>
              <w:r>
                <w:rPr>
                  <w:rFonts w:hint="eastAsia"/>
                </w:rPr>
                <w:t>防护等级、合理负载等方面具有差异化的竞争优势，获得了客户的认可。</w:t>
              </w:r>
            </w:p>
            <w:p w14:paraId="51CCB916" w14:textId="77777777" w:rsidR="00D21C1F" w:rsidRDefault="00A42880">
              <w:pPr>
                <w:pStyle w:val="aff4"/>
                <w:numPr>
                  <w:ilvl w:val="0"/>
                  <w:numId w:val="14"/>
                </w:numPr>
                <w:spacing w:line="360" w:lineRule="auto"/>
                <w:ind w:firstLineChars="0"/>
                <w:contextualSpacing/>
                <w:rPr>
                  <w:b/>
                  <w:bCs/>
                </w:rPr>
              </w:pPr>
              <w:r>
                <w:rPr>
                  <w:rFonts w:hint="eastAsia"/>
                  <w:b/>
                  <w:bCs/>
                </w:rPr>
                <w:t>技术平台重新构建，历史包袱少，具有后发优势</w:t>
              </w:r>
            </w:p>
            <w:p w14:paraId="35E57009" w14:textId="77777777" w:rsidR="00D21C1F" w:rsidRDefault="00A42880">
              <w:pPr>
                <w:spacing w:line="360" w:lineRule="auto"/>
                <w:ind w:firstLineChars="200" w:firstLine="420"/>
                <w:jc w:val="both"/>
              </w:pPr>
              <w:r>
                <w:rPr>
                  <w:rFonts w:hint="eastAsia"/>
                </w:rPr>
                <w:t>传统工业机器人技术发展相对成熟，但通过与物联网、工业互联网、大数据、人工智能技术的结合，</w:t>
              </w:r>
              <w:r>
                <w:t>将推动具有感知、学习、决策和执行能力的智能机器人的发展，在新技术平台构建上，</w:t>
              </w:r>
              <w:r>
                <w:rPr>
                  <w:rFonts w:hint="eastAsia"/>
                </w:rPr>
                <w:lastRenderedPageBreak/>
                <w:t>公司无历史包袱，具有后发优势。如公司基于云端架构和智能算法的机器人柔性作业技术，已经获得工信部立项，形成技术成果。</w:t>
              </w:r>
            </w:p>
          </w:sdtContent>
        </w:sdt>
      </w:sdtContent>
    </w:sdt>
    <w:bookmarkEnd w:id="51"/>
    <w:bookmarkEnd w:id="50"/>
    <w:p w14:paraId="3E07EA74" w14:textId="77777777" w:rsidR="00D21C1F" w:rsidRDefault="00D21C1F">
      <w:pPr>
        <w:pStyle w:val="97"/>
      </w:pPr>
    </w:p>
    <w:bookmarkStart w:id="53" w:name="_Hlk25571659" w:displacedByCustomXml="next"/>
    <w:bookmarkEnd w:id="53" w:displacedByCustomXml="next"/>
    <w:bookmarkStart w:id="54" w:name="_Hlk42850158" w:displacedByCustomXml="next"/>
    <w:sdt>
      <w:sdtPr>
        <w:rPr>
          <w:rFonts w:ascii="宋体" w:eastAsiaTheme="minorEastAsia" w:hAnsi="宋体" w:cs="宋体" w:hint="eastAsia"/>
          <w:b w:val="0"/>
          <w:bCs w:val="0"/>
          <w:kern w:val="0"/>
          <w:szCs w:val="24"/>
        </w:rPr>
        <w:alias w:val="模块:报告期内发生的导致公司核心竞争力受到严重影响的事件、影响分析及应对措施"/>
        <w:tag w:val="_SEC_7f1b97683e054fbfaef9f58029f13cd6"/>
        <w:id w:val="1982887920"/>
        <w:lock w:val="sdtLocked"/>
        <w:placeholder>
          <w:docPart w:val="GBC22222222222222222222222222222"/>
        </w:placeholder>
      </w:sdtPr>
      <w:sdtEndPr/>
      <w:sdtContent>
        <w:p w14:paraId="50BA2E2B" w14:textId="77777777" w:rsidR="00D21C1F" w:rsidRDefault="00A42880">
          <w:pPr>
            <w:pStyle w:val="3"/>
            <w:numPr>
              <w:ilvl w:val="0"/>
              <w:numId w:val="12"/>
            </w:numPr>
            <w:rPr>
              <w:rFonts w:ascii="宋体" w:hAnsi="宋体"/>
            </w:rPr>
          </w:pPr>
          <w:r>
            <w:rPr>
              <w:rFonts w:ascii="宋体" w:hAnsi="宋体" w:hint="eastAsia"/>
            </w:rPr>
            <w:t>报告</w:t>
          </w:r>
          <w:r>
            <w:rPr>
              <w:rFonts w:ascii="宋体" w:hAnsi="宋体"/>
            </w:rPr>
            <w:t>期内发生的导致公司核心竞争力受到严重影响</w:t>
          </w:r>
          <w:r>
            <w:rPr>
              <w:rFonts w:ascii="宋体" w:hAnsi="宋体" w:hint="eastAsia"/>
            </w:rPr>
            <w:t>的</w:t>
          </w:r>
          <w:r>
            <w:rPr>
              <w:rFonts w:ascii="宋体" w:hAnsi="宋体"/>
            </w:rPr>
            <w:t>事件</w:t>
          </w:r>
          <w:r>
            <w:rPr>
              <w:rFonts w:ascii="宋体" w:hAnsi="宋体" w:hint="eastAsia"/>
            </w:rPr>
            <w:t>、</w:t>
          </w:r>
          <w:r>
            <w:rPr>
              <w:rFonts w:ascii="宋体" w:hAnsi="宋体"/>
            </w:rPr>
            <w:t>影响分析</w:t>
          </w:r>
          <w:r>
            <w:rPr>
              <w:rFonts w:ascii="宋体" w:hAnsi="宋体" w:hint="eastAsia"/>
            </w:rPr>
            <w:t>及</w:t>
          </w:r>
          <w:r>
            <w:rPr>
              <w:rFonts w:ascii="宋体" w:hAnsi="宋体"/>
            </w:rPr>
            <w:t>应对措施</w:t>
          </w:r>
        </w:p>
        <w:sdt>
          <w:sdtPr>
            <w:alias w:val="是否适用：报告期内发生的导致公司核心竞争力受到严重影响的事件、影响分析及应对措施[双击切换]"/>
            <w:tag w:val="_GBC_eab112557a194c1586b12b14d226b03c"/>
            <w:id w:val="-890655039"/>
            <w:lock w:val="sdtLocked"/>
            <w:placeholder>
              <w:docPart w:val="GBC22222222222222222222222222222"/>
            </w:placeholder>
          </w:sdtPr>
          <w:sdtEndPr/>
          <w:sdtContent>
            <w:p w14:paraId="118A132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0D3F04" w14:textId="77777777" w:rsidR="00D21C1F" w:rsidRDefault="00045EC6">
          <w:pPr>
            <w:pStyle w:val="97"/>
          </w:pPr>
        </w:p>
      </w:sdtContent>
    </w:sdt>
    <w:bookmarkEnd w:id="54" w:displacedByCustomXml="next"/>
    <w:sdt>
      <w:sdtPr>
        <w:rPr>
          <w:rFonts w:eastAsiaTheme="minorEastAsia" w:hint="eastAsia"/>
          <w:b w:val="0"/>
          <w:bCs w:val="0"/>
        </w:rPr>
        <w:alias w:val="模块:经营情况的讨论与分析"/>
        <w:tag w:val="_GBC_ba3734a9f27a452095f3115c17f4b09e"/>
        <w:id w:val="1884128607"/>
        <w:lock w:val="sdtLocked"/>
        <w:placeholder>
          <w:docPart w:val="GBC22222222222222222222222222222"/>
        </w:placeholder>
      </w:sdtPr>
      <w:sdtEndPr/>
      <w:sdtContent>
        <w:p w14:paraId="0C376EB9" w14:textId="77777777" w:rsidR="00D21C1F" w:rsidRDefault="00A42880">
          <w:pPr>
            <w:pStyle w:val="2"/>
            <w:numPr>
              <w:ilvl w:val="0"/>
              <w:numId w:val="7"/>
            </w:numPr>
            <w:rPr>
              <w:bCs w:val="0"/>
            </w:rPr>
          </w:pPr>
          <w:r>
            <w:rPr>
              <w:bCs w:val="0"/>
            </w:rPr>
            <w:t>经营情况的讨论与分析</w:t>
          </w:r>
        </w:p>
        <w:sdt>
          <w:sdtPr>
            <w:rPr>
              <w:rFonts w:hint="eastAsia"/>
            </w:rPr>
            <w:alias w:val="管理层讨论与分析"/>
            <w:tag w:val="_GBC_886258ec69e240da99b57ac102afbda6"/>
            <w:id w:val="709534757"/>
            <w:lock w:val="sdtLocked"/>
            <w:placeholder>
              <w:docPart w:val="GBC22222222222222222222222222222"/>
            </w:placeholder>
          </w:sdtPr>
          <w:sdtEndPr/>
          <w:sdtContent>
            <w:p w14:paraId="459F62D5" w14:textId="77777777" w:rsidR="00D21C1F" w:rsidRDefault="00A42880">
              <w:pPr>
                <w:spacing w:line="360" w:lineRule="auto"/>
                <w:ind w:firstLineChars="200" w:firstLine="420"/>
                <w:jc w:val="both"/>
              </w:pPr>
              <w:r>
                <w:rPr>
                  <w:rFonts w:ascii="Times New Roman" w:hAnsi="Times New Roman" w:cs="Times New Roman"/>
                </w:rPr>
                <w:t>2021</w:t>
              </w:r>
              <w:r>
                <w:rPr>
                  <w:rFonts w:hint="eastAsia"/>
                </w:rPr>
                <w:t>年上半年，在董事会的带领下，</w:t>
              </w:r>
              <w:r>
                <w:rPr>
                  <w:rFonts w:asciiTheme="minorEastAsia" w:hAnsiTheme="minorEastAsia" w:hint="eastAsia"/>
                </w:rPr>
                <w:t>公司管理层</w:t>
              </w:r>
              <w:r>
                <w:rPr>
                  <w:rFonts w:hint="eastAsia"/>
                  <w:lang w:val="zh-CN"/>
                </w:rPr>
                <w:t>经过多轮次内部论证和外部咨询公司辅导，对埃夫特的战略方向进行再次梳理</w:t>
              </w:r>
              <w:r>
                <w:t>：</w:t>
              </w:r>
              <w:r>
                <w:rPr>
                  <w:rFonts w:hint="eastAsia"/>
                </w:rPr>
                <w:t>明确</w:t>
              </w:r>
              <w:r>
                <w:t>采用聚焦战略，成为以应用驱动为核心的机器人公司；力争将公司打造成中国工业机器人行业第一品牌，同时成为全球工业机器人第一梯队企业。</w:t>
              </w:r>
            </w:p>
            <w:p w14:paraId="0E9F64FE" w14:textId="77777777" w:rsidR="00D21C1F" w:rsidRDefault="00A42880">
              <w:pPr>
                <w:spacing w:line="360" w:lineRule="auto"/>
                <w:ind w:firstLineChars="200" w:firstLine="420"/>
                <w:jc w:val="both"/>
              </w:pPr>
              <w:r>
                <w:t>聚焦</w:t>
              </w:r>
              <w:r>
                <w:rPr>
                  <w:rFonts w:hint="eastAsia"/>
                </w:rPr>
                <w:t>战略</w:t>
              </w:r>
              <w:r>
                <w:t>是指公司资源</w:t>
              </w:r>
              <w:r>
                <w:rPr>
                  <w:rFonts w:hint="eastAsia"/>
                </w:rPr>
                <w:t>投入</w:t>
              </w:r>
              <w:r>
                <w:t>围绕核心能力布局主航道业务，收缩业务领域，坚定的采用压强原理，不做短期行为和盲目扩张；加强现有业务单元之间的协同和整合，增强资源的复用性，从而节省和聚焦资源。以应用驱动为核心是指在完善和坚实的产品平台基础上突出行业和场景属性，充分发挥公司</w:t>
              </w:r>
              <w:r>
                <w:rPr>
                  <w:rFonts w:hint="eastAsia"/>
                </w:rPr>
                <w:t>贴近应用及市场的基因，充分发挥集成应用（包括共享工厂创新业务模式）对机器人产品孵化和牵引作用；同时强调机器人对集成业务（解决方案）差异化竞争力的支撑。</w:t>
              </w:r>
            </w:p>
            <w:p w14:paraId="13F20F0F" w14:textId="77777777" w:rsidR="00D21C1F" w:rsidRDefault="00A42880">
              <w:pPr>
                <w:spacing w:line="360" w:lineRule="auto"/>
                <w:ind w:firstLineChars="200" w:firstLine="420"/>
                <w:jc w:val="both"/>
              </w:pPr>
              <w:r>
                <w:rPr>
                  <w:rFonts w:hint="eastAsia"/>
                </w:rPr>
                <w:t>本报告期主要开展的工作和取得的成果有：</w:t>
              </w:r>
            </w:p>
            <w:p w14:paraId="4838816C" w14:textId="77777777" w:rsidR="00D21C1F" w:rsidRDefault="00A42880">
              <w:pPr>
                <w:spacing w:line="360" w:lineRule="auto"/>
                <w:ind w:left="420"/>
                <w:rPr>
                  <w:b/>
                </w:rPr>
              </w:pPr>
              <w:r>
                <w:rPr>
                  <w:rFonts w:ascii="Times New Roman" w:hAnsi="Times New Roman" w:hint="eastAsia"/>
                  <w:b/>
                </w:rPr>
                <w:t>1</w:t>
              </w:r>
              <w:r>
                <w:rPr>
                  <w:rFonts w:hint="eastAsia"/>
                  <w:b/>
                </w:rPr>
                <w:t>、机器人业务营收大幅提升</w:t>
              </w:r>
            </w:p>
            <w:p w14:paraId="3AC9F74F"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得益于中国</w:t>
              </w:r>
              <w:r>
                <w:rPr>
                  <w:rFonts w:ascii="Times New Roman" w:hAnsi="Times New Roman" w:cs="Times New Roman"/>
                </w:rPr>
                <w:t>“</w:t>
              </w:r>
              <w:r>
                <w:rPr>
                  <w:rFonts w:ascii="Times New Roman" w:hAnsi="Times New Roman" w:cs="Times New Roman"/>
                </w:rPr>
                <w:t>双碳</w:t>
              </w:r>
              <w:r>
                <w:rPr>
                  <w:rFonts w:ascii="Times New Roman" w:hAnsi="Times New Roman" w:cs="Times New Roman"/>
                </w:rPr>
                <w:t>”</w:t>
              </w:r>
              <w:r>
                <w:rPr>
                  <w:rFonts w:ascii="Times New Roman" w:hAnsi="Times New Roman" w:cs="Times New Roman"/>
                </w:rPr>
                <w:t>的中长期国策助推、后疫情制造业自动化需求反弹以及消费类电子需求的升级换代，</w:t>
              </w:r>
              <w:r>
                <w:rPr>
                  <w:rFonts w:ascii="Times New Roman" w:hAnsi="Times New Roman" w:cs="Times New Roman" w:hint="eastAsia"/>
                </w:rPr>
                <w:t>据国家统计局公布数据，</w:t>
              </w:r>
              <w:r>
                <w:rPr>
                  <w:rFonts w:ascii="Times New Roman" w:hAnsi="Times New Roman" w:cs="Times New Roman"/>
                </w:rPr>
                <w:t>2021</w:t>
              </w:r>
              <w:r>
                <w:rPr>
                  <w:rFonts w:ascii="Times New Roman" w:hAnsi="Times New Roman" w:cs="Times New Roman"/>
                </w:rPr>
                <w:t>年</w:t>
              </w:r>
              <w:r>
                <w:rPr>
                  <w:rFonts w:ascii="Times New Roman" w:hAnsi="Times New Roman" w:cs="Times New Roman" w:hint="eastAsia"/>
                </w:rPr>
                <w:t>上半年中国</w:t>
              </w:r>
              <w:r>
                <w:rPr>
                  <w:rFonts w:ascii="Times New Roman" w:hAnsi="Times New Roman" w:cs="Times New Roman"/>
                </w:rPr>
                <w:t>国内工业机器人累计产量</w:t>
              </w:r>
              <w:r>
                <w:rPr>
                  <w:rFonts w:ascii="Times New Roman" w:hAnsi="Times New Roman" w:cs="Times New Roman"/>
                </w:rPr>
                <w:t>17.4</w:t>
              </w:r>
              <w:r>
                <w:rPr>
                  <w:rFonts w:ascii="Times New Roman" w:hAnsi="Times New Roman" w:cs="Times New Roman"/>
                </w:rPr>
                <w:t>万套，同比</w:t>
              </w:r>
              <w:r>
                <w:rPr>
                  <w:rFonts w:ascii="Times New Roman" w:hAnsi="Times New Roman" w:cs="Times New Roman" w:hint="eastAsia"/>
                </w:rPr>
                <w:t>增长</w:t>
              </w:r>
              <w:r>
                <w:rPr>
                  <w:rFonts w:ascii="Times New Roman" w:hAnsi="Times New Roman" w:cs="Times New Roman"/>
                </w:rPr>
                <w:t>69.8%</w:t>
              </w:r>
              <w:r>
                <w:rPr>
                  <w:rFonts w:ascii="Times New Roman" w:hAnsi="Times New Roman" w:cs="Times New Roman"/>
                </w:rPr>
                <w:t>。</w:t>
              </w:r>
              <w:r>
                <w:rPr>
                  <w:rFonts w:ascii="Times New Roman" w:hAnsi="Times New Roman" w:cs="Times New Roman" w:hint="eastAsia"/>
                </w:rPr>
                <w:t>公司报告期内实现机器人销售收入</w:t>
              </w:r>
              <w:r>
                <w:rPr>
                  <w:rFonts w:ascii="Times New Roman" w:hAnsi="Times New Roman" w:cs="Times New Roman"/>
                </w:rPr>
                <w:t>21,651.69</w:t>
              </w:r>
              <w:r>
                <w:rPr>
                  <w:rFonts w:ascii="Times New Roman" w:hAnsi="Times New Roman" w:cs="Times New Roman" w:hint="eastAsia"/>
                </w:rPr>
                <w:t>万元，较去年同期增长</w:t>
              </w:r>
              <w:r>
                <w:rPr>
                  <w:rFonts w:ascii="Times New Roman" w:hAnsi="Times New Roman" w:cs="Times New Roman"/>
                </w:rPr>
                <w:t>194.2</w:t>
              </w:r>
              <w:r>
                <w:rPr>
                  <w:rFonts w:ascii="Times New Roman" w:hAnsi="Times New Roman" w:cs="Times New Roman" w:hint="eastAsia"/>
                </w:rPr>
                <w:t>%.</w:t>
              </w:r>
              <w:r>
                <w:rPr>
                  <w:rFonts w:ascii="Times New Roman" w:hAnsi="Times New Roman" w:cs="Times New Roman"/>
                </w:rPr>
                <w:t xml:space="preserve"> </w:t>
              </w:r>
            </w:p>
            <w:p w14:paraId="71215AD4" w14:textId="344893B4"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借助多年的行业深耕和逐步凸显的产品差异化优势，抓住上半年产业成长契机，</w:t>
              </w:r>
              <w:r>
                <w:rPr>
                  <w:rFonts w:ascii="Times New Roman" w:hAnsi="Times New Roman" w:cs="Times New Roman" w:hint="eastAsia"/>
                </w:rPr>
                <w:t>公司报告期机器人业务增速超行业均值。</w:t>
              </w:r>
              <w:r>
                <w:rPr>
                  <w:rFonts w:ascii="Times New Roman" w:hAnsi="Times New Roman" w:cs="Times New Roman"/>
                </w:rPr>
                <w:t>其中在以光伏</w:t>
              </w:r>
              <w:r>
                <w:rPr>
                  <w:rFonts w:ascii="Times New Roman" w:hAnsi="Times New Roman" w:cs="Times New Roman" w:hint="eastAsia"/>
                </w:rPr>
                <w:t>为</w:t>
              </w:r>
              <w:r>
                <w:rPr>
                  <w:rFonts w:ascii="Times New Roman" w:hAnsi="Times New Roman" w:cs="Times New Roman"/>
                </w:rPr>
                <w:t>代表的新能源行业</w:t>
              </w:r>
              <w:r>
                <w:rPr>
                  <w:rFonts w:ascii="Times New Roman" w:hAnsi="Times New Roman" w:cs="Times New Roman" w:hint="eastAsia"/>
                </w:rPr>
                <w:t>及</w:t>
              </w:r>
              <w:r>
                <w:rPr>
                  <w:rFonts w:ascii="Times New Roman" w:hAnsi="Times New Roman" w:cs="Times New Roman" w:hint="eastAsia"/>
                </w:rPr>
                <w:t>3</w:t>
              </w:r>
              <w:r>
                <w:rPr>
                  <w:rFonts w:ascii="Times New Roman" w:hAnsi="Times New Roman" w:cs="Times New Roman"/>
                </w:rPr>
                <w:t>C</w:t>
              </w:r>
              <w:r>
                <w:rPr>
                  <w:rFonts w:ascii="Times New Roman" w:hAnsi="Times New Roman" w:cs="Times New Roman" w:hint="eastAsia"/>
                </w:rPr>
                <w:t>电子行业</w:t>
              </w:r>
              <w:r>
                <w:rPr>
                  <w:rFonts w:ascii="Times New Roman" w:hAnsi="Times New Roman" w:cs="Times New Roman"/>
                </w:rPr>
                <w:t>成长迅猛，埃夫特通过平台化产品布局与场景化产品定义策略深耕这两个万亿赛道的行业，其中在光伏电池工艺段花篮搬运机器人</w:t>
              </w:r>
              <w:r>
                <w:rPr>
                  <w:rFonts w:ascii="Times New Roman" w:hAnsi="Times New Roman" w:cs="Times New Roman" w:hint="eastAsia"/>
                </w:rPr>
                <w:t>具有较高的市场占有率；成功进入</w:t>
              </w:r>
              <w:r>
                <w:rPr>
                  <w:rFonts w:ascii="Times New Roman" w:hAnsi="Times New Roman" w:cs="Times New Roman"/>
                </w:rPr>
                <w:t>3C</w:t>
              </w:r>
              <w:r>
                <w:rPr>
                  <w:rFonts w:ascii="Times New Roman" w:hAnsi="Times New Roman" w:cs="Times New Roman"/>
                </w:rPr>
                <w:t>的</w:t>
              </w:r>
              <w:r>
                <w:rPr>
                  <w:rFonts w:ascii="Times New Roman" w:hAnsi="Times New Roman" w:cs="Times New Roman"/>
                </w:rPr>
                <w:t>PCB</w:t>
              </w:r>
              <w:r>
                <w:rPr>
                  <w:rFonts w:ascii="Times New Roman" w:hAnsi="Times New Roman" w:cs="Times New Roman"/>
                </w:rPr>
                <w:t>行业</w:t>
              </w:r>
              <w:r>
                <w:rPr>
                  <w:rFonts w:ascii="Times New Roman" w:hAnsi="Times New Roman" w:cs="Times New Roman" w:hint="eastAsia"/>
                </w:rPr>
                <w:t>并占据一定市场份额；</w:t>
              </w:r>
              <w:r>
                <w:rPr>
                  <w:rFonts w:ascii="Times New Roman" w:hAnsi="Times New Roman" w:cs="Times New Roman"/>
                </w:rPr>
                <w:t>在</w:t>
              </w:r>
              <w:r>
                <w:rPr>
                  <w:rFonts w:ascii="Times New Roman" w:hAnsi="Times New Roman" w:cs="Times New Roman"/>
                </w:rPr>
                <w:t>3C</w:t>
              </w:r>
              <w:r>
                <w:rPr>
                  <w:rFonts w:ascii="Times New Roman" w:hAnsi="Times New Roman" w:cs="Times New Roman"/>
                </w:rPr>
                <w:t>的智能手机打磨、热弯等应用与行业龙头企业</w:t>
              </w:r>
              <w:r>
                <w:rPr>
                  <w:rFonts w:ascii="Times New Roman" w:hAnsi="Times New Roman" w:cs="Times New Roman" w:hint="eastAsia"/>
                </w:rPr>
                <w:t>达成</w:t>
              </w:r>
              <w:r>
                <w:rPr>
                  <w:rFonts w:ascii="Times New Roman" w:hAnsi="Times New Roman" w:cs="Times New Roman"/>
                </w:rPr>
                <w:t>战略合作；此外针对这些工业机器人容量大的行业，通过深入的市场需求洞察和应用场景提炼，我们陆续推出的机器人与既有产品形成行业的产品组合策略也初见成效，这些产品组合将给我们带来差异化竞争优势和提供持续业绩成长支撑；</w:t>
              </w:r>
            </w:p>
            <w:p w14:paraId="27A65BA5" w14:textId="6F3A75BE" w:rsidR="00D21C1F" w:rsidRDefault="00A42880">
              <w:pPr>
                <w:spacing w:line="360" w:lineRule="auto"/>
                <w:ind w:firstLineChars="200" w:firstLine="422"/>
                <w:jc w:val="both"/>
                <w:rPr>
                  <w:b/>
                </w:rPr>
              </w:pPr>
              <w:r>
                <w:rPr>
                  <w:rFonts w:ascii="Times New Roman" w:hAnsi="Times New Roman"/>
                  <w:b/>
                </w:rPr>
                <w:t>2</w:t>
              </w:r>
              <w:r>
                <w:rPr>
                  <w:rFonts w:hint="eastAsia"/>
                  <w:b/>
                </w:rPr>
                <w:t>、</w:t>
              </w:r>
              <w:r w:rsidR="003A34E4">
                <w:rPr>
                  <w:rFonts w:hint="eastAsia"/>
                  <w:b/>
                </w:rPr>
                <w:t>自主</w:t>
              </w:r>
              <w:r>
                <w:rPr>
                  <w:b/>
                </w:rPr>
                <w:t>核心零部件导入加速</w:t>
              </w:r>
            </w:p>
            <w:p w14:paraId="3416A0AF" w14:textId="7C067A4E" w:rsidR="00D21C1F" w:rsidRDefault="00A42880">
              <w:pPr>
                <w:pStyle w:val="aff4"/>
                <w:spacing w:line="360" w:lineRule="auto"/>
                <w:rPr>
                  <w:rFonts w:ascii="Times New Roman" w:hAnsi="Times New Roman"/>
                </w:rPr>
              </w:pPr>
              <w:r>
                <w:rPr>
                  <w:rFonts w:ascii="Times New Roman" w:hAnsi="Times New Roman"/>
                </w:rPr>
                <w:t>随着工业机器人市场容量的扩大和应用场景的不断拓展，工业机器人软件系统的能力对机器人的功能和性能影响越来越大，软件系统价值也将越来越凸显，而机器人软件的载体是机器人的驱控系统，机器人的性能和功能直接受驱控系统中相关控制算法的影响。继</w:t>
              </w:r>
              <w:r>
                <w:rPr>
                  <w:rFonts w:ascii="Times New Roman" w:hAnsi="Times New Roman"/>
                </w:rPr>
                <w:t>2020</w:t>
              </w:r>
              <w:r>
                <w:rPr>
                  <w:rFonts w:ascii="Times New Roman" w:hAnsi="Times New Roman"/>
                </w:rPr>
                <w:t>年</w:t>
              </w:r>
              <w:r>
                <w:rPr>
                  <w:rFonts w:ascii="Times New Roman" w:hAnsi="Times New Roman" w:hint="eastAsia"/>
                </w:rPr>
                <w:t>实现</w:t>
              </w:r>
              <w:r>
                <w:rPr>
                  <w:rFonts w:ascii="Times New Roman" w:hAnsi="Times New Roman"/>
                </w:rPr>
                <w:t>自主</w:t>
              </w:r>
              <w:r>
                <w:rPr>
                  <w:rFonts w:ascii="Times New Roman" w:hAnsi="Times New Roman" w:hint="eastAsia"/>
                </w:rPr>
                <w:t>R</w:t>
              </w:r>
              <w:r>
                <w:rPr>
                  <w:rFonts w:ascii="Times New Roman" w:hAnsi="Times New Roman"/>
                </w:rPr>
                <w:t>OBOX</w:t>
              </w:r>
              <w:r>
                <w:rPr>
                  <w:rFonts w:ascii="Times New Roman" w:hAnsi="Times New Roman"/>
                </w:rPr>
                <w:t>控制器</w:t>
              </w:r>
              <w:r>
                <w:rPr>
                  <w:rFonts w:ascii="Times New Roman" w:hAnsi="Times New Roman" w:hint="eastAsia"/>
                </w:rPr>
                <w:t>全面机型导入（覆盖率达</w:t>
              </w:r>
              <w:r>
                <w:rPr>
                  <w:rFonts w:ascii="Times New Roman" w:hAnsi="Times New Roman" w:hint="eastAsia"/>
                </w:rPr>
                <w:t>8</w:t>
              </w:r>
              <w:r>
                <w:rPr>
                  <w:rFonts w:ascii="Times New Roman" w:hAnsi="Times New Roman"/>
                </w:rPr>
                <w:t>3.33</w:t>
              </w:r>
              <w:r>
                <w:rPr>
                  <w:rFonts w:ascii="Times New Roman" w:hAnsi="Times New Roman" w:hint="eastAsia"/>
                </w:rPr>
                <w:t>%</w:t>
              </w:r>
              <w:r>
                <w:rPr>
                  <w:rFonts w:ascii="Times New Roman" w:hAnsi="Times New Roman" w:hint="eastAsia"/>
                </w:rPr>
                <w:t>）</w:t>
              </w:r>
              <w:r>
                <w:rPr>
                  <w:rFonts w:ascii="Times New Roman" w:hAnsi="Times New Roman"/>
                </w:rPr>
                <w:t>，</w:t>
              </w:r>
              <w:r>
                <w:rPr>
                  <w:rFonts w:ascii="Times New Roman" w:hAnsi="Times New Roman"/>
                </w:rPr>
                <w:t>2021</w:t>
              </w:r>
              <w:r>
                <w:rPr>
                  <w:rFonts w:ascii="Times New Roman" w:hAnsi="Times New Roman"/>
                </w:rPr>
                <w:t>年上半年控制器</w:t>
              </w:r>
              <w:r>
                <w:rPr>
                  <w:rFonts w:ascii="Times New Roman" w:hAnsi="Times New Roman" w:hint="eastAsia"/>
                </w:rPr>
                <w:t>的自主化率达到</w:t>
              </w:r>
              <w:r>
                <w:rPr>
                  <w:rFonts w:ascii="Times New Roman" w:hAnsi="Times New Roman"/>
                </w:rPr>
                <w:t>71.20</w:t>
              </w:r>
              <w:r>
                <w:rPr>
                  <w:rFonts w:ascii="Times New Roman" w:hAnsi="Times New Roman" w:hint="eastAsia"/>
                </w:rPr>
                <w:t>%</w:t>
              </w:r>
              <w:r>
                <w:rPr>
                  <w:rFonts w:ascii="Times New Roman" w:hAnsi="Times New Roman"/>
                </w:rPr>
                <w:t>，</w:t>
              </w:r>
              <w:r w:rsidR="003A34E4">
                <w:rPr>
                  <w:rFonts w:ascii="Times New Roman" w:hAnsi="Times New Roman" w:hint="eastAsia"/>
                </w:rPr>
                <w:t>特别是经受住了在光伏行业高速、高精度、高可靠性要求下大批量应用的考验，为其他行业和应用的批量导入验证了性能和可靠性基础，</w:t>
              </w:r>
              <w:r>
                <w:rPr>
                  <w:rFonts w:ascii="Times New Roman" w:hAnsi="Times New Roman"/>
                </w:rPr>
                <w:t>有力推动埃夫特机器人自主化战略落地</w:t>
              </w:r>
              <w:r>
                <w:rPr>
                  <w:rFonts w:ascii="Times New Roman" w:hAnsi="Times New Roman" w:hint="eastAsia"/>
                </w:rPr>
                <w:t>；同</w:t>
              </w:r>
              <w:r>
                <w:rPr>
                  <w:rFonts w:ascii="Times New Roman" w:hAnsi="Times New Roman" w:hint="eastAsia"/>
                </w:rPr>
                <w:lastRenderedPageBreak/>
                <w:t>时，</w:t>
              </w:r>
              <w:r>
                <w:rPr>
                  <w:rFonts w:ascii="Times New Roman" w:hAnsi="Times New Roman"/>
                </w:rPr>
                <w:t>自主驱动器导入加速推进，</w:t>
              </w:r>
              <w:r>
                <w:rPr>
                  <w:rFonts w:ascii="Times New Roman" w:hAnsi="Times New Roman"/>
                </w:rPr>
                <w:t>2021</w:t>
              </w:r>
              <w:r>
                <w:rPr>
                  <w:rFonts w:ascii="Times New Roman" w:hAnsi="Times New Roman"/>
                </w:rPr>
                <w:t>年上半年</w:t>
              </w:r>
              <w:r>
                <w:rPr>
                  <w:rFonts w:ascii="Times New Roman" w:hAnsi="Times New Roman" w:hint="eastAsia"/>
                </w:rPr>
                <w:t>驱动器的自主化率</w:t>
              </w:r>
              <w:r>
                <w:rPr>
                  <w:rFonts w:ascii="Times New Roman" w:hAnsi="Times New Roman" w:hint="eastAsia"/>
                </w:rPr>
                <w:t>5</w:t>
              </w:r>
              <w:r>
                <w:rPr>
                  <w:rFonts w:ascii="Times New Roman" w:hAnsi="Times New Roman"/>
                </w:rPr>
                <w:t>.30</w:t>
              </w:r>
              <w:r>
                <w:rPr>
                  <w:rFonts w:ascii="Times New Roman" w:hAnsi="Times New Roman" w:hint="eastAsia"/>
                </w:rPr>
                <w:t>%</w:t>
              </w:r>
              <w:r>
                <w:rPr>
                  <w:rFonts w:ascii="Times New Roman" w:hAnsi="Times New Roman" w:hint="eastAsia"/>
                </w:rPr>
                <w:t>，其中</w:t>
              </w:r>
              <w:r>
                <w:rPr>
                  <w:rFonts w:ascii="Times New Roman" w:hAnsi="Times New Roman"/>
                </w:rPr>
                <w:t>桌面机器人的驱动器</w:t>
              </w:r>
              <w:r>
                <w:rPr>
                  <w:rFonts w:ascii="Times New Roman" w:hAnsi="Times New Roman" w:hint="eastAsia"/>
                </w:rPr>
                <w:t>自主化率</w:t>
              </w:r>
              <w:r>
                <w:rPr>
                  <w:rFonts w:ascii="Times New Roman" w:hAnsi="Times New Roman"/>
                </w:rPr>
                <w:t>近</w:t>
              </w:r>
              <w:r>
                <w:rPr>
                  <w:rFonts w:ascii="Times New Roman" w:hAnsi="Times New Roman"/>
                </w:rPr>
                <w:t>50%</w:t>
              </w:r>
              <w:r>
                <w:rPr>
                  <w:rFonts w:ascii="Times New Roman" w:hAnsi="Times New Roman"/>
                </w:rPr>
                <w:t>。随着自主化渗透率的逐步提升</w:t>
              </w:r>
              <w:r>
                <w:rPr>
                  <w:rFonts w:ascii="Times New Roman" w:hAnsi="Times New Roman" w:hint="eastAsia"/>
                </w:rPr>
                <w:t>、自主控制器迭代研发及国产化制造、</w:t>
              </w:r>
              <w:r>
                <w:rPr>
                  <w:rFonts w:ascii="Times New Roman" w:hAnsi="Times New Roman"/>
                </w:rPr>
                <w:t>基于场景的功能差异化优势将助推埃夫特机器人在行业应用的优势，成为埃夫特机器人成长的驱动力之一。</w:t>
              </w:r>
            </w:p>
            <w:p w14:paraId="631F27F3" w14:textId="2838F8DD" w:rsidR="00D21C1F" w:rsidRDefault="00A42880">
              <w:pPr>
                <w:pStyle w:val="aff4"/>
                <w:spacing w:line="360" w:lineRule="auto"/>
                <w:ind w:firstLine="422"/>
                <w:rPr>
                  <w:rFonts w:ascii="宋体" w:hAnsi="宋体" w:cs="宋体"/>
                  <w:b/>
                </w:rPr>
              </w:pPr>
              <w:r>
                <w:rPr>
                  <w:rFonts w:ascii="Times New Roman" w:hAnsi="Times New Roman" w:cs="宋体" w:hint="eastAsia"/>
                  <w:b/>
                </w:rPr>
                <w:t>3</w:t>
              </w:r>
              <w:r>
                <w:rPr>
                  <w:rFonts w:ascii="宋体" w:hAnsi="宋体" w:cs="宋体" w:hint="eastAsia"/>
                  <w:b/>
                </w:rPr>
                <w:t>、</w:t>
              </w:r>
              <w:r>
                <w:rPr>
                  <w:rFonts w:ascii="宋体" w:hAnsi="宋体" w:cs="宋体"/>
                  <w:b/>
                </w:rPr>
                <w:t>基于平台化产品、应用</w:t>
              </w:r>
              <w:r w:rsidR="003A34E4">
                <w:rPr>
                  <w:rFonts w:ascii="宋体" w:hAnsi="宋体" w:cs="宋体" w:hint="eastAsia"/>
                  <w:b/>
                </w:rPr>
                <w:t>和行业</w:t>
              </w:r>
              <w:r>
                <w:rPr>
                  <w:rFonts w:ascii="宋体" w:hAnsi="宋体" w:cs="宋体"/>
                  <w:b/>
                </w:rPr>
                <w:t>驱动业务的模式</w:t>
              </w:r>
            </w:p>
            <w:p w14:paraId="3D4C6EF8" w14:textId="5F5731FC"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随着工业机器人在工业领域的渗透及应用场景的不断拓展，基于</w:t>
              </w:r>
              <w:r w:rsidR="003A34E4">
                <w:rPr>
                  <w:rFonts w:ascii="Times New Roman" w:hAnsi="Times New Roman" w:cs="Times New Roman" w:hint="eastAsia"/>
                </w:rPr>
                <w:t>应用场景的加工型</w:t>
              </w:r>
              <w:r>
                <w:rPr>
                  <w:rFonts w:ascii="Times New Roman" w:hAnsi="Times New Roman" w:cs="Times New Roman"/>
                </w:rPr>
                <w:t>机器人与基于行业场景的移载型机器人以及两者的混搭将是未来市场细分的重要维度，埃夫特基于这样的市场趋势洞察，强化组织匹配，在产品平台化基础上，匹配分别聚焦基于应用</w:t>
              </w:r>
              <w:r w:rsidR="003A34E4">
                <w:rPr>
                  <w:rFonts w:ascii="Times New Roman" w:hAnsi="Times New Roman" w:cs="Times New Roman" w:hint="eastAsia"/>
                </w:rPr>
                <w:t>场景</w:t>
              </w:r>
              <w:r>
                <w:rPr>
                  <w:rFonts w:ascii="Times New Roman" w:hAnsi="Times New Roman" w:cs="Times New Roman"/>
                </w:rPr>
                <w:t>的喷涂、弧焊、打磨、码垛和基于行业场景的光伏、</w:t>
              </w:r>
              <w:r>
                <w:rPr>
                  <w:rFonts w:ascii="Times New Roman" w:hAnsi="Times New Roman" w:cs="Times New Roman"/>
                </w:rPr>
                <w:t>3C</w:t>
              </w:r>
              <w:r>
                <w:rPr>
                  <w:rFonts w:ascii="Times New Roman" w:hAnsi="Times New Roman" w:cs="Times New Roman"/>
                </w:rPr>
                <w:t>、</w:t>
              </w:r>
              <w:r>
                <w:rPr>
                  <w:rFonts w:ascii="Times New Roman" w:hAnsi="Times New Roman" w:cs="Times New Roman"/>
                </w:rPr>
                <w:t>PCB</w:t>
              </w:r>
              <w:r>
                <w:rPr>
                  <w:rFonts w:ascii="Times New Roman" w:hAnsi="Times New Roman" w:cs="Times New Roman"/>
                </w:rPr>
                <w:t>等专注、专业、专属团队，洞察市场需求、提炼应用痛点、定义产品差异化优势，开发出针对性满足价值客户价值应用的产品</w:t>
              </w:r>
              <w:r>
                <w:rPr>
                  <w:rFonts w:asciiTheme="minorEastAsia" w:eastAsiaTheme="minorEastAsia" w:hAnsiTheme="minorEastAsia" w:cs="Times New Roman" w:hint="eastAsia"/>
                </w:rPr>
                <w:t>:</w:t>
              </w:r>
              <w:r>
                <w:rPr>
                  <w:rFonts w:ascii="Times New Roman" w:hAnsi="Times New Roman" w:cs="Times New Roman"/>
                </w:rPr>
                <w:t>如</w:t>
              </w:r>
              <w:r>
                <w:rPr>
                  <w:rFonts w:ascii="Times New Roman" w:hAnsi="Times New Roman" w:cs="Times New Roman"/>
                </w:rPr>
                <w:t>ER15-1400/ER20-1100</w:t>
              </w:r>
              <w:r>
                <w:rPr>
                  <w:rFonts w:ascii="Times New Roman" w:hAnsi="Times New Roman" w:cs="Times New Roman" w:hint="eastAsia"/>
                </w:rPr>
                <w:t>，</w:t>
              </w:r>
              <w:r>
                <w:rPr>
                  <w:rFonts w:ascii="Times New Roman" w:hAnsi="Times New Roman" w:cs="Times New Roman"/>
                </w:rPr>
                <w:t>融合对光伏</w:t>
              </w:r>
              <w:r w:rsidR="003A34E4">
                <w:rPr>
                  <w:rFonts w:ascii="Times New Roman" w:hAnsi="Times New Roman" w:cs="Times New Roman" w:hint="eastAsia"/>
                </w:rPr>
                <w:t>行业插片</w:t>
              </w:r>
              <w:r>
                <w:rPr>
                  <w:rFonts w:ascii="Times New Roman" w:hAnsi="Times New Roman" w:cs="Times New Roman"/>
                </w:rPr>
                <w:t>、</w:t>
              </w:r>
              <w:r>
                <w:rPr>
                  <w:rFonts w:ascii="Times New Roman" w:hAnsi="Times New Roman" w:cs="Times New Roman"/>
                </w:rPr>
                <w:t>PCB</w:t>
              </w:r>
              <w:r w:rsidR="003A34E4">
                <w:rPr>
                  <w:rFonts w:ascii="Times New Roman" w:hAnsi="Times New Roman" w:cs="Times New Roman" w:hint="eastAsia"/>
                </w:rPr>
                <w:t>转运</w:t>
              </w:r>
              <w:r>
                <w:rPr>
                  <w:rFonts w:ascii="Times New Roman" w:hAnsi="Times New Roman" w:cs="Times New Roman"/>
                </w:rPr>
                <w:t>、</w:t>
              </w:r>
              <w:r w:rsidR="003A34E4">
                <w:rPr>
                  <w:rFonts w:ascii="Times New Roman" w:hAnsi="Times New Roman" w:cs="Times New Roman" w:hint="eastAsia"/>
                </w:rPr>
                <w:t>3</w:t>
              </w:r>
              <w:r w:rsidR="003A34E4">
                <w:rPr>
                  <w:rFonts w:ascii="Times New Roman" w:hAnsi="Times New Roman" w:cs="Times New Roman"/>
                </w:rPr>
                <w:t>C</w:t>
              </w:r>
              <w:r w:rsidR="003A34E4">
                <w:rPr>
                  <w:rFonts w:ascii="Times New Roman" w:hAnsi="Times New Roman" w:cs="Times New Roman" w:hint="eastAsia"/>
                </w:rPr>
                <w:t>行业</w:t>
              </w:r>
              <w:r>
                <w:rPr>
                  <w:rFonts w:ascii="Times New Roman" w:hAnsi="Times New Roman" w:cs="Times New Roman"/>
                </w:rPr>
                <w:t>打磨等具体</w:t>
              </w:r>
              <w:r>
                <w:rPr>
                  <w:rFonts w:ascii="Times New Roman" w:hAnsi="Times New Roman" w:cs="Times New Roman" w:hint="eastAsia"/>
                </w:rPr>
                <w:t>行业与</w:t>
              </w:r>
              <w:r>
                <w:rPr>
                  <w:rFonts w:ascii="Times New Roman" w:hAnsi="Times New Roman" w:cs="Times New Roman"/>
                </w:rPr>
                <w:t>场景的</w:t>
              </w:r>
              <w:r w:rsidR="003A34E4">
                <w:rPr>
                  <w:rFonts w:ascii="Times New Roman" w:hAnsi="Times New Roman" w:cs="Times New Roman" w:hint="eastAsia"/>
                </w:rPr>
                <w:t>综合</w:t>
              </w:r>
              <w:r>
                <w:rPr>
                  <w:rFonts w:ascii="Times New Roman" w:hAnsi="Times New Roman" w:cs="Times New Roman"/>
                </w:rPr>
                <w:t>要求开发的</w:t>
              </w:r>
              <w:r w:rsidR="003A34E4">
                <w:rPr>
                  <w:rFonts w:ascii="Times New Roman" w:hAnsi="Times New Roman" w:cs="Times New Roman" w:hint="eastAsia"/>
                </w:rPr>
                <w:t>平台化</w:t>
              </w:r>
              <w:r>
                <w:rPr>
                  <w:rFonts w:ascii="Times New Roman" w:hAnsi="Times New Roman" w:cs="Times New Roman"/>
                </w:rPr>
                <w:t>产品在上半年商业表现不俗</w:t>
              </w:r>
              <w:r>
                <w:rPr>
                  <w:rFonts w:ascii="Times New Roman" w:hAnsi="Times New Roman" w:cs="Times New Roman" w:hint="eastAsia"/>
                </w:rPr>
                <w:t>。</w:t>
              </w:r>
            </w:p>
            <w:p w14:paraId="3849E3D4" w14:textId="77777777" w:rsidR="00D21C1F" w:rsidRDefault="00A42880">
              <w:pPr>
                <w:spacing w:line="360" w:lineRule="auto"/>
                <w:ind w:firstLineChars="200" w:firstLine="420"/>
                <w:jc w:val="center"/>
                <w:rPr>
                  <w:rFonts w:asciiTheme="minorEastAsia" w:hAnsiTheme="minorEastAsia"/>
                </w:rPr>
              </w:pPr>
              <w:r>
                <w:rPr>
                  <w:noProof/>
                </w:rPr>
                <w:drawing>
                  <wp:inline distT="0" distB="0" distL="114300" distR="114300" wp14:anchorId="0E0E993D" wp14:editId="61197194">
                    <wp:extent cx="4980305" cy="2801620"/>
                    <wp:effectExtent l="0" t="0" r="23495" b="17780"/>
                    <wp:docPr id="22" name="图片 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04"/>
                            <pic:cNvPicPr>
                              <a:picLocks noChangeAspect="1"/>
                            </pic:cNvPicPr>
                          </pic:nvPicPr>
                          <pic:blipFill>
                            <a:blip r:embed="rId24"/>
                            <a:stretch>
                              <a:fillRect/>
                            </a:stretch>
                          </pic:blipFill>
                          <pic:spPr>
                            <a:xfrm>
                              <a:off x="0" y="0"/>
                              <a:ext cx="4980305" cy="2801620"/>
                            </a:xfrm>
                            <a:prstGeom prst="rect">
                              <a:avLst/>
                            </a:prstGeom>
                          </pic:spPr>
                        </pic:pic>
                      </a:graphicData>
                    </a:graphic>
                  </wp:inline>
                </w:drawing>
              </w:r>
            </w:p>
            <w:p w14:paraId="05B61DA7" w14:textId="6EDB80FD" w:rsidR="00D21C1F" w:rsidRDefault="00A42880">
              <w:pPr>
                <w:pStyle w:val="aff4"/>
                <w:spacing w:line="360" w:lineRule="auto"/>
                <w:ind w:firstLine="422"/>
                <w:rPr>
                  <w:rFonts w:ascii="宋体" w:hAnsi="宋体" w:cs="宋体"/>
                  <w:b/>
                </w:rPr>
              </w:pPr>
              <w:r>
                <w:rPr>
                  <w:rFonts w:ascii="Times New Roman" w:hAnsi="Times New Roman" w:cs="宋体" w:hint="eastAsia"/>
                  <w:b/>
                </w:rPr>
                <w:t>4</w:t>
              </w:r>
              <w:r>
                <w:rPr>
                  <w:rFonts w:ascii="宋体" w:hAnsi="宋体" w:cs="宋体" w:hint="eastAsia"/>
                  <w:b/>
                </w:rPr>
                <w:t>、</w:t>
              </w:r>
              <w:r>
                <w:rPr>
                  <w:rFonts w:ascii="宋体" w:hAnsi="宋体" w:cs="宋体"/>
                  <w:b/>
                </w:rPr>
                <w:t>基于</w:t>
              </w:r>
              <w:r w:rsidR="003A34E4">
                <w:rPr>
                  <w:rFonts w:ascii="宋体" w:hAnsi="宋体" w:cs="宋体" w:hint="eastAsia"/>
                  <w:b/>
                </w:rPr>
                <w:t>机器人</w:t>
              </w:r>
              <w:r>
                <w:rPr>
                  <w:rFonts w:ascii="宋体" w:hAnsi="宋体" w:cs="宋体"/>
                  <w:b/>
                </w:rPr>
                <w:t>产品、</w:t>
              </w:r>
              <w:r>
                <w:rPr>
                  <w:rFonts w:ascii="宋体" w:hAnsi="宋体" w:cs="宋体" w:hint="eastAsia"/>
                  <w:b/>
                </w:rPr>
                <w:t>系统集成应用持续拓展主航道</w:t>
              </w:r>
              <w:r>
                <w:rPr>
                  <w:rFonts w:ascii="宋体" w:hAnsi="宋体" w:cs="宋体"/>
                  <w:b/>
                </w:rPr>
                <w:t>应用场景</w:t>
              </w:r>
            </w:p>
            <w:p w14:paraId="369C36C8"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hint="eastAsia"/>
                </w:rPr>
                <w:t>在通用工业领域，公司系统集成子公司作为公司工业机器人在细分行业和应用场景的工程应用示范团队、解决方案输出技术支持团队，负责公司工业机器人在细分行业和应用场景的开发。</w:t>
              </w:r>
            </w:p>
            <w:p w14:paraId="21EE6974"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hint="eastAsia"/>
                </w:rPr>
                <w:t>子公司芜湖希美埃作为公司喷涂机器人在轨道交通、汽车零部件、集装箱、工程机械、金属五金等细分领域喷涂应用的工程应用示范团队以及方案输出技术支持团队，助力公司机器人产品在相应细分行业的开发。报告期内，芜湖希美埃助力公司</w:t>
              </w:r>
              <w:r>
                <w:rPr>
                  <w:rFonts w:hint="eastAsia"/>
                  <w:szCs w:val="21"/>
                </w:rPr>
                <w:t>开发的</w:t>
              </w:r>
              <w:r>
                <w:rPr>
                  <w:rFonts w:ascii="Times New Roman" w:hAnsi="Times New Roman" w:cs="Times New Roman"/>
                  <w:szCs w:val="21"/>
                </w:rPr>
                <w:t>GR6150HW</w:t>
              </w:r>
              <w:r>
                <w:rPr>
                  <w:rFonts w:ascii="Times New Roman" w:hAnsi="Times New Roman" w:cs="Times New Roman"/>
                  <w:szCs w:val="21"/>
                </w:rPr>
                <w:t>、</w:t>
              </w:r>
              <w:r>
                <w:rPr>
                  <w:rFonts w:ascii="Times New Roman" w:hAnsi="Times New Roman" w:cs="Times New Roman"/>
                  <w:szCs w:val="21"/>
                </w:rPr>
                <w:t>GR6160</w:t>
              </w:r>
              <w:r>
                <w:rPr>
                  <w:rFonts w:ascii="Times New Roman" w:hAnsi="Times New Roman" w:cs="Times New Roman"/>
                  <w:szCs w:val="21"/>
                </w:rPr>
                <w:t>、</w:t>
              </w:r>
              <w:r>
                <w:rPr>
                  <w:rFonts w:ascii="Times New Roman" w:hAnsi="Times New Roman" w:cs="Times New Roman"/>
                  <w:szCs w:val="21"/>
                </w:rPr>
                <w:t>GR680</w:t>
              </w:r>
              <w:r>
                <w:rPr>
                  <w:rFonts w:hint="eastAsia"/>
                  <w:szCs w:val="21"/>
                </w:rPr>
                <w:t>等喷涂机器人，成功应用到中航科工、中远海运、合力叉车等灯塔客户，并出口返销至意大利，通过意大利</w:t>
              </w:r>
              <w:r>
                <w:rPr>
                  <w:rFonts w:ascii="Times New Roman" w:hAnsi="Times New Roman" w:cs="Times New Roman"/>
                  <w:szCs w:val="21"/>
                </w:rPr>
                <w:t>CMA</w:t>
              </w:r>
              <w:r>
                <w:rPr>
                  <w:rFonts w:hint="eastAsia"/>
                  <w:szCs w:val="21"/>
                </w:rPr>
                <w:t>集成应用并销售给欧洲、美洲客户。</w:t>
              </w:r>
              <w:r>
                <w:rPr>
                  <w:rFonts w:ascii="Times New Roman" w:hAnsi="Times New Roman" w:cs="Times New Roman" w:hint="eastAsia"/>
                </w:rPr>
                <w:t>子公司芜湖埃华路作为公司工业机器人在打磨、上下料应用的工程应用示范团队以及方案输出技术支持团队，负责埃夫特机器人在打磨、上下料应用领域的开发。报告期内，芜湖埃华路持续</w:t>
              </w:r>
              <w:r>
                <w:rPr>
                  <w:rFonts w:hint="eastAsia"/>
                  <w:szCs w:val="21"/>
                </w:rPr>
                <w:t>开发标准化智能打磨机器人产品，向俄罗斯成功出口机器人柔性打磨系统，并向灯塔客户三一重工、应流集团提供机器人解决方案。子公司</w:t>
              </w:r>
              <w:r>
                <w:rPr>
                  <w:rFonts w:ascii="Times New Roman" w:hAnsi="Times New Roman" w:cs="Times New Roman" w:hint="eastAsia"/>
                </w:rPr>
                <w:lastRenderedPageBreak/>
                <w:t>广东埃华路作为公司工业机器人在抛光、物流应用领域的工程应用示范团队以及方案输出技术支持团队，负责埃夫特机器人在抛光、物流应用领域的开发。报告期内</w:t>
              </w:r>
              <w:r>
                <w:rPr>
                  <w:rFonts w:hint="eastAsia"/>
                  <w:szCs w:val="21"/>
                </w:rPr>
                <w:t>成功开发刀剪行业灯塔客户永光刀剪、医疗植入物行业灯塔客户春立医疗、特高压行业灯塔客户特变电工等。</w:t>
              </w:r>
            </w:p>
            <w:p w14:paraId="525055F7" w14:textId="77777777" w:rsidR="00D21C1F" w:rsidRDefault="00A42880">
              <w:pPr>
                <w:spacing w:line="360" w:lineRule="auto"/>
                <w:ind w:firstLineChars="200" w:firstLine="420"/>
                <w:rPr>
                  <w:rFonts w:ascii="Times New Roman" w:eastAsiaTheme="minorEastAsia" w:hAnsi="Times New Roman" w:cs="Times New Roman"/>
                  <w:kern w:val="2"/>
                </w:rPr>
              </w:pPr>
              <w:r>
                <w:rPr>
                  <w:rFonts w:ascii="Times New Roman" w:hAnsi="Times New Roman" w:cs="Times New Roman" w:hint="eastAsia"/>
                </w:rPr>
                <w:t>在汽车工业领域，</w:t>
              </w:r>
              <w:r>
                <w:rPr>
                  <w:rFonts w:ascii="Times New Roman" w:eastAsiaTheme="minorEastAsia" w:hAnsi="Times New Roman" w:cs="Times New Roman" w:hint="eastAsia"/>
                  <w:kern w:val="2"/>
                </w:rPr>
                <w:t>随着全球疫情逐步恢复，全球汽车行业较上年同期有所恢复，但各地区进度不一，同时全球芯片等供应链端短缺，对汽车行业产能的恢复有一定影响。公司境外汽车集成业务受全球汽车行业大环境影响，报告期内因去年疫情延迟执行的订单逐步恢复，但新订单的获取进度不及预期，产能未充分利用。境内汽车集成</w:t>
              </w:r>
              <w:r>
                <w:rPr>
                  <w:rFonts w:asciiTheme="minorEastAsia" w:hAnsiTheme="minorEastAsia" w:hint="eastAsia"/>
                </w:rPr>
                <w:t>团队持续将</w:t>
              </w:r>
              <w:r>
                <w:rPr>
                  <w:rFonts w:ascii="Times New Roman" w:eastAsiaTheme="minorEastAsia" w:hAnsi="Times New Roman" w:cs="Times New Roman" w:hint="eastAsia"/>
                  <w:kern w:val="2"/>
                </w:rPr>
                <w:t>智能制造方案推广到新能源汽车领域：</w:t>
              </w:r>
              <w:r>
                <w:rPr>
                  <w:rFonts w:ascii="Times New Roman" w:eastAsiaTheme="minorEastAsia" w:hAnsi="Times New Roman" w:cs="Times New Roman" w:hint="eastAsia"/>
                  <w:kern w:val="2"/>
                </w:rPr>
                <w:t>2021</w:t>
              </w:r>
              <w:r>
                <w:rPr>
                  <w:rFonts w:ascii="Times New Roman" w:eastAsiaTheme="minorEastAsia" w:hAnsi="Times New Roman" w:cs="Times New Roman" w:hint="eastAsia"/>
                  <w:kern w:val="2"/>
                </w:rPr>
                <w:t>年上半年公司在新能源汽车企业的焊装工艺生产环节提供应用全套的</w:t>
              </w:r>
              <w:r>
                <w:rPr>
                  <w:rFonts w:ascii="Times New Roman" w:eastAsiaTheme="minorEastAsia" w:hAnsi="Times New Roman" w:cs="Times New Roman"/>
                  <w:kern w:val="2"/>
                </w:rPr>
                <w:t>Andon</w:t>
              </w:r>
              <w:r>
                <w:rPr>
                  <w:rFonts w:ascii="Times New Roman" w:eastAsiaTheme="minorEastAsia" w:hAnsi="Times New Roman" w:cs="Times New Roman"/>
                  <w:kern w:val="2"/>
                </w:rPr>
                <w:t>、设备监控</w:t>
              </w:r>
              <w:r>
                <w:rPr>
                  <w:rFonts w:ascii="Times New Roman" w:eastAsiaTheme="minorEastAsia" w:hAnsi="Times New Roman" w:cs="Times New Roman"/>
                  <w:kern w:val="2"/>
                </w:rPr>
                <w:t>PMC</w:t>
              </w:r>
              <w:r>
                <w:rPr>
                  <w:rFonts w:ascii="Times New Roman" w:eastAsiaTheme="minorEastAsia" w:hAnsi="Times New Roman" w:cs="Times New Roman"/>
                  <w:kern w:val="2"/>
                </w:rPr>
                <w:t>、车辆跟踪</w:t>
              </w:r>
              <w:r>
                <w:rPr>
                  <w:rFonts w:ascii="Times New Roman" w:eastAsiaTheme="minorEastAsia" w:hAnsi="Times New Roman" w:cs="Times New Roman"/>
                  <w:kern w:val="2"/>
                </w:rPr>
                <w:t>AVI</w:t>
              </w:r>
              <w:r>
                <w:rPr>
                  <w:rFonts w:ascii="Times New Roman" w:eastAsiaTheme="minorEastAsia" w:hAnsi="Times New Roman" w:cs="Times New Roman"/>
                  <w:kern w:val="2"/>
                </w:rPr>
                <w:t>系统，在白车身车体跟踪、路由再排序管理、关键件信息绑定方面形成标准化模块，建立完善的自动化系统三层网络架构和企业数据采集标准，实现上位系统与底层数据的物理隔离</w:t>
              </w:r>
              <w:r>
                <w:rPr>
                  <w:rFonts w:ascii="Times New Roman" w:eastAsiaTheme="minorEastAsia" w:hAnsi="Times New Roman" w:cs="Times New Roman" w:hint="eastAsia"/>
                  <w:kern w:val="2"/>
                </w:rPr>
                <w:t>。汽车工业系统集成业务毛利仍处于较低水平，主要因为全球疫情之后各地区的投资恢复情况进度不一，公司汽车集成业务产能未充分使用所致。报告期内公司积极面对宏观环境的挑战进行主动调整，包括将欧洲一部分设计工作转移到印度，优化人员结构，以降低固定成本提升效率。</w:t>
              </w:r>
            </w:p>
            <w:p w14:paraId="6EFEC1DD" w14:textId="77777777" w:rsidR="00D21C1F" w:rsidRDefault="00A42880">
              <w:pPr>
                <w:pStyle w:val="aff4"/>
                <w:spacing w:line="360" w:lineRule="auto"/>
                <w:ind w:firstLine="422"/>
                <w:rPr>
                  <w:rFonts w:ascii="宋体" w:hAnsi="宋体" w:cs="宋体"/>
                  <w:b/>
                </w:rPr>
              </w:pPr>
              <w:r>
                <w:rPr>
                  <w:rFonts w:ascii="Times New Roman" w:hAnsi="Times New Roman" w:cs="宋体" w:hint="eastAsia"/>
                  <w:b/>
                </w:rPr>
                <w:t>5</w:t>
              </w:r>
              <w:r>
                <w:rPr>
                  <w:rFonts w:ascii="宋体" w:hAnsi="宋体" w:cs="宋体" w:hint="eastAsia"/>
                  <w:b/>
                </w:rPr>
                <w:t>、持续推进智能共享工厂新商业模式探索</w:t>
              </w:r>
            </w:p>
            <w:p w14:paraId="3E603305" w14:textId="77777777" w:rsidR="00D21C1F" w:rsidRDefault="00A42880">
              <w:pPr>
                <w:spacing w:line="360" w:lineRule="auto"/>
                <w:ind w:firstLineChars="200" w:firstLine="420"/>
                <w:jc w:val="both"/>
              </w:pPr>
              <w:r>
                <w:rPr>
                  <w:rFonts w:hint="eastAsia"/>
                </w:rPr>
                <w:t>公司持续探索和推行“智能共享工厂”模式，在通用工业产业集聚区，通过智能共享工厂为产业聚集区的中小企业集中提供租赁服务、代加工服务，通过集中服务实现规模效应。该模式下，中小企业无需进行设备投资，解决投资门槛的问题，无需为设备操作、编程、运维等事项操心，也解决了不会用的问题。该模式解决了企业用工荒导致的停产问题、产品制造环节一致性差的问题，并化解了企业的职业病防护风险，同时帮助地方政府实现了环保集中控制。</w:t>
              </w:r>
            </w:p>
            <w:p w14:paraId="0B922AD9" w14:textId="6D9FEF30" w:rsidR="00D21C1F" w:rsidRDefault="00A42880">
              <w:pPr>
                <w:spacing w:line="360" w:lineRule="auto"/>
                <w:ind w:firstLineChars="200" w:firstLine="420"/>
                <w:jc w:val="both"/>
              </w:pPr>
              <w:r>
                <w:rPr>
                  <w:rFonts w:hint="eastAsia"/>
                </w:rPr>
                <w:t>为更好的聚焦资源，公司选定家具行业作为共享工厂模式首选的推广行业，报告期内公司</w:t>
              </w:r>
              <w:r w:rsidR="00574874">
                <w:rPr>
                  <w:rFonts w:hint="eastAsia"/>
                </w:rPr>
                <w:t>与合作伙伴</w:t>
              </w:r>
              <w:r>
                <w:rPr>
                  <w:rFonts w:hint="eastAsia"/>
                </w:rPr>
                <w:t>完成赣州南康地区的智能共享工厂试点项目第二期厂房投建</w:t>
              </w:r>
              <w:r w:rsidR="00574874">
                <w:rPr>
                  <w:rFonts w:hint="eastAsia"/>
                </w:rPr>
                <w:t>。</w:t>
              </w:r>
              <w:r>
                <w:rPr>
                  <w:rFonts w:hint="eastAsia"/>
                </w:rPr>
                <w:t>截止本报告发布日，赣州二期共享工厂已正式投产。除赣州南康外，公司积极推进其他家具产业聚集区的共享工厂项目，目前已与河南长葛后河镇人民政府签署了在当地建立浴室柜喷涂共享工厂的合作框架协议，该地区为浴室柜生产的产业聚集区。未来</w:t>
              </w:r>
              <w:r>
                <w:rPr>
                  <w:rFonts w:ascii="Times New Roman" w:hAnsi="Times New Roman" w:cs="Times New Roman"/>
                </w:rPr>
                <w:t>3-5</w:t>
              </w:r>
              <w:r>
                <w:t>年“智能共享工厂”模式将是埃夫特重点发展领域之一。</w:t>
              </w:r>
            </w:p>
            <w:tbl>
              <w:tblPr>
                <w:tblStyle w:val="aff0"/>
                <w:tblW w:w="0" w:type="auto"/>
                <w:tblLook w:val="04A0" w:firstRow="1" w:lastRow="0" w:firstColumn="1" w:lastColumn="0" w:noHBand="0" w:noVBand="1"/>
              </w:tblPr>
              <w:tblGrid>
                <w:gridCol w:w="4416"/>
                <w:gridCol w:w="4417"/>
              </w:tblGrid>
              <w:tr w:rsidR="00D21C1F" w14:paraId="086C79EA" w14:textId="77777777">
                <w:tc>
                  <w:tcPr>
                    <w:tcW w:w="9049" w:type="dxa"/>
                    <w:gridSpan w:val="2"/>
                    <w:tcBorders>
                      <w:top w:val="nil"/>
                      <w:left w:val="nil"/>
                      <w:bottom w:val="nil"/>
                      <w:right w:val="nil"/>
                    </w:tcBorders>
                  </w:tcPr>
                  <w:p w14:paraId="01828D1E" w14:textId="77777777" w:rsidR="00D21C1F" w:rsidRDefault="00A42880">
                    <w:pPr>
                      <w:spacing w:line="360" w:lineRule="auto"/>
                      <w:jc w:val="center"/>
                    </w:pPr>
                    <w:r>
                      <w:rPr>
                        <w:rFonts w:hint="eastAsia"/>
                      </w:rPr>
                      <w:t>赣州二期共享工厂作业图</w:t>
                    </w:r>
                  </w:p>
                </w:tc>
              </w:tr>
              <w:tr w:rsidR="00D21C1F" w14:paraId="35DC5800" w14:textId="77777777">
                <w:tc>
                  <w:tcPr>
                    <w:tcW w:w="4524" w:type="dxa"/>
                    <w:tcBorders>
                      <w:top w:val="nil"/>
                      <w:left w:val="nil"/>
                      <w:bottom w:val="nil"/>
                      <w:right w:val="nil"/>
                    </w:tcBorders>
                  </w:tcPr>
                  <w:p w14:paraId="448DBA75" w14:textId="77777777" w:rsidR="00D21C1F" w:rsidRDefault="00A42880">
                    <w:pPr>
                      <w:spacing w:line="360" w:lineRule="auto"/>
                      <w:jc w:val="right"/>
                    </w:pPr>
                    <w:r>
                      <w:rPr>
                        <w:noProof/>
                      </w:rPr>
                      <w:drawing>
                        <wp:inline distT="0" distB="0" distL="0" distR="0" wp14:anchorId="2827325A" wp14:editId="02C37CA4">
                          <wp:extent cx="2542540" cy="1676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2542541" cy="1676400"/>
                                  </a:xfrm>
                                  <a:prstGeom prst="rect">
                                    <a:avLst/>
                                  </a:prstGeom>
                                </pic:spPr>
                              </pic:pic>
                            </a:graphicData>
                          </a:graphic>
                        </wp:inline>
                      </w:drawing>
                    </w:r>
                  </w:p>
                </w:tc>
                <w:tc>
                  <w:tcPr>
                    <w:tcW w:w="4525" w:type="dxa"/>
                    <w:tcBorders>
                      <w:top w:val="nil"/>
                      <w:left w:val="nil"/>
                      <w:bottom w:val="nil"/>
                      <w:right w:val="nil"/>
                    </w:tcBorders>
                  </w:tcPr>
                  <w:p w14:paraId="0C37058B" w14:textId="77777777" w:rsidR="00D21C1F" w:rsidRDefault="00A42880">
                    <w:pPr>
                      <w:spacing w:line="360" w:lineRule="auto"/>
                    </w:pPr>
                    <w:r>
                      <w:rPr>
                        <w:noProof/>
                      </w:rPr>
                      <w:drawing>
                        <wp:inline distT="0" distB="0" distL="0" distR="0" wp14:anchorId="2091602B" wp14:editId="04231B22">
                          <wp:extent cx="2541905" cy="16833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2542452" cy="1683385"/>
                                  </a:xfrm>
                                  <a:prstGeom prst="rect">
                                    <a:avLst/>
                                  </a:prstGeom>
                                </pic:spPr>
                              </pic:pic>
                            </a:graphicData>
                          </a:graphic>
                        </wp:inline>
                      </w:drawing>
                    </w:r>
                  </w:p>
                </w:tc>
              </w:tr>
            </w:tbl>
            <w:p w14:paraId="72B9DCCC" w14:textId="77777777" w:rsidR="00D21C1F" w:rsidRDefault="00A42880">
              <w:pPr>
                <w:pStyle w:val="aff4"/>
                <w:numPr>
                  <w:ilvl w:val="255"/>
                  <w:numId w:val="0"/>
                </w:numPr>
                <w:spacing w:line="360" w:lineRule="auto"/>
                <w:ind w:left="420"/>
                <w:rPr>
                  <w:rFonts w:asciiTheme="minorEastAsia" w:hAnsiTheme="minorEastAsia"/>
                  <w:b/>
                </w:rPr>
              </w:pPr>
              <w:r>
                <w:rPr>
                  <w:rFonts w:ascii="Times New Roman" w:hAnsi="Times New Roman" w:hint="eastAsia"/>
                  <w:b/>
                </w:rPr>
                <w:t>6</w:t>
              </w:r>
              <w:r>
                <w:rPr>
                  <w:rFonts w:asciiTheme="minorEastAsia" w:hAnsiTheme="minorEastAsia" w:hint="eastAsia"/>
                  <w:b/>
                </w:rPr>
                <w:t>、保持战略定力，持续加大研发投入</w:t>
              </w:r>
            </w:p>
            <w:p w14:paraId="5F586DD3"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lastRenderedPageBreak/>
                <w:t>报告期内，公司不断寻求技术突破以加强产品差异化竞争力。公司本期研发</w:t>
              </w:r>
              <w:r>
                <w:rPr>
                  <w:rFonts w:ascii="Times New Roman" w:hAnsi="Times New Roman" w:cs="Times New Roman" w:hint="eastAsia"/>
                </w:rPr>
                <w:t>投入</w:t>
              </w:r>
              <w:r>
                <w:rPr>
                  <w:rFonts w:ascii="Times New Roman" w:hAnsi="Times New Roman" w:cs="Times New Roman"/>
                </w:rPr>
                <w:t>4,968.84</w:t>
              </w:r>
              <w:r>
                <w:rPr>
                  <w:rFonts w:ascii="Times New Roman" w:hAnsi="Times New Roman" w:cs="Times New Roman"/>
                </w:rPr>
                <w:t>万元，研发投入占营业收入</w:t>
              </w:r>
              <w:r>
                <w:rPr>
                  <w:rFonts w:ascii="Times New Roman" w:hAnsi="Times New Roman" w:cs="Times New Roman"/>
                </w:rPr>
                <w:t>8.69%</w:t>
              </w:r>
              <w:r>
                <w:rPr>
                  <w:rFonts w:ascii="Times New Roman" w:hAnsi="Times New Roman" w:cs="Times New Roman"/>
                </w:rPr>
                <w:t>，较去年同期增加</w:t>
              </w:r>
              <w:r>
                <w:rPr>
                  <w:rFonts w:ascii="Times New Roman" w:hAnsi="Times New Roman" w:cs="Times New Roman"/>
                </w:rPr>
                <w:t>54.67%</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截至报告期末，公司拥有境内外专利</w:t>
              </w:r>
              <w:r>
                <w:rPr>
                  <w:rFonts w:ascii="Times New Roman" w:hAnsi="Times New Roman" w:cs="Times New Roman"/>
                </w:rPr>
                <w:t>298</w:t>
              </w:r>
              <w:r>
                <w:rPr>
                  <w:rFonts w:ascii="Times New Roman" w:hAnsi="Times New Roman" w:cs="Times New Roman"/>
                </w:rPr>
                <w:t>项（包括发明专利</w:t>
              </w:r>
              <w:r>
                <w:rPr>
                  <w:rFonts w:ascii="Times New Roman" w:hAnsi="Times New Roman" w:cs="Times New Roman"/>
                </w:rPr>
                <w:t>42</w:t>
              </w:r>
              <w:r>
                <w:rPr>
                  <w:rFonts w:ascii="Times New Roman" w:hAnsi="Times New Roman" w:cs="Times New Roman"/>
                </w:rPr>
                <w:t>项）及软件著作权</w:t>
              </w:r>
              <w:r>
                <w:rPr>
                  <w:rFonts w:ascii="Times New Roman" w:hAnsi="Times New Roman" w:cs="Times New Roman"/>
                </w:rPr>
                <w:t>30</w:t>
              </w:r>
              <w:r>
                <w:rPr>
                  <w:rFonts w:ascii="Times New Roman" w:hAnsi="Times New Roman" w:cs="Times New Roman"/>
                </w:rPr>
                <w:t>项，其中本报告期新增专利</w:t>
              </w:r>
              <w:r>
                <w:rPr>
                  <w:rFonts w:ascii="Times New Roman" w:hAnsi="Times New Roman" w:cs="Times New Roman"/>
                </w:rPr>
                <w:t>28</w:t>
              </w:r>
              <w:r>
                <w:rPr>
                  <w:rFonts w:ascii="Times New Roman" w:hAnsi="Times New Roman" w:cs="Times New Roman"/>
                </w:rPr>
                <w:t>项</w:t>
              </w:r>
              <w:r>
                <w:rPr>
                  <w:rFonts w:ascii="Times New Roman" w:hAnsi="Times New Roman" w:cs="Times New Roman" w:hint="eastAsia"/>
                </w:rPr>
                <w:t>（包括发明专利</w:t>
              </w:r>
              <w:r>
                <w:rPr>
                  <w:rFonts w:ascii="Times New Roman" w:hAnsi="Times New Roman" w:cs="Times New Roman" w:hint="eastAsia"/>
                </w:rPr>
                <w:t>1</w:t>
              </w:r>
              <w:r>
                <w:rPr>
                  <w:rFonts w:ascii="Times New Roman" w:hAnsi="Times New Roman" w:cs="Times New Roman" w:hint="eastAsia"/>
                </w:rPr>
                <w:t>项）</w:t>
              </w:r>
              <w:r>
                <w:rPr>
                  <w:rFonts w:ascii="Times New Roman" w:hAnsi="Times New Roman" w:cs="Times New Roman"/>
                </w:rPr>
                <w:t>，软件著作权</w:t>
              </w:r>
              <w:r>
                <w:rPr>
                  <w:rFonts w:ascii="Times New Roman" w:hAnsi="Times New Roman" w:cs="Times New Roman"/>
                </w:rPr>
                <w:t>7</w:t>
              </w:r>
              <w:r>
                <w:rPr>
                  <w:rFonts w:ascii="Times New Roman" w:hAnsi="Times New Roman" w:cs="Times New Roman"/>
                </w:rPr>
                <w:t>项。</w:t>
              </w:r>
            </w:p>
            <w:p w14:paraId="5E7A3142"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2021</w:t>
              </w:r>
              <w:r>
                <w:rPr>
                  <w:rFonts w:ascii="Times New Roman" w:hAnsi="Times New Roman" w:cs="Times New Roman"/>
                </w:rPr>
                <w:t>年上半年公司研发成果以自主化核心零部件持续导入测试及</w:t>
              </w:r>
              <w:r>
                <w:rPr>
                  <w:rFonts w:ascii="Times New Roman" w:hAnsi="Times New Roman" w:cs="Times New Roman"/>
                </w:rPr>
                <w:t>20</w:t>
              </w:r>
              <w:r>
                <w:rPr>
                  <w:rFonts w:ascii="Times New Roman" w:hAnsi="Times New Roman" w:cs="Times New Roman"/>
                </w:rPr>
                <w:t>年开发的新产品持续上量为主，</w:t>
              </w:r>
              <w:r>
                <w:rPr>
                  <w:rFonts w:ascii="Times New Roman" w:hAnsi="Times New Roman" w:cs="Times New Roman"/>
                </w:rPr>
                <w:t>21</w:t>
              </w:r>
              <w:r>
                <w:rPr>
                  <w:rFonts w:ascii="Times New Roman" w:hAnsi="Times New Roman" w:cs="Times New Roman"/>
                </w:rPr>
                <w:t>年新立项项目处于开发前期阶段。具体为：</w:t>
              </w:r>
            </w:p>
            <w:p w14:paraId="10C0A99D"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核心零部件自主化方面：继续对</w:t>
              </w:r>
              <w:r>
                <w:rPr>
                  <w:rFonts w:ascii="Times New Roman" w:hAnsi="Times New Roman" w:cs="Times New Roman"/>
                </w:rPr>
                <w:t>EC-S</w:t>
              </w:r>
              <w:r>
                <w:rPr>
                  <w:rFonts w:ascii="Times New Roman" w:hAnsi="Times New Roman" w:cs="Times New Roman"/>
                </w:rPr>
                <w:t>、</w:t>
              </w:r>
              <w:r>
                <w:rPr>
                  <w:rFonts w:ascii="Times New Roman" w:hAnsi="Times New Roman" w:cs="Times New Roman"/>
                </w:rPr>
                <w:t>EC-M</w:t>
              </w:r>
              <w:r>
                <w:rPr>
                  <w:rFonts w:ascii="Times New Roman" w:hAnsi="Times New Roman" w:cs="Times New Roman"/>
                </w:rPr>
                <w:t>电控柜对接新机器人本体进行测试，扩大自主化驱动器适用机型范围；</w:t>
              </w:r>
            </w:p>
            <w:p w14:paraId="4A37B072"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机器人产品方面：协作机器人</w:t>
              </w:r>
              <w:r>
                <w:rPr>
                  <w:rFonts w:ascii="Times New Roman" w:hAnsi="Times New Roman" w:cs="Times New Roman"/>
                </w:rPr>
                <w:t>ECR3</w:t>
              </w:r>
              <w:r>
                <w:rPr>
                  <w:rFonts w:ascii="Times New Roman" w:hAnsi="Times New Roman" w:cs="Times New Roman"/>
                </w:rPr>
                <w:t>完成预研样机开发，新立项多款机器人产品正在开发中；</w:t>
              </w:r>
            </w:p>
            <w:p w14:paraId="5578D908" w14:textId="75F058BA"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机器人性能和标准化</w:t>
              </w:r>
              <w:r w:rsidR="003A34E4">
                <w:rPr>
                  <w:rFonts w:ascii="Times New Roman" w:hAnsi="Times New Roman" w:cs="Times New Roman" w:hint="eastAsia"/>
                </w:rPr>
                <w:t>工作站</w:t>
              </w:r>
              <w:r>
                <w:rPr>
                  <w:rFonts w:ascii="Times New Roman" w:hAnsi="Times New Roman" w:cs="Times New Roman"/>
                </w:rPr>
                <w:t>方面：面向弧焊和</w:t>
              </w:r>
              <w:r>
                <w:rPr>
                  <w:rFonts w:ascii="Times New Roman" w:hAnsi="Times New Roman" w:cs="Times New Roman"/>
                </w:rPr>
                <w:t>PCB</w:t>
              </w:r>
              <w:r>
                <w:rPr>
                  <w:rFonts w:ascii="Times New Roman" w:hAnsi="Times New Roman" w:cs="Times New Roman"/>
                </w:rPr>
                <w:t>搬运应用场景完善了一系列焊接和码垛功能包；对喷涂机器人软件进行了重构并集成于新的控制器平台；离线仿真软件开发了涂胶相关工艺包；完成系列化桌面型抛光、打磨工作站开发；完成机器人刚度、精度性能提升、机器人外观设计等研发项目的开发。</w:t>
              </w:r>
            </w:p>
            <w:p w14:paraId="182AFD06" w14:textId="30DC249F" w:rsidR="00D21C1F" w:rsidRDefault="00A42880">
              <w:pPr>
                <w:spacing w:line="360" w:lineRule="auto"/>
                <w:ind w:firstLineChars="200" w:firstLine="420"/>
                <w:jc w:val="both"/>
              </w:pPr>
              <w:r>
                <w:rPr>
                  <w:rFonts w:ascii="Times New Roman" w:hAnsi="Times New Roman" w:cs="Times New Roman"/>
                </w:rPr>
                <w:t>前瞻性产品研发方面：三维激光切割机器人第二代样机的零部件实现部分到货，开始部件组装，并对部分零部件和结构部件进行了可靠性的测试；共享工厂工业互联网系统处于开发阶段，预计今年实现交付；</w:t>
              </w:r>
              <w:r w:rsidR="003A34E4">
                <w:rPr>
                  <w:rFonts w:ascii="Times New Roman" w:hAnsi="Times New Roman" w:cs="Times New Roman" w:hint="eastAsia"/>
                </w:rPr>
                <w:t>机器人</w:t>
              </w:r>
              <w:r>
                <w:rPr>
                  <w:rFonts w:ascii="Times New Roman" w:hAnsi="Times New Roman" w:cs="Times New Roman"/>
                </w:rPr>
                <w:t>集成式软件开发平台架构设计已经完成，进入开发阶段；</w:t>
              </w:r>
            </w:p>
            <w:p w14:paraId="44397EFC" w14:textId="77777777" w:rsidR="00D21C1F" w:rsidRDefault="00A42880">
              <w:pPr>
                <w:spacing w:line="360" w:lineRule="auto"/>
                <w:ind w:firstLineChars="200" w:firstLine="420"/>
                <w:jc w:val="both"/>
              </w:pPr>
              <w:r>
                <w:t>系统集成业务方面：建立了虚拟调试实验室，完成了柔性夹具立体库的设计以及汽车零部件铝弧焊方面新产品的开发；重载弧焊总装多轴变位机项目完成了关键计算及选型，完成</w:t>
              </w:r>
              <w:r>
                <w:rPr>
                  <w:rFonts w:ascii="Times New Roman" w:hAnsi="Times New Roman"/>
                </w:rPr>
                <w:t>3D</w:t>
              </w:r>
              <w:r>
                <w:t>建模和完成</w:t>
              </w:r>
              <w:r>
                <w:rPr>
                  <w:rFonts w:ascii="Times New Roman" w:hAnsi="Times New Roman"/>
                </w:rPr>
                <w:t>2D</w:t>
              </w:r>
              <w:r>
                <w:t>加工图下发等工作；有轨制导车辆（</w:t>
              </w:r>
              <w:r>
                <w:rPr>
                  <w:rFonts w:ascii="Times New Roman" w:hAnsi="Times New Roman"/>
                </w:rPr>
                <w:t>RGV</w:t>
              </w:r>
              <w:r>
                <w:t>）重工行业智能制造生产线项目技术研究分析工作完成，项目开发进行中；自动化立体仓库（</w:t>
              </w:r>
              <w:r>
                <w:rPr>
                  <w:rFonts w:ascii="Times New Roman" w:hAnsi="Times New Roman"/>
                </w:rPr>
                <w:t>AS</w:t>
              </w:r>
              <w:r>
                <w:t>/</w:t>
              </w:r>
              <w:r>
                <w:rPr>
                  <w:rFonts w:ascii="Times New Roman" w:hAnsi="Times New Roman"/>
                </w:rPr>
                <w:t>RS</w:t>
              </w:r>
              <w:r>
                <w:t>)项目完成关键计算及选型和关键结构的设计建模工作；重载三轴桁架完成技术研究分析工作，项目开发进行中。</w:t>
              </w:r>
            </w:p>
            <w:p w14:paraId="6CC95F0A" w14:textId="77777777" w:rsidR="00D21C1F" w:rsidRDefault="00A42880">
              <w:pPr>
                <w:spacing w:line="360" w:lineRule="auto"/>
                <w:ind w:firstLineChars="200" w:firstLine="420"/>
                <w:jc w:val="both"/>
              </w:pPr>
              <w:r>
                <w:rPr>
                  <w:rFonts w:hint="eastAsia"/>
                </w:rPr>
                <w:t>报告期内，公司参与的工信部智能制造新模式项目“基于工业云的空调边缘计算网络技术改造项目”，科技部重点研发计划项目“机器人操作系统及开发环境研究与应用验证”，工信部智能制造标准体系项目“智能装备故障诊断和预测性维护共性技术标准研究及试验验证”通过验收</w:t>
              </w:r>
              <w:r>
                <w:t>。</w:t>
              </w:r>
            </w:p>
          </w:sdtContent>
        </w:sdt>
        <w:p w14:paraId="044FE624" w14:textId="77777777" w:rsidR="00D21C1F" w:rsidRDefault="00045EC6">
          <w:pPr>
            <w:pStyle w:val="97"/>
          </w:pPr>
        </w:p>
      </w:sdtContent>
    </w:sdt>
    <w:bookmarkStart w:id="55" w:name="_Hlk74816146" w:displacedByCustomXml="next"/>
    <w:sdt>
      <w:sdtPr>
        <w:rPr>
          <w:rFonts w:eastAsiaTheme="minorEastAsia"/>
        </w:rPr>
        <w:alias w:val="模块:报告期内公司经营情况的重大变化，以及报告期内发生的对公司经营情况有重大影响和预计未来会有重大影响的事项"/>
        <w:tag w:val="_SEC_75e2f75de3214784a91afc7e0358d58a"/>
        <w:id w:val="-386954030"/>
        <w:lock w:val="sdtLocked"/>
        <w:placeholder>
          <w:docPart w:val="GBC22222222222222222222222222222"/>
        </w:placeholder>
      </w:sdtPr>
      <w:sdtEndPr/>
      <w:sdtContent>
        <w:p w14:paraId="083CAEF3" w14:textId="77777777" w:rsidR="00D21C1F" w:rsidRDefault="00A42880">
          <w:pPr>
            <w:rPr>
              <w:b/>
              <w:bCs/>
            </w:rPr>
          </w:pPr>
          <w:r>
            <w:rPr>
              <w:rFonts w:hint="eastAsia"/>
              <w:b/>
              <w:bCs/>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fda2c2f2d5f64eb780a04e738caa31ed"/>
            <w:id w:val="-562941824"/>
            <w:lock w:val="sdtLocked"/>
            <w:placeholder>
              <w:docPart w:val="GBC22222222222222222222222222222"/>
            </w:placeholder>
          </w:sdtPr>
          <w:sdtEndPr/>
          <w:sdtContent>
            <w:p w14:paraId="1B1058C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2A7C1E" w14:textId="77777777" w:rsidR="00D21C1F" w:rsidRDefault="00045EC6">
          <w:pPr>
            <w:pStyle w:val="97"/>
          </w:pPr>
        </w:p>
      </w:sdtContent>
    </w:sdt>
    <w:bookmarkEnd w:id="55" w:displacedByCustomXml="next"/>
    <w:sdt>
      <w:sdtPr>
        <w:rPr>
          <w:rFonts w:eastAsiaTheme="minorEastAsia"/>
          <w:b w:val="0"/>
          <w:bCs w:val="0"/>
        </w:rPr>
        <w:alias w:val="模块:"/>
        <w:tag w:val="_SEC_56fe48db58754846bb0d22e4cdf96f24"/>
        <w:id w:val="-917010701"/>
        <w:lock w:val="sdtLocked"/>
        <w:placeholder>
          <w:docPart w:val="GBC22222222222222222222222222222"/>
        </w:placeholder>
      </w:sdtPr>
      <w:sdtEndPr/>
      <w:sdtContent>
        <w:p w14:paraId="41E88315" w14:textId="77777777" w:rsidR="00D21C1F" w:rsidRDefault="00A42880">
          <w:pPr>
            <w:pStyle w:val="2"/>
            <w:numPr>
              <w:ilvl w:val="0"/>
              <w:numId w:val="7"/>
            </w:numPr>
            <w:rPr>
              <w:bCs w:val="0"/>
            </w:rPr>
          </w:pPr>
          <w:r>
            <w:rPr>
              <w:rFonts w:hint="eastAsia"/>
              <w:bCs w:val="0"/>
            </w:rPr>
            <w:t>风险因素</w:t>
          </w:r>
        </w:p>
        <w:sdt>
          <w:sdtPr>
            <w:alias w:val="是否适用：风险因素[双击切换]"/>
            <w:tag w:val="_GBC_81cab950498b4e86bd80c8a56e7591fa"/>
            <w:id w:val="1857385425"/>
            <w:lock w:val="sdtLocked"/>
            <w:placeholder>
              <w:docPart w:val="GBC22222222222222222222222222222"/>
            </w:placeholder>
          </w:sdtPr>
          <w:sdtEndPr/>
          <w:sdtContent>
            <w:p w14:paraId="0FF9A3F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Theme="minorEastAsia" w:hAnsi="宋体" w:cs="宋体"/>
              <w:kern w:val="0"/>
              <w:szCs w:val="24"/>
            </w:rPr>
            <w:alias w:val="风险因素"/>
            <w:tag w:val="_GBC_d38541cd34d44f85ac2ba9c85822670f"/>
            <w:id w:val="1316069945"/>
            <w:lock w:val="sdtLocked"/>
            <w:placeholder>
              <w:docPart w:val="GBC22222222222222222222222222222"/>
            </w:placeholder>
          </w:sdtPr>
          <w:sdtEndPr/>
          <w:sdtContent>
            <w:p w14:paraId="7713B3FC" w14:textId="77777777" w:rsidR="00D21C1F" w:rsidRDefault="00A42880">
              <w:pPr>
                <w:pStyle w:val="aff4"/>
                <w:spacing w:line="360" w:lineRule="auto"/>
                <w:rPr>
                  <w:rFonts w:ascii="宋体" w:hAnsi="宋体"/>
                  <w:b/>
                  <w:bCs/>
                </w:rPr>
              </w:pPr>
              <w:r>
                <w:rPr>
                  <w:rFonts w:ascii="Times New Roman" w:hAnsi="Times New Roman"/>
                  <w:b/>
                  <w:bCs/>
                </w:rPr>
                <w:t>1</w:t>
              </w:r>
              <w:r>
                <w:rPr>
                  <w:rFonts w:ascii="宋体" w:hAnsi="宋体" w:hint="eastAsia"/>
                  <w:b/>
                  <w:bCs/>
                </w:rPr>
                <w:t xml:space="preserve">、尚未盈利的风险 </w:t>
              </w:r>
            </w:p>
            <w:p w14:paraId="49ECBD69"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）报告期内，公司持续亏损，归属于母公司所有者的净利润为</w:t>
              </w:r>
              <w:r>
                <w:rPr>
                  <w:rFonts w:ascii="Times New Roman" w:hAnsi="Times New Roman" w:cs="Times New Roman" w:hint="eastAsia"/>
                </w:rPr>
                <w:t>-</w:t>
              </w:r>
              <w:r>
                <w:rPr>
                  <w:rFonts w:ascii="Times New Roman" w:hAnsi="Times New Roman" w:cs="Times New Roman"/>
                </w:rPr>
                <w:t>5,647.90</w:t>
              </w:r>
              <w:r>
                <w:rPr>
                  <w:rFonts w:ascii="Times New Roman" w:hAnsi="Times New Roman" w:cs="Times New Roman"/>
                </w:rPr>
                <w:t>万元，扣除非经常性损益后归属于母公司所有者的净利润为</w:t>
              </w:r>
              <w:r>
                <w:rPr>
                  <w:rFonts w:ascii="Times New Roman" w:hAnsi="Times New Roman" w:cs="Times New Roman"/>
                </w:rPr>
                <w:t>-8,215.44</w:t>
              </w:r>
              <w:r>
                <w:rPr>
                  <w:rFonts w:ascii="Times New Roman" w:hAnsi="Times New Roman" w:cs="Times New Roman"/>
                </w:rPr>
                <w:t>万元；同时截至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日，公司累计未分配利润为</w:t>
              </w:r>
              <w:r>
                <w:t>-</w:t>
              </w:r>
              <w:r>
                <w:rPr>
                  <w:rFonts w:ascii="Times New Roman" w:hAnsi="Times New Roman"/>
                </w:rPr>
                <w:t>40</w:t>
              </w:r>
              <w:r>
                <w:rPr>
                  <w:rFonts w:ascii="Times New Roman" w:hAnsi="Times New Roman" w:hint="eastAsia"/>
                </w:rPr>
                <w:t>,</w:t>
              </w:r>
              <w:r>
                <w:rPr>
                  <w:rFonts w:ascii="Times New Roman" w:hAnsi="Times New Roman"/>
                </w:rPr>
                <w:t>196.71</w:t>
              </w:r>
              <w:r>
                <w:rPr>
                  <w:rFonts w:ascii="Times New Roman" w:hAnsi="Times New Roman" w:cs="Times New Roman"/>
                </w:rPr>
                <w:t>万元。公司尚未实现首次盈利，若公司未来由于经营环境发生重大不</w:t>
              </w:r>
              <w:r>
                <w:rPr>
                  <w:rFonts w:ascii="Times New Roman" w:hAnsi="Times New Roman" w:cs="Times New Roman"/>
                </w:rPr>
                <w:lastRenderedPageBreak/>
                <w:t>利变化、下游行业下滑、生产经营失误等因素持续亏损，则公司将面临累计未弥补亏损持续为负，无法分配利润或回报投资者的风险。</w:t>
              </w:r>
            </w:p>
            <w:p w14:paraId="1A2B5085" w14:textId="2BFA2EA5"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公司尚处于亏损状态，未来盈利的前提是公司实现高成长。公司在未来一段时间内，仍将投入较多研发费用，同时公司现阶段的盈亏平衡点高于同行业上市公司，如公司未来无法有效提高公司整体毛利率，则公司盈亏平衡点将无法明显下降；如果公司无法有效提高核心零部件的自主化率</w:t>
              </w:r>
              <w:r w:rsidR="00574874">
                <w:rPr>
                  <w:rFonts w:ascii="Times New Roman" w:hAnsi="Times New Roman" w:cs="Times New Roman" w:hint="eastAsia"/>
                </w:rPr>
                <w:t>，降低核心零部件成本</w:t>
              </w:r>
              <w:r>
                <w:rPr>
                  <w:rFonts w:ascii="Times New Roman" w:hAnsi="Times New Roman" w:cs="Times New Roman"/>
                </w:rPr>
                <w:t>并通过前期的业务开拓提升利润规模，则可能导致未来一段时间仍无法盈利；如果公司由于经营策略失误、核心竞争力下降、并购整合未达预期等因素，未来成长性不及预期，公司持续亏损的时间将延长，从而影响公司经营现金流和财务状况、业务扩张、团队稳定和人才引进，进而对公司经营产生不利影响。</w:t>
              </w:r>
            </w:p>
            <w:p w14:paraId="0ABCBCF6" w14:textId="77777777" w:rsidR="00D21C1F" w:rsidRDefault="00A42880">
              <w:pPr>
                <w:spacing w:line="360" w:lineRule="auto"/>
                <w:ind w:firstLineChars="200" w:firstLine="422"/>
                <w:jc w:val="both"/>
                <w:rPr>
                  <w:b/>
                  <w:bCs/>
                </w:rPr>
              </w:pPr>
              <w:r>
                <w:rPr>
                  <w:rFonts w:ascii="Times New Roman" w:hAnsi="Times New Roman" w:hint="eastAsia"/>
                  <w:b/>
                  <w:bCs/>
                </w:rPr>
                <w:t>2</w:t>
              </w:r>
              <w:r>
                <w:rPr>
                  <w:rFonts w:hint="eastAsia"/>
                  <w:b/>
                  <w:bCs/>
                </w:rPr>
                <w:t>、核心竞争力风险</w:t>
              </w:r>
            </w:p>
            <w:p w14:paraId="05A9D727"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）境外技术转化风险</w:t>
              </w:r>
            </w:p>
            <w:p w14:paraId="5FAFA5F8" w14:textId="1CD58351"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公司收购</w:t>
              </w:r>
              <w:r>
                <w:rPr>
                  <w:rFonts w:ascii="Times New Roman" w:hAnsi="Times New Roman" w:cs="Times New Roman"/>
                </w:rPr>
                <w:t>CMA</w:t>
              </w:r>
              <w:r>
                <w:rPr>
                  <w:rFonts w:ascii="Times New Roman" w:hAnsi="Times New Roman" w:cs="Times New Roman"/>
                </w:rPr>
                <w:t>、</w:t>
              </w:r>
              <w:r>
                <w:rPr>
                  <w:rFonts w:ascii="Times New Roman" w:hAnsi="Times New Roman" w:cs="Times New Roman"/>
                </w:rPr>
                <w:t>EVOLUT</w:t>
              </w:r>
              <w:r>
                <w:rPr>
                  <w:rFonts w:ascii="Times New Roman" w:hAnsi="Times New Roman" w:cs="Times New Roman"/>
                </w:rPr>
                <w:t>、</w:t>
              </w:r>
              <w:r>
                <w:rPr>
                  <w:rFonts w:ascii="Times New Roman" w:hAnsi="Times New Roman" w:cs="Times New Roman"/>
                </w:rPr>
                <w:t>WFC</w:t>
              </w:r>
              <w:r>
                <w:rPr>
                  <w:rFonts w:ascii="Times New Roman" w:hAnsi="Times New Roman" w:cs="Times New Roman"/>
                </w:rPr>
                <w:t>等境外公司，消化吸收境外技术，并持续研发，形成核心技术。公司</w:t>
              </w:r>
              <w:r>
                <w:rPr>
                  <w:rFonts w:ascii="Times New Roman" w:hAnsi="Times New Roman" w:cs="Times New Roman"/>
                </w:rPr>
                <w:t>16</w:t>
              </w:r>
              <w:r>
                <w:rPr>
                  <w:rFonts w:ascii="Times New Roman" w:hAnsi="Times New Roman" w:cs="Times New Roman"/>
                </w:rPr>
                <w:t>项核心技术，</w:t>
              </w:r>
              <w:r>
                <w:rPr>
                  <w:rFonts w:ascii="Times New Roman" w:hAnsi="Times New Roman" w:cs="Times New Roman"/>
                </w:rPr>
                <w:t>7</w:t>
              </w:r>
              <w:r>
                <w:rPr>
                  <w:rFonts w:ascii="Times New Roman" w:hAnsi="Times New Roman" w:cs="Times New Roman"/>
                </w:rPr>
                <w:t>项为并购境外企业后吸收创新，</w:t>
              </w:r>
              <w:r>
                <w:rPr>
                  <w:rFonts w:ascii="Times New Roman" w:hAnsi="Times New Roman" w:cs="Times New Roman"/>
                </w:rPr>
                <w:t>1</w:t>
              </w:r>
              <w:r>
                <w:rPr>
                  <w:rFonts w:ascii="Times New Roman" w:hAnsi="Times New Roman" w:cs="Times New Roman"/>
                </w:rPr>
                <w:t>项为引进</w:t>
              </w:r>
              <w:r w:rsidR="00D07E51">
                <w:rPr>
                  <w:rFonts w:ascii="Times New Roman" w:hAnsi="Times New Roman" w:cs="Times New Roman"/>
                </w:rPr>
                <w:t>境外</w:t>
              </w:r>
              <w:r>
                <w:rPr>
                  <w:rFonts w:ascii="Times New Roman" w:hAnsi="Times New Roman" w:cs="Times New Roman"/>
                </w:rPr>
                <w:t>技术后吸收再研发。若</w:t>
              </w:r>
              <w:r w:rsidR="00574874">
                <w:rPr>
                  <w:rFonts w:ascii="Times New Roman" w:hAnsi="Times New Roman" w:cs="Times New Roman" w:hint="eastAsia"/>
                </w:rPr>
                <w:t>境外</w:t>
              </w:r>
              <w:r>
                <w:rPr>
                  <w:rFonts w:ascii="Times New Roman" w:hAnsi="Times New Roman" w:cs="Times New Roman"/>
                </w:rPr>
                <w:t>该技术</w:t>
              </w:r>
              <w:r w:rsidR="00574874">
                <w:rPr>
                  <w:rFonts w:ascii="Times New Roman" w:hAnsi="Times New Roman" w:cs="Times New Roman" w:hint="eastAsia"/>
                </w:rPr>
                <w:t>持续研发、转化、吸收和</w:t>
              </w:r>
              <w:r>
                <w:rPr>
                  <w:rFonts w:ascii="Times New Roman" w:hAnsi="Times New Roman" w:cs="Times New Roman"/>
                </w:rPr>
                <w:t>消化过程受国际产业环境变化等影响，不能顺利或按时完成，将对公司未来持续经营产生不利影响。</w:t>
              </w:r>
            </w:p>
            <w:p w14:paraId="707EFAC6"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）核心零部件技术无法突破风险</w:t>
              </w:r>
            </w:p>
            <w:p w14:paraId="52677C68" w14:textId="77D78691"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核心零部件的技术是制约中国机器人产业发展的重要因素。公司机器人整机业务毛利率较低</w:t>
              </w:r>
              <w:r w:rsidR="00574874">
                <w:rPr>
                  <w:rFonts w:ascii="Times New Roman" w:hAnsi="Times New Roman" w:cs="Times New Roman" w:hint="eastAsia"/>
                </w:rPr>
                <w:t>的主要原因之一</w:t>
              </w:r>
              <w:r>
                <w:rPr>
                  <w:rFonts w:ascii="Times New Roman" w:hAnsi="Times New Roman" w:cs="Times New Roman"/>
                </w:rPr>
                <w:t>系核心零部件自主化率及国产化率不高。核心零部件自主化率提升，需要不断持续研发</w:t>
              </w:r>
              <w:r>
                <w:rPr>
                  <w:rFonts w:ascii="Times New Roman" w:hAnsi="Times New Roman" w:cs="Times New Roman" w:hint="eastAsia"/>
                </w:rPr>
                <w:t>及产品迭代</w:t>
              </w:r>
              <w:r>
                <w:rPr>
                  <w:rFonts w:ascii="Times New Roman" w:hAnsi="Times New Roman" w:cs="Times New Roman"/>
                </w:rPr>
                <w:t>，若无法突破</w:t>
              </w:r>
              <w:r>
                <w:rPr>
                  <w:rFonts w:ascii="Times New Roman" w:hAnsi="Times New Roman" w:cs="Times New Roman" w:hint="eastAsia"/>
                </w:rPr>
                <w:t>或产品迭代无法满足市场和客户需求</w:t>
              </w:r>
              <w:r>
                <w:rPr>
                  <w:rFonts w:ascii="Times New Roman" w:hAnsi="Times New Roman" w:cs="Times New Roman"/>
                </w:rPr>
                <w:t>，将对公司生产经营产生不利影响。</w:t>
              </w:r>
            </w:p>
            <w:p w14:paraId="671C92FF"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）核心技术无法量产的风险</w:t>
              </w:r>
            </w:p>
            <w:p w14:paraId="4E402C15"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公司拥有</w:t>
              </w:r>
              <w:r>
                <w:rPr>
                  <w:rFonts w:ascii="Times New Roman" w:hAnsi="Times New Roman" w:cs="Times New Roman"/>
                </w:rPr>
                <w:t>16</w:t>
              </w:r>
              <w:r>
                <w:rPr>
                  <w:rFonts w:ascii="Times New Roman" w:hAnsi="Times New Roman" w:cs="Times New Roman"/>
                </w:rPr>
                <w:t>项核心技术，</w:t>
              </w:r>
              <w:r>
                <w:rPr>
                  <w:rFonts w:ascii="Times New Roman" w:hAnsi="Times New Roman" w:cs="Times New Roman"/>
                </w:rPr>
                <w:t>2</w:t>
              </w:r>
              <w:r>
                <w:rPr>
                  <w:rFonts w:ascii="Times New Roman" w:hAnsi="Times New Roman" w:cs="Times New Roman"/>
                </w:rPr>
                <w:t>项技术尚未量产。若核心技术无法量产</w:t>
              </w:r>
              <w:r>
                <w:rPr>
                  <w:rFonts w:ascii="Times New Roman" w:hAnsi="Times New Roman" w:cs="Times New Roman" w:hint="eastAsia"/>
                </w:rPr>
                <w:t>或量产延迟或核心技术产品不具备商业价值</w:t>
              </w:r>
              <w:r>
                <w:rPr>
                  <w:rFonts w:ascii="Times New Roman" w:hAnsi="Times New Roman" w:cs="Times New Roman"/>
                </w:rPr>
                <w:t>，将对公司生产经营</w:t>
              </w:r>
              <w:r>
                <w:rPr>
                  <w:rFonts w:ascii="Times New Roman" w:hAnsi="Times New Roman" w:cs="Times New Roman" w:hint="eastAsia"/>
                </w:rPr>
                <w:t>、业务拓展、新业务增长点及盈利</w:t>
              </w:r>
              <w:r>
                <w:rPr>
                  <w:rFonts w:ascii="Times New Roman" w:hAnsi="Times New Roman" w:cs="Times New Roman"/>
                </w:rPr>
                <w:t>产生不利影响。</w:t>
              </w:r>
            </w:p>
            <w:p w14:paraId="0EE80D9B"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）新投入研发项目未达预期的风险</w:t>
              </w:r>
            </w:p>
            <w:p w14:paraId="775E9CF7" w14:textId="2252583F"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机器人行业的研发存在周期较长、资金投入较大的特点，同时需要按照行业发展趋势布局前瞻性的研发。如果公司无法准确根据行业发展趋势确定研发方向，则公司将浪费较大的</w:t>
              </w:r>
              <w:r w:rsidR="00574874">
                <w:rPr>
                  <w:rFonts w:ascii="Times New Roman" w:hAnsi="Times New Roman" w:cs="Times New Roman" w:hint="eastAsia"/>
                </w:rPr>
                <w:t>研发投入</w:t>
              </w:r>
              <w:r>
                <w:rPr>
                  <w:rFonts w:ascii="Times New Roman" w:hAnsi="Times New Roman" w:cs="Times New Roman"/>
                </w:rPr>
                <w:t>资源，并丧失市场机会；若研发项目启动后的进度及效果未达预期，或者研发的新技术或者产品尚不具备商业价值，可能导致前期的各项成本投入无法收回。</w:t>
              </w:r>
            </w:p>
            <w:p w14:paraId="03B8AFA3"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）关键技术人员流失的风险</w:t>
              </w:r>
            </w:p>
            <w:p w14:paraId="5F36B616"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公司的技术人员需要较长时间的技术积淀和积累才可参与或主导相关产品的研发与设计。关键技术人员是公司生存和发展的关键，也是公司获得持续竞争优势的基础。截止本报告出具日，公司</w:t>
              </w:r>
              <w:r>
                <w:rPr>
                  <w:rFonts w:ascii="Times New Roman" w:hAnsi="Times New Roman" w:cs="Times New Roman"/>
                </w:rPr>
                <w:t>2</w:t>
              </w:r>
              <w:r>
                <w:rPr>
                  <w:rFonts w:ascii="Times New Roman" w:hAnsi="Times New Roman" w:cs="Times New Roman"/>
                </w:rPr>
                <w:t>名核心技术人员冯海生</w:t>
              </w:r>
              <w:r>
                <w:rPr>
                  <w:rFonts w:ascii="Times New Roman" w:hAnsi="Times New Roman" w:cs="Times New Roman" w:hint="eastAsia"/>
                </w:rPr>
                <w:t>、葛景国</w:t>
              </w:r>
              <w:r>
                <w:rPr>
                  <w:rFonts w:ascii="Times New Roman" w:hAnsi="Times New Roman" w:cs="Times New Roman"/>
                </w:rPr>
                <w:t>离开本公司。若公司不能提供更好的发展平台、更有竞争力的薪酬待遇及良好的研发条件，则存在关键技术人员流失或技术人才不足的风险，进而可能导致公司在技术突破，产品创新，客户服务等方面能力不足，对公司的生产经营产生不利影响。</w:t>
              </w:r>
            </w:p>
            <w:p w14:paraId="50F45AD5" w14:textId="77777777" w:rsidR="00D21C1F" w:rsidRDefault="00A42880">
              <w:pPr>
                <w:spacing w:line="360" w:lineRule="auto"/>
                <w:ind w:firstLineChars="200" w:firstLine="422"/>
                <w:jc w:val="both"/>
                <w:rPr>
                  <w:rFonts w:cs="Times New Roman"/>
                  <w:b/>
                  <w:bCs/>
                </w:rPr>
              </w:pPr>
              <w:r>
                <w:rPr>
                  <w:rFonts w:ascii="Times New Roman" w:hAnsi="Times New Roman" w:cs="Times New Roman"/>
                  <w:b/>
                  <w:bCs/>
                </w:rPr>
                <w:lastRenderedPageBreak/>
                <w:t>3</w:t>
              </w:r>
              <w:r>
                <w:rPr>
                  <w:rFonts w:cs="Times New Roman"/>
                  <w:b/>
                  <w:bCs/>
                </w:rPr>
                <w:t>、经营风险</w:t>
              </w:r>
            </w:p>
            <w:p w14:paraId="494D8C59" w14:textId="77777777" w:rsidR="00D21C1F" w:rsidRDefault="00A42880">
              <w:pPr>
                <w:pStyle w:val="aff4"/>
                <w:spacing w:line="360" w:lineRule="auto"/>
                <w:ind w:left="420" w:firstLineChars="0" w:firstLine="0"/>
                <w:rPr>
                  <w:rFonts w:ascii="Times New Roman" w:hAnsi="Times New Roman"/>
                  <w:szCs w:val="21"/>
                </w:rPr>
              </w:pPr>
              <w:bookmarkStart w:id="56" w:name="_Hlk78371562"/>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szCs w:val="21"/>
                </w:rPr>
                <w:t>下游市场波动风险</w:t>
              </w:r>
            </w:p>
            <w:bookmarkEnd w:id="56"/>
            <w:p w14:paraId="3F0E0C8C" w14:textId="7344ECDE"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公司系统集成业务主要服务</w:t>
              </w:r>
              <w:r w:rsidR="00574874">
                <w:rPr>
                  <w:rFonts w:ascii="Times New Roman" w:hAnsi="Times New Roman" w:cs="Times New Roman" w:hint="eastAsia"/>
                </w:rPr>
                <w:t>于</w:t>
              </w:r>
              <w:r>
                <w:rPr>
                  <w:rFonts w:ascii="Times New Roman" w:hAnsi="Times New Roman" w:cs="Times New Roman"/>
                </w:rPr>
                <w:t>汽车行业，整机产品主要销售于汽车及零部件行业、金属加工行业、</w:t>
              </w:r>
              <w:r>
                <w:rPr>
                  <w:rFonts w:ascii="Times New Roman" w:hAnsi="Times New Roman" w:cs="Times New Roman"/>
                </w:rPr>
                <w:t>3C</w:t>
              </w:r>
              <w:r>
                <w:rPr>
                  <w:rFonts w:ascii="Times New Roman" w:hAnsi="Times New Roman" w:cs="Times New Roman"/>
                </w:rPr>
                <w:t>电子行业</w:t>
              </w:r>
              <w:r>
                <w:rPr>
                  <w:rFonts w:ascii="Times New Roman" w:hAnsi="Times New Roman" w:cs="Times New Roman" w:hint="eastAsia"/>
                </w:rPr>
                <w:t>、光伏行业</w:t>
              </w:r>
              <w:r>
                <w:rPr>
                  <w:rFonts w:ascii="Times New Roman" w:hAnsi="Times New Roman" w:cs="Times New Roman"/>
                </w:rPr>
                <w:t>等通用工业。</w:t>
              </w:r>
              <w:r>
                <w:rPr>
                  <w:rFonts w:ascii="Times New Roman" w:hAnsi="Times New Roman" w:cs="Times New Roman"/>
                </w:rPr>
                <w:t>2018</w:t>
              </w:r>
              <w:r>
                <w:rPr>
                  <w:rFonts w:ascii="Times New Roman" w:hAnsi="Times New Roman" w:cs="Times New Roman"/>
                </w:rPr>
                <w:t>年以来，汽车工业市场出现</w:t>
              </w:r>
              <w:r>
                <w:rPr>
                  <w:rFonts w:ascii="Times New Roman" w:hAnsi="Times New Roman" w:cs="Times New Roman"/>
                </w:rPr>
                <w:t>“</w:t>
              </w:r>
              <w:r>
                <w:rPr>
                  <w:rFonts w:ascii="Times New Roman" w:hAnsi="Times New Roman" w:cs="Times New Roman"/>
                </w:rPr>
                <w:t>动能转换</w:t>
              </w:r>
              <w:r>
                <w:rPr>
                  <w:rFonts w:ascii="Times New Roman" w:hAnsi="Times New Roman" w:cs="Times New Roman"/>
                </w:rPr>
                <w:t>”</w:t>
              </w:r>
              <w:r>
                <w:rPr>
                  <w:rFonts w:ascii="Times New Roman" w:hAnsi="Times New Roman" w:cs="Times New Roman"/>
                </w:rPr>
                <w:t>，中国市场及世界市场整体销量下降，而在新能源汽车领域整体快速增长，中国部分国内新能源汽车主机厂回款周期延长，</w:t>
              </w:r>
              <w:r w:rsidR="00D07E51">
                <w:rPr>
                  <w:rFonts w:ascii="Times New Roman" w:hAnsi="Times New Roman" w:cs="Times New Roman"/>
                </w:rPr>
                <w:t>境外</w:t>
              </w:r>
              <w:r>
                <w:rPr>
                  <w:rFonts w:ascii="Times New Roman" w:hAnsi="Times New Roman" w:cs="Times New Roman"/>
                </w:rPr>
                <w:t>汽车主机厂投资尚未完全恢复，且部分主机厂选择改造现有生产线替代新生产线投资的方式降低投资规模；通用工业行业景气度受宏观经济影响较大。该等下游行业波动，将对公司生产经营产生较大的不利影响。</w:t>
              </w:r>
            </w:p>
            <w:p w14:paraId="19042503"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）境外经营风险</w:t>
              </w:r>
            </w:p>
            <w:p w14:paraId="4F0CA8E0"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公司</w:t>
              </w:r>
              <w:r>
                <w:rPr>
                  <w:rFonts w:ascii="Times New Roman" w:hAnsi="Times New Roman" w:cs="Times New Roman"/>
                </w:rPr>
                <w:t>2015</w:t>
              </w:r>
              <w:r>
                <w:rPr>
                  <w:rFonts w:ascii="Times New Roman" w:hAnsi="Times New Roman" w:cs="Times New Roman"/>
                </w:rPr>
                <w:t>年以来先后收购了</w:t>
              </w:r>
              <w:r>
                <w:rPr>
                  <w:rFonts w:ascii="Times New Roman" w:hAnsi="Times New Roman" w:cs="Times New Roman"/>
                </w:rPr>
                <w:t>CMA</w:t>
              </w:r>
              <w:r>
                <w:rPr>
                  <w:rFonts w:ascii="Times New Roman" w:hAnsi="Times New Roman" w:cs="Times New Roman"/>
                </w:rPr>
                <w:t>、</w:t>
              </w:r>
              <w:r>
                <w:rPr>
                  <w:rFonts w:ascii="Times New Roman" w:hAnsi="Times New Roman" w:cs="Times New Roman"/>
                </w:rPr>
                <w:t>EVOLUT</w:t>
              </w:r>
              <w:r>
                <w:rPr>
                  <w:rFonts w:ascii="Times New Roman" w:hAnsi="Times New Roman" w:cs="Times New Roman"/>
                </w:rPr>
                <w:t>和</w:t>
              </w:r>
              <w:r>
                <w:rPr>
                  <w:rFonts w:ascii="Times New Roman" w:hAnsi="Times New Roman" w:cs="Times New Roman"/>
                </w:rPr>
                <w:t>WFC</w:t>
              </w:r>
              <w:r>
                <w:rPr>
                  <w:rFonts w:ascii="Times New Roman" w:hAnsi="Times New Roman" w:cs="Times New Roman"/>
                </w:rPr>
                <w:t>，并设立了</w:t>
              </w:r>
              <w:r>
                <w:rPr>
                  <w:rFonts w:ascii="Times New Roman" w:hAnsi="Times New Roman" w:cs="Times New Roman"/>
                </w:rPr>
                <w:t>Efort Europe</w:t>
              </w:r>
              <w:r>
                <w:rPr>
                  <w:rFonts w:ascii="Times New Roman" w:hAnsi="Times New Roman" w:cs="Times New Roman"/>
                </w:rPr>
                <w:t>和</w:t>
              </w:r>
              <w:r>
                <w:rPr>
                  <w:rFonts w:ascii="Times New Roman" w:hAnsi="Times New Roman" w:cs="Times New Roman"/>
                </w:rPr>
                <w:t>Efort France</w:t>
              </w:r>
              <w:r>
                <w:rPr>
                  <w:rFonts w:ascii="Times New Roman" w:hAnsi="Times New Roman" w:cs="Times New Roman"/>
                </w:rPr>
                <w:t>。前述公司及其子公司的经营地位于意大利、波兰、巴西、印度、法国、德国等国家。报告期内，公司国外主营业务收入为</w:t>
              </w:r>
              <w:r>
                <w:rPr>
                  <w:rFonts w:ascii="Times New Roman" w:hAnsi="Times New Roman" w:cs="Times New Roman" w:hint="eastAsia"/>
                </w:rPr>
                <w:t>2</w:t>
              </w:r>
              <w:r>
                <w:rPr>
                  <w:rFonts w:ascii="Times New Roman" w:hAnsi="Times New Roman" w:cs="Times New Roman"/>
                </w:rPr>
                <w:t>2,247.90</w:t>
              </w:r>
              <w:r>
                <w:rPr>
                  <w:rFonts w:ascii="Times New Roman" w:hAnsi="Times New Roman" w:cs="Times New Roman"/>
                </w:rPr>
                <w:t>万元，占比为</w:t>
              </w:r>
              <w:r>
                <w:rPr>
                  <w:rFonts w:ascii="Times New Roman" w:hAnsi="Times New Roman" w:cs="Times New Roman" w:hint="eastAsia"/>
                </w:rPr>
                <w:t>3</w:t>
              </w:r>
              <w:r>
                <w:rPr>
                  <w:rFonts w:ascii="Times New Roman" w:hAnsi="Times New Roman" w:cs="Times New Roman"/>
                </w:rPr>
                <w:t>9.52%</w:t>
              </w:r>
              <w:r>
                <w:rPr>
                  <w:rFonts w:ascii="Times New Roman" w:hAnsi="Times New Roman" w:cs="Times New Roman"/>
                </w:rPr>
                <w:t>，境外经营占比较大，境外经营规模较大，存在境外经营风险如下：</w:t>
              </w:r>
            </w:p>
            <w:p w14:paraId="33B76979" w14:textId="77777777" w:rsidR="00D21C1F" w:rsidRDefault="00A42880">
              <w:pPr>
                <w:spacing w:line="360" w:lineRule="auto"/>
                <w:ind w:firstLineChars="200" w:firstLine="420"/>
                <w:jc w:val="both"/>
                <w:rPr>
                  <w:rFonts w:ascii="Times New Roman" w:hAnsi="Times New Roman" w:cs="Times New Roman"/>
                </w:rPr>
              </w:pPr>
              <w:r>
                <w:rPr>
                  <w:rFonts w:hint="eastAsia"/>
                </w:rPr>
                <w:t>①</w:t>
              </w:r>
              <w:r>
                <w:rPr>
                  <w:rFonts w:ascii="Times New Roman" w:hAnsi="Times New Roman" w:cs="Times New Roman"/>
                </w:rPr>
                <w:t>监管风险：境外经营场所分布国家较多，不同的国家监管环境不同，产业政策、文化制度不同，经营环境、劳工制度也不同，若公司无法适应所在国的监管环境，将产生较大的经营风险；</w:t>
              </w:r>
            </w:p>
            <w:p w14:paraId="1E562778" w14:textId="09C05945" w:rsidR="00D21C1F" w:rsidRDefault="00A42880">
              <w:pPr>
                <w:spacing w:line="360" w:lineRule="auto"/>
                <w:ind w:firstLineChars="200" w:firstLine="420"/>
                <w:jc w:val="both"/>
                <w:rPr>
                  <w:rFonts w:ascii="Times New Roman" w:hAnsi="Times New Roman" w:cs="Times New Roman"/>
                </w:rPr>
              </w:pPr>
              <w:r>
                <w:rPr>
                  <w:rFonts w:hint="eastAsia"/>
                </w:rPr>
                <w:t>②</w:t>
              </w:r>
              <w:r>
                <w:rPr>
                  <w:rFonts w:ascii="Times New Roman" w:hAnsi="Times New Roman" w:cs="Times New Roman"/>
                </w:rPr>
                <w:t>汇率波动风险：境外重要子公司分别采用欧元、波兰兹罗提、巴西雷亚尔等货币作为本位币。报告期内，</w:t>
              </w:r>
              <w:r>
                <w:rPr>
                  <w:rFonts w:ascii="Times New Roman" w:hAnsi="Times New Roman" w:cs="Times New Roman" w:hint="eastAsia"/>
                </w:rPr>
                <w:t>公司</w:t>
              </w:r>
              <w:r w:rsidR="00D07E51">
                <w:rPr>
                  <w:rFonts w:ascii="Times New Roman" w:hAnsi="Times New Roman" w:cs="Times New Roman" w:hint="eastAsia"/>
                </w:rPr>
                <w:t>境外</w:t>
              </w:r>
              <w:r>
                <w:rPr>
                  <w:rFonts w:ascii="Times New Roman" w:hAnsi="Times New Roman" w:cs="Times New Roman" w:hint="eastAsia"/>
                </w:rPr>
                <w:t>子</w:t>
              </w:r>
              <w:r>
                <w:rPr>
                  <w:rFonts w:ascii="Times New Roman" w:hAnsi="Times New Roman" w:cs="Times New Roman"/>
                </w:rPr>
                <w:t>公司汇兑损失为</w:t>
              </w:r>
              <w:r>
                <w:rPr>
                  <w:rFonts w:ascii="Times New Roman" w:hAnsi="Times New Roman" w:cs="Times New Roman" w:hint="eastAsia"/>
                </w:rPr>
                <w:t>3</w:t>
              </w:r>
              <w:r>
                <w:rPr>
                  <w:rFonts w:ascii="Times New Roman" w:hAnsi="Times New Roman" w:cs="Times New Roman"/>
                </w:rPr>
                <w:t xml:space="preserve">84.16 </w:t>
              </w:r>
              <w:r>
                <w:rPr>
                  <w:rFonts w:ascii="Times New Roman" w:hAnsi="Times New Roman" w:cs="Times New Roman"/>
                </w:rPr>
                <w:t>万元（去年同期</w:t>
              </w:r>
              <w:r>
                <w:rPr>
                  <w:rFonts w:ascii="Times New Roman" w:hAnsi="Times New Roman" w:cs="Times New Roman" w:hint="eastAsia"/>
                </w:rPr>
                <w:t>汇兑收益</w:t>
              </w:r>
              <w:r>
                <w:rPr>
                  <w:rFonts w:ascii="Times New Roman" w:hAnsi="Times New Roman" w:cs="Times New Roman" w:hint="eastAsia"/>
                </w:rPr>
                <w:t>2</w:t>
              </w:r>
              <w:r>
                <w:rPr>
                  <w:rFonts w:ascii="Times New Roman" w:hAnsi="Times New Roman" w:cs="Times New Roman"/>
                </w:rPr>
                <w:t>86.98</w:t>
              </w:r>
              <w:r>
                <w:rPr>
                  <w:rFonts w:ascii="Times New Roman" w:hAnsi="Times New Roman" w:cs="Times New Roman"/>
                </w:rPr>
                <w:t>万元）。</w:t>
              </w:r>
              <w:r>
                <w:rPr>
                  <w:rFonts w:ascii="Times New Roman" w:hAnsi="Times New Roman" w:cs="Times New Roman"/>
                </w:rPr>
                <w:t xml:space="preserve"> </w:t>
              </w:r>
              <w:r>
                <w:rPr>
                  <w:rFonts w:ascii="Times New Roman" w:hAnsi="Times New Roman" w:cs="Times New Roman"/>
                </w:rPr>
                <w:t>在境外经营、境外销售占比较大的情况下，汇率若持续出现较大波动，将影响公司经营业绩；</w:t>
              </w:r>
            </w:p>
            <w:p w14:paraId="6A34D845" w14:textId="77777777" w:rsidR="00D21C1F" w:rsidRDefault="00A42880">
              <w:pPr>
                <w:spacing w:line="360" w:lineRule="auto"/>
                <w:ind w:firstLineChars="200" w:firstLine="420"/>
                <w:jc w:val="both"/>
                <w:rPr>
                  <w:rFonts w:ascii="Times New Roman" w:hAnsi="Times New Roman" w:cs="Times New Roman"/>
                </w:rPr>
              </w:pPr>
              <w:r>
                <w:rPr>
                  <w:rFonts w:hint="eastAsia"/>
                </w:rPr>
                <w:t>③</w:t>
              </w:r>
              <w:r>
                <w:rPr>
                  <w:rFonts w:ascii="Times New Roman" w:hAnsi="Times New Roman" w:cs="Times New Roman"/>
                </w:rPr>
                <w:t>政治与外贸风险：境外子公司所在国家的政治格局、社会稳定不同，关税、外贸政策也不同，若公司所在国的政治稳定性、外贸政策出现重大变化，将对公司生产经营产生重大影响；</w:t>
              </w:r>
            </w:p>
            <w:p w14:paraId="0859B952" w14:textId="77777777" w:rsidR="00D21C1F" w:rsidRDefault="00A42880">
              <w:pPr>
                <w:spacing w:line="360" w:lineRule="auto"/>
                <w:ind w:firstLineChars="200" w:firstLine="420"/>
                <w:jc w:val="both"/>
                <w:rPr>
                  <w:rFonts w:ascii="Times New Roman" w:hAnsi="Times New Roman" w:cs="Times New Roman"/>
                </w:rPr>
              </w:pPr>
              <w:r>
                <w:rPr>
                  <w:rFonts w:hint="eastAsia"/>
                </w:rPr>
                <w:t>④</w:t>
              </w:r>
              <w:r>
                <w:rPr>
                  <w:rFonts w:ascii="Times New Roman" w:hAnsi="Times New Roman" w:cs="Times New Roman"/>
                </w:rPr>
                <w:t>诉讼风险：鉴于公司境外经营地社会制度、文化背景不同，如巴西等地，诉讼事项较为普遍，公司在该等境外地区若不能处理好相关诉讼事项，将对公司生产经营产生不利影响。</w:t>
              </w:r>
            </w:p>
            <w:p w14:paraId="752721A1" w14:textId="5299D5DE" w:rsidR="00D21C1F" w:rsidRDefault="00A42880">
              <w:pPr>
                <w:spacing w:line="360" w:lineRule="auto"/>
                <w:ind w:firstLineChars="200" w:firstLine="420"/>
                <w:jc w:val="both"/>
                <w:rPr>
                  <w:rFonts w:ascii="Times New Roman" w:hAnsi="Times New Roman" w:cs="Times New Roman"/>
                </w:rPr>
              </w:pPr>
              <w:r>
                <w:rPr>
                  <w:rFonts w:hint="eastAsia"/>
                </w:rPr>
                <w:t>⑤</w:t>
              </w:r>
              <w:r>
                <w:rPr>
                  <w:rFonts w:ascii="Times New Roman" w:hAnsi="Times New Roman" w:cs="Times New Roman"/>
                </w:rPr>
                <w:t xml:space="preserve"> </w:t>
              </w:r>
              <w:r>
                <w:rPr>
                  <w:rFonts w:ascii="Times New Roman" w:hAnsi="Times New Roman" w:cs="Times New Roman"/>
                </w:rPr>
                <w:t>财务风险：公司</w:t>
              </w:r>
              <w:r w:rsidR="00D07E51">
                <w:rPr>
                  <w:rFonts w:ascii="Times New Roman" w:hAnsi="Times New Roman" w:cs="Times New Roman"/>
                </w:rPr>
                <w:t>境外</w:t>
              </w:r>
              <w:r>
                <w:rPr>
                  <w:rFonts w:ascii="Times New Roman" w:hAnsi="Times New Roman" w:cs="Times New Roman"/>
                </w:rPr>
                <w:t>子公司报告期受</w:t>
              </w:r>
              <w:r w:rsidR="00574874">
                <w:rPr>
                  <w:rFonts w:ascii="Times New Roman" w:hAnsi="Times New Roman" w:cs="Times New Roman" w:hint="eastAsia"/>
                </w:rPr>
                <w:t>境外</w:t>
              </w:r>
              <w:r>
                <w:rPr>
                  <w:rFonts w:ascii="Times New Roman" w:hAnsi="Times New Roman" w:cs="Times New Roman"/>
                </w:rPr>
                <w:t>疫情</w:t>
              </w:r>
              <w:r w:rsidR="00574874">
                <w:rPr>
                  <w:rFonts w:ascii="Times New Roman" w:hAnsi="Times New Roman" w:cs="Times New Roman" w:hint="eastAsia"/>
                </w:rPr>
                <w:t>未能得到有效控制的</w:t>
              </w:r>
              <w:r>
                <w:rPr>
                  <w:rFonts w:ascii="Times New Roman" w:hAnsi="Times New Roman" w:cs="Times New Roman"/>
                </w:rPr>
                <w:t>影响</w:t>
              </w:r>
              <w:r>
                <w:rPr>
                  <w:rFonts w:ascii="Times New Roman" w:hAnsi="Times New Roman" w:cs="Times New Roman" w:hint="eastAsia"/>
                </w:rPr>
                <w:t>持续</w:t>
              </w:r>
              <w:r>
                <w:rPr>
                  <w:rFonts w:ascii="Times New Roman" w:hAnsi="Times New Roman" w:cs="Times New Roman"/>
                </w:rPr>
                <w:t>经营亏损，若未来经营状况仍不能有效改善，或为维持其生产经营及持续经营需要，公司可能需要持续对其进行财务资助或增资，该情形将对公司财务状况产生不利影响。</w:t>
              </w:r>
            </w:p>
            <w:p w14:paraId="79420915" w14:textId="77777777" w:rsidR="00D21C1F" w:rsidRDefault="00A42880">
              <w:pPr>
                <w:spacing w:line="360" w:lineRule="auto"/>
                <w:ind w:firstLineChars="200" w:firstLine="420"/>
                <w:jc w:val="both"/>
                <w:rPr>
                  <w:rFonts w:ascii="Times New Roman" w:hAnsi="Times New Roman" w:cs="Times New Roman"/>
                </w:rPr>
              </w:pPr>
              <w:r>
                <w:rPr>
                  <w:rFonts w:hint="eastAsia"/>
                </w:rPr>
                <w:t>⑥</w:t>
              </w:r>
              <w:r>
                <w:rPr>
                  <w:rFonts w:ascii="Times New Roman" w:hAnsi="Times New Roman" w:cs="Times New Roman"/>
                </w:rPr>
                <w:t>对境外子公司管理的内控风险：若公司无法建立并执行起有效的境外子公司管控体系，将产生境外子公司管理风险；</w:t>
              </w:r>
            </w:p>
            <w:p w14:paraId="75636489"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）核心零部件自主化进度不达预期风险</w:t>
              </w:r>
            </w:p>
            <w:p w14:paraId="0114C9FE" w14:textId="2F0F6589"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核心零部件自主化率低，是制约公司发展的重要瓶颈，是提升公司整机产品毛利率的关键</w:t>
              </w:r>
              <w:r w:rsidR="00574874">
                <w:rPr>
                  <w:rFonts w:ascii="Times New Roman" w:hAnsi="Times New Roman" w:cs="Times New Roman" w:hint="eastAsia"/>
                </w:rPr>
                <w:t>要素之一</w:t>
              </w:r>
              <w:r>
                <w:rPr>
                  <w:rFonts w:ascii="Times New Roman" w:hAnsi="Times New Roman" w:cs="Times New Roman"/>
                </w:rPr>
                <w:t>。</w:t>
              </w:r>
              <w:r>
                <w:rPr>
                  <w:rFonts w:ascii="Times New Roman" w:hAnsi="Times New Roman" w:cs="Times New Roman"/>
                </w:rPr>
                <w:t>2021</w:t>
              </w:r>
              <w:r>
                <w:rPr>
                  <w:rFonts w:ascii="Times New Roman" w:hAnsi="Times New Roman" w:cs="Times New Roman"/>
                </w:rPr>
                <w:t>年上半年，公司控制器自主化率为</w:t>
              </w:r>
              <w:r>
                <w:rPr>
                  <w:rFonts w:ascii="Times New Roman" w:hAnsi="Times New Roman" w:cs="Times New Roman"/>
                </w:rPr>
                <w:t>71.20%</w:t>
              </w:r>
              <w:r>
                <w:rPr>
                  <w:rFonts w:ascii="Times New Roman" w:hAnsi="Times New Roman" w:cs="Times New Roman"/>
                </w:rPr>
                <w:t>，减速器自主化率为</w:t>
              </w:r>
              <w:r>
                <w:rPr>
                  <w:rFonts w:ascii="Times New Roman" w:hAnsi="Times New Roman" w:cs="Times New Roman"/>
                </w:rPr>
                <w:t>37.25%</w:t>
              </w:r>
              <w:r>
                <w:rPr>
                  <w:rFonts w:ascii="Times New Roman" w:hAnsi="Times New Roman" w:cs="Times New Roman"/>
                </w:rPr>
                <w:t>，驱动器自主化率为</w:t>
              </w:r>
              <w:r>
                <w:rPr>
                  <w:rFonts w:ascii="Times New Roman" w:hAnsi="Times New Roman" w:cs="Times New Roman"/>
                </w:rPr>
                <w:t>5.30%</w:t>
              </w:r>
              <w:r>
                <w:rPr>
                  <w:rFonts w:ascii="Times New Roman" w:hAnsi="Times New Roman" w:cs="Times New Roman"/>
                </w:rPr>
                <w:t>。但若未来核心零部件自主化进度及核心零部件转国内生产制造不达预期</w:t>
              </w:r>
              <w:r>
                <w:rPr>
                  <w:rFonts w:ascii="Times New Roman" w:hAnsi="Times New Roman" w:cs="Times New Roman" w:hint="eastAsia"/>
                </w:rPr>
                <w:t>或自主化核心零部件未被市场和客户接受，或核心零部件的批量生产制造成本无法得到有效控制</w:t>
              </w:r>
              <w:r>
                <w:rPr>
                  <w:rFonts w:ascii="Times New Roman" w:hAnsi="Times New Roman" w:cs="Times New Roman"/>
                </w:rPr>
                <w:t>，将对公司生产经营产生重大不利影响。</w:t>
              </w:r>
            </w:p>
            <w:p w14:paraId="1595D03F"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）原材料供应链风险</w:t>
              </w:r>
            </w:p>
            <w:p w14:paraId="2F62B27E"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lastRenderedPageBreak/>
                <w:t>公司的机器人产品和系统集成依赖于多种原材料，包括各种外购核心零部件、电子电气元器件，定制机加工件等。由于机器人产业在未来几年预计有较大的成长，供应商产能可能无法匹配行业的需求</w:t>
              </w:r>
              <w:r>
                <w:rPr>
                  <w:rFonts w:ascii="Times New Roman" w:hAnsi="Times New Roman" w:cs="Times New Roman" w:hint="eastAsia"/>
                </w:rPr>
                <w:t>；</w:t>
              </w:r>
              <w:r>
                <w:rPr>
                  <w:rFonts w:ascii="Times New Roman" w:hAnsi="Times New Roman" w:cs="Times New Roman"/>
                </w:rPr>
                <w:t xml:space="preserve"> 2020</w:t>
              </w:r>
              <w:r>
                <w:rPr>
                  <w:rFonts w:ascii="Times New Roman" w:hAnsi="Times New Roman" w:cs="Times New Roman"/>
                </w:rPr>
                <w:t>年开始的芯片等控制器和驱动器关键物料出现供货紧张，加上国际政治及其他不可抗力等因素，原材料供应可能会出现延迟交货、限制供应或提高价格的情况。如果公司不能及时获得足够的原材料供应，将对公司的生产经营产生重大不利影响。</w:t>
              </w:r>
            </w:p>
            <w:p w14:paraId="78665430"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）客户集中度较高的风险</w:t>
              </w:r>
            </w:p>
            <w:p w14:paraId="08B8B7C7"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2021</w:t>
              </w:r>
              <w:r>
                <w:rPr>
                  <w:rFonts w:ascii="Times New Roman" w:hAnsi="Times New Roman" w:cs="Times New Roman"/>
                </w:rPr>
                <w:t>年上半年及</w:t>
              </w:r>
              <w:r>
                <w:rPr>
                  <w:rFonts w:ascii="Times New Roman" w:hAnsi="Times New Roman" w:cs="Times New Roman"/>
                </w:rPr>
                <w:t>2020</w:t>
              </w:r>
              <w:r>
                <w:rPr>
                  <w:rFonts w:ascii="Times New Roman" w:hAnsi="Times New Roman" w:cs="Times New Roman"/>
                </w:rPr>
                <w:t>年，公司客户集中度较高，来源于前五大客户的收入占营业收入总额的比例分别为</w:t>
              </w:r>
              <w:r>
                <w:rPr>
                  <w:rFonts w:ascii="Times New Roman" w:hAnsi="Times New Roman" w:cs="Times New Roman" w:hint="eastAsia"/>
                </w:rPr>
                <w:t>3</w:t>
              </w:r>
              <w:r>
                <w:rPr>
                  <w:rFonts w:ascii="Times New Roman" w:hAnsi="Times New Roman" w:cs="Times New Roman"/>
                </w:rPr>
                <w:t>5.38%</w:t>
              </w:r>
              <w:r>
                <w:rPr>
                  <w:rFonts w:ascii="Times New Roman" w:hAnsi="Times New Roman" w:cs="Times New Roman"/>
                </w:rPr>
                <w:t>及</w:t>
              </w:r>
              <w:r>
                <w:rPr>
                  <w:rFonts w:ascii="Times New Roman" w:hAnsi="Times New Roman" w:cs="Times New Roman"/>
                </w:rPr>
                <w:t>53.66%</w:t>
              </w:r>
              <w:r>
                <w:rPr>
                  <w:rFonts w:ascii="Times New Roman" w:hAnsi="Times New Roman" w:cs="Times New Roman"/>
                </w:rPr>
                <w:t>。虽然公司凭借自身的研发实力、技术方案、客户关系等优势，与主要客户建立了较为稳固的合作关系。但是如果未来主要客户的生产经营发生重大问题</w:t>
              </w:r>
              <w:r>
                <w:rPr>
                  <w:rFonts w:ascii="Times New Roman" w:hAnsi="Times New Roman" w:cs="Times New Roman" w:hint="eastAsia"/>
                </w:rPr>
                <w:t>或公司与主要客户的合作关系发生改变</w:t>
              </w:r>
              <w:r>
                <w:rPr>
                  <w:rFonts w:ascii="Times New Roman" w:hAnsi="Times New Roman" w:cs="Times New Roman"/>
                </w:rPr>
                <w:t>，将对公司的生产经营和业绩成长产生不利影响。</w:t>
              </w:r>
            </w:p>
            <w:p w14:paraId="316F129A"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）管理风险</w:t>
              </w:r>
            </w:p>
            <w:p w14:paraId="0D297876" w14:textId="77777777" w:rsidR="00D21C1F" w:rsidRDefault="00A42880">
              <w:pPr>
                <w:spacing w:line="360" w:lineRule="auto"/>
                <w:ind w:firstLineChars="200" w:firstLine="420"/>
                <w:jc w:val="both"/>
                <w:rPr>
                  <w:rFonts w:cs="Times New Roman"/>
                </w:rPr>
              </w:pPr>
              <w:r>
                <w:rPr>
                  <w:rFonts w:ascii="Times New Roman" w:hAnsi="Times New Roman" w:cs="Times New Roman"/>
                </w:rPr>
                <w:t>公司的经营业务涵盖工业机器人的上下游全产业链，同时覆盖中国、意大利、波兰、巴西、印度、法国、德国等国家，公司的组织结构和经营管理较为复杂，对公司的管理水平将提出更高的要求。面对资本市场的考验和更高的管理要求，公司存在一定的管理风险。</w:t>
              </w:r>
            </w:p>
            <w:p w14:paraId="0AFF0A88" w14:textId="77777777" w:rsidR="00D21C1F" w:rsidRDefault="00A42880">
              <w:pPr>
                <w:spacing w:line="360" w:lineRule="auto"/>
                <w:ind w:firstLineChars="200" w:firstLine="422"/>
                <w:jc w:val="both"/>
                <w:rPr>
                  <w:rFonts w:cs="Times New Roman"/>
                  <w:b/>
                  <w:bCs/>
                </w:rPr>
              </w:pPr>
              <w:r>
                <w:rPr>
                  <w:rFonts w:ascii="Times New Roman" w:hAnsi="Times New Roman" w:cs="Times New Roman" w:hint="eastAsia"/>
                  <w:b/>
                  <w:bCs/>
                </w:rPr>
                <w:t>4</w:t>
              </w:r>
              <w:r>
                <w:rPr>
                  <w:rFonts w:cs="Times New Roman" w:hint="eastAsia"/>
                  <w:b/>
                  <w:bCs/>
                </w:rPr>
                <w:t>、行业风险</w:t>
              </w:r>
            </w:p>
            <w:p w14:paraId="7543B7B4"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）市场机会风险</w:t>
              </w:r>
            </w:p>
            <w:p w14:paraId="41EB6C5A"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截至目前，汽车行业仍是工业机器人最大的市场，但随着云技术、人工智能、</w:t>
              </w:r>
              <w:r>
                <w:rPr>
                  <w:rFonts w:ascii="Times New Roman" w:hAnsi="Times New Roman" w:cs="Times New Roman"/>
                </w:rPr>
                <w:t>5G</w:t>
              </w:r>
              <w:r>
                <w:rPr>
                  <w:rFonts w:ascii="Times New Roman" w:hAnsi="Times New Roman" w:cs="Times New Roman"/>
                </w:rPr>
                <w:t>技术等新技术的商业化应用，通用工业将成为蓝海市场。工业机器人趋向轻型化、柔性化、智能化。若公司不能及时抓住机遇，推进机器人智能化发展，则对公司未来的盈利及持续经营产生不利影响。</w:t>
              </w:r>
            </w:p>
            <w:p w14:paraId="7FA88B30"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）行业竞争风险</w:t>
              </w:r>
            </w:p>
            <w:p w14:paraId="7FF0B01D" w14:textId="77777777" w:rsidR="00D21C1F" w:rsidRDefault="00A42880">
              <w:pPr>
                <w:spacing w:line="360" w:lineRule="auto"/>
                <w:ind w:firstLineChars="200" w:firstLine="420"/>
                <w:jc w:val="both"/>
                <w:rPr>
                  <w:rFonts w:cs="Times New Roman"/>
                </w:rPr>
              </w:pPr>
              <w:r>
                <w:rPr>
                  <w:rFonts w:ascii="Times New Roman" w:hAnsi="Times New Roman" w:cs="Times New Roman"/>
                </w:rPr>
                <w:t>国内对机器人的需求迅速扩大，推动了行业的快速发展。一方面，国内同类型企业数量不断增加；另一方面，国外工业机器人四大家族不断重视中国市场，扩充在中国市场的产能和销售渠道。在日趋激烈的市场竞争环境下，如果公司不能持续进行技术升级、提高产品性能与服务质量、降低成本与优化营销网络，则可能导致公司产品失去市场竞争力，</w:t>
              </w:r>
              <w:r>
                <w:rPr>
                  <w:rFonts w:ascii="Times New Roman" w:hAnsi="Times New Roman" w:cs="Times New Roman" w:hint="eastAsia"/>
                </w:rPr>
                <w:t>丧失或无法获取足够的市场份额</w:t>
              </w:r>
              <w:r>
                <w:rPr>
                  <w:rFonts w:ascii="Times New Roman" w:hAnsi="Times New Roman" w:cs="Times New Roman"/>
                </w:rPr>
                <w:t>从而对公司造成不利影响。</w:t>
              </w:r>
            </w:p>
            <w:p w14:paraId="4FA13628" w14:textId="77777777" w:rsidR="00D21C1F" w:rsidRDefault="00A42880">
              <w:pPr>
                <w:spacing w:line="360" w:lineRule="auto"/>
                <w:ind w:firstLineChars="200" w:firstLine="422"/>
                <w:jc w:val="both"/>
                <w:rPr>
                  <w:rFonts w:cs="Times New Roman"/>
                  <w:b/>
                  <w:bCs/>
                </w:rPr>
              </w:pPr>
              <w:r>
                <w:rPr>
                  <w:rFonts w:ascii="Times New Roman" w:hAnsi="Times New Roman" w:cs="Times New Roman" w:hint="eastAsia"/>
                  <w:b/>
                  <w:bCs/>
                </w:rPr>
                <w:t>5</w:t>
              </w:r>
              <w:r>
                <w:rPr>
                  <w:rFonts w:cs="Times New Roman" w:hint="eastAsia"/>
                  <w:b/>
                  <w:bCs/>
                </w:rPr>
                <w:t>、</w:t>
              </w:r>
              <w:r>
                <w:rPr>
                  <w:rFonts w:cs="Times New Roman"/>
                  <w:b/>
                  <w:bCs/>
                </w:rPr>
                <w:t>宏观环境风险</w:t>
              </w:r>
            </w:p>
            <w:p w14:paraId="76A76C7A"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）工业机器人业务受宏观环境和企业投资意愿影响较大，如宏观经济增速下行，制造业</w:t>
              </w:r>
              <w:r>
                <w:rPr>
                  <w:rFonts w:ascii="Times New Roman" w:hAnsi="Times New Roman" w:cs="Times New Roman"/>
                </w:rPr>
                <w:t>PMI</w:t>
              </w:r>
              <w:r>
                <w:rPr>
                  <w:rFonts w:ascii="Times New Roman" w:hAnsi="Times New Roman" w:cs="Times New Roman"/>
                </w:rPr>
                <w:t>指数下滑，</w:t>
              </w:r>
              <w:r>
                <w:rPr>
                  <w:rFonts w:ascii="Times New Roman" w:hAnsi="Times New Roman" w:cs="Times New Roman" w:hint="eastAsia"/>
                </w:rPr>
                <w:t>制造业</w:t>
              </w:r>
              <w:r>
                <w:rPr>
                  <w:rFonts w:ascii="Times New Roman" w:hAnsi="Times New Roman" w:cs="Times New Roman"/>
                </w:rPr>
                <w:t>企业资本开支放缓</w:t>
              </w:r>
              <w:r>
                <w:rPr>
                  <w:rFonts w:ascii="Times New Roman" w:hAnsi="Times New Roman" w:cs="Times New Roman" w:hint="eastAsia"/>
                </w:rPr>
                <w:t>或成本控制加剧</w:t>
              </w:r>
              <w:r>
                <w:rPr>
                  <w:rFonts w:ascii="Times New Roman" w:hAnsi="Times New Roman" w:cs="Times New Roman"/>
                </w:rPr>
                <w:t>，则对公司的经营造成不利影响。</w:t>
              </w:r>
            </w:p>
            <w:p w14:paraId="0FF97D42" w14:textId="04416882" w:rsidR="00D21C1F" w:rsidRDefault="00A42880">
              <w:pPr>
                <w:spacing w:line="360" w:lineRule="auto"/>
                <w:ind w:firstLineChars="200" w:firstLine="420"/>
                <w:jc w:val="both"/>
                <w:rPr>
                  <w:rFonts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）如</w:t>
              </w:r>
              <w:r w:rsidR="00D07E51">
                <w:rPr>
                  <w:rFonts w:ascii="Times New Roman" w:hAnsi="Times New Roman" w:cs="Times New Roman"/>
                </w:rPr>
                <w:t>境外</w:t>
              </w:r>
              <w:r>
                <w:rPr>
                  <w:rFonts w:ascii="Times New Roman" w:hAnsi="Times New Roman" w:cs="Times New Roman"/>
                </w:rPr>
                <w:t>新冠疫情持续发展或反复，尤其各国对相互来往的人员进行管控，将导致公司</w:t>
              </w:r>
              <w:r w:rsidR="00D07E51">
                <w:rPr>
                  <w:rFonts w:ascii="Times New Roman" w:hAnsi="Times New Roman" w:cs="Times New Roman"/>
                </w:rPr>
                <w:t>境外</w:t>
              </w:r>
              <w:r>
                <w:rPr>
                  <w:rFonts w:ascii="Times New Roman" w:hAnsi="Times New Roman" w:cs="Times New Roman"/>
                </w:rPr>
                <w:t>项目的获取和推进延迟，以及</w:t>
              </w:r>
              <w:r w:rsidR="00D07E51">
                <w:rPr>
                  <w:rFonts w:ascii="Times New Roman" w:hAnsi="Times New Roman" w:cs="Times New Roman"/>
                </w:rPr>
                <w:t>境外</w:t>
              </w:r>
              <w:r>
                <w:rPr>
                  <w:rFonts w:ascii="Times New Roman" w:hAnsi="Times New Roman" w:cs="Times New Roman"/>
                </w:rPr>
                <w:t>项目的安装、调试、陪产等会受到比较多的不确定因素的影响，从而影响和拖延整个项目进度，对公司的经营造成不利影响。</w:t>
              </w:r>
            </w:p>
            <w:p w14:paraId="7147070B" w14:textId="77777777" w:rsidR="00D21C1F" w:rsidRDefault="00A42880">
              <w:pPr>
                <w:spacing w:line="360" w:lineRule="auto"/>
                <w:ind w:firstLineChars="200" w:firstLine="422"/>
                <w:jc w:val="both"/>
                <w:rPr>
                  <w:rFonts w:cs="Times New Roman"/>
                  <w:b/>
                  <w:bCs/>
                </w:rPr>
              </w:pPr>
              <w:r>
                <w:rPr>
                  <w:rFonts w:ascii="Times New Roman" w:hAnsi="Times New Roman" w:cs="Times New Roman" w:hint="eastAsia"/>
                  <w:b/>
                  <w:bCs/>
                </w:rPr>
                <w:t>6</w:t>
              </w:r>
              <w:r>
                <w:rPr>
                  <w:rFonts w:cs="Times New Roman" w:hint="eastAsia"/>
                  <w:b/>
                  <w:bCs/>
                </w:rPr>
                <w:t>、其他重大风险</w:t>
              </w:r>
            </w:p>
            <w:p w14:paraId="4CE6286E"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）商誉及客户关系减值风险</w:t>
              </w:r>
            </w:p>
            <w:p w14:paraId="34A9F27B"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lastRenderedPageBreak/>
                <w:t>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日，公司合并报表商誉账面价值为</w:t>
              </w:r>
              <w:r>
                <w:rPr>
                  <w:rFonts w:ascii="Times New Roman" w:hAnsi="Times New Roman" w:cs="Times New Roman"/>
                </w:rPr>
                <w:t>29,388.87</w:t>
              </w:r>
              <w:r>
                <w:rPr>
                  <w:rFonts w:ascii="Times New Roman" w:hAnsi="Times New Roman" w:cs="Times New Roman"/>
                </w:rPr>
                <w:t>万元（已计提商誉减值准备</w:t>
              </w:r>
              <w:r>
                <w:rPr>
                  <w:rFonts w:ascii="Times New Roman" w:hAnsi="Times New Roman" w:cs="Times New Roman"/>
                </w:rPr>
                <w:t>12,931.95</w:t>
              </w:r>
              <w:r>
                <w:rPr>
                  <w:rFonts w:ascii="Times New Roman" w:hAnsi="Times New Roman" w:cs="Times New Roman"/>
                </w:rPr>
                <w:t>万元），主要系公司</w:t>
              </w:r>
              <w:r>
                <w:rPr>
                  <w:rFonts w:ascii="Times New Roman" w:hAnsi="Times New Roman" w:cs="Times New Roman"/>
                </w:rPr>
                <w:t>2015</w:t>
              </w:r>
              <w:r>
                <w:rPr>
                  <w:rFonts w:ascii="Times New Roman" w:hAnsi="Times New Roman" w:cs="Times New Roman"/>
                </w:rPr>
                <w:t>年以来先后收购了</w:t>
              </w:r>
              <w:r>
                <w:rPr>
                  <w:rFonts w:ascii="Times New Roman" w:hAnsi="Times New Roman" w:cs="Times New Roman"/>
                </w:rPr>
                <w:t>CMA</w:t>
              </w:r>
              <w:r>
                <w:rPr>
                  <w:rFonts w:ascii="Times New Roman" w:hAnsi="Times New Roman" w:cs="Times New Roman"/>
                </w:rPr>
                <w:t>、</w:t>
              </w:r>
              <w:r>
                <w:rPr>
                  <w:rFonts w:ascii="Times New Roman" w:hAnsi="Times New Roman" w:cs="Times New Roman"/>
                </w:rPr>
                <w:t>EVOLUT</w:t>
              </w:r>
              <w:r>
                <w:rPr>
                  <w:rFonts w:ascii="Times New Roman" w:hAnsi="Times New Roman" w:cs="Times New Roman"/>
                </w:rPr>
                <w:t>、</w:t>
              </w:r>
              <w:r>
                <w:rPr>
                  <w:rFonts w:ascii="Times New Roman" w:hAnsi="Times New Roman" w:cs="Times New Roman"/>
                </w:rPr>
                <w:t>WFC</w:t>
              </w:r>
              <w:r>
                <w:rPr>
                  <w:rFonts w:ascii="Times New Roman" w:hAnsi="Times New Roman" w:cs="Times New Roman"/>
                </w:rPr>
                <w:t>所致。同时，截至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日，收购</w:t>
              </w:r>
              <w:r>
                <w:rPr>
                  <w:rFonts w:ascii="Times New Roman" w:hAnsi="Times New Roman" w:cs="Times New Roman"/>
                </w:rPr>
                <w:t>WFC</w:t>
              </w:r>
              <w:r>
                <w:rPr>
                  <w:rFonts w:ascii="Times New Roman" w:hAnsi="Times New Roman" w:cs="Times New Roman"/>
                </w:rPr>
                <w:t>产生的客户关系的账面价值为</w:t>
              </w:r>
              <w:r>
                <w:rPr>
                  <w:rFonts w:ascii="Times New Roman" w:hAnsi="Times New Roman" w:cs="Times New Roman"/>
                </w:rPr>
                <w:t xml:space="preserve">15,057.40 </w:t>
              </w:r>
              <w:r>
                <w:rPr>
                  <w:rFonts w:ascii="Times New Roman" w:hAnsi="Times New Roman" w:cs="Times New Roman"/>
                </w:rPr>
                <w:t>万元（已计提减值准备</w:t>
              </w:r>
              <w:r>
                <w:rPr>
                  <w:rFonts w:ascii="Times New Roman" w:hAnsi="Times New Roman" w:cs="Times New Roman"/>
                </w:rPr>
                <w:t xml:space="preserve">2,359.18 </w:t>
              </w:r>
              <w:r>
                <w:rPr>
                  <w:rFonts w:ascii="Times New Roman" w:hAnsi="Times New Roman" w:cs="Times New Roman"/>
                </w:rPr>
                <w:t>万元）。若未来宏观经济、市场环境、产业政策等外部因素发生重大变化，或经营决策失误，并购该等公司产生的商誉及客户关系将可能产生进一步减值的风险。此外，</w:t>
              </w:r>
              <w:r>
                <w:rPr>
                  <w:rFonts w:ascii="Times New Roman" w:hAnsi="Times New Roman" w:cs="Times New Roman"/>
                </w:rPr>
                <w:t>CMA</w:t>
              </w:r>
              <w:r>
                <w:rPr>
                  <w:rFonts w:ascii="Times New Roman" w:hAnsi="Times New Roman" w:cs="Times New Roman"/>
                </w:rPr>
                <w:t>、</w:t>
              </w:r>
              <w:r>
                <w:rPr>
                  <w:rFonts w:ascii="Times New Roman" w:hAnsi="Times New Roman" w:cs="Times New Roman"/>
                </w:rPr>
                <w:t>EVOLUT</w:t>
              </w:r>
              <w:r>
                <w:rPr>
                  <w:rFonts w:ascii="Times New Roman" w:hAnsi="Times New Roman" w:cs="Times New Roman"/>
                </w:rPr>
                <w:t>、</w:t>
              </w:r>
              <w:r>
                <w:rPr>
                  <w:rFonts w:ascii="Times New Roman" w:hAnsi="Times New Roman" w:cs="Times New Roman"/>
                </w:rPr>
                <w:t>WFC</w:t>
              </w:r>
              <w:r>
                <w:rPr>
                  <w:rFonts w:ascii="Times New Roman" w:hAnsi="Times New Roman" w:cs="Times New Roman"/>
                </w:rPr>
                <w:t>注册地及经营地为意大利、巴西、印度等地区，是受境外新冠疫情影响较大的地区之一，若新冠疫情存在反复，</w:t>
              </w:r>
              <w:r>
                <w:rPr>
                  <w:rFonts w:ascii="Times New Roman" w:hAnsi="Times New Roman" w:cs="Times New Roman"/>
                </w:rPr>
                <w:t>EVOLUT</w:t>
              </w:r>
              <w:r>
                <w:rPr>
                  <w:rFonts w:ascii="Times New Roman" w:hAnsi="Times New Roman" w:cs="Times New Roman"/>
                </w:rPr>
                <w:t>、</w:t>
              </w:r>
              <w:r>
                <w:rPr>
                  <w:rFonts w:ascii="Times New Roman" w:hAnsi="Times New Roman" w:cs="Times New Roman"/>
                </w:rPr>
                <w:t>WFC</w:t>
              </w:r>
              <w:r>
                <w:rPr>
                  <w:rFonts w:ascii="Times New Roman" w:hAnsi="Times New Roman" w:cs="Times New Roman"/>
                </w:rPr>
                <w:t>、</w:t>
              </w:r>
              <w:r>
                <w:rPr>
                  <w:rFonts w:ascii="Times New Roman" w:hAnsi="Times New Roman" w:cs="Times New Roman"/>
                </w:rPr>
                <w:t>CMA</w:t>
              </w:r>
              <w:r>
                <w:rPr>
                  <w:rFonts w:ascii="Times New Roman" w:hAnsi="Times New Roman" w:cs="Times New Roman"/>
                </w:rPr>
                <w:t>将存在进一步商誉及客户关系减值的风险。</w:t>
              </w:r>
            </w:p>
            <w:p w14:paraId="76C82F73"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）政府补助无法持续风险</w:t>
              </w:r>
            </w:p>
            <w:p w14:paraId="78D135A7"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报告期内，公司计入当期损益的政府补助金额为</w:t>
              </w:r>
              <w:r>
                <w:rPr>
                  <w:rFonts w:ascii="Times New Roman" w:hAnsi="Times New Roman" w:cs="Times New Roman"/>
                </w:rPr>
                <w:t xml:space="preserve"> 710.84</w:t>
              </w:r>
              <w:r>
                <w:rPr>
                  <w:rFonts w:ascii="Times New Roman" w:hAnsi="Times New Roman" w:cs="Times New Roman"/>
                </w:rPr>
                <w:t>万元，对公司归属于母公司所有者的净利润的影响较大，如果未来各级政府产业政策及扶持政策发生变化，公司享受政府补助金额波动较大，甚至可能无法继续享受相关政府补助，则对公司产生不利影响。</w:t>
              </w:r>
            </w:p>
            <w:p w14:paraId="0D0430A5"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）应收账款、存货减值风险</w:t>
              </w:r>
            </w:p>
            <w:p w14:paraId="74CAEFD9"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截至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日，公司应收账款账面价值为</w:t>
              </w:r>
              <w:r>
                <w:rPr>
                  <w:rFonts w:ascii="Times New Roman" w:hAnsi="Times New Roman" w:cs="Times New Roman" w:hint="eastAsia"/>
                </w:rPr>
                <w:t>4</w:t>
              </w:r>
              <w:r>
                <w:rPr>
                  <w:rFonts w:ascii="Times New Roman" w:hAnsi="Times New Roman" w:cs="Times New Roman"/>
                </w:rPr>
                <w:t>.84</w:t>
              </w:r>
              <w:r>
                <w:rPr>
                  <w:rFonts w:ascii="Times New Roman" w:hAnsi="Times New Roman" w:cs="Times New Roman"/>
                </w:rPr>
                <w:t>亿元（已计提减值准备</w:t>
              </w:r>
              <w:r>
                <w:rPr>
                  <w:rFonts w:ascii="Times New Roman" w:hAnsi="Times New Roman" w:cs="Times New Roman" w:hint="eastAsia"/>
                </w:rPr>
                <w:t>1</w:t>
              </w:r>
              <w:r>
                <w:rPr>
                  <w:rFonts w:ascii="Times New Roman" w:hAnsi="Times New Roman" w:cs="Times New Roman"/>
                </w:rPr>
                <w:t>.49</w:t>
              </w:r>
              <w:r>
                <w:rPr>
                  <w:rFonts w:ascii="Times New Roman" w:hAnsi="Times New Roman" w:cs="Times New Roman"/>
                </w:rPr>
                <w:t>亿元）；存货及合同资产账面价值为</w:t>
              </w:r>
              <w:r>
                <w:rPr>
                  <w:rFonts w:ascii="Times New Roman" w:hAnsi="Times New Roman" w:cs="Times New Roman" w:hint="eastAsia"/>
                </w:rPr>
                <w:t>5</w:t>
              </w:r>
              <w:r>
                <w:rPr>
                  <w:rFonts w:ascii="Times New Roman" w:hAnsi="Times New Roman" w:cs="Times New Roman"/>
                </w:rPr>
                <w:t>.57</w:t>
              </w:r>
              <w:r>
                <w:rPr>
                  <w:rFonts w:ascii="Times New Roman" w:hAnsi="Times New Roman" w:cs="Times New Roman"/>
                </w:rPr>
                <w:t>亿元（已计提减值准备</w:t>
              </w:r>
              <w:r>
                <w:rPr>
                  <w:rFonts w:ascii="Times New Roman" w:hAnsi="Times New Roman" w:cs="Times New Roman" w:hint="eastAsia"/>
                </w:rPr>
                <w:t>0</w:t>
              </w:r>
              <w:r>
                <w:rPr>
                  <w:rFonts w:ascii="Times New Roman" w:hAnsi="Times New Roman" w:cs="Times New Roman"/>
                </w:rPr>
                <w:t>.44</w:t>
              </w:r>
              <w:r>
                <w:rPr>
                  <w:rFonts w:ascii="Times New Roman" w:hAnsi="Times New Roman" w:cs="Times New Roman"/>
                </w:rPr>
                <w:t>亿元）。公司的应收账款、存货规模较大，如果未来市场发生变化，或者公司在内部控制上出现失误，应收账款、存货将可能发生减值风险。</w:t>
              </w:r>
            </w:p>
            <w:p w14:paraId="286043BB"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）经营性现金流状况不佳的风险</w:t>
              </w:r>
            </w:p>
            <w:p w14:paraId="101325FE" w14:textId="213BD3E5" w:rsidR="00D21C1F" w:rsidRDefault="00A42880">
              <w:pPr>
                <w:spacing w:line="360" w:lineRule="auto"/>
                <w:ind w:firstLineChars="200" w:firstLine="420"/>
                <w:jc w:val="both"/>
                <w:rPr>
                  <w:rFonts w:cs="Times New Roman"/>
                </w:rPr>
              </w:pPr>
              <w:r>
                <w:rPr>
                  <w:rFonts w:ascii="Times New Roman" w:hAnsi="Times New Roman" w:cs="Times New Roman"/>
                </w:rPr>
                <w:t>公司系统集成业务前期采购及生产投入较大，而客户通常在终验收后支付合同款项的</w:t>
              </w:r>
              <w:r>
                <w:rPr>
                  <w:rFonts w:ascii="Times New Roman" w:hAnsi="Times New Roman" w:cs="Times New Roman"/>
                </w:rPr>
                <w:t>30%</w:t>
              </w:r>
              <w:r>
                <w:rPr>
                  <w:rFonts w:ascii="Times New Roman" w:hAnsi="Times New Roman" w:cs="Times New Roman"/>
                </w:rPr>
                <w:t>及以上，因此公司在系统集成业务中垫付较大规模的资金。</w:t>
              </w:r>
              <w:r>
                <w:rPr>
                  <w:rFonts w:ascii="Times New Roman" w:hAnsi="Times New Roman" w:cs="Times New Roman" w:hint="eastAsia"/>
                </w:rPr>
                <w:t>此外，由于</w:t>
              </w:r>
              <w:r>
                <w:rPr>
                  <w:rFonts w:ascii="Times New Roman" w:hAnsi="Times New Roman" w:cs="Times New Roman"/>
                </w:rPr>
                <w:t>2021</w:t>
              </w:r>
              <w:r>
                <w:rPr>
                  <w:rFonts w:ascii="Times New Roman" w:hAnsi="Times New Roman" w:cs="Times New Roman"/>
                </w:rPr>
                <w:t>年上半年公司机器人业务经营处于规模扩张阶段，出现经营活动产生的现金流净流出的情形</w:t>
              </w:r>
              <w:r w:rsidR="00574874">
                <w:rPr>
                  <w:rFonts w:ascii="Times New Roman" w:hAnsi="Times New Roman" w:cs="Times New Roman" w:hint="eastAsia"/>
                </w:rPr>
                <w:t>，</w:t>
              </w:r>
              <w:r>
                <w:rPr>
                  <w:rFonts w:ascii="Times New Roman" w:hAnsi="Times New Roman" w:cs="Times New Roman"/>
                </w:rPr>
                <w:t>报告期内公司经营活动产生的现金流净流出约</w:t>
              </w:r>
              <w:r>
                <w:rPr>
                  <w:rFonts w:ascii="Times New Roman" w:hAnsi="Times New Roman" w:cs="Times New Roman"/>
                </w:rPr>
                <w:t>1.16</w:t>
              </w:r>
              <w:r>
                <w:rPr>
                  <w:rFonts w:ascii="Times New Roman" w:hAnsi="Times New Roman" w:cs="Times New Roman"/>
                </w:rPr>
                <w:t>亿元。如果公司不能多渠道筹措资金并及时推动客户加快回款，则可能导致营运资金紧张，进而对公司的持续经营产生不利影响。</w:t>
              </w:r>
            </w:p>
            <w:p w14:paraId="49A53892" w14:textId="77777777" w:rsidR="00D21C1F" w:rsidRDefault="00045EC6">
              <w:pPr>
                <w:pStyle w:val="97"/>
              </w:pPr>
            </w:p>
          </w:sdtContent>
        </w:sdt>
      </w:sdtContent>
    </w:sdt>
    <w:bookmarkStart w:id="57" w:name="_Hlk25587888" w:displacedByCustomXml="next"/>
    <w:bookmarkStart w:id="58" w:name="_Hlk40175449" w:displacedByCustomXml="next"/>
    <w:sdt>
      <w:sdtPr>
        <w:rPr>
          <w:rFonts w:eastAsiaTheme="minorEastAsia"/>
          <w:b w:val="0"/>
          <w:bCs w:val="0"/>
        </w:rPr>
        <w:alias w:val="模块:报告期内主要经营情况"/>
        <w:tag w:val="_SEC_ddf4c954311a4e418bcb95c4c2c9cc88"/>
        <w:id w:val="-917012103"/>
        <w:lock w:val="sdtLocked"/>
        <w:placeholder>
          <w:docPart w:val="GBC22222222222222222222222222222"/>
        </w:placeholder>
      </w:sdtPr>
      <w:sdtEndPr/>
      <w:sdtContent>
        <w:p w14:paraId="627814D3" w14:textId="77777777" w:rsidR="00D21C1F" w:rsidRDefault="00A42880">
          <w:pPr>
            <w:pStyle w:val="2"/>
            <w:numPr>
              <w:ilvl w:val="0"/>
              <w:numId w:val="7"/>
            </w:numPr>
            <w:rPr>
              <w:bCs w:val="0"/>
            </w:rPr>
          </w:pPr>
          <w:r>
            <w:rPr>
              <w:rFonts w:hint="eastAsia"/>
              <w:bCs w:val="0"/>
            </w:rPr>
            <w:t>报告期内主要经营情况</w:t>
          </w:r>
        </w:p>
        <w:sdt>
          <w:sdtPr>
            <w:rPr>
              <w:rFonts w:hint="eastAsia"/>
            </w:rPr>
            <w:alias w:val="报告期内主要经营情况"/>
            <w:tag w:val="_GBC_62f836101e86411f92678b57daae9e03"/>
            <w:id w:val="-2053768594"/>
            <w:lock w:val="sdtLocked"/>
            <w:placeholder>
              <w:docPart w:val="GBC22222222222222222222222222222"/>
            </w:placeholder>
          </w:sdtPr>
          <w:sdtEndPr/>
          <w:sdtContent>
            <w:p w14:paraId="33C3D00C" w14:textId="77777777" w:rsidR="00D21C1F" w:rsidRDefault="00A42880">
              <w:pPr>
                <w:pStyle w:val="97"/>
              </w:pPr>
              <w:r>
                <w:rPr>
                  <w:rFonts w:hint="eastAsia"/>
                </w:rPr>
                <w:t>详见本节“四、经营情况的讨论与分析”</w:t>
              </w:r>
            </w:p>
          </w:sdtContent>
        </w:sdt>
      </w:sdtContent>
    </w:sdt>
    <w:p w14:paraId="7A113DB0" w14:textId="77777777" w:rsidR="00D21C1F" w:rsidRDefault="00A42880">
      <w:pPr>
        <w:pStyle w:val="3"/>
        <w:numPr>
          <w:ilvl w:val="0"/>
          <w:numId w:val="15"/>
        </w:numPr>
        <w:rPr>
          <w:rFonts w:ascii="宋体" w:hAnsi="宋体"/>
        </w:rPr>
      </w:pPr>
      <w:bookmarkStart w:id="59" w:name="_Toc342559738"/>
      <w:bookmarkStart w:id="60" w:name="_Toc342565895"/>
      <w:bookmarkEnd w:id="58"/>
      <w:bookmarkEnd w:id="57"/>
      <w:r>
        <w:rPr>
          <w:rFonts w:ascii="宋体" w:hAnsi="宋体" w:hint="eastAsia"/>
        </w:rPr>
        <w:t>主营业务分析</w:t>
      </w:r>
      <w:bookmarkEnd w:id="59"/>
      <w:bookmarkEnd w:id="60"/>
    </w:p>
    <w:p w14:paraId="02788745" w14:textId="77777777" w:rsidR="00D21C1F" w:rsidRDefault="00A42880">
      <w:pPr>
        <w:pStyle w:val="4"/>
        <w:numPr>
          <w:ilvl w:val="0"/>
          <w:numId w:val="16"/>
        </w:numPr>
        <w:rPr>
          <w:rFonts w:ascii="宋体" w:hAnsi="宋体"/>
        </w:rPr>
      </w:pPr>
      <w:bookmarkStart w:id="61" w:name="_Toc342559739"/>
      <w:bookmarkStart w:id="62" w:name="_Toc342565896"/>
      <w:r>
        <w:rPr>
          <w:rFonts w:ascii="宋体" w:hAnsi="宋体" w:hint="eastAsia"/>
        </w:rPr>
        <w:t>财务报表相关科目变动分析表</w:t>
      </w:r>
      <w:bookmarkEnd w:id="61"/>
      <w:bookmarkEnd w:id="62"/>
    </w:p>
    <w:bookmarkStart w:id="63" w:name="_Hlk10208083" w:displacedByCustomXml="next"/>
    <w:sdt>
      <w:sdtPr>
        <w:rPr>
          <w:rFonts w:ascii="宋体" w:hAnsi="宋体" w:hint="eastAsia"/>
        </w:rPr>
        <w:alias w:val="模块:财务报表相关科目变动分析表"/>
        <w:tag w:val="_GBC_281bf95299804381a41f7dd82e2c19f3"/>
        <w:id w:val="-1094623466"/>
        <w:lock w:val="sdtLocked"/>
        <w:placeholder>
          <w:docPart w:val="GBC22222222222222222222222222222"/>
        </w:placeholder>
      </w:sdtPr>
      <w:sdtEndPr>
        <w:rPr>
          <w:rFonts w:ascii="Times New Roman" w:hAnsi="Times New Roman" w:hint="default"/>
        </w:rPr>
      </w:sdtEndPr>
      <w:sdtContent>
        <w:p w14:paraId="64EA1F22" w14:textId="77777777" w:rsidR="00D21C1F" w:rsidRDefault="00A42880">
          <w:pPr>
            <w:pStyle w:val="aff4"/>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672756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2128963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ff0"/>
            <w:tblW w:w="4994" w:type="pct"/>
            <w:tblLook w:val="04A0" w:firstRow="1" w:lastRow="0" w:firstColumn="1" w:lastColumn="0" w:noHBand="0" w:noVBand="1"/>
          </w:tblPr>
          <w:tblGrid>
            <w:gridCol w:w="3008"/>
            <w:gridCol w:w="2073"/>
            <w:gridCol w:w="1935"/>
            <w:gridCol w:w="1796"/>
          </w:tblGrid>
          <w:tr w:rsidR="00D21C1F" w14:paraId="49039CF6" w14:textId="77777777">
            <w:sdt>
              <w:sdtPr>
                <w:rPr>
                  <w:rFonts w:ascii="宋体" w:hAnsi="宋体"/>
                </w:rPr>
                <w:tag w:val="_PLD_2e2e0d1bb8d44a278061305ea6808979"/>
                <w:id w:val="-364445578"/>
                <w:lock w:val="sdtLocked"/>
              </w:sdtPr>
              <w:sdtEndPr/>
              <w:sdtContent>
                <w:tc>
                  <w:tcPr>
                    <w:tcW w:w="1707" w:type="pct"/>
                  </w:tcPr>
                  <w:p w14:paraId="04B9369F" w14:textId="77777777" w:rsidR="00D21C1F" w:rsidRDefault="00A42880">
                    <w:pPr>
                      <w:pStyle w:val="aff4"/>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119813472"/>
                <w:lock w:val="sdtLocked"/>
              </w:sdtPr>
              <w:sdtEndPr/>
              <w:sdtContent>
                <w:tc>
                  <w:tcPr>
                    <w:tcW w:w="1176" w:type="pct"/>
                    <w:vAlign w:val="center"/>
                  </w:tcPr>
                  <w:p w14:paraId="50711F05" w14:textId="77777777" w:rsidR="00D21C1F" w:rsidRDefault="00A42880">
                    <w:pPr>
                      <w:pStyle w:val="aff4"/>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293605524"/>
                <w:lock w:val="sdtLocked"/>
              </w:sdtPr>
              <w:sdtEndPr/>
              <w:sdtContent>
                <w:tc>
                  <w:tcPr>
                    <w:tcW w:w="1098" w:type="pct"/>
                    <w:vAlign w:val="center"/>
                  </w:tcPr>
                  <w:p w14:paraId="1EBFD192" w14:textId="77777777" w:rsidR="00D21C1F" w:rsidRDefault="00A42880">
                    <w:pPr>
                      <w:pStyle w:val="aff4"/>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1802026500"/>
                <w:lock w:val="sdtLocked"/>
              </w:sdtPr>
              <w:sdtEndPr/>
              <w:sdtContent>
                <w:tc>
                  <w:tcPr>
                    <w:tcW w:w="1019" w:type="pct"/>
                    <w:vAlign w:val="center"/>
                  </w:tcPr>
                  <w:p w14:paraId="3FD77DD8" w14:textId="77777777" w:rsidR="00D21C1F" w:rsidRDefault="00A42880">
                    <w:pPr>
                      <w:pStyle w:val="aff4"/>
                      <w:ind w:firstLineChars="0" w:firstLine="0"/>
                      <w:jc w:val="center"/>
                      <w:rPr>
                        <w:rFonts w:ascii="宋体" w:hAnsi="宋体"/>
                        <w:szCs w:val="21"/>
                      </w:rPr>
                    </w:pPr>
                    <w:r>
                      <w:rPr>
                        <w:rFonts w:ascii="宋体" w:hAnsi="宋体" w:hint="eastAsia"/>
                        <w:szCs w:val="21"/>
                      </w:rPr>
                      <w:t>变动比例（%）</w:t>
                    </w:r>
                  </w:p>
                </w:tc>
              </w:sdtContent>
            </w:sdt>
          </w:tr>
          <w:tr w:rsidR="00D21C1F" w14:paraId="6BB52691" w14:textId="77777777">
            <w:sdt>
              <w:sdtPr>
                <w:rPr>
                  <w:rFonts w:ascii="宋体" w:hAnsi="宋体"/>
                </w:rPr>
                <w:tag w:val="_PLD_c7aabd73356d4df6ad6c67395e690823"/>
                <w:id w:val="61917401"/>
                <w:lock w:val="sdtLocked"/>
              </w:sdtPr>
              <w:sdtEndPr/>
              <w:sdtContent>
                <w:tc>
                  <w:tcPr>
                    <w:tcW w:w="1707" w:type="pct"/>
                  </w:tcPr>
                  <w:p w14:paraId="2AA96CE0" w14:textId="77777777" w:rsidR="00D21C1F" w:rsidRDefault="00A42880">
                    <w:pPr>
                      <w:pStyle w:val="aff4"/>
                      <w:ind w:firstLineChars="0" w:firstLine="0"/>
                      <w:rPr>
                        <w:rFonts w:ascii="宋体" w:hAnsi="宋体"/>
                        <w:szCs w:val="21"/>
                      </w:rPr>
                    </w:pPr>
                    <w:r>
                      <w:rPr>
                        <w:rFonts w:ascii="宋体" w:hAnsi="宋体" w:hint="eastAsia"/>
                        <w:szCs w:val="21"/>
                      </w:rPr>
                      <w:t>营业收入</w:t>
                    </w:r>
                  </w:p>
                </w:tc>
              </w:sdtContent>
            </w:sdt>
            <w:tc>
              <w:tcPr>
                <w:tcW w:w="1176" w:type="pct"/>
                <w:vAlign w:val="bottom"/>
              </w:tcPr>
              <w:p w14:paraId="40C2893E" w14:textId="77777777" w:rsidR="00D21C1F" w:rsidRDefault="00A42880">
                <w:pPr>
                  <w:pStyle w:val="aff4"/>
                  <w:ind w:firstLineChars="0" w:firstLine="0"/>
                  <w:jc w:val="right"/>
                  <w:rPr>
                    <w:rFonts w:ascii="Times New Roman" w:hAnsi="Times New Roman"/>
                    <w:szCs w:val="21"/>
                  </w:rPr>
                </w:pPr>
                <w:r>
                  <w:rPr>
                    <w:rFonts w:ascii="Times New Roman" w:hAnsi="Times New Roman"/>
                  </w:rPr>
                  <w:t>57,163.73</w:t>
                </w:r>
              </w:p>
            </w:tc>
            <w:tc>
              <w:tcPr>
                <w:tcW w:w="1098" w:type="pct"/>
                <w:vAlign w:val="bottom"/>
              </w:tcPr>
              <w:p w14:paraId="0217EE63" w14:textId="77777777" w:rsidR="00D21C1F" w:rsidRDefault="00A42880">
                <w:pPr>
                  <w:pStyle w:val="aff4"/>
                  <w:ind w:firstLineChars="0" w:firstLine="0"/>
                  <w:jc w:val="right"/>
                  <w:rPr>
                    <w:rFonts w:ascii="Times New Roman" w:hAnsi="Times New Roman"/>
                    <w:szCs w:val="21"/>
                  </w:rPr>
                </w:pPr>
                <w:r>
                  <w:rPr>
                    <w:rFonts w:ascii="Times New Roman" w:hAnsi="Times New Roman"/>
                  </w:rPr>
                  <w:t>45,999.84</w:t>
                </w:r>
              </w:p>
            </w:tc>
            <w:tc>
              <w:tcPr>
                <w:tcW w:w="1019" w:type="pct"/>
                <w:vAlign w:val="center"/>
              </w:tcPr>
              <w:p w14:paraId="6B20FDCA" w14:textId="77777777" w:rsidR="00D21C1F" w:rsidRDefault="00A42880">
                <w:pPr>
                  <w:pStyle w:val="aff4"/>
                  <w:ind w:firstLineChars="0" w:firstLine="0"/>
                  <w:jc w:val="right"/>
                  <w:rPr>
                    <w:rFonts w:ascii="Times New Roman" w:hAnsi="Times New Roman"/>
                    <w:szCs w:val="21"/>
                  </w:rPr>
                </w:pPr>
                <w:r>
                  <w:rPr>
                    <w:rFonts w:ascii="Times New Roman" w:hAnsi="Times New Roman"/>
                  </w:rPr>
                  <w:t>24.27</w:t>
                </w:r>
              </w:p>
            </w:tc>
          </w:tr>
          <w:tr w:rsidR="00D21C1F" w14:paraId="1C53B4BD" w14:textId="77777777">
            <w:sdt>
              <w:sdtPr>
                <w:rPr>
                  <w:rFonts w:ascii="宋体" w:hAnsi="宋体"/>
                </w:rPr>
                <w:tag w:val="_PLD_143930b444784190b0545eacad3472d8"/>
                <w:id w:val="-1528329619"/>
                <w:lock w:val="sdtLocked"/>
              </w:sdtPr>
              <w:sdtEndPr/>
              <w:sdtContent>
                <w:tc>
                  <w:tcPr>
                    <w:tcW w:w="1707" w:type="pct"/>
                  </w:tcPr>
                  <w:p w14:paraId="1F958715" w14:textId="77777777" w:rsidR="00D21C1F" w:rsidRDefault="00A42880">
                    <w:pPr>
                      <w:pStyle w:val="aff4"/>
                      <w:ind w:firstLineChars="0" w:firstLine="0"/>
                      <w:rPr>
                        <w:rFonts w:ascii="宋体" w:hAnsi="宋体"/>
                        <w:szCs w:val="21"/>
                      </w:rPr>
                    </w:pPr>
                    <w:r>
                      <w:rPr>
                        <w:rFonts w:ascii="宋体" w:hAnsi="宋体"/>
                        <w:szCs w:val="21"/>
                      </w:rPr>
                      <w:t>营业成本</w:t>
                    </w:r>
                  </w:p>
                </w:tc>
              </w:sdtContent>
            </w:sdt>
            <w:tc>
              <w:tcPr>
                <w:tcW w:w="1176" w:type="pct"/>
                <w:vAlign w:val="center"/>
              </w:tcPr>
              <w:p w14:paraId="466BF497" w14:textId="77777777" w:rsidR="00D21C1F" w:rsidRDefault="00A42880">
                <w:pPr>
                  <w:pStyle w:val="aff4"/>
                  <w:ind w:firstLineChars="0" w:firstLine="0"/>
                  <w:jc w:val="right"/>
                  <w:rPr>
                    <w:rFonts w:ascii="Times New Roman" w:hAnsi="Times New Roman"/>
                    <w:szCs w:val="21"/>
                  </w:rPr>
                </w:pPr>
                <w:r>
                  <w:rPr>
                    <w:rFonts w:ascii="Times New Roman" w:hAnsi="Times New Roman"/>
                  </w:rPr>
                  <w:t>47,736.53</w:t>
                </w:r>
              </w:p>
            </w:tc>
            <w:tc>
              <w:tcPr>
                <w:tcW w:w="1098" w:type="pct"/>
                <w:vAlign w:val="center"/>
              </w:tcPr>
              <w:p w14:paraId="36931508" w14:textId="77777777" w:rsidR="00D21C1F" w:rsidRDefault="00A42880">
                <w:pPr>
                  <w:pStyle w:val="aff4"/>
                  <w:ind w:firstLineChars="0" w:firstLine="0"/>
                  <w:jc w:val="right"/>
                  <w:rPr>
                    <w:rFonts w:ascii="Times New Roman" w:hAnsi="Times New Roman"/>
                    <w:szCs w:val="21"/>
                  </w:rPr>
                </w:pPr>
                <w:r>
                  <w:rPr>
                    <w:rFonts w:ascii="Times New Roman" w:hAnsi="Times New Roman"/>
                  </w:rPr>
                  <w:t>40,195.82</w:t>
                </w:r>
              </w:p>
            </w:tc>
            <w:tc>
              <w:tcPr>
                <w:tcW w:w="1019" w:type="pct"/>
                <w:vAlign w:val="center"/>
              </w:tcPr>
              <w:p w14:paraId="439A9505" w14:textId="77777777" w:rsidR="00D21C1F" w:rsidRDefault="00A42880">
                <w:pPr>
                  <w:pStyle w:val="aff4"/>
                  <w:ind w:firstLineChars="0" w:firstLine="0"/>
                  <w:jc w:val="right"/>
                  <w:rPr>
                    <w:rFonts w:ascii="Times New Roman" w:hAnsi="Times New Roman"/>
                    <w:szCs w:val="21"/>
                  </w:rPr>
                </w:pPr>
                <w:r>
                  <w:rPr>
                    <w:rFonts w:ascii="Times New Roman" w:hAnsi="Times New Roman"/>
                  </w:rPr>
                  <w:t>18.76</w:t>
                </w:r>
              </w:p>
            </w:tc>
          </w:tr>
          <w:tr w:rsidR="00D21C1F" w14:paraId="42947CEE" w14:textId="77777777">
            <w:sdt>
              <w:sdtPr>
                <w:rPr>
                  <w:rFonts w:ascii="宋体" w:hAnsi="宋体"/>
                </w:rPr>
                <w:tag w:val="_PLD_3140de3631dd486996919c00b7b71b20"/>
                <w:id w:val="-416471712"/>
                <w:lock w:val="sdtLocked"/>
              </w:sdtPr>
              <w:sdtEndPr/>
              <w:sdtContent>
                <w:tc>
                  <w:tcPr>
                    <w:tcW w:w="1707" w:type="pct"/>
                  </w:tcPr>
                  <w:p w14:paraId="52497AEB" w14:textId="77777777" w:rsidR="00D21C1F" w:rsidRDefault="00A42880">
                    <w:pPr>
                      <w:pStyle w:val="aff4"/>
                      <w:ind w:firstLineChars="0" w:firstLine="0"/>
                      <w:rPr>
                        <w:rFonts w:ascii="宋体" w:hAnsi="宋体"/>
                        <w:szCs w:val="21"/>
                      </w:rPr>
                    </w:pPr>
                    <w:r>
                      <w:rPr>
                        <w:rFonts w:ascii="宋体" w:hAnsi="宋体"/>
                        <w:szCs w:val="21"/>
                      </w:rPr>
                      <w:t>销售费用</w:t>
                    </w:r>
                  </w:p>
                </w:tc>
              </w:sdtContent>
            </w:sdt>
            <w:tc>
              <w:tcPr>
                <w:tcW w:w="1176" w:type="pct"/>
                <w:vAlign w:val="bottom"/>
              </w:tcPr>
              <w:p w14:paraId="67FD756A" w14:textId="77777777" w:rsidR="00D21C1F" w:rsidRDefault="00A42880">
                <w:pPr>
                  <w:pStyle w:val="aff4"/>
                  <w:ind w:firstLineChars="0" w:firstLine="0"/>
                  <w:jc w:val="right"/>
                  <w:rPr>
                    <w:rFonts w:ascii="Times New Roman" w:hAnsi="Times New Roman"/>
                    <w:szCs w:val="21"/>
                  </w:rPr>
                </w:pPr>
                <w:r>
                  <w:rPr>
                    <w:rFonts w:ascii="Times New Roman" w:hAnsi="Times New Roman"/>
                  </w:rPr>
                  <w:t>2,976.77</w:t>
                </w:r>
              </w:p>
            </w:tc>
            <w:tc>
              <w:tcPr>
                <w:tcW w:w="1098" w:type="pct"/>
                <w:vAlign w:val="bottom"/>
              </w:tcPr>
              <w:p w14:paraId="018E60DE" w14:textId="77777777" w:rsidR="00D21C1F" w:rsidRDefault="00A42880">
                <w:pPr>
                  <w:pStyle w:val="aff4"/>
                  <w:ind w:firstLineChars="0" w:firstLine="0"/>
                  <w:jc w:val="right"/>
                  <w:rPr>
                    <w:rFonts w:ascii="Times New Roman" w:hAnsi="Times New Roman"/>
                    <w:szCs w:val="21"/>
                  </w:rPr>
                </w:pPr>
                <w:r>
                  <w:rPr>
                    <w:rFonts w:ascii="Times New Roman" w:hAnsi="Times New Roman"/>
                  </w:rPr>
                  <w:t>2,428.03</w:t>
                </w:r>
              </w:p>
            </w:tc>
            <w:tc>
              <w:tcPr>
                <w:tcW w:w="1019" w:type="pct"/>
                <w:vAlign w:val="center"/>
              </w:tcPr>
              <w:p w14:paraId="4E26D3B4" w14:textId="77777777" w:rsidR="00D21C1F" w:rsidRDefault="00A42880">
                <w:pPr>
                  <w:pStyle w:val="aff4"/>
                  <w:ind w:firstLineChars="0" w:firstLine="0"/>
                  <w:jc w:val="right"/>
                  <w:rPr>
                    <w:rFonts w:ascii="Times New Roman" w:hAnsi="Times New Roman"/>
                    <w:szCs w:val="21"/>
                  </w:rPr>
                </w:pPr>
                <w:r>
                  <w:rPr>
                    <w:rFonts w:ascii="Times New Roman" w:hAnsi="Times New Roman"/>
                  </w:rPr>
                  <w:t>22.60</w:t>
                </w:r>
              </w:p>
            </w:tc>
          </w:tr>
          <w:tr w:rsidR="00D21C1F" w14:paraId="3E3091B7" w14:textId="77777777">
            <w:sdt>
              <w:sdtPr>
                <w:rPr>
                  <w:rFonts w:ascii="宋体" w:hAnsi="宋体"/>
                </w:rPr>
                <w:tag w:val="_PLD_6448b6c19be4461084a37286c6a46673"/>
                <w:id w:val="672307736"/>
                <w:lock w:val="sdtLocked"/>
              </w:sdtPr>
              <w:sdtEndPr/>
              <w:sdtContent>
                <w:tc>
                  <w:tcPr>
                    <w:tcW w:w="1707" w:type="pct"/>
                  </w:tcPr>
                  <w:p w14:paraId="558981EA" w14:textId="77777777" w:rsidR="00D21C1F" w:rsidRDefault="00A42880">
                    <w:pPr>
                      <w:pStyle w:val="aff4"/>
                      <w:ind w:firstLineChars="0" w:firstLine="0"/>
                      <w:rPr>
                        <w:rFonts w:ascii="宋体" w:hAnsi="宋体"/>
                        <w:szCs w:val="21"/>
                      </w:rPr>
                    </w:pPr>
                    <w:r>
                      <w:rPr>
                        <w:rFonts w:ascii="宋体" w:hAnsi="宋体"/>
                        <w:szCs w:val="21"/>
                      </w:rPr>
                      <w:t>管理费用</w:t>
                    </w:r>
                  </w:p>
                </w:tc>
              </w:sdtContent>
            </w:sdt>
            <w:tc>
              <w:tcPr>
                <w:tcW w:w="1176" w:type="pct"/>
                <w:vAlign w:val="bottom"/>
              </w:tcPr>
              <w:p w14:paraId="1749C47A" w14:textId="77777777" w:rsidR="00D21C1F" w:rsidRDefault="00A42880">
                <w:pPr>
                  <w:pStyle w:val="aff4"/>
                  <w:ind w:firstLineChars="0" w:firstLine="0"/>
                  <w:jc w:val="right"/>
                  <w:rPr>
                    <w:rFonts w:ascii="Times New Roman" w:hAnsi="Times New Roman"/>
                    <w:szCs w:val="21"/>
                  </w:rPr>
                </w:pPr>
                <w:r>
                  <w:rPr>
                    <w:rFonts w:ascii="Times New Roman" w:hAnsi="Times New Roman"/>
                  </w:rPr>
                  <w:t>10,336.00</w:t>
                </w:r>
              </w:p>
            </w:tc>
            <w:tc>
              <w:tcPr>
                <w:tcW w:w="1098" w:type="pct"/>
                <w:vAlign w:val="bottom"/>
              </w:tcPr>
              <w:p w14:paraId="04034754" w14:textId="77777777" w:rsidR="00D21C1F" w:rsidRDefault="00A42880">
                <w:pPr>
                  <w:pStyle w:val="aff4"/>
                  <w:ind w:firstLineChars="0" w:firstLine="0"/>
                  <w:jc w:val="right"/>
                  <w:rPr>
                    <w:rFonts w:ascii="Times New Roman" w:hAnsi="Times New Roman"/>
                    <w:szCs w:val="21"/>
                  </w:rPr>
                </w:pPr>
                <w:r>
                  <w:rPr>
                    <w:rFonts w:ascii="Times New Roman" w:hAnsi="Times New Roman"/>
                  </w:rPr>
                  <w:t>9,385.64</w:t>
                </w:r>
              </w:p>
            </w:tc>
            <w:tc>
              <w:tcPr>
                <w:tcW w:w="1019" w:type="pct"/>
                <w:vAlign w:val="center"/>
              </w:tcPr>
              <w:p w14:paraId="0CD40E2D" w14:textId="77777777" w:rsidR="00D21C1F" w:rsidRDefault="00A42880">
                <w:pPr>
                  <w:pStyle w:val="aff4"/>
                  <w:ind w:firstLineChars="0" w:firstLine="0"/>
                  <w:jc w:val="right"/>
                  <w:rPr>
                    <w:rFonts w:ascii="Times New Roman" w:hAnsi="Times New Roman"/>
                    <w:szCs w:val="21"/>
                  </w:rPr>
                </w:pPr>
                <w:r>
                  <w:rPr>
                    <w:rFonts w:ascii="Times New Roman" w:hAnsi="Times New Roman"/>
                  </w:rPr>
                  <w:t>10.13</w:t>
                </w:r>
              </w:p>
            </w:tc>
          </w:tr>
          <w:tr w:rsidR="00D21C1F" w14:paraId="4D2D26FF" w14:textId="77777777">
            <w:sdt>
              <w:sdtPr>
                <w:rPr>
                  <w:rFonts w:ascii="宋体" w:hAnsi="宋体"/>
                </w:rPr>
                <w:tag w:val="_PLD_79aac573eb414fcbb6f291d963446057"/>
                <w:id w:val="-228009071"/>
                <w:lock w:val="sdtLocked"/>
              </w:sdtPr>
              <w:sdtEndPr/>
              <w:sdtContent>
                <w:tc>
                  <w:tcPr>
                    <w:tcW w:w="1707" w:type="pct"/>
                  </w:tcPr>
                  <w:p w14:paraId="6852EA40" w14:textId="77777777" w:rsidR="00D21C1F" w:rsidRDefault="00A42880">
                    <w:pPr>
                      <w:pStyle w:val="aff4"/>
                      <w:ind w:firstLineChars="0" w:firstLine="0"/>
                      <w:rPr>
                        <w:rFonts w:ascii="宋体" w:hAnsi="宋体"/>
                        <w:szCs w:val="21"/>
                      </w:rPr>
                    </w:pPr>
                    <w:r>
                      <w:rPr>
                        <w:rFonts w:ascii="宋体" w:hAnsi="宋体" w:hint="eastAsia"/>
                        <w:szCs w:val="21"/>
                      </w:rPr>
                      <w:t>研发费用</w:t>
                    </w:r>
                  </w:p>
                </w:tc>
              </w:sdtContent>
            </w:sdt>
            <w:tc>
              <w:tcPr>
                <w:tcW w:w="1176" w:type="pct"/>
                <w:vAlign w:val="bottom"/>
              </w:tcPr>
              <w:p w14:paraId="4FF1921C" w14:textId="77777777" w:rsidR="00D21C1F" w:rsidRDefault="00A42880">
                <w:pPr>
                  <w:pStyle w:val="aff4"/>
                  <w:ind w:firstLineChars="0" w:firstLine="0"/>
                  <w:jc w:val="right"/>
                  <w:rPr>
                    <w:rFonts w:ascii="Times New Roman" w:hAnsi="Times New Roman"/>
                    <w:szCs w:val="21"/>
                  </w:rPr>
                </w:pPr>
                <w:r>
                  <w:rPr>
                    <w:rFonts w:ascii="Times New Roman" w:hAnsi="Times New Roman"/>
                  </w:rPr>
                  <w:t>4,927.10</w:t>
                </w:r>
              </w:p>
            </w:tc>
            <w:tc>
              <w:tcPr>
                <w:tcW w:w="1098" w:type="pct"/>
                <w:vAlign w:val="bottom"/>
              </w:tcPr>
              <w:p w14:paraId="017F157E" w14:textId="77777777" w:rsidR="00D21C1F" w:rsidRDefault="00A42880">
                <w:pPr>
                  <w:pStyle w:val="aff4"/>
                  <w:ind w:firstLineChars="0" w:firstLine="0"/>
                  <w:jc w:val="right"/>
                  <w:rPr>
                    <w:rFonts w:ascii="Times New Roman" w:hAnsi="Times New Roman"/>
                    <w:szCs w:val="21"/>
                  </w:rPr>
                </w:pPr>
                <w:r>
                  <w:rPr>
                    <w:rFonts w:ascii="Times New Roman" w:hAnsi="Times New Roman"/>
                  </w:rPr>
                  <w:t>3,161.39</w:t>
                </w:r>
              </w:p>
            </w:tc>
            <w:tc>
              <w:tcPr>
                <w:tcW w:w="1019" w:type="pct"/>
                <w:vAlign w:val="center"/>
              </w:tcPr>
              <w:p w14:paraId="036823AC" w14:textId="77777777" w:rsidR="00D21C1F" w:rsidRDefault="00A42880">
                <w:pPr>
                  <w:pStyle w:val="aff4"/>
                  <w:ind w:firstLineChars="0" w:firstLine="0"/>
                  <w:jc w:val="right"/>
                  <w:rPr>
                    <w:rFonts w:ascii="Times New Roman" w:hAnsi="Times New Roman"/>
                    <w:szCs w:val="21"/>
                  </w:rPr>
                </w:pPr>
                <w:r>
                  <w:rPr>
                    <w:rFonts w:ascii="Times New Roman" w:hAnsi="Times New Roman"/>
                  </w:rPr>
                  <w:t>55.85</w:t>
                </w:r>
              </w:p>
            </w:tc>
          </w:tr>
          <w:tr w:rsidR="00D21C1F" w14:paraId="72491CEE" w14:textId="77777777">
            <w:sdt>
              <w:sdtPr>
                <w:rPr>
                  <w:rFonts w:ascii="宋体" w:hAnsi="宋体"/>
                </w:rPr>
                <w:tag w:val="_PLD_d989f363470245b8a8044d51af95f876"/>
                <w:id w:val="-1349557471"/>
                <w:lock w:val="sdtLocked"/>
              </w:sdtPr>
              <w:sdtEndPr/>
              <w:sdtContent>
                <w:tc>
                  <w:tcPr>
                    <w:tcW w:w="1707" w:type="pct"/>
                  </w:tcPr>
                  <w:p w14:paraId="583DDBBC" w14:textId="77777777" w:rsidR="00D21C1F" w:rsidRDefault="00A42880">
                    <w:pPr>
                      <w:pStyle w:val="aff4"/>
                      <w:ind w:firstLineChars="0" w:firstLine="0"/>
                      <w:rPr>
                        <w:rFonts w:ascii="宋体" w:hAnsi="宋体"/>
                        <w:szCs w:val="21"/>
                      </w:rPr>
                    </w:pPr>
                    <w:r>
                      <w:rPr>
                        <w:rFonts w:ascii="宋体" w:hAnsi="宋体"/>
                        <w:szCs w:val="21"/>
                      </w:rPr>
                      <w:t>财务费用</w:t>
                    </w:r>
                  </w:p>
                </w:tc>
              </w:sdtContent>
            </w:sdt>
            <w:tc>
              <w:tcPr>
                <w:tcW w:w="1176" w:type="pct"/>
                <w:vAlign w:val="bottom"/>
              </w:tcPr>
              <w:p w14:paraId="5823A6BE" w14:textId="77777777" w:rsidR="00D21C1F" w:rsidRDefault="00A42880">
                <w:pPr>
                  <w:pStyle w:val="aff4"/>
                  <w:ind w:firstLineChars="0" w:firstLine="0"/>
                  <w:jc w:val="right"/>
                  <w:rPr>
                    <w:rFonts w:ascii="Times New Roman" w:hAnsi="Times New Roman"/>
                    <w:szCs w:val="21"/>
                  </w:rPr>
                </w:pPr>
                <w:r>
                  <w:rPr>
                    <w:rFonts w:ascii="Times New Roman" w:hAnsi="Times New Roman"/>
                  </w:rPr>
                  <w:t>1,209.66</w:t>
                </w:r>
              </w:p>
            </w:tc>
            <w:tc>
              <w:tcPr>
                <w:tcW w:w="1098" w:type="pct"/>
                <w:vAlign w:val="bottom"/>
              </w:tcPr>
              <w:p w14:paraId="6AC0B2FE" w14:textId="77777777" w:rsidR="00D21C1F" w:rsidRDefault="00A42880">
                <w:pPr>
                  <w:pStyle w:val="aff4"/>
                  <w:ind w:firstLineChars="0" w:firstLine="0"/>
                  <w:jc w:val="right"/>
                  <w:rPr>
                    <w:rFonts w:ascii="Times New Roman" w:hAnsi="Times New Roman"/>
                    <w:szCs w:val="21"/>
                  </w:rPr>
                </w:pPr>
                <w:r>
                  <w:rPr>
                    <w:rFonts w:ascii="Times New Roman" w:hAnsi="Times New Roman"/>
                  </w:rPr>
                  <w:t>476.84</w:t>
                </w:r>
              </w:p>
            </w:tc>
            <w:tc>
              <w:tcPr>
                <w:tcW w:w="1019" w:type="pct"/>
                <w:vAlign w:val="center"/>
              </w:tcPr>
              <w:p w14:paraId="7D9FB0A8" w14:textId="77777777" w:rsidR="00D21C1F" w:rsidRDefault="00A42880">
                <w:pPr>
                  <w:pStyle w:val="aff4"/>
                  <w:ind w:firstLineChars="0" w:firstLine="0"/>
                  <w:jc w:val="right"/>
                  <w:rPr>
                    <w:rFonts w:ascii="Times New Roman" w:hAnsi="Times New Roman"/>
                    <w:szCs w:val="21"/>
                  </w:rPr>
                </w:pPr>
                <w:r>
                  <w:rPr>
                    <w:rFonts w:ascii="Times New Roman" w:hAnsi="Times New Roman"/>
                  </w:rPr>
                  <w:t>153.69</w:t>
                </w:r>
              </w:p>
            </w:tc>
          </w:tr>
          <w:tr w:rsidR="00D21C1F" w14:paraId="4DE69B8A" w14:textId="77777777">
            <w:sdt>
              <w:sdtPr>
                <w:rPr>
                  <w:rFonts w:ascii="宋体" w:hAnsi="宋体"/>
                </w:rPr>
                <w:tag w:val="_PLD_3e652539acb44f708b4f7202c302af4f"/>
                <w:id w:val="1080556639"/>
                <w:lock w:val="sdtLocked"/>
              </w:sdtPr>
              <w:sdtEndPr/>
              <w:sdtContent>
                <w:tc>
                  <w:tcPr>
                    <w:tcW w:w="1707" w:type="pct"/>
                  </w:tcPr>
                  <w:p w14:paraId="79E7D90F" w14:textId="77777777" w:rsidR="00D21C1F" w:rsidRDefault="00A42880">
                    <w:pPr>
                      <w:pStyle w:val="aff4"/>
                      <w:ind w:firstLineChars="0" w:firstLine="0"/>
                      <w:rPr>
                        <w:rFonts w:ascii="宋体" w:hAnsi="宋体"/>
                        <w:szCs w:val="21"/>
                      </w:rPr>
                    </w:pPr>
                    <w:r>
                      <w:rPr>
                        <w:rFonts w:ascii="宋体" w:hAnsi="宋体"/>
                        <w:szCs w:val="21"/>
                      </w:rPr>
                      <w:t>经营活动产生的现金流量净额</w:t>
                    </w:r>
                  </w:p>
                </w:tc>
              </w:sdtContent>
            </w:sdt>
            <w:tc>
              <w:tcPr>
                <w:tcW w:w="1176" w:type="pct"/>
                <w:vAlign w:val="center"/>
              </w:tcPr>
              <w:p w14:paraId="4E7F055E" w14:textId="77777777" w:rsidR="00D21C1F" w:rsidRDefault="00A42880">
                <w:pPr>
                  <w:pStyle w:val="aff4"/>
                  <w:ind w:firstLineChars="0" w:firstLine="0"/>
                  <w:jc w:val="right"/>
                  <w:rPr>
                    <w:rFonts w:ascii="Times New Roman" w:hAnsi="Times New Roman"/>
                    <w:szCs w:val="21"/>
                  </w:rPr>
                </w:pPr>
                <w:r>
                  <w:rPr>
                    <w:rFonts w:ascii="Times New Roman" w:hAnsi="Times New Roman"/>
                  </w:rPr>
                  <w:t>-11,563.48</w:t>
                </w:r>
              </w:p>
            </w:tc>
            <w:tc>
              <w:tcPr>
                <w:tcW w:w="1098" w:type="pct"/>
                <w:vAlign w:val="bottom"/>
              </w:tcPr>
              <w:p w14:paraId="79FDB6CB" w14:textId="77777777" w:rsidR="00D21C1F" w:rsidRDefault="00A42880">
                <w:pPr>
                  <w:pStyle w:val="aff4"/>
                  <w:ind w:firstLineChars="0" w:firstLine="0"/>
                  <w:jc w:val="right"/>
                  <w:rPr>
                    <w:rFonts w:ascii="Times New Roman" w:hAnsi="Times New Roman"/>
                    <w:szCs w:val="21"/>
                  </w:rPr>
                </w:pPr>
                <w:r>
                  <w:rPr>
                    <w:rFonts w:ascii="Times New Roman" w:hAnsi="Times New Roman"/>
                  </w:rPr>
                  <w:t>-587.67</w:t>
                </w:r>
              </w:p>
            </w:tc>
            <w:tc>
              <w:tcPr>
                <w:tcW w:w="1019" w:type="pct"/>
                <w:vAlign w:val="bottom"/>
              </w:tcPr>
              <w:p w14:paraId="155A8D2C" w14:textId="77777777" w:rsidR="00D21C1F" w:rsidRDefault="00A42880">
                <w:pPr>
                  <w:pStyle w:val="aff4"/>
                  <w:ind w:firstLineChars="0" w:firstLine="0"/>
                  <w:jc w:val="right"/>
                  <w:rPr>
                    <w:rFonts w:ascii="Times New Roman" w:hAnsi="Times New Roman"/>
                    <w:szCs w:val="21"/>
                  </w:rPr>
                </w:pPr>
                <w:r>
                  <w:rPr>
                    <w:rFonts w:ascii="Times New Roman" w:hAnsi="Times New Roman"/>
                    <w:szCs w:val="21"/>
                  </w:rPr>
                  <w:t>不适用</w:t>
                </w:r>
              </w:p>
            </w:tc>
          </w:tr>
          <w:tr w:rsidR="00D21C1F" w14:paraId="5E47BD6E" w14:textId="77777777">
            <w:sdt>
              <w:sdtPr>
                <w:rPr>
                  <w:rFonts w:ascii="宋体" w:hAnsi="宋体"/>
                </w:rPr>
                <w:tag w:val="_PLD_93331660aee640afb46a84edc7e2d2a4"/>
                <w:id w:val="722952312"/>
                <w:lock w:val="sdtLocked"/>
              </w:sdtPr>
              <w:sdtEndPr/>
              <w:sdtContent>
                <w:tc>
                  <w:tcPr>
                    <w:tcW w:w="1707" w:type="pct"/>
                  </w:tcPr>
                  <w:p w14:paraId="22E9CCB5" w14:textId="77777777" w:rsidR="00D21C1F" w:rsidRDefault="00A42880">
                    <w:pPr>
                      <w:pStyle w:val="aff4"/>
                      <w:ind w:firstLineChars="0" w:firstLine="0"/>
                      <w:rPr>
                        <w:rFonts w:ascii="宋体" w:hAnsi="宋体"/>
                        <w:szCs w:val="21"/>
                      </w:rPr>
                    </w:pPr>
                    <w:r>
                      <w:rPr>
                        <w:rFonts w:ascii="宋体" w:hAnsi="宋体"/>
                        <w:szCs w:val="21"/>
                      </w:rPr>
                      <w:t>投资活动产生的现金流量净额</w:t>
                    </w:r>
                  </w:p>
                </w:tc>
              </w:sdtContent>
            </w:sdt>
            <w:tc>
              <w:tcPr>
                <w:tcW w:w="1176" w:type="pct"/>
                <w:vAlign w:val="center"/>
              </w:tcPr>
              <w:p w14:paraId="7E5F11D8" w14:textId="77777777" w:rsidR="00D21C1F" w:rsidRDefault="00A42880">
                <w:pPr>
                  <w:pStyle w:val="aff4"/>
                  <w:ind w:firstLineChars="0" w:firstLine="0"/>
                  <w:jc w:val="right"/>
                  <w:rPr>
                    <w:rFonts w:ascii="Times New Roman" w:hAnsi="Times New Roman"/>
                    <w:szCs w:val="21"/>
                  </w:rPr>
                </w:pPr>
                <w:r>
                  <w:rPr>
                    <w:rFonts w:ascii="Times New Roman" w:hAnsi="Times New Roman"/>
                  </w:rPr>
                  <w:t>25,718.76</w:t>
                </w:r>
              </w:p>
            </w:tc>
            <w:tc>
              <w:tcPr>
                <w:tcW w:w="1098" w:type="pct"/>
                <w:vAlign w:val="bottom"/>
              </w:tcPr>
              <w:p w14:paraId="203C805C" w14:textId="77777777" w:rsidR="00D21C1F" w:rsidRDefault="00A42880">
                <w:pPr>
                  <w:pStyle w:val="aff4"/>
                  <w:ind w:firstLineChars="0" w:firstLine="0"/>
                  <w:jc w:val="right"/>
                  <w:rPr>
                    <w:rFonts w:ascii="Times New Roman" w:hAnsi="Times New Roman"/>
                    <w:szCs w:val="21"/>
                  </w:rPr>
                </w:pPr>
                <w:r>
                  <w:rPr>
                    <w:rFonts w:ascii="Times New Roman" w:hAnsi="Times New Roman"/>
                  </w:rPr>
                  <w:t>2,360.52</w:t>
                </w:r>
              </w:p>
            </w:tc>
            <w:tc>
              <w:tcPr>
                <w:tcW w:w="1019" w:type="pct"/>
                <w:vAlign w:val="center"/>
              </w:tcPr>
              <w:p w14:paraId="4C150AAF" w14:textId="77777777" w:rsidR="00D21C1F" w:rsidRDefault="00A42880">
                <w:pPr>
                  <w:pStyle w:val="aff4"/>
                  <w:ind w:firstLineChars="0" w:firstLine="0"/>
                  <w:jc w:val="right"/>
                  <w:rPr>
                    <w:rFonts w:ascii="Times New Roman" w:hAnsi="Times New Roman"/>
                    <w:szCs w:val="21"/>
                  </w:rPr>
                </w:pPr>
                <w:r>
                  <w:rPr>
                    <w:rFonts w:ascii="Times New Roman" w:hAnsi="Times New Roman"/>
                  </w:rPr>
                  <w:t>989.54</w:t>
                </w:r>
              </w:p>
            </w:tc>
          </w:tr>
          <w:tr w:rsidR="00D21C1F" w14:paraId="4B7A8357" w14:textId="77777777">
            <w:sdt>
              <w:sdtPr>
                <w:rPr>
                  <w:rFonts w:ascii="宋体" w:hAnsi="宋体"/>
                </w:rPr>
                <w:tag w:val="_PLD_8e32eafcb28041f58b5df53597b43172"/>
                <w:id w:val="726646771"/>
                <w:lock w:val="sdtLocked"/>
              </w:sdtPr>
              <w:sdtEndPr/>
              <w:sdtContent>
                <w:tc>
                  <w:tcPr>
                    <w:tcW w:w="1707" w:type="pct"/>
                  </w:tcPr>
                  <w:p w14:paraId="013B0759" w14:textId="77777777" w:rsidR="00D21C1F" w:rsidRDefault="00A42880">
                    <w:pPr>
                      <w:pStyle w:val="aff4"/>
                      <w:ind w:firstLineChars="0" w:firstLine="0"/>
                      <w:rPr>
                        <w:rFonts w:ascii="宋体" w:hAnsi="宋体"/>
                        <w:szCs w:val="21"/>
                      </w:rPr>
                    </w:pPr>
                    <w:r>
                      <w:rPr>
                        <w:rFonts w:ascii="宋体" w:hAnsi="宋体"/>
                        <w:szCs w:val="21"/>
                      </w:rPr>
                      <w:t>筹资活动产生的现金流量净额</w:t>
                    </w:r>
                  </w:p>
                </w:tc>
              </w:sdtContent>
            </w:sdt>
            <w:tc>
              <w:tcPr>
                <w:tcW w:w="1176" w:type="pct"/>
                <w:vAlign w:val="center"/>
              </w:tcPr>
              <w:p w14:paraId="50958167" w14:textId="77777777" w:rsidR="00D21C1F" w:rsidRDefault="00A42880">
                <w:pPr>
                  <w:pStyle w:val="aff4"/>
                  <w:ind w:firstLineChars="0" w:firstLine="0"/>
                  <w:jc w:val="right"/>
                  <w:rPr>
                    <w:rFonts w:ascii="Times New Roman" w:hAnsi="Times New Roman"/>
                    <w:szCs w:val="21"/>
                  </w:rPr>
                </w:pPr>
                <w:r>
                  <w:rPr>
                    <w:rFonts w:ascii="Times New Roman" w:hAnsi="Times New Roman"/>
                  </w:rPr>
                  <w:t>2,863.98</w:t>
                </w:r>
              </w:p>
            </w:tc>
            <w:tc>
              <w:tcPr>
                <w:tcW w:w="1098" w:type="pct"/>
                <w:vAlign w:val="bottom"/>
              </w:tcPr>
              <w:p w14:paraId="12921C5F" w14:textId="77777777" w:rsidR="00D21C1F" w:rsidRDefault="00A42880">
                <w:pPr>
                  <w:pStyle w:val="aff4"/>
                  <w:ind w:firstLineChars="0" w:firstLine="0"/>
                  <w:jc w:val="right"/>
                  <w:rPr>
                    <w:rFonts w:ascii="Times New Roman" w:hAnsi="Times New Roman"/>
                    <w:szCs w:val="21"/>
                  </w:rPr>
                </w:pPr>
                <w:r>
                  <w:rPr>
                    <w:rFonts w:ascii="Times New Roman" w:hAnsi="Times New Roman"/>
                  </w:rPr>
                  <w:t>4,362.40</w:t>
                </w:r>
              </w:p>
            </w:tc>
            <w:tc>
              <w:tcPr>
                <w:tcW w:w="1019" w:type="pct"/>
                <w:vAlign w:val="center"/>
              </w:tcPr>
              <w:p w14:paraId="0A572030" w14:textId="77777777" w:rsidR="00D21C1F" w:rsidRDefault="00A42880">
                <w:pPr>
                  <w:pStyle w:val="aff4"/>
                  <w:ind w:firstLineChars="0" w:firstLine="0"/>
                  <w:jc w:val="right"/>
                  <w:rPr>
                    <w:rFonts w:ascii="Times New Roman" w:hAnsi="Times New Roman"/>
                    <w:szCs w:val="21"/>
                  </w:rPr>
                </w:pPr>
                <w:r>
                  <w:rPr>
                    <w:rFonts w:ascii="Times New Roman" w:hAnsi="Times New Roman"/>
                  </w:rPr>
                  <w:t>-34.35</w:t>
                </w:r>
              </w:p>
            </w:tc>
          </w:tr>
        </w:tbl>
        <w:p w14:paraId="360D7965" w14:textId="77777777" w:rsidR="00D21C1F" w:rsidRDefault="00D21C1F"/>
        <w:p w14:paraId="3DF6FAE6" w14:textId="77777777" w:rsidR="00D21C1F" w:rsidRDefault="00A42880">
          <w:pPr>
            <w:pStyle w:val="aff4"/>
            <w:spacing w:line="360" w:lineRule="auto"/>
            <w:ind w:firstLineChars="0" w:firstLine="0"/>
            <w:rPr>
              <w:rFonts w:ascii="Times New Roman" w:hAnsi="Times New Roman"/>
            </w:rPr>
          </w:pPr>
          <w:r>
            <w:rPr>
              <w:rFonts w:ascii="宋体" w:hAnsi="宋体"/>
            </w:rPr>
            <w:fldChar w:fldCharType="begin"/>
          </w:r>
          <w:r>
            <w:rPr>
              <w:rFonts w:ascii="宋体" w:hAnsi="宋体"/>
            </w:rPr>
            <w:instrText xml:space="preserve"> </w:instrText>
          </w:r>
          <w:r>
            <w:rPr>
              <w:rFonts w:ascii="宋体" w:hAnsi="宋体" w:hint="eastAsia"/>
            </w:rPr>
            <w:instrText>= 1 \* GB3</w:instrText>
          </w:r>
          <w:r>
            <w:rPr>
              <w:rFonts w:ascii="宋体" w:hAnsi="宋体"/>
            </w:rPr>
            <w:instrText xml:space="preserve"> </w:instrText>
          </w:r>
          <w:r>
            <w:rPr>
              <w:rFonts w:ascii="宋体" w:hAnsi="宋体"/>
            </w:rPr>
            <w:fldChar w:fldCharType="separate"/>
          </w:r>
          <w:r>
            <w:rPr>
              <w:rFonts w:ascii="宋体" w:hAnsi="宋体" w:hint="eastAsia"/>
            </w:rPr>
            <w:t>①</w:t>
          </w:r>
          <w:r>
            <w:rPr>
              <w:rFonts w:ascii="宋体" w:hAnsi="宋体"/>
            </w:rPr>
            <w:fldChar w:fldCharType="end"/>
          </w:r>
          <w:r>
            <w:rPr>
              <w:rFonts w:ascii="宋体" w:hAnsi="宋体" w:hint="eastAsia"/>
            </w:rPr>
            <w:t>营业收入变动原因说明:</w:t>
          </w:r>
          <w:sdt>
            <w:sdtPr>
              <w:rPr>
                <w:rFonts w:ascii="宋体" w:hAnsi="宋体"/>
                <w:szCs w:val="21"/>
              </w:rPr>
              <w:alias w:val="营业收入变动原因说明"/>
              <w:tag w:val="_GBC_f42c61e6c2ef46fe886ea6ecdd4ea15b"/>
              <w:id w:val="-1139106172"/>
              <w:lock w:val="sdtLocked"/>
              <w:placeholder>
                <w:docPart w:val="GBC22222222222222222222222222222"/>
              </w:placeholder>
            </w:sdtPr>
            <w:sdtEndPr>
              <w:rPr>
                <w:rFonts w:ascii="Times New Roman" w:hAnsi="Times New Roman"/>
              </w:rPr>
            </w:sdtEndPr>
            <w:sdtContent>
              <w:r>
                <w:rPr>
                  <w:rFonts w:ascii="宋体" w:hAnsi="宋体" w:hint="eastAsia"/>
                  <w:szCs w:val="21"/>
                </w:rPr>
                <w:t xml:space="preserve"> </w:t>
              </w:r>
              <w:r>
                <w:rPr>
                  <w:rFonts w:ascii="Times New Roman" w:hAnsi="Times New Roman"/>
                  <w:szCs w:val="21"/>
                </w:rPr>
                <w:t>主要由于公司机器人业务增长</w:t>
              </w:r>
              <w:r>
                <w:rPr>
                  <w:rFonts w:ascii="Times New Roman" w:hAnsi="Times New Roman"/>
                  <w:szCs w:val="21"/>
                </w:rPr>
                <w:t>14,291.51</w:t>
              </w:r>
              <w:r>
                <w:rPr>
                  <w:rFonts w:ascii="Times New Roman" w:hAnsi="Times New Roman"/>
                  <w:szCs w:val="21"/>
                </w:rPr>
                <w:t>万元所致，实现销售收入</w:t>
              </w:r>
              <w:r>
                <w:rPr>
                  <w:rFonts w:ascii="Times New Roman" w:hAnsi="Times New Roman"/>
                  <w:szCs w:val="21"/>
                </w:rPr>
                <w:t>21,651.69</w:t>
              </w:r>
              <w:r>
                <w:rPr>
                  <w:rFonts w:ascii="Times New Roman" w:hAnsi="Times New Roman"/>
                  <w:szCs w:val="21"/>
                </w:rPr>
                <w:t>万元，比</w:t>
              </w:r>
              <w:r>
                <w:rPr>
                  <w:rFonts w:ascii="Times New Roman" w:hAnsi="Times New Roman"/>
                  <w:szCs w:val="21"/>
                </w:rPr>
                <w:t>2020</w:t>
              </w:r>
              <w:r>
                <w:rPr>
                  <w:rFonts w:ascii="Times New Roman" w:hAnsi="Times New Roman"/>
                  <w:szCs w:val="21"/>
                </w:rPr>
                <w:t>年上半年增长</w:t>
              </w:r>
              <w:r>
                <w:rPr>
                  <w:rFonts w:ascii="Times New Roman" w:hAnsi="Times New Roman"/>
                  <w:szCs w:val="21"/>
                </w:rPr>
                <w:t>194.2%</w:t>
              </w:r>
              <w:r>
                <w:rPr>
                  <w:rFonts w:ascii="Times New Roman" w:hAnsi="Times New Roman"/>
                  <w:szCs w:val="21"/>
                </w:rPr>
                <w:t>。得益于中国</w:t>
              </w:r>
              <w:r>
                <w:rPr>
                  <w:rFonts w:ascii="Times New Roman" w:hAnsi="Times New Roman"/>
                  <w:szCs w:val="21"/>
                </w:rPr>
                <w:t>“</w:t>
              </w:r>
              <w:r>
                <w:rPr>
                  <w:rFonts w:ascii="Times New Roman" w:hAnsi="Times New Roman"/>
                  <w:szCs w:val="21"/>
                </w:rPr>
                <w:t>双碳</w:t>
              </w:r>
              <w:r>
                <w:rPr>
                  <w:rFonts w:ascii="Times New Roman" w:hAnsi="Times New Roman"/>
                  <w:szCs w:val="21"/>
                </w:rPr>
                <w:t>”</w:t>
              </w:r>
              <w:r>
                <w:rPr>
                  <w:rFonts w:ascii="Times New Roman" w:hAnsi="Times New Roman"/>
                  <w:szCs w:val="21"/>
                </w:rPr>
                <w:t>的中长期国策助推、后疫情制造业自动化需求反弹以及消费类电子需求的升级换代，公司借助多年的行业深耕和逐步凸显的产品差异化优势，抓住上半年产业成长契机；</w:t>
              </w:r>
              <w:r>
                <w:rPr>
                  <w:rFonts w:ascii="Times New Roman" w:hAnsi="Times New Roman"/>
                  <w:szCs w:val="21"/>
                </w:rPr>
                <w:t xml:space="preserve"> </w:t>
              </w:r>
            </w:sdtContent>
          </w:sdt>
        </w:p>
        <w:p w14:paraId="47040FEA" w14:textId="24CFA319" w:rsidR="00D21C1F" w:rsidRDefault="00A42880">
          <w:pPr>
            <w:pStyle w:val="aff4"/>
            <w:spacing w:line="360" w:lineRule="auto"/>
            <w:ind w:firstLineChars="0" w:firstLine="0"/>
            <w:rPr>
              <w:rFonts w:ascii="Times New Roman" w:hAnsi="Times New Roman"/>
            </w:rPr>
          </w:pPr>
          <w:r>
            <w:rPr>
              <w:rFonts w:ascii="宋体" w:hAnsi="宋体"/>
            </w:rPr>
            <w:fldChar w:fldCharType="begin"/>
          </w:r>
          <w:r>
            <w:rPr>
              <w:rFonts w:ascii="宋体" w:hAnsi="宋体"/>
            </w:rPr>
            <w:instrText xml:space="preserve"> </w:instrText>
          </w:r>
          <w:r>
            <w:rPr>
              <w:rFonts w:ascii="宋体" w:hAnsi="宋体" w:hint="eastAsia"/>
            </w:rPr>
            <w:instrText>= 2 \* GB3</w:instrText>
          </w:r>
          <w:r>
            <w:rPr>
              <w:rFonts w:ascii="宋体" w:hAnsi="宋体"/>
            </w:rPr>
            <w:instrText xml:space="preserve"> </w:instrText>
          </w:r>
          <w:r>
            <w:rPr>
              <w:rFonts w:ascii="宋体" w:hAnsi="宋体"/>
            </w:rPr>
            <w:fldChar w:fldCharType="separate"/>
          </w:r>
          <w:r>
            <w:rPr>
              <w:rFonts w:ascii="宋体" w:hAnsi="宋体" w:hint="eastAsia"/>
            </w:rPr>
            <w:t>②</w:t>
          </w:r>
          <w:r>
            <w:rPr>
              <w:rFonts w:ascii="宋体" w:hAnsi="宋体"/>
            </w:rPr>
            <w:fldChar w:fldCharType="end"/>
          </w:r>
          <w:r>
            <w:rPr>
              <w:rFonts w:ascii="Times New Roman" w:hAnsi="Times New Roman"/>
            </w:rPr>
            <w:t>营业成本变动原因说明</w:t>
          </w:r>
          <w:r>
            <w:rPr>
              <w:rFonts w:ascii="Times New Roman" w:hAnsi="Times New Roman"/>
            </w:rPr>
            <w:t>:</w:t>
          </w:r>
          <w:sdt>
            <w:sdtPr>
              <w:rPr>
                <w:rFonts w:ascii="Times New Roman" w:hAnsi="Times New Roman"/>
              </w:rPr>
              <w:alias w:val="营业成本变动原因说明"/>
              <w:tag w:val="_GBC_4ab47071f9844da58abe164f6bd272aa"/>
              <w:id w:val="-2114978348"/>
              <w:lock w:val="sdtLocked"/>
              <w:placeholder>
                <w:docPart w:val="GBC22222222222222222222222222222"/>
              </w:placeholder>
            </w:sdtPr>
            <w:sdtEndPr/>
            <w:sdtContent>
              <w:r>
                <w:rPr>
                  <w:rFonts w:ascii="Times New Roman" w:hAnsi="Times New Roman"/>
                </w:rPr>
                <w:t>主要随公司</w:t>
              </w:r>
              <w:r w:rsidR="00B5526E">
                <w:rPr>
                  <w:rFonts w:ascii="Times New Roman" w:hAnsi="Times New Roman" w:hint="eastAsia"/>
                </w:rPr>
                <w:t>2</w:t>
              </w:r>
              <w:r w:rsidR="00B5526E">
                <w:rPr>
                  <w:rFonts w:ascii="Times New Roman" w:hAnsi="Times New Roman"/>
                </w:rPr>
                <w:t>021</w:t>
              </w:r>
              <w:r w:rsidR="00B5526E">
                <w:rPr>
                  <w:rFonts w:ascii="Times New Roman" w:hAnsi="Times New Roman" w:hint="eastAsia"/>
                </w:rPr>
                <w:t>年上半年</w:t>
              </w:r>
              <w:r>
                <w:rPr>
                  <w:rFonts w:ascii="Times New Roman" w:hAnsi="Times New Roman"/>
                </w:rPr>
                <w:t>机器人业务增长所致；</w:t>
              </w:r>
            </w:sdtContent>
          </w:sdt>
        </w:p>
        <w:p w14:paraId="01E34CFE" w14:textId="77777777" w:rsidR="00D21C1F" w:rsidRDefault="00A42880">
          <w:pPr>
            <w:pStyle w:val="aff4"/>
            <w:spacing w:line="360" w:lineRule="auto"/>
            <w:ind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3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③</w:t>
          </w:r>
          <w:r>
            <w:rPr>
              <w:rFonts w:ascii="Times New Roman" w:hAnsi="Times New Roman"/>
            </w:rPr>
            <w:fldChar w:fldCharType="end"/>
          </w:r>
          <w:r>
            <w:rPr>
              <w:rFonts w:ascii="Times New Roman" w:hAnsi="Times New Roman"/>
            </w:rPr>
            <w:t>销售费用变动原因说明</w:t>
          </w:r>
          <w:r>
            <w:rPr>
              <w:rFonts w:ascii="Times New Roman" w:hAnsi="Times New Roman"/>
            </w:rPr>
            <w:t>:</w:t>
          </w:r>
          <w:sdt>
            <w:sdtPr>
              <w:rPr>
                <w:rFonts w:ascii="Times New Roman" w:hAnsi="Times New Roman"/>
              </w:rPr>
              <w:alias w:val="销售费用变动原因说明"/>
              <w:tag w:val="_GBC_d8f3d3236009445ca57b171f1c954fae"/>
              <w:id w:val="286554740"/>
              <w:lock w:val="sdtLocked"/>
              <w:placeholder>
                <w:docPart w:val="GBC22222222222222222222222222222"/>
              </w:placeholder>
            </w:sdtPr>
            <w:sdtEndPr/>
            <w:sdtContent>
              <w:r>
                <w:rPr>
                  <w:rFonts w:ascii="Times New Roman" w:hAnsi="Times New Roman"/>
                </w:rPr>
                <w:t>主要由于公司增加销售及售后服务人员及销售规模增长所致；</w:t>
              </w:r>
            </w:sdtContent>
          </w:sdt>
        </w:p>
        <w:p w14:paraId="080D5C9B" w14:textId="4CB0B5EC" w:rsidR="00D21C1F" w:rsidRDefault="00A42880">
          <w:pPr>
            <w:pStyle w:val="aff4"/>
            <w:spacing w:line="360" w:lineRule="auto"/>
            <w:ind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4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④</w:t>
          </w:r>
          <w:r>
            <w:rPr>
              <w:rFonts w:ascii="Times New Roman" w:hAnsi="Times New Roman"/>
            </w:rPr>
            <w:fldChar w:fldCharType="end"/>
          </w:r>
          <w:r>
            <w:rPr>
              <w:rFonts w:ascii="Times New Roman" w:hAnsi="Times New Roman"/>
            </w:rPr>
            <w:t>管理费用变动原因说明</w:t>
          </w:r>
          <w:r>
            <w:rPr>
              <w:rFonts w:ascii="Times New Roman" w:hAnsi="Times New Roman"/>
            </w:rPr>
            <w:t>:</w:t>
          </w:r>
          <w:sdt>
            <w:sdtPr>
              <w:rPr>
                <w:rFonts w:ascii="Times New Roman" w:hAnsi="Times New Roman"/>
              </w:rPr>
              <w:alias w:val="管理费用变动原因说明"/>
              <w:tag w:val="_GBC_13103bbe23ee4770b17eecdee03d38a1"/>
              <w:id w:val="76416760"/>
              <w:lock w:val="sdtLocked"/>
              <w:placeholder>
                <w:docPart w:val="GBC22222222222222222222222222222"/>
              </w:placeholder>
            </w:sdtPr>
            <w:sdtEndPr/>
            <w:sdtContent>
              <w:r>
                <w:rPr>
                  <w:rFonts w:ascii="Times New Roman" w:hAnsi="Times New Roman"/>
                </w:rPr>
                <w:t>主要由于公司</w:t>
              </w:r>
              <w:r>
                <w:rPr>
                  <w:rFonts w:ascii="Times New Roman" w:hAnsi="Times New Roman"/>
                </w:rPr>
                <w:t>2020</w:t>
              </w:r>
              <w:r>
                <w:rPr>
                  <w:rFonts w:ascii="Times New Roman" w:hAnsi="Times New Roman"/>
                </w:rPr>
                <w:t>年</w:t>
              </w:r>
              <w:r>
                <w:rPr>
                  <w:rFonts w:ascii="Times New Roman" w:hAnsi="Times New Roman"/>
                </w:rPr>
                <w:t>7</w:t>
              </w:r>
              <w:r>
                <w:rPr>
                  <w:rFonts w:ascii="Times New Roman" w:hAnsi="Times New Roman"/>
                </w:rPr>
                <w:t>月上市后增加管理人员强化内控所致；</w:t>
              </w:r>
            </w:sdtContent>
          </w:sdt>
        </w:p>
        <w:p w14:paraId="03A65FDC" w14:textId="32ACC8DF" w:rsidR="00D21C1F" w:rsidRDefault="00A42880">
          <w:pPr>
            <w:pStyle w:val="aff4"/>
            <w:spacing w:line="360" w:lineRule="auto"/>
            <w:ind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5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⑤</w:t>
          </w:r>
          <w:r>
            <w:rPr>
              <w:rFonts w:ascii="Times New Roman" w:hAnsi="Times New Roman"/>
            </w:rPr>
            <w:fldChar w:fldCharType="end"/>
          </w:r>
          <w:r>
            <w:rPr>
              <w:rFonts w:ascii="Times New Roman" w:hAnsi="Times New Roman"/>
            </w:rPr>
            <w:t>财务费用变动原因说明</w:t>
          </w:r>
          <w:r>
            <w:rPr>
              <w:rFonts w:ascii="Times New Roman" w:hAnsi="Times New Roman"/>
            </w:rPr>
            <w:t>:</w:t>
          </w:r>
          <w:sdt>
            <w:sdtPr>
              <w:rPr>
                <w:rFonts w:ascii="Times New Roman" w:hAnsi="Times New Roman"/>
              </w:rPr>
              <w:alias w:val="财务费用变动原因说明"/>
              <w:tag w:val="_GBC_2876360f1d844724b6ba84d6b9756580"/>
              <w:id w:val="-1771765170"/>
              <w:lock w:val="sdtLocked"/>
              <w:placeholder>
                <w:docPart w:val="GBC22222222222222222222222222222"/>
              </w:placeholder>
            </w:sdtPr>
            <w:sdtEndPr/>
            <w:sdtContent>
              <w:r>
                <w:rPr>
                  <w:rFonts w:ascii="Times New Roman" w:hAnsi="Times New Roman"/>
                </w:rPr>
                <w:t>主要由于公司</w:t>
              </w:r>
              <w:r>
                <w:rPr>
                  <w:rFonts w:ascii="Times New Roman" w:hAnsi="Times New Roman"/>
                </w:rPr>
                <w:t>2021</w:t>
              </w:r>
              <w:r>
                <w:rPr>
                  <w:rFonts w:ascii="Times New Roman" w:hAnsi="Times New Roman"/>
                </w:rPr>
                <w:t>年上半年机器人业务增长较快，持续资金支出，</w:t>
              </w:r>
              <w:r>
                <w:rPr>
                  <w:rFonts w:ascii="Times New Roman" w:hAnsi="Times New Roman"/>
                </w:rPr>
                <w:t>2021</w:t>
              </w:r>
              <w:r>
                <w:rPr>
                  <w:rFonts w:ascii="Times New Roman" w:hAnsi="Times New Roman"/>
                </w:rPr>
                <w:t>年上半年增加银行贷款</w:t>
              </w:r>
              <w:r>
                <w:rPr>
                  <w:rFonts w:ascii="Times New Roman" w:hAnsi="Times New Roman"/>
                </w:rPr>
                <w:t>4,231.66</w:t>
              </w:r>
              <w:r>
                <w:rPr>
                  <w:rFonts w:ascii="Times New Roman" w:hAnsi="Times New Roman"/>
                </w:rPr>
                <w:t>万元带来的</w:t>
              </w:r>
              <w:r w:rsidR="00B5526E">
                <w:rPr>
                  <w:rFonts w:ascii="Times New Roman" w:hAnsi="Times New Roman" w:hint="eastAsia"/>
                </w:rPr>
                <w:t>利息支出</w:t>
              </w:r>
              <w:r>
                <w:rPr>
                  <w:rFonts w:ascii="Times New Roman" w:hAnsi="Times New Roman"/>
                </w:rPr>
                <w:t>增加</w:t>
              </w:r>
              <w:r w:rsidR="00B5526E">
                <w:rPr>
                  <w:rFonts w:ascii="Times New Roman" w:hAnsi="Times New Roman" w:hint="eastAsia"/>
                </w:rPr>
                <w:t>。此外，</w:t>
              </w:r>
              <w:r>
                <w:rPr>
                  <w:rFonts w:ascii="Times New Roman" w:hAnsi="Times New Roman"/>
                </w:rPr>
                <w:t>境外子公司</w:t>
              </w:r>
              <w:r>
                <w:rPr>
                  <w:rFonts w:ascii="Times New Roman" w:hAnsi="Times New Roman"/>
                </w:rPr>
                <w:t>2021</w:t>
              </w:r>
              <w:r>
                <w:rPr>
                  <w:rFonts w:ascii="Times New Roman" w:hAnsi="Times New Roman"/>
                </w:rPr>
                <w:t>年上半年由于汇率波动影响带来汇兑损失</w:t>
              </w:r>
              <w:r>
                <w:rPr>
                  <w:rFonts w:ascii="Times New Roman" w:hAnsi="Times New Roman"/>
                </w:rPr>
                <w:t>384.16</w:t>
              </w:r>
              <w:r>
                <w:rPr>
                  <w:rFonts w:ascii="Times New Roman" w:hAnsi="Times New Roman"/>
                </w:rPr>
                <w:t>万元（去年同期：</w:t>
              </w:r>
              <w:r>
                <w:rPr>
                  <w:rFonts w:ascii="Times New Roman" w:hAnsi="Times New Roman" w:hint="eastAsia"/>
                </w:rPr>
                <w:t>境外子公司汇兑收益</w:t>
              </w:r>
              <w:r>
                <w:rPr>
                  <w:rFonts w:ascii="Times New Roman" w:hAnsi="Times New Roman"/>
                </w:rPr>
                <w:t>286.98</w:t>
              </w:r>
              <w:r>
                <w:rPr>
                  <w:rFonts w:ascii="Times New Roman" w:hAnsi="Times New Roman"/>
                </w:rPr>
                <w:t>万元）；</w:t>
              </w:r>
            </w:sdtContent>
          </w:sdt>
        </w:p>
        <w:p w14:paraId="20B83236" w14:textId="77777777" w:rsidR="00D21C1F" w:rsidRDefault="00A42880">
          <w:pPr>
            <w:pStyle w:val="aff4"/>
            <w:spacing w:line="360" w:lineRule="auto"/>
            <w:ind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6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⑥</w:t>
          </w:r>
          <w:r>
            <w:rPr>
              <w:rFonts w:ascii="Times New Roman" w:hAnsi="Times New Roman"/>
            </w:rPr>
            <w:fldChar w:fldCharType="end"/>
          </w:r>
          <w:r>
            <w:rPr>
              <w:rFonts w:ascii="Times New Roman" w:hAnsi="Times New Roman"/>
            </w:rPr>
            <w:t>研发费用变动原因说明</w:t>
          </w:r>
          <w:r>
            <w:rPr>
              <w:rFonts w:ascii="Times New Roman" w:hAnsi="Times New Roman"/>
            </w:rPr>
            <w:t>:</w:t>
          </w:r>
          <w:sdt>
            <w:sdtPr>
              <w:rPr>
                <w:rFonts w:ascii="Times New Roman" w:hAnsi="Times New Roman"/>
              </w:rPr>
              <w:alias w:val="研发费用变动原因说明"/>
              <w:tag w:val="_GBC_b0b71742eb3f4715afa18751ce433454"/>
              <w:id w:val="-1388635868"/>
              <w:lock w:val="sdtLocked"/>
              <w:placeholder>
                <w:docPart w:val="GBC22222222222222222222222222222"/>
              </w:placeholder>
            </w:sdtPr>
            <w:sdtEndPr/>
            <w:sdtContent>
              <w:r>
                <w:rPr>
                  <w:rFonts w:ascii="Times New Roman" w:hAnsi="Times New Roman"/>
                </w:rPr>
                <w:t>主要系公司持续研发投入所致；</w:t>
              </w:r>
            </w:sdtContent>
          </w:sdt>
        </w:p>
        <w:p w14:paraId="556B0E25" w14:textId="65C3BBD9" w:rsidR="00D21C1F" w:rsidRDefault="00A42880">
          <w:pPr>
            <w:pStyle w:val="aff4"/>
            <w:spacing w:line="360" w:lineRule="auto"/>
            <w:ind w:firstLineChars="0" w:firstLine="0"/>
            <w:rPr>
              <w:rFonts w:ascii="Times New Roman" w:hAnsi="Times New Roman"/>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7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⑦</w:t>
          </w:r>
          <w:r>
            <w:rPr>
              <w:rFonts w:ascii="Times New Roman" w:hAnsi="Times New Roman"/>
              <w:szCs w:val="21"/>
            </w:rPr>
            <w:fldChar w:fldCharType="end"/>
          </w:r>
          <w:r>
            <w:rPr>
              <w:rFonts w:ascii="Times New Roman" w:hAnsi="Times New Roman"/>
              <w:szCs w:val="21"/>
            </w:rPr>
            <w:t>经营活动产生的现金流量净额变动原因说明</w:t>
          </w:r>
          <w:r>
            <w:rPr>
              <w:rFonts w:ascii="Times New Roman" w:hAnsi="Times New Roman"/>
              <w:szCs w:val="21"/>
            </w:rPr>
            <w:t>:</w:t>
          </w:r>
          <w:sdt>
            <w:sdtPr>
              <w:rPr>
                <w:rFonts w:ascii="Times New Roman" w:hAnsi="Times New Roman"/>
                <w:szCs w:val="21"/>
              </w:rPr>
              <w:alias w:val="经营活动产生的现金流量净额变动原因说明"/>
              <w:tag w:val="_GBC_309323bb8b0046e9bb6afe0231994d50"/>
              <w:id w:val="-815179112"/>
              <w:lock w:val="sdtLocked"/>
              <w:placeholder>
                <w:docPart w:val="GBC22222222222222222222222222222"/>
              </w:placeholder>
            </w:sdtPr>
            <w:sdtEndPr/>
            <w:sdtContent>
              <w:r>
                <w:rPr>
                  <w:rFonts w:ascii="Times New Roman" w:hAnsi="Times New Roman"/>
                  <w:szCs w:val="21"/>
                </w:rPr>
                <w:t>主要为</w:t>
              </w:r>
              <w:r>
                <w:rPr>
                  <w:rFonts w:ascii="Times New Roman" w:hAnsi="Times New Roman"/>
                  <w:szCs w:val="21"/>
                </w:rPr>
                <w:t>2021</w:t>
              </w:r>
              <w:r>
                <w:rPr>
                  <w:rFonts w:ascii="Times New Roman" w:hAnsi="Times New Roman"/>
                  <w:szCs w:val="21"/>
                </w:rPr>
                <w:t>年上半年营业收入快速增长以及机器人业务发展所增加的相关原材料</w:t>
              </w:r>
              <w:r>
                <w:rPr>
                  <w:rFonts w:ascii="Times New Roman" w:hAnsi="Times New Roman" w:hint="eastAsia"/>
                  <w:szCs w:val="21"/>
                </w:rPr>
                <w:t>及</w:t>
              </w:r>
              <w:r w:rsidR="00B5526E">
                <w:rPr>
                  <w:rFonts w:ascii="Times New Roman" w:hAnsi="Times New Roman" w:hint="eastAsia"/>
                  <w:szCs w:val="21"/>
                </w:rPr>
                <w:t>产成品</w:t>
              </w:r>
              <w:r>
                <w:rPr>
                  <w:rFonts w:ascii="Times New Roman" w:hAnsi="Times New Roman"/>
                  <w:szCs w:val="21"/>
                </w:rPr>
                <w:t>所致</w:t>
              </w:r>
            </w:sdtContent>
          </w:sdt>
        </w:p>
        <w:p w14:paraId="070A9429" w14:textId="77777777" w:rsidR="00D21C1F" w:rsidRDefault="00A42880">
          <w:pPr>
            <w:pStyle w:val="aff4"/>
            <w:tabs>
              <w:tab w:val="center" w:pos="4416"/>
            </w:tabs>
            <w:spacing w:line="360" w:lineRule="auto"/>
            <w:ind w:firstLineChars="0" w:firstLine="0"/>
            <w:rPr>
              <w:rFonts w:ascii="Times New Roman" w:hAnsi="Times New Roman"/>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8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⑧</w:t>
          </w:r>
          <w:r>
            <w:rPr>
              <w:rFonts w:ascii="Times New Roman" w:hAnsi="Times New Roman"/>
              <w:szCs w:val="21"/>
            </w:rPr>
            <w:fldChar w:fldCharType="end"/>
          </w:r>
          <w:r>
            <w:rPr>
              <w:rFonts w:ascii="Times New Roman" w:hAnsi="Times New Roman"/>
              <w:szCs w:val="21"/>
            </w:rPr>
            <w:t>投资活动产生的现金流量净额变动原因说明</w:t>
          </w:r>
          <w:r>
            <w:rPr>
              <w:rFonts w:ascii="Times New Roman" w:hAnsi="Times New Roman"/>
              <w:szCs w:val="21"/>
            </w:rPr>
            <w:t>:</w:t>
          </w:r>
          <w:sdt>
            <w:sdtPr>
              <w:rPr>
                <w:rFonts w:ascii="Times New Roman" w:hAnsi="Times New Roman"/>
                <w:szCs w:val="21"/>
              </w:rPr>
              <w:alias w:val="投资活动产生的现金流量净额变动原因说明"/>
              <w:tag w:val="_GBC_981bcb9573814b8080b52fae435fb1b0"/>
              <w:id w:val="-553697450"/>
              <w:lock w:val="sdtLocked"/>
              <w:placeholder>
                <w:docPart w:val="GBC22222222222222222222222222222"/>
              </w:placeholder>
            </w:sdtPr>
            <w:sdtEndPr/>
            <w:sdtContent>
              <w:r>
                <w:rPr>
                  <w:rFonts w:ascii="Times New Roman" w:hAnsi="Times New Roman"/>
                  <w:szCs w:val="21"/>
                </w:rPr>
                <w:t>主要系公司闲置募集资金进行现金管理所致；</w:t>
              </w:r>
            </w:sdtContent>
          </w:sdt>
        </w:p>
        <w:p w14:paraId="3BE29FE4" w14:textId="77777777" w:rsidR="00D21C1F" w:rsidRDefault="00A42880">
          <w:pPr>
            <w:pStyle w:val="aff4"/>
            <w:spacing w:line="360" w:lineRule="auto"/>
            <w:ind w:firstLineChars="0" w:firstLine="0"/>
            <w:rPr>
              <w:rFonts w:ascii="Times New Roman" w:hAnsi="Times New Roman"/>
            </w:rPr>
          </w:pPr>
          <w:r>
            <w:rPr>
              <w:rFonts w:ascii="Times New Roman" w:hAnsi="Times New Roman"/>
              <w:szCs w:val="21"/>
            </w:rPr>
            <w:fldChar w:fldCharType="begin"/>
          </w:r>
          <w:r>
            <w:rPr>
              <w:rFonts w:ascii="Times New Roman" w:hAnsi="Times New Roman"/>
              <w:szCs w:val="21"/>
            </w:rPr>
            <w:instrText xml:space="preserve"> </w:instrText>
          </w:r>
          <w:r>
            <w:rPr>
              <w:rFonts w:ascii="Times New Roman" w:hAnsi="Times New Roman" w:hint="eastAsia"/>
              <w:szCs w:val="21"/>
            </w:rPr>
            <w:instrText>= 9 \* GB3</w:instrText>
          </w:r>
          <w:r>
            <w:rPr>
              <w:rFonts w:ascii="Times New Roman" w:hAnsi="Times New Roman"/>
              <w:szCs w:val="21"/>
            </w:rPr>
            <w:instrText xml:space="preserve"> </w:instrText>
          </w:r>
          <w:r>
            <w:rPr>
              <w:rFonts w:ascii="Times New Roman" w:hAnsi="Times New Roman"/>
              <w:szCs w:val="21"/>
            </w:rPr>
            <w:fldChar w:fldCharType="separate"/>
          </w:r>
          <w:r>
            <w:rPr>
              <w:rFonts w:ascii="Times New Roman" w:hAnsi="Times New Roman" w:hint="eastAsia"/>
              <w:szCs w:val="21"/>
            </w:rPr>
            <w:t>⑨</w:t>
          </w:r>
          <w:r>
            <w:rPr>
              <w:rFonts w:ascii="Times New Roman" w:hAnsi="Times New Roman"/>
              <w:szCs w:val="21"/>
            </w:rPr>
            <w:fldChar w:fldCharType="end"/>
          </w:r>
          <w:r>
            <w:rPr>
              <w:rFonts w:ascii="Times New Roman" w:hAnsi="Times New Roman"/>
              <w:szCs w:val="21"/>
            </w:rPr>
            <w:t>筹资活动产生的现金流量净额变动原因说明</w:t>
          </w:r>
          <w:r>
            <w:rPr>
              <w:rFonts w:ascii="Times New Roman" w:hAnsi="Times New Roman"/>
              <w:szCs w:val="21"/>
            </w:rPr>
            <w:t>:</w:t>
          </w:r>
          <w:sdt>
            <w:sdtPr>
              <w:rPr>
                <w:rFonts w:ascii="Times New Roman" w:hAnsi="Times New Roman"/>
                <w:szCs w:val="21"/>
              </w:rPr>
              <w:alias w:val="筹资活动产生的现金流量净额变动原因说明"/>
              <w:tag w:val="_GBC_900a9d8acfac4ec18a35c4034161c13e"/>
              <w:id w:val="386845249"/>
              <w:lock w:val="sdtLocked"/>
              <w:placeholder>
                <w:docPart w:val="GBC22222222222222222222222222222"/>
              </w:placeholder>
            </w:sdtPr>
            <w:sdtEndPr/>
            <w:sdtContent>
              <w:r>
                <w:rPr>
                  <w:rFonts w:ascii="Times New Roman" w:hAnsi="Times New Roman"/>
                  <w:szCs w:val="21"/>
                </w:rPr>
                <w:t>主要系公司</w:t>
              </w:r>
              <w:r>
                <w:rPr>
                  <w:rFonts w:ascii="Times New Roman" w:hAnsi="Times New Roman"/>
                  <w:szCs w:val="21"/>
                </w:rPr>
                <w:t>2021</w:t>
              </w:r>
              <w:r>
                <w:rPr>
                  <w:rFonts w:ascii="Times New Roman" w:hAnsi="Times New Roman"/>
                  <w:szCs w:val="21"/>
                </w:rPr>
                <w:t>年上半年银行贷款</w:t>
              </w:r>
              <w:r>
                <w:rPr>
                  <w:rFonts w:ascii="Times New Roman" w:hAnsi="Times New Roman" w:hint="eastAsia"/>
                  <w:szCs w:val="21"/>
                </w:rPr>
                <w:t>为净增加</w:t>
              </w:r>
              <w:r>
                <w:rPr>
                  <w:rFonts w:ascii="Times New Roman" w:hAnsi="Times New Roman"/>
                </w:rPr>
                <w:t>4,231.66</w:t>
              </w:r>
              <w:r>
                <w:rPr>
                  <w:rFonts w:ascii="Times New Roman" w:hAnsi="Times New Roman"/>
                </w:rPr>
                <w:t>万元</w:t>
              </w:r>
              <w:r>
                <w:rPr>
                  <w:rFonts w:ascii="Times New Roman" w:hAnsi="Times New Roman"/>
                  <w:szCs w:val="21"/>
                </w:rPr>
                <w:t>所致；</w:t>
              </w:r>
            </w:sdtContent>
          </w:sdt>
        </w:p>
      </w:sdtContent>
    </w:sdt>
    <w:p w14:paraId="001CD41C" w14:textId="77777777" w:rsidR="00D21C1F" w:rsidRDefault="00D21C1F">
      <w:pPr>
        <w:pStyle w:val="aff4"/>
        <w:ind w:firstLineChars="0" w:firstLine="0"/>
        <w:jc w:val="left"/>
        <w:rPr>
          <w:rFonts w:ascii="宋体" w:hAnsi="宋体"/>
        </w:rPr>
      </w:pPr>
      <w:bookmarkStart w:id="64" w:name="_Toc342565903"/>
      <w:bookmarkStart w:id="65" w:name="_Toc342559755"/>
      <w:bookmarkEnd w:id="63"/>
    </w:p>
    <w:sdt>
      <w:sdtPr>
        <w:rPr>
          <w:rFonts w:ascii="宋体" w:eastAsiaTheme="minorEastAsia" w:hAnsi="宋体" w:cs="宋体"/>
          <w:b w:val="0"/>
          <w:bCs w:val="0"/>
          <w:kern w:val="0"/>
          <w:szCs w:val="24"/>
        </w:rPr>
        <w:alias w:val="模块:公司利润构成或利润来源发生重大变动的详细说明"/>
        <w:tag w:val="_GBC_2346c2f60a0d447bb4e68d1cdeb1ae6e"/>
        <w:id w:val="1664269203"/>
        <w:lock w:val="sdtLocked"/>
        <w:placeholder>
          <w:docPart w:val="GBC22222222222222222222222222222"/>
        </w:placeholder>
      </w:sdtPr>
      <w:sdtEndPr>
        <w:rPr>
          <w:rFonts w:hint="eastAsia"/>
        </w:rPr>
      </w:sdtEndPr>
      <w:sdtContent>
        <w:p w14:paraId="6D01E753" w14:textId="77777777" w:rsidR="00D21C1F" w:rsidRDefault="00A42880">
          <w:pPr>
            <w:pStyle w:val="4"/>
            <w:numPr>
              <w:ilvl w:val="0"/>
              <w:numId w:val="16"/>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928351552"/>
            <w:lock w:val="sdtLocked"/>
            <w:placeholder>
              <w:docPart w:val="GBC22222222222222222222222222222"/>
            </w:placeholder>
          </w:sdtPr>
          <w:sdtEndPr/>
          <w:sdtContent>
            <w:p w14:paraId="7D143AF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27CA10" w14:textId="77777777" w:rsidR="00D21C1F" w:rsidRDefault="00045EC6">
          <w:pPr>
            <w:pStyle w:val="97"/>
          </w:pPr>
        </w:p>
      </w:sdtContent>
    </w:sdt>
    <w:sdt>
      <w:sdtPr>
        <w:rPr>
          <w:rFonts w:ascii="宋体" w:eastAsiaTheme="minorEastAsia" w:hAnsi="宋体" w:cs="宋体" w:hint="eastAsia"/>
          <w:b w:val="0"/>
          <w:bCs w:val="0"/>
          <w:kern w:val="0"/>
          <w:szCs w:val="24"/>
        </w:rPr>
        <w:alias w:val="模块:非主营业务导致利润重大变化的说明"/>
        <w:tag w:val="_SEC_8eca3e31ebef41f0bccb8c1e5fae0579"/>
        <w:id w:val="-214198736"/>
        <w:lock w:val="sdtLocked"/>
        <w:placeholder>
          <w:docPart w:val="GBC22222222222222222222222222222"/>
        </w:placeholder>
      </w:sdtPr>
      <w:sdtEndPr/>
      <w:sdtContent>
        <w:p w14:paraId="6D7F8CAB" w14:textId="77777777" w:rsidR="00D21C1F" w:rsidRDefault="00A42880">
          <w:pPr>
            <w:pStyle w:val="3"/>
            <w:numPr>
              <w:ilvl w:val="0"/>
              <w:numId w:val="15"/>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207334913"/>
            <w:lock w:val="sdtLocked"/>
            <w:placeholder>
              <w:docPart w:val="GBC22222222222222222222222222222"/>
            </w:placeholder>
          </w:sdtPr>
          <w:sdtEndPr/>
          <w:sdtContent>
            <w:p w14:paraId="5144798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AF7F2C2" w14:textId="77777777" w:rsidR="00D21C1F" w:rsidRDefault="00D21C1F">
      <w:pPr>
        <w:pStyle w:val="97"/>
        <w:sectPr w:rsidR="00D21C1F">
          <w:pgSz w:w="11906" w:h="16838"/>
          <w:pgMar w:top="1525" w:right="1276" w:bottom="1440" w:left="1797" w:header="851" w:footer="992" w:gutter="0"/>
          <w:cols w:space="425"/>
          <w:docGrid w:linePitch="312"/>
        </w:sectPr>
      </w:pPr>
    </w:p>
    <w:p w14:paraId="2528E2D5" w14:textId="77777777" w:rsidR="00D21C1F" w:rsidRDefault="00D21C1F">
      <w:pPr>
        <w:pStyle w:val="97"/>
      </w:pPr>
    </w:p>
    <w:p w14:paraId="2C92BD80" w14:textId="77777777" w:rsidR="00D21C1F" w:rsidRDefault="00A42880">
      <w:pPr>
        <w:pStyle w:val="3"/>
        <w:numPr>
          <w:ilvl w:val="0"/>
          <w:numId w:val="15"/>
        </w:numPr>
        <w:rPr>
          <w:rFonts w:ascii="宋体" w:hAnsi="宋体"/>
          <w:szCs w:val="21"/>
        </w:rPr>
      </w:pPr>
      <w:r>
        <w:rPr>
          <w:rFonts w:ascii="宋体" w:hAnsi="宋体"/>
          <w:szCs w:val="21"/>
        </w:rPr>
        <w:t>资产、负债情况分析</w:t>
      </w:r>
    </w:p>
    <w:p w14:paraId="147CB337" w14:textId="77777777" w:rsidR="00D21C1F" w:rsidRDefault="00045EC6">
      <w:pPr>
        <w:pStyle w:val="97"/>
      </w:pPr>
      <w:sdt>
        <w:sdtPr>
          <w:rPr>
            <w:rFonts w:hint="eastAsia"/>
          </w:rPr>
          <w:alias w:val="是否适用：资产、负债情况分析[双击切换]"/>
          <w:tag w:val="_GBC_7e768f46f428417e8696bff3cfaf9902"/>
          <w:id w:val="1311988610"/>
          <w:lock w:val="sdtContentLocked"/>
          <w:placeholder>
            <w:docPart w:val="GBC22222222222222222222222222222"/>
          </w:placeholder>
        </w:sdtPr>
        <w:sdtEndPr/>
        <w:sdtContent>
          <w:r w:rsidR="00A42880">
            <w:fldChar w:fldCharType="begin"/>
          </w:r>
          <w:r w:rsidR="00A42880">
            <w:instrText xml:space="preserve"> 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bookmarkStart w:id="66" w:name="_Hlk74730011" w:displacedByCustomXml="next"/>
    <w:bookmarkEnd w:id="66" w:displacedByCustomXml="next"/>
    <w:bookmarkStart w:id="67" w:name="_Hlk74816364" w:displacedByCustomXml="next"/>
    <w:sdt>
      <w:sdtPr>
        <w:rPr>
          <w:rFonts w:ascii="宋体" w:hAnsi="宋体" w:cs="宋体"/>
          <w:b w:val="0"/>
          <w:bCs w:val="0"/>
          <w:kern w:val="0"/>
          <w:szCs w:val="21"/>
        </w:rPr>
        <w:alias w:val="模块:资产及负债状况"/>
        <w:tag w:val="_SEC_2666a78ea4e94400a6b7b71f88db296f"/>
        <w:id w:val="1949733167"/>
        <w:lock w:val="sdtLocked"/>
        <w:placeholder>
          <w:docPart w:val="GBC22222222222222222222222222222"/>
        </w:placeholder>
      </w:sdtPr>
      <w:sdtEndPr>
        <w:rPr>
          <w:rFonts w:ascii="Cambria" w:hAnsi="Cambria" w:cs="Times New Roman"/>
          <w:b/>
          <w:bCs/>
          <w:kern w:val="2"/>
        </w:rPr>
      </w:sdtEndPr>
      <w:sdtContent>
        <w:p w14:paraId="0EF4050C" w14:textId="77777777" w:rsidR="00D21C1F" w:rsidRDefault="00A42880">
          <w:pPr>
            <w:pStyle w:val="4"/>
            <w:numPr>
              <w:ilvl w:val="0"/>
              <w:numId w:val="17"/>
            </w:numPr>
            <w:ind w:left="420" w:hanging="420"/>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14:paraId="42725C73" w14:textId="77777777" w:rsidR="00D21C1F" w:rsidRDefault="00A42880">
          <w:pPr>
            <w:jc w:val="right"/>
            <w:rPr>
              <w:szCs w:val="21"/>
            </w:rPr>
          </w:pPr>
          <w:r>
            <w:rPr>
              <w:rFonts w:hint="eastAsia"/>
              <w:szCs w:val="21"/>
            </w:rPr>
            <w:t>单位：</w:t>
          </w:r>
          <w:sdt>
            <w:sdtPr>
              <w:rPr>
                <w:rFonts w:hint="eastAsia"/>
                <w:szCs w:val="21"/>
              </w:rPr>
              <w:alias w:val="单位：资产负债状况分析"/>
              <w:tag w:val="_GBC_19581b936bf8465fa7e5e06b2a70d6d8"/>
              <w:id w:val="-117611001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p>
        <w:tbl>
          <w:tblPr>
            <w:tblStyle w:val="aff0"/>
            <w:tblW w:w="5000" w:type="pct"/>
            <w:tblLook w:val="04A0" w:firstRow="1" w:lastRow="0" w:firstColumn="1" w:lastColumn="0" w:noHBand="0" w:noVBand="1"/>
          </w:tblPr>
          <w:tblGrid>
            <w:gridCol w:w="1785"/>
            <w:gridCol w:w="1162"/>
            <w:gridCol w:w="1300"/>
            <w:gridCol w:w="1278"/>
            <w:gridCol w:w="1273"/>
            <w:gridCol w:w="1561"/>
            <w:gridCol w:w="5504"/>
          </w:tblGrid>
          <w:tr w:rsidR="00D21C1F" w14:paraId="5F12976F" w14:textId="77777777">
            <w:trPr>
              <w:trHeight w:val="180"/>
            </w:trPr>
            <w:sdt>
              <w:sdtPr>
                <w:rPr>
                  <w:rFonts w:ascii="Times New Roman" w:hAnsi="Times New Roman" w:cs="Times New Roman"/>
                </w:rPr>
                <w:tag w:val="_PLD_1941ef01d5d944b5b924d1f9a0aa1a72"/>
                <w:id w:val="551973959"/>
                <w:lock w:val="sdtLocked"/>
              </w:sdtPr>
              <w:sdtEndPr/>
              <w:sdtContent>
                <w:tc>
                  <w:tcPr>
                    <w:tcW w:w="644" w:type="pct"/>
                    <w:vAlign w:val="center"/>
                  </w:tcPr>
                  <w:p w14:paraId="38517F5F" w14:textId="77777777" w:rsidR="00D21C1F" w:rsidRDefault="00A42880">
                    <w:pPr>
                      <w:rPr>
                        <w:rStyle w:val="50"/>
                        <w:rFonts w:ascii="Times New Roman" w:hAnsi="Times New Roman" w:cs="Times New Roman"/>
                        <w:szCs w:val="21"/>
                      </w:rPr>
                    </w:pPr>
                    <w:r>
                      <w:rPr>
                        <w:rFonts w:ascii="Times New Roman" w:hAnsi="Times New Roman" w:cs="Times New Roman"/>
                        <w:szCs w:val="21"/>
                      </w:rPr>
                      <w:t>项目名称</w:t>
                    </w:r>
                  </w:p>
                </w:tc>
              </w:sdtContent>
            </w:sdt>
            <w:sdt>
              <w:sdtPr>
                <w:rPr>
                  <w:rFonts w:ascii="Times New Roman" w:hAnsi="Times New Roman" w:cs="Times New Roman"/>
                </w:rPr>
                <w:tag w:val="_PLD_69c7315d8062483da876a15059f5f722"/>
                <w:id w:val="426542763"/>
                <w:lock w:val="sdtLocked"/>
              </w:sdtPr>
              <w:sdtEndPr/>
              <w:sdtContent>
                <w:tc>
                  <w:tcPr>
                    <w:tcW w:w="419" w:type="pct"/>
                    <w:vAlign w:val="center"/>
                  </w:tcPr>
                  <w:p w14:paraId="29901FF4" w14:textId="77777777" w:rsidR="00D21C1F" w:rsidRDefault="00A42880">
                    <w:pPr>
                      <w:rPr>
                        <w:rStyle w:val="50"/>
                        <w:rFonts w:ascii="Times New Roman" w:hAnsi="Times New Roman" w:cs="Times New Roman"/>
                        <w:szCs w:val="21"/>
                      </w:rPr>
                    </w:pPr>
                    <w:r>
                      <w:rPr>
                        <w:rFonts w:ascii="Times New Roman" w:hAnsi="Times New Roman" w:cs="Times New Roman"/>
                        <w:szCs w:val="21"/>
                      </w:rPr>
                      <w:t>本期期末数</w:t>
                    </w:r>
                  </w:p>
                </w:tc>
              </w:sdtContent>
            </w:sdt>
            <w:sdt>
              <w:sdtPr>
                <w:rPr>
                  <w:rFonts w:ascii="Times New Roman" w:hAnsi="Times New Roman" w:cs="Times New Roman"/>
                </w:rPr>
                <w:tag w:val="_PLD_3427c4e291a747cb88a6f83717782a65"/>
                <w:id w:val="-1380397637"/>
                <w:lock w:val="sdtLocked"/>
              </w:sdtPr>
              <w:sdtEndPr/>
              <w:sdtContent>
                <w:tc>
                  <w:tcPr>
                    <w:tcW w:w="469" w:type="pct"/>
                    <w:vAlign w:val="center"/>
                  </w:tcPr>
                  <w:p w14:paraId="19268F36" w14:textId="77777777" w:rsidR="00D21C1F" w:rsidRDefault="00A42880">
                    <w:pPr>
                      <w:rPr>
                        <w:rStyle w:val="50"/>
                        <w:rFonts w:ascii="Times New Roman" w:hAnsi="Times New Roman" w:cs="Times New Roman"/>
                        <w:szCs w:val="21"/>
                      </w:rPr>
                    </w:pPr>
                    <w:r>
                      <w:rPr>
                        <w:rFonts w:ascii="Times New Roman" w:hAnsi="Times New Roman" w:cs="Times New Roman"/>
                        <w:szCs w:val="21"/>
                      </w:rPr>
                      <w:t>本期期末数占总资产的比例（</w:t>
                    </w:r>
                    <w:r>
                      <w:rPr>
                        <w:rFonts w:ascii="Times New Roman" w:hAnsi="Times New Roman" w:cs="Times New Roman"/>
                        <w:szCs w:val="21"/>
                      </w:rPr>
                      <w:t>%</w:t>
                    </w:r>
                    <w:r>
                      <w:rPr>
                        <w:rFonts w:ascii="Times New Roman" w:hAnsi="Times New Roman" w:cs="Times New Roman"/>
                        <w:szCs w:val="21"/>
                      </w:rPr>
                      <w:t>）</w:t>
                    </w:r>
                  </w:p>
                </w:tc>
              </w:sdtContent>
            </w:sdt>
            <w:sdt>
              <w:sdtPr>
                <w:rPr>
                  <w:rFonts w:ascii="Times New Roman" w:hAnsi="Times New Roman" w:cs="Times New Roman"/>
                </w:rPr>
                <w:tag w:val="_PLD_2b5a2a6c284c4986a4f3bf4a346610f5"/>
                <w:id w:val="-609353523"/>
                <w:lock w:val="sdtLocked"/>
              </w:sdtPr>
              <w:sdtEndPr/>
              <w:sdtContent>
                <w:tc>
                  <w:tcPr>
                    <w:tcW w:w="461" w:type="pct"/>
                    <w:vAlign w:val="center"/>
                  </w:tcPr>
                  <w:p w14:paraId="7750CD9A" w14:textId="77777777" w:rsidR="00D21C1F" w:rsidRDefault="00A42880">
                    <w:pPr>
                      <w:rPr>
                        <w:rStyle w:val="50"/>
                        <w:rFonts w:ascii="Times New Roman" w:hAnsi="Times New Roman" w:cs="Times New Roman"/>
                        <w:szCs w:val="21"/>
                      </w:rPr>
                    </w:pPr>
                    <w:r>
                      <w:rPr>
                        <w:rFonts w:ascii="Times New Roman" w:hAnsi="Times New Roman" w:cs="Times New Roman"/>
                        <w:szCs w:val="21"/>
                      </w:rPr>
                      <w:t>上年期末数</w:t>
                    </w:r>
                  </w:p>
                </w:tc>
              </w:sdtContent>
            </w:sdt>
            <w:sdt>
              <w:sdtPr>
                <w:rPr>
                  <w:rFonts w:ascii="Times New Roman" w:hAnsi="Times New Roman" w:cs="Times New Roman"/>
                </w:rPr>
                <w:tag w:val="_PLD_03656abc85e1431da04d2e83a1a33130"/>
                <w:id w:val="114652069"/>
                <w:lock w:val="sdtLocked"/>
              </w:sdtPr>
              <w:sdtEndPr/>
              <w:sdtContent>
                <w:tc>
                  <w:tcPr>
                    <w:tcW w:w="459" w:type="pct"/>
                    <w:vAlign w:val="center"/>
                  </w:tcPr>
                  <w:p w14:paraId="71EC759E" w14:textId="77777777" w:rsidR="00D21C1F" w:rsidRDefault="00A42880">
                    <w:pPr>
                      <w:rPr>
                        <w:rStyle w:val="50"/>
                        <w:rFonts w:ascii="Times New Roman" w:hAnsi="Times New Roman" w:cs="Times New Roman"/>
                        <w:szCs w:val="21"/>
                      </w:rPr>
                    </w:pPr>
                    <w:r>
                      <w:rPr>
                        <w:rFonts w:ascii="Times New Roman" w:hAnsi="Times New Roman" w:cs="Times New Roman"/>
                        <w:szCs w:val="21"/>
                      </w:rPr>
                      <w:t>上年期末数占总资产的比例（</w:t>
                    </w:r>
                    <w:r>
                      <w:rPr>
                        <w:rFonts w:ascii="Times New Roman" w:hAnsi="Times New Roman" w:cs="Times New Roman"/>
                        <w:szCs w:val="21"/>
                      </w:rPr>
                      <w:t>%</w:t>
                    </w:r>
                    <w:r>
                      <w:rPr>
                        <w:rFonts w:ascii="Times New Roman" w:hAnsi="Times New Roman" w:cs="Times New Roman"/>
                        <w:szCs w:val="21"/>
                      </w:rPr>
                      <w:t>）</w:t>
                    </w:r>
                  </w:p>
                </w:tc>
              </w:sdtContent>
            </w:sdt>
            <w:sdt>
              <w:sdtPr>
                <w:rPr>
                  <w:rFonts w:ascii="Times New Roman" w:hAnsi="Times New Roman" w:cs="Times New Roman"/>
                </w:rPr>
                <w:tag w:val="_PLD_8f275209a3cb440abe89b09003385cc5"/>
                <w:id w:val="-472528215"/>
                <w:lock w:val="sdtLocked"/>
              </w:sdtPr>
              <w:sdtEndPr/>
              <w:sdtContent>
                <w:tc>
                  <w:tcPr>
                    <w:tcW w:w="563" w:type="pct"/>
                    <w:vAlign w:val="center"/>
                  </w:tcPr>
                  <w:p w14:paraId="1769252A" w14:textId="77777777" w:rsidR="00D21C1F" w:rsidRDefault="00A42880">
                    <w:pPr>
                      <w:rPr>
                        <w:rStyle w:val="50"/>
                        <w:rFonts w:ascii="Times New Roman" w:hAnsi="Times New Roman" w:cs="Times New Roman"/>
                        <w:szCs w:val="21"/>
                      </w:rPr>
                    </w:pPr>
                    <w:r>
                      <w:rPr>
                        <w:rFonts w:ascii="Times New Roman" w:hAnsi="Times New Roman" w:cs="Times New Roman"/>
                        <w:szCs w:val="21"/>
                      </w:rPr>
                      <w:t>本期期末金额较上年期末变动比例（</w:t>
                    </w:r>
                    <w:r>
                      <w:rPr>
                        <w:rFonts w:ascii="Times New Roman" w:hAnsi="Times New Roman" w:cs="Times New Roman"/>
                        <w:szCs w:val="21"/>
                      </w:rPr>
                      <w:t>%</w:t>
                    </w:r>
                    <w:r>
                      <w:rPr>
                        <w:rFonts w:ascii="Times New Roman" w:hAnsi="Times New Roman" w:cs="Times New Roman"/>
                        <w:szCs w:val="21"/>
                      </w:rPr>
                      <w:t>）</w:t>
                    </w:r>
                  </w:p>
                </w:tc>
              </w:sdtContent>
            </w:sdt>
            <w:sdt>
              <w:sdtPr>
                <w:rPr>
                  <w:rFonts w:ascii="Times New Roman" w:hAnsi="Times New Roman" w:cs="Times New Roman"/>
                </w:rPr>
                <w:tag w:val="_PLD_fbba136ab14144e0b1b987799cc35064"/>
                <w:id w:val="381907574"/>
                <w:lock w:val="sdtLocked"/>
              </w:sdtPr>
              <w:sdtEndPr/>
              <w:sdtContent>
                <w:tc>
                  <w:tcPr>
                    <w:tcW w:w="1985" w:type="pct"/>
                    <w:vAlign w:val="center"/>
                  </w:tcPr>
                  <w:p w14:paraId="37C36BFD" w14:textId="77777777" w:rsidR="00D21C1F" w:rsidRDefault="00A42880">
                    <w:pPr>
                      <w:rPr>
                        <w:rStyle w:val="50"/>
                        <w:rFonts w:ascii="Times New Roman" w:hAnsi="Times New Roman" w:cs="Times New Roman"/>
                        <w:szCs w:val="21"/>
                      </w:rPr>
                    </w:pPr>
                    <w:r>
                      <w:rPr>
                        <w:rFonts w:ascii="Times New Roman" w:hAnsi="Times New Roman" w:cs="Times New Roman"/>
                        <w:szCs w:val="21"/>
                      </w:rPr>
                      <w:t>情况说明</w:t>
                    </w:r>
                  </w:p>
                </w:tc>
              </w:sdtContent>
            </w:sdt>
          </w:tr>
          <w:tr w:rsidR="00D21C1F" w14:paraId="680993B3" w14:textId="77777777">
            <w:trPr>
              <w:trHeight w:val="135"/>
            </w:trPr>
            <w:sdt>
              <w:sdtPr>
                <w:rPr>
                  <w:rStyle w:val="50"/>
                  <w:rFonts w:ascii="Times New Roman" w:hAnsi="Times New Roman" w:cs="Times New Roman"/>
                  <w:b w:val="0"/>
                  <w:szCs w:val="21"/>
                </w:rPr>
                <w:tag w:val="_PLD_99bb7655683b481682a6ad6de398a58f"/>
                <w:id w:val="1873961655"/>
                <w:lock w:val="sdtLocked"/>
              </w:sdtPr>
              <w:sdtEndPr>
                <w:rPr>
                  <w:rStyle w:val="50"/>
                </w:rPr>
              </w:sdtEndPr>
              <w:sdtContent>
                <w:tc>
                  <w:tcPr>
                    <w:tcW w:w="644" w:type="pct"/>
                    <w:vAlign w:val="center"/>
                  </w:tcPr>
                  <w:p w14:paraId="674864F3" w14:textId="77777777" w:rsidR="00D21C1F" w:rsidRDefault="00A42880">
                    <w:pPr>
                      <w:rPr>
                        <w:rStyle w:val="50"/>
                        <w:rFonts w:ascii="Times New Roman" w:hAnsi="Times New Roman" w:cs="Times New Roman"/>
                        <w:b w:val="0"/>
                        <w:szCs w:val="21"/>
                      </w:rPr>
                    </w:pPr>
                    <w:r>
                      <w:rPr>
                        <w:rStyle w:val="50"/>
                        <w:rFonts w:ascii="Times New Roman" w:hAnsi="Times New Roman" w:cs="Times New Roman"/>
                        <w:b w:val="0"/>
                        <w:szCs w:val="21"/>
                      </w:rPr>
                      <w:t>货币资金</w:t>
                    </w:r>
                  </w:p>
                </w:tc>
              </w:sdtContent>
            </w:sdt>
            <w:tc>
              <w:tcPr>
                <w:tcW w:w="419" w:type="pct"/>
                <w:vAlign w:val="bottom"/>
              </w:tcPr>
              <w:p w14:paraId="5F55A022"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49,118.67</w:t>
                </w:r>
              </w:p>
            </w:tc>
            <w:tc>
              <w:tcPr>
                <w:tcW w:w="469" w:type="pct"/>
                <w:vAlign w:val="bottom"/>
              </w:tcPr>
              <w:p w14:paraId="72ED1ABB"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14.74</w:t>
                </w:r>
              </w:p>
            </w:tc>
            <w:tc>
              <w:tcPr>
                <w:tcW w:w="461" w:type="pct"/>
                <w:vAlign w:val="bottom"/>
              </w:tcPr>
              <w:p w14:paraId="0D2764BC"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33,598.86</w:t>
                </w:r>
              </w:p>
            </w:tc>
            <w:tc>
              <w:tcPr>
                <w:tcW w:w="459" w:type="pct"/>
                <w:vAlign w:val="bottom"/>
              </w:tcPr>
              <w:p w14:paraId="3B5029E2"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10.16</w:t>
                </w:r>
              </w:p>
            </w:tc>
            <w:tc>
              <w:tcPr>
                <w:tcW w:w="563" w:type="pct"/>
                <w:vAlign w:val="bottom"/>
              </w:tcPr>
              <w:p w14:paraId="0D6395AD" w14:textId="77777777" w:rsidR="00D21C1F" w:rsidRDefault="00A42880">
                <w:pPr>
                  <w:jc w:val="right"/>
                  <w:rPr>
                    <w:rStyle w:val="50"/>
                    <w:rFonts w:ascii="Times New Roman" w:hAnsi="Times New Roman" w:cs="Times New Roman"/>
                    <w:b w:val="0"/>
                    <w:szCs w:val="21"/>
                  </w:rPr>
                </w:pPr>
                <w:r>
                  <w:rPr>
                    <w:rFonts w:ascii="Times New Roman" w:hAnsi="Times New Roman" w:cs="Times New Roman"/>
                  </w:rPr>
                  <w:t>46.19</w:t>
                </w:r>
              </w:p>
            </w:tc>
            <w:tc>
              <w:tcPr>
                <w:tcW w:w="1985" w:type="pct"/>
                <w:vAlign w:val="center"/>
              </w:tcPr>
              <w:p w14:paraId="4071C7C4" w14:textId="3A659D7C" w:rsidR="00D21C1F" w:rsidRPr="00B5526E" w:rsidRDefault="00B5526E">
                <w:pPr>
                  <w:rPr>
                    <w:rStyle w:val="50"/>
                    <w:rFonts w:ascii="Times New Roman" w:hAnsi="Times New Roman" w:cs="Times New Roman"/>
                    <w:b w:val="0"/>
                    <w:bCs w:val="0"/>
                    <w:kern w:val="0"/>
                    <w:szCs w:val="24"/>
                  </w:rPr>
                </w:pPr>
                <w:r>
                  <w:rPr>
                    <w:rStyle w:val="aff6"/>
                    <w:rFonts w:ascii="Times New Roman" w:hAnsi="Times New Roman" w:cs="Times New Roman"/>
                  </w:rPr>
                  <w:t>本期末货币资金余额较上年末增加，</w:t>
                </w:r>
                <w:r>
                  <w:rPr>
                    <w:rFonts w:ascii="Times New Roman" w:hAnsi="Times New Roman" w:cs="Times New Roman"/>
                  </w:rPr>
                  <w:t>交易性金融资产余额较上年末减少，</w:t>
                </w:r>
                <w:r>
                  <w:rPr>
                    <w:rStyle w:val="aff6"/>
                    <w:rFonts w:ascii="Times New Roman" w:hAnsi="Times New Roman" w:cs="Times New Roman"/>
                  </w:rPr>
                  <w:t>主要系</w:t>
                </w:r>
                <w:r>
                  <w:rPr>
                    <w:rStyle w:val="aff6"/>
                    <w:rFonts w:ascii="Times New Roman" w:hAnsi="Times New Roman" w:cs="Times New Roman" w:hint="eastAsia"/>
                  </w:rPr>
                  <w:t>本</w:t>
                </w:r>
                <w:r>
                  <w:rPr>
                    <w:rFonts w:ascii="Times New Roman" w:hAnsi="Times New Roman" w:cs="Times New Roman"/>
                  </w:rPr>
                  <w:t>期末部分理财产品到期赎回，</w:t>
                </w:r>
                <w:r>
                  <w:rPr>
                    <w:rFonts w:ascii="Times New Roman" w:hAnsi="Times New Roman" w:cs="Times New Roman" w:hint="eastAsia"/>
                  </w:rPr>
                  <w:t>从交易性金融资产</w:t>
                </w:r>
                <w:r>
                  <w:rPr>
                    <w:rFonts w:ascii="Times New Roman" w:hAnsi="Times New Roman" w:cs="Times New Roman"/>
                  </w:rPr>
                  <w:t>转回货币资金所致。</w:t>
                </w:r>
              </w:p>
            </w:tc>
          </w:tr>
          <w:sdt>
            <w:sdtPr>
              <w:rPr>
                <w:rFonts w:ascii="Times New Roman" w:hAnsi="Times New Roman" w:cs="Times New Roman"/>
                <w:sz w:val="22"/>
                <w:szCs w:val="21"/>
              </w:rPr>
              <w:alias w:val="资产负债状况分析"/>
              <w:tag w:val="_TUP_2e95cd096ed246caad84867c40e0f97c"/>
              <w:id w:val="1862463454"/>
              <w:lock w:val="sdtLocked"/>
            </w:sdtPr>
            <w:sdtEndPr/>
            <w:sdtContent>
              <w:tr w:rsidR="00D21C1F" w14:paraId="041AB318" w14:textId="77777777">
                <w:trPr>
                  <w:trHeight w:val="135"/>
                </w:trPr>
                <w:tc>
                  <w:tcPr>
                    <w:tcW w:w="644" w:type="pct"/>
                    <w:vAlign w:val="center"/>
                  </w:tcPr>
                  <w:p w14:paraId="527430A3" w14:textId="77777777" w:rsidR="00D21C1F" w:rsidRDefault="00A42880">
                    <w:pPr>
                      <w:rPr>
                        <w:rFonts w:ascii="Times New Roman" w:hAnsi="Times New Roman" w:cs="Times New Roman"/>
                        <w:szCs w:val="21"/>
                      </w:rPr>
                    </w:pPr>
                    <w:r>
                      <w:rPr>
                        <w:rFonts w:ascii="Times New Roman" w:hAnsi="Times New Roman" w:cs="Times New Roman"/>
                        <w:szCs w:val="21"/>
                      </w:rPr>
                      <w:t>交易性金融资产</w:t>
                    </w:r>
                  </w:p>
                </w:tc>
                <w:tc>
                  <w:tcPr>
                    <w:tcW w:w="419" w:type="pct"/>
                    <w:vAlign w:val="bottom"/>
                  </w:tcPr>
                  <w:p w14:paraId="4E7ACBA9" w14:textId="77777777" w:rsidR="00D21C1F" w:rsidRDefault="00A42880">
                    <w:pPr>
                      <w:jc w:val="right"/>
                      <w:rPr>
                        <w:rFonts w:ascii="Times New Roman" w:hAnsi="Times New Roman" w:cs="Times New Roman"/>
                        <w:szCs w:val="21"/>
                      </w:rPr>
                    </w:pPr>
                    <w:r>
                      <w:rPr>
                        <w:rFonts w:ascii="Times New Roman" w:hAnsi="Times New Roman" w:cs="Times New Roman"/>
                      </w:rPr>
                      <w:t>43,729.46</w:t>
                    </w:r>
                  </w:p>
                </w:tc>
                <w:tc>
                  <w:tcPr>
                    <w:tcW w:w="469" w:type="pct"/>
                    <w:vAlign w:val="bottom"/>
                  </w:tcPr>
                  <w:p w14:paraId="57E3E231" w14:textId="77777777" w:rsidR="00D21C1F" w:rsidRDefault="00A42880">
                    <w:pPr>
                      <w:jc w:val="right"/>
                      <w:rPr>
                        <w:rFonts w:ascii="Times New Roman" w:hAnsi="Times New Roman" w:cs="Times New Roman"/>
                        <w:szCs w:val="21"/>
                      </w:rPr>
                    </w:pPr>
                    <w:r>
                      <w:rPr>
                        <w:rFonts w:ascii="Times New Roman" w:hAnsi="Times New Roman" w:cs="Times New Roman"/>
                      </w:rPr>
                      <w:t>13.12</w:t>
                    </w:r>
                  </w:p>
                </w:tc>
                <w:tc>
                  <w:tcPr>
                    <w:tcW w:w="461" w:type="pct"/>
                    <w:vAlign w:val="bottom"/>
                  </w:tcPr>
                  <w:p w14:paraId="5C695CCC" w14:textId="77777777" w:rsidR="00D21C1F" w:rsidRDefault="00A42880">
                    <w:pPr>
                      <w:jc w:val="right"/>
                      <w:rPr>
                        <w:rFonts w:ascii="Times New Roman" w:hAnsi="Times New Roman" w:cs="Times New Roman"/>
                        <w:szCs w:val="21"/>
                      </w:rPr>
                    </w:pPr>
                    <w:r>
                      <w:rPr>
                        <w:rFonts w:ascii="Times New Roman" w:hAnsi="Times New Roman" w:cs="Times New Roman"/>
                      </w:rPr>
                      <w:t>69,708.9</w:t>
                    </w:r>
                  </w:p>
                </w:tc>
                <w:tc>
                  <w:tcPr>
                    <w:tcW w:w="459" w:type="pct"/>
                    <w:vAlign w:val="bottom"/>
                  </w:tcPr>
                  <w:p w14:paraId="5119E6A2" w14:textId="77777777" w:rsidR="00D21C1F" w:rsidRDefault="00A42880">
                    <w:pPr>
                      <w:jc w:val="right"/>
                      <w:rPr>
                        <w:rFonts w:ascii="Times New Roman" w:hAnsi="Times New Roman" w:cs="Times New Roman"/>
                        <w:szCs w:val="21"/>
                      </w:rPr>
                    </w:pPr>
                    <w:r>
                      <w:rPr>
                        <w:rFonts w:ascii="Times New Roman" w:hAnsi="Times New Roman" w:cs="Times New Roman"/>
                      </w:rPr>
                      <w:t>21.08</w:t>
                    </w:r>
                  </w:p>
                </w:tc>
                <w:tc>
                  <w:tcPr>
                    <w:tcW w:w="563" w:type="pct"/>
                    <w:vAlign w:val="bottom"/>
                  </w:tcPr>
                  <w:p w14:paraId="69B1BD99" w14:textId="77777777" w:rsidR="00D21C1F" w:rsidRDefault="00A42880">
                    <w:pPr>
                      <w:jc w:val="right"/>
                      <w:rPr>
                        <w:rFonts w:ascii="Times New Roman" w:hAnsi="Times New Roman" w:cs="Times New Roman"/>
                        <w:szCs w:val="21"/>
                      </w:rPr>
                    </w:pPr>
                    <w:r>
                      <w:rPr>
                        <w:rFonts w:ascii="Times New Roman" w:hAnsi="Times New Roman" w:cs="Times New Roman"/>
                      </w:rPr>
                      <w:t>-37.27</w:t>
                    </w:r>
                  </w:p>
                </w:tc>
                <w:tc>
                  <w:tcPr>
                    <w:tcW w:w="1985" w:type="pct"/>
                    <w:vAlign w:val="center"/>
                  </w:tcPr>
                  <w:p w14:paraId="62C3943C" w14:textId="77777777" w:rsidR="00D21C1F" w:rsidRDefault="00A42880">
                    <w:pPr>
                      <w:rPr>
                        <w:rFonts w:ascii="Times New Roman" w:hAnsi="Times New Roman" w:cs="Times New Roman"/>
                        <w:szCs w:val="21"/>
                      </w:rPr>
                    </w:pPr>
                    <w:r>
                      <w:rPr>
                        <w:rFonts w:ascii="Times New Roman" w:hAnsi="Times New Roman" w:cs="Times New Roman"/>
                      </w:rPr>
                      <w:t>本期末交易性金融资产余额较上年末减少，主要系期末部分理财产品到期赎回，转回货币资金所致。</w:t>
                    </w:r>
                  </w:p>
                </w:tc>
              </w:tr>
            </w:sdtContent>
          </w:sdt>
          <w:sdt>
            <w:sdtPr>
              <w:rPr>
                <w:rFonts w:ascii="Times New Roman" w:hAnsi="Times New Roman" w:cs="Times New Roman"/>
                <w:sz w:val="22"/>
                <w:szCs w:val="21"/>
              </w:rPr>
              <w:alias w:val="资产负债状况分析"/>
              <w:tag w:val="_TUP_2e95cd096ed246caad84867c40e0f97c"/>
              <w:id w:val="2064212722"/>
              <w:lock w:val="sdtLocked"/>
            </w:sdtPr>
            <w:sdtEndPr/>
            <w:sdtContent>
              <w:tr w:rsidR="00D21C1F" w14:paraId="185824BC" w14:textId="77777777">
                <w:trPr>
                  <w:trHeight w:val="135"/>
                </w:trPr>
                <w:tc>
                  <w:tcPr>
                    <w:tcW w:w="644" w:type="pct"/>
                    <w:vAlign w:val="center"/>
                  </w:tcPr>
                  <w:p w14:paraId="0F554569" w14:textId="77777777" w:rsidR="00D21C1F" w:rsidRDefault="00A42880">
                    <w:pPr>
                      <w:rPr>
                        <w:rFonts w:ascii="Times New Roman" w:hAnsi="Times New Roman" w:cs="Times New Roman"/>
                        <w:szCs w:val="21"/>
                      </w:rPr>
                    </w:pPr>
                    <w:r>
                      <w:rPr>
                        <w:rFonts w:ascii="Times New Roman" w:hAnsi="Times New Roman" w:cs="Times New Roman"/>
                        <w:szCs w:val="21"/>
                      </w:rPr>
                      <w:t>应收款项融资</w:t>
                    </w:r>
                  </w:p>
                </w:tc>
                <w:tc>
                  <w:tcPr>
                    <w:tcW w:w="419" w:type="pct"/>
                    <w:vAlign w:val="bottom"/>
                  </w:tcPr>
                  <w:p w14:paraId="55548EA2" w14:textId="77777777" w:rsidR="00D21C1F" w:rsidRDefault="00A42880">
                    <w:pPr>
                      <w:jc w:val="right"/>
                      <w:rPr>
                        <w:rFonts w:ascii="Times New Roman" w:hAnsi="Times New Roman" w:cs="Times New Roman"/>
                        <w:szCs w:val="21"/>
                      </w:rPr>
                    </w:pPr>
                    <w:r>
                      <w:rPr>
                        <w:rFonts w:ascii="Times New Roman" w:hAnsi="Times New Roman" w:cs="Times New Roman"/>
                      </w:rPr>
                      <w:t>3,331.13</w:t>
                    </w:r>
                  </w:p>
                </w:tc>
                <w:tc>
                  <w:tcPr>
                    <w:tcW w:w="469" w:type="pct"/>
                    <w:vAlign w:val="bottom"/>
                  </w:tcPr>
                  <w:p w14:paraId="27F0AD40" w14:textId="77777777" w:rsidR="00D21C1F" w:rsidRDefault="00A42880">
                    <w:pPr>
                      <w:jc w:val="right"/>
                      <w:rPr>
                        <w:rFonts w:ascii="Times New Roman" w:hAnsi="Times New Roman" w:cs="Times New Roman"/>
                        <w:szCs w:val="21"/>
                      </w:rPr>
                    </w:pPr>
                    <w:r>
                      <w:rPr>
                        <w:rFonts w:ascii="Times New Roman" w:hAnsi="Times New Roman" w:cs="Times New Roman"/>
                      </w:rPr>
                      <w:t>1.00</w:t>
                    </w:r>
                  </w:p>
                </w:tc>
                <w:tc>
                  <w:tcPr>
                    <w:tcW w:w="461" w:type="pct"/>
                    <w:vAlign w:val="bottom"/>
                  </w:tcPr>
                  <w:p w14:paraId="57334644" w14:textId="77777777" w:rsidR="00D21C1F" w:rsidRDefault="00A42880">
                    <w:pPr>
                      <w:jc w:val="right"/>
                      <w:rPr>
                        <w:rFonts w:ascii="Times New Roman" w:hAnsi="Times New Roman" w:cs="Times New Roman"/>
                        <w:szCs w:val="21"/>
                      </w:rPr>
                    </w:pPr>
                    <w:r>
                      <w:rPr>
                        <w:rFonts w:ascii="Times New Roman" w:hAnsi="Times New Roman" w:cs="Times New Roman"/>
                      </w:rPr>
                      <w:t>1,805.25</w:t>
                    </w:r>
                  </w:p>
                </w:tc>
                <w:tc>
                  <w:tcPr>
                    <w:tcW w:w="459" w:type="pct"/>
                    <w:vAlign w:val="bottom"/>
                  </w:tcPr>
                  <w:p w14:paraId="651B8C9F" w14:textId="77777777" w:rsidR="00D21C1F" w:rsidRDefault="00A42880">
                    <w:pPr>
                      <w:jc w:val="right"/>
                      <w:rPr>
                        <w:rFonts w:ascii="Times New Roman" w:hAnsi="Times New Roman" w:cs="Times New Roman"/>
                        <w:szCs w:val="21"/>
                      </w:rPr>
                    </w:pPr>
                    <w:r>
                      <w:rPr>
                        <w:rFonts w:ascii="Times New Roman" w:hAnsi="Times New Roman" w:cs="Times New Roman"/>
                      </w:rPr>
                      <w:t>0.55</w:t>
                    </w:r>
                  </w:p>
                </w:tc>
                <w:tc>
                  <w:tcPr>
                    <w:tcW w:w="563" w:type="pct"/>
                    <w:vAlign w:val="bottom"/>
                  </w:tcPr>
                  <w:p w14:paraId="6CEE9B82" w14:textId="77777777" w:rsidR="00D21C1F" w:rsidRDefault="00A42880">
                    <w:pPr>
                      <w:jc w:val="right"/>
                      <w:rPr>
                        <w:rFonts w:ascii="Times New Roman" w:hAnsi="Times New Roman" w:cs="Times New Roman"/>
                        <w:szCs w:val="21"/>
                      </w:rPr>
                    </w:pPr>
                    <w:r>
                      <w:rPr>
                        <w:rFonts w:ascii="Times New Roman" w:hAnsi="Times New Roman" w:cs="Times New Roman"/>
                      </w:rPr>
                      <w:t>84.52</w:t>
                    </w:r>
                  </w:p>
                </w:tc>
                <w:tc>
                  <w:tcPr>
                    <w:tcW w:w="1985" w:type="pct"/>
                    <w:vAlign w:val="center"/>
                  </w:tcPr>
                  <w:p w14:paraId="18D0ABB6" w14:textId="77777777" w:rsidR="00D21C1F" w:rsidRDefault="00A42880">
                    <w:pPr>
                      <w:rPr>
                        <w:rFonts w:ascii="Times New Roman" w:hAnsi="Times New Roman" w:cs="Times New Roman"/>
                        <w:szCs w:val="21"/>
                      </w:rPr>
                    </w:pPr>
                    <w:r>
                      <w:rPr>
                        <w:rFonts w:ascii="Times New Roman" w:hAnsi="Times New Roman" w:cs="Times New Roman"/>
                      </w:rPr>
                      <w:t>本期末应收款项融资余额较上年末增加，主要系本期收到信用等级较高的</w:t>
                    </w:r>
                    <w:r>
                      <w:rPr>
                        <w:rFonts w:ascii="Times New Roman" w:hAnsi="Times New Roman" w:cs="Times New Roman"/>
                      </w:rPr>
                      <w:t>9+6</w:t>
                    </w:r>
                    <w:r>
                      <w:rPr>
                        <w:rFonts w:ascii="Times New Roman" w:hAnsi="Times New Roman" w:cs="Times New Roman"/>
                      </w:rPr>
                      <w:t>银行承兑的票据增加所致。</w:t>
                    </w:r>
                  </w:p>
                </w:tc>
              </w:tr>
            </w:sdtContent>
          </w:sdt>
          <w:sdt>
            <w:sdtPr>
              <w:rPr>
                <w:rFonts w:ascii="Times New Roman" w:hAnsi="Times New Roman" w:cs="Times New Roman"/>
                <w:bCs/>
                <w:sz w:val="22"/>
                <w:szCs w:val="21"/>
              </w:rPr>
              <w:alias w:val="资产负债状况分析"/>
              <w:tag w:val="_TUP_2e95cd096ed246caad84867c40e0f97c"/>
              <w:id w:val="732904301"/>
              <w:lock w:val="sdtLocked"/>
              <w:placeholder>
                <w:docPart w:val="799AA9D4769045988175E479DE37F087"/>
              </w:placeholder>
            </w:sdtPr>
            <w:sdtEndPr>
              <w:rPr>
                <w:bCs w:val="0"/>
                <w:szCs w:val="24"/>
              </w:rPr>
            </w:sdtEndPr>
            <w:sdtContent>
              <w:tr w:rsidR="00D21C1F" w14:paraId="71D3E743" w14:textId="77777777">
                <w:trPr>
                  <w:trHeight w:val="135"/>
                </w:trPr>
                <w:tc>
                  <w:tcPr>
                    <w:tcW w:w="644" w:type="pct"/>
                    <w:vAlign w:val="center"/>
                  </w:tcPr>
                  <w:p w14:paraId="0885FBF2" w14:textId="77777777" w:rsidR="00D21C1F" w:rsidRDefault="00A42880">
                    <w:pPr>
                      <w:rPr>
                        <w:rFonts w:ascii="Times New Roman" w:hAnsi="Times New Roman" w:cs="Times New Roman"/>
                        <w:bCs/>
                        <w:szCs w:val="21"/>
                      </w:rPr>
                    </w:pPr>
                    <w:r>
                      <w:rPr>
                        <w:rFonts w:ascii="Times New Roman" w:hAnsi="Times New Roman" w:cs="Times New Roman"/>
                        <w:bCs/>
                      </w:rPr>
                      <w:t>存货</w:t>
                    </w:r>
                  </w:p>
                </w:tc>
                <w:tc>
                  <w:tcPr>
                    <w:tcW w:w="419" w:type="pct"/>
                    <w:vAlign w:val="bottom"/>
                  </w:tcPr>
                  <w:p w14:paraId="171F1682" w14:textId="77777777" w:rsidR="00D21C1F" w:rsidRDefault="00A42880">
                    <w:pPr>
                      <w:jc w:val="right"/>
                      <w:rPr>
                        <w:rFonts w:ascii="Times New Roman" w:hAnsi="Times New Roman" w:cs="Times New Roman"/>
                      </w:rPr>
                    </w:pPr>
                    <w:r>
                      <w:rPr>
                        <w:rFonts w:ascii="Times New Roman" w:hAnsi="Times New Roman" w:cs="Times New Roman"/>
                      </w:rPr>
                      <w:t>23,640.63</w:t>
                    </w:r>
                  </w:p>
                </w:tc>
                <w:tc>
                  <w:tcPr>
                    <w:tcW w:w="469" w:type="pct"/>
                    <w:vAlign w:val="bottom"/>
                  </w:tcPr>
                  <w:p w14:paraId="1EAF376B" w14:textId="77777777" w:rsidR="00D21C1F" w:rsidRDefault="00A42880">
                    <w:pPr>
                      <w:jc w:val="right"/>
                      <w:rPr>
                        <w:rFonts w:ascii="Times New Roman" w:hAnsi="Times New Roman" w:cs="Times New Roman"/>
                      </w:rPr>
                    </w:pPr>
                    <w:r>
                      <w:rPr>
                        <w:rFonts w:ascii="Times New Roman" w:hAnsi="Times New Roman" w:cs="Times New Roman"/>
                      </w:rPr>
                      <w:t>7.10</w:t>
                    </w:r>
                  </w:p>
                </w:tc>
                <w:tc>
                  <w:tcPr>
                    <w:tcW w:w="461" w:type="pct"/>
                    <w:vAlign w:val="bottom"/>
                  </w:tcPr>
                  <w:p w14:paraId="42EDD492" w14:textId="77777777" w:rsidR="00D21C1F" w:rsidRDefault="00A42880">
                    <w:pPr>
                      <w:jc w:val="right"/>
                      <w:rPr>
                        <w:rFonts w:ascii="Times New Roman" w:hAnsi="Times New Roman" w:cs="Times New Roman"/>
                      </w:rPr>
                    </w:pPr>
                    <w:r>
                      <w:rPr>
                        <w:rFonts w:ascii="Times New Roman" w:hAnsi="Times New Roman" w:cs="Times New Roman"/>
                      </w:rPr>
                      <w:t>16,233.50</w:t>
                    </w:r>
                  </w:p>
                </w:tc>
                <w:tc>
                  <w:tcPr>
                    <w:tcW w:w="459" w:type="pct"/>
                    <w:vAlign w:val="bottom"/>
                  </w:tcPr>
                  <w:p w14:paraId="3900B091" w14:textId="77777777" w:rsidR="00D21C1F" w:rsidRDefault="00A42880">
                    <w:pPr>
                      <w:jc w:val="right"/>
                      <w:rPr>
                        <w:rFonts w:ascii="Times New Roman" w:hAnsi="Times New Roman" w:cs="Times New Roman"/>
                      </w:rPr>
                    </w:pPr>
                    <w:r>
                      <w:rPr>
                        <w:rFonts w:ascii="Times New Roman" w:hAnsi="Times New Roman" w:cs="Times New Roman"/>
                      </w:rPr>
                      <w:t>4.91</w:t>
                    </w:r>
                  </w:p>
                </w:tc>
                <w:tc>
                  <w:tcPr>
                    <w:tcW w:w="563" w:type="pct"/>
                    <w:vAlign w:val="bottom"/>
                  </w:tcPr>
                  <w:p w14:paraId="6A82881C" w14:textId="77777777" w:rsidR="00D21C1F" w:rsidRDefault="00A42880">
                    <w:pPr>
                      <w:jc w:val="right"/>
                      <w:rPr>
                        <w:rFonts w:ascii="Times New Roman" w:hAnsi="Times New Roman" w:cs="Times New Roman"/>
                      </w:rPr>
                    </w:pPr>
                    <w:r>
                      <w:rPr>
                        <w:rFonts w:ascii="Times New Roman" w:hAnsi="Times New Roman" w:cs="Times New Roman"/>
                      </w:rPr>
                      <w:t>45.63</w:t>
                    </w:r>
                  </w:p>
                </w:tc>
                <w:tc>
                  <w:tcPr>
                    <w:tcW w:w="1985" w:type="pct"/>
                    <w:vAlign w:val="center"/>
                  </w:tcPr>
                  <w:p w14:paraId="2CAC876B" w14:textId="77777777" w:rsidR="00D21C1F" w:rsidRDefault="00A42880">
                    <w:pPr>
                      <w:rPr>
                        <w:rFonts w:ascii="Times New Roman" w:hAnsi="Times New Roman" w:cs="Times New Roman"/>
                      </w:rPr>
                    </w:pPr>
                    <w:r>
                      <w:rPr>
                        <w:rFonts w:ascii="Times New Roman" w:hAnsi="Times New Roman" w:cs="Times New Roman"/>
                      </w:rPr>
                      <w:t>本期末存货余额较上年末增加，主要系原材料余额增加所致。本期机器人销量大幅增加，原材料</w:t>
                    </w:r>
                    <w:r>
                      <w:rPr>
                        <w:rFonts w:ascii="Times New Roman" w:hAnsi="Times New Roman" w:cs="Times New Roman" w:hint="eastAsia"/>
                      </w:rPr>
                      <w:t>及产成品亦相应增加</w:t>
                    </w:r>
                    <w:r>
                      <w:rPr>
                        <w:rFonts w:ascii="Times New Roman" w:hAnsi="Times New Roman" w:cs="Times New Roman"/>
                      </w:rPr>
                      <w:t>。</w:t>
                    </w:r>
                  </w:p>
                </w:tc>
              </w:tr>
            </w:sdtContent>
          </w:sdt>
          <w:tr w:rsidR="00D21C1F" w14:paraId="5741F179" w14:textId="77777777">
            <w:trPr>
              <w:trHeight w:val="135"/>
            </w:trPr>
            <w:sdt>
              <w:sdtPr>
                <w:rPr>
                  <w:rStyle w:val="50"/>
                  <w:rFonts w:ascii="Times New Roman" w:hAnsi="Times New Roman" w:cs="Times New Roman"/>
                  <w:b w:val="0"/>
                  <w:szCs w:val="21"/>
                </w:rPr>
                <w:tag w:val="_PLD_9d06ec35736b4ad5888eb4c893278c1c"/>
                <w:id w:val="655498330"/>
                <w:lock w:val="sdtLocked"/>
              </w:sdtPr>
              <w:sdtEndPr>
                <w:rPr>
                  <w:rStyle w:val="50"/>
                </w:rPr>
              </w:sdtEndPr>
              <w:sdtContent>
                <w:tc>
                  <w:tcPr>
                    <w:tcW w:w="644" w:type="pct"/>
                    <w:vAlign w:val="center"/>
                  </w:tcPr>
                  <w:p w14:paraId="695BFBE9" w14:textId="77777777" w:rsidR="00D21C1F" w:rsidRDefault="00A42880">
                    <w:pPr>
                      <w:rPr>
                        <w:rStyle w:val="50"/>
                        <w:rFonts w:ascii="Times New Roman" w:hAnsi="Times New Roman" w:cs="Times New Roman"/>
                        <w:b w:val="0"/>
                        <w:szCs w:val="21"/>
                      </w:rPr>
                    </w:pPr>
                    <w:r>
                      <w:rPr>
                        <w:rStyle w:val="50"/>
                        <w:rFonts w:ascii="Times New Roman" w:hAnsi="Times New Roman" w:cs="Times New Roman"/>
                        <w:b w:val="0"/>
                        <w:szCs w:val="21"/>
                      </w:rPr>
                      <w:t>使用权资产</w:t>
                    </w:r>
                  </w:p>
                </w:tc>
              </w:sdtContent>
            </w:sdt>
            <w:tc>
              <w:tcPr>
                <w:tcW w:w="419" w:type="pct"/>
                <w:vAlign w:val="bottom"/>
              </w:tcPr>
              <w:p w14:paraId="08DBFC2E"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5,047.39</w:t>
                </w:r>
              </w:p>
            </w:tc>
            <w:tc>
              <w:tcPr>
                <w:tcW w:w="469" w:type="pct"/>
                <w:vAlign w:val="bottom"/>
              </w:tcPr>
              <w:p w14:paraId="7A661EB7"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1.51</w:t>
                </w:r>
              </w:p>
            </w:tc>
            <w:tc>
              <w:tcPr>
                <w:tcW w:w="461" w:type="pct"/>
                <w:vAlign w:val="bottom"/>
              </w:tcPr>
              <w:p w14:paraId="3AB5408D" w14:textId="77777777" w:rsidR="00D21C1F" w:rsidRDefault="00A42880">
                <w:pPr>
                  <w:jc w:val="right"/>
                  <w:rPr>
                    <w:rStyle w:val="50"/>
                    <w:rFonts w:ascii="Times New Roman" w:hAnsi="Times New Roman" w:cs="Times New Roman"/>
                    <w:b w:val="0"/>
                    <w:szCs w:val="21"/>
                  </w:rPr>
                </w:pPr>
                <w:r>
                  <w:rPr>
                    <w:rStyle w:val="50"/>
                    <w:rFonts w:ascii="Times New Roman" w:hAnsi="Times New Roman" w:cs="Times New Roman"/>
                    <w:szCs w:val="21"/>
                  </w:rPr>
                  <w:t>-</w:t>
                </w:r>
              </w:p>
            </w:tc>
            <w:tc>
              <w:tcPr>
                <w:tcW w:w="459" w:type="pct"/>
                <w:vAlign w:val="bottom"/>
              </w:tcPr>
              <w:p w14:paraId="567A349E" w14:textId="77777777" w:rsidR="00D21C1F" w:rsidRDefault="00A42880">
                <w:pPr>
                  <w:jc w:val="right"/>
                  <w:rPr>
                    <w:rStyle w:val="50"/>
                    <w:rFonts w:ascii="Times New Roman" w:hAnsi="Times New Roman" w:cs="Times New Roman"/>
                    <w:b w:val="0"/>
                    <w:szCs w:val="21"/>
                  </w:rPr>
                </w:pPr>
                <w:r>
                  <w:rPr>
                    <w:rStyle w:val="50"/>
                    <w:rFonts w:ascii="Times New Roman" w:hAnsi="Times New Roman" w:cs="Times New Roman"/>
                    <w:szCs w:val="21"/>
                  </w:rPr>
                  <w:t>-</w:t>
                </w:r>
              </w:p>
            </w:tc>
            <w:tc>
              <w:tcPr>
                <w:tcW w:w="563" w:type="pct"/>
                <w:vAlign w:val="bottom"/>
              </w:tcPr>
              <w:p w14:paraId="2941719C" w14:textId="77777777" w:rsidR="00D21C1F" w:rsidRDefault="00A42880">
                <w:pPr>
                  <w:jc w:val="right"/>
                  <w:rPr>
                    <w:rStyle w:val="50"/>
                    <w:rFonts w:ascii="Times New Roman" w:hAnsi="Times New Roman" w:cs="Times New Roman"/>
                    <w:b w:val="0"/>
                    <w:szCs w:val="21"/>
                  </w:rPr>
                </w:pPr>
                <w:r>
                  <w:rPr>
                    <w:rFonts w:ascii="Times New Roman" w:hAnsi="Times New Roman" w:cs="Times New Roman"/>
                  </w:rPr>
                  <w:t>100.00</w:t>
                </w:r>
              </w:p>
            </w:tc>
            <w:tc>
              <w:tcPr>
                <w:tcW w:w="1985" w:type="pct"/>
                <w:vAlign w:val="center"/>
              </w:tcPr>
              <w:p w14:paraId="4EB029D7" w14:textId="77777777" w:rsidR="00D21C1F" w:rsidRDefault="00A42880">
                <w:pPr>
                  <w:rPr>
                    <w:rStyle w:val="50"/>
                    <w:rFonts w:ascii="Times New Roman" w:hAnsi="Times New Roman" w:cs="Times New Roman"/>
                    <w:b w:val="0"/>
                    <w:szCs w:val="21"/>
                  </w:rPr>
                </w:pPr>
                <w:r>
                  <w:rPr>
                    <w:rStyle w:val="aff6"/>
                    <w:rFonts w:ascii="Times New Roman" w:hAnsi="Times New Roman" w:cs="Times New Roman"/>
                  </w:rPr>
                  <w:t>主要系本期新租赁准则生效，本公司适用新租赁准则编制财务报表所致。</w:t>
                </w:r>
              </w:p>
            </w:tc>
          </w:tr>
          <w:tr w:rsidR="00D21C1F" w14:paraId="2C87BB61" w14:textId="77777777">
            <w:trPr>
              <w:trHeight w:val="135"/>
            </w:trPr>
            <w:sdt>
              <w:sdtPr>
                <w:rPr>
                  <w:rStyle w:val="50"/>
                  <w:rFonts w:ascii="Times New Roman" w:hAnsi="Times New Roman" w:cs="Times New Roman"/>
                  <w:b w:val="0"/>
                  <w:szCs w:val="21"/>
                </w:rPr>
                <w:tag w:val="_PLD_864ddbcdaf4e4542ae7a62b9b7f506ed"/>
                <w:id w:val="-233393018"/>
                <w:lock w:val="sdtLocked"/>
              </w:sdtPr>
              <w:sdtEndPr>
                <w:rPr>
                  <w:rStyle w:val="50"/>
                </w:rPr>
              </w:sdtEndPr>
              <w:sdtContent>
                <w:tc>
                  <w:tcPr>
                    <w:tcW w:w="644" w:type="pct"/>
                    <w:vAlign w:val="center"/>
                  </w:tcPr>
                  <w:p w14:paraId="17D99D08" w14:textId="77777777" w:rsidR="00D21C1F" w:rsidRDefault="00A42880">
                    <w:pPr>
                      <w:rPr>
                        <w:rStyle w:val="50"/>
                        <w:rFonts w:ascii="Times New Roman" w:hAnsi="Times New Roman" w:cs="Times New Roman"/>
                        <w:b w:val="0"/>
                        <w:szCs w:val="21"/>
                      </w:rPr>
                    </w:pPr>
                    <w:r>
                      <w:rPr>
                        <w:rStyle w:val="50"/>
                        <w:rFonts w:ascii="Times New Roman" w:hAnsi="Times New Roman" w:cs="Times New Roman"/>
                        <w:b w:val="0"/>
                        <w:szCs w:val="21"/>
                      </w:rPr>
                      <w:t>短期借款</w:t>
                    </w:r>
                  </w:p>
                </w:tc>
              </w:sdtContent>
            </w:sdt>
            <w:tc>
              <w:tcPr>
                <w:tcW w:w="419" w:type="pct"/>
                <w:vAlign w:val="bottom"/>
              </w:tcPr>
              <w:p w14:paraId="1269E8DE"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33,965.55</w:t>
                </w:r>
              </w:p>
            </w:tc>
            <w:tc>
              <w:tcPr>
                <w:tcW w:w="469" w:type="pct"/>
                <w:vAlign w:val="bottom"/>
              </w:tcPr>
              <w:p w14:paraId="04173F87"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10.19</w:t>
                </w:r>
              </w:p>
            </w:tc>
            <w:tc>
              <w:tcPr>
                <w:tcW w:w="461" w:type="pct"/>
                <w:vAlign w:val="bottom"/>
              </w:tcPr>
              <w:p w14:paraId="0AECDE56"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25,637.47</w:t>
                </w:r>
              </w:p>
            </w:tc>
            <w:tc>
              <w:tcPr>
                <w:tcW w:w="459" w:type="pct"/>
                <w:vAlign w:val="bottom"/>
              </w:tcPr>
              <w:p w14:paraId="3C1A36E0"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7.75</w:t>
                </w:r>
              </w:p>
            </w:tc>
            <w:tc>
              <w:tcPr>
                <w:tcW w:w="563" w:type="pct"/>
                <w:vAlign w:val="bottom"/>
              </w:tcPr>
              <w:p w14:paraId="54B7FA9A" w14:textId="77777777" w:rsidR="00D21C1F" w:rsidRDefault="00A42880">
                <w:pPr>
                  <w:jc w:val="right"/>
                  <w:rPr>
                    <w:rStyle w:val="50"/>
                    <w:rFonts w:ascii="Times New Roman" w:hAnsi="Times New Roman" w:cs="Times New Roman"/>
                    <w:b w:val="0"/>
                    <w:szCs w:val="21"/>
                  </w:rPr>
                </w:pPr>
                <w:r>
                  <w:rPr>
                    <w:rFonts w:ascii="Times New Roman" w:hAnsi="Times New Roman" w:cs="Times New Roman"/>
                  </w:rPr>
                  <w:t>32.48</w:t>
                </w:r>
              </w:p>
            </w:tc>
            <w:tc>
              <w:tcPr>
                <w:tcW w:w="1985" w:type="pct"/>
                <w:vAlign w:val="center"/>
              </w:tcPr>
              <w:p w14:paraId="3115CDDF" w14:textId="77777777" w:rsidR="00D21C1F" w:rsidRDefault="00A42880">
                <w:pPr>
                  <w:rPr>
                    <w:rStyle w:val="50"/>
                    <w:rFonts w:ascii="Times New Roman" w:hAnsi="Times New Roman" w:cs="Times New Roman"/>
                    <w:b w:val="0"/>
                    <w:szCs w:val="21"/>
                  </w:rPr>
                </w:pPr>
                <w:r>
                  <w:rPr>
                    <w:rStyle w:val="aff6"/>
                    <w:rFonts w:ascii="Times New Roman" w:hAnsi="Times New Roman" w:cs="Times New Roman"/>
                  </w:rPr>
                  <w:t>本期末短期借款余额较上年末增加，主要系本期公司业务回升，增加银行借款补充营运资金所致。</w:t>
                </w:r>
              </w:p>
            </w:tc>
          </w:tr>
          <w:sdt>
            <w:sdtPr>
              <w:rPr>
                <w:rFonts w:ascii="Times New Roman" w:hAnsi="Times New Roman" w:cs="Times New Roman"/>
                <w:sz w:val="22"/>
                <w:szCs w:val="21"/>
              </w:rPr>
              <w:alias w:val="资产负债状况分析"/>
              <w:tag w:val="_TUP_2e95cd096ed246caad84867c40e0f97c"/>
              <w:id w:val="-878620668"/>
              <w:lock w:val="sdtLocked"/>
            </w:sdtPr>
            <w:sdtEndPr/>
            <w:sdtContent>
              <w:tr w:rsidR="00D21C1F" w14:paraId="3A697B33" w14:textId="77777777">
                <w:trPr>
                  <w:trHeight w:val="135"/>
                </w:trPr>
                <w:tc>
                  <w:tcPr>
                    <w:tcW w:w="644" w:type="pct"/>
                    <w:vAlign w:val="center"/>
                  </w:tcPr>
                  <w:p w14:paraId="6E2C4A22" w14:textId="77777777" w:rsidR="00D21C1F" w:rsidRDefault="00A42880">
                    <w:pPr>
                      <w:rPr>
                        <w:rFonts w:ascii="Times New Roman" w:hAnsi="Times New Roman" w:cs="Times New Roman"/>
                        <w:szCs w:val="21"/>
                      </w:rPr>
                    </w:pPr>
                    <w:r>
                      <w:rPr>
                        <w:rFonts w:ascii="Times New Roman" w:hAnsi="Times New Roman" w:cs="Times New Roman"/>
                        <w:szCs w:val="21"/>
                      </w:rPr>
                      <w:t>应交税费</w:t>
                    </w:r>
                  </w:p>
                </w:tc>
                <w:tc>
                  <w:tcPr>
                    <w:tcW w:w="419" w:type="pct"/>
                    <w:vAlign w:val="bottom"/>
                  </w:tcPr>
                  <w:p w14:paraId="3424E8A6" w14:textId="77777777" w:rsidR="00D21C1F" w:rsidRDefault="00A42880">
                    <w:pPr>
                      <w:jc w:val="right"/>
                      <w:rPr>
                        <w:rFonts w:ascii="Times New Roman" w:hAnsi="Times New Roman" w:cs="Times New Roman"/>
                        <w:szCs w:val="21"/>
                      </w:rPr>
                    </w:pPr>
                    <w:r>
                      <w:rPr>
                        <w:rFonts w:ascii="Times New Roman" w:hAnsi="Times New Roman" w:cs="Times New Roman"/>
                      </w:rPr>
                      <w:t>1,497.77</w:t>
                    </w:r>
                  </w:p>
                </w:tc>
                <w:tc>
                  <w:tcPr>
                    <w:tcW w:w="469" w:type="pct"/>
                    <w:vAlign w:val="bottom"/>
                  </w:tcPr>
                  <w:p w14:paraId="06FDEA2C" w14:textId="77777777" w:rsidR="00D21C1F" w:rsidRDefault="00A42880">
                    <w:pPr>
                      <w:jc w:val="right"/>
                      <w:rPr>
                        <w:rFonts w:ascii="Times New Roman" w:hAnsi="Times New Roman" w:cs="Times New Roman"/>
                        <w:szCs w:val="21"/>
                      </w:rPr>
                    </w:pPr>
                    <w:r>
                      <w:rPr>
                        <w:rFonts w:ascii="Times New Roman" w:hAnsi="Times New Roman" w:cs="Times New Roman"/>
                      </w:rPr>
                      <w:t>0.45</w:t>
                    </w:r>
                  </w:p>
                </w:tc>
                <w:tc>
                  <w:tcPr>
                    <w:tcW w:w="461" w:type="pct"/>
                    <w:vAlign w:val="bottom"/>
                  </w:tcPr>
                  <w:p w14:paraId="560D407F" w14:textId="77777777" w:rsidR="00D21C1F" w:rsidRDefault="00A42880">
                    <w:pPr>
                      <w:jc w:val="right"/>
                      <w:rPr>
                        <w:rFonts w:ascii="Times New Roman" w:hAnsi="Times New Roman" w:cs="Times New Roman"/>
                        <w:szCs w:val="21"/>
                      </w:rPr>
                    </w:pPr>
                    <w:r>
                      <w:rPr>
                        <w:rFonts w:ascii="Times New Roman" w:hAnsi="Times New Roman" w:cs="Times New Roman"/>
                      </w:rPr>
                      <w:t>2,679.6</w:t>
                    </w:r>
                  </w:p>
                </w:tc>
                <w:tc>
                  <w:tcPr>
                    <w:tcW w:w="459" w:type="pct"/>
                    <w:vAlign w:val="bottom"/>
                  </w:tcPr>
                  <w:p w14:paraId="55702FE9" w14:textId="77777777" w:rsidR="00D21C1F" w:rsidRDefault="00A42880">
                    <w:pPr>
                      <w:jc w:val="right"/>
                      <w:rPr>
                        <w:rFonts w:ascii="Times New Roman" w:hAnsi="Times New Roman" w:cs="Times New Roman"/>
                        <w:szCs w:val="21"/>
                      </w:rPr>
                    </w:pPr>
                    <w:r>
                      <w:rPr>
                        <w:rFonts w:ascii="Times New Roman" w:hAnsi="Times New Roman" w:cs="Times New Roman"/>
                      </w:rPr>
                      <w:t>0.81</w:t>
                    </w:r>
                  </w:p>
                </w:tc>
                <w:tc>
                  <w:tcPr>
                    <w:tcW w:w="563" w:type="pct"/>
                    <w:vAlign w:val="bottom"/>
                  </w:tcPr>
                  <w:p w14:paraId="4BEAED70" w14:textId="77777777" w:rsidR="00D21C1F" w:rsidRDefault="00A42880">
                    <w:pPr>
                      <w:jc w:val="right"/>
                      <w:rPr>
                        <w:rFonts w:ascii="Times New Roman" w:hAnsi="Times New Roman" w:cs="Times New Roman"/>
                        <w:szCs w:val="21"/>
                      </w:rPr>
                    </w:pPr>
                    <w:r>
                      <w:rPr>
                        <w:rFonts w:ascii="Times New Roman" w:hAnsi="Times New Roman" w:cs="Times New Roman"/>
                      </w:rPr>
                      <w:t>-44.10</w:t>
                    </w:r>
                  </w:p>
                </w:tc>
                <w:tc>
                  <w:tcPr>
                    <w:tcW w:w="1985" w:type="pct"/>
                    <w:vAlign w:val="center"/>
                  </w:tcPr>
                  <w:p w14:paraId="0EA3BBD4" w14:textId="77777777" w:rsidR="00D21C1F" w:rsidRDefault="00A42880">
                    <w:pPr>
                      <w:rPr>
                        <w:rFonts w:ascii="Times New Roman" w:hAnsi="Times New Roman" w:cs="Times New Roman"/>
                        <w:szCs w:val="21"/>
                      </w:rPr>
                    </w:pPr>
                    <w:r>
                      <w:rPr>
                        <w:rFonts w:ascii="Times New Roman" w:hAnsi="Times New Roman" w:cs="Times New Roman"/>
                      </w:rPr>
                      <w:t>本期末应交税费余额较上年末减少，主要系本期使用前期待抵扣进项税期末应计增值税余额减少所致。</w:t>
                    </w:r>
                  </w:p>
                </w:tc>
              </w:tr>
            </w:sdtContent>
          </w:sdt>
          <w:tr w:rsidR="00D21C1F" w14:paraId="67D26711" w14:textId="77777777">
            <w:trPr>
              <w:trHeight w:val="135"/>
            </w:trPr>
            <w:sdt>
              <w:sdtPr>
                <w:rPr>
                  <w:rStyle w:val="50"/>
                  <w:rFonts w:ascii="Times New Roman" w:hAnsi="Times New Roman" w:cs="Times New Roman"/>
                  <w:b w:val="0"/>
                  <w:szCs w:val="21"/>
                </w:rPr>
                <w:tag w:val="_PLD_f5ea3f1c02a94ed7a25db91990328227"/>
                <w:id w:val="177481122"/>
                <w:lock w:val="sdtLocked"/>
              </w:sdtPr>
              <w:sdtEndPr>
                <w:rPr>
                  <w:rStyle w:val="50"/>
                </w:rPr>
              </w:sdtEndPr>
              <w:sdtContent>
                <w:tc>
                  <w:tcPr>
                    <w:tcW w:w="644" w:type="pct"/>
                    <w:vAlign w:val="center"/>
                  </w:tcPr>
                  <w:p w14:paraId="7BA81C6E" w14:textId="77777777" w:rsidR="00D21C1F" w:rsidRDefault="00A42880">
                    <w:pPr>
                      <w:rPr>
                        <w:rStyle w:val="50"/>
                        <w:rFonts w:ascii="Times New Roman" w:hAnsi="Times New Roman" w:cs="Times New Roman"/>
                        <w:b w:val="0"/>
                        <w:szCs w:val="21"/>
                      </w:rPr>
                    </w:pPr>
                    <w:r>
                      <w:rPr>
                        <w:rStyle w:val="50"/>
                        <w:rFonts w:ascii="Times New Roman" w:hAnsi="Times New Roman" w:cs="Times New Roman"/>
                        <w:b w:val="0"/>
                        <w:szCs w:val="21"/>
                      </w:rPr>
                      <w:t>租赁负债</w:t>
                    </w:r>
                  </w:p>
                </w:tc>
              </w:sdtContent>
            </w:sdt>
            <w:tc>
              <w:tcPr>
                <w:tcW w:w="419" w:type="pct"/>
                <w:vAlign w:val="bottom"/>
              </w:tcPr>
              <w:p w14:paraId="7B579E0B"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4,229.4</w:t>
                </w:r>
              </w:p>
            </w:tc>
            <w:tc>
              <w:tcPr>
                <w:tcW w:w="469" w:type="pct"/>
                <w:vAlign w:val="bottom"/>
              </w:tcPr>
              <w:p w14:paraId="6B571663" w14:textId="77777777" w:rsidR="00D21C1F" w:rsidRDefault="00A42880">
                <w:pPr>
                  <w:jc w:val="right"/>
                  <w:rPr>
                    <w:rStyle w:val="50"/>
                    <w:rFonts w:ascii="Times New Roman" w:hAnsi="Times New Roman" w:cs="Times New Roman"/>
                    <w:b w:val="0"/>
                    <w:szCs w:val="21"/>
                  </w:rPr>
                </w:pPr>
                <w:r>
                  <w:rPr>
                    <w:rStyle w:val="aff6"/>
                    <w:rFonts w:ascii="Times New Roman" w:hAnsi="Times New Roman" w:cs="Times New Roman"/>
                  </w:rPr>
                  <w:t>1.27</w:t>
                </w:r>
              </w:p>
            </w:tc>
            <w:tc>
              <w:tcPr>
                <w:tcW w:w="461" w:type="pct"/>
                <w:vAlign w:val="bottom"/>
              </w:tcPr>
              <w:p w14:paraId="0702C0B1" w14:textId="77777777" w:rsidR="00D21C1F" w:rsidRDefault="00A42880">
                <w:pPr>
                  <w:jc w:val="right"/>
                  <w:rPr>
                    <w:rStyle w:val="50"/>
                    <w:rFonts w:ascii="Times New Roman" w:hAnsi="Times New Roman" w:cs="Times New Roman"/>
                    <w:b w:val="0"/>
                    <w:szCs w:val="21"/>
                  </w:rPr>
                </w:pPr>
                <w:r>
                  <w:rPr>
                    <w:rStyle w:val="50"/>
                    <w:rFonts w:ascii="Times New Roman" w:hAnsi="Times New Roman" w:cs="Times New Roman"/>
                    <w:szCs w:val="21"/>
                  </w:rPr>
                  <w:t>-</w:t>
                </w:r>
              </w:p>
            </w:tc>
            <w:tc>
              <w:tcPr>
                <w:tcW w:w="459" w:type="pct"/>
                <w:vAlign w:val="bottom"/>
              </w:tcPr>
              <w:p w14:paraId="0FA6E8FF" w14:textId="77777777" w:rsidR="00D21C1F" w:rsidRDefault="00A42880">
                <w:pPr>
                  <w:jc w:val="right"/>
                  <w:rPr>
                    <w:rStyle w:val="50"/>
                    <w:rFonts w:ascii="Times New Roman" w:hAnsi="Times New Roman" w:cs="Times New Roman"/>
                    <w:b w:val="0"/>
                    <w:szCs w:val="21"/>
                  </w:rPr>
                </w:pPr>
                <w:r>
                  <w:rPr>
                    <w:rStyle w:val="50"/>
                    <w:rFonts w:ascii="Times New Roman" w:hAnsi="Times New Roman" w:cs="Times New Roman"/>
                    <w:szCs w:val="21"/>
                  </w:rPr>
                  <w:t>-</w:t>
                </w:r>
              </w:p>
            </w:tc>
            <w:tc>
              <w:tcPr>
                <w:tcW w:w="563" w:type="pct"/>
                <w:vAlign w:val="bottom"/>
              </w:tcPr>
              <w:p w14:paraId="114535F0" w14:textId="77777777" w:rsidR="00D21C1F" w:rsidRDefault="00A42880">
                <w:pPr>
                  <w:jc w:val="right"/>
                  <w:rPr>
                    <w:rStyle w:val="50"/>
                    <w:rFonts w:ascii="Times New Roman" w:hAnsi="Times New Roman" w:cs="Times New Roman"/>
                    <w:b w:val="0"/>
                    <w:szCs w:val="21"/>
                  </w:rPr>
                </w:pPr>
                <w:r>
                  <w:rPr>
                    <w:rFonts w:ascii="Times New Roman" w:hAnsi="Times New Roman" w:cs="Times New Roman"/>
                  </w:rPr>
                  <w:t>100.00</w:t>
                </w:r>
              </w:p>
            </w:tc>
            <w:tc>
              <w:tcPr>
                <w:tcW w:w="1985" w:type="pct"/>
                <w:vAlign w:val="center"/>
              </w:tcPr>
              <w:p w14:paraId="2732ED9D" w14:textId="77777777" w:rsidR="00D21C1F" w:rsidRDefault="00A42880">
                <w:pPr>
                  <w:rPr>
                    <w:rStyle w:val="50"/>
                    <w:rFonts w:ascii="Times New Roman" w:hAnsi="Times New Roman" w:cs="Times New Roman"/>
                    <w:b w:val="0"/>
                    <w:szCs w:val="21"/>
                  </w:rPr>
                </w:pPr>
                <w:r>
                  <w:rPr>
                    <w:rStyle w:val="aff6"/>
                    <w:rFonts w:ascii="Times New Roman" w:hAnsi="Times New Roman" w:cs="Times New Roman"/>
                  </w:rPr>
                  <w:t>主要系本期新租赁准则生效，本公司适用新租赁准则编制财务报表所致。</w:t>
                </w:r>
              </w:p>
            </w:tc>
          </w:tr>
        </w:tbl>
        <w:p w14:paraId="0DC8D883" w14:textId="77777777" w:rsidR="00D21C1F" w:rsidRDefault="00A42880">
          <w:pPr>
            <w:rPr>
              <w:rFonts w:ascii="Times New Roman" w:hAnsi="Times New Roman" w:cs="Times New Roman"/>
              <w:szCs w:val="21"/>
            </w:rPr>
          </w:pPr>
          <w:r>
            <w:rPr>
              <w:rFonts w:ascii="Times New Roman" w:hAnsi="Times New Roman" w:cs="Times New Roman"/>
              <w:szCs w:val="21"/>
            </w:rPr>
            <w:t>其他说明</w:t>
          </w:r>
        </w:p>
        <w:sdt>
          <w:sdtPr>
            <w:rPr>
              <w:rFonts w:hint="eastAsia"/>
              <w:szCs w:val="21"/>
            </w:rPr>
            <w:alias w:val="资产及负债状况的其他说明"/>
            <w:tag w:val="_GBC_2ffa3aa9267e4b978e057c452d702d00"/>
            <w:id w:val="-654220990"/>
            <w:lock w:val="sdtLocked"/>
            <w:placeholder>
              <w:docPart w:val="A67D7A506E7F488D81CA0107F5314620"/>
            </w:placeholder>
          </w:sdtPr>
          <w:sdtEndPr/>
          <w:sdtContent>
            <w:p w14:paraId="6D26CB31" w14:textId="77777777" w:rsidR="00D21C1F" w:rsidRDefault="00A42880">
              <w:pPr>
                <w:rPr>
                  <w:szCs w:val="21"/>
                </w:rPr>
              </w:pPr>
              <w:r>
                <w:rPr>
                  <w:rFonts w:hint="eastAsia"/>
                  <w:szCs w:val="21"/>
                </w:rPr>
                <w:t>无</w:t>
              </w:r>
            </w:p>
          </w:sdtContent>
        </w:sdt>
        <w:p w14:paraId="044DFA16" w14:textId="77777777" w:rsidR="00D21C1F" w:rsidRDefault="00045EC6">
          <w:pPr>
            <w:pStyle w:val="4"/>
            <w:rPr>
              <w:szCs w:val="21"/>
            </w:rPr>
            <w:sectPr w:rsidR="00D21C1F">
              <w:pgSz w:w="16838" w:h="11906" w:orient="landscape"/>
              <w:pgMar w:top="1797" w:right="1525" w:bottom="1276" w:left="1440" w:header="851" w:footer="992" w:gutter="0"/>
              <w:cols w:space="425"/>
              <w:docGrid w:linePitch="312"/>
            </w:sectPr>
          </w:pPr>
        </w:p>
      </w:sdtContent>
    </w:sdt>
    <w:p w14:paraId="3E7FC508" w14:textId="77777777" w:rsidR="00D21C1F" w:rsidRDefault="00A42880">
      <w:pPr>
        <w:pStyle w:val="4"/>
        <w:numPr>
          <w:ilvl w:val="0"/>
          <w:numId w:val="17"/>
        </w:numPr>
        <w:ind w:left="0" w:firstLine="0"/>
        <w:rPr>
          <w:rFonts w:ascii="宋体" w:hAnsi="宋体"/>
          <w:szCs w:val="21"/>
        </w:rPr>
      </w:pPr>
      <w:bookmarkStart w:id="68" w:name="_Hlk74816478"/>
      <w:bookmarkEnd w:id="67"/>
      <w:r>
        <w:rPr>
          <w:rFonts w:ascii="宋体" w:hAnsi="宋体" w:hint="eastAsia"/>
          <w:szCs w:val="21"/>
        </w:rPr>
        <w:lastRenderedPageBreak/>
        <w:t>境外资产</w:t>
      </w:r>
      <w:r>
        <w:rPr>
          <w:rFonts w:ascii="宋体" w:hAnsi="宋体"/>
          <w:szCs w:val="21"/>
        </w:rPr>
        <w:t>情</w:t>
      </w:r>
      <w:r>
        <w:rPr>
          <w:rFonts w:ascii="宋体" w:hAnsi="宋体" w:hint="eastAsia"/>
          <w:szCs w:val="21"/>
        </w:rPr>
        <w:t>况</w:t>
      </w:r>
    </w:p>
    <w:sdt>
      <w:sdtPr>
        <w:rPr>
          <w:szCs w:val="21"/>
        </w:rPr>
        <w:alias w:val="是否适用：境外资产情况 [双击切换]"/>
        <w:tag w:val="_GBC_ba22f570fe984e60bf7a92d86203cd76"/>
        <w:id w:val="-81757224"/>
        <w:lock w:val="sdtLocked"/>
        <w:placeholder>
          <w:docPart w:val="GBC22222222222222222222222222222"/>
        </w:placeholder>
      </w:sdtPr>
      <w:sdtEndPr/>
      <w:sdtContent>
        <w:p w14:paraId="46B68FBC"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68" w:displacedByCustomXml="next"/>
    <w:bookmarkStart w:id="69" w:name="_Hlk74646369" w:displacedByCustomXml="next"/>
    <w:bookmarkStart w:id="70" w:name="_Hlk74816482" w:displacedByCustomXml="next"/>
    <w:sdt>
      <w:sdtPr>
        <w:rPr>
          <w:rFonts w:ascii="宋体" w:hAnsi="宋体" w:cs="宋体"/>
          <w:b w:val="0"/>
          <w:bCs w:val="0"/>
          <w:kern w:val="0"/>
          <w:szCs w:val="21"/>
        </w:rPr>
        <w:alias w:val="模块:资产规模"/>
        <w:tag w:val="_SEC_44650ff9f4bc4c658aea1a4b581e0b09"/>
        <w:id w:val="1531845034"/>
        <w:lock w:val="sdtLocked"/>
        <w:placeholder>
          <w:docPart w:val="GBC22222222222222222222222222222"/>
        </w:placeholder>
      </w:sdtPr>
      <w:sdtEndPr/>
      <w:sdtContent>
        <w:p w14:paraId="64B4F23E" w14:textId="77777777" w:rsidR="00D21C1F" w:rsidRDefault="00A42880">
          <w:pPr>
            <w:pStyle w:val="5"/>
            <w:numPr>
              <w:ilvl w:val="0"/>
              <w:numId w:val="18"/>
            </w:numPr>
            <w:ind w:left="450" w:hanging="450"/>
            <w:rPr>
              <w:rFonts w:ascii="宋体" w:hAnsi="宋体"/>
              <w:szCs w:val="21"/>
            </w:rPr>
          </w:pPr>
          <w:r>
            <w:rPr>
              <w:rFonts w:ascii="宋体" w:hAnsi="宋体" w:hint="eastAsia"/>
              <w:szCs w:val="21"/>
            </w:rPr>
            <w:t>资产规模</w:t>
          </w:r>
        </w:p>
        <w:p w14:paraId="0CBE114A" w14:textId="77777777" w:rsidR="00D21C1F" w:rsidRDefault="00A42880">
          <w:pPr>
            <w:rPr>
              <w:szCs w:val="21"/>
            </w:rPr>
          </w:pPr>
          <w:r>
            <w:rPr>
              <w:rFonts w:hint="eastAsia"/>
              <w:szCs w:val="21"/>
            </w:rPr>
            <w:t>其中：境外资产</w:t>
          </w:r>
          <w:sdt>
            <w:sdtPr>
              <w:rPr>
                <w:rFonts w:hint="eastAsia"/>
                <w:szCs w:val="21"/>
              </w:rPr>
              <w:alias w:val="报告期内公司境外资产变化"/>
              <w:tag w:val="_GBC_74e10d52c08f4305a0ce8175b8621119"/>
              <w:id w:val="1697736732"/>
              <w:lock w:val="sdtLocked"/>
              <w:placeholder>
                <w:docPart w:val="GBC22222222222222222222222222222"/>
              </w:placeholder>
            </w:sdtPr>
            <w:sdtEndPr>
              <w:rPr>
                <w:rFonts w:ascii="Times New Roman" w:hAnsi="Times New Roman" w:cs="Times New Roman" w:hint="default"/>
                <w:szCs w:val="24"/>
              </w:rPr>
            </w:sdtEndPr>
            <w:sdtContent>
              <w:r>
                <w:rPr>
                  <w:rFonts w:ascii="Times New Roman" w:hAnsi="Times New Roman" w:cs="Times New Roman"/>
                  <w:szCs w:val="21"/>
                </w:rPr>
                <w:t>139,652.18</w:t>
              </w:r>
            </w:sdtContent>
          </w:sdt>
          <w:r>
            <w:rPr>
              <w:rFonts w:ascii="Times New Roman" w:hAnsi="Times New Roman" w:cs="Times New Roman"/>
              <w:szCs w:val="21"/>
            </w:rPr>
            <w:t>（单位：</w:t>
          </w:r>
          <w:sdt>
            <w:sdtPr>
              <w:rPr>
                <w:rFonts w:ascii="Times New Roman" w:hAnsi="Times New Roman" w:cs="Times New Roman"/>
                <w:szCs w:val="21"/>
              </w:rPr>
              <w:alias w:val="单位：报告期内公司境外资产变化"/>
              <w:tag w:val="_GBC_718198279cdf4db9acccf33283f5b97e"/>
              <w:id w:val="12797584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Times New Roman" w:hAnsi="Times New Roman" w:cs="Times New Roman"/>
                  <w:szCs w:val="21"/>
                </w:rPr>
                <w:t>万元</w:t>
              </w:r>
            </w:sdtContent>
          </w:sdt>
          <w:r>
            <w:rPr>
              <w:rFonts w:ascii="Times New Roman" w:hAnsi="Times New Roman" w:cs="Times New Roman"/>
              <w:szCs w:val="21"/>
            </w:rPr>
            <w:t xml:space="preserve">  </w:t>
          </w:r>
          <w:r>
            <w:rPr>
              <w:rFonts w:ascii="Times New Roman" w:hAnsi="Times New Roman" w:cs="Times New Roman"/>
              <w:szCs w:val="21"/>
            </w:rPr>
            <w:t>币种：</w:t>
          </w:r>
          <w:sdt>
            <w:sdtPr>
              <w:rPr>
                <w:rFonts w:ascii="Times New Roman" w:hAnsi="Times New Roman" w:cs="Times New Roman"/>
                <w:szCs w:val="21"/>
              </w:rPr>
              <w:alias w:val="币种：报告期内公司境外资产变化"/>
              <w:tag w:val="_GBC_b70e7f12b1664c528ef6f9778ac7b180"/>
              <w:id w:val="10293005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imes New Roman" w:hAnsi="Times New Roman" w:cs="Times New Roman"/>
                  <w:szCs w:val="21"/>
                </w:rPr>
                <w:t>人民币</w:t>
              </w:r>
            </w:sdtContent>
          </w:sdt>
          <w:r>
            <w:rPr>
              <w:rFonts w:ascii="Times New Roman" w:hAnsi="Times New Roman" w:cs="Times New Roman"/>
              <w:szCs w:val="21"/>
            </w:rPr>
            <w:t>），占总资产的比例为</w:t>
          </w:r>
          <w:sdt>
            <w:sdtPr>
              <w:rPr>
                <w:rFonts w:ascii="Times New Roman" w:hAnsi="Times New Roman" w:cs="Times New Roman"/>
                <w:szCs w:val="21"/>
              </w:rPr>
              <w:alias w:val="报告期内公司境外资产变化占总资产的比例"/>
              <w:tag w:val="_GBC_5f07c8c7f5ab4f7791ffa702bc423543"/>
              <w:id w:val="181633374"/>
              <w:lock w:val="sdtLocked"/>
              <w:placeholder>
                <w:docPart w:val="GBC22222222222222222222222222222"/>
              </w:placeholder>
            </w:sdtPr>
            <w:sdtEndPr>
              <w:rPr>
                <w:szCs w:val="24"/>
              </w:rPr>
            </w:sdtEndPr>
            <w:sdtContent>
              <w:r>
                <w:rPr>
                  <w:rFonts w:ascii="Times New Roman" w:hAnsi="Times New Roman" w:cs="Times New Roman"/>
                  <w:szCs w:val="21"/>
                </w:rPr>
                <w:t>41.9</w:t>
              </w:r>
            </w:sdtContent>
          </w:sdt>
          <w:r>
            <w:rPr>
              <w:rFonts w:ascii="Times New Roman" w:hAnsi="Times New Roman" w:cs="Times New Roman"/>
              <w:szCs w:val="21"/>
            </w:rPr>
            <w:t>%</w:t>
          </w:r>
          <w:r>
            <w:rPr>
              <w:rFonts w:hint="eastAsia"/>
              <w:szCs w:val="21"/>
            </w:rPr>
            <w:t>。</w:t>
          </w:r>
        </w:p>
        <w:p w14:paraId="72A9F269" w14:textId="77777777" w:rsidR="00D21C1F" w:rsidRDefault="00045EC6">
          <w:pPr>
            <w:rPr>
              <w:szCs w:val="21"/>
            </w:rPr>
          </w:pPr>
        </w:p>
      </w:sdtContent>
    </w:sdt>
    <w:bookmarkEnd w:id="69" w:displacedByCustomXml="next"/>
    <w:bookmarkEnd w:id="70" w:displacedByCustomXml="next"/>
    <w:bookmarkStart w:id="71" w:name="_Hlk74816527" w:displacedByCustomXml="next"/>
    <w:sdt>
      <w:sdtPr>
        <w:rPr>
          <w:rFonts w:ascii="宋体" w:hAnsi="宋体" w:cs="宋体" w:hint="eastAsia"/>
          <w:b w:val="0"/>
          <w:bCs w:val="0"/>
          <w:kern w:val="0"/>
          <w:szCs w:val="21"/>
        </w:rPr>
        <w:alias w:val="模块:境外资产相关说明"/>
        <w:tag w:val="_SEC_01276a57ef0445ffb19c3e736db575f0"/>
        <w:id w:val="1006479268"/>
        <w:lock w:val="sdtLocked"/>
        <w:placeholder>
          <w:docPart w:val="GBC22222222222222222222222222222"/>
        </w:placeholder>
      </w:sdtPr>
      <w:sdtEndPr>
        <w:rPr>
          <w:color w:val="000000" w:themeColor="text1"/>
        </w:rPr>
      </w:sdtEndPr>
      <w:sdtContent>
        <w:p w14:paraId="7CC59EA0" w14:textId="77777777" w:rsidR="00D21C1F" w:rsidRDefault="00A42880">
          <w:pPr>
            <w:pStyle w:val="5"/>
            <w:numPr>
              <w:ilvl w:val="0"/>
              <w:numId w:val="18"/>
            </w:numPr>
            <w:ind w:left="450" w:hanging="450"/>
            <w:rPr>
              <w:rFonts w:ascii="宋体" w:hAnsi="宋体"/>
              <w:szCs w:val="21"/>
            </w:rPr>
          </w:pPr>
          <w:r>
            <w:rPr>
              <w:rFonts w:ascii="宋体" w:hAnsi="宋体" w:hint="eastAsia"/>
              <w:szCs w:val="21"/>
            </w:rPr>
            <w:t>境外资产相关说明</w:t>
          </w:r>
        </w:p>
        <w:sdt>
          <w:sdtPr>
            <w:rPr>
              <w:color w:val="000000" w:themeColor="text1"/>
              <w:szCs w:val="21"/>
            </w:rPr>
            <w:alias w:val="是否适用：境外资产相关说明 [双击切换]"/>
            <w:tag w:val="_GBC_c6a0e5304c5c465eb0d24b8187880e84"/>
            <w:id w:val="-707874139"/>
            <w:lock w:val="sdtLocked"/>
            <w:placeholder>
              <w:docPart w:val="GBC22222222222222222222222222222"/>
            </w:placeholder>
          </w:sdtPr>
          <w:sdtEndPr/>
          <w:sdtContent>
            <w:p w14:paraId="44636353" w14:textId="77777777" w:rsidR="00D21C1F" w:rsidRDefault="00A42880">
              <w:pPr>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rPr>
            <w:alias w:val="境外资产相关说明 "/>
            <w:tag w:val="_GBC_5d832528aa69475193d89e04f290ccce"/>
            <w:id w:val="-824586111"/>
            <w:lock w:val="sdtLocked"/>
            <w:placeholder>
              <w:docPart w:val="59BE1E313AF54CC3984BDB2DAE7B9623"/>
            </w:placeholder>
          </w:sdtPr>
          <w:sdtEndPr/>
          <w:sdtContent>
            <w:p w14:paraId="33E64317" w14:textId="3487F912" w:rsidR="00D21C1F" w:rsidRDefault="00A42880">
              <w:r>
                <w:rPr>
                  <w:rFonts w:hint="eastAsia"/>
                  <w:color w:val="000000" w:themeColor="text1"/>
                </w:rPr>
                <w:t>公司境外资产主要为公司</w:t>
              </w:r>
              <w:r w:rsidR="00D07E51">
                <w:rPr>
                  <w:rFonts w:hint="eastAsia"/>
                  <w:color w:val="000000" w:themeColor="text1"/>
                </w:rPr>
                <w:t>境外</w:t>
              </w:r>
              <w:r>
                <w:rPr>
                  <w:rFonts w:ascii="Times New Roman" w:hAnsi="Times New Roman" w:cs="Times New Roman"/>
                  <w:color w:val="000000" w:themeColor="text1"/>
                </w:rPr>
                <w:t>子公司</w:t>
              </w:r>
              <w:r>
                <w:rPr>
                  <w:rFonts w:ascii="Times New Roman" w:hAnsi="Times New Roman" w:cs="Times New Roman"/>
                  <w:color w:val="000000" w:themeColor="text1"/>
                </w:rPr>
                <w:t>WFC</w:t>
              </w:r>
              <w:r>
                <w:rPr>
                  <w:rFonts w:ascii="Times New Roman" w:hAnsi="Times New Roman" w:cs="Times New Roman"/>
                  <w:color w:val="000000" w:themeColor="text1"/>
                </w:rPr>
                <w:t>、</w:t>
              </w:r>
              <w:r>
                <w:rPr>
                  <w:rFonts w:ascii="Times New Roman" w:hAnsi="Times New Roman" w:cs="Times New Roman"/>
                  <w:color w:val="000000" w:themeColor="text1"/>
                </w:rPr>
                <w:t>CMA</w:t>
              </w:r>
              <w:r>
                <w:rPr>
                  <w:rFonts w:ascii="Times New Roman" w:hAnsi="Times New Roman" w:cs="Times New Roman"/>
                  <w:color w:val="000000" w:themeColor="text1"/>
                </w:rPr>
                <w:t>及</w:t>
              </w:r>
              <w:r w:rsidR="00F207D3">
                <w:rPr>
                  <w:rFonts w:ascii="Times New Roman" w:hAnsi="Times New Roman" w:cs="Times New Roman"/>
                  <w:color w:val="000000" w:themeColor="text1"/>
                </w:rPr>
                <w:t>EVOLUT</w:t>
              </w:r>
              <w:r>
                <w:rPr>
                  <w:rFonts w:ascii="Times New Roman" w:hAnsi="Times New Roman" w:cs="Times New Roman"/>
                  <w:color w:val="000000" w:themeColor="text1"/>
                </w:rPr>
                <w:t>等所</w:t>
              </w:r>
              <w:r>
                <w:rPr>
                  <w:rFonts w:hint="eastAsia"/>
                  <w:color w:val="000000" w:themeColor="text1"/>
                </w:rPr>
                <w:t>拥有的经营性资产。</w:t>
              </w:r>
            </w:p>
          </w:sdtContent>
        </w:sdt>
        <w:p w14:paraId="23A89E54" w14:textId="77777777" w:rsidR="00D21C1F" w:rsidRDefault="00045EC6">
          <w:pPr>
            <w:rPr>
              <w:color w:val="000000" w:themeColor="text1"/>
              <w:szCs w:val="21"/>
            </w:rPr>
          </w:pPr>
        </w:p>
      </w:sdtContent>
    </w:sdt>
    <w:bookmarkEnd w:id="71" w:displacedByCustomXml="next"/>
    <w:sdt>
      <w:sdtPr>
        <w:rPr>
          <w:rFonts w:ascii="宋体" w:hAnsi="宋体" w:cs="宋体"/>
          <w:b w:val="0"/>
          <w:bCs w:val="0"/>
          <w:kern w:val="0"/>
          <w:szCs w:val="21"/>
        </w:rPr>
        <w:alias w:val="模块:截至报告期末主要资产受限情"/>
        <w:tag w:val="_SEC_390cddc4349f46b4bcccd468c3e69d14"/>
        <w:id w:val="-1068954439"/>
        <w:lock w:val="sdtLocked"/>
        <w:placeholder>
          <w:docPart w:val="GBC22222222222222222222222222222"/>
        </w:placeholder>
      </w:sdtPr>
      <w:sdtEndPr>
        <w:rPr>
          <w:rFonts w:hint="eastAsia"/>
        </w:rPr>
      </w:sdtEndPr>
      <w:sdtContent>
        <w:p w14:paraId="16CEAF3F" w14:textId="77777777" w:rsidR="00D21C1F" w:rsidRDefault="00A42880">
          <w:pPr>
            <w:pStyle w:val="4"/>
            <w:numPr>
              <w:ilvl w:val="0"/>
              <w:numId w:val="17"/>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szCs w:val="21"/>
            </w:rPr>
            <w:alias w:val="是否适用：主要资产受限情况[双击切换]"/>
            <w:tag w:val="_GBC_e9f1a2b3f13345eaac848c40837fffbb"/>
            <w:id w:val="-1337910983"/>
            <w:lock w:val="sdtLocked"/>
            <w:placeholder>
              <w:docPart w:val="GBC22222222222222222222222222222"/>
            </w:placeholder>
          </w:sdtPr>
          <w:sdtEndPr/>
          <w:sdtContent>
            <w:p w14:paraId="1225B63E"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a45de9537ca94b758cc1d9c201a60b53"/>
            <w:id w:val="-602424533"/>
            <w:lock w:val="sdtLocked"/>
            <w:placeholder>
              <w:docPart w:val="GBC22222222222222222222222222222"/>
            </w:placeholder>
          </w:sdtPr>
          <w:sdtEndPr/>
          <w:sdtContent>
            <w:p w14:paraId="4BCD1E66" w14:textId="67577244" w:rsidR="00D21C1F" w:rsidRDefault="00A42880">
              <w:pPr>
                <w:rPr>
                  <w:szCs w:val="21"/>
                </w:rPr>
              </w:pPr>
              <w:r>
                <w:rPr>
                  <w:rFonts w:hint="eastAsia"/>
                  <w:szCs w:val="21"/>
                </w:rPr>
                <w:t>本报告期末资产受限情况请参见第十节财务报告：附注</w:t>
              </w:r>
              <w:r w:rsidR="00B5526E">
                <w:rPr>
                  <w:rFonts w:hint="eastAsia"/>
                  <w:szCs w:val="21"/>
                </w:rPr>
                <w:t>七</w:t>
              </w:r>
              <w:r>
                <w:rPr>
                  <w:rFonts w:ascii="Times New Roman" w:hAnsi="Times New Roman" w:hint="eastAsia"/>
                  <w:szCs w:val="21"/>
                </w:rPr>
                <w:t>8</w:t>
              </w:r>
              <w:r>
                <w:rPr>
                  <w:rFonts w:ascii="Times New Roman" w:hAnsi="Times New Roman"/>
                  <w:szCs w:val="21"/>
                </w:rPr>
                <w:t>1</w:t>
              </w:r>
              <w:r>
                <w:rPr>
                  <w:rFonts w:hint="eastAsia"/>
                  <w:szCs w:val="21"/>
                </w:rPr>
                <w:t>、所有权或使用权受到限制的资产。</w:t>
              </w:r>
            </w:p>
          </w:sdtContent>
        </w:sdt>
      </w:sdtContent>
    </w:sdt>
    <w:p w14:paraId="1713F989" w14:textId="77777777" w:rsidR="00D21C1F" w:rsidRDefault="00D21C1F">
      <w:pPr>
        <w:rPr>
          <w:szCs w:val="21"/>
        </w:rPr>
      </w:pPr>
    </w:p>
    <w:sdt>
      <w:sdtPr>
        <w:rPr>
          <w:rFonts w:ascii="宋体" w:hAnsi="宋体" w:cs="宋体"/>
          <w:b w:val="0"/>
          <w:bCs w:val="0"/>
          <w:kern w:val="0"/>
          <w:szCs w:val="21"/>
        </w:rPr>
        <w:alias w:val="模块:其他说明"/>
        <w:tag w:val="_SEC_a3069c29080242b4a4de48db80a4164e"/>
        <w:id w:val="1699121246"/>
        <w:lock w:val="sdtLocked"/>
        <w:placeholder>
          <w:docPart w:val="GBC22222222222222222222222222222"/>
        </w:placeholder>
      </w:sdtPr>
      <w:sdtEndPr>
        <w:rPr>
          <w:rFonts w:hint="eastAsia"/>
        </w:rPr>
      </w:sdtEndPr>
      <w:sdtContent>
        <w:p w14:paraId="7458C55F" w14:textId="77777777" w:rsidR="00D21C1F" w:rsidRDefault="00A42880">
          <w:pPr>
            <w:pStyle w:val="4"/>
            <w:numPr>
              <w:ilvl w:val="0"/>
              <w:numId w:val="17"/>
            </w:numPr>
            <w:rPr>
              <w:rFonts w:ascii="宋体" w:hAnsi="宋体"/>
              <w:szCs w:val="21"/>
            </w:rPr>
          </w:pPr>
          <w:r>
            <w:rPr>
              <w:rFonts w:ascii="宋体" w:hAnsi="宋体"/>
              <w:szCs w:val="21"/>
            </w:rPr>
            <w:t>其他说明</w:t>
          </w:r>
        </w:p>
        <w:sdt>
          <w:sdtPr>
            <w:rPr>
              <w:rFonts w:hint="eastAsia"/>
              <w:szCs w:val="21"/>
            </w:rPr>
            <w:alias w:val="是否适用：资产及负债状况的其他说明[双击切换]"/>
            <w:tag w:val="_GBC_ba674147d80648fba521aedf33ce0b27"/>
            <w:id w:val="1856381091"/>
            <w:lock w:val="sdtLocked"/>
            <w:placeholder>
              <w:docPart w:val="GBC22222222222222222222222222222"/>
            </w:placeholder>
          </w:sdtPr>
          <w:sdtEndPr/>
          <w:sdtContent>
            <w:p w14:paraId="0C98CE18"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D271681" w14:textId="77777777" w:rsidR="00D21C1F" w:rsidRDefault="00D21C1F">
      <w:pPr>
        <w:pStyle w:val="97"/>
      </w:pPr>
    </w:p>
    <w:p w14:paraId="3F973E03" w14:textId="77777777" w:rsidR="00D21C1F" w:rsidRDefault="00A42880">
      <w:pPr>
        <w:pStyle w:val="3"/>
        <w:numPr>
          <w:ilvl w:val="0"/>
          <w:numId w:val="15"/>
        </w:numPr>
        <w:rPr>
          <w:rFonts w:ascii="宋体" w:hAnsi="宋体"/>
        </w:rPr>
      </w:pPr>
      <w:r>
        <w:rPr>
          <w:rFonts w:ascii="宋体" w:hAnsi="宋体" w:hint="eastAsia"/>
        </w:rPr>
        <w:t>投资状况分析</w:t>
      </w:r>
    </w:p>
    <w:sdt>
      <w:sdtPr>
        <w:rPr>
          <w:rFonts w:ascii="宋体" w:eastAsiaTheme="minorEastAsia" w:hAnsi="宋体" w:cs="宋体"/>
          <w:b w:val="0"/>
          <w:bCs w:val="0"/>
          <w:kern w:val="0"/>
          <w:szCs w:val="24"/>
        </w:rPr>
        <w:alias w:val="模块:对外股权投资总体分析"/>
        <w:tag w:val="_SEC_e7a08c655c9844a8b5127e2ae800064c"/>
        <w:id w:val="-322350875"/>
        <w:lock w:val="sdtLocked"/>
        <w:placeholder>
          <w:docPart w:val="GBC22222222222222222222222222222"/>
        </w:placeholder>
      </w:sdtPr>
      <w:sdtEndPr>
        <w:rPr>
          <w:rFonts w:hint="eastAsia"/>
        </w:rPr>
      </w:sdtEndPr>
      <w:sdtContent>
        <w:p w14:paraId="2832C931" w14:textId="77777777" w:rsidR="00D21C1F" w:rsidRDefault="00A42880">
          <w:pPr>
            <w:pStyle w:val="4"/>
            <w:numPr>
              <w:ilvl w:val="0"/>
              <w:numId w:val="19"/>
            </w:numPr>
            <w:ind w:left="450" w:hanging="450"/>
            <w:rPr>
              <w:rFonts w:ascii="宋体" w:hAnsi="宋体"/>
            </w:rPr>
          </w:pPr>
          <w:r>
            <w:rPr>
              <w:rFonts w:ascii="宋体" w:hAnsi="宋体"/>
            </w:rPr>
            <w:t>对外股权投资总体分析</w:t>
          </w:r>
        </w:p>
        <w:p w14:paraId="3F5D16F2" w14:textId="77777777" w:rsidR="00D21C1F" w:rsidRDefault="00045EC6">
          <w:pPr>
            <w:pStyle w:val="97"/>
          </w:pPr>
          <w:sdt>
            <w:sdtPr>
              <w:alias w:val="是否适用：对外股权投资总体分析[双击切换]"/>
              <w:tag w:val="_GBC_d1852fb41d2a420f9f1d78c35235341a"/>
              <w:id w:val="-700552365"/>
              <w:lock w:val="sdtLocked"/>
              <w:placeholder>
                <w:docPart w:val="GBC22222222222222222222222222222"/>
              </w:placeholder>
            </w:sdtPr>
            <w:sdtEndPr/>
            <w:sdtContent>
              <w:r w:rsidR="00A42880">
                <w:fldChar w:fldCharType="begin"/>
              </w:r>
              <w:r w:rsidR="00A42880">
                <w:instrText xml:space="preserve"> 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sdt>
          <w:sdtPr>
            <w:alias w:val="对外股权投资总体分析"/>
            <w:tag w:val="_GBC_cef6637b11fc44ed960eb269931b50e8"/>
            <w:id w:val="-517162323"/>
            <w:lock w:val="sdtLocked"/>
            <w:placeholder>
              <w:docPart w:val="GBC22222222222222222222222222222"/>
            </w:placeholder>
          </w:sdtPr>
          <w:sdtEndPr>
            <w:rPr>
              <w:rFonts w:ascii="Times New Roman" w:hAnsi="Times New Roman" w:cs="Times New Roman"/>
            </w:rPr>
          </w:sdtEndPr>
          <w:sdtContent>
            <w:p w14:paraId="714619F4"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hint="eastAsia"/>
                </w:rPr>
                <w:t>1</w:t>
              </w:r>
              <w:r>
                <w:rPr>
                  <w:rFonts w:ascii="Times New Roman" w:hAnsi="Times New Roman" w:cs="Times New Roman"/>
                </w:rPr>
                <w:t>1</w:t>
              </w:r>
              <w:r>
                <w:rPr>
                  <w:rFonts w:ascii="Times New Roman" w:hAnsi="Times New Roman" w:cs="Times New Roman" w:hint="eastAsia"/>
                </w:rPr>
                <w:t>月</w:t>
              </w:r>
              <w:r>
                <w:rPr>
                  <w:rFonts w:ascii="Times New Roman" w:hAnsi="Times New Roman" w:cs="Times New Roman"/>
                </w:rPr>
                <w:t>，公司与安徽海螺水泥股份有限公司、湖南中智能装备有限公司合资设立安徽海螺中南智能机器人有限责任公司，注册资本</w:t>
              </w:r>
              <w:r>
                <w:rPr>
                  <w:rFonts w:ascii="Times New Roman" w:hAnsi="Times New Roman" w:cs="Times New Roman"/>
                </w:rPr>
                <w:t>5,000</w:t>
              </w:r>
              <w:r>
                <w:rPr>
                  <w:rFonts w:ascii="Times New Roman" w:hAnsi="Times New Roman" w:cs="Times New Roman"/>
                </w:rPr>
                <w:t>万元，公司以现金认缴出资</w:t>
              </w:r>
              <w:r>
                <w:rPr>
                  <w:rFonts w:ascii="Times New Roman" w:hAnsi="Times New Roman" w:cs="Times New Roman"/>
                </w:rPr>
                <w:t>250</w:t>
              </w:r>
              <w:r>
                <w:rPr>
                  <w:rFonts w:ascii="Times New Roman" w:hAnsi="Times New Roman" w:cs="Times New Roman"/>
                </w:rPr>
                <w:t>万元，占注册资本</w:t>
              </w:r>
              <w:r>
                <w:rPr>
                  <w:rFonts w:ascii="Times New Roman" w:hAnsi="Times New Roman" w:cs="Times New Roman"/>
                </w:rPr>
                <w:t>5%</w:t>
              </w:r>
              <w:r>
                <w:rPr>
                  <w:rFonts w:ascii="Times New Roman" w:hAnsi="Times New Roman" w:cs="Times New Roman"/>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月，公司该项出资完成实缴。</w:t>
              </w:r>
            </w:p>
            <w:p w14:paraId="295E8FE4" w14:textId="20C77AD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月，因参股公司汇有美经营发展需要，汇有美股东江西汇明、江西希美埃和深圳有为通过汇有美股东会决议并签署增资协议，股东方按照现持股比例增资，新增注册资本</w:t>
              </w:r>
              <w:r>
                <w:rPr>
                  <w:rFonts w:ascii="Times New Roman" w:hAnsi="Times New Roman" w:cs="Times New Roman"/>
                </w:rPr>
                <w:t>3,800</w:t>
              </w:r>
              <w:r>
                <w:rPr>
                  <w:rFonts w:ascii="Times New Roman" w:hAnsi="Times New Roman" w:cs="Times New Roman"/>
                </w:rPr>
                <w:t>万元，汇有美注册资本变更为</w:t>
              </w:r>
              <w:r>
                <w:rPr>
                  <w:rFonts w:ascii="Times New Roman" w:hAnsi="Times New Roman" w:cs="Times New Roman"/>
                </w:rPr>
                <w:t>5,000</w:t>
              </w:r>
              <w:r>
                <w:rPr>
                  <w:rFonts w:ascii="Times New Roman" w:hAnsi="Times New Roman" w:cs="Times New Roman"/>
                </w:rPr>
                <w:t>万元。其中公司子公司江西希美埃按照持股比例认缴</w:t>
              </w:r>
              <w:r>
                <w:rPr>
                  <w:rFonts w:ascii="Times New Roman" w:hAnsi="Times New Roman" w:cs="Times New Roman"/>
                </w:rPr>
                <w:t>30%</w:t>
              </w:r>
              <w:r>
                <w:rPr>
                  <w:rFonts w:ascii="Times New Roman" w:hAnsi="Times New Roman" w:cs="Times New Roman"/>
                </w:rPr>
                <w:t>的新增注册资本</w:t>
              </w:r>
              <w:r>
                <w:rPr>
                  <w:rFonts w:ascii="Times New Roman" w:hAnsi="Times New Roman" w:cs="Times New Roman"/>
                </w:rPr>
                <w:t>1,140</w:t>
              </w:r>
              <w:r>
                <w:rPr>
                  <w:rFonts w:ascii="Times New Roman" w:hAnsi="Times New Roman" w:cs="Times New Roman"/>
                </w:rPr>
                <w:t>万元。截止本报告期末，江西希美埃已完成实缴</w:t>
              </w:r>
              <w:r>
                <w:rPr>
                  <w:rFonts w:ascii="Times New Roman" w:hAnsi="Times New Roman" w:cs="Times New Roman"/>
                </w:rPr>
                <w:t>240</w:t>
              </w:r>
              <w:r>
                <w:rPr>
                  <w:rFonts w:ascii="Times New Roman" w:hAnsi="Times New Roman" w:cs="Times New Roman"/>
                </w:rPr>
                <w:t>万元。</w:t>
              </w:r>
            </w:p>
            <w:p w14:paraId="2BC2E72F" w14:textId="77777777" w:rsidR="00D21C1F" w:rsidRDefault="00A42880">
              <w:pPr>
                <w:spacing w:line="360" w:lineRule="auto"/>
                <w:ind w:firstLineChars="200" w:firstLine="420"/>
                <w:jc w:val="both"/>
              </w:pPr>
              <w:r>
                <w:rPr>
                  <w:rFonts w:ascii="Times New Roman" w:hAnsi="Times New Roman" w:cs="Times New Roman"/>
                </w:rPr>
                <w:t>报告期内，公司无其他新增对外投资。</w:t>
              </w:r>
            </w:p>
          </w:sdtContent>
        </w:sdt>
        <w:p w14:paraId="6F2BC93E" w14:textId="77777777" w:rsidR="00D21C1F" w:rsidRDefault="00045EC6">
          <w:pPr>
            <w:pStyle w:val="97"/>
          </w:pPr>
        </w:p>
      </w:sdtContent>
    </w:sdt>
    <w:sdt>
      <w:sdtPr>
        <w:rPr>
          <w:rFonts w:ascii="宋体" w:eastAsiaTheme="minorEastAsia" w:hAnsi="宋体" w:cs="宋体" w:hint="eastAsia"/>
          <w:b w:val="0"/>
          <w:bCs w:val="0"/>
          <w:kern w:val="0"/>
          <w:szCs w:val="21"/>
        </w:rPr>
        <w:alias w:val="模块:重大的股权投资"/>
        <w:tag w:val="_SEC_72e4a7e3254a45e8898d094084d31b27"/>
        <w:id w:val="1583572574"/>
        <w:lock w:val="sdtLocked"/>
        <w:placeholder>
          <w:docPart w:val="GBC22222222222222222222222222222"/>
        </w:placeholder>
      </w:sdtPr>
      <w:sdtEndPr>
        <w:rPr>
          <w:szCs w:val="24"/>
        </w:rPr>
      </w:sdtEndPr>
      <w:sdtContent>
        <w:p w14:paraId="7DD44130" w14:textId="77777777" w:rsidR="00D21C1F" w:rsidRDefault="00A42880">
          <w:pPr>
            <w:pStyle w:val="5"/>
            <w:numPr>
              <w:ilvl w:val="0"/>
              <w:numId w:val="20"/>
            </w:numPr>
            <w:rPr>
              <w:rFonts w:ascii="宋体" w:hAnsi="宋体"/>
              <w:szCs w:val="21"/>
            </w:rPr>
          </w:pPr>
          <w:r>
            <w:rPr>
              <w:rFonts w:ascii="宋体" w:hAnsi="宋体" w:hint="eastAsia"/>
              <w:szCs w:val="21"/>
            </w:rPr>
            <w:t>重大的股权投资</w:t>
          </w:r>
        </w:p>
        <w:sdt>
          <w:sdtPr>
            <w:rPr>
              <w:rFonts w:hint="eastAsia"/>
            </w:rPr>
            <w:alias w:val="是否适用：重大的股权投资[双击切换]"/>
            <w:tag w:val="_GBC_f8bfa224d9f34f9e99e6f78de51aa576"/>
            <w:id w:val="-646116748"/>
            <w:lock w:val="sdtLocked"/>
            <w:placeholder>
              <w:docPart w:val="GBC22222222222222222222222222222"/>
            </w:placeholder>
          </w:sdtPr>
          <w:sdtEndPr/>
          <w:sdtContent>
            <w:p w14:paraId="52D5BD6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72" w:name="_Hlk78882971" w:displacedByCustomXml="next"/>
    <w:bookmarkEnd w:id="72" w:displacedByCustomXml="next"/>
    <w:sdt>
      <w:sdtPr>
        <w:rPr>
          <w:rFonts w:ascii="宋体" w:eastAsiaTheme="minorEastAsia" w:hAnsi="宋体" w:cs="宋体" w:hint="eastAsia"/>
          <w:b w:val="0"/>
          <w:bCs w:val="0"/>
          <w:kern w:val="0"/>
          <w:szCs w:val="21"/>
        </w:rPr>
        <w:alias w:val="模块:重大的非股权投资"/>
        <w:tag w:val="_SEC_ac9932f6d2bb4e35b86dbcc496bca6c4"/>
        <w:id w:val="-916774833"/>
        <w:lock w:val="sdtLocked"/>
        <w:placeholder>
          <w:docPart w:val="GBC22222222222222222222222222222"/>
        </w:placeholder>
      </w:sdtPr>
      <w:sdtEndPr>
        <w:rPr>
          <w:szCs w:val="24"/>
        </w:rPr>
      </w:sdtEndPr>
      <w:sdtContent>
        <w:p w14:paraId="6CD01911" w14:textId="77777777" w:rsidR="00D21C1F" w:rsidRDefault="00A42880">
          <w:pPr>
            <w:pStyle w:val="5"/>
            <w:numPr>
              <w:ilvl w:val="0"/>
              <w:numId w:val="20"/>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1296871993"/>
            <w:lock w:val="sdtLocked"/>
            <w:placeholder>
              <w:docPart w:val="GBC22222222222222222222222222222"/>
            </w:placeholder>
          </w:sdtPr>
          <w:sdtEndPr/>
          <w:sdtContent>
            <w:p w14:paraId="065E9CA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e1149f3e433f42c9895dce036b5525db"/>
        <w:id w:val="-609975074"/>
        <w:lock w:val="sdtLocked"/>
        <w:placeholder>
          <w:docPart w:val="GBC22222222222222222222222222222"/>
        </w:placeholder>
      </w:sdtPr>
      <w:sdtEndPr/>
      <w:sdtContent>
        <w:p w14:paraId="76ACC00E" w14:textId="77777777" w:rsidR="00D21C1F" w:rsidRDefault="00A42880">
          <w:pPr>
            <w:pStyle w:val="5"/>
            <w:numPr>
              <w:ilvl w:val="0"/>
              <w:numId w:val="20"/>
            </w:numPr>
            <w:rPr>
              <w:rFonts w:ascii="宋体" w:hAnsi="宋体"/>
              <w:szCs w:val="21"/>
            </w:rPr>
          </w:pPr>
          <w:r>
            <w:rPr>
              <w:rFonts w:ascii="宋体" w:hAnsi="宋体" w:hint="eastAsia"/>
              <w:szCs w:val="21"/>
            </w:rPr>
            <w:t>以公允价值计量的金融资产</w:t>
          </w:r>
        </w:p>
        <w:sdt>
          <w:sdtPr>
            <w:rPr>
              <w:rFonts w:hint="eastAsia"/>
              <w:szCs w:val="21"/>
            </w:rPr>
            <w:alias w:val="是否适用：以公允价值计量的金融资产[双击切换]"/>
            <w:tag w:val="_GBC_b79a1e16dad54b258983c3fa6da7033b"/>
            <w:id w:val="1610079776"/>
            <w:lock w:val="sdtLocked"/>
            <w:placeholder>
              <w:docPart w:val="GBC22222222222222222222222222222"/>
            </w:placeholder>
          </w:sdtPr>
          <w:sdtEndPr/>
          <w:sdtContent>
            <w:p w14:paraId="5C50CFEC"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Theme="minorEastAsia" w:hAnsi="宋体" w:cs="宋体"/>
          <w:b w:val="0"/>
          <w:bCs w:val="0"/>
          <w:kern w:val="0"/>
          <w:szCs w:val="24"/>
        </w:rPr>
        <w:alias w:val="模块:重大资产和股权出售"/>
        <w:tag w:val="_SEC_04b9238e9d184f1bab78bd58a24f46ef"/>
        <w:id w:val="1706290676"/>
        <w:lock w:val="sdtLocked"/>
        <w:placeholder>
          <w:docPart w:val="GBC22222222222222222222222222222"/>
        </w:placeholder>
      </w:sdtPr>
      <w:sdtEndPr>
        <w:rPr>
          <w:rFonts w:hint="eastAsia"/>
        </w:rPr>
      </w:sdtEndPr>
      <w:sdtContent>
        <w:p w14:paraId="23456DDF" w14:textId="77777777" w:rsidR="00D21C1F" w:rsidRDefault="00A42880">
          <w:pPr>
            <w:pStyle w:val="3"/>
            <w:numPr>
              <w:ilvl w:val="0"/>
              <w:numId w:val="15"/>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1664539281"/>
            <w:lock w:val="sdtLocked"/>
            <w:placeholder>
              <w:docPart w:val="GBC22222222222222222222222222222"/>
            </w:placeholder>
          </w:sdtPr>
          <w:sdtEndPr/>
          <w:sdtContent>
            <w:p w14:paraId="3994D56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DCAF47C" w14:textId="77777777" w:rsidR="00D21C1F" w:rsidRDefault="00D21C1F">
      <w:pPr>
        <w:pStyle w:val="97"/>
        <w:sectPr w:rsidR="00D21C1F">
          <w:pgSz w:w="11906" w:h="16838"/>
          <w:pgMar w:top="1525" w:right="1276" w:bottom="1440" w:left="1797" w:header="851" w:footer="992" w:gutter="0"/>
          <w:cols w:space="425"/>
          <w:docGrid w:linePitch="312"/>
        </w:sectPr>
      </w:pPr>
    </w:p>
    <w:p w14:paraId="0E11F165" w14:textId="77777777" w:rsidR="00D21C1F" w:rsidRDefault="00D21C1F">
      <w:pPr>
        <w:pStyle w:val="97"/>
      </w:pPr>
    </w:p>
    <w:sdt>
      <w:sdtPr>
        <w:rPr>
          <w:rFonts w:ascii="宋体" w:eastAsiaTheme="minorEastAsia" w:hAnsi="宋体" w:cs="宋体"/>
          <w:b w:val="0"/>
          <w:bCs w:val="0"/>
          <w:kern w:val="0"/>
          <w:szCs w:val="22"/>
        </w:rPr>
        <w:alias w:val="模块:主要控股参股公司分析"/>
        <w:tag w:val="_SEC_2a2bbe84e5b044d9b42284613cdb120d"/>
        <w:id w:val="-522324143"/>
        <w:lock w:val="sdtLocked"/>
        <w:placeholder>
          <w:docPart w:val="GBC22222222222222222222222222222"/>
        </w:placeholder>
      </w:sdtPr>
      <w:sdtEndPr>
        <w:rPr>
          <w:rFonts w:eastAsia="宋体" w:hint="eastAsia"/>
          <w:szCs w:val="24"/>
        </w:rPr>
      </w:sdtEndPr>
      <w:sdtContent>
        <w:p w14:paraId="616679F2" w14:textId="77777777" w:rsidR="00D21C1F" w:rsidRDefault="00A42880">
          <w:pPr>
            <w:pStyle w:val="3"/>
            <w:numPr>
              <w:ilvl w:val="0"/>
              <w:numId w:val="15"/>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175079633"/>
            <w:lock w:val="sdtLocked"/>
            <w:placeholder>
              <w:docPart w:val="GBC22222222222222222222222222222"/>
            </w:placeholder>
          </w:sdtPr>
          <w:sdtEndPr/>
          <w:sdtContent>
            <w:p w14:paraId="336112F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eastAsia="宋体" w:hint="eastAsia"/>
            </w:rPr>
            <w:alias w:val="主要子公司、参股公司分析"/>
            <w:tag w:val="_GBC_839e73df2f5d460cbcde577c1623d15c"/>
            <w:id w:val="706835011"/>
            <w:lock w:val="sdtLocked"/>
            <w:placeholder>
              <w:docPart w:val="GBC22222222222222222222222222222"/>
            </w:placeholder>
          </w:sdtPr>
          <w:sdtEndPr/>
          <w:sdtContent>
            <w:p w14:paraId="2E21E766" w14:textId="77777777" w:rsidR="00D21C1F" w:rsidRDefault="00A42880">
              <w:pPr>
                <w:pStyle w:val="97"/>
                <w:jc w:val="right"/>
              </w:pPr>
              <w:r>
                <w:rPr>
                  <w:rFonts w:eastAsia="宋体" w:hint="eastAsia"/>
                </w:rPr>
                <w:t>单位：万元</w:t>
              </w:r>
            </w:p>
            <w:tbl>
              <w:tblPr>
                <w:tblStyle w:val="aff0"/>
                <w:tblW w:w="5060" w:type="pct"/>
                <w:tblLook w:val="04A0" w:firstRow="1" w:lastRow="0" w:firstColumn="1" w:lastColumn="0" w:noHBand="0" w:noVBand="1"/>
              </w:tblPr>
              <w:tblGrid>
                <w:gridCol w:w="2122"/>
                <w:gridCol w:w="4647"/>
                <w:gridCol w:w="1161"/>
                <w:gridCol w:w="1161"/>
                <w:gridCol w:w="1373"/>
                <w:gridCol w:w="1161"/>
                <w:gridCol w:w="1234"/>
                <w:gridCol w:w="1170"/>
              </w:tblGrid>
              <w:tr w:rsidR="00D21C1F" w14:paraId="23733A04" w14:textId="77777777">
                <w:tc>
                  <w:tcPr>
                    <w:tcW w:w="2122" w:type="dxa"/>
                  </w:tcPr>
                  <w:p w14:paraId="65B70114" w14:textId="77777777" w:rsidR="00D21C1F" w:rsidRDefault="00A42880">
                    <w:pPr>
                      <w:pStyle w:val="97"/>
                      <w:rPr>
                        <w:rFonts w:ascii="Times New Roman" w:hAnsi="Times New Roman" w:cs="Times New Roman"/>
                      </w:rPr>
                    </w:pPr>
                    <w:r>
                      <w:rPr>
                        <w:rFonts w:ascii="Times New Roman" w:hAnsi="Times New Roman" w:cs="Times New Roman"/>
                      </w:rPr>
                      <w:t>公司名称</w:t>
                    </w:r>
                  </w:p>
                </w:tc>
                <w:tc>
                  <w:tcPr>
                    <w:tcW w:w="4647" w:type="dxa"/>
                  </w:tcPr>
                  <w:p w14:paraId="38B151FB" w14:textId="77777777" w:rsidR="00D21C1F" w:rsidRDefault="00A42880">
                    <w:pPr>
                      <w:pStyle w:val="97"/>
                      <w:rPr>
                        <w:rFonts w:ascii="Times New Roman" w:hAnsi="Times New Roman" w:cs="Times New Roman"/>
                      </w:rPr>
                    </w:pPr>
                    <w:r>
                      <w:rPr>
                        <w:rFonts w:ascii="Times New Roman" w:hAnsi="Times New Roman" w:cs="Times New Roman"/>
                      </w:rPr>
                      <w:t>主营业务</w:t>
                    </w:r>
                  </w:p>
                </w:tc>
                <w:tc>
                  <w:tcPr>
                    <w:tcW w:w="1161" w:type="dxa"/>
                  </w:tcPr>
                  <w:p w14:paraId="05A2CB60" w14:textId="77777777" w:rsidR="00D21C1F" w:rsidRDefault="00A42880">
                    <w:pPr>
                      <w:pStyle w:val="97"/>
                      <w:rPr>
                        <w:rFonts w:ascii="Times New Roman" w:hAnsi="Times New Roman" w:cs="Times New Roman"/>
                      </w:rPr>
                    </w:pPr>
                    <w:r>
                      <w:rPr>
                        <w:rFonts w:ascii="Times New Roman" w:hAnsi="Times New Roman" w:cs="Times New Roman"/>
                      </w:rPr>
                      <w:t>直接持股比例</w:t>
                    </w:r>
                  </w:p>
                </w:tc>
                <w:tc>
                  <w:tcPr>
                    <w:tcW w:w="1161" w:type="dxa"/>
                  </w:tcPr>
                  <w:p w14:paraId="5160D666" w14:textId="77777777" w:rsidR="00D21C1F" w:rsidRDefault="00A42880">
                    <w:pPr>
                      <w:pStyle w:val="97"/>
                      <w:rPr>
                        <w:rFonts w:ascii="Times New Roman" w:hAnsi="Times New Roman" w:cs="Times New Roman"/>
                      </w:rPr>
                    </w:pPr>
                    <w:r>
                      <w:rPr>
                        <w:rFonts w:ascii="Times New Roman" w:hAnsi="Times New Roman" w:cs="Times New Roman"/>
                      </w:rPr>
                      <w:t>间接持股比例</w:t>
                    </w:r>
                  </w:p>
                </w:tc>
                <w:tc>
                  <w:tcPr>
                    <w:tcW w:w="1373" w:type="dxa"/>
                  </w:tcPr>
                  <w:p w14:paraId="0B0DED8F" w14:textId="77777777" w:rsidR="00D21C1F" w:rsidRDefault="00A42880">
                    <w:pPr>
                      <w:pStyle w:val="97"/>
                      <w:rPr>
                        <w:rFonts w:ascii="Times New Roman" w:hAnsi="Times New Roman" w:cs="Times New Roman"/>
                      </w:rPr>
                    </w:pPr>
                    <w:r>
                      <w:rPr>
                        <w:rFonts w:ascii="Times New Roman" w:hAnsi="Times New Roman" w:cs="Times New Roman"/>
                      </w:rPr>
                      <w:t>注册资本</w:t>
                    </w:r>
                  </w:p>
                </w:tc>
                <w:tc>
                  <w:tcPr>
                    <w:tcW w:w="1161" w:type="dxa"/>
                  </w:tcPr>
                  <w:p w14:paraId="305F4D02" w14:textId="77777777" w:rsidR="00D21C1F" w:rsidRDefault="00A42880">
                    <w:pPr>
                      <w:pStyle w:val="97"/>
                      <w:rPr>
                        <w:rFonts w:ascii="Times New Roman" w:hAnsi="Times New Roman" w:cs="Times New Roman"/>
                      </w:rPr>
                    </w:pPr>
                    <w:r>
                      <w:rPr>
                        <w:rFonts w:ascii="Times New Roman" w:hAnsi="Times New Roman" w:cs="Times New Roman"/>
                      </w:rPr>
                      <w:t>总资产</w:t>
                    </w:r>
                  </w:p>
                </w:tc>
                <w:tc>
                  <w:tcPr>
                    <w:tcW w:w="1234" w:type="dxa"/>
                  </w:tcPr>
                  <w:p w14:paraId="531A1932" w14:textId="77777777" w:rsidR="00D21C1F" w:rsidRDefault="00A42880">
                    <w:pPr>
                      <w:pStyle w:val="97"/>
                      <w:rPr>
                        <w:rFonts w:ascii="Times New Roman" w:hAnsi="Times New Roman" w:cs="Times New Roman"/>
                      </w:rPr>
                    </w:pPr>
                    <w:r>
                      <w:rPr>
                        <w:rFonts w:ascii="Times New Roman" w:hAnsi="Times New Roman" w:cs="Times New Roman"/>
                      </w:rPr>
                      <w:t>净资产</w:t>
                    </w:r>
                  </w:p>
                </w:tc>
                <w:tc>
                  <w:tcPr>
                    <w:tcW w:w="1170" w:type="dxa"/>
                  </w:tcPr>
                  <w:p w14:paraId="2B457A58" w14:textId="77777777" w:rsidR="00D21C1F" w:rsidRDefault="00A42880">
                    <w:pPr>
                      <w:pStyle w:val="97"/>
                      <w:rPr>
                        <w:rFonts w:ascii="Times New Roman" w:hAnsi="Times New Roman" w:cs="Times New Roman"/>
                      </w:rPr>
                    </w:pPr>
                    <w:r>
                      <w:rPr>
                        <w:rFonts w:ascii="Times New Roman" w:hAnsi="Times New Roman" w:cs="Times New Roman"/>
                      </w:rPr>
                      <w:t>净利润</w:t>
                    </w:r>
                  </w:p>
                </w:tc>
              </w:tr>
              <w:tr w:rsidR="00D21C1F" w14:paraId="33E0D657" w14:textId="77777777">
                <w:tc>
                  <w:tcPr>
                    <w:tcW w:w="2122" w:type="dxa"/>
                  </w:tcPr>
                  <w:p w14:paraId="16858033" w14:textId="77777777" w:rsidR="00D21C1F" w:rsidRDefault="00A42880">
                    <w:pPr>
                      <w:pStyle w:val="97"/>
                      <w:rPr>
                        <w:rFonts w:ascii="Times New Roman" w:hAnsi="Times New Roman" w:cs="Times New Roman"/>
                      </w:rPr>
                    </w:pPr>
                    <w:r>
                      <w:rPr>
                        <w:rFonts w:ascii="Times New Roman" w:hAnsi="Times New Roman" w:cs="Times New Roman"/>
                      </w:rPr>
                      <w:t>芜湖希美埃</w:t>
                    </w:r>
                  </w:p>
                </w:tc>
                <w:tc>
                  <w:tcPr>
                    <w:tcW w:w="4647" w:type="dxa"/>
                  </w:tcPr>
                  <w:p w14:paraId="1A93E8B7" w14:textId="77777777" w:rsidR="00D21C1F" w:rsidRDefault="00A42880">
                    <w:pPr>
                      <w:pStyle w:val="97"/>
                      <w:rPr>
                        <w:rFonts w:ascii="Times New Roman" w:hAnsi="Times New Roman" w:cs="Times New Roman"/>
                      </w:rPr>
                    </w:pPr>
                    <w:r>
                      <w:rPr>
                        <w:rFonts w:ascii="Times New Roman" w:hAnsi="Times New Roman" w:cs="Times New Roman"/>
                      </w:rPr>
                      <w:t>主要从事喷涂机器人及系统集成业务</w:t>
                    </w:r>
                  </w:p>
                </w:tc>
                <w:tc>
                  <w:tcPr>
                    <w:tcW w:w="1161" w:type="dxa"/>
                    <w:vAlign w:val="bottom"/>
                  </w:tcPr>
                  <w:p w14:paraId="37537332" w14:textId="77777777" w:rsidR="00D21C1F" w:rsidRDefault="00A42880">
                    <w:pPr>
                      <w:pStyle w:val="97"/>
                      <w:jc w:val="right"/>
                      <w:rPr>
                        <w:rFonts w:ascii="Times New Roman" w:hAnsi="Times New Roman" w:cs="Times New Roman"/>
                      </w:rPr>
                    </w:pPr>
                    <w:r>
                      <w:rPr>
                        <w:rFonts w:ascii="Times New Roman" w:hAnsi="Times New Roman" w:cs="Times New Roman"/>
                      </w:rPr>
                      <w:t>81.00%</w:t>
                    </w:r>
                  </w:p>
                </w:tc>
                <w:tc>
                  <w:tcPr>
                    <w:tcW w:w="1161" w:type="dxa"/>
                    <w:vAlign w:val="bottom"/>
                  </w:tcPr>
                  <w:p w14:paraId="17772048"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501E18D6" w14:textId="77777777" w:rsidR="00D21C1F" w:rsidRDefault="00A42880">
                    <w:pPr>
                      <w:pStyle w:val="97"/>
                      <w:jc w:val="right"/>
                      <w:rPr>
                        <w:rFonts w:ascii="Times New Roman" w:hAnsi="Times New Roman" w:cs="Times New Roman"/>
                      </w:rPr>
                    </w:pPr>
                    <w:r>
                      <w:rPr>
                        <w:rFonts w:ascii="Times New Roman" w:hAnsi="Times New Roman" w:cs="Times New Roman"/>
                      </w:rPr>
                      <w:t xml:space="preserve">2000 </w:t>
                    </w:r>
                  </w:p>
                </w:tc>
                <w:tc>
                  <w:tcPr>
                    <w:tcW w:w="1161" w:type="dxa"/>
                    <w:vAlign w:val="bottom"/>
                  </w:tcPr>
                  <w:p w14:paraId="2DABA9CD" w14:textId="77777777" w:rsidR="00D21C1F" w:rsidRDefault="00A42880">
                    <w:pPr>
                      <w:pStyle w:val="97"/>
                      <w:jc w:val="right"/>
                      <w:rPr>
                        <w:rFonts w:ascii="Times New Roman" w:hAnsi="Times New Roman" w:cs="Times New Roman"/>
                      </w:rPr>
                    </w:pPr>
                    <w:r>
                      <w:rPr>
                        <w:rFonts w:ascii="Times New Roman" w:hAnsi="Times New Roman" w:cs="Times New Roman"/>
                      </w:rPr>
                      <w:t>7,050.84</w:t>
                    </w:r>
                  </w:p>
                </w:tc>
                <w:tc>
                  <w:tcPr>
                    <w:tcW w:w="1234" w:type="dxa"/>
                    <w:vAlign w:val="bottom"/>
                  </w:tcPr>
                  <w:p w14:paraId="2D9DF211" w14:textId="77777777" w:rsidR="00D21C1F" w:rsidRDefault="00A42880">
                    <w:pPr>
                      <w:pStyle w:val="97"/>
                      <w:jc w:val="right"/>
                      <w:rPr>
                        <w:rFonts w:ascii="Times New Roman" w:hAnsi="Times New Roman" w:cs="Times New Roman"/>
                      </w:rPr>
                    </w:pPr>
                    <w:r>
                      <w:rPr>
                        <w:rFonts w:ascii="Times New Roman" w:hAnsi="Times New Roman" w:cs="Times New Roman"/>
                      </w:rPr>
                      <w:t>888.90</w:t>
                    </w:r>
                  </w:p>
                </w:tc>
                <w:tc>
                  <w:tcPr>
                    <w:tcW w:w="1170" w:type="dxa"/>
                    <w:vAlign w:val="bottom"/>
                  </w:tcPr>
                  <w:p w14:paraId="1F5C52CA" w14:textId="77777777" w:rsidR="00D21C1F" w:rsidRDefault="00A42880">
                    <w:pPr>
                      <w:pStyle w:val="97"/>
                      <w:jc w:val="right"/>
                      <w:rPr>
                        <w:rFonts w:ascii="Times New Roman" w:hAnsi="Times New Roman" w:cs="Times New Roman"/>
                      </w:rPr>
                    </w:pPr>
                    <w:r>
                      <w:rPr>
                        <w:rFonts w:ascii="Times New Roman" w:hAnsi="Times New Roman" w:cs="Times New Roman"/>
                      </w:rPr>
                      <w:t>-315.00</w:t>
                    </w:r>
                  </w:p>
                </w:tc>
              </w:tr>
              <w:tr w:rsidR="00D21C1F" w14:paraId="623FC5B4" w14:textId="77777777">
                <w:tc>
                  <w:tcPr>
                    <w:tcW w:w="2122" w:type="dxa"/>
                  </w:tcPr>
                  <w:p w14:paraId="538BA1F8" w14:textId="77777777" w:rsidR="00D21C1F" w:rsidRDefault="00A42880">
                    <w:pPr>
                      <w:pStyle w:val="97"/>
                      <w:rPr>
                        <w:rFonts w:ascii="Times New Roman" w:hAnsi="Times New Roman" w:cs="Times New Roman"/>
                      </w:rPr>
                    </w:pPr>
                    <w:r>
                      <w:rPr>
                        <w:rFonts w:ascii="Times New Roman" w:hAnsi="Times New Roman" w:cs="Times New Roman"/>
                      </w:rPr>
                      <w:t>江西希美埃</w:t>
                    </w:r>
                  </w:p>
                </w:tc>
                <w:tc>
                  <w:tcPr>
                    <w:tcW w:w="4647" w:type="dxa"/>
                  </w:tcPr>
                  <w:p w14:paraId="2ED1832F" w14:textId="77777777" w:rsidR="00D21C1F" w:rsidRDefault="00A42880">
                    <w:pPr>
                      <w:pStyle w:val="97"/>
                      <w:rPr>
                        <w:rFonts w:ascii="Times New Roman" w:hAnsi="Times New Roman" w:cs="Times New Roman"/>
                      </w:rPr>
                    </w:pPr>
                    <w:r>
                      <w:rPr>
                        <w:rFonts w:ascii="Times New Roman" w:hAnsi="Times New Roman" w:cs="Times New Roman"/>
                      </w:rPr>
                      <w:t>主营业务为喷涂工业机器人系统集成</w:t>
                    </w:r>
                  </w:p>
                </w:tc>
                <w:tc>
                  <w:tcPr>
                    <w:tcW w:w="1161" w:type="dxa"/>
                    <w:vAlign w:val="bottom"/>
                  </w:tcPr>
                  <w:p w14:paraId="36A25E9E"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161" w:type="dxa"/>
                    <w:vAlign w:val="bottom"/>
                  </w:tcPr>
                  <w:p w14:paraId="0E14A440" w14:textId="77777777" w:rsidR="00D21C1F" w:rsidRDefault="00A42880">
                    <w:pPr>
                      <w:pStyle w:val="97"/>
                      <w:jc w:val="right"/>
                      <w:rPr>
                        <w:rFonts w:ascii="Times New Roman" w:hAnsi="Times New Roman" w:cs="Times New Roman"/>
                      </w:rPr>
                    </w:pPr>
                    <w:r>
                      <w:rPr>
                        <w:rFonts w:ascii="Times New Roman" w:hAnsi="Times New Roman" w:cs="Times New Roman"/>
                      </w:rPr>
                      <w:t>50.50%</w:t>
                    </w:r>
                  </w:p>
                </w:tc>
                <w:tc>
                  <w:tcPr>
                    <w:tcW w:w="1373" w:type="dxa"/>
                    <w:vAlign w:val="bottom"/>
                  </w:tcPr>
                  <w:p w14:paraId="48EDDE5A" w14:textId="77777777" w:rsidR="00D21C1F" w:rsidRDefault="00A42880">
                    <w:pPr>
                      <w:pStyle w:val="97"/>
                      <w:jc w:val="right"/>
                      <w:rPr>
                        <w:rFonts w:ascii="Times New Roman" w:hAnsi="Times New Roman" w:cs="Times New Roman"/>
                      </w:rPr>
                    </w:pPr>
                    <w:r>
                      <w:rPr>
                        <w:rFonts w:ascii="Times New Roman" w:hAnsi="Times New Roman" w:cs="Times New Roman"/>
                      </w:rPr>
                      <w:t>200</w:t>
                    </w:r>
                  </w:p>
                </w:tc>
                <w:tc>
                  <w:tcPr>
                    <w:tcW w:w="1161" w:type="dxa"/>
                    <w:vAlign w:val="bottom"/>
                  </w:tcPr>
                  <w:p w14:paraId="6877F7E3" w14:textId="77777777" w:rsidR="00D21C1F" w:rsidRDefault="00A42880">
                    <w:pPr>
                      <w:pStyle w:val="97"/>
                      <w:jc w:val="right"/>
                      <w:rPr>
                        <w:rFonts w:ascii="Times New Roman" w:hAnsi="Times New Roman" w:cs="Times New Roman"/>
                      </w:rPr>
                    </w:pPr>
                    <w:r>
                      <w:rPr>
                        <w:rFonts w:ascii="Times New Roman" w:hAnsi="Times New Roman" w:cs="Times New Roman"/>
                      </w:rPr>
                      <w:t>1,601.95</w:t>
                    </w:r>
                  </w:p>
                </w:tc>
                <w:tc>
                  <w:tcPr>
                    <w:tcW w:w="1234" w:type="dxa"/>
                    <w:vAlign w:val="bottom"/>
                  </w:tcPr>
                  <w:p w14:paraId="5D6DAD75" w14:textId="77777777" w:rsidR="00D21C1F" w:rsidRDefault="00A42880">
                    <w:pPr>
                      <w:pStyle w:val="97"/>
                      <w:jc w:val="right"/>
                      <w:rPr>
                        <w:rFonts w:ascii="Times New Roman" w:hAnsi="Times New Roman" w:cs="Times New Roman"/>
                      </w:rPr>
                    </w:pPr>
                    <w:r>
                      <w:rPr>
                        <w:rFonts w:ascii="Times New Roman" w:hAnsi="Times New Roman" w:cs="Times New Roman"/>
                      </w:rPr>
                      <w:t>250.53</w:t>
                    </w:r>
                  </w:p>
                </w:tc>
                <w:tc>
                  <w:tcPr>
                    <w:tcW w:w="1170" w:type="dxa"/>
                    <w:vAlign w:val="bottom"/>
                  </w:tcPr>
                  <w:p w14:paraId="53A45438" w14:textId="77777777" w:rsidR="00D21C1F" w:rsidRDefault="00A42880">
                    <w:pPr>
                      <w:pStyle w:val="97"/>
                      <w:jc w:val="right"/>
                      <w:rPr>
                        <w:rFonts w:ascii="Times New Roman" w:hAnsi="Times New Roman" w:cs="Times New Roman"/>
                      </w:rPr>
                    </w:pPr>
                    <w:r>
                      <w:rPr>
                        <w:rFonts w:ascii="Times New Roman" w:hAnsi="Times New Roman" w:cs="Times New Roman"/>
                      </w:rPr>
                      <w:t>207.28</w:t>
                    </w:r>
                  </w:p>
                </w:tc>
              </w:tr>
              <w:tr w:rsidR="00D21C1F" w14:paraId="1AB9A260" w14:textId="77777777">
                <w:tc>
                  <w:tcPr>
                    <w:tcW w:w="2122" w:type="dxa"/>
                  </w:tcPr>
                  <w:p w14:paraId="439070AB" w14:textId="77777777" w:rsidR="00D21C1F" w:rsidRDefault="00A42880">
                    <w:pPr>
                      <w:pStyle w:val="97"/>
                      <w:rPr>
                        <w:rFonts w:ascii="Times New Roman" w:hAnsi="Times New Roman" w:cs="Times New Roman"/>
                      </w:rPr>
                    </w:pPr>
                    <w:r>
                      <w:rPr>
                        <w:rFonts w:ascii="Times New Roman" w:hAnsi="Times New Roman" w:cs="Times New Roman"/>
                      </w:rPr>
                      <w:t>芜湖埃华路</w:t>
                    </w:r>
                  </w:p>
                </w:tc>
                <w:tc>
                  <w:tcPr>
                    <w:tcW w:w="4647" w:type="dxa"/>
                  </w:tcPr>
                  <w:p w14:paraId="173F27A4" w14:textId="77777777" w:rsidR="00D21C1F" w:rsidRDefault="00A42880">
                    <w:pPr>
                      <w:pStyle w:val="97"/>
                      <w:rPr>
                        <w:rFonts w:ascii="Times New Roman" w:hAnsi="Times New Roman" w:cs="Times New Roman"/>
                      </w:rPr>
                    </w:pPr>
                    <w:r>
                      <w:rPr>
                        <w:rFonts w:ascii="Times New Roman" w:hAnsi="Times New Roman" w:cs="Times New Roman"/>
                      </w:rPr>
                      <w:t>主营业务为通用工业的机器人系统集成</w:t>
                    </w:r>
                  </w:p>
                </w:tc>
                <w:tc>
                  <w:tcPr>
                    <w:tcW w:w="1161" w:type="dxa"/>
                    <w:vAlign w:val="bottom"/>
                  </w:tcPr>
                  <w:p w14:paraId="6CE0780C" w14:textId="77777777" w:rsidR="00D21C1F" w:rsidRDefault="00A42880">
                    <w:pPr>
                      <w:pStyle w:val="97"/>
                      <w:jc w:val="right"/>
                      <w:rPr>
                        <w:rFonts w:ascii="Times New Roman" w:hAnsi="Times New Roman" w:cs="Times New Roman"/>
                      </w:rPr>
                    </w:pPr>
                    <w:r>
                      <w:rPr>
                        <w:rFonts w:ascii="Times New Roman" w:hAnsi="Times New Roman" w:cs="Times New Roman"/>
                      </w:rPr>
                      <w:t>86.875%</w:t>
                    </w:r>
                  </w:p>
                </w:tc>
                <w:tc>
                  <w:tcPr>
                    <w:tcW w:w="1161" w:type="dxa"/>
                    <w:vAlign w:val="bottom"/>
                  </w:tcPr>
                  <w:p w14:paraId="7A6A4A69" w14:textId="77777777" w:rsidR="00D21C1F" w:rsidRDefault="00A42880">
                    <w:pPr>
                      <w:pStyle w:val="97"/>
                      <w:jc w:val="right"/>
                      <w:rPr>
                        <w:rFonts w:ascii="Times New Roman" w:hAnsi="Times New Roman" w:cs="Times New Roman"/>
                      </w:rPr>
                    </w:pPr>
                    <w:r>
                      <w:rPr>
                        <w:rFonts w:ascii="Times New Roman" w:hAnsi="Times New Roman" w:cs="Times New Roman"/>
                      </w:rPr>
                      <w:t>13.125%</w:t>
                    </w:r>
                  </w:p>
                </w:tc>
                <w:tc>
                  <w:tcPr>
                    <w:tcW w:w="1373" w:type="dxa"/>
                    <w:vAlign w:val="bottom"/>
                  </w:tcPr>
                  <w:p w14:paraId="5AB58745" w14:textId="77777777" w:rsidR="00D21C1F" w:rsidRDefault="00A42880">
                    <w:pPr>
                      <w:pStyle w:val="97"/>
                      <w:jc w:val="right"/>
                      <w:rPr>
                        <w:rFonts w:ascii="Times New Roman" w:hAnsi="Times New Roman" w:cs="Times New Roman"/>
                      </w:rPr>
                    </w:pPr>
                    <w:r>
                      <w:rPr>
                        <w:rFonts w:ascii="Times New Roman" w:hAnsi="Times New Roman" w:cs="Times New Roman"/>
                      </w:rPr>
                      <w:t>8000</w:t>
                    </w:r>
                  </w:p>
                </w:tc>
                <w:tc>
                  <w:tcPr>
                    <w:tcW w:w="1161" w:type="dxa"/>
                    <w:vAlign w:val="bottom"/>
                  </w:tcPr>
                  <w:p w14:paraId="011335EA" w14:textId="77777777" w:rsidR="00D21C1F" w:rsidRDefault="00A42880">
                    <w:pPr>
                      <w:pStyle w:val="97"/>
                      <w:jc w:val="right"/>
                      <w:rPr>
                        <w:rFonts w:ascii="Times New Roman" w:hAnsi="Times New Roman" w:cs="Times New Roman"/>
                      </w:rPr>
                    </w:pPr>
                    <w:r>
                      <w:rPr>
                        <w:rFonts w:ascii="Times New Roman" w:hAnsi="Times New Roman" w:cs="Times New Roman"/>
                      </w:rPr>
                      <w:t>9,516.34</w:t>
                    </w:r>
                  </w:p>
                </w:tc>
                <w:tc>
                  <w:tcPr>
                    <w:tcW w:w="1234" w:type="dxa"/>
                    <w:vAlign w:val="bottom"/>
                  </w:tcPr>
                  <w:p w14:paraId="59080F4C" w14:textId="77777777" w:rsidR="00D21C1F" w:rsidRDefault="00A42880">
                    <w:pPr>
                      <w:pStyle w:val="97"/>
                      <w:jc w:val="right"/>
                      <w:rPr>
                        <w:rFonts w:ascii="Times New Roman" w:hAnsi="Times New Roman" w:cs="Times New Roman"/>
                      </w:rPr>
                    </w:pPr>
                    <w:r>
                      <w:rPr>
                        <w:rFonts w:ascii="Times New Roman" w:hAnsi="Times New Roman" w:cs="Times New Roman"/>
                      </w:rPr>
                      <w:t>4,580.57</w:t>
                    </w:r>
                  </w:p>
                </w:tc>
                <w:tc>
                  <w:tcPr>
                    <w:tcW w:w="1170" w:type="dxa"/>
                    <w:vAlign w:val="bottom"/>
                  </w:tcPr>
                  <w:p w14:paraId="253FC6C8" w14:textId="77777777" w:rsidR="00D21C1F" w:rsidRDefault="00A42880">
                    <w:pPr>
                      <w:pStyle w:val="97"/>
                      <w:jc w:val="right"/>
                      <w:rPr>
                        <w:rFonts w:ascii="Times New Roman" w:hAnsi="Times New Roman" w:cs="Times New Roman"/>
                      </w:rPr>
                    </w:pPr>
                    <w:r>
                      <w:rPr>
                        <w:rFonts w:ascii="Times New Roman" w:hAnsi="Times New Roman" w:cs="Times New Roman"/>
                      </w:rPr>
                      <w:t>-491.63</w:t>
                    </w:r>
                  </w:p>
                </w:tc>
              </w:tr>
              <w:tr w:rsidR="00D21C1F" w14:paraId="21AAA393" w14:textId="77777777">
                <w:tc>
                  <w:tcPr>
                    <w:tcW w:w="2122" w:type="dxa"/>
                  </w:tcPr>
                  <w:p w14:paraId="5E970DCC" w14:textId="77777777" w:rsidR="00D21C1F" w:rsidRDefault="00A42880">
                    <w:pPr>
                      <w:pStyle w:val="97"/>
                      <w:rPr>
                        <w:rFonts w:ascii="Times New Roman" w:hAnsi="Times New Roman" w:cs="Times New Roman"/>
                      </w:rPr>
                    </w:pPr>
                    <w:r>
                      <w:rPr>
                        <w:rFonts w:ascii="Times New Roman" w:hAnsi="Times New Roman" w:cs="Times New Roman"/>
                      </w:rPr>
                      <w:t>广东埃华路</w:t>
                    </w:r>
                  </w:p>
                </w:tc>
                <w:tc>
                  <w:tcPr>
                    <w:tcW w:w="4647" w:type="dxa"/>
                  </w:tcPr>
                  <w:p w14:paraId="63F92B8A" w14:textId="77777777" w:rsidR="00D21C1F" w:rsidRDefault="00A42880">
                    <w:pPr>
                      <w:pStyle w:val="97"/>
                      <w:rPr>
                        <w:rFonts w:ascii="Times New Roman" w:hAnsi="Times New Roman" w:cs="Times New Roman"/>
                      </w:rPr>
                    </w:pPr>
                    <w:r>
                      <w:rPr>
                        <w:rFonts w:ascii="Times New Roman" w:hAnsi="Times New Roman" w:cs="Times New Roman"/>
                      </w:rPr>
                      <w:t>主营业务为通用工业的机器人系统集成</w:t>
                    </w:r>
                  </w:p>
                </w:tc>
                <w:tc>
                  <w:tcPr>
                    <w:tcW w:w="1161" w:type="dxa"/>
                    <w:vAlign w:val="bottom"/>
                  </w:tcPr>
                  <w:p w14:paraId="69084491" w14:textId="77777777" w:rsidR="00D21C1F" w:rsidRDefault="00A42880">
                    <w:pPr>
                      <w:pStyle w:val="97"/>
                      <w:jc w:val="right"/>
                      <w:rPr>
                        <w:rFonts w:ascii="Times New Roman" w:hAnsi="Times New Roman" w:cs="Times New Roman"/>
                      </w:rPr>
                    </w:pPr>
                    <w:r>
                      <w:rPr>
                        <w:rFonts w:ascii="Times New Roman" w:hAnsi="Times New Roman" w:cs="Times New Roman"/>
                      </w:rPr>
                      <w:t>66.67%</w:t>
                    </w:r>
                  </w:p>
                </w:tc>
                <w:tc>
                  <w:tcPr>
                    <w:tcW w:w="1161" w:type="dxa"/>
                    <w:vAlign w:val="bottom"/>
                  </w:tcPr>
                  <w:p w14:paraId="7D3B5D0B" w14:textId="77777777" w:rsidR="00D21C1F" w:rsidRDefault="00A42880">
                    <w:pPr>
                      <w:pStyle w:val="97"/>
                      <w:jc w:val="right"/>
                      <w:rPr>
                        <w:rFonts w:ascii="Times New Roman" w:hAnsi="Times New Roman" w:cs="Times New Roman"/>
                      </w:rPr>
                    </w:pPr>
                    <w:r>
                      <w:rPr>
                        <w:rFonts w:ascii="Times New Roman" w:hAnsi="Times New Roman" w:cs="Times New Roman"/>
                      </w:rPr>
                      <w:t>33.33%</w:t>
                    </w:r>
                  </w:p>
                </w:tc>
                <w:tc>
                  <w:tcPr>
                    <w:tcW w:w="1373" w:type="dxa"/>
                    <w:vAlign w:val="bottom"/>
                  </w:tcPr>
                  <w:p w14:paraId="696D5E30" w14:textId="77777777" w:rsidR="00D21C1F" w:rsidRDefault="00A42880">
                    <w:pPr>
                      <w:pStyle w:val="97"/>
                      <w:jc w:val="right"/>
                      <w:rPr>
                        <w:rFonts w:ascii="Times New Roman" w:hAnsi="Times New Roman" w:cs="Times New Roman"/>
                      </w:rPr>
                    </w:pPr>
                    <w:r>
                      <w:rPr>
                        <w:rFonts w:ascii="Times New Roman" w:hAnsi="Times New Roman" w:cs="Times New Roman"/>
                      </w:rPr>
                      <w:t>3000</w:t>
                    </w:r>
                  </w:p>
                </w:tc>
                <w:tc>
                  <w:tcPr>
                    <w:tcW w:w="1161" w:type="dxa"/>
                    <w:vAlign w:val="bottom"/>
                  </w:tcPr>
                  <w:p w14:paraId="23C3468F" w14:textId="77777777" w:rsidR="00D21C1F" w:rsidRDefault="00A42880">
                    <w:pPr>
                      <w:pStyle w:val="97"/>
                      <w:jc w:val="right"/>
                      <w:rPr>
                        <w:rFonts w:ascii="Times New Roman" w:hAnsi="Times New Roman" w:cs="Times New Roman"/>
                      </w:rPr>
                    </w:pPr>
                    <w:r>
                      <w:rPr>
                        <w:rFonts w:ascii="Times New Roman" w:hAnsi="Times New Roman" w:cs="Times New Roman"/>
                      </w:rPr>
                      <w:t>2,508.98</w:t>
                    </w:r>
                  </w:p>
                </w:tc>
                <w:tc>
                  <w:tcPr>
                    <w:tcW w:w="1234" w:type="dxa"/>
                    <w:vAlign w:val="bottom"/>
                  </w:tcPr>
                  <w:p w14:paraId="15769DBD" w14:textId="77777777" w:rsidR="00D21C1F" w:rsidRDefault="00A42880">
                    <w:pPr>
                      <w:pStyle w:val="97"/>
                      <w:jc w:val="right"/>
                      <w:rPr>
                        <w:rFonts w:ascii="Times New Roman" w:hAnsi="Times New Roman" w:cs="Times New Roman"/>
                      </w:rPr>
                    </w:pPr>
                    <w:r>
                      <w:rPr>
                        <w:rFonts w:ascii="Times New Roman" w:hAnsi="Times New Roman" w:cs="Times New Roman"/>
                      </w:rPr>
                      <w:t>349.32</w:t>
                    </w:r>
                  </w:p>
                </w:tc>
                <w:tc>
                  <w:tcPr>
                    <w:tcW w:w="1170" w:type="dxa"/>
                    <w:vAlign w:val="bottom"/>
                  </w:tcPr>
                  <w:p w14:paraId="028E2193" w14:textId="77777777" w:rsidR="00D21C1F" w:rsidRDefault="00A42880">
                    <w:pPr>
                      <w:pStyle w:val="97"/>
                      <w:jc w:val="right"/>
                      <w:rPr>
                        <w:rFonts w:ascii="Times New Roman" w:hAnsi="Times New Roman" w:cs="Times New Roman"/>
                      </w:rPr>
                    </w:pPr>
                    <w:r>
                      <w:rPr>
                        <w:rFonts w:ascii="Times New Roman" w:hAnsi="Times New Roman" w:cs="Times New Roman"/>
                      </w:rPr>
                      <w:t>-127.96</w:t>
                    </w:r>
                  </w:p>
                </w:tc>
              </w:tr>
              <w:tr w:rsidR="00D21C1F" w14:paraId="78D27776" w14:textId="77777777">
                <w:tc>
                  <w:tcPr>
                    <w:tcW w:w="2122" w:type="dxa"/>
                  </w:tcPr>
                  <w:p w14:paraId="2A520776" w14:textId="77777777" w:rsidR="00D21C1F" w:rsidRDefault="00A42880">
                    <w:pPr>
                      <w:pStyle w:val="97"/>
                      <w:rPr>
                        <w:rFonts w:ascii="Times New Roman" w:hAnsi="Times New Roman" w:cs="Times New Roman"/>
                      </w:rPr>
                    </w:pPr>
                    <w:r>
                      <w:rPr>
                        <w:rFonts w:ascii="Times New Roman" w:hAnsi="Times New Roman" w:cs="Times New Roman"/>
                      </w:rPr>
                      <w:t>WFC</w:t>
                    </w:r>
                  </w:p>
                </w:tc>
                <w:tc>
                  <w:tcPr>
                    <w:tcW w:w="4647" w:type="dxa"/>
                  </w:tcPr>
                  <w:p w14:paraId="27F5082B" w14:textId="77D1B1E9" w:rsidR="00D21C1F" w:rsidRDefault="00D07E51">
                    <w:pPr>
                      <w:pStyle w:val="97"/>
                      <w:rPr>
                        <w:rFonts w:ascii="Times New Roman" w:hAnsi="Times New Roman" w:cs="Times New Roman"/>
                      </w:rPr>
                    </w:pPr>
                    <w:r>
                      <w:rPr>
                        <w:rFonts w:ascii="Times New Roman" w:hAnsi="Times New Roman" w:cs="Times New Roman"/>
                      </w:rPr>
                      <w:t>境外</w:t>
                    </w:r>
                    <w:r w:rsidR="00A42880">
                      <w:rPr>
                        <w:rFonts w:ascii="Times New Roman" w:hAnsi="Times New Roman" w:cs="Times New Roman"/>
                      </w:rPr>
                      <w:t>汽车行业系统集成业务</w:t>
                    </w:r>
                  </w:p>
                </w:tc>
                <w:tc>
                  <w:tcPr>
                    <w:tcW w:w="1161" w:type="dxa"/>
                    <w:vAlign w:val="bottom"/>
                  </w:tcPr>
                  <w:p w14:paraId="7E472C57" w14:textId="77777777" w:rsidR="00D21C1F" w:rsidRDefault="00A42880">
                    <w:pPr>
                      <w:pStyle w:val="97"/>
                      <w:jc w:val="right"/>
                      <w:rPr>
                        <w:rFonts w:ascii="Times New Roman" w:hAnsi="Times New Roman" w:cs="Times New Roman"/>
                      </w:rPr>
                    </w:pPr>
                    <w:r>
                      <w:rPr>
                        <w:rFonts w:ascii="Times New Roman" w:hAnsi="Times New Roman" w:cs="Times New Roman"/>
                      </w:rPr>
                      <w:t>100.00%</w:t>
                    </w:r>
                  </w:p>
                </w:tc>
                <w:tc>
                  <w:tcPr>
                    <w:tcW w:w="1161" w:type="dxa"/>
                    <w:vAlign w:val="bottom"/>
                  </w:tcPr>
                  <w:p w14:paraId="0B7CF3D4"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53A2C6FC" w14:textId="77777777" w:rsidR="00D21C1F" w:rsidRDefault="00A42880">
                    <w:pPr>
                      <w:pStyle w:val="97"/>
                      <w:jc w:val="right"/>
                      <w:rPr>
                        <w:rFonts w:ascii="Times New Roman" w:hAnsi="Times New Roman" w:cs="Times New Roman"/>
                      </w:rPr>
                    </w:pPr>
                    <w:r>
                      <w:rPr>
                        <w:rFonts w:ascii="Times New Roman" w:hAnsi="Times New Roman" w:cs="Times New Roman"/>
                      </w:rPr>
                      <w:t>10</w:t>
                    </w:r>
                    <w:r>
                      <w:rPr>
                        <w:rFonts w:ascii="Times New Roman" w:hAnsi="Times New Roman" w:cs="Times New Roman"/>
                      </w:rPr>
                      <w:t>万欧元</w:t>
                    </w:r>
                  </w:p>
                </w:tc>
                <w:tc>
                  <w:tcPr>
                    <w:tcW w:w="1161" w:type="dxa"/>
                    <w:vAlign w:val="bottom"/>
                  </w:tcPr>
                  <w:p w14:paraId="26B88984" w14:textId="77777777" w:rsidR="00D21C1F" w:rsidRDefault="00A42880">
                    <w:pPr>
                      <w:pStyle w:val="97"/>
                      <w:jc w:val="right"/>
                      <w:rPr>
                        <w:rFonts w:ascii="Times New Roman" w:hAnsi="Times New Roman" w:cs="Times New Roman"/>
                      </w:rPr>
                    </w:pPr>
                    <w:r>
                      <w:rPr>
                        <w:rFonts w:ascii="Times New Roman" w:hAnsi="Times New Roman" w:cs="Times New Roman"/>
                      </w:rPr>
                      <w:t>83,323.66</w:t>
                    </w:r>
                  </w:p>
                </w:tc>
                <w:tc>
                  <w:tcPr>
                    <w:tcW w:w="1234" w:type="dxa"/>
                    <w:vAlign w:val="bottom"/>
                  </w:tcPr>
                  <w:p w14:paraId="108049E0" w14:textId="77777777" w:rsidR="00D21C1F" w:rsidRDefault="00A42880">
                    <w:pPr>
                      <w:pStyle w:val="97"/>
                      <w:jc w:val="right"/>
                      <w:rPr>
                        <w:rFonts w:ascii="Times New Roman" w:hAnsi="Times New Roman" w:cs="Times New Roman"/>
                      </w:rPr>
                    </w:pPr>
                    <w:r>
                      <w:rPr>
                        <w:rFonts w:ascii="Times New Roman" w:hAnsi="Times New Roman" w:cs="Times New Roman"/>
                      </w:rPr>
                      <w:t>48,751.66</w:t>
                    </w:r>
                  </w:p>
                </w:tc>
                <w:tc>
                  <w:tcPr>
                    <w:tcW w:w="1170" w:type="dxa"/>
                    <w:vAlign w:val="bottom"/>
                  </w:tcPr>
                  <w:p w14:paraId="249EBD57" w14:textId="77777777" w:rsidR="00D21C1F" w:rsidRDefault="00A42880">
                    <w:pPr>
                      <w:pStyle w:val="97"/>
                      <w:jc w:val="right"/>
                      <w:rPr>
                        <w:rFonts w:ascii="Times New Roman" w:hAnsi="Times New Roman" w:cs="Times New Roman"/>
                      </w:rPr>
                    </w:pPr>
                    <w:r>
                      <w:rPr>
                        <w:rFonts w:ascii="Times New Roman" w:hAnsi="Times New Roman" w:cs="Times New Roman"/>
                      </w:rPr>
                      <w:t>-1,128.06</w:t>
                    </w:r>
                  </w:p>
                </w:tc>
              </w:tr>
              <w:tr w:rsidR="00D21C1F" w14:paraId="4E6E4D12" w14:textId="77777777">
                <w:tc>
                  <w:tcPr>
                    <w:tcW w:w="2122" w:type="dxa"/>
                  </w:tcPr>
                  <w:p w14:paraId="3D3DE74C" w14:textId="77777777" w:rsidR="00D21C1F" w:rsidRDefault="00A42880">
                    <w:pPr>
                      <w:pStyle w:val="97"/>
                      <w:rPr>
                        <w:rFonts w:ascii="Times New Roman" w:hAnsi="Times New Roman" w:cs="Times New Roman"/>
                      </w:rPr>
                    </w:pPr>
                    <w:r>
                      <w:rPr>
                        <w:rFonts w:ascii="Times New Roman" w:hAnsi="Times New Roman" w:cs="Times New Roman"/>
                      </w:rPr>
                      <w:t>瑞博思</w:t>
                    </w:r>
                  </w:p>
                </w:tc>
                <w:tc>
                  <w:tcPr>
                    <w:tcW w:w="4647" w:type="dxa"/>
                  </w:tcPr>
                  <w:p w14:paraId="0ADF2B26" w14:textId="77777777" w:rsidR="00D21C1F" w:rsidRDefault="00A42880">
                    <w:pPr>
                      <w:pStyle w:val="97"/>
                      <w:rPr>
                        <w:rFonts w:ascii="Times New Roman" w:hAnsi="Times New Roman" w:cs="Times New Roman"/>
                      </w:rPr>
                    </w:pPr>
                    <w:r>
                      <w:rPr>
                        <w:rFonts w:ascii="Times New Roman" w:hAnsi="Times New Roman" w:cs="Times New Roman"/>
                      </w:rPr>
                      <w:t>主营业务为生产、销售智能装备和机器人控制系统及成套解决方案</w:t>
                    </w:r>
                  </w:p>
                </w:tc>
                <w:tc>
                  <w:tcPr>
                    <w:tcW w:w="1161" w:type="dxa"/>
                    <w:vAlign w:val="bottom"/>
                  </w:tcPr>
                  <w:p w14:paraId="2E8710CB" w14:textId="77777777" w:rsidR="00D21C1F" w:rsidRDefault="00A42880">
                    <w:pPr>
                      <w:pStyle w:val="97"/>
                      <w:jc w:val="right"/>
                      <w:rPr>
                        <w:rFonts w:ascii="Times New Roman" w:hAnsi="Times New Roman" w:cs="Times New Roman"/>
                      </w:rPr>
                    </w:pPr>
                    <w:r>
                      <w:rPr>
                        <w:rFonts w:ascii="Times New Roman" w:hAnsi="Times New Roman" w:cs="Times New Roman"/>
                      </w:rPr>
                      <w:t>60.00%</w:t>
                    </w:r>
                  </w:p>
                </w:tc>
                <w:tc>
                  <w:tcPr>
                    <w:tcW w:w="1161" w:type="dxa"/>
                    <w:vAlign w:val="bottom"/>
                  </w:tcPr>
                  <w:p w14:paraId="0E9C1A3C"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15A72526" w14:textId="77777777" w:rsidR="00D21C1F" w:rsidRDefault="00A42880">
                    <w:pPr>
                      <w:pStyle w:val="97"/>
                      <w:jc w:val="right"/>
                      <w:rPr>
                        <w:rFonts w:ascii="Times New Roman" w:hAnsi="Times New Roman" w:cs="Times New Roman"/>
                      </w:rPr>
                    </w:pPr>
                    <w:r>
                      <w:rPr>
                        <w:rFonts w:ascii="Times New Roman" w:hAnsi="Times New Roman" w:cs="Times New Roman"/>
                      </w:rPr>
                      <w:t>3000</w:t>
                    </w:r>
                  </w:p>
                </w:tc>
                <w:tc>
                  <w:tcPr>
                    <w:tcW w:w="1161" w:type="dxa"/>
                    <w:vAlign w:val="bottom"/>
                  </w:tcPr>
                  <w:p w14:paraId="4848E2DE" w14:textId="77777777" w:rsidR="00D21C1F" w:rsidRDefault="00A42880">
                    <w:pPr>
                      <w:pStyle w:val="97"/>
                      <w:jc w:val="right"/>
                      <w:rPr>
                        <w:rFonts w:ascii="Times New Roman" w:hAnsi="Times New Roman" w:cs="Times New Roman"/>
                      </w:rPr>
                    </w:pPr>
                    <w:r>
                      <w:rPr>
                        <w:rFonts w:ascii="Times New Roman" w:hAnsi="Times New Roman" w:cs="Times New Roman"/>
                      </w:rPr>
                      <w:t>2,593.74</w:t>
                    </w:r>
                  </w:p>
                </w:tc>
                <w:tc>
                  <w:tcPr>
                    <w:tcW w:w="1234" w:type="dxa"/>
                    <w:vAlign w:val="bottom"/>
                  </w:tcPr>
                  <w:p w14:paraId="2F34441A" w14:textId="77777777" w:rsidR="00D21C1F" w:rsidRDefault="00A42880">
                    <w:pPr>
                      <w:pStyle w:val="97"/>
                      <w:jc w:val="right"/>
                      <w:rPr>
                        <w:rFonts w:ascii="Times New Roman" w:hAnsi="Times New Roman" w:cs="Times New Roman"/>
                      </w:rPr>
                    </w:pPr>
                    <w:r>
                      <w:rPr>
                        <w:rFonts w:ascii="Times New Roman" w:hAnsi="Times New Roman" w:cs="Times New Roman"/>
                      </w:rPr>
                      <w:t>898.50</w:t>
                    </w:r>
                  </w:p>
                </w:tc>
                <w:tc>
                  <w:tcPr>
                    <w:tcW w:w="1170" w:type="dxa"/>
                    <w:vAlign w:val="bottom"/>
                  </w:tcPr>
                  <w:p w14:paraId="0325710A" w14:textId="77777777" w:rsidR="00D21C1F" w:rsidRDefault="00A42880">
                    <w:pPr>
                      <w:pStyle w:val="97"/>
                      <w:jc w:val="right"/>
                      <w:rPr>
                        <w:rFonts w:ascii="Times New Roman" w:hAnsi="Times New Roman" w:cs="Times New Roman"/>
                      </w:rPr>
                    </w:pPr>
                    <w:r>
                      <w:rPr>
                        <w:rFonts w:ascii="Times New Roman" w:hAnsi="Times New Roman" w:cs="Times New Roman"/>
                      </w:rPr>
                      <w:t>-217.06</w:t>
                    </w:r>
                  </w:p>
                </w:tc>
              </w:tr>
              <w:tr w:rsidR="00D21C1F" w14:paraId="2E354A63" w14:textId="77777777">
                <w:tc>
                  <w:tcPr>
                    <w:tcW w:w="2122" w:type="dxa"/>
                  </w:tcPr>
                  <w:p w14:paraId="788F8D78" w14:textId="77777777" w:rsidR="00D21C1F" w:rsidRDefault="00A42880">
                    <w:pPr>
                      <w:pStyle w:val="97"/>
                      <w:rPr>
                        <w:rFonts w:ascii="Times New Roman" w:hAnsi="Times New Roman" w:cs="Times New Roman"/>
                      </w:rPr>
                    </w:pPr>
                    <w:r>
                      <w:rPr>
                        <w:rFonts w:ascii="Times New Roman" w:hAnsi="Times New Roman" w:cs="Times New Roman"/>
                      </w:rPr>
                      <w:t>上海埃奇</w:t>
                    </w:r>
                  </w:p>
                </w:tc>
                <w:tc>
                  <w:tcPr>
                    <w:tcW w:w="4647" w:type="dxa"/>
                  </w:tcPr>
                  <w:p w14:paraId="363334F2" w14:textId="77777777" w:rsidR="00D21C1F" w:rsidRDefault="00A42880">
                    <w:pPr>
                      <w:pStyle w:val="97"/>
                      <w:rPr>
                        <w:rFonts w:ascii="Times New Roman" w:hAnsi="Times New Roman" w:cs="Times New Roman"/>
                      </w:rPr>
                    </w:pPr>
                    <w:r>
                      <w:rPr>
                        <w:rFonts w:ascii="Times New Roman" w:hAnsi="Times New Roman" w:cs="Times New Roman"/>
                      </w:rPr>
                      <w:t>主营业务为机器人及核心零部件的技术开发，服务与销售</w:t>
                    </w:r>
                  </w:p>
                </w:tc>
                <w:tc>
                  <w:tcPr>
                    <w:tcW w:w="1161" w:type="dxa"/>
                    <w:vAlign w:val="bottom"/>
                  </w:tcPr>
                  <w:p w14:paraId="65830798" w14:textId="77777777" w:rsidR="00D21C1F" w:rsidRDefault="00A42880">
                    <w:pPr>
                      <w:pStyle w:val="97"/>
                      <w:jc w:val="right"/>
                      <w:rPr>
                        <w:rFonts w:ascii="Times New Roman" w:hAnsi="Times New Roman" w:cs="Times New Roman"/>
                      </w:rPr>
                    </w:pPr>
                    <w:r>
                      <w:rPr>
                        <w:rFonts w:ascii="Times New Roman" w:hAnsi="Times New Roman" w:cs="Times New Roman"/>
                      </w:rPr>
                      <w:t>100.00%</w:t>
                    </w:r>
                  </w:p>
                </w:tc>
                <w:tc>
                  <w:tcPr>
                    <w:tcW w:w="1161" w:type="dxa"/>
                    <w:vAlign w:val="bottom"/>
                  </w:tcPr>
                  <w:p w14:paraId="6EC750B2"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6F6FADE1" w14:textId="77777777" w:rsidR="00D21C1F" w:rsidRDefault="00A42880">
                    <w:pPr>
                      <w:pStyle w:val="97"/>
                      <w:jc w:val="right"/>
                      <w:rPr>
                        <w:rFonts w:ascii="Times New Roman" w:hAnsi="Times New Roman" w:cs="Times New Roman"/>
                      </w:rPr>
                    </w:pPr>
                    <w:r>
                      <w:rPr>
                        <w:rFonts w:ascii="Times New Roman" w:hAnsi="Times New Roman" w:cs="Times New Roman"/>
                      </w:rPr>
                      <w:t>500</w:t>
                    </w:r>
                  </w:p>
                </w:tc>
                <w:tc>
                  <w:tcPr>
                    <w:tcW w:w="1161" w:type="dxa"/>
                    <w:vAlign w:val="bottom"/>
                  </w:tcPr>
                  <w:p w14:paraId="2A6E7C43" w14:textId="77777777" w:rsidR="00D21C1F" w:rsidRDefault="00A42880">
                    <w:pPr>
                      <w:pStyle w:val="97"/>
                      <w:jc w:val="right"/>
                      <w:rPr>
                        <w:rFonts w:ascii="Times New Roman" w:hAnsi="Times New Roman" w:cs="Times New Roman"/>
                      </w:rPr>
                    </w:pPr>
                    <w:r>
                      <w:rPr>
                        <w:rFonts w:ascii="Times New Roman" w:hAnsi="Times New Roman" w:cs="Times New Roman"/>
                      </w:rPr>
                      <w:t>2,274.36</w:t>
                    </w:r>
                  </w:p>
                </w:tc>
                <w:tc>
                  <w:tcPr>
                    <w:tcW w:w="1234" w:type="dxa"/>
                    <w:vAlign w:val="bottom"/>
                  </w:tcPr>
                  <w:p w14:paraId="6BA1E2FD" w14:textId="77777777" w:rsidR="00D21C1F" w:rsidRDefault="00A42880">
                    <w:pPr>
                      <w:pStyle w:val="97"/>
                      <w:jc w:val="right"/>
                      <w:rPr>
                        <w:rFonts w:ascii="Times New Roman" w:hAnsi="Times New Roman" w:cs="Times New Roman"/>
                      </w:rPr>
                    </w:pPr>
                    <w:r>
                      <w:rPr>
                        <w:rFonts w:ascii="Times New Roman" w:hAnsi="Times New Roman" w:cs="Times New Roman"/>
                      </w:rPr>
                      <w:t>683.26</w:t>
                    </w:r>
                  </w:p>
                </w:tc>
                <w:tc>
                  <w:tcPr>
                    <w:tcW w:w="1170" w:type="dxa"/>
                    <w:vAlign w:val="bottom"/>
                  </w:tcPr>
                  <w:p w14:paraId="3C8DFD25" w14:textId="77777777" w:rsidR="00D21C1F" w:rsidRDefault="00A42880">
                    <w:pPr>
                      <w:pStyle w:val="97"/>
                      <w:jc w:val="right"/>
                      <w:rPr>
                        <w:rFonts w:ascii="Times New Roman" w:hAnsi="Times New Roman" w:cs="Times New Roman"/>
                      </w:rPr>
                    </w:pPr>
                    <w:r>
                      <w:rPr>
                        <w:rFonts w:ascii="Times New Roman" w:hAnsi="Times New Roman" w:cs="Times New Roman"/>
                      </w:rPr>
                      <w:t>-9.81</w:t>
                    </w:r>
                  </w:p>
                </w:tc>
              </w:tr>
              <w:tr w:rsidR="00D21C1F" w14:paraId="3712C51D" w14:textId="77777777">
                <w:tc>
                  <w:tcPr>
                    <w:tcW w:w="2122" w:type="dxa"/>
                  </w:tcPr>
                  <w:p w14:paraId="4D73788D" w14:textId="3C558D00" w:rsidR="00D21C1F" w:rsidRDefault="00B5526E">
                    <w:pPr>
                      <w:pStyle w:val="97"/>
                      <w:rPr>
                        <w:rFonts w:ascii="Times New Roman" w:hAnsi="Times New Roman" w:cs="Times New Roman"/>
                      </w:rPr>
                    </w:pPr>
                    <w:r>
                      <w:rPr>
                        <w:rFonts w:ascii="Times New Roman" w:hAnsi="Times New Roman" w:cs="Times New Roman"/>
                      </w:rPr>
                      <w:t>Efort Europe</w:t>
                    </w:r>
                  </w:p>
                </w:tc>
                <w:tc>
                  <w:tcPr>
                    <w:tcW w:w="4647" w:type="dxa"/>
                  </w:tcPr>
                  <w:p w14:paraId="61E4A917" w14:textId="0940C16A" w:rsidR="00D21C1F" w:rsidRDefault="00A42880">
                    <w:pPr>
                      <w:pStyle w:val="97"/>
                      <w:rPr>
                        <w:rFonts w:ascii="Times New Roman" w:hAnsi="Times New Roman" w:cs="Times New Roman"/>
                      </w:rPr>
                    </w:pPr>
                    <w:r>
                      <w:rPr>
                        <w:rFonts w:ascii="Times New Roman" w:hAnsi="Times New Roman" w:cs="Times New Roman"/>
                      </w:rPr>
                      <w:t>主要负责</w:t>
                    </w:r>
                    <w:r w:rsidR="00D07E51">
                      <w:rPr>
                        <w:rFonts w:ascii="Times New Roman" w:hAnsi="Times New Roman" w:cs="Times New Roman"/>
                      </w:rPr>
                      <w:t>境外</w:t>
                    </w:r>
                    <w:r>
                      <w:rPr>
                        <w:rFonts w:ascii="Times New Roman" w:hAnsi="Times New Roman" w:cs="Times New Roman"/>
                      </w:rPr>
                      <w:t>子公司管控、</w:t>
                    </w:r>
                    <w:r w:rsidR="00D07E51">
                      <w:rPr>
                        <w:rFonts w:ascii="Times New Roman" w:hAnsi="Times New Roman" w:cs="Times New Roman"/>
                      </w:rPr>
                      <w:t>境外</w:t>
                    </w:r>
                    <w:r>
                      <w:rPr>
                        <w:rFonts w:ascii="Times New Roman" w:hAnsi="Times New Roman" w:cs="Times New Roman"/>
                      </w:rPr>
                      <w:t>研发项目管理</w:t>
                    </w:r>
                  </w:p>
                </w:tc>
                <w:tc>
                  <w:tcPr>
                    <w:tcW w:w="1161" w:type="dxa"/>
                    <w:vAlign w:val="bottom"/>
                  </w:tcPr>
                  <w:p w14:paraId="1C37B877" w14:textId="77777777" w:rsidR="00D21C1F" w:rsidRDefault="00A42880">
                    <w:pPr>
                      <w:pStyle w:val="97"/>
                      <w:jc w:val="right"/>
                      <w:rPr>
                        <w:rFonts w:ascii="Times New Roman" w:hAnsi="Times New Roman" w:cs="Times New Roman"/>
                      </w:rPr>
                    </w:pPr>
                    <w:r>
                      <w:rPr>
                        <w:rFonts w:ascii="Times New Roman" w:hAnsi="Times New Roman" w:cs="Times New Roman"/>
                      </w:rPr>
                      <w:t>100.00%</w:t>
                    </w:r>
                  </w:p>
                </w:tc>
                <w:tc>
                  <w:tcPr>
                    <w:tcW w:w="1161" w:type="dxa"/>
                    <w:vAlign w:val="bottom"/>
                  </w:tcPr>
                  <w:p w14:paraId="20AC704B"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125CB687" w14:textId="77777777" w:rsidR="00D21C1F" w:rsidRDefault="00A42880">
                    <w:pPr>
                      <w:pStyle w:val="97"/>
                      <w:jc w:val="right"/>
                      <w:rPr>
                        <w:rFonts w:ascii="Times New Roman" w:hAnsi="Times New Roman" w:cs="Times New Roman"/>
                      </w:rPr>
                    </w:pPr>
                    <w:r>
                      <w:rPr>
                        <w:rFonts w:ascii="Times New Roman" w:hAnsi="Times New Roman" w:cs="Times New Roman"/>
                      </w:rPr>
                      <w:t>10</w:t>
                    </w:r>
                    <w:r>
                      <w:rPr>
                        <w:rFonts w:ascii="Times New Roman" w:hAnsi="Times New Roman" w:cs="Times New Roman"/>
                      </w:rPr>
                      <w:t>万欧元</w:t>
                    </w:r>
                  </w:p>
                </w:tc>
                <w:tc>
                  <w:tcPr>
                    <w:tcW w:w="1161" w:type="dxa"/>
                    <w:vAlign w:val="bottom"/>
                  </w:tcPr>
                  <w:p w14:paraId="09D32540" w14:textId="77777777" w:rsidR="00D21C1F" w:rsidRDefault="00A42880">
                    <w:pPr>
                      <w:pStyle w:val="97"/>
                      <w:jc w:val="right"/>
                      <w:rPr>
                        <w:rFonts w:ascii="Times New Roman" w:hAnsi="Times New Roman" w:cs="Times New Roman"/>
                      </w:rPr>
                    </w:pPr>
                    <w:r>
                      <w:rPr>
                        <w:rFonts w:ascii="Times New Roman" w:hAnsi="Times New Roman" w:cs="Times New Roman"/>
                      </w:rPr>
                      <w:t>18,825.84</w:t>
                    </w:r>
                  </w:p>
                </w:tc>
                <w:tc>
                  <w:tcPr>
                    <w:tcW w:w="1234" w:type="dxa"/>
                    <w:vAlign w:val="bottom"/>
                  </w:tcPr>
                  <w:p w14:paraId="0448B151" w14:textId="77777777" w:rsidR="00D21C1F" w:rsidRDefault="00A42880">
                    <w:pPr>
                      <w:pStyle w:val="97"/>
                      <w:jc w:val="right"/>
                      <w:rPr>
                        <w:rFonts w:ascii="Times New Roman" w:hAnsi="Times New Roman" w:cs="Times New Roman"/>
                      </w:rPr>
                    </w:pPr>
                    <w:r>
                      <w:rPr>
                        <w:rFonts w:ascii="Times New Roman" w:hAnsi="Times New Roman" w:cs="Times New Roman"/>
                      </w:rPr>
                      <w:t>2,092.09</w:t>
                    </w:r>
                  </w:p>
                </w:tc>
                <w:tc>
                  <w:tcPr>
                    <w:tcW w:w="1170" w:type="dxa"/>
                    <w:vAlign w:val="bottom"/>
                  </w:tcPr>
                  <w:p w14:paraId="73C71237" w14:textId="77777777" w:rsidR="00D21C1F" w:rsidRDefault="00A42880">
                    <w:pPr>
                      <w:pStyle w:val="97"/>
                      <w:jc w:val="right"/>
                      <w:rPr>
                        <w:rFonts w:ascii="Times New Roman" w:hAnsi="Times New Roman" w:cs="Times New Roman"/>
                      </w:rPr>
                    </w:pPr>
                    <w:r>
                      <w:rPr>
                        <w:rFonts w:ascii="Times New Roman" w:hAnsi="Times New Roman" w:cs="Times New Roman"/>
                      </w:rPr>
                      <w:t>-98.93</w:t>
                    </w:r>
                  </w:p>
                </w:tc>
              </w:tr>
              <w:tr w:rsidR="00D21C1F" w14:paraId="5FF107BA" w14:textId="77777777">
                <w:tc>
                  <w:tcPr>
                    <w:tcW w:w="2122" w:type="dxa"/>
                  </w:tcPr>
                  <w:p w14:paraId="6620AA32" w14:textId="77777777" w:rsidR="00D21C1F" w:rsidRDefault="00A42880">
                    <w:pPr>
                      <w:pStyle w:val="97"/>
                      <w:rPr>
                        <w:rFonts w:ascii="Times New Roman" w:hAnsi="Times New Roman" w:cs="Times New Roman"/>
                      </w:rPr>
                    </w:pPr>
                    <w:r>
                      <w:rPr>
                        <w:rFonts w:ascii="Times New Roman" w:hAnsi="Times New Roman" w:cs="Times New Roman"/>
                      </w:rPr>
                      <w:t>EVOLUT</w:t>
                    </w:r>
                  </w:p>
                </w:tc>
                <w:tc>
                  <w:tcPr>
                    <w:tcW w:w="4647" w:type="dxa"/>
                  </w:tcPr>
                  <w:p w14:paraId="0E2E3701" w14:textId="77777777" w:rsidR="00D21C1F" w:rsidRDefault="00A42880">
                    <w:pPr>
                      <w:pStyle w:val="97"/>
                      <w:rPr>
                        <w:rFonts w:ascii="Times New Roman" w:hAnsi="Times New Roman" w:cs="Times New Roman"/>
                      </w:rPr>
                    </w:pPr>
                    <w:r>
                      <w:rPr>
                        <w:rFonts w:ascii="Times New Roman" w:hAnsi="Times New Roman" w:cs="Times New Roman"/>
                      </w:rPr>
                      <w:t>主营业务为通用工业机器人系统集成设计、制造、销售和技术服务</w:t>
                    </w:r>
                  </w:p>
                </w:tc>
                <w:tc>
                  <w:tcPr>
                    <w:tcW w:w="1161" w:type="dxa"/>
                    <w:vAlign w:val="bottom"/>
                  </w:tcPr>
                  <w:p w14:paraId="1E00D7FD" w14:textId="77777777" w:rsidR="00D21C1F" w:rsidRDefault="00A42880">
                    <w:pPr>
                      <w:pStyle w:val="97"/>
                      <w:jc w:val="right"/>
                      <w:rPr>
                        <w:rFonts w:ascii="Times New Roman" w:hAnsi="Times New Roman" w:cs="Times New Roman"/>
                      </w:rPr>
                    </w:pPr>
                    <w:r>
                      <w:rPr>
                        <w:rFonts w:ascii="Times New Roman" w:hAnsi="Times New Roman" w:cs="Times New Roman"/>
                      </w:rPr>
                      <w:t>54.79%</w:t>
                    </w:r>
                  </w:p>
                </w:tc>
                <w:tc>
                  <w:tcPr>
                    <w:tcW w:w="1161" w:type="dxa"/>
                    <w:vAlign w:val="bottom"/>
                  </w:tcPr>
                  <w:p w14:paraId="216AC859" w14:textId="77777777" w:rsidR="00D21C1F" w:rsidRDefault="00A42880">
                    <w:pPr>
                      <w:pStyle w:val="97"/>
                      <w:jc w:val="right"/>
                      <w:rPr>
                        <w:rFonts w:ascii="Times New Roman" w:hAnsi="Times New Roman" w:cs="Times New Roman"/>
                      </w:rPr>
                    </w:pPr>
                    <w:r>
                      <w:rPr>
                        <w:rFonts w:ascii="Times New Roman" w:hAnsi="Times New Roman" w:cs="Times New Roman"/>
                      </w:rPr>
                      <w:t>45.21%</w:t>
                    </w:r>
                  </w:p>
                </w:tc>
                <w:tc>
                  <w:tcPr>
                    <w:tcW w:w="1373" w:type="dxa"/>
                    <w:vAlign w:val="bottom"/>
                  </w:tcPr>
                  <w:p w14:paraId="1894C418" w14:textId="77777777" w:rsidR="00D21C1F" w:rsidRDefault="00A42880">
                    <w:pPr>
                      <w:pStyle w:val="97"/>
                      <w:jc w:val="right"/>
                      <w:rPr>
                        <w:rFonts w:ascii="Times New Roman" w:hAnsi="Times New Roman" w:cs="Times New Roman"/>
                      </w:rPr>
                    </w:pPr>
                    <w:r>
                      <w:rPr>
                        <w:rFonts w:ascii="Times New Roman" w:hAnsi="Times New Roman" w:cs="Times New Roman"/>
                      </w:rPr>
                      <w:t>109.0909</w:t>
                    </w:r>
                    <w:r>
                      <w:rPr>
                        <w:rFonts w:ascii="Times New Roman" w:hAnsi="Times New Roman" w:cs="Times New Roman"/>
                      </w:rPr>
                      <w:t>万欧元</w:t>
                    </w:r>
                  </w:p>
                </w:tc>
                <w:tc>
                  <w:tcPr>
                    <w:tcW w:w="1161" w:type="dxa"/>
                    <w:vAlign w:val="bottom"/>
                  </w:tcPr>
                  <w:p w14:paraId="1E338451" w14:textId="77777777" w:rsidR="00D21C1F" w:rsidRDefault="00A42880">
                    <w:pPr>
                      <w:pStyle w:val="97"/>
                      <w:jc w:val="right"/>
                      <w:rPr>
                        <w:rFonts w:ascii="Times New Roman" w:hAnsi="Times New Roman" w:cs="Times New Roman"/>
                      </w:rPr>
                    </w:pPr>
                    <w:r>
                      <w:rPr>
                        <w:rFonts w:ascii="Times New Roman" w:hAnsi="Times New Roman" w:cs="Times New Roman"/>
                      </w:rPr>
                      <w:t xml:space="preserve">14,207.90 </w:t>
                    </w:r>
                  </w:p>
                </w:tc>
                <w:tc>
                  <w:tcPr>
                    <w:tcW w:w="1234" w:type="dxa"/>
                    <w:vAlign w:val="bottom"/>
                  </w:tcPr>
                  <w:p w14:paraId="3967E8B9" w14:textId="77777777" w:rsidR="00D21C1F" w:rsidRDefault="00A42880">
                    <w:pPr>
                      <w:pStyle w:val="97"/>
                      <w:jc w:val="right"/>
                      <w:rPr>
                        <w:rFonts w:ascii="Times New Roman" w:hAnsi="Times New Roman" w:cs="Times New Roman"/>
                      </w:rPr>
                    </w:pPr>
                    <w:r>
                      <w:rPr>
                        <w:rFonts w:ascii="Times New Roman" w:hAnsi="Times New Roman" w:cs="Times New Roman"/>
                      </w:rPr>
                      <w:t xml:space="preserve">-523.03 </w:t>
                    </w:r>
                  </w:p>
                </w:tc>
                <w:tc>
                  <w:tcPr>
                    <w:tcW w:w="1170" w:type="dxa"/>
                    <w:vAlign w:val="bottom"/>
                  </w:tcPr>
                  <w:p w14:paraId="6257DE1E" w14:textId="77777777" w:rsidR="00D21C1F" w:rsidRDefault="00A42880">
                    <w:pPr>
                      <w:pStyle w:val="97"/>
                      <w:jc w:val="right"/>
                      <w:rPr>
                        <w:rFonts w:ascii="Times New Roman" w:hAnsi="Times New Roman" w:cs="Times New Roman"/>
                      </w:rPr>
                    </w:pPr>
                    <w:r>
                      <w:rPr>
                        <w:rFonts w:ascii="Times New Roman" w:hAnsi="Times New Roman" w:cs="Times New Roman"/>
                      </w:rPr>
                      <w:t xml:space="preserve">-903.14 </w:t>
                    </w:r>
                  </w:p>
                </w:tc>
              </w:tr>
              <w:tr w:rsidR="00D21C1F" w14:paraId="08902829" w14:textId="77777777">
                <w:tc>
                  <w:tcPr>
                    <w:tcW w:w="2122" w:type="dxa"/>
                  </w:tcPr>
                  <w:p w14:paraId="3CC25AD0" w14:textId="77777777" w:rsidR="00D21C1F" w:rsidRDefault="00A42880">
                    <w:pPr>
                      <w:pStyle w:val="97"/>
                      <w:rPr>
                        <w:rFonts w:ascii="Times New Roman" w:hAnsi="Times New Roman" w:cs="Times New Roman"/>
                      </w:rPr>
                    </w:pPr>
                    <w:r>
                      <w:rPr>
                        <w:rFonts w:ascii="Times New Roman" w:hAnsi="Times New Roman" w:cs="Times New Roman"/>
                      </w:rPr>
                      <w:t>Efort Systems</w:t>
                    </w:r>
                  </w:p>
                </w:tc>
                <w:tc>
                  <w:tcPr>
                    <w:tcW w:w="4647" w:type="dxa"/>
                  </w:tcPr>
                  <w:p w14:paraId="0722BB27" w14:textId="77777777" w:rsidR="00D21C1F" w:rsidRDefault="00A42880">
                    <w:pPr>
                      <w:pStyle w:val="97"/>
                      <w:rPr>
                        <w:rFonts w:ascii="Times New Roman" w:hAnsi="Times New Roman" w:cs="Times New Roman"/>
                      </w:rPr>
                    </w:pPr>
                    <w:r>
                      <w:rPr>
                        <w:rFonts w:ascii="Times New Roman" w:hAnsi="Times New Roman" w:cs="Times New Roman" w:hint="eastAsia"/>
                      </w:rPr>
                      <w:t>主营业务为通用工业机器人系统集成设计、制造、销售和技术服务</w:t>
                    </w:r>
                  </w:p>
                </w:tc>
                <w:tc>
                  <w:tcPr>
                    <w:tcW w:w="1161" w:type="dxa"/>
                    <w:vAlign w:val="bottom"/>
                  </w:tcPr>
                  <w:p w14:paraId="5A72759F" w14:textId="77777777" w:rsidR="00D21C1F" w:rsidRDefault="00A42880">
                    <w:pPr>
                      <w:pStyle w:val="97"/>
                      <w:jc w:val="right"/>
                      <w:rPr>
                        <w:rFonts w:ascii="Times New Roman" w:hAnsi="Times New Roman" w:cs="Times New Roman"/>
                      </w:rPr>
                    </w:pPr>
                    <w:r>
                      <w:rPr>
                        <w:rFonts w:ascii="Times New Roman" w:hAnsi="Times New Roman" w:cs="Times New Roman"/>
                      </w:rPr>
                      <w:t>-</w:t>
                    </w:r>
                  </w:p>
                </w:tc>
                <w:tc>
                  <w:tcPr>
                    <w:tcW w:w="1161" w:type="dxa"/>
                    <w:vAlign w:val="bottom"/>
                  </w:tcPr>
                  <w:p w14:paraId="74174646" w14:textId="77777777" w:rsidR="00D21C1F" w:rsidRDefault="00A42880">
                    <w:pPr>
                      <w:pStyle w:val="97"/>
                      <w:jc w:val="right"/>
                      <w:rPr>
                        <w:rFonts w:ascii="Times New Roman" w:hAnsi="Times New Roman" w:cs="Times New Roman"/>
                      </w:rPr>
                    </w:pPr>
                    <w:r>
                      <w:rPr>
                        <w:rFonts w:ascii="Times New Roman" w:hAnsi="Times New Roman" w:cs="Times New Roman"/>
                      </w:rPr>
                      <w:t>100.00%</w:t>
                    </w:r>
                  </w:p>
                </w:tc>
                <w:tc>
                  <w:tcPr>
                    <w:tcW w:w="1373" w:type="dxa"/>
                    <w:vAlign w:val="bottom"/>
                  </w:tcPr>
                  <w:p w14:paraId="3BEFF2C0" w14:textId="77777777" w:rsidR="00D21C1F" w:rsidRDefault="00A42880">
                    <w:pPr>
                      <w:pStyle w:val="97"/>
                      <w:jc w:val="right"/>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万欧元</w:t>
                    </w:r>
                  </w:p>
                </w:tc>
                <w:tc>
                  <w:tcPr>
                    <w:tcW w:w="1161" w:type="dxa"/>
                    <w:vAlign w:val="bottom"/>
                  </w:tcPr>
                  <w:p w14:paraId="7F408B62" w14:textId="77777777" w:rsidR="00D21C1F" w:rsidRDefault="00A42880">
                    <w:pPr>
                      <w:pStyle w:val="97"/>
                      <w:jc w:val="right"/>
                      <w:rPr>
                        <w:rFonts w:ascii="Times New Roman" w:hAnsi="Times New Roman" w:cs="Times New Roman"/>
                      </w:rPr>
                    </w:pPr>
                    <w:r>
                      <w:rPr>
                        <w:rFonts w:ascii="Times New Roman" w:hAnsi="Times New Roman" w:cs="Times New Roman"/>
                      </w:rPr>
                      <w:t>2,705.35</w:t>
                    </w:r>
                  </w:p>
                </w:tc>
                <w:tc>
                  <w:tcPr>
                    <w:tcW w:w="1234" w:type="dxa"/>
                    <w:vAlign w:val="bottom"/>
                  </w:tcPr>
                  <w:p w14:paraId="6A30346C" w14:textId="77777777" w:rsidR="00D21C1F" w:rsidRDefault="00A42880">
                    <w:pPr>
                      <w:pStyle w:val="97"/>
                      <w:jc w:val="right"/>
                      <w:rPr>
                        <w:rFonts w:ascii="Times New Roman" w:hAnsi="Times New Roman" w:cs="Times New Roman"/>
                      </w:rPr>
                    </w:pPr>
                    <w:r>
                      <w:rPr>
                        <w:rFonts w:ascii="Times New Roman" w:hAnsi="Times New Roman" w:cs="Times New Roman"/>
                      </w:rPr>
                      <w:t>-834.76</w:t>
                    </w:r>
                  </w:p>
                </w:tc>
                <w:tc>
                  <w:tcPr>
                    <w:tcW w:w="1170" w:type="dxa"/>
                    <w:vAlign w:val="bottom"/>
                  </w:tcPr>
                  <w:p w14:paraId="5657FCF5" w14:textId="77777777" w:rsidR="00D21C1F" w:rsidRDefault="00A42880">
                    <w:pPr>
                      <w:pStyle w:val="97"/>
                      <w:jc w:val="right"/>
                      <w:rPr>
                        <w:rFonts w:ascii="Times New Roman" w:hAnsi="Times New Roman" w:cs="Times New Roman"/>
                      </w:rPr>
                    </w:pPr>
                    <w:r>
                      <w:rPr>
                        <w:rFonts w:ascii="Times New Roman" w:hAnsi="Times New Roman" w:cs="Times New Roman"/>
                      </w:rPr>
                      <w:t>-211.60</w:t>
                    </w:r>
                  </w:p>
                </w:tc>
              </w:tr>
              <w:tr w:rsidR="00D21C1F" w14:paraId="18CBF4AC" w14:textId="77777777">
                <w:tc>
                  <w:tcPr>
                    <w:tcW w:w="2122" w:type="dxa"/>
                  </w:tcPr>
                  <w:p w14:paraId="1D61689D" w14:textId="77777777" w:rsidR="00D21C1F" w:rsidRDefault="00A42880">
                    <w:pPr>
                      <w:pStyle w:val="97"/>
                      <w:rPr>
                        <w:rFonts w:ascii="Times New Roman" w:hAnsi="Times New Roman" w:cs="Times New Roman"/>
                      </w:rPr>
                    </w:pPr>
                    <w:r>
                      <w:rPr>
                        <w:rFonts w:ascii="Times New Roman" w:hAnsi="Times New Roman" w:cs="Times New Roman"/>
                      </w:rPr>
                      <w:t>CMA</w:t>
                    </w:r>
                  </w:p>
                </w:tc>
                <w:tc>
                  <w:tcPr>
                    <w:tcW w:w="4647" w:type="dxa"/>
                  </w:tcPr>
                  <w:p w14:paraId="3CF71FF5" w14:textId="77777777" w:rsidR="00D21C1F" w:rsidRDefault="00A42880">
                    <w:pPr>
                      <w:pStyle w:val="97"/>
                      <w:rPr>
                        <w:rFonts w:ascii="Times New Roman" w:hAnsi="Times New Roman" w:cs="Times New Roman"/>
                      </w:rPr>
                    </w:pPr>
                    <w:r>
                      <w:rPr>
                        <w:rFonts w:ascii="Times New Roman" w:hAnsi="Times New Roman" w:cs="Times New Roman"/>
                      </w:rPr>
                      <w:t>主营业务为喷涂工业机器人及成套解决方案的研发、生产及销售</w:t>
                    </w:r>
                  </w:p>
                </w:tc>
                <w:tc>
                  <w:tcPr>
                    <w:tcW w:w="1161" w:type="dxa"/>
                    <w:vAlign w:val="bottom"/>
                  </w:tcPr>
                  <w:p w14:paraId="6F91DA6F"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161" w:type="dxa"/>
                    <w:vAlign w:val="bottom"/>
                  </w:tcPr>
                  <w:p w14:paraId="4975CBC2" w14:textId="77777777" w:rsidR="00D21C1F" w:rsidRDefault="00A42880">
                    <w:pPr>
                      <w:pStyle w:val="97"/>
                      <w:jc w:val="right"/>
                      <w:rPr>
                        <w:rFonts w:ascii="Times New Roman" w:hAnsi="Times New Roman" w:cs="Times New Roman"/>
                      </w:rPr>
                    </w:pPr>
                    <w:r>
                      <w:rPr>
                        <w:rFonts w:ascii="Times New Roman" w:hAnsi="Times New Roman" w:cs="Times New Roman"/>
                      </w:rPr>
                      <w:t>100.00%</w:t>
                    </w:r>
                  </w:p>
                </w:tc>
                <w:tc>
                  <w:tcPr>
                    <w:tcW w:w="1373" w:type="dxa"/>
                    <w:vAlign w:val="bottom"/>
                  </w:tcPr>
                  <w:p w14:paraId="4716BFFF" w14:textId="77777777" w:rsidR="00D21C1F" w:rsidRDefault="00A42880">
                    <w:pPr>
                      <w:pStyle w:val="97"/>
                      <w:jc w:val="right"/>
                      <w:rPr>
                        <w:rFonts w:ascii="Times New Roman" w:hAnsi="Times New Roman" w:cs="Times New Roman"/>
                      </w:rPr>
                    </w:pPr>
                    <w:r>
                      <w:rPr>
                        <w:rFonts w:ascii="Times New Roman" w:hAnsi="Times New Roman" w:cs="Times New Roman"/>
                      </w:rPr>
                      <w:t>100</w:t>
                    </w:r>
                    <w:r>
                      <w:rPr>
                        <w:rFonts w:ascii="Times New Roman" w:hAnsi="Times New Roman" w:cs="Times New Roman"/>
                      </w:rPr>
                      <w:t>万欧元</w:t>
                    </w:r>
                  </w:p>
                </w:tc>
                <w:tc>
                  <w:tcPr>
                    <w:tcW w:w="1161" w:type="dxa"/>
                    <w:vAlign w:val="bottom"/>
                  </w:tcPr>
                  <w:p w14:paraId="4ED07067" w14:textId="77777777" w:rsidR="00D21C1F" w:rsidRDefault="00A42880">
                    <w:pPr>
                      <w:pStyle w:val="97"/>
                      <w:jc w:val="right"/>
                      <w:rPr>
                        <w:rFonts w:ascii="Times New Roman" w:hAnsi="Times New Roman" w:cs="Times New Roman"/>
                      </w:rPr>
                    </w:pPr>
                    <w:r>
                      <w:rPr>
                        <w:rFonts w:ascii="Times New Roman" w:hAnsi="Times New Roman" w:cs="Times New Roman"/>
                      </w:rPr>
                      <w:t>7,542.16</w:t>
                    </w:r>
                  </w:p>
                </w:tc>
                <w:tc>
                  <w:tcPr>
                    <w:tcW w:w="1234" w:type="dxa"/>
                    <w:vAlign w:val="bottom"/>
                  </w:tcPr>
                  <w:p w14:paraId="2D75064C" w14:textId="77777777" w:rsidR="00D21C1F" w:rsidRDefault="00A42880">
                    <w:pPr>
                      <w:pStyle w:val="97"/>
                      <w:jc w:val="right"/>
                      <w:rPr>
                        <w:rFonts w:ascii="Times New Roman" w:hAnsi="Times New Roman" w:cs="Times New Roman"/>
                      </w:rPr>
                    </w:pPr>
                    <w:r>
                      <w:rPr>
                        <w:rFonts w:ascii="Times New Roman" w:hAnsi="Times New Roman" w:cs="Times New Roman"/>
                      </w:rPr>
                      <w:t>1,702.58</w:t>
                    </w:r>
                  </w:p>
                </w:tc>
                <w:tc>
                  <w:tcPr>
                    <w:tcW w:w="1170" w:type="dxa"/>
                    <w:vAlign w:val="bottom"/>
                  </w:tcPr>
                  <w:p w14:paraId="7D7F5424" w14:textId="77777777" w:rsidR="00D21C1F" w:rsidRDefault="00A42880">
                    <w:pPr>
                      <w:pStyle w:val="97"/>
                      <w:jc w:val="right"/>
                      <w:rPr>
                        <w:rFonts w:ascii="Times New Roman" w:hAnsi="Times New Roman" w:cs="Times New Roman"/>
                      </w:rPr>
                    </w:pPr>
                    <w:r>
                      <w:rPr>
                        <w:rFonts w:ascii="Times New Roman" w:hAnsi="Times New Roman" w:cs="Times New Roman"/>
                      </w:rPr>
                      <w:t>81.29</w:t>
                    </w:r>
                  </w:p>
                </w:tc>
              </w:tr>
              <w:tr w:rsidR="00D21C1F" w14:paraId="1FB51EAD" w14:textId="77777777">
                <w:tc>
                  <w:tcPr>
                    <w:tcW w:w="2122" w:type="dxa"/>
                  </w:tcPr>
                  <w:p w14:paraId="63762D3E" w14:textId="77777777" w:rsidR="00D21C1F" w:rsidRDefault="00A42880">
                    <w:pPr>
                      <w:pStyle w:val="97"/>
                      <w:rPr>
                        <w:rFonts w:ascii="Times New Roman" w:hAnsi="Times New Roman" w:cs="Times New Roman"/>
                      </w:rPr>
                    </w:pPr>
                    <w:r>
                      <w:rPr>
                        <w:rFonts w:ascii="Times New Roman" w:hAnsi="Times New Roman" w:cs="Times New Roman"/>
                      </w:rPr>
                      <w:t>ROBOX</w:t>
                    </w:r>
                  </w:p>
                </w:tc>
                <w:tc>
                  <w:tcPr>
                    <w:tcW w:w="4647" w:type="dxa"/>
                  </w:tcPr>
                  <w:p w14:paraId="47B29DA8" w14:textId="77777777" w:rsidR="00D21C1F" w:rsidRDefault="00A42880">
                    <w:pPr>
                      <w:pStyle w:val="97"/>
                      <w:rPr>
                        <w:rFonts w:ascii="Times New Roman" w:hAnsi="Times New Roman" w:cs="Times New Roman"/>
                      </w:rPr>
                    </w:pPr>
                    <w:r>
                      <w:rPr>
                        <w:rFonts w:ascii="Times New Roman" w:hAnsi="Times New Roman" w:cs="Times New Roman"/>
                      </w:rPr>
                      <w:t>主营业务为机器人运动控制器和驱动器的生产和销售，为机器人运动控制平台研发和技术支持</w:t>
                    </w:r>
                  </w:p>
                </w:tc>
                <w:tc>
                  <w:tcPr>
                    <w:tcW w:w="1161" w:type="dxa"/>
                    <w:vAlign w:val="bottom"/>
                  </w:tcPr>
                  <w:p w14:paraId="2A5712B8" w14:textId="77777777" w:rsidR="00D21C1F" w:rsidRDefault="00A42880">
                    <w:pPr>
                      <w:pStyle w:val="97"/>
                      <w:jc w:val="right"/>
                      <w:rPr>
                        <w:rFonts w:ascii="Times New Roman" w:hAnsi="Times New Roman" w:cs="Times New Roman"/>
                      </w:rPr>
                    </w:pPr>
                    <w:r>
                      <w:rPr>
                        <w:rFonts w:ascii="Times New Roman" w:hAnsi="Times New Roman" w:cs="Times New Roman"/>
                      </w:rPr>
                      <w:t>40.00%</w:t>
                    </w:r>
                  </w:p>
                </w:tc>
                <w:tc>
                  <w:tcPr>
                    <w:tcW w:w="1161" w:type="dxa"/>
                    <w:vAlign w:val="bottom"/>
                  </w:tcPr>
                  <w:p w14:paraId="6975EAC4"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6BBC5DCE" w14:textId="77777777" w:rsidR="00D21C1F" w:rsidRDefault="00A42880">
                    <w:pPr>
                      <w:pStyle w:val="97"/>
                      <w:jc w:val="right"/>
                      <w:rPr>
                        <w:rFonts w:ascii="Times New Roman" w:hAnsi="Times New Roman" w:cs="Times New Roman"/>
                      </w:rPr>
                    </w:pPr>
                    <w:r>
                      <w:rPr>
                        <w:rFonts w:ascii="Times New Roman" w:hAnsi="Times New Roman" w:cs="Times New Roman"/>
                      </w:rPr>
                      <w:t>119.81872</w:t>
                    </w:r>
                    <w:r>
                      <w:rPr>
                        <w:rFonts w:ascii="Times New Roman" w:hAnsi="Times New Roman" w:cs="Times New Roman"/>
                      </w:rPr>
                      <w:t>万欧元</w:t>
                    </w:r>
                  </w:p>
                </w:tc>
                <w:tc>
                  <w:tcPr>
                    <w:tcW w:w="1161" w:type="dxa"/>
                    <w:vAlign w:val="bottom"/>
                  </w:tcPr>
                  <w:p w14:paraId="3467AAA9" w14:textId="77777777" w:rsidR="00D21C1F" w:rsidRDefault="00A42880">
                    <w:pPr>
                      <w:pStyle w:val="97"/>
                      <w:jc w:val="right"/>
                      <w:rPr>
                        <w:rFonts w:ascii="Times New Roman" w:hAnsi="Times New Roman" w:cs="Times New Roman"/>
                      </w:rPr>
                    </w:pPr>
                    <w:r>
                      <w:rPr>
                        <w:rFonts w:ascii="Times New Roman" w:hAnsi="Times New Roman" w:cs="Times New Roman"/>
                      </w:rPr>
                      <w:t>7,150.86</w:t>
                    </w:r>
                  </w:p>
                </w:tc>
                <w:tc>
                  <w:tcPr>
                    <w:tcW w:w="1234" w:type="dxa"/>
                    <w:vAlign w:val="bottom"/>
                  </w:tcPr>
                  <w:p w14:paraId="080AF4EF" w14:textId="77777777" w:rsidR="00D21C1F" w:rsidRDefault="00A42880">
                    <w:pPr>
                      <w:pStyle w:val="97"/>
                      <w:jc w:val="right"/>
                      <w:rPr>
                        <w:rFonts w:ascii="Times New Roman" w:hAnsi="Times New Roman" w:cs="Times New Roman"/>
                      </w:rPr>
                    </w:pPr>
                    <w:r>
                      <w:rPr>
                        <w:rFonts w:ascii="Times New Roman" w:hAnsi="Times New Roman" w:cs="Times New Roman"/>
                      </w:rPr>
                      <w:t>3,412.28</w:t>
                    </w:r>
                  </w:p>
                </w:tc>
                <w:tc>
                  <w:tcPr>
                    <w:tcW w:w="1170" w:type="dxa"/>
                    <w:vAlign w:val="bottom"/>
                  </w:tcPr>
                  <w:p w14:paraId="276318A4" w14:textId="77777777" w:rsidR="00D21C1F" w:rsidRDefault="00A42880">
                    <w:pPr>
                      <w:pStyle w:val="97"/>
                      <w:jc w:val="right"/>
                      <w:rPr>
                        <w:rFonts w:ascii="Times New Roman" w:hAnsi="Times New Roman" w:cs="Times New Roman"/>
                      </w:rPr>
                    </w:pPr>
                    <w:r>
                      <w:rPr>
                        <w:rFonts w:ascii="Times New Roman" w:hAnsi="Times New Roman" w:cs="Times New Roman"/>
                      </w:rPr>
                      <w:t>344.80</w:t>
                    </w:r>
                  </w:p>
                </w:tc>
              </w:tr>
              <w:tr w:rsidR="00D21C1F" w14:paraId="714ACB9D" w14:textId="77777777">
                <w:tc>
                  <w:tcPr>
                    <w:tcW w:w="2122" w:type="dxa"/>
                  </w:tcPr>
                  <w:p w14:paraId="02669730" w14:textId="77777777" w:rsidR="00D21C1F" w:rsidRDefault="00A42880">
                    <w:pPr>
                      <w:pStyle w:val="97"/>
                      <w:rPr>
                        <w:rFonts w:ascii="Times New Roman" w:hAnsi="Times New Roman" w:cs="Times New Roman"/>
                      </w:rPr>
                    </w:pPr>
                    <w:r>
                      <w:rPr>
                        <w:rFonts w:ascii="Times New Roman" w:hAnsi="Times New Roman" w:cs="Times New Roman"/>
                      </w:rPr>
                      <w:t>奥一精机</w:t>
                    </w:r>
                  </w:p>
                </w:tc>
                <w:tc>
                  <w:tcPr>
                    <w:tcW w:w="4647" w:type="dxa"/>
                  </w:tcPr>
                  <w:p w14:paraId="34C2B2BA" w14:textId="77777777" w:rsidR="00D21C1F" w:rsidRDefault="00A42880">
                    <w:pPr>
                      <w:pStyle w:val="97"/>
                      <w:rPr>
                        <w:rFonts w:ascii="Times New Roman" w:hAnsi="Times New Roman" w:cs="Times New Roman"/>
                      </w:rPr>
                    </w:pPr>
                    <w:r>
                      <w:rPr>
                        <w:rFonts w:ascii="Times New Roman" w:hAnsi="Times New Roman" w:cs="Times New Roman"/>
                      </w:rPr>
                      <w:t>主营业务为减速器的研发，生产及销售，提供机器人精密减速机研发，制造和技术支持。</w:t>
                    </w:r>
                  </w:p>
                </w:tc>
                <w:tc>
                  <w:tcPr>
                    <w:tcW w:w="1161" w:type="dxa"/>
                    <w:vAlign w:val="bottom"/>
                  </w:tcPr>
                  <w:p w14:paraId="2C4F5C72" w14:textId="77777777" w:rsidR="00D21C1F" w:rsidRDefault="00A42880">
                    <w:pPr>
                      <w:pStyle w:val="97"/>
                      <w:jc w:val="right"/>
                      <w:rPr>
                        <w:rFonts w:ascii="Times New Roman" w:hAnsi="Times New Roman" w:cs="Times New Roman"/>
                      </w:rPr>
                    </w:pPr>
                    <w:r>
                      <w:rPr>
                        <w:rFonts w:ascii="Times New Roman" w:hAnsi="Times New Roman" w:cs="Times New Roman"/>
                      </w:rPr>
                      <w:t>20.00%</w:t>
                    </w:r>
                  </w:p>
                </w:tc>
                <w:tc>
                  <w:tcPr>
                    <w:tcW w:w="1161" w:type="dxa"/>
                    <w:vAlign w:val="bottom"/>
                  </w:tcPr>
                  <w:p w14:paraId="7B9A47D8"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68C31FC7" w14:textId="77777777" w:rsidR="00D21C1F" w:rsidRDefault="00A42880">
                    <w:pPr>
                      <w:pStyle w:val="97"/>
                      <w:jc w:val="right"/>
                      <w:rPr>
                        <w:rFonts w:ascii="Times New Roman" w:hAnsi="Times New Roman" w:cs="Times New Roman"/>
                      </w:rPr>
                    </w:pPr>
                    <w:r>
                      <w:rPr>
                        <w:rFonts w:ascii="Times New Roman" w:hAnsi="Times New Roman" w:cs="Times New Roman"/>
                      </w:rPr>
                      <w:t>2000</w:t>
                    </w:r>
                  </w:p>
                </w:tc>
                <w:tc>
                  <w:tcPr>
                    <w:tcW w:w="1161" w:type="dxa"/>
                    <w:vAlign w:val="bottom"/>
                  </w:tcPr>
                  <w:p w14:paraId="20A70E4E" w14:textId="77777777" w:rsidR="00D21C1F" w:rsidRDefault="00A42880">
                    <w:pPr>
                      <w:pStyle w:val="97"/>
                      <w:jc w:val="right"/>
                      <w:rPr>
                        <w:rFonts w:ascii="Times New Roman" w:hAnsi="Times New Roman" w:cs="Times New Roman"/>
                      </w:rPr>
                    </w:pPr>
                    <w:r>
                      <w:rPr>
                        <w:rFonts w:ascii="Times New Roman" w:hAnsi="Times New Roman" w:cs="Times New Roman"/>
                      </w:rPr>
                      <w:t>5,631.94</w:t>
                    </w:r>
                  </w:p>
                </w:tc>
                <w:tc>
                  <w:tcPr>
                    <w:tcW w:w="1234" w:type="dxa"/>
                    <w:vAlign w:val="bottom"/>
                  </w:tcPr>
                  <w:p w14:paraId="43DC8739" w14:textId="77777777" w:rsidR="00D21C1F" w:rsidRDefault="00A42880">
                    <w:pPr>
                      <w:pStyle w:val="97"/>
                      <w:jc w:val="right"/>
                      <w:rPr>
                        <w:rFonts w:ascii="Times New Roman" w:hAnsi="Times New Roman" w:cs="Times New Roman"/>
                      </w:rPr>
                    </w:pPr>
                    <w:r>
                      <w:rPr>
                        <w:rFonts w:ascii="Times New Roman" w:hAnsi="Times New Roman" w:cs="Times New Roman"/>
                      </w:rPr>
                      <w:t>1,621.74</w:t>
                    </w:r>
                  </w:p>
                </w:tc>
                <w:tc>
                  <w:tcPr>
                    <w:tcW w:w="1170" w:type="dxa"/>
                    <w:vAlign w:val="bottom"/>
                  </w:tcPr>
                  <w:p w14:paraId="7E3C7B15" w14:textId="77777777" w:rsidR="00D21C1F" w:rsidRDefault="00A42880">
                    <w:pPr>
                      <w:pStyle w:val="97"/>
                      <w:jc w:val="right"/>
                      <w:rPr>
                        <w:rFonts w:ascii="Times New Roman" w:hAnsi="Times New Roman" w:cs="Times New Roman"/>
                      </w:rPr>
                    </w:pPr>
                    <w:r>
                      <w:rPr>
                        <w:rFonts w:ascii="Times New Roman" w:hAnsi="Times New Roman" w:cs="Times New Roman"/>
                      </w:rPr>
                      <w:t>292.68</w:t>
                    </w:r>
                  </w:p>
                </w:tc>
              </w:tr>
              <w:tr w:rsidR="00D21C1F" w14:paraId="29CF2ECA" w14:textId="77777777">
                <w:tc>
                  <w:tcPr>
                    <w:tcW w:w="2122" w:type="dxa"/>
                  </w:tcPr>
                  <w:p w14:paraId="5D7230F5" w14:textId="77777777" w:rsidR="00D21C1F" w:rsidRDefault="00A42880">
                    <w:pPr>
                      <w:pStyle w:val="97"/>
                      <w:rPr>
                        <w:rFonts w:ascii="Times New Roman" w:hAnsi="Times New Roman" w:cs="Times New Roman"/>
                      </w:rPr>
                    </w:pPr>
                    <w:r>
                      <w:rPr>
                        <w:rFonts w:ascii="Times New Roman" w:hAnsi="Times New Roman" w:cs="Times New Roman"/>
                      </w:rPr>
                      <w:t>工布智造</w:t>
                    </w:r>
                  </w:p>
                </w:tc>
                <w:tc>
                  <w:tcPr>
                    <w:tcW w:w="4647" w:type="dxa"/>
                  </w:tcPr>
                  <w:p w14:paraId="00CD08A4" w14:textId="77777777" w:rsidR="00D21C1F" w:rsidRDefault="00A42880">
                    <w:pPr>
                      <w:pStyle w:val="97"/>
                      <w:rPr>
                        <w:rFonts w:ascii="Times New Roman" w:hAnsi="Times New Roman" w:cs="Times New Roman"/>
                      </w:rPr>
                    </w:pPr>
                    <w:r>
                      <w:rPr>
                        <w:rFonts w:ascii="Times New Roman" w:hAnsi="Times New Roman" w:cs="Times New Roman"/>
                      </w:rPr>
                      <w:t>主营业务为自动化控制系统及软件研发、推广、销售</w:t>
                    </w:r>
                  </w:p>
                </w:tc>
                <w:tc>
                  <w:tcPr>
                    <w:tcW w:w="1161" w:type="dxa"/>
                    <w:vAlign w:val="bottom"/>
                  </w:tcPr>
                  <w:p w14:paraId="54D122B1" w14:textId="77777777" w:rsidR="00D21C1F" w:rsidRDefault="00A42880">
                    <w:pPr>
                      <w:pStyle w:val="97"/>
                      <w:jc w:val="right"/>
                      <w:rPr>
                        <w:rFonts w:ascii="Times New Roman" w:hAnsi="Times New Roman" w:cs="Times New Roman"/>
                      </w:rPr>
                    </w:pPr>
                    <w:r>
                      <w:rPr>
                        <w:rFonts w:ascii="Times New Roman" w:hAnsi="Times New Roman" w:cs="Times New Roman"/>
                      </w:rPr>
                      <w:t>17.07%</w:t>
                    </w:r>
                  </w:p>
                </w:tc>
                <w:tc>
                  <w:tcPr>
                    <w:tcW w:w="1161" w:type="dxa"/>
                    <w:vAlign w:val="bottom"/>
                  </w:tcPr>
                  <w:p w14:paraId="762CB318" w14:textId="77777777" w:rsidR="00D21C1F" w:rsidRDefault="00A42880">
                    <w:pPr>
                      <w:pStyle w:val="97"/>
                      <w:jc w:val="right"/>
                      <w:rPr>
                        <w:rFonts w:ascii="Times New Roman" w:hAnsi="Times New Roman" w:cs="Times New Roman"/>
                      </w:rPr>
                    </w:pPr>
                    <w:r>
                      <w:rPr>
                        <w:rFonts w:ascii="Times New Roman" w:hAnsi="Times New Roman" w:cs="Times New Roman"/>
                      </w:rPr>
                      <w:t> -   </w:t>
                    </w:r>
                  </w:p>
                </w:tc>
                <w:tc>
                  <w:tcPr>
                    <w:tcW w:w="1373" w:type="dxa"/>
                    <w:vAlign w:val="bottom"/>
                  </w:tcPr>
                  <w:p w14:paraId="2BDFA05F" w14:textId="77777777" w:rsidR="00D21C1F" w:rsidRDefault="00A42880">
                    <w:pPr>
                      <w:pStyle w:val="97"/>
                      <w:jc w:val="right"/>
                      <w:rPr>
                        <w:rFonts w:ascii="Times New Roman" w:hAnsi="Times New Roman" w:cs="Times New Roman"/>
                      </w:rPr>
                    </w:pPr>
                    <w:r>
                      <w:rPr>
                        <w:rFonts w:ascii="Times New Roman" w:hAnsi="Times New Roman" w:cs="Times New Roman"/>
                      </w:rPr>
                      <w:t>3858.5366</w:t>
                    </w:r>
                  </w:p>
                </w:tc>
                <w:tc>
                  <w:tcPr>
                    <w:tcW w:w="1161" w:type="dxa"/>
                    <w:vAlign w:val="bottom"/>
                  </w:tcPr>
                  <w:p w14:paraId="3D1831B5" w14:textId="77777777" w:rsidR="00D21C1F" w:rsidRDefault="00A42880">
                    <w:pPr>
                      <w:pStyle w:val="97"/>
                      <w:jc w:val="right"/>
                      <w:rPr>
                        <w:rFonts w:ascii="Times New Roman" w:hAnsi="Times New Roman" w:cs="Times New Roman"/>
                      </w:rPr>
                    </w:pPr>
                    <w:r>
                      <w:rPr>
                        <w:rFonts w:ascii="Times New Roman" w:hAnsi="Times New Roman" w:cs="Times New Roman"/>
                      </w:rPr>
                      <w:t>1,683.19</w:t>
                    </w:r>
                  </w:p>
                </w:tc>
                <w:tc>
                  <w:tcPr>
                    <w:tcW w:w="1234" w:type="dxa"/>
                    <w:vAlign w:val="bottom"/>
                  </w:tcPr>
                  <w:p w14:paraId="6437B462" w14:textId="77777777" w:rsidR="00D21C1F" w:rsidRDefault="00A42880">
                    <w:pPr>
                      <w:pStyle w:val="97"/>
                      <w:jc w:val="right"/>
                      <w:rPr>
                        <w:rFonts w:ascii="Times New Roman" w:hAnsi="Times New Roman" w:cs="Times New Roman"/>
                      </w:rPr>
                    </w:pPr>
                    <w:r>
                      <w:rPr>
                        <w:rFonts w:ascii="Times New Roman" w:hAnsi="Times New Roman" w:cs="Times New Roman"/>
                      </w:rPr>
                      <w:t>73.98</w:t>
                    </w:r>
                  </w:p>
                </w:tc>
                <w:tc>
                  <w:tcPr>
                    <w:tcW w:w="1170" w:type="dxa"/>
                    <w:vAlign w:val="bottom"/>
                  </w:tcPr>
                  <w:p w14:paraId="48100651" w14:textId="77777777" w:rsidR="00D21C1F" w:rsidRDefault="00A42880">
                    <w:pPr>
                      <w:pStyle w:val="97"/>
                      <w:jc w:val="right"/>
                      <w:rPr>
                        <w:rFonts w:ascii="Times New Roman" w:hAnsi="Times New Roman" w:cs="Times New Roman"/>
                      </w:rPr>
                    </w:pPr>
                    <w:r>
                      <w:rPr>
                        <w:rFonts w:ascii="Times New Roman" w:hAnsi="Times New Roman" w:cs="Times New Roman"/>
                      </w:rPr>
                      <w:t>-16.32</w:t>
                    </w:r>
                  </w:p>
                </w:tc>
              </w:tr>
              <w:tr w:rsidR="00D21C1F" w14:paraId="7144797F" w14:textId="77777777">
                <w:tc>
                  <w:tcPr>
                    <w:tcW w:w="2122" w:type="dxa"/>
                  </w:tcPr>
                  <w:p w14:paraId="0C42BB4D" w14:textId="77777777" w:rsidR="00D21C1F" w:rsidRDefault="00A42880">
                    <w:pPr>
                      <w:rPr>
                        <w:rFonts w:ascii="Times New Roman" w:hAnsi="Times New Roman" w:cs="Times New Roman"/>
                      </w:rPr>
                    </w:pPr>
                    <w:r>
                      <w:rPr>
                        <w:rFonts w:ascii="Times New Roman" w:hAnsi="Times New Roman" w:cs="Times New Roman"/>
                      </w:rPr>
                      <w:t>汇有美</w:t>
                    </w:r>
                  </w:p>
                </w:tc>
                <w:tc>
                  <w:tcPr>
                    <w:tcW w:w="4647" w:type="dxa"/>
                  </w:tcPr>
                  <w:p w14:paraId="77182A1F" w14:textId="77777777" w:rsidR="00D21C1F" w:rsidRDefault="00A42880">
                    <w:pPr>
                      <w:rPr>
                        <w:rFonts w:ascii="Times New Roman" w:hAnsi="Times New Roman" w:cs="Times New Roman"/>
                      </w:rPr>
                    </w:pPr>
                    <w:r>
                      <w:rPr>
                        <w:rFonts w:ascii="Times New Roman" w:hAnsi="Times New Roman" w:cs="Times New Roman"/>
                      </w:rPr>
                      <w:t>主营业务为智能机器人的研发，推广及应用</w:t>
                    </w:r>
                  </w:p>
                </w:tc>
                <w:tc>
                  <w:tcPr>
                    <w:tcW w:w="1161" w:type="dxa"/>
                    <w:vAlign w:val="bottom"/>
                  </w:tcPr>
                  <w:p w14:paraId="7514ED75" w14:textId="77777777" w:rsidR="00D21C1F" w:rsidRDefault="00A42880">
                    <w:pPr>
                      <w:jc w:val="right"/>
                      <w:rPr>
                        <w:rFonts w:ascii="Times New Roman" w:hAnsi="Times New Roman" w:cs="Times New Roman"/>
                      </w:rPr>
                    </w:pPr>
                    <w:r>
                      <w:rPr>
                        <w:rFonts w:ascii="Times New Roman" w:hAnsi="Times New Roman" w:cs="Times New Roman"/>
                      </w:rPr>
                      <w:t>30.00%</w:t>
                    </w:r>
                  </w:p>
                </w:tc>
                <w:tc>
                  <w:tcPr>
                    <w:tcW w:w="1161" w:type="dxa"/>
                    <w:vAlign w:val="bottom"/>
                  </w:tcPr>
                  <w:p w14:paraId="3EE687A2" w14:textId="77777777" w:rsidR="00D21C1F" w:rsidRDefault="00A42880">
                    <w:pPr>
                      <w:jc w:val="right"/>
                      <w:rPr>
                        <w:rFonts w:ascii="Times New Roman" w:hAnsi="Times New Roman" w:cs="Times New Roman"/>
                      </w:rPr>
                    </w:pPr>
                    <w:r>
                      <w:rPr>
                        <w:rFonts w:ascii="Times New Roman" w:hAnsi="Times New Roman" w:cs="Times New Roman"/>
                      </w:rPr>
                      <w:t> -   </w:t>
                    </w:r>
                  </w:p>
                </w:tc>
                <w:tc>
                  <w:tcPr>
                    <w:tcW w:w="1373" w:type="dxa"/>
                    <w:vAlign w:val="bottom"/>
                  </w:tcPr>
                  <w:p w14:paraId="2CEE1B82" w14:textId="77777777" w:rsidR="00D21C1F" w:rsidRDefault="00A42880">
                    <w:pPr>
                      <w:jc w:val="right"/>
                      <w:rPr>
                        <w:rFonts w:ascii="Times New Roman" w:hAnsi="Times New Roman" w:cs="Times New Roman"/>
                      </w:rPr>
                    </w:pPr>
                    <w:r>
                      <w:rPr>
                        <w:rFonts w:ascii="Times New Roman" w:hAnsi="Times New Roman" w:cs="Times New Roman"/>
                      </w:rPr>
                      <w:t>1200</w:t>
                    </w:r>
                  </w:p>
                </w:tc>
                <w:tc>
                  <w:tcPr>
                    <w:tcW w:w="1161" w:type="dxa"/>
                    <w:shd w:val="clear" w:color="auto" w:fill="auto"/>
                    <w:vAlign w:val="bottom"/>
                  </w:tcPr>
                  <w:p w14:paraId="45A212E8" w14:textId="77777777" w:rsidR="00D21C1F" w:rsidRDefault="00A42880">
                    <w:pPr>
                      <w:jc w:val="right"/>
                      <w:rPr>
                        <w:rFonts w:ascii="Times New Roman" w:hAnsi="Times New Roman" w:cs="Times New Roman"/>
                      </w:rPr>
                    </w:pPr>
                    <w:r>
                      <w:rPr>
                        <w:rFonts w:ascii="Times New Roman" w:hAnsi="Times New Roman" w:cs="Times New Roman"/>
                      </w:rPr>
                      <w:t>1,802.96</w:t>
                    </w:r>
                  </w:p>
                </w:tc>
                <w:tc>
                  <w:tcPr>
                    <w:tcW w:w="1234" w:type="dxa"/>
                    <w:shd w:val="clear" w:color="auto" w:fill="auto"/>
                    <w:vAlign w:val="bottom"/>
                  </w:tcPr>
                  <w:p w14:paraId="75BC2F76" w14:textId="77777777" w:rsidR="00D21C1F" w:rsidRDefault="00A42880">
                    <w:pPr>
                      <w:jc w:val="right"/>
                      <w:rPr>
                        <w:rFonts w:ascii="Times New Roman" w:hAnsi="Times New Roman" w:cs="Times New Roman"/>
                      </w:rPr>
                    </w:pPr>
                    <w:r>
                      <w:rPr>
                        <w:rFonts w:ascii="Times New Roman" w:hAnsi="Times New Roman" w:cs="Times New Roman"/>
                      </w:rPr>
                      <w:t>1,089.18</w:t>
                    </w:r>
                  </w:p>
                </w:tc>
                <w:tc>
                  <w:tcPr>
                    <w:tcW w:w="1170" w:type="dxa"/>
                    <w:vAlign w:val="bottom"/>
                  </w:tcPr>
                  <w:p w14:paraId="4F75B242" w14:textId="77777777" w:rsidR="00D21C1F" w:rsidRDefault="00A42880">
                    <w:pPr>
                      <w:jc w:val="right"/>
                      <w:rPr>
                        <w:rFonts w:ascii="Times New Roman" w:hAnsi="Times New Roman" w:cs="Times New Roman"/>
                      </w:rPr>
                    </w:pPr>
                    <w:r>
                      <w:rPr>
                        <w:rFonts w:ascii="Times New Roman" w:hAnsi="Times New Roman" w:cs="Times New Roman"/>
                      </w:rPr>
                      <w:t>-324.85</w:t>
                    </w:r>
                  </w:p>
                </w:tc>
              </w:tr>
            </w:tbl>
            <w:p w14:paraId="6AF5F013" w14:textId="77777777" w:rsidR="00D21C1F" w:rsidRDefault="00045EC6"/>
          </w:sdtContent>
        </w:sdt>
      </w:sdtContent>
    </w:sdt>
    <w:p w14:paraId="7807FB51" w14:textId="77777777" w:rsidR="00D21C1F" w:rsidRDefault="00D21C1F">
      <w:pPr>
        <w:pStyle w:val="97"/>
        <w:sectPr w:rsidR="00D21C1F">
          <w:pgSz w:w="16838" w:h="11906" w:orient="landscape"/>
          <w:pgMar w:top="1797" w:right="1525" w:bottom="1276" w:left="1440" w:header="851" w:footer="992" w:gutter="0"/>
          <w:cols w:space="425"/>
          <w:docGrid w:linePitch="312"/>
        </w:sectPr>
      </w:pPr>
    </w:p>
    <w:sdt>
      <w:sdtPr>
        <w:rPr>
          <w:rFonts w:ascii="宋体" w:eastAsiaTheme="minorEastAsia" w:hAnsi="宋体" w:cs="宋体"/>
          <w:b w:val="0"/>
          <w:bCs w:val="0"/>
          <w:kern w:val="0"/>
          <w:szCs w:val="24"/>
        </w:rPr>
        <w:alias w:val="模块:公司控制的结构化主体情况"/>
        <w:tag w:val="_SEC_1ac5f271c9c14f569093b3be96ecc8d2"/>
        <w:id w:val="-1065791496"/>
        <w:lock w:val="sdtLocked"/>
        <w:placeholder>
          <w:docPart w:val="GBC22222222222222222222222222222"/>
        </w:placeholder>
      </w:sdtPr>
      <w:sdtEndPr/>
      <w:sdtContent>
        <w:p w14:paraId="65413A59" w14:textId="77777777" w:rsidR="00D21C1F" w:rsidRDefault="00A42880">
          <w:pPr>
            <w:pStyle w:val="3"/>
            <w:numPr>
              <w:ilvl w:val="0"/>
              <w:numId w:val="15"/>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1404793731"/>
            <w:lock w:val="sdtLocked"/>
            <w:placeholder>
              <w:docPart w:val="GBC22222222222222222222222222222"/>
            </w:placeholder>
          </w:sdtPr>
          <w:sdtEndPr/>
          <w:sdtContent>
            <w:p w14:paraId="1268662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A232594" w14:textId="77777777" w:rsidR="00D21C1F" w:rsidRDefault="00D21C1F">
      <w:pPr>
        <w:pStyle w:val="97"/>
      </w:pPr>
    </w:p>
    <w:sdt>
      <w:sdtPr>
        <w:rPr>
          <w:rFonts w:eastAsiaTheme="minorEastAsia"/>
          <w:b w:val="0"/>
          <w:bCs w:val="0"/>
        </w:rPr>
        <w:alias w:val="模块:其他披露事项"/>
        <w:tag w:val="_SEC_2d00d0d8a1b7409b884a0beb6a447e0d"/>
        <w:id w:val="1602303892"/>
        <w:lock w:val="sdtLocked"/>
        <w:placeholder>
          <w:docPart w:val="GBC22222222222222222222222222222"/>
        </w:placeholder>
      </w:sdtPr>
      <w:sdtEndPr/>
      <w:sdtContent>
        <w:p w14:paraId="416588F0" w14:textId="77777777" w:rsidR="00D21C1F" w:rsidRDefault="00A42880">
          <w:pPr>
            <w:pStyle w:val="2"/>
            <w:numPr>
              <w:ilvl w:val="0"/>
              <w:numId w:val="7"/>
            </w:numPr>
            <w:rPr>
              <w:bCs w:val="0"/>
            </w:rPr>
          </w:pPr>
          <w:r>
            <w:rPr>
              <w:bCs w:val="0"/>
            </w:rPr>
            <w:t>其他披露事项</w:t>
          </w:r>
        </w:p>
        <w:sdt>
          <w:sdtPr>
            <w:rPr>
              <w:rFonts w:hint="eastAsia"/>
            </w:rPr>
            <w:alias w:val="是否适用：董事会其他需要披露的事项[双击切换]"/>
            <w:tag w:val="_GBC_4bd5ba6bf4044aee9ecd40a0c2fc29bf"/>
            <w:id w:val="677781044"/>
            <w:lock w:val="sdtLocked"/>
            <w:placeholder>
              <w:docPart w:val="GBC22222222222222222222222222222"/>
            </w:placeholder>
          </w:sdtPr>
          <w:sdtEndPr/>
          <w:sdtContent>
            <w:p w14:paraId="6F4347C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Theme="minorEastAsia" w:hAnsi="宋体" w:cs="宋体"/>
              <w:b w:val="0"/>
              <w:bCs w:val="0"/>
              <w:kern w:val="0"/>
              <w:szCs w:val="24"/>
            </w:rPr>
            <w:alias w:val="董事会其他需要披露的事项"/>
            <w:tag w:val="_GBC_1751869900474e38a4456794ea384b7e"/>
            <w:id w:val="-267546553"/>
            <w:lock w:val="sdtLocked"/>
            <w:placeholder>
              <w:docPart w:val="GBC22222222222222222222222222222"/>
            </w:placeholder>
          </w:sdtPr>
          <w:sdtEndPr/>
          <w:sdtContent>
            <w:p w14:paraId="0325D9BE" w14:textId="77777777" w:rsidR="00D21C1F" w:rsidRDefault="00A42880">
              <w:pPr>
                <w:pStyle w:val="3"/>
                <w:numPr>
                  <w:ilvl w:val="0"/>
                  <w:numId w:val="21"/>
                </w:numPr>
              </w:pPr>
              <w:r>
                <w:t>预测年初至下一报告期期末的累计净利润可能为亏损或者与上年同期相比发生大幅度变动的警示及说明</w:t>
              </w:r>
            </w:p>
            <w:p w14:paraId="5E1EFAE7" w14:textId="77777777" w:rsidR="00D21C1F" w:rsidRDefault="00A4288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658C688E" w14:textId="77777777" w:rsidR="00D21C1F" w:rsidRDefault="00A42880">
              <w:pPr>
                <w:ind w:firstLineChars="200" w:firstLine="420"/>
              </w:pPr>
              <w:r>
                <w:t>本期净利润为亏损状态，预计年初至</w:t>
              </w:r>
              <w:r>
                <w:rPr>
                  <w:rFonts w:ascii="Times New Roman" w:hAnsi="Times New Roman"/>
                </w:rPr>
                <w:t>9</w:t>
              </w:r>
              <w:r>
                <w:t>月</w:t>
              </w:r>
              <w:r>
                <w:rPr>
                  <w:rFonts w:ascii="Times New Roman" w:hAnsi="Times New Roman"/>
                </w:rPr>
                <w:t>30</w:t>
              </w:r>
              <w:r>
                <w:t>日累计净利润，及全年净利润仍为亏损状态。</w:t>
              </w:r>
            </w:p>
            <w:p w14:paraId="5693EAFF" w14:textId="77777777" w:rsidR="00D21C1F" w:rsidRDefault="00D21C1F">
              <w:pPr>
                <w:pStyle w:val="97"/>
                <w:rPr>
                  <w:rFonts w:ascii="Calibri" w:eastAsia="宋体" w:hAnsi="Calibri" w:cs="Times New Roman"/>
                  <w:b/>
                  <w:bCs/>
                  <w:kern w:val="2"/>
                  <w:szCs w:val="32"/>
                </w:rPr>
              </w:pPr>
            </w:p>
            <w:p w14:paraId="03AB298F" w14:textId="77777777" w:rsidR="00D21C1F" w:rsidRDefault="00A42880">
              <w:pPr>
                <w:pStyle w:val="3"/>
                <w:numPr>
                  <w:ilvl w:val="0"/>
                  <w:numId w:val="21"/>
                </w:numPr>
                <w:rPr>
                  <w:bCs w:val="0"/>
                </w:rPr>
              </w:pPr>
              <w:r>
                <w:rPr>
                  <w:rFonts w:hint="eastAsia"/>
                  <w:bCs w:val="0"/>
                </w:rPr>
                <w:t>报告期内公司核心零部件自主化工作推进情况</w:t>
              </w:r>
            </w:p>
            <w:p w14:paraId="5865FC29" w14:textId="77777777" w:rsidR="00D21C1F" w:rsidRDefault="00A42880">
              <w:pPr>
                <w:spacing w:line="360" w:lineRule="auto"/>
                <w:ind w:firstLineChars="200" w:firstLine="420"/>
                <w:jc w:val="both"/>
                <w:rPr>
                  <w:szCs w:val="21"/>
                </w:rPr>
              </w:pPr>
              <w:r>
                <w:rPr>
                  <w:szCs w:val="21"/>
                </w:rPr>
                <w:t>核心零部件直接决定了工业机器人的性能、可靠性和负荷能力，对机器人整机起着至关重要的作用。中国工业机器人产业起步相对较晚，核心零部件的国产化率整体较低，制约着整机制造的利润水平。在国产品牌核心零部件国产化率尚低的情况下，工业机器人价格持续下行，导致盈亏平衡点销售数量持续上移，对国产品牌盈利能力形成较大冲击。报告期内，公司持续加快控制器、减速器、伺服驱动三大自主核心零部件导入</w:t>
              </w:r>
              <w:r>
                <w:rPr>
                  <w:rFonts w:hint="eastAsia"/>
                  <w:szCs w:val="21"/>
                </w:rPr>
                <w:t>：</w:t>
              </w:r>
            </w:p>
            <w:p w14:paraId="5B8786FC" w14:textId="77777777" w:rsidR="00D21C1F" w:rsidRDefault="00A42880">
              <w:pPr>
                <w:spacing w:line="360" w:lineRule="auto"/>
                <w:ind w:firstLineChars="200" w:firstLine="420"/>
                <w:jc w:val="both"/>
                <w:rPr>
                  <w:szCs w:val="21"/>
                </w:rPr>
              </w:pPr>
              <w:r>
                <w:rPr>
                  <w:rFonts w:hint="eastAsia"/>
                  <w:szCs w:val="21"/>
                </w:rPr>
                <w:t>公司持续推进由公司战略参股的奥一精机生产的自主化减速器的自主化进程，本报告期</w:t>
              </w:r>
              <w:r>
                <w:rPr>
                  <w:rFonts w:ascii="Times New Roman" w:hAnsi="Times New Roman" w:hint="eastAsia"/>
                  <w:szCs w:val="21"/>
                </w:rPr>
                <w:t>RV</w:t>
              </w:r>
              <w:r>
                <w:rPr>
                  <w:rFonts w:hint="eastAsia"/>
                  <w:szCs w:val="21"/>
                </w:rPr>
                <w:t>减速机的自主化率提升至</w:t>
              </w:r>
              <w:r>
                <w:rPr>
                  <w:rFonts w:ascii="Times New Roman" w:hAnsi="Times New Roman" w:cs="Times New Roman"/>
                  <w:szCs w:val="21"/>
                </w:rPr>
                <w:t>37.25%</w:t>
              </w:r>
              <w:r>
                <w:rPr>
                  <w:rFonts w:ascii="Times New Roman" w:hAnsi="Times New Roman" w:cs="Times New Roman"/>
                  <w:szCs w:val="21"/>
                </w:rPr>
                <w:t>。</w:t>
              </w:r>
            </w:p>
            <w:p w14:paraId="7952666F" w14:textId="4FF649EA" w:rsidR="00D21C1F" w:rsidRDefault="00A42880">
              <w:pPr>
                <w:spacing w:line="360" w:lineRule="auto"/>
                <w:ind w:firstLineChars="200" w:firstLine="420"/>
                <w:jc w:val="both"/>
                <w:rPr>
                  <w:szCs w:val="21"/>
                </w:rPr>
              </w:pPr>
              <w:r>
                <w:rPr>
                  <w:rFonts w:hint="eastAsia"/>
                  <w:szCs w:val="21"/>
                </w:rPr>
                <w:t>公司全线导入基于</w:t>
              </w:r>
              <w:r>
                <w:rPr>
                  <w:rFonts w:ascii="Times New Roman" w:hAnsi="Times New Roman" w:hint="eastAsia"/>
                  <w:szCs w:val="21"/>
                </w:rPr>
                <w:t>R</w:t>
              </w:r>
              <w:r w:rsidR="002F5026">
                <w:rPr>
                  <w:rFonts w:ascii="Times New Roman" w:hAnsi="Times New Roman"/>
                  <w:szCs w:val="21"/>
                </w:rPr>
                <w:t>OBOX</w:t>
              </w:r>
              <w:r>
                <w:rPr>
                  <w:rFonts w:hint="eastAsia"/>
                  <w:szCs w:val="21"/>
                </w:rPr>
                <w:t>技术的自主化控制器，为埃夫特应用驱动的战略打下扎实基础，本报告期</w:t>
              </w:r>
              <w:r>
                <w:rPr>
                  <w:szCs w:val="21"/>
                </w:rPr>
                <w:t>控制器自主化率</w:t>
              </w:r>
              <w:r>
                <w:rPr>
                  <w:rFonts w:hint="eastAsia"/>
                  <w:szCs w:val="21"/>
                </w:rPr>
                <w:t>提升至</w:t>
              </w:r>
              <w:r>
                <w:rPr>
                  <w:rFonts w:ascii="Times New Roman" w:hAnsi="Times New Roman" w:cs="Times New Roman"/>
                  <w:szCs w:val="21"/>
                </w:rPr>
                <w:t>71.20%</w:t>
              </w:r>
              <w:r>
                <w:rPr>
                  <w:szCs w:val="21"/>
                </w:rPr>
                <w:t>。</w:t>
              </w:r>
            </w:p>
            <w:p w14:paraId="693097F3" w14:textId="77777777" w:rsidR="00D21C1F" w:rsidRDefault="00A42880">
              <w:pPr>
                <w:spacing w:line="360" w:lineRule="auto"/>
                <w:ind w:firstLineChars="200" w:firstLine="420"/>
                <w:jc w:val="both"/>
                <w:rPr>
                  <w:szCs w:val="21"/>
                </w:rPr>
              </w:pPr>
              <w:r>
                <w:rPr>
                  <w:rFonts w:hint="eastAsia"/>
                  <w:szCs w:val="21"/>
                </w:rPr>
                <w:t>此外，报告期伺服驱动器自主化率有小幅提升，达到</w:t>
              </w:r>
              <w:r>
                <w:rPr>
                  <w:rFonts w:ascii="Times New Roman" w:hAnsi="Times New Roman" w:cs="Times New Roman"/>
                  <w:szCs w:val="21"/>
                </w:rPr>
                <w:t>5.30%</w:t>
              </w:r>
              <w:r>
                <w:rPr>
                  <w:rFonts w:hint="eastAsia"/>
                  <w:szCs w:val="21"/>
                </w:rPr>
                <w:t>。</w:t>
              </w:r>
            </w:p>
            <w:tbl>
              <w:tblPr>
                <w:tblStyle w:val="aff0"/>
                <w:tblW w:w="0" w:type="auto"/>
                <w:tblLook w:val="04A0" w:firstRow="1" w:lastRow="0" w:firstColumn="1" w:lastColumn="0" w:noHBand="0" w:noVBand="1"/>
              </w:tblPr>
              <w:tblGrid>
                <w:gridCol w:w="2193"/>
                <w:gridCol w:w="2326"/>
                <w:gridCol w:w="2195"/>
                <w:gridCol w:w="2109"/>
              </w:tblGrid>
              <w:tr w:rsidR="00D21C1F" w14:paraId="6CE7059A" w14:textId="77777777">
                <w:tc>
                  <w:tcPr>
                    <w:tcW w:w="9048" w:type="dxa"/>
                    <w:gridSpan w:val="4"/>
                  </w:tcPr>
                  <w:p w14:paraId="08422736" w14:textId="77777777" w:rsidR="00D21C1F" w:rsidRDefault="00A42880">
                    <w:pPr>
                      <w:spacing w:line="360" w:lineRule="auto"/>
                      <w:jc w:val="center"/>
                      <w:rPr>
                        <w:b/>
                        <w:bCs/>
                        <w:szCs w:val="21"/>
                      </w:rPr>
                    </w:pPr>
                    <w:r>
                      <w:rPr>
                        <w:rFonts w:hint="eastAsia"/>
                        <w:b/>
                        <w:bCs/>
                        <w:szCs w:val="21"/>
                      </w:rPr>
                      <w:t>核心零部件自主化率及覆盖率</w:t>
                    </w:r>
                  </w:p>
                </w:tc>
              </w:tr>
              <w:tr w:rsidR="00D21C1F" w14:paraId="247A3CF4" w14:textId="77777777">
                <w:tc>
                  <w:tcPr>
                    <w:tcW w:w="2261" w:type="dxa"/>
                  </w:tcPr>
                  <w:p w14:paraId="75CECD9E" w14:textId="77777777" w:rsidR="00D21C1F" w:rsidRDefault="00D21C1F">
                    <w:pPr>
                      <w:spacing w:line="360" w:lineRule="auto"/>
                      <w:jc w:val="center"/>
                      <w:rPr>
                        <w:b/>
                        <w:bCs/>
                        <w:szCs w:val="21"/>
                      </w:rPr>
                    </w:pPr>
                  </w:p>
                </w:tc>
                <w:tc>
                  <w:tcPr>
                    <w:tcW w:w="2383" w:type="dxa"/>
                  </w:tcPr>
                  <w:p w14:paraId="19B31D2A" w14:textId="77777777" w:rsidR="00D21C1F" w:rsidRDefault="00A42880">
                    <w:pPr>
                      <w:jc w:val="center"/>
                      <w:rPr>
                        <w:b/>
                        <w:bCs/>
                        <w:szCs w:val="21"/>
                      </w:rPr>
                    </w:pPr>
                    <w:r>
                      <w:rPr>
                        <w:rFonts w:ascii="Times New Roman" w:hAnsi="Times New Roman"/>
                        <w:b/>
                        <w:bCs/>
                        <w:szCs w:val="21"/>
                      </w:rPr>
                      <w:t>2021</w:t>
                    </w:r>
                    <w:r>
                      <w:rPr>
                        <w:b/>
                        <w:bCs/>
                        <w:szCs w:val="21"/>
                      </w:rPr>
                      <w:t>年上半年自主化率</w:t>
                    </w:r>
                  </w:p>
                </w:tc>
                <w:tc>
                  <w:tcPr>
                    <w:tcW w:w="2247" w:type="dxa"/>
                  </w:tcPr>
                  <w:p w14:paraId="077283FE" w14:textId="77777777" w:rsidR="00D21C1F" w:rsidRDefault="00A42880">
                    <w:pPr>
                      <w:spacing w:line="360" w:lineRule="auto"/>
                      <w:jc w:val="center"/>
                      <w:rPr>
                        <w:b/>
                        <w:bCs/>
                        <w:szCs w:val="21"/>
                      </w:rPr>
                    </w:pPr>
                    <w:r>
                      <w:rPr>
                        <w:rFonts w:ascii="Times New Roman" w:hAnsi="Times New Roman"/>
                        <w:b/>
                        <w:bCs/>
                        <w:szCs w:val="21"/>
                      </w:rPr>
                      <w:t>2020</w:t>
                    </w:r>
                    <w:r>
                      <w:rPr>
                        <w:b/>
                        <w:bCs/>
                        <w:szCs w:val="21"/>
                      </w:rPr>
                      <w:t>年自主化率</w:t>
                    </w:r>
                  </w:p>
                </w:tc>
                <w:tc>
                  <w:tcPr>
                    <w:tcW w:w="2157" w:type="dxa"/>
                  </w:tcPr>
                  <w:p w14:paraId="4F3E4F6F" w14:textId="77777777" w:rsidR="00D21C1F" w:rsidRDefault="00A42880">
                    <w:pPr>
                      <w:jc w:val="center"/>
                      <w:rPr>
                        <w:b/>
                        <w:bCs/>
                        <w:szCs w:val="21"/>
                      </w:rPr>
                    </w:pPr>
                    <w:r>
                      <w:rPr>
                        <w:rFonts w:ascii="Times New Roman" w:hAnsi="Times New Roman"/>
                        <w:b/>
                        <w:bCs/>
                        <w:szCs w:val="21"/>
                      </w:rPr>
                      <w:t>2021</w:t>
                    </w:r>
                    <w:r>
                      <w:rPr>
                        <w:b/>
                        <w:bCs/>
                        <w:szCs w:val="21"/>
                      </w:rPr>
                      <w:t>年</w:t>
                    </w:r>
                    <w:r>
                      <w:rPr>
                        <w:rFonts w:hint="eastAsia"/>
                        <w:b/>
                        <w:bCs/>
                        <w:szCs w:val="21"/>
                      </w:rPr>
                      <w:t>上半年</w:t>
                    </w:r>
                    <w:r>
                      <w:rPr>
                        <w:b/>
                        <w:bCs/>
                        <w:szCs w:val="21"/>
                      </w:rPr>
                      <w:t>覆盖率</w:t>
                    </w:r>
                  </w:p>
                </w:tc>
              </w:tr>
              <w:tr w:rsidR="00D21C1F" w14:paraId="20E339C2" w14:textId="77777777" w:rsidTr="00805757">
                <w:tc>
                  <w:tcPr>
                    <w:tcW w:w="2261" w:type="dxa"/>
                  </w:tcPr>
                  <w:p w14:paraId="00811823" w14:textId="77777777" w:rsidR="00D21C1F" w:rsidRDefault="00A42880">
                    <w:pPr>
                      <w:spacing w:line="360" w:lineRule="auto"/>
                      <w:rPr>
                        <w:szCs w:val="21"/>
                      </w:rPr>
                    </w:pPr>
                    <w:r>
                      <w:t>控制器</w:t>
                    </w:r>
                  </w:p>
                </w:tc>
                <w:tc>
                  <w:tcPr>
                    <w:tcW w:w="2383" w:type="dxa"/>
                  </w:tcPr>
                  <w:p w14:paraId="7387B2BB" w14:textId="77777777" w:rsidR="00D21C1F" w:rsidRDefault="00A42880" w:rsidP="00805757">
                    <w:pPr>
                      <w:spacing w:line="360" w:lineRule="auto"/>
                      <w:jc w:val="right"/>
                      <w:rPr>
                        <w:rFonts w:ascii="Times New Roman" w:hAnsi="Times New Roman" w:cs="Times New Roman"/>
                        <w:szCs w:val="21"/>
                      </w:rPr>
                    </w:pPr>
                    <w:r>
                      <w:rPr>
                        <w:rFonts w:ascii="Times New Roman" w:hAnsi="Times New Roman" w:cs="Times New Roman"/>
                      </w:rPr>
                      <w:t>71.20%</w:t>
                    </w:r>
                  </w:p>
                </w:tc>
                <w:tc>
                  <w:tcPr>
                    <w:tcW w:w="2247" w:type="dxa"/>
                  </w:tcPr>
                  <w:p w14:paraId="37E09CBB" w14:textId="77777777" w:rsidR="00D21C1F" w:rsidRDefault="00A42880" w:rsidP="00805757">
                    <w:pPr>
                      <w:spacing w:line="360" w:lineRule="auto"/>
                      <w:jc w:val="right"/>
                      <w:rPr>
                        <w:rFonts w:ascii="Times New Roman" w:hAnsi="Times New Roman" w:cs="Times New Roman"/>
                        <w:szCs w:val="21"/>
                      </w:rPr>
                    </w:pPr>
                    <w:r>
                      <w:rPr>
                        <w:rFonts w:ascii="Times New Roman" w:hAnsi="Times New Roman" w:cs="Times New Roman"/>
                      </w:rPr>
                      <w:t>26.95%</w:t>
                    </w:r>
                  </w:p>
                </w:tc>
                <w:tc>
                  <w:tcPr>
                    <w:tcW w:w="2157" w:type="dxa"/>
                  </w:tcPr>
                  <w:p w14:paraId="3EE98D6C" w14:textId="77777777" w:rsidR="00D21C1F" w:rsidRDefault="00A42880" w:rsidP="00805757">
                    <w:pPr>
                      <w:spacing w:line="360" w:lineRule="auto"/>
                      <w:jc w:val="right"/>
                      <w:rPr>
                        <w:rFonts w:ascii="Times New Roman" w:hAnsi="Times New Roman" w:cs="Times New Roman"/>
                      </w:rPr>
                    </w:pPr>
                    <w:r>
                      <w:rPr>
                        <w:rFonts w:ascii="Times New Roman" w:hAnsi="Times New Roman" w:cs="Times New Roman"/>
                      </w:rPr>
                      <w:t>83.33%</w:t>
                    </w:r>
                  </w:p>
                </w:tc>
              </w:tr>
              <w:tr w:rsidR="00D21C1F" w14:paraId="0BD911FC" w14:textId="77777777" w:rsidTr="00805757">
                <w:tc>
                  <w:tcPr>
                    <w:tcW w:w="2261" w:type="dxa"/>
                  </w:tcPr>
                  <w:p w14:paraId="482B92EE" w14:textId="77777777" w:rsidR="00D21C1F" w:rsidRDefault="00A42880">
                    <w:pPr>
                      <w:spacing w:line="360" w:lineRule="auto"/>
                      <w:rPr>
                        <w:szCs w:val="21"/>
                      </w:rPr>
                    </w:pPr>
                    <w:r>
                      <w:t>减速器</w:t>
                    </w:r>
                  </w:p>
                </w:tc>
                <w:tc>
                  <w:tcPr>
                    <w:tcW w:w="2383" w:type="dxa"/>
                  </w:tcPr>
                  <w:p w14:paraId="4AB08AEE" w14:textId="77777777" w:rsidR="00D21C1F" w:rsidRDefault="00A42880" w:rsidP="00805757">
                    <w:pPr>
                      <w:spacing w:line="360" w:lineRule="auto"/>
                      <w:jc w:val="right"/>
                      <w:rPr>
                        <w:rFonts w:ascii="Times New Roman" w:hAnsi="Times New Roman" w:cs="Times New Roman"/>
                        <w:szCs w:val="21"/>
                      </w:rPr>
                    </w:pPr>
                    <w:r>
                      <w:rPr>
                        <w:rFonts w:ascii="Times New Roman" w:hAnsi="Times New Roman" w:cs="Times New Roman"/>
                      </w:rPr>
                      <w:t>37.25%</w:t>
                    </w:r>
                  </w:p>
                </w:tc>
                <w:tc>
                  <w:tcPr>
                    <w:tcW w:w="2247" w:type="dxa"/>
                  </w:tcPr>
                  <w:p w14:paraId="71CE9776" w14:textId="77777777" w:rsidR="00D21C1F" w:rsidRDefault="00A42880" w:rsidP="00805757">
                    <w:pPr>
                      <w:spacing w:line="360" w:lineRule="auto"/>
                      <w:jc w:val="right"/>
                      <w:rPr>
                        <w:rFonts w:ascii="Times New Roman" w:hAnsi="Times New Roman" w:cs="Times New Roman"/>
                        <w:szCs w:val="21"/>
                      </w:rPr>
                    </w:pPr>
                    <w:r>
                      <w:rPr>
                        <w:rFonts w:ascii="Times New Roman" w:hAnsi="Times New Roman" w:cs="Times New Roman"/>
                      </w:rPr>
                      <w:t>35.77%</w:t>
                    </w:r>
                  </w:p>
                </w:tc>
                <w:tc>
                  <w:tcPr>
                    <w:tcW w:w="2157" w:type="dxa"/>
                  </w:tcPr>
                  <w:p w14:paraId="1D958341" w14:textId="77777777" w:rsidR="00D21C1F" w:rsidRDefault="00A42880" w:rsidP="00805757">
                    <w:pPr>
                      <w:spacing w:line="360" w:lineRule="auto"/>
                      <w:jc w:val="right"/>
                      <w:rPr>
                        <w:rFonts w:ascii="Times New Roman" w:hAnsi="Times New Roman" w:cs="Times New Roman"/>
                      </w:rPr>
                    </w:pPr>
                    <w:r>
                      <w:rPr>
                        <w:rFonts w:ascii="Times New Roman" w:hAnsi="Times New Roman" w:cs="Times New Roman"/>
                      </w:rPr>
                      <w:t>57.89%</w:t>
                    </w:r>
                  </w:p>
                </w:tc>
              </w:tr>
              <w:tr w:rsidR="00D21C1F" w14:paraId="6295D5F2" w14:textId="77777777" w:rsidTr="00805757">
                <w:tc>
                  <w:tcPr>
                    <w:tcW w:w="2261" w:type="dxa"/>
                  </w:tcPr>
                  <w:p w14:paraId="21939AF5" w14:textId="77777777" w:rsidR="00D21C1F" w:rsidRDefault="00A42880">
                    <w:pPr>
                      <w:spacing w:line="360" w:lineRule="auto"/>
                      <w:rPr>
                        <w:szCs w:val="21"/>
                      </w:rPr>
                    </w:pPr>
                    <w:r>
                      <w:t>伺服驱动器</w:t>
                    </w:r>
                  </w:p>
                </w:tc>
                <w:tc>
                  <w:tcPr>
                    <w:tcW w:w="2383" w:type="dxa"/>
                  </w:tcPr>
                  <w:p w14:paraId="36AC7B80" w14:textId="77777777" w:rsidR="00D21C1F" w:rsidRDefault="00A42880" w:rsidP="00805757">
                    <w:pPr>
                      <w:spacing w:line="360" w:lineRule="auto"/>
                      <w:jc w:val="right"/>
                      <w:rPr>
                        <w:rFonts w:ascii="Times New Roman" w:hAnsi="Times New Roman" w:cs="Times New Roman"/>
                        <w:szCs w:val="21"/>
                      </w:rPr>
                    </w:pPr>
                    <w:r>
                      <w:rPr>
                        <w:rFonts w:ascii="Times New Roman" w:hAnsi="Times New Roman" w:cs="Times New Roman"/>
                      </w:rPr>
                      <w:t>5.30%</w:t>
                    </w:r>
                  </w:p>
                </w:tc>
                <w:tc>
                  <w:tcPr>
                    <w:tcW w:w="2247" w:type="dxa"/>
                  </w:tcPr>
                  <w:p w14:paraId="120AB6D1" w14:textId="77777777" w:rsidR="00D21C1F" w:rsidRDefault="00A42880" w:rsidP="00805757">
                    <w:pPr>
                      <w:spacing w:line="360" w:lineRule="auto"/>
                      <w:jc w:val="right"/>
                      <w:rPr>
                        <w:rFonts w:ascii="Times New Roman" w:hAnsi="Times New Roman" w:cs="Times New Roman"/>
                        <w:szCs w:val="21"/>
                      </w:rPr>
                    </w:pPr>
                    <w:r>
                      <w:rPr>
                        <w:rFonts w:ascii="Times New Roman" w:hAnsi="Times New Roman" w:cs="Times New Roman"/>
                      </w:rPr>
                      <w:t>3.05%</w:t>
                    </w:r>
                  </w:p>
                </w:tc>
                <w:tc>
                  <w:tcPr>
                    <w:tcW w:w="2157" w:type="dxa"/>
                  </w:tcPr>
                  <w:p w14:paraId="4014372F" w14:textId="77777777" w:rsidR="00D21C1F" w:rsidRDefault="00A42880" w:rsidP="00805757">
                    <w:pPr>
                      <w:spacing w:line="360" w:lineRule="auto"/>
                      <w:jc w:val="right"/>
                      <w:rPr>
                        <w:rFonts w:ascii="Times New Roman" w:hAnsi="Times New Roman" w:cs="Times New Roman"/>
                      </w:rPr>
                    </w:pPr>
                    <w:r>
                      <w:rPr>
                        <w:rFonts w:ascii="Times New Roman" w:hAnsi="Times New Roman" w:cs="Times New Roman"/>
                      </w:rPr>
                      <w:t>29.17%</w:t>
                    </w:r>
                  </w:p>
                </w:tc>
              </w:tr>
              <w:tr w:rsidR="00D21C1F" w14:paraId="2941C034" w14:textId="77777777">
                <w:tc>
                  <w:tcPr>
                    <w:tcW w:w="9048" w:type="dxa"/>
                    <w:gridSpan w:val="4"/>
                  </w:tcPr>
                  <w:p w14:paraId="293D96E2" w14:textId="77777777" w:rsidR="00D21C1F" w:rsidRDefault="00A42880">
                    <w:pPr>
                      <w:spacing w:line="360" w:lineRule="auto"/>
                      <w:rPr>
                        <w:color w:val="000000"/>
                        <w:szCs w:val="21"/>
                        <w:shd w:val="clear" w:color="auto" w:fill="FFFFFF"/>
                      </w:rPr>
                    </w:pPr>
                    <w:r>
                      <w:rPr>
                        <w:rFonts w:hint="eastAsia"/>
                      </w:rPr>
                      <w:t>自主化率：</w:t>
                    </w:r>
                    <w:r>
                      <w:rPr>
                        <w:rFonts w:hint="eastAsia"/>
                        <w:color w:val="000000"/>
                        <w:szCs w:val="21"/>
                        <w:shd w:val="clear" w:color="auto" w:fill="FFFFFF"/>
                      </w:rPr>
                      <w:t>领用自主生产</w:t>
                    </w:r>
                    <w:r>
                      <w:rPr>
                        <w:color w:val="000000"/>
                        <w:szCs w:val="21"/>
                        <w:shd w:val="clear" w:color="auto" w:fill="FFFFFF"/>
                      </w:rPr>
                      <w:t>/领用总数</w:t>
                    </w:r>
                  </w:p>
                  <w:p w14:paraId="3AD21A25" w14:textId="77777777" w:rsidR="00D21C1F" w:rsidRDefault="00A42880">
                    <w:pPr>
                      <w:spacing w:line="360" w:lineRule="auto"/>
                    </w:pPr>
                    <w:r>
                      <w:rPr>
                        <w:rFonts w:hint="eastAsia"/>
                      </w:rPr>
                      <w:t>覆盖率：自主零部件已覆盖的产品种类</w:t>
                    </w:r>
                    <w:r>
                      <w:t>/所有可能被自主零部件覆盖的产品种类</w:t>
                    </w:r>
                  </w:p>
                </w:tc>
              </w:tr>
            </w:tbl>
            <w:p w14:paraId="5A775EA9" w14:textId="77777777" w:rsidR="00D21C1F" w:rsidRDefault="00D21C1F">
              <w:pPr>
                <w:pStyle w:val="97"/>
              </w:pPr>
            </w:p>
            <w:p w14:paraId="30775615" w14:textId="77777777" w:rsidR="00D21C1F" w:rsidRDefault="00D21C1F">
              <w:pPr>
                <w:pStyle w:val="97"/>
              </w:pPr>
            </w:p>
            <w:p w14:paraId="6D2E318D" w14:textId="77777777" w:rsidR="00D21C1F" w:rsidRDefault="00045EC6">
              <w:pPr>
                <w:pStyle w:val="97"/>
              </w:pPr>
            </w:p>
          </w:sdtContent>
        </w:sdt>
      </w:sdtContent>
    </w:sdt>
    <w:bookmarkEnd w:id="64"/>
    <w:bookmarkEnd w:id="65"/>
    <w:p w14:paraId="202FEAD5" w14:textId="77777777" w:rsidR="00D21C1F" w:rsidRDefault="00A42880">
      <w:pPr>
        <w:rPr>
          <w:rFonts w:eastAsiaTheme="minorEastAsia"/>
        </w:rPr>
      </w:pPr>
      <w:r>
        <w:br w:type="page"/>
      </w:r>
    </w:p>
    <w:p w14:paraId="6950A38D" w14:textId="77777777" w:rsidR="00D21C1F" w:rsidRDefault="00D21C1F">
      <w:pPr>
        <w:pStyle w:val="97"/>
      </w:pPr>
    </w:p>
    <w:p w14:paraId="559F3E93" w14:textId="77777777" w:rsidR="00D21C1F" w:rsidRDefault="00A42880">
      <w:pPr>
        <w:pStyle w:val="10"/>
        <w:numPr>
          <w:ilvl w:val="0"/>
          <w:numId w:val="3"/>
        </w:numPr>
        <w:rPr>
          <w:rFonts w:ascii="黑体" w:hAnsi="黑体"/>
        </w:rPr>
      </w:pPr>
      <w:bookmarkStart w:id="73" w:name="_Toc79755143"/>
      <w:r>
        <w:rPr>
          <w:rFonts w:ascii="黑体" w:hAnsi="黑体" w:hint="eastAsia"/>
        </w:rPr>
        <w:t>公司治理</w:t>
      </w:r>
      <w:bookmarkEnd w:id="73"/>
    </w:p>
    <w:sdt>
      <w:sdtPr>
        <w:rPr>
          <w:rFonts w:eastAsiaTheme="minorEastAsia"/>
          <w:b w:val="0"/>
          <w:bCs w:val="0"/>
        </w:rPr>
        <w:alias w:val="模块:股东大会情况简介"/>
        <w:tag w:val="_SEC_3ae22d0bfcd94a15aff38fa624550b48"/>
        <w:id w:val="-494650493"/>
        <w:lock w:val="sdtLocked"/>
        <w:placeholder>
          <w:docPart w:val="GBC22222222222222222222222222222"/>
        </w:placeholder>
      </w:sdtPr>
      <w:sdtEndPr>
        <w:rPr>
          <w:rFonts w:hint="eastAsia"/>
        </w:rPr>
      </w:sdtEndPr>
      <w:sdtContent>
        <w:p w14:paraId="59306BE3" w14:textId="77777777" w:rsidR="00D21C1F" w:rsidRDefault="00A42880">
          <w:pPr>
            <w:pStyle w:val="2"/>
            <w:numPr>
              <w:ilvl w:val="0"/>
              <w:numId w:val="22"/>
            </w:numPr>
          </w:pPr>
          <w:r>
            <w:t>股东大会情况简介</w:t>
          </w:r>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59"/>
            <w:gridCol w:w="2285"/>
            <w:gridCol w:w="1313"/>
            <w:gridCol w:w="1703"/>
          </w:tblGrid>
          <w:tr w:rsidR="00D21C1F" w14:paraId="0FAC06E1" w14:textId="77777777">
            <w:trPr>
              <w:trHeight w:val="165"/>
            </w:trPr>
            <w:sdt>
              <w:sdtPr>
                <w:tag w:val="_PLD_1cc20ffce09e4c6f9177bb14ea86e7d0"/>
                <w:id w:val="1780680631"/>
                <w:lock w:val="sdtLocked"/>
              </w:sdtPr>
              <w:sdtEndPr/>
              <w:sdtContent>
                <w:tc>
                  <w:tcPr>
                    <w:tcW w:w="1282" w:type="pct"/>
                    <w:vAlign w:val="center"/>
                  </w:tcPr>
                  <w:p w14:paraId="31A7BF2E" w14:textId="77777777" w:rsidR="00D21C1F" w:rsidRDefault="00A42880">
                    <w:pPr>
                      <w:widowControl w:val="0"/>
                      <w:jc w:val="center"/>
                      <w:rPr>
                        <w:szCs w:val="21"/>
                      </w:rPr>
                    </w:pPr>
                    <w:r>
                      <w:rPr>
                        <w:szCs w:val="21"/>
                      </w:rPr>
                      <w:t>会议届次</w:t>
                    </w:r>
                  </w:p>
                </w:tc>
              </w:sdtContent>
            </w:sdt>
            <w:sdt>
              <w:sdtPr>
                <w:tag w:val="_PLD_5131bed02b6844c0b5c01da7fd041fdf"/>
                <w:id w:val="1388301188"/>
                <w:lock w:val="sdtLocked"/>
              </w:sdtPr>
              <w:sdtEndPr/>
              <w:sdtContent>
                <w:tc>
                  <w:tcPr>
                    <w:tcW w:w="713" w:type="pct"/>
                    <w:vAlign w:val="center"/>
                  </w:tcPr>
                  <w:p w14:paraId="0B5E07C7" w14:textId="77777777" w:rsidR="00D21C1F" w:rsidRDefault="00A42880">
                    <w:pPr>
                      <w:widowControl w:val="0"/>
                      <w:jc w:val="center"/>
                      <w:rPr>
                        <w:szCs w:val="21"/>
                      </w:rPr>
                    </w:pPr>
                    <w:r>
                      <w:rPr>
                        <w:szCs w:val="21"/>
                      </w:rPr>
                      <w:t>召开日期</w:t>
                    </w:r>
                  </w:p>
                </w:tc>
              </w:sdtContent>
            </w:sdt>
            <w:sdt>
              <w:sdtPr>
                <w:tag w:val="_PLD_ac686bea69a24374b72f5cb24ad75278"/>
                <w:id w:val="-77142316"/>
                <w:lock w:val="sdtLocked"/>
              </w:sdtPr>
              <w:sdtEndPr/>
              <w:sdtContent>
                <w:tc>
                  <w:tcPr>
                    <w:tcW w:w="1295" w:type="pct"/>
                    <w:vAlign w:val="center"/>
                  </w:tcPr>
                  <w:p w14:paraId="315D1C62" w14:textId="77777777" w:rsidR="00D21C1F" w:rsidRDefault="00A42880">
                    <w:pPr>
                      <w:widowControl w:val="0"/>
                      <w:jc w:val="center"/>
                      <w:rPr>
                        <w:szCs w:val="21"/>
                      </w:rPr>
                    </w:pPr>
                    <w:r>
                      <w:rPr>
                        <w:szCs w:val="21"/>
                      </w:rPr>
                      <w:t>决议刊登的指定网站的查询索引</w:t>
                    </w:r>
                  </w:p>
                </w:tc>
              </w:sdtContent>
            </w:sdt>
            <w:sdt>
              <w:sdtPr>
                <w:tag w:val="_PLD_847128bdbe6f44d0a995f094abd3685c"/>
                <w:id w:val="-842160452"/>
                <w:lock w:val="sdtLocked"/>
              </w:sdtPr>
              <w:sdtEndPr/>
              <w:sdtContent>
                <w:tc>
                  <w:tcPr>
                    <w:tcW w:w="744" w:type="pct"/>
                    <w:vAlign w:val="center"/>
                  </w:tcPr>
                  <w:p w14:paraId="5C16B331" w14:textId="77777777" w:rsidR="00D21C1F" w:rsidRDefault="00A42880">
                    <w:pPr>
                      <w:widowControl w:val="0"/>
                      <w:jc w:val="center"/>
                      <w:rPr>
                        <w:szCs w:val="21"/>
                      </w:rPr>
                    </w:pPr>
                    <w:r>
                      <w:rPr>
                        <w:szCs w:val="21"/>
                      </w:rPr>
                      <w:t>决议刊登的披露日期</w:t>
                    </w:r>
                  </w:p>
                </w:tc>
              </w:sdtContent>
            </w:sdt>
            <w:sdt>
              <w:sdtPr>
                <w:rPr>
                  <w:rFonts w:hint="eastAsia"/>
                </w:rPr>
                <w:tag w:val="_PLD_5cc39fa068bc40a789bc695b30e58036"/>
                <w:id w:val="-557474813"/>
                <w:lock w:val="sdtLocked"/>
              </w:sdtPr>
              <w:sdtEndPr/>
              <w:sdtContent>
                <w:tc>
                  <w:tcPr>
                    <w:tcW w:w="965" w:type="pct"/>
                    <w:vAlign w:val="center"/>
                  </w:tcPr>
                  <w:p w14:paraId="6DE5459A" w14:textId="77777777" w:rsidR="00D21C1F" w:rsidRDefault="00A42880">
                    <w:pPr>
                      <w:widowControl w:val="0"/>
                      <w:jc w:val="center"/>
                    </w:pPr>
                    <w:r>
                      <w:rPr>
                        <w:rFonts w:hint="eastAsia"/>
                      </w:rPr>
                      <w:t>会议决议</w:t>
                    </w:r>
                  </w:p>
                </w:tc>
              </w:sdtContent>
            </w:sdt>
          </w:tr>
          <w:sdt>
            <w:sdtPr>
              <w:rPr>
                <w:rFonts w:ascii="Times New Roman" w:hAnsi="Times New Roman" w:cs="Times New Roman"/>
                <w:szCs w:val="21"/>
              </w:rPr>
              <w:alias w:val="股东大会情况"/>
              <w:tag w:val="_TUP_23eb487759fc41b6a2a06b40dd3fe0d9"/>
              <w:id w:val="-1861509411"/>
              <w:placeholder>
                <w:docPart w:val="GBC11111111111111111111111111111"/>
              </w:placeholder>
            </w:sdtPr>
            <w:sdtEndPr>
              <w:rPr>
                <w:rFonts w:ascii="宋体" w:hAnsi="宋体" w:cs="宋体" w:hint="eastAsia"/>
              </w:rPr>
            </w:sdtEndPr>
            <w:sdtContent>
              <w:tr w:rsidR="00D21C1F" w14:paraId="32368D77" w14:textId="77777777">
                <w:trPr>
                  <w:trHeight w:val="195"/>
                </w:trPr>
                <w:tc>
                  <w:tcPr>
                    <w:tcW w:w="1282" w:type="pct"/>
                    <w:vAlign w:val="center"/>
                  </w:tcPr>
                  <w:p w14:paraId="5590A8CC" w14:textId="77777777" w:rsidR="00D21C1F" w:rsidRDefault="00A42880">
                    <w:pPr>
                      <w:widowControl w:val="0"/>
                      <w:jc w:val="center"/>
                      <w:rPr>
                        <w:rFonts w:ascii="Times New Roman" w:hAnsi="Times New Roman" w:cs="Times New Roman"/>
                        <w:szCs w:val="21"/>
                      </w:rPr>
                    </w:pPr>
                    <w:r>
                      <w:rPr>
                        <w:rFonts w:ascii="Times New Roman" w:hAnsi="Times New Roman" w:cs="Times New Roman"/>
                        <w:szCs w:val="21"/>
                      </w:rPr>
                      <w:t>2020</w:t>
                    </w:r>
                    <w:r>
                      <w:rPr>
                        <w:rFonts w:ascii="Times New Roman" w:hAnsi="Times New Roman" w:cs="Times New Roman"/>
                        <w:szCs w:val="21"/>
                      </w:rPr>
                      <w:t>年年度股东大会</w:t>
                    </w:r>
                  </w:p>
                </w:tc>
                <w:tc>
                  <w:tcPr>
                    <w:tcW w:w="713" w:type="pct"/>
                    <w:vAlign w:val="center"/>
                  </w:tcPr>
                  <w:p w14:paraId="29A889C1" w14:textId="77777777" w:rsidR="00D21C1F" w:rsidRDefault="00A42880">
                    <w:pPr>
                      <w:widowControl w:val="0"/>
                      <w:jc w:val="center"/>
                      <w:rPr>
                        <w:rFonts w:ascii="Times New Roman" w:hAnsi="Times New Roman" w:cs="Times New Roman"/>
                        <w:szCs w:val="21"/>
                      </w:rPr>
                    </w:pPr>
                    <w:r>
                      <w:rPr>
                        <w:rFonts w:ascii="Times New Roman" w:hAnsi="Times New Roman" w:cs="Times New Roman"/>
                        <w:szCs w:val="21"/>
                      </w:rPr>
                      <w:t>2021</w:t>
                    </w:r>
                    <w:r>
                      <w:rPr>
                        <w:rFonts w:ascii="Times New Roman" w:hAnsi="Times New Roman" w:cs="Times New Roman" w:hint="eastAsia"/>
                        <w:szCs w:val="21"/>
                      </w:rPr>
                      <w:t>-</w:t>
                    </w:r>
                    <w:r>
                      <w:rPr>
                        <w:rFonts w:ascii="Times New Roman" w:hAnsi="Times New Roman" w:cs="Times New Roman"/>
                        <w:szCs w:val="21"/>
                      </w:rPr>
                      <w:t>5</w:t>
                    </w:r>
                    <w:r>
                      <w:rPr>
                        <w:rFonts w:ascii="Times New Roman" w:hAnsi="Times New Roman" w:cs="Times New Roman" w:hint="eastAsia"/>
                        <w:szCs w:val="21"/>
                      </w:rPr>
                      <w:t>-</w:t>
                    </w:r>
                    <w:r>
                      <w:rPr>
                        <w:rFonts w:ascii="Times New Roman" w:hAnsi="Times New Roman" w:cs="Times New Roman"/>
                        <w:szCs w:val="21"/>
                      </w:rPr>
                      <w:t>14</w:t>
                    </w:r>
                  </w:p>
                </w:tc>
                <w:tc>
                  <w:tcPr>
                    <w:tcW w:w="1295" w:type="pct"/>
                    <w:vAlign w:val="center"/>
                  </w:tcPr>
                  <w:p w14:paraId="41B97D51" w14:textId="77777777" w:rsidR="00D21C1F" w:rsidRDefault="00A42880">
                    <w:pPr>
                      <w:widowControl w:val="0"/>
                      <w:jc w:val="center"/>
                      <w:rPr>
                        <w:rFonts w:ascii="Times New Roman" w:hAnsi="Times New Roman" w:cs="Times New Roman"/>
                        <w:szCs w:val="21"/>
                      </w:rPr>
                    </w:pPr>
                    <w:r>
                      <w:rPr>
                        <w:rFonts w:ascii="Times New Roman" w:hAnsi="Times New Roman" w:cs="Times New Roman"/>
                        <w:szCs w:val="21"/>
                      </w:rPr>
                      <w:t>www.sse.com.cn</w:t>
                    </w:r>
                  </w:p>
                </w:tc>
                <w:tc>
                  <w:tcPr>
                    <w:tcW w:w="744" w:type="pct"/>
                    <w:vAlign w:val="center"/>
                  </w:tcPr>
                  <w:p w14:paraId="04095BDB" w14:textId="77777777" w:rsidR="00D21C1F" w:rsidRDefault="00A42880">
                    <w:pPr>
                      <w:widowControl w:val="0"/>
                      <w:jc w:val="center"/>
                      <w:rPr>
                        <w:rFonts w:ascii="Times New Roman" w:hAnsi="Times New Roman" w:cs="Times New Roman"/>
                        <w:szCs w:val="21"/>
                      </w:rPr>
                    </w:pPr>
                    <w:r>
                      <w:rPr>
                        <w:rFonts w:ascii="Times New Roman" w:hAnsi="Times New Roman" w:cs="Times New Roman"/>
                        <w:szCs w:val="21"/>
                      </w:rPr>
                      <w:t>2021</w:t>
                    </w:r>
                    <w:r>
                      <w:rPr>
                        <w:rFonts w:ascii="Times New Roman" w:hAnsi="Times New Roman" w:cs="Times New Roman" w:hint="eastAsia"/>
                        <w:szCs w:val="21"/>
                      </w:rPr>
                      <w:t>-</w:t>
                    </w:r>
                    <w:r>
                      <w:rPr>
                        <w:rFonts w:ascii="Times New Roman" w:hAnsi="Times New Roman" w:cs="Times New Roman"/>
                        <w:szCs w:val="21"/>
                      </w:rPr>
                      <w:t>5</w:t>
                    </w:r>
                    <w:r>
                      <w:rPr>
                        <w:rFonts w:ascii="Times New Roman" w:hAnsi="Times New Roman" w:cs="Times New Roman" w:hint="eastAsia"/>
                        <w:szCs w:val="21"/>
                      </w:rPr>
                      <w:t>-</w:t>
                    </w:r>
                    <w:r>
                      <w:rPr>
                        <w:rFonts w:ascii="Times New Roman" w:hAnsi="Times New Roman" w:cs="Times New Roman"/>
                        <w:szCs w:val="21"/>
                      </w:rPr>
                      <w:t>15</w:t>
                    </w:r>
                  </w:p>
                </w:tc>
                <w:tc>
                  <w:tcPr>
                    <w:tcW w:w="965" w:type="pct"/>
                    <w:vAlign w:val="center"/>
                  </w:tcPr>
                  <w:p w14:paraId="76158259" w14:textId="77777777" w:rsidR="00D21C1F" w:rsidRDefault="00A42880">
                    <w:pPr>
                      <w:widowControl w:val="0"/>
                      <w:jc w:val="center"/>
                      <w:rPr>
                        <w:szCs w:val="21"/>
                      </w:rPr>
                    </w:pPr>
                    <w:r>
                      <w:rPr>
                        <w:rFonts w:hint="eastAsia"/>
                        <w:szCs w:val="21"/>
                      </w:rPr>
                      <w:t>各项议案均审议通过，不存在否决议案的情况</w:t>
                    </w:r>
                  </w:p>
                </w:tc>
              </w:tr>
            </w:sdtContent>
          </w:sdt>
        </w:tbl>
        <w:p w14:paraId="71DDCEE4" w14:textId="77777777" w:rsidR="00D21C1F" w:rsidRDefault="00045EC6">
          <w:pPr>
            <w:pStyle w:val="97"/>
          </w:pPr>
        </w:p>
      </w:sdtContent>
    </w:sdt>
    <w:bookmarkStart w:id="74" w:name="_Hlk41294309" w:displacedByCustomXml="next"/>
    <w:bookmarkEnd w:id="74" w:displacedByCustomXml="next"/>
    <w:bookmarkStart w:id="75" w:name="_Hlk74817039" w:displacedByCustomXml="next"/>
    <w:sdt>
      <w:sdtPr>
        <w:rPr>
          <w:rFonts w:eastAsiaTheme="minorEastAsia"/>
        </w:rPr>
        <w:alias w:val="模块:表决权恢复的优先股股东请求召开临时股东大会"/>
        <w:tag w:val="_SEC_8e44b2942f754443ac31e7cb555b7491"/>
        <w:id w:val="218638582"/>
        <w:lock w:val="sdtLocked"/>
        <w:placeholder>
          <w:docPart w:val="GBC22222222222222222222222222222"/>
        </w:placeholder>
      </w:sdtPr>
      <w:sdtEndPr/>
      <w:sdtContent>
        <w:p w14:paraId="6556F7AA" w14:textId="77777777" w:rsidR="00D21C1F" w:rsidRDefault="00A42880">
          <w:pPr>
            <w:rPr>
              <w:b/>
            </w:rPr>
          </w:pPr>
          <w:r>
            <w:rPr>
              <w:rFonts w:hint="eastAsia"/>
              <w:b/>
            </w:rPr>
            <w:t>表决权恢复的优先股股东请求召开临时股东大会</w:t>
          </w:r>
        </w:p>
        <w:sdt>
          <w:sdtPr>
            <w:alias w:val="是否适用：表决权恢复的优先股股东请求召开临时股东大会[双击切换]"/>
            <w:tag w:val="_GBC_70dfd1bc9cc44ceba57525fb1a867294"/>
            <w:id w:val="1495299316"/>
            <w:lock w:val="sdtLocked"/>
            <w:placeholder>
              <w:docPart w:val="GBC22222222222222222222222222222"/>
            </w:placeholder>
          </w:sdtPr>
          <w:sdtEndPr/>
          <w:sdtContent>
            <w:p w14:paraId="546811E5" w14:textId="77777777" w:rsidR="00D21C1F" w:rsidRDefault="00A42880">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834F90" w14:textId="77777777" w:rsidR="00D21C1F" w:rsidRDefault="00045EC6">
          <w:pPr>
            <w:pStyle w:val="97"/>
          </w:pPr>
        </w:p>
      </w:sdtContent>
    </w:sdt>
    <w:bookmarkEnd w:id="75" w:displacedByCustomXml="next"/>
    <w:sdt>
      <w:sdtPr>
        <w:rPr>
          <w:rFonts w:hint="eastAsia"/>
        </w:rPr>
        <w:alias w:val="模块:股东大会情况说明"/>
        <w:tag w:val="_SEC_bf1ce0d19a464ce2a3d1a1d438ffde42"/>
        <w:id w:val="-813646981"/>
        <w:lock w:val="sdtLocked"/>
        <w:placeholder>
          <w:docPart w:val="GBC22222222222222222222222222222"/>
        </w:placeholder>
      </w:sdtPr>
      <w:sdtEndPr/>
      <w:sdtContent>
        <w:p w14:paraId="43902B31" w14:textId="77777777" w:rsidR="00D21C1F" w:rsidRDefault="00A42880">
          <w:pPr>
            <w:pStyle w:val="97"/>
          </w:pPr>
          <w:r>
            <w:rPr>
              <w:rFonts w:hint="eastAsia"/>
            </w:rPr>
            <w:t>股东大会情况说明</w:t>
          </w:r>
        </w:p>
        <w:sdt>
          <w:sdtPr>
            <w:rPr>
              <w:rFonts w:hint="eastAsia"/>
            </w:rPr>
            <w:alias w:val="是否适用：股东大会情况说明[双击切换]"/>
            <w:tag w:val="_GBC_bc06fc78c35044b0a848192606e2a5ad"/>
            <w:id w:val="-1283800139"/>
            <w:lock w:val="sdtLocked"/>
          </w:sdtPr>
          <w:sdtEndPr/>
          <w:sdtContent>
            <w:p w14:paraId="0CD5D583" w14:textId="77777777" w:rsidR="00D21C1F" w:rsidRDefault="00A42880">
              <w:pPr>
                <w:pStyle w:val="97"/>
              </w:pPr>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hint="eastAsia"/>
            </w:rPr>
            <w:alias w:val="年度股东大会情况的说明"/>
            <w:tag w:val="_GBC_f97651ca2866412b9255a1ff13fdc83d"/>
            <w:id w:val="1689711955"/>
            <w:lock w:val="sdtLocked"/>
            <w:placeholder>
              <w:docPart w:val="9C01A8DAEC2C4CF58F42F6A81B660C1A"/>
            </w:placeholder>
          </w:sdtPr>
          <w:sdtEndPr/>
          <w:sdtContent>
            <w:p w14:paraId="026CCCD9" w14:textId="77777777" w:rsidR="00D21C1F" w:rsidRDefault="00A42880">
              <w:pPr>
                <w:spacing w:line="360" w:lineRule="auto"/>
                <w:ind w:firstLineChars="200" w:firstLine="420"/>
                <w:jc w:val="both"/>
              </w:pPr>
              <w:r>
                <w:rPr>
                  <w:rFonts w:ascii="Times New Roman" w:hAnsi="Times New Roman" w:cs="Times New Roman"/>
                </w:rPr>
                <w:t>公司</w:t>
              </w:r>
              <w:r>
                <w:rPr>
                  <w:rFonts w:ascii="Times New Roman" w:hAnsi="Times New Roman" w:cs="Times New Roman"/>
                </w:rPr>
                <w:t>2020</w:t>
              </w:r>
              <w:r>
                <w:rPr>
                  <w:rFonts w:ascii="Times New Roman" w:hAnsi="Times New Roman" w:cs="Times New Roman"/>
                </w:rPr>
                <w:t>年年度股东大会已经过公司聘请的律师事务所鉴证，股东大会的召集、召开程序符合有关法律法规及《公司章程》的规定，出席会议的人员和召集人的资格合法有效，股东大会的表决程序和表决结果合法有效。股东大会的议案全部审议通过，不存在否决议案的情况。</w:t>
              </w:r>
            </w:p>
          </w:sdtContent>
        </w:sdt>
        <w:p w14:paraId="22FB5489" w14:textId="77777777" w:rsidR="00D21C1F" w:rsidRDefault="00045EC6">
          <w:pPr>
            <w:pStyle w:val="97"/>
          </w:pPr>
        </w:p>
      </w:sdtContent>
    </w:sdt>
    <w:bookmarkStart w:id="76" w:name="_Toc342057949" w:displacedByCustomXml="next"/>
    <w:bookmarkStart w:id="77" w:name="_Toc342566009" w:displacedByCustomXml="next"/>
    <w:sdt>
      <w:sdtPr>
        <w:rPr>
          <w:rFonts w:eastAsiaTheme="minorEastAsia" w:hint="eastAsia"/>
          <w:b w:val="0"/>
          <w:bCs w:val="0"/>
        </w:rPr>
        <w:alias w:val="模块:公司董事、监事、高级管理人员变动情况"/>
        <w:tag w:val="_SEC_fe90051e8bfd40b8bb8541284a29b30e"/>
        <w:id w:val="-1837764888"/>
        <w:lock w:val="sdtLocked"/>
        <w:placeholder>
          <w:docPart w:val="GBC22222222222222222222222222222"/>
        </w:placeholder>
      </w:sdtPr>
      <w:sdtEndPr/>
      <w:sdtContent>
        <w:p w14:paraId="1EE6CBFD" w14:textId="77777777" w:rsidR="00D21C1F" w:rsidRDefault="00A42880">
          <w:pPr>
            <w:pStyle w:val="2"/>
            <w:numPr>
              <w:ilvl w:val="0"/>
              <w:numId w:val="22"/>
            </w:numPr>
          </w:pPr>
          <w:r>
            <w:rPr>
              <w:rFonts w:hint="eastAsia"/>
            </w:rPr>
            <w:t>公司董事、监事、高级管理人员</w:t>
          </w:r>
          <w:r>
            <w:rPr>
              <w:rFonts w:hint="eastAsia"/>
              <w:shd w:val="solid" w:color="FFFFFF" w:fill="auto"/>
            </w:rPr>
            <w:t>和核心技术人员</w:t>
          </w:r>
          <w:r>
            <w:rPr>
              <w:rFonts w:hint="eastAsia"/>
            </w:rPr>
            <w:t>变动情况</w:t>
          </w:r>
          <w:bookmarkEnd w:id="77"/>
          <w:bookmarkEnd w:id="76"/>
        </w:p>
        <w:sdt>
          <w:sdtPr>
            <w:alias w:val="是否适用：公司董事、监事、高级管理人员变动情况[双击切换]"/>
            <w:tag w:val="_GBC_001d837207464f1aaa52a7fb8cd9d226"/>
            <w:id w:val="-732930137"/>
            <w:lock w:val="sdtLocked"/>
            <w:placeholder>
              <w:docPart w:val="GBC22222222222222222222222222222"/>
            </w:placeholder>
          </w:sdtPr>
          <w:sdtEndPr/>
          <w:sdtContent>
            <w:p w14:paraId="172C669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547"/>
            <w:gridCol w:w="3409"/>
            <w:gridCol w:w="2867"/>
          </w:tblGrid>
          <w:tr w:rsidR="00D21C1F" w14:paraId="7009FAB4" w14:textId="77777777">
            <w:sdt>
              <w:sdtPr>
                <w:tag w:val="_PLD_8d21520223e04755b8822b634d237604"/>
                <w:id w:val="-474302102"/>
                <w:lock w:val="sdtLocked"/>
              </w:sdtPr>
              <w:sdtEndPr/>
              <w:sdtContent>
                <w:tc>
                  <w:tcPr>
                    <w:tcW w:w="1443" w:type="pct"/>
                    <w:shd w:val="clear" w:color="auto" w:fill="auto"/>
                  </w:tcPr>
                  <w:p w14:paraId="1D68020D" w14:textId="77777777" w:rsidR="00D21C1F" w:rsidRDefault="00A42880">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2058807046"/>
                <w:lock w:val="sdtLocked"/>
              </w:sdtPr>
              <w:sdtEndPr/>
              <w:sdtContent>
                <w:tc>
                  <w:tcPr>
                    <w:tcW w:w="1932" w:type="pct"/>
                    <w:shd w:val="clear" w:color="auto" w:fill="auto"/>
                  </w:tcPr>
                  <w:p w14:paraId="3A236EBC" w14:textId="77777777" w:rsidR="00D21C1F" w:rsidRDefault="00A42880">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1259861263"/>
                <w:lock w:val="sdtLocked"/>
              </w:sdtPr>
              <w:sdtEndPr/>
              <w:sdtContent>
                <w:tc>
                  <w:tcPr>
                    <w:tcW w:w="1625" w:type="pct"/>
                    <w:shd w:val="clear" w:color="auto" w:fill="auto"/>
                  </w:tcPr>
                  <w:p w14:paraId="7C5BFD1B" w14:textId="77777777" w:rsidR="00D21C1F" w:rsidRDefault="00A42880">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018687538"/>
              <w:placeholder>
                <w:docPart w:val="GBC11111111111111111111111111111"/>
              </w:placeholder>
            </w:sdtPr>
            <w:sdtEndPr/>
            <w:sdtContent>
              <w:tr w:rsidR="00D21C1F" w14:paraId="6D3C3548" w14:textId="77777777">
                <w:tc>
                  <w:tcPr>
                    <w:tcW w:w="1443" w:type="pct"/>
                  </w:tcPr>
                  <w:p w14:paraId="49E3BC02" w14:textId="77777777" w:rsidR="00D21C1F" w:rsidRDefault="00A42880">
                    <w:pPr>
                      <w:kinsoku w:val="0"/>
                      <w:overflowPunct w:val="0"/>
                      <w:autoSpaceDE w:val="0"/>
                      <w:autoSpaceDN w:val="0"/>
                      <w:adjustRightInd w:val="0"/>
                      <w:snapToGrid w:val="0"/>
                      <w:rPr>
                        <w:szCs w:val="21"/>
                      </w:rPr>
                    </w:pPr>
                    <w:r>
                      <w:rPr>
                        <w:rFonts w:hint="eastAsia"/>
                        <w:szCs w:val="21"/>
                      </w:rPr>
                      <w:t>樊莉娟</w:t>
                    </w:r>
                  </w:p>
                </w:tc>
                <w:tc>
                  <w:tcPr>
                    <w:tcW w:w="1932" w:type="pct"/>
                  </w:tcPr>
                  <w:p w14:paraId="40B072DE" w14:textId="77777777" w:rsidR="00D21C1F" w:rsidRDefault="00A42880">
                    <w:pPr>
                      <w:kinsoku w:val="0"/>
                      <w:overflowPunct w:val="0"/>
                      <w:autoSpaceDE w:val="0"/>
                      <w:autoSpaceDN w:val="0"/>
                      <w:adjustRightInd w:val="0"/>
                      <w:snapToGrid w:val="0"/>
                      <w:rPr>
                        <w:szCs w:val="21"/>
                      </w:rPr>
                    </w:pPr>
                    <w:r>
                      <w:rPr>
                        <w:rFonts w:hint="eastAsia"/>
                        <w:szCs w:val="21"/>
                      </w:rPr>
                      <w:t>职工代表监事</w:t>
                    </w:r>
                  </w:p>
                </w:tc>
                <w:sdt>
                  <w:sdtPr>
                    <w:rPr>
                      <w:szCs w:val="21"/>
                    </w:rPr>
                    <w:alias w:val="公司董事、监事、高级管理人员的变动情形"/>
                    <w:tag w:val="_GBC_466f24fb36cc4d949be4225fed8d37c7"/>
                    <w:id w:val="-130106812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4C3375D4" w14:textId="77777777" w:rsidR="00D21C1F" w:rsidRDefault="00A42880">
                        <w:pPr>
                          <w:kinsoku w:val="0"/>
                          <w:overflowPunct w:val="0"/>
                          <w:autoSpaceDE w:val="0"/>
                          <w:autoSpaceDN w:val="0"/>
                          <w:adjustRightInd w:val="0"/>
                          <w:snapToGrid w:val="0"/>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697378471"/>
              <w:placeholder>
                <w:docPart w:val="GBC11111111111111111111111111111"/>
              </w:placeholder>
            </w:sdtPr>
            <w:sdtEndPr/>
            <w:sdtContent>
              <w:tr w:rsidR="00D21C1F" w14:paraId="57CC0906" w14:textId="77777777">
                <w:tc>
                  <w:tcPr>
                    <w:tcW w:w="1443" w:type="pct"/>
                  </w:tcPr>
                  <w:p w14:paraId="39D5013E" w14:textId="77777777" w:rsidR="00D21C1F" w:rsidRDefault="00A42880">
                    <w:pPr>
                      <w:kinsoku w:val="0"/>
                      <w:overflowPunct w:val="0"/>
                      <w:autoSpaceDE w:val="0"/>
                      <w:autoSpaceDN w:val="0"/>
                      <w:adjustRightInd w:val="0"/>
                      <w:snapToGrid w:val="0"/>
                      <w:rPr>
                        <w:szCs w:val="21"/>
                      </w:rPr>
                    </w:pPr>
                    <w:r>
                      <w:rPr>
                        <w:rFonts w:hint="eastAsia"/>
                        <w:szCs w:val="21"/>
                      </w:rPr>
                      <w:t>吴奕斐</w:t>
                    </w:r>
                  </w:p>
                </w:tc>
                <w:tc>
                  <w:tcPr>
                    <w:tcW w:w="1932" w:type="pct"/>
                  </w:tcPr>
                  <w:p w14:paraId="3B9D8B8E" w14:textId="77777777" w:rsidR="00D21C1F" w:rsidRDefault="00A42880">
                    <w:pPr>
                      <w:kinsoku w:val="0"/>
                      <w:overflowPunct w:val="0"/>
                      <w:autoSpaceDE w:val="0"/>
                      <w:autoSpaceDN w:val="0"/>
                      <w:adjustRightInd w:val="0"/>
                      <w:snapToGrid w:val="0"/>
                      <w:rPr>
                        <w:szCs w:val="21"/>
                      </w:rPr>
                    </w:pPr>
                    <w:r>
                      <w:rPr>
                        <w:rFonts w:hint="eastAsia"/>
                        <w:szCs w:val="21"/>
                      </w:rPr>
                      <w:t>财务总监</w:t>
                    </w:r>
                  </w:p>
                </w:tc>
                <w:sdt>
                  <w:sdtPr>
                    <w:rPr>
                      <w:szCs w:val="21"/>
                    </w:rPr>
                    <w:alias w:val="公司董事、监事、高级管理人员的变动情形"/>
                    <w:tag w:val="_GBC_466f24fb36cc4d949be4225fed8d37c7"/>
                    <w:id w:val="-181410307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25FF8CDF" w14:textId="77777777" w:rsidR="00D21C1F" w:rsidRDefault="00A42880">
                        <w:pPr>
                          <w:kinsoku w:val="0"/>
                          <w:overflowPunct w:val="0"/>
                          <w:autoSpaceDE w:val="0"/>
                          <w:autoSpaceDN w:val="0"/>
                          <w:adjustRightInd w:val="0"/>
                          <w:snapToGrid w:val="0"/>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420225489"/>
              <w:placeholder>
                <w:docPart w:val="DefaultPlaceholder_-1854013440"/>
              </w:placeholder>
            </w:sdtPr>
            <w:sdtEndPr>
              <w:rPr>
                <w:rFonts w:hint="default"/>
              </w:rPr>
            </w:sdtEndPr>
            <w:sdtContent>
              <w:tr w:rsidR="00D21C1F" w14:paraId="2BA74F56" w14:textId="77777777">
                <w:tc>
                  <w:tcPr>
                    <w:tcW w:w="1443" w:type="pct"/>
                  </w:tcPr>
                  <w:p w14:paraId="498305FE" w14:textId="77777777" w:rsidR="00D21C1F" w:rsidRDefault="00A42880">
                    <w:pPr>
                      <w:kinsoku w:val="0"/>
                      <w:overflowPunct w:val="0"/>
                      <w:autoSpaceDE w:val="0"/>
                      <w:autoSpaceDN w:val="0"/>
                      <w:adjustRightInd w:val="0"/>
                      <w:snapToGrid w:val="0"/>
                      <w:rPr>
                        <w:szCs w:val="21"/>
                      </w:rPr>
                    </w:pPr>
                    <w:r>
                      <w:rPr>
                        <w:rFonts w:hint="eastAsia"/>
                        <w:szCs w:val="21"/>
                      </w:rPr>
                      <w:t>撒梦玲</w:t>
                    </w:r>
                  </w:p>
                </w:tc>
                <w:tc>
                  <w:tcPr>
                    <w:tcW w:w="1932" w:type="pct"/>
                  </w:tcPr>
                  <w:p w14:paraId="4289C0CF" w14:textId="77777777" w:rsidR="00D21C1F" w:rsidRDefault="00A42880">
                    <w:pPr>
                      <w:kinsoku w:val="0"/>
                      <w:overflowPunct w:val="0"/>
                      <w:autoSpaceDE w:val="0"/>
                      <w:autoSpaceDN w:val="0"/>
                      <w:adjustRightInd w:val="0"/>
                      <w:snapToGrid w:val="0"/>
                      <w:rPr>
                        <w:szCs w:val="21"/>
                      </w:rPr>
                    </w:pPr>
                    <w:r>
                      <w:rPr>
                        <w:rFonts w:hint="eastAsia"/>
                        <w:szCs w:val="21"/>
                      </w:rPr>
                      <w:t>职工代表监事</w:t>
                    </w:r>
                  </w:p>
                </w:tc>
                <w:sdt>
                  <w:sdtPr>
                    <w:rPr>
                      <w:szCs w:val="21"/>
                    </w:rPr>
                    <w:alias w:val="公司董事、监事、高级管理人员的变动情形"/>
                    <w:tag w:val="_GBC_466f24fb36cc4d949be4225fed8d37c7"/>
                    <w:id w:val="144256726"/>
                    <w:lock w:val="sdtLocked"/>
                    <w:placeholder>
                      <w:docPart w:val="8674576BA4FA4E4899255BF3DB28D683"/>
                    </w:placeholder>
                    <w:comboBox>
                      <w:listItem w:displayText="聘任" w:value="聘任"/>
                      <w:listItem w:displayText="离任" w:value="离任"/>
                      <w:listItem w:displayText="解任" w:value="解任"/>
                      <w:listItem w:displayText="选举" w:value="选举"/>
                    </w:comboBox>
                  </w:sdtPr>
                  <w:sdtEndPr/>
                  <w:sdtContent>
                    <w:tc>
                      <w:tcPr>
                        <w:tcW w:w="1625" w:type="pct"/>
                      </w:tcPr>
                      <w:p w14:paraId="39B68F61" w14:textId="77777777" w:rsidR="00D21C1F" w:rsidRDefault="00A42880">
                        <w:pPr>
                          <w:kinsoku w:val="0"/>
                          <w:overflowPunct w:val="0"/>
                          <w:autoSpaceDE w:val="0"/>
                          <w:autoSpaceDN w:val="0"/>
                          <w:adjustRightInd w:val="0"/>
                          <w:snapToGrid w:val="0"/>
                          <w:rPr>
                            <w:szCs w:val="21"/>
                          </w:rPr>
                        </w:pPr>
                        <w:r>
                          <w:rPr>
                            <w:szCs w:val="21"/>
                          </w:rPr>
                          <w:t>选举</w:t>
                        </w:r>
                      </w:p>
                    </w:tc>
                  </w:sdtContent>
                </w:sdt>
              </w:tr>
            </w:sdtContent>
          </w:sdt>
          <w:sdt>
            <w:sdtPr>
              <w:rPr>
                <w:rFonts w:hint="eastAsia"/>
                <w:szCs w:val="21"/>
              </w:rPr>
              <w:alias w:val="在报告期内公司董事、监事、高级管理人员变动情况"/>
              <w:tag w:val="_GBC_f8245c93a5574f05bb6e0a400a7c4f3b"/>
              <w:id w:val="-1286351657"/>
              <w:placeholder>
                <w:docPart w:val="DefaultPlaceholder_-1854013440"/>
              </w:placeholder>
            </w:sdtPr>
            <w:sdtEndPr>
              <w:rPr>
                <w:rFonts w:hint="default"/>
              </w:rPr>
            </w:sdtEndPr>
            <w:sdtContent>
              <w:tr w:rsidR="00D21C1F" w14:paraId="6F87E9F7" w14:textId="77777777">
                <w:tc>
                  <w:tcPr>
                    <w:tcW w:w="1443" w:type="pct"/>
                  </w:tcPr>
                  <w:p w14:paraId="4C9B5A94" w14:textId="77777777" w:rsidR="00D21C1F" w:rsidRDefault="00A42880">
                    <w:pPr>
                      <w:kinsoku w:val="0"/>
                      <w:overflowPunct w:val="0"/>
                      <w:autoSpaceDE w:val="0"/>
                      <w:autoSpaceDN w:val="0"/>
                      <w:adjustRightInd w:val="0"/>
                      <w:snapToGrid w:val="0"/>
                      <w:rPr>
                        <w:szCs w:val="21"/>
                      </w:rPr>
                    </w:pPr>
                    <w:r>
                      <w:rPr>
                        <w:rFonts w:hint="eastAsia"/>
                        <w:szCs w:val="21"/>
                      </w:rPr>
                      <w:t>康斌</w:t>
                    </w:r>
                  </w:p>
                </w:tc>
                <w:tc>
                  <w:tcPr>
                    <w:tcW w:w="1932" w:type="pct"/>
                  </w:tcPr>
                  <w:p w14:paraId="7EEEAC6A" w14:textId="77777777" w:rsidR="00D21C1F" w:rsidRDefault="00A42880">
                    <w:pPr>
                      <w:kinsoku w:val="0"/>
                      <w:overflowPunct w:val="0"/>
                      <w:autoSpaceDE w:val="0"/>
                      <w:autoSpaceDN w:val="0"/>
                      <w:adjustRightInd w:val="0"/>
                      <w:snapToGrid w:val="0"/>
                      <w:rPr>
                        <w:szCs w:val="21"/>
                      </w:rPr>
                    </w:pPr>
                    <w:r>
                      <w:rPr>
                        <w:rFonts w:hint="eastAsia"/>
                        <w:szCs w:val="21"/>
                      </w:rPr>
                      <w:t>副总经理、财务总监、董事会秘书</w:t>
                    </w:r>
                  </w:p>
                </w:tc>
                <w:sdt>
                  <w:sdtPr>
                    <w:rPr>
                      <w:szCs w:val="21"/>
                    </w:rPr>
                    <w:alias w:val="公司董事、监事、高级管理人员的变动情形"/>
                    <w:tag w:val="_GBC_466f24fb36cc4d949be4225fed8d37c7"/>
                    <w:id w:val="-1626538816"/>
                    <w:lock w:val="sdtLocked"/>
                    <w:placeholder>
                      <w:docPart w:val="E9A8024A633D42ABB711AC97288CB50F"/>
                    </w:placeholder>
                    <w:comboBox>
                      <w:listItem w:displayText="聘任" w:value="聘任"/>
                      <w:listItem w:displayText="离任" w:value="离任"/>
                      <w:listItem w:displayText="解任" w:value="解任"/>
                      <w:listItem w:displayText="选举" w:value="选举"/>
                    </w:comboBox>
                  </w:sdtPr>
                  <w:sdtEndPr/>
                  <w:sdtContent>
                    <w:tc>
                      <w:tcPr>
                        <w:tcW w:w="1625" w:type="pct"/>
                      </w:tcPr>
                      <w:p w14:paraId="255957BE" w14:textId="77777777" w:rsidR="00D21C1F" w:rsidRDefault="00A42880">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1164321280"/>
              <w:placeholder>
                <w:docPart w:val="DefaultPlaceholder_-1854013440"/>
              </w:placeholder>
            </w:sdtPr>
            <w:sdtEndPr>
              <w:rPr>
                <w:rFonts w:hint="default"/>
              </w:rPr>
            </w:sdtEndPr>
            <w:sdtContent>
              <w:tr w:rsidR="00D21C1F" w14:paraId="45027FB8" w14:textId="77777777">
                <w:tc>
                  <w:tcPr>
                    <w:tcW w:w="1443" w:type="pct"/>
                  </w:tcPr>
                  <w:p w14:paraId="4C278FAE" w14:textId="77777777" w:rsidR="00D21C1F" w:rsidRDefault="00A42880">
                    <w:pPr>
                      <w:kinsoku w:val="0"/>
                      <w:overflowPunct w:val="0"/>
                      <w:autoSpaceDE w:val="0"/>
                      <w:autoSpaceDN w:val="0"/>
                      <w:adjustRightInd w:val="0"/>
                      <w:snapToGrid w:val="0"/>
                      <w:rPr>
                        <w:szCs w:val="21"/>
                      </w:rPr>
                    </w:pPr>
                    <w:r>
                      <w:rPr>
                        <w:rFonts w:hint="eastAsia"/>
                        <w:szCs w:val="21"/>
                      </w:rPr>
                      <w:t>樊莉娟</w:t>
                    </w:r>
                  </w:p>
                </w:tc>
                <w:tc>
                  <w:tcPr>
                    <w:tcW w:w="1932" w:type="pct"/>
                  </w:tcPr>
                  <w:p w14:paraId="24BFF63B" w14:textId="77777777" w:rsidR="00D21C1F" w:rsidRDefault="00A42880">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1353874776"/>
                    <w:lock w:val="sdtLocked"/>
                    <w:placeholder>
                      <w:docPart w:val="B302370E9419499BB0279458F108A179"/>
                    </w:placeholder>
                    <w:comboBox>
                      <w:listItem w:displayText="聘任" w:value="聘任"/>
                      <w:listItem w:displayText="离任" w:value="离任"/>
                      <w:listItem w:displayText="解任" w:value="解任"/>
                      <w:listItem w:displayText="选举" w:value="选举"/>
                    </w:comboBox>
                  </w:sdtPr>
                  <w:sdtEndPr/>
                  <w:sdtContent>
                    <w:tc>
                      <w:tcPr>
                        <w:tcW w:w="1625" w:type="pct"/>
                      </w:tcPr>
                      <w:p w14:paraId="7355FE1C" w14:textId="77777777" w:rsidR="00D21C1F" w:rsidRDefault="00A42880">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193082207"/>
              <w:placeholder>
                <w:docPart w:val="DefaultPlaceholder_-1854013440"/>
              </w:placeholder>
            </w:sdtPr>
            <w:sdtEndPr>
              <w:rPr>
                <w:rFonts w:hint="default"/>
              </w:rPr>
            </w:sdtEndPr>
            <w:sdtContent>
              <w:tr w:rsidR="00D21C1F" w14:paraId="3EA5F770" w14:textId="77777777">
                <w:tc>
                  <w:tcPr>
                    <w:tcW w:w="1443" w:type="pct"/>
                  </w:tcPr>
                  <w:p w14:paraId="0BEA7FF4" w14:textId="77777777" w:rsidR="00D21C1F" w:rsidRDefault="00A42880">
                    <w:pPr>
                      <w:kinsoku w:val="0"/>
                      <w:overflowPunct w:val="0"/>
                      <w:autoSpaceDE w:val="0"/>
                      <w:autoSpaceDN w:val="0"/>
                      <w:adjustRightInd w:val="0"/>
                      <w:snapToGrid w:val="0"/>
                      <w:rPr>
                        <w:szCs w:val="21"/>
                      </w:rPr>
                    </w:pPr>
                    <w:r>
                      <w:rPr>
                        <w:rFonts w:hint="eastAsia"/>
                        <w:szCs w:val="21"/>
                      </w:rPr>
                      <w:t>王富康</w:t>
                    </w:r>
                  </w:p>
                </w:tc>
                <w:tc>
                  <w:tcPr>
                    <w:tcW w:w="1932" w:type="pct"/>
                  </w:tcPr>
                  <w:p w14:paraId="3E3B5968" w14:textId="77777777" w:rsidR="00D21C1F" w:rsidRDefault="00A42880">
                    <w:pPr>
                      <w:kinsoku w:val="0"/>
                      <w:overflowPunct w:val="0"/>
                      <w:autoSpaceDE w:val="0"/>
                      <w:autoSpaceDN w:val="0"/>
                      <w:adjustRightInd w:val="0"/>
                      <w:snapToGrid w:val="0"/>
                      <w:rPr>
                        <w:szCs w:val="21"/>
                      </w:rPr>
                    </w:pPr>
                    <w:r>
                      <w:rPr>
                        <w:rFonts w:hint="eastAsia"/>
                        <w:szCs w:val="21"/>
                      </w:rPr>
                      <w:t>副总经理</w:t>
                    </w:r>
                  </w:p>
                </w:tc>
                <w:sdt>
                  <w:sdtPr>
                    <w:rPr>
                      <w:szCs w:val="21"/>
                    </w:rPr>
                    <w:alias w:val="公司董事、监事、高级管理人员的变动情形"/>
                    <w:tag w:val="_GBC_466f24fb36cc4d949be4225fed8d37c7"/>
                    <w:id w:val="27917092"/>
                    <w:lock w:val="sdtLocked"/>
                    <w:placeholder>
                      <w:docPart w:val="C1EECFCEDCD7466396AFCD2389873F4B"/>
                    </w:placeholder>
                    <w:comboBox>
                      <w:listItem w:displayText="聘任" w:value="聘任"/>
                      <w:listItem w:displayText="离任" w:value="离任"/>
                      <w:listItem w:displayText="解任" w:value="解任"/>
                      <w:listItem w:displayText="选举" w:value="选举"/>
                    </w:comboBox>
                  </w:sdtPr>
                  <w:sdtEndPr/>
                  <w:sdtContent>
                    <w:tc>
                      <w:tcPr>
                        <w:tcW w:w="1625" w:type="pct"/>
                      </w:tcPr>
                      <w:p w14:paraId="05E1B33E" w14:textId="77777777" w:rsidR="00D21C1F" w:rsidRDefault="00A42880">
                        <w:pPr>
                          <w:kinsoku w:val="0"/>
                          <w:overflowPunct w:val="0"/>
                          <w:autoSpaceDE w:val="0"/>
                          <w:autoSpaceDN w:val="0"/>
                          <w:adjustRightInd w:val="0"/>
                          <w:snapToGrid w:val="0"/>
                          <w:rPr>
                            <w:szCs w:val="21"/>
                          </w:rPr>
                        </w:pPr>
                        <w:r>
                          <w:rPr>
                            <w:szCs w:val="21"/>
                          </w:rPr>
                          <w:t>聘任</w:t>
                        </w:r>
                      </w:p>
                    </w:tc>
                  </w:sdtContent>
                </w:sdt>
              </w:tr>
            </w:sdtContent>
          </w:sdt>
        </w:tbl>
        <w:p w14:paraId="00125A16" w14:textId="77777777" w:rsidR="00D21C1F" w:rsidRDefault="00045EC6">
          <w:pPr>
            <w:pStyle w:val="97"/>
          </w:pPr>
        </w:p>
      </w:sdtContent>
    </w:sdt>
    <w:sdt>
      <w:sdtPr>
        <w:rPr>
          <w:rFonts w:ascii="Times New Roman" w:eastAsia="宋体" w:hAnsi="Times New Roman" w:cs="Times New Roman" w:hint="eastAsia"/>
          <w:kern w:val="2"/>
          <w:szCs w:val="21"/>
        </w:rPr>
        <w:alias w:val="模块:公司董事、监事、高级管理人员变动的情况说明"/>
        <w:tag w:val="_SEC_9d764ab9e1c44e0e972e846b8ecf0813"/>
        <w:id w:val="283249061"/>
        <w:lock w:val="sdtLocked"/>
        <w:placeholder>
          <w:docPart w:val="GBC22222222222222222222222222222"/>
        </w:placeholder>
      </w:sdtPr>
      <w:sdtEndPr>
        <w:rPr>
          <w:rFonts w:hint="default"/>
        </w:rPr>
      </w:sdtEndPr>
      <w:sdtContent>
        <w:p w14:paraId="5B169BAA" w14:textId="77777777" w:rsidR="00D21C1F" w:rsidRDefault="00A42880">
          <w:pPr>
            <w:pStyle w:val="97"/>
          </w:pPr>
          <w:r>
            <w:rPr>
              <w:rFonts w:hint="eastAsia"/>
            </w:rPr>
            <w:t>公司董事、监事、高级管理人员</w:t>
          </w:r>
          <w:sdt>
            <w:sdtPr>
              <w:rPr>
                <w:rFonts w:hint="eastAsia"/>
              </w:rPr>
              <w:tag w:val="_PLD_b6840d7d81b046b6ad8c8450e72a4eae"/>
              <w:id w:val="-1230075151"/>
              <w:lock w:val="sdtLocked"/>
              <w:placeholder>
                <w:docPart w:val="GBC22222222222222222222222222222"/>
              </w:placeholder>
            </w:sdtPr>
            <w:sdtEndPr/>
            <w:sdtContent>
              <w:r>
                <w:rPr>
                  <w:rFonts w:hint="eastAsia"/>
                </w:rPr>
                <w:t>和核心技术人员</w:t>
              </w:r>
            </w:sdtContent>
          </w:sdt>
          <w:r>
            <w:rPr>
              <w:rFonts w:hint="eastAsia"/>
            </w:rPr>
            <w:t>变动的情况说明</w:t>
          </w:r>
        </w:p>
        <w:sdt>
          <w:sdtPr>
            <w:rPr>
              <w:rFonts w:hint="eastAsia"/>
            </w:rPr>
            <w:alias w:val="是否适用：公司董事、监事、高级管理人员变动的情况说明 [双击切换]"/>
            <w:tag w:val="_GBC_1eda708e71a542fa89f6ad1bb8abbf70"/>
            <w:id w:val="-1605725312"/>
            <w:lock w:val="sdtLocked"/>
            <w:placeholder>
              <w:docPart w:val="GBC22222222222222222222222222222"/>
            </w:placeholder>
          </w:sdtPr>
          <w:sdtEndPr/>
          <w:sdtContent>
            <w:p w14:paraId="0D5E9FE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hint="eastAsia"/>
              <w:kern w:val="2"/>
              <w:szCs w:val="21"/>
            </w:rPr>
            <w:alias w:val="公司董事、监事、高级管理人员变动的情况说明"/>
            <w:tag w:val="_GBC_f2e7651aeda04cb8847fc3d49af6315f"/>
            <w:id w:val="-233013373"/>
            <w:lock w:val="sdtLocked"/>
            <w:placeholder>
              <w:docPart w:val="GBC22222222222222222222222222222"/>
            </w:placeholder>
          </w:sdtPr>
          <w:sdtEndPr>
            <w:rPr>
              <w:rFonts w:hint="default"/>
            </w:rPr>
          </w:sdtEndPr>
          <w:sdtContent>
            <w:p w14:paraId="02292B8D"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6</w:t>
              </w:r>
              <w:r>
                <w:rPr>
                  <w:rFonts w:ascii="Times New Roman" w:hAnsi="Times New Roman" w:cs="Times New Roman"/>
                </w:rPr>
                <w:t>日，公司监事会收到监事樊莉娟女士的辞职报告，樊莉娟女士因个人原因申请辞去公司第二届监事会职工代表监事职务，同日公司职工代表大会选举撒梦玲女士为公司第二届监事会职工代表监事，任期自职工代表大会通过之日起至第二届监事会任期届满之日止。具体内容请见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9</w:t>
              </w:r>
              <w:r>
                <w:rPr>
                  <w:rFonts w:ascii="Times New Roman" w:hAnsi="Times New Roman" w:cs="Times New Roman"/>
                </w:rPr>
                <w:t>日披露在上海证券交易所网站（</w:t>
              </w:r>
              <w:r>
                <w:rPr>
                  <w:rFonts w:ascii="Times New Roman" w:hAnsi="Times New Roman" w:cs="Times New Roman"/>
                </w:rPr>
                <w:t>www.sse.com.cn</w:t>
              </w:r>
              <w:r>
                <w:rPr>
                  <w:rFonts w:ascii="Times New Roman" w:hAnsi="Times New Roman" w:cs="Times New Roman"/>
                </w:rPr>
                <w:t>）的《埃夫特关于职工监事辞职及补选职工监事的公告》（公告编号：</w:t>
              </w:r>
              <w:r>
                <w:rPr>
                  <w:rFonts w:ascii="Times New Roman" w:hAnsi="Times New Roman" w:cs="Times New Roman"/>
                </w:rPr>
                <w:t>2021-004</w:t>
              </w:r>
              <w:r>
                <w:rPr>
                  <w:rFonts w:ascii="Times New Roman" w:hAnsi="Times New Roman" w:cs="Times New Roman"/>
                </w:rPr>
                <w:t>）。</w:t>
              </w:r>
            </w:p>
            <w:p w14:paraId="00787068"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28</w:t>
              </w:r>
              <w:r>
                <w:rPr>
                  <w:rFonts w:ascii="Times New Roman" w:hAnsi="Times New Roman" w:cs="Times New Roman"/>
                </w:rPr>
                <w:t>日，公司召开董事会审议通过了《关于聘任公司董事会秘书的议案》《关于聘任公司财务总监的议案》《关于聘任公司副总经理的议案》，董事会同意聘任康斌先生为公司董事会秘书，任期自董事会审议通过之日起至本届董事会届满之日止。许礼进先生将不再代行董事会秘书职责。公司董事会收到财务总监吴奕斐的辞职报告，吴奕斐女士因个人原因申请辞去公司财务总监职务，其辞职后将不再担任公司任何职务。董事会同意聘任康斌先生为公司财务总监，任期自董事会审议通过之日起至本届董事会届满之日止。董事会同意聘任康斌先生、樊莉娟女士、</w:t>
              </w:r>
              <w:r>
                <w:rPr>
                  <w:rFonts w:ascii="Times New Roman" w:hAnsi="Times New Roman" w:cs="Times New Roman"/>
                </w:rPr>
                <w:lastRenderedPageBreak/>
                <w:t>王富康先生为公司副总经理，任期自董事会审议通过之日起至本届董事会届满之日止。具体内容请见公司于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日披露在上海证券交易所网站（</w:t>
              </w:r>
              <w:r>
                <w:rPr>
                  <w:rFonts w:ascii="Times New Roman" w:hAnsi="Times New Roman" w:cs="Times New Roman"/>
                </w:rPr>
                <w:t>www.sse.com.cn</w:t>
              </w:r>
              <w:r>
                <w:rPr>
                  <w:rFonts w:ascii="Times New Roman" w:hAnsi="Times New Roman" w:cs="Times New Roman"/>
                </w:rPr>
                <w:t>）的《埃夫特关于财务总监辞职暨聘任高级管理人员的公告》（公告编号：</w:t>
              </w:r>
              <w:r>
                <w:rPr>
                  <w:rFonts w:ascii="Times New Roman" w:hAnsi="Times New Roman" w:cs="Times New Roman"/>
                </w:rPr>
                <w:t>2021-019</w:t>
              </w:r>
              <w:r>
                <w:rPr>
                  <w:rFonts w:ascii="Times New Roman" w:hAnsi="Times New Roman" w:cs="Times New Roman"/>
                </w:rPr>
                <w:t>）</w:t>
              </w:r>
              <w:r>
                <w:rPr>
                  <w:rFonts w:ascii="Times New Roman" w:hAnsi="Times New Roman" w:cs="Times New Roman" w:hint="eastAsia"/>
                </w:rPr>
                <w:t>。</w:t>
              </w:r>
            </w:p>
            <w:p w14:paraId="277CF165"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年</w:t>
              </w:r>
              <w:r>
                <w:rPr>
                  <w:rFonts w:ascii="Times New Roman" w:hAnsi="Times New Roman" w:cs="Times New Roman" w:hint="eastAsia"/>
                </w:rPr>
                <w:t>7</w:t>
              </w:r>
              <w:r>
                <w:rPr>
                  <w:rFonts w:ascii="Times New Roman" w:hAnsi="Times New Roman" w:cs="Times New Roman" w:hint="eastAsia"/>
                </w:rPr>
                <w:t>月</w:t>
              </w:r>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hint="eastAsia"/>
                </w:rPr>
                <w:t>日，公司核心技术人员冯海生先生因个人原因辞去相关职务并办理完成离职手续。离职后，冯海生先生不再担任公司任何职务。冯海生先生的离职不影响公司核心技术的完整性。冯海生先生任职期间主要负责公司工业机器人正向设计、精度分析、传动系统匹配优化分析、大负载机器人的研发和样机试制等研发工作。冯海生先生离职后，上述研发工作将由党进先生接手负责后续推进。冯海生先生的离职不会对公司的核心竞争力和持续经营能力产生实质性影响。具体内容请见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hint="eastAsia"/>
                </w:rPr>
                <w:t>7</w:t>
              </w:r>
              <w:r>
                <w:rPr>
                  <w:rFonts w:ascii="Times New Roman" w:hAnsi="Times New Roman" w:cs="Times New Roman"/>
                </w:rPr>
                <w:t>月</w:t>
              </w:r>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rPr>
                <w:t>日披露在上海证券交易所网站（</w:t>
              </w:r>
              <w:r>
                <w:rPr>
                  <w:rFonts w:ascii="Times New Roman" w:hAnsi="Times New Roman" w:cs="Times New Roman"/>
                </w:rPr>
                <w:t>www.sse.com.cn</w:t>
              </w:r>
              <w:r>
                <w:rPr>
                  <w:rFonts w:ascii="Times New Roman" w:hAnsi="Times New Roman" w:cs="Times New Roman"/>
                </w:rPr>
                <w:t>）的《埃夫特关于</w:t>
              </w:r>
              <w:r>
                <w:rPr>
                  <w:rFonts w:ascii="Times New Roman" w:hAnsi="Times New Roman" w:cs="Times New Roman" w:hint="eastAsia"/>
                </w:rPr>
                <w:t>公司核心技术人员离职</w:t>
              </w:r>
              <w:r>
                <w:rPr>
                  <w:rFonts w:ascii="Times New Roman" w:hAnsi="Times New Roman" w:cs="Times New Roman"/>
                </w:rPr>
                <w:t>的公告》（公告编号：</w:t>
              </w:r>
              <w:r>
                <w:rPr>
                  <w:rFonts w:ascii="Times New Roman" w:hAnsi="Times New Roman" w:cs="Times New Roman"/>
                </w:rPr>
                <w:t>2021-032</w:t>
              </w:r>
              <w:r>
                <w:rPr>
                  <w:rFonts w:ascii="Times New Roman" w:hAnsi="Times New Roman" w:cs="Times New Roman"/>
                </w:rPr>
                <w:t>）</w:t>
              </w:r>
              <w:r>
                <w:rPr>
                  <w:rFonts w:ascii="Times New Roman" w:hAnsi="Times New Roman" w:cs="Times New Roman" w:hint="eastAsia"/>
                </w:rPr>
                <w:t>。</w:t>
              </w:r>
            </w:p>
            <w:p w14:paraId="7F456F39" w14:textId="77777777" w:rsidR="00D21C1F" w:rsidRDefault="00A42880">
              <w:pPr>
                <w:pStyle w:val="1a"/>
                <w:spacing w:line="360" w:lineRule="auto"/>
                <w:ind w:firstLineChars="200" w:firstLine="420"/>
              </w:pPr>
              <w:r>
                <w:rPr>
                  <w:rFonts w:hint="eastAsia"/>
                </w:rPr>
                <w:t>2</w:t>
              </w:r>
              <w:r>
                <w:t>021</w:t>
              </w:r>
              <w:r>
                <w:rPr>
                  <w:rFonts w:hint="eastAsia"/>
                </w:rPr>
                <w:t>年</w:t>
              </w:r>
              <w:r>
                <w:rPr>
                  <w:rFonts w:hint="eastAsia"/>
                </w:rPr>
                <w:t>8</w:t>
              </w:r>
              <w:r>
                <w:rPr>
                  <w:rFonts w:hint="eastAsia"/>
                </w:rPr>
                <w:t>月</w:t>
              </w:r>
              <w:r>
                <w:t>28</w:t>
              </w:r>
              <w:r>
                <w:rPr>
                  <w:rFonts w:hint="eastAsia"/>
                </w:rPr>
                <w:t>日，公司核心技术人员葛景国先生因个人原因辞去相关职务并办理完成离职手续。离职后，葛景国先生不再担任公司任何职务。葛景国先生的离职不影响公司核心技术的完整性。葛景国先生任职期间主要负责</w:t>
              </w:r>
              <w:r>
                <w:rPr>
                  <w:rFonts w:ascii="宋体" w:hAnsi="宋体" w:hint="eastAsia"/>
                  <w:color w:val="000000"/>
                </w:rPr>
                <w:t>公司机器人控制器软件平台开发的研发工作</w:t>
              </w:r>
              <w:r>
                <w:rPr>
                  <w:rFonts w:hint="eastAsia"/>
                </w:rPr>
                <w:t>。葛景国先生离职后，上述研发工作将由</w:t>
              </w:r>
              <w:r>
                <w:rPr>
                  <w:rFonts w:ascii="宋体" w:hAnsi="宋体"/>
                  <w:color w:val="000000"/>
                </w:rPr>
                <w:t>窦锦志</w:t>
              </w:r>
              <w:r>
                <w:rPr>
                  <w:rFonts w:hint="eastAsia"/>
                </w:rPr>
                <w:t>先生接手负责后续推进。葛景国先生的离职不会对公司的核心竞争力和持续经营能力产生实质性影响。具体内容请见公司于</w:t>
              </w:r>
              <w:r>
                <w:t>2021</w:t>
              </w:r>
              <w:r>
                <w:t>年</w:t>
              </w:r>
              <w:r>
                <w:t>8</w:t>
              </w:r>
              <w:r>
                <w:t>月</w:t>
              </w:r>
              <w:r>
                <w:t>28</w:t>
              </w:r>
              <w:r>
                <w:t>日披露在上海证券交易所网站（</w:t>
              </w:r>
              <w:r>
                <w:t>www.sse.com.cn</w:t>
              </w:r>
              <w:r>
                <w:t>）的《埃夫特关于</w:t>
              </w:r>
              <w:r>
                <w:rPr>
                  <w:rFonts w:hint="eastAsia"/>
                </w:rPr>
                <w:t>公司核心技术人员离职</w:t>
              </w:r>
              <w:r>
                <w:t>的公告》（公告编号：</w:t>
              </w:r>
              <w:r>
                <w:t>2021-039</w:t>
              </w:r>
              <w:r>
                <w:t>）</w:t>
              </w:r>
              <w:r>
                <w:rPr>
                  <w:rFonts w:hint="eastAsia"/>
                </w:rPr>
                <w:t>。</w:t>
              </w:r>
            </w:p>
          </w:sdtContent>
        </w:sdt>
      </w:sdtContent>
    </w:sdt>
    <w:p w14:paraId="25C8CBF7" w14:textId="77777777" w:rsidR="00D21C1F" w:rsidRDefault="00D21C1F">
      <w:pPr>
        <w:pStyle w:val="97"/>
      </w:pPr>
    </w:p>
    <w:sdt>
      <w:sdtPr>
        <w:rPr>
          <w:rFonts w:eastAsiaTheme="minorEastAsia" w:hint="eastAsia"/>
        </w:rPr>
        <w:alias w:val="模块:公司核心技术人员的认定情况说明"/>
        <w:tag w:val="_SEC_1ec8a567377248df9ff10f5f16e7fa64"/>
        <w:id w:val="2068752405"/>
        <w:lock w:val="sdtLocked"/>
        <w:placeholder>
          <w:docPart w:val="GBC22222222222222222222222222222"/>
        </w:placeholder>
      </w:sdtPr>
      <w:sdtEndPr>
        <w:rPr>
          <w:rFonts w:hint="default"/>
        </w:rPr>
      </w:sdtEndPr>
      <w:sdtContent>
        <w:p w14:paraId="23459454" w14:textId="77777777" w:rsidR="00D21C1F" w:rsidRDefault="00A42880">
          <w:pPr>
            <w:rPr>
              <w:highlight w:val="yellow"/>
            </w:rPr>
          </w:pPr>
          <w:r>
            <w:rPr>
              <w:rFonts w:hint="eastAsia"/>
            </w:rPr>
            <w:t>公司</w:t>
          </w:r>
          <w:r>
            <w:t>核心技术人员</w:t>
          </w:r>
          <w:r>
            <w:rPr>
              <w:rFonts w:hint="eastAsia"/>
            </w:rPr>
            <w:t>的认定</w:t>
          </w:r>
          <w:r>
            <w:t>情况说明</w:t>
          </w:r>
        </w:p>
        <w:sdt>
          <w:sdtPr>
            <w:alias w:val="是否适用：公司核心技术人员的认定情况说明[双击切换]"/>
            <w:tag w:val="_GBC_839cf0df3ca441499e1252be9fbe5fea"/>
            <w:id w:val="1315769990"/>
            <w:lock w:val="sdtLocked"/>
            <w:placeholder>
              <w:docPart w:val="342DD6AB4B29434686FAF6EEF551079C"/>
            </w:placeholder>
          </w:sdtPr>
          <w:sdtEndPr/>
          <w:sdtContent>
            <w:p w14:paraId="3F582CF0" w14:textId="77777777" w:rsidR="00D21C1F" w:rsidRDefault="00A42880">
              <w:pPr>
                <w:rPr>
                  <w:rFonts w:ascii="Times New Roman" w:hAnsi="Times New Roman" w:cs="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C0C589" w14:textId="77777777" w:rsidR="00D21C1F" w:rsidRDefault="00045EC6">
          <w:pPr>
            <w:pStyle w:val="97"/>
          </w:pPr>
        </w:p>
      </w:sdtContent>
    </w:sdt>
    <w:p w14:paraId="6266E425" w14:textId="77777777" w:rsidR="00D21C1F" w:rsidRDefault="00A42880">
      <w:pPr>
        <w:pStyle w:val="2"/>
        <w:numPr>
          <w:ilvl w:val="0"/>
          <w:numId w:val="22"/>
        </w:numPr>
      </w:pPr>
      <w:r>
        <w:t>利润分配或资本公积金转增预案</w:t>
      </w:r>
    </w:p>
    <w:p w14:paraId="204B554E" w14:textId="77777777" w:rsidR="00D21C1F" w:rsidRDefault="00A42880">
      <w:pPr>
        <w:rPr>
          <w:b/>
          <w:bCs/>
        </w:rPr>
      </w:pPr>
      <w:r>
        <w:rPr>
          <w:b/>
          <w:bCs/>
        </w:rPr>
        <w:t>半年度拟定的利润分配预案、公积金转增股本预案</w:t>
      </w:r>
    </w:p>
    <w:sdt>
      <w:sdtPr>
        <w:rPr>
          <w:rFonts w:eastAsia="宋体"/>
        </w:rPr>
        <w:alias w:val="模块:半年度拟定的利润分配预案"/>
        <w:tag w:val="_GBC_e4b48d016b974478b1fce3e8671a7227"/>
        <w:id w:val="-553618690"/>
        <w:lock w:val="sdtLocked"/>
        <w:placeholder>
          <w:docPart w:val="GBC22222222222222222222222222222"/>
        </w:placeholder>
      </w:sdtPr>
      <w:sdtEndPr>
        <w:rPr>
          <w:rFonts w:hint="eastAsia"/>
        </w:rPr>
      </w:sdtEndPr>
      <w:sdtContent>
        <w:tbl>
          <w:tblPr>
            <w:tblStyle w:val="aff0"/>
            <w:tblW w:w="0" w:type="auto"/>
            <w:tblLook w:val="04A0" w:firstRow="1" w:lastRow="0" w:firstColumn="1" w:lastColumn="0" w:noHBand="0" w:noVBand="1"/>
          </w:tblPr>
          <w:tblGrid>
            <w:gridCol w:w="4418"/>
            <w:gridCol w:w="4405"/>
          </w:tblGrid>
          <w:tr w:rsidR="00D21C1F" w14:paraId="243AC5D8" w14:textId="77777777">
            <w:sdt>
              <w:sdtPr>
                <w:rPr>
                  <w:rFonts w:eastAsia="宋体"/>
                </w:rPr>
                <w:tag w:val="_PLD_dee68179c02c4ccc8a9b8d7e3f70f2c6"/>
                <w:id w:val="-1734605497"/>
                <w:lock w:val="sdtLocked"/>
              </w:sdtPr>
              <w:sdtEndPr>
                <w:rPr>
                  <w:rFonts w:ascii="Times New Roman" w:eastAsiaTheme="minorEastAsia" w:hAnsi="Times New Roman"/>
                </w:rPr>
              </w:sdtEndPr>
              <w:sdtContent>
                <w:tc>
                  <w:tcPr>
                    <w:tcW w:w="4524" w:type="dxa"/>
                  </w:tcPr>
                  <w:p w14:paraId="05146077" w14:textId="77777777" w:rsidR="00D21C1F" w:rsidRDefault="00A42880">
                    <w:pPr>
                      <w:pStyle w:val="97"/>
                    </w:pPr>
                    <w:r>
                      <w:t>是否分配或转增</w:t>
                    </w:r>
                  </w:p>
                </w:tc>
              </w:sdtContent>
            </w:sdt>
            <w:sdt>
              <w:sdtPr>
                <w:rPr>
                  <w:rFonts w:ascii="Times New Roman" w:hAnsi="Times New Roman" w:hint="eastAsia"/>
                </w:rPr>
                <w:alias w:val="是否分配或转增"/>
                <w:tag w:val="_GBC_1aa3bb539f35454da0536200efcc4f60"/>
                <w:id w:val="-800456038"/>
                <w:lock w:val="sdtLocked"/>
                <w:comboBox>
                  <w:listItem w:displayText="是" w:value="true"/>
                  <w:listItem w:displayText="否" w:value="false"/>
                </w:comboBox>
              </w:sdtPr>
              <w:sdtEndPr/>
              <w:sdtContent>
                <w:tc>
                  <w:tcPr>
                    <w:tcW w:w="4524" w:type="dxa"/>
                    <w:vAlign w:val="center"/>
                  </w:tcPr>
                  <w:p w14:paraId="79C56183" w14:textId="77777777" w:rsidR="00D21C1F" w:rsidRDefault="00A42880">
                    <w:pPr>
                      <w:jc w:val="right"/>
                    </w:pPr>
                    <w:r>
                      <w:rPr>
                        <w:rFonts w:ascii="Times New Roman" w:hAnsi="Times New Roman" w:hint="eastAsia"/>
                      </w:rPr>
                      <w:t>否</w:t>
                    </w:r>
                  </w:p>
                </w:tc>
              </w:sdtContent>
            </w:sdt>
          </w:tr>
          <w:tr w:rsidR="00D21C1F" w14:paraId="40FBADFA" w14:textId="77777777">
            <w:sdt>
              <w:sdtPr>
                <w:rPr>
                  <w:rFonts w:ascii="Times New Roman" w:hAnsi="Times New Roman" w:cs="Times New Roman"/>
                </w:rPr>
                <w:tag w:val="_PLD_bd901803dd924026b7c6f59fdd31aad5"/>
                <w:id w:val="119505032"/>
                <w:lock w:val="sdtLocked"/>
              </w:sdtPr>
              <w:sdtEndPr/>
              <w:sdtContent>
                <w:tc>
                  <w:tcPr>
                    <w:tcW w:w="4524" w:type="dxa"/>
                  </w:tcPr>
                  <w:p w14:paraId="7DC4AEA1" w14:textId="77777777" w:rsidR="00D21C1F" w:rsidRDefault="00A42880">
                    <w:pPr>
                      <w:rPr>
                        <w:rFonts w:ascii="Times New Roman" w:hAnsi="Times New Roman" w:cs="Times New Roman"/>
                      </w:rPr>
                    </w:pPr>
                    <w:r>
                      <w:rPr>
                        <w:rFonts w:ascii="Times New Roman" w:hAnsi="Times New Roman" w:cs="Times New Roman"/>
                      </w:rPr>
                      <w:t>每</w:t>
                    </w:r>
                    <w:r>
                      <w:rPr>
                        <w:rFonts w:ascii="Times New Roman" w:hAnsi="Times New Roman" w:cs="Times New Roman"/>
                      </w:rPr>
                      <w:t>10</w:t>
                    </w:r>
                    <w:r>
                      <w:rPr>
                        <w:rFonts w:ascii="Times New Roman" w:hAnsi="Times New Roman" w:cs="Times New Roman"/>
                      </w:rPr>
                      <w:t>股送红股数（股）</w:t>
                    </w:r>
                  </w:p>
                </w:tc>
              </w:sdtContent>
            </w:sdt>
            <w:tc>
              <w:tcPr>
                <w:tcW w:w="4524" w:type="dxa"/>
              </w:tcPr>
              <w:p w14:paraId="7D6C5B68" w14:textId="77777777" w:rsidR="00D21C1F" w:rsidRDefault="00A42880">
                <w:pPr>
                  <w:jc w:val="right"/>
                </w:pPr>
                <w:r>
                  <w:rPr>
                    <w:rFonts w:hint="eastAsia"/>
                  </w:rPr>
                  <w:t>不适用</w:t>
                </w:r>
              </w:p>
            </w:tc>
          </w:tr>
          <w:tr w:rsidR="00D21C1F" w14:paraId="79BC56BE" w14:textId="77777777">
            <w:sdt>
              <w:sdtPr>
                <w:rPr>
                  <w:rFonts w:ascii="Times New Roman" w:hAnsi="Times New Roman" w:cs="Times New Roman"/>
                </w:rPr>
                <w:tag w:val="_PLD_6cbe2a97f01847b28eeb312b29d1d347"/>
                <w:id w:val="999390353"/>
                <w:lock w:val="sdtLocked"/>
              </w:sdtPr>
              <w:sdtEndPr/>
              <w:sdtContent>
                <w:tc>
                  <w:tcPr>
                    <w:tcW w:w="4524" w:type="dxa"/>
                  </w:tcPr>
                  <w:p w14:paraId="124E19C7" w14:textId="77777777" w:rsidR="00D21C1F" w:rsidRDefault="00A42880">
                    <w:pPr>
                      <w:rPr>
                        <w:rFonts w:ascii="Times New Roman" w:hAnsi="Times New Roman" w:cs="Times New Roman"/>
                      </w:rPr>
                    </w:pPr>
                    <w:r>
                      <w:rPr>
                        <w:rFonts w:ascii="Times New Roman" w:hAnsi="Times New Roman" w:cs="Times New Roman"/>
                      </w:rPr>
                      <w:t>每</w:t>
                    </w:r>
                    <w:r>
                      <w:rPr>
                        <w:rFonts w:ascii="Times New Roman" w:hAnsi="Times New Roman" w:cs="Times New Roman"/>
                      </w:rPr>
                      <w:t>10</w:t>
                    </w:r>
                    <w:r>
                      <w:rPr>
                        <w:rFonts w:ascii="Times New Roman" w:hAnsi="Times New Roman" w:cs="Times New Roman"/>
                      </w:rPr>
                      <w:t>股派息数</w:t>
                    </w:r>
                    <w:r>
                      <w:rPr>
                        <w:rFonts w:ascii="Times New Roman" w:hAnsi="Times New Roman" w:cs="Times New Roman"/>
                      </w:rPr>
                      <w:t>(</w:t>
                    </w:r>
                    <w:r>
                      <w:rPr>
                        <w:rFonts w:ascii="Times New Roman" w:hAnsi="Times New Roman" w:cs="Times New Roman"/>
                      </w:rPr>
                      <w:t>元</w:t>
                    </w:r>
                    <w:r>
                      <w:rPr>
                        <w:rFonts w:ascii="Times New Roman" w:hAnsi="Times New Roman" w:cs="Times New Roman"/>
                      </w:rPr>
                      <w:t>)</w:t>
                    </w:r>
                    <w:r>
                      <w:rPr>
                        <w:rFonts w:ascii="Times New Roman" w:hAnsi="Times New Roman" w:cs="Times New Roman"/>
                      </w:rPr>
                      <w:t>（含税）</w:t>
                    </w:r>
                  </w:p>
                </w:tc>
              </w:sdtContent>
            </w:sdt>
            <w:tc>
              <w:tcPr>
                <w:tcW w:w="4524" w:type="dxa"/>
              </w:tcPr>
              <w:p w14:paraId="593FA57B" w14:textId="77777777" w:rsidR="00D21C1F" w:rsidRDefault="00A42880">
                <w:pPr>
                  <w:jc w:val="right"/>
                </w:pPr>
                <w:r>
                  <w:rPr>
                    <w:rFonts w:hint="eastAsia"/>
                  </w:rPr>
                  <w:t>不适用</w:t>
                </w:r>
              </w:p>
            </w:tc>
          </w:tr>
          <w:tr w:rsidR="00D21C1F" w14:paraId="7B7F3A4B" w14:textId="77777777">
            <w:sdt>
              <w:sdtPr>
                <w:rPr>
                  <w:rFonts w:ascii="Times New Roman" w:hAnsi="Times New Roman" w:cs="Times New Roman"/>
                </w:rPr>
                <w:tag w:val="_PLD_ea0844d0f72e40a392aba3e62b2e7e9c"/>
                <w:id w:val="771906642"/>
                <w:lock w:val="sdtLocked"/>
              </w:sdtPr>
              <w:sdtEndPr/>
              <w:sdtContent>
                <w:tc>
                  <w:tcPr>
                    <w:tcW w:w="4524" w:type="dxa"/>
                  </w:tcPr>
                  <w:p w14:paraId="4958A8EA" w14:textId="77777777" w:rsidR="00D21C1F" w:rsidRDefault="00A42880">
                    <w:pPr>
                      <w:rPr>
                        <w:rFonts w:ascii="Times New Roman" w:hAnsi="Times New Roman" w:cs="Times New Roman"/>
                      </w:rPr>
                    </w:pPr>
                    <w:r>
                      <w:rPr>
                        <w:rFonts w:ascii="Times New Roman" w:hAnsi="Times New Roman" w:cs="Times New Roman"/>
                      </w:rPr>
                      <w:t>每</w:t>
                    </w:r>
                    <w:r>
                      <w:rPr>
                        <w:rFonts w:ascii="Times New Roman" w:hAnsi="Times New Roman" w:cs="Times New Roman"/>
                      </w:rPr>
                      <w:t>10</w:t>
                    </w:r>
                    <w:r>
                      <w:rPr>
                        <w:rFonts w:ascii="Times New Roman" w:hAnsi="Times New Roman" w:cs="Times New Roman"/>
                      </w:rPr>
                      <w:t>股转增数（股）</w:t>
                    </w:r>
                  </w:p>
                </w:tc>
              </w:sdtContent>
            </w:sdt>
            <w:tc>
              <w:tcPr>
                <w:tcW w:w="4524" w:type="dxa"/>
              </w:tcPr>
              <w:p w14:paraId="6954F671" w14:textId="77777777" w:rsidR="00D21C1F" w:rsidRDefault="00A42880">
                <w:pPr>
                  <w:jc w:val="right"/>
                </w:pPr>
                <w:r>
                  <w:rPr>
                    <w:rFonts w:hint="eastAsia"/>
                  </w:rPr>
                  <w:t>不适用</w:t>
                </w:r>
              </w:p>
            </w:tc>
          </w:tr>
          <w:tr w:rsidR="00D21C1F" w14:paraId="35B98BA6" w14:textId="77777777">
            <w:sdt>
              <w:sdtPr>
                <w:tag w:val="_PLD_6f4b1db2793f4d00b5b11589fa8a57fc"/>
                <w:id w:val="87354518"/>
                <w:lock w:val="sdtLocked"/>
              </w:sdtPr>
              <w:sdtEndPr/>
              <w:sdtContent>
                <w:tc>
                  <w:tcPr>
                    <w:tcW w:w="9048" w:type="dxa"/>
                    <w:gridSpan w:val="2"/>
                  </w:tcPr>
                  <w:p w14:paraId="5AEC4901" w14:textId="77777777" w:rsidR="00D21C1F" w:rsidRDefault="00A42880">
                    <w:pPr>
                      <w:jc w:val="center"/>
                    </w:pPr>
                    <w:r>
                      <w:t>利润分配或资本公积金转增预案的相关情况说明</w:t>
                    </w:r>
                  </w:p>
                </w:tc>
              </w:sdtContent>
            </w:sdt>
          </w:tr>
          <w:tr w:rsidR="00D21C1F" w14:paraId="6D49194C" w14:textId="77777777">
            <w:sdt>
              <w:sdtPr>
                <w:alias w:val="利润分配或资本公积金转增预案详细情况"/>
                <w:tag w:val="_GBC_94bed1d7442547dda64f3e2963ffc525"/>
                <w:id w:val="-1295676485"/>
                <w:lock w:val="sdtLocked"/>
              </w:sdtPr>
              <w:sdtEndPr/>
              <w:sdtContent>
                <w:tc>
                  <w:tcPr>
                    <w:tcW w:w="9048" w:type="dxa"/>
                    <w:gridSpan w:val="2"/>
                    <w:vAlign w:val="center"/>
                  </w:tcPr>
                  <w:p w14:paraId="2A2F2271" w14:textId="77777777" w:rsidR="00D21C1F" w:rsidRDefault="00A42880">
                    <w:pPr>
                      <w:jc w:val="right"/>
                    </w:pPr>
                    <w:r>
                      <w:rPr>
                        <w:rFonts w:hint="eastAsia"/>
                      </w:rPr>
                      <w:t>不适用</w:t>
                    </w:r>
                  </w:p>
                </w:tc>
              </w:sdtContent>
            </w:sdt>
          </w:tr>
        </w:tbl>
      </w:sdtContent>
    </w:sdt>
    <w:p w14:paraId="285C670E" w14:textId="77777777" w:rsidR="00D21C1F" w:rsidRDefault="00D21C1F">
      <w:pPr>
        <w:pStyle w:val="97"/>
      </w:pPr>
      <w:bookmarkStart w:id="78" w:name="_Toc342565988"/>
    </w:p>
    <w:p w14:paraId="7BEA5408" w14:textId="77777777" w:rsidR="00D21C1F" w:rsidRDefault="00A42880">
      <w:pPr>
        <w:pStyle w:val="2"/>
        <w:numPr>
          <w:ilvl w:val="0"/>
          <w:numId w:val="22"/>
        </w:numPr>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197862952"/>
        <w:placeholder>
          <w:docPart w:val="GBC22222222222222222222222222222"/>
        </w:placeholder>
      </w:sdtPr>
      <w:sdtEndPr>
        <w:rPr>
          <w:rFonts w:ascii="Times New Roman" w:hAnsi="Times New Roman" w:cs="Times New Roman" w:hint="default"/>
          <w:bCs/>
          <w:szCs w:val="21"/>
        </w:rPr>
      </w:sdtEndPr>
      <w:sdtContent>
        <w:p w14:paraId="67A6AFD7" w14:textId="77777777" w:rsidR="00D21C1F" w:rsidRDefault="00A42880">
          <w:pPr>
            <w:pStyle w:val="3"/>
            <w:numPr>
              <w:ilvl w:val="1"/>
              <w:numId w:val="23"/>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929034921"/>
            <w:lock w:val="sdtLocked"/>
            <w:placeholder>
              <w:docPart w:val="GBC22222222222222222222222222222"/>
            </w:placeholder>
          </w:sdtPr>
          <w:sdtEndPr/>
          <w:sdtContent>
            <w:p w14:paraId="00B4AB8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725"/>
          </w:tblGrid>
          <w:tr w:rsidR="00D21C1F" w14:paraId="684321AB" w14:textId="77777777">
            <w:sdt>
              <w:sdtPr>
                <w:tag w:val="_PLD_92e7c4b9e326491387834a4bc27f34be"/>
                <w:id w:val="107487304"/>
                <w:lock w:val="sdtLocked"/>
              </w:sdtPr>
              <w:sdtEndPr/>
              <w:sdtContent>
                <w:tc>
                  <w:tcPr>
                    <w:tcW w:w="2889" w:type="pct"/>
                    <w:shd w:val="clear" w:color="auto" w:fill="auto"/>
                  </w:tcPr>
                  <w:p w14:paraId="2E259E35" w14:textId="77777777" w:rsidR="00D21C1F" w:rsidRDefault="00A42880">
                    <w:pPr>
                      <w:jc w:val="center"/>
                      <w:rPr>
                        <w:bCs/>
                        <w:kern w:val="44"/>
                        <w:szCs w:val="21"/>
                      </w:rPr>
                    </w:pPr>
                    <w:r>
                      <w:rPr>
                        <w:rFonts w:hint="eastAsia"/>
                        <w:bCs/>
                        <w:kern w:val="44"/>
                        <w:szCs w:val="21"/>
                      </w:rPr>
                      <w:t>事项概述</w:t>
                    </w:r>
                  </w:p>
                </w:tc>
              </w:sdtContent>
            </w:sdt>
            <w:sdt>
              <w:sdtPr>
                <w:tag w:val="_PLD_40db94ecb82a4b879a7968ac049b499f"/>
                <w:id w:val="-1327900472"/>
                <w:lock w:val="sdtLocked"/>
              </w:sdtPr>
              <w:sdtEndPr/>
              <w:sdtContent>
                <w:tc>
                  <w:tcPr>
                    <w:tcW w:w="2111" w:type="pct"/>
                    <w:shd w:val="clear" w:color="auto" w:fill="auto"/>
                  </w:tcPr>
                  <w:p w14:paraId="74331F42" w14:textId="77777777" w:rsidR="00D21C1F" w:rsidRDefault="00A42880">
                    <w:pPr>
                      <w:jc w:val="center"/>
                      <w:rPr>
                        <w:bCs/>
                        <w:kern w:val="44"/>
                        <w:szCs w:val="21"/>
                      </w:rPr>
                    </w:pPr>
                    <w:r>
                      <w:rPr>
                        <w:rFonts w:hint="eastAsia"/>
                        <w:bCs/>
                        <w:kern w:val="44"/>
                        <w:szCs w:val="21"/>
                      </w:rPr>
                      <w:t>查询索引</w:t>
                    </w:r>
                  </w:p>
                </w:tc>
              </w:sdtContent>
            </w:sdt>
          </w:tr>
          <w:sdt>
            <w:sdtPr>
              <w:rPr>
                <w:rFonts w:ascii="Times New Roman" w:hAnsi="Times New Roman" w:cs="Times New Roman"/>
                <w:bCs/>
                <w:kern w:val="44"/>
                <w:szCs w:val="21"/>
              </w:rPr>
              <w:alias w:val="股权激励事项已在临时报告披露且后续实施无进展或变化的"/>
              <w:tag w:val="_TUP_e8025a5d1a1a4d2e8fd1882ab8dc9742"/>
              <w:id w:val="-505826362"/>
              <w:placeholder>
                <w:docPart w:val="GBC11111111111111111111111111111"/>
              </w:placeholder>
            </w:sdtPr>
            <w:sdtEndPr/>
            <w:sdtContent>
              <w:tr w:rsidR="00D21C1F" w14:paraId="6B28DF79" w14:textId="77777777">
                <w:tc>
                  <w:tcPr>
                    <w:tcW w:w="2889" w:type="pct"/>
                    <w:shd w:val="clear" w:color="auto" w:fill="auto"/>
                  </w:tcPr>
                  <w:p w14:paraId="726F9AEC"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6</w:t>
                    </w:r>
                    <w:r>
                      <w:rPr>
                        <w:rFonts w:ascii="Times New Roman" w:hAnsi="Times New Roman" w:cs="Times New Roman"/>
                        <w:bCs/>
                        <w:kern w:val="44"/>
                        <w:szCs w:val="21"/>
                      </w:rPr>
                      <w:t>月</w:t>
                    </w:r>
                    <w:r>
                      <w:rPr>
                        <w:rFonts w:ascii="Times New Roman" w:hAnsi="Times New Roman" w:cs="Times New Roman"/>
                        <w:bCs/>
                        <w:kern w:val="44"/>
                        <w:szCs w:val="21"/>
                      </w:rPr>
                      <w:t>29</w:t>
                    </w:r>
                    <w:r>
                      <w:rPr>
                        <w:rFonts w:ascii="Times New Roman" w:hAnsi="Times New Roman" w:cs="Times New Roman"/>
                        <w:bCs/>
                        <w:kern w:val="44"/>
                        <w:szCs w:val="21"/>
                      </w:rPr>
                      <w:t>日公司召开了第二届董事会第十六次会议</w:t>
                    </w:r>
                    <w:r>
                      <w:rPr>
                        <w:rFonts w:ascii="Times New Roman" w:hAnsi="Times New Roman" w:cs="Times New Roman" w:hint="eastAsia"/>
                        <w:bCs/>
                        <w:kern w:val="44"/>
                        <w:szCs w:val="21"/>
                      </w:rPr>
                      <w:t>，</w:t>
                    </w:r>
                    <w:r>
                      <w:rPr>
                        <w:rFonts w:ascii="Times New Roman" w:hAnsi="Times New Roman" w:cs="Times New Roman"/>
                        <w:bCs/>
                        <w:kern w:val="44"/>
                        <w:szCs w:val="21"/>
                      </w:rPr>
                      <w:t>审议通过了</w:t>
                    </w:r>
                    <w:r>
                      <w:rPr>
                        <w:rFonts w:ascii="Times New Roman" w:hAnsi="Times New Roman" w:cs="Times New Roman" w:hint="eastAsia"/>
                        <w:bCs/>
                        <w:kern w:val="44"/>
                        <w:szCs w:val="21"/>
                      </w:rPr>
                      <w:t>《关于</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年限制性股票激励计划（草案）</w:t>
                    </w:r>
                    <w:r>
                      <w:rPr>
                        <w:rFonts w:ascii="Times New Roman" w:hAnsi="Times New Roman" w:cs="Times New Roman"/>
                        <w:bCs/>
                        <w:kern w:val="44"/>
                        <w:szCs w:val="21"/>
                      </w:rPr>
                      <w:t>&gt;</w:t>
                    </w:r>
                    <w:r>
                      <w:rPr>
                        <w:rFonts w:ascii="Times New Roman" w:hAnsi="Times New Roman" w:cs="Times New Roman"/>
                        <w:bCs/>
                        <w:kern w:val="44"/>
                        <w:szCs w:val="21"/>
                      </w:rPr>
                      <w:t>及其摘要的议案》《关于</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 xml:space="preserve">2021 </w:t>
                    </w:r>
                    <w:r>
                      <w:rPr>
                        <w:rFonts w:ascii="Times New Roman" w:hAnsi="Times New Roman" w:cs="Times New Roman"/>
                        <w:bCs/>
                        <w:kern w:val="44"/>
                        <w:szCs w:val="21"/>
                      </w:rPr>
                      <w:t>年限制性股票激励计划实施考核管理办法</w:t>
                    </w:r>
                    <w:r>
                      <w:rPr>
                        <w:rFonts w:ascii="Times New Roman" w:hAnsi="Times New Roman" w:cs="Times New Roman"/>
                        <w:bCs/>
                        <w:kern w:val="44"/>
                        <w:szCs w:val="21"/>
                      </w:rPr>
                      <w:t>&gt;</w:t>
                    </w:r>
                    <w:r>
                      <w:rPr>
                        <w:rFonts w:ascii="Times New Roman" w:hAnsi="Times New Roman" w:cs="Times New Roman"/>
                        <w:bCs/>
                        <w:kern w:val="44"/>
                        <w:szCs w:val="21"/>
                      </w:rPr>
                      <w:t>及</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年限制性股票激励计划管理办法</w:t>
                    </w:r>
                    <w:r>
                      <w:rPr>
                        <w:rFonts w:ascii="Times New Roman" w:hAnsi="Times New Roman" w:cs="Times New Roman"/>
                        <w:bCs/>
                        <w:kern w:val="44"/>
                        <w:szCs w:val="21"/>
                      </w:rPr>
                      <w:t>&gt;</w:t>
                    </w:r>
                    <w:r>
                      <w:rPr>
                        <w:rFonts w:ascii="Times New Roman" w:hAnsi="Times New Roman" w:cs="Times New Roman"/>
                        <w:bCs/>
                        <w:kern w:val="44"/>
                        <w:szCs w:val="21"/>
                      </w:rPr>
                      <w:t>的议案》《关于提请股东大会授权董事会办理</w:t>
                    </w: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lastRenderedPageBreak/>
                      <w:t>限制性股票激励计划相关事宜的议案》。公司独立董事就本次激励计划相关事项发表了明确同意的独立意见。</w:t>
                    </w:r>
                  </w:p>
                  <w:p w14:paraId="3E974EF7"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hint="eastAsia"/>
                        <w:bCs/>
                        <w:kern w:val="44"/>
                        <w:szCs w:val="21"/>
                      </w:rPr>
                      <w:t>同日，公司召开了第二届监事会第十次会议，审议通过了《关于</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年限制性股票激励计划（草案）</w:t>
                    </w:r>
                    <w:r>
                      <w:rPr>
                        <w:rFonts w:ascii="Times New Roman" w:hAnsi="Times New Roman" w:cs="Times New Roman"/>
                        <w:bCs/>
                        <w:kern w:val="44"/>
                        <w:szCs w:val="21"/>
                      </w:rPr>
                      <w:t>&gt;</w:t>
                    </w:r>
                    <w:r>
                      <w:rPr>
                        <w:rFonts w:ascii="Times New Roman" w:hAnsi="Times New Roman" w:cs="Times New Roman"/>
                        <w:bCs/>
                        <w:kern w:val="44"/>
                        <w:szCs w:val="21"/>
                      </w:rPr>
                      <w:t>及其摘要的议案》《关于</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 xml:space="preserve">2021 </w:t>
                    </w:r>
                    <w:r>
                      <w:rPr>
                        <w:rFonts w:ascii="Times New Roman" w:hAnsi="Times New Roman" w:cs="Times New Roman"/>
                        <w:bCs/>
                        <w:kern w:val="44"/>
                        <w:szCs w:val="21"/>
                      </w:rPr>
                      <w:t>年限制性股票激励计划实施考核管理办法</w:t>
                    </w:r>
                    <w:r>
                      <w:rPr>
                        <w:rFonts w:ascii="Times New Roman" w:hAnsi="Times New Roman" w:cs="Times New Roman"/>
                        <w:bCs/>
                        <w:kern w:val="44"/>
                        <w:szCs w:val="21"/>
                      </w:rPr>
                      <w:t>&gt;</w:t>
                    </w:r>
                    <w:r>
                      <w:rPr>
                        <w:rFonts w:ascii="Times New Roman" w:hAnsi="Times New Roman" w:cs="Times New Roman"/>
                        <w:bCs/>
                        <w:kern w:val="44"/>
                        <w:szCs w:val="21"/>
                      </w:rPr>
                      <w:t>及</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年限制性股票激励计划管理办法</w:t>
                    </w:r>
                    <w:r>
                      <w:rPr>
                        <w:rFonts w:ascii="Times New Roman" w:hAnsi="Times New Roman" w:cs="Times New Roman"/>
                        <w:bCs/>
                        <w:kern w:val="44"/>
                        <w:szCs w:val="21"/>
                      </w:rPr>
                      <w:t>&gt;</w:t>
                    </w:r>
                    <w:r>
                      <w:rPr>
                        <w:rFonts w:ascii="Times New Roman" w:hAnsi="Times New Roman" w:cs="Times New Roman"/>
                        <w:bCs/>
                        <w:kern w:val="44"/>
                        <w:szCs w:val="21"/>
                      </w:rPr>
                      <w:t>的议案》《关于核实股权激励计划激励对象名单的议案》，公司监事会对本次激励计划的相关事项进行核实并出具了相关的核查意见。</w:t>
                    </w:r>
                  </w:p>
                </w:tc>
                <w:tc>
                  <w:tcPr>
                    <w:tcW w:w="2111" w:type="pct"/>
                    <w:shd w:val="clear" w:color="auto" w:fill="auto"/>
                  </w:tcPr>
                  <w:p w14:paraId="4DBD1DB1"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bCs/>
                        <w:kern w:val="44"/>
                        <w:szCs w:val="21"/>
                      </w:rPr>
                      <w:lastRenderedPageBreak/>
                      <w:t>详见公司于</w:t>
                    </w: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6</w:t>
                    </w:r>
                    <w:r>
                      <w:rPr>
                        <w:rFonts w:ascii="Times New Roman" w:hAnsi="Times New Roman" w:cs="Times New Roman"/>
                        <w:bCs/>
                        <w:kern w:val="44"/>
                        <w:szCs w:val="21"/>
                      </w:rPr>
                      <w:t>月</w:t>
                    </w:r>
                    <w:r>
                      <w:rPr>
                        <w:rFonts w:ascii="Times New Roman" w:hAnsi="Times New Roman" w:cs="Times New Roman"/>
                        <w:bCs/>
                        <w:kern w:val="44"/>
                        <w:szCs w:val="21"/>
                      </w:rPr>
                      <w:t>30</w:t>
                    </w:r>
                    <w:r>
                      <w:rPr>
                        <w:rFonts w:ascii="Times New Roman" w:hAnsi="Times New Roman" w:cs="Times New Roman"/>
                        <w:bCs/>
                        <w:kern w:val="44"/>
                        <w:szCs w:val="21"/>
                      </w:rPr>
                      <w:t>日披露于上海证券交易所网站（</w:t>
                    </w:r>
                    <w:r>
                      <w:rPr>
                        <w:rFonts w:ascii="Times New Roman" w:hAnsi="Times New Roman" w:cs="Times New Roman"/>
                        <w:bCs/>
                        <w:kern w:val="44"/>
                        <w:szCs w:val="21"/>
                      </w:rPr>
                      <w:t>www.sse.com.cn</w:t>
                    </w:r>
                    <w:r>
                      <w:rPr>
                        <w:rFonts w:ascii="Times New Roman" w:hAnsi="Times New Roman" w:cs="Times New Roman"/>
                        <w:bCs/>
                        <w:kern w:val="44"/>
                        <w:szCs w:val="21"/>
                      </w:rPr>
                      <w:t>）的公告</w:t>
                    </w:r>
                    <w:r>
                      <w:rPr>
                        <w:rFonts w:ascii="Times New Roman" w:hAnsi="Times New Roman" w:cs="Times New Roman" w:hint="eastAsia"/>
                        <w:bCs/>
                        <w:kern w:val="44"/>
                        <w:szCs w:val="21"/>
                      </w:rPr>
                      <w:t>《埃夫特</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年限制性股票激励计划（草案）摘要公告》（公告编号：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020</w:t>
                    </w:r>
                    <w:r>
                      <w:rPr>
                        <w:rFonts w:ascii="Times New Roman" w:hAnsi="Times New Roman" w:cs="Times New Roman" w:hint="eastAsia"/>
                        <w:bCs/>
                        <w:kern w:val="44"/>
                        <w:szCs w:val="21"/>
                      </w:rPr>
                      <w:t>）、《埃夫特第二届监事会第十次</w:t>
                    </w:r>
                    <w:r>
                      <w:rPr>
                        <w:rFonts w:ascii="Times New Roman" w:hAnsi="Times New Roman" w:cs="Times New Roman" w:hint="eastAsia"/>
                        <w:bCs/>
                        <w:kern w:val="44"/>
                        <w:szCs w:val="21"/>
                      </w:rPr>
                      <w:lastRenderedPageBreak/>
                      <w:t>会议决议公告》（公告编号：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021</w:t>
                    </w:r>
                    <w:r>
                      <w:rPr>
                        <w:rFonts w:ascii="Times New Roman" w:hAnsi="Times New Roman" w:cs="Times New Roman" w:hint="eastAsia"/>
                        <w:bCs/>
                        <w:kern w:val="44"/>
                        <w:szCs w:val="21"/>
                      </w:rPr>
                      <w:t>）、《埃夫特第二届董事会第十六次会议决议公告》（公告编号：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022</w:t>
                    </w:r>
                    <w:r>
                      <w:rPr>
                        <w:rFonts w:ascii="Times New Roman" w:hAnsi="Times New Roman" w:cs="Times New Roman" w:hint="eastAsia"/>
                        <w:bCs/>
                        <w:kern w:val="44"/>
                        <w:szCs w:val="21"/>
                      </w:rPr>
                      <w:t>）</w:t>
                    </w:r>
                  </w:p>
                </w:tc>
              </w:tr>
            </w:sdtContent>
          </w:sdt>
          <w:sdt>
            <w:sdtPr>
              <w:rPr>
                <w:rFonts w:ascii="Times New Roman" w:hAnsi="Times New Roman" w:cs="Times New Roman"/>
                <w:bCs/>
                <w:kern w:val="44"/>
                <w:szCs w:val="21"/>
              </w:rPr>
              <w:alias w:val="股权激励事项已在临时报告披露且后续实施无进展或变化的"/>
              <w:tag w:val="_TUP_e8025a5d1a1a4d2e8fd1882ab8dc9742"/>
              <w:id w:val="678707423"/>
              <w:placeholder>
                <w:docPart w:val="GBC11111111111111111111111111111"/>
              </w:placeholder>
            </w:sdtPr>
            <w:sdtEndPr/>
            <w:sdtContent>
              <w:tr w:rsidR="00D21C1F" w14:paraId="13585F05" w14:textId="77777777">
                <w:tc>
                  <w:tcPr>
                    <w:tcW w:w="2889" w:type="pct"/>
                    <w:shd w:val="clear" w:color="auto" w:fill="auto"/>
                  </w:tcPr>
                  <w:p w14:paraId="1A120C70"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7</w:t>
                    </w:r>
                    <w:r>
                      <w:rPr>
                        <w:rFonts w:ascii="Times New Roman" w:hAnsi="Times New Roman" w:cs="Times New Roman"/>
                        <w:bCs/>
                        <w:kern w:val="44"/>
                        <w:szCs w:val="21"/>
                      </w:rPr>
                      <w:t>月</w:t>
                    </w:r>
                    <w:r>
                      <w:rPr>
                        <w:rFonts w:ascii="Times New Roman" w:hAnsi="Times New Roman" w:cs="Times New Roman"/>
                        <w:bCs/>
                        <w:kern w:val="44"/>
                        <w:szCs w:val="21"/>
                      </w:rPr>
                      <w:t>10</w:t>
                    </w:r>
                    <w:r>
                      <w:rPr>
                        <w:rFonts w:ascii="Times New Roman" w:hAnsi="Times New Roman" w:cs="Times New Roman"/>
                        <w:bCs/>
                        <w:kern w:val="44"/>
                        <w:szCs w:val="21"/>
                      </w:rPr>
                      <w:t>日，公司收到实际控制人芜湖市国资委致芜湖建投《关于埃夫特公司实施股权激励计划的批复》（国资组﹝</w:t>
                    </w:r>
                    <w:r>
                      <w:rPr>
                        <w:rFonts w:ascii="Times New Roman" w:hAnsi="Times New Roman" w:cs="Times New Roman"/>
                        <w:bCs/>
                        <w:kern w:val="44"/>
                        <w:szCs w:val="21"/>
                      </w:rPr>
                      <w:t>2021</w:t>
                    </w:r>
                    <w:r>
                      <w:rPr>
                        <w:rFonts w:ascii="Times New Roman" w:hAnsi="Times New Roman" w:cs="Times New Roman"/>
                        <w:bCs/>
                        <w:kern w:val="44"/>
                        <w:szCs w:val="21"/>
                      </w:rPr>
                      <w:t>﹞</w:t>
                    </w:r>
                    <w:r>
                      <w:rPr>
                        <w:rFonts w:ascii="Times New Roman" w:hAnsi="Times New Roman" w:cs="Times New Roman"/>
                        <w:bCs/>
                        <w:kern w:val="44"/>
                        <w:szCs w:val="21"/>
                      </w:rPr>
                      <w:t xml:space="preserve">68 </w:t>
                    </w:r>
                    <w:r>
                      <w:rPr>
                        <w:rFonts w:ascii="Times New Roman" w:hAnsi="Times New Roman" w:cs="Times New Roman"/>
                        <w:bCs/>
                        <w:kern w:val="44"/>
                        <w:szCs w:val="21"/>
                      </w:rPr>
                      <w:t>号）</w:t>
                    </w:r>
                    <w:r>
                      <w:rPr>
                        <w:rFonts w:ascii="Times New Roman" w:hAnsi="Times New Roman" w:cs="Times New Roman" w:hint="eastAsia"/>
                        <w:bCs/>
                        <w:kern w:val="44"/>
                        <w:szCs w:val="21"/>
                      </w:rPr>
                      <w:t>，</w:t>
                    </w:r>
                    <w:r>
                      <w:rPr>
                        <w:rFonts w:ascii="Times New Roman" w:hAnsi="Times New Roman" w:cs="Times New Roman"/>
                        <w:bCs/>
                        <w:kern w:val="44"/>
                        <w:szCs w:val="21"/>
                      </w:rPr>
                      <w:t>芜湖市国资委原则同意公司实施股权激励计划。</w:t>
                    </w:r>
                  </w:p>
                </w:tc>
                <w:tc>
                  <w:tcPr>
                    <w:tcW w:w="2111" w:type="pct"/>
                    <w:shd w:val="clear" w:color="auto" w:fill="auto"/>
                  </w:tcPr>
                  <w:p w14:paraId="4173D252"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bCs/>
                        <w:kern w:val="44"/>
                        <w:szCs w:val="21"/>
                      </w:rPr>
                      <w:t>详见公司于</w:t>
                    </w: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7</w:t>
                    </w:r>
                    <w:r>
                      <w:rPr>
                        <w:rFonts w:ascii="Times New Roman" w:hAnsi="Times New Roman" w:cs="Times New Roman"/>
                        <w:bCs/>
                        <w:kern w:val="44"/>
                        <w:szCs w:val="21"/>
                      </w:rPr>
                      <w:t>月</w:t>
                    </w:r>
                    <w:r>
                      <w:rPr>
                        <w:rFonts w:ascii="Times New Roman" w:hAnsi="Times New Roman" w:cs="Times New Roman"/>
                        <w:bCs/>
                        <w:kern w:val="44"/>
                        <w:szCs w:val="21"/>
                      </w:rPr>
                      <w:t>13</w:t>
                    </w:r>
                    <w:r>
                      <w:rPr>
                        <w:rFonts w:ascii="Times New Roman" w:hAnsi="Times New Roman" w:cs="Times New Roman"/>
                        <w:bCs/>
                        <w:kern w:val="44"/>
                        <w:szCs w:val="21"/>
                      </w:rPr>
                      <w:t>日披露于上海证券交易所网站（</w:t>
                    </w:r>
                    <w:r>
                      <w:rPr>
                        <w:rFonts w:ascii="Times New Roman" w:hAnsi="Times New Roman" w:cs="Times New Roman"/>
                        <w:bCs/>
                        <w:kern w:val="44"/>
                        <w:szCs w:val="21"/>
                      </w:rPr>
                      <w:t>www.sse.com.cn</w:t>
                    </w:r>
                    <w:r>
                      <w:rPr>
                        <w:rFonts w:ascii="Times New Roman" w:hAnsi="Times New Roman" w:cs="Times New Roman"/>
                        <w:bCs/>
                        <w:kern w:val="44"/>
                        <w:szCs w:val="21"/>
                      </w:rPr>
                      <w:t>）的公告</w:t>
                    </w:r>
                    <w:r>
                      <w:rPr>
                        <w:rFonts w:ascii="Times New Roman" w:hAnsi="Times New Roman" w:cs="Times New Roman" w:hint="eastAsia"/>
                        <w:bCs/>
                        <w:kern w:val="44"/>
                        <w:szCs w:val="21"/>
                      </w:rPr>
                      <w:t>《埃夫特关于</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年限制性股票激励计划获得芜湖市国资委批复的公告》</w:t>
                    </w:r>
                    <w:r>
                      <w:rPr>
                        <w:rFonts w:ascii="Times New Roman" w:hAnsi="Times New Roman" w:cs="Times New Roman"/>
                        <w:bCs/>
                        <w:kern w:val="44"/>
                        <w:szCs w:val="21"/>
                      </w:rPr>
                      <w:t>(</w:t>
                    </w:r>
                    <w:r>
                      <w:rPr>
                        <w:rFonts w:ascii="Times New Roman" w:hAnsi="Times New Roman" w:cs="Times New Roman"/>
                        <w:bCs/>
                        <w:kern w:val="44"/>
                        <w:szCs w:val="21"/>
                      </w:rPr>
                      <w:t>公告编号：</w:t>
                    </w:r>
                    <w:r>
                      <w:rPr>
                        <w:rFonts w:ascii="Times New Roman" w:hAnsi="Times New Roman" w:cs="Times New Roman"/>
                        <w:bCs/>
                        <w:kern w:val="44"/>
                        <w:szCs w:val="21"/>
                      </w:rPr>
                      <w:t>2021-024)</w:t>
                    </w:r>
                  </w:p>
                </w:tc>
              </w:tr>
            </w:sdtContent>
          </w:sdt>
          <w:sdt>
            <w:sdtPr>
              <w:rPr>
                <w:rFonts w:ascii="Times New Roman" w:hAnsi="Times New Roman" w:cs="Times New Roman"/>
                <w:bCs/>
                <w:kern w:val="44"/>
                <w:szCs w:val="21"/>
              </w:rPr>
              <w:alias w:val="股权激励事项已在临时报告披露且后续实施无进展或变化的"/>
              <w:tag w:val="_TUP_e8025a5d1a1a4d2e8fd1882ab8dc9742"/>
              <w:id w:val="909958615"/>
              <w:placeholder>
                <w:docPart w:val="DefaultPlaceholder_-1854013440"/>
              </w:placeholder>
            </w:sdtPr>
            <w:sdtEndPr/>
            <w:sdtContent>
              <w:tr w:rsidR="00D21C1F" w14:paraId="311F1035" w14:textId="77777777">
                <w:tc>
                  <w:tcPr>
                    <w:tcW w:w="2889" w:type="pct"/>
                    <w:shd w:val="clear" w:color="auto" w:fill="auto"/>
                  </w:tcPr>
                  <w:p w14:paraId="40420461"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7</w:t>
                    </w:r>
                    <w:r>
                      <w:rPr>
                        <w:rFonts w:ascii="Times New Roman" w:hAnsi="Times New Roman" w:cs="Times New Roman"/>
                        <w:bCs/>
                        <w:kern w:val="44"/>
                        <w:szCs w:val="21"/>
                      </w:rPr>
                      <w:t>月</w:t>
                    </w:r>
                    <w:r>
                      <w:rPr>
                        <w:rFonts w:ascii="Times New Roman" w:hAnsi="Times New Roman" w:cs="Times New Roman"/>
                        <w:bCs/>
                        <w:kern w:val="44"/>
                        <w:szCs w:val="21"/>
                      </w:rPr>
                      <w:t>30</w:t>
                    </w:r>
                    <w:r>
                      <w:rPr>
                        <w:rFonts w:ascii="Times New Roman" w:hAnsi="Times New Roman" w:cs="Times New Roman"/>
                        <w:bCs/>
                        <w:kern w:val="44"/>
                        <w:szCs w:val="21"/>
                      </w:rPr>
                      <w:t>日，公司召开</w:t>
                    </w:r>
                    <w:r>
                      <w:rPr>
                        <w:rFonts w:ascii="Times New Roman" w:hAnsi="Times New Roman" w:cs="Times New Roman"/>
                        <w:bCs/>
                        <w:kern w:val="44"/>
                        <w:szCs w:val="21"/>
                      </w:rPr>
                      <w:t>2021</w:t>
                    </w:r>
                    <w:r>
                      <w:rPr>
                        <w:rFonts w:ascii="Times New Roman" w:hAnsi="Times New Roman" w:cs="Times New Roman"/>
                        <w:bCs/>
                        <w:kern w:val="44"/>
                        <w:szCs w:val="21"/>
                      </w:rPr>
                      <w:t>年第一次临时股东大会，审议通过了《关于</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年限制性股票激励计划（草案）</w:t>
                    </w:r>
                    <w:r>
                      <w:rPr>
                        <w:rFonts w:ascii="Times New Roman" w:hAnsi="Times New Roman" w:cs="Times New Roman"/>
                        <w:bCs/>
                        <w:kern w:val="44"/>
                        <w:szCs w:val="21"/>
                      </w:rPr>
                      <w:t>&gt;</w:t>
                    </w:r>
                    <w:r>
                      <w:rPr>
                        <w:rFonts w:ascii="Times New Roman" w:hAnsi="Times New Roman" w:cs="Times New Roman"/>
                        <w:bCs/>
                        <w:kern w:val="44"/>
                        <w:szCs w:val="21"/>
                      </w:rPr>
                      <w:t>及其摘要的议案》《关于</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 xml:space="preserve">2021 </w:t>
                    </w:r>
                    <w:r>
                      <w:rPr>
                        <w:rFonts w:ascii="Times New Roman" w:hAnsi="Times New Roman" w:cs="Times New Roman"/>
                        <w:bCs/>
                        <w:kern w:val="44"/>
                        <w:szCs w:val="21"/>
                      </w:rPr>
                      <w:t>年限制性股票激励计划实施考核管理办法</w:t>
                    </w:r>
                    <w:r>
                      <w:rPr>
                        <w:rFonts w:ascii="Times New Roman" w:hAnsi="Times New Roman" w:cs="Times New Roman"/>
                        <w:bCs/>
                        <w:kern w:val="44"/>
                        <w:szCs w:val="21"/>
                      </w:rPr>
                      <w:t>&gt;</w:t>
                    </w:r>
                    <w:r>
                      <w:rPr>
                        <w:rFonts w:ascii="Times New Roman" w:hAnsi="Times New Roman" w:cs="Times New Roman"/>
                        <w:bCs/>
                        <w:kern w:val="44"/>
                        <w:szCs w:val="21"/>
                      </w:rPr>
                      <w:t>及</w:t>
                    </w:r>
                    <w:r>
                      <w:rPr>
                        <w:rFonts w:ascii="Times New Roman" w:hAnsi="Times New Roman" w:cs="Times New Roman"/>
                        <w:bCs/>
                        <w:kern w:val="44"/>
                        <w:szCs w:val="21"/>
                      </w:rPr>
                      <w:t>&lt;</w:t>
                    </w:r>
                    <w:r>
                      <w:rPr>
                        <w:rFonts w:ascii="Times New Roman" w:hAnsi="Times New Roman" w:cs="Times New Roman"/>
                        <w:bCs/>
                        <w:kern w:val="44"/>
                        <w:szCs w:val="21"/>
                      </w:rPr>
                      <w:t>埃夫特</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年限制性股票激励计划管理办法</w:t>
                    </w:r>
                    <w:r>
                      <w:rPr>
                        <w:rFonts w:ascii="Times New Roman" w:hAnsi="Times New Roman" w:cs="Times New Roman"/>
                        <w:bCs/>
                        <w:kern w:val="44"/>
                        <w:szCs w:val="21"/>
                      </w:rPr>
                      <w:t>&gt;</w:t>
                    </w:r>
                    <w:r>
                      <w:rPr>
                        <w:rFonts w:ascii="Times New Roman" w:hAnsi="Times New Roman" w:cs="Times New Roman"/>
                        <w:bCs/>
                        <w:kern w:val="44"/>
                        <w:szCs w:val="21"/>
                      </w:rPr>
                      <w:t>的议案》《关于提请股东大会授权董事会办理</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年限制性股票激励计划相关事宜的议案》。</w:t>
                    </w:r>
                  </w:p>
                </w:tc>
                <w:tc>
                  <w:tcPr>
                    <w:tcW w:w="2111" w:type="pct"/>
                    <w:shd w:val="clear" w:color="auto" w:fill="auto"/>
                  </w:tcPr>
                  <w:p w14:paraId="3FAED49B"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hint="eastAsia"/>
                        <w:bCs/>
                        <w:kern w:val="44"/>
                        <w:szCs w:val="21"/>
                      </w:rPr>
                      <w:t>详见公司于</w:t>
                    </w: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7</w:t>
                    </w:r>
                    <w:r>
                      <w:rPr>
                        <w:rFonts w:ascii="Times New Roman" w:hAnsi="Times New Roman" w:cs="Times New Roman"/>
                        <w:bCs/>
                        <w:kern w:val="44"/>
                        <w:szCs w:val="21"/>
                      </w:rPr>
                      <w:t>月</w:t>
                    </w:r>
                    <w:r>
                      <w:rPr>
                        <w:rFonts w:ascii="Times New Roman" w:hAnsi="Times New Roman" w:cs="Times New Roman"/>
                        <w:bCs/>
                        <w:kern w:val="44"/>
                        <w:szCs w:val="21"/>
                      </w:rPr>
                      <w:t>31</w:t>
                    </w:r>
                    <w:r>
                      <w:rPr>
                        <w:rFonts w:ascii="Times New Roman" w:hAnsi="Times New Roman" w:cs="Times New Roman"/>
                        <w:bCs/>
                        <w:kern w:val="44"/>
                        <w:szCs w:val="21"/>
                      </w:rPr>
                      <w:t>日披露于上海证券交易所网站（</w:t>
                    </w:r>
                    <w:r>
                      <w:rPr>
                        <w:rFonts w:ascii="Times New Roman" w:hAnsi="Times New Roman" w:cs="Times New Roman"/>
                        <w:bCs/>
                        <w:kern w:val="44"/>
                        <w:szCs w:val="21"/>
                      </w:rPr>
                      <w:t>www.sse.com.cn</w:t>
                    </w:r>
                    <w:r>
                      <w:rPr>
                        <w:rFonts w:ascii="Times New Roman" w:hAnsi="Times New Roman" w:cs="Times New Roman"/>
                        <w:bCs/>
                        <w:kern w:val="44"/>
                        <w:szCs w:val="21"/>
                      </w:rPr>
                      <w:t>）的公告</w:t>
                    </w:r>
                    <w:r>
                      <w:rPr>
                        <w:rFonts w:ascii="Times New Roman" w:hAnsi="Times New Roman" w:cs="Times New Roman" w:hint="eastAsia"/>
                        <w:bCs/>
                        <w:kern w:val="44"/>
                        <w:szCs w:val="21"/>
                      </w:rPr>
                      <w:t>《埃夫特关于公司</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年限制性股票激励计划内幕信息知情人及激励对象买卖公司股票情况的自查报告》（公告编号：</w:t>
                    </w:r>
                    <w:r>
                      <w:rPr>
                        <w:rFonts w:ascii="Times New Roman" w:hAnsi="Times New Roman" w:cs="Times New Roman"/>
                        <w:bCs/>
                        <w:kern w:val="44"/>
                        <w:szCs w:val="21"/>
                      </w:rPr>
                      <w:t>2021-031</w:t>
                    </w:r>
                    <w:r>
                      <w:rPr>
                        <w:rFonts w:ascii="Times New Roman" w:hAnsi="Times New Roman" w:cs="Times New Roman"/>
                        <w:bCs/>
                        <w:kern w:val="44"/>
                        <w:szCs w:val="21"/>
                      </w:rPr>
                      <w:t>）</w:t>
                    </w:r>
                    <w:r>
                      <w:rPr>
                        <w:rFonts w:ascii="Times New Roman" w:hAnsi="Times New Roman" w:cs="Times New Roman" w:hint="eastAsia"/>
                        <w:bCs/>
                        <w:kern w:val="44"/>
                        <w:szCs w:val="21"/>
                      </w:rPr>
                      <w:t>、《埃夫特</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年第一次临时股东大会决议公告》（公告编号：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033</w:t>
                    </w:r>
                    <w:r>
                      <w:rPr>
                        <w:rFonts w:ascii="Times New Roman" w:hAnsi="Times New Roman" w:cs="Times New Roman" w:hint="eastAsia"/>
                        <w:bCs/>
                        <w:kern w:val="44"/>
                        <w:szCs w:val="21"/>
                      </w:rPr>
                      <w:t>）</w:t>
                    </w:r>
                  </w:p>
                </w:tc>
              </w:tr>
            </w:sdtContent>
          </w:sdt>
          <w:sdt>
            <w:sdtPr>
              <w:rPr>
                <w:rFonts w:ascii="Times New Roman" w:hAnsi="Times New Roman" w:cs="Times New Roman"/>
                <w:bCs/>
                <w:kern w:val="44"/>
                <w:szCs w:val="21"/>
              </w:rPr>
              <w:alias w:val="股权激励事项已在临时报告披露且后续实施无进展或变化的"/>
              <w:tag w:val="_TUP_e8025a5d1a1a4d2e8fd1882ab8dc9742"/>
              <w:id w:val="-1593226699"/>
              <w:placeholder>
                <w:docPart w:val="DefaultPlaceholder_-1854013440"/>
              </w:placeholder>
            </w:sdtPr>
            <w:sdtEndPr/>
            <w:sdtContent>
              <w:tr w:rsidR="00D21C1F" w14:paraId="685F2ED9" w14:textId="77777777">
                <w:tc>
                  <w:tcPr>
                    <w:tcW w:w="2889" w:type="pct"/>
                    <w:shd w:val="clear" w:color="auto" w:fill="auto"/>
                  </w:tcPr>
                  <w:p w14:paraId="0FBD8930"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8</w:t>
                    </w:r>
                    <w:r>
                      <w:rPr>
                        <w:rFonts w:ascii="Times New Roman" w:hAnsi="Times New Roman" w:cs="Times New Roman"/>
                        <w:bCs/>
                        <w:kern w:val="44"/>
                        <w:szCs w:val="21"/>
                      </w:rPr>
                      <w:t>月</w:t>
                    </w:r>
                    <w:r>
                      <w:rPr>
                        <w:rFonts w:ascii="Times New Roman" w:hAnsi="Times New Roman" w:cs="Times New Roman" w:hint="eastAsia"/>
                        <w:bCs/>
                        <w:kern w:val="44"/>
                        <w:szCs w:val="21"/>
                      </w:rPr>
                      <w:t>2</w:t>
                    </w:r>
                    <w:r>
                      <w:rPr>
                        <w:rFonts w:ascii="Times New Roman" w:hAnsi="Times New Roman" w:cs="Times New Roman"/>
                        <w:bCs/>
                        <w:kern w:val="44"/>
                        <w:szCs w:val="21"/>
                      </w:rPr>
                      <w:t>6</w:t>
                    </w:r>
                    <w:r>
                      <w:rPr>
                        <w:rFonts w:ascii="Times New Roman" w:hAnsi="Times New Roman" w:cs="Times New Roman"/>
                        <w:bCs/>
                        <w:kern w:val="44"/>
                        <w:szCs w:val="21"/>
                      </w:rPr>
                      <w:t>日，公司召开了第二届董事会第十九次会议和第二届监事会第十二次会议，审议通过了《关于调整</w:t>
                    </w:r>
                    <w:r>
                      <w:rPr>
                        <w:rFonts w:ascii="Times New Roman" w:hAnsi="Times New Roman" w:cs="Times New Roman"/>
                        <w:bCs/>
                        <w:kern w:val="44"/>
                        <w:szCs w:val="21"/>
                      </w:rPr>
                      <w:t>2021</w:t>
                    </w:r>
                    <w:r>
                      <w:rPr>
                        <w:rFonts w:ascii="Times New Roman" w:hAnsi="Times New Roman" w:cs="Times New Roman"/>
                        <w:bCs/>
                        <w:kern w:val="44"/>
                        <w:szCs w:val="21"/>
                      </w:rPr>
                      <w:t>年限制性股票激励计划激励对象首次授予名单、授予及预留权益数量的议案》《关于向激励对象首次授予限制性股票的议案》。公司独立董事就本次激励计划相关事项发表了明确同意的独立意见。公司监事会对首次授予日的激励对象名单进行核实并发表了核查意见。</w:t>
                    </w:r>
                  </w:p>
                </w:tc>
                <w:tc>
                  <w:tcPr>
                    <w:tcW w:w="2111" w:type="pct"/>
                    <w:shd w:val="clear" w:color="auto" w:fill="auto"/>
                  </w:tcPr>
                  <w:p w14:paraId="7544B84C" w14:textId="77777777" w:rsidR="00D21C1F" w:rsidRDefault="00A42880">
                    <w:pPr>
                      <w:ind w:firstLineChars="200" w:firstLine="420"/>
                      <w:jc w:val="both"/>
                      <w:rPr>
                        <w:rFonts w:ascii="Times New Roman" w:hAnsi="Times New Roman" w:cs="Times New Roman"/>
                        <w:bCs/>
                        <w:kern w:val="44"/>
                        <w:szCs w:val="21"/>
                      </w:rPr>
                    </w:pPr>
                    <w:r>
                      <w:rPr>
                        <w:rFonts w:ascii="Times New Roman" w:hAnsi="Times New Roman" w:cs="Times New Roman" w:hint="eastAsia"/>
                        <w:bCs/>
                        <w:kern w:val="44"/>
                        <w:szCs w:val="21"/>
                      </w:rPr>
                      <w:t>详见公司于</w:t>
                    </w:r>
                    <w:r>
                      <w:rPr>
                        <w:rFonts w:ascii="Times New Roman" w:hAnsi="Times New Roman" w:cs="Times New Roman"/>
                        <w:bCs/>
                        <w:kern w:val="44"/>
                        <w:szCs w:val="21"/>
                      </w:rPr>
                      <w:t>2021</w:t>
                    </w:r>
                    <w:r>
                      <w:rPr>
                        <w:rFonts w:ascii="Times New Roman" w:hAnsi="Times New Roman" w:cs="Times New Roman"/>
                        <w:bCs/>
                        <w:kern w:val="44"/>
                        <w:szCs w:val="21"/>
                      </w:rPr>
                      <w:t>年</w:t>
                    </w:r>
                    <w:r>
                      <w:rPr>
                        <w:rFonts w:ascii="Times New Roman" w:hAnsi="Times New Roman" w:cs="Times New Roman"/>
                        <w:bCs/>
                        <w:kern w:val="44"/>
                        <w:szCs w:val="21"/>
                      </w:rPr>
                      <w:t>8</w:t>
                    </w:r>
                    <w:r>
                      <w:rPr>
                        <w:rFonts w:ascii="Times New Roman" w:hAnsi="Times New Roman" w:cs="Times New Roman"/>
                        <w:bCs/>
                        <w:kern w:val="44"/>
                        <w:szCs w:val="21"/>
                      </w:rPr>
                      <w:t>月</w:t>
                    </w:r>
                    <w:r>
                      <w:rPr>
                        <w:rFonts w:ascii="Times New Roman" w:hAnsi="Times New Roman" w:cs="Times New Roman" w:hint="eastAsia"/>
                        <w:bCs/>
                        <w:kern w:val="44"/>
                        <w:szCs w:val="21"/>
                      </w:rPr>
                      <w:t>2</w:t>
                    </w:r>
                    <w:r>
                      <w:rPr>
                        <w:rFonts w:ascii="Times New Roman" w:hAnsi="Times New Roman" w:cs="Times New Roman"/>
                        <w:bCs/>
                        <w:kern w:val="44"/>
                        <w:szCs w:val="21"/>
                      </w:rPr>
                      <w:t>8</w:t>
                    </w:r>
                    <w:r>
                      <w:rPr>
                        <w:rFonts w:ascii="Times New Roman" w:hAnsi="Times New Roman" w:cs="Times New Roman"/>
                        <w:bCs/>
                        <w:kern w:val="44"/>
                        <w:szCs w:val="21"/>
                      </w:rPr>
                      <w:t>日披露于上海证券交易所网站（</w:t>
                    </w:r>
                    <w:r>
                      <w:rPr>
                        <w:rFonts w:ascii="Times New Roman" w:hAnsi="Times New Roman" w:cs="Times New Roman"/>
                        <w:bCs/>
                        <w:kern w:val="44"/>
                        <w:szCs w:val="21"/>
                      </w:rPr>
                      <w:t>www.sse.com.cn</w:t>
                    </w:r>
                    <w:r>
                      <w:rPr>
                        <w:rFonts w:ascii="Times New Roman" w:hAnsi="Times New Roman" w:cs="Times New Roman"/>
                        <w:bCs/>
                        <w:kern w:val="44"/>
                        <w:szCs w:val="21"/>
                      </w:rPr>
                      <w:t>）的公告</w:t>
                    </w:r>
                    <w:r>
                      <w:rPr>
                        <w:rFonts w:ascii="Times New Roman" w:hAnsi="Times New Roman" w:cs="Times New Roman" w:hint="eastAsia"/>
                        <w:bCs/>
                        <w:kern w:val="44"/>
                        <w:szCs w:val="21"/>
                      </w:rPr>
                      <w:t>《埃夫特关于调整</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年限制性股票激励计划激励对象首次授予名单、授予及预留权益数量的公告》（公告编号：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035</w:t>
                    </w:r>
                    <w:r>
                      <w:rPr>
                        <w:rFonts w:ascii="Times New Roman" w:hAnsi="Times New Roman" w:cs="Times New Roman" w:hint="eastAsia"/>
                        <w:bCs/>
                        <w:kern w:val="44"/>
                        <w:szCs w:val="21"/>
                      </w:rPr>
                      <w:t>）、《埃夫特关于向激励对象首次授予限制性股票的公告》（公告编号：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036</w:t>
                    </w:r>
                    <w:r>
                      <w:rPr>
                        <w:rFonts w:ascii="Times New Roman" w:hAnsi="Times New Roman" w:cs="Times New Roman" w:hint="eastAsia"/>
                        <w:bCs/>
                        <w:kern w:val="44"/>
                        <w:szCs w:val="21"/>
                      </w:rPr>
                      <w:t>）、《埃夫特第二届董事会第十九次会议决议公告》（公告编号：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037</w:t>
                    </w:r>
                    <w:r>
                      <w:rPr>
                        <w:rFonts w:ascii="Times New Roman" w:hAnsi="Times New Roman" w:cs="Times New Roman" w:hint="eastAsia"/>
                        <w:bCs/>
                        <w:kern w:val="44"/>
                        <w:szCs w:val="21"/>
                      </w:rPr>
                      <w:t>）、《埃夫特第二届监事会第十二次会议决议公告》（公告编号：</w:t>
                    </w:r>
                    <w:r>
                      <w:rPr>
                        <w:rFonts w:ascii="Times New Roman" w:hAnsi="Times New Roman" w:cs="Times New Roman" w:hint="eastAsia"/>
                        <w:bCs/>
                        <w:kern w:val="44"/>
                        <w:szCs w:val="21"/>
                      </w:rPr>
                      <w:t>2</w:t>
                    </w:r>
                    <w:r>
                      <w:rPr>
                        <w:rFonts w:ascii="Times New Roman" w:hAnsi="Times New Roman" w:cs="Times New Roman"/>
                        <w:bCs/>
                        <w:kern w:val="44"/>
                        <w:szCs w:val="21"/>
                      </w:rPr>
                      <w:t>021</w:t>
                    </w:r>
                    <w:r>
                      <w:rPr>
                        <w:rFonts w:ascii="Times New Roman" w:hAnsi="Times New Roman" w:cs="Times New Roman" w:hint="eastAsia"/>
                        <w:bCs/>
                        <w:kern w:val="44"/>
                        <w:szCs w:val="21"/>
                      </w:rPr>
                      <w:t>-</w:t>
                    </w:r>
                    <w:r>
                      <w:rPr>
                        <w:rFonts w:ascii="Times New Roman" w:hAnsi="Times New Roman" w:cs="Times New Roman"/>
                        <w:bCs/>
                        <w:kern w:val="44"/>
                        <w:szCs w:val="21"/>
                      </w:rPr>
                      <w:t>038</w:t>
                    </w:r>
                    <w:r>
                      <w:rPr>
                        <w:rFonts w:ascii="Times New Roman" w:hAnsi="Times New Roman" w:cs="Times New Roman" w:hint="eastAsia"/>
                        <w:bCs/>
                        <w:kern w:val="44"/>
                        <w:szCs w:val="21"/>
                      </w:rPr>
                      <w:t>）</w:t>
                    </w:r>
                  </w:p>
                </w:tc>
              </w:tr>
            </w:sdtContent>
          </w:sdt>
        </w:tbl>
      </w:sdtContent>
    </w:sdt>
    <w:p w14:paraId="269522C2" w14:textId="77777777" w:rsidR="00D21C1F" w:rsidRDefault="00D21C1F">
      <w:pPr>
        <w:pStyle w:val="97"/>
      </w:pPr>
    </w:p>
    <w:p w14:paraId="426343D8" w14:textId="77777777" w:rsidR="00D21C1F" w:rsidRDefault="00A42880">
      <w:pPr>
        <w:pStyle w:val="3"/>
        <w:numPr>
          <w:ilvl w:val="1"/>
          <w:numId w:val="23"/>
        </w:numPr>
        <w:rPr>
          <w:rFonts w:ascii="宋体" w:hAnsi="宋体"/>
          <w:kern w:val="44"/>
        </w:rPr>
      </w:pPr>
      <w:r>
        <w:rPr>
          <w:rFonts w:ascii="宋体" w:hAnsi="宋体" w:hint="eastAsia"/>
          <w:kern w:val="44"/>
        </w:rPr>
        <w:t>临时公告未披露或有后续进展的激励情况</w:t>
      </w:r>
    </w:p>
    <w:p w14:paraId="752E875D" w14:textId="77777777" w:rsidR="00D21C1F" w:rsidRDefault="00A42880">
      <w:pPr>
        <w:pStyle w:val="97"/>
      </w:pPr>
      <w:r>
        <w:rPr>
          <w:rFonts w:hint="eastAsia"/>
        </w:rPr>
        <w:t>股权激励情况</w:t>
      </w:r>
    </w:p>
    <w:sdt>
      <w:sdtPr>
        <w:alias w:val="是否适用：股权激励情况[双击切换]"/>
        <w:tag w:val="_GBC_388221bc7be24cdca55be337256c8bc1"/>
        <w:id w:val="-1617210581"/>
        <w:lock w:val="sdtLocked"/>
        <w:placeholder>
          <w:docPart w:val="GBC22222222222222222222222222222"/>
        </w:placeholder>
      </w:sdtPr>
      <w:sdtEndPr/>
      <w:sdtContent>
        <w:p w14:paraId="04F98C7F" w14:textId="390F153D"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股权激励情况的说明"/>
        <w:tag w:val="_SEC_a417a9b40b6a4adeba436d511837e016"/>
        <w:id w:val="-1928727670"/>
        <w:lock w:val="sdtLocked"/>
        <w:placeholder>
          <w:docPart w:val="GBC22222222222222222222222222222"/>
        </w:placeholder>
      </w:sdtPr>
      <w:sdtEndPr>
        <w:rPr>
          <w:rFonts w:hint="default"/>
        </w:rPr>
      </w:sdtEndPr>
      <w:sdtContent>
        <w:p w14:paraId="748F8AA6" w14:textId="77777777" w:rsidR="00D21C1F" w:rsidRDefault="00A42880">
          <w:pPr>
            <w:rPr>
              <w:szCs w:val="21"/>
            </w:rPr>
          </w:pPr>
          <w:r>
            <w:rPr>
              <w:rFonts w:hint="eastAsia"/>
              <w:szCs w:val="21"/>
            </w:rPr>
            <w:t>其他说明</w:t>
          </w:r>
        </w:p>
        <w:p w14:paraId="070EF123" w14:textId="12AE8FA4" w:rsidR="00D21C1F" w:rsidRDefault="00045EC6">
          <w:pPr>
            <w:rPr>
              <w:szCs w:val="21"/>
            </w:rPr>
          </w:pPr>
          <w:sdt>
            <w:sdtPr>
              <w:rPr>
                <w:rFonts w:hint="eastAsia"/>
                <w:szCs w:val="21"/>
              </w:rPr>
              <w:alias w:val="是否适用：股权激励情况的说明[双击切换]"/>
              <w:tag w:val="_GBC_e5a032ecd3e24335b29a38809f65a990"/>
              <w:id w:val="-116076573"/>
              <w:lock w:val="sdtLocked"/>
              <w:placeholder>
                <w:docPart w:val="A92BD3C6A98D467F9D08676458FB04BB"/>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sdtContent>
    </w:sdt>
    <w:sdt>
      <w:sdtPr>
        <w:rPr>
          <w:rFonts w:hint="eastAsia"/>
          <w:bCs/>
          <w:szCs w:val="21"/>
        </w:rPr>
        <w:alias w:val="模块:员工持股计划情况"/>
        <w:tag w:val="_SEC_70861e225efc4a6aa2a87c82bdeffa60"/>
        <w:id w:val="991136115"/>
        <w:lock w:val="sdtLocked"/>
        <w:placeholder>
          <w:docPart w:val="GBC22222222222222222222222222222"/>
        </w:placeholder>
      </w:sdtPr>
      <w:sdtEndPr/>
      <w:sdtContent>
        <w:p w14:paraId="63458675" w14:textId="77777777" w:rsidR="00D21C1F" w:rsidRDefault="00A42880">
          <w:pPr>
            <w:rPr>
              <w:bCs/>
              <w:szCs w:val="21"/>
            </w:rPr>
          </w:pPr>
          <w:r>
            <w:rPr>
              <w:rFonts w:hint="eastAsia"/>
              <w:bCs/>
              <w:szCs w:val="21"/>
            </w:rPr>
            <w:t>员工持股计划情况</w:t>
          </w:r>
        </w:p>
        <w:sdt>
          <w:sdtPr>
            <w:rPr>
              <w:szCs w:val="21"/>
            </w:rPr>
            <w:alias w:val="是否适用：员工持股计划情况[双击切换]"/>
            <w:tag w:val="_GBC_60a13b60efda4715a83fed9c5960ee3b"/>
            <w:id w:val="1475256719"/>
            <w:lock w:val="sdtLocked"/>
            <w:placeholder>
              <w:docPart w:val="GBC22222222222222222222222222222"/>
            </w:placeholder>
          </w:sdtPr>
          <w:sdtEndPr/>
          <w:sdtContent>
            <w:p w14:paraId="3989B6BE" w14:textId="4DC94F2F" w:rsidR="00D21C1F" w:rsidRDefault="00A42880">
              <w:pPr>
                <w:rPr>
                  <w:bCs/>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bCs/>
          <w:szCs w:val="21"/>
        </w:rPr>
        <w:alias w:val="模块:其他激励措施"/>
        <w:tag w:val="_SEC_63920368dc0b49e9a257b190129bf278"/>
        <w:id w:val="-677881530"/>
        <w:lock w:val="sdtLocked"/>
        <w:placeholder>
          <w:docPart w:val="GBC22222222222222222222222222222"/>
        </w:placeholder>
      </w:sdtPr>
      <w:sdtEndPr/>
      <w:sdtContent>
        <w:p w14:paraId="7334635F" w14:textId="77777777" w:rsidR="00D21C1F" w:rsidRDefault="00A42880">
          <w:pPr>
            <w:rPr>
              <w:bCs/>
              <w:szCs w:val="21"/>
            </w:rPr>
          </w:pPr>
          <w:r>
            <w:rPr>
              <w:rFonts w:hint="eastAsia"/>
              <w:bCs/>
              <w:szCs w:val="21"/>
            </w:rPr>
            <w:t>其他激励措施</w:t>
          </w:r>
        </w:p>
        <w:sdt>
          <w:sdtPr>
            <w:rPr>
              <w:szCs w:val="21"/>
            </w:rPr>
            <w:alias w:val="是否适用：其他激励措施[双击切换]"/>
            <w:tag w:val="_GBC_87e3c04518ac4bed97846d84cc8784e1"/>
            <w:id w:val="1808746365"/>
            <w:lock w:val="sdtLocked"/>
            <w:placeholder>
              <w:docPart w:val="GBC22222222222222222222222222222"/>
            </w:placeholder>
          </w:sdtPr>
          <w:sdtEndPr/>
          <w:sdtContent>
            <w:p w14:paraId="3BD5373C" w14:textId="77777777" w:rsidR="00D21C1F" w:rsidRDefault="00A42880">
              <w:pPr>
                <w:rPr>
                  <w:bCs/>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DB4DF38" w14:textId="77777777" w:rsidR="00D21C1F" w:rsidRDefault="00A42880">
      <w:pPr>
        <w:rPr>
          <w:szCs w:val="21"/>
        </w:rPr>
      </w:pPr>
      <w:r>
        <w:rPr>
          <w:szCs w:val="21"/>
        </w:rPr>
        <w:br w:type="page"/>
      </w:r>
    </w:p>
    <w:p w14:paraId="1EE4732A" w14:textId="77777777" w:rsidR="00D21C1F" w:rsidRDefault="00D21C1F">
      <w:pPr>
        <w:rPr>
          <w:szCs w:val="21"/>
        </w:rPr>
      </w:pPr>
    </w:p>
    <w:p w14:paraId="3D22C3A3" w14:textId="77777777" w:rsidR="00D21C1F" w:rsidRDefault="00A42880">
      <w:pPr>
        <w:pStyle w:val="10"/>
        <w:numPr>
          <w:ilvl w:val="0"/>
          <w:numId w:val="3"/>
        </w:numPr>
        <w:rPr>
          <w:rFonts w:ascii="黑体" w:hAnsi="黑体"/>
        </w:rPr>
      </w:pPr>
      <w:bookmarkStart w:id="79" w:name="_Toc79755144"/>
      <w:r>
        <w:rPr>
          <w:rFonts w:ascii="黑体" w:hAnsi="黑体" w:hint="eastAsia"/>
        </w:rPr>
        <w:t>环境与社会责任</w:t>
      </w:r>
      <w:bookmarkEnd w:id="79"/>
    </w:p>
    <w:p w14:paraId="79B81296" w14:textId="77777777" w:rsidR="00D21C1F" w:rsidRDefault="00D21C1F">
      <w:pPr>
        <w:pStyle w:val="97"/>
      </w:pPr>
    </w:p>
    <w:p w14:paraId="25AE048C" w14:textId="77777777" w:rsidR="00D21C1F" w:rsidRDefault="00A42880">
      <w:pPr>
        <w:pStyle w:val="2"/>
        <w:numPr>
          <w:ilvl w:val="0"/>
          <w:numId w:val="24"/>
        </w:numPr>
      </w:pPr>
      <w:r>
        <w:rPr>
          <w:rFonts w:hint="eastAsia"/>
        </w:rPr>
        <w:t>环境</w:t>
      </w:r>
      <w:r>
        <w:t>信息情况</w:t>
      </w:r>
    </w:p>
    <w:p w14:paraId="1FF132AC" w14:textId="77777777" w:rsidR="00D21C1F" w:rsidRDefault="00A42880">
      <w:pPr>
        <w:pStyle w:val="3"/>
        <w:numPr>
          <w:ilvl w:val="0"/>
          <w:numId w:val="25"/>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933326498"/>
        <w:lock w:val="sdtLocked"/>
        <w:placeholder>
          <w:docPart w:val="GBC22222222222222222222222222222"/>
        </w:placeholder>
      </w:sdtPr>
      <w:sdtEndPr/>
      <w:sdtContent>
        <w:p w14:paraId="0331B2B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A22C90" w14:textId="77777777" w:rsidR="00D21C1F" w:rsidRDefault="00D21C1F">
      <w:pPr>
        <w:pStyle w:val="97"/>
      </w:pPr>
    </w:p>
    <w:p w14:paraId="7C94637B" w14:textId="77777777" w:rsidR="00D21C1F" w:rsidRDefault="00A42880">
      <w:pPr>
        <w:pStyle w:val="3"/>
        <w:numPr>
          <w:ilvl w:val="0"/>
          <w:numId w:val="25"/>
        </w:numPr>
        <w:rPr>
          <w:rFonts w:ascii="宋体" w:hAnsi="宋体"/>
        </w:rPr>
      </w:pPr>
      <w:r>
        <w:rPr>
          <w:rFonts w:ascii="宋体" w:hAnsi="宋体" w:hint="eastAsia"/>
        </w:rPr>
        <w:t>重点排污单位之外的公司的环保情况说明</w:t>
      </w:r>
    </w:p>
    <w:sdt>
      <w:sdtPr>
        <w:alias w:val="是否适用：重点排污单位之外的公司的环保情况[双击切换]"/>
        <w:tag w:val="_GBC_5429e6d325df48abbf95eb4f87e71363"/>
        <w:id w:val="-1662687827"/>
        <w:lock w:val="sdtLocked"/>
        <w:placeholder>
          <w:docPart w:val="GBC22222222222222222222222222222"/>
        </w:placeholder>
      </w:sdtPr>
      <w:sdtEndPr/>
      <w:sdtContent>
        <w:p w14:paraId="63B96E5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80" w:name="_Hlk74731776" w:displacedByCustomXml="next"/>
    <w:bookmarkStart w:id="81" w:name="_Hlk74817711" w:displacedByCustomXml="next"/>
    <w:sdt>
      <w:sdtPr>
        <w:rPr>
          <w:rFonts w:ascii="宋体" w:eastAsiaTheme="minorEastAsia" w:hAnsi="宋体" w:cs="宋体"/>
          <w:b w:val="0"/>
          <w:bCs w:val="0"/>
          <w:kern w:val="0"/>
          <w:szCs w:val="24"/>
        </w:rPr>
        <w:alias w:val="模块:因环境问题受到行政处罚的情况"/>
        <w:tag w:val="_SEC_fd7fbb417a7049a5af4e52366b08db81"/>
        <w:id w:val="74020737"/>
        <w:lock w:val="sdtLocked"/>
        <w:placeholder>
          <w:docPart w:val="GBC22222222222222222222222222222"/>
        </w:placeholder>
      </w:sdtPr>
      <w:sdtEndPr/>
      <w:sdtContent>
        <w:p w14:paraId="5BCB5886" w14:textId="77777777" w:rsidR="00D21C1F" w:rsidRDefault="00A42880">
          <w:pPr>
            <w:pStyle w:val="4"/>
            <w:numPr>
              <w:ilvl w:val="0"/>
              <w:numId w:val="26"/>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ca9717316f9f4101ba7b4474aaf12e47"/>
            <w:id w:val="-129549099"/>
            <w:lock w:val="sdtLocked"/>
            <w:placeholder>
              <w:docPart w:val="GBC22222222222222222222222222222"/>
            </w:placeholder>
          </w:sdtPr>
          <w:sdtEndPr/>
          <w:sdtContent>
            <w:p w14:paraId="230FE0C0"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32DF7F3" w14:textId="77777777" w:rsidR="00D21C1F" w:rsidRDefault="00045EC6">
          <w:pPr>
            <w:pStyle w:val="97"/>
          </w:pPr>
        </w:p>
      </w:sdtContent>
    </w:sdt>
    <w:bookmarkEnd w:id="80" w:displacedByCustomXml="next"/>
    <w:bookmarkEnd w:id="81" w:displacedByCustomXml="next"/>
    <w:bookmarkStart w:id="82" w:name="_Hlk74817753" w:displacedByCustomXml="next"/>
    <w:sdt>
      <w:sdtPr>
        <w:rPr>
          <w:rFonts w:ascii="宋体" w:eastAsiaTheme="minorEastAsia" w:hAnsi="宋体" w:cs="宋体"/>
          <w:b w:val="0"/>
          <w:bCs w:val="0"/>
          <w:kern w:val="0"/>
          <w:szCs w:val="24"/>
        </w:rPr>
        <w:alias w:val="模块:参照重点排污单位披露其它环境信息"/>
        <w:tag w:val="_SEC_475228aae9c0477fb04de068c19b8bcf"/>
        <w:id w:val="600540203"/>
        <w:lock w:val="sdtLocked"/>
        <w:placeholder>
          <w:docPart w:val="GBC22222222222222222222222222222"/>
        </w:placeholder>
      </w:sdtPr>
      <w:sdtEndPr/>
      <w:sdtContent>
        <w:p w14:paraId="058DE2B9" w14:textId="77777777" w:rsidR="00D21C1F" w:rsidRDefault="00A42880">
          <w:pPr>
            <w:pStyle w:val="4"/>
            <w:numPr>
              <w:ilvl w:val="0"/>
              <w:numId w:val="26"/>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355ed967cc26456486d653710695763e"/>
            <w:id w:val="-422339019"/>
            <w:lock w:val="sdtLocked"/>
            <w:placeholder>
              <w:docPart w:val="GBC22222222222222222222222222222"/>
            </w:placeholder>
          </w:sdtPr>
          <w:sdtEndPr/>
          <w:sdtContent>
            <w:p w14:paraId="2F3F8496"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49978a99956a49fcafd9258e710d862d"/>
            <w:id w:val="-1178260161"/>
            <w:lock w:val="sdtLocked"/>
            <w:placeholder>
              <w:docPart w:val="GBC22222222222222222222222222222"/>
            </w:placeholder>
          </w:sdtPr>
          <w:sdtEndPr/>
          <w:sdtContent>
            <w:p w14:paraId="32CE3CDE" w14:textId="77777777" w:rsidR="00D21C1F" w:rsidRDefault="00A42880">
              <w:pPr>
                <w:spacing w:line="360" w:lineRule="auto"/>
                <w:ind w:firstLineChars="200" w:firstLine="420"/>
                <w:jc w:val="both"/>
                <w:rPr>
                  <w:szCs w:val="21"/>
                </w:rPr>
              </w:pPr>
              <w:r>
                <w:rPr>
                  <w:rFonts w:hint="eastAsia"/>
                  <w:szCs w:val="21"/>
                </w:rPr>
                <w:t>公司主营业务属于智能制造装备行业，不属于国家规定的重污染行业。公司经营中涉及的主要污染物为废气、废水、固定废物及噪声等。</w:t>
              </w:r>
            </w:p>
            <w:p w14:paraId="2D01EA57" w14:textId="77777777" w:rsidR="00D21C1F" w:rsidRDefault="00A42880">
              <w:pPr>
                <w:spacing w:line="360" w:lineRule="auto"/>
                <w:ind w:firstLineChars="200" w:firstLine="420"/>
                <w:jc w:val="both"/>
                <w:rPr>
                  <w:szCs w:val="21"/>
                </w:rPr>
              </w:pPr>
              <w:r>
                <w:rPr>
                  <w:rFonts w:hint="eastAsia"/>
                  <w:szCs w:val="21"/>
                </w:rPr>
                <w:t>生活废水通过“隔油池</w:t>
              </w:r>
              <w:r>
                <w:rPr>
                  <w:szCs w:val="21"/>
                </w:rPr>
                <w:t>+化粪池”雨污分流处理，废水排放达到《污水综合排放标准》三级标准，无生产废水。抛丸废气经</w:t>
              </w:r>
              <w:r>
                <w:rPr>
                  <w:rFonts w:ascii="Times New Roman" w:hAnsi="Times New Roman" w:cs="Times New Roman"/>
                  <w:szCs w:val="21"/>
                </w:rPr>
                <w:t>螺旋式降尘</w:t>
              </w:r>
              <w:r>
                <w:rPr>
                  <w:rFonts w:ascii="Times New Roman" w:hAnsi="Times New Roman" w:cs="Times New Roman"/>
                  <w:szCs w:val="21"/>
                </w:rPr>
                <w:t>+</w:t>
              </w:r>
              <w:r>
                <w:rPr>
                  <w:rFonts w:ascii="Times New Roman" w:hAnsi="Times New Roman" w:cs="Times New Roman"/>
                  <w:szCs w:val="21"/>
                </w:rPr>
                <w:t>布袋除尘器</w:t>
              </w:r>
              <w:r>
                <w:rPr>
                  <w:rFonts w:asciiTheme="minorEastAsia" w:eastAsiaTheme="minorEastAsia" w:hAnsiTheme="minorEastAsia" w:cs="Times New Roman"/>
                  <w:szCs w:val="21"/>
                </w:rPr>
                <w:t>+</w:t>
              </w:r>
              <w:r>
                <w:rPr>
                  <w:rFonts w:ascii="Times New Roman" w:hAnsi="Times New Roman" w:cs="Times New Roman"/>
                  <w:szCs w:val="21"/>
                </w:rPr>
                <w:t>15</w:t>
              </w:r>
              <w:r>
                <w:rPr>
                  <w:rFonts w:ascii="Times New Roman" w:hAnsi="Times New Roman" w:cs="Times New Roman"/>
                  <w:szCs w:val="21"/>
                </w:rPr>
                <w:t>米高排气筒处理；喷漆废气、打磨废气、烘干废气经过滤棉</w:t>
              </w:r>
              <w:r>
                <w:rPr>
                  <w:rFonts w:ascii="Times New Roman" w:hAnsi="Times New Roman" w:cs="Times New Roman"/>
                  <w:szCs w:val="21"/>
                </w:rPr>
                <w:t>+</w:t>
              </w:r>
              <w:r>
                <w:rPr>
                  <w:rFonts w:ascii="Times New Roman" w:hAnsi="Times New Roman" w:cs="Times New Roman"/>
                  <w:szCs w:val="21"/>
                </w:rPr>
                <w:t>活性炭</w:t>
              </w:r>
              <w:r>
                <w:rPr>
                  <w:rFonts w:cs="Times New Roman"/>
                  <w:szCs w:val="21"/>
                </w:rPr>
                <w:t>+</w:t>
              </w:r>
              <w:r>
                <w:rPr>
                  <w:rFonts w:ascii="Times New Roman" w:hAnsi="Times New Roman" w:cs="Times New Roman"/>
                  <w:szCs w:val="21"/>
                </w:rPr>
                <w:t>15</w:t>
              </w:r>
              <w:r>
                <w:rPr>
                  <w:rFonts w:ascii="Times New Roman" w:hAnsi="Times New Roman" w:cs="Times New Roman"/>
                  <w:szCs w:val="21"/>
                </w:rPr>
                <w:t>米高排气筒处理，各工序废气排放均满足《大气污染物综合排放标准》二级标准。采用建筑隔声、隔声门窗、距离衰减、安装减振基座及消声器等降低噪音，厂区实际降噪措施与环评一致。厂区内已经设置</w:t>
              </w:r>
              <w:r>
                <w:rPr>
                  <w:rFonts w:ascii="Times New Roman" w:hAnsi="Times New Roman" w:cs="Times New Roman"/>
                  <w:szCs w:val="21"/>
                </w:rPr>
                <w:t>1</w:t>
              </w:r>
              <w:r>
                <w:rPr>
                  <w:rFonts w:ascii="Times New Roman" w:hAnsi="Times New Roman" w:cs="Times New Roman"/>
                  <w:szCs w:val="21"/>
                </w:rPr>
                <w:t>间总面积为</w:t>
              </w:r>
              <w:r>
                <w:rPr>
                  <w:rFonts w:ascii="Times New Roman" w:hAnsi="Times New Roman" w:cs="Times New Roman"/>
                  <w:szCs w:val="21"/>
                </w:rPr>
                <w:t>60</w:t>
              </w:r>
              <w:r>
                <w:rPr>
                  <w:rFonts w:ascii="Times New Roman" w:hAnsi="Times New Roman" w:cs="Times New Roman"/>
                  <w:szCs w:val="21"/>
                </w:rPr>
                <w:t>平方米</w:t>
              </w:r>
              <w:r>
                <w:rPr>
                  <w:szCs w:val="21"/>
                </w:rPr>
                <w:t>的危废暂存间，厂区生活垃圾由环卫部门处理；危险废物（废漆渣、废油漆桶、废乳化液、废油桶、废活性炭、废过滤棉</w:t>
              </w:r>
              <w:r>
                <w:rPr>
                  <w:rFonts w:hint="eastAsia"/>
                  <w:szCs w:val="21"/>
                </w:rPr>
                <w:t>）均交由芜湖致源环保科技有限公司处置；金属和非金属零件及废弃包装材料收集后回收利用。</w:t>
              </w:r>
            </w:p>
          </w:sdtContent>
        </w:sdt>
        <w:p w14:paraId="3D87CF57" w14:textId="77777777" w:rsidR="00D21C1F" w:rsidRDefault="00045EC6">
          <w:pPr>
            <w:pStyle w:val="97"/>
          </w:pPr>
        </w:p>
      </w:sdtContent>
    </w:sdt>
    <w:bookmarkEnd w:id="82" w:displacedByCustomXml="next"/>
    <w:sdt>
      <w:sdtPr>
        <w:rPr>
          <w:rFonts w:ascii="宋体" w:eastAsiaTheme="minorEastAsia" w:hAnsi="宋体" w:cs="宋体" w:hint="eastAsia"/>
          <w:b w:val="0"/>
          <w:bCs w:val="0"/>
          <w:kern w:val="0"/>
          <w:szCs w:val="24"/>
        </w:rPr>
        <w:alias w:val="模块:重点排污单位之外的公司未披露环境信息的原因说明"/>
        <w:tag w:val="_SEC_dbf114d9dfed451c943c0db36f9761bc"/>
        <w:id w:val="456455409"/>
        <w:lock w:val="sdtLocked"/>
        <w:placeholder>
          <w:docPart w:val="GBC22222222222222222222222222222"/>
        </w:placeholder>
      </w:sdtPr>
      <w:sdtEndPr>
        <w:rPr>
          <w:rFonts w:hint="default"/>
        </w:rPr>
      </w:sdtEndPr>
      <w:sdtContent>
        <w:p w14:paraId="1E2A1E3D" w14:textId="77777777" w:rsidR="00D21C1F" w:rsidRDefault="00A42880">
          <w:pPr>
            <w:pStyle w:val="4"/>
            <w:numPr>
              <w:ilvl w:val="0"/>
              <w:numId w:val="26"/>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31106daab34d41698243bfe90ff75054"/>
            <w:id w:val="-843473032"/>
            <w:lock w:val="sdtLocked"/>
            <w:placeholder>
              <w:docPart w:val="EF58270FA2494D1D8FEF6BA1D8354049"/>
            </w:placeholder>
          </w:sdtPr>
          <w:sdtEndPr/>
          <w:sdtContent>
            <w:p w14:paraId="50D6D7A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1B5B02" w14:textId="77777777" w:rsidR="00D21C1F" w:rsidRDefault="00045EC6">
          <w:pPr>
            <w:pStyle w:val="97"/>
          </w:pPr>
        </w:p>
      </w:sdtContent>
    </w:sdt>
    <w:sdt>
      <w:sdtPr>
        <w:rPr>
          <w:rFonts w:ascii="宋体" w:eastAsiaTheme="minorEastAsia" w:hAnsi="宋体" w:cs="宋体" w:hint="eastAsia"/>
          <w:b w:val="0"/>
          <w:bCs w:val="0"/>
          <w:kern w:val="0"/>
          <w:szCs w:val="24"/>
        </w:rPr>
        <w:alias w:val="模块:报告期内披露环境信息内容的后续进展或变化情况的说明"/>
        <w:tag w:val="_SEC_3c63bb32177f4f368bb662e3b696830a"/>
        <w:id w:val="-1965958939"/>
        <w:lock w:val="sdtLocked"/>
        <w:placeholder>
          <w:docPart w:val="GBC22222222222222222222222222222"/>
        </w:placeholder>
      </w:sdtPr>
      <w:sdtEndPr/>
      <w:sdtContent>
        <w:p w14:paraId="7D7F50E9" w14:textId="77777777" w:rsidR="00D21C1F" w:rsidRDefault="00A42880">
          <w:pPr>
            <w:pStyle w:val="3"/>
            <w:numPr>
              <w:ilvl w:val="0"/>
              <w:numId w:val="25"/>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633148696"/>
            <w:lock w:val="sdtLocked"/>
            <w:placeholder>
              <w:docPart w:val="GBC22222222222222222222222222222"/>
            </w:placeholder>
          </w:sdtPr>
          <w:sdtEndPr/>
          <w:sdtContent>
            <w:p w14:paraId="184FFE2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FD5A2E3" w14:textId="77777777" w:rsidR="00D21C1F" w:rsidRDefault="00045EC6">
          <w:pPr>
            <w:pStyle w:val="97"/>
          </w:pPr>
        </w:p>
      </w:sdtContent>
    </w:sdt>
    <w:bookmarkStart w:id="83" w:name="_Hlk74817855" w:displacedByCustomXml="next"/>
    <w:sdt>
      <w:sdtPr>
        <w:rPr>
          <w:rFonts w:ascii="宋体" w:eastAsiaTheme="minorEastAsia" w:hAnsi="宋体" w:cs="宋体" w:hint="eastAsia"/>
          <w:b w:val="0"/>
          <w:bCs w:val="0"/>
          <w:kern w:val="0"/>
          <w:szCs w:val="24"/>
        </w:rPr>
        <w:alias w:val="模块: 有利于保护生态、防治污染、履行环境责任的相关信息"/>
        <w:tag w:val="_SEC_5b95e1a5813e4d0e872e00845b188799"/>
        <w:id w:val="260658790"/>
        <w:lock w:val="sdtLocked"/>
        <w:placeholder>
          <w:docPart w:val="GBC22222222222222222222222222222"/>
        </w:placeholder>
      </w:sdtPr>
      <w:sdtEndPr/>
      <w:sdtContent>
        <w:p w14:paraId="51D6C950" w14:textId="77777777" w:rsidR="00D21C1F" w:rsidRDefault="00A42880">
          <w:pPr>
            <w:pStyle w:val="3"/>
            <w:numPr>
              <w:ilvl w:val="0"/>
              <w:numId w:val="25"/>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99a24efb78da44d7a2f4200f8862dd8c"/>
            <w:id w:val="640387154"/>
            <w:lock w:val="sdtLocked"/>
            <w:placeholder>
              <w:docPart w:val="GBC22222222222222222222222222222"/>
            </w:placeholder>
          </w:sdtPr>
          <w:sdtEndPr/>
          <w:sdtContent>
            <w:p w14:paraId="37F5DCA7"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1EBD4B" w14:textId="77777777" w:rsidR="00D21C1F" w:rsidRDefault="00045EC6">
          <w:pPr>
            <w:pStyle w:val="97"/>
          </w:pPr>
        </w:p>
      </w:sdtContent>
    </w:sdt>
    <w:bookmarkEnd w:id="83" w:displacedByCustomXml="next"/>
    <w:bookmarkStart w:id="84" w:name="_Hlk74817891" w:displacedByCustomXml="next"/>
    <w:sdt>
      <w:sdtPr>
        <w:rPr>
          <w:rFonts w:ascii="宋体" w:eastAsiaTheme="minorEastAsia" w:hAnsi="宋体" w:cs="宋体" w:hint="eastAsia"/>
          <w:b w:val="0"/>
          <w:bCs w:val="0"/>
          <w:kern w:val="0"/>
          <w:szCs w:val="24"/>
        </w:rPr>
        <w:alias w:val="模块:在报告期内为减少其碳排放所采取的措施及效果"/>
        <w:tag w:val="_SEC_4936fba95425454c9ef9c630f8e0cad5"/>
        <w:id w:val="-430432265"/>
        <w:lock w:val="sdtLocked"/>
        <w:placeholder>
          <w:docPart w:val="GBC22222222222222222222222222222"/>
        </w:placeholder>
      </w:sdtPr>
      <w:sdtEndPr/>
      <w:sdtContent>
        <w:p w14:paraId="2C50E327" w14:textId="77777777" w:rsidR="00D21C1F" w:rsidRDefault="00A42880">
          <w:pPr>
            <w:pStyle w:val="3"/>
            <w:numPr>
              <w:ilvl w:val="0"/>
              <w:numId w:val="25"/>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28dc363b63c54f1fb9b62d6df4c4b960"/>
            <w:id w:val="-696160938"/>
            <w:lock w:val="sdtLocked"/>
            <w:placeholder>
              <w:docPart w:val="GBC22222222222222222222222222222"/>
            </w:placeholder>
          </w:sdtPr>
          <w:sdtEndPr/>
          <w:sdtContent>
            <w:p w14:paraId="3627213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3210DA" w14:textId="77777777" w:rsidR="00D21C1F" w:rsidRDefault="00045EC6">
          <w:pPr>
            <w:pStyle w:val="97"/>
          </w:pPr>
        </w:p>
      </w:sdtContent>
    </w:sdt>
    <w:bookmarkEnd w:id="84" w:displacedByCustomXml="next"/>
    <w:bookmarkStart w:id="85" w:name="_Hlk74817935" w:displacedByCustomXml="next"/>
    <w:sdt>
      <w:sdtPr>
        <w:rPr>
          <w:rFonts w:eastAsiaTheme="minorEastAsia" w:hint="eastAsia"/>
          <w:b w:val="0"/>
          <w:bCs w:val="0"/>
        </w:rPr>
        <w:alias w:val="模块:巩固拓展脱贫攻坚成果、乡村振兴工作具体情况"/>
        <w:tag w:val="_SEC_c8d976478eb44a01af40344be530a193"/>
        <w:id w:val="-1106961657"/>
        <w:lock w:val="sdtLocked"/>
        <w:placeholder>
          <w:docPart w:val="GBC22222222222222222222222222222"/>
        </w:placeholder>
      </w:sdtPr>
      <w:sdtEndPr/>
      <w:sdtContent>
        <w:p w14:paraId="19BD34D1" w14:textId="77777777" w:rsidR="00D21C1F" w:rsidRDefault="00A42880">
          <w:pPr>
            <w:pStyle w:val="2"/>
            <w:numPr>
              <w:ilvl w:val="0"/>
              <w:numId w:val="24"/>
            </w:numPr>
          </w:pPr>
          <w:r>
            <w:rPr>
              <w:rFonts w:hint="eastAsia"/>
            </w:rPr>
            <w:t>巩固拓展脱贫攻坚成果、乡村振兴等工作具体情况</w:t>
          </w:r>
        </w:p>
        <w:sdt>
          <w:sdtPr>
            <w:alias w:val="是否适用：巩固拓展脱贫攻坚成果、乡村振兴工作具体情况[双击切换]"/>
            <w:tag w:val="_GBC_e5c7d010e7f249f2950982e56838aae2"/>
            <w:id w:val="-1685044473"/>
            <w:lock w:val="sdtLocked"/>
            <w:placeholder>
              <w:docPart w:val="GBC22222222222222222222222222222"/>
            </w:placeholder>
          </w:sdtPr>
          <w:sdtEndPr/>
          <w:sdtContent>
            <w:p w14:paraId="0AA0038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B518F5" w14:textId="77777777" w:rsidR="00D21C1F" w:rsidRDefault="00045EC6">
          <w:pPr>
            <w:pStyle w:val="97"/>
            <w:sectPr w:rsidR="00D21C1F">
              <w:pgSz w:w="11906" w:h="16838"/>
              <w:pgMar w:top="1525" w:right="1276" w:bottom="1440" w:left="1797" w:header="851" w:footer="992" w:gutter="0"/>
              <w:cols w:space="425"/>
              <w:docGrid w:linePitch="312"/>
            </w:sectPr>
          </w:pPr>
        </w:p>
      </w:sdtContent>
    </w:sdt>
    <w:p w14:paraId="398B3596" w14:textId="77777777" w:rsidR="00D21C1F" w:rsidRDefault="00A42880">
      <w:pPr>
        <w:pStyle w:val="10"/>
        <w:numPr>
          <w:ilvl w:val="0"/>
          <w:numId w:val="3"/>
        </w:numPr>
        <w:rPr>
          <w:rFonts w:ascii="黑体" w:hAnsi="黑体"/>
        </w:rPr>
      </w:pPr>
      <w:bookmarkStart w:id="86" w:name="_Toc79755145"/>
      <w:bookmarkEnd w:id="85"/>
      <w:r>
        <w:rPr>
          <w:rFonts w:ascii="黑体" w:hAnsi="黑体" w:hint="eastAsia"/>
        </w:rPr>
        <w:lastRenderedPageBreak/>
        <w:t>重要事项</w:t>
      </w:r>
      <w:bookmarkEnd w:id="86"/>
    </w:p>
    <w:p w14:paraId="2C939961" w14:textId="77777777" w:rsidR="00D21C1F" w:rsidRDefault="00A42880">
      <w:pPr>
        <w:pStyle w:val="2"/>
        <w:numPr>
          <w:ilvl w:val="0"/>
          <w:numId w:val="27"/>
        </w:numPr>
      </w:pPr>
      <w:r>
        <w:rPr>
          <w:rFonts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1048103"/>
        <w:lock w:val="sdtLocked"/>
        <w:placeholder>
          <w:docPart w:val="GBC22222222222222222222222222222"/>
        </w:placeholder>
      </w:sdtPr>
      <w:sdtEndPr>
        <w:rPr>
          <w:rFonts w:hint="default"/>
        </w:rPr>
      </w:sdtEndPr>
      <w:sdtContent>
        <w:p w14:paraId="356FE891" w14:textId="77777777" w:rsidR="00D21C1F" w:rsidRDefault="00A42880">
          <w:pPr>
            <w:pStyle w:val="3"/>
            <w:numPr>
              <w:ilvl w:val="1"/>
              <w:numId w:val="28"/>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rPr>
              <w:rFonts w:ascii="Times New Roman" w:hAnsi="Times New Roman" w:cs="Times New Roman"/>
            </w:rPr>
            <w:alias w:val="是否适用：公司实际控制人、股东、关联方、收购人以及公司等承诺相关方在报告期内或持续到报告期内的承诺事项 [双击切换]"/>
            <w:tag w:val="_GBC_1f306de554d7473c98965061dbefd050"/>
            <w:id w:val="1712225870"/>
            <w:lock w:val="sdtLocked"/>
            <w:placeholder>
              <w:docPart w:val="GBC22222222222222222222222222222"/>
            </w:placeholder>
          </w:sdtPr>
          <w:sdtEndPr/>
          <w:sdtContent>
            <w:p w14:paraId="2139E3B6" w14:textId="77777777" w:rsidR="00D21C1F" w:rsidRDefault="00A42880">
              <w:pPr>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适用</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MACROBUTTON  SnrToggleCheckbox □</w:instrText>
              </w:r>
              <w:r>
                <w:rPr>
                  <w:rFonts w:ascii="Times New Roman" w:hAnsi="Times New Roman" w:cs="Times New Roman"/>
                </w:rPr>
                <w:instrText>不适用</w:instrText>
              </w:r>
              <w:r>
                <w:rPr>
                  <w:rFonts w:ascii="Times New Roman" w:hAnsi="Times New Roman" w:cs="Times New Roman"/>
                </w:rPr>
                <w:instrText xml:space="preserve"> </w:instrText>
              </w:r>
              <w:r>
                <w:rPr>
                  <w:rFonts w:ascii="Times New Roman" w:hAnsi="Times New Roman" w:cs="Times New Roman"/>
                </w:rPr>
                <w:fldChar w:fldCharType="end"/>
              </w:r>
            </w:p>
          </w:sdtContent>
        </w:sdt>
        <w:tbl>
          <w:tblPr>
            <w:tblStyle w:val="88"/>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532"/>
            <w:gridCol w:w="2931"/>
            <w:gridCol w:w="697"/>
            <w:gridCol w:w="2231"/>
            <w:gridCol w:w="1116"/>
            <w:gridCol w:w="1102"/>
            <w:gridCol w:w="1699"/>
            <w:gridCol w:w="1329"/>
          </w:tblGrid>
          <w:tr w:rsidR="00D21C1F" w14:paraId="279506BA" w14:textId="77777777">
            <w:sdt>
              <w:sdtPr>
                <w:rPr>
                  <w:rFonts w:ascii="Times New Roman" w:hAnsi="Times New Roman" w:cs="Times New Roman"/>
                </w:rPr>
                <w:tag w:val="_PLD_7cf4be735507474ea2ffb334536196ae"/>
                <w:id w:val="-668488341"/>
                <w:lock w:val="sdtLocked"/>
              </w:sdtPr>
              <w:sdtEndPr/>
              <w:sdtContent>
                <w:tc>
                  <w:tcPr>
                    <w:tcW w:w="447" w:type="pct"/>
                    <w:shd w:val="clear" w:color="auto" w:fill="auto"/>
                    <w:vAlign w:val="center"/>
                  </w:tcPr>
                  <w:p w14:paraId="44E17936" w14:textId="77777777" w:rsidR="00D21C1F" w:rsidRDefault="00A42880">
                    <w:pPr>
                      <w:jc w:val="center"/>
                      <w:rPr>
                        <w:rFonts w:ascii="Times New Roman" w:hAnsi="Times New Roman" w:cs="Times New Roman"/>
                        <w:szCs w:val="21"/>
                      </w:rPr>
                    </w:pPr>
                    <w:r>
                      <w:rPr>
                        <w:rFonts w:ascii="Times New Roman" w:hAnsi="Times New Roman" w:cs="Times New Roman"/>
                        <w:szCs w:val="21"/>
                      </w:rPr>
                      <w:t>承诺背景</w:t>
                    </w:r>
                  </w:p>
                </w:tc>
              </w:sdtContent>
            </w:sdt>
            <w:sdt>
              <w:sdtPr>
                <w:rPr>
                  <w:rFonts w:ascii="Times New Roman" w:hAnsi="Times New Roman" w:cs="Times New Roman"/>
                </w:rPr>
                <w:tag w:val="_PLD_77809d9b500842ee846f5b9234afaf2c"/>
                <w:id w:val="949744121"/>
                <w:lock w:val="sdtLocked"/>
              </w:sdtPr>
              <w:sdtEndPr/>
              <w:sdtContent>
                <w:tc>
                  <w:tcPr>
                    <w:tcW w:w="552" w:type="pct"/>
                    <w:shd w:val="clear" w:color="auto" w:fill="auto"/>
                    <w:vAlign w:val="center"/>
                  </w:tcPr>
                  <w:p w14:paraId="18F3DA05" w14:textId="77777777" w:rsidR="00D21C1F" w:rsidRDefault="00A42880">
                    <w:pPr>
                      <w:jc w:val="center"/>
                      <w:rPr>
                        <w:rFonts w:ascii="Times New Roman" w:hAnsi="Times New Roman" w:cs="Times New Roman"/>
                        <w:szCs w:val="21"/>
                      </w:rPr>
                    </w:pPr>
                    <w:r>
                      <w:rPr>
                        <w:rFonts w:ascii="Times New Roman" w:hAnsi="Times New Roman" w:cs="Times New Roman"/>
                        <w:szCs w:val="21"/>
                      </w:rPr>
                      <w:t>承诺类型</w:t>
                    </w:r>
                  </w:p>
                </w:tc>
              </w:sdtContent>
            </w:sdt>
            <w:sdt>
              <w:sdtPr>
                <w:rPr>
                  <w:rFonts w:ascii="Times New Roman" w:hAnsi="Times New Roman" w:cs="Times New Roman"/>
                </w:rPr>
                <w:tag w:val="_PLD_d21f336f76d6499095ebb0491402a947"/>
                <w:id w:val="1223252827"/>
                <w:lock w:val="sdtLocked"/>
              </w:sdtPr>
              <w:sdtEndPr/>
              <w:sdtContent>
                <w:tc>
                  <w:tcPr>
                    <w:tcW w:w="1056" w:type="pct"/>
                    <w:shd w:val="clear" w:color="auto" w:fill="auto"/>
                    <w:vAlign w:val="center"/>
                  </w:tcPr>
                  <w:p w14:paraId="5DFFBDA4" w14:textId="77777777" w:rsidR="00D21C1F" w:rsidRDefault="00A42880">
                    <w:pPr>
                      <w:jc w:val="center"/>
                      <w:rPr>
                        <w:rFonts w:ascii="Times New Roman" w:hAnsi="Times New Roman" w:cs="Times New Roman"/>
                        <w:szCs w:val="21"/>
                      </w:rPr>
                    </w:pPr>
                    <w:r>
                      <w:rPr>
                        <w:rFonts w:ascii="Times New Roman" w:hAnsi="Times New Roman" w:cs="Times New Roman"/>
                        <w:szCs w:val="21"/>
                      </w:rPr>
                      <w:t>承诺方</w:t>
                    </w:r>
                  </w:p>
                </w:tc>
              </w:sdtContent>
            </w:sdt>
            <w:sdt>
              <w:sdtPr>
                <w:rPr>
                  <w:rFonts w:ascii="Times New Roman" w:hAnsi="Times New Roman" w:cs="Times New Roman"/>
                </w:rPr>
                <w:tag w:val="_PLD_edc023441e514f09b2c6745eaeed4f1d"/>
                <w:id w:val="401262078"/>
                <w:lock w:val="sdtLocked"/>
              </w:sdtPr>
              <w:sdtEndPr/>
              <w:sdtContent>
                <w:tc>
                  <w:tcPr>
                    <w:tcW w:w="251" w:type="pct"/>
                    <w:shd w:val="clear" w:color="auto" w:fill="auto"/>
                    <w:vAlign w:val="center"/>
                  </w:tcPr>
                  <w:p w14:paraId="371B35E3" w14:textId="77777777" w:rsidR="00D21C1F" w:rsidRDefault="00A42880">
                    <w:pPr>
                      <w:jc w:val="center"/>
                      <w:rPr>
                        <w:rFonts w:ascii="Times New Roman" w:hAnsi="Times New Roman" w:cs="Times New Roman"/>
                        <w:szCs w:val="21"/>
                      </w:rPr>
                    </w:pPr>
                    <w:r>
                      <w:rPr>
                        <w:rFonts w:ascii="Times New Roman" w:hAnsi="Times New Roman" w:cs="Times New Roman"/>
                        <w:szCs w:val="21"/>
                      </w:rPr>
                      <w:t>承诺</w:t>
                    </w:r>
                  </w:p>
                  <w:p w14:paraId="29EF223A" w14:textId="77777777" w:rsidR="00D21C1F" w:rsidRDefault="00A42880">
                    <w:pPr>
                      <w:jc w:val="center"/>
                      <w:rPr>
                        <w:rFonts w:ascii="Times New Roman" w:hAnsi="Times New Roman" w:cs="Times New Roman"/>
                        <w:szCs w:val="21"/>
                      </w:rPr>
                    </w:pPr>
                    <w:r>
                      <w:rPr>
                        <w:rFonts w:ascii="Times New Roman" w:hAnsi="Times New Roman" w:cs="Times New Roman"/>
                        <w:szCs w:val="21"/>
                      </w:rPr>
                      <w:t>内容</w:t>
                    </w:r>
                  </w:p>
                </w:tc>
              </w:sdtContent>
            </w:sdt>
            <w:sdt>
              <w:sdtPr>
                <w:rPr>
                  <w:rFonts w:ascii="Times New Roman" w:hAnsi="Times New Roman" w:cs="Times New Roman"/>
                </w:rPr>
                <w:tag w:val="_PLD_d398e2f412b141208b0742084901cc8c"/>
                <w:id w:val="6108363"/>
                <w:lock w:val="sdtLocked"/>
              </w:sdtPr>
              <w:sdtEndPr/>
              <w:sdtContent>
                <w:tc>
                  <w:tcPr>
                    <w:tcW w:w="804" w:type="pct"/>
                    <w:shd w:val="clear" w:color="auto" w:fill="auto"/>
                    <w:vAlign w:val="center"/>
                  </w:tcPr>
                  <w:p w14:paraId="5600DFF7" w14:textId="77777777" w:rsidR="00D21C1F" w:rsidRDefault="00A42880">
                    <w:pPr>
                      <w:jc w:val="center"/>
                      <w:rPr>
                        <w:rFonts w:ascii="Times New Roman" w:hAnsi="Times New Roman" w:cs="Times New Roman"/>
                        <w:szCs w:val="21"/>
                      </w:rPr>
                    </w:pPr>
                    <w:r>
                      <w:rPr>
                        <w:rFonts w:ascii="Times New Roman" w:hAnsi="Times New Roman" w:cs="Times New Roman"/>
                        <w:szCs w:val="21"/>
                      </w:rPr>
                      <w:t>承诺时间及期限</w:t>
                    </w:r>
                  </w:p>
                </w:tc>
              </w:sdtContent>
            </w:sdt>
            <w:sdt>
              <w:sdtPr>
                <w:rPr>
                  <w:rFonts w:ascii="Times New Roman" w:hAnsi="Times New Roman" w:cs="Times New Roman"/>
                </w:rPr>
                <w:tag w:val="_PLD_1bb30cce0850445480f1557cc607067b"/>
                <w:id w:val="-1446852382"/>
                <w:lock w:val="sdtLocked"/>
              </w:sdtPr>
              <w:sdtEndPr/>
              <w:sdtContent>
                <w:tc>
                  <w:tcPr>
                    <w:tcW w:w="402" w:type="pct"/>
                    <w:shd w:val="clear" w:color="auto" w:fill="auto"/>
                    <w:vAlign w:val="center"/>
                  </w:tcPr>
                  <w:p w14:paraId="7A9CD8D9" w14:textId="77777777" w:rsidR="00D21C1F" w:rsidRDefault="00A42880">
                    <w:pPr>
                      <w:jc w:val="center"/>
                      <w:rPr>
                        <w:rFonts w:ascii="Times New Roman" w:hAnsi="Times New Roman" w:cs="Times New Roman"/>
                        <w:szCs w:val="21"/>
                      </w:rPr>
                    </w:pPr>
                    <w:r>
                      <w:rPr>
                        <w:rFonts w:ascii="Times New Roman" w:hAnsi="Times New Roman" w:cs="Times New Roman"/>
                        <w:szCs w:val="21"/>
                      </w:rPr>
                      <w:t>是否有履行期限</w:t>
                    </w:r>
                  </w:p>
                </w:tc>
              </w:sdtContent>
            </w:sdt>
            <w:sdt>
              <w:sdtPr>
                <w:rPr>
                  <w:rFonts w:ascii="Times New Roman" w:hAnsi="Times New Roman" w:cs="Times New Roman"/>
                </w:rPr>
                <w:tag w:val="_PLD_163d41dca4704f5ea4aae2d6d04db88e"/>
                <w:id w:val="10969903"/>
                <w:lock w:val="sdtLocked"/>
              </w:sdtPr>
              <w:sdtEndPr/>
              <w:sdtContent>
                <w:tc>
                  <w:tcPr>
                    <w:tcW w:w="397" w:type="pct"/>
                    <w:shd w:val="clear" w:color="auto" w:fill="auto"/>
                    <w:vAlign w:val="center"/>
                  </w:tcPr>
                  <w:p w14:paraId="6E380007" w14:textId="77777777" w:rsidR="00D21C1F" w:rsidRDefault="00A42880">
                    <w:pPr>
                      <w:jc w:val="center"/>
                      <w:rPr>
                        <w:rFonts w:ascii="Times New Roman" w:hAnsi="Times New Roman" w:cs="Times New Roman"/>
                        <w:szCs w:val="21"/>
                      </w:rPr>
                    </w:pPr>
                    <w:r>
                      <w:rPr>
                        <w:rFonts w:ascii="Times New Roman" w:hAnsi="Times New Roman" w:cs="Times New Roman"/>
                        <w:szCs w:val="21"/>
                      </w:rPr>
                      <w:t>是否及时严格履行</w:t>
                    </w:r>
                  </w:p>
                </w:tc>
              </w:sdtContent>
            </w:sdt>
            <w:sdt>
              <w:sdtPr>
                <w:rPr>
                  <w:rFonts w:ascii="Times New Roman" w:hAnsi="Times New Roman" w:cs="Times New Roman"/>
                </w:rPr>
                <w:tag w:val="_PLD_f0ee8c5125074149961859e986fb6c43"/>
                <w:id w:val="1509787859"/>
                <w:lock w:val="sdtLocked"/>
              </w:sdtPr>
              <w:sdtEndPr/>
              <w:sdtContent>
                <w:tc>
                  <w:tcPr>
                    <w:tcW w:w="612" w:type="pct"/>
                    <w:shd w:val="clear" w:color="auto" w:fill="auto"/>
                    <w:vAlign w:val="center"/>
                  </w:tcPr>
                  <w:p w14:paraId="75660ED7" w14:textId="77777777" w:rsidR="00D21C1F" w:rsidRDefault="00A42880">
                    <w:pPr>
                      <w:jc w:val="center"/>
                      <w:rPr>
                        <w:rFonts w:ascii="Times New Roman" w:hAnsi="Times New Roman" w:cs="Times New Roman"/>
                        <w:szCs w:val="21"/>
                      </w:rPr>
                    </w:pPr>
                    <w:r>
                      <w:rPr>
                        <w:rFonts w:ascii="Times New Roman" w:hAnsi="Times New Roman" w:cs="Times New Roman"/>
                        <w:szCs w:val="21"/>
                      </w:rPr>
                      <w:t>如未能及时履行应说明未完成履行的具体原因</w:t>
                    </w:r>
                  </w:p>
                </w:tc>
              </w:sdtContent>
            </w:sdt>
            <w:sdt>
              <w:sdtPr>
                <w:rPr>
                  <w:rFonts w:ascii="Times New Roman" w:hAnsi="Times New Roman" w:cs="Times New Roman"/>
                </w:rPr>
                <w:tag w:val="_PLD_a7e59e23ed90488abff575e2b4f10711"/>
                <w:id w:val="-606349611"/>
                <w:lock w:val="sdtLocked"/>
              </w:sdtPr>
              <w:sdtEndPr/>
              <w:sdtContent>
                <w:tc>
                  <w:tcPr>
                    <w:tcW w:w="479" w:type="pct"/>
                    <w:shd w:val="clear" w:color="auto" w:fill="auto"/>
                    <w:vAlign w:val="center"/>
                  </w:tcPr>
                  <w:p w14:paraId="67544983" w14:textId="77777777" w:rsidR="00D21C1F" w:rsidRDefault="00A42880">
                    <w:pPr>
                      <w:jc w:val="center"/>
                      <w:rPr>
                        <w:rFonts w:ascii="Times New Roman" w:hAnsi="Times New Roman" w:cs="Times New Roman"/>
                        <w:szCs w:val="21"/>
                      </w:rPr>
                    </w:pPr>
                    <w:r>
                      <w:rPr>
                        <w:rFonts w:ascii="Times New Roman" w:hAnsi="Times New Roman" w:cs="Times New Roman"/>
                        <w:szCs w:val="21"/>
                      </w:rPr>
                      <w:t>如未能及时履行应说明下一步计划</w:t>
                    </w:r>
                  </w:p>
                </w:tc>
              </w:sdtContent>
            </w:sdt>
          </w:tr>
          <w:tr w:rsidR="00D21C1F" w14:paraId="48521679" w14:textId="77777777">
            <w:tc>
              <w:tcPr>
                <w:tcW w:w="447" w:type="pct"/>
                <w:vMerge w:val="restart"/>
                <w:shd w:val="clear" w:color="auto" w:fill="auto"/>
                <w:vAlign w:val="center"/>
              </w:tcPr>
              <w:p w14:paraId="1B2FC2C6" w14:textId="77777777" w:rsidR="00D21C1F" w:rsidRDefault="00A42880">
                <w:pPr>
                  <w:jc w:val="center"/>
                  <w:rPr>
                    <w:rFonts w:ascii="Times New Roman" w:hAnsi="Times New Roman" w:cs="Times New Roman"/>
                    <w:szCs w:val="21"/>
                  </w:rPr>
                </w:pPr>
                <w:r>
                  <w:rPr>
                    <w:rFonts w:ascii="Times New Roman" w:hAnsi="Times New Roman" w:cs="Times New Roman"/>
                    <w:szCs w:val="21"/>
                  </w:rPr>
                  <w:t>与首次公开发行相关的承诺</w:t>
                </w:r>
              </w:p>
            </w:tc>
            <w:sdt>
              <w:sdtPr>
                <w:rPr>
                  <w:rFonts w:ascii="Times New Roman" w:hAnsi="Times New Roman" w:cs="Times New Roman"/>
                  <w:szCs w:val="21"/>
                </w:rPr>
                <w:alias w:val="与首次公开发行相关的承诺-承诺类型"/>
                <w:tag w:val="_GBC_f0b3976fba3f46e4affc4364f69d8f5a"/>
                <w:id w:val="4936228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124FD80F" w14:textId="77777777" w:rsidR="00D21C1F" w:rsidRDefault="00A42880">
                    <w:pPr>
                      <w:jc w:val="center"/>
                      <w:rPr>
                        <w:rFonts w:ascii="Times New Roman" w:hAnsi="Times New Roman" w:cs="Times New Roman"/>
                        <w:color w:val="FFC000"/>
                        <w:szCs w:val="21"/>
                      </w:rPr>
                    </w:pPr>
                    <w:r>
                      <w:rPr>
                        <w:rFonts w:ascii="Times New Roman" w:hAnsi="Times New Roman" w:cs="Times New Roman"/>
                        <w:szCs w:val="21"/>
                      </w:rPr>
                      <w:t>股份限售</w:t>
                    </w:r>
                  </w:p>
                </w:tc>
              </w:sdtContent>
            </w:sdt>
            <w:tc>
              <w:tcPr>
                <w:tcW w:w="1056" w:type="pct"/>
                <w:shd w:val="clear" w:color="auto" w:fill="auto"/>
                <w:vAlign w:val="center"/>
              </w:tcPr>
              <w:p w14:paraId="1C207EC9"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公司控股股东芜湖远宏及一致行动人远大创投、睿博投资</w:t>
                </w:r>
              </w:p>
            </w:tc>
            <w:tc>
              <w:tcPr>
                <w:tcW w:w="251" w:type="pct"/>
                <w:shd w:val="clear" w:color="auto" w:fill="auto"/>
                <w:vAlign w:val="center"/>
              </w:tcPr>
              <w:p w14:paraId="25AC9580"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w:t>
                </w:r>
              </w:p>
            </w:tc>
            <w:tc>
              <w:tcPr>
                <w:tcW w:w="804" w:type="pct"/>
                <w:shd w:val="clear" w:color="auto" w:fill="auto"/>
                <w:vAlign w:val="center"/>
              </w:tcPr>
              <w:p w14:paraId="68F016FB" w14:textId="77777777" w:rsidR="00D21C1F" w:rsidRDefault="00A42880">
                <w:pPr>
                  <w:jc w:val="center"/>
                  <w:rPr>
                    <w:rFonts w:ascii="Times New Roman" w:hAnsi="Times New Roman" w:cs="Times New Roman"/>
                    <w:szCs w:val="21"/>
                  </w:rPr>
                </w:pPr>
                <w:r>
                  <w:rPr>
                    <w:rFonts w:ascii="Times New Roman" w:hAnsi="Times New Roman" w:cs="Times New Roman"/>
                    <w:szCs w:val="21"/>
                  </w:rPr>
                  <w:t>上市后</w:t>
                </w:r>
                <w:r>
                  <w:rPr>
                    <w:rFonts w:ascii="Times New Roman" w:hAnsi="Times New Roman" w:cs="Times New Roman"/>
                    <w:szCs w:val="21"/>
                  </w:rPr>
                  <w:t>3</w:t>
                </w:r>
                <w:r>
                  <w:rPr>
                    <w:rFonts w:ascii="Times New Roman" w:hAnsi="Times New Roman" w:cs="Times New Roman"/>
                    <w:szCs w:val="21"/>
                  </w:rPr>
                  <w:t>个完整会计年度</w:t>
                </w:r>
              </w:p>
            </w:tc>
            <w:sdt>
              <w:sdtPr>
                <w:rPr>
                  <w:rFonts w:ascii="Times New Roman" w:hAnsi="Times New Roman" w:cs="Times New Roman"/>
                  <w:szCs w:val="21"/>
                </w:rPr>
                <w:alias w:val="与首次公开发行相关的承诺-是否有履行期限"/>
                <w:tag w:val="_GBC_1a64033131a64daa8e3bdd128e9385c8"/>
                <w:id w:val="-1738387233"/>
                <w:lock w:val="sdtLocked"/>
                <w:comboBox>
                  <w:listItem w:displayText="是" w:value="true"/>
                  <w:listItem w:displayText="否" w:value="false"/>
                </w:comboBox>
              </w:sdtPr>
              <w:sdtEndPr/>
              <w:sdtContent>
                <w:tc>
                  <w:tcPr>
                    <w:tcW w:w="402" w:type="pct"/>
                    <w:shd w:val="clear" w:color="auto" w:fill="auto"/>
                    <w:vAlign w:val="center"/>
                  </w:tcPr>
                  <w:p w14:paraId="5DAE7FF6" w14:textId="77777777" w:rsidR="00D21C1F" w:rsidRDefault="00A42880">
                    <w:pPr>
                      <w:jc w:val="center"/>
                      <w:rPr>
                        <w:rFonts w:ascii="Times New Roman" w:hAnsi="Times New Roman" w:cs="Times New Roman"/>
                        <w:color w:val="FFC000"/>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925419868"/>
                <w:lock w:val="sdtLocked"/>
                <w:comboBox>
                  <w:listItem w:displayText="是" w:value="true"/>
                  <w:listItem w:displayText="否" w:value="false"/>
                </w:comboBox>
              </w:sdtPr>
              <w:sdtEndPr/>
              <w:sdtContent>
                <w:tc>
                  <w:tcPr>
                    <w:tcW w:w="397" w:type="pct"/>
                    <w:shd w:val="clear" w:color="auto" w:fill="auto"/>
                    <w:vAlign w:val="center"/>
                  </w:tcPr>
                  <w:p w14:paraId="0A6FE5F9" w14:textId="77777777" w:rsidR="00D21C1F" w:rsidRDefault="00A42880">
                    <w:pPr>
                      <w:jc w:val="center"/>
                      <w:rPr>
                        <w:rFonts w:ascii="Times New Roman" w:hAnsi="Times New Roman" w:cs="Times New Roman"/>
                        <w:color w:val="FFC000"/>
                        <w:szCs w:val="21"/>
                      </w:rPr>
                    </w:pPr>
                    <w:r>
                      <w:rPr>
                        <w:rFonts w:ascii="Times New Roman" w:hAnsi="Times New Roman" w:cs="Times New Roman"/>
                        <w:szCs w:val="21"/>
                      </w:rPr>
                      <w:t>是</w:t>
                    </w:r>
                  </w:p>
                </w:tc>
              </w:sdtContent>
            </w:sdt>
            <w:tc>
              <w:tcPr>
                <w:tcW w:w="612" w:type="pct"/>
                <w:shd w:val="clear" w:color="auto" w:fill="auto"/>
                <w:vAlign w:val="center"/>
              </w:tcPr>
              <w:p w14:paraId="01D640A0"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c>
              <w:tcPr>
                <w:tcW w:w="479" w:type="pct"/>
                <w:shd w:val="clear" w:color="auto" w:fill="auto"/>
                <w:vAlign w:val="center"/>
              </w:tcPr>
              <w:p w14:paraId="1379F253"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r>
          <w:tr w:rsidR="00D21C1F" w14:paraId="2A13F18D" w14:textId="77777777">
            <w:tc>
              <w:tcPr>
                <w:tcW w:w="447" w:type="pct"/>
                <w:vMerge/>
                <w:shd w:val="clear" w:color="auto" w:fill="auto"/>
                <w:vAlign w:val="center"/>
              </w:tcPr>
              <w:p w14:paraId="1034F2E8"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20271707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5A5764AE" w14:textId="77777777" w:rsidR="00D21C1F" w:rsidRDefault="00A42880">
                    <w:pPr>
                      <w:jc w:val="center"/>
                      <w:rPr>
                        <w:rFonts w:ascii="Times New Roman" w:hAnsi="Times New Roman" w:cs="Times New Roman"/>
                        <w:color w:val="FFC000"/>
                        <w:szCs w:val="21"/>
                      </w:rPr>
                    </w:pPr>
                    <w:r>
                      <w:rPr>
                        <w:rFonts w:ascii="Times New Roman" w:hAnsi="Times New Roman" w:cs="Times New Roman"/>
                        <w:szCs w:val="21"/>
                      </w:rPr>
                      <w:t>股份限售</w:t>
                    </w:r>
                  </w:p>
                </w:tc>
              </w:sdtContent>
            </w:sdt>
            <w:tc>
              <w:tcPr>
                <w:tcW w:w="1056" w:type="pct"/>
                <w:shd w:val="clear" w:color="auto" w:fill="auto"/>
                <w:vAlign w:val="center"/>
              </w:tcPr>
              <w:p w14:paraId="65BE3C1A" w14:textId="77777777" w:rsidR="00D21C1F" w:rsidRDefault="00A42880">
                <w:pPr>
                  <w:jc w:val="center"/>
                  <w:rPr>
                    <w:rFonts w:ascii="Times New Roman" w:hAnsi="Times New Roman" w:cs="Times New Roman"/>
                    <w:szCs w:val="21"/>
                  </w:rPr>
                </w:pPr>
                <w:r>
                  <w:rPr>
                    <w:rFonts w:ascii="Times New Roman" w:hAnsi="Times New Roman" w:cs="Times New Roman"/>
                    <w:szCs w:val="21"/>
                  </w:rPr>
                  <w:t>间接控股股东芜湖建投</w:t>
                </w:r>
              </w:p>
            </w:tc>
            <w:tc>
              <w:tcPr>
                <w:tcW w:w="251" w:type="pct"/>
                <w:shd w:val="clear" w:color="auto" w:fill="auto"/>
                <w:vAlign w:val="center"/>
              </w:tcPr>
              <w:p w14:paraId="4E14A9EE"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2</w:t>
                </w:r>
              </w:p>
            </w:tc>
            <w:tc>
              <w:tcPr>
                <w:tcW w:w="804" w:type="pct"/>
                <w:shd w:val="clear" w:color="auto" w:fill="auto"/>
                <w:vAlign w:val="center"/>
              </w:tcPr>
              <w:p w14:paraId="09C7EC4D" w14:textId="77777777" w:rsidR="00D21C1F" w:rsidRDefault="00A42880">
                <w:pPr>
                  <w:jc w:val="center"/>
                  <w:rPr>
                    <w:rFonts w:ascii="Times New Roman" w:hAnsi="Times New Roman" w:cs="Times New Roman"/>
                    <w:szCs w:val="21"/>
                  </w:rPr>
                </w:pPr>
                <w:r>
                  <w:rPr>
                    <w:rFonts w:ascii="Times New Roman" w:hAnsi="Times New Roman" w:cs="Times New Roman"/>
                    <w:szCs w:val="21"/>
                  </w:rPr>
                  <w:t>上市后</w:t>
                </w:r>
                <w:r>
                  <w:rPr>
                    <w:rFonts w:ascii="Times New Roman" w:hAnsi="Times New Roman" w:cs="Times New Roman"/>
                    <w:szCs w:val="21"/>
                  </w:rPr>
                  <w:t>3</w:t>
                </w:r>
                <w:r>
                  <w:rPr>
                    <w:rFonts w:ascii="Times New Roman" w:hAnsi="Times New Roman" w:cs="Times New Roman"/>
                    <w:szCs w:val="21"/>
                  </w:rPr>
                  <w:t>个完整会计年度</w:t>
                </w:r>
              </w:p>
            </w:tc>
            <w:sdt>
              <w:sdtPr>
                <w:rPr>
                  <w:rFonts w:ascii="Times New Roman" w:hAnsi="Times New Roman" w:cs="Times New Roman"/>
                  <w:szCs w:val="21"/>
                </w:rPr>
                <w:alias w:val="与首次公开发行相关的承诺-是否有履行期限"/>
                <w:tag w:val="_GBC_1a64033131a64daa8e3bdd128e9385c8"/>
                <w:id w:val="-934280625"/>
                <w:lock w:val="sdtLocked"/>
                <w:comboBox>
                  <w:listItem w:displayText="是" w:value="true"/>
                  <w:listItem w:displayText="否" w:value="false"/>
                </w:comboBox>
              </w:sdtPr>
              <w:sdtEndPr/>
              <w:sdtContent>
                <w:tc>
                  <w:tcPr>
                    <w:tcW w:w="402" w:type="pct"/>
                    <w:shd w:val="clear" w:color="auto" w:fill="auto"/>
                    <w:vAlign w:val="center"/>
                  </w:tcPr>
                  <w:p w14:paraId="55C0FB78" w14:textId="77777777" w:rsidR="00D21C1F" w:rsidRDefault="00A42880">
                    <w:pPr>
                      <w:jc w:val="center"/>
                      <w:rPr>
                        <w:rFonts w:ascii="Times New Roman" w:hAnsi="Times New Roman" w:cs="Times New Roman"/>
                        <w:color w:val="FFC000"/>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868294408"/>
                <w:lock w:val="sdtLocked"/>
                <w:comboBox>
                  <w:listItem w:displayText="是" w:value="true"/>
                  <w:listItem w:displayText="否" w:value="false"/>
                </w:comboBox>
              </w:sdtPr>
              <w:sdtEndPr/>
              <w:sdtContent>
                <w:tc>
                  <w:tcPr>
                    <w:tcW w:w="397" w:type="pct"/>
                    <w:shd w:val="clear" w:color="auto" w:fill="auto"/>
                    <w:vAlign w:val="center"/>
                  </w:tcPr>
                  <w:p w14:paraId="677C1EF5" w14:textId="77777777" w:rsidR="00D21C1F" w:rsidRDefault="00A42880">
                    <w:pPr>
                      <w:jc w:val="center"/>
                      <w:rPr>
                        <w:rFonts w:ascii="Times New Roman" w:hAnsi="Times New Roman" w:cs="Times New Roman"/>
                        <w:color w:val="FFC000"/>
                        <w:szCs w:val="21"/>
                      </w:rPr>
                    </w:pPr>
                    <w:r>
                      <w:rPr>
                        <w:rFonts w:ascii="Times New Roman" w:hAnsi="Times New Roman" w:cs="Times New Roman"/>
                        <w:szCs w:val="21"/>
                      </w:rPr>
                      <w:t>是</w:t>
                    </w:r>
                  </w:p>
                </w:tc>
              </w:sdtContent>
            </w:sdt>
            <w:tc>
              <w:tcPr>
                <w:tcW w:w="612" w:type="pct"/>
                <w:shd w:val="clear" w:color="auto" w:fill="auto"/>
                <w:vAlign w:val="center"/>
              </w:tcPr>
              <w:p w14:paraId="1FBC7A38"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c>
              <w:tcPr>
                <w:tcW w:w="479" w:type="pct"/>
                <w:shd w:val="clear" w:color="auto" w:fill="auto"/>
                <w:vAlign w:val="center"/>
              </w:tcPr>
              <w:p w14:paraId="1CA96853"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r>
          <w:tr w:rsidR="00D21C1F" w14:paraId="2FB5C02C" w14:textId="77777777">
            <w:tc>
              <w:tcPr>
                <w:tcW w:w="447" w:type="pct"/>
                <w:vMerge/>
                <w:shd w:val="clear" w:color="auto" w:fill="auto"/>
                <w:vAlign w:val="center"/>
              </w:tcPr>
              <w:p w14:paraId="5A2666F1"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369386593"/>
                <w:lock w:val="sdtLocked"/>
                <w:placeholder>
                  <w:docPart w:val="1C3D15D0A65B441EBCEC00A9879688B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0E4818A6" w14:textId="77777777" w:rsidR="00D21C1F" w:rsidRDefault="00A42880">
                    <w:pPr>
                      <w:jc w:val="center"/>
                      <w:rPr>
                        <w:rFonts w:ascii="Times New Roman" w:hAnsi="Times New Roman" w:cs="Times New Roman"/>
                        <w:szCs w:val="21"/>
                      </w:rPr>
                    </w:pPr>
                    <w:r>
                      <w:rPr>
                        <w:rFonts w:ascii="Times New Roman" w:hAnsi="Times New Roman" w:cs="Times New Roman"/>
                        <w:szCs w:val="21"/>
                      </w:rPr>
                      <w:t>股份限售</w:t>
                    </w:r>
                  </w:p>
                </w:tc>
              </w:sdtContent>
            </w:sdt>
            <w:tc>
              <w:tcPr>
                <w:tcW w:w="1056" w:type="pct"/>
                <w:shd w:val="clear" w:color="auto" w:fill="auto"/>
                <w:vAlign w:val="center"/>
              </w:tcPr>
              <w:p w14:paraId="7EE65DC2"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公司股东信惟基石、</w:t>
                </w:r>
                <w:r>
                  <w:rPr>
                    <w:rFonts w:ascii="Times New Roman" w:hAnsi="Times New Roman" w:cs="Times New Roman"/>
                    <w:szCs w:val="21"/>
                  </w:rPr>
                  <w:t>Phinda Holding</w:t>
                </w:r>
                <w:r>
                  <w:rPr>
                    <w:rFonts w:ascii="Times New Roman" w:hAnsi="Times New Roman" w:cs="Times New Roman"/>
                    <w:szCs w:val="21"/>
                  </w:rPr>
                  <w:t>、</w:t>
                </w:r>
                <w:r>
                  <w:rPr>
                    <w:rFonts w:ascii="Times New Roman" w:hAnsi="Times New Roman" w:cs="Times New Roman"/>
                    <w:szCs w:val="21"/>
                  </w:rPr>
                  <w:t>Marco Zanor</w:t>
                </w:r>
                <w:r>
                  <w:rPr>
                    <w:rFonts w:ascii="Times New Roman" w:hAnsi="Times New Roman" w:cs="Times New Roman"/>
                    <w:szCs w:val="21"/>
                  </w:rPr>
                  <w:t>、建信投资、盛世创鑫、盛世元尚、雅瑞悦世、京道智勤、深创投、红土丝路、红土智能</w:t>
                </w:r>
              </w:p>
            </w:tc>
            <w:tc>
              <w:tcPr>
                <w:tcW w:w="251" w:type="pct"/>
                <w:shd w:val="clear" w:color="auto" w:fill="auto"/>
                <w:vAlign w:val="center"/>
              </w:tcPr>
              <w:p w14:paraId="66A7EA4A"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3</w:t>
                </w:r>
              </w:p>
            </w:tc>
            <w:tc>
              <w:tcPr>
                <w:tcW w:w="804" w:type="pct"/>
                <w:shd w:val="clear" w:color="auto" w:fill="auto"/>
                <w:vAlign w:val="center"/>
              </w:tcPr>
              <w:p w14:paraId="52D3FAD0" w14:textId="77777777" w:rsidR="00D21C1F" w:rsidRDefault="00A42880">
                <w:pPr>
                  <w:jc w:val="center"/>
                  <w:rPr>
                    <w:rFonts w:ascii="Times New Roman" w:hAnsi="Times New Roman" w:cs="Times New Roman"/>
                    <w:szCs w:val="21"/>
                  </w:rPr>
                </w:pPr>
                <w:r>
                  <w:rPr>
                    <w:rFonts w:ascii="Times New Roman" w:hAnsi="Times New Roman" w:cs="Times New Roman"/>
                    <w:szCs w:val="21"/>
                  </w:rPr>
                  <w:t>上市后</w:t>
                </w:r>
                <w:r>
                  <w:rPr>
                    <w:rFonts w:ascii="Times New Roman" w:hAnsi="Times New Roman" w:cs="Times New Roman"/>
                    <w:szCs w:val="21"/>
                  </w:rPr>
                  <w:t>12</w:t>
                </w:r>
                <w:r>
                  <w:rPr>
                    <w:rFonts w:ascii="Times New Roman" w:hAnsi="Times New Roman" w:cs="Times New Roman"/>
                    <w:szCs w:val="21"/>
                  </w:rPr>
                  <w:t>个月</w:t>
                </w:r>
              </w:p>
            </w:tc>
            <w:sdt>
              <w:sdtPr>
                <w:rPr>
                  <w:rFonts w:ascii="Times New Roman" w:hAnsi="Times New Roman" w:cs="Times New Roman"/>
                  <w:szCs w:val="21"/>
                </w:rPr>
                <w:alias w:val="与首次公开发行相关的承诺-是否有履行期限"/>
                <w:tag w:val="_GBC_1a64033131a64daa8e3bdd128e9385c8"/>
                <w:id w:val="-2054677302"/>
                <w:lock w:val="sdtLocked"/>
                <w:placeholder>
                  <w:docPart w:val="5ED90FD259E4492FA6CB826CA9A130E1"/>
                </w:placeholder>
                <w:comboBox>
                  <w:listItem w:displayText="是" w:value="true"/>
                  <w:listItem w:displayText="否" w:value="false"/>
                </w:comboBox>
              </w:sdtPr>
              <w:sdtEndPr/>
              <w:sdtContent>
                <w:tc>
                  <w:tcPr>
                    <w:tcW w:w="402" w:type="pct"/>
                    <w:shd w:val="clear" w:color="auto" w:fill="auto"/>
                    <w:vAlign w:val="center"/>
                  </w:tcPr>
                  <w:p w14:paraId="2949E6EA"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087922459"/>
                <w:lock w:val="sdtLocked"/>
                <w:placeholder>
                  <w:docPart w:val="D0826D0C676C40F79F80CB08B04A5616"/>
                </w:placeholder>
                <w:comboBox>
                  <w:listItem w:displayText="是" w:value="true"/>
                  <w:listItem w:displayText="否" w:value="false"/>
                </w:comboBox>
              </w:sdtPr>
              <w:sdtEndPr/>
              <w:sdtContent>
                <w:tc>
                  <w:tcPr>
                    <w:tcW w:w="397" w:type="pct"/>
                    <w:shd w:val="clear" w:color="auto" w:fill="auto"/>
                    <w:vAlign w:val="center"/>
                  </w:tcPr>
                  <w:p w14:paraId="132C6153"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289E571D"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c>
              <w:tcPr>
                <w:tcW w:w="479" w:type="pct"/>
                <w:shd w:val="clear" w:color="auto" w:fill="auto"/>
                <w:vAlign w:val="center"/>
              </w:tcPr>
              <w:p w14:paraId="5D80C295"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r>
          <w:tr w:rsidR="00D21C1F" w14:paraId="559EE48A" w14:textId="77777777">
            <w:tc>
              <w:tcPr>
                <w:tcW w:w="447" w:type="pct"/>
                <w:vMerge/>
                <w:shd w:val="clear" w:color="auto" w:fill="auto"/>
                <w:vAlign w:val="center"/>
              </w:tcPr>
              <w:p w14:paraId="6A9A1CFE"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566148850"/>
                <w:lock w:val="sdtLocked"/>
                <w:placeholder>
                  <w:docPart w:val="0EA23DAC54FF4B3EA2E9FEE9E0E35C58"/>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35572147" w14:textId="77777777" w:rsidR="00D21C1F" w:rsidRDefault="00A42880">
                    <w:pPr>
                      <w:jc w:val="center"/>
                      <w:rPr>
                        <w:rFonts w:ascii="Times New Roman" w:hAnsi="Times New Roman" w:cs="Times New Roman"/>
                        <w:szCs w:val="21"/>
                      </w:rPr>
                    </w:pPr>
                    <w:r>
                      <w:rPr>
                        <w:rFonts w:ascii="Times New Roman" w:hAnsi="Times New Roman" w:cs="Times New Roman"/>
                        <w:szCs w:val="21"/>
                      </w:rPr>
                      <w:t>股份限售</w:t>
                    </w:r>
                  </w:p>
                </w:tc>
              </w:sdtContent>
            </w:sdt>
            <w:tc>
              <w:tcPr>
                <w:tcW w:w="1056" w:type="pct"/>
                <w:shd w:val="clear" w:color="auto" w:fill="auto"/>
                <w:vAlign w:val="center"/>
              </w:tcPr>
              <w:p w14:paraId="6AA474EF" w14:textId="77777777" w:rsidR="00D21C1F" w:rsidRDefault="00A42880">
                <w:pPr>
                  <w:jc w:val="center"/>
                  <w:rPr>
                    <w:rFonts w:ascii="Times New Roman" w:hAnsi="Times New Roman" w:cs="Times New Roman"/>
                    <w:sz w:val="24"/>
                  </w:rPr>
                </w:pPr>
                <w:r>
                  <w:rPr>
                    <w:rFonts w:ascii="Times New Roman" w:hAnsi="Times New Roman" w:cs="Times New Roman"/>
                    <w:color w:val="000000"/>
                    <w:szCs w:val="21"/>
                  </w:rPr>
                  <w:t>公司股东美的集团</w:t>
                </w:r>
              </w:p>
            </w:tc>
            <w:tc>
              <w:tcPr>
                <w:tcW w:w="251" w:type="pct"/>
                <w:shd w:val="clear" w:color="auto" w:fill="auto"/>
                <w:vAlign w:val="center"/>
              </w:tcPr>
              <w:p w14:paraId="4226F45A"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4</w:t>
                </w:r>
              </w:p>
            </w:tc>
            <w:tc>
              <w:tcPr>
                <w:tcW w:w="804" w:type="pct"/>
                <w:shd w:val="clear" w:color="auto" w:fill="auto"/>
                <w:vAlign w:val="center"/>
              </w:tcPr>
              <w:p w14:paraId="6B790060" w14:textId="77777777" w:rsidR="00D21C1F" w:rsidRDefault="00A42880">
                <w:pPr>
                  <w:jc w:val="center"/>
                  <w:rPr>
                    <w:rFonts w:ascii="Times New Roman" w:hAnsi="Times New Roman" w:cs="Times New Roman"/>
                    <w:szCs w:val="21"/>
                  </w:rPr>
                </w:pPr>
                <w:r>
                  <w:rPr>
                    <w:rFonts w:ascii="Times New Roman" w:hAnsi="Times New Roman" w:cs="Times New Roman"/>
                    <w:szCs w:val="21"/>
                  </w:rPr>
                  <w:t>上市后</w:t>
                </w:r>
                <w:r>
                  <w:rPr>
                    <w:rFonts w:ascii="Times New Roman" w:hAnsi="Times New Roman" w:cs="Times New Roman"/>
                    <w:szCs w:val="21"/>
                  </w:rPr>
                  <w:t>12</w:t>
                </w:r>
                <w:r>
                  <w:rPr>
                    <w:rFonts w:ascii="Times New Roman" w:hAnsi="Times New Roman" w:cs="Times New Roman"/>
                    <w:szCs w:val="21"/>
                  </w:rPr>
                  <w:t>个月</w:t>
                </w:r>
              </w:p>
            </w:tc>
            <w:sdt>
              <w:sdtPr>
                <w:rPr>
                  <w:rFonts w:ascii="Times New Roman" w:hAnsi="Times New Roman" w:cs="Times New Roman"/>
                  <w:szCs w:val="21"/>
                </w:rPr>
                <w:alias w:val="与首次公开发行相关的承诺-是否有履行期限"/>
                <w:tag w:val="_GBC_1a64033131a64daa8e3bdd128e9385c8"/>
                <w:id w:val="-1542428218"/>
                <w:lock w:val="sdtLocked"/>
                <w:placeholder>
                  <w:docPart w:val="7F29199B8304440189C5F32A78E4547C"/>
                </w:placeholder>
                <w:comboBox>
                  <w:listItem w:displayText="是" w:value="true"/>
                  <w:listItem w:displayText="否" w:value="false"/>
                </w:comboBox>
              </w:sdtPr>
              <w:sdtEndPr/>
              <w:sdtContent>
                <w:tc>
                  <w:tcPr>
                    <w:tcW w:w="402" w:type="pct"/>
                    <w:shd w:val="clear" w:color="auto" w:fill="auto"/>
                    <w:vAlign w:val="center"/>
                  </w:tcPr>
                  <w:p w14:paraId="1C10615B"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850153373"/>
                <w:lock w:val="sdtLocked"/>
                <w:placeholder>
                  <w:docPart w:val="F321493A056049A9BE98C5DF44400239"/>
                </w:placeholder>
                <w:comboBox>
                  <w:listItem w:displayText="是" w:value="true"/>
                  <w:listItem w:displayText="否" w:value="false"/>
                </w:comboBox>
              </w:sdtPr>
              <w:sdtEndPr/>
              <w:sdtContent>
                <w:tc>
                  <w:tcPr>
                    <w:tcW w:w="397" w:type="pct"/>
                    <w:shd w:val="clear" w:color="auto" w:fill="auto"/>
                    <w:vAlign w:val="center"/>
                  </w:tcPr>
                  <w:p w14:paraId="3B73AAEA"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5F709817"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c>
              <w:tcPr>
                <w:tcW w:w="479" w:type="pct"/>
                <w:shd w:val="clear" w:color="auto" w:fill="auto"/>
                <w:vAlign w:val="center"/>
              </w:tcPr>
              <w:p w14:paraId="7D879653" w14:textId="77777777" w:rsidR="00D21C1F" w:rsidRDefault="00A42880">
                <w:pPr>
                  <w:jc w:val="center"/>
                  <w:rPr>
                    <w:rFonts w:ascii="Times New Roman" w:hAnsi="Times New Roman" w:cs="Times New Roman"/>
                    <w:szCs w:val="21"/>
                  </w:rPr>
                </w:pPr>
                <w:r>
                  <w:rPr>
                    <w:rFonts w:ascii="Times New Roman" w:hAnsi="Times New Roman" w:cs="Times New Roman"/>
                    <w:szCs w:val="21"/>
                  </w:rPr>
                  <w:t>不适用</w:t>
                </w:r>
              </w:p>
            </w:tc>
          </w:tr>
          <w:tr w:rsidR="00D21C1F" w14:paraId="5AD4E35B" w14:textId="77777777">
            <w:tc>
              <w:tcPr>
                <w:tcW w:w="447" w:type="pct"/>
                <w:vMerge/>
                <w:shd w:val="clear" w:color="auto" w:fill="auto"/>
                <w:vAlign w:val="center"/>
              </w:tcPr>
              <w:p w14:paraId="4BB25BAC"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1731375719"/>
                <w:lock w:val="sdtLocked"/>
                <w:placeholder>
                  <w:docPart w:val="B9FFAAA6AE9F4960800353409D4C5D3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1473B1A6" w14:textId="77777777" w:rsidR="00D21C1F" w:rsidRDefault="00A42880">
                    <w:pPr>
                      <w:jc w:val="center"/>
                      <w:rPr>
                        <w:rFonts w:ascii="Times New Roman" w:hAnsi="Times New Roman" w:cs="Times New Roman"/>
                        <w:szCs w:val="21"/>
                      </w:rPr>
                    </w:pPr>
                    <w:r>
                      <w:rPr>
                        <w:rFonts w:ascii="Times New Roman" w:hAnsi="Times New Roman" w:cs="Times New Roman"/>
                        <w:szCs w:val="21"/>
                      </w:rPr>
                      <w:t>股份限售</w:t>
                    </w:r>
                  </w:p>
                </w:tc>
              </w:sdtContent>
            </w:sdt>
            <w:tc>
              <w:tcPr>
                <w:tcW w:w="1056" w:type="pct"/>
                <w:shd w:val="clear" w:color="auto" w:fill="auto"/>
                <w:vAlign w:val="center"/>
              </w:tcPr>
              <w:p w14:paraId="3572F0D1" w14:textId="77777777" w:rsidR="00D21C1F" w:rsidRDefault="00A42880">
                <w:pPr>
                  <w:jc w:val="center"/>
                  <w:rPr>
                    <w:rFonts w:ascii="Times New Roman" w:hAnsi="Times New Roman" w:cs="Times New Roman"/>
                    <w:sz w:val="24"/>
                  </w:rPr>
                </w:pPr>
                <w:r>
                  <w:rPr>
                    <w:rFonts w:ascii="Times New Roman" w:hAnsi="Times New Roman" w:cs="Times New Roman"/>
                    <w:color w:val="000000"/>
                    <w:szCs w:val="21"/>
                  </w:rPr>
                  <w:t>公司股东鼎晖源霖</w:t>
                </w:r>
              </w:p>
            </w:tc>
            <w:tc>
              <w:tcPr>
                <w:tcW w:w="251" w:type="pct"/>
                <w:shd w:val="clear" w:color="auto" w:fill="auto"/>
                <w:vAlign w:val="center"/>
              </w:tcPr>
              <w:p w14:paraId="158D4EA8"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5</w:t>
                </w:r>
              </w:p>
            </w:tc>
            <w:tc>
              <w:tcPr>
                <w:tcW w:w="804" w:type="pct"/>
                <w:shd w:val="clear" w:color="auto" w:fill="auto"/>
                <w:vAlign w:val="center"/>
              </w:tcPr>
              <w:p w14:paraId="690F3681" w14:textId="77777777" w:rsidR="00D21C1F" w:rsidRDefault="00A42880">
                <w:pPr>
                  <w:jc w:val="center"/>
                  <w:rPr>
                    <w:rFonts w:ascii="Times New Roman" w:hAnsi="Times New Roman" w:cs="Times New Roman"/>
                    <w:szCs w:val="21"/>
                  </w:rPr>
                </w:pPr>
                <w:r>
                  <w:rPr>
                    <w:rFonts w:ascii="Times New Roman" w:hAnsi="Times New Roman" w:cs="Times New Roman"/>
                    <w:szCs w:val="21"/>
                  </w:rPr>
                  <w:t>其中</w:t>
                </w:r>
                <w:r>
                  <w:rPr>
                    <w:rFonts w:ascii="Times New Roman" w:hAnsi="Times New Roman" w:cs="Times New Roman"/>
                    <w:szCs w:val="21"/>
                  </w:rPr>
                  <w:t>4933.3333</w:t>
                </w:r>
                <w:r>
                  <w:rPr>
                    <w:rFonts w:ascii="Times New Roman" w:hAnsi="Times New Roman" w:cs="Times New Roman"/>
                    <w:szCs w:val="21"/>
                  </w:rPr>
                  <w:t>万股股份限售期为上市后</w:t>
                </w:r>
                <w:r>
                  <w:rPr>
                    <w:rFonts w:ascii="Times New Roman" w:hAnsi="Times New Roman" w:cs="Times New Roman"/>
                    <w:szCs w:val="21"/>
                  </w:rPr>
                  <w:t>12</w:t>
                </w:r>
                <w:r>
                  <w:rPr>
                    <w:rFonts w:ascii="Times New Roman" w:hAnsi="Times New Roman" w:cs="Times New Roman"/>
                    <w:szCs w:val="21"/>
                  </w:rPr>
                  <w:t>个月；</w:t>
                </w:r>
                <w:r>
                  <w:rPr>
                    <w:rFonts w:ascii="Times New Roman" w:hAnsi="Times New Roman" w:cs="Times New Roman"/>
                    <w:szCs w:val="21"/>
                  </w:rPr>
                  <w:t>111.1111</w:t>
                </w:r>
                <w:r>
                  <w:rPr>
                    <w:rFonts w:ascii="Times New Roman" w:hAnsi="Times New Roman" w:cs="Times New Roman"/>
                    <w:szCs w:val="21"/>
                  </w:rPr>
                  <w:t>万股股份限售期为自</w:t>
                </w:r>
                <w:r>
                  <w:rPr>
                    <w:rFonts w:ascii="Times New Roman" w:hAnsi="Times New Roman" w:cs="Times New Roman"/>
                    <w:szCs w:val="21"/>
                  </w:rPr>
                  <w:t>2018</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28</w:t>
                </w:r>
                <w:r>
                  <w:rPr>
                    <w:rFonts w:ascii="Times New Roman" w:hAnsi="Times New Roman" w:cs="Times New Roman"/>
                    <w:szCs w:val="21"/>
                  </w:rPr>
                  <w:t>日起</w:t>
                </w:r>
                <w:r>
                  <w:rPr>
                    <w:rFonts w:ascii="Times New Roman" w:hAnsi="Times New Roman" w:cs="Times New Roman"/>
                    <w:szCs w:val="21"/>
                  </w:rPr>
                  <w:t>36</w:t>
                </w:r>
                <w:r>
                  <w:rPr>
                    <w:rFonts w:ascii="Times New Roman" w:hAnsi="Times New Roman" w:cs="Times New Roman"/>
                    <w:szCs w:val="21"/>
                  </w:rPr>
                  <w:t>个月</w:t>
                </w:r>
              </w:p>
            </w:tc>
            <w:sdt>
              <w:sdtPr>
                <w:rPr>
                  <w:rFonts w:ascii="Times New Roman" w:hAnsi="Times New Roman" w:cs="Times New Roman"/>
                  <w:szCs w:val="21"/>
                </w:rPr>
                <w:alias w:val="与首次公开发行相关的承诺-是否有履行期限"/>
                <w:tag w:val="_GBC_1a64033131a64daa8e3bdd128e9385c8"/>
                <w:id w:val="1033921728"/>
                <w:lock w:val="sdtLocked"/>
                <w:placeholder>
                  <w:docPart w:val="000D87A5955D43439AAF4A874591B3B3"/>
                </w:placeholder>
                <w:comboBox>
                  <w:listItem w:displayText="是" w:value="true"/>
                  <w:listItem w:displayText="否" w:value="false"/>
                </w:comboBox>
              </w:sdtPr>
              <w:sdtEndPr/>
              <w:sdtContent>
                <w:tc>
                  <w:tcPr>
                    <w:tcW w:w="402" w:type="pct"/>
                    <w:shd w:val="clear" w:color="auto" w:fill="auto"/>
                    <w:vAlign w:val="center"/>
                  </w:tcPr>
                  <w:p w14:paraId="07AAEAE7"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911651748"/>
                <w:lock w:val="sdtLocked"/>
                <w:placeholder>
                  <w:docPart w:val="F0199A4F463943BDA96E98D8D8549BF3"/>
                </w:placeholder>
                <w:comboBox>
                  <w:listItem w:displayText="是" w:value="true"/>
                  <w:listItem w:displayText="否" w:value="false"/>
                </w:comboBox>
              </w:sdtPr>
              <w:sdtEndPr/>
              <w:sdtContent>
                <w:tc>
                  <w:tcPr>
                    <w:tcW w:w="397" w:type="pct"/>
                    <w:shd w:val="clear" w:color="auto" w:fill="auto"/>
                    <w:vAlign w:val="center"/>
                  </w:tcPr>
                  <w:p w14:paraId="430252F2"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4B34DC24"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45EE1CD5"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2C1710AC" w14:textId="77777777">
            <w:tc>
              <w:tcPr>
                <w:tcW w:w="447" w:type="pct"/>
                <w:vMerge/>
                <w:shd w:val="clear" w:color="auto" w:fill="auto"/>
                <w:vAlign w:val="center"/>
              </w:tcPr>
              <w:p w14:paraId="3422FAF1"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1596984219"/>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3D01C412" w14:textId="77777777" w:rsidR="00D21C1F" w:rsidRDefault="00A42880">
                    <w:pPr>
                      <w:jc w:val="center"/>
                      <w:rPr>
                        <w:rFonts w:ascii="Times New Roman" w:hAnsi="Times New Roman" w:cs="Times New Roman"/>
                        <w:szCs w:val="21"/>
                      </w:rPr>
                    </w:pPr>
                    <w:r>
                      <w:rPr>
                        <w:rFonts w:ascii="Times New Roman" w:hAnsi="Times New Roman" w:cs="Times New Roman"/>
                        <w:szCs w:val="21"/>
                      </w:rPr>
                      <w:t>股份限售</w:t>
                    </w:r>
                  </w:p>
                </w:tc>
              </w:sdtContent>
            </w:sdt>
            <w:tc>
              <w:tcPr>
                <w:tcW w:w="1056" w:type="pct"/>
                <w:shd w:val="clear" w:color="auto" w:fill="auto"/>
                <w:vAlign w:val="center"/>
              </w:tcPr>
              <w:p w14:paraId="07CBBC30"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公司股东马鞍山基石</w:t>
                </w:r>
              </w:p>
            </w:tc>
            <w:tc>
              <w:tcPr>
                <w:tcW w:w="251" w:type="pct"/>
                <w:shd w:val="clear" w:color="auto" w:fill="auto"/>
                <w:vAlign w:val="center"/>
              </w:tcPr>
              <w:p w14:paraId="2DFF2227"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6</w:t>
                </w:r>
              </w:p>
            </w:tc>
            <w:tc>
              <w:tcPr>
                <w:tcW w:w="804" w:type="pct"/>
                <w:shd w:val="clear" w:color="auto" w:fill="auto"/>
                <w:vAlign w:val="center"/>
              </w:tcPr>
              <w:p w14:paraId="2FCE0C28" w14:textId="77777777" w:rsidR="00D21C1F" w:rsidRDefault="00A42880">
                <w:pPr>
                  <w:jc w:val="center"/>
                  <w:rPr>
                    <w:rFonts w:ascii="Times New Roman" w:hAnsi="Times New Roman" w:cs="Times New Roman"/>
                    <w:szCs w:val="21"/>
                  </w:rPr>
                </w:pPr>
                <w:r>
                  <w:rPr>
                    <w:rFonts w:ascii="Times New Roman" w:hAnsi="Times New Roman" w:cs="Times New Roman"/>
                    <w:szCs w:val="21"/>
                  </w:rPr>
                  <w:t>自</w:t>
                </w:r>
                <w:r>
                  <w:rPr>
                    <w:rFonts w:ascii="Times New Roman" w:hAnsi="Times New Roman" w:cs="Times New Roman"/>
                    <w:szCs w:val="21"/>
                  </w:rPr>
                  <w:t>2018</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28</w:t>
                </w:r>
                <w:r>
                  <w:rPr>
                    <w:rFonts w:ascii="Times New Roman" w:hAnsi="Times New Roman" w:cs="Times New Roman"/>
                    <w:szCs w:val="21"/>
                  </w:rPr>
                  <w:t>日起</w:t>
                </w:r>
                <w:r>
                  <w:rPr>
                    <w:rFonts w:ascii="Times New Roman" w:hAnsi="Times New Roman" w:cs="Times New Roman"/>
                    <w:szCs w:val="21"/>
                  </w:rPr>
                  <w:t>36</w:t>
                </w:r>
                <w:r>
                  <w:rPr>
                    <w:rFonts w:ascii="Times New Roman" w:hAnsi="Times New Roman" w:cs="Times New Roman"/>
                    <w:szCs w:val="21"/>
                  </w:rPr>
                  <w:t>个月</w:t>
                </w:r>
              </w:p>
            </w:tc>
            <w:sdt>
              <w:sdtPr>
                <w:rPr>
                  <w:rFonts w:ascii="Times New Roman" w:hAnsi="Times New Roman" w:cs="Times New Roman"/>
                  <w:szCs w:val="21"/>
                </w:rPr>
                <w:alias w:val="与首次公开发行相关的承诺-是否有履行期限"/>
                <w:tag w:val="_GBC_1a64033131a64daa8e3bdd128e9385c8"/>
                <w:id w:val="2028366836"/>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0EB53A25"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832069267"/>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59844839"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42D3A80B"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4CE29911"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704AE665" w14:textId="77777777">
            <w:tc>
              <w:tcPr>
                <w:tcW w:w="447" w:type="pct"/>
                <w:vMerge/>
                <w:shd w:val="clear" w:color="auto" w:fill="auto"/>
                <w:vAlign w:val="center"/>
              </w:tcPr>
              <w:p w14:paraId="0BE754C1"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876362922"/>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44AB216B" w14:textId="77777777" w:rsidR="00D21C1F" w:rsidRDefault="00A42880">
                    <w:pPr>
                      <w:jc w:val="center"/>
                      <w:rPr>
                        <w:rFonts w:ascii="Times New Roman" w:hAnsi="Times New Roman" w:cs="Times New Roman"/>
                        <w:szCs w:val="21"/>
                      </w:rPr>
                    </w:pPr>
                    <w:r>
                      <w:rPr>
                        <w:rFonts w:ascii="Times New Roman" w:hAnsi="Times New Roman" w:cs="Times New Roman"/>
                        <w:szCs w:val="21"/>
                      </w:rPr>
                      <w:t>股份限售</w:t>
                    </w:r>
                  </w:p>
                </w:tc>
              </w:sdtContent>
            </w:sdt>
            <w:tc>
              <w:tcPr>
                <w:tcW w:w="1056" w:type="pct"/>
                <w:shd w:val="clear" w:color="auto" w:fill="auto"/>
                <w:vAlign w:val="center"/>
              </w:tcPr>
              <w:p w14:paraId="742DCD46"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公司股东奇瑞科技</w:t>
                </w:r>
              </w:p>
            </w:tc>
            <w:tc>
              <w:tcPr>
                <w:tcW w:w="251" w:type="pct"/>
                <w:shd w:val="clear" w:color="auto" w:fill="auto"/>
                <w:vAlign w:val="center"/>
              </w:tcPr>
              <w:p w14:paraId="1C28FA9B"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7</w:t>
                </w:r>
              </w:p>
            </w:tc>
            <w:tc>
              <w:tcPr>
                <w:tcW w:w="804" w:type="pct"/>
                <w:shd w:val="clear" w:color="auto" w:fill="auto"/>
                <w:vAlign w:val="center"/>
              </w:tcPr>
              <w:p w14:paraId="6B22CFAB" w14:textId="77777777" w:rsidR="00D21C1F" w:rsidRDefault="00A42880">
                <w:pPr>
                  <w:jc w:val="center"/>
                  <w:rPr>
                    <w:rFonts w:ascii="Times New Roman" w:hAnsi="Times New Roman" w:cs="Times New Roman"/>
                    <w:szCs w:val="21"/>
                  </w:rPr>
                </w:pPr>
                <w:r>
                  <w:rPr>
                    <w:rFonts w:ascii="Times New Roman" w:hAnsi="Times New Roman" w:cs="Times New Roman"/>
                    <w:szCs w:val="21"/>
                  </w:rPr>
                  <w:t>上市后</w:t>
                </w:r>
                <w:r>
                  <w:rPr>
                    <w:rFonts w:ascii="Times New Roman" w:hAnsi="Times New Roman" w:cs="Times New Roman"/>
                    <w:szCs w:val="21"/>
                  </w:rPr>
                  <w:t>12</w:t>
                </w:r>
                <w:r>
                  <w:rPr>
                    <w:rFonts w:ascii="Times New Roman" w:hAnsi="Times New Roman" w:cs="Times New Roman"/>
                    <w:szCs w:val="21"/>
                  </w:rPr>
                  <w:t>个月</w:t>
                </w:r>
              </w:p>
            </w:tc>
            <w:sdt>
              <w:sdtPr>
                <w:rPr>
                  <w:rFonts w:ascii="Times New Roman" w:hAnsi="Times New Roman" w:cs="Times New Roman"/>
                  <w:szCs w:val="21"/>
                </w:rPr>
                <w:alias w:val="与首次公开发行相关的承诺-是否有履行期限"/>
                <w:tag w:val="_GBC_1a64033131a64daa8e3bdd128e9385c8"/>
                <w:id w:val="-1989241436"/>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3185B847"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441735942"/>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71FB37A8"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4D932D41"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223BEEF5"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68F7CBC5" w14:textId="77777777">
            <w:tc>
              <w:tcPr>
                <w:tcW w:w="447" w:type="pct"/>
                <w:vMerge/>
                <w:shd w:val="clear" w:color="auto" w:fill="auto"/>
                <w:vAlign w:val="center"/>
              </w:tcPr>
              <w:p w14:paraId="0475B625"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1534927319"/>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32D949E3" w14:textId="77777777" w:rsidR="00D21C1F" w:rsidRDefault="00A42880">
                    <w:pPr>
                      <w:jc w:val="center"/>
                      <w:rPr>
                        <w:rFonts w:ascii="Times New Roman" w:hAnsi="Times New Roman" w:cs="Times New Roman"/>
                        <w:szCs w:val="21"/>
                      </w:rPr>
                    </w:pPr>
                    <w:r>
                      <w:rPr>
                        <w:rFonts w:ascii="Times New Roman" w:hAnsi="Times New Roman" w:cs="Times New Roman"/>
                        <w:szCs w:val="21"/>
                      </w:rPr>
                      <w:t>股份限售</w:t>
                    </w:r>
                  </w:p>
                </w:tc>
              </w:sdtContent>
            </w:sdt>
            <w:tc>
              <w:tcPr>
                <w:tcW w:w="1056" w:type="pct"/>
                <w:shd w:val="clear" w:color="auto" w:fill="auto"/>
                <w:vAlign w:val="center"/>
              </w:tcPr>
              <w:p w14:paraId="54F455E4" w14:textId="77777777" w:rsidR="00D21C1F" w:rsidRDefault="00A42880">
                <w:pPr>
                  <w:jc w:val="center"/>
                  <w:rPr>
                    <w:rFonts w:ascii="Times New Roman" w:hAnsi="Times New Roman" w:cs="Times New Roman"/>
                    <w:szCs w:val="21"/>
                  </w:rPr>
                </w:pPr>
                <w:r>
                  <w:rPr>
                    <w:rFonts w:ascii="Times New Roman" w:hAnsi="Times New Roman" w:cs="Times New Roman"/>
                    <w:szCs w:val="21"/>
                  </w:rPr>
                  <w:t>本公司董事、监事、高级管理人员及核心技术人员</w:t>
                </w:r>
              </w:p>
            </w:tc>
            <w:tc>
              <w:tcPr>
                <w:tcW w:w="251" w:type="pct"/>
                <w:shd w:val="clear" w:color="auto" w:fill="auto"/>
                <w:vAlign w:val="center"/>
              </w:tcPr>
              <w:p w14:paraId="3C8FF028"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8</w:t>
                </w:r>
              </w:p>
            </w:tc>
            <w:tc>
              <w:tcPr>
                <w:tcW w:w="804" w:type="pct"/>
                <w:shd w:val="clear" w:color="auto" w:fill="auto"/>
                <w:vAlign w:val="center"/>
              </w:tcPr>
              <w:p w14:paraId="78FD10AF" w14:textId="77777777" w:rsidR="00D21C1F" w:rsidRDefault="00A42880">
                <w:pPr>
                  <w:jc w:val="center"/>
                  <w:rPr>
                    <w:rFonts w:ascii="Times New Roman" w:hAnsi="Times New Roman" w:cs="Times New Roman"/>
                    <w:szCs w:val="21"/>
                  </w:rPr>
                </w:pPr>
                <w:r>
                  <w:rPr>
                    <w:rFonts w:ascii="Times New Roman" w:hAnsi="Times New Roman" w:cs="Times New Roman"/>
                    <w:szCs w:val="21"/>
                  </w:rPr>
                  <w:t>上市后</w:t>
                </w:r>
                <w:r>
                  <w:rPr>
                    <w:rFonts w:ascii="Times New Roman" w:hAnsi="Times New Roman" w:cs="Times New Roman"/>
                    <w:szCs w:val="21"/>
                  </w:rPr>
                  <w:t>3</w:t>
                </w:r>
                <w:r>
                  <w:rPr>
                    <w:rFonts w:ascii="Times New Roman" w:hAnsi="Times New Roman" w:cs="Times New Roman"/>
                    <w:szCs w:val="21"/>
                  </w:rPr>
                  <w:t>个完整会计年度</w:t>
                </w:r>
              </w:p>
            </w:tc>
            <w:sdt>
              <w:sdtPr>
                <w:rPr>
                  <w:rFonts w:ascii="Times New Roman" w:hAnsi="Times New Roman" w:cs="Times New Roman"/>
                  <w:szCs w:val="21"/>
                </w:rPr>
                <w:alias w:val="与首次公开发行相关的承诺-是否有履行期限"/>
                <w:tag w:val="_GBC_1a64033131a64daa8e3bdd128e9385c8"/>
                <w:id w:val="-2034188612"/>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1F7607D5"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711255229"/>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0E172C68"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2A0F43D6"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26AA291C"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78FFB7D3" w14:textId="77777777">
            <w:tc>
              <w:tcPr>
                <w:tcW w:w="447" w:type="pct"/>
                <w:vMerge/>
                <w:shd w:val="clear" w:color="auto" w:fill="auto"/>
                <w:vAlign w:val="center"/>
              </w:tcPr>
              <w:p w14:paraId="0551320A"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622307520"/>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16F96B93" w14:textId="77777777" w:rsidR="00D21C1F" w:rsidRDefault="00A42880">
                    <w:pPr>
                      <w:jc w:val="center"/>
                      <w:rPr>
                        <w:rFonts w:ascii="Times New Roman" w:hAnsi="Times New Roman" w:cs="Times New Roman"/>
                        <w:szCs w:val="21"/>
                      </w:rPr>
                    </w:pPr>
                    <w:r>
                      <w:rPr>
                        <w:rFonts w:ascii="Times New Roman" w:hAnsi="Times New Roman" w:cs="Times New Roman"/>
                        <w:szCs w:val="21"/>
                      </w:rPr>
                      <w:t>分红</w:t>
                    </w:r>
                  </w:p>
                </w:tc>
              </w:sdtContent>
            </w:sdt>
            <w:tc>
              <w:tcPr>
                <w:tcW w:w="1056" w:type="pct"/>
                <w:shd w:val="clear" w:color="auto" w:fill="auto"/>
                <w:vAlign w:val="center"/>
              </w:tcPr>
              <w:p w14:paraId="79A093E1"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w:t>
                </w:r>
              </w:p>
            </w:tc>
            <w:tc>
              <w:tcPr>
                <w:tcW w:w="251" w:type="pct"/>
                <w:shd w:val="clear" w:color="auto" w:fill="auto"/>
                <w:vAlign w:val="center"/>
              </w:tcPr>
              <w:p w14:paraId="205628C2"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9</w:t>
                </w:r>
              </w:p>
            </w:tc>
            <w:tc>
              <w:tcPr>
                <w:tcW w:w="804" w:type="pct"/>
                <w:shd w:val="clear" w:color="auto" w:fill="auto"/>
                <w:vAlign w:val="center"/>
              </w:tcPr>
              <w:p w14:paraId="2466646F"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2032370358"/>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0727B485"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270095532"/>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1944FCA7"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069D5E33"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5E338199"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3C003186" w14:textId="77777777">
            <w:tc>
              <w:tcPr>
                <w:tcW w:w="447" w:type="pct"/>
                <w:vMerge/>
                <w:shd w:val="clear" w:color="auto" w:fill="auto"/>
                <w:vAlign w:val="center"/>
              </w:tcPr>
              <w:p w14:paraId="053C136A"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146490954"/>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6CC1836D" w14:textId="77777777" w:rsidR="00D21C1F" w:rsidRDefault="00A42880">
                    <w:pPr>
                      <w:jc w:val="center"/>
                      <w:rPr>
                        <w:rFonts w:ascii="Times New Roman" w:hAnsi="Times New Roman" w:cs="Times New Roman"/>
                        <w:szCs w:val="21"/>
                      </w:rPr>
                    </w:pPr>
                    <w:r>
                      <w:rPr>
                        <w:rFonts w:ascii="Times New Roman" w:hAnsi="Times New Roman" w:cs="Times New Roman"/>
                        <w:szCs w:val="21"/>
                      </w:rPr>
                      <w:t>解决同业竞争</w:t>
                    </w:r>
                  </w:p>
                </w:tc>
              </w:sdtContent>
            </w:sdt>
            <w:tc>
              <w:tcPr>
                <w:tcW w:w="1056" w:type="pct"/>
                <w:shd w:val="clear" w:color="auto" w:fill="auto"/>
                <w:vAlign w:val="center"/>
              </w:tcPr>
              <w:p w14:paraId="56DBD618" w14:textId="77777777" w:rsidR="00D21C1F" w:rsidRDefault="00A42880">
                <w:pPr>
                  <w:jc w:val="center"/>
                  <w:rPr>
                    <w:rFonts w:ascii="Times New Roman" w:hAnsi="Times New Roman" w:cs="Times New Roman"/>
                    <w:szCs w:val="21"/>
                  </w:rPr>
                </w:pPr>
                <w:r>
                  <w:rPr>
                    <w:rFonts w:ascii="Times New Roman" w:hAnsi="Times New Roman" w:cs="Times New Roman"/>
                    <w:szCs w:val="21"/>
                  </w:rPr>
                  <w:t>控股股东芜湖远宏、间接控股股东远大创投、芜湖建投</w:t>
                </w:r>
              </w:p>
            </w:tc>
            <w:tc>
              <w:tcPr>
                <w:tcW w:w="251" w:type="pct"/>
                <w:shd w:val="clear" w:color="auto" w:fill="auto"/>
                <w:vAlign w:val="center"/>
              </w:tcPr>
              <w:p w14:paraId="4AB14D54"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10</w:t>
                </w:r>
              </w:p>
            </w:tc>
            <w:tc>
              <w:tcPr>
                <w:tcW w:w="804" w:type="pct"/>
                <w:shd w:val="clear" w:color="auto" w:fill="auto"/>
                <w:vAlign w:val="center"/>
              </w:tcPr>
              <w:p w14:paraId="0EF07DF7"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616370945"/>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3B1D162B"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646695821"/>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65E83441"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18298A24"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0CA54978"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19E01CC0" w14:textId="77777777">
            <w:tc>
              <w:tcPr>
                <w:tcW w:w="447" w:type="pct"/>
                <w:vMerge/>
                <w:shd w:val="clear" w:color="auto" w:fill="auto"/>
                <w:vAlign w:val="center"/>
              </w:tcPr>
              <w:p w14:paraId="6E78AC9B"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1382173508"/>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2682A8BA" w14:textId="77777777" w:rsidR="00D21C1F" w:rsidRDefault="00A42880">
                    <w:pPr>
                      <w:jc w:val="center"/>
                      <w:rPr>
                        <w:rFonts w:ascii="Times New Roman" w:hAnsi="Times New Roman" w:cs="Times New Roman"/>
                        <w:szCs w:val="21"/>
                      </w:rPr>
                    </w:pPr>
                    <w:r>
                      <w:rPr>
                        <w:rFonts w:ascii="Times New Roman" w:hAnsi="Times New Roman" w:cs="Times New Roman"/>
                        <w:szCs w:val="21"/>
                      </w:rPr>
                      <w:t>解决关联交易</w:t>
                    </w:r>
                  </w:p>
                </w:tc>
              </w:sdtContent>
            </w:sdt>
            <w:tc>
              <w:tcPr>
                <w:tcW w:w="1056" w:type="pct"/>
                <w:shd w:val="clear" w:color="auto" w:fill="auto"/>
                <w:vAlign w:val="center"/>
              </w:tcPr>
              <w:p w14:paraId="7D8FA921"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w:t>
                </w:r>
              </w:p>
            </w:tc>
            <w:tc>
              <w:tcPr>
                <w:tcW w:w="251" w:type="pct"/>
                <w:shd w:val="clear" w:color="auto" w:fill="auto"/>
                <w:vAlign w:val="center"/>
              </w:tcPr>
              <w:p w14:paraId="0B5854B9"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11</w:t>
                </w:r>
              </w:p>
            </w:tc>
            <w:tc>
              <w:tcPr>
                <w:tcW w:w="804" w:type="pct"/>
                <w:shd w:val="clear" w:color="auto" w:fill="auto"/>
                <w:vAlign w:val="center"/>
              </w:tcPr>
              <w:p w14:paraId="56B6E8E4"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277185083"/>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421148B2"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524977367"/>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2C1EB4A6"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310511EE"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2A8DB832"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24395369" w14:textId="77777777">
            <w:tc>
              <w:tcPr>
                <w:tcW w:w="447" w:type="pct"/>
                <w:vMerge/>
                <w:shd w:val="clear" w:color="auto" w:fill="auto"/>
                <w:vAlign w:val="center"/>
              </w:tcPr>
              <w:p w14:paraId="45BBA946"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366527112"/>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4B59ACC2" w14:textId="77777777" w:rsidR="00D21C1F" w:rsidRDefault="00A42880">
                    <w:pPr>
                      <w:jc w:val="center"/>
                      <w:rPr>
                        <w:rFonts w:ascii="Times New Roman" w:hAnsi="Times New Roman" w:cs="Times New Roman"/>
                        <w:szCs w:val="21"/>
                      </w:rPr>
                    </w:pPr>
                    <w:r>
                      <w:rPr>
                        <w:rFonts w:ascii="Times New Roman" w:hAnsi="Times New Roman" w:cs="Times New Roman"/>
                        <w:szCs w:val="21"/>
                      </w:rPr>
                      <w:t>解决关联交易</w:t>
                    </w:r>
                  </w:p>
                </w:tc>
              </w:sdtContent>
            </w:sdt>
            <w:tc>
              <w:tcPr>
                <w:tcW w:w="1056" w:type="pct"/>
                <w:shd w:val="clear" w:color="auto" w:fill="auto"/>
                <w:vAlign w:val="center"/>
              </w:tcPr>
              <w:p w14:paraId="4A456F82" w14:textId="77777777" w:rsidR="00D21C1F" w:rsidRDefault="00A42880">
                <w:pPr>
                  <w:jc w:val="center"/>
                  <w:rPr>
                    <w:rFonts w:ascii="Times New Roman" w:hAnsi="Times New Roman" w:cs="Times New Roman"/>
                    <w:szCs w:val="21"/>
                  </w:rPr>
                </w:pPr>
                <w:r>
                  <w:rPr>
                    <w:rFonts w:ascii="Times New Roman" w:hAnsi="Times New Roman" w:cs="Times New Roman"/>
                    <w:szCs w:val="21"/>
                  </w:rPr>
                  <w:t>股东芜湖远宏、远大创投、芜湖建投、睿博投资、信惟基石、鼎晖源霖、</w:t>
                </w:r>
                <w:r>
                  <w:rPr>
                    <w:rFonts w:ascii="Times New Roman" w:hAnsi="Times New Roman" w:cs="Times New Roman"/>
                    <w:szCs w:val="21"/>
                  </w:rPr>
                  <w:t>Phinda Holding</w:t>
                </w:r>
              </w:p>
            </w:tc>
            <w:tc>
              <w:tcPr>
                <w:tcW w:w="251" w:type="pct"/>
                <w:shd w:val="clear" w:color="auto" w:fill="auto"/>
                <w:vAlign w:val="center"/>
              </w:tcPr>
              <w:p w14:paraId="64D3B0AE"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12</w:t>
                </w:r>
              </w:p>
            </w:tc>
            <w:tc>
              <w:tcPr>
                <w:tcW w:w="804" w:type="pct"/>
                <w:shd w:val="clear" w:color="auto" w:fill="auto"/>
                <w:vAlign w:val="center"/>
              </w:tcPr>
              <w:p w14:paraId="282DF6FA"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1762101204"/>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0668A0A7"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811073608"/>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76E7D33F"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36A01B03"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37391722"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2E275272" w14:textId="77777777">
            <w:tc>
              <w:tcPr>
                <w:tcW w:w="447" w:type="pct"/>
                <w:vMerge/>
                <w:shd w:val="clear" w:color="auto" w:fill="auto"/>
                <w:vAlign w:val="center"/>
              </w:tcPr>
              <w:p w14:paraId="4641B7BD"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530302221"/>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6232AA45" w14:textId="77777777" w:rsidR="00D21C1F" w:rsidRDefault="00A42880">
                    <w:pPr>
                      <w:jc w:val="center"/>
                      <w:rPr>
                        <w:rFonts w:ascii="Times New Roman" w:hAnsi="Times New Roman" w:cs="Times New Roman"/>
                        <w:szCs w:val="21"/>
                      </w:rPr>
                    </w:pPr>
                    <w:r>
                      <w:rPr>
                        <w:rFonts w:ascii="Times New Roman" w:hAnsi="Times New Roman" w:cs="Times New Roman"/>
                        <w:szCs w:val="21"/>
                      </w:rPr>
                      <w:t>解决关联交易</w:t>
                    </w:r>
                  </w:p>
                </w:tc>
              </w:sdtContent>
            </w:sdt>
            <w:tc>
              <w:tcPr>
                <w:tcW w:w="1056" w:type="pct"/>
                <w:shd w:val="clear" w:color="auto" w:fill="auto"/>
                <w:vAlign w:val="center"/>
              </w:tcPr>
              <w:p w14:paraId="4CBB0663"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公司股东美的集团</w:t>
                </w:r>
              </w:p>
            </w:tc>
            <w:tc>
              <w:tcPr>
                <w:tcW w:w="251" w:type="pct"/>
                <w:shd w:val="clear" w:color="auto" w:fill="auto"/>
                <w:vAlign w:val="center"/>
              </w:tcPr>
              <w:p w14:paraId="3DF0DE54"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13</w:t>
                </w:r>
              </w:p>
            </w:tc>
            <w:tc>
              <w:tcPr>
                <w:tcW w:w="804" w:type="pct"/>
                <w:shd w:val="clear" w:color="auto" w:fill="auto"/>
                <w:vAlign w:val="center"/>
              </w:tcPr>
              <w:p w14:paraId="5C8E189A"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328139621"/>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5252AEDA"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973254179"/>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490AB20B"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3A5D2976"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230C6910"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24617336" w14:textId="77777777">
            <w:tc>
              <w:tcPr>
                <w:tcW w:w="447" w:type="pct"/>
                <w:vMerge/>
                <w:shd w:val="clear" w:color="auto" w:fill="auto"/>
                <w:vAlign w:val="center"/>
              </w:tcPr>
              <w:p w14:paraId="3592ABC4"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549148468"/>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56D45B90" w14:textId="77777777" w:rsidR="00D21C1F" w:rsidRDefault="00A42880">
                    <w:pPr>
                      <w:jc w:val="center"/>
                      <w:rPr>
                        <w:rFonts w:ascii="Times New Roman" w:hAnsi="Times New Roman" w:cs="Times New Roman"/>
                        <w:szCs w:val="21"/>
                      </w:rPr>
                    </w:pPr>
                    <w:r>
                      <w:rPr>
                        <w:rFonts w:ascii="Times New Roman" w:hAnsi="Times New Roman" w:cs="Times New Roman"/>
                        <w:szCs w:val="21"/>
                      </w:rPr>
                      <w:t>解决关联交易</w:t>
                    </w:r>
                  </w:p>
                </w:tc>
              </w:sdtContent>
            </w:sdt>
            <w:tc>
              <w:tcPr>
                <w:tcW w:w="1056" w:type="pct"/>
                <w:shd w:val="clear" w:color="auto" w:fill="auto"/>
                <w:vAlign w:val="center"/>
              </w:tcPr>
              <w:p w14:paraId="2BC98997"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公司股东奇瑞科技</w:t>
                </w:r>
              </w:p>
            </w:tc>
            <w:tc>
              <w:tcPr>
                <w:tcW w:w="251" w:type="pct"/>
                <w:shd w:val="clear" w:color="auto" w:fill="auto"/>
                <w:vAlign w:val="center"/>
              </w:tcPr>
              <w:p w14:paraId="6DB03D5F"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14</w:t>
                </w:r>
              </w:p>
            </w:tc>
            <w:tc>
              <w:tcPr>
                <w:tcW w:w="804" w:type="pct"/>
                <w:shd w:val="clear" w:color="auto" w:fill="auto"/>
                <w:vAlign w:val="center"/>
              </w:tcPr>
              <w:p w14:paraId="1D2F4559"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27952094"/>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39842719"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890793785"/>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1DDCB3AA"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36E54279"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1433DAE6"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446637EB" w14:textId="77777777">
            <w:tc>
              <w:tcPr>
                <w:tcW w:w="447" w:type="pct"/>
                <w:vMerge/>
                <w:shd w:val="clear" w:color="auto" w:fill="auto"/>
                <w:vAlign w:val="center"/>
              </w:tcPr>
              <w:p w14:paraId="498DA74C"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706759800"/>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5A57EFCA"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7A9708C6" w14:textId="77777777" w:rsidR="00D21C1F" w:rsidRDefault="00A42880">
                <w:pPr>
                  <w:jc w:val="center"/>
                  <w:rPr>
                    <w:rFonts w:ascii="Times New Roman" w:hAnsi="Times New Roman" w:cs="Times New Roman"/>
                    <w:szCs w:val="21"/>
                  </w:rPr>
                </w:pPr>
                <w:r>
                  <w:rPr>
                    <w:rFonts w:ascii="Times New Roman" w:hAnsi="Times New Roman" w:cs="Times New Roman"/>
                    <w:szCs w:val="21"/>
                  </w:rPr>
                  <w:t>控股股东芜湖远宏及一致行动人远大创投</w:t>
                </w:r>
              </w:p>
            </w:tc>
            <w:tc>
              <w:tcPr>
                <w:tcW w:w="251" w:type="pct"/>
                <w:shd w:val="clear" w:color="auto" w:fill="auto"/>
                <w:vAlign w:val="center"/>
              </w:tcPr>
              <w:p w14:paraId="0F387F75"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15</w:t>
                </w:r>
              </w:p>
            </w:tc>
            <w:tc>
              <w:tcPr>
                <w:tcW w:w="804" w:type="pct"/>
                <w:shd w:val="clear" w:color="auto" w:fill="auto"/>
                <w:vAlign w:val="center"/>
              </w:tcPr>
              <w:p w14:paraId="057E51CC"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215661929"/>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5A14AB9E"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469369629"/>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6608A230"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74430AD0"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4B02C5AC"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6D1C69F0" w14:textId="77777777">
            <w:tc>
              <w:tcPr>
                <w:tcW w:w="447" w:type="pct"/>
                <w:vMerge/>
                <w:shd w:val="clear" w:color="auto" w:fill="auto"/>
                <w:vAlign w:val="center"/>
              </w:tcPr>
              <w:p w14:paraId="207C0372"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271549691"/>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509CF46B"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30599C11" w14:textId="77777777" w:rsidR="00D21C1F" w:rsidRDefault="00A42880">
                <w:pPr>
                  <w:jc w:val="center"/>
                  <w:rPr>
                    <w:rFonts w:ascii="Times New Roman" w:hAnsi="Times New Roman" w:cs="Times New Roman"/>
                    <w:szCs w:val="21"/>
                  </w:rPr>
                </w:pPr>
                <w:r>
                  <w:rPr>
                    <w:rFonts w:ascii="Times New Roman" w:hAnsi="Times New Roman" w:cs="Times New Roman"/>
                    <w:szCs w:val="21"/>
                  </w:rPr>
                  <w:t>控股股东芜湖远宏及一致行动人远大创投</w:t>
                </w:r>
              </w:p>
            </w:tc>
            <w:tc>
              <w:tcPr>
                <w:tcW w:w="251" w:type="pct"/>
                <w:shd w:val="clear" w:color="auto" w:fill="auto"/>
                <w:vAlign w:val="center"/>
              </w:tcPr>
              <w:p w14:paraId="78C500EE"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16</w:t>
                </w:r>
              </w:p>
            </w:tc>
            <w:tc>
              <w:tcPr>
                <w:tcW w:w="804" w:type="pct"/>
                <w:shd w:val="clear" w:color="auto" w:fill="auto"/>
                <w:vAlign w:val="center"/>
              </w:tcPr>
              <w:p w14:paraId="38C1929D"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706718844"/>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75225717"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872731073"/>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41740730"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1B44A3C4"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334B5C30"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2D55AFA0" w14:textId="77777777">
            <w:tc>
              <w:tcPr>
                <w:tcW w:w="447" w:type="pct"/>
                <w:vMerge/>
                <w:shd w:val="clear" w:color="auto" w:fill="auto"/>
                <w:vAlign w:val="center"/>
              </w:tcPr>
              <w:p w14:paraId="7619077B"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1095057258"/>
                <w:lock w:val="sdtLocked"/>
                <w:placeholder>
                  <w:docPart w:val="8437A33A9CB3489590FBE52C46FF8223"/>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3940FE15"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0D6043F9"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公司、控股股东、董事、监事、高级管理人员</w:t>
                </w:r>
              </w:p>
            </w:tc>
            <w:tc>
              <w:tcPr>
                <w:tcW w:w="251" w:type="pct"/>
                <w:shd w:val="clear" w:color="auto" w:fill="auto"/>
                <w:vAlign w:val="center"/>
              </w:tcPr>
              <w:p w14:paraId="411C60DA"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17</w:t>
                </w:r>
              </w:p>
            </w:tc>
            <w:tc>
              <w:tcPr>
                <w:tcW w:w="804" w:type="pct"/>
                <w:shd w:val="clear" w:color="auto" w:fill="auto"/>
                <w:vAlign w:val="center"/>
              </w:tcPr>
              <w:p w14:paraId="78BC6A47"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483588302"/>
                <w:lock w:val="sdtLocked"/>
                <w:placeholder>
                  <w:docPart w:val="BA0D5740144B44BC8E56B5F7A3B420BF"/>
                </w:placeholder>
                <w:comboBox>
                  <w:listItem w:displayText="是" w:value="true"/>
                  <w:listItem w:displayText="否" w:value="false"/>
                </w:comboBox>
              </w:sdtPr>
              <w:sdtEndPr/>
              <w:sdtContent>
                <w:tc>
                  <w:tcPr>
                    <w:tcW w:w="402" w:type="pct"/>
                    <w:shd w:val="clear" w:color="auto" w:fill="auto"/>
                    <w:vAlign w:val="center"/>
                  </w:tcPr>
                  <w:p w14:paraId="6F4612E3"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683936581"/>
                <w:lock w:val="sdtLocked"/>
                <w:placeholder>
                  <w:docPart w:val="2B404A3386C94D9382CF53024B64A5B4"/>
                </w:placeholder>
                <w:comboBox>
                  <w:listItem w:displayText="是" w:value="true"/>
                  <w:listItem w:displayText="否" w:value="false"/>
                </w:comboBox>
              </w:sdtPr>
              <w:sdtEndPr/>
              <w:sdtContent>
                <w:tc>
                  <w:tcPr>
                    <w:tcW w:w="397" w:type="pct"/>
                    <w:shd w:val="clear" w:color="auto" w:fill="auto"/>
                    <w:vAlign w:val="center"/>
                  </w:tcPr>
                  <w:p w14:paraId="6E4F7A49"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7A132B0B"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4C672DD2"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28DA8AB0" w14:textId="77777777">
            <w:tc>
              <w:tcPr>
                <w:tcW w:w="447" w:type="pct"/>
                <w:vMerge/>
                <w:shd w:val="clear" w:color="auto" w:fill="auto"/>
                <w:vAlign w:val="center"/>
              </w:tcPr>
              <w:p w14:paraId="4B3F5AE6"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645165101"/>
                <w:lock w:val="sdtLocked"/>
                <w:placeholder>
                  <w:docPart w:val="ECAED67AC4344F73B0EE9E212858A56E"/>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588F1839"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04A1276A"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公司董事、高级管理人员</w:t>
                </w:r>
              </w:p>
            </w:tc>
            <w:tc>
              <w:tcPr>
                <w:tcW w:w="251" w:type="pct"/>
                <w:shd w:val="clear" w:color="auto" w:fill="auto"/>
                <w:vAlign w:val="center"/>
              </w:tcPr>
              <w:p w14:paraId="3571C5C8"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18</w:t>
                </w:r>
              </w:p>
            </w:tc>
            <w:tc>
              <w:tcPr>
                <w:tcW w:w="804" w:type="pct"/>
                <w:shd w:val="clear" w:color="auto" w:fill="auto"/>
                <w:vAlign w:val="center"/>
              </w:tcPr>
              <w:p w14:paraId="68BD4CF1"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1109742611"/>
                <w:lock w:val="sdtLocked"/>
                <w:placeholder>
                  <w:docPart w:val="808A683A33B4426382D758ED824FA477"/>
                </w:placeholder>
                <w:comboBox>
                  <w:listItem w:displayText="是" w:value="true"/>
                  <w:listItem w:displayText="否" w:value="false"/>
                </w:comboBox>
              </w:sdtPr>
              <w:sdtEndPr/>
              <w:sdtContent>
                <w:tc>
                  <w:tcPr>
                    <w:tcW w:w="402" w:type="pct"/>
                    <w:shd w:val="clear" w:color="auto" w:fill="auto"/>
                    <w:vAlign w:val="center"/>
                  </w:tcPr>
                  <w:p w14:paraId="413D97BC"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26397867"/>
                <w:lock w:val="sdtLocked"/>
                <w:placeholder>
                  <w:docPart w:val="49AC989A029F4B9A8E600AFA5F811864"/>
                </w:placeholder>
                <w:comboBox>
                  <w:listItem w:displayText="是" w:value="true"/>
                  <w:listItem w:displayText="否" w:value="false"/>
                </w:comboBox>
              </w:sdtPr>
              <w:sdtEndPr/>
              <w:sdtContent>
                <w:tc>
                  <w:tcPr>
                    <w:tcW w:w="397" w:type="pct"/>
                    <w:shd w:val="clear" w:color="auto" w:fill="auto"/>
                    <w:vAlign w:val="center"/>
                  </w:tcPr>
                  <w:p w14:paraId="72F2ED7F"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6C8E180C"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223D6864"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4138D8C8" w14:textId="77777777">
            <w:tc>
              <w:tcPr>
                <w:tcW w:w="447" w:type="pct"/>
                <w:vMerge/>
                <w:shd w:val="clear" w:color="auto" w:fill="auto"/>
                <w:vAlign w:val="center"/>
              </w:tcPr>
              <w:p w14:paraId="63074AEA"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484322747"/>
                <w:lock w:val="sdtLocked"/>
                <w:placeholder>
                  <w:docPart w:val="ECAED67AC4344F73B0EE9E212858A56E"/>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29D1F011"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75F375B8" w14:textId="77777777" w:rsidR="00D21C1F" w:rsidRDefault="00A42880">
                <w:pPr>
                  <w:jc w:val="center"/>
                  <w:rPr>
                    <w:rFonts w:ascii="Times New Roman" w:hAnsi="Times New Roman" w:cs="Times New Roman"/>
                    <w:szCs w:val="21"/>
                  </w:rPr>
                </w:pPr>
                <w:r>
                  <w:rPr>
                    <w:rFonts w:ascii="Times New Roman" w:hAnsi="Times New Roman" w:cs="Times New Roman"/>
                    <w:szCs w:val="21"/>
                  </w:rPr>
                  <w:t>控股股东芜湖远宏及一致行动人远大创投、间接控股股东芜湖建投</w:t>
                </w:r>
              </w:p>
            </w:tc>
            <w:tc>
              <w:tcPr>
                <w:tcW w:w="251" w:type="pct"/>
                <w:shd w:val="clear" w:color="auto" w:fill="auto"/>
                <w:vAlign w:val="center"/>
              </w:tcPr>
              <w:p w14:paraId="17F800DE"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19</w:t>
                </w:r>
              </w:p>
            </w:tc>
            <w:tc>
              <w:tcPr>
                <w:tcW w:w="804" w:type="pct"/>
                <w:shd w:val="clear" w:color="auto" w:fill="auto"/>
                <w:vAlign w:val="center"/>
              </w:tcPr>
              <w:p w14:paraId="20460337" w14:textId="77777777" w:rsidR="00D21C1F" w:rsidRDefault="00A42880">
                <w:pPr>
                  <w:jc w:val="center"/>
                  <w:rPr>
                    <w:rFonts w:ascii="Times New Roman" w:hAnsi="Times New Roman" w:cs="Times New Roman"/>
                    <w:szCs w:val="21"/>
                  </w:rPr>
                </w:pPr>
                <w:r>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1a64033131a64daa8e3bdd128e9385c8"/>
                <w:id w:val="-136196159"/>
                <w:lock w:val="sdtLocked"/>
                <w:placeholder>
                  <w:docPart w:val="808A683A33B4426382D758ED824FA477"/>
                </w:placeholder>
                <w:comboBox>
                  <w:listItem w:displayText="是" w:value="true"/>
                  <w:listItem w:displayText="否" w:value="false"/>
                </w:comboBox>
              </w:sdtPr>
              <w:sdtEndPr/>
              <w:sdtContent>
                <w:tc>
                  <w:tcPr>
                    <w:tcW w:w="402" w:type="pct"/>
                    <w:shd w:val="clear" w:color="auto" w:fill="auto"/>
                    <w:vAlign w:val="center"/>
                  </w:tcPr>
                  <w:p w14:paraId="38F62228"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2066838199"/>
                <w:lock w:val="sdtLocked"/>
                <w:placeholder>
                  <w:docPart w:val="49AC989A029F4B9A8E600AFA5F811864"/>
                </w:placeholder>
                <w:comboBox>
                  <w:listItem w:displayText="是" w:value="true"/>
                  <w:listItem w:displayText="否" w:value="false"/>
                </w:comboBox>
              </w:sdtPr>
              <w:sdtEndPr/>
              <w:sdtContent>
                <w:tc>
                  <w:tcPr>
                    <w:tcW w:w="397" w:type="pct"/>
                    <w:shd w:val="clear" w:color="auto" w:fill="auto"/>
                    <w:vAlign w:val="center"/>
                  </w:tcPr>
                  <w:p w14:paraId="558935D1"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0BE2723D"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09454370"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6F70C83A" w14:textId="77777777">
            <w:tc>
              <w:tcPr>
                <w:tcW w:w="447" w:type="pct"/>
                <w:vMerge/>
                <w:shd w:val="clear" w:color="auto" w:fill="auto"/>
                <w:vAlign w:val="center"/>
              </w:tcPr>
              <w:p w14:paraId="3CE15A3B"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647557489"/>
                <w:lock w:val="sdtLocked"/>
                <w:placeholder>
                  <w:docPart w:val="ECAED67AC4344F73B0EE9E212858A56E"/>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2C4F60A7"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7C3BAAA0"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公司其他股东</w:t>
                </w:r>
              </w:p>
            </w:tc>
            <w:tc>
              <w:tcPr>
                <w:tcW w:w="251" w:type="pct"/>
                <w:shd w:val="clear" w:color="auto" w:fill="auto"/>
                <w:vAlign w:val="center"/>
              </w:tcPr>
              <w:p w14:paraId="180DB2AA"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20</w:t>
                </w:r>
              </w:p>
            </w:tc>
            <w:tc>
              <w:tcPr>
                <w:tcW w:w="804" w:type="pct"/>
                <w:shd w:val="clear" w:color="auto" w:fill="auto"/>
                <w:vAlign w:val="center"/>
              </w:tcPr>
              <w:p w14:paraId="608BE505"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股份锁定期满后</w:t>
                </w:r>
              </w:p>
            </w:tc>
            <w:sdt>
              <w:sdtPr>
                <w:rPr>
                  <w:rFonts w:ascii="Times New Roman" w:hAnsi="Times New Roman" w:cs="Times New Roman"/>
                  <w:szCs w:val="21"/>
                </w:rPr>
                <w:alias w:val="与首次公开发行相关的承诺-是否有履行期限"/>
                <w:tag w:val="_GBC_1a64033131a64daa8e3bdd128e9385c8"/>
                <w:id w:val="-271405078"/>
                <w:lock w:val="sdtLocked"/>
                <w:placeholder>
                  <w:docPart w:val="808A683A33B4426382D758ED824FA477"/>
                </w:placeholder>
                <w:comboBox>
                  <w:listItem w:displayText="是" w:value="true"/>
                  <w:listItem w:displayText="否" w:value="false"/>
                </w:comboBox>
              </w:sdtPr>
              <w:sdtEndPr/>
              <w:sdtContent>
                <w:tc>
                  <w:tcPr>
                    <w:tcW w:w="402" w:type="pct"/>
                    <w:shd w:val="clear" w:color="auto" w:fill="auto"/>
                    <w:vAlign w:val="center"/>
                  </w:tcPr>
                  <w:p w14:paraId="71DDD2AC"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91862677"/>
                <w:lock w:val="sdtLocked"/>
                <w:placeholder>
                  <w:docPart w:val="49AC989A029F4B9A8E600AFA5F811864"/>
                </w:placeholder>
                <w:comboBox>
                  <w:listItem w:displayText="是" w:value="true"/>
                  <w:listItem w:displayText="否" w:value="false"/>
                </w:comboBox>
              </w:sdtPr>
              <w:sdtEndPr/>
              <w:sdtContent>
                <w:tc>
                  <w:tcPr>
                    <w:tcW w:w="397" w:type="pct"/>
                    <w:shd w:val="clear" w:color="auto" w:fill="auto"/>
                    <w:vAlign w:val="center"/>
                  </w:tcPr>
                  <w:p w14:paraId="65E7F2DD"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0E5CF529"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1F35D673"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26150A2F" w14:textId="77777777">
            <w:tc>
              <w:tcPr>
                <w:tcW w:w="447" w:type="pct"/>
                <w:vMerge/>
                <w:shd w:val="clear" w:color="auto" w:fill="auto"/>
                <w:vAlign w:val="center"/>
              </w:tcPr>
              <w:p w14:paraId="54BE39BA"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422570874"/>
                <w:lock w:val="sdtLocked"/>
                <w:placeholder>
                  <w:docPart w:val="ECAED67AC4344F73B0EE9E212858A56E"/>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20B97AB3"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06A4EE9C"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公司控股股东芜湖远宏及一致行动人远大创投、睿博投资</w:t>
                </w:r>
              </w:p>
            </w:tc>
            <w:tc>
              <w:tcPr>
                <w:tcW w:w="251" w:type="pct"/>
                <w:shd w:val="clear" w:color="auto" w:fill="auto"/>
                <w:vAlign w:val="center"/>
              </w:tcPr>
              <w:p w14:paraId="00629863"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21</w:t>
                </w:r>
              </w:p>
            </w:tc>
            <w:tc>
              <w:tcPr>
                <w:tcW w:w="804" w:type="pct"/>
                <w:shd w:val="clear" w:color="auto" w:fill="auto"/>
                <w:vAlign w:val="center"/>
              </w:tcPr>
              <w:p w14:paraId="617CCCE7"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股份锁定期满后</w:t>
                </w:r>
                <w:r>
                  <w:rPr>
                    <w:rFonts w:ascii="Times New Roman" w:hAnsi="Times New Roman" w:cs="Times New Roman"/>
                    <w:szCs w:val="21"/>
                  </w:rPr>
                  <w:t>2</w:t>
                </w:r>
                <w:r>
                  <w:rPr>
                    <w:rFonts w:ascii="Times New Roman" w:hAnsi="Times New Roman" w:cs="Times New Roman"/>
                    <w:szCs w:val="21"/>
                  </w:rPr>
                  <w:t>年内</w:t>
                </w:r>
              </w:p>
            </w:tc>
            <w:sdt>
              <w:sdtPr>
                <w:rPr>
                  <w:rFonts w:ascii="Times New Roman" w:hAnsi="Times New Roman" w:cs="Times New Roman"/>
                  <w:szCs w:val="21"/>
                </w:rPr>
                <w:alias w:val="与首次公开发行相关的承诺-是否有履行期限"/>
                <w:tag w:val="_GBC_1a64033131a64daa8e3bdd128e9385c8"/>
                <w:id w:val="-1632319960"/>
                <w:lock w:val="sdtLocked"/>
                <w:placeholder>
                  <w:docPart w:val="808A683A33B4426382D758ED824FA477"/>
                </w:placeholder>
                <w:comboBox>
                  <w:listItem w:displayText="是" w:value="true"/>
                  <w:listItem w:displayText="否" w:value="false"/>
                </w:comboBox>
              </w:sdtPr>
              <w:sdtEndPr/>
              <w:sdtContent>
                <w:tc>
                  <w:tcPr>
                    <w:tcW w:w="402" w:type="pct"/>
                    <w:shd w:val="clear" w:color="auto" w:fill="auto"/>
                    <w:vAlign w:val="center"/>
                  </w:tcPr>
                  <w:p w14:paraId="0BCDA9F1"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1147006307"/>
                <w:lock w:val="sdtLocked"/>
                <w:placeholder>
                  <w:docPart w:val="49AC989A029F4B9A8E600AFA5F811864"/>
                </w:placeholder>
                <w:comboBox>
                  <w:listItem w:displayText="是" w:value="true"/>
                  <w:listItem w:displayText="否" w:value="false"/>
                </w:comboBox>
              </w:sdtPr>
              <w:sdtEndPr/>
              <w:sdtContent>
                <w:tc>
                  <w:tcPr>
                    <w:tcW w:w="397" w:type="pct"/>
                    <w:shd w:val="clear" w:color="auto" w:fill="auto"/>
                    <w:vAlign w:val="center"/>
                  </w:tcPr>
                  <w:p w14:paraId="6BFD3340"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6BA420FF"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1292D57E"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r w:rsidR="00D21C1F" w14:paraId="125586B9" w14:textId="77777777">
            <w:tc>
              <w:tcPr>
                <w:tcW w:w="447" w:type="pct"/>
                <w:vMerge/>
                <w:shd w:val="clear" w:color="auto" w:fill="auto"/>
                <w:vAlign w:val="center"/>
              </w:tcPr>
              <w:p w14:paraId="10346486" w14:textId="77777777" w:rsidR="00D21C1F" w:rsidRDefault="00D21C1F">
                <w:pPr>
                  <w:jc w:val="cente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1831009565"/>
                <w:lock w:val="sdtLocked"/>
                <w:placeholder>
                  <w:docPart w:val="ECAED67AC4344F73B0EE9E212858A56E"/>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552" w:type="pct"/>
                    <w:shd w:val="clear" w:color="auto" w:fill="auto"/>
                    <w:vAlign w:val="center"/>
                  </w:tcPr>
                  <w:p w14:paraId="45012C0A" w14:textId="77777777" w:rsidR="00D21C1F" w:rsidRDefault="00A42880">
                    <w:pPr>
                      <w:jc w:val="center"/>
                      <w:rPr>
                        <w:rFonts w:ascii="Times New Roman" w:hAnsi="Times New Roman" w:cs="Times New Roman"/>
                        <w:szCs w:val="21"/>
                      </w:rPr>
                    </w:pPr>
                    <w:r>
                      <w:rPr>
                        <w:rFonts w:ascii="Times New Roman" w:hAnsi="Times New Roman" w:cs="Times New Roman"/>
                        <w:szCs w:val="21"/>
                      </w:rPr>
                      <w:t>其他</w:t>
                    </w:r>
                  </w:p>
                </w:tc>
              </w:sdtContent>
            </w:sdt>
            <w:tc>
              <w:tcPr>
                <w:tcW w:w="1056" w:type="pct"/>
                <w:shd w:val="clear" w:color="auto" w:fill="auto"/>
                <w:vAlign w:val="center"/>
              </w:tcPr>
              <w:p w14:paraId="590360C9" w14:textId="77777777" w:rsidR="00D21C1F" w:rsidRDefault="00A42880">
                <w:pPr>
                  <w:jc w:val="center"/>
                  <w:rPr>
                    <w:rFonts w:ascii="Times New Roman" w:hAnsi="Times New Roman" w:cs="Times New Roman"/>
                    <w:szCs w:val="21"/>
                  </w:rPr>
                </w:pPr>
                <w:r>
                  <w:rPr>
                    <w:rFonts w:ascii="Times New Roman" w:hAnsi="Times New Roman" w:cs="Times New Roman"/>
                    <w:szCs w:val="21"/>
                  </w:rPr>
                  <w:t>公司、控股股东芜湖远宏及一致行动人远大创投、董事及高级管理人员</w:t>
                </w:r>
              </w:p>
            </w:tc>
            <w:tc>
              <w:tcPr>
                <w:tcW w:w="251" w:type="pct"/>
                <w:shd w:val="clear" w:color="auto" w:fill="auto"/>
                <w:vAlign w:val="center"/>
              </w:tcPr>
              <w:p w14:paraId="71A4E119" w14:textId="77777777" w:rsidR="00D21C1F" w:rsidRDefault="00A42880">
                <w:pPr>
                  <w:jc w:val="center"/>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22</w:t>
                </w:r>
              </w:p>
            </w:tc>
            <w:tc>
              <w:tcPr>
                <w:tcW w:w="804" w:type="pct"/>
                <w:shd w:val="clear" w:color="auto" w:fill="auto"/>
                <w:vAlign w:val="center"/>
              </w:tcPr>
              <w:p w14:paraId="5D5C735E"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上市后三年内</w:t>
                </w:r>
              </w:p>
            </w:tc>
            <w:sdt>
              <w:sdtPr>
                <w:rPr>
                  <w:rFonts w:ascii="Times New Roman" w:hAnsi="Times New Roman" w:cs="Times New Roman"/>
                  <w:szCs w:val="21"/>
                </w:rPr>
                <w:alias w:val="与首次公开发行相关的承诺-是否有履行期限"/>
                <w:tag w:val="_GBC_1a64033131a64daa8e3bdd128e9385c8"/>
                <w:id w:val="-1409916530"/>
                <w:lock w:val="sdtLocked"/>
                <w:placeholder>
                  <w:docPart w:val="808A683A33B4426382D758ED824FA477"/>
                </w:placeholder>
                <w:comboBox>
                  <w:listItem w:displayText="是" w:value="true"/>
                  <w:listItem w:displayText="否" w:value="false"/>
                </w:comboBox>
              </w:sdtPr>
              <w:sdtEndPr/>
              <w:sdtContent>
                <w:tc>
                  <w:tcPr>
                    <w:tcW w:w="402" w:type="pct"/>
                    <w:shd w:val="clear" w:color="auto" w:fill="auto"/>
                    <w:vAlign w:val="center"/>
                  </w:tcPr>
                  <w:p w14:paraId="3EC2BD95"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sdt>
              <w:sdtPr>
                <w:rPr>
                  <w:rFonts w:ascii="Times New Roman" w:hAnsi="Times New Roman" w:cs="Times New Roman"/>
                  <w:szCs w:val="21"/>
                </w:rPr>
                <w:alias w:val="与首次公开发行相关的承诺-是否及时严格履行"/>
                <w:tag w:val="_GBC_72e17878bcd24bdb95a1b0936940ee48"/>
                <w:id w:val="-743801992"/>
                <w:lock w:val="sdtLocked"/>
                <w:placeholder>
                  <w:docPart w:val="49AC989A029F4B9A8E600AFA5F811864"/>
                </w:placeholder>
                <w:comboBox>
                  <w:listItem w:displayText="是" w:value="true"/>
                  <w:listItem w:displayText="否" w:value="false"/>
                </w:comboBox>
              </w:sdtPr>
              <w:sdtEndPr/>
              <w:sdtContent>
                <w:tc>
                  <w:tcPr>
                    <w:tcW w:w="397" w:type="pct"/>
                    <w:shd w:val="clear" w:color="auto" w:fill="auto"/>
                    <w:vAlign w:val="center"/>
                  </w:tcPr>
                  <w:p w14:paraId="4FEFCE33" w14:textId="77777777" w:rsidR="00D21C1F" w:rsidRDefault="00A42880">
                    <w:pPr>
                      <w:jc w:val="center"/>
                      <w:rPr>
                        <w:rFonts w:ascii="Times New Roman" w:hAnsi="Times New Roman" w:cs="Times New Roman"/>
                        <w:szCs w:val="21"/>
                      </w:rPr>
                    </w:pPr>
                    <w:r>
                      <w:rPr>
                        <w:rFonts w:ascii="Times New Roman" w:hAnsi="Times New Roman" w:cs="Times New Roman"/>
                        <w:szCs w:val="21"/>
                      </w:rPr>
                      <w:t>是</w:t>
                    </w:r>
                  </w:p>
                </w:tc>
              </w:sdtContent>
            </w:sdt>
            <w:tc>
              <w:tcPr>
                <w:tcW w:w="612" w:type="pct"/>
                <w:shd w:val="clear" w:color="auto" w:fill="auto"/>
                <w:vAlign w:val="center"/>
              </w:tcPr>
              <w:p w14:paraId="3DC668E6"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c>
              <w:tcPr>
                <w:tcW w:w="479" w:type="pct"/>
                <w:shd w:val="clear" w:color="auto" w:fill="auto"/>
                <w:vAlign w:val="center"/>
              </w:tcPr>
              <w:p w14:paraId="7FB30862" w14:textId="77777777" w:rsidR="00D21C1F" w:rsidRDefault="00A42880">
                <w:pPr>
                  <w:jc w:val="center"/>
                  <w:rPr>
                    <w:rFonts w:ascii="Times New Roman" w:hAnsi="Times New Roman" w:cs="Times New Roman"/>
                    <w:szCs w:val="21"/>
                  </w:rPr>
                </w:pPr>
                <w:r>
                  <w:rPr>
                    <w:rFonts w:ascii="Times New Roman" w:hAnsi="Times New Roman" w:cs="Times New Roman" w:hint="eastAsia"/>
                    <w:szCs w:val="21"/>
                  </w:rPr>
                  <w:t>不适用</w:t>
                </w:r>
              </w:p>
            </w:tc>
          </w:tr>
        </w:tbl>
        <w:p w14:paraId="761E2911" w14:textId="77777777" w:rsidR="00D21C1F" w:rsidRDefault="00A42880">
          <w:pPr>
            <w:pStyle w:val="97"/>
            <w:spacing w:line="360" w:lineRule="auto"/>
            <w:ind w:firstLineChars="200" w:firstLine="422"/>
            <w:jc w:val="both"/>
          </w:pPr>
          <w:r>
            <w:rPr>
              <w:rFonts w:ascii="Times New Roman" w:hAnsi="Times New Roman" w:cs="Times New Roman"/>
              <w:b/>
              <w:bCs/>
              <w:szCs w:val="21"/>
            </w:rPr>
            <w:lastRenderedPageBreak/>
            <w:t>注</w:t>
          </w:r>
          <w:r>
            <w:rPr>
              <w:rFonts w:ascii="Times New Roman" w:hAnsi="Times New Roman" w:cs="Times New Roman"/>
              <w:b/>
              <w:bCs/>
              <w:szCs w:val="21"/>
            </w:rPr>
            <w:t>1</w:t>
          </w:r>
          <w:r>
            <w:rPr>
              <w:rFonts w:ascii="Times New Roman" w:hAnsi="Times New Roman" w:cs="Times New Roman" w:hint="eastAsia"/>
              <w:b/>
              <w:bCs/>
              <w:szCs w:val="21"/>
            </w:rPr>
            <w:t>：</w:t>
          </w: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szCs w:val="21"/>
            </w:rPr>
            <w:t>自公司股票上市之日起</w:t>
          </w:r>
          <w:r>
            <w:rPr>
              <w:rFonts w:ascii="Times New Roman" w:hAnsi="Times New Roman" w:cs="Times New Roman"/>
              <w:szCs w:val="21"/>
            </w:rPr>
            <w:t>36</w:t>
          </w:r>
          <w:r>
            <w:rPr>
              <w:rFonts w:ascii="Times New Roman" w:hAnsi="Times New Roman" w:cs="Times New Roman"/>
              <w:szCs w:val="21"/>
            </w:rPr>
            <w:t>个月之内，不转让或者委托他人管理本公司直接和间接持有的公司首次公开发行</w:t>
          </w:r>
          <w:r>
            <w:rPr>
              <w:rFonts w:ascii="Times New Roman" w:hAnsi="Times New Roman" w:cs="Times New Roman"/>
              <w:szCs w:val="21"/>
            </w:rPr>
            <w:t>A</w:t>
          </w:r>
          <w:r>
            <w:rPr>
              <w:rFonts w:ascii="Times New Roman" w:hAnsi="Times New Roman" w:cs="Times New Roman"/>
              <w:szCs w:val="21"/>
            </w:rPr>
            <w:t>股股票前已发行的股份，不由公司回购该部分股份，也不得提议由公司回购该部分股份。</w:t>
          </w:r>
        </w:p>
        <w:p w14:paraId="7E1A646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公司上市时未盈利的，在公司实现盈利前，本公司自公司股票上市之日起</w:t>
          </w:r>
          <w:r>
            <w:rPr>
              <w:rFonts w:ascii="Times New Roman" w:eastAsiaTheme="minorEastAsia" w:hAnsi="Times New Roman" w:cs="Times New Roman"/>
              <w:szCs w:val="21"/>
            </w:rPr>
            <w:t>3</w:t>
          </w:r>
          <w:r>
            <w:rPr>
              <w:rFonts w:ascii="Times New Roman" w:eastAsiaTheme="minorEastAsia" w:hAnsi="Times New Roman" w:cs="Times New Roman"/>
              <w:szCs w:val="21"/>
            </w:rPr>
            <w:t>个完整会计年度内，不转让或者委托他人管理本公司直接和间接持有的公司首次公开发行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股股票前已发行的股份，也不由公司回购该部分股份（即不减持首发前股份）；自公司股票上市之日起第</w:t>
          </w:r>
          <w:r>
            <w:rPr>
              <w:rFonts w:ascii="Times New Roman" w:eastAsiaTheme="minorEastAsia" w:hAnsi="Times New Roman" w:cs="Times New Roman"/>
              <w:szCs w:val="21"/>
            </w:rPr>
            <w:t>4</w:t>
          </w:r>
          <w:r>
            <w:rPr>
              <w:rFonts w:ascii="Times New Roman" w:eastAsiaTheme="minorEastAsia" w:hAnsi="Times New Roman" w:cs="Times New Roman"/>
              <w:szCs w:val="21"/>
            </w:rPr>
            <w:t>个会计年度和第</w:t>
          </w:r>
          <w:r>
            <w:rPr>
              <w:rFonts w:ascii="Times New Roman" w:eastAsiaTheme="minorEastAsia" w:hAnsi="Times New Roman" w:cs="Times New Roman"/>
              <w:szCs w:val="21"/>
            </w:rPr>
            <w:t>5</w:t>
          </w:r>
          <w:r>
            <w:rPr>
              <w:rFonts w:ascii="Times New Roman" w:eastAsiaTheme="minorEastAsia" w:hAnsi="Times New Roman" w:cs="Times New Roman"/>
              <w:szCs w:val="21"/>
            </w:rPr>
            <w:t>个会计年度内，本公司及本公司一致行动人每年减持的首次公开发行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股股票前已发行的股份合计不得超过公司股份总数的</w:t>
          </w:r>
          <w:r>
            <w:rPr>
              <w:rFonts w:ascii="Times New Roman" w:eastAsiaTheme="minorEastAsia" w:hAnsi="Times New Roman" w:cs="Times New Roman"/>
              <w:szCs w:val="21"/>
            </w:rPr>
            <w:t>2%</w:t>
          </w:r>
          <w:r>
            <w:rPr>
              <w:rFonts w:ascii="Times New Roman" w:eastAsiaTheme="minorEastAsia" w:hAnsi="Times New Roman" w:cs="Times New Roman"/>
              <w:szCs w:val="21"/>
            </w:rPr>
            <w:t>，并应当符合《上海证券交易所上市公司股东及董事、监事、高级管理人员减持股份实施细则》关于减持股份的相关规定。</w:t>
          </w:r>
        </w:p>
        <w:p w14:paraId="558B1E6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公司实现盈利后，本公司可以自当年年度报告披露后次日起转让或者委托他人管理本公司直接和间接持有的公司首次公开发行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股股票前已发行的股份，或由公司回购本公司持有的公司股份（即减持首发前股份）；本公司进行上述减持时，应当同时遵守上海证券交易所减持相关规定。</w:t>
          </w:r>
        </w:p>
        <w:p w14:paraId="551B5FC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就本公司减持本公司直接和间接持有的公司首次公开发行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股股票前已发行的股份的，法律法规、《上海证券交易所科创板股票上市规则》以及上海证券交易所业务规则对控股股东、实际控制人股份转让有其他规定的，本公司承诺遵守该等其他规定。</w:t>
          </w:r>
        </w:p>
        <w:p w14:paraId="1635BB12"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公司上市后</w:t>
          </w:r>
          <w:r>
            <w:rPr>
              <w:rFonts w:ascii="Times New Roman" w:eastAsiaTheme="minorEastAsia" w:hAnsi="Times New Roman" w:cs="Times New Roman"/>
              <w:szCs w:val="21"/>
            </w:rPr>
            <w:t>6</w:t>
          </w:r>
          <w:r>
            <w:rPr>
              <w:rFonts w:ascii="Times New Roman" w:eastAsiaTheme="minorEastAsia" w:hAnsi="Times New Roman" w:cs="Times New Roman"/>
              <w:szCs w:val="21"/>
            </w:rPr>
            <w:t>个月内如公司股票连续</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个交易日的收盘价均低于首次公开发行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股股票的发行价格，或者上市后</w:t>
          </w:r>
          <w:r>
            <w:rPr>
              <w:rFonts w:ascii="Times New Roman" w:eastAsiaTheme="minorEastAsia" w:hAnsi="Times New Roman" w:cs="Times New Roman"/>
              <w:szCs w:val="21"/>
            </w:rPr>
            <w:t>6</w:t>
          </w:r>
          <w:r>
            <w:rPr>
              <w:rFonts w:ascii="Times New Roman" w:eastAsiaTheme="minorEastAsia" w:hAnsi="Times New Roman" w:cs="Times New Roman"/>
              <w:szCs w:val="21"/>
            </w:rPr>
            <w:t>个月期末（如该日不是交易日，则为该日后第一个交易日）收盘价低于首次公开发行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股股票的发行价格，本公司持有公司股票的锁定期限自动延长</w:t>
          </w:r>
          <w:r>
            <w:rPr>
              <w:rFonts w:ascii="Times New Roman" w:eastAsiaTheme="minorEastAsia" w:hAnsi="Times New Roman" w:cs="Times New Roman"/>
              <w:szCs w:val="21"/>
            </w:rPr>
            <w:t>6</w:t>
          </w:r>
          <w:r>
            <w:rPr>
              <w:rFonts w:ascii="Times New Roman" w:eastAsiaTheme="minorEastAsia" w:hAnsi="Times New Roman" w:cs="Times New Roman"/>
              <w:szCs w:val="21"/>
            </w:rPr>
            <w:t>个月；如因派发现金红利、送股、转增股本、增发新股等原因进行除权、除息的，上述发行价格作相应调整。</w:t>
          </w:r>
        </w:p>
        <w:p w14:paraId="2656655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5</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如果本公司违反了关于股份锁定期承诺的相关内容，则由此所得的收益归公司。本公司在接到公司董事会发出的本公司违反了关于股份锁定期承诺的通知之日起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5B7AEFEE"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b/>
              <w:bCs/>
              <w:szCs w:val="21"/>
            </w:rPr>
            <w:t>注</w:t>
          </w:r>
          <w:r>
            <w:rPr>
              <w:rFonts w:ascii="Times New Roman" w:eastAsiaTheme="minorEastAsia" w:hAnsi="Times New Roman" w:cs="Times New Roman"/>
              <w:b/>
              <w:bCs/>
              <w:szCs w:val="21"/>
            </w:rPr>
            <w:t>2</w:t>
          </w:r>
          <w:r>
            <w:rPr>
              <w:rFonts w:ascii="Times New Roman" w:eastAsiaTheme="minorEastAsia" w:hAnsi="Times New Roman" w:cs="Times New Roman"/>
              <w:b/>
              <w:bCs/>
              <w:szCs w:val="21"/>
            </w:rPr>
            <w:t>：</w:t>
          </w:r>
          <w:r>
            <w:rPr>
              <w:rFonts w:ascii="Times New Roman" w:eastAsiaTheme="minorEastAsia" w:hAnsi="Times New Roman" w:cs="Times New Roman" w:hint="eastAsia"/>
              <w:szCs w:val="21"/>
            </w:rPr>
            <w:t>1</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自公司股票上市之日起</w:t>
          </w:r>
          <w:r>
            <w:rPr>
              <w:rFonts w:ascii="Times New Roman" w:eastAsiaTheme="minorEastAsia" w:hAnsi="Times New Roman" w:cs="Times New Roman"/>
              <w:szCs w:val="21"/>
            </w:rPr>
            <w:t>36</w:t>
          </w:r>
          <w:r>
            <w:rPr>
              <w:rFonts w:ascii="Times New Roman" w:eastAsiaTheme="minorEastAsia" w:hAnsi="Times New Roman" w:cs="Times New Roman"/>
              <w:szCs w:val="21"/>
            </w:rPr>
            <w:t>个月之内，不转让或者委托他人管理本公司通过远大创投、芜湖远宏直接和间接持有的公司首次公开发行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股股票前已发行的股份，不由公司回购该部分股份，也不得提议由公司回购该部分股份。</w:t>
          </w:r>
        </w:p>
        <w:p w14:paraId="16536D2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公司上市时未盈利的，在公司实现盈利前，本公司自公司股票上市之日起</w:t>
          </w:r>
          <w:r>
            <w:rPr>
              <w:rFonts w:ascii="Times New Roman" w:eastAsiaTheme="minorEastAsia" w:hAnsi="Times New Roman" w:cs="Times New Roman"/>
              <w:szCs w:val="21"/>
            </w:rPr>
            <w:t>3</w:t>
          </w:r>
          <w:r>
            <w:rPr>
              <w:rFonts w:ascii="Times New Roman" w:eastAsiaTheme="minorEastAsia" w:hAnsi="Times New Roman" w:cs="Times New Roman"/>
              <w:szCs w:val="21"/>
            </w:rPr>
            <w:t>个完整会计年度内，不转让或者委托他人管理本公司通过远大创投、芜湖远宏直接和间接持有的公司首次公开发行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股股票前已发行的股份，也不由公司回购该部分股份（即不减持首发前股份）；自公司股票上市之日起第</w:t>
          </w:r>
          <w:r>
            <w:rPr>
              <w:rFonts w:ascii="Times New Roman" w:eastAsiaTheme="minorEastAsia" w:hAnsi="Times New Roman" w:cs="Times New Roman"/>
              <w:szCs w:val="21"/>
            </w:rPr>
            <w:t>4</w:t>
          </w:r>
          <w:r>
            <w:rPr>
              <w:rFonts w:ascii="Times New Roman" w:eastAsiaTheme="minorEastAsia" w:hAnsi="Times New Roman" w:cs="Times New Roman"/>
              <w:szCs w:val="21"/>
            </w:rPr>
            <w:t>个会计年度和第</w:t>
          </w:r>
          <w:r>
            <w:rPr>
              <w:rFonts w:ascii="Times New Roman" w:eastAsiaTheme="minorEastAsia" w:hAnsi="Times New Roman" w:cs="Times New Roman"/>
              <w:szCs w:val="21"/>
            </w:rPr>
            <w:t>5</w:t>
          </w:r>
          <w:r>
            <w:rPr>
              <w:rFonts w:ascii="Times New Roman" w:eastAsiaTheme="minorEastAsia" w:hAnsi="Times New Roman" w:cs="Times New Roman"/>
              <w:szCs w:val="21"/>
            </w:rPr>
            <w:t>个会计年度内，本公司每年减持的通过远大创投、芜湖远宏直接和间接持有的公司首次公开发行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股股票前已发行的股份合计不得超过公司股份总数的</w:t>
          </w:r>
          <w:r>
            <w:rPr>
              <w:rFonts w:ascii="Times New Roman" w:eastAsiaTheme="minorEastAsia" w:hAnsi="Times New Roman" w:cs="Times New Roman"/>
              <w:szCs w:val="21"/>
            </w:rPr>
            <w:t>2%</w:t>
          </w:r>
          <w:r>
            <w:rPr>
              <w:rFonts w:ascii="Times New Roman" w:eastAsiaTheme="minorEastAsia" w:hAnsi="Times New Roman" w:cs="Times New Roman"/>
              <w:szCs w:val="21"/>
            </w:rPr>
            <w:t>，并应当符合《上海证券交易所上市公司股东及董事、监事、高级管理人员减持股份实施细则》关于减持股份的相关规定。</w:t>
          </w:r>
        </w:p>
        <w:p w14:paraId="199050E2"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lastRenderedPageBreak/>
            <w:t>公司实现盈利后，本公司可以自当年年度报告披露后次日起转让或者委托他人管理本公司通过远大创投、芜湖远宏直接和间接持有的公司首次公开发行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股股票前已发行的股份，或由公司回购该部分股份（即减持首发前股份）；进行上述减持时，应当同时遵守上海证券交易所减持相关规定。</w:t>
          </w:r>
        </w:p>
        <w:p w14:paraId="507BB96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3</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就本公司减持本公司通过远大创投、芜湖远宏直接和间接持有的公司首次公开发行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股股票前已发行的股份的，法律法规、《上海证券交易所科创板股票上市规则》以及上海证券交易所业务规则对控股股东、实际控制人股份转让的其他规定，本公司承诺遵守该等其他规定。</w:t>
          </w:r>
        </w:p>
        <w:p w14:paraId="3584935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如果本公司违反了关于股份锁定期承诺的相关内容，则由此所得的收益归公司。本公司在接到公司董事会发出的本公司违反了关于股份锁定期承诺的通知之日起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3A14374F"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b/>
              <w:bCs/>
              <w:szCs w:val="21"/>
            </w:rPr>
            <w:t>注</w:t>
          </w:r>
          <w:r>
            <w:rPr>
              <w:rFonts w:ascii="Times New Roman" w:eastAsiaTheme="minorEastAsia" w:hAnsi="Times New Roman" w:cs="Times New Roman"/>
              <w:b/>
              <w:bCs/>
              <w:szCs w:val="21"/>
            </w:rPr>
            <w:t>3</w:t>
          </w:r>
          <w:r>
            <w:rPr>
              <w:rFonts w:ascii="Times New Roman" w:eastAsiaTheme="minorEastAsia" w:hAnsi="Times New Roman" w:cs="Times New Roman"/>
              <w:b/>
              <w:bCs/>
              <w:szCs w:val="21"/>
            </w:rPr>
            <w:t>：</w:t>
          </w:r>
          <w:r>
            <w:rPr>
              <w:rFonts w:ascii="Times New Roman" w:eastAsiaTheme="minorEastAsia" w:hAnsi="Times New Roman" w:cs="Times New Roman" w:hint="eastAsia"/>
              <w:szCs w:val="21"/>
            </w:rPr>
            <w:t>1</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自公司股票上市之日起</w:t>
          </w:r>
          <w:r>
            <w:rPr>
              <w:rFonts w:ascii="Times New Roman" w:eastAsiaTheme="minorEastAsia" w:hAnsi="Times New Roman" w:cs="Times New Roman"/>
              <w:szCs w:val="21"/>
            </w:rPr>
            <w:t>12</w:t>
          </w:r>
          <w:r>
            <w:rPr>
              <w:rFonts w:ascii="Times New Roman" w:eastAsiaTheme="minorEastAsia" w:hAnsi="Times New Roman" w:cs="Times New Roman"/>
              <w:szCs w:val="21"/>
            </w:rPr>
            <w:t>个月之内，不转让或者委托他人管理本公司</w:t>
          </w:r>
          <w:r>
            <w:rPr>
              <w:rFonts w:ascii="Times New Roman" w:eastAsiaTheme="minorEastAsia" w:hAnsi="Times New Roman" w:cs="Times New Roman"/>
              <w:szCs w:val="21"/>
            </w:rPr>
            <w:t>/</w:t>
          </w:r>
          <w:r>
            <w:rPr>
              <w:rFonts w:ascii="Times New Roman" w:eastAsiaTheme="minorEastAsia" w:hAnsi="Times New Roman" w:cs="Times New Roman"/>
              <w:szCs w:val="21"/>
            </w:rPr>
            <w:t>本人直接和间接持有的公司首次公开发行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w:t>
          </w:r>
        </w:p>
        <w:p w14:paraId="349AA3F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如果本公司</w:t>
          </w:r>
          <w:r>
            <w:rPr>
              <w:rFonts w:ascii="Times New Roman" w:eastAsiaTheme="minorEastAsia" w:hAnsi="Times New Roman" w:cs="Times New Roman"/>
              <w:szCs w:val="21"/>
            </w:rPr>
            <w:t>/</w:t>
          </w:r>
          <w:r>
            <w:rPr>
              <w:rFonts w:ascii="Times New Roman" w:eastAsiaTheme="minorEastAsia" w:hAnsi="Times New Roman" w:cs="Times New Roman"/>
              <w:szCs w:val="21"/>
            </w:rPr>
            <w:t>本人违反了关于股份锁定期承诺的相关内容，则由此所得的收益归公司。本公司</w:t>
          </w:r>
          <w:r>
            <w:rPr>
              <w:rFonts w:ascii="Times New Roman" w:eastAsiaTheme="minorEastAsia" w:hAnsi="Times New Roman" w:cs="Times New Roman"/>
              <w:szCs w:val="21"/>
            </w:rPr>
            <w:t>/</w:t>
          </w:r>
          <w:r>
            <w:rPr>
              <w:rFonts w:ascii="Times New Roman" w:eastAsiaTheme="minorEastAsia" w:hAnsi="Times New Roman" w:cs="Times New Roman"/>
              <w:szCs w:val="21"/>
            </w:rPr>
            <w:t>本人在接到公司董事会发出的本公司</w:t>
          </w:r>
          <w:r>
            <w:rPr>
              <w:rFonts w:ascii="Times New Roman" w:eastAsiaTheme="minorEastAsia" w:hAnsi="Times New Roman" w:cs="Times New Roman"/>
              <w:szCs w:val="21"/>
            </w:rPr>
            <w:t>/</w:t>
          </w:r>
          <w:r>
            <w:rPr>
              <w:rFonts w:ascii="Times New Roman" w:eastAsiaTheme="minorEastAsia" w:hAnsi="Times New Roman" w:cs="Times New Roman"/>
              <w:szCs w:val="21"/>
            </w:rPr>
            <w:t>本人违反了关于股份锁定期承诺的通知之日起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2B914BDE" w14:textId="77777777" w:rsidR="00D21C1F" w:rsidRDefault="00A42880">
          <w:pPr>
            <w:spacing w:line="360" w:lineRule="auto"/>
            <w:ind w:firstLineChars="200" w:firstLine="422"/>
            <w:jc w:val="both"/>
            <w:rPr>
              <w:rFonts w:ascii="Times New Roman" w:eastAsiaTheme="minorEastAsia" w:hAnsi="Times New Roman" w:cs="Times New Roman"/>
              <w:sz w:val="24"/>
            </w:rPr>
          </w:pPr>
          <w:r>
            <w:rPr>
              <w:rFonts w:ascii="Times New Roman" w:eastAsiaTheme="minorEastAsia" w:hAnsi="Times New Roman" w:cs="Times New Roman"/>
              <w:b/>
              <w:bCs/>
              <w:color w:val="000000"/>
              <w:szCs w:val="21"/>
            </w:rPr>
            <w:t>注</w:t>
          </w:r>
          <w:r>
            <w:rPr>
              <w:rFonts w:ascii="Times New Roman" w:eastAsiaTheme="minorEastAsia" w:hAnsi="Times New Roman" w:cs="Times New Roman"/>
              <w:b/>
              <w:bCs/>
              <w:color w:val="000000"/>
              <w:szCs w:val="21"/>
            </w:rPr>
            <w:t>4</w:t>
          </w:r>
          <w:r>
            <w:rPr>
              <w:rFonts w:ascii="Times New Roman" w:eastAsiaTheme="minorEastAsia" w:hAnsi="Times New Roman" w:cs="Times New Roman"/>
              <w:b/>
              <w:bCs/>
              <w:color w:val="000000"/>
              <w:szCs w:val="21"/>
            </w:rPr>
            <w:t>：</w:t>
          </w:r>
          <w:r>
            <w:rPr>
              <w:rFonts w:ascii="Times New Roman" w:eastAsiaTheme="minorEastAsia" w:hAnsi="Times New Roman" w:cs="Times New Roman" w:hint="eastAsia"/>
              <w:color w:val="000000"/>
              <w:szCs w:val="21"/>
            </w:rPr>
            <w:t>1</w:t>
          </w:r>
          <w:r>
            <w:rPr>
              <w:rFonts w:ascii="Times New Roman" w:eastAsiaTheme="minorEastAsia" w:hAnsi="Times New Roman" w:cs="Times New Roman" w:hint="eastAsia"/>
              <w:color w:val="000000"/>
              <w:szCs w:val="21"/>
            </w:rPr>
            <w:t>、</w:t>
          </w:r>
          <w:r>
            <w:rPr>
              <w:rFonts w:ascii="Times New Roman" w:eastAsiaTheme="minorEastAsia" w:hAnsi="Times New Roman" w:cs="Times New Roman"/>
              <w:color w:val="000000"/>
              <w:szCs w:val="21"/>
            </w:rPr>
            <w:t>自公司股票上市之日起</w:t>
          </w:r>
          <w:r>
            <w:rPr>
              <w:rFonts w:ascii="Times New Roman" w:eastAsiaTheme="minorEastAsia" w:hAnsi="Times New Roman" w:cs="Times New Roman"/>
              <w:color w:val="000000"/>
              <w:szCs w:val="21"/>
            </w:rPr>
            <w:t xml:space="preserve"> 12</w:t>
          </w:r>
          <w:r>
            <w:rPr>
              <w:rFonts w:ascii="Times New Roman" w:eastAsiaTheme="minorEastAsia" w:hAnsi="Times New Roman" w:cs="Times New Roman"/>
              <w:color w:val="000000"/>
              <w:szCs w:val="21"/>
            </w:rPr>
            <w:t>个月之内，遵守法律法规关于股票限售的规定。</w:t>
          </w:r>
          <w:r>
            <w:rPr>
              <w:rFonts w:ascii="Times New Roman" w:eastAsiaTheme="minorEastAsia" w:hAnsi="Times New Roman" w:cs="Times New Roman"/>
              <w:color w:val="000000"/>
              <w:szCs w:val="21"/>
            </w:rPr>
            <w:t xml:space="preserve"> </w:t>
          </w:r>
        </w:p>
        <w:p w14:paraId="00185746" w14:textId="77777777" w:rsidR="00D21C1F" w:rsidRDefault="00A42880">
          <w:pPr>
            <w:spacing w:line="360" w:lineRule="auto"/>
            <w:ind w:firstLineChars="200" w:firstLine="420"/>
            <w:jc w:val="both"/>
            <w:rPr>
              <w:rFonts w:ascii="Times New Roman" w:eastAsiaTheme="minorEastAsia" w:hAnsi="Times New Roman" w:cs="Times New Roman"/>
              <w:sz w:val="24"/>
            </w:rPr>
          </w:pPr>
          <w:r>
            <w:rPr>
              <w:rFonts w:ascii="Times New Roman" w:eastAsiaTheme="minorEastAsia" w:hAnsi="Times New Roman" w:cs="Times New Roman"/>
              <w:color w:val="000000"/>
              <w:szCs w:val="21"/>
            </w:rPr>
            <w:t>2</w:t>
          </w:r>
          <w:r>
            <w:rPr>
              <w:rFonts w:ascii="Times New Roman" w:eastAsiaTheme="minorEastAsia" w:hAnsi="Times New Roman" w:cs="Times New Roman" w:hint="eastAsia"/>
              <w:color w:val="000000"/>
              <w:szCs w:val="21"/>
            </w:rPr>
            <w:t>、</w:t>
          </w:r>
          <w:r>
            <w:rPr>
              <w:rFonts w:ascii="Times New Roman" w:eastAsiaTheme="minorEastAsia" w:hAnsi="Times New Roman" w:cs="Times New Roman"/>
              <w:color w:val="000000"/>
              <w:szCs w:val="21"/>
            </w:rPr>
            <w:t>如果本公司违反了关于股份锁定期承诺的相关内容，则本公司将承担有关法定责任。</w:t>
          </w:r>
        </w:p>
        <w:p w14:paraId="40D8C0D1" w14:textId="77777777" w:rsidR="00D21C1F" w:rsidRDefault="00A42880">
          <w:pPr>
            <w:spacing w:line="360" w:lineRule="auto"/>
            <w:ind w:firstLineChars="200" w:firstLine="422"/>
            <w:jc w:val="both"/>
            <w:rPr>
              <w:rFonts w:ascii="Times New Roman" w:eastAsiaTheme="minorEastAsia" w:hAnsi="Times New Roman" w:cs="Times New Roman"/>
              <w:color w:val="000000"/>
              <w:szCs w:val="21"/>
            </w:rPr>
          </w:pPr>
          <w:r>
            <w:rPr>
              <w:rFonts w:ascii="Times New Roman" w:eastAsiaTheme="minorEastAsia" w:hAnsi="Times New Roman" w:cs="Times New Roman"/>
              <w:b/>
              <w:bCs/>
            </w:rPr>
            <w:t>注</w:t>
          </w:r>
          <w:r>
            <w:rPr>
              <w:rFonts w:ascii="Times New Roman" w:eastAsiaTheme="minorEastAsia" w:hAnsi="Times New Roman" w:cs="Times New Roman"/>
              <w:b/>
              <w:bCs/>
            </w:rPr>
            <w:t>5</w:t>
          </w:r>
          <w:r>
            <w:rPr>
              <w:rFonts w:ascii="Times New Roman" w:eastAsiaTheme="minorEastAsia" w:hAnsi="Times New Roman" w:cs="Times New Roman" w:hint="eastAsia"/>
              <w:b/>
              <w:bCs/>
            </w:rPr>
            <w:t>：</w:t>
          </w:r>
          <w:r>
            <w:rPr>
              <w:rFonts w:ascii="Times New Roman" w:eastAsiaTheme="minorEastAsia" w:hAnsi="Times New Roman" w:cs="Times New Roman" w:hint="eastAsia"/>
            </w:rPr>
            <w:t>1</w:t>
          </w:r>
          <w:r>
            <w:rPr>
              <w:rFonts w:ascii="Times New Roman" w:eastAsiaTheme="minorEastAsia" w:hAnsi="Times New Roman" w:cs="Times New Roman" w:hint="eastAsia"/>
            </w:rPr>
            <w:t>、</w:t>
          </w:r>
          <w:r>
            <w:rPr>
              <w:rFonts w:ascii="Times New Roman" w:eastAsiaTheme="minorEastAsia" w:hAnsi="Times New Roman" w:cs="Times New Roman"/>
              <w:color w:val="000000"/>
              <w:szCs w:val="21"/>
            </w:rPr>
            <w:t>自公司股票上市之日起</w:t>
          </w:r>
          <w:r>
            <w:rPr>
              <w:rFonts w:ascii="Times New Roman" w:eastAsiaTheme="minorEastAsia" w:hAnsi="Times New Roman" w:cs="Times New Roman"/>
              <w:color w:val="000000"/>
              <w:szCs w:val="21"/>
            </w:rPr>
            <w:t xml:space="preserve"> 12</w:t>
          </w:r>
          <w:r>
            <w:rPr>
              <w:rFonts w:ascii="Times New Roman" w:eastAsiaTheme="minorEastAsia" w:hAnsi="Times New Roman" w:cs="Times New Roman"/>
              <w:color w:val="000000"/>
              <w:szCs w:val="21"/>
            </w:rPr>
            <w:t>个月之内，不转让或者委托他人管理本企业通过认购公司第一次增资取得的</w:t>
          </w:r>
          <w:r>
            <w:rPr>
              <w:rFonts w:ascii="Times New Roman" w:eastAsiaTheme="minorEastAsia" w:hAnsi="Times New Roman" w:cs="Times New Roman"/>
              <w:color w:val="000000"/>
              <w:szCs w:val="21"/>
            </w:rPr>
            <w:t xml:space="preserve">4,933.3333 </w:t>
          </w:r>
          <w:r>
            <w:rPr>
              <w:rFonts w:ascii="Times New Roman" w:eastAsiaTheme="minorEastAsia" w:hAnsi="Times New Roman" w:cs="Times New Roman"/>
              <w:color w:val="000000"/>
              <w:szCs w:val="21"/>
            </w:rPr>
            <w:t>万股股份，也不由公司回购该部分股份。自公司就第二次增资完成增资扩股工商变更登记手续之日（即</w:t>
          </w:r>
          <w:r>
            <w:rPr>
              <w:rFonts w:ascii="Times New Roman" w:eastAsiaTheme="minorEastAsia" w:hAnsi="Times New Roman" w:cs="Times New Roman"/>
              <w:color w:val="000000"/>
              <w:szCs w:val="21"/>
            </w:rPr>
            <w:t xml:space="preserve"> 2018 </w:t>
          </w:r>
          <w:r>
            <w:rPr>
              <w:rFonts w:ascii="Times New Roman" w:eastAsiaTheme="minorEastAsia" w:hAnsi="Times New Roman" w:cs="Times New Roman"/>
              <w:color w:val="000000"/>
              <w:szCs w:val="21"/>
            </w:rPr>
            <w:t>年</w:t>
          </w:r>
          <w:r>
            <w:rPr>
              <w:rFonts w:ascii="Times New Roman" w:eastAsiaTheme="minorEastAsia" w:hAnsi="Times New Roman" w:cs="Times New Roman"/>
              <w:color w:val="000000"/>
              <w:szCs w:val="21"/>
            </w:rPr>
            <w:t xml:space="preserve"> 12 </w:t>
          </w:r>
          <w:r>
            <w:rPr>
              <w:rFonts w:ascii="Times New Roman" w:eastAsiaTheme="minorEastAsia" w:hAnsi="Times New Roman" w:cs="Times New Roman"/>
              <w:color w:val="000000"/>
              <w:szCs w:val="21"/>
            </w:rPr>
            <w:t>月</w:t>
          </w:r>
          <w:r>
            <w:rPr>
              <w:rFonts w:ascii="Times New Roman" w:eastAsiaTheme="minorEastAsia" w:hAnsi="Times New Roman" w:cs="Times New Roman"/>
              <w:color w:val="000000"/>
              <w:szCs w:val="21"/>
            </w:rPr>
            <w:t xml:space="preserve"> 28 </w:t>
          </w:r>
          <w:r>
            <w:rPr>
              <w:rFonts w:ascii="Times New Roman" w:eastAsiaTheme="minorEastAsia" w:hAnsi="Times New Roman" w:cs="Times New Roman"/>
              <w:color w:val="000000"/>
              <w:szCs w:val="21"/>
            </w:rPr>
            <w:t>日）起</w:t>
          </w:r>
          <w:r>
            <w:rPr>
              <w:rFonts w:ascii="Times New Roman" w:eastAsiaTheme="minorEastAsia" w:hAnsi="Times New Roman" w:cs="Times New Roman"/>
              <w:color w:val="000000"/>
              <w:szCs w:val="21"/>
            </w:rPr>
            <w:t xml:space="preserve"> 36 </w:t>
          </w:r>
          <w:r>
            <w:rPr>
              <w:rFonts w:ascii="Times New Roman" w:eastAsiaTheme="minorEastAsia" w:hAnsi="Times New Roman" w:cs="Times New Roman"/>
              <w:color w:val="000000"/>
              <w:szCs w:val="21"/>
            </w:rPr>
            <w:t>个月内，不转让或者委托他人管理本企业通过认购公司第二次增资取得的</w:t>
          </w:r>
          <w:r>
            <w:rPr>
              <w:rFonts w:ascii="Times New Roman" w:eastAsiaTheme="minorEastAsia" w:hAnsi="Times New Roman" w:cs="Times New Roman"/>
              <w:color w:val="000000"/>
              <w:szCs w:val="21"/>
            </w:rPr>
            <w:t xml:space="preserve"> 111.1111 </w:t>
          </w:r>
          <w:r>
            <w:rPr>
              <w:rFonts w:ascii="Times New Roman" w:eastAsiaTheme="minorEastAsia" w:hAnsi="Times New Roman" w:cs="Times New Roman"/>
              <w:color w:val="000000"/>
              <w:szCs w:val="21"/>
            </w:rPr>
            <w:t>万股股份，也不由公司回购该部分股份。</w:t>
          </w:r>
        </w:p>
        <w:p w14:paraId="5669E81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如果本企业违反了关于股份锁定期承诺的相关内容，则由此所得的收益归公司。本企业在接到公司董事会发出的本企业违反了关于股份锁定期承诺的通知之日起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37F9C3DA"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b/>
              <w:bCs/>
              <w:szCs w:val="21"/>
            </w:rPr>
            <w:t>注</w:t>
          </w:r>
          <w:r>
            <w:rPr>
              <w:rFonts w:ascii="Times New Roman" w:eastAsiaTheme="minorEastAsia" w:hAnsi="Times New Roman" w:cs="Times New Roman"/>
              <w:b/>
              <w:bCs/>
              <w:szCs w:val="21"/>
            </w:rPr>
            <w:t>6</w:t>
          </w:r>
          <w:r>
            <w:rPr>
              <w:rFonts w:ascii="Times New Roman" w:eastAsiaTheme="minorEastAsia" w:hAnsi="Times New Roman" w:cs="Times New Roman"/>
              <w:b/>
              <w:bCs/>
              <w:szCs w:val="21"/>
            </w:rPr>
            <w:t>：</w:t>
          </w:r>
          <w:r>
            <w:rPr>
              <w:rFonts w:ascii="Times New Roman" w:eastAsiaTheme="minorEastAsia" w:hAnsi="Times New Roman" w:cs="Times New Roman" w:hint="eastAsia"/>
              <w:szCs w:val="21"/>
            </w:rPr>
            <w:t>1</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自公司就本次增资完成工商变更登记手续之日（即</w:t>
          </w:r>
          <w:r>
            <w:rPr>
              <w:rFonts w:ascii="Times New Roman" w:eastAsiaTheme="minorEastAsia" w:hAnsi="Times New Roman" w:cs="Times New Roman"/>
              <w:szCs w:val="21"/>
            </w:rPr>
            <w:t>2018</w:t>
          </w:r>
          <w:r>
            <w:rPr>
              <w:rFonts w:ascii="Times New Roman" w:eastAsiaTheme="minorEastAsia" w:hAnsi="Times New Roman" w:cs="Times New Roman"/>
              <w:szCs w:val="21"/>
            </w:rPr>
            <w:t>年</w:t>
          </w:r>
          <w:r>
            <w:rPr>
              <w:rFonts w:ascii="Times New Roman" w:eastAsiaTheme="minorEastAsia" w:hAnsi="Times New Roman" w:cs="Times New Roman"/>
              <w:szCs w:val="21"/>
            </w:rPr>
            <w:t>12</w:t>
          </w:r>
          <w:r>
            <w:rPr>
              <w:rFonts w:ascii="Times New Roman" w:eastAsiaTheme="minorEastAsia" w:hAnsi="Times New Roman" w:cs="Times New Roman"/>
              <w:szCs w:val="21"/>
            </w:rPr>
            <w:t>月</w:t>
          </w:r>
          <w:r>
            <w:rPr>
              <w:rFonts w:ascii="Times New Roman" w:eastAsiaTheme="minorEastAsia" w:hAnsi="Times New Roman" w:cs="Times New Roman"/>
              <w:szCs w:val="21"/>
            </w:rPr>
            <w:t>28</w:t>
          </w:r>
          <w:r>
            <w:rPr>
              <w:rFonts w:ascii="Times New Roman" w:eastAsiaTheme="minorEastAsia" w:hAnsi="Times New Roman" w:cs="Times New Roman"/>
              <w:szCs w:val="21"/>
            </w:rPr>
            <w:t>日）起</w:t>
          </w:r>
          <w:r>
            <w:rPr>
              <w:rFonts w:ascii="Times New Roman" w:eastAsiaTheme="minorEastAsia" w:hAnsi="Times New Roman" w:cs="Times New Roman"/>
              <w:szCs w:val="21"/>
            </w:rPr>
            <w:t>36</w:t>
          </w:r>
          <w:r>
            <w:rPr>
              <w:rFonts w:ascii="Times New Roman" w:eastAsiaTheme="minorEastAsia" w:hAnsi="Times New Roman" w:cs="Times New Roman"/>
              <w:szCs w:val="21"/>
            </w:rPr>
            <w:t>个月内，不转让或者委托他人管理本企业直接和间接持有的公司首次公开发行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w:t>
          </w:r>
        </w:p>
        <w:p w14:paraId="03DB419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如果本企业违反了关于股份锁定期承诺的相关内容，则由此所得的收益归公司。本企业在接到公司董事会发出的本企业违反了关于股份锁定期承诺的通知之日起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0D6FE499"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lastRenderedPageBreak/>
            <w:t>注</w:t>
          </w:r>
          <w:r>
            <w:rPr>
              <w:rFonts w:ascii="Times New Roman" w:eastAsiaTheme="minorEastAsia" w:hAnsi="Times New Roman" w:cs="Times New Roman" w:hint="eastAsia"/>
              <w:b/>
              <w:bCs/>
              <w:szCs w:val="21"/>
            </w:rPr>
            <w:t>7</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自埃夫特公司股票上市之日起</w:t>
          </w:r>
          <w:r>
            <w:rPr>
              <w:rFonts w:ascii="Times New Roman" w:eastAsiaTheme="minorEastAsia" w:hAnsi="Times New Roman" w:cs="Times New Roman"/>
              <w:szCs w:val="21"/>
            </w:rPr>
            <w:t>12</w:t>
          </w:r>
          <w:r>
            <w:rPr>
              <w:rFonts w:ascii="Times New Roman" w:eastAsiaTheme="minorEastAsia" w:hAnsi="Times New Roman" w:cs="Times New Roman"/>
              <w:szCs w:val="21"/>
            </w:rPr>
            <w:t>个月内，不转让或者委托他人管理本公司直接和间接持有的埃夫特公司首次公开发行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股股票前已发行的股份，也不由埃夫特公司回购该部分股份。</w:t>
          </w:r>
        </w:p>
        <w:p w14:paraId="18A1718A"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8</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一、公司间接持有公司股份的董事、高级管理人员许礼进、游玮、曾辉、倪申来、张帷、董茂年、贾昌荣、王富康承诺：</w:t>
          </w:r>
        </w:p>
        <w:p w14:paraId="048D783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、自公司股票上市之日起</w:t>
          </w:r>
          <w:r>
            <w:rPr>
              <w:rFonts w:ascii="Times New Roman" w:eastAsiaTheme="minorEastAsia" w:hAnsi="Times New Roman" w:cs="Times New Roman"/>
              <w:szCs w:val="21"/>
            </w:rPr>
            <w:t>12</w:t>
          </w:r>
          <w:r>
            <w:rPr>
              <w:rFonts w:ascii="Times New Roman" w:eastAsiaTheme="minorEastAsia" w:hAnsi="Times New Roman" w:cs="Times New Roman"/>
              <w:szCs w:val="21"/>
            </w:rPr>
            <w:t>个月之内，不转让或者委托他人管理本人直接和间接持有的公司首次公开发行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w:t>
          </w:r>
        </w:p>
        <w:p w14:paraId="424917C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、公司上市时未盈利的，在公司实现盈利前，本人自公司股票上市之日起</w:t>
          </w:r>
          <w:r>
            <w:rPr>
              <w:rFonts w:ascii="Times New Roman" w:eastAsiaTheme="minorEastAsia" w:hAnsi="Times New Roman" w:cs="Times New Roman"/>
              <w:szCs w:val="21"/>
            </w:rPr>
            <w:t>3</w:t>
          </w:r>
          <w:r>
            <w:rPr>
              <w:rFonts w:ascii="Times New Roman" w:eastAsiaTheme="minorEastAsia" w:hAnsi="Times New Roman" w:cs="Times New Roman"/>
              <w:szCs w:val="21"/>
            </w:rPr>
            <w:t>个完整会计年度内，不转让或者委托他人管理本人直接和间接持有的公司首次公开发行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海证券交易所的相关规定。</w:t>
          </w:r>
        </w:p>
        <w:p w14:paraId="0922835E"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、公司上市后</w:t>
          </w:r>
          <w:r>
            <w:rPr>
              <w:rFonts w:ascii="Times New Roman" w:eastAsiaTheme="minorEastAsia" w:hAnsi="Times New Roman" w:cs="Times New Roman"/>
              <w:szCs w:val="21"/>
            </w:rPr>
            <w:t>6</w:t>
          </w:r>
          <w:r>
            <w:rPr>
              <w:rFonts w:ascii="Times New Roman" w:eastAsiaTheme="minorEastAsia" w:hAnsi="Times New Roman" w:cs="Times New Roman"/>
              <w:szCs w:val="21"/>
            </w:rPr>
            <w:t>个月内如公司股票连续</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个交易日的收盘价均低于首次公开发行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股股票的发行价格，或者上市后</w:t>
          </w:r>
          <w:r>
            <w:rPr>
              <w:rFonts w:ascii="Times New Roman" w:eastAsiaTheme="minorEastAsia" w:hAnsi="Times New Roman" w:cs="Times New Roman"/>
              <w:szCs w:val="21"/>
            </w:rPr>
            <w:t>6</w:t>
          </w:r>
          <w:r>
            <w:rPr>
              <w:rFonts w:ascii="Times New Roman" w:eastAsiaTheme="minorEastAsia" w:hAnsi="Times New Roman" w:cs="Times New Roman"/>
              <w:szCs w:val="21"/>
            </w:rPr>
            <w:t>个月期末（如该日不是交易日，则为该日后第一个交易日）收盘价低于首次公开发行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股股票的发行价格，本人直接或间接持有公司</w:t>
          </w:r>
          <w:r>
            <w:rPr>
              <w:rFonts w:ascii="Times New Roman" w:eastAsiaTheme="minorEastAsia" w:hAnsi="Times New Roman" w:cs="Times New Roman"/>
              <w:szCs w:val="21"/>
            </w:rPr>
            <w:t>A</w:t>
          </w:r>
          <w:r>
            <w:rPr>
              <w:rFonts w:ascii="Times New Roman" w:eastAsiaTheme="minorEastAsia" w:hAnsi="Times New Roman" w:cs="Times New Roman"/>
              <w:szCs w:val="21"/>
            </w:rPr>
            <w:t>股股票的锁定期限自动延长</w:t>
          </w:r>
          <w:r>
            <w:rPr>
              <w:rFonts w:ascii="Times New Roman" w:eastAsiaTheme="minorEastAsia" w:hAnsi="Times New Roman" w:cs="Times New Roman"/>
              <w:szCs w:val="21"/>
            </w:rPr>
            <w:t>6</w:t>
          </w:r>
          <w:r>
            <w:rPr>
              <w:rFonts w:ascii="Times New Roman" w:eastAsiaTheme="minorEastAsia" w:hAnsi="Times New Roman" w:cs="Times New Roman"/>
              <w:szCs w:val="21"/>
            </w:rPr>
            <w:t>个月；如因派发现金红利、送股、转增股本、增发新股等原因进行除权、除息的，上述发行价格作相应调整。</w:t>
          </w:r>
        </w:p>
        <w:p w14:paraId="0C165E9B"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、限售期满后，在本人任职公司董事</w:t>
          </w:r>
          <w:r>
            <w:rPr>
              <w:rFonts w:ascii="Times New Roman" w:eastAsiaTheme="minorEastAsia" w:hAnsi="Times New Roman" w:cs="Times New Roman"/>
              <w:szCs w:val="21"/>
            </w:rPr>
            <w:t>/</w:t>
          </w:r>
          <w:r>
            <w:rPr>
              <w:rFonts w:ascii="Times New Roman" w:eastAsiaTheme="minorEastAsia" w:hAnsi="Times New Roman" w:cs="Times New Roman"/>
              <w:szCs w:val="21"/>
            </w:rPr>
            <w:t>监事</w:t>
          </w:r>
          <w:r>
            <w:rPr>
              <w:rFonts w:ascii="Times New Roman" w:eastAsiaTheme="minorEastAsia" w:hAnsi="Times New Roman" w:cs="Times New Roman"/>
              <w:szCs w:val="21"/>
            </w:rPr>
            <w:t>/</w:t>
          </w:r>
          <w:r>
            <w:rPr>
              <w:rFonts w:ascii="Times New Roman" w:eastAsiaTheme="minorEastAsia" w:hAnsi="Times New Roman" w:cs="Times New Roman"/>
              <w:szCs w:val="21"/>
            </w:rPr>
            <w:t>高级管理人员期间，每年转让的股份不超过本人所持有的公司股份总数的</w:t>
          </w:r>
          <w:r>
            <w:rPr>
              <w:rFonts w:ascii="Times New Roman" w:eastAsiaTheme="minorEastAsia" w:hAnsi="Times New Roman" w:cs="Times New Roman"/>
              <w:szCs w:val="21"/>
            </w:rPr>
            <w:t>25%</w:t>
          </w:r>
          <w:r>
            <w:rPr>
              <w:rFonts w:ascii="Times New Roman" w:eastAsiaTheme="minorEastAsia" w:hAnsi="Times New Roman" w:cs="Times New Roman"/>
              <w:szCs w:val="21"/>
            </w:rPr>
            <w:t>，并且在卖出后</w:t>
          </w:r>
          <w:r>
            <w:rPr>
              <w:rFonts w:ascii="Times New Roman" w:eastAsiaTheme="minorEastAsia" w:hAnsi="Times New Roman" w:cs="Times New Roman"/>
              <w:szCs w:val="21"/>
            </w:rPr>
            <w:t>6</w:t>
          </w:r>
          <w:r>
            <w:rPr>
              <w:rFonts w:ascii="Times New Roman" w:eastAsiaTheme="minorEastAsia" w:hAnsi="Times New Roman" w:cs="Times New Roman"/>
              <w:szCs w:val="21"/>
            </w:rPr>
            <w:t>个月内不再买入公司的股份，买入后</w:t>
          </w:r>
          <w:r>
            <w:rPr>
              <w:rFonts w:ascii="Times New Roman" w:eastAsiaTheme="minorEastAsia" w:hAnsi="Times New Roman" w:cs="Times New Roman"/>
              <w:szCs w:val="21"/>
            </w:rPr>
            <w:t>6</w:t>
          </w:r>
          <w:r>
            <w:rPr>
              <w:rFonts w:ascii="Times New Roman" w:eastAsiaTheme="minorEastAsia" w:hAnsi="Times New Roman" w:cs="Times New Roman"/>
              <w:szCs w:val="21"/>
            </w:rPr>
            <w:t>个月内不再卖出公司股份；离职后</w:t>
          </w:r>
          <w:r>
            <w:rPr>
              <w:rFonts w:ascii="Times New Roman" w:eastAsiaTheme="minorEastAsia" w:hAnsi="Times New Roman" w:cs="Times New Roman"/>
              <w:szCs w:val="21"/>
            </w:rPr>
            <w:t>6</w:t>
          </w:r>
          <w:r>
            <w:rPr>
              <w:rFonts w:ascii="Times New Roman" w:eastAsiaTheme="minorEastAsia" w:hAnsi="Times New Roman" w:cs="Times New Roman"/>
              <w:szCs w:val="21"/>
            </w:rPr>
            <w:t>个月内，不转让本人所持公司股份。</w:t>
          </w:r>
        </w:p>
        <w:p w14:paraId="51380F4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5</w:t>
          </w:r>
          <w:r>
            <w:rPr>
              <w:rFonts w:ascii="Times New Roman" w:eastAsiaTheme="minorEastAsia" w:hAnsi="Times New Roman" w:cs="Times New Roman"/>
              <w:szCs w:val="21"/>
            </w:rPr>
            <w:t>、在股份锁定期满后</w:t>
          </w:r>
          <w:r>
            <w:rPr>
              <w:rFonts w:ascii="Times New Roman" w:eastAsiaTheme="minorEastAsia" w:hAnsi="Times New Roman" w:cs="Times New Roman"/>
              <w:szCs w:val="21"/>
            </w:rPr>
            <w:t>2</w:t>
          </w:r>
          <w:r>
            <w:rPr>
              <w:rFonts w:ascii="Times New Roman" w:eastAsiaTheme="minorEastAsia" w:hAnsi="Times New Roman" w:cs="Times New Roman"/>
              <w:szCs w:val="21"/>
            </w:rPr>
            <w:t>年内，如本人确定依法减持公司股份的，将以不低于公司首次公开发行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股股票的发行价格进行减持。如自首次公开发行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股股票至披露减持公告期间公司发生过派息、送股、公积金转增股本、配股等除权除息事项的，本人的减持价格应相应调整。</w:t>
          </w:r>
        </w:p>
        <w:p w14:paraId="6EAF5F73"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6</w:t>
          </w:r>
          <w:r>
            <w:rPr>
              <w:rFonts w:ascii="Times New Roman" w:eastAsiaTheme="minorEastAsia" w:hAnsi="Times New Roman" w:cs="Times New Roman"/>
              <w:szCs w:val="21"/>
            </w:rPr>
            <w:t>、如果本人违反了关于股份锁定期承诺的相关内容，则由此所得的收益归公司。本人在接到公司董事会发出的本人违反了关于股份锁定期承诺的通知之日起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58EDA940" w14:textId="0AC0E1DA"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二、公司</w:t>
          </w:r>
          <w:r w:rsidR="00D01866">
            <w:rPr>
              <w:rFonts w:ascii="Times New Roman" w:eastAsiaTheme="minorEastAsia" w:hAnsi="Times New Roman" w:cs="Times New Roman" w:hint="eastAsia"/>
              <w:szCs w:val="21"/>
            </w:rPr>
            <w:t>间接持</w:t>
          </w:r>
          <w:r>
            <w:rPr>
              <w:rFonts w:ascii="Times New Roman" w:eastAsiaTheme="minorEastAsia" w:hAnsi="Times New Roman" w:cs="Times New Roman" w:hint="eastAsia"/>
              <w:szCs w:val="21"/>
            </w:rPr>
            <w:t>有公司股份的监事肖永强、</w:t>
          </w:r>
          <w:r>
            <w:rPr>
              <w:rFonts w:ascii="Times New Roman" w:eastAsiaTheme="minorEastAsia" w:hAnsi="Times New Roman" w:cs="Times New Roman"/>
              <w:szCs w:val="21"/>
            </w:rPr>
            <w:t>Fabrizio Ceresa</w:t>
          </w:r>
          <w:r w:rsidR="00BC5326">
            <w:rPr>
              <w:rFonts w:ascii="Times New Roman" w:eastAsiaTheme="minorEastAsia" w:hAnsi="Times New Roman" w:cs="Times New Roman" w:hint="eastAsia"/>
              <w:szCs w:val="21"/>
            </w:rPr>
            <w:t>以及直接持有公司股份的监事</w:t>
          </w:r>
          <w:r>
            <w:rPr>
              <w:rFonts w:ascii="Times New Roman" w:eastAsiaTheme="minorEastAsia" w:hAnsi="Times New Roman" w:cs="Times New Roman"/>
              <w:szCs w:val="21"/>
            </w:rPr>
            <w:t>Sergio Della Mea</w:t>
          </w:r>
          <w:r>
            <w:rPr>
              <w:rFonts w:ascii="Times New Roman" w:eastAsiaTheme="minorEastAsia" w:hAnsi="Times New Roman" w:cs="Times New Roman"/>
              <w:szCs w:val="21"/>
            </w:rPr>
            <w:t>承诺：</w:t>
          </w:r>
        </w:p>
        <w:p w14:paraId="3082DA7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、自公司股票上市之日起</w:t>
          </w:r>
          <w:r>
            <w:rPr>
              <w:rFonts w:ascii="Times New Roman" w:eastAsiaTheme="minorEastAsia" w:hAnsi="Times New Roman" w:cs="Times New Roman"/>
              <w:szCs w:val="21"/>
            </w:rPr>
            <w:t>12</w:t>
          </w:r>
          <w:r>
            <w:rPr>
              <w:rFonts w:ascii="Times New Roman" w:eastAsiaTheme="minorEastAsia" w:hAnsi="Times New Roman" w:cs="Times New Roman"/>
              <w:szCs w:val="21"/>
            </w:rPr>
            <w:t>个月之内，不转让或者委托他人管理本人直接和间接持有的公司首次公开发行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w:t>
          </w:r>
        </w:p>
        <w:p w14:paraId="2702BA8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lastRenderedPageBreak/>
            <w:t>2</w:t>
          </w:r>
          <w:r>
            <w:rPr>
              <w:rFonts w:ascii="Times New Roman" w:eastAsiaTheme="minorEastAsia" w:hAnsi="Times New Roman" w:cs="Times New Roman"/>
              <w:szCs w:val="21"/>
            </w:rPr>
            <w:t>、公司上市时未盈利的，在公司实现盈利前，本人自公司股票上市之日起</w:t>
          </w:r>
          <w:r>
            <w:rPr>
              <w:rFonts w:ascii="Times New Roman" w:eastAsiaTheme="minorEastAsia" w:hAnsi="Times New Roman" w:cs="Times New Roman"/>
              <w:szCs w:val="21"/>
            </w:rPr>
            <w:t>3</w:t>
          </w:r>
          <w:r>
            <w:rPr>
              <w:rFonts w:ascii="Times New Roman" w:eastAsiaTheme="minorEastAsia" w:hAnsi="Times New Roman" w:cs="Times New Roman"/>
              <w:szCs w:val="21"/>
            </w:rPr>
            <w:t>个完整会计年度内，不转让或者委托他人管理本人直接和间接持有的公司首次公开发行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海证券交易所的相关规定。</w:t>
          </w:r>
        </w:p>
        <w:p w14:paraId="2EBA9D9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、限售期满后，在本人任职公司董事</w:t>
          </w:r>
          <w:r>
            <w:rPr>
              <w:rFonts w:ascii="Times New Roman" w:eastAsiaTheme="minorEastAsia" w:hAnsi="Times New Roman" w:cs="Times New Roman"/>
              <w:szCs w:val="21"/>
            </w:rPr>
            <w:t>/</w:t>
          </w:r>
          <w:r>
            <w:rPr>
              <w:rFonts w:ascii="Times New Roman" w:eastAsiaTheme="minorEastAsia" w:hAnsi="Times New Roman" w:cs="Times New Roman"/>
              <w:szCs w:val="21"/>
            </w:rPr>
            <w:t>监事</w:t>
          </w:r>
          <w:r>
            <w:rPr>
              <w:rFonts w:ascii="Times New Roman" w:eastAsiaTheme="minorEastAsia" w:hAnsi="Times New Roman" w:cs="Times New Roman"/>
              <w:szCs w:val="21"/>
            </w:rPr>
            <w:t>/</w:t>
          </w:r>
          <w:r>
            <w:rPr>
              <w:rFonts w:ascii="Times New Roman" w:eastAsiaTheme="minorEastAsia" w:hAnsi="Times New Roman" w:cs="Times New Roman"/>
              <w:szCs w:val="21"/>
            </w:rPr>
            <w:t>高级管理人员期间，每年转让的股份不超过本人所持有的公司股份总数的</w:t>
          </w:r>
          <w:r>
            <w:rPr>
              <w:rFonts w:ascii="Times New Roman" w:eastAsiaTheme="minorEastAsia" w:hAnsi="Times New Roman" w:cs="Times New Roman"/>
              <w:szCs w:val="21"/>
            </w:rPr>
            <w:t>25%</w:t>
          </w:r>
          <w:r>
            <w:rPr>
              <w:rFonts w:ascii="Times New Roman" w:eastAsiaTheme="minorEastAsia" w:hAnsi="Times New Roman" w:cs="Times New Roman"/>
              <w:szCs w:val="21"/>
            </w:rPr>
            <w:t>，并且在卖出后</w:t>
          </w:r>
          <w:r>
            <w:rPr>
              <w:rFonts w:ascii="Times New Roman" w:eastAsiaTheme="minorEastAsia" w:hAnsi="Times New Roman" w:cs="Times New Roman"/>
              <w:szCs w:val="21"/>
            </w:rPr>
            <w:t>6</w:t>
          </w:r>
          <w:r>
            <w:rPr>
              <w:rFonts w:ascii="Times New Roman" w:eastAsiaTheme="minorEastAsia" w:hAnsi="Times New Roman" w:cs="Times New Roman"/>
              <w:szCs w:val="21"/>
            </w:rPr>
            <w:t>个月内不再买入公司的股份，买入后</w:t>
          </w:r>
          <w:r>
            <w:rPr>
              <w:rFonts w:ascii="Times New Roman" w:eastAsiaTheme="minorEastAsia" w:hAnsi="Times New Roman" w:cs="Times New Roman"/>
              <w:szCs w:val="21"/>
            </w:rPr>
            <w:t>6</w:t>
          </w:r>
          <w:r>
            <w:rPr>
              <w:rFonts w:ascii="Times New Roman" w:eastAsiaTheme="minorEastAsia" w:hAnsi="Times New Roman" w:cs="Times New Roman"/>
              <w:szCs w:val="21"/>
            </w:rPr>
            <w:t>个月内不再卖出公司股份；离职后</w:t>
          </w:r>
          <w:r>
            <w:rPr>
              <w:rFonts w:ascii="Times New Roman" w:eastAsiaTheme="minorEastAsia" w:hAnsi="Times New Roman" w:cs="Times New Roman"/>
              <w:szCs w:val="21"/>
            </w:rPr>
            <w:t>6</w:t>
          </w:r>
          <w:r>
            <w:rPr>
              <w:rFonts w:ascii="Times New Roman" w:eastAsiaTheme="minorEastAsia" w:hAnsi="Times New Roman" w:cs="Times New Roman"/>
              <w:szCs w:val="21"/>
            </w:rPr>
            <w:t>个月内，不转让本人所持公司股份。</w:t>
          </w:r>
        </w:p>
        <w:p w14:paraId="483C8DC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、如果本人违反了关于股份锁定期承诺的相关内容，则由此所得的收益归公司。本人在接到公司董事会发出的本人违反了关于股份锁定期承诺的通知之日起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561923E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三、公司间接持有公司股份的核心技术人员许礼进、游玮、肖永强、党进、葛景国、冯海生、</w:t>
          </w:r>
          <w:r>
            <w:rPr>
              <w:rFonts w:ascii="Times New Roman" w:eastAsiaTheme="minorEastAsia" w:hAnsi="Times New Roman" w:cs="Times New Roman"/>
              <w:szCs w:val="21"/>
            </w:rPr>
            <w:t>Daniele Pillan</w:t>
          </w:r>
          <w:r>
            <w:rPr>
              <w:rFonts w:ascii="Times New Roman" w:eastAsiaTheme="minorEastAsia" w:hAnsi="Times New Roman" w:cs="Times New Roman"/>
              <w:szCs w:val="21"/>
            </w:rPr>
            <w:t>，以及直接持有公司股份的核心技术人员</w:t>
          </w:r>
          <w:r>
            <w:rPr>
              <w:rFonts w:ascii="Times New Roman" w:eastAsiaTheme="minorEastAsia" w:hAnsi="Times New Roman" w:cs="Times New Roman"/>
              <w:szCs w:val="21"/>
            </w:rPr>
            <w:t>Marco Zanor</w:t>
          </w:r>
          <w:r>
            <w:rPr>
              <w:rFonts w:ascii="Times New Roman" w:eastAsiaTheme="minorEastAsia" w:hAnsi="Times New Roman" w:cs="Times New Roman"/>
              <w:szCs w:val="21"/>
            </w:rPr>
            <w:t>承诺：</w:t>
          </w:r>
        </w:p>
        <w:p w14:paraId="1D8234E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、自公司股票上市之日起</w:t>
          </w:r>
          <w:r>
            <w:rPr>
              <w:rFonts w:ascii="Times New Roman" w:eastAsiaTheme="minorEastAsia" w:hAnsi="Times New Roman" w:cs="Times New Roman"/>
              <w:szCs w:val="21"/>
            </w:rPr>
            <w:t>12</w:t>
          </w:r>
          <w:r>
            <w:rPr>
              <w:rFonts w:ascii="Times New Roman" w:eastAsiaTheme="minorEastAsia" w:hAnsi="Times New Roman" w:cs="Times New Roman"/>
              <w:szCs w:val="21"/>
            </w:rPr>
            <w:t>个月内和离职后</w:t>
          </w:r>
          <w:r>
            <w:rPr>
              <w:rFonts w:ascii="Times New Roman" w:eastAsiaTheme="minorEastAsia" w:hAnsi="Times New Roman" w:cs="Times New Roman"/>
              <w:szCs w:val="21"/>
            </w:rPr>
            <w:t>6</w:t>
          </w:r>
          <w:r>
            <w:rPr>
              <w:rFonts w:ascii="Times New Roman" w:eastAsiaTheme="minorEastAsia" w:hAnsi="Times New Roman" w:cs="Times New Roman"/>
              <w:szCs w:val="21"/>
            </w:rPr>
            <w:t>个月内，不转让或者委托他人管理本人直接和间接持有的公司首次公开发行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股股票前已发行的股份，也不由公司回购该部分股份（即不转让首发前股份）。</w:t>
          </w:r>
        </w:p>
        <w:p w14:paraId="2733297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在上述股份限售期满之日起</w:t>
          </w:r>
          <w:r>
            <w:rPr>
              <w:rFonts w:ascii="Times New Roman" w:eastAsiaTheme="minorEastAsia" w:hAnsi="Times New Roman" w:cs="Times New Roman"/>
              <w:szCs w:val="21"/>
            </w:rPr>
            <w:t>4</w:t>
          </w:r>
          <w:r>
            <w:rPr>
              <w:rFonts w:ascii="Times New Roman" w:eastAsiaTheme="minorEastAsia" w:hAnsi="Times New Roman" w:cs="Times New Roman"/>
              <w:szCs w:val="21"/>
            </w:rPr>
            <w:t>年内，每年转让的首发前股份不超过公司上市时本人所持公司首次公开发行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股股票前已发行的股份总数的</w:t>
          </w:r>
          <w:r>
            <w:rPr>
              <w:rFonts w:ascii="Times New Roman" w:eastAsiaTheme="minorEastAsia" w:hAnsi="Times New Roman" w:cs="Times New Roman"/>
              <w:szCs w:val="21"/>
            </w:rPr>
            <w:t>25%</w:t>
          </w:r>
          <w:r>
            <w:rPr>
              <w:rFonts w:ascii="Times New Roman" w:eastAsiaTheme="minorEastAsia" w:hAnsi="Times New Roman" w:cs="Times New Roman"/>
              <w:szCs w:val="21"/>
            </w:rPr>
            <w:t>，减持比例可以累积使用。</w:t>
          </w:r>
        </w:p>
        <w:p w14:paraId="70CA03D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若法律法规、《上海证券交易所科创板股票上市规则》以及上海证券交易所业务规则对于核心技术人员股份转让有其他规定的，本人承诺遵守该等规定。</w:t>
          </w:r>
        </w:p>
        <w:p w14:paraId="1101E12B"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、公司上市时未盈利的，在公司实现盈利前，本人自公司股票上市之日起</w:t>
          </w:r>
          <w:r>
            <w:rPr>
              <w:rFonts w:ascii="Times New Roman" w:eastAsiaTheme="minorEastAsia" w:hAnsi="Times New Roman" w:cs="Times New Roman"/>
              <w:szCs w:val="21"/>
            </w:rPr>
            <w:t>3</w:t>
          </w:r>
          <w:r>
            <w:rPr>
              <w:rFonts w:ascii="Times New Roman" w:eastAsiaTheme="minorEastAsia" w:hAnsi="Times New Roman" w:cs="Times New Roman"/>
              <w:szCs w:val="21"/>
            </w:rPr>
            <w:t>个完整会计年度内，不转让或者委托他人管理本人直接或间接持有的公司首次公开发行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前已发行的股份，也不由公司回购该部分股份（即不减持首发前股份）；若本人在前述期间内离职的，本人将继续遵守本条有关不减持首发前股份的承诺。公司实现盈利后，本人可以自当年年度报告披露后次日起减持首发前股份，并遵守上海证券交易所的相关规定。</w:t>
          </w:r>
        </w:p>
        <w:p w14:paraId="1027D98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、如果本人违反了关于股份锁定期承诺的相关内容，则由此所得的收益归公司。本人在接到公司董事会发出的本人违反了关于股份锁定期承诺的通知之日起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63D1F97F"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9</w:t>
          </w:r>
          <w:r>
            <w:rPr>
              <w:rFonts w:ascii="Times New Roman" w:eastAsiaTheme="minorEastAsia" w:hAnsi="Times New Roman" w:cs="Times New Roman" w:hint="eastAsia"/>
              <w:b/>
              <w:bCs/>
              <w:szCs w:val="21"/>
            </w:rPr>
            <w:t>：</w:t>
          </w:r>
          <w:r>
            <w:rPr>
              <w:rFonts w:ascii="Times New Roman" w:eastAsiaTheme="minorEastAsia" w:hAnsi="Times New Roman" w:cs="Times New Roman"/>
              <w:szCs w:val="21"/>
            </w:rPr>
            <w:t>1</w:t>
          </w:r>
          <w:r>
            <w:rPr>
              <w:rFonts w:ascii="Times New Roman" w:eastAsiaTheme="minorEastAsia" w:hAnsi="Times New Roman" w:cs="Times New Roman"/>
              <w:szCs w:val="21"/>
            </w:rPr>
            <w:t>、公司上市当年及随后三年的具体股东回报规划</w:t>
          </w:r>
        </w:p>
        <w:p w14:paraId="095D5FF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w:t>
          </w:r>
          <w:r>
            <w:rPr>
              <w:rFonts w:ascii="Times New Roman" w:eastAsiaTheme="minorEastAsia" w:hAnsi="Times New Roman" w:cs="Times New Roman"/>
              <w:szCs w:val="21"/>
            </w:rPr>
            <w:t>1</w:t>
          </w:r>
          <w:r>
            <w:rPr>
              <w:rFonts w:ascii="Times New Roman" w:eastAsiaTheme="minorEastAsia" w:hAnsi="Times New Roman" w:cs="Times New Roman"/>
              <w:szCs w:val="21"/>
            </w:rPr>
            <w:t>）利润分配形式、间隔期限</w:t>
          </w:r>
        </w:p>
        <w:p w14:paraId="5E3776F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公司将采取现金、股票或者现金和股票相结合的方式分配股利，但应优先采用现金分红的利润分配方式。具备现金分红条件的，应当采用现金分红进行利润分配。在具备利润分配条件的情况下，公司每年度进行一次利润分配。经董事会和股东大会审议决定，公司可以进行中期利润分配。</w:t>
          </w:r>
        </w:p>
        <w:p w14:paraId="10DC0C0C"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2</w:t>
          </w:r>
          <w:r>
            <w:rPr>
              <w:rFonts w:ascii="Times New Roman" w:eastAsiaTheme="minorEastAsia" w:hAnsi="Times New Roman" w:cs="Times New Roman"/>
              <w:szCs w:val="21"/>
            </w:rPr>
            <w:t>）现金分红的具体条件</w:t>
          </w:r>
        </w:p>
        <w:p w14:paraId="64C6D6D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公司进行现金分红应同时具备以下条件：</w:t>
          </w:r>
        </w:p>
        <w:p w14:paraId="3B2BDB1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①公司在该年度盈利且实现的可分配利润（即公司弥补亏损、提取公积金后剩余的税后利润）为正值；</w:t>
          </w:r>
        </w:p>
        <w:p w14:paraId="1C806F3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②审计机构对公司该年度财务报告出具标准无保留意见的审计报告；</w:t>
          </w:r>
        </w:p>
        <w:p w14:paraId="0637B933"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③公司未来十二个月内无重大投资计划或重大现金支出等特殊情况发生。其中，重大投资计划或重大现金支出是指公司未来十二个月内拟对外投资、收购资产或购买设备等累计支出达到或超过公司最近一期经审计总资产的</w:t>
          </w:r>
          <w:r>
            <w:rPr>
              <w:rFonts w:ascii="Times New Roman" w:eastAsiaTheme="minorEastAsia" w:hAnsi="Times New Roman" w:cs="Times New Roman"/>
              <w:szCs w:val="21"/>
            </w:rPr>
            <w:t>30%</w:t>
          </w:r>
          <w:r>
            <w:rPr>
              <w:rFonts w:ascii="Times New Roman" w:eastAsiaTheme="minorEastAsia" w:hAnsi="Times New Roman" w:cs="Times New Roman"/>
              <w:szCs w:val="21"/>
            </w:rPr>
            <w:t>。</w:t>
          </w:r>
        </w:p>
        <w:p w14:paraId="22C884B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3</w:t>
          </w:r>
          <w:r>
            <w:rPr>
              <w:rFonts w:ascii="Times New Roman" w:eastAsiaTheme="minorEastAsia" w:hAnsi="Times New Roman" w:cs="Times New Roman"/>
              <w:szCs w:val="21"/>
            </w:rPr>
            <w:t>）发放股票股利的条件</w:t>
          </w:r>
        </w:p>
        <w:p w14:paraId="01971F6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根据公司可持续发展的实际情况，董事会认为以股票股利方式分配利润符合全体股东的整体利益时，公司可以采用股票股利方式进行利润分配。公司采取股票方式分配股利的条件为：</w:t>
          </w:r>
        </w:p>
        <w:p w14:paraId="1D9C15CC"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①公司经营情况良好；</w:t>
          </w:r>
        </w:p>
        <w:p w14:paraId="07FCFE1E"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②因公司具有成长性、股本规模和经营规模不相适应、有重大投资计划或重大现金支出等真实合理因素，以股票方式分配股利有利于公司和股东整体利益；</w:t>
          </w:r>
        </w:p>
        <w:p w14:paraId="0FAD7D0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③不违反公司的现金分红政策。</w:t>
          </w:r>
        </w:p>
        <w:p w14:paraId="0DA3747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4</w:t>
          </w:r>
          <w:r>
            <w:rPr>
              <w:rFonts w:ascii="Times New Roman" w:eastAsiaTheme="minorEastAsia" w:hAnsi="Times New Roman" w:cs="Times New Roman"/>
              <w:szCs w:val="21"/>
            </w:rPr>
            <w:t>）上市后三年的股东回报规划</w:t>
          </w:r>
        </w:p>
        <w:p w14:paraId="52B7CA6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公司上市后三年，综合考虑公司所处行业特点、发展阶段、自身经营模式、盈利水平、重大资金支出安排以及预计上市时间等因素，公司在上市后三年仍将处于成长期且有重大资金支出安排，在上述期间进行利润分配时，每年以现金方式分配的利润不少于当年实现的可供分配利润的</w:t>
          </w:r>
          <w:r>
            <w:rPr>
              <w:rFonts w:ascii="Times New Roman" w:eastAsiaTheme="minorEastAsia" w:hAnsi="Times New Roman" w:cs="Times New Roman"/>
              <w:szCs w:val="21"/>
            </w:rPr>
            <w:t>15%</w:t>
          </w:r>
          <w:r>
            <w:rPr>
              <w:rFonts w:ascii="Times New Roman" w:eastAsiaTheme="minorEastAsia" w:hAnsi="Times New Roman" w:cs="Times New Roman"/>
              <w:szCs w:val="21"/>
            </w:rPr>
            <w:t>。</w:t>
          </w:r>
        </w:p>
        <w:p w14:paraId="6FDD2A2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、股东分红回报中长期规划</w:t>
          </w:r>
        </w:p>
        <w:p w14:paraId="12A6C9AD"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1</w:t>
          </w:r>
          <w:r>
            <w:rPr>
              <w:rFonts w:ascii="Times New Roman" w:eastAsiaTheme="minorEastAsia" w:hAnsi="Times New Roman" w:cs="Times New Roman"/>
              <w:szCs w:val="21"/>
            </w:rPr>
            <w:t>）股东分红回报规划制定周期</w:t>
          </w:r>
        </w:p>
        <w:p w14:paraId="2393AB9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公司至少每三年重新审阅一次股东分红回报规划，在符合《公司章程》规定的前提下，根据独立董事、监事会和中小股东的意见，由公司董事会结合具体经营数据，充分考虑公司盈利规模、现金流量状况、发展所处阶段及资金需求，对公司正在实施的利润分配政策作出适当且必要的修改，确定该时段的股东分红回报规划。</w:t>
          </w:r>
        </w:p>
        <w:p w14:paraId="732BA7F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w:t>
          </w:r>
          <w:r>
            <w:rPr>
              <w:rFonts w:ascii="Times New Roman" w:eastAsiaTheme="minorEastAsia" w:hAnsi="Times New Roman" w:cs="Times New Roman"/>
              <w:szCs w:val="21"/>
            </w:rPr>
            <w:t>2</w:t>
          </w:r>
          <w:r>
            <w:rPr>
              <w:rFonts w:ascii="Times New Roman" w:eastAsiaTheme="minorEastAsia" w:hAnsi="Times New Roman" w:cs="Times New Roman"/>
              <w:szCs w:val="21"/>
            </w:rPr>
            <w:t>）差异化的现金分红政策</w:t>
          </w:r>
        </w:p>
        <w:p w14:paraId="6CD760DB"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在保证正常经营业务发展的前提下，公司坚持以现金分红为主、多种方式结合的利润分配政策。公司董事会应当综合考虑公司所处行业特点、发展阶段、自身经营模式、盈利水平以及是否有重大资金支出安排等因素，区分下列情形提出差异化的现金分红政策：</w:t>
          </w:r>
        </w:p>
        <w:p w14:paraId="1DAB9F5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①公司发展阶段属成熟期且无重大资金支出安排的，进行利润分配时，现金分红在本次利润分配中所占比例最低应达到</w:t>
          </w:r>
          <w:r>
            <w:rPr>
              <w:rFonts w:ascii="Times New Roman" w:eastAsiaTheme="minorEastAsia" w:hAnsi="Times New Roman" w:cs="Times New Roman"/>
              <w:szCs w:val="21"/>
            </w:rPr>
            <w:t>80%</w:t>
          </w:r>
          <w:r>
            <w:rPr>
              <w:rFonts w:ascii="Times New Roman" w:eastAsiaTheme="minorEastAsia" w:hAnsi="Times New Roman" w:cs="Times New Roman"/>
              <w:szCs w:val="21"/>
            </w:rPr>
            <w:t>；</w:t>
          </w:r>
        </w:p>
        <w:p w14:paraId="5C0C3766"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②公司发展阶段属成熟期且有重大资金支出安排的，进行利润分配时，现金分红在本次利润分配中所占比例最低应达到</w:t>
          </w:r>
          <w:r>
            <w:rPr>
              <w:rFonts w:ascii="Times New Roman" w:eastAsiaTheme="minorEastAsia" w:hAnsi="Times New Roman" w:cs="Times New Roman"/>
              <w:szCs w:val="21"/>
            </w:rPr>
            <w:t>40%</w:t>
          </w:r>
          <w:r>
            <w:rPr>
              <w:rFonts w:ascii="Times New Roman" w:eastAsiaTheme="minorEastAsia" w:hAnsi="Times New Roman" w:cs="Times New Roman"/>
              <w:szCs w:val="21"/>
            </w:rPr>
            <w:t>；</w:t>
          </w:r>
        </w:p>
        <w:p w14:paraId="5BB634B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③公司发展阶段属成长期且有重大资金支出安排的，进行利润分配时，现金分红在本次利润分配中所占比例最低应达到</w:t>
          </w:r>
          <w:r>
            <w:rPr>
              <w:rFonts w:ascii="Times New Roman" w:eastAsiaTheme="minorEastAsia" w:hAnsi="Times New Roman" w:cs="Times New Roman"/>
              <w:szCs w:val="21"/>
            </w:rPr>
            <w:t>20%</w:t>
          </w:r>
          <w:r>
            <w:rPr>
              <w:rFonts w:ascii="Times New Roman" w:eastAsiaTheme="minorEastAsia" w:hAnsi="Times New Roman" w:cs="Times New Roman"/>
              <w:szCs w:val="21"/>
            </w:rPr>
            <w:t>。</w:t>
          </w:r>
        </w:p>
        <w:p w14:paraId="7812646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④公司发展阶段不易区分但有重大资金支出安排的，可以按照上述第③项规定处理。</w:t>
          </w:r>
        </w:p>
        <w:p w14:paraId="74A33F53"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0</w:t>
          </w:r>
          <w:r>
            <w:rPr>
              <w:rFonts w:ascii="Times New Roman" w:eastAsiaTheme="minorEastAsia" w:hAnsi="Times New Roman" w:cs="Times New Roman" w:hint="eastAsia"/>
              <w:b/>
              <w:bCs/>
              <w:szCs w:val="21"/>
            </w:rPr>
            <w:t>：</w:t>
          </w:r>
          <w:r>
            <w:rPr>
              <w:rFonts w:ascii="Times New Roman" w:eastAsiaTheme="minorEastAsia" w:hAnsi="Times New Roman" w:cs="Times New Roman"/>
              <w:szCs w:val="21"/>
            </w:rPr>
            <w:t>1</w:t>
          </w:r>
          <w:r>
            <w:rPr>
              <w:rFonts w:ascii="Times New Roman" w:eastAsiaTheme="minorEastAsia" w:hAnsi="Times New Roman" w:cs="Times New Roman"/>
              <w:szCs w:val="21"/>
            </w:rPr>
            <w:t>、截至本承诺函出具之日，本公司及本公司控制的公司、企业或其他经营实体（贵公司及其控制的公司除外，与其他主体共同控制的情形除外，下同）均未直接或间接从事任何与贵公司业务构成竞争的产品生产或业务。</w:t>
          </w:r>
        </w:p>
        <w:p w14:paraId="35C1471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、自本承诺函出具之日起，本公司及本公司控制的公司、企业或其他经营实体，以及未来成立的本公司控制的公司、企业或其他经营实体将不会控制任何与贵公司业务构成竞争的产品生产或业务。</w:t>
          </w:r>
        </w:p>
        <w:p w14:paraId="52D0310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自本承诺函出具之日起，本公司及本公司控制的公司、企业或其他经营实体从任何第三者获得的任何商业机会与贵公司业务构成实质性竞争的，本公司将立即通知贵公司，并尽力将该等商业机会让与贵公司。若该等商业机会的相关主体处于亏损状态或者将商业机会让与贵公司对贵公司生产经营产生不利的，可以根据贵公司的意愿暂时保留在本公司及本公司控制的公司、企业或其他经营实体名下，贵公司有权随时取得前述商业机会或收购相关主体。</w:t>
          </w:r>
        </w:p>
        <w:p w14:paraId="17F5382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、本公司及本公司控制的公司、企业或其他经营实体承诺将不向其业务与贵公司业务构成竞争的其他公司、企业、组织或个人提供技术信息、工艺流程、销售渠道等商业秘密。</w:t>
          </w:r>
        </w:p>
        <w:p w14:paraId="3576FD0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5</w:t>
          </w:r>
          <w:r>
            <w:rPr>
              <w:rFonts w:ascii="Times New Roman" w:eastAsiaTheme="minorEastAsia" w:hAnsi="Times New Roman" w:cs="Times New Roman"/>
              <w:szCs w:val="21"/>
            </w:rPr>
            <w:t>、如上述承诺被证明为不真实或未被遵守，本公司将向贵公司赔偿一切损失。</w:t>
          </w:r>
        </w:p>
        <w:p w14:paraId="30D550AE"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二、约束措施</w:t>
          </w:r>
        </w:p>
        <w:p w14:paraId="0284EEF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、若本公司违反了上述关于避免同业竞争承诺的相关内容，产生了与贵公司同业竞争情形的，由此所得的收益归贵公司；本公司同意将与贵公司存在同业竞争情形的主体和</w:t>
          </w:r>
          <w:r>
            <w:rPr>
              <w:rFonts w:ascii="Times New Roman" w:eastAsiaTheme="minorEastAsia" w:hAnsi="Times New Roman" w:cs="Times New Roman"/>
              <w:szCs w:val="21"/>
            </w:rPr>
            <w:t>/</w:t>
          </w:r>
          <w:r>
            <w:rPr>
              <w:rFonts w:ascii="Times New Roman" w:eastAsiaTheme="minorEastAsia" w:hAnsi="Times New Roman" w:cs="Times New Roman"/>
              <w:szCs w:val="21"/>
            </w:rPr>
            <w:t>或业务交由贵公司进行托管，由此产生的任何费用均由与贵公司存在同业竞争情形的主体承担。如贵公司因同业竞争情形遭受损失的，则本公司将向贵公司赔偿一切损失。</w:t>
          </w:r>
        </w:p>
        <w:p w14:paraId="40D045B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、本公司保证在接到贵公司董事会发出的本公司违反关于避免同业竞争承诺的通知之日起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贵公司，收益需厘定确认的，则在厘定确认后交给贵公司。如贵公司因同业竞争情形遭受损失的，在有关损失金额厘定确认后，本公司将根据贵公司董事会的通知或损失确认文件并在通知的时限内赔偿贵公司一切损失。</w:t>
          </w:r>
        </w:p>
        <w:p w14:paraId="110F11A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、如已产生与贵公司同业竞争情形的，本公司在接到贵公司董事会通知之日起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启动有关消除同业竞争的相关措施，包括但不限于终止有关投资、转让有关投资股权、清算注销有关同业竞争的公司、企业或其他经营实体、按照相关法律法规及规范性文件的有关规定将有关同业竞争业务或公司、企业或其他经营实体转让给贵公司。</w:t>
          </w:r>
        </w:p>
        <w:p w14:paraId="0A2485BE"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1</w:t>
          </w:r>
          <w:r>
            <w:rPr>
              <w:rFonts w:ascii="Times New Roman" w:eastAsiaTheme="minorEastAsia" w:hAnsi="Times New Roman" w:cs="Times New Roman" w:hint="eastAsia"/>
              <w:b/>
              <w:bCs/>
              <w:szCs w:val="21"/>
            </w:rPr>
            <w:t>：</w:t>
          </w:r>
          <w:r>
            <w:rPr>
              <w:rFonts w:ascii="Times New Roman" w:eastAsiaTheme="minorEastAsia" w:hAnsi="Times New Roman" w:cs="Times New Roman"/>
              <w:szCs w:val="21"/>
            </w:rPr>
            <w:t>1</w:t>
          </w:r>
          <w:r>
            <w:rPr>
              <w:rFonts w:ascii="Times New Roman" w:eastAsiaTheme="minorEastAsia" w:hAnsi="Times New Roman" w:cs="Times New Roman"/>
              <w:szCs w:val="21"/>
            </w:rPr>
            <w:t>、严格执行《公司章程》、《股东大会议事规则》、《关联交易管理办法》等法律法规和规范性文件中关于关联交易的规定；</w:t>
          </w:r>
        </w:p>
        <w:p w14:paraId="362B703D"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、严格履行关联交易决策、回避表决等公允决策程序，及时详细进行信息披露；</w:t>
          </w:r>
        </w:p>
        <w:p w14:paraId="3B7DA01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、确保关联交易价格的公允性、批准程序的合规性，最大程度的保护股东利益；</w:t>
          </w:r>
        </w:p>
        <w:p w14:paraId="5D725FB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、尽量减少与关联方的关联交易，在进行确有必要且无法规避的关联交易时，保证按市场化原则和公允价格进行公平操作；</w:t>
          </w:r>
        </w:p>
        <w:p w14:paraId="07CF3B3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5</w:t>
          </w:r>
          <w:r>
            <w:rPr>
              <w:rFonts w:ascii="Times New Roman" w:eastAsiaTheme="minorEastAsia" w:hAnsi="Times New Roman" w:cs="Times New Roman"/>
              <w:szCs w:val="21"/>
            </w:rPr>
            <w:t>、在实际工作中充分发挥独立董事的作用，确保关联交易价格的公允性、批准程序的合法、合规性，最大程度的保护本公司股东（尤其是中小股东）利益。</w:t>
          </w:r>
        </w:p>
        <w:p w14:paraId="341F5BE3"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2</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一、规范和减少关联交易</w:t>
          </w:r>
        </w:p>
        <w:p w14:paraId="3214E21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、不利用自身的控制地位及控制性影响</w:t>
          </w:r>
          <w:r>
            <w:rPr>
              <w:rFonts w:ascii="Times New Roman" w:eastAsiaTheme="minorEastAsia" w:hAnsi="Times New Roman" w:cs="Times New Roman"/>
              <w:szCs w:val="21"/>
            </w:rPr>
            <w:t>/</w:t>
          </w:r>
          <w:r>
            <w:rPr>
              <w:rFonts w:ascii="Times New Roman" w:eastAsiaTheme="minorEastAsia" w:hAnsi="Times New Roman" w:cs="Times New Roman"/>
              <w:szCs w:val="21"/>
            </w:rPr>
            <w:t>主要股东之地位及影响谋求发行人在业务合作等方面给予本公司及本公司控制的公司、企业或其他经营实体优于市场第三方的权利；</w:t>
          </w:r>
        </w:p>
        <w:p w14:paraId="66316E6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、不利用自身的控制地位及控制性影响</w:t>
          </w:r>
          <w:r>
            <w:rPr>
              <w:rFonts w:ascii="Times New Roman" w:eastAsiaTheme="minorEastAsia" w:hAnsi="Times New Roman" w:cs="Times New Roman"/>
              <w:szCs w:val="21"/>
            </w:rPr>
            <w:t>/</w:t>
          </w:r>
          <w:r>
            <w:rPr>
              <w:rFonts w:ascii="Times New Roman" w:eastAsiaTheme="minorEastAsia" w:hAnsi="Times New Roman" w:cs="Times New Roman"/>
              <w:szCs w:val="21"/>
            </w:rPr>
            <w:t>发行人主要股东之地位及影响谋求与发行人达成交易的优先权利；</w:t>
          </w:r>
        </w:p>
        <w:p w14:paraId="1165698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、不以与市场价格相比显失公允的条件与发行人进行交易，亦不利用该类交易从事任何损害发行人利益的行为；</w:t>
          </w:r>
        </w:p>
        <w:p w14:paraId="7A8DCFB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lastRenderedPageBreak/>
            <w:t>4</w:t>
          </w:r>
          <w:r>
            <w:rPr>
              <w:rFonts w:ascii="Times New Roman" w:eastAsiaTheme="minorEastAsia" w:hAnsi="Times New Roman" w:cs="Times New Roman"/>
              <w:szCs w:val="21"/>
            </w:rPr>
            <w:t>、尽量减少与发行人的关联交易，在进行确有必要且无法规避的关联交易时，保证按市场化原则和公允价格进行公平操作，并按相关法律、法规、规章等规范性文件和发行人公司章程、关联交易管理办法等有关关联交易决策制度的规定履行关联交易决策程序及信息披露义务，保证不通过关联交易损害发行人及其他股东的合法权益。</w:t>
          </w:r>
        </w:p>
        <w:p w14:paraId="2D663C0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同时，本公司将保证，在本公司控制发行人</w:t>
          </w:r>
          <w:r>
            <w:rPr>
              <w:rFonts w:ascii="Times New Roman" w:eastAsiaTheme="minorEastAsia" w:hAnsi="Times New Roman" w:cs="Times New Roman"/>
              <w:szCs w:val="21"/>
            </w:rPr>
            <w:t>/</w:t>
          </w:r>
          <w:r>
            <w:rPr>
              <w:rFonts w:ascii="Times New Roman" w:eastAsiaTheme="minorEastAsia" w:hAnsi="Times New Roman" w:cs="Times New Roman"/>
              <w:szCs w:val="21"/>
            </w:rPr>
            <w:t>作为发行人主要股东期间，发行人在对待将来可能产生的与本公司及本公司控制的公司、企业或其他经营实体的关联交易方面，将采取如下措施规范可能发生的关联交易：</w:t>
          </w:r>
        </w:p>
        <w:p w14:paraId="4619BA53"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、严格遵守发行人公司章程、股东大会议事规则、关联交易管理办法及发行人关联交易决策制度等规定，履行关联交易决策、回避表决等公允决策程序，及时详细进行信息披露；</w:t>
          </w:r>
        </w:p>
        <w:p w14:paraId="640DDD9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、依照市场经济原则、采取市场定价确定交易价格。</w:t>
          </w:r>
        </w:p>
        <w:p w14:paraId="02F9CE3C"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二、约束措施</w:t>
          </w:r>
        </w:p>
        <w:p w14:paraId="44697D02"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、如果本公司违反了上述关于规范和减少关联交易承诺的相关内容，由此所得的收益归发行人。如发行人因该等关联交易情形遭受损失的，则本公司将向发行人赔偿一切损失。</w:t>
          </w:r>
        </w:p>
        <w:p w14:paraId="1DED8BD3"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、本公司在接到发行人董事会发出的本公司违反了关于规范和减少关联交易承诺的通知之日起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发行人，收益需厘定确定的，则在厘定确认后交给发行人。如发行人因关联交易情形遭受损失的，在有关损失金额厘定确认后，本公司将根据发行人董事会的通知或损失确认文件并在通知的时限内赔偿公司一切损失。</w:t>
          </w:r>
        </w:p>
        <w:p w14:paraId="3D19DCD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、如已产生违反上述承诺的关联交易情形的，本公司在接到发行人董事会通知之日起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日内启动有关消除或规范关联交易的相关措施，包括但不限于重新履行关联交易的程序、终止关联交易、回归至市场公允价格等。</w:t>
          </w:r>
        </w:p>
        <w:p w14:paraId="24391C7D"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3</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一、规范和减少关联交易</w:t>
          </w:r>
        </w:p>
        <w:p w14:paraId="3E06A3B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、不利用自身作为发行人主要股东之地位及影响谋求发行人在业务合作等方面给予本公司及本公司控制的公司、企业或其他经营实体优于市场第三方的权利；</w:t>
          </w:r>
        </w:p>
        <w:p w14:paraId="1FC3F8E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、不利用自身作为发行人主要股东之地位及影响谋求与发行人达成交易的优先权利；</w:t>
          </w:r>
        </w:p>
        <w:p w14:paraId="3C2F8F3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、不以与市场价格相比显失公允的条件与发行人进行交易，亦不利用该类交易从事任何损害发行人利益的行为；</w:t>
          </w:r>
        </w:p>
        <w:p w14:paraId="079591F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lastRenderedPageBreak/>
            <w:t>4</w:t>
          </w:r>
          <w:r>
            <w:rPr>
              <w:rFonts w:ascii="Times New Roman" w:eastAsiaTheme="minorEastAsia" w:hAnsi="Times New Roman" w:cs="Times New Roman"/>
              <w:szCs w:val="21"/>
            </w:rPr>
            <w:t>、尽量减少与发行人的关联交易，在进行确有必要且无法规避的关联交易时，保证按市场化原则和公允价格进行公平操作，并按相关法律、法规、规章等规范性文件和发行人公司章程、关联交易管理办法等有关关联交易决策制度的规定履行关联交易决策程序及信息披露义务，保证不通过关联交易损害发行人及其他股东的合法权益。</w:t>
          </w:r>
        </w:p>
        <w:p w14:paraId="100D5C9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同时，本公司将保证，在本公司作为发行人主要股东期间，发行人在对待将来可能产生的与本公司及本公司控制的公司、企业或其他经营实体的关联交易方面，将采取如下措施规范可能发生的关联交易：</w:t>
          </w:r>
        </w:p>
        <w:p w14:paraId="6BA4E41D"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、严格遵守发行人公司章程、股东大会议事规则、关联交易管理办法及发行人关联交易决策制度等规定，履行关联交易决策、回避表决等公允决策程序，及时详细进行信息披露；</w:t>
          </w:r>
        </w:p>
        <w:p w14:paraId="2FD02AA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、依照市场经济原则、采取市场定价确定交易价格。</w:t>
          </w:r>
        </w:p>
        <w:p w14:paraId="6000A40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二、约束措施</w:t>
          </w:r>
        </w:p>
        <w:p w14:paraId="13A1813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、若本公司违反了上述关于规范和减少关联交易承诺的相关内容，因该等关联交易情形遭受损失的，则本公司将承担相应责任。</w:t>
          </w:r>
        </w:p>
        <w:p w14:paraId="35E6678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、如已产生违反上述承诺的关联交易情形的，本公司在接到发行人董事会通知之日起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日内启动有关消除或规范关联交易的相关措施，包括但不限于重新履行关联交易的程序、终止关联交易、回归至市场公允价格等。</w:t>
          </w:r>
        </w:p>
        <w:p w14:paraId="631DA1DE"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4</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一、规范和减少关联交易</w:t>
          </w:r>
        </w:p>
        <w:p w14:paraId="02D7B1F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、不利用自身的地位及影响谋求发行人在业务合作等方面给予本公司及本公司控制的公司、企业或其他经营实体优于市场第三方的权利；</w:t>
          </w:r>
        </w:p>
        <w:p w14:paraId="27D3354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、不利用自身的地位及影响谋求与发行人达成交易的优先权利；</w:t>
          </w:r>
        </w:p>
        <w:p w14:paraId="6CB0023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、不以与市场价格相比显失公允的条件与发行人进行交易，亦不利用该类交易从事任何损害发行人利益的行为；</w:t>
          </w:r>
        </w:p>
        <w:p w14:paraId="375200E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尽量减少与发行人的关联交易，在进行确有必要且无法规避的关联交易时，保证按市场化原则和公允价格进行公平操作，并按相关法律、法规、规章等规范性文件和发行人公司章程、关联交易管理办法等有关关联交易决策制度的规定履行关联交易决策程序及信息披露义务，保证不通过关联交易损害发行人及其他股东的合法权益。</w:t>
          </w:r>
        </w:p>
        <w:p w14:paraId="5FF865D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同时，本公司将保证，在本公司作为发行人第一大股东芜湖远宏工业机器人投资有限公司之一致行动人期间，发行人在对待将来可能产生的与本公司及本公司控制的公司、企业或其他经营实体的关联交易方面，将采取如下措施规范可能发生的关联交易：</w:t>
          </w:r>
        </w:p>
        <w:p w14:paraId="5766F7F6"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lastRenderedPageBreak/>
            <w:t>1</w:t>
          </w:r>
          <w:r>
            <w:rPr>
              <w:rFonts w:ascii="Times New Roman" w:eastAsiaTheme="minorEastAsia" w:hAnsi="Times New Roman" w:cs="Times New Roman"/>
              <w:szCs w:val="21"/>
            </w:rPr>
            <w:t>、严格遵守发行人公司章程、股东大会议事规则、关联交易管理办法及发行人关联交易决策制度等规定，履行关联交易决策、回避表决等公允决策程序，及时详细进行信息披露；</w:t>
          </w:r>
        </w:p>
        <w:p w14:paraId="24438DE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、依照市场经济原则、采取市场定价确定交易价格。</w:t>
          </w:r>
        </w:p>
        <w:p w14:paraId="4EA8BD13"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二、约束措施</w:t>
          </w:r>
        </w:p>
        <w:p w14:paraId="3A6A650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、如果本公司违反了上述关于规范和减少关联交易承诺的相关内容，由此所得的收益归发行人。如发行人因该等关联交易情形遭受损失的，则本公司将向发行人赔偿一切损失。</w:t>
          </w:r>
        </w:p>
        <w:p w14:paraId="1EB2C9A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、本公司在接到发行人董事会发出的本公司违反了关于规范和减少关联交易承诺的通知之日起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发行人，收益需厘定确定的，则在厘定确认后交给发行人。如发行人因关联交易情形遭受损失的，在有关损失金额厘定确认后，本公司将根据发行人董事会的通知或损失确认文件并在通知的时限内赔偿公司一切损失。</w:t>
          </w:r>
        </w:p>
        <w:p w14:paraId="4BEF257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、如已产生违反上述承诺的关联交易情形的，本公司在接到发行人董事会通知之日起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日内启动有关消除或规范关联交易的相关措施，包括但不限于重新履行关联交易的程序、终止关联交易、回归至市场公允价格等。</w:t>
          </w:r>
        </w:p>
        <w:p w14:paraId="307E4F75"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5</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若根据有权主管部门的要求或决定，发行人和</w:t>
          </w:r>
          <w:r>
            <w:rPr>
              <w:rFonts w:ascii="Times New Roman" w:eastAsiaTheme="minorEastAsia" w:hAnsi="Times New Roman" w:cs="Times New Roman"/>
              <w:szCs w:val="21"/>
            </w:rPr>
            <w:t>/</w:t>
          </w:r>
          <w:r>
            <w:rPr>
              <w:rFonts w:ascii="Times New Roman" w:eastAsiaTheme="minorEastAsia" w:hAnsi="Times New Roman" w:cs="Times New Roman"/>
              <w:szCs w:val="21"/>
            </w:rPr>
            <w:t>或其控股子公司需要为员工补缴本承诺函签署之日前应缴未缴的社会保险及</w:t>
          </w:r>
          <w:r>
            <w:rPr>
              <w:rFonts w:ascii="Times New Roman" w:eastAsiaTheme="minorEastAsia" w:hAnsi="Times New Roman" w:cs="Times New Roman"/>
              <w:szCs w:val="21"/>
            </w:rPr>
            <w:t>/</w:t>
          </w:r>
          <w:r>
            <w:rPr>
              <w:rFonts w:ascii="Times New Roman" w:eastAsiaTheme="minorEastAsia" w:hAnsi="Times New Roman" w:cs="Times New Roman"/>
              <w:szCs w:val="21"/>
            </w:rPr>
            <w:t>或住房公积金，或因未足额缴纳需承担任何罚款或损失，芜湖远宏与远大创投将按比例补偿发行人和</w:t>
          </w:r>
          <w:r>
            <w:rPr>
              <w:rFonts w:ascii="Times New Roman" w:eastAsiaTheme="minorEastAsia" w:hAnsi="Times New Roman" w:cs="Times New Roman"/>
              <w:szCs w:val="21"/>
            </w:rPr>
            <w:t>/</w:t>
          </w:r>
          <w:r>
            <w:rPr>
              <w:rFonts w:ascii="Times New Roman" w:eastAsiaTheme="minorEastAsia" w:hAnsi="Times New Roman" w:cs="Times New Roman"/>
              <w:szCs w:val="21"/>
            </w:rPr>
            <w:t>或其控股子公司因此发生的支出或所受损失。</w:t>
          </w:r>
          <w:r>
            <w:rPr>
              <w:rFonts w:ascii="Times New Roman" w:eastAsiaTheme="minorEastAsia" w:hAnsi="Times New Roman" w:cs="Times New Roman" w:hint="eastAsia"/>
              <w:szCs w:val="21"/>
            </w:rPr>
            <w:t>本公司将在接到发行人董事会发出的有关通知之日起</w:t>
          </w:r>
          <w:r>
            <w:rPr>
              <w:rFonts w:ascii="Times New Roman" w:eastAsiaTheme="minorEastAsia" w:hAnsi="Times New Roman" w:cs="Times New Roman"/>
              <w:szCs w:val="21"/>
            </w:rPr>
            <w:t>10</w:t>
          </w:r>
          <w:r>
            <w:rPr>
              <w:rFonts w:ascii="Times New Roman" w:eastAsiaTheme="minorEastAsia" w:hAnsi="Times New Roman" w:cs="Times New Roman"/>
              <w:szCs w:val="21"/>
            </w:rPr>
            <w:t>日内进行足额补偿，未及时支付的并应按同期银行贷款利率支付逾期利息。</w:t>
          </w:r>
        </w:p>
        <w:p w14:paraId="78BAF891"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6</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若发行人及其境内控股子公司所租赁的房屋未履行租赁备案程序，本公司承诺，若因未办理房屋租赁备案登记手续致使发行人及其子公司遭受任何损失的，芜湖远宏与远大创投将按比例及时、足额对发行人做出补偿，确保发行人不因此遭受损失。本公司将在接到发行人董事会发出的有关通知之日起</w:t>
          </w:r>
          <w:r>
            <w:rPr>
              <w:rFonts w:ascii="Times New Roman" w:eastAsiaTheme="minorEastAsia" w:hAnsi="Times New Roman" w:cs="Times New Roman"/>
              <w:szCs w:val="21"/>
            </w:rPr>
            <w:t>10</w:t>
          </w:r>
          <w:r>
            <w:rPr>
              <w:rFonts w:ascii="Times New Roman" w:eastAsiaTheme="minorEastAsia" w:hAnsi="Times New Roman" w:cs="Times New Roman"/>
              <w:szCs w:val="21"/>
            </w:rPr>
            <w:t>日内进行足额补偿，未及时支付的并应按同期银行贷款利率支付逾期利息。</w:t>
          </w:r>
        </w:p>
        <w:p w14:paraId="37DED44D" w14:textId="77777777" w:rsidR="00D21C1F" w:rsidRDefault="00A42880">
          <w:pPr>
            <w:spacing w:line="360" w:lineRule="auto"/>
            <w:ind w:firstLineChars="200" w:firstLine="422"/>
            <w:jc w:val="both"/>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7</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公司承诺：</w:t>
          </w:r>
        </w:p>
        <w:p w14:paraId="7A83711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“一、关于发行申请文件的声明</w:t>
          </w:r>
        </w:p>
        <w:p w14:paraId="1F96D833"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本公司确认，本公司首次公开发行人民币普通股股票的招股说明书不存在虚假记载、误导性陈述或者重大遗漏，并对其真实性、准确性、完整性承担法律责任；本公司首次公开发行人民币普通股股票并上市的申请文件真实、准确、完整，不存在虚假记载、误导性陈述或重大遗漏。</w:t>
          </w:r>
        </w:p>
        <w:p w14:paraId="78F0E9C6"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二、回购首次公开发行的全部新股</w:t>
          </w:r>
        </w:p>
        <w:p w14:paraId="4D455B8C"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如果本公司本次公开发行人民币普通股股票的招股说明书有虚假记载、误导性陈述或者重大遗漏，对判断本公司是否符合法律规定的发行条件构成重大、实质影响的，本公司将依法回购本公司首次公开发行的全部新股，具体如下：</w:t>
          </w:r>
        </w:p>
        <w:p w14:paraId="78D5E532"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（一）回购程序的启动</w:t>
          </w:r>
        </w:p>
        <w:p w14:paraId="40C6991D"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本公司招股说明书存在虚假记载、误导性陈述或者重大遗漏，对判断本公司是否符合法律规定的发行条件构成重大、实质影响的，本公司将在中国证券监督管理委员会、证券交易所等证券监管机构或者司法机关认定有关违法事实之日起</w:t>
          </w:r>
          <w:r>
            <w:rPr>
              <w:rFonts w:ascii="Times New Roman" w:eastAsiaTheme="minorEastAsia" w:hAnsi="Times New Roman" w:cs="Times New Roman"/>
              <w:szCs w:val="21"/>
            </w:rPr>
            <w:t>10</w:t>
          </w:r>
          <w:r>
            <w:rPr>
              <w:rFonts w:ascii="Times New Roman" w:eastAsiaTheme="minorEastAsia" w:hAnsi="Times New Roman" w:cs="Times New Roman"/>
              <w:szCs w:val="21"/>
            </w:rPr>
            <w:t>个交易日内制订回购股份方案，按照有关法律法规和本公司章程的规定提交董事会审议，审议通过后及时公告回购股份方案；同时，在根据届时有效的《公司章程》等的规定需提交股东大会批准时发出股东大会会议通知，将回购公司股份的方案提交股东大会批准。</w:t>
          </w:r>
        </w:p>
        <w:p w14:paraId="1DECC162"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（二）回购价格和回购数量</w:t>
          </w:r>
        </w:p>
        <w:p w14:paraId="1EC389E5"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回购股份的价格按照二级市场价格进行，且不低于首次公开发行人民币普通股股票时的发行价格并加算银行同期存款利息。回购数量为本公司首次公开发行的全部新股。</w:t>
          </w:r>
        </w:p>
        <w:p w14:paraId="4E8DDFF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自本公司首次公开发行人民币普通股股票并上市之日至本公司发布回购股份方案之日，本公司如有派息、送股、资本公积金转增股本、配股等除权除息事项，则回购价格及回购数量将相应进行调整。</w:t>
          </w:r>
        </w:p>
        <w:p w14:paraId="33D7104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三、赔偿投资者损失</w:t>
          </w:r>
        </w:p>
        <w:p w14:paraId="5C97668D"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如果本公司本次公开发行人民币普通股股票的招股说明书及其他信息披露资料存在虚假记载、误导性陈述或者重大遗漏，致使投资者在证券交易中遭受损失的，将根据证券监管机构、证券交易所等有权部门颁布的相关法律法规及规范性文件，以及《最高人民法院关于审理证券市场因虚假陈述引发的民事赔偿案件的若干规定》（法释</w:t>
          </w:r>
          <w:r>
            <w:rPr>
              <w:rFonts w:ascii="Times New Roman" w:eastAsiaTheme="minorEastAsia" w:hAnsi="Times New Roman" w:cs="Times New Roman"/>
              <w:szCs w:val="21"/>
            </w:rPr>
            <w:t>[2003]2</w:t>
          </w:r>
          <w:r>
            <w:rPr>
              <w:rFonts w:ascii="Times New Roman" w:eastAsiaTheme="minorEastAsia" w:hAnsi="Times New Roman" w:cs="Times New Roman"/>
              <w:szCs w:val="21"/>
            </w:rPr>
            <w:t>号），依法及时赔偿投资者损失。具体的赔偿标准、赔偿主体范围、赔偿金额等细节内容待上述情形实际发生时，以最终确定的赔偿方案为准。</w:t>
          </w:r>
        </w:p>
        <w:p w14:paraId="3746205D"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四、约束措施</w:t>
          </w:r>
        </w:p>
        <w:p w14:paraId="1854744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本公司将积极采取合法措施履行上述承诺，自愿接受监管机构、社会公众及投资者的监督。若本公司未能完全履行上述承诺事项中的义务或责任，本公司将及时披露未履行承诺的情况和原因，并自愿接受有关法律、法规及有关监管机构要求的其他约束措施。”</w:t>
          </w:r>
        </w:p>
        <w:p w14:paraId="7AFD1E6E"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公司就欺诈发行上市股份购回补充承诺如下：</w:t>
          </w:r>
        </w:p>
        <w:p w14:paraId="5B8557F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“如公司不符合发行上市条件，以欺骗手段骗取发行注册并已经发行上市的，公司将在中国证券监督管理委员会等有权部门确认后五个工作日内启动股份购回程序，购回公司本次公开发行的全部新股。”</w:t>
          </w:r>
        </w:p>
        <w:p w14:paraId="258CC89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控股股东承诺</w:t>
          </w:r>
        </w:p>
        <w:p w14:paraId="24F8409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公司控股股东芜湖远宏及一致行动人远大创投、间接控股股东芜湖建投承诺：</w:t>
          </w:r>
        </w:p>
        <w:p w14:paraId="62D2C4BC"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“一、关于招股说明书的声明</w:t>
          </w:r>
        </w:p>
        <w:p w14:paraId="4AD23F02"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本公司确认，公司首次公开发行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股股票的招股说明书不存在虚假记载、误导性陈述或者重大遗漏，并对其真实性、准确性、完整性承担法律责任。</w:t>
          </w:r>
        </w:p>
        <w:p w14:paraId="7EC7F9F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二、赔偿投资者损失</w:t>
          </w:r>
        </w:p>
        <w:p w14:paraId="58CDEC3F"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如果公司本次公开发行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招股说明书及其他信息披露资料存在虚假记载、误导性陈述或者重大遗漏，致使投资者在证券交易中遭受损失的，本公司将根据证券监管机构、自律机构及证券交易所等有权部门颁布的相关法律法规及规范性文件，以及《最高人民法院关于审理证券市场因虚假陈述引发的民事赔偿案件的若干规定》（法释</w:t>
          </w:r>
          <w:r>
            <w:rPr>
              <w:rFonts w:ascii="Times New Roman" w:eastAsiaTheme="minorEastAsia" w:hAnsi="Times New Roman" w:cs="Times New Roman"/>
              <w:szCs w:val="21"/>
            </w:rPr>
            <w:t>[2003]2</w:t>
          </w:r>
          <w:r>
            <w:rPr>
              <w:rFonts w:ascii="Times New Roman" w:eastAsiaTheme="minorEastAsia" w:hAnsi="Times New Roman" w:cs="Times New Roman"/>
              <w:szCs w:val="21"/>
            </w:rPr>
            <w:t>号），依法及时赔偿投资者损失。具体的赔偿标准、赔偿主体范围、赔偿金额等细节内容待上述情形实际发生时，以最终确定的赔偿方案为准。</w:t>
          </w:r>
        </w:p>
        <w:p w14:paraId="6EED139C"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三、购回</w:t>
          </w:r>
        </w:p>
        <w:p w14:paraId="18164900"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如果公司本次公开发行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股股票的招股说明书存在虚假记载、误导性陈述或者重大遗漏，对判断公司是否符合法律规定的发行条件构成重大、实质影响的，本公司将购回已转让的原限售股份（如适用）。</w:t>
          </w:r>
        </w:p>
        <w:p w14:paraId="29FB4C42"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四、约束措施</w:t>
          </w:r>
        </w:p>
        <w:p w14:paraId="28A94FDA"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本公司将积极采取合法措施履行上述承诺，自愿接受监管机构、社会公众及投资者的监督。若本公司未能完全履行上述承诺事项中的义务或责任，本公司将提请公司及时披露未履行承诺的情况和原因，并自愿接受有关法律、法规及有关监管机构要求的其他约束措施。”</w:t>
          </w:r>
        </w:p>
        <w:p w14:paraId="026929CD"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芜湖远宏、远大创投、芜湖建投就欺诈发行上市股份购回补充承诺如下：</w:t>
          </w:r>
        </w:p>
        <w:p w14:paraId="17755B84"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“如公司不符合发行上市条件，以欺骗手段骗取发行注册并已经发行上市的，本公司将在中国证券监督管理委员会等有权部门确认后五个工作日内启动股份购回程序，购回公司本次公开发行的全部新股。”</w:t>
          </w:r>
        </w:p>
        <w:p w14:paraId="0C4499B8"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公司董事、监事、高级管理人员承诺如下：</w:t>
          </w:r>
        </w:p>
        <w:p w14:paraId="3EC9EC41"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“一、关于招股说明书的声明</w:t>
          </w:r>
        </w:p>
        <w:p w14:paraId="63794D3B"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本人确认，公司首次公开发行人民币普通股股票的招股说明书不存在虚假记载、误导性陈述或者重大遗漏，并对其真实性、准确性、完整性承担法律责任。</w:t>
          </w:r>
        </w:p>
        <w:p w14:paraId="3F94C58C"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二、赔偿投资者损失</w:t>
          </w:r>
        </w:p>
        <w:p w14:paraId="496B620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如果公司本次公开发行人民币普通股股票的招股说明书及其他信息披露资料存在虚假记载、误导性陈述或者重大遗漏，致使投资者在证券交易中遭受损失的，将根据证券监管机构、证券交易所等有权部门颁布的相关法律法规及规范性文件，以及《最高人民法院关于审理证券市场因虚假陈述引发的民事赔偿案件的若干规定》（法释</w:t>
          </w:r>
          <w:r>
            <w:rPr>
              <w:rFonts w:ascii="Times New Roman" w:eastAsiaTheme="minorEastAsia" w:hAnsi="Times New Roman" w:cs="Times New Roman"/>
              <w:szCs w:val="21"/>
            </w:rPr>
            <w:t>[2003]2</w:t>
          </w:r>
          <w:r>
            <w:rPr>
              <w:rFonts w:ascii="Times New Roman" w:eastAsiaTheme="minorEastAsia" w:hAnsi="Times New Roman" w:cs="Times New Roman"/>
              <w:szCs w:val="21"/>
            </w:rPr>
            <w:t>号），依法及时赔偿投资者损失。具体的赔偿标准、赔偿主体范围、赔偿金额等细节内容待上述情形实际发生时，以最终确定的赔偿方案为准。</w:t>
          </w:r>
        </w:p>
        <w:p w14:paraId="379C7C09"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三、约束措施</w:t>
          </w:r>
        </w:p>
        <w:p w14:paraId="094F48C7" w14:textId="77777777" w:rsidR="00D21C1F" w:rsidRDefault="00A42880">
          <w:pPr>
            <w:spacing w:line="360" w:lineRule="auto"/>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本人将积极采取合法措施履行上述承诺，自愿接受监管机构、社会公众及投资者的监督。若本人未能完全履行上述承诺事项中的义务或责任，本人将提请公司及时披露未履行承诺的情况和原因，并自愿接受有关法律、法规及有关监管机构要求的其他约束措施。”</w:t>
          </w:r>
        </w:p>
        <w:p w14:paraId="41A7B629"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8</w:t>
          </w:r>
          <w:r>
            <w:rPr>
              <w:rFonts w:ascii="Times New Roman" w:eastAsiaTheme="minorEastAsia" w:hAnsi="Times New Roman" w:cs="Times New Roman" w:hint="eastAsia"/>
              <w:b/>
              <w:bCs/>
              <w:szCs w:val="21"/>
            </w:rPr>
            <w:t>：</w:t>
          </w:r>
          <w:r>
            <w:rPr>
              <w:rFonts w:ascii="Times New Roman" w:eastAsiaTheme="minorEastAsia" w:hAnsi="Times New Roman" w:cs="Times New Roman"/>
              <w:szCs w:val="21"/>
            </w:rPr>
            <w:t>1</w:t>
          </w:r>
          <w:r>
            <w:rPr>
              <w:rFonts w:ascii="Times New Roman" w:eastAsiaTheme="minorEastAsia" w:hAnsi="Times New Roman" w:cs="Times New Roman"/>
              <w:szCs w:val="21"/>
            </w:rPr>
            <w:t>、不无偿或以不公平条件向其他单位或者个人输送利益，也不采用其他方式损害发行人利益；</w:t>
          </w:r>
        </w:p>
        <w:p w14:paraId="5A0421C1"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、对本人的职务消费行为进行约束；</w:t>
          </w:r>
        </w:p>
        <w:p w14:paraId="6B8FC14D"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、不动用发行人资产从事与本人履行职责无关的投资、消费活动；</w:t>
          </w:r>
        </w:p>
        <w:p w14:paraId="04F79F29"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、由董事会或提名、薪酬与考核委员会制定的薪酬制度与发行人填补回报措施的执行情况相挂钩；</w:t>
          </w:r>
        </w:p>
        <w:p w14:paraId="2AA1A8DC"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5</w:t>
          </w:r>
          <w:r>
            <w:rPr>
              <w:rFonts w:ascii="Times New Roman" w:eastAsiaTheme="minorEastAsia" w:hAnsi="Times New Roman" w:cs="Times New Roman"/>
              <w:szCs w:val="21"/>
            </w:rPr>
            <w:t>、若发行人后续推出股权激励政策，拟公布的发行人股权激励的行权条件与发行人填补回报措施的执行情况相挂钩；</w:t>
          </w:r>
        </w:p>
        <w:p w14:paraId="16D7C5E8"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6</w:t>
          </w:r>
          <w:r>
            <w:rPr>
              <w:rFonts w:ascii="Times New Roman" w:eastAsiaTheme="minorEastAsia" w:hAnsi="Times New Roman" w:cs="Times New Roman"/>
              <w:szCs w:val="21"/>
            </w:rPr>
            <w:t>、本承诺函经本人出具后即具有法律效力。本人并将严格履行本承诺函中的各项承诺。本人自愿接受监管机构、社会公众等的监督，若违反上述承诺本人将依法承担相应责任；</w:t>
          </w:r>
        </w:p>
        <w:p w14:paraId="6ED021C8"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lastRenderedPageBreak/>
            <w:t>7</w:t>
          </w:r>
          <w:r>
            <w:rPr>
              <w:rFonts w:ascii="Times New Roman" w:eastAsiaTheme="minorEastAsia" w:hAnsi="Times New Roman" w:cs="Times New Roman"/>
              <w:szCs w:val="21"/>
            </w:rPr>
            <w:t>、本承诺函出具日后至发行人本次发行实施完毕前，若中国证券监督管理委员会、上海证券交易所作出关于填补回报措施及其承诺的其他新的监管规定、且上述承诺不能满足中国证券监督管理委员会、上海证券交易所该等规定时，本人承诺届时将按照中国证券监督管理委员会、上海证券交易所的最新规定出具补充承诺。</w:t>
          </w:r>
        </w:p>
        <w:p w14:paraId="41ACE0F4"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1</w:t>
          </w:r>
          <w:r>
            <w:rPr>
              <w:rFonts w:ascii="Times New Roman" w:eastAsiaTheme="minorEastAsia" w:hAnsi="Times New Roman" w:cs="Times New Roman"/>
              <w:b/>
              <w:bCs/>
              <w:szCs w:val="21"/>
            </w:rPr>
            <w:t>9</w:t>
          </w:r>
          <w:r>
            <w:rPr>
              <w:rFonts w:ascii="Times New Roman" w:eastAsiaTheme="minorEastAsia" w:hAnsi="Times New Roman" w:cs="Times New Roman" w:hint="eastAsia"/>
              <w:b/>
              <w:bCs/>
              <w:szCs w:val="21"/>
            </w:rPr>
            <w:t>：</w:t>
          </w:r>
          <w:r>
            <w:rPr>
              <w:rFonts w:ascii="Times New Roman" w:eastAsiaTheme="minorEastAsia" w:hAnsi="Times New Roman" w:cs="Times New Roman"/>
              <w:szCs w:val="21"/>
            </w:rPr>
            <w:t>1</w:t>
          </w:r>
          <w:r>
            <w:rPr>
              <w:rFonts w:ascii="Times New Roman" w:eastAsiaTheme="minorEastAsia" w:hAnsi="Times New Roman" w:cs="Times New Roman"/>
              <w:szCs w:val="21"/>
            </w:rPr>
            <w:t>、不越权干预发行人经营管理活动，不侵占发行人利益；</w:t>
          </w:r>
        </w:p>
        <w:p w14:paraId="203ECEAE"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、切实履行发行人制定的有关填补回报措施以及本承诺函，如违反本承诺函或拒不履行本承诺函给发行人或股东造成损失的，同意根据法律、法规及证券监管机构的有关规定承担相应法律责任；</w:t>
          </w:r>
        </w:p>
        <w:p w14:paraId="248B9B1D"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、本承诺函经出具后即具有法律效力。本公司将严格履行本承诺函中的各项承诺。本公司自愿接受监管机构、社会公众等的监督，若违反上述承诺本公司将依法承担相应责任；</w:t>
          </w:r>
        </w:p>
        <w:p w14:paraId="1ACA8054"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本承诺函出具日后至发行人本次发行实施完毕前，若中国证券监督管理委员会、上海证券交易所作出关于填补回报措施及其承诺的其他新的监管规定、且上述承诺不能满足中国证券监督管理委员会、上海证券交易所该等规定时，本公司承诺届时将按照中国证券监督管理委员会、上海证券交易所的最新规定出具补充承诺。</w:t>
          </w:r>
        </w:p>
        <w:p w14:paraId="65A9D35B"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2</w:t>
          </w:r>
          <w:r>
            <w:rPr>
              <w:rFonts w:ascii="Times New Roman" w:eastAsiaTheme="minorEastAsia" w:hAnsi="Times New Roman" w:cs="Times New Roman"/>
              <w:b/>
              <w:bCs/>
              <w:szCs w:val="21"/>
            </w:rPr>
            <w:t>0</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一、公司股东信惟基石、鼎晖源霖、</w:t>
          </w:r>
          <w:r>
            <w:rPr>
              <w:rFonts w:ascii="Times New Roman" w:eastAsiaTheme="minorEastAsia" w:hAnsi="Times New Roman" w:cs="Times New Roman"/>
              <w:szCs w:val="21"/>
            </w:rPr>
            <w:t>Phinda Holding</w:t>
          </w:r>
          <w:r>
            <w:rPr>
              <w:rFonts w:ascii="Times New Roman" w:eastAsiaTheme="minorEastAsia" w:hAnsi="Times New Roman" w:cs="Times New Roman"/>
              <w:szCs w:val="21"/>
            </w:rPr>
            <w:t>、马鞍山基石承诺如下：</w:t>
          </w:r>
        </w:p>
        <w:p w14:paraId="3F1E36C8"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14:paraId="05285FA4"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股份锁定期满后，本公司届时将综合考虑资金需求、投资安排等各方面因素确定是否减持公司股份。如本公司确定依法减持公司股份的，将严格按照证券监管机构、证券交易所等有权部门颁布的届时有效的减持规则进行减持，并履行相应的信息披露义务。</w:t>
          </w:r>
        </w:p>
        <w:p w14:paraId="78E9C6E7"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本公司将在公告的减持期限内以证券监管机构、自律机构及证券交易所等有权部门允许的如大宗交易、集合竞价等合规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14:paraId="3B809231"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lastRenderedPageBreak/>
            <w:t>4</w:t>
          </w:r>
          <w:r>
            <w:rPr>
              <w:rFonts w:ascii="Times New Roman" w:eastAsiaTheme="minorEastAsia" w:hAnsi="Times New Roman" w:cs="Times New Roman"/>
              <w:szCs w:val="21"/>
            </w:rPr>
            <w:t>、如果本公司违反了有关承诺减持而获得的任何收益将归公司，本公司在接到公司董事会发出的本公司违反了关于股份减持承诺的通知之日起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r>
            <w:rPr>
              <w:rFonts w:ascii="Times New Roman" w:eastAsiaTheme="minorEastAsia" w:hAnsi="Times New Roman" w:cs="Times New Roman"/>
              <w:szCs w:val="21"/>
            </w:rPr>
            <w:t xml:space="preserve"> </w:t>
          </w:r>
        </w:p>
        <w:p w14:paraId="4E752875"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二、公司股东美的集团承诺如下：</w:t>
          </w:r>
        </w:p>
        <w:p w14:paraId="7F9DF55B"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14:paraId="69DA90A1"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、股份锁定期满后，本公司届时将综合考虑资金需求、投资安排等各方面因素确定是否减持公司股份。</w:t>
          </w:r>
        </w:p>
        <w:p w14:paraId="00EB51F9"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如本公司确定依法减持公司股份的，将严格按照证券监管机构、证券交易所等有权部门颁布的届时有效的减持规则进行减持，并履行相应的信息披露义务。</w:t>
          </w:r>
        </w:p>
        <w:p w14:paraId="5EB47CFF"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本公司将在公告的减持期限内以证券监管机构、自律机构及证券交易所等有权部门允许的如大宗交易、集合竞价等合规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14:paraId="4D2C1DAD"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、如果本公司违反了有关减持承诺，本公司应承担相应的法律责任。</w:t>
          </w:r>
        </w:p>
        <w:p w14:paraId="307B4F63"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三、公司股东奇瑞科技承诺如下：</w:t>
          </w:r>
        </w:p>
        <w:p w14:paraId="05A16521"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1</w:t>
          </w:r>
          <w:r>
            <w:rPr>
              <w:rFonts w:ascii="Times New Roman" w:eastAsiaTheme="minorEastAsia" w:hAnsi="Times New Roman" w:cs="Times New Roman"/>
              <w:szCs w:val="21"/>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14:paraId="1BB16680"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本公司将按照相关监管规定以证券监管机构、自律机构及证券交易所等有权部门允许的如大宗交易、集合竞价等合规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14:paraId="7FB60939"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lastRenderedPageBreak/>
            <w:t>3</w:t>
          </w:r>
          <w:r>
            <w:rPr>
              <w:rFonts w:ascii="Times New Roman" w:eastAsiaTheme="minorEastAsia" w:hAnsi="Times New Roman" w:cs="Times New Roman"/>
              <w:szCs w:val="21"/>
            </w:rPr>
            <w:t>、如果本公司违反了有关承诺减持而获得的任何收益将归公司，本公司在接到公司董事会发出的本公司违反了关于股份减持承诺的通知之日起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058CCFEA"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2</w:t>
          </w:r>
          <w:r>
            <w:rPr>
              <w:rFonts w:ascii="Times New Roman" w:eastAsiaTheme="minorEastAsia" w:hAnsi="Times New Roman" w:cs="Times New Roman"/>
              <w:b/>
              <w:bCs/>
              <w:szCs w:val="21"/>
            </w:rPr>
            <w:t>1</w:t>
          </w:r>
          <w:r>
            <w:rPr>
              <w:rFonts w:ascii="Times New Roman" w:eastAsiaTheme="minorEastAsia" w:hAnsi="Times New Roman" w:cs="Times New Roman" w:hint="eastAsia"/>
              <w:b/>
              <w:bCs/>
              <w:szCs w:val="21"/>
            </w:rPr>
            <w:t>：</w:t>
          </w:r>
          <w:r>
            <w:rPr>
              <w:rFonts w:ascii="Times New Roman" w:eastAsiaTheme="minorEastAsia" w:hAnsi="Times New Roman" w:cs="Times New Roman"/>
              <w:szCs w:val="21"/>
            </w:rPr>
            <w:t>1</w:t>
          </w:r>
          <w:r>
            <w:rPr>
              <w:rFonts w:ascii="Times New Roman" w:eastAsiaTheme="minorEastAsia" w:hAnsi="Times New Roman" w:cs="Times New Roman"/>
              <w:szCs w:val="21"/>
            </w:rPr>
            <w:t>、本公司将严格根据证券监管机构、自律机构及证券交易所等有权部门颁布的相关法律法规及规范性文件的有关规定，以及本公司就持股锁定事项出具的相关承诺执行有关股份限售事项；在证券监管机构、自律机构及证券交易所等有权部门颁布的相关法律法规及规范性文件的有关规定，以及本公司股份锁定承诺规定的限售期内，本公司不会进行任何违反相关规定及股份锁定承诺的股份减持行为。</w:t>
          </w:r>
        </w:p>
        <w:p w14:paraId="0610EF65"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、股份锁定期满后，本公司届时将综合考虑资金需求、投资安排等各方面因素确定是否减持公司股份。</w:t>
          </w:r>
        </w:p>
        <w:p w14:paraId="52BCAFAF"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如本公司确定依法减持公司股份的，将严格按照证券监管机构、证券交易所等有权部门颁布的届时有效的减持规则进行减持，并履行相应的信息披露义务。</w:t>
          </w:r>
        </w:p>
        <w:p w14:paraId="2BACBD0B"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、在股份锁定期满后</w:t>
          </w:r>
          <w:r>
            <w:rPr>
              <w:rFonts w:ascii="Times New Roman" w:eastAsiaTheme="minorEastAsia" w:hAnsi="Times New Roman" w:cs="Times New Roman"/>
              <w:szCs w:val="21"/>
            </w:rPr>
            <w:t>2</w:t>
          </w:r>
          <w:r>
            <w:rPr>
              <w:rFonts w:ascii="Times New Roman" w:eastAsiaTheme="minorEastAsia" w:hAnsi="Times New Roman" w:cs="Times New Roman"/>
              <w:szCs w:val="21"/>
            </w:rPr>
            <w:t>年内，如本公司确定依法减持公司股份的，将以不低于公司首次公开发行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股股票的发行价格进行减持。如自首次公开发行</w:t>
          </w:r>
          <w:r>
            <w:rPr>
              <w:rFonts w:ascii="Times New Roman" w:eastAsiaTheme="minorEastAsia" w:hAnsi="Times New Roman" w:cs="Times New Roman"/>
              <w:szCs w:val="21"/>
            </w:rPr>
            <w:t>A</w:t>
          </w:r>
          <w:r>
            <w:rPr>
              <w:rFonts w:ascii="Times New Roman" w:eastAsiaTheme="minorEastAsia" w:hAnsi="Times New Roman" w:cs="Times New Roman"/>
              <w:szCs w:val="21"/>
            </w:rPr>
            <w:t>股股票至披露减持公告期间公司发生过派息、送股、公积金转增股本、配股等除权除息事项的，本公司的减持价格应相应调整。</w:t>
          </w:r>
        </w:p>
        <w:p w14:paraId="1CDD1B20"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4</w:t>
          </w:r>
          <w:r>
            <w:rPr>
              <w:rFonts w:ascii="Times New Roman" w:eastAsiaTheme="minorEastAsia" w:hAnsi="Times New Roman" w:cs="Times New Roman"/>
              <w:szCs w:val="21"/>
            </w:rPr>
            <w:t>、本公司将在公告的减持期限内以证券监管机构、自律机构及证券交易所等有权部门允许的如大宗交易、集合竞价等合规方式进行减持。如本公司未来依法发生任何增持或减持公司股份情形的，本公司将严格按照证券监管机构、自律机构及证券交易所等有权部门颁布的相关法律法规及规范性文件的规定进行相应增持或减持操作，并及时履行有关信息披露义务。</w:t>
          </w:r>
        </w:p>
        <w:p w14:paraId="69666314"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5</w:t>
          </w:r>
          <w:r>
            <w:rPr>
              <w:rFonts w:ascii="Times New Roman" w:eastAsiaTheme="minorEastAsia" w:hAnsi="Times New Roman" w:cs="Times New Roman"/>
              <w:szCs w:val="21"/>
            </w:rPr>
            <w:t>、如果本公司违反了有关承诺减持而获得的任何收益将归公司，本公司在接到公司董事会发出的本公司违反了关于股份减持承诺的通知之日起</w:t>
          </w:r>
          <w:r>
            <w:rPr>
              <w:rFonts w:ascii="Times New Roman" w:eastAsiaTheme="minorEastAsia" w:hAnsi="Times New Roman" w:cs="Times New Roman"/>
              <w:szCs w:val="21"/>
            </w:rPr>
            <w:t>20</w:t>
          </w:r>
          <w:r>
            <w:rPr>
              <w:rFonts w:ascii="Times New Roman" w:eastAsiaTheme="minorEastAsia" w:hAnsi="Times New Roman" w:cs="Times New Roman"/>
              <w:szCs w:val="21"/>
            </w:rPr>
            <w:t>日内将有关收益交给公司。</w:t>
          </w:r>
        </w:p>
        <w:p w14:paraId="17F3E8E9"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b/>
              <w:bCs/>
              <w:szCs w:val="21"/>
            </w:rPr>
            <w:t>注</w:t>
          </w:r>
          <w:r>
            <w:rPr>
              <w:rFonts w:ascii="Times New Roman" w:eastAsiaTheme="minorEastAsia" w:hAnsi="Times New Roman" w:cs="Times New Roman" w:hint="eastAsia"/>
              <w:b/>
              <w:bCs/>
              <w:szCs w:val="21"/>
            </w:rPr>
            <w:t>2</w:t>
          </w:r>
          <w:r>
            <w:rPr>
              <w:rFonts w:ascii="Times New Roman" w:eastAsiaTheme="minorEastAsia" w:hAnsi="Times New Roman" w:cs="Times New Roman"/>
              <w:b/>
              <w:bCs/>
              <w:szCs w:val="21"/>
            </w:rPr>
            <w:t>2</w:t>
          </w:r>
          <w:r>
            <w:rPr>
              <w:rFonts w:ascii="Times New Roman" w:eastAsiaTheme="minorEastAsia" w:hAnsi="Times New Roman" w:cs="Times New Roman" w:hint="eastAsia"/>
              <w:b/>
              <w:bCs/>
              <w:szCs w:val="21"/>
            </w:rPr>
            <w:t>：</w:t>
          </w:r>
          <w:r>
            <w:rPr>
              <w:rFonts w:ascii="Times New Roman" w:eastAsiaTheme="minorEastAsia" w:hAnsi="Times New Roman" w:cs="Times New Roman" w:hint="eastAsia"/>
              <w:szCs w:val="21"/>
            </w:rPr>
            <w:t>公司自首次公开发行人民币普通股股票并上市之日起三年内，若出现公司股票连续</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个交易日（第</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个交易日称为</w:t>
          </w:r>
          <w:r>
            <w:rPr>
              <w:rFonts w:ascii="Times New Roman" w:eastAsiaTheme="minorEastAsia" w:hAnsi="Times New Roman" w:cs="Times New Roman"/>
              <w:szCs w:val="21"/>
            </w:rPr>
            <w:t>“</w:t>
          </w:r>
          <w:r>
            <w:rPr>
              <w:rFonts w:ascii="Times New Roman" w:eastAsiaTheme="minorEastAsia" w:hAnsi="Times New Roman" w:cs="Times New Roman"/>
              <w:szCs w:val="21"/>
            </w:rPr>
            <w:t>触发稳定股价措施日</w:t>
          </w:r>
          <w:r>
            <w:rPr>
              <w:rFonts w:ascii="Times New Roman" w:eastAsiaTheme="minorEastAsia" w:hAnsi="Times New Roman" w:cs="Times New Roman"/>
              <w:szCs w:val="21"/>
            </w:rPr>
            <w:t>”</w:t>
          </w:r>
          <w:r>
            <w:rPr>
              <w:rFonts w:ascii="Times New Roman" w:eastAsiaTheme="minorEastAsia" w:hAnsi="Times New Roman" w:cs="Times New Roman"/>
              <w:szCs w:val="21"/>
            </w:rPr>
            <w:t>。如在该</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个交易日期间公司披露了新的最近一期经审计的净资产，则该等</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的期限需自公司披露了新的最近一期经审计的净资产之日起重新开始计算，下同）的收盘价均低于最近一期经审计的每股净资产情况的，为启动稳定股价措施的具体条件，公司和有关方将采取有关股价稳定措施。</w:t>
          </w:r>
        </w:p>
        <w:p w14:paraId="033AE2AD"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当公司或有关方正式公告将采取的稳定股价措施之前，或当公司和有关方采取稳定股价措施后，公司股票若连续</w:t>
          </w:r>
          <w:r>
            <w:rPr>
              <w:rFonts w:ascii="Times New Roman" w:eastAsiaTheme="minorEastAsia" w:hAnsi="Times New Roman" w:cs="Times New Roman"/>
              <w:szCs w:val="21"/>
            </w:rPr>
            <w:t>5</w:t>
          </w:r>
          <w:r>
            <w:rPr>
              <w:rFonts w:ascii="Times New Roman" w:eastAsiaTheme="minorEastAsia" w:hAnsi="Times New Roman" w:cs="Times New Roman"/>
              <w:szCs w:val="21"/>
            </w:rPr>
            <w:t>个交易日的收盘价均高于公司最近一期经审计的每股净资产，则可终止启动或实施稳定股价措施。</w:t>
          </w:r>
        </w:p>
        <w:p w14:paraId="0516CAE3"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lastRenderedPageBreak/>
            <w:t>1</w:t>
          </w:r>
          <w:r>
            <w:rPr>
              <w:rFonts w:ascii="Times New Roman" w:eastAsiaTheme="minorEastAsia" w:hAnsi="Times New Roman" w:cs="Times New Roman"/>
              <w:szCs w:val="21"/>
            </w:rPr>
            <w:t>、控股股东芜湖远宏及一致行动人远大创投承诺：</w:t>
          </w:r>
        </w:p>
        <w:p w14:paraId="5672173F"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“在满足公司股东大会通过的《稳定公司股价的预案》中规定的本单位启动稳定股价措施的具体条件之后，本单位将通过增持公司股票的方式稳定公司股价。</w:t>
          </w:r>
        </w:p>
        <w:p w14:paraId="71F29FDF"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本单位将视情况采取直接增持，或通过一致行动人（若有）进行增持。</w:t>
          </w:r>
        </w:p>
        <w:p w14:paraId="03EC1052"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本单位履行稳定公司股价义务时，单轮用于增持的资金总额不少于本单位最近一次或最近一年（以孰高为准）从公司取得的现金分红（税后）的</w:t>
          </w:r>
          <w:r>
            <w:rPr>
              <w:rFonts w:ascii="Times New Roman" w:eastAsiaTheme="minorEastAsia" w:hAnsi="Times New Roman" w:cs="Times New Roman"/>
              <w:szCs w:val="21"/>
            </w:rPr>
            <w:t>20%</w:t>
          </w:r>
          <w:r>
            <w:rPr>
              <w:rFonts w:ascii="Times New Roman" w:eastAsiaTheme="minorEastAsia" w:hAnsi="Times New Roman" w:cs="Times New Roman"/>
              <w:szCs w:val="21"/>
            </w:rPr>
            <w:t>；单一会计年度内用以稳定股价的增持资金合计不超过本单位最近一次或最近一年（以孰高为准）从公司取得的现金分红（税后）的</w:t>
          </w:r>
          <w:r>
            <w:rPr>
              <w:rFonts w:ascii="Times New Roman" w:eastAsiaTheme="minorEastAsia" w:hAnsi="Times New Roman" w:cs="Times New Roman"/>
              <w:szCs w:val="21"/>
            </w:rPr>
            <w:t>50%</w:t>
          </w:r>
          <w:r>
            <w:rPr>
              <w:rFonts w:ascii="Times New Roman" w:eastAsiaTheme="minorEastAsia" w:hAnsi="Times New Roman" w:cs="Times New Roman"/>
              <w:szCs w:val="21"/>
            </w:rPr>
            <w:t>。超过上述标准的，本单位有关稳定股价措施在当年度不再继续实施。</w:t>
          </w:r>
        </w:p>
        <w:p w14:paraId="123AD942"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在本单位采取上述稳定股价措施、公司董事、高级管理人员按照《稳定公司股价的预案》采取稳定股价措施且在执行完毕后，再次出现公司股票连续</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个交易日的收盘价均低于公司最近一期经审计的每股净资产的，则本单位应在该情形出现之日起</w:t>
          </w:r>
          <w:r>
            <w:rPr>
              <w:rFonts w:ascii="Times New Roman" w:eastAsiaTheme="minorEastAsia" w:hAnsi="Times New Roman" w:cs="Times New Roman"/>
              <w:szCs w:val="21"/>
            </w:rPr>
            <w:t>10</w:t>
          </w:r>
          <w:r>
            <w:rPr>
              <w:rFonts w:ascii="Times New Roman" w:eastAsiaTheme="minorEastAsia" w:hAnsi="Times New Roman" w:cs="Times New Roman"/>
              <w:szCs w:val="21"/>
            </w:rPr>
            <w:t>个交易日内按照《稳定公司股价的预案》的规定重新确定启动新一轮的稳定股价措施。</w:t>
          </w:r>
        </w:p>
        <w:p w14:paraId="76AD66AE"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如本单位未按照《稳定公司股价的预案》中的规定履行本单位的增持义务，则公司自该年度起有权扣留相等于本单位应承担的用于履行增持义务的资金总额的分红款，本单位放弃对该部分分红款的所有权，由公司用于回购股份。”</w:t>
          </w:r>
        </w:p>
        <w:p w14:paraId="754919C5"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2</w:t>
          </w:r>
          <w:r>
            <w:rPr>
              <w:rFonts w:ascii="Times New Roman" w:eastAsiaTheme="minorEastAsia" w:hAnsi="Times New Roman" w:cs="Times New Roman"/>
              <w:szCs w:val="21"/>
            </w:rPr>
            <w:t>、公司董事、高级管理人员许礼进、游玮、曾辉、倪申来、张帷、董茂年、吴奕斐、郑德安、贾昌荣</w:t>
          </w:r>
          <w:r>
            <w:rPr>
              <w:rFonts w:ascii="Times New Roman" w:eastAsiaTheme="minorEastAsia" w:hAnsi="Times New Roman" w:cs="Times New Roman" w:hint="eastAsia"/>
              <w:szCs w:val="21"/>
            </w:rPr>
            <w:t>、康斌、樊莉娟、王富康</w:t>
          </w:r>
          <w:r>
            <w:rPr>
              <w:rFonts w:ascii="Times New Roman" w:eastAsiaTheme="minorEastAsia" w:hAnsi="Times New Roman" w:cs="Times New Roman"/>
              <w:szCs w:val="21"/>
            </w:rPr>
            <w:t>承诺：</w:t>
          </w:r>
        </w:p>
        <w:p w14:paraId="106E7E73"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“在满足公司股东大会通过的《稳定公司股价的预案》中规定的本人启动稳定股价措施的具体条件之后，本人将通过增持公司股票的方式稳定公司股价。</w:t>
          </w:r>
        </w:p>
        <w:p w14:paraId="79F5BA32"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本人将视情况采取直接增持，或通过一致行动人（若有）进行增持。</w:t>
          </w:r>
        </w:p>
        <w:p w14:paraId="62F507BF"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本人单轮用于增持的资金总额不低于上一年度各自从公司取得的税后薪酬的</w:t>
          </w:r>
          <w:r>
            <w:rPr>
              <w:rFonts w:ascii="Times New Roman" w:eastAsiaTheme="minorEastAsia" w:hAnsi="Times New Roman" w:cs="Times New Roman"/>
              <w:szCs w:val="21"/>
            </w:rPr>
            <w:t>20%</w:t>
          </w:r>
          <w:r>
            <w:rPr>
              <w:rFonts w:ascii="Times New Roman" w:eastAsiaTheme="minorEastAsia" w:hAnsi="Times New Roman" w:cs="Times New Roman"/>
              <w:szCs w:val="21"/>
            </w:rPr>
            <w:t>；单一会计年度内用以稳定股价的增持资金合计不超过其上一会计年度各自从公司取得的税后薪酬的</w:t>
          </w:r>
          <w:r>
            <w:rPr>
              <w:rFonts w:ascii="Times New Roman" w:eastAsiaTheme="minorEastAsia" w:hAnsi="Times New Roman" w:cs="Times New Roman"/>
              <w:szCs w:val="21"/>
            </w:rPr>
            <w:t>50%</w:t>
          </w:r>
          <w:r>
            <w:rPr>
              <w:rFonts w:ascii="Times New Roman" w:eastAsiaTheme="minorEastAsia" w:hAnsi="Times New Roman" w:cs="Times New Roman"/>
              <w:szCs w:val="21"/>
            </w:rPr>
            <w:t>，超过上述标准的，本人有关稳定股价措施在当年度不再继续实施。</w:t>
          </w:r>
        </w:p>
        <w:p w14:paraId="6D3726B1"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在采取上述稳定股价措施且在执行完毕后，再次出现公司股票连续</w:t>
          </w:r>
          <w:r>
            <w:rPr>
              <w:rFonts w:ascii="Times New Roman" w:eastAsiaTheme="minorEastAsia" w:hAnsi="Times New Roman" w:cs="Times New Roman"/>
              <w:szCs w:val="21"/>
            </w:rPr>
            <w:t>20</w:t>
          </w:r>
          <w:r>
            <w:rPr>
              <w:rFonts w:ascii="Times New Roman" w:eastAsiaTheme="minorEastAsia" w:hAnsi="Times New Roman" w:cs="Times New Roman"/>
              <w:szCs w:val="21"/>
            </w:rPr>
            <w:t>个交易日的收盘价均低于公司最近一期经审计的每股净资产的，则本人应在该情形出现之日起</w:t>
          </w:r>
          <w:r>
            <w:rPr>
              <w:rFonts w:ascii="Times New Roman" w:eastAsiaTheme="minorEastAsia" w:hAnsi="Times New Roman" w:cs="Times New Roman"/>
              <w:szCs w:val="21"/>
            </w:rPr>
            <w:t>10</w:t>
          </w:r>
          <w:r>
            <w:rPr>
              <w:rFonts w:ascii="Times New Roman" w:eastAsiaTheme="minorEastAsia" w:hAnsi="Times New Roman" w:cs="Times New Roman"/>
              <w:szCs w:val="21"/>
            </w:rPr>
            <w:t>个交易日内按照《稳定公司股价的预案》的规定重新确定启动新一轮的稳定股价措施。</w:t>
          </w:r>
        </w:p>
        <w:p w14:paraId="77D43B40"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lastRenderedPageBreak/>
            <w:t>如本人未按照《稳定公司股价的预案》中的规定履行本人作为公司董事、高级管理人员增持义务的，则公司自该年度起有权扣留本人应承担的用于履行增持义务的资金总额的薪酬，本人放弃对该部分薪酬的所有权，由公司用于回购股份。”</w:t>
          </w:r>
        </w:p>
        <w:p w14:paraId="23F1F645"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szCs w:val="21"/>
            </w:rPr>
            <w:t>3</w:t>
          </w:r>
          <w:r>
            <w:rPr>
              <w:rFonts w:ascii="Times New Roman" w:eastAsiaTheme="minorEastAsia" w:hAnsi="Times New Roman" w:cs="Times New Roman"/>
              <w:szCs w:val="21"/>
            </w:rPr>
            <w:t>、公司承诺：</w:t>
          </w:r>
        </w:p>
        <w:p w14:paraId="14817DD3" w14:textId="77777777" w:rsidR="00D21C1F" w:rsidRDefault="00A42880">
          <w:pPr>
            <w:spacing w:line="360" w:lineRule="auto"/>
            <w:ind w:firstLine="420"/>
            <w:rPr>
              <w:rFonts w:ascii="Times New Roman" w:eastAsiaTheme="minorEastAsia" w:hAnsi="Times New Roman" w:cs="Times New Roman"/>
              <w:szCs w:val="21"/>
            </w:rPr>
          </w:pPr>
          <w:r>
            <w:rPr>
              <w:rFonts w:ascii="Times New Roman" w:eastAsiaTheme="minorEastAsia" w:hAnsi="Times New Roman" w:cs="Times New Roman" w:hint="eastAsia"/>
              <w:szCs w:val="21"/>
            </w:rPr>
            <w:t>“对于公司未来新聘的且从公司领取薪酬的董事（不含独立董事）、高级管理人员，公司将促使其承诺受到《稳定公司股价的预案》的约束。”</w:t>
          </w:r>
        </w:p>
      </w:sdtContent>
    </w:sdt>
    <w:bookmarkStart w:id="87" w:name="_Hlk74818414" w:displacedByCustomXml="next"/>
    <w:sdt>
      <w:sdtPr>
        <w:rPr>
          <w:rFonts w:eastAsiaTheme="minorEastAsia"/>
          <w:b w:val="0"/>
          <w:bCs w:val="0"/>
        </w:rPr>
        <w:alias w:val="模块:报告期内控股股东及其他关联方非经营性占用资金情况"/>
        <w:tag w:val="_SEC_f3de5be2f3314462bab8fc12bea1f213"/>
        <w:id w:val="-1234391566"/>
        <w:lock w:val="sdtLocked"/>
        <w:placeholder>
          <w:docPart w:val="GBC22222222222222222222222222222"/>
        </w:placeholder>
      </w:sdtPr>
      <w:sdtEndPr>
        <w:rPr>
          <w:rFonts w:eastAsia="宋体"/>
        </w:rPr>
      </w:sdtEndPr>
      <w:sdtContent>
        <w:p w14:paraId="46C4C970" w14:textId="77777777" w:rsidR="00D21C1F" w:rsidRDefault="00A42880">
          <w:pPr>
            <w:pStyle w:val="2"/>
            <w:numPr>
              <w:ilvl w:val="0"/>
              <w:numId w:val="27"/>
            </w:numPr>
          </w:pPr>
          <w:r>
            <w:rPr>
              <w:rFonts w:hint="eastAsia"/>
            </w:rPr>
            <w:t>报</w:t>
          </w:r>
          <w:r>
            <w:t>告期内</w:t>
          </w:r>
          <w:r>
            <w:rPr>
              <w:rFonts w:hint="eastAsia"/>
            </w:rPr>
            <w:t>控股股东及其他关联方非经营性占用资金情况</w:t>
          </w:r>
        </w:p>
        <w:sdt>
          <w:sdtPr>
            <w:rPr>
              <w:szCs w:val="21"/>
            </w:rPr>
            <w:alias w:val="是否适用：资金被占用情况及清欠进展情况[双击切换]"/>
            <w:tag w:val="_GBC_1b62f06290114a4aae7ceda061124968"/>
            <w:id w:val="-437751616"/>
            <w:lock w:val="sdtLocked"/>
            <w:placeholder>
              <w:docPart w:val="GBC22222222222222222222222222222"/>
            </w:placeholder>
          </w:sdtPr>
          <w:sdtEndPr/>
          <w:sdtContent>
            <w:p w14:paraId="0670B9F6" w14:textId="77777777" w:rsidR="00D21C1F" w:rsidRDefault="00A4288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88" w:name="_Hlk74646365" w:displacedByCustomXml="next"/>
    <w:bookmarkEnd w:id="88" w:displacedByCustomXml="next"/>
    <w:bookmarkEnd w:id="87" w:displacedByCustomXml="next"/>
    <w:bookmarkStart w:id="89" w:name="_Hlk74818448" w:displacedByCustomXml="next"/>
    <w:sdt>
      <w:sdtPr>
        <w:rPr>
          <w:rFonts w:eastAsiaTheme="minorEastAsia"/>
          <w:b w:val="0"/>
          <w:bCs w:val="0"/>
        </w:rPr>
        <w:alias w:val="模块:违规担保情况"/>
        <w:tag w:val="_SEC_727db7a993d3466f81d0adadec1c9aac"/>
        <w:id w:val="347146480"/>
        <w:lock w:val="sdtLocked"/>
        <w:placeholder>
          <w:docPart w:val="GBC22222222222222222222222222222"/>
        </w:placeholder>
      </w:sdtPr>
      <w:sdtEndPr/>
      <w:sdtContent>
        <w:p w14:paraId="2D9AD7E7" w14:textId="77777777" w:rsidR="00D21C1F" w:rsidRDefault="00A42880">
          <w:pPr>
            <w:pStyle w:val="2"/>
            <w:numPr>
              <w:ilvl w:val="0"/>
              <w:numId w:val="27"/>
            </w:numPr>
          </w:pPr>
          <w:r>
            <w:rPr>
              <w:rFonts w:hint="eastAsia"/>
            </w:rPr>
            <w:t>违规担保情况</w:t>
          </w:r>
        </w:p>
        <w:sdt>
          <w:sdtPr>
            <w:alias w:val="是否适用：违规担保情况[双击切换]"/>
            <w:tag w:val="_GBC_39005923aba84c2081187108f5da636f"/>
            <w:id w:val="-1967662549"/>
            <w:lock w:val="sdtLocked"/>
            <w:placeholder>
              <w:docPart w:val="GBC22222222222222222222222222222"/>
            </w:placeholder>
          </w:sdtPr>
          <w:sdtEndPr/>
          <w:sdtContent>
            <w:p w14:paraId="285981F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89"/>
    <w:p w14:paraId="0CDC0B1F" w14:textId="77777777" w:rsidR="00D21C1F" w:rsidRDefault="00D21C1F">
      <w:pPr>
        <w:sectPr w:rsidR="00D21C1F">
          <w:pgSz w:w="16838" w:h="11906" w:orient="landscape"/>
          <w:pgMar w:top="1797" w:right="1525" w:bottom="1276" w:left="1440" w:header="851" w:footer="992" w:gutter="0"/>
          <w:cols w:space="425"/>
          <w:docGrid w:linePitch="312"/>
        </w:sectPr>
      </w:pPr>
    </w:p>
    <w:p w14:paraId="70A359AF" w14:textId="77777777" w:rsidR="00D21C1F" w:rsidRDefault="00A42880">
      <w:pPr>
        <w:pStyle w:val="2"/>
        <w:numPr>
          <w:ilvl w:val="0"/>
          <w:numId w:val="27"/>
        </w:numPr>
      </w:pPr>
      <w:bookmarkStart w:id="90" w:name="_Hlk74818713"/>
      <w:r>
        <w:rPr>
          <w:rFonts w:hint="eastAsia"/>
        </w:rPr>
        <w:lastRenderedPageBreak/>
        <w:t>半年报审计情况</w:t>
      </w:r>
    </w:p>
    <w:sdt>
      <w:sdtPr>
        <w:rPr>
          <w:szCs w:val="21"/>
        </w:rPr>
        <w:alias w:val="是否适用：半年报审计情况  [双击切换]"/>
        <w:tag w:val="_GBC_32bbe73426ca480198b53aef6d41f479"/>
        <w:id w:val="979114861"/>
        <w:lock w:val="sdtLocked"/>
        <w:placeholder>
          <w:docPart w:val="GBC22222222222222222222222222222"/>
        </w:placeholder>
      </w:sdtPr>
      <w:sdtEndPr/>
      <w:sdtContent>
        <w:p w14:paraId="45B47BF8"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90"/>
    <w:p w14:paraId="3804BA6D" w14:textId="77777777" w:rsidR="00D21C1F" w:rsidRDefault="00D21C1F">
      <w:pPr>
        <w:pStyle w:val="97"/>
      </w:pPr>
    </w:p>
    <w:sdt>
      <w:sdtPr>
        <w:rPr>
          <w:rFonts w:eastAsiaTheme="minorEastAsia" w:hint="eastAsia"/>
          <w:b w:val="0"/>
          <w:bCs w:val="0"/>
        </w:rPr>
        <w:alias w:val="模块:公司对上年年度报告中的财务报告被注册会计师出具“非标准审计报..."/>
        <w:tag w:val="_SEC_10be83ff0126440a8620e35536191767"/>
        <w:id w:val="1861386492"/>
        <w:lock w:val="sdtLocked"/>
        <w:placeholder>
          <w:docPart w:val="GBC22222222222222222222222222222"/>
        </w:placeholder>
      </w:sdtPr>
      <w:sdtEndPr/>
      <w:sdtContent>
        <w:p w14:paraId="2870BF91" w14:textId="77777777" w:rsidR="00D21C1F" w:rsidRDefault="00A42880">
          <w:pPr>
            <w:pStyle w:val="2"/>
            <w:numPr>
              <w:ilvl w:val="0"/>
              <w:numId w:val="27"/>
            </w:numPr>
          </w:pPr>
          <w:r>
            <w:rPr>
              <w:rFonts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1737049508"/>
            <w:lock w:val="sdtLocked"/>
            <w:placeholder>
              <w:docPart w:val="GBC22222222222222222222222222222"/>
            </w:placeholder>
          </w:sdtPr>
          <w:sdtEndPr/>
          <w:sdtContent>
            <w:p w14:paraId="0871DA9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DBC68C" w14:textId="77777777" w:rsidR="00D21C1F" w:rsidRDefault="00045EC6">
          <w:pPr>
            <w:pStyle w:val="97"/>
          </w:pPr>
        </w:p>
      </w:sdtContent>
    </w:sdt>
    <w:sdt>
      <w:sdtPr>
        <w:rPr>
          <w:rFonts w:eastAsiaTheme="minorEastAsia" w:hint="eastAsia"/>
          <w:b w:val="0"/>
          <w:bCs w:val="0"/>
        </w:rPr>
        <w:alias w:val="模块:破产重整相关事项"/>
        <w:tag w:val="_SEC_1ae3a3f4b3c4484980120137749e19ed"/>
        <w:id w:val="208383976"/>
        <w:lock w:val="sdtLocked"/>
        <w:placeholder>
          <w:docPart w:val="GBC22222222222222222222222222222"/>
        </w:placeholder>
      </w:sdtPr>
      <w:sdtEndPr/>
      <w:sdtContent>
        <w:p w14:paraId="145CADB9" w14:textId="77777777" w:rsidR="00D21C1F" w:rsidRDefault="00A42880">
          <w:pPr>
            <w:pStyle w:val="2"/>
            <w:numPr>
              <w:ilvl w:val="0"/>
              <w:numId w:val="27"/>
            </w:numPr>
          </w:pPr>
          <w:r>
            <w:rPr>
              <w:rFonts w:hint="eastAsia"/>
            </w:rPr>
            <w:t>破产重整相关事项</w:t>
          </w:r>
        </w:p>
        <w:sdt>
          <w:sdtPr>
            <w:rPr>
              <w:rFonts w:hint="eastAsia"/>
            </w:rPr>
            <w:alias w:val="是否适用：破产重整相关事项[双击切换]"/>
            <w:tag w:val="_GBC_c4fc8890d63b44b19353d2188a5bce59"/>
            <w:id w:val="-1783255042"/>
            <w:lock w:val="sdtLocked"/>
            <w:placeholder>
              <w:docPart w:val="GBC22222222222222222222222222222"/>
            </w:placeholder>
          </w:sdtPr>
          <w:sdtEndPr/>
          <w:sdtContent>
            <w:p w14:paraId="428142E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3F0C107" w14:textId="77777777" w:rsidR="00D21C1F" w:rsidRDefault="00D21C1F">
      <w:pPr>
        <w:rPr>
          <w:szCs w:val="21"/>
        </w:rPr>
      </w:pPr>
    </w:p>
    <w:p w14:paraId="762A2852" w14:textId="77777777" w:rsidR="00D21C1F" w:rsidRDefault="00A42880">
      <w:pPr>
        <w:pStyle w:val="2"/>
        <w:numPr>
          <w:ilvl w:val="0"/>
          <w:numId w:val="27"/>
        </w:numPr>
      </w:pPr>
      <w:r>
        <w:t>重大诉讼、仲裁事项</w:t>
      </w:r>
    </w:p>
    <w:sdt>
      <w:sdtPr>
        <w:alias w:val="本年度公司有无重大诉讼、仲裁事项"/>
        <w:tag w:val="_GBC_0fcf1cd2d0814185bde747855edf5227"/>
        <w:id w:val="-1470508068"/>
        <w:lock w:val="sdtLocked"/>
        <w:placeholder>
          <w:docPart w:val="GBC22222222222222222222222222222"/>
        </w:placeholder>
      </w:sdtPr>
      <w:sdtEndPr/>
      <w:sdtContent>
        <w:p w14:paraId="4A59B884" w14:textId="77777777" w:rsidR="00D21C1F" w:rsidRDefault="00A42880">
          <w:pPr>
            <w:pStyle w:val="97"/>
          </w:pPr>
          <w:r>
            <w:fldChar w:fldCharType="begin"/>
          </w:r>
          <w:r>
            <w:instrText xml:space="preserve"> MACROBUTTON  SnrToggleCheckbox √本报告期公司有重大诉讼、仲裁事项 </w:instrText>
          </w:r>
          <w:r>
            <w:fldChar w:fldCharType="end"/>
          </w:r>
          <w:r>
            <w:fldChar w:fldCharType="begin"/>
          </w:r>
          <w:r>
            <w:instrText xml:space="preserve"> MACROBUTTON  SnrToggleCheckbox □本报告期公司无重大诉讼、仲裁事项 </w:instrText>
          </w:r>
          <w: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24244701"/>
        <w:lock w:val="sdtLocked"/>
        <w:placeholder>
          <w:docPart w:val="GBC22222222222222222222222222222"/>
        </w:placeholder>
      </w:sdtPr>
      <w:sdtEndPr>
        <w:rPr>
          <w:rFonts w:hint="eastAsia"/>
          <w:szCs w:val="21"/>
        </w:rPr>
      </w:sdtEndPr>
      <w:sdtContent>
        <w:p w14:paraId="6F087AFD" w14:textId="77777777" w:rsidR="00D21C1F" w:rsidRDefault="00A42880">
          <w:pPr>
            <w:pStyle w:val="3"/>
            <w:numPr>
              <w:ilvl w:val="0"/>
              <w:numId w:val="29"/>
            </w:numPr>
            <w:rPr>
              <w:rFonts w:ascii="宋体" w:hAnsi="宋体"/>
            </w:rPr>
          </w:pPr>
          <w:r>
            <w:rPr>
              <w:rFonts w:ascii="宋体" w:hAnsi="宋体"/>
            </w:rPr>
            <w:t>诉讼、仲裁事项已在临时公告披露且无后续进展的</w:t>
          </w:r>
        </w:p>
        <w:sdt>
          <w:sdtPr>
            <w:alias w:val="是否适用：诉讼、仲裁事项已在临时公告披露且无后续进展的[双击切换]"/>
            <w:tag w:val="_GBC_1c7697ff89954de38b9736575b9b7dc9"/>
            <w:id w:val="132610533"/>
            <w:lock w:val="sdtLocked"/>
            <w:placeholder>
              <w:docPart w:val="GBC22222222222222222222222222222"/>
            </w:placeholder>
          </w:sdtPr>
          <w:sdtEndPr/>
          <w:sdtContent>
            <w:p w14:paraId="3363305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4815"/>
            <w:gridCol w:w="4008"/>
          </w:tblGrid>
          <w:tr w:rsidR="00D21C1F" w14:paraId="1CBAB444" w14:textId="77777777">
            <w:sdt>
              <w:sdtPr>
                <w:tag w:val="_PLD_0c5dadb725f645e88d02a44ed41a1e46"/>
                <w:id w:val="-1612739708"/>
                <w:lock w:val="sdtLocked"/>
              </w:sdtPr>
              <w:sdtEndPr/>
              <w:sdtContent>
                <w:tc>
                  <w:tcPr>
                    <w:tcW w:w="4815" w:type="dxa"/>
                  </w:tcPr>
                  <w:p w14:paraId="7F42AAA8" w14:textId="77777777" w:rsidR="00D21C1F" w:rsidRDefault="00A42880">
                    <w:pPr>
                      <w:jc w:val="center"/>
                    </w:pPr>
                    <w:r>
                      <w:t>事项概述及类型</w:t>
                    </w:r>
                  </w:p>
                </w:tc>
              </w:sdtContent>
            </w:sdt>
            <w:sdt>
              <w:sdtPr>
                <w:tag w:val="_PLD_13af72da876f4221b2dfc2f0cc421987"/>
                <w:id w:val="-1818721074"/>
                <w:lock w:val="sdtLocked"/>
              </w:sdtPr>
              <w:sdtEndPr/>
              <w:sdtContent>
                <w:tc>
                  <w:tcPr>
                    <w:tcW w:w="4008" w:type="dxa"/>
                  </w:tcPr>
                  <w:p w14:paraId="3B99F78D" w14:textId="77777777" w:rsidR="00D21C1F" w:rsidRDefault="00A42880">
                    <w:pPr>
                      <w:jc w:val="center"/>
                    </w:pPr>
                    <w:r>
                      <w:t>查询索引</w:t>
                    </w:r>
                  </w:p>
                </w:tc>
              </w:sdtContent>
            </w:sdt>
          </w:tr>
          <w:sdt>
            <w:sdtPr>
              <w:rPr>
                <w:rFonts w:ascii="Times New Roman" w:hAnsi="Times New Roman" w:cs="Times New Roman"/>
              </w:rPr>
              <w:alias w:val="诉讼、仲裁或媒体质疑事项已在临时报告披露且无后续进展的"/>
              <w:tag w:val="_TUP_823c9fa8ad8844c29d56b53bc326a27a"/>
              <w:id w:val="646254558"/>
              <w:lock w:val="sdtLocked"/>
              <w:placeholder>
                <w:docPart w:val="GBC11111111111111111111111111111"/>
              </w:placeholder>
            </w:sdtPr>
            <w:sdtEndPr/>
            <w:sdtContent>
              <w:tr w:rsidR="00D21C1F" w14:paraId="4417C50C" w14:textId="77777777">
                <w:tc>
                  <w:tcPr>
                    <w:tcW w:w="4815" w:type="dxa"/>
                  </w:tcPr>
                  <w:p w14:paraId="41A25897" w14:textId="77777777" w:rsidR="00D21C1F" w:rsidRDefault="00A42880">
                    <w:pPr>
                      <w:rPr>
                        <w:rFonts w:ascii="Times New Roman" w:hAnsi="Times New Roman" w:cs="Times New Roman"/>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10</w:t>
                    </w:r>
                    <w:r>
                      <w:rPr>
                        <w:rFonts w:ascii="Times New Roman" w:hAnsi="Times New Roman" w:cs="Times New Roman"/>
                      </w:rPr>
                      <w:t>日公司向德宏傣族景颇族自治州中级人民法院提起诉讼，请求判处北汽云南瑞丽汽车有限公司支付剩余合同价款合计人民币</w:t>
                    </w:r>
                    <w:r>
                      <w:rPr>
                        <w:rFonts w:ascii="Times New Roman" w:hAnsi="Times New Roman" w:cs="Times New Roman"/>
                      </w:rPr>
                      <w:t>43,343,536.41</w:t>
                    </w:r>
                    <w:r>
                      <w:rPr>
                        <w:rFonts w:ascii="Times New Roman" w:hAnsi="Times New Roman" w:cs="Times New Roman"/>
                      </w:rPr>
                      <w:t>元及逾期付款损失赔偿，以及本案全部诉讼费用。</w:t>
                    </w:r>
                  </w:p>
                </w:tc>
                <w:tc>
                  <w:tcPr>
                    <w:tcW w:w="4008" w:type="dxa"/>
                  </w:tcPr>
                  <w:p w14:paraId="0C2D6210" w14:textId="77777777" w:rsidR="00D21C1F" w:rsidRDefault="00A42880">
                    <w:pPr>
                      <w:rPr>
                        <w:rFonts w:ascii="Times New Roman" w:hAnsi="Times New Roman" w:cs="Times New Roman"/>
                      </w:rPr>
                    </w:pPr>
                    <w:r>
                      <w:rPr>
                        <w:rFonts w:ascii="Times New Roman" w:hAnsi="Times New Roman" w:cs="Times New Roman"/>
                      </w:rPr>
                      <w:t>详见公司于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13</w:t>
                    </w:r>
                    <w:r>
                      <w:rPr>
                        <w:rFonts w:ascii="Times New Roman" w:hAnsi="Times New Roman" w:cs="Times New Roman"/>
                      </w:rPr>
                      <w:t>日披露于上海证券交易所网站（</w:t>
                    </w:r>
                    <w:r>
                      <w:rPr>
                        <w:rFonts w:ascii="Times New Roman" w:hAnsi="Times New Roman" w:cs="Times New Roman"/>
                      </w:rPr>
                      <w:t>www.sse.com.cn</w:t>
                    </w:r>
                    <w:r>
                      <w:rPr>
                        <w:rFonts w:ascii="Times New Roman" w:hAnsi="Times New Roman" w:cs="Times New Roman"/>
                      </w:rPr>
                      <w:t>）的公告</w:t>
                    </w:r>
                    <w:r>
                      <w:rPr>
                        <w:rFonts w:ascii="Times New Roman" w:hAnsi="Times New Roman" w:cs="Times New Roman" w:hint="eastAsia"/>
                      </w:rPr>
                      <w:t>《埃夫特关于提起诉讼的公告》（公告编号：</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w:t>
                    </w:r>
                    <w:r>
                      <w:rPr>
                        <w:rFonts w:ascii="Times New Roman" w:hAnsi="Times New Roman" w:cs="Times New Roman"/>
                      </w:rPr>
                      <w:t>016</w:t>
                    </w:r>
                    <w:r>
                      <w:rPr>
                        <w:rFonts w:ascii="Times New Roman" w:hAnsi="Times New Roman" w:cs="Times New Roman" w:hint="eastAsia"/>
                      </w:rPr>
                      <w:t>）</w:t>
                    </w:r>
                    <w:r>
                      <w:rPr>
                        <w:rFonts w:ascii="Times New Roman" w:hAnsi="Times New Roman" w:cs="Times New Roman"/>
                      </w:rPr>
                      <w:t>。</w:t>
                    </w:r>
                  </w:p>
                </w:tc>
              </w:tr>
            </w:sdtContent>
          </w:sdt>
        </w:tbl>
        <w:p w14:paraId="5EEF30E7" w14:textId="77777777" w:rsidR="00D21C1F" w:rsidRDefault="00D21C1F">
          <w:pPr>
            <w:rPr>
              <w:szCs w:val="21"/>
            </w:rPr>
            <w:sectPr w:rsidR="00D21C1F">
              <w:pgSz w:w="11906" w:h="16838"/>
              <w:pgMar w:top="1525" w:right="1276" w:bottom="1440" w:left="1797" w:header="851" w:footer="992" w:gutter="0"/>
              <w:cols w:space="425"/>
              <w:docGrid w:linePitch="312"/>
            </w:sectPr>
          </w:pPr>
        </w:p>
        <w:p w14:paraId="1933FC11" w14:textId="77777777" w:rsidR="00D21C1F" w:rsidRDefault="00045EC6">
          <w:pPr>
            <w:rPr>
              <w:szCs w:val="21"/>
            </w:rPr>
          </w:pPr>
        </w:p>
      </w:sdtContent>
    </w:sdt>
    <w:bookmarkStart w:id="91" w:name="_Hlk78970555" w:displacedByCustomXml="next"/>
    <w:sdt>
      <w:sdtPr>
        <w:rPr>
          <w:rFonts w:ascii="宋体" w:eastAsiaTheme="minorEastAsia" w:hAnsi="宋体" w:cs="宋体"/>
          <w:b w:val="0"/>
          <w:bCs w:val="0"/>
          <w:kern w:val="0"/>
          <w:szCs w:val="22"/>
        </w:rPr>
        <w:alias w:val="模块:临时公告未披露或有后续进展的诉讼、仲裁情况"/>
        <w:tag w:val="_SEC_85376178a04b46fb90efc5d6fa2e6a28"/>
        <w:id w:val="-985160601"/>
        <w:lock w:val="sdtLocked"/>
        <w:placeholder>
          <w:docPart w:val="GBC22222222222222222222222222222"/>
        </w:placeholder>
      </w:sdtPr>
      <w:sdtEndPr>
        <w:rPr>
          <w:rFonts w:hint="eastAsia"/>
          <w:szCs w:val="24"/>
        </w:rPr>
      </w:sdtEndPr>
      <w:sdtContent>
        <w:p w14:paraId="7A59CC19" w14:textId="77777777" w:rsidR="00D21C1F" w:rsidRDefault="00A42880">
          <w:pPr>
            <w:pStyle w:val="3"/>
            <w:numPr>
              <w:ilvl w:val="0"/>
              <w:numId w:val="29"/>
            </w:numPr>
            <w:rPr>
              <w:rFonts w:ascii="宋体" w:hAnsi="宋体"/>
            </w:rPr>
          </w:pPr>
          <w:r>
            <w:rPr>
              <w:rFonts w:ascii="宋体" w:hAnsi="宋体"/>
            </w:rPr>
            <w:t>临时公告未披露或有后续进展的诉讼、仲裁情况</w:t>
          </w:r>
        </w:p>
        <w:sdt>
          <w:sdtPr>
            <w:alias w:val="是否适用：临时公告未披露或有后续进展的诉讼、仲裁情况[双击切换]"/>
            <w:tag w:val="_GBC_3f59cc6ee3354630821313bac686c029"/>
            <w:id w:val="-1551374773"/>
            <w:lock w:val="sdtLocked"/>
            <w:placeholder>
              <w:docPart w:val="GBC22222222222222222222222222222"/>
            </w:placeholder>
          </w:sdtPr>
          <w:sdtEndPr/>
          <w:sdtContent>
            <w:p w14:paraId="61F7D69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EF3956" w14:textId="77777777" w:rsidR="00D21C1F" w:rsidRDefault="00A42880">
          <w:pPr>
            <w:jc w:val="right"/>
          </w:pPr>
          <w:r>
            <w:rPr>
              <w:rFonts w:hint="eastAsia"/>
            </w:rPr>
            <w:t>单位:</w:t>
          </w:r>
          <w:sdt>
            <w:sdtPr>
              <w:rPr>
                <w:rFonts w:hint="eastAsia"/>
              </w:rPr>
              <w:alias w:val="单位：重大诉讼仲裁事项"/>
              <w:tag w:val="_GBC_ab5a46f4fd35408cba7d05de7b668fac"/>
              <w:id w:val="1170146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重大诉讼仲裁事项"/>
              <w:tag w:val="_GBC_67f8b933111740f4867b07d27cbb7862"/>
              <w:id w:val="-752278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0"/>
            <w:tblW w:w="14567" w:type="dxa"/>
            <w:tblLayout w:type="fixed"/>
            <w:tblLook w:val="04A0" w:firstRow="1" w:lastRow="0" w:firstColumn="1" w:lastColumn="0" w:noHBand="0" w:noVBand="1"/>
          </w:tblPr>
          <w:tblGrid>
            <w:gridCol w:w="894"/>
            <w:gridCol w:w="853"/>
            <w:gridCol w:w="686"/>
            <w:gridCol w:w="802"/>
            <w:gridCol w:w="3536"/>
            <w:gridCol w:w="1134"/>
            <w:gridCol w:w="992"/>
            <w:gridCol w:w="1984"/>
            <w:gridCol w:w="2127"/>
            <w:gridCol w:w="1559"/>
          </w:tblGrid>
          <w:tr w:rsidR="00D21C1F" w14:paraId="3CB8CF67" w14:textId="77777777">
            <w:sdt>
              <w:sdtPr>
                <w:tag w:val="_PLD_542ec69aa4ef4bfab0931fd1db76a6ba"/>
                <w:id w:val="45648122"/>
                <w:lock w:val="sdtLocked"/>
              </w:sdtPr>
              <w:sdtEndPr/>
              <w:sdtContent>
                <w:tc>
                  <w:tcPr>
                    <w:tcW w:w="14567" w:type="dxa"/>
                    <w:gridSpan w:val="10"/>
                  </w:tcPr>
                  <w:p w14:paraId="23778F15" w14:textId="77777777" w:rsidR="00D21C1F" w:rsidRDefault="00A42880">
                    <w:pPr>
                      <w:pStyle w:val="97"/>
                    </w:pPr>
                    <w:r>
                      <w:rPr>
                        <w:rFonts w:hint="eastAsia"/>
                      </w:rPr>
                      <w:t>报告期内:</w:t>
                    </w:r>
                  </w:p>
                </w:tc>
              </w:sdtContent>
            </w:sdt>
          </w:tr>
          <w:tr w:rsidR="00D21C1F" w14:paraId="11D0AE93" w14:textId="77777777">
            <w:sdt>
              <w:sdtPr>
                <w:tag w:val="_PLD_65530f9e2c974c4caf9f0a8143274a84"/>
                <w:id w:val="1160351056"/>
                <w:lock w:val="sdtLocked"/>
              </w:sdtPr>
              <w:sdtEndPr/>
              <w:sdtContent>
                <w:tc>
                  <w:tcPr>
                    <w:tcW w:w="894" w:type="dxa"/>
                    <w:vAlign w:val="center"/>
                  </w:tcPr>
                  <w:p w14:paraId="18F973CB" w14:textId="77777777" w:rsidR="00D21C1F" w:rsidRDefault="00A42880">
                    <w:pPr>
                      <w:jc w:val="center"/>
                    </w:pPr>
                    <w:r>
                      <w:t>起诉(申请)方</w:t>
                    </w:r>
                  </w:p>
                </w:tc>
              </w:sdtContent>
            </w:sdt>
            <w:sdt>
              <w:sdtPr>
                <w:tag w:val="_PLD_199b4615ac594ea49e4ae790f9604175"/>
                <w:id w:val="-1514905922"/>
                <w:lock w:val="sdtLocked"/>
              </w:sdtPr>
              <w:sdtEndPr/>
              <w:sdtContent>
                <w:tc>
                  <w:tcPr>
                    <w:tcW w:w="853" w:type="dxa"/>
                    <w:vAlign w:val="center"/>
                  </w:tcPr>
                  <w:p w14:paraId="34DBF043" w14:textId="77777777" w:rsidR="00D21C1F" w:rsidRDefault="00A42880">
                    <w:pPr>
                      <w:jc w:val="center"/>
                    </w:pPr>
                    <w:r>
                      <w:t>应诉（被申请</w:t>
                    </w:r>
                    <w:r>
                      <w:rPr>
                        <w:rFonts w:hint="eastAsia"/>
                      </w:rPr>
                      <w:t>）</w:t>
                    </w:r>
                    <w:r>
                      <w:t>方</w:t>
                    </w:r>
                  </w:p>
                </w:tc>
              </w:sdtContent>
            </w:sdt>
            <w:sdt>
              <w:sdtPr>
                <w:tag w:val="_PLD_40e0da63dc8243ccadfed7bf52b93f8b"/>
                <w:id w:val="-227688360"/>
                <w:lock w:val="sdtLocked"/>
              </w:sdtPr>
              <w:sdtEndPr/>
              <w:sdtContent>
                <w:tc>
                  <w:tcPr>
                    <w:tcW w:w="686" w:type="dxa"/>
                    <w:vAlign w:val="center"/>
                  </w:tcPr>
                  <w:p w14:paraId="749D190C" w14:textId="77777777" w:rsidR="00D21C1F" w:rsidRDefault="00A42880">
                    <w:pPr>
                      <w:jc w:val="center"/>
                    </w:pPr>
                    <w:r>
                      <w:t>承担连带责任方</w:t>
                    </w:r>
                  </w:p>
                </w:tc>
              </w:sdtContent>
            </w:sdt>
            <w:sdt>
              <w:sdtPr>
                <w:tag w:val="_PLD_46f93380e03f45adbc91c2ab3774798c"/>
                <w:id w:val="1234973217"/>
                <w:lock w:val="sdtLocked"/>
              </w:sdtPr>
              <w:sdtEndPr/>
              <w:sdtContent>
                <w:tc>
                  <w:tcPr>
                    <w:tcW w:w="802" w:type="dxa"/>
                    <w:vAlign w:val="center"/>
                  </w:tcPr>
                  <w:p w14:paraId="49D6D1FA" w14:textId="77777777" w:rsidR="00D21C1F" w:rsidRDefault="00A42880">
                    <w:pPr>
                      <w:jc w:val="center"/>
                    </w:pPr>
                    <w:r>
                      <w:t>诉讼仲裁类型</w:t>
                    </w:r>
                  </w:p>
                </w:tc>
              </w:sdtContent>
            </w:sdt>
            <w:sdt>
              <w:sdtPr>
                <w:tag w:val="_PLD_29743bdc16de45d8a3449747b5605f16"/>
                <w:id w:val="2094502997"/>
                <w:lock w:val="sdtLocked"/>
              </w:sdtPr>
              <w:sdtEndPr/>
              <w:sdtContent>
                <w:tc>
                  <w:tcPr>
                    <w:tcW w:w="3536" w:type="dxa"/>
                    <w:vAlign w:val="center"/>
                  </w:tcPr>
                  <w:p w14:paraId="51423DF5" w14:textId="77777777" w:rsidR="00D21C1F" w:rsidRDefault="00A42880">
                    <w:pPr>
                      <w:jc w:val="center"/>
                    </w:pPr>
                    <w:r>
                      <w:t>诉讼(仲裁)基本情况</w:t>
                    </w:r>
                  </w:p>
                </w:tc>
              </w:sdtContent>
            </w:sdt>
            <w:sdt>
              <w:sdtPr>
                <w:tag w:val="_PLD_cc4909272128469b9b9eb68f21f24563"/>
                <w:id w:val="-415788334"/>
                <w:lock w:val="sdtLocked"/>
              </w:sdtPr>
              <w:sdtEndPr/>
              <w:sdtContent>
                <w:tc>
                  <w:tcPr>
                    <w:tcW w:w="1134" w:type="dxa"/>
                    <w:vAlign w:val="center"/>
                  </w:tcPr>
                  <w:p w14:paraId="754FCD8C" w14:textId="77777777" w:rsidR="00D21C1F" w:rsidRDefault="00A42880">
                    <w:pPr>
                      <w:jc w:val="center"/>
                    </w:pPr>
                    <w:r>
                      <w:t>诉讼(仲裁)涉及金额</w:t>
                    </w:r>
                  </w:p>
                </w:tc>
              </w:sdtContent>
            </w:sdt>
            <w:sdt>
              <w:sdtPr>
                <w:tag w:val="_PLD_314be9ce30c646b1a34851dbc8c947ff"/>
                <w:id w:val="-359821443"/>
                <w:lock w:val="sdtLocked"/>
              </w:sdtPr>
              <w:sdtEndPr/>
              <w:sdtContent>
                <w:tc>
                  <w:tcPr>
                    <w:tcW w:w="992" w:type="dxa"/>
                    <w:vAlign w:val="center"/>
                  </w:tcPr>
                  <w:p w14:paraId="118D6322" w14:textId="77777777" w:rsidR="00D21C1F" w:rsidRDefault="00A42880">
                    <w:pPr>
                      <w:jc w:val="center"/>
                    </w:pPr>
                    <w:r>
                      <w:t>诉讼(仲裁)是否形成预计负债及金额</w:t>
                    </w:r>
                  </w:p>
                </w:tc>
              </w:sdtContent>
            </w:sdt>
            <w:sdt>
              <w:sdtPr>
                <w:tag w:val="_PLD_27f3a3c3699f4caaa599fe2ff85e043a"/>
                <w:id w:val="364488646"/>
                <w:lock w:val="sdtLocked"/>
              </w:sdtPr>
              <w:sdtEndPr/>
              <w:sdtContent>
                <w:tc>
                  <w:tcPr>
                    <w:tcW w:w="1984" w:type="dxa"/>
                    <w:vAlign w:val="center"/>
                  </w:tcPr>
                  <w:p w14:paraId="7820B8C9" w14:textId="77777777" w:rsidR="00D21C1F" w:rsidRDefault="00A42880">
                    <w:pPr>
                      <w:jc w:val="center"/>
                    </w:pPr>
                    <w:r>
                      <w:t>诉讼(仲裁)进展情况</w:t>
                    </w:r>
                  </w:p>
                </w:tc>
              </w:sdtContent>
            </w:sdt>
            <w:sdt>
              <w:sdtPr>
                <w:tag w:val="_PLD_670326cb24854b3a8bee381fa766735a"/>
                <w:id w:val="-1233227373"/>
                <w:lock w:val="sdtLocked"/>
              </w:sdtPr>
              <w:sdtEndPr/>
              <w:sdtContent>
                <w:tc>
                  <w:tcPr>
                    <w:tcW w:w="2127" w:type="dxa"/>
                    <w:vAlign w:val="center"/>
                  </w:tcPr>
                  <w:p w14:paraId="1A5DE205" w14:textId="77777777" w:rsidR="00D21C1F" w:rsidRDefault="00A42880">
                    <w:pPr>
                      <w:jc w:val="center"/>
                    </w:pPr>
                    <w:r>
                      <w:t>诉讼(仲裁)审理结果及影响</w:t>
                    </w:r>
                  </w:p>
                </w:tc>
              </w:sdtContent>
            </w:sdt>
            <w:sdt>
              <w:sdtPr>
                <w:tag w:val="_PLD_4b3c312c6ff54512a58be0ff5dc57e46"/>
                <w:id w:val="2102919427"/>
                <w:lock w:val="sdtLocked"/>
              </w:sdtPr>
              <w:sdtEndPr/>
              <w:sdtContent>
                <w:tc>
                  <w:tcPr>
                    <w:tcW w:w="1559" w:type="dxa"/>
                    <w:vAlign w:val="center"/>
                  </w:tcPr>
                  <w:p w14:paraId="1EB49BFB" w14:textId="77777777" w:rsidR="00D21C1F" w:rsidRDefault="00A42880">
                    <w:pPr>
                      <w:jc w:val="center"/>
                    </w:pPr>
                    <w:r>
                      <w:t>诉讼(仲裁)判决执行情况</w:t>
                    </w:r>
                  </w:p>
                </w:tc>
              </w:sdtContent>
            </w:sdt>
          </w:tr>
          <w:sdt>
            <w:sdtPr>
              <w:rPr>
                <w:rFonts w:ascii="Times New Roman" w:eastAsiaTheme="minorEastAsia" w:hAnsi="Times New Roman" w:cs="Times New Roman"/>
                <w:kern w:val="2"/>
                <w:szCs w:val="22"/>
              </w:rPr>
              <w:alias w:val="重大诉讼、仲裁事项"/>
              <w:tag w:val="_TUP_234d07ec13744d019fad4109a2500e1c"/>
              <w:id w:val="200292958"/>
              <w:lock w:val="sdtLocked"/>
              <w:placeholder>
                <w:docPart w:val="DCF8941B2B254B17B738314799341AFF"/>
              </w:placeholder>
            </w:sdtPr>
            <w:sdtEndPr/>
            <w:sdtContent>
              <w:tr w:rsidR="00D21C1F" w14:paraId="4794EEBA" w14:textId="77777777">
                <w:tc>
                  <w:tcPr>
                    <w:tcW w:w="894" w:type="dxa"/>
                  </w:tcPr>
                  <w:p w14:paraId="0DC5EE55" w14:textId="77777777" w:rsidR="00D21C1F" w:rsidRDefault="00A42880">
                    <w:pPr>
                      <w:jc w:val="left"/>
                      <w:rPr>
                        <w:rFonts w:ascii="Times New Roman" w:hAnsi="Times New Roman" w:cs="Times New Roman"/>
                      </w:rPr>
                    </w:pPr>
                    <w:r>
                      <w:rPr>
                        <w:rFonts w:ascii="Times New Roman" w:hAnsi="Times New Roman" w:cs="Times New Roman"/>
                      </w:rPr>
                      <w:t>埃夫特智能装备股份有限公司</w:t>
                    </w:r>
                  </w:p>
                </w:tc>
                <w:tc>
                  <w:tcPr>
                    <w:tcW w:w="853" w:type="dxa"/>
                  </w:tcPr>
                  <w:p w14:paraId="7D54FDCE" w14:textId="77777777" w:rsidR="00D21C1F" w:rsidRDefault="00A42880">
                    <w:pPr>
                      <w:jc w:val="left"/>
                      <w:rPr>
                        <w:rFonts w:ascii="Times New Roman" w:hAnsi="Times New Roman" w:cs="Times New Roman"/>
                      </w:rPr>
                    </w:pPr>
                    <w:r>
                      <w:rPr>
                        <w:rFonts w:ascii="Times New Roman" w:hAnsi="Times New Roman" w:cs="Times New Roman"/>
                      </w:rPr>
                      <w:t>江西大乘汽车工业有限公司</w:t>
                    </w:r>
                  </w:p>
                </w:tc>
                <w:tc>
                  <w:tcPr>
                    <w:tcW w:w="686" w:type="dxa"/>
                  </w:tcPr>
                  <w:p w14:paraId="4099BA40" w14:textId="77777777" w:rsidR="00D21C1F" w:rsidRDefault="00A42880">
                    <w:pPr>
                      <w:jc w:val="left"/>
                      <w:rPr>
                        <w:rFonts w:ascii="Times New Roman" w:hAnsi="Times New Roman" w:cs="Times New Roman"/>
                      </w:rPr>
                    </w:pPr>
                    <w:r>
                      <w:rPr>
                        <w:rFonts w:ascii="Times New Roman" w:hAnsi="Times New Roman" w:cs="Times New Roman"/>
                      </w:rPr>
                      <w:t>无</w:t>
                    </w:r>
                  </w:p>
                </w:tc>
                <w:tc>
                  <w:tcPr>
                    <w:tcW w:w="802" w:type="dxa"/>
                  </w:tcPr>
                  <w:p w14:paraId="648B112C" w14:textId="77777777" w:rsidR="00D21C1F" w:rsidRDefault="00A42880">
                    <w:pPr>
                      <w:jc w:val="left"/>
                      <w:rPr>
                        <w:rFonts w:ascii="Times New Roman" w:hAnsi="Times New Roman" w:cs="Times New Roman"/>
                      </w:rPr>
                    </w:pPr>
                    <w:r>
                      <w:rPr>
                        <w:rFonts w:ascii="Times New Roman" w:hAnsi="Times New Roman" w:cs="Times New Roman"/>
                      </w:rPr>
                      <w:t>民事诉讼</w:t>
                    </w:r>
                  </w:p>
                </w:tc>
                <w:tc>
                  <w:tcPr>
                    <w:tcW w:w="3536" w:type="dxa"/>
                  </w:tcPr>
                  <w:p w14:paraId="461EC2B7" w14:textId="77777777" w:rsidR="00D21C1F" w:rsidRDefault="00A42880">
                    <w:pPr>
                      <w:rPr>
                        <w:rFonts w:ascii="Times New Roman" w:hAnsi="Times New Roman" w:cs="Times New Roman"/>
                      </w:rPr>
                    </w:pPr>
                    <w:r>
                      <w:rPr>
                        <w:rFonts w:ascii="Times New Roman" w:hAnsi="Times New Roman" w:cs="Times New Roman"/>
                      </w:rPr>
                      <w:t>2018-2019</w:t>
                    </w:r>
                    <w:r>
                      <w:rPr>
                        <w:rFonts w:ascii="Times New Roman" w:hAnsi="Times New Roman" w:cs="Times New Roman"/>
                      </w:rPr>
                      <w:t>年，公司与江西大乘汽车工业有限公司（以下简称</w:t>
                    </w:r>
                    <w:r>
                      <w:rPr>
                        <w:rFonts w:ascii="Times New Roman" w:hAnsi="Times New Roman" w:cs="Times New Roman"/>
                      </w:rPr>
                      <w:t>“</w:t>
                    </w:r>
                    <w:r>
                      <w:rPr>
                        <w:rFonts w:ascii="Times New Roman" w:hAnsi="Times New Roman" w:cs="Times New Roman"/>
                      </w:rPr>
                      <w:t>江西大乘</w:t>
                    </w:r>
                    <w:r>
                      <w:rPr>
                        <w:rFonts w:ascii="Times New Roman" w:hAnsi="Times New Roman" w:cs="Times New Roman"/>
                      </w:rPr>
                      <w:t>”</w:t>
                    </w:r>
                    <w:r>
                      <w:rPr>
                        <w:rFonts w:ascii="Times New Roman" w:hAnsi="Times New Roman" w:cs="Times New Roman"/>
                      </w:rPr>
                      <w:t>）陆续签署了《总装车间淋雨线、漆面检查线、</w:t>
                    </w:r>
                    <w:r>
                      <w:rPr>
                        <w:rFonts w:ascii="Times New Roman" w:hAnsi="Times New Roman" w:cs="Times New Roman"/>
                      </w:rPr>
                      <w:t>PDI</w:t>
                    </w:r>
                    <w:r>
                      <w:rPr>
                        <w:rFonts w:ascii="Times New Roman" w:hAnsi="Times New Roman" w:cs="Times New Roman"/>
                      </w:rPr>
                      <w:t>检查线、补漆室及</w:t>
                    </w:r>
                    <w:r>
                      <w:rPr>
                        <w:rFonts w:ascii="Times New Roman" w:hAnsi="Times New Roman" w:cs="Times New Roman"/>
                      </w:rPr>
                      <w:t>AUDIT</w:t>
                    </w:r>
                    <w:r>
                      <w:rPr>
                        <w:rFonts w:ascii="Times New Roman" w:hAnsi="Times New Roman" w:cs="Times New Roman"/>
                      </w:rPr>
                      <w:t>评审室设备承揽合同》、《焊装</w:t>
                    </w:r>
                    <w:r>
                      <w:rPr>
                        <w:rFonts w:ascii="Times New Roman" w:hAnsi="Times New Roman" w:cs="Times New Roman"/>
                      </w:rPr>
                      <w:t>WBS</w:t>
                    </w:r>
                    <w:r>
                      <w:rPr>
                        <w:rFonts w:ascii="Times New Roman" w:hAnsi="Times New Roman" w:cs="Times New Roman"/>
                      </w:rPr>
                      <w:t>储运及调整线设备承揽合同》、《焊装</w:t>
                    </w:r>
                    <w:r>
                      <w:rPr>
                        <w:rFonts w:ascii="Times New Roman" w:hAnsi="Times New Roman" w:cs="Times New Roman"/>
                      </w:rPr>
                      <w:t>WBS</w:t>
                    </w:r>
                    <w:r>
                      <w:rPr>
                        <w:rFonts w:ascii="Times New Roman" w:hAnsi="Times New Roman" w:cs="Times New Roman"/>
                      </w:rPr>
                      <w:t>储运及调整线增补协议》，上述项目在</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月通过终验收，根据合同约定，江西大乘应支付至合同总金额的</w:t>
                    </w:r>
                    <w:r>
                      <w:rPr>
                        <w:rFonts w:ascii="Times New Roman" w:hAnsi="Times New Roman" w:cs="Times New Roman"/>
                      </w:rPr>
                      <w:t>90%</w:t>
                    </w:r>
                    <w:r>
                      <w:rPr>
                        <w:rFonts w:ascii="Times New Roman" w:hAnsi="Times New Roman" w:cs="Times New Roman"/>
                      </w:rPr>
                      <w:t>，因江西大乘未能按合同约定及时足额支付合同款，埃夫特向江西省抚州市中级人民法院提起诉讼。江西省抚州市中级人民法院于</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14</w:t>
                    </w:r>
                    <w:r>
                      <w:rPr>
                        <w:rFonts w:ascii="Times New Roman" w:hAnsi="Times New Roman" w:cs="Times New Roman"/>
                      </w:rPr>
                      <w:t>日立案，依法适用普通程序审理本案，于</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28</w:t>
                    </w:r>
                    <w:r>
                      <w:rPr>
                        <w:rFonts w:ascii="Times New Roman" w:hAnsi="Times New Roman" w:cs="Times New Roman"/>
                      </w:rPr>
                      <w:t>日出具（</w:t>
                    </w:r>
                    <w:r>
                      <w:rPr>
                        <w:rFonts w:ascii="Times New Roman" w:hAnsi="Times New Roman" w:cs="Times New Roman"/>
                      </w:rPr>
                      <w:t>2020</w:t>
                    </w:r>
                    <w:r>
                      <w:rPr>
                        <w:rFonts w:ascii="Times New Roman" w:hAnsi="Times New Roman" w:cs="Times New Roman"/>
                      </w:rPr>
                      <w:t>）赣</w:t>
                    </w:r>
                    <w:r>
                      <w:rPr>
                        <w:rFonts w:ascii="Times New Roman" w:hAnsi="Times New Roman" w:cs="Times New Roman"/>
                      </w:rPr>
                      <w:t>10</w:t>
                    </w:r>
                    <w:r>
                      <w:rPr>
                        <w:rFonts w:ascii="Times New Roman" w:hAnsi="Times New Roman" w:cs="Times New Roman"/>
                      </w:rPr>
                      <w:t>民初</w:t>
                    </w:r>
                    <w:r>
                      <w:rPr>
                        <w:rFonts w:ascii="Times New Roman" w:hAnsi="Times New Roman" w:cs="Times New Roman"/>
                      </w:rPr>
                      <w:t>103</w:t>
                    </w:r>
                    <w:r>
                      <w:rPr>
                        <w:rFonts w:ascii="Times New Roman" w:hAnsi="Times New Roman" w:cs="Times New Roman"/>
                      </w:rPr>
                      <w:t>号民事调解书。</w:t>
                    </w:r>
                  </w:p>
                </w:tc>
                <w:tc>
                  <w:tcPr>
                    <w:tcW w:w="1134" w:type="dxa"/>
                  </w:tcPr>
                  <w:p w14:paraId="2520B861" w14:textId="77777777" w:rsidR="00D21C1F" w:rsidRDefault="00A42880">
                    <w:pPr>
                      <w:rPr>
                        <w:rFonts w:ascii="Times New Roman" w:hAnsi="Times New Roman" w:cs="Times New Roman"/>
                      </w:rPr>
                    </w:pPr>
                    <w:r>
                      <w:rPr>
                        <w:rFonts w:ascii="Times New Roman" w:hAnsi="Times New Roman" w:cs="Times New Roman"/>
                      </w:rPr>
                      <w:t>1,585.25</w:t>
                    </w:r>
                  </w:p>
                </w:tc>
                <w:tc>
                  <w:tcPr>
                    <w:tcW w:w="992" w:type="dxa"/>
                  </w:tcPr>
                  <w:p w14:paraId="734E292B" w14:textId="77777777" w:rsidR="00D21C1F" w:rsidRDefault="00A42880">
                    <w:pPr>
                      <w:rPr>
                        <w:rFonts w:ascii="Times New Roman" w:hAnsi="Times New Roman" w:cs="Times New Roman"/>
                      </w:rPr>
                    </w:pPr>
                    <w:r>
                      <w:rPr>
                        <w:rFonts w:ascii="Times New Roman" w:hAnsi="Times New Roman" w:cs="Times New Roman"/>
                      </w:rPr>
                      <w:t>否</w:t>
                    </w:r>
                  </w:p>
                </w:tc>
                <w:tc>
                  <w:tcPr>
                    <w:tcW w:w="1984" w:type="dxa"/>
                  </w:tcPr>
                  <w:p w14:paraId="188E3ED9" w14:textId="77777777" w:rsidR="00D21C1F" w:rsidRDefault="00A42880">
                    <w:pPr>
                      <w:rPr>
                        <w:rFonts w:ascii="Times New Roman" w:hAnsi="Times New Roman" w:cs="Times New Roman"/>
                      </w:rPr>
                    </w:pPr>
                    <w:r>
                      <w:rPr>
                        <w:rFonts w:ascii="Times New Roman" w:hAnsi="Times New Roman" w:cs="Times New Roman"/>
                      </w:rPr>
                      <w:t>江西大乘未按民事调解书执行，公司已向法院申请强制执行</w:t>
                    </w:r>
                  </w:p>
                </w:tc>
                <w:tc>
                  <w:tcPr>
                    <w:tcW w:w="2127" w:type="dxa"/>
                  </w:tcPr>
                  <w:p w14:paraId="240DD7C9" w14:textId="77777777" w:rsidR="00D21C1F" w:rsidRDefault="00A42880">
                    <w:pPr>
                      <w:rPr>
                        <w:rFonts w:ascii="Times New Roman" w:hAnsi="Times New Roman" w:cs="Times New Roman"/>
                      </w:rPr>
                    </w:pPr>
                    <w:r>
                      <w:rPr>
                        <w:rFonts w:ascii="Times New Roman" w:hAnsi="Times New Roman" w:cs="Times New Roman"/>
                      </w:rPr>
                      <w:t>案件在法院主持下双方达成调解一致，并由法院制作调解书，江西大乘向公司分期支付逾期合同款共计</w:t>
                    </w:r>
                    <w:r>
                      <w:rPr>
                        <w:rFonts w:ascii="Times New Roman" w:hAnsi="Times New Roman" w:cs="Times New Roman"/>
                      </w:rPr>
                      <w:t>1585.25</w:t>
                    </w:r>
                    <w:r>
                      <w:rPr>
                        <w:rFonts w:ascii="Times New Roman" w:hAnsi="Times New Roman" w:cs="Times New Roman"/>
                      </w:rPr>
                      <w:t>万元，案件受理费、保全费由公司承担，如江西大乘未按约履行付款责任，则余款一次性到期，案件收费由江西大乘承担。公司有权向法院申请强制执行</w:t>
                    </w:r>
                  </w:p>
                </w:tc>
                <w:tc>
                  <w:tcPr>
                    <w:tcW w:w="1559" w:type="dxa"/>
                  </w:tcPr>
                  <w:p w14:paraId="421C0267" w14:textId="77777777" w:rsidR="00D21C1F" w:rsidRDefault="00A42880">
                    <w:pPr>
                      <w:rPr>
                        <w:rFonts w:ascii="Times New Roman" w:hAnsi="Times New Roman" w:cs="Times New Roman"/>
                      </w:rPr>
                    </w:pPr>
                    <w:r>
                      <w:rPr>
                        <w:rFonts w:ascii="Times New Roman" w:hAnsi="Times New Roman" w:cs="Times New Roman" w:hint="eastAsia"/>
                      </w:rPr>
                      <w:t>江西大乘未按民事调解书执行，公司已向法院申请强制执行，</w:t>
                    </w:r>
                    <w:r>
                      <w:rPr>
                        <w:rFonts w:ascii="Times New Roman" w:hAnsi="Times New Roman" w:cs="Times New Roman"/>
                      </w:rPr>
                      <w:t>截止本报告披露之日，该案件未执行完毕</w:t>
                    </w:r>
                  </w:p>
                </w:tc>
              </w:tr>
            </w:sdtContent>
          </w:sdt>
          <w:sdt>
            <w:sdtPr>
              <w:rPr>
                <w:rFonts w:ascii="Times New Roman" w:eastAsiaTheme="minorEastAsia" w:hAnsi="Times New Roman" w:cs="Times New Roman"/>
                <w:kern w:val="2"/>
                <w:szCs w:val="22"/>
              </w:rPr>
              <w:alias w:val="重大诉讼、仲裁事项"/>
              <w:tag w:val="_TUP_234d07ec13744d019fad4109a2500e1c"/>
              <w:id w:val="-1971584073"/>
              <w:lock w:val="sdtLocked"/>
              <w:placeholder>
                <w:docPart w:val="9581A9A0AA6F487DB9D938917D565C84"/>
              </w:placeholder>
            </w:sdtPr>
            <w:sdtEndPr/>
            <w:sdtContent>
              <w:tr w:rsidR="00D21C1F" w14:paraId="41CC88F6" w14:textId="77777777">
                <w:tc>
                  <w:tcPr>
                    <w:tcW w:w="894" w:type="dxa"/>
                  </w:tcPr>
                  <w:p w14:paraId="37973016" w14:textId="77777777" w:rsidR="00D21C1F" w:rsidRDefault="00A42880">
                    <w:pPr>
                      <w:rPr>
                        <w:rFonts w:ascii="Times New Roman" w:hAnsi="Times New Roman" w:cs="Times New Roman"/>
                      </w:rPr>
                    </w:pPr>
                    <w:r>
                      <w:rPr>
                        <w:rFonts w:ascii="Times New Roman" w:hAnsi="Times New Roman" w:cs="Times New Roman"/>
                      </w:rPr>
                      <w:t>埃夫特智能装备股份</w:t>
                    </w:r>
                    <w:r>
                      <w:rPr>
                        <w:rFonts w:ascii="Times New Roman" w:hAnsi="Times New Roman" w:cs="Times New Roman"/>
                      </w:rPr>
                      <w:lastRenderedPageBreak/>
                      <w:t>有限公司</w:t>
                    </w:r>
                  </w:p>
                </w:tc>
                <w:tc>
                  <w:tcPr>
                    <w:tcW w:w="853" w:type="dxa"/>
                  </w:tcPr>
                  <w:p w14:paraId="3E1C7FA7" w14:textId="77777777" w:rsidR="00D21C1F" w:rsidRDefault="00A42880">
                    <w:pPr>
                      <w:rPr>
                        <w:rFonts w:ascii="Times New Roman" w:hAnsi="Times New Roman" w:cs="Times New Roman"/>
                      </w:rPr>
                    </w:pPr>
                    <w:r>
                      <w:rPr>
                        <w:rFonts w:ascii="Times New Roman" w:hAnsi="Times New Roman" w:cs="Times New Roman"/>
                      </w:rPr>
                      <w:lastRenderedPageBreak/>
                      <w:t>江西大乘汽车工业有</w:t>
                    </w:r>
                    <w:r>
                      <w:rPr>
                        <w:rFonts w:ascii="Times New Roman" w:hAnsi="Times New Roman" w:cs="Times New Roman"/>
                      </w:rPr>
                      <w:lastRenderedPageBreak/>
                      <w:t>限公司</w:t>
                    </w:r>
                  </w:p>
                </w:tc>
                <w:tc>
                  <w:tcPr>
                    <w:tcW w:w="686" w:type="dxa"/>
                  </w:tcPr>
                  <w:p w14:paraId="665A0454" w14:textId="77777777" w:rsidR="00D21C1F" w:rsidRDefault="00A42880">
                    <w:pPr>
                      <w:rPr>
                        <w:rFonts w:ascii="Times New Roman" w:hAnsi="Times New Roman" w:cs="Times New Roman"/>
                      </w:rPr>
                    </w:pPr>
                    <w:r>
                      <w:rPr>
                        <w:rFonts w:ascii="Times New Roman" w:hAnsi="Times New Roman" w:cs="Times New Roman"/>
                      </w:rPr>
                      <w:lastRenderedPageBreak/>
                      <w:t>无</w:t>
                    </w:r>
                  </w:p>
                </w:tc>
                <w:tc>
                  <w:tcPr>
                    <w:tcW w:w="802" w:type="dxa"/>
                  </w:tcPr>
                  <w:p w14:paraId="2665027A" w14:textId="77777777" w:rsidR="00D21C1F" w:rsidRDefault="00A42880">
                    <w:pPr>
                      <w:rPr>
                        <w:rFonts w:ascii="Times New Roman" w:hAnsi="Times New Roman" w:cs="Times New Roman"/>
                      </w:rPr>
                    </w:pPr>
                    <w:r>
                      <w:rPr>
                        <w:rFonts w:ascii="Times New Roman" w:hAnsi="Times New Roman" w:cs="Times New Roman"/>
                      </w:rPr>
                      <w:t>民事诉讼</w:t>
                    </w:r>
                  </w:p>
                </w:tc>
                <w:tc>
                  <w:tcPr>
                    <w:tcW w:w="3536" w:type="dxa"/>
                  </w:tcPr>
                  <w:p w14:paraId="0C1CD4BF" w14:textId="77777777" w:rsidR="00D21C1F" w:rsidRDefault="00A42880">
                    <w:pPr>
                      <w:rPr>
                        <w:rFonts w:ascii="Times New Roman" w:hAnsi="Times New Roman" w:cs="Times New Roman"/>
                      </w:rPr>
                    </w:pPr>
                    <w:r>
                      <w:rPr>
                        <w:rFonts w:ascii="Times New Roman" w:hAnsi="Times New Roman" w:cs="Times New Roman"/>
                      </w:rPr>
                      <w:t>2018-2019</w:t>
                    </w:r>
                    <w:r>
                      <w:rPr>
                        <w:rFonts w:ascii="Times New Roman" w:hAnsi="Times New Roman" w:cs="Times New Roman"/>
                      </w:rPr>
                      <w:t>年，公司与江西大乘陆续签署了《总装车间淋雨线、漆面检查线、</w:t>
                    </w:r>
                    <w:r>
                      <w:rPr>
                        <w:rFonts w:ascii="Times New Roman" w:hAnsi="Times New Roman" w:cs="Times New Roman"/>
                      </w:rPr>
                      <w:t>PDI</w:t>
                    </w:r>
                    <w:r>
                      <w:rPr>
                        <w:rFonts w:ascii="Times New Roman" w:hAnsi="Times New Roman" w:cs="Times New Roman"/>
                      </w:rPr>
                      <w:t>检查线、补漆室及</w:t>
                    </w:r>
                    <w:r>
                      <w:rPr>
                        <w:rFonts w:ascii="Times New Roman" w:hAnsi="Times New Roman" w:cs="Times New Roman"/>
                      </w:rPr>
                      <w:lastRenderedPageBreak/>
                      <w:t>AUDIT</w:t>
                    </w:r>
                    <w:r>
                      <w:rPr>
                        <w:rFonts w:ascii="Times New Roman" w:hAnsi="Times New Roman" w:cs="Times New Roman"/>
                      </w:rPr>
                      <w:t>评审室设备承揽合同》、《焊装</w:t>
                    </w:r>
                    <w:r>
                      <w:rPr>
                        <w:rFonts w:ascii="Times New Roman" w:hAnsi="Times New Roman" w:cs="Times New Roman"/>
                      </w:rPr>
                      <w:t>WBS</w:t>
                    </w:r>
                    <w:r>
                      <w:rPr>
                        <w:rFonts w:ascii="Times New Roman" w:hAnsi="Times New Roman" w:cs="Times New Roman"/>
                      </w:rPr>
                      <w:t>储运及调整线设备承揽合同》、《焊装</w:t>
                    </w:r>
                    <w:r>
                      <w:rPr>
                        <w:rFonts w:ascii="Times New Roman" w:hAnsi="Times New Roman" w:cs="Times New Roman"/>
                      </w:rPr>
                      <w:t>WBS</w:t>
                    </w:r>
                    <w:r>
                      <w:rPr>
                        <w:rFonts w:ascii="Times New Roman" w:hAnsi="Times New Roman" w:cs="Times New Roman"/>
                      </w:rPr>
                      <w:t>储运及调整线增补协议》，上述项目在</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月通过终验收，根据合同约定，江西大乘应在质保期满后支付合同总金额</w:t>
                    </w:r>
                    <w:r>
                      <w:rPr>
                        <w:rFonts w:ascii="Times New Roman" w:hAnsi="Times New Roman" w:cs="Times New Roman"/>
                      </w:rPr>
                      <w:t>10%</w:t>
                    </w:r>
                    <w:r>
                      <w:rPr>
                        <w:rFonts w:ascii="Times New Roman" w:hAnsi="Times New Roman" w:cs="Times New Roman"/>
                      </w:rPr>
                      <w:t>的款项。质保到期后，公司于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月向抚州市临川区人民法院起诉，诉讼标的为：要求对方支付合同款</w:t>
                    </w:r>
                    <w:r>
                      <w:rPr>
                        <w:rFonts w:ascii="Times New Roman" w:hAnsi="Times New Roman" w:cs="Times New Roman"/>
                      </w:rPr>
                      <w:t>331.97</w:t>
                    </w:r>
                    <w:r>
                      <w:rPr>
                        <w:rFonts w:ascii="Times New Roman" w:hAnsi="Times New Roman" w:cs="Times New Roman"/>
                      </w:rPr>
                      <w:t>万元及逾期付款违约金，法院受理后于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21</w:t>
                    </w:r>
                    <w:r>
                      <w:rPr>
                        <w:rFonts w:ascii="Times New Roman" w:hAnsi="Times New Roman" w:cs="Times New Roman"/>
                      </w:rPr>
                      <w:t>日开庭。</w:t>
                    </w:r>
                  </w:p>
                </w:tc>
                <w:tc>
                  <w:tcPr>
                    <w:tcW w:w="1134" w:type="dxa"/>
                  </w:tcPr>
                  <w:p w14:paraId="491A4F5F" w14:textId="77777777" w:rsidR="00D21C1F" w:rsidRDefault="00A42880">
                    <w:pPr>
                      <w:rPr>
                        <w:rFonts w:ascii="Times New Roman" w:hAnsi="Times New Roman" w:cs="Times New Roman"/>
                      </w:rPr>
                    </w:pPr>
                    <w:r>
                      <w:rPr>
                        <w:rFonts w:ascii="Times New Roman" w:hAnsi="Times New Roman" w:cs="Times New Roman"/>
                      </w:rPr>
                      <w:lastRenderedPageBreak/>
                      <w:t>331.97</w:t>
                    </w:r>
                  </w:p>
                </w:tc>
                <w:tc>
                  <w:tcPr>
                    <w:tcW w:w="992" w:type="dxa"/>
                  </w:tcPr>
                  <w:p w14:paraId="1163BAE5" w14:textId="77777777" w:rsidR="00D21C1F" w:rsidRDefault="00A42880">
                    <w:pPr>
                      <w:rPr>
                        <w:rFonts w:ascii="Times New Roman" w:hAnsi="Times New Roman" w:cs="Times New Roman"/>
                      </w:rPr>
                    </w:pPr>
                    <w:r>
                      <w:rPr>
                        <w:rFonts w:ascii="Times New Roman" w:hAnsi="Times New Roman" w:cs="Times New Roman"/>
                      </w:rPr>
                      <w:t>否</w:t>
                    </w:r>
                  </w:p>
                </w:tc>
                <w:tc>
                  <w:tcPr>
                    <w:tcW w:w="1984" w:type="dxa"/>
                  </w:tcPr>
                  <w:p w14:paraId="3A058C54" w14:textId="77777777" w:rsidR="00D21C1F" w:rsidRDefault="00A42880">
                    <w:pPr>
                      <w:rPr>
                        <w:rFonts w:ascii="Times New Roman" w:hAnsi="Times New Roman" w:cs="Times New Roman"/>
                      </w:rPr>
                    </w:pPr>
                    <w:r>
                      <w:rPr>
                        <w:rFonts w:ascii="Times New Roman" w:hAnsi="Times New Roman" w:cs="Times New Roman"/>
                      </w:rPr>
                      <w:t>案件已开庭，</w:t>
                    </w:r>
                    <w:r>
                      <w:rPr>
                        <w:rFonts w:ascii="Times New Roman" w:hAnsi="Times New Roman" w:cs="Times New Roman" w:hint="eastAsia"/>
                      </w:rPr>
                      <w:t>尚</w:t>
                    </w:r>
                    <w:r>
                      <w:rPr>
                        <w:rFonts w:ascii="Times New Roman" w:hAnsi="Times New Roman" w:cs="Times New Roman"/>
                      </w:rPr>
                      <w:t>未判决</w:t>
                    </w:r>
                  </w:p>
                </w:tc>
                <w:tc>
                  <w:tcPr>
                    <w:tcW w:w="2127" w:type="dxa"/>
                  </w:tcPr>
                  <w:p w14:paraId="01E541A5" w14:textId="77777777" w:rsidR="00D21C1F" w:rsidRDefault="00A42880">
                    <w:pPr>
                      <w:rPr>
                        <w:rFonts w:ascii="Times New Roman" w:hAnsi="Times New Roman" w:cs="Times New Roman"/>
                      </w:rPr>
                    </w:pPr>
                    <w:r>
                      <w:rPr>
                        <w:rFonts w:ascii="Times New Roman" w:hAnsi="Times New Roman" w:cs="Times New Roman" w:hint="eastAsia"/>
                      </w:rPr>
                      <w:t>无</w:t>
                    </w:r>
                  </w:p>
                </w:tc>
                <w:tc>
                  <w:tcPr>
                    <w:tcW w:w="1559" w:type="dxa"/>
                  </w:tcPr>
                  <w:p w14:paraId="53140339" w14:textId="77777777" w:rsidR="00D21C1F" w:rsidRDefault="00A42880">
                    <w:pPr>
                      <w:rPr>
                        <w:rFonts w:ascii="Times New Roman" w:hAnsi="Times New Roman" w:cs="Times New Roman"/>
                      </w:rPr>
                    </w:pPr>
                    <w:r>
                      <w:rPr>
                        <w:rFonts w:ascii="Times New Roman" w:hAnsi="Times New Roman" w:cs="Times New Roman"/>
                      </w:rPr>
                      <w:t>无</w:t>
                    </w:r>
                  </w:p>
                </w:tc>
              </w:tr>
            </w:sdtContent>
          </w:sdt>
        </w:tbl>
        <w:p w14:paraId="5EAF1B62" w14:textId="77777777" w:rsidR="00D21C1F" w:rsidRDefault="00045EC6">
          <w:pPr>
            <w:pStyle w:val="97"/>
          </w:pPr>
        </w:p>
      </w:sdtContent>
    </w:sdt>
    <w:bookmarkEnd w:id="91"/>
    <w:p w14:paraId="7EBA6C85" w14:textId="77777777" w:rsidR="00D21C1F" w:rsidRDefault="00D21C1F">
      <w:pPr>
        <w:sectPr w:rsidR="00D21C1F">
          <w:pgSz w:w="16838" w:h="11906" w:orient="landscape"/>
          <w:pgMar w:top="1797" w:right="1525" w:bottom="1276" w:left="1440" w:header="851" w:footer="992" w:gutter="0"/>
          <w:cols w:space="425"/>
          <w:docGrid w:linePitch="312"/>
        </w:sectPr>
      </w:pPr>
    </w:p>
    <w:p w14:paraId="50E21610" w14:textId="77777777" w:rsidR="00D21C1F" w:rsidRDefault="00D21C1F">
      <w:pPr>
        <w:pStyle w:val="97"/>
      </w:pPr>
    </w:p>
    <w:sdt>
      <w:sdtPr>
        <w:rPr>
          <w:rFonts w:ascii="宋体" w:eastAsiaTheme="minorEastAsia" w:hAnsi="宋体" w:cs="宋体"/>
          <w:b w:val="0"/>
          <w:bCs w:val="0"/>
          <w:kern w:val="0"/>
          <w:szCs w:val="22"/>
        </w:rPr>
        <w:alias w:val="模块:其他诉讼仲裁事项说明"/>
        <w:tag w:val="_SEC_c92a88ec21204766afe5f9688cbd21bd"/>
        <w:id w:val="547962376"/>
        <w:lock w:val="sdtLocked"/>
        <w:placeholder>
          <w:docPart w:val="GBC22222222222222222222222222222"/>
        </w:placeholder>
      </w:sdtPr>
      <w:sdtEndPr>
        <w:rPr>
          <w:rFonts w:hint="eastAsia"/>
          <w:szCs w:val="24"/>
        </w:rPr>
      </w:sdtEndPr>
      <w:sdtContent>
        <w:p w14:paraId="0C754573" w14:textId="77777777" w:rsidR="00D21C1F" w:rsidRDefault="00A42880">
          <w:pPr>
            <w:pStyle w:val="3"/>
            <w:numPr>
              <w:ilvl w:val="0"/>
              <w:numId w:val="29"/>
            </w:numPr>
            <w:rPr>
              <w:rFonts w:ascii="宋体" w:hAnsi="宋体"/>
            </w:rPr>
          </w:pPr>
          <w:r>
            <w:rPr>
              <w:rFonts w:ascii="宋体" w:hAnsi="宋体"/>
            </w:rPr>
            <w:t>其他说明</w:t>
          </w:r>
        </w:p>
        <w:sdt>
          <w:sdtPr>
            <w:rPr>
              <w:rFonts w:hint="eastAsia"/>
            </w:rPr>
            <w:alias w:val="是否适用：重大诉讼、仲裁事项其他说明[双击切换]"/>
            <w:tag w:val="_GBC_d8d8aef394564199936be6639c0e21a5"/>
            <w:id w:val="1453128418"/>
            <w:lock w:val="sdtLocked"/>
            <w:placeholder>
              <w:docPart w:val="GBC22222222222222222222222222222"/>
            </w:placeholder>
          </w:sdtPr>
          <w:sdtEndPr/>
          <w:sdtContent>
            <w:p w14:paraId="09F5F3E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B9A44A0" w14:textId="77777777" w:rsidR="00D21C1F" w:rsidRDefault="00D21C1F">
      <w:pPr>
        <w:pStyle w:val="97"/>
      </w:pPr>
    </w:p>
    <w:sdt>
      <w:sdtPr>
        <w:rPr>
          <w:rFonts w:eastAsiaTheme="minorEastAsia"/>
          <w:b w:val="0"/>
          <w:bCs w:val="0"/>
        </w:rPr>
        <w:alias w:val="模块:上市公司及其董事、监事、高级管理人员、控股股东、实际控制人、收购人处罚及整改情况"/>
        <w:tag w:val="_SEC_61682565f6714c6a81ab8e6d05a5abaa"/>
        <w:id w:val="1240902705"/>
        <w:lock w:val="sdtLocked"/>
        <w:placeholder>
          <w:docPart w:val="GBC22222222222222222222222222222"/>
        </w:placeholder>
      </w:sdtPr>
      <w:sdtEndPr>
        <w:rPr>
          <w:rFonts w:hint="eastAsia"/>
        </w:rPr>
      </w:sdtEndPr>
      <w:sdtContent>
        <w:p w14:paraId="28477CF4" w14:textId="77777777" w:rsidR="00D21C1F" w:rsidRDefault="00A42880">
          <w:pPr>
            <w:pStyle w:val="2"/>
            <w:numPr>
              <w:ilvl w:val="0"/>
              <w:numId w:val="27"/>
            </w:numPr>
          </w:pPr>
          <w:r>
            <w:t>上市公司</w:t>
          </w:r>
          <w:r>
            <w:rPr>
              <w:rFonts w:hint="eastAsia"/>
            </w:rPr>
            <w:t>及其董事、监事、高级管理人员、控股股东、实际控制人</w:t>
          </w:r>
          <w: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218554745"/>
            <w:lock w:val="sdtLocked"/>
            <w:placeholder>
              <w:docPart w:val="GBC22222222222222222222222222222"/>
            </w:placeholder>
          </w:sdtPr>
          <w:sdtEndPr/>
          <w:sdtContent>
            <w:p w14:paraId="5991536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39DAE1" w14:textId="77777777" w:rsidR="00D21C1F" w:rsidRDefault="00045EC6">
          <w:pPr>
            <w:pStyle w:val="97"/>
          </w:pPr>
        </w:p>
      </w:sdtContent>
    </w:sdt>
    <w:sdt>
      <w:sdtPr>
        <w:rPr>
          <w:rFonts w:eastAsiaTheme="minorEastAsia" w:hint="eastAsia"/>
          <w:b w:val="0"/>
          <w:bCs w:val="0"/>
        </w:rPr>
        <w:alias w:val="模块:报告期内公司及其控股股东、实际控制人诚信状况的说明"/>
        <w:tag w:val="_SEC_b6520273283341408b24eceadfb999dd"/>
        <w:id w:val="706988999"/>
        <w:lock w:val="sdtLocked"/>
        <w:placeholder>
          <w:docPart w:val="GBC22222222222222222222222222222"/>
        </w:placeholder>
      </w:sdtPr>
      <w:sdtEndPr/>
      <w:sdtContent>
        <w:p w14:paraId="418ECD9E" w14:textId="77777777" w:rsidR="00D21C1F" w:rsidRDefault="00A42880">
          <w:pPr>
            <w:pStyle w:val="2"/>
            <w:numPr>
              <w:ilvl w:val="0"/>
              <w:numId w:val="27"/>
            </w:numPr>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767052481"/>
            <w:lock w:val="sdtLocked"/>
            <w:placeholder>
              <w:docPart w:val="GBC22222222222222222222222222222"/>
            </w:placeholder>
          </w:sdtPr>
          <w:sdtEndPr/>
          <w:sdtContent>
            <w:p w14:paraId="1E73051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97CD6D" w14:textId="77777777" w:rsidR="00D21C1F" w:rsidRDefault="00045EC6">
          <w:pPr>
            <w:pStyle w:val="97"/>
          </w:pPr>
        </w:p>
      </w:sdtContent>
    </w:sdt>
    <w:p w14:paraId="03B0A8AA" w14:textId="77777777" w:rsidR="00D21C1F" w:rsidRDefault="00A42880">
      <w:pPr>
        <w:pStyle w:val="2"/>
        <w:numPr>
          <w:ilvl w:val="0"/>
          <w:numId w:val="27"/>
        </w:numPr>
      </w:pPr>
      <w:r>
        <w:rPr>
          <w:rFonts w:hint="eastAsia"/>
        </w:rPr>
        <w:t>重大关联交易</w:t>
      </w:r>
    </w:p>
    <w:p w14:paraId="2B4341F9" w14:textId="77777777" w:rsidR="00D21C1F" w:rsidRDefault="00A42880">
      <w:pPr>
        <w:pStyle w:val="3"/>
        <w:numPr>
          <w:ilvl w:val="2"/>
          <w:numId w:val="6"/>
        </w:numPr>
        <w:rPr>
          <w:rFonts w:ascii="宋体" w:hAnsi="宋体"/>
        </w:rPr>
      </w:pPr>
      <w:r>
        <w:rPr>
          <w:rFonts w:ascii="宋体" w:hAnsi="宋体" w:hint="eastAsia"/>
        </w:rPr>
        <w:t>与日常经营相关的关联交易</w:t>
      </w:r>
    </w:p>
    <w:sdt>
      <w:sdtPr>
        <w:rPr>
          <w:rFonts w:ascii="宋体" w:eastAsiaTheme="minorEastAsia" w:hAnsi="宋体" w:cs="宋体"/>
          <w:b w:val="0"/>
          <w:bCs w:val="0"/>
          <w:kern w:val="0"/>
          <w:szCs w:val="22"/>
        </w:rPr>
        <w:alias w:val="模块:已在临时公告披露且后续实施无进展或变化的事项"/>
        <w:tag w:val="_SEC_b9489dd6b4c843e6be6e5a97de24b51b"/>
        <w:id w:val="-1740320966"/>
        <w:lock w:val="sdtLocked"/>
        <w:placeholder>
          <w:docPart w:val="GBC22222222222222222222222222222"/>
        </w:placeholder>
      </w:sdtPr>
      <w:sdtEndPr>
        <w:rPr>
          <w:szCs w:val="24"/>
        </w:rPr>
      </w:sdtEndPr>
      <w:sdtContent>
        <w:p w14:paraId="4E46BA7C" w14:textId="77777777" w:rsidR="00D21C1F" w:rsidRDefault="00A42880">
          <w:pPr>
            <w:pStyle w:val="4"/>
            <w:numPr>
              <w:ilvl w:val="2"/>
              <w:numId w:val="30"/>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261066868"/>
            <w:lock w:val="sdtLocked"/>
            <w:placeholder>
              <w:docPart w:val="GBC22222222222222222222222222222"/>
            </w:placeholder>
          </w:sdtPr>
          <w:sdtEndPr/>
          <w:sdtContent>
            <w:p w14:paraId="0A6CF66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135683F" w14:textId="77777777" w:rsidR="00D21C1F" w:rsidRDefault="00D21C1F">
      <w:pPr>
        <w:pStyle w:val="97"/>
      </w:pPr>
    </w:p>
    <w:sdt>
      <w:sdtPr>
        <w:rPr>
          <w:rFonts w:ascii="宋体" w:eastAsiaTheme="minorEastAsia" w:hAnsi="宋体" w:cs="宋体"/>
          <w:b w:val="0"/>
          <w:bCs w:val="0"/>
          <w:kern w:val="0"/>
          <w:szCs w:val="22"/>
        </w:rPr>
        <w:alias w:val="模块:已在临时公告披露，但有后续实施的进展或变化的事项"/>
        <w:tag w:val="_SEC_ec9777844cc44aa6b3f98c8af0a20f95"/>
        <w:id w:val="-1664534996"/>
        <w:lock w:val="sdtLocked"/>
        <w:placeholder>
          <w:docPart w:val="GBC22222222222222222222222222222"/>
        </w:placeholder>
      </w:sdtPr>
      <w:sdtEndPr>
        <w:rPr>
          <w:rFonts w:eastAsia="宋体" w:hint="eastAsia"/>
          <w:szCs w:val="24"/>
        </w:rPr>
      </w:sdtEndPr>
      <w:sdtContent>
        <w:p w14:paraId="48ECED69" w14:textId="77777777" w:rsidR="00D21C1F" w:rsidRDefault="00A42880">
          <w:pPr>
            <w:pStyle w:val="4"/>
            <w:numPr>
              <w:ilvl w:val="2"/>
              <w:numId w:val="30"/>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969025641"/>
            <w:lock w:val="sdtLocked"/>
            <w:placeholder>
              <w:docPart w:val="GBC22222222222222222222222222222"/>
            </w:placeholder>
          </w:sdtPr>
          <w:sdtEndPr/>
          <w:sdtContent>
            <w:p w14:paraId="445CBBA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与日常经营相关的关联交易事项已在临时报告披露，后续实施的进展或变化"/>
            <w:tag w:val="_GBC_0a4da36928c04bc784d8c97bc6a4a9d9"/>
            <w:id w:val="-1441443897"/>
            <w:lock w:val="sdtLocked"/>
            <w:placeholder>
              <w:docPart w:val="7041693B10EC48CEACCE0A324D8FD2D3"/>
            </w:placeholder>
          </w:sdtPr>
          <w:sdtEndPr/>
          <w:sdtContent>
            <w:p w14:paraId="3497955D" w14:textId="77777777" w:rsidR="00D21C1F" w:rsidRDefault="00D21C1F"/>
            <w:tbl>
              <w:tblPr>
                <w:tblStyle w:val="aff0"/>
                <w:tblW w:w="0" w:type="auto"/>
                <w:tblLook w:val="04A0" w:firstRow="1" w:lastRow="0" w:firstColumn="1" w:lastColumn="0" w:noHBand="0" w:noVBand="1"/>
              </w:tblPr>
              <w:tblGrid>
                <w:gridCol w:w="4261"/>
                <w:gridCol w:w="4261"/>
              </w:tblGrid>
              <w:tr w:rsidR="00D21C1F" w14:paraId="1814BBCC" w14:textId="77777777">
                <w:tc>
                  <w:tcPr>
                    <w:tcW w:w="4261" w:type="dxa"/>
                    <w:tcBorders>
                      <w:top w:val="single" w:sz="4" w:space="0" w:color="auto"/>
                      <w:left w:val="single" w:sz="4" w:space="0" w:color="auto"/>
                      <w:bottom w:val="single" w:sz="4" w:space="0" w:color="auto"/>
                      <w:right w:val="single" w:sz="4" w:space="0" w:color="auto"/>
                    </w:tcBorders>
                  </w:tcPr>
                  <w:p w14:paraId="3649E442" w14:textId="77777777" w:rsidR="00D21C1F" w:rsidRDefault="00A42880">
                    <w:pPr>
                      <w:jc w:val="center"/>
                      <w:rPr>
                        <w:rFonts w:ascii="Times New Roman" w:hAnsi="Times New Roman" w:cs="Times New Roman"/>
                        <w:szCs w:val="21"/>
                      </w:rPr>
                    </w:pPr>
                    <w:r>
                      <w:rPr>
                        <w:rFonts w:ascii="Times New Roman" w:hAnsi="Times New Roman" w:cs="Times New Roman"/>
                      </w:rPr>
                      <w:t>事项概述</w:t>
                    </w:r>
                  </w:p>
                </w:tc>
                <w:tc>
                  <w:tcPr>
                    <w:tcW w:w="4261" w:type="dxa"/>
                    <w:tcBorders>
                      <w:top w:val="single" w:sz="4" w:space="0" w:color="auto"/>
                      <w:left w:val="nil"/>
                      <w:bottom w:val="single" w:sz="4" w:space="0" w:color="auto"/>
                      <w:right w:val="single" w:sz="4" w:space="0" w:color="auto"/>
                    </w:tcBorders>
                  </w:tcPr>
                  <w:p w14:paraId="4BC678CA" w14:textId="77777777" w:rsidR="00D21C1F" w:rsidRDefault="00A42880">
                    <w:pPr>
                      <w:jc w:val="center"/>
                      <w:rPr>
                        <w:rFonts w:ascii="Times New Roman" w:hAnsi="Times New Roman" w:cs="Times New Roman"/>
                      </w:rPr>
                    </w:pPr>
                    <w:r>
                      <w:rPr>
                        <w:rFonts w:ascii="Times New Roman" w:hAnsi="Times New Roman" w:cs="Times New Roman"/>
                      </w:rPr>
                      <w:t>查询索引</w:t>
                    </w:r>
                  </w:p>
                </w:tc>
              </w:tr>
              <w:tr w:rsidR="00D21C1F" w14:paraId="76E3743B" w14:textId="77777777">
                <w:tc>
                  <w:tcPr>
                    <w:tcW w:w="4261" w:type="dxa"/>
                    <w:tcBorders>
                      <w:top w:val="single" w:sz="4" w:space="0" w:color="auto"/>
                      <w:left w:val="single" w:sz="4" w:space="0" w:color="auto"/>
                      <w:bottom w:val="single" w:sz="4" w:space="0" w:color="auto"/>
                      <w:right w:val="single" w:sz="4" w:space="0" w:color="auto"/>
                    </w:tcBorders>
                  </w:tcPr>
                  <w:p w14:paraId="6E752F7D" w14:textId="77777777" w:rsidR="00D21C1F" w:rsidRDefault="00A42880">
                    <w:pPr>
                      <w:rPr>
                        <w:rFonts w:ascii="Times New Roman" w:hAnsi="Times New Roman" w:cs="Times New Roman"/>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21</w:t>
                    </w:r>
                    <w:r>
                      <w:rPr>
                        <w:rFonts w:ascii="Times New Roman" w:hAnsi="Times New Roman" w:cs="Times New Roman"/>
                      </w:rPr>
                      <w:t>日及</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14</w:t>
                    </w:r>
                    <w:r>
                      <w:rPr>
                        <w:rFonts w:ascii="Times New Roman" w:hAnsi="Times New Roman" w:cs="Times New Roman"/>
                      </w:rPr>
                      <w:t>日，公司先后召开第二届董事会第十三次会议，第二届监事会第八次会议，</w:t>
                    </w:r>
                    <w:r>
                      <w:rPr>
                        <w:rFonts w:ascii="Times New Roman" w:hAnsi="Times New Roman" w:cs="Times New Roman"/>
                      </w:rPr>
                      <w:t>2020</w:t>
                    </w:r>
                    <w:r>
                      <w:rPr>
                        <w:rFonts w:ascii="Times New Roman" w:hAnsi="Times New Roman" w:cs="Times New Roman"/>
                      </w:rPr>
                      <w:t>年年度股东大会，审议通过了《关于预计公司</w:t>
                    </w:r>
                    <w:r>
                      <w:rPr>
                        <w:rFonts w:ascii="Times New Roman" w:hAnsi="Times New Roman" w:cs="Times New Roman"/>
                      </w:rPr>
                      <w:t>2021</w:t>
                    </w:r>
                    <w:r>
                      <w:rPr>
                        <w:rFonts w:ascii="Times New Roman" w:hAnsi="Times New Roman" w:cs="Times New Roman"/>
                      </w:rPr>
                      <w:t>年度日常性关联交易及对</w:t>
                    </w:r>
                    <w:r>
                      <w:rPr>
                        <w:rFonts w:ascii="Times New Roman" w:hAnsi="Times New Roman" w:cs="Times New Roman"/>
                      </w:rPr>
                      <w:t>2020</w:t>
                    </w:r>
                    <w:r>
                      <w:rPr>
                        <w:rFonts w:ascii="Times New Roman" w:hAnsi="Times New Roman" w:cs="Times New Roman"/>
                      </w:rPr>
                      <w:t>年度关联交易予以确认的议案》，同意</w:t>
                    </w:r>
                    <w:r>
                      <w:rPr>
                        <w:rFonts w:ascii="Times New Roman" w:hAnsi="Times New Roman" w:cs="Times New Roman"/>
                      </w:rPr>
                      <w:t>2021</w:t>
                    </w:r>
                    <w:r>
                      <w:rPr>
                        <w:rFonts w:ascii="Times New Roman" w:hAnsi="Times New Roman" w:cs="Times New Roman"/>
                      </w:rPr>
                      <w:t>年日常关联交易预计金额合计为</w:t>
                    </w:r>
                    <w:r>
                      <w:rPr>
                        <w:rFonts w:ascii="Times New Roman" w:hAnsi="Times New Roman" w:cs="Times New Roman"/>
                      </w:rPr>
                      <w:t>21,240</w:t>
                    </w:r>
                    <w:r>
                      <w:rPr>
                        <w:rFonts w:ascii="Times New Roman" w:hAnsi="Times New Roman" w:cs="Times New Roman"/>
                      </w:rPr>
                      <w:t>万元人民币。目前</w:t>
                    </w:r>
                    <w:r>
                      <w:rPr>
                        <w:rFonts w:ascii="Times New Roman" w:hAnsi="Times New Roman" w:cs="Times New Roman"/>
                      </w:rPr>
                      <w:t>2021</w:t>
                    </w:r>
                    <w:r>
                      <w:rPr>
                        <w:rFonts w:ascii="Times New Roman" w:hAnsi="Times New Roman" w:cs="Times New Roman"/>
                      </w:rPr>
                      <w:t>年度相关购销合同</w:t>
                    </w:r>
                    <w:r>
                      <w:rPr>
                        <w:rFonts w:ascii="Times New Roman" w:hAnsi="Times New Roman" w:cs="Times New Roman" w:hint="eastAsia"/>
                      </w:rPr>
                      <w:t>及租赁合同</w:t>
                    </w:r>
                    <w:r>
                      <w:rPr>
                        <w:rFonts w:ascii="Times New Roman" w:hAnsi="Times New Roman" w:cs="Times New Roman"/>
                      </w:rPr>
                      <w:t>已签订，均在正常履行中。详见本报告第十节财务报告</w:t>
                    </w:r>
                    <w:r>
                      <w:rPr>
                        <w:rFonts w:ascii="Times New Roman" w:hAnsi="Times New Roman" w:cs="Times New Roman"/>
                      </w:rPr>
                      <w:t>“</w:t>
                    </w:r>
                    <w:r>
                      <w:rPr>
                        <w:rFonts w:ascii="Times New Roman" w:hAnsi="Times New Roman" w:cs="Times New Roman"/>
                      </w:rPr>
                      <w:t>十二、</w:t>
                    </w:r>
                    <w:r>
                      <w:rPr>
                        <w:rFonts w:ascii="Times New Roman" w:hAnsi="Times New Roman" w:cs="Times New Roman"/>
                      </w:rPr>
                      <w:t>5.</w:t>
                    </w:r>
                    <w:r>
                      <w:rPr>
                        <w:rFonts w:ascii="Times New Roman" w:hAnsi="Times New Roman" w:cs="Times New Roman"/>
                      </w:rPr>
                      <w:t>关联交易情况</w:t>
                    </w:r>
                    <w:r>
                      <w:rPr>
                        <w:rFonts w:ascii="Times New Roman" w:hAnsi="Times New Roman" w:cs="Times New Roman"/>
                      </w:rPr>
                      <w:t>”</w:t>
                    </w:r>
                    <w:r>
                      <w:rPr>
                        <w:rFonts w:ascii="Times New Roman" w:hAnsi="Times New Roman" w:cs="Times New Roman"/>
                      </w:rPr>
                      <w:t>。</w:t>
                    </w:r>
                  </w:p>
                </w:tc>
                <w:tc>
                  <w:tcPr>
                    <w:tcW w:w="4261" w:type="dxa"/>
                    <w:tcBorders>
                      <w:top w:val="single" w:sz="4" w:space="0" w:color="auto"/>
                      <w:left w:val="nil"/>
                      <w:bottom w:val="single" w:sz="4" w:space="0" w:color="auto"/>
                      <w:right w:val="single" w:sz="4" w:space="0" w:color="auto"/>
                    </w:tcBorders>
                  </w:tcPr>
                  <w:p w14:paraId="20ABB8F6" w14:textId="77777777" w:rsidR="00D21C1F" w:rsidRDefault="00A42880">
                    <w:pPr>
                      <w:rPr>
                        <w:rFonts w:ascii="Times New Roman" w:hAnsi="Times New Roman" w:cs="Times New Roman"/>
                      </w:rPr>
                    </w:pPr>
                    <w:r>
                      <w:rPr>
                        <w:rFonts w:ascii="Times New Roman" w:hAnsi="Times New Roman" w:cs="Times New Roman"/>
                      </w:rPr>
                      <w:t>详见公司于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23</w:t>
                    </w:r>
                    <w:r>
                      <w:rPr>
                        <w:rFonts w:ascii="Times New Roman" w:hAnsi="Times New Roman" w:cs="Times New Roman"/>
                      </w:rPr>
                      <w:t>日披露于上海证券交易所网站（</w:t>
                    </w:r>
                    <w:r>
                      <w:rPr>
                        <w:rFonts w:ascii="Times New Roman" w:hAnsi="Times New Roman" w:cs="Times New Roman"/>
                      </w:rPr>
                      <w:t>www.sse.com.cn</w:t>
                    </w:r>
                    <w:r>
                      <w:rPr>
                        <w:rFonts w:ascii="Times New Roman" w:hAnsi="Times New Roman" w:cs="Times New Roman"/>
                      </w:rPr>
                      <w:t>）的《埃夫特关于预计</w:t>
                    </w:r>
                    <w:r>
                      <w:rPr>
                        <w:rFonts w:ascii="Times New Roman" w:hAnsi="Times New Roman" w:cs="Times New Roman"/>
                      </w:rPr>
                      <w:t>2021</w:t>
                    </w:r>
                    <w:r>
                      <w:rPr>
                        <w:rFonts w:ascii="Times New Roman" w:hAnsi="Times New Roman" w:cs="Times New Roman"/>
                      </w:rPr>
                      <w:t>年度日常关联交易及对</w:t>
                    </w:r>
                    <w:r>
                      <w:rPr>
                        <w:rFonts w:ascii="Times New Roman" w:hAnsi="Times New Roman" w:cs="Times New Roman"/>
                      </w:rPr>
                      <w:t>2020</w:t>
                    </w:r>
                    <w:r>
                      <w:rPr>
                        <w:rFonts w:ascii="Times New Roman" w:hAnsi="Times New Roman" w:cs="Times New Roman"/>
                      </w:rPr>
                      <w:t>年关联交易予以确认的公告》（公告编号：</w:t>
                    </w:r>
                    <w:r>
                      <w:rPr>
                        <w:rFonts w:ascii="Times New Roman" w:hAnsi="Times New Roman" w:cs="Times New Roman"/>
                      </w:rPr>
                      <w:t>2021-009</w:t>
                    </w:r>
                    <w:r>
                      <w:rPr>
                        <w:rFonts w:ascii="Times New Roman" w:hAnsi="Times New Roman" w:cs="Times New Roman"/>
                      </w:rPr>
                      <w:t>）</w:t>
                    </w:r>
                  </w:p>
                </w:tc>
              </w:tr>
            </w:tbl>
            <w:p w14:paraId="0EEEE47D" w14:textId="77777777" w:rsidR="00D21C1F" w:rsidRDefault="00045EC6"/>
          </w:sdtContent>
        </w:sdt>
      </w:sdtContent>
    </w:sdt>
    <w:p w14:paraId="7DC035FF" w14:textId="77777777" w:rsidR="00D21C1F" w:rsidRDefault="00D21C1F">
      <w:pPr>
        <w:pStyle w:val="97"/>
      </w:pPr>
    </w:p>
    <w:sdt>
      <w:sdtPr>
        <w:rPr>
          <w:rFonts w:ascii="宋体" w:hAnsi="宋体" w:cs="宋体" w:hint="eastAsia"/>
          <w:b w:val="0"/>
          <w:bCs w:val="0"/>
          <w:kern w:val="0"/>
          <w:szCs w:val="22"/>
        </w:rPr>
        <w:alias w:val="模块:临时公告未披露的事项"/>
        <w:tag w:val="_SEC_227a4feb5cd045acb20f0e655bf26ea8"/>
        <w:id w:val="1006938284"/>
        <w:lock w:val="sdtLocked"/>
        <w:placeholder>
          <w:docPart w:val="GBC22222222222222222222222222222"/>
        </w:placeholder>
      </w:sdtPr>
      <w:sdtEndPr>
        <w:rPr>
          <w:rFonts w:hint="default"/>
          <w:szCs w:val="24"/>
        </w:rPr>
      </w:sdtEndPr>
      <w:sdtContent>
        <w:p w14:paraId="51E46661" w14:textId="77777777" w:rsidR="00D21C1F" w:rsidRDefault="00A42880">
          <w:pPr>
            <w:pStyle w:val="4"/>
            <w:numPr>
              <w:ilvl w:val="2"/>
              <w:numId w:val="30"/>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1310434893"/>
            <w:lock w:val="sdtLocked"/>
            <w:placeholder>
              <w:docPart w:val="GBC22222222222222222222222222222"/>
            </w:placeholder>
          </w:sdtPr>
          <w:sdtEndPr/>
          <w:sdtContent>
            <w:p w14:paraId="4238830F"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D08BEE7" w14:textId="77777777" w:rsidR="00D21C1F" w:rsidRDefault="00D21C1F">
      <w:pPr>
        <w:rPr>
          <w:szCs w:val="21"/>
        </w:rPr>
      </w:pPr>
    </w:p>
    <w:p w14:paraId="23905F57" w14:textId="77777777" w:rsidR="00D21C1F" w:rsidRDefault="00A42880">
      <w:pPr>
        <w:pStyle w:val="3"/>
        <w:numPr>
          <w:ilvl w:val="2"/>
          <w:numId w:val="6"/>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eastAsiaTheme="minorEastAsia" w:hAnsi="宋体" w:cs="宋体"/>
          <w:b w:val="0"/>
          <w:bCs w:val="0"/>
          <w:kern w:val="0"/>
          <w:szCs w:val="22"/>
        </w:rPr>
        <w:alias w:val="模块:已在临时公告披露且后续实施无进展或变化的事项"/>
        <w:tag w:val="_SEC_bf9131838c5b421d81cb3165b3861506"/>
        <w:id w:val="103240243"/>
        <w:lock w:val="sdtLocked"/>
        <w:placeholder>
          <w:docPart w:val="GBC22222222222222222222222222222"/>
        </w:placeholder>
      </w:sdtPr>
      <w:sdtEndPr>
        <w:rPr>
          <w:szCs w:val="24"/>
        </w:rPr>
      </w:sdtEndPr>
      <w:sdtContent>
        <w:p w14:paraId="74A641A7" w14:textId="77777777" w:rsidR="00D21C1F" w:rsidRDefault="00A42880">
          <w:pPr>
            <w:pStyle w:val="4"/>
            <w:numPr>
              <w:ilvl w:val="0"/>
              <w:numId w:val="31"/>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852221747"/>
            <w:lock w:val="sdtLocked"/>
            <w:placeholder>
              <w:docPart w:val="GBC22222222222222222222222222222"/>
            </w:placeholder>
          </w:sdtPr>
          <w:sdtEndPr/>
          <w:sdtContent>
            <w:p w14:paraId="2931949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E1E0E23" w14:textId="77777777" w:rsidR="00D21C1F" w:rsidRDefault="00D21C1F">
      <w:pPr>
        <w:pStyle w:val="97"/>
      </w:pPr>
    </w:p>
    <w:sdt>
      <w:sdtPr>
        <w:rPr>
          <w:rFonts w:ascii="宋体" w:eastAsiaTheme="minorEastAsia" w:hAnsi="宋体" w:cs="宋体"/>
          <w:b w:val="0"/>
          <w:bCs w:val="0"/>
          <w:kern w:val="0"/>
          <w:szCs w:val="22"/>
        </w:rPr>
        <w:alias w:val="模块:已在临时公告披露，但有后续实施的进展或变化的事项"/>
        <w:tag w:val="_SEC_f9a57b14408248c4bc6881cfd0e81074"/>
        <w:id w:val="-1961402146"/>
        <w:lock w:val="sdtLocked"/>
        <w:placeholder>
          <w:docPart w:val="GBC22222222222222222222222222222"/>
        </w:placeholder>
      </w:sdtPr>
      <w:sdtEndPr>
        <w:rPr>
          <w:rFonts w:hint="eastAsia"/>
          <w:szCs w:val="24"/>
        </w:rPr>
      </w:sdtEndPr>
      <w:sdtContent>
        <w:p w14:paraId="12115824" w14:textId="77777777" w:rsidR="00D21C1F" w:rsidRDefault="00A42880">
          <w:pPr>
            <w:pStyle w:val="4"/>
            <w:numPr>
              <w:ilvl w:val="0"/>
              <w:numId w:val="31"/>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041130112"/>
            <w:lock w:val="sdtLocked"/>
            <w:placeholder>
              <w:docPart w:val="GBC22222222222222222222222222222"/>
            </w:placeholder>
          </w:sdtPr>
          <w:sdtEndPr/>
          <w:sdtContent>
            <w:p w14:paraId="3E6F27A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950416D" w14:textId="77777777" w:rsidR="00D21C1F" w:rsidRDefault="00D21C1F">
      <w:pPr>
        <w:pStyle w:val="97"/>
      </w:pPr>
    </w:p>
    <w:sdt>
      <w:sdtPr>
        <w:rPr>
          <w:rFonts w:ascii="宋体" w:eastAsiaTheme="minorEastAsia" w:hAnsi="宋体" w:cs="宋体"/>
          <w:b w:val="0"/>
          <w:bCs w:val="0"/>
          <w:kern w:val="0"/>
          <w:szCs w:val="22"/>
        </w:rPr>
        <w:alias w:val="模块:临时公告未披露的事项"/>
        <w:tag w:val="_SEC_a7b4eef2f39c4550974e81ee8caca798"/>
        <w:id w:val="-1635172481"/>
        <w:lock w:val="sdtLocked"/>
        <w:placeholder>
          <w:docPart w:val="GBC22222222222222222222222222222"/>
        </w:placeholder>
      </w:sdtPr>
      <w:sdtEndPr>
        <w:rPr>
          <w:rFonts w:hint="eastAsia"/>
          <w:szCs w:val="24"/>
        </w:rPr>
      </w:sdtEndPr>
      <w:sdtContent>
        <w:p w14:paraId="26EAC8B1" w14:textId="77777777" w:rsidR="00D21C1F" w:rsidRDefault="00A42880">
          <w:pPr>
            <w:pStyle w:val="4"/>
            <w:numPr>
              <w:ilvl w:val="0"/>
              <w:numId w:val="31"/>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2061859785"/>
            <w:lock w:val="sdtLocked"/>
            <w:placeholder>
              <w:docPart w:val="GBC22222222222222222222222222222"/>
            </w:placeholder>
          </w:sdtPr>
          <w:sdtEndPr/>
          <w:sdtContent>
            <w:p w14:paraId="1821FCD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ED1247" w14:textId="77777777" w:rsidR="00D21C1F" w:rsidRDefault="00045EC6">
          <w:pPr>
            <w:pStyle w:val="97"/>
          </w:pPr>
        </w:p>
      </w:sdtContent>
    </w:sdt>
    <w:sdt>
      <w:sdtPr>
        <w:rPr>
          <w:rFonts w:ascii="宋体" w:eastAsiaTheme="minorEastAsia" w:hAnsi="宋体" w:cs="宋体"/>
          <w:b w:val="0"/>
          <w:bCs w:val="0"/>
          <w:kern w:val="0"/>
          <w:szCs w:val="24"/>
        </w:rPr>
        <w:alias w:val="模块:涉及业绩约定的，应当披露报告期内的业绩实现情况"/>
        <w:tag w:val="_SEC_e17a03ced9e54c92b773a7e185d85bd3"/>
        <w:id w:val="-477145358"/>
        <w:lock w:val="sdtLocked"/>
        <w:placeholder>
          <w:docPart w:val="GBC22222222222222222222222222222"/>
        </w:placeholder>
      </w:sdtPr>
      <w:sdtEndPr/>
      <w:sdtContent>
        <w:p w14:paraId="23E30FA7" w14:textId="77777777" w:rsidR="00D21C1F" w:rsidRDefault="00A42880">
          <w:pPr>
            <w:pStyle w:val="4"/>
            <w:numPr>
              <w:ilvl w:val="0"/>
              <w:numId w:val="31"/>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948981750"/>
            <w:lock w:val="sdtLocked"/>
            <w:placeholder>
              <w:docPart w:val="GBC22222222222222222222222222222"/>
            </w:placeholder>
          </w:sdtPr>
          <w:sdtEndPr/>
          <w:sdtContent>
            <w:p w14:paraId="58DC35D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30A271D" w14:textId="77777777" w:rsidR="00D21C1F" w:rsidRDefault="00D21C1F">
      <w:pPr>
        <w:pStyle w:val="97"/>
      </w:pPr>
    </w:p>
    <w:p w14:paraId="078B4B3F" w14:textId="77777777" w:rsidR="00D21C1F" w:rsidRDefault="00A42880">
      <w:pPr>
        <w:pStyle w:val="3"/>
        <w:numPr>
          <w:ilvl w:val="2"/>
          <w:numId w:val="6"/>
        </w:numPr>
        <w:rPr>
          <w:rFonts w:ascii="宋体" w:hAnsi="宋体"/>
        </w:rPr>
      </w:pPr>
      <w:r>
        <w:rPr>
          <w:rFonts w:ascii="宋体" w:hAnsi="宋体"/>
        </w:rPr>
        <w:t>共同对外投资的重大关联交易</w:t>
      </w:r>
    </w:p>
    <w:sdt>
      <w:sdtPr>
        <w:rPr>
          <w:rFonts w:ascii="宋体" w:eastAsiaTheme="minorEastAsia" w:hAnsi="宋体" w:cs="宋体"/>
          <w:b w:val="0"/>
          <w:bCs w:val="0"/>
          <w:kern w:val="0"/>
          <w:szCs w:val="22"/>
        </w:rPr>
        <w:alias w:val="模块:已在临时公告披露且后续实施无进展或变化的事项"/>
        <w:tag w:val="_SEC_d9e67609bdab489e985efba8758860bd"/>
        <w:id w:val="-665015789"/>
        <w:lock w:val="sdtLocked"/>
        <w:placeholder>
          <w:docPart w:val="GBC22222222222222222222222222222"/>
        </w:placeholder>
      </w:sdtPr>
      <w:sdtEndPr>
        <w:rPr>
          <w:szCs w:val="24"/>
        </w:rPr>
      </w:sdtEndPr>
      <w:sdtContent>
        <w:p w14:paraId="05D25CD9" w14:textId="77777777" w:rsidR="00D21C1F" w:rsidRDefault="00A42880">
          <w:pPr>
            <w:pStyle w:val="4"/>
            <w:numPr>
              <w:ilvl w:val="0"/>
              <w:numId w:val="32"/>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535898846"/>
            <w:lock w:val="sdtLocked"/>
            <w:placeholder>
              <w:docPart w:val="GBC22222222222222222222222222222"/>
            </w:placeholder>
          </w:sdtPr>
          <w:sdtEndPr/>
          <w:sdtContent>
            <w:p w14:paraId="7240A3B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Theme="minorEastAsia" w:hAnsi="宋体" w:cs="宋体"/>
          <w:b w:val="0"/>
          <w:bCs w:val="0"/>
          <w:kern w:val="0"/>
          <w:szCs w:val="22"/>
        </w:rPr>
        <w:alias w:val="模块:已在临时公告披露，但有后续实施的进展或变化的事项"/>
        <w:tag w:val="_SEC_53e4f8cd2c114fb1a1c9d74236ebd2fc"/>
        <w:id w:val="-1448310799"/>
        <w:lock w:val="sdtLocked"/>
        <w:placeholder>
          <w:docPart w:val="GBC22222222222222222222222222222"/>
        </w:placeholder>
      </w:sdtPr>
      <w:sdtEndPr>
        <w:rPr>
          <w:rFonts w:hint="eastAsia"/>
          <w:szCs w:val="24"/>
        </w:rPr>
      </w:sdtEndPr>
      <w:sdtContent>
        <w:p w14:paraId="34D53D68" w14:textId="77777777" w:rsidR="00D21C1F" w:rsidRDefault="00A42880">
          <w:pPr>
            <w:pStyle w:val="4"/>
            <w:numPr>
              <w:ilvl w:val="0"/>
              <w:numId w:val="32"/>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66465151"/>
            <w:lock w:val="sdtLocked"/>
            <w:placeholder>
              <w:docPart w:val="GBC22222222222222222222222222222"/>
            </w:placeholder>
          </w:sdtPr>
          <w:sdtEndPr/>
          <w:sdtContent>
            <w:p w14:paraId="73A192E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Theme="minorEastAsia" w:hAnsi="宋体" w:cs="宋体"/>
          <w:b w:val="0"/>
          <w:bCs w:val="0"/>
          <w:kern w:val="0"/>
          <w:szCs w:val="22"/>
        </w:rPr>
        <w:alias w:val="模块:临时公告未披露的事项"/>
        <w:tag w:val="_SEC_25e347f9cbc546cbafdf30522b654328"/>
        <w:id w:val="1907412043"/>
        <w:lock w:val="sdtLocked"/>
        <w:placeholder>
          <w:docPart w:val="GBC22222222222222222222222222222"/>
        </w:placeholder>
      </w:sdtPr>
      <w:sdtEndPr>
        <w:rPr>
          <w:rFonts w:hint="eastAsia"/>
          <w:szCs w:val="24"/>
        </w:rPr>
      </w:sdtEndPr>
      <w:sdtContent>
        <w:p w14:paraId="188E6744" w14:textId="77777777" w:rsidR="00D21C1F" w:rsidRDefault="00A42880">
          <w:pPr>
            <w:pStyle w:val="4"/>
            <w:numPr>
              <w:ilvl w:val="0"/>
              <w:numId w:val="32"/>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929581466"/>
            <w:lock w:val="sdtLocked"/>
            <w:placeholder>
              <w:docPart w:val="GBC22222222222222222222222222222"/>
            </w:placeholder>
          </w:sdtPr>
          <w:sdtEndPr/>
          <w:sdtContent>
            <w:p w14:paraId="1BFC5F0A" w14:textId="6C41944E"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BD6C53F" w14:textId="77777777" w:rsidR="00D21C1F" w:rsidRDefault="00D21C1F">
      <w:pPr>
        <w:pStyle w:val="97"/>
      </w:pPr>
    </w:p>
    <w:p w14:paraId="3959C7B8" w14:textId="77777777" w:rsidR="00D21C1F" w:rsidRDefault="00A42880">
      <w:pPr>
        <w:pStyle w:val="3"/>
        <w:numPr>
          <w:ilvl w:val="2"/>
          <w:numId w:val="6"/>
        </w:numPr>
        <w:rPr>
          <w:rFonts w:ascii="宋体" w:hAnsi="宋体"/>
        </w:rPr>
      </w:pPr>
      <w:r>
        <w:rPr>
          <w:rFonts w:ascii="宋体" w:hAnsi="宋体" w:hint="eastAsia"/>
        </w:rPr>
        <w:t>关联债权债务往来</w:t>
      </w:r>
    </w:p>
    <w:sdt>
      <w:sdtPr>
        <w:rPr>
          <w:rFonts w:ascii="宋体" w:eastAsiaTheme="minorEastAsia" w:hAnsi="宋体" w:cs="宋体"/>
          <w:b w:val="0"/>
          <w:bCs w:val="0"/>
          <w:kern w:val="0"/>
          <w:szCs w:val="22"/>
        </w:rPr>
        <w:alias w:val="模块:已在临时公告披露且后续实施无进展或变化的事项"/>
        <w:tag w:val="_SEC_2fd4e717dd2949d2b4b4fb580dfce32a"/>
        <w:id w:val="-2048980922"/>
        <w:lock w:val="sdtLocked"/>
        <w:placeholder>
          <w:docPart w:val="GBC22222222222222222222222222222"/>
        </w:placeholder>
      </w:sdtPr>
      <w:sdtEndPr>
        <w:rPr>
          <w:szCs w:val="24"/>
        </w:rPr>
      </w:sdtEndPr>
      <w:sdtContent>
        <w:p w14:paraId="444FC2C6" w14:textId="77777777" w:rsidR="00D21C1F" w:rsidRDefault="00A42880">
          <w:pPr>
            <w:pStyle w:val="4"/>
            <w:numPr>
              <w:ilvl w:val="0"/>
              <w:numId w:val="33"/>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101643543"/>
            <w:lock w:val="sdtLocked"/>
            <w:placeholder>
              <w:docPart w:val="GBC22222222222222222222222222222"/>
            </w:placeholder>
          </w:sdtPr>
          <w:sdtEndPr/>
          <w:sdtContent>
            <w:p w14:paraId="42EFF31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Theme="minorEastAsia" w:hAnsi="宋体" w:cs="宋体"/>
          <w:b w:val="0"/>
          <w:bCs w:val="0"/>
          <w:kern w:val="0"/>
          <w:szCs w:val="22"/>
        </w:rPr>
        <w:alias w:val="模块:已在临时公告披露，但有后续实施的进展或变化的事项"/>
        <w:tag w:val="_SEC_dcb3650518df4296931e576a9d6fdaf3"/>
        <w:id w:val="1797943944"/>
        <w:lock w:val="sdtLocked"/>
        <w:placeholder>
          <w:docPart w:val="GBC22222222222222222222222222222"/>
        </w:placeholder>
      </w:sdtPr>
      <w:sdtEndPr>
        <w:rPr>
          <w:rFonts w:hint="eastAsia"/>
          <w:szCs w:val="24"/>
        </w:rPr>
      </w:sdtEndPr>
      <w:sdtContent>
        <w:p w14:paraId="0A4E3019" w14:textId="77777777" w:rsidR="00D21C1F" w:rsidRDefault="00A42880">
          <w:pPr>
            <w:pStyle w:val="4"/>
            <w:numPr>
              <w:ilvl w:val="0"/>
              <w:numId w:val="33"/>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608879331"/>
            <w:lock w:val="sdtLocked"/>
            <w:placeholder>
              <w:docPart w:val="GBC22222222222222222222222222222"/>
            </w:placeholder>
          </w:sdtPr>
          <w:sdtEndPr/>
          <w:sdtContent>
            <w:p w14:paraId="7497E80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da19abf815bb4e3a97fcb901c6225551"/>
        <w:id w:val="742377067"/>
        <w:lock w:val="sdtLocked"/>
        <w:placeholder>
          <w:docPart w:val="GBC22222222222222222222222222222"/>
        </w:placeholder>
      </w:sdtPr>
      <w:sdtEndPr>
        <w:rPr>
          <w:szCs w:val="21"/>
        </w:rPr>
      </w:sdtEndPr>
      <w:sdtContent>
        <w:p w14:paraId="02AD302F" w14:textId="77777777" w:rsidR="00D21C1F" w:rsidRDefault="00A42880">
          <w:pPr>
            <w:pStyle w:val="4"/>
            <w:numPr>
              <w:ilvl w:val="0"/>
              <w:numId w:val="33"/>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796258655"/>
            <w:lock w:val="sdtLocked"/>
            <w:placeholder>
              <w:docPart w:val="GBC22222222222222222222222222222"/>
            </w:placeholder>
          </w:sdtPr>
          <w:sdtEndPr/>
          <w:sdtContent>
            <w:p w14:paraId="6F882B81" w14:textId="77777777" w:rsidR="008C5577" w:rsidRDefault="00A4288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491E343F" w14:textId="2AE35D89" w:rsidR="00D21C1F" w:rsidRDefault="00045EC6">
              <w:pPr>
                <w:rPr>
                  <w:szCs w:val="21"/>
                </w:rPr>
              </w:pPr>
            </w:p>
          </w:sdtContent>
        </w:sdt>
      </w:sdtContent>
    </w:sdt>
    <w:p w14:paraId="26C71F12" w14:textId="77777777" w:rsidR="00D21C1F" w:rsidRDefault="00A42880">
      <w:pPr>
        <w:pStyle w:val="3"/>
        <w:numPr>
          <w:ilvl w:val="2"/>
          <w:numId w:val="6"/>
        </w:numPr>
        <w:rPr>
          <w:rFonts w:ascii="宋体" w:hAnsi="宋体"/>
        </w:rPr>
      </w:pPr>
      <w:bookmarkStart w:id="92" w:name="_Hlk748192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c30997f4333b40188cc0fac7a38dd28c"/>
        <w:id w:val="1693876802"/>
        <w:lock w:val="sdtLocked"/>
        <w:placeholder>
          <w:docPart w:val="GBC22222222222222222222222222222"/>
        </w:placeholder>
      </w:sdtPr>
      <w:sdtEndPr/>
      <w:sdtContent>
        <w:p w14:paraId="3FFFB946" w14:textId="77777777" w:rsidR="00D21C1F" w:rsidRDefault="00A42880">
          <w:pPr>
            <w:pStyle w:val="97"/>
            <w:rPr>
              <w:color w:val="000000" w:themeColor="text1"/>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739410" w14:textId="77777777" w:rsidR="00D21C1F" w:rsidRDefault="00D21C1F">
      <w:pPr>
        <w:rPr>
          <w:color w:val="000000" w:themeColor="text1"/>
          <w:szCs w:val="21"/>
        </w:rPr>
      </w:pPr>
      <w:bookmarkStart w:id="93" w:name="_Hlk74819384"/>
      <w:bookmarkStart w:id="94" w:name="_Hlk41316022"/>
      <w:bookmarkEnd w:id="92"/>
    </w:p>
    <w:bookmarkEnd w:id="94" w:displacedByCustomXml="next"/>
    <w:bookmarkEnd w:id="93" w:displacedByCustomXml="next"/>
    <w:sdt>
      <w:sdtPr>
        <w:rPr>
          <w:rFonts w:ascii="宋体" w:eastAsiaTheme="minorEastAsia" w:hAnsi="宋体" w:cs="宋体" w:hint="eastAsia"/>
          <w:b w:val="0"/>
          <w:bCs w:val="0"/>
          <w:kern w:val="0"/>
          <w:szCs w:val="22"/>
        </w:rPr>
        <w:alias w:val="模块:(五) 其他重大关联交易"/>
        <w:tag w:val="_SEC_d0d528034450466db3d12315559a161a"/>
        <w:id w:val="1427306038"/>
        <w:lock w:val="sdtLocked"/>
        <w:placeholder>
          <w:docPart w:val="GBC22222222222222222222222222222"/>
        </w:placeholder>
      </w:sdtPr>
      <w:sdtEndPr>
        <w:rPr>
          <w:rFonts w:hint="default"/>
          <w:szCs w:val="21"/>
        </w:rPr>
      </w:sdtEndPr>
      <w:sdtContent>
        <w:p w14:paraId="7D03F749" w14:textId="77777777" w:rsidR="00D21C1F" w:rsidRDefault="00A42880">
          <w:pPr>
            <w:pStyle w:val="3"/>
            <w:numPr>
              <w:ilvl w:val="2"/>
              <w:numId w:val="6"/>
            </w:numPr>
            <w:rPr>
              <w:rFonts w:ascii="宋体" w:hAnsi="宋体"/>
            </w:rPr>
          </w:pPr>
          <w:r>
            <w:rPr>
              <w:rFonts w:ascii="宋体" w:hAnsi="宋体" w:hint="eastAsia"/>
            </w:rPr>
            <w:t>其他重大关联交易</w:t>
          </w:r>
        </w:p>
        <w:sdt>
          <w:sdtPr>
            <w:rPr>
              <w:rFonts w:hint="eastAsia"/>
              <w:szCs w:val="21"/>
            </w:rPr>
            <w:alias w:val="是否适用：重大关联交易其他说明[双击切换]"/>
            <w:tag w:val="_GBC_7dd39ac420a244dcb8ea88c29ac07190"/>
            <w:id w:val="16664842"/>
            <w:lock w:val="sdtLocked"/>
            <w:placeholder>
              <w:docPart w:val="GBC22222222222222222222222222222"/>
            </w:placeholder>
          </w:sdtPr>
          <w:sdtEndPr/>
          <w:sdtContent>
            <w:p w14:paraId="1C32A4AE"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Theme="minorEastAsia" w:hAnsi="宋体" w:cs="宋体" w:hint="eastAsia"/>
          <w:b w:val="0"/>
          <w:bCs w:val="0"/>
          <w:kern w:val="0"/>
          <w:szCs w:val="24"/>
        </w:rPr>
        <w:alias w:val="模块:其他"/>
        <w:tag w:val="_SEC_94b5dc0c50e04cae8442e9675bd15742"/>
        <w:id w:val="-21943401"/>
        <w:lock w:val="sdtLocked"/>
        <w:placeholder>
          <w:docPart w:val="GBC22222222222222222222222222222"/>
        </w:placeholder>
      </w:sdtPr>
      <w:sdtEndPr/>
      <w:sdtContent>
        <w:p w14:paraId="5DE4761C" w14:textId="77777777" w:rsidR="00D21C1F" w:rsidRDefault="00A42880">
          <w:pPr>
            <w:pStyle w:val="3"/>
            <w:numPr>
              <w:ilvl w:val="2"/>
              <w:numId w:val="6"/>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674032003"/>
            <w:lock w:val="sdtLocked"/>
            <w:placeholder>
              <w:docPart w:val="GBC22222222222222222222222222222"/>
            </w:placeholder>
          </w:sdtPr>
          <w:sdtEndPr/>
          <w:sdtContent>
            <w:p w14:paraId="2093F44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70F150B" w14:textId="77777777" w:rsidR="00D21C1F" w:rsidRDefault="00D21C1F">
      <w:pPr>
        <w:pStyle w:val="97"/>
      </w:pPr>
    </w:p>
    <w:p w14:paraId="48A72B40" w14:textId="77777777" w:rsidR="00D21C1F" w:rsidRDefault="00A42880">
      <w:pPr>
        <w:pStyle w:val="2"/>
        <w:numPr>
          <w:ilvl w:val="0"/>
          <w:numId w:val="27"/>
        </w:numPr>
      </w:pPr>
      <w:r>
        <w:rPr>
          <w:rFonts w:hint="eastAsia"/>
        </w:rPr>
        <w:t>重大合同及其履行情况</w:t>
      </w:r>
    </w:p>
    <w:p w14:paraId="50331170" w14:textId="77777777" w:rsidR="00D21C1F" w:rsidRDefault="00A42880">
      <w:pPr>
        <w:pStyle w:val="3"/>
        <w:numPr>
          <w:ilvl w:val="0"/>
          <w:numId w:val="34"/>
        </w:numPr>
        <w:rPr>
          <w:rFonts w:ascii="宋体" w:hAnsi="宋体"/>
        </w:rPr>
      </w:pPr>
      <w:r>
        <w:rPr>
          <w:rFonts w:ascii="宋体" w:hAnsi="宋体"/>
        </w:rPr>
        <w:t>托管、承包、租赁事项</w:t>
      </w:r>
    </w:p>
    <w:p w14:paraId="5230D1B3" w14:textId="77777777" w:rsidR="00D21C1F" w:rsidRDefault="00045EC6">
      <w:pPr>
        <w:rPr>
          <w:szCs w:val="21"/>
          <w:shd w:val="pct10" w:color="auto" w:fill="FFFFFF"/>
        </w:rPr>
      </w:pPr>
      <w:sdt>
        <w:sdtPr>
          <w:rPr>
            <w:szCs w:val="21"/>
          </w:rPr>
          <w:alias w:val="是否适用：托管、承包、租赁事项[双击切换]"/>
          <w:tag w:val="_GBC_daed561e68674d828a348a97bffbc154"/>
          <w:id w:val="-1894570372"/>
          <w:lock w:val="sdtLocked"/>
          <w:placeholder>
            <w:docPart w:val="GBC22222222222222222222222222222"/>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p w14:paraId="35E99BF7" w14:textId="77777777" w:rsidR="00D21C1F" w:rsidRDefault="00D21C1F">
      <w:pPr>
        <w:rPr>
          <w:szCs w:val="21"/>
          <w:shd w:val="pct10" w:color="auto" w:fill="FFFFFF"/>
        </w:rPr>
        <w:sectPr w:rsidR="00D21C1F">
          <w:pgSz w:w="11906" w:h="16838"/>
          <w:pgMar w:top="1525" w:right="1276" w:bottom="1440" w:left="1797" w:header="851" w:footer="992" w:gutter="0"/>
          <w:cols w:space="425"/>
          <w:docGrid w:linePitch="312"/>
        </w:sectPr>
      </w:pPr>
    </w:p>
    <w:p w14:paraId="5E1127B3" w14:textId="77777777" w:rsidR="00D21C1F" w:rsidRDefault="00A42880">
      <w:pPr>
        <w:pStyle w:val="3"/>
        <w:numPr>
          <w:ilvl w:val="0"/>
          <w:numId w:val="34"/>
        </w:numPr>
        <w:rPr>
          <w:rFonts w:ascii="宋体" w:hAnsi="宋体"/>
        </w:rPr>
      </w:pPr>
      <w:r>
        <w:rPr>
          <w:rFonts w:ascii="宋体" w:hAnsi="宋体" w:hint="eastAsia"/>
        </w:rPr>
        <w:lastRenderedPageBreak/>
        <w:t>报告期内履行的及尚未履行完毕的重大担保情况</w:t>
      </w:r>
    </w:p>
    <w:sdt>
      <w:sdtPr>
        <w:alias w:val="是否适用：担保情况[双击切换]"/>
        <w:tag w:val="_GBC_aae98b3e30bd49e4b2e1d2643f200047"/>
        <w:id w:val="-1445984724"/>
        <w:lock w:val="sdtContentLocked"/>
        <w:placeholder>
          <w:docPart w:val="GBC22222222222222222222222222222"/>
        </w:placeholder>
      </w:sdtPr>
      <w:sdtEndPr/>
      <w:sdtContent>
        <w:p w14:paraId="532CD71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95" w:name="_Hlk42868045" w:displacedByCustomXml="next"/>
    <w:bookmarkStart w:id="96" w:name="_Hlk75182697" w:displacedByCustomXml="next"/>
    <w:sdt>
      <w:sdtPr>
        <w:alias w:val="模块:报告期末尚未履行及未履行完毕的重大担保情况"/>
        <w:tag w:val="_SEC_672eb3d72f5f48409f2135bd4724031e"/>
        <w:id w:val="1035627535"/>
        <w:lock w:val="sdtLocked"/>
        <w:placeholder>
          <w:docPart w:val="GBC22222222222222222222222222222"/>
        </w:placeholder>
      </w:sdtPr>
      <w:sdtEndPr/>
      <w:sdtContent>
        <w:p w14:paraId="7A45729C" w14:textId="77777777" w:rsidR="00D21C1F" w:rsidRDefault="00A42880">
          <w:pPr>
            <w:ind w:rightChars="-150" w:right="-315"/>
            <w:jc w:val="right"/>
            <w:rPr>
              <w:szCs w:val="21"/>
            </w:rPr>
          </w:pPr>
          <w:r>
            <w:rPr>
              <w:rFonts w:hint="eastAsia"/>
              <w:szCs w:val="21"/>
            </w:rPr>
            <w:t>单位</w:t>
          </w:r>
          <w:r>
            <w:rPr>
              <w:szCs w:val="21"/>
            </w:rPr>
            <w:t xml:space="preserve">: </w:t>
          </w:r>
          <w:sdt>
            <w:sdtPr>
              <w:rPr>
                <w:szCs w:val="21"/>
              </w:rPr>
              <w:alias w:val="单位：担保情况"/>
              <w:tag w:val="_GBC_7dcbc14362c9496891a6dfe2efad76b3"/>
              <w:id w:val="4314745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rFonts w:hint="eastAsia"/>
              <w:szCs w:val="21"/>
            </w:rPr>
            <w:t xml:space="preserve">  币种</w:t>
          </w:r>
          <w:r>
            <w:rPr>
              <w:szCs w:val="21"/>
            </w:rPr>
            <w:t xml:space="preserve">: </w:t>
          </w:r>
          <w:sdt>
            <w:sdtPr>
              <w:rPr>
                <w:szCs w:val="21"/>
              </w:rPr>
              <w:alias w:val="币种：担保情况"/>
              <w:tag w:val="_GBC_a7c72dda13a447d6b7811edeb4e6bf91"/>
              <w:id w:val="-1425865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1025"/>
            <w:gridCol w:w="1051"/>
            <w:gridCol w:w="893"/>
            <w:gridCol w:w="1195"/>
            <w:gridCol w:w="1189"/>
            <w:gridCol w:w="643"/>
            <w:gridCol w:w="446"/>
            <w:gridCol w:w="1090"/>
            <w:gridCol w:w="1101"/>
            <w:gridCol w:w="1700"/>
            <w:gridCol w:w="987"/>
            <w:gridCol w:w="846"/>
            <w:gridCol w:w="663"/>
            <w:gridCol w:w="1034"/>
          </w:tblGrid>
          <w:tr w:rsidR="00D21C1F" w14:paraId="31B1C0FC" w14:textId="77777777">
            <w:trPr>
              <w:trHeight w:val="308"/>
            </w:trPr>
            <w:tc>
              <w:tcPr>
                <w:tcW w:w="5000" w:type="pct"/>
                <w:gridSpan w:val="14"/>
                <w:tcBorders>
                  <w:top w:val="single" w:sz="4" w:space="0" w:color="auto"/>
                  <w:bottom w:val="single" w:sz="4" w:space="0" w:color="auto"/>
                </w:tcBorders>
                <w:shd w:val="clear" w:color="auto" w:fill="auto"/>
                <w:vAlign w:val="center"/>
              </w:tcPr>
              <w:bookmarkEnd w:id="95"/>
              <w:p w14:paraId="554ACD45" w14:textId="77777777" w:rsidR="00D21C1F" w:rsidRDefault="00045EC6">
                <w:pPr>
                  <w:autoSpaceDE w:val="0"/>
                  <w:autoSpaceDN w:val="0"/>
                  <w:adjustRightInd w:val="0"/>
                  <w:ind w:rightChars="40" w:right="84"/>
                  <w:jc w:val="center"/>
                  <w:rPr>
                    <w:szCs w:val="21"/>
                  </w:rPr>
                </w:pPr>
                <w:sdt>
                  <w:sdtPr>
                    <w:tag w:val="_PLD_b37d240771774d139166d0bca634c8bc"/>
                    <w:id w:val="-1385549566"/>
                    <w:lock w:val="sdtLocked"/>
                  </w:sdtPr>
                  <w:sdtEndPr/>
                  <w:sdtContent>
                    <w:r w:rsidR="00A42880">
                      <w:rPr>
                        <w:rFonts w:hint="eastAsia"/>
                        <w:szCs w:val="21"/>
                      </w:rPr>
                      <w:t>公司</w:t>
                    </w:r>
                    <w:r w:rsidR="00A42880">
                      <w:rPr>
                        <w:rFonts w:hint="eastAsia"/>
                        <w:szCs w:val="21"/>
                        <w:shd w:val="solid" w:color="FFFFFF" w:fill="auto"/>
                      </w:rPr>
                      <w:t>及其子公司</w:t>
                    </w:r>
                    <w:r w:rsidR="00A42880">
                      <w:rPr>
                        <w:rFonts w:hint="eastAsia"/>
                        <w:szCs w:val="21"/>
                      </w:rPr>
                      <w:t>对子公司的担保情况</w:t>
                    </w:r>
                  </w:sdtContent>
                </w:sdt>
              </w:p>
            </w:tc>
          </w:tr>
          <w:tr w:rsidR="00D21C1F" w14:paraId="55B2CA91" w14:textId="77777777">
            <w:trPr>
              <w:trHeight w:val="1561"/>
            </w:trPr>
            <w:tc>
              <w:tcPr>
                <w:tcW w:w="370" w:type="pct"/>
                <w:tcBorders>
                  <w:top w:val="single" w:sz="4" w:space="0" w:color="auto"/>
                  <w:bottom w:val="single" w:sz="4" w:space="0" w:color="auto"/>
                  <w:right w:val="single" w:sz="4" w:space="0" w:color="auto"/>
                </w:tcBorders>
                <w:shd w:val="clear" w:color="auto" w:fill="auto"/>
                <w:vAlign w:val="center"/>
              </w:tcPr>
              <w:sdt>
                <w:sdtPr>
                  <w:tag w:val="_PLD_d9d9d49f20fe40569d89afe8bb62f0bc"/>
                  <w:id w:val="1815061836"/>
                  <w:lock w:val="sdtLocked"/>
                </w:sdtPr>
                <w:sdtEndPr/>
                <w:sdtContent>
                  <w:p w14:paraId="0B455320" w14:textId="77777777" w:rsidR="00D21C1F" w:rsidRDefault="00A42880">
                    <w:pPr>
                      <w:autoSpaceDE w:val="0"/>
                      <w:autoSpaceDN w:val="0"/>
                      <w:adjustRightInd w:val="0"/>
                      <w:ind w:rightChars="40" w:right="84"/>
                      <w:jc w:val="center"/>
                    </w:pPr>
                    <w:r>
                      <w:t>担保方</w:t>
                    </w:r>
                  </w:p>
                </w:sdtContent>
              </w:sdt>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b60eb05f313e4cee9ad6c5b37bbdcc1f"/>
                  <w:id w:val="-1536193071"/>
                  <w:lock w:val="sdtLocked"/>
                </w:sdtPr>
                <w:sdtEndPr/>
                <w:sdtContent>
                  <w:p w14:paraId="7D92A25A" w14:textId="77777777" w:rsidR="00D21C1F" w:rsidRDefault="00A42880">
                    <w:pPr>
                      <w:autoSpaceDE w:val="0"/>
                      <w:autoSpaceDN w:val="0"/>
                      <w:adjustRightInd w:val="0"/>
                      <w:ind w:rightChars="40" w:right="84"/>
                      <w:jc w:val="center"/>
                    </w:pPr>
                    <w:r>
                      <w:t>担保方与上市公司的关系</w:t>
                    </w:r>
                  </w:p>
                </w:sdtContent>
              </w:sdt>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64d25cb42b144e8499f017e4afa3ffa5"/>
                  <w:id w:val="-545373430"/>
                  <w:lock w:val="sdtLocked"/>
                </w:sdtPr>
                <w:sdtEndPr/>
                <w:sdtContent>
                  <w:p w14:paraId="7D6B4B94" w14:textId="77777777" w:rsidR="00D21C1F" w:rsidRDefault="00A42880">
                    <w:pPr>
                      <w:autoSpaceDE w:val="0"/>
                      <w:autoSpaceDN w:val="0"/>
                      <w:adjustRightInd w:val="0"/>
                      <w:ind w:rightChars="40" w:right="84"/>
                      <w:jc w:val="center"/>
                    </w:pPr>
                    <w:r>
                      <w:t>被担保方</w:t>
                    </w:r>
                  </w:p>
                </w:sdtContent>
              </w:sdt>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50da54ed212345d6a1f03ab6d3a14728"/>
                  <w:id w:val="619885203"/>
                  <w:lock w:val="sdtLocked"/>
                </w:sdtPr>
                <w:sdtEndPr/>
                <w:sdtContent>
                  <w:p w14:paraId="183F7AC2" w14:textId="77777777" w:rsidR="00D21C1F" w:rsidRDefault="00A42880">
                    <w:pPr>
                      <w:autoSpaceDE w:val="0"/>
                      <w:autoSpaceDN w:val="0"/>
                      <w:adjustRightInd w:val="0"/>
                      <w:ind w:rightChars="40" w:right="84"/>
                      <w:jc w:val="center"/>
                    </w:pPr>
                    <w:r>
                      <w:t>被担保方与上市公司的关系</w:t>
                    </w:r>
                  </w:p>
                </w:sdtContent>
              </w:sdt>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5f34e31d0a7b46fbb523c8cc7358c92a"/>
                  <w:id w:val="465479126"/>
                  <w:lock w:val="sdtLocked"/>
                </w:sdtPr>
                <w:sdtEndPr/>
                <w:sdtContent>
                  <w:p w14:paraId="5655200B" w14:textId="77777777" w:rsidR="00D21C1F" w:rsidRDefault="00A42880">
                    <w:pPr>
                      <w:autoSpaceDE w:val="0"/>
                      <w:autoSpaceDN w:val="0"/>
                      <w:adjustRightInd w:val="0"/>
                      <w:ind w:rightChars="40" w:right="84"/>
                      <w:jc w:val="center"/>
                    </w:pPr>
                    <w:r>
                      <w:t>担保金额</w:t>
                    </w:r>
                  </w:p>
                </w:sdtContent>
              </w:sdt>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tag w:val="_PLD_85749fd6dcd7420f89611875e794c430"/>
                  <w:id w:val="1406569794"/>
                  <w:lock w:val="sdtLocked"/>
                </w:sdtPr>
                <w:sdtEndPr/>
                <w:sdtContent>
                  <w:p w14:paraId="1ABB2F59" w14:textId="77777777" w:rsidR="00D21C1F" w:rsidRDefault="00A42880">
                    <w:pPr>
                      <w:autoSpaceDE w:val="0"/>
                      <w:autoSpaceDN w:val="0"/>
                      <w:adjustRightInd w:val="0"/>
                      <w:ind w:rightChars="40" w:right="84"/>
                      <w:jc w:val="center"/>
                    </w:pPr>
                    <w:r>
                      <w:t>担保发生日期(协议签署日)</w:t>
                    </w:r>
                  </w:p>
                </w:sdtContent>
              </w:sdt>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9a970fe0b0a64f12bbc94130c0f0216a"/>
                  <w:id w:val="1863401503"/>
                  <w:lock w:val="sdtLocked"/>
                </w:sdtPr>
                <w:sdtEndPr/>
                <w:sdtContent>
                  <w:p w14:paraId="1A142BA5" w14:textId="77777777" w:rsidR="00D21C1F" w:rsidRDefault="00A42880">
                    <w:pPr>
                      <w:autoSpaceDE w:val="0"/>
                      <w:autoSpaceDN w:val="0"/>
                      <w:adjustRightInd w:val="0"/>
                      <w:ind w:rightChars="40" w:right="84"/>
                      <w:jc w:val="center"/>
                    </w:pPr>
                    <w:r>
                      <w:t>担保起始日</w:t>
                    </w:r>
                  </w:p>
                </w:sdtContent>
              </w:sdt>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3aecaaeda1fa4d15ab3dee734bfc325b"/>
                  <w:id w:val="807676620"/>
                  <w:lock w:val="sdtLocked"/>
                </w:sdtPr>
                <w:sdtEndPr/>
                <w:sdtContent>
                  <w:p w14:paraId="12DB2945" w14:textId="77777777" w:rsidR="00D21C1F" w:rsidRDefault="00A42880">
                    <w:pPr>
                      <w:autoSpaceDE w:val="0"/>
                      <w:autoSpaceDN w:val="0"/>
                      <w:adjustRightInd w:val="0"/>
                      <w:ind w:rightChars="40" w:right="84"/>
                      <w:jc w:val="center"/>
                    </w:pPr>
                    <w:r>
                      <w:t>担保到期日</w:t>
                    </w:r>
                  </w:p>
                </w:sdtContent>
              </w:sdt>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3d4282fbdd0a44719d6510c6e4d60808"/>
                  <w:id w:val="643781605"/>
                  <w:lock w:val="sdtLocked"/>
                </w:sdtPr>
                <w:sdtEndPr/>
                <w:sdtContent>
                  <w:p w14:paraId="7CCAE4C0" w14:textId="77777777" w:rsidR="00D21C1F" w:rsidRDefault="00A42880">
                    <w:pPr>
                      <w:autoSpaceDE w:val="0"/>
                      <w:autoSpaceDN w:val="0"/>
                      <w:adjustRightInd w:val="0"/>
                      <w:ind w:rightChars="40" w:right="84"/>
                      <w:jc w:val="center"/>
                    </w:pPr>
                    <w:r>
                      <w:t>担保类型</w:t>
                    </w:r>
                  </w:p>
                </w:sdtContent>
              </w:sdt>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b0938d1148694e4fac43777d4469aec1"/>
                  <w:id w:val="-947387842"/>
                  <w:lock w:val="sdtLocked"/>
                </w:sdtPr>
                <w:sdtEndPr/>
                <w:sdtContent>
                  <w:p w14:paraId="0EB68BCB" w14:textId="77777777" w:rsidR="00D21C1F" w:rsidRDefault="00A42880">
                    <w:pPr>
                      <w:autoSpaceDE w:val="0"/>
                      <w:autoSpaceDN w:val="0"/>
                      <w:adjustRightInd w:val="0"/>
                      <w:ind w:rightChars="40" w:right="84"/>
                      <w:jc w:val="center"/>
                    </w:pPr>
                    <w:r>
                      <w:t>担保是否已经履行完毕</w:t>
                    </w:r>
                  </w:p>
                </w:sdtContent>
              </w:sdt>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f8bb01e728504b739c9487a0ba729cfa"/>
                  <w:id w:val="1396859620"/>
                  <w:lock w:val="sdtLocked"/>
                </w:sdtPr>
                <w:sdtEndPr/>
                <w:sdtContent>
                  <w:p w14:paraId="0C1DAFE9" w14:textId="77777777" w:rsidR="00D21C1F" w:rsidRDefault="00A42880">
                    <w:pPr>
                      <w:autoSpaceDE w:val="0"/>
                      <w:autoSpaceDN w:val="0"/>
                      <w:adjustRightInd w:val="0"/>
                      <w:ind w:rightChars="40" w:right="84"/>
                      <w:jc w:val="center"/>
                    </w:pPr>
                    <w:r>
                      <w:t>担保是否逾期</w:t>
                    </w:r>
                  </w:p>
                </w:sdtContent>
              </w:sdt>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sdt>
                <w:sdtPr>
                  <w:tag w:val="_PLD_49848cd3b6014271b1e6f0306366794d"/>
                  <w:id w:val="286938642"/>
                  <w:lock w:val="sdtLocked"/>
                </w:sdtPr>
                <w:sdtEndPr/>
                <w:sdtContent>
                  <w:p w14:paraId="69F223DB" w14:textId="77777777" w:rsidR="00D21C1F" w:rsidRDefault="00A42880">
                    <w:pPr>
                      <w:autoSpaceDE w:val="0"/>
                      <w:autoSpaceDN w:val="0"/>
                      <w:adjustRightInd w:val="0"/>
                      <w:ind w:rightChars="40" w:right="84"/>
                      <w:jc w:val="center"/>
                    </w:pPr>
                    <w:r>
                      <w:t>担保逾期金额</w:t>
                    </w:r>
                  </w:p>
                </w:sdtContent>
              </w:sdt>
            </w:tc>
            <w:tc>
              <w:tcPr>
                <w:tcW w:w="373" w:type="pct"/>
                <w:tcBorders>
                  <w:top w:val="single" w:sz="4" w:space="0" w:color="auto"/>
                  <w:left w:val="single" w:sz="4" w:space="0" w:color="auto"/>
                  <w:bottom w:val="single" w:sz="4" w:space="0" w:color="auto"/>
                </w:tcBorders>
                <w:shd w:val="clear" w:color="auto" w:fill="auto"/>
                <w:vAlign w:val="center"/>
              </w:tcPr>
              <w:sdt>
                <w:sdtPr>
                  <w:tag w:val="_PLD_53f490bc28d54869a3ecf998c9c56dba"/>
                  <w:id w:val="1287237975"/>
                  <w:lock w:val="sdtLocked"/>
                </w:sdtPr>
                <w:sdtEndPr/>
                <w:sdtContent>
                  <w:p w14:paraId="09567AD4" w14:textId="77777777" w:rsidR="00D21C1F" w:rsidRDefault="00A42880">
                    <w:pPr>
                      <w:autoSpaceDE w:val="0"/>
                      <w:autoSpaceDN w:val="0"/>
                      <w:adjustRightInd w:val="0"/>
                      <w:ind w:rightChars="40" w:right="84"/>
                      <w:jc w:val="center"/>
                    </w:pPr>
                    <w:r>
                      <w:t>是否存在反担保</w:t>
                    </w:r>
                  </w:p>
                </w:sdtContent>
              </w:sdt>
            </w:tc>
          </w:tr>
          <w:sdt>
            <w:sdtPr>
              <w:rPr>
                <w:rFonts w:ascii="Times New Roman" w:hAnsi="Times New Roman" w:cs="Times New Roman"/>
                <w:kern w:val="2"/>
                <w:szCs w:val="22"/>
              </w:rPr>
              <w:alias w:val="对子公司的担保情况明细"/>
              <w:tag w:val="_TUP_52e811cb30bd4aa2b339be1a52705c24"/>
              <w:id w:val="1038007454"/>
              <w:lock w:val="sdtLocked"/>
              <w:placeholder>
                <w:docPart w:val="C8957A88CEBB4392A86C8BA8D20C7BFC"/>
              </w:placeholder>
            </w:sdtPr>
            <w:sdtEndPr/>
            <w:sdtContent>
              <w:tr w:rsidR="00D21C1F" w14:paraId="69471E56"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4711F551"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41373113"/>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6FCF9B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203F04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芜湖埃华路</w:t>
                    </w:r>
                  </w:p>
                </w:tc>
                <w:sdt>
                  <w:sdtPr>
                    <w:rPr>
                      <w:rFonts w:ascii="Times New Roman" w:hAnsi="Times New Roman" w:cs="Times New Roman"/>
                    </w:rPr>
                    <w:alias w:val="对子公司的担保情况明细_被担保方与上市公司的关系"/>
                    <w:tag w:val="_GBC_b4d423a38f494d1d8c78b723e7026401"/>
                    <w:id w:val="-1425031903"/>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C2528E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8A0368F"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1,000,000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A05B5"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999D0F6"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CF24FE6"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2021/4/26</w:t>
                    </w:r>
                  </w:p>
                </w:tc>
                <w:sdt>
                  <w:sdtPr>
                    <w:rPr>
                      <w:rFonts w:ascii="Times New Roman" w:hAnsi="Times New Roman" w:cs="Times New Roman"/>
                    </w:rPr>
                    <w:alias w:val="对子公司的担保情况明细_担保类型"/>
                    <w:tag w:val="_GBC_3446b076a39b4413a5dd382d79423ea1"/>
                    <w:id w:val="-97799474"/>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6EFFEEC"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389650339"/>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01391C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是</w:t>
                        </w:r>
                      </w:p>
                    </w:tc>
                  </w:sdtContent>
                </w:sdt>
                <w:sdt>
                  <w:sdtPr>
                    <w:rPr>
                      <w:rFonts w:ascii="Times New Roman" w:hAnsi="Times New Roman" w:cs="Times New Roman"/>
                    </w:rPr>
                    <w:alias w:val="对子公司的担保情况明细_担保是否逾期"/>
                    <w:tag w:val="_GBC_33ea8b36e51c47549d7f5b5ca408e922"/>
                    <w:id w:val="347069173"/>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29CD5F2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46C85AC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1083647175"/>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0F4F1E39"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2010749368"/>
              <w:lock w:val="sdtLocked"/>
              <w:placeholder>
                <w:docPart w:val="C8957A88CEBB4392A86C8BA8D20C7BFC"/>
              </w:placeholder>
            </w:sdtPr>
            <w:sdtEndPr/>
            <w:sdtContent>
              <w:tr w:rsidR="00D21C1F" w14:paraId="055FB5D7"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6863BAD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1313686100"/>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503654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7E5238B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芜湖埃华路</w:t>
                    </w:r>
                  </w:p>
                </w:tc>
                <w:sdt>
                  <w:sdtPr>
                    <w:rPr>
                      <w:rFonts w:ascii="Times New Roman" w:hAnsi="Times New Roman" w:cs="Times New Roman"/>
                    </w:rPr>
                    <w:alias w:val="对子公司的担保情况明细_被担保方与上市公司的关系"/>
                    <w:tag w:val="_GBC_b4d423a38f494d1d8c78b723e7026401"/>
                    <w:id w:val="-311720653"/>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356234A"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A9495E4"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5,000,000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714AA"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EF06027"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6A579F6"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2021/2/27</w:t>
                    </w:r>
                  </w:p>
                </w:tc>
                <w:sdt>
                  <w:sdtPr>
                    <w:rPr>
                      <w:rFonts w:ascii="Times New Roman" w:hAnsi="Times New Roman" w:cs="Times New Roman"/>
                    </w:rPr>
                    <w:alias w:val="对子公司的担保情况明细_担保类型"/>
                    <w:tag w:val="_GBC_3446b076a39b4413a5dd382d79423ea1"/>
                    <w:id w:val="1137069760"/>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5447D6B"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934088204"/>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F8C1FB0"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是</w:t>
                        </w:r>
                      </w:p>
                    </w:tc>
                  </w:sdtContent>
                </w:sdt>
                <w:sdt>
                  <w:sdtPr>
                    <w:rPr>
                      <w:rFonts w:ascii="Times New Roman" w:hAnsi="Times New Roman" w:cs="Times New Roman"/>
                    </w:rPr>
                    <w:alias w:val="对子公司的担保情况明细_担保是否逾期"/>
                    <w:tag w:val="_GBC_33ea8b36e51c47549d7f5b5ca408e922"/>
                    <w:id w:val="-1659682346"/>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DA892C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7135A20"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262695166"/>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0C7526D7"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302921816"/>
              <w:lock w:val="sdtLocked"/>
              <w:placeholder>
                <w:docPart w:val="C8957A88CEBB4392A86C8BA8D20C7BFC"/>
              </w:placeholder>
            </w:sdtPr>
            <w:sdtEndPr/>
            <w:sdtContent>
              <w:tr w:rsidR="00D21C1F" w14:paraId="2C06BA44"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43CFA144"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1066684588"/>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F6A955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6EF9960"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芜湖希美埃</w:t>
                    </w:r>
                  </w:p>
                </w:tc>
                <w:sdt>
                  <w:sdtPr>
                    <w:rPr>
                      <w:rFonts w:ascii="Times New Roman" w:hAnsi="Times New Roman" w:cs="Times New Roman"/>
                    </w:rPr>
                    <w:alias w:val="对子公司的担保情况明细_被担保方与上市公司的关系"/>
                    <w:tag w:val="_GBC_b4d423a38f494d1d8c78b723e7026401"/>
                    <w:id w:val="447825188"/>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0DBB3E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7911E9F"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1,500,000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0B014"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2020/3/30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37F9B8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2020/3/30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17F311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2021/2/27</w:t>
                    </w:r>
                  </w:p>
                </w:tc>
                <w:sdt>
                  <w:sdtPr>
                    <w:rPr>
                      <w:rFonts w:ascii="Times New Roman" w:hAnsi="Times New Roman" w:cs="Times New Roman"/>
                    </w:rPr>
                    <w:alias w:val="对子公司的担保情况明细_担保类型"/>
                    <w:tag w:val="_GBC_3446b076a39b4413a5dd382d79423ea1"/>
                    <w:id w:val="-676738335"/>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78BE48C"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2025619622"/>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CCBC5D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是</w:t>
                        </w:r>
                      </w:p>
                    </w:tc>
                  </w:sdtContent>
                </w:sdt>
                <w:sdt>
                  <w:sdtPr>
                    <w:rPr>
                      <w:rFonts w:ascii="Times New Roman" w:hAnsi="Times New Roman" w:cs="Times New Roman"/>
                    </w:rPr>
                    <w:alias w:val="对子公司的担保情况明细_担保是否逾期"/>
                    <w:tag w:val="_GBC_33ea8b36e51c47549d7f5b5ca408e922"/>
                    <w:id w:val="237136823"/>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071DA6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1AD40FF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1416617605"/>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54751DD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464666893"/>
              <w:lock w:val="sdtLocked"/>
              <w:placeholder>
                <w:docPart w:val="5D5279A6C01C4E5996E5D4757996064A"/>
              </w:placeholder>
            </w:sdtPr>
            <w:sdtEndPr>
              <w:rPr>
                <w:kern w:val="0"/>
                <w:szCs w:val="24"/>
              </w:rPr>
            </w:sdtEndPr>
            <w:sdtContent>
              <w:tr w:rsidR="00D21C1F" w14:paraId="765D81CC"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19249188" w14:textId="77777777" w:rsidR="00D21C1F" w:rsidRDefault="00A42880">
                    <w:pPr>
                      <w:autoSpaceDE w:val="0"/>
                      <w:autoSpaceDN w:val="0"/>
                      <w:adjustRightInd w:val="0"/>
                      <w:ind w:rightChars="40" w:right="84"/>
                      <w:rPr>
                        <w:rFonts w:ascii="Times New Roman" w:hAnsi="Times New Roman" w:cs="Times New Roman"/>
                        <w:kern w:val="2"/>
                        <w:szCs w:val="22"/>
                      </w:rPr>
                    </w:pPr>
                    <w:r>
                      <w:t>埃夫特</w:t>
                    </w:r>
                  </w:p>
                </w:tc>
                <w:sdt>
                  <w:sdtPr>
                    <w:rPr>
                      <w:rFonts w:ascii="Times New Roman" w:hAnsi="Times New Roman" w:cs="Times New Roman"/>
                    </w:rPr>
                    <w:alias w:val="对子公司的担保情况明细_担保方与上市公司的关系"/>
                    <w:tag w:val="_GBC_2d5a5aa0584c4e9da937f9e5011b2686"/>
                    <w:id w:val="1959516307"/>
                    <w:lock w:val="sdtLocked"/>
                    <w:placeholder>
                      <w:docPart w:val="5B68ABA754954C778DCA2507CA6093C3"/>
                    </w:placeholder>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AEFC52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4B6C4715" w14:textId="77777777" w:rsidR="00D21C1F" w:rsidRDefault="00A42880">
                    <w:pPr>
                      <w:autoSpaceDE w:val="0"/>
                      <w:autoSpaceDN w:val="0"/>
                      <w:adjustRightInd w:val="0"/>
                      <w:ind w:rightChars="40" w:right="84"/>
                      <w:rPr>
                        <w:rFonts w:ascii="Times New Roman" w:hAnsi="Times New Roman" w:cs="Times New Roman"/>
                      </w:rPr>
                    </w:pPr>
                    <w:r>
                      <w:t>芜湖希美埃</w:t>
                    </w:r>
                  </w:p>
                </w:tc>
                <w:sdt>
                  <w:sdtPr>
                    <w:rPr>
                      <w:rFonts w:ascii="Times New Roman" w:hAnsi="Times New Roman" w:cs="Times New Roman"/>
                    </w:rPr>
                    <w:alias w:val="对子公司的担保情况明细_被担保方与上市公司的关系"/>
                    <w:tag w:val="_GBC_b4d423a38f494d1d8c78b723e7026401"/>
                    <w:id w:val="-285509629"/>
                    <w:lock w:val="sdtLocked"/>
                    <w:placeholder>
                      <w:docPart w:val="9D7E0BE2E2374D86857EE55A0D2AC543"/>
                    </w:placeholder>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3EFD48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2B85DEF"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3,500,000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88A72"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AE3EB30"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4C27DF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2021/2/27</w:t>
                    </w:r>
                  </w:p>
                </w:tc>
                <w:sdt>
                  <w:sdtPr>
                    <w:rPr>
                      <w:rFonts w:ascii="Times New Roman" w:hAnsi="Times New Roman" w:cs="Times New Roman"/>
                    </w:rPr>
                    <w:alias w:val="对子公司的担保情况明细_担保类型"/>
                    <w:tag w:val="_GBC_3446b076a39b4413a5dd382d79423ea1"/>
                    <w:id w:val="1788464211"/>
                    <w:lock w:val="sdtLocked"/>
                    <w:placeholder>
                      <w:docPart w:val="CE95EC368EA04B9AA70656BD23FABCB4"/>
                    </w:placeholder>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467F574"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433051670"/>
                    <w:lock w:val="sdtLocked"/>
                    <w:placeholder>
                      <w:docPart w:val="5995BC93850D4D409BD1E25BE68498C3"/>
                    </w:placeholder>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34032D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是</w:t>
                        </w:r>
                      </w:p>
                    </w:tc>
                  </w:sdtContent>
                </w:sdt>
                <w:sdt>
                  <w:sdtPr>
                    <w:rPr>
                      <w:rFonts w:ascii="Times New Roman" w:hAnsi="Times New Roman" w:cs="Times New Roman"/>
                    </w:rPr>
                    <w:alias w:val="对子公司的担保情况明细_担保是否逾期"/>
                    <w:tag w:val="_GBC_33ea8b36e51c47549d7f5b5ca408e922"/>
                    <w:id w:val="-1718734836"/>
                    <w:lock w:val="sdtLocked"/>
                    <w:placeholder>
                      <w:docPart w:val="3D389CDA4F73410DBB79708820FF6E48"/>
                    </w:placeholder>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0EC2C51"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3F6CE5B5" w14:textId="77777777" w:rsidR="00D21C1F" w:rsidRDefault="00A42880">
                    <w:pPr>
                      <w:autoSpaceDE w:val="0"/>
                      <w:autoSpaceDN w:val="0"/>
                      <w:adjustRightInd w:val="0"/>
                      <w:ind w:rightChars="40" w:right="84"/>
                      <w:rPr>
                        <w:rFonts w:ascii="Times New Roman" w:hAnsi="Times New Roman" w:cs="Times New Roman"/>
                      </w:rPr>
                    </w:pPr>
                    <w:r>
                      <w:t>0</w:t>
                    </w:r>
                  </w:p>
                </w:tc>
                <w:sdt>
                  <w:sdtPr>
                    <w:rPr>
                      <w:rFonts w:ascii="Times New Roman" w:hAnsi="Times New Roman" w:cs="Times New Roman"/>
                    </w:rPr>
                    <w:alias w:val="对子公司的担保情况明细_是否存在反担保"/>
                    <w:tag w:val="_GBC_c0219dc8a7384ec285d8f32bdb4628e9"/>
                    <w:id w:val="-1857181980"/>
                    <w:lock w:val="sdtLocked"/>
                    <w:placeholder>
                      <w:docPart w:val="9020FC83FF48435595096EAF0D4F2F6B"/>
                    </w:placeholder>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4FB53921"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408538221"/>
              <w:lock w:val="sdtLocked"/>
              <w:placeholder>
                <w:docPart w:val="91377C7FCC8C4608B195336E474F6B8A"/>
              </w:placeholder>
            </w:sdtPr>
            <w:sdtEndPr>
              <w:rPr>
                <w:kern w:val="0"/>
                <w:szCs w:val="24"/>
              </w:rPr>
            </w:sdtEndPr>
            <w:sdtContent>
              <w:tr w:rsidR="00D21C1F" w14:paraId="73683ED7"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7C497501" w14:textId="77777777" w:rsidR="00D21C1F" w:rsidRDefault="00A42880">
                    <w:pPr>
                      <w:autoSpaceDE w:val="0"/>
                      <w:autoSpaceDN w:val="0"/>
                      <w:adjustRightInd w:val="0"/>
                      <w:ind w:rightChars="40" w:right="84"/>
                      <w:rPr>
                        <w:rFonts w:ascii="Times New Roman" w:hAnsi="Times New Roman" w:cs="Times New Roman"/>
                        <w:kern w:val="2"/>
                        <w:szCs w:val="22"/>
                      </w:rPr>
                    </w:pPr>
                    <w:r>
                      <w:t>埃夫特</w:t>
                    </w:r>
                  </w:p>
                </w:tc>
                <w:sdt>
                  <w:sdtPr>
                    <w:rPr>
                      <w:rFonts w:ascii="Times New Roman" w:hAnsi="Times New Roman" w:cs="Times New Roman"/>
                    </w:rPr>
                    <w:alias w:val="对子公司的担保情况明细_担保方与上市公司的关系"/>
                    <w:tag w:val="_GBC_2d5a5aa0584c4e9da937f9e5011b2686"/>
                    <w:id w:val="-845474059"/>
                    <w:lock w:val="sdtLocked"/>
                    <w:placeholder>
                      <w:docPart w:val="D80F2277D28C4EC8B05D5BE451B3E87D"/>
                    </w:placeholder>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91A97FB"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7C455252" w14:textId="77777777" w:rsidR="00D21C1F" w:rsidRDefault="00A42880">
                    <w:pPr>
                      <w:autoSpaceDE w:val="0"/>
                      <w:autoSpaceDN w:val="0"/>
                      <w:adjustRightInd w:val="0"/>
                      <w:ind w:rightChars="40" w:right="84"/>
                      <w:rPr>
                        <w:rFonts w:ascii="Times New Roman" w:hAnsi="Times New Roman" w:cs="Times New Roman"/>
                      </w:rPr>
                    </w:pPr>
                    <w:r>
                      <w:t>芜湖希美埃</w:t>
                    </w:r>
                  </w:p>
                </w:tc>
                <w:sdt>
                  <w:sdtPr>
                    <w:rPr>
                      <w:rFonts w:ascii="Times New Roman" w:hAnsi="Times New Roman" w:cs="Times New Roman"/>
                    </w:rPr>
                    <w:alias w:val="对子公司的担保情况明细_被担保方与上市公司的关系"/>
                    <w:tag w:val="_GBC_b4d423a38f494d1d8c78b723e7026401"/>
                    <w:id w:val="120272603"/>
                    <w:lock w:val="sdtLocked"/>
                    <w:placeholder>
                      <w:docPart w:val="AFAB9365B57541B8B5F078A6C2FD8AFB"/>
                    </w:placeholder>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0A74015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F64094D"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270,000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58645"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3BCE0DB"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2020/4/27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00AF897"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2021/4/26</w:t>
                    </w:r>
                  </w:p>
                </w:tc>
                <w:sdt>
                  <w:sdtPr>
                    <w:rPr>
                      <w:rFonts w:ascii="Times New Roman" w:hAnsi="Times New Roman" w:cs="Times New Roman"/>
                    </w:rPr>
                    <w:alias w:val="对子公司的担保情况明细_担保类型"/>
                    <w:tag w:val="_GBC_3446b076a39b4413a5dd382d79423ea1"/>
                    <w:id w:val="-878935432"/>
                    <w:lock w:val="sdtLocked"/>
                    <w:placeholder>
                      <w:docPart w:val="E37EF5F8ED1D4C5C84ED4E73E2F0A94B"/>
                    </w:placeholder>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EF9A2F"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734999991"/>
                    <w:lock w:val="sdtLocked"/>
                    <w:placeholder>
                      <w:docPart w:val="57F7A0C70450418683358BC5156540B0"/>
                    </w:placeholder>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5FAFB6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是</w:t>
                        </w:r>
                      </w:p>
                    </w:tc>
                  </w:sdtContent>
                </w:sdt>
                <w:sdt>
                  <w:sdtPr>
                    <w:rPr>
                      <w:rFonts w:ascii="Times New Roman" w:hAnsi="Times New Roman" w:cs="Times New Roman"/>
                    </w:rPr>
                    <w:alias w:val="对子公司的担保情况明细_担保是否逾期"/>
                    <w:tag w:val="_GBC_33ea8b36e51c47549d7f5b5ca408e922"/>
                    <w:id w:val="983665573"/>
                    <w:lock w:val="sdtLocked"/>
                    <w:placeholder>
                      <w:docPart w:val="F03F793F8CF64A9DB51B5B8532C94310"/>
                    </w:placeholder>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288B81D9"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B013D19" w14:textId="77777777" w:rsidR="00D21C1F" w:rsidRDefault="00A42880">
                    <w:pPr>
                      <w:autoSpaceDE w:val="0"/>
                      <w:autoSpaceDN w:val="0"/>
                      <w:adjustRightInd w:val="0"/>
                      <w:ind w:rightChars="40" w:right="84"/>
                      <w:rPr>
                        <w:rFonts w:ascii="Times New Roman" w:hAnsi="Times New Roman" w:cs="Times New Roman"/>
                      </w:rPr>
                    </w:pPr>
                    <w:r>
                      <w:t>0</w:t>
                    </w:r>
                  </w:p>
                </w:tc>
                <w:sdt>
                  <w:sdtPr>
                    <w:rPr>
                      <w:rFonts w:ascii="Times New Roman" w:hAnsi="Times New Roman" w:cs="Times New Roman"/>
                    </w:rPr>
                    <w:alias w:val="对子公司的担保情况明细_是否存在反担保"/>
                    <w:tag w:val="_GBC_c0219dc8a7384ec285d8f32bdb4628e9"/>
                    <w:id w:val="-1723677093"/>
                    <w:lock w:val="sdtLocked"/>
                    <w:placeholder>
                      <w:docPart w:val="0BA96B03235042C1ADB8059F4A532F9D"/>
                    </w:placeholder>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4991A4B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023933044"/>
              <w:lock w:val="sdtLocked"/>
              <w:placeholder>
                <w:docPart w:val="91377C7FCC8C4608B195336E474F6B8A"/>
              </w:placeholder>
            </w:sdtPr>
            <w:sdtEndPr>
              <w:rPr>
                <w:kern w:val="0"/>
                <w:szCs w:val="24"/>
              </w:rPr>
            </w:sdtEndPr>
            <w:sdtContent>
              <w:tr w:rsidR="00D21C1F" w14:paraId="21C4176E"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013FB9D1" w14:textId="77777777" w:rsidR="00D21C1F" w:rsidRDefault="00A42880">
                    <w:pPr>
                      <w:autoSpaceDE w:val="0"/>
                      <w:autoSpaceDN w:val="0"/>
                      <w:adjustRightInd w:val="0"/>
                      <w:ind w:rightChars="40" w:right="84"/>
                      <w:rPr>
                        <w:rFonts w:ascii="Times New Roman" w:hAnsi="Times New Roman" w:cs="Times New Roman"/>
                        <w:kern w:val="2"/>
                        <w:szCs w:val="22"/>
                      </w:rPr>
                    </w:pPr>
                    <w:r>
                      <w:t>埃夫特</w:t>
                    </w:r>
                  </w:p>
                </w:tc>
                <w:sdt>
                  <w:sdtPr>
                    <w:rPr>
                      <w:rFonts w:ascii="Times New Roman" w:hAnsi="Times New Roman" w:cs="Times New Roman"/>
                    </w:rPr>
                    <w:alias w:val="对子公司的担保情况明细_担保方与上市公司的关系"/>
                    <w:tag w:val="_GBC_2d5a5aa0584c4e9da937f9e5011b2686"/>
                    <w:id w:val="-441153582"/>
                    <w:lock w:val="sdtLocked"/>
                    <w:placeholder>
                      <w:docPart w:val="D80F2277D28C4EC8B05D5BE451B3E87D"/>
                    </w:placeholder>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4C8363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FD45A56" w14:textId="77777777" w:rsidR="00D21C1F" w:rsidRDefault="00A42880">
                    <w:pPr>
                      <w:autoSpaceDE w:val="0"/>
                      <w:autoSpaceDN w:val="0"/>
                      <w:adjustRightInd w:val="0"/>
                      <w:ind w:rightChars="40" w:right="84"/>
                      <w:rPr>
                        <w:rFonts w:ascii="Times New Roman" w:hAnsi="Times New Roman" w:cs="Times New Roman"/>
                      </w:rPr>
                    </w:pPr>
                    <w:r>
                      <w:t>芜湖希美埃</w:t>
                    </w:r>
                  </w:p>
                </w:tc>
                <w:sdt>
                  <w:sdtPr>
                    <w:rPr>
                      <w:rFonts w:ascii="Times New Roman" w:hAnsi="Times New Roman" w:cs="Times New Roman"/>
                    </w:rPr>
                    <w:alias w:val="对子公司的担保情况明细_被担保方与上市公司的关系"/>
                    <w:tag w:val="_GBC_b4d423a38f494d1d8c78b723e7026401"/>
                    <w:id w:val="-398141705"/>
                    <w:lock w:val="sdtLocked"/>
                    <w:placeholder>
                      <w:docPart w:val="AFAB9365B57541B8B5F078A6C2FD8AFB"/>
                    </w:placeholder>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09A545D"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BA35A6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3,505,616</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096BB"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2020/6/1</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133784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2020/6/1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E9AD8D3"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2021/5/31</w:t>
                    </w:r>
                  </w:p>
                </w:tc>
                <w:sdt>
                  <w:sdtPr>
                    <w:rPr>
                      <w:rFonts w:ascii="Times New Roman" w:hAnsi="Times New Roman" w:cs="Times New Roman"/>
                    </w:rPr>
                    <w:alias w:val="对子公司的担保情况明细_担保类型"/>
                    <w:tag w:val="_GBC_3446b076a39b4413a5dd382d79423ea1"/>
                    <w:id w:val="812222358"/>
                    <w:lock w:val="sdtLocked"/>
                    <w:placeholder>
                      <w:docPart w:val="E37EF5F8ED1D4C5C84ED4E73E2F0A94B"/>
                    </w:placeholder>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7CC8A1"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356041528"/>
                    <w:lock w:val="sdtLocked"/>
                    <w:placeholder>
                      <w:docPart w:val="57F7A0C70450418683358BC5156540B0"/>
                    </w:placeholder>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0F29A840"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是</w:t>
                        </w:r>
                      </w:p>
                    </w:tc>
                  </w:sdtContent>
                </w:sdt>
                <w:sdt>
                  <w:sdtPr>
                    <w:rPr>
                      <w:rFonts w:ascii="Times New Roman" w:hAnsi="Times New Roman" w:cs="Times New Roman"/>
                    </w:rPr>
                    <w:alias w:val="对子公司的担保情况明细_担保是否逾期"/>
                    <w:tag w:val="_GBC_33ea8b36e51c47549d7f5b5ca408e922"/>
                    <w:id w:val="498548811"/>
                    <w:lock w:val="sdtLocked"/>
                    <w:placeholder>
                      <w:docPart w:val="F03F793F8CF64A9DB51B5B8532C94310"/>
                    </w:placeholder>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4C2857F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42C3B231" w14:textId="77777777" w:rsidR="00D21C1F" w:rsidRDefault="00A42880">
                    <w:pPr>
                      <w:autoSpaceDE w:val="0"/>
                      <w:autoSpaceDN w:val="0"/>
                      <w:adjustRightInd w:val="0"/>
                      <w:ind w:rightChars="40" w:right="84"/>
                      <w:rPr>
                        <w:rFonts w:ascii="Times New Roman" w:hAnsi="Times New Roman" w:cs="Times New Roman"/>
                      </w:rPr>
                    </w:pPr>
                    <w:r>
                      <w:t>0</w:t>
                    </w:r>
                  </w:p>
                </w:tc>
                <w:sdt>
                  <w:sdtPr>
                    <w:rPr>
                      <w:rFonts w:ascii="Times New Roman" w:hAnsi="Times New Roman" w:cs="Times New Roman"/>
                    </w:rPr>
                    <w:alias w:val="对子公司的担保情况明细_是否存在反担保"/>
                    <w:tag w:val="_GBC_c0219dc8a7384ec285d8f32bdb4628e9"/>
                    <w:id w:val="-731391514"/>
                    <w:lock w:val="sdtLocked"/>
                    <w:placeholder>
                      <w:docPart w:val="0BA96B03235042C1ADB8059F4A532F9D"/>
                    </w:placeholder>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6897C74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264691943"/>
              <w:lock w:val="sdtLocked"/>
              <w:placeholder>
                <w:docPart w:val="91377C7FCC8C4608B195336E474F6B8A"/>
              </w:placeholder>
            </w:sdtPr>
            <w:sdtEndPr>
              <w:rPr>
                <w:kern w:val="0"/>
                <w:szCs w:val="24"/>
              </w:rPr>
            </w:sdtEndPr>
            <w:sdtContent>
              <w:tr w:rsidR="00D21C1F" w14:paraId="0C95B45A"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7AC39260" w14:textId="77777777" w:rsidR="00D21C1F" w:rsidRDefault="00A42880">
                    <w:pPr>
                      <w:autoSpaceDE w:val="0"/>
                      <w:autoSpaceDN w:val="0"/>
                      <w:adjustRightInd w:val="0"/>
                      <w:ind w:rightChars="40" w:right="84"/>
                      <w:rPr>
                        <w:rFonts w:ascii="Times New Roman" w:hAnsi="Times New Roman" w:cs="Times New Roman"/>
                        <w:kern w:val="2"/>
                        <w:szCs w:val="22"/>
                      </w:rPr>
                    </w:pPr>
                    <w:r>
                      <w:t>芜湖埃华路</w:t>
                    </w:r>
                  </w:p>
                </w:tc>
                <w:sdt>
                  <w:sdtPr>
                    <w:rPr>
                      <w:rFonts w:ascii="Times New Roman" w:hAnsi="Times New Roman" w:cs="Times New Roman"/>
                    </w:rPr>
                    <w:alias w:val="对子公司的担保情况明细_担保方与上市公司的关系"/>
                    <w:tag w:val="_GBC_2d5a5aa0584c4e9da937f9e5011b2686"/>
                    <w:id w:val="669373874"/>
                    <w:lock w:val="sdtLocked"/>
                    <w:placeholder>
                      <w:docPart w:val="D80F2277D28C4EC8B05D5BE451B3E87D"/>
                    </w:placeholder>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BD36EA7"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3948C739" w14:textId="77777777" w:rsidR="00D21C1F" w:rsidRDefault="00A42880">
                    <w:pPr>
                      <w:autoSpaceDE w:val="0"/>
                      <w:autoSpaceDN w:val="0"/>
                      <w:adjustRightInd w:val="0"/>
                      <w:ind w:rightChars="40" w:right="84"/>
                      <w:rPr>
                        <w:rFonts w:ascii="Times New Roman" w:hAnsi="Times New Roman" w:cs="Times New Roman"/>
                      </w:rPr>
                    </w:pPr>
                    <w:r>
                      <w:t>广东埃华路</w:t>
                    </w:r>
                  </w:p>
                </w:tc>
                <w:sdt>
                  <w:sdtPr>
                    <w:rPr>
                      <w:rFonts w:ascii="Times New Roman" w:hAnsi="Times New Roman" w:cs="Times New Roman"/>
                    </w:rPr>
                    <w:alias w:val="对子公司的担保情况明细_被担保方与上市公司的关系"/>
                    <w:tag w:val="_GBC_b4d423a38f494d1d8c78b723e7026401"/>
                    <w:id w:val="1936474634"/>
                    <w:lock w:val="sdtLocked"/>
                    <w:placeholder>
                      <w:docPart w:val="AFAB9365B57541B8B5F078A6C2FD8AFB"/>
                    </w:placeholder>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380FA54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B449140"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10,000,000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512C7"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2018/1/1</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C2E1D8F"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2018/1/1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030B272"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2021/12/31</w:t>
                    </w:r>
                  </w:p>
                </w:tc>
                <w:sdt>
                  <w:sdtPr>
                    <w:rPr>
                      <w:rFonts w:ascii="Times New Roman" w:hAnsi="Times New Roman" w:cs="Times New Roman"/>
                    </w:rPr>
                    <w:alias w:val="对子公司的担保情况明细_担保类型"/>
                    <w:tag w:val="_GBC_3446b076a39b4413a5dd382d79423ea1"/>
                    <w:id w:val="-956022077"/>
                    <w:lock w:val="sdtLocked"/>
                    <w:placeholder>
                      <w:docPart w:val="E37EF5F8ED1D4C5C84ED4E73E2F0A94B"/>
                    </w:placeholder>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73A7B6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739847582"/>
                    <w:lock w:val="sdtLocked"/>
                    <w:placeholder>
                      <w:docPart w:val="57F7A0C70450418683358BC5156540B0"/>
                    </w:placeholder>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99E17C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是</w:t>
                        </w:r>
                      </w:p>
                    </w:tc>
                  </w:sdtContent>
                </w:sdt>
                <w:sdt>
                  <w:sdtPr>
                    <w:rPr>
                      <w:rFonts w:ascii="Times New Roman" w:hAnsi="Times New Roman" w:cs="Times New Roman"/>
                    </w:rPr>
                    <w:alias w:val="对子公司的担保情况明细_担保是否逾期"/>
                    <w:tag w:val="_GBC_33ea8b36e51c47549d7f5b5ca408e922"/>
                    <w:id w:val="-345255405"/>
                    <w:lock w:val="sdtLocked"/>
                    <w:placeholder>
                      <w:docPart w:val="F03F793F8CF64A9DB51B5B8532C94310"/>
                    </w:placeholder>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1024BD0"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0233856" w14:textId="77777777" w:rsidR="00D21C1F" w:rsidRDefault="00A42880">
                    <w:pPr>
                      <w:autoSpaceDE w:val="0"/>
                      <w:autoSpaceDN w:val="0"/>
                      <w:adjustRightInd w:val="0"/>
                      <w:ind w:rightChars="40" w:right="84"/>
                      <w:rPr>
                        <w:rFonts w:ascii="Times New Roman" w:hAnsi="Times New Roman" w:cs="Times New Roman"/>
                      </w:rPr>
                    </w:pPr>
                    <w:r>
                      <w:t>0</w:t>
                    </w:r>
                  </w:p>
                </w:tc>
                <w:sdt>
                  <w:sdtPr>
                    <w:rPr>
                      <w:rFonts w:ascii="Times New Roman" w:hAnsi="Times New Roman" w:cs="Times New Roman"/>
                    </w:rPr>
                    <w:alias w:val="对子公司的担保情况明细_是否存在反担保"/>
                    <w:tag w:val="_GBC_c0219dc8a7384ec285d8f32bdb4628e9"/>
                    <w:id w:val="2127271398"/>
                    <w:lock w:val="sdtLocked"/>
                    <w:placeholder>
                      <w:docPart w:val="0BA96B03235042C1ADB8059F4A532F9D"/>
                    </w:placeholder>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423529E9"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57368682"/>
              <w:lock w:val="sdtLocked"/>
              <w:placeholder>
                <w:docPart w:val="91377C7FCC8C4608B195336E474F6B8A"/>
              </w:placeholder>
            </w:sdtPr>
            <w:sdtEndPr>
              <w:rPr>
                <w:kern w:val="0"/>
                <w:szCs w:val="24"/>
              </w:rPr>
            </w:sdtEndPr>
            <w:sdtContent>
              <w:tr w:rsidR="00D21C1F" w14:paraId="62188870"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663498F7" w14:textId="77777777" w:rsidR="00D21C1F" w:rsidRDefault="00A42880">
                    <w:pPr>
                      <w:autoSpaceDE w:val="0"/>
                      <w:autoSpaceDN w:val="0"/>
                      <w:adjustRightInd w:val="0"/>
                      <w:ind w:rightChars="40" w:right="84"/>
                      <w:rPr>
                        <w:rFonts w:ascii="Times New Roman" w:hAnsi="Times New Roman" w:cs="Times New Roman"/>
                        <w:kern w:val="2"/>
                        <w:szCs w:val="22"/>
                      </w:rPr>
                    </w:pPr>
                    <w:r>
                      <w:t>埃夫特</w:t>
                    </w:r>
                  </w:p>
                </w:tc>
                <w:sdt>
                  <w:sdtPr>
                    <w:rPr>
                      <w:rFonts w:ascii="Times New Roman" w:hAnsi="Times New Roman" w:cs="Times New Roman"/>
                    </w:rPr>
                    <w:alias w:val="对子公司的担保情况明细_担保方与上市公司的关系"/>
                    <w:tag w:val="_GBC_2d5a5aa0584c4e9da937f9e5011b2686"/>
                    <w:id w:val="1049038827"/>
                    <w:lock w:val="sdtLocked"/>
                    <w:placeholder>
                      <w:docPart w:val="D80F2277D28C4EC8B05D5BE451B3E87D"/>
                    </w:placeholder>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ADD256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60EFD86C" w14:textId="77777777" w:rsidR="00D21C1F" w:rsidRDefault="00A42880">
                    <w:pPr>
                      <w:autoSpaceDE w:val="0"/>
                      <w:autoSpaceDN w:val="0"/>
                      <w:adjustRightInd w:val="0"/>
                      <w:ind w:rightChars="40" w:right="84"/>
                      <w:rPr>
                        <w:rFonts w:ascii="Times New Roman" w:hAnsi="Times New Roman" w:cs="Times New Roman"/>
                      </w:rPr>
                    </w:pPr>
                    <w:r>
                      <w:t>芜湖希美埃</w:t>
                    </w:r>
                  </w:p>
                </w:tc>
                <w:sdt>
                  <w:sdtPr>
                    <w:rPr>
                      <w:rFonts w:ascii="Times New Roman" w:hAnsi="Times New Roman" w:cs="Times New Roman"/>
                    </w:rPr>
                    <w:alias w:val="对子公司的担保情况明细_被担保方与上市公司的关系"/>
                    <w:tag w:val="_GBC_b4d423a38f494d1d8c78b723e7026401"/>
                    <w:id w:val="-467976657"/>
                    <w:lock w:val="sdtLocked"/>
                    <w:placeholder>
                      <w:docPart w:val="AFAB9365B57541B8B5F078A6C2FD8AFB"/>
                    </w:placeholder>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C4E8D6F"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C94D23D"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1,220,000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22BD4"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2020/8/28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F682A4D"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2020/8/28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A2B8DF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2021/8/24</w:t>
                    </w:r>
                  </w:p>
                </w:tc>
                <w:sdt>
                  <w:sdtPr>
                    <w:rPr>
                      <w:rFonts w:ascii="Times New Roman" w:hAnsi="Times New Roman" w:cs="Times New Roman"/>
                    </w:rPr>
                    <w:alias w:val="对子公司的担保情况明细_担保类型"/>
                    <w:tag w:val="_GBC_3446b076a39b4413a5dd382d79423ea1"/>
                    <w:id w:val="-478379268"/>
                    <w:lock w:val="sdtLocked"/>
                    <w:placeholder>
                      <w:docPart w:val="E37EF5F8ED1D4C5C84ED4E73E2F0A94B"/>
                    </w:placeholder>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03F2D75D"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523356406"/>
                    <w:lock w:val="sdtLocked"/>
                    <w:placeholder>
                      <w:docPart w:val="57F7A0C70450418683358BC5156540B0"/>
                    </w:placeholder>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63CC3F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1258401648"/>
                    <w:lock w:val="sdtLocked"/>
                    <w:placeholder>
                      <w:docPart w:val="F03F793F8CF64A9DB51B5B8532C94310"/>
                    </w:placeholder>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436582F"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3E1D62C" w14:textId="77777777" w:rsidR="00D21C1F" w:rsidRDefault="00A42880">
                    <w:pPr>
                      <w:autoSpaceDE w:val="0"/>
                      <w:autoSpaceDN w:val="0"/>
                      <w:adjustRightInd w:val="0"/>
                      <w:ind w:rightChars="40" w:right="84"/>
                      <w:rPr>
                        <w:rFonts w:ascii="Times New Roman" w:hAnsi="Times New Roman" w:cs="Times New Roman"/>
                      </w:rPr>
                    </w:pPr>
                    <w:r>
                      <w:t>0</w:t>
                    </w:r>
                  </w:p>
                </w:tc>
                <w:sdt>
                  <w:sdtPr>
                    <w:rPr>
                      <w:rFonts w:ascii="Times New Roman" w:hAnsi="Times New Roman" w:cs="Times New Roman"/>
                    </w:rPr>
                    <w:alias w:val="对子公司的担保情况明细_是否存在反担保"/>
                    <w:tag w:val="_GBC_c0219dc8a7384ec285d8f32bdb4628e9"/>
                    <w:id w:val="-1270074429"/>
                    <w:lock w:val="sdtLocked"/>
                    <w:placeholder>
                      <w:docPart w:val="0BA96B03235042C1ADB8059F4A532F9D"/>
                    </w:placeholder>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29E21A5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877728558"/>
              <w:lock w:val="sdtLocked"/>
              <w:placeholder>
                <w:docPart w:val="91377C7FCC8C4608B195336E474F6B8A"/>
              </w:placeholder>
            </w:sdtPr>
            <w:sdtEndPr>
              <w:rPr>
                <w:kern w:val="0"/>
                <w:szCs w:val="24"/>
              </w:rPr>
            </w:sdtEndPr>
            <w:sdtContent>
              <w:tr w:rsidR="00D21C1F" w14:paraId="16111A82"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623729EB" w14:textId="77777777" w:rsidR="00D21C1F" w:rsidRDefault="00A42880">
                    <w:pPr>
                      <w:autoSpaceDE w:val="0"/>
                      <w:autoSpaceDN w:val="0"/>
                      <w:adjustRightInd w:val="0"/>
                      <w:ind w:rightChars="40" w:right="84"/>
                      <w:rPr>
                        <w:rFonts w:ascii="Times New Roman" w:hAnsi="Times New Roman" w:cs="Times New Roman"/>
                        <w:kern w:val="2"/>
                        <w:szCs w:val="22"/>
                      </w:rPr>
                    </w:pPr>
                    <w:r>
                      <w:t>埃夫特</w:t>
                    </w:r>
                  </w:p>
                </w:tc>
                <w:sdt>
                  <w:sdtPr>
                    <w:rPr>
                      <w:rFonts w:ascii="Times New Roman" w:hAnsi="Times New Roman" w:cs="Times New Roman"/>
                    </w:rPr>
                    <w:alias w:val="对子公司的担保情况明细_担保方与上市公司的关系"/>
                    <w:tag w:val="_GBC_2d5a5aa0584c4e9da937f9e5011b2686"/>
                    <w:id w:val="244228900"/>
                    <w:lock w:val="sdtLocked"/>
                    <w:placeholder>
                      <w:docPart w:val="D80F2277D28C4EC8B05D5BE451B3E87D"/>
                    </w:placeholder>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950188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10C9CC10" w14:textId="77777777" w:rsidR="00D21C1F" w:rsidRDefault="00A42880">
                    <w:pPr>
                      <w:autoSpaceDE w:val="0"/>
                      <w:autoSpaceDN w:val="0"/>
                      <w:adjustRightInd w:val="0"/>
                      <w:ind w:rightChars="40" w:right="84"/>
                      <w:rPr>
                        <w:rFonts w:ascii="Times New Roman" w:hAnsi="Times New Roman" w:cs="Times New Roman"/>
                      </w:rPr>
                    </w:pPr>
                    <w:r>
                      <w:t>芜湖希美埃</w:t>
                    </w:r>
                  </w:p>
                </w:tc>
                <w:sdt>
                  <w:sdtPr>
                    <w:rPr>
                      <w:rFonts w:ascii="Times New Roman" w:hAnsi="Times New Roman" w:cs="Times New Roman"/>
                    </w:rPr>
                    <w:alias w:val="对子公司的担保情况明细_被担保方与上市公司的关系"/>
                    <w:tag w:val="_GBC_b4d423a38f494d1d8c78b723e7026401"/>
                    <w:id w:val="-81145666"/>
                    <w:lock w:val="sdtLocked"/>
                    <w:placeholder>
                      <w:docPart w:val="AFAB9365B57541B8B5F078A6C2FD8AFB"/>
                    </w:placeholder>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28A62D3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A20B787"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5,000,000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D59C9"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2021/3/16</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ADA4025"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2021/3/16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1DBBA43"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2022/3/15</w:t>
                    </w:r>
                  </w:p>
                </w:tc>
                <w:sdt>
                  <w:sdtPr>
                    <w:rPr>
                      <w:rFonts w:ascii="Times New Roman" w:hAnsi="Times New Roman" w:cs="Times New Roman"/>
                    </w:rPr>
                    <w:alias w:val="对子公司的担保情况明细_担保类型"/>
                    <w:tag w:val="_GBC_3446b076a39b4413a5dd382d79423ea1"/>
                    <w:id w:val="1944496248"/>
                    <w:lock w:val="sdtLocked"/>
                    <w:placeholder>
                      <w:docPart w:val="E37EF5F8ED1D4C5C84ED4E73E2F0A94B"/>
                    </w:placeholder>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058568B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417128194"/>
                    <w:lock w:val="sdtLocked"/>
                    <w:placeholder>
                      <w:docPart w:val="57F7A0C70450418683358BC5156540B0"/>
                    </w:placeholder>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A0E2BA9"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446902536"/>
                    <w:lock w:val="sdtLocked"/>
                    <w:placeholder>
                      <w:docPart w:val="F03F793F8CF64A9DB51B5B8532C94310"/>
                    </w:placeholder>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CADD8AC"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45E15FF" w14:textId="77777777" w:rsidR="00D21C1F" w:rsidRDefault="00A42880">
                    <w:pPr>
                      <w:autoSpaceDE w:val="0"/>
                      <w:autoSpaceDN w:val="0"/>
                      <w:adjustRightInd w:val="0"/>
                      <w:ind w:rightChars="40" w:right="84"/>
                      <w:rPr>
                        <w:rFonts w:ascii="Times New Roman" w:hAnsi="Times New Roman" w:cs="Times New Roman"/>
                      </w:rPr>
                    </w:pPr>
                    <w:r>
                      <w:t>0</w:t>
                    </w:r>
                  </w:p>
                </w:tc>
                <w:sdt>
                  <w:sdtPr>
                    <w:rPr>
                      <w:rFonts w:ascii="Times New Roman" w:hAnsi="Times New Roman" w:cs="Times New Roman"/>
                    </w:rPr>
                    <w:alias w:val="对子公司的担保情况明细_是否存在反担保"/>
                    <w:tag w:val="_GBC_c0219dc8a7384ec285d8f32bdb4628e9"/>
                    <w:id w:val="1522434846"/>
                    <w:lock w:val="sdtLocked"/>
                    <w:placeholder>
                      <w:docPart w:val="0BA96B03235042C1ADB8059F4A532F9D"/>
                    </w:placeholder>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587EDDD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691299581"/>
              <w:lock w:val="sdtLocked"/>
              <w:placeholder>
                <w:docPart w:val="91377C7FCC8C4608B195336E474F6B8A"/>
              </w:placeholder>
            </w:sdtPr>
            <w:sdtEndPr>
              <w:rPr>
                <w:kern w:val="0"/>
                <w:szCs w:val="24"/>
              </w:rPr>
            </w:sdtEndPr>
            <w:sdtContent>
              <w:tr w:rsidR="00D21C1F" w14:paraId="3F6B2AD1"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2932B6CF" w14:textId="77777777" w:rsidR="00D21C1F" w:rsidRDefault="00A42880">
                    <w:pPr>
                      <w:autoSpaceDE w:val="0"/>
                      <w:autoSpaceDN w:val="0"/>
                      <w:adjustRightInd w:val="0"/>
                      <w:ind w:rightChars="40" w:right="84"/>
                      <w:rPr>
                        <w:rFonts w:ascii="Times New Roman" w:hAnsi="Times New Roman" w:cs="Times New Roman"/>
                        <w:kern w:val="2"/>
                        <w:szCs w:val="22"/>
                      </w:rPr>
                    </w:pPr>
                    <w:r>
                      <w:rPr>
                        <w:rFonts w:ascii="Times New Roman" w:hAnsi="Times New Roman" w:cs="Times New Roman"/>
                      </w:rPr>
                      <w:t>EVOLUT</w:t>
                    </w:r>
                  </w:p>
                </w:tc>
                <w:sdt>
                  <w:sdtPr>
                    <w:rPr>
                      <w:rFonts w:ascii="Times New Roman" w:hAnsi="Times New Roman" w:cs="Times New Roman"/>
                    </w:rPr>
                    <w:alias w:val="对子公司的担保情况明细_担保方与上市公司的关系"/>
                    <w:tag w:val="_GBC_2d5a5aa0584c4e9da937f9e5011b2686"/>
                    <w:id w:val="-1714803807"/>
                    <w:lock w:val="sdtLocked"/>
                    <w:placeholder>
                      <w:docPart w:val="D80F2277D28C4EC8B05D5BE451B3E87D"/>
                    </w:placeholder>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99BE4EA"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CA9A3F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Efort Systems</w:t>
                    </w:r>
                  </w:p>
                </w:tc>
                <w:sdt>
                  <w:sdtPr>
                    <w:rPr>
                      <w:rFonts w:ascii="Times New Roman" w:hAnsi="Times New Roman" w:cs="Times New Roman"/>
                    </w:rPr>
                    <w:alias w:val="对子公司的担保情况明细_被担保方与上市公司的关系"/>
                    <w:tag w:val="_GBC_b4d423a38f494d1d8c78b723e7026401"/>
                    <w:id w:val="276993872"/>
                    <w:lock w:val="sdtLocked"/>
                    <w:placeholder>
                      <w:docPart w:val="AFAB9365B57541B8B5F078A6C2FD8AFB"/>
                    </w:placeholder>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3036AE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52A1B82"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1,844,688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E050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2011/7/14</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6C46764"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2020/8/19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7BF2C7E"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2021/8/19</w:t>
                    </w:r>
                  </w:p>
                </w:tc>
                <w:sdt>
                  <w:sdtPr>
                    <w:rPr>
                      <w:rFonts w:ascii="Times New Roman" w:hAnsi="Times New Roman" w:cs="Times New Roman"/>
                    </w:rPr>
                    <w:alias w:val="对子公司的担保情况明细_担保类型"/>
                    <w:tag w:val="_GBC_3446b076a39b4413a5dd382d79423ea1"/>
                    <w:id w:val="979577573"/>
                    <w:lock w:val="sdtLocked"/>
                    <w:placeholder>
                      <w:docPart w:val="E37EF5F8ED1D4C5C84ED4E73E2F0A94B"/>
                    </w:placeholder>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1A83FD"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335076151"/>
                    <w:lock w:val="sdtLocked"/>
                    <w:placeholder>
                      <w:docPart w:val="57F7A0C70450418683358BC5156540B0"/>
                    </w:placeholder>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0464CD0"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2074806861"/>
                    <w:lock w:val="sdtLocked"/>
                    <w:placeholder>
                      <w:docPart w:val="F03F793F8CF64A9DB51B5B8532C94310"/>
                    </w:placeholder>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3FDA17B"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4289DF7" w14:textId="77777777" w:rsidR="00D21C1F" w:rsidRDefault="00A42880">
                    <w:pPr>
                      <w:autoSpaceDE w:val="0"/>
                      <w:autoSpaceDN w:val="0"/>
                      <w:adjustRightInd w:val="0"/>
                      <w:ind w:rightChars="40" w:right="84"/>
                      <w:rPr>
                        <w:rFonts w:ascii="Times New Roman" w:hAnsi="Times New Roman" w:cs="Times New Roman"/>
                      </w:rPr>
                    </w:pPr>
                    <w:r>
                      <w:t>0</w:t>
                    </w:r>
                  </w:p>
                </w:tc>
                <w:sdt>
                  <w:sdtPr>
                    <w:rPr>
                      <w:rFonts w:ascii="Times New Roman" w:hAnsi="Times New Roman" w:cs="Times New Roman"/>
                    </w:rPr>
                    <w:alias w:val="对子公司的担保情况明细_是否存在反担保"/>
                    <w:tag w:val="_GBC_c0219dc8a7384ec285d8f32bdb4628e9"/>
                    <w:id w:val="993761282"/>
                    <w:lock w:val="sdtLocked"/>
                    <w:placeholder>
                      <w:docPart w:val="0BA96B03235042C1ADB8059F4A532F9D"/>
                    </w:placeholder>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2540BBA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992324338"/>
              <w:lock w:val="sdtLocked"/>
              <w:placeholder>
                <w:docPart w:val="C8957A88CEBB4392A86C8BA8D20C7BFC"/>
              </w:placeholder>
            </w:sdtPr>
            <w:sdtEndPr/>
            <w:sdtContent>
              <w:tr w:rsidR="00D21C1F" w14:paraId="11C46979"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0D565C29"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456839674"/>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51A4844"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1C533B7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OLCI India</w:t>
                    </w:r>
                  </w:p>
                </w:tc>
                <w:sdt>
                  <w:sdtPr>
                    <w:rPr>
                      <w:rFonts w:ascii="Times New Roman" w:hAnsi="Times New Roman" w:cs="Times New Roman"/>
                    </w:rPr>
                    <w:alias w:val="对子公司的担保情况明细_被担保方与上市公司的关系"/>
                    <w:tag w:val="_GBC_b4d423a38f494d1d8c78b723e7026401"/>
                    <w:id w:val="-732627161"/>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01CE0C7"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EE81400"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23,058,600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41872"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2019/8/23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D3A9C16"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2019/8/23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C82ED8D"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2021/8/22</w:t>
                    </w:r>
                  </w:p>
                </w:tc>
                <w:sdt>
                  <w:sdtPr>
                    <w:rPr>
                      <w:rFonts w:ascii="Times New Roman" w:hAnsi="Times New Roman" w:cs="Times New Roman"/>
                    </w:rPr>
                    <w:alias w:val="对子公司的担保情况明细_担保类型"/>
                    <w:tag w:val="_GBC_3446b076a39b4413a5dd382d79423ea1"/>
                    <w:id w:val="-323361393"/>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5E03A4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04813657"/>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628799A"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2089729338"/>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9CDF18C"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CB8513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828364769"/>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16107E27"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875848038"/>
              <w:lock w:val="sdtLocked"/>
              <w:placeholder>
                <w:docPart w:val="C8957A88CEBB4392A86C8BA8D20C7BFC"/>
              </w:placeholder>
            </w:sdtPr>
            <w:sdtEndPr/>
            <w:sdtContent>
              <w:tr w:rsidR="00D21C1F" w14:paraId="2952DAD1"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370F0F7D"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111515460"/>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57D201A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2E965C4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OLCI India</w:t>
                    </w:r>
                  </w:p>
                </w:tc>
                <w:sdt>
                  <w:sdtPr>
                    <w:rPr>
                      <w:rFonts w:ascii="Times New Roman" w:hAnsi="Times New Roman" w:cs="Times New Roman"/>
                    </w:rPr>
                    <w:alias w:val="对子公司的担保情况明细_被担保方与上市公司的关系"/>
                    <w:tag w:val="_GBC_b4d423a38f494d1d8c78b723e7026401"/>
                    <w:id w:val="1069077760"/>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95FE0BF"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控股子公司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E3DD302"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16,141,020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D4C27A"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2020/6/17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135987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2020/6/17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027C8E7"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2023/1/16</w:t>
                    </w:r>
                  </w:p>
                </w:tc>
                <w:sdt>
                  <w:sdtPr>
                    <w:rPr>
                      <w:rFonts w:ascii="Times New Roman" w:hAnsi="Times New Roman" w:cs="Times New Roman"/>
                    </w:rPr>
                    <w:alias w:val="对子公司的担保情况明细_担保类型"/>
                    <w:tag w:val="_GBC_3446b076a39b4413a5dd382d79423ea1"/>
                    <w:id w:val="-1183199495"/>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153296C"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630534883"/>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E68F67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908231477"/>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3BC4122A"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BF9B46A"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572503716"/>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658B3A9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744019132"/>
              <w:lock w:val="sdtLocked"/>
              <w:placeholder>
                <w:docPart w:val="C8957A88CEBB4392A86C8BA8D20C7BFC"/>
              </w:placeholder>
            </w:sdtPr>
            <w:sdtEndPr/>
            <w:sdtContent>
              <w:tr w:rsidR="00D21C1F" w14:paraId="4536EEF0" w14:textId="77777777">
                <w:trPr>
                  <w:trHeight w:val="883"/>
                </w:trPr>
                <w:tc>
                  <w:tcPr>
                    <w:tcW w:w="370" w:type="pct"/>
                    <w:tcBorders>
                      <w:top w:val="single" w:sz="4" w:space="0" w:color="auto"/>
                      <w:bottom w:val="single" w:sz="4" w:space="0" w:color="auto"/>
                      <w:right w:val="single" w:sz="4" w:space="0" w:color="auto"/>
                    </w:tcBorders>
                    <w:shd w:val="clear" w:color="auto" w:fill="auto"/>
                    <w:vAlign w:val="center"/>
                  </w:tcPr>
                  <w:p w14:paraId="6AA14D5A"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2014801326"/>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921763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23C049B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 xml:space="preserve">OLCI </w:t>
                    </w:r>
                  </w:p>
                </w:tc>
                <w:sdt>
                  <w:sdtPr>
                    <w:rPr>
                      <w:rFonts w:ascii="Times New Roman" w:hAnsi="Times New Roman" w:cs="Times New Roman"/>
                    </w:rPr>
                    <w:alias w:val="对子公司的担保情况明细_被担保方与上市公司的关系"/>
                    <w:tag w:val="_GBC_b4d423a38f494d1d8c78b723e7026401"/>
                    <w:id w:val="19056611"/>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22D8940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9B379E7"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26,901,700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876F3"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2018/6/13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4DD80E8F"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2018/6/13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4B36C52"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2021/7/14</w:t>
                    </w:r>
                  </w:p>
                </w:tc>
                <w:sdt>
                  <w:sdtPr>
                    <w:rPr>
                      <w:rFonts w:ascii="Times New Roman" w:hAnsi="Times New Roman" w:cs="Times New Roman"/>
                    </w:rPr>
                    <w:alias w:val="对子公司的担保情况明细_担保类型"/>
                    <w:tag w:val="_GBC_3446b076a39b4413a5dd382d79423ea1"/>
                    <w:id w:val="-1511362135"/>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24F86F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960024943"/>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5FF9914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759212410"/>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0446A7E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5A35C3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1230299412"/>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0714D4D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760900451"/>
              <w:lock w:val="sdtLocked"/>
              <w:placeholder>
                <w:docPart w:val="C8957A88CEBB4392A86C8BA8D20C7BFC"/>
              </w:placeholder>
            </w:sdtPr>
            <w:sdtEndPr/>
            <w:sdtContent>
              <w:tr w:rsidR="00D21C1F" w14:paraId="009A724E"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6779400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979148533"/>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19B553E"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2F22048A"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Efort Systems</w:t>
                    </w:r>
                  </w:p>
                </w:tc>
                <w:sdt>
                  <w:sdtPr>
                    <w:rPr>
                      <w:rFonts w:ascii="Times New Roman" w:hAnsi="Times New Roman" w:cs="Times New Roman"/>
                    </w:rPr>
                    <w:alias w:val="对子公司的担保情况明细_被担保方与上市公司的关系"/>
                    <w:tag w:val="_GBC_b4d423a38f494d1d8c78b723e7026401"/>
                    <w:id w:val="1140540216"/>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14F3E1"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9DCDF1A"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1,844,688</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78C2F"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2021/5/28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479D991"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2021/5/28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19C5822"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2022/3/31</w:t>
                    </w:r>
                  </w:p>
                </w:tc>
                <w:sdt>
                  <w:sdtPr>
                    <w:rPr>
                      <w:rFonts w:ascii="Times New Roman" w:hAnsi="Times New Roman" w:cs="Times New Roman"/>
                    </w:rPr>
                    <w:alias w:val="对子公司的担保情况明细_担保类型"/>
                    <w:tag w:val="_GBC_3446b076a39b4413a5dd382d79423ea1"/>
                    <w:id w:val="-1361763"/>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05EDDCA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584494249"/>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135E2E2"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1169208013"/>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B4DBC23"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503761DB"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1146045527"/>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77B1F1E9"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sdt>
            <w:sdtPr>
              <w:rPr>
                <w:rFonts w:ascii="Times New Roman" w:hAnsi="Times New Roman" w:cs="Times New Roman"/>
                <w:kern w:val="2"/>
                <w:szCs w:val="22"/>
              </w:rPr>
              <w:alias w:val="对子公司的担保情况明细"/>
              <w:tag w:val="_TUP_52e811cb30bd4aa2b339be1a52705c24"/>
              <w:id w:val="-1502266719"/>
              <w:lock w:val="sdtLocked"/>
              <w:placeholder>
                <w:docPart w:val="C8957A88CEBB4392A86C8BA8D20C7BFC"/>
              </w:placeholder>
            </w:sdtPr>
            <w:sdtEndPr/>
            <w:sdtContent>
              <w:tr w:rsidR="00D21C1F" w14:paraId="75579F90" w14:textId="77777777">
                <w:trPr>
                  <w:trHeight w:val="308"/>
                </w:trPr>
                <w:tc>
                  <w:tcPr>
                    <w:tcW w:w="370" w:type="pct"/>
                    <w:tcBorders>
                      <w:top w:val="single" w:sz="4" w:space="0" w:color="auto"/>
                      <w:bottom w:val="single" w:sz="4" w:space="0" w:color="auto"/>
                      <w:right w:val="single" w:sz="4" w:space="0" w:color="auto"/>
                    </w:tcBorders>
                    <w:shd w:val="clear" w:color="auto" w:fill="auto"/>
                    <w:vAlign w:val="center"/>
                  </w:tcPr>
                  <w:p w14:paraId="401FDB26"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埃夫特</w:t>
                    </w:r>
                  </w:p>
                </w:tc>
                <w:sdt>
                  <w:sdtPr>
                    <w:rPr>
                      <w:rFonts w:ascii="Times New Roman" w:hAnsi="Times New Roman" w:cs="Times New Roman"/>
                    </w:rPr>
                    <w:alias w:val="对子公司的担保情况明细_担保方与上市公司的关系"/>
                    <w:tag w:val="_GBC_2d5a5aa0584c4e9da937f9e5011b2686"/>
                    <w:id w:val="1490826619"/>
                    <w:lock w:val="sdtLocked"/>
                    <w:comboBox>
                      <w:listItem w:displayText="公司本部" w:value="公司本部"/>
                      <w:listItem w:displayText="控股子公司" w:value="控股子公司"/>
                      <w:listItem w:displayText="全资子公司" w:value="全资子公司"/>
                    </w:comboBox>
                  </w:sdtPr>
                  <w:sdtEnd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1271F3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公司本部</w:t>
                        </w:r>
                      </w:p>
                    </w:tc>
                  </w:sdtContent>
                </w:sd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74E5612F"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芜湖埃华路</w:t>
                    </w:r>
                  </w:p>
                </w:tc>
                <w:sdt>
                  <w:sdtPr>
                    <w:rPr>
                      <w:rFonts w:ascii="Times New Roman" w:hAnsi="Times New Roman" w:cs="Times New Roman"/>
                    </w:rPr>
                    <w:alias w:val="对子公司的担保情况明细_被担保方与上市公司的关系"/>
                    <w:tag w:val="_GBC_b4d423a38f494d1d8c78b723e7026401"/>
                    <w:id w:val="-20241222"/>
                    <w:lock w:val="sdtLocked"/>
                    <w:comboBox>
                      <w:listItem w:displayText="控股子公司" w:value="控股子公司"/>
                      <w:listItem w:displayText="全资子公司" w:value="全资子公司"/>
                    </w:comboBox>
                  </w:sdtPr>
                  <w:sdtEnd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ECE50F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全资子公司</w:t>
                        </w:r>
                      </w:p>
                    </w:tc>
                  </w:sdtContent>
                </w:sd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C050E89"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1,920,700</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0B92CF"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2020/12/9</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C0BDE8C"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2020/12/9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E65886A" w14:textId="77777777" w:rsidR="00D21C1F" w:rsidRDefault="00A42880">
                    <w:pPr>
                      <w:autoSpaceDE w:val="0"/>
                      <w:autoSpaceDN w:val="0"/>
                      <w:adjustRightInd w:val="0"/>
                      <w:ind w:rightChars="40" w:right="84"/>
                      <w:jc w:val="right"/>
                      <w:rPr>
                        <w:rFonts w:ascii="Times New Roman" w:hAnsi="Times New Roman" w:cs="Times New Roman"/>
                      </w:rPr>
                    </w:pPr>
                    <w:r>
                      <w:rPr>
                        <w:rFonts w:ascii="Times New Roman" w:hAnsi="Times New Roman" w:cs="Times New Roman"/>
                      </w:rPr>
                      <w:t>2022/2/28</w:t>
                    </w:r>
                  </w:p>
                </w:tc>
                <w:sdt>
                  <w:sdtPr>
                    <w:rPr>
                      <w:rFonts w:ascii="Times New Roman" w:hAnsi="Times New Roman" w:cs="Times New Roman"/>
                    </w:rPr>
                    <w:alias w:val="对子公司的担保情况明细_担保类型"/>
                    <w:tag w:val="_GBC_3446b076a39b4413a5dd382d79423ea1"/>
                    <w:id w:val="805133174"/>
                    <w:lock w:val="sdtLocked"/>
                    <w:comboBox>
                      <w:listItem w:displayText="一般担保" w:value="一般担保"/>
                      <w:listItem w:displayText="连带责任担保" w:value="连带责任担保"/>
                    </w:comboBox>
                  </w:sdtPr>
                  <w:sdtEndPr/>
                  <w:sdtContent>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82EFF2F"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连带责任担保</w:t>
                        </w:r>
                      </w:p>
                    </w:tc>
                  </w:sdtContent>
                </w:sdt>
                <w:sdt>
                  <w:sdtPr>
                    <w:rPr>
                      <w:rFonts w:ascii="Times New Roman" w:hAnsi="Times New Roman" w:cs="Times New Roman"/>
                    </w:rPr>
                    <w:alias w:val="对子公司的担保情况明细_担保是否已经履行完毕"/>
                    <w:tag w:val="_GBC_28e7f50d6bbb455aa9b7ca298187d59f"/>
                    <w:id w:val="101547120"/>
                    <w:lock w:val="sdtLocked"/>
                    <w:comboBox>
                      <w:listItem w:displayText="是" w:value="是"/>
                      <w:listItem w:displayText="否" w:value="否"/>
                    </w:comboBox>
                  </w:sdtPr>
                  <w:sdtEnd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E007C25"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sdt>
                  <w:sdtPr>
                    <w:rPr>
                      <w:rFonts w:ascii="Times New Roman" w:hAnsi="Times New Roman" w:cs="Times New Roman"/>
                    </w:rPr>
                    <w:alias w:val="对子公司的担保情况明细_担保是否逾期"/>
                    <w:tag w:val="_GBC_33ea8b36e51c47549d7f5b5ca408e922"/>
                    <w:id w:val="1082719207"/>
                    <w:lock w:val="sdtLocked"/>
                    <w:comboBox>
                      <w:listItem w:displayText="是" w:value="是"/>
                      <w:listItem w:displayText="否" w:value="否"/>
                    </w:comboBox>
                  </w:sdtPr>
                  <w:sdtEndPr/>
                  <w:sdtContent>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3A7A1FB"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0FE14D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0</w:t>
                    </w:r>
                  </w:p>
                </w:tc>
                <w:sdt>
                  <w:sdtPr>
                    <w:rPr>
                      <w:rFonts w:ascii="Times New Roman" w:hAnsi="Times New Roman" w:cs="Times New Roman"/>
                    </w:rPr>
                    <w:alias w:val="对子公司的担保情况明细_是否存在反担保"/>
                    <w:tag w:val="_GBC_c0219dc8a7384ec285d8f32bdb4628e9"/>
                    <w:id w:val="1031694106"/>
                    <w:lock w:val="sdtLocked"/>
                    <w:comboBox>
                      <w:listItem w:displayText="是" w:value="是"/>
                      <w:listItem w:displayText="否" w:value="否"/>
                    </w:comboBox>
                  </w:sdtPr>
                  <w:sdtEndPr/>
                  <w:sdtContent>
                    <w:tc>
                      <w:tcPr>
                        <w:tcW w:w="373" w:type="pct"/>
                        <w:tcBorders>
                          <w:top w:val="single" w:sz="4" w:space="0" w:color="auto"/>
                          <w:left w:val="single" w:sz="4" w:space="0" w:color="auto"/>
                          <w:bottom w:val="single" w:sz="4" w:space="0" w:color="auto"/>
                        </w:tcBorders>
                        <w:shd w:val="clear" w:color="auto" w:fill="auto"/>
                        <w:vAlign w:val="center"/>
                      </w:tcPr>
                      <w:p w14:paraId="2E726348" w14:textId="77777777" w:rsidR="00D21C1F" w:rsidRDefault="00A42880">
                        <w:pPr>
                          <w:autoSpaceDE w:val="0"/>
                          <w:autoSpaceDN w:val="0"/>
                          <w:adjustRightInd w:val="0"/>
                          <w:ind w:rightChars="40" w:right="84"/>
                          <w:rPr>
                            <w:rFonts w:ascii="Times New Roman" w:hAnsi="Times New Roman" w:cs="Times New Roman"/>
                          </w:rPr>
                        </w:pPr>
                        <w:r>
                          <w:rPr>
                            <w:rFonts w:ascii="Times New Roman" w:hAnsi="Times New Roman" w:cs="Times New Roman"/>
                          </w:rPr>
                          <w:t>否</w:t>
                        </w:r>
                      </w:p>
                    </w:tc>
                  </w:sdtContent>
                </w:sdt>
              </w:tr>
            </w:sdtContent>
          </w:sdt>
          <w:tr w:rsidR="00D21C1F" w14:paraId="2E9364F9" w14:textId="77777777">
            <w:trPr>
              <w:trHeight w:val="308"/>
            </w:trPr>
            <w:sdt>
              <w:sdtPr>
                <w:rPr>
                  <w:rFonts w:ascii="Times New Roman" w:hAnsi="Times New Roman" w:cs="Times New Roman"/>
                </w:rPr>
                <w:tag w:val="_PLD_14ba346bf37c4b8387e0a6b08f2e545f"/>
                <w:id w:val="-2058002184"/>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3D915DEC" w14:textId="77777777" w:rsidR="00D21C1F" w:rsidRDefault="00A42880">
                    <w:pPr>
                      <w:autoSpaceDE w:val="0"/>
                      <w:autoSpaceDN w:val="0"/>
                      <w:adjustRightInd w:val="0"/>
                      <w:ind w:rightChars="40" w:right="84"/>
                      <w:rPr>
                        <w:rFonts w:ascii="Times New Roman" w:hAnsi="Times New Roman" w:cs="Times New Roman"/>
                        <w:color w:val="FF0000"/>
                        <w:szCs w:val="21"/>
                      </w:rPr>
                    </w:pPr>
                    <w:r>
                      <w:rPr>
                        <w:rFonts w:ascii="Times New Roman" w:hAnsi="Times New Roman" w:cs="Times New Roman"/>
                        <w:szCs w:val="21"/>
                      </w:rPr>
                      <w:t>报告期内对子公司担保发生额合计</w:t>
                    </w:r>
                  </w:p>
                </w:tc>
              </w:sdtContent>
            </w:sdt>
            <w:tc>
              <w:tcPr>
                <w:tcW w:w="2837" w:type="pct"/>
                <w:gridSpan w:val="8"/>
                <w:tcBorders>
                  <w:top w:val="single" w:sz="4" w:space="0" w:color="auto"/>
                  <w:left w:val="single" w:sz="4" w:space="0" w:color="auto"/>
                  <w:bottom w:val="single" w:sz="4" w:space="0" w:color="auto"/>
                </w:tcBorders>
                <w:shd w:val="clear" w:color="auto" w:fill="auto"/>
              </w:tcPr>
              <w:p w14:paraId="0CCCF9AF" w14:textId="77777777" w:rsidR="00D21C1F" w:rsidRDefault="00A42880">
                <w:pPr>
                  <w:ind w:rightChars="40" w:right="84"/>
                  <w:jc w:val="right"/>
                  <w:rPr>
                    <w:rFonts w:ascii="Times New Roman" w:hAnsi="Times New Roman" w:cs="Times New Roman"/>
                    <w:szCs w:val="21"/>
                  </w:rPr>
                </w:pPr>
                <w:r>
                  <w:rPr>
                    <w:rFonts w:ascii="Times New Roman" w:hAnsi="Times New Roman" w:cs="Times New Roman"/>
                    <w:szCs w:val="21"/>
                  </w:rPr>
                  <w:t>6,844,688</w:t>
                </w:r>
              </w:p>
            </w:tc>
          </w:tr>
          <w:tr w:rsidR="00D21C1F" w14:paraId="50FF85C3" w14:textId="77777777">
            <w:trPr>
              <w:trHeight w:val="308"/>
            </w:trPr>
            <w:sdt>
              <w:sdtPr>
                <w:rPr>
                  <w:rFonts w:ascii="Times New Roman" w:hAnsi="Times New Roman" w:cs="Times New Roman"/>
                </w:rPr>
                <w:tag w:val="_PLD_fe9e30f85db9415da882d85d81827939"/>
                <w:id w:val="1590510602"/>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67957959" w14:textId="77777777" w:rsidR="00D21C1F" w:rsidRDefault="00A42880">
                    <w:pPr>
                      <w:autoSpaceDE w:val="0"/>
                      <w:autoSpaceDN w:val="0"/>
                      <w:adjustRightInd w:val="0"/>
                      <w:ind w:rightChars="40" w:right="84"/>
                      <w:rPr>
                        <w:rFonts w:ascii="Times New Roman" w:hAnsi="Times New Roman" w:cs="Times New Roman"/>
                        <w:color w:val="FF0000"/>
                        <w:szCs w:val="21"/>
                      </w:rPr>
                    </w:pPr>
                    <w:r>
                      <w:rPr>
                        <w:rFonts w:ascii="Times New Roman" w:hAnsi="Times New Roman" w:cs="Times New Roman"/>
                        <w:szCs w:val="21"/>
                      </w:rPr>
                      <w:t>报告期末对子公司担保余额合计（</w:t>
                    </w:r>
                    <w:r>
                      <w:rPr>
                        <w:rFonts w:ascii="Times New Roman" w:hAnsi="Times New Roman" w:cs="Times New Roman"/>
                        <w:szCs w:val="21"/>
                      </w:rPr>
                      <w:t>B</w:t>
                    </w:r>
                    <w:r>
                      <w:rPr>
                        <w:rFonts w:ascii="Times New Roman" w:hAnsi="Times New Roman" w:cs="Times New Roman"/>
                        <w:szCs w:val="21"/>
                      </w:rPr>
                      <w:t>）</w:t>
                    </w:r>
                  </w:p>
                </w:tc>
              </w:sdtContent>
            </w:sdt>
            <w:tc>
              <w:tcPr>
                <w:tcW w:w="2837" w:type="pct"/>
                <w:gridSpan w:val="8"/>
                <w:tcBorders>
                  <w:top w:val="single" w:sz="4" w:space="0" w:color="auto"/>
                  <w:left w:val="single" w:sz="4" w:space="0" w:color="auto"/>
                  <w:bottom w:val="single" w:sz="4" w:space="0" w:color="auto"/>
                </w:tcBorders>
                <w:shd w:val="clear" w:color="auto" w:fill="auto"/>
              </w:tcPr>
              <w:p w14:paraId="6C5D43D0" w14:textId="77777777" w:rsidR="00D21C1F" w:rsidRDefault="00A42880">
                <w:pPr>
                  <w:tabs>
                    <w:tab w:val="center" w:pos="2466"/>
                    <w:tab w:val="right" w:pos="4932"/>
                  </w:tabs>
                  <w:autoSpaceDE w:val="0"/>
                  <w:autoSpaceDN w:val="0"/>
                  <w:adjustRightInd w:val="0"/>
                  <w:ind w:rightChars="40" w:right="84"/>
                  <w:jc w:val="right"/>
                  <w:rPr>
                    <w:rFonts w:ascii="Times New Roman" w:hAnsi="Times New Roman" w:cs="Times New Roman"/>
                    <w:szCs w:val="21"/>
                  </w:rPr>
                </w:pPr>
                <w:r>
                  <w:rPr>
                    <w:rFonts w:ascii="Times New Roman" w:hAnsi="Times New Roman" w:cs="Times New Roman"/>
                    <w:szCs w:val="21"/>
                  </w:rPr>
                  <w:t>77,931,396</w:t>
                </w:r>
              </w:p>
            </w:tc>
          </w:tr>
          <w:tr w:rsidR="00D21C1F" w14:paraId="313C5843" w14:textId="77777777">
            <w:trPr>
              <w:trHeight w:val="308"/>
            </w:trPr>
            <w:sdt>
              <w:sdtPr>
                <w:rPr>
                  <w:rFonts w:ascii="Times New Roman" w:hAnsi="Times New Roman" w:cs="Times New Roman"/>
                </w:rPr>
                <w:tag w:val="_PLD_cd47a5313c6e4cecab53268dd86f95d2"/>
                <w:id w:val="-1770077770"/>
                <w:lock w:val="sdtLocked"/>
              </w:sdtPr>
              <w:sdtEndPr/>
              <w:sdtContent>
                <w:tc>
                  <w:tcPr>
                    <w:tcW w:w="5000" w:type="pct"/>
                    <w:gridSpan w:val="14"/>
                    <w:tcBorders>
                      <w:top w:val="single" w:sz="4" w:space="0" w:color="auto"/>
                      <w:bottom w:val="single" w:sz="4" w:space="0" w:color="auto"/>
                    </w:tcBorders>
                    <w:shd w:val="clear" w:color="auto" w:fill="auto"/>
                    <w:vAlign w:val="center"/>
                  </w:tcPr>
                  <w:p w14:paraId="75BB65C6" w14:textId="77777777" w:rsidR="00D21C1F" w:rsidRDefault="00A42880">
                    <w:pPr>
                      <w:autoSpaceDE w:val="0"/>
                      <w:autoSpaceDN w:val="0"/>
                      <w:adjustRightInd w:val="0"/>
                      <w:ind w:rightChars="40" w:right="84"/>
                      <w:jc w:val="center"/>
                      <w:rPr>
                        <w:rFonts w:ascii="Times New Roman" w:hAnsi="Times New Roman" w:cs="Times New Roman"/>
                        <w:szCs w:val="21"/>
                      </w:rPr>
                    </w:pPr>
                    <w:r>
                      <w:rPr>
                        <w:rFonts w:ascii="Times New Roman" w:hAnsi="Times New Roman" w:cs="Times New Roman"/>
                        <w:szCs w:val="21"/>
                      </w:rPr>
                      <w:t>公司担保总额情况（包括对子公司的担保）</w:t>
                    </w:r>
                  </w:p>
                </w:tc>
              </w:sdtContent>
            </w:sdt>
          </w:tr>
          <w:tr w:rsidR="00D21C1F" w14:paraId="56501404" w14:textId="77777777">
            <w:trPr>
              <w:trHeight w:val="470"/>
            </w:trPr>
            <w:sdt>
              <w:sdtPr>
                <w:rPr>
                  <w:rFonts w:ascii="Times New Roman" w:hAnsi="Times New Roman" w:cs="Times New Roman"/>
                </w:rPr>
                <w:tag w:val="_PLD_a418f9b62f9a4cebaa0e458b645e83b4"/>
                <w:id w:val="-727458232"/>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7312DB94" w14:textId="77777777" w:rsidR="00D21C1F" w:rsidRDefault="00A42880">
                    <w:pPr>
                      <w:autoSpaceDE w:val="0"/>
                      <w:autoSpaceDN w:val="0"/>
                      <w:adjustRightInd w:val="0"/>
                      <w:ind w:rightChars="40" w:right="84"/>
                      <w:rPr>
                        <w:rFonts w:ascii="Times New Roman" w:hAnsi="Times New Roman" w:cs="Times New Roman"/>
                        <w:szCs w:val="21"/>
                      </w:rPr>
                    </w:pPr>
                    <w:r>
                      <w:rPr>
                        <w:rFonts w:ascii="Times New Roman" w:hAnsi="Times New Roman" w:cs="Times New Roman"/>
                        <w:szCs w:val="21"/>
                      </w:rPr>
                      <w:t>担保总额（</w:t>
                    </w:r>
                    <w:r>
                      <w:rPr>
                        <w:rFonts w:ascii="Times New Roman" w:hAnsi="Times New Roman" w:cs="Times New Roman"/>
                        <w:szCs w:val="21"/>
                      </w:rPr>
                      <w:t>A+B</w:t>
                    </w:r>
                    <w:r>
                      <w:rPr>
                        <w:rFonts w:ascii="Times New Roman" w:hAnsi="Times New Roman" w:cs="Times New Roman"/>
                        <w:szCs w:val="21"/>
                      </w:rPr>
                      <w:t>）</w:t>
                    </w:r>
                  </w:p>
                </w:tc>
              </w:sdtContent>
            </w:sdt>
            <w:tc>
              <w:tcPr>
                <w:tcW w:w="2837" w:type="pct"/>
                <w:gridSpan w:val="8"/>
                <w:tcBorders>
                  <w:top w:val="single" w:sz="4" w:space="0" w:color="auto"/>
                  <w:left w:val="single" w:sz="4" w:space="0" w:color="auto"/>
                  <w:bottom w:val="single" w:sz="4" w:space="0" w:color="auto"/>
                </w:tcBorders>
                <w:shd w:val="clear" w:color="auto" w:fill="auto"/>
              </w:tcPr>
              <w:p w14:paraId="357EA36B" w14:textId="77777777" w:rsidR="00D21C1F" w:rsidRDefault="00A42880">
                <w:pPr>
                  <w:autoSpaceDE w:val="0"/>
                  <w:autoSpaceDN w:val="0"/>
                  <w:adjustRightInd w:val="0"/>
                  <w:ind w:rightChars="40" w:right="84"/>
                  <w:jc w:val="right"/>
                  <w:rPr>
                    <w:rFonts w:ascii="Times New Roman" w:hAnsi="Times New Roman" w:cs="Times New Roman"/>
                    <w:szCs w:val="21"/>
                  </w:rPr>
                </w:pPr>
                <w:r>
                  <w:rPr>
                    <w:rFonts w:ascii="Times New Roman" w:hAnsi="Times New Roman" w:cs="Times New Roman"/>
                    <w:szCs w:val="21"/>
                  </w:rPr>
                  <w:t>77,931,396</w:t>
                </w:r>
              </w:p>
            </w:tc>
          </w:tr>
          <w:tr w:rsidR="00D21C1F" w14:paraId="582E1CBE" w14:textId="77777777">
            <w:trPr>
              <w:trHeight w:val="308"/>
            </w:trPr>
            <w:sdt>
              <w:sdtPr>
                <w:rPr>
                  <w:rFonts w:ascii="Times New Roman" w:hAnsi="Times New Roman" w:cs="Times New Roman"/>
                </w:rPr>
                <w:tag w:val="_PLD_1f6320f0790b42d9b6466f8738d76b91"/>
                <w:id w:val="-934198466"/>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591CB69E" w14:textId="77777777" w:rsidR="00D21C1F" w:rsidRDefault="00A42880">
                    <w:pPr>
                      <w:autoSpaceDE w:val="0"/>
                      <w:autoSpaceDN w:val="0"/>
                      <w:adjustRightInd w:val="0"/>
                      <w:ind w:rightChars="40" w:right="84"/>
                      <w:rPr>
                        <w:rFonts w:ascii="Times New Roman" w:hAnsi="Times New Roman" w:cs="Times New Roman"/>
                        <w:szCs w:val="21"/>
                      </w:rPr>
                    </w:pPr>
                    <w:r>
                      <w:rPr>
                        <w:rFonts w:ascii="Times New Roman" w:hAnsi="Times New Roman" w:cs="Times New Roman"/>
                        <w:szCs w:val="21"/>
                      </w:rPr>
                      <w:t>担保总额占公司净资产的比例</w:t>
                    </w:r>
                    <w:r>
                      <w:rPr>
                        <w:rFonts w:ascii="Times New Roman" w:hAnsi="Times New Roman" w:cs="Times New Roman"/>
                        <w:szCs w:val="21"/>
                      </w:rPr>
                      <w:t>(%)</w:t>
                    </w:r>
                  </w:p>
                </w:tc>
              </w:sdtContent>
            </w:sdt>
            <w:tc>
              <w:tcPr>
                <w:tcW w:w="2837" w:type="pct"/>
                <w:gridSpan w:val="8"/>
                <w:tcBorders>
                  <w:top w:val="single" w:sz="4" w:space="0" w:color="auto"/>
                  <w:left w:val="single" w:sz="4" w:space="0" w:color="auto"/>
                  <w:bottom w:val="single" w:sz="4" w:space="0" w:color="auto"/>
                </w:tcBorders>
                <w:shd w:val="clear" w:color="auto" w:fill="auto"/>
              </w:tcPr>
              <w:p w14:paraId="3D96AB15" w14:textId="77777777" w:rsidR="00D21C1F" w:rsidRDefault="00A42880">
                <w:pPr>
                  <w:autoSpaceDE w:val="0"/>
                  <w:autoSpaceDN w:val="0"/>
                  <w:adjustRightInd w:val="0"/>
                  <w:ind w:rightChars="40" w:right="84"/>
                  <w:jc w:val="right"/>
                  <w:rPr>
                    <w:rFonts w:ascii="Times New Roman" w:hAnsi="Times New Roman" w:cs="Times New Roman"/>
                    <w:szCs w:val="21"/>
                  </w:rPr>
                </w:pPr>
                <w:r>
                  <w:rPr>
                    <w:rFonts w:ascii="Times New Roman" w:hAnsi="Times New Roman" w:cs="Times New Roman"/>
                    <w:szCs w:val="21"/>
                  </w:rPr>
                  <w:t>3.80</w:t>
                </w:r>
              </w:p>
            </w:tc>
          </w:tr>
          <w:tr w:rsidR="00D21C1F" w14:paraId="49BD8D9B" w14:textId="77777777">
            <w:trPr>
              <w:trHeight w:val="308"/>
            </w:trPr>
            <w:sdt>
              <w:sdtPr>
                <w:tag w:val="_PLD_6fed864b6a9842f1b5947276f58c0f65"/>
                <w:id w:val="8649927"/>
                <w:lock w:val="sdtLocked"/>
              </w:sdtPr>
              <w:sdtEndPr/>
              <w:sdtContent>
                <w:tc>
                  <w:tcPr>
                    <w:tcW w:w="5000" w:type="pct"/>
                    <w:gridSpan w:val="14"/>
                    <w:tcBorders>
                      <w:top w:val="single" w:sz="4" w:space="0" w:color="auto"/>
                      <w:bottom w:val="single" w:sz="4" w:space="0" w:color="auto"/>
                    </w:tcBorders>
                    <w:shd w:val="clear" w:color="auto" w:fill="auto"/>
                  </w:tcPr>
                  <w:p w14:paraId="7C11963D" w14:textId="77777777" w:rsidR="00D21C1F" w:rsidRDefault="00A42880">
                    <w:pPr>
                      <w:pStyle w:val="ab"/>
                      <w:autoSpaceDE w:val="0"/>
                      <w:autoSpaceDN w:val="0"/>
                      <w:adjustRightInd w:val="0"/>
                      <w:ind w:rightChars="40" w:right="84"/>
                    </w:pPr>
                    <w:r>
                      <w:t>其中：</w:t>
                    </w:r>
                  </w:p>
                </w:tc>
              </w:sdtContent>
            </w:sdt>
          </w:tr>
          <w:tr w:rsidR="00D21C1F" w14:paraId="675B1B08" w14:textId="77777777">
            <w:trPr>
              <w:trHeight w:val="308"/>
            </w:trPr>
            <w:sdt>
              <w:sdtPr>
                <w:rPr>
                  <w:rFonts w:ascii="Times New Roman" w:hAnsi="Times New Roman" w:cs="Times New Roman"/>
                </w:rPr>
                <w:tag w:val="_PLD_d4481733a6b043999a4156038614e911"/>
                <w:id w:val="-637809033"/>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07EE5F6F" w14:textId="77777777" w:rsidR="00D21C1F" w:rsidRDefault="00A42880">
                    <w:pPr>
                      <w:autoSpaceDE w:val="0"/>
                      <w:autoSpaceDN w:val="0"/>
                      <w:adjustRightInd w:val="0"/>
                      <w:rPr>
                        <w:rFonts w:ascii="Times New Roman" w:hAnsi="Times New Roman" w:cs="Times New Roman"/>
                        <w:szCs w:val="21"/>
                      </w:rPr>
                    </w:pPr>
                    <w:r>
                      <w:rPr>
                        <w:rFonts w:ascii="Times New Roman" w:hAnsi="Times New Roman" w:cs="Times New Roman"/>
                        <w:szCs w:val="21"/>
                      </w:rPr>
                      <w:t>为股东、实际控制人及其关联方提供担保的金额（</w:t>
                    </w:r>
                    <w:r>
                      <w:rPr>
                        <w:rFonts w:ascii="Times New Roman" w:hAnsi="Times New Roman" w:cs="Times New Roman"/>
                        <w:szCs w:val="21"/>
                      </w:rPr>
                      <w:t>C</w:t>
                    </w:r>
                    <w:r>
                      <w:rPr>
                        <w:rFonts w:ascii="Times New Roman" w:hAnsi="Times New Roman" w:cs="Times New Roman"/>
                        <w:szCs w:val="21"/>
                      </w:rPr>
                      <w:t>）</w:t>
                    </w:r>
                  </w:p>
                </w:tc>
              </w:sdtContent>
            </w:sdt>
            <w:tc>
              <w:tcPr>
                <w:tcW w:w="2837" w:type="pct"/>
                <w:gridSpan w:val="8"/>
                <w:tcBorders>
                  <w:top w:val="single" w:sz="4" w:space="0" w:color="auto"/>
                  <w:left w:val="single" w:sz="4" w:space="0" w:color="auto"/>
                  <w:bottom w:val="single" w:sz="4" w:space="0" w:color="auto"/>
                </w:tcBorders>
                <w:shd w:val="clear" w:color="auto" w:fill="auto"/>
              </w:tcPr>
              <w:p w14:paraId="5ECFDCEB" w14:textId="77777777" w:rsidR="00D21C1F" w:rsidRDefault="00A42880">
                <w:pPr>
                  <w:ind w:rightChars="40" w:right="84"/>
                  <w:jc w:val="right"/>
                  <w:rPr>
                    <w:rFonts w:ascii="Times New Roman" w:hAnsi="Times New Roman" w:cs="Times New Roman"/>
                    <w:szCs w:val="21"/>
                  </w:rPr>
                </w:pPr>
                <w:r>
                  <w:rPr>
                    <w:rFonts w:ascii="Times New Roman" w:hAnsi="Times New Roman" w:cs="Times New Roman"/>
                    <w:szCs w:val="21"/>
                  </w:rPr>
                  <w:t>0</w:t>
                </w:r>
              </w:p>
            </w:tc>
          </w:tr>
          <w:tr w:rsidR="00D21C1F" w14:paraId="4CED0E5B" w14:textId="77777777">
            <w:trPr>
              <w:trHeight w:val="308"/>
            </w:trPr>
            <w:sdt>
              <w:sdtPr>
                <w:rPr>
                  <w:rFonts w:ascii="Times New Roman" w:hAnsi="Times New Roman" w:cs="Times New Roman"/>
                </w:rPr>
                <w:tag w:val="_PLD_74c5df89ce4a4081a781b3e01f45c761"/>
                <w:id w:val="444206651"/>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2D28DED2" w14:textId="77777777" w:rsidR="00D21C1F" w:rsidRDefault="00A42880">
                    <w:pPr>
                      <w:autoSpaceDE w:val="0"/>
                      <w:autoSpaceDN w:val="0"/>
                      <w:adjustRightInd w:val="0"/>
                      <w:rPr>
                        <w:rFonts w:ascii="Times New Roman" w:hAnsi="Times New Roman" w:cs="Times New Roman"/>
                        <w:szCs w:val="21"/>
                      </w:rPr>
                    </w:pPr>
                    <w:r>
                      <w:rPr>
                        <w:rFonts w:ascii="Times New Roman" w:hAnsi="Times New Roman" w:cs="Times New Roman"/>
                        <w:szCs w:val="21"/>
                      </w:rPr>
                      <w:t>直接或间接为资产负债率超过</w:t>
                    </w:r>
                    <w:r>
                      <w:rPr>
                        <w:rFonts w:ascii="Times New Roman" w:hAnsi="Times New Roman" w:cs="Times New Roman"/>
                        <w:szCs w:val="21"/>
                      </w:rPr>
                      <w:t>70%</w:t>
                    </w:r>
                    <w:r>
                      <w:rPr>
                        <w:rFonts w:ascii="Times New Roman" w:hAnsi="Times New Roman" w:cs="Times New Roman"/>
                        <w:szCs w:val="21"/>
                      </w:rPr>
                      <w:t>的被担保对象提供的债务担保金额（</w:t>
                    </w:r>
                    <w:r>
                      <w:rPr>
                        <w:rFonts w:ascii="Times New Roman" w:hAnsi="Times New Roman" w:cs="Times New Roman"/>
                        <w:szCs w:val="21"/>
                      </w:rPr>
                      <w:t>D</w:t>
                    </w:r>
                    <w:r>
                      <w:rPr>
                        <w:rFonts w:ascii="Times New Roman" w:hAnsi="Times New Roman" w:cs="Times New Roman"/>
                        <w:szCs w:val="21"/>
                      </w:rPr>
                      <w:t>）</w:t>
                    </w:r>
                  </w:p>
                </w:tc>
              </w:sdtContent>
            </w:sdt>
            <w:tc>
              <w:tcPr>
                <w:tcW w:w="2837" w:type="pct"/>
                <w:gridSpan w:val="8"/>
                <w:tcBorders>
                  <w:top w:val="single" w:sz="4" w:space="0" w:color="auto"/>
                  <w:left w:val="single" w:sz="4" w:space="0" w:color="auto"/>
                  <w:bottom w:val="single" w:sz="4" w:space="0" w:color="auto"/>
                </w:tcBorders>
                <w:shd w:val="clear" w:color="auto" w:fill="auto"/>
              </w:tcPr>
              <w:p w14:paraId="13F8DAC2" w14:textId="77777777" w:rsidR="00D21C1F" w:rsidRDefault="00A42880">
                <w:pPr>
                  <w:autoSpaceDE w:val="0"/>
                  <w:autoSpaceDN w:val="0"/>
                  <w:adjustRightInd w:val="0"/>
                  <w:ind w:rightChars="40" w:right="84"/>
                  <w:jc w:val="right"/>
                  <w:rPr>
                    <w:rFonts w:ascii="Times New Roman" w:hAnsi="Times New Roman" w:cs="Times New Roman"/>
                    <w:szCs w:val="21"/>
                  </w:rPr>
                </w:pPr>
                <w:r>
                  <w:rPr>
                    <w:rFonts w:ascii="Times New Roman" w:hAnsi="Times New Roman" w:cs="Times New Roman"/>
                    <w:szCs w:val="21"/>
                  </w:rPr>
                  <w:t>77,931,396</w:t>
                </w:r>
              </w:p>
            </w:tc>
          </w:tr>
          <w:tr w:rsidR="00D21C1F" w14:paraId="20C25FFF" w14:textId="77777777">
            <w:trPr>
              <w:trHeight w:val="308"/>
            </w:trPr>
            <w:sdt>
              <w:sdtPr>
                <w:rPr>
                  <w:rFonts w:ascii="Times New Roman" w:hAnsi="Times New Roman" w:cs="Times New Roman"/>
                </w:rPr>
                <w:tag w:val="_PLD_758679730fba4971be09402c80e542cb"/>
                <w:id w:val="788707312"/>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3D4C96A5" w14:textId="77777777" w:rsidR="00D21C1F" w:rsidRDefault="00A42880">
                    <w:pPr>
                      <w:autoSpaceDE w:val="0"/>
                      <w:autoSpaceDN w:val="0"/>
                      <w:adjustRightInd w:val="0"/>
                      <w:rPr>
                        <w:rFonts w:ascii="Times New Roman" w:hAnsi="Times New Roman" w:cs="Times New Roman"/>
                        <w:szCs w:val="21"/>
                      </w:rPr>
                    </w:pPr>
                    <w:r>
                      <w:rPr>
                        <w:rFonts w:ascii="Times New Roman" w:hAnsi="Times New Roman" w:cs="Times New Roman"/>
                        <w:szCs w:val="21"/>
                      </w:rPr>
                      <w:t>担保总额超过净资产</w:t>
                    </w:r>
                    <w:r>
                      <w:rPr>
                        <w:rFonts w:ascii="Times New Roman" w:hAnsi="Times New Roman" w:cs="Times New Roman"/>
                        <w:szCs w:val="21"/>
                      </w:rPr>
                      <w:t>50%</w:t>
                    </w:r>
                    <w:r>
                      <w:rPr>
                        <w:rFonts w:ascii="Times New Roman" w:hAnsi="Times New Roman" w:cs="Times New Roman"/>
                        <w:szCs w:val="21"/>
                      </w:rPr>
                      <w:t>部分的金额（</w:t>
                    </w:r>
                    <w:r>
                      <w:rPr>
                        <w:rFonts w:ascii="Times New Roman" w:hAnsi="Times New Roman" w:cs="Times New Roman"/>
                        <w:szCs w:val="21"/>
                      </w:rPr>
                      <w:t>E</w:t>
                    </w:r>
                    <w:r>
                      <w:rPr>
                        <w:rFonts w:ascii="Times New Roman" w:hAnsi="Times New Roman" w:cs="Times New Roman"/>
                        <w:szCs w:val="21"/>
                      </w:rPr>
                      <w:t>）</w:t>
                    </w:r>
                  </w:p>
                </w:tc>
              </w:sdtContent>
            </w:sdt>
            <w:tc>
              <w:tcPr>
                <w:tcW w:w="2837" w:type="pct"/>
                <w:gridSpan w:val="8"/>
                <w:tcBorders>
                  <w:top w:val="single" w:sz="4" w:space="0" w:color="auto"/>
                  <w:left w:val="single" w:sz="4" w:space="0" w:color="auto"/>
                  <w:bottom w:val="single" w:sz="4" w:space="0" w:color="auto"/>
                </w:tcBorders>
                <w:shd w:val="clear" w:color="auto" w:fill="auto"/>
              </w:tcPr>
              <w:p w14:paraId="3E3C0CC3" w14:textId="77777777" w:rsidR="00D21C1F" w:rsidRDefault="00A42880">
                <w:pPr>
                  <w:ind w:rightChars="40" w:right="84"/>
                  <w:jc w:val="right"/>
                  <w:rPr>
                    <w:rFonts w:ascii="Times New Roman" w:hAnsi="Times New Roman" w:cs="Times New Roman"/>
                    <w:szCs w:val="21"/>
                  </w:rPr>
                </w:pPr>
                <w:r>
                  <w:rPr>
                    <w:rFonts w:ascii="Times New Roman" w:hAnsi="Times New Roman" w:cs="Times New Roman"/>
                    <w:szCs w:val="21"/>
                  </w:rPr>
                  <w:t>0</w:t>
                </w:r>
              </w:p>
            </w:tc>
          </w:tr>
          <w:tr w:rsidR="00D21C1F" w14:paraId="3B6DED42" w14:textId="77777777">
            <w:trPr>
              <w:trHeight w:val="308"/>
            </w:trPr>
            <w:sdt>
              <w:sdtPr>
                <w:rPr>
                  <w:rFonts w:ascii="Times New Roman" w:hAnsi="Times New Roman" w:cs="Times New Roman"/>
                </w:rPr>
                <w:tag w:val="_PLD_5784c760894b49a7852051772fb316c6"/>
                <w:id w:val="-864757512"/>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vAlign w:val="center"/>
                  </w:tcPr>
                  <w:p w14:paraId="5BE9743B" w14:textId="77777777" w:rsidR="00D21C1F" w:rsidRDefault="00A42880">
                    <w:pPr>
                      <w:autoSpaceDE w:val="0"/>
                      <w:autoSpaceDN w:val="0"/>
                      <w:adjustRightInd w:val="0"/>
                      <w:rPr>
                        <w:rFonts w:ascii="Times New Roman" w:hAnsi="Times New Roman" w:cs="Times New Roman"/>
                        <w:szCs w:val="21"/>
                      </w:rPr>
                    </w:pPr>
                    <w:r>
                      <w:rPr>
                        <w:rFonts w:ascii="Times New Roman" w:hAnsi="Times New Roman" w:cs="Times New Roman"/>
                        <w:szCs w:val="21"/>
                      </w:rPr>
                      <w:t>上述三项担保金额合计（</w:t>
                    </w:r>
                    <w:r>
                      <w:rPr>
                        <w:rFonts w:ascii="Times New Roman" w:hAnsi="Times New Roman" w:cs="Times New Roman"/>
                        <w:szCs w:val="21"/>
                      </w:rPr>
                      <w:t>C+D+E</w:t>
                    </w:r>
                    <w:r>
                      <w:rPr>
                        <w:rFonts w:ascii="Times New Roman" w:hAnsi="Times New Roman" w:cs="Times New Roman"/>
                        <w:szCs w:val="21"/>
                      </w:rPr>
                      <w:t>）</w:t>
                    </w:r>
                  </w:p>
                </w:tc>
              </w:sdtContent>
            </w:sdt>
            <w:tc>
              <w:tcPr>
                <w:tcW w:w="2837" w:type="pct"/>
                <w:gridSpan w:val="8"/>
                <w:tcBorders>
                  <w:top w:val="single" w:sz="4" w:space="0" w:color="auto"/>
                  <w:left w:val="single" w:sz="4" w:space="0" w:color="auto"/>
                  <w:bottom w:val="single" w:sz="4" w:space="0" w:color="auto"/>
                </w:tcBorders>
                <w:shd w:val="clear" w:color="auto" w:fill="auto"/>
              </w:tcPr>
              <w:p w14:paraId="261CD6EC" w14:textId="77777777" w:rsidR="00D21C1F" w:rsidRDefault="00A42880">
                <w:pPr>
                  <w:autoSpaceDE w:val="0"/>
                  <w:autoSpaceDN w:val="0"/>
                  <w:adjustRightInd w:val="0"/>
                  <w:ind w:rightChars="40" w:right="84"/>
                  <w:jc w:val="right"/>
                  <w:rPr>
                    <w:rFonts w:ascii="Times New Roman" w:hAnsi="Times New Roman" w:cs="Times New Roman"/>
                    <w:szCs w:val="21"/>
                  </w:rPr>
                </w:pPr>
                <w:r>
                  <w:rPr>
                    <w:rFonts w:ascii="Times New Roman" w:hAnsi="Times New Roman" w:cs="Times New Roman"/>
                    <w:szCs w:val="21"/>
                  </w:rPr>
                  <w:t>77,931,396</w:t>
                </w:r>
              </w:p>
            </w:tc>
          </w:tr>
          <w:tr w:rsidR="00D21C1F" w14:paraId="454018F7" w14:textId="77777777">
            <w:trPr>
              <w:trHeight w:val="308"/>
            </w:trPr>
            <w:sdt>
              <w:sdtPr>
                <w:tag w:val="_PLD_995b56519ff04cddbb551ae65d997daf"/>
                <w:id w:val="174393982"/>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vAlign w:val="center"/>
                  </w:tcPr>
                  <w:p w14:paraId="0333C86F" w14:textId="77777777" w:rsidR="00D21C1F" w:rsidRDefault="00A42880">
                    <w:pPr>
                      <w:pStyle w:val="ab"/>
                      <w:autoSpaceDE w:val="0"/>
                      <w:autoSpaceDN w:val="0"/>
                      <w:adjustRightInd w:val="0"/>
                    </w:pPr>
                    <w:r>
                      <w:t>未到期担保可能承担连带清偿责任说明</w:t>
                    </w:r>
                  </w:p>
                </w:tc>
              </w:sdtContent>
            </w:sdt>
            <w:tc>
              <w:tcPr>
                <w:tcW w:w="2837" w:type="pct"/>
                <w:gridSpan w:val="8"/>
                <w:tcBorders>
                  <w:top w:val="single" w:sz="4" w:space="0" w:color="auto"/>
                  <w:left w:val="single" w:sz="4" w:space="0" w:color="auto"/>
                  <w:bottom w:val="single" w:sz="4" w:space="0" w:color="auto"/>
                </w:tcBorders>
                <w:shd w:val="clear" w:color="auto" w:fill="auto"/>
              </w:tcPr>
              <w:p w14:paraId="749CFA6D" w14:textId="77777777" w:rsidR="00D21C1F" w:rsidRDefault="00A42880">
                <w:pPr>
                  <w:autoSpaceDE w:val="0"/>
                  <w:autoSpaceDN w:val="0"/>
                  <w:adjustRightInd w:val="0"/>
                  <w:jc w:val="right"/>
                  <w:rPr>
                    <w:rFonts w:ascii="Times New Roman" w:hAnsi="Times New Roman" w:cs="Times New Roman"/>
                    <w:szCs w:val="21"/>
                  </w:rPr>
                </w:pPr>
                <w:r>
                  <w:rPr>
                    <w:rFonts w:ascii="Times New Roman" w:hAnsi="Times New Roman" w:cs="Times New Roman"/>
                    <w:szCs w:val="21"/>
                  </w:rPr>
                  <w:t>无</w:t>
                </w:r>
              </w:p>
            </w:tc>
          </w:tr>
          <w:tr w:rsidR="00D21C1F" w14:paraId="6AE81EE3" w14:textId="77777777">
            <w:trPr>
              <w:trHeight w:val="308"/>
            </w:trPr>
            <w:sdt>
              <w:sdtPr>
                <w:rPr>
                  <w:rFonts w:ascii="Times New Roman" w:hAnsi="Times New Roman" w:cs="Times New Roman"/>
                </w:rPr>
                <w:tag w:val="_PLD_7bd0acb0276b47dda4ce10a9123aad29"/>
                <w:id w:val="-1012983076"/>
                <w:lock w:val="sdtLocked"/>
              </w:sdtPr>
              <w:sdtEndPr/>
              <w:sdtContent>
                <w:tc>
                  <w:tcPr>
                    <w:tcW w:w="2163" w:type="pct"/>
                    <w:gridSpan w:val="6"/>
                    <w:tcBorders>
                      <w:top w:val="single" w:sz="4" w:space="0" w:color="auto"/>
                      <w:bottom w:val="single" w:sz="4" w:space="0" w:color="auto"/>
                      <w:right w:val="single" w:sz="4" w:space="0" w:color="auto"/>
                    </w:tcBorders>
                    <w:shd w:val="clear" w:color="auto" w:fill="auto"/>
                  </w:tcPr>
                  <w:p w14:paraId="470AA5C1" w14:textId="77777777" w:rsidR="00D21C1F" w:rsidRDefault="00A42880">
                    <w:pPr>
                      <w:autoSpaceDE w:val="0"/>
                      <w:autoSpaceDN w:val="0"/>
                      <w:adjustRightInd w:val="0"/>
                      <w:rPr>
                        <w:rFonts w:ascii="Times New Roman" w:hAnsi="Times New Roman" w:cs="Times New Roman"/>
                        <w:szCs w:val="21"/>
                      </w:rPr>
                    </w:pPr>
                    <w:r>
                      <w:rPr>
                        <w:rFonts w:ascii="Times New Roman" w:hAnsi="Times New Roman" w:cs="Times New Roman"/>
                        <w:szCs w:val="21"/>
                      </w:rPr>
                      <w:t>担保情况说明</w:t>
                    </w:r>
                  </w:p>
                </w:tc>
              </w:sdtContent>
            </w:sdt>
            <w:tc>
              <w:tcPr>
                <w:tcW w:w="2837" w:type="pct"/>
                <w:gridSpan w:val="8"/>
                <w:tcBorders>
                  <w:top w:val="single" w:sz="4" w:space="0" w:color="auto"/>
                  <w:left w:val="single" w:sz="4" w:space="0" w:color="auto"/>
                  <w:bottom w:val="single" w:sz="4" w:space="0" w:color="auto"/>
                </w:tcBorders>
                <w:shd w:val="clear" w:color="auto" w:fill="auto"/>
              </w:tcPr>
              <w:p w14:paraId="7E85B7C6" w14:textId="77777777" w:rsidR="00D21C1F" w:rsidRDefault="00A42880">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担保金额为根据</w:t>
                </w:r>
                <w:r>
                  <w:rPr>
                    <w:rFonts w:ascii="Times New Roman" w:hAnsi="Times New Roman" w:cs="Times New Roman"/>
                    <w:szCs w:val="21"/>
                  </w:rPr>
                  <w:t>2021</w:t>
                </w:r>
                <w:r>
                  <w:rPr>
                    <w:rFonts w:ascii="Times New Roman" w:hAnsi="Times New Roman" w:cs="Times New Roman"/>
                    <w:szCs w:val="21"/>
                  </w:rPr>
                  <w:t>年</w:t>
                </w:r>
                <w:r>
                  <w:rPr>
                    <w:rFonts w:ascii="Times New Roman" w:hAnsi="Times New Roman" w:cs="Times New Roman"/>
                    <w:szCs w:val="21"/>
                  </w:rPr>
                  <w:t>6</w:t>
                </w:r>
                <w:r>
                  <w:rPr>
                    <w:rFonts w:ascii="Times New Roman" w:hAnsi="Times New Roman" w:cs="Times New Roman"/>
                    <w:szCs w:val="21"/>
                  </w:rPr>
                  <w:t>月</w:t>
                </w:r>
                <w:r>
                  <w:rPr>
                    <w:rFonts w:ascii="Times New Roman" w:hAnsi="Times New Roman" w:cs="Times New Roman"/>
                    <w:szCs w:val="21"/>
                  </w:rPr>
                  <w:t>30</w:t>
                </w:r>
                <w:r>
                  <w:rPr>
                    <w:rFonts w:ascii="Times New Roman" w:hAnsi="Times New Roman" w:cs="Times New Roman"/>
                    <w:szCs w:val="21"/>
                  </w:rPr>
                  <w:t>日汇率换算金额</w:t>
                </w:r>
              </w:p>
            </w:tc>
          </w:tr>
        </w:tbl>
        <w:p w14:paraId="65F5E352" w14:textId="77777777" w:rsidR="00D21C1F" w:rsidRDefault="00D21C1F"/>
        <w:p w14:paraId="251EC08B" w14:textId="77777777" w:rsidR="00D21C1F" w:rsidRDefault="00045EC6">
          <w:pPr>
            <w:ind w:rightChars="-150" w:right="-315"/>
          </w:pPr>
        </w:p>
      </w:sdtContent>
    </w:sdt>
    <w:bookmarkEnd w:id="96" w:displacedByCustomXml="next"/>
    <w:sdt>
      <w:sdtPr>
        <w:rPr>
          <w:rFonts w:ascii="宋体" w:eastAsiaTheme="minorEastAsia" w:hAnsi="宋体" w:cs="宋体"/>
          <w:b w:val="0"/>
          <w:bCs w:val="0"/>
          <w:kern w:val="0"/>
          <w:szCs w:val="24"/>
        </w:rPr>
        <w:alias w:val="模块:其他重大合同"/>
        <w:tag w:val="_SEC_e046194a1b604165ab4ac9dbd406e6b1"/>
        <w:id w:val="-2035034531"/>
        <w:lock w:val="sdtLocked"/>
        <w:placeholder>
          <w:docPart w:val="GBC22222222222222222222222222222"/>
        </w:placeholder>
      </w:sdtPr>
      <w:sdtEndPr>
        <w:rPr>
          <w:rFonts w:eastAsia="宋体" w:hint="eastAsia"/>
        </w:rPr>
      </w:sdtEndPr>
      <w:sdtContent>
        <w:p w14:paraId="27CD62B9" w14:textId="77777777" w:rsidR="00D21C1F" w:rsidRDefault="00A42880">
          <w:pPr>
            <w:pStyle w:val="3"/>
            <w:numPr>
              <w:ilvl w:val="0"/>
              <w:numId w:val="34"/>
            </w:numPr>
            <w:rPr>
              <w:rFonts w:ascii="宋体" w:hAnsi="宋体"/>
            </w:rPr>
          </w:pPr>
          <w:r>
            <w:rPr>
              <w:rFonts w:ascii="宋体" w:hAnsi="宋体"/>
            </w:rPr>
            <w:t>其他重大合同</w:t>
          </w:r>
        </w:p>
        <w:sdt>
          <w:sdtPr>
            <w:alias w:val="是否适用：其他重大合同[双击切换]"/>
            <w:tag w:val="_GBC_23289ac36e3b4aeeaff6a4f1df0c3165"/>
            <w:id w:val="-1029556992"/>
            <w:lock w:val="sdtLocked"/>
            <w:placeholder>
              <w:docPart w:val="GBC22222222222222222222222222222"/>
            </w:placeholder>
          </w:sdtPr>
          <w:sdtEndPr/>
          <w:sdtContent>
            <w:p w14:paraId="0D511EF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其他重大合同"/>
            <w:tag w:val="_GBC_b4ae2f60305f4a668d9a371ab1679a83"/>
            <w:id w:val="751788503"/>
            <w:lock w:val="sdtLocked"/>
            <w:placeholder>
              <w:docPart w:val="6330C08F3B3042F59A0D2F31EA125BE5"/>
            </w:placeholder>
          </w:sdtPr>
          <w:sdtEndPr/>
          <w:sdtContent>
            <w:p w14:paraId="7C1D8F57" w14:textId="77777777" w:rsidR="00D21C1F" w:rsidRDefault="00D21C1F"/>
            <w:tbl>
              <w:tblPr>
                <w:tblStyle w:val="aff0"/>
                <w:tblW w:w="0" w:type="auto"/>
                <w:tblLook w:val="04A0" w:firstRow="1" w:lastRow="0" w:firstColumn="1" w:lastColumn="0" w:noHBand="0" w:noVBand="1"/>
              </w:tblPr>
              <w:tblGrid>
                <w:gridCol w:w="6931"/>
                <w:gridCol w:w="6932"/>
              </w:tblGrid>
              <w:tr w:rsidR="00D21C1F" w14:paraId="121E9FFF" w14:textId="77777777">
                <w:tc>
                  <w:tcPr>
                    <w:tcW w:w="6931" w:type="dxa"/>
                  </w:tcPr>
                  <w:p w14:paraId="151103DB" w14:textId="77777777" w:rsidR="00D21C1F" w:rsidRDefault="00A42880">
                    <w:pPr>
                      <w:jc w:val="center"/>
                      <w:rPr>
                        <w:szCs w:val="21"/>
                      </w:rPr>
                    </w:pPr>
                    <w:r>
                      <w:rPr>
                        <w:rFonts w:cs="Times New Roman"/>
                      </w:rPr>
                      <w:lastRenderedPageBreak/>
                      <w:t>事项概述</w:t>
                    </w:r>
                  </w:p>
                </w:tc>
                <w:tc>
                  <w:tcPr>
                    <w:tcW w:w="6932" w:type="dxa"/>
                  </w:tcPr>
                  <w:p w14:paraId="48CD96CA" w14:textId="77777777" w:rsidR="00D21C1F" w:rsidRDefault="00A42880">
                    <w:pPr>
                      <w:jc w:val="center"/>
                      <w:rPr>
                        <w:szCs w:val="21"/>
                      </w:rPr>
                    </w:pPr>
                    <w:r>
                      <w:rPr>
                        <w:rFonts w:cs="Times New Roman"/>
                      </w:rPr>
                      <w:t>查询索引</w:t>
                    </w:r>
                  </w:p>
                </w:tc>
              </w:tr>
              <w:tr w:rsidR="00D21C1F" w14:paraId="579D6D37" w14:textId="77777777">
                <w:tc>
                  <w:tcPr>
                    <w:tcW w:w="6931" w:type="dxa"/>
                  </w:tcPr>
                  <w:p w14:paraId="3BECC098" w14:textId="3AC52FF5" w:rsidR="00D21C1F" w:rsidRDefault="00A42880">
                    <w:pPr>
                      <w:ind w:firstLineChars="100" w:firstLine="210"/>
                      <w:rPr>
                        <w:szCs w:val="21"/>
                      </w:rPr>
                    </w:pPr>
                    <w:r>
                      <w:rPr>
                        <w:rFonts w:ascii="Times New Roman" w:hAnsi="Times New Roman" w:cs="Times New Roman"/>
                        <w:color w:val="000000"/>
                      </w:rPr>
                      <w:t>2020</w:t>
                    </w:r>
                    <w:r>
                      <w:rPr>
                        <w:rFonts w:cs="Times New Roman"/>
                        <w:color w:val="000000"/>
                      </w:rPr>
                      <w:t>年</w:t>
                    </w:r>
                    <w:r>
                      <w:rPr>
                        <w:rFonts w:ascii="Times New Roman" w:hAnsi="Times New Roman" w:cs="Times New Roman"/>
                        <w:color w:val="000000"/>
                      </w:rPr>
                      <w:t>12</w:t>
                    </w:r>
                    <w:r>
                      <w:rPr>
                        <w:rFonts w:cs="Times New Roman"/>
                        <w:color w:val="000000"/>
                      </w:rPr>
                      <w:t>月</w:t>
                    </w:r>
                    <w:r>
                      <w:rPr>
                        <w:rFonts w:ascii="Times New Roman" w:hAnsi="Times New Roman" w:cs="Times New Roman"/>
                        <w:color w:val="000000"/>
                      </w:rPr>
                      <w:t>15</w:t>
                    </w:r>
                    <w:r>
                      <w:rPr>
                        <w:rFonts w:cs="Times New Roman"/>
                        <w:color w:val="000000"/>
                      </w:rPr>
                      <w:t>日，公司下属孙公司</w:t>
                    </w:r>
                    <w:r>
                      <w:rPr>
                        <w:rFonts w:ascii="Times New Roman" w:hAnsi="Times New Roman" w:cs="Times New Roman"/>
                        <w:color w:val="000000"/>
                      </w:rPr>
                      <w:t>GME</w:t>
                    </w:r>
                    <w:r>
                      <w:rPr>
                        <w:rFonts w:cs="Times New Roman"/>
                        <w:color w:val="000000"/>
                      </w:rPr>
                      <w:t>收到</w:t>
                    </w:r>
                    <w:r w:rsidR="00267EAB" w:rsidDel="00267EAB">
                      <w:rPr>
                        <w:rFonts w:ascii="Times New Roman" w:hAnsi="Times New Roman" w:cs="Times New Roman"/>
                        <w:color w:val="000000"/>
                      </w:rPr>
                      <w:t xml:space="preserve"> </w:t>
                    </w:r>
                    <w:r>
                      <w:rPr>
                        <w:rFonts w:ascii="Times New Roman" w:hAnsi="Times New Roman" w:cs="Times New Roman" w:hint="eastAsia"/>
                        <w:color w:val="000000"/>
                      </w:rPr>
                      <w:t>菲亚特克莱斯勒集团</w:t>
                    </w:r>
                    <w:r w:rsidR="00267EAB">
                      <w:rPr>
                        <w:rFonts w:ascii="Times New Roman" w:hAnsi="Times New Roman" w:cs="Times New Roman" w:hint="eastAsia"/>
                        <w:color w:val="000000"/>
                      </w:rPr>
                      <w:t>（</w:t>
                    </w:r>
                    <w:r w:rsidR="00267EAB" w:rsidRPr="00267EAB">
                      <w:rPr>
                        <w:rFonts w:ascii="Times New Roman" w:hAnsi="Times New Roman" w:cs="Times New Roman"/>
                        <w:color w:val="000000"/>
                      </w:rPr>
                      <w:t>Fiat Chrysler Automobiles N.V.</w:t>
                    </w:r>
                    <w:r w:rsidR="00267EAB">
                      <w:rPr>
                        <w:rFonts w:ascii="Times New Roman" w:hAnsi="Times New Roman" w:cs="Times New Roman" w:hint="eastAsia"/>
                        <w:color w:val="000000"/>
                      </w:rPr>
                      <w:t>）</w:t>
                    </w:r>
                    <w:r>
                      <w:rPr>
                        <w:rFonts w:cs="Times New Roman"/>
                        <w:color w:val="000000"/>
                      </w:rPr>
                      <w:t>下属南美子公司</w:t>
                    </w:r>
                    <w:r>
                      <w:rPr>
                        <w:rFonts w:ascii="Times New Roman" w:hAnsi="Times New Roman" w:cs="Times New Roman"/>
                        <w:color w:val="000000"/>
                      </w:rPr>
                      <w:t>FCA FIAT CHRYSLER AUTOMOVEIS BRASIL LTDA</w:t>
                    </w:r>
                    <w:r>
                      <w:rPr>
                        <w:rFonts w:cs="Times New Roman"/>
                        <w:color w:val="000000"/>
                      </w:rPr>
                      <w:t>关于</w:t>
                    </w:r>
                    <w:r>
                      <w:rPr>
                        <w:rFonts w:ascii="Times New Roman" w:hAnsi="Times New Roman" w:cs="Times New Roman"/>
                        <w:color w:val="000000"/>
                      </w:rPr>
                      <w:t>Betim-MG</w:t>
                    </w:r>
                    <w:r>
                      <w:rPr>
                        <w:rFonts w:cs="Times New Roman"/>
                        <w:color w:val="000000"/>
                      </w:rPr>
                      <w:t>工厂</w:t>
                    </w:r>
                    <w:r>
                      <w:rPr>
                        <w:rFonts w:ascii="Times New Roman" w:hAnsi="Times New Roman" w:cs="Times New Roman"/>
                        <w:color w:val="000000"/>
                      </w:rPr>
                      <w:t>376</w:t>
                    </w:r>
                    <w:r>
                      <w:rPr>
                        <w:rFonts w:cs="Times New Roman"/>
                        <w:color w:val="000000"/>
                      </w:rPr>
                      <w:t>车型后盖、后门及车身侧部焊装线的增补采购订单。该项目订单金额累计约</w:t>
                    </w:r>
                    <w:r>
                      <w:rPr>
                        <w:rFonts w:ascii="Times New Roman" w:hAnsi="Times New Roman" w:cs="Times New Roman"/>
                        <w:color w:val="000000"/>
                      </w:rPr>
                      <w:t>1.52</w:t>
                    </w:r>
                    <w:r>
                      <w:rPr>
                        <w:rFonts w:cs="Times New Roman"/>
                        <w:color w:val="000000"/>
                      </w:rPr>
                      <w:t>亿元人民币。截至报告期末该项目尚未履行完毕。</w:t>
                    </w:r>
                  </w:p>
                </w:tc>
                <w:tc>
                  <w:tcPr>
                    <w:tcW w:w="6932" w:type="dxa"/>
                  </w:tcPr>
                  <w:p w14:paraId="04A56196" w14:textId="77777777" w:rsidR="00D21C1F" w:rsidRDefault="00A42880">
                    <w:pPr>
                      <w:rPr>
                        <w:szCs w:val="21"/>
                      </w:rPr>
                    </w:pPr>
                    <w:r>
                      <w:rPr>
                        <w:rFonts w:cs="Times New Roman"/>
                      </w:rPr>
                      <w:t>详见公司于</w:t>
                    </w:r>
                    <w:r>
                      <w:rPr>
                        <w:rFonts w:ascii="Times New Roman" w:hAnsi="Times New Roman" w:cs="Times New Roman"/>
                      </w:rPr>
                      <w:t>2020</w:t>
                    </w:r>
                    <w:r>
                      <w:rPr>
                        <w:rFonts w:cs="Times New Roman"/>
                      </w:rPr>
                      <w:t>年</w:t>
                    </w:r>
                    <w:r>
                      <w:rPr>
                        <w:rFonts w:ascii="Times New Roman" w:hAnsi="Times New Roman" w:cs="Times New Roman"/>
                      </w:rPr>
                      <w:t>12</w:t>
                    </w:r>
                    <w:r>
                      <w:rPr>
                        <w:rFonts w:cs="Times New Roman"/>
                      </w:rPr>
                      <w:t>月</w:t>
                    </w:r>
                    <w:r>
                      <w:rPr>
                        <w:rFonts w:ascii="Times New Roman" w:hAnsi="Times New Roman" w:cs="Times New Roman"/>
                      </w:rPr>
                      <w:t>17</w:t>
                    </w:r>
                    <w:r>
                      <w:rPr>
                        <w:rFonts w:cs="Times New Roman"/>
                      </w:rPr>
                      <w:t>日披露于上海证券交易所网站（</w:t>
                    </w:r>
                    <w:r>
                      <w:rPr>
                        <w:rFonts w:ascii="Times New Roman" w:hAnsi="Times New Roman" w:cs="Times New Roman"/>
                      </w:rPr>
                      <w:t>www.sse.com.cn</w:t>
                    </w:r>
                    <w:r>
                      <w:rPr>
                        <w:rFonts w:cs="Times New Roman"/>
                      </w:rPr>
                      <w:t>）的《埃夫特关于自愿披露全资孙公司获得重大订单的公告》（公告编号：</w:t>
                    </w:r>
                    <w:r>
                      <w:rPr>
                        <w:rFonts w:ascii="Times New Roman" w:hAnsi="Times New Roman" w:cs="Times New Roman"/>
                      </w:rPr>
                      <w:t>2020-013</w:t>
                    </w:r>
                    <w:r>
                      <w:rPr>
                        <w:rFonts w:cs="Times New Roman"/>
                      </w:rPr>
                      <w:t>）</w:t>
                    </w:r>
                    <w:r>
                      <w:rPr>
                        <w:rFonts w:cs="Times New Roman" w:hint="eastAsia"/>
                      </w:rPr>
                      <w:t>。</w:t>
                    </w:r>
                  </w:p>
                </w:tc>
              </w:tr>
            </w:tbl>
            <w:p w14:paraId="4D73B9E3" w14:textId="77777777" w:rsidR="00D21C1F" w:rsidRDefault="00045EC6">
              <w:pPr>
                <w:sectPr w:rsidR="00D21C1F">
                  <w:pgSz w:w="16838" w:h="11906" w:orient="landscape"/>
                  <w:pgMar w:top="1797" w:right="1525" w:bottom="1276" w:left="1440" w:header="851" w:footer="992" w:gutter="0"/>
                  <w:cols w:space="425"/>
                  <w:docGrid w:linePitch="312"/>
                </w:sectPr>
              </w:pPr>
            </w:p>
          </w:sdtContent>
        </w:sdt>
      </w:sdtContent>
    </w:sdt>
    <w:bookmarkStart w:id="97" w:name="_Hlk72846301" w:displacedByCustomXml="next"/>
    <w:sdt>
      <w:sdtPr>
        <w:rPr>
          <w:b w:val="0"/>
          <w:bCs w:val="0"/>
        </w:rPr>
        <w:alias w:val="模块:"/>
        <w:tag w:val="_SEC_08d52c14430d4acc802332951c98fb5d"/>
        <w:id w:val="-2061931590"/>
        <w:lock w:val="sdtLocked"/>
        <w:placeholder>
          <w:docPart w:val="GBC22222222222222222222222222222"/>
        </w:placeholder>
      </w:sdtPr>
      <w:sdtEndPr/>
      <w:sdtContent>
        <w:p w14:paraId="6BAF0A4F" w14:textId="77777777" w:rsidR="00D21C1F" w:rsidRDefault="00A42880">
          <w:pPr>
            <w:pStyle w:val="2"/>
            <w:numPr>
              <w:ilvl w:val="0"/>
              <w:numId w:val="27"/>
            </w:numPr>
          </w:pPr>
          <w:r>
            <w:rPr>
              <w:rFonts w:hint="eastAsia"/>
            </w:rPr>
            <w:t>募集资金使用进展说明</w:t>
          </w:r>
        </w:p>
        <w:sdt>
          <w:sdtPr>
            <w:rPr>
              <w:szCs w:val="21"/>
            </w:rPr>
            <w:alias w:val="是否适用：募集资金使用进展说明[双击切换]"/>
            <w:tag w:val="_GBC_aab82a57337f41868f8163d4c16e48f4"/>
            <w:id w:val="-1831825548"/>
            <w:lock w:val="sdtLocked"/>
            <w:placeholder>
              <w:docPart w:val="GBC22222222222222222222222222222"/>
            </w:placeholder>
          </w:sdtPr>
          <w:sdtEndPr/>
          <w:sdtContent>
            <w:p w14:paraId="352B7887"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BBA862" w14:textId="77777777" w:rsidR="00D21C1F" w:rsidRDefault="00A42880">
          <w:pPr>
            <w:ind w:right="210"/>
            <w:jc w:val="right"/>
            <w:rPr>
              <w:szCs w:val="21"/>
            </w:rPr>
          </w:pPr>
          <w:r>
            <w:rPr>
              <w:rFonts w:hint="eastAsia"/>
              <w:szCs w:val="21"/>
            </w:rPr>
            <w:t>单位：</w:t>
          </w:r>
          <w:sdt>
            <w:sdtPr>
              <w:rPr>
                <w:rFonts w:hint="eastAsia"/>
                <w:szCs w:val="21"/>
              </w:rPr>
              <w:alias w:val="单位：募集资金使用进展说明"/>
              <w:tag w:val="_GBC_a41db9bb34604003a8b01459acecfc9c"/>
              <w:id w:val="-15073606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万元</w:t>
              </w:r>
            </w:sdtContent>
          </w:sdt>
          <w:r>
            <w:rPr>
              <w:rFonts w:hint="eastAsia"/>
              <w:szCs w:val="21"/>
            </w:rPr>
            <w:t xml:space="preserve">  币种：</w:t>
          </w:r>
          <w:sdt>
            <w:sdtPr>
              <w:rPr>
                <w:rFonts w:hint="eastAsia"/>
                <w:szCs w:val="21"/>
              </w:rPr>
              <w:alias w:val="币种：募集资金使用进展说明"/>
              <w:tag w:val="_GBC_7ceaf8537d014c1f8b62bfd453222c57"/>
              <w:id w:val="-63574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020"/>
            <w:gridCol w:w="1256"/>
            <w:gridCol w:w="1370"/>
            <w:gridCol w:w="1134"/>
            <w:gridCol w:w="1134"/>
            <w:gridCol w:w="1134"/>
            <w:gridCol w:w="1134"/>
            <w:gridCol w:w="1134"/>
            <w:gridCol w:w="990"/>
            <w:gridCol w:w="995"/>
            <w:gridCol w:w="568"/>
            <w:gridCol w:w="538"/>
          </w:tblGrid>
          <w:tr w:rsidR="00D21C1F" w14:paraId="3CB54BD8" w14:textId="77777777">
            <w:trPr>
              <w:trHeight w:val="274"/>
              <w:jc w:val="center"/>
            </w:trPr>
            <w:tc>
              <w:tcPr>
                <w:tcW w:w="1346" w:type="pct"/>
                <w:gridSpan w:val="3"/>
                <w:shd w:val="clear" w:color="auto" w:fill="auto"/>
                <w:vAlign w:val="center"/>
              </w:tcPr>
              <w:sdt>
                <w:sdtPr>
                  <w:rPr>
                    <w:rFonts w:hint="eastAsia"/>
                    <w:szCs w:val="21"/>
                  </w:rPr>
                  <w:tag w:val="_PLD_c64810ce70ed4bcaa04c10158a63f34c"/>
                  <w:id w:val="1427761004"/>
                  <w:lock w:val="sdtLocked"/>
                </w:sdtPr>
                <w:sdtEndPr>
                  <w:rPr>
                    <w:rFonts w:hint="default"/>
                  </w:rPr>
                </w:sdtEndPr>
                <w:sdtContent>
                  <w:p w14:paraId="3D37B389" w14:textId="77777777" w:rsidR="00D21C1F" w:rsidRDefault="00A42880">
                    <w:pPr>
                      <w:widowControl w:val="0"/>
                      <w:jc w:val="both"/>
                      <w:rPr>
                        <w:szCs w:val="21"/>
                      </w:rPr>
                    </w:pPr>
                    <w:r>
                      <w:rPr>
                        <w:rFonts w:hint="eastAsia"/>
                        <w:szCs w:val="21"/>
                      </w:rPr>
                      <w:t>募集</w:t>
                    </w:r>
                    <w:r>
                      <w:rPr>
                        <w:szCs w:val="21"/>
                      </w:rPr>
                      <w:t>资金总额</w:t>
                    </w:r>
                  </w:p>
                </w:sdtContent>
              </w:sdt>
            </w:tc>
            <w:sdt>
              <w:sdtPr>
                <w:rPr>
                  <w:rFonts w:ascii="Times New Roman" w:hAnsi="Times New Roman" w:cs="Times New Roman"/>
                  <w:szCs w:val="21"/>
                </w:rPr>
                <w:alias w:val="募集资金总额"/>
                <w:tag w:val="_GBC_e46bd92cedb24c3199b09a2725095dae"/>
                <w:id w:val="-2088145902"/>
                <w:lock w:val="sdtLocked"/>
              </w:sdtPr>
              <w:sdtEndPr/>
              <w:sdtContent>
                <w:tc>
                  <w:tcPr>
                    <w:tcW w:w="1312" w:type="pct"/>
                    <w:gridSpan w:val="3"/>
                    <w:shd w:val="clear" w:color="auto" w:fill="auto"/>
                    <w:vAlign w:val="center"/>
                  </w:tcPr>
                  <w:p w14:paraId="1CEF52E2"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72,589.49</w:t>
                    </w:r>
                  </w:p>
                </w:tc>
              </w:sdtContent>
            </w:sdt>
            <w:tc>
              <w:tcPr>
                <w:tcW w:w="1226" w:type="pct"/>
                <w:gridSpan w:val="3"/>
                <w:shd w:val="clear" w:color="auto" w:fill="auto"/>
                <w:vAlign w:val="center"/>
              </w:tcPr>
              <w:sdt>
                <w:sdtPr>
                  <w:rPr>
                    <w:rFonts w:ascii="Times New Roman" w:hAnsi="Times New Roman" w:cs="Times New Roman"/>
                    <w:szCs w:val="21"/>
                  </w:rPr>
                  <w:tag w:val="_PLD_ba2024a236ba42b1a249a3ae70f526cb"/>
                  <w:id w:val="1458609217"/>
                  <w:lock w:val="sdtLocked"/>
                </w:sdtPr>
                <w:sdtEndPr/>
                <w:sdtContent>
                  <w:p w14:paraId="244B5FDA" w14:textId="77777777" w:rsidR="00D21C1F" w:rsidRDefault="00A42880">
                    <w:pPr>
                      <w:widowControl w:val="0"/>
                      <w:jc w:val="both"/>
                      <w:rPr>
                        <w:rFonts w:ascii="Times New Roman" w:hAnsi="Times New Roman" w:cs="Times New Roman"/>
                        <w:szCs w:val="21"/>
                      </w:rPr>
                    </w:pPr>
                    <w:r>
                      <w:rPr>
                        <w:rFonts w:ascii="Times New Roman" w:hAnsi="Times New Roman" w:cs="Times New Roman"/>
                        <w:szCs w:val="21"/>
                      </w:rPr>
                      <w:t>本年度投入募集资金总额</w:t>
                    </w:r>
                  </w:p>
                </w:sdtContent>
              </w:sdt>
            </w:tc>
            <w:sdt>
              <w:sdtPr>
                <w:rPr>
                  <w:rFonts w:ascii="Times New Roman" w:hAnsi="Times New Roman" w:cs="Times New Roman"/>
                  <w:szCs w:val="21"/>
                </w:rPr>
                <w:alias w:val="本年度投入募集资金总额"/>
                <w:tag w:val="_GBC_c8fadc8b3f564965bb0e23c5b936f1aa"/>
                <w:id w:val="-742104087"/>
                <w:lock w:val="sdtLocked"/>
              </w:sdtPr>
              <w:sdtEndPr/>
              <w:sdtContent>
                <w:tc>
                  <w:tcPr>
                    <w:tcW w:w="1115" w:type="pct"/>
                    <w:gridSpan w:val="4"/>
                    <w:shd w:val="clear" w:color="auto" w:fill="auto"/>
                    <w:vAlign w:val="center"/>
                  </w:tcPr>
                  <w:p w14:paraId="7AA8E710"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6,853.29</w:t>
                    </w:r>
                  </w:p>
                </w:tc>
              </w:sdtContent>
            </w:sdt>
          </w:tr>
          <w:tr w:rsidR="00D21C1F" w14:paraId="57208BE6" w14:textId="77777777">
            <w:trPr>
              <w:trHeight w:val="236"/>
              <w:jc w:val="center"/>
            </w:trPr>
            <w:tc>
              <w:tcPr>
                <w:tcW w:w="1346" w:type="pct"/>
                <w:gridSpan w:val="3"/>
                <w:shd w:val="clear" w:color="auto" w:fill="auto"/>
                <w:vAlign w:val="center"/>
              </w:tcPr>
              <w:sdt>
                <w:sdtPr>
                  <w:rPr>
                    <w:rFonts w:hint="eastAsia"/>
                    <w:szCs w:val="21"/>
                  </w:rPr>
                  <w:tag w:val="_PLD_cfd81a35aec441cda42a9932c67fb070"/>
                  <w:id w:val="1238985298"/>
                  <w:lock w:val="sdtLocked"/>
                </w:sdtPr>
                <w:sdtEndPr>
                  <w:rPr>
                    <w:rFonts w:hint="default"/>
                  </w:rPr>
                </w:sdtEndPr>
                <w:sdtContent>
                  <w:p w14:paraId="122B8134" w14:textId="77777777" w:rsidR="00D21C1F" w:rsidRDefault="00A42880">
                    <w:pPr>
                      <w:widowControl w:val="0"/>
                      <w:jc w:val="both"/>
                      <w:rPr>
                        <w:szCs w:val="21"/>
                      </w:rPr>
                    </w:pPr>
                    <w:r>
                      <w:rPr>
                        <w:rFonts w:hint="eastAsia"/>
                        <w:szCs w:val="21"/>
                      </w:rPr>
                      <w:t>变更</w:t>
                    </w:r>
                    <w:r>
                      <w:rPr>
                        <w:szCs w:val="21"/>
                      </w:rPr>
                      <w:t>用途的募集资金总额</w:t>
                    </w:r>
                  </w:p>
                </w:sdtContent>
              </w:sdt>
            </w:tc>
            <w:tc>
              <w:tcPr>
                <w:tcW w:w="1312" w:type="pct"/>
                <w:gridSpan w:val="3"/>
                <w:shd w:val="clear" w:color="auto" w:fill="auto"/>
                <w:vAlign w:val="center"/>
              </w:tcPr>
              <w:p w14:paraId="2A08524D" w14:textId="77777777" w:rsidR="00D21C1F" w:rsidRDefault="00A42880">
                <w:pPr>
                  <w:widowControl w:val="0"/>
                  <w:jc w:val="right"/>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w:t>
                </w:r>
              </w:p>
            </w:tc>
            <w:tc>
              <w:tcPr>
                <w:tcW w:w="1226" w:type="pct"/>
                <w:gridSpan w:val="3"/>
                <w:vMerge w:val="restart"/>
                <w:shd w:val="clear" w:color="auto" w:fill="auto"/>
                <w:vAlign w:val="center"/>
              </w:tcPr>
              <w:sdt>
                <w:sdtPr>
                  <w:rPr>
                    <w:rFonts w:ascii="Times New Roman" w:hAnsi="Times New Roman" w:cs="Times New Roman"/>
                    <w:szCs w:val="21"/>
                  </w:rPr>
                  <w:tag w:val="_PLD_a15de170f15b4acc8e48999894d418a0"/>
                  <w:id w:val="644929673"/>
                  <w:lock w:val="sdtLocked"/>
                </w:sdtPr>
                <w:sdtEndPr/>
                <w:sdtContent>
                  <w:p w14:paraId="1C4A2679" w14:textId="77777777" w:rsidR="00D21C1F" w:rsidRDefault="00A42880">
                    <w:pPr>
                      <w:widowControl w:val="0"/>
                      <w:jc w:val="both"/>
                      <w:rPr>
                        <w:rFonts w:ascii="Times New Roman" w:hAnsi="Times New Roman" w:cs="Times New Roman"/>
                        <w:szCs w:val="21"/>
                      </w:rPr>
                    </w:pPr>
                    <w:r>
                      <w:rPr>
                        <w:rFonts w:ascii="Times New Roman" w:hAnsi="Times New Roman" w:cs="Times New Roman"/>
                        <w:szCs w:val="21"/>
                      </w:rPr>
                      <w:t>已累计投入募集资金总额</w:t>
                    </w:r>
                  </w:p>
                </w:sdtContent>
              </w:sdt>
            </w:tc>
            <w:tc>
              <w:tcPr>
                <w:tcW w:w="1115" w:type="pct"/>
                <w:gridSpan w:val="4"/>
                <w:vMerge w:val="restart"/>
                <w:shd w:val="clear" w:color="auto" w:fill="auto"/>
                <w:vAlign w:val="center"/>
              </w:tcPr>
              <w:p w14:paraId="63B2A2E8"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15,502.55</w:t>
                </w:r>
              </w:p>
            </w:tc>
          </w:tr>
          <w:tr w:rsidR="00D21C1F" w14:paraId="0C28ED02" w14:textId="77777777">
            <w:trPr>
              <w:trHeight w:val="198"/>
              <w:jc w:val="center"/>
            </w:trPr>
            <w:tc>
              <w:tcPr>
                <w:tcW w:w="1346" w:type="pct"/>
                <w:gridSpan w:val="3"/>
                <w:shd w:val="clear" w:color="auto" w:fill="auto"/>
                <w:vAlign w:val="center"/>
              </w:tcPr>
              <w:sdt>
                <w:sdtPr>
                  <w:rPr>
                    <w:rFonts w:hint="eastAsia"/>
                    <w:szCs w:val="21"/>
                  </w:rPr>
                  <w:tag w:val="_PLD_39beeae86e5b4ddc8a754d19c63a63f2"/>
                  <w:id w:val="1569920193"/>
                  <w:lock w:val="sdtLocked"/>
                </w:sdtPr>
                <w:sdtEndPr>
                  <w:rPr>
                    <w:rFonts w:hint="default"/>
                  </w:rPr>
                </w:sdtEndPr>
                <w:sdtContent>
                  <w:p w14:paraId="16A3ECCB" w14:textId="77777777" w:rsidR="00D21C1F" w:rsidRDefault="00A42880">
                    <w:pPr>
                      <w:widowControl w:val="0"/>
                      <w:jc w:val="both"/>
                      <w:rPr>
                        <w:szCs w:val="21"/>
                      </w:rPr>
                    </w:pPr>
                    <w:r>
                      <w:rPr>
                        <w:rFonts w:hint="eastAsia"/>
                        <w:szCs w:val="21"/>
                      </w:rPr>
                      <w:t>变更</w:t>
                    </w:r>
                    <w:r>
                      <w:rPr>
                        <w:szCs w:val="21"/>
                      </w:rPr>
                      <w:t>用途的募集资金总额比例（</w:t>
                    </w:r>
                    <w:r>
                      <w:rPr>
                        <w:rFonts w:hint="eastAsia"/>
                        <w:szCs w:val="21"/>
                      </w:rPr>
                      <w:t>%</w:t>
                    </w:r>
                    <w:r>
                      <w:rPr>
                        <w:szCs w:val="21"/>
                      </w:rPr>
                      <w:t>）</w:t>
                    </w:r>
                  </w:p>
                </w:sdtContent>
              </w:sdt>
            </w:tc>
            <w:tc>
              <w:tcPr>
                <w:tcW w:w="1312" w:type="pct"/>
                <w:gridSpan w:val="3"/>
                <w:shd w:val="clear" w:color="auto" w:fill="auto"/>
                <w:vAlign w:val="center"/>
              </w:tcPr>
              <w:p w14:paraId="29BFF35A" w14:textId="77777777" w:rsidR="00D21C1F" w:rsidRDefault="00A42880">
                <w:pPr>
                  <w:widowControl w:val="0"/>
                  <w:jc w:val="right"/>
                  <w:rPr>
                    <w:szCs w:val="21"/>
                  </w:rPr>
                </w:pPr>
                <w:r>
                  <w:rPr>
                    <w:rFonts w:hint="eastAsia"/>
                    <w:szCs w:val="21"/>
                  </w:rPr>
                  <w:t>-</w:t>
                </w:r>
              </w:p>
            </w:tc>
            <w:tc>
              <w:tcPr>
                <w:tcW w:w="1226" w:type="pct"/>
                <w:gridSpan w:val="3"/>
                <w:vMerge/>
                <w:shd w:val="clear" w:color="auto" w:fill="auto"/>
              </w:tcPr>
              <w:p w14:paraId="43E781BC" w14:textId="77777777" w:rsidR="00D21C1F" w:rsidRDefault="00D21C1F">
                <w:pPr>
                  <w:widowControl w:val="0"/>
                  <w:jc w:val="both"/>
                  <w:rPr>
                    <w:szCs w:val="21"/>
                  </w:rPr>
                </w:pPr>
              </w:p>
            </w:tc>
            <w:tc>
              <w:tcPr>
                <w:tcW w:w="1115" w:type="pct"/>
                <w:gridSpan w:val="4"/>
                <w:vMerge/>
                <w:shd w:val="clear" w:color="auto" w:fill="auto"/>
              </w:tcPr>
              <w:p w14:paraId="2368F26C" w14:textId="77777777" w:rsidR="00D21C1F" w:rsidRDefault="00D21C1F">
                <w:pPr>
                  <w:widowControl w:val="0"/>
                  <w:jc w:val="both"/>
                  <w:rPr>
                    <w:szCs w:val="21"/>
                  </w:rPr>
                </w:pPr>
              </w:p>
            </w:tc>
          </w:tr>
          <w:tr w:rsidR="00D21C1F" w14:paraId="1A2F67FE" w14:textId="77777777">
            <w:trPr>
              <w:trHeight w:val="572"/>
              <w:jc w:val="center"/>
            </w:trPr>
            <w:tc>
              <w:tcPr>
                <w:tcW w:w="525" w:type="pct"/>
                <w:shd w:val="clear" w:color="auto" w:fill="auto"/>
                <w:vAlign w:val="center"/>
              </w:tcPr>
              <w:sdt>
                <w:sdtPr>
                  <w:rPr>
                    <w:rFonts w:hint="eastAsia"/>
                    <w:szCs w:val="21"/>
                  </w:rPr>
                  <w:tag w:val="_PLD_ac0b72cd01c442fcb245c6dfba1ae5c7"/>
                  <w:id w:val="-2052829274"/>
                  <w:lock w:val="sdtLocked"/>
                </w:sdtPr>
                <w:sdtEndPr>
                  <w:rPr>
                    <w:rFonts w:hint="default"/>
                  </w:rPr>
                </w:sdtEndPr>
                <w:sdtContent>
                  <w:p w14:paraId="19191C0D" w14:textId="77777777" w:rsidR="00D21C1F" w:rsidRDefault="00A42880">
                    <w:pPr>
                      <w:widowControl w:val="0"/>
                      <w:jc w:val="both"/>
                      <w:rPr>
                        <w:szCs w:val="21"/>
                      </w:rPr>
                    </w:pPr>
                    <w:r>
                      <w:rPr>
                        <w:rFonts w:hint="eastAsia"/>
                        <w:szCs w:val="21"/>
                      </w:rPr>
                      <w:t>承诺</w:t>
                    </w:r>
                    <w:r>
                      <w:rPr>
                        <w:szCs w:val="21"/>
                      </w:rPr>
                      <w:t>投资项目</w:t>
                    </w:r>
                  </w:p>
                </w:sdtContent>
              </w:sdt>
            </w:tc>
            <w:tc>
              <w:tcPr>
                <w:tcW w:w="368" w:type="pct"/>
                <w:shd w:val="clear" w:color="auto" w:fill="auto"/>
                <w:vAlign w:val="center"/>
              </w:tcPr>
              <w:sdt>
                <w:sdtPr>
                  <w:rPr>
                    <w:rFonts w:hint="eastAsia"/>
                    <w:szCs w:val="21"/>
                  </w:rPr>
                  <w:tag w:val="_PLD_86f5de50babb4d05979552e3ec0bfa58"/>
                  <w:id w:val="-619758696"/>
                  <w:lock w:val="sdtLocked"/>
                </w:sdtPr>
                <w:sdtEndPr>
                  <w:rPr>
                    <w:rFonts w:hint="default"/>
                  </w:rPr>
                </w:sdtEndPr>
                <w:sdtContent>
                  <w:p w14:paraId="7355ECA5" w14:textId="77777777" w:rsidR="00D21C1F" w:rsidRDefault="00A42880">
                    <w:pPr>
                      <w:widowControl w:val="0"/>
                      <w:jc w:val="both"/>
                      <w:rPr>
                        <w:szCs w:val="21"/>
                      </w:rPr>
                    </w:pPr>
                    <w:r>
                      <w:rPr>
                        <w:rFonts w:hint="eastAsia"/>
                        <w:szCs w:val="21"/>
                      </w:rPr>
                      <w:t>已变更</w:t>
                    </w:r>
                    <w:r>
                      <w:rPr>
                        <w:szCs w:val="21"/>
                      </w:rPr>
                      <w:t>项目，含部分变更（</w:t>
                    </w:r>
                    <w:r>
                      <w:rPr>
                        <w:rFonts w:hint="eastAsia"/>
                        <w:szCs w:val="21"/>
                      </w:rPr>
                      <w:t>如有</w:t>
                    </w:r>
                    <w:r>
                      <w:rPr>
                        <w:szCs w:val="21"/>
                      </w:rPr>
                      <w:t>）</w:t>
                    </w:r>
                  </w:p>
                </w:sdtContent>
              </w:sdt>
            </w:tc>
            <w:sdt>
              <w:sdtPr>
                <w:rPr>
                  <w:rFonts w:hint="eastAsia"/>
                  <w:szCs w:val="21"/>
                </w:rPr>
                <w:tag w:val="_PLD_279179463f6a4fd2820ebe83f929e454"/>
                <w:id w:val="-2010132868"/>
                <w:lock w:val="sdtLocked"/>
              </w:sdtPr>
              <w:sdtEndPr>
                <w:rPr>
                  <w:rFonts w:hint="default"/>
                </w:rPr>
              </w:sdtEndPr>
              <w:sdtContent>
                <w:tc>
                  <w:tcPr>
                    <w:tcW w:w="453" w:type="pct"/>
                    <w:shd w:val="clear" w:color="auto" w:fill="auto"/>
                    <w:vAlign w:val="center"/>
                  </w:tcPr>
                  <w:p w14:paraId="4264728C" w14:textId="77777777" w:rsidR="00D21C1F" w:rsidRDefault="00A42880">
                    <w:pPr>
                      <w:widowControl w:val="0"/>
                      <w:jc w:val="both"/>
                      <w:rPr>
                        <w:szCs w:val="21"/>
                      </w:rPr>
                    </w:pPr>
                    <w:r>
                      <w:rPr>
                        <w:rFonts w:hint="eastAsia"/>
                        <w:szCs w:val="21"/>
                      </w:rPr>
                      <w:t>募集</w:t>
                    </w:r>
                    <w:r>
                      <w:rPr>
                        <w:szCs w:val="21"/>
                      </w:rPr>
                      <w:t>资金承诺投资总额</w:t>
                    </w:r>
                  </w:p>
                </w:tc>
              </w:sdtContent>
            </w:sdt>
            <w:tc>
              <w:tcPr>
                <w:tcW w:w="494" w:type="pct"/>
                <w:shd w:val="clear" w:color="auto" w:fill="auto"/>
                <w:vAlign w:val="center"/>
              </w:tcPr>
              <w:sdt>
                <w:sdtPr>
                  <w:rPr>
                    <w:rFonts w:hint="eastAsia"/>
                    <w:szCs w:val="21"/>
                  </w:rPr>
                  <w:tag w:val="_PLD_f9fc808ee79948cdbd278691f1b695f7"/>
                  <w:id w:val="-933349733"/>
                  <w:lock w:val="sdtLocked"/>
                </w:sdtPr>
                <w:sdtEndPr>
                  <w:rPr>
                    <w:rFonts w:hint="default"/>
                  </w:rPr>
                </w:sdtEndPr>
                <w:sdtContent>
                  <w:p w14:paraId="228B4166" w14:textId="77777777" w:rsidR="00D21C1F" w:rsidRDefault="00A42880">
                    <w:pPr>
                      <w:widowControl w:val="0"/>
                      <w:jc w:val="both"/>
                      <w:rPr>
                        <w:szCs w:val="21"/>
                      </w:rPr>
                    </w:pPr>
                    <w:r>
                      <w:rPr>
                        <w:rFonts w:hint="eastAsia"/>
                        <w:szCs w:val="21"/>
                      </w:rPr>
                      <w:t>调整后</w:t>
                    </w:r>
                    <w:r>
                      <w:rPr>
                        <w:szCs w:val="21"/>
                      </w:rPr>
                      <w:t>投资总额</w:t>
                    </w:r>
                  </w:p>
                </w:sdtContent>
              </w:sdt>
            </w:tc>
            <w:tc>
              <w:tcPr>
                <w:tcW w:w="409" w:type="pct"/>
                <w:shd w:val="clear" w:color="auto" w:fill="auto"/>
                <w:vAlign w:val="center"/>
              </w:tcPr>
              <w:sdt>
                <w:sdtPr>
                  <w:rPr>
                    <w:rFonts w:hint="eastAsia"/>
                    <w:szCs w:val="21"/>
                  </w:rPr>
                  <w:tag w:val="_PLD_f7b14b1bbb1e40f88617d19ae6e4284d"/>
                  <w:id w:val="722787371"/>
                  <w:lock w:val="sdtLocked"/>
                </w:sdtPr>
                <w:sdtEndPr/>
                <w:sdtContent>
                  <w:p w14:paraId="5358A60B" w14:textId="77777777" w:rsidR="00D21C1F" w:rsidRDefault="00A42880">
                    <w:pPr>
                      <w:widowControl w:val="0"/>
                      <w:jc w:val="both"/>
                      <w:rPr>
                        <w:szCs w:val="21"/>
                      </w:rPr>
                    </w:pPr>
                    <w:r>
                      <w:rPr>
                        <w:rFonts w:hint="eastAsia"/>
                        <w:szCs w:val="21"/>
                      </w:rPr>
                      <w:t>截至</w:t>
                    </w:r>
                    <w:r>
                      <w:rPr>
                        <w:szCs w:val="21"/>
                      </w:rPr>
                      <w:t>期末承诺投入金额</w:t>
                    </w: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rPr>
                      <w:t>①</w:t>
                    </w:r>
                    <w:r>
                      <w:rPr>
                        <w:szCs w:val="21"/>
                      </w:rPr>
                      <w:fldChar w:fldCharType="end"/>
                    </w:r>
                  </w:p>
                </w:sdtContent>
              </w:sdt>
            </w:tc>
            <w:tc>
              <w:tcPr>
                <w:tcW w:w="409" w:type="pct"/>
                <w:shd w:val="clear" w:color="auto" w:fill="auto"/>
                <w:vAlign w:val="center"/>
              </w:tcPr>
              <w:sdt>
                <w:sdtPr>
                  <w:rPr>
                    <w:rFonts w:hint="eastAsia"/>
                    <w:szCs w:val="21"/>
                  </w:rPr>
                  <w:tag w:val="_PLD_9e0bbb8681f34277b9ddc311e580ad7c"/>
                  <w:id w:val="-661393013"/>
                  <w:lock w:val="sdtLocked"/>
                </w:sdtPr>
                <w:sdtEndPr>
                  <w:rPr>
                    <w:rFonts w:hint="default"/>
                  </w:rPr>
                </w:sdtEndPr>
                <w:sdtContent>
                  <w:p w14:paraId="0AE6D27C" w14:textId="77777777" w:rsidR="00D21C1F" w:rsidRDefault="00A42880">
                    <w:pPr>
                      <w:widowControl w:val="0"/>
                      <w:jc w:val="both"/>
                      <w:rPr>
                        <w:szCs w:val="21"/>
                      </w:rPr>
                    </w:pPr>
                    <w:r>
                      <w:rPr>
                        <w:rFonts w:hint="eastAsia"/>
                        <w:szCs w:val="21"/>
                      </w:rPr>
                      <w:t>本年度</w:t>
                    </w:r>
                    <w:r>
                      <w:rPr>
                        <w:szCs w:val="21"/>
                      </w:rPr>
                      <w:t>投入金额</w:t>
                    </w:r>
                  </w:p>
                </w:sdtContent>
              </w:sdt>
            </w:tc>
            <w:tc>
              <w:tcPr>
                <w:tcW w:w="409" w:type="pct"/>
                <w:shd w:val="clear" w:color="auto" w:fill="auto"/>
                <w:vAlign w:val="center"/>
              </w:tcPr>
              <w:sdt>
                <w:sdtPr>
                  <w:rPr>
                    <w:rFonts w:hint="eastAsia"/>
                    <w:szCs w:val="21"/>
                  </w:rPr>
                  <w:tag w:val="_PLD_ab59d36ffb08411e98f4cfebfa25441c"/>
                  <w:id w:val="-701625067"/>
                  <w:lock w:val="sdtLocked"/>
                </w:sdtPr>
                <w:sdtEndPr/>
                <w:sdtContent>
                  <w:p w14:paraId="54259465" w14:textId="77777777" w:rsidR="00D21C1F" w:rsidRDefault="00A42880">
                    <w:pPr>
                      <w:widowControl w:val="0"/>
                      <w:jc w:val="both"/>
                      <w:rPr>
                        <w:szCs w:val="21"/>
                      </w:rPr>
                    </w:pPr>
                    <w:r>
                      <w:rPr>
                        <w:rFonts w:hint="eastAsia"/>
                        <w:szCs w:val="21"/>
                      </w:rPr>
                      <w:t>截至</w:t>
                    </w:r>
                    <w:r>
                      <w:rPr>
                        <w:szCs w:val="21"/>
                      </w:rPr>
                      <w:t>期末累计投入金额</w:t>
                    </w: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p>
                </w:sdtContent>
              </w:sdt>
            </w:tc>
            <w:tc>
              <w:tcPr>
                <w:tcW w:w="409" w:type="pct"/>
                <w:shd w:val="clear" w:color="auto" w:fill="auto"/>
                <w:vAlign w:val="center"/>
              </w:tcPr>
              <w:sdt>
                <w:sdtPr>
                  <w:rPr>
                    <w:rFonts w:hint="eastAsia"/>
                    <w:szCs w:val="21"/>
                  </w:rPr>
                  <w:tag w:val="_PLD_237629d888ac4194bd7adf4a215c524b"/>
                  <w:id w:val="478893693"/>
                  <w:lock w:val="sdtLocked"/>
                </w:sdtPr>
                <w:sdtEndPr>
                  <w:rPr>
                    <w:rFonts w:hint="default"/>
                  </w:rPr>
                </w:sdtEndPr>
                <w:sdtContent>
                  <w:p w14:paraId="40BACD1E" w14:textId="77777777" w:rsidR="00D21C1F" w:rsidRDefault="00A42880">
                    <w:pPr>
                      <w:widowControl w:val="0"/>
                      <w:jc w:val="both"/>
                      <w:rPr>
                        <w:szCs w:val="21"/>
                      </w:rPr>
                    </w:pPr>
                    <w:r>
                      <w:rPr>
                        <w:rFonts w:hint="eastAsia"/>
                        <w:szCs w:val="21"/>
                      </w:rPr>
                      <w:t>截至</w:t>
                    </w:r>
                    <w:r>
                      <w:rPr>
                        <w:szCs w:val="21"/>
                      </w:rPr>
                      <w:t>期末累计投入金额与承诺投入金额的差额</w:t>
                    </w:r>
                  </w:p>
                  <w:p w14:paraId="595BDD5A" w14:textId="77777777" w:rsidR="00D21C1F" w:rsidRDefault="00A42880">
                    <w:pPr>
                      <w:widowControl w:val="0"/>
                      <w:jc w:val="both"/>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w:t>
                    </w: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w:t>
                    </w: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rPr>
                      <w:t>①</w:t>
                    </w:r>
                    <w:r>
                      <w:rPr>
                        <w:szCs w:val="21"/>
                      </w:rPr>
                      <w:fldChar w:fldCharType="end"/>
                    </w:r>
                  </w:p>
                </w:sdtContent>
              </w:sdt>
            </w:tc>
            <w:tc>
              <w:tcPr>
                <w:tcW w:w="409" w:type="pct"/>
                <w:shd w:val="clear" w:color="auto" w:fill="auto"/>
                <w:vAlign w:val="center"/>
              </w:tcPr>
              <w:sdt>
                <w:sdtPr>
                  <w:rPr>
                    <w:rFonts w:hint="eastAsia"/>
                    <w:szCs w:val="21"/>
                  </w:rPr>
                  <w:tag w:val="_PLD_34f0a79569fb404697b6c136f4e401af"/>
                  <w:id w:val="1633903654"/>
                  <w:lock w:val="sdtLocked"/>
                </w:sdtPr>
                <w:sdtEndPr/>
                <w:sdtContent>
                  <w:p w14:paraId="34479D4A" w14:textId="77777777" w:rsidR="00D21C1F" w:rsidRDefault="00A42880">
                    <w:pPr>
                      <w:widowControl w:val="0"/>
                      <w:jc w:val="both"/>
                      <w:rPr>
                        <w:szCs w:val="21"/>
                      </w:rPr>
                    </w:pPr>
                    <w:r>
                      <w:rPr>
                        <w:rFonts w:hint="eastAsia"/>
                        <w:szCs w:val="21"/>
                      </w:rPr>
                      <w:t>截至</w:t>
                    </w:r>
                    <w:r>
                      <w:rPr>
                        <w:szCs w:val="21"/>
                      </w:rPr>
                      <w:t>期末投入进度（%）</w:t>
                    </w:r>
                  </w:p>
                  <w:p w14:paraId="3A69E052" w14:textId="77777777" w:rsidR="00D21C1F" w:rsidRDefault="00A42880">
                    <w:pPr>
                      <w:widowControl w:val="0"/>
                      <w:jc w:val="both"/>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szCs w:val="21"/>
                      </w:rPr>
                      <w:t>④</w:t>
                    </w:r>
                    <w:r>
                      <w:rPr>
                        <w:szCs w:val="21"/>
                      </w:rPr>
                      <w:fldChar w:fldCharType="end"/>
                    </w:r>
                    <w:r>
                      <w:rPr>
                        <w:rFonts w:hint="eastAsia"/>
                        <w:szCs w:val="21"/>
                      </w:rPr>
                      <w:t>=</w:t>
                    </w: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w:t>
                    </w: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rPr>
                      <w:t>①</w:t>
                    </w:r>
                    <w:r>
                      <w:rPr>
                        <w:szCs w:val="21"/>
                      </w:rPr>
                      <w:fldChar w:fldCharType="end"/>
                    </w:r>
                  </w:p>
                </w:sdtContent>
              </w:sdt>
            </w:tc>
            <w:tc>
              <w:tcPr>
                <w:tcW w:w="357" w:type="pct"/>
                <w:shd w:val="clear" w:color="auto" w:fill="auto"/>
                <w:vAlign w:val="center"/>
              </w:tcPr>
              <w:sdt>
                <w:sdtPr>
                  <w:rPr>
                    <w:rFonts w:hint="eastAsia"/>
                    <w:szCs w:val="21"/>
                  </w:rPr>
                  <w:tag w:val="_PLD_0c9f5689d2c940128f8065b5f239d0b7"/>
                  <w:id w:val="1326245607"/>
                  <w:lock w:val="sdtLocked"/>
                </w:sdtPr>
                <w:sdtEndPr>
                  <w:rPr>
                    <w:rFonts w:hint="default"/>
                  </w:rPr>
                </w:sdtEndPr>
                <w:sdtContent>
                  <w:p w14:paraId="0ACF8BB9" w14:textId="77777777" w:rsidR="00D21C1F" w:rsidRDefault="00A42880">
                    <w:pPr>
                      <w:widowControl w:val="0"/>
                      <w:jc w:val="both"/>
                      <w:rPr>
                        <w:szCs w:val="21"/>
                      </w:rPr>
                    </w:pPr>
                    <w:r>
                      <w:rPr>
                        <w:rFonts w:hint="eastAsia"/>
                        <w:szCs w:val="21"/>
                      </w:rPr>
                      <w:t>项目</w:t>
                    </w:r>
                    <w:r>
                      <w:rPr>
                        <w:szCs w:val="21"/>
                      </w:rPr>
                      <w:t>达到预定可使用状态日期</w:t>
                    </w:r>
                  </w:p>
                </w:sdtContent>
              </w:sdt>
            </w:tc>
            <w:tc>
              <w:tcPr>
                <w:tcW w:w="359" w:type="pct"/>
                <w:shd w:val="clear" w:color="auto" w:fill="auto"/>
                <w:vAlign w:val="center"/>
              </w:tcPr>
              <w:sdt>
                <w:sdtPr>
                  <w:rPr>
                    <w:rFonts w:hint="eastAsia"/>
                    <w:szCs w:val="21"/>
                  </w:rPr>
                  <w:tag w:val="_PLD_b7c0ea5f66194238aa85488efa9874d8"/>
                  <w:id w:val="-1926955298"/>
                  <w:lock w:val="sdtLocked"/>
                </w:sdtPr>
                <w:sdtEndPr>
                  <w:rPr>
                    <w:rFonts w:hint="default"/>
                  </w:rPr>
                </w:sdtEndPr>
                <w:sdtContent>
                  <w:p w14:paraId="572FFB31" w14:textId="77777777" w:rsidR="00D21C1F" w:rsidRDefault="00A42880">
                    <w:pPr>
                      <w:widowControl w:val="0"/>
                      <w:jc w:val="both"/>
                      <w:rPr>
                        <w:szCs w:val="21"/>
                      </w:rPr>
                    </w:pPr>
                    <w:r>
                      <w:rPr>
                        <w:rFonts w:hint="eastAsia"/>
                        <w:szCs w:val="21"/>
                      </w:rPr>
                      <w:t>本年度</w:t>
                    </w:r>
                    <w:r>
                      <w:rPr>
                        <w:szCs w:val="21"/>
                      </w:rPr>
                      <w:t>实现的效益</w:t>
                    </w:r>
                  </w:p>
                </w:sdtContent>
              </w:sdt>
            </w:tc>
            <w:tc>
              <w:tcPr>
                <w:tcW w:w="205" w:type="pct"/>
                <w:shd w:val="clear" w:color="auto" w:fill="auto"/>
                <w:vAlign w:val="center"/>
              </w:tcPr>
              <w:sdt>
                <w:sdtPr>
                  <w:rPr>
                    <w:rFonts w:hint="eastAsia"/>
                    <w:szCs w:val="21"/>
                  </w:rPr>
                  <w:tag w:val="_PLD_7962ca626d3b47958f4177849a1c4028"/>
                  <w:id w:val="-389724485"/>
                  <w:lock w:val="sdtLocked"/>
                </w:sdtPr>
                <w:sdtEndPr>
                  <w:rPr>
                    <w:rFonts w:hint="default"/>
                  </w:rPr>
                </w:sdtEndPr>
                <w:sdtContent>
                  <w:p w14:paraId="66C46F79" w14:textId="77777777" w:rsidR="00D21C1F" w:rsidRDefault="00A42880">
                    <w:pPr>
                      <w:widowControl w:val="0"/>
                      <w:jc w:val="both"/>
                      <w:rPr>
                        <w:szCs w:val="21"/>
                      </w:rPr>
                    </w:pPr>
                    <w:r>
                      <w:rPr>
                        <w:rFonts w:hint="eastAsia"/>
                        <w:szCs w:val="21"/>
                      </w:rPr>
                      <w:t>是否</w:t>
                    </w:r>
                    <w:r>
                      <w:rPr>
                        <w:szCs w:val="21"/>
                      </w:rPr>
                      <w:t>达到预计效益</w:t>
                    </w:r>
                  </w:p>
                </w:sdtContent>
              </w:sdt>
            </w:tc>
            <w:tc>
              <w:tcPr>
                <w:tcW w:w="194" w:type="pct"/>
                <w:shd w:val="clear" w:color="auto" w:fill="auto"/>
                <w:vAlign w:val="center"/>
              </w:tcPr>
              <w:sdt>
                <w:sdtPr>
                  <w:rPr>
                    <w:rFonts w:hint="eastAsia"/>
                    <w:szCs w:val="21"/>
                  </w:rPr>
                  <w:tag w:val="_PLD_b8d44d88458347589653da9799f3b3ba"/>
                  <w:id w:val="-1031880353"/>
                  <w:lock w:val="sdtLocked"/>
                </w:sdtPr>
                <w:sdtEndPr>
                  <w:rPr>
                    <w:rFonts w:hint="default"/>
                  </w:rPr>
                </w:sdtEndPr>
                <w:sdtContent>
                  <w:p w14:paraId="18F56BA5" w14:textId="77777777" w:rsidR="00D21C1F" w:rsidRDefault="00A42880">
                    <w:pPr>
                      <w:widowControl w:val="0"/>
                      <w:jc w:val="both"/>
                      <w:rPr>
                        <w:szCs w:val="21"/>
                      </w:rPr>
                    </w:pPr>
                    <w:r>
                      <w:rPr>
                        <w:rFonts w:hint="eastAsia"/>
                        <w:szCs w:val="21"/>
                      </w:rPr>
                      <w:t>项目可行性</w:t>
                    </w:r>
                    <w:r>
                      <w:rPr>
                        <w:szCs w:val="21"/>
                      </w:rPr>
                      <w:t>是否发生重大变化</w:t>
                    </w:r>
                  </w:p>
                </w:sdtContent>
              </w:sdt>
            </w:tc>
          </w:tr>
          <w:sdt>
            <w:sdtPr>
              <w:rPr>
                <w:szCs w:val="21"/>
              </w:rPr>
              <w:alias w:val="募集资金使用进展明细"/>
              <w:tag w:val="_TUP_561069bf6ebb4a94a35ce9d1fe9b8e8a"/>
              <w:id w:val="-977447400"/>
              <w:placeholder>
                <w:docPart w:val="GBC11111111111111111111111111111"/>
              </w:placeholder>
            </w:sdtPr>
            <w:sdtEndPr>
              <w:rPr>
                <w:rFonts w:ascii="Times New Roman" w:hAnsi="Times New Roman" w:cs="Times New Roman"/>
              </w:rPr>
            </w:sdtEndPr>
            <w:sdtContent>
              <w:tr w:rsidR="00D21C1F" w14:paraId="5687D0F8" w14:textId="77777777">
                <w:trPr>
                  <w:trHeight w:val="325"/>
                  <w:jc w:val="center"/>
                </w:trPr>
                <w:tc>
                  <w:tcPr>
                    <w:tcW w:w="525" w:type="pct"/>
                    <w:shd w:val="clear" w:color="auto" w:fill="auto"/>
                    <w:vAlign w:val="center"/>
                  </w:tcPr>
                  <w:p w14:paraId="27B546F4" w14:textId="77777777" w:rsidR="00D21C1F" w:rsidRDefault="00A42880">
                    <w:pPr>
                      <w:widowControl w:val="0"/>
                      <w:rPr>
                        <w:szCs w:val="21"/>
                      </w:rPr>
                    </w:pPr>
                    <w:r>
                      <w:rPr>
                        <w:rFonts w:hint="eastAsia"/>
                        <w:szCs w:val="21"/>
                      </w:rPr>
                      <w:t>下一代智能高性能工业机器人研发及产业化项目</w:t>
                    </w:r>
                  </w:p>
                </w:tc>
                <w:tc>
                  <w:tcPr>
                    <w:tcW w:w="368" w:type="pct"/>
                    <w:shd w:val="clear" w:color="auto" w:fill="auto"/>
                    <w:vAlign w:val="center"/>
                  </w:tcPr>
                  <w:p w14:paraId="706FC3A6" w14:textId="77777777" w:rsidR="00D21C1F" w:rsidRDefault="00A42880">
                    <w:pPr>
                      <w:widowControl w:val="0"/>
                      <w:rPr>
                        <w:szCs w:val="21"/>
                      </w:rPr>
                    </w:pPr>
                    <w:r>
                      <w:rPr>
                        <w:rFonts w:hint="eastAsia"/>
                        <w:szCs w:val="21"/>
                      </w:rPr>
                      <w:t>否</w:t>
                    </w:r>
                  </w:p>
                </w:tc>
                <w:tc>
                  <w:tcPr>
                    <w:tcW w:w="453" w:type="pct"/>
                    <w:shd w:val="clear" w:color="auto" w:fill="auto"/>
                    <w:vAlign w:val="center"/>
                  </w:tcPr>
                  <w:p w14:paraId="0AB19C50"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43,692.50</w:t>
                    </w:r>
                  </w:p>
                </w:tc>
                <w:tc>
                  <w:tcPr>
                    <w:tcW w:w="494" w:type="pct"/>
                    <w:shd w:val="clear" w:color="auto" w:fill="auto"/>
                    <w:vAlign w:val="center"/>
                  </w:tcPr>
                  <w:p w14:paraId="5AC656D8"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34,589.49</w:t>
                    </w:r>
                  </w:p>
                </w:tc>
                <w:tc>
                  <w:tcPr>
                    <w:tcW w:w="409" w:type="pct"/>
                    <w:shd w:val="clear" w:color="auto" w:fill="auto"/>
                    <w:vAlign w:val="center"/>
                  </w:tcPr>
                  <w:p w14:paraId="05FE75A3"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16,693.13</w:t>
                    </w:r>
                  </w:p>
                </w:tc>
                <w:tc>
                  <w:tcPr>
                    <w:tcW w:w="409" w:type="pct"/>
                    <w:shd w:val="clear" w:color="auto" w:fill="auto"/>
                    <w:vAlign w:val="center"/>
                  </w:tcPr>
                  <w:p w14:paraId="0DF3A78A"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1,019.10</w:t>
                    </w:r>
                  </w:p>
                </w:tc>
                <w:tc>
                  <w:tcPr>
                    <w:tcW w:w="409" w:type="pct"/>
                    <w:shd w:val="clear" w:color="auto" w:fill="auto"/>
                    <w:vAlign w:val="center"/>
                  </w:tcPr>
                  <w:p w14:paraId="576F0AE2"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6,232.62</w:t>
                    </w:r>
                  </w:p>
                </w:tc>
                <w:tc>
                  <w:tcPr>
                    <w:tcW w:w="409" w:type="pct"/>
                    <w:shd w:val="clear" w:color="auto" w:fill="auto"/>
                    <w:vAlign w:val="center"/>
                  </w:tcPr>
                  <w:p w14:paraId="5A017151" w14:textId="77777777" w:rsidR="00D21C1F" w:rsidRDefault="00A42880">
                    <w:pPr>
                      <w:widowControl w:val="0"/>
                      <w:jc w:val="righ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10,460.51</w:t>
                    </w:r>
                  </w:p>
                </w:tc>
                <w:tc>
                  <w:tcPr>
                    <w:tcW w:w="409" w:type="pct"/>
                    <w:shd w:val="clear" w:color="auto" w:fill="auto"/>
                    <w:vAlign w:val="center"/>
                  </w:tcPr>
                  <w:p w14:paraId="04651BE0"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37.34</w:t>
                    </w:r>
                  </w:p>
                </w:tc>
                <w:tc>
                  <w:tcPr>
                    <w:tcW w:w="357" w:type="pct"/>
                    <w:shd w:val="clear" w:color="auto" w:fill="auto"/>
                    <w:vAlign w:val="center"/>
                  </w:tcPr>
                  <w:p w14:paraId="35EB25FC" w14:textId="77777777" w:rsidR="00D21C1F" w:rsidRDefault="00A42880">
                    <w:pPr>
                      <w:widowControl w:val="0"/>
                      <w:rPr>
                        <w:rFonts w:ascii="Times New Roman" w:hAnsi="Times New Roman" w:cs="Times New Roman"/>
                        <w:szCs w:val="21"/>
                      </w:rPr>
                    </w:pPr>
                    <w:r>
                      <w:rPr>
                        <w:rFonts w:ascii="Times New Roman" w:hAnsi="Times New Roman" w:cs="Times New Roman"/>
                        <w:szCs w:val="21"/>
                      </w:rPr>
                      <w:t>2023</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p>
                </w:tc>
                <w:tc>
                  <w:tcPr>
                    <w:tcW w:w="359" w:type="pct"/>
                    <w:shd w:val="clear" w:color="auto" w:fill="auto"/>
                    <w:vAlign w:val="center"/>
                  </w:tcPr>
                  <w:p w14:paraId="191D0493" w14:textId="77777777" w:rsidR="00D21C1F" w:rsidRDefault="00A42880">
                    <w:pPr>
                      <w:widowControl w:val="0"/>
                      <w:jc w:val="right"/>
                      <w:rPr>
                        <w:rFonts w:ascii="Times New Roman" w:hAnsi="Times New Roman" w:cs="Times New Roman"/>
                        <w:szCs w:val="21"/>
                      </w:rPr>
                    </w:pPr>
                    <w:r>
                      <w:rPr>
                        <w:rFonts w:ascii="Times New Roman" w:hAnsi="Times New Roman" w:cs="Times New Roman" w:hint="eastAsia"/>
                        <w:szCs w:val="21"/>
                      </w:rPr>
                      <w:t>不适用</w:t>
                    </w:r>
                  </w:p>
                </w:tc>
                <w:sdt>
                  <w:sdtPr>
                    <w:rPr>
                      <w:rFonts w:ascii="Times New Roman" w:hAnsi="Times New Roman" w:cs="Times New Roman"/>
                      <w:szCs w:val="21"/>
                    </w:rPr>
                    <w:alias w:val="募集资金使用进展明细_是否达到预计效益"/>
                    <w:tag w:val="_GBC_05397eee74ef45e8b03e91d74a708588"/>
                    <w:id w:val="-835224765"/>
                    <w:lock w:val="sdtLocked"/>
                    <w:comboBox>
                      <w:listItem w:displayText="是" w:value="是"/>
                      <w:listItem w:displayText="否" w:value="否"/>
                      <w:listItem w:displayText="不适用" w:value="不适用"/>
                    </w:comboBox>
                  </w:sdtPr>
                  <w:sdtEndPr/>
                  <w:sdtContent>
                    <w:tc>
                      <w:tcPr>
                        <w:tcW w:w="205" w:type="pct"/>
                        <w:shd w:val="clear" w:color="auto" w:fill="auto"/>
                        <w:vAlign w:val="center"/>
                      </w:tcPr>
                      <w:p w14:paraId="09452E95" w14:textId="77777777" w:rsidR="00D21C1F" w:rsidRDefault="00A42880">
                        <w:pPr>
                          <w:widowControl w:val="0"/>
                          <w:rPr>
                            <w:rFonts w:ascii="Times New Roman" w:hAnsi="Times New Roman" w:cs="Times New Roman"/>
                            <w:szCs w:val="21"/>
                          </w:rPr>
                        </w:pPr>
                        <w:r>
                          <w:rPr>
                            <w:rFonts w:ascii="Times New Roman" w:hAnsi="Times New Roman" w:cs="Times New Roman"/>
                            <w:szCs w:val="21"/>
                          </w:rPr>
                          <w:t>不适用</w:t>
                        </w:r>
                      </w:p>
                    </w:tc>
                  </w:sdtContent>
                </w:sdt>
                <w:sdt>
                  <w:sdtPr>
                    <w:rPr>
                      <w:rFonts w:ascii="Times New Roman" w:hAnsi="Times New Roman" w:cs="Times New Roman"/>
                      <w:szCs w:val="21"/>
                    </w:rPr>
                    <w:alias w:val="募集资金使用进展明细_项目可行性是否发生重大变化"/>
                    <w:tag w:val="_GBC_b86cf91cf0a84c3e9e3ff7e2aaedab98"/>
                    <w:id w:val="180550768"/>
                    <w:lock w:val="sdtLocked"/>
                    <w:comboBox>
                      <w:listItem w:displayText="是" w:value="是"/>
                      <w:listItem w:displayText="否" w:value="否"/>
                    </w:comboBox>
                  </w:sdtPr>
                  <w:sdtEndPr/>
                  <w:sdtContent>
                    <w:tc>
                      <w:tcPr>
                        <w:tcW w:w="194" w:type="pct"/>
                        <w:shd w:val="clear" w:color="auto" w:fill="auto"/>
                        <w:vAlign w:val="center"/>
                      </w:tcPr>
                      <w:p w14:paraId="3E18BFEE" w14:textId="77777777" w:rsidR="00D21C1F" w:rsidRDefault="00A42880">
                        <w:pPr>
                          <w:widowControl w:val="0"/>
                          <w:rPr>
                            <w:rFonts w:ascii="Times New Roman" w:hAnsi="Times New Roman" w:cs="Times New Roman"/>
                            <w:szCs w:val="21"/>
                          </w:rPr>
                        </w:pPr>
                        <w:r>
                          <w:rPr>
                            <w:rFonts w:ascii="Times New Roman" w:hAnsi="Times New Roman" w:cs="Times New Roman"/>
                            <w:szCs w:val="21"/>
                          </w:rPr>
                          <w:t>否</w:t>
                        </w:r>
                      </w:p>
                    </w:tc>
                  </w:sdtContent>
                </w:sdt>
              </w:tr>
            </w:sdtContent>
          </w:sdt>
          <w:sdt>
            <w:sdtPr>
              <w:rPr>
                <w:szCs w:val="21"/>
              </w:rPr>
              <w:alias w:val="募集资金使用进展明细"/>
              <w:tag w:val="_TUP_561069bf6ebb4a94a35ce9d1fe9b8e8a"/>
              <w:id w:val="1242292767"/>
              <w:placeholder>
                <w:docPart w:val="GBC11111111111111111111111111111"/>
              </w:placeholder>
            </w:sdtPr>
            <w:sdtEndPr>
              <w:rPr>
                <w:rFonts w:ascii="Times New Roman" w:hAnsi="Times New Roman" w:cs="Times New Roman"/>
              </w:rPr>
            </w:sdtEndPr>
            <w:sdtContent>
              <w:tr w:rsidR="00D21C1F" w14:paraId="3754DFC8" w14:textId="77777777">
                <w:trPr>
                  <w:trHeight w:val="325"/>
                  <w:jc w:val="center"/>
                </w:trPr>
                <w:tc>
                  <w:tcPr>
                    <w:tcW w:w="525" w:type="pct"/>
                    <w:shd w:val="clear" w:color="auto" w:fill="auto"/>
                    <w:vAlign w:val="center"/>
                  </w:tcPr>
                  <w:p w14:paraId="3368AD2F" w14:textId="77777777" w:rsidR="00D21C1F" w:rsidRDefault="00A42880">
                    <w:pPr>
                      <w:widowControl w:val="0"/>
                      <w:rPr>
                        <w:szCs w:val="21"/>
                      </w:rPr>
                    </w:pPr>
                    <w:r>
                      <w:rPr>
                        <w:rFonts w:hint="eastAsia"/>
                        <w:szCs w:val="21"/>
                      </w:rPr>
                      <w:t>机器人核心部件性能提升与产能建设项目</w:t>
                    </w:r>
                  </w:p>
                </w:tc>
                <w:tc>
                  <w:tcPr>
                    <w:tcW w:w="368" w:type="pct"/>
                    <w:shd w:val="clear" w:color="auto" w:fill="auto"/>
                    <w:vAlign w:val="center"/>
                  </w:tcPr>
                  <w:p w14:paraId="51C8BDEA" w14:textId="77777777" w:rsidR="00D21C1F" w:rsidRDefault="00A42880">
                    <w:pPr>
                      <w:widowControl w:val="0"/>
                      <w:rPr>
                        <w:szCs w:val="21"/>
                      </w:rPr>
                    </w:pPr>
                    <w:r>
                      <w:rPr>
                        <w:rFonts w:hint="eastAsia"/>
                        <w:szCs w:val="21"/>
                      </w:rPr>
                      <w:t>否</w:t>
                    </w:r>
                  </w:p>
                </w:tc>
                <w:tc>
                  <w:tcPr>
                    <w:tcW w:w="453" w:type="pct"/>
                    <w:shd w:val="clear" w:color="auto" w:fill="auto"/>
                    <w:vAlign w:val="center"/>
                  </w:tcPr>
                  <w:p w14:paraId="1D2A8BAF"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33,447.00</w:t>
                    </w:r>
                  </w:p>
                </w:tc>
                <w:tc>
                  <w:tcPr>
                    <w:tcW w:w="494" w:type="pct"/>
                    <w:shd w:val="clear" w:color="auto" w:fill="auto"/>
                    <w:vAlign w:val="center"/>
                  </w:tcPr>
                  <w:p w14:paraId="043D6B9B"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18,000.00</w:t>
                    </w:r>
                  </w:p>
                </w:tc>
                <w:tc>
                  <w:tcPr>
                    <w:tcW w:w="409" w:type="pct"/>
                    <w:shd w:val="clear" w:color="auto" w:fill="auto"/>
                    <w:vAlign w:val="center"/>
                  </w:tcPr>
                  <w:p w14:paraId="4355C12C"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9,392.22</w:t>
                    </w:r>
                  </w:p>
                </w:tc>
                <w:tc>
                  <w:tcPr>
                    <w:tcW w:w="409" w:type="pct"/>
                    <w:shd w:val="clear" w:color="auto" w:fill="auto"/>
                    <w:vAlign w:val="center"/>
                  </w:tcPr>
                  <w:p w14:paraId="4BE080BD"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1,566.87</w:t>
                    </w:r>
                  </w:p>
                </w:tc>
                <w:tc>
                  <w:tcPr>
                    <w:tcW w:w="409" w:type="pct"/>
                    <w:shd w:val="clear" w:color="auto" w:fill="auto"/>
                    <w:vAlign w:val="center"/>
                  </w:tcPr>
                  <w:p w14:paraId="7EB79EA2"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2,864.53</w:t>
                    </w:r>
                  </w:p>
                </w:tc>
                <w:tc>
                  <w:tcPr>
                    <w:tcW w:w="409" w:type="pct"/>
                    <w:shd w:val="clear" w:color="auto" w:fill="auto"/>
                    <w:vAlign w:val="center"/>
                  </w:tcPr>
                  <w:p w14:paraId="654DB418" w14:textId="77777777" w:rsidR="00D21C1F" w:rsidRDefault="00A42880">
                    <w:pPr>
                      <w:widowControl w:val="0"/>
                      <w:jc w:val="righ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6,527.69</w:t>
                    </w:r>
                  </w:p>
                </w:tc>
                <w:tc>
                  <w:tcPr>
                    <w:tcW w:w="409" w:type="pct"/>
                    <w:shd w:val="clear" w:color="auto" w:fill="auto"/>
                    <w:vAlign w:val="center"/>
                  </w:tcPr>
                  <w:p w14:paraId="7102F7AC"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30.50</w:t>
                    </w:r>
                  </w:p>
                </w:tc>
                <w:tc>
                  <w:tcPr>
                    <w:tcW w:w="357" w:type="pct"/>
                    <w:shd w:val="clear" w:color="auto" w:fill="auto"/>
                    <w:vAlign w:val="center"/>
                  </w:tcPr>
                  <w:p w14:paraId="19E48476" w14:textId="77777777" w:rsidR="00D21C1F" w:rsidRDefault="00A42880">
                    <w:pPr>
                      <w:widowControl w:val="0"/>
                      <w:rPr>
                        <w:rFonts w:ascii="Times New Roman" w:hAnsi="Times New Roman" w:cs="Times New Roman"/>
                        <w:szCs w:val="21"/>
                      </w:rPr>
                    </w:pPr>
                    <w:r>
                      <w:rPr>
                        <w:rFonts w:ascii="Times New Roman" w:hAnsi="Times New Roman" w:cs="Times New Roman"/>
                        <w:szCs w:val="21"/>
                      </w:rPr>
                      <w:t>2023</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p>
                </w:tc>
                <w:tc>
                  <w:tcPr>
                    <w:tcW w:w="359" w:type="pct"/>
                    <w:shd w:val="clear" w:color="auto" w:fill="auto"/>
                    <w:vAlign w:val="center"/>
                  </w:tcPr>
                  <w:p w14:paraId="6EBA69D2" w14:textId="77777777" w:rsidR="00D21C1F" w:rsidRDefault="00A42880">
                    <w:pPr>
                      <w:widowControl w:val="0"/>
                      <w:jc w:val="right"/>
                      <w:rPr>
                        <w:rFonts w:ascii="Times New Roman" w:hAnsi="Times New Roman" w:cs="Times New Roman"/>
                        <w:szCs w:val="21"/>
                      </w:rPr>
                    </w:pPr>
                    <w:r>
                      <w:rPr>
                        <w:rFonts w:ascii="Times New Roman" w:hAnsi="Times New Roman" w:cs="Times New Roman" w:hint="eastAsia"/>
                        <w:szCs w:val="21"/>
                      </w:rPr>
                      <w:t>不适用</w:t>
                    </w:r>
                  </w:p>
                </w:tc>
                <w:sdt>
                  <w:sdtPr>
                    <w:rPr>
                      <w:rFonts w:ascii="Times New Roman" w:hAnsi="Times New Roman" w:cs="Times New Roman"/>
                      <w:szCs w:val="21"/>
                    </w:rPr>
                    <w:alias w:val="募集资金使用进展明细_是否达到预计效益"/>
                    <w:tag w:val="_GBC_05397eee74ef45e8b03e91d74a708588"/>
                    <w:id w:val="869273092"/>
                    <w:lock w:val="sdtLocked"/>
                    <w:comboBox>
                      <w:listItem w:displayText="是" w:value="是"/>
                      <w:listItem w:displayText="否" w:value="否"/>
                      <w:listItem w:displayText="不适用" w:value="不适用"/>
                    </w:comboBox>
                  </w:sdtPr>
                  <w:sdtEndPr/>
                  <w:sdtContent>
                    <w:tc>
                      <w:tcPr>
                        <w:tcW w:w="205" w:type="pct"/>
                        <w:shd w:val="clear" w:color="auto" w:fill="auto"/>
                        <w:vAlign w:val="center"/>
                      </w:tcPr>
                      <w:p w14:paraId="007A9E05" w14:textId="77777777" w:rsidR="00D21C1F" w:rsidRDefault="00A42880">
                        <w:pPr>
                          <w:widowControl w:val="0"/>
                          <w:rPr>
                            <w:rFonts w:ascii="Times New Roman" w:hAnsi="Times New Roman" w:cs="Times New Roman"/>
                            <w:szCs w:val="21"/>
                          </w:rPr>
                        </w:pPr>
                        <w:r>
                          <w:rPr>
                            <w:rFonts w:ascii="Times New Roman" w:hAnsi="Times New Roman" w:cs="Times New Roman"/>
                            <w:szCs w:val="21"/>
                          </w:rPr>
                          <w:t>不适用</w:t>
                        </w:r>
                      </w:p>
                    </w:tc>
                  </w:sdtContent>
                </w:sdt>
                <w:sdt>
                  <w:sdtPr>
                    <w:rPr>
                      <w:rFonts w:ascii="Times New Roman" w:hAnsi="Times New Roman" w:cs="Times New Roman"/>
                      <w:szCs w:val="21"/>
                    </w:rPr>
                    <w:alias w:val="募集资金使用进展明细_项目可行性是否发生重大变化"/>
                    <w:tag w:val="_GBC_b86cf91cf0a84c3e9e3ff7e2aaedab98"/>
                    <w:id w:val="-179890588"/>
                    <w:lock w:val="sdtLocked"/>
                    <w:comboBox>
                      <w:listItem w:displayText="是" w:value="是"/>
                      <w:listItem w:displayText="否" w:value="否"/>
                    </w:comboBox>
                  </w:sdtPr>
                  <w:sdtEndPr/>
                  <w:sdtContent>
                    <w:tc>
                      <w:tcPr>
                        <w:tcW w:w="194" w:type="pct"/>
                        <w:shd w:val="clear" w:color="auto" w:fill="auto"/>
                        <w:vAlign w:val="center"/>
                      </w:tcPr>
                      <w:p w14:paraId="7B0CDBB0" w14:textId="77777777" w:rsidR="00D21C1F" w:rsidRDefault="00A42880">
                        <w:pPr>
                          <w:widowControl w:val="0"/>
                          <w:rPr>
                            <w:rFonts w:ascii="Times New Roman" w:hAnsi="Times New Roman" w:cs="Times New Roman"/>
                            <w:szCs w:val="21"/>
                          </w:rPr>
                        </w:pPr>
                        <w:r>
                          <w:rPr>
                            <w:rFonts w:ascii="Times New Roman" w:hAnsi="Times New Roman" w:cs="Times New Roman"/>
                            <w:szCs w:val="21"/>
                          </w:rPr>
                          <w:t>否</w:t>
                        </w:r>
                      </w:p>
                    </w:tc>
                  </w:sdtContent>
                </w:sdt>
              </w:tr>
            </w:sdtContent>
          </w:sdt>
          <w:sdt>
            <w:sdtPr>
              <w:rPr>
                <w:szCs w:val="21"/>
              </w:rPr>
              <w:alias w:val="募集资金使用进展明细"/>
              <w:tag w:val="_TUP_561069bf6ebb4a94a35ce9d1fe9b8e8a"/>
              <w:id w:val="2052258901"/>
              <w:placeholder>
                <w:docPart w:val="DefaultPlaceholder_-1854013440"/>
              </w:placeholder>
            </w:sdtPr>
            <w:sdtEndPr>
              <w:rPr>
                <w:rFonts w:ascii="Times New Roman" w:hAnsi="Times New Roman" w:cs="Times New Roman"/>
              </w:rPr>
            </w:sdtEndPr>
            <w:sdtContent>
              <w:tr w:rsidR="00D21C1F" w14:paraId="32E0C720" w14:textId="77777777">
                <w:trPr>
                  <w:trHeight w:val="325"/>
                  <w:jc w:val="center"/>
                </w:trPr>
                <w:tc>
                  <w:tcPr>
                    <w:tcW w:w="525" w:type="pct"/>
                    <w:shd w:val="clear" w:color="auto" w:fill="auto"/>
                    <w:vAlign w:val="center"/>
                  </w:tcPr>
                  <w:p w14:paraId="4E19CFCD" w14:textId="77777777" w:rsidR="00D21C1F" w:rsidRDefault="00A42880">
                    <w:pPr>
                      <w:widowControl w:val="0"/>
                      <w:rPr>
                        <w:szCs w:val="21"/>
                      </w:rPr>
                    </w:pPr>
                    <w:r>
                      <w:rPr>
                        <w:rFonts w:hint="eastAsia"/>
                        <w:szCs w:val="21"/>
                      </w:rPr>
                      <w:t>机器人云平台研发和产业化项目</w:t>
                    </w:r>
                  </w:p>
                </w:tc>
                <w:tc>
                  <w:tcPr>
                    <w:tcW w:w="368" w:type="pct"/>
                    <w:shd w:val="clear" w:color="auto" w:fill="auto"/>
                    <w:vAlign w:val="center"/>
                  </w:tcPr>
                  <w:p w14:paraId="4F45C4A3" w14:textId="77777777" w:rsidR="00D21C1F" w:rsidRDefault="00A42880">
                    <w:pPr>
                      <w:widowControl w:val="0"/>
                      <w:rPr>
                        <w:szCs w:val="21"/>
                      </w:rPr>
                    </w:pPr>
                    <w:r>
                      <w:rPr>
                        <w:rFonts w:hint="eastAsia"/>
                        <w:szCs w:val="21"/>
                      </w:rPr>
                      <w:t>否</w:t>
                    </w:r>
                  </w:p>
                </w:tc>
                <w:tc>
                  <w:tcPr>
                    <w:tcW w:w="453" w:type="pct"/>
                    <w:shd w:val="clear" w:color="auto" w:fill="auto"/>
                    <w:vAlign w:val="center"/>
                  </w:tcPr>
                  <w:p w14:paraId="429580E6"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36,403.00</w:t>
                    </w:r>
                  </w:p>
                </w:tc>
                <w:tc>
                  <w:tcPr>
                    <w:tcW w:w="494" w:type="pct"/>
                    <w:shd w:val="clear" w:color="auto" w:fill="auto"/>
                    <w:vAlign w:val="center"/>
                  </w:tcPr>
                  <w:p w14:paraId="7C7ECFAB"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20,000.00</w:t>
                    </w:r>
                  </w:p>
                </w:tc>
                <w:tc>
                  <w:tcPr>
                    <w:tcW w:w="409" w:type="pct"/>
                    <w:shd w:val="clear" w:color="auto" w:fill="auto"/>
                    <w:vAlign w:val="center"/>
                  </w:tcPr>
                  <w:p w14:paraId="27F1C457"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20,000.00</w:t>
                    </w:r>
                  </w:p>
                </w:tc>
                <w:tc>
                  <w:tcPr>
                    <w:tcW w:w="409" w:type="pct"/>
                    <w:shd w:val="clear" w:color="auto" w:fill="auto"/>
                    <w:vAlign w:val="center"/>
                  </w:tcPr>
                  <w:p w14:paraId="010602C5"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4,267.32</w:t>
                    </w:r>
                  </w:p>
                </w:tc>
                <w:tc>
                  <w:tcPr>
                    <w:tcW w:w="409" w:type="pct"/>
                    <w:shd w:val="clear" w:color="auto" w:fill="auto"/>
                    <w:vAlign w:val="center"/>
                  </w:tcPr>
                  <w:p w14:paraId="5EA4E5C7"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6,405.40</w:t>
                    </w:r>
                  </w:p>
                </w:tc>
                <w:tc>
                  <w:tcPr>
                    <w:tcW w:w="409" w:type="pct"/>
                    <w:shd w:val="clear" w:color="auto" w:fill="auto"/>
                    <w:vAlign w:val="center"/>
                  </w:tcPr>
                  <w:p w14:paraId="770FF58F"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-13,594.60</w:t>
                    </w:r>
                  </w:p>
                </w:tc>
                <w:tc>
                  <w:tcPr>
                    <w:tcW w:w="409" w:type="pct"/>
                    <w:shd w:val="clear" w:color="auto" w:fill="auto"/>
                    <w:vAlign w:val="center"/>
                  </w:tcPr>
                  <w:p w14:paraId="3A4C5454"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32.03</w:t>
                    </w:r>
                  </w:p>
                </w:tc>
                <w:tc>
                  <w:tcPr>
                    <w:tcW w:w="357" w:type="pct"/>
                    <w:shd w:val="clear" w:color="auto" w:fill="auto"/>
                    <w:vAlign w:val="center"/>
                  </w:tcPr>
                  <w:p w14:paraId="1D4BEB37" w14:textId="77777777" w:rsidR="00D21C1F" w:rsidRDefault="00A42880">
                    <w:pPr>
                      <w:widowControl w:val="0"/>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p>
                </w:tc>
                <w:tc>
                  <w:tcPr>
                    <w:tcW w:w="359" w:type="pct"/>
                    <w:shd w:val="clear" w:color="auto" w:fill="auto"/>
                    <w:vAlign w:val="center"/>
                  </w:tcPr>
                  <w:p w14:paraId="048B6883" w14:textId="77777777" w:rsidR="00D21C1F" w:rsidRDefault="00A42880">
                    <w:pPr>
                      <w:widowControl w:val="0"/>
                      <w:jc w:val="right"/>
                      <w:rPr>
                        <w:rFonts w:ascii="Times New Roman" w:hAnsi="Times New Roman" w:cs="Times New Roman"/>
                        <w:szCs w:val="21"/>
                      </w:rPr>
                    </w:pPr>
                    <w:r>
                      <w:rPr>
                        <w:rFonts w:ascii="Times New Roman" w:hAnsi="Times New Roman" w:cs="Times New Roman" w:hint="eastAsia"/>
                        <w:szCs w:val="21"/>
                      </w:rPr>
                      <w:t>不适用</w:t>
                    </w:r>
                  </w:p>
                </w:tc>
                <w:sdt>
                  <w:sdtPr>
                    <w:rPr>
                      <w:rFonts w:ascii="Times New Roman" w:hAnsi="Times New Roman" w:cs="Times New Roman"/>
                      <w:szCs w:val="21"/>
                    </w:rPr>
                    <w:alias w:val="募集资金使用进展明细_是否达到预计效益"/>
                    <w:tag w:val="_GBC_05397eee74ef45e8b03e91d74a708588"/>
                    <w:id w:val="-1630240223"/>
                    <w:lock w:val="sdtLocked"/>
                    <w:placeholder>
                      <w:docPart w:val="A4528EFEC66744BA8FAE7BAA98C6930F"/>
                    </w:placeholder>
                    <w:comboBox>
                      <w:listItem w:displayText="是" w:value="是"/>
                      <w:listItem w:displayText="否" w:value="否"/>
                      <w:listItem w:displayText="不适用" w:value="不适用"/>
                    </w:comboBox>
                  </w:sdtPr>
                  <w:sdtEndPr/>
                  <w:sdtContent>
                    <w:tc>
                      <w:tcPr>
                        <w:tcW w:w="205" w:type="pct"/>
                        <w:shd w:val="clear" w:color="auto" w:fill="auto"/>
                        <w:vAlign w:val="center"/>
                      </w:tcPr>
                      <w:p w14:paraId="733520A9" w14:textId="77777777" w:rsidR="00D21C1F" w:rsidRDefault="00A42880">
                        <w:pPr>
                          <w:widowControl w:val="0"/>
                          <w:rPr>
                            <w:rFonts w:ascii="Times New Roman" w:hAnsi="Times New Roman" w:cs="Times New Roman"/>
                            <w:szCs w:val="21"/>
                          </w:rPr>
                        </w:pPr>
                        <w:r>
                          <w:rPr>
                            <w:rFonts w:ascii="Times New Roman" w:hAnsi="Times New Roman" w:cs="Times New Roman"/>
                            <w:szCs w:val="21"/>
                          </w:rPr>
                          <w:t>不适用</w:t>
                        </w:r>
                      </w:p>
                    </w:tc>
                  </w:sdtContent>
                </w:sdt>
                <w:sdt>
                  <w:sdtPr>
                    <w:rPr>
                      <w:rFonts w:ascii="Times New Roman" w:hAnsi="Times New Roman" w:cs="Times New Roman"/>
                      <w:szCs w:val="21"/>
                    </w:rPr>
                    <w:alias w:val="募集资金使用进展明细_项目可行性是否发生重大变化"/>
                    <w:tag w:val="_GBC_b86cf91cf0a84c3e9e3ff7e2aaedab98"/>
                    <w:id w:val="-1686358224"/>
                    <w:lock w:val="sdtLocked"/>
                    <w:placeholder>
                      <w:docPart w:val="243100C5E28B4770A5A9D520F9D48099"/>
                    </w:placeholder>
                    <w:comboBox>
                      <w:listItem w:displayText="是" w:value="是"/>
                      <w:listItem w:displayText="否" w:value="否"/>
                    </w:comboBox>
                  </w:sdtPr>
                  <w:sdtEndPr/>
                  <w:sdtContent>
                    <w:tc>
                      <w:tcPr>
                        <w:tcW w:w="194" w:type="pct"/>
                        <w:shd w:val="clear" w:color="auto" w:fill="auto"/>
                        <w:vAlign w:val="center"/>
                      </w:tcPr>
                      <w:p w14:paraId="5832E0A4" w14:textId="77777777" w:rsidR="00D21C1F" w:rsidRDefault="00A42880">
                        <w:pPr>
                          <w:widowControl w:val="0"/>
                          <w:rPr>
                            <w:rFonts w:ascii="Times New Roman" w:hAnsi="Times New Roman" w:cs="Times New Roman"/>
                            <w:szCs w:val="21"/>
                          </w:rPr>
                        </w:pPr>
                        <w:r>
                          <w:rPr>
                            <w:rFonts w:ascii="Times New Roman" w:hAnsi="Times New Roman" w:cs="Times New Roman"/>
                            <w:szCs w:val="21"/>
                          </w:rPr>
                          <w:t>否</w:t>
                        </w:r>
                      </w:p>
                    </w:tc>
                  </w:sdtContent>
                </w:sdt>
              </w:tr>
            </w:sdtContent>
          </w:sdt>
          <w:tr w:rsidR="00D21C1F" w14:paraId="68A7A15D" w14:textId="77777777">
            <w:trPr>
              <w:trHeight w:val="271"/>
              <w:jc w:val="center"/>
            </w:trPr>
            <w:tc>
              <w:tcPr>
                <w:tcW w:w="525" w:type="pct"/>
                <w:shd w:val="clear" w:color="auto" w:fill="auto"/>
                <w:vAlign w:val="center"/>
              </w:tcPr>
              <w:sdt>
                <w:sdtPr>
                  <w:rPr>
                    <w:rFonts w:hint="eastAsia"/>
                    <w:szCs w:val="21"/>
                  </w:rPr>
                  <w:tag w:val="_PLD_1ed8c5ed5c374312ac4f5c3ff505cdd9"/>
                  <w:id w:val="-1066259511"/>
                  <w:lock w:val="sdtLocked"/>
                </w:sdtPr>
                <w:sdtEndPr/>
                <w:sdtContent>
                  <w:p w14:paraId="7443DE67" w14:textId="77777777" w:rsidR="00D21C1F" w:rsidRDefault="00A42880">
                    <w:pPr>
                      <w:widowControl w:val="0"/>
                      <w:jc w:val="center"/>
                      <w:rPr>
                        <w:szCs w:val="21"/>
                      </w:rPr>
                    </w:pPr>
                    <w:r>
                      <w:rPr>
                        <w:rFonts w:hint="eastAsia"/>
                        <w:szCs w:val="21"/>
                      </w:rPr>
                      <w:t>合计</w:t>
                    </w:r>
                  </w:p>
                </w:sdtContent>
              </w:sdt>
            </w:tc>
            <w:tc>
              <w:tcPr>
                <w:tcW w:w="368" w:type="pct"/>
                <w:shd w:val="clear" w:color="auto" w:fill="auto"/>
                <w:vAlign w:val="center"/>
              </w:tcPr>
              <w:sdt>
                <w:sdtPr>
                  <w:rPr>
                    <w:rFonts w:hint="eastAsia"/>
                    <w:szCs w:val="21"/>
                  </w:rPr>
                  <w:tag w:val="_PLD_42255d86a6cf4369b92f311b08a6b3c0"/>
                  <w:id w:val="166524781"/>
                  <w:lock w:val="sdtLocked"/>
                </w:sdtPr>
                <w:sdtEndPr/>
                <w:sdtContent>
                  <w:p w14:paraId="6AB81611" w14:textId="77777777" w:rsidR="00D21C1F" w:rsidRDefault="00A42880">
                    <w:pPr>
                      <w:widowControl w:val="0"/>
                      <w:jc w:val="right"/>
                      <w:rPr>
                        <w:szCs w:val="21"/>
                      </w:rPr>
                    </w:pPr>
                    <w:r>
                      <w:rPr>
                        <w:rFonts w:hint="eastAsia"/>
                        <w:szCs w:val="21"/>
                      </w:rPr>
                      <w:t>-</w:t>
                    </w:r>
                  </w:p>
                </w:sdtContent>
              </w:sdt>
            </w:tc>
            <w:tc>
              <w:tcPr>
                <w:tcW w:w="453" w:type="pct"/>
                <w:shd w:val="clear" w:color="auto" w:fill="auto"/>
                <w:vAlign w:val="center"/>
              </w:tcPr>
              <w:p w14:paraId="333385BC"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113,542.50</w:t>
                </w:r>
              </w:p>
            </w:tc>
            <w:tc>
              <w:tcPr>
                <w:tcW w:w="494" w:type="pct"/>
                <w:shd w:val="clear" w:color="auto" w:fill="auto"/>
                <w:vAlign w:val="center"/>
              </w:tcPr>
              <w:p w14:paraId="5A9E44ED"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72,589.49</w:t>
                </w:r>
              </w:p>
            </w:tc>
            <w:tc>
              <w:tcPr>
                <w:tcW w:w="409" w:type="pct"/>
                <w:shd w:val="clear" w:color="auto" w:fill="auto"/>
                <w:vAlign w:val="center"/>
              </w:tcPr>
              <w:p w14:paraId="04C72AD1" w14:textId="77777777" w:rsidR="00D21C1F" w:rsidRDefault="00A42880">
                <w:pPr>
                  <w:widowControl w:val="0"/>
                  <w:jc w:val="right"/>
                  <w:rPr>
                    <w:rFonts w:ascii="Times New Roman" w:eastAsiaTheme="minorEastAsia" w:hAnsi="Times New Roman" w:cs="Times New Roman"/>
                    <w:szCs w:val="21"/>
                  </w:rPr>
                </w:pPr>
                <w:r>
                  <w:rPr>
                    <w:rFonts w:ascii="Times New Roman" w:eastAsiaTheme="minorEastAsia" w:hAnsi="Times New Roman" w:cs="Times New Roman"/>
                    <w:szCs w:val="21"/>
                  </w:rPr>
                  <w:t>46</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085.35</w:t>
                </w:r>
              </w:p>
            </w:tc>
            <w:tc>
              <w:tcPr>
                <w:tcW w:w="409" w:type="pct"/>
                <w:shd w:val="clear" w:color="auto" w:fill="auto"/>
                <w:vAlign w:val="center"/>
              </w:tcPr>
              <w:p w14:paraId="67C24AEC"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6,853.29</w:t>
                </w:r>
              </w:p>
            </w:tc>
            <w:tc>
              <w:tcPr>
                <w:tcW w:w="409" w:type="pct"/>
                <w:shd w:val="clear" w:color="auto" w:fill="auto"/>
                <w:vAlign w:val="center"/>
              </w:tcPr>
              <w:p w14:paraId="23C12603" w14:textId="77777777" w:rsidR="00D21C1F" w:rsidRDefault="00A42880">
                <w:pPr>
                  <w:widowControl w:val="0"/>
                  <w:jc w:val="right"/>
                  <w:rPr>
                    <w:rFonts w:ascii="Times New Roman" w:hAnsi="Times New Roman" w:cs="Times New Roman"/>
                    <w:szCs w:val="21"/>
                  </w:rPr>
                </w:pPr>
                <w:r>
                  <w:rPr>
                    <w:rFonts w:ascii="Times New Roman" w:hAnsi="Times New Roman" w:cs="Times New Roman"/>
                    <w:szCs w:val="21"/>
                  </w:rPr>
                  <w:t>15,502.55</w:t>
                </w:r>
              </w:p>
            </w:tc>
            <w:tc>
              <w:tcPr>
                <w:tcW w:w="409" w:type="pct"/>
                <w:shd w:val="clear" w:color="auto" w:fill="auto"/>
                <w:vAlign w:val="center"/>
              </w:tcPr>
              <w:p w14:paraId="43DC189B" w14:textId="77777777" w:rsidR="00D21C1F" w:rsidRDefault="00A42880">
                <w:pPr>
                  <w:widowControl w:val="0"/>
                  <w:jc w:val="right"/>
                  <w:rPr>
                    <w:rFonts w:ascii="Times New Roman" w:eastAsiaTheme="minorEastAsia" w:hAnsi="Times New Roman" w:cs="Times New Roman"/>
                    <w:szCs w:val="21"/>
                  </w:rPr>
                </w:pPr>
                <w:r>
                  <w:rPr>
                    <w:rFonts w:ascii="Times New Roman" w:eastAsiaTheme="minorEastAsia" w:hAnsi="Times New Roman" w:cs="Times New Roman"/>
                    <w:szCs w:val="21"/>
                  </w:rPr>
                  <w:t>-30,582.80</w:t>
                </w:r>
              </w:p>
            </w:tc>
            <w:tc>
              <w:tcPr>
                <w:tcW w:w="409" w:type="pct"/>
                <w:shd w:val="clear" w:color="auto" w:fill="auto"/>
                <w:vAlign w:val="center"/>
              </w:tcPr>
              <w:sdt>
                <w:sdtPr>
                  <w:rPr>
                    <w:rFonts w:asciiTheme="minorEastAsia" w:eastAsiaTheme="minorEastAsia" w:hAnsiTheme="minorEastAsia" w:cs="Times New Roman"/>
                    <w:szCs w:val="21"/>
                  </w:rPr>
                  <w:tag w:val="_PLD_4936c9d3aacc43c0a1e6d445b28607bc"/>
                  <w:id w:val="2035307877"/>
                  <w:lock w:val="sdtLocked"/>
                </w:sdtPr>
                <w:sdtEndPr/>
                <w:sdtContent>
                  <w:p w14:paraId="6DA8D224" w14:textId="77777777" w:rsidR="00D21C1F" w:rsidRDefault="00A42880">
                    <w:pPr>
                      <w:widowControl w:val="0"/>
                      <w:jc w:val="right"/>
                      <w:rPr>
                        <w:rFonts w:asciiTheme="minorEastAsia" w:eastAsiaTheme="minorEastAsia" w:hAnsiTheme="minorEastAsia" w:cs="Times New Roman"/>
                        <w:szCs w:val="21"/>
                      </w:rPr>
                    </w:pPr>
                    <w:r>
                      <w:rPr>
                        <w:rFonts w:asciiTheme="minorEastAsia" w:eastAsiaTheme="minorEastAsia" w:hAnsiTheme="minorEastAsia" w:cs="Times New Roman"/>
                        <w:szCs w:val="21"/>
                      </w:rPr>
                      <w:t>-</w:t>
                    </w:r>
                  </w:p>
                </w:sdtContent>
              </w:sdt>
            </w:tc>
            <w:tc>
              <w:tcPr>
                <w:tcW w:w="357" w:type="pct"/>
                <w:shd w:val="clear" w:color="auto" w:fill="auto"/>
                <w:vAlign w:val="center"/>
              </w:tcPr>
              <w:sdt>
                <w:sdtPr>
                  <w:rPr>
                    <w:rFonts w:asciiTheme="minorEastAsia" w:eastAsiaTheme="minorEastAsia" w:hAnsiTheme="minorEastAsia" w:cs="Times New Roman"/>
                    <w:szCs w:val="21"/>
                  </w:rPr>
                  <w:tag w:val="_PLD_e82be0fca1644f5bb36d83139ccfdeeb"/>
                  <w:id w:val="1754388554"/>
                  <w:lock w:val="sdtLocked"/>
                </w:sdtPr>
                <w:sdtEndPr/>
                <w:sdtContent>
                  <w:p w14:paraId="00929522" w14:textId="77777777" w:rsidR="00D21C1F" w:rsidRDefault="00A42880">
                    <w:pPr>
                      <w:widowControl w:val="0"/>
                      <w:jc w:val="right"/>
                      <w:rPr>
                        <w:rFonts w:asciiTheme="minorEastAsia" w:eastAsiaTheme="minorEastAsia" w:hAnsiTheme="minorEastAsia" w:cs="Times New Roman"/>
                        <w:szCs w:val="21"/>
                      </w:rPr>
                    </w:pPr>
                    <w:r>
                      <w:rPr>
                        <w:rFonts w:asciiTheme="minorEastAsia" w:eastAsiaTheme="minorEastAsia" w:hAnsiTheme="minorEastAsia" w:cs="Times New Roman"/>
                        <w:szCs w:val="21"/>
                      </w:rPr>
                      <w:t>-</w:t>
                    </w:r>
                  </w:p>
                </w:sdtContent>
              </w:sdt>
            </w:tc>
            <w:tc>
              <w:tcPr>
                <w:tcW w:w="359" w:type="pct"/>
                <w:shd w:val="clear" w:color="auto" w:fill="auto"/>
                <w:vAlign w:val="center"/>
              </w:tcPr>
              <w:p w14:paraId="126FFC1E" w14:textId="77777777" w:rsidR="00D21C1F" w:rsidRDefault="00A42880">
                <w:pPr>
                  <w:widowControl w:val="0"/>
                  <w:jc w:val="right"/>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w:t>
                </w:r>
              </w:p>
            </w:tc>
            <w:tc>
              <w:tcPr>
                <w:tcW w:w="205" w:type="pct"/>
                <w:shd w:val="clear" w:color="auto" w:fill="auto"/>
                <w:vAlign w:val="center"/>
              </w:tcPr>
              <w:sdt>
                <w:sdtPr>
                  <w:rPr>
                    <w:rFonts w:asciiTheme="minorEastAsia" w:eastAsiaTheme="minorEastAsia" w:hAnsiTheme="minorEastAsia" w:cs="Times New Roman"/>
                    <w:szCs w:val="21"/>
                  </w:rPr>
                  <w:tag w:val="_PLD_a73660be8fe24340919e0b6af44ce11d"/>
                  <w:id w:val="-353032882"/>
                  <w:lock w:val="sdtLocked"/>
                </w:sdtPr>
                <w:sdtEndPr/>
                <w:sdtContent>
                  <w:p w14:paraId="6D27B84E" w14:textId="77777777" w:rsidR="00D21C1F" w:rsidRDefault="00A42880">
                    <w:pPr>
                      <w:widowControl w:val="0"/>
                      <w:jc w:val="right"/>
                      <w:rPr>
                        <w:rFonts w:asciiTheme="minorEastAsia" w:eastAsiaTheme="minorEastAsia" w:hAnsiTheme="minorEastAsia" w:cs="Times New Roman"/>
                        <w:szCs w:val="21"/>
                      </w:rPr>
                    </w:pPr>
                    <w:r>
                      <w:rPr>
                        <w:rFonts w:asciiTheme="minorEastAsia" w:eastAsiaTheme="minorEastAsia" w:hAnsiTheme="minorEastAsia" w:cs="Times New Roman"/>
                        <w:szCs w:val="21"/>
                      </w:rPr>
                      <w:t>-</w:t>
                    </w:r>
                  </w:p>
                </w:sdtContent>
              </w:sdt>
            </w:tc>
            <w:tc>
              <w:tcPr>
                <w:tcW w:w="194" w:type="pct"/>
                <w:shd w:val="clear" w:color="auto" w:fill="auto"/>
                <w:vAlign w:val="center"/>
              </w:tcPr>
              <w:sdt>
                <w:sdtPr>
                  <w:rPr>
                    <w:rFonts w:asciiTheme="minorEastAsia" w:eastAsiaTheme="minorEastAsia" w:hAnsiTheme="minorEastAsia" w:cs="Times New Roman"/>
                    <w:szCs w:val="21"/>
                  </w:rPr>
                  <w:tag w:val="_PLD_be7fc08cad274e43b507aa05e82fc33f"/>
                  <w:id w:val="-2096466395"/>
                  <w:lock w:val="sdtLocked"/>
                </w:sdtPr>
                <w:sdtEndPr/>
                <w:sdtContent>
                  <w:p w14:paraId="27D67087" w14:textId="77777777" w:rsidR="00D21C1F" w:rsidRDefault="00A42880">
                    <w:pPr>
                      <w:widowControl w:val="0"/>
                      <w:jc w:val="right"/>
                      <w:rPr>
                        <w:rFonts w:asciiTheme="minorEastAsia" w:eastAsiaTheme="minorEastAsia" w:hAnsiTheme="minorEastAsia" w:cs="Times New Roman"/>
                        <w:szCs w:val="21"/>
                      </w:rPr>
                    </w:pPr>
                    <w:r>
                      <w:rPr>
                        <w:rFonts w:asciiTheme="minorEastAsia" w:eastAsiaTheme="minorEastAsia" w:hAnsiTheme="minorEastAsia" w:cs="Times New Roman"/>
                        <w:szCs w:val="21"/>
                      </w:rPr>
                      <w:t>-</w:t>
                    </w:r>
                  </w:p>
                </w:sdtContent>
              </w:sdt>
            </w:tc>
          </w:tr>
          <w:tr w:rsidR="00D21C1F" w14:paraId="363E23E8" w14:textId="77777777">
            <w:trPr>
              <w:jc w:val="center"/>
            </w:trPr>
            <w:tc>
              <w:tcPr>
                <w:tcW w:w="1840" w:type="pct"/>
                <w:gridSpan w:val="4"/>
                <w:shd w:val="clear" w:color="auto" w:fill="auto"/>
                <w:vAlign w:val="center"/>
              </w:tcPr>
              <w:sdt>
                <w:sdtPr>
                  <w:rPr>
                    <w:rFonts w:ascii="Times New Roman" w:hAnsi="Times New Roman" w:cs="Times New Roman"/>
                    <w:szCs w:val="21"/>
                  </w:rPr>
                  <w:tag w:val="_PLD_aa1dc4ffa0744ac08ae1dd5da5c6fa60"/>
                  <w:id w:val="-1101568788"/>
                  <w:lock w:val="sdtLocked"/>
                </w:sdtPr>
                <w:sdtEndPr/>
                <w:sdtContent>
                  <w:p w14:paraId="01E66114" w14:textId="77777777" w:rsidR="00D21C1F" w:rsidRDefault="00A42880">
                    <w:pPr>
                      <w:widowControl w:val="0"/>
                      <w:jc w:val="both"/>
                      <w:rPr>
                        <w:rFonts w:ascii="Times New Roman" w:hAnsi="Times New Roman" w:cs="Times New Roman"/>
                        <w:szCs w:val="21"/>
                      </w:rPr>
                    </w:pPr>
                    <w:r>
                      <w:rPr>
                        <w:rFonts w:ascii="Times New Roman" w:hAnsi="Times New Roman" w:cs="Times New Roman"/>
                        <w:szCs w:val="21"/>
                      </w:rPr>
                      <w:t>未达到计划进度原因（分具体募投项目）</w:t>
                    </w:r>
                  </w:p>
                </w:sdtContent>
              </w:sdt>
            </w:tc>
            <w:tc>
              <w:tcPr>
                <w:tcW w:w="3160" w:type="pct"/>
                <w:gridSpan w:val="9"/>
                <w:shd w:val="clear" w:color="auto" w:fill="auto"/>
                <w:vAlign w:val="center"/>
              </w:tcPr>
              <w:p w14:paraId="7E26EC24" w14:textId="77777777" w:rsidR="00D21C1F" w:rsidRDefault="00A42880">
                <w:pPr>
                  <w:widowControl w:val="0"/>
                  <w:rPr>
                    <w:rFonts w:ascii="Times New Roman" w:hAnsi="Times New Roman" w:cs="Times New Roman"/>
                    <w:szCs w:val="21"/>
                  </w:rPr>
                </w:pPr>
                <w:r>
                  <w:rPr>
                    <w:rFonts w:ascii="Times New Roman" w:hAnsi="Times New Roman" w:cs="Times New Roman"/>
                    <w:szCs w:val="21"/>
                  </w:rPr>
                  <w:t>不适用</w:t>
                </w:r>
              </w:p>
            </w:tc>
          </w:tr>
          <w:tr w:rsidR="00D21C1F" w14:paraId="5DE27F6D" w14:textId="77777777">
            <w:trPr>
              <w:jc w:val="center"/>
            </w:trPr>
            <w:tc>
              <w:tcPr>
                <w:tcW w:w="1840" w:type="pct"/>
                <w:gridSpan w:val="4"/>
                <w:shd w:val="clear" w:color="auto" w:fill="auto"/>
                <w:vAlign w:val="center"/>
              </w:tcPr>
              <w:sdt>
                <w:sdtPr>
                  <w:rPr>
                    <w:rFonts w:ascii="Times New Roman" w:hAnsi="Times New Roman" w:cs="Times New Roman"/>
                    <w:szCs w:val="21"/>
                  </w:rPr>
                  <w:tag w:val="_PLD_7d78a0a5e88949399a693d587f4ae130"/>
                  <w:id w:val="-35892552"/>
                  <w:lock w:val="sdtLocked"/>
                </w:sdtPr>
                <w:sdtEndPr/>
                <w:sdtContent>
                  <w:p w14:paraId="08F44B62" w14:textId="77777777" w:rsidR="00D21C1F" w:rsidRDefault="00A42880">
                    <w:pPr>
                      <w:widowControl w:val="0"/>
                      <w:jc w:val="both"/>
                      <w:rPr>
                        <w:rFonts w:ascii="Times New Roman" w:hAnsi="Times New Roman" w:cs="Times New Roman"/>
                        <w:szCs w:val="21"/>
                      </w:rPr>
                    </w:pPr>
                    <w:r>
                      <w:rPr>
                        <w:rFonts w:ascii="Times New Roman" w:hAnsi="Times New Roman" w:cs="Times New Roman"/>
                        <w:szCs w:val="21"/>
                      </w:rPr>
                      <w:t>项目可行性发生重大变化的情况说明</w:t>
                    </w:r>
                  </w:p>
                </w:sdtContent>
              </w:sdt>
            </w:tc>
            <w:tc>
              <w:tcPr>
                <w:tcW w:w="3160" w:type="pct"/>
                <w:gridSpan w:val="9"/>
                <w:shd w:val="clear" w:color="auto" w:fill="auto"/>
                <w:vAlign w:val="center"/>
              </w:tcPr>
              <w:p w14:paraId="1EFCA8C0" w14:textId="77777777" w:rsidR="00D21C1F" w:rsidRDefault="00A42880">
                <w:pPr>
                  <w:widowControl w:val="0"/>
                  <w:rPr>
                    <w:rFonts w:ascii="Times New Roman" w:hAnsi="Times New Roman" w:cs="Times New Roman"/>
                    <w:szCs w:val="21"/>
                  </w:rPr>
                </w:pPr>
                <w:r>
                  <w:rPr>
                    <w:rFonts w:ascii="Times New Roman" w:hAnsi="Times New Roman" w:cs="Times New Roman"/>
                    <w:szCs w:val="21"/>
                  </w:rPr>
                  <w:t>不适用</w:t>
                </w:r>
              </w:p>
            </w:tc>
          </w:tr>
          <w:tr w:rsidR="00D21C1F" w14:paraId="0C358CDF" w14:textId="77777777">
            <w:trPr>
              <w:jc w:val="center"/>
            </w:trPr>
            <w:tc>
              <w:tcPr>
                <w:tcW w:w="1840" w:type="pct"/>
                <w:gridSpan w:val="4"/>
                <w:shd w:val="clear" w:color="auto" w:fill="auto"/>
                <w:vAlign w:val="center"/>
              </w:tcPr>
              <w:sdt>
                <w:sdtPr>
                  <w:rPr>
                    <w:rFonts w:ascii="Times New Roman" w:hAnsi="Times New Roman" w:cs="Times New Roman"/>
                    <w:szCs w:val="21"/>
                  </w:rPr>
                  <w:tag w:val="_PLD_5e1234d1505e43c1a9c87080b5dde6f1"/>
                  <w:id w:val="-1586141124"/>
                  <w:lock w:val="sdtLocked"/>
                </w:sdtPr>
                <w:sdtEndPr/>
                <w:sdtContent>
                  <w:p w14:paraId="553F62D8" w14:textId="77777777" w:rsidR="00D21C1F" w:rsidRDefault="00A42880">
                    <w:pPr>
                      <w:widowControl w:val="0"/>
                      <w:jc w:val="both"/>
                      <w:rPr>
                        <w:rFonts w:ascii="Times New Roman" w:hAnsi="Times New Roman" w:cs="Times New Roman"/>
                        <w:szCs w:val="21"/>
                      </w:rPr>
                    </w:pPr>
                    <w:r>
                      <w:rPr>
                        <w:rFonts w:ascii="Times New Roman" w:hAnsi="Times New Roman" w:cs="Times New Roman"/>
                        <w:szCs w:val="21"/>
                      </w:rPr>
                      <w:t>募集资金投资项目先期投入及置换情况</w:t>
                    </w:r>
                  </w:p>
                </w:sdtContent>
              </w:sdt>
            </w:tc>
            <w:tc>
              <w:tcPr>
                <w:tcW w:w="3160" w:type="pct"/>
                <w:gridSpan w:val="9"/>
                <w:shd w:val="clear" w:color="auto" w:fill="auto"/>
                <w:vAlign w:val="center"/>
              </w:tcPr>
              <w:p w14:paraId="7BBFE809" w14:textId="77777777" w:rsidR="00D21C1F" w:rsidRDefault="00A42880">
                <w:pPr>
                  <w:widowControl w:val="0"/>
                  <w:rPr>
                    <w:rFonts w:ascii="Times New Roman" w:hAnsi="Times New Roman" w:cs="Times New Roman"/>
                    <w:szCs w:val="21"/>
                  </w:rPr>
                </w:pPr>
                <w:r>
                  <w:rPr>
                    <w:rFonts w:ascii="Times New Roman" w:hAnsi="Times New Roman" w:cs="Times New Roman"/>
                    <w:szCs w:val="21"/>
                  </w:rPr>
                  <w:t>2020</w:t>
                </w:r>
                <w:r>
                  <w:rPr>
                    <w:rFonts w:ascii="Times New Roman" w:hAnsi="Times New Roman" w:cs="Times New Roman"/>
                    <w:szCs w:val="21"/>
                  </w:rPr>
                  <w:t>年</w:t>
                </w:r>
                <w:r>
                  <w:rPr>
                    <w:rFonts w:ascii="Times New Roman" w:hAnsi="Times New Roman" w:cs="Times New Roman"/>
                    <w:szCs w:val="21"/>
                  </w:rPr>
                  <w:t>10</w:t>
                </w:r>
                <w:r>
                  <w:rPr>
                    <w:rFonts w:ascii="Times New Roman" w:hAnsi="Times New Roman" w:cs="Times New Roman"/>
                    <w:szCs w:val="21"/>
                  </w:rPr>
                  <w:t>月</w:t>
                </w:r>
                <w:r>
                  <w:rPr>
                    <w:rFonts w:ascii="Times New Roman" w:hAnsi="Times New Roman" w:cs="Times New Roman"/>
                    <w:szCs w:val="21"/>
                  </w:rPr>
                  <w:t>19</w:t>
                </w:r>
                <w:r>
                  <w:rPr>
                    <w:rFonts w:ascii="Times New Roman" w:hAnsi="Times New Roman" w:cs="Times New Roman"/>
                    <w:szCs w:val="21"/>
                  </w:rPr>
                  <w:t>日，公司第二届董事会第十次会议、第二届监事会第六次会议审议通过了《关于使用募集资金置换预先投入的自筹资金的议案》，董事会一致同意公司使用募集资金置换前期已投入自筹资金人民币合计</w:t>
                </w:r>
                <w:r>
                  <w:rPr>
                    <w:rFonts w:ascii="Times New Roman" w:hAnsi="Times New Roman" w:cs="Times New Roman"/>
                    <w:szCs w:val="21"/>
                  </w:rPr>
                  <w:t>5,658.72</w:t>
                </w:r>
                <w:r>
                  <w:rPr>
                    <w:rFonts w:ascii="Times New Roman" w:hAnsi="Times New Roman" w:cs="Times New Roman"/>
                    <w:szCs w:val="21"/>
                  </w:rPr>
                  <w:t>万元</w:t>
                </w:r>
              </w:p>
            </w:tc>
          </w:tr>
          <w:tr w:rsidR="00D21C1F" w14:paraId="3120C35B" w14:textId="77777777">
            <w:trPr>
              <w:jc w:val="center"/>
            </w:trPr>
            <w:tc>
              <w:tcPr>
                <w:tcW w:w="1840" w:type="pct"/>
                <w:gridSpan w:val="4"/>
                <w:shd w:val="clear" w:color="auto" w:fill="auto"/>
                <w:vAlign w:val="center"/>
              </w:tcPr>
              <w:sdt>
                <w:sdtPr>
                  <w:rPr>
                    <w:rFonts w:ascii="Times New Roman" w:hAnsi="Times New Roman" w:cs="Times New Roman"/>
                    <w:szCs w:val="21"/>
                  </w:rPr>
                  <w:tag w:val="_PLD_f73859f85672434898eca4794b130fc7"/>
                  <w:id w:val="668149306"/>
                  <w:lock w:val="sdtLocked"/>
                </w:sdtPr>
                <w:sdtEndPr/>
                <w:sdtContent>
                  <w:p w14:paraId="7D69F431" w14:textId="77777777" w:rsidR="00D21C1F" w:rsidRDefault="00A42880">
                    <w:pPr>
                      <w:widowControl w:val="0"/>
                      <w:jc w:val="both"/>
                      <w:rPr>
                        <w:rFonts w:ascii="Times New Roman" w:hAnsi="Times New Roman" w:cs="Times New Roman"/>
                        <w:szCs w:val="21"/>
                      </w:rPr>
                    </w:pPr>
                    <w:r>
                      <w:rPr>
                        <w:rFonts w:ascii="Times New Roman" w:hAnsi="Times New Roman" w:cs="Times New Roman"/>
                        <w:szCs w:val="21"/>
                      </w:rPr>
                      <w:t>用闲置募集资金暂时补充流动资金情况</w:t>
                    </w:r>
                  </w:p>
                </w:sdtContent>
              </w:sdt>
            </w:tc>
            <w:tc>
              <w:tcPr>
                <w:tcW w:w="3160" w:type="pct"/>
                <w:gridSpan w:val="9"/>
                <w:shd w:val="clear" w:color="auto" w:fill="auto"/>
                <w:vAlign w:val="center"/>
              </w:tcPr>
              <w:p w14:paraId="64C9E9F2" w14:textId="77777777" w:rsidR="00D21C1F" w:rsidRDefault="00A42880">
                <w:pPr>
                  <w:widowControl w:val="0"/>
                  <w:rPr>
                    <w:rFonts w:ascii="Times New Roman" w:hAnsi="Times New Roman" w:cs="Times New Roman"/>
                    <w:szCs w:val="21"/>
                  </w:rPr>
                </w:pPr>
                <w:r>
                  <w:rPr>
                    <w:rFonts w:ascii="Times New Roman" w:hAnsi="Times New Roman" w:cs="Times New Roman"/>
                    <w:szCs w:val="21"/>
                  </w:rPr>
                  <w:t>无</w:t>
                </w:r>
              </w:p>
            </w:tc>
          </w:tr>
          <w:tr w:rsidR="00D21C1F" w14:paraId="0F6D52FF" w14:textId="77777777">
            <w:trPr>
              <w:jc w:val="center"/>
            </w:trPr>
            <w:tc>
              <w:tcPr>
                <w:tcW w:w="1840" w:type="pct"/>
                <w:gridSpan w:val="4"/>
                <w:shd w:val="clear" w:color="auto" w:fill="auto"/>
                <w:vAlign w:val="center"/>
              </w:tcPr>
              <w:sdt>
                <w:sdtPr>
                  <w:rPr>
                    <w:rFonts w:ascii="Times New Roman" w:hAnsi="Times New Roman" w:cs="Times New Roman"/>
                    <w:szCs w:val="21"/>
                  </w:rPr>
                  <w:tag w:val="_PLD_401cd8d24e95486e9a8e109dd644f61b"/>
                  <w:id w:val="-1141190814"/>
                  <w:lock w:val="sdtLocked"/>
                </w:sdtPr>
                <w:sdtEndPr/>
                <w:sdtContent>
                  <w:p w14:paraId="50F336C0" w14:textId="77777777" w:rsidR="00D21C1F" w:rsidRDefault="00A42880">
                    <w:pPr>
                      <w:widowControl w:val="0"/>
                      <w:jc w:val="both"/>
                      <w:rPr>
                        <w:rFonts w:ascii="Times New Roman" w:hAnsi="Times New Roman" w:cs="Times New Roman"/>
                        <w:szCs w:val="21"/>
                      </w:rPr>
                    </w:pPr>
                    <w:r>
                      <w:rPr>
                        <w:rFonts w:ascii="Times New Roman" w:hAnsi="Times New Roman" w:cs="Times New Roman"/>
                        <w:szCs w:val="21"/>
                      </w:rPr>
                      <w:t>对闲置募集资金进行现金管理，投资相关产品情况</w:t>
                    </w:r>
                  </w:p>
                </w:sdtContent>
              </w:sdt>
            </w:tc>
            <w:tc>
              <w:tcPr>
                <w:tcW w:w="3160" w:type="pct"/>
                <w:gridSpan w:val="9"/>
                <w:shd w:val="clear" w:color="auto" w:fill="auto"/>
                <w:vAlign w:val="center"/>
              </w:tcPr>
              <w:p w14:paraId="1D884289" w14:textId="77777777" w:rsidR="00D21C1F" w:rsidRDefault="00A42880">
                <w:pPr>
                  <w:widowControl w:val="0"/>
                  <w:rPr>
                    <w:rFonts w:ascii="Times New Roman" w:hAnsi="Times New Roman" w:cs="Times New Roman"/>
                    <w:szCs w:val="21"/>
                  </w:rPr>
                </w:pPr>
                <w:r>
                  <w:rPr>
                    <w:rFonts w:ascii="Times New Roman" w:hAnsi="Times New Roman" w:cs="Times New Roman"/>
                    <w:szCs w:val="21"/>
                  </w:rPr>
                  <w:t>公司于</w:t>
                </w:r>
                <w:r>
                  <w:rPr>
                    <w:rFonts w:ascii="Times New Roman" w:hAnsi="Times New Roman" w:cs="Times New Roman"/>
                    <w:szCs w:val="21"/>
                  </w:rPr>
                  <w:t>2020</w:t>
                </w:r>
                <w:r>
                  <w:rPr>
                    <w:rFonts w:ascii="Times New Roman" w:hAnsi="Times New Roman" w:cs="Times New Roman"/>
                    <w:szCs w:val="21"/>
                  </w:rPr>
                  <w:t>年</w:t>
                </w:r>
                <w:r>
                  <w:rPr>
                    <w:rFonts w:ascii="Times New Roman" w:hAnsi="Times New Roman" w:cs="Times New Roman"/>
                    <w:szCs w:val="21"/>
                  </w:rPr>
                  <w:t>7</w:t>
                </w:r>
                <w:r>
                  <w:rPr>
                    <w:rFonts w:ascii="Times New Roman" w:hAnsi="Times New Roman" w:cs="Times New Roman"/>
                    <w:szCs w:val="21"/>
                  </w:rPr>
                  <w:t>月</w:t>
                </w:r>
                <w:r>
                  <w:rPr>
                    <w:rFonts w:ascii="Times New Roman" w:hAnsi="Times New Roman" w:cs="Times New Roman"/>
                    <w:szCs w:val="21"/>
                  </w:rPr>
                  <w:t>29</w:t>
                </w:r>
                <w:r>
                  <w:rPr>
                    <w:rFonts w:ascii="Times New Roman" w:hAnsi="Times New Roman" w:cs="Times New Roman"/>
                    <w:szCs w:val="21"/>
                  </w:rPr>
                  <w:t>日召开了第二届董事会第八次会议、</w:t>
                </w:r>
                <w:r>
                  <w:rPr>
                    <w:rFonts w:ascii="Times New Roman" w:hAnsi="Times New Roman" w:cs="Times New Roman"/>
                    <w:szCs w:val="21"/>
                  </w:rPr>
                  <w:t xml:space="preserve"> </w:t>
                </w:r>
                <w:r>
                  <w:rPr>
                    <w:rFonts w:ascii="Times New Roman" w:hAnsi="Times New Roman" w:cs="Times New Roman"/>
                    <w:szCs w:val="21"/>
                  </w:rPr>
                  <w:t>第二届监事会第四次会议，审议通过了《关于募投项目金额调整的议案》和《关于使用暂时闲置募集资金进行现金管理的议案》，同意公司在保证不影响募集资金投资项目实施、确保募集资金安全的前提下，使用最高不超过人民币</w:t>
                </w:r>
                <w:r>
                  <w:rPr>
                    <w:rFonts w:ascii="Times New Roman" w:hAnsi="Times New Roman" w:cs="Times New Roman"/>
                    <w:szCs w:val="21"/>
                  </w:rPr>
                  <w:t xml:space="preserve"> 64,000</w:t>
                </w:r>
                <w:r>
                  <w:rPr>
                    <w:rFonts w:ascii="Times New Roman" w:hAnsi="Times New Roman" w:cs="Times New Roman"/>
                    <w:szCs w:val="21"/>
                  </w:rPr>
                  <w:t>万元的暂时闲置募集资金进行现金管理，用于购买安全性高、流动性好、有保本约定的投资产品（包括但不限于结构性存款、协议存单、通知存款、定期存款、大额存单等），使用期限不超过</w:t>
                </w:r>
                <w:r>
                  <w:rPr>
                    <w:rFonts w:ascii="Times New Roman" w:hAnsi="Times New Roman" w:cs="Times New Roman"/>
                    <w:szCs w:val="21"/>
                  </w:rPr>
                  <w:t xml:space="preserve"> 12</w:t>
                </w:r>
                <w:r>
                  <w:rPr>
                    <w:rFonts w:ascii="Times New Roman" w:hAnsi="Times New Roman" w:cs="Times New Roman"/>
                    <w:szCs w:val="21"/>
                  </w:rPr>
                  <w:t>个月，在前述额度及期限范围内，资金可以循环滚动使用</w:t>
                </w:r>
              </w:p>
            </w:tc>
          </w:tr>
          <w:tr w:rsidR="00D21C1F" w14:paraId="692DDE7A" w14:textId="77777777">
            <w:trPr>
              <w:jc w:val="center"/>
            </w:trPr>
            <w:tc>
              <w:tcPr>
                <w:tcW w:w="1840" w:type="pct"/>
                <w:gridSpan w:val="4"/>
                <w:shd w:val="clear" w:color="auto" w:fill="auto"/>
                <w:vAlign w:val="center"/>
              </w:tcPr>
              <w:sdt>
                <w:sdtPr>
                  <w:rPr>
                    <w:rFonts w:hint="eastAsia"/>
                    <w:szCs w:val="21"/>
                  </w:rPr>
                  <w:tag w:val="_PLD_928954ff22c6440d8830a5d3f6747f85"/>
                  <w:id w:val="1203826923"/>
                  <w:lock w:val="sdtLocked"/>
                </w:sdtPr>
                <w:sdtEndPr>
                  <w:rPr>
                    <w:rFonts w:hint="default"/>
                  </w:rPr>
                </w:sdtEndPr>
                <w:sdtContent>
                  <w:p w14:paraId="7015B037" w14:textId="77777777" w:rsidR="00D21C1F" w:rsidRDefault="00A42880">
                    <w:pPr>
                      <w:widowControl w:val="0"/>
                      <w:jc w:val="both"/>
                      <w:rPr>
                        <w:szCs w:val="21"/>
                      </w:rPr>
                    </w:pPr>
                    <w:r>
                      <w:rPr>
                        <w:rFonts w:hint="eastAsia"/>
                        <w:szCs w:val="21"/>
                      </w:rPr>
                      <w:t>用超募</w:t>
                    </w:r>
                    <w:r>
                      <w:rPr>
                        <w:szCs w:val="21"/>
                      </w:rPr>
                      <w:t>资金永久补充流动资金或归还银行贷款情况</w:t>
                    </w:r>
                  </w:p>
                </w:sdtContent>
              </w:sdt>
            </w:tc>
            <w:tc>
              <w:tcPr>
                <w:tcW w:w="3160" w:type="pct"/>
                <w:gridSpan w:val="9"/>
                <w:shd w:val="clear" w:color="auto" w:fill="auto"/>
                <w:vAlign w:val="center"/>
              </w:tcPr>
              <w:p w14:paraId="0B1614EF" w14:textId="77777777" w:rsidR="00D21C1F" w:rsidRDefault="00A42880">
                <w:pPr>
                  <w:widowControl w:val="0"/>
                  <w:rPr>
                    <w:szCs w:val="21"/>
                  </w:rPr>
                </w:pPr>
                <w:r>
                  <w:rPr>
                    <w:rFonts w:hint="eastAsia"/>
                    <w:szCs w:val="21"/>
                  </w:rPr>
                  <w:t>无</w:t>
                </w:r>
              </w:p>
            </w:tc>
          </w:tr>
          <w:tr w:rsidR="00D21C1F" w14:paraId="2C420920" w14:textId="77777777">
            <w:trPr>
              <w:jc w:val="center"/>
            </w:trPr>
            <w:tc>
              <w:tcPr>
                <w:tcW w:w="1840" w:type="pct"/>
                <w:gridSpan w:val="4"/>
                <w:shd w:val="clear" w:color="auto" w:fill="auto"/>
                <w:vAlign w:val="center"/>
              </w:tcPr>
              <w:sdt>
                <w:sdtPr>
                  <w:rPr>
                    <w:rFonts w:hint="eastAsia"/>
                    <w:szCs w:val="21"/>
                  </w:rPr>
                  <w:tag w:val="_PLD_93f55823af6d44078132c4e7ea89f44e"/>
                  <w:id w:val="-1044525063"/>
                  <w:lock w:val="sdtLocked"/>
                </w:sdtPr>
                <w:sdtEndPr>
                  <w:rPr>
                    <w:rFonts w:hint="default"/>
                  </w:rPr>
                </w:sdtEndPr>
                <w:sdtContent>
                  <w:p w14:paraId="1FBCDD5E" w14:textId="77777777" w:rsidR="00D21C1F" w:rsidRDefault="00A42880">
                    <w:pPr>
                      <w:widowControl w:val="0"/>
                      <w:jc w:val="both"/>
                      <w:rPr>
                        <w:szCs w:val="21"/>
                      </w:rPr>
                    </w:pPr>
                    <w:r>
                      <w:rPr>
                        <w:rFonts w:hint="eastAsia"/>
                        <w:szCs w:val="21"/>
                      </w:rPr>
                      <w:t>募集</w:t>
                    </w:r>
                    <w:r>
                      <w:rPr>
                        <w:szCs w:val="21"/>
                      </w:rPr>
                      <w:t>资金结余的金额及形成原因</w:t>
                    </w:r>
                  </w:p>
                </w:sdtContent>
              </w:sdt>
            </w:tc>
            <w:tc>
              <w:tcPr>
                <w:tcW w:w="3160" w:type="pct"/>
                <w:gridSpan w:val="9"/>
                <w:shd w:val="clear" w:color="auto" w:fill="auto"/>
                <w:vAlign w:val="center"/>
              </w:tcPr>
              <w:p w14:paraId="2B8519F8" w14:textId="77777777" w:rsidR="00D21C1F" w:rsidRDefault="00A42880">
                <w:pPr>
                  <w:widowControl w:val="0"/>
                  <w:rPr>
                    <w:szCs w:val="21"/>
                  </w:rPr>
                </w:pPr>
                <w:r>
                  <w:rPr>
                    <w:rFonts w:hint="eastAsia"/>
                    <w:szCs w:val="21"/>
                  </w:rPr>
                  <w:t>无</w:t>
                </w:r>
              </w:p>
            </w:tc>
          </w:tr>
          <w:tr w:rsidR="00D21C1F" w14:paraId="600955A2" w14:textId="77777777">
            <w:trPr>
              <w:trHeight w:val="72"/>
              <w:jc w:val="center"/>
            </w:trPr>
            <w:tc>
              <w:tcPr>
                <w:tcW w:w="1840" w:type="pct"/>
                <w:gridSpan w:val="4"/>
                <w:shd w:val="clear" w:color="auto" w:fill="auto"/>
                <w:vAlign w:val="center"/>
              </w:tcPr>
              <w:sdt>
                <w:sdtPr>
                  <w:rPr>
                    <w:rFonts w:hint="eastAsia"/>
                    <w:szCs w:val="21"/>
                  </w:rPr>
                  <w:tag w:val="_PLD_e49ee092750f420cb6746dce589fc093"/>
                  <w:id w:val="-418176219"/>
                  <w:lock w:val="sdtLocked"/>
                </w:sdtPr>
                <w:sdtEndPr>
                  <w:rPr>
                    <w:rFonts w:hint="default"/>
                  </w:rPr>
                </w:sdtEndPr>
                <w:sdtContent>
                  <w:p w14:paraId="7C64D5C8" w14:textId="77777777" w:rsidR="00D21C1F" w:rsidRDefault="00A42880">
                    <w:pPr>
                      <w:widowControl w:val="0"/>
                      <w:jc w:val="both"/>
                      <w:rPr>
                        <w:szCs w:val="21"/>
                      </w:rPr>
                    </w:pPr>
                    <w:r>
                      <w:rPr>
                        <w:rFonts w:hint="eastAsia"/>
                        <w:szCs w:val="21"/>
                      </w:rPr>
                      <w:t>募集</w:t>
                    </w:r>
                    <w:r>
                      <w:rPr>
                        <w:szCs w:val="21"/>
                      </w:rPr>
                      <w:t>资金其他使用情况</w:t>
                    </w:r>
                  </w:p>
                </w:sdtContent>
              </w:sdt>
            </w:tc>
            <w:tc>
              <w:tcPr>
                <w:tcW w:w="3160" w:type="pct"/>
                <w:gridSpan w:val="9"/>
                <w:shd w:val="clear" w:color="auto" w:fill="auto"/>
                <w:vAlign w:val="center"/>
              </w:tcPr>
              <w:p w14:paraId="436A4C99" w14:textId="77777777" w:rsidR="00D21C1F" w:rsidRDefault="00A42880">
                <w:pPr>
                  <w:widowControl w:val="0"/>
                  <w:rPr>
                    <w:szCs w:val="21"/>
                  </w:rPr>
                </w:pPr>
                <w:r>
                  <w:rPr>
                    <w:rFonts w:hint="eastAsia"/>
                    <w:szCs w:val="21"/>
                  </w:rPr>
                  <w:t>无</w:t>
                </w:r>
              </w:p>
            </w:tc>
          </w:tr>
        </w:tbl>
        <w:p w14:paraId="61270FB3" w14:textId="77777777" w:rsidR="00D21C1F" w:rsidRDefault="00D21C1F">
          <w:pPr>
            <w:rPr>
              <w:szCs w:val="21"/>
            </w:rPr>
            <w:sectPr w:rsidR="00D21C1F">
              <w:pgSz w:w="16838" w:h="11906" w:orient="landscape"/>
              <w:pgMar w:top="1797" w:right="1525" w:bottom="1276" w:left="1440" w:header="851" w:footer="992" w:gutter="0"/>
              <w:cols w:space="425"/>
              <w:docGrid w:linePitch="312"/>
            </w:sectPr>
          </w:pPr>
        </w:p>
        <w:p w14:paraId="32923CCA" w14:textId="77777777" w:rsidR="00D21C1F" w:rsidRDefault="00045EC6">
          <w:pPr>
            <w:sectPr w:rsidR="00D21C1F">
              <w:type w:val="continuous"/>
              <w:pgSz w:w="16838" w:h="11906" w:orient="landscape"/>
              <w:pgMar w:top="1797" w:right="1525" w:bottom="1276" w:left="1440" w:header="851" w:footer="992" w:gutter="0"/>
              <w:cols w:space="425"/>
              <w:docGrid w:linePitch="312"/>
            </w:sectPr>
          </w:pPr>
        </w:p>
      </w:sdtContent>
    </w:sdt>
    <w:bookmarkEnd w:id="97" w:displacedByCustomXml="next"/>
    <w:bookmarkStart w:id="98" w:name="_Hlk74820557" w:displacedByCustomXml="next"/>
    <w:sdt>
      <w:sdtPr>
        <w:rPr>
          <w:rFonts w:eastAsiaTheme="minorEastAsia"/>
          <w:b w:val="0"/>
          <w:bCs w:val="0"/>
        </w:rPr>
        <w:alias w:val="模块:"/>
        <w:tag w:val="_SEC_0705015634e74218914134e2680e2a06"/>
        <w:id w:val="271052343"/>
        <w:lock w:val="sdtLocked"/>
        <w:placeholder>
          <w:docPart w:val="GBC22222222222222222222222222222"/>
        </w:placeholder>
      </w:sdtPr>
      <w:sdtEndPr/>
      <w:sdtContent>
        <w:p w14:paraId="2F32E767" w14:textId="77777777" w:rsidR="00D21C1F" w:rsidRDefault="00A42880">
          <w:pPr>
            <w:pStyle w:val="2"/>
            <w:numPr>
              <w:ilvl w:val="0"/>
              <w:numId w:val="27"/>
            </w:numPr>
          </w:pPr>
          <w:r>
            <w:t>其他</w:t>
          </w:r>
          <w:r>
            <w:rPr>
              <w:rFonts w:hint="eastAsia"/>
            </w:rPr>
            <w:t>重大事项的说明</w:t>
          </w:r>
        </w:p>
        <w:sdt>
          <w:sdtPr>
            <w:alias w:val="是否适用：其他重大事项的说明[双击切换]"/>
            <w:tag w:val="_GBC_b6d954366a5c4032a5fd98a1690e59b0"/>
            <w:id w:val="252552533"/>
            <w:lock w:val="sdtLocked"/>
            <w:placeholder>
              <w:docPart w:val="GBC22222222222222222222222222222"/>
            </w:placeholder>
          </w:sdtPr>
          <w:sdtEndPr/>
          <w:sdtContent>
            <w:p w14:paraId="4EE421F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F83935" w14:textId="77777777" w:rsidR="00D21C1F" w:rsidRDefault="00045EC6">
          <w:pPr>
            <w:pStyle w:val="97"/>
          </w:pPr>
        </w:p>
      </w:sdtContent>
    </w:sdt>
    <w:p w14:paraId="6DB7615F" w14:textId="77777777" w:rsidR="00D21C1F" w:rsidRDefault="00A42880">
      <w:pPr>
        <w:pStyle w:val="10"/>
        <w:numPr>
          <w:ilvl w:val="0"/>
          <w:numId w:val="3"/>
        </w:numPr>
        <w:rPr>
          <w:rFonts w:ascii="黑体" w:hAnsi="黑体"/>
        </w:rPr>
      </w:pPr>
      <w:bookmarkStart w:id="99" w:name="_Toc392233016"/>
      <w:bookmarkStart w:id="100" w:name="_Toc79755146"/>
      <w:bookmarkEnd w:id="98"/>
      <w:r>
        <w:rPr>
          <w:rFonts w:ascii="黑体" w:hAnsi="黑体" w:hint="eastAsia"/>
        </w:rPr>
        <w:t>股份变动及股东情况</w:t>
      </w:r>
      <w:bookmarkEnd w:id="78"/>
      <w:bookmarkEnd w:id="99"/>
      <w:bookmarkEnd w:id="100"/>
    </w:p>
    <w:p w14:paraId="2F1F5F6A" w14:textId="77777777" w:rsidR="00D21C1F" w:rsidRDefault="00A42880">
      <w:pPr>
        <w:pStyle w:val="2"/>
        <w:numPr>
          <w:ilvl w:val="0"/>
          <w:numId w:val="35"/>
        </w:numPr>
      </w:pPr>
      <w:bookmarkStart w:id="101" w:name="_Toc342565989"/>
      <w:bookmarkStart w:id="102" w:name="_Toc342059476"/>
      <w:r>
        <w:t>股</w:t>
      </w:r>
      <w:r>
        <w:rPr>
          <w:rFonts w:hint="eastAsia"/>
        </w:rPr>
        <w:t>本变动情况</w:t>
      </w:r>
      <w:bookmarkEnd w:id="101"/>
      <w:bookmarkEnd w:id="102"/>
    </w:p>
    <w:p w14:paraId="619C408B" w14:textId="77777777" w:rsidR="00D21C1F" w:rsidRDefault="00A42880">
      <w:pPr>
        <w:pStyle w:val="3"/>
        <w:numPr>
          <w:ilvl w:val="1"/>
          <w:numId w:val="36"/>
        </w:numPr>
        <w:rPr>
          <w:rFonts w:ascii="宋体" w:hAnsi="宋体"/>
        </w:rPr>
      </w:pPr>
      <w:bookmarkStart w:id="103" w:name="_Toc342059477"/>
      <w:bookmarkStart w:id="104" w:name="_Toc342565990"/>
      <w:r>
        <w:rPr>
          <w:rFonts w:ascii="宋体" w:hAnsi="宋体" w:hint="eastAsia"/>
        </w:rPr>
        <w:t>股份变动情况表</w:t>
      </w:r>
      <w:bookmarkEnd w:id="103"/>
      <w:bookmarkEnd w:id="104"/>
    </w:p>
    <w:p w14:paraId="426508EF" w14:textId="77777777" w:rsidR="00D21C1F" w:rsidRDefault="00A42880">
      <w:pPr>
        <w:pStyle w:val="4"/>
        <w:numPr>
          <w:ilvl w:val="2"/>
          <w:numId w:val="37"/>
        </w:numPr>
        <w:rPr>
          <w:rFonts w:ascii="宋体" w:hAnsi="宋体"/>
        </w:rPr>
      </w:pPr>
      <w:r>
        <w:rPr>
          <w:rFonts w:ascii="宋体" w:hAnsi="宋体" w:hint="eastAsia"/>
        </w:rPr>
        <w:t>股份变动情况表</w:t>
      </w:r>
    </w:p>
    <w:bookmarkStart w:id="105" w:name="_Hlk42868758" w:displacedByCustomXml="next"/>
    <w:bookmarkEnd w:id="105" w:displacedByCustomXml="next"/>
    <w:bookmarkStart w:id="106" w:name="_Hlk42868799" w:displacedByCustomXml="next"/>
    <w:bookmarkStart w:id="107" w:name="_Hlk27484574" w:displacedByCustomXml="next"/>
    <w:sdt>
      <w:sdtPr>
        <w:rPr>
          <w:rFonts w:eastAsiaTheme="minorEastAsia"/>
          <w:szCs w:val="21"/>
        </w:rPr>
        <w:alias w:val="选项模块:股份变动情况表"/>
        <w:tag w:val="_SEC_2b55a7402c1a4ebfa05e217b55f24b63"/>
        <w:id w:val="114411610"/>
        <w:placeholder>
          <w:docPart w:val="GBC22222222222222222222222222222"/>
        </w:placeholder>
      </w:sdtPr>
      <w:sdtEndPr>
        <w:rPr>
          <w:szCs w:val="24"/>
        </w:rPr>
      </w:sdtEndPr>
      <w:sdtContent>
        <w:p w14:paraId="39149D01" w14:textId="77777777" w:rsidR="00D21C1F" w:rsidRDefault="00A42880">
          <w:pPr>
            <w:jc w:val="right"/>
            <w:rPr>
              <w:szCs w:val="21"/>
            </w:rPr>
          </w:pPr>
          <w:r>
            <w:rPr>
              <w:szCs w:val="21"/>
            </w:rPr>
            <w:t>单位：</w:t>
          </w:r>
          <w:sdt>
            <w:sdtPr>
              <w:rPr>
                <w:rFonts w:hint="eastAsia"/>
                <w:szCs w:val="21"/>
              </w:rPr>
              <w:alias w:val="单位：股份变动情况表"/>
              <w:tag w:val="_GBC_a508261a48b3418b953725c3be4eaf67"/>
              <w:id w:val="567539297"/>
              <w:lock w:val="sdtLocked"/>
              <w:placeholder>
                <w:docPart w:val="5711CAB911854C038DC4649BD92CDCCA"/>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88"/>
            <w:tblW w:w="521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711"/>
            <w:gridCol w:w="425"/>
            <w:gridCol w:w="425"/>
            <w:gridCol w:w="425"/>
            <w:gridCol w:w="1135"/>
            <w:gridCol w:w="1135"/>
            <w:gridCol w:w="1322"/>
            <w:gridCol w:w="801"/>
          </w:tblGrid>
          <w:tr w:rsidR="00D21C1F" w14:paraId="31C8A57A" w14:textId="77777777">
            <w:tc>
              <w:tcPr>
                <w:tcW w:w="844" w:type="pct"/>
                <w:vMerge w:val="restart"/>
                <w:shd w:val="clear" w:color="auto" w:fill="auto"/>
                <w:vAlign w:val="center"/>
              </w:tcPr>
              <w:p w14:paraId="66D80395" w14:textId="77777777" w:rsidR="00D21C1F" w:rsidRDefault="00D21C1F">
                <w:pPr>
                  <w:jc w:val="both"/>
                  <w:rPr>
                    <w:szCs w:val="21"/>
                  </w:rPr>
                </w:pPr>
              </w:p>
            </w:tc>
            <w:sdt>
              <w:sdtPr>
                <w:rPr>
                  <w:rFonts w:hAnsi="宋体"/>
                </w:rPr>
                <w:tag w:val="_PLD_773774907be2499582cb4a9e52eff244"/>
                <w:id w:val="1538232684"/>
                <w:lock w:val="sdtLocked"/>
              </w:sdtPr>
              <w:sdtEndPr/>
              <w:sdtContent>
                <w:tc>
                  <w:tcPr>
                    <w:tcW w:w="1078" w:type="pct"/>
                    <w:gridSpan w:val="2"/>
                    <w:shd w:val="clear" w:color="auto" w:fill="auto"/>
                    <w:vAlign w:val="center"/>
                  </w:tcPr>
                  <w:p w14:paraId="080E4B44" w14:textId="77777777" w:rsidR="00D21C1F" w:rsidRDefault="00A42880">
                    <w:pPr>
                      <w:pStyle w:val="af"/>
                      <w:rPr>
                        <w:rFonts w:hAnsi="宋体"/>
                        <w:szCs w:val="21"/>
                      </w:rPr>
                    </w:pPr>
                    <w:r>
                      <w:rPr>
                        <w:rFonts w:hAnsi="宋体"/>
                        <w:szCs w:val="21"/>
                      </w:rPr>
                      <w:t>本次变动前</w:t>
                    </w:r>
                  </w:p>
                </w:tc>
              </w:sdtContent>
            </w:sdt>
            <w:sdt>
              <w:sdtPr>
                <w:tag w:val="_PLD_f0e43bf6757e47a6849f2f3f9d9c4d69"/>
                <w:id w:val="789169213"/>
                <w:lock w:val="sdtLocked"/>
              </w:sdtPr>
              <w:sdtEndPr/>
              <w:sdtContent>
                <w:tc>
                  <w:tcPr>
                    <w:tcW w:w="1924" w:type="pct"/>
                    <w:gridSpan w:val="5"/>
                    <w:shd w:val="clear" w:color="auto" w:fill="auto"/>
                    <w:vAlign w:val="center"/>
                  </w:tcPr>
                  <w:p w14:paraId="276A24E7" w14:textId="77777777" w:rsidR="00D21C1F" w:rsidRDefault="00A42880">
                    <w:pPr>
                      <w:jc w:val="both"/>
                      <w:rPr>
                        <w:szCs w:val="21"/>
                      </w:rPr>
                    </w:pPr>
                    <w:r>
                      <w:rPr>
                        <w:szCs w:val="21"/>
                      </w:rPr>
                      <w:t>本次变动增减（＋，－）</w:t>
                    </w:r>
                  </w:p>
                </w:tc>
              </w:sdtContent>
            </w:sdt>
            <w:sdt>
              <w:sdtPr>
                <w:tag w:val="_PLD_c9dd6a9d38c14adca67694e55d813cfe"/>
                <w:id w:val="-1223280897"/>
                <w:lock w:val="sdtLocked"/>
              </w:sdtPr>
              <w:sdtEndPr/>
              <w:sdtContent>
                <w:tc>
                  <w:tcPr>
                    <w:tcW w:w="1154" w:type="pct"/>
                    <w:gridSpan w:val="2"/>
                    <w:shd w:val="clear" w:color="auto" w:fill="auto"/>
                    <w:vAlign w:val="center"/>
                  </w:tcPr>
                  <w:p w14:paraId="2E168A69" w14:textId="77777777" w:rsidR="00D21C1F" w:rsidRDefault="00A42880">
                    <w:pPr>
                      <w:jc w:val="both"/>
                      <w:rPr>
                        <w:szCs w:val="21"/>
                      </w:rPr>
                    </w:pPr>
                    <w:r>
                      <w:rPr>
                        <w:szCs w:val="21"/>
                      </w:rPr>
                      <w:t>本次变动后</w:t>
                    </w:r>
                  </w:p>
                </w:tc>
              </w:sdtContent>
            </w:sdt>
          </w:tr>
          <w:tr w:rsidR="00D21C1F" w14:paraId="77CFF500" w14:textId="77777777">
            <w:trPr>
              <w:trHeight w:val="273"/>
            </w:trPr>
            <w:tc>
              <w:tcPr>
                <w:tcW w:w="844" w:type="pct"/>
                <w:vMerge/>
                <w:shd w:val="clear" w:color="auto" w:fill="auto"/>
                <w:vAlign w:val="center"/>
              </w:tcPr>
              <w:p w14:paraId="79811029" w14:textId="77777777" w:rsidR="00D21C1F" w:rsidRDefault="00D21C1F">
                <w:pPr>
                  <w:jc w:val="both"/>
                  <w:rPr>
                    <w:szCs w:val="21"/>
                  </w:rPr>
                </w:pPr>
              </w:p>
            </w:tc>
            <w:sdt>
              <w:sdtPr>
                <w:rPr>
                  <w:rFonts w:hAnsi="宋体"/>
                </w:rPr>
                <w:tag w:val="_PLD_5610c4cb75f349b784cbd52236b29d38"/>
                <w:id w:val="819549301"/>
                <w:lock w:val="sdtLocked"/>
              </w:sdtPr>
              <w:sdtEndPr/>
              <w:sdtContent>
                <w:tc>
                  <w:tcPr>
                    <w:tcW w:w="692" w:type="pct"/>
                    <w:shd w:val="clear" w:color="auto" w:fill="auto"/>
                    <w:vAlign w:val="center"/>
                  </w:tcPr>
                  <w:p w14:paraId="6755E2BD" w14:textId="77777777" w:rsidR="00D21C1F" w:rsidRDefault="00A42880">
                    <w:pPr>
                      <w:pStyle w:val="af"/>
                      <w:rPr>
                        <w:rFonts w:hAnsi="宋体"/>
                        <w:szCs w:val="21"/>
                      </w:rPr>
                    </w:pPr>
                    <w:r>
                      <w:rPr>
                        <w:rFonts w:hAnsi="宋体"/>
                        <w:szCs w:val="21"/>
                      </w:rPr>
                      <w:t>数量</w:t>
                    </w:r>
                  </w:p>
                </w:tc>
              </w:sdtContent>
            </w:sdt>
            <w:sdt>
              <w:sdtPr>
                <w:rPr>
                  <w:rFonts w:hAnsi="宋体"/>
                </w:rPr>
                <w:tag w:val="_PLD_e8fd10c56b064b77a91c9d778dd2739d"/>
                <w:id w:val="1630512458"/>
                <w:lock w:val="sdtLocked"/>
              </w:sdtPr>
              <w:sdtEndPr/>
              <w:sdtContent>
                <w:tc>
                  <w:tcPr>
                    <w:tcW w:w="386" w:type="pct"/>
                    <w:shd w:val="clear" w:color="auto" w:fill="auto"/>
                    <w:vAlign w:val="center"/>
                  </w:tcPr>
                  <w:p w14:paraId="64E85196" w14:textId="77777777" w:rsidR="00D21C1F" w:rsidRDefault="00A42880">
                    <w:pPr>
                      <w:pStyle w:val="af"/>
                      <w:rPr>
                        <w:rFonts w:hAnsi="宋体"/>
                        <w:szCs w:val="21"/>
                      </w:rPr>
                    </w:pPr>
                    <w:r>
                      <w:rPr>
                        <w:rFonts w:hAnsi="宋体"/>
                        <w:szCs w:val="21"/>
                      </w:rPr>
                      <w:t>比例(%)</w:t>
                    </w:r>
                  </w:p>
                </w:tc>
              </w:sdtContent>
            </w:sdt>
            <w:sdt>
              <w:sdtPr>
                <w:rPr>
                  <w:rFonts w:hAnsi="宋体"/>
                </w:rPr>
                <w:tag w:val="_PLD_b26af1716c0944c6ad345a3e2c3d1081"/>
                <w:id w:val="1763648166"/>
                <w:lock w:val="sdtLocked"/>
              </w:sdtPr>
              <w:sdtEndPr/>
              <w:sdtContent>
                <w:tc>
                  <w:tcPr>
                    <w:tcW w:w="231" w:type="pct"/>
                    <w:shd w:val="clear" w:color="auto" w:fill="auto"/>
                    <w:vAlign w:val="center"/>
                  </w:tcPr>
                  <w:p w14:paraId="3F8EDB08" w14:textId="77777777" w:rsidR="00D21C1F" w:rsidRDefault="00A42880">
                    <w:pPr>
                      <w:pStyle w:val="af"/>
                      <w:rPr>
                        <w:rFonts w:hAnsi="宋体"/>
                        <w:szCs w:val="21"/>
                      </w:rPr>
                    </w:pPr>
                    <w:r>
                      <w:rPr>
                        <w:rFonts w:hAnsi="宋体"/>
                        <w:szCs w:val="21"/>
                      </w:rPr>
                      <w:t>发行新股</w:t>
                    </w:r>
                  </w:p>
                </w:tc>
              </w:sdtContent>
            </w:sdt>
            <w:sdt>
              <w:sdtPr>
                <w:tag w:val="_PLD_9d29fe901f6f4c338f2055f12dd18d96"/>
                <w:id w:val="-1915610408"/>
                <w:lock w:val="sdtLocked"/>
              </w:sdtPr>
              <w:sdtEndPr/>
              <w:sdtContent>
                <w:tc>
                  <w:tcPr>
                    <w:tcW w:w="231" w:type="pct"/>
                    <w:shd w:val="clear" w:color="auto" w:fill="auto"/>
                    <w:vAlign w:val="center"/>
                  </w:tcPr>
                  <w:p w14:paraId="66759F31" w14:textId="77777777" w:rsidR="00D21C1F" w:rsidRDefault="00A42880">
                    <w:pPr>
                      <w:jc w:val="both"/>
                      <w:rPr>
                        <w:szCs w:val="21"/>
                      </w:rPr>
                    </w:pPr>
                    <w:r>
                      <w:rPr>
                        <w:szCs w:val="21"/>
                      </w:rPr>
                      <w:t>送股</w:t>
                    </w:r>
                  </w:p>
                </w:tc>
              </w:sdtContent>
            </w:sdt>
            <w:sdt>
              <w:sdtPr>
                <w:tag w:val="_PLD_98eb9790d5ea4b609101ba1c32486188"/>
                <w:id w:val="699751134"/>
                <w:lock w:val="sdtLocked"/>
              </w:sdtPr>
              <w:sdtEndPr/>
              <w:sdtContent>
                <w:tc>
                  <w:tcPr>
                    <w:tcW w:w="231" w:type="pct"/>
                    <w:shd w:val="clear" w:color="auto" w:fill="auto"/>
                    <w:vAlign w:val="center"/>
                  </w:tcPr>
                  <w:p w14:paraId="4968FA1C" w14:textId="77777777" w:rsidR="00D21C1F" w:rsidRDefault="00A42880">
                    <w:pPr>
                      <w:jc w:val="both"/>
                      <w:rPr>
                        <w:szCs w:val="21"/>
                      </w:rPr>
                    </w:pPr>
                    <w:r>
                      <w:rPr>
                        <w:szCs w:val="21"/>
                      </w:rPr>
                      <w:t>公积金转股</w:t>
                    </w:r>
                  </w:p>
                </w:tc>
              </w:sdtContent>
            </w:sdt>
            <w:sdt>
              <w:sdtPr>
                <w:rPr>
                  <w:rFonts w:hAnsi="宋体"/>
                </w:rPr>
                <w:tag w:val="_PLD_82b73dc0a0b04af9adc9c08f8c84c882"/>
                <w:id w:val="1206145344"/>
                <w:lock w:val="sdtLocked"/>
              </w:sdtPr>
              <w:sdtEndPr/>
              <w:sdtContent>
                <w:tc>
                  <w:tcPr>
                    <w:tcW w:w="616" w:type="pct"/>
                    <w:shd w:val="clear" w:color="auto" w:fill="auto"/>
                    <w:vAlign w:val="center"/>
                  </w:tcPr>
                  <w:p w14:paraId="5B4FDFCF" w14:textId="77777777" w:rsidR="00D21C1F" w:rsidRDefault="00A42880">
                    <w:pPr>
                      <w:pStyle w:val="af"/>
                      <w:rPr>
                        <w:rFonts w:hAnsi="宋体"/>
                        <w:szCs w:val="21"/>
                      </w:rPr>
                    </w:pPr>
                    <w:r>
                      <w:rPr>
                        <w:rFonts w:hAnsi="宋体"/>
                        <w:szCs w:val="21"/>
                      </w:rPr>
                      <w:t>其他</w:t>
                    </w:r>
                  </w:p>
                </w:tc>
              </w:sdtContent>
            </w:sdt>
            <w:sdt>
              <w:sdtPr>
                <w:rPr>
                  <w:rFonts w:hAnsi="宋体"/>
                </w:rPr>
                <w:tag w:val="_PLD_19160b60b93b4452b9fc78ae89f95036"/>
                <w:id w:val="1674761074"/>
                <w:lock w:val="sdtLocked"/>
              </w:sdtPr>
              <w:sdtEndPr/>
              <w:sdtContent>
                <w:tc>
                  <w:tcPr>
                    <w:tcW w:w="616" w:type="pct"/>
                    <w:shd w:val="clear" w:color="auto" w:fill="auto"/>
                    <w:vAlign w:val="center"/>
                  </w:tcPr>
                  <w:p w14:paraId="2249E7A9" w14:textId="77777777" w:rsidR="00D21C1F" w:rsidRDefault="00A42880">
                    <w:pPr>
                      <w:pStyle w:val="af"/>
                      <w:rPr>
                        <w:rFonts w:hAnsi="宋体"/>
                        <w:szCs w:val="21"/>
                      </w:rPr>
                    </w:pPr>
                    <w:r>
                      <w:rPr>
                        <w:rFonts w:hAnsi="宋体"/>
                        <w:szCs w:val="21"/>
                      </w:rPr>
                      <w:t>小计</w:t>
                    </w:r>
                  </w:p>
                </w:tc>
              </w:sdtContent>
            </w:sdt>
            <w:sdt>
              <w:sdtPr>
                <w:rPr>
                  <w:rFonts w:hAnsi="宋体"/>
                </w:rPr>
                <w:tag w:val="_PLD_5b0f6a63f56d49c29569edbd07e4f836"/>
                <w:id w:val="570086484"/>
                <w:lock w:val="sdtLocked"/>
              </w:sdtPr>
              <w:sdtEndPr/>
              <w:sdtContent>
                <w:tc>
                  <w:tcPr>
                    <w:tcW w:w="718" w:type="pct"/>
                    <w:shd w:val="clear" w:color="auto" w:fill="auto"/>
                    <w:vAlign w:val="center"/>
                  </w:tcPr>
                  <w:p w14:paraId="0849019C" w14:textId="77777777" w:rsidR="00D21C1F" w:rsidRDefault="00A42880">
                    <w:pPr>
                      <w:pStyle w:val="af"/>
                      <w:rPr>
                        <w:rFonts w:hAnsi="宋体"/>
                        <w:szCs w:val="21"/>
                      </w:rPr>
                    </w:pPr>
                    <w:r>
                      <w:rPr>
                        <w:rFonts w:hAnsi="宋体"/>
                        <w:szCs w:val="21"/>
                      </w:rPr>
                      <w:t>数量</w:t>
                    </w:r>
                  </w:p>
                </w:tc>
              </w:sdtContent>
            </w:sdt>
            <w:sdt>
              <w:sdtPr>
                <w:rPr>
                  <w:rFonts w:hAnsi="宋体"/>
                </w:rPr>
                <w:tag w:val="_PLD_2b4e536793924fabbbc0296c1e810c01"/>
                <w:id w:val="-6833296"/>
                <w:lock w:val="sdtLocked"/>
              </w:sdtPr>
              <w:sdtEndPr/>
              <w:sdtContent>
                <w:tc>
                  <w:tcPr>
                    <w:tcW w:w="436" w:type="pct"/>
                    <w:shd w:val="clear" w:color="auto" w:fill="auto"/>
                    <w:vAlign w:val="center"/>
                  </w:tcPr>
                  <w:p w14:paraId="73CF6E86" w14:textId="77777777" w:rsidR="00D21C1F" w:rsidRDefault="00A42880">
                    <w:pPr>
                      <w:pStyle w:val="af"/>
                      <w:rPr>
                        <w:rFonts w:hAnsi="宋体"/>
                        <w:szCs w:val="21"/>
                      </w:rPr>
                    </w:pPr>
                    <w:r>
                      <w:rPr>
                        <w:rFonts w:hAnsi="宋体"/>
                        <w:szCs w:val="21"/>
                      </w:rPr>
                      <w:t>比例(%)</w:t>
                    </w:r>
                  </w:p>
                </w:tc>
              </w:sdtContent>
            </w:sdt>
          </w:tr>
          <w:tr w:rsidR="00D21C1F" w14:paraId="4AACD6F6" w14:textId="77777777">
            <w:sdt>
              <w:sdtPr>
                <w:rPr>
                  <w:rFonts w:ascii="Times New Roman" w:hAnsi="Times New Roman" w:cs="Times New Roman"/>
                </w:rPr>
                <w:tag w:val="_PLD_84223fe71de943388528023a66cbbb5f"/>
                <w:id w:val="618644485"/>
                <w:lock w:val="sdtLocked"/>
              </w:sdtPr>
              <w:sdtEndPr/>
              <w:sdtContent>
                <w:tc>
                  <w:tcPr>
                    <w:tcW w:w="844" w:type="pct"/>
                    <w:shd w:val="clear" w:color="auto" w:fill="auto"/>
                    <w:vAlign w:val="center"/>
                  </w:tcPr>
                  <w:p w14:paraId="7FF6F79C" w14:textId="77777777" w:rsidR="00D21C1F" w:rsidRDefault="00A42880">
                    <w:pPr>
                      <w:jc w:val="both"/>
                      <w:rPr>
                        <w:rFonts w:ascii="Times New Roman" w:hAnsi="Times New Roman" w:cs="Times New Roman"/>
                        <w:szCs w:val="21"/>
                      </w:rPr>
                    </w:pPr>
                    <w:r>
                      <w:rPr>
                        <w:rFonts w:ascii="Times New Roman" w:hAnsi="Times New Roman" w:cs="Times New Roman"/>
                        <w:szCs w:val="21"/>
                      </w:rPr>
                      <w:t>一、有限售条件股份</w:t>
                    </w:r>
                  </w:p>
                </w:tc>
              </w:sdtContent>
            </w:sdt>
            <w:tc>
              <w:tcPr>
                <w:tcW w:w="692" w:type="pct"/>
                <w:shd w:val="clear" w:color="auto" w:fill="auto"/>
                <w:vAlign w:val="center"/>
              </w:tcPr>
              <w:p w14:paraId="40860A31" w14:textId="77777777" w:rsidR="00D21C1F" w:rsidRDefault="00A42880">
                <w:pPr>
                  <w:jc w:val="right"/>
                  <w:rPr>
                    <w:rFonts w:ascii="Times New Roman" w:hAnsi="Times New Roman" w:cs="Times New Roman"/>
                    <w:szCs w:val="21"/>
                  </w:rPr>
                </w:pPr>
                <w:r>
                  <w:rPr>
                    <w:rFonts w:ascii="Times New Roman" w:hAnsi="Times New Roman" w:cs="Times New Roman"/>
                  </w:rPr>
                  <w:t>403,745,196</w:t>
                </w:r>
              </w:p>
            </w:tc>
            <w:tc>
              <w:tcPr>
                <w:tcW w:w="386" w:type="pct"/>
                <w:shd w:val="clear" w:color="auto" w:fill="auto"/>
                <w:vAlign w:val="center"/>
              </w:tcPr>
              <w:p w14:paraId="7141D0A4" w14:textId="77777777" w:rsidR="00D21C1F" w:rsidRDefault="00A42880">
                <w:pPr>
                  <w:jc w:val="right"/>
                  <w:rPr>
                    <w:rFonts w:ascii="Times New Roman" w:hAnsi="Times New Roman" w:cs="Times New Roman"/>
                    <w:szCs w:val="21"/>
                  </w:rPr>
                </w:pPr>
                <w:r>
                  <w:rPr>
                    <w:rFonts w:ascii="Times New Roman" w:hAnsi="Times New Roman" w:cs="Times New Roman"/>
                  </w:rPr>
                  <w:t>77.38</w:t>
                </w:r>
              </w:p>
            </w:tc>
            <w:tc>
              <w:tcPr>
                <w:tcW w:w="231" w:type="pct"/>
                <w:shd w:val="clear" w:color="auto" w:fill="auto"/>
                <w:vAlign w:val="center"/>
              </w:tcPr>
              <w:p w14:paraId="04EE116D"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3C1F412A"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1613B570"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0D24409D" w14:textId="77777777" w:rsidR="00D21C1F" w:rsidRDefault="00A42880">
                <w:pPr>
                  <w:jc w:val="right"/>
                  <w:rPr>
                    <w:rFonts w:ascii="Times New Roman" w:hAnsi="Times New Roman" w:cs="Times New Roman"/>
                    <w:szCs w:val="21"/>
                  </w:rPr>
                </w:pPr>
                <w:r>
                  <w:rPr>
                    <w:rFonts w:ascii="Times New Roman" w:hAnsi="Times New Roman" w:cs="Times New Roman"/>
                    <w:szCs w:val="21"/>
                  </w:rPr>
                  <w:t>-6,112,822</w:t>
                </w:r>
              </w:p>
            </w:tc>
            <w:tc>
              <w:tcPr>
                <w:tcW w:w="616" w:type="pct"/>
                <w:shd w:val="clear" w:color="auto" w:fill="auto"/>
                <w:vAlign w:val="center"/>
              </w:tcPr>
              <w:p w14:paraId="42CF7FFB" w14:textId="77777777" w:rsidR="00D21C1F" w:rsidRDefault="00A42880">
                <w:pPr>
                  <w:jc w:val="right"/>
                  <w:rPr>
                    <w:rFonts w:ascii="Times New Roman" w:hAnsi="Times New Roman" w:cs="Times New Roman"/>
                    <w:szCs w:val="21"/>
                  </w:rPr>
                </w:pPr>
                <w:r>
                  <w:rPr>
                    <w:rFonts w:ascii="Times New Roman" w:hAnsi="Times New Roman" w:cs="Times New Roman"/>
                    <w:szCs w:val="21"/>
                  </w:rPr>
                  <w:t>-6,112,822</w:t>
                </w:r>
              </w:p>
            </w:tc>
            <w:tc>
              <w:tcPr>
                <w:tcW w:w="718" w:type="pct"/>
                <w:shd w:val="clear" w:color="auto" w:fill="auto"/>
                <w:vAlign w:val="center"/>
              </w:tcPr>
              <w:p w14:paraId="2D6D9BD3" w14:textId="77777777" w:rsidR="00D21C1F" w:rsidRDefault="00A42880">
                <w:pPr>
                  <w:jc w:val="right"/>
                  <w:rPr>
                    <w:rFonts w:ascii="Times New Roman" w:hAnsi="Times New Roman" w:cs="Times New Roman"/>
                    <w:szCs w:val="21"/>
                  </w:rPr>
                </w:pPr>
                <w:r>
                  <w:rPr>
                    <w:rFonts w:ascii="Times New Roman" w:hAnsi="Times New Roman" w:cs="Times New Roman"/>
                  </w:rPr>
                  <w:t>397,632,374</w:t>
                </w:r>
              </w:p>
            </w:tc>
            <w:tc>
              <w:tcPr>
                <w:tcW w:w="436" w:type="pct"/>
                <w:shd w:val="clear" w:color="auto" w:fill="auto"/>
                <w:vAlign w:val="center"/>
              </w:tcPr>
              <w:p w14:paraId="60FFA6BF" w14:textId="77777777" w:rsidR="00D21C1F" w:rsidRDefault="00A42880">
                <w:pPr>
                  <w:jc w:val="right"/>
                  <w:rPr>
                    <w:rFonts w:ascii="Times New Roman" w:hAnsi="Times New Roman" w:cs="Times New Roman"/>
                    <w:szCs w:val="21"/>
                  </w:rPr>
                </w:pPr>
                <w:r>
                  <w:rPr>
                    <w:rFonts w:ascii="Times New Roman" w:hAnsi="Times New Roman" w:cs="Times New Roman"/>
                  </w:rPr>
                  <w:t>76.20</w:t>
                </w:r>
              </w:p>
            </w:tc>
          </w:tr>
          <w:tr w:rsidR="00D21C1F" w14:paraId="20DE815D" w14:textId="77777777">
            <w:sdt>
              <w:sdtPr>
                <w:rPr>
                  <w:rFonts w:ascii="Times New Roman" w:hAnsi="Times New Roman" w:cs="Times New Roman"/>
                </w:rPr>
                <w:tag w:val="_PLD_d2494e8625b34f96956b8a9f0b159d31"/>
                <w:id w:val="1214934745"/>
                <w:lock w:val="sdtLocked"/>
              </w:sdtPr>
              <w:sdtEndPr/>
              <w:sdtContent>
                <w:tc>
                  <w:tcPr>
                    <w:tcW w:w="844" w:type="pct"/>
                    <w:shd w:val="clear" w:color="auto" w:fill="auto"/>
                    <w:vAlign w:val="center"/>
                  </w:tcPr>
                  <w:p w14:paraId="63BF7295" w14:textId="77777777" w:rsidR="00D21C1F" w:rsidRDefault="00A42880">
                    <w:pPr>
                      <w:jc w:val="both"/>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、国家持股</w:t>
                    </w:r>
                  </w:p>
                </w:tc>
              </w:sdtContent>
            </w:sdt>
            <w:tc>
              <w:tcPr>
                <w:tcW w:w="692" w:type="pct"/>
                <w:shd w:val="clear" w:color="auto" w:fill="auto"/>
                <w:vAlign w:val="center"/>
              </w:tcPr>
              <w:p w14:paraId="429BA874"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386" w:type="pct"/>
                <w:shd w:val="clear" w:color="auto" w:fill="auto"/>
                <w:vAlign w:val="center"/>
              </w:tcPr>
              <w:p w14:paraId="689A3A50"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7FBBF689"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68EDE00D"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08B93D59"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45734504"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722B8171"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718" w:type="pct"/>
                <w:shd w:val="clear" w:color="auto" w:fill="auto"/>
                <w:vAlign w:val="center"/>
              </w:tcPr>
              <w:p w14:paraId="0A11C7D6"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436" w:type="pct"/>
                <w:shd w:val="clear" w:color="auto" w:fill="auto"/>
                <w:vAlign w:val="center"/>
              </w:tcPr>
              <w:p w14:paraId="672C12EA" w14:textId="77777777" w:rsidR="00D21C1F" w:rsidRDefault="00A42880">
                <w:pPr>
                  <w:jc w:val="right"/>
                  <w:rPr>
                    <w:rFonts w:ascii="Times New Roman" w:hAnsi="Times New Roman" w:cs="Times New Roman"/>
                    <w:szCs w:val="21"/>
                  </w:rPr>
                </w:pPr>
                <w:r>
                  <w:rPr>
                    <w:rFonts w:ascii="Times New Roman" w:hAnsi="Times New Roman" w:cs="Times New Roman"/>
                  </w:rPr>
                  <w:t>/</w:t>
                </w:r>
              </w:p>
            </w:tc>
          </w:tr>
          <w:tr w:rsidR="00D21C1F" w14:paraId="246C0DB3" w14:textId="77777777">
            <w:sdt>
              <w:sdtPr>
                <w:rPr>
                  <w:rFonts w:ascii="Times New Roman" w:hAnsi="Times New Roman" w:cs="Times New Roman"/>
                </w:rPr>
                <w:tag w:val="_PLD_82e303ed7bdb4d5bb394a9b8b8bae0a5"/>
                <w:id w:val="-489948618"/>
                <w:lock w:val="sdtLocked"/>
              </w:sdtPr>
              <w:sdtEndPr/>
              <w:sdtContent>
                <w:tc>
                  <w:tcPr>
                    <w:tcW w:w="844" w:type="pct"/>
                    <w:shd w:val="clear" w:color="auto" w:fill="auto"/>
                    <w:vAlign w:val="center"/>
                  </w:tcPr>
                  <w:p w14:paraId="131584E9" w14:textId="77777777" w:rsidR="00D21C1F" w:rsidRDefault="00A42880">
                    <w:pPr>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、国有法人持股</w:t>
                    </w:r>
                  </w:p>
                </w:tc>
              </w:sdtContent>
            </w:sdt>
            <w:tc>
              <w:tcPr>
                <w:tcW w:w="692" w:type="pct"/>
                <w:shd w:val="clear" w:color="auto" w:fill="auto"/>
                <w:vAlign w:val="center"/>
              </w:tcPr>
              <w:p w14:paraId="3B9893FE" w14:textId="77777777" w:rsidR="00D21C1F" w:rsidRDefault="00A42880">
                <w:pPr>
                  <w:jc w:val="right"/>
                  <w:rPr>
                    <w:rFonts w:ascii="Times New Roman" w:hAnsi="Times New Roman" w:cs="Times New Roman"/>
                    <w:szCs w:val="21"/>
                  </w:rPr>
                </w:pPr>
                <w:r>
                  <w:rPr>
                    <w:rFonts w:ascii="Times New Roman" w:hAnsi="Times New Roman" w:cs="Times New Roman"/>
                  </w:rPr>
                  <w:t>154,898,012</w:t>
                </w:r>
              </w:p>
            </w:tc>
            <w:tc>
              <w:tcPr>
                <w:tcW w:w="386" w:type="pct"/>
                <w:shd w:val="clear" w:color="auto" w:fill="auto"/>
                <w:vAlign w:val="center"/>
              </w:tcPr>
              <w:p w14:paraId="67725DB3" w14:textId="77777777" w:rsidR="00D21C1F" w:rsidRDefault="00A42880">
                <w:pPr>
                  <w:jc w:val="right"/>
                  <w:rPr>
                    <w:rFonts w:ascii="Times New Roman" w:hAnsi="Times New Roman" w:cs="Times New Roman"/>
                    <w:szCs w:val="21"/>
                  </w:rPr>
                </w:pPr>
                <w:r>
                  <w:rPr>
                    <w:rFonts w:ascii="Times New Roman" w:hAnsi="Times New Roman" w:cs="Times New Roman"/>
                  </w:rPr>
                  <w:t>29.69</w:t>
                </w:r>
              </w:p>
            </w:tc>
            <w:tc>
              <w:tcPr>
                <w:tcW w:w="231" w:type="pct"/>
                <w:shd w:val="clear" w:color="auto" w:fill="auto"/>
                <w:vAlign w:val="center"/>
              </w:tcPr>
              <w:p w14:paraId="2981817B"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68512346"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0BC31B3C"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56F8885D"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17944123"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718" w:type="pct"/>
                <w:shd w:val="clear" w:color="auto" w:fill="auto"/>
                <w:vAlign w:val="center"/>
              </w:tcPr>
              <w:p w14:paraId="2D939E07" w14:textId="77777777" w:rsidR="00D21C1F" w:rsidRDefault="00A42880">
                <w:pPr>
                  <w:jc w:val="right"/>
                  <w:rPr>
                    <w:rFonts w:ascii="Times New Roman" w:hAnsi="Times New Roman" w:cs="Times New Roman"/>
                    <w:szCs w:val="21"/>
                  </w:rPr>
                </w:pPr>
                <w:r>
                  <w:rPr>
                    <w:rFonts w:ascii="Times New Roman" w:hAnsi="Times New Roman" w:cs="Times New Roman"/>
                  </w:rPr>
                  <w:t>154,898,012</w:t>
                </w:r>
              </w:p>
            </w:tc>
            <w:tc>
              <w:tcPr>
                <w:tcW w:w="436" w:type="pct"/>
                <w:shd w:val="clear" w:color="auto" w:fill="auto"/>
                <w:vAlign w:val="center"/>
              </w:tcPr>
              <w:p w14:paraId="132242DF" w14:textId="77777777" w:rsidR="00D21C1F" w:rsidRDefault="00A42880">
                <w:pPr>
                  <w:jc w:val="right"/>
                  <w:rPr>
                    <w:rFonts w:ascii="Times New Roman" w:hAnsi="Times New Roman" w:cs="Times New Roman"/>
                    <w:szCs w:val="21"/>
                  </w:rPr>
                </w:pPr>
                <w:r>
                  <w:rPr>
                    <w:rFonts w:ascii="Times New Roman" w:hAnsi="Times New Roman" w:cs="Times New Roman"/>
                  </w:rPr>
                  <w:t>29.69</w:t>
                </w:r>
              </w:p>
            </w:tc>
          </w:tr>
          <w:tr w:rsidR="00D21C1F" w14:paraId="1FB1D679" w14:textId="77777777">
            <w:sdt>
              <w:sdtPr>
                <w:rPr>
                  <w:rFonts w:ascii="Times New Roman" w:hAnsi="Times New Roman" w:cs="Times New Roman"/>
                </w:rPr>
                <w:tag w:val="_PLD_b81683aac63445b3b8c77e430006e556"/>
                <w:id w:val="1378826450"/>
                <w:lock w:val="sdtLocked"/>
              </w:sdtPr>
              <w:sdtEndPr/>
              <w:sdtContent>
                <w:tc>
                  <w:tcPr>
                    <w:tcW w:w="844" w:type="pct"/>
                    <w:shd w:val="clear" w:color="auto" w:fill="auto"/>
                    <w:vAlign w:val="center"/>
                  </w:tcPr>
                  <w:p w14:paraId="605657B4" w14:textId="77777777" w:rsidR="00D21C1F" w:rsidRDefault="00A42880">
                    <w:pPr>
                      <w:jc w:val="both"/>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、其他内资持股</w:t>
                    </w:r>
                  </w:p>
                </w:tc>
              </w:sdtContent>
            </w:sdt>
            <w:tc>
              <w:tcPr>
                <w:tcW w:w="692" w:type="pct"/>
                <w:shd w:val="clear" w:color="auto" w:fill="auto"/>
                <w:vAlign w:val="center"/>
              </w:tcPr>
              <w:p w14:paraId="6B6F7FC3" w14:textId="77777777" w:rsidR="00D21C1F" w:rsidRDefault="00A42880">
                <w:pPr>
                  <w:jc w:val="right"/>
                  <w:rPr>
                    <w:rFonts w:ascii="Times New Roman" w:hAnsi="Times New Roman" w:cs="Times New Roman"/>
                    <w:szCs w:val="21"/>
                  </w:rPr>
                </w:pPr>
                <w:r>
                  <w:rPr>
                    <w:rFonts w:ascii="Times New Roman" w:hAnsi="Times New Roman" w:cs="Times New Roman"/>
                  </w:rPr>
                  <w:t>225,907,184</w:t>
                </w:r>
              </w:p>
            </w:tc>
            <w:tc>
              <w:tcPr>
                <w:tcW w:w="386" w:type="pct"/>
                <w:shd w:val="clear" w:color="auto" w:fill="auto"/>
                <w:vAlign w:val="center"/>
              </w:tcPr>
              <w:p w14:paraId="2F8540D8" w14:textId="77777777" w:rsidR="00D21C1F" w:rsidRDefault="00A42880">
                <w:pPr>
                  <w:jc w:val="right"/>
                  <w:rPr>
                    <w:rFonts w:ascii="Times New Roman" w:hAnsi="Times New Roman" w:cs="Times New Roman"/>
                    <w:szCs w:val="21"/>
                  </w:rPr>
                </w:pPr>
                <w:r>
                  <w:rPr>
                    <w:rFonts w:ascii="Times New Roman" w:hAnsi="Times New Roman" w:cs="Times New Roman"/>
                  </w:rPr>
                  <w:t>43.30</w:t>
                </w:r>
              </w:p>
            </w:tc>
            <w:tc>
              <w:tcPr>
                <w:tcW w:w="231" w:type="pct"/>
                <w:shd w:val="clear" w:color="auto" w:fill="auto"/>
                <w:vAlign w:val="center"/>
              </w:tcPr>
              <w:p w14:paraId="2615729D"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1FDACA34"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278BE636"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3D0B7DBC"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616" w:type="pct"/>
                <w:shd w:val="clear" w:color="auto" w:fill="auto"/>
                <w:vAlign w:val="center"/>
              </w:tcPr>
              <w:p w14:paraId="7CE36026"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718" w:type="pct"/>
                <w:shd w:val="clear" w:color="auto" w:fill="auto"/>
                <w:vAlign w:val="center"/>
              </w:tcPr>
              <w:p w14:paraId="39EC7D41" w14:textId="77777777" w:rsidR="00D21C1F" w:rsidRDefault="00A42880">
                <w:pPr>
                  <w:jc w:val="right"/>
                  <w:rPr>
                    <w:rFonts w:ascii="Times New Roman" w:hAnsi="Times New Roman" w:cs="Times New Roman"/>
                    <w:szCs w:val="21"/>
                  </w:rPr>
                </w:pPr>
                <w:r>
                  <w:rPr>
                    <w:rFonts w:ascii="Times New Roman" w:hAnsi="Times New Roman" w:cs="Times New Roman"/>
                  </w:rPr>
                  <w:t>219,794,362</w:t>
                </w:r>
              </w:p>
            </w:tc>
            <w:tc>
              <w:tcPr>
                <w:tcW w:w="436" w:type="pct"/>
                <w:shd w:val="clear" w:color="auto" w:fill="auto"/>
                <w:vAlign w:val="center"/>
              </w:tcPr>
              <w:p w14:paraId="408DEC5F" w14:textId="77777777" w:rsidR="00D21C1F" w:rsidRDefault="00A42880">
                <w:pPr>
                  <w:jc w:val="right"/>
                  <w:rPr>
                    <w:rFonts w:ascii="Times New Roman" w:hAnsi="Times New Roman" w:cs="Times New Roman"/>
                    <w:szCs w:val="21"/>
                  </w:rPr>
                </w:pPr>
                <w:r>
                  <w:rPr>
                    <w:rFonts w:ascii="Times New Roman" w:hAnsi="Times New Roman" w:cs="Times New Roman"/>
                  </w:rPr>
                  <w:t>42.12</w:t>
                </w:r>
              </w:p>
            </w:tc>
          </w:tr>
          <w:tr w:rsidR="00D21C1F" w14:paraId="3BD380CF" w14:textId="77777777">
            <w:sdt>
              <w:sdtPr>
                <w:rPr>
                  <w:rFonts w:ascii="Times New Roman" w:hAnsi="Times New Roman" w:cs="Times New Roman"/>
                </w:rPr>
                <w:tag w:val="_PLD_bc9b49d9fdef4aa5975271065485558f"/>
                <w:id w:val="775991424"/>
                <w:lock w:val="sdtLocked"/>
              </w:sdtPr>
              <w:sdtEndPr/>
              <w:sdtContent>
                <w:tc>
                  <w:tcPr>
                    <w:tcW w:w="844" w:type="pct"/>
                    <w:shd w:val="clear" w:color="auto" w:fill="auto"/>
                    <w:vAlign w:val="center"/>
                  </w:tcPr>
                  <w:p w14:paraId="047DB142" w14:textId="77777777" w:rsidR="00D21C1F" w:rsidRDefault="00A42880">
                    <w:pPr>
                      <w:jc w:val="both"/>
                      <w:rPr>
                        <w:rFonts w:ascii="Times New Roman" w:hAnsi="Times New Roman" w:cs="Times New Roman"/>
                        <w:szCs w:val="21"/>
                      </w:rPr>
                    </w:pPr>
                    <w:r>
                      <w:rPr>
                        <w:rFonts w:ascii="Times New Roman" w:hAnsi="Times New Roman" w:cs="Times New Roman"/>
                        <w:szCs w:val="21"/>
                      </w:rPr>
                      <w:t>其中：境内非国有法人持股</w:t>
                    </w:r>
                  </w:p>
                </w:tc>
              </w:sdtContent>
            </w:sdt>
            <w:tc>
              <w:tcPr>
                <w:tcW w:w="692" w:type="pct"/>
                <w:shd w:val="clear" w:color="auto" w:fill="auto"/>
                <w:vAlign w:val="center"/>
              </w:tcPr>
              <w:p w14:paraId="6505E786" w14:textId="77777777" w:rsidR="00D21C1F" w:rsidRDefault="00A42880">
                <w:pPr>
                  <w:jc w:val="right"/>
                  <w:rPr>
                    <w:rFonts w:ascii="Times New Roman" w:hAnsi="Times New Roman" w:cs="Times New Roman"/>
                    <w:szCs w:val="21"/>
                  </w:rPr>
                </w:pPr>
                <w:r>
                  <w:rPr>
                    <w:rFonts w:ascii="Times New Roman" w:hAnsi="Times New Roman" w:cs="Times New Roman"/>
                  </w:rPr>
                  <w:t>225,907,184</w:t>
                </w:r>
              </w:p>
            </w:tc>
            <w:tc>
              <w:tcPr>
                <w:tcW w:w="386" w:type="pct"/>
                <w:shd w:val="clear" w:color="auto" w:fill="auto"/>
                <w:vAlign w:val="center"/>
              </w:tcPr>
              <w:p w14:paraId="2E8FE283" w14:textId="77777777" w:rsidR="00D21C1F" w:rsidRDefault="00A42880">
                <w:pPr>
                  <w:jc w:val="right"/>
                  <w:rPr>
                    <w:rFonts w:ascii="Times New Roman" w:hAnsi="Times New Roman" w:cs="Times New Roman"/>
                    <w:szCs w:val="21"/>
                  </w:rPr>
                </w:pPr>
                <w:r>
                  <w:rPr>
                    <w:rFonts w:ascii="Times New Roman" w:hAnsi="Times New Roman" w:cs="Times New Roman"/>
                  </w:rPr>
                  <w:t>43.30</w:t>
                </w:r>
              </w:p>
            </w:tc>
            <w:tc>
              <w:tcPr>
                <w:tcW w:w="231" w:type="pct"/>
                <w:shd w:val="clear" w:color="auto" w:fill="auto"/>
                <w:vAlign w:val="center"/>
              </w:tcPr>
              <w:p w14:paraId="60F18578"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2C9A2A2E"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3150FB88"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0ACE5B90"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616" w:type="pct"/>
                <w:shd w:val="clear" w:color="auto" w:fill="auto"/>
                <w:vAlign w:val="center"/>
              </w:tcPr>
              <w:p w14:paraId="299B5DE8"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718" w:type="pct"/>
                <w:shd w:val="clear" w:color="auto" w:fill="auto"/>
                <w:vAlign w:val="center"/>
              </w:tcPr>
              <w:p w14:paraId="486E68C5" w14:textId="77777777" w:rsidR="00D21C1F" w:rsidRDefault="00A42880">
                <w:pPr>
                  <w:jc w:val="right"/>
                  <w:rPr>
                    <w:rFonts w:ascii="Times New Roman" w:hAnsi="Times New Roman" w:cs="Times New Roman"/>
                    <w:szCs w:val="21"/>
                  </w:rPr>
                </w:pPr>
                <w:r>
                  <w:rPr>
                    <w:rFonts w:ascii="Times New Roman" w:hAnsi="Times New Roman" w:cs="Times New Roman"/>
                  </w:rPr>
                  <w:t>219,794,362</w:t>
                </w:r>
              </w:p>
            </w:tc>
            <w:tc>
              <w:tcPr>
                <w:tcW w:w="436" w:type="pct"/>
                <w:shd w:val="clear" w:color="auto" w:fill="auto"/>
                <w:vAlign w:val="center"/>
              </w:tcPr>
              <w:p w14:paraId="4EB61F16" w14:textId="77777777" w:rsidR="00D21C1F" w:rsidRDefault="00A42880">
                <w:pPr>
                  <w:jc w:val="right"/>
                  <w:rPr>
                    <w:rFonts w:ascii="Times New Roman" w:hAnsi="Times New Roman" w:cs="Times New Roman"/>
                    <w:szCs w:val="21"/>
                  </w:rPr>
                </w:pPr>
                <w:r>
                  <w:rPr>
                    <w:rFonts w:ascii="Times New Roman" w:hAnsi="Times New Roman" w:cs="Times New Roman"/>
                  </w:rPr>
                  <w:t>42.12</w:t>
                </w:r>
              </w:p>
            </w:tc>
          </w:tr>
          <w:tr w:rsidR="00D21C1F" w14:paraId="76531EA9" w14:textId="77777777">
            <w:sdt>
              <w:sdtPr>
                <w:rPr>
                  <w:rFonts w:ascii="Times New Roman" w:hAnsi="Times New Roman" w:cs="Times New Roman"/>
                </w:rPr>
                <w:tag w:val="_PLD_ab311481a49347bbbf1fa0fdae5ea096"/>
                <w:id w:val="-1982222109"/>
                <w:lock w:val="sdtLocked"/>
              </w:sdtPr>
              <w:sdtEndPr/>
              <w:sdtContent>
                <w:tc>
                  <w:tcPr>
                    <w:tcW w:w="844" w:type="pct"/>
                    <w:shd w:val="clear" w:color="auto" w:fill="auto"/>
                    <w:vAlign w:val="center"/>
                  </w:tcPr>
                  <w:p w14:paraId="3C015BAB" w14:textId="77777777" w:rsidR="00D21C1F" w:rsidRDefault="00A42880">
                    <w:pPr>
                      <w:jc w:val="both"/>
                      <w:rPr>
                        <w:rFonts w:ascii="Times New Roman" w:hAnsi="Times New Roman" w:cs="Times New Roman"/>
                        <w:szCs w:val="21"/>
                      </w:rPr>
                    </w:pPr>
                    <w:r>
                      <w:rPr>
                        <w:rFonts w:ascii="Times New Roman" w:hAnsi="Times New Roman" w:cs="Times New Roman"/>
                        <w:szCs w:val="21"/>
                      </w:rPr>
                      <w:t>境内自然人持股</w:t>
                    </w:r>
                  </w:p>
                </w:tc>
              </w:sdtContent>
            </w:sdt>
            <w:tc>
              <w:tcPr>
                <w:tcW w:w="692" w:type="pct"/>
                <w:shd w:val="clear" w:color="auto" w:fill="auto"/>
                <w:vAlign w:val="center"/>
              </w:tcPr>
              <w:p w14:paraId="1B267A20"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386" w:type="pct"/>
                <w:shd w:val="clear" w:color="auto" w:fill="auto"/>
                <w:vAlign w:val="center"/>
              </w:tcPr>
              <w:p w14:paraId="2E27F0A6"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4D47CDAC"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56AA1042"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553E8679"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5AB9A945"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1F9FA9B0"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718" w:type="pct"/>
                <w:shd w:val="clear" w:color="auto" w:fill="auto"/>
                <w:vAlign w:val="center"/>
              </w:tcPr>
              <w:p w14:paraId="4B3D94D0"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436" w:type="pct"/>
                <w:shd w:val="clear" w:color="auto" w:fill="auto"/>
                <w:vAlign w:val="center"/>
              </w:tcPr>
              <w:p w14:paraId="1482BB2B"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r>
          <w:tr w:rsidR="00D21C1F" w14:paraId="67A9122C" w14:textId="77777777">
            <w:sdt>
              <w:sdtPr>
                <w:rPr>
                  <w:rFonts w:ascii="Times New Roman" w:hAnsi="Times New Roman" w:cs="Times New Roman"/>
                </w:rPr>
                <w:tag w:val="_PLD_c996f72b325248aa818db848c7b9d580"/>
                <w:id w:val="1184637723"/>
                <w:lock w:val="sdtLocked"/>
              </w:sdtPr>
              <w:sdtEndPr/>
              <w:sdtContent>
                <w:tc>
                  <w:tcPr>
                    <w:tcW w:w="844" w:type="pct"/>
                    <w:shd w:val="clear" w:color="auto" w:fill="auto"/>
                    <w:vAlign w:val="center"/>
                  </w:tcPr>
                  <w:p w14:paraId="6DCC2284" w14:textId="77777777" w:rsidR="00D21C1F" w:rsidRDefault="00A42880">
                    <w:pPr>
                      <w:jc w:val="both"/>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、外资持股</w:t>
                    </w:r>
                  </w:p>
                </w:tc>
              </w:sdtContent>
            </w:sdt>
            <w:tc>
              <w:tcPr>
                <w:tcW w:w="692" w:type="pct"/>
                <w:shd w:val="clear" w:color="auto" w:fill="auto"/>
                <w:vAlign w:val="center"/>
              </w:tcPr>
              <w:p w14:paraId="4B551C29" w14:textId="77777777" w:rsidR="00D21C1F" w:rsidRDefault="00A42880">
                <w:pPr>
                  <w:jc w:val="right"/>
                  <w:rPr>
                    <w:rFonts w:ascii="Times New Roman" w:hAnsi="Times New Roman" w:cs="Times New Roman"/>
                    <w:szCs w:val="21"/>
                  </w:rPr>
                </w:pPr>
                <w:r>
                  <w:rPr>
                    <w:rFonts w:ascii="Times New Roman" w:hAnsi="Times New Roman" w:cs="Times New Roman"/>
                  </w:rPr>
                  <w:t>22,940,000</w:t>
                </w:r>
              </w:p>
            </w:tc>
            <w:tc>
              <w:tcPr>
                <w:tcW w:w="386" w:type="pct"/>
                <w:shd w:val="clear" w:color="auto" w:fill="auto"/>
                <w:vAlign w:val="center"/>
              </w:tcPr>
              <w:p w14:paraId="1B2634A0" w14:textId="77777777" w:rsidR="00D21C1F" w:rsidRDefault="00A42880">
                <w:pPr>
                  <w:jc w:val="right"/>
                  <w:rPr>
                    <w:rFonts w:ascii="Times New Roman" w:hAnsi="Times New Roman" w:cs="Times New Roman"/>
                    <w:szCs w:val="21"/>
                  </w:rPr>
                </w:pPr>
                <w:r>
                  <w:rPr>
                    <w:rFonts w:ascii="Times New Roman" w:hAnsi="Times New Roman" w:cs="Times New Roman"/>
                  </w:rPr>
                  <w:t>4.39</w:t>
                </w:r>
              </w:p>
            </w:tc>
            <w:tc>
              <w:tcPr>
                <w:tcW w:w="231" w:type="pct"/>
                <w:shd w:val="clear" w:color="auto" w:fill="auto"/>
                <w:vAlign w:val="center"/>
              </w:tcPr>
              <w:p w14:paraId="23BDAEE6"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3EEB800D"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6B9C4C09"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661DE2E3"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239614C7"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718" w:type="pct"/>
                <w:shd w:val="clear" w:color="auto" w:fill="auto"/>
                <w:vAlign w:val="center"/>
              </w:tcPr>
              <w:p w14:paraId="4FA7E8DD" w14:textId="77777777" w:rsidR="00D21C1F" w:rsidRDefault="00A42880">
                <w:pPr>
                  <w:jc w:val="right"/>
                  <w:rPr>
                    <w:rFonts w:ascii="Times New Roman" w:hAnsi="Times New Roman" w:cs="Times New Roman"/>
                    <w:szCs w:val="21"/>
                  </w:rPr>
                </w:pPr>
                <w:r>
                  <w:rPr>
                    <w:rFonts w:ascii="Times New Roman" w:hAnsi="Times New Roman" w:cs="Times New Roman"/>
                  </w:rPr>
                  <w:t>22,940,000</w:t>
                </w:r>
              </w:p>
            </w:tc>
            <w:tc>
              <w:tcPr>
                <w:tcW w:w="436" w:type="pct"/>
                <w:shd w:val="clear" w:color="auto" w:fill="auto"/>
                <w:vAlign w:val="center"/>
              </w:tcPr>
              <w:p w14:paraId="779D4691" w14:textId="77777777" w:rsidR="00D21C1F" w:rsidRDefault="00A42880">
                <w:pPr>
                  <w:jc w:val="right"/>
                  <w:rPr>
                    <w:rFonts w:ascii="Times New Roman" w:hAnsi="Times New Roman" w:cs="Times New Roman"/>
                    <w:szCs w:val="21"/>
                  </w:rPr>
                </w:pPr>
                <w:r>
                  <w:rPr>
                    <w:rFonts w:ascii="Times New Roman" w:hAnsi="Times New Roman" w:cs="Times New Roman"/>
                  </w:rPr>
                  <w:t>4.39</w:t>
                </w:r>
              </w:p>
            </w:tc>
          </w:tr>
          <w:tr w:rsidR="00D21C1F" w14:paraId="69AB0CA9" w14:textId="77777777">
            <w:sdt>
              <w:sdtPr>
                <w:rPr>
                  <w:rFonts w:ascii="Times New Roman" w:hAnsi="Times New Roman" w:cs="Times New Roman"/>
                </w:rPr>
                <w:tag w:val="_PLD_741fb74f603d41b09188929823cd29ce"/>
                <w:id w:val="3860689"/>
                <w:lock w:val="sdtLocked"/>
              </w:sdtPr>
              <w:sdtEndPr/>
              <w:sdtContent>
                <w:tc>
                  <w:tcPr>
                    <w:tcW w:w="844" w:type="pct"/>
                    <w:shd w:val="clear" w:color="auto" w:fill="auto"/>
                    <w:vAlign w:val="center"/>
                  </w:tcPr>
                  <w:p w14:paraId="5C2B1898" w14:textId="77777777" w:rsidR="00D21C1F" w:rsidRDefault="00A42880">
                    <w:pPr>
                      <w:jc w:val="both"/>
                      <w:rPr>
                        <w:rFonts w:ascii="Times New Roman" w:hAnsi="Times New Roman" w:cs="Times New Roman"/>
                        <w:szCs w:val="21"/>
                      </w:rPr>
                    </w:pPr>
                    <w:r>
                      <w:rPr>
                        <w:rFonts w:ascii="Times New Roman" w:hAnsi="Times New Roman" w:cs="Times New Roman"/>
                        <w:szCs w:val="21"/>
                      </w:rPr>
                      <w:t>其中：境外法人持股</w:t>
                    </w:r>
                  </w:p>
                </w:tc>
              </w:sdtContent>
            </w:sdt>
            <w:tc>
              <w:tcPr>
                <w:tcW w:w="692" w:type="pct"/>
                <w:shd w:val="clear" w:color="auto" w:fill="auto"/>
                <w:vAlign w:val="center"/>
              </w:tcPr>
              <w:p w14:paraId="7C5B6DA9" w14:textId="77777777" w:rsidR="00D21C1F" w:rsidRDefault="00A42880">
                <w:pPr>
                  <w:jc w:val="right"/>
                  <w:rPr>
                    <w:rFonts w:ascii="Times New Roman" w:hAnsi="Times New Roman" w:cs="Times New Roman"/>
                    <w:szCs w:val="21"/>
                  </w:rPr>
                </w:pPr>
                <w:r>
                  <w:rPr>
                    <w:rFonts w:ascii="Times New Roman" w:hAnsi="Times New Roman" w:cs="Times New Roman"/>
                  </w:rPr>
                  <w:t>20,000,000</w:t>
                </w:r>
              </w:p>
            </w:tc>
            <w:tc>
              <w:tcPr>
                <w:tcW w:w="386" w:type="pct"/>
                <w:shd w:val="clear" w:color="auto" w:fill="auto"/>
                <w:vAlign w:val="center"/>
              </w:tcPr>
              <w:p w14:paraId="5A8AE28E" w14:textId="77777777" w:rsidR="00D21C1F" w:rsidRDefault="00A42880">
                <w:pPr>
                  <w:jc w:val="right"/>
                  <w:rPr>
                    <w:rFonts w:ascii="Times New Roman" w:hAnsi="Times New Roman" w:cs="Times New Roman"/>
                    <w:szCs w:val="21"/>
                  </w:rPr>
                </w:pPr>
                <w:r>
                  <w:rPr>
                    <w:rFonts w:ascii="Times New Roman" w:hAnsi="Times New Roman" w:cs="Times New Roman"/>
                  </w:rPr>
                  <w:t>3.83</w:t>
                </w:r>
              </w:p>
            </w:tc>
            <w:tc>
              <w:tcPr>
                <w:tcW w:w="231" w:type="pct"/>
                <w:shd w:val="clear" w:color="auto" w:fill="auto"/>
                <w:vAlign w:val="center"/>
              </w:tcPr>
              <w:p w14:paraId="1D224CA9"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47E3B886"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062AD150"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33AC9B5E"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7FD12C8D"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718" w:type="pct"/>
                <w:shd w:val="clear" w:color="auto" w:fill="auto"/>
                <w:vAlign w:val="center"/>
              </w:tcPr>
              <w:p w14:paraId="16A72166" w14:textId="77777777" w:rsidR="00D21C1F" w:rsidRDefault="00A42880">
                <w:pPr>
                  <w:jc w:val="right"/>
                  <w:rPr>
                    <w:rFonts w:ascii="Times New Roman" w:hAnsi="Times New Roman" w:cs="Times New Roman"/>
                    <w:szCs w:val="21"/>
                  </w:rPr>
                </w:pPr>
                <w:r>
                  <w:rPr>
                    <w:rFonts w:ascii="Times New Roman" w:hAnsi="Times New Roman" w:cs="Times New Roman"/>
                  </w:rPr>
                  <w:t>20,000,000</w:t>
                </w:r>
              </w:p>
            </w:tc>
            <w:tc>
              <w:tcPr>
                <w:tcW w:w="436" w:type="pct"/>
                <w:shd w:val="clear" w:color="auto" w:fill="auto"/>
                <w:vAlign w:val="center"/>
              </w:tcPr>
              <w:p w14:paraId="24B9096B" w14:textId="77777777" w:rsidR="00D21C1F" w:rsidRDefault="00A42880">
                <w:pPr>
                  <w:jc w:val="right"/>
                  <w:rPr>
                    <w:rFonts w:ascii="Times New Roman" w:hAnsi="Times New Roman" w:cs="Times New Roman"/>
                    <w:szCs w:val="21"/>
                  </w:rPr>
                </w:pPr>
                <w:r>
                  <w:rPr>
                    <w:rFonts w:ascii="Times New Roman" w:hAnsi="Times New Roman" w:cs="Times New Roman"/>
                  </w:rPr>
                  <w:t>3.83</w:t>
                </w:r>
              </w:p>
            </w:tc>
          </w:tr>
          <w:tr w:rsidR="00D21C1F" w14:paraId="4F559AE7" w14:textId="77777777">
            <w:sdt>
              <w:sdtPr>
                <w:rPr>
                  <w:rFonts w:ascii="Times New Roman" w:hAnsi="Times New Roman" w:cs="Times New Roman"/>
                </w:rPr>
                <w:tag w:val="_PLD_d6985feb6f8a47a79363e22b4f66e6a6"/>
                <w:id w:val="-88935293"/>
                <w:lock w:val="sdtLocked"/>
              </w:sdtPr>
              <w:sdtEndPr/>
              <w:sdtContent>
                <w:tc>
                  <w:tcPr>
                    <w:tcW w:w="844" w:type="pct"/>
                    <w:shd w:val="clear" w:color="auto" w:fill="auto"/>
                    <w:vAlign w:val="center"/>
                  </w:tcPr>
                  <w:p w14:paraId="62119179" w14:textId="77777777" w:rsidR="00D21C1F" w:rsidRDefault="00A42880">
                    <w:pPr>
                      <w:jc w:val="both"/>
                      <w:rPr>
                        <w:rFonts w:ascii="Times New Roman" w:hAnsi="Times New Roman" w:cs="Times New Roman"/>
                        <w:szCs w:val="21"/>
                      </w:rPr>
                    </w:pPr>
                    <w:r>
                      <w:rPr>
                        <w:rFonts w:ascii="Times New Roman" w:hAnsi="Times New Roman" w:cs="Times New Roman"/>
                        <w:szCs w:val="21"/>
                      </w:rPr>
                      <w:t>境外自然人持股</w:t>
                    </w:r>
                  </w:p>
                </w:tc>
              </w:sdtContent>
            </w:sdt>
            <w:tc>
              <w:tcPr>
                <w:tcW w:w="692" w:type="pct"/>
                <w:shd w:val="clear" w:color="auto" w:fill="auto"/>
                <w:vAlign w:val="center"/>
              </w:tcPr>
              <w:p w14:paraId="5706C63E" w14:textId="77777777" w:rsidR="00D21C1F" w:rsidRDefault="00A42880">
                <w:pPr>
                  <w:jc w:val="right"/>
                  <w:rPr>
                    <w:rFonts w:ascii="Times New Roman" w:hAnsi="Times New Roman" w:cs="Times New Roman"/>
                    <w:szCs w:val="21"/>
                  </w:rPr>
                </w:pPr>
                <w:r>
                  <w:rPr>
                    <w:rFonts w:ascii="Times New Roman" w:hAnsi="Times New Roman" w:cs="Times New Roman"/>
                  </w:rPr>
                  <w:t>2,940,000</w:t>
                </w:r>
              </w:p>
            </w:tc>
            <w:tc>
              <w:tcPr>
                <w:tcW w:w="386" w:type="pct"/>
                <w:shd w:val="clear" w:color="auto" w:fill="auto"/>
                <w:vAlign w:val="center"/>
              </w:tcPr>
              <w:p w14:paraId="39F018F5" w14:textId="77777777" w:rsidR="00D21C1F" w:rsidRDefault="00A42880">
                <w:pPr>
                  <w:jc w:val="right"/>
                  <w:rPr>
                    <w:rFonts w:ascii="Times New Roman" w:hAnsi="Times New Roman" w:cs="Times New Roman"/>
                    <w:szCs w:val="21"/>
                  </w:rPr>
                </w:pPr>
                <w:r>
                  <w:rPr>
                    <w:rFonts w:ascii="Times New Roman" w:hAnsi="Times New Roman" w:cs="Times New Roman"/>
                  </w:rPr>
                  <w:t>0.56</w:t>
                </w:r>
              </w:p>
            </w:tc>
            <w:tc>
              <w:tcPr>
                <w:tcW w:w="231" w:type="pct"/>
                <w:shd w:val="clear" w:color="auto" w:fill="auto"/>
                <w:vAlign w:val="center"/>
              </w:tcPr>
              <w:p w14:paraId="4AFA4013"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7D790745"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2718D143"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7E20C017"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497640DE"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718" w:type="pct"/>
                <w:shd w:val="clear" w:color="auto" w:fill="auto"/>
                <w:vAlign w:val="center"/>
              </w:tcPr>
              <w:p w14:paraId="58A37112" w14:textId="77777777" w:rsidR="00D21C1F" w:rsidRDefault="00A42880">
                <w:pPr>
                  <w:jc w:val="right"/>
                  <w:rPr>
                    <w:rFonts w:ascii="Times New Roman" w:hAnsi="Times New Roman" w:cs="Times New Roman"/>
                    <w:szCs w:val="21"/>
                  </w:rPr>
                </w:pPr>
                <w:r>
                  <w:rPr>
                    <w:rFonts w:ascii="Times New Roman" w:hAnsi="Times New Roman" w:cs="Times New Roman"/>
                  </w:rPr>
                  <w:t>2,940,000</w:t>
                </w:r>
              </w:p>
            </w:tc>
            <w:tc>
              <w:tcPr>
                <w:tcW w:w="436" w:type="pct"/>
                <w:shd w:val="clear" w:color="auto" w:fill="auto"/>
                <w:vAlign w:val="center"/>
              </w:tcPr>
              <w:p w14:paraId="11359303" w14:textId="77777777" w:rsidR="00D21C1F" w:rsidRDefault="00A42880">
                <w:pPr>
                  <w:jc w:val="right"/>
                  <w:rPr>
                    <w:rFonts w:ascii="Times New Roman" w:hAnsi="Times New Roman" w:cs="Times New Roman"/>
                    <w:szCs w:val="21"/>
                  </w:rPr>
                </w:pPr>
                <w:r>
                  <w:rPr>
                    <w:rFonts w:ascii="Times New Roman" w:hAnsi="Times New Roman" w:cs="Times New Roman"/>
                  </w:rPr>
                  <w:t>0.56</w:t>
                </w:r>
              </w:p>
            </w:tc>
          </w:tr>
          <w:tr w:rsidR="00D21C1F" w14:paraId="01DD09D9" w14:textId="77777777">
            <w:sdt>
              <w:sdtPr>
                <w:tag w:val="_PLD_f1f482dad90a4279bb7011c075da9185"/>
                <w:id w:val="-1142963510"/>
                <w:lock w:val="sdtLocked"/>
              </w:sdtPr>
              <w:sdtEndPr/>
              <w:sdtContent>
                <w:tc>
                  <w:tcPr>
                    <w:tcW w:w="844" w:type="pct"/>
                    <w:shd w:val="clear" w:color="auto" w:fill="auto"/>
                    <w:vAlign w:val="center"/>
                  </w:tcPr>
                  <w:p w14:paraId="22246E54" w14:textId="77777777" w:rsidR="00D21C1F" w:rsidRDefault="00A42880">
                    <w:pPr>
                      <w:pStyle w:val="ab"/>
                    </w:pPr>
                    <w:r>
                      <w:t>二、无限售条件流通股份</w:t>
                    </w:r>
                  </w:p>
                </w:tc>
              </w:sdtContent>
            </w:sdt>
            <w:tc>
              <w:tcPr>
                <w:tcW w:w="692" w:type="pct"/>
                <w:shd w:val="clear" w:color="auto" w:fill="auto"/>
                <w:vAlign w:val="center"/>
              </w:tcPr>
              <w:p w14:paraId="6AA96142" w14:textId="77777777" w:rsidR="00D21C1F" w:rsidRDefault="00A42880">
                <w:pPr>
                  <w:jc w:val="right"/>
                  <w:rPr>
                    <w:rFonts w:ascii="Times New Roman" w:hAnsi="Times New Roman" w:cs="Times New Roman"/>
                    <w:szCs w:val="21"/>
                  </w:rPr>
                </w:pPr>
                <w:r>
                  <w:rPr>
                    <w:rFonts w:ascii="Times New Roman" w:hAnsi="Times New Roman" w:cs="Times New Roman"/>
                  </w:rPr>
                  <w:t>118,034,804</w:t>
                </w:r>
              </w:p>
            </w:tc>
            <w:tc>
              <w:tcPr>
                <w:tcW w:w="386" w:type="pct"/>
                <w:shd w:val="clear" w:color="auto" w:fill="auto"/>
                <w:vAlign w:val="center"/>
              </w:tcPr>
              <w:p w14:paraId="7F050B85" w14:textId="77777777" w:rsidR="00D21C1F" w:rsidRDefault="00A42880">
                <w:pPr>
                  <w:jc w:val="right"/>
                  <w:rPr>
                    <w:rFonts w:ascii="Times New Roman" w:hAnsi="Times New Roman" w:cs="Times New Roman"/>
                    <w:szCs w:val="21"/>
                  </w:rPr>
                </w:pPr>
                <w:r>
                  <w:rPr>
                    <w:rFonts w:ascii="Times New Roman" w:hAnsi="Times New Roman" w:cs="Times New Roman"/>
                  </w:rPr>
                  <w:t>22.62</w:t>
                </w:r>
              </w:p>
            </w:tc>
            <w:tc>
              <w:tcPr>
                <w:tcW w:w="231" w:type="pct"/>
                <w:shd w:val="clear" w:color="auto" w:fill="auto"/>
                <w:vAlign w:val="center"/>
              </w:tcPr>
              <w:p w14:paraId="7F97F8C1"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042F05AB"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1AF926D9"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63540F5F"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616" w:type="pct"/>
                <w:shd w:val="clear" w:color="auto" w:fill="auto"/>
                <w:vAlign w:val="center"/>
              </w:tcPr>
              <w:p w14:paraId="2ADEA6B9"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718" w:type="pct"/>
                <w:shd w:val="clear" w:color="auto" w:fill="auto"/>
                <w:vAlign w:val="center"/>
              </w:tcPr>
              <w:p w14:paraId="3AAEE0AC" w14:textId="77777777" w:rsidR="00D21C1F" w:rsidRDefault="00A42880">
                <w:pPr>
                  <w:jc w:val="right"/>
                  <w:rPr>
                    <w:rFonts w:ascii="Times New Roman" w:hAnsi="Times New Roman" w:cs="Times New Roman"/>
                    <w:szCs w:val="21"/>
                  </w:rPr>
                </w:pPr>
                <w:r>
                  <w:rPr>
                    <w:rFonts w:ascii="Times New Roman" w:hAnsi="Times New Roman" w:cs="Times New Roman"/>
                  </w:rPr>
                  <w:t>124,147,626</w:t>
                </w:r>
              </w:p>
            </w:tc>
            <w:tc>
              <w:tcPr>
                <w:tcW w:w="436" w:type="pct"/>
                <w:shd w:val="clear" w:color="auto" w:fill="auto"/>
                <w:vAlign w:val="center"/>
              </w:tcPr>
              <w:p w14:paraId="61EDFBAD" w14:textId="77777777" w:rsidR="00D21C1F" w:rsidRDefault="00A42880">
                <w:pPr>
                  <w:jc w:val="right"/>
                  <w:rPr>
                    <w:rFonts w:ascii="Times New Roman" w:hAnsi="Times New Roman" w:cs="Times New Roman"/>
                    <w:szCs w:val="21"/>
                  </w:rPr>
                </w:pPr>
                <w:r>
                  <w:rPr>
                    <w:rFonts w:ascii="Times New Roman" w:hAnsi="Times New Roman" w:cs="Times New Roman"/>
                  </w:rPr>
                  <w:t>23.79</w:t>
                </w:r>
              </w:p>
            </w:tc>
          </w:tr>
          <w:tr w:rsidR="00D21C1F" w14:paraId="1BE4AC12" w14:textId="77777777">
            <w:sdt>
              <w:sdtPr>
                <w:rPr>
                  <w:rFonts w:ascii="Times New Roman" w:hAnsi="Times New Roman" w:cs="Times New Roman"/>
                </w:rPr>
                <w:tag w:val="_PLD_b9486787b0d44a7889a387f5227ef265"/>
                <w:id w:val="688034018"/>
                <w:lock w:val="sdtLocked"/>
              </w:sdtPr>
              <w:sdtEndPr/>
              <w:sdtContent>
                <w:tc>
                  <w:tcPr>
                    <w:tcW w:w="844" w:type="pct"/>
                    <w:shd w:val="clear" w:color="auto" w:fill="auto"/>
                    <w:vAlign w:val="center"/>
                  </w:tcPr>
                  <w:p w14:paraId="17CF6FD3" w14:textId="77777777" w:rsidR="00D21C1F" w:rsidRDefault="00A42880">
                    <w:pPr>
                      <w:jc w:val="both"/>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、人民币普通股</w:t>
                    </w:r>
                  </w:p>
                </w:tc>
              </w:sdtContent>
            </w:sdt>
            <w:tc>
              <w:tcPr>
                <w:tcW w:w="692" w:type="pct"/>
                <w:shd w:val="clear" w:color="auto" w:fill="auto"/>
                <w:vAlign w:val="center"/>
              </w:tcPr>
              <w:p w14:paraId="0C01A8A8" w14:textId="77777777" w:rsidR="00D21C1F" w:rsidRDefault="00A42880">
                <w:pPr>
                  <w:jc w:val="right"/>
                  <w:rPr>
                    <w:rFonts w:ascii="Times New Roman" w:hAnsi="Times New Roman" w:cs="Times New Roman"/>
                    <w:szCs w:val="21"/>
                  </w:rPr>
                </w:pPr>
                <w:r>
                  <w:rPr>
                    <w:rFonts w:ascii="Times New Roman" w:hAnsi="Times New Roman" w:cs="Times New Roman"/>
                  </w:rPr>
                  <w:t>118,034,804</w:t>
                </w:r>
              </w:p>
            </w:tc>
            <w:tc>
              <w:tcPr>
                <w:tcW w:w="386" w:type="pct"/>
                <w:shd w:val="clear" w:color="auto" w:fill="auto"/>
                <w:vAlign w:val="center"/>
              </w:tcPr>
              <w:p w14:paraId="36AFE596" w14:textId="77777777" w:rsidR="00D21C1F" w:rsidRDefault="00A42880">
                <w:pPr>
                  <w:jc w:val="right"/>
                  <w:rPr>
                    <w:rFonts w:ascii="Times New Roman" w:hAnsi="Times New Roman" w:cs="Times New Roman"/>
                    <w:szCs w:val="21"/>
                  </w:rPr>
                </w:pPr>
                <w:r>
                  <w:rPr>
                    <w:rFonts w:ascii="Times New Roman" w:hAnsi="Times New Roman" w:cs="Times New Roman"/>
                  </w:rPr>
                  <w:t>22.62</w:t>
                </w:r>
              </w:p>
            </w:tc>
            <w:tc>
              <w:tcPr>
                <w:tcW w:w="231" w:type="pct"/>
                <w:shd w:val="clear" w:color="auto" w:fill="auto"/>
                <w:vAlign w:val="center"/>
              </w:tcPr>
              <w:p w14:paraId="150779F2"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5ADDF335"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0FC81E3C"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0B3C9F71"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616" w:type="pct"/>
                <w:shd w:val="clear" w:color="auto" w:fill="auto"/>
                <w:vAlign w:val="center"/>
              </w:tcPr>
              <w:p w14:paraId="2FBD7C02" w14:textId="77777777" w:rsidR="00D21C1F" w:rsidRDefault="00A42880">
                <w:pPr>
                  <w:jc w:val="right"/>
                  <w:rPr>
                    <w:rFonts w:ascii="Times New Roman" w:hAnsi="Times New Roman" w:cs="Times New Roman"/>
                    <w:szCs w:val="21"/>
                  </w:rPr>
                </w:pPr>
                <w:r>
                  <w:rPr>
                    <w:rFonts w:ascii="Times New Roman" w:hAnsi="Times New Roman" w:cs="Times New Roman"/>
                  </w:rPr>
                  <w:t>6,112,822</w:t>
                </w:r>
              </w:p>
            </w:tc>
            <w:tc>
              <w:tcPr>
                <w:tcW w:w="718" w:type="pct"/>
                <w:shd w:val="clear" w:color="auto" w:fill="auto"/>
                <w:vAlign w:val="center"/>
              </w:tcPr>
              <w:p w14:paraId="134B16EC" w14:textId="77777777" w:rsidR="00D21C1F" w:rsidRDefault="00A42880">
                <w:pPr>
                  <w:jc w:val="right"/>
                  <w:rPr>
                    <w:rFonts w:ascii="Times New Roman" w:hAnsi="Times New Roman" w:cs="Times New Roman"/>
                    <w:szCs w:val="21"/>
                  </w:rPr>
                </w:pPr>
                <w:r>
                  <w:rPr>
                    <w:rFonts w:ascii="Times New Roman" w:hAnsi="Times New Roman" w:cs="Times New Roman"/>
                  </w:rPr>
                  <w:t>124,147,626</w:t>
                </w:r>
              </w:p>
            </w:tc>
            <w:tc>
              <w:tcPr>
                <w:tcW w:w="436" w:type="pct"/>
                <w:shd w:val="clear" w:color="auto" w:fill="auto"/>
                <w:vAlign w:val="center"/>
              </w:tcPr>
              <w:p w14:paraId="42BB0612" w14:textId="77777777" w:rsidR="00D21C1F" w:rsidRDefault="00A42880">
                <w:pPr>
                  <w:jc w:val="right"/>
                  <w:rPr>
                    <w:rFonts w:ascii="Times New Roman" w:hAnsi="Times New Roman" w:cs="Times New Roman"/>
                    <w:szCs w:val="21"/>
                  </w:rPr>
                </w:pPr>
                <w:r>
                  <w:rPr>
                    <w:rFonts w:ascii="Times New Roman" w:hAnsi="Times New Roman" w:cs="Times New Roman"/>
                  </w:rPr>
                  <w:t>23.79</w:t>
                </w:r>
              </w:p>
            </w:tc>
          </w:tr>
          <w:tr w:rsidR="00D21C1F" w14:paraId="13A9FD4B" w14:textId="77777777">
            <w:sdt>
              <w:sdtPr>
                <w:rPr>
                  <w:rFonts w:ascii="Times New Roman" w:hAnsi="Times New Roman" w:cs="Times New Roman"/>
                </w:rPr>
                <w:tag w:val="_PLD_ab0069b912d142038c3469492e8c0387"/>
                <w:id w:val="-1809160644"/>
                <w:lock w:val="sdtLocked"/>
              </w:sdtPr>
              <w:sdtEndPr/>
              <w:sdtContent>
                <w:tc>
                  <w:tcPr>
                    <w:tcW w:w="844" w:type="pct"/>
                    <w:shd w:val="clear" w:color="auto" w:fill="auto"/>
                    <w:vAlign w:val="center"/>
                  </w:tcPr>
                  <w:p w14:paraId="2EA9E59D" w14:textId="77777777" w:rsidR="00D21C1F" w:rsidRDefault="00A42880">
                    <w:pPr>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、境内上市的外资股</w:t>
                    </w:r>
                  </w:p>
                </w:tc>
              </w:sdtContent>
            </w:sdt>
            <w:tc>
              <w:tcPr>
                <w:tcW w:w="692" w:type="pct"/>
                <w:shd w:val="clear" w:color="auto" w:fill="auto"/>
                <w:vAlign w:val="center"/>
              </w:tcPr>
              <w:p w14:paraId="46DA7EEB"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386" w:type="pct"/>
                <w:shd w:val="clear" w:color="auto" w:fill="auto"/>
                <w:vAlign w:val="center"/>
              </w:tcPr>
              <w:p w14:paraId="4743D0C4"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231" w:type="pct"/>
                <w:shd w:val="clear" w:color="auto" w:fill="auto"/>
                <w:vAlign w:val="center"/>
              </w:tcPr>
              <w:p w14:paraId="0FACCF6A"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739DD1AC"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0881AE38"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72056232"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53951FC9"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718" w:type="pct"/>
                <w:shd w:val="clear" w:color="auto" w:fill="auto"/>
                <w:vAlign w:val="center"/>
              </w:tcPr>
              <w:p w14:paraId="1AF1332B"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436" w:type="pct"/>
                <w:shd w:val="clear" w:color="auto" w:fill="auto"/>
                <w:vAlign w:val="center"/>
              </w:tcPr>
              <w:p w14:paraId="3244C799"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r>
          <w:tr w:rsidR="00D21C1F" w14:paraId="410FD632" w14:textId="77777777">
            <w:sdt>
              <w:sdtPr>
                <w:rPr>
                  <w:rFonts w:ascii="Times New Roman" w:hAnsi="Times New Roman" w:cs="Times New Roman"/>
                </w:rPr>
                <w:tag w:val="_PLD_5050a1e4cd0e4bb6b91fcef355654644"/>
                <w:id w:val="1894688985"/>
                <w:lock w:val="sdtLocked"/>
              </w:sdtPr>
              <w:sdtEndPr/>
              <w:sdtContent>
                <w:tc>
                  <w:tcPr>
                    <w:tcW w:w="844" w:type="pct"/>
                    <w:shd w:val="clear" w:color="auto" w:fill="auto"/>
                    <w:vAlign w:val="center"/>
                  </w:tcPr>
                  <w:p w14:paraId="7B66EF5F" w14:textId="77777777" w:rsidR="00D21C1F" w:rsidRDefault="00A42880">
                    <w:pPr>
                      <w:jc w:val="both"/>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、境外上市的外资股</w:t>
                    </w:r>
                  </w:p>
                </w:tc>
              </w:sdtContent>
            </w:sdt>
            <w:tc>
              <w:tcPr>
                <w:tcW w:w="692" w:type="pct"/>
                <w:shd w:val="clear" w:color="auto" w:fill="auto"/>
                <w:vAlign w:val="center"/>
              </w:tcPr>
              <w:p w14:paraId="36FA1A81"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386" w:type="pct"/>
                <w:shd w:val="clear" w:color="auto" w:fill="auto"/>
                <w:vAlign w:val="center"/>
              </w:tcPr>
              <w:p w14:paraId="33D79E9B"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231" w:type="pct"/>
                <w:shd w:val="clear" w:color="auto" w:fill="auto"/>
                <w:vAlign w:val="center"/>
              </w:tcPr>
              <w:p w14:paraId="71EC6EAE"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165F0944"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56F33983"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4BF23F30"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276F0428"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718" w:type="pct"/>
                <w:shd w:val="clear" w:color="auto" w:fill="auto"/>
                <w:vAlign w:val="center"/>
              </w:tcPr>
              <w:p w14:paraId="68FF45B3"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436" w:type="pct"/>
                <w:shd w:val="clear" w:color="auto" w:fill="auto"/>
                <w:vAlign w:val="center"/>
              </w:tcPr>
              <w:p w14:paraId="2421D5B2"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r>
          <w:tr w:rsidR="00D21C1F" w14:paraId="77408F04" w14:textId="77777777">
            <w:sdt>
              <w:sdtPr>
                <w:rPr>
                  <w:rFonts w:ascii="Times New Roman" w:hAnsi="Times New Roman" w:cs="Times New Roman"/>
                </w:rPr>
                <w:tag w:val="_PLD_9b8d2dfe1b514ac981caded56b0b636b"/>
                <w:id w:val="-445696526"/>
                <w:lock w:val="sdtLocked"/>
              </w:sdtPr>
              <w:sdtEndPr/>
              <w:sdtContent>
                <w:tc>
                  <w:tcPr>
                    <w:tcW w:w="844" w:type="pct"/>
                    <w:shd w:val="clear" w:color="auto" w:fill="auto"/>
                    <w:vAlign w:val="center"/>
                  </w:tcPr>
                  <w:p w14:paraId="17990F6A" w14:textId="77777777" w:rsidR="00D21C1F" w:rsidRDefault="00A42880">
                    <w:pPr>
                      <w:jc w:val="both"/>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、其他</w:t>
                    </w:r>
                  </w:p>
                </w:tc>
              </w:sdtContent>
            </w:sdt>
            <w:tc>
              <w:tcPr>
                <w:tcW w:w="692" w:type="pct"/>
                <w:shd w:val="clear" w:color="auto" w:fill="auto"/>
                <w:vAlign w:val="center"/>
              </w:tcPr>
              <w:p w14:paraId="65F1016A"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386" w:type="pct"/>
                <w:shd w:val="clear" w:color="auto" w:fill="auto"/>
                <w:vAlign w:val="center"/>
              </w:tcPr>
              <w:p w14:paraId="69D02A47"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231" w:type="pct"/>
                <w:shd w:val="clear" w:color="auto" w:fill="auto"/>
                <w:vAlign w:val="center"/>
              </w:tcPr>
              <w:p w14:paraId="71F2DFC6"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0D7FA40C"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231" w:type="pct"/>
                <w:shd w:val="clear" w:color="auto" w:fill="auto"/>
                <w:vAlign w:val="center"/>
              </w:tcPr>
              <w:p w14:paraId="74C5103C"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470CD09F" w14:textId="77777777" w:rsidR="00D21C1F" w:rsidRDefault="00A42880">
                <w:pPr>
                  <w:jc w:val="right"/>
                  <w:rPr>
                    <w:rFonts w:ascii="Times New Roman" w:hAnsi="Times New Roman" w:cs="Times New Roman"/>
                    <w:szCs w:val="21"/>
                  </w:rPr>
                </w:pPr>
                <w:r>
                  <w:rPr>
                    <w:rFonts w:ascii="Times New Roman" w:hAnsi="Times New Roman" w:cs="Times New Roman"/>
                    <w:szCs w:val="21"/>
                  </w:rPr>
                  <w:t>/</w:t>
                </w:r>
              </w:p>
            </w:tc>
            <w:tc>
              <w:tcPr>
                <w:tcW w:w="616" w:type="pct"/>
                <w:shd w:val="clear" w:color="auto" w:fill="auto"/>
                <w:vAlign w:val="center"/>
              </w:tcPr>
              <w:p w14:paraId="51AC434B"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718" w:type="pct"/>
                <w:shd w:val="clear" w:color="auto" w:fill="auto"/>
                <w:vAlign w:val="center"/>
              </w:tcPr>
              <w:p w14:paraId="589E84CA" w14:textId="77777777" w:rsidR="00D21C1F" w:rsidRDefault="00A42880">
                <w:pPr>
                  <w:jc w:val="right"/>
                  <w:rPr>
                    <w:rFonts w:ascii="Times New Roman" w:hAnsi="Times New Roman" w:cs="Times New Roman"/>
                    <w:szCs w:val="21"/>
                  </w:rPr>
                </w:pPr>
                <w:r>
                  <w:rPr>
                    <w:rFonts w:ascii="Times New Roman" w:hAnsi="Times New Roman" w:cs="Times New Roman"/>
                  </w:rPr>
                  <w:t>/</w:t>
                </w:r>
              </w:p>
            </w:tc>
            <w:tc>
              <w:tcPr>
                <w:tcW w:w="436" w:type="pct"/>
                <w:shd w:val="clear" w:color="auto" w:fill="auto"/>
                <w:vAlign w:val="center"/>
              </w:tcPr>
              <w:p w14:paraId="54590C7A" w14:textId="77777777" w:rsidR="00D21C1F" w:rsidRDefault="00D21C1F">
                <w:pPr>
                  <w:jc w:val="right"/>
                  <w:rPr>
                    <w:rFonts w:ascii="Times New Roman" w:hAnsi="Times New Roman" w:cs="Times New Roman"/>
                    <w:szCs w:val="21"/>
                  </w:rPr>
                </w:pPr>
              </w:p>
            </w:tc>
          </w:tr>
          <w:tr w:rsidR="00D21C1F" w14:paraId="23DEF2D3" w14:textId="77777777">
            <w:sdt>
              <w:sdtPr>
                <w:rPr>
                  <w:rFonts w:ascii="Times New Roman" w:hAnsi="Times New Roman" w:cs="Times New Roman"/>
                </w:rPr>
                <w:tag w:val="_PLD_694843be834d40578355fa09da272906"/>
                <w:id w:val="-847165910"/>
                <w:lock w:val="sdtLocked"/>
              </w:sdtPr>
              <w:sdtEndPr/>
              <w:sdtContent>
                <w:tc>
                  <w:tcPr>
                    <w:tcW w:w="844" w:type="pct"/>
                    <w:shd w:val="clear" w:color="auto" w:fill="auto"/>
                    <w:vAlign w:val="center"/>
                  </w:tcPr>
                  <w:p w14:paraId="02BB7F79" w14:textId="77777777" w:rsidR="00D21C1F" w:rsidRDefault="00A42880">
                    <w:pPr>
                      <w:jc w:val="both"/>
                      <w:rPr>
                        <w:rFonts w:ascii="Times New Roman" w:hAnsi="Times New Roman" w:cs="Times New Roman"/>
                        <w:szCs w:val="21"/>
                      </w:rPr>
                    </w:pPr>
                    <w:r>
                      <w:rPr>
                        <w:rFonts w:ascii="Times New Roman" w:hAnsi="Times New Roman" w:cs="Times New Roman"/>
                        <w:szCs w:val="21"/>
                      </w:rPr>
                      <w:t>三、股份总数</w:t>
                    </w:r>
                  </w:p>
                </w:tc>
              </w:sdtContent>
            </w:sdt>
            <w:tc>
              <w:tcPr>
                <w:tcW w:w="692" w:type="pct"/>
                <w:shd w:val="clear" w:color="auto" w:fill="auto"/>
                <w:vAlign w:val="center"/>
              </w:tcPr>
              <w:p w14:paraId="6E15F189" w14:textId="77777777" w:rsidR="00D21C1F" w:rsidRDefault="00A42880">
                <w:pPr>
                  <w:jc w:val="right"/>
                  <w:rPr>
                    <w:rFonts w:ascii="Times New Roman" w:hAnsi="Times New Roman" w:cs="Times New Roman"/>
                  </w:rPr>
                </w:pPr>
                <w:r>
                  <w:rPr>
                    <w:rFonts w:ascii="Times New Roman" w:hAnsi="Times New Roman" w:cs="Times New Roman"/>
                  </w:rPr>
                  <w:t>521,780,000</w:t>
                </w:r>
              </w:p>
            </w:tc>
            <w:tc>
              <w:tcPr>
                <w:tcW w:w="386" w:type="pct"/>
                <w:shd w:val="clear" w:color="auto" w:fill="auto"/>
                <w:vAlign w:val="center"/>
              </w:tcPr>
              <w:p w14:paraId="5AE017E5" w14:textId="77777777" w:rsidR="00D21C1F" w:rsidRDefault="00A42880">
                <w:pPr>
                  <w:jc w:val="right"/>
                  <w:rPr>
                    <w:rFonts w:ascii="Times New Roman" w:hAnsi="Times New Roman" w:cs="Times New Roman"/>
                  </w:rPr>
                </w:pPr>
                <w:r>
                  <w:rPr>
                    <w:rFonts w:ascii="Times New Roman" w:hAnsi="Times New Roman" w:cs="Times New Roman"/>
                  </w:rPr>
                  <w:t>100</w:t>
                </w:r>
              </w:p>
            </w:tc>
            <w:tc>
              <w:tcPr>
                <w:tcW w:w="231" w:type="pct"/>
                <w:shd w:val="clear" w:color="auto" w:fill="auto"/>
                <w:vAlign w:val="center"/>
              </w:tcPr>
              <w:p w14:paraId="62019829" w14:textId="77777777" w:rsidR="00D21C1F" w:rsidRDefault="00A42880">
                <w:pPr>
                  <w:jc w:val="right"/>
                  <w:rPr>
                    <w:rFonts w:ascii="Times New Roman" w:hAnsi="Times New Roman" w:cs="Times New Roman"/>
                  </w:rPr>
                </w:pPr>
                <w:r>
                  <w:rPr>
                    <w:rFonts w:ascii="Times New Roman" w:hAnsi="Times New Roman" w:cs="Times New Roman"/>
                  </w:rPr>
                  <w:t>/</w:t>
                </w:r>
              </w:p>
            </w:tc>
            <w:tc>
              <w:tcPr>
                <w:tcW w:w="231" w:type="pct"/>
                <w:shd w:val="clear" w:color="auto" w:fill="auto"/>
                <w:vAlign w:val="center"/>
              </w:tcPr>
              <w:p w14:paraId="72375347" w14:textId="77777777" w:rsidR="00D21C1F" w:rsidRDefault="00A42880">
                <w:pPr>
                  <w:jc w:val="right"/>
                  <w:rPr>
                    <w:rFonts w:ascii="Times New Roman" w:hAnsi="Times New Roman" w:cs="Times New Roman"/>
                  </w:rPr>
                </w:pPr>
                <w:r>
                  <w:rPr>
                    <w:rFonts w:ascii="Times New Roman" w:hAnsi="Times New Roman" w:cs="Times New Roman"/>
                  </w:rPr>
                  <w:t>/</w:t>
                </w:r>
              </w:p>
            </w:tc>
            <w:tc>
              <w:tcPr>
                <w:tcW w:w="231" w:type="pct"/>
                <w:shd w:val="clear" w:color="auto" w:fill="auto"/>
                <w:vAlign w:val="center"/>
              </w:tcPr>
              <w:p w14:paraId="4F82CAB2" w14:textId="77777777" w:rsidR="00D21C1F" w:rsidRDefault="00A42880">
                <w:pPr>
                  <w:jc w:val="right"/>
                  <w:rPr>
                    <w:rFonts w:ascii="Times New Roman" w:hAnsi="Times New Roman" w:cs="Times New Roman"/>
                  </w:rPr>
                </w:pPr>
                <w:r>
                  <w:rPr>
                    <w:rFonts w:ascii="Times New Roman" w:hAnsi="Times New Roman" w:cs="Times New Roman"/>
                  </w:rPr>
                  <w:t>/</w:t>
                </w:r>
              </w:p>
            </w:tc>
            <w:tc>
              <w:tcPr>
                <w:tcW w:w="616" w:type="pct"/>
                <w:shd w:val="clear" w:color="auto" w:fill="auto"/>
                <w:vAlign w:val="center"/>
              </w:tcPr>
              <w:p w14:paraId="67A6EAE6" w14:textId="77777777" w:rsidR="00D21C1F" w:rsidRDefault="00A42880">
                <w:pPr>
                  <w:jc w:val="right"/>
                  <w:rPr>
                    <w:rFonts w:ascii="Times New Roman" w:hAnsi="Times New Roman" w:cs="Times New Roman"/>
                  </w:rPr>
                </w:pPr>
                <w:r>
                  <w:rPr>
                    <w:rFonts w:ascii="Times New Roman" w:hAnsi="Times New Roman" w:cs="Times New Roman"/>
                  </w:rPr>
                  <w:t>0</w:t>
                </w:r>
              </w:p>
            </w:tc>
            <w:tc>
              <w:tcPr>
                <w:tcW w:w="616" w:type="pct"/>
                <w:shd w:val="clear" w:color="auto" w:fill="auto"/>
                <w:vAlign w:val="center"/>
              </w:tcPr>
              <w:p w14:paraId="098E6A66" w14:textId="77777777" w:rsidR="00D21C1F" w:rsidRDefault="00A42880">
                <w:pPr>
                  <w:jc w:val="right"/>
                  <w:rPr>
                    <w:rFonts w:ascii="Times New Roman" w:hAnsi="Times New Roman" w:cs="Times New Roman"/>
                  </w:rPr>
                </w:pPr>
                <w:r>
                  <w:rPr>
                    <w:rFonts w:ascii="Times New Roman" w:hAnsi="Times New Roman" w:cs="Times New Roman"/>
                  </w:rPr>
                  <w:t>0</w:t>
                </w:r>
              </w:p>
            </w:tc>
            <w:tc>
              <w:tcPr>
                <w:tcW w:w="718" w:type="pct"/>
                <w:shd w:val="clear" w:color="auto" w:fill="auto"/>
                <w:vAlign w:val="center"/>
              </w:tcPr>
              <w:p w14:paraId="379493A9" w14:textId="77777777" w:rsidR="00D21C1F" w:rsidRDefault="00A42880">
                <w:pPr>
                  <w:jc w:val="right"/>
                  <w:rPr>
                    <w:rFonts w:ascii="Times New Roman" w:hAnsi="Times New Roman" w:cs="Times New Roman"/>
                  </w:rPr>
                </w:pPr>
                <w:r>
                  <w:rPr>
                    <w:rFonts w:ascii="Times New Roman" w:hAnsi="Times New Roman" w:cs="Times New Roman"/>
                  </w:rPr>
                  <w:t>521,780,000</w:t>
                </w:r>
              </w:p>
            </w:tc>
            <w:tc>
              <w:tcPr>
                <w:tcW w:w="436" w:type="pct"/>
                <w:shd w:val="clear" w:color="auto" w:fill="auto"/>
                <w:vAlign w:val="center"/>
              </w:tcPr>
              <w:p w14:paraId="59F1949B" w14:textId="77777777" w:rsidR="00D21C1F" w:rsidRDefault="00A42880">
                <w:pPr>
                  <w:jc w:val="right"/>
                  <w:rPr>
                    <w:rFonts w:ascii="Times New Roman" w:hAnsi="Times New Roman" w:cs="Times New Roman"/>
                  </w:rPr>
                </w:pPr>
                <w:r>
                  <w:rPr>
                    <w:rFonts w:ascii="Times New Roman" w:hAnsi="Times New Roman" w:cs="Times New Roman"/>
                  </w:rPr>
                  <w:t>100</w:t>
                </w:r>
              </w:p>
            </w:tc>
          </w:tr>
        </w:tbl>
        <w:p w14:paraId="41BC8FD8" w14:textId="7DB148CF" w:rsidR="005176D2" w:rsidRDefault="005176D2" w:rsidP="005176D2">
          <w:r>
            <w:t>注：</w:t>
          </w:r>
          <w:r>
            <w:rPr>
              <w:rFonts w:hint="eastAsia"/>
            </w:rPr>
            <w:t>以上</w:t>
          </w:r>
          <w:r>
            <w:t>数字若出现总数与各分项数之和尾数不符的情况，均为四舍五入原因造成。</w:t>
          </w:r>
        </w:p>
        <w:p w14:paraId="3B164D70" w14:textId="77777777" w:rsidR="00D21C1F" w:rsidRDefault="00045EC6">
          <w:pPr>
            <w:pStyle w:val="97"/>
          </w:pPr>
        </w:p>
      </w:sdtContent>
    </w:sdt>
    <w:bookmarkEnd w:id="106" w:displacedByCustomXml="next"/>
    <w:bookmarkEnd w:id="107" w:displacedByCustomXml="next"/>
    <w:bookmarkStart w:id="108" w:name="_Toc342059483" w:displacedByCustomXml="next"/>
    <w:bookmarkStart w:id="109" w:name="_Toc342565996" w:displacedByCustomXml="next"/>
    <w:sdt>
      <w:sdtPr>
        <w:rPr>
          <w:rFonts w:ascii="宋体" w:hAnsi="宋体" w:cs="宋体"/>
          <w:b w:val="0"/>
          <w:bCs w:val="0"/>
          <w:kern w:val="0"/>
          <w:szCs w:val="22"/>
        </w:rPr>
        <w:alias w:val="模块:股份变动情况说明"/>
        <w:tag w:val="_GBC_11d26f58e47e4a1f997d73362074f464"/>
        <w:id w:val="-138581120"/>
        <w:lock w:val="sdtLocked"/>
        <w:placeholder>
          <w:docPart w:val="GBC22222222222222222222222222222"/>
        </w:placeholder>
      </w:sdtPr>
      <w:sdtEndPr>
        <w:rPr>
          <w:rFonts w:ascii="Times New Roman" w:hAnsi="Times New Roman" w:cs="Times New Roman"/>
          <w:szCs w:val="24"/>
        </w:rPr>
      </w:sdtEndPr>
      <w:sdtContent>
        <w:p w14:paraId="61A591C9" w14:textId="77777777" w:rsidR="00D21C1F" w:rsidRDefault="00A42880">
          <w:pPr>
            <w:pStyle w:val="4"/>
            <w:numPr>
              <w:ilvl w:val="2"/>
              <w:numId w:val="37"/>
            </w:numPr>
            <w:rPr>
              <w:rFonts w:ascii="宋体" w:hAnsi="宋体"/>
            </w:rPr>
          </w:pPr>
          <w:r>
            <w:rPr>
              <w:rFonts w:ascii="宋体" w:hAnsi="宋体"/>
            </w:rPr>
            <w:t>股份变动情况说明</w:t>
          </w:r>
        </w:p>
        <w:sdt>
          <w:sdtPr>
            <w:alias w:val="是否适用：普通股股份变动情况说明[双击切换]"/>
            <w:tag w:val="_GBC_28994e6dc9c649e498c0ab9c340777bf"/>
            <w:id w:val="2037771086"/>
            <w:lock w:val="sdtLocked"/>
            <w:placeholder>
              <w:docPart w:val="GBC22222222222222222222222222222"/>
            </w:placeholder>
          </w:sdtPr>
          <w:sdtEndPr/>
          <w:sdtContent>
            <w:p w14:paraId="27D6AC8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情况说明"/>
            <w:tag w:val="_GBC_370febd389f14759b2ed3f1114b289a6"/>
            <w:id w:val="-1918548432"/>
            <w:lock w:val="sdtLocked"/>
            <w:placeholder>
              <w:docPart w:val="GBC22222222222222222222222222222"/>
            </w:placeholder>
          </w:sdtPr>
          <w:sdtEndPr>
            <w:rPr>
              <w:rFonts w:ascii="Times New Roman" w:hAnsi="Times New Roman" w:cs="Times New Roman" w:hint="default"/>
            </w:rPr>
          </w:sdtEndPr>
          <w:sdtContent>
            <w:p w14:paraId="71A58F15" w14:textId="77777777" w:rsidR="00D21C1F" w:rsidRDefault="00A42880">
              <w:pPr>
                <w:spacing w:line="360" w:lineRule="auto"/>
                <w:ind w:firstLineChars="200" w:firstLine="420"/>
                <w:jc w:val="both"/>
              </w:pPr>
              <w:r>
                <w:rPr>
                  <w:rFonts w:ascii="Times New Roman" w:hAnsi="Times New Roman" w:cs="Times New Roman"/>
                </w:rPr>
                <w:t>公司首次公开发行网下配售限售股</w:t>
              </w:r>
              <w:r>
                <w:rPr>
                  <w:rFonts w:ascii="Times New Roman" w:hAnsi="Times New Roman" w:cs="Times New Roman"/>
                </w:rPr>
                <w:t>6,112,822</w:t>
              </w:r>
              <w:r>
                <w:rPr>
                  <w:rFonts w:ascii="Times New Roman" w:hAnsi="Times New Roman" w:cs="Times New Roman"/>
                </w:rPr>
                <w:t>股已于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日解除限售，具体内容请见公司于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8</w:t>
              </w:r>
              <w:r>
                <w:rPr>
                  <w:rFonts w:ascii="Times New Roman" w:hAnsi="Times New Roman" w:cs="Times New Roman"/>
                </w:rPr>
                <w:t>日在上海证券交易所网站（</w:t>
              </w:r>
              <w:r>
                <w:rPr>
                  <w:rFonts w:ascii="Times New Roman" w:hAnsi="Times New Roman" w:cs="Times New Roman"/>
                </w:rPr>
                <w:t>www.sse.com.cn</w:t>
              </w:r>
              <w:r>
                <w:rPr>
                  <w:rFonts w:ascii="Times New Roman" w:hAnsi="Times New Roman" w:cs="Times New Roman"/>
                </w:rPr>
                <w:t>）披露的《埃夫特关于首次公开发行网下配售限售股上市流通的公告》（公告编号：</w:t>
              </w:r>
              <w:r>
                <w:rPr>
                  <w:rFonts w:ascii="Times New Roman" w:hAnsi="Times New Roman" w:cs="Times New Roman"/>
                </w:rPr>
                <w:t>2021-003</w:t>
              </w:r>
              <w:r>
                <w:rPr>
                  <w:rFonts w:ascii="Times New Roman" w:hAnsi="Times New Roman" w:cs="Times New Roman"/>
                </w:rPr>
                <w:t>）</w:t>
              </w:r>
              <w:r>
                <w:rPr>
                  <w:rFonts w:ascii="Times New Roman" w:hAnsi="Times New Roman" w:cs="Times New Roman" w:hint="eastAsia"/>
                </w:rPr>
                <w:t>。</w:t>
              </w:r>
            </w:p>
          </w:sdtContent>
        </w:sdt>
      </w:sdtContent>
    </w:sdt>
    <w:p w14:paraId="776F02E0" w14:textId="77777777" w:rsidR="00D21C1F" w:rsidRDefault="00D21C1F">
      <w:pPr>
        <w:pStyle w:val="97"/>
      </w:pPr>
    </w:p>
    <w:sdt>
      <w:sdtPr>
        <w:rPr>
          <w:rFonts w:ascii="宋体" w:eastAsiaTheme="minorEastAsia" w:hAnsi="宋体" w:cs="宋体"/>
          <w:b w:val="0"/>
          <w:bCs w:val="0"/>
          <w:kern w:val="0"/>
          <w:szCs w:val="22"/>
        </w:rPr>
        <w:alias w:val="模块:报告期后到半年报披露日期间发生股份变动对每股收益等指标影响"/>
        <w:tag w:val="_GBC_2c9eb79778814e39ab254196ba75dab3"/>
        <w:id w:val="122811844"/>
        <w:lock w:val="sdtLocked"/>
        <w:placeholder>
          <w:docPart w:val="GBC22222222222222222222222222222"/>
        </w:placeholder>
      </w:sdtPr>
      <w:sdtEndPr>
        <w:rPr>
          <w:rFonts w:hint="eastAsia"/>
          <w:szCs w:val="24"/>
        </w:rPr>
      </w:sdtEndPr>
      <w:sdtContent>
        <w:p w14:paraId="78CE3B17" w14:textId="77777777" w:rsidR="00D21C1F" w:rsidRDefault="00A42880">
          <w:pPr>
            <w:pStyle w:val="4"/>
            <w:numPr>
              <w:ilvl w:val="2"/>
              <w:numId w:val="37"/>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037564970"/>
            <w:lock w:val="sdtLocked"/>
            <w:placeholder>
              <w:docPart w:val="GBC22222222222222222222222222222"/>
            </w:placeholder>
          </w:sdtPr>
          <w:sdtEndPr/>
          <w:sdtContent>
            <w:p w14:paraId="1ABDDAF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0860815" w14:textId="77777777" w:rsidR="00D21C1F" w:rsidRDefault="00D21C1F">
      <w:pPr>
        <w:pStyle w:val="97"/>
      </w:pPr>
    </w:p>
    <w:sdt>
      <w:sdtPr>
        <w:rPr>
          <w:rFonts w:ascii="宋体" w:eastAsiaTheme="minorEastAsia" w:hAnsi="宋体" w:cs="宋体"/>
          <w:b w:val="0"/>
          <w:bCs w:val="0"/>
          <w:kern w:val="0"/>
          <w:szCs w:val="22"/>
        </w:rPr>
        <w:alias w:val="模块:公司认为必要或证券监管机构要求披露的其他内容"/>
        <w:tag w:val="_GBC_ea8cea8d08c04df4b51a4a58c86eadd2"/>
        <w:id w:val="581187300"/>
        <w:lock w:val="sdtLocked"/>
        <w:placeholder>
          <w:docPart w:val="GBC22222222222222222222222222222"/>
        </w:placeholder>
      </w:sdtPr>
      <w:sdtEndPr>
        <w:rPr>
          <w:rFonts w:hint="eastAsia"/>
          <w:szCs w:val="24"/>
        </w:rPr>
      </w:sdtEndPr>
      <w:sdtContent>
        <w:p w14:paraId="30F0B2A5" w14:textId="77777777" w:rsidR="00D21C1F" w:rsidRDefault="00A42880">
          <w:pPr>
            <w:pStyle w:val="4"/>
            <w:numPr>
              <w:ilvl w:val="2"/>
              <w:numId w:val="37"/>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771544152"/>
            <w:lock w:val="sdtLocked"/>
            <w:placeholder>
              <w:docPart w:val="GBC22222222222222222222222222222"/>
            </w:placeholder>
          </w:sdtPr>
          <w:sdtEndPr/>
          <w:sdtContent>
            <w:p w14:paraId="1D02337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87C50AC" w14:textId="77777777" w:rsidR="00D21C1F" w:rsidRDefault="00D21C1F">
      <w:pPr>
        <w:pStyle w:val="97"/>
      </w:pPr>
    </w:p>
    <w:bookmarkStart w:id="110" w:name="_Hlk42869658" w:displacedByCustomXml="next"/>
    <w:sdt>
      <w:sdtPr>
        <w:rPr>
          <w:rFonts w:ascii="宋体" w:eastAsiaTheme="minorEastAsia" w:hAnsi="宋体" w:cs="宋体"/>
          <w:b w:val="0"/>
          <w:bCs w:val="0"/>
          <w:kern w:val="0"/>
          <w:szCs w:val="24"/>
        </w:rPr>
        <w:alias w:val="模块:限售股份变动情况"/>
        <w:tag w:val="_SEC_50388f4758524fb2a455b1039c3d00e6"/>
        <w:id w:val="1860620370"/>
        <w:lock w:val="sdtLocked"/>
        <w:placeholder>
          <w:docPart w:val="GBC22222222222222222222222222222"/>
        </w:placeholder>
      </w:sdtPr>
      <w:sdtEndPr/>
      <w:sdtContent>
        <w:p w14:paraId="542FDE24" w14:textId="77777777" w:rsidR="00D21C1F" w:rsidRDefault="00A42880">
          <w:pPr>
            <w:pStyle w:val="3"/>
            <w:numPr>
              <w:ilvl w:val="1"/>
              <w:numId w:val="36"/>
            </w:numPr>
            <w:rPr>
              <w:rFonts w:ascii="宋体" w:hAnsi="宋体"/>
            </w:rPr>
          </w:pPr>
          <w:r>
            <w:rPr>
              <w:rFonts w:ascii="宋体" w:hAnsi="宋体"/>
            </w:rPr>
            <w:t>限售股份变动情况</w:t>
          </w:r>
        </w:p>
        <w:sdt>
          <w:sdtPr>
            <w:alias w:val="是否适用：限售股份变动情况表[双击切换]"/>
            <w:tag w:val="_GBC_6744ef8971f848f3b3b2765f7c8763a6"/>
            <w:id w:val="547342132"/>
            <w:lock w:val="sdtLocked"/>
            <w:placeholder>
              <w:docPart w:val="GBC22222222222222222222222222222"/>
            </w:placeholder>
          </w:sdtPr>
          <w:sdtEndPr/>
          <w:sdtContent>
            <w:p w14:paraId="4B69F2D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9684FD" w14:textId="77777777" w:rsidR="00D21C1F" w:rsidRDefault="00A42880">
          <w:pPr>
            <w:jc w:val="right"/>
          </w:pPr>
          <w:r>
            <w:rPr>
              <w:rFonts w:hint="eastAsia"/>
            </w:rPr>
            <w:t xml:space="preserve">单位: </w:t>
          </w:r>
          <w:sdt>
            <w:sdtPr>
              <w:rPr>
                <w:rFonts w:hint="eastAsia"/>
              </w:rPr>
              <w:alias w:val="单位：限售股份变动情况表"/>
              <w:tag w:val="_GBC_1199f3cb2db743aebda3c737e1262f1c"/>
              <w:id w:val="188381821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ff0"/>
            <w:tblW w:w="0" w:type="auto"/>
            <w:tblLook w:val="04A0" w:firstRow="1" w:lastRow="0" w:firstColumn="1" w:lastColumn="0" w:noHBand="0" w:noVBand="1"/>
          </w:tblPr>
          <w:tblGrid>
            <w:gridCol w:w="1248"/>
            <w:gridCol w:w="1259"/>
            <w:gridCol w:w="1316"/>
            <w:gridCol w:w="1275"/>
            <w:gridCol w:w="1134"/>
            <w:gridCol w:w="1332"/>
            <w:gridCol w:w="1259"/>
          </w:tblGrid>
          <w:tr w:rsidR="00D21C1F" w14:paraId="47CA33D9" w14:textId="77777777">
            <w:sdt>
              <w:sdtPr>
                <w:tag w:val="_PLD_dbae5fe2556d419e8146d3f15fc76518"/>
                <w:id w:val="710313316"/>
                <w:lock w:val="sdtLocked"/>
              </w:sdtPr>
              <w:sdtEndPr/>
              <w:sdtContent>
                <w:tc>
                  <w:tcPr>
                    <w:tcW w:w="1248" w:type="dxa"/>
                    <w:vAlign w:val="center"/>
                  </w:tcPr>
                  <w:p w14:paraId="3B78B80D" w14:textId="77777777" w:rsidR="00D21C1F" w:rsidRDefault="00A42880">
                    <w:pPr>
                      <w:pStyle w:val="97"/>
                    </w:pPr>
                    <w:r>
                      <w:t>股东名称</w:t>
                    </w:r>
                  </w:p>
                </w:tc>
              </w:sdtContent>
            </w:sdt>
            <w:sdt>
              <w:sdtPr>
                <w:tag w:val="_PLD_2b50d8f67617439a9ea4ff20672400f4"/>
                <w:id w:val="-1207019796"/>
                <w:lock w:val="sdtLocked"/>
              </w:sdtPr>
              <w:sdtEndPr/>
              <w:sdtContent>
                <w:tc>
                  <w:tcPr>
                    <w:tcW w:w="1259" w:type="dxa"/>
                    <w:vAlign w:val="center"/>
                  </w:tcPr>
                  <w:p w14:paraId="213991E8" w14:textId="77777777" w:rsidR="00D21C1F" w:rsidRDefault="00A42880">
                    <w:pPr>
                      <w:pStyle w:val="97"/>
                    </w:pPr>
                    <w:r>
                      <w:t>期初限售股数</w:t>
                    </w:r>
                  </w:p>
                </w:tc>
              </w:sdtContent>
            </w:sdt>
            <w:sdt>
              <w:sdtPr>
                <w:tag w:val="_PLD_f72810286d87423b92cfea39c3027db1"/>
                <w:id w:val="-311714341"/>
                <w:lock w:val="sdtLocked"/>
              </w:sdtPr>
              <w:sdtEndPr/>
              <w:sdtContent>
                <w:tc>
                  <w:tcPr>
                    <w:tcW w:w="1316" w:type="dxa"/>
                    <w:vAlign w:val="center"/>
                  </w:tcPr>
                  <w:p w14:paraId="389F3A30" w14:textId="77777777" w:rsidR="00D21C1F" w:rsidRDefault="00A42880">
                    <w:pPr>
                      <w:pStyle w:val="97"/>
                    </w:pPr>
                    <w:r>
                      <w:t>报告期解除限售股数</w:t>
                    </w:r>
                  </w:p>
                </w:tc>
              </w:sdtContent>
            </w:sdt>
            <w:sdt>
              <w:sdtPr>
                <w:tag w:val="_PLD_2ccb9be9e8374c38a9f0868e94b56d82"/>
                <w:id w:val="1295482413"/>
                <w:lock w:val="sdtLocked"/>
              </w:sdtPr>
              <w:sdtEndPr/>
              <w:sdtContent>
                <w:tc>
                  <w:tcPr>
                    <w:tcW w:w="1275" w:type="dxa"/>
                    <w:vAlign w:val="center"/>
                  </w:tcPr>
                  <w:p w14:paraId="4F881329" w14:textId="77777777" w:rsidR="00D21C1F" w:rsidRDefault="00A42880">
                    <w:pPr>
                      <w:pStyle w:val="97"/>
                    </w:pPr>
                    <w:r>
                      <w:t>报告期增加限售股数</w:t>
                    </w:r>
                  </w:p>
                </w:tc>
              </w:sdtContent>
            </w:sdt>
            <w:sdt>
              <w:sdtPr>
                <w:tag w:val="_PLD_1e56cd03928e46a69f6d85479e1985a7"/>
                <w:id w:val="-473674745"/>
                <w:lock w:val="sdtLocked"/>
              </w:sdtPr>
              <w:sdtEndPr/>
              <w:sdtContent>
                <w:tc>
                  <w:tcPr>
                    <w:tcW w:w="1134" w:type="dxa"/>
                    <w:vAlign w:val="center"/>
                  </w:tcPr>
                  <w:p w14:paraId="3253EFED" w14:textId="77777777" w:rsidR="00D21C1F" w:rsidRDefault="00A42880">
                    <w:pPr>
                      <w:pStyle w:val="97"/>
                    </w:pPr>
                    <w:r>
                      <w:t>报告期末限售股数</w:t>
                    </w:r>
                  </w:p>
                </w:tc>
              </w:sdtContent>
            </w:sdt>
            <w:sdt>
              <w:sdtPr>
                <w:tag w:val="_PLD_4a9a5b4dde324a60be7727481fe88d45"/>
                <w:id w:val="88046325"/>
                <w:lock w:val="sdtLocked"/>
              </w:sdtPr>
              <w:sdtEndPr/>
              <w:sdtContent>
                <w:tc>
                  <w:tcPr>
                    <w:tcW w:w="1332" w:type="dxa"/>
                    <w:vAlign w:val="center"/>
                  </w:tcPr>
                  <w:p w14:paraId="59281D61" w14:textId="77777777" w:rsidR="00D21C1F" w:rsidRDefault="00A42880">
                    <w:pPr>
                      <w:pStyle w:val="97"/>
                    </w:pPr>
                    <w:r>
                      <w:t>限售原因</w:t>
                    </w:r>
                  </w:p>
                </w:tc>
              </w:sdtContent>
            </w:sdt>
            <w:sdt>
              <w:sdtPr>
                <w:tag w:val="_PLD_3e59f0f3bc5e4437ab2943c00cfe9948"/>
                <w:id w:val="1577707596"/>
                <w:lock w:val="sdtLocked"/>
              </w:sdtPr>
              <w:sdtEndPr/>
              <w:sdtContent>
                <w:tc>
                  <w:tcPr>
                    <w:tcW w:w="1259" w:type="dxa"/>
                    <w:vAlign w:val="center"/>
                  </w:tcPr>
                  <w:p w14:paraId="72FBFA9C" w14:textId="77777777" w:rsidR="00D21C1F" w:rsidRDefault="00A42880">
                    <w:pPr>
                      <w:pStyle w:val="97"/>
                    </w:pPr>
                    <w:r>
                      <w:t>解除限售日期</w:t>
                    </w:r>
                  </w:p>
                </w:tc>
              </w:sdtContent>
            </w:sdt>
          </w:tr>
          <w:sdt>
            <w:sdtPr>
              <w:rPr>
                <w:rFonts w:asciiTheme="minorHAnsi" w:hAnsiTheme="minorHAnsi" w:cs="Times New Roman"/>
                <w:kern w:val="2"/>
                <w:szCs w:val="22"/>
              </w:rPr>
              <w:alias w:val="限售股份变动情况明细"/>
              <w:tag w:val="_TUP_c4ea812bafc54ca591d05d1a1025cb5d"/>
              <w:id w:val="-1579740476"/>
              <w:lock w:val="sdtLocked"/>
              <w:placeholder>
                <w:docPart w:val="A95DFAAFAB1D45A3940348CFB1A08D89"/>
              </w:placeholder>
            </w:sdtPr>
            <w:sdtEndPr>
              <w:rPr>
                <w:rFonts w:ascii="Times New Roman" w:hAnsi="Times New Roman"/>
              </w:rPr>
            </w:sdtEndPr>
            <w:sdtContent>
              <w:tr w:rsidR="00D21C1F" w14:paraId="3BBF2E6A" w14:textId="77777777">
                <w:tc>
                  <w:tcPr>
                    <w:tcW w:w="1248" w:type="dxa"/>
                  </w:tcPr>
                  <w:p w14:paraId="3333EB5E" w14:textId="77777777" w:rsidR="00D21C1F" w:rsidRDefault="00A42880">
                    <w:pPr>
                      <w:rPr>
                        <w:rFonts w:cs="Times New Roman"/>
                        <w:kern w:val="2"/>
                        <w:szCs w:val="22"/>
                      </w:rPr>
                    </w:pPr>
                    <w:r>
                      <w:rPr>
                        <w:rFonts w:cs="Times New Roman" w:hint="eastAsia"/>
                        <w:kern w:val="2"/>
                        <w:szCs w:val="22"/>
                      </w:rPr>
                      <w:t>网下限售股份</w:t>
                    </w:r>
                  </w:p>
                </w:tc>
                <w:tc>
                  <w:tcPr>
                    <w:tcW w:w="1259" w:type="dxa"/>
                    <w:vAlign w:val="center"/>
                  </w:tcPr>
                  <w:p w14:paraId="69D93F53" w14:textId="77777777" w:rsidR="00D21C1F" w:rsidRDefault="00A42880">
                    <w:pPr>
                      <w:jc w:val="right"/>
                      <w:rPr>
                        <w:rFonts w:ascii="Times New Roman" w:hAnsi="Times New Roman" w:cs="Times New Roman"/>
                      </w:rPr>
                    </w:pPr>
                    <w:r>
                      <w:rPr>
                        <w:rFonts w:ascii="Times New Roman" w:hAnsi="Times New Roman" w:cs="Times New Roman"/>
                      </w:rPr>
                      <w:t>6,112,822</w:t>
                    </w:r>
                  </w:p>
                </w:tc>
                <w:tc>
                  <w:tcPr>
                    <w:tcW w:w="1316" w:type="dxa"/>
                    <w:vAlign w:val="center"/>
                  </w:tcPr>
                  <w:p w14:paraId="4E5F4C9C" w14:textId="77777777" w:rsidR="00D21C1F" w:rsidRDefault="00A42880">
                    <w:pPr>
                      <w:jc w:val="right"/>
                      <w:rPr>
                        <w:rFonts w:ascii="Times New Roman" w:hAnsi="Times New Roman" w:cs="Times New Roman"/>
                      </w:rPr>
                    </w:pPr>
                    <w:r>
                      <w:rPr>
                        <w:rFonts w:ascii="Times New Roman" w:hAnsi="Times New Roman" w:cs="Times New Roman"/>
                      </w:rPr>
                      <w:t>6,112,822</w:t>
                    </w:r>
                  </w:p>
                </w:tc>
                <w:tc>
                  <w:tcPr>
                    <w:tcW w:w="1275" w:type="dxa"/>
                    <w:vAlign w:val="center"/>
                  </w:tcPr>
                  <w:p w14:paraId="390AE75F" w14:textId="77777777" w:rsidR="00D21C1F" w:rsidRDefault="00A42880">
                    <w:pPr>
                      <w:jc w:val="right"/>
                      <w:rPr>
                        <w:rFonts w:ascii="Times New Roman" w:hAnsi="Times New Roman" w:cs="Times New Roman"/>
                      </w:rPr>
                    </w:pPr>
                    <w:r>
                      <w:rPr>
                        <w:rFonts w:ascii="Times New Roman" w:hAnsi="Times New Roman" w:cs="Times New Roman"/>
                      </w:rPr>
                      <w:t>0</w:t>
                    </w:r>
                  </w:p>
                </w:tc>
                <w:tc>
                  <w:tcPr>
                    <w:tcW w:w="1134" w:type="dxa"/>
                    <w:vAlign w:val="center"/>
                  </w:tcPr>
                  <w:p w14:paraId="725AF429" w14:textId="77777777" w:rsidR="00D21C1F" w:rsidRDefault="00A42880">
                    <w:pPr>
                      <w:jc w:val="right"/>
                      <w:rPr>
                        <w:rFonts w:ascii="Times New Roman" w:hAnsi="Times New Roman" w:cs="Times New Roman"/>
                      </w:rPr>
                    </w:pPr>
                    <w:r>
                      <w:rPr>
                        <w:rFonts w:ascii="Times New Roman" w:hAnsi="Times New Roman" w:cs="Times New Roman"/>
                      </w:rPr>
                      <w:t>0</w:t>
                    </w:r>
                  </w:p>
                </w:tc>
                <w:tc>
                  <w:tcPr>
                    <w:tcW w:w="1332" w:type="dxa"/>
                    <w:vAlign w:val="center"/>
                  </w:tcPr>
                  <w:p w14:paraId="2655C221" w14:textId="77777777" w:rsidR="00D21C1F" w:rsidRDefault="00A42880">
                    <w:pPr>
                      <w:rPr>
                        <w:rFonts w:ascii="Times New Roman" w:hAnsi="Times New Roman" w:cs="Times New Roman"/>
                      </w:rPr>
                    </w:pPr>
                    <w:r>
                      <w:rPr>
                        <w:rFonts w:ascii="Times New Roman" w:hAnsi="Times New Roman" w:cs="Times New Roman"/>
                      </w:rPr>
                      <w:t>网下摇号锁定新股</w:t>
                    </w:r>
                  </w:p>
                </w:tc>
                <w:tc>
                  <w:tcPr>
                    <w:tcW w:w="1259" w:type="dxa"/>
                    <w:vAlign w:val="center"/>
                  </w:tcPr>
                  <w:p w14:paraId="430541EE" w14:textId="77777777" w:rsidR="00D21C1F" w:rsidRDefault="00A42880">
                    <w:pPr>
                      <w:jc w:val="right"/>
                      <w:rPr>
                        <w:rFonts w:ascii="Times New Roman" w:hAnsi="Times New Roman" w:cs="Times New Roman"/>
                        <w:kern w:val="2"/>
                        <w:szCs w:val="22"/>
                      </w:rPr>
                    </w:pPr>
                    <w:r>
                      <w:rPr>
                        <w:rFonts w:ascii="Times New Roman" w:hAnsi="Times New Roman" w:cs="Times New Roman"/>
                      </w:rPr>
                      <w:t>2021/1/15</w:t>
                    </w:r>
                  </w:p>
                </w:tc>
              </w:tr>
            </w:sdtContent>
          </w:sdt>
        </w:tbl>
        <w:p w14:paraId="30646204" w14:textId="77777777" w:rsidR="00D21C1F" w:rsidRDefault="00045EC6">
          <w:pPr>
            <w:pStyle w:val="97"/>
          </w:pPr>
        </w:p>
      </w:sdtContent>
    </w:sdt>
    <w:bookmarkEnd w:id="110"/>
    <w:p w14:paraId="1610EE33" w14:textId="77777777" w:rsidR="00D21C1F" w:rsidRDefault="00A42880">
      <w:pPr>
        <w:pStyle w:val="2"/>
        <w:numPr>
          <w:ilvl w:val="0"/>
          <w:numId w:val="35"/>
        </w:numPr>
      </w:pPr>
      <w:r>
        <w:t>股东情况</w:t>
      </w:r>
      <w:bookmarkEnd w:id="109"/>
      <w:bookmarkEnd w:id="108"/>
    </w:p>
    <w:sdt>
      <w:sdtPr>
        <w:rPr>
          <w:rFonts w:ascii="宋体" w:eastAsiaTheme="minorEastAsia" w:hAnsi="宋体" w:cs="宋体"/>
          <w:b w:val="0"/>
          <w:bCs w:val="0"/>
          <w:kern w:val="0"/>
          <w:szCs w:val="22"/>
        </w:rPr>
        <w:alias w:val="模块:股东总数"/>
        <w:tag w:val="_GBC_ba0ac3b5d31347c0a620e3662112fa62"/>
        <w:id w:val="1367178693"/>
        <w:lock w:val="sdtLocked"/>
        <w:placeholder>
          <w:docPart w:val="GBC22222222222222222222222222222"/>
        </w:placeholder>
      </w:sdtPr>
      <w:sdtEndPr>
        <w:rPr>
          <w:szCs w:val="24"/>
        </w:rPr>
      </w:sdtEndPr>
      <w:sdtContent>
        <w:p w14:paraId="228EDD97" w14:textId="77777777" w:rsidR="00D21C1F" w:rsidRDefault="00A42880">
          <w:pPr>
            <w:pStyle w:val="3"/>
            <w:numPr>
              <w:ilvl w:val="1"/>
              <w:numId w:val="38"/>
            </w:numPr>
            <w:rPr>
              <w:rFonts w:ascii="宋体" w:hAnsi="宋体"/>
            </w:rPr>
          </w:pPr>
          <w:r>
            <w:rPr>
              <w:rFonts w:ascii="宋体" w:hAnsi="宋体"/>
            </w:rPr>
            <w:t>股东总数:</w:t>
          </w:r>
        </w:p>
        <w:tbl>
          <w:tblPr>
            <w:tblStyle w:val="aff0"/>
            <w:tblW w:w="0" w:type="auto"/>
            <w:tblLook w:val="04A0" w:firstRow="1" w:lastRow="0" w:firstColumn="1" w:lastColumn="0" w:noHBand="0" w:noVBand="1"/>
          </w:tblPr>
          <w:tblGrid>
            <w:gridCol w:w="4946"/>
            <w:gridCol w:w="3877"/>
          </w:tblGrid>
          <w:tr w:rsidR="00D21C1F" w14:paraId="18BC33CC" w14:textId="77777777">
            <w:sdt>
              <w:sdtPr>
                <w:tag w:val="_PLD_9206d6884981495295105158630a6172"/>
                <w:id w:val="843209977"/>
                <w:lock w:val="sdtLocked"/>
              </w:sdtPr>
              <w:sdtEndPr/>
              <w:sdtContent>
                <w:tc>
                  <w:tcPr>
                    <w:tcW w:w="5070" w:type="dxa"/>
                  </w:tcPr>
                  <w:p w14:paraId="5DD7B322" w14:textId="77777777" w:rsidR="00D21C1F" w:rsidRDefault="00A42880">
                    <w:pPr>
                      <w:pStyle w:val="97"/>
                    </w:pPr>
                    <w:r>
                      <w:t>截止报告期末</w:t>
                    </w:r>
                    <w:r>
                      <w:rPr>
                        <w:rFonts w:hint="eastAsia"/>
                      </w:rPr>
                      <w:t>普通股</w:t>
                    </w:r>
                    <w:r>
                      <w:t>股东总数(户)</w:t>
                    </w:r>
                  </w:p>
                </w:tc>
              </w:sdtContent>
            </w:sdt>
            <w:sdt>
              <w:sdtPr>
                <w:alias w:val="报告期末股东总数"/>
                <w:tag w:val="_GBC_9fd402ec66014f4e9716c7fdb0286bd2"/>
                <w:id w:val="449517952"/>
                <w:lock w:val="sdtLocked"/>
              </w:sdtPr>
              <w:sdtEndPr>
                <w:rPr>
                  <w:rFonts w:ascii="Times New Roman" w:hAnsi="Times New Roman" w:cs="Times New Roman"/>
                </w:rPr>
              </w:sdtEndPr>
              <w:sdtContent>
                <w:tc>
                  <w:tcPr>
                    <w:tcW w:w="3978" w:type="dxa"/>
                  </w:tcPr>
                  <w:p w14:paraId="370011EB" w14:textId="77777777" w:rsidR="00D21C1F" w:rsidRDefault="00A42880">
                    <w:pPr>
                      <w:jc w:val="right"/>
                    </w:pPr>
                    <w:r>
                      <w:rPr>
                        <w:rFonts w:ascii="Times New Roman" w:hAnsi="Times New Roman" w:cs="Times New Roman"/>
                      </w:rPr>
                      <w:t>20, 891</w:t>
                    </w:r>
                  </w:p>
                </w:tc>
              </w:sdtContent>
            </w:sdt>
          </w:tr>
          <w:tr w:rsidR="00D21C1F" w14:paraId="66871678" w14:textId="77777777">
            <w:sdt>
              <w:sdtPr>
                <w:tag w:val="_PLD_40c51c13ddad420ab635010b5df15a40"/>
                <w:id w:val="-1630851166"/>
                <w:lock w:val="sdtLocked"/>
              </w:sdtPr>
              <w:sdtEndPr/>
              <w:sdtContent>
                <w:tc>
                  <w:tcPr>
                    <w:tcW w:w="5070" w:type="dxa"/>
                  </w:tcPr>
                  <w:p w14:paraId="071BE145" w14:textId="77777777" w:rsidR="00D21C1F" w:rsidRDefault="00A42880">
                    <w:pPr>
                      <w:pStyle w:val="97"/>
                    </w:pPr>
                    <w:r>
                      <w:rPr>
                        <w:rFonts w:hint="eastAsia"/>
                      </w:rPr>
                      <w:t>截止报告期末表决权恢复的优先股股东总数（户）</w:t>
                    </w:r>
                  </w:p>
                </w:tc>
              </w:sdtContent>
            </w:sdt>
            <w:tc>
              <w:tcPr>
                <w:tcW w:w="3978" w:type="dxa"/>
              </w:tcPr>
              <w:p w14:paraId="539DC478" w14:textId="77777777" w:rsidR="00D21C1F" w:rsidRDefault="00A42880">
                <w:pPr>
                  <w:jc w:val="right"/>
                </w:pPr>
                <w:r>
                  <w:rPr>
                    <w:rFonts w:hint="eastAsia"/>
                  </w:rPr>
                  <w:t>不适用</w:t>
                </w:r>
              </w:p>
            </w:tc>
          </w:tr>
          <w:tr w:rsidR="00D21C1F" w14:paraId="0E8AA60E" w14:textId="77777777">
            <w:tc>
              <w:tcPr>
                <w:tcW w:w="5070" w:type="dxa"/>
              </w:tcPr>
              <w:sdt>
                <w:sdtPr>
                  <w:rPr>
                    <w:rFonts w:ascii="Times New Roman" w:hAnsi="Times New Roman" w:hint="eastAsia"/>
                  </w:rPr>
                  <w:tag w:val="_PLD_e5f7465047a04842b2100db13cb563d9"/>
                  <w:id w:val="-1568175724"/>
                  <w:lock w:val="sdtLocked"/>
                </w:sdtPr>
                <w:sdtEndPr/>
                <w:sdtContent>
                  <w:p w14:paraId="6775E27E" w14:textId="77777777" w:rsidR="00D21C1F" w:rsidRDefault="00A42880">
                    <w:pPr>
                      <w:pStyle w:val="97"/>
                    </w:pPr>
                    <w:r>
                      <w:rPr>
                        <w:rFonts w:hint="eastAsia"/>
                      </w:rPr>
                      <w:t>截止报告期末持有特别表决权股份的股东总数（户）</w:t>
                    </w:r>
                  </w:p>
                </w:sdtContent>
              </w:sdt>
            </w:tc>
            <w:tc>
              <w:tcPr>
                <w:tcW w:w="3978" w:type="dxa"/>
              </w:tcPr>
              <w:p w14:paraId="307EE101" w14:textId="77777777" w:rsidR="00D21C1F" w:rsidRDefault="00A42880">
                <w:pPr>
                  <w:jc w:val="right"/>
                </w:pPr>
                <w:r>
                  <w:rPr>
                    <w:rFonts w:hint="eastAsia"/>
                  </w:rPr>
                  <w:t>不适用</w:t>
                </w:r>
              </w:p>
            </w:tc>
          </w:tr>
        </w:tbl>
        <w:p w14:paraId="78110D85" w14:textId="77777777" w:rsidR="00D21C1F" w:rsidRDefault="00045EC6">
          <w:pPr>
            <w:pStyle w:val="97"/>
          </w:pPr>
        </w:p>
      </w:sdtContent>
    </w:sdt>
    <w:bookmarkStart w:id="111" w:name="_Hlk42869285" w:displacedByCustomXml="next"/>
    <w:sdt>
      <w:sdtPr>
        <w:rPr>
          <w:rFonts w:eastAsiaTheme="minorEastAsia"/>
        </w:rPr>
        <w:alias w:val="模块:存托凭证持有人数量"/>
        <w:tag w:val="_SEC_2372e6da5cf344769c6419b142eb9eba"/>
        <w:id w:val="-2070639132"/>
        <w:lock w:val="sdtLocked"/>
        <w:placeholder>
          <w:docPart w:val="GBC22222222222222222222222222222"/>
        </w:placeholder>
      </w:sdtPr>
      <w:sdtEndPr/>
      <w:sdtContent>
        <w:p w14:paraId="4140AE7D" w14:textId="77777777" w:rsidR="00D21C1F" w:rsidRDefault="00A42880">
          <w:pPr>
            <w:rPr>
              <w:b/>
            </w:rPr>
          </w:pPr>
          <w:r>
            <w:rPr>
              <w:b/>
            </w:rPr>
            <w:t>存托凭证持有人数量</w:t>
          </w:r>
        </w:p>
        <w:sdt>
          <w:sdtPr>
            <w:alias w:val="是否适用：存托凭证持有人数量[双击切换]"/>
            <w:tag w:val="_GBC_df7f294f93dc4a95b06e79fc01ec42ae"/>
            <w:id w:val="1544487160"/>
            <w:lock w:val="sdtLocked"/>
            <w:placeholder>
              <w:docPart w:val="GBC22222222222222222222222222222"/>
            </w:placeholder>
          </w:sdtPr>
          <w:sdtEndPr/>
          <w:sdtContent>
            <w:p w14:paraId="6972BEF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7214BD21" w14:textId="77777777" w:rsidR="00D21C1F" w:rsidRDefault="00045EC6">
              <w:pPr>
                <w:pStyle w:val="97"/>
              </w:pPr>
            </w:p>
          </w:sdtContent>
        </w:sdt>
      </w:sdtContent>
    </w:sdt>
    <w:p w14:paraId="20A88C0F" w14:textId="77777777" w:rsidR="00D21C1F" w:rsidRDefault="00A42880">
      <w:pPr>
        <w:pStyle w:val="3"/>
        <w:numPr>
          <w:ilvl w:val="1"/>
          <w:numId w:val="38"/>
        </w:numPr>
        <w:rPr>
          <w:rFonts w:ascii="宋体" w:hAnsi="宋体"/>
          <w:szCs w:val="21"/>
        </w:rPr>
      </w:pPr>
      <w:bookmarkStart w:id="112" w:name="_Hlk42870891"/>
      <w:bookmarkEnd w:id="111"/>
      <w:r>
        <w:rPr>
          <w:rFonts w:ascii="宋体" w:hAnsi="宋体" w:hint="eastAsia"/>
          <w:szCs w:val="21"/>
        </w:rPr>
        <w:t>截止报告期末前十名股东、前十名无限售条件股东持股情况表</w:t>
      </w:r>
    </w:p>
    <w:sdt>
      <w:sdtPr>
        <w:rPr>
          <w:rFonts w:eastAsiaTheme="minorEastAsia" w:hint="eastAsia"/>
        </w:rPr>
        <w:alias w:val="模块:"/>
        <w:tag w:val="_SEC_6c6be928322a4a02826c66a46fc39818"/>
        <w:id w:val="-843090726"/>
        <w:lock w:val="sdtLocked"/>
        <w:placeholder>
          <w:docPart w:val="GBC22222222222222222222222222222"/>
        </w:placeholder>
      </w:sdtPr>
      <w:sdtEndPr/>
      <w:sdtContent>
        <w:p w14:paraId="7D11D2AB" w14:textId="77777777" w:rsidR="00D21C1F" w:rsidRDefault="00A42880">
          <w:pPr>
            <w:rPr>
              <w:b/>
            </w:rPr>
          </w:pPr>
          <w:r>
            <w:rPr>
              <w:rFonts w:hint="eastAsia"/>
              <w:b/>
            </w:rPr>
            <w:t>前十名</w:t>
          </w:r>
          <w:r>
            <w:rPr>
              <w:b/>
            </w:rPr>
            <w:t>股东</w:t>
          </w:r>
          <w:r>
            <w:rPr>
              <w:rFonts w:hint="eastAsia"/>
              <w:b/>
            </w:rPr>
            <w:t>同时通过普通</w:t>
          </w:r>
          <w:r>
            <w:rPr>
              <w:b/>
            </w:rPr>
            <w:t>证券账户和证券公司客户信用交易担保证券账户持</w:t>
          </w:r>
          <w:r>
            <w:rPr>
              <w:rFonts w:hint="eastAsia"/>
              <w:b/>
            </w:rPr>
            <w:t>股的</w:t>
          </w:r>
          <w:r>
            <w:rPr>
              <w:b/>
            </w:rPr>
            <w:t>情形</w:t>
          </w:r>
        </w:p>
        <w:sdt>
          <w:sdtPr>
            <w:alias w:val="是否适用：前十名股东同时通过普通证券账户和证券公司客户信用交易担保证券账户持股的情形[双击切换]"/>
            <w:tag w:val="_GBC_41f87271fb1b4b8b9a5fa20cc2b8a640"/>
            <w:id w:val="-988631611"/>
            <w:lock w:val="sdtLocked"/>
            <w:placeholder>
              <w:docPart w:val="GBC22222222222222222222222222222"/>
            </w:placeholder>
          </w:sdtPr>
          <w:sdtEndPr/>
          <w:sdtContent>
            <w:p w14:paraId="2FCBE54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13" w:name="_Hlk76116300" w:displacedByCustomXml="next"/>
    <w:sdt>
      <w:sdtPr>
        <w:rPr>
          <w:rFonts w:hint="eastAsia"/>
        </w:rPr>
        <w:alias w:val="模块:前十名股东持股情况表"/>
        <w:tag w:val="_SEC_769166f460cf41719d4a683cd259025b"/>
        <w:id w:val="-1401130835"/>
        <w:lock w:val="sdtLocked"/>
        <w:placeholder>
          <w:docPart w:val="GBC22222222222222222222222222222"/>
        </w:placeholder>
      </w:sdtPr>
      <w:sdtEndPr>
        <w:rPr>
          <w:rFonts w:hint="default"/>
        </w:rPr>
      </w:sdtEndPr>
      <w:sdtContent>
        <w:p w14:paraId="3C28AC7D" w14:textId="77777777" w:rsidR="00D21C1F" w:rsidRDefault="00A42880">
          <w:pPr>
            <w:jc w:val="right"/>
          </w:pPr>
          <w:r>
            <w:rPr>
              <w:bCs/>
              <w:szCs w:val="21"/>
            </w:rPr>
            <w:t>单位:</w:t>
          </w:r>
          <w:sdt>
            <w:sdtPr>
              <w:rPr>
                <w:bCs/>
                <w:szCs w:val="21"/>
              </w:rPr>
              <w:alias w:val="单位：前十名股东持股情况"/>
              <w:tag w:val="_GBC_73996b9ab8f54ba3b3e788593dc65aac"/>
              <w:id w:val="89731522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149"/>
            <w:gridCol w:w="1161"/>
            <w:gridCol w:w="579"/>
            <w:gridCol w:w="112"/>
            <w:gridCol w:w="1161"/>
            <w:gridCol w:w="212"/>
            <w:gridCol w:w="951"/>
            <w:gridCol w:w="568"/>
            <w:gridCol w:w="494"/>
            <w:gridCol w:w="653"/>
          </w:tblGrid>
          <w:tr w:rsidR="00D21C1F" w14:paraId="3DA9A9A3" w14:textId="77777777">
            <w:trPr>
              <w:cantSplit/>
            </w:trPr>
            <w:bookmarkStart w:id="114" w:name="_Hlk79596232" w:displacedByCustomXml="next"/>
            <w:sdt>
              <w:sdtPr>
                <w:rPr>
                  <w:rFonts w:ascii="宋体" w:hAnsi="宋体"/>
                </w:rPr>
                <w:tag w:val="_PLD_25704ae1a4b04ea0932006f1e2b7c151"/>
                <w:id w:val="-1303685470"/>
                <w:lock w:val="sdtLocked"/>
              </w:sdtPr>
              <w:sdtEndPr/>
              <w:sdtContent>
                <w:tc>
                  <w:tcPr>
                    <w:tcW w:w="5000" w:type="pct"/>
                    <w:gridSpan w:val="11"/>
                    <w:shd w:val="clear" w:color="auto" w:fill="auto"/>
                    <w:vAlign w:val="center"/>
                  </w:tcPr>
                  <w:p w14:paraId="7F6E185D" w14:textId="77777777" w:rsidR="00D21C1F" w:rsidRDefault="00A42880">
                    <w:pPr>
                      <w:pStyle w:val="ab"/>
                      <w:jc w:val="center"/>
                      <w:rPr>
                        <w:rFonts w:ascii="宋体" w:hAnsi="宋体"/>
                      </w:rPr>
                    </w:pPr>
                    <w:r>
                      <w:rPr>
                        <w:rFonts w:ascii="宋体" w:hAnsi="宋体"/>
                      </w:rPr>
                      <w:t>前十名股东持股情况</w:t>
                    </w:r>
                  </w:p>
                </w:tc>
              </w:sdtContent>
            </w:sdt>
          </w:tr>
          <w:tr w:rsidR="00D21C1F" w14:paraId="241FE7E8" w14:textId="77777777" w:rsidTr="00DA0A37">
            <w:trPr>
              <w:cantSplit/>
              <w:trHeight w:val="843"/>
            </w:trPr>
            <w:sdt>
              <w:sdtPr>
                <w:tag w:val="_PLD_febf8ad3cd004ab4abe85ab2eafb4074"/>
                <w:id w:val="-811632318"/>
                <w:lock w:val="sdtLocked"/>
              </w:sdtPr>
              <w:sdtEndPr/>
              <w:sdtContent>
                <w:tc>
                  <w:tcPr>
                    <w:tcW w:w="1011" w:type="pct"/>
                    <w:vMerge w:val="restart"/>
                    <w:shd w:val="clear" w:color="auto" w:fill="auto"/>
                    <w:vAlign w:val="center"/>
                  </w:tcPr>
                  <w:p w14:paraId="30DDA3D0" w14:textId="77777777" w:rsidR="00D21C1F" w:rsidRDefault="00A42880">
                    <w:pPr>
                      <w:jc w:val="center"/>
                      <w:rPr>
                        <w:szCs w:val="21"/>
                      </w:rPr>
                    </w:pPr>
                    <w:r>
                      <w:rPr>
                        <w:szCs w:val="21"/>
                      </w:rPr>
                      <w:t>股东名称</w:t>
                    </w:r>
                  </w:p>
                  <w:p w14:paraId="41E234FC" w14:textId="77777777" w:rsidR="00D21C1F" w:rsidRDefault="00A42880">
                    <w:pPr>
                      <w:jc w:val="center"/>
                      <w:rPr>
                        <w:szCs w:val="21"/>
                      </w:rPr>
                    </w:pPr>
                    <w:r>
                      <w:rPr>
                        <w:rFonts w:hint="eastAsia"/>
                        <w:szCs w:val="21"/>
                      </w:rPr>
                      <w:t>（全称）</w:t>
                    </w:r>
                  </w:p>
                </w:tc>
              </w:sdtContent>
            </w:sdt>
            <w:sdt>
              <w:sdtPr>
                <w:tag w:val="_PLD_151ed6770493426faeeb883c71d4ccc9"/>
                <w:id w:val="585954879"/>
                <w:lock w:val="sdtLocked"/>
              </w:sdtPr>
              <w:sdtEndPr/>
              <w:sdtContent>
                <w:tc>
                  <w:tcPr>
                    <w:tcW w:w="651" w:type="pct"/>
                    <w:vMerge w:val="restart"/>
                    <w:shd w:val="clear" w:color="auto" w:fill="auto"/>
                    <w:vAlign w:val="center"/>
                  </w:tcPr>
                  <w:p w14:paraId="1E1779E5" w14:textId="77777777" w:rsidR="00D21C1F" w:rsidRDefault="00A42880">
                    <w:pPr>
                      <w:jc w:val="center"/>
                      <w:rPr>
                        <w:szCs w:val="21"/>
                      </w:rPr>
                    </w:pPr>
                    <w:r>
                      <w:rPr>
                        <w:szCs w:val="21"/>
                      </w:rPr>
                      <w:t>报告期内增减</w:t>
                    </w:r>
                  </w:p>
                </w:tc>
              </w:sdtContent>
            </w:sdt>
            <w:sdt>
              <w:sdtPr>
                <w:tag w:val="_PLD_a175ed5cc9f74becb38c654559617907"/>
                <w:id w:val="1075474088"/>
                <w:lock w:val="sdtLocked"/>
              </w:sdtPr>
              <w:sdtEndPr/>
              <w:sdtContent>
                <w:tc>
                  <w:tcPr>
                    <w:tcW w:w="658" w:type="pct"/>
                    <w:vMerge w:val="restart"/>
                    <w:shd w:val="clear" w:color="auto" w:fill="auto"/>
                    <w:vAlign w:val="center"/>
                  </w:tcPr>
                  <w:p w14:paraId="05AC1193" w14:textId="77777777" w:rsidR="00D21C1F" w:rsidRDefault="00A42880">
                    <w:pPr>
                      <w:jc w:val="center"/>
                      <w:rPr>
                        <w:szCs w:val="21"/>
                      </w:rPr>
                    </w:pPr>
                    <w:r>
                      <w:rPr>
                        <w:szCs w:val="21"/>
                      </w:rPr>
                      <w:t>期末持股数量</w:t>
                    </w:r>
                  </w:p>
                </w:tc>
              </w:sdtContent>
            </w:sdt>
            <w:sdt>
              <w:sdtPr>
                <w:tag w:val="_PLD_f757752905c344d88c327bcf23558c6c"/>
                <w:id w:val="-2072343162"/>
                <w:lock w:val="sdtLocked"/>
              </w:sdtPr>
              <w:sdtEndPr/>
              <w:sdtContent>
                <w:tc>
                  <w:tcPr>
                    <w:tcW w:w="391" w:type="pct"/>
                    <w:gridSpan w:val="2"/>
                    <w:vMerge w:val="restart"/>
                    <w:shd w:val="clear" w:color="auto" w:fill="auto"/>
                    <w:vAlign w:val="center"/>
                  </w:tcPr>
                  <w:p w14:paraId="352ADD8A" w14:textId="77777777" w:rsidR="00D21C1F" w:rsidRDefault="00A42880">
                    <w:pPr>
                      <w:jc w:val="center"/>
                      <w:rPr>
                        <w:szCs w:val="21"/>
                      </w:rPr>
                    </w:pPr>
                    <w:r>
                      <w:rPr>
                        <w:szCs w:val="21"/>
                      </w:rPr>
                      <w:t>比例</w:t>
                    </w:r>
                    <w:r>
                      <w:rPr>
                        <w:rFonts w:ascii="Times New Roman" w:hAnsi="Times New Roman" w:cs="Times New Roman"/>
                        <w:szCs w:val="21"/>
                      </w:rPr>
                      <w:t>(%)</w:t>
                    </w:r>
                  </w:p>
                </w:tc>
              </w:sdtContent>
            </w:sdt>
            <w:sdt>
              <w:sdtPr>
                <w:rPr>
                  <w:rFonts w:ascii="宋体" w:hAnsi="宋体"/>
                </w:rPr>
                <w:tag w:val="_PLD_979a0b0e13374fcbb24c009c2f18c9ef"/>
                <w:id w:val="-1689913464"/>
                <w:lock w:val="sdtLocked"/>
              </w:sdtPr>
              <w:sdtEndPr/>
              <w:sdtContent>
                <w:tc>
                  <w:tcPr>
                    <w:tcW w:w="658" w:type="pct"/>
                    <w:vMerge w:val="restart"/>
                    <w:shd w:val="clear" w:color="auto" w:fill="auto"/>
                    <w:vAlign w:val="center"/>
                  </w:tcPr>
                  <w:p w14:paraId="4881C642" w14:textId="77777777" w:rsidR="00D21C1F" w:rsidRDefault="00A42880">
                    <w:pPr>
                      <w:pStyle w:val="a3"/>
                      <w:rPr>
                        <w:rFonts w:ascii="宋体" w:hAnsi="宋体"/>
                        <w:bCs/>
                      </w:rPr>
                    </w:pPr>
                    <w:r>
                      <w:rPr>
                        <w:rFonts w:ascii="宋体" w:hAnsi="宋体"/>
                        <w:bCs/>
                      </w:rPr>
                      <w:t>持有有限售条件股份数量</w:t>
                    </w:r>
                  </w:p>
                </w:tc>
              </w:sdtContent>
            </w:sdt>
            <w:tc>
              <w:tcPr>
                <w:tcW w:w="659" w:type="pct"/>
                <w:gridSpan w:val="2"/>
                <w:vMerge w:val="restart"/>
                <w:vAlign w:val="center"/>
              </w:tcPr>
              <w:sdt>
                <w:sdtPr>
                  <w:rPr>
                    <w:rFonts w:ascii="宋体" w:hAnsi="宋体" w:hint="eastAsia"/>
                  </w:rPr>
                  <w:tag w:val="_PLD_09d909fca153451f8b46de46609562cf"/>
                  <w:id w:val="-2051755182"/>
                  <w:lock w:val="sdtLocked"/>
                </w:sdtPr>
                <w:sdtEndPr>
                  <w:rPr>
                    <w:rFonts w:hint="default"/>
                  </w:rPr>
                </w:sdtEndPr>
                <w:sdtContent>
                  <w:p w14:paraId="359FA4A0" w14:textId="77777777" w:rsidR="00D21C1F" w:rsidRDefault="00A42880">
                    <w:pPr>
                      <w:pStyle w:val="a3"/>
                      <w:rPr>
                        <w:rFonts w:ascii="宋体" w:hAnsi="宋体"/>
                      </w:rPr>
                    </w:pPr>
                    <w:r>
                      <w:rPr>
                        <w:rFonts w:ascii="宋体" w:hAnsi="宋体" w:hint="eastAsia"/>
                      </w:rPr>
                      <w:t>包含</w:t>
                    </w:r>
                    <w:r>
                      <w:rPr>
                        <w:rFonts w:ascii="宋体" w:hAnsi="宋体"/>
                      </w:rPr>
                      <w:t>转融通借出股</w:t>
                    </w:r>
                    <w:r>
                      <w:rPr>
                        <w:rFonts w:ascii="宋体" w:hAnsi="宋体" w:hint="eastAsia"/>
                      </w:rPr>
                      <w:t>份</w:t>
                    </w:r>
                    <w:r>
                      <w:rPr>
                        <w:rFonts w:ascii="宋体" w:hAnsi="宋体"/>
                      </w:rPr>
                      <w:t>的限售股份数量</w:t>
                    </w:r>
                  </w:p>
                </w:sdtContent>
              </w:sdt>
            </w:tc>
            <w:sdt>
              <w:sdtPr>
                <w:tag w:val="_PLD_55c21d6bece2473b9e91a13f1fc3209c"/>
                <w:id w:val="-1198231748"/>
                <w:lock w:val="sdtLocked"/>
              </w:sdtPr>
              <w:sdtEndPr/>
              <w:sdtContent>
                <w:tc>
                  <w:tcPr>
                    <w:tcW w:w="602" w:type="pct"/>
                    <w:gridSpan w:val="2"/>
                    <w:shd w:val="clear" w:color="auto" w:fill="auto"/>
                    <w:vAlign w:val="center"/>
                  </w:tcPr>
                  <w:p w14:paraId="487B4F03" w14:textId="77777777" w:rsidR="00D21C1F" w:rsidRDefault="00A42880">
                    <w:pPr>
                      <w:jc w:val="center"/>
                      <w:rPr>
                        <w:szCs w:val="21"/>
                      </w:rPr>
                    </w:pPr>
                    <w:r>
                      <w:rPr>
                        <w:szCs w:val="21"/>
                      </w:rPr>
                      <w:t>质押</w:t>
                    </w:r>
                    <w:r>
                      <w:rPr>
                        <w:rFonts w:hint="eastAsia"/>
                        <w:szCs w:val="21"/>
                      </w:rPr>
                      <w:t>、标记</w:t>
                    </w:r>
                    <w:r>
                      <w:rPr>
                        <w:szCs w:val="21"/>
                      </w:rPr>
                      <w:t>或冻结情况</w:t>
                    </w:r>
                  </w:p>
                </w:tc>
              </w:sdtContent>
            </w:sdt>
            <w:sdt>
              <w:sdtPr>
                <w:tag w:val="_PLD_6e6bb880c9fe4934939cff29906e34fe"/>
                <w:id w:val="-1707248825"/>
                <w:lock w:val="sdtLocked"/>
              </w:sdtPr>
              <w:sdtEndPr/>
              <w:sdtContent>
                <w:tc>
                  <w:tcPr>
                    <w:tcW w:w="371" w:type="pct"/>
                    <w:vMerge w:val="restart"/>
                    <w:shd w:val="clear" w:color="auto" w:fill="auto"/>
                    <w:vAlign w:val="center"/>
                  </w:tcPr>
                  <w:p w14:paraId="3D930B78" w14:textId="77777777" w:rsidR="00D21C1F" w:rsidRDefault="00A42880">
                    <w:pPr>
                      <w:jc w:val="center"/>
                      <w:rPr>
                        <w:szCs w:val="21"/>
                      </w:rPr>
                    </w:pPr>
                    <w:r>
                      <w:rPr>
                        <w:szCs w:val="21"/>
                      </w:rPr>
                      <w:t>股东</w:t>
                    </w:r>
                  </w:p>
                  <w:p w14:paraId="4D2BCB37" w14:textId="77777777" w:rsidR="00D21C1F" w:rsidRDefault="00A42880">
                    <w:pPr>
                      <w:jc w:val="center"/>
                      <w:rPr>
                        <w:szCs w:val="21"/>
                      </w:rPr>
                    </w:pPr>
                    <w:r>
                      <w:rPr>
                        <w:szCs w:val="21"/>
                      </w:rPr>
                      <w:t>性质</w:t>
                    </w:r>
                  </w:p>
                </w:tc>
              </w:sdtContent>
            </w:sdt>
          </w:tr>
          <w:tr w:rsidR="00D21C1F" w14:paraId="7C915692" w14:textId="77777777" w:rsidTr="00DA0A37">
            <w:trPr>
              <w:cantSplit/>
              <w:trHeight w:val="1415"/>
            </w:trPr>
            <w:tc>
              <w:tcPr>
                <w:tcW w:w="1011" w:type="pct"/>
                <w:vMerge/>
                <w:tcBorders>
                  <w:bottom w:val="single" w:sz="4" w:space="0" w:color="auto"/>
                </w:tcBorders>
                <w:shd w:val="clear" w:color="auto" w:fill="auto"/>
              </w:tcPr>
              <w:p w14:paraId="77106A79" w14:textId="77777777" w:rsidR="00D21C1F" w:rsidRDefault="00D21C1F">
                <w:pPr>
                  <w:jc w:val="center"/>
                  <w:rPr>
                    <w:szCs w:val="21"/>
                  </w:rPr>
                </w:pPr>
              </w:p>
            </w:tc>
            <w:tc>
              <w:tcPr>
                <w:tcW w:w="651" w:type="pct"/>
                <w:vMerge/>
                <w:tcBorders>
                  <w:bottom w:val="single" w:sz="4" w:space="0" w:color="auto"/>
                </w:tcBorders>
                <w:shd w:val="clear" w:color="auto" w:fill="auto"/>
              </w:tcPr>
              <w:p w14:paraId="4BD190D4" w14:textId="77777777" w:rsidR="00D21C1F" w:rsidRDefault="00D21C1F">
                <w:pPr>
                  <w:jc w:val="center"/>
                  <w:rPr>
                    <w:szCs w:val="21"/>
                  </w:rPr>
                </w:pPr>
              </w:p>
            </w:tc>
            <w:tc>
              <w:tcPr>
                <w:tcW w:w="658" w:type="pct"/>
                <w:vMerge/>
                <w:tcBorders>
                  <w:bottom w:val="single" w:sz="4" w:space="0" w:color="auto"/>
                </w:tcBorders>
                <w:shd w:val="clear" w:color="auto" w:fill="auto"/>
              </w:tcPr>
              <w:p w14:paraId="41ADEC02" w14:textId="77777777" w:rsidR="00D21C1F" w:rsidRDefault="00D21C1F">
                <w:pPr>
                  <w:jc w:val="center"/>
                  <w:rPr>
                    <w:szCs w:val="21"/>
                  </w:rPr>
                </w:pPr>
              </w:p>
            </w:tc>
            <w:tc>
              <w:tcPr>
                <w:tcW w:w="391" w:type="pct"/>
                <w:gridSpan w:val="2"/>
                <w:vMerge/>
                <w:tcBorders>
                  <w:bottom w:val="single" w:sz="4" w:space="0" w:color="auto"/>
                </w:tcBorders>
                <w:shd w:val="clear" w:color="auto" w:fill="auto"/>
              </w:tcPr>
              <w:p w14:paraId="4843DE25" w14:textId="77777777" w:rsidR="00D21C1F" w:rsidRDefault="00D21C1F">
                <w:pPr>
                  <w:jc w:val="center"/>
                  <w:rPr>
                    <w:szCs w:val="21"/>
                  </w:rPr>
                </w:pPr>
              </w:p>
            </w:tc>
            <w:tc>
              <w:tcPr>
                <w:tcW w:w="658" w:type="pct"/>
                <w:vMerge/>
                <w:tcBorders>
                  <w:bottom w:val="single" w:sz="4" w:space="0" w:color="auto"/>
                </w:tcBorders>
                <w:shd w:val="clear" w:color="auto" w:fill="auto"/>
              </w:tcPr>
              <w:p w14:paraId="6EAE0DFA" w14:textId="77777777" w:rsidR="00D21C1F" w:rsidRDefault="00D21C1F">
                <w:pPr>
                  <w:jc w:val="center"/>
                  <w:rPr>
                    <w:szCs w:val="21"/>
                  </w:rPr>
                </w:pPr>
              </w:p>
            </w:tc>
            <w:tc>
              <w:tcPr>
                <w:tcW w:w="659" w:type="pct"/>
                <w:gridSpan w:val="2"/>
                <w:vMerge/>
                <w:tcBorders>
                  <w:bottom w:val="single" w:sz="4" w:space="0" w:color="auto"/>
                </w:tcBorders>
              </w:tcPr>
              <w:p w14:paraId="265B162D" w14:textId="77777777" w:rsidR="00D21C1F" w:rsidRDefault="00D21C1F">
                <w:pPr>
                  <w:jc w:val="center"/>
                </w:pPr>
              </w:p>
            </w:tc>
            <w:sdt>
              <w:sdtPr>
                <w:tag w:val="_PLD_880b15fda366425797944e063400ebda"/>
                <w:id w:val="-1069495881"/>
                <w:lock w:val="sdtLocked"/>
              </w:sdtPr>
              <w:sdtEndPr/>
              <w:sdtContent>
                <w:tc>
                  <w:tcPr>
                    <w:tcW w:w="322" w:type="pct"/>
                    <w:tcBorders>
                      <w:bottom w:val="single" w:sz="4" w:space="0" w:color="auto"/>
                    </w:tcBorders>
                    <w:shd w:val="clear" w:color="auto" w:fill="auto"/>
                    <w:vAlign w:val="center"/>
                  </w:tcPr>
                  <w:p w14:paraId="0F6E749F" w14:textId="77777777" w:rsidR="00D21C1F" w:rsidRDefault="00A42880">
                    <w:pPr>
                      <w:jc w:val="center"/>
                      <w:rPr>
                        <w:szCs w:val="21"/>
                      </w:rPr>
                    </w:pPr>
                    <w:r>
                      <w:rPr>
                        <w:szCs w:val="21"/>
                      </w:rPr>
                      <w:t>股份</w:t>
                    </w:r>
                  </w:p>
                  <w:p w14:paraId="1B7CBB0D" w14:textId="77777777" w:rsidR="00D21C1F" w:rsidRDefault="00A42880">
                    <w:pPr>
                      <w:jc w:val="center"/>
                      <w:rPr>
                        <w:szCs w:val="21"/>
                      </w:rPr>
                    </w:pPr>
                    <w:r>
                      <w:rPr>
                        <w:szCs w:val="21"/>
                      </w:rPr>
                      <w:t>状态</w:t>
                    </w:r>
                  </w:p>
                </w:tc>
              </w:sdtContent>
            </w:sdt>
            <w:sdt>
              <w:sdtPr>
                <w:tag w:val="_PLD_beacd55a4fd14a0f8b5ed2fcc2cedf72"/>
                <w:id w:val="-714047319"/>
                <w:lock w:val="sdtLocked"/>
              </w:sdtPr>
              <w:sdtEndPr/>
              <w:sdtContent>
                <w:tc>
                  <w:tcPr>
                    <w:tcW w:w="280" w:type="pct"/>
                    <w:tcBorders>
                      <w:bottom w:val="single" w:sz="4" w:space="0" w:color="auto"/>
                    </w:tcBorders>
                    <w:shd w:val="clear" w:color="auto" w:fill="auto"/>
                    <w:vAlign w:val="center"/>
                  </w:tcPr>
                  <w:p w14:paraId="1B20998C" w14:textId="77777777" w:rsidR="00D21C1F" w:rsidRDefault="00A42880">
                    <w:pPr>
                      <w:jc w:val="center"/>
                      <w:rPr>
                        <w:szCs w:val="21"/>
                      </w:rPr>
                    </w:pPr>
                    <w:r>
                      <w:rPr>
                        <w:szCs w:val="21"/>
                      </w:rPr>
                      <w:t>数量</w:t>
                    </w:r>
                  </w:p>
                </w:tc>
              </w:sdtContent>
            </w:sdt>
            <w:tc>
              <w:tcPr>
                <w:tcW w:w="371" w:type="pct"/>
                <w:vMerge/>
                <w:shd w:val="clear" w:color="auto" w:fill="auto"/>
              </w:tcPr>
              <w:p w14:paraId="4CAF4FB3" w14:textId="77777777" w:rsidR="00D21C1F" w:rsidRDefault="00D21C1F">
                <w:pPr>
                  <w:jc w:val="center"/>
                  <w:rPr>
                    <w:szCs w:val="21"/>
                  </w:rPr>
                </w:pPr>
              </w:p>
            </w:tc>
          </w:tr>
          <w:sdt>
            <w:sdtPr>
              <w:rPr>
                <w:szCs w:val="21"/>
              </w:rPr>
              <w:alias w:val="前十名股东持股情况"/>
              <w:tag w:val="_TUP_b6625b98fb034d219361dd9a07e89023"/>
              <w:id w:val="-678806069"/>
              <w:lock w:val="sdtLocked"/>
              <w:placeholder>
                <w:docPart w:val="83DF988284E74DCC99735F5BC3D02B96"/>
              </w:placeholder>
            </w:sdtPr>
            <w:sdtEndPr/>
            <w:sdtContent>
              <w:tr w:rsidR="00D21C1F" w14:paraId="0EFDB2A7" w14:textId="77777777" w:rsidTr="00DA0A37">
                <w:trPr>
                  <w:cantSplit/>
                </w:trPr>
                <w:tc>
                  <w:tcPr>
                    <w:tcW w:w="1011" w:type="pct"/>
                    <w:shd w:val="clear" w:color="auto" w:fill="auto"/>
                    <w:vAlign w:val="center"/>
                  </w:tcPr>
                  <w:p w14:paraId="6EB3295B" w14:textId="77777777" w:rsidR="00D21C1F" w:rsidRDefault="00A42880">
                    <w:pPr>
                      <w:rPr>
                        <w:szCs w:val="21"/>
                      </w:rPr>
                    </w:pPr>
                    <w:r>
                      <w:rPr>
                        <w:rFonts w:hint="eastAsia"/>
                        <w:szCs w:val="21"/>
                      </w:rPr>
                      <w:t>芜湖远宏工业机器人投资有限公司</w:t>
                    </w:r>
                  </w:p>
                </w:tc>
                <w:tc>
                  <w:tcPr>
                    <w:tcW w:w="651" w:type="pct"/>
                    <w:shd w:val="clear" w:color="auto" w:fill="auto"/>
                    <w:vAlign w:val="center"/>
                  </w:tcPr>
                  <w:p w14:paraId="6A466DE2"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2AF2719C" w14:textId="77777777" w:rsidR="00D21C1F" w:rsidRDefault="00A42880">
                    <w:pPr>
                      <w:jc w:val="right"/>
                      <w:rPr>
                        <w:rFonts w:ascii="Times New Roman" w:hAnsi="Times New Roman" w:cs="Times New Roman"/>
                        <w:szCs w:val="21"/>
                      </w:rPr>
                    </w:pPr>
                    <w:r>
                      <w:rPr>
                        <w:rFonts w:ascii="Times New Roman" w:hAnsi="Times New Roman" w:cs="Times New Roman"/>
                        <w:szCs w:val="21"/>
                      </w:rPr>
                      <w:t>84,000,000</w:t>
                    </w:r>
                  </w:p>
                </w:tc>
                <w:tc>
                  <w:tcPr>
                    <w:tcW w:w="391" w:type="pct"/>
                    <w:gridSpan w:val="2"/>
                    <w:shd w:val="clear" w:color="auto" w:fill="auto"/>
                    <w:vAlign w:val="center"/>
                  </w:tcPr>
                  <w:p w14:paraId="31FD46D6" w14:textId="77777777" w:rsidR="00D21C1F" w:rsidRDefault="00A42880">
                    <w:pPr>
                      <w:jc w:val="right"/>
                      <w:rPr>
                        <w:rFonts w:ascii="Times New Roman" w:hAnsi="Times New Roman" w:cs="Times New Roman"/>
                        <w:szCs w:val="21"/>
                      </w:rPr>
                    </w:pPr>
                    <w:r>
                      <w:rPr>
                        <w:rFonts w:ascii="Times New Roman" w:hAnsi="Times New Roman" w:cs="Times New Roman"/>
                        <w:szCs w:val="21"/>
                      </w:rPr>
                      <w:t>16.10</w:t>
                    </w:r>
                  </w:p>
                </w:tc>
                <w:tc>
                  <w:tcPr>
                    <w:tcW w:w="658" w:type="pct"/>
                    <w:shd w:val="clear" w:color="auto" w:fill="auto"/>
                    <w:vAlign w:val="center"/>
                  </w:tcPr>
                  <w:p w14:paraId="5C935F6D" w14:textId="77777777" w:rsidR="00D21C1F" w:rsidRDefault="00A42880">
                    <w:pPr>
                      <w:jc w:val="right"/>
                      <w:rPr>
                        <w:rFonts w:ascii="Times New Roman" w:hAnsi="Times New Roman" w:cs="Times New Roman"/>
                        <w:szCs w:val="21"/>
                      </w:rPr>
                    </w:pPr>
                    <w:r>
                      <w:rPr>
                        <w:rFonts w:ascii="Times New Roman" w:hAnsi="Times New Roman" w:cs="Times New Roman"/>
                      </w:rPr>
                      <w:t>84,000,000</w:t>
                    </w:r>
                  </w:p>
                </w:tc>
                <w:tc>
                  <w:tcPr>
                    <w:tcW w:w="659" w:type="pct"/>
                    <w:gridSpan w:val="2"/>
                    <w:vAlign w:val="center"/>
                  </w:tcPr>
                  <w:p w14:paraId="1CC0B0B7" w14:textId="77777777" w:rsidR="00D21C1F" w:rsidRDefault="00A42880">
                    <w:pPr>
                      <w:jc w:val="right"/>
                      <w:rPr>
                        <w:rFonts w:ascii="Times New Roman" w:hAnsi="Times New Roman" w:cs="Times New Roman"/>
                        <w:szCs w:val="21"/>
                      </w:rPr>
                    </w:pPr>
                    <w:r>
                      <w:rPr>
                        <w:rFonts w:ascii="Times New Roman" w:hAnsi="Times New Roman" w:cs="Times New Roman"/>
                      </w:rPr>
                      <w:t>84,000,000</w:t>
                    </w:r>
                  </w:p>
                </w:tc>
                <w:sdt>
                  <w:sdtPr>
                    <w:rPr>
                      <w:rFonts w:ascii="Times New Roman" w:hAnsi="Times New Roman" w:cs="Times New Roman"/>
                      <w:szCs w:val="21"/>
                    </w:rPr>
                    <w:alias w:val="前十名股东持有股份状态"/>
                    <w:tag w:val="_GBC_601a9cb87dc846af9d4bed69aaea7888"/>
                    <w:id w:val="82717759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27482756"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1619D354"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1897218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77CD031F" w14:textId="77777777" w:rsidR="00D21C1F" w:rsidRDefault="00A42880">
                        <w:pPr>
                          <w:rPr>
                            <w:szCs w:val="21"/>
                          </w:rPr>
                        </w:pPr>
                        <w:r>
                          <w:rPr>
                            <w:szCs w:val="21"/>
                          </w:rPr>
                          <w:t>国有法人</w:t>
                        </w:r>
                      </w:p>
                    </w:tc>
                  </w:sdtContent>
                </w:sdt>
              </w:tr>
            </w:sdtContent>
          </w:sdt>
          <w:sdt>
            <w:sdtPr>
              <w:rPr>
                <w:szCs w:val="21"/>
              </w:rPr>
              <w:alias w:val="前十名股东持股情况"/>
              <w:tag w:val="_TUP_b6625b98fb034d219361dd9a07e89023"/>
              <w:id w:val="-781646424"/>
              <w:lock w:val="sdtLocked"/>
              <w:placeholder>
                <w:docPart w:val="83DF988284E74DCC99735F5BC3D02B96"/>
              </w:placeholder>
            </w:sdtPr>
            <w:sdtEndPr/>
            <w:sdtContent>
              <w:tr w:rsidR="00D21C1F" w14:paraId="22DB5923" w14:textId="77777777" w:rsidTr="00DA0A37">
                <w:trPr>
                  <w:cantSplit/>
                </w:trPr>
                <w:tc>
                  <w:tcPr>
                    <w:tcW w:w="1011" w:type="pct"/>
                    <w:shd w:val="clear" w:color="auto" w:fill="auto"/>
                    <w:vAlign w:val="center"/>
                  </w:tcPr>
                  <w:p w14:paraId="35BB63D8" w14:textId="77777777" w:rsidR="00D21C1F" w:rsidRDefault="00A42880">
                    <w:pPr>
                      <w:rPr>
                        <w:szCs w:val="21"/>
                      </w:rPr>
                    </w:pPr>
                    <w:r>
                      <w:rPr>
                        <w:rFonts w:hint="eastAsia"/>
                        <w:szCs w:val="21"/>
                      </w:rPr>
                      <w:t>芜湖远大创业投资有限公司</w:t>
                    </w:r>
                  </w:p>
                </w:tc>
                <w:tc>
                  <w:tcPr>
                    <w:tcW w:w="651" w:type="pct"/>
                    <w:shd w:val="clear" w:color="auto" w:fill="auto"/>
                    <w:vAlign w:val="center"/>
                  </w:tcPr>
                  <w:p w14:paraId="70F231A1"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1666D75D" w14:textId="77777777" w:rsidR="00D21C1F" w:rsidRDefault="00A42880">
                    <w:pPr>
                      <w:jc w:val="right"/>
                      <w:rPr>
                        <w:rFonts w:ascii="Times New Roman" w:hAnsi="Times New Roman" w:cs="Times New Roman"/>
                        <w:szCs w:val="21"/>
                      </w:rPr>
                    </w:pPr>
                    <w:r>
                      <w:rPr>
                        <w:rFonts w:ascii="Times New Roman" w:hAnsi="Times New Roman" w:cs="Times New Roman"/>
                        <w:szCs w:val="21"/>
                      </w:rPr>
                      <w:t>60,930,000</w:t>
                    </w:r>
                  </w:p>
                </w:tc>
                <w:tc>
                  <w:tcPr>
                    <w:tcW w:w="391" w:type="pct"/>
                    <w:gridSpan w:val="2"/>
                    <w:shd w:val="clear" w:color="auto" w:fill="auto"/>
                    <w:vAlign w:val="center"/>
                  </w:tcPr>
                  <w:p w14:paraId="0260D797"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1.68</w:t>
                    </w:r>
                  </w:p>
                </w:tc>
                <w:tc>
                  <w:tcPr>
                    <w:tcW w:w="658" w:type="pct"/>
                    <w:shd w:val="clear" w:color="auto" w:fill="auto"/>
                    <w:vAlign w:val="center"/>
                  </w:tcPr>
                  <w:p w14:paraId="583B764C" w14:textId="77777777" w:rsidR="00D21C1F" w:rsidRDefault="00A42880">
                    <w:pPr>
                      <w:jc w:val="right"/>
                      <w:rPr>
                        <w:rFonts w:ascii="Times New Roman" w:hAnsi="Times New Roman" w:cs="Times New Roman"/>
                        <w:szCs w:val="21"/>
                      </w:rPr>
                    </w:pPr>
                    <w:r>
                      <w:rPr>
                        <w:rFonts w:ascii="Times New Roman" w:hAnsi="Times New Roman" w:cs="Times New Roman"/>
                      </w:rPr>
                      <w:t>60,930,000</w:t>
                    </w:r>
                  </w:p>
                </w:tc>
                <w:tc>
                  <w:tcPr>
                    <w:tcW w:w="659" w:type="pct"/>
                    <w:gridSpan w:val="2"/>
                    <w:vAlign w:val="center"/>
                  </w:tcPr>
                  <w:p w14:paraId="7C363586" w14:textId="77777777" w:rsidR="00D21C1F" w:rsidRDefault="00A42880">
                    <w:pPr>
                      <w:jc w:val="right"/>
                      <w:rPr>
                        <w:rFonts w:ascii="Times New Roman" w:hAnsi="Times New Roman" w:cs="Times New Roman"/>
                        <w:szCs w:val="21"/>
                      </w:rPr>
                    </w:pPr>
                    <w:r>
                      <w:rPr>
                        <w:rFonts w:ascii="Times New Roman" w:hAnsi="Times New Roman" w:cs="Times New Roman"/>
                      </w:rPr>
                      <w:t>60,930,000</w:t>
                    </w:r>
                  </w:p>
                </w:tc>
                <w:sdt>
                  <w:sdtPr>
                    <w:rPr>
                      <w:rFonts w:ascii="Times New Roman" w:hAnsi="Times New Roman" w:cs="Times New Roman"/>
                      <w:szCs w:val="21"/>
                    </w:rPr>
                    <w:alias w:val="前十名股东持有股份状态"/>
                    <w:tag w:val="_GBC_601a9cb87dc846af9d4bed69aaea7888"/>
                    <w:id w:val="-62530950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46B04672"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738B6B7D"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6075815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46A77FB7" w14:textId="77777777" w:rsidR="00D21C1F" w:rsidRDefault="00A42880">
                        <w:pPr>
                          <w:rPr>
                            <w:szCs w:val="21"/>
                          </w:rPr>
                        </w:pPr>
                        <w:r>
                          <w:rPr>
                            <w:szCs w:val="21"/>
                          </w:rPr>
                          <w:t>国有法人</w:t>
                        </w:r>
                      </w:p>
                    </w:tc>
                  </w:sdtContent>
                </w:sdt>
              </w:tr>
            </w:sdtContent>
          </w:sdt>
          <w:sdt>
            <w:sdtPr>
              <w:rPr>
                <w:szCs w:val="21"/>
              </w:rPr>
              <w:alias w:val="前十名股东持股情况"/>
              <w:tag w:val="_TUP_b6625b98fb034d219361dd9a07e89023"/>
              <w:id w:val="-37897849"/>
              <w:lock w:val="sdtLocked"/>
              <w:placeholder>
                <w:docPart w:val="83DF988284E74DCC99735F5BC3D02B96"/>
              </w:placeholder>
            </w:sdtPr>
            <w:sdtEndPr/>
            <w:sdtContent>
              <w:tr w:rsidR="00D21C1F" w14:paraId="00F73A4C" w14:textId="77777777" w:rsidTr="00DA0A37">
                <w:trPr>
                  <w:cantSplit/>
                </w:trPr>
                <w:tc>
                  <w:tcPr>
                    <w:tcW w:w="1011" w:type="pct"/>
                    <w:shd w:val="clear" w:color="auto" w:fill="auto"/>
                    <w:vAlign w:val="center"/>
                  </w:tcPr>
                  <w:p w14:paraId="53F75C65" w14:textId="77777777" w:rsidR="00D21C1F" w:rsidRDefault="00A42880">
                    <w:pPr>
                      <w:rPr>
                        <w:szCs w:val="21"/>
                      </w:rPr>
                    </w:pPr>
                    <w:r>
                      <w:rPr>
                        <w:rFonts w:hint="eastAsia"/>
                        <w:szCs w:val="21"/>
                      </w:rPr>
                      <w:t>安徽信惟基石产业升级基金合伙企业（有限合伙）</w:t>
                    </w:r>
                  </w:p>
                </w:tc>
                <w:tc>
                  <w:tcPr>
                    <w:tcW w:w="651" w:type="pct"/>
                    <w:shd w:val="clear" w:color="auto" w:fill="auto"/>
                    <w:vAlign w:val="center"/>
                  </w:tcPr>
                  <w:p w14:paraId="53A06FDF"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4CF0AE67" w14:textId="77777777" w:rsidR="00D21C1F" w:rsidRDefault="00A42880">
                    <w:pPr>
                      <w:jc w:val="right"/>
                      <w:rPr>
                        <w:rFonts w:ascii="Times New Roman" w:hAnsi="Times New Roman" w:cs="Times New Roman"/>
                        <w:szCs w:val="21"/>
                      </w:rPr>
                    </w:pPr>
                    <w:r>
                      <w:rPr>
                        <w:rFonts w:ascii="Times New Roman" w:hAnsi="Times New Roman" w:cs="Times New Roman"/>
                        <w:szCs w:val="21"/>
                      </w:rPr>
                      <w:t>60,000,000</w:t>
                    </w:r>
                  </w:p>
                </w:tc>
                <w:tc>
                  <w:tcPr>
                    <w:tcW w:w="391" w:type="pct"/>
                    <w:gridSpan w:val="2"/>
                    <w:shd w:val="clear" w:color="auto" w:fill="auto"/>
                    <w:vAlign w:val="center"/>
                  </w:tcPr>
                  <w:p w14:paraId="485F90F1"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1.50</w:t>
                    </w:r>
                  </w:p>
                </w:tc>
                <w:tc>
                  <w:tcPr>
                    <w:tcW w:w="658" w:type="pct"/>
                    <w:shd w:val="clear" w:color="auto" w:fill="auto"/>
                    <w:vAlign w:val="center"/>
                  </w:tcPr>
                  <w:p w14:paraId="15483A21" w14:textId="77777777" w:rsidR="00D21C1F" w:rsidRDefault="00A42880">
                    <w:pPr>
                      <w:jc w:val="right"/>
                      <w:rPr>
                        <w:rFonts w:ascii="Times New Roman" w:hAnsi="Times New Roman" w:cs="Times New Roman"/>
                        <w:szCs w:val="21"/>
                      </w:rPr>
                    </w:pPr>
                    <w:r>
                      <w:rPr>
                        <w:rFonts w:ascii="Times New Roman" w:hAnsi="Times New Roman" w:cs="Times New Roman"/>
                      </w:rPr>
                      <w:t>60,000,000</w:t>
                    </w:r>
                  </w:p>
                </w:tc>
                <w:tc>
                  <w:tcPr>
                    <w:tcW w:w="659" w:type="pct"/>
                    <w:gridSpan w:val="2"/>
                    <w:vAlign w:val="center"/>
                  </w:tcPr>
                  <w:p w14:paraId="0EEACFE5" w14:textId="77777777" w:rsidR="00D21C1F" w:rsidRDefault="00A42880">
                    <w:pPr>
                      <w:jc w:val="right"/>
                      <w:rPr>
                        <w:rFonts w:ascii="Times New Roman" w:hAnsi="Times New Roman" w:cs="Times New Roman"/>
                        <w:szCs w:val="21"/>
                      </w:rPr>
                    </w:pPr>
                    <w:r>
                      <w:rPr>
                        <w:rFonts w:ascii="Times New Roman" w:hAnsi="Times New Roman" w:cs="Times New Roman"/>
                      </w:rPr>
                      <w:t>60,000,000</w:t>
                    </w:r>
                  </w:p>
                </w:tc>
                <w:sdt>
                  <w:sdtPr>
                    <w:rPr>
                      <w:rFonts w:ascii="Times New Roman" w:hAnsi="Times New Roman" w:cs="Times New Roman"/>
                      <w:szCs w:val="21"/>
                    </w:rPr>
                    <w:alias w:val="前十名股东持有股份状态"/>
                    <w:tag w:val="_GBC_601a9cb87dc846af9d4bed69aaea7888"/>
                    <w:id w:val="89648037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613637BE"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78054CA9"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21352964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7E5AEB06" w14:textId="77777777" w:rsidR="00D21C1F" w:rsidRDefault="00A42880">
                        <w:pPr>
                          <w:rPr>
                            <w:szCs w:val="21"/>
                          </w:rPr>
                        </w:pPr>
                        <w:r>
                          <w:rPr>
                            <w:szCs w:val="21"/>
                          </w:rPr>
                          <w:t>境内非国有法人</w:t>
                        </w:r>
                      </w:p>
                    </w:tc>
                  </w:sdtContent>
                </w:sdt>
              </w:tr>
            </w:sdtContent>
          </w:sdt>
          <w:sdt>
            <w:sdtPr>
              <w:rPr>
                <w:szCs w:val="21"/>
              </w:rPr>
              <w:alias w:val="前十名股东持股情况"/>
              <w:tag w:val="_TUP_b6625b98fb034d219361dd9a07e89023"/>
              <w:id w:val="1956828165"/>
              <w:lock w:val="sdtLocked"/>
              <w:placeholder>
                <w:docPart w:val="83DF988284E74DCC99735F5BC3D02B96"/>
              </w:placeholder>
            </w:sdtPr>
            <w:sdtEndPr/>
            <w:sdtContent>
              <w:tr w:rsidR="00D21C1F" w14:paraId="50FD0BB6" w14:textId="77777777" w:rsidTr="00DA0A37">
                <w:trPr>
                  <w:cantSplit/>
                </w:trPr>
                <w:tc>
                  <w:tcPr>
                    <w:tcW w:w="1011" w:type="pct"/>
                    <w:shd w:val="clear" w:color="auto" w:fill="auto"/>
                    <w:vAlign w:val="center"/>
                  </w:tcPr>
                  <w:p w14:paraId="2784257E" w14:textId="77777777" w:rsidR="00D21C1F" w:rsidRDefault="00A42880">
                    <w:pPr>
                      <w:rPr>
                        <w:szCs w:val="21"/>
                      </w:rPr>
                    </w:pPr>
                    <w:r>
                      <w:rPr>
                        <w:rFonts w:hint="eastAsia"/>
                        <w:szCs w:val="21"/>
                      </w:rPr>
                      <w:t>上海鼎晖源霖股权投资合伙企业（有限合伙）</w:t>
                    </w:r>
                  </w:p>
                </w:tc>
                <w:tc>
                  <w:tcPr>
                    <w:tcW w:w="651" w:type="pct"/>
                    <w:shd w:val="clear" w:color="auto" w:fill="auto"/>
                    <w:vAlign w:val="center"/>
                  </w:tcPr>
                  <w:p w14:paraId="139F08E0"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57243DE5" w14:textId="77777777" w:rsidR="00D21C1F" w:rsidRDefault="00A42880">
                    <w:pPr>
                      <w:jc w:val="right"/>
                      <w:rPr>
                        <w:rFonts w:ascii="Times New Roman" w:hAnsi="Times New Roman" w:cs="Times New Roman"/>
                        <w:szCs w:val="21"/>
                      </w:rPr>
                    </w:pPr>
                    <w:r>
                      <w:rPr>
                        <w:rFonts w:ascii="Times New Roman" w:hAnsi="Times New Roman" w:cs="Times New Roman"/>
                        <w:szCs w:val="21"/>
                      </w:rPr>
                      <w:t>50,444,444</w:t>
                    </w:r>
                  </w:p>
                </w:tc>
                <w:tc>
                  <w:tcPr>
                    <w:tcW w:w="391" w:type="pct"/>
                    <w:gridSpan w:val="2"/>
                    <w:shd w:val="clear" w:color="auto" w:fill="auto"/>
                    <w:vAlign w:val="center"/>
                  </w:tcPr>
                  <w:p w14:paraId="24676B73"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.67</w:t>
                    </w:r>
                  </w:p>
                </w:tc>
                <w:tc>
                  <w:tcPr>
                    <w:tcW w:w="658" w:type="pct"/>
                    <w:shd w:val="clear" w:color="auto" w:fill="auto"/>
                    <w:vAlign w:val="center"/>
                  </w:tcPr>
                  <w:p w14:paraId="2E91D021" w14:textId="77777777" w:rsidR="00D21C1F" w:rsidRDefault="00A42880">
                    <w:pPr>
                      <w:jc w:val="right"/>
                      <w:rPr>
                        <w:rFonts w:ascii="Times New Roman" w:hAnsi="Times New Roman" w:cs="Times New Roman"/>
                        <w:szCs w:val="21"/>
                      </w:rPr>
                    </w:pPr>
                    <w:r>
                      <w:rPr>
                        <w:rFonts w:ascii="Times New Roman" w:hAnsi="Times New Roman" w:cs="Times New Roman"/>
                      </w:rPr>
                      <w:t>50,444,444</w:t>
                    </w:r>
                  </w:p>
                </w:tc>
                <w:tc>
                  <w:tcPr>
                    <w:tcW w:w="659" w:type="pct"/>
                    <w:gridSpan w:val="2"/>
                    <w:vAlign w:val="center"/>
                  </w:tcPr>
                  <w:p w14:paraId="2AEA420E" w14:textId="77777777" w:rsidR="00D21C1F" w:rsidRDefault="00A42880">
                    <w:pPr>
                      <w:jc w:val="right"/>
                      <w:rPr>
                        <w:rFonts w:ascii="Times New Roman" w:hAnsi="Times New Roman" w:cs="Times New Roman"/>
                        <w:szCs w:val="21"/>
                      </w:rPr>
                    </w:pPr>
                    <w:r>
                      <w:rPr>
                        <w:rFonts w:ascii="Times New Roman" w:hAnsi="Times New Roman" w:cs="Times New Roman"/>
                      </w:rPr>
                      <w:t>50,444,444</w:t>
                    </w:r>
                  </w:p>
                </w:tc>
                <w:sdt>
                  <w:sdtPr>
                    <w:rPr>
                      <w:rFonts w:ascii="Times New Roman" w:hAnsi="Times New Roman" w:cs="Times New Roman"/>
                      <w:szCs w:val="21"/>
                    </w:rPr>
                    <w:alias w:val="前十名股东持有股份状态"/>
                    <w:tag w:val="_GBC_601a9cb87dc846af9d4bed69aaea7888"/>
                    <w:id w:val="-69076709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77F4D22C"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062FDFF1"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14927917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75AEE110" w14:textId="77777777" w:rsidR="00D21C1F" w:rsidRDefault="00A42880">
                        <w:pPr>
                          <w:rPr>
                            <w:szCs w:val="21"/>
                          </w:rPr>
                        </w:pPr>
                        <w:r>
                          <w:rPr>
                            <w:szCs w:val="21"/>
                          </w:rPr>
                          <w:t>境内非国有法人</w:t>
                        </w:r>
                      </w:p>
                    </w:tc>
                  </w:sdtContent>
                </w:sdt>
              </w:tr>
            </w:sdtContent>
          </w:sdt>
          <w:sdt>
            <w:sdtPr>
              <w:rPr>
                <w:szCs w:val="21"/>
              </w:rPr>
              <w:alias w:val="前十名股东持股情况"/>
              <w:tag w:val="_TUP_b6625b98fb034d219361dd9a07e89023"/>
              <w:id w:val="-1135174868"/>
              <w:lock w:val="sdtLocked"/>
              <w:placeholder>
                <w:docPart w:val="83DF988284E74DCC99735F5BC3D02B96"/>
              </w:placeholder>
            </w:sdtPr>
            <w:sdtEndPr/>
            <w:sdtContent>
              <w:tr w:rsidR="00D21C1F" w14:paraId="63B25291" w14:textId="77777777" w:rsidTr="00DA0A37">
                <w:trPr>
                  <w:cantSplit/>
                </w:trPr>
                <w:tc>
                  <w:tcPr>
                    <w:tcW w:w="1011" w:type="pct"/>
                    <w:shd w:val="clear" w:color="auto" w:fill="auto"/>
                    <w:vAlign w:val="center"/>
                  </w:tcPr>
                  <w:p w14:paraId="16B72A59" w14:textId="77777777" w:rsidR="00D21C1F" w:rsidRDefault="00A42880">
                    <w:pPr>
                      <w:rPr>
                        <w:szCs w:val="21"/>
                      </w:rPr>
                    </w:pPr>
                    <w:r>
                      <w:rPr>
                        <w:rFonts w:hint="eastAsia"/>
                        <w:szCs w:val="21"/>
                      </w:rPr>
                      <w:t>芜湖睿博投资管理中心（有限合伙）</w:t>
                    </w:r>
                  </w:p>
                </w:tc>
                <w:tc>
                  <w:tcPr>
                    <w:tcW w:w="651" w:type="pct"/>
                    <w:shd w:val="clear" w:color="auto" w:fill="auto"/>
                    <w:vAlign w:val="center"/>
                  </w:tcPr>
                  <w:p w14:paraId="0BE05B06" w14:textId="77777777" w:rsidR="00D21C1F" w:rsidRDefault="00A42880">
                    <w:pPr>
                      <w:jc w:val="right"/>
                      <w:rPr>
                        <w:rFonts w:ascii="Times New Roman" w:hAnsi="Times New Roman" w:cs="Times New Roman"/>
                        <w:szCs w:val="21"/>
                      </w:rPr>
                    </w:pPr>
                    <w:r>
                      <w:rPr>
                        <w:rFonts w:ascii="Times New Roman" w:hAnsi="Times New Roman" w:cs="Times New Roman"/>
                        <w:szCs w:val="21"/>
                      </w:rPr>
                      <w:t>507,000</w:t>
                    </w:r>
                  </w:p>
                </w:tc>
                <w:tc>
                  <w:tcPr>
                    <w:tcW w:w="658" w:type="pct"/>
                    <w:shd w:val="clear" w:color="auto" w:fill="auto"/>
                    <w:vAlign w:val="center"/>
                  </w:tcPr>
                  <w:p w14:paraId="39109B9E" w14:textId="77777777" w:rsidR="00D21C1F" w:rsidRDefault="00A42880">
                    <w:pPr>
                      <w:jc w:val="right"/>
                      <w:rPr>
                        <w:rFonts w:ascii="Times New Roman" w:hAnsi="Times New Roman" w:cs="Times New Roman"/>
                        <w:szCs w:val="21"/>
                      </w:rPr>
                    </w:pPr>
                    <w:r>
                      <w:rPr>
                        <w:rFonts w:ascii="Times New Roman" w:hAnsi="Times New Roman" w:cs="Times New Roman"/>
                        <w:szCs w:val="21"/>
                      </w:rPr>
                      <w:t>45,922,050</w:t>
                    </w:r>
                  </w:p>
                </w:tc>
                <w:tc>
                  <w:tcPr>
                    <w:tcW w:w="391" w:type="pct"/>
                    <w:gridSpan w:val="2"/>
                    <w:shd w:val="clear" w:color="auto" w:fill="auto"/>
                    <w:vAlign w:val="center"/>
                  </w:tcPr>
                  <w:p w14:paraId="4D2EDD35"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.80</w:t>
                    </w:r>
                  </w:p>
                </w:tc>
                <w:tc>
                  <w:tcPr>
                    <w:tcW w:w="658" w:type="pct"/>
                    <w:shd w:val="clear" w:color="auto" w:fill="auto"/>
                    <w:vAlign w:val="center"/>
                  </w:tcPr>
                  <w:p w14:paraId="19E907CF" w14:textId="77777777" w:rsidR="00D21C1F" w:rsidRDefault="00A42880">
                    <w:pPr>
                      <w:jc w:val="right"/>
                      <w:rPr>
                        <w:rFonts w:ascii="Times New Roman" w:hAnsi="Times New Roman" w:cs="Times New Roman"/>
                        <w:szCs w:val="21"/>
                      </w:rPr>
                    </w:pPr>
                    <w:r>
                      <w:rPr>
                        <w:rFonts w:ascii="Times New Roman" w:hAnsi="Times New Roman" w:cs="Times New Roman"/>
                      </w:rPr>
                      <w:t>45,922,050</w:t>
                    </w:r>
                  </w:p>
                </w:tc>
                <w:tc>
                  <w:tcPr>
                    <w:tcW w:w="659" w:type="pct"/>
                    <w:gridSpan w:val="2"/>
                    <w:vAlign w:val="center"/>
                  </w:tcPr>
                  <w:p w14:paraId="1BDD439A" w14:textId="77777777" w:rsidR="00D21C1F" w:rsidRDefault="00A42880">
                    <w:pPr>
                      <w:jc w:val="right"/>
                      <w:rPr>
                        <w:rFonts w:ascii="Times New Roman" w:hAnsi="Times New Roman" w:cs="Times New Roman"/>
                        <w:szCs w:val="21"/>
                      </w:rPr>
                    </w:pPr>
                    <w:r>
                      <w:rPr>
                        <w:rFonts w:ascii="Times New Roman" w:hAnsi="Times New Roman" w:cs="Times New Roman"/>
                      </w:rPr>
                      <w:t>45,922,050</w:t>
                    </w:r>
                  </w:p>
                </w:tc>
                <w:sdt>
                  <w:sdtPr>
                    <w:rPr>
                      <w:rFonts w:ascii="Times New Roman" w:hAnsi="Times New Roman" w:cs="Times New Roman"/>
                      <w:szCs w:val="21"/>
                    </w:rPr>
                    <w:alias w:val="前十名股东持有股份状态"/>
                    <w:tag w:val="_GBC_601a9cb87dc846af9d4bed69aaea7888"/>
                    <w:id w:val="55181616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127735A7"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0251FED2"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6295963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1EA965C7" w14:textId="77777777" w:rsidR="00D21C1F" w:rsidRDefault="00A42880">
                        <w:pPr>
                          <w:rPr>
                            <w:szCs w:val="21"/>
                          </w:rPr>
                        </w:pPr>
                        <w:r>
                          <w:rPr>
                            <w:szCs w:val="21"/>
                          </w:rPr>
                          <w:t>境内非国有法人</w:t>
                        </w:r>
                      </w:p>
                    </w:tc>
                  </w:sdtContent>
                </w:sdt>
              </w:tr>
            </w:sdtContent>
          </w:sdt>
          <w:sdt>
            <w:sdtPr>
              <w:rPr>
                <w:szCs w:val="21"/>
              </w:rPr>
              <w:alias w:val="前十名股东持股情况"/>
              <w:tag w:val="_TUP_b6625b98fb034d219361dd9a07e89023"/>
              <w:id w:val="1237667196"/>
              <w:lock w:val="sdtLocked"/>
              <w:placeholder>
                <w:docPart w:val="83DF988284E74DCC99735F5BC3D02B96"/>
              </w:placeholder>
            </w:sdtPr>
            <w:sdtEndPr/>
            <w:sdtContent>
              <w:tr w:rsidR="00D21C1F" w14:paraId="12B0F3DF" w14:textId="77777777" w:rsidTr="00DA0A37">
                <w:trPr>
                  <w:cantSplit/>
                </w:trPr>
                <w:tc>
                  <w:tcPr>
                    <w:tcW w:w="1011" w:type="pct"/>
                    <w:shd w:val="clear" w:color="auto" w:fill="auto"/>
                    <w:vAlign w:val="center"/>
                  </w:tcPr>
                  <w:p w14:paraId="4B167C43" w14:textId="77777777" w:rsidR="00D21C1F" w:rsidRDefault="00A42880">
                    <w:pPr>
                      <w:rPr>
                        <w:szCs w:val="21"/>
                      </w:rPr>
                    </w:pPr>
                    <w:r>
                      <w:rPr>
                        <w:rFonts w:hint="eastAsia"/>
                        <w:szCs w:val="21"/>
                      </w:rPr>
                      <w:t>美的集团股份有限公司</w:t>
                    </w:r>
                  </w:p>
                </w:tc>
                <w:tc>
                  <w:tcPr>
                    <w:tcW w:w="651" w:type="pct"/>
                    <w:shd w:val="clear" w:color="auto" w:fill="auto"/>
                    <w:vAlign w:val="center"/>
                  </w:tcPr>
                  <w:p w14:paraId="38A9EC49"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69DA6D1B" w14:textId="77777777" w:rsidR="00D21C1F" w:rsidRDefault="00A42880">
                    <w:pPr>
                      <w:jc w:val="right"/>
                      <w:rPr>
                        <w:rFonts w:ascii="Times New Roman" w:hAnsi="Times New Roman" w:cs="Times New Roman"/>
                        <w:szCs w:val="21"/>
                      </w:rPr>
                    </w:pPr>
                    <w:r>
                      <w:rPr>
                        <w:rFonts w:ascii="Times New Roman" w:hAnsi="Times New Roman" w:cs="Times New Roman"/>
                        <w:szCs w:val="21"/>
                      </w:rPr>
                      <w:t>35,600,000</w:t>
                    </w:r>
                  </w:p>
                </w:tc>
                <w:tc>
                  <w:tcPr>
                    <w:tcW w:w="391" w:type="pct"/>
                    <w:gridSpan w:val="2"/>
                    <w:shd w:val="clear" w:color="auto" w:fill="auto"/>
                    <w:vAlign w:val="center"/>
                  </w:tcPr>
                  <w:p w14:paraId="7B9894AC"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szCs w:val="21"/>
                      </w:rPr>
                      <w:t>.82</w:t>
                    </w:r>
                  </w:p>
                </w:tc>
                <w:tc>
                  <w:tcPr>
                    <w:tcW w:w="658" w:type="pct"/>
                    <w:shd w:val="clear" w:color="auto" w:fill="auto"/>
                    <w:vAlign w:val="center"/>
                  </w:tcPr>
                  <w:p w14:paraId="278C91F5" w14:textId="77777777" w:rsidR="00D21C1F" w:rsidRDefault="00A42880">
                    <w:pPr>
                      <w:jc w:val="right"/>
                      <w:rPr>
                        <w:rFonts w:ascii="Times New Roman" w:hAnsi="Times New Roman" w:cs="Times New Roman"/>
                        <w:szCs w:val="21"/>
                      </w:rPr>
                    </w:pPr>
                    <w:r>
                      <w:rPr>
                        <w:rFonts w:ascii="Times New Roman" w:hAnsi="Times New Roman" w:cs="Times New Roman"/>
                      </w:rPr>
                      <w:t>35,600,000</w:t>
                    </w:r>
                  </w:p>
                </w:tc>
                <w:tc>
                  <w:tcPr>
                    <w:tcW w:w="659" w:type="pct"/>
                    <w:gridSpan w:val="2"/>
                    <w:vAlign w:val="center"/>
                  </w:tcPr>
                  <w:p w14:paraId="56C82710" w14:textId="77777777" w:rsidR="00D21C1F" w:rsidRDefault="00A42880">
                    <w:pPr>
                      <w:jc w:val="right"/>
                      <w:rPr>
                        <w:rFonts w:ascii="Times New Roman" w:hAnsi="Times New Roman" w:cs="Times New Roman"/>
                        <w:szCs w:val="21"/>
                      </w:rPr>
                    </w:pPr>
                    <w:r>
                      <w:rPr>
                        <w:rFonts w:ascii="Times New Roman" w:hAnsi="Times New Roman" w:cs="Times New Roman"/>
                      </w:rPr>
                      <w:t>35,600,000</w:t>
                    </w:r>
                  </w:p>
                </w:tc>
                <w:sdt>
                  <w:sdtPr>
                    <w:rPr>
                      <w:rFonts w:ascii="Times New Roman" w:hAnsi="Times New Roman" w:cs="Times New Roman"/>
                      <w:szCs w:val="21"/>
                    </w:rPr>
                    <w:alias w:val="前十名股东持有股份状态"/>
                    <w:tag w:val="_GBC_601a9cb87dc846af9d4bed69aaea7888"/>
                    <w:id w:val="104494542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578F8074"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373FD4B5"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13527663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26CFF32E" w14:textId="77777777" w:rsidR="00D21C1F" w:rsidRDefault="00A42880">
                        <w:pPr>
                          <w:rPr>
                            <w:szCs w:val="21"/>
                          </w:rPr>
                        </w:pPr>
                        <w:r>
                          <w:rPr>
                            <w:szCs w:val="21"/>
                          </w:rPr>
                          <w:t>境内非国有法人</w:t>
                        </w:r>
                      </w:p>
                    </w:tc>
                  </w:sdtContent>
                </w:sdt>
              </w:tr>
            </w:sdtContent>
          </w:sdt>
          <w:sdt>
            <w:sdtPr>
              <w:rPr>
                <w:szCs w:val="21"/>
              </w:rPr>
              <w:alias w:val="前十名股东持股情况"/>
              <w:tag w:val="_TUP_b6625b98fb034d219361dd9a07e89023"/>
              <w:id w:val="-2111107107"/>
              <w:lock w:val="sdtLocked"/>
              <w:placeholder>
                <w:docPart w:val="83DF988284E74DCC99735F5BC3D02B96"/>
              </w:placeholder>
            </w:sdtPr>
            <w:sdtEndPr/>
            <w:sdtContent>
              <w:tr w:rsidR="00D21C1F" w14:paraId="0631AB6D" w14:textId="77777777" w:rsidTr="00DA0A37">
                <w:trPr>
                  <w:cantSplit/>
                </w:trPr>
                <w:tc>
                  <w:tcPr>
                    <w:tcW w:w="1011" w:type="pct"/>
                    <w:shd w:val="clear" w:color="auto" w:fill="auto"/>
                    <w:vAlign w:val="center"/>
                  </w:tcPr>
                  <w:p w14:paraId="2988626B" w14:textId="77777777" w:rsidR="00D21C1F" w:rsidRDefault="00A42880">
                    <w:pPr>
                      <w:rPr>
                        <w:szCs w:val="21"/>
                      </w:rPr>
                    </w:pPr>
                    <w:r>
                      <w:rPr>
                        <w:rFonts w:ascii="Times New Roman" w:hAnsi="Times New Roman" w:cs="Times New Roman"/>
                        <w:szCs w:val="21"/>
                      </w:rPr>
                      <w:t>Phinda Holding S.A.</w:t>
                    </w:r>
                  </w:p>
                </w:tc>
                <w:tc>
                  <w:tcPr>
                    <w:tcW w:w="651" w:type="pct"/>
                    <w:shd w:val="clear" w:color="auto" w:fill="auto"/>
                    <w:vAlign w:val="center"/>
                  </w:tcPr>
                  <w:p w14:paraId="70346362"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24D58F81" w14:textId="77777777" w:rsidR="00D21C1F" w:rsidRDefault="00A42880">
                    <w:pPr>
                      <w:jc w:val="right"/>
                      <w:rPr>
                        <w:rFonts w:ascii="Times New Roman" w:hAnsi="Times New Roman" w:cs="Times New Roman"/>
                        <w:szCs w:val="21"/>
                      </w:rPr>
                    </w:pPr>
                    <w:r>
                      <w:rPr>
                        <w:rFonts w:ascii="Times New Roman" w:hAnsi="Times New Roman" w:cs="Times New Roman"/>
                        <w:szCs w:val="21"/>
                      </w:rPr>
                      <w:t>20,000,000</w:t>
                    </w:r>
                  </w:p>
                </w:tc>
                <w:tc>
                  <w:tcPr>
                    <w:tcW w:w="391" w:type="pct"/>
                    <w:gridSpan w:val="2"/>
                    <w:shd w:val="clear" w:color="auto" w:fill="auto"/>
                    <w:vAlign w:val="center"/>
                  </w:tcPr>
                  <w:p w14:paraId="2FEF06BB"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.83</w:t>
                    </w:r>
                  </w:p>
                </w:tc>
                <w:tc>
                  <w:tcPr>
                    <w:tcW w:w="658" w:type="pct"/>
                    <w:shd w:val="clear" w:color="auto" w:fill="auto"/>
                    <w:vAlign w:val="center"/>
                  </w:tcPr>
                  <w:p w14:paraId="7FE1F69E" w14:textId="77777777" w:rsidR="00D21C1F" w:rsidRDefault="00A42880">
                    <w:pPr>
                      <w:jc w:val="right"/>
                      <w:rPr>
                        <w:rFonts w:ascii="Times New Roman" w:hAnsi="Times New Roman" w:cs="Times New Roman"/>
                        <w:szCs w:val="21"/>
                      </w:rPr>
                    </w:pPr>
                    <w:r>
                      <w:rPr>
                        <w:rFonts w:ascii="Times New Roman" w:hAnsi="Times New Roman" w:cs="Times New Roman"/>
                      </w:rPr>
                      <w:t>20,000,000</w:t>
                    </w:r>
                  </w:p>
                </w:tc>
                <w:tc>
                  <w:tcPr>
                    <w:tcW w:w="659" w:type="pct"/>
                    <w:gridSpan w:val="2"/>
                    <w:vAlign w:val="center"/>
                  </w:tcPr>
                  <w:p w14:paraId="1ABEFE91" w14:textId="77777777" w:rsidR="00D21C1F" w:rsidRDefault="00A42880">
                    <w:pPr>
                      <w:jc w:val="right"/>
                      <w:rPr>
                        <w:rFonts w:ascii="Times New Roman" w:hAnsi="Times New Roman" w:cs="Times New Roman"/>
                        <w:szCs w:val="21"/>
                      </w:rPr>
                    </w:pPr>
                    <w:r>
                      <w:rPr>
                        <w:rFonts w:ascii="Times New Roman" w:hAnsi="Times New Roman" w:cs="Times New Roman"/>
                      </w:rPr>
                      <w:t>20,000,000</w:t>
                    </w:r>
                  </w:p>
                </w:tc>
                <w:sdt>
                  <w:sdtPr>
                    <w:rPr>
                      <w:rFonts w:ascii="Times New Roman" w:hAnsi="Times New Roman" w:cs="Times New Roman"/>
                      <w:szCs w:val="21"/>
                    </w:rPr>
                    <w:alias w:val="前十名股东持有股份状态"/>
                    <w:tag w:val="_GBC_601a9cb87dc846af9d4bed69aaea7888"/>
                    <w:id w:val="-70587210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2C38BB32"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177241B0"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50670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154EAC38" w14:textId="77777777" w:rsidR="00D21C1F" w:rsidRDefault="00A42880">
                        <w:pPr>
                          <w:rPr>
                            <w:szCs w:val="21"/>
                          </w:rPr>
                        </w:pPr>
                        <w:r>
                          <w:rPr>
                            <w:szCs w:val="21"/>
                          </w:rPr>
                          <w:t>境外法人</w:t>
                        </w:r>
                      </w:p>
                    </w:tc>
                  </w:sdtContent>
                </w:sdt>
              </w:tr>
            </w:sdtContent>
          </w:sdt>
          <w:sdt>
            <w:sdtPr>
              <w:rPr>
                <w:szCs w:val="21"/>
              </w:rPr>
              <w:alias w:val="前十名股东持股情况"/>
              <w:tag w:val="_TUP_b6625b98fb034d219361dd9a07e89023"/>
              <w:id w:val="525144227"/>
              <w:lock w:val="sdtLocked"/>
              <w:placeholder>
                <w:docPart w:val="83DF988284E74DCC99735F5BC3D02B96"/>
              </w:placeholder>
            </w:sdtPr>
            <w:sdtEndPr/>
            <w:sdtContent>
              <w:tr w:rsidR="00D21C1F" w14:paraId="25F44CCB" w14:textId="77777777" w:rsidTr="00DA0A37">
                <w:trPr>
                  <w:cantSplit/>
                </w:trPr>
                <w:tc>
                  <w:tcPr>
                    <w:tcW w:w="1011" w:type="pct"/>
                    <w:shd w:val="clear" w:color="auto" w:fill="auto"/>
                    <w:vAlign w:val="center"/>
                  </w:tcPr>
                  <w:p w14:paraId="3A8A2839" w14:textId="77777777" w:rsidR="00D21C1F" w:rsidRDefault="00A42880">
                    <w:pPr>
                      <w:rPr>
                        <w:szCs w:val="21"/>
                      </w:rPr>
                    </w:pPr>
                    <w:r>
                      <w:rPr>
                        <w:rFonts w:hint="eastAsia"/>
                        <w:szCs w:val="21"/>
                      </w:rPr>
                      <w:t>马鞍山基石智能制造产业基金合伙企业（有限合伙）</w:t>
                    </w:r>
                  </w:p>
                </w:tc>
                <w:tc>
                  <w:tcPr>
                    <w:tcW w:w="651" w:type="pct"/>
                    <w:shd w:val="clear" w:color="auto" w:fill="auto"/>
                    <w:vAlign w:val="center"/>
                  </w:tcPr>
                  <w:p w14:paraId="6135F250"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6D9DDE92" w14:textId="77777777" w:rsidR="00D21C1F" w:rsidRDefault="00A42880">
                    <w:pPr>
                      <w:jc w:val="right"/>
                      <w:rPr>
                        <w:rFonts w:ascii="Times New Roman" w:hAnsi="Times New Roman" w:cs="Times New Roman"/>
                        <w:szCs w:val="21"/>
                      </w:rPr>
                    </w:pPr>
                    <w:r>
                      <w:rPr>
                        <w:rFonts w:ascii="Times New Roman" w:hAnsi="Times New Roman" w:cs="Times New Roman"/>
                        <w:szCs w:val="21"/>
                      </w:rPr>
                      <w:t>17,948,718</w:t>
                    </w:r>
                  </w:p>
                </w:tc>
                <w:tc>
                  <w:tcPr>
                    <w:tcW w:w="391" w:type="pct"/>
                    <w:gridSpan w:val="2"/>
                    <w:shd w:val="clear" w:color="auto" w:fill="auto"/>
                    <w:vAlign w:val="center"/>
                  </w:tcPr>
                  <w:p w14:paraId="5C707C60"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.44</w:t>
                    </w:r>
                  </w:p>
                </w:tc>
                <w:tc>
                  <w:tcPr>
                    <w:tcW w:w="658" w:type="pct"/>
                    <w:shd w:val="clear" w:color="auto" w:fill="auto"/>
                    <w:vAlign w:val="center"/>
                  </w:tcPr>
                  <w:p w14:paraId="62605A18" w14:textId="77777777" w:rsidR="00D21C1F" w:rsidRDefault="00A42880">
                    <w:pPr>
                      <w:jc w:val="right"/>
                      <w:rPr>
                        <w:rFonts w:ascii="Times New Roman" w:hAnsi="Times New Roman" w:cs="Times New Roman"/>
                        <w:szCs w:val="21"/>
                      </w:rPr>
                    </w:pPr>
                    <w:r>
                      <w:rPr>
                        <w:rFonts w:ascii="Times New Roman" w:hAnsi="Times New Roman" w:cs="Times New Roman"/>
                      </w:rPr>
                      <w:t>17,948,718</w:t>
                    </w:r>
                  </w:p>
                </w:tc>
                <w:tc>
                  <w:tcPr>
                    <w:tcW w:w="659" w:type="pct"/>
                    <w:gridSpan w:val="2"/>
                    <w:vAlign w:val="center"/>
                  </w:tcPr>
                  <w:p w14:paraId="256D4827" w14:textId="77777777" w:rsidR="00D21C1F" w:rsidRDefault="00A42880">
                    <w:pPr>
                      <w:jc w:val="right"/>
                      <w:rPr>
                        <w:rFonts w:ascii="Times New Roman" w:hAnsi="Times New Roman" w:cs="Times New Roman"/>
                        <w:szCs w:val="21"/>
                      </w:rPr>
                    </w:pPr>
                    <w:r>
                      <w:rPr>
                        <w:rFonts w:ascii="Times New Roman" w:hAnsi="Times New Roman" w:cs="Times New Roman"/>
                      </w:rPr>
                      <w:t>17,948,718</w:t>
                    </w:r>
                  </w:p>
                </w:tc>
                <w:sdt>
                  <w:sdtPr>
                    <w:rPr>
                      <w:rFonts w:ascii="Times New Roman" w:hAnsi="Times New Roman" w:cs="Times New Roman"/>
                      <w:szCs w:val="21"/>
                    </w:rPr>
                    <w:alias w:val="前十名股东持有股份状态"/>
                    <w:tag w:val="_GBC_601a9cb87dc846af9d4bed69aaea7888"/>
                    <w:id w:val="-86551269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6C75B630"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7ADB4E37"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11297419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4A547AB5" w14:textId="77777777" w:rsidR="00D21C1F" w:rsidRDefault="00A42880">
                        <w:pPr>
                          <w:rPr>
                            <w:szCs w:val="21"/>
                          </w:rPr>
                        </w:pPr>
                        <w:r>
                          <w:rPr>
                            <w:szCs w:val="21"/>
                          </w:rPr>
                          <w:t>境内非国有法人</w:t>
                        </w:r>
                      </w:p>
                    </w:tc>
                  </w:sdtContent>
                </w:sdt>
              </w:tr>
            </w:sdtContent>
          </w:sdt>
          <w:sdt>
            <w:sdtPr>
              <w:rPr>
                <w:szCs w:val="21"/>
              </w:rPr>
              <w:alias w:val="前十名股东持股情况"/>
              <w:tag w:val="_TUP_b6625b98fb034d219361dd9a07e89023"/>
              <w:id w:val="-1010134722"/>
              <w:lock w:val="sdtLocked"/>
              <w:placeholder>
                <w:docPart w:val="83DF988284E74DCC99735F5BC3D02B96"/>
              </w:placeholder>
            </w:sdtPr>
            <w:sdtEndPr/>
            <w:sdtContent>
              <w:tr w:rsidR="00D21C1F" w14:paraId="4F0D2447" w14:textId="77777777" w:rsidTr="00DA0A37">
                <w:trPr>
                  <w:cantSplit/>
                </w:trPr>
                <w:tc>
                  <w:tcPr>
                    <w:tcW w:w="1011" w:type="pct"/>
                    <w:shd w:val="clear" w:color="auto" w:fill="auto"/>
                    <w:vAlign w:val="center"/>
                  </w:tcPr>
                  <w:p w14:paraId="2832D5D3" w14:textId="77777777" w:rsidR="00D21C1F" w:rsidRDefault="00A42880">
                    <w:pPr>
                      <w:rPr>
                        <w:szCs w:val="21"/>
                      </w:rPr>
                    </w:pPr>
                    <w:r>
                      <w:rPr>
                        <w:rFonts w:hint="eastAsia"/>
                        <w:szCs w:val="21"/>
                      </w:rPr>
                      <w:t>芜湖奇瑞科技有限公司</w:t>
                    </w:r>
                  </w:p>
                </w:tc>
                <w:tc>
                  <w:tcPr>
                    <w:tcW w:w="651" w:type="pct"/>
                    <w:shd w:val="clear" w:color="auto" w:fill="auto"/>
                    <w:vAlign w:val="center"/>
                  </w:tcPr>
                  <w:p w14:paraId="4141BD78"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658" w:type="pct"/>
                    <w:shd w:val="clear" w:color="auto" w:fill="auto"/>
                    <w:vAlign w:val="center"/>
                  </w:tcPr>
                  <w:p w14:paraId="120E78D1" w14:textId="77777777" w:rsidR="00D21C1F" w:rsidRDefault="00A42880">
                    <w:pPr>
                      <w:jc w:val="right"/>
                      <w:rPr>
                        <w:rFonts w:ascii="Times New Roman" w:hAnsi="Times New Roman" w:cs="Times New Roman"/>
                        <w:szCs w:val="21"/>
                      </w:rPr>
                    </w:pPr>
                    <w:r>
                      <w:rPr>
                        <w:rFonts w:ascii="Times New Roman" w:hAnsi="Times New Roman" w:cs="Times New Roman"/>
                        <w:szCs w:val="21"/>
                      </w:rPr>
                      <w:t>5,510,000</w:t>
                    </w:r>
                  </w:p>
                </w:tc>
                <w:tc>
                  <w:tcPr>
                    <w:tcW w:w="391" w:type="pct"/>
                    <w:gridSpan w:val="2"/>
                    <w:shd w:val="clear" w:color="auto" w:fill="auto"/>
                    <w:vAlign w:val="center"/>
                  </w:tcPr>
                  <w:p w14:paraId="503DA3B2"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.06</w:t>
                    </w:r>
                  </w:p>
                </w:tc>
                <w:tc>
                  <w:tcPr>
                    <w:tcW w:w="658" w:type="pct"/>
                    <w:shd w:val="clear" w:color="auto" w:fill="auto"/>
                    <w:vAlign w:val="center"/>
                  </w:tcPr>
                  <w:p w14:paraId="67BDBF39" w14:textId="77777777" w:rsidR="00D21C1F" w:rsidRDefault="00A42880">
                    <w:pPr>
                      <w:jc w:val="right"/>
                      <w:rPr>
                        <w:rFonts w:ascii="Times New Roman" w:hAnsi="Times New Roman" w:cs="Times New Roman"/>
                        <w:szCs w:val="21"/>
                      </w:rPr>
                    </w:pPr>
                    <w:r>
                      <w:rPr>
                        <w:rFonts w:ascii="Times New Roman" w:hAnsi="Times New Roman" w:cs="Times New Roman"/>
                      </w:rPr>
                      <w:t>5,510,000</w:t>
                    </w:r>
                  </w:p>
                </w:tc>
                <w:tc>
                  <w:tcPr>
                    <w:tcW w:w="659" w:type="pct"/>
                    <w:gridSpan w:val="2"/>
                    <w:vAlign w:val="center"/>
                  </w:tcPr>
                  <w:p w14:paraId="755DEC8F" w14:textId="77777777" w:rsidR="00D21C1F" w:rsidRDefault="00A42880">
                    <w:pPr>
                      <w:jc w:val="right"/>
                      <w:rPr>
                        <w:rFonts w:ascii="Times New Roman" w:hAnsi="Times New Roman" w:cs="Times New Roman"/>
                        <w:szCs w:val="21"/>
                      </w:rPr>
                    </w:pPr>
                    <w:r>
                      <w:rPr>
                        <w:rFonts w:ascii="Times New Roman" w:hAnsi="Times New Roman" w:cs="Times New Roman"/>
                      </w:rPr>
                      <w:t>5,510,000</w:t>
                    </w:r>
                  </w:p>
                </w:tc>
                <w:sdt>
                  <w:sdtPr>
                    <w:rPr>
                      <w:rFonts w:ascii="Times New Roman" w:hAnsi="Times New Roman" w:cs="Times New Roman"/>
                      <w:szCs w:val="21"/>
                    </w:rPr>
                    <w:alias w:val="前十名股东持有股份状态"/>
                    <w:tag w:val="_GBC_601a9cb87dc846af9d4bed69aaea7888"/>
                    <w:id w:val="-196341289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2F4917A5"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221CEBC9"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626535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4A8E4580" w14:textId="77777777" w:rsidR="00D21C1F" w:rsidRDefault="00A42880">
                        <w:pPr>
                          <w:rPr>
                            <w:szCs w:val="21"/>
                          </w:rPr>
                        </w:pPr>
                        <w:r>
                          <w:rPr>
                            <w:szCs w:val="21"/>
                          </w:rPr>
                          <w:t>境内非国有法人</w:t>
                        </w:r>
                      </w:p>
                    </w:tc>
                  </w:sdtContent>
                </w:sdt>
              </w:tr>
            </w:sdtContent>
          </w:sdt>
          <w:sdt>
            <w:sdtPr>
              <w:rPr>
                <w:szCs w:val="21"/>
              </w:rPr>
              <w:alias w:val="前十名股东持股情况"/>
              <w:tag w:val="_TUP_b6625b98fb034d219361dd9a07e89023"/>
              <w:id w:val="-1878466715"/>
              <w:lock w:val="sdtLocked"/>
              <w:placeholder>
                <w:docPart w:val="83DF988284E74DCC99735F5BC3D02B96"/>
              </w:placeholder>
            </w:sdtPr>
            <w:sdtEndPr/>
            <w:sdtContent>
              <w:tr w:rsidR="00D21C1F" w14:paraId="18674A67" w14:textId="77777777" w:rsidTr="00DA0A37">
                <w:trPr>
                  <w:cantSplit/>
                </w:trPr>
                <w:tc>
                  <w:tcPr>
                    <w:tcW w:w="1011" w:type="pct"/>
                    <w:shd w:val="clear" w:color="auto" w:fill="auto"/>
                    <w:vAlign w:val="center"/>
                  </w:tcPr>
                  <w:p w14:paraId="46359D65" w14:textId="77777777" w:rsidR="00D21C1F" w:rsidRDefault="00A42880">
                    <w:pPr>
                      <w:rPr>
                        <w:szCs w:val="21"/>
                      </w:rPr>
                    </w:pPr>
                    <w:r>
                      <w:rPr>
                        <w:rFonts w:hint="eastAsia"/>
                        <w:szCs w:val="21"/>
                      </w:rPr>
                      <w:t>国信资本有限责任公司</w:t>
                    </w:r>
                  </w:p>
                </w:tc>
                <w:tc>
                  <w:tcPr>
                    <w:tcW w:w="651" w:type="pct"/>
                    <w:shd w:val="clear" w:color="auto" w:fill="auto"/>
                    <w:vAlign w:val="center"/>
                  </w:tcPr>
                  <w:p w14:paraId="11E41139" w14:textId="267AD0CE" w:rsidR="00D21C1F" w:rsidRDefault="00A42880">
                    <w:pPr>
                      <w:jc w:val="right"/>
                      <w:rPr>
                        <w:rFonts w:ascii="Times New Roman" w:hAnsi="Times New Roman" w:cs="Times New Roman"/>
                        <w:szCs w:val="21"/>
                      </w:rPr>
                    </w:pPr>
                    <w:r>
                      <w:rPr>
                        <w:rFonts w:ascii="Times New Roman" w:hAnsi="Times New Roman" w:cs="Times New Roman"/>
                        <w:szCs w:val="21"/>
                      </w:rPr>
                      <w:t>-</w:t>
                    </w:r>
                    <w:r w:rsidR="00843DCF">
                      <w:rPr>
                        <w:rFonts w:ascii="Times New Roman" w:hAnsi="Times New Roman" w:cs="Times New Roman"/>
                        <w:szCs w:val="21"/>
                      </w:rPr>
                      <w:t>1</w:t>
                    </w:r>
                    <w:r w:rsidR="00843DCF">
                      <w:rPr>
                        <w:rFonts w:ascii="Times New Roman" w:hAnsi="Times New Roman" w:cs="Times New Roman" w:hint="eastAsia"/>
                        <w:szCs w:val="21"/>
                      </w:rPr>
                      <w:t>,</w:t>
                    </w:r>
                    <w:r w:rsidR="00843DCF">
                      <w:rPr>
                        <w:rFonts w:ascii="Times New Roman" w:hAnsi="Times New Roman" w:cs="Times New Roman"/>
                        <w:szCs w:val="21"/>
                      </w:rPr>
                      <w:t>821</w:t>
                    </w:r>
                    <w:r w:rsidR="00843DCF">
                      <w:rPr>
                        <w:rFonts w:ascii="Times New Roman" w:hAnsi="Times New Roman" w:cs="Times New Roman" w:hint="eastAsia"/>
                        <w:szCs w:val="21"/>
                      </w:rPr>
                      <w:t>,</w:t>
                    </w:r>
                    <w:r w:rsidR="00843DCF">
                      <w:rPr>
                        <w:rFonts w:ascii="Times New Roman" w:hAnsi="Times New Roman" w:cs="Times New Roman"/>
                        <w:szCs w:val="21"/>
                      </w:rPr>
                      <w:t>900</w:t>
                    </w:r>
                  </w:p>
                </w:tc>
                <w:tc>
                  <w:tcPr>
                    <w:tcW w:w="658" w:type="pct"/>
                    <w:shd w:val="clear" w:color="auto" w:fill="auto"/>
                    <w:vAlign w:val="center"/>
                  </w:tcPr>
                  <w:p w14:paraId="75756FE6" w14:textId="77777777" w:rsidR="00D21C1F" w:rsidRDefault="00A42880">
                    <w:pPr>
                      <w:jc w:val="right"/>
                      <w:rPr>
                        <w:rFonts w:ascii="Times New Roman" w:hAnsi="Times New Roman" w:cs="Times New Roman"/>
                        <w:szCs w:val="21"/>
                      </w:rPr>
                    </w:pPr>
                    <w:r>
                      <w:rPr>
                        <w:rFonts w:ascii="Times New Roman" w:hAnsi="Times New Roman" w:cs="Times New Roman"/>
                        <w:szCs w:val="21"/>
                      </w:rPr>
                      <w:t>3,806,012</w:t>
                    </w:r>
                  </w:p>
                </w:tc>
                <w:tc>
                  <w:tcPr>
                    <w:tcW w:w="391" w:type="pct"/>
                    <w:gridSpan w:val="2"/>
                    <w:shd w:val="clear" w:color="auto" w:fill="auto"/>
                    <w:vAlign w:val="center"/>
                  </w:tcPr>
                  <w:p w14:paraId="3552D399"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.73</w:t>
                    </w:r>
                  </w:p>
                </w:tc>
                <w:tc>
                  <w:tcPr>
                    <w:tcW w:w="658" w:type="pct"/>
                    <w:shd w:val="clear" w:color="auto" w:fill="auto"/>
                    <w:vAlign w:val="center"/>
                  </w:tcPr>
                  <w:p w14:paraId="458C76F6" w14:textId="77777777" w:rsidR="00D21C1F" w:rsidRDefault="00A42880">
                    <w:pPr>
                      <w:jc w:val="right"/>
                      <w:rPr>
                        <w:rFonts w:ascii="Times New Roman" w:hAnsi="Times New Roman" w:cs="Times New Roman"/>
                        <w:szCs w:val="21"/>
                      </w:rPr>
                    </w:pPr>
                    <w:r>
                      <w:rPr>
                        <w:rFonts w:ascii="Times New Roman" w:hAnsi="Times New Roman" w:cs="Times New Roman"/>
                        <w:szCs w:val="21"/>
                      </w:rPr>
                      <w:t>3,806,012</w:t>
                    </w:r>
                  </w:p>
                </w:tc>
                <w:tc>
                  <w:tcPr>
                    <w:tcW w:w="659" w:type="pct"/>
                    <w:gridSpan w:val="2"/>
                    <w:vAlign w:val="center"/>
                  </w:tcPr>
                  <w:p w14:paraId="38BCA82A" w14:textId="77777777" w:rsidR="00D21C1F" w:rsidRDefault="00A42880">
                    <w:pPr>
                      <w:jc w:val="right"/>
                      <w:rPr>
                        <w:rFonts w:ascii="Times New Roman" w:hAnsi="Times New Roman" w:cs="Times New Roman"/>
                        <w:szCs w:val="21"/>
                      </w:rPr>
                    </w:pPr>
                    <w:r>
                      <w:rPr>
                        <w:rFonts w:ascii="Times New Roman" w:hAnsi="Times New Roman" w:cs="Times New Roman"/>
                        <w:szCs w:val="21"/>
                      </w:rPr>
                      <w:t>6,299,212</w:t>
                    </w:r>
                  </w:p>
                </w:tc>
                <w:sdt>
                  <w:sdtPr>
                    <w:rPr>
                      <w:rFonts w:ascii="Times New Roman" w:hAnsi="Times New Roman" w:cs="Times New Roman"/>
                      <w:szCs w:val="21"/>
                    </w:rPr>
                    <w:alias w:val="前十名股东持有股份状态"/>
                    <w:tag w:val="_GBC_601a9cb87dc846af9d4bed69aaea7888"/>
                    <w:id w:val="176317457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322" w:type="pct"/>
                        <w:shd w:val="clear" w:color="auto" w:fill="auto"/>
                        <w:vAlign w:val="center"/>
                      </w:tcPr>
                      <w:p w14:paraId="388C2335" w14:textId="77777777" w:rsidR="00D21C1F" w:rsidRDefault="00A42880">
                        <w:pPr>
                          <w:rPr>
                            <w:rFonts w:ascii="Times New Roman" w:hAnsi="Times New Roman" w:cs="Times New Roman"/>
                            <w:szCs w:val="21"/>
                          </w:rPr>
                        </w:pPr>
                        <w:r>
                          <w:rPr>
                            <w:rFonts w:ascii="Times New Roman" w:hAnsi="Times New Roman" w:cs="Times New Roman"/>
                            <w:szCs w:val="21"/>
                          </w:rPr>
                          <w:t>无</w:t>
                        </w:r>
                      </w:p>
                    </w:tc>
                  </w:sdtContent>
                </w:sdt>
                <w:tc>
                  <w:tcPr>
                    <w:tcW w:w="280" w:type="pct"/>
                    <w:shd w:val="clear" w:color="auto" w:fill="auto"/>
                    <w:vAlign w:val="center"/>
                  </w:tcPr>
                  <w:p w14:paraId="732F7AD2"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sdt>
                  <w:sdtPr>
                    <w:rPr>
                      <w:szCs w:val="21"/>
                    </w:rPr>
                    <w:alias w:val="前十名股东的股东性质"/>
                    <w:tag w:val="_GBC_68958727cb594705a259c3dd038cbe2f"/>
                    <w:id w:val="20674494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371" w:type="pct"/>
                        <w:shd w:val="clear" w:color="auto" w:fill="auto"/>
                        <w:vAlign w:val="center"/>
                      </w:tcPr>
                      <w:p w14:paraId="7F87D0EF" w14:textId="77777777" w:rsidR="00D21C1F" w:rsidRDefault="00A42880">
                        <w:pPr>
                          <w:rPr>
                            <w:szCs w:val="21"/>
                          </w:rPr>
                        </w:pPr>
                        <w:r>
                          <w:rPr>
                            <w:szCs w:val="21"/>
                          </w:rPr>
                          <w:t>国有法人</w:t>
                        </w:r>
                      </w:p>
                    </w:tc>
                  </w:sdtContent>
                </w:sdt>
              </w:tr>
            </w:sdtContent>
          </w:sdt>
          <w:tr w:rsidR="00D21C1F" w14:paraId="41CCDB43" w14:textId="77777777">
            <w:trPr>
              <w:cantSplit/>
            </w:trPr>
            <w:bookmarkEnd w:id="114" w:displacedByCustomXml="next"/>
            <w:sdt>
              <w:sdtPr>
                <w:tag w:val="_PLD_c9e6bafac4994fc7871e4eb6c4bef60e"/>
                <w:id w:val="-1961178584"/>
                <w:lock w:val="sdtLocked"/>
              </w:sdtPr>
              <w:sdtEndPr/>
              <w:sdtContent>
                <w:tc>
                  <w:tcPr>
                    <w:tcW w:w="5000" w:type="pct"/>
                    <w:gridSpan w:val="11"/>
                    <w:shd w:val="clear" w:color="auto" w:fill="auto"/>
                  </w:tcPr>
                  <w:p w14:paraId="4D9E0258" w14:textId="77777777" w:rsidR="00D21C1F" w:rsidRDefault="00A42880">
                    <w:pPr>
                      <w:jc w:val="center"/>
                      <w:rPr>
                        <w:szCs w:val="21"/>
                      </w:rPr>
                    </w:pPr>
                    <w:r>
                      <w:rPr>
                        <w:szCs w:val="21"/>
                      </w:rPr>
                      <w:t>前十名无限售条件股东持股情况</w:t>
                    </w:r>
                  </w:p>
                </w:tc>
              </w:sdtContent>
            </w:sdt>
          </w:tr>
          <w:tr w:rsidR="00D21C1F" w14:paraId="1F5585EF" w14:textId="77777777" w:rsidTr="00DA0A37">
            <w:trPr>
              <w:cantSplit/>
            </w:trPr>
            <w:sdt>
              <w:sdtPr>
                <w:tag w:val="_PLD_392c944a7c114c3889557be2a5fbd5e2"/>
                <w:id w:val="-928345325"/>
                <w:lock w:val="sdtLocked"/>
              </w:sdtPr>
              <w:sdtEndPr/>
              <w:sdtContent>
                <w:tc>
                  <w:tcPr>
                    <w:tcW w:w="2648" w:type="pct"/>
                    <w:gridSpan w:val="4"/>
                    <w:vMerge w:val="restart"/>
                    <w:shd w:val="clear" w:color="auto" w:fill="auto"/>
                    <w:vAlign w:val="center"/>
                  </w:tcPr>
                  <w:p w14:paraId="6B046564" w14:textId="77777777" w:rsidR="00D21C1F" w:rsidRDefault="00A42880">
                    <w:pPr>
                      <w:jc w:val="center"/>
                      <w:rPr>
                        <w:szCs w:val="21"/>
                      </w:rPr>
                    </w:pPr>
                    <w:r>
                      <w:rPr>
                        <w:szCs w:val="21"/>
                      </w:rPr>
                      <w:t>股东名称</w:t>
                    </w:r>
                  </w:p>
                </w:tc>
              </w:sdtContent>
            </w:sdt>
            <w:sdt>
              <w:sdtPr>
                <w:tag w:val="_PLD_d6e1cfed098f41c9bd47022a76f5fe3c"/>
                <w:id w:val="-1502040822"/>
                <w:lock w:val="sdtLocked"/>
              </w:sdtPr>
              <w:sdtEndPr/>
              <w:sdtContent>
                <w:tc>
                  <w:tcPr>
                    <w:tcW w:w="841" w:type="pct"/>
                    <w:gridSpan w:val="3"/>
                    <w:vMerge w:val="restart"/>
                    <w:shd w:val="clear" w:color="auto" w:fill="auto"/>
                    <w:vAlign w:val="center"/>
                  </w:tcPr>
                  <w:p w14:paraId="22B2952E" w14:textId="77777777" w:rsidR="00D21C1F" w:rsidRDefault="00A42880">
                    <w:pPr>
                      <w:jc w:val="center"/>
                      <w:rPr>
                        <w:szCs w:val="21"/>
                      </w:rPr>
                    </w:pPr>
                    <w:r>
                      <w:rPr>
                        <w:szCs w:val="21"/>
                      </w:rPr>
                      <w:t>持有无限售条件流通股的数量</w:t>
                    </w:r>
                  </w:p>
                </w:tc>
              </w:sdtContent>
            </w:sdt>
            <w:sdt>
              <w:sdtPr>
                <w:tag w:val="_PLD_a77673e8fdc1415f8fbb60a2f7a2660c"/>
                <w:id w:val="-927424154"/>
                <w:lock w:val="sdtLocked"/>
              </w:sdtPr>
              <w:sdtEndPr/>
              <w:sdtContent>
                <w:tc>
                  <w:tcPr>
                    <w:tcW w:w="1511" w:type="pct"/>
                    <w:gridSpan w:val="4"/>
                    <w:tcBorders>
                      <w:bottom w:val="single" w:sz="4" w:space="0" w:color="auto"/>
                    </w:tcBorders>
                    <w:shd w:val="clear" w:color="auto" w:fill="auto"/>
                    <w:vAlign w:val="center"/>
                  </w:tcPr>
                  <w:p w14:paraId="3811D642" w14:textId="77777777" w:rsidR="00D21C1F" w:rsidRDefault="00A42880">
                    <w:pPr>
                      <w:jc w:val="center"/>
                      <w:rPr>
                        <w:szCs w:val="21"/>
                      </w:rPr>
                    </w:pPr>
                    <w:r>
                      <w:rPr>
                        <w:szCs w:val="21"/>
                      </w:rPr>
                      <w:t>股份种类</w:t>
                    </w:r>
                    <w:r>
                      <w:rPr>
                        <w:rFonts w:hint="eastAsia"/>
                        <w:szCs w:val="21"/>
                      </w:rPr>
                      <w:t>及数量</w:t>
                    </w:r>
                  </w:p>
                </w:tc>
              </w:sdtContent>
            </w:sdt>
          </w:tr>
          <w:tr w:rsidR="00D21C1F" w14:paraId="0D6859DE" w14:textId="77777777" w:rsidTr="00DA0A37">
            <w:trPr>
              <w:cantSplit/>
            </w:trPr>
            <w:tc>
              <w:tcPr>
                <w:tcW w:w="2648" w:type="pct"/>
                <w:gridSpan w:val="4"/>
                <w:vMerge/>
                <w:shd w:val="clear" w:color="auto" w:fill="auto"/>
                <w:vAlign w:val="center"/>
              </w:tcPr>
              <w:p w14:paraId="2EFFE124" w14:textId="77777777" w:rsidR="00D21C1F" w:rsidRDefault="00D21C1F">
                <w:pPr>
                  <w:jc w:val="center"/>
                  <w:rPr>
                    <w:szCs w:val="21"/>
                  </w:rPr>
                </w:pPr>
              </w:p>
            </w:tc>
            <w:tc>
              <w:tcPr>
                <w:tcW w:w="841" w:type="pct"/>
                <w:gridSpan w:val="3"/>
                <w:vMerge/>
                <w:shd w:val="clear" w:color="auto" w:fill="auto"/>
                <w:vAlign w:val="center"/>
              </w:tcPr>
              <w:p w14:paraId="296CE836" w14:textId="77777777" w:rsidR="00D21C1F" w:rsidRDefault="00D21C1F">
                <w:pPr>
                  <w:jc w:val="center"/>
                  <w:rPr>
                    <w:szCs w:val="21"/>
                  </w:rPr>
                </w:pPr>
              </w:p>
            </w:tc>
            <w:sdt>
              <w:sdtPr>
                <w:tag w:val="_PLD_1dffa6c076534a1999d8549abe4fe883"/>
                <w:id w:val="978883130"/>
                <w:lock w:val="sdtLocked"/>
              </w:sdtPr>
              <w:sdtEndPr/>
              <w:sdtContent>
                <w:tc>
                  <w:tcPr>
                    <w:tcW w:w="860" w:type="pct"/>
                    <w:gridSpan w:val="2"/>
                    <w:shd w:val="clear" w:color="auto" w:fill="auto"/>
                    <w:vAlign w:val="center"/>
                  </w:tcPr>
                  <w:p w14:paraId="52153A0E" w14:textId="77777777" w:rsidR="00D21C1F" w:rsidRDefault="00A42880">
                    <w:pPr>
                      <w:jc w:val="center"/>
                      <w:rPr>
                        <w:szCs w:val="21"/>
                      </w:rPr>
                    </w:pPr>
                    <w:r>
                      <w:rPr>
                        <w:rFonts w:hint="eastAsia"/>
                        <w:szCs w:val="21"/>
                      </w:rPr>
                      <w:t>种类</w:t>
                    </w:r>
                  </w:p>
                </w:tc>
              </w:sdtContent>
            </w:sdt>
            <w:sdt>
              <w:sdtPr>
                <w:tag w:val="_PLD_77c24846b23f4da78746d1a64bbe819e"/>
                <w:id w:val="364872343"/>
                <w:lock w:val="sdtLocked"/>
              </w:sdtPr>
              <w:sdtEndPr/>
              <w:sdtContent>
                <w:tc>
                  <w:tcPr>
                    <w:tcW w:w="651" w:type="pct"/>
                    <w:gridSpan w:val="2"/>
                    <w:shd w:val="clear" w:color="auto" w:fill="auto"/>
                    <w:vAlign w:val="center"/>
                  </w:tcPr>
                  <w:p w14:paraId="13610E25" w14:textId="77777777" w:rsidR="00D21C1F" w:rsidRDefault="00A42880">
                    <w:pPr>
                      <w:jc w:val="center"/>
                      <w:rPr>
                        <w:szCs w:val="21"/>
                      </w:rPr>
                    </w:pPr>
                    <w:r>
                      <w:rPr>
                        <w:rFonts w:hint="eastAsia"/>
                        <w:szCs w:val="21"/>
                      </w:rPr>
                      <w:t>数量</w:t>
                    </w:r>
                  </w:p>
                </w:tc>
              </w:sdtContent>
            </w:sdt>
          </w:tr>
          <w:sdt>
            <w:sdtPr>
              <w:rPr>
                <w:rFonts w:ascii="Times New Roman" w:hAnsi="Times New Roman" w:cs="Times New Roman"/>
                <w:szCs w:val="21"/>
              </w:rPr>
              <w:alias w:val="前十名无限售条件股东持股情况"/>
              <w:tag w:val="_TUP_9d20dbd91b934a4f974de5220b6d037f"/>
              <w:id w:val="-443237778"/>
              <w:lock w:val="sdtLocked"/>
              <w:placeholder>
                <w:docPart w:val="83DF988284E74DCC99735F5BC3D02B96"/>
              </w:placeholder>
            </w:sdtPr>
            <w:sdtEndPr/>
            <w:sdtContent>
              <w:tr w:rsidR="00D21C1F" w14:paraId="60ACD06D" w14:textId="77777777" w:rsidTr="00DA0A37">
                <w:trPr>
                  <w:cantSplit/>
                </w:trPr>
                <w:tc>
                  <w:tcPr>
                    <w:tcW w:w="2648" w:type="pct"/>
                    <w:gridSpan w:val="4"/>
                    <w:shd w:val="clear" w:color="auto" w:fill="auto"/>
                  </w:tcPr>
                  <w:p w14:paraId="774C4481" w14:textId="77777777" w:rsidR="00D21C1F" w:rsidRDefault="00A42880">
                    <w:pPr>
                      <w:jc w:val="both"/>
                      <w:rPr>
                        <w:rFonts w:ascii="Times New Roman" w:hAnsi="Times New Roman" w:cs="Times New Roman"/>
                        <w:szCs w:val="21"/>
                      </w:rPr>
                    </w:pPr>
                    <w:r>
                      <w:rPr>
                        <w:rFonts w:ascii="Times New Roman" w:hAnsi="Times New Roman" w:cs="Times New Roman"/>
                        <w:szCs w:val="21"/>
                      </w:rPr>
                      <w:t>中国农业银行股份有限公司－银华内需精选混合型证券投资基金（</w:t>
                    </w:r>
                    <w:r>
                      <w:rPr>
                        <w:rFonts w:ascii="Times New Roman" w:hAnsi="Times New Roman" w:cs="Times New Roman"/>
                        <w:szCs w:val="21"/>
                      </w:rPr>
                      <w:t>LOF</w:t>
                    </w:r>
                    <w:r>
                      <w:rPr>
                        <w:rFonts w:ascii="Times New Roman" w:hAnsi="Times New Roman" w:cs="Times New Roman"/>
                        <w:szCs w:val="21"/>
                      </w:rPr>
                      <w:t>）</w:t>
                    </w:r>
                  </w:p>
                </w:tc>
                <w:tc>
                  <w:tcPr>
                    <w:tcW w:w="841" w:type="pct"/>
                    <w:gridSpan w:val="3"/>
                    <w:shd w:val="clear" w:color="auto" w:fill="auto"/>
                    <w:vAlign w:val="center"/>
                  </w:tcPr>
                  <w:p w14:paraId="43ED052B"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1,800,000</w:t>
                    </w:r>
                  </w:p>
                </w:tc>
                <w:sdt>
                  <w:sdtPr>
                    <w:rPr>
                      <w:rFonts w:ascii="Times New Roman" w:hAnsi="Times New Roman" w:cs="Times New Roman"/>
                      <w:bCs/>
                      <w:szCs w:val="21"/>
                    </w:rPr>
                    <w:alias w:val="前十名无限售条件股东期末持有流通股的种类"/>
                    <w:tag w:val="_GBC_1e9b5cd905ad4aaebdc32a1af6bcccdd"/>
                    <w:id w:val="1209305096"/>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76EC29A5"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5D0695C7" w14:textId="77777777" w:rsidR="00D21C1F" w:rsidRDefault="00A42880" w:rsidP="000C4179">
                    <w:pPr>
                      <w:jc w:val="right"/>
                      <w:rPr>
                        <w:rFonts w:ascii="Times New Roman" w:hAnsi="Times New Roman" w:cs="Times New Roman"/>
                        <w:szCs w:val="21"/>
                      </w:rPr>
                    </w:pPr>
                    <w:r>
                      <w:rPr>
                        <w:rFonts w:ascii="Times New Roman" w:hAnsi="Times New Roman" w:cs="Times New Roman"/>
                      </w:rPr>
                      <w:t>1,800,000</w:t>
                    </w:r>
                  </w:p>
                </w:tc>
              </w:tr>
            </w:sdtContent>
          </w:sdt>
          <w:sdt>
            <w:sdtPr>
              <w:rPr>
                <w:rFonts w:ascii="Times New Roman" w:hAnsi="Times New Roman" w:cs="Times New Roman"/>
                <w:szCs w:val="21"/>
              </w:rPr>
              <w:alias w:val="前十名无限售条件股东持股情况"/>
              <w:tag w:val="_TUP_9d20dbd91b934a4f974de5220b6d037f"/>
              <w:id w:val="-1850411937"/>
              <w:lock w:val="sdtLocked"/>
              <w:placeholder>
                <w:docPart w:val="83DF988284E74DCC99735F5BC3D02B96"/>
              </w:placeholder>
            </w:sdtPr>
            <w:sdtEndPr/>
            <w:sdtContent>
              <w:tr w:rsidR="00D21C1F" w14:paraId="44AA5571" w14:textId="77777777" w:rsidTr="00DA0A37">
                <w:trPr>
                  <w:cantSplit/>
                </w:trPr>
                <w:tc>
                  <w:tcPr>
                    <w:tcW w:w="2648" w:type="pct"/>
                    <w:gridSpan w:val="4"/>
                    <w:shd w:val="clear" w:color="auto" w:fill="auto"/>
                  </w:tcPr>
                  <w:p w14:paraId="60C4DD55" w14:textId="77777777" w:rsidR="00D21C1F" w:rsidRDefault="00A42880">
                    <w:pPr>
                      <w:jc w:val="both"/>
                      <w:rPr>
                        <w:rFonts w:ascii="Times New Roman" w:hAnsi="Times New Roman" w:cs="Times New Roman"/>
                        <w:szCs w:val="21"/>
                      </w:rPr>
                    </w:pPr>
                    <w:r>
                      <w:rPr>
                        <w:rFonts w:ascii="Times New Roman" w:hAnsi="Times New Roman" w:cs="Times New Roman"/>
                        <w:szCs w:val="21"/>
                      </w:rPr>
                      <w:t>新活力资本投资有限公司－新活力稳进私募基金</w:t>
                    </w:r>
                  </w:p>
                </w:tc>
                <w:tc>
                  <w:tcPr>
                    <w:tcW w:w="841" w:type="pct"/>
                    <w:gridSpan w:val="3"/>
                    <w:shd w:val="clear" w:color="auto" w:fill="auto"/>
                    <w:vAlign w:val="center"/>
                  </w:tcPr>
                  <w:p w14:paraId="7B6BE9C1"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1,191,408</w:t>
                    </w:r>
                  </w:p>
                </w:tc>
                <w:sdt>
                  <w:sdtPr>
                    <w:rPr>
                      <w:rFonts w:ascii="Times New Roman" w:hAnsi="Times New Roman" w:cs="Times New Roman"/>
                      <w:bCs/>
                      <w:szCs w:val="21"/>
                    </w:rPr>
                    <w:alias w:val="前十名无限售条件股东期末持有流通股的种类"/>
                    <w:tag w:val="_GBC_1e9b5cd905ad4aaebdc32a1af6bcccdd"/>
                    <w:id w:val="-2062632858"/>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75F3962F"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1CD579B2" w14:textId="77777777" w:rsidR="00D21C1F" w:rsidRDefault="00A42880" w:rsidP="000C4179">
                    <w:pPr>
                      <w:jc w:val="right"/>
                      <w:rPr>
                        <w:rFonts w:ascii="Times New Roman" w:hAnsi="Times New Roman" w:cs="Times New Roman"/>
                        <w:szCs w:val="21"/>
                      </w:rPr>
                    </w:pPr>
                    <w:r>
                      <w:rPr>
                        <w:rFonts w:ascii="Times New Roman" w:hAnsi="Times New Roman" w:cs="Times New Roman"/>
                      </w:rPr>
                      <w:t>1,191,408</w:t>
                    </w:r>
                  </w:p>
                </w:tc>
              </w:tr>
            </w:sdtContent>
          </w:sdt>
          <w:sdt>
            <w:sdtPr>
              <w:rPr>
                <w:rFonts w:ascii="Times New Roman" w:hAnsi="Times New Roman" w:cs="Times New Roman"/>
                <w:szCs w:val="21"/>
              </w:rPr>
              <w:alias w:val="前十名无限售条件股东持股情况"/>
              <w:tag w:val="_TUP_9d20dbd91b934a4f974de5220b6d037f"/>
              <w:id w:val="-36744536"/>
              <w:lock w:val="sdtLocked"/>
              <w:placeholder>
                <w:docPart w:val="83DF988284E74DCC99735F5BC3D02B96"/>
              </w:placeholder>
            </w:sdtPr>
            <w:sdtEndPr/>
            <w:sdtContent>
              <w:tr w:rsidR="00D21C1F" w14:paraId="29A442F6" w14:textId="77777777" w:rsidTr="00DA0A37">
                <w:trPr>
                  <w:cantSplit/>
                </w:trPr>
                <w:tc>
                  <w:tcPr>
                    <w:tcW w:w="2648" w:type="pct"/>
                    <w:gridSpan w:val="4"/>
                    <w:shd w:val="clear" w:color="auto" w:fill="auto"/>
                  </w:tcPr>
                  <w:p w14:paraId="559C973B" w14:textId="77777777" w:rsidR="00D21C1F" w:rsidRDefault="00A42880">
                    <w:pPr>
                      <w:jc w:val="both"/>
                      <w:rPr>
                        <w:rFonts w:ascii="Times New Roman" w:hAnsi="Times New Roman" w:cs="Times New Roman"/>
                        <w:szCs w:val="21"/>
                      </w:rPr>
                    </w:pPr>
                    <w:r>
                      <w:rPr>
                        <w:rFonts w:ascii="Times New Roman" w:hAnsi="Times New Roman" w:cs="Times New Roman"/>
                        <w:szCs w:val="21"/>
                      </w:rPr>
                      <w:t>钟仁美</w:t>
                    </w:r>
                  </w:p>
                </w:tc>
                <w:tc>
                  <w:tcPr>
                    <w:tcW w:w="841" w:type="pct"/>
                    <w:gridSpan w:val="3"/>
                    <w:shd w:val="clear" w:color="auto" w:fill="auto"/>
                    <w:vAlign w:val="center"/>
                  </w:tcPr>
                  <w:p w14:paraId="7362A1B3"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850,345</w:t>
                    </w:r>
                  </w:p>
                </w:tc>
                <w:sdt>
                  <w:sdtPr>
                    <w:rPr>
                      <w:rFonts w:ascii="Times New Roman" w:hAnsi="Times New Roman" w:cs="Times New Roman"/>
                      <w:bCs/>
                      <w:szCs w:val="21"/>
                    </w:rPr>
                    <w:alias w:val="前十名无限售条件股东期末持有流通股的种类"/>
                    <w:tag w:val="_GBC_1e9b5cd905ad4aaebdc32a1af6bcccdd"/>
                    <w:id w:val="1623659449"/>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29E2461E"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68A8AA90" w14:textId="77777777" w:rsidR="00D21C1F" w:rsidRDefault="00A42880" w:rsidP="000C4179">
                    <w:pPr>
                      <w:jc w:val="right"/>
                      <w:rPr>
                        <w:rFonts w:ascii="Times New Roman" w:hAnsi="Times New Roman" w:cs="Times New Roman"/>
                        <w:szCs w:val="21"/>
                      </w:rPr>
                    </w:pPr>
                    <w:r>
                      <w:rPr>
                        <w:rFonts w:ascii="Times New Roman" w:hAnsi="Times New Roman" w:cs="Times New Roman"/>
                      </w:rPr>
                      <w:t>850,345</w:t>
                    </w:r>
                  </w:p>
                </w:tc>
              </w:tr>
            </w:sdtContent>
          </w:sdt>
          <w:sdt>
            <w:sdtPr>
              <w:rPr>
                <w:rFonts w:ascii="Times New Roman" w:hAnsi="Times New Roman" w:cs="Times New Roman"/>
                <w:szCs w:val="21"/>
              </w:rPr>
              <w:alias w:val="前十名无限售条件股东持股情况"/>
              <w:tag w:val="_TUP_9d20dbd91b934a4f974de5220b6d037f"/>
              <w:id w:val="423693955"/>
              <w:lock w:val="sdtLocked"/>
              <w:placeholder>
                <w:docPart w:val="83DF988284E74DCC99735F5BC3D02B96"/>
              </w:placeholder>
            </w:sdtPr>
            <w:sdtEndPr/>
            <w:sdtContent>
              <w:tr w:rsidR="00D21C1F" w14:paraId="1B7EC6A1" w14:textId="77777777" w:rsidTr="00DA0A37">
                <w:trPr>
                  <w:cantSplit/>
                </w:trPr>
                <w:tc>
                  <w:tcPr>
                    <w:tcW w:w="2648" w:type="pct"/>
                    <w:gridSpan w:val="4"/>
                    <w:shd w:val="clear" w:color="auto" w:fill="auto"/>
                  </w:tcPr>
                  <w:p w14:paraId="1DA99962" w14:textId="77777777" w:rsidR="00D21C1F" w:rsidRDefault="00A42880">
                    <w:pPr>
                      <w:jc w:val="both"/>
                      <w:rPr>
                        <w:rFonts w:ascii="Times New Roman" w:hAnsi="Times New Roman" w:cs="Times New Roman"/>
                        <w:szCs w:val="21"/>
                      </w:rPr>
                    </w:pPr>
                    <w:r>
                      <w:rPr>
                        <w:rFonts w:ascii="Times New Roman" w:hAnsi="Times New Roman" w:cs="Times New Roman"/>
                        <w:szCs w:val="21"/>
                      </w:rPr>
                      <w:t>刘颖华</w:t>
                    </w:r>
                  </w:p>
                </w:tc>
                <w:tc>
                  <w:tcPr>
                    <w:tcW w:w="841" w:type="pct"/>
                    <w:gridSpan w:val="3"/>
                    <w:shd w:val="clear" w:color="auto" w:fill="auto"/>
                    <w:vAlign w:val="center"/>
                  </w:tcPr>
                  <w:p w14:paraId="0E6DF90E"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760,000</w:t>
                    </w:r>
                  </w:p>
                </w:tc>
                <w:sdt>
                  <w:sdtPr>
                    <w:rPr>
                      <w:rFonts w:ascii="Times New Roman" w:hAnsi="Times New Roman" w:cs="Times New Roman"/>
                      <w:bCs/>
                      <w:szCs w:val="21"/>
                    </w:rPr>
                    <w:alias w:val="前十名无限售条件股东期末持有流通股的种类"/>
                    <w:tag w:val="_GBC_1e9b5cd905ad4aaebdc32a1af6bcccdd"/>
                    <w:id w:val="1159737317"/>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2BF84742"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6ED27927" w14:textId="77777777" w:rsidR="00D21C1F" w:rsidRDefault="00A42880" w:rsidP="000C4179">
                    <w:pPr>
                      <w:jc w:val="right"/>
                      <w:rPr>
                        <w:rFonts w:ascii="Times New Roman" w:hAnsi="Times New Roman" w:cs="Times New Roman"/>
                        <w:szCs w:val="21"/>
                      </w:rPr>
                    </w:pPr>
                    <w:r>
                      <w:rPr>
                        <w:rFonts w:ascii="Times New Roman" w:hAnsi="Times New Roman" w:cs="Times New Roman"/>
                      </w:rPr>
                      <w:t>760,000</w:t>
                    </w:r>
                  </w:p>
                </w:tc>
              </w:tr>
            </w:sdtContent>
          </w:sdt>
          <w:sdt>
            <w:sdtPr>
              <w:rPr>
                <w:rFonts w:ascii="Times New Roman" w:hAnsi="Times New Roman" w:cs="Times New Roman"/>
                <w:szCs w:val="21"/>
              </w:rPr>
              <w:alias w:val="前十名无限售条件股东持股情况"/>
              <w:tag w:val="_TUP_9d20dbd91b934a4f974de5220b6d037f"/>
              <w:id w:val="1078799315"/>
              <w:lock w:val="sdtLocked"/>
              <w:placeholder>
                <w:docPart w:val="83DF988284E74DCC99735F5BC3D02B96"/>
              </w:placeholder>
            </w:sdtPr>
            <w:sdtEndPr/>
            <w:sdtContent>
              <w:tr w:rsidR="00D21C1F" w14:paraId="38D12BE5" w14:textId="77777777" w:rsidTr="00DA0A37">
                <w:trPr>
                  <w:cantSplit/>
                </w:trPr>
                <w:tc>
                  <w:tcPr>
                    <w:tcW w:w="2648" w:type="pct"/>
                    <w:gridSpan w:val="4"/>
                    <w:shd w:val="clear" w:color="auto" w:fill="auto"/>
                  </w:tcPr>
                  <w:p w14:paraId="6996D2E5" w14:textId="77777777" w:rsidR="00D21C1F" w:rsidRDefault="00A42880">
                    <w:pPr>
                      <w:jc w:val="both"/>
                      <w:rPr>
                        <w:rFonts w:ascii="Times New Roman" w:hAnsi="Times New Roman" w:cs="Times New Roman"/>
                        <w:szCs w:val="21"/>
                      </w:rPr>
                    </w:pPr>
                    <w:r>
                      <w:rPr>
                        <w:rFonts w:ascii="Times New Roman" w:hAnsi="Times New Roman" w:cs="Times New Roman"/>
                        <w:szCs w:val="21"/>
                      </w:rPr>
                      <w:t>法国兴业银行</w:t>
                    </w:r>
                  </w:p>
                </w:tc>
                <w:tc>
                  <w:tcPr>
                    <w:tcW w:w="841" w:type="pct"/>
                    <w:gridSpan w:val="3"/>
                    <w:shd w:val="clear" w:color="auto" w:fill="auto"/>
                    <w:vAlign w:val="center"/>
                  </w:tcPr>
                  <w:p w14:paraId="5A25952C"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675,976</w:t>
                    </w:r>
                  </w:p>
                </w:tc>
                <w:sdt>
                  <w:sdtPr>
                    <w:rPr>
                      <w:rFonts w:ascii="Times New Roman" w:hAnsi="Times New Roman" w:cs="Times New Roman"/>
                      <w:bCs/>
                      <w:szCs w:val="21"/>
                    </w:rPr>
                    <w:alias w:val="前十名无限售条件股东期末持有流通股的种类"/>
                    <w:tag w:val="_GBC_1e9b5cd905ad4aaebdc32a1af6bcccdd"/>
                    <w:id w:val="-37365397"/>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6ED8AE18"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099BCB41" w14:textId="77777777" w:rsidR="00D21C1F" w:rsidRDefault="00A42880" w:rsidP="000C4179">
                    <w:pPr>
                      <w:jc w:val="right"/>
                      <w:rPr>
                        <w:rFonts w:ascii="Times New Roman" w:hAnsi="Times New Roman" w:cs="Times New Roman"/>
                        <w:szCs w:val="21"/>
                      </w:rPr>
                    </w:pPr>
                    <w:r>
                      <w:rPr>
                        <w:rFonts w:ascii="Times New Roman" w:hAnsi="Times New Roman" w:cs="Times New Roman"/>
                      </w:rPr>
                      <w:t>675,976</w:t>
                    </w:r>
                  </w:p>
                </w:tc>
              </w:tr>
            </w:sdtContent>
          </w:sdt>
          <w:sdt>
            <w:sdtPr>
              <w:rPr>
                <w:rFonts w:ascii="Times New Roman" w:hAnsi="Times New Roman" w:cs="Times New Roman"/>
                <w:szCs w:val="21"/>
              </w:rPr>
              <w:alias w:val="前十名无限售条件股东持股情况"/>
              <w:tag w:val="_TUP_9d20dbd91b934a4f974de5220b6d037f"/>
              <w:id w:val="1449194731"/>
              <w:lock w:val="sdtLocked"/>
              <w:placeholder>
                <w:docPart w:val="83DF988284E74DCC99735F5BC3D02B96"/>
              </w:placeholder>
            </w:sdtPr>
            <w:sdtEndPr/>
            <w:sdtContent>
              <w:tr w:rsidR="00D21C1F" w14:paraId="4699BB89" w14:textId="77777777" w:rsidTr="00DA0A37">
                <w:trPr>
                  <w:cantSplit/>
                </w:trPr>
                <w:tc>
                  <w:tcPr>
                    <w:tcW w:w="2648" w:type="pct"/>
                    <w:gridSpan w:val="4"/>
                    <w:shd w:val="clear" w:color="auto" w:fill="auto"/>
                  </w:tcPr>
                  <w:p w14:paraId="4B8DBB45" w14:textId="77777777" w:rsidR="00D21C1F" w:rsidRDefault="00A42880">
                    <w:pPr>
                      <w:jc w:val="both"/>
                      <w:rPr>
                        <w:rFonts w:ascii="Times New Roman" w:hAnsi="Times New Roman" w:cs="Times New Roman"/>
                        <w:szCs w:val="21"/>
                      </w:rPr>
                    </w:pPr>
                    <w:r>
                      <w:rPr>
                        <w:rFonts w:ascii="Times New Roman" w:hAnsi="Times New Roman" w:cs="Times New Roman"/>
                        <w:szCs w:val="21"/>
                      </w:rPr>
                      <w:t>九坤投资（北京）有限公司－九坤私享</w:t>
                    </w:r>
                    <w:r>
                      <w:rPr>
                        <w:rFonts w:ascii="Times New Roman" w:hAnsi="Times New Roman" w:cs="Times New Roman"/>
                        <w:szCs w:val="21"/>
                      </w:rPr>
                      <w:t>23</w:t>
                    </w:r>
                    <w:r>
                      <w:rPr>
                        <w:rFonts w:ascii="Times New Roman" w:hAnsi="Times New Roman" w:cs="Times New Roman"/>
                        <w:szCs w:val="21"/>
                      </w:rPr>
                      <w:t>号私募证券投资基金</w:t>
                    </w:r>
                  </w:p>
                </w:tc>
                <w:tc>
                  <w:tcPr>
                    <w:tcW w:w="841" w:type="pct"/>
                    <w:gridSpan w:val="3"/>
                    <w:shd w:val="clear" w:color="auto" w:fill="auto"/>
                    <w:vAlign w:val="center"/>
                  </w:tcPr>
                  <w:p w14:paraId="1756200F"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638,600</w:t>
                    </w:r>
                  </w:p>
                </w:tc>
                <w:sdt>
                  <w:sdtPr>
                    <w:rPr>
                      <w:rFonts w:ascii="Times New Roman" w:hAnsi="Times New Roman" w:cs="Times New Roman"/>
                      <w:bCs/>
                      <w:szCs w:val="21"/>
                    </w:rPr>
                    <w:alias w:val="前十名无限售条件股东期末持有流通股的种类"/>
                    <w:tag w:val="_GBC_1e9b5cd905ad4aaebdc32a1af6bcccdd"/>
                    <w:id w:val="-1926183844"/>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5E1898B1"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70A6B5CF" w14:textId="77777777" w:rsidR="00D21C1F" w:rsidRDefault="00A42880" w:rsidP="000C4179">
                    <w:pPr>
                      <w:jc w:val="right"/>
                      <w:rPr>
                        <w:rFonts w:ascii="Times New Roman" w:hAnsi="Times New Roman" w:cs="Times New Roman"/>
                        <w:szCs w:val="21"/>
                      </w:rPr>
                    </w:pPr>
                    <w:r>
                      <w:rPr>
                        <w:rFonts w:ascii="Times New Roman" w:hAnsi="Times New Roman" w:cs="Times New Roman"/>
                      </w:rPr>
                      <w:t>638,600</w:t>
                    </w:r>
                  </w:p>
                </w:tc>
              </w:tr>
            </w:sdtContent>
          </w:sdt>
          <w:sdt>
            <w:sdtPr>
              <w:rPr>
                <w:rFonts w:ascii="Times New Roman" w:hAnsi="Times New Roman" w:cs="Times New Roman"/>
                <w:szCs w:val="21"/>
              </w:rPr>
              <w:alias w:val="前十名无限售条件股东持股情况"/>
              <w:tag w:val="_TUP_9d20dbd91b934a4f974de5220b6d037f"/>
              <w:id w:val="-917241032"/>
              <w:lock w:val="sdtLocked"/>
              <w:placeholder>
                <w:docPart w:val="83DF988284E74DCC99735F5BC3D02B96"/>
              </w:placeholder>
            </w:sdtPr>
            <w:sdtEndPr/>
            <w:sdtContent>
              <w:tr w:rsidR="00D21C1F" w14:paraId="33C40FAA" w14:textId="77777777" w:rsidTr="00DA0A37">
                <w:trPr>
                  <w:cantSplit/>
                </w:trPr>
                <w:tc>
                  <w:tcPr>
                    <w:tcW w:w="2648" w:type="pct"/>
                    <w:gridSpan w:val="4"/>
                    <w:shd w:val="clear" w:color="auto" w:fill="auto"/>
                  </w:tcPr>
                  <w:p w14:paraId="12BC61FF" w14:textId="77777777" w:rsidR="00D21C1F" w:rsidRDefault="00A42880">
                    <w:pPr>
                      <w:jc w:val="both"/>
                      <w:rPr>
                        <w:rFonts w:ascii="Times New Roman" w:hAnsi="Times New Roman" w:cs="Times New Roman"/>
                        <w:szCs w:val="21"/>
                      </w:rPr>
                    </w:pPr>
                    <w:r>
                      <w:rPr>
                        <w:rFonts w:ascii="Times New Roman" w:hAnsi="Times New Roman" w:cs="Times New Roman"/>
                        <w:szCs w:val="21"/>
                      </w:rPr>
                      <w:t>蒙雪梅</w:t>
                    </w:r>
                  </w:p>
                </w:tc>
                <w:tc>
                  <w:tcPr>
                    <w:tcW w:w="841" w:type="pct"/>
                    <w:gridSpan w:val="3"/>
                    <w:shd w:val="clear" w:color="auto" w:fill="auto"/>
                    <w:vAlign w:val="center"/>
                  </w:tcPr>
                  <w:p w14:paraId="60082457"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580,940</w:t>
                    </w:r>
                  </w:p>
                </w:tc>
                <w:sdt>
                  <w:sdtPr>
                    <w:rPr>
                      <w:rFonts w:ascii="Times New Roman" w:hAnsi="Times New Roman" w:cs="Times New Roman"/>
                      <w:bCs/>
                      <w:szCs w:val="21"/>
                    </w:rPr>
                    <w:alias w:val="前十名无限售条件股东期末持有流通股的种类"/>
                    <w:tag w:val="_GBC_1e9b5cd905ad4aaebdc32a1af6bcccdd"/>
                    <w:id w:val="1128675776"/>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3366F9FE"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10915DB1" w14:textId="77777777" w:rsidR="00D21C1F" w:rsidRDefault="00A42880" w:rsidP="000C4179">
                    <w:pPr>
                      <w:jc w:val="right"/>
                      <w:rPr>
                        <w:rFonts w:ascii="Times New Roman" w:hAnsi="Times New Roman" w:cs="Times New Roman"/>
                        <w:szCs w:val="21"/>
                      </w:rPr>
                    </w:pPr>
                    <w:r>
                      <w:rPr>
                        <w:rFonts w:ascii="Times New Roman" w:hAnsi="Times New Roman" w:cs="Times New Roman"/>
                      </w:rPr>
                      <w:t>580,940</w:t>
                    </w:r>
                  </w:p>
                </w:tc>
              </w:tr>
            </w:sdtContent>
          </w:sdt>
          <w:sdt>
            <w:sdtPr>
              <w:rPr>
                <w:rFonts w:ascii="Times New Roman" w:hAnsi="Times New Roman" w:cs="Times New Roman"/>
                <w:szCs w:val="21"/>
              </w:rPr>
              <w:alias w:val="前十名无限售条件股东持股情况"/>
              <w:tag w:val="_TUP_9d20dbd91b934a4f974de5220b6d037f"/>
              <w:id w:val="-656151038"/>
              <w:lock w:val="sdtLocked"/>
              <w:placeholder>
                <w:docPart w:val="83DF988284E74DCC99735F5BC3D02B96"/>
              </w:placeholder>
            </w:sdtPr>
            <w:sdtEndPr/>
            <w:sdtContent>
              <w:tr w:rsidR="00D21C1F" w14:paraId="4AD39F24" w14:textId="77777777" w:rsidTr="00DA0A37">
                <w:trPr>
                  <w:cantSplit/>
                </w:trPr>
                <w:tc>
                  <w:tcPr>
                    <w:tcW w:w="2648" w:type="pct"/>
                    <w:gridSpan w:val="4"/>
                    <w:shd w:val="clear" w:color="auto" w:fill="auto"/>
                  </w:tcPr>
                  <w:p w14:paraId="0399C7BA" w14:textId="77777777" w:rsidR="00D21C1F" w:rsidRDefault="00A42880">
                    <w:pPr>
                      <w:jc w:val="both"/>
                      <w:rPr>
                        <w:rFonts w:ascii="Times New Roman" w:hAnsi="Times New Roman" w:cs="Times New Roman"/>
                        <w:szCs w:val="21"/>
                      </w:rPr>
                    </w:pPr>
                    <w:r>
                      <w:rPr>
                        <w:rFonts w:ascii="Times New Roman" w:hAnsi="Times New Roman" w:cs="Times New Roman"/>
                        <w:szCs w:val="21"/>
                      </w:rPr>
                      <w:t>沈晓东</w:t>
                    </w:r>
                  </w:p>
                </w:tc>
                <w:tc>
                  <w:tcPr>
                    <w:tcW w:w="841" w:type="pct"/>
                    <w:gridSpan w:val="3"/>
                    <w:shd w:val="clear" w:color="auto" w:fill="auto"/>
                    <w:vAlign w:val="center"/>
                  </w:tcPr>
                  <w:p w14:paraId="3D8FCB51"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542,837</w:t>
                    </w:r>
                  </w:p>
                </w:tc>
                <w:sdt>
                  <w:sdtPr>
                    <w:rPr>
                      <w:rFonts w:ascii="Times New Roman" w:hAnsi="Times New Roman" w:cs="Times New Roman"/>
                      <w:bCs/>
                      <w:szCs w:val="21"/>
                    </w:rPr>
                    <w:alias w:val="前十名无限售条件股东期末持有流通股的种类"/>
                    <w:tag w:val="_GBC_1e9b5cd905ad4aaebdc32a1af6bcccdd"/>
                    <w:id w:val="-1216584830"/>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5077A45D"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18E957A2" w14:textId="77777777" w:rsidR="00D21C1F" w:rsidRDefault="00A42880" w:rsidP="000C4179">
                    <w:pPr>
                      <w:jc w:val="right"/>
                      <w:rPr>
                        <w:rFonts w:ascii="Times New Roman" w:hAnsi="Times New Roman" w:cs="Times New Roman"/>
                        <w:szCs w:val="21"/>
                      </w:rPr>
                    </w:pPr>
                    <w:r>
                      <w:rPr>
                        <w:rFonts w:ascii="Times New Roman" w:hAnsi="Times New Roman" w:cs="Times New Roman"/>
                      </w:rPr>
                      <w:t>542,837</w:t>
                    </w:r>
                  </w:p>
                </w:tc>
              </w:tr>
            </w:sdtContent>
          </w:sdt>
          <w:sdt>
            <w:sdtPr>
              <w:rPr>
                <w:rFonts w:ascii="Times New Roman" w:hAnsi="Times New Roman" w:cs="Times New Roman"/>
                <w:szCs w:val="21"/>
              </w:rPr>
              <w:alias w:val="前十名无限售条件股东持股情况"/>
              <w:tag w:val="_TUP_9d20dbd91b934a4f974de5220b6d037f"/>
              <w:id w:val="93527890"/>
              <w:lock w:val="sdtLocked"/>
              <w:placeholder>
                <w:docPart w:val="83DF988284E74DCC99735F5BC3D02B96"/>
              </w:placeholder>
            </w:sdtPr>
            <w:sdtEndPr/>
            <w:sdtContent>
              <w:tr w:rsidR="00D21C1F" w14:paraId="64532083" w14:textId="77777777" w:rsidTr="00DA0A37">
                <w:trPr>
                  <w:cantSplit/>
                </w:trPr>
                <w:tc>
                  <w:tcPr>
                    <w:tcW w:w="2648" w:type="pct"/>
                    <w:gridSpan w:val="4"/>
                    <w:shd w:val="clear" w:color="auto" w:fill="auto"/>
                  </w:tcPr>
                  <w:p w14:paraId="338D183F" w14:textId="77777777" w:rsidR="00D21C1F" w:rsidRDefault="00A42880">
                    <w:pPr>
                      <w:jc w:val="both"/>
                      <w:rPr>
                        <w:rFonts w:ascii="Times New Roman" w:hAnsi="Times New Roman" w:cs="Times New Roman"/>
                        <w:szCs w:val="21"/>
                      </w:rPr>
                    </w:pPr>
                    <w:r>
                      <w:rPr>
                        <w:rFonts w:ascii="Times New Roman" w:hAnsi="Times New Roman" w:cs="Times New Roman"/>
                        <w:szCs w:val="21"/>
                      </w:rPr>
                      <w:t>芜湖睿博投资管理中心（有限合伙）</w:t>
                    </w:r>
                  </w:p>
                </w:tc>
                <w:tc>
                  <w:tcPr>
                    <w:tcW w:w="841" w:type="pct"/>
                    <w:gridSpan w:val="3"/>
                    <w:shd w:val="clear" w:color="auto" w:fill="auto"/>
                    <w:vAlign w:val="center"/>
                  </w:tcPr>
                  <w:p w14:paraId="46E7FF81"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507,000</w:t>
                    </w:r>
                  </w:p>
                </w:tc>
                <w:sdt>
                  <w:sdtPr>
                    <w:rPr>
                      <w:rFonts w:ascii="Times New Roman" w:hAnsi="Times New Roman" w:cs="Times New Roman"/>
                      <w:bCs/>
                      <w:szCs w:val="21"/>
                    </w:rPr>
                    <w:alias w:val="前十名无限售条件股东期末持有流通股的种类"/>
                    <w:tag w:val="_GBC_1e9b5cd905ad4aaebdc32a1af6bcccdd"/>
                    <w:id w:val="975964412"/>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4D41D0CD"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70F4399D" w14:textId="77777777" w:rsidR="00D21C1F" w:rsidRDefault="00A42880" w:rsidP="000C4179">
                    <w:pPr>
                      <w:jc w:val="right"/>
                      <w:rPr>
                        <w:rFonts w:ascii="Times New Roman" w:hAnsi="Times New Roman" w:cs="Times New Roman"/>
                        <w:szCs w:val="21"/>
                      </w:rPr>
                    </w:pPr>
                    <w:r>
                      <w:rPr>
                        <w:rFonts w:ascii="Times New Roman" w:hAnsi="Times New Roman" w:cs="Times New Roman"/>
                      </w:rPr>
                      <w:t>507,000</w:t>
                    </w:r>
                  </w:p>
                </w:tc>
              </w:tr>
            </w:sdtContent>
          </w:sdt>
          <w:sdt>
            <w:sdtPr>
              <w:rPr>
                <w:rFonts w:ascii="Times New Roman" w:hAnsi="Times New Roman" w:cs="Times New Roman"/>
                <w:szCs w:val="21"/>
              </w:rPr>
              <w:alias w:val="前十名无限售条件股东持股情况"/>
              <w:tag w:val="_TUP_9d20dbd91b934a4f974de5220b6d037f"/>
              <w:id w:val="-1918853928"/>
              <w:lock w:val="sdtLocked"/>
              <w:placeholder>
                <w:docPart w:val="83DF988284E74DCC99735F5BC3D02B96"/>
              </w:placeholder>
            </w:sdtPr>
            <w:sdtEndPr/>
            <w:sdtContent>
              <w:tr w:rsidR="00D21C1F" w14:paraId="2FF1A99D" w14:textId="77777777" w:rsidTr="00DA0A37">
                <w:trPr>
                  <w:cantSplit/>
                </w:trPr>
                <w:tc>
                  <w:tcPr>
                    <w:tcW w:w="2648" w:type="pct"/>
                    <w:gridSpan w:val="4"/>
                    <w:shd w:val="clear" w:color="auto" w:fill="auto"/>
                  </w:tcPr>
                  <w:p w14:paraId="641331C1" w14:textId="77777777" w:rsidR="00D21C1F" w:rsidRDefault="00A42880">
                    <w:pPr>
                      <w:jc w:val="both"/>
                      <w:rPr>
                        <w:rFonts w:ascii="Times New Roman" w:hAnsi="Times New Roman" w:cs="Times New Roman"/>
                        <w:szCs w:val="21"/>
                      </w:rPr>
                    </w:pPr>
                    <w:r>
                      <w:rPr>
                        <w:rFonts w:ascii="Times New Roman" w:hAnsi="Times New Roman" w:cs="Times New Roman"/>
                        <w:szCs w:val="21"/>
                      </w:rPr>
                      <w:t>李妙文</w:t>
                    </w:r>
                  </w:p>
                </w:tc>
                <w:tc>
                  <w:tcPr>
                    <w:tcW w:w="841" w:type="pct"/>
                    <w:gridSpan w:val="3"/>
                    <w:shd w:val="clear" w:color="auto" w:fill="auto"/>
                    <w:vAlign w:val="center"/>
                  </w:tcPr>
                  <w:p w14:paraId="4F68B618" w14:textId="77777777" w:rsidR="00D21C1F" w:rsidRDefault="00A42880" w:rsidP="000C4179">
                    <w:pPr>
                      <w:jc w:val="right"/>
                      <w:rPr>
                        <w:rFonts w:ascii="Times New Roman" w:hAnsi="Times New Roman" w:cs="Times New Roman"/>
                        <w:szCs w:val="21"/>
                      </w:rPr>
                    </w:pPr>
                    <w:r>
                      <w:rPr>
                        <w:rFonts w:ascii="Times New Roman" w:hAnsi="Times New Roman" w:cs="Times New Roman"/>
                        <w:szCs w:val="21"/>
                      </w:rPr>
                      <w:t>473,000</w:t>
                    </w:r>
                  </w:p>
                </w:tc>
                <w:sdt>
                  <w:sdtPr>
                    <w:rPr>
                      <w:rFonts w:ascii="Times New Roman" w:hAnsi="Times New Roman" w:cs="Times New Roman"/>
                      <w:bCs/>
                      <w:szCs w:val="21"/>
                    </w:rPr>
                    <w:alias w:val="前十名无限售条件股东期末持有流通股的种类"/>
                    <w:tag w:val="_GBC_1e9b5cd905ad4aaebdc32a1af6bcccdd"/>
                    <w:id w:val="-548918504"/>
                    <w:lock w:val="sdtLocked"/>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860" w:type="pct"/>
                        <w:gridSpan w:val="2"/>
                        <w:shd w:val="clear" w:color="auto" w:fill="auto"/>
                        <w:vAlign w:val="center"/>
                      </w:tcPr>
                      <w:p w14:paraId="7F1E8FA8" w14:textId="77777777" w:rsidR="00D21C1F" w:rsidRDefault="00A42880">
                        <w:pPr>
                          <w:jc w:val="both"/>
                          <w:rPr>
                            <w:rFonts w:ascii="Times New Roman" w:hAnsi="Times New Roman" w:cs="Times New Roman"/>
                            <w:bCs/>
                            <w:szCs w:val="21"/>
                          </w:rPr>
                        </w:pPr>
                        <w:r>
                          <w:rPr>
                            <w:rFonts w:ascii="Times New Roman" w:hAnsi="Times New Roman" w:cs="Times New Roman"/>
                            <w:bCs/>
                            <w:szCs w:val="21"/>
                          </w:rPr>
                          <w:t>人民币普通股</w:t>
                        </w:r>
                      </w:p>
                    </w:tc>
                  </w:sdtContent>
                </w:sdt>
                <w:tc>
                  <w:tcPr>
                    <w:tcW w:w="651" w:type="pct"/>
                    <w:gridSpan w:val="2"/>
                    <w:shd w:val="clear" w:color="auto" w:fill="auto"/>
                    <w:vAlign w:val="center"/>
                  </w:tcPr>
                  <w:p w14:paraId="527A112C" w14:textId="77777777" w:rsidR="00D21C1F" w:rsidRDefault="00A42880" w:rsidP="000C4179">
                    <w:pPr>
                      <w:jc w:val="right"/>
                      <w:rPr>
                        <w:rFonts w:ascii="Times New Roman" w:hAnsi="Times New Roman" w:cs="Times New Roman"/>
                        <w:szCs w:val="21"/>
                      </w:rPr>
                    </w:pPr>
                    <w:r>
                      <w:rPr>
                        <w:rFonts w:ascii="Times New Roman" w:hAnsi="Times New Roman" w:cs="Times New Roman"/>
                      </w:rPr>
                      <w:t>473,000</w:t>
                    </w:r>
                  </w:p>
                </w:tc>
              </w:tr>
            </w:sdtContent>
          </w:sdt>
          <w:tr w:rsidR="00D21C1F" w14:paraId="30D04AEC" w14:textId="77777777" w:rsidTr="00DA0A37">
            <w:trPr>
              <w:cantSplit/>
            </w:trPr>
            <w:tc>
              <w:tcPr>
                <w:tcW w:w="2648" w:type="pct"/>
                <w:gridSpan w:val="4"/>
                <w:shd w:val="clear" w:color="auto" w:fill="auto"/>
              </w:tcPr>
              <w:sdt>
                <w:sdtPr>
                  <w:rPr>
                    <w:rFonts w:hint="eastAsia"/>
                  </w:rPr>
                  <w:tag w:val="_PLD_eac3023fe0894934bf60a8c6732ab00b"/>
                  <w:id w:val="1630047429"/>
                  <w:lock w:val="sdtLocked"/>
                </w:sdtPr>
                <w:sdtEndPr/>
                <w:sdtContent>
                  <w:p w14:paraId="6504C3B3" w14:textId="77777777" w:rsidR="00D21C1F" w:rsidRDefault="00A42880">
                    <w:pPr>
                      <w:rPr>
                        <w:szCs w:val="21"/>
                      </w:rPr>
                    </w:pPr>
                    <w:r>
                      <w:rPr>
                        <w:rFonts w:hint="eastAsia"/>
                      </w:rPr>
                      <w:t>前十名股东中回购专户情况说明</w:t>
                    </w:r>
                  </w:p>
                </w:sdtContent>
              </w:sdt>
            </w:tc>
            <w:tc>
              <w:tcPr>
                <w:tcW w:w="2352" w:type="pct"/>
                <w:gridSpan w:val="7"/>
                <w:shd w:val="clear" w:color="auto" w:fill="auto"/>
              </w:tcPr>
              <w:p w14:paraId="02D497CD" w14:textId="77777777" w:rsidR="00D21C1F" w:rsidRDefault="00A42880">
                <w:pPr>
                  <w:rPr>
                    <w:szCs w:val="21"/>
                  </w:rPr>
                </w:pPr>
                <w:r>
                  <w:rPr>
                    <w:rFonts w:hint="eastAsia"/>
                    <w:szCs w:val="21"/>
                  </w:rPr>
                  <w:t>不适用</w:t>
                </w:r>
              </w:p>
            </w:tc>
          </w:tr>
          <w:tr w:rsidR="00D21C1F" w14:paraId="12348965" w14:textId="77777777" w:rsidTr="00DA0A37">
            <w:trPr>
              <w:cantSplit/>
            </w:trPr>
            <w:tc>
              <w:tcPr>
                <w:tcW w:w="2648" w:type="pct"/>
                <w:gridSpan w:val="4"/>
                <w:shd w:val="clear" w:color="auto" w:fill="auto"/>
              </w:tcPr>
              <w:sdt>
                <w:sdtPr>
                  <w:rPr>
                    <w:szCs w:val="21"/>
                  </w:rPr>
                  <w:tag w:val="_PLD_aaf5fa38dc18438485a516fe5e503b8c"/>
                  <w:id w:val="-944771703"/>
                  <w:lock w:val="sdtLocked"/>
                </w:sdtPr>
                <w:sdtEndPr/>
                <w:sdtContent>
                  <w:p w14:paraId="41D70319" w14:textId="77777777" w:rsidR="00D21C1F" w:rsidRDefault="00A42880">
                    <w:pPr>
                      <w:pStyle w:val="97"/>
                    </w:pPr>
                    <w:r>
                      <w:rPr>
                        <w:szCs w:val="21"/>
                      </w:rPr>
                      <w:t>上述股东</w:t>
                    </w:r>
                    <w:r>
                      <w:rPr>
                        <w:rFonts w:hint="eastAsia"/>
                        <w:szCs w:val="21"/>
                      </w:rPr>
                      <w:t>委托表决权、受托表决权、放弃表决权</w:t>
                    </w:r>
                    <w:r>
                      <w:rPr>
                        <w:szCs w:val="21"/>
                      </w:rPr>
                      <w:t>的说明</w:t>
                    </w:r>
                  </w:p>
                </w:sdtContent>
              </w:sdt>
            </w:tc>
            <w:tc>
              <w:tcPr>
                <w:tcW w:w="2352" w:type="pct"/>
                <w:gridSpan w:val="7"/>
                <w:shd w:val="clear" w:color="auto" w:fill="auto"/>
              </w:tcPr>
              <w:p w14:paraId="709EABDF" w14:textId="77777777" w:rsidR="00D21C1F" w:rsidRDefault="00A42880">
                <w:pPr>
                  <w:rPr>
                    <w:szCs w:val="21"/>
                  </w:rPr>
                </w:pPr>
                <w:r>
                  <w:rPr>
                    <w:rFonts w:hint="eastAsia"/>
                    <w:szCs w:val="21"/>
                  </w:rPr>
                  <w:t>不适用</w:t>
                </w:r>
              </w:p>
            </w:tc>
          </w:tr>
          <w:tr w:rsidR="00D21C1F" w14:paraId="3FBA0EC4" w14:textId="77777777" w:rsidTr="00DA0A37">
            <w:trPr>
              <w:cantSplit/>
            </w:trPr>
            <w:sdt>
              <w:sdtPr>
                <w:tag w:val="_PLD_5aad6b79dfab41378a9b43bdde854967"/>
                <w:id w:val="-44531613"/>
                <w:lock w:val="sdtLocked"/>
              </w:sdtPr>
              <w:sdtEndPr/>
              <w:sdtContent>
                <w:tc>
                  <w:tcPr>
                    <w:tcW w:w="2648" w:type="pct"/>
                    <w:gridSpan w:val="4"/>
                    <w:shd w:val="clear" w:color="auto" w:fill="auto"/>
                  </w:tcPr>
                  <w:p w14:paraId="04879314" w14:textId="77777777" w:rsidR="00D21C1F" w:rsidRDefault="00A42880">
                    <w:pPr>
                      <w:rPr>
                        <w:szCs w:val="21"/>
                      </w:rPr>
                    </w:pPr>
                    <w:r>
                      <w:rPr>
                        <w:szCs w:val="21"/>
                      </w:rPr>
                      <w:t>上述股东关联关系或一致行动的说明</w:t>
                    </w:r>
                  </w:p>
                </w:tc>
              </w:sdtContent>
            </w:sdt>
            <w:tc>
              <w:tcPr>
                <w:tcW w:w="2352" w:type="pct"/>
                <w:gridSpan w:val="7"/>
                <w:shd w:val="clear" w:color="auto" w:fill="auto"/>
              </w:tcPr>
              <w:p w14:paraId="60222042"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1</w:t>
                </w:r>
                <w:r w:rsidRPr="00014876">
                  <w:rPr>
                    <w:rFonts w:ascii="Times New Roman" w:hAnsi="Times New Roman" w:cs="Times New Roman"/>
                    <w:szCs w:val="21"/>
                  </w:rPr>
                  <w:t>、芜湖远宏及其一致行动人共持有埃夫特</w:t>
                </w:r>
                <w:r w:rsidRPr="00014876">
                  <w:rPr>
                    <w:rFonts w:ascii="Times New Roman" w:hAnsi="Times New Roman" w:cs="Times New Roman"/>
                    <w:szCs w:val="21"/>
                  </w:rPr>
                  <w:t>36.5771%</w:t>
                </w:r>
                <w:r w:rsidRPr="00014876">
                  <w:rPr>
                    <w:rFonts w:ascii="Times New Roman" w:hAnsi="Times New Roman" w:cs="Times New Roman"/>
                    <w:szCs w:val="21"/>
                  </w:rPr>
                  <w:t>股权和表决权，具体如下：</w:t>
                </w:r>
              </w:p>
              <w:p w14:paraId="183C7472"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w:t>
                </w:r>
                <w:r w:rsidRPr="00014876">
                  <w:rPr>
                    <w:rFonts w:ascii="Times New Roman" w:hAnsi="Times New Roman" w:cs="Times New Roman"/>
                    <w:szCs w:val="21"/>
                  </w:rPr>
                  <w:t>1</w:t>
                </w:r>
                <w:r w:rsidRPr="00014876">
                  <w:rPr>
                    <w:rFonts w:ascii="Times New Roman" w:hAnsi="Times New Roman" w:cs="Times New Roman"/>
                    <w:szCs w:val="21"/>
                  </w:rPr>
                  <w:t>）芜湖远宏及其母公司远大创投共持有公司</w:t>
                </w:r>
                <w:r w:rsidRPr="00014876">
                  <w:rPr>
                    <w:rFonts w:ascii="Times New Roman" w:hAnsi="Times New Roman" w:cs="Times New Roman"/>
                    <w:szCs w:val="21"/>
                  </w:rPr>
                  <w:t>27.7761%</w:t>
                </w:r>
                <w:r w:rsidRPr="00014876">
                  <w:rPr>
                    <w:rFonts w:ascii="Times New Roman" w:hAnsi="Times New Roman" w:cs="Times New Roman"/>
                    <w:szCs w:val="21"/>
                  </w:rPr>
                  <w:t>股权；</w:t>
                </w:r>
              </w:p>
              <w:p w14:paraId="624C058A"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w:t>
                </w:r>
                <w:r w:rsidRPr="00014876">
                  <w:rPr>
                    <w:rFonts w:ascii="Times New Roman" w:hAnsi="Times New Roman" w:cs="Times New Roman"/>
                    <w:szCs w:val="21"/>
                  </w:rPr>
                  <w:t>2</w:t>
                </w:r>
                <w:r w:rsidRPr="00014876">
                  <w:rPr>
                    <w:rFonts w:ascii="Times New Roman" w:hAnsi="Times New Roman" w:cs="Times New Roman"/>
                    <w:szCs w:val="21"/>
                  </w:rPr>
                  <w:t>）根据芜湖远宏、远大创投与睿博投资于</w:t>
                </w:r>
                <w:r w:rsidRPr="00014876">
                  <w:rPr>
                    <w:rFonts w:ascii="Times New Roman" w:hAnsi="Times New Roman" w:cs="Times New Roman"/>
                    <w:szCs w:val="21"/>
                  </w:rPr>
                  <w:t>2017</w:t>
                </w:r>
                <w:r w:rsidRPr="00014876">
                  <w:rPr>
                    <w:rFonts w:ascii="Times New Roman" w:hAnsi="Times New Roman" w:cs="Times New Roman"/>
                    <w:szCs w:val="21"/>
                  </w:rPr>
                  <w:t>年</w:t>
                </w:r>
                <w:r w:rsidRPr="00014876">
                  <w:rPr>
                    <w:rFonts w:ascii="Times New Roman" w:hAnsi="Times New Roman" w:cs="Times New Roman"/>
                    <w:szCs w:val="21"/>
                  </w:rPr>
                  <w:t>9</w:t>
                </w:r>
                <w:r w:rsidRPr="00014876">
                  <w:rPr>
                    <w:rFonts w:ascii="Times New Roman" w:hAnsi="Times New Roman" w:cs="Times New Roman"/>
                    <w:szCs w:val="21"/>
                  </w:rPr>
                  <w:t>月</w:t>
                </w:r>
                <w:r w:rsidRPr="00014876">
                  <w:rPr>
                    <w:rFonts w:ascii="Times New Roman" w:hAnsi="Times New Roman" w:cs="Times New Roman"/>
                    <w:szCs w:val="21"/>
                  </w:rPr>
                  <w:t>20</w:t>
                </w:r>
                <w:r w:rsidRPr="00014876">
                  <w:rPr>
                    <w:rFonts w:ascii="Times New Roman" w:hAnsi="Times New Roman" w:cs="Times New Roman"/>
                    <w:szCs w:val="21"/>
                  </w:rPr>
                  <w:t>日签订的《一致行动人协议》，睿博投资作为芜湖远宏一致行动人，持有埃夫特</w:t>
                </w:r>
                <w:r w:rsidRPr="00014876">
                  <w:rPr>
                    <w:rFonts w:ascii="Times New Roman" w:hAnsi="Times New Roman" w:cs="Times New Roman"/>
                    <w:szCs w:val="21"/>
                  </w:rPr>
                  <w:t>8.8010%</w:t>
                </w:r>
                <w:r w:rsidRPr="00014876">
                  <w:rPr>
                    <w:rFonts w:ascii="Times New Roman" w:hAnsi="Times New Roman" w:cs="Times New Roman"/>
                    <w:szCs w:val="21"/>
                  </w:rPr>
                  <w:t>股权</w:t>
                </w:r>
              </w:p>
              <w:p w14:paraId="197D6DF4"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2</w:t>
                </w:r>
                <w:r w:rsidRPr="00014876">
                  <w:rPr>
                    <w:rFonts w:ascii="Times New Roman" w:hAnsi="Times New Roman" w:cs="Times New Roman"/>
                    <w:szCs w:val="21"/>
                  </w:rPr>
                  <w:t>、信惟基石、马鞍山基石均为基石资产管理股份有限公司管理下的基金，分别持有公司</w:t>
                </w:r>
                <w:r w:rsidRPr="00014876">
                  <w:rPr>
                    <w:rFonts w:ascii="Times New Roman" w:hAnsi="Times New Roman" w:cs="Times New Roman"/>
                    <w:szCs w:val="21"/>
                  </w:rPr>
                  <w:t>11.4991%</w:t>
                </w:r>
                <w:r w:rsidRPr="00014876">
                  <w:rPr>
                    <w:rFonts w:ascii="Times New Roman" w:hAnsi="Times New Roman" w:cs="Times New Roman"/>
                    <w:szCs w:val="21"/>
                  </w:rPr>
                  <w:t>、</w:t>
                </w:r>
                <w:r w:rsidRPr="00014876">
                  <w:rPr>
                    <w:rFonts w:ascii="Times New Roman" w:hAnsi="Times New Roman" w:cs="Times New Roman"/>
                    <w:szCs w:val="21"/>
                  </w:rPr>
                  <w:t>3.4399%</w:t>
                </w:r>
                <w:r w:rsidRPr="00014876">
                  <w:rPr>
                    <w:rFonts w:ascii="Times New Roman" w:hAnsi="Times New Roman" w:cs="Times New Roman"/>
                    <w:szCs w:val="21"/>
                  </w:rPr>
                  <w:t>股份，合计持有公司</w:t>
                </w:r>
                <w:r w:rsidRPr="00014876">
                  <w:rPr>
                    <w:rFonts w:ascii="Times New Roman" w:hAnsi="Times New Roman" w:cs="Times New Roman"/>
                    <w:szCs w:val="21"/>
                  </w:rPr>
                  <w:t>14.9390%</w:t>
                </w:r>
                <w:r w:rsidRPr="00014876">
                  <w:rPr>
                    <w:rFonts w:ascii="Times New Roman" w:hAnsi="Times New Roman" w:cs="Times New Roman"/>
                    <w:szCs w:val="21"/>
                  </w:rPr>
                  <w:t>股份</w:t>
                </w:r>
              </w:p>
              <w:p w14:paraId="7BEFF5EA"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3</w:t>
                </w:r>
                <w:r w:rsidRPr="00014876">
                  <w:rPr>
                    <w:rFonts w:ascii="Times New Roman" w:hAnsi="Times New Roman" w:cs="Times New Roman"/>
                    <w:szCs w:val="21"/>
                  </w:rPr>
                  <w:t>、美的集团直接持有公司</w:t>
                </w:r>
                <w:r w:rsidRPr="00014876">
                  <w:rPr>
                    <w:rFonts w:ascii="Times New Roman" w:hAnsi="Times New Roman" w:cs="Times New Roman"/>
                    <w:szCs w:val="21"/>
                  </w:rPr>
                  <w:t>6.8228%</w:t>
                </w:r>
                <w:r w:rsidRPr="00014876">
                  <w:rPr>
                    <w:rFonts w:ascii="Times New Roman" w:hAnsi="Times New Roman" w:cs="Times New Roman"/>
                    <w:szCs w:val="21"/>
                  </w:rPr>
                  <w:t>股权；同时其全资控股的美的机器人产业发展有限公司持有芜湖远宏</w:t>
                </w:r>
                <w:r w:rsidRPr="00014876">
                  <w:rPr>
                    <w:rFonts w:ascii="Times New Roman" w:hAnsi="Times New Roman" w:cs="Times New Roman"/>
                    <w:szCs w:val="21"/>
                  </w:rPr>
                  <w:t>5.00%</w:t>
                </w:r>
                <w:r w:rsidRPr="00014876">
                  <w:rPr>
                    <w:rFonts w:ascii="Times New Roman" w:hAnsi="Times New Roman" w:cs="Times New Roman"/>
                    <w:szCs w:val="21"/>
                  </w:rPr>
                  <w:t>的股份，芜湖远宏持有公司</w:t>
                </w:r>
                <w:r w:rsidRPr="00014876">
                  <w:rPr>
                    <w:rFonts w:ascii="Times New Roman" w:hAnsi="Times New Roman" w:cs="Times New Roman"/>
                    <w:szCs w:val="21"/>
                  </w:rPr>
                  <w:t>16.0987%</w:t>
                </w:r>
                <w:r w:rsidRPr="00014876">
                  <w:rPr>
                    <w:rFonts w:ascii="Times New Roman" w:hAnsi="Times New Roman" w:cs="Times New Roman"/>
                    <w:szCs w:val="21"/>
                  </w:rPr>
                  <w:t>股份</w:t>
                </w:r>
              </w:p>
            </w:tc>
          </w:tr>
          <w:tr w:rsidR="00D21C1F" w14:paraId="541BC738" w14:textId="77777777" w:rsidTr="00DA0A37">
            <w:trPr>
              <w:cantSplit/>
            </w:trPr>
            <w:sdt>
              <w:sdtPr>
                <w:tag w:val="_PLD_6bdf5e7731c24c4f9b613f95544a4770"/>
                <w:id w:val="-1185902973"/>
                <w:lock w:val="sdtLocked"/>
              </w:sdtPr>
              <w:sdtEndPr/>
              <w:sdtContent>
                <w:tc>
                  <w:tcPr>
                    <w:tcW w:w="2648" w:type="pct"/>
                    <w:gridSpan w:val="4"/>
                    <w:shd w:val="clear" w:color="auto" w:fill="auto"/>
                  </w:tcPr>
                  <w:p w14:paraId="5FD53950" w14:textId="77777777" w:rsidR="00D21C1F" w:rsidRDefault="00A42880">
                    <w:pPr>
                      <w:rPr>
                        <w:szCs w:val="21"/>
                      </w:rPr>
                    </w:pPr>
                    <w:r>
                      <w:rPr>
                        <w:rFonts w:hint="eastAsia"/>
                        <w:szCs w:val="21"/>
                      </w:rPr>
                      <w:t>表决权恢复的优先股股东及持股数量的说明</w:t>
                    </w:r>
                  </w:p>
                </w:tc>
              </w:sdtContent>
            </w:sdt>
            <w:tc>
              <w:tcPr>
                <w:tcW w:w="2352" w:type="pct"/>
                <w:gridSpan w:val="7"/>
                <w:shd w:val="clear" w:color="auto" w:fill="auto"/>
              </w:tcPr>
              <w:p w14:paraId="1204902D" w14:textId="77777777" w:rsidR="00D21C1F" w:rsidRDefault="00A42880">
                <w:pPr>
                  <w:rPr>
                    <w:szCs w:val="21"/>
                  </w:rPr>
                </w:pPr>
                <w:r>
                  <w:rPr>
                    <w:rFonts w:hint="eastAsia"/>
                    <w:szCs w:val="21"/>
                  </w:rPr>
                  <w:t>不适用</w:t>
                </w:r>
              </w:p>
            </w:tc>
          </w:tr>
        </w:tbl>
        <w:p w14:paraId="48B68403" w14:textId="77777777" w:rsidR="00D21C1F" w:rsidRDefault="00D21C1F">
          <w:pPr>
            <w:pStyle w:val="97"/>
          </w:pPr>
        </w:p>
        <w:p w14:paraId="1CF34AAC" w14:textId="77777777" w:rsidR="00D21C1F" w:rsidRDefault="00A42880">
          <w:pPr>
            <w:rPr>
              <w:szCs w:val="21"/>
            </w:rPr>
          </w:pPr>
          <w:r>
            <w:rPr>
              <w:szCs w:val="21"/>
            </w:rPr>
            <w:t>前十名有限售条件股东持股数量及限售条件</w:t>
          </w:r>
        </w:p>
        <w:sdt>
          <w:sdtPr>
            <w:rPr>
              <w:bCs/>
              <w:szCs w:val="21"/>
            </w:rPr>
            <w:alias w:val="是否适用：前十名有限售条件股东持股数量及限售条件[双击切换]"/>
            <w:tag w:val="_GBC_b0a773d626ca4b029e25d9384983416e"/>
            <w:id w:val="-1941979977"/>
            <w:lock w:val="sdtLocked"/>
            <w:placeholder>
              <w:docPart w:val="GBC22222222222222222222222222222"/>
            </w:placeholder>
          </w:sdtPr>
          <w:sdtEndPr/>
          <w:sdtContent>
            <w:p w14:paraId="3C846B52" w14:textId="77777777" w:rsidR="00D21C1F" w:rsidRDefault="00A42880">
              <w:pPr>
                <w:rPr>
                  <w:bCs/>
                  <w:szCs w:val="21"/>
                </w:rPr>
              </w:pPr>
              <w:r>
                <w:rPr>
                  <w:bCs/>
                  <w:szCs w:val="21"/>
                </w:rPr>
                <w:fldChar w:fldCharType="begin"/>
              </w:r>
              <w:r>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3F160387" w14:textId="77777777" w:rsidR="00D21C1F" w:rsidRDefault="00A42880">
          <w:pPr>
            <w:jc w:val="right"/>
            <w:rPr>
              <w:szCs w:val="21"/>
            </w:rPr>
          </w:pPr>
          <w:r>
            <w:rPr>
              <w:szCs w:val="21"/>
            </w:rPr>
            <w:t>单位：</w:t>
          </w:r>
          <w:sdt>
            <w:sdtPr>
              <w:rPr>
                <w:szCs w:val="21"/>
              </w:rPr>
              <w:alias w:val="单位：前十名有限售条件股东持股数量及限售条件"/>
              <w:tag w:val="_GBC_ac6ba0fdd0cf449587ff75f83f29e89c"/>
              <w:id w:val="28261870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szCs w:val="21"/>
                </w:rPr>
                <w:t>股</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3617"/>
            <w:gridCol w:w="1218"/>
            <w:gridCol w:w="1173"/>
            <w:gridCol w:w="865"/>
            <w:gridCol w:w="1315"/>
          </w:tblGrid>
          <w:tr w:rsidR="00D21C1F" w14:paraId="25BA1BD3" w14:textId="77777777">
            <w:trPr>
              <w:cantSplit/>
            </w:trPr>
            <w:sdt>
              <w:sdtPr>
                <w:tag w:val="_PLD_23b808729aa6431d9b56fff6b9ee14fd"/>
                <w:id w:val="-1164087394"/>
                <w:lock w:val="sdtLocked"/>
              </w:sdtPr>
              <w:sdtEndPr/>
              <w:sdtContent>
                <w:tc>
                  <w:tcPr>
                    <w:tcW w:w="360" w:type="pct"/>
                    <w:vMerge w:val="restart"/>
                    <w:shd w:val="clear" w:color="auto" w:fill="auto"/>
                    <w:vAlign w:val="center"/>
                  </w:tcPr>
                  <w:p w14:paraId="4A922A9C" w14:textId="77777777" w:rsidR="00D21C1F" w:rsidRDefault="00A42880">
                    <w:pPr>
                      <w:jc w:val="center"/>
                      <w:rPr>
                        <w:szCs w:val="21"/>
                      </w:rPr>
                    </w:pPr>
                    <w:r>
                      <w:rPr>
                        <w:szCs w:val="21"/>
                      </w:rPr>
                      <w:t>序号</w:t>
                    </w:r>
                  </w:p>
                </w:tc>
              </w:sdtContent>
            </w:sdt>
            <w:sdt>
              <w:sdtPr>
                <w:tag w:val="_PLD_e385c0ed798d4d82b7cc1d0ed84a8c8f"/>
                <w:id w:val="1234439663"/>
                <w:lock w:val="sdtLocked"/>
              </w:sdtPr>
              <w:sdtEndPr/>
              <w:sdtContent>
                <w:tc>
                  <w:tcPr>
                    <w:tcW w:w="2050" w:type="pct"/>
                    <w:vMerge w:val="restart"/>
                    <w:shd w:val="clear" w:color="auto" w:fill="auto"/>
                    <w:vAlign w:val="center"/>
                  </w:tcPr>
                  <w:p w14:paraId="647970F8" w14:textId="77777777" w:rsidR="00D21C1F" w:rsidRDefault="00A42880">
                    <w:pPr>
                      <w:jc w:val="center"/>
                      <w:rPr>
                        <w:szCs w:val="21"/>
                      </w:rPr>
                    </w:pPr>
                    <w:r>
                      <w:rPr>
                        <w:szCs w:val="21"/>
                      </w:rPr>
                      <w:t>有限售条件股东名称</w:t>
                    </w:r>
                  </w:p>
                </w:tc>
              </w:sdtContent>
            </w:sdt>
            <w:sdt>
              <w:sdtPr>
                <w:tag w:val="_PLD_654fa77cfcf6471cabda71c12ddf195d"/>
                <w:id w:val="-883938441"/>
                <w:lock w:val="sdtLocked"/>
              </w:sdtPr>
              <w:sdtEndPr/>
              <w:sdtContent>
                <w:tc>
                  <w:tcPr>
                    <w:tcW w:w="690" w:type="pct"/>
                    <w:vMerge w:val="restart"/>
                    <w:shd w:val="clear" w:color="auto" w:fill="auto"/>
                    <w:vAlign w:val="center"/>
                  </w:tcPr>
                  <w:p w14:paraId="21EFD32E" w14:textId="77777777" w:rsidR="00D21C1F" w:rsidRDefault="00A42880">
                    <w:pPr>
                      <w:jc w:val="center"/>
                      <w:rPr>
                        <w:szCs w:val="21"/>
                      </w:rPr>
                    </w:pPr>
                    <w:r>
                      <w:rPr>
                        <w:szCs w:val="21"/>
                      </w:rPr>
                      <w:t>持有的有限售条件股份数量</w:t>
                    </w:r>
                  </w:p>
                </w:tc>
              </w:sdtContent>
            </w:sdt>
            <w:sdt>
              <w:sdtPr>
                <w:tag w:val="_PLD_67b67b80e8c542e19d1e8761c907c0a9"/>
                <w:id w:val="-1198308377"/>
                <w:lock w:val="sdtLocked"/>
              </w:sdtPr>
              <w:sdtEndPr/>
              <w:sdtContent>
                <w:tc>
                  <w:tcPr>
                    <w:tcW w:w="1155" w:type="pct"/>
                    <w:gridSpan w:val="2"/>
                    <w:shd w:val="clear" w:color="auto" w:fill="auto"/>
                    <w:vAlign w:val="center"/>
                  </w:tcPr>
                  <w:p w14:paraId="08855392" w14:textId="77777777" w:rsidR="00D21C1F" w:rsidRDefault="00A42880">
                    <w:pPr>
                      <w:jc w:val="center"/>
                      <w:rPr>
                        <w:szCs w:val="21"/>
                      </w:rPr>
                    </w:pPr>
                    <w:r>
                      <w:rPr>
                        <w:szCs w:val="21"/>
                      </w:rPr>
                      <w:t>有限售条件股份可上市交易情况</w:t>
                    </w:r>
                  </w:p>
                </w:tc>
              </w:sdtContent>
            </w:sdt>
            <w:sdt>
              <w:sdtPr>
                <w:tag w:val="_PLD_72288f5640f74ea785ee5b63c5ac1fa7"/>
                <w:id w:val="1146081960"/>
                <w:lock w:val="sdtLocked"/>
              </w:sdtPr>
              <w:sdtEndPr/>
              <w:sdtContent>
                <w:tc>
                  <w:tcPr>
                    <w:tcW w:w="745" w:type="pct"/>
                    <w:vMerge w:val="restart"/>
                    <w:shd w:val="clear" w:color="auto" w:fill="auto"/>
                    <w:vAlign w:val="center"/>
                  </w:tcPr>
                  <w:p w14:paraId="7DE3C2EE" w14:textId="77777777" w:rsidR="00D21C1F" w:rsidRDefault="00A42880">
                    <w:pPr>
                      <w:jc w:val="center"/>
                      <w:rPr>
                        <w:szCs w:val="21"/>
                      </w:rPr>
                    </w:pPr>
                    <w:r>
                      <w:rPr>
                        <w:szCs w:val="21"/>
                      </w:rPr>
                      <w:t>限售条件</w:t>
                    </w:r>
                  </w:p>
                </w:tc>
              </w:sdtContent>
            </w:sdt>
          </w:tr>
          <w:tr w:rsidR="00D21C1F" w14:paraId="5460B094" w14:textId="77777777">
            <w:trPr>
              <w:cantSplit/>
            </w:trPr>
            <w:tc>
              <w:tcPr>
                <w:tcW w:w="360" w:type="pct"/>
                <w:vMerge/>
                <w:shd w:val="clear" w:color="auto" w:fill="auto"/>
              </w:tcPr>
              <w:p w14:paraId="6FCA2EC3" w14:textId="77777777" w:rsidR="00D21C1F" w:rsidRDefault="00D21C1F">
                <w:pPr>
                  <w:jc w:val="center"/>
                  <w:rPr>
                    <w:szCs w:val="21"/>
                  </w:rPr>
                </w:pPr>
              </w:p>
            </w:tc>
            <w:tc>
              <w:tcPr>
                <w:tcW w:w="2050" w:type="pct"/>
                <w:vMerge/>
                <w:shd w:val="clear" w:color="auto" w:fill="auto"/>
              </w:tcPr>
              <w:p w14:paraId="3A70E920" w14:textId="77777777" w:rsidR="00D21C1F" w:rsidRDefault="00D21C1F">
                <w:pPr>
                  <w:jc w:val="center"/>
                  <w:rPr>
                    <w:szCs w:val="21"/>
                  </w:rPr>
                </w:pPr>
              </w:p>
            </w:tc>
            <w:tc>
              <w:tcPr>
                <w:tcW w:w="690" w:type="pct"/>
                <w:vMerge/>
                <w:shd w:val="clear" w:color="auto" w:fill="auto"/>
              </w:tcPr>
              <w:p w14:paraId="18AC34E3" w14:textId="77777777" w:rsidR="00D21C1F" w:rsidRDefault="00D21C1F">
                <w:pPr>
                  <w:jc w:val="center"/>
                  <w:rPr>
                    <w:szCs w:val="21"/>
                  </w:rPr>
                </w:pPr>
              </w:p>
            </w:tc>
            <w:sdt>
              <w:sdtPr>
                <w:tag w:val="_PLD_b2c2e0a90da043ec9d47f535a9f409e4"/>
                <w:id w:val="-535269778"/>
                <w:lock w:val="sdtLocked"/>
              </w:sdtPr>
              <w:sdtEndPr/>
              <w:sdtContent>
                <w:tc>
                  <w:tcPr>
                    <w:tcW w:w="665" w:type="pct"/>
                    <w:shd w:val="clear" w:color="auto" w:fill="auto"/>
                    <w:vAlign w:val="center"/>
                  </w:tcPr>
                  <w:p w14:paraId="2175AE26" w14:textId="77777777" w:rsidR="00D21C1F" w:rsidRDefault="00A42880">
                    <w:pPr>
                      <w:jc w:val="center"/>
                      <w:rPr>
                        <w:szCs w:val="21"/>
                      </w:rPr>
                    </w:pPr>
                    <w:r>
                      <w:rPr>
                        <w:szCs w:val="21"/>
                      </w:rPr>
                      <w:t>可上市交易时间</w:t>
                    </w:r>
                  </w:p>
                </w:tc>
              </w:sdtContent>
            </w:sdt>
            <w:sdt>
              <w:sdtPr>
                <w:tag w:val="_PLD_4de6c6f41f3d42bf95b829e0a9336d8c"/>
                <w:id w:val="-1134943377"/>
                <w:lock w:val="sdtLocked"/>
              </w:sdtPr>
              <w:sdtEndPr/>
              <w:sdtContent>
                <w:tc>
                  <w:tcPr>
                    <w:tcW w:w="490" w:type="pct"/>
                    <w:shd w:val="clear" w:color="auto" w:fill="auto"/>
                    <w:vAlign w:val="center"/>
                  </w:tcPr>
                  <w:p w14:paraId="3AA6BECC" w14:textId="77777777" w:rsidR="00D21C1F" w:rsidRDefault="00A42880">
                    <w:pPr>
                      <w:jc w:val="center"/>
                      <w:rPr>
                        <w:szCs w:val="21"/>
                      </w:rPr>
                    </w:pPr>
                    <w:r>
                      <w:rPr>
                        <w:szCs w:val="21"/>
                      </w:rPr>
                      <w:t>新增可上市交易股份数量</w:t>
                    </w:r>
                  </w:p>
                </w:tc>
              </w:sdtContent>
            </w:sdt>
            <w:tc>
              <w:tcPr>
                <w:tcW w:w="745" w:type="pct"/>
                <w:vMerge/>
                <w:shd w:val="clear" w:color="auto" w:fill="auto"/>
              </w:tcPr>
              <w:p w14:paraId="29F26D88" w14:textId="77777777" w:rsidR="00D21C1F" w:rsidRDefault="00D21C1F">
                <w:pPr>
                  <w:jc w:val="center"/>
                  <w:rPr>
                    <w:szCs w:val="21"/>
                  </w:rPr>
                </w:pPr>
              </w:p>
            </w:tc>
          </w:tr>
          <w:sdt>
            <w:sdtPr>
              <w:rPr>
                <w:rFonts w:ascii="宋体" w:hAnsi="宋体" w:cs="宋体"/>
                <w:kern w:val="0"/>
                <w:sz w:val="24"/>
                <w:szCs w:val="24"/>
              </w:rPr>
              <w:alias w:val="前十名有限售条件股东持股数量及限售条件"/>
              <w:tag w:val="_TUP_448531fe5793474593ff660728e7149f"/>
              <w:id w:val="-2044206128"/>
              <w:lock w:val="sdtLocked"/>
              <w:placeholder>
                <w:docPart w:val="3A65F854120B43E899D6CF91EA45B837"/>
              </w:placeholder>
            </w:sdtPr>
            <w:sdtEndPr>
              <w:rPr>
                <w:sz w:val="21"/>
              </w:rPr>
            </w:sdtEndPr>
            <w:sdtContent>
              <w:tr w:rsidR="00D21C1F" w14:paraId="4CBB802D" w14:textId="77777777">
                <w:trPr>
                  <w:cantSplit/>
                  <w:trHeight w:val="345"/>
                </w:trPr>
                <w:tc>
                  <w:tcPr>
                    <w:tcW w:w="360" w:type="pct"/>
                    <w:shd w:val="clear" w:color="auto" w:fill="auto"/>
                  </w:tcPr>
                  <w:sdt>
                    <w:sdtPr>
                      <w:rPr>
                        <w:kern w:val="0"/>
                        <w:sz w:val="24"/>
                        <w:szCs w:val="24"/>
                      </w:rPr>
                      <w:tag w:val="_PLD_b8ff1d63a104431ca5399b96b6ac41bb"/>
                      <w:id w:val="-1401055720"/>
                      <w:lock w:val="sdtLocked"/>
                    </w:sdtPr>
                    <w:sdtEndPr>
                      <w:rPr>
                        <w:kern w:val="2"/>
                        <w:sz w:val="21"/>
                        <w:szCs w:val="21"/>
                      </w:rPr>
                    </w:sdtEndPr>
                    <w:sdtContent>
                      <w:p w14:paraId="1C63041F" w14:textId="77777777" w:rsidR="00D21C1F" w:rsidRDefault="00A42880">
                        <w:pPr>
                          <w:pStyle w:val="ab"/>
                        </w:pPr>
                        <w:r>
                          <w:t>1</w:t>
                        </w:r>
                      </w:p>
                    </w:sdtContent>
                  </w:sdt>
                </w:tc>
                <w:tc>
                  <w:tcPr>
                    <w:tcW w:w="2050" w:type="pct"/>
                    <w:shd w:val="clear" w:color="auto" w:fill="auto"/>
                    <w:vAlign w:val="center"/>
                  </w:tcPr>
                  <w:p w14:paraId="1DA1D163" w14:textId="77777777" w:rsidR="00D21C1F" w:rsidRDefault="00A42880">
                    <w:pPr>
                      <w:rPr>
                        <w:rFonts w:ascii="Times New Roman" w:hAnsi="Times New Roman" w:cs="Times New Roman"/>
                        <w:szCs w:val="21"/>
                      </w:rPr>
                    </w:pPr>
                    <w:r>
                      <w:rPr>
                        <w:rFonts w:ascii="Times New Roman" w:hAnsi="Times New Roman" w:cs="Times New Roman"/>
                      </w:rPr>
                      <w:t>芜湖远宏工业机器人投资有限公司</w:t>
                    </w:r>
                  </w:p>
                </w:tc>
                <w:tc>
                  <w:tcPr>
                    <w:tcW w:w="690" w:type="pct"/>
                    <w:shd w:val="clear" w:color="auto" w:fill="auto"/>
                    <w:vAlign w:val="center"/>
                  </w:tcPr>
                  <w:p w14:paraId="63EA7850" w14:textId="77777777" w:rsidR="00D21C1F" w:rsidRDefault="00A42880">
                    <w:pPr>
                      <w:jc w:val="right"/>
                      <w:rPr>
                        <w:rFonts w:ascii="Times New Roman" w:hAnsi="Times New Roman" w:cs="Times New Roman"/>
                        <w:szCs w:val="21"/>
                      </w:rPr>
                    </w:pPr>
                    <w:r>
                      <w:rPr>
                        <w:rFonts w:ascii="Times New Roman" w:hAnsi="Times New Roman" w:cs="Times New Roman"/>
                      </w:rPr>
                      <w:t>84,000,000</w:t>
                    </w:r>
                  </w:p>
                </w:tc>
                <w:tc>
                  <w:tcPr>
                    <w:tcW w:w="665" w:type="pct"/>
                    <w:shd w:val="clear" w:color="auto" w:fill="auto"/>
                    <w:vAlign w:val="center"/>
                  </w:tcPr>
                  <w:p w14:paraId="35167B7E" w14:textId="77777777" w:rsidR="00D21C1F" w:rsidRDefault="00A42880">
                    <w:pPr>
                      <w:jc w:val="right"/>
                      <w:rPr>
                        <w:rFonts w:ascii="Times New Roman" w:hAnsi="Times New Roman" w:cs="Times New Roman"/>
                        <w:szCs w:val="21"/>
                      </w:rPr>
                    </w:pPr>
                    <w:r>
                      <w:rPr>
                        <w:rFonts w:ascii="Times New Roman" w:hAnsi="Times New Roman" w:cs="Times New Roman"/>
                      </w:rPr>
                      <w:t>2023/7/17</w:t>
                    </w:r>
                  </w:p>
                </w:tc>
                <w:tc>
                  <w:tcPr>
                    <w:tcW w:w="490" w:type="pct"/>
                    <w:shd w:val="clear" w:color="auto" w:fill="auto"/>
                    <w:vAlign w:val="center"/>
                  </w:tcPr>
                  <w:p w14:paraId="3A8C4FDD"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33E0A8E1"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1984971924"/>
              <w:lock w:val="sdtLocked"/>
              <w:placeholder>
                <w:docPart w:val="3A65F854120B43E899D6CF91EA45B837"/>
              </w:placeholder>
            </w:sdtPr>
            <w:sdtEndPr>
              <w:rPr>
                <w:sz w:val="21"/>
              </w:rPr>
            </w:sdtEndPr>
            <w:sdtContent>
              <w:tr w:rsidR="00D21C1F" w14:paraId="21F6759E" w14:textId="77777777">
                <w:trPr>
                  <w:cantSplit/>
                  <w:trHeight w:val="345"/>
                </w:trPr>
                <w:tc>
                  <w:tcPr>
                    <w:tcW w:w="360" w:type="pct"/>
                    <w:shd w:val="clear" w:color="auto" w:fill="auto"/>
                  </w:tcPr>
                  <w:sdt>
                    <w:sdtPr>
                      <w:rPr>
                        <w:kern w:val="0"/>
                        <w:sz w:val="24"/>
                        <w:szCs w:val="24"/>
                      </w:rPr>
                      <w:tag w:val="_PLD_b8ff1d63a104431ca5399b96b6ac41bb"/>
                      <w:id w:val="-7834844"/>
                      <w:lock w:val="sdtLocked"/>
                    </w:sdtPr>
                    <w:sdtEndPr>
                      <w:rPr>
                        <w:kern w:val="2"/>
                        <w:sz w:val="21"/>
                        <w:szCs w:val="21"/>
                      </w:rPr>
                    </w:sdtEndPr>
                    <w:sdtContent>
                      <w:p w14:paraId="50312047" w14:textId="77777777" w:rsidR="00D21C1F" w:rsidRDefault="00A42880">
                        <w:pPr>
                          <w:pStyle w:val="ab"/>
                        </w:pPr>
                        <w:r>
                          <w:t>2</w:t>
                        </w:r>
                      </w:p>
                    </w:sdtContent>
                  </w:sdt>
                </w:tc>
                <w:tc>
                  <w:tcPr>
                    <w:tcW w:w="2050" w:type="pct"/>
                    <w:shd w:val="clear" w:color="auto" w:fill="auto"/>
                    <w:vAlign w:val="center"/>
                  </w:tcPr>
                  <w:p w14:paraId="07B02D25" w14:textId="77777777" w:rsidR="00D21C1F" w:rsidRDefault="00A42880">
                    <w:pPr>
                      <w:rPr>
                        <w:rFonts w:ascii="Times New Roman" w:hAnsi="Times New Roman" w:cs="Times New Roman"/>
                        <w:szCs w:val="21"/>
                      </w:rPr>
                    </w:pPr>
                    <w:r>
                      <w:rPr>
                        <w:rFonts w:ascii="Times New Roman" w:hAnsi="Times New Roman" w:cs="Times New Roman"/>
                      </w:rPr>
                      <w:t>芜湖远大创业投资有限公司</w:t>
                    </w:r>
                  </w:p>
                </w:tc>
                <w:tc>
                  <w:tcPr>
                    <w:tcW w:w="690" w:type="pct"/>
                    <w:shd w:val="clear" w:color="auto" w:fill="auto"/>
                    <w:vAlign w:val="center"/>
                  </w:tcPr>
                  <w:p w14:paraId="0CC0A6C2" w14:textId="77777777" w:rsidR="00D21C1F" w:rsidRDefault="00A42880">
                    <w:pPr>
                      <w:jc w:val="right"/>
                      <w:rPr>
                        <w:rFonts w:ascii="Times New Roman" w:hAnsi="Times New Roman" w:cs="Times New Roman"/>
                        <w:szCs w:val="21"/>
                      </w:rPr>
                    </w:pPr>
                    <w:r>
                      <w:rPr>
                        <w:rFonts w:ascii="Times New Roman" w:hAnsi="Times New Roman" w:cs="Times New Roman"/>
                      </w:rPr>
                      <w:t>60,930,000</w:t>
                    </w:r>
                  </w:p>
                </w:tc>
                <w:tc>
                  <w:tcPr>
                    <w:tcW w:w="665" w:type="pct"/>
                    <w:shd w:val="clear" w:color="auto" w:fill="auto"/>
                    <w:vAlign w:val="center"/>
                  </w:tcPr>
                  <w:p w14:paraId="55CA0A6F" w14:textId="77777777" w:rsidR="00D21C1F" w:rsidRDefault="00A42880">
                    <w:pPr>
                      <w:jc w:val="right"/>
                      <w:rPr>
                        <w:rFonts w:ascii="Times New Roman" w:hAnsi="Times New Roman" w:cs="Times New Roman"/>
                        <w:szCs w:val="21"/>
                      </w:rPr>
                    </w:pPr>
                    <w:r>
                      <w:rPr>
                        <w:rFonts w:ascii="Times New Roman" w:hAnsi="Times New Roman" w:cs="Times New Roman"/>
                      </w:rPr>
                      <w:t>2023/7/17</w:t>
                    </w:r>
                  </w:p>
                </w:tc>
                <w:tc>
                  <w:tcPr>
                    <w:tcW w:w="490" w:type="pct"/>
                    <w:shd w:val="clear" w:color="auto" w:fill="auto"/>
                    <w:vAlign w:val="center"/>
                  </w:tcPr>
                  <w:p w14:paraId="42FF39BD"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5456D356"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626747312"/>
              <w:lock w:val="sdtLocked"/>
              <w:placeholder>
                <w:docPart w:val="3A65F854120B43E899D6CF91EA45B837"/>
              </w:placeholder>
            </w:sdtPr>
            <w:sdtEndPr>
              <w:rPr>
                <w:sz w:val="21"/>
              </w:rPr>
            </w:sdtEndPr>
            <w:sdtContent>
              <w:tr w:rsidR="00D21C1F" w14:paraId="1E235807" w14:textId="77777777">
                <w:trPr>
                  <w:cantSplit/>
                  <w:trHeight w:val="345"/>
                </w:trPr>
                <w:tc>
                  <w:tcPr>
                    <w:tcW w:w="360" w:type="pct"/>
                    <w:shd w:val="clear" w:color="auto" w:fill="auto"/>
                  </w:tcPr>
                  <w:sdt>
                    <w:sdtPr>
                      <w:rPr>
                        <w:kern w:val="0"/>
                        <w:sz w:val="24"/>
                        <w:szCs w:val="24"/>
                      </w:rPr>
                      <w:tag w:val="_PLD_b8ff1d63a104431ca5399b96b6ac41bb"/>
                      <w:id w:val="807661979"/>
                      <w:lock w:val="sdtLocked"/>
                    </w:sdtPr>
                    <w:sdtEndPr>
                      <w:rPr>
                        <w:kern w:val="2"/>
                        <w:sz w:val="21"/>
                        <w:szCs w:val="21"/>
                      </w:rPr>
                    </w:sdtEndPr>
                    <w:sdtContent>
                      <w:p w14:paraId="070AED0B" w14:textId="77777777" w:rsidR="00D21C1F" w:rsidRDefault="00A42880">
                        <w:pPr>
                          <w:pStyle w:val="ab"/>
                        </w:pPr>
                        <w:r>
                          <w:t>3</w:t>
                        </w:r>
                      </w:p>
                    </w:sdtContent>
                  </w:sdt>
                </w:tc>
                <w:tc>
                  <w:tcPr>
                    <w:tcW w:w="2050" w:type="pct"/>
                    <w:shd w:val="clear" w:color="auto" w:fill="auto"/>
                    <w:vAlign w:val="center"/>
                  </w:tcPr>
                  <w:p w14:paraId="49346CC7" w14:textId="77777777" w:rsidR="00D21C1F" w:rsidRDefault="00A42880">
                    <w:pPr>
                      <w:rPr>
                        <w:rFonts w:ascii="Times New Roman" w:hAnsi="Times New Roman" w:cs="Times New Roman"/>
                        <w:szCs w:val="21"/>
                      </w:rPr>
                    </w:pPr>
                    <w:r>
                      <w:rPr>
                        <w:rFonts w:ascii="Times New Roman" w:hAnsi="Times New Roman" w:cs="Times New Roman"/>
                      </w:rPr>
                      <w:t>安徽信惟基石产业升级基金合伙企业（有限合伙）</w:t>
                    </w:r>
                  </w:p>
                </w:tc>
                <w:tc>
                  <w:tcPr>
                    <w:tcW w:w="690" w:type="pct"/>
                    <w:shd w:val="clear" w:color="auto" w:fill="auto"/>
                    <w:vAlign w:val="center"/>
                  </w:tcPr>
                  <w:p w14:paraId="7B3DE774" w14:textId="77777777" w:rsidR="00D21C1F" w:rsidRDefault="00A42880">
                    <w:pPr>
                      <w:jc w:val="right"/>
                      <w:rPr>
                        <w:rFonts w:ascii="Times New Roman" w:hAnsi="Times New Roman" w:cs="Times New Roman"/>
                        <w:szCs w:val="21"/>
                      </w:rPr>
                    </w:pPr>
                    <w:r>
                      <w:rPr>
                        <w:rFonts w:ascii="Times New Roman" w:hAnsi="Times New Roman" w:cs="Times New Roman"/>
                      </w:rPr>
                      <w:t>60,000,000</w:t>
                    </w:r>
                  </w:p>
                </w:tc>
                <w:tc>
                  <w:tcPr>
                    <w:tcW w:w="665" w:type="pct"/>
                    <w:shd w:val="clear" w:color="auto" w:fill="auto"/>
                    <w:vAlign w:val="center"/>
                  </w:tcPr>
                  <w:p w14:paraId="10E55331" w14:textId="77777777" w:rsidR="00D21C1F" w:rsidRDefault="00A42880">
                    <w:pPr>
                      <w:jc w:val="right"/>
                      <w:rPr>
                        <w:rFonts w:ascii="Times New Roman" w:hAnsi="Times New Roman" w:cs="Times New Roman"/>
                        <w:szCs w:val="21"/>
                      </w:rPr>
                    </w:pPr>
                    <w:r>
                      <w:rPr>
                        <w:rFonts w:ascii="Times New Roman" w:hAnsi="Times New Roman" w:cs="Times New Roman"/>
                      </w:rPr>
                      <w:t>2021/7/15</w:t>
                    </w:r>
                  </w:p>
                </w:tc>
                <w:tc>
                  <w:tcPr>
                    <w:tcW w:w="490" w:type="pct"/>
                    <w:shd w:val="clear" w:color="auto" w:fill="auto"/>
                    <w:vAlign w:val="center"/>
                  </w:tcPr>
                  <w:p w14:paraId="48B530A1"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6A17624F"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511416738"/>
              <w:lock w:val="sdtLocked"/>
              <w:placeholder>
                <w:docPart w:val="3A65F854120B43E899D6CF91EA45B837"/>
              </w:placeholder>
            </w:sdtPr>
            <w:sdtEndPr>
              <w:rPr>
                <w:sz w:val="21"/>
              </w:rPr>
            </w:sdtEndPr>
            <w:sdtContent>
              <w:tr w:rsidR="00D21C1F" w14:paraId="5CDB76E2" w14:textId="77777777">
                <w:trPr>
                  <w:cantSplit/>
                  <w:trHeight w:val="345"/>
                </w:trPr>
                <w:tc>
                  <w:tcPr>
                    <w:tcW w:w="360" w:type="pct"/>
                    <w:shd w:val="clear" w:color="auto" w:fill="auto"/>
                  </w:tcPr>
                  <w:sdt>
                    <w:sdtPr>
                      <w:rPr>
                        <w:kern w:val="0"/>
                        <w:sz w:val="24"/>
                        <w:szCs w:val="24"/>
                      </w:rPr>
                      <w:tag w:val="_PLD_b8ff1d63a104431ca5399b96b6ac41bb"/>
                      <w:id w:val="898939513"/>
                      <w:lock w:val="sdtLocked"/>
                    </w:sdtPr>
                    <w:sdtEndPr>
                      <w:rPr>
                        <w:kern w:val="2"/>
                        <w:sz w:val="21"/>
                        <w:szCs w:val="21"/>
                      </w:rPr>
                    </w:sdtEndPr>
                    <w:sdtContent>
                      <w:p w14:paraId="4CF4CA87" w14:textId="77777777" w:rsidR="00D21C1F" w:rsidRDefault="00A42880">
                        <w:pPr>
                          <w:pStyle w:val="ab"/>
                        </w:pPr>
                        <w:r>
                          <w:t>4</w:t>
                        </w:r>
                      </w:p>
                    </w:sdtContent>
                  </w:sdt>
                </w:tc>
                <w:tc>
                  <w:tcPr>
                    <w:tcW w:w="2050" w:type="pct"/>
                    <w:shd w:val="clear" w:color="auto" w:fill="auto"/>
                    <w:vAlign w:val="center"/>
                  </w:tcPr>
                  <w:p w14:paraId="660A698B" w14:textId="77777777" w:rsidR="00D21C1F" w:rsidRDefault="00A42880">
                    <w:pPr>
                      <w:rPr>
                        <w:rFonts w:ascii="Times New Roman" w:hAnsi="Times New Roman" w:cs="Times New Roman"/>
                        <w:szCs w:val="21"/>
                      </w:rPr>
                    </w:pPr>
                    <w:r>
                      <w:rPr>
                        <w:rFonts w:ascii="Times New Roman" w:hAnsi="Times New Roman" w:cs="Times New Roman"/>
                      </w:rPr>
                      <w:t>上海鼎晖源霖股权投资合伙企业（有限合伙）</w:t>
                    </w:r>
                  </w:p>
                </w:tc>
                <w:tc>
                  <w:tcPr>
                    <w:tcW w:w="690" w:type="pct"/>
                    <w:shd w:val="clear" w:color="auto" w:fill="auto"/>
                    <w:vAlign w:val="center"/>
                  </w:tcPr>
                  <w:p w14:paraId="387FE4CB" w14:textId="77777777" w:rsidR="00D21C1F" w:rsidRDefault="00A42880">
                    <w:pPr>
                      <w:jc w:val="right"/>
                      <w:rPr>
                        <w:rFonts w:ascii="Times New Roman" w:hAnsi="Times New Roman" w:cs="Times New Roman"/>
                        <w:szCs w:val="21"/>
                      </w:rPr>
                    </w:pPr>
                    <w:r>
                      <w:rPr>
                        <w:rFonts w:ascii="Times New Roman" w:hAnsi="Times New Roman" w:cs="Times New Roman"/>
                      </w:rPr>
                      <w:t>50,444,444</w:t>
                    </w:r>
                  </w:p>
                </w:tc>
                <w:tc>
                  <w:tcPr>
                    <w:tcW w:w="665" w:type="pct"/>
                    <w:shd w:val="clear" w:color="auto" w:fill="auto"/>
                    <w:vAlign w:val="center"/>
                  </w:tcPr>
                  <w:p w14:paraId="1D791DC9" w14:textId="77777777" w:rsidR="00D21C1F" w:rsidRDefault="00A42880">
                    <w:pPr>
                      <w:jc w:val="right"/>
                      <w:rPr>
                        <w:rFonts w:ascii="Times New Roman" w:hAnsi="Times New Roman" w:cs="Times New Roman"/>
                        <w:szCs w:val="21"/>
                      </w:rPr>
                    </w:pPr>
                    <w:r>
                      <w:rPr>
                        <w:rFonts w:ascii="Times New Roman" w:hAnsi="Times New Roman" w:cs="Times New Roman" w:hint="eastAsia"/>
                        <w:szCs w:val="21"/>
                      </w:rPr>
                      <w:t>注</w:t>
                    </w:r>
                    <w:r>
                      <w:rPr>
                        <w:rFonts w:ascii="Times New Roman" w:hAnsi="Times New Roman" w:cs="Times New Roman" w:hint="eastAsia"/>
                        <w:szCs w:val="21"/>
                      </w:rPr>
                      <w:t>1</w:t>
                    </w:r>
                  </w:p>
                </w:tc>
                <w:tc>
                  <w:tcPr>
                    <w:tcW w:w="490" w:type="pct"/>
                    <w:shd w:val="clear" w:color="auto" w:fill="auto"/>
                    <w:vAlign w:val="center"/>
                  </w:tcPr>
                  <w:p w14:paraId="4A7859EC"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061E8B87"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103772726"/>
              <w:lock w:val="sdtLocked"/>
              <w:placeholder>
                <w:docPart w:val="3A65F854120B43E899D6CF91EA45B837"/>
              </w:placeholder>
            </w:sdtPr>
            <w:sdtEndPr>
              <w:rPr>
                <w:sz w:val="21"/>
              </w:rPr>
            </w:sdtEndPr>
            <w:sdtContent>
              <w:tr w:rsidR="00D21C1F" w14:paraId="64E3A3B4" w14:textId="77777777">
                <w:trPr>
                  <w:cantSplit/>
                  <w:trHeight w:val="403"/>
                </w:trPr>
                <w:tc>
                  <w:tcPr>
                    <w:tcW w:w="360" w:type="pct"/>
                    <w:shd w:val="clear" w:color="auto" w:fill="auto"/>
                  </w:tcPr>
                  <w:sdt>
                    <w:sdtPr>
                      <w:rPr>
                        <w:kern w:val="0"/>
                        <w:sz w:val="24"/>
                        <w:szCs w:val="24"/>
                      </w:rPr>
                      <w:tag w:val="_PLD_b8ff1d63a104431ca5399b96b6ac41bb"/>
                      <w:id w:val="912968894"/>
                      <w:lock w:val="sdtLocked"/>
                    </w:sdtPr>
                    <w:sdtEndPr>
                      <w:rPr>
                        <w:kern w:val="2"/>
                        <w:sz w:val="21"/>
                        <w:szCs w:val="21"/>
                      </w:rPr>
                    </w:sdtEndPr>
                    <w:sdtContent>
                      <w:p w14:paraId="6A6CA8D2" w14:textId="77777777" w:rsidR="00D21C1F" w:rsidRDefault="00A42880">
                        <w:pPr>
                          <w:pStyle w:val="ab"/>
                        </w:pPr>
                        <w:r>
                          <w:t>5</w:t>
                        </w:r>
                      </w:p>
                    </w:sdtContent>
                  </w:sdt>
                </w:tc>
                <w:tc>
                  <w:tcPr>
                    <w:tcW w:w="2050" w:type="pct"/>
                    <w:shd w:val="clear" w:color="auto" w:fill="auto"/>
                    <w:vAlign w:val="center"/>
                  </w:tcPr>
                  <w:p w14:paraId="65956FA1" w14:textId="77777777" w:rsidR="00D21C1F" w:rsidRDefault="00A42880">
                    <w:pPr>
                      <w:rPr>
                        <w:rFonts w:ascii="Times New Roman" w:hAnsi="Times New Roman" w:cs="Times New Roman"/>
                        <w:szCs w:val="21"/>
                      </w:rPr>
                    </w:pPr>
                    <w:r>
                      <w:rPr>
                        <w:rFonts w:ascii="Times New Roman" w:hAnsi="Times New Roman" w:cs="Times New Roman"/>
                      </w:rPr>
                      <w:t>芜湖睿博投资管理中心（有限合伙）</w:t>
                    </w:r>
                  </w:p>
                </w:tc>
                <w:tc>
                  <w:tcPr>
                    <w:tcW w:w="690" w:type="pct"/>
                    <w:shd w:val="clear" w:color="auto" w:fill="auto"/>
                    <w:vAlign w:val="center"/>
                  </w:tcPr>
                  <w:p w14:paraId="30E8708B" w14:textId="77777777" w:rsidR="00D21C1F" w:rsidRDefault="00A42880">
                    <w:pPr>
                      <w:jc w:val="right"/>
                      <w:rPr>
                        <w:rFonts w:ascii="Times New Roman" w:hAnsi="Times New Roman" w:cs="Times New Roman"/>
                        <w:szCs w:val="21"/>
                      </w:rPr>
                    </w:pPr>
                    <w:r>
                      <w:rPr>
                        <w:rFonts w:ascii="Times New Roman" w:hAnsi="Times New Roman" w:cs="Times New Roman"/>
                      </w:rPr>
                      <w:t>45,415,050</w:t>
                    </w:r>
                  </w:p>
                </w:tc>
                <w:tc>
                  <w:tcPr>
                    <w:tcW w:w="665" w:type="pct"/>
                    <w:shd w:val="clear" w:color="auto" w:fill="auto"/>
                    <w:vAlign w:val="center"/>
                  </w:tcPr>
                  <w:p w14:paraId="60326467" w14:textId="77777777" w:rsidR="00D21C1F" w:rsidRDefault="00A42880">
                    <w:pPr>
                      <w:jc w:val="right"/>
                      <w:rPr>
                        <w:rFonts w:ascii="Times New Roman" w:hAnsi="Times New Roman" w:cs="Times New Roman"/>
                        <w:szCs w:val="21"/>
                      </w:rPr>
                    </w:pPr>
                    <w:r>
                      <w:rPr>
                        <w:rFonts w:ascii="Times New Roman" w:hAnsi="Times New Roman" w:cs="Times New Roman"/>
                      </w:rPr>
                      <w:t>2023/7/17</w:t>
                    </w:r>
                  </w:p>
                </w:tc>
                <w:tc>
                  <w:tcPr>
                    <w:tcW w:w="490" w:type="pct"/>
                    <w:shd w:val="clear" w:color="auto" w:fill="auto"/>
                    <w:vAlign w:val="center"/>
                  </w:tcPr>
                  <w:p w14:paraId="0842B071"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01779D8C"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458875537"/>
              <w:lock w:val="sdtLocked"/>
              <w:placeholder>
                <w:docPart w:val="3A65F854120B43E899D6CF91EA45B837"/>
              </w:placeholder>
            </w:sdtPr>
            <w:sdtEndPr>
              <w:rPr>
                <w:sz w:val="21"/>
              </w:rPr>
            </w:sdtEndPr>
            <w:sdtContent>
              <w:tr w:rsidR="00D21C1F" w14:paraId="26D19813" w14:textId="77777777">
                <w:trPr>
                  <w:cantSplit/>
                  <w:trHeight w:val="345"/>
                </w:trPr>
                <w:tc>
                  <w:tcPr>
                    <w:tcW w:w="360" w:type="pct"/>
                    <w:shd w:val="clear" w:color="auto" w:fill="auto"/>
                  </w:tcPr>
                  <w:sdt>
                    <w:sdtPr>
                      <w:rPr>
                        <w:kern w:val="0"/>
                        <w:sz w:val="24"/>
                        <w:szCs w:val="24"/>
                      </w:rPr>
                      <w:tag w:val="_PLD_b8ff1d63a104431ca5399b96b6ac41bb"/>
                      <w:id w:val="-558867055"/>
                      <w:lock w:val="sdtLocked"/>
                    </w:sdtPr>
                    <w:sdtEndPr>
                      <w:rPr>
                        <w:kern w:val="2"/>
                        <w:sz w:val="21"/>
                        <w:szCs w:val="21"/>
                      </w:rPr>
                    </w:sdtEndPr>
                    <w:sdtContent>
                      <w:p w14:paraId="0C0C11CD" w14:textId="77777777" w:rsidR="00D21C1F" w:rsidRDefault="00A42880">
                        <w:pPr>
                          <w:pStyle w:val="ab"/>
                        </w:pPr>
                        <w:r>
                          <w:t>6</w:t>
                        </w:r>
                      </w:p>
                    </w:sdtContent>
                  </w:sdt>
                </w:tc>
                <w:tc>
                  <w:tcPr>
                    <w:tcW w:w="2050" w:type="pct"/>
                    <w:shd w:val="clear" w:color="auto" w:fill="auto"/>
                    <w:vAlign w:val="center"/>
                  </w:tcPr>
                  <w:p w14:paraId="4613A982" w14:textId="77777777" w:rsidR="00D21C1F" w:rsidRDefault="00A42880">
                    <w:pPr>
                      <w:rPr>
                        <w:rFonts w:ascii="Times New Roman" w:hAnsi="Times New Roman" w:cs="Times New Roman"/>
                        <w:szCs w:val="21"/>
                      </w:rPr>
                    </w:pPr>
                    <w:r>
                      <w:rPr>
                        <w:rFonts w:ascii="Times New Roman" w:hAnsi="Times New Roman" w:cs="Times New Roman"/>
                      </w:rPr>
                      <w:t>美的集团股份有限公司</w:t>
                    </w:r>
                  </w:p>
                </w:tc>
                <w:tc>
                  <w:tcPr>
                    <w:tcW w:w="690" w:type="pct"/>
                    <w:shd w:val="clear" w:color="auto" w:fill="auto"/>
                    <w:vAlign w:val="center"/>
                  </w:tcPr>
                  <w:p w14:paraId="7B5AB75D" w14:textId="77777777" w:rsidR="00D21C1F" w:rsidRDefault="00A42880">
                    <w:pPr>
                      <w:jc w:val="right"/>
                      <w:rPr>
                        <w:rFonts w:ascii="Times New Roman" w:hAnsi="Times New Roman" w:cs="Times New Roman"/>
                        <w:szCs w:val="21"/>
                      </w:rPr>
                    </w:pPr>
                    <w:r>
                      <w:rPr>
                        <w:rFonts w:ascii="Times New Roman" w:hAnsi="Times New Roman" w:cs="Times New Roman"/>
                      </w:rPr>
                      <w:t>35,600,000</w:t>
                    </w:r>
                  </w:p>
                </w:tc>
                <w:tc>
                  <w:tcPr>
                    <w:tcW w:w="665" w:type="pct"/>
                    <w:shd w:val="clear" w:color="auto" w:fill="auto"/>
                    <w:vAlign w:val="center"/>
                  </w:tcPr>
                  <w:p w14:paraId="62397480" w14:textId="77777777" w:rsidR="00D21C1F" w:rsidRDefault="00A42880">
                    <w:pPr>
                      <w:jc w:val="right"/>
                      <w:rPr>
                        <w:rFonts w:ascii="Times New Roman" w:hAnsi="Times New Roman" w:cs="Times New Roman"/>
                        <w:szCs w:val="21"/>
                      </w:rPr>
                    </w:pPr>
                    <w:r>
                      <w:rPr>
                        <w:rFonts w:ascii="Times New Roman" w:hAnsi="Times New Roman" w:cs="Times New Roman"/>
                      </w:rPr>
                      <w:t>2021/7/15</w:t>
                    </w:r>
                  </w:p>
                </w:tc>
                <w:tc>
                  <w:tcPr>
                    <w:tcW w:w="490" w:type="pct"/>
                    <w:shd w:val="clear" w:color="auto" w:fill="auto"/>
                    <w:vAlign w:val="center"/>
                  </w:tcPr>
                  <w:p w14:paraId="51374D4F"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519D9E60"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734939953"/>
              <w:lock w:val="sdtLocked"/>
              <w:placeholder>
                <w:docPart w:val="3A65F854120B43E899D6CF91EA45B837"/>
              </w:placeholder>
            </w:sdtPr>
            <w:sdtEndPr>
              <w:rPr>
                <w:sz w:val="21"/>
              </w:rPr>
            </w:sdtEndPr>
            <w:sdtContent>
              <w:tr w:rsidR="00D21C1F" w14:paraId="42271456" w14:textId="77777777">
                <w:trPr>
                  <w:cantSplit/>
                  <w:trHeight w:val="345"/>
                </w:trPr>
                <w:tc>
                  <w:tcPr>
                    <w:tcW w:w="360" w:type="pct"/>
                    <w:shd w:val="clear" w:color="auto" w:fill="auto"/>
                  </w:tcPr>
                  <w:sdt>
                    <w:sdtPr>
                      <w:rPr>
                        <w:kern w:val="0"/>
                        <w:sz w:val="24"/>
                        <w:szCs w:val="24"/>
                      </w:rPr>
                      <w:tag w:val="_PLD_b8ff1d63a104431ca5399b96b6ac41bb"/>
                      <w:id w:val="1719086931"/>
                      <w:lock w:val="sdtLocked"/>
                    </w:sdtPr>
                    <w:sdtEndPr>
                      <w:rPr>
                        <w:kern w:val="2"/>
                        <w:sz w:val="21"/>
                        <w:szCs w:val="21"/>
                      </w:rPr>
                    </w:sdtEndPr>
                    <w:sdtContent>
                      <w:p w14:paraId="51C3EA84" w14:textId="77777777" w:rsidR="00D21C1F" w:rsidRDefault="00A42880">
                        <w:pPr>
                          <w:pStyle w:val="ab"/>
                        </w:pPr>
                        <w:r>
                          <w:t>7</w:t>
                        </w:r>
                      </w:p>
                    </w:sdtContent>
                  </w:sdt>
                </w:tc>
                <w:tc>
                  <w:tcPr>
                    <w:tcW w:w="2050" w:type="pct"/>
                    <w:shd w:val="clear" w:color="auto" w:fill="auto"/>
                    <w:vAlign w:val="center"/>
                  </w:tcPr>
                  <w:p w14:paraId="6408AD15" w14:textId="77777777" w:rsidR="00D21C1F" w:rsidRDefault="00A42880">
                    <w:pPr>
                      <w:rPr>
                        <w:rFonts w:ascii="Times New Roman" w:hAnsi="Times New Roman" w:cs="Times New Roman"/>
                        <w:szCs w:val="21"/>
                      </w:rPr>
                    </w:pPr>
                    <w:r>
                      <w:rPr>
                        <w:rFonts w:ascii="Times New Roman" w:hAnsi="Times New Roman" w:cs="Times New Roman"/>
                      </w:rPr>
                      <w:t>Phinda Holding S.A.</w:t>
                    </w:r>
                  </w:p>
                </w:tc>
                <w:tc>
                  <w:tcPr>
                    <w:tcW w:w="690" w:type="pct"/>
                    <w:shd w:val="clear" w:color="auto" w:fill="auto"/>
                    <w:vAlign w:val="center"/>
                  </w:tcPr>
                  <w:p w14:paraId="3BE4E462" w14:textId="77777777" w:rsidR="00D21C1F" w:rsidRDefault="00A42880">
                    <w:pPr>
                      <w:jc w:val="right"/>
                      <w:rPr>
                        <w:rFonts w:ascii="Times New Roman" w:hAnsi="Times New Roman" w:cs="Times New Roman"/>
                        <w:szCs w:val="21"/>
                      </w:rPr>
                    </w:pPr>
                    <w:r>
                      <w:rPr>
                        <w:rFonts w:ascii="Times New Roman" w:hAnsi="Times New Roman" w:cs="Times New Roman"/>
                      </w:rPr>
                      <w:t>20,000,000</w:t>
                    </w:r>
                  </w:p>
                </w:tc>
                <w:tc>
                  <w:tcPr>
                    <w:tcW w:w="665" w:type="pct"/>
                    <w:shd w:val="clear" w:color="auto" w:fill="auto"/>
                    <w:vAlign w:val="center"/>
                  </w:tcPr>
                  <w:p w14:paraId="571A50B4" w14:textId="77777777" w:rsidR="00D21C1F" w:rsidRDefault="00A42880">
                    <w:pPr>
                      <w:jc w:val="right"/>
                      <w:rPr>
                        <w:rFonts w:ascii="Times New Roman" w:hAnsi="Times New Roman" w:cs="Times New Roman"/>
                        <w:szCs w:val="21"/>
                      </w:rPr>
                    </w:pPr>
                    <w:r>
                      <w:rPr>
                        <w:rFonts w:ascii="Times New Roman" w:hAnsi="Times New Roman" w:cs="Times New Roman"/>
                      </w:rPr>
                      <w:t>注</w:t>
                    </w:r>
                    <w:r>
                      <w:rPr>
                        <w:rFonts w:ascii="Times New Roman" w:hAnsi="Times New Roman" w:cs="Times New Roman"/>
                      </w:rPr>
                      <w:t>2</w:t>
                    </w:r>
                  </w:p>
                </w:tc>
                <w:tc>
                  <w:tcPr>
                    <w:tcW w:w="490" w:type="pct"/>
                    <w:shd w:val="clear" w:color="auto" w:fill="auto"/>
                    <w:vAlign w:val="center"/>
                  </w:tcPr>
                  <w:p w14:paraId="2796DFB6"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6211062F"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738059503"/>
              <w:lock w:val="sdtLocked"/>
              <w:placeholder>
                <w:docPart w:val="3A65F854120B43E899D6CF91EA45B837"/>
              </w:placeholder>
            </w:sdtPr>
            <w:sdtEndPr>
              <w:rPr>
                <w:sz w:val="21"/>
              </w:rPr>
            </w:sdtEndPr>
            <w:sdtContent>
              <w:tr w:rsidR="00D21C1F" w14:paraId="48B78062" w14:textId="77777777">
                <w:trPr>
                  <w:cantSplit/>
                  <w:trHeight w:val="345"/>
                </w:trPr>
                <w:tc>
                  <w:tcPr>
                    <w:tcW w:w="360" w:type="pct"/>
                    <w:shd w:val="clear" w:color="auto" w:fill="auto"/>
                  </w:tcPr>
                  <w:sdt>
                    <w:sdtPr>
                      <w:rPr>
                        <w:kern w:val="0"/>
                        <w:sz w:val="24"/>
                        <w:szCs w:val="24"/>
                      </w:rPr>
                      <w:tag w:val="_PLD_b8ff1d63a104431ca5399b96b6ac41bb"/>
                      <w:id w:val="-533809473"/>
                      <w:lock w:val="sdtLocked"/>
                    </w:sdtPr>
                    <w:sdtEndPr>
                      <w:rPr>
                        <w:kern w:val="2"/>
                        <w:sz w:val="21"/>
                        <w:szCs w:val="21"/>
                      </w:rPr>
                    </w:sdtEndPr>
                    <w:sdtContent>
                      <w:p w14:paraId="70440A38" w14:textId="77777777" w:rsidR="00D21C1F" w:rsidRDefault="00A42880">
                        <w:pPr>
                          <w:pStyle w:val="ab"/>
                        </w:pPr>
                        <w:r>
                          <w:t>8</w:t>
                        </w:r>
                      </w:p>
                    </w:sdtContent>
                  </w:sdt>
                </w:tc>
                <w:tc>
                  <w:tcPr>
                    <w:tcW w:w="2050" w:type="pct"/>
                    <w:shd w:val="clear" w:color="auto" w:fill="auto"/>
                    <w:vAlign w:val="center"/>
                  </w:tcPr>
                  <w:p w14:paraId="7D490485" w14:textId="77777777" w:rsidR="00D21C1F" w:rsidRDefault="00A42880">
                    <w:pPr>
                      <w:rPr>
                        <w:rFonts w:ascii="Times New Roman" w:hAnsi="Times New Roman" w:cs="Times New Roman"/>
                        <w:szCs w:val="21"/>
                      </w:rPr>
                    </w:pPr>
                    <w:r>
                      <w:rPr>
                        <w:rFonts w:ascii="Times New Roman" w:hAnsi="Times New Roman" w:cs="Times New Roman"/>
                      </w:rPr>
                      <w:t>马鞍山基石智能制造产业基金合伙企业（有限合伙）</w:t>
                    </w:r>
                  </w:p>
                </w:tc>
                <w:tc>
                  <w:tcPr>
                    <w:tcW w:w="690" w:type="pct"/>
                    <w:shd w:val="clear" w:color="auto" w:fill="auto"/>
                    <w:vAlign w:val="center"/>
                  </w:tcPr>
                  <w:p w14:paraId="753F5E05" w14:textId="77777777" w:rsidR="00D21C1F" w:rsidRDefault="00A42880">
                    <w:pPr>
                      <w:jc w:val="right"/>
                      <w:rPr>
                        <w:rFonts w:ascii="Times New Roman" w:hAnsi="Times New Roman" w:cs="Times New Roman"/>
                        <w:szCs w:val="21"/>
                      </w:rPr>
                    </w:pPr>
                    <w:r>
                      <w:rPr>
                        <w:rFonts w:ascii="Times New Roman" w:hAnsi="Times New Roman" w:cs="Times New Roman"/>
                      </w:rPr>
                      <w:t>17,948,718</w:t>
                    </w:r>
                  </w:p>
                </w:tc>
                <w:tc>
                  <w:tcPr>
                    <w:tcW w:w="665" w:type="pct"/>
                    <w:shd w:val="clear" w:color="auto" w:fill="auto"/>
                    <w:vAlign w:val="center"/>
                  </w:tcPr>
                  <w:p w14:paraId="1B06E1D3" w14:textId="77777777" w:rsidR="00D21C1F" w:rsidRDefault="00A42880">
                    <w:pPr>
                      <w:jc w:val="right"/>
                      <w:rPr>
                        <w:rFonts w:ascii="Times New Roman" w:hAnsi="Times New Roman" w:cs="Times New Roman"/>
                        <w:szCs w:val="21"/>
                      </w:rPr>
                    </w:pPr>
                    <w:r>
                      <w:rPr>
                        <w:rFonts w:ascii="Times New Roman" w:hAnsi="Times New Roman" w:cs="Times New Roman"/>
                      </w:rPr>
                      <w:t>2021/12/28</w:t>
                    </w:r>
                  </w:p>
                </w:tc>
                <w:tc>
                  <w:tcPr>
                    <w:tcW w:w="490" w:type="pct"/>
                    <w:shd w:val="clear" w:color="auto" w:fill="auto"/>
                    <w:vAlign w:val="center"/>
                  </w:tcPr>
                  <w:p w14:paraId="721226CD"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3D678DCB"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sdt>
            <w:sdtPr>
              <w:rPr>
                <w:rFonts w:ascii="宋体" w:hAnsi="宋体" w:cs="宋体"/>
                <w:kern w:val="0"/>
                <w:sz w:val="24"/>
                <w:szCs w:val="24"/>
              </w:rPr>
              <w:alias w:val="前十名有限售条件股东持股数量及限售条件"/>
              <w:tag w:val="_TUP_448531fe5793474593ff660728e7149f"/>
              <w:id w:val="1072242451"/>
              <w:lock w:val="sdtLocked"/>
              <w:placeholder>
                <w:docPart w:val="3A65F854120B43E899D6CF91EA45B837"/>
              </w:placeholder>
            </w:sdtPr>
            <w:sdtEndPr>
              <w:rPr>
                <w:sz w:val="21"/>
              </w:rPr>
            </w:sdtEndPr>
            <w:sdtContent>
              <w:tr w:rsidR="00D21C1F" w14:paraId="4B860FDD" w14:textId="77777777">
                <w:trPr>
                  <w:cantSplit/>
                  <w:trHeight w:val="345"/>
                </w:trPr>
                <w:tc>
                  <w:tcPr>
                    <w:tcW w:w="360" w:type="pct"/>
                    <w:shd w:val="clear" w:color="auto" w:fill="auto"/>
                  </w:tcPr>
                  <w:sdt>
                    <w:sdtPr>
                      <w:rPr>
                        <w:kern w:val="0"/>
                        <w:sz w:val="24"/>
                        <w:szCs w:val="24"/>
                      </w:rPr>
                      <w:tag w:val="_PLD_b8ff1d63a104431ca5399b96b6ac41bb"/>
                      <w:id w:val="487055443"/>
                      <w:lock w:val="sdtLocked"/>
                    </w:sdtPr>
                    <w:sdtEndPr>
                      <w:rPr>
                        <w:kern w:val="2"/>
                        <w:sz w:val="21"/>
                        <w:szCs w:val="21"/>
                      </w:rPr>
                    </w:sdtEndPr>
                    <w:sdtContent>
                      <w:p w14:paraId="42C50F0F" w14:textId="77777777" w:rsidR="00D21C1F" w:rsidRDefault="00A42880">
                        <w:pPr>
                          <w:pStyle w:val="ab"/>
                        </w:pPr>
                        <w:r>
                          <w:t>9</w:t>
                        </w:r>
                      </w:p>
                    </w:sdtContent>
                  </w:sdt>
                </w:tc>
                <w:tc>
                  <w:tcPr>
                    <w:tcW w:w="2050" w:type="pct"/>
                    <w:shd w:val="clear" w:color="auto" w:fill="auto"/>
                    <w:vAlign w:val="center"/>
                  </w:tcPr>
                  <w:p w14:paraId="1CDF9C07" w14:textId="77777777" w:rsidR="00D21C1F" w:rsidRDefault="00A42880">
                    <w:pPr>
                      <w:rPr>
                        <w:rFonts w:ascii="Times New Roman" w:hAnsi="Times New Roman" w:cs="Times New Roman"/>
                        <w:szCs w:val="21"/>
                      </w:rPr>
                    </w:pPr>
                    <w:r>
                      <w:rPr>
                        <w:rFonts w:ascii="Times New Roman" w:hAnsi="Times New Roman" w:cs="Times New Roman" w:hint="eastAsia"/>
                        <w:szCs w:val="21"/>
                      </w:rPr>
                      <w:t>国信资本有限责任公司</w:t>
                    </w:r>
                  </w:p>
                </w:tc>
                <w:tc>
                  <w:tcPr>
                    <w:tcW w:w="690" w:type="pct"/>
                    <w:shd w:val="clear" w:color="auto" w:fill="auto"/>
                    <w:vAlign w:val="center"/>
                  </w:tcPr>
                  <w:p w14:paraId="49716965" w14:textId="77777777" w:rsidR="00D21C1F" w:rsidRDefault="00A42880">
                    <w:pPr>
                      <w:jc w:val="right"/>
                      <w:rPr>
                        <w:rFonts w:ascii="Times New Roman" w:hAnsi="Times New Roman" w:cs="Times New Roman"/>
                        <w:szCs w:val="21"/>
                      </w:rPr>
                    </w:pPr>
                    <w:r>
                      <w:rPr>
                        <w:rFonts w:ascii="Times New Roman" w:hAnsi="Times New Roman" w:cs="Times New Roman"/>
                        <w:szCs w:val="21"/>
                      </w:rPr>
                      <w:t>6,299,212</w:t>
                    </w:r>
                  </w:p>
                </w:tc>
                <w:tc>
                  <w:tcPr>
                    <w:tcW w:w="665" w:type="pct"/>
                    <w:shd w:val="clear" w:color="auto" w:fill="auto"/>
                    <w:vAlign w:val="center"/>
                  </w:tcPr>
                  <w:p w14:paraId="1EE53204" w14:textId="77777777" w:rsidR="00D21C1F" w:rsidRDefault="00A42880">
                    <w:pPr>
                      <w:jc w:val="right"/>
                      <w:rPr>
                        <w:rFonts w:ascii="Times New Roman" w:hAnsi="Times New Roman" w:cs="Times New Roman"/>
                        <w:szCs w:val="21"/>
                      </w:rPr>
                    </w:pPr>
                    <w:r>
                      <w:rPr>
                        <w:rFonts w:ascii="Times New Roman" w:hAnsi="Times New Roman" w:cs="Times New Roman"/>
                        <w:szCs w:val="21"/>
                      </w:rPr>
                      <w:t>2022/7/15</w:t>
                    </w:r>
                  </w:p>
                </w:tc>
                <w:tc>
                  <w:tcPr>
                    <w:tcW w:w="490" w:type="pct"/>
                    <w:shd w:val="clear" w:color="auto" w:fill="auto"/>
                    <w:vAlign w:val="center"/>
                  </w:tcPr>
                  <w:p w14:paraId="59BC93A0"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3278489A"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战略配售股</w:t>
                    </w:r>
                  </w:p>
                </w:tc>
              </w:tr>
            </w:sdtContent>
          </w:sdt>
          <w:sdt>
            <w:sdtPr>
              <w:rPr>
                <w:rFonts w:ascii="宋体" w:hAnsi="宋体" w:cs="宋体"/>
                <w:kern w:val="0"/>
                <w:sz w:val="24"/>
                <w:szCs w:val="24"/>
              </w:rPr>
              <w:alias w:val="前十名有限售条件股东持股数量及限售条件"/>
              <w:tag w:val="_TUP_448531fe5793474593ff660728e7149f"/>
              <w:id w:val="-1417628986"/>
              <w:lock w:val="sdtLocked"/>
              <w:placeholder>
                <w:docPart w:val="ADDA64B773594EB29606BF9AD0EBD8BB"/>
              </w:placeholder>
            </w:sdtPr>
            <w:sdtEndPr>
              <w:rPr>
                <w:sz w:val="21"/>
              </w:rPr>
            </w:sdtEndPr>
            <w:sdtContent>
              <w:tr w:rsidR="00D21C1F" w14:paraId="4221237D" w14:textId="77777777">
                <w:trPr>
                  <w:cantSplit/>
                  <w:trHeight w:val="345"/>
                </w:trPr>
                <w:tc>
                  <w:tcPr>
                    <w:tcW w:w="360" w:type="pct"/>
                    <w:shd w:val="clear" w:color="auto" w:fill="auto"/>
                  </w:tcPr>
                  <w:sdt>
                    <w:sdtPr>
                      <w:rPr>
                        <w:kern w:val="0"/>
                        <w:sz w:val="24"/>
                        <w:szCs w:val="24"/>
                      </w:rPr>
                      <w:tag w:val="_PLD_b8ff1d63a104431ca5399b96b6ac41bb"/>
                      <w:id w:val="2054892093"/>
                      <w:lock w:val="sdtLocked"/>
                    </w:sdtPr>
                    <w:sdtEndPr>
                      <w:rPr>
                        <w:kern w:val="2"/>
                        <w:sz w:val="21"/>
                        <w:szCs w:val="21"/>
                      </w:rPr>
                    </w:sdtEndPr>
                    <w:sdtContent>
                      <w:p w14:paraId="711B7BE8" w14:textId="77777777" w:rsidR="00D21C1F" w:rsidRDefault="00A42880">
                        <w:pPr>
                          <w:pStyle w:val="ab"/>
                        </w:pPr>
                        <w:r>
                          <w:t>10</w:t>
                        </w:r>
                      </w:p>
                    </w:sdtContent>
                  </w:sdt>
                </w:tc>
                <w:tc>
                  <w:tcPr>
                    <w:tcW w:w="2050" w:type="pct"/>
                    <w:shd w:val="clear" w:color="auto" w:fill="auto"/>
                    <w:vAlign w:val="center"/>
                  </w:tcPr>
                  <w:p w14:paraId="466D5F54" w14:textId="77777777" w:rsidR="00D21C1F" w:rsidRDefault="00A42880">
                    <w:pPr>
                      <w:rPr>
                        <w:rFonts w:ascii="Times New Roman" w:hAnsi="Times New Roman" w:cs="Times New Roman"/>
                        <w:szCs w:val="21"/>
                      </w:rPr>
                    </w:pPr>
                    <w:r>
                      <w:rPr>
                        <w:rFonts w:ascii="Times New Roman" w:hAnsi="Times New Roman" w:cs="Times New Roman" w:hint="eastAsia"/>
                        <w:szCs w:val="21"/>
                      </w:rPr>
                      <w:t>芜湖奇瑞科技有限公司</w:t>
                    </w:r>
                  </w:p>
                </w:tc>
                <w:tc>
                  <w:tcPr>
                    <w:tcW w:w="690" w:type="pct"/>
                    <w:shd w:val="clear" w:color="auto" w:fill="auto"/>
                    <w:vAlign w:val="center"/>
                  </w:tcPr>
                  <w:p w14:paraId="6CEEF0A8" w14:textId="77777777" w:rsidR="00D21C1F" w:rsidRDefault="00A42880">
                    <w:pPr>
                      <w:jc w:val="right"/>
                      <w:rPr>
                        <w:rFonts w:ascii="Times New Roman" w:hAnsi="Times New Roman" w:cs="Times New Roman"/>
                        <w:szCs w:val="21"/>
                      </w:rPr>
                    </w:pPr>
                    <w:r>
                      <w:rPr>
                        <w:rFonts w:ascii="Times New Roman" w:hAnsi="Times New Roman" w:cs="Times New Roman"/>
                      </w:rPr>
                      <w:t>5,510,000</w:t>
                    </w:r>
                  </w:p>
                </w:tc>
                <w:tc>
                  <w:tcPr>
                    <w:tcW w:w="665" w:type="pct"/>
                    <w:shd w:val="clear" w:color="auto" w:fill="auto"/>
                    <w:vAlign w:val="center"/>
                  </w:tcPr>
                  <w:p w14:paraId="25934063" w14:textId="77777777" w:rsidR="00D21C1F" w:rsidRDefault="00A42880">
                    <w:pPr>
                      <w:jc w:val="right"/>
                      <w:rPr>
                        <w:rFonts w:ascii="Times New Roman" w:hAnsi="Times New Roman" w:cs="Times New Roman"/>
                        <w:szCs w:val="21"/>
                      </w:rPr>
                    </w:pPr>
                    <w:r>
                      <w:rPr>
                        <w:rFonts w:ascii="Times New Roman" w:hAnsi="Times New Roman" w:cs="Times New Roman"/>
                      </w:rPr>
                      <w:t>2021/7/15</w:t>
                    </w:r>
                  </w:p>
                </w:tc>
                <w:tc>
                  <w:tcPr>
                    <w:tcW w:w="490" w:type="pct"/>
                    <w:shd w:val="clear" w:color="auto" w:fill="auto"/>
                    <w:vAlign w:val="center"/>
                  </w:tcPr>
                  <w:p w14:paraId="1D19EA69" w14:textId="77777777" w:rsidR="00D21C1F" w:rsidRDefault="00A42880">
                    <w:pPr>
                      <w:jc w:val="right"/>
                      <w:rPr>
                        <w:rFonts w:ascii="Times New Roman" w:hAnsi="Times New Roman" w:cs="Times New Roman"/>
                        <w:szCs w:val="21"/>
                      </w:rPr>
                    </w:pPr>
                    <w:r>
                      <w:rPr>
                        <w:rFonts w:ascii="Times New Roman" w:hAnsi="Times New Roman" w:cs="Times New Roman"/>
                        <w:szCs w:val="21"/>
                      </w:rPr>
                      <w:t>0</w:t>
                    </w:r>
                  </w:p>
                </w:tc>
                <w:tc>
                  <w:tcPr>
                    <w:tcW w:w="745" w:type="pct"/>
                    <w:shd w:val="clear" w:color="auto" w:fill="auto"/>
                    <w:vAlign w:val="center"/>
                  </w:tcPr>
                  <w:p w14:paraId="06428CD3" w14:textId="77777777" w:rsidR="00D21C1F" w:rsidRDefault="00A42880">
                    <w:pPr>
                      <w:jc w:val="both"/>
                      <w:rPr>
                        <w:rFonts w:ascii="Times New Roman" w:hAnsi="Times New Roman" w:cs="Times New Roman"/>
                        <w:szCs w:val="21"/>
                      </w:rPr>
                    </w:pPr>
                    <w:r>
                      <w:rPr>
                        <w:rFonts w:ascii="Times New Roman" w:hAnsi="Times New Roman" w:cs="Times New Roman" w:hint="eastAsia"/>
                        <w:szCs w:val="21"/>
                      </w:rPr>
                      <w:t>首发前股份</w:t>
                    </w:r>
                  </w:p>
                </w:tc>
              </w:tr>
            </w:sdtContent>
          </w:sdt>
          <w:tr w:rsidR="00D21C1F" w14:paraId="3AB33A08" w14:textId="77777777">
            <w:trPr>
              <w:cantSplit/>
            </w:trPr>
            <w:sdt>
              <w:sdtPr>
                <w:tag w:val="_PLD_93a9569c37f94f3190c8e5fafcc19bae"/>
                <w:id w:val="-1465736094"/>
                <w:lock w:val="sdtLocked"/>
              </w:sdtPr>
              <w:sdtEndPr/>
              <w:sdtContent>
                <w:tc>
                  <w:tcPr>
                    <w:tcW w:w="2410" w:type="pct"/>
                    <w:gridSpan w:val="2"/>
                    <w:shd w:val="clear" w:color="auto" w:fill="auto"/>
                  </w:tcPr>
                  <w:p w14:paraId="0C5B4C07" w14:textId="77777777" w:rsidR="00D21C1F" w:rsidRDefault="00A42880">
                    <w:pPr>
                      <w:ind w:rightChars="46" w:right="97"/>
                      <w:rPr>
                        <w:szCs w:val="21"/>
                      </w:rPr>
                    </w:pPr>
                    <w:r>
                      <w:rPr>
                        <w:rFonts w:hint="eastAsia"/>
                        <w:szCs w:val="21"/>
                      </w:rPr>
                      <w:t>上述股东关联关系或一致行动的说明</w:t>
                    </w:r>
                  </w:p>
                </w:tc>
              </w:sdtContent>
            </w:sdt>
            <w:tc>
              <w:tcPr>
                <w:tcW w:w="2590" w:type="pct"/>
                <w:gridSpan w:val="4"/>
                <w:shd w:val="clear" w:color="auto" w:fill="auto"/>
              </w:tcPr>
              <w:p w14:paraId="25806550"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1</w:t>
                </w:r>
                <w:r w:rsidRPr="00014876">
                  <w:rPr>
                    <w:rFonts w:ascii="Times New Roman" w:hAnsi="Times New Roman" w:cs="Times New Roman"/>
                    <w:szCs w:val="21"/>
                  </w:rPr>
                  <w:t>、芜湖远宏及其一致行动人共持有埃夫特</w:t>
                </w:r>
                <w:r w:rsidRPr="00014876">
                  <w:rPr>
                    <w:rFonts w:ascii="Times New Roman" w:hAnsi="Times New Roman" w:cs="Times New Roman"/>
                    <w:szCs w:val="21"/>
                  </w:rPr>
                  <w:t>36.5771%</w:t>
                </w:r>
                <w:r w:rsidRPr="00014876">
                  <w:rPr>
                    <w:rFonts w:ascii="Times New Roman" w:hAnsi="Times New Roman" w:cs="Times New Roman"/>
                    <w:szCs w:val="21"/>
                  </w:rPr>
                  <w:t>股权和表决权，具体如下：</w:t>
                </w:r>
              </w:p>
              <w:p w14:paraId="49BB6D74"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w:t>
                </w:r>
                <w:r w:rsidRPr="00014876">
                  <w:rPr>
                    <w:rFonts w:ascii="Times New Roman" w:hAnsi="Times New Roman" w:cs="Times New Roman"/>
                    <w:szCs w:val="21"/>
                  </w:rPr>
                  <w:t>1</w:t>
                </w:r>
                <w:r w:rsidRPr="00014876">
                  <w:rPr>
                    <w:rFonts w:ascii="Times New Roman" w:hAnsi="Times New Roman" w:cs="Times New Roman"/>
                    <w:szCs w:val="21"/>
                  </w:rPr>
                  <w:t>）芜湖远宏及其母公司远大创投共持有公司</w:t>
                </w:r>
                <w:r w:rsidRPr="00014876">
                  <w:rPr>
                    <w:rFonts w:ascii="Times New Roman" w:hAnsi="Times New Roman" w:cs="Times New Roman"/>
                    <w:szCs w:val="21"/>
                  </w:rPr>
                  <w:t>27.7761%</w:t>
                </w:r>
                <w:r w:rsidRPr="00014876">
                  <w:rPr>
                    <w:rFonts w:ascii="Times New Roman" w:hAnsi="Times New Roman" w:cs="Times New Roman"/>
                    <w:szCs w:val="21"/>
                  </w:rPr>
                  <w:t>股权；</w:t>
                </w:r>
              </w:p>
              <w:p w14:paraId="3662C83E"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w:t>
                </w:r>
                <w:r w:rsidRPr="00014876">
                  <w:rPr>
                    <w:rFonts w:ascii="Times New Roman" w:hAnsi="Times New Roman" w:cs="Times New Roman"/>
                    <w:szCs w:val="21"/>
                  </w:rPr>
                  <w:t>2</w:t>
                </w:r>
                <w:r w:rsidRPr="00014876">
                  <w:rPr>
                    <w:rFonts w:ascii="Times New Roman" w:hAnsi="Times New Roman" w:cs="Times New Roman"/>
                    <w:szCs w:val="21"/>
                  </w:rPr>
                  <w:t>）根据芜湖远宏、远大创投与睿博投资于</w:t>
                </w:r>
                <w:r w:rsidRPr="00014876">
                  <w:rPr>
                    <w:rFonts w:ascii="Times New Roman" w:hAnsi="Times New Roman" w:cs="Times New Roman"/>
                    <w:szCs w:val="21"/>
                  </w:rPr>
                  <w:t>2017</w:t>
                </w:r>
                <w:r w:rsidRPr="00014876">
                  <w:rPr>
                    <w:rFonts w:ascii="Times New Roman" w:hAnsi="Times New Roman" w:cs="Times New Roman"/>
                    <w:szCs w:val="21"/>
                  </w:rPr>
                  <w:t>年</w:t>
                </w:r>
                <w:r w:rsidRPr="00014876">
                  <w:rPr>
                    <w:rFonts w:ascii="Times New Roman" w:hAnsi="Times New Roman" w:cs="Times New Roman"/>
                    <w:szCs w:val="21"/>
                  </w:rPr>
                  <w:t>9</w:t>
                </w:r>
                <w:r w:rsidRPr="00014876">
                  <w:rPr>
                    <w:rFonts w:ascii="Times New Roman" w:hAnsi="Times New Roman" w:cs="Times New Roman"/>
                    <w:szCs w:val="21"/>
                  </w:rPr>
                  <w:t>月</w:t>
                </w:r>
                <w:r w:rsidRPr="00014876">
                  <w:rPr>
                    <w:rFonts w:ascii="Times New Roman" w:hAnsi="Times New Roman" w:cs="Times New Roman"/>
                    <w:szCs w:val="21"/>
                  </w:rPr>
                  <w:t>20</w:t>
                </w:r>
                <w:r w:rsidRPr="00014876">
                  <w:rPr>
                    <w:rFonts w:ascii="Times New Roman" w:hAnsi="Times New Roman" w:cs="Times New Roman"/>
                    <w:szCs w:val="21"/>
                  </w:rPr>
                  <w:t>日签订的《一致行动人协议》，睿博投资作为芜湖远宏一致行动人，持有埃夫特</w:t>
                </w:r>
                <w:r w:rsidRPr="00014876">
                  <w:rPr>
                    <w:rFonts w:ascii="Times New Roman" w:hAnsi="Times New Roman" w:cs="Times New Roman"/>
                    <w:szCs w:val="21"/>
                  </w:rPr>
                  <w:t>8.8010%</w:t>
                </w:r>
                <w:r w:rsidRPr="00014876">
                  <w:rPr>
                    <w:rFonts w:ascii="Times New Roman" w:hAnsi="Times New Roman" w:cs="Times New Roman"/>
                    <w:szCs w:val="21"/>
                  </w:rPr>
                  <w:t>股权</w:t>
                </w:r>
              </w:p>
              <w:p w14:paraId="06A8C8D8" w14:textId="77777777" w:rsidR="00D21C1F" w:rsidRPr="00014876" w:rsidRDefault="00A42880">
                <w:pPr>
                  <w:jc w:val="both"/>
                  <w:rPr>
                    <w:rFonts w:ascii="Times New Roman" w:hAnsi="Times New Roman" w:cs="Times New Roman"/>
                    <w:szCs w:val="21"/>
                  </w:rPr>
                </w:pPr>
                <w:r w:rsidRPr="00014876">
                  <w:rPr>
                    <w:rFonts w:ascii="Times New Roman" w:hAnsi="Times New Roman" w:cs="Times New Roman"/>
                    <w:szCs w:val="21"/>
                  </w:rPr>
                  <w:t>2</w:t>
                </w:r>
                <w:r w:rsidRPr="00014876">
                  <w:rPr>
                    <w:rFonts w:ascii="Times New Roman" w:hAnsi="Times New Roman" w:cs="Times New Roman"/>
                    <w:szCs w:val="21"/>
                  </w:rPr>
                  <w:t>、信惟基石、马鞍山基石均为基石资产管理股份有限公司管理下的基金，分别持有公司</w:t>
                </w:r>
                <w:r w:rsidRPr="00014876">
                  <w:rPr>
                    <w:rFonts w:ascii="Times New Roman" w:hAnsi="Times New Roman" w:cs="Times New Roman"/>
                    <w:szCs w:val="21"/>
                  </w:rPr>
                  <w:t>11.4991%</w:t>
                </w:r>
                <w:r w:rsidRPr="00014876">
                  <w:rPr>
                    <w:rFonts w:ascii="Times New Roman" w:hAnsi="Times New Roman" w:cs="Times New Roman"/>
                    <w:szCs w:val="21"/>
                  </w:rPr>
                  <w:t>、</w:t>
                </w:r>
                <w:r w:rsidRPr="00014876">
                  <w:rPr>
                    <w:rFonts w:ascii="Times New Roman" w:hAnsi="Times New Roman" w:cs="Times New Roman"/>
                    <w:szCs w:val="21"/>
                  </w:rPr>
                  <w:t>3.4399%</w:t>
                </w:r>
                <w:r w:rsidRPr="00014876">
                  <w:rPr>
                    <w:rFonts w:ascii="Times New Roman" w:hAnsi="Times New Roman" w:cs="Times New Roman"/>
                    <w:szCs w:val="21"/>
                  </w:rPr>
                  <w:t>股份，合计持有公司</w:t>
                </w:r>
                <w:r w:rsidRPr="00014876">
                  <w:rPr>
                    <w:rFonts w:ascii="Times New Roman" w:hAnsi="Times New Roman" w:cs="Times New Roman"/>
                    <w:szCs w:val="21"/>
                  </w:rPr>
                  <w:t>14.9390%</w:t>
                </w:r>
                <w:r w:rsidRPr="00014876">
                  <w:rPr>
                    <w:rFonts w:ascii="Times New Roman" w:hAnsi="Times New Roman" w:cs="Times New Roman"/>
                    <w:szCs w:val="21"/>
                  </w:rPr>
                  <w:t>股份</w:t>
                </w:r>
              </w:p>
              <w:p w14:paraId="142DC38A" w14:textId="77777777" w:rsidR="00D21C1F" w:rsidRDefault="00A42880">
                <w:pPr>
                  <w:jc w:val="both"/>
                  <w:rPr>
                    <w:rFonts w:cs="Arial"/>
                    <w:szCs w:val="21"/>
                  </w:rPr>
                </w:pPr>
                <w:r w:rsidRPr="00014876">
                  <w:rPr>
                    <w:rFonts w:ascii="Times New Roman" w:hAnsi="Times New Roman" w:cs="Times New Roman"/>
                    <w:szCs w:val="21"/>
                  </w:rPr>
                  <w:t>3</w:t>
                </w:r>
                <w:r w:rsidRPr="00014876">
                  <w:rPr>
                    <w:rFonts w:ascii="Times New Roman" w:hAnsi="Times New Roman" w:cs="Times New Roman"/>
                    <w:szCs w:val="21"/>
                  </w:rPr>
                  <w:t>、美的集团直接持有公司</w:t>
                </w:r>
                <w:r w:rsidRPr="00014876">
                  <w:rPr>
                    <w:rFonts w:ascii="Times New Roman" w:hAnsi="Times New Roman" w:cs="Times New Roman"/>
                    <w:szCs w:val="21"/>
                  </w:rPr>
                  <w:t>6.8228%</w:t>
                </w:r>
                <w:r w:rsidRPr="00014876">
                  <w:rPr>
                    <w:rFonts w:ascii="Times New Roman" w:hAnsi="Times New Roman" w:cs="Times New Roman"/>
                    <w:szCs w:val="21"/>
                  </w:rPr>
                  <w:t>股权；同时其全资控股的美的机器人产业发展有限公司持有芜湖远宏</w:t>
                </w:r>
                <w:r w:rsidRPr="00014876">
                  <w:rPr>
                    <w:rFonts w:ascii="Times New Roman" w:hAnsi="Times New Roman" w:cs="Times New Roman"/>
                    <w:szCs w:val="21"/>
                  </w:rPr>
                  <w:t>5.00%</w:t>
                </w:r>
                <w:r w:rsidRPr="00014876">
                  <w:rPr>
                    <w:rFonts w:ascii="Times New Roman" w:hAnsi="Times New Roman" w:cs="Times New Roman"/>
                    <w:szCs w:val="21"/>
                  </w:rPr>
                  <w:t>的股份，芜湖远宏持有公司</w:t>
                </w:r>
                <w:r w:rsidRPr="00014876">
                  <w:rPr>
                    <w:rFonts w:ascii="Times New Roman" w:hAnsi="Times New Roman" w:cs="Times New Roman"/>
                    <w:szCs w:val="21"/>
                  </w:rPr>
                  <w:t>16.0987%</w:t>
                </w:r>
                <w:r w:rsidRPr="00014876">
                  <w:rPr>
                    <w:rFonts w:ascii="Times New Roman" w:hAnsi="Times New Roman" w:cs="Times New Roman"/>
                    <w:szCs w:val="21"/>
                  </w:rPr>
                  <w:t>股份</w:t>
                </w:r>
              </w:p>
            </w:tc>
          </w:tr>
        </w:tbl>
        <w:p w14:paraId="08C627E4" w14:textId="77777777" w:rsidR="00D21C1F" w:rsidRDefault="00A42880">
          <w:pPr>
            <w:spacing w:line="360" w:lineRule="auto"/>
            <w:ind w:firstLineChars="200" w:firstLine="420"/>
            <w:jc w:val="both"/>
            <w:rPr>
              <w:rFonts w:ascii="Times New Roman" w:hAnsi="Times New Roman" w:cs="Times New Roman"/>
            </w:rPr>
          </w:pPr>
          <w:bookmarkStart w:id="115" w:name="_Toc342059487"/>
          <w:bookmarkStart w:id="116" w:name="_Toc342566000"/>
          <w:bookmarkEnd w:id="112"/>
          <w:r>
            <w:rPr>
              <w:rFonts w:ascii="Times New Roman" w:hAnsi="Times New Roman" w:cs="Times New Roman"/>
            </w:rPr>
            <w:t>注</w:t>
          </w:r>
          <w:r>
            <w:rPr>
              <w:rFonts w:ascii="Times New Roman" w:hAnsi="Times New Roman" w:cs="Times New Roman"/>
            </w:rPr>
            <w:t>1</w:t>
          </w:r>
          <w:r>
            <w:rPr>
              <w:rFonts w:ascii="Times New Roman" w:hAnsi="Times New Roman" w:cs="Times New Roman"/>
            </w:rPr>
            <w:t>：鼎晖源霖共持有埃夫特</w:t>
          </w:r>
          <w:r>
            <w:rPr>
              <w:rFonts w:ascii="Times New Roman" w:hAnsi="Times New Roman" w:cs="Times New Roman"/>
            </w:rPr>
            <w:t>50,444,444</w:t>
          </w:r>
          <w:r>
            <w:rPr>
              <w:rFonts w:ascii="Times New Roman" w:hAnsi="Times New Roman" w:cs="Times New Roman"/>
            </w:rPr>
            <w:t>股股份，其中</w:t>
          </w:r>
          <w:r>
            <w:rPr>
              <w:rFonts w:ascii="Times New Roman" w:hAnsi="Times New Roman" w:cs="Times New Roman"/>
            </w:rPr>
            <w:t>49,333,333</w:t>
          </w:r>
          <w:r>
            <w:rPr>
              <w:rFonts w:ascii="Times New Roman" w:hAnsi="Times New Roman" w:cs="Times New Roman"/>
            </w:rPr>
            <w:t>股股份解除限售日期为</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日；其中</w:t>
          </w:r>
          <w:r>
            <w:rPr>
              <w:rFonts w:ascii="Times New Roman" w:hAnsi="Times New Roman" w:cs="Times New Roman"/>
            </w:rPr>
            <w:t>1,111,111</w:t>
          </w:r>
          <w:r>
            <w:rPr>
              <w:rFonts w:ascii="Times New Roman" w:hAnsi="Times New Roman" w:cs="Times New Roman"/>
            </w:rPr>
            <w:t>股股份解除限售日期为</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28</w:t>
          </w:r>
          <w:r>
            <w:rPr>
              <w:rFonts w:ascii="Times New Roman" w:hAnsi="Times New Roman" w:cs="Times New Roman"/>
            </w:rPr>
            <w:t>日。</w:t>
          </w:r>
        </w:p>
        <w:p w14:paraId="34F50748" w14:textId="77777777" w:rsidR="00D21C1F" w:rsidRDefault="00A42880">
          <w:pPr>
            <w:spacing w:line="360" w:lineRule="auto"/>
            <w:ind w:firstLineChars="200" w:firstLine="420"/>
            <w:jc w:val="both"/>
            <w:rPr>
              <w:rFonts w:ascii="Times New Roman" w:hAnsi="Times New Roman" w:cs="Times New Roman"/>
            </w:rPr>
          </w:pPr>
          <w:r>
            <w:rPr>
              <w:rFonts w:ascii="Times New Roman" w:hAnsi="Times New Roman" w:cs="Times New Roman"/>
            </w:rPr>
            <w:t>注</w:t>
          </w:r>
          <w:r>
            <w:rPr>
              <w:rFonts w:ascii="Times New Roman" w:hAnsi="Times New Roman" w:cs="Times New Roman"/>
            </w:rPr>
            <w:t>2</w:t>
          </w:r>
          <w:r>
            <w:rPr>
              <w:rFonts w:ascii="Times New Roman" w:hAnsi="Times New Roman" w:cs="Times New Roman"/>
            </w:rPr>
            <w:t>：</w:t>
          </w:r>
          <w:r>
            <w:rPr>
              <w:rFonts w:ascii="Times New Roman" w:eastAsiaTheme="minorEastAsia" w:hAnsi="Times New Roman" w:cs="Times New Roman"/>
              <w:kern w:val="2"/>
              <w:szCs w:val="22"/>
            </w:rPr>
            <w:t>Phinda Holding</w:t>
          </w:r>
          <w:r>
            <w:rPr>
              <w:rFonts w:ascii="Times New Roman" w:eastAsiaTheme="minorEastAsia" w:hAnsi="Times New Roman" w:cs="Times New Roman"/>
              <w:kern w:val="2"/>
              <w:szCs w:val="22"/>
            </w:rPr>
            <w:t>共持有埃夫特</w:t>
          </w:r>
          <w:r>
            <w:rPr>
              <w:rFonts w:ascii="Times New Roman" w:eastAsiaTheme="minorEastAsia" w:hAnsi="Times New Roman" w:cs="Times New Roman"/>
              <w:kern w:val="2"/>
              <w:szCs w:val="22"/>
            </w:rPr>
            <w:t>20,000,000</w:t>
          </w:r>
          <w:r>
            <w:rPr>
              <w:rFonts w:ascii="Times New Roman" w:eastAsiaTheme="minorEastAsia" w:hAnsi="Times New Roman" w:cs="Times New Roman"/>
              <w:kern w:val="2"/>
              <w:szCs w:val="22"/>
            </w:rPr>
            <w:t>股股份，其中</w:t>
          </w:r>
          <w:r>
            <w:rPr>
              <w:rFonts w:ascii="Times New Roman" w:hAnsi="Times New Roman" w:cs="Times New Roman"/>
            </w:rPr>
            <w:t>公司外方监事</w:t>
          </w:r>
          <w:r>
            <w:rPr>
              <w:rFonts w:ascii="Times New Roman" w:hAnsi="Times New Roman" w:cs="Times New Roman"/>
            </w:rPr>
            <w:t>Fabrizio Ceresa</w:t>
          </w:r>
          <w:r>
            <w:rPr>
              <w:rFonts w:ascii="Times New Roman" w:hAnsi="Times New Roman" w:cs="Times New Roman"/>
            </w:rPr>
            <w:t>直接持有其</w:t>
          </w:r>
          <w:r>
            <w:rPr>
              <w:rFonts w:ascii="Times New Roman" w:hAnsi="Times New Roman" w:cs="Times New Roman"/>
            </w:rPr>
            <w:t>20%</w:t>
          </w:r>
          <w:r>
            <w:rPr>
              <w:rFonts w:ascii="Times New Roman" w:hAnsi="Times New Roman" w:cs="Times New Roman"/>
            </w:rPr>
            <w:t>股份即</w:t>
          </w:r>
          <w:r>
            <w:rPr>
              <w:rFonts w:ascii="Times New Roman" w:hAnsi="Times New Roman" w:cs="Times New Roman"/>
            </w:rPr>
            <w:t>4,000,000</w:t>
          </w:r>
          <w:r>
            <w:rPr>
              <w:rFonts w:ascii="Times New Roman" w:hAnsi="Times New Roman" w:cs="Times New Roman"/>
            </w:rPr>
            <w:t>股股份，根据</w:t>
          </w:r>
          <w:r>
            <w:rPr>
              <w:rFonts w:ascii="Times New Roman" w:hAnsi="Times New Roman" w:cs="Times New Roman"/>
            </w:rPr>
            <w:t>Fabrizio Ceresa</w:t>
          </w:r>
          <w:r>
            <w:rPr>
              <w:rFonts w:ascii="Times New Roman" w:hAnsi="Times New Roman" w:cs="Times New Roman"/>
            </w:rPr>
            <w:t>承诺，此部分股份在公司实现盈利前，自公司股票上市之日起</w:t>
          </w:r>
          <w:r>
            <w:rPr>
              <w:rFonts w:ascii="Times New Roman" w:hAnsi="Times New Roman" w:cs="Times New Roman"/>
            </w:rPr>
            <w:t>3</w:t>
          </w:r>
          <w:r>
            <w:rPr>
              <w:rFonts w:ascii="Times New Roman" w:hAnsi="Times New Roman" w:cs="Times New Roman"/>
            </w:rPr>
            <w:t>个完整会计年度内，不转让或者委托他人管理本人直接和间接持有的公司首次公开发行</w:t>
          </w:r>
          <w:r>
            <w:rPr>
              <w:rFonts w:ascii="Times New Roman" w:hAnsi="Times New Roman" w:cs="Times New Roman"/>
            </w:rPr>
            <w:t>A</w:t>
          </w:r>
          <w:r>
            <w:rPr>
              <w:rFonts w:ascii="Times New Roman" w:hAnsi="Times New Roman" w:cs="Times New Roman"/>
            </w:rPr>
            <w:t>股股票前已发行的股份，也不由公司回购该部分股份（即不减持首发前股份）；其中</w:t>
          </w:r>
          <w:r>
            <w:rPr>
              <w:rFonts w:ascii="Times New Roman" w:hAnsi="Times New Roman" w:cs="Times New Roman"/>
            </w:rPr>
            <w:t>16,000,000</w:t>
          </w:r>
          <w:r>
            <w:rPr>
              <w:rFonts w:ascii="Times New Roman" w:hAnsi="Times New Roman" w:cs="Times New Roman"/>
            </w:rPr>
            <w:t>股股份解除限售日期为</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w:t>
          </w:r>
        </w:p>
        <w:p w14:paraId="37252A80" w14:textId="77777777" w:rsidR="00D21C1F" w:rsidRDefault="00045EC6">
          <w:pPr>
            <w:spacing w:line="360" w:lineRule="auto"/>
            <w:ind w:firstLineChars="200" w:firstLine="420"/>
            <w:jc w:val="both"/>
            <w:rPr>
              <w:rFonts w:ascii="Times New Roman" w:hAnsi="Times New Roman" w:cs="Times New Roman"/>
            </w:rPr>
          </w:pPr>
        </w:p>
      </w:sdtContent>
    </w:sdt>
    <w:bookmarkEnd w:id="113" w:displacedByCustomXml="next"/>
    <w:bookmarkStart w:id="117" w:name="_Hlk42871405" w:displacedByCustomXml="next"/>
    <w:sdt>
      <w:sdtPr>
        <w:rPr>
          <w:rFonts w:eastAsiaTheme="minorEastAsia" w:hint="eastAsia"/>
        </w:rPr>
        <w:alias w:val="模块:截止报告期末公司前10名境内存托凭证持有人情况表"/>
        <w:tag w:val="_SEC_3102c832a4f14f2dbb09ceb0587d8194"/>
        <w:id w:val="1182700407"/>
        <w:lock w:val="sdtLocked"/>
        <w:placeholder>
          <w:docPart w:val="GBC22222222222222222222222222222"/>
        </w:placeholder>
      </w:sdtPr>
      <w:sdtEndPr/>
      <w:sdtContent>
        <w:p w14:paraId="27DC4612" w14:textId="77777777" w:rsidR="00D21C1F" w:rsidRDefault="00A42880">
          <w:pPr>
            <w:rPr>
              <w:b/>
              <w:szCs w:val="21"/>
            </w:rPr>
          </w:pPr>
          <w:r>
            <w:rPr>
              <w:rFonts w:hint="eastAsia"/>
              <w:b/>
              <w:szCs w:val="21"/>
            </w:rPr>
            <w:t>截止</w:t>
          </w:r>
          <w:r>
            <w:rPr>
              <w:b/>
              <w:szCs w:val="21"/>
            </w:rPr>
            <w:t>报告期末</w:t>
          </w:r>
          <w:r>
            <w:rPr>
              <w:rFonts w:hint="eastAsia"/>
              <w:b/>
              <w:szCs w:val="21"/>
            </w:rPr>
            <w:t>公司前十名境内存托凭证持有人情况表</w:t>
          </w:r>
        </w:p>
        <w:p w14:paraId="4878E4A6" w14:textId="77777777" w:rsidR="00D21C1F" w:rsidRDefault="00045EC6">
          <w:pPr>
            <w:pStyle w:val="97"/>
          </w:pPr>
          <w:sdt>
            <w:sdtPr>
              <w:rPr>
                <w:bCs/>
                <w:szCs w:val="21"/>
              </w:rPr>
              <w:alias w:val="是否适用：前十名存托凭证持有人情况[双击切换]"/>
              <w:tag w:val="_GBC_b229d36514754ccdb3833dca0133d89f"/>
              <w:id w:val="-4057133"/>
              <w:lock w:val="sdtLocked"/>
              <w:placeholder>
                <w:docPart w:val="GBC22222222222222222222222222222"/>
              </w:placeholder>
            </w:sdtPr>
            <w:sdtEndPr/>
            <w:sdtContent>
              <w:r w:rsidR="00A42880">
                <w:rPr>
                  <w:bCs/>
                  <w:szCs w:val="21"/>
                </w:rPr>
                <w:fldChar w:fldCharType="begin"/>
              </w:r>
              <w:r w:rsidR="00A42880">
                <w:rPr>
                  <w:bCs/>
                  <w:szCs w:val="21"/>
                </w:rPr>
                <w:instrText xml:space="preserve"> MACROBUTTON  SnrToggleCheckbox □适用 </w:instrText>
              </w:r>
              <w:r w:rsidR="00A42880">
                <w:rPr>
                  <w:bCs/>
                  <w:szCs w:val="21"/>
                </w:rPr>
                <w:fldChar w:fldCharType="end"/>
              </w:r>
              <w:r w:rsidR="00A42880">
                <w:rPr>
                  <w:bCs/>
                  <w:szCs w:val="21"/>
                </w:rPr>
                <w:fldChar w:fldCharType="begin"/>
              </w:r>
              <w:r w:rsidR="00A42880">
                <w:rPr>
                  <w:bCs/>
                  <w:szCs w:val="21"/>
                </w:rPr>
                <w:instrText xml:space="preserve"> MACROBUTTON  SnrToggleCheckbox √不适用 </w:instrText>
              </w:r>
              <w:r w:rsidR="00A42880">
                <w:rPr>
                  <w:bCs/>
                  <w:szCs w:val="21"/>
                </w:rPr>
                <w:fldChar w:fldCharType="end"/>
              </w:r>
            </w:sdtContent>
          </w:sdt>
        </w:p>
      </w:sdtContent>
    </w:sdt>
    <w:bookmarkEnd w:id="117" w:displacedByCustomXml="next"/>
    <w:bookmarkStart w:id="118" w:name="_Hlk42871551" w:displacedByCustomXml="next"/>
    <w:sdt>
      <w:sdtPr>
        <w:rPr>
          <w:rFonts w:eastAsiaTheme="minorEastAsia"/>
        </w:rPr>
        <w:alias w:val="模块:前十名有限售条件存托凭证持有人持有数量及限售条件"/>
        <w:tag w:val="_SEC_2f10486bd0694a4ea2cdff0a42a678bd"/>
        <w:id w:val="-481700355"/>
        <w:lock w:val="sdtLocked"/>
        <w:placeholder>
          <w:docPart w:val="GBC22222222222222222222222222222"/>
        </w:placeholder>
      </w:sdtPr>
      <w:sdtEndPr/>
      <w:sdtContent>
        <w:p w14:paraId="60E8926A" w14:textId="77777777" w:rsidR="00D21C1F" w:rsidRDefault="00A42880">
          <w:pPr>
            <w:rPr>
              <w:b/>
              <w:szCs w:val="21"/>
            </w:rPr>
          </w:pPr>
          <w:r>
            <w:rPr>
              <w:b/>
              <w:szCs w:val="21"/>
            </w:rPr>
            <w:t>前十名有限售条件</w:t>
          </w:r>
          <w:r>
            <w:rPr>
              <w:rFonts w:hint="eastAsia"/>
              <w:b/>
              <w:szCs w:val="21"/>
            </w:rPr>
            <w:t>存托凭证</w:t>
          </w:r>
          <w:r>
            <w:rPr>
              <w:b/>
              <w:szCs w:val="21"/>
            </w:rPr>
            <w:t>持有人持有数量及限售条件</w:t>
          </w:r>
        </w:p>
        <w:sdt>
          <w:sdtPr>
            <w:rPr>
              <w:bCs/>
              <w:szCs w:val="21"/>
            </w:rPr>
            <w:alias w:val="是否适用：前十名有限售条件存托凭证持有人持有数量及限售条件[双击切换]"/>
            <w:tag w:val="_GBC_27e12e505ce4481c962e63e880bd9162"/>
            <w:id w:val="-1671785861"/>
            <w:lock w:val="sdtLocked"/>
            <w:placeholder>
              <w:docPart w:val="GBC22222222222222222222222222222"/>
            </w:placeholder>
          </w:sdtPr>
          <w:sdtEndPr/>
          <w:sdtContent>
            <w:p w14:paraId="5545CBBE" w14:textId="77777777" w:rsidR="00D21C1F" w:rsidRDefault="00A42880">
              <w:pPr>
                <w:pStyle w:val="97"/>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bookmarkEnd w:id="118" w:displacedByCustomXml="next"/>
    <w:bookmarkStart w:id="119" w:name="_Hlk25681314" w:displacedByCustomXml="next"/>
    <w:bookmarkStart w:id="120" w:name="_Hlk42871595" w:displacedByCustomXml="next"/>
    <w:sdt>
      <w:sdtPr>
        <w:rPr>
          <w:rFonts w:ascii="宋体" w:eastAsiaTheme="minorEastAsia" w:hAnsi="宋体" w:cs="宋体"/>
          <w:b w:val="0"/>
          <w:bCs w:val="0"/>
          <w:kern w:val="0"/>
          <w:szCs w:val="21"/>
        </w:rPr>
        <w:alias w:val="模块:截止报告期末表决权数量前十名股东情况表  单位:股序号..."/>
        <w:tag w:val="_SEC_4be4a4a6ff7044f797640792b4cd6635"/>
        <w:id w:val="1938086898"/>
        <w:lock w:val="sdtLocked"/>
        <w:placeholder>
          <w:docPart w:val="GBC22222222222222222222222222222"/>
        </w:placeholder>
      </w:sdtPr>
      <w:sdtEndPr>
        <w:rPr>
          <w:szCs w:val="24"/>
        </w:rPr>
      </w:sdtEndPr>
      <w:sdtContent>
        <w:p w14:paraId="71A60CB1" w14:textId="77777777" w:rsidR="00D21C1F" w:rsidRDefault="00A42880">
          <w:pPr>
            <w:pStyle w:val="3"/>
            <w:numPr>
              <w:ilvl w:val="1"/>
              <w:numId w:val="38"/>
            </w:numPr>
            <w:ind w:left="426" w:hanging="426"/>
            <w:rPr>
              <w:rFonts w:ascii="宋体" w:hAnsi="宋体"/>
              <w:szCs w:val="21"/>
            </w:rPr>
          </w:pPr>
          <w:r>
            <w:rPr>
              <w:rFonts w:ascii="宋体" w:hAnsi="宋体"/>
              <w:szCs w:val="21"/>
            </w:rPr>
            <w:t>截止报告期末</w:t>
          </w:r>
          <w:r>
            <w:rPr>
              <w:rFonts w:ascii="宋体" w:hAnsi="宋体" w:hint="eastAsia"/>
              <w:szCs w:val="21"/>
            </w:rPr>
            <w:t>表决权</w:t>
          </w:r>
          <w:r>
            <w:rPr>
              <w:rFonts w:ascii="宋体" w:hAnsi="宋体"/>
              <w:szCs w:val="21"/>
            </w:rPr>
            <w:t>数量前十名股东情况表</w:t>
          </w:r>
        </w:p>
        <w:sdt>
          <w:sdtPr>
            <w:rPr>
              <w:rFonts w:hint="eastAsia"/>
            </w:rPr>
            <w:alias w:val="是否适用：报告期末表决权数量前十名股东情况表[双击切换]"/>
            <w:tag w:val="_GBC_5c41ba1e124945bf8aa15cce789fd38b"/>
            <w:id w:val="-964039057"/>
            <w:lock w:val="sdtLocked"/>
            <w:placeholder>
              <w:docPart w:val="GBC22222222222222222222222222222"/>
            </w:placeholder>
          </w:sdtPr>
          <w:sdtEndPr/>
          <w:sdtContent>
            <w:p w14:paraId="0A41C5E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21" w:name="_Hlk77867490" w:displacedByCustomXml="next"/>
    <w:bookmarkEnd w:id="121" w:displacedByCustomXml="next"/>
    <w:bookmarkEnd w:id="119" w:displacedByCustomXml="next"/>
    <w:bookmarkEnd w:id="120" w:displacedByCustomXml="next"/>
    <w:sdt>
      <w:sdtPr>
        <w:rPr>
          <w:rFonts w:ascii="宋体" w:hAnsi="宋体" w:cs="宋体"/>
          <w:b w:val="0"/>
          <w:bCs w:val="0"/>
          <w:kern w:val="0"/>
          <w:szCs w:val="22"/>
        </w:rPr>
        <w:alias w:val="模块:战略投资者或一般法人因配售新股成为前10名股东"/>
        <w:tag w:val="_GBC_e978a717352b4bf6852a761b15c1e95b"/>
        <w:id w:val="-1833673612"/>
        <w:placeholder>
          <w:docPart w:val="GBC22222222222222222222222222222"/>
        </w:placeholder>
      </w:sdtPr>
      <w:sdtEndPr>
        <w:rPr>
          <w:rFonts w:hint="eastAsia"/>
          <w:szCs w:val="24"/>
        </w:rPr>
      </w:sdtEndPr>
      <w:sdtContent>
        <w:p w14:paraId="18513204" w14:textId="77777777" w:rsidR="00D21C1F" w:rsidRDefault="00A42880">
          <w:pPr>
            <w:pStyle w:val="3"/>
            <w:numPr>
              <w:ilvl w:val="1"/>
              <w:numId w:val="38"/>
            </w:numPr>
            <w:rPr>
              <w:rFonts w:ascii="宋体" w:hAnsi="宋体"/>
            </w:rPr>
          </w:pPr>
          <w:r>
            <w:rPr>
              <w:rFonts w:ascii="宋体" w:hAnsi="宋体"/>
            </w:rPr>
            <w:t>战略投资者或一般法人因配售新股</w:t>
          </w:r>
          <w:r>
            <w:rPr>
              <w:rFonts w:ascii="宋体" w:hAnsi="宋体" w:hint="eastAsia"/>
              <w:shd w:val="solid" w:color="FFFFFF" w:fill="auto"/>
            </w:rPr>
            <w:t>/存托凭证</w:t>
          </w:r>
          <w:r>
            <w:rPr>
              <w:rFonts w:ascii="宋体" w:hAnsi="宋体"/>
            </w:rPr>
            <w:t>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872968639"/>
            <w:lock w:val="sdtLocked"/>
            <w:placeholder>
              <w:docPart w:val="GBC22222222222222222222222222222"/>
            </w:placeholder>
          </w:sdtPr>
          <w:sdtEndPr/>
          <w:sdtContent>
            <w:p w14:paraId="7DF87EC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3085"/>
            <w:gridCol w:w="2797"/>
            <w:gridCol w:w="2941"/>
          </w:tblGrid>
          <w:tr w:rsidR="00D21C1F" w14:paraId="3B05E8A3" w14:textId="77777777">
            <w:sdt>
              <w:sdtPr>
                <w:tag w:val="_PLD_b720b370cfc64e7f9d06f6ca11b76758"/>
                <w:id w:val="253712192"/>
                <w:lock w:val="sdtLocked"/>
              </w:sdtPr>
              <w:sdtEndPr/>
              <w:sdtContent>
                <w:tc>
                  <w:tcPr>
                    <w:tcW w:w="3085" w:type="dxa"/>
                  </w:tcPr>
                  <w:p w14:paraId="41252C8E" w14:textId="77777777" w:rsidR="00D21C1F" w:rsidRDefault="00A42880">
                    <w:pPr>
                      <w:jc w:val="center"/>
                    </w:pPr>
                    <w:r>
                      <w:t>战略投资者或一般法人的名称</w:t>
                    </w:r>
                  </w:p>
                </w:tc>
              </w:sdtContent>
            </w:sdt>
            <w:sdt>
              <w:sdtPr>
                <w:tag w:val="_PLD_1763d66d974943fbb28281aaacc445c1"/>
                <w:id w:val="-1995022687"/>
                <w:lock w:val="sdtLocked"/>
              </w:sdtPr>
              <w:sdtEndPr/>
              <w:sdtContent>
                <w:tc>
                  <w:tcPr>
                    <w:tcW w:w="2797" w:type="dxa"/>
                  </w:tcPr>
                  <w:p w14:paraId="4A2B1256" w14:textId="77777777" w:rsidR="00D21C1F" w:rsidRDefault="00A42880">
                    <w:pPr>
                      <w:jc w:val="center"/>
                    </w:pPr>
                    <w:r>
                      <w:t>约定持股起始日期</w:t>
                    </w:r>
                  </w:p>
                </w:tc>
              </w:sdtContent>
            </w:sdt>
            <w:sdt>
              <w:sdtPr>
                <w:tag w:val="_PLD_7fe7f879a4dc4a669c19a95107185aa0"/>
                <w:id w:val="-1512213193"/>
                <w:lock w:val="sdtLocked"/>
              </w:sdtPr>
              <w:sdtEndPr/>
              <w:sdtContent>
                <w:tc>
                  <w:tcPr>
                    <w:tcW w:w="2941" w:type="dxa"/>
                  </w:tcPr>
                  <w:p w14:paraId="716B4368" w14:textId="77777777" w:rsidR="00D21C1F" w:rsidRDefault="00A42880">
                    <w:pPr>
                      <w:jc w:val="center"/>
                    </w:pPr>
                    <w:r>
                      <w:t>约定持股终止日期</w:t>
                    </w:r>
                  </w:p>
                </w:tc>
              </w:sdtContent>
            </w:sdt>
          </w:tr>
          <w:sdt>
            <w:sdtPr>
              <w:rPr>
                <w:rFonts w:hint="eastAsia"/>
              </w:rPr>
              <w:alias w:val="战略投资者或一般法人参与配售新股约定持股期限的情况"/>
              <w:tag w:val="_GBC_f3a536665a1248a180d42417489e0a24"/>
              <w:id w:val="754711143"/>
              <w:placeholder>
                <w:docPart w:val="GBC11111111111111111111111111111"/>
              </w:placeholder>
            </w:sdtPr>
            <w:sdtEndPr/>
            <w:sdtContent>
              <w:tr w:rsidR="00D21C1F" w14:paraId="72DFB13B" w14:textId="77777777">
                <w:tc>
                  <w:tcPr>
                    <w:tcW w:w="3085" w:type="dxa"/>
                  </w:tcPr>
                  <w:p w14:paraId="6CBA98CB" w14:textId="77777777" w:rsidR="00D21C1F" w:rsidRDefault="00A42880">
                    <w:pPr>
                      <w:jc w:val="left"/>
                    </w:pPr>
                    <w:r>
                      <w:rPr>
                        <w:rFonts w:hint="eastAsia"/>
                      </w:rPr>
                      <w:t>国信资本有限责任公司</w:t>
                    </w:r>
                  </w:p>
                </w:tc>
                <w:tc>
                  <w:tcPr>
                    <w:tcW w:w="2797" w:type="dxa"/>
                  </w:tcPr>
                  <w:p w14:paraId="4D848CF2" w14:textId="77777777" w:rsidR="00D21C1F" w:rsidRDefault="00A42880">
                    <w:pPr>
                      <w:jc w:val="left"/>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w:t>
                    </w:r>
                  </w:p>
                </w:tc>
                <w:tc>
                  <w:tcPr>
                    <w:tcW w:w="2941" w:type="dxa"/>
                  </w:tcPr>
                  <w:p w14:paraId="711FFAA6" w14:textId="77777777" w:rsidR="00D21C1F" w:rsidRDefault="00A42880">
                    <w:pPr>
                      <w:jc w:val="left"/>
                    </w:pPr>
                    <w:r>
                      <w:rPr>
                        <w:rFonts w:hint="eastAsia"/>
                      </w:rPr>
                      <w:t>不适用</w:t>
                    </w:r>
                  </w:p>
                </w:tc>
              </w:tr>
            </w:sdtContent>
          </w:sdt>
          <w:tr w:rsidR="00D21C1F" w14:paraId="35A5A858" w14:textId="77777777">
            <w:sdt>
              <w:sdtPr>
                <w:tag w:val="_PLD_c9441d52d6a8490fa4a5f278fb22496f"/>
                <w:id w:val="-1618671220"/>
                <w:lock w:val="sdtLocked"/>
              </w:sdtPr>
              <w:sdtEndPr/>
              <w:sdtContent>
                <w:tc>
                  <w:tcPr>
                    <w:tcW w:w="3085" w:type="dxa"/>
                  </w:tcPr>
                  <w:p w14:paraId="0A9F1940" w14:textId="77777777" w:rsidR="00D21C1F" w:rsidRDefault="00A42880">
                    <w:pPr>
                      <w:pStyle w:val="97"/>
                    </w:pPr>
                    <w:r>
                      <w:t>战略投资者或一般法人参与配售新股约定持股期限的说明</w:t>
                    </w:r>
                  </w:p>
                </w:tc>
              </w:sdtContent>
            </w:sdt>
            <w:tc>
              <w:tcPr>
                <w:tcW w:w="5738" w:type="dxa"/>
                <w:gridSpan w:val="2"/>
              </w:tcPr>
              <w:p w14:paraId="1498669F" w14:textId="77777777" w:rsidR="00D21C1F" w:rsidRDefault="00A42880">
                <w:pPr>
                  <w:jc w:val="left"/>
                </w:pPr>
                <w:r>
                  <w:rPr>
                    <w:rFonts w:hint="eastAsia"/>
                  </w:rPr>
                  <w:t>股票上市之日起</w:t>
                </w:r>
                <w:r>
                  <w:rPr>
                    <w:rFonts w:ascii="Times New Roman" w:hAnsi="Times New Roman" w:cs="Times New Roman"/>
                  </w:rPr>
                  <w:t>24</w:t>
                </w:r>
                <w:r>
                  <w:t>个月</w:t>
                </w:r>
              </w:p>
            </w:tc>
          </w:tr>
        </w:tbl>
      </w:sdtContent>
    </w:sdt>
    <w:p w14:paraId="2F3815DB" w14:textId="77777777" w:rsidR="00D21C1F" w:rsidRDefault="00D21C1F">
      <w:pPr>
        <w:pStyle w:val="97"/>
      </w:pPr>
    </w:p>
    <w:p w14:paraId="15AB3CE4" w14:textId="77777777" w:rsidR="00D21C1F" w:rsidRDefault="00A42880">
      <w:pPr>
        <w:pStyle w:val="2"/>
        <w:numPr>
          <w:ilvl w:val="0"/>
          <w:numId w:val="35"/>
        </w:numPr>
      </w:pPr>
      <w:bookmarkStart w:id="122" w:name="_Toc342566004"/>
      <w:bookmarkStart w:id="123" w:name="_Toc342057944"/>
      <w:r>
        <w:rPr>
          <w:rFonts w:hint="eastAsia"/>
        </w:rPr>
        <w:t>董事</w:t>
      </w:r>
      <w:r>
        <w:t>、监事、高级管理人员</w:t>
      </w:r>
      <w:r>
        <w:rPr>
          <w:rFonts w:hint="eastAsia"/>
        </w:rPr>
        <w:t>和核心技术人员</w:t>
      </w:r>
      <w:r>
        <w:t>情况</w:t>
      </w:r>
    </w:p>
    <w:bookmarkStart w:id="124" w:name="_Hlk42873146" w:displacedByCustomXml="next"/>
    <w:sdt>
      <w:sdtPr>
        <w:rPr>
          <w:rFonts w:ascii="宋体" w:eastAsiaTheme="minorEastAsia" w:hAnsi="宋体" w:cs="宋体"/>
          <w:b w:val="0"/>
          <w:bCs w:val="0"/>
          <w:kern w:val="0"/>
          <w:szCs w:val="24"/>
        </w:rPr>
        <w:alias w:val="模块:现任及报告期内离任董事、监事和高级管理人员和核心技术人员持股变动情况"/>
        <w:tag w:val="_SEC_7db1a5f2f5b14f7ba7b2f6ddf2786653"/>
        <w:id w:val="-2142414035"/>
        <w:lock w:val="sdtLocked"/>
        <w:placeholder>
          <w:docPart w:val="GBC22222222222222222222222222222"/>
        </w:placeholder>
      </w:sdtPr>
      <w:sdtEndPr/>
      <w:sdtContent>
        <w:p w14:paraId="654BB17F" w14:textId="77777777" w:rsidR="00D21C1F" w:rsidRDefault="00A42880">
          <w:pPr>
            <w:pStyle w:val="3"/>
            <w:numPr>
              <w:ilvl w:val="2"/>
              <w:numId w:val="39"/>
            </w:numPr>
            <w:rPr>
              <w:rFonts w:ascii="宋体" w:hAnsi="宋体"/>
            </w:rPr>
          </w:pPr>
          <w:r>
            <w:rPr>
              <w:rFonts w:ascii="宋体" w:hAnsi="宋体"/>
            </w:rPr>
            <w:t>现任及报告期内离任董事、监事</w:t>
          </w:r>
          <w:r>
            <w:rPr>
              <w:rFonts w:ascii="宋体" w:hAnsi="宋体" w:hint="eastAsia"/>
            </w:rPr>
            <w:t>、</w:t>
          </w:r>
          <w:r>
            <w:rPr>
              <w:rFonts w:ascii="宋体" w:hAnsi="宋体"/>
            </w:rPr>
            <w:t>高级管理人员</w:t>
          </w:r>
          <w:r>
            <w:rPr>
              <w:rFonts w:ascii="宋体" w:hAnsi="宋体" w:hint="eastAsia"/>
            </w:rPr>
            <w:t>和核心技术人员</w:t>
          </w:r>
          <w:r>
            <w:rPr>
              <w:rFonts w:ascii="宋体" w:hAnsi="宋体"/>
            </w:rPr>
            <w:t>持股变动情况</w:t>
          </w:r>
        </w:p>
        <w:sdt>
          <w:sdtPr>
            <w:alias w:val="是否适用：董事、监事和高级管理人员持股变动[双击切换]"/>
            <w:tag w:val="_GBC_79bbc62621d0452fa8d1c2395ac8948e"/>
            <w:id w:val="733583740"/>
            <w:lock w:val="sdtLocked"/>
            <w:placeholder>
              <w:docPart w:val="GBC22222222222222222222222222222"/>
            </w:placeholder>
          </w:sdtPr>
          <w:sdtEndPr/>
          <w:sdtContent>
            <w:p w14:paraId="23E5379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4" w:displacedByCustomXml="next"/>
    <w:bookmarkStart w:id="125" w:name="_Hlk42873200" w:displacedByCustomXml="next"/>
    <w:sdt>
      <w:sdtPr>
        <w:rPr>
          <w:rFonts w:eastAsia="宋体" w:hint="eastAsia"/>
        </w:rPr>
        <w:alias w:val="模块:其它情况说明"/>
        <w:tag w:val="_SEC_f2e47ad56c4c4e92b8bc5c50b1b43822"/>
        <w:id w:val="539952379"/>
        <w:lock w:val="sdtLocked"/>
        <w:placeholder>
          <w:docPart w:val="GBC22222222222222222222222222222"/>
        </w:placeholder>
      </w:sdtPr>
      <w:sdtEndPr/>
      <w:sdtContent>
        <w:p w14:paraId="2B928F9F" w14:textId="77777777" w:rsidR="00D21C1F" w:rsidRDefault="00A42880">
          <w:pPr>
            <w:pStyle w:val="97"/>
          </w:pPr>
          <w:r>
            <w:t>其它情况说明</w:t>
          </w:r>
        </w:p>
        <w:sdt>
          <w:sdtPr>
            <w:alias w:val="是否适用：董事、监事 和高级管理人员持股变动及报酬情况其他情况说明[双击切换]"/>
            <w:tag w:val="_GBC_7dc371f869f94868b51aeed382096acf"/>
            <w:id w:val="436880550"/>
            <w:lock w:val="sdtLocked"/>
            <w:placeholder>
              <w:docPart w:val="GBC22222222222222222222222222222"/>
            </w:placeholder>
          </w:sdtPr>
          <w:sdtEndPr/>
          <w:sdtContent>
            <w:p w14:paraId="309C929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董事、监事和高级管理人员持股变动及报酬其他情况说明"/>
            <w:tag w:val="_GBC_24a2a9e88fb847268b17418c0fc7cc7a"/>
            <w:id w:val="-98650266"/>
            <w:lock w:val="sdtLocked"/>
            <w:placeholder>
              <w:docPart w:val="5071577309264E009986CE33C5408954"/>
            </w:placeholder>
          </w:sdtPr>
          <w:sdtEndPr/>
          <w:sdtContent>
            <w:p w14:paraId="01B07DCE" w14:textId="401778BA" w:rsidR="00D21C1F" w:rsidRDefault="00A42880">
              <w:pPr>
                <w:spacing w:line="360" w:lineRule="auto"/>
                <w:ind w:firstLineChars="200" w:firstLine="420"/>
                <w:jc w:val="both"/>
              </w:pPr>
              <w:r>
                <w:rPr>
                  <w:rFonts w:hint="eastAsia"/>
                </w:rPr>
                <w:t>睿博投资于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2</w:t>
              </w:r>
              <w:r>
                <w:rPr>
                  <w:rFonts w:ascii="Times New Roman" w:hAnsi="Times New Roman" w:cs="Times New Roman"/>
                </w:rPr>
                <w:t>日至</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5</w:t>
              </w:r>
              <w:r>
                <w:rPr>
                  <w:rFonts w:ascii="Times New Roman" w:hAnsi="Times New Roman" w:cs="Times New Roman"/>
                </w:rPr>
                <w:t>日通过上海证券交易所交易系统竞价交易方式增持公司股份</w:t>
              </w:r>
              <w:r>
                <w:rPr>
                  <w:rFonts w:ascii="Times New Roman" w:hAnsi="Times New Roman" w:cs="Times New Roman"/>
                </w:rPr>
                <w:t>507,000</w:t>
              </w:r>
              <w:r>
                <w:rPr>
                  <w:rFonts w:ascii="Times New Roman" w:hAnsi="Times New Roman" w:cs="Times New Roman"/>
                </w:rPr>
                <w:t>股</w:t>
              </w:r>
              <w:r>
                <w:t>，</w:t>
              </w:r>
              <w:r>
                <w:rPr>
                  <w:rFonts w:hint="eastAsia"/>
                </w:rPr>
                <w:t>睿博投资为公司员工持股平台。（</w:t>
              </w:r>
              <w:r>
                <w:rPr>
                  <w:rFonts w:ascii="Times New Roman" w:hAnsi="Times New Roman" w:cs="Times New Roman"/>
                </w:rPr>
                <w:t>详见公司于</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8</w:t>
              </w:r>
              <w:r>
                <w:rPr>
                  <w:rFonts w:ascii="Times New Roman" w:hAnsi="Times New Roman" w:cs="Times New Roman"/>
                </w:rPr>
                <w:t>日披露于上海证</w:t>
              </w:r>
              <w:r>
                <w:rPr>
                  <w:rFonts w:ascii="Times New Roman" w:hAnsi="Times New Roman" w:cs="Times New Roman"/>
                </w:rPr>
                <w:lastRenderedPageBreak/>
                <w:t>券交易所网站（</w:t>
              </w:r>
              <w:r>
                <w:rPr>
                  <w:rFonts w:ascii="Times New Roman" w:hAnsi="Times New Roman" w:cs="Times New Roman"/>
                </w:rPr>
                <w:t>www.sse.com.cn</w:t>
              </w:r>
              <w:r>
                <w:rPr>
                  <w:rFonts w:ascii="Times New Roman" w:hAnsi="Times New Roman" w:cs="Times New Roman"/>
                </w:rPr>
                <w:t>）的公告</w:t>
              </w:r>
              <w:r>
                <w:rPr>
                  <w:rFonts w:ascii="Times New Roman" w:hAnsi="Times New Roman" w:cs="Times New Roman" w:hint="eastAsia"/>
                </w:rPr>
                <w:t>《关于控股股东一致行动人增持公司股份结果的公告》</w:t>
              </w:r>
              <w:r w:rsidR="004D1193">
                <w:rPr>
                  <w:rFonts w:ascii="Times New Roman" w:hAnsi="Times New Roman" w:cs="Times New Roman" w:hint="eastAsia"/>
                </w:rPr>
                <w:t>，公告编号：</w:t>
              </w:r>
              <w:r w:rsidR="004D1193">
                <w:rPr>
                  <w:rFonts w:ascii="Times New Roman" w:hAnsi="Times New Roman" w:cs="Times New Roman" w:hint="eastAsia"/>
                </w:rPr>
                <w:t>2</w:t>
              </w:r>
              <w:r w:rsidR="004D1193">
                <w:rPr>
                  <w:rFonts w:ascii="Times New Roman" w:hAnsi="Times New Roman" w:cs="Times New Roman"/>
                </w:rPr>
                <w:t>021</w:t>
              </w:r>
              <w:r w:rsidR="004D1193">
                <w:rPr>
                  <w:rFonts w:ascii="Times New Roman" w:hAnsi="Times New Roman" w:cs="Times New Roman" w:hint="eastAsia"/>
                </w:rPr>
                <w:t>-</w:t>
              </w:r>
              <w:r w:rsidR="004D1193">
                <w:rPr>
                  <w:rFonts w:ascii="Times New Roman" w:hAnsi="Times New Roman" w:cs="Times New Roman"/>
                </w:rPr>
                <w:t>007</w:t>
              </w:r>
              <w:r>
                <w:rPr>
                  <w:rFonts w:ascii="Times New Roman" w:hAnsi="Times New Roman" w:cs="Times New Roman" w:hint="eastAsia"/>
                </w:rPr>
                <w:t>）。报告期内，公司董事、高级管理人员和核心技术人员因本次持股平台增持增加间接持股数量。</w:t>
              </w:r>
            </w:p>
            <w:tbl>
              <w:tblPr>
                <w:tblStyle w:val="aff0"/>
                <w:tblW w:w="8687" w:type="dxa"/>
                <w:tblInd w:w="210" w:type="dxa"/>
                <w:tblLook w:val="04A0" w:firstRow="1" w:lastRow="0" w:firstColumn="1" w:lastColumn="0" w:noHBand="0" w:noVBand="1"/>
              </w:tblPr>
              <w:tblGrid>
                <w:gridCol w:w="1412"/>
                <w:gridCol w:w="1251"/>
                <w:gridCol w:w="2094"/>
                <w:gridCol w:w="2016"/>
                <w:gridCol w:w="1914"/>
              </w:tblGrid>
              <w:tr w:rsidR="00D21C1F" w14:paraId="4369BDAB" w14:textId="77777777">
                <w:trPr>
                  <w:trHeight w:val="285"/>
                </w:trPr>
                <w:tc>
                  <w:tcPr>
                    <w:tcW w:w="0" w:type="auto"/>
                    <w:noWrap/>
                  </w:tcPr>
                  <w:p w14:paraId="6AD6FE3B" w14:textId="77777777" w:rsidR="00D21C1F" w:rsidRDefault="00A42880">
                    <w:pPr>
                      <w:rPr>
                        <w:rFonts w:cs="Times New Roman"/>
                        <w:b/>
                        <w:bCs/>
                      </w:rPr>
                    </w:pPr>
                    <w:r>
                      <w:rPr>
                        <w:rFonts w:cs="Times New Roman"/>
                        <w:b/>
                        <w:bCs/>
                      </w:rPr>
                      <w:t>姓名</w:t>
                    </w:r>
                  </w:p>
                </w:tc>
                <w:tc>
                  <w:tcPr>
                    <w:tcW w:w="1251" w:type="dxa"/>
                    <w:noWrap/>
                  </w:tcPr>
                  <w:p w14:paraId="54E418B1" w14:textId="77777777" w:rsidR="00D21C1F" w:rsidRDefault="00A42880">
                    <w:pPr>
                      <w:rPr>
                        <w:rFonts w:cs="Times New Roman"/>
                        <w:b/>
                        <w:bCs/>
                      </w:rPr>
                    </w:pPr>
                    <w:r>
                      <w:rPr>
                        <w:rFonts w:cs="Times New Roman"/>
                        <w:b/>
                        <w:bCs/>
                      </w:rPr>
                      <w:t>持股平台</w:t>
                    </w:r>
                  </w:p>
                </w:tc>
                <w:tc>
                  <w:tcPr>
                    <w:tcW w:w="2094" w:type="dxa"/>
                    <w:noWrap/>
                  </w:tcPr>
                  <w:p w14:paraId="4D94276D" w14:textId="77777777" w:rsidR="00D21C1F" w:rsidRDefault="00A42880">
                    <w:pPr>
                      <w:rPr>
                        <w:rFonts w:cs="Times New Roman"/>
                        <w:b/>
                        <w:bCs/>
                      </w:rPr>
                    </w:pPr>
                    <w:r>
                      <w:rPr>
                        <w:rFonts w:cs="Times New Roman"/>
                        <w:b/>
                        <w:bCs/>
                      </w:rPr>
                      <w:t>报告期初持股数量（股）</w:t>
                    </w:r>
                  </w:p>
                </w:tc>
                <w:tc>
                  <w:tcPr>
                    <w:tcW w:w="2016" w:type="dxa"/>
                    <w:noWrap/>
                  </w:tcPr>
                  <w:p w14:paraId="47B9545E" w14:textId="77777777" w:rsidR="00D21C1F" w:rsidRDefault="00A42880">
                    <w:pPr>
                      <w:rPr>
                        <w:rFonts w:cs="Times New Roman"/>
                        <w:b/>
                        <w:bCs/>
                      </w:rPr>
                    </w:pPr>
                    <w:r>
                      <w:rPr>
                        <w:rFonts w:cs="Times New Roman"/>
                        <w:b/>
                        <w:bCs/>
                      </w:rPr>
                      <w:t>增减变动数量（股）</w:t>
                    </w:r>
                  </w:p>
                </w:tc>
                <w:tc>
                  <w:tcPr>
                    <w:tcW w:w="1914" w:type="dxa"/>
                    <w:noWrap/>
                  </w:tcPr>
                  <w:p w14:paraId="2BE676D6" w14:textId="77777777" w:rsidR="00D21C1F" w:rsidRDefault="00A42880">
                    <w:pPr>
                      <w:rPr>
                        <w:rFonts w:cs="Times New Roman"/>
                        <w:b/>
                        <w:bCs/>
                      </w:rPr>
                    </w:pPr>
                    <w:r>
                      <w:rPr>
                        <w:rFonts w:cs="Times New Roman"/>
                        <w:b/>
                        <w:bCs/>
                      </w:rPr>
                      <w:t>报告期末持股数量（股）</w:t>
                    </w:r>
                  </w:p>
                </w:tc>
              </w:tr>
              <w:tr w:rsidR="00D21C1F" w14:paraId="39766F3D" w14:textId="77777777">
                <w:trPr>
                  <w:trHeight w:val="285"/>
                </w:trPr>
                <w:tc>
                  <w:tcPr>
                    <w:tcW w:w="0" w:type="auto"/>
                    <w:vMerge w:val="restart"/>
                    <w:noWrap/>
                  </w:tcPr>
                  <w:p w14:paraId="4A9E1F5D" w14:textId="77777777" w:rsidR="00D21C1F" w:rsidRDefault="00A42880">
                    <w:pPr>
                      <w:rPr>
                        <w:rFonts w:cs="Times New Roman"/>
                      </w:rPr>
                    </w:pPr>
                    <w:r>
                      <w:rPr>
                        <w:rFonts w:cs="Times New Roman"/>
                      </w:rPr>
                      <w:t>许礼进</w:t>
                    </w:r>
                  </w:p>
                </w:tc>
                <w:tc>
                  <w:tcPr>
                    <w:tcW w:w="1251" w:type="dxa"/>
                    <w:noWrap/>
                  </w:tcPr>
                  <w:p w14:paraId="2F260F3F" w14:textId="77777777" w:rsidR="00D21C1F" w:rsidRDefault="00A42880">
                    <w:pPr>
                      <w:rPr>
                        <w:rFonts w:cs="Times New Roman"/>
                      </w:rPr>
                    </w:pPr>
                    <w:r>
                      <w:rPr>
                        <w:rFonts w:cs="Times New Roman"/>
                      </w:rPr>
                      <w:t>睿博投资</w:t>
                    </w:r>
                  </w:p>
                </w:tc>
                <w:tc>
                  <w:tcPr>
                    <w:tcW w:w="2094" w:type="dxa"/>
                    <w:noWrap/>
                  </w:tcPr>
                  <w:p w14:paraId="6223C345" w14:textId="77777777" w:rsidR="00D21C1F" w:rsidRDefault="00A42880">
                    <w:pPr>
                      <w:jc w:val="right"/>
                      <w:rPr>
                        <w:rFonts w:ascii="Times New Roman" w:hAnsi="Times New Roman" w:cs="Times New Roman"/>
                      </w:rPr>
                    </w:pPr>
                    <w:r>
                      <w:rPr>
                        <w:rFonts w:ascii="Times New Roman" w:hAnsi="Times New Roman" w:cs="Times New Roman"/>
                      </w:rPr>
                      <w:t>8,992,419</w:t>
                    </w:r>
                  </w:p>
                </w:tc>
                <w:tc>
                  <w:tcPr>
                    <w:tcW w:w="2016" w:type="dxa"/>
                    <w:noWrap/>
                  </w:tcPr>
                  <w:p w14:paraId="110710AD" w14:textId="77777777" w:rsidR="00D21C1F" w:rsidRDefault="00A42880">
                    <w:pPr>
                      <w:jc w:val="right"/>
                      <w:rPr>
                        <w:rFonts w:ascii="Times New Roman" w:hAnsi="Times New Roman" w:cs="Times New Roman"/>
                      </w:rPr>
                    </w:pPr>
                    <w:r>
                      <w:rPr>
                        <w:rFonts w:ascii="Times New Roman" w:hAnsi="Times New Roman" w:cs="Times New Roman"/>
                      </w:rPr>
                      <w:t>100,389</w:t>
                    </w:r>
                  </w:p>
                </w:tc>
                <w:tc>
                  <w:tcPr>
                    <w:tcW w:w="1914" w:type="dxa"/>
                    <w:noWrap/>
                  </w:tcPr>
                  <w:p w14:paraId="571771D2" w14:textId="70DA53D7" w:rsidR="00D21C1F" w:rsidRDefault="00A42880">
                    <w:pPr>
                      <w:jc w:val="right"/>
                      <w:rPr>
                        <w:rFonts w:ascii="Times New Roman" w:hAnsi="Times New Roman" w:cs="Times New Roman"/>
                      </w:rPr>
                    </w:pPr>
                    <w:r>
                      <w:rPr>
                        <w:rFonts w:ascii="Times New Roman" w:hAnsi="Times New Roman" w:cs="Times New Roman"/>
                      </w:rPr>
                      <w:t>9,092,80</w:t>
                    </w:r>
                    <w:r w:rsidR="00723C22">
                      <w:rPr>
                        <w:rFonts w:ascii="Times New Roman" w:hAnsi="Times New Roman" w:cs="Times New Roman"/>
                      </w:rPr>
                      <w:t>8</w:t>
                    </w:r>
                  </w:p>
                </w:tc>
              </w:tr>
              <w:tr w:rsidR="00D21C1F" w14:paraId="0C3F83AE" w14:textId="77777777">
                <w:trPr>
                  <w:trHeight w:val="285"/>
                </w:trPr>
                <w:tc>
                  <w:tcPr>
                    <w:tcW w:w="0" w:type="auto"/>
                    <w:vMerge/>
                  </w:tcPr>
                  <w:p w14:paraId="0F964ADC" w14:textId="77777777" w:rsidR="00D21C1F" w:rsidRDefault="00D21C1F">
                    <w:pPr>
                      <w:rPr>
                        <w:rFonts w:cs="Times New Roman"/>
                      </w:rPr>
                    </w:pPr>
                  </w:p>
                </w:tc>
                <w:tc>
                  <w:tcPr>
                    <w:tcW w:w="1251" w:type="dxa"/>
                    <w:noWrap/>
                  </w:tcPr>
                  <w:p w14:paraId="13C28948" w14:textId="77777777" w:rsidR="00D21C1F" w:rsidRDefault="00A42880">
                    <w:pPr>
                      <w:rPr>
                        <w:rFonts w:cs="Times New Roman"/>
                      </w:rPr>
                    </w:pPr>
                    <w:r>
                      <w:rPr>
                        <w:rFonts w:cs="Times New Roman"/>
                      </w:rPr>
                      <w:t>睿埃咨询</w:t>
                    </w:r>
                  </w:p>
                </w:tc>
                <w:tc>
                  <w:tcPr>
                    <w:tcW w:w="2094" w:type="dxa"/>
                    <w:noWrap/>
                  </w:tcPr>
                  <w:p w14:paraId="29193AD7" w14:textId="77777777" w:rsidR="00D21C1F" w:rsidRDefault="00A42880">
                    <w:pPr>
                      <w:jc w:val="right"/>
                      <w:rPr>
                        <w:rFonts w:ascii="Times New Roman" w:hAnsi="Times New Roman" w:cs="Times New Roman"/>
                      </w:rPr>
                    </w:pPr>
                    <w:r>
                      <w:rPr>
                        <w:rFonts w:ascii="Times New Roman" w:hAnsi="Times New Roman" w:cs="Times New Roman"/>
                      </w:rPr>
                      <w:t>1,060,350</w:t>
                    </w:r>
                  </w:p>
                </w:tc>
                <w:tc>
                  <w:tcPr>
                    <w:tcW w:w="2016" w:type="dxa"/>
                    <w:noWrap/>
                  </w:tcPr>
                  <w:p w14:paraId="47F31FF9" w14:textId="77777777" w:rsidR="00D21C1F" w:rsidRDefault="00A42880">
                    <w:pPr>
                      <w:jc w:val="right"/>
                      <w:rPr>
                        <w:rFonts w:ascii="Times New Roman" w:hAnsi="Times New Roman" w:cs="Times New Roman"/>
                      </w:rPr>
                    </w:pPr>
                    <w:r>
                      <w:rPr>
                        <w:rFonts w:ascii="Times New Roman" w:hAnsi="Times New Roman" w:cs="Times New Roman"/>
                      </w:rPr>
                      <w:t>11,837</w:t>
                    </w:r>
                  </w:p>
                </w:tc>
                <w:tc>
                  <w:tcPr>
                    <w:tcW w:w="1914" w:type="dxa"/>
                    <w:noWrap/>
                  </w:tcPr>
                  <w:p w14:paraId="551E7370" w14:textId="77777777" w:rsidR="00D21C1F" w:rsidRDefault="00A42880">
                    <w:pPr>
                      <w:jc w:val="right"/>
                      <w:rPr>
                        <w:rFonts w:ascii="Times New Roman" w:hAnsi="Times New Roman" w:cs="Times New Roman"/>
                      </w:rPr>
                    </w:pPr>
                    <w:r>
                      <w:rPr>
                        <w:rFonts w:ascii="Times New Roman" w:hAnsi="Times New Roman" w:cs="Times New Roman"/>
                      </w:rPr>
                      <w:t>1,072,187</w:t>
                    </w:r>
                  </w:p>
                </w:tc>
              </w:tr>
              <w:tr w:rsidR="00D21C1F" w14:paraId="0B10E681" w14:textId="77777777">
                <w:trPr>
                  <w:trHeight w:val="285"/>
                </w:trPr>
                <w:tc>
                  <w:tcPr>
                    <w:tcW w:w="0" w:type="auto"/>
                    <w:vMerge/>
                  </w:tcPr>
                  <w:p w14:paraId="7BAB6494" w14:textId="77777777" w:rsidR="00D21C1F" w:rsidRDefault="00D21C1F">
                    <w:pPr>
                      <w:rPr>
                        <w:rFonts w:cs="Times New Roman"/>
                      </w:rPr>
                    </w:pPr>
                  </w:p>
                </w:tc>
                <w:tc>
                  <w:tcPr>
                    <w:tcW w:w="1251" w:type="dxa"/>
                    <w:noWrap/>
                  </w:tcPr>
                  <w:p w14:paraId="793E6EB5" w14:textId="77777777" w:rsidR="00D21C1F" w:rsidRDefault="00A42880">
                    <w:pPr>
                      <w:rPr>
                        <w:rFonts w:cs="Times New Roman"/>
                      </w:rPr>
                    </w:pPr>
                    <w:r>
                      <w:rPr>
                        <w:rFonts w:cs="Times New Roman"/>
                      </w:rPr>
                      <w:t>小计</w:t>
                    </w:r>
                  </w:p>
                </w:tc>
                <w:tc>
                  <w:tcPr>
                    <w:tcW w:w="2094" w:type="dxa"/>
                    <w:noWrap/>
                  </w:tcPr>
                  <w:p w14:paraId="6B2A1A26" w14:textId="77777777" w:rsidR="00D21C1F" w:rsidRDefault="00A42880">
                    <w:pPr>
                      <w:jc w:val="right"/>
                      <w:rPr>
                        <w:rFonts w:ascii="Times New Roman" w:hAnsi="Times New Roman" w:cs="Times New Roman"/>
                      </w:rPr>
                    </w:pPr>
                    <w:r>
                      <w:rPr>
                        <w:rFonts w:ascii="Times New Roman" w:hAnsi="Times New Roman" w:cs="Times New Roman"/>
                      </w:rPr>
                      <w:t>10,052,769</w:t>
                    </w:r>
                  </w:p>
                </w:tc>
                <w:tc>
                  <w:tcPr>
                    <w:tcW w:w="2016" w:type="dxa"/>
                    <w:noWrap/>
                  </w:tcPr>
                  <w:p w14:paraId="493A2282" w14:textId="77777777" w:rsidR="00D21C1F" w:rsidRDefault="00A42880">
                    <w:pPr>
                      <w:jc w:val="right"/>
                      <w:rPr>
                        <w:rFonts w:ascii="Times New Roman" w:hAnsi="Times New Roman" w:cs="Times New Roman"/>
                      </w:rPr>
                    </w:pPr>
                    <w:r>
                      <w:rPr>
                        <w:rFonts w:ascii="Times New Roman" w:hAnsi="Times New Roman" w:cs="Times New Roman"/>
                      </w:rPr>
                      <w:t>112,226</w:t>
                    </w:r>
                  </w:p>
                </w:tc>
                <w:tc>
                  <w:tcPr>
                    <w:tcW w:w="1914" w:type="dxa"/>
                    <w:noWrap/>
                  </w:tcPr>
                  <w:p w14:paraId="564AB50F" w14:textId="77777777" w:rsidR="00D21C1F" w:rsidRDefault="00A42880">
                    <w:pPr>
                      <w:jc w:val="right"/>
                      <w:rPr>
                        <w:rFonts w:ascii="Times New Roman" w:hAnsi="Times New Roman" w:cs="Times New Roman"/>
                      </w:rPr>
                    </w:pPr>
                    <w:r>
                      <w:rPr>
                        <w:rFonts w:ascii="Times New Roman" w:hAnsi="Times New Roman" w:cs="Times New Roman"/>
                      </w:rPr>
                      <w:t>10,164,995</w:t>
                    </w:r>
                  </w:p>
                </w:tc>
              </w:tr>
              <w:tr w:rsidR="00D21C1F" w14:paraId="1EC33C8B" w14:textId="77777777">
                <w:trPr>
                  <w:trHeight w:val="285"/>
                </w:trPr>
                <w:tc>
                  <w:tcPr>
                    <w:tcW w:w="0" w:type="auto"/>
                    <w:vMerge w:val="restart"/>
                    <w:noWrap/>
                  </w:tcPr>
                  <w:p w14:paraId="2267A57A" w14:textId="77777777" w:rsidR="00D21C1F" w:rsidRDefault="00A42880">
                    <w:pPr>
                      <w:rPr>
                        <w:rFonts w:cs="Times New Roman"/>
                      </w:rPr>
                    </w:pPr>
                    <w:r>
                      <w:rPr>
                        <w:rFonts w:cs="Times New Roman"/>
                      </w:rPr>
                      <w:t>游玮</w:t>
                    </w:r>
                  </w:p>
                </w:tc>
                <w:tc>
                  <w:tcPr>
                    <w:tcW w:w="1251" w:type="dxa"/>
                    <w:noWrap/>
                  </w:tcPr>
                  <w:p w14:paraId="7D43FF26" w14:textId="77777777" w:rsidR="00D21C1F" w:rsidRDefault="00A42880">
                    <w:pPr>
                      <w:rPr>
                        <w:rFonts w:cs="Times New Roman"/>
                      </w:rPr>
                    </w:pPr>
                    <w:r>
                      <w:rPr>
                        <w:rFonts w:cs="Times New Roman"/>
                      </w:rPr>
                      <w:t>睿博投资</w:t>
                    </w:r>
                  </w:p>
                </w:tc>
                <w:tc>
                  <w:tcPr>
                    <w:tcW w:w="2094" w:type="dxa"/>
                    <w:noWrap/>
                  </w:tcPr>
                  <w:p w14:paraId="34A06019" w14:textId="77777777" w:rsidR="00D21C1F" w:rsidRDefault="00A42880">
                    <w:pPr>
                      <w:jc w:val="right"/>
                      <w:rPr>
                        <w:rFonts w:ascii="Times New Roman" w:hAnsi="Times New Roman" w:cs="Times New Roman"/>
                      </w:rPr>
                    </w:pPr>
                    <w:r>
                      <w:rPr>
                        <w:rFonts w:ascii="Times New Roman" w:hAnsi="Times New Roman" w:cs="Times New Roman"/>
                      </w:rPr>
                      <w:t>6,270,473</w:t>
                    </w:r>
                  </w:p>
                </w:tc>
                <w:tc>
                  <w:tcPr>
                    <w:tcW w:w="2016" w:type="dxa"/>
                    <w:noWrap/>
                  </w:tcPr>
                  <w:p w14:paraId="07936C56" w14:textId="77777777" w:rsidR="00D21C1F" w:rsidRDefault="00A42880">
                    <w:pPr>
                      <w:jc w:val="right"/>
                      <w:rPr>
                        <w:rFonts w:ascii="Times New Roman" w:hAnsi="Times New Roman" w:cs="Times New Roman"/>
                      </w:rPr>
                    </w:pPr>
                    <w:r>
                      <w:rPr>
                        <w:rFonts w:ascii="Times New Roman" w:hAnsi="Times New Roman" w:cs="Times New Roman"/>
                      </w:rPr>
                      <w:t>70,002</w:t>
                    </w:r>
                  </w:p>
                </w:tc>
                <w:tc>
                  <w:tcPr>
                    <w:tcW w:w="1914" w:type="dxa"/>
                    <w:noWrap/>
                  </w:tcPr>
                  <w:p w14:paraId="3DAFDD22" w14:textId="77777777" w:rsidR="00D21C1F" w:rsidRDefault="00A42880">
                    <w:pPr>
                      <w:jc w:val="right"/>
                      <w:rPr>
                        <w:rFonts w:ascii="Times New Roman" w:hAnsi="Times New Roman" w:cs="Times New Roman"/>
                      </w:rPr>
                    </w:pPr>
                    <w:r>
                      <w:rPr>
                        <w:rFonts w:ascii="Times New Roman" w:hAnsi="Times New Roman" w:cs="Times New Roman"/>
                      </w:rPr>
                      <w:t>6,340,475</w:t>
                    </w:r>
                  </w:p>
                </w:tc>
              </w:tr>
              <w:tr w:rsidR="00D21C1F" w14:paraId="1D72F698" w14:textId="77777777">
                <w:trPr>
                  <w:trHeight w:val="285"/>
                </w:trPr>
                <w:tc>
                  <w:tcPr>
                    <w:tcW w:w="0" w:type="auto"/>
                    <w:vMerge/>
                  </w:tcPr>
                  <w:p w14:paraId="42F65625" w14:textId="77777777" w:rsidR="00D21C1F" w:rsidRDefault="00D21C1F">
                    <w:pPr>
                      <w:rPr>
                        <w:rFonts w:cs="Times New Roman"/>
                      </w:rPr>
                    </w:pPr>
                  </w:p>
                </w:tc>
                <w:tc>
                  <w:tcPr>
                    <w:tcW w:w="1251" w:type="dxa"/>
                    <w:noWrap/>
                  </w:tcPr>
                  <w:p w14:paraId="7F53A560" w14:textId="77777777" w:rsidR="00D21C1F" w:rsidRDefault="00A42880">
                    <w:pPr>
                      <w:rPr>
                        <w:rFonts w:cs="Times New Roman"/>
                      </w:rPr>
                    </w:pPr>
                    <w:r>
                      <w:rPr>
                        <w:rFonts w:cs="Times New Roman"/>
                      </w:rPr>
                      <w:t>睿埃咨询</w:t>
                    </w:r>
                  </w:p>
                </w:tc>
                <w:tc>
                  <w:tcPr>
                    <w:tcW w:w="2094" w:type="dxa"/>
                    <w:noWrap/>
                  </w:tcPr>
                  <w:p w14:paraId="46FC4F35" w14:textId="77777777" w:rsidR="00D21C1F" w:rsidRDefault="00A42880">
                    <w:pPr>
                      <w:jc w:val="right"/>
                      <w:rPr>
                        <w:rFonts w:ascii="Times New Roman" w:hAnsi="Times New Roman" w:cs="Times New Roman"/>
                      </w:rPr>
                    </w:pPr>
                    <w:r>
                      <w:rPr>
                        <w:rFonts w:ascii="Times New Roman" w:hAnsi="Times New Roman" w:cs="Times New Roman"/>
                      </w:rPr>
                      <w:t>788,950</w:t>
                    </w:r>
                  </w:p>
                </w:tc>
                <w:tc>
                  <w:tcPr>
                    <w:tcW w:w="2016" w:type="dxa"/>
                    <w:noWrap/>
                  </w:tcPr>
                  <w:p w14:paraId="58777D7E" w14:textId="77777777" w:rsidR="00D21C1F" w:rsidRDefault="00A42880">
                    <w:pPr>
                      <w:jc w:val="right"/>
                      <w:rPr>
                        <w:rFonts w:ascii="Times New Roman" w:hAnsi="Times New Roman" w:cs="Times New Roman"/>
                      </w:rPr>
                    </w:pPr>
                    <w:r>
                      <w:rPr>
                        <w:rFonts w:ascii="Times New Roman" w:hAnsi="Times New Roman" w:cs="Times New Roman"/>
                      </w:rPr>
                      <w:t>8,808</w:t>
                    </w:r>
                  </w:p>
                </w:tc>
                <w:tc>
                  <w:tcPr>
                    <w:tcW w:w="1914" w:type="dxa"/>
                    <w:noWrap/>
                  </w:tcPr>
                  <w:p w14:paraId="7B16316C" w14:textId="77777777" w:rsidR="00D21C1F" w:rsidRDefault="00A42880">
                    <w:pPr>
                      <w:jc w:val="right"/>
                      <w:rPr>
                        <w:rFonts w:ascii="Times New Roman" w:hAnsi="Times New Roman" w:cs="Times New Roman"/>
                      </w:rPr>
                    </w:pPr>
                    <w:r>
                      <w:rPr>
                        <w:rFonts w:ascii="Times New Roman" w:hAnsi="Times New Roman" w:cs="Times New Roman"/>
                      </w:rPr>
                      <w:t>797,758</w:t>
                    </w:r>
                  </w:p>
                </w:tc>
              </w:tr>
              <w:tr w:rsidR="00D21C1F" w14:paraId="277225C9" w14:textId="77777777">
                <w:trPr>
                  <w:trHeight w:val="285"/>
                </w:trPr>
                <w:tc>
                  <w:tcPr>
                    <w:tcW w:w="0" w:type="auto"/>
                    <w:vMerge/>
                  </w:tcPr>
                  <w:p w14:paraId="5E6AF085" w14:textId="77777777" w:rsidR="00D21C1F" w:rsidRDefault="00D21C1F">
                    <w:pPr>
                      <w:rPr>
                        <w:rFonts w:cs="Times New Roman"/>
                      </w:rPr>
                    </w:pPr>
                  </w:p>
                </w:tc>
                <w:tc>
                  <w:tcPr>
                    <w:tcW w:w="1251" w:type="dxa"/>
                    <w:noWrap/>
                  </w:tcPr>
                  <w:p w14:paraId="479A0D36" w14:textId="77777777" w:rsidR="00D21C1F" w:rsidRDefault="00A42880">
                    <w:pPr>
                      <w:rPr>
                        <w:rFonts w:cs="Times New Roman"/>
                      </w:rPr>
                    </w:pPr>
                    <w:r>
                      <w:rPr>
                        <w:rFonts w:cs="Times New Roman"/>
                      </w:rPr>
                      <w:t>小计</w:t>
                    </w:r>
                  </w:p>
                </w:tc>
                <w:tc>
                  <w:tcPr>
                    <w:tcW w:w="2094" w:type="dxa"/>
                    <w:noWrap/>
                  </w:tcPr>
                  <w:p w14:paraId="7BF9A3DC" w14:textId="77777777" w:rsidR="00D21C1F" w:rsidRDefault="00A42880">
                    <w:pPr>
                      <w:jc w:val="right"/>
                      <w:rPr>
                        <w:rFonts w:ascii="Times New Roman" w:hAnsi="Times New Roman" w:cs="Times New Roman"/>
                      </w:rPr>
                    </w:pPr>
                    <w:r>
                      <w:rPr>
                        <w:rFonts w:ascii="Times New Roman" w:hAnsi="Times New Roman" w:cs="Times New Roman"/>
                      </w:rPr>
                      <w:t>7,059,423</w:t>
                    </w:r>
                  </w:p>
                </w:tc>
                <w:tc>
                  <w:tcPr>
                    <w:tcW w:w="2016" w:type="dxa"/>
                    <w:noWrap/>
                  </w:tcPr>
                  <w:p w14:paraId="3310278F" w14:textId="77777777" w:rsidR="00D21C1F" w:rsidRDefault="00A42880">
                    <w:pPr>
                      <w:jc w:val="right"/>
                      <w:rPr>
                        <w:rFonts w:ascii="Times New Roman" w:hAnsi="Times New Roman" w:cs="Times New Roman"/>
                      </w:rPr>
                    </w:pPr>
                    <w:r>
                      <w:rPr>
                        <w:rFonts w:ascii="Times New Roman" w:hAnsi="Times New Roman" w:cs="Times New Roman"/>
                      </w:rPr>
                      <w:t>78,809</w:t>
                    </w:r>
                  </w:p>
                </w:tc>
                <w:tc>
                  <w:tcPr>
                    <w:tcW w:w="1914" w:type="dxa"/>
                    <w:noWrap/>
                  </w:tcPr>
                  <w:p w14:paraId="0DCA5D83" w14:textId="77777777" w:rsidR="00D21C1F" w:rsidRDefault="00A42880">
                    <w:pPr>
                      <w:jc w:val="right"/>
                      <w:rPr>
                        <w:rFonts w:ascii="Times New Roman" w:hAnsi="Times New Roman" w:cs="Times New Roman"/>
                      </w:rPr>
                    </w:pPr>
                    <w:r>
                      <w:rPr>
                        <w:rFonts w:ascii="Times New Roman" w:hAnsi="Times New Roman" w:cs="Times New Roman"/>
                      </w:rPr>
                      <w:t>7,138,232</w:t>
                    </w:r>
                  </w:p>
                </w:tc>
              </w:tr>
              <w:tr w:rsidR="00D21C1F" w14:paraId="6E9417D0" w14:textId="77777777">
                <w:trPr>
                  <w:trHeight w:val="285"/>
                </w:trPr>
                <w:tc>
                  <w:tcPr>
                    <w:tcW w:w="0" w:type="auto"/>
                    <w:noWrap/>
                  </w:tcPr>
                  <w:p w14:paraId="61205686" w14:textId="77777777" w:rsidR="00D21C1F" w:rsidRDefault="00A42880">
                    <w:pPr>
                      <w:rPr>
                        <w:rFonts w:cs="Times New Roman"/>
                      </w:rPr>
                    </w:pPr>
                    <w:r>
                      <w:rPr>
                        <w:rFonts w:cs="Times New Roman"/>
                      </w:rPr>
                      <w:t>肖永强</w:t>
                    </w:r>
                  </w:p>
                </w:tc>
                <w:tc>
                  <w:tcPr>
                    <w:tcW w:w="1251" w:type="dxa"/>
                    <w:noWrap/>
                  </w:tcPr>
                  <w:p w14:paraId="30A44FF6" w14:textId="77777777" w:rsidR="00D21C1F" w:rsidRDefault="00A42880">
                    <w:pPr>
                      <w:rPr>
                        <w:rFonts w:cs="Times New Roman"/>
                      </w:rPr>
                    </w:pPr>
                    <w:r>
                      <w:rPr>
                        <w:rFonts w:cs="Times New Roman"/>
                      </w:rPr>
                      <w:t>睿博投资</w:t>
                    </w:r>
                  </w:p>
                </w:tc>
                <w:tc>
                  <w:tcPr>
                    <w:tcW w:w="2094" w:type="dxa"/>
                    <w:noWrap/>
                  </w:tcPr>
                  <w:p w14:paraId="2A9C5ED2" w14:textId="77777777" w:rsidR="00D21C1F" w:rsidRDefault="00A42880">
                    <w:pPr>
                      <w:jc w:val="right"/>
                      <w:rPr>
                        <w:rFonts w:ascii="Times New Roman" w:hAnsi="Times New Roman" w:cs="Times New Roman"/>
                      </w:rPr>
                    </w:pPr>
                    <w:r>
                      <w:rPr>
                        <w:rFonts w:ascii="Times New Roman" w:hAnsi="Times New Roman" w:cs="Times New Roman"/>
                      </w:rPr>
                      <w:t>1,206,350</w:t>
                    </w:r>
                  </w:p>
                </w:tc>
                <w:tc>
                  <w:tcPr>
                    <w:tcW w:w="2016" w:type="dxa"/>
                    <w:noWrap/>
                  </w:tcPr>
                  <w:p w14:paraId="4BEE5895" w14:textId="77777777" w:rsidR="00D21C1F" w:rsidRDefault="00A42880">
                    <w:pPr>
                      <w:jc w:val="right"/>
                      <w:rPr>
                        <w:rFonts w:ascii="Times New Roman" w:hAnsi="Times New Roman" w:cs="Times New Roman"/>
                      </w:rPr>
                    </w:pPr>
                    <w:r>
                      <w:rPr>
                        <w:rFonts w:ascii="Times New Roman" w:hAnsi="Times New Roman" w:cs="Times New Roman"/>
                      </w:rPr>
                      <w:t>13,467</w:t>
                    </w:r>
                  </w:p>
                </w:tc>
                <w:tc>
                  <w:tcPr>
                    <w:tcW w:w="1914" w:type="dxa"/>
                    <w:noWrap/>
                  </w:tcPr>
                  <w:p w14:paraId="11C9321C" w14:textId="77777777" w:rsidR="00D21C1F" w:rsidRDefault="00A42880">
                    <w:pPr>
                      <w:jc w:val="right"/>
                      <w:rPr>
                        <w:rFonts w:ascii="Times New Roman" w:hAnsi="Times New Roman" w:cs="Times New Roman"/>
                      </w:rPr>
                    </w:pPr>
                    <w:r>
                      <w:rPr>
                        <w:rFonts w:ascii="Times New Roman" w:hAnsi="Times New Roman" w:cs="Times New Roman"/>
                      </w:rPr>
                      <w:t>1,219,817</w:t>
                    </w:r>
                  </w:p>
                </w:tc>
              </w:tr>
              <w:tr w:rsidR="00D21C1F" w14:paraId="1CB417AA" w14:textId="77777777">
                <w:trPr>
                  <w:trHeight w:val="285"/>
                </w:trPr>
                <w:tc>
                  <w:tcPr>
                    <w:tcW w:w="0" w:type="auto"/>
                    <w:noWrap/>
                  </w:tcPr>
                  <w:p w14:paraId="426276E1" w14:textId="77777777" w:rsidR="00D21C1F" w:rsidRDefault="00A42880">
                    <w:pPr>
                      <w:rPr>
                        <w:rFonts w:cs="Times New Roman"/>
                      </w:rPr>
                    </w:pPr>
                    <w:r>
                      <w:rPr>
                        <w:rFonts w:cs="Times New Roman"/>
                      </w:rPr>
                      <w:t>贾昌荣</w:t>
                    </w:r>
                  </w:p>
                </w:tc>
                <w:tc>
                  <w:tcPr>
                    <w:tcW w:w="1251" w:type="dxa"/>
                    <w:noWrap/>
                  </w:tcPr>
                  <w:p w14:paraId="56777A5E" w14:textId="77777777" w:rsidR="00D21C1F" w:rsidRDefault="00A42880">
                    <w:pPr>
                      <w:rPr>
                        <w:rFonts w:cs="Times New Roman"/>
                      </w:rPr>
                    </w:pPr>
                    <w:r>
                      <w:rPr>
                        <w:rFonts w:cs="Times New Roman"/>
                      </w:rPr>
                      <w:t>睿博投资</w:t>
                    </w:r>
                  </w:p>
                </w:tc>
                <w:tc>
                  <w:tcPr>
                    <w:tcW w:w="2094" w:type="dxa"/>
                    <w:noWrap/>
                  </w:tcPr>
                  <w:p w14:paraId="409E3FD1" w14:textId="77777777" w:rsidR="00D21C1F" w:rsidRDefault="00A42880">
                    <w:pPr>
                      <w:jc w:val="right"/>
                      <w:rPr>
                        <w:rFonts w:ascii="Times New Roman" w:hAnsi="Times New Roman" w:cs="Times New Roman"/>
                      </w:rPr>
                    </w:pPr>
                    <w:r>
                      <w:rPr>
                        <w:rFonts w:ascii="Times New Roman" w:hAnsi="Times New Roman" w:cs="Times New Roman"/>
                      </w:rPr>
                      <w:t>1,206,350</w:t>
                    </w:r>
                  </w:p>
                </w:tc>
                <w:tc>
                  <w:tcPr>
                    <w:tcW w:w="2016" w:type="dxa"/>
                    <w:noWrap/>
                  </w:tcPr>
                  <w:p w14:paraId="1202FC56" w14:textId="77777777" w:rsidR="00D21C1F" w:rsidRDefault="00A42880">
                    <w:pPr>
                      <w:jc w:val="right"/>
                      <w:rPr>
                        <w:rFonts w:ascii="Times New Roman" w:hAnsi="Times New Roman" w:cs="Times New Roman"/>
                      </w:rPr>
                    </w:pPr>
                    <w:r>
                      <w:rPr>
                        <w:rFonts w:ascii="Times New Roman" w:hAnsi="Times New Roman" w:cs="Times New Roman"/>
                      </w:rPr>
                      <w:t>13,467</w:t>
                    </w:r>
                  </w:p>
                </w:tc>
                <w:tc>
                  <w:tcPr>
                    <w:tcW w:w="1914" w:type="dxa"/>
                    <w:noWrap/>
                  </w:tcPr>
                  <w:p w14:paraId="179726B1" w14:textId="77777777" w:rsidR="00D21C1F" w:rsidRDefault="00A42880">
                    <w:pPr>
                      <w:jc w:val="right"/>
                      <w:rPr>
                        <w:rFonts w:ascii="Times New Roman" w:hAnsi="Times New Roman" w:cs="Times New Roman"/>
                      </w:rPr>
                    </w:pPr>
                    <w:r>
                      <w:rPr>
                        <w:rFonts w:ascii="Times New Roman" w:hAnsi="Times New Roman" w:cs="Times New Roman"/>
                      </w:rPr>
                      <w:t>1,219,817</w:t>
                    </w:r>
                  </w:p>
                </w:tc>
              </w:tr>
              <w:tr w:rsidR="00D21C1F" w14:paraId="4B4B9B6D" w14:textId="77777777">
                <w:trPr>
                  <w:trHeight w:val="285"/>
                </w:trPr>
                <w:tc>
                  <w:tcPr>
                    <w:tcW w:w="0" w:type="auto"/>
                    <w:noWrap/>
                  </w:tcPr>
                  <w:p w14:paraId="43FC938C" w14:textId="77777777" w:rsidR="00D21C1F" w:rsidRDefault="00A42880">
                    <w:pPr>
                      <w:rPr>
                        <w:rFonts w:cs="Times New Roman"/>
                      </w:rPr>
                    </w:pPr>
                    <w:r>
                      <w:rPr>
                        <w:rFonts w:cs="Times New Roman"/>
                      </w:rPr>
                      <w:t>曾辉</w:t>
                    </w:r>
                  </w:p>
                </w:tc>
                <w:tc>
                  <w:tcPr>
                    <w:tcW w:w="1251" w:type="dxa"/>
                    <w:noWrap/>
                  </w:tcPr>
                  <w:p w14:paraId="4BB543F1" w14:textId="77777777" w:rsidR="00D21C1F" w:rsidRDefault="00A42880">
                    <w:pPr>
                      <w:rPr>
                        <w:rFonts w:cs="Times New Roman"/>
                      </w:rPr>
                    </w:pPr>
                    <w:r>
                      <w:rPr>
                        <w:rFonts w:cs="Times New Roman"/>
                      </w:rPr>
                      <w:t>睿博投资</w:t>
                    </w:r>
                  </w:p>
                </w:tc>
                <w:tc>
                  <w:tcPr>
                    <w:tcW w:w="2094" w:type="dxa"/>
                    <w:noWrap/>
                  </w:tcPr>
                  <w:p w14:paraId="03FC457A" w14:textId="77777777" w:rsidR="00D21C1F" w:rsidRDefault="00A42880">
                    <w:pPr>
                      <w:jc w:val="right"/>
                      <w:rPr>
                        <w:rFonts w:ascii="Times New Roman" w:hAnsi="Times New Roman" w:cs="Times New Roman"/>
                      </w:rPr>
                    </w:pPr>
                    <w:r>
                      <w:rPr>
                        <w:rFonts w:ascii="Times New Roman" w:hAnsi="Times New Roman" w:cs="Times New Roman"/>
                      </w:rPr>
                      <w:t>1,206,350</w:t>
                    </w:r>
                  </w:p>
                </w:tc>
                <w:tc>
                  <w:tcPr>
                    <w:tcW w:w="2016" w:type="dxa"/>
                    <w:noWrap/>
                  </w:tcPr>
                  <w:p w14:paraId="00021365" w14:textId="77777777" w:rsidR="00D21C1F" w:rsidRDefault="00A42880">
                    <w:pPr>
                      <w:jc w:val="right"/>
                      <w:rPr>
                        <w:rFonts w:ascii="Times New Roman" w:hAnsi="Times New Roman" w:cs="Times New Roman"/>
                      </w:rPr>
                    </w:pPr>
                    <w:r>
                      <w:rPr>
                        <w:rFonts w:ascii="Times New Roman" w:hAnsi="Times New Roman" w:cs="Times New Roman"/>
                      </w:rPr>
                      <w:t>13,467</w:t>
                    </w:r>
                  </w:p>
                </w:tc>
                <w:tc>
                  <w:tcPr>
                    <w:tcW w:w="1914" w:type="dxa"/>
                    <w:noWrap/>
                  </w:tcPr>
                  <w:p w14:paraId="6AAEB466" w14:textId="77777777" w:rsidR="00D21C1F" w:rsidRDefault="00A42880">
                    <w:pPr>
                      <w:jc w:val="right"/>
                      <w:rPr>
                        <w:rFonts w:ascii="Times New Roman" w:hAnsi="Times New Roman" w:cs="Times New Roman"/>
                      </w:rPr>
                    </w:pPr>
                    <w:r>
                      <w:rPr>
                        <w:rFonts w:ascii="Times New Roman" w:hAnsi="Times New Roman" w:cs="Times New Roman"/>
                      </w:rPr>
                      <w:t>1,219,817</w:t>
                    </w:r>
                  </w:p>
                </w:tc>
              </w:tr>
              <w:tr w:rsidR="00D21C1F" w14:paraId="02E8085E" w14:textId="77777777">
                <w:trPr>
                  <w:trHeight w:val="285"/>
                </w:trPr>
                <w:tc>
                  <w:tcPr>
                    <w:tcW w:w="0" w:type="auto"/>
                    <w:noWrap/>
                  </w:tcPr>
                  <w:p w14:paraId="2E967B4B" w14:textId="77777777" w:rsidR="00D21C1F" w:rsidRDefault="00A42880">
                    <w:pPr>
                      <w:rPr>
                        <w:rFonts w:cs="Times New Roman"/>
                      </w:rPr>
                    </w:pPr>
                    <w:r>
                      <w:rPr>
                        <w:rFonts w:cs="Times New Roman"/>
                      </w:rPr>
                      <w:t>倪申来</w:t>
                    </w:r>
                  </w:p>
                </w:tc>
                <w:tc>
                  <w:tcPr>
                    <w:tcW w:w="1251" w:type="dxa"/>
                    <w:noWrap/>
                  </w:tcPr>
                  <w:p w14:paraId="5E04A5CA" w14:textId="77777777" w:rsidR="00D21C1F" w:rsidRDefault="00A42880">
                    <w:pPr>
                      <w:rPr>
                        <w:rFonts w:cs="Times New Roman"/>
                      </w:rPr>
                    </w:pPr>
                    <w:r>
                      <w:rPr>
                        <w:rFonts w:cs="Times New Roman"/>
                      </w:rPr>
                      <w:t>睿博投资</w:t>
                    </w:r>
                  </w:p>
                </w:tc>
                <w:tc>
                  <w:tcPr>
                    <w:tcW w:w="2094" w:type="dxa"/>
                    <w:noWrap/>
                  </w:tcPr>
                  <w:p w14:paraId="73592367" w14:textId="77777777" w:rsidR="00D21C1F" w:rsidRDefault="00A42880">
                    <w:pPr>
                      <w:jc w:val="right"/>
                      <w:rPr>
                        <w:rFonts w:ascii="Times New Roman" w:hAnsi="Times New Roman" w:cs="Times New Roman"/>
                      </w:rPr>
                    </w:pPr>
                    <w:r>
                      <w:rPr>
                        <w:rFonts w:ascii="Times New Roman" w:hAnsi="Times New Roman" w:cs="Times New Roman"/>
                      </w:rPr>
                      <w:t>1,206,350</w:t>
                    </w:r>
                  </w:p>
                </w:tc>
                <w:tc>
                  <w:tcPr>
                    <w:tcW w:w="2016" w:type="dxa"/>
                    <w:noWrap/>
                  </w:tcPr>
                  <w:p w14:paraId="3DB00B46" w14:textId="77777777" w:rsidR="00D21C1F" w:rsidRDefault="00A42880">
                    <w:pPr>
                      <w:jc w:val="right"/>
                      <w:rPr>
                        <w:rFonts w:ascii="Times New Roman" w:hAnsi="Times New Roman" w:cs="Times New Roman"/>
                      </w:rPr>
                    </w:pPr>
                    <w:r>
                      <w:rPr>
                        <w:rFonts w:ascii="Times New Roman" w:hAnsi="Times New Roman" w:cs="Times New Roman"/>
                      </w:rPr>
                      <w:t>13,467</w:t>
                    </w:r>
                  </w:p>
                </w:tc>
                <w:tc>
                  <w:tcPr>
                    <w:tcW w:w="1914" w:type="dxa"/>
                    <w:noWrap/>
                  </w:tcPr>
                  <w:p w14:paraId="25AD42CA" w14:textId="77777777" w:rsidR="00D21C1F" w:rsidRDefault="00A42880">
                    <w:pPr>
                      <w:jc w:val="right"/>
                      <w:rPr>
                        <w:rFonts w:ascii="Times New Roman" w:hAnsi="Times New Roman" w:cs="Times New Roman"/>
                      </w:rPr>
                    </w:pPr>
                    <w:r>
                      <w:rPr>
                        <w:rFonts w:ascii="Times New Roman" w:hAnsi="Times New Roman" w:cs="Times New Roman"/>
                      </w:rPr>
                      <w:t>1,219,817</w:t>
                    </w:r>
                  </w:p>
                </w:tc>
              </w:tr>
              <w:tr w:rsidR="00D21C1F" w14:paraId="336CEE17" w14:textId="77777777">
                <w:trPr>
                  <w:trHeight w:val="285"/>
                </w:trPr>
                <w:tc>
                  <w:tcPr>
                    <w:tcW w:w="0" w:type="auto"/>
                    <w:noWrap/>
                  </w:tcPr>
                  <w:p w14:paraId="1A95AE7B" w14:textId="77777777" w:rsidR="00D21C1F" w:rsidRDefault="00A42880">
                    <w:pPr>
                      <w:rPr>
                        <w:rFonts w:cs="Times New Roman"/>
                      </w:rPr>
                    </w:pPr>
                    <w:r>
                      <w:rPr>
                        <w:rFonts w:cs="Times New Roman"/>
                      </w:rPr>
                      <w:t>董茂年</w:t>
                    </w:r>
                  </w:p>
                </w:tc>
                <w:tc>
                  <w:tcPr>
                    <w:tcW w:w="1251" w:type="dxa"/>
                    <w:noWrap/>
                  </w:tcPr>
                  <w:p w14:paraId="7B535E3A" w14:textId="77777777" w:rsidR="00D21C1F" w:rsidRDefault="00A42880">
                    <w:pPr>
                      <w:rPr>
                        <w:rFonts w:cs="Times New Roman"/>
                      </w:rPr>
                    </w:pPr>
                    <w:r>
                      <w:rPr>
                        <w:rFonts w:cs="Times New Roman"/>
                      </w:rPr>
                      <w:t>睿博投资</w:t>
                    </w:r>
                  </w:p>
                </w:tc>
                <w:tc>
                  <w:tcPr>
                    <w:tcW w:w="2094" w:type="dxa"/>
                    <w:noWrap/>
                  </w:tcPr>
                  <w:p w14:paraId="4852DB18" w14:textId="77777777" w:rsidR="00D21C1F" w:rsidRDefault="00A42880">
                    <w:pPr>
                      <w:jc w:val="right"/>
                      <w:rPr>
                        <w:rFonts w:ascii="Times New Roman" w:hAnsi="Times New Roman" w:cs="Times New Roman"/>
                      </w:rPr>
                    </w:pPr>
                    <w:r>
                      <w:rPr>
                        <w:rFonts w:ascii="Times New Roman" w:hAnsi="Times New Roman" w:cs="Times New Roman"/>
                      </w:rPr>
                      <w:t>1,206,350</w:t>
                    </w:r>
                  </w:p>
                </w:tc>
                <w:tc>
                  <w:tcPr>
                    <w:tcW w:w="2016" w:type="dxa"/>
                    <w:noWrap/>
                  </w:tcPr>
                  <w:p w14:paraId="2DAC03A8" w14:textId="77777777" w:rsidR="00D21C1F" w:rsidRDefault="00A42880">
                    <w:pPr>
                      <w:jc w:val="right"/>
                      <w:rPr>
                        <w:rFonts w:ascii="Times New Roman" w:hAnsi="Times New Roman" w:cs="Times New Roman"/>
                      </w:rPr>
                    </w:pPr>
                    <w:r>
                      <w:rPr>
                        <w:rFonts w:ascii="Times New Roman" w:hAnsi="Times New Roman" w:cs="Times New Roman"/>
                      </w:rPr>
                      <w:t>13,467</w:t>
                    </w:r>
                  </w:p>
                </w:tc>
                <w:tc>
                  <w:tcPr>
                    <w:tcW w:w="1914" w:type="dxa"/>
                    <w:noWrap/>
                  </w:tcPr>
                  <w:p w14:paraId="3B151900" w14:textId="77777777" w:rsidR="00D21C1F" w:rsidRDefault="00A42880">
                    <w:pPr>
                      <w:jc w:val="right"/>
                      <w:rPr>
                        <w:rFonts w:ascii="Times New Roman" w:hAnsi="Times New Roman" w:cs="Times New Roman"/>
                      </w:rPr>
                    </w:pPr>
                    <w:r>
                      <w:rPr>
                        <w:rFonts w:ascii="Times New Roman" w:hAnsi="Times New Roman" w:cs="Times New Roman"/>
                      </w:rPr>
                      <w:t>1,219,817</w:t>
                    </w:r>
                  </w:p>
                </w:tc>
              </w:tr>
              <w:tr w:rsidR="00D21C1F" w14:paraId="51B4D9E6" w14:textId="77777777">
                <w:trPr>
                  <w:trHeight w:val="285"/>
                </w:trPr>
                <w:tc>
                  <w:tcPr>
                    <w:tcW w:w="0" w:type="auto"/>
                    <w:noWrap/>
                  </w:tcPr>
                  <w:p w14:paraId="74F6C111" w14:textId="77777777" w:rsidR="00D21C1F" w:rsidRDefault="00A42880">
                    <w:pPr>
                      <w:rPr>
                        <w:rFonts w:cs="Times New Roman"/>
                      </w:rPr>
                    </w:pPr>
                    <w:r>
                      <w:rPr>
                        <w:rFonts w:cs="Times New Roman"/>
                      </w:rPr>
                      <w:t>张帷</w:t>
                    </w:r>
                  </w:p>
                </w:tc>
                <w:tc>
                  <w:tcPr>
                    <w:tcW w:w="1251" w:type="dxa"/>
                    <w:noWrap/>
                  </w:tcPr>
                  <w:p w14:paraId="3959ABC7" w14:textId="77777777" w:rsidR="00D21C1F" w:rsidRDefault="00A42880">
                    <w:pPr>
                      <w:rPr>
                        <w:rFonts w:cs="Times New Roman"/>
                      </w:rPr>
                    </w:pPr>
                    <w:r>
                      <w:rPr>
                        <w:rFonts w:cs="Times New Roman"/>
                      </w:rPr>
                      <w:t>睿泽投资</w:t>
                    </w:r>
                  </w:p>
                </w:tc>
                <w:tc>
                  <w:tcPr>
                    <w:tcW w:w="2094" w:type="dxa"/>
                    <w:noWrap/>
                  </w:tcPr>
                  <w:p w14:paraId="401FBBD9" w14:textId="77777777" w:rsidR="00D21C1F" w:rsidRDefault="00A42880">
                    <w:pPr>
                      <w:jc w:val="right"/>
                      <w:rPr>
                        <w:rFonts w:ascii="Times New Roman" w:hAnsi="Times New Roman" w:cs="Times New Roman"/>
                      </w:rPr>
                    </w:pPr>
                    <w:r>
                      <w:rPr>
                        <w:rFonts w:ascii="Times New Roman" w:hAnsi="Times New Roman" w:cs="Times New Roman"/>
                      </w:rPr>
                      <w:t>1,206,350</w:t>
                    </w:r>
                  </w:p>
                </w:tc>
                <w:tc>
                  <w:tcPr>
                    <w:tcW w:w="2016" w:type="dxa"/>
                    <w:noWrap/>
                  </w:tcPr>
                  <w:p w14:paraId="1C764369" w14:textId="77777777" w:rsidR="00D21C1F" w:rsidRDefault="00A42880">
                    <w:pPr>
                      <w:jc w:val="right"/>
                      <w:rPr>
                        <w:rFonts w:ascii="Times New Roman" w:hAnsi="Times New Roman" w:cs="Times New Roman"/>
                      </w:rPr>
                    </w:pPr>
                    <w:r>
                      <w:rPr>
                        <w:rFonts w:ascii="Times New Roman" w:hAnsi="Times New Roman" w:cs="Times New Roman"/>
                      </w:rPr>
                      <w:t>13,467</w:t>
                    </w:r>
                  </w:p>
                </w:tc>
                <w:tc>
                  <w:tcPr>
                    <w:tcW w:w="1914" w:type="dxa"/>
                    <w:noWrap/>
                  </w:tcPr>
                  <w:p w14:paraId="0004C2E1" w14:textId="77777777" w:rsidR="00D21C1F" w:rsidRDefault="00A42880">
                    <w:pPr>
                      <w:jc w:val="right"/>
                      <w:rPr>
                        <w:rFonts w:ascii="Times New Roman" w:hAnsi="Times New Roman" w:cs="Times New Roman"/>
                      </w:rPr>
                    </w:pPr>
                    <w:r>
                      <w:rPr>
                        <w:rFonts w:ascii="Times New Roman" w:hAnsi="Times New Roman" w:cs="Times New Roman"/>
                      </w:rPr>
                      <w:t>1,219,817</w:t>
                    </w:r>
                  </w:p>
                </w:tc>
              </w:tr>
              <w:tr w:rsidR="00D21C1F" w14:paraId="3B4B668F" w14:textId="77777777">
                <w:trPr>
                  <w:trHeight w:val="285"/>
                </w:trPr>
                <w:tc>
                  <w:tcPr>
                    <w:tcW w:w="0" w:type="auto"/>
                    <w:noWrap/>
                  </w:tcPr>
                  <w:p w14:paraId="2218342F" w14:textId="77777777" w:rsidR="00D21C1F" w:rsidRDefault="00A42880">
                    <w:pPr>
                      <w:rPr>
                        <w:rFonts w:cs="Times New Roman"/>
                      </w:rPr>
                    </w:pPr>
                    <w:r>
                      <w:rPr>
                        <w:rFonts w:cs="Times New Roman"/>
                      </w:rPr>
                      <w:t>葛景国</w:t>
                    </w:r>
                  </w:p>
                </w:tc>
                <w:tc>
                  <w:tcPr>
                    <w:tcW w:w="1251" w:type="dxa"/>
                    <w:noWrap/>
                  </w:tcPr>
                  <w:p w14:paraId="1596B86F" w14:textId="77777777" w:rsidR="00D21C1F" w:rsidRDefault="00A42880">
                    <w:pPr>
                      <w:rPr>
                        <w:rFonts w:cs="Times New Roman"/>
                      </w:rPr>
                    </w:pPr>
                    <w:r>
                      <w:rPr>
                        <w:rFonts w:cs="Times New Roman"/>
                      </w:rPr>
                      <w:t>睿泽投资</w:t>
                    </w:r>
                  </w:p>
                </w:tc>
                <w:tc>
                  <w:tcPr>
                    <w:tcW w:w="2094" w:type="dxa"/>
                    <w:noWrap/>
                  </w:tcPr>
                  <w:p w14:paraId="522E2721" w14:textId="77777777" w:rsidR="00D21C1F" w:rsidRDefault="00A42880">
                    <w:pPr>
                      <w:jc w:val="right"/>
                      <w:rPr>
                        <w:rFonts w:ascii="Times New Roman" w:hAnsi="Times New Roman" w:cs="Times New Roman"/>
                      </w:rPr>
                    </w:pPr>
                    <w:r>
                      <w:rPr>
                        <w:rFonts w:ascii="Times New Roman" w:hAnsi="Times New Roman" w:cs="Times New Roman"/>
                      </w:rPr>
                      <w:t>643,387</w:t>
                    </w:r>
                  </w:p>
                </w:tc>
                <w:tc>
                  <w:tcPr>
                    <w:tcW w:w="2016" w:type="dxa"/>
                    <w:noWrap/>
                  </w:tcPr>
                  <w:p w14:paraId="4FA00EA7" w14:textId="77777777" w:rsidR="00D21C1F" w:rsidRDefault="00A42880">
                    <w:pPr>
                      <w:jc w:val="right"/>
                      <w:rPr>
                        <w:rFonts w:ascii="Times New Roman" w:hAnsi="Times New Roman" w:cs="Times New Roman"/>
                      </w:rPr>
                    </w:pPr>
                    <w:r>
                      <w:rPr>
                        <w:rFonts w:ascii="Times New Roman" w:hAnsi="Times New Roman" w:cs="Times New Roman"/>
                      </w:rPr>
                      <w:t>7,183</w:t>
                    </w:r>
                  </w:p>
                </w:tc>
                <w:tc>
                  <w:tcPr>
                    <w:tcW w:w="1914" w:type="dxa"/>
                    <w:noWrap/>
                  </w:tcPr>
                  <w:p w14:paraId="4A5F0B90" w14:textId="77777777" w:rsidR="00D21C1F" w:rsidRDefault="00A42880">
                    <w:pPr>
                      <w:jc w:val="right"/>
                      <w:rPr>
                        <w:rFonts w:ascii="Times New Roman" w:hAnsi="Times New Roman" w:cs="Times New Roman"/>
                      </w:rPr>
                    </w:pPr>
                    <w:r>
                      <w:rPr>
                        <w:rFonts w:ascii="Times New Roman" w:hAnsi="Times New Roman" w:cs="Times New Roman"/>
                      </w:rPr>
                      <w:t>650,569</w:t>
                    </w:r>
                  </w:p>
                </w:tc>
              </w:tr>
              <w:tr w:rsidR="00D21C1F" w14:paraId="3901539D" w14:textId="77777777">
                <w:trPr>
                  <w:trHeight w:val="285"/>
                </w:trPr>
                <w:tc>
                  <w:tcPr>
                    <w:tcW w:w="0" w:type="auto"/>
                    <w:noWrap/>
                  </w:tcPr>
                  <w:p w14:paraId="56AA4E38" w14:textId="77777777" w:rsidR="00D21C1F" w:rsidRDefault="00A42880">
                    <w:pPr>
                      <w:rPr>
                        <w:rFonts w:cs="Times New Roman"/>
                      </w:rPr>
                    </w:pPr>
                    <w:r>
                      <w:rPr>
                        <w:rFonts w:cs="Times New Roman"/>
                      </w:rPr>
                      <w:t>王富康</w:t>
                    </w:r>
                  </w:p>
                </w:tc>
                <w:tc>
                  <w:tcPr>
                    <w:tcW w:w="1251" w:type="dxa"/>
                    <w:noWrap/>
                  </w:tcPr>
                  <w:p w14:paraId="5E87A51D" w14:textId="77777777" w:rsidR="00D21C1F" w:rsidRDefault="00A42880">
                    <w:pPr>
                      <w:rPr>
                        <w:rFonts w:cs="Times New Roman"/>
                      </w:rPr>
                    </w:pPr>
                    <w:r>
                      <w:rPr>
                        <w:rFonts w:cs="Times New Roman"/>
                      </w:rPr>
                      <w:t>睿泽投资</w:t>
                    </w:r>
                  </w:p>
                </w:tc>
                <w:tc>
                  <w:tcPr>
                    <w:tcW w:w="2094" w:type="dxa"/>
                    <w:noWrap/>
                  </w:tcPr>
                  <w:p w14:paraId="14D64385" w14:textId="77777777" w:rsidR="00D21C1F" w:rsidRDefault="00A42880">
                    <w:pPr>
                      <w:jc w:val="right"/>
                      <w:rPr>
                        <w:rFonts w:ascii="Times New Roman" w:hAnsi="Times New Roman" w:cs="Times New Roman"/>
                      </w:rPr>
                    </w:pPr>
                    <w:r>
                      <w:rPr>
                        <w:rFonts w:ascii="Times New Roman" w:hAnsi="Times New Roman" w:cs="Times New Roman"/>
                      </w:rPr>
                      <w:t>804,233</w:t>
                    </w:r>
                  </w:p>
                </w:tc>
                <w:tc>
                  <w:tcPr>
                    <w:tcW w:w="2016" w:type="dxa"/>
                    <w:noWrap/>
                  </w:tcPr>
                  <w:p w14:paraId="7AE91410" w14:textId="77777777" w:rsidR="00D21C1F" w:rsidRDefault="00A42880">
                    <w:pPr>
                      <w:jc w:val="right"/>
                      <w:rPr>
                        <w:rFonts w:ascii="Times New Roman" w:hAnsi="Times New Roman" w:cs="Times New Roman"/>
                      </w:rPr>
                    </w:pPr>
                    <w:r>
                      <w:rPr>
                        <w:rFonts w:ascii="Times New Roman" w:hAnsi="Times New Roman" w:cs="Times New Roman"/>
                      </w:rPr>
                      <w:t>8,978</w:t>
                    </w:r>
                  </w:p>
                </w:tc>
                <w:tc>
                  <w:tcPr>
                    <w:tcW w:w="1914" w:type="dxa"/>
                    <w:noWrap/>
                  </w:tcPr>
                  <w:p w14:paraId="5AB3A658" w14:textId="77777777" w:rsidR="00D21C1F" w:rsidRDefault="00A42880">
                    <w:pPr>
                      <w:jc w:val="right"/>
                      <w:rPr>
                        <w:rFonts w:ascii="Times New Roman" w:hAnsi="Times New Roman" w:cs="Times New Roman"/>
                      </w:rPr>
                    </w:pPr>
                    <w:r>
                      <w:rPr>
                        <w:rFonts w:ascii="Times New Roman" w:hAnsi="Times New Roman" w:cs="Times New Roman"/>
                      </w:rPr>
                      <w:t>813,211</w:t>
                    </w:r>
                  </w:p>
                </w:tc>
              </w:tr>
              <w:tr w:rsidR="00D21C1F" w14:paraId="2AF4DE0F" w14:textId="77777777">
                <w:trPr>
                  <w:trHeight w:val="285"/>
                </w:trPr>
                <w:tc>
                  <w:tcPr>
                    <w:tcW w:w="0" w:type="auto"/>
                    <w:noWrap/>
                  </w:tcPr>
                  <w:p w14:paraId="02F1791E" w14:textId="77777777" w:rsidR="00D21C1F" w:rsidRDefault="00A42880">
                    <w:pPr>
                      <w:rPr>
                        <w:rFonts w:cs="Times New Roman"/>
                      </w:rPr>
                    </w:pPr>
                    <w:r>
                      <w:rPr>
                        <w:rFonts w:cs="Times New Roman"/>
                      </w:rPr>
                      <w:t>冯海生</w:t>
                    </w:r>
                  </w:p>
                </w:tc>
                <w:tc>
                  <w:tcPr>
                    <w:tcW w:w="1251" w:type="dxa"/>
                    <w:noWrap/>
                  </w:tcPr>
                  <w:p w14:paraId="04C02787" w14:textId="77777777" w:rsidR="00D21C1F" w:rsidRDefault="00A42880">
                    <w:pPr>
                      <w:rPr>
                        <w:rFonts w:cs="Times New Roman"/>
                      </w:rPr>
                    </w:pPr>
                    <w:r>
                      <w:rPr>
                        <w:rFonts w:cs="Times New Roman"/>
                      </w:rPr>
                      <w:t>睿泽投资</w:t>
                    </w:r>
                  </w:p>
                </w:tc>
                <w:tc>
                  <w:tcPr>
                    <w:tcW w:w="2094" w:type="dxa"/>
                    <w:noWrap/>
                  </w:tcPr>
                  <w:p w14:paraId="5AB91F4A" w14:textId="77777777" w:rsidR="00D21C1F" w:rsidRDefault="00A42880">
                    <w:pPr>
                      <w:jc w:val="right"/>
                      <w:rPr>
                        <w:rFonts w:ascii="Times New Roman" w:hAnsi="Times New Roman" w:cs="Times New Roman"/>
                      </w:rPr>
                    </w:pPr>
                    <w:r>
                      <w:rPr>
                        <w:rFonts w:ascii="Times New Roman" w:hAnsi="Times New Roman" w:cs="Times New Roman"/>
                      </w:rPr>
                      <w:t>361,905</w:t>
                    </w:r>
                  </w:p>
                </w:tc>
                <w:tc>
                  <w:tcPr>
                    <w:tcW w:w="2016" w:type="dxa"/>
                    <w:noWrap/>
                  </w:tcPr>
                  <w:p w14:paraId="0AF24207" w14:textId="77777777" w:rsidR="00D21C1F" w:rsidRDefault="00A42880">
                    <w:pPr>
                      <w:jc w:val="right"/>
                      <w:rPr>
                        <w:rFonts w:ascii="Times New Roman" w:hAnsi="Times New Roman" w:cs="Times New Roman"/>
                      </w:rPr>
                    </w:pPr>
                    <w:r>
                      <w:rPr>
                        <w:rFonts w:ascii="Times New Roman" w:hAnsi="Times New Roman" w:cs="Times New Roman"/>
                      </w:rPr>
                      <w:t>4,040</w:t>
                    </w:r>
                  </w:p>
                </w:tc>
                <w:tc>
                  <w:tcPr>
                    <w:tcW w:w="1914" w:type="dxa"/>
                    <w:noWrap/>
                  </w:tcPr>
                  <w:p w14:paraId="0ADBBD2B" w14:textId="77777777" w:rsidR="00D21C1F" w:rsidRDefault="00A42880">
                    <w:pPr>
                      <w:jc w:val="right"/>
                      <w:rPr>
                        <w:rFonts w:ascii="Times New Roman" w:hAnsi="Times New Roman" w:cs="Times New Roman"/>
                      </w:rPr>
                    </w:pPr>
                    <w:r>
                      <w:rPr>
                        <w:rFonts w:ascii="Times New Roman" w:hAnsi="Times New Roman" w:cs="Times New Roman"/>
                      </w:rPr>
                      <w:t>365,945</w:t>
                    </w:r>
                  </w:p>
                </w:tc>
              </w:tr>
              <w:tr w:rsidR="00D21C1F" w14:paraId="2C705996" w14:textId="77777777">
                <w:trPr>
                  <w:trHeight w:val="285"/>
                </w:trPr>
                <w:tc>
                  <w:tcPr>
                    <w:tcW w:w="0" w:type="auto"/>
                    <w:noWrap/>
                  </w:tcPr>
                  <w:p w14:paraId="0EF7AB36" w14:textId="77777777" w:rsidR="00D21C1F" w:rsidRDefault="00A42880">
                    <w:pPr>
                      <w:rPr>
                        <w:rFonts w:cs="Times New Roman"/>
                      </w:rPr>
                    </w:pPr>
                    <w:r>
                      <w:rPr>
                        <w:rFonts w:cs="Times New Roman"/>
                      </w:rPr>
                      <w:t>党进</w:t>
                    </w:r>
                  </w:p>
                </w:tc>
                <w:tc>
                  <w:tcPr>
                    <w:tcW w:w="1251" w:type="dxa"/>
                    <w:noWrap/>
                  </w:tcPr>
                  <w:p w14:paraId="4E6FEE37" w14:textId="77777777" w:rsidR="00D21C1F" w:rsidRDefault="00A42880">
                    <w:pPr>
                      <w:rPr>
                        <w:rFonts w:cs="Times New Roman"/>
                      </w:rPr>
                    </w:pPr>
                    <w:r>
                      <w:rPr>
                        <w:rFonts w:cs="Times New Roman"/>
                      </w:rPr>
                      <w:t>睿埃咨询</w:t>
                    </w:r>
                  </w:p>
                </w:tc>
                <w:tc>
                  <w:tcPr>
                    <w:tcW w:w="2094" w:type="dxa"/>
                    <w:noWrap/>
                  </w:tcPr>
                  <w:p w14:paraId="37128547" w14:textId="77777777" w:rsidR="00D21C1F" w:rsidRDefault="00A42880">
                    <w:pPr>
                      <w:jc w:val="right"/>
                      <w:rPr>
                        <w:rFonts w:ascii="Times New Roman" w:hAnsi="Times New Roman" w:cs="Times New Roman"/>
                      </w:rPr>
                    </w:pPr>
                    <w:r>
                      <w:rPr>
                        <w:rFonts w:ascii="Times New Roman" w:hAnsi="Times New Roman" w:cs="Times New Roman"/>
                      </w:rPr>
                      <w:t>505,000</w:t>
                    </w:r>
                  </w:p>
                </w:tc>
                <w:tc>
                  <w:tcPr>
                    <w:tcW w:w="2016" w:type="dxa"/>
                    <w:noWrap/>
                  </w:tcPr>
                  <w:p w14:paraId="5C8FD1B4" w14:textId="77777777" w:rsidR="00D21C1F" w:rsidRDefault="00A42880">
                    <w:pPr>
                      <w:jc w:val="right"/>
                      <w:rPr>
                        <w:rFonts w:ascii="Times New Roman" w:hAnsi="Times New Roman" w:cs="Times New Roman"/>
                      </w:rPr>
                    </w:pPr>
                    <w:r>
                      <w:rPr>
                        <w:rFonts w:ascii="Times New Roman" w:hAnsi="Times New Roman" w:cs="Times New Roman"/>
                      </w:rPr>
                      <w:t>5,638</w:t>
                    </w:r>
                  </w:p>
                </w:tc>
                <w:tc>
                  <w:tcPr>
                    <w:tcW w:w="1914" w:type="dxa"/>
                    <w:noWrap/>
                  </w:tcPr>
                  <w:p w14:paraId="146CC939" w14:textId="77777777" w:rsidR="00D21C1F" w:rsidRDefault="00A42880">
                    <w:pPr>
                      <w:jc w:val="right"/>
                      <w:rPr>
                        <w:rFonts w:ascii="Times New Roman" w:hAnsi="Times New Roman" w:cs="Times New Roman"/>
                      </w:rPr>
                    </w:pPr>
                    <w:r>
                      <w:rPr>
                        <w:rFonts w:ascii="Times New Roman" w:hAnsi="Times New Roman" w:cs="Times New Roman"/>
                      </w:rPr>
                      <w:t>510,638</w:t>
                    </w:r>
                  </w:p>
                </w:tc>
              </w:tr>
              <w:tr w:rsidR="00D21C1F" w14:paraId="444D9FE9" w14:textId="77777777">
                <w:trPr>
                  <w:trHeight w:val="285"/>
                </w:trPr>
                <w:tc>
                  <w:tcPr>
                    <w:tcW w:w="0" w:type="auto"/>
                    <w:noWrap/>
                  </w:tcPr>
                  <w:p w14:paraId="6D29AD13" w14:textId="77777777" w:rsidR="00D21C1F" w:rsidRDefault="00A42880">
                    <w:pPr>
                      <w:rPr>
                        <w:rFonts w:ascii="Times New Roman" w:hAnsi="Times New Roman" w:cs="Times New Roman"/>
                      </w:rPr>
                    </w:pPr>
                    <w:r>
                      <w:rPr>
                        <w:rFonts w:ascii="Times New Roman" w:hAnsi="Times New Roman" w:cs="Times New Roman"/>
                      </w:rPr>
                      <w:t>Daniele Pillan</w:t>
                    </w:r>
                  </w:p>
                </w:tc>
                <w:tc>
                  <w:tcPr>
                    <w:tcW w:w="1251" w:type="dxa"/>
                    <w:noWrap/>
                  </w:tcPr>
                  <w:p w14:paraId="72E1AD15" w14:textId="77777777" w:rsidR="00D21C1F" w:rsidRDefault="00A42880">
                    <w:pPr>
                      <w:rPr>
                        <w:rFonts w:cs="Times New Roman"/>
                      </w:rPr>
                    </w:pPr>
                    <w:r>
                      <w:rPr>
                        <w:rFonts w:cs="Times New Roman"/>
                      </w:rPr>
                      <w:t>睿埃咨询</w:t>
                    </w:r>
                  </w:p>
                </w:tc>
                <w:tc>
                  <w:tcPr>
                    <w:tcW w:w="2094" w:type="dxa"/>
                    <w:noWrap/>
                  </w:tcPr>
                  <w:p w14:paraId="56B9F025" w14:textId="77777777" w:rsidR="00D21C1F" w:rsidRDefault="00A42880">
                    <w:pPr>
                      <w:jc w:val="right"/>
                      <w:rPr>
                        <w:rFonts w:ascii="Times New Roman" w:hAnsi="Times New Roman" w:cs="Times New Roman"/>
                      </w:rPr>
                    </w:pPr>
                    <w:r>
                      <w:rPr>
                        <w:rFonts w:ascii="Times New Roman" w:hAnsi="Times New Roman" w:cs="Times New Roman"/>
                      </w:rPr>
                      <w:t>50,000</w:t>
                    </w:r>
                  </w:p>
                </w:tc>
                <w:tc>
                  <w:tcPr>
                    <w:tcW w:w="2016" w:type="dxa"/>
                    <w:noWrap/>
                  </w:tcPr>
                  <w:p w14:paraId="363E9C79" w14:textId="77777777" w:rsidR="00D21C1F" w:rsidRDefault="00A42880">
                    <w:pPr>
                      <w:jc w:val="right"/>
                      <w:rPr>
                        <w:rFonts w:ascii="Times New Roman" w:hAnsi="Times New Roman" w:cs="Times New Roman"/>
                      </w:rPr>
                    </w:pPr>
                    <w:r>
                      <w:rPr>
                        <w:rFonts w:ascii="Times New Roman" w:hAnsi="Times New Roman" w:cs="Times New Roman"/>
                      </w:rPr>
                      <w:t>558</w:t>
                    </w:r>
                  </w:p>
                </w:tc>
                <w:tc>
                  <w:tcPr>
                    <w:tcW w:w="1914" w:type="dxa"/>
                    <w:noWrap/>
                  </w:tcPr>
                  <w:p w14:paraId="1B05B06A" w14:textId="77777777" w:rsidR="00D21C1F" w:rsidRDefault="00A42880">
                    <w:pPr>
                      <w:jc w:val="right"/>
                      <w:rPr>
                        <w:rFonts w:ascii="Times New Roman" w:hAnsi="Times New Roman" w:cs="Times New Roman"/>
                      </w:rPr>
                    </w:pPr>
                    <w:r>
                      <w:rPr>
                        <w:rFonts w:ascii="Times New Roman" w:hAnsi="Times New Roman" w:cs="Times New Roman"/>
                      </w:rPr>
                      <w:t>50,558</w:t>
                    </w:r>
                  </w:p>
                </w:tc>
              </w:tr>
            </w:tbl>
            <w:p w14:paraId="70FC7978" w14:textId="68A36805" w:rsidR="00D21C1F" w:rsidRPr="00723C22" w:rsidRDefault="00723C22" w:rsidP="00723C22">
              <w:pPr>
                <w:ind w:firstLineChars="100" w:firstLine="210"/>
              </w:pPr>
              <w:bookmarkStart w:id="126" w:name="_Hlk80956918"/>
              <w:r>
                <w:t>注：</w:t>
              </w:r>
              <w:r>
                <w:rPr>
                  <w:rFonts w:hint="eastAsia"/>
                </w:rPr>
                <w:t>以上</w:t>
              </w:r>
              <w:r>
                <w:t>数字若出现总数与各分项数之和尾数不符的情况，均为四舍五入原因造成。</w:t>
              </w:r>
              <w:bookmarkEnd w:id="126"/>
            </w:p>
            <w:p w14:paraId="20CCE9E8" w14:textId="77777777" w:rsidR="00D21C1F" w:rsidRDefault="00045EC6">
              <w:pPr>
                <w:jc w:val="both"/>
              </w:pPr>
            </w:p>
          </w:sdtContent>
        </w:sdt>
      </w:sdtContent>
    </w:sdt>
    <w:bookmarkEnd w:id="125"/>
    <w:p w14:paraId="70361FC0" w14:textId="77777777" w:rsidR="00D21C1F" w:rsidRDefault="00D21C1F">
      <w:pPr>
        <w:pStyle w:val="97"/>
      </w:pPr>
    </w:p>
    <w:bookmarkEnd w:id="123" w:displacedByCustomXml="next"/>
    <w:bookmarkEnd w:id="122" w:displacedByCustomXml="next"/>
    <w:bookmarkStart w:id="127" w:name="_Hlk25765185" w:displacedByCustomXml="next"/>
    <w:bookmarkStart w:id="128" w:name="_Hlk42873520" w:displacedByCustomXml="next"/>
    <w:sdt>
      <w:sdtPr>
        <w:rPr>
          <w:rFonts w:ascii="宋体" w:hAnsi="宋体" w:cs="宋体" w:hint="eastAsia"/>
          <w:b w:val="0"/>
          <w:bCs w:val="0"/>
          <w:kern w:val="0"/>
          <w:szCs w:val="21"/>
        </w:rPr>
        <w:alias w:val="模块:董事、高级管理人员和核心技术人员报告期内被授予的股权激励情况"/>
        <w:tag w:val="_SEC_34711b4b6ddb4b1f95dd2e3de78713a8"/>
        <w:id w:val="163910537"/>
        <w:lock w:val="sdtLocked"/>
        <w:placeholder>
          <w:docPart w:val="GBC22222222222222222222222222222"/>
        </w:placeholder>
      </w:sdtPr>
      <w:sdtEndPr>
        <w:rPr>
          <w:rFonts w:hint="default"/>
          <w:szCs w:val="24"/>
        </w:rPr>
      </w:sdtEndPr>
      <w:sdtContent>
        <w:p w14:paraId="676D0AF9" w14:textId="77777777" w:rsidR="00D21C1F" w:rsidRDefault="00A42880">
          <w:pPr>
            <w:pStyle w:val="3"/>
            <w:numPr>
              <w:ilvl w:val="2"/>
              <w:numId w:val="39"/>
            </w:numPr>
            <w:rPr>
              <w:rFonts w:ascii="宋体" w:hAnsi="宋体"/>
              <w:szCs w:val="21"/>
            </w:rPr>
          </w:pPr>
          <w:r>
            <w:rPr>
              <w:rFonts w:ascii="宋体" w:hAnsi="宋体" w:hint="eastAsia"/>
              <w:szCs w:val="21"/>
            </w:rPr>
            <w:t>董事、监事、高级管理人员和</w:t>
          </w:r>
          <w:r>
            <w:rPr>
              <w:rFonts w:ascii="宋体" w:hAnsi="宋体"/>
              <w:szCs w:val="21"/>
            </w:rPr>
            <w:t>核心技术人员</w:t>
          </w:r>
          <w:r>
            <w:rPr>
              <w:rFonts w:ascii="宋体" w:hAnsi="宋体" w:hint="eastAsia"/>
              <w:szCs w:val="21"/>
            </w:rPr>
            <w:t>报告期内被授予的股权激励情况</w:t>
          </w:r>
        </w:p>
        <w:p w14:paraId="5D4AE6F8" w14:textId="77777777" w:rsidR="00D21C1F" w:rsidRDefault="00A42880">
          <w:pPr>
            <w:pStyle w:val="4"/>
            <w:numPr>
              <w:ilvl w:val="0"/>
              <w:numId w:val="40"/>
            </w:numPr>
            <w:rPr>
              <w:rFonts w:ascii="宋体" w:hAnsi="宋体"/>
            </w:rPr>
          </w:pPr>
          <w:r>
            <w:rPr>
              <w:rFonts w:ascii="宋体" w:hAnsi="宋体"/>
            </w:rPr>
            <w:t>股票期权</w:t>
          </w:r>
        </w:p>
        <w:sdt>
          <w:sdtPr>
            <w:rPr>
              <w:szCs w:val="21"/>
            </w:rPr>
            <w:alias w:val="是否适用：董事、监事、高级管理人员报告期内被授予的股权激励情况[双击切换]"/>
            <w:tag w:val="_GBC_5b3743757cc7418d9a7b367db78dbdb2"/>
            <w:id w:val="1550188636"/>
            <w:lock w:val="sdtLocked"/>
            <w:placeholder>
              <w:docPart w:val="GBC22222222222222222222222222222"/>
            </w:placeholder>
          </w:sdtPr>
          <w:sdtEndPr/>
          <w:sdtContent>
            <w:p w14:paraId="1D8BA33E" w14:textId="77777777" w:rsidR="00D21C1F" w:rsidRDefault="00A42880">
              <w:pPr>
                <w:kinsoku w:val="0"/>
                <w:overflowPunct w:val="0"/>
                <w:autoSpaceDE w:val="0"/>
                <w:autoSpaceDN w:val="0"/>
                <w:adjustRightInd w:val="0"/>
                <w:snapToGrid w:val="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7" w:displacedByCustomXml="next"/>
    <w:bookmarkStart w:id="129" w:name="_Hlk25765457" w:displacedByCustomXml="next"/>
    <w:sdt>
      <w:sdtPr>
        <w:rPr>
          <w:rFonts w:ascii="宋体" w:hAnsi="宋体" w:cs="宋体"/>
          <w:b w:val="0"/>
          <w:bCs w:val="0"/>
          <w:kern w:val="0"/>
          <w:szCs w:val="24"/>
        </w:rPr>
        <w:alias w:val="模块:第一类限制性股票"/>
        <w:tag w:val="_SEC_0ec372d081aa459ea90b6767ac6bd97c"/>
        <w:id w:val="-1930263320"/>
        <w:lock w:val="sdtLocked"/>
        <w:placeholder>
          <w:docPart w:val="GBC22222222222222222222222222222"/>
        </w:placeholder>
      </w:sdtPr>
      <w:sdtEndPr/>
      <w:sdtContent>
        <w:p w14:paraId="110251A0" w14:textId="77777777" w:rsidR="00D21C1F" w:rsidRDefault="00A42880">
          <w:pPr>
            <w:pStyle w:val="4"/>
            <w:numPr>
              <w:ilvl w:val="0"/>
              <w:numId w:val="40"/>
            </w:numPr>
            <w:rPr>
              <w:rFonts w:ascii="宋体" w:hAnsi="宋体"/>
            </w:rPr>
          </w:pPr>
          <w:r>
            <w:rPr>
              <w:rFonts w:ascii="宋体" w:hAnsi="宋体" w:hint="eastAsia"/>
            </w:rPr>
            <w:t>第一类</w:t>
          </w:r>
          <w:r>
            <w:rPr>
              <w:rFonts w:ascii="宋体" w:hAnsi="宋体"/>
            </w:rPr>
            <w:t>限制性股票</w:t>
          </w:r>
        </w:p>
        <w:sdt>
          <w:sdtPr>
            <w:rPr>
              <w:szCs w:val="21"/>
            </w:rPr>
            <w:alias w:val="是否适用：第一类限制性股票激励情况[双击切换]"/>
            <w:tag w:val="_GBC_c35e4bbc69c54f6c97d02e8f691cfbd5"/>
            <w:id w:val="-987622800"/>
            <w:lock w:val="sdtLocked"/>
            <w:placeholder>
              <w:docPart w:val="GBC22222222222222222222222222222"/>
            </w:placeholder>
          </w:sdtPr>
          <w:sdtEndPr/>
          <w:sdtContent>
            <w:p w14:paraId="21022146" w14:textId="77777777" w:rsidR="00D21C1F" w:rsidRDefault="00A42880">
              <w:pPr>
                <w:kinsoku w:val="0"/>
                <w:overflowPunct w:val="0"/>
                <w:autoSpaceDE w:val="0"/>
                <w:autoSpaceDN w:val="0"/>
                <w:adjustRightInd w:val="0"/>
                <w:snapToGrid w:val="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29" w:displacedByCustomXml="next"/>
    <w:bookmarkStart w:id="130" w:name="_Hlk26516497" w:displacedByCustomXml="next"/>
    <w:sdt>
      <w:sdtPr>
        <w:rPr>
          <w:rFonts w:ascii="宋体" w:hAnsi="宋体" w:cs="宋体" w:hint="eastAsia"/>
          <w:b w:val="0"/>
          <w:bCs w:val="0"/>
          <w:kern w:val="0"/>
          <w:szCs w:val="24"/>
        </w:rPr>
        <w:alias w:val="模块:第二类限制性股票"/>
        <w:tag w:val="_SEC_297773d69e9847dda7d565c422e8233a"/>
        <w:id w:val="2133204796"/>
        <w:lock w:val="sdtLocked"/>
        <w:placeholder>
          <w:docPart w:val="GBC22222222222222222222222222222"/>
        </w:placeholder>
      </w:sdtPr>
      <w:sdtEndPr/>
      <w:sdtContent>
        <w:p w14:paraId="69C32C1B" w14:textId="77777777" w:rsidR="00D21C1F" w:rsidRDefault="00A42880">
          <w:pPr>
            <w:pStyle w:val="4"/>
            <w:numPr>
              <w:ilvl w:val="0"/>
              <w:numId w:val="40"/>
            </w:numPr>
            <w:rPr>
              <w:rFonts w:ascii="宋体" w:hAnsi="宋体"/>
            </w:rPr>
          </w:pPr>
          <w:r>
            <w:rPr>
              <w:rFonts w:ascii="宋体" w:hAnsi="宋体" w:hint="eastAsia"/>
            </w:rPr>
            <w:t>第二类</w:t>
          </w:r>
          <w:r>
            <w:rPr>
              <w:rFonts w:ascii="宋体" w:hAnsi="宋体"/>
            </w:rPr>
            <w:t>限制性股票</w:t>
          </w:r>
        </w:p>
        <w:sdt>
          <w:sdtPr>
            <w:rPr>
              <w:szCs w:val="21"/>
            </w:rPr>
            <w:alias w:val="是否适用：第二类限制性股票激励情况[双击切换]"/>
            <w:tag w:val="_GBC_b4f3db446cdb417e98d15780302d7d19"/>
            <w:id w:val="609938234"/>
            <w:lock w:val="sdtLocked"/>
            <w:placeholder>
              <w:docPart w:val="GBC22222222222222222222222222222"/>
            </w:placeholder>
          </w:sdtPr>
          <w:sdtEndPr/>
          <w:sdtContent>
            <w:p w14:paraId="7F7FF20E" w14:textId="77777777" w:rsidR="00D21C1F" w:rsidRDefault="00A42880">
              <w:pPr>
                <w:kinsoku w:val="0"/>
                <w:overflowPunct w:val="0"/>
                <w:autoSpaceDE w:val="0"/>
                <w:autoSpaceDN w:val="0"/>
                <w:adjustRightInd w:val="0"/>
                <w:snapToGrid w:val="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30" w:displacedByCustomXml="next"/>
    <w:bookmarkEnd w:id="128" w:displacedByCustomXml="next"/>
    <w:sdt>
      <w:sdtPr>
        <w:rPr>
          <w:rFonts w:ascii="宋体" w:eastAsiaTheme="minorEastAsia" w:hAnsi="宋体" w:cs="宋体" w:hint="eastAsia"/>
          <w:b w:val="0"/>
          <w:bCs w:val="0"/>
          <w:kern w:val="0"/>
          <w:szCs w:val="24"/>
        </w:rPr>
        <w:alias w:val="模块:其他董事、监事、高级管理人员和员工情况"/>
        <w:tag w:val="_SEC_a1a4d90699494886b231030a7c17645b"/>
        <w:id w:val="-358049578"/>
        <w:lock w:val="sdtLocked"/>
        <w:placeholder>
          <w:docPart w:val="GBC22222222222222222222222222222"/>
        </w:placeholder>
      </w:sdtPr>
      <w:sdtEndPr>
        <w:rPr>
          <w:rFonts w:hint="default"/>
        </w:rPr>
      </w:sdtEndPr>
      <w:sdtContent>
        <w:p w14:paraId="6A75F2A7" w14:textId="77777777" w:rsidR="00D21C1F" w:rsidRDefault="00A42880">
          <w:pPr>
            <w:pStyle w:val="3"/>
            <w:numPr>
              <w:ilvl w:val="2"/>
              <w:numId w:val="39"/>
            </w:numPr>
            <w:rPr>
              <w:rFonts w:ascii="宋体" w:hAnsi="宋体"/>
            </w:rPr>
          </w:pPr>
          <w:r>
            <w:rPr>
              <w:rFonts w:ascii="宋体" w:hAnsi="宋体" w:hint="eastAsia"/>
            </w:rPr>
            <w:t>其他</w:t>
          </w:r>
          <w:r>
            <w:rPr>
              <w:rFonts w:ascii="宋体" w:hAnsi="宋体" w:cs="宋体" w:hint="eastAsia"/>
              <w:kern w:val="0"/>
              <w:szCs w:val="21"/>
            </w:rPr>
            <w:t>说明</w:t>
          </w:r>
        </w:p>
        <w:sdt>
          <w:sdtPr>
            <w:alias w:val="是否适用：其他董事、监事、高级管理人员情况说明[双击切换]"/>
            <w:tag w:val="_GBC_8e7eb434c4c34c1b86cdb9f39b70c323"/>
            <w:id w:val="-1853943896"/>
            <w:lock w:val="sdtLocked"/>
            <w:placeholder>
              <w:docPart w:val="GBC22222222222222222222222222222"/>
            </w:placeholder>
          </w:sdtPr>
          <w:sdtEndPr/>
          <w:sdtContent>
            <w:p w14:paraId="49EADC5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213D01E" w14:textId="77777777" w:rsidR="00D21C1F" w:rsidRDefault="00D21C1F">
      <w:pPr>
        <w:pStyle w:val="97"/>
      </w:pPr>
    </w:p>
    <w:bookmarkEnd w:id="115"/>
    <w:bookmarkEnd w:id="116"/>
    <w:p w14:paraId="5D23F8EC" w14:textId="77777777" w:rsidR="00D21C1F" w:rsidRDefault="00A42880">
      <w:pPr>
        <w:pStyle w:val="2"/>
        <w:numPr>
          <w:ilvl w:val="0"/>
          <w:numId w:val="35"/>
        </w:numPr>
      </w:pPr>
      <w:r>
        <w:rPr>
          <w:rFonts w:hint="eastAsia"/>
        </w:rPr>
        <w:t>控股股东或实际控制人变更情况</w:t>
      </w:r>
    </w:p>
    <w:sdt>
      <w:sdtPr>
        <w:alias w:val="模块:控股股东及实际控制人变更情况"/>
        <w:tag w:val="_GBC_2e7a202224f3494aa0093f3bd0f39d33"/>
        <w:id w:val="-1329901434"/>
        <w:lock w:val="sdtLocked"/>
        <w:placeholder>
          <w:docPart w:val="GBC22222222222222222222222222222"/>
        </w:placeholder>
      </w:sdtPr>
      <w:sdtEndPr/>
      <w:sdtContent>
        <w:sdt>
          <w:sdtPr>
            <w:alias w:val="是否适用：控股股东及实际控制人变更情况[双击切换]"/>
            <w:tag w:val="_GBC_84ff369a3f714dbbbec5a13460906f4b"/>
            <w:id w:val="-1332684908"/>
            <w:lock w:val="sdtLocked"/>
            <w:placeholder>
              <w:docPart w:val="GBC22222222222222222222222222222"/>
            </w:placeholder>
          </w:sdtPr>
          <w:sdtEndPr/>
          <w:sdtContent>
            <w:p w14:paraId="4811506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B462AA6" w14:textId="77777777" w:rsidR="00D21C1F" w:rsidRDefault="00D21C1F">
      <w:pPr>
        <w:kinsoku w:val="0"/>
        <w:overflowPunct w:val="0"/>
        <w:autoSpaceDE w:val="0"/>
        <w:autoSpaceDN w:val="0"/>
        <w:adjustRightInd w:val="0"/>
        <w:snapToGrid w:val="0"/>
        <w:rPr>
          <w:color w:val="0000FF"/>
          <w:szCs w:val="21"/>
          <w:highlight w:val="yellow"/>
          <w:bdr w:val="single" w:sz="4" w:space="0" w:color="auto"/>
        </w:rPr>
      </w:pPr>
    </w:p>
    <w:bookmarkStart w:id="131" w:name="_Hlk42871836" w:displacedByCustomXml="next"/>
    <w:bookmarkStart w:id="132" w:name="_Hlk25758117" w:displacedByCustomXml="next"/>
    <w:bookmarkStart w:id="133" w:name="_Hlk25757324" w:displacedByCustomXml="next"/>
    <w:sdt>
      <w:sdtPr>
        <w:rPr>
          <w:rFonts w:eastAsiaTheme="minorEastAsia"/>
          <w:b w:val="0"/>
          <w:bCs w:val="0"/>
          <w:color w:val="0000FF"/>
          <w:highlight w:val="yellow"/>
        </w:rPr>
        <w:alias w:val="模块:存托凭证相关安排在报告期的实施和变化情况"/>
        <w:tag w:val="_SEC_5c8a071aabbc4d98aae73fb4dfb27993"/>
        <w:id w:val="1218086827"/>
        <w:lock w:val="sdtLocked"/>
        <w:placeholder>
          <w:docPart w:val="GBC22222222222222222222222222222"/>
        </w:placeholder>
      </w:sdtPr>
      <w:sdtEndPr/>
      <w:sdtContent>
        <w:p w14:paraId="2DDF1B17" w14:textId="77777777" w:rsidR="00D21C1F" w:rsidRDefault="00A42880">
          <w:pPr>
            <w:pStyle w:val="2"/>
            <w:numPr>
              <w:ilvl w:val="0"/>
              <w:numId w:val="35"/>
            </w:numPr>
          </w:pPr>
          <w:r>
            <w:rPr>
              <w:rFonts w:hint="eastAsia"/>
            </w:rPr>
            <w:t>存托</w:t>
          </w:r>
          <w:r>
            <w:t>凭证</w:t>
          </w:r>
          <w:r>
            <w:rPr>
              <w:rFonts w:hint="eastAsia"/>
            </w:rPr>
            <w:t>相关</w:t>
          </w:r>
          <w:r>
            <w:t>安排在报告期的实施和变化</w:t>
          </w:r>
          <w:r>
            <w:rPr>
              <w:rFonts w:hint="eastAsia"/>
            </w:rPr>
            <w:t>情况</w:t>
          </w:r>
        </w:p>
        <w:sdt>
          <w:sdtPr>
            <w:rPr>
              <w:rFonts w:hint="eastAsia"/>
            </w:rPr>
            <w:alias w:val="是否适用：存托凭证相关安排在报告期的实施和变化情况[双击切换]"/>
            <w:tag w:val="_GBC_5cefafb99f2249708f119d012fbb8ab0"/>
            <w:id w:val="2008557191"/>
            <w:lock w:val="sdtLocked"/>
            <w:placeholder>
              <w:docPart w:val="GBC22222222222222222222222222222"/>
            </w:placeholder>
          </w:sdtPr>
          <w:sdtEndPr/>
          <w:sdtContent>
            <w:p w14:paraId="631F13B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33"/>
    <w:bookmarkEnd w:id="132"/>
    <w:bookmarkEnd w:id="131"/>
    <w:p w14:paraId="3A43ABC5" w14:textId="77777777" w:rsidR="00D21C1F" w:rsidRDefault="00D21C1F">
      <w:pPr>
        <w:kinsoku w:val="0"/>
        <w:overflowPunct w:val="0"/>
        <w:autoSpaceDE w:val="0"/>
        <w:autoSpaceDN w:val="0"/>
        <w:adjustRightInd w:val="0"/>
        <w:snapToGrid w:val="0"/>
        <w:rPr>
          <w:color w:val="0000FF"/>
          <w:szCs w:val="21"/>
          <w:highlight w:val="yellow"/>
          <w:bdr w:val="single" w:sz="4" w:space="0" w:color="auto"/>
        </w:rPr>
      </w:pPr>
    </w:p>
    <w:sdt>
      <w:sdtPr>
        <w:rPr>
          <w:rFonts w:hint="eastAsia"/>
        </w:rPr>
        <w:tag w:val="_PLD_0c55c3d318e44094a168e491a4922b0a"/>
        <w:id w:val="42421117"/>
        <w:lock w:val="sdtLocked"/>
        <w:placeholder>
          <w:docPart w:val="GBC22222222222222222222222222222"/>
        </w:placeholder>
      </w:sdtPr>
      <w:sdtEndPr>
        <w:rPr>
          <w:rFonts w:hint="default"/>
        </w:rPr>
      </w:sdtEndPr>
      <w:sdtContent>
        <w:p w14:paraId="51217411" w14:textId="77777777" w:rsidR="00D21C1F" w:rsidRDefault="00A42880">
          <w:pPr>
            <w:pStyle w:val="2"/>
            <w:numPr>
              <w:ilvl w:val="0"/>
              <w:numId w:val="35"/>
            </w:numPr>
          </w:pPr>
          <w:r>
            <w:rPr>
              <w:rFonts w:hint="eastAsia"/>
            </w:rPr>
            <w:t>特别</w:t>
          </w:r>
          <w:r>
            <w:t>表决权股份情况</w:t>
          </w:r>
        </w:p>
      </w:sdtContent>
    </w:sdt>
    <w:p w14:paraId="0B6E7F4E" w14:textId="77777777" w:rsidR="00D21C1F" w:rsidRDefault="00A42880">
      <w:pPr>
        <w:pStyle w:val="10"/>
        <w:numPr>
          <w:ilvl w:val="0"/>
          <w:numId w:val="3"/>
        </w:numPr>
        <w:rPr>
          <w:rFonts w:ascii="黑体" w:hAnsi="黑体"/>
        </w:rPr>
      </w:pPr>
      <w:bookmarkStart w:id="134" w:name="_Toc79755147"/>
      <w:bookmarkStart w:id="135" w:name="_Toc392233017"/>
      <w:r>
        <w:rPr>
          <w:rFonts w:ascii="黑体" w:hAnsi="黑体" w:hint="eastAsia"/>
        </w:rPr>
        <w:t>优先股相关情况</w:t>
      </w:r>
      <w:bookmarkEnd w:id="134"/>
      <w:bookmarkEnd w:id="135"/>
    </w:p>
    <w:sdt>
      <w:sdtPr>
        <w:alias w:val="是否适用：优先股相关情况[双击切换]"/>
        <w:tag w:val="_GBC_2113adbee8464e1c828b3d6d35c60abf"/>
        <w:id w:val="1254397470"/>
        <w:lock w:val="sdtLocked"/>
        <w:placeholder>
          <w:docPart w:val="GBC22222222222222222222222222222"/>
        </w:placeholder>
      </w:sdtPr>
      <w:sdtEndPr/>
      <w:sdtContent>
        <w:p w14:paraId="29167F9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2AB7A6" w14:textId="77777777" w:rsidR="00D21C1F" w:rsidRDefault="00D21C1F">
      <w:pPr>
        <w:pStyle w:val="97"/>
      </w:pPr>
    </w:p>
    <w:p w14:paraId="04D440B0" w14:textId="77777777" w:rsidR="00D21C1F" w:rsidRDefault="00A42880">
      <w:pPr>
        <w:pStyle w:val="10"/>
        <w:numPr>
          <w:ilvl w:val="0"/>
          <w:numId w:val="3"/>
        </w:numPr>
        <w:rPr>
          <w:rFonts w:ascii="黑体" w:hAnsi="黑体"/>
          <w:bCs w:val="0"/>
          <w:szCs w:val="28"/>
        </w:rPr>
      </w:pPr>
      <w:bookmarkStart w:id="136" w:name="_Toc438111012"/>
      <w:bookmarkStart w:id="137" w:name="_Toc79755148"/>
      <w:bookmarkStart w:id="138" w:name="_Toc437440717"/>
      <w:r>
        <w:rPr>
          <w:rFonts w:ascii="黑体" w:hAnsi="黑体" w:hint="eastAsia"/>
          <w:bCs w:val="0"/>
          <w:szCs w:val="28"/>
        </w:rPr>
        <w:t>债券相关情况</w:t>
      </w:r>
      <w:bookmarkEnd w:id="136"/>
      <w:bookmarkEnd w:id="137"/>
      <w:bookmarkEnd w:id="138"/>
    </w:p>
    <w:p w14:paraId="5DC24A32" w14:textId="77777777" w:rsidR="00D21C1F" w:rsidRDefault="00A42880">
      <w:pPr>
        <w:pStyle w:val="2"/>
        <w:numPr>
          <w:ilvl w:val="0"/>
          <w:numId w:val="41"/>
        </w:numPr>
      </w:pPr>
      <w:r>
        <w:rPr>
          <w:rFonts w:hint="eastAsia"/>
        </w:rPr>
        <w:t>企业债券、公司债券和非金融企业债务融资工具</w:t>
      </w:r>
    </w:p>
    <w:sdt>
      <w:sdtPr>
        <w:rPr>
          <w:rFonts w:hint="eastAsia"/>
        </w:rPr>
        <w:alias w:val="是否适用：债券相关情况[双击切换]"/>
        <w:tag w:val="_GBC_c53f32323b154afe81e2b4f409f87ab4"/>
        <w:id w:val="1347827690"/>
        <w:lock w:val="sdtLocked"/>
        <w:placeholder>
          <w:docPart w:val="GBC22222222222222222222222222222"/>
        </w:placeholder>
      </w:sdtPr>
      <w:sdtEndPr/>
      <w:sdtContent>
        <w:p w14:paraId="01A54B1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3E6C8D" w14:textId="77777777" w:rsidR="00D21C1F" w:rsidRDefault="00D21C1F">
      <w:pPr>
        <w:pStyle w:val="97"/>
      </w:pPr>
    </w:p>
    <w:p w14:paraId="1ED723BC" w14:textId="77777777" w:rsidR="00D21C1F" w:rsidRDefault="00A42880">
      <w:pPr>
        <w:pStyle w:val="2"/>
        <w:numPr>
          <w:ilvl w:val="0"/>
          <w:numId w:val="41"/>
        </w:numPr>
      </w:pPr>
      <w:r>
        <w:rPr>
          <w:rFonts w:hint="eastAsia"/>
        </w:rPr>
        <w:t>可转换公司债券情况</w:t>
      </w:r>
    </w:p>
    <w:sdt>
      <w:sdtPr>
        <w:alias w:val="是否适用：可转换公司债券情况[双击切换]"/>
        <w:tag w:val="_GBC_6a49e99841294af3b87ba6216b1997d9"/>
        <w:id w:val="1250775454"/>
        <w:lock w:val="sdtLocked"/>
        <w:placeholder>
          <w:docPart w:val="GBC22222222222222222222222222222"/>
        </w:placeholder>
      </w:sdtPr>
      <w:sdtEndPr/>
      <w:sdtContent>
        <w:p w14:paraId="3E829F5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26ACDC" w14:textId="77777777" w:rsidR="00D21C1F" w:rsidRDefault="00D21C1F">
      <w:pPr>
        <w:pStyle w:val="97"/>
      </w:pPr>
    </w:p>
    <w:p w14:paraId="4AC243DF" w14:textId="77777777" w:rsidR="00D21C1F" w:rsidRDefault="00D21C1F">
      <w:pPr>
        <w:spacing w:line="360" w:lineRule="exact"/>
        <w:ind w:right="5"/>
      </w:pPr>
    </w:p>
    <w:p w14:paraId="19B29496" w14:textId="77777777" w:rsidR="00D21C1F" w:rsidRDefault="00D21C1F">
      <w:pPr>
        <w:spacing w:line="360" w:lineRule="exact"/>
        <w:ind w:right="5"/>
        <w:sectPr w:rsidR="00D21C1F">
          <w:pgSz w:w="11906" w:h="16838"/>
          <w:pgMar w:top="1525" w:right="1276" w:bottom="1440" w:left="1797" w:header="851" w:footer="992" w:gutter="0"/>
          <w:cols w:space="425"/>
          <w:docGrid w:linePitch="312"/>
        </w:sectPr>
      </w:pPr>
    </w:p>
    <w:p w14:paraId="72FAF869" w14:textId="77777777" w:rsidR="00D21C1F" w:rsidRDefault="00D21C1F">
      <w:pPr>
        <w:spacing w:line="360" w:lineRule="exact"/>
        <w:ind w:right="5"/>
      </w:pPr>
    </w:p>
    <w:p w14:paraId="2118BDA5" w14:textId="77777777" w:rsidR="00D21C1F" w:rsidRDefault="00A42880">
      <w:pPr>
        <w:pStyle w:val="10"/>
        <w:numPr>
          <w:ilvl w:val="0"/>
          <w:numId w:val="3"/>
        </w:numPr>
        <w:rPr>
          <w:rFonts w:ascii="黑体" w:hAnsi="黑体"/>
          <w:bCs w:val="0"/>
          <w:szCs w:val="28"/>
        </w:rPr>
      </w:pPr>
      <w:bookmarkStart w:id="139" w:name="_Toc79755149"/>
      <w:bookmarkStart w:id="140" w:name="_Toc79568059"/>
      <w:r>
        <w:rPr>
          <w:rFonts w:ascii="黑体" w:hAnsi="黑体"/>
          <w:bCs w:val="0"/>
          <w:szCs w:val="28"/>
        </w:rPr>
        <w:t>财务报告</w:t>
      </w:r>
      <w:bookmarkEnd w:id="139"/>
      <w:bookmarkEnd w:id="140"/>
    </w:p>
    <w:sdt>
      <w:sdtPr>
        <w:rPr>
          <w:rFonts w:hint="eastAsia"/>
          <w:b w:val="0"/>
          <w:bCs w:val="0"/>
        </w:rPr>
        <w:alias w:val="模块:审计报告"/>
        <w:tag w:val="_GBC_3c4b7d00409449a2b71d41277e7bd042"/>
        <w:id w:val="875825807"/>
        <w:lock w:val="sdtLocked"/>
        <w:placeholder>
          <w:docPart w:val="GBC22222222222222222222222222222"/>
        </w:placeholder>
      </w:sdtPr>
      <w:sdtEndPr/>
      <w:sdtContent>
        <w:p w14:paraId="4D303330" w14:textId="77777777" w:rsidR="00D21C1F" w:rsidRDefault="00A42880">
          <w:pPr>
            <w:pStyle w:val="2CharCharChar"/>
            <w:numPr>
              <w:ilvl w:val="0"/>
              <w:numId w:val="42"/>
            </w:numPr>
          </w:pPr>
          <w:r>
            <w:rPr>
              <w:rFonts w:hint="eastAsia"/>
            </w:rPr>
            <w:t>审计报告</w:t>
          </w:r>
        </w:p>
        <w:sdt>
          <w:sdtPr>
            <w:alias w:val="是否适用：审计报告[双击切换]"/>
            <w:tag w:val="_GBC_33dac3baf6634fba91e3026ebaaad280"/>
            <w:id w:val="-2135619244"/>
            <w:lock w:val="sdtLocked"/>
            <w:placeholder>
              <w:docPart w:val="GBC22222222222222222222222222222"/>
            </w:placeholder>
          </w:sdtPr>
          <w:sdtEndPr/>
          <w:sdtContent>
            <w:p w14:paraId="4D28A6E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B96FBE7" w14:textId="77777777" w:rsidR="00D21C1F" w:rsidRDefault="00D21C1F">
      <w:pPr>
        <w:pStyle w:val="97"/>
      </w:pPr>
    </w:p>
    <w:p w14:paraId="5A4A918D" w14:textId="77777777" w:rsidR="00D21C1F" w:rsidRDefault="00A42880">
      <w:pPr>
        <w:pStyle w:val="2CharCharChar"/>
        <w:numPr>
          <w:ilvl w:val="0"/>
          <w:numId w:val="42"/>
        </w:numPr>
      </w:pPr>
      <w:r>
        <w:rPr>
          <w:rFonts w:hint="eastAsia"/>
        </w:rPr>
        <w:t>财务报表</w:t>
      </w:r>
    </w:p>
    <w:bookmarkStart w:id="141" w:name="_Hlk10208794" w:displacedByCustomXml="next"/>
    <w:sdt>
      <w:sdtPr>
        <w:rPr>
          <w:rFonts w:ascii="宋体" w:eastAsia="宋体" w:hAnsi="宋体" w:cs="宋体"/>
          <w:b w:val="0"/>
          <w:bCs w:val="0"/>
          <w:kern w:val="0"/>
          <w:szCs w:val="24"/>
        </w:rPr>
        <w:alias w:val="选项模块:需要编制合并报表"/>
        <w:tag w:val="_GBC_f3d43b26b5d34a4c88db3cb7d81650cc"/>
        <w:id w:val="72556725"/>
        <w:lock w:val="sdtLocked"/>
        <w:placeholder>
          <w:docPart w:val="GBC22222222222222222222222222222"/>
        </w:placeholder>
      </w:sdtPr>
      <w:sdtEndPr>
        <w:rPr>
          <w:szCs w:val="21"/>
        </w:rPr>
      </w:sdtEndPr>
      <w:sdtContent>
        <w:sdt>
          <w:sdtPr>
            <w:rPr>
              <w:rFonts w:ascii="宋体" w:eastAsia="宋体" w:hAnsi="宋体" w:cs="宋体" w:hint="eastAsia"/>
              <w:b w:val="0"/>
              <w:bCs w:val="0"/>
              <w:kern w:val="0"/>
              <w:szCs w:val="24"/>
            </w:rPr>
            <w:tag w:val="_GBC_b84409e42f904bdab44813a972d54149"/>
            <w:id w:val="-1798365662"/>
            <w:lock w:val="sdtLocked"/>
            <w:placeholder>
              <w:docPart w:val="GBC22222222222222222222222222222"/>
            </w:placeholder>
          </w:sdtPr>
          <w:sdtEndPr>
            <w:rPr>
              <w:rFonts w:hint="default"/>
              <w:color w:val="008000"/>
              <w:szCs w:val="21"/>
              <w:u w:val="single"/>
            </w:rPr>
          </w:sdtEndPr>
          <w:sdtContent>
            <w:p w14:paraId="79BEB6BF" w14:textId="77777777" w:rsidR="00D21C1F" w:rsidRDefault="00A42880">
              <w:pPr>
                <w:pStyle w:val="94"/>
                <w:jc w:val="center"/>
                <w:rPr>
                  <w:rFonts w:ascii="宋体" w:hAnsi="宋体"/>
                </w:rPr>
              </w:pPr>
              <w:r>
                <w:rPr>
                  <w:rFonts w:ascii="宋体" w:hAnsi="宋体" w:hint="eastAsia"/>
                </w:rPr>
                <w:t>合并资产负债表</w:t>
              </w:r>
            </w:p>
            <w:p w14:paraId="2475A623" w14:textId="77777777" w:rsidR="00D21C1F" w:rsidRDefault="00A42880">
              <w:pPr>
                <w:snapToGrid w:val="0"/>
                <w:spacing w:line="240" w:lineRule="atLeast"/>
                <w:jc w:val="center"/>
                <w:rPr>
                  <w:b/>
                  <w:szCs w:val="21"/>
                </w:rPr>
              </w:pPr>
              <w:r>
                <w:rPr>
                  <w:rFonts w:ascii="Times New Roman" w:hAnsi="Times New Roman"/>
                  <w:szCs w:val="21"/>
                </w:rPr>
                <w:t>2021</w:t>
              </w:r>
              <w:r>
                <w:rPr>
                  <w:szCs w:val="21"/>
                </w:rPr>
                <w:t>年</w:t>
              </w:r>
              <w:r>
                <w:rPr>
                  <w:rFonts w:ascii="Times New Roman" w:hAnsi="Times New Roman"/>
                  <w:szCs w:val="21"/>
                </w:rPr>
                <w:t>6</w:t>
              </w:r>
              <w:r>
                <w:rPr>
                  <w:szCs w:val="21"/>
                </w:rPr>
                <w:t>月</w:t>
              </w:r>
              <w:r>
                <w:rPr>
                  <w:rFonts w:ascii="Times New Roman" w:hAnsi="Times New Roman"/>
                  <w:szCs w:val="21"/>
                </w:rPr>
                <w:t>30</w:t>
              </w:r>
              <w:r>
                <w:rPr>
                  <w:szCs w:val="21"/>
                </w:rPr>
                <w:t>日</w:t>
              </w:r>
            </w:p>
            <w:p w14:paraId="50736428" w14:textId="77777777" w:rsidR="00D21C1F" w:rsidRDefault="00A42880">
              <w:pPr>
                <w:rPr>
                  <w:szCs w:val="21"/>
                </w:rPr>
              </w:pPr>
              <w:r>
                <w:rPr>
                  <w:szCs w:val="21"/>
                </w:rPr>
                <w:t>编制单位:</w:t>
              </w:r>
              <w:sdt>
                <w:sdtPr>
                  <w:rPr>
                    <w:szCs w:val="21"/>
                  </w:rPr>
                  <w:alias w:val="公司法定中文名称"/>
                  <w:tag w:val="_GBC_76dae7aa62d842859c05c05e750163c2"/>
                  <w:id w:val="1544088481"/>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埃夫特智能装备股份有限公司</w:t>
                  </w:r>
                </w:sdtContent>
              </w:sdt>
            </w:p>
            <w:p w14:paraId="75D62B65" w14:textId="77777777" w:rsidR="00D21C1F" w:rsidRDefault="00A42880">
              <w:pPr>
                <w:jc w:val="right"/>
                <w:rPr>
                  <w:szCs w:val="21"/>
                </w:rPr>
              </w:pPr>
              <w:r>
                <w:rPr>
                  <w:szCs w:val="21"/>
                </w:rPr>
                <w:t>单位:</w:t>
              </w:r>
              <w:sdt>
                <w:sdtPr>
                  <w:rPr>
                    <w:szCs w:val="21"/>
                  </w:rPr>
                  <w:alias w:val="单位：合并资产负债表"/>
                  <w:tag w:val="_GBC_710dced47e5943589779e071c78c5512"/>
                  <w:id w:val="-2623078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合并资产负债表"/>
                  <w:tag w:val="_GBC_7e2679155b104d33ba04158c7414bcff"/>
                  <w:id w:val="-3390077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D21C1F" w14:paraId="5AE5B75F" w14:textId="77777777">
                <w:sdt>
                  <w:sdtPr>
                    <w:tag w:val="_PLD_1d3f74748a444e6ea0d191e81e54edca"/>
                    <w:id w:val="-998805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4BABDE" w14:textId="77777777" w:rsidR="00D21C1F" w:rsidRDefault="00A42880">
                        <w:pPr>
                          <w:jc w:val="center"/>
                          <w:rPr>
                            <w:b/>
                            <w:szCs w:val="21"/>
                          </w:rPr>
                        </w:pPr>
                        <w:r>
                          <w:rPr>
                            <w:b/>
                            <w:szCs w:val="21"/>
                          </w:rPr>
                          <w:t>项目</w:t>
                        </w:r>
                      </w:p>
                    </w:tc>
                  </w:sdtContent>
                </w:sdt>
                <w:sdt>
                  <w:sdtPr>
                    <w:tag w:val="_PLD_da216b439a53487e85f12225916c5563"/>
                    <w:id w:val="-2027927761"/>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560D25F5" w14:textId="77777777" w:rsidR="00D21C1F" w:rsidRDefault="00A42880">
                        <w:pPr>
                          <w:jc w:val="center"/>
                          <w:rPr>
                            <w:b/>
                            <w:szCs w:val="21"/>
                          </w:rPr>
                        </w:pPr>
                        <w:r>
                          <w:rPr>
                            <w:rFonts w:hint="eastAsia"/>
                            <w:b/>
                            <w:szCs w:val="21"/>
                          </w:rPr>
                          <w:t>附注</w:t>
                        </w:r>
                      </w:p>
                    </w:tc>
                  </w:sdtContent>
                </w:sdt>
                <w:sdt>
                  <w:sdtPr>
                    <w:tag w:val="_PLD_21df1d74f3114abf83688ef31bc4d9a7"/>
                    <w:id w:val="627207330"/>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51761EB1" w14:textId="77777777" w:rsidR="00D21C1F" w:rsidRDefault="00A42880">
                        <w:pPr>
                          <w:jc w:val="center"/>
                          <w:rPr>
                            <w:b/>
                            <w:szCs w:val="21"/>
                          </w:rPr>
                        </w:pPr>
                        <w:r>
                          <w:rPr>
                            <w:rFonts w:ascii="Times New Roman" w:hAnsi="Times New Roman" w:hint="eastAsia"/>
                            <w:b/>
                          </w:rPr>
                          <w:t>2021</w:t>
                        </w:r>
                        <w:r>
                          <w:rPr>
                            <w:rFonts w:hint="eastAsia"/>
                            <w:b/>
                          </w:rPr>
                          <w:t>年</w:t>
                        </w:r>
                        <w:r>
                          <w:rPr>
                            <w:rFonts w:ascii="Times New Roman" w:hAnsi="Times New Roman" w:hint="eastAsia"/>
                            <w:b/>
                          </w:rPr>
                          <w:t>6</w:t>
                        </w:r>
                        <w:r>
                          <w:rPr>
                            <w:rFonts w:hint="eastAsia"/>
                            <w:b/>
                          </w:rPr>
                          <w:t>月</w:t>
                        </w:r>
                        <w:r>
                          <w:rPr>
                            <w:rFonts w:ascii="Times New Roman" w:hAnsi="Times New Roman" w:hint="eastAsia"/>
                            <w:b/>
                          </w:rPr>
                          <w:t>30</w:t>
                        </w:r>
                        <w:r>
                          <w:rPr>
                            <w:rFonts w:hint="eastAsia"/>
                            <w:b/>
                          </w:rPr>
                          <w:t>日</w:t>
                        </w:r>
                      </w:p>
                    </w:tc>
                  </w:sdtContent>
                </w:sdt>
                <w:sdt>
                  <w:sdtPr>
                    <w:tag w:val="_PLD_d92c936206d34a64b4b2139999e7311b"/>
                    <w:id w:val="-779262431"/>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3B843B5A" w14:textId="77777777" w:rsidR="00D21C1F" w:rsidRDefault="00A42880">
                        <w:pPr>
                          <w:jc w:val="center"/>
                          <w:rPr>
                            <w:b/>
                            <w:szCs w:val="21"/>
                          </w:rPr>
                        </w:pPr>
                        <w:r>
                          <w:rPr>
                            <w:rFonts w:ascii="Times New Roman" w:hAnsi="Times New Roman" w:hint="eastAsia"/>
                            <w:b/>
                            <w:szCs w:val="21"/>
                          </w:rPr>
                          <w:t>2020</w:t>
                        </w:r>
                        <w:r>
                          <w:rPr>
                            <w:rFonts w:hint="eastAsia"/>
                            <w:b/>
                            <w:szCs w:val="21"/>
                          </w:rPr>
                          <w:t>年</w:t>
                        </w:r>
                        <w:r>
                          <w:rPr>
                            <w:rFonts w:ascii="Times New Roman" w:hAnsi="Times New Roman" w:hint="eastAsia"/>
                            <w:b/>
                            <w:szCs w:val="21"/>
                          </w:rPr>
                          <w:t>12</w:t>
                        </w:r>
                        <w:r>
                          <w:rPr>
                            <w:rFonts w:hint="eastAsia"/>
                            <w:b/>
                            <w:szCs w:val="21"/>
                          </w:rPr>
                          <w:t>月</w:t>
                        </w:r>
                        <w:r>
                          <w:rPr>
                            <w:rFonts w:ascii="Times New Roman" w:hAnsi="Times New Roman" w:hint="eastAsia"/>
                            <w:b/>
                            <w:szCs w:val="21"/>
                          </w:rPr>
                          <w:t>31</w:t>
                        </w:r>
                        <w:r>
                          <w:rPr>
                            <w:rFonts w:hint="eastAsia"/>
                            <w:b/>
                            <w:szCs w:val="21"/>
                          </w:rPr>
                          <w:t>日</w:t>
                        </w:r>
                      </w:p>
                    </w:tc>
                  </w:sdtContent>
                </w:sdt>
              </w:tr>
              <w:tr w:rsidR="00D21C1F" w14:paraId="59C5EB77" w14:textId="77777777">
                <w:sdt>
                  <w:sdtPr>
                    <w:tag w:val="_PLD_c47a329e79ad491ca413bdaf35b1f19b"/>
                    <w:id w:val="14623871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B8A2E2" w14:textId="77777777" w:rsidR="00D21C1F" w:rsidRDefault="00A42880">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14:paraId="7B4D9D1A" w14:textId="77777777" w:rsidR="00D21C1F" w:rsidRDefault="00D21C1F">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6B90E8F3" w14:textId="77777777" w:rsidR="00D21C1F" w:rsidRDefault="00D21C1F">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3145B1E2" w14:textId="77777777" w:rsidR="00D21C1F" w:rsidRDefault="00D21C1F">
                    <w:pPr>
                      <w:rPr>
                        <w:b/>
                        <w:color w:val="FF00FF"/>
                        <w:szCs w:val="21"/>
                      </w:rPr>
                    </w:pPr>
                  </w:p>
                </w:tc>
              </w:tr>
              <w:tr w:rsidR="00D21C1F" w14:paraId="4A4CA7EE" w14:textId="77777777">
                <w:sdt>
                  <w:sdtPr>
                    <w:tag w:val="_PLD_36a7056a6e314e22ba0fd39d033ba0ea"/>
                    <w:id w:val="-7875816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E70F32" w14:textId="77777777" w:rsidR="00D21C1F" w:rsidRDefault="00A42880">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733EB845" w14:textId="77777777" w:rsidR="00D21C1F" w:rsidRDefault="00A42880">
                    <w:pPr>
                      <w:rPr>
                        <w:rFonts w:ascii="Times New Roman" w:hAnsi="Times New Roman" w:cs="Times New Roman"/>
                        <w:szCs w:val="21"/>
                      </w:rPr>
                    </w:pPr>
                    <w:r>
                      <w:rPr>
                        <w:rFonts w:ascii="Times New Roman" w:hAnsi="Times New Roman" w:cs="Times New Roman"/>
                        <w:szCs w:val="21"/>
                      </w:rPr>
                      <w:t>七、</w:t>
                    </w:r>
                    <w:r>
                      <w:rPr>
                        <w:rFonts w:ascii="Times New Roman" w:hAnsi="Times New Roman" w:cs="Times New Roman"/>
                        <w:szCs w:val="21"/>
                      </w:rPr>
                      <w:t>1</w:t>
                    </w:r>
                  </w:p>
                </w:tc>
                <w:tc>
                  <w:tcPr>
                    <w:tcW w:w="1411" w:type="pct"/>
                    <w:tcBorders>
                      <w:top w:val="outset" w:sz="6" w:space="0" w:color="auto"/>
                      <w:left w:val="outset" w:sz="6" w:space="0" w:color="auto"/>
                      <w:bottom w:val="outset" w:sz="6" w:space="0" w:color="auto"/>
                      <w:right w:val="outset" w:sz="6" w:space="0" w:color="auto"/>
                    </w:tcBorders>
                    <w:vAlign w:val="center"/>
                  </w:tcPr>
                  <w:p w14:paraId="4830175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491,186,699.73</w:t>
                    </w:r>
                  </w:p>
                </w:tc>
                <w:tc>
                  <w:tcPr>
                    <w:tcW w:w="1333" w:type="pct"/>
                    <w:tcBorders>
                      <w:top w:val="outset" w:sz="6" w:space="0" w:color="auto"/>
                      <w:left w:val="outset" w:sz="6" w:space="0" w:color="auto"/>
                      <w:bottom w:val="outset" w:sz="6" w:space="0" w:color="auto"/>
                      <w:right w:val="outset" w:sz="6" w:space="0" w:color="auto"/>
                    </w:tcBorders>
                    <w:vAlign w:val="center"/>
                  </w:tcPr>
                  <w:p w14:paraId="77FD44F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335,988,568.50</w:t>
                    </w:r>
                  </w:p>
                </w:tc>
              </w:tr>
              <w:tr w:rsidR="00D21C1F" w14:paraId="40E001DB"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1511218998"/>
                      <w:lock w:val="sdtLocked"/>
                    </w:sdtPr>
                    <w:sdtEndPr/>
                    <w:sdtContent>
                      <w:p w14:paraId="6384DB25" w14:textId="77777777" w:rsidR="00D21C1F" w:rsidRDefault="00A42880">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7AD8006A" w14:textId="77777777" w:rsidR="00D21C1F" w:rsidRDefault="00A42880">
                    <w:pPr>
                      <w:rPr>
                        <w:szCs w:val="21"/>
                      </w:rPr>
                    </w:pPr>
                    <w:r>
                      <w:rPr>
                        <w:rFonts w:hint="eastAsia"/>
                        <w:szCs w:val="21"/>
                      </w:rPr>
                      <w:t>七、</w:t>
                    </w:r>
                    <w:r>
                      <w:rPr>
                        <w:rFonts w:ascii="Times New Roman" w:hAnsi="Times New Roman" w:hint="eastAsia"/>
                        <w:szCs w:val="21"/>
                      </w:rPr>
                      <w:t>2</w:t>
                    </w:r>
                  </w:p>
                </w:tc>
                <w:tc>
                  <w:tcPr>
                    <w:tcW w:w="1411" w:type="pct"/>
                    <w:tcBorders>
                      <w:top w:val="outset" w:sz="6" w:space="0" w:color="auto"/>
                      <w:left w:val="outset" w:sz="6" w:space="0" w:color="auto"/>
                      <w:bottom w:val="outset" w:sz="6" w:space="0" w:color="auto"/>
                      <w:right w:val="outset" w:sz="6" w:space="0" w:color="auto"/>
                    </w:tcBorders>
                    <w:vAlign w:val="center"/>
                  </w:tcPr>
                  <w:p w14:paraId="4B94EAE0"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437,294,586.35</w:t>
                    </w:r>
                  </w:p>
                </w:tc>
                <w:tc>
                  <w:tcPr>
                    <w:tcW w:w="1333" w:type="pct"/>
                    <w:tcBorders>
                      <w:top w:val="outset" w:sz="6" w:space="0" w:color="auto"/>
                      <w:left w:val="outset" w:sz="6" w:space="0" w:color="auto"/>
                      <w:bottom w:val="outset" w:sz="6" w:space="0" w:color="auto"/>
                      <w:right w:val="outset" w:sz="6" w:space="0" w:color="auto"/>
                    </w:tcBorders>
                    <w:vAlign w:val="center"/>
                  </w:tcPr>
                  <w:p w14:paraId="2B0383B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697,088,958.27</w:t>
                    </w:r>
                  </w:p>
                </w:tc>
              </w:tr>
              <w:tr w:rsidR="00D21C1F" w14:paraId="6F258C7A" w14:textId="77777777">
                <w:sdt>
                  <w:sdtPr>
                    <w:tag w:val="_PLD_b4275fbbd6c24380aaa849df8e4a5394"/>
                    <w:id w:val="19758660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CAC0D9" w14:textId="77777777" w:rsidR="00D21C1F" w:rsidRDefault="00A42880">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0D55275E" w14:textId="77777777" w:rsidR="00D21C1F" w:rsidRDefault="00A42880">
                    <w:pPr>
                      <w:rPr>
                        <w:szCs w:val="21"/>
                      </w:rPr>
                    </w:pPr>
                    <w:r>
                      <w:rPr>
                        <w:rFonts w:hint="eastAsia"/>
                      </w:rPr>
                      <w:t>七、</w:t>
                    </w:r>
                    <w:r>
                      <w:rPr>
                        <w:rFonts w:ascii="Times New Roman" w:hAnsi="Times New Roman" w:hint="eastAsia"/>
                      </w:rPr>
                      <w:t>4</w:t>
                    </w:r>
                  </w:p>
                </w:tc>
                <w:tc>
                  <w:tcPr>
                    <w:tcW w:w="1411" w:type="pct"/>
                    <w:tcBorders>
                      <w:top w:val="outset" w:sz="6" w:space="0" w:color="auto"/>
                      <w:left w:val="outset" w:sz="6" w:space="0" w:color="auto"/>
                      <w:bottom w:val="outset" w:sz="6" w:space="0" w:color="auto"/>
                      <w:right w:val="outset" w:sz="6" w:space="0" w:color="auto"/>
                    </w:tcBorders>
                    <w:vAlign w:val="center"/>
                  </w:tcPr>
                  <w:p w14:paraId="16D3EF2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54,994,679.45</w:t>
                    </w:r>
                  </w:p>
                </w:tc>
                <w:tc>
                  <w:tcPr>
                    <w:tcW w:w="1333" w:type="pct"/>
                    <w:tcBorders>
                      <w:top w:val="outset" w:sz="6" w:space="0" w:color="auto"/>
                      <w:left w:val="outset" w:sz="6" w:space="0" w:color="auto"/>
                      <w:bottom w:val="outset" w:sz="6" w:space="0" w:color="auto"/>
                      <w:right w:val="outset" w:sz="6" w:space="0" w:color="auto"/>
                    </w:tcBorders>
                    <w:vAlign w:val="center"/>
                  </w:tcPr>
                  <w:p w14:paraId="5B8A993C"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48,765,999.87</w:t>
                    </w:r>
                  </w:p>
                </w:tc>
              </w:tr>
              <w:tr w:rsidR="00D21C1F" w14:paraId="2DA49F59" w14:textId="77777777">
                <w:sdt>
                  <w:sdtPr>
                    <w:tag w:val="_PLD_916701d47616495dad873446e57f88f1"/>
                    <w:id w:val="18701740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8B23ED" w14:textId="77777777" w:rsidR="00D21C1F" w:rsidRDefault="00A42880">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0AEDFB77" w14:textId="77777777" w:rsidR="00D21C1F" w:rsidRDefault="00A42880">
                    <w:pPr>
                      <w:rPr>
                        <w:szCs w:val="21"/>
                      </w:rPr>
                    </w:pPr>
                    <w:r>
                      <w:rPr>
                        <w:rFonts w:hint="eastAsia"/>
                      </w:rPr>
                      <w:t>七、</w:t>
                    </w:r>
                    <w:r>
                      <w:rPr>
                        <w:rFonts w:ascii="Times New Roman" w:hAnsi="Times New Roman" w:hint="eastAsia"/>
                      </w:rPr>
                      <w:t>5</w:t>
                    </w:r>
                  </w:p>
                </w:tc>
                <w:tc>
                  <w:tcPr>
                    <w:tcW w:w="1411" w:type="pct"/>
                    <w:tcBorders>
                      <w:top w:val="outset" w:sz="6" w:space="0" w:color="auto"/>
                      <w:left w:val="outset" w:sz="6" w:space="0" w:color="auto"/>
                      <w:bottom w:val="outset" w:sz="6" w:space="0" w:color="auto"/>
                      <w:right w:val="outset" w:sz="6" w:space="0" w:color="auto"/>
                    </w:tcBorders>
                    <w:vAlign w:val="center"/>
                  </w:tcPr>
                  <w:p w14:paraId="66D4B8D4"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483,977,682.55</w:t>
                    </w:r>
                  </w:p>
                </w:tc>
                <w:tc>
                  <w:tcPr>
                    <w:tcW w:w="1333" w:type="pct"/>
                    <w:tcBorders>
                      <w:top w:val="outset" w:sz="6" w:space="0" w:color="auto"/>
                      <w:left w:val="outset" w:sz="6" w:space="0" w:color="auto"/>
                      <w:bottom w:val="outset" w:sz="6" w:space="0" w:color="auto"/>
                      <w:right w:val="outset" w:sz="6" w:space="0" w:color="auto"/>
                    </w:tcBorders>
                    <w:vAlign w:val="center"/>
                  </w:tcPr>
                  <w:p w14:paraId="09C38A7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526,900,652.76</w:t>
                    </w:r>
                  </w:p>
                </w:tc>
              </w:tr>
              <w:tr w:rsidR="00D21C1F" w14:paraId="2B7F3C1A"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85046907"/>
                      <w:lock w:val="sdtLocked"/>
                    </w:sdtPr>
                    <w:sdtEndPr/>
                    <w:sdtContent>
                      <w:p w14:paraId="1F81ED2E" w14:textId="77777777" w:rsidR="00D21C1F" w:rsidRDefault="00A42880">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5674BB00" w14:textId="77777777" w:rsidR="00D21C1F" w:rsidRDefault="00A42880">
                    <w:pPr>
                      <w:rPr>
                        <w:szCs w:val="21"/>
                      </w:rPr>
                    </w:pPr>
                    <w:r>
                      <w:rPr>
                        <w:rFonts w:hint="eastAsia"/>
                      </w:rPr>
                      <w:t>七、</w:t>
                    </w:r>
                    <w:r>
                      <w:rPr>
                        <w:rFonts w:ascii="Times New Roman" w:hAnsi="Times New Roman" w:hint="eastAsia"/>
                      </w:rPr>
                      <w:t>6</w:t>
                    </w:r>
                  </w:p>
                </w:tc>
                <w:tc>
                  <w:tcPr>
                    <w:tcW w:w="1411" w:type="pct"/>
                    <w:tcBorders>
                      <w:top w:val="outset" w:sz="6" w:space="0" w:color="auto"/>
                      <w:left w:val="outset" w:sz="6" w:space="0" w:color="auto"/>
                      <w:bottom w:val="outset" w:sz="6" w:space="0" w:color="auto"/>
                      <w:right w:val="outset" w:sz="6" w:space="0" w:color="auto"/>
                    </w:tcBorders>
                    <w:vAlign w:val="center"/>
                  </w:tcPr>
                  <w:p w14:paraId="5736DF2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33,311,267.79</w:t>
                    </w:r>
                  </w:p>
                </w:tc>
                <w:tc>
                  <w:tcPr>
                    <w:tcW w:w="1333" w:type="pct"/>
                    <w:tcBorders>
                      <w:top w:val="outset" w:sz="6" w:space="0" w:color="auto"/>
                      <w:left w:val="outset" w:sz="6" w:space="0" w:color="auto"/>
                      <w:bottom w:val="outset" w:sz="6" w:space="0" w:color="auto"/>
                      <w:right w:val="outset" w:sz="6" w:space="0" w:color="auto"/>
                    </w:tcBorders>
                    <w:vAlign w:val="center"/>
                  </w:tcPr>
                  <w:p w14:paraId="6F1C4B3C"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18,052,511.60</w:t>
                    </w:r>
                  </w:p>
                </w:tc>
              </w:tr>
              <w:tr w:rsidR="00D21C1F" w14:paraId="2AC9227F" w14:textId="77777777">
                <w:sdt>
                  <w:sdtPr>
                    <w:tag w:val="_PLD_eff32a719f7a407f8e2bd0fc67579696"/>
                    <w:id w:val="6396178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317C4C" w14:textId="77777777" w:rsidR="00D21C1F" w:rsidRDefault="00A42880">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447A5B0E" w14:textId="77777777" w:rsidR="00D21C1F" w:rsidRDefault="00A42880">
                    <w:pPr>
                      <w:rPr>
                        <w:szCs w:val="21"/>
                      </w:rPr>
                    </w:pPr>
                    <w:r>
                      <w:rPr>
                        <w:rFonts w:hint="eastAsia"/>
                      </w:rPr>
                      <w:t>七、</w:t>
                    </w:r>
                    <w:r>
                      <w:rPr>
                        <w:rFonts w:ascii="Times New Roman" w:hAnsi="Times New Roman" w:hint="eastAsia"/>
                      </w:rPr>
                      <w:t>7</w:t>
                    </w:r>
                  </w:p>
                </w:tc>
                <w:tc>
                  <w:tcPr>
                    <w:tcW w:w="1411" w:type="pct"/>
                    <w:tcBorders>
                      <w:top w:val="outset" w:sz="6" w:space="0" w:color="auto"/>
                      <w:left w:val="outset" w:sz="6" w:space="0" w:color="auto"/>
                      <w:bottom w:val="outset" w:sz="6" w:space="0" w:color="auto"/>
                      <w:right w:val="outset" w:sz="6" w:space="0" w:color="auto"/>
                    </w:tcBorders>
                    <w:vAlign w:val="center"/>
                  </w:tcPr>
                  <w:p w14:paraId="2504140F"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66,688,305.91</w:t>
                    </w:r>
                  </w:p>
                </w:tc>
                <w:tc>
                  <w:tcPr>
                    <w:tcW w:w="1333" w:type="pct"/>
                    <w:tcBorders>
                      <w:top w:val="outset" w:sz="6" w:space="0" w:color="auto"/>
                      <w:left w:val="outset" w:sz="6" w:space="0" w:color="auto"/>
                      <w:bottom w:val="outset" w:sz="6" w:space="0" w:color="auto"/>
                      <w:right w:val="outset" w:sz="6" w:space="0" w:color="auto"/>
                    </w:tcBorders>
                    <w:vAlign w:val="center"/>
                  </w:tcPr>
                  <w:p w14:paraId="28825379"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56,684,087.46</w:t>
                    </w:r>
                  </w:p>
                </w:tc>
              </w:tr>
              <w:tr w:rsidR="00D21C1F" w14:paraId="6418195A" w14:textId="77777777">
                <w:sdt>
                  <w:sdtPr>
                    <w:tag w:val="_PLD_14b6c1004ee94e9c86f6872629ce8ec5"/>
                    <w:id w:val="15706860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8F82D6" w14:textId="77777777" w:rsidR="00D21C1F" w:rsidRDefault="00A42880">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719B3517" w14:textId="77777777" w:rsidR="00D21C1F" w:rsidRDefault="00A42880">
                    <w:pPr>
                      <w:rPr>
                        <w:szCs w:val="21"/>
                      </w:rPr>
                    </w:pPr>
                    <w:r>
                      <w:rPr>
                        <w:rFonts w:hint="eastAsia"/>
                        <w:szCs w:val="21"/>
                      </w:rPr>
                      <w:t>七、</w:t>
                    </w:r>
                    <w:r>
                      <w:rPr>
                        <w:rFonts w:ascii="Times New Roman" w:hAnsi="Times New Roman" w:hint="eastAsia"/>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14:paraId="6A509C07"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29,372,172.19</w:t>
                    </w:r>
                  </w:p>
                </w:tc>
                <w:tc>
                  <w:tcPr>
                    <w:tcW w:w="1333" w:type="pct"/>
                    <w:tcBorders>
                      <w:top w:val="outset" w:sz="6" w:space="0" w:color="auto"/>
                      <w:left w:val="outset" w:sz="6" w:space="0" w:color="auto"/>
                      <w:bottom w:val="outset" w:sz="6" w:space="0" w:color="auto"/>
                      <w:right w:val="outset" w:sz="6" w:space="0" w:color="auto"/>
                    </w:tcBorders>
                    <w:vAlign w:val="center"/>
                  </w:tcPr>
                  <w:p w14:paraId="317EAF4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34,422,657.91</w:t>
                    </w:r>
                  </w:p>
                </w:tc>
              </w:tr>
              <w:tr w:rsidR="00D21C1F" w14:paraId="1252AF70" w14:textId="77777777">
                <w:sdt>
                  <w:sdtPr>
                    <w:tag w:val="_PLD_f7b8b5cf09f34b18bdaa893a720147a3"/>
                    <w:id w:val="-19402140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917F9E" w14:textId="77777777" w:rsidR="00D21C1F" w:rsidRDefault="00A42880">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67D995C8"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153FB24"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151,823.15</w:t>
                    </w:r>
                  </w:p>
                </w:tc>
                <w:tc>
                  <w:tcPr>
                    <w:tcW w:w="1333" w:type="pct"/>
                    <w:tcBorders>
                      <w:top w:val="outset" w:sz="6" w:space="0" w:color="auto"/>
                      <w:left w:val="outset" w:sz="6" w:space="0" w:color="auto"/>
                      <w:bottom w:val="outset" w:sz="6" w:space="0" w:color="auto"/>
                      <w:right w:val="outset" w:sz="6" w:space="0" w:color="auto"/>
                    </w:tcBorders>
                    <w:vAlign w:val="center"/>
                  </w:tcPr>
                  <w:p w14:paraId="2DD6539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21,705.54</w:t>
                    </w:r>
                  </w:p>
                </w:tc>
              </w:tr>
              <w:tr w:rsidR="00D21C1F" w14:paraId="7CB63E0D" w14:textId="77777777">
                <w:sdt>
                  <w:sdtPr>
                    <w:tag w:val="_PLD_4d3fdbd13bd44399aedfc802cf2f5e84"/>
                    <w:id w:val="3536910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2129C4" w14:textId="77777777" w:rsidR="00D21C1F" w:rsidRDefault="00A42880">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584C0205"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F64E08" w14:textId="31C4349F" w:rsidR="00D21C1F" w:rsidRPr="008A62E6" w:rsidRDefault="00501D99">
                    <w:pPr>
                      <w:jc w:val="right"/>
                      <w:rPr>
                        <w:rFonts w:ascii="Times New Roman" w:hAnsi="Times New Roman" w:cs="Times New Roman"/>
                        <w:szCs w:val="21"/>
                      </w:rPr>
                    </w:pPr>
                    <w:r w:rsidRPr="008A62E6">
                      <w:rPr>
                        <w:rFonts w:ascii="Times New Roman" w:hAnsi="Times New Roman" w:cs="Times New Roman"/>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14:paraId="621C8F67" w14:textId="4F237880" w:rsidR="00D21C1F" w:rsidRPr="008A62E6" w:rsidRDefault="00501D99">
                    <w:pPr>
                      <w:jc w:val="right"/>
                      <w:rPr>
                        <w:rFonts w:ascii="Times New Roman" w:hAnsi="Times New Roman" w:cs="Times New Roman"/>
                        <w:szCs w:val="21"/>
                      </w:rPr>
                    </w:pPr>
                    <w:r w:rsidRPr="008A62E6">
                      <w:rPr>
                        <w:rFonts w:ascii="Times New Roman" w:hAnsi="Times New Roman" w:cs="Times New Roman"/>
                        <w:szCs w:val="21"/>
                      </w:rPr>
                      <w:t>-</w:t>
                    </w:r>
                  </w:p>
                </w:tc>
              </w:tr>
              <w:tr w:rsidR="00D21C1F" w14:paraId="0AA4E278" w14:textId="77777777">
                <w:sdt>
                  <w:sdtPr>
                    <w:tag w:val="_PLD_0967af437eee4294b4f611b5abd91937"/>
                    <w:id w:val="-4749831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B5E8D56" w14:textId="77777777" w:rsidR="00D21C1F" w:rsidRDefault="00A42880">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25611029" w14:textId="77777777" w:rsidR="00D21C1F" w:rsidRDefault="00A42880">
                    <w:pPr>
                      <w:rPr>
                        <w:szCs w:val="21"/>
                      </w:rPr>
                    </w:pPr>
                    <w:r>
                      <w:rPr>
                        <w:rFonts w:hint="eastAsia"/>
                      </w:rPr>
                      <w:t>七、</w:t>
                    </w:r>
                    <w:r>
                      <w:rPr>
                        <w:rFonts w:ascii="Times New Roman" w:hAnsi="Times New Roman"/>
                      </w:rPr>
                      <w:t>9</w:t>
                    </w:r>
                  </w:p>
                </w:tc>
                <w:tc>
                  <w:tcPr>
                    <w:tcW w:w="1411" w:type="pct"/>
                    <w:tcBorders>
                      <w:top w:val="outset" w:sz="6" w:space="0" w:color="auto"/>
                      <w:left w:val="outset" w:sz="6" w:space="0" w:color="auto"/>
                      <w:bottom w:val="outset" w:sz="6" w:space="0" w:color="auto"/>
                      <w:right w:val="outset" w:sz="6" w:space="0" w:color="auto"/>
                    </w:tcBorders>
                    <w:vAlign w:val="center"/>
                  </w:tcPr>
                  <w:p w14:paraId="17B5A860"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236,406,282.08</w:t>
                    </w:r>
                  </w:p>
                </w:tc>
                <w:tc>
                  <w:tcPr>
                    <w:tcW w:w="1333" w:type="pct"/>
                    <w:tcBorders>
                      <w:top w:val="outset" w:sz="6" w:space="0" w:color="auto"/>
                      <w:left w:val="outset" w:sz="6" w:space="0" w:color="auto"/>
                      <w:bottom w:val="outset" w:sz="6" w:space="0" w:color="auto"/>
                      <w:right w:val="outset" w:sz="6" w:space="0" w:color="auto"/>
                    </w:tcBorders>
                    <w:vAlign w:val="center"/>
                  </w:tcPr>
                  <w:p w14:paraId="2F09162F"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162,334,973.29</w:t>
                    </w:r>
                  </w:p>
                </w:tc>
              </w:tr>
              <w:tr w:rsidR="00D21C1F" w14:paraId="2F92B817"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1639188421"/>
                      <w:lock w:val="sdtLocked"/>
                    </w:sdtPr>
                    <w:sdtEndPr/>
                    <w:sdtContent>
                      <w:p w14:paraId="7290BD74" w14:textId="77777777" w:rsidR="00D21C1F" w:rsidRDefault="00A42880">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35C0FD42" w14:textId="77777777" w:rsidR="00D21C1F" w:rsidRDefault="00A42880">
                    <w:pPr>
                      <w:rPr>
                        <w:szCs w:val="21"/>
                      </w:rPr>
                    </w:pPr>
                    <w:r>
                      <w:rPr>
                        <w:rFonts w:hint="eastAsia"/>
                      </w:rPr>
                      <w:t>七、</w:t>
                    </w:r>
                    <w:r>
                      <w:rPr>
                        <w:rFonts w:ascii="Times New Roman" w:hAnsi="Times New Roman"/>
                      </w:rPr>
                      <w:t>10</w:t>
                    </w:r>
                  </w:p>
                </w:tc>
                <w:tc>
                  <w:tcPr>
                    <w:tcW w:w="1411" w:type="pct"/>
                    <w:tcBorders>
                      <w:top w:val="outset" w:sz="6" w:space="0" w:color="auto"/>
                      <w:left w:val="outset" w:sz="6" w:space="0" w:color="auto"/>
                      <w:bottom w:val="outset" w:sz="6" w:space="0" w:color="auto"/>
                      <w:right w:val="outset" w:sz="6" w:space="0" w:color="auto"/>
                    </w:tcBorders>
                    <w:vAlign w:val="center"/>
                  </w:tcPr>
                  <w:p w14:paraId="47C09907"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320,652,226.52</w:t>
                    </w:r>
                  </w:p>
                </w:tc>
                <w:tc>
                  <w:tcPr>
                    <w:tcW w:w="1333" w:type="pct"/>
                    <w:tcBorders>
                      <w:top w:val="outset" w:sz="6" w:space="0" w:color="auto"/>
                      <w:left w:val="outset" w:sz="6" w:space="0" w:color="auto"/>
                      <w:bottom w:val="outset" w:sz="6" w:space="0" w:color="auto"/>
                      <w:right w:val="outset" w:sz="6" w:space="0" w:color="auto"/>
                    </w:tcBorders>
                    <w:vAlign w:val="center"/>
                  </w:tcPr>
                  <w:p w14:paraId="42BB896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289,909,079.18</w:t>
                    </w:r>
                  </w:p>
                </w:tc>
              </w:tr>
              <w:tr w:rsidR="00D21C1F" w14:paraId="3F174A44" w14:textId="77777777">
                <w:sdt>
                  <w:sdtPr>
                    <w:tag w:val="_PLD_59111301b0474503970c30d14c6c16c1"/>
                    <w:id w:val="5205151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77DE08" w14:textId="77777777" w:rsidR="00D21C1F" w:rsidRDefault="00A42880">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488DB166" w14:textId="77777777" w:rsidR="00D21C1F" w:rsidRDefault="00A42880">
                    <w:pPr>
                      <w:rPr>
                        <w:szCs w:val="21"/>
                      </w:rPr>
                    </w:pPr>
                    <w:r>
                      <w:rPr>
                        <w:rFonts w:hint="eastAsia"/>
                        <w:szCs w:val="21"/>
                      </w:rPr>
                      <w:t>七、</w:t>
                    </w:r>
                    <w:r>
                      <w:rPr>
                        <w:rFonts w:ascii="Times New Roman" w:hAnsi="Times New Roman"/>
                        <w:szCs w:val="21"/>
                      </w:rPr>
                      <w:t>13</w:t>
                    </w:r>
                  </w:p>
                </w:tc>
                <w:tc>
                  <w:tcPr>
                    <w:tcW w:w="1411" w:type="pct"/>
                    <w:tcBorders>
                      <w:top w:val="outset" w:sz="6" w:space="0" w:color="auto"/>
                      <w:left w:val="outset" w:sz="6" w:space="0" w:color="auto"/>
                      <w:bottom w:val="outset" w:sz="6" w:space="0" w:color="auto"/>
                      <w:right w:val="outset" w:sz="6" w:space="0" w:color="auto"/>
                    </w:tcBorders>
                    <w:vAlign w:val="center"/>
                  </w:tcPr>
                  <w:p w14:paraId="7EDB7463"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79,225,150.92</w:t>
                    </w:r>
                  </w:p>
                </w:tc>
                <w:tc>
                  <w:tcPr>
                    <w:tcW w:w="1333" w:type="pct"/>
                    <w:tcBorders>
                      <w:top w:val="outset" w:sz="6" w:space="0" w:color="auto"/>
                      <w:left w:val="outset" w:sz="6" w:space="0" w:color="auto"/>
                      <w:bottom w:val="outset" w:sz="6" w:space="0" w:color="auto"/>
                      <w:right w:val="outset" w:sz="6" w:space="0" w:color="auto"/>
                    </w:tcBorders>
                    <w:vAlign w:val="center"/>
                  </w:tcPr>
                  <w:p w14:paraId="440CEE1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67,993,756.66</w:t>
                    </w:r>
                  </w:p>
                </w:tc>
              </w:tr>
              <w:tr w:rsidR="00D21C1F" w14:paraId="2FB77D48" w14:textId="77777777">
                <w:sdt>
                  <w:sdtPr>
                    <w:tag w:val="_PLD_e89c5fc1115a4751868d93f96af78d12"/>
                    <w:id w:val="7502408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88DEFA" w14:textId="77777777" w:rsidR="00D21C1F" w:rsidRDefault="00A42880">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CDF1993"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5E506E1"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2,233,109,053.49</w:t>
                    </w:r>
                  </w:p>
                </w:tc>
                <w:tc>
                  <w:tcPr>
                    <w:tcW w:w="1333" w:type="pct"/>
                    <w:tcBorders>
                      <w:top w:val="outset" w:sz="6" w:space="0" w:color="auto"/>
                      <w:left w:val="outset" w:sz="6" w:space="0" w:color="auto"/>
                      <w:bottom w:val="outset" w:sz="6" w:space="0" w:color="auto"/>
                      <w:right w:val="outset" w:sz="6" w:space="0" w:color="auto"/>
                    </w:tcBorders>
                    <w:vAlign w:val="center"/>
                  </w:tcPr>
                  <w:p w14:paraId="5E459D7C"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2,238,141,245.50</w:t>
                    </w:r>
                  </w:p>
                </w:tc>
              </w:tr>
              <w:tr w:rsidR="00D21C1F" w14:paraId="424D777F" w14:textId="77777777">
                <w:sdt>
                  <w:sdtPr>
                    <w:tag w:val="_PLD_66ac6acc14e74939b5cc43190a3afd2b"/>
                    <w:id w:val="10498812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4E07D4" w14:textId="77777777" w:rsidR="00D21C1F" w:rsidRDefault="00A42880">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58F0D3C" w14:textId="77777777" w:rsidR="00D21C1F" w:rsidRDefault="00D21C1F">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14:paraId="7BFB79A1" w14:textId="77777777" w:rsidR="00D21C1F" w:rsidRPr="008A62E6" w:rsidRDefault="00D21C1F">
                    <w:pPr>
                      <w:rPr>
                        <w:rFonts w:ascii="Times New Roman" w:hAnsi="Times New Roman" w:cs="Times New Roman"/>
                        <w:color w:val="008000"/>
                        <w:szCs w:val="21"/>
                      </w:rPr>
                    </w:pPr>
                  </w:p>
                </w:tc>
                <w:tc>
                  <w:tcPr>
                    <w:tcW w:w="1333" w:type="pct"/>
                    <w:tcBorders>
                      <w:top w:val="outset" w:sz="6" w:space="0" w:color="auto"/>
                      <w:left w:val="outset" w:sz="6" w:space="0" w:color="auto"/>
                      <w:bottom w:val="outset" w:sz="6" w:space="0" w:color="auto"/>
                      <w:right w:val="outset" w:sz="6" w:space="0" w:color="auto"/>
                    </w:tcBorders>
                  </w:tcPr>
                  <w:p w14:paraId="79761696" w14:textId="77777777" w:rsidR="00D21C1F" w:rsidRPr="008A62E6" w:rsidRDefault="00D21C1F">
                    <w:pPr>
                      <w:rPr>
                        <w:rFonts w:ascii="Times New Roman" w:hAnsi="Times New Roman" w:cs="Times New Roman"/>
                        <w:color w:val="008000"/>
                        <w:szCs w:val="21"/>
                      </w:rPr>
                    </w:pPr>
                  </w:p>
                </w:tc>
              </w:tr>
              <w:tr w:rsidR="00D21C1F" w14:paraId="1D5B4C58" w14:textId="77777777">
                <w:sdt>
                  <w:sdtPr>
                    <w:tag w:val="_PLD_a03693997f484cfcaa912b0e71d5709d"/>
                    <w:id w:val="-7785616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11E785" w14:textId="77777777" w:rsidR="00D21C1F" w:rsidRDefault="00A42880">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54EB8A18" w14:textId="77777777" w:rsidR="00D21C1F" w:rsidRDefault="00A42880">
                    <w:pPr>
                      <w:rPr>
                        <w:szCs w:val="21"/>
                      </w:rPr>
                    </w:pPr>
                    <w:r>
                      <w:rPr>
                        <w:rFonts w:hint="eastAsia"/>
                      </w:rPr>
                      <w:t>七、</w:t>
                    </w:r>
                    <w:r>
                      <w:rPr>
                        <w:rFonts w:ascii="Times New Roman" w:hAnsi="Times New Roman"/>
                      </w:rPr>
                      <w:t>17</w:t>
                    </w:r>
                  </w:p>
                </w:tc>
                <w:tc>
                  <w:tcPr>
                    <w:tcW w:w="1411" w:type="pct"/>
                    <w:tcBorders>
                      <w:top w:val="outset" w:sz="6" w:space="0" w:color="auto"/>
                      <w:left w:val="outset" w:sz="6" w:space="0" w:color="auto"/>
                      <w:bottom w:val="outset" w:sz="6" w:space="0" w:color="auto"/>
                      <w:right w:val="outset" w:sz="6" w:space="0" w:color="auto"/>
                    </w:tcBorders>
                    <w:vAlign w:val="center"/>
                  </w:tcPr>
                  <w:p w14:paraId="6B1D9E1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49,906,309.07</w:t>
                    </w:r>
                  </w:p>
                </w:tc>
                <w:tc>
                  <w:tcPr>
                    <w:tcW w:w="1333" w:type="pct"/>
                    <w:tcBorders>
                      <w:top w:val="outset" w:sz="6" w:space="0" w:color="auto"/>
                      <w:left w:val="outset" w:sz="6" w:space="0" w:color="auto"/>
                      <w:bottom w:val="outset" w:sz="6" w:space="0" w:color="auto"/>
                      <w:right w:val="outset" w:sz="6" w:space="0" w:color="auto"/>
                    </w:tcBorders>
                    <w:vAlign w:val="center"/>
                  </w:tcPr>
                  <w:p w14:paraId="6A46133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44,290,058.79</w:t>
                    </w:r>
                  </w:p>
                </w:tc>
              </w:tr>
              <w:tr w:rsidR="00D21C1F" w14:paraId="77E84A17"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943691336"/>
                      <w:lock w:val="sdtLocked"/>
                    </w:sdtPr>
                    <w:sdtEndPr/>
                    <w:sdtContent>
                      <w:p w14:paraId="528C8404" w14:textId="77777777" w:rsidR="00D21C1F" w:rsidRDefault="00A42880">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73B16232" w14:textId="77777777" w:rsidR="00D21C1F" w:rsidRDefault="00A42880">
                    <w:pPr>
                      <w:rPr>
                        <w:szCs w:val="21"/>
                      </w:rPr>
                    </w:pPr>
                    <w:r>
                      <w:rPr>
                        <w:rFonts w:hint="eastAsia"/>
                      </w:rPr>
                      <w:t>七、</w:t>
                    </w:r>
                    <w:r>
                      <w:rPr>
                        <w:rFonts w:ascii="Times New Roman" w:hAnsi="Times New Roman"/>
                      </w:rPr>
                      <w:t>18</w:t>
                    </w:r>
                  </w:p>
                </w:tc>
                <w:tc>
                  <w:tcPr>
                    <w:tcW w:w="1411" w:type="pct"/>
                    <w:tcBorders>
                      <w:top w:val="outset" w:sz="6" w:space="0" w:color="auto"/>
                      <w:left w:val="outset" w:sz="6" w:space="0" w:color="auto"/>
                      <w:bottom w:val="outset" w:sz="6" w:space="0" w:color="auto"/>
                      <w:right w:val="outset" w:sz="6" w:space="0" w:color="auto"/>
                    </w:tcBorders>
                    <w:vAlign w:val="center"/>
                  </w:tcPr>
                  <w:p w14:paraId="771102B6"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12,500,000.00</w:t>
                    </w:r>
                  </w:p>
                </w:tc>
                <w:tc>
                  <w:tcPr>
                    <w:tcW w:w="1333" w:type="pct"/>
                    <w:tcBorders>
                      <w:top w:val="outset" w:sz="6" w:space="0" w:color="auto"/>
                      <w:left w:val="outset" w:sz="6" w:space="0" w:color="auto"/>
                      <w:bottom w:val="outset" w:sz="6" w:space="0" w:color="auto"/>
                      <w:right w:val="outset" w:sz="6" w:space="0" w:color="auto"/>
                    </w:tcBorders>
                    <w:vAlign w:val="center"/>
                  </w:tcPr>
                  <w:p w14:paraId="62A1E55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10,000,000.00</w:t>
                    </w:r>
                  </w:p>
                </w:tc>
              </w:tr>
              <w:tr w:rsidR="00D21C1F" w14:paraId="57D0726A" w14:textId="77777777">
                <w:sdt>
                  <w:sdtPr>
                    <w:tag w:val="_PLD_ea85d42312a14428bf960d1d9ac28904"/>
                    <w:id w:val="-3191207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F12605" w14:textId="77777777" w:rsidR="00D21C1F" w:rsidRDefault="00A42880">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684C5033" w14:textId="77777777" w:rsidR="00D21C1F" w:rsidRDefault="00A42880">
                    <w:pPr>
                      <w:rPr>
                        <w:szCs w:val="21"/>
                      </w:rPr>
                    </w:pPr>
                    <w:r>
                      <w:rPr>
                        <w:rFonts w:hint="eastAsia"/>
                      </w:rPr>
                      <w:t>七、</w:t>
                    </w:r>
                    <w:r>
                      <w:rPr>
                        <w:rFonts w:ascii="Times New Roman" w:hAnsi="Times New Roman" w:hint="eastAsia"/>
                      </w:rPr>
                      <w:t>2</w:t>
                    </w:r>
                    <w:r>
                      <w:rPr>
                        <w:rFonts w:ascii="Times New Roman" w:hAnsi="Times New Roman"/>
                      </w:rPr>
                      <w:t>1</w:t>
                    </w:r>
                  </w:p>
                </w:tc>
                <w:tc>
                  <w:tcPr>
                    <w:tcW w:w="1411" w:type="pct"/>
                    <w:tcBorders>
                      <w:top w:val="outset" w:sz="6" w:space="0" w:color="auto"/>
                      <w:left w:val="outset" w:sz="6" w:space="0" w:color="auto"/>
                      <w:bottom w:val="outset" w:sz="6" w:space="0" w:color="auto"/>
                      <w:right w:val="outset" w:sz="6" w:space="0" w:color="auto"/>
                    </w:tcBorders>
                    <w:vAlign w:val="center"/>
                  </w:tcPr>
                  <w:p w14:paraId="52ADB22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267,827,087.29</w:t>
                    </w:r>
                  </w:p>
                </w:tc>
                <w:tc>
                  <w:tcPr>
                    <w:tcW w:w="1333" w:type="pct"/>
                    <w:tcBorders>
                      <w:top w:val="outset" w:sz="6" w:space="0" w:color="auto"/>
                      <w:left w:val="outset" w:sz="6" w:space="0" w:color="auto"/>
                      <w:bottom w:val="outset" w:sz="6" w:space="0" w:color="auto"/>
                      <w:right w:val="outset" w:sz="6" w:space="0" w:color="auto"/>
                    </w:tcBorders>
                    <w:vAlign w:val="center"/>
                  </w:tcPr>
                  <w:p w14:paraId="6C998000"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279,101,262.68</w:t>
                    </w:r>
                  </w:p>
                </w:tc>
              </w:tr>
              <w:tr w:rsidR="00D21C1F" w14:paraId="788E6982" w14:textId="77777777">
                <w:sdt>
                  <w:sdtPr>
                    <w:tag w:val="_PLD_6572a20e6bfc4146a00336e842a92a6c"/>
                    <w:id w:val="-4496295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C2346E" w14:textId="77777777" w:rsidR="00D21C1F" w:rsidRDefault="00A42880">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1F625DB1" w14:textId="77777777" w:rsidR="00D21C1F" w:rsidRDefault="00A42880">
                    <w:pPr>
                      <w:rPr>
                        <w:szCs w:val="21"/>
                      </w:rPr>
                    </w:pPr>
                    <w:r>
                      <w:rPr>
                        <w:rFonts w:hint="eastAsia"/>
                      </w:rPr>
                      <w:t>七、</w:t>
                    </w:r>
                    <w:r>
                      <w:rPr>
                        <w:rFonts w:ascii="Times New Roman" w:hAnsi="Times New Roman" w:hint="eastAsia"/>
                      </w:rPr>
                      <w:t>2</w:t>
                    </w:r>
                    <w:r>
                      <w:rPr>
                        <w:rFonts w:ascii="Times New Roman" w:hAnsi="Times New Roman"/>
                      </w:rPr>
                      <w:t>2</w:t>
                    </w:r>
                  </w:p>
                </w:tc>
                <w:tc>
                  <w:tcPr>
                    <w:tcW w:w="1411" w:type="pct"/>
                    <w:tcBorders>
                      <w:top w:val="outset" w:sz="6" w:space="0" w:color="auto"/>
                      <w:left w:val="outset" w:sz="6" w:space="0" w:color="auto"/>
                      <w:bottom w:val="outset" w:sz="6" w:space="0" w:color="auto"/>
                      <w:right w:val="outset" w:sz="6" w:space="0" w:color="auto"/>
                    </w:tcBorders>
                    <w:vAlign w:val="center"/>
                  </w:tcPr>
                  <w:p w14:paraId="1BB1215A"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4,233,928.02</w:t>
                    </w:r>
                  </w:p>
                </w:tc>
                <w:tc>
                  <w:tcPr>
                    <w:tcW w:w="1333" w:type="pct"/>
                    <w:tcBorders>
                      <w:top w:val="outset" w:sz="6" w:space="0" w:color="auto"/>
                      <w:left w:val="outset" w:sz="6" w:space="0" w:color="auto"/>
                      <w:bottom w:val="outset" w:sz="6" w:space="0" w:color="auto"/>
                      <w:right w:val="outset" w:sz="6" w:space="0" w:color="auto"/>
                    </w:tcBorders>
                    <w:vAlign w:val="center"/>
                  </w:tcPr>
                  <w:p w14:paraId="7559293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1,566,154.69</w:t>
                    </w:r>
                  </w:p>
                </w:tc>
              </w:tr>
              <w:tr w:rsidR="00D21C1F" w14:paraId="252D32D5"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1528907046"/>
                      <w:lock w:val="sdtLocked"/>
                    </w:sdtPr>
                    <w:sdtEndPr/>
                    <w:sdtContent>
                      <w:p w14:paraId="2C9CFB70" w14:textId="77777777" w:rsidR="00D21C1F" w:rsidRDefault="00A42880">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1D66B0DC" w14:textId="77777777" w:rsidR="00D21C1F" w:rsidRDefault="00A42880">
                    <w:pPr>
                      <w:rPr>
                        <w:szCs w:val="21"/>
                      </w:rPr>
                    </w:pPr>
                    <w:r>
                      <w:rPr>
                        <w:rFonts w:hint="eastAsia"/>
                      </w:rPr>
                      <w:t>七、</w:t>
                    </w:r>
                    <w:r>
                      <w:rPr>
                        <w:rFonts w:ascii="Times New Roman" w:hAnsi="Times New Roman" w:hint="eastAsia"/>
                      </w:rPr>
                      <w:t>2</w:t>
                    </w:r>
                    <w:r>
                      <w:rPr>
                        <w:rFonts w:ascii="Times New Roman" w:hAnsi="Times New Roman"/>
                      </w:rPr>
                      <w:t>5</w:t>
                    </w:r>
                  </w:p>
                </w:tc>
                <w:tc>
                  <w:tcPr>
                    <w:tcW w:w="1411" w:type="pct"/>
                    <w:tcBorders>
                      <w:top w:val="outset" w:sz="6" w:space="0" w:color="auto"/>
                      <w:left w:val="outset" w:sz="6" w:space="0" w:color="auto"/>
                      <w:bottom w:val="outset" w:sz="6" w:space="0" w:color="auto"/>
                      <w:right w:val="outset" w:sz="6" w:space="0" w:color="auto"/>
                    </w:tcBorders>
                    <w:vAlign w:val="center"/>
                  </w:tcPr>
                  <w:p w14:paraId="079BB21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50,473,885.98</w:t>
                    </w:r>
                  </w:p>
                </w:tc>
                <w:tc>
                  <w:tcPr>
                    <w:tcW w:w="1333" w:type="pct"/>
                    <w:tcBorders>
                      <w:top w:val="outset" w:sz="6" w:space="0" w:color="auto"/>
                      <w:left w:val="outset" w:sz="6" w:space="0" w:color="auto"/>
                      <w:bottom w:val="outset" w:sz="6" w:space="0" w:color="auto"/>
                      <w:right w:val="outset" w:sz="6" w:space="0" w:color="auto"/>
                    </w:tcBorders>
                    <w:vAlign w:val="center"/>
                  </w:tcPr>
                  <w:p w14:paraId="7B0C628A"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w:t>
                    </w:r>
                  </w:p>
                </w:tc>
              </w:tr>
              <w:tr w:rsidR="00D21C1F" w14:paraId="5F38F258" w14:textId="77777777">
                <w:sdt>
                  <w:sdtPr>
                    <w:tag w:val="_PLD_f9f0cc8ce8dc4387b1611032921da1ea"/>
                    <w:id w:val="2070000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203E208" w14:textId="77777777" w:rsidR="00D21C1F" w:rsidRDefault="00A42880">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7A031FC6" w14:textId="77777777" w:rsidR="00D21C1F" w:rsidRDefault="00A42880">
                    <w:pPr>
                      <w:rPr>
                        <w:szCs w:val="21"/>
                      </w:rPr>
                    </w:pPr>
                    <w:r>
                      <w:rPr>
                        <w:rFonts w:hint="eastAsia"/>
                      </w:rPr>
                      <w:t>七、</w:t>
                    </w:r>
                    <w:r>
                      <w:rPr>
                        <w:rFonts w:ascii="Times New Roman" w:hAnsi="Times New Roman" w:hint="eastAsia"/>
                      </w:rPr>
                      <w:t>2</w:t>
                    </w:r>
                    <w:r>
                      <w:rPr>
                        <w:rFonts w:ascii="Times New Roman" w:hAnsi="Times New Roman"/>
                      </w:rPr>
                      <w:t>6</w:t>
                    </w:r>
                  </w:p>
                </w:tc>
                <w:tc>
                  <w:tcPr>
                    <w:tcW w:w="1411" w:type="pct"/>
                    <w:tcBorders>
                      <w:top w:val="outset" w:sz="6" w:space="0" w:color="auto"/>
                      <w:left w:val="outset" w:sz="6" w:space="0" w:color="auto"/>
                      <w:bottom w:val="outset" w:sz="6" w:space="0" w:color="auto"/>
                      <w:right w:val="outset" w:sz="6" w:space="0" w:color="auto"/>
                    </w:tcBorders>
                    <w:vAlign w:val="center"/>
                  </w:tcPr>
                  <w:p w14:paraId="64E6EB1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239,381,026.69</w:t>
                    </w:r>
                  </w:p>
                </w:tc>
                <w:tc>
                  <w:tcPr>
                    <w:tcW w:w="1333" w:type="pct"/>
                    <w:tcBorders>
                      <w:top w:val="outset" w:sz="6" w:space="0" w:color="auto"/>
                      <w:left w:val="outset" w:sz="6" w:space="0" w:color="auto"/>
                      <w:bottom w:val="outset" w:sz="6" w:space="0" w:color="auto"/>
                      <w:right w:val="outset" w:sz="6" w:space="0" w:color="auto"/>
                    </w:tcBorders>
                    <w:vAlign w:val="center"/>
                  </w:tcPr>
                  <w:p w14:paraId="09D58416"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259,614,734.78</w:t>
                    </w:r>
                  </w:p>
                </w:tc>
              </w:tr>
              <w:tr w:rsidR="00D21C1F" w14:paraId="0557D7F8" w14:textId="77777777">
                <w:sdt>
                  <w:sdtPr>
                    <w:tag w:val="_PLD_f8ed91a88675406ea5643bb20525ebab"/>
                    <w:id w:val="8976298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550CA6" w14:textId="77777777" w:rsidR="00D21C1F" w:rsidRDefault="00A42880">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4AD30C67" w14:textId="77777777" w:rsidR="00D21C1F" w:rsidRDefault="00A42880">
                    <w:pPr>
                      <w:rPr>
                        <w:szCs w:val="21"/>
                      </w:rPr>
                    </w:pPr>
                    <w:r>
                      <w:rPr>
                        <w:rFonts w:hint="eastAsia"/>
                      </w:rPr>
                      <w:t>七、</w:t>
                    </w:r>
                    <w:r>
                      <w:rPr>
                        <w:rFonts w:ascii="Times New Roman" w:hAnsi="Times New Roman" w:hint="eastAsia"/>
                      </w:rPr>
                      <w:t>2</w:t>
                    </w:r>
                    <w:r>
                      <w:rPr>
                        <w:rFonts w:ascii="Times New Roman" w:hAnsi="Times New Roman"/>
                      </w:rPr>
                      <w:t>8</w:t>
                    </w:r>
                  </w:p>
                </w:tc>
                <w:tc>
                  <w:tcPr>
                    <w:tcW w:w="1411" w:type="pct"/>
                    <w:tcBorders>
                      <w:top w:val="outset" w:sz="6" w:space="0" w:color="auto"/>
                      <w:left w:val="outset" w:sz="6" w:space="0" w:color="auto"/>
                      <w:bottom w:val="outset" w:sz="6" w:space="0" w:color="auto"/>
                      <w:right w:val="outset" w:sz="6" w:space="0" w:color="auto"/>
                    </w:tcBorders>
                    <w:vAlign w:val="center"/>
                  </w:tcPr>
                  <w:p w14:paraId="1D8FABE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293,888,710.33</w:t>
                    </w:r>
                  </w:p>
                </w:tc>
                <w:tc>
                  <w:tcPr>
                    <w:tcW w:w="1333" w:type="pct"/>
                    <w:tcBorders>
                      <w:top w:val="outset" w:sz="6" w:space="0" w:color="auto"/>
                      <w:left w:val="outset" w:sz="6" w:space="0" w:color="auto"/>
                      <w:bottom w:val="outset" w:sz="6" w:space="0" w:color="auto"/>
                      <w:right w:val="outset" w:sz="6" w:space="0" w:color="auto"/>
                    </w:tcBorders>
                    <w:vAlign w:val="center"/>
                  </w:tcPr>
                  <w:p w14:paraId="2BC37B24"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306,723,186.45</w:t>
                    </w:r>
                  </w:p>
                </w:tc>
              </w:tr>
              <w:tr w:rsidR="00D21C1F" w14:paraId="662B3820" w14:textId="77777777">
                <w:sdt>
                  <w:sdtPr>
                    <w:tag w:val="_PLD_c7616aaf37e541948f0c2ca1f9b68af9"/>
                    <w:id w:val="-2751754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04E7F0" w14:textId="77777777" w:rsidR="00D21C1F" w:rsidRDefault="00A42880">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5542A76C" w14:textId="77777777" w:rsidR="00D21C1F" w:rsidRDefault="00A42880">
                    <w:pPr>
                      <w:rPr>
                        <w:szCs w:val="21"/>
                      </w:rPr>
                    </w:pPr>
                    <w:r>
                      <w:rPr>
                        <w:rFonts w:hint="eastAsia"/>
                      </w:rPr>
                      <w:t>七、</w:t>
                    </w:r>
                    <w:r>
                      <w:rPr>
                        <w:rFonts w:ascii="Times New Roman" w:hAnsi="Times New Roman" w:hint="eastAsia"/>
                      </w:rPr>
                      <w:t>2</w:t>
                    </w:r>
                    <w:r>
                      <w:rPr>
                        <w:rFonts w:ascii="Times New Roman" w:hAnsi="Times New Roman"/>
                      </w:rPr>
                      <w:t>9</w:t>
                    </w:r>
                  </w:p>
                </w:tc>
                <w:tc>
                  <w:tcPr>
                    <w:tcW w:w="1411" w:type="pct"/>
                    <w:tcBorders>
                      <w:top w:val="outset" w:sz="6" w:space="0" w:color="auto"/>
                      <w:left w:val="outset" w:sz="6" w:space="0" w:color="auto"/>
                      <w:bottom w:val="outset" w:sz="6" w:space="0" w:color="auto"/>
                      <w:right w:val="outset" w:sz="6" w:space="0" w:color="auto"/>
                    </w:tcBorders>
                    <w:vAlign w:val="center"/>
                  </w:tcPr>
                  <w:p w14:paraId="791DADC7"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685,141.93</w:t>
                    </w:r>
                  </w:p>
                </w:tc>
                <w:tc>
                  <w:tcPr>
                    <w:tcW w:w="1333" w:type="pct"/>
                    <w:tcBorders>
                      <w:top w:val="outset" w:sz="6" w:space="0" w:color="auto"/>
                      <w:left w:val="outset" w:sz="6" w:space="0" w:color="auto"/>
                      <w:bottom w:val="outset" w:sz="6" w:space="0" w:color="auto"/>
                      <w:right w:val="outset" w:sz="6" w:space="0" w:color="auto"/>
                    </w:tcBorders>
                    <w:vAlign w:val="center"/>
                  </w:tcPr>
                  <w:p w14:paraId="02A09971"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966,995.89</w:t>
                    </w:r>
                  </w:p>
                </w:tc>
              </w:tr>
              <w:tr w:rsidR="00D21C1F" w14:paraId="6CA0A65B" w14:textId="77777777">
                <w:sdt>
                  <w:sdtPr>
                    <w:tag w:val="_PLD_831746b98bdc4418bed3ce5f97331371"/>
                    <w:id w:val="9210738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1506AF" w14:textId="77777777" w:rsidR="00D21C1F" w:rsidRDefault="00A42880">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78AE36FF" w14:textId="77777777" w:rsidR="00D21C1F" w:rsidRDefault="00A42880">
                    <w:pPr>
                      <w:rPr>
                        <w:szCs w:val="21"/>
                      </w:rPr>
                    </w:pPr>
                    <w:r>
                      <w:rPr>
                        <w:rFonts w:hint="eastAsia"/>
                      </w:rPr>
                      <w:t>七、</w:t>
                    </w:r>
                    <w:r>
                      <w:rPr>
                        <w:rFonts w:ascii="Times New Roman" w:hAnsi="Times New Roman" w:hint="eastAsia"/>
                      </w:rPr>
                      <w:t>3</w:t>
                    </w:r>
                    <w:r>
                      <w:rPr>
                        <w:rFonts w:ascii="Times New Roman" w:hAnsi="Times New Roman"/>
                      </w:rPr>
                      <w:t>0</w:t>
                    </w:r>
                  </w:p>
                </w:tc>
                <w:tc>
                  <w:tcPr>
                    <w:tcW w:w="1411" w:type="pct"/>
                    <w:tcBorders>
                      <w:top w:val="outset" w:sz="6" w:space="0" w:color="auto"/>
                      <w:left w:val="outset" w:sz="6" w:space="0" w:color="auto"/>
                      <w:bottom w:val="outset" w:sz="6" w:space="0" w:color="auto"/>
                      <w:right w:val="outset" w:sz="6" w:space="0" w:color="auto"/>
                    </w:tcBorders>
                    <w:vAlign w:val="center"/>
                  </w:tcPr>
                  <w:p w14:paraId="4E80C32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135,524,631.73</w:t>
                    </w:r>
                  </w:p>
                </w:tc>
                <w:tc>
                  <w:tcPr>
                    <w:tcW w:w="1333" w:type="pct"/>
                    <w:tcBorders>
                      <w:top w:val="outset" w:sz="6" w:space="0" w:color="auto"/>
                      <w:left w:val="outset" w:sz="6" w:space="0" w:color="auto"/>
                      <w:bottom w:val="outset" w:sz="6" w:space="0" w:color="auto"/>
                      <w:right w:val="outset" w:sz="6" w:space="0" w:color="auto"/>
                    </w:tcBorders>
                    <w:vAlign w:val="center"/>
                  </w:tcPr>
                  <w:p w14:paraId="3CCBAC60"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126,913,456.67</w:t>
                    </w:r>
                  </w:p>
                </w:tc>
              </w:tr>
              <w:tr w:rsidR="00D21C1F" w14:paraId="329DA28C" w14:textId="77777777">
                <w:sdt>
                  <w:sdtPr>
                    <w:tag w:val="_PLD_b16d4dbbdf9e4712984ce3d90131c10b"/>
                    <w:id w:val="11158632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A1AD5D6" w14:textId="77777777" w:rsidR="00D21C1F" w:rsidRDefault="00A42880">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28A586C" w14:textId="77777777" w:rsidR="00D21C1F" w:rsidRDefault="00A42880">
                    <w:pPr>
                      <w:rPr>
                        <w:szCs w:val="21"/>
                      </w:rPr>
                    </w:pPr>
                    <w:r>
                      <w:rPr>
                        <w:rFonts w:hint="eastAsia"/>
                      </w:rPr>
                      <w:t>七、</w:t>
                    </w:r>
                    <w:r>
                      <w:rPr>
                        <w:rFonts w:ascii="Times New Roman" w:hAnsi="Times New Roman" w:hint="eastAsia"/>
                      </w:rPr>
                      <w:t>3</w:t>
                    </w:r>
                    <w:r>
                      <w:rPr>
                        <w:rFonts w:ascii="Times New Roman" w:hAnsi="Times New Roman"/>
                      </w:rPr>
                      <w:t>1</w:t>
                    </w:r>
                  </w:p>
                </w:tc>
                <w:tc>
                  <w:tcPr>
                    <w:tcW w:w="1411" w:type="pct"/>
                    <w:tcBorders>
                      <w:top w:val="outset" w:sz="6" w:space="0" w:color="auto"/>
                      <w:left w:val="outset" w:sz="6" w:space="0" w:color="auto"/>
                      <w:bottom w:val="outset" w:sz="6" w:space="0" w:color="auto"/>
                      <w:right w:val="outset" w:sz="6" w:space="0" w:color="auto"/>
                    </w:tcBorders>
                    <w:vAlign w:val="center"/>
                  </w:tcPr>
                  <w:p w14:paraId="306EED5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44,437,276.63</w:t>
                    </w:r>
                  </w:p>
                </w:tc>
                <w:tc>
                  <w:tcPr>
                    <w:tcW w:w="1333" w:type="pct"/>
                    <w:tcBorders>
                      <w:top w:val="outset" w:sz="6" w:space="0" w:color="auto"/>
                      <w:left w:val="outset" w:sz="6" w:space="0" w:color="auto"/>
                      <w:bottom w:val="outset" w:sz="6" w:space="0" w:color="auto"/>
                      <w:right w:val="outset" w:sz="6" w:space="0" w:color="auto"/>
                    </w:tcBorders>
                    <w:vAlign w:val="center"/>
                  </w:tcPr>
                  <w:p w14:paraId="2A950997"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40,015,806.85</w:t>
                    </w:r>
                  </w:p>
                </w:tc>
              </w:tr>
              <w:tr w:rsidR="00D21C1F" w14:paraId="0BC85A10" w14:textId="77777777">
                <w:sdt>
                  <w:sdtPr>
                    <w:tag w:val="_PLD_244b63fab9214d849ab2fc2afd25f0a8"/>
                    <w:id w:val="4653954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71B3A4" w14:textId="77777777" w:rsidR="00D21C1F" w:rsidRDefault="00A42880">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79059229"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5C52B33"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1,098,857,997.67</w:t>
                    </w:r>
                  </w:p>
                </w:tc>
                <w:tc>
                  <w:tcPr>
                    <w:tcW w:w="1333" w:type="pct"/>
                    <w:tcBorders>
                      <w:top w:val="outset" w:sz="6" w:space="0" w:color="auto"/>
                      <w:left w:val="outset" w:sz="6" w:space="0" w:color="auto"/>
                      <w:bottom w:val="outset" w:sz="6" w:space="0" w:color="auto"/>
                      <w:right w:val="outset" w:sz="6" w:space="0" w:color="auto"/>
                    </w:tcBorders>
                    <w:vAlign w:val="center"/>
                  </w:tcPr>
                  <w:p w14:paraId="58172A8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1,069,191,656.80</w:t>
                    </w:r>
                  </w:p>
                </w:tc>
              </w:tr>
              <w:tr w:rsidR="00D21C1F" w14:paraId="560E417B" w14:textId="77777777">
                <w:sdt>
                  <w:sdtPr>
                    <w:tag w:val="_PLD_6e563319c2e4471398624f06f1db4a4e"/>
                    <w:id w:val="10288305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33CE70" w14:textId="77777777" w:rsidR="00D21C1F" w:rsidRDefault="00A42880">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7E83621F"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582B63"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3,331,967,051.16</w:t>
                    </w:r>
                  </w:p>
                </w:tc>
                <w:tc>
                  <w:tcPr>
                    <w:tcW w:w="1333" w:type="pct"/>
                    <w:tcBorders>
                      <w:top w:val="outset" w:sz="6" w:space="0" w:color="auto"/>
                      <w:left w:val="outset" w:sz="6" w:space="0" w:color="auto"/>
                      <w:bottom w:val="outset" w:sz="6" w:space="0" w:color="auto"/>
                      <w:right w:val="outset" w:sz="6" w:space="0" w:color="auto"/>
                    </w:tcBorders>
                    <w:vAlign w:val="center"/>
                  </w:tcPr>
                  <w:p w14:paraId="7E852CA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3,307,332,902.30</w:t>
                    </w:r>
                  </w:p>
                </w:tc>
              </w:tr>
              <w:tr w:rsidR="00D21C1F" w14:paraId="1CBD5674" w14:textId="77777777">
                <w:sdt>
                  <w:sdtPr>
                    <w:tag w:val="_PLD_9375d0f637964c329fb26d2b4f648745"/>
                    <w:id w:val="-13093125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F2E49F" w14:textId="77777777" w:rsidR="00D21C1F" w:rsidRDefault="00A42880">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14:paraId="303998E8" w14:textId="77777777" w:rsidR="00D21C1F" w:rsidRDefault="00D21C1F">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2CABBA8C" w14:textId="77777777" w:rsidR="00D21C1F" w:rsidRPr="008A62E6" w:rsidRDefault="00D21C1F">
                    <w:pPr>
                      <w:rPr>
                        <w:rFonts w:ascii="Times New Roman" w:hAnsi="Times New Roman" w:cs="Times New Roman"/>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53206486" w14:textId="77777777" w:rsidR="00D21C1F" w:rsidRPr="008A62E6" w:rsidRDefault="00D21C1F">
                    <w:pPr>
                      <w:rPr>
                        <w:rFonts w:ascii="Times New Roman" w:hAnsi="Times New Roman" w:cs="Times New Roman"/>
                        <w:color w:val="FF00FF"/>
                        <w:szCs w:val="21"/>
                      </w:rPr>
                    </w:pPr>
                  </w:p>
                </w:tc>
              </w:tr>
              <w:tr w:rsidR="00D21C1F" w14:paraId="2B197AFD" w14:textId="77777777">
                <w:sdt>
                  <w:sdtPr>
                    <w:tag w:val="_PLD_2fd37dc37d5e4c28b5b0dbe25be93232"/>
                    <w:id w:val="-17268354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AA5797" w14:textId="77777777" w:rsidR="00D21C1F" w:rsidRDefault="00A42880">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6FEEFF37" w14:textId="77777777" w:rsidR="00D21C1F" w:rsidRDefault="00A42880">
                    <w:pPr>
                      <w:rPr>
                        <w:szCs w:val="21"/>
                      </w:rPr>
                    </w:pPr>
                    <w:r>
                      <w:rPr>
                        <w:rFonts w:hint="eastAsia"/>
                        <w:szCs w:val="21"/>
                      </w:rPr>
                      <w:t>七、</w:t>
                    </w:r>
                    <w:r>
                      <w:rPr>
                        <w:rFonts w:ascii="Times New Roman" w:hAnsi="Times New Roman" w:hint="eastAsia"/>
                        <w:szCs w:val="21"/>
                      </w:rPr>
                      <w:t>3</w:t>
                    </w:r>
                    <w:r>
                      <w:rPr>
                        <w:rFonts w:ascii="Times New Roman" w:hAnsi="Times New Roman"/>
                        <w:szCs w:val="21"/>
                      </w:rPr>
                      <w:t>2</w:t>
                    </w:r>
                  </w:p>
                </w:tc>
                <w:tc>
                  <w:tcPr>
                    <w:tcW w:w="1411" w:type="pct"/>
                    <w:tcBorders>
                      <w:top w:val="outset" w:sz="6" w:space="0" w:color="auto"/>
                      <w:left w:val="outset" w:sz="6" w:space="0" w:color="auto"/>
                      <w:bottom w:val="outset" w:sz="6" w:space="0" w:color="auto"/>
                      <w:right w:val="outset" w:sz="6" w:space="0" w:color="auto"/>
                    </w:tcBorders>
                    <w:vAlign w:val="center"/>
                  </w:tcPr>
                  <w:p w14:paraId="3EC1C62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339,655,506.77</w:t>
                    </w:r>
                  </w:p>
                </w:tc>
                <w:tc>
                  <w:tcPr>
                    <w:tcW w:w="1333" w:type="pct"/>
                    <w:tcBorders>
                      <w:top w:val="outset" w:sz="6" w:space="0" w:color="auto"/>
                      <w:left w:val="outset" w:sz="6" w:space="0" w:color="auto"/>
                      <w:bottom w:val="outset" w:sz="6" w:space="0" w:color="auto"/>
                      <w:right w:val="outset" w:sz="6" w:space="0" w:color="auto"/>
                    </w:tcBorders>
                    <w:vAlign w:val="center"/>
                  </w:tcPr>
                  <w:p w14:paraId="2ADAE896"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256,374,734.88</w:t>
                    </w:r>
                  </w:p>
                </w:tc>
              </w:tr>
              <w:tr w:rsidR="00D21C1F" w14:paraId="206D3B92" w14:textId="77777777">
                <w:sdt>
                  <w:sdtPr>
                    <w:tag w:val="_PLD_a1ccdf0c4f4443b685142442e1c3f8f6"/>
                    <w:id w:val="3207753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D44067" w14:textId="77777777" w:rsidR="00D21C1F" w:rsidRDefault="00A42880">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1AB79B9E" w14:textId="77777777" w:rsidR="00D21C1F" w:rsidRDefault="00A42880">
                    <w:pPr>
                      <w:rPr>
                        <w:szCs w:val="21"/>
                      </w:rPr>
                    </w:pPr>
                    <w:r>
                      <w:rPr>
                        <w:rFonts w:hint="eastAsia"/>
                      </w:rPr>
                      <w:t>七、</w:t>
                    </w:r>
                    <w:r>
                      <w:rPr>
                        <w:rFonts w:ascii="Times New Roman" w:hAnsi="Times New Roman" w:hint="eastAsia"/>
                      </w:rPr>
                      <w:t>3</w:t>
                    </w:r>
                    <w:r>
                      <w:rPr>
                        <w:rFonts w:ascii="Times New Roman" w:hAnsi="Times New Roman"/>
                      </w:rPr>
                      <w:t>5</w:t>
                    </w:r>
                  </w:p>
                </w:tc>
                <w:tc>
                  <w:tcPr>
                    <w:tcW w:w="1411" w:type="pct"/>
                    <w:tcBorders>
                      <w:top w:val="outset" w:sz="6" w:space="0" w:color="auto"/>
                      <w:left w:val="outset" w:sz="6" w:space="0" w:color="auto"/>
                      <w:bottom w:val="outset" w:sz="6" w:space="0" w:color="auto"/>
                      <w:right w:val="outset" w:sz="6" w:space="0" w:color="auto"/>
                    </w:tcBorders>
                    <w:vAlign w:val="center"/>
                  </w:tcPr>
                  <w:p w14:paraId="10D9BAF7"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1,905,787.50</w:t>
                    </w:r>
                  </w:p>
                </w:tc>
                <w:tc>
                  <w:tcPr>
                    <w:tcW w:w="1333" w:type="pct"/>
                    <w:tcBorders>
                      <w:top w:val="outset" w:sz="6" w:space="0" w:color="auto"/>
                      <w:left w:val="outset" w:sz="6" w:space="0" w:color="auto"/>
                      <w:bottom w:val="outset" w:sz="6" w:space="0" w:color="auto"/>
                      <w:right w:val="outset" w:sz="6" w:space="0" w:color="auto"/>
                    </w:tcBorders>
                    <w:vAlign w:val="center"/>
                  </w:tcPr>
                  <w:p w14:paraId="0BE662E9"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w:t>
                    </w:r>
                  </w:p>
                </w:tc>
              </w:tr>
              <w:tr w:rsidR="00D21C1F" w14:paraId="1E21B367" w14:textId="77777777">
                <w:sdt>
                  <w:sdtPr>
                    <w:tag w:val="_PLD_63f7bc90fdbe4fe9b76159c57157c382"/>
                    <w:id w:val="-10948589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99308FD" w14:textId="77777777" w:rsidR="00D21C1F" w:rsidRDefault="00A42880">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38CC872F" w14:textId="77777777" w:rsidR="00D21C1F" w:rsidRDefault="00A42880">
                    <w:pPr>
                      <w:rPr>
                        <w:szCs w:val="21"/>
                      </w:rPr>
                    </w:pPr>
                    <w:r>
                      <w:rPr>
                        <w:rFonts w:hint="eastAsia"/>
                      </w:rPr>
                      <w:t>七、</w:t>
                    </w:r>
                    <w:r>
                      <w:rPr>
                        <w:rFonts w:ascii="Times New Roman" w:hAnsi="Times New Roman" w:hint="eastAsia"/>
                      </w:rPr>
                      <w:t>3</w:t>
                    </w:r>
                    <w:r>
                      <w:rPr>
                        <w:rFonts w:ascii="Times New Roman" w:hAnsi="Times New Roman"/>
                      </w:rPr>
                      <w:t>6</w:t>
                    </w:r>
                  </w:p>
                </w:tc>
                <w:tc>
                  <w:tcPr>
                    <w:tcW w:w="1411" w:type="pct"/>
                    <w:tcBorders>
                      <w:top w:val="outset" w:sz="6" w:space="0" w:color="auto"/>
                      <w:left w:val="outset" w:sz="6" w:space="0" w:color="auto"/>
                      <w:bottom w:val="outset" w:sz="6" w:space="0" w:color="auto"/>
                      <w:right w:val="outset" w:sz="6" w:space="0" w:color="auto"/>
                    </w:tcBorders>
                    <w:vAlign w:val="center"/>
                  </w:tcPr>
                  <w:p w14:paraId="196AF589"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316,115,602.49</w:t>
                    </w:r>
                  </w:p>
                </w:tc>
                <w:tc>
                  <w:tcPr>
                    <w:tcW w:w="1333" w:type="pct"/>
                    <w:tcBorders>
                      <w:top w:val="outset" w:sz="6" w:space="0" w:color="auto"/>
                      <w:left w:val="outset" w:sz="6" w:space="0" w:color="auto"/>
                      <w:bottom w:val="outset" w:sz="6" w:space="0" w:color="auto"/>
                      <w:right w:val="outset" w:sz="6" w:space="0" w:color="auto"/>
                    </w:tcBorders>
                    <w:vAlign w:val="center"/>
                  </w:tcPr>
                  <w:p w14:paraId="375A4BF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285,348,288.35</w:t>
                    </w:r>
                  </w:p>
                </w:tc>
              </w:tr>
              <w:tr w:rsidR="00D21C1F" w14:paraId="39C97A16"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1615780985"/>
                      <w:lock w:val="sdtLocked"/>
                    </w:sdtPr>
                    <w:sdtEndPr/>
                    <w:sdtContent>
                      <w:p w14:paraId="064A696E" w14:textId="77777777" w:rsidR="00D21C1F" w:rsidRDefault="00A42880">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6FBB5196"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035E347"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58,436,497.65</w:t>
                    </w:r>
                  </w:p>
                </w:tc>
                <w:tc>
                  <w:tcPr>
                    <w:tcW w:w="1333" w:type="pct"/>
                    <w:tcBorders>
                      <w:top w:val="outset" w:sz="6" w:space="0" w:color="auto"/>
                      <w:left w:val="outset" w:sz="6" w:space="0" w:color="auto"/>
                      <w:bottom w:val="outset" w:sz="6" w:space="0" w:color="auto"/>
                      <w:right w:val="outset" w:sz="6" w:space="0" w:color="auto"/>
                    </w:tcBorders>
                    <w:vAlign w:val="center"/>
                  </w:tcPr>
                  <w:p w14:paraId="2E5CD0F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79,271,894.24</w:t>
                    </w:r>
                  </w:p>
                </w:tc>
              </w:tr>
              <w:tr w:rsidR="00D21C1F" w14:paraId="22D36AFC" w14:textId="77777777">
                <w:sdt>
                  <w:sdtPr>
                    <w:tag w:val="_PLD_b46164c72e3e41ec9fc7c62554dc88df"/>
                    <w:id w:val="-7159652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EEFD6B" w14:textId="77777777" w:rsidR="00D21C1F" w:rsidRDefault="00A42880">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1E7CC1AC" w14:textId="77777777" w:rsidR="00D21C1F" w:rsidRDefault="00A42880">
                    <w:pPr>
                      <w:rPr>
                        <w:szCs w:val="21"/>
                      </w:rPr>
                    </w:pPr>
                    <w:r>
                      <w:rPr>
                        <w:rFonts w:hint="eastAsia"/>
                      </w:rPr>
                      <w:t>七、</w:t>
                    </w:r>
                    <w:r>
                      <w:rPr>
                        <w:rFonts w:ascii="Times New Roman" w:hAnsi="Times New Roman" w:hint="eastAsia"/>
                      </w:rPr>
                      <w:t>3</w:t>
                    </w:r>
                    <w:r>
                      <w:rPr>
                        <w:rFonts w:ascii="Times New Roman" w:hAnsi="Times New Roman"/>
                      </w:rPr>
                      <w:t>9</w:t>
                    </w:r>
                  </w:p>
                </w:tc>
                <w:tc>
                  <w:tcPr>
                    <w:tcW w:w="1411" w:type="pct"/>
                    <w:tcBorders>
                      <w:top w:val="outset" w:sz="6" w:space="0" w:color="auto"/>
                      <w:left w:val="outset" w:sz="6" w:space="0" w:color="auto"/>
                      <w:bottom w:val="outset" w:sz="6" w:space="0" w:color="auto"/>
                      <w:right w:val="outset" w:sz="6" w:space="0" w:color="auto"/>
                    </w:tcBorders>
                    <w:vAlign w:val="center"/>
                  </w:tcPr>
                  <w:p w14:paraId="331EA81F"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68,663,796.92</w:t>
                    </w:r>
                  </w:p>
                </w:tc>
                <w:tc>
                  <w:tcPr>
                    <w:tcW w:w="1333" w:type="pct"/>
                    <w:tcBorders>
                      <w:top w:val="outset" w:sz="6" w:space="0" w:color="auto"/>
                      <w:left w:val="outset" w:sz="6" w:space="0" w:color="auto"/>
                      <w:bottom w:val="outset" w:sz="6" w:space="0" w:color="auto"/>
                      <w:right w:val="outset" w:sz="6" w:space="0" w:color="auto"/>
                    </w:tcBorders>
                    <w:vAlign w:val="center"/>
                  </w:tcPr>
                  <w:p w14:paraId="3A246F6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66,496,927.77</w:t>
                    </w:r>
                  </w:p>
                </w:tc>
              </w:tr>
              <w:tr w:rsidR="00D21C1F" w14:paraId="020E400F" w14:textId="77777777">
                <w:sdt>
                  <w:sdtPr>
                    <w:tag w:val="_PLD_da4e94adb66d4e528e4e8867ce4f2302"/>
                    <w:id w:val="-18528703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BC1CD7" w14:textId="77777777" w:rsidR="00D21C1F" w:rsidRDefault="00A42880">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02AB2F0A" w14:textId="77777777" w:rsidR="00D21C1F" w:rsidRDefault="00A42880">
                    <w:pPr>
                      <w:rPr>
                        <w:szCs w:val="21"/>
                      </w:rPr>
                    </w:pPr>
                    <w:r>
                      <w:rPr>
                        <w:rFonts w:hint="eastAsia"/>
                      </w:rPr>
                      <w:t>七、</w:t>
                    </w:r>
                    <w:r>
                      <w:rPr>
                        <w:rFonts w:ascii="Times New Roman" w:hAnsi="Times New Roman" w:hint="eastAsia"/>
                      </w:rPr>
                      <w:t>4</w:t>
                    </w:r>
                    <w:r>
                      <w:rPr>
                        <w:rFonts w:ascii="Times New Roman" w:hAnsi="Times New Roman"/>
                      </w:rPr>
                      <w:t>0</w:t>
                    </w:r>
                  </w:p>
                </w:tc>
                <w:tc>
                  <w:tcPr>
                    <w:tcW w:w="1411" w:type="pct"/>
                    <w:tcBorders>
                      <w:top w:val="outset" w:sz="6" w:space="0" w:color="auto"/>
                      <w:left w:val="outset" w:sz="6" w:space="0" w:color="auto"/>
                      <w:bottom w:val="outset" w:sz="6" w:space="0" w:color="auto"/>
                      <w:right w:val="outset" w:sz="6" w:space="0" w:color="auto"/>
                    </w:tcBorders>
                    <w:vAlign w:val="center"/>
                  </w:tcPr>
                  <w:p w14:paraId="7C38385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14,977,675.92</w:t>
                    </w:r>
                  </w:p>
                </w:tc>
                <w:tc>
                  <w:tcPr>
                    <w:tcW w:w="1333" w:type="pct"/>
                    <w:tcBorders>
                      <w:top w:val="outset" w:sz="6" w:space="0" w:color="auto"/>
                      <w:left w:val="outset" w:sz="6" w:space="0" w:color="auto"/>
                      <w:bottom w:val="outset" w:sz="6" w:space="0" w:color="auto"/>
                      <w:right w:val="outset" w:sz="6" w:space="0" w:color="auto"/>
                    </w:tcBorders>
                    <w:vAlign w:val="center"/>
                  </w:tcPr>
                  <w:p w14:paraId="13D589A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26,796,044.19</w:t>
                    </w:r>
                  </w:p>
                </w:tc>
              </w:tr>
              <w:tr w:rsidR="00D21C1F" w14:paraId="5865C378" w14:textId="77777777">
                <w:sdt>
                  <w:sdtPr>
                    <w:tag w:val="_PLD_f1bb75ef275f4cabafc790de2f817512"/>
                    <w:id w:val="-16786548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BC2D01" w14:textId="77777777" w:rsidR="00D21C1F" w:rsidRDefault="00A42880">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091769FE" w14:textId="77777777" w:rsidR="00D21C1F" w:rsidRDefault="00A42880">
                    <w:pPr>
                      <w:rPr>
                        <w:szCs w:val="21"/>
                      </w:rPr>
                    </w:pPr>
                    <w:r>
                      <w:rPr>
                        <w:rFonts w:hint="eastAsia"/>
                      </w:rPr>
                      <w:t>七、</w:t>
                    </w:r>
                    <w:r>
                      <w:rPr>
                        <w:rFonts w:ascii="Times New Roman" w:hAnsi="Times New Roman" w:hint="eastAsia"/>
                      </w:rPr>
                      <w:t>4</w:t>
                    </w:r>
                    <w:r>
                      <w:rPr>
                        <w:rFonts w:ascii="Times New Roman" w:hAnsi="Times New Roman"/>
                      </w:rPr>
                      <w:t>1</w:t>
                    </w:r>
                  </w:p>
                </w:tc>
                <w:tc>
                  <w:tcPr>
                    <w:tcW w:w="1411" w:type="pct"/>
                    <w:tcBorders>
                      <w:top w:val="outset" w:sz="6" w:space="0" w:color="auto"/>
                      <w:left w:val="outset" w:sz="6" w:space="0" w:color="auto"/>
                      <w:bottom w:val="outset" w:sz="6" w:space="0" w:color="auto"/>
                      <w:right w:val="outset" w:sz="6" w:space="0" w:color="auto"/>
                    </w:tcBorders>
                    <w:vAlign w:val="center"/>
                  </w:tcPr>
                  <w:p w14:paraId="6249EB9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33,622,484.96</w:t>
                    </w:r>
                  </w:p>
                </w:tc>
                <w:tc>
                  <w:tcPr>
                    <w:tcW w:w="1333" w:type="pct"/>
                    <w:tcBorders>
                      <w:top w:val="outset" w:sz="6" w:space="0" w:color="auto"/>
                      <w:left w:val="outset" w:sz="6" w:space="0" w:color="auto"/>
                      <w:bottom w:val="outset" w:sz="6" w:space="0" w:color="auto"/>
                      <w:right w:val="outset" w:sz="6" w:space="0" w:color="auto"/>
                    </w:tcBorders>
                    <w:vAlign w:val="center"/>
                  </w:tcPr>
                  <w:p w14:paraId="48E01A8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36,133,469.42</w:t>
                    </w:r>
                  </w:p>
                </w:tc>
              </w:tr>
              <w:tr w:rsidR="00D21C1F" w14:paraId="7D27303B" w14:textId="77777777">
                <w:sdt>
                  <w:sdtPr>
                    <w:tag w:val="_PLD_c2d9be160e384569b83c6b4fa8a1aa71"/>
                    <w:id w:val="-6679449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08AF0E" w14:textId="77777777" w:rsidR="00D21C1F" w:rsidRDefault="00A42880">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0F308B79"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4635D33" w14:textId="626BEB99" w:rsidR="00D21C1F" w:rsidRPr="008A62E6" w:rsidRDefault="008A62E6">
                    <w:pPr>
                      <w:jc w:val="right"/>
                      <w:rPr>
                        <w:rFonts w:ascii="Times New Roman" w:hAnsi="Times New Roman" w:cs="Times New Roman"/>
                        <w:szCs w:val="21"/>
                      </w:rPr>
                    </w:pPr>
                    <w:r w:rsidRPr="008A62E6">
                      <w:rPr>
                        <w:rFonts w:ascii="Times New Roman" w:hAnsi="Times New Roman" w:cs="Times New Roman"/>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14:paraId="02FB48DE" w14:textId="114AD31B" w:rsidR="00D21C1F" w:rsidRPr="008A62E6" w:rsidRDefault="008A62E6">
                    <w:pPr>
                      <w:jc w:val="right"/>
                      <w:rPr>
                        <w:rFonts w:ascii="Times New Roman" w:hAnsi="Times New Roman" w:cs="Times New Roman"/>
                        <w:szCs w:val="21"/>
                      </w:rPr>
                    </w:pPr>
                    <w:r w:rsidRPr="008A62E6">
                      <w:rPr>
                        <w:rFonts w:ascii="Times New Roman" w:hAnsi="Times New Roman" w:cs="Times New Roman"/>
                        <w:szCs w:val="21"/>
                      </w:rPr>
                      <w:t>-</w:t>
                    </w:r>
                  </w:p>
                </w:tc>
              </w:tr>
              <w:tr w:rsidR="00D21C1F" w14:paraId="2E5291C4" w14:textId="77777777">
                <w:sdt>
                  <w:sdtPr>
                    <w:tag w:val="_PLD_d687f45d03d4450780c80600a9c2e9d5"/>
                    <w:id w:val="9324738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72417E" w14:textId="77777777" w:rsidR="00D21C1F" w:rsidRDefault="00A42880">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31476B7F"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F3B01F" w14:textId="613A3687" w:rsidR="00D21C1F" w:rsidRPr="008A62E6" w:rsidRDefault="008A62E6">
                    <w:pPr>
                      <w:jc w:val="right"/>
                      <w:rPr>
                        <w:rFonts w:ascii="Times New Roman" w:hAnsi="Times New Roman" w:cs="Times New Roman"/>
                        <w:szCs w:val="21"/>
                      </w:rPr>
                    </w:pPr>
                    <w:r w:rsidRPr="008A62E6">
                      <w:rPr>
                        <w:rFonts w:ascii="Times New Roman" w:hAnsi="Times New Roman" w:cs="Times New Roman"/>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14:paraId="6EB84597" w14:textId="7E916229" w:rsidR="00D21C1F" w:rsidRPr="008A62E6" w:rsidRDefault="008A62E6">
                    <w:pPr>
                      <w:jc w:val="right"/>
                      <w:rPr>
                        <w:rFonts w:ascii="Times New Roman" w:hAnsi="Times New Roman" w:cs="Times New Roman"/>
                        <w:szCs w:val="21"/>
                      </w:rPr>
                    </w:pPr>
                    <w:r w:rsidRPr="008A62E6">
                      <w:rPr>
                        <w:rFonts w:ascii="Times New Roman" w:hAnsi="Times New Roman" w:cs="Times New Roman"/>
                        <w:szCs w:val="21"/>
                      </w:rPr>
                      <w:t>-</w:t>
                    </w:r>
                  </w:p>
                </w:tc>
              </w:tr>
              <w:tr w:rsidR="00D21C1F" w14:paraId="7BD83390" w14:textId="77777777">
                <w:sdt>
                  <w:sdtPr>
                    <w:tag w:val="_PLD_e2e76edca1004352bfa9fe9ea4f74480"/>
                    <w:id w:val="20644501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2CC384" w14:textId="77777777" w:rsidR="00D21C1F" w:rsidRDefault="00A42880">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1E556889"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D98117B" w14:textId="77777777" w:rsidR="00D21C1F" w:rsidRPr="008A62E6" w:rsidRDefault="00D21C1F">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DE380FC" w14:textId="77777777" w:rsidR="00D21C1F" w:rsidRPr="008A62E6" w:rsidRDefault="00D21C1F">
                    <w:pPr>
                      <w:jc w:val="right"/>
                      <w:rPr>
                        <w:rFonts w:ascii="Times New Roman" w:hAnsi="Times New Roman" w:cs="Times New Roman"/>
                        <w:szCs w:val="21"/>
                      </w:rPr>
                    </w:pPr>
                  </w:p>
                </w:tc>
              </w:tr>
              <w:tr w:rsidR="00D21C1F" w14:paraId="13299A1D" w14:textId="77777777">
                <w:sdt>
                  <w:sdtPr>
                    <w:tag w:val="_PLD_3d84ac3419c14af1a70409a1e659bc33"/>
                    <w:id w:val="-6731882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3F0A5C" w14:textId="77777777" w:rsidR="00D21C1F" w:rsidRDefault="00A42880">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7D7D2663" w14:textId="77777777" w:rsidR="00D21C1F" w:rsidRDefault="00A42880">
                    <w:pPr>
                      <w:rPr>
                        <w:szCs w:val="21"/>
                      </w:rPr>
                    </w:pPr>
                    <w:r>
                      <w:rPr>
                        <w:rFonts w:hint="eastAsia"/>
                      </w:rPr>
                      <w:t>七、</w:t>
                    </w:r>
                    <w:r>
                      <w:rPr>
                        <w:rFonts w:ascii="Times New Roman" w:hAnsi="Times New Roman" w:hint="eastAsia"/>
                      </w:rPr>
                      <w:t>4</w:t>
                    </w:r>
                    <w:r>
                      <w:rPr>
                        <w:rFonts w:ascii="Times New Roman" w:hAnsi="Times New Roman"/>
                      </w:rPr>
                      <w:t>3</w:t>
                    </w:r>
                  </w:p>
                </w:tc>
                <w:tc>
                  <w:tcPr>
                    <w:tcW w:w="1411" w:type="pct"/>
                    <w:tcBorders>
                      <w:top w:val="outset" w:sz="6" w:space="0" w:color="auto"/>
                      <w:left w:val="outset" w:sz="6" w:space="0" w:color="auto"/>
                      <w:bottom w:val="outset" w:sz="6" w:space="0" w:color="auto"/>
                      <w:right w:val="outset" w:sz="6" w:space="0" w:color="auto"/>
                    </w:tcBorders>
                    <w:vAlign w:val="center"/>
                  </w:tcPr>
                  <w:p w14:paraId="4536A24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68,698,655.12</w:t>
                    </w:r>
                  </w:p>
                </w:tc>
                <w:tc>
                  <w:tcPr>
                    <w:tcW w:w="1333" w:type="pct"/>
                    <w:tcBorders>
                      <w:top w:val="outset" w:sz="6" w:space="0" w:color="auto"/>
                      <w:left w:val="outset" w:sz="6" w:space="0" w:color="auto"/>
                      <w:bottom w:val="outset" w:sz="6" w:space="0" w:color="auto"/>
                      <w:right w:val="outset" w:sz="6" w:space="0" w:color="auto"/>
                    </w:tcBorders>
                    <w:vAlign w:val="center"/>
                  </w:tcPr>
                  <w:p w14:paraId="5BFCFAA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85,891,818.83</w:t>
                    </w:r>
                  </w:p>
                </w:tc>
              </w:tr>
              <w:tr w:rsidR="00D21C1F" w14:paraId="7E368729" w14:textId="77777777">
                <w:sdt>
                  <w:sdtPr>
                    <w:tag w:val="_PLD_d98d6b8169c447a0bc0b1ae069d60a30"/>
                    <w:id w:val="11171781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0A0727" w14:textId="77777777" w:rsidR="00D21C1F" w:rsidRDefault="00A42880">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21C13AFC" w14:textId="77777777" w:rsidR="00D21C1F" w:rsidRDefault="00A42880">
                    <w:pPr>
                      <w:rPr>
                        <w:szCs w:val="21"/>
                      </w:rPr>
                    </w:pPr>
                    <w:r>
                      <w:rPr>
                        <w:rFonts w:hint="eastAsia"/>
                      </w:rPr>
                      <w:t>七、</w:t>
                    </w:r>
                    <w:r>
                      <w:rPr>
                        <w:rFonts w:ascii="Times New Roman" w:hAnsi="Times New Roman" w:hint="eastAsia"/>
                      </w:rPr>
                      <w:t>4</w:t>
                    </w:r>
                    <w:r>
                      <w:rPr>
                        <w:rFonts w:ascii="Times New Roman" w:hAnsi="Times New Roman"/>
                      </w:rPr>
                      <w:t>4</w:t>
                    </w:r>
                  </w:p>
                </w:tc>
                <w:tc>
                  <w:tcPr>
                    <w:tcW w:w="1411" w:type="pct"/>
                    <w:tcBorders>
                      <w:top w:val="outset" w:sz="6" w:space="0" w:color="auto"/>
                      <w:left w:val="outset" w:sz="6" w:space="0" w:color="auto"/>
                      <w:bottom w:val="outset" w:sz="6" w:space="0" w:color="auto"/>
                      <w:right w:val="outset" w:sz="6" w:space="0" w:color="auto"/>
                    </w:tcBorders>
                    <w:vAlign w:val="center"/>
                  </w:tcPr>
                  <w:p w14:paraId="0D00AAE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2,704,261.45</w:t>
                    </w:r>
                  </w:p>
                </w:tc>
                <w:tc>
                  <w:tcPr>
                    <w:tcW w:w="1333" w:type="pct"/>
                    <w:tcBorders>
                      <w:top w:val="outset" w:sz="6" w:space="0" w:color="auto"/>
                      <w:left w:val="outset" w:sz="6" w:space="0" w:color="auto"/>
                      <w:bottom w:val="outset" w:sz="6" w:space="0" w:color="auto"/>
                      <w:right w:val="outset" w:sz="6" w:space="0" w:color="auto"/>
                    </w:tcBorders>
                    <w:vAlign w:val="center"/>
                  </w:tcPr>
                  <w:p w14:paraId="6DA8C26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1,631,528.71</w:t>
                    </w:r>
                  </w:p>
                </w:tc>
              </w:tr>
              <w:tr w:rsidR="00D21C1F" w14:paraId="1FDEBDB7" w14:textId="77777777">
                <w:sdt>
                  <w:sdtPr>
                    <w:tag w:val="_PLD_d6387f8c45ce4f8599c26d4b88544573"/>
                    <w:id w:val="-10184586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EC3472" w14:textId="77777777" w:rsidR="00D21C1F" w:rsidRDefault="00A42880">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5CA4B954"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666A30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904,780,268.78</w:t>
                    </w:r>
                  </w:p>
                </w:tc>
                <w:tc>
                  <w:tcPr>
                    <w:tcW w:w="1333" w:type="pct"/>
                    <w:tcBorders>
                      <w:top w:val="outset" w:sz="6" w:space="0" w:color="auto"/>
                      <w:left w:val="outset" w:sz="6" w:space="0" w:color="auto"/>
                      <w:bottom w:val="outset" w:sz="6" w:space="0" w:color="auto"/>
                      <w:right w:val="outset" w:sz="6" w:space="0" w:color="auto"/>
                    </w:tcBorders>
                    <w:vAlign w:val="center"/>
                  </w:tcPr>
                  <w:p w14:paraId="1A8949B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837,944,706.39</w:t>
                    </w:r>
                  </w:p>
                </w:tc>
              </w:tr>
              <w:tr w:rsidR="00D21C1F" w14:paraId="26FCE242" w14:textId="77777777">
                <w:sdt>
                  <w:sdtPr>
                    <w:tag w:val="_PLD_e92d79badc1945afbed8782cdacf599f"/>
                    <w:id w:val="19622257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20D818" w14:textId="77777777" w:rsidR="00D21C1F" w:rsidRDefault="00A42880">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A0ED68D" w14:textId="77777777" w:rsidR="00D21C1F" w:rsidRDefault="00D21C1F">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49C426" w14:textId="77777777" w:rsidR="00D21C1F" w:rsidRPr="008A62E6" w:rsidRDefault="00D21C1F">
                    <w:pPr>
                      <w:ind w:right="210"/>
                      <w:jc w:val="right"/>
                      <w:rPr>
                        <w:rFonts w:ascii="Times New Roman" w:hAnsi="Times New Roman" w:cs="Times New Roman"/>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6F6D958" w14:textId="77777777" w:rsidR="00D21C1F" w:rsidRPr="008A62E6" w:rsidRDefault="00D21C1F">
                    <w:pPr>
                      <w:jc w:val="right"/>
                      <w:rPr>
                        <w:rFonts w:ascii="Times New Roman" w:hAnsi="Times New Roman" w:cs="Times New Roman"/>
                        <w:color w:val="008000"/>
                        <w:szCs w:val="21"/>
                      </w:rPr>
                    </w:pPr>
                  </w:p>
                </w:tc>
              </w:tr>
              <w:tr w:rsidR="00D21C1F" w14:paraId="2B284457" w14:textId="77777777">
                <w:sdt>
                  <w:sdtPr>
                    <w:tag w:val="_PLD_4515eae7d3ee403aac2fdade1a6ff71a"/>
                    <w:id w:val="20699185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80B6EC" w14:textId="77777777" w:rsidR="00D21C1F" w:rsidRDefault="00A42880">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3AF6575F"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782B6F9" w14:textId="77777777" w:rsidR="00D21C1F" w:rsidRPr="008A62E6" w:rsidRDefault="00D21C1F">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CB231AC" w14:textId="77777777" w:rsidR="00D21C1F" w:rsidRPr="008A62E6" w:rsidRDefault="00D21C1F">
                    <w:pPr>
                      <w:jc w:val="right"/>
                      <w:rPr>
                        <w:rFonts w:ascii="Times New Roman" w:hAnsi="Times New Roman" w:cs="Times New Roman"/>
                        <w:szCs w:val="21"/>
                      </w:rPr>
                    </w:pPr>
                  </w:p>
                </w:tc>
              </w:tr>
              <w:tr w:rsidR="00D21C1F" w14:paraId="30FB2906" w14:textId="77777777">
                <w:sdt>
                  <w:sdtPr>
                    <w:tag w:val="_PLD_0b8d7682584443f4bae26e2ed50f8040"/>
                    <w:id w:val="-12676959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D28191" w14:textId="77777777" w:rsidR="00D21C1F" w:rsidRDefault="00A42880">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20C167DA" w14:textId="77777777" w:rsidR="00D21C1F" w:rsidRDefault="00A42880">
                    <w:pPr>
                      <w:rPr>
                        <w:szCs w:val="21"/>
                      </w:rPr>
                    </w:pPr>
                    <w:r>
                      <w:rPr>
                        <w:rFonts w:hint="eastAsia"/>
                        <w:szCs w:val="21"/>
                      </w:rPr>
                      <w:t>七、</w:t>
                    </w:r>
                    <w:r>
                      <w:rPr>
                        <w:rFonts w:ascii="Times New Roman" w:hAnsi="Times New Roman" w:hint="eastAsia"/>
                        <w:szCs w:val="21"/>
                      </w:rPr>
                      <w:t>4</w:t>
                    </w:r>
                    <w:r>
                      <w:rPr>
                        <w:rFonts w:ascii="Times New Roman" w:hAnsi="Times New Roman"/>
                        <w:szCs w:val="21"/>
                      </w:rPr>
                      <w:t>5</w:t>
                    </w:r>
                  </w:p>
                </w:tc>
                <w:tc>
                  <w:tcPr>
                    <w:tcW w:w="1411" w:type="pct"/>
                    <w:tcBorders>
                      <w:top w:val="outset" w:sz="6" w:space="0" w:color="auto"/>
                      <w:left w:val="outset" w:sz="6" w:space="0" w:color="auto"/>
                      <w:bottom w:val="outset" w:sz="6" w:space="0" w:color="auto"/>
                      <w:right w:val="outset" w:sz="6" w:space="0" w:color="auto"/>
                    </w:tcBorders>
                    <w:vAlign w:val="center"/>
                  </w:tcPr>
                  <w:p w14:paraId="36B9D74F"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140,039,183.61</w:t>
                    </w:r>
                  </w:p>
                </w:tc>
                <w:tc>
                  <w:tcPr>
                    <w:tcW w:w="1333" w:type="pct"/>
                    <w:tcBorders>
                      <w:top w:val="outset" w:sz="6" w:space="0" w:color="auto"/>
                      <w:left w:val="outset" w:sz="6" w:space="0" w:color="auto"/>
                      <w:bottom w:val="outset" w:sz="6" w:space="0" w:color="auto"/>
                      <w:right w:val="outset" w:sz="6" w:space="0" w:color="auto"/>
                    </w:tcBorders>
                    <w:vAlign w:val="center"/>
                  </w:tcPr>
                  <w:p w14:paraId="1285C59F"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154,695,760.61</w:t>
                    </w:r>
                  </w:p>
                </w:tc>
              </w:tr>
              <w:tr w:rsidR="00D21C1F" w14:paraId="29CBFD16"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1843312621"/>
                      <w:lock w:val="sdtLocked"/>
                    </w:sdtPr>
                    <w:sdtEndPr/>
                    <w:sdtContent>
                      <w:p w14:paraId="1CF3E21A" w14:textId="77777777" w:rsidR="00D21C1F" w:rsidRDefault="00A42880">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14:paraId="5335BFCF" w14:textId="77777777" w:rsidR="00D21C1F" w:rsidRDefault="00A42880">
                    <w:pPr>
                      <w:rPr>
                        <w:szCs w:val="21"/>
                      </w:rPr>
                    </w:pPr>
                    <w:r>
                      <w:rPr>
                        <w:rFonts w:hint="eastAsia"/>
                        <w:szCs w:val="21"/>
                      </w:rPr>
                      <w:t>七、</w:t>
                    </w:r>
                    <w:r>
                      <w:rPr>
                        <w:rFonts w:ascii="Times New Roman" w:hAnsi="Times New Roman" w:hint="eastAsia"/>
                        <w:szCs w:val="21"/>
                      </w:rPr>
                      <w:t>4</w:t>
                    </w:r>
                    <w:r>
                      <w:rPr>
                        <w:rFonts w:ascii="Times New Roman" w:hAnsi="Times New Roman"/>
                        <w:szCs w:val="21"/>
                      </w:rPr>
                      <w:t>7</w:t>
                    </w:r>
                  </w:p>
                </w:tc>
                <w:tc>
                  <w:tcPr>
                    <w:tcW w:w="1411" w:type="pct"/>
                    <w:tcBorders>
                      <w:top w:val="outset" w:sz="6" w:space="0" w:color="auto"/>
                      <w:left w:val="outset" w:sz="6" w:space="0" w:color="auto"/>
                      <w:bottom w:val="outset" w:sz="6" w:space="0" w:color="auto"/>
                      <w:right w:val="outset" w:sz="6" w:space="0" w:color="auto"/>
                    </w:tcBorders>
                    <w:vAlign w:val="center"/>
                  </w:tcPr>
                  <w:p w14:paraId="500C4329"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42,293,997.10</w:t>
                    </w:r>
                  </w:p>
                </w:tc>
                <w:tc>
                  <w:tcPr>
                    <w:tcW w:w="1333" w:type="pct"/>
                    <w:tcBorders>
                      <w:top w:val="outset" w:sz="6" w:space="0" w:color="auto"/>
                      <w:left w:val="outset" w:sz="6" w:space="0" w:color="auto"/>
                      <w:bottom w:val="outset" w:sz="6" w:space="0" w:color="auto"/>
                      <w:right w:val="outset" w:sz="6" w:space="0" w:color="auto"/>
                    </w:tcBorders>
                    <w:vAlign w:val="center"/>
                  </w:tcPr>
                  <w:p w14:paraId="0179695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w:t>
                    </w:r>
                  </w:p>
                </w:tc>
              </w:tr>
              <w:tr w:rsidR="00D21C1F" w14:paraId="64C8A331" w14:textId="77777777">
                <w:sdt>
                  <w:sdtPr>
                    <w:tag w:val="_PLD_5eafba3923544dfc81be450ef6e000ee"/>
                    <w:id w:val="-16533616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47CF1F" w14:textId="77777777" w:rsidR="00D21C1F" w:rsidRDefault="00A42880">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64E1995F" w14:textId="77777777" w:rsidR="00D21C1F" w:rsidRDefault="00A42880">
                    <w:pPr>
                      <w:rPr>
                        <w:szCs w:val="21"/>
                      </w:rPr>
                    </w:pPr>
                    <w:r>
                      <w:rPr>
                        <w:rFonts w:hint="eastAsia"/>
                      </w:rPr>
                      <w:t>七、</w:t>
                    </w:r>
                    <w:r>
                      <w:rPr>
                        <w:rFonts w:ascii="Times New Roman" w:hAnsi="Times New Roman" w:hint="eastAsia"/>
                      </w:rPr>
                      <w:t>4</w:t>
                    </w:r>
                    <w:r>
                      <w:rPr>
                        <w:rFonts w:ascii="Times New Roman" w:hAnsi="Times New Roman"/>
                      </w:rPr>
                      <w:t>9</w:t>
                    </w:r>
                  </w:p>
                </w:tc>
                <w:tc>
                  <w:tcPr>
                    <w:tcW w:w="1411" w:type="pct"/>
                    <w:tcBorders>
                      <w:top w:val="outset" w:sz="6" w:space="0" w:color="auto"/>
                      <w:left w:val="outset" w:sz="6" w:space="0" w:color="auto"/>
                      <w:bottom w:val="outset" w:sz="6" w:space="0" w:color="auto"/>
                      <w:right w:val="outset" w:sz="6" w:space="0" w:color="auto"/>
                    </w:tcBorders>
                    <w:vAlign w:val="center"/>
                  </w:tcPr>
                  <w:p w14:paraId="3DC5CBCC"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49,846,178.22</w:t>
                    </w:r>
                  </w:p>
                </w:tc>
                <w:tc>
                  <w:tcPr>
                    <w:tcW w:w="1333" w:type="pct"/>
                    <w:tcBorders>
                      <w:top w:val="outset" w:sz="6" w:space="0" w:color="auto"/>
                      <w:left w:val="outset" w:sz="6" w:space="0" w:color="auto"/>
                      <w:bottom w:val="outset" w:sz="6" w:space="0" w:color="auto"/>
                      <w:right w:val="outset" w:sz="6" w:space="0" w:color="auto"/>
                    </w:tcBorders>
                    <w:vAlign w:val="center"/>
                  </w:tcPr>
                  <w:p w14:paraId="6828155E"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52,731,859.39</w:t>
                    </w:r>
                  </w:p>
                </w:tc>
              </w:tr>
              <w:tr w:rsidR="00D21C1F" w14:paraId="79B364CF" w14:textId="77777777">
                <w:sdt>
                  <w:sdtPr>
                    <w:tag w:val="_PLD_ed2d2511d3684ed0ac593049a3abc203"/>
                    <w:id w:val="4306247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298C29" w14:textId="77777777" w:rsidR="00D21C1F" w:rsidRDefault="00A42880">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54F2AFF3" w14:textId="77777777" w:rsidR="00D21C1F" w:rsidRDefault="00A42880">
                    <w:pPr>
                      <w:rPr>
                        <w:szCs w:val="21"/>
                      </w:rPr>
                    </w:pPr>
                    <w:r>
                      <w:rPr>
                        <w:rFonts w:hint="eastAsia"/>
                      </w:rPr>
                      <w:t>七、</w:t>
                    </w:r>
                    <w:r>
                      <w:rPr>
                        <w:rFonts w:ascii="Times New Roman" w:hAnsi="Times New Roman" w:hint="eastAsia"/>
                      </w:rPr>
                      <w:t>5</w:t>
                    </w:r>
                    <w:r>
                      <w:rPr>
                        <w:rFonts w:ascii="Times New Roman" w:hAnsi="Times New Roman"/>
                      </w:rPr>
                      <w:t>0</w:t>
                    </w:r>
                  </w:p>
                </w:tc>
                <w:tc>
                  <w:tcPr>
                    <w:tcW w:w="1411" w:type="pct"/>
                    <w:tcBorders>
                      <w:top w:val="outset" w:sz="6" w:space="0" w:color="auto"/>
                      <w:left w:val="outset" w:sz="6" w:space="0" w:color="auto"/>
                      <w:bottom w:val="outset" w:sz="6" w:space="0" w:color="auto"/>
                      <w:right w:val="outset" w:sz="6" w:space="0" w:color="auto"/>
                    </w:tcBorders>
                    <w:vAlign w:val="center"/>
                  </w:tcPr>
                  <w:p w14:paraId="7D54D9D0"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7,537,802.66</w:t>
                    </w:r>
                  </w:p>
                </w:tc>
                <w:tc>
                  <w:tcPr>
                    <w:tcW w:w="1333" w:type="pct"/>
                    <w:tcBorders>
                      <w:top w:val="outset" w:sz="6" w:space="0" w:color="auto"/>
                      <w:left w:val="outset" w:sz="6" w:space="0" w:color="auto"/>
                      <w:bottom w:val="outset" w:sz="6" w:space="0" w:color="auto"/>
                      <w:right w:val="outset" w:sz="6" w:space="0" w:color="auto"/>
                    </w:tcBorders>
                    <w:vAlign w:val="center"/>
                  </w:tcPr>
                  <w:p w14:paraId="3B34F54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7,771,688.08</w:t>
                    </w:r>
                  </w:p>
                </w:tc>
              </w:tr>
              <w:tr w:rsidR="00D21C1F" w14:paraId="10B813DE" w14:textId="77777777">
                <w:sdt>
                  <w:sdtPr>
                    <w:tag w:val="_PLD_ee1b0ee29ae24aa09d29da2690e141a2"/>
                    <w:id w:val="-12887323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2F513B" w14:textId="77777777" w:rsidR="00D21C1F" w:rsidRDefault="00A42880">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1C4C4457" w14:textId="77777777" w:rsidR="00D21C1F" w:rsidRDefault="00A42880">
                    <w:pPr>
                      <w:rPr>
                        <w:szCs w:val="21"/>
                      </w:rPr>
                    </w:pPr>
                    <w:r>
                      <w:rPr>
                        <w:rFonts w:hint="eastAsia"/>
                      </w:rPr>
                      <w:t>七、</w:t>
                    </w:r>
                    <w:r>
                      <w:rPr>
                        <w:rFonts w:ascii="Times New Roman" w:hAnsi="Times New Roman" w:hint="eastAsia"/>
                      </w:rPr>
                      <w:t>5</w:t>
                    </w:r>
                    <w:r>
                      <w:rPr>
                        <w:rFonts w:ascii="Times New Roman" w:hAnsi="Times New Roman"/>
                      </w:rPr>
                      <w:t>1</w:t>
                    </w:r>
                  </w:p>
                </w:tc>
                <w:tc>
                  <w:tcPr>
                    <w:tcW w:w="1411" w:type="pct"/>
                    <w:tcBorders>
                      <w:top w:val="outset" w:sz="6" w:space="0" w:color="auto"/>
                      <w:left w:val="outset" w:sz="6" w:space="0" w:color="auto"/>
                      <w:bottom w:val="outset" w:sz="6" w:space="0" w:color="auto"/>
                      <w:right w:val="outset" w:sz="6" w:space="0" w:color="auto"/>
                    </w:tcBorders>
                    <w:vAlign w:val="center"/>
                  </w:tcPr>
                  <w:p w14:paraId="34E6737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52,805,140.67</w:t>
                    </w:r>
                  </w:p>
                </w:tc>
                <w:tc>
                  <w:tcPr>
                    <w:tcW w:w="1333" w:type="pct"/>
                    <w:tcBorders>
                      <w:top w:val="outset" w:sz="6" w:space="0" w:color="auto"/>
                      <w:left w:val="outset" w:sz="6" w:space="0" w:color="auto"/>
                      <w:bottom w:val="outset" w:sz="6" w:space="0" w:color="auto"/>
                      <w:right w:val="outset" w:sz="6" w:space="0" w:color="auto"/>
                    </w:tcBorders>
                    <w:vAlign w:val="center"/>
                  </w:tcPr>
                  <w:p w14:paraId="07E9002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46,407,644.34</w:t>
                    </w:r>
                  </w:p>
                </w:tc>
              </w:tr>
              <w:tr w:rsidR="00D21C1F" w14:paraId="18EBB1DA" w14:textId="77777777">
                <w:sdt>
                  <w:sdtPr>
                    <w:tag w:val="_PLD_f6e51ce85b734d1984a9495c17250c42"/>
                    <w:id w:val="-10425105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DEDF81" w14:textId="77777777" w:rsidR="00D21C1F" w:rsidRDefault="00A42880">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0130FFA8" w14:textId="77777777" w:rsidR="00D21C1F" w:rsidRDefault="00A42880">
                    <w:pPr>
                      <w:rPr>
                        <w:szCs w:val="21"/>
                      </w:rPr>
                    </w:pPr>
                    <w:r>
                      <w:rPr>
                        <w:rFonts w:hint="eastAsia"/>
                      </w:rPr>
                      <w:t>七、</w:t>
                    </w:r>
                    <w:r>
                      <w:rPr>
                        <w:rFonts w:ascii="Times New Roman" w:hAnsi="Times New Roman" w:hint="eastAsia"/>
                      </w:rPr>
                      <w:t>3</w:t>
                    </w:r>
                    <w:r>
                      <w:rPr>
                        <w:rFonts w:ascii="Times New Roman" w:hAnsi="Times New Roman"/>
                      </w:rPr>
                      <w:t>0</w:t>
                    </w:r>
                  </w:p>
                </w:tc>
                <w:tc>
                  <w:tcPr>
                    <w:tcW w:w="1411" w:type="pct"/>
                    <w:tcBorders>
                      <w:top w:val="outset" w:sz="6" w:space="0" w:color="auto"/>
                      <w:left w:val="outset" w:sz="6" w:space="0" w:color="auto"/>
                      <w:bottom w:val="outset" w:sz="6" w:space="0" w:color="auto"/>
                      <w:right w:val="outset" w:sz="6" w:space="0" w:color="auto"/>
                    </w:tcBorders>
                    <w:vAlign w:val="center"/>
                  </w:tcPr>
                  <w:p w14:paraId="4FCC6E74"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81,906,550.33</w:t>
                    </w:r>
                  </w:p>
                </w:tc>
                <w:tc>
                  <w:tcPr>
                    <w:tcW w:w="1333" w:type="pct"/>
                    <w:tcBorders>
                      <w:top w:val="outset" w:sz="6" w:space="0" w:color="auto"/>
                      <w:left w:val="outset" w:sz="6" w:space="0" w:color="auto"/>
                      <w:bottom w:val="outset" w:sz="6" w:space="0" w:color="auto"/>
                      <w:right w:val="outset" w:sz="6" w:space="0" w:color="auto"/>
                    </w:tcBorders>
                    <w:vAlign w:val="center"/>
                  </w:tcPr>
                  <w:p w14:paraId="70B633BC"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91,289,189.71</w:t>
                    </w:r>
                  </w:p>
                </w:tc>
              </w:tr>
              <w:tr w:rsidR="00D21C1F" w14:paraId="30C5680D" w14:textId="77777777">
                <w:sdt>
                  <w:sdtPr>
                    <w:tag w:val="_PLD_9a037ee272c84e11aebdce23c3e2fab7"/>
                    <w:id w:val="12674229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CD4F55" w14:textId="77777777" w:rsidR="00D21C1F" w:rsidRDefault="00A42880">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69692A9F"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94FF31"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374,428,852.59</w:t>
                    </w:r>
                  </w:p>
                </w:tc>
                <w:tc>
                  <w:tcPr>
                    <w:tcW w:w="1333" w:type="pct"/>
                    <w:tcBorders>
                      <w:top w:val="outset" w:sz="6" w:space="0" w:color="auto"/>
                      <w:left w:val="outset" w:sz="6" w:space="0" w:color="auto"/>
                      <w:bottom w:val="outset" w:sz="6" w:space="0" w:color="auto"/>
                      <w:right w:val="outset" w:sz="6" w:space="0" w:color="auto"/>
                    </w:tcBorders>
                    <w:vAlign w:val="center"/>
                  </w:tcPr>
                  <w:p w14:paraId="290E9DB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352,896,142.13</w:t>
                    </w:r>
                  </w:p>
                </w:tc>
              </w:tr>
              <w:tr w:rsidR="00D21C1F" w14:paraId="6CB72153" w14:textId="77777777">
                <w:sdt>
                  <w:sdtPr>
                    <w:tag w:val="_PLD_233108162bf84d59baba5ef73da9dcd0"/>
                    <w:id w:val="11070801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357ACA" w14:textId="77777777" w:rsidR="00D21C1F" w:rsidRDefault="00A42880">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3EB45679"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66378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1,279,209,121.37</w:t>
                    </w:r>
                  </w:p>
                </w:tc>
                <w:tc>
                  <w:tcPr>
                    <w:tcW w:w="1333" w:type="pct"/>
                    <w:tcBorders>
                      <w:top w:val="outset" w:sz="6" w:space="0" w:color="auto"/>
                      <w:left w:val="outset" w:sz="6" w:space="0" w:color="auto"/>
                      <w:bottom w:val="outset" w:sz="6" w:space="0" w:color="auto"/>
                      <w:right w:val="outset" w:sz="6" w:space="0" w:color="auto"/>
                    </w:tcBorders>
                    <w:vAlign w:val="center"/>
                  </w:tcPr>
                  <w:p w14:paraId="176DDCAA"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1,190,840,848.52</w:t>
                    </w:r>
                  </w:p>
                </w:tc>
              </w:tr>
              <w:tr w:rsidR="00D21C1F" w14:paraId="6DEB3BDA" w14:textId="77777777">
                <w:sdt>
                  <w:sdtPr>
                    <w:tag w:val="_PLD_4fe68479676b4c8c840de2211f0c67b8"/>
                    <w:id w:val="-11091120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865680" w14:textId="77777777" w:rsidR="00D21C1F" w:rsidRDefault="00A42880">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14:paraId="64B15553" w14:textId="77777777" w:rsidR="00D21C1F" w:rsidRDefault="00D21C1F">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232F6B" w14:textId="77777777" w:rsidR="00D21C1F" w:rsidRPr="008A62E6" w:rsidRDefault="00D21C1F">
                    <w:pPr>
                      <w:rPr>
                        <w:rFonts w:ascii="Times New Roman" w:hAnsi="Times New Roman" w:cs="Times New Roman"/>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ADEBC51" w14:textId="77777777" w:rsidR="00D21C1F" w:rsidRPr="008A62E6" w:rsidRDefault="00D21C1F">
                    <w:pPr>
                      <w:rPr>
                        <w:rFonts w:ascii="Times New Roman" w:hAnsi="Times New Roman" w:cs="Times New Roman"/>
                        <w:color w:val="008000"/>
                        <w:szCs w:val="21"/>
                      </w:rPr>
                    </w:pPr>
                  </w:p>
                </w:tc>
              </w:tr>
              <w:tr w:rsidR="00D21C1F" w14:paraId="42754148" w14:textId="77777777">
                <w:sdt>
                  <w:sdtPr>
                    <w:tag w:val="_PLD_b456a8ee715b430f8ed57755440db66b"/>
                    <w:id w:val="-17480263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641586" w14:textId="77777777" w:rsidR="00D21C1F" w:rsidRDefault="00A42880">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3E9AB548" w14:textId="77777777" w:rsidR="00D21C1F" w:rsidRDefault="00A42880">
                    <w:pPr>
                      <w:rPr>
                        <w:szCs w:val="21"/>
                      </w:rPr>
                    </w:pPr>
                    <w:r>
                      <w:rPr>
                        <w:rFonts w:hint="eastAsia"/>
                        <w:szCs w:val="21"/>
                      </w:rPr>
                      <w:t>七、</w:t>
                    </w:r>
                    <w:r>
                      <w:rPr>
                        <w:rFonts w:ascii="Times New Roman" w:hAnsi="Times New Roman" w:hint="eastAsia"/>
                        <w:szCs w:val="21"/>
                      </w:rPr>
                      <w:t>5</w:t>
                    </w:r>
                    <w:r>
                      <w:rPr>
                        <w:rFonts w:ascii="Times New Roman" w:hAnsi="Times New Roman"/>
                        <w:szCs w:val="21"/>
                      </w:rPr>
                      <w:t>3</w:t>
                    </w:r>
                  </w:p>
                </w:tc>
                <w:tc>
                  <w:tcPr>
                    <w:tcW w:w="1411" w:type="pct"/>
                    <w:tcBorders>
                      <w:top w:val="outset" w:sz="6" w:space="0" w:color="auto"/>
                      <w:left w:val="outset" w:sz="6" w:space="0" w:color="auto"/>
                      <w:bottom w:val="outset" w:sz="6" w:space="0" w:color="auto"/>
                      <w:right w:val="outset" w:sz="6" w:space="0" w:color="auto"/>
                    </w:tcBorders>
                    <w:vAlign w:val="center"/>
                  </w:tcPr>
                  <w:p w14:paraId="502971E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521,780,000.00</w:t>
                    </w:r>
                  </w:p>
                </w:tc>
                <w:tc>
                  <w:tcPr>
                    <w:tcW w:w="1333" w:type="pct"/>
                    <w:tcBorders>
                      <w:top w:val="outset" w:sz="6" w:space="0" w:color="auto"/>
                      <w:left w:val="outset" w:sz="6" w:space="0" w:color="auto"/>
                      <w:bottom w:val="outset" w:sz="6" w:space="0" w:color="auto"/>
                      <w:right w:val="outset" w:sz="6" w:space="0" w:color="auto"/>
                    </w:tcBorders>
                    <w:vAlign w:val="center"/>
                  </w:tcPr>
                  <w:p w14:paraId="6102C610"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521,780,000.00</w:t>
                    </w:r>
                  </w:p>
                </w:tc>
              </w:tr>
              <w:tr w:rsidR="00D21C1F" w14:paraId="25A732D5" w14:textId="77777777">
                <w:sdt>
                  <w:sdtPr>
                    <w:tag w:val="_PLD_e6837305adaf4d9aba334aa74c5bef79"/>
                    <w:id w:val="-20672481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8E8C59" w14:textId="77777777" w:rsidR="00D21C1F" w:rsidRDefault="00A42880">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66AAFF95" w14:textId="77777777" w:rsidR="00D21C1F" w:rsidRDefault="00A42880">
                    <w:pPr>
                      <w:rPr>
                        <w:szCs w:val="21"/>
                      </w:rPr>
                    </w:pPr>
                    <w:r>
                      <w:rPr>
                        <w:rFonts w:hint="eastAsia"/>
                        <w:szCs w:val="21"/>
                      </w:rPr>
                      <w:t>七、</w:t>
                    </w:r>
                    <w:r>
                      <w:rPr>
                        <w:rFonts w:ascii="Times New Roman" w:hAnsi="Times New Roman" w:hint="eastAsia"/>
                        <w:szCs w:val="21"/>
                      </w:rPr>
                      <w:t>5</w:t>
                    </w:r>
                    <w:r>
                      <w:rPr>
                        <w:rFonts w:ascii="Times New Roman" w:hAnsi="Times New Roman"/>
                        <w:szCs w:val="21"/>
                      </w:rPr>
                      <w:t>5</w:t>
                    </w:r>
                  </w:p>
                </w:tc>
                <w:tc>
                  <w:tcPr>
                    <w:tcW w:w="1411" w:type="pct"/>
                    <w:tcBorders>
                      <w:top w:val="outset" w:sz="6" w:space="0" w:color="auto"/>
                      <w:left w:val="outset" w:sz="6" w:space="0" w:color="auto"/>
                      <w:bottom w:val="outset" w:sz="6" w:space="0" w:color="auto"/>
                      <w:right w:val="outset" w:sz="6" w:space="0" w:color="auto"/>
                    </w:tcBorders>
                    <w:vAlign w:val="center"/>
                  </w:tcPr>
                  <w:p w14:paraId="491BF263"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2,016,677,412.57</w:t>
                    </w:r>
                  </w:p>
                </w:tc>
                <w:tc>
                  <w:tcPr>
                    <w:tcW w:w="1333" w:type="pct"/>
                    <w:tcBorders>
                      <w:top w:val="outset" w:sz="6" w:space="0" w:color="auto"/>
                      <w:left w:val="outset" w:sz="6" w:space="0" w:color="auto"/>
                      <w:bottom w:val="outset" w:sz="6" w:space="0" w:color="auto"/>
                      <w:right w:val="outset" w:sz="6" w:space="0" w:color="auto"/>
                    </w:tcBorders>
                    <w:vAlign w:val="center"/>
                  </w:tcPr>
                  <w:p w14:paraId="502E9216"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2,009,304,318.01</w:t>
                    </w:r>
                  </w:p>
                </w:tc>
              </w:tr>
              <w:tr w:rsidR="00D21C1F" w14:paraId="4BD2CCA9" w14:textId="77777777">
                <w:sdt>
                  <w:sdtPr>
                    <w:tag w:val="_PLD_ed778b8c2aaa425cb45af63fe0d20a4d"/>
                    <w:id w:val="1818692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EACA3B" w14:textId="77777777" w:rsidR="00D21C1F" w:rsidRDefault="00A42880">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4A5CD9CD" w14:textId="77777777" w:rsidR="00D21C1F" w:rsidRDefault="00A42880">
                    <w:pPr>
                      <w:rPr>
                        <w:szCs w:val="21"/>
                      </w:rPr>
                    </w:pPr>
                    <w:r>
                      <w:rPr>
                        <w:rFonts w:hint="eastAsia"/>
                        <w:szCs w:val="21"/>
                      </w:rPr>
                      <w:t>七、</w:t>
                    </w:r>
                    <w:r>
                      <w:rPr>
                        <w:rFonts w:ascii="Times New Roman" w:hAnsi="Times New Roman" w:hint="eastAsia"/>
                        <w:szCs w:val="21"/>
                      </w:rPr>
                      <w:t>5</w:t>
                    </w:r>
                    <w:r>
                      <w:rPr>
                        <w:rFonts w:ascii="Times New Roman" w:hAnsi="Times New Roman"/>
                        <w:szCs w:val="21"/>
                      </w:rPr>
                      <w:t>7</w:t>
                    </w:r>
                  </w:p>
                </w:tc>
                <w:tc>
                  <w:tcPr>
                    <w:tcW w:w="1411" w:type="pct"/>
                    <w:tcBorders>
                      <w:top w:val="outset" w:sz="6" w:space="0" w:color="auto"/>
                      <w:left w:val="outset" w:sz="6" w:space="0" w:color="auto"/>
                      <w:bottom w:val="outset" w:sz="6" w:space="0" w:color="auto"/>
                      <w:right w:val="outset" w:sz="6" w:space="0" w:color="auto"/>
                    </w:tcBorders>
                    <w:vAlign w:val="center"/>
                  </w:tcPr>
                  <w:p w14:paraId="671C794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-100,669,763.59</w:t>
                    </w:r>
                  </w:p>
                </w:tc>
                <w:tc>
                  <w:tcPr>
                    <w:tcW w:w="1333" w:type="pct"/>
                    <w:tcBorders>
                      <w:top w:val="outset" w:sz="6" w:space="0" w:color="auto"/>
                      <w:left w:val="outset" w:sz="6" w:space="0" w:color="auto"/>
                      <w:bottom w:val="outset" w:sz="6" w:space="0" w:color="auto"/>
                      <w:right w:val="outset" w:sz="6" w:space="0" w:color="auto"/>
                    </w:tcBorders>
                    <w:vAlign w:val="center"/>
                  </w:tcPr>
                  <w:p w14:paraId="4A662629"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-86,283,221.34</w:t>
                    </w:r>
                  </w:p>
                </w:tc>
              </w:tr>
              <w:tr w:rsidR="00D21C1F" w14:paraId="4783D930" w14:textId="77777777">
                <w:sdt>
                  <w:sdtPr>
                    <w:tag w:val="_PLD_9f1157091e4b41f7b980273a3e11b2e5"/>
                    <w:id w:val="-6978579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9F7057" w14:textId="77777777" w:rsidR="00D21C1F" w:rsidRDefault="00A42880">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51A5A02E" w14:textId="77777777" w:rsidR="00D21C1F" w:rsidRDefault="00A42880">
                    <w:pPr>
                      <w:rPr>
                        <w:szCs w:val="21"/>
                      </w:rPr>
                    </w:pPr>
                    <w:r>
                      <w:rPr>
                        <w:rFonts w:hint="eastAsia"/>
                        <w:szCs w:val="21"/>
                      </w:rPr>
                      <w:t>七、</w:t>
                    </w:r>
                    <w:r>
                      <w:rPr>
                        <w:rFonts w:ascii="Times New Roman" w:hAnsi="Times New Roman" w:hint="eastAsia"/>
                        <w:szCs w:val="21"/>
                      </w:rPr>
                      <w:t>5</w:t>
                    </w:r>
                    <w:r>
                      <w:rPr>
                        <w:rFonts w:ascii="Times New Roman" w:hAnsi="Times New Roman"/>
                        <w:szCs w:val="21"/>
                      </w:rPr>
                      <w:t>9</w:t>
                    </w:r>
                  </w:p>
                </w:tc>
                <w:tc>
                  <w:tcPr>
                    <w:tcW w:w="1411" w:type="pct"/>
                    <w:tcBorders>
                      <w:top w:val="outset" w:sz="6" w:space="0" w:color="auto"/>
                      <w:left w:val="outset" w:sz="6" w:space="0" w:color="auto"/>
                      <w:bottom w:val="outset" w:sz="6" w:space="0" w:color="auto"/>
                      <w:right w:val="outset" w:sz="6" w:space="0" w:color="auto"/>
                    </w:tcBorders>
                    <w:vAlign w:val="center"/>
                  </w:tcPr>
                  <w:p w14:paraId="59FEF82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10,122,906.55</w:t>
                    </w:r>
                  </w:p>
                </w:tc>
                <w:tc>
                  <w:tcPr>
                    <w:tcW w:w="1333" w:type="pct"/>
                    <w:tcBorders>
                      <w:top w:val="outset" w:sz="6" w:space="0" w:color="auto"/>
                      <w:left w:val="outset" w:sz="6" w:space="0" w:color="auto"/>
                      <w:bottom w:val="outset" w:sz="6" w:space="0" w:color="auto"/>
                      <w:right w:val="outset" w:sz="6" w:space="0" w:color="auto"/>
                    </w:tcBorders>
                    <w:vAlign w:val="center"/>
                  </w:tcPr>
                  <w:p w14:paraId="2583ACAB"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10,122,906.55</w:t>
                    </w:r>
                  </w:p>
                </w:tc>
              </w:tr>
              <w:tr w:rsidR="00D21C1F" w14:paraId="1887DB1E" w14:textId="77777777">
                <w:sdt>
                  <w:sdtPr>
                    <w:tag w:val="_PLD_c329719465d9412cab74b5424ac30bd4"/>
                    <w:id w:val="18705631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3BB21C" w14:textId="77777777" w:rsidR="00D21C1F" w:rsidRDefault="00A42880">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3A2CA1DB" w14:textId="77777777" w:rsidR="00D21C1F" w:rsidRDefault="00A42880">
                    <w:pPr>
                      <w:rPr>
                        <w:szCs w:val="21"/>
                      </w:rPr>
                    </w:pPr>
                    <w:r>
                      <w:rPr>
                        <w:rFonts w:hint="eastAsia"/>
                        <w:szCs w:val="21"/>
                      </w:rPr>
                      <w:t>七、</w:t>
                    </w:r>
                    <w:r>
                      <w:rPr>
                        <w:rFonts w:ascii="Times New Roman" w:hAnsi="Times New Roman" w:hint="eastAsia"/>
                        <w:szCs w:val="21"/>
                      </w:rPr>
                      <w:t>6</w:t>
                    </w:r>
                    <w:r>
                      <w:rPr>
                        <w:rFonts w:ascii="Times New Roman" w:hAnsi="Times New Roman"/>
                        <w:szCs w:val="21"/>
                      </w:rPr>
                      <w:t>0</w:t>
                    </w:r>
                  </w:p>
                </w:tc>
                <w:tc>
                  <w:tcPr>
                    <w:tcW w:w="1411" w:type="pct"/>
                    <w:tcBorders>
                      <w:top w:val="outset" w:sz="6" w:space="0" w:color="auto"/>
                      <w:left w:val="outset" w:sz="6" w:space="0" w:color="auto"/>
                      <w:bottom w:val="outset" w:sz="6" w:space="0" w:color="auto"/>
                      <w:right w:val="outset" w:sz="6" w:space="0" w:color="auto"/>
                    </w:tcBorders>
                    <w:vAlign w:val="center"/>
                  </w:tcPr>
                  <w:p w14:paraId="5D4A258D"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-401,967,117.17</w:t>
                    </w:r>
                  </w:p>
                </w:tc>
                <w:tc>
                  <w:tcPr>
                    <w:tcW w:w="1333" w:type="pct"/>
                    <w:tcBorders>
                      <w:top w:val="outset" w:sz="6" w:space="0" w:color="auto"/>
                      <w:left w:val="outset" w:sz="6" w:space="0" w:color="auto"/>
                      <w:bottom w:val="outset" w:sz="6" w:space="0" w:color="auto"/>
                      <w:right w:val="outset" w:sz="6" w:space="0" w:color="auto"/>
                    </w:tcBorders>
                    <w:vAlign w:val="center"/>
                  </w:tcPr>
                  <w:p w14:paraId="008F67A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-345,488,092.53</w:t>
                    </w:r>
                  </w:p>
                </w:tc>
              </w:tr>
              <w:tr w:rsidR="00D21C1F" w14:paraId="026CD3C2" w14:textId="77777777">
                <w:sdt>
                  <w:sdtPr>
                    <w:tag w:val="_PLD_09fcb4ca82f14307ab214d34a90b9ef2"/>
                    <w:id w:val="18536761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EDCDE4" w14:textId="77777777" w:rsidR="00D21C1F" w:rsidRDefault="00A42880">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74006773"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E8D9123"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2,045,943,438.36</w:t>
                    </w:r>
                  </w:p>
                </w:tc>
                <w:tc>
                  <w:tcPr>
                    <w:tcW w:w="1333" w:type="pct"/>
                    <w:tcBorders>
                      <w:top w:val="outset" w:sz="6" w:space="0" w:color="auto"/>
                      <w:left w:val="outset" w:sz="6" w:space="0" w:color="auto"/>
                      <w:bottom w:val="outset" w:sz="6" w:space="0" w:color="auto"/>
                      <w:right w:val="outset" w:sz="6" w:space="0" w:color="auto"/>
                    </w:tcBorders>
                    <w:vAlign w:val="center"/>
                  </w:tcPr>
                  <w:p w14:paraId="2805D298"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2,109,435,910.69</w:t>
                    </w:r>
                  </w:p>
                </w:tc>
              </w:tr>
              <w:tr w:rsidR="00D21C1F" w14:paraId="76384A6B" w14:textId="77777777">
                <w:sdt>
                  <w:sdtPr>
                    <w:tag w:val="_PLD_ba9844f67b5f427c8b672b584512bc30"/>
                    <w:id w:val="-5950977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047858" w14:textId="77777777" w:rsidR="00D21C1F" w:rsidRDefault="00A42880">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14:paraId="5A898AA8"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9932D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6,814,491.43</w:t>
                    </w:r>
                  </w:p>
                </w:tc>
                <w:tc>
                  <w:tcPr>
                    <w:tcW w:w="1333" w:type="pct"/>
                    <w:tcBorders>
                      <w:top w:val="outset" w:sz="6" w:space="0" w:color="auto"/>
                      <w:left w:val="outset" w:sz="6" w:space="0" w:color="auto"/>
                      <w:bottom w:val="outset" w:sz="6" w:space="0" w:color="auto"/>
                      <w:right w:val="outset" w:sz="6" w:space="0" w:color="auto"/>
                    </w:tcBorders>
                    <w:vAlign w:val="center"/>
                  </w:tcPr>
                  <w:p w14:paraId="3540137C"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7,056,143.09</w:t>
                    </w:r>
                  </w:p>
                </w:tc>
              </w:tr>
              <w:tr w:rsidR="00D21C1F" w14:paraId="700E7FAC" w14:textId="77777777">
                <w:sdt>
                  <w:sdtPr>
                    <w:tag w:val="_PLD_49d0693ecf324c179ed30b3065d9fd15"/>
                    <w:id w:val="-5099877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88BEAEC" w14:textId="77777777" w:rsidR="00D21C1F" w:rsidRDefault="00A42880">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5AC049E8"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E031E2"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2,052,757,929.79</w:t>
                    </w:r>
                  </w:p>
                </w:tc>
                <w:tc>
                  <w:tcPr>
                    <w:tcW w:w="1333" w:type="pct"/>
                    <w:tcBorders>
                      <w:top w:val="outset" w:sz="6" w:space="0" w:color="auto"/>
                      <w:left w:val="outset" w:sz="6" w:space="0" w:color="auto"/>
                      <w:bottom w:val="outset" w:sz="6" w:space="0" w:color="auto"/>
                      <w:right w:val="outset" w:sz="6" w:space="0" w:color="auto"/>
                    </w:tcBorders>
                    <w:vAlign w:val="center"/>
                  </w:tcPr>
                  <w:p w14:paraId="3CE67475"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2,116,492,053.78</w:t>
                    </w:r>
                  </w:p>
                </w:tc>
              </w:tr>
              <w:tr w:rsidR="00D21C1F" w14:paraId="334C6BE5" w14:textId="77777777">
                <w:sdt>
                  <w:sdtPr>
                    <w:tag w:val="_PLD_def9f9081ac845ec93bbb1e70817d650"/>
                    <w:id w:val="-19550918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44DB26" w14:textId="77777777" w:rsidR="00D21C1F" w:rsidRDefault="00A42880">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27982FC6" w14:textId="77777777" w:rsidR="00D21C1F" w:rsidRDefault="00D21C1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46D9939"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3,331,967,051.16</w:t>
                    </w:r>
                  </w:p>
                </w:tc>
                <w:tc>
                  <w:tcPr>
                    <w:tcW w:w="1333" w:type="pct"/>
                    <w:tcBorders>
                      <w:top w:val="outset" w:sz="6" w:space="0" w:color="auto"/>
                      <w:left w:val="outset" w:sz="6" w:space="0" w:color="auto"/>
                      <w:bottom w:val="outset" w:sz="6" w:space="0" w:color="auto"/>
                      <w:right w:val="outset" w:sz="6" w:space="0" w:color="auto"/>
                    </w:tcBorders>
                    <w:vAlign w:val="center"/>
                  </w:tcPr>
                  <w:p w14:paraId="4B9BCE76" w14:textId="77777777" w:rsidR="00D21C1F" w:rsidRPr="008A62E6" w:rsidRDefault="00A42880">
                    <w:pPr>
                      <w:jc w:val="right"/>
                      <w:rPr>
                        <w:rFonts w:ascii="Times New Roman" w:hAnsi="Times New Roman" w:cs="Times New Roman"/>
                        <w:szCs w:val="21"/>
                      </w:rPr>
                    </w:pPr>
                    <w:r w:rsidRPr="008A62E6">
                      <w:rPr>
                        <w:rFonts w:ascii="Times New Roman" w:hAnsi="Times New Roman" w:cs="Times New Roman"/>
                      </w:rPr>
                      <w:t>3,307,332,902.30</w:t>
                    </w:r>
                  </w:p>
                </w:tc>
              </w:tr>
            </w:tbl>
            <w:p w14:paraId="15D400AB" w14:textId="77777777" w:rsidR="00D21C1F" w:rsidRDefault="00D21C1F">
              <w:pPr>
                <w:pStyle w:val="97"/>
              </w:pPr>
            </w:p>
            <w:p w14:paraId="012A56BF" w14:textId="77777777" w:rsidR="00D21C1F" w:rsidRDefault="00A42880">
              <w:pPr>
                <w:ind w:rightChars="-73" w:right="-153"/>
                <w:rPr>
                  <w:color w:val="008000"/>
                  <w:szCs w:val="21"/>
                  <w:u w:val="single"/>
                </w:rPr>
              </w:pPr>
              <w:r>
                <w:rPr>
                  <w:szCs w:val="21"/>
                </w:rPr>
                <w:t>公司负责人</w:t>
              </w:r>
              <w:r>
                <w:rPr>
                  <w:rFonts w:hint="eastAsia"/>
                  <w:szCs w:val="21"/>
                </w:rPr>
                <w:t>：</w:t>
              </w:r>
              <w:sdt>
                <w:sdtPr>
                  <w:rPr>
                    <w:rFonts w:hint="eastAsia"/>
                    <w:szCs w:val="21"/>
                  </w:rPr>
                  <w:alias w:val="公司负责人"/>
                  <w:tag w:val="_GBC_82350876809b4479afe9f3c55db147dd"/>
                  <w:id w:val="-1456946904"/>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181077742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58405541"/>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p w14:paraId="504EA0D2" w14:textId="77777777" w:rsidR="00D21C1F" w:rsidRDefault="00045EC6">
              <w:pPr>
                <w:ind w:rightChars="-73" w:right="-153"/>
                <w:rPr>
                  <w:b/>
                  <w:bCs/>
                  <w:color w:val="008000"/>
                  <w:szCs w:val="21"/>
                  <w:u w:val="single"/>
                </w:rPr>
              </w:pPr>
            </w:p>
          </w:sdtContent>
        </w:sdt>
        <w:p w14:paraId="737C8469" w14:textId="77777777" w:rsidR="00D21C1F" w:rsidRDefault="00D21C1F">
          <w:pPr>
            <w:snapToGrid w:val="0"/>
            <w:spacing w:line="240" w:lineRule="atLeast"/>
            <w:ind w:rightChars="-759" w:right="-1594"/>
            <w:rPr>
              <w:szCs w:val="21"/>
            </w:rPr>
          </w:pPr>
        </w:p>
        <w:sdt>
          <w:sdtPr>
            <w:rPr>
              <w:rFonts w:ascii="宋体" w:eastAsia="宋体" w:hAnsi="宋体" w:cs="宋体" w:hint="eastAsia"/>
              <w:b w:val="0"/>
              <w:bCs w:val="0"/>
              <w:kern w:val="0"/>
              <w:szCs w:val="24"/>
            </w:rPr>
            <w:tag w:val="_GBC_af8c8d1094d041008b00be724891aff3"/>
            <w:id w:val="188190849"/>
            <w:lock w:val="sdtLocked"/>
            <w:placeholder>
              <w:docPart w:val="GBC22222222222222222222222222222"/>
            </w:placeholder>
          </w:sdtPr>
          <w:sdtEndPr>
            <w:rPr>
              <w:szCs w:val="21"/>
            </w:rPr>
          </w:sdtEndPr>
          <w:sdtContent>
            <w:p w14:paraId="0AF09992" w14:textId="77777777" w:rsidR="00D21C1F" w:rsidRDefault="00A42880">
              <w:pPr>
                <w:pStyle w:val="94"/>
                <w:jc w:val="center"/>
                <w:rPr>
                  <w:rFonts w:ascii="宋体" w:hAnsi="宋体"/>
                </w:rPr>
              </w:pPr>
              <w:r>
                <w:rPr>
                  <w:rFonts w:ascii="宋体" w:hAnsi="宋体" w:hint="eastAsia"/>
                </w:rPr>
                <w:t>母公司</w:t>
              </w:r>
              <w:r>
                <w:rPr>
                  <w:rFonts w:ascii="宋体" w:hAnsi="宋体"/>
                </w:rPr>
                <w:t>资产负债表</w:t>
              </w:r>
            </w:p>
            <w:p w14:paraId="4B403F65" w14:textId="77777777" w:rsidR="00D21C1F" w:rsidRDefault="00A42880">
              <w:pPr>
                <w:jc w:val="center"/>
                <w:rPr>
                  <w:b/>
                  <w:bCs/>
                  <w:szCs w:val="21"/>
                </w:rPr>
              </w:pPr>
              <w:r>
                <w:rPr>
                  <w:rFonts w:ascii="Times New Roman" w:hAnsi="Times New Roman"/>
                  <w:szCs w:val="21"/>
                </w:rPr>
                <w:t>2021</w:t>
              </w:r>
              <w:r>
                <w:rPr>
                  <w:szCs w:val="21"/>
                </w:rPr>
                <w:t>年</w:t>
              </w:r>
              <w:r>
                <w:rPr>
                  <w:rFonts w:ascii="Times New Roman" w:hAnsi="Times New Roman"/>
                  <w:szCs w:val="21"/>
                </w:rPr>
                <w:t>6</w:t>
              </w:r>
              <w:r>
                <w:rPr>
                  <w:szCs w:val="21"/>
                </w:rPr>
                <w:t>月</w:t>
              </w:r>
              <w:r>
                <w:rPr>
                  <w:rFonts w:ascii="Times New Roman" w:hAnsi="Times New Roman"/>
                  <w:szCs w:val="21"/>
                </w:rPr>
                <w:t>30</w:t>
              </w:r>
              <w:r>
                <w:rPr>
                  <w:szCs w:val="21"/>
                </w:rPr>
                <w:t>日</w:t>
              </w:r>
            </w:p>
            <w:p w14:paraId="7ACCD8DC" w14:textId="77777777" w:rsidR="00D21C1F" w:rsidRDefault="00A42880">
              <w:pPr>
                <w:rPr>
                  <w:szCs w:val="21"/>
                </w:rPr>
              </w:pPr>
              <w:r>
                <w:rPr>
                  <w:szCs w:val="21"/>
                </w:rPr>
                <w:t>编制单位:</w:t>
              </w:r>
              <w:sdt>
                <w:sdtPr>
                  <w:rPr>
                    <w:szCs w:val="21"/>
                  </w:rPr>
                  <w:alias w:val="公司法定中文名称"/>
                  <w:tag w:val="_GBC_824a3e7402834e78aa66a9ee77d287bc"/>
                  <w:id w:val="146338303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埃夫特智能装备股份有限公司</w:t>
                  </w:r>
                </w:sdtContent>
              </w:sdt>
            </w:p>
            <w:p w14:paraId="1FA86197" w14:textId="77777777" w:rsidR="00D21C1F" w:rsidRDefault="00A42880">
              <w:pPr>
                <w:jc w:val="right"/>
                <w:rPr>
                  <w:szCs w:val="21"/>
                </w:rPr>
              </w:pPr>
              <w:r>
                <w:rPr>
                  <w:szCs w:val="21"/>
                </w:rPr>
                <w:t>单位:</w:t>
              </w:r>
              <w:sdt>
                <w:sdtPr>
                  <w:rPr>
                    <w:szCs w:val="21"/>
                  </w:rPr>
                  <w:alias w:val="单位：母公司资产负债表"/>
                  <w:tag w:val="_GBC_7be010b1a07f4048a3805d40208ccda4"/>
                  <w:id w:val="-630315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母公司资产负债表"/>
                  <w:tag w:val="_GBC_ecd35f8ce6f84d6f8ad30e1e244c15ff"/>
                  <w:id w:val="1348369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0436EA" w14:paraId="500C08C3" w14:textId="77777777" w:rsidTr="00D07E51">
                <w:sdt>
                  <w:sdtPr>
                    <w:tag w:val="_PLD_7b231a79acb54050b640bf23dd34ab8c"/>
                    <w:id w:val="14644717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D58848" w14:textId="77777777" w:rsidR="000436EA" w:rsidRDefault="000436EA" w:rsidP="00D07E51">
                        <w:pPr>
                          <w:jc w:val="center"/>
                          <w:rPr>
                            <w:b/>
                            <w:szCs w:val="21"/>
                          </w:rPr>
                        </w:pPr>
                        <w:r>
                          <w:rPr>
                            <w:b/>
                            <w:szCs w:val="21"/>
                          </w:rPr>
                          <w:t>项目</w:t>
                        </w:r>
                      </w:p>
                    </w:tc>
                  </w:sdtContent>
                </w:sdt>
                <w:sdt>
                  <w:sdtPr>
                    <w:tag w:val="_PLD_5e370aa08a144a709185abd9b2f11c20"/>
                    <w:id w:val="911654882"/>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07DA2121" w14:textId="77777777" w:rsidR="000436EA" w:rsidRDefault="000436EA" w:rsidP="00D07E51">
                        <w:pPr>
                          <w:jc w:val="center"/>
                          <w:rPr>
                            <w:b/>
                            <w:szCs w:val="21"/>
                          </w:rPr>
                        </w:pPr>
                        <w:r>
                          <w:rPr>
                            <w:rFonts w:hint="eastAsia"/>
                            <w:b/>
                            <w:szCs w:val="21"/>
                          </w:rPr>
                          <w:t>附注</w:t>
                        </w:r>
                      </w:p>
                    </w:tc>
                  </w:sdtContent>
                </w:sdt>
                <w:sdt>
                  <w:sdtPr>
                    <w:tag w:val="_PLD_0aa0a7a0cd4c45afa7cfb1bcfbba36c3"/>
                    <w:id w:val="-1492790598"/>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5635A2D6" w14:textId="77777777" w:rsidR="000436EA" w:rsidRDefault="000436EA" w:rsidP="00D07E51">
                        <w:pPr>
                          <w:jc w:val="center"/>
                          <w:rPr>
                            <w:b/>
                            <w:szCs w:val="21"/>
                          </w:rPr>
                        </w:pPr>
                        <w:r>
                          <w:rPr>
                            <w:rFonts w:ascii="Times New Roman" w:hAnsi="Times New Roman" w:hint="eastAsia"/>
                            <w:b/>
                          </w:rPr>
                          <w:t>2021</w:t>
                        </w:r>
                        <w:r>
                          <w:rPr>
                            <w:rFonts w:hint="eastAsia"/>
                            <w:b/>
                          </w:rPr>
                          <w:t>年</w:t>
                        </w:r>
                        <w:r>
                          <w:rPr>
                            <w:rFonts w:ascii="Times New Roman" w:hAnsi="Times New Roman" w:hint="eastAsia"/>
                            <w:b/>
                          </w:rPr>
                          <w:t>6</w:t>
                        </w:r>
                        <w:r>
                          <w:rPr>
                            <w:rFonts w:hint="eastAsia"/>
                            <w:b/>
                          </w:rPr>
                          <w:t>月</w:t>
                        </w:r>
                        <w:r>
                          <w:rPr>
                            <w:rFonts w:ascii="Times New Roman" w:hAnsi="Times New Roman" w:hint="eastAsia"/>
                            <w:b/>
                          </w:rPr>
                          <w:t>30</w:t>
                        </w:r>
                        <w:r>
                          <w:rPr>
                            <w:rFonts w:hint="eastAsia"/>
                            <w:b/>
                          </w:rPr>
                          <w:t>日</w:t>
                        </w:r>
                      </w:p>
                    </w:tc>
                  </w:sdtContent>
                </w:sdt>
                <w:sdt>
                  <w:sdtPr>
                    <w:tag w:val="_PLD_e986dda0dbc74346a9296e5a4646b696"/>
                    <w:id w:val="-1675569276"/>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62B4E041" w14:textId="77777777" w:rsidR="000436EA" w:rsidRDefault="000436EA" w:rsidP="00D07E51">
                        <w:pPr>
                          <w:jc w:val="center"/>
                          <w:rPr>
                            <w:b/>
                            <w:szCs w:val="21"/>
                          </w:rPr>
                        </w:pPr>
                        <w:r>
                          <w:rPr>
                            <w:rFonts w:ascii="Times New Roman" w:hAnsi="Times New Roman" w:hint="eastAsia"/>
                            <w:b/>
                            <w:szCs w:val="21"/>
                          </w:rPr>
                          <w:t>2020</w:t>
                        </w:r>
                        <w:r>
                          <w:rPr>
                            <w:rFonts w:hint="eastAsia"/>
                            <w:b/>
                            <w:szCs w:val="21"/>
                          </w:rPr>
                          <w:t>年</w:t>
                        </w:r>
                        <w:r>
                          <w:rPr>
                            <w:rFonts w:ascii="Times New Roman" w:hAnsi="Times New Roman" w:hint="eastAsia"/>
                            <w:b/>
                            <w:szCs w:val="21"/>
                          </w:rPr>
                          <w:t>12</w:t>
                        </w:r>
                        <w:r>
                          <w:rPr>
                            <w:rFonts w:hint="eastAsia"/>
                            <w:b/>
                            <w:szCs w:val="21"/>
                          </w:rPr>
                          <w:t>月</w:t>
                        </w:r>
                        <w:r>
                          <w:rPr>
                            <w:rFonts w:ascii="Times New Roman" w:hAnsi="Times New Roman" w:hint="eastAsia"/>
                            <w:b/>
                            <w:szCs w:val="21"/>
                          </w:rPr>
                          <w:t>31</w:t>
                        </w:r>
                        <w:r>
                          <w:rPr>
                            <w:rFonts w:hint="eastAsia"/>
                            <w:b/>
                            <w:szCs w:val="21"/>
                          </w:rPr>
                          <w:t>日</w:t>
                        </w:r>
                      </w:p>
                    </w:tc>
                  </w:sdtContent>
                </w:sdt>
              </w:tr>
              <w:tr w:rsidR="000436EA" w14:paraId="3B479AC9" w14:textId="77777777" w:rsidTr="00D07E51">
                <w:sdt>
                  <w:sdtPr>
                    <w:tag w:val="_PLD_64ae72669eea4837a1a220d585585bdf"/>
                    <w:id w:val="16057687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B8F0EF" w14:textId="77777777" w:rsidR="000436EA" w:rsidRDefault="000436EA" w:rsidP="00D07E51">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14:paraId="6A0007B1" w14:textId="77777777" w:rsidR="000436EA" w:rsidRDefault="000436EA" w:rsidP="00D07E51">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14:paraId="1E340FB5" w14:textId="77777777" w:rsidR="000436EA" w:rsidRDefault="000436EA" w:rsidP="00D07E51">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14:paraId="4E4B56A3" w14:textId="77777777" w:rsidR="000436EA" w:rsidRDefault="000436EA" w:rsidP="00D07E51">
                    <w:pPr>
                      <w:rPr>
                        <w:b/>
                        <w:color w:val="FF00FF"/>
                        <w:szCs w:val="21"/>
                      </w:rPr>
                    </w:pPr>
                  </w:p>
                </w:tc>
              </w:tr>
              <w:tr w:rsidR="000436EA" w14:paraId="45A435E9" w14:textId="77777777" w:rsidTr="00D07E51">
                <w:sdt>
                  <w:sdtPr>
                    <w:tag w:val="_PLD_9b78743cdab64576b5cd6da9a3a930fa"/>
                    <w:id w:val="-13754523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09D641" w14:textId="77777777" w:rsidR="000436EA" w:rsidRDefault="000436EA" w:rsidP="00D07E51">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256D4F29"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829FA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321,748,527.12</w:t>
                    </w:r>
                  </w:p>
                </w:tc>
                <w:tc>
                  <w:tcPr>
                    <w:tcW w:w="1333" w:type="pct"/>
                    <w:tcBorders>
                      <w:top w:val="outset" w:sz="6" w:space="0" w:color="auto"/>
                      <w:left w:val="outset" w:sz="6" w:space="0" w:color="auto"/>
                      <w:bottom w:val="outset" w:sz="6" w:space="0" w:color="auto"/>
                      <w:right w:val="outset" w:sz="6" w:space="0" w:color="auto"/>
                    </w:tcBorders>
                    <w:vAlign w:val="center"/>
                  </w:tcPr>
                  <w:p w14:paraId="47348A23"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160,603,920.05</w:t>
                    </w:r>
                  </w:p>
                </w:tc>
              </w:tr>
              <w:tr w:rsidR="000436EA" w14:paraId="43263E44" w14:textId="77777777" w:rsidTr="00D07E5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634072351"/>
                      <w:lock w:val="sdtLocked"/>
                    </w:sdtPr>
                    <w:sdtEndPr/>
                    <w:sdtContent>
                      <w:p w14:paraId="47B4F347" w14:textId="77777777" w:rsidR="000436EA" w:rsidRDefault="000436EA" w:rsidP="00D07E51">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03E5B726"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EAFE3C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436,360,739.72</w:t>
                    </w:r>
                  </w:p>
                </w:tc>
                <w:tc>
                  <w:tcPr>
                    <w:tcW w:w="1333" w:type="pct"/>
                    <w:tcBorders>
                      <w:top w:val="outset" w:sz="6" w:space="0" w:color="auto"/>
                      <w:left w:val="outset" w:sz="6" w:space="0" w:color="auto"/>
                      <w:bottom w:val="outset" w:sz="6" w:space="0" w:color="auto"/>
                      <w:right w:val="outset" w:sz="6" w:space="0" w:color="auto"/>
                    </w:tcBorders>
                    <w:vAlign w:val="center"/>
                  </w:tcPr>
                  <w:p w14:paraId="5CC315C0"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693,115,758.89</w:t>
                    </w:r>
                  </w:p>
                </w:tc>
              </w:tr>
              <w:tr w:rsidR="000436EA" w14:paraId="18748AB3" w14:textId="77777777" w:rsidTr="00D07E51">
                <w:sdt>
                  <w:sdtPr>
                    <w:tag w:val="_PLD_ff993f326eb24b209c608805e7d5452d"/>
                    <w:id w:val="4784296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2F968A" w14:textId="77777777" w:rsidR="000436EA" w:rsidRDefault="000436EA" w:rsidP="00D07E51">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15AEEBD3"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99C043"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51,568,696.41</w:t>
                    </w:r>
                  </w:p>
                </w:tc>
                <w:tc>
                  <w:tcPr>
                    <w:tcW w:w="1333" w:type="pct"/>
                    <w:tcBorders>
                      <w:top w:val="outset" w:sz="6" w:space="0" w:color="auto"/>
                      <w:left w:val="outset" w:sz="6" w:space="0" w:color="auto"/>
                      <w:bottom w:val="outset" w:sz="6" w:space="0" w:color="auto"/>
                      <w:right w:val="outset" w:sz="6" w:space="0" w:color="auto"/>
                    </w:tcBorders>
                    <w:vAlign w:val="center"/>
                  </w:tcPr>
                  <w:p w14:paraId="0F71B68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41,802,015.07</w:t>
                    </w:r>
                  </w:p>
                </w:tc>
              </w:tr>
              <w:tr w:rsidR="000436EA" w14:paraId="42135694" w14:textId="77777777" w:rsidTr="00D07E51">
                <w:sdt>
                  <w:sdtPr>
                    <w:tag w:val="_PLD_e1b51c42e6ff4b2b89ce73b84b0ca8c1"/>
                    <w:id w:val="14306258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F9C234" w14:textId="77777777" w:rsidR="000436EA" w:rsidRDefault="000436EA" w:rsidP="00D07E51">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0D9C222E" w14:textId="77777777" w:rsidR="000436EA" w:rsidRDefault="000436EA" w:rsidP="00D07E51">
                    <w:pPr>
                      <w:rPr>
                        <w:szCs w:val="21"/>
                      </w:rPr>
                    </w:pPr>
                    <w:r>
                      <w:rPr>
                        <w:rFonts w:hint="eastAsia"/>
                        <w:szCs w:val="21"/>
                      </w:rPr>
                      <w:t>十七、</w:t>
                    </w:r>
                    <w:r>
                      <w:rPr>
                        <w:rFonts w:ascii="Times New Roman" w:hAnsi="Times New Roman" w:hint="eastAsia"/>
                        <w:szCs w:val="21"/>
                      </w:rPr>
                      <w:t>1</w:t>
                    </w:r>
                  </w:p>
                </w:tc>
                <w:tc>
                  <w:tcPr>
                    <w:tcW w:w="1411" w:type="pct"/>
                    <w:tcBorders>
                      <w:top w:val="outset" w:sz="6" w:space="0" w:color="auto"/>
                      <w:left w:val="outset" w:sz="6" w:space="0" w:color="auto"/>
                      <w:bottom w:val="outset" w:sz="6" w:space="0" w:color="auto"/>
                      <w:right w:val="outset" w:sz="6" w:space="0" w:color="auto"/>
                    </w:tcBorders>
                    <w:vAlign w:val="center"/>
                  </w:tcPr>
                  <w:p w14:paraId="39D7F7A8"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327,066,159.08</w:t>
                    </w:r>
                  </w:p>
                </w:tc>
                <w:tc>
                  <w:tcPr>
                    <w:tcW w:w="1333" w:type="pct"/>
                    <w:tcBorders>
                      <w:top w:val="outset" w:sz="6" w:space="0" w:color="auto"/>
                      <w:left w:val="outset" w:sz="6" w:space="0" w:color="auto"/>
                      <w:bottom w:val="outset" w:sz="6" w:space="0" w:color="auto"/>
                      <w:right w:val="outset" w:sz="6" w:space="0" w:color="auto"/>
                    </w:tcBorders>
                    <w:vAlign w:val="center"/>
                  </w:tcPr>
                  <w:p w14:paraId="2D44C3A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234,877,971.91</w:t>
                    </w:r>
                  </w:p>
                </w:tc>
              </w:tr>
              <w:tr w:rsidR="000436EA" w14:paraId="6BDF0AAC" w14:textId="77777777" w:rsidTr="00D07E5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1434888783"/>
                      <w:lock w:val="sdtLocked"/>
                    </w:sdtPr>
                    <w:sdtEndPr/>
                    <w:sdtContent>
                      <w:p w14:paraId="7AED5556" w14:textId="77777777" w:rsidR="000436EA" w:rsidRDefault="000436EA" w:rsidP="00D07E51">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7DEFC1D2"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1EB7F9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32,441,267.79</w:t>
                    </w:r>
                  </w:p>
                </w:tc>
                <w:tc>
                  <w:tcPr>
                    <w:tcW w:w="1333" w:type="pct"/>
                    <w:tcBorders>
                      <w:top w:val="outset" w:sz="6" w:space="0" w:color="auto"/>
                      <w:left w:val="outset" w:sz="6" w:space="0" w:color="auto"/>
                      <w:bottom w:val="outset" w:sz="6" w:space="0" w:color="auto"/>
                      <w:right w:val="outset" w:sz="6" w:space="0" w:color="auto"/>
                    </w:tcBorders>
                    <w:vAlign w:val="center"/>
                  </w:tcPr>
                  <w:p w14:paraId="728B7A48"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14,814,553.26</w:t>
                    </w:r>
                  </w:p>
                </w:tc>
              </w:tr>
              <w:tr w:rsidR="000436EA" w14:paraId="01EC3FD5" w14:textId="77777777" w:rsidTr="00D07E51">
                <w:sdt>
                  <w:sdtPr>
                    <w:tag w:val="_PLD_805b2d340ad24fae990479b422656525"/>
                    <w:id w:val="-10701884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A965B0" w14:textId="77777777" w:rsidR="000436EA" w:rsidRDefault="000436EA" w:rsidP="00D07E51">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0BAEFEDC"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74034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55,560,065.18</w:t>
                    </w:r>
                  </w:p>
                </w:tc>
                <w:tc>
                  <w:tcPr>
                    <w:tcW w:w="1333" w:type="pct"/>
                    <w:tcBorders>
                      <w:top w:val="outset" w:sz="6" w:space="0" w:color="auto"/>
                      <w:left w:val="outset" w:sz="6" w:space="0" w:color="auto"/>
                      <w:bottom w:val="outset" w:sz="6" w:space="0" w:color="auto"/>
                      <w:right w:val="outset" w:sz="6" w:space="0" w:color="auto"/>
                    </w:tcBorders>
                    <w:vAlign w:val="center"/>
                  </w:tcPr>
                  <w:p w14:paraId="24AFA8D2"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40,277,351.86</w:t>
                    </w:r>
                  </w:p>
                </w:tc>
              </w:tr>
              <w:tr w:rsidR="000436EA" w14:paraId="5504E1D4" w14:textId="77777777" w:rsidTr="00D07E51">
                <w:sdt>
                  <w:sdtPr>
                    <w:tag w:val="_PLD_cf9f116dabbb48b2a5a0f3ba0b4772cd"/>
                    <w:id w:val="-19630253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F59830D" w14:textId="77777777" w:rsidR="000436EA" w:rsidRDefault="000436EA" w:rsidP="00D07E51">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08057E2B" w14:textId="77777777" w:rsidR="000436EA" w:rsidRDefault="000436EA" w:rsidP="00D07E51">
                    <w:pPr>
                      <w:rPr>
                        <w:szCs w:val="21"/>
                      </w:rPr>
                    </w:pPr>
                    <w:r>
                      <w:rPr>
                        <w:rFonts w:hint="eastAsia"/>
                        <w:szCs w:val="21"/>
                      </w:rPr>
                      <w:t>十七、</w:t>
                    </w:r>
                    <w:r>
                      <w:rPr>
                        <w:rFonts w:ascii="Times New Roman" w:hAnsi="Times New Roman" w:hint="eastAsia"/>
                        <w:szCs w:val="21"/>
                      </w:rPr>
                      <w:t>2</w:t>
                    </w:r>
                  </w:p>
                </w:tc>
                <w:tc>
                  <w:tcPr>
                    <w:tcW w:w="1411" w:type="pct"/>
                    <w:tcBorders>
                      <w:top w:val="outset" w:sz="6" w:space="0" w:color="auto"/>
                      <w:left w:val="outset" w:sz="6" w:space="0" w:color="auto"/>
                      <w:bottom w:val="outset" w:sz="6" w:space="0" w:color="auto"/>
                      <w:right w:val="outset" w:sz="6" w:space="0" w:color="auto"/>
                    </w:tcBorders>
                    <w:vAlign w:val="center"/>
                  </w:tcPr>
                  <w:p w14:paraId="55C5E613"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176,960,867.84</w:t>
                    </w:r>
                  </w:p>
                </w:tc>
                <w:tc>
                  <w:tcPr>
                    <w:tcW w:w="1333" w:type="pct"/>
                    <w:tcBorders>
                      <w:top w:val="outset" w:sz="6" w:space="0" w:color="auto"/>
                      <w:left w:val="outset" w:sz="6" w:space="0" w:color="auto"/>
                      <w:bottom w:val="outset" w:sz="6" w:space="0" w:color="auto"/>
                      <w:right w:val="outset" w:sz="6" w:space="0" w:color="auto"/>
                    </w:tcBorders>
                    <w:vAlign w:val="center"/>
                  </w:tcPr>
                  <w:p w14:paraId="2418586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240,171,330.15</w:t>
                    </w:r>
                  </w:p>
                </w:tc>
              </w:tr>
              <w:tr w:rsidR="000436EA" w14:paraId="5F1EEB9B" w14:textId="77777777" w:rsidTr="00D07E51">
                <w:sdt>
                  <w:sdtPr>
                    <w:tag w:val="_PLD_b55f9182bb0f4ff099725b83128277f5"/>
                    <w:id w:val="11111585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585D81" w14:textId="77777777" w:rsidR="000436EA" w:rsidRDefault="000436EA" w:rsidP="00D07E51">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5407EF62"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F77746B"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151,823.15</w:t>
                    </w:r>
                  </w:p>
                </w:tc>
                <w:tc>
                  <w:tcPr>
                    <w:tcW w:w="1333" w:type="pct"/>
                    <w:tcBorders>
                      <w:top w:val="outset" w:sz="6" w:space="0" w:color="auto"/>
                      <w:left w:val="outset" w:sz="6" w:space="0" w:color="auto"/>
                      <w:bottom w:val="outset" w:sz="6" w:space="0" w:color="auto"/>
                      <w:right w:val="outset" w:sz="6" w:space="0" w:color="auto"/>
                    </w:tcBorders>
                    <w:vAlign w:val="center"/>
                  </w:tcPr>
                  <w:p w14:paraId="34BA0357"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21,705.54</w:t>
                    </w:r>
                  </w:p>
                </w:tc>
              </w:tr>
              <w:tr w:rsidR="000436EA" w14:paraId="5959C911" w14:textId="77777777" w:rsidTr="00D07E51">
                <w:sdt>
                  <w:sdtPr>
                    <w:tag w:val="_PLD_e9ef2df028eb46cbb98922f7b2e9c423"/>
                    <w:id w:val="-76082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04192B1" w14:textId="77777777" w:rsidR="000436EA" w:rsidRDefault="000436EA" w:rsidP="00D07E51">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2EA57408"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C6127A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14:paraId="563C10B5"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szCs w:val="21"/>
                      </w:rPr>
                      <w:t>-</w:t>
                    </w:r>
                  </w:p>
                </w:tc>
              </w:tr>
              <w:tr w:rsidR="000436EA" w14:paraId="280B6261" w14:textId="77777777" w:rsidTr="00D07E51">
                <w:sdt>
                  <w:sdtPr>
                    <w:tag w:val="_PLD_6cc0aeaf59b04efabb1f01b5c63b990f"/>
                    <w:id w:val="10476429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837ECB" w14:textId="77777777" w:rsidR="000436EA" w:rsidRDefault="000436EA" w:rsidP="00D07E51">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23A427FC"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B9EBA26"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150,251,475.04</w:t>
                    </w:r>
                  </w:p>
                </w:tc>
                <w:tc>
                  <w:tcPr>
                    <w:tcW w:w="1333" w:type="pct"/>
                    <w:tcBorders>
                      <w:top w:val="outset" w:sz="6" w:space="0" w:color="auto"/>
                      <w:left w:val="outset" w:sz="6" w:space="0" w:color="auto"/>
                      <w:bottom w:val="outset" w:sz="6" w:space="0" w:color="auto"/>
                      <w:right w:val="outset" w:sz="6" w:space="0" w:color="auto"/>
                    </w:tcBorders>
                    <w:vAlign w:val="center"/>
                  </w:tcPr>
                  <w:p w14:paraId="43582835"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78,828,142.87</w:t>
                    </w:r>
                  </w:p>
                </w:tc>
              </w:tr>
              <w:tr w:rsidR="000436EA" w14:paraId="04AAD324" w14:textId="77777777" w:rsidTr="00D07E5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852152749"/>
                      <w:lock w:val="sdtLocked"/>
                    </w:sdtPr>
                    <w:sdtEndPr/>
                    <w:sdtContent>
                      <w:p w14:paraId="57C9F702" w14:textId="77777777" w:rsidR="000436EA" w:rsidRDefault="000436EA" w:rsidP="00D07E51">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7A15E469"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4E8846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146,687,070.80</w:t>
                    </w:r>
                  </w:p>
                </w:tc>
                <w:tc>
                  <w:tcPr>
                    <w:tcW w:w="1333" w:type="pct"/>
                    <w:tcBorders>
                      <w:top w:val="outset" w:sz="6" w:space="0" w:color="auto"/>
                      <w:left w:val="outset" w:sz="6" w:space="0" w:color="auto"/>
                      <w:bottom w:val="outset" w:sz="6" w:space="0" w:color="auto"/>
                      <w:right w:val="outset" w:sz="6" w:space="0" w:color="auto"/>
                    </w:tcBorders>
                    <w:vAlign w:val="center"/>
                  </w:tcPr>
                  <w:p w14:paraId="572D6C91"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108,258,900.20</w:t>
                    </w:r>
                  </w:p>
                </w:tc>
              </w:tr>
              <w:tr w:rsidR="000436EA" w14:paraId="445314EF" w14:textId="77777777" w:rsidTr="00D07E51">
                <w:sdt>
                  <w:sdtPr>
                    <w:tag w:val="_PLD_62c79909426d483f990fd7869da0a773"/>
                    <w:id w:val="-17734603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72C51A" w14:textId="77777777" w:rsidR="000436EA" w:rsidRDefault="000436EA" w:rsidP="00D07E51">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560032B0"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A56546"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15,079,889.66</w:t>
                    </w:r>
                  </w:p>
                </w:tc>
                <w:tc>
                  <w:tcPr>
                    <w:tcW w:w="1333" w:type="pct"/>
                    <w:tcBorders>
                      <w:top w:val="outset" w:sz="6" w:space="0" w:color="auto"/>
                      <w:left w:val="outset" w:sz="6" w:space="0" w:color="auto"/>
                      <w:bottom w:val="outset" w:sz="6" w:space="0" w:color="auto"/>
                      <w:right w:val="outset" w:sz="6" w:space="0" w:color="auto"/>
                    </w:tcBorders>
                    <w:vAlign w:val="center"/>
                  </w:tcPr>
                  <w:p w14:paraId="442B1861"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12,805,831.04</w:t>
                    </w:r>
                  </w:p>
                </w:tc>
              </w:tr>
              <w:tr w:rsidR="000436EA" w14:paraId="71054830" w14:textId="77777777" w:rsidTr="00D07E51">
                <w:sdt>
                  <w:sdtPr>
                    <w:tag w:val="_PLD_b5f1546085cd4f41ba16ec6a8b42ac7f"/>
                    <w:id w:val="11214210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56EA8B" w14:textId="77777777" w:rsidR="000436EA" w:rsidRDefault="000436EA" w:rsidP="00D07E51">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1B70A88C"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FEB25D"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1,713,724,758.64</w:t>
                    </w:r>
                  </w:p>
                </w:tc>
                <w:tc>
                  <w:tcPr>
                    <w:tcW w:w="1333" w:type="pct"/>
                    <w:tcBorders>
                      <w:top w:val="outset" w:sz="6" w:space="0" w:color="auto"/>
                      <w:left w:val="outset" w:sz="6" w:space="0" w:color="auto"/>
                      <w:bottom w:val="outset" w:sz="6" w:space="0" w:color="auto"/>
                      <w:right w:val="outset" w:sz="6" w:space="0" w:color="auto"/>
                    </w:tcBorders>
                    <w:vAlign w:val="center"/>
                  </w:tcPr>
                  <w:p w14:paraId="050D79C6"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1,625,555,775.30</w:t>
                    </w:r>
                  </w:p>
                </w:tc>
              </w:tr>
              <w:tr w:rsidR="000436EA" w14:paraId="086D99A2" w14:textId="77777777" w:rsidTr="00D07E51">
                <w:sdt>
                  <w:sdtPr>
                    <w:tag w:val="_PLD_71f45ac7535d4ffeaa6273d6527bae0d"/>
                    <w:id w:val="-13308239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AF6088" w14:textId="77777777" w:rsidR="000436EA" w:rsidRDefault="000436EA" w:rsidP="00D07E51">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4D172E6D" w14:textId="77777777" w:rsidR="000436EA" w:rsidRDefault="000436EA" w:rsidP="00D07E51">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D5CF088" w14:textId="77777777" w:rsidR="000436EA" w:rsidRPr="000436EA" w:rsidRDefault="000436EA" w:rsidP="00D07E51">
                    <w:pPr>
                      <w:rPr>
                        <w:rFonts w:ascii="Times New Roman" w:hAnsi="Times New Roman" w:cs="Times New Roman"/>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1843838" w14:textId="77777777" w:rsidR="000436EA" w:rsidRPr="000436EA" w:rsidRDefault="000436EA" w:rsidP="00D07E51">
                    <w:pPr>
                      <w:rPr>
                        <w:rFonts w:ascii="Times New Roman" w:hAnsi="Times New Roman" w:cs="Times New Roman"/>
                        <w:color w:val="008000"/>
                        <w:szCs w:val="21"/>
                      </w:rPr>
                    </w:pPr>
                  </w:p>
                </w:tc>
              </w:tr>
              <w:tr w:rsidR="000436EA" w14:paraId="18B2F21B" w14:textId="77777777" w:rsidTr="00D07E51">
                <w:sdt>
                  <w:sdtPr>
                    <w:tag w:val="_PLD_fa3d0d37a62a4d8890171550ab1664b1"/>
                    <w:id w:val="10214470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AB94CB" w14:textId="77777777" w:rsidR="000436EA" w:rsidRDefault="000436EA" w:rsidP="00D07E51">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247831C0" w14:textId="77777777" w:rsidR="000436EA" w:rsidRDefault="000436EA" w:rsidP="00D07E51">
                    <w:pPr>
                      <w:rPr>
                        <w:szCs w:val="21"/>
                      </w:rPr>
                    </w:pPr>
                    <w:r>
                      <w:rPr>
                        <w:rFonts w:hint="eastAsia"/>
                        <w:szCs w:val="21"/>
                      </w:rPr>
                      <w:t>十七、</w:t>
                    </w:r>
                    <w:r>
                      <w:rPr>
                        <w:rFonts w:ascii="Times New Roman" w:hAnsi="Times New Roman" w:hint="eastAsia"/>
                        <w:szCs w:val="21"/>
                      </w:rPr>
                      <w:t>3</w:t>
                    </w:r>
                  </w:p>
                </w:tc>
                <w:tc>
                  <w:tcPr>
                    <w:tcW w:w="1411" w:type="pct"/>
                    <w:tcBorders>
                      <w:top w:val="outset" w:sz="6" w:space="0" w:color="auto"/>
                      <w:left w:val="outset" w:sz="6" w:space="0" w:color="auto"/>
                      <w:bottom w:val="outset" w:sz="6" w:space="0" w:color="auto"/>
                      <w:right w:val="outset" w:sz="6" w:space="0" w:color="auto"/>
                    </w:tcBorders>
                    <w:vAlign w:val="center"/>
                  </w:tcPr>
                  <w:p w14:paraId="32194BE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1,382,078,545.17</w:t>
                    </w:r>
                  </w:p>
                </w:tc>
                <w:tc>
                  <w:tcPr>
                    <w:tcW w:w="1333" w:type="pct"/>
                    <w:tcBorders>
                      <w:top w:val="outset" w:sz="6" w:space="0" w:color="auto"/>
                      <w:left w:val="outset" w:sz="6" w:space="0" w:color="auto"/>
                      <w:bottom w:val="outset" w:sz="6" w:space="0" w:color="auto"/>
                      <w:right w:val="outset" w:sz="6" w:space="0" w:color="auto"/>
                    </w:tcBorders>
                    <w:vAlign w:val="center"/>
                  </w:tcPr>
                  <w:p w14:paraId="0F8266EB"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1,332,587,735.41</w:t>
                    </w:r>
                  </w:p>
                </w:tc>
              </w:tr>
              <w:tr w:rsidR="000436EA" w14:paraId="725BEC0F" w14:textId="77777777" w:rsidTr="00D07E5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802049962"/>
                      <w:lock w:val="sdtLocked"/>
                    </w:sdtPr>
                    <w:sdtEndPr/>
                    <w:sdtContent>
                      <w:p w14:paraId="23FEBA25" w14:textId="77777777" w:rsidR="000436EA" w:rsidRDefault="000436EA" w:rsidP="00D07E51">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7E37EA17"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1C6D97"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12,500,000.00</w:t>
                    </w:r>
                  </w:p>
                </w:tc>
                <w:tc>
                  <w:tcPr>
                    <w:tcW w:w="1333" w:type="pct"/>
                    <w:tcBorders>
                      <w:top w:val="outset" w:sz="6" w:space="0" w:color="auto"/>
                      <w:left w:val="outset" w:sz="6" w:space="0" w:color="auto"/>
                      <w:bottom w:val="outset" w:sz="6" w:space="0" w:color="auto"/>
                      <w:right w:val="outset" w:sz="6" w:space="0" w:color="auto"/>
                    </w:tcBorders>
                    <w:vAlign w:val="center"/>
                  </w:tcPr>
                  <w:p w14:paraId="57A50FC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10,000,000.00</w:t>
                    </w:r>
                  </w:p>
                </w:tc>
              </w:tr>
              <w:tr w:rsidR="000436EA" w14:paraId="7181DCCC" w14:textId="77777777" w:rsidTr="00D07E51">
                <w:sdt>
                  <w:sdtPr>
                    <w:tag w:val="_PLD_d598b192b9aa4c77b3dbe14be0a567ae"/>
                    <w:id w:val="-1466729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7BEB51" w14:textId="77777777" w:rsidR="000436EA" w:rsidRDefault="000436EA" w:rsidP="00D07E51">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6BFF639B"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F9D21B4"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18,803,374.51</w:t>
                    </w:r>
                  </w:p>
                </w:tc>
                <w:tc>
                  <w:tcPr>
                    <w:tcW w:w="1333" w:type="pct"/>
                    <w:tcBorders>
                      <w:top w:val="outset" w:sz="6" w:space="0" w:color="auto"/>
                      <w:left w:val="outset" w:sz="6" w:space="0" w:color="auto"/>
                      <w:bottom w:val="outset" w:sz="6" w:space="0" w:color="auto"/>
                      <w:right w:val="outset" w:sz="6" w:space="0" w:color="auto"/>
                    </w:tcBorders>
                    <w:vAlign w:val="center"/>
                  </w:tcPr>
                  <w:p w14:paraId="0A22BB8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18,538,942.78</w:t>
                    </w:r>
                  </w:p>
                </w:tc>
              </w:tr>
              <w:tr w:rsidR="000436EA" w14:paraId="75FD73A7" w14:textId="77777777" w:rsidTr="00D07E51">
                <w:sdt>
                  <w:sdtPr>
                    <w:tag w:val="_PLD_36c5e0c04606490d92af21e793463b46"/>
                    <w:id w:val="11762981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E007061" w14:textId="77777777" w:rsidR="000436EA" w:rsidRDefault="000436EA" w:rsidP="00D07E51">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11E3ECDE"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002B9E4"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118,996,395.79</w:t>
                    </w:r>
                  </w:p>
                </w:tc>
                <w:tc>
                  <w:tcPr>
                    <w:tcW w:w="1333" w:type="pct"/>
                    <w:tcBorders>
                      <w:top w:val="outset" w:sz="6" w:space="0" w:color="auto"/>
                      <w:left w:val="outset" w:sz="6" w:space="0" w:color="auto"/>
                      <w:bottom w:val="outset" w:sz="6" w:space="0" w:color="auto"/>
                      <w:right w:val="outset" w:sz="6" w:space="0" w:color="auto"/>
                    </w:tcBorders>
                    <w:vAlign w:val="center"/>
                  </w:tcPr>
                  <w:p w14:paraId="33A25757"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121,815,780.17</w:t>
                    </w:r>
                  </w:p>
                </w:tc>
              </w:tr>
              <w:tr w:rsidR="000436EA" w14:paraId="7274BA6B" w14:textId="77777777" w:rsidTr="00D07E51">
                <w:sdt>
                  <w:sdtPr>
                    <w:tag w:val="_PLD_81cd0ff44d5a4f0e8701c556dd24e59c"/>
                    <w:id w:val="18829015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4ABFB6" w14:textId="77777777" w:rsidR="000436EA" w:rsidRDefault="000436EA" w:rsidP="00D07E51">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29A96E47"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3F8665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3,153,997.40</w:t>
                    </w:r>
                  </w:p>
                </w:tc>
                <w:tc>
                  <w:tcPr>
                    <w:tcW w:w="1333" w:type="pct"/>
                    <w:tcBorders>
                      <w:top w:val="outset" w:sz="6" w:space="0" w:color="auto"/>
                      <w:left w:val="outset" w:sz="6" w:space="0" w:color="auto"/>
                      <w:bottom w:val="outset" w:sz="6" w:space="0" w:color="auto"/>
                      <w:right w:val="outset" w:sz="6" w:space="0" w:color="auto"/>
                    </w:tcBorders>
                    <w:vAlign w:val="center"/>
                  </w:tcPr>
                  <w:p w14:paraId="4B7C166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447,965.07</w:t>
                    </w:r>
                  </w:p>
                </w:tc>
              </w:tr>
              <w:tr w:rsidR="000436EA" w14:paraId="1CE8E0CF" w14:textId="77777777" w:rsidTr="00D07E51">
                <w:sdt>
                  <w:sdtPr>
                    <w:tag w:val="_PLD_e97c32de07ca406c995520445e6dffbf"/>
                    <w:id w:val="-18982725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2099E1" w14:textId="77777777" w:rsidR="000436EA" w:rsidRDefault="000436EA" w:rsidP="00D07E51">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14BBFBB9"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AB4976B"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45,257,470.34</w:t>
                    </w:r>
                  </w:p>
                </w:tc>
                <w:tc>
                  <w:tcPr>
                    <w:tcW w:w="1333" w:type="pct"/>
                    <w:tcBorders>
                      <w:top w:val="outset" w:sz="6" w:space="0" w:color="auto"/>
                      <w:left w:val="outset" w:sz="6" w:space="0" w:color="auto"/>
                      <w:bottom w:val="outset" w:sz="6" w:space="0" w:color="auto"/>
                      <w:right w:val="outset" w:sz="6" w:space="0" w:color="auto"/>
                    </w:tcBorders>
                    <w:vAlign w:val="center"/>
                  </w:tcPr>
                  <w:p w14:paraId="4D21989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44,692,883.55</w:t>
                    </w:r>
                  </w:p>
                </w:tc>
              </w:tr>
              <w:tr w:rsidR="000436EA" w14:paraId="38B0E2A3" w14:textId="77777777" w:rsidTr="00D07E51">
                <w:sdt>
                  <w:sdtPr>
                    <w:tag w:val="_PLD_8c08fa756eba4bf89ad37621da0216df"/>
                    <w:id w:val="20789425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051EE5" w14:textId="77777777" w:rsidR="000436EA" w:rsidRDefault="000436EA" w:rsidP="00D07E51">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387F0BC9"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CF3FAA1"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36,589,803.75</w:t>
                    </w:r>
                  </w:p>
                </w:tc>
                <w:tc>
                  <w:tcPr>
                    <w:tcW w:w="1333" w:type="pct"/>
                    <w:tcBorders>
                      <w:top w:val="outset" w:sz="6" w:space="0" w:color="auto"/>
                      <w:left w:val="outset" w:sz="6" w:space="0" w:color="auto"/>
                      <w:bottom w:val="outset" w:sz="6" w:space="0" w:color="auto"/>
                      <w:right w:val="outset" w:sz="6" w:space="0" w:color="auto"/>
                    </w:tcBorders>
                    <w:vAlign w:val="center"/>
                  </w:tcPr>
                  <w:p w14:paraId="36E2DFC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31,149,519.27</w:t>
                    </w:r>
                  </w:p>
                </w:tc>
              </w:tr>
              <w:tr w:rsidR="000436EA" w14:paraId="1D611169" w14:textId="77777777" w:rsidTr="00D07E51">
                <w:sdt>
                  <w:sdtPr>
                    <w:tag w:val="_PLD_2c72539456a6441ab49e4634f35d3b45"/>
                    <w:id w:val="13769635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F36A44" w14:textId="77777777" w:rsidR="000436EA" w:rsidRDefault="000436EA" w:rsidP="00D07E51">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3940B7DA"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D9F77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44,269,658.01</w:t>
                    </w:r>
                  </w:p>
                </w:tc>
                <w:tc>
                  <w:tcPr>
                    <w:tcW w:w="1333" w:type="pct"/>
                    <w:tcBorders>
                      <w:top w:val="outset" w:sz="6" w:space="0" w:color="auto"/>
                      <w:left w:val="outset" w:sz="6" w:space="0" w:color="auto"/>
                      <w:bottom w:val="outset" w:sz="6" w:space="0" w:color="auto"/>
                      <w:right w:val="outset" w:sz="6" w:space="0" w:color="auto"/>
                    </w:tcBorders>
                    <w:vAlign w:val="center"/>
                  </w:tcPr>
                  <w:p w14:paraId="7EF879A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39,812,686.37</w:t>
                    </w:r>
                  </w:p>
                </w:tc>
              </w:tr>
              <w:tr w:rsidR="000436EA" w14:paraId="573C3A31" w14:textId="77777777" w:rsidTr="00D07E51">
                <w:sdt>
                  <w:sdtPr>
                    <w:tag w:val="_PLD_0584991385414bca8cca9a7a9f5fabfd"/>
                    <w:id w:val="9743379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E5A3AA" w14:textId="77777777" w:rsidR="000436EA" w:rsidRDefault="000436EA" w:rsidP="00D07E51">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17C48548"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939CA6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1,661,649,244.97</w:t>
                    </w:r>
                  </w:p>
                </w:tc>
                <w:tc>
                  <w:tcPr>
                    <w:tcW w:w="1333" w:type="pct"/>
                    <w:tcBorders>
                      <w:top w:val="outset" w:sz="6" w:space="0" w:color="auto"/>
                      <w:left w:val="outset" w:sz="6" w:space="0" w:color="auto"/>
                      <w:bottom w:val="outset" w:sz="6" w:space="0" w:color="auto"/>
                      <w:right w:val="outset" w:sz="6" w:space="0" w:color="auto"/>
                    </w:tcBorders>
                    <w:vAlign w:val="center"/>
                  </w:tcPr>
                  <w:p w14:paraId="6917F5C3"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1,599,045,512.62</w:t>
                    </w:r>
                  </w:p>
                </w:tc>
              </w:tr>
              <w:tr w:rsidR="000436EA" w14:paraId="2A044B14" w14:textId="77777777" w:rsidTr="00D07E51">
                <w:sdt>
                  <w:sdtPr>
                    <w:tag w:val="_PLD_064f3b6fe172472c8abf2e1bf1a2b68a"/>
                    <w:id w:val="-18973488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914969" w14:textId="77777777" w:rsidR="000436EA" w:rsidRDefault="000436EA" w:rsidP="00D07E51">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2CBA124B"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5C9638"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3,375,374,003.61</w:t>
                    </w:r>
                  </w:p>
                </w:tc>
                <w:tc>
                  <w:tcPr>
                    <w:tcW w:w="1333" w:type="pct"/>
                    <w:tcBorders>
                      <w:top w:val="outset" w:sz="6" w:space="0" w:color="auto"/>
                      <w:left w:val="outset" w:sz="6" w:space="0" w:color="auto"/>
                      <w:bottom w:val="outset" w:sz="6" w:space="0" w:color="auto"/>
                      <w:right w:val="outset" w:sz="6" w:space="0" w:color="auto"/>
                    </w:tcBorders>
                    <w:vAlign w:val="center"/>
                  </w:tcPr>
                  <w:p w14:paraId="6FFBCD6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3,224,601,287.92</w:t>
                    </w:r>
                  </w:p>
                </w:tc>
              </w:tr>
              <w:tr w:rsidR="000436EA" w14:paraId="43D7CEEF" w14:textId="77777777" w:rsidTr="00D07E51">
                <w:sdt>
                  <w:sdtPr>
                    <w:tag w:val="_PLD_380943e088034c15ad8af33927d58d1b"/>
                    <w:id w:val="-7151976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C10394" w14:textId="77777777" w:rsidR="000436EA" w:rsidRDefault="000436EA" w:rsidP="00D07E51">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14:paraId="64B2F8EA" w14:textId="77777777" w:rsidR="000436EA" w:rsidRDefault="000436EA" w:rsidP="00D07E51">
                    <w:pPr>
                      <w:rPr>
                        <w:color w:val="FF00FF"/>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1041309" w14:textId="77777777" w:rsidR="000436EA" w:rsidRPr="000436EA" w:rsidRDefault="000436EA" w:rsidP="00D07E51">
                    <w:pPr>
                      <w:rPr>
                        <w:rFonts w:ascii="Times New Roman" w:hAnsi="Times New Roman" w:cs="Times New Roman"/>
                        <w:color w:val="FF00FF"/>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45B0B92" w14:textId="77777777" w:rsidR="000436EA" w:rsidRPr="000436EA" w:rsidRDefault="000436EA" w:rsidP="00D07E51">
                    <w:pPr>
                      <w:rPr>
                        <w:rFonts w:ascii="Times New Roman" w:hAnsi="Times New Roman" w:cs="Times New Roman"/>
                        <w:color w:val="FF00FF"/>
                        <w:szCs w:val="21"/>
                      </w:rPr>
                    </w:pPr>
                  </w:p>
                </w:tc>
              </w:tr>
              <w:tr w:rsidR="000436EA" w14:paraId="08C496E4" w14:textId="77777777" w:rsidTr="00D07E51">
                <w:sdt>
                  <w:sdtPr>
                    <w:tag w:val="_PLD_43de8e9c3fff4ed09c99de434527ef0d"/>
                    <w:id w:val="8380449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2A7A12" w14:textId="77777777" w:rsidR="000436EA" w:rsidRDefault="000436EA" w:rsidP="00D07E51">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7D99D6CF"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D2ADF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239,605,121.27</w:t>
                    </w:r>
                  </w:p>
                </w:tc>
                <w:tc>
                  <w:tcPr>
                    <w:tcW w:w="1333" w:type="pct"/>
                    <w:tcBorders>
                      <w:top w:val="outset" w:sz="6" w:space="0" w:color="auto"/>
                      <w:left w:val="outset" w:sz="6" w:space="0" w:color="auto"/>
                      <w:bottom w:val="outset" w:sz="6" w:space="0" w:color="auto"/>
                      <w:right w:val="outset" w:sz="6" w:space="0" w:color="auto"/>
                    </w:tcBorders>
                    <w:vAlign w:val="center"/>
                  </w:tcPr>
                  <w:p w14:paraId="5A68FD27"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141,738,960.59</w:t>
                    </w:r>
                  </w:p>
                </w:tc>
              </w:tr>
              <w:tr w:rsidR="000436EA" w14:paraId="092561C9" w14:textId="77777777" w:rsidTr="00D07E51">
                <w:sdt>
                  <w:sdtPr>
                    <w:tag w:val="_PLD_ef54e09967474f6490bedae105a3d5af"/>
                    <w:id w:val="-5060559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DD5482" w14:textId="77777777" w:rsidR="000436EA" w:rsidRDefault="000436EA" w:rsidP="00D07E51">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5DFFFB75"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05E97A3"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12,600,000.00</w:t>
                    </w:r>
                  </w:p>
                </w:tc>
                <w:tc>
                  <w:tcPr>
                    <w:tcW w:w="1333" w:type="pct"/>
                    <w:tcBorders>
                      <w:top w:val="outset" w:sz="6" w:space="0" w:color="auto"/>
                      <w:left w:val="outset" w:sz="6" w:space="0" w:color="auto"/>
                      <w:bottom w:val="outset" w:sz="6" w:space="0" w:color="auto"/>
                      <w:right w:val="outset" w:sz="6" w:space="0" w:color="auto"/>
                    </w:tcBorders>
                    <w:vAlign w:val="center"/>
                  </w:tcPr>
                  <w:p w14:paraId="07EC23C8"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w:t>
                    </w:r>
                  </w:p>
                </w:tc>
              </w:tr>
              <w:tr w:rsidR="000436EA" w14:paraId="23FA48EE" w14:textId="77777777" w:rsidTr="00D07E51">
                <w:sdt>
                  <w:sdtPr>
                    <w:tag w:val="_PLD_73f601396ff94f55ba0d9f4f04bea3f7"/>
                    <w:id w:val="-13285900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252359" w14:textId="77777777" w:rsidR="000436EA" w:rsidRDefault="000436EA" w:rsidP="00D07E51">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7DCA0A89"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0317B0"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224,299,211.29</w:t>
                    </w:r>
                  </w:p>
                </w:tc>
                <w:tc>
                  <w:tcPr>
                    <w:tcW w:w="1333" w:type="pct"/>
                    <w:tcBorders>
                      <w:top w:val="outset" w:sz="6" w:space="0" w:color="auto"/>
                      <w:left w:val="outset" w:sz="6" w:space="0" w:color="auto"/>
                      <w:bottom w:val="outset" w:sz="6" w:space="0" w:color="auto"/>
                      <w:right w:val="outset" w:sz="6" w:space="0" w:color="auto"/>
                    </w:tcBorders>
                    <w:vAlign w:val="center"/>
                  </w:tcPr>
                  <w:p w14:paraId="50B0A6C2"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157,810,613.68</w:t>
                    </w:r>
                  </w:p>
                </w:tc>
              </w:tr>
              <w:tr w:rsidR="000436EA" w14:paraId="48CA64C0" w14:textId="77777777" w:rsidTr="00D07E51">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1746916346"/>
                      <w:lock w:val="sdtLocked"/>
                    </w:sdtPr>
                    <w:sdtEndPr/>
                    <w:sdtContent>
                      <w:p w14:paraId="53CC8DE1" w14:textId="77777777" w:rsidR="000436EA" w:rsidRDefault="000436EA" w:rsidP="00D07E51">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696BCC26"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783BEB8"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6,744,626.32</w:t>
                    </w:r>
                  </w:p>
                </w:tc>
                <w:tc>
                  <w:tcPr>
                    <w:tcW w:w="1333" w:type="pct"/>
                    <w:tcBorders>
                      <w:top w:val="outset" w:sz="6" w:space="0" w:color="auto"/>
                      <w:left w:val="outset" w:sz="6" w:space="0" w:color="auto"/>
                      <w:bottom w:val="outset" w:sz="6" w:space="0" w:color="auto"/>
                      <w:right w:val="outset" w:sz="6" w:space="0" w:color="auto"/>
                    </w:tcBorders>
                    <w:vAlign w:val="center"/>
                  </w:tcPr>
                  <w:p w14:paraId="44388EC8"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7,453,325.28</w:t>
                    </w:r>
                  </w:p>
                </w:tc>
              </w:tr>
              <w:tr w:rsidR="000436EA" w14:paraId="06D4E543" w14:textId="77777777" w:rsidTr="00D07E51">
                <w:sdt>
                  <w:sdtPr>
                    <w:tag w:val="_PLD_5179db1f484045d98b88860edc153236"/>
                    <w:id w:val="-18162532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87E847" w14:textId="77777777" w:rsidR="000436EA" w:rsidRDefault="000436EA" w:rsidP="00D07E51">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53E6AD0E"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89D3F1"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12,427,277.86</w:t>
                    </w:r>
                  </w:p>
                </w:tc>
                <w:tc>
                  <w:tcPr>
                    <w:tcW w:w="1333" w:type="pct"/>
                    <w:tcBorders>
                      <w:top w:val="outset" w:sz="6" w:space="0" w:color="auto"/>
                      <w:left w:val="outset" w:sz="6" w:space="0" w:color="auto"/>
                      <w:bottom w:val="outset" w:sz="6" w:space="0" w:color="auto"/>
                      <w:right w:val="outset" w:sz="6" w:space="0" w:color="auto"/>
                    </w:tcBorders>
                    <w:vAlign w:val="center"/>
                  </w:tcPr>
                  <w:p w14:paraId="6994A6E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11,462,412.58</w:t>
                    </w:r>
                  </w:p>
                </w:tc>
              </w:tr>
              <w:tr w:rsidR="000436EA" w14:paraId="053951A0" w14:textId="77777777" w:rsidTr="00D07E51">
                <w:sdt>
                  <w:sdtPr>
                    <w:tag w:val="_PLD_f9c6f095658e40b2a72d3d8b778fd72b"/>
                    <w:id w:val="9569185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6BE4ED" w14:textId="77777777" w:rsidR="000436EA" w:rsidRDefault="000436EA" w:rsidP="00D07E51">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363A2AAB"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083C267"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816,749.31</w:t>
                    </w:r>
                  </w:p>
                </w:tc>
                <w:tc>
                  <w:tcPr>
                    <w:tcW w:w="1333" w:type="pct"/>
                    <w:tcBorders>
                      <w:top w:val="outset" w:sz="6" w:space="0" w:color="auto"/>
                      <w:left w:val="outset" w:sz="6" w:space="0" w:color="auto"/>
                      <w:bottom w:val="outset" w:sz="6" w:space="0" w:color="auto"/>
                      <w:right w:val="outset" w:sz="6" w:space="0" w:color="auto"/>
                    </w:tcBorders>
                    <w:vAlign w:val="center"/>
                  </w:tcPr>
                  <w:p w14:paraId="09C5D2E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710,105.46</w:t>
                    </w:r>
                  </w:p>
                </w:tc>
              </w:tr>
              <w:tr w:rsidR="000436EA" w14:paraId="57761245" w14:textId="77777777" w:rsidTr="00D07E51">
                <w:sdt>
                  <w:sdtPr>
                    <w:tag w:val="_PLD_c490ad2cbccd426084cbcc4f5ffff983"/>
                    <w:id w:val="-4095342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2FD08D9" w14:textId="77777777" w:rsidR="000436EA" w:rsidRDefault="000436EA" w:rsidP="00D07E51">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40491645"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EE819B4"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22,824,541.03</w:t>
                    </w:r>
                  </w:p>
                </w:tc>
                <w:tc>
                  <w:tcPr>
                    <w:tcW w:w="1333" w:type="pct"/>
                    <w:tcBorders>
                      <w:top w:val="outset" w:sz="6" w:space="0" w:color="auto"/>
                      <w:left w:val="outset" w:sz="6" w:space="0" w:color="auto"/>
                      <w:bottom w:val="outset" w:sz="6" w:space="0" w:color="auto"/>
                      <w:right w:val="outset" w:sz="6" w:space="0" w:color="auto"/>
                    </w:tcBorders>
                    <w:vAlign w:val="center"/>
                  </w:tcPr>
                  <w:p w14:paraId="392EE78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15,321,804.70</w:t>
                    </w:r>
                  </w:p>
                </w:tc>
              </w:tr>
              <w:tr w:rsidR="000436EA" w14:paraId="3503E49E" w14:textId="77777777" w:rsidTr="00D07E51">
                <w:sdt>
                  <w:sdtPr>
                    <w:tag w:val="_PLD_33305757c71a4e02885ac4b4bd4dd023"/>
                    <w:id w:val="18408850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A7B92E" w14:textId="77777777" w:rsidR="000436EA" w:rsidRDefault="000436EA" w:rsidP="00D07E51">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28780AEE"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048118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14:paraId="07D5ED79"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szCs w:val="21"/>
                      </w:rPr>
                      <w:t>-</w:t>
                    </w:r>
                  </w:p>
                </w:tc>
              </w:tr>
              <w:tr w:rsidR="000436EA" w14:paraId="63C6ACBF" w14:textId="77777777" w:rsidTr="00D07E51">
                <w:sdt>
                  <w:sdtPr>
                    <w:tag w:val="_PLD_af17ddcf0f4c41d7ad5d3631e95d7da2"/>
                    <w:id w:val="21101546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665AEF" w14:textId="77777777" w:rsidR="000436EA" w:rsidRDefault="000436EA" w:rsidP="00D07E51">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7EBB8559"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F7915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14:paraId="06902ACD"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szCs w:val="21"/>
                      </w:rPr>
                      <w:t>-</w:t>
                    </w:r>
                  </w:p>
                </w:tc>
              </w:tr>
              <w:tr w:rsidR="000436EA" w14:paraId="0BCF4478" w14:textId="77777777" w:rsidTr="00D07E51">
                <w:sdt>
                  <w:sdtPr>
                    <w:tag w:val="_PLD_a29046fb2b7d4844a6a2146909afbe96"/>
                    <w:id w:val="-19143852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DE1704" w14:textId="77777777" w:rsidR="000436EA" w:rsidRDefault="000436EA" w:rsidP="00D07E51">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7E25E96A"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F78761B"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57,274,100.00</w:t>
                    </w:r>
                  </w:p>
                </w:tc>
                <w:tc>
                  <w:tcPr>
                    <w:tcW w:w="1333" w:type="pct"/>
                    <w:tcBorders>
                      <w:top w:val="outset" w:sz="6" w:space="0" w:color="auto"/>
                      <w:left w:val="outset" w:sz="6" w:space="0" w:color="auto"/>
                      <w:bottom w:val="outset" w:sz="6" w:space="0" w:color="auto"/>
                      <w:right w:val="outset" w:sz="6" w:space="0" w:color="auto"/>
                    </w:tcBorders>
                    <w:vAlign w:val="center"/>
                  </w:tcPr>
                  <w:p w14:paraId="1B57A12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59,442,338.54</w:t>
                    </w:r>
                  </w:p>
                </w:tc>
              </w:tr>
              <w:tr w:rsidR="000436EA" w14:paraId="6A50BC67" w14:textId="77777777" w:rsidTr="00D07E51">
                <w:sdt>
                  <w:sdtPr>
                    <w:tag w:val="_PLD_29a119c77a3042f187a5aba37b5deecc"/>
                    <w:id w:val="3411356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827282" w14:textId="77777777" w:rsidR="000436EA" w:rsidRDefault="000436EA" w:rsidP="00D07E51">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0C6FA093"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16FD57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695,611.48</w:t>
                    </w:r>
                  </w:p>
                </w:tc>
                <w:tc>
                  <w:tcPr>
                    <w:tcW w:w="1333" w:type="pct"/>
                    <w:tcBorders>
                      <w:top w:val="outset" w:sz="6" w:space="0" w:color="auto"/>
                      <w:left w:val="outset" w:sz="6" w:space="0" w:color="auto"/>
                      <w:bottom w:val="outset" w:sz="6" w:space="0" w:color="auto"/>
                      <w:right w:val="outset" w:sz="6" w:space="0" w:color="auto"/>
                    </w:tcBorders>
                    <w:vAlign w:val="center"/>
                  </w:tcPr>
                  <w:p w14:paraId="2A5DC4B9"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443,495.83</w:t>
                    </w:r>
                  </w:p>
                </w:tc>
              </w:tr>
              <w:tr w:rsidR="000436EA" w14:paraId="49BFEE66" w14:textId="77777777" w:rsidTr="00D07E51">
                <w:sdt>
                  <w:sdtPr>
                    <w:tag w:val="_PLD_fd497b996a3c46b99eb5112ec0f3d649"/>
                    <w:id w:val="-20832150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658BB65" w14:textId="77777777" w:rsidR="000436EA" w:rsidRDefault="000436EA" w:rsidP="00D07E51">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0519F4D3"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FD2020B"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577,287,238.56</w:t>
                    </w:r>
                  </w:p>
                </w:tc>
                <w:tc>
                  <w:tcPr>
                    <w:tcW w:w="1333" w:type="pct"/>
                    <w:tcBorders>
                      <w:top w:val="outset" w:sz="6" w:space="0" w:color="auto"/>
                      <w:left w:val="outset" w:sz="6" w:space="0" w:color="auto"/>
                      <w:bottom w:val="outset" w:sz="6" w:space="0" w:color="auto"/>
                      <w:right w:val="outset" w:sz="6" w:space="0" w:color="auto"/>
                    </w:tcBorders>
                    <w:vAlign w:val="center"/>
                  </w:tcPr>
                  <w:p w14:paraId="46A52D19"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394,383,056.66</w:t>
                    </w:r>
                  </w:p>
                </w:tc>
              </w:tr>
              <w:tr w:rsidR="000436EA" w14:paraId="2959F3E3" w14:textId="77777777" w:rsidTr="00D07E51">
                <w:sdt>
                  <w:sdtPr>
                    <w:tag w:val="_PLD_e62929b21cd4456494013c9cb0dc5b16"/>
                    <w:id w:val="-5635687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29A27C" w14:textId="77777777" w:rsidR="000436EA" w:rsidRDefault="000436EA" w:rsidP="00D07E51">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4F4B4A4F" w14:textId="77777777" w:rsidR="000436EA" w:rsidRDefault="000436EA" w:rsidP="00D07E51">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66E9BAF" w14:textId="77777777" w:rsidR="000436EA" w:rsidRPr="000436EA" w:rsidRDefault="000436EA" w:rsidP="00D07E51">
                    <w:pPr>
                      <w:ind w:right="210"/>
                      <w:jc w:val="right"/>
                      <w:rPr>
                        <w:rFonts w:ascii="Times New Roman" w:hAnsi="Times New Roman" w:cs="Times New Roman"/>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C573A07" w14:textId="77777777" w:rsidR="000436EA" w:rsidRPr="000436EA" w:rsidRDefault="000436EA" w:rsidP="00D07E51">
                    <w:pPr>
                      <w:jc w:val="right"/>
                      <w:rPr>
                        <w:rFonts w:ascii="Times New Roman" w:hAnsi="Times New Roman" w:cs="Times New Roman"/>
                        <w:color w:val="008000"/>
                        <w:szCs w:val="21"/>
                      </w:rPr>
                    </w:pPr>
                  </w:p>
                </w:tc>
              </w:tr>
              <w:tr w:rsidR="000436EA" w14:paraId="62F99B3C" w14:textId="77777777" w:rsidTr="00D07E51">
                <w:sdt>
                  <w:sdtPr>
                    <w:tag w:val="_PLD_dc705bf824d14c06a0f0ff2183f061bb"/>
                    <w:id w:val="20643657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AEE2108" w14:textId="77777777" w:rsidR="000436EA" w:rsidRDefault="000436EA" w:rsidP="00D07E51">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1C761A62"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DED96C"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89,556,140.00</w:t>
                    </w:r>
                  </w:p>
                </w:tc>
                <w:tc>
                  <w:tcPr>
                    <w:tcW w:w="1333" w:type="pct"/>
                    <w:tcBorders>
                      <w:top w:val="outset" w:sz="6" w:space="0" w:color="auto"/>
                      <w:left w:val="outset" w:sz="6" w:space="0" w:color="auto"/>
                      <w:bottom w:val="outset" w:sz="6" w:space="0" w:color="auto"/>
                      <w:right w:val="outset" w:sz="6" w:space="0" w:color="auto"/>
                    </w:tcBorders>
                    <w:vAlign w:val="center"/>
                  </w:tcPr>
                  <w:p w14:paraId="7547EA6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113,576,234.35</w:t>
                    </w:r>
                  </w:p>
                </w:tc>
              </w:tr>
              <w:tr w:rsidR="000436EA" w14:paraId="6326D8F4" w14:textId="77777777" w:rsidTr="00D07E51">
                <w:sdt>
                  <w:sdtPr>
                    <w:tag w:val="_PLD_175206d9834f4332bb966826e2fc6cf7"/>
                    <w:id w:val="19905115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C530D4" w14:textId="77777777" w:rsidR="000436EA" w:rsidRDefault="000436EA" w:rsidP="00D07E51">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53EEFB4C"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22B7AFD"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2,003,816.44</w:t>
                    </w:r>
                  </w:p>
                </w:tc>
                <w:tc>
                  <w:tcPr>
                    <w:tcW w:w="1333" w:type="pct"/>
                    <w:tcBorders>
                      <w:top w:val="outset" w:sz="6" w:space="0" w:color="auto"/>
                      <w:left w:val="outset" w:sz="6" w:space="0" w:color="auto"/>
                      <w:bottom w:val="outset" w:sz="6" w:space="0" w:color="auto"/>
                      <w:right w:val="outset" w:sz="6" w:space="0" w:color="auto"/>
                    </w:tcBorders>
                    <w:vAlign w:val="center"/>
                  </w:tcPr>
                  <w:p w14:paraId="2919F05D"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2,029,222.12</w:t>
                    </w:r>
                  </w:p>
                </w:tc>
              </w:tr>
              <w:tr w:rsidR="000436EA" w14:paraId="44589AEC" w14:textId="77777777" w:rsidTr="00D07E51">
                <w:sdt>
                  <w:sdtPr>
                    <w:tag w:val="_PLD_eab00dbf5a03497493b7cecfc307a4f7"/>
                    <w:id w:val="1030884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5DF92E" w14:textId="77777777" w:rsidR="000436EA" w:rsidRDefault="000436EA" w:rsidP="00D07E51">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042D532C"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9DC8351"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50,379,440.67</w:t>
                    </w:r>
                  </w:p>
                </w:tc>
                <w:tc>
                  <w:tcPr>
                    <w:tcW w:w="1333" w:type="pct"/>
                    <w:tcBorders>
                      <w:top w:val="outset" w:sz="6" w:space="0" w:color="auto"/>
                      <w:left w:val="outset" w:sz="6" w:space="0" w:color="auto"/>
                      <w:bottom w:val="outset" w:sz="6" w:space="0" w:color="auto"/>
                      <w:right w:val="outset" w:sz="6" w:space="0" w:color="auto"/>
                    </w:tcBorders>
                    <w:vAlign w:val="center"/>
                  </w:tcPr>
                  <w:p w14:paraId="7BA6AD70"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44,420,844.34</w:t>
                    </w:r>
                  </w:p>
                </w:tc>
              </w:tr>
              <w:tr w:rsidR="000436EA" w14:paraId="6760A585" w14:textId="77777777" w:rsidTr="00D07E51">
                <w:sdt>
                  <w:sdtPr>
                    <w:tag w:val="_PLD_b27860a290d6473991cd09d203f00279"/>
                    <w:id w:val="-11576857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3C25AE" w14:textId="77777777" w:rsidR="000436EA" w:rsidRDefault="000436EA" w:rsidP="00D07E51">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1C7E44CD"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32235F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12,037,500.00</w:t>
                    </w:r>
                  </w:p>
                </w:tc>
                <w:tc>
                  <w:tcPr>
                    <w:tcW w:w="1333" w:type="pct"/>
                    <w:tcBorders>
                      <w:top w:val="outset" w:sz="6" w:space="0" w:color="auto"/>
                      <w:left w:val="outset" w:sz="6" w:space="0" w:color="auto"/>
                      <w:bottom w:val="outset" w:sz="6" w:space="0" w:color="auto"/>
                      <w:right w:val="outset" w:sz="6" w:space="0" w:color="auto"/>
                    </w:tcBorders>
                    <w:vAlign w:val="center"/>
                  </w:tcPr>
                  <w:p w14:paraId="427D98ED"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13,549,500.00</w:t>
                    </w:r>
                  </w:p>
                </w:tc>
              </w:tr>
              <w:tr w:rsidR="000436EA" w14:paraId="2F8EB8E7" w14:textId="77777777" w:rsidTr="00D07E51">
                <w:sdt>
                  <w:sdtPr>
                    <w:tag w:val="_PLD_4e68f69147854f91a45d2da03b70d4d5"/>
                    <w:id w:val="-21001655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BACEF7" w14:textId="77777777" w:rsidR="000436EA" w:rsidRDefault="000436EA" w:rsidP="00D07E51">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76A27F91"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304D377" w14:textId="77777777" w:rsidR="000436EA" w:rsidRPr="000436EA" w:rsidRDefault="000436EA" w:rsidP="00D07E51">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B315B76" w14:textId="77777777" w:rsidR="000436EA" w:rsidRPr="000436EA" w:rsidRDefault="000436EA" w:rsidP="00D07E51">
                    <w:pPr>
                      <w:jc w:val="right"/>
                      <w:rPr>
                        <w:rFonts w:ascii="Times New Roman" w:hAnsi="Times New Roman" w:cs="Times New Roman"/>
                        <w:szCs w:val="21"/>
                      </w:rPr>
                    </w:pPr>
                  </w:p>
                </w:tc>
              </w:tr>
              <w:tr w:rsidR="000436EA" w14:paraId="0407A9BD" w14:textId="77777777" w:rsidTr="00D07E51">
                <w:sdt>
                  <w:sdtPr>
                    <w:tag w:val="_PLD_2c899ef8da434424b5289e4324851489"/>
                    <w:id w:val="-2419487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58334A" w14:textId="77777777" w:rsidR="000436EA" w:rsidRDefault="000436EA" w:rsidP="00D07E51">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FB4484A"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4637B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153,976,897.11</w:t>
                    </w:r>
                  </w:p>
                </w:tc>
                <w:tc>
                  <w:tcPr>
                    <w:tcW w:w="1333" w:type="pct"/>
                    <w:tcBorders>
                      <w:top w:val="outset" w:sz="6" w:space="0" w:color="auto"/>
                      <w:left w:val="outset" w:sz="6" w:space="0" w:color="auto"/>
                      <w:bottom w:val="outset" w:sz="6" w:space="0" w:color="auto"/>
                      <w:right w:val="outset" w:sz="6" w:space="0" w:color="auto"/>
                    </w:tcBorders>
                    <w:vAlign w:val="center"/>
                  </w:tcPr>
                  <w:p w14:paraId="1AD54D6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173,575,800.81</w:t>
                    </w:r>
                  </w:p>
                </w:tc>
              </w:tr>
              <w:tr w:rsidR="000436EA" w14:paraId="474291C5" w14:textId="77777777" w:rsidTr="00D07E51">
                <w:sdt>
                  <w:sdtPr>
                    <w:tag w:val="_PLD_e2102ad9792147f2bf11ec884c204033"/>
                    <w:id w:val="-981834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075D0D" w14:textId="77777777" w:rsidR="000436EA" w:rsidRDefault="000436EA" w:rsidP="00D07E51">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768987B2"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527BEE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731,264,135.67</w:t>
                    </w:r>
                  </w:p>
                </w:tc>
                <w:tc>
                  <w:tcPr>
                    <w:tcW w:w="1333" w:type="pct"/>
                    <w:tcBorders>
                      <w:top w:val="outset" w:sz="6" w:space="0" w:color="auto"/>
                      <w:left w:val="outset" w:sz="6" w:space="0" w:color="auto"/>
                      <w:bottom w:val="outset" w:sz="6" w:space="0" w:color="auto"/>
                      <w:right w:val="outset" w:sz="6" w:space="0" w:color="auto"/>
                    </w:tcBorders>
                    <w:vAlign w:val="center"/>
                  </w:tcPr>
                  <w:p w14:paraId="30D3C53D"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567,958,857.47</w:t>
                    </w:r>
                  </w:p>
                </w:tc>
              </w:tr>
              <w:tr w:rsidR="000436EA" w14:paraId="5FC6038B" w14:textId="77777777" w:rsidTr="00D07E51">
                <w:sdt>
                  <w:sdtPr>
                    <w:tag w:val="_PLD_b3c95ee428314f8b8091bd15dff2a83d"/>
                    <w:id w:val="19508176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FDF1FE3" w14:textId="77777777" w:rsidR="000436EA" w:rsidRDefault="000436EA" w:rsidP="00D07E51">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14:paraId="0DD721D5" w14:textId="77777777" w:rsidR="000436EA" w:rsidRDefault="000436EA" w:rsidP="00D07E51">
                    <w:pPr>
                      <w:rPr>
                        <w:color w:val="008000"/>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399E1B" w14:textId="77777777" w:rsidR="000436EA" w:rsidRPr="000436EA" w:rsidRDefault="000436EA" w:rsidP="00D07E51">
                    <w:pPr>
                      <w:rPr>
                        <w:rFonts w:ascii="Times New Roman" w:hAnsi="Times New Roman" w:cs="Times New Roman"/>
                        <w:color w:val="008000"/>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A732E59" w14:textId="77777777" w:rsidR="000436EA" w:rsidRPr="000436EA" w:rsidRDefault="000436EA" w:rsidP="00D07E51">
                    <w:pPr>
                      <w:rPr>
                        <w:rFonts w:ascii="Times New Roman" w:hAnsi="Times New Roman" w:cs="Times New Roman"/>
                        <w:color w:val="008000"/>
                        <w:szCs w:val="21"/>
                      </w:rPr>
                    </w:pPr>
                  </w:p>
                </w:tc>
              </w:tr>
              <w:tr w:rsidR="000436EA" w14:paraId="5718CF10" w14:textId="77777777" w:rsidTr="00D07E51">
                <w:sdt>
                  <w:sdtPr>
                    <w:tag w:val="_PLD_4dc50e71aa7b412096aaa176abd95e28"/>
                    <w:id w:val="-14687386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82C4F6" w14:textId="77777777" w:rsidR="000436EA" w:rsidRDefault="000436EA" w:rsidP="00D07E51">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15CAE690"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3FBE9F2"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521,780,000.00</w:t>
                    </w:r>
                  </w:p>
                </w:tc>
                <w:tc>
                  <w:tcPr>
                    <w:tcW w:w="1333" w:type="pct"/>
                    <w:tcBorders>
                      <w:top w:val="outset" w:sz="6" w:space="0" w:color="auto"/>
                      <w:left w:val="outset" w:sz="6" w:space="0" w:color="auto"/>
                      <w:bottom w:val="outset" w:sz="6" w:space="0" w:color="auto"/>
                      <w:right w:val="outset" w:sz="6" w:space="0" w:color="auto"/>
                    </w:tcBorders>
                    <w:vAlign w:val="center"/>
                  </w:tcPr>
                  <w:p w14:paraId="124AB545"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521,780,000.00</w:t>
                    </w:r>
                  </w:p>
                </w:tc>
              </w:tr>
              <w:tr w:rsidR="000436EA" w14:paraId="2FB894B5" w14:textId="77777777" w:rsidTr="00D07E51">
                <w:sdt>
                  <w:sdtPr>
                    <w:tag w:val="_PLD_08724ab7c9244a1186a8219085238e9f"/>
                    <w:id w:val="-18011492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CF1F50" w14:textId="77777777" w:rsidR="000436EA" w:rsidRDefault="000436EA" w:rsidP="00D07E51">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14F10214"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CE96DB6"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2,060,896,187.68</w:t>
                    </w:r>
                  </w:p>
                </w:tc>
                <w:tc>
                  <w:tcPr>
                    <w:tcW w:w="1333" w:type="pct"/>
                    <w:tcBorders>
                      <w:top w:val="outset" w:sz="6" w:space="0" w:color="auto"/>
                      <w:left w:val="outset" w:sz="6" w:space="0" w:color="auto"/>
                      <w:bottom w:val="outset" w:sz="6" w:space="0" w:color="auto"/>
                      <w:right w:val="outset" w:sz="6" w:space="0" w:color="auto"/>
                    </w:tcBorders>
                    <w:vAlign w:val="center"/>
                  </w:tcPr>
                  <w:p w14:paraId="2222E504"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2,053,523,093.12</w:t>
                    </w:r>
                  </w:p>
                </w:tc>
              </w:tr>
              <w:tr w:rsidR="000436EA" w14:paraId="002B1C1B" w14:textId="77777777" w:rsidTr="00D07E51">
                <w:sdt>
                  <w:sdtPr>
                    <w:tag w:val="_PLD_81d459a1820947dd8bb91df8e71c615b"/>
                    <w:id w:val="849678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595481" w14:textId="77777777" w:rsidR="000436EA" w:rsidRDefault="000436EA" w:rsidP="00D07E51">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6B0BB3E6"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0172FE"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10,122,906.55</w:t>
                    </w:r>
                  </w:p>
                </w:tc>
                <w:tc>
                  <w:tcPr>
                    <w:tcW w:w="1333" w:type="pct"/>
                    <w:tcBorders>
                      <w:top w:val="outset" w:sz="6" w:space="0" w:color="auto"/>
                      <w:left w:val="outset" w:sz="6" w:space="0" w:color="auto"/>
                      <w:bottom w:val="outset" w:sz="6" w:space="0" w:color="auto"/>
                      <w:right w:val="outset" w:sz="6" w:space="0" w:color="auto"/>
                    </w:tcBorders>
                    <w:vAlign w:val="center"/>
                  </w:tcPr>
                  <w:p w14:paraId="41A55E9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10,122,906.55</w:t>
                    </w:r>
                  </w:p>
                </w:tc>
              </w:tr>
              <w:tr w:rsidR="000436EA" w14:paraId="20F86D35" w14:textId="77777777" w:rsidTr="00D07E51">
                <w:sdt>
                  <w:sdtPr>
                    <w:tag w:val="_PLD_9bf3fa2bf87240889853d8e32c117a77"/>
                    <w:id w:val="14850429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E1E957" w14:textId="77777777" w:rsidR="000436EA" w:rsidRDefault="000436EA" w:rsidP="00D07E51">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45C1648E"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3B7B67"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51,310,773.71</w:t>
                    </w:r>
                  </w:p>
                </w:tc>
                <w:tc>
                  <w:tcPr>
                    <w:tcW w:w="1333" w:type="pct"/>
                    <w:tcBorders>
                      <w:top w:val="outset" w:sz="6" w:space="0" w:color="auto"/>
                      <w:left w:val="outset" w:sz="6" w:space="0" w:color="auto"/>
                      <w:bottom w:val="outset" w:sz="6" w:space="0" w:color="auto"/>
                      <w:right w:val="outset" w:sz="6" w:space="0" w:color="auto"/>
                    </w:tcBorders>
                    <w:vAlign w:val="center"/>
                  </w:tcPr>
                  <w:p w14:paraId="2FF9E5FA"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71,216,430.78</w:t>
                    </w:r>
                  </w:p>
                </w:tc>
              </w:tr>
              <w:tr w:rsidR="000436EA" w14:paraId="3774C101" w14:textId="77777777" w:rsidTr="00D07E51">
                <w:sdt>
                  <w:sdtPr>
                    <w:tag w:val="_PLD_a8e701b7d2f8447c8bb34870babce384"/>
                    <w:id w:val="-11608458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82455F" w14:textId="77777777" w:rsidR="000436EA" w:rsidRDefault="000436EA" w:rsidP="00D07E51">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21AC336B"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63D448B"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2,644,109,867.94</w:t>
                    </w:r>
                  </w:p>
                </w:tc>
                <w:tc>
                  <w:tcPr>
                    <w:tcW w:w="1333" w:type="pct"/>
                    <w:tcBorders>
                      <w:top w:val="outset" w:sz="6" w:space="0" w:color="auto"/>
                      <w:left w:val="outset" w:sz="6" w:space="0" w:color="auto"/>
                      <w:bottom w:val="outset" w:sz="6" w:space="0" w:color="auto"/>
                      <w:right w:val="outset" w:sz="6" w:space="0" w:color="auto"/>
                    </w:tcBorders>
                    <w:vAlign w:val="center"/>
                  </w:tcPr>
                  <w:p w14:paraId="577B7CEF"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2,656,642,430.45</w:t>
                    </w:r>
                  </w:p>
                </w:tc>
              </w:tr>
              <w:tr w:rsidR="000436EA" w14:paraId="4339F97A" w14:textId="77777777" w:rsidTr="00D07E51">
                <w:sdt>
                  <w:sdtPr>
                    <w:tag w:val="_PLD_448d7a5f1f6c488cb5525aa8d0d88441"/>
                    <w:id w:val="1097223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1D1796" w14:textId="77777777" w:rsidR="000436EA" w:rsidRDefault="000436EA" w:rsidP="00D07E51">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181E8F44" w14:textId="77777777" w:rsidR="000436EA" w:rsidRDefault="000436EA" w:rsidP="00D07E51">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76AD8E6"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3,375,374,003.61</w:t>
                    </w:r>
                  </w:p>
                </w:tc>
                <w:tc>
                  <w:tcPr>
                    <w:tcW w:w="1333" w:type="pct"/>
                    <w:tcBorders>
                      <w:top w:val="outset" w:sz="6" w:space="0" w:color="auto"/>
                      <w:left w:val="outset" w:sz="6" w:space="0" w:color="auto"/>
                      <w:bottom w:val="outset" w:sz="6" w:space="0" w:color="auto"/>
                      <w:right w:val="outset" w:sz="6" w:space="0" w:color="auto"/>
                    </w:tcBorders>
                    <w:vAlign w:val="center"/>
                  </w:tcPr>
                  <w:p w14:paraId="090FEE69" w14:textId="77777777" w:rsidR="000436EA" w:rsidRPr="000436EA" w:rsidRDefault="000436EA" w:rsidP="00D07E51">
                    <w:pPr>
                      <w:jc w:val="right"/>
                      <w:rPr>
                        <w:rFonts w:ascii="Times New Roman" w:hAnsi="Times New Roman" w:cs="Times New Roman"/>
                        <w:szCs w:val="21"/>
                      </w:rPr>
                    </w:pPr>
                    <w:r w:rsidRPr="000436EA">
                      <w:rPr>
                        <w:rFonts w:ascii="Times New Roman" w:hAnsi="Times New Roman" w:cs="Times New Roman"/>
                      </w:rPr>
                      <w:t>3,224,601,287.92</w:t>
                    </w:r>
                  </w:p>
                </w:tc>
              </w:tr>
            </w:tbl>
            <w:p w14:paraId="4B90077B" w14:textId="77777777" w:rsidR="00D21C1F" w:rsidRDefault="00A42880">
              <w:pPr>
                <w:ind w:rightChars="-73" w:right="-153"/>
                <w:rPr>
                  <w:szCs w:val="21"/>
                </w:rPr>
              </w:pPr>
              <w:r>
                <w:rPr>
                  <w:szCs w:val="21"/>
                </w:rPr>
                <w:lastRenderedPageBreak/>
                <w:t>公司负责人</w:t>
              </w:r>
              <w:r>
                <w:rPr>
                  <w:rFonts w:hint="eastAsia"/>
                  <w:szCs w:val="21"/>
                </w:rPr>
                <w:t>：</w:t>
              </w:r>
              <w:sdt>
                <w:sdtPr>
                  <w:rPr>
                    <w:rFonts w:hint="eastAsia"/>
                    <w:szCs w:val="21"/>
                  </w:rPr>
                  <w:alias w:val="公司负责人"/>
                  <w:tag w:val="_GBC_f43f422c96ec4e009c3976ce8e58b778"/>
                  <w:id w:val="-2075259596"/>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100744216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1855176941"/>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sdtContent>
        </w:sdt>
        <w:p w14:paraId="6F7BE7C0" w14:textId="77777777" w:rsidR="00D21C1F" w:rsidRDefault="00045EC6">
          <w:pPr>
            <w:snapToGrid w:val="0"/>
            <w:rPr>
              <w:szCs w:val="21"/>
            </w:rPr>
          </w:pPr>
        </w:p>
      </w:sdtContent>
    </w:sdt>
    <w:bookmarkEnd w:id="141"/>
    <w:p w14:paraId="7F76AA6E" w14:textId="77777777" w:rsidR="00D21C1F" w:rsidRDefault="00D21C1F">
      <w:pPr>
        <w:ind w:rightChars="-73" w:right="-153"/>
        <w:rPr>
          <w:b/>
          <w:bCs/>
          <w:color w:val="008000"/>
          <w:szCs w:val="21"/>
          <w:u w:val="single"/>
        </w:rPr>
      </w:pPr>
    </w:p>
    <w:bookmarkStart w:id="142" w:name="_Hlk10210822" w:displacedByCustomXml="next"/>
    <w:sdt>
      <w:sdtPr>
        <w:rPr>
          <w:rFonts w:hint="eastAsia"/>
          <w:b/>
          <w:szCs w:val="21"/>
        </w:rPr>
        <w:alias w:val="选项模块:需要编制合并报表"/>
        <w:tag w:val="_GBC_bf89afc47e17438594730edb3412d929"/>
        <w:id w:val="1177071360"/>
        <w:lock w:val="sdtLocked"/>
        <w:placeholder>
          <w:docPart w:val="GBC22222222222222222222222222222"/>
        </w:placeholder>
      </w:sdtPr>
      <w:sdtEndPr>
        <w:rPr>
          <w:rFonts w:cs="宋体-方正超大字符集"/>
          <w:b w:val="0"/>
        </w:rPr>
      </w:sdtEndPr>
      <w:sdtContent>
        <w:p w14:paraId="06753D91" w14:textId="77777777" w:rsidR="00D21C1F" w:rsidRDefault="00D21C1F">
          <w:pPr>
            <w:jc w:val="center"/>
            <w:rPr>
              <w:b/>
              <w:szCs w:val="21"/>
            </w:rPr>
          </w:pPr>
        </w:p>
        <w:sdt>
          <w:sdtPr>
            <w:rPr>
              <w:rFonts w:ascii="宋体" w:eastAsia="宋体" w:hAnsi="宋体" w:cs="宋体" w:hint="eastAsia"/>
              <w:b w:val="0"/>
              <w:bCs w:val="0"/>
              <w:kern w:val="0"/>
              <w:szCs w:val="24"/>
            </w:rPr>
            <w:tag w:val="_GBC_cc363e9840a448cbaf363887668cbe2a"/>
            <w:id w:val="962085041"/>
            <w:lock w:val="sdtLocked"/>
            <w:placeholder>
              <w:docPart w:val="GBC22222222222222222222222222222"/>
            </w:placeholder>
          </w:sdtPr>
          <w:sdtEndPr>
            <w:rPr>
              <w:szCs w:val="21"/>
            </w:rPr>
          </w:sdtEndPr>
          <w:sdtContent>
            <w:p w14:paraId="5AC7A40A" w14:textId="77777777" w:rsidR="00D21C1F" w:rsidRDefault="00A42880">
              <w:pPr>
                <w:pStyle w:val="94"/>
                <w:jc w:val="center"/>
                <w:rPr>
                  <w:rFonts w:ascii="宋体" w:hAnsi="宋体"/>
                </w:rPr>
              </w:pPr>
              <w:r>
                <w:rPr>
                  <w:rFonts w:ascii="宋体" w:hAnsi="宋体" w:hint="eastAsia"/>
                </w:rPr>
                <w:t>合并</w:t>
              </w:r>
              <w:r>
                <w:rPr>
                  <w:rFonts w:ascii="宋体" w:hAnsi="宋体"/>
                </w:rPr>
                <w:t>利润表</w:t>
              </w:r>
            </w:p>
            <w:p w14:paraId="37ECEE99" w14:textId="77777777" w:rsidR="00D21C1F" w:rsidRDefault="00A42880">
              <w:pPr>
                <w:jc w:val="center"/>
                <w:rPr>
                  <w:b/>
                  <w:bCs/>
                  <w:szCs w:val="21"/>
                </w:rPr>
              </w:pPr>
              <w:r>
                <w:rPr>
                  <w:rFonts w:ascii="Times New Roman" w:hAnsi="Times New Roman"/>
                  <w:szCs w:val="21"/>
                </w:rPr>
                <w:t>2021</w:t>
              </w:r>
              <w:r>
                <w:rPr>
                  <w:szCs w:val="21"/>
                </w:rPr>
                <w:t>年</w:t>
              </w:r>
              <w:r>
                <w:rPr>
                  <w:rFonts w:ascii="Times New Roman" w:hAnsi="Times New Roman" w:hint="eastAsia"/>
                  <w:szCs w:val="21"/>
                </w:rPr>
                <w:t>1</w:t>
              </w:r>
              <w:r>
                <w:rPr>
                  <w:rFonts w:hint="eastAsia"/>
                  <w:szCs w:val="21"/>
                </w:rPr>
                <w:t>—</w:t>
              </w:r>
              <w:r>
                <w:rPr>
                  <w:rFonts w:ascii="Times New Roman" w:hAnsi="Times New Roman" w:hint="eastAsia"/>
                  <w:szCs w:val="21"/>
                </w:rPr>
                <w:t>6</w:t>
              </w:r>
              <w:r>
                <w:rPr>
                  <w:szCs w:val="21"/>
                </w:rPr>
                <w:t>月</w:t>
              </w:r>
            </w:p>
            <w:p w14:paraId="178A2AB1" w14:textId="77777777" w:rsidR="00D21C1F" w:rsidRDefault="00A42880">
              <w:pPr>
                <w:jc w:val="right"/>
                <w:rPr>
                  <w:szCs w:val="21"/>
                </w:rPr>
              </w:pPr>
              <w:r>
                <w:rPr>
                  <w:szCs w:val="21"/>
                </w:rPr>
                <w:t>单位:</w:t>
              </w:r>
              <w:sdt>
                <w:sdtPr>
                  <w:rPr>
                    <w:szCs w:val="21"/>
                  </w:rPr>
                  <w:alias w:val="单位：合并利润表"/>
                  <w:tag w:val="_GBC_4fec24feb4834b768c484fe556046382"/>
                  <w:id w:val="531308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合并利润表"/>
                  <w:tag w:val="_GBC_ae5c0d79e5694eb28ba1b8160e27a464"/>
                  <w:id w:val="280080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E354AB" w14:paraId="6FCCDE8F" w14:textId="77777777" w:rsidTr="00D07E51">
                <w:trPr>
                  <w:cantSplit/>
                </w:trPr>
                <w:sdt>
                  <w:sdtPr>
                    <w:tag w:val="_PLD_ea01e0b0c9224fe59426c375515c2359"/>
                    <w:id w:val="10814894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65E0EE3" w14:textId="77777777" w:rsidR="00E354AB" w:rsidRDefault="00E354AB" w:rsidP="00D07E51">
                        <w:pPr>
                          <w:ind w:leftChars="-19" w:hangingChars="19" w:hanging="40"/>
                          <w:jc w:val="center"/>
                          <w:rPr>
                            <w:b/>
                            <w:szCs w:val="21"/>
                          </w:rPr>
                        </w:pPr>
                        <w:r>
                          <w:rPr>
                            <w:b/>
                            <w:szCs w:val="21"/>
                          </w:rPr>
                          <w:t>项目</w:t>
                        </w:r>
                      </w:p>
                    </w:tc>
                  </w:sdtContent>
                </w:sdt>
                <w:sdt>
                  <w:sdtPr>
                    <w:tag w:val="_PLD_e4f45f42e79e4a4aba892e3a7a7b123d"/>
                    <w:id w:val="-1574496307"/>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416E0B02" w14:textId="77777777" w:rsidR="00E354AB" w:rsidRDefault="00E354AB" w:rsidP="00D07E51">
                        <w:pPr>
                          <w:jc w:val="center"/>
                          <w:rPr>
                            <w:b/>
                            <w:szCs w:val="21"/>
                          </w:rPr>
                        </w:pPr>
                        <w:r>
                          <w:rPr>
                            <w:rFonts w:hint="eastAsia"/>
                            <w:b/>
                            <w:szCs w:val="21"/>
                          </w:rPr>
                          <w:t>附注</w:t>
                        </w:r>
                      </w:p>
                    </w:tc>
                  </w:sdtContent>
                </w:sdt>
                <w:sdt>
                  <w:sdtPr>
                    <w:tag w:val="_PLD_41682cdf00e5450394986df99de953d1"/>
                    <w:id w:val="1327860270"/>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35A91ED3" w14:textId="77777777" w:rsidR="00E354AB" w:rsidRDefault="00E354AB" w:rsidP="00D07E51">
                        <w:pPr>
                          <w:jc w:val="center"/>
                          <w:rPr>
                            <w:b/>
                            <w:szCs w:val="21"/>
                          </w:rPr>
                        </w:pPr>
                        <w:r>
                          <w:rPr>
                            <w:rFonts w:ascii="Times New Roman" w:hAnsi="Times New Roman" w:hint="eastAsia"/>
                            <w:b/>
                            <w:szCs w:val="21"/>
                          </w:rPr>
                          <w:t>2021</w:t>
                        </w:r>
                        <w:r>
                          <w:rPr>
                            <w:rFonts w:hint="eastAsia"/>
                            <w:b/>
                            <w:szCs w:val="21"/>
                          </w:rPr>
                          <w:t>年半年度</w:t>
                        </w:r>
                      </w:p>
                    </w:tc>
                  </w:sdtContent>
                </w:sdt>
                <w:sdt>
                  <w:sdtPr>
                    <w:tag w:val="_PLD_f020215569a54a6db2bd3d5298280e01"/>
                    <w:id w:val="1491979265"/>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341048FD" w14:textId="77777777" w:rsidR="00E354AB" w:rsidRDefault="00E354AB" w:rsidP="00D07E51">
                        <w:pPr>
                          <w:jc w:val="center"/>
                          <w:rPr>
                            <w:b/>
                            <w:szCs w:val="21"/>
                          </w:rPr>
                        </w:pPr>
                        <w:r>
                          <w:rPr>
                            <w:rFonts w:ascii="Times New Roman" w:hAnsi="Times New Roman" w:hint="eastAsia"/>
                            <w:b/>
                            <w:szCs w:val="21"/>
                          </w:rPr>
                          <w:t>2020</w:t>
                        </w:r>
                        <w:r>
                          <w:rPr>
                            <w:rFonts w:hint="eastAsia"/>
                            <w:b/>
                            <w:szCs w:val="21"/>
                          </w:rPr>
                          <w:t>年半年度</w:t>
                        </w:r>
                      </w:p>
                    </w:tc>
                  </w:sdtContent>
                </w:sdt>
              </w:tr>
              <w:tr w:rsidR="00E354AB" w14:paraId="17FDD6A1" w14:textId="77777777" w:rsidTr="00D07E51">
                <w:sdt>
                  <w:sdtPr>
                    <w:tag w:val="_PLD_2d877c352d5440b8bf7dcd1940d9f85b"/>
                    <w:id w:val="-14203226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1830D2F" w14:textId="77777777" w:rsidR="00E354AB" w:rsidRDefault="00E354AB" w:rsidP="00D07E51">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14:paraId="3B9D9A04"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2A726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571,637,327.60</w:t>
                    </w:r>
                  </w:p>
                </w:tc>
                <w:tc>
                  <w:tcPr>
                    <w:tcW w:w="1114" w:type="pct"/>
                    <w:tcBorders>
                      <w:top w:val="outset" w:sz="4" w:space="0" w:color="auto"/>
                      <w:left w:val="outset" w:sz="4" w:space="0" w:color="auto"/>
                      <w:bottom w:val="outset" w:sz="4" w:space="0" w:color="auto"/>
                      <w:right w:val="outset" w:sz="4" w:space="0" w:color="auto"/>
                    </w:tcBorders>
                    <w:vAlign w:val="center"/>
                  </w:tcPr>
                  <w:p w14:paraId="7F73C94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459,998,400.31</w:t>
                    </w:r>
                  </w:p>
                </w:tc>
              </w:tr>
              <w:tr w:rsidR="00E354AB" w14:paraId="350BBE46" w14:textId="77777777" w:rsidTr="00D07E51">
                <w:sdt>
                  <w:sdtPr>
                    <w:tag w:val="_PLD_7f7b1fb368014debb0a48d797b8c9159"/>
                    <w:id w:val="4515231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01FA18E" w14:textId="77777777" w:rsidR="00E354AB" w:rsidRDefault="00E354AB" w:rsidP="00D07E51">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14:paraId="58856780" w14:textId="77777777" w:rsidR="00E354AB" w:rsidRDefault="00E354AB" w:rsidP="00D07E51">
                    <w:pPr>
                      <w:rPr>
                        <w:szCs w:val="21"/>
                      </w:rPr>
                    </w:pPr>
                    <w:r>
                      <w:rPr>
                        <w:rFonts w:hint="eastAsia"/>
                        <w:szCs w:val="21"/>
                      </w:rPr>
                      <w:t>七、</w:t>
                    </w:r>
                    <w:r>
                      <w:rPr>
                        <w:rFonts w:ascii="Times New Roman" w:hAnsi="Times New Roman" w:hint="eastAsia"/>
                        <w:szCs w:val="21"/>
                      </w:rPr>
                      <w:t>6</w:t>
                    </w:r>
                    <w:r>
                      <w:rPr>
                        <w:rFonts w:ascii="Times New Roman" w:hAnsi="Times New Roman"/>
                        <w:szCs w:val="21"/>
                      </w:rPr>
                      <w:t>1</w:t>
                    </w:r>
                  </w:p>
                </w:tc>
                <w:tc>
                  <w:tcPr>
                    <w:tcW w:w="1110" w:type="pct"/>
                    <w:tcBorders>
                      <w:top w:val="outset" w:sz="4" w:space="0" w:color="auto"/>
                      <w:left w:val="outset" w:sz="4" w:space="0" w:color="auto"/>
                      <w:bottom w:val="outset" w:sz="4" w:space="0" w:color="auto"/>
                      <w:right w:val="outset" w:sz="4" w:space="0" w:color="auto"/>
                    </w:tcBorders>
                    <w:vAlign w:val="center"/>
                  </w:tcPr>
                  <w:p w14:paraId="10E08C1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571,637,327.60</w:t>
                    </w:r>
                  </w:p>
                </w:tc>
                <w:tc>
                  <w:tcPr>
                    <w:tcW w:w="1114" w:type="pct"/>
                    <w:tcBorders>
                      <w:top w:val="outset" w:sz="4" w:space="0" w:color="auto"/>
                      <w:left w:val="outset" w:sz="4" w:space="0" w:color="auto"/>
                      <w:bottom w:val="outset" w:sz="4" w:space="0" w:color="auto"/>
                      <w:right w:val="outset" w:sz="4" w:space="0" w:color="auto"/>
                    </w:tcBorders>
                    <w:vAlign w:val="center"/>
                  </w:tcPr>
                  <w:p w14:paraId="116A45FD"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459,998,400.31</w:t>
                    </w:r>
                  </w:p>
                </w:tc>
              </w:tr>
              <w:tr w:rsidR="00E354AB" w14:paraId="2C3682D3" w14:textId="77777777" w:rsidTr="00D07E51">
                <w:sdt>
                  <w:sdtPr>
                    <w:tag w:val="_PLD_f666055067944f82816d6d4acfa0eb4c"/>
                    <w:id w:val="18003363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E8F4239" w14:textId="77777777" w:rsidR="00E354AB" w:rsidRDefault="00E354AB" w:rsidP="00D07E51">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14:paraId="78EC406C"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706686"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674,275,891.96</w:t>
                    </w:r>
                  </w:p>
                </w:tc>
                <w:tc>
                  <w:tcPr>
                    <w:tcW w:w="1114" w:type="pct"/>
                    <w:tcBorders>
                      <w:top w:val="outset" w:sz="4" w:space="0" w:color="auto"/>
                      <w:left w:val="outset" w:sz="4" w:space="0" w:color="auto"/>
                      <w:bottom w:val="outset" w:sz="4" w:space="0" w:color="auto"/>
                      <w:right w:val="outset" w:sz="4" w:space="0" w:color="auto"/>
                    </w:tcBorders>
                    <w:vAlign w:val="center"/>
                  </w:tcPr>
                  <w:p w14:paraId="6519DCBF"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558,671,005.35</w:t>
                    </w:r>
                  </w:p>
                </w:tc>
              </w:tr>
              <w:tr w:rsidR="00E354AB" w14:paraId="7B437FE4" w14:textId="77777777" w:rsidTr="00D07E51">
                <w:sdt>
                  <w:sdtPr>
                    <w:tag w:val="_PLD_21171334ba69445a843af4e467f2f7b1"/>
                    <w:id w:val="17182460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245A0A9" w14:textId="77777777" w:rsidR="00E354AB" w:rsidRDefault="00E354AB" w:rsidP="00D07E51">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14:paraId="04313C3B" w14:textId="77777777" w:rsidR="00E354AB" w:rsidRDefault="00E354AB" w:rsidP="00D07E51">
                    <w:pPr>
                      <w:rPr>
                        <w:szCs w:val="21"/>
                      </w:rPr>
                    </w:pPr>
                    <w:r>
                      <w:rPr>
                        <w:rFonts w:hint="eastAsia"/>
                        <w:szCs w:val="21"/>
                      </w:rPr>
                      <w:t>七、</w:t>
                    </w:r>
                    <w:r>
                      <w:rPr>
                        <w:rFonts w:ascii="Times New Roman" w:hAnsi="Times New Roman" w:hint="eastAsia"/>
                        <w:szCs w:val="21"/>
                      </w:rPr>
                      <w:t>6</w:t>
                    </w:r>
                    <w:r>
                      <w:rPr>
                        <w:rFonts w:ascii="Times New Roman" w:hAnsi="Times New Roman"/>
                        <w:szCs w:val="21"/>
                      </w:rPr>
                      <w:t>1</w:t>
                    </w:r>
                  </w:p>
                </w:tc>
                <w:tc>
                  <w:tcPr>
                    <w:tcW w:w="1110" w:type="pct"/>
                    <w:tcBorders>
                      <w:top w:val="outset" w:sz="4" w:space="0" w:color="auto"/>
                      <w:left w:val="outset" w:sz="4" w:space="0" w:color="auto"/>
                      <w:bottom w:val="outset" w:sz="4" w:space="0" w:color="auto"/>
                      <w:right w:val="outset" w:sz="4" w:space="0" w:color="auto"/>
                    </w:tcBorders>
                    <w:vAlign w:val="center"/>
                  </w:tcPr>
                  <w:p w14:paraId="6FE045D3"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477,365,329.39</w:t>
                    </w:r>
                  </w:p>
                </w:tc>
                <w:tc>
                  <w:tcPr>
                    <w:tcW w:w="1114" w:type="pct"/>
                    <w:tcBorders>
                      <w:top w:val="outset" w:sz="4" w:space="0" w:color="auto"/>
                      <w:left w:val="outset" w:sz="4" w:space="0" w:color="auto"/>
                      <w:bottom w:val="outset" w:sz="4" w:space="0" w:color="auto"/>
                      <w:right w:val="outset" w:sz="4" w:space="0" w:color="auto"/>
                    </w:tcBorders>
                    <w:vAlign w:val="center"/>
                  </w:tcPr>
                  <w:p w14:paraId="09E397CE"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401,958,204.83</w:t>
                    </w:r>
                  </w:p>
                </w:tc>
              </w:tr>
              <w:tr w:rsidR="00E354AB" w14:paraId="45185958" w14:textId="77777777" w:rsidTr="00D07E51">
                <w:sdt>
                  <w:sdtPr>
                    <w:tag w:val="_PLD_06c17ba723b44617ab108e2265705c9e"/>
                    <w:id w:val="-53749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78E47A9" w14:textId="77777777" w:rsidR="00E354AB" w:rsidRDefault="00E354AB" w:rsidP="00D07E51">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586005B8" w14:textId="77777777" w:rsidR="00E354AB" w:rsidRDefault="00E354AB" w:rsidP="00D07E51">
                    <w:pPr>
                      <w:rPr>
                        <w:szCs w:val="21"/>
                      </w:rPr>
                    </w:pPr>
                    <w:r>
                      <w:rPr>
                        <w:rFonts w:hint="eastAsia"/>
                      </w:rPr>
                      <w:t>七、</w:t>
                    </w:r>
                    <w:r>
                      <w:rPr>
                        <w:rFonts w:ascii="Times New Roman" w:hAnsi="Times New Roman" w:hint="eastAsia"/>
                      </w:rPr>
                      <w:t>62</w:t>
                    </w:r>
                  </w:p>
                </w:tc>
                <w:tc>
                  <w:tcPr>
                    <w:tcW w:w="1110" w:type="pct"/>
                    <w:tcBorders>
                      <w:top w:val="outset" w:sz="4" w:space="0" w:color="auto"/>
                      <w:left w:val="outset" w:sz="4" w:space="0" w:color="auto"/>
                      <w:bottom w:val="outset" w:sz="4" w:space="0" w:color="auto"/>
                      <w:right w:val="outset" w:sz="4" w:space="0" w:color="auto"/>
                    </w:tcBorders>
                    <w:vAlign w:val="center"/>
                  </w:tcPr>
                  <w:p w14:paraId="76C85030"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2,415,251.72</w:t>
                    </w:r>
                  </w:p>
                </w:tc>
                <w:tc>
                  <w:tcPr>
                    <w:tcW w:w="1114" w:type="pct"/>
                    <w:tcBorders>
                      <w:top w:val="outset" w:sz="4" w:space="0" w:color="auto"/>
                      <w:left w:val="outset" w:sz="4" w:space="0" w:color="auto"/>
                      <w:bottom w:val="outset" w:sz="4" w:space="0" w:color="auto"/>
                      <w:right w:val="outset" w:sz="4" w:space="0" w:color="auto"/>
                    </w:tcBorders>
                    <w:vAlign w:val="center"/>
                  </w:tcPr>
                  <w:p w14:paraId="7DB9344D"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2,193,811.89</w:t>
                    </w:r>
                  </w:p>
                </w:tc>
              </w:tr>
              <w:tr w:rsidR="00E354AB" w14:paraId="7D100FE9" w14:textId="77777777" w:rsidTr="00D07E51">
                <w:sdt>
                  <w:sdtPr>
                    <w:tag w:val="_PLD_a3b8d65ff4ec461aa0e45656973f9d4f"/>
                    <w:id w:val="3537008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2286A0C" w14:textId="77777777" w:rsidR="00E354AB" w:rsidRDefault="00E354AB" w:rsidP="00D07E51">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73792978" w14:textId="77777777" w:rsidR="00E354AB" w:rsidRDefault="00E354AB" w:rsidP="00D07E51">
                    <w:pPr>
                      <w:rPr>
                        <w:szCs w:val="21"/>
                      </w:rPr>
                    </w:pPr>
                    <w:r>
                      <w:rPr>
                        <w:rFonts w:hint="eastAsia"/>
                      </w:rPr>
                      <w:t>七、</w:t>
                    </w:r>
                    <w:r>
                      <w:rPr>
                        <w:rFonts w:ascii="Times New Roman" w:hAnsi="Times New Roman" w:hint="eastAsia"/>
                      </w:rPr>
                      <w:t>63</w:t>
                    </w:r>
                  </w:p>
                </w:tc>
                <w:tc>
                  <w:tcPr>
                    <w:tcW w:w="1110" w:type="pct"/>
                    <w:tcBorders>
                      <w:top w:val="outset" w:sz="4" w:space="0" w:color="auto"/>
                      <w:left w:val="outset" w:sz="4" w:space="0" w:color="auto"/>
                      <w:bottom w:val="outset" w:sz="4" w:space="0" w:color="auto"/>
                      <w:right w:val="outset" w:sz="4" w:space="0" w:color="auto"/>
                    </w:tcBorders>
                    <w:vAlign w:val="center"/>
                  </w:tcPr>
                  <w:p w14:paraId="0A38DC01"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29,767,716.19</w:t>
                    </w:r>
                  </w:p>
                </w:tc>
                <w:tc>
                  <w:tcPr>
                    <w:tcW w:w="1114" w:type="pct"/>
                    <w:tcBorders>
                      <w:top w:val="outset" w:sz="4" w:space="0" w:color="auto"/>
                      <w:left w:val="outset" w:sz="4" w:space="0" w:color="auto"/>
                      <w:bottom w:val="outset" w:sz="4" w:space="0" w:color="auto"/>
                      <w:right w:val="outset" w:sz="4" w:space="0" w:color="auto"/>
                    </w:tcBorders>
                    <w:vAlign w:val="center"/>
                  </w:tcPr>
                  <w:p w14:paraId="425CCC2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24,280,299.80</w:t>
                    </w:r>
                  </w:p>
                </w:tc>
              </w:tr>
              <w:tr w:rsidR="00E354AB" w14:paraId="78B5D14E" w14:textId="77777777" w:rsidTr="00D07E51">
                <w:sdt>
                  <w:sdtPr>
                    <w:tag w:val="_PLD_bed77e0a08324462af3ef7a5005bb139"/>
                    <w:id w:val="9991496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C3F5C7F" w14:textId="77777777" w:rsidR="00E354AB" w:rsidRDefault="00E354AB" w:rsidP="00D07E51">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55CC61E8" w14:textId="77777777" w:rsidR="00E354AB" w:rsidRDefault="00E354AB" w:rsidP="00D07E51">
                    <w:pPr>
                      <w:rPr>
                        <w:szCs w:val="21"/>
                      </w:rPr>
                    </w:pPr>
                    <w:r>
                      <w:rPr>
                        <w:rFonts w:hint="eastAsia"/>
                      </w:rPr>
                      <w:t>七、</w:t>
                    </w:r>
                    <w:r>
                      <w:rPr>
                        <w:rFonts w:ascii="Times New Roman" w:hAnsi="Times New Roman" w:hint="eastAsia"/>
                      </w:rPr>
                      <w:t>64</w:t>
                    </w:r>
                  </w:p>
                </w:tc>
                <w:tc>
                  <w:tcPr>
                    <w:tcW w:w="1110" w:type="pct"/>
                    <w:tcBorders>
                      <w:top w:val="outset" w:sz="4" w:space="0" w:color="auto"/>
                      <w:left w:val="outset" w:sz="4" w:space="0" w:color="auto"/>
                      <w:bottom w:val="outset" w:sz="4" w:space="0" w:color="auto"/>
                      <w:right w:val="outset" w:sz="4" w:space="0" w:color="auto"/>
                    </w:tcBorders>
                    <w:vAlign w:val="center"/>
                  </w:tcPr>
                  <w:p w14:paraId="1CD4DF2B"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103,359,968.82</w:t>
                    </w:r>
                  </w:p>
                </w:tc>
                <w:tc>
                  <w:tcPr>
                    <w:tcW w:w="1114" w:type="pct"/>
                    <w:tcBorders>
                      <w:top w:val="outset" w:sz="4" w:space="0" w:color="auto"/>
                      <w:left w:val="outset" w:sz="4" w:space="0" w:color="auto"/>
                      <w:bottom w:val="outset" w:sz="4" w:space="0" w:color="auto"/>
                      <w:right w:val="outset" w:sz="4" w:space="0" w:color="auto"/>
                    </w:tcBorders>
                    <w:vAlign w:val="center"/>
                  </w:tcPr>
                  <w:p w14:paraId="2D823EF4"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93,856,387.83</w:t>
                    </w:r>
                  </w:p>
                </w:tc>
              </w:tr>
              <w:tr w:rsidR="00E354AB" w14:paraId="37B23C3E"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851566690"/>
                      <w:lock w:val="sdtLocked"/>
                    </w:sdtPr>
                    <w:sdtEndPr/>
                    <w:sdtContent>
                      <w:p w14:paraId="722BA627" w14:textId="77777777" w:rsidR="00E354AB" w:rsidRDefault="00E354AB" w:rsidP="00D07E51">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0F921A16" w14:textId="77777777" w:rsidR="00E354AB" w:rsidRDefault="00E354AB" w:rsidP="00D07E51">
                    <w:pPr>
                      <w:rPr>
                        <w:szCs w:val="21"/>
                      </w:rPr>
                    </w:pPr>
                    <w:r>
                      <w:rPr>
                        <w:rFonts w:hint="eastAsia"/>
                      </w:rPr>
                      <w:t>七、</w:t>
                    </w:r>
                    <w:r>
                      <w:rPr>
                        <w:rFonts w:ascii="Times New Roman" w:hAnsi="Times New Roman" w:hint="eastAsia"/>
                      </w:rPr>
                      <w:t>6</w:t>
                    </w:r>
                    <w:r>
                      <w:rPr>
                        <w:rFonts w:ascii="Times New Roman" w:hAnsi="Times New Roman"/>
                      </w:rPr>
                      <w:t>5</w:t>
                    </w:r>
                  </w:p>
                </w:tc>
                <w:tc>
                  <w:tcPr>
                    <w:tcW w:w="1110" w:type="pct"/>
                    <w:tcBorders>
                      <w:top w:val="outset" w:sz="4" w:space="0" w:color="auto"/>
                      <w:left w:val="outset" w:sz="4" w:space="0" w:color="auto"/>
                      <w:bottom w:val="outset" w:sz="4" w:space="0" w:color="auto"/>
                      <w:right w:val="outset" w:sz="4" w:space="0" w:color="auto"/>
                    </w:tcBorders>
                    <w:vAlign w:val="center"/>
                  </w:tcPr>
                  <w:p w14:paraId="72FF7177"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49,270,983.35</w:t>
                    </w:r>
                  </w:p>
                </w:tc>
                <w:tc>
                  <w:tcPr>
                    <w:tcW w:w="1114" w:type="pct"/>
                    <w:tcBorders>
                      <w:top w:val="outset" w:sz="4" w:space="0" w:color="auto"/>
                      <w:left w:val="outset" w:sz="4" w:space="0" w:color="auto"/>
                      <w:bottom w:val="outset" w:sz="4" w:space="0" w:color="auto"/>
                      <w:right w:val="outset" w:sz="4" w:space="0" w:color="auto"/>
                    </w:tcBorders>
                    <w:vAlign w:val="center"/>
                  </w:tcPr>
                  <w:p w14:paraId="4CB0DA44"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31,613,940.27</w:t>
                    </w:r>
                  </w:p>
                </w:tc>
              </w:tr>
              <w:tr w:rsidR="00E354AB" w14:paraId="21B50A11" w14:textId="77777777" w:rsidTr="00D07E51">
                <w:sdt>
                  <w:sdtPr>
                    <w:tag w:val="_PLD_6faf3cf39dfa4fd1925e0d9be4566671"/>
                    <w:id w:val="11888751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BBDF2AF" w14:textId="77777777" w:rsidR="00E354AB" w:rsidRDefault="00E354AB" w:rsidP="00D07E51">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51140D72" w14:textId="77777777" w:rsidR="00E354AB" w:rsidRDefault="00E354AB" w:rsidP="00D07E51">
                    <w:pPr>
                      <w:rPr>
                        <w:szCs w:val="21"/>
                      </w:rPr>
                    </w:pPr>
                    <w:r>
                      <w:rPr>
                        <w:rFonts w:hint="eastAsia"/>
                      </w:rPr>
                      <w:t>七、</w:t>
                    </w:r>
                    <w:r>
                      <w:rPr>
                        <w:rFonts w:ascii="Times New Roman" w:hAnsi="Times New Roman" w:hint="eastAsia"/>
                      </w:rPr>
                      <w:t>6</w:t>
                    </w:r>
                    <w:r>
                      <w:rPr>
                        <w:rFonts w:ascii="Times New Roman" w:hAnsi="Times New Roman"/>
                      </w:rPr>
                      <w:t>6</w:t>
                    </w:r>
                  </w:p>
                </w:tc>
                <w:tc>
                  <w:tcPr>
                    <w:tcW w:w="1110" w:type="pct"/>
                    <w:tcBorders>
                      <w:top w:val="outset" w:sz="4" w:space="0" w:color="auto"/>
                      <w:left w:val="outset" w:sz="4" w:space="0" w:color="auto"/>
                      <w:bottom w:val="outset" w:sz="4" w:space="0" w:color="auto"/>
                      <w:right w:val="outset" w:sz="4" w:space="0" w:color="auto"/>
                    </w:tcBorders>
                    <w:vAlign w:val="center"/>
                  </w:tcPr>
                  <w:p w14:paraId="0954C18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12,096,642.49</w:t>
                    </w:r>
                  </w:p>
                </w:tc>
                <w:tc>
                  <w:tcPr>
                    <w:tcW w:w="1114" w:type="pct"/>
                    <w:tcBorders>
                      <w:top w:val="outset" w:sz="4" w:space="0" w:color="auto"/>
                      <w:left w:val="outset" w:sz="4" w:space="0" w:color="auto"/>
                      <w:bottom w:val="outset" w:sz="4" w:space="0" w:color="auto"/>
                      <w:right w:val="outset" w:sz="4" w:space="0" w:color="auto"/>
                    </w:tcBorders>
                    <w:vAlign w:val="center"/>
                  </w:tcPr>
                  <w:p w14:paraId="13904BB5"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4,768,360.73</w:t>
                    </w:r>
                  </w:p>
                </w:tc>
              </w:tr>
              <w:tr w:rsidR="00E354AB" w14:paraId="16F0ACD4"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1544369491"/>
                      <w:lock w:val="sdtLocked"/>
                    </w:sdtPr>
                    <w:sdtEndPr/>
                    <w:sdtContent>
                      <w:p w14:paraId="394FE134" w14:textId="77777777" w:rsidR="00E354AB" w:rsidRDefault="00E354AB" w:rsidP="00D07E51">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487F561E"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81788A6"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9,876,389.39</w:t>
                    </w:r>
                  </w:p>
                </w:tc>
                <w:tc>
                  <w:tcPr>
                    <w:tcW w:w="1114" w:type="pct"/>
                    <w:tcBorders>
                      <w:top w:val="outset" w:sz="4" w:space="0" w:color="auto"/>
                      <w:left w:val="outset" w:sz="4" w:space="0" w:color="auto"/>
                      <w:bottom w:val="outset" w:sz="4" w:space="0" w:color="auto"/>
                      <w:right w:val="outset" w:sz="4" w:space="0" w:color="auto"/>
                    </w:tcBorders>
                    <w:vAlign w:val="center"/>
                  </w:tcPr>
                  <w:p w14:paraId="19E23AA6"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6,842,648.79</w:t>
                    </w:r>
                  </w:p>
                </w:tc>
              </w:tr>
              <w:tr w:rsidR="00E354AB" w14:paraId="5F60E05D"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1188596310"/>
                      <w:lock w:val="sdtLocked"/>
                    </w:sdtPr>
                    <w:sdtEndPr/>
                    <w:sdtContent>
                      <w:p w14:paraId="2A22EF2C" w14:textId="77777777" w:rsidR="00E354AB" w:rsidRDefault="00E354AB" w:rsidP="00D07E51">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193E40A1"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4422B9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5,638,279.01</w:t>
                    </w:r>
                  </w:p>
                </w:tc>
                <w:tc>
                  <w:tcPr>
                    <w:tcW w:w="1114" w:type="pct"/>
                    <w:tcBorders>
                      <w:top w:val="outset" w:sz="4" w:space="0" w:color="auto"/>
                      <w:left w:val="outset" w:sz="4" w:space="0" w:color="auto"/>
                      <w:bottom w:val="outset" w:sz="4" w:space="0" w:color="auto"/>
                      <w:right w:val="outset" w:sz="4" w:space="0" w:color="auto"/>
                    </w:tcBorders>
                    <w:vAlign w:val="center"/>
                  </w:tcPr>
                  <w:p w14:paraId="798E33A9"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1,279,755.80</w:t>
                    </w:r>
                  </w:p>
                </w:tc>
              </w:tr>
              <w:tr w:rsidR="00E354AB" w14:paraId="7E51B050" w14:textId="77777777" w:rsidTr="00D07E51">
                <w:sdt>
                  <w:sdtPr>
                    <w:tag w:val="_PLD_c5148208867748028cb9d238ab2addb6"/>
                    <w:id w:val="11460801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28C474C" w14:textId="77777777" w:rsidR="00E354AB" w:rsidRDefault="00E354AB" w:rsidP="00D07E51">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7A97FD95" w14:textId="77777777" w:rsidR="00E354AB" w:rsidRDefault="00E354AB" w:rsidP="00D07E51">
                    <w:pPr>
                      <w:rPr>
                        <w:szCs w:val="21"/>
                      </w:rPr>
                    </w:pPr>
                    <w:r>
                      <w:rPr>
                        <w:rFonts w:hint="eastAsia"/>
                      </w:rPr>
                      <w:t>七、</w:t>
                    </w:r>
                    <w:r>
                      <w:rPr>
                        <w:rFonts w:ascii="Times New Roman" w:hAnsi="Times New Roman" w:hint="eastAsia"/>
                      </w:rPr>
                      <w:t>6</w:t>
                    </w:r>
                    <w:r>
                      <w:rPr>
                        <w:rFonts w:ascii="Times New Roman" w:hAnsi="Times New Roman"/>
                      </w:rPr>
                      <w:t>7</w:t>
                    </w:r>
                  </w:p>
                </w:tc>
                <w:tc>
                  <w:tcPr>
                    <w:tcW w:w="1110" w:type="pct"/>
                    <w:tcBorders>
                      <w:top w:val="outset" w:sz="4" w:space="0" w:color="auto"/>
                      <w:left w:val="outset" w:sz="4" w:space="0" w:color="auto"/>
                      <w:bottom w:val="outset" w:sz="4" w:space="0" w:color="auto"/>
                      <w:right w:val="outset" w:sz="4" w:space="0" w:color="auto"/>
                    </w:tcBorders>
                    <w:vAlign w:val="center"/>
                  </w:tcPr>
                  <w:p w14:paraId="33E82834"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3,102,798.27</w:t>
                    </w:r>
                  </w:p>
                </w:tc>
                <w:tc>
                  <w:tcPr>
                    <w:tcW w:w="1114" w:type="pct"/>
                    <w:tcBorders>
                      <w:top w:val="outset" w:sz="4" w:space="0" w:color="auto"/>
                      <w:left w:val="outset" w:sz="4" w:space="0" w:color="auto"/>
                      <w:bottom w:val="outset" w:sz="4" w:space="0" w:color="auto"/>
                      <w:right w:val="outset" w:sz="4" w:space="0" w:color="auto"/>
                    </w:tcBorders>
                    <w:vAlign w:val="center"/>
                  </w:tcPr>
                  <w:p w14:paraId="6C5B1C1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20,768,865.11</w:t>
                    </w:r>
                  </w:p>
                </w:tc>
              </w:tr>
              <w:tr w:rsidR="00E354AB" w14:paraId="5D8CC42A" w14:textId="77777777" w:rsidTr="00D07E51">
                <w:sdt>
                  <w:sdtPr>
                    <w:tag w:val="_PLD_c58a027e2ee74b79b026fbba720ccf3a"/>
                    <w:id w:val="13667890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EE5E6F9" w14:textId="77777777" w:rsidR="00E354AB" w:rsidRDefault="00E354AB" w:rsidP="00D07E51">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74DAA64F" w14:textId="77777777" w:rsidR="00E354AB" w:rsidRDefault="00E354AB" w:rsidP="00D07E51">
                    <w:pPr>
                      <w:rPr>
                        <w:szCs w:val="21"/>
                      </w:rPr>
                    </w:pPr>
                    <w:r>
                      <w:rPr>
                        <w:rFonts w:hint="eastAsia"/>
                        <w:szCs w:val="21"/>
                      </w:rPr>
                      <w:t>七、</w:t>
                    </w:r>
                    <w:r>
                      <w:rPr>
                        <w:rFonts w:ascii="Times New Roman" w:hAnsi="Times New Roman" w:hint="eastAsia"/>
                        <w:szCs w:val="21"/>
                      </w:rPr>
                      <w:t>6</w:t>
                    </w:r>
                    <w:r>
                      <w:rPr>
                        <w:rFonts w:ascii="Times New Roman" w:hAnsi="Times New Roman"/>
                        <w:szCs w:val="21"/>
                      </w:rPr>
                      <w:t>8</w:t>
                    </w:r>
                  </w:p>
                </w:tc>
                <w:tc>
                  <w:tcPr>
                    <w:tcW w:w="1110" w:type="pct"/>
                    <w:tcBorders>
                      <w:top w:val="outset" w:sz="4" w:space="0" w:color="auto"/>
                      <w:left w:val="outset" w:sz="4" w:space="0" w:color="auto"/>
                      <w:bottom w:val="outset" w:sz="4" w:space="0" w:color="auto"/>
                      <w:right w:val="outset" w:sz="4" w:space="0" w:color="auto"/>
                    </w:tcBorders>
                    <w:vAlign w:val="center"/>
                  </w:tcPr>
                  <w:p w14:paraId="032B2C53"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13,900,909.83</w:t>
                    </w:r>
                  </w:p>
                </w:tc>
                <w:tc>
                  <w:tcPr>
                    <w:tcW w:w="1114" w:type="pct"/>
                    <w:tcBorders>
                      <w:top w:val="outset" w:sz="4" w:space="0" w:color="auto"/>
                      <w:left w:val="outset" w:sz="4" w:space="0" w:color="auto"/>
                      <w:bottom w:val="outset" w:sz="4" w:space="0" w:color="auto"/>
                      <w:right w:val="outset" w:sz="4" w:space="0" w:color="auto"/>
                    </w:tcBorders>
                    <w:vAlign w:val="center"/>
                  </w:tcPr>
                  <w:p w14:paraId="2A5016F0"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-108,199.11</w:t>
                    </w:r>
                  </w:p>
                </w:tc>
              </w:tr>
              <w:tr w:rsidR="00E354AB" w14:paraId="3DBF8D3A" w14:textId="77777777" w:rsidTr="00D07E51">
                <w:sdt>
                  <w:sdtPr>
                    <w:tag w:val="_PLD_58f92dc598044243844972f7264dee3f"/>
                    <w:id w:val="-10916166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C4E5AF7" w14:textId="77777777" w:rsidR="00E354AB" w:rsidRDefault="00E354AB" w:rsidP="00D07E51">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6504C285"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A74DD9"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989,995.72</w:t>
                    </w:r>
                  </w:p>
                </w:tc>
                <w:tc>
                  <w:tcPr>
                    <w:tcW w:w="1114" w:type="pct"/>
                    <w:tcBorders>
                      <w:top w:val="outset" w:sz="4" w:space="0" w:color="auto"/>
                      <w:left w:val="outset" w:sz="4" w:space="0" w:color="auto"/>
                      <w:bottom w:val="outset" w:sz="4" w:space="0" w:color="auto"/>
                      <w:right w:val="outset" w:sz="4" w:space="0" w:color="auto"/>
                    </w:tcBorders>
                    <w:vAlign w:val="center"/>
                  </w:tcPr>
                  <w:p w14:paraId="67623607"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-450,537.89</w:t>
                    </w:r>
                  </w:p>
                </w:tc>
              </w:tr>
              <w:tr w:rsidR="00E354AB" w14:paraId="34991141" w14:textId="77777777" w:rsidTr="00D07E51">
                <w:sdt>
                  <w:sdtPr>
                    <w:tag w:val="_PLD_e6e5f627ac054b8b8f91f930cd45c7d6"/>
                    <w:id w:val="16709103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7769125" w14:textId="77777777" w:rsidR="00E354AB" w:rsidRDefault="00E354AB" w:rsidP="00D07E51">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0AAAF882" w14:textId="77777777" w:rsidR="00E354AB" w:rsidRDefault="00E354AB" w:rsidP="00D07E51">
                    <w:pPr>
                      <w:rPr>
                        <w:szCs w:val="21"/>
                      </w:rPr>
                    </w:pPr>
                    <w:r>
                      <w:rPr>
                        <w:rFonts w:hint="eastAsia"/>
                      </w:rPr>
                      <w:t>七、</w:t>
                    </w:r>
                    <w:r>
                      <w:rPr>
                        <w:rFonts w:ascii="Times New Roman" w:hAnsi="Times New Roman" w:hint="eastAsia"/>
                      </w:rPr>
                      <w:t>7</w:t>
                    </w:r>
                    <w:r>
                      <w:rPr>
                        <w:rFonts w:ascii="Times New Roman" w:hAnsi="Times New Roman"/>
                      </w:rPr>
                      <w:t>0</w:t>
                    </w:r>
                  </w:p>
                </w:tc>
                <w:tc>
                  <w:tcPr>
                    <w:tcW w:w="1110" w:type="pct"/>
                    <w:tcBorders>
                      <w:top w:val="outset" w:sz="4" w:space="0" w:color="auto"/>
                      <w:left w:val="outset" w:sz="4" w:space="0" w:color="auto"/>
                      <w:bottom w:val="outset" w:sz="4" w:space="0" w:color="auto"/>
                      <w:right w:val="outset" w:sz="4" w:space="0" w:color="auto"/>
                    </w:tcBorders>
                    <w:vAlign w:val="center"/>
                  </w:tcPr>
                  <w:p w14:paraId="5C0C5251"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6,360,739.72</w:t>
                    </w:r>
                  </w:p>
                </w:tc>
                <w:tc>
                  <w:tcPr>
                    <w:tcW w:w="1114" w:type="pct"/>
                    <w:tcBorders>
                      <w:top w:val="outset" w:sz="4" w:space="0" w:color="auto"/>
                      <w:left w:val="outset" w:sz="4" w:space="0" w:color="auto"/>
                      <w:bottom w:val="outset" w:sz="4" w:space="0" w:color="auto"/>
                      <w:right w:val="outset" w:sz="4" w:space="0" w:color="auto"/>
                    </w:tcBorders>
                    <w:vAlign w:val="center"/>
                  </w:tcPr>
                  <w:p w14:paraId="5FBEC504"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-598,838.37</w:t>
                    </w:r>
                  </w:p>
                </w:tc>
              </w:tr>
              <w:tr w:rsidR="00E354AB" w14:paraId="2DCE0D09"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833410884"/>
                      <w:lock w:val="sdtLocked"/>
                    </w:sdtPr>
                    <w:sdtEndPr/>
                    <w:sdtContent>
                      <w:p w14:paraId="6F37CC8B" w14:textId="77777777" w:rsidR="00E354AB" w:rsidRDefault="00E354AB" w:rsidP="00D07E51">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4AAED9D8" w14:textId="77777777" w:rsidR="00E354AB" w:rsidRDefault="00E354AB" w:rsidP="00D07E51">
                    <w:pPr>
                      <w:rPr>
                        <w:szCs w:val="21"/>
                      </w:rPr>
                    </w:pPr>
                    <w:r>
                      <w:rPr>
                        <w:rFonts w:hint="eastAsia"/>
                      </w:rPr>
                      <w:t>七、</w:t>
                    </w:r>
                    <w:r>
                      <w:rPr>
                        <w:rFonts w:ascii="Times New Roman" w:hAnsi="Times New Roman" w:hint="eastAsia"/>
                      </w:rPr>
                      <w:t>7</w:t>
                    </w:r>
                    <w:r>
                      <w:rPr>
                        <w:rFonts w:ascii="Times New Roman" w:hAnsi="Times New Roman"/>
                      </w:rPr>
                      <w:t>1</w:t>
                    </w:r>
                  </w:p>
                </w:tc>
                <w:tc>
                  <w:tcPr>
                    <w:tcW w:w="1110" w:type="pct"/>
                    <w:tcBorders>
                      <w:top w:val="outset" w:sz="4" w:space="0" w:color="auto"/>
                      <w:left w:val="outset" w:sz="4" w:space="0" w:color="auto"/>
                      <w:bottom w:val="outset" w:sz="4" w:space="0" w:color="auto"/>
                      <w:right w:val="outset" w:sz="4" w:space="0" w:color="auto"/>
                    </w:tcBorders>
                    <w:vAlign w:val="center"/>
                  </w:tcPr>
                  <w:p w14:paraId="30E81C4B"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890,743.62</w:t>
                    </w:r>
                  </w:p>
                </w:tc>
                <w:tc>
                  <w:tcPr>
                    <w:tcW w:w="1114" w:type="pct"/>
                    <w:tcBorders>
                      <w:top w:val="outset" w:sz="4" w:space="0" w:color="auto"/>
                      <w:left w:val="outset" w:sz="4" w:space="0" w:color="auto"/>
                      <w:bottom w:val="outset" w:sz="4" w:space="0" w:color="auto"/>
                      <w:right w:val="outset" w:sz="4" w:space="0" w:color="auto"/>
                    </w:tcBorders>
                    <w:vAlign w:val="center"/>
                  </w:tcPr>
                  <w:p w14:paraId="53924781"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-9,464,332.05</w:t>
                    </w:r>
                  </w:p>
                </w:tc>
              </w:tr>
              <w:tr w:rsidR="00E354AB" w14:paraId="6BD3BE81" w14:textId="77777777" w:rsidTr="00D07E51">
                <w:sdt>
                  <w:sdtPr>
                    <w:tag w:val="_PLD_fe82d7189b7a42a6ae64dd80ca9bbe80"/>
                    <w:id w:val="-15681083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4D6DEB2" w14:textId="77777777" w:rsidR="00E354AB" w:rsidRDefault="00E354AB" w:rsidP="00D07E51">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22A36FE" w14:textId="77777777" w:rsidR="00E354AB" w:rsidRDefault="00E354AB" w:rsidP="00D07E51">
                    <w:pPr>
                      <w:rPr>
                        <w:szCs w:val="21"/>
                      </w:rPr>
                    </w:pPr>
                    <w:r>
                      <w:rPr>
                        <w:rFonts w:hint="eastAsia"/>
                      </w:rPr>
                      <w:t>七、</w:t>
                    </w:r>
                    <w:r>
                      <w:rPr>
                        <w:rFonts w:ascii="Times New Roman" w:hAnsi="Times New Roman" w:hint="eastAsia"/>
                      </w:rPr>
                      <w:t>7</w:t>
                    </w:r>
                    <w:r>
                      <w:rPr>
                        <w:rFonts w:ascii="Times New Roman" w:hAnsi="Times New Roman"/>
                      </w:rPr>
                      <w:t>2</w:t>
                    </w:r>
                  </w:p>
                </w:tc>
                <w:tc>
                  <w:tcPr>
                    <w:tcW w:w="1110" w:type="pct"/>
                    <w:tcBorders>
                      <w:top w:val="outset" w:sz="4" w:space="0" w:color="auto"/>
                      <w:left w:val="outset" w:sz="4" w:space="0" w:color="auto"/>
                      <w:bottom w:val="outset" w:sz="4" w:space="0" w:color="auto"/>
                      <w:right w:val="outset" w:sz="4" w:space="0" w:color="auto"/>
                    </w:tcBorders>
                    <w:vAlign w:val="center"/>
                  </w:tcPr>
                  <w:p w14:paraId="388C906E"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-6,165,704.08</w:t>
                    </w:r>
                  </w:p>
                </w:tc>
                <w:tc>
                  <w:tcPr>
                    <w:tcW w:w="1114" w:type="pct"/>
                    <w:tcBorders>
                      <w:top w:val="outset" w:sz="4" w:space="0" w:color="auto"/>
                      <w:left w:val="outset" w:sz="4" w:space="0" w:color="auto"/>
                      <w:bottom w:val="outset" w:sz="4" w:space="0" w:color="auto"/>
                      <w:right w:val="outset" w:sz="4" w:space="0" w:color="auto"/>
                    </w:tcBorders>
                    <w:vAlign w:val="center"/>
                  </w:tcPr>
                  <w:p w14:paraId="038DA3DB"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-601,169.18</w:t>
                    </w:r>
                  </w:p>
                </w:tc>
              </w:tr>
              <w:tr w:rsidR="00E354AB" w14:paraId="1E165532" w14:textId="77777777" w:rsidTr="00D07E51">
                <w:sdt>
                  <w:sdtPr>
                    <w:rPr>
                      <w:rFonts w:hint="eastAsia"/>
                    </w:rPr>
                    <w:tag w:val="_PLD_60761ec4a82c4bc298a64deee215586d"/>
                    <w:id w:val="5070211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54052AD" w14:textId="77777777" w:rsidR="00E354AB" w:rsidRDefault="00E354AB" w:rsidP="00D07E51">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7FB07B67" w14:textId="77777777" w:rsidR="00E354AB" w:rsidRDefault="00E354AB" w:rsidP="00D07E51">
                    <w:pPr>
                      <w:rPr>
                        <w:szCs w:val="21"/>
                      </w:rPr>
                    </w:pPr>
                    <w:r>
                      <w:rPr>
                        <w:rFonts w:hint="eastAsia"/>
                      </w:rPr>
                      <w:t>七、</w:t>
                    </w:r>
                    <w:r>
                      <w:rPr>
                        <w:rFonts w:ascii="Times New Roman" w:hAnsi="Times New Roman" w:hint="eastAsia"/>
                      </w:rPr>
                      <w:t>7</w:t>
                    </w:r>
                    <w:r>
                      <w:rPr>
                        <w:rFonts w:ascii="Times New Roman" w:hAnsi="Times New Roman"/>
                      </w:rPr>
                      <w:t>3</w:t>
                    </w:r>
                  </w:p>
                </w:tc>
                <w:tc>
                  <w:tcPr>
                    <w:tcW w:w="1110" w:type="pct"/>
                    <w:tcBorders>
                      <w:top w:val="outset" w:sz="4" w:space="0" w:color="auto"/>
                      <w:left w:val="outset" w:sz="4" w:space="0" w:color="auto"/>
                      <w:bottom w:val="outset" w:sz="4" w:space="0" w:color="auto"/>
                      <w:right w:val="outset" w:sz="4" w:space="0" w:color="auto"/>
                    </w:tcBorders>
                    <w:vAlign w:val="center"/>
                  </w:tcPr>
                  <w:p w14:paraId="307B2657"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415,888.37</w:t>
                    </w:r>
                  </w:p>
                </w:tc>
                <w:tc>
                  <w:tcPr>
                    <w:tcW w:w="1114" w:type="pct"/>
                    <w:tcBorders>
                      <w:top w:val="outset" w:sz="4" w:space="0" w:color="auto"/>
                      <w:left w:val="outset" w:sz="4" w:space="0" w:color="auto"/>
                      <w:bottom w:val="outset" w:sz="4" w:space="0" w:color="auto"/>
                      <w:right w:val="outset" w:sz="4" w:space="0" w:color="auto"/>
                    </w:tcBorders>
                    <w:vAlign w:val="center"/>
                  </w:tcPr>
                  <w:p w14:paraId="7F7A9E4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1,145,472.80</w:t>
                    </w:r>
                  </w:p>
                </w:tc>
              </w:tr>
              <w:tr w:rsidR="00E354AB" w14:paraId="4FB96372" w14:textId="77777777" w:rsidTr="00D07E51">
                <w:sdt>
                  <w:sdtPr>
                    <w:tag w:val="_PLD_18d15c0eacb94678be3131e09c8d9904"/>
                    <w:id w:val="-10482217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9CF2585" w14:textId="77777777" w:rsidR="00E354AB" w:rsidRDefault="00E354AB" w:rsidP="00D07E51">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7ADF4EA8"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3D98016"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-84,133,188.63</w:t>
                    </w:r>
                  </w:p>
                </w:tc>
                <w:tc>
                  <w:tcPr>
                    <w:tcW w:w="1114" w:type="pct"/>
                    <w:tcBorders>
                      <w:top w:val="outset" w:sz="4" w:space="0" w:color="auto"/>
                      <w:left w:val="outset" w:sz="4" w:space="0" w:color="auto"/>
                      <w:bottom w:val="outset" w:sz="4" w:space="0" w:color="auto"/>
                      <w:right w:val="outset" w:sz="4" w:space="0" w:color="auto"/>
                    </w:tcBorders>
                    <w:vAlign w:val="center"/>
                  </w:tcPr>
                  <w:p w14:paraId="2A13ABFA"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-87,530,805.84</w:t>
                    </w:r>
                  </w:p>
                </w:tc>
              </w:tr>
              <w:tr w:rsidR="00E354AB" w14:paraId="0EC9D6B7" w14:textId="77777777" w:rsidTr="00D07E51">
                <w:sdt>
                  <w:sdtPr>
                    <w:tag w:val="_PLD_e328c8d559944bfd89e7332623e0aea3"/>
                    <w:id w:val="11154094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628ED26" w14:textId="77777777" w:rsidR="00E354AB" w:rsidRDefault="00E354AB" w:rsidP="00D07E51">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3B1E9163" w14:textId="77777777" w:rsidR="00E354AB" w:rsidRDefault="00E354AB" w:rsidP="00D07E51">
                    <w:pPr>
                      <w:rPr>
                        <w:szCs w:val="21"/>
                      </w:rPr>
                    </w:pPr>
                    <w:r>
                      <w:rPr>
                        <w:rFonts w:hint="eastAsia"/>
                      </w:rPr>
                      <w:t>七、</w:t>
                    </w:r>
                    <w:r>
                      <w:rPr>
                        <w:rFonts w:ascii="Times New Roman" w:hAnsi="Times New Roman" w:hint="eastAsia"/>
                      </w:rPr>
                      <w:t>7</w:t>
                    </w:r>
                    <w:r>
                      <w:rPr>
                        <w:rFonts w:ascii="Times New Roman" w:hAnsi="Times New Roman"/>
                      </w:rPr>
                      <w:t>4</w:t>
                    </w:r>
                  </w:p>
                </w:tc>
                <w:tc>
                  <w:tcPr>
                    <w:tcW w:w="1110" w:type="pct"/>
                    <w:tcBorders>
                      <w:top w:val="outset" w:sz="4" w:space="0" w:color="auto"/>
                      <w:left w:val="outset" w:sz="4" w:space="0" w:color="auto"/>
                      <w:bottom w:val="outset" w:sz="4" w:space="0" w:color="auto"/>
                      <w:right w:val="outset" w:sz="4" w:space="0" w:color="auto"/>
                    </w:tcBorders>
                    <w:vAlign w:val="center"/>
                  </w:tcPr>
                  <w:p w14:paraId="1EBC60DA"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10,166,432.55</w:t>
                    </w:r>
                  </w:p>
                </w:tc>
                <w:tc>
                  <w:tcPr>
                    <w:tcW w:w="1114" w:type="pct"/>
                    <w:tcBorders>
                      <w:top w:val="outset" w:sz="4" w:space="0" w:color="auto"/>
                      <w:left w:val="outset" w:sz="4" w:space="0" w:color="auto"/>
                      <w:bottom w:val="outset" w:sz="4" w:space="0" w:color="auto"/>
                      <w:right w:val="outset" w:sz="4" w:space="0" w:color="auto"/>
                    </w:tcBorders>
                    <w:vAlign w:val="center"/>
                  </w:tcPr>
                  <w:p w14:paraId="3BDC5586"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6,238,301.61</w:t>
                    </w:r>
                  </w:p>
                </w:tc>
              </w:tr>
              <w:tr w:rsidR="00E354AB" w14:paraId="289C400B" w14:textId="77777777" w:rsidTr="00D07E51">
                <w:sdt>
                  <w:sdtPr>
                    <w:tag w:val="_PLD_862b6a23799a4cfdb3792bfc43248bcd"/>
                    <w:id w:val="-21144236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03EE692" w14:textId="77777777" w:rsidR="00E354AB" w:rsidRDefault="00E354AB" w:rsidP="00D07E51">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382062CE" w14:textId="77777777" w:rsidR="00E354AB" w:rsidRDefault="00E354AB" w:rsidP="00D07E51">
                    <w:pPr>
                      <w:rPr>
                        <w:szCs w:val="21"/>
                      </w:rPr>
                    </w:pPr>
                    <w:r>
                      <w:rPr>
                        <w:rFonts w:hint="eastAsia"/>
                      </w:rPr>
                      <w:t>七、</w:t>
                    </w:r>
                    <w:r>
                      <w:rPr>
                        <w:rFonts w:ascii="Times New Roman" w:hAnsi="Times New Roman" w:hint="eastAsia"/>
                      </w:rPr>
                      <w:t>7</w:t>
                    </w:r>
                    <w:r>
                      <w:rPr>
                        <w:rFonts w:ascii="Times New Roman" w:hAnsi="Times New Roman"/>
                      </w:rPr>
                      <w:t>5</w:t>
                    </w:r>
                  </w:p>
                </w:tc>
                <w:tc>
                  <w:tcPr>
                    <w:tcW w:w="1110" w:type="pct"/>
                    <w:tcBorders>
                      <w:top w:val="outset" w:sz="4" w:space="0" w:color="auto"/>
                      <w:left w:val="outset" w:sz="4" w:space="0" w:color="auto"/>
                      <w:bottom w:val="outset" w:sz="4" w:space="0" w:color="auto"/>
                      <w:right w:val="outset" w:sz="4" w:space="0" w:color="auto"/>
                    </w:tcBorders>
                    <w:vAlign w:val="center"/>
                  </w:tcPr>
                  <w:p w14:paraId="4D7B44BD"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1,262,263.60</w:t>
                    </w:r>
                  </w:p>
                </w:tc>
                <w:tc>
                  <w:tcPr>
                    <w:tcW w:w="1114" w:type="pct"/>
                    <w:tcBorders>
                      <w:top w:val="outset" w:sz="4" w:space="0" w:color="auto"/>
                      <w:left w:val="outset" w:sz="4" w:space="0" w:color="auto"/>
                      <w:bottom w:val="outset" w:sz="4" w:space="0" w:color="auto"/>
                      <w:right w:val="outset" w:sz="4" w:space="0" w:color="auto"/>
                    </w:tcBorders>
                    <w:vAlign w:val="center"/>
                  </w:tcPr>
                  <w:p w14:paraId="0D08E094"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2,070,436.44</w:t>
                    </w:r>
                  </w:p>
                </w:tc>
              </w:tr>
              <w:tr w:rsidR="00E354AB" w14:paraId="45ADB4E6" w14:textId="77777777" w:rsidTr="00D07E51">
                <w:sdt>
                  <w:sdtPr>
                    <w:tag w:val="_PLD_91e0599aa02a45b39a5b0dfc801cbadf"/>
                    <w:id w:val="3417482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D51BB45" w14:textId="77777777" w:rsidR="00E354AB" w:rsidRDefault="00E354AB" w:rsidP="00D07E51">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1389EE4E"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87EE91"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-75,229,019.68</w:t>
                    </w:r>
                  </w:p>
                </w:tc>
                <w:tc>
                  <w:tcPr>
                    <w:tcW w:w="1114" w:type="pct"/>
                    <w:tcBorders>
                      <w:top w:val="outset" w:sz="4" w:space="0" w:color="auto"/>
                      <w:left w:val="outset" w:sz="4" w:space="0" w:color="auto"/>
                      <w:bottom w:val="outset" w:sz="4" w:space="0" w:color="auto"/>
                      <w:right w:val="outset" w:sz="4" w:space="0" w:color="auto"/>
                    </w:tcBorders>
                    <w:vAlign w:val="center"/>
                  </w:tcPr>
                  <w:p w14:paraId="52D80E69"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-83,362,940.67</w:t>
                    </w:r>
                  </w:p>
                </w:tc>
              </w:tr>
              <w:tr w:rsidR="00E354AB" w14:paraId="72425751" w14:textId="77777777" w:rsidTr="00D07E51">
                <w:sdt>
                  <w:sdtPr>
                    <w:tag w:val="_PLD_068015dc8ea145fca7f54b4569a31184"/>
                    <w:id w:val="-202886650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01C4D4" w14:textId="77777777" w:rsidR="00E354AB" w:rsidRDefault="00E354AB" w:rsidP="00D07E51">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42E8DAB9" w14:textId="77777777" w:rsidR="00E354AB" w:rsidRDefault="00E354AB" w:rsidP="00D07E51">
                    <w:pPr>
                      <w:rPr>
                        <w:szCs w:val="21"/>
                      </w:rPr>
                    </w:pPr>
                    <w:r>
                      <w:rPr>
                        <w:rFonts w:hint="eastAsia"/>
                        <w:szCs w:val="21"/>
                      </w:rPr>
                      <w:t>七、</w:t>
                    </w:r>
                    <w:r>
                      <w:rPr>
                        <w:rFonts w:ascii="Times New Roman" w:hAnsi="Times New Roman" w:hint="eastAsia"/>
                        <w:szCs w:val="21"/>
                      </w:rPr>
                      <w:t>7</w:t>
                    </w:r>
                    <w:r>
                      <w:rPr>
                        <w:rFonts w:ascii="Times New Roman" w:hAnsi="Times New Roman"/>
                        <w:szCs w:val="21"/>
                      </w:rPr>
                      <w:t>6</w:t>
                    </w:r>
                  </w:p>
                </w:tc>
                <w:tc>
                  <w:tcPr>
                    <w:tcW w:w="1110" w:type="pct"/>
                    <w:tcBorders>
                      <w:top w:val="outset" w:sz="4" w:space="0" w:color="auto"/>
                      <w:left w:val="outset" w:sz="4" w:space="0" w:color="auto"/>
                      <w:bottom w:val="outset" w:sz="4" w:space="0" w:color="auto"/>
                      <w:right w:val="outset" w:sz="4" w:space="0" w:color="auto"/>
                    </w:tcBorders>
                    <w:vAlign w:val="center"/>
                  </w:tcPr>
                  <w:p w14:paraId="7A1BBFA6"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-18,508,343.38</w:t>
                    </w:r>
                  </w:p>
                </w:tc>
                <w:tc>
                  <w:tcPr>
                    <w:tcW w:w="1114" w:type="pct"/>
                    <w:tcBorders>
                      <w:top w:val="outset" w:sz="4" w:space="0" w:color="auto"/>
                      <w:left w:val="outset" w:sz="4" w:space="0" w:color="auto"/>
                      <w:bottom w:val="outset" w:sz="4" w:space="0" w:color="auto"/>
                      <w:right w:val="outset" w:sz="4" w:space="0" w:color="auto"/>
                    </w:tcBorders>
                    <w:vAlign w:val="center"/>
                  </w:tcPr>
                  <w:p w14:paraId="1594385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-18,718,219.33</w:t>
                    </w:r>
                  </w:p>
                </w:tc>
              </w:tr>
              <w:tr w:rsidR="00E354AB" w14:paraId="4B48F92F" w14:textId="77777777" w:rsidTr="00D07E51">
                <w:sdt>
                  <w:sdtPr>
                    <w:tag w:val="_PLD_355129e4ca9b4d29bd85d210d08f622f"/>
                    <w:id w:val="-108105562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61CA5F9" w14:textId="77777777" w:rsidR="00E354AB" w:rsidRDefault="00E354AB" w:rsidP="00D07E51">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441842DC"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1C9C01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-56,720,676.30</w:t>
                    </w:r>
                  </w:p>
                </w:tc>
                <w:tc>
                  <w:tcPr>
                    <w:tcW w:w="1114" w:type="pct"/>
                    <w:tcBorders>
                      <w:top w:val="outset" w:sz="4" w:space="0" w:color="auto"/>
                      <w:left w:val="outset" w:sz="4" w:space="0" w:color="auto"/>
                      <w:bottom w:val="outset" w:sz="4" w:space="0" w:color="auto"/>
                      <w:right w:val="outset" w:sz="4" w:space="0" w:color="auto"/>
                    </w:tcBorders>
                    <w:vAlign w:val="center"/>
                  </w:tcPr>
                  <w:p w14:paraId="63DA5DAF"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-64,644,721.34</w:t>
                    </w:r>
                  </w:p>
                </w:tc>
              </w:tr>
              <w:tr w:rsidR="00E354AB" w14:paraId="2B78B41E" w14:textId="77777777" w:rsidTr="00D07E51">
                <w:sdt>
                  <w:sdtPr>
                    <w:rPr>
                      <w:rFonts w:ascii="Times New Roman" w:hAnsi="Times New Roman" w:cs="Times New Roman"/>
                    </w:rPr>
                    <w:tag w:val="_PLD_c576a2f5fbec4ba2b1cc36d0a215ba5c"/>
                    <w:id w:val="-170501673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98C6E85" w14:textId="77777777" w:rsidR="00E354AB" w:rsidRPr="00E354AB" w:rsidRDefault="00E354AB" w:rsidP="00D07E51">
                        <w:pPr>
                          <w:rPr>
                            <w:rFonts w:ascii="Times New Roman" w:hAnsi="Times New Roman" w:cs="Times New Roman"/>
                            <w:szCs w:val="21"/>
                          </w:rPr>
                        </w:pPr>
                        <w:r w:rsidRPr="00E354AB">
                          <w:rPr>
                            <w:rFonts w:ascii="Times New Roman" w:hAnsi="Times New Roman" w:cs="Times New Roman"/>
                            <w:szCs w:val="21"/>
                          </w:rPr>
                          <w:t>（一）</w:t>
                        </w:r>
                        <w:r w:rsidRPr="00E354AB">
                          <w:rPr>
                            <w:rFonts w:ascii="Times New Roman" w:hAnsi="Times New Roman" w:cs="Times New Roman"/>
                          </w:rPr>
                          <w:t>按经营持续性分类</w:t>
                        </w:r>
                      </w:p>
                    </w:tc>
                  </w:sdtContent>
                </w:sdt>
              </w:tr>
              <w:tr w:rsidR="00E354AB" w14:paraId="49725A93" w14:textId="77777777" w:rsidTr="00D07E51">
                <w:sdt>
                  <w:sdtPr>
                    <w:rPr>
                      <w:rFonts w:hint="eastAsia"/>
                    </w:rPr>
                    <w:tag w:val="_PLD_0cbbecfa36204e9cb4a8afb27df49afc"/>
                    <w:id w:val="14561306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0A2A788" w14:textId="77777777" w:rsidR="00E354AB" w:rsidRDefault="00E354AB" w:rsidP="00D07E51">
                        <w:pPr>
                          <w:ind w:firstLineChars="200" w:firstLine="420"/>
                        </w:pPr>
                        <w:r>
                          <w:rPr>
                            <w:rFonts w:ascii="Times New Roman" w:hAnsi="Times New Roman"/>
                          </w:rPr>
                          <w:t>1</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0B01F4EF"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51E3735" w14:textId="77777777" w:rsidR="00E354AB" w:rsidRPr="00E354AB" w:rsidRDefault="00E354AB" w:rsidP="00D07E51">
                    <w:pPr>
                      <w:jc w:val="right"/>
                      <w:rPr>
                        <w:rFonts w:ascii="Times New Roman" w:hAnsi="Times New Roman" w:cs="Times New Roman"/>
                        <w:color w:val="000000"/>
                        <w:szCs w:val="21"/>
                      </w:rPr>
                    </w:pPr>
                    <w:r w:rsidRPr="00E354AB">
                      <w:rPr>
                        <w:rFonts w:ascii="Times New Roman" w:hAnsi="Times New Roman" w:cs="Times New Roman"/>
                        <w:color w:val="000000"/>
                        <w:szCs w:val="21"/>
                      </w:rPr>
                      <w:t>-56,720,676.30</w:t>
                    </w:r>
                  </w:p>
                </w:tc>
                <w:tc>
                  <w:tcPr>
                    <w:tcW w:w="1114" w:type="pct"/>
                    <w:tcBorders>
                      <w:top w:val="outset" w:sz="4" w:space="0" w:color="auto"/>
                      <w:left w:val="outset" w:sz="4" w:space="0" w:color="auto"/>
                      <w:bottom w:val="outset" w:sz="4" w:space="0" w:color="auto"/>
                      <w:right w:val="outset" w:sz="4" w:space="0" w:color="auto"/>
                    </w:tcBorders>
                    <w:vAlign w:val="center"/>
                  </w:tcPr>
                  <w:p w14:paraId="5338E9E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-64,644,721.34</w:t>
                    </w:r>
                  </w:p>
                </w:tc>
              </w:tr>
              <w:tr w:rsidR="00E354AB" w14:paraId="4888AA6B" w14:textId="77777777" w:rsidTr="00D07E51">
                <w:sdt>
                  <w:sdtPr>
                    <w:rPr>
                      <w:rFonts w:hint="eastAsia"/>
                    </w:rPr>
                    <w:tag w:val="_PLD_52694b4d274c4f909bf793dd26abeda4"/>
                    <w:id w:val="9459707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098574" w14:textId="77777777" w:rsidR="00E354AB" w:rsidRDefault="00E354AB" w:rsidP="00D07E51">
                        <w:pPr>
                          <w:ind w:firstLineChars="200" w:firstLine="420"/>
                        </w:pPr>
                        <w:r>
                          <w:rPr>
                            <w:rFonts w:ascii="Times New Roman" w:hAnsi="Times New Roman"/>
                          </w:rPr>
                          <w:t>2</w:t>
                        </w:r>
                        <w:r>
                          <w:t>.终止经营净利润（净亏损以“－”号填列）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5F519AFD"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8B3D2AC"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05A5E68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w:t>
                    </w:r>
                  </w:p>
                </w:tc>
              </w:tr>
              <w:tr w:rsidR="00E354AB" w14:paraId="6FB0ACE1" w14:textId="77777777" w:rsidTr="00D07E51">
                <w:sdt>
                  <w:sdtPr>
                    <w:rPr>
                      <w:rFonts w:ascii="Times New Roman" w:hAnsi="Times New Roman" w:cs="Times New Roman"/>
                    </w:rPr>
                    <w:tag w:val="_PLD_5da729560f54464cbcc9ce762078f9ba"/>
                    <w:id w:val="-202407559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DFEB69E" w14:textId="77777777" w:rsidR="00E354AB" w:rsidRPr="00E354AB" w:rsidRDefault="00E354AB" w:rsidP="00D07E51">
                        <w:pPr>
                          <w:rPr>
                            <w:rFonts w:ascii="Times New Roman" w:hAnsi="Times New Roman" w:cs="Times New Roman"/>
                            <w:szCs w:val="21"/>
                          </w:rPr>
                        </w:pPr>
                        <w:r w:rsidRPr="00E354AB">
                          <w:rPr>
                            <w:rFonts w:ascii="Times New Roman" w:hAnsi="Times New Roman" w:cs="Times New Roman"/>
                            <w:szCs w:val="21"/>
                          </w:rPr>
                          <w:t>（二）</w:t>
                        </w:r>
                        <w:r w:rsidRPr="00E354AB">
                          <w:rPr>
                            <w:rFonts w:ascii="Times New Roman" w:hAnsi="Times New Roman" w:cs="Times New Roman"/>
                          </w:rPr>
                          <w:t>按所有权归属分类</w:t>
                        </w:r>
                      </w:p>
                    </w:tc>
                  </w:sdtContent>
                </w:sdt>
              </w:tr>
              <w:tr w:rsidR="00E354AB" w14:paraId="227262F0" w14:textId="77777777" w:rsidTr="00D07E51">
                <w:sdt>
                  <w:sdtPr>
                    <w:tag w:val="_PLD_d4f7c178814a4729a89415435ac2aac1"/>
                    <w:id w:val="212040405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7E519A3" w14:textId="77777777" w:rsidR="00E354AB" w:rsidRDefault="00E354AB" w:rsidP="00D07E51">
                        <w:pPr>
                          <w:ind w:firstLineChars="200" w:firstLine="420"/>
                          <w:rPr>
                            <w:szCs w:val="21"/>
                          </w:rPr>
                        </w:pPr>
                        <w:r>
                          <w:rPr>
                            <w:rFonts w:ascii="Times New Roman" w:hAnsi="Times New Roman"/>
                          </w:rPr>
                          <w:t>1</w:t>
                        </w:r>
                        <w:r>
                          <w:t>.</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B15839D"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3671279"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-56,479,024.64</w:t>
                    </w:r>
                  </w:p>
                </w:tc>
                <w:tc>
                  <w:tcPr>
                    <w:tcW w:w="1114" w:type="pct"/>
                    <w:tcBorders>
                      <w:top w:val="outset" w:sz="4" w:space="0" w:color="auto"/>
                      <w:left w:val="outset" w:sz="4" w:space="0" w:color="auto"/>
                      <w:bottom w:val="outset" w:sz="4" w:space="0" w:color="auto"/>
                      <w:right w:val="outset" w:sz="4" w:space="0" w:color="auto"/>
                    </w:tcBorders>
                    <w:vAlign w:val="center"/>
                  </w:tcPr>
                  <w:p w14:paraId="043C9024"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-63,351,500.63</w:t>
                    </w:r>
                  </w:p>
                </w:tc>
              </w:tr>
              <w:tr w:rsidR="00E354AB" w14:paraId="2E9D6E7C" w14:textId="77777777" w:rsidTr="00D07E51">
                <w:sdt>
                  <w:sdtPr>
                    <w:tag w:val="_PLD_095b31d3979943dc85b47d9a42d89a91"/>
                    <w:id w:val="-4322834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94A4AF6" w14:textId="77777777" w:rsidR="00E354AB" w:rsidRDefault="00E354AB" w:rsidP="00D07E51">
                        <w:pPr>
                          <w:ind w:firstLineChars="200" w:firstLine="420"/>
                          <w:rPr>
                            <w:szCs w:val="21"/>
                          </w:rPr>
                        </w:pPr>
                        <w:r>
                          <w:rPr>
                            <w:rFonts w:ascii="Times New Roman" w:hAnsi="Times New Roman"/>
                          </w:rPr>
                          <w:t>2</w:t>
                        </w:r>
                        <w:r>
                          <w:t>.</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22A7491"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C6B72B"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-241,651.66</w:t>
                    </w:r>
                  </w:p>
                </w:tc>
                <w:tc>
                  <w:tcPr>
                    <w:tcW w:w="1114" w:type="pct"/>
                    <w:tcBorders>
                      <w:top w:val="outset" w:sz="4" w:space="0" w:color="auto"/>
                      <w:left w:val="outset" w:sz="4" w:space="0" w:color="auto"/>
                      <w:bottom w:val="outset" w:sz="4" w:space="0" w:color="auto"/>
                      <w:right w:val="outset" w:sz="4" w:space="0" w:color="auto"/>
                    </w:tcBorders>
                    <w:vAlign w:val="center"/>
                  </w:tcPr>
                  <w:p w14:paraId="7F6DB3F3"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-1,293,220.71</w:t>
                    </w:r>
                  </w:p>
                </w:tc>
              </w:tr>
              <w:tr w:rsidR="00E354AB" w14:paraId="37B4D211" w14:textId="77777777" w:rsidTr="00D07E51">
                <w:sdt>
                  <w:sdtPr>
                    <w:tag w:val="_PLD_6a43e7f14d234c52a7ab5dff443252a7"/>
                    <w:id w:val="-16995459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8A4529A" w14:textId="77777777" w:rsidR="00E354AB" w:rsidRDefault="00E354AB" w:rsidP="00D07E51">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0301C9B2"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A36CC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-14,386,542.25</w:t>
                    </w:r>
                  </w:p>
                </w:tc>
                <w:tc>
                  <w:tcPr>
                    <w:tcW w:w="1114" w:type="pct"/>
                    <w:tcBorders>
                      <w:top w:val="outset" w:sz="4" w:space="0" w:color="auto"/>
                      <w:left w:val="outset" w:sz="4" w:space="0" w:color="auto"/>
                      <w:bottom w:val="outset" w:sz="4" w:space="0" w:color="auto"/>
                      <w:right w:val="outset" w:sz="4" w:space="0" w:color="auto"/>
                    </w:tcBorders>
                    <w:vAlign w:val="center"/>
                  </w:tcPr>
                  <w:p w14:paraId="76911A8F"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-46,581,886.45</w:t>
                    </w:r>
                  </w:p>
                </w:tc>
              </w:tr>
              <w:tr w:rsidR="00E354AB" w14:paraId="6175D211" w14:textId="77777777" w:rsidTr="00D07E51">
                <w:sdt>
                  <w:sdtPr>
                    <w:tag w:val="_PLD_402e48f41e92468e9ccfc9f5b154d698"/>
                    <w:id w:val="12819924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EEBA23B" w14:textId="77777777" w:rsidR="00E354AB" w:rsidRDefault="00E354AB" w:rsidP="00D07E51">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20BB72EC"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349822"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-14,386,542.25</w:t>
                    </w:r>
                  </w:p>
                </w:tc>
                <w:tc>
                  <w:tcPr>
                    <w:tcW w:w="1114" w:type="pct"/>
                    <w:tcBorders>
                      <w:top w:val="outset" w:sz="4" w:space="0" w:color="auto"/>
                      <w:left w:val="outset" w:sz="4" w:space="0" w:color="auto"/>
                      <w:bottom w:val="outset" w:sz="4" w:space="0" w:color="auto"/>
                      <w:right w:val="outset" w:sz="4" w:space="0" w:color="auto"/>
                    </w:tcBorders>
                    <w:vAlign w:val="center"/>
                  </w:tcPr>
                  <w:p w14:paraId="46BD265F"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-46,581,828.81</w:t>
                    </w:r>
                  </w:p>
                </w:tc>
              </w:tr>
              <w:tr w:rsidR="00E354AB" w14:paraId="3AF7975C" w14:textId="77777777" w:rsidTr="00D07E51">
                <w:sdt>
                  <w:sdtPr>
                    <w:tag w:val="_PLD_b367f8195cde49b4861d967effb0f541"/>
                    <w:id w:val="-8598921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008C1ED" w14:textId="77777777" w:rsidR="00E354AB" w:rsidRDefault="00E354AB" w:rsidP="00D07E51">
                        <w:pPr>
                          <w:ind w:firstLineChars="200" w:firstLine="420"/>
                          <w:rPr>
                            <w:szCs w:val="21"/>
                          </w:rPr>
                        </w:pPr>
                        <w:r>
                          <w:rPr>
                            <w:rFonts w:ascii="Times New Roman" w:hAnsi="Times New Roman"/>
                            <w:szCs w:val="21"/>
                          </w:rPr>
                          <w:t>1</w:t>
                        </w:r>
                        <w:r>
                          <w:rPr>
                            <w:szCs w:val="21"/>
                          </w:rPr>
                          <w:t>.</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6B045C37"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1528FE3"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1,382,138.80</w:t>
                    </w:r>
                  </w:p>
                </w:tc>
                <w:tc>
                  <w:tcPr>
                    <w:tcW w:w="1114" w:type="pct"/>
                    <w:tcBorders>
                      <w:top w:val="outset" w:sz="4" w:space="0" w:color="auto"/>
                      <w:left w:val="outset" w:sz="4" w:space="0" w:color="auto"/>
                      <w:bottom w:val="outset" w:sz="4" w:space="0" w:color="auto"/>
                      <w:right w:val="outset" w:sz="4" w:space="0" w:color="auto"/>
                    </w:tcBorders>
                    <w:vAlign w:val="center"/>
                  </w:tcPr>
                  <w:p w14:paraId="7766B9EC"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w:t>
                    </w:r>
                  </w:p>
                </w:tc>
              </w:tr>
              <w:tr w:rsidR="00E354AB" w14:paraId="506A5769" w14:textId="77777777" w:rsidTr="00D07E51">
                <w:sdt>
                  <w:sdtPr>
                    <w:tag w:val="_PLD_c1d0eb5a70bd4147bff8f5ac51104882"/>
                    <w:id w:val="-11928445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7766B61" w14:textId="77777777" w:rsidR="00E354AB" w:rsidRDefault="00E354AB" w:rsidP="00D07E51">
                        <w:pPr>
                          <w:rPr>
                            <w:szCs w:val="21"/>
                          </w:rPr>
                        </w:pPr>
                        <w:r>
                          <w:rPr>
                            <w:rFonts w:hint="eastAsia"/>
                          </w:rPr>
                          <w:t>（</w:t>
                        </w:r>
                        <w:r>
                          <w:rPr>
                            <w:rFonts w:ascii="Times New Roman" w:hAnsi="Times New Roman" w:hint="eastAsia"/>
                          </w:rPr>
                          <w:t>1</w:t>
                        </w:r>
                        <w:r>
                          <w:rPr>
                            <w:rFonts w:hint="eastAsia"/>
                          </w:rPr>
                          <w:t>）</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2502429B"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C1EA0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1,382,138.80</w:t>
                    </w:r>
                  </w:p>
                </w:tc>
                <w:tc>
                  <w:tcPr>
                    <w:tcW w:w="1114" w:type="pct"/>
                    <w:tcBorders>
                      <w:top w:val="outset" w:sz="4" w:space="0" w:color="auto"/>
                      <w:left w:val="outset" w:sz="4" w:space="0" w:color="auto"/>
                      <w:bottom w:val="outset" w:sz="4" w:space="0" w:color="auto"/>
                      <w:right w:val="outset" w:sz="4" w:space="0" w:color="auto"/>
                    </w:tcBorders>
                    <w:vAlign w:val="center"/>
                  </w:tcPr>
                  <w:p w14:paraId="443C17D0"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w:t>
                    </w:r>
                  </w:p>
                </w:tc>
              </w:tr>
              <w:tr w:rsidR="00E354AB" w14:paraId="2BB57B97" w14:textId="77777777" w:rsidTr="00E354AB">
                <w:sdt>
                  <w:sdtPr>
                    <w:tag w:val="_PLD_da98b29079a040128e53e7426fc30a60"/>
                    <w:id w:val="16514756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AA8309D" w14:textId="77777777" w:rsidR="00E354AB" w:rsidRDefault="00E354AB" w:rsidP="00D07E51">
                        <w:pPr>
                          <w:rPr>
                            <w:szCs w:val="21"/>
                          </w:rPr>
                        </w:pPr>
                        <w:r>
                          <w:rPr>
                            <w:rFonts w:hint="eastAsia"/>
                          </w:rPr>
                          <w:t>（</w:t>
                        </w:r>
                        <w:r>
                          <w:rPr>
                            <w:rFonts w:ascii="Times New Roman" w:hAnsi="Times New Roman"/>
                          </w:rP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415DA5DE"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B0FD48" w14:textId="3CBF0A81"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szCs w:val="21"/>
                      </w:rPr>
                      <w:t>-</w:t>
                    </w:r>
                  </w:p>
                </w:tc>
                <w:tc>
                  <w:tcPr>
                    <w:tcW w:w="1114" w:type="pct"/>
                    <w:tcBorders>
                      <w:top w:val="outset" w:sz="4" w:space="0" w:color="auto"/>
                      <w:left w:val="outset" w:sz="4" w:space="0" w:color="auto"/>
                      <w:bottom w:val="outset" w:sz="4" w:space="0" w:color="auto"/>
                      <w:right w:val="outset" w:sz="4" w:space="0" w:color="auto"/>
                    </w:tcBorders>
                    <w:vAlign w:val="center"/>
                  </w:tcPr>
                  <w:p w14:paraId="60F17F82" w14:textId="0802DBCC"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szCs w:val="21"/>
                      </w:rPr>
                      <w:t>-</w:t>
                    </w:r>
                  </w:p>
                </w:tc>
              </w:tr>
              <w:tr w:rsidR="00E354AB" w14:paraId="4FDCE158" w14:textId="77777777" w:rsidTr="00E354AB">
                <w:tc>
                  <w:tcPr>
                    <w:tcW w:w="1938"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582481249"/>
                      <w:lock w:val="sdtLocked"/>
                    </w:sdtPr>
                    <w:sdtEndPr/>
                    <w:sdtContent>
                      <w:p w14:paraId="6C530FC4" w14:textId="77777777" w:rsidR="00E354AB" w:rsidRDefault="00E354AB" w:rsidP="00E354AB">
                        <w:pPr>
                          <w:pStyle w:val="97"/>
                        </w:pPr>
                        <w:r>
                          <w:rPr>
                            <w:rFonts w:hint="eastAsia"/>
                          </w:rPr>
                          <w:t>（</w:t>
                        </w:r>
                        <w:r>
                          <w:rPr>
                            <w:rFonts w:ascii="Times New Roman" w:hAnsi="Times New Roman" w:hint="eastAsia"/>
                          </w:rPr>
                          <w:t>3</w:t>
                        </w:r>
                        <w:r>
                          <w:rPr>
                            <w:rFonts w:hint="eastAsia"/>
                          </w:rPr>
                          <w:t>）</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4990D015"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8B9576" w14:textId="4A2AF7F1"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2CF1B5EC" w14:textId="6D76BD2D"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2E94C3D7" w14:textId="77777777" w:rsidTr="00E354AB">
                <w:tc>
                  <w:tcPr>
                    <w:tcW w:w="1938"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1328101324"/>
                      <w:lock w:val="sdtLocked"/>
                    </w:sdtPr>
                    <w:sdtEndPr/>
                    <w:sdtContent>
                      <w:p w14:paraId="67BDD92A" w14:textId="77777777" w:rsidR="00E354AB" w:rsidRDefault="00E354AB" w:rsidP="00E354AB">
                        <w:pPr>
                          <w:pStyle w:val="97"/>
                        </w:pPr>
                        <w:r>
                          <w:rPr>
                            <w:rFonts w:hint="eastAsia"/>
                          </w:rPr>
                          <w:t>（</w:t>
                        </w:r>
                        <w:r>
                          <w:rPr>
                            <w:rFonts w:ascii="Times New Roman" w:hAnsi="Times New Roman" w:hint="eastAsia"/>
                          </w:rPr>
                          <w:t>4</w:t>
                        </w:r>
                        <w:r>
                          <w:rPr>
                            <w:rFonts w:hint="eastAsia"/>
                          </w:rPr>
                          <w:t>）</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7941052F"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70CF9D" w14:textId="7F446560"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58D99778" w14:textId="7DF201CB"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087C808A" w14:textId="77777777" w:rsidTr="00D07E51">
                <w:sdt>
                  <w:sdtPr>
                    <w:tag w:val="_PLD_1d4c3625b1a9453f98b920131a00b22a"/>
                    <w:id w:val="-6821317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C29E281" w14:textId="77777777" w:rsidR="00E354AB" w:rsidRDefault="00E354AB" w:rsidP="00D07E51">
                        <w:pPr>
                          <w:ind w:firstLineChars="200" w:firstLine="420"/>
                          <w:rPr>
                            <w:szCs w:val="21"/>
                          </w:rPr>
                        </w:pPr>
                        <w:r>
                          <w:rPr>
                            <w:rFonts w:ascii="Times New Roman" w:hAnsi="Times New Roman"/>
                          </w:rPr>
                          <w:t>2</w:t>
                        </w:r>
                        <w:r>
                          <w:rPr>
                            <w:szCs w:val="21"/>
                          </w:rPr>
                          <w:t>.</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0DE328B6"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9D8A48"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-15,768,681.05</w:t>
                    </w:r>
                  </w:p>
                </w:tc>
                <w:tc>
                  <w:tcPr>
                    <w:tcW w:w="1114" w:type="pct"/>
                    <w:tcBorders>
                      <w:top w:val="outset" w:sz="4" w:space="0" w:color="auto"/>
                      <w:left w:val="outset" w:sz="4" w:space="0" w:color="auto"/>
                      <w:bottom w:val="outset" w:sz="4" w:space="0" w:color="auto"/>
                      <w:right w:val="outset" w:sz="4" w:space="0" w:color="auto"/>
                    </w:tcBorders>
                    <w:vAlign w:val="center"/>
                  </w:tcPr>
                  <w:p w14:paraId="5CCEE6E3"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-46,581,828.81</w:t>
                    </w:r>
                  </w:p>
                </w:tc>
              </w:tr>
              <w:tr w:rsidR="00E354AB" w14:paraId="5EF9D1B2" w14:textId="77777777" w:rsidTr="00D07E51">
                <w:sdt>
                  <w:sdtPr>
                    <w:tag w:val="_PLD_e78255a0eaf548199db0c5a635c041ec"/>
                    <w:id w:val="-19560113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B5BDB17" w14:textId="77777777" w:rsidR="00E354AB" w:rsidRDefault="00E354AB" w:rsidP="00E354AB">
                        <w:pPr>
                          <w:rPr>
                            <w:szCs w:val="21"/>
                          </w:rPr>
                        </w:pPr>
                        <w:r>
                          <w:rPr>
                            <w:rFonts w:hint="eastAsia"/>
                          </w:rPr>
                          <w:t>（</w:t>
                        </w:r>
                        <w:r>
                          <w:rPr>
                            <w:rFonts w:ascii="Times New Roman" w:hAnsi="Times New Roman" w:hint="eastAsia"/>
                          </w:rPr>
                          <w:t>1</w:t>
                        </w:r>
                        <w:r>
                          <w:rPr>
                            <w:rFonts w:hint="eastAsia"/>
                          </w:rPr>
                          <w:t>）</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7DF0DA97"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FEDFE0" w14:textId="48D420B5"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1BDF4229" w14:textId="0CF7A55C"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511B20CC"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259907257"/>
                      <w:lock w:val="sdtLocked"/>
                    </w:sdtPr>
                    <w:sdtEndPr/>
                    <w:sdtContent>
                      <w:p w14:paraId="30EE7959" w14:textId="77777777" w:rsidR="00E354AB" w:rsidRDefault="00E354AB" w:rsidP="00E354AB">
                        <w:pPr>
                          <w:pStyle w:val="97"/>
                        </w:pPr>
                        <w:r>
                          <w:rPr>
                            <w:rFonts w:hint="eastAsia"/>
                          </w:rPr>
                          <w:t>（</w:t>
                        </w:r>
                        <w:r>
                          <w:rPr>
                            <w:rFonts w:ascii="Times New Roman" w:hAnsi="Times New Roman"/>
                          </w:rP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47B22373"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806BDA2" w14:textId="138F799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55A5B4EF" w14:textId="02384E0E"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646A5F7C"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470597043"/>
                      <w:lock w:val="sdtLocked"/>
                    </w:sdtPr>
                    <w:sdtEndPr>
                      <w:rPr>
                        <w:rFonts w:hint="default"/>
                      </w:rPr>
                    </w:sdtEndPr>
                    <w:sdtContent>
                      <w:p w14:paraId="18C60223" w14:textId="77777777" w:rsidR="00E354AB" w:rsidRDefault="00E354AB" w:rsidP="00E354AB">
                        <w:pPr>
                          <w:pStyle w:val="97"/>
                        </w:pPr>
                        <w:r>
                          <w:rPr>
                            <w:rFonts w:hint="eastAsia"/>
                          </w:rPr>
                          <w:t>（</w:t>
                        </w:r>
                        <w:r>
                          <w:rPr>
                            <w:rFonts w:ascii="Times New Roman" w:hAnsi="Times New Roman" w:hint="eastAsia"/>
                          </w:rPr>
                          <w:t>3</w:t>
                        </w:r>
                        <w:r>
                          <w:rPr>
                            <w:rFonts w:hint="eastAsia"/>
                          </w:rPr>
                          <w:t>）</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7F4CABE3"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B6B25FE" w14:textId="45172B6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189D44F0" w14:textId="24E8F0BA"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0F4B505D"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517923332"/>
                      <w:lock w:val="sdtLocked"/>
                    </w:sdtPr>
                    <w:sdtEndPr>
                      <w:rPr>
                        <w:rFonts w:hint="default"/>
                      </w:rPr>
                    </w:sdtEndPr>
                    <w:sdtContent>
                      <w:p w14:paraId="5FDE1001" w14:textId="77777777" w:rsidR="00E354AB" w:rsidRDefault="00E354AB" w:rsidP="00E354AB">
                        <w:pPr>
                          <w:pStyle w:val="97"/>
                        </w:pPr>
                        <w:r>
                          <w:rPr>
                            <w:rFonts w:hint="eastAsia"/>
                          </w:rPr>
                          <w:t>（</w:t>
                        </w:r>
                        <w:r>
                          <w:rPr>
                            <w:rFonts w:ascii="Times New Roman" w:hAnsi="Times New Roman" w:hint="eastAsia"/>
                          </w:rPr>
                          <w:t>4</w:t>
                        </w:r>
                        <w:r>
                          <w:rPr>
                            <w:rFonts w:hint="eastAsia"/>
                          </w:rPr>
                          <w:t>）</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6518EF25"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89B5728" w14:textId="1767E60A"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4A6B3E8C" w14:textId="07F0D8A4"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6E444FA1"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1996951229"/>
                      <w:lock w:val="sdtLocked"/>
                    </w:sdtPr>
                    <w:sdtEndPr/>
                    <w:sdtContent>
                      <w:p w14:paraId="5756A88C" w14:textId="77777777" w:rsidR="00E354AB" w:rsidRDefault="00E354AB" w:rsidP="00E354AB">
                        <w:pPr>
                          <w:pStyle w:val="97"/>
                        </w:pPr>
                        <w:r>
                          <w:rPr>
                            <w:rFonts w:hint="eastAsia"/>
                          </w:rPr>
                          <w:t>（</w:t>
                        </w:r>
                        <w:r>
                          <w:rPr>
                            <w:rFonts w:ascii="Times New Roman" w:hAnsi="Times New Roman" w:hint="eastAsia"/>
                          </w:rPr>
                          <w:t>5</w:t>
                        </w:r>
                        <w:r>
                          <w:rPr>
                            <w:rFonts w:hint="eastAsia"/>
                          </w:rPr>
                          <w:t>）</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328CD582"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FE79D1D" w14:textId="3DB3B83C"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538346EA" w14:textId="32AFB98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5A89BC9C"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257180754"/>
                      <w:lock w:val="sdtLocked"/>
                    </w:sdtPr>
                    <w:sdtEndPr/>
                    <w:sdtContent>
                      <w:p w14:paraId="4DAFBE69" w14:textId="77777777" w:rsidR="00E354AB" w:rsidRDefault="00E354AB" w:rsidP="00D07E51">
                        <w:pPr>
                          <w:pStyle w:val="97"/>
                        </w:pPr>
                        <w:r>
                          <w:rPr>
                            <w:rFonts w:hint="eastAsia"/>
                          </w:rPr>
                          <w:t>（</w:t>
                        </w:r>
                        <w:r>
                          <w:rPr>
                            <w:rFonts w:ascii="Times New Roman" w:hAnsi="Times New Roman" w:hint="eastAsia"/>
                          </w:rPr>
                          <w:t>6</w:t>
                        </w:r>
                        <w:r>
                          <w:rPr>
                            <w:rFonts w:hint="eastAsia"/>
                          </w:rPr>
                          <w:t>）</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6A28A3C6" w14:textId="77777777" w:rsidR="00E354AB" w:rsidRDefault="00E354AB" w:rsidP="00D07E51">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41FD6C5"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-15,768,681.05</w:t>
                    </w:r>
                  </w:p>
                </w:tc>
                <w:tc>
                  <w:tcPr>
                    <w:tcW w:w="1114" w:type="pct"/>
                    <w:tcBorders>
                      <w:top w:val="outset" w:sz="4" w:space="0" w:color="auto"/>
                      <w:left w:val="outset" w:sz="4" w:space="0" w:color="auto"/>
                      <w:bottom w:val="outset" w:sz="4" w:space="0" w:color="auto"/>
                      <w:right w:val="outset" w:sz="4" w:space="0" w:color="auto"/>
                    </w:tcBorders>
                    <w:vAlign w:val="center"/>
                  </w:tcPr>
                  <w:p w14:paraId="447F165D" w14:textId="77777777" w:rsidR="00E354AB" w:rsidRPr="00E354AB" w:rsidRDefault="00E354AB" w:rsidP="00D07E51">
                    <w:pPr>
                      <w:jc w:val="right"/>
                      <w:rPr>
                        <w:rFonts w:ascii="Times New Roman" w:hAnsi="Times New Roman" w:cs="Times New Roman"/>
                        <w:szCs w:val="21"/>
                      </w:rPr>
                    </w:pPr>
                    <w:r w:rsidRPr="00E354AB">
                      <w:rPr>
                        <w:rFonts w:ascii="Times New Roman" w:hAnsi="Times New Roman" w:cs="Times New Roman"/>
                      </w:rPr>
                      <w:t>-46,581,828.81</w:t>
                    </w:r>
                  </w:p>
                </w:tc>
              </w:tr>
              <w:tr w:rsidR="00E354AB" w14:paraId="7617ACA9"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1611774673"/>
                      <w:lock w:val="sdtLocked"/>
                    </w:sdtPr>
                    <w:sdtEndPr/>
                    <w:sdtContent>
                      <w:p w14:paraId="711589CE" w14:textId="77777777" w:rsidR="00E354AB" w:rsidRDefault="00E354AB" w:rsidP="00E354AB">
                        <w:pPr>
                          <w:pStyle w:val="97"/>
                        </w:pPr>
                        <w:r>
                          <w:rPr>
                            <w:rFonts w:hint="eastAsia"/>
                          </w:rPr>
                          <w:t>（</w:t>
                        </w:r>
                        <w:r>
                          <w:rPr>
                            <w:rFonts w:ascii="Times New Roman" w:hAnsi="Times New Roman" w:hint="eastAsia"/>
                          </w:rPr>
                          <w:t>7</w:t>
                        </w:r>
                        <w:r>
                          <w:rPr>
                            <w:rFonts w:hint="eastAsia"/>
                          </w:rPr>
                          <w:t>）</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62549B92"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E11411" w14:textId="37901196"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6FCBBCD2" w14:textId="2CFF86E1"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r w:rsidR="00E354AB" w14:paraId="4C3370FA" w14:textId="77777777" w:rsidTr="00D07E51">
                <w:sdt>
                  <w:sdtPr>
                    <w:tag w:val="_PLD_4f19daa8ec184be19a8a0afe308c1896"/>
                    <w:id w:val="14603014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547D0A6" w14:textId="77777777" w:rsidR="00E354AB" w:rsidRDefault="00E354AB" w:rsidP="00E354AB">
                        <w:pPr>
                          <w:ind w:firstLineChars="100" w:firstLine="210"/>
                          <w:rPr>
                            <w:szCs w:val="21"/>
                          </w:rPr>
                        </w:pPr>
                        <w:r>
                          <w:rPr>
                            <w:rFonts w:hint="eastAsia"/>
                            <w:szCs w:val="21"/>
                          </w:rPr>
                          <w:t>（二）归属于少数股东的其他综合收益的税后净额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2F1C3085"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77E2B57"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6E519E51"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-57.64</w:t>
                    </w:r>
                  </w:p>
                </w:tc>
              </w:tr>
              <w:tr w:rsidR="00E354AB" w14:paraId="0CF5215C" w14:textId="77777777" w:rsidTr="00D07E51">
                <w:sdt>
                  <w:sdtPr>
                    <w:tag w:val="_PLD_29e4ab6c011f4b23961b002b616b19d8"/>
                    <w:id w:val="-162106518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C8201DB" w14:textId="77777777" w:rsidR="00E354AB" w:rsidRDefault="00E354AB" w:rsidP="00E354AB">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528E22FF"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1E174F8"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-71,107,218.55</w:t>
                    </w:r>
                  </w:p>
                </w:tc>
                <w:tc>
                  <w:tcPr>
                    <w:tcW w:w="1114" w:type="pct"/>
                    <w:tcBorders>
                      <w:top w:val="outset" w:sz="4" w:space="0" w:color="auto"/>
                      <w:left w:val="outset" w:sz="4" w:space="0" w:color="auto"/>
                      <w:bottom w:val="outset" w:sz="4" w:space="0" w:color="auto"/>
                      <w:right w:val="outset" w:sz="4" w:space="0" w:color="auto"/>
                    </w:tcBorders>
                    <w:vAlign w:val="center"/>
                  </w:tcPr>
                  <w:p w14:paraId="315109E3"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-111,226,607.79</w:t>
                    </w:r>
                  </w:p>
                </w:tc>
              </w:tr>
              <w:tr w:rsidR="00E354AB" w14:paraId="54DC20A6" w14:textId="77777777" w:rsidTr="00D07E51">
                <w:sdt>
                  <w:sdtPr>
                    <w:tag w:val="_PLD_c6a40d405b9d4a8a8406c1d4ba16ad58"/>
                    <w:id w:val="-3501821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30D7C5F" w14:textId="77777777" w:rsidR="00E354AB" w:rsidRDefault="00E354AB" w:rsidP="00E354AB">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276919F6"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15B6DB"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-70,865,566.89</w:t>
                    </w:r>
                  </w:p>
                </w:tc>
                <w:tc>
                  <w:tcPr>
                    <w:tcW w:w="1114" w:type="pct"/>
                    <w:tcBorders>
                      <w:top w:val="outset" w:sz="4" w:space="0" w:color="auto"/>
                      <w:left w:val="outset" w:sz="4" w:space="0" w:color="auto"/>
                      <w:bottom w:val="outset" w:sz="4" w:space="0" w:color="auto"/>
                      <w:right w:val="outset" w:sz="4" w:space="0" w:color="auto"/>
                    </w:tcBorders>
                    <w:vAlign w:val="center"/>
                  </w:tcPr>
                  <w:p w14:paraId="0A14A3CA"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-109,933,329.44</w:t>
                    </w:r>
                  </w:p>
                </w:tc>
              </w:tr>
              <w:tr w:rsidR="00E354AB" w14:paraId="1ACAC5AC" w14:textId="77777777" w:rsidTr="00D07E51">
                <w:sdt>
                  <w:sdtPr>
                    <w:tag w:val="_PLD_a3f7a78de9cc4a0c8e2b3e050895da67"/>
                    <w:id w:val="-2650737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BDD56D9" w14:textId="77777777" w:rsidR="00E354AB" w:rsidRDefault="00E354AB" w:rsidP="00E354AB">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155994CE"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AE71BD"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-241,651.66</w:t>
                    </w:r>
                  </w:p>
                </w:tc>
                <w:tc>
                  <w:tcPr>
                    <w:tcW w:w="1114" w:type="pct"/>
                    <w:tcBorders>
                      <w:top w:val="outset" w:sz="4" w:space="0" w:color="auto"/>
                      <w:left w:val="outset" w:sz="4" w:space="0" w:color="auto"/>
                      <w:bottom w:val="outset" w:sz="4" w:space="0" w:color="auto"/>
                      <w:right w:val="outset" w:sz="4" w:space="0" w:color="auto"/>
                    </w:tcBorders>
                    <w:vAlign w:val="center"/>
                  </w:tcPr>
                  <w:p w14:paraId="474E1D67"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-1,293,278.35</w:t>
                    </w:r>
                  </w:p>
                </w:tc>
              </w:tr>
              <w:tr w:rsidR="00E354AB" w14:paraId="338F95B7" w14:textId="77777777" w:rsidTr="00D07E51">
                <w:sdt>
                  <w:sdtPr>
                    <w:tag w:val="_PLD_2faba48500f741229b3467bfe3ce2495"/>
                    <w:id w:val="-14754403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00E155F" w14:textId="77777777" w:rsidR="00E354AB" w:rsidRDefault="00E354AB" w:rsidP="00E354AB">
                        <w:pPr>
                          <w:rPr>
                            <w:color w:val="000000"/>
                            <w:szCs w:val="21"/>
                          </w:rPr>
                        </w:pPr>
                        <w:r>
                          <w:rPr>
                            <w:rFonts w:hint="eastAsia"/>
                            <w:szCs w:val="21"/>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14:paraId="6756DF10" w14:textId="77777777" w:rsidR="00E354AB" w:rsidRDefault="00E354AB" w:rsidP="00E354AB">
                    <w:pPr>
                      <w:rPr>
                        <w:color w:val="008000"/>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B844E7" w14:textId="77777777" w:rsidR="00E354AB" w:rsidRPr="00E354AB" w:rsidRDefault="00E354AB" w:rsidP="00E354AB">
                    <w:pPr>
                      <w:jc w:val="right"/>
                      <w:rPr>
                        <w:rFonts w:ascii="Times New Roman" w:hAnsi="Times New Roman" w:cs="Times New Roman"/>
                        <w:color w:val="008000"/>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A380E75" w14:textId="77777777" w:rsidR="00E354AB" w:rsidRPr="00E354AB" w:rsidRDefault="00E354AB" w:rsidP="00E354AB">
                    <w:pPr>
                      <w:jc w:val="right"/>
                      <w:rPr>
                        <w:rFonts w:ascii="Times New Roman" w:hAnsi="Times New Roman" w:cs="Times New Roman"/>
                        <w:color w:val="008000"/>
                        <w:szCs w:val="21"/>
                      </w:rPr>
                    </w:pPr>
                  </w:p>
                </w:tc>
              </w:tr>
              <w:tr w:rsidR="00E354AB" w14:paraId="75F571CC" w14:textId="77777777" w:rsidTr="00D07E51">
                <w:sdt>
                  <w:sdtPr>
                    <w:tag w:val="_PLD_16d9b9d4e8c34e3b874fbdaedc915880"/>
                    <w:id w:val="19664561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6F66F2" w14:textId="77777777" w:rsidR="00E354AB" w:rsidRDefault="00E354AB" w:rsidP="00E354AB">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1ACD271C"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6224CE"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-0.11</w:t>
                    </w:r>
                  </w:p>
                </w:tc>
                <w:tc>
                  <w:tcPr>
                    <w:tcW w:w="1114" w:type="pct"/>
                    <w:tcBorders>
                      <w:top w:val="outset" w:sz="4" w:space="0" w:color="auto"/>
                      <w:left w:val="outset" w:sz="4" w:space="0" w:color="auto"/>
                      <w:bottom w:val="outset" w:sz="4" w:space="0" w:color="auto"/>
                      <w:right w:val="outset" w:sz="4" w:space="0" w:color="auto"/>
                    </w:tcBorders>
                    <w:vAlign w:val="center"/>
                  </w:tcPr>
                  <w:p w14:paraId="0F2ABF31"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-0.16</w:t>
                    </w:r>
                  </w:p>
                </w:tc>
              </w:tr>
              <w:tr w:rsidR="00E354AB" w14:paraId="17E3C98B" w14:textId="77777777" w:rsidTr="00D07E51">
                <w:sdt>
                  <w:sdtPr>
                    <w:tag w:val="_PLD_ec4d9e148cba4e79bb3da0f8a0ddb92a"/>
                    <w:id w:val="21197896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41B8562" w14:textId="77777777" w:rsidR="00E354AB" w:rsidRDefault="00E354AB" w:rsidP="00E354AB">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0ED8FE8F" w14:textId="77777777" w:rsidR="00E354AB" w:rsidRDefault="00E354AB" w:rsidP="00E354AB">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5AA7463"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673FDBE5" w14:textId="77777777" w:rsidR="00E354AB" w:rsidRPr="00E354AB" w:rsidRDefault="00E354AB" w:rsidP="00E354AB">
                    <w:pPr>
                      <w:jc w:val="right"/>
                      <w:rPr>
                        <w:rFonts w:ascii="Times New Roman" w:hAnsi="Times New Roman" w:cs="Times New Roman"/>
                        <w:szCs w:val="21"/>
                      </w:rPr>
                    </w:pPr>
                    <w:r w:rsidRPr="00E354AB">
                      <w:rPr>
                        <w:rFonts w:ascii="Times New Roman" w:hAnsi="Times New Roman" w:cs="Times New Roman"/>
                      </w:rPr>
                      <w:t>/</w:t>
                    </w:r>
                  </w:p>
                </w:tc>
              </w:tr>
            </w:tbl>
            <w:p w14:paraId="56C3D721" w14:textId="77777777" w:rsidR="00D21C1F" w:rsidRDefault="00D21C1F">
              <w:pPr>
                <w:pStyle w:val="97"/>
              </w:pPr>
            </w:p>
            <w:p w14:paraId="3220E88D" w14:textId="77777777" w:rsidR="00D21C1F" w:rsidRDefault="00A42880">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1941896399"/>
                  <w:lock w:val="sdtLocked"/>
                  <w:placeholder>
                    <w:docPart w:val="GBC22222222222222222222222222222"/>
                  </w:placeholder>
                </w:sdtPr>
                <w:sdtEndPr/>
                <w:sdtContent>
                  <w:r>
                    <w:rPr>
                      <w:rFonts w:hint="eastAsia"/>
                      <w:szCs w:val="21"/>
                    </w:rPr>
                    <w:t>不适用</w:t>
                  </w:r>
                </w:sdtContent>
              </w:sdt>
              <w:r>
                <w:rPr>
                  <w:rFonts w:hint="eastAsia"/>
                  <w:szCs w:val="21"/>
                </w:rPr>
                <w:t>元,上期被合并方实现的净利润为：</w:t>
              </w:r>
              <w:sdt>
                <w:sdtPr>
                  <w:rPr>
                    <w:rFonts w:hint="eastAsia"/>
                    <w:szCs w:val="21"/>
                  </w:rPr>
                  <w:alias w:val="同一控制下的企业合并中被合并方在合并前实现的净利润"/>
                  <w:tag w:val="_GBC_7e8cf02e71b9434883c60dcb8fb33270"/>
                  <w:id w:val="-918090782"/>
                  <w:lock w:val="sdtLocked"/>
                  <w:placeholder>
                    <w:docPart w:val="GBC22222222222222222222222222222"/>
                  </w:placeholder>
                </w:sdtPr>
                <w:sdtEndPr>
                  <w:rPr>
                    <w:rFonts w:hint="default"/>
                  </w:rPr>
                </w:sdtEndPr>
                <w:sdtContent>
                  <w:r>
                    <w:rPr>
                      <w:rFonts w:hint="eastAsia"/>
                      <w:szCs w:val="21"/>
                    </w:rPr>
                    <w:t>不适用</w:t>
                  </w:r>
                </w:sdtContent>
              </w:sdt>
              <w:r>
                <w:rPr>
                  <w:rFonts w:hint="eastAsia"/>
                  <w:szCs w:val="21"/>
                </w:rPr>
                <w:t>。</w:t>
              </w:r>
            </w:p>
            <w:p w14:paraId="338641B7" w14:textId="77777777" w:rsidR="00D21C1F" w:rsidRDefault="00A42880">
              <w:pPr>
                <w:rPr>
                  <w:color w:val="008000"/>
                  <w:szCs w:val="21"/>
                  <w:u w:val="single"/>
                </w:rPr>
              </w:pPr>
              <w:r>
                <w:rPr>
                  <w:szCs w:val="21"/>
                </w:rPr>
                <w:t>公司负责人</w:t>
              </w:r>
              <w:r>
                <w:rPr>
                  <w:rFonts w:hint="eastAsia"/>
                  <w:szCs w:val="21"/>
                </w:rPr>
                <w:t>：</w:t>
              </w:r>
              <w:sdt>
                <w:sdtPr>
                  <w:rPr>
                    <w:rFonts w:hint="eastAsia"/>
                    <w:szCs w:val="21"/>
                  </w:rPr>
                  <w:alias w:val="公司负责人"/>
                  <w:tag w:val="_GBC_84d2ead02dbe49699dff5184a9cd1bd3"/>
                  <w:id w:val="794035822"/>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17335056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1106579292"/>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sdtContent>
        </w:sdt>
        <w:p w14:paraId="4093D0D0" w14:textId="77777777" w:rsidR="00D21C1F" w:rsidRDefault="00D21C1F">
          <w:pPr>
            <w:rPr>
              <w:color w:val="008000"/>
              <w:szCs w:val="21"/>
              <w:u w:val="single"/>
            </w:rPr>
          </w:pPr>
        </w:p>
        <w:p w14:paraId="01BE9269" w14:textId="77777777" w:rsidR="00D21C1F" w:rsidRDefault="00D21C1F">
          <w:pPr>
            <w:rPr>
              <w:color w:val="008000"/>
              <w:szCs w:val="21"/>
              <w:u w:val="single"/>
            </w:rPr>
          </w:pPr>
        </w:p>
        <w:sdt>
          <w:sdtPr>
            <w:rPr>
              <w:rFonts w:ascii="宋体" w:eastAsia="宋体" w:hAnsi="宋体" w:cs="宋体" w:hint="eastAsia"/>
              <w:b w:val="0"/>
              <w:bCs w:val="0"/>
              <w:kern w:val="0"/>
              <w:szCs w:val="24"/>
            </w:rPr>
            <w:tag w:val="_GBC_fab740d2e6854481af171030c14673b7"/>
            <w:id w:val="-1283102265"/>
            <w:lock w:val="sdtLocked"/>
            <w:placeholder>
              <w:docPart w:val="GBC22222222222222222222222222222"/>
            </w:placeholder>
          </w:sdtPr>
          <w:sdtEndPr>
            <w:rPr>
              <w:rFonts w:cs="宋体-方正超大字符集"/>
              <w:szCs w:val="21"/>
            </w:rPr>
          </w:sdtEndPr>
          <w:sdtContent>
            <w:p w14:paraId="07036744" w14:textId="77777777" w:rsidR="00D21C1F" w:rsidRDefault="00A42880">
              <w:pPr>
                <w:pStyle w:val="94"/>
                <w:jc w:val="center"/>
                <w:rPr>
                  <w:rFonts w:ascii="宋体" w:hAnsi="宋体"/>
                </w:rPr>
              </w:pPr>
              <w:r>
                <w:rPr>
                  <w:rFonts w:ascii="宋体" w:hAnsi="宋体" w:hint="eastAsia"/>
                </w:rPr>
                <w:t>母公司</w:t>
              </w:r>
              <w:r>
                <w:rPr>
                  <w:rFonts w:ascii="宋体" w:hAnsi="宋体"/>
                </w:rPr>
                <w:t>利润表</w:t>
              </w:r>
            </w:p>
            <w:p w14:paraId="289D5A1F" w14:textId="77777777" w:rsidR="00D21C1F" w:rsidRDefault="00A42880">
              <w:pPr>
                <w:jc w:val="center"/>
                <w:rPr>
                  <w:b/>
                  <w:bCs/>
                  <w:szCs w:val="21"/>
                </w:rPr>
              </w:pPr>
              <w:r>
                <w:rPr>
                  <w:rFonts w:ascii="Times New Roman" w:hAnsi="Times New Roman"/>
                  <w:szCs w:val="21"/>
                </w:rPr>
                <w:t>2021</w:t>
              </w:r>
              <w:r>
                <w:rPr>
                  <w:szCs w:val="21"/>
                </w:rPr>
                <w:t>年</w:t>
              </w:r>
              <w:r>
                <w:rPr>
                  <w:rFonts w:ascii="Times New Roman" w:hAnsi="Times New Roman" w:hint="eastAsia"/>
                  <w:szCs w:val="21"/>
                </w:rPr>
                <w:t>1</w:t>
              </w:r>
              <w:r>
                <w:rPr>
                  <w:rFonts w:hint="eastAsia"/>
                  <w:szCs w:val="21"/>
                </w:rPr>
                <w:t>—</w:t>
              </w:r>
              <w:r>
                <w:rPr>
                  <w:rFonts w:ascii="Times New Roman" w:hAnsi="Times New Roman" w:hint="eastAsia"/>
                  <w:szCs w:val="21"/>
                </w:rPr>
                <w:t>6</w:t>
              </w:r>
              <w:r>
                <w:rPr>
                  <w:szCs w:val="21"/>
                </w:rPr>
                <w:t>月</w:t>
              </w:r>
            </w:p>
            <w:p w14:paraId="37972D7F" w14:textId="77777777" w:rsidR="00D21C1F" w:rsidRDefault="00A42880">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590586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母公司利润表"/>
                  <w:tag w:val="_GBC_125a2547934143ccb384434361f57d37"/>
                  <w:id w:val="6370712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D21C1F" w14:paraId="3C50713A" w14:textId="77777777">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1248659715"/>
                      <w:lock w:val="sdtLocked"/>
                    </w:sdtPr>
                    <w:sdtEndPr/>
                    <w:sdtContent>
                      <w:p w14:paraId="3DB92E5A" w14:textId="77777777" w:rsidR="00D21C1F" w:rsidRDefault="00A42880">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1523771777"/>
                      <w:lock w:val="sdtLocked"/>
                    </w:sdtPr>
                    <w:sdtEndPr/>
                    <w:sdtContent>
                      <w:p w14:paraId="04340053" w14:textId="77777777" w:rsidR="00D21C1F" w:rsidRDefault="00A42880">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294562626"/>
                      <w:lock w:val="sdtLocked"/>
                    </w:sdtPr>
                    <w:sdtEndPr/>
                    <w:sdtContent>
                      <w:p w14:paraId="59FD2A85" w14:textId="77777777" w:rsidR="00D21C1F" w:rsidRDefault="00A42880">
                        <w:pPr>
                          <w:jc w:val="center"/>
                          <w:rPr>
                            <w:b/>
                          </w:rPr>
                        </w:pPr>
                        <w:r>
                          <w:rPr>
                            <w:rFonts w:ascii="Times New Roman" w:hAnsi="Times New Roman" w:hint="eastAsia"/>
                            <w:b/>
                          </w:rPr>
                          <w:t>2021</w:t>
                        </w:r>
                        <w:r>
                          <w:rPr>
                            <w:rFonts w:hint="eastAsia"/>
                            <w:b/>
                          </w:rPr>
                          <w:t>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1070574132"/>
                      <w:lock w:val="sdtLocked"/>
                    </w:sdtPr>
                    <w:sdtEndPr/>
                    <w:sdtContent>
                      <w:p w14:paraId="60551D43" w14:textId="77777777" w:rsidR="00D21C1F" w:rsidRDefault="00A42880">
                        <w:pPr>
                          <w:jc w:val="center"/>
                          <w:rPr>
                            <w:b/>
                          </w:rPr>
                        </w:pPr>
                        <w:r>
                          <w:rPr>
                            <w:rFonts w:ascii="Times New Roman" w:hAnsi="Times New Roman" w:hint="eastAsia"/>
                            <w:b/>
                          </w:rPr>
                          <w:t>2020</w:t>
                        </w:r>
                        <w:r>
                          <w:rPr>
                            <w:rFonts w:hint="eastAsia"/>
                            <w:b/>
                          </w:rPr>
                          <w:t>年半年度</w:t>
                        </w:r>
                      </w:p>
                    </w:sdtContent>
                  </w:sdt>
                </w:tc>
              </w:tr>
              <w:tr w:rsidR="00D21C1F" w14:paraId="5B1B576D" w14:textId="77777777">
                <w:sdt>
                  <w:sdtPr>
                    <w:tag w:val="_PLD_064cf96d2f1c4cf0927ae1121cfbe089"/>
                    <w:id w:val="-85179886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5148865" w14:textId="77777777" w:rsidR="00D21C1F" w:rsidRDefault="00A42880">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14:paraId="2FC19217" w14:textId="77777777" w:rsidR="00D21C1F" w:rsidRDefault="00A42880">
                    <w:pPr>
                      <w:rPr>
                        <w:szCs w:val="21"/>
                      </w:rPr>
                    </w:pPr>
                    <w:r>
                      <w:rPr>
                        <w:rFonts w:hint="eastAsia"/>
                        <w:szCs w:val="21"/>
                      </w:rPr>
                      <w:t>十七、</w:t>
                    </w:r>
                    <w:r>
                      <w:rPr>
                        <w:rFonts w:ascii="Times New Roman" w:hAnsi="Times New Roman" w:hint="eastAsia"/>
                        <w:szCs w:val="21"/>
                      </w:rPr>
                      <w:t>4</w:t>
                    </w:r>
                  </w:p>
                </w:tc>
                <w:tc>
                  <w:tcPr>
                    <w:tcW w:w="1110" w:type="pct"/>
                    <w:tcBorders>
                      <w:top w:val="outset" w:sz="4" w:space="0" w:color="auto"/>
                      <w:left w:val="outset" w:sz="4" w:space="0" w:color="auto"/>
                      <w:bottom w:val="outset" w:sz="4" w:space="0" w:color="auto"/>
                      <w:right w:val="outset" w:sz="4" w:space="0" w:color="auto"/>
                    </w:tcBorders>
                    <w:vAlign w:val="center"/>
                  </w:tcPr>
                  <w:p w14:paraId="300E3886"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292,166,915.36</w:t>
                    </w:r>
                  </w:p>
                </w:tc>
                <w:tc>
                  <w:tcPr>
                    <w:tcW w:w="1114" w:type="pct"/>
                    <w:tcBorders>
                      <w:top w:val="outset" w:sz="4" w:space="0" w:color="auto"/>
                      <w:left w:val="outset" w:sz="4" w:space="0" w:color="auto"/>
                      <w:bottom w:val="outset" w:sz="4" w:space="0" w:color="auto"/>
                      <w:right w:val="outset" w:sz="4" w:space="0" w:color="auto"/>
                    </w:tcBorders>
                    <w:vAlign w:val="center"/>
                  </w:tcPr>
                  <w:p w14:paraId="2C9B410D"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152,056,957.36</w:t>
                    </w:r>
                  </w:p>
                </w:tc>
              </w:tr>
              <w:tr w:rsidR="00D21C1F" w14:paraId="367CEFB3" w14:textId="77777777">
                <w:sdt>
                  <w:sdtPr>
                    <w:tag w:val="_PLD_d41d97fe7493434d8f6c5694b95ac217"/>
                    <w:id w:val="-1392707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2F5EA48" w14:textId="77777777" w:rsidR="00D21C1F" w:rsidRDefault="00A42880">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14:paraId="6F29A565"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BAFA58"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241,151,799.40</w:t>
                    </w:r>
                  </w:p>
                </w:tc>
                <w:tc>
                  <w:tcPr>
                    <w:tcW w:w="1114" w:type="pct"/>
                    <w:tcBorders>
                      <w:top w:val="outset" w:sz="4" w:space="0" w:color="auto"/>
                      <w:left w:val="outset" w:sz="4" w:space="0" w:color="auto"/>
                      <w:bottom w:val="outset" w:sz="4" w:space="0" w:color="auto"/>
                      <w:right w:val="outset" w:sz="4" w:space="0" w:color="auto"/>
                    </w:tcBorders>
                    <w:vAlign w:val="center"/>
                  </w:tcPr>
                  <w:p w14:paraId="3F22D61D"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118,976,119.24</w:t>
                    </w:r>
                  </w:p>
                </w:tc>
              </w:tr>
              <w:tr w:rsidR="00D21C1F" w14:paraId="4534A3B9" w14:textId="77777777">
                <w:sdt>
                  <w:sdtPr>
                    <w:tag w:val="_PLD_310d343d286f48cca8b82d2d78d02a7b"/>
                    <w:id w:val="12747540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20485B5" w14:textId="77777777" w:rsidR="00D21C1F" w:rsidRDefault="00A42880">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328A6F3C"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3DA1BA7"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1,252,655.55</w:t>
                    </w:r>
                  </w:p>
                </w:tc>
                <w:tc>
                  <w:tcPr>
                    <w:tcW w:w="1114" w:type="pct"/>
                    <w:tcBorders>
                      <w:top w:val="outset" w:sz="4" w:space="0" w:color="auto"/>
                      <w:left w:val="outset" w:sz="4" w:space="0" w:color="auto"/>
                      <w:bottom w:val="outset" w:sz="4" w:space="0" w:color="auto"/>
                      <w:right w:val="outset" w:sz="4" w:space="0" w:color="auto"/>
                    </w:tcBorders>
                    <w:vAlign w:val="center"/>
                  </w:tcPr>
                  <w:p w14:paraId="61639AC0"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1,235,860.47</w:t>
                    </w:r>
                  </w:p>
                </w:tc>
              </w:tr>
              <w:tr w:rsidR="00D21C1F" w14:paraId="463EE13B" w14:textId="77777777">
                <w:sdt>
                  <w:sdtPr>
                    <w:tag w:val="_PLD_991800b670f245798d81fceda321ab53"/>
                    <w:id w:val="46786000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F79C03C" w14:textId="77777777" w:rsidR="00D21C1F" w:rsidRDefault="00A42880">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4CD070F9"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8ADC9E"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14,405,878.03</w:t>
                    </w:r>
                  </w:p>
                </w:tc>
                <w:tc>
                  <w:tcPr>
                    <w:tcW w:w="1114" w:type="pct"/>
                    <w:tcBorders>
                      <w:top w:val="outset" w:sz="4" w:space="0" w:color="auto"/>
                      <w:left w:val="outset" w:sz="4" w:space="0" w:color="auto"/>
                      <w:bottom w:val="outset" w:sz="4" w:space="0" w:color="auto"/>
                      <w:right w:val="outset" w:sz="4" w:space="0" w:color="auto"/>
                    </w:tcBorders>
                    <w:vAlign w:val="center"/>
                  </w:tcPr>
                  <w:p w14:paraId="313E8346"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10,272,465.83</w:t>
                    </w:r>
                  </w:p>
                </w:tc>
              </w:tr>
              <w:tr w:rsidR="00D21C1F" w14:paraId="4D44270E" w14:textId="77777777">
                <w:sdt>
                  <w:sdtPr>
                    <w:tag w:val="_PLD_a0661646595b49dea568535f2a30949c"/>
                    <w:id w:val="421063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553753D" w14:textId="77777777" w:rsidR="00D21C1F" w:rsidRDefault="00A42880">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1DC59914"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8E47BE"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34,397,825.39</w:t>
                    </w:r>
                  </w:p>
                </w:tc>
                <w:tc>
                  <w:tcPr>
                    <w:tcW w:w="1114" w:type="pct"/>
                    <w:tcBorders>
                      <w:top w:val="outset" w:sz="4" w:space="0" w:color="auto"/>
                      <w:left w:val="outset" w:sz="4" w:space="0" w:color="auto"/>
                      <w:bottom w:val="outset" w:sz="4" w:space="0" w:color="auto"/>
                      <w:right w:val="outset" w:sz="4" w:space="0" w:color="auto"/>
                    </w:tcBorders>
                    <w:vAlign w:val="center"/>
                  </w:tcPr>
                  <w:p w14:paraId="2D6315B2"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26,635,851.82</w:t>
                    </w:r>
                  </w:p>
                </w:tc>
              </w:tr>
              <w:tr w:rsidR="00D21C1F" w14:paraId="5ABFB1FE"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912399207"/>
                      <w:lock w:val="sdtLocked"/>
                    </w:sdtPr>
                    <w:sdtEndPr/>
                    <w:sdtContent>
                      <w:p w14:paraId="4A9B1250" w14:textId="77777777" w:rsidR="00D21C1F" w:rsidRDefault="00A42880">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3A1A52D1"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EE7E7E8"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41,095,750.28</w:t>
                    </w:r>
                  </w:p>
                </w:tc>
                <w:tc>
                  <w:tcPr>
                    <w:tcW w:w="1114" w:type="pct"/>
                    <w:tcBorders>
                      <w:top w:val="outset" w:sz="4" w:space="0" w:color="auto"/>
                      <w:left w:val="outset" w:sz="4" w:space="0" w:color="auto"/>
                      <w:bottom w:val="outset" w:sz="4" w:space="0" w:color="auto"/>
                      <w:right w:val="outset" w:sz="4" w:space="0" w:color="auto"/>
                    </w:tcBorders>
                    <w:vAlign w:val="center"/>
                  </w:tcPr>
                  <w:p w14:paraId="41B869CD"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28,101,001.11</w:t>
                    </w:r>
                  </w:p>
                </w:tc>
              </w:tr>
              <w:tr w:rsidR="00D21C1F" w14:paraId="7F7ADBB5" w14:textId="77777777">
                <w:sdt>
                  <w:sdtPr>
                    <w:tag w:val="_PLD_8d80afb387a7412cacbf6e23bf7e765d"/>
                    <w:id w:val="4819037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71C32EC" w14:textId="77777777" w:rsidR="00D21C1F" w:rsidRDefault="00A42880">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5FDA2C73"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FE811C4"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4,372,638.00</w:t>
                    </w:r>
                  </w:p>
                </w:tc>
                <w:tc>
                  <w:tcPr>
                    <w:tcW w:w="1114" w:type="pct"/>
                    <w:tcBorders>
                      <w:top w:val="outset" w:sz="4" w:space="0" w:color="auto"/>
                      <w:left w:val="outset" w:sz="4" w:space="0" w:color="auto"/>
                      <w:bottom w:val="outset" w:sz="4" w:space="0" w:color="auto"/>
                      <w:right w:val="outset" w:sz="4" w:space="0" w:color="auto"/>
                    </w:tcBorders>
                    <w:vAlign w:val="center"/>
                  </w:tcPr>
                  <w:p w14:paraId="14FE6BD1"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2,647,341.39</w:t>
                    </w:r>
                  </w:p>
                </w:tc>
              </w:tr>
              <w:tr w:rsidR="00D21C1F" w14:paraId="3F215BB2"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583888845"/>
                      <w:lock w:val="sdtLocked"/>
                    </w:sdtPr>
                    <w:sdtEndPr/>
                    <w:sdtContent>
                      <w:p w14:paraId="274BA418" w14:textId="77777777" w:rsidR="00D21C1F" w:rsidRDefault="00A42880">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1BE2F195"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C5A91D4"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1,775,856.14</w:t>
                    </w:r>
                  </w:p>
                </w:tc>
                <w:tc>
                  <w:tcPr>
                    <w:tcW w:w="1114" w:type="pct"/>
                    <w:tcBorders>
                      <w:top w:val="outset" w:sz="4" w:space="0" w:color="auto"/>
                      <w:left w:val="outset" w:sz="4" w:space="0" w:color="auto"/>
                      <w:bottom w:val="outset" w:sz="4" w:space="0" w:color="auto"/>
                      <w:right w:val="outset" w:sz="4" w:space="0" w:color="auto"/>
                    </w:tcBorders>
                    <w:vAlign w:val="center"/>
                  </w:tcPr>
                  <w:p w14:paraId="699974C3"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3,711,886.38</w:t>
                    </w:r>
                  </w:p>
                </w:tc>
              </w:tr>
              <w:tr w:rsidR="00D21C1F" w14:paraId="2F22E1C4"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1636757032"/>
                      <w:lock w:val="sdtLocked"/>
                    </w:sdtPr>
                    <w:sdtEndPr/>
                    <w:sdtContent>
                      <w:p w14:paraId="7DC782FE" w14:textId="77777777" w:rsidR="00D21C1F" w:rsidRDefault="00A42880">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69F9477A"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38013E"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1,286,664.23</w:t>
                    </w:r>
                  </w:p>
                </w:tc>
                <w:tc>
                  <w:tcPr>
                    <w:tcW w:w="1114" w:type="pct"/>
                    <w:tcBorders>
                      <w:top w:val="outset" w:sz="4" w:space="0" w:color="auto"/>
                      <w:left w:val="outset" w:sz="4" w:space="0" w:color="auto"/>
                      <w:bottom w:val="outset" w:sz="4" w:space="0" w:color="auto"/>
                      <w:right w:val="outset" w:sz="4" w:space="0" w:color="auto"/>
                    </w:tcBorders>
                    <w:vAlign w:val="center"/>
                  </w:tcPr>
                  <w:p w14:paraId="4E946CE8"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2,164,817.06</w:t>
                    </w:r>
                  </w:p>
                </w:tc>
              </w:tr>
              <w:tr w:rsidR="00D21C1F" w14:paraId="119F502A" w14:textId="77777777">
                <w:sdt>
                  <w:sdtPr>
                    <w:tag w:val="_PLD_57b368ef9f204da9ac5a6e42b07d2fda"/>
                    <w:id w:val="-5079005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83BDBBD" w14:textId="77777777" w:rsidR="00D21C1F" w:rsidRDefault="00A42880">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5B69E30F"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838AAE4"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2,774,455.75</w:t>
                    </w:r>
                  </w:p>
                </w:tc>
                <w:tc>
                  <w:tcPr>
                    <w:tcW w:w="1114" w:type="pct"/>
                    <w:tcBorders>
                      <w:top w:val="outset" w:sz="4" w:space="0" w:color="auto"/>
                      <w:left w:val="outset" w:sz="4" w:space="0" w:color="auto"/>
                      <w:bottom w:val="outset" w:sz="4" w:space="0" w:color="auto"/>
                      <w:right w:val="outset" w:sz="4" w:space="0" w:color="auto"/>
                    </w:tcBorders>
                    <w:vAlign w:val="center"/>
                  </w:tcPr>
                  <w:p w14:paraId="0100AAA6"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20,082,766.93</w:t>
                    </w:r>
                  </w:p>
                </w:tc>
              </w:tr>
              <w:tr w:rsidR="00D21C1F" w14:paraId="4B1B2C3D" w14:textId="77777777">
                <w:sdt>
                  <w:sdtPr>
                    <w:tag w:val="_PLD_16fd18eb434d4828b40716d17c61b068"/>
                    <w:id w:val="-10701850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7D31508" w14:textId="77777777" w:rsidR="00D21C1F" w:rsidRDefault="00A42880">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67DA949B" w14:textId="77777777" w:rsidR="00D21C1F" w:rsidRDefault="00A42880">
                    <w:pPr>
                      <w:rPr>
                        <w:szCs w:val="21"/>
                      </w:rPr>
                    </w:pPr>
                    <w:r>
                      <w:rPr>
                        <w:rFonts w:hint="eastAsia"/>
                        <w:szCs w:val="21"/>
                      </w:rPr>
                      <w:t>十七、</w:t>
                    </w:r>
                    <w:r>
                      <w:rPr>
                        <w:rFonts w:ascii="Times New Roman" w:hAnsi="Times New Roman" w:hint="eastAsia"/>
                        <w:szCs w:val="21"/>
                      </w:rPr>
                      <w:t>5</w:t>
                    </w:r>
                  </w:p>
                </w:tc>
                <w:tc>
                  <w:tcPr>
                    <w:tcW w:w="1110" w:type="pct"/>
                    <w:tcBorders>
                      <w:top w:val="outset" w:sz="4" w:space="0" w:color="auto"/>
                      <w:left w:val="outset" w:sz="4" w:space="0" w:color="auto"/>
                      <w:bottom w:val="outset" w:sz="4" w:space="0" w:color="auto"/>
                      <w:right w:val="outset" w:sz="4" w:space="0" w:color="auto"/>
                    </w:tcBorders>
                    <w:vAlign w:val="center"/>
                  </w:tcPr>
                  <w:p w14:paraId="4783E572"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14,874,632.57</w:t>
                    </w:r>
                  </w:p>
                </w:tc>
                <w:tc>
                  <w:tcPr>
                    <w:tcW w:w="1114" w:type="pct"/>
                    <w:tcBorders>
                      <w:top w:val="outset" w:sz="4" w:space="0" w:color="auto"/>
                      <w:left w:val="outset" w:sz="4" w:space="0" w:color="auto"/>
                      <w:bottom w:val="outset" w:sz="4" w:space="0" w:color="auto"/>
                      <w:right w:val="outset" w:sz="4" w:space="0" w:color="auto"/>
                    </w:tcBorders>
                    <w:vAlign w:val="center"/>
                  </w:tcPr>
                  <w:p w14:paraId="2A06348F"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-130,838.30</w:t>
                    </w:r>
                  </w:p>
                </w:tc>
              </w:tr>
              <w:tr w:rsidR="00D21C1F" w14:paraId="07A3D258" w14:textId="77777777">
                <w:sdt>
                  <w:sdtPr>
                    <w:tag w:val="_PLD_2bea34f5113c449e9a05ba733de8a76c"/>
                    <w:id w:val="17274952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C7CF547" w14:textId="77777777" w:rsidR="00D21C1F" w:rsidRDefault="00A42880">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10DA8BD3"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32C7D7"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1,964,555.20</w:t>
                    </w:r>
                  </w:p>
                </w:tc>
                <w:tc>
                  <w:tcPr>
                    <w:tcW w:w="1114" w:type="pct"/>
                    <w:tcBorders>
                      <w:top w:val="outset" w:sz="4" w:space="0" w:color="auto"/>
                      <w:left w:val="outset" w:sz="4" w:space="0" w:color="auto"/>
                      <w:bottom w:val="outset" w:sz="4" w:space="0" w:color="auto"/>
                      <w:right w:val="outset" w:sz="4" w:space="0" w:color="auto"/>
                    </w:tcBorders>
                    <w:vAlign w:val="center"/>
                  </w:tcPr>
                  <w:p w14:paraId="562940B2"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-155,769.81</w:t>
                    </w:r>
                  </w:p>
                </w:tc>
              </w:tr>
              <w:tr w:rsidR="00D21C1F" w14:paraId="3CD28797" w14:textId="77777777">
                <w:sdt>
                  <w:sdtPr>
                    <w:tag w:val="_PLD_96dddecaabdb4c699853ad79ff8ce0c7"/>
                    <w:id w:val="7103867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AED5740" w14:textId="77777777" w:rsidR="00D21C1F" w:rsidRDefault="00A42880">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0E391AB4"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C226CF"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6,360,739.72</w:t>
                    </w:r>
                  </w:p>
                </w:tc>
                <w:tc>
                  <w:tcPr>
                    <w:tcW w:w="1114" w:type="pct"/>
                    <w:tcBorders>
                      <w:top w:val="outset" w:sz="4" w:space="0" w:color="auto"/>
                      <w:left w:val="outset" w:sz="4" w:space="0" w:color="auto"/>
                      <w:bottom w:val="outset" w:sz="4" w:space="0" w:color="auto"/>
                      <w:right w:val="outset" w:sz="4" w:space="0" w:color="auto"/>
                    </w:tcBorders>
                    <w:vAlign w:val="center"/>
                  </w:tcPr>
                  <w:p w14:paraId="1657AE9D"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w:t>
                    </w:r>
                  </w:p>
                </w:tc>
              </w:tr>
              <w:tr w:rsidR="00D21C1F" w14:paraId="7C273B5A"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1006400795"/>
                      <w:lock w:val="sdtLocked"/>
                    </w:sdtPr>
                    <w:sdtEndPr/>
                    <w:sdtContent>
                      <w:p w14:paraId="73A87B6D" w14:textId="77777777" w:rsidR="00D21C1F" w:rsidRDefault="00A42880">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2194010E"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5F944B0"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-2,165,907.38</w:t>
                    </w:r>
                  </w:p>
                </w:tc>
                <w:tc>
                  <w:tcPr>
                    <w:tcW w:w="1114" w:type="pct"/>
                    <w:tcBorders>
                      <w:top w:val="outset" w:sz="4" w:space="0" w:color="auto"/>
                      <w:left w:val="outset" w:sz="4" w:space="0" w:color="auto"/>
                      <w:bottom w:val="outset" w:sz="4" w:space="0" w:color="auto"/>
                      <w:right w:val="outset" w:sz="4" w:space="0" w:color="auto"/>
                    </w:tcBorders>
                    <w:vAlign w:val="center"/>
                  </w:tcPr>
                  <w:p w14:paraId="06CCDC2C"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-12,588,448.11</w:t>
                    </w:r>
                  </w:p>
                </w:tc>
              </w:tr>
              <w:tr w:rsidR="00D21C1F" w14:paraId="7DF72CC9" w14:textId="77777777">
                <w:sdt>
                  <w:sdtPr>
                    <w:tag w:val="_PLD_16430dcabb93489da19dede13b679da4"/>
                    <w:id w:val="-6205367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81CF4D1" w14:textId="77777777" w:rsidR="00D21C1F" w:rsidRDefault="00A42880">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9E8B8FC"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00D8B30"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-5,303,147.41</w:t>
                    </w:r>
                  </w:p>
                </w:tc>
                <w:tc>
                  <w:tcPr>
                    <w:tcW w:w="1114" w:type="pct"/>
                    <w:tcBorders>
                      <w:top w:val="outset" w:sz="4" w:space="0" w:color="auto"/>
                      <w:left w:val="outset" w:sz="4" w:space="0" w:color="auto"/>
                      <w:bottom w:val="outset" w:sz="4" w:space="0" w:color="auto"/>
                      <w:right w:val="outset" w:sz="4" w:space="0" w:color="auto"/>
                    </w:tcBorders>
                    <w:vAlign w:val="center"/>
                  </w:tcPr>
                  <w:p w14:paraId="32A1A301"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-396,016.42</w:t>
                    </w:r>
                  </w:p>
                </w:tc>
              </w:tr>
              <w:tr w:rsidR="00D21C1F" w14:paraId="74E23C5A" w14:textId="77777777">
                <w:sdt>
                  <w:sdtPr>
                    <w:rPr>
                      <w:rFonts w:hint="eastAsia"/>
                    </w:rPr>
                    <w:tag w:val="_PLD_907d21105eff451b99c14b026296e12a"/>
                    <w:id w:val="-17628257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E7E098B" w14:textId="77777777" w:rsidR="00D21C1F" w:rsidRDefault="00A42880">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1440C9FA"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491434E"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23CFC5C1"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879,939.85</w:t>
                    </w:r>
                  </w:p>
                </w:tc>
              </w:tr>
              <w:tr w:rsidR="00D21C1F" w14:paraId="761CED20" w14:textId="77777777">
                <w:sdt>
                  <w:sdtPr>
                    <w:tag w:val="_PLD_107926df9ebd4b039128ab562ec28ff7"/>
                    <w:id w:val="5683124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322E3A" w14:textId="77777777" w:rsidR="00D21C1F" w:rsidRDefault="00A42880">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6E241F57"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AD33640"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-27,968,858.04</w:t>
                    </w:r>
                  </w:p>
                </w:tc>
                <w:tc>
                  <w:tcPr>
                    <w:tcW w:w="1114" w:type="pct"/>
                    <w:tcBorders>
                      <w:top w:val="outset" w:sz="4" w:space="0" w:color="auto"/>
                      <w:left w:val="outset" w:sz="4" w:space="0" w:color="auto"/>
                      <w:bottom w:val="outset" w:sz="4" w:space="0" w:color="auto"/>
                      <w:right w:val="outset" w:sz="4" w:space="0" w:color="auto"/>
                    </w:tcBorders>
                    <w:vAlign w:val="center"/>
                  </w:tcPr>
                  <w:p w14:paraId="13D539F3"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-27,964,278.55</w:t>
                    </w:r>
                  </w:p>
                </w:tc>
              </w:tr>
              <w:tr w:rsidR="00D21C1F" w14:paraId="34392CF8" w14:textId="77777777">
                <w:sdt>
                  <w:sdtPr>
                    <w:tag w:val="_PLD_279fac843c63467da244e8b49f89e4dc"/>
                    <w:id w:val="-121811365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EC1DA43" w14:textId="77777777" w:rsidR="00D21C1F" w:rsidRDefault="00A42880">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7DDF1D12"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6B287B"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1,126,374.89</w:t>
                    </w:r>
                  </w:p>
                </w:tc>
                <w:tc>
                  <w:tcPr>
                    <w:tcW w:w="1114" w:type="pct"/>
                    <w:tcBorders>
                      <w:top w:val="outset" w:sz="4" w:space="0" w:color="auto"/>
                      <w:left w:val="outset" w:sz="4" w:space="0" w:color="auto"/>
                      <w:bottom w:val="outset" w:sz="4" w:space="0" w:color="auto"/>
                      <w:right w:val="outset" w:sz="4" w:space="0" w:color="auto"/>
                    </w:tcBorders>
                    <w:vAlign w:val="center"/>
                  </w:tcPr>
                  <w:p w14:paraId="70FCFB14"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142,945.96</w:t>
                    </w:r>
                  </w:p>
                </w:tc>
              </w:tr>
              <w:tr w:rsidR="00D21C1F" w14:paraId="20A29736" w14:textId="77777777">
                <w:sdt>
                  <w:sdtPr>
                    <w:tag w:val="_PLD_f7c3a61b735644a1a4b866e88cef247a"/>
                    <w:id w:val="-1321732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07F05EE" w14:textId="77777777" w:rsidR="00D21C1F" w:rsidRDefault="00A42880">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74133B26"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D109C8"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5,767.80</w:t>
                    </w:r>
                  </w:p>
                </w:tc>
                <w:tc>
                  <w:tcPr>
                    <w:tcW w:w="1114" w:type="pct"/>
                    <w:tcBorders>
                      <w:top w:val="outset" w:sz="4" w:space="0" w:color="auto"/>
                      <w:left w:val="outset" w:sz="4" w:space="0" w:color="auto"/>
                      <w:bottom w:val="outset" w:sz="4" w:space="0" w:color="auto"/>
                      <w:right w:val="outset" w:sz="4" w:space="0" w:color="auto"/>
                    </w:tcBorders>
                    <w:vAlign w:val="center"/>
                  </w:tcPr>
                  <w:p w14:paraId="0E710391"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126,321.38</w:t>
                    </w:r>
                  </w:p>
                </w:tc>
              </w:tr>
              <w:tr w:rsidR="00D21C1F" w14:paraId="7D60DA8F" w14:textId="77777777">
                <w:sdt>
                  <w:sdtPr>
                    <w:tag w:val="_PLD_5956406fbb5b47029f2bca13fce9359e"/>
                    <w:id w:val="8211663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88FBBAD" w14:textId="77777777" w:rsidR="00D21C1F" w:rsidRDefault="00A42880">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14:paraId="5D1F9325"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F5CCE3B"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-26,848,250.95</w:t>
                    </w:r>
                  </w:p>
                </w:tc>
                <w:tc>
                  <w:tcPr>
                    <w:tcW w:w="1114" w:type="pct"/>
                    <w:tcBorders>
                      <w:top w:val="outset" w:sz="4" w:space="0" w:color="auto"/>
                      <w:left w:val="outset" w:sz="4" w:space="0" w:color="auto"/>
                      <w:bottom w:val="outset" w:sz="4" w:space="0" w:color="auto"/>
                      <w:right w:val="outset" w:sz="4" w:space="0" w:color="auto"/>
                    </w:tcBorders>
                    <w:vAlign w:val="center"/>
                  </w:tcPr>
                  <w:p w14:paraId="46607477"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-27,947,653.97</w:t>
                    </w:r>
                  </w:p>
                </w:tc>
              </w:tr>
              <w:tr w:rsidR="00D21C1F" w14:paraId="61C757B7" w14:textId="77777777">
                <w:sdt>
                  <w:sdtPr>
                    <w:tag w:val="_PLD_6de0aad305fe4960b4c088f68ada351b"/>
                    <w:id w:val="-82828925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7AD9E48" w14:textId="77777777" w:rsidR="00D21C1F" w:rsidRDefault="00A42880">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2A9DED39"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7A27EF9"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-6,942,593.88</w:t>
                    </w:r>
                  </w:p>
                </w:tc>
                <w:tc>
                  <w:tcPr>
                    <w:tcW w:w="1114" w:type="pct"/>
                    <w:tcBorders>
                      <w:top w:val="outset" w:sz="4" w:space="0" w:color="auto"/>
                      <w:left w:val="outset" w:sz="4" w:space="0" w:color="auto"/>
                      <w:bottom w:val="outset" w:sz="4" w:space="0" w:color="auto"/>
                      <w:right w:val="outset" w:sz="4" w:space="0" w:color="auto"/>
                    </w:tcBorders>
                    <w:vAlign w:val="center"/>
                  </w:tcPr>
                  <w:p w14:paraId="7FEDD312"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-1,338,792.96</w:t>
                    </w:r>
                  </w:p>
                </w:tc>
              </w:tr>
              <w:tr w:rsidR="00D21C1F" w14:paraId="632C836D" w14:textId="77777777">
                <w:sdt>
                  <w:sdtPr>
                    <w:tag w:val="_PLD_7ab8a9f66eb1439ab50e43a032c9541e"/>
                    <w:id w:val="5205140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77D0330" w14:textId="77777777" w:rsidR="00D21C1F" w:rsidRDefault="00A42880">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51F01E01"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3BBF6D7"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-19,905,657.07</w:t>
                    </w:r>
                  </w:p>
                </w:tc>
                <w:tc>
                  <w:tcPr>
                    <w:tcW w:w="1114" w:type="pct"/>
                    <w:tcBorders>
                      <w:top w:val="outset" w:sz="4" w:space="0" w:color="auto"/>
                      <w:left w:val="outset" w:sz="4" w:space="0" w:color="auto"/>
                      <w:bottom w:val="outset" w:sz="4" w:space="0" w:color="auto"/>
                      <w:right w:val="outset" w:sz="4" w:space="0" w:color="auto"/>
                    </w:tcBorders>
                    <w:vAlign w:val="center"/>
                  </w:tcPr>
                  <w:p w14:paraId="5CF94DDA"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-26,608,861.01</w:t>
                    </w:r>
                  </w:p>
                </w:tc>
              </w:tr>
              <w:tr w:rsidR="00D21C1F" w14:paraId="29FC109A" w14:textId="77777777">
                <w:sdt>
                  <w:sdtPr>
                    <w:tag w:val="_PLD_289ca01a050e4d34aae7f623dfff6058"/>
                    <w:id w:val="-12647625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DBAE7A1" w14:textId="77777777" w:rsidR="00D21C1F" w:rsidRDefault="00A42880">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4654EF11"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644860"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-19,905,657.07</w:t>
                    </w:r>
                  </w:p>
                </w:tc>
                <w:tc>
                  <w:tcPr>
                    <w:tcW w:w="1114" w:type="pct"/>
                    <w:tcBorders>
                      <w:top w:val="outset" w:sz="4" w:space="0" w:color="auto"/>
                      <w:left w:val="outset" w:sz="4" w:space="0" w:color="auto"/>
                      <w:bottom w:val="outset" w:sz="4" w:space="0" w:color="auto"/>
                      <w:right w:val="outset" w:sz="4" w:space="0" w:color="auto"/>
                    </w:tcBorders>
                    <w:vAlign w:val="center"/>
                  </w:tcPr>
                  <w:p w14:paraId="7939659C"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-26,608,861.01</w:t>
                    </w:r>
                  </w:p>
                </w:tc>
              </w:tr>
              <w:tr w:rsidR="00D21C1F" w14:paraId="1D903EB6" w14:textId="77777777" w:rsidTr="006D634A">
                <w:sdt>
                  <w:sdtPr>
                    <w:rPr>
                      <w:rFonts w:hint="eastAsia"/>
                    </w:rPr>
                    <w:tag w:val="_PLD_3b2e8ef21ec246eaabe42c7024d8ce19"/>
                    <w:id w:val="10076360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615B265" w14:textId="77777777" w:rsidR="00D21C1F" w:rsidRDefault="00A42880">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4969AD59"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2C154E" w14:textId="5DD0FC4C" w:rsidR="00D21C1F" w:rsidRPr="006D634A" w:rsidRDefault="006D634A" w:rsidP="006D634A">
                    <w:pPr>
                      <w:jc w:val="right"/>
                      <w:rPr>
                        <w:rFonts w:ascii="Times New Roman" w:hAnsi="Times New Roman" w:cs="Times New Roman"/>
                        <w:szCs w:val="21"/>
                      </w:rPr>
                    </w:pPr>
                    <w:r w:rsidRPr="006D634A">
                      <w:rPr>
                        <w:rFonts w:ascii="Times New Roman" w:hAnsi="Times New Roman" w:cs="Times New Roman"/>
                        <w:szCs w:val="21"/>
                      </w:rPr>
                      <w:t>-</w:t>
                    </w:r>
                  </w:p>
                </w:tc>
                <w:tc>
                  <w:tcPr>
                    <w:tcW w:w="1114" w:type="pct"/>
                    <w:tcBorders>
                      <w:top w:val="outset" w:sz="4" w:space="0" w:color="auto"/>
                      <w:left w:val="outset" w:sz="4" w:space="0" w:color="auto"/>
                      <w:bottom w:val="outset" w:sz="4" w:space="0" w:color="auto"/>
                      <w:right w:val="outset" w:sz="4" w:space="0" w:color="auto"/>
                    </w:tcBorders>
                    <w:vAlign w:val="center"/>
                  </w:tcPr>
                  <w:p w14:paraId="143A59B5" w14:textId="356BD3B7" w:rsidR="00D21C1F" w:rsidRPr="006D634A" w:rsidRDefault="006D634A" w:rsidP="006D634A">
                    <w:pPr>
                      <w:jc w:val="right"/>
                      <w:rPr>
                        <w:rFonts w:ascii="Times New Roman" w:hAnsi="Times New Roman" w:cs="Times New Roman"/>
                        <w:szCs w:val="21"/>
                      </w:rPr>
                    </w:pPr>
                    <w:r w:rsidRPr="006D634A">
                      <w:rPr>
                        <w:rFonts w:ascii="Times New Roman" w:hAnsi="Times New Roman" w:cs="Times New Roman"/>
                        <w:szCs w:val="21"/>
                      </w:rPr>
                      <w:t>-</w:t>
                    </w:r>
                  </w:p>
                </w:tc>
              </w:tr>
              <w:tr w:rsidR="00D21C1F" w14:paraId="444CEF8F" w14:textId="77777777">
                <w:sdt>
                  <w:sdtPr>
                    <w:tag w:val="_PLD_843a2fab84a848319e89b43f4f5f13af"/>
                    <w:id w:val="9360968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1C28A4F" w14:textId="77777777" w:rsidR="00D21C1F" w:rsidRDefault="00A42880">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5F40C965"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tcPr>
                  <w:p w14:paraId="537B1995" w14:textId="77777777" w:rsidR="00D21C1F" w:rsidRPr="006D634A" w:rsidRDefault="00D21C1F">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14:paraId="34914691" w14:textId="77777777" w:rsidR="00D21C1F" w:rsidRPr="006D634A" w:rsidRDefault="00D21C1F">
                    <w:pPr>
                      <w:jc w:val="right"/>
                      <w:rPr>
                        <w:rFonts w:ascii="Times New Roman" w:hAnsi="Times New Roman" w:cs="Times New Roman"/>
                        <w:szCs w:val="21"/>
                      </w:rPr>
                    </w:pPr>
                  </w:p>
                </w:tc>
              </w:tr>
              <w:tr w:rsidR="006D634A" w14:paraId="532819E1" w14:textId="77777777" w:rsidTr="00D07E51">
                <w:sdt>
                  <w:sdtPr>
                    <w:tag w:val="_PLD_b8aa6d052de04d1a947a8cf96dde3fef"/>
                    <w:id w:val="5347700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68F1458" w14:textId="77777777" w:rsidR="006D634A" w:rsidRDefault="006D634A" w:rsidP="006D634A">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4A0C542D"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0624E1" w14:textId="7EDF90C1"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44C1A01C" w14:textId="61C12CE1"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1643682B" w14:textId="77777777" w:rsidTr="00D07E51">
                <w:sdt>
                  <w:sdtPr>
                    <w:tag w:val="_PLD_2f95025f3e0f4c69b258974fe8486517"/>
                    <w:id w:val="11265133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475A00F" w14:textId="77777777" w:rsidR="006D634A" w:rsidRDefault="006D634A" w:rsidP="006D634A">
                        <w:pPr>
                          <w:ind w:firstLineChars="200" w:firstLine="420"/>
                          <w:rPr>
                            <w:szCs w:val="21"/>
                          </w:rPr>
                        </w:pPr>
                        <w:r>
                          <w:rPr>
                            <w:rFonts w:ascii="Times New Roman" w:hAnsi="Times New Roman"/>
                            <w:szCs w:val="21"/>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6F8A38B0"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AD9E97" w14:textId="4AE39BD0"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33A9DB00" w14:textId="18DD5FDE"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484B8DE4" w14:textId="77777777" w:rsidTr="00D07E51">
                <w:sdt>
                  <w:sdtPr>
                    <w:tag w:val="_PLD_a1dd2af1863b4e3d917020633c99734c"/>
                    <w:id w:val="-1851351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2FFF2F1" w14:textId="77777777" w:rsidR="006D634A" w:rsidRDefault="006D634A" w:rsidP="006D634A">
                        <w:pPr>
                          <w:ind w:firstLineChars="200" w:firstLine="420"/>
                          <w:rPr>
                            <w:szCs w:val="21"/>
                          </w:rPr>
                        </w:pPr>
                        <w:r>
                          <w:rPr>
                            <w:rFonts w:ascii="Times New Roman" w:hAnsi="Times New Roman"/>
                            <w:szCs w:val="21"/>
                          </w:rPr>
                          <w:t>2</w:t>
                        </w:r>
                        <w:r>
                          <w:rPr>
                            <w:szCs w:val="21"/>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2017DFAB"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EC6DF9" w14:textId="7FB3914D"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5F43D4E7" w14:textId="26DA2605"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0AA73F0B"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280025089"/>
                      <w:lock w:val="sdtLocked"/>
                    </w:sdtPr>
                    <w:sdtEndPr/>
                    <w:sdtContent>
                      <w:p w14:paraId="158F33DB" w14:textId="77777777" w:rsidR="006D634A" w:rsidRDefault="006D634A" w:rsidP="006D634A">
                        <w:pPr>
                          <w:ind w:firstLineChars="200" w:firstLine="420"/>
                        </w:pPr>
                        <w:r>
                          <w:rPr>
                            <w:rFonts w:ascii="Times New Roman" w:hAnsi="Times New Roman"/>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31C50BBC"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F600775" w14:textId="19F148CA"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520AFD60" w14:textId="58821EFC"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2A3299CD"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1552615014"/>
                      <w:lock w:val="sdtLocked"/>
                    </w:sdtPr>
                    <w:sdtEndPr/>
                    <w:sdtContent>
                      <w:p w14:paraId="4D2A4371" w14:textId="77777777" w:rsidR="006D634A" w:rsidRDefault="006D634A" w:rsidP="006D634A">
                        <w:pPr>
                          <w:ind w:firstLineChars="200" w:firstLine="420"/>
                        </w:pPr>
                        <w:r>
                          <w:rPr>
                            <w:rFonts w:ascii="Times New Roman" w:hAnsi="Times New Roman"/>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696A1399"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57ED4B6" w14:textId="12EB8CD4"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0DB314D3" w14:textId="71866E57"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37FECFC1" w14:textId="77777777" w:rsidTr="00D07E51">
                <w:sdt>
                  <w:sdtPr>
                    <w:tag w:val="_PLD_37e542b34b764230a84886c730eceb4b"/>
                    <w:id w:val="-40761777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2431B52" w14:textId="77777777" w:rsidR="006D634A" w:rsidRDefault="006D634A" w:rsidP="006D634A">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37C0E6E"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424C55" w14:textId="4D43EAD4"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1F771F77" w14:textId="41949E28"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016F9486" w14:textId="77777777" w:rsidTr="00D07E51">
                <w:sdt>
                  <w:sdtPr>
                    <w:tag w:val="_PLD_d4ccf04d8d17419faa79e993ba558b97"/>
                    <w:id w:val="207893137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574E971" w14:textId="77777777" w:rsidR="006D634A" w:rsidRDefault="006D634A" w:rsidP="006D634A">
                        <w:pPr>
                          <w:ind w:firstLineChars="200" w:firstLine="420"/>
                          <w:rPr>
                            <w:szCs w:val="21"/>
                          </w:rPr>
                        </w:pPr>
                        <w:r>
                          <w:rPr>
                            <w:rFonts w:ascii="Times New Roman" w:hAnsi="Times New Roman"/>
                            <w:szCs w:val="21"/>
                          </w:rPr>
                          <w:t>1</w:t>
                        </w:r>
                        <w:r>
                          <w:rPr>
                            <w:szCs w:val="21"/>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312C7516"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1948916" w14:textId="7D8447E2"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0A5BDE66" w14:textId="56C6A3C2"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6A085B8F"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375236039"/>
                      <w:lock w:val="sdtLocked"/>
                    </w:sdtPr>
                    <w:sdtEndPr>
                      <w:rPr>
                        <w:szCs w:val="24"/>
                      </w:rPr>
                    </w:sdtEndPr>
                    <w:sdtContent>
                      <w:p w14:paraId="30A18543" w14:textId="77777777" w:rsidR="006D634A" w:rsidRDefault="006D634A" w:rsidP="006D634A">
                        <w:pPr>
                          <w:ind w:firstLineChars="200" w:firstLine="420"/>
                        </w:pPr>
                        <w:r>
                          <w:rPr>
                            <w:rFonts w:ascii="Times New Roman" w:hAnsi="Times New Roman"/>
                            <w:szCs w:val="21"/>
                          </w:rPr>
                          <w:t>2</w:t>
                        </w:r>
                        <w:r>
                          <w:rPr>
                            <w:szCs w:val="21"/>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3F82381A"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1AF1DD8" w14:textId="1D8530A8"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3618A1EA" w14:textId="19A85515"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7344DE86"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2107106447"/>
                      <w:lock w:val="sdtLocked"/>
                    </w:sdtPr>
                    <w:sdtEndPr/>
                    <w:sdtContent>
                      <w:p w14:paraId="5DAD6DB7" w14:textId="77777777" w:rsidR="006D634A" w:rsidRDefault="006D634A" w:rsidP="006D634A">
                        <w:pPr>
                          <w:ind w:firstLineChars="200" w:firstLine="420"/>
                        </w:pPr>
                        <w:r>
                          <w:rPr>
                            <w:rFonts w:ascii="Times New Roman" w:hAnsi="Times New Roman"/>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6156ED7B"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E16604" w14:textId="51D2B224"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08139B99" w14:textId="1B08E2ED"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00320EDD"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30694312"/>
                      <w:lock w:val="sdtLocked"/>
                    </w:sdtPr>
                    <w:sdtEndPr/>
                    <w:sdtContent>
                      <w:p w14:paraId="34199F62" w14:textId="77777777" w:rsidR="006D634A" w:rsidRDefault="006D634A" w:rsidP="006D634A">
                        <w:pPr>
                          <w:ind w:firstLineChars="200" w:firstLine="420"/>
                        </w:pPr>
                        <w:r>
                          <w:rPr>
                            <w:rFonts w:ascii="Times New Roman" w:hAnsi="Times New Roman"/>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5604513C"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AD5471" w14:textId="3EF65B64"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5A8D7799" w14:textId="0C1CD523"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7DF65076"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1828669009"/>
                      <w:lock w:val="sdtLocked"/>
                    </w:sdtPr>
                    <w:sdtEndPr/>
                    <w:sdtContent>
                      <w:p w14:paraId="1B70E571" w14:textId="77777777" w:rsidR="006D634A" w:rsidRDefault="006D634A" w:rsidP="006D634A">
                        <w:pPr>
                          <w:ind w:firstLineChars="200" w:firstLine="420"/>
                        </w:pPr>
                        <w:r>
                          <w:rPr>
                            <w:rFonts w:ascii="Times New Roman" w:hAnsi="Times New Roman"/>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551ED985"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8BB7C2" w14:textId="49294FF8"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5A154B4B" w14:textId="50EDB608"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3635CF5B"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563642100"/>
                      <w:lock w:val="sdtLocked"/>
                    </w:sdtPr>
                    <w:sdtEndPr/>
                    <w:sdtContent>
                      <w:p w14:paraId="6D79C55C" w14:textId="77777777" w:rsidR="006D634A" w:rsidRDefault="006D634A" w:rsidP="006D634A">
                        <w:pPr>
                          <w:ind w:firstLineChars="200" w:firstLine="420"/>
                        </w:pPr>
                        <w:r>
                          <w:rPr>
                            <w:rFonts w:ascii="Times New Roman" w:hAnsi="Times New Roman"/>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73955C6B"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077AC5" w14:textId="4A6D420C"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6DFDA1D1" w14:textId="5C8BAAD6"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6D634A" w14:paraId="212B6A04" w14:textId="77777777" w:rsidTr="00D07E51">
                <w:tc>
                  <w:tcPr>
                    <w:tcW w:w="1938"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25493860"/>
                      <w:lock w:val="sdtLocked"/>
                    </w:sdtPr>
                    <w:sdtEndPr/>
                    <w:sdtContent>
                      <w:p w14:paraId="4960966C" w14:textId="77777777" w:rsidR="006D634A" w:rsidRDefault="006D634A" w:rsidP="006D634A">
                        <w:pPr>
                          <w:ind w:firstLineChars="200" w:firstLine="420"/>
                        </w:pPr>
                        <w:r>
                          <w:rPr>
                            <w:rFonts w:ascii="Times New Roman" w:hAnsi="Times New Roman"/>
                          </w:rP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19778833" w14:textId="77777777" w:rsidR="006D634A" w:rsidRDefault="006D634A" w:rsidP="006D634A">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B0D3A3" w14:textId="7525C3D5"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c>
                  <w:tcPr>
                    <w:tcW w:w="1114" w:type="pct"/>
                    <w:tcBorders>
                      <w:top w:val="outset" w:sz="4" w:space="0" w:color="auto"/>
                      <w:left w:val="outset" w:sz="4" w:space="0" w:color="auto"/>
                      <w:bottom w:val="outset" w:sz="4" w:space="0" w:color="auto"/>
                      <w:right w:val="outset" w:sz="4" w:space="0" w:color="auto"/>
                    </w:tcBorders>
                    <w:vAlign w:val="center"/>
                  </w:tcPr>
                  <w:p w14:paraId="2FB3D627" w14:textId="44D6B864" w:rsidR="006D634A" w:rsidRPr="006D634A" w:rsidRDefault="006D634A" w:rsidP="006D634A">
                    <w:pPr>
                      <w:jc w:val="right"/>
                      <w:rPr>
                        <w:rFonts w:ascii="Times New Roman" w:hAnsi="Times New Roman" w:cs="Times New Roman"/>
                        <w:szCs w:val="21"/>
                      </w:rPr>
                    </w:pPr>
                    <w:r w:rsidRPr="006D634A">
                      <w:rPr>
                        <w:rFonts w:ascii="Times New Roman" w:hAnsi="Times New Roman" w:cs="Times New Roman"/>
                      </w:rPr>
                      <w:t>-</w:t>
                    </w:r>
                  </w:p>
                </w:tc>
              </w:tr>
              <w:tr w:rsidR="00D21C1F" w14:paraId="7C3B3656" w14:textId="77777777">
                <w:sdt>
                  <w:sdtPr>
                    <w:tag w:val="_PLD_28547dbb231643aebb7e2c7f824bc757"/>
                    <w:id w:val="18442179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98ED8BF" w14:textId="77777777" w:rsidR="00D21C1F" w:rsidRDefault="00A42880">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181DE132"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D54EB6B"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-19,905,657.07</w:t>
                    </w:r>
                  </w:p>
                </w:tc>
                <w:tc>
                  <w:tcPr>
                    <w:tcW w:w="1114" w:type="pct"/>
                    <w:tcBorders>
                      <w:top w:val="outset" w:sz="4" w:space="0" w:color="auto"/>
                      <w:left w:val="outset" w:sz="4" w:space="0" w:color="auto"/>
                      <w:bottom w:val="outset" w:sz="4" w:space="0" w:color="auto"/>
                      <w:right w:val="outset" w:sz="4" w:space="0" w:color="auto"/>
                    </w:tcBorders>
                    <w:vAlign w:val="center"/>
                  </w:tcPr>
                  <w:p w14:paraId="4DD840CF"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rPr>
                      <w:t>-26,608,861.01</w:t>
                    </w:r>
                  </w:p>
                </w:tc>
              </w:tr>
              <w:tr w:rsidR="00D21C1F" w14:paraId="6536A15E" w14:textId="77777777">
                <w:sdt>
                  <w:sdtPr>
                    <w:tag w:val="_PLD_302a225367d84b88a766d8daaf22e468"/>
                    <w:id w:val="6307508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6A08C17" w14:textId="77777777" w:rsidR="00D21C1F" w:rsidRDefault="00A42880">
                        <w:pPr>
                          <w:ind w:leftChars="-19" w:hangingChars="19" w:hanging="40"/>
                          <w:rPr>
                            <w:szCs w:val="21"/>
                          </w:rPr>
                        </w:pPr>
                        <w:r>
                          <w:rPr>
                            <w:rFonts w:hint="eastAsia"/>
                            <w:szCs w:val="21"/>
                          </w:rPr>
                          <w:t>七</w:t>
                        </w:r>
                        <w:r>
                          <w:rPr>
                            <w:szCs w:val="21"/>
                          </w:rPr>
                          <w:t>、每股收益：</w:t>
                        </w:r>
                      </w:p>
                    </w:tc>
                  </w:sdtContent>
                </w:sdt>
                <w:tc>
                  <w:tcPr>
                    <w:tcW w:w="838" w:type="pct"/>
                    <w:tcBorders>
                      <w:top w:val="outset" w:sz="4" w:space="0" w:color="auto"/>
                      <w:left w:val="outset" w:sz="4" w:space="0" w:color="auto"/>
                      <w:bottom w:val="outset" w:sz="4" w:space="0" w:color="auto"/>
                      <w:right w:val="outset" w:sz="4" w:space="0" w:color="auto"/>
                    </w:tcBorders>
                  </w:tcPr>
                  <w:p w14:paraId="582AF1CC"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tcPr>
                  <w:p w14:paraId="028AF5BB" w14:textId="77777777" w:rsidR="00D21C1F" w:rsidRPr="006D634A" w:rsidRDefault="00D21C1F">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14:paraId="2801B983" w14:textId="77777777" w:rsidR="00D21C1F" w:rsidRPr="006D634A" w:rsidRDefault="00D21C1F">
                    <w:pPr>
                      <w:jc w:val="right"/>
                      <w:rPr>
                        <w:rFonts w:ascii="Times New Roman" w:hAnsi="Times New Roman" w:cs="Times New Roman"/>
                        <w:szCs w:val="21"/>
                      </w:rPr>
                    </w:pPr>
                  </w:p>
                </w:tc>
              </w:tr>
              <w:tr w:rsidR="00D21C1F" w14:paraId="1C303AD2" w14:textId="77777777">
                <w:sdt>
                  <w:sdtPr>
                    <w:tag w:val="_PLD_02c58dc4adaa4ac0a7ec8d49dda16ebf"/>
                    <w:id w:val="10926688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BD98EA0" w14:textId="77777777" w:rsidR="00D21C1F" w:rsidRDefault="00A42880">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64419D83"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tcPr>
                  <w:p w14:paraId="4444A180"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szCs w:val="21"/>
                      </w:rPr>
                      <w:t>/</w:t>
                    </w:r>
                  </w:p>
                </w:tc>
                <w:tc>
                  <w:tcPr>
                    <w:tcW w:w="1114" w:type="pct"/>
                    <w:tcBorders>
                      <w:top w:val="outset" w:sz="4" w:space="0" w:color="auto"/>
                      <w:left w:val="outset" w:sz="4" w:space="0" w:color="auto"/>
                      <w:bottom w:val="outset" w:sz="4" w:space="0" w:color="auto"/>
                      <w:right w:val="outset" w:sz="4" w:space="0" w:color="auto"/>
                    </w:tcBorders>
                  </w:tcPr>
                  <w:p w14:paraId="17F48F75"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szCs w:val="21"/>
                      </w:rPr>
                      <w:t>/</w:t>
                    </w:r>
                  </w:p>
                </w:tc>
              </w:tr>
              <w:tr w:rsidR="00D21C1F" w14:paraId="32E84EBE" w14:textId="77777777">
                <w:sdt>
                  <w:sdtPr>
                    <w:tag w:val="_PLD_59e8f40ed93e41f8a25596a736bf29e0"/>
                    <w:id w:val="-175943831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14D506D" w14:textId="77777777" w:rsidR="00D21C1F" w:rsidRDefault="00A42880">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0E1319AD" w14:textId="77777777" w:rsidR="00D21C1F" w:rsidRDefault="00D21C1F">
                    <w:pPr>
                      <w:rPr>
                        <w:szCs w:val="21"/>
                      </w:rPr>
                    </w:pPr>
                  </w:p>
                </w:tc>
                <w:tc>
                  <w:tcPr>
                    <w:tcW w:w="1110" w:type="pct"/>
                    <w:tcBorders>
                      <w:top w:val="outset" w:sz="4" w:space="0" w:color="auto"/>
                      <w:left w:val="outset" w:sz="4" w:space="0" w:color="auto"/>
                      <w:bottom w:val="outset" w:sz="4" w:space="0" w:color="auto"/>
                      <w:right w:val="outset" w:sz="4" w:space="0" w:color="auto"/>
                    </w:tcBorders>
                  </w:tcPr>
                  <w:p w14:paraId="0DCCBE8B"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szCs w:val="21"/>
                      </w:rPr>
                      <w:t>/</w:t>
                    </w:r>
                  </w:p>
                </w:tc>
                <w:tc>
                  <w:tcPr>
                    <w:tcW w:w="1114" w:type="pct"/>
                    <w:tcBorders>
                      <w:top w:val="outset" w:sz="4" w:space="0" w:color="auto"/>
                      <w:left w:val="outset" w:sz="4" w:space="0" w:color="auto"/>
                      <w:bottom w:val="outset" w:sz="4" w:space="0" w:color="auto"/>
                      <w:right w:val="outset" w:sz="4" w:space="0" w:color="auto"/>
                    </w:tcBorders>
                  </w:tcPr>
                  <w:p w14:paraId="02B69E6C" w14:textId="77777777" w:rsidR="00D21C1F" w:rsidRPr="006D634A" w:rsidRDefault="00A42880">
                    <w:pPr>
                      <w:jc w:val="right"/>
                      <w:rPr>
                        <w:rFonts w:ascii="Times New Roman" w:hAnsi="Times New Roman" w:cs="Times New Roman"/>
                        <w:szCs w:val="21"/>
                      </w:rPr>
                    </w:pPr>
                    <w:r w:rsidRPr="006D634A">
                      <w:rPr>
                        <w:rFonts w:ascii="Times New Roman" w:hAnsi="Times New Roman" w:cs="Times New Roman"/>
                        <w:szCs w:val="21"/>
                      </w:rPr>
                      <w:t>/</w:t>
                    </w:r>
                  </w:p>
                </w:tc>
              </w:tr>
            </w:tbl>
            <w:p w14:paraId="1521A562" w14:textId="77777777" w:rsidR="00D21C1F" w:rsidRDefault="00D21C1F">
              <w:pPr>
                <w:pStyle w:val="97"/>
              </w:pPr>
            </w:p>
            <w:p w14:paraId="46D264F9" w14:textId="77777777" w:rsidR="00D21C1F" w:rsidRDefault="00A42880">
              <w:pPr>
                <w:snapToGrid w:val="0"/>
                <w:spacing w:line="240" w:lineRule="atLeast"/>
                <w:ind w:rightChars="-73" w:right="-153"/>
                <w:rPr>
                  <w:rFonts w:cs="宋体-方正超大字符集"/>
                  <w:szCs w:val="21"/>
                </w:rPr>
              </w:pPr>
              <w:r>
                <w:rPr>
                  <w:szCs w:val="21"/>
                </w:rPr>
                <w:t>公司负责人</w:t>
              </w:r>
              <w:r>
                <w:rPr>
                  <w:rFonts w:hint="eastAsia"/>
                  <w:szCs w:val="21"/>
                </w:rPr>
                <w:t>：</w:t>
              </w:r>
              <w:sdt>
                <w:sdtPr>
                  <w:rPr>
                    <w:rFonts w:hint="eastAsia"/>
                    <w:szCs w:val="21"/>
                  </w:rPr>
                  <w:alias w:val="公司负责人"/>
                  <w:tag w:val="_GBC_6be9c51ef68a40f0b60486f4414f2413"/>
                  <w:id w:val="1099754899"/>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9766673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848953849"/>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sdtContent>
        </w:sdt>
        <w:p w14:paraId="107887C7" w14:textId="77777777" w:rsidR="00D21C1F" w:rsidRDefault="00045EC6">
          <w:pPr>
            <w:snapToGrid w:val="0"/>
            <w:spacing w:line="240" w:lineRule="atLeast"/>
            <w:ind w:rightChars="-73" w:right="-153"/>
            <w:rPr>
              <w:b/>
              <w:bCs/>
              <w:color w:val="FF0000"/>
              <w:szCs w:val="21"/>
            </w:rPr>
          </w:pPr>
        </w:p>
      </w:sdtContent>
    </w:sdt>
    <w:bookmarkEnd w:id="142"/>
    <w:p w14:paraId="7AFD9AE1" w14:textId="77777777" w:rsidR="00D21C1F" w:rsidRDefault="00D21C1F">
      <w:pPr>
        <w:rPr>
          <w:color w:val="FF0000"/>
          <w:szCs w:val="21"/>
        </w:rPr>
      </w:pPr>
    </w:p>
    <w:p w14:paraId="6E2BB5C7" w14:textId="77777777" w:rsidR="00D21C1F" w:rsidRDefault="00D21C1F">
      <w:pPr>
        <w:rPr>
          <w:color w:val="FF0000"/>
          <w:szCs w:val="21"/>
        </w:rPr>
      </w:pPr>
    </w:p>
    <w:bookmarkStart w:id="143" w:name="_Hlk10211590" w:displacedByCustomXml="next"/>
    <w:sdt>
      <w:sdtPr>
        <w:rPr>
          <w:rFonts w:ascii="宋体" w:eastAsia="宋体" w:hAnsi="宋体" w:cs="宋体" w:hint="eastAsia"/>
          <w:b w:val="0"/>
          <w:bCs w:val="0"/>
          <w:kern w:val="0"/>
          <w:szCs w:val="24"/>
        </w:rPr>
        <w:alias w:val="选项模块:需要编制合并报表"/>
        <w:tag w:val="_GBC_d6533048a32749eaa7738390457b7f24"/>
        <w:id w:val="-2074812353"/>
        <w:lock w:val="sdtLocked"/>
        <w:placeholder>
          <w:docPart w:val="GBC22222222222222222222222222222"/>
        </w:placeholder>
      </w:sdtPr>
      <w:sdtEndPr>
        <w:rPr>
          <w:szCs w:val="21"/>
        </w:rPr>
      </w:sdtEndPr>
      <w:sdtContent>
        <w:sdt>
          <w:sdtPr>
            <w:rPr>
              <w:rFonts w:ascii="宋体" w:eastAsia="宋体" w:hAnsi="宋体" w:cs="宋体" w:hint="eastAsia"/>
              <w:b w:val="0"/>
              <w:bCs w:val="0"/>
              <w:kern w:val="0"/>
              <w:szCs w:val="24"/>
            </w:rPr>
            <w:tag w:val="_GBC_17c43da24c7845d3aa093910aeaf2348"/>
            <w:id w:val="-193540238"/>
            <w:lock w:val="sdtLocked"/>
            <w:placeholder>
              <w:docPart w:val="GBC22222222222222222222222222222"/>
            </w:placeholder>
          </w:sdtPr>
          <w:sdtEndPr>
            <w:rPr>
              <w:szCs w:val="21"/>
            </w:rPr>
          </w:sdtEndPr>
          <w:sdtContent>
            <w:p w14:paraId="1DE97FDE" w14:textId="77777777" w:rsidR="00D21C1F" w:rsidRDefault="00A42880">
              <w:pPr>
                <w:pStyle w:val="94"/>
                <w:jc w:val="center"/>
                <w:rPr>
                  <w:rFonts w:ascii="宋体" w:hAnsi="宋体"/>
                </w:rPr>
              </w:pPr>
              <w:r>
                <w:rPr>
                  <w:rFonts w:ascii="宋体" w:hAnsi="宋体" w:hint="eastAsia"/>
                </w:rPr>
                <w:t>合并</w:t>
              </w:r>
              <w:r>
                <w:rPr>
                  <w:rFonts w:ascii="宋体" w:hAnsi="宋体"/>
                </w:rPr>
                <w:t>现金流量表</w:t>
              </w:r>
            </w:p>
            <w:p w14:paraId="21DB22C5" w14:textId="77777777" w:rsidR="00D21C1F" w:rsidRDefault="00A42880">
              <w:pPr>
                <w:jc w:val="center"/>
                <w:rPr>
                  <w:b/>
                  <w:bCs/>
                  <w:szCs w:val="21"/>
                </w:rPr>
              </w:pPr>
              <w:r>
                <w:rPr>
                  <w:rFonts w:ascii="Times New Roman" w:hAnsi="Times New Roman"/>
                  <w:szCs w:val="21"/>
                </w:rPr>
                <w:t>2021</w:t>
              </w:r>
              <w:r>
                <w:rPr>
                  <w:szCs w:val="21"/>
                </w:rPr>
                <w:t>年</w:t>
              </w:r>
              <w:r>
                <w:rPr>
                  <w:rFonts w:ascii="Times New Roman" w:hAnsi="Times New Roman" w:hint="eastAsia"/>
                  <w:szCs w:val="21"/>
                </w:rPr>
                <w:t>1</w:t>
              </w:r>
              <w:r>
                <w:rPr>
                  <w:rFonts w:hint="eastAsia"/>
                  <w:szCs w:val="21"/>
                </w:rPr>
                <w:t>—</w:t>
              </w:r>
              <w:r>
                <w:rPr>
                  <w:rFonts w:ascii="Times New Roman" w:hAnsi="Times New Roman" w:hint="eastAsia"/>
                  <w:szCs w:val="21"/>
                </w:rPr>
                <w:t>6</w:t>
              </w:r>
              <w:r>
                <w:rPr>
                  <w:szCs w:val="21"/>
                </w:rPr>
                <w:t>月</w:t>
              </w:r>
            </w:p>
            <w:p w14:paraId="6ED19F1A" w14:textId="77777777" w:rsidR="00D21C1F" w:rsidRDefault="00A42880">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3837186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币种</w:t>
              </w:r>
              <w:r>
                <w:rPr>
                  <w:rFonts w:hint="eastAsia"/>
                  <w:szCs w:val="21"/>
                </w:rPr>
                <w:t>：</w:t>
              </w:r>
              <w:sdt>
                <w:sdtPr>
                  <w:rPr>
                    <w:rFonts w:hint="eastAsia"/>
                    <w:szCs w:val="21"/>
                  </w:rPr>
                  <w:alias w:val="币种：合并现金流量表"/>
                  <w:tag w:val="_GBC_5ab1c6e244484b228b8cdc6ee3840fd6"/>
                  <w:id w:val="1310510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4"/>
                <w:gridCol w:w="1528"/>
                <w:gridCol w:w="2119"/>
                <w:gridCol w:w="2112"/>
              </w:tblGrid>
              <w:tr w:rsidR="00AF0309" w14:paraId="587B8D5B" w14:textId="77777777" w:rsidTr="00D07E51">
                <w:sdt>
                  <w:sdtPr>
                    <w:tag w:val="_PLD_2a3b6af3ab824e2db1022630f7a58e18"/>
                    <w:id w:val="-114141483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85B2C84" w14:textId="77777777" w:rsidR="00AF0309" w:rsidRDefault="00AF0309" w:rsidP="00D07E51">
                        <w:pPr>
                          <w:jc w:val="center"/>
                          <w:rPr>
                            <w:b/>
                            <w:bCs/>
                            <w:szCs w:val="21"/>
                          </w:rPr>
                        </w:pPr>
                        <w:r>
                          <w:rPr>
                            <w:b/>
                            <w:szCs w:val="21"/>
                          </w:rPr>
                          <w:t>项目</w:t>
                        </w:r>
                      </w:p>
                    </w:tc>
                  </w:sdtContent>
                </w:sdt>
                <w:sdt>
                  <w:sdtPr>
                    <w:tag w:val="_PLD_49df1a6f5a224085bdcd56671a898d47"/>
                    <w:id w:val="1730408585"/>
                    <w:lock w:val="sdtLocked"/>
                  </w:sdtPr>
                  <w:sdtEndPr/>
                  <w:sdtContent>
                    <w:tc>
                      <w:tcPr>
                        <w:tcW w:w="866" w:type="pct"/>
                        <w:tcBorders>
                          <w:top w:val="outset" w:sz="4" w:space="0" w:color="auto"/>
                          <w:left w:val="outset" w:sz="4" w:space="0" w:color="auto"/>
                          <w:bottom w:val="outset" w:sz="4" w:space="0" w:color="auto"/>
                          <w:right w:val="outset" w:sz="4" w:space="0" w:color="auto"/>
                        </w:tcBorders>
                      </w:tcPr>
                      <w:p w14:paraId="6CC7B159" w14:textId="77777777" w:rsidR="00AF0309" w:rsidRDefault="00AF0309" w:rsidP="00D07E51">
                        <w:pPr>
                          <w:jc w:val="center"/>
                          <w:rPr>
                            <w:b/>
                            <w:szCs w:val="21"/>
                          </w:rPr>
                        </w:pPr>
                        <w:r>
                          <w:rPr>
                            <w:b/>
                            <w:szCs w:val="21"/>
                          </w:rPr>
                          <w:t>附注</w:t>
                        </w:r>
                      </w:p>
                    </w:tc>
                  </w:sdtContent>
                </w:sdt>
                <w:sdt>
                  <w:sdtPr>
                    <w:tag w:val="_PLD_aba5e14092764f689b78fdbe9892bc51"/>
                    <w:id w:val="763507872"/>
                    <w:lock w:val="sdtLocked"/>
                  </w:sdtPr>
                  <w:sdtEndPr/>
                  <w:sdtContent>
                    <w:tc>
                      <w:tcPr>
                        <w:tcW w:w="1201" w:type="pct"/>
                        <w:tcBorders>
                          <w:top w:val="outset" w:sz="4" w:space="0" w:color="auto"/>
                          <w:left w:val="outset" w:sz="4" w:space="0" w:color="auto"/>
                          <w:bottom w:val="outset" w:sz="4" w:space="0" w:color="auto"/>
                          <w:right w:val="outset" w:sz="4" w:space="0" w:color="auto"/>
                        </w:tcBorders>
                      </w:tcPr>
                      <w:p w14:paraId="43EB84AA" w14:textId="77777777" w:rsidR="00AF0309" w:rsidRDefault="00AF0309" w:rsidP="00D07E51">
                        <w:pPr>
                          <w:autoSpaceDE w:val="0"/>
                          <w:autoSpaceDN w:val="0"/>
                          <w:adjustRightInd w:val="0"/>
                          <w:jc w:val="center"/>
                          <w:rPr>
                            <w:b/>
                            <w:szCs w:val="21"/>
                          </w:rPr>
                        </w:pPr>
                        <w:r>
                          <w:rPr>
                            <w:rFonts w:ascii="Times New Roman" w:hAnsi="Times New Roman" w:hint="eastAsia"/>
                            <w:b/>
                            <w:szCs w:val="21"/>
                          </w:rPr>
                          <w:t>2021</w:t>
                        </w:r>
                        <w:r>
                          <w:rPr>
                            <w:rFonts w:hint="eastAsia"/>
                            <w:b/>
                            <w:szCs w:val="21"/>
                          </w:rPr>
                          <w:t>年半年度</w:t>
                        </w:r>
                      </w:p>
                    </w:tc>
                  </w:sdtContent>
                </w:sdt>
                <w:sdt>
                  <w:sdtPr>
                    <w:tag w:val="_PLD_8cac70c6f00c4266a9b8cff482cc71cc"/>
                    <w:id w:val="586655346"/>
                    <w:lock w:val="sdtLocked"/>
                  </w:sdtPr>
                  <w:sdtEndPr/>
                  <w:sdtContent>
                    <w:tc>
                      <w:tcPr>
                        <w:tcW w:w="1197" w:type="pct"/>
                        <w:tcBorders>
                          <w:top w:val="outset" w:sz="4" w:space="0" w:color="auto"/>
                          <w:left w:val="outset" w:sz="4" w:space="0" w:color="auto"/>
                          <w:bottom w:val="outset" w:sz="4" w:space="0" w:color="auto"/>
                          <w:right w:val="outset" w:sz="4" w:space="0" w:color="auto"/>
                        </w:tcBorders>
                      </w:tcPr>
                      <w:p w14:paraId="3D4D45CD" w14:textId="77777777" w:rsidR="00AF0309" w:rsidRDefault="00AF0309" w:rsidP="00D07E51">
                        <w:pPr>
                          <w:autoSpaceDE w:val="0"/>
                          <w:autoSpaceDN w:val="0"/>
                          <w:adjustRightInd w:val="0"/>
                          <w:jc w:val="center"/>
                          <w:rPr>
                            <w:b/>
                            <w:szCs w:val="21"/>
                          </w:rPr>
                        </w:pPr>
                        <w:r>
                          <w:rPr>
                            <w:rFonts w:ascii="Times New Roman" w:hAnsi="Times New Roman" w:hint="eastAsia"/>
                            <w:b/>
                            <w:szCs w:val="21"/>
                          </w:rPr>
                          <w:t>2020</w:t>
                        </w:r>
                        <w:r>
                          <w:rPr>
                            <w:rFonts w:hint="eastAsia"/>
                            <w:b/>
                            <w:szCs w:val="21"/>
                          </w:rPr>
                          <w:t>年半年度</w:t>
                        </w:r>
                      </w:p>
                    </w:tc>
                  </w:sdtContent>
                </w:sdt>
              </w:tr>
              <w:tr w:rsidR="00AF0309" w14:paraId="0716527C" w14:textId="77777777" w:rsidTr="00D07E51">
                <w:sdt>
                  <w:sdtPr>
                    <w:tag w:val="_PLD_ffd119a1ffa641c1a00397806a78ee23"/>
                    <w:id w:val="-78118602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6EACBA1" w14:textId="77777777" w:rsidR="00AF0309" w:rsidRDefault="00AF0309" w:rsidP="00D07E51">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4892A4B9"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tcPr>
                  <w:p w14:paraId="3CC620C1" w14:textId="77777777" w:rsidR="00AF0309" w:rsidRDefault="00AF0309" w:rsidP="00D07E51">
                    <w:pPr>
                      <w:rPr>
                        <w:szCs w:val="21"/>
                      </w:rPr>
                    </w:pPr>
                  </w:p>
                </w:tc>
                <w:tc>
                  <w:tcPr>
                    <w:tcW w:w="1197" w:type="pct"/>
                    <w:tcBorders>
                      <w:top w:val="outset" w:sz="4" w:space="0" w:color="auto"/>
                      <w:left w:val="outset" w:sz="4" w:space="0" w:color="auto"/>
                      <w:bottom w:val="outset" w:sz="4" w:space="0" w:color="auto"/>
                      <w:right w:val="outset" w:sz="4" w:space="0" w:color="auto"/>
                    </w:tcBorders>
                  </w:tcPr>
                  <w:p w14:paraId="17E353E6" w14:textId="77777777" w:rsidR="00AF0309" w:rsidRDefault="00AF0309" w:rsidP="00D07E51">
                    <w:pPr>
                      <w:rPr>
                        <w:szCs w:val="21"/>
                      </w:rPr>
                    </w:pPr>
                  </w:p>
                </w:tc>
              </w:tr>
              <w:tr w:rsidR="00AF0309" w14:paraId="3B5FC1E4" w14:textId="77777777" w:rsidTr="00D07E51">
                <w:sdt>
                  <w:sdtPr>
                    <w:tag w:val="_PLD_3737bef37bc541e2b41571186e0af02f"/>
                    <w:id w:val="1864927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E670DCC" w14:textId="77777777" w:rsidR="00AF0309" w:rsidRDefault="00AF0309" w:rsidP="00D07E51">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52895880"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A14F70B"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587,221,995.17</w:t>
                    </w:r>
                  </w:p>
                </w:tc>
                <w:tc>
                  <w:tcPr>
                    <w:tcW w:w="1197" w:type="pct"/>
                    <w:tcBorders>
                      <w:top w:val="outset" w:sz="4" w:space="0" w:color="auto"/>
                      <w:left w:val="outset" w:sz="4" w:space="0" w:color="auto"/>
                      <w:bottom w:val="outset" w:sz="4" w:space="0" w:color="auto"/>
                      <w:right w:val="outset" w:sz="4" w:space="0" w:color="auto"/>
                    </w:tcBorders>
                    <w:vAlign w:val="center"/>
                  </w:tcPr>
                  <w:p w14:paraId="11566B51"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559,001,061.34</w:t>
                    </w:r>
                  </w:p>
                </w:tc>
              </w:tr>
              <w:tr w:rsidR="00AF0309" w14:paraId="2878D0E4" w14:textId="77777777" w:rsidTr="00D07E51">
                <w:sdt>
                  <w:sdtPr>
                    <w:tag w:val="_PLD_64653926f1d7432aafc100b141947533"/>
                    <w:id w:val="-85858833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39E1BE5" w14:textId="77777777" w:rsidR="00AF0309" w:rsidRDefault="00AF0309" w:rsidP="00D07E51">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14:paraId="43A118C0"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63F618F"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6,313,223.58</w:t>
                    </w:r>
                  </w:p>
                </w:tc>
                <w:tc>
                  <w:tcPr>
                    <w:tcW w:w="1197" w:type="pct"/>
                    <w:tcBorders>
                      <w:top w:val="outset" w:sz="4" w:space="0" w:color="auto"/>
                      <w:left w:val="outset" w:sz="4" w:space="0" w:color="auto"/>
                      <w:bottom w:val="outset" w:sz="4" w:space="0" w:color="auto"/>
                      <w:right w:val="outset" w:sz="4" w:space="0" w:color="auto"/>
                    </w:tcBorders>
                    <w:vAlign w:val="center"/>
                  </w:tcPr>
                  <w:p w14:paraId="188E5C54"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4,426,699.88</w:t>
                    </w:r>
                  </w:p>
                </w:tc>
              </w:tr>
              <w:tr w:rsidR="00AF0309" w14:paraId="32CECCB7" w14:textId="77777777" w:rsidTr="00D07E51">
                <w:sdt>
                  <w:sdtPr>
                    <w:tag w:val="_PLD_a5a847bd8381445cacfacf3bd061b567"/>
                    <w:id w:val="-2646115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DF29485" w14:textId="77777777" w:rsidR="00AF0309" w:rsidRDefault="00AF0309" w:rsidP="00D07E51">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1E38760E" w14:textId="77777777" w:rsidR="00AF0309" w:rsidRDefault="00AF0309" w:rsidP="00D07E51">
                    <w:pPr>
                      <w:rPr>
                        <w:szCs w:val="21"/>
                      </w:rPr>
                    </w:pPr>
                    <w:r>
                      <w:rPr>
                        <w:rFonts w:hint="eastAsia"/>
                        <w:szCs w:val="21"/>
                      </w:rPr>
                      <w:t>七、</w:t>
                    </w:r>
                    <w:r>
                      <w:rPr>
                        <w:rFonts w:ascii="Times New Roman" w:hAnsi="Times New Roman"/>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7715B25A"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53,743,485.57</w:t>
                    </w:r>
                  </w:p>
                </w:tc>
                <w:tc>
                  <w:tcPr>
                    <w:tcW w:w="1197" w:type="pct"/>
                    <w:tcBorders>
                      <w:top w:val="outset" w:sz="4" w:space="0" w:color="auto"/>
                      <w:left w:val="outset" w:sz="4" w:space="0" w:color="auto"/>
                      <w:bottom w:val="outset" w:sz="4" w:space="0" w:color="auto"/>
                      <w:right w:val="outset" w:sz="4" w:space="0" w:color="auto"/>
                    </w:tcBorders>
                    <w:vAlign w:val="center"/>
                  </w:tcPr>
                  <w:p w14:paraId="16681A8A"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63,272,637.44</w:t>
                    </w:r>
                  </w:p>
                </w:tc>
              </w:tr>
              <w:tr w:rsidR="00AF0309" w14:paraId="3584611C" w14:textId="77777777" w:rsidTr="00D07E51">
                <w:sdt>
                  <w:sdtPr>
                    <w:tag w:val="_PLD_99ee67e244574f82a472dc4db883c019"/>
                    <w:id w:val="-19160849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290653E" w14:textId="77777777" w:rsidR="00AF0309" w:rsidRDefault="00AF0309" w:rsidP="00D07E51">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3888D06B"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3B06AFD"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647,278,704.32</w:t>
                    </w:r>
                  </w:p>
                </w:tc>
                <w:tc>
                  <w:tcPr>
                    <w:tcW w:w="1197" w:type="pct"/>
                    <w:tcBorders>
                      <w:top w:val="outset" w:sz="4" w:space="0" w:color="auto"/>
                      <w:left w:val="outset" w:sz="4" w:space="0" w:color="auto"/>
                      <w:bottom w:val="outset" w:sz="4" w:space="0" w:color="auto"/>
                      <w:right w:val="outset" w:sz="4" w:space="0" w:color="auto"/>
                    </w:tcBorders>
                    <w:vAlign w:val="center"/>
                  </w:tcPr>
                  <w:p w14:paraId="52056F1C"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626,700,398.66</w:t>
                    </w:r>
                  </w:p>
                </w:tc>
              </w:tr>
              <w:tr w:rsidR="00AF0309" w14:paraId="60E77029" w14:textId="77777777" w:rsidTr="00D07E51">
                <w:sdt>
                  <w:sdtPr>
                    <w:tag w:val="_PLD_7c898111c7fa4c2db82bbfa4cfade7b1"/>
                    <w:id w:val="-170685660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28E4424" w14:textId="77777777" w:rsidR="00AF0309" w:rsidRDefault="00AF0309" w:rsidP="00D07E51">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6D8F22C"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BCF3457"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488,038,194.42</w:t>
                    </w:r>
                  </w:p>
                </w:tc>
                <w:tc>
                  <w:tcPr>
                    <w:tcW w:w="1197" w:type="pct"/>
                    <w:tcBorders>
                      <w:top w:val="outset" w:sz="4" w:space="0" w:color="auto"/>
                      <w:left w:val="outset" w:sz="4" w:space="0" w:color="auto"/>
                      <w:bottom w:val="outset" w:sz="4" w:space="0" w:color="auto"/>
                      <w:right w:val="outset" w:sz="4" w:space="0" w:color="auto"/>
                    </w:tcBorders>
                    <w:vAlign w:val="center"/>
                  </w:tcPr>
                  <w:p w14:paraId="7717A37A"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368,780,400.16</w:t>
                    </w:r>
                  </w:p>
                </w:tc>
              </w:tr>
              <w:tr w:rsidR="00AF0309" w14:paraId="5BC586FA" w14:textId="77777777" w:rsidTr="00D07E51">
                <w:sdt>
                  <w:sdtPr>
                    <w:tag w:val="_PLD_1706e75cd4ec4004b26be27bc8d7bb92"/>
                    <w:id w:val="-16057224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9C6C404" w14:textId="77777777" w:rsidR="00AF0309" w:rsidRDefault="00AF0309" w:rsidP="00D07E51">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495A8F3D"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236036F"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181,979,732.14</w:t>
                    </w:r>
                  </w:p>
                </w:tc>
                <w:tc>
                  <w:tcPr>
                    <w:tcW w:w="1197" w:type="pct"/>
                    <w:tcBorders>
                      <w:top w:val="outset" w:sz="4" w:space="0" w:color="auto"/>
                      <w:left w:val="outset" w:sz="4" w:space="0" w:color="auto"/>
                      <w:bottom w:val="outset" w:sz="4" w:space="0" w:color="auto"/>
                      <w:right w:val="outset" w:sz="4" w:space="0" w:color="auto"/>
                    </w:tcBorders>
                    <w:vAlign w:val="center"/>
                  </w:tcPr>
                  <w:p w14:paraId="5D2E7EDB"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149,538,482.06</w:t>
                    </w:r>
                  </w:p>
                </w:tc>
              </w:tr>
              <w:tr w:rsidR="00AF0309" w14:paraId="3ECC1D7D" w14:textId="77777777" w:rsidTr="00D07E51">
                <w:sdt>
                  <w:sdtPr>
                    <w:tag w:val="_PLD_afa9119929c34433add5e6feaff13661"/>
                    <w:id w:val="-6472092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3D8027B" w14:textId="77777777" w:rsidR="00AF0309" w:rsidRDefault="00AF0309" w:rsidP="00D07E51">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14:paraId="50E40478"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68C5CFD"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15,688,169.60</w:t>
                    </w:r>
                  </w:p>
                </w:tc>
                <w:tc>
                  <w:tcPr>
                    <w:tcW w:w="1197" w:type="pct"/>
                    <w:tcBorders>
                      <w:top w:val="outset" w:sz="4" w:space="0" w:color="auto"/>
                      <w:left w:val="outset" w:sz="4" w:space="0" w:color="auto"/>
                      <w:bottom w:val="outset" w:sz="4" w:space="0" w:color="auto"/>
                      <w:right w:val="outset" w:sz="4" w:space="0" w:color="auto"/>
                    </w:tcBorders>
                    <w:vAlign w:val="center"/>
                  </w:tcPr>
                  <w:p w14:paraId="61D8373E"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28,740,611.48</w:t>
                    </w:r>
                  </w:p>
                </w:tc>
              </w:tr>
              <w:tr w:rsidR="00AF0309" w14:paraId="4396C197" w14:textId="77777777" w:rsidTr="00D07E51">
                <w:sdt>
                  <w:sdtPr>
                    <w:tag w:val="_PLD_32d29e7e43cb4df78fb5562eda7075c6"/>
                    <w:id w:val="-7151192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79427B1" w14:textId="77777777" w:rsidR="00AF0309" w:rsidRDefault="00AF0309" w:rsidP="00D07E51">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49C37EA0" w14:textId="77777777" w:rsidR="00AF0309" w:rsidRDefault="00AF0309" w:rsidP="00D07E51">
                    <w:pPr>
                      <w:rPr>
                        <w:szCs w:val="21"/>
                      </w:rPr>
                    </w:pPr>
                    <w:r>
                      <w:rPr>
                        <w:rFonts w:hint="eastAsia"/>
                        <w:szCs w:val="21"/>
                      </w:rPr>
                      <w:t>七、</w:t>
                    </w:r>
                    <w:r>
                      <w:rPr>
                        <w:rFonts w:ascii="Times New Roman" w:hAnsi="Times New Roman"/>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6BDDAB58"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77,207,414.23</w:t>
                    </w:r>
                  </w:p>
                </w:tc>
                <w:tc>
                  <w:tcPr>
                    <w:tcW w:w="1197" w:type="pct"/>
                    <w:tcBorders>
                      <w:top w:val="outset" w:sz="4" w:space="0" w:color="auto"/>
                      <w:left w:val="outset" w:sz="4" w:space="0" w:color="auto"/>
                      <w:bottom w:val="outset" w:sz="4" w:space="0" w:color="auto"/>
                      <w:right w:val="outset" w:sz="4" w:space="0" w:color="auto"/>
                    </w:tcBorders>
                    <w:vAlign w:val="center"/>
                  </w:tcPr>
                  <w:p w14:paraId="32034C66"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85,517,576.43</w:t>
                    </w:r>
                  </w:p>
                </w:tc>
              </w:tr>
              <w:tr w:rsidR="00AF0309" w14:paraId="372243B7" w14:textId="77777777" w:rsidTr="00D07E51">
                <w:sdt>
                  <w:sdtPr>
                    <w:tag w:val="_PLD_1898b9e3495c4369a548071a900462f2"/>
                    <w:id w:val="-158490499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98DA436" w14:textId="77777777" w:rsidR="00AF0309" w:rsidRDefault="00AF0309" w:rsidP="00D07E51">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19E163BE"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BC255F"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762,913,510.39</w:t>
                    </w:r>
                  </w:p>
                </w:tc>
                <w:tc>
                  <w:tcPr>
                    <w:tcW w:w="1197" w:type="pct"/>
                    <w:tcBorders>
                      <w:top w:val="outset" w:sz="4" w:space="0" w:color="auto"/>
                      <w:left w:val="outset" w:sz="4" w:space="0" w:color="auto"/>
                      <w:bottom w:val="outset" w:sz="4" w:space="0" w:color="auto"/>
                      <w:right w:val="outset" w:sz="4" w:space="0" w:color="auto"/>
                    </w:tcBorders>
                    <w:vAlign w:val="center"/>
                  </w:tcPr>
                  <w:p w14:paraId="2AF293F1"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632,577,070.13</w:t>
                    </w:r>
                  </w:p>
                </w:tc>
              </w:tr>
              <w:tr w:rsidR="00AF0309" w14:paraId="0341BCE5" w14:textId="77777777" w:rsidTr="00D07E51">
                <w:sdt>
                  <w:sdtPr>
                    <w:tag w:val="_PLD_3668436c46fe4d03bca9e7585b314b78"/>
                    <w:id w:val="-207010296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88CA20A" w14:textId="77777777" w:rsidR="00AF0309" w:rsidRDefault="00AF0309" w:rsidP="00D07E51">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06313C51" w14:textId="77777777" w:rsidR="00AF0309" w:rsidRDefault="00AF0309" w:rsidP="00D07E51">
                    <w:pPr>
                      <w:rPr>
                        <w:szCs w:val="21"/>
                      </w:rPr>
                    </w:pPr>
                    <w:r>
                      <w:rPr>
                        <w:rFonts w:hint="eastAsia"/>
                        <w:szCs w:val="21"/>
                      </w:rPr>
                      <w:t>七、</w:t>
                    </w:r>
                    <w:r>
                      <w:rPr>
                        <w:rFonts w:ascii="Times New Roman" w:hAnsi="Times New Roman" w:hint="eastAsia"/>
                        <w:szCs w:val="21"/>
                      </w:rPr>
                      <w:t>7</w:t>
                    </w:r>
                    <w:r>
                      <w:rPr>
                        <w:rFonts w:ascii="Times New Roman" w:hAnsi="Times New Roman"/>
                        <w:szCs w:val="21"/>
                      </w:rPr>
                      <w:t>9</w:t>
                    </w:r>
                  </w:p>
                </w:tc>
                <w:tc>
                  <w:tcPr>
                    <w:tcW w:w="1201" w:type="pct"/>
                    <w:tcBorders>
                      <w:top w:val="outset" w:sz="4" w:space="0" w:color="auto"/>
                      <w:left w:val="outset" w:sz="4" w:space="0" w:color="auto"/>
                      <w:bottom w:val="outset" w:sz="4" w:space="0" w:color="auto"/>
                      <w:right w:val="outset" w:sz="4" w:space="0" w:color="auto"/>
                    </w:tcBorders>
                    <w:vAlign w:val="center"/>
                  </w:tcPr>
                  <w:p w14:paraId="29E3AB5F"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-115,634,806.07</w:t>
                    </w:r>
                  </w:p>
                </w:tc>
                <w:tc>
                  <w:tcPr>
                    <w:tcW w:w="1197" w:type="pct"/>
                    <w:tcBorders>
                      <w:top w:val="outset" w:sz="4" w:space="0" w:color="auto"/>
                      <w:left w:val="outset" w:sz="4" w:space="0" w:color="auto"/>
                      <w:bottom w:val="outset" w:sz="4" w:space="0" w:color="auto"/>
                      <w:right w:val="outset" w:sz="4" w:space="0" w:color="auto"/>
                    </w:tcBorders>
                    <w:vAlign w:val="center"/>
                  </w:tcPr>
                  <w:p w14:paraId="1E321AFA"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-5,876,671.47</w:t>
                    </w:r>
                  </w:p>
                </w:tc>
              </w:tr>
              <w:tr w:rsidR="00AF0309" w14:paraId="4DF442E9" w14:textId="77777777" w:rsidTr="00D07E51">
                <w:sdt>
                  <w:sdtPr>
                    <w:tag w:val="_PLD_95b1c638e8714129b03173a0758b863f"/>
                    <w:id w:val="-19722738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BF84907" w14:textId="77777777" w:rsidR="00AF0309" w:rsidRDefault="00AF0309" w:rsidP="00D07E51">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4F164EFC" w14:textId="77777777" w:rsidR="00AF0309" w:rsidRDefault="00AF0309" w:rsidP="00D07E51">
                    <w:pPr>
                      <w:rPr>
                        <w:color w:val="008000"/>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5E10849" w14:textId="77777777" w:rsidR="00AF0309" w:rsidRPr="00AF3C98" w:rsidRDefault="00AF0309" w:rsidP="00D07E51">
                    <w:pPr>
                      <w:jc w:val="right"/>
                      <w:rPr>
                        <w:rFonts w:ascii="Times New Roman" w:hAnsi="Times New Roman" w:cs="Times New Roman"/>
                        <w:color w:val="008000"/>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5078E8B" w14:textId="77777777" w:rsidR="00AF0309" w:rsidRPr="00AF3C98" w:rsidRDefault="00AF0309" w:rsidP="00D07E51">
                    <w:pPr>
                      <w:jc w:val="right"/>
                      <w:rPr>
                        <w:rFonts w:ascii="Times New Roman" w:hAnsi="Times New Roman" w:cs="Times New Roman"/>
                        <w:color w:val="008000"/>
                        <w:szCs w:val="21"/>
                      </w:rPr>
                    </w:pPr>
                  </w:p>
                </w:tc>
              </w:tr>
              <w:tr w:rsidR="00AF0309" w14:paraId="538B6966" w14:textId="77777777" w:rsidTr="00D07E51">
                <w:sdt>
                  <w:sdtPr>
                    <w:tag w:val="_PLD_95fbf0328fd24ef59c8541003255b0f4"/>
                    <w:id w:val="-114658113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EB7CB5F" w14:textId="77777777" w:rsidR="00AF0309" w:rsidRDefault="00AF0309" w:rsidP="00D07E51">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5C01D679"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D8DCD6D"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1,006,010,345.39</w:t>
                    </w:r>
                  </w:p>
                </w:tc>
                <w:tc>
                  <w:tcPr>
                    <w:tcW w:w="1197" w:type="pct"/>
                    <w:tcBorders>
                      <w:top w:val="outset" w:sz="4" w:space="0" w:color="auto"/>
                      <w:left w:val="outset" w:sz="4" w:space="0" w:color="auto"/>
                      <w:bottom w:val="outset" w:sz="4" w:space="0" w:color="auto"/>
                      <w:right w:val="outset" w:sz="4" w:space="0" w:color="auto"/>
                    </w:tcBorders>
                    <w:vAlign w:val="center"/>
                  </w:tcPr>
                  <w:p w14:paraId="540EB6E6"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45,709,019.74</w:t>
                    </w:r>
                  </w:p>
                </w:tc>
              </w:tr>
              <w:tr w:rsidR="00AF0309" w14:paraId="56F15911" w14:textId="77777777" w:rsidTr="00D07E51">
                <w:sdt>
                  <w:sdtPr>
                    <w:tag w:val="_PLD_35e4982400d84c73b6fc0f506a5d5376"/>
                    <w:id w:val="15861128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65751B6" w14:textId="77777777" w:rsidR="00AF0309" w:rsidRDefault="00AF0309" w:rsidP="00D07E51">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7EE67CEB"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534059"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27,207,569.51</w:t>
                    </w:r>
                  </w:p>
                </w:tc>
                <w:tc>
                  <w:tcPr>
                    <w:tcW w:w="1197" w:type="pct"/>
                    <w:tcBorders>
                      <w:top w:val="outset" w:sz="4" w:space="0" w:color="auto"/>
                      <w:left w:val="outset" w:sz="4" w:space="0" w:color="auto"/>
                      <w:bottom w:val="outset" w:sz="4" w:space="0" w:color="auto"/>
                      <w:right w:val="outset" w:sz="4" w:space="0" w:color="auto"/>
                    </w:tcBorders>
                    <w:vAlign w:val="center"/>
                  </w:tcPr>
                  <w:p w14:paraId="73D895A2"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814,181.78</w:t>
                    </w:r>
                  </w:p>
                </w:tc>
              </w:tr>
              <w:tr w:rsidR="00AF0309" w14:paraId="6184240B" w14:textId="77777777" w:rsidTr="00D07E51">
                <w:sdt>
                  <w:sdtPr>
                    <w:tag w:val="_PLD_7070e73d5e4b4f3ab454e8266545ce2f"/>
                    <w:id w:val="20754699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3F2CCB4" w14:textId="77777777" w:rsidR="00AF0309" w:rsidRDefault="00AF0309" w:rsidP="00D07E51">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14A3BB9B"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860F535"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3,137,084.03</w:t>
                    </w:r>
                  </w:p>
                </w:tc>
                <w:tc>
                  <w:tcPr>
                    <w:tcW w:w="1197" w:type="pct"/>
                    <w:tcBorders>
                      <w:top w:val="outset" w:sz="4" w:space="0" w:color="auto"/>
                      <w:left w:val="outset" w:sz="4" w:space="0" w:color="auto"/>
                      <w:bottom w:val="outset" w:sz="4" w:space="0" w:color="auto"/>
                      <w:right w:val="outset" w:sz="4" w:space="0" w:color="auto"/>
                    </w:tcBorders>
                    <w:vAlign w:val="center"/>
                  </w:tcPr>
                  <w:p w14:paraId="6AABF287"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939,228.39</w:t>
                    </w:r>
                  </w:p>
                </w:tc>
              </w:tr>
              <w:tr w:rsidR="00AF0309" w14:paraId="1045BA08" w14:textId="77777777" w:rsidTr="00D07E51">
                <w:sdt>
                  <w:sdtPr>
                    <w:tag w:val="_PLD_64f8da16e041496994b857c4c1889283"/>
                    <w:id w:val="70753748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19B9C8C" w14:textId="77777777" w:rsidR="00AF0309" w:rsidRDefault="00AF0309" w:rsidP="00D07E51">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29D19F59"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9DACFCD"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1,036,354,998.93</w:t>
                    </w:r>
                  </w:p>
                </w:tc>
                <w:tc>
                  <w:tcPr>
                    <w:tcW w:w="1197" w:type="pct"/>
                    <w:tcBorders>
                      <w:top w:val="outset" w:sz="4" w:space="0" w:color="auto"/>
                      <w:left w:val="outset" w:sz="4" w:space="0" w:color="auto"/>
                      <w:bottom w:val="outset" w:sz="4" w:space="0" w:color="auto"/>
                      <w:right w:val="outset" w:sz="4" w:space="0" w:color="auto"/>
                    </w:tcBorders>
                    <w:vAlign w:val="center"/>
                  </w:tcPr>
                  <w:p w14:paraId="0A62EDB4"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47,462,429.91</w:t>
                    </w:r>
                  </w:p>
                </w:tc>
              </w:tr>
              <w:tr w:rsidR="00AF0309" w14:paraId="5709E04F" w14:textId="77777777" w:rsidTr="00D07E51">
                <w:sdt>
                  <w:sdtPr>
                    <w:tag w:val="_PLD_8ec533e5ae47447ca845ccd778baf9d2"/>
                    <w:id w:val="25225100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DFE7BC1" w14:textId="77777777" w:rsidR="00AF0309" w:rsidRDefault="00AF0309" w:rsidP="00D07E51">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06DE7375"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F0008E7"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7,120,685.25</w:t>
                    </w:r>
                  </w:p>
                </w:tc>
                <w:tc>
                  <w:tcPr>
                    <w:tcW w:w="1197" w:type="pct"/>
                    <w:tcBorders>
                      <w:top w:val="outset" w:sz="4" w:space="0" w:color="auto"/>
                      <w:left w:val="outset" w:sz="4" w:space="0" w:color="auto"/>
                      <w:bottom w:val="outset" w:sz="4" w:space="0" w:color="auto"/>
                      <w:right w:val="outset" w:sz="4" w:space="0" w:color="auto"/>
                    </w:tcBorders>
                    <w:vAlign w:val="center"/>
                  </w:tcPr>
                  <w:p w14:paraId="5F623EA3"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6,774,040.81</w:t>
                    </w:r>
                  </w:p>
                </w:tc>
              </w:tr>
              <w:tr w:rsidR="00AF0309" w14:paraId="40323DEC" w14:textId="77777777" w:rsidTr="00D07E51">
                <w:sdt>
                  <w:sdtPr>
                    <w:tag w:val="_PLD_6cfa06cfb65e431588ea9f9c8c72d193"/>
                    <w:id w:val="-20045022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0EF2286" w14:textId="77777777" w:rsidR="00AF0309" w:rsidRDefault="00AF0309" w:rsidP="00D07E51">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610C30C4"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BB7B0FC"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772,046,751.62</w:t>
                    </w:r>
                  </w:p>
                </w:tc>
                <w:tc>
                  <w:tcPr>
                    <w:tcW w:w="1197" w:type="pct"/>
                    <w:tcBorders>
                      <w:top w:val="outset" w:sz="4" w:space="0" w:color="auto"/>
                      <w:left w:val="outset" w:sz="4" w:space="0" w:color="auto"/>
                      <w:bottom w:val="outset" w:sz="4" w:space="0" w:color="auto"/>
                      <w:right w:val="outset" w:sz="4" w:space="0" w:color="auto"/>
                    </w:tcBorders>
                    <w:vAlign w:val="center"/>
                  </w:tcPr>
                  <w:p w14:paraId="410D8EF6"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17,083,183.59</w:t>
                    </w:r>
                  </w:p>
                </w:tc>
              </w:tr>
              <w:tr w:rsidR="00AF0309" w14:paraId="13C86D4E" w14:textId="77777777" w:rsidTr="00D07E51">
                <w:sdt>
                  <w:sdtPr>
                    <w:tag w:val="_PLD_00f03153fc624284b3402147ccc07698"/>
                    <w:id w:val="14746437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28EEF58" w14:textId="77777777" w:rsidR="00AF0309" w:rsidRDefault="00AF0309" w:rsidP="00D07E51">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7080F229"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DD6FE04"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779,167,436.87</w:t>
                    </w:r>
                  </w:p>
                </w:tc>
                <w:tc>
                  <w:tcPr>
                    <w:tcW w:w="1197" w:type="pct"/>
                    <w:tcBorders>
                      <w:top w:val="outset" w:sz="4" w:space="0" w:color="auto"/>
                      <w:left w:val="outset" w:sz="4" w:space="0" w:color="auto"/>
                      <w:bottom w:val="outset" w:sz="4" w:space="0" w:color="auto"/>
                      <w:right w:val="outset" w:sz="4" w:space="0" w:color="auto"/>
                    </w:tcBorders>
                    <w:vAlign w:val="center"/>
                  </w:tcPr>
                  <w:p w14:paraId="5BDBA150"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23,857,224.40</w:t>
                    </w:r>
                  </w:p>
                </w:tc>
              </w:tr>
              <w:tr w:rsidR="00AF0309" w14:paraId="58DBDF24" w14:textId="77777777" w:rsidTr="00D07E51">
                <w:sdt>
                  <w:sdtPr>
                    <w:tag w:val="_PLD_42db552946874e118fb4a5282ca23bcb"/>
                    <w:id w:val="-13865595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B160AC0" w14:textId="77777777" w:rsidR="00AF0309" w:rsidRDefault="00AF0309" w:rsidP="00D07E51">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67A7312D"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4168BDA"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257,187,562.06</w:t>
                    </w:r>
                  </w:p>
                </w:tc>
                <w:tc>
                  <w:tcPr>
                    <w:tcW w:w="1197" w:type="pct"/>
                    <w:tcBorders>
                      <w:top w:val="outset" w:sz="4" w:space="0" w:color="auto"/>
                      <w:left w:val="outset" w:sz="4" w:space="0" w:color="auto"/>
                      <w:bottom w:val="outset" w:sz="4" w:space="0" w:color="auto"/>
                      <w:right w:val="outset" w:sz="4" w:space="0" w:color="auto"/>
                    </w:tcBorders>
                    <w:vAlign w:val="center"/>
                  </w:tcPr>
                  <w:p w14:paraId="3FFFF161"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23,605,205.51</w:t>
                    </w:r>
                  </w:p>
                </w:tc>
              </w:tr>
              <w:tr w:rsidR="00AF0309" w14:paraId="7C98D6A9" w14:textId="77777777" w:rsidTr="00D07E51">
                <w:sdt>
                  <w:sdtPr>
                    <w:tag w:val="_PLD_0ebd9a8b5d8e4227a6bc3b0738379ef1"/>
                    <w:id w:val="12988021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60C5E2B" w14:textId="77777777" w:rsidR="00AF0309" w:rsidRDefault="00AF0309" w:rsidP="00D07E51">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14:paraId="2385554A" w14:textId="77777777" w:rsidR="00AF0309" w:rsidRDefault="00AF0309" w:rsidP="00D07E51">
                    <w:pPr>
                      <w:rPr>
                        <w:color w:val="008000"/>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D25BE2A" w14:textId="77777777" w:rsidR="00AF0309" w:rsidRPr="00AF3C98" w:rsidRDefault="00AF0309" w:rsidP="00D07E51">
                    <w:pPr>
                      <w:jc w:val="right"/>
                      <w:rPr>
                        <w:rFonts w:ascii="Times New Roman" w:hAnsi="Times New Roman" w:cs="Times New Roman"/>
                        <w:color w:val="008000"/>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BFD39A2" w14:textId="77777777" w:rsidR="00AF0309" w:rsidRPr="00AF3C98" w:rsidRDefault="00AF0309" w:rsidP="00D07E51">
                    <w:pPr>
                      <w:jc w:val="right"/>
                      <w:rPr>
                        <w:rFonts w:ascii="Times New Roman" w:hAnsi="Times New Roman" w:cs="Times New Roman"/>
                        <w:color w:val="008000"/>
                        <w:szCs w:val="21"/>
                      </w:rPr>
                    </w:pPr>
                  </w:p>
                </w:tc>
              </w:tr>
              <w:tr w:rsidR="00AF0309" w14:paraId="1BD76F90" w14:textId="77777777" w:rsidTr="00D07E51">
                <w:sdt>
                  <w:sdtPr>
                    <w:tag w:val="_PLD_10190b07f720484f9e0102359e7978d3"/>
                    <w:id w:val="23682609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8605061" w14:textId="77777777" w:rsidR="00AF0309" w:rsidRDefault="00AF0309" w:rsidP="00D07E51">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01F8722F"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341197E"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167,598,667.55</w:t>
                    </w:r>
                  </w:p>
                </w:tc>
                <w:tc>
                  <w:tcPr>
                    <w:tcW w:w="1197" w:type="pct"/>
                    <w:tcBorders>
                      <w:top w:val="outset" w:sz="4" w:space="0" w:color="auto"/>
                      <w:left w:val="outset" w:sz="4" w:space="0" w:color="auto"/>
                      <w:bottom w:val="outset" w:sz="4" w:space="0" w:color="auto"/>
                      <w:right w:val="outset" w:sz="4" w:space="0" w:color="auto"/>
                    </w:tcBorders>
                    <w:vAlign w:val="center"/>
                  </w:tcPr>
                  <w:p w14:paraId="637BB4E4"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232,548,218.75</w:t>
                    </w:r>
                  </w:p>
                </w:tc>
              </w:tr>
              <w:tr w:rsidR="00AF0309" w14:paraId="689F7AB4" w14:textId="77777777" w:rsidTr="00D07E51">
                <w:sdt>
                  <w:sdtPr>
                    <w:tag w:val="_PLD_a7831604962849fb93fa8d17ab106c5b"/>
                    <w:id w:val="-14547121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2DFADE5" w14:textId="77777777" w:rsidR="00AF0309" w:rsidRDefault="00AF0309" w:rsidP="00D07E51">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4A1F0814"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385B199"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1,098,420.74</w:t>
                    </w:r>
                  </w:p>
                </w:tc>
                <w:tc>
                  <w:tcPr>
                    <w:tcW w:w="1197" w:type="pct"/>
                    <w:tcBorders>
                      <w:top w:val="outset" w:sz="4" w:space="0" w:color="auto"/>
                      <w:left w:val="outset" w:sz="4" w:space="0" w:color="auto"/>
                      <w:bottom w:val="outset" w:sz="4" w:space="0" w:color="auto"/>
                      <w:right w:val="outset" w:sz="4" w:space="0" w:color="auto"/>
                    </w:tcBorders>
                    <w:vAlign w:val="center"/>
                  </w:tcPr>
                  <w:p w14:paraId="5AFAF540"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w:t>
                    </w:r>
                  </w:p>
                </w:tc>
              </w:tr>
              <w:tr w:rsidR="00AF0309" w14:paraId="3953868A" w14:textId="77777777" w:rsidTr="00D07E51">
                <w:sdt>
                  <w:sdtPr>
                    <w:tag w:val="_PLD_c926a46349eb4b56bdbb2f2f944e8881"/>
                    <w:id w:val="-20034961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9333F28" w14:textId="77777777" w:rsidR="00AF0309" w:rsidRDefault="00AF0309" w:rsidP="00D07E51">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4E0AAD5C"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AA9755F"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168,697,088.29</w:t>
                    </w:r>
                  </w:p>
                </w:tc>
                <w:tc>
                  <w:tcPr>
                    <w:tcW w:w="1197" w:type="pct"/>
                    <w:tcBorders>
                      <w:top w:val="outset" w:sz="4" w:space="0" w:color="auto"/>
                      <w:left w:val="outset" w:sz="4" w:space="0" w:color="auto"/>
                      <w:bottom w:val="outset" w:sz="4" w:space="0" w:color="auto"/>
                      <w:right w:val="outset" w:sz="4" w:space="0" w:color="auto"/>
                    </w:tcBorders>
                    <w:vAlign w:val="center"/>
                  </w:tcPr>
                  <w:p w14:paraId="220873E9"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232,548,218.75</w:t>
                    </w:r>
                  </w:p>
                </w:tc>
              </w:tr>
              <w:tr w:rsidR="00AF0309" w14:paraId="6A0DE6F9" w14:textId="77777777" w:rsidTr="00D07E51">
                <w:sdt>
                  <w:sdtPr>
                    <w:tag w:val="_PLD_7137864a3db342b2affb93d91fc42d1a"/>
                    <w:id w:val="6464823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45D2E41" w14:textId="77777777" w:rsidR="00AF0309" w:rsidRDefault="00AF0309" w:rsidP="00D07E51">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5C45074"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74F27A4"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125,264,553.69</w:t>
                    </w:r>
                  </w:p>
                </w:tc>
                <w:tc>
                  <w:tcPr>
                    <w:tcW w:w="1197" w:type="pct"/>
                    <w:tcBorders>
                      <w:top w:val="outset" w:sz="4" w:space="0" w:color="auto"/>
                      <w:left w:val="outset" w:sz="4" w:space="0" w:color="auto"/>
                      <w:bottom w:val="outset" w:sz="4" w:space="0" w:color="auto"/>
                      <w:right w:val="outset" w:sz="4" w:space="0" w:color="auto"/>
                    </w:tcBorders>
                    <w:vAlign w:val="center"/>
                  </w:tcPr>
                  <w:p w14:paraId="22B08C95"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179,734,103.02</w:t>
                    </w:r>
                  </w:p>
                </w:tc>
              </w:tr>
              <w:tr w:rsidR="00AF0309" w14:paraId="07B1424B" w14:textId="77777777" w:rsidTr="00D07E51">
                <w:sdt>
                  <w:sdtPr>
                    <w:tag w:val="_PLD_32a887dda27749eebf9088b00cfe1966"/>
                    <w:id w:val="7396778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262DD29" w14:textId="77777777" w:rsidR="00AF0309" w:rsidRDefault="00AF0309" w:rsidP="00D07E51">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15CB4DA8"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36EDEC1"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7,678,121.71</w:t>
                    </w:r>
                  </w:p>
                </w:tc>
                <w:tc>
                  <w:tcPr>
                    <w:tcW w:w="1197" w:type="pct"/>
                    <w:tcBorders>
                      <w:top w:val="outset" w:sz="4" w:space="0" w:color="auto"/>
                      <w:left w:val="outset" w:sz="4" w:space="0" w:color="auto"/>
                      <w:bottom w:val="outset" w:sz="4" w:space="0" w:color="auto"/>
                      <w:right w:val="outset" w:sz="4" w:space="0" w:color="auto"/>
                    </w:tcBorders>
                    <w:vAlign w:val="center"/>
                  </w:tcPr>
                  <w:p w14:paraId="3F6458D9"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7,384,128.13</w:t>
                    </w:r>
                  </w:p>
                </w:tc>
              </w:tr>
              <w:tr w:rsidR="00AF0309" w14:paraId="60706BAF" w14:textId="77777777" w:rsidTr="00D07E51">
                <w:sdt>
                  <w:sdtPr>
                    <w:tag w:val="_PLD_0b8d07de199a4a5dbc96c42e4c1ed665"/>
                    <w:id w:val="-3897572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648F955" w14:textId="77777777" w:rsidR="00AF0309" w:rsidRDefault="00AF0309" w:rsidP="00D07E51">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14:paraId="289213A9"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70915D0" w14:textId="6625A2AB"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szCs w:val="21"/>
                      </w:rPr>
                      <w:t>-</w:t>
                    </w:r>
                  </w:p>
                </w:tc>
                <w:tc>
                  <w:tcPr>
                    <w:tcW w:w="1197" w:type="pct"/>
                    <w:tcBorders>
                      <w:top w:val="outset" w:sz="4" w:space="0" w:color="auto"/>
                      <w:left w:val="outset" w:sz="4" w:space="0" w:color="auto"/>
                      <w:bottom w:val="outset" w:sz="4" w:space="0" w:color="auto"/>
                      <w:right w:val="outset" w:sz="4" w:space="0" w:color="auto"/>
                    </w:tcBorders>
                    <w:vAlign w:val="center"/>
                  </w:tcPr>
                  <w:p w14:paraId="029670C2" w14:textId="3A30331D"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szCs w:val="21"/>
                      </w:rPr>
                      <w:t>-</w:t>
                    </w:r>
                  </w:p>
                </w:tc>
              </w:tr>
              <w:tr w:rsidR="00AF0309" w14:paraId="11BAB80A" w14:textId="77777777" w:rsidTr="00D07E51">
                <w:sdt>
                  <w:sdtPr>
                    <w:tag w:val="_PLD_3fb96c1bc59a47a4b30f74aabd8d3bc1"/>
                    <w:id w:val="-208219793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3E01508" w14:textId="77777777" w:rsidR="00AF0309" w:rsidRDefault="00AF0309" w:rsidP="00D07E51">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5693B96F"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3DB5E1"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7,114,602.82</w:t>
                    </w:r>
                  </w:p>
                </w:tc>
                <w:tc>
                  <w:tcPr>
                    <w:tcW w:w="1197" w:type="pct"/>
                    <w:tcBorders>
                      <w:top w:val="outset" w:sz="4" w:space="0" w:color="auto"/>
                      <w:left w:val="outset" w:sz="4" w:space="0" w:color="auto"/>
                      <w:bottom w:val="outset" w:sz="4" w:space="0" w:color="auto"/>
                      <w:right w:val="outset" w:sz="4" w:space="0" w:color="auto"/>
                    </w:tcBorders>
                    <w:vAlign w:val="center"/>
                  </w:tcPr>
                  <w:p w14:paraId="667781C8"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1,805,952.26</w:t>
                    </w:r>
                  </w:p>
                </w:tc>
              </w:tr>
              <w:tr w:rsidR="00AF0309" w14:paraId="24ED7CEA" w14:textId="77777777" w:rsidTr="00D07E51">
                <w:sdt>
                  <w:sdtPr>
                    <w:tag w:val="_PLD_b2e28ae5b48f44edbae325bc7a025b65"/>
                    <w:id w:val="27114241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3331E11" w14:textId="77777777" w:rsidR="00AF0309" w:rsidRDefault="00AF0309" w:rsidP="00D07E51">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1B154220"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9969833"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140,057,278.22</w:t>
                    </w:r>
                  </w:p>
                </w:tc>
                <w:tc>
                  <w:tcPr>
                    <w:tcW w:w="1197" w:type="pct"/>
                    <w:tcBorders>
                      <w:top w:val="outset" w:sz="4" w:space="0" w:color="auto"/>
                      <w:left w:val="outset" w:sz="4" w:space="0" w:color="auto"/>
                      <w:bottom w:val="outset" w:sz="4" w:space="0" w:color="auto"/>
                      <w:right w:val="outset" w:sz="4" w:space="0" w:color="auto"/>
                    </w:tcBorders>
                    <w:vAlign w:val="center"/>
                  </w:tcPr>
                  <w:p w14:paraId="41599672"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188,924,183.41</w:t>
                    </w:r>
                  </w:p>
                </w:tc>
              </w:tr>
              <w:tr w:rsidR="00AF0309" w14:paraId="4813557F" w14:textId="77777777" w:rsidTr="00D07E51">
                <w:sdt>
                  <w:sdtPr>
                    <w:tag w:val="_PLD_dacfeaab1df34490bc35dfb823671d84"/>
                    <w:id w:val="17179310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5DDED42" w14:textId="77777777" w:rsidR="00AF0309" w:rsidRDefault="00AF0309" w:rsidP="00D07E51">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6DE3C50E"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60BA03F"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28,639,810.07</w:t>
                    </w:r>
                  </w:p>
                </w:tc>
                <w:tc>
                  <w:tcPr>
                    <w:tcW w:w="1197" w:type="pct"/>
                    <w:tcBorders>
                      <w:top w:val="outset" w:sz="4" w:space="0" w:color="auto"/>
                      <w:left w:val="outset" w:sz="4" w:space="0" w:color="auto"/>
                      <w:bottom w:val="outset" w:sz="4" w:space="0" w:color="auto"/>
                      <w:right w:val="outset" w:sz="4" w:space="0" w:color="auto"/>
                    </w:tcBorders>
                    <w:vAlign w:val="center"/>
                  </w:tcPr>
                  <w:p w14:paraId="170F7BF6"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43,624,035.34</w:t>
                    </w:r>
                  </w:p>
                </w:tc>
              </w:tr>
              <w:tr w:rsidR="00AF0309" w14:paraId="325517CE" w14:textId="77777777" w:rsidTr="00D07E51">
                <w:sdt>
                  <w:sdtPr>
                    <w:tag w:val="_PLD_88d125642e41419d9843a71dc9472f51"/>
                    <w:id w:val="-85226613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8C3CDC4" w14:textId="77777777" w:rsidR="00AF0309" w:rsidRDefault="00AF0309" w:rsidP="00D07E51">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14:paraId="7AB9AFDE"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09CC56B"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-4,781,560.04</w:t>
                    </w:r>
                  </w:p>
                </w:tc>
                <w:tc>
                  <w:tcPr>
                    <w:tcW w:w="1197" w:type="pct"/>
                    <w:tcBorders>
                      <w:top w:val="outset" w:sz="4" w:space="0" w:color="auto"/>
                      <w:left w:val="outset" w:sz="4" w:space="0" w:color="auto"/>
                      <w:bottom w:val="outset" w:sz="4" w:space="0" w:color="auto"/>
                      <w:right w:val="outset" w:sz="4" w:space="0" w:color="auto"/>
                    </w:tcBorders>
                    <w:vAlign w:val="center"/>
                  </w:tcPr>
                  <w:p w14:paraId="594E77C1"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-4,306,926.30</w:t>
                    </w:r>
                  </w:p>
                </w:tc>
              </w:tr>
              <w:tr w:rsidR="00AF0309" w14:paraId="3E719D3B" w14:textId="77777777" w:rsidTr="00D07E51">
                <w:sdt>
                  <w:sdtPr>
                    <w:tag w:val="_PLD_fd66e1d9937544d090d0b7529065ff9b"/>
                    <w:id w:val="-16242192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57F1ADF" w14:textId="77777777" w:rsidR="00AF0309" w:rsidRDefault="00AF0309" w:rsidP="00D07E51">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14:paraId="7836991A"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19C6E35"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165,411,006.02</w:t>
                    </w:r>
                  </w:p>
                </w:tc>
                <w:tc>
                  <w:tcPr>
                    <w:tcW w:w="1197" w:type="pct"/>
                    <w:tcBorders>
                      <w:top w:val="outset" w:sz="4" w:space="0" w:color="auto"/>
                      <w:left w:val="outset" w:sz="4" w:space="0" w:color="auto"/>
                      <w:bottom w:val="outset" w:sz="4" w:space="0" w:color="auto"/>
                      <w:right w:val="outset" w:sz="4" w:space="0" w:color="auto"/>
                    </w:tcBorders>
                    <w:vAlign w:val="center"/>
                  </w:tcPr>
                  <w:p w14:paraId="493CD985"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57,045,643.08</w:t>
                    </w:r>
                  </w:p>
                </w:tc>
              </w:tr>
              <w:tr w:rsidR="00AF0309" w14:paraId="5D8A15F1" w14:textId="77777777" w:rsidTr="00D07E51">
                <w:sdt>
                  <w:sdtPr>
                    <w:tag w:val="_PLD_c384e472db4a44618443173a520a565b"/>
                    <w:id w:val="112735776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7A9B913" w14:textId="77777777" w:rsidR="00AF0309" w:rsidRDefault="00AF0309" w:rsidP="00D07E51">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352DE32C"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C70DD96"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284,385,755.53</w:t>
                    </w:r>
                  </w:p>
                </w:tc>
                <w:tc>
                  <w:tcPr>
                    <w:tcW w:w="1197" w:type="pct"/>
                    <w:tcBorders>
                      <w:top w:val="outset" w:sz="4" w:space="0" w:color="auto"/>
                      <w:left w:val="outset" w:sz="4" w:space="0" w:color="auto"/>
                      <w:bottom w:val="outset" w:sz="4" w:space="0" w:color="auto"/>
                      <w:right w:val="outset" w:sz="4" w:space="0" w:color="auto"/>
                    </w:tcBorders>
                    <w:vAlign w:val="center"/>
                  </w:tcPr>
                  <w:p w14:paraId="50F18BB9"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184,566,768.06</w:t>
                    </w:r>
                  </w:p>
                </w:tc>
              </w:tr>
              <w:tr w:rsidR="00AF0309" w14:paraId="605D113F" w14:textId="77777777" w:rsidTr="00D07E51">
                <w:sdt>
                  <w:sdtPr>
                    <w:tag w:val="_PLD_bb83b8f9db734a7cb83175f4e64ae363"/>
                    <w:id w:val="-138455597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578A14F" w14:textId="77777777" w:rsidR="00AF0309" w:rsidRDefault="00AF0309" w:rsidP="00D07E51">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4FD1169C" w14:textId="77777777" w:rsidR="00AF0309" w:rsidRDefault="00AF0309" w:rsidP="00D07E5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35D4061"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449,796,761.55</w:t>
                    </w:r>
                  </w:p>
                </w:tc>
                <w:tc>
                  <w:tcPr>
                    <w:tcW w:w="1197" w:type="pct"/>
                    <w:tcBorders>
                      <w:top w:val="outset" w:sz="4" w:space="0" w:color="auto"/>
                      <w:left w:val="outset" w:sz="4" w:space="0" w:color="auto"/>
                      <w:bottom w:val="outset" w:sz="4" w:space="0" w:color="auto"/>
                      <w:right w:val="outset" w:sz="4" w:space="0" w:color="auto"/>
                    </w:tcBorders>
                    <w:vAlign w:val="center"/>
                  </w:tcPr>
                  <w:p w14:paraId="4B7B9DAF" w14:textId="77777777" w:rsidR="00AF0309" w:rsidRPr="00AF3C98" w:rsidRDefault="00AF0309" w:rsidP="00D07E51">
                    <w:pPr>
                      <w:jc w:val="right"/>
                      <w:rPr>
                        <w:rFonts w:ascii="Times New Roman" w:hAnsi="Times New Roman" w:cs="Times New Roman"/>
                        <w:szCs w:val="21"/>
                      </w:rPr>
                    </w:pPr>
                    <w:r w:rsidRPr="00AF3C98">
                      <w:rPr>
                        <w:rFonts w:ascii="Times New Roman" w:hAnsi="Times New Roman" w:cs="Times New Roman"/>
                      </w:rPr>
                      <w:t>241,612,411.14</w:t>
                    </w:r>
                  </w:p>
                </w:tc>
              </w:tr>
            </w:tbl>
            <w:p w14:paraId="7C336BA3" w14:textId="77777777" w:rsidR="00D21C1F" w:rsidRDefault="00A42880">
              <w:pPr>
                <w:snapToGrid w:val="0"/>
                <w:spacing w:line="240" w:lineRule="atLeast"/>
                <w:ind w:rightChars="12" w:right="25"/>
                <w:rPr>
                  <w:b/>
                  <w:bCs/>
                  <w:color w:val="FF0000"/>
                  <w:szCs w:val="21"/>
                </w:rPr>
              </w:pPr>
              <w:r>
                <w:rPr>
                  <w:szCs w:val="21"/>
                </w:rPr>
                <w:t>公司负责人</w:t>
              </w:r>
              <w:r>
                <w:rPr>
                  <w:rFonts w:hint="eastAsia"/>
                  <w:szCs w:val="21"/>
                </w:rPr>
                <w:t>：</w:t>
              </w:r>
              <w:sdt>
                <w:sdtPr>
                  <w:rPr>
                    <w:rFonts w:hint="eastAsia"/>
                    <w:szCs w:val="21"/>
                  </w:rPr>
                  <w:alias w:val="公司负责人"/>
                  <w:tag w:val="_GBC_d1f7cb193ab444ff8482a06aad12f0db"/>
                  <w:id w:val="848915632"/>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18374560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01179465"/>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sdtContent>
        </w:sdt>
        <w:p w14:paraId="5BB545BF" w14:textId="77777777" w:rsidR="00D21C1F" w:rsidRDefault="00D21C1F">
          <w:pPr>
            <w:rPr>
              <w:szCs w:val="21"/>
            </w:rPr>
          </w:pPr>
        </w:p>
        <w:p w14:paraId="5441A234" w14:textId="77777777" w:rsidR="00D21C1F" w:rsidRDefault="00D21C1F">
          <w:pPr>
            <w:jc w:val="center"/>
            <w:rPr>
              <w:b/>
              <w:bCs/>
              <w:szCs w:val="21"/>
            </w:rPr>
          </w:pPr>
        </w:p>
        <w:sdt>
          <w:sdtPr>
            <w:rPr>
              <w:rFonts w:ascii="宋体" w:eastAsia="宋体" w:hAnsi="宋体" w:cs="宋体" w:hint="eastAsia"/>
              <w:b w:val="0"/>
              <w:bCs w:val="0"/>
              <w:kern w:val="0"/>
              <w:szCs w:val="24"/>
            </w:rPr>
            <w:tag w:val="_GBC_fa07832b39b14b348ba105d6cedbd7b8"/>
            <w:id w:val="2044394540"/>
            <w:lock w:val="sdtLocked"/>
            <w:placeholder>
              <w:docPart w:val="GBC22222222222222222222222222222"/>
            </w:placeholder>
          </w:sdtPr>
          <w:sdtEndPr>
            <w:rPr>
              <w:szCs w:val="21"/>
            </w:rPr>
          </w:sdtEndPr>
          <w:sdtContent>
            <w:p w14:paraId="74F87B5B" w14:textId="77777777" w:rsidR="00D21C1F" w:rsidRDefault="00A42880">
              <w:pPr>
                <w:pStyle w:val="94"/>
                <w:jc w:val="center"/>
                <w:rPr>
                  <w:rFonts w:ascii="宋体" w:hAnsi="宋体"/>
                </w:rPr>
              </w:pPr>
              <w:r>
                <w:rPr>
                  <w:rFonts w:ascii="宋体" w:hAnsi="宋体" w:hint="eastAsia"/>
                </w:rPr>
                <w:t>母公司</w:t>
              </w:r>
              <w:r>
                <w:rPr>
                  <w:rFonts w:ascii="宋体" w:hAnsi="宋体"/>
                </w:rPr>
                <w:t>现金流量表</w:t>
              </w:r>
            </w:p>
            <w:p w14:paraId="7BA1436C" w14:textId="77777777" w:rsidR="00D21C1F" w:rsidRDefault="00A42880">
              <w:pPr>
                <w:jc w:val="center"/>
                <w:rPr>
                  <w:b/>
                  <w:bCs/>
                  <w:szCs w:val="21"/>
                </w:rPr>
              </w:pPr>
              <w:r>
                <w:rPr>
                  <w:rFonts w:ascii="Times New Roman" w:hAnsi="Times New Roman"/>
                  <w:szCs w:val="21"/>
                </w:rPr>
                <w:t>2021</w:t>
              </w:r>
              <w:r>
                <w:rPr>
                  <w:szCs w:val="21"/>
                </w:rPr>
                <w:t>年</w:t>
              </w:r>
              <w:r>
                <w:rPr>
                  <w:rFonts w:ascii="Times New Roman" w:hAnsi="Times New Roman" w:hint="eastAsia"/>
                  <w:szCs w:val="21"/>
                </w:rPr>
                <w:t>1</w:t>
              </w:r>
              <w:r>
                <w:rPr>
                  <w:rFonts w:hint="eastAsia"/>
                  <w:szCs w:val="21"/>
                </w:rPr>
                <w:t>—</w:t>
              </w:r>
              <w:r>
                <w:rPr>
                  <w:rFonts w:ascii="Times New Roman" w:hAnsi="Times New Roman" w:hint="eastAsia"/>
                  <w:szCs w:val="21"/>
                </w:rPr>
                <w:t>6</w:t>
              </w:r>
              <w:r>
                <w:rPr>
                  <w:szCs w:val="21"/>
                </w:rPr>
                <w:t>月</w:t>
              </w:r>
            </w:p>
            <w:p w14:paraId="74A47FB1" w14:textId="77777777" w:rsidR="00D21C1F" w:rsidRDefault="00A42880">
              <w:pPr>
                <w:jc w:val="right"/>
                <w:rPr>
                  <w:szCs w:val="21"/>
                </w:rPr>
              </w:pPr>
              <w:r>
                <w:rPr>
                  <w:szCs w:val="21"/>
                </w:rPr>
                <w:t>单位:</w:t>
              </w:r>
              <w:sdt>
                <w:sdtPr>
                  <w:rPr>
                    <w:szCs w:val="21"/>
                  </w:rPr>
                  <w:alias w:val="单位：母公司现金流量表"/>
                  <w:tag w:val="_GBC_993ead81b27a41dfaccaacfaec8b7c78"/>
                  <w:id w:val="-1331519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母公司现金流量表"/>
                  <w:tag w:val="_GBC_2dd4b706d0a244a4b4c21166025356cc"/>
                  <w:id w:val="-959185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91"/>
                <w:gridCol w:w="1756"/>
                <w:gridCol w:w="2043"/>
                <w:gridCol w:w="2033"/>
              </w:tblGrid>
              <w:tr w:rsidR="00D21C1F" w14:paraId="12804CC3" w14:textId="77777777">
                <w:sdt>
                  <w:sdtPr>
                    <w:tag w:val="_PLD_20ae0904ed714106892a5beddfe5846a"/>
                    <w:id w:val="-85726706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5C39412" w14:textId="77777777" w:rsidR="00D21C1F" w:rsidRDefault="00A42880">
                        <w:pPr>
                          <w:jc w:val="center"/>
                          <w:rPr>
                            <w:b/>
                            <w:bCs/>
                            <w:szCs w:val="21"/>
                          </w:rPr>
                        </w:pPr>
                        <w:r>
                          <w:rPr>
                            <w:b/>
                            <w:bCs/>
                            <w:szCs w:val="21"/>
                          </w:rPr>
                          <w:t>项目</w:t>
                        </w:r>
                      </w:p>
                    </w:tc>
                  </w:sdtContent>
                </w:sdt>
                <w:sdt>
                  <w:sdtPr>
                    <w:tag w:val="_PLD_9cb87427e0de42d2b7e58a286ff58290"/>
                    <w:id w:val="1514957480"/>
                    <w:lock w:val="sdtLocked"/>
                  </w:sdtPr>
                  <w:sdtEndPr/>
                  <w:sdtContent>
                    <w:tc>
                      <w:tcPr>
                        <w:tcW w:w="995" w:type="pct"/>
                        <w:tcBorders>
                          <w:top w:val="outset" w:sz="4" w:space="0" w:color="auto"/>
                          <w:left w:val="outset" w:sz="4" w:space="0" w:color="auto"/>
                          <w:bottom w:val="outset" w:sz="4" w:space="0" w:color="auto"/>
                          <w:right w:val="outset" w:sz="4" w:space="0" w:color="auto"/>
                        </w:tcBorders>
                      </w:tcPr>
                      <w:p w14:paraId="1B14709A" w14:textId="77777777" w:rsidR="00D21C1F" w:rsidRDefault="00A42880">
                        <w:pPr>
                          <w:autoSpaceDE w:val="0"/>
                          <w:autoSpaceDN w:val="0"/>
                          <w:adjustRightInd w:val="0"/>
                          <w:jc w:val="center"/>
                          <w:rPr>
                            <w:b/>
                            <w:szCs w:val="21"/>
                          </w:rPr>
                        </w:pPr>
                        <w:r>
                          <w:rPr>
                            <w:b/>
                            <w:szCs w:val="21"/>
                          </w:rPr>
                          <w:t>附注</w:t>
                        </w:r>
                      </w:p>
                    </w:tc>
                  </w:sdtContent>
                </w:sdt>
                <w:sdt>
                  <w:sdtPr>
                    <w:tag w:val="_PLD_514bbce28b6040e393e59c5ec50c3820"/>
                    <w:id w:val="-2208943"/>
                    <w:lock w:val="sdtLocked"/>
                  </w:sdtPr>
                  <w:sdtEndPr/>
                  <w:sdtContent>
                    <w:tc>
                      <w:tcPr>
                        <w:tcW w:w="1158" w:type="pct"/>
                        <w:tcBorders>
                          <w:top w:val="outset" w:sz="4" w:space="0" w:color="auto"/>
                          <w:left w:val="outset" w:sz="4" w:space="0" w:color="auto"/>
                          <w:bottom w:val="outset" w:sz="4" w:space="0" w:color="auto"/>
                          <w:right w:val="outset" w:sz="4" w:space="0" w:color="auto"/>
                        </w:tcBorders>
                      </w:tcPr>
                      <w:p w14:paraId="7A30734C" w14:textId="77777777" w:rsidR="00D21C1F" w:rsidRDefault="00A42880">
                        <w:pPr>
                          <w:autoSpaceDE w:val="0"/>
                          <w:autoSpaceDN w:val="0"/>
                          <w:adjustRightInd w:val="0"/>
                          <w:jc w:val="center"/>
                          <w:rPr>
                            <w:b/>
                            <w:szCs w:val="21"/>
                          </w:rPr>
                        </w:pPr>
                        <w:r>
                          <w:rPr>
                            <w:rFonts w:ascii="Times New Roman" w:hAnsi="Times New Roman" w:hint="eastAsia"/>
                            <w:b/>
                            <w:szCs w:val="21"/>
                          </w:rPr>
                          <w:t>2021</w:t>
                        </w:r>
                        <w:r>
                          <w:rPr>
                            <w:rFonts w:hint="eastAsia"/>
                            <w:b/>
                            <w:szCs w:val="21"/>
                          </w:rPr>
                          <w:t>年半年度</w:t>
                        </w:r>
                      </w:p>
                    </w:tc>
                  </w:sdtContent>
                </w:sdt>
                <w:sdt>
                  <w:sdtPr>
                    <w:tag w:val="_PLD_de39c3f730c74ecca3c9a890bc08a2c1"/>
                    <w:id w:val="-954944017"/>
                    <w:lock w:val="sdtLocked"/>
                  </w:sdtPr>
                  <w:sdtEndPr/>
                  <w:sdtContent>
                    <w:tc>
                      <w:tcPr>
                        <w:tcW w:w="1152" w:type="pct"/>
                        <w:tcBorders>
                          <w:top w:val="outset" w:sz="4" w:space="0" w:color="auto"/>
                          <w:left w:val="outset" w:sz="4" w:space="0" w:color="auto"/>
                          <w:bottom w:val="outset" w:sz="4" w:space="0" w:color="auto"/>
                          <w:right w:val="outset" w:sz="4" w:space="0" w:color="auto"/>
                        </w:tcBorders>
                      </w:tcPr>
                      <w:p w14:paraId="2FC42305" w14:textId="77777777" w:rsidR="00D21C1F" w:rsidRDefault="00A42880">
                        <w:pPr>
                          <w:autoSpaceDE w:val="0"/>
                          <w:autoSpaceDN w:val="0"/>
                          <w:adjustRightInd w:val="0"/>
                          <w:jc w:val="center"/>
                          <w:rPr>
                            <w:b/>
                            <w:szCs w:val="21"/>
                          </w:rPr>
                        </w:pPr>
                        <w:r>
                          <w:rPr>
                            <w:rFonts w:ascii="Times New Roman" w:hAnsi="Times New Roman" w:hint="eastAsia"/>
                            <w:b/>
                            <w:szCs w:val="21"/>
                          </w:rPr>
                          <w:t>2020</w:t>
                        </w:r>
                        <w:r>
                          <w:rPr>
                            <w:rFonts w:hint="eastAsia"/>
                            <w:b/>
                            <w:szCs w:val="21"/>
                          </w:rPr>
                          <w:t>年半年度</w:t>
                        </w:r>
                      </w:p>
                    </w:tc>
                  </w:sdtContent>
                </w:sdt>
              </w:tr>
              <w:tr w:rsidR="00D21C1F" w14:paraId="7ECC6966" w14:textId="77777777">
                <w:sdt>
                  <w:sdtPr>
                    <w:tag w:val="_PLD_575fd724a7cb4261a6c80660162ce2fb"/>
                    <w:id w:val="-21389493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5F0D956D" w14:textId="77777777" w:rsidR="00D21C1F" w:rsidRDefault="00A42880">
                        <w:pPr>
                          <w:rPr>
                            <w:color w:val="000000"/>
                            <w:szCs w:val="21"/>
                          </w:rPr>
                        </w:pPr>
                        <w:r>
                          <w:rPr>
                            <w:rFonts w:hint="eastAsia"/>
                            <w:b/>
                            <w:bCs/>
                            <w:szCs w:val="21"/>
                          </w:rPr>
                          <w:t>一、经营活动产生的现金流量：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14:paraId="272A6678"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tcPr>
                  <w:p w14:paraId="20A9C457" w14:textId="77777777" w:rsidR="00D21C1F" w:rsidRDefault="00D21C1F">
                    <w:pPr>
                      <w:rPr>
                        <w:szCs w:val="21"/>
                      </w:rPr>
                    </w:pPr>
                  </w:p>
                </w:tc>
                <w:tc>
                  <w:tcPr>
                    <w:tcW w:w="1152" w:type="pct"/>
                    <w:tcBorders>
                      <w:top w:val="outset" w:sz="4" w:space="0" w:color="auto"/>
                      <w:left w:val="outset" w:sz="4" w:space="0" w:color="auto"/>
                      <w:bottom w:val="outset" w:sz="4" w:space="0" w:color="auto"/>
                      <w:right w:val="outset" w:sz="4" w:space="0" w:color="auto"/>
                    </w:tcBorders>
                  </w:tcPr>
                  <w:p w14:paraId="2BDE00AB" w14:textId="77777777" w:rsidR="00D21C1F" w:rsidRDefault="00D21C1F">
                    <w:pPr>
                      <w:rPr>
                        <w:szCs w:val="21"/>
                      </w:rPr>
                    </w:pPr>
                  </w:p>
                </w:tc>
              </w:tr>
              <w:tr w:rsidR="00D21C1F" w14:paraId="4BE76BCB" w14:textId="77777777">
                <w:sdt>
                  <w:sdtPr>
                    <w:tag w:val="_PLD_82863635c2aa4636ad77b92e44fbd77d"/>
                    <w:id w:val="13831213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02F460A0" w14:textId="77777777" w:rsidR="00D21C1F" w:rsidRDefault="00A42880">
                        <w:pPr>
                          <w:ind w:firstLineChars="100" w:firstLine="210"/>
                          <w:rPr>
                            <w:color w:val="000000"/>
                            <w:szCs w:val="21"/>
                          </w:rPr>
                        </w:pPr>
                        <w:r>
                          <w:rPr>
                            <w:rFonts w:hint="eastAsia"/>
                            <w:szCs w:val="21"/>
                          </w:rPr>
                          <w:t>销售商品、提供劳务收到的现金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742B8342"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4577077"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164,449,702.75</w:t>
                    </w:r>
                  </w:p>
                </w:tc>
                <w:tc>
                  <w:tcPr>
                    <w:tcW w:w="1152" w:type="pct"/>
                    <w:tcBorders>
                      <w:top w:val="outset" w:sz="4" w:space="0" w:color="auto"/>
                      <w:left w:val="outset" w:sz="4" w:space="0" w:color="auto"/>
                      <w:bottom w:val="outset" w:sz="4" w:space="0" w:color="auto"/>
                      <w:right w:val="outset" w:sz="4" w:space="0" w:color="auto"/>
                    </w:tcBorders>
                    <w:vAlign w:val="center"/>
                  </w:tcPr>
                  <w:p w14:paraId="69826EF4"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122,734,958.60</w:t>
                    </w:r>
                  </w:p>
                </w:tc>
              </w:tr>
              <w:tr w:rsidR="00D21C1F" w14:paraId="105611C0" w14:textId="77777777">
                <w:sdt>
                  <w:sdtPr>
                    <w:tag w:val="_PLD_6f6ba49a98924345bef562f06bfcb294"/>
                    <w:id w:val="50023251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081F2CD5" w14:textId="77777777" w:rsidR="00D21C1F" w:rsidRDefault="00A42880">
                        <w:pPr>
                          <w:ind w:firstLineChars="100" w:firstLine="210"/>
                          <w:rPr>
                            <w:color w:val="000000"/>
                            <w:szCs w:val="21"/>
                          </w:rPr>
                        </w:pPr>
                        <w:r>
                          <w:rPr>
                            <w:rFonts w:hint="eastAsia"/>
                            <w:szCs w:val="21"/>
                          </w:rPr>
                          <w:t>收到的税费返还</w:t>
                        </w:r>
                      </w:p>
                    </w:tc>
                  </w:sdtContent>
                </w:sdt>
                <w:tc>
                  <w:tcPr>
                    <w:tcW w:w="995" w:type="pct"/>
                    <w:tcBorders>
                      <w:top w:val="outset" w:sz="4" w:space="0" w:color="auto"/>
                      <w:left w:val="outset" w:sz="4" w:space="0" w:color="auto"/>
                      <w:bottom w:val="outset" w:sz="4" w:space="0" w:color="auto"/>
                      <w:right w:val="outset" w:sz="4" w:space="0" w:color="auto"/>
                    </w:tcBorders>
                  </w:tcPr>
                  <w:p w14:paraId="2F0791F1"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5076849F"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863,666.84</w:t>
                    </w:r>
                  </w:p>
                </w:tc>
                <w:tc>
                  <w:tcPr>
                    <w:tcW w:w="1152" w:type="pct"/>
                    <w:tcBorders>
                      <w:top w:val="outset" w:sz="4" w:space="0" w:color="auto"/>
                      <w:left w:val="outset" w:sz="4" w:space="0" w:color="auto"/>
                      <w:bottom w:val="outset" w:sz="4" w:space="0" w:color="auto"/>
                      <w:right w:val="outset" w:sz="4" w:space="0" w:color="auto"/>
                    </w:tcBorders>
                    <w:vAlign w:val="center"/>
                  </w:tcPr>
                  <w:p w14:paraId="6DCA98D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1,182,033.79</w:t>
                    </w:r>
                  </w:p>
                </w:tc>
              </w:tr>
              <w:tr w:rsidR="00D21C1F" w14:paraId="7B10F594" w14:textId="77777777">
                <w:sdt>
                  <w:sdtPr>
                    <w:tag w:val="_PLD_06639b4a021d45c5a9c028b0a988399d"/>
                    <w:id w:val="-188192121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50F3BBA8" w14:textId="77777777" w:rsidR="00D21C1F" w:rsidRDefault="00A42880">
                        <w:pPr>
                          <w:ind w:firstLineChars="100" w:firstLine="210"/>
                          <w:rPr>
                            <w:color w:val="000000"/>
                            <w:szCs w:val="21"/>
                          </w:rPr>
                        </w:pPr>
                        <w:r>
                          <w:rPr>
                            <w:rFonts w:hint="eastAsia"/>
                            <w:szCs w:val="21"/>
                          </w:rPr>
                          <w:t>收到其他与经营活动有关的现金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3172EBC2"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0CB2F2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105,277,524.47</w:t>
                    </w:r>
                  </w:p>
                </w:tc>
                <w:tc>
                  <w:tcPr>
                    <w:tcW w:w="1152" w:type="pct"/>
                    <w:tcBorders>
                      <w:top w:val="outset" w:sz="4" w:space="0" w:color="auto"/>
                      <w:left w:val="outset" w:sz="4" w:space="0" w:color="auto"/>
                      <w:bottom w:val="outset" w:sz="4" w:space="0" w:color="auto"/>
                      <w:right w:val="outset" w:sz="4" w:space="0" w:color="auto"/>
                    </w:tcBorders>
                    <w:vAlign w:val="center"/>
                  </w:tcPr>
                  <w:p w14:paraId="2DDC64BA"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116,116,437.68</w:t>
                    </w:r>
                  </w:p>
                </w:tc>
              </w:tr>
              <w:tr w:rsidR="00D21C1F" w14:paraId="29555F0A" w14:textId="77777777">
                <w:sdt>
                  <w:sdtPr>
                    <w:tag w:val="_PLD_64de81055bc940a3b2e810f08ea30cd0"/>
                    <w:id w:val="-85866720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54AA2FF1" w14:textId="77777777" w:rsidR="00D21C1F" w:rsidRDefault="00A42880">
                        <w:pPr>
                          <w:ind w:firstLineChars="200" w:firstLine="420"/>
                          <w:rPr>
                            <w:color w:val="000000"/>
                            <w:szCs w:val="21"/>
                          </w:rPr>
                        </w:pPr>
                        <w:r>
                          <w:rPr>
                            <w:rFonts w:hint="eastAsia"/>
                            <w:szCs w:val="21"/>
                          </w:rPr>
                          <w:t>经营活动现金流入小计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14:paraId="1FFE1016"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70BBE62B"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270,590,894.06</w:t>
                    </w:r>
                  </w:p>
                </w:tc>
                <w:tc>
                  <w:tcPr>
                    <w:tcW w:w="1152" w:type="pct"/>
                    <w:tcBorders>
                      <w:top w:val="outset" w:sz="4" w:space="0" w:color="auto"/>
                      <w:left w:val="outset" w:sz="4" w:space="0" w:color="auto"/>
                      <w:bottom w:val="outset" w:sz="4" w:space="0" w:color="auto"/>
                      <w:right w:val="outset" w:sz="4" w:space="0" w:color="auto"/>
                    </w:tcBorders>
                    <w:vAlign w:val="center"/>
                  </w:tcPr>
                  <w:p w14:paraId="7379F914"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240,033,430.07</w:t>
                    </w:r>
                  </w:p>
                </w:tc>
              </w:tr>
              <w:tr w:rsidR="00D21C1F" w14:paraId="28F5E019" w14:textId="77777777">
                <w:sdt>
                  <w:sdtPr>
                    <w:tag w:val="_PLD_9225a8e3c0d04e74be5259e8c6d2c503"/>
                    <w:id w:val="-83992574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4B2BD654" w14:textId="77777777" w:rsidR="00D21C1F" w:rsidRDefault="00A42880">
                        <w:pPr>
                          <w:ind w:firstLineChars="100" w:firstLine="210"/>
                          <w:rPr>
                            <w:szCs w:val="21"/>
                          </w:rPr>
                        </w:pPr>
                        <w:r>
                          <w:rPr>
                            <w:rFonts w:hint="eastAsia"/>
                            <w:szCs w:val="21"/>
                          </w:rPr>
                          <w:t>购买商品、接受劳务支付的现金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6BCA2A3B"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5C311D8"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263,793,467.94</w:t>
                    </w:r>
                  </w:p>
                </w:tc>
                <w:tc>
                  <w:tcPr>
                    <w:tcW w:w="1152" w:type="pct"/>
                    <w:tcBorders>
                      <w:top w:val="outset" w:sz="4" w:space="0" w:color="auto"/>
                      <w:left w:val="outset" w:sz="4" w:space="0" w:color="auto"/>
                      <w:bottom w:val="outset" w:sz="4" w:space="0" w:color="auto"/>
                      <w:right w:val="outset" w:sz="4" w:space="0" w:color="auto"/>
                    </w:tcBorders>
                    <w:vAlign w:val="center"/>
                  </w:tcPr>
                  <w:p w14:paraId="67906169"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149,559,076.06</w:t>
                    </w:r>
                  </w:p>
                </w:tc>
              </w:tr>
              <w:tr w:rsidR="00D21C1F" w14:paraId="311114EE" w14:textId="77777777">
                <w:sdt>
                  <w:sdtPr>
                    <w:tag w:val="_PLD_3bc74c61fa7a4ba98c9b2ee5eb59820e"/>
                    <w:id w:val="7911050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7BA2E895" w14:textId="77777777" w:rsidR="00D21C1F" w:rsidRDefault="00A42880">
                        <w:pPr>
                          <w:ind w:firstLineChars="100" w:firstLine="210"/>
                          <w:rPr>
                            <w:szCs w:val="21"/>
                          </w:rPr>
                        </w:pPr>
                        <w:r>
                          <w:rPr>
                            <w:rFonts w:hint="eastAsia"/>
                            <w:szCs w:val="21"/>
                          </w:rPr>
                          <w:t>支付给职工及为职工支付的现金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33C1A39A"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6AE0E02"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48,746,820.63</w:t>
                    </w:r>
                  </w:p>
                </w:tc>
                <w:tc>
                  <w:tcPr>
                    <w:tcW w:w="1152" w:type="pct"/>
                    <w:tcBorders>
                      <w:top w:val="outset" w:sz="4" w:space="0" w:color="auto"/>
                      <w:left w:val="outset" w:sz="4" w:space="0" w:color="auto"/>
                      <w:bottom w:val="outset" w:sz="4" w:space="0" w:color="auto"/>
                      <w:right w:val="outset" w:sz="4" w:space="0" w:color="auto"/>
                    </w:tcBorders>
                    <w:vAlign w:val="center"/>
                  </w:tcPr>
                  <w:p w14:paraId="7E5C2C01"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37,342,770.19</w:t>
                    </w:r>
                  </w:p>
                </w:tc>
              </w:tr>
              <w:tr w:rsidR="00D21C1F" w14:paraId="3D16B7A4" w14:textId="77777777">
                <w:sdt>
                  <w:sdtPr>
                    <w:tag w:val="_PLD_336b8ff4ff8840c58c0c9f99f358310c"/>
                    <w:id w:val="1202987762"/>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775CBDF5" w14:textId="77777777" w:rsidR="00D21C1F" w:rsidRDefault="00A42880">
                        <w:pPr>
                          <w:ind w:firstLineChars="100" w:firstLine="210"/>
                          <w:rPr>
                            <w:szCs w:val="21"/>
                          </w:rPr>
                        </w:pPr>
                        <w:r>
                          <w:rPr>
                            <w:rFonts w:hint="eastAsia"/>
                            <w:szCs w:val="21"/>
                          </w:rPr>
                          <w:t>支付的各项税费</w:t>
                        </w:r>
                      </w:p>
                    </w:tc>
                  </w:sdtContent>
                </w:sdt>
                <w:tc>
                  <w:tcPr>
                    <w:tcW w:w="995" w:type="pct"/>
                    <w:tcBorders>
                      <w:top w:val="outset" w:sz="4" w:space="0" w:color="auto"/>
                      <w:left w:val="outset" w:sz="4" w:space="0" w:color="auto"/>
                      <w:bottom w:val="outset" w:sz="4" w:space="0" w:color="auto"/>
                      <w:right w:val="outset" w:sz="4" w:space="0" w:color="auto"/>
                    </w:tcBorders>
                  </w:tcPr>
                  <w:p w14:paraId="3BF0557E"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0E0C956C"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1,111,916.42</w:t>
                    </w:r>
                  </w:p>
                </w:tc>
                <w:tc>
                  <w:tcPr>
                    <w:tcW w:w="1152" w:type="pct"/>
                    <w:tcBorders>
                      <w:top w:val="outset" w:sz="4" w:space="0" w:color="auto"/>
                      <w:left w:val="outset" w:sz="4" w:space="0" w:color="auto"/>
                      <w:bottom w:val="outset" w:sz="4" w:space="0" w:color="auto"/>
                      <w:right w:val="outset" w:sz="4" w:space="0" w:color="auto"/>
                    </w:tcBorders>
                    <w:vAlign w:val="center"/>
                  </w:tcPr>
                  <w:p w14:paraId="13CD1120"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1,903,696.66</w:t>
                    </w:r>
                  </w:p>
                </w:tc>
              </w:tr>
              <w:tr w:rsidR="00D21C1F" w14:paraId="32ECA0AB" w14:textId="77777777">
                <w:sdt>
                  <w:sdtPr>
                    <w:tag w:val="_PLD_6ca36b1e8aed4dcf8f2b3a0daeff07e6"/>
                    <w:id w:val="-57667706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2B8FDF34" w14:textId="77777777" w:rsidR="00D21C1F" w:rsidRDefault="00A42880">
                        <w:pPr>
                          <w:ind w:firstLineChars="100" w:firstLine="210"/>
                          <w:rPr>
                            <w:szCs w:val="21"/>
                          </w:rPr>
                        </w:pPr>
                        <w:r>
                          <w:rPr>
                            <w:rFonts w:hint="eastAsia"/>
                            <w:szCs w:val="21"/>
                          </w:rPr>
                          <w:t>支付其他与经营活动有关的现金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49729273"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B69275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64,293,162.88</w:t>
                    </w:r>
                  </w:p>
                </w:tc>
                <w:tc>
                  <w:tcPr>
                    <w:tcW w:w="1152" w:type="pct"/>
                    <w:tcBorders>
                      <w:top w:val="outset" w:sz="4" w:space="0" w:color="auto"/>
                      <w:left w:val="outset" w:sz="4" w:space="0" w:color="auto"/>
                      <w:bottom w:val="outset" w:sz="4" w:space="0" w:color="auto"/>
                      <w:right w:val="outset" w:sz="4" w:space="0" w:color="auto"/>
                    </w:tcBorders>
                    <w:vAlign w:val="center"/>
                  </w:tcPr>
                  <w:p w14:paraId="1C16D4C1"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109,842,142.88</w:t>
                    </w:r>
                  </w:p>
                </w:tc>
              </w:tr>
              <w:tr w:rsidR="00D21C1F" w14:paraId="4AA01A72" w14:textId="77777777">
                <w:sdt>
                  <w:sdtPr>
                    <w:tag w:val="_PLD_340429c1d7014fa58e9b7238e10cefc6"/>
                    <w:id w:val="-198854224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3ADC8E92" w14:textId="77777777" w:rsidR="00D21C1F" w:rsidRDefault="00A42880">
                        <w:pPr>
                          <w:ind w:firstLineChars="200" w:firstLine="420"/>
                          <w:rPr>
                            <w:color w:val="000000"/>
                            <w:szCs w:val="21"/>
                          </w:rPr>
                        </w:pPr>
                        <w:r>
                          <w:rPr>
                            <w:rFonts w:hint="eastAsia"/>
                            <w:szCs w:val="21"/>
                          </w:rPr>
                          <w:t>经营活动现金流出小计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14:paraId="3A5657B2"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D6F2DA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377,945,367.87</w:t>
                    </w:r>
                  </w:p>
                </w:tc>
                <w:tc>
                  <w:tcPr>
                    <w:tcW w:w="1152" w:type="pct"/>
                    <w:tcBorders>
                      <w:top w:val="outset" w:sz="4" w:space="0" w:color="auto"/>
                      <w:left w:val="outset" w:sz="4" w:space="0" w:color="auto"/>
                      <w:bottom w:val="outset" w:sz="4" w:space="0" w:color="auto"/>
                      <w:right w:val="outset" w:sz="4" w:space="0" w:color="auto"/>
                    </w:tcBorders>
                    <w:vAlign w:val="center"/>
                  </w:tcPr>
                  <w:p w14:paraId="4D36CE9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298,647,685.79</w:t>
                    </w:r>
                  </w:p>
                </w:tc>
              </w:tr>
              <w:tr w:rsidR="00D21C1F" w14:paraId="6716936B" w14:textId="77777777">
                <w:sdt>
                  <w:sdtPr>
                    <w:tag w:val="_PLD_61f55569c4e04d6a8c94438f8ecb1122"/>
                    <w:id w:val="-34601635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7B236BF7" w14:textId="77777777" w:rsidR="00D21C1F" w:rsidRDefault="00A42880">
                        <w:pPr>
                          <w:ind w:firstLineChars="100" w:firstLine="210"/>
                          <w:rPr>
                            <w:color w:val="000000"/>
                            <w:szCs w:val="21"/>
                          </w:rPr>
                        </w:pPr>
                        <w:r>
                          <w:rPr>
                            <w:rFonts w:hint="eastAsia"/>
                            <w:szCs w:val="21"/>
                          </w:rPr>
                          <w:t>经营活动产生的现金流量净额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14:paraId="18F1D9CB"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13D0C5A"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-107,354,473.81</w:t>
                    </w:r>
                  </w:p>
                </w:tc>
                <w:tc>
                  <w:tcPr>
                    <w:tcW w:w="1152" w:type="pct"/>
                    <w:tcBorders>
                      <w:top w:val="outset" w:sz="4" w:space="0" w:color="auto"/>
                      <w:left w:val="outset" w:sz="4" w:space="0" w:color="auto"/>
                      <w:bottom w:val="outset" w:sz="4" w:space="0" w:color="auto"/>
                      <w:right w:val="outset" w:sz="4" w:space="0" w:color="auto"/>
                    </w:tcBorders>
                    <w:vAlign w:val="center"/>
                  </w:tcPr>
                  <w:p w14:paraId="6E0F96BC"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-58,614,255.72</w:t>
                    </w:r>
                  </w:p>
                </w:tc>
              </w:tr>
              <w:tr w:rsidR="00D21C1F" w14:paraId="412625B1" w14:textId="77777777">
                <w:sdt>
                  <w:sdtPr>
                    <w:tag w:val="_PLD_8f9190ce4227402ab02ac6431a00b46e"/>
                    <w:id w:val="-158082867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8226A14" w14:textId="77777777" w:rsidR="00D21C1F" w:rsidRDefault="00A42880">
                        <w:pPr>
                          <w:rPr>
                            <w:color w:val="000000"/>
                            <w:szCs w:val="21"/>
                          </w:rPr>
                        </w:pPr>
                        <w:r>
                          <w:rPr>
                            <w:rFonts w:hint="eastAsia"/>
                            <w:b/>
                            <w:bCs/>
                            <w:szCs w:val="21"/>
                          </w:rPr>
                          <w:t>二、投资活动产生的现金流量：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14:paraId="0B4C64EC" w14:textId="77777777" w:rsidR="00D21C1F" w:rsidRDefault="00D21C1F">
                    <w:pPr>
                      <w:rPr>
                        <w:color w:val="008000"/>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0CC87B8B" w14:textId="77777777" w:rsidR="00D21C1F" w:rsidRPr="001D1887" w:rsidRDefault="00D21C1F">
                    <w:pPr>
                      <w:jc w:val="right"/>
                      <w:rPr>
                        <w:rFonts w:ascii="Times New Roman" w:hAnsi="Times New Roman" w:cs="Times New Roman"/>
                        <w:color w:val="008000"/>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023833C1" w14:textId="77777777" w:rsidR="00D21C1F" w:rsidRPr="001D1887" w:rsidRDefault="00D21C1F">
                    <w:pPr>
                      <w:jc w:val="right"/>
                      <w:rPr>
                        <w:rFonts w:ascii="Times New Roman" w:hAnsi="Times New Roman" w:cs="Times New Roman"/>
                        <w:color w:val="008000"/>
                        <w:szCs w:val="21"/>
                      </w:rPr>
                    </w:pPr>
                  </w:p>
                </w:tc>
              </w:tr>
              <w:tr w:rsidR="00D21C1F" w14:paraId="535F9E2B" w14:textId="77777777">
                <w:sdt>
                  <w:sdtPr>
                    <w:tag w:val="_PLD_beb5ade569574a3c87ebe15ef758047a"/>
                    <w:id w:val="61826398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F80C214" w14:textId="77777777" w:rsidR="00D21C1F" w:rsidRDefault="00A42880">
                        <w:pPr>
                          <w:ind w:firstLineChars="100" w:firstLine="210"/>
                          <w:rPr>
                            <w:szCs w:val="21"/>
                          </w:rPr>
                        </w:pPr>
                        <w:r>
                          <w:rPr>
                            <w:rFonts w:hint="eastAsia"/>
                            <w:szCs w:val="21"/>
                          </w:rPr>
                          <w:t>收回投资收到的现金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39A274C0"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865AA6A"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1,003,010,000.00</w:t>
                    </w:r>
                  </w:p>
                </w:tc>
                <w:tc>
                  <w:tcPr>
                    <w:tcW w:w="1152" w:type="pct"/>
                    <w:tcBorders>
                      <w:top w:val="outset" w:sz="4" w:space="0" w:color="auto"/>
                      <w:left w:val="outset" w:sz="4" w:space="0" w:color="auto"/>
                      <w:bottom w:val="outset" w:sz="4" w:space="0" w:color="auto"/>
                      <w:right w:val="outset" w:sz="4" w:space="0" w:color="auto"/>
                    </w:tcBorders>
                    <w:vAlign w:val="center"/>
                  </w:tcPr>
                  <w:p w14:paraId="5F4774FB"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13,000,000.00</w:t>
                    </w:r>
                  </w:p>
                </w:tc>
              </w:tr>
              <w:tr w:rsidR="00D21C1F" w14:paraId="0791DBA2" w14:textId="77777777">
                <w:sdt>
                  <w:sdtPr>
                    <w:tag w:val="_PLD_3a0ffc6a5d6f4279bf5f479f6d37fa63"/>
                    <w:id w:val="197410125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1643C16C" w14:textId="77777777" w:rsidR="00D21C1F" w:rsidRDefault="00A42880">
                        <w:pPr>
                          <w:ind w:firstLineChars="100" w:firstLine="210"/>
                          <w:rPr>
                            <w:szCs w:val="21"/>
                          </w:rPr>
                        </w:pPr>
                        <w:r>
                          <w:rPr>
                            <w:rFonts w:hint="eastAsia"/>
                            <w:szCs w:val="21"/>
                          </w:rPr>
                          <w:t>取得投资收益收到的现金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406011FE"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09F1B3C"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27,012,906.99</w:t>
                    </w:r>
                  </w:p>
                </w:tc>
                <w:tc>
                  <w:tcPr>
                    <w:tcW w:w="1152" w:type="pct"/>
                    <w:tcBorders>
                      <w:top w:val="outset" w:sz="4" w:space="0" w:color="auto"/>
                      <w:left w:val="outset" w:sz="4" w:space="0" w:color="auto"/>
                      <w:bottom w:val="outset" w:sz="4" w:space="0" w:color="auto"/>
                      <w:right w:val="outset" w:sz="4" w:space="0" w:color="auto"/>
                    </w:tcBorders>
                    <w:vAlign w:val="center"/>
                  </w:tcPr>
                  <w:p w14:paraId="32E49E18"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24,931.51</w:t>
                    </w:r>
                  </w:p>
                </w:tc>
              </w:tr>
              <w:tr w:rsidR="00D21C1F" w14:paraId="14BAB883" w14:textId="77777777">
                <w:sdt>
                  <w:sdtPr>
                    <w:tag w:val="_PLD_ab86d628c73648de84f4c45b64cce1a7"/>
                    <w:id w:val="40673986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01A39253" w14:textId="77777777" w:rsidR="00D21C1F" w:rsidRDefault="00A42880">
                        <w:pPr>
                          <w:ind w:firstLineChars="100" w:firstLine="210"/>
                          <w:rPr>
                            <w:szCs w:val="21"/>
                          </w:rPr>
                        </w:pPr>
                        <w:r>
                          <w:rPr>
                            <w:rFonts w:hint="eastAsia"/>
                            <w:szCs w:val="21"/>
                          </w:rPr>
                          <w:t>处置固定资产、无形资产和其他长期资产收回的现金净额</w:t>
                        </w:r>
                      </w:p>
                    </w:tc>
                  </w:sdtContent>
                </w:sdt>
                <w:tc>
                  <w:tcPr>
                    <w:tcW w:w="995" w:type="pct"/>
                    <w:tcBorders>
                      <w:top w:val="outset" w:sz="4" w:space="0" w:color="auto"/>
                      <w:left w:val="outset" w:sz="4" w:space="0" w:color="auto"/>
                      <w:bottom w:val="outset" w:sz="4" w:space="0" w:color="auto"/>
                      <w:right w:val="outset" w:sz="4" w:space="0" w:color="auto"/>
                    </w:tcBorders>
                  </w:tcPr>
                  <w:p w14:paraId="7B311DAA"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64C06B6"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250.00</w:t>
                    </w:r>
                  </w:p>
                </w:tc>
                <w:tc>
                  <w:tcPr>
                    <w:tcW w:w="1152" w:type="pct"/>
                    <w:tcBorders>
                      <w:top w:val="outset" w:sz="4" w:space="0" w:color="auto"/>
                      <w:left w:val="outset" w:sz="4" w:space="0" w:color="auto"/>
                      <w:bottom w:val="outset" w:sz="4" w:space="0" w:color="auto"/>
                      <w:right w:val="outset" w:sz="4" w:space="0" w:color="auto"/>
                    </w:tcBorders>
                    <w:vAlign w:val="center"/>
                  </w:tcPr>
                  <w:p w14:paraId="4DAA2E30"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826,017.86</w:t>
                    </w:r>
                  </w:p>
                </w:tc>
              </w:tr>
              <w:tr w:rsidR="00D21C1F" w14:paraId="4B7D7565" w14:textId="77777777">
                <w:sdt>
                  <w:sdtPr>
                    <w:tag w:val="_PLD_7d740284844e4f809679ef6bb77b25bc"/>
                    <w:id w:val="22780294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5F5B5BBD" w14:textId="77777777" w:rsidR="00D21C1F" w:rsidRDefault="00A42880">
                        <w:pPr>
                          <w:ind w:firstLineChars="200" w:firstLine="420"/>
                          <w:rPr>
                            <w:color w:val="000000"/>
                            <w:szCs w:val="21"/>
                          </w:rPr>
                        </w:pPr>
                        <w:r>
                          <w:rPr>
                            <w:rFonts w:hint="eastAsia"/>
                            <w:szCs w:val="21"/>
                          </w:rPr>
                          <w:t>投资活动现金流入小计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14:paraId="4EDB592C"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FF8BBF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1,030,023,156.99</w:t>
                    </w:r>
                  </w:p>
                </w:tc>
                <w:tc>
                  <w:tcPr>
                    <w:tcW w:w="1152" w:type="pct"/>
                    <w:tcBorders>
                      <w:top w:val="outset" w:sz="4" w:space="0" w:color="auto"/>
                      <w:left w:val="outset" w:sz="4" w:space="0" w:color="auto"/>
                      <w:bottom w:val="outset" w:sz="4" w:space="0" w:color="auto"/>
                      <w:right w:val="outset" w:sz="4" w:space="0" w:color="auto"/>
                    </w:tcBorders>
                    <w:vAlign w:val="center"/>
                  </w:tcPr>
                  <w:p w14:paraId="144F9114"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13,850,949.37</w:t>
                    </w:r>
                  </w:p>
                </w:tc>
              </w:tr>
              <w:tr w:rsidR="00D21C1F" w14:paraId="5F52A7DD" w14:textId="77777777">
                <w:sdt>
                  <w:sdtPr>
                    <w:tag w:val="_PLD_62fef635400a49fdab7a94e37c70f56f"/>
                    <w:id w:val="22063718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270D8852" w14:textId="77777777" w:rsidR="00D21C1F" w:rsidRDefault="00A42880">
                        <w:pPr>
                          <w:ind w:firstLineChars="100" w:firstLine="210"/>
                          <w:rPr>
                            <w:szCs w:val="21"/>
                          </w:rPr>
                        </w:pPr>
                        <w:r>
                          <w:rPr>
                            <w:rFonts w:hint="eastAsia"/>
                            <w:szCs w:val="21"/>
                          </w:rPr>
                          <w:t>购建固定资产、无形资产和其他长期资产支付的现金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4D338974"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4D2D14E9"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6,310,628.96</w:t>
                    </w:r>
                  </w:p>
                </w:tc>
                <w:tc>
                  <w:tcPr>
                    <w:tcW w:w="1152" w:type="pct"/>
                    <w:tcBorders>
                      <w:top w:val="outset" w:sz="4" w:space="0" w:color="auto"/>
                      <w:left w:val="outset" w:sz="4" w:space="0" w:color="auto"/>
                      <w:bottom w:val="outset" w:sz="4" w:space="0" w:color="auto"/>
                      <w:right w:val="outset" w:sz="4" w:space="0" w:color="auto"/>
                    </w:tcBorders>
                    <w:vAlign w:val="center"/>
                  </w:tcPr>
                  <w:p w14:paraId="55880C74"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1,795,705.00</w:t>
                    </w:r>
                  </w:p>
                </w:tc>
              </w:tr>
              <w:tr w:rsidR="00D21C1F" w14:paraId="427030C1" w14:textId="77777777">
                <w:sdt>
                  <w:sdtPr>
                    <w:tag w:val="_PLD_1ef5a0eb21854c7a9b13f6f3b7a8ebcc"/>
                    <w:id w:val="308679524"/>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00FEAE71" w14:textId="77777777" w:rsidR="00D21C1F" w:rsidRDefault="00A42880">
                        <w:pPr>
                          <w:ind w:firstLineChars="100" w:firstLine="210"/>
                          <w:rPr>
                            <w:szCs w:val="21"/>
                          </w:rPr>
                        </w:pPr>
                        <w:r>
                          <w:rPr>
                            <w:rFonts w:hint="eastAsia"/>
                            <w:szCs w:val="21"/>
                          </w:rPr>
                          <w:t>投资支付的现金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4576E0C5"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7C99B67D"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814,900,000.00</w:t>
                    </w:r>
                  </w:p>
                </w:tc>
                <w:tc>
                  <w:tcPr>
                    <w:tcW w:w="1152" w:type="pct"/>
                    <w:tcBorders>
                      <w:top w:val="outset" w:sz="4" w:space="0" w:color="auto"/>
                      <w:left w:val="outset" w:sz="4" w:space="0" w:color="auto"/>
                      <w:bottom w:val="outset" w:sz="4" w:space="0" w:color="auto"/>
                      <w:right w:val="outset" w:sz="4" w:space="0" w:color="auto"/>
                    </w:tcBorders>
                    <w:vAlign w:val="center"/>
                  </w:tcPr>
                  <w:p w14:paraId="2FFAC54F"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12,000,000.00</w:t>
                    </w:r>
                  </w:p>
                </w:tc>
              </w:tr>
              <w:tr w:rsidR="00D21C1F" w14:paraId="364C8BF8" w14:textId="77777777">
                <w:sdt>
                  <w:sdtPr>
                    <w:tag w:val="_PLD_813ddb5a043d48ffa883eb8db9d86449"/>
                    <w:id w:val="2032300791"/>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30964BFF" w14:textId="77777777" w:rsidR="00D21C1F" w:rsidRDefault="00A42880">
                        <w:pPr>
                          <w:ind w:firstLineChars="100" w:firstLine="210"/>
                          <w:rPr>
                            <w:szCs w:val="21"/>
                          </w:rPr>
                        </w:pPr>
                        <w:r>
                          <w:rPr>
                            <w:rFonts w:hint="eastAsia"/>
                            <w:szCs w:val="21"/>
                          </w:rPr>
                          <w:t>支付其他与投资活动有关的现金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10EE3ED8"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EEDA9B4"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w:t>
                    </w:r>
                  </w:p>
                </w:tc>
                <w:tc>
                  <w:tcPr>
                    <w:tcW w:w="1152" w:type="pct"/>
                    <w:tcBorders>
                      <w:top w:val="outset" w:sz="4" w:space="0" w:color="auto"/>
                      <w:left w:val="outset" w:sz="4" w:space="0" w:color="auto"/>
                      <w:bottom w:val="outset" w:sz="4" w:space="0" w:color="auto"/>
                      <w:right w:val="outset" w:sz="4" w:space="0" w:color="auto"/>
                    </w:tcBorders>
                    <w:vAlign w:val="center"/>
                  </w:tcPr>
                  <w:p w14:paraId="1E9431F0"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7,640,000.00</w:t>
                    </w:r>
                  </w:p>
                </w:tc>
              </w:tr>
              <w:tr w:rsidR="00D21C1F" w14:paraId="6DD46908" w14:textId="77777777">
                <w:sdt>
                  <w:sdtPr>
                    <w:tag w:val="_PLD_ebc63f66aafc42e49516dac116f4b4d5"/>
                    <w:id w:val="-1217967785"/>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31A28362" w14:textId="77777777" w:rsidR="00D21C1F" w:rsidRDefault="00A42880">
                        <w:pPr>
                          <w:ind w:firstLineChars="200" w:firstLine="420"/>
                          <w:rPr>
                            <w:color w:val="000000"/>
                            <w:szCs w:val="21"/>
                          </w:rPr>
                        </w:pPr>
                        <w:r>
                          <w:rPr>
                            <w:rFonts w:hint="eastAsia"/>
                            <w:szCs w:val="21"/>
                          </w:rPr>
                          <w:t>投资活动现金流出小计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14:paraId="42971BB8"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3A0F48DF"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821,210,628.96</w:t>
                    </w:r>
                  </w:p>
                </w:tc>
                <w:tc>
                  <w:tcPr>
                    <w:tcW w:w="1152" w:type="pct"/>
                    <w:tcBorders>
                      <w:top w:val="outset" w:sz="4" w:space="0" w:color="auto"/>
                      <w:left w:val="outset" w:sz="4" w:space="0" w:color="auto"/>
                      <w:bottom w:val="outset" w:sz="4" w:space="0" w:color="auto"/>
                      <w:right w:val="outset" w:sz="4" w:space="0" w:color="auto"/>
                    </w:tcBorders>
                    <w:vAlign w:val="center"/>
                  </w:tcPr>
                  <w:p w14:paraId="776B637B"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21,435,705.00</w:t>
                    </w:r>
                  </w:p>
                </w:tc>
              </w:tr>
              <w:tr w:rsidR="00D21C1F" w14:paraId="53CF1DCD" w14:textId="77777777">
                <w:sdt>
                  <w:sdtPr>
                    <w:tag w:val="_PLD_616b02a522724a558ecbae77fe729bdb"/>
                    <w:id w:val="-73569873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08CE41C9" w14:textId="77777777" w:rsidR="00D21C1F" w:rsidRDefault="00A42880">
                        <w:pPr>
                          <w:ind w:firstLineChars="300" w:firstLine="630"/>
                          <w:rPr>
                            <w:color w:val="000000"/>
                            <w:szCs w:val="21"/>
                          </w:rPr>
                        </w:pPr>
                        <w:r>
                          <w:rPr>
                            <w:rFonts w:hint="eastAsia"/>
                            <w:szCs w:val="21"/>
                          </w:rPr>
                          <w:t>投资活动产生的现金流量净额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14:paraId="6BBE6275"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01D40351"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208,812,528.03</w:t>
                    </w:r>
                  </w:p>
                </w:tc>
                <w:tc>
                  <w:tcPr>
                    <w:tcW w:w="1152" w:type="pct"/>
                    <w:tcBorders>
                      <w:top w:val="outset" w:sz="4" w:space="0" w:color="auto"/>
                      <w:left w:val="outset" w:sz="4" w:space="0" w:color="auto"/>
                      <w:bottom w:val="outset" w:sz="4" w:space="0" w:color="auto"/>
                      <w:right w:val="outset" w:sz="4" w:space="0" w:color="auto"/>
                    </w:tcBorders>
                    <w:vAlign w:val="center"/>
                  </w:tcPr>
                  <w:p w14:paraId="3D8FE19D"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-7,584,755.63</w:t>
                    </w:r>
                  </w:p>
                </w:tc>
              </w:tr>
              <w:tr w:rsidR="00D21C1F" w14:paraId="66C720C1" w14:textId="77777777">
                <w:sdt>
                  <w:sdtPr>
                    <w:tag w:val="_PLD_7d68e34216d04af0934267b3078d3c35"/>
                    <w:id w:val="6769680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4BB7232E" w14:textId="77777777" w:rsidR="00D21C1F" w:rsidRDefault="00A42880">
                        <w:pPr>
                          <w:rPr>
                            <w:color w:val="000000"/>
                            <w:szCs w:val="21"/>
                          </w:rPr>
                        </w:pPr>
                        <w:r>
                          <w:rPr>
                            <w:rFonts w:hint="eastAsia"/>
                            <w:b/>
                            <w:bCs/>
                            <w:szCs w:val="21"/>
                          </w:rPr>
                          <w:t>三、筹资活动产生的现金流量：</w:t>
                        </w:r>
                      </w:p>
                    </w:tc>
                  </w:sdtContent>
                </w:sdt>
                <w:tc>
                  <w:tcPr>
                    <w:tcW w:w="995" w:type="pct"/>
                    <w:tcBorders>
                      <w:top w:val="outset" w:sz="4" w:space="0" w:color="auto"/>
                      <w:left w:val="outset" w:sz="4" w:space="0" w:color="auto"/>
                      <w:bottom w:val="outset" w:sz="4" w:space="0" w:color="auto"/>
                      <w:right w:val="outset" w:sz="4" w:space="0" w:color="auto"/>
                    </w:tcBorders>
                  </w:tcPr>
                  <w:p w14:paraId="4BCD7028" w14:textId="77777777" w:rsidR="00D21C1F" w:rsidRDefault="00D21C1F">
                    <w:pPr>
                      <w:rPr>
                        <w:color w:val="008000"/>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3547D35" w14:textId="77777777" w:rsidR="00D21C1F" w:rsidRPr="001D1887" w:rsidRDefault="00D21C1F">
                    <w:pPr>
                      <w:jc w:val="right"/>
                      <w:rPr>
                        <w:rFonts w:ascii="Times New Roman" w:hAnsi="Times New Roman" w:cs="Times New Roman"/>
                        <w:color w:val="008000"/>
                        <w:szCs w:val="21"/>
                      </w:rPr>
                    </w:pPr>
                  </w:p>
                </w:tc>
                <w:tc>
                  <w:tcPr>
                    <w:tcW w:w="1152" w:type="pct"/>
                    <w:tcBorders>
                      <w:top w:val="outset" w:sz="4" w:space="0" w:color="auto"/>
                      <w:left w:val="outset" w:sz="4" w:space="0" w:color="auto"/>
                      <w:bottom w:val="outset" w:sz="4" w:space="0" w:color="auto"/>
                      <w:right w:val="outset" w:sz="4" w:space="0" w:color="auto"/>
                    </w:tcBorders>
                    <w:vAlign w:val="center"/>
                  </w:tcPr>
                  <w:p w14:paraId="7B542973" w14:textId="77777777" w:rsidR="00D21C1F" w:rsidRPr="001D1887" w:rsidRDefault="00D21C1F">
                    <w:pPr>
                      <w:jc w:val="right"/>
                      <w:rPr>
                        <w:rFonts w:ascii="Times New Roman" w:hAnsi="Times New Roman" w:cs="Times New Roman"/>
                        <w:color w:val="008000"/>
                        <w:szCs w:val="21"/>
                      </w:rPr>
                    </w:pPr>
                  </w:p>
                </w:tc>
              </w:tr>
              <w:tr w:rsidR="00D21C1F" w14:paraId="0E7CEFD4" w14:textId="77777777">
                <w:sdt>
                  <w:sdtPr>
                    <w:tag w:val="_PLD_12516ea91b664cd98125761df9d8009e"/>
                    <w:id w:val="-65276310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00406F3F" w14:textId="77777777" w:rsidR="00D21C1F" w:rsidRDefault="00A42880">
                        <w:pPr>
                          <w:ind w:firstLineChars="100" w:firstLine="210"/>
                          <w:rPr>
                            <w:color w:val="000000"/>
                            <w:szCs w:val="21"/>
                          </w:rPr>
                        </w:pPr>
                        <w:r>
                          <w:rPr>
                            <w:rFonts w:hint="eastAsia"/>
                            <w:szCs w:val="21"/>
                          </w:rPr>
                          <w:t>吸收投资收到的现金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42F88347"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52D107E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w:t>
                    </w:r>
                  </w:p>
                </w:tc>
                <w:tc>
                  <w:tcPr>
                    <w:tcW w:w="1152" w:type="pct"/>
                    <w:tcBorders>
                      <w:top w:val="outset" w:sz="4" w:space="0" w:color="auto"/>
                      <w:left w:val="outset" w:sz="4" w:space="0" w:color="auto"/>
                      <w:bottom w:val="outset" w:sz="4" w:space="0" w:color="auto"/>
                      <w:right w:val="outset" w:sz="4" w:space="0" w:color="auto"/>
                    </w:tcBorders>
                    <w:vAlign w:val="center"/>
                  </w:tcPr>
                  <w:p w14:paraId="3828C0E5"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w:t>
                    </w:r>
                  </w:p>
                </w:tc>
              </w:tr>
              <w:tr w:rsidR="00D21C1F" w14:paraId="649C256C" w14:textId="77777777">
                <w:sdt>
                  <w:sdtPr>
                    <w:tag w:val="_PLD_29a78e59f2b441018bc188661adf1a5e"/>
                    <w:id w:val="7101203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A095B4D" w14:textId="77777777" w:rsidR="00D21C1F" w:rsidRDefault="00A42880">
                        <w:pPr>
                          <w:ind w:firstLineChars="100" w:firstLine="210"/>
                          <w:rPr>
                            <w:color w:val="000000"/>
                            <w:szCs w:val="21"/>
                          </w:rPr>
                        </w:pPr>
                        <w:r>
                          <w:rPr>
                            <w:rFonts w:hint="eastAsia"/>
                            <w:szCs w:val="21"/>
                          </w:rPr>
                          <w:t>取得借款收到的现金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04007729"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0E81FBC"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144,605,121.27</w:t>
                    </w:r>
                  </w:p>
                </w:tc>
                <w:tc>
                  <w:tcPr>
                    <w:tcW w:w="1152" w:type="pct"/>
                    <w:tcBorders>
                      <w:top w:val="outset" w:sz="4" w:space="0" w:color="auto"/>
                      <w:left w:val="outset" w:sz="4" w:space="0" w:color="auto"/>
                      <w:bottom w:val="outset" w:sz="4" w:space="0" w:color="auto"/>
                      <w:right w:val="outset" w:sz="4" w:space="0" w:color="auto"/>
                    </w:tcBorders>
                    <w:vAlign w:val="center"/>
                  </w:tcPr>
                  <w:p w14:paraId="04163FD9"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186,364,880.00</w:t>
                    </w:r>
                  </w:p>
                </w:tc>
              </w:tr>
              <w:tr w:rsidR="00D21C1F" w14:paraId="728E8982" w14:textId="77777777">
                <w:sdt>
                  <w:sdtPr>
                    <w:tag w:val="_PLD_26d354b07ee94d2e97e821e5194c14a8"/>
                    <w:id w:val="112627318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555485E9" w14:textId="77777777" w:rsidR="00D21C1F" w:rsidRDefault="00A42880">
                        <w:pPr>
                          <w:ind w:firstLineChars="100" w:firstLine="210"/>
                          <w:rPr>
                            <w:color w:val="000000"/>
                            <w:szCs w:val="21"/>
                          </w:rPr>
                        </w:pPr>
                        <w:r>
                          <w:rPr>
                            <w:rFonts w:hint="eastAsia"/>
                            <w:szCs w:val="21"/>
                          </w:rPr>
                          <w:t>收到其他与筹资活动有关的现金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26A22824"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35EAC784"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1,098,420.74</w:t>
                    </w:r>
                  </w:p>
                </w:tc>
                <w:tc>
                  <w:tcPr>
                    <w:tcW w:w="1152" w:type="pct"/>
                    <w:tcBorders>
                      <w:top w:val="outset" w:sz="4" w:space="0" w:color="auto"/>
                      <w:left w:val="outset" w:sz="4" w:space="0" w:color="auto"/>
                      <w:bottom w:val="outset" w:sz="4" w:space="0" w:color="auto"/>
                      <w:right w:val="outset" w:sz="4" w:space="0" w:color="auto"/>
                    </w:tcBorders>
                    <w:vAlign w:val="center"/>
                  </w:tcPr>
                  <w:p w14:paraId="0AF4F603"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w:t>
                    </w:r>
                  </w:p>
                </w:tc>
              </w:tr>
              <w:tr w:rsidR="00D21C1F" w14:paraId="2A926B12" w14:textId="77777777">
                <w:sdt>
                  <w:sdtPr>
                    <w:tag w:val="_PLD_63d48c10d6aa4cf680f8a0d28834aa5a"/>
                    <w:id w:val="189184948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13E37CF" w14:textId="77777777" w:rsidR="00D21C1F" w:rsidRDefault="00A42880">
                        <w:pPr>
                          <w:ind w:firstLineChars="200" w:firstLine="420"/>
                          <w:rPr>
                            <w:color w:val="000000"/>
                            <w:szCs w:val="21"/>
                          </w:rPr>
                        </w:pPr>
                        <w:r>
                          <w:rPr>
                            <w:rFonts w:hint="eastAsia"/>
                            <w:szCs w:val="21"/>
                          </w:rPr>
                          <w:t>筹资活动现金流入小计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14:paraId="2AEFFC82"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53B6C7D0"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145,703,542.01</w:t>
                    </w:r>
                  </w:p>
                </w:tc>
                <w:tc>
                  <w:tcPr>
                    <w:tcW w:w="1152" w:type="pct"/>
                    <w:tcBorders>
                      <w:top w:val="outset" w:sz="4" w:space="0" w:color="auto"/>
                      <w:left w:val="outset" w:sz="4" w:space="0" w:color="auto"/>
                      <w:bottom w:val="outset" w:sz="4" w:space="0" w:color="auto"/>
                      <w:right w:val="outset" w:sz="4" w:space="0" w:color="auto"/>
                    </w:tcBorders>
                    <w:vAlign w:val="center"/>
                  </w:tcPr>
                  <w:p w14:paraId="261C666F" w14:textId="77777777" w:rsidR="00D21C1F" w:rsidRPr="001D1887" w:rsidRDefault="00A42880">
                    <w:pPr>
                      <w:tabs>
                        <w:tab w:val="center" w:pos="989"/>
                        <w:tab w:val="right" w:pos="1979"/>
                      </w:tabs>
                      <w:jc w:val="right"/>
                      <w:rPr>
                        <w:rFonts w:ascii="Times New Roman" w:hAnsi="Times New Roman" w:cs="Times New Roman"/>
                        <w:szCs w:val="21"/>
                      </w:rPr>
                    </w:pPr>
                    <w:r w:rsidRPr="001D1887">
                      <w:rPr>
                        <w:rFonts w:ascii="Times New Roman" w:hAnsi="Times New Roman" w:cs="Times New Roman"/>
                        <w:szCs w:val="21"/>
                      </w:rPr>
                      <w:t>186,364,880.00</w:t>
                    </w:r>
                  </w:p>
                </w:tc>
              </w:tr>
              <w:tr w:rsidR="00D21C1F" w14:paraId="19423FB8" w14:textId="77777777">
                <w:sdt>
                  <w:sdtPr>
                    <w:tag w:val="_PLD_8162d7f78ec54a5485f64b75ffbfce7d"/>
                    <w:id w:val="1727105509"/>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4E225499" w14:textId="77777777" w:rsidR="00D21C1F" w:rsidRDefault="00A42880">
                        <w:pPr>
                          <w:ind w:firstLineChars="100" w:firstLine="210"/>
                          <w:rPr>
                            <w:szCs w:val="21"/>
                          </w:rPr>
                        </w:pPr>
                        <w:r>
                          <w:rPr>
                            <w:rFonts w:hint="eastAsia"/>
                            <w:szCs w:val="21"/>
                          </w:rPr>
                          <w:t>偿还债务支付的现金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1614613A"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6E2BA46"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71,733,156.71</w:t>
                    </w:r>
                  </w:p>
                </w:tc>
                <w:tc>
                  <w:tcPr>
                    <w:tcW w:w="1152" w:type="pct"/>
                    <w:tcBorders>
                      <w:top w:val="outset" w:sz="4" w:space="0" w:color="auto"/>
                      <w:left w:val="outset" w:sz="4" w:space="0" w:color="auto"/>
                      <w:bottom w:val="outset" w:sz="4" w:space="0" w:color="auto"/>
                      <w:right w:val="outset" w:sz="4" w:space="0" w:color="auto"/>
                    </w:tcBorders>
                    <w:vAlign w:val="center"/>
                  </w:tcPr>
                  <w:p w14:paraId="6310DEDA" w14:textId="2533B2EE" w:rsidR="00D21C1F" w:rsidRPr="001D1887" w:rsidRDefault="005779EC">
                    <w:pPr>
                      <w:jc w:val="right"/>
                      <w:rPr>
                        <w:rFonts w:ascii="Times New Roman" w:hAnsi="Times New Roman" w:cs="Times New Roman"/>
                        <w:szCs w:val="21"/>
                      </w:rPr>
                    </w:pPr>
                    <w:r w:rsidRPr="001D1887">
                      <w:rPr>
                        <w:rFonts w:ascii="Times New Roman" w:hAnsi="Times New Roman" w:cs="Times New Roman"/>
                        <w:szCs w:val="21"/>
                      </w:rPr>
                      <w:t>118,258,650.00</w:t>
                    </w:r>
                  </w:p>
                </w:tc>
              </w:tr>
              <w:tr w:rsidR="00D21C1F" w14:paraId="6E968A96" w14:textId="77777777">
                <w:sdt>
                  <w:sdtPr>
                    <w:tag w:val="_PLD_0b61ad2acef9490ba6b84477b3518635"/>
                    <w:id w:val="185198714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1D932640" w14:textId="77777777" w:rsidR="00D21C1F" w:rsidRDefault="00A42880">
                        <w:pPr>
                          <w:ind w:firstLineChars="100" w:firstLine="210"/>
                          <w:rPr>
                            <w:szCs w:val="21"/>
                          </w:rPr>
                        </w:pPr>
                        <w:r>
                          <w:rPr>
                            <w:rFonts w:hint="eastAsia"/>
                            <w:szCs w:val="21"/>
                          </w:rPr>
                          <w:t>分配股利、利润或偿付利息支付的现金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312F25C4"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78C892BC"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4,842,662.20</w:t>
                    </w:r>
                  </w:p>
                </w:tc>
                <w:tc>
                  <w:tcPr>
                    <w:tcW w:w="1152" w:type="pct"/>
                    <w:tcBorders>
                      <w:top w:val="outset" w:sz="4" w:space="0" w:color="auto"/>
                      <w:left w:val="outset" w:sz="4" w:space="0" w:color="auto"/>
                      <w:bottom w:val="outset" w:sz="4" w:space="0" w:color="auto"/>
                      <w:right w:val="outset" w:sz="4" w:space="0" w:color="auto"/>
                    </w:tcBorders>
                    <w:vAlign w:val="center"/>
                  </w:tcPr>
                  <w:p w14:paraId="41B241E3"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2,743,332.94</w:t>
                    </w:r>
                  </w:p>
                </w:tc>
              </w:tr>
              <w:tr w:rsidR="00D21C1F" w14:paraId="4462BAF4" w14:textId="77777777">
                <w:sdt>
                  <w:sdtPr>
                    <w:tag w:val="_PLD_9927c735ed5d4c919f65e1a111425aa6"/>
                    <w:id w:val="-803163133"/>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1608210F" w14:textId="77777777" w:rsidR="00D21C1F" w:rsidRDefault="00A42880">
                        <w:pPr>
                          <w:ind w:firstLineChars="200" w:firstLine="420"/>
                          <w:rPr>
                            <w:color w:val="000000"/>
                            <w:szCs w:val="21"/>
                          </w:rPr>
                        </w:pPr>
                        <w:r>
                          <w:rPr>
                            <w:rFonts w:hint="eastAsia"/>
                            <w:szCs w:val="21"/>
                          </w:rPr>
                          <w:t>筹资活动现金流出小计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14:paraId="50E8F8B1"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49979A4"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76,575,818.91</w:t>
                    </w:r>
                  </w:p>
                </w:tc>
                <w:tc>
                  <w:tcPr>
                    <w:tcW w:w="1152" w:type="pct"/>
                    <w:tcBorders>
                      <w:top w:val="outset" w:sz="4" w:space="0" w:color="auto"/>
                      <w:left w:val="outset" w:sz="4" w:space="0" w:color="auto"/>
                      <w:bottom w:val="outset" w:sz="4" w:space="0" w:color="auto"/>
                      <w:right w:val="outset" w:sz="4" w:space="0" w:color="auto"/>
                    </w:tcBorders>
                    <w:vAlign w:val="center"/>
                  </w:tcPr>
                  <w:p w14:paraId="5EDC4C29" w14:textId="28E575FB" w:rsidR="00D21C1F" w:rsidRPr="001D1887" w:rsidRDefault="005779EC">
                    <w:pPr>
                      <w:jc w:val="right"/>
                      <w:rPr>
                        <w:rFonts w:ascii="Times New Roman" w:hAnsi="Times New Roman" w:cs="Times New Roman"/>
                        <w:szCs w:val="21"/>
                      </w:rPr>
                    </w:pPr>
                    <w:r w:rsidRPr="001D1887">
                      <w:rPr>
                        <w:rFonts w:ascii="Times New Roman" w:hAnsi="Times New Roman" w:cs="Times New Roman"/>
                        <w:szCs w:val="21"/>
                      </w:rPr>
                      <w:t>121,001,982.94</w:t>
                    </w:r>
                  </w:p>
                </w:tc>
              </w:tr>
              <w:tr w:rsidR="00D21C1F" w14:paraId="19D3A6D3" w14:textId="77777777">
                <w:sdt>
                  <w:sdtPr>
                    <w:tag w:val="_PLD_19be081a78e64a56ac141df3af5fc043"/>
                    <w:id w:val="84297751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1AAAF85C" w14:textId="77777777" w:rsidR="00D21C1F" w:rsidRDefault="00A42880">
                        <w:pPr>
                          <w:ind w:firstLineChars="300" w:firstLine="630"/>
                          <w:rPr>
                            <w:color w:val="000000"/>
                            <w:szCs w:val="21"/>
                          </w:rPr>
                        </w:pPr>
                        <w:r>
                          <w:rPr>
                            <w:rFonts w:hint="eastAsia"/>
                            <w:szCs w:val="21"/>
                          </w:rPr>
                          <w:t>筹资活动产生的现金流量净额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14:paraId="2C06B378"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81FD877"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69,127,723.10</w:t>
                    </w:r>
                  </w:p>
                </w:tc>
                <w:tc>
                  <w:tcPr>
                    <w:tcW w:w="1152" w:type="pct"/>
                    <w:tcBorders>
                      <w:top w:val="outset" w:sz="4" w:space="0" w:color="auto"/>
                      <w:left w:val="outset" w:sz="4" w:space="0" w:color="auto"/>
                      <w:bottom w:val="outset" w:sz="4" w:space="0" w:color="auto"/>
                      <w:right w:val="outset" w:sz="4" w:space="0" w:color="auto"/>
                    </w:tcBorders>
                    <w:vAlign w:val="center"/>
                  </w:tcPr>
                  <w:p w14:paraId="18C006DA" w14:textId="054389D2" w:rsidR="00D21C1F" w:rsidRPr="001D1887" w:rsidRDefault="005779EC">
                    <w:pPr>
                      <w:jc w:val="right"/>
                      <w:rPr>
                        <w:rFonts w:ascii="Times New Roman" w:hAnsi="Times New Roman" w:cs="Times New Roman"/>
                        <w:szCs w:val="21"/>
                      </w:rPr>
                    </w:pPr>
                    <w:r w:rsidRPr="001D1887">
                      <w:rPr>
                        <w:rFonts w:ascii="Times New Roman" w:hAnsi="Times New Roman" w:cs="Times New Roman"/>
                        <w:szCs w:val="21"/>
                      </w:rPr>
                      <w:t>65,362,897.06</w:t>
                    </w:r>
                  </w:p>
                </w:tc>
              </w:tr>
              <w:tr w:rsidR="00D21C1F" w14:paraId="1DD79676" w14:textId="77777777">
                <w:sdt>
                  <w:sdtPr>
                    <w:tag w:val="_PLD_297da387d2e74132aff7cc22c8d8bb95"/>
                    <w:id w:val="1799032327"/>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7B3A705" w14:textId="77777777" w:rsidR="00D21C1F" w:rsidRDefault="00A42880">
                        <w:pPr>
                          <w:rPr>
                            <w:color w:val="000000"/>
                            <w:szCs w:val="21"/>
                          </w:rPr>
                        </w:pPr>
                        <w:r>
                          <w:rPr>
                            <w:rFonts w:hint="eastAsia"/>
                            <w:b/>
                            <w:bCs/>
                            <w:szCs w:val="21"/>
                          </w:rPr>
                          <w:t>四、汇率变动对现金及现金等价物的影响</w:t>
                        </w:r>
                      </w:p>
                    </w:tc>
                  </w:sdtContent>
                </w:sdt>
                <w:tc>
                  <w:tcPr>
                    <w:tcW w:w="995" w:type="pct"/>
                    <w:tcBorders>
                      <w:top w:val="outset" w:sz="4" w:space="0" w:color="auto"/>
                      <w:left w:val="outset" w:sz="4" w:space="0" w:color="auto"/>
                      <w:bottom w:val="outset" w:sz="4" w:space="0" w:color="auto"/>
                      <w:right w:val="outset" w:sz="4" w:space="0" w:color="auto"/>
                    </w:tcBorders>
                  </w:tcPr>
                  <w:p w14:paraId="721B57C2"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E02B1BA"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-432,045.46</w:t>
                    </w:r>
                  </w:p>
                </w:tc>
                <w:tc>
                  <w:tcPr>
                    <w:tcW w:w="1152" w:type="pct"/>
                    <w:tcBorders>
                      <w:top w:val="outset" w:sz="4" w:space="0" w:color="auto"/>
                      <w:left w:val="outset" w:sz="4" w:space="0" w:color="auto"/>
                      <w:bottom w:val="outset" w:sz="4" w:space="0" w:color="auto"/>
                      <w:right w:val="outset" w:sz="4" w:space="0" w:color="auto"/>
                    </w:tcBorders>
                    <w:vAlign w:val="center"/>
                  </w:tcPr>
                  <w:p w14:paraId="6868F6F9" w14:textId="3CF18A51" w:rsidR="00D21C1F" w:rsidRPr="001D1887" w:rsidRDefault="005779EC">
                    <w:pPr>
                      <w:jc w:val="right"/>
                      <w:rPr>
                        <w:rFonts w:ascii="Times New Roman" w:hAnsi="Times New Roman" w:cs="Times New Roman"/>
                        <w:szCs w:val="21"/>
                      </w:rPr>
                    </w:pPr>
                    <w:r w:rsidRPr="001D1887">
                      <w:rPr>
                        <w:rFonts w:ascii="Times New Roman" w:hAnsi="Times New Roman" w:cs="Times New Roman"/>
                        <w:szCs w:val="21"/>
                      </w:rPr>
                      <w:t>-</w:t>
                    </w:r>
                  </w:p>
                </w:tc>
              </w:tr>
              <w:tr w:rsidR="00D21C1F" w14:paraId="05B40C56" w14:textId="77777777">
                <w:sdt>
                  <w:sdtPr>
                    <w:tag w:val="_PLD_088346aec88c4c41a0051140dc375359"/>
                    <w:id w:val="1990132340"/>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72B3E4D6" w14:textId="77777777" w:rsidR="00D21C1F" w:rsidRDefault="00A42880">
                        <w:pPr>
                          <w:rPr>
                            <w:color w:val="000000"/>
                            <w:szCs w:val="21"/>
                          </w:rPr>
                        </w:pPr>
                        <w:r>
                          <w:rPr>
                            <w:rFonts w:hint="eastAsia"/>
                            <w:b/>
                            <w:bCs/>
                            <w:szCs w:val="21"/>
                          </w:rPr>
                          <w:t>五、现金及现金等价物净增加额</w:t>
                        </w:r>
                      </w:p>
                    </w:tc>
                  </w:sdtContent>
                </w:sdt>
                <w:tc>
                  <w:tcPr>
                    <w:tcW w:w="995" w:type="pct"/>
                    <w:tcBorders>
                      <w:top w:val="outset" w:sz="4" w:space="0" w:color="auto"/>
                      <w:left w:val="outset" w:sz="4" w:space="0" w:color="auto"/>
                      <w:bottom w:val="outset" w:sz="4" w:space="0" w:color="auto"/>
                      <w:right w:val="outset" w:sz="4" w:space="0" w:color="auto"/>
                    </w:tcBorders>
                  </w:tcPr>
                  <w:p w14:paraId="7A5ED9E1"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23D97B8F"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170,153,731.86</w:t>
                    </w:r>
                  </w:p>
                </w:tc>
                <w:tc>
                  <w:tcPr>
                    <w:tcW w:w="1152" w:type="pct"/>
                    <w:tcBorders>
                      <w:top w:val="outset" w:sz="4" w:space="0" w:color="auto"/>
                      <w:left w:val="outset" w:sz="4" w:space="0" w:color="auto"/>
                      <w:bottom w:val="outset" w:sz="4" w:space="0" w:color="auto"/>
                      <w:right w:val="outset" w:sz="4" w:space="0" w:color="auto"/>
                    </w:tcBorders>
                    <w:vAlign w:val="center"/>
                  </w:tcPr>
                  <w:p w14:paraId="6965E94D"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-836,114.29</w:t>
                    </w:r>
                  </w:p>
                </w:tc>
              </w:tr>
              <w:tr w:rsidR="00D21C1F" w14:paraId="73A7262B" w14:textId="77777777">
                <w:sdt>
                  <w:sdtPr>
                    <w:tag w:val="_PLD_782deef70bc446e795d750d3d14aefbe"/>
                    <w:id w:val="1696034226"/>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749FF27" w14:textId="77777777" w:rsidR="00D21C1F" w:rsidRDefault="00A42880">
                        <w:pPr>
                          <w:ind w:firstLineChars="100" w:firstLine="210"/>
                          <w:rPr>
                            <w:color w:val="000000"/>
                            <w:szCs w:val="21"/>
                          </w:rPr>
                        </w:pPr>
                        <w:r>
                          <w:rPr>
                            <w:rFonts w:hint="eastAsia"/>
                            <w:szCs w:val="21"/>
                          </w:rPr>
                          <w:t>加：期初现金及现金等价物余额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14:paraId="1CCE790D"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3806A132"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110,204,857.08</w:t>
                    </w:r>
                  </w:p>
                </w:tc>
                <w:tc>
                  <w:tcPr>
                    <w:tcW w:w="1152" w:type="pct"/>
                    <w:tcBorders>
                      <w:top w:val="outset" w:sz="4" w:space="0" w:color="auto"/>
                      <w:left w:val="outset" w:sz="4" w:space="0" w:color="auto"/>
                      <w:bottom w:val="outset" w:sz="4" w:space="0" w:color="auto"/>
                      <w:right w:val="outset" w:sz="4" w:space="0" w:color="auto"/>
                    </w:tcBorders>
                    <w:vAlign w:val="center"/>
                  </w:tcPr>
                  <w:p w14:paraId="7162BADA"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79,267,953.99</w:t>
                    </w:r>
                  </w:p>
                </w:tc>
              </w:tr>
              <w:tr w:rsidR="00D21C1F" w14:paraId="2DF940E7" w14:textId="77777777">
                <w:sdt>
                  <w:sdtPr>
                    <w:tag w:val="_PLD_ec70667dbbb64ee5a6d36588cda942f9"/>
                    <w:id w:val="-1808081328"/>
                    <w:lock w:val="sdtLocked"/>
                  </w:sdtPr>
                  <w:sdtEndPr/>
                  <w:sdtContent>
                    <w:tc>
                      <w:tcPr>
                        <w:tcW w:w="1695" w:type="pct"/>
                        <w:tcBorders>
                          <w:top w:val="outset" w:sz="4" w:space="0" w:color="auto"/>
                          <w:left w:val="outset" w:sz="4" w:space="0" w:color="auto"/>
                          <w:bottom w:val="outset" w:sz="4" w:space="0" w:color="auto"/>
                          <w:right w:val="outset" w:sz="4" w:space="0" w:color="auto"/>
                        </w:tcBorders>
                      </w:tcPr>
                      <w:p w14:paraId="6E702BE4" w14:textId="77777777" w:rsidR="00D21C1F" w:rsidRDefault="00A42880">
                        <w:pPr>
                          <w:rPr>
                            <w:color w:val="000000"/>
                            <w:szCs w:val="21"/>
                          </w:rPr>
                        </w:pPr>
                        <w:r>
                          <w:rPr>
                            <w:rFonts w:hint="eastAsia"/>
                            <w:b/>
                            <w:bCs/>
                            <w:szCs w:val="21"/>
                          </w:rPr>
                          <w:t>六、期末现金及现金等价物余额</w:t>
                        </w:r>
                      </w:p>
                    </w:tc>
                  </w:sdtContent>
                </w:sdt>
                <w:tc>
                  <w:tcPr>
                    <w:tcW w:w="995" w:type="pct"/>
                    <w:tcBorders>
                      <w:top w:val="outset" w:sz="4" w:space="0" w:color="auto"/>
                      <w:left w:val="outset" w:sz="4" w:space="0" w:color="auto"/>
                      <w:bottom w:val="outset" w:sz="4" w:space="0" w:color="auto"/>
                      <w:right w:val="outset" w:sz="4" w:space="0" w:color="auto"/>
                    </w:tcBorders>
                  </w:tcPr>
                  <w:p w14:paraId="6050B5CC" w14:textId="77777777" w:rsidR="00D21C1F" w:rsidRDefault="00D21C1F">
                    <w:pPr>
                      <w:rPr>
                        <w:szCs w:val="21"/>
                      </w:rPr>
                    </w:pPr>
                  </w:p>
                </w:tc>
                <w:tc>
                  <w:tcPr>
                    <w:tcW w:w="1158" w:type="pct"/>
                    <w:tcBorders>
                      <w:top w:val="outset" w:sz="4" w:space="0" w:color="auto"/>
                      <w:left w:val="outset" w:sz="4" w:space="0" w:color="auto"/>
                      <w:bottom w:val="outset" w:sz="4" w:space="0" w:color="auto"/>
                      <w:right w:val="outset" w:sz="4" w:space="0" w:color="auto"/>
                    </w:tcBorders>
                    <w:vAlign w:val="center"/>
                  </w:tcPr>
                  <w:p w14:paraId="135B4993"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280,358,588.94</w:t>
                    </w:r>
                  </w:p>
                </w:tc>
                <w:tc>
                  <w:tcPr>
                    <w:tcW w:w="1152" w:type="pct"/>
                    <w:tcBorders>
                      <w:top w:val="outset" w:sz="4" w:space="0" w:color="auto"/>
                      <w:left w:val="outset" w:sz="4" w:space="0" w:color="auto"/>
                      <w:bottom w:val="outset" w:sz="4" w:space="0" w:color="auto"/>
                      <w:right w:val="outset" w:sz="4" w:space="0" w:color="auto"/>
                    </w:tcBorders>
                    <w:vAlign w:val="center"/>
                  </w:tcPr>
                  <w:p w14:paraId="3022468C" w14:textId="77777777" w:rsidR="00D21C1F" w:rsidRPr="001D1887" w:rsidRDefault="00A42880">
                    <w:pPr>
                      <w:jc w:val="right"/>
                      <w:rPr>
                        <w:rFonts w:ascii="Times New Roman" w:hAnsi="Times New Roman" w:cs="Times New Roman"/>
                        <w:szCs w:val="21"/>
                      </w:rPr>
                    </w:pPr>
                    <w:r w:rsidRPr="001D1887">
                      <w:rPr>
                        <w:rFonts w:ascii="Times New Roman" w:hAnsi="Times New Roman" w:cs="Times New Roman"/>
                        <w:szCs w:val="21"/>
                      </w:rPr>
                      <w:t>78,431,839.70</w:t>
                    </w:r>
                  </w:p>
                </w:tc>
              </w:tr>
            </w:tbl>
            <w:p w14:paraId="4E3BA1CD" w14:textId="77777777" w:rsidR="00D21C1F" w:rsidRDefault="00A42880">
              <w:pPr>
                <w:snapToGrid w:val="0"/>
                <w:spacing w:line="240" w:lineRule="atLeast"/>
                <w:ind w:rightChars="-73" w:right="-153"/>
                <w:rPr>
                  <w:b/>
                  <w:bCs/>
                  <w:color w:val="FF0000"/>
                  <w:szCs w:val="21"/>
                </w:rPr>
              </w:pPr>
              <w:r>
                <w:rPr>
                  <w:szCs w:val="21"/>
                </w:rPr>
                <w:t>公司负责人</w:t>
              </w:r>
              <w:r>
                <w:rPr>
                  <w:rFonts w:hint="eastAsia"/>
                  <w:szCs w:val="21"/>
                </w:rPr>
                <w:t>：</w:t>
              </w:r>
              <w:sdt>
                <w:sdtPr>
                  <w:rPr>
                    <w:rFonts w:hint="eastAsia"/>
                    <w:szCs w:val="21"/>
                  </w:rPr>
                  <w:alias w:val="公司负责人"/>
                  <w:tag w:val="_GBC_b872f4b10a12453987b2d73dfe2a5ff9"/>
                  <w:id w:val="67235795"/>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62801130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1806004446"/>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sdtContent>
        </w:sdt>
        <w:p w14:paraId="60BB250A" w14:textId="77777777" w:rsidR="00D21C1F" w:rsidRDefault="00045EC6">
          <w:pPr>
            <w:rPr>
              <w:b/>
              <w:bCs/>
              <w:color w:val="FF0000"/>
              <w:szCs w:val="21"/>
            </w:rPr>
            <w:sectPr w:rsidR="00D21C1F">
              <w:pgSz w:w="11906" w:h="16838"/>
              <w:pgMar w:top="1525" w:right="1276" w:bottom="1440" w:left="1797" w:header="851" w:footer="992" w:gutter="0"/>
              <w:cols w:space="425"/>
              <w:docGrid w:linePitch="312"/>
            </w:sectPr>
          </w:pPr>
        </w:p>
      </w:sdtContent>
    </w:sdt>
    <w:bookmarkEnd w:id="143" w:displacedByCustomXml="next"/>
    <w:bookmarkStart w:id="144" w:name="_Hlk10211858" w:displacedByCustomXml="next"/>
    <w:sdt>
      <w:sdtPr>
        <w:rPr>
          <w:rFonts w:ascii="宋体" w:eastAsia="宋体" w:hAnsi="宋体" w:cs="宋体"/>
          <w:b w:val="0"/>
          <w:bCs w:val="0"/>
          <w:kern w:val="0"/>
          <w:szCs w:val="24"/>
        </w:rPr>
        <w:alias w:val="选项模块:需要编制合并报表"/>
        <w:tag w:val="_GBC_3b1dcbfa33024cc0a5c2f3d693817342"/>
        <w:id w:val="-1941753394"/>
        <w:lock w:val="sdtLocked"/>
        <w:placeholder>
          <w:docPart w:val="DefaultPlaceholder_-1854013440"/>
        </w:placeholder>
      </w:sdtPr>
      <w:sdtEndPr>
        <w:rPr>
          <w:rFonts w:hint="eastAsia"/>
          <w:szCs w:val="21"/>
        </w:rPr>
      </w:sdtEndPr>
      <w:sdtContent>
        <w:sdt>
          <w:sdtPr>
            <w:rPr>
              <w:rFonts w:ascii="宋体" w:eastAsia="宋体" w:hAnsi="宋体" w:cs="宋体"/>
              <w:b w:val="0"/>
              <w:bCs w:val="0"/>
              <w:kern w:val="0"/>
              <w:szCs w:val="24"/>
            </w:rPr>
            <w:tag w:val="_GBC_3eeab460b9b64d53b91f5e0ddcd3030f"/>
            <w:id w:val="1804272168"/>
            <w:lock w:val="sdtLocked"/>
            <w:placeholder>
              <w:docPart w:val="GBC22222222222222222222222222222"/>
            </w:placeholder>
          </w:sdtPr>
          <w:sdtEndPr>
            <w:rPr>
              <w:rFonts w:hint="eastAsia"/>
              <w:szCs w:val="21"/>
            </w:rPr>
          </w:sdtEndPr>
          <w:sdtContent>
            <w:p w14:paraId="0688DC3C" w14:textId="77777777" w:rsidR="00D21C1F" w:rsidRDefault="00A42880">
              <w:pPr>
                <w:pStyle w:val="94"/>
                <w:jc w:val="center"/>
                <w:rPr>
                  <w:rFonts w:ascii="宋体" w:hAnsi="宋体"/>
                </w:rPr>
              </w:pPr>
              <w:r>
                <w:rPr>
                  <w:rFonts w:ascii="宋体" w:hAnsi="宋体"/>
                </w:rPr>
                <w:t>合并</w:t>
              </w:r>
              <w:r>
                <w:rPr>
                  <w:rFonts w:ascii="宋体" w:hAnsi="宋体" w:hint="eastAsia"/>
                </w:rPr>
                <w:t>所有者权益变动表</w:t>
              </w:r>
            </w:p>
            <w:p w14:paraId="4B7596FA" w14:textId="77777777" w:rsidR="00D21C1F" w:rsidRDefault="00A42880">
              <w:pPr>
                <w:tabs>
                  <w:tab w:val="left" w:pos="10080"/>
                </w:tabs>
                <w:snapToGrid w:val="0"/>
                <w:spacing w:line="240" w:lineRule="atLeast"/>
                <w:ind w:rightChars="12" w:right="25"/>
                <w:jc w:val="center"/>
                <w:rPr>
                  <w:szCs w:val="21"/>
                </w:rPr>
              </w:pPr>
              <w:r>
                <w:rPr>
                  <w:rFonts w:ascii="Times New Roman" w:hAnsi="Times New Roman"/>
                  <w:szCs w:val="21"/>
                </w:rPr>
                <w:t>2021</w:t>
              </w:r>
              <w:r>
                <w:rPr>
                  <w:szCs w:val="21"/>
                </w:rPr>
                <w:t>年</w:t>
              </w:r>
              <w:r>
                <w:rPr>
                  <w:rFonts w:ascii="Times New Roman" w:hAnsi="Times New Roman" w:hint="eastAsia"/>
                  <w:szCs w:val="21"/>
                </w:rPr>
                <w:t>1</w:t>
              </w:r>
              <w:r>
                <w:rPr>
                  <w:rFonts w:hint="eastAsia"/>
                  <w:szCs w:val="21"/>
                </w:rPr>
                <w:t>—</w:t>
              </w:r>
              <w:r>
                <w:rPr>
                  <w:rFonts w:ascii="Times New Roman" w:hAnsi="Times New Roman" w:hint="eastAsia"/>
                  <w:szCs w:val="21"/>
                </w:rPr>
                <w:t>6</w:t>
              </w:r>
              <w:r>
                <w:rPr>
                  <w:rFonts w:hint="eastAsia"/>
                  <w:szCs w:val="21"/>
                </w:rPr>
                <w:t>月</w:t>
              </w:r>
            </w:p>
            <w:p w14:paraId="792DE2F6" w14:textId="77777777" w:rsidR="00D21C1F" w:rsidRDefault="00A42880">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690025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合并股东权益调节表"/>
                  <w:tag w:val="_GBC_cef77704267643d794145c73763360e5"/>
                  <w:id w:val="-1159916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216"/>
                <w:gridCol w:w="396"/>
                <w:gridCol w:w="396"/>
                <w:gridCol w:w="396"/>
                <w:gridCol w:w="1336"/>
                <w:gridCol w:w="576"/>
                <w:gridCol w:w="1216"/>
                <w:gridCol w:w="396"/>
                <w:gridCol w:w="1137"/>
                <w:gridCol w:w="396"/>
                <w:gridCol w:w="1217"/>
                <w:gridCol w:w="396"/>
                <w:gridCol w:w="1336"/>
                <w:gridCol w:w="1056"/>
                <w:gridCol w:w="1336"/>
              </w:tblGrid>
              <w:tr w:rsidR="00D21C1F" w14:paraId="3C9D13CC" w14:textId="77777777">
                <w:tc>
                  <w:tcPr>
                    <w:tcW w:w="383" w:type="pct"/>
                    <w:vMerge w:val="restart"/>
                    <w:vAlign w:val="center"/>
                  </w:tcPr>
                  <w:sdt>
                    <w:sdtPr>
                      <w:rPr>
                        <w:rFonts w:hint="eastAsia"/>
                        <w:sz w:val="18"/>
                        <w:szCs w:val="18"/>
                      </w:rPr>
                      <w:tag w:val="_PLD_5bd68ed5796041328d1a003c1362ceaf"/>
                      <w:id w:val="-601570715"/>
                      <w:lock w:val="sdtLocked"/>
                    </w:sdtPr>
                    <w:sdtEndPr/>
                    <w:sdtContent>
                      <w:p w14:paraId="7068F804" w14:textId="77777777" w:rsidR="00D21C1F" w:rsidRDefault="00A42880">
                        <w:pPr>
                          <w:snapToGrid w:val="0"/>
                          <w:spacing w:line="240" w:lineRule="atLeast"/>
                          <w:jc w:val="center"/>
                          <w:rPr>
                            <w:sz w:val="18"/>
                            <w:szCs w:val="18"/>
                          </w:rPr>
                        </w:pPr>
                        <w:r>
                          <w:rPr>
                            <w:rFonts w:hint="eastAsia"/>
                            <w:sz w:val="18"/>
                            <w:szCs w:val="18"/>
                          </w:rPr>
                          <w:t>项目</w:t>
                        </w:r>
                      </w:p>
                    </w:sdtContent>
                  </w:sdt>
                </w:tc>
                <w:tc>
                  <w:tcPr>
                    <w:tcW w:w="4617" w:type="pct"/>
                    <w:gridSpan w:val="15"/>
                    <w:vAlign w:val="center"/>
                  </w:tcPr>
                  <w:p w14:paraId="05FFAD04" w14:textId="77777777" w:rsidR="00D21C1F" w:rsidRDefault="00045EC6">
                    <w:pPr>
                      <w:snapToGrid w:val="0"/>
                      <w:spacing w:line="240" w:lineRule="atLeast"/>
                      <w:ind w:rightChars="-759" w:right="-1594"/>
                      <w:jc w:val="center"/>
                    </w:pPr>
                    <w:sdt>
                      <w:sdtPr>
                        <w:tag w:val="_PLD_70c71cd0427542b1b96a0fa943173d3d"/>
                        <w:id w:val="273223043"/>
                        <w:lock w:val="sdtLocked"/>
                      </w:sdtPr>
                      <w:sdtEndPr/>
                      <w:sdtContent>
                        <w:r w:rsidR="00A42880">
                          <w:rPr>
                            <w:rFonts w:ascii="Times New Roman" w:hAnsi="Times New Roman" w:hint="eastAsia"/>
                            <w:sz w:val="18"/>
                            <w:szCs w:val="18"/>
                          </w:rPr>
                          <w:t>2021</w:t>
                        </w:r>
                        <w:r w:rsidR="00A42880">
                          <w:rPr>
                            <w:rFonts w:hint="eastAsia"/>
                            <w:sz w:val="18"/>
                            <w:szCs w:val="18"/>
                          </w:rPr>
                          <w:t>年半年度</w:t>
                        </w:r>
                      </w:sdtContent>
                    </w:sdt>
                  </w:p>
                </w:tc>
              </w:tr>
              <w:tr w:rsidR="00D21C1F" w14:paraId="161204E0" w14:textId="77777777">
                <w:trPr>
                  <w:trHeight w:val="540"/>
                </w:trPr>
                <w:tc>
                  <w:tcPr>
                    <w:tcW w:w="383" w:type="pct"/>
                    <w:vMerge/>
                  </w:tcPr>
                  <w:p w14:paraId="710D4C6D" w14:textId="77777777" w:rsidR="00D21C1F" w:rsidRDefault="00D21C1F">
                    <w:pPr>
                      <w:snapToGrid w:val="0"/>
                      <w:spacing w:line="240" w:lineRule="atLeast"/>
                      <w:ind w:rightChars="-759" w:right="-1594"/>
                      <w:rPr>
                        <w:sz w:val="18"/>
                        <w:szCs w:val="18"/>
                      </w:rPr>
                    </w:pPr>
                  </w:p>
                </w:tc>
                <w:sdt>
                  <w:sdtPr>
                    <w:tag w:val="_PLD_e146ec74496c4c03a714dcef40faa972"/>
                    <w:id w:val="-1817554751"/>
                    <w:lock w:val="sdtLocked"/>
                  </w:sdtPr>
                  <w:sdtEndPr/>
                  <w:sdtContent>
                    <w:tc>
                      <w:tcPr>
                        <w:tcW w:w="3755" w:type="pct"/>
                        <w:gridSpan w:val="13"/>
                        <w:vAlign w:val="center"/>
                      </w:tcPr>
                      <w:p w14:paraId="2639F134" w14:textId="77777777" w:rsidR="00D21C1F" w:rsidRDefault="00A42880">
                        <w:pPr>
                          <w:jc w:val="center"/>
                        </w:pPr>
                        <w:r>
                          <w:rPr>
                            <w:sz w:val="18"/>
                            <w:szCs w:val="18"/>
                          </w:rPr>
                          <w:t>归属于母公司所有者权益</w:t>
                        </w:r>
                      </w:p>
                    </w:tc>
                  </w:sdtContent>
                </w:sdt>
                <w:sdt>
                  <w:sdtPr>
                    <w:tag w:val="_PLD_b1ca85c50c1341e59b4b412e92d87f2f"/>
                    <w:id w:val="1575163920"/>
                    <w:lock w:val="sdtLocked"/>
                  </w:sdtPr>
                  <w:sdtEndPr/>
                  <w:sdtContent>
                    <w:tc>
                      <w:tcPr>
                        <w:tcW w:w="381" w:type="pct"/>
                        <w:vMerge w:val="restart"/>
                        <w:vAlign w:val="center"/>
                      </w:tcPr>
                      <w:p w14:paraId="17E71842" w14:textId="77777777" w:rsidR="00D21C1F" w:rsidRDefault="00A42880">
                        <w:pPr>
                          <w:jc w:val="center"/>
                          <w:rPr>
                            <w:sz w:val="18"/>
                            <w:szCs w:val="18"/>
                          </w:rPr>
                        </w:pPr>
                        <w:r>
                          <w:rPr>
                            <w:sz w:val="18"/>
                            <w:szCs w:val="18"/>
                          </w:rPr>
                          <w:t>少数股东权益</w:t>
                        </w:r>
                      </w:p>
                    </w:tc>
                  </w:sdtContent>
                </w:sdt>
                <w:sdt>
                  <w:sdtPr>
                    <w:tag w:val="_PLD_0e252e0d00f04386b93d4e3064ba423d"/>
                    <w:id w:val="1521119290"/>
                    <w:lock w:val="sdtLocked"/>
                  </w:sdtPr>
                  <w:sdtEndPr/>
                  <w:sdtContent>
                    <w:tc>
                      <w:tcPr>
                        <w:tcW w:w="482" w:type="pct"/>
                        <w:vMerge w:val="restart"/>
                        <w:vAlign w:val="center"/>
                      </w:tcPr>
                      <w:p w14:paraId="179A5094" w14:textId="77777777" w:rsidR="00D21C1F" w:rsidRDefault="00A42880">
                        <w:pPr>
                          <w:jc w:val="center"/>
                          <w:rPr>
                            <w:sz w:val="18"/>
                            <w:szCs w:val="18"/>
                          </w:rPr>
                        </w:pPr>
                        <w:r>
                          <w:rPr>
                            <w:sz w:val="18"/>
                            <w:szCs w:val="18"/>
                          </w:rPr>
                          <w:t>所有者权益合计</w:t>
                        </w:r>
                      </w:p>
                    </w:tc>
                  </w:sdtContent>
                </w:sdt>
              </w:tr>
              <w:tr w:rsidR="00D21C1F" w14:paraId="0A61B479" w14:textId="77777777">
                <w:trPr>
                  <w:trHeight w:val="352"/>
                </w:trPr>
                <w:tc>
                  <w:tcPr>
                    <w:tcW w:w="383" w:type="pct"/>
                    <w:vMerge/>
                  </w:tcPr>
                  <w:p w14:paraId="4C51C750" w14:textId="77777777" w:rsidR="00D21C1F" w:rsidRDefault="00D21C1F">
                    <w:pPr>
                      <w:snapToGrid w:val="0"/>
                      <w:spacing w:line="240" w:lineRule="atLeast"/>
                      <w:ind w:rightChars="-759" w:right="-1594"/>
                      <w:rPr>
                        <w:sz w:val="18"/>
                        <w:szCs w:val="18"/>
                      </w:rPr>
                    </w:pPr>
                  </w:p>
                </w:tc>
                <w:sdt>
                  <w:sdtPr>
                    <w:tag w:val="_PLD_1605afb5a60946a9ba86cca783d492d3"/>
                    <w:id w:val="-1076973812"/>
                    <w:lock w:val="sdtLocked"/>
                  </w:sdtPr>
                  <w:sdtEndPr/>
                  <w:sdtContent>
                    <w:tc>
                      <w:tcPr>
                        <w:tcW w:w="439" w:type="pct"/>
                        <w:vMerge w:val="restart"/>
                        <w:vAlign w:val="center"/>
                      </w:tcPr>
                      <w:p w14:paraId="78581BE7" w14:textId="77777777" w:rsidR="00D21C1F" w:rsidRDefault="00A42880">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78f5e518a65d422c99d27d23e96afb9e"/>
                    <w:id w:val="-858815701"/>
                    <w:lock w:val="sdtLocked"/>
                  </w:sdtPr>
                  <w:sdtEndPr/>
                  <w:sdtContent>
                    <w:tc>
                      <w:tcPr>
                        <w:tcW w:w="428" w:type="pct"/>
                        <w:gridSpan w:val="3"/>
                        <w:vAlign w:val="center"/>
                      </w:tcPr>
                      <w:p w14:paraId="673376EF" w14:textId="77777777" w:rsidR="00D21C1F" w:rsidRDefault="00A42880">
                        <w:pPr>
                          <w:snapToGrid w:val="0"/>
                          <w:spacing w:line="240" w:lineRule="atLeast"/>
                          <w:jc w:val="center"/>
                          <w:rPr>
                            <w:sz w:val="18"/>
                            <w:szCs w:val="18"/>
                          </w:rPr>
                        </w:pPr>
                        <w:r>
                          <w:rPr>
                            <w:rFonts w:hint="eastAsia"/>
                            <w:sz w:val="18"/>
                            <w:szCs w:val="18"/>
                          </w:rPr>
                          <w:t>其他权益工具</w:t>
                        </w:r>
                      </w:p>
                    </w:tc>
                  </w:sdtContent>
                </w:sdt>
                <w:sdt>
                  <w:sdtPr>
                    <w:tag w:val="_PLD_f67d05ac9f6f4daaafdf90084911dcee"/>
                    <w:id w:val="1454207744"/>
                    <w:lock w:val="sdtLocked"/>
                  </w:sdtPr>
                  <w:sdtEndPr/>
                  <w:sdtContent>
                    <w:tc>
                      <w:tcPr>
                        <w:tcW w:w="482" w:type="pct"/>
                        <w:vMerge w:val="restart"/>
                        <w:vAlign w:val="center"/>
                      </w:tcPr>
                      <w:p w14:paraId="3C669F24" w14:textId="77777777" w:rsidR="00D21C1F" w:rsidRDefault="00A42880">
                        <w:pPr>
                          <w:snapToGrid w:val="0"/>
                          <w:spacing w:line="240" w:lineRule="atLeast"/>
                          <w:jc w:val="center"/>
                          <w:rPr>
                            <w:sz w:val="18"/>
                            <w:szCs w:val="18"/>
                          </w:rPr>
                        </w:pPr>
                        <w:r>
                          <w:rPr>
                            <w:rFonts w:hint="eastAsia"/>
                            <w:sz w:val="18"/>
                            <w:szCs w:val="18"/>
                          </w:rPr>
                          <w:t>资本公积</w:t>
                        </w:r>
                      </w:p>
                    </w:tc>
                  </w:sdtContent>
                </w:sdt>
                <w:sdt>
                  <w:sdtPr>
                    <w:tag w:val="_PLD_21df11f52b3443acacf7dd8421b5cc67"/>
                    <w:id w:val="665972844"/>
                    <w:lock w:val="sdtLocked"/>
                  </w:sdtPr>
                  <w:sdtEndPr/>
                  <w:sdtContent>
                    <w:tc>
                      <w:tcPr>
                        <w:tcW w:w="208" w:type="pct"/>
                        <w:vMerge w:val="restart"/>
                        <w:vAlign w:val="center"/>
                      </w:tcPr>
                      <w:p w14:paraId="47F40CA2" w14:textId="77777777" w:rsidR="00D21C1F" w:rsidRDefault="00A42880">
                        <w:pPr>
                          <w:snapToGrid w:val="0"/>
                          <w:spacing w:line="240" w:lineRule="atLeast"/>
                          <w:jc w:val="center"/>
                          <w:rPr>
                            <w:sz w:val="18"/>
                            <w:szCs w:val="18"/>
                          </w:rPr>
                        </w:pPr>
                        <w:r>
                          <w:rPr>
                            <w:rFonts w:hint="eastAsia"/>
                            <w:sz w:val="18"/>
                            <w:szCs w:val="18"/>
                          </w:rPr>
                          <w:t>减：库存股</w:t>
                        </w:r>
                      </w:p>
                    </w:tc>
                  </w:sdtContent>
                </w:sdt>
                <w:sdt>
                  <w:sdtPr>
                    <w:tag w:val="_PLD_bdc12fd277ea4fbe9c90f9480d9ecddb"/>
                    <w:id w:val="-957419035"/>
                    <w:lock w:val="sdtLocked"/>
                  </w:sdtPr>
                  <w:sdtEndPr/>
                  <w:sdtContent>
                    <w:tc>
                      <w:tcPr>
                        <w:tcW w:w="439" w:type="pct"/>
                        <w:vMerge w:val="restart"/>
                        <w:vAlign w:val="center"/>
                      </w:tcPr>
                      <w:p w14:paraId="7895738C" w14:textId="77777777" w:rsidR="00D21C1F" w:rsidRDefault="00A42880">
                        <w:pPr>
                          <w:snapToGrid w:val="0"/>
                          <w:spacing w:line="240" w:lineRule="atLeast"/>
                          <w:jc w:val="center"/>
                          <w:rPr>
                            <w:sz w:val="18"/>
                            <w:szCs w:val="18"/>
                          </w:rPr>
                        </w:pPr>
                        <w:r>
                          <w:rPr>
                            <w:rFonts w:hint="eastAsia"/>
                            <w:sz w:val="18"/>
                            <w:szCs w:val="18"/>
                          </w:rPr>
                          <w:t>其他综合收益</w:t>
                        </w:r>
                      </w:p>
                    </w:tc>
                  </w:sdtContent>
                </w:sdt>
                <w:sdt>
                  <w:sdtPr>
                    <w:tag w:val="_PLD_b4aa95f4be904a02958b77b5542bb78d"/>
                    <w:id w:val="1563286749"/>
                    <w:lock w:val="sdtLocked"/>
                  </w:sdtPr>
                  <w:sdtEndPr/>
                  <w:sdtContent>
                    <w:tc>
                      <w:tcPr>
                        <w:tcW w:w="143" w:type="pct"/>
                        <w:vMerge w:val="restart"/>
                        <w:vAlign w:val="center"/>
                      </w:tcPr>
                      <w:p w14:paraId="187EB3C1" w14:textId="77777777" w:rsidR="00D21C1F" w:rsidRDefault="00A42880">
                        <w:pPr>
                          <w:snapToGrid w:val="0"/>
                          <w:spacing w:line="240" w:lineRule="atLeast"/>
                          <w:jc w:val="center"/>
                          <w:rPr>
                            <w:sz w:val="18"/>
                            <w:szCs w:val="18"/>
                          </w:rPr>
                        </w:pPr>
                        <w:r>
                          <w:rPr>
                            <w:rFonts w:hint="eastAsia"/>
                            <w:sz w:val="18"/>
                            <w:szCs w:val="18"/>
                          </w:rPr>
                          <w:t>专项储备</w:t>
                        </w:r>
                      </w:p>
                    </w:tc>
                  </w:sdtContent>
                </w:sdt>
                <w:sdt>
                  <w:sdtPr>
                    <w:tag w:val="_PLD_1ee8f47ee38e4000af64e781a1a0e729"/>
                    <w:id w:val="1686253900"/>
                    <w:lock w:val="sdtLocked"/>
                  </w:sdtPr>
                  <w:sdtEndPr/>
                  <w:sdtContent>
                    <w:tc>
                      <w:tcPr>
                        <w:tcW w:w="410" w:type="pct"/>
                        <w:vMerge w:val="restart"/>
                        <w:vAlign w:val="center"/>
                      </w:tcPr>
                      <w:p w14:paraId="4FC2AA2F" w14:textId="77777777" w:rsidR="00D21C1F" w:rsidRDefault="00A42880">
                        <w:pPr>
                          <w:snapToGrid w:val="0"/>
                          <w:spacing w:line="240" w:lineRule="atLeast"/>
                          <w:jc w:val="center"/>
                          <w:rPr>
                            <w:sz w:val="18"/>
                            <w:szCs w:val="18"/>
                          </w:rPr>
                        </w:pPr>
                        <w:r>
                          <w:rPr>
                            <w:rFonts w:hint="eastAsia"/>
                            <w:sz w:val="18"/>
                            <w:szCs w:val="18"/>
                          </w:rPr>
                          <w:t>盈余公积</w:t>
                        </w:r>
                      </w:p>
                    </w:tc>
                  </w:sdtContent>
                </w:sdt>
                <w:sdt>
                  <w:sdtPr>
                    <w:tag w:val="_PLD_b09258af0aa4494b8e88e711ca2dd7b8"/>
                    <w:id w:val="1864786664"/>
                    <w:lock w:val="sdtLocked"/>
                  </w:sdtPr>
                  <w:sdtEndPr/>
                  <w:sdtContent>
                    <w:tc>
                      <w:tcPr>
                        <w:tcW w:w="143" w:type="pct"/>
                        <w:vMerge w:val="restart"/>
                        <w:vAlign w:val="center"/>
                      </w:tcPr>
                      <w:p w14:paraId="7A07BA51" w14:textId="77777777" w:rsidR="00D21C1F" w:rsidRDefault="00A42880">
                        <w:pPr>
                          <w:snapToGrid w:val="0"/>
                          <w:spacing w:line="240" w:lineRule="atLeast"/>
                          <w:jc w:val="center"/>
                          <w:rPr>
                            <w:sz w:val="18"/>
                            <w:szCs w:val="18"/>
                          </w:rPr>
                        </w:pPr>
                        <w:r>
                          <w:rPr>
                            <w:rFonts w:hint="eastAsia"/>
                            <w:sz w:val="18"/>
                            <w:szCs w:val="18"/>
                          </w:rPr>
                          <w:t>一般风险准备</w:t>
                        </w:r>
                      </w:p>
                    </w:tc>
                  </w:sdtContent>
                </w:sdt>
                <w:sdt>
                  <w:sdtPr>
                    <w:tag w:val="_PLD_f20054bead0a491aafe7bb5a5952f48f"/>
                    <w:id w:val="-1466953530"/>
                    <w:lock w:val="sdtLocked"/>
                  </w:sdtPr>
                  <w:sdtEndPr/>
                  <w:sdtContent>
                    <w:tc>
                      <w:tcPr>
                        <w:tcW w:w="439" w:type="pct"/>
                        <w:vMerge w:val="restart"/>
                        <w:vAlign w:val="center"/>
                      </w:tcPr>
                      <w:p w14:paraId="1583AF30" w14:textId="77777777" w:rsidR="00D21C1F" w:rsidRDefault="00A42880">
                        <w:pPr>
                          <w:snapToGrid w:val="0"/>
                          <w:spacing w:line="240" w:lineRule="atLeast"/>
                          <w:jc w:val="center"/>
                          <w:rPr>
                            <w:sz w:val="18"/>
                            <w:szCs w:val="18"/>
                          </w:rPr>
                        </w:pPr>
                        <w:r>
                          <w:rPr>
                            <w:rFonts w:hint="eastAsia"/>
                            <w:sz w:val="18"/>
                            <w:szCs w:val="18"/>
                          </w:rPr>
                          <w:t>未分配利润</w:t>
                        </w:r>
                      </w:p>
                    </w:tc>
                  </w:sdtContent>
                </w:sdt>
                <w:tc>
                  <w:tcPr>
                    <w:tcW w:w="143" w:type="pct"/>
                    <w:vMerge w:val="restart"/>
                    <w:vAlign w:val="center"/>
                  </w:tcPr>
                  <w:sdt>
                    <w:sdtPr>
                      <w:rPr>
                        <w:rFonts w:hint="eastAsia"/>
                        <w:sz w:val="18"/>
                        <w:szCs w:val="18"/>
                      </w:rPr>
                      <w:tag w:val="_PLD_ee763dfa69fd4fa3bec927cefa83eadc"/>
                      <w:id w:val="-871608571"/>
                      <w:lock w:val="sdtLocked"/>
                    </w:sdtPr>
                    <w:sdtEndPr/>
                    <w:sdtContent>
                      <w:p w14:paraId="77E47E5B" w14:textId="77777777" w:rsidR="00D21C1F" w:rsidRDefault="00A42880">
                        <w:pPr>
                          <w:jc w:val="center"/>
                          <w:rPr>
                            <w:sz w:val="18"/>
                            <w:szCs w:val="18"/>
                          </w:rPr>
                        </w:pPr>
                        <w:r>
                          <w:rPr>
                            <w:rFonts w:hint="eastAsia"/>
                            <w:sz w:val="18"/>
                            <w:szCs w:val="18"/>
                          </w:rPr>
                          <w:t>其他</w:t>
                        </w:r>
                      </w:p>
                    </w:sdtContent>
                  </w:sdt>
                </w:tc>
                <w:tc>
                  <w:tcPr>
                    <w:tcW w:w="482" w:type="pct"/>
                    <w:vMerge w:val="restart"/>
                    <w:vAlign w:val="center"/>
                  </w:tcPr>
                  <w:sdt>
                    <w:sdtPr>
                      <w:rPr>
                        <w:rFonts w:hint="eastAsia"/>
                        <w:sz w:val="18"/>
                        <w:szCs w:val="18"/>
                      </w:rPr>
                      <w:tag w:val="_PLD_97c92cf2be1e4f36880a16a2c16704b4"/>
                      <w:id w:val="-713047886"/>
                      <w:lock w:val="sdtLocked"/>
                    </w:sdtPr>
                    <w:sdtEndPr/>
                    <w:sdtContent>
                      <w:p w14:paraId="13D05290" w14:textId="77777777" w:rsidR="00D21C1F" w:rsidRDefault="00A42880">
                        <w:pPr>
                          <w:jc w:val="center"/>
                          <w:rPr>
                            <w:sz w:val="18"/>
                            <w:szCs w:val="18"/>
                          </w:rPr>
                        </w:pPr>
                        <w:r>
                          <w:rPr>
                            <w:rFonts w:hint="eastAsia"/>
                            <w:sz w:val="18"/>
                            <w:szCs w:val="18"/>
                          </w:rPr>
                          <w:t>小计</w:t>
                        </w:r>
                      </w:p>
                    </w:sdtContent>
                  </w:sdt>
                </w:tc>
                <w:tc>
                  <w:tcPr>
                    <w:tcW w:w="381" w:type="pct"/>
                    <w:vMerge/>
                  </w:tcPr>
                  <w:p w14:paraId="39FC0833" w14:textId="77777777" w:rsidR="00D21C1F" w:rsidRDefault="00D21C1F">
                    <w:pPr>
                      <w:jc w:val="center"/>
                      <w:rPr>
                        <w:sz w:val="18"/>
                        <w:szCs w:val="18"/>
                      </w:rPr>
                    </w:pPr>
                  </w:p>
                </w:tc>
                <w:tc>
                  <w:tcPr>
                    <w:tcW w:w="482" w:type="pct"/>
                    <w:vMerge/>
                  </w:tcPr>
                  <w:p w14:paraId="14D3549C" w14:textId="77777777" w:rsidR="00D21C1F" w:rsidRDefault="00D21C1F">
                    <w:pPr>
                      <w:jc w:val="center"/>
                      <w:rPr>
                        <w:sz w:val="18"/>
                        <w:szCs w:val="18"/>
                      </w:rPr>
                    </w:pPr>
                  </w:p>
                </w:tc>
              </w:tr>
              <w:tr w:rsidR="00D21C1F" w14:paraId="7A526EA1" w14:textId="77777777">
                <w:trPr>
                  <w:trHeight w:val="345"/>
                </w:trPr>
                <w:tc>
                  <w:tcPr>
                    <w:tcW w:w="383" w:type="pct"/>
                    <w:vMerge/>
                  </w:tcPr>
                  <w:p w14:paraId="61554A97" w14:textId="77777777" w:rsidR="00D21C1F" w:rsidRDefault="00D21C1F">
                    <w:pPr>
                      <w:snapToGrid w:val="0"/>
                      <w:spacing w:line="240" w:lineRule="atLeast"/>
                      <w:ind w:rightChars="-759" w:right="-1594"/>
                      <w:rPr>
                        <w:sz w:val="18"/>
                        <w:szCs w:val="18"/>
                      </w:rPr>
                    </w:pPr>
                  </w:p>
                </w:tc>
                <w:tc>
                  <w:tcPr>
                    <w:tcW w:w="439" w:type="pct"/>
                    <w:vMerge/>
                  </w:tcPr>
                  <w:p w14:paraId="201B6B62" w14:textId="77777777" w:rsidR="00D21C1F" w:rsidRDefault="00D21C1F">
                    <w:pPr>
                      <w:snapToGrid w:val="0"/>
                      <w:spacing w:line="240" w:lineRule="atLeast"/>
                      <w:jc w:val="center"/>
                      <w:rPr>
                        <w:sz w:val="18"/>
                        <w:szCs w:val="18"/>
                      </w:rPr>
                    </w:pPr>
                  </w:p>
                </w:tc>
                <w:sdt>
                  <w:sdtPr>
                    <w:tag w:val="_PLD_7b6493af25ff4e3986120f711cb3be4e"/>
                    <w:id w:val="-655678372"/>
                    <w:lock w:val="sdtLocked"/>
                  </w:sdtPr>
                  <w:sdtEndPr/>
                  <w:sdtContent>
                    <w:tc>
                      <w:tcPr>
                        <w:tcW w:w="143" w:type="pct"/>
                        <w:vAlign w:val="center"/>
                      </w:tcPr>
                      <w:p w14:paraId="56F350FD" w14:textId="77777777" w:rsidR="00D21C1F" w:rsidRDefault="00A42880">
                        <w:pPr>
                          <w:snapToGrid w:val="0"/>
                          <w:spacing w:line="240" w:lineRule="atLeast"/>
                          <w:jc w:val="center"/>
                          <w:rPr>
                            <w:sz w:val="18"/>
                            <w:szCs w:val="18"/>
                          </w:rPr>
                        </w:pPr>
                        <w:r>
                          <w:rPr>
                            <w:rFonts w:hint="eastAsia"/>
                            <w:sz w:val="18"/>
                            <w:szCs w:val="18"/>
                          </w:rPr>
                          <w:t>优先股</w:t>
                        </w:r>
                      </w:p>
                    </w:tc>
                  </w:sdtContent>
                </w:sdt>
                <w:sdt>
                  <w:sdtPr>
                    <w:tag w:val="_PLD_446c35c8857c4ad0bb648db82e104141"/>
                    <w:id w:val="439113778"/>
                    <w:lock w:val="sdtLocked"/>
                  </w:sdtPr>
                  <w:sdtEndPr/>
                  <w:sdtContent>
                    <w:tc>
                      <w:tcPr>
                        <w:tcW w:w="143" w:type="pct"/>
                        <w:vAlign w:val="center"/>
                      </w:tcPr>
                      <w:p w14:paraId="4F76D133" w14:textId="77777777" w:rsidR="00D21C1F" w:rsidRDefault="00A42880">
                        <w:pPr>
                          <w:snapToGrid w:val="0"/>
                          <w:spacing w:line="240" w:lineRule="atLeast"/>
                          <w:jc w:val="center"/>
                          <w:rPr>
                            <w:sz w:val="18"/>
                            <w:szCs w:val="18"/>
                          </w:rPr>
                        </w:pPr>
                        <w:r>
                          <w:rPr>
                            <w:rFonts w:hint="eastAsia"/>
                            <w:sz w:val="18"/>
                            <w:szCs w:val="18"/>
                          </w:rPr>
                          <w:t>永续债</w:t>
                        </w:r>
                      </w:p>
                    </w:tc>
                  </w:sdtContent>
                </w:sdt>
                <w:sdt>
                  <w:sdtPr>
                    <w:tag w:val="_PLD_e8048d05ab294ec8a2a849ca1f70a7c9"/>
                    <w:id w:val="-763294942"/>
                    <w:lock w:val="sdtLocked"/>
                  </w:sdtPr>
                  <w:sdtEndPr/>
                  <w:sdtContent>
                    <w:tc>
                      <w:tcPr>
                        <w:tcW w:w="143" w:type="pct"/>
                        <w:vAlign w:val="center"/>
                      </w:tcPr>
                      <w:p w14:paraId="1C4482D2" w14:textId="77777777" w:rsidR="00D21C1F" w:rsidRDefault="00A42880">
                        <w:pPr>
                          <w:snapToGrid w:val="0"/>
                          <w:spacing w:line="240" w:lineRule="atLeast"/>
                          <w:jc w:val="center"/>
                          <w:rPr>
                            <w:sz w:val="18"/>
                            <w:szCs w:val="18"/>
                          </w:rPr>
                        </w:pPr>
                        <w:r>
                          <w:rPr>
                            <w:rFonts w:hint="eastAsia"/>
                            <w:sz w:val="18"/>
                            <w:szCs w:val="18"/>
                          </w:rPr>
                          <w:t>其他</w:t>
                        </w:r>
                      </w:p>
                    </w:tc>
                  </w:sdtContent>
                </w:sdt>
                <w:tc>
                  <w:tcPr>
                    <w:tcW w:w="482" w:type="pct"/>
                    <w:vMerge/>
                  </w:tcPr>
                  <w:p w14:paraId="0B5B7E58" w14:textId="77777777" w:rsidR="00D21C1F" w:rsidRDefault="00D21C1F">
                    <w:pPr>
                      <w:snapToGrid w:val="0"/>
                      <w:spacing w:line="240" w:lineRule="atLeast"/>
                      <w:jc w:val="center"/>
                      <w:rPr>
                        <w:sz w:val="18"/>
                        <w:szCs w:val="18"/>
                      </w:rPr>
                    </w:pPr>
                  </w:p>
                </w:tc>
                <w:tc>
                  <w:tcPr>
                    <w:tcW w:w="208" w:type="pct"/>
                    <w:vMerge/>
                  </w:tcPr>
                  <w:p w14:paraId="500AB775" w14:textId="77777777" w:rsidR="00D21C1F" w:rsidRDefault="00D21C1F">
                    <w:pPr>
                      <w:snapToGrid w:val="0"/>
                      <w:spacing w:line="240" w:lineRule="atLeast"/>
                      <w:jc w:val="center"/>
                      <w:rPr>
                        <w:sz w:val="18"/>
                        <w:szCs w:val="18"/>
                      </w:rPr>
                    </w:pPr>
                  </w:p>
                </w:tc>
                <w:tc>
                  <w:tcPr>
                    <w:tcW w:w="439" w:type="pct"/>
                    <w:vMerge/>
                  </w:tcPr>
                  <w:p w14:paraId="462CD3E7" w14:textId="77777777" w:rsidR="00D21C1F" w:rsidRDefault="00D21C1F">
                    <w:pPr>
                      <w:snapToGrid w:val="0"/>
                      <w:spacing w:line="240" w:lineRule="atLeast"/>
                      <w:jc w:val="center"/>
                      <w:rPr>
                        <w:sz w:val="18"/>
                        <w:szCs w:val="18"/>
                      </w:rPr>
                    </w:pPr>
                  </w:p>
                </w:tc>
                <w:tc>
                  <w:tcPr>
                    <w:tcW w:w="143" w:type="pct"/>
                    <w:vMerge/>
                  </w:tcPr>
                  <w:p w14:paraId="40CA1AF0" w14:textId="77777777" w:rsidR="00D21C1F" w:rsidRDefault="00D21C1F">
                    <w:pPr>
                      <w:snapToGrid w:val="0"/>
                      <w:spacing w:line="240" w:lineRule="atLeast"/>
                      <w:jc w:val="center"/>
                      <w:rPr>
                        <w:sz w:val="18"/>
                        <w:szCs w:val="18"/>
                      </w:rPr>
                    </w:pPr>
                  </w:p>
                </w:tc>
                <w:tc>
                  <w:tcPr>
                    <w:tcW w:w="410" w:type="pct"/>
                    <w:vMerge/>
                  </w:tcPr>
                  <w:p w14:paraId="247830BF" w14:textId="77777777" w:rsidR="00D21C1F" w:rsidRDefault="00D21C1F">
                    <w:pPr>
                      <w:snapToGrid w:val="0"/>
                      <w:spacing w:line="240" w:lineRule="atLeast"/>
                      <w:jc w:val="center"/>
                      <w:rPr>
                        <w:sz w:val="18"/>
                        <w:szCs w:val="18"/>
                      </w:rPr>
                    </w:pPr>
                  </w:p>
                </w:tc>
                <w:tc>
                  <w:tcPr>
                    <w:tcW w:w="143" w:type="pct"/>
                    <w:vMerge/>
                  </w:tcPr>
                  <w:p w14:paraId="31F2D4C6" w14:textId="77777777" w:rsidR="00D21C1F" w:rsidRDefault="00D21C1F">
                    <w:pPr>
                      <w:snapToGrid w:val="0"/>
                      <w:spacing w:line="240" w:lineRule="atLeast"/>
                      <w:jc w:val="center"/>
                      <w:rPr>
                        <w:sz w:val="18"/>
                        <w:szCs w:val="18"/>
                      </w:rPr>
                    </w:pPr>
                  </w:p>
                </w:tc>
                <w:tc>
                  <w:tcPr>
                    <w:tcW w:w="439" w:type="pct"/>
                    <w:vMerge/>
                  </w:tcPr>
                  <w:p w14:paraId="4BD96B0C" w14:textId="77777777" w:rsidR="00D21C1F" w:rsidRDefault="00D21C1F">
                    <w:pPr>
                      <w:snapToGrid w:val="0"/>
                      <w:spacing w:line="240" w:lineRule="atLeast"/>
                      <w:jc w:val="center"/>
                      <w:rPr>
                        <w:sz w:val="18"/>
                        <w:szCs w:val="18"/>
                      </w:rPr>
                    </w:pPr>
                  </w:p>
                </w:tc>
                <w:tc>
                  <w:tcPr>
                    <w:tcW w:w="143" w:type="pct"/>
                    <w:vMerge/>
                  </w:tcPr>
                  <w:p w14:paraId="6EEC9142" w14:textId="77777777" w:rsidR="00D21C1F" w:rsidRDefault="00D21C1F">
                    <w:pPr>
                      <w:jc w:val="center"/>
                      <w:rPr>
                        <w:sz w:val="18"/>
                        <w:szCs w:val="18"/>
                      </w:rPr>
                    </w:pPr>
                  </w:p>
                </w:tc>
                <w:tc>
                  <w:tcPr>
                    <w:tcW w:w="482" w:type="pct"/>
                    <w:vMerge/>
                  </w:tcPr>
                  <w:p w14:paraId="048D9262" w14:textId="77777777" w:rsidR="00D21C1F" w:rsidRDefault="00D21C1F">
                    <w:pPr>
                      <w:jc w:val="center"/>
                      <w:rPr>
                        <w:sz w:val="18"/>
                        <w:szCs w:val="18"/>
                      </w:rPr>
                    </w:pPr>
                  </w:p>
                </w:tc>
                <w:tc>
                  <w:tcPr>
                    <w:tcW w:w="381" w:type="pct"/>
                    <w:vMerge/>
                  </w:tcPr>
                  <w:p w14:paraId="46356163" w14:textId="77777777" w:rsidR="00D21C1F" w:rsidRDefault="00D21C1F">
                    <w:pPr>
                      <w:jc w:val="center"/>
                      <w:rPr>
                        <w:sz w:val="18"/>
                        <w:szCs w:val="18"/>
                      </w:rPr>
                    </w:pPr>
                  </w:p>
                </w:tc>
                <w:tc>
                  <w:tcPr>
                    <w:tcW w:w="482" w:type="pct"/>
                    <w:vMerge/>
                    <w:tcBorders>
                      <w:bottom w:val="nil"/>
                    </w:tcBorders>
                  </w:tcPr>
                  <w:p w14:paraId="08E5FE1E" w14:textId="77777777" w:rsidR="00D21C1F" w:rsidRDefault="00D21C1F">
                    <w:pPr>
                      <w:jc w:val="center"/>
                      <w:rPr>
                        <w:sz w:val="18"/>
                        <w:szCs w:val="18"/>
                      </w:rPr>
                    </w:pPr>
                  </w:p>
                </w:tc>
              </w:tr>
              <w:tr w:rsidR="00D21C1F" w14:paraId="62EFBA98" w14:textId="77777777">
                <w:sdt>
                  <w:sdtPr>
                    <w:tag w:val="_PLD_1f22f69e67ea4292afb08dec65f863c7"/>
                    <w:id w:val="1956140193"/>
                    <w:lock w:val="sdtLocked"/>
                  </w:sdtPr>
                  <w:sdtEndPr/>
                  <w:sdtContent>
                    <w:tc>
                      <w:tcPr>
                        <w:tcW w:w="383" w:type="pct"/>
                      </w:tcPr>
                      <w:p w14:paraId="476B1D5C" w14:textId="77777777" w:rsidR="00D21C1F" w:rsidRDefault="00A42880">
                        <w:pPr>
                          <w:rPr>
                            <w:sz w:val="18"/>
                            <w:szCs w:val="18"/>
                          </w:rPr>
                        </w:pPr>
                        <w:r>
                          <w:rPr>
                            <w:sz w:val="18"/>
                            <w:szCs w:val="18"/>
                          </w:rPr>
                          <w:t>一、上年</w:t>
                        </w:r>
                        <w:r>
                          <w:rPr>
                            <w:rFonts w:hint="eastAsia"/>
                            <w:sz w:val="18"/>
                            <w:szCs w:val="18"/>
                          </w:rPr>
                          <w:t>期</w:t>
                        </w:r>
                        <w:r>
                          <w:rPr>
                            <w:sz w:val="18"/>
                            <w:szCs w:val="18"/>
                          </w:rPr>
                          <w:t>末余额</w:t>
                        </w:r>
                      </w:p>
                    </w:tc>
                  </w:sdtContent>
                </w:sdt>
                <w:tc>
                  <w:tcPr>
                    <w:tcW w:w="439" w:type="pct"/>
                    <w:vAlign w:val="bottom"/>
                  </w:tcPr>
                  <w:p w14:paraId="73522A7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521,780,000.00</w:t>
                    </w:r>
                  </w:p>
                </w:tc>
                <w:tc>
                  <w:tcPr>
                    <w:tcW w:w="143" w:type="pct"/>
                    <w:vAlign w:val="bottom"/>
                  </w:tcPr>
                  <w:p w14:paraId="3233DB1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A69D74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973ABC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592095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2,009,304,318.01</w:t>
                    </w:r>
                  </w:p>
                </w:tc>
                <w:tc>
                  <w:tcPr>
                    <w:tcW w:w="208" w:type="pct"/>
                    <w:vAlign w:val="bottom"/>
                  </w:tcPr>
                  <w:p w14:paraId="4E7C7DA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8EE75D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-86,283,221.34</w:t>
                    </w:r>
                  </w:p>
                </w:tc>
                <w:tc>
                  <w:tcPr>
                    <w:tcW w:w="143" w:type="pct"/>
                    <w:vAlign w:val="bottom"/>
                  </w:tcPr>
                  <w:p w14:paraId="0F2ACB9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77D017B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10,122,906.55</w:t>
                    </w:r>
                  </w:p>
                </w:tc>
                <w:tc>
                  <w:tcPr>
                    <w:tcW w:w="143" w:type="pct"/>
                    <w:vAlign w:val="bottom"/>
                  </w:tcPr>
                  <w:p w14:paraId="052AE7D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5A0C7EC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-345,488,092.53</w:t>
                    </w:r>
                  </w:p>
                </w:tc>
                <w:tc>
                  <w:tcPr>
                    <w:tcW w:w="143" w:type="pct"/>
                    <w:vAlign w:val="bottom"/>
                  </w:tcPr>
                  <w:p w14:paraId="2C67FB5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C23410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2,109,435,910.69</w:t>
                    </w:r>
                  </w:p>
                </w:tc>
                <w:tc>
                  <w:tcPr>
                    <w:tcW w:w="381" w:type="pct"/>
                    <w:vAlign w:val="bottom"/>
                  </w:tcPr>
                  <w:p w14:paraId="5F81A6D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7,056,143.09</w:t>
                    </w:r>
                  </w:p>
                </w:tc>
                <w:tc>
                  <w:tcPr>
                    <w:tcW w:w="482" w:type="pct"/>
                    <w:vAlign w:val="bottom"/>
                  </w:tcPr>
                  <w:p w14:paraId="0BEB74E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2,116,492,053.78</w:t>
                    </w:r>
                  </w:p>
                </w:tc>
              </w:tr>
              <w:tr w:rsidR="00D21C1F" w14:paraId="10F6F13A" w14:textId="77777777">
                <w:sdt>
                  <w:sdtPr>
                    <w:tag w:val="_PLD_8753148a28244d68bf92b2fbad32f9b8"/>
                    <w:id w:val="-20017010"/>
                    <w:lock w:val="sdtLocked"/>
                  </w:sdtPr>
                  <w:sdtEndPr/>
                  <w:sdtContent>
                    <w:tc>
                      <w:tcPr>
                        <w:tcW w:w="383" w:type="pct"/>
                      </w:tcPr>
                      <w:p w14:paraId="21D657C6" w14:textId="77777777" w:rsidR="00D21C1F" w:rsidRDefault="00A42880">
                        <w:pPr>
                          <w:rPr>
                            <w:sz w:val="18"/>
                            <w:szCs w:val="18"/>
                          </w:rPr>
                        </w:pPr>
                        <w:r>
                          <w:rPr>
                            <w:rFonts w:hint="eastAsia"/>
                            <w:sz w:val="18"/>
                            <w:szCs w:val="18"/>
                          </w:rPr>
                          <w:t>加：</w:t>
                        </w:r>
                        <w:r>
                          <w:rPr>
                            <w:sz w:val="18"/>
                            <w:szCs w:val="18"/>
                          </w:rPr>
                          <w:t>会计政策变更</w:t>
                        </w:r>
                      </w:p>
                    </w:tc>
                  </w:sdtContent>
                </w:sdt>
                <w:tc>
                  <w:tcPr>
                    <w:tcW w:w="439" w:type="pct"/>
                    <w:vAlign w:val="bottom"/>
                  </w:tcPr>
                  <w:p w14:paraId="36F218C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0AC651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0AE763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FFB41C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51659A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157A8C6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1969F7E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1575B1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0" w:type="pct"/>
                    <w:vAlign w:val="bottom"/>
                  </w:tcPr>
                  <w:p w14:paraId="5F4F425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EB12FD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6E8621D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ACC954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586FDB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26BF145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B7B36E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67E83A61" w14:textId="77777777">
                <w:sdt>
                  <w:sdtPr>
                    <w:tag w:val="_PLD_291ece6b974e4962be6cec3c398fd5be"/>
                    <w:id w:val="-129251652"/>
                    <w:lock w:val="sdtLocked"/>
                  </w:sdtPr>
                  <w:sdtEndPr/>
                  <w:sdtContent>
                    <w:tc>
                      <w:tcPr>
                        <w:tcW w:w="383" w:type="pct"/>
                      </w:tcPr>
                      <w:p w14:paraId="6C90EA5A" w14:textId="77777777" w:rsidR="00D21C1F" w:rsidRDefault="00A42880">
                        <w:pPr>
                          <w:ind w:firstLineChars="200" w:firstLine="420"/>
                          <w:rPr>
                            <w:sz w:val="18"/>
                            <w:szCs w:val="18"/>
                          </w:rPr>
                        </w:pPr>
                        <w:r>
                          <w:rPr>
                            <w:sz w:val="18"/>
                            <w:szCs w:val="18"/>
                          </w:rPr>
                          <w:t>前期差错更正</w:t>
                        </w:r>
                      </w:p>
                    </w:tc>
                  </w:sdtContent>
                </w:sdt>
                <w:tc>
                  <w:tcPr>
                    <w:tcW w:w="439" w:type="pct"/>
                    <w:vAlign w:val="bottom"/>
                  </w:tcPr>
                  <w:p w14:paraId="0E7B65F3"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2F02DA71"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1B82FF9D"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0B94E65B" w14:textId="77777777" w:rsidR="00D21C1F" w:rsidRDefault="00A42880">
                    <w:pPr>
                      <w:jc w:val="right"/>
                      <w:rPr>
                        <w:rFonts w:ascii="Times New Roman" w:hAnsi="Times New Roman" w:cs="Times New Roman"/>
                        <w:sz w:val="16"/>
                        <w:szCs w:val="18"/>
                      </w:rPr>
                    </w:pPr>
                    <w:r>
                      <w:rPr>
                        <w:sz w:val="16"/>
                        <w:szCs w:val="18"/>
                      </w:rPr>
                      <w:t>-</w:t>
                    </w:r>
                  </w:p>
                </w:tc>
                <w:tc>
                  <w:tcPr>
                    <w:tcW w:w="482" w:type="pct"/>
                    <w:vAlign w:val="bottom"/>
                  </w:tcPr>
                  <w:p w14:paraId="6A55ED00" w14:textId="77777777" w:rsidR="00D21C1F" w:rsidRDefault="00A42880">
                    <w:pPr>
                      <w:jc w:val="right"/>
                      <w:rPr>
                        <w:rFonts w:ascii="Times New Roman" w:hAnsi="Times New Roman" w:cs="Times New Roman"/>
                        <w:sz w:val="16"/>
                        <w:szCs w:val="18"/>
                      </w:rPr>
                    </w:pPr>
                    <w:r>
                      <w:rPr>
                        <w:sz w:val="16"/>
                        <w:szCs w:val="18"/>
                      </w:rPr>
                      <w:t>-</w:t>
                    </w:r>
                  </w:p>
                </w:tc>
                <w:tc>
                  <w:tcPr>
                    <w:tcW w:w="208" w:type="pct"/>
                    <w:vAlign w:val="bottom"/>
                  </w:tcPr>
                  <w:p w14:paraId="7D71FED3" w14:textId="77777777" w:rsidR="00D21C1F" w:rsidRDefault="00A42880">
                    <w:pPr>
                      <w:jc w:val="right"/>
                      <w:rPr>
                        <w:rFonts w:ascii="Times New Roman" w:hAnsi="Times New Roman" w:cs="Times New Roman"/>
                        <w:sz w:val="16"/>
                        <w:szCs w:val="18"/>
                      </w:rPr>
                    </w:pPr>
                    <w:r>
                      <w:rPr>
                        <w:sz w:val="16"/>
                        <w:szCs w:val="18"/>
                      </w:rPr>
                      <w:t>-</w:t>
                    </w:r>
                  </w:p>
                </w:tc>
                <w:tc>
                  <w:tcPr>
                    <w:tcW w:w="439" w:type="pct"/>
                    <w:vAlign w:val="bottom"/>
                  </w:tcPr>
                  <w:p w14:paraId="1949DF16"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42002157" w14:textId="77777777" w:rsidR="00D21C1F" w:rsidRDefault="00A42880">
                    <w:pPr>
                      <w:jc w:val="right"/>
                      <w:rPr>
                        <w:rFonts w:ascii="Times New Roman" w:hAnsi="Times New Roman" w:cs="Times New Roman"/>
                        <w:sz w:val="16"/>
                        <w:szCs w:val="18"/>
                      </w:rPr>
                    </w:pPr>
                    <w:r>
                      <w:rPr>
                        <w:sz w:val="16"/>
                        <w:szCs w:val="18"/>
                      </w:rPr>
                      <w:t>-</w:t>
                    </w:r>
                  </w:p>
                </w:tc>
                <w:tc>
                  <w:tcPr>
                    <w:tcW w:w="410" w:type="pct"/>
                    <w:vAlign w:val="bottom"/>
                  </w:tcPr>
                  <w:p w14:paraId="1A0BD1FC"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5283800C" w14:textId="77777777" w:rsidR="00D21C1F" w:rsidRDefault="00A42880">
                    <w:pPr>
                      <w:jc w:val="right"/>
                      <w:rPr>
                        <w:rFonts w:ascii="Times New Roman" w:hAnsi="Times New Roman" w:cs="Times New Roman"/>
                        <w:sz w:val="16"/>
                        <w:szCs w:val="18"/>
                      </w:rPr>
                    </w:pPr>
                    <w:r>
                      <w:rPr>
                        <w:sz w:val="16"/>
                        <w:szCs w:val="18"/>
                      </w:rPr>
                      <w:t>-</w:t>
                    </w:r>
                  </w:p>
                </w:tc>
                <w:tc>
                  <w:tcPr>
                    <w:tcW w:w="439" w:type="pct"/>
                    <w:vAlign w:val="bottom"/>
                  </w:tcPr>
                  <w:p w14:paraId="19D41B7C"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792F36B1" w14:textId="77777777" w:rsidR="00D21C1F" w:rsidRDefault="00A42880">
                    <w:pPr>
                      <w:jc w:val="right"/>
                      <w:rPr>
                        <w:rFonts w:ascii="Times New Roman" w:hAnsi="Times New Roman" w:cs="Times New Roman"/>
                        <w:sz w:val="16"/>
                        <w:szCs w:val="18"/>
                      </w:rPr>
                    </w:pPr>
                    <w:r>
                      <w:rPr>
                        <w:sz w:val="16"/>
                        <w:szCs w:val="18"/>
                      </w:rPr>
                      <w:t>-</w:t>
                    </w:r>
                  </w:p>
                </w:tc>
                <w:tc>
                  <w:tcPr>
                    <w:tcW w:w="482" w:type="pct"/>
                    <w:vAlign w:val="bottom"/>
                  </w:tcPr>
                  <w:p w14:paraId="23520B8E" w14:textId="77777777" w:rsidR="00D21C1F" w:rsidRDefault="00A42880">
                    <w:pPr>
                      <w:jc w:val="right"/>
                      <w:rPr>
                        <w:rFonts w:ascii="Times New Roman" w:hAnsi="Times New Roman" w:cs="Times New Roman"/>
                        <w:sz w:val="16"/>
                        <w:szCs w:val="18"/>
                      </w:rPr>
                    </w:pPr>
                    <w:r>
                      <w:rPr>
                        <w:sz w:val="16"/>
                        <w:szCs w:val="18"/>
                      </w:rPr>
                      <w:t>-</w:t>
                    </w:r>
                  </w:p>
                </w:tc>
                <w:tc>
                  <w:tcPr>
                    <w:tcW w:w="381" w:type="pct"/>
                    <w:vAlign w:val="bottom"/>
                  </w:tcPr>
                  <w:p w14:paraId="1D9205C1" w14:textId="77777777" w:rsidR="00D21C1F" w:rsidRDefault="00A42880">
                    <w:pPr>
                      <w:jc w:val="right"/>
                      <w:rPr>
                        <w:rFonts w:ascii="Times New Roman" w:hAnsi="Times New Roman" w:cs="Times New Roman"/>
                        <w:sz w:val="16"/>
                        <w:szCs w:val="18"/>
                      </w:rPr>
                    </w:pPr>
                    <w:r>
                      <w:rPr>
                        <w:sz w:val="16"/>
                        <w:szCs w:val="18"/>
                      </w:rPr>
                      <w:t>-</w:t>
                    </w:r>
                  </w:p>
                </w:tc>
                <w:tc>
                  <w:tcPr>
                    <w:tcW w:w="482" w:type="pct"/>
                    <w:vAlign w:val="bottom"/>
                  </w:tcPr>
                  <w:p w14:paraId="05F37550" w14:textId="77777777" w:rsidR="00D21C1F" w:rsidRDefault="00A42880">
                    <w:pPr>
                      <w:jc w:val="right"/>
                      <w:rPr>
                        <w:rFonts w:ascii="Times New Roman" w:hAnsi="Times New Roman" w:cs="Times New Roman"/>
                        <w:sz w:val="16"/>
                        <w:szCs w:val="18"/>
                      </w:rPr>
                    </w:pPr>
                    <w:r>
                      <w:rPr>
                        <w:sz w:val="16"/>
                        <w:szCs w:val="18"/>
                      </w:rPr>
                      <w:t>-</w:t>
                    </w:r>
                  </w:p>
                </w:tc>
              </w:tr>
              <w:tr w:rsidR="00D21C1F" w14:paraId="500F18DF" w14:textId="77777777">
                <w:sdt>
                  <w:sdtPr>
                    <w:tag w:val="_PLD_1a5424a99ed44019a3f8a704efe4903d"/>
                    <w:id w:val="2071465975"/>
                    <w:lock w:val="sdtLocked"/>
                  </w:sdtPr>
                  <w:sdtEndPr/>
                  <w:sdtContent>
                    <w:tc>
                      <w:tcPr>
                        <w:tcW w:w="383" w:type="pct"/>
                      </w:tcPr>
                      <w:p w14:paraId="53147D8B" w14:textId="77777777" w:rsidR="00D21C1F" w:rsidRDefault="00A42880">
                        <w:pPr>
                          <w:ind w:firstLineChars="200" w:firstLine="420"/>
                          <w:rPr>
                            <w:sz w:val="18"/>
                            <w:szCs w:val="18"/>
                          </w:rPr>
                        </w:pPr>
                        <w:r>
                          <w:rPr>
                            <w:rFonts w:hint="eastAsia"/>
                            <w:sz w:val="18"/>
                            <w:szCs w:val="18"/>
                          </w:rPr>
                          <w:t>同一控制下企业合并</w:t>
                        </w:r>
                      </w:p>
                    </w:tc>
                  </w:sdtContent>
                </w:sdt>
                <w:tc>
                  <w:tcPr>
                    <w:tcW w:w="439" w:type="pct"/>
                    <w:vAlign w:val="bottom"/>
                  </w:tcPr>
                  <w:p w14:paraId="54212353"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1654FB3A"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55368BE7"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28A200B9" w14:textId="77777777" w:rsidR="00D21C1F" w:rsidRDefault="00A42880">
                    <w:pPr>
                      <w:jc w:val="right"/>
                      <w:rPr>
                        <w:rFonts w:ascii="Times New Roman" w:hAnsi="Times New Roman" w:cs="Times New Roman"/>
                        <w:sz w:val="16"/>
                        <w:szCs w:val="18"/>
                      </w:rPr>
                    </w:pPr>
                    <w:r>
                      <w:rPr>
                        <w:sz w:val="16"/>
                        <w:szCs w:val="18"/>
                      </w:rPr>
                      <w:t>-</w:t>
                    </w:r>
                  </w:p>
                </w:tc>
                <w:tc>
                  <w:tcPr>
                    <w:tcW w:w="482" w:type="pct"/>
                    <w:vAlign w:val="bottom"/>
                  </w:tcPr>
                  <w:p w14:paraId="6A0290F2" w14:textId="77777777" w:rsidR="00D21C1F" w:rsidRDefault="00A42880">
                    <w:pPr>
                      <w:jc w:val="right"/>
                      <w:rPr>
                        <w:rFonts w:ascii="Times New Roman" w:hAnsi="Times New Roman" w:cs="Times New Roman"/>
                        <w:sz w:val="16"/>
                        <w:szCs w:val="18"/>
                      </w:rPr>
                    </w:pPr>
                    <w:r>
                      <w:rPr>
                        <w:sz w:val="16"/>
                        <w:szCs w:val="18"/>
                      </w:rPr>
                      <w:t>-</w:t>
                    </w:r>
                  </w:p>
                </w:tc>
                <w:tc>
                  <w:tcPr>
                    <w:tcW w:w="208" w:type="pct"/>
                    <w:vAlign w:val="bottom"/>
                  </w:tcPr>
                  <w:p w14:paraId="7F7F88A6" w14:textId="77777777" w:rsidR="00D21C1F" w:rsidRDefault="00A42880">
                    <w:pPr>
                      <w:jc w:val="right"/>
                      <w:rPr>
                        <w:rFonts w:ascii="Times New Roman" w:hAnsi="Times New Roman" w:cs="Times New Roman"/>
                        <w:sz w:val="16"/>
                        <w:szCs w:val="18"/>
                      </w:rPr>
                    </w:pPr>
                    <w:r>
                      <w:rPr>
                        <w:sz w:val="16"/>
                        <w:szCs w:val="18"/>
                      </w:rPr>
                      <w:t>-</w:t>
                    </w:r>
                  </w:p>
                </w:tc>
                <w:tc>
                  <w:tcPr>
                    <w:tcW w:w="439" w:type="pct"/>
                    <w:vAlign w:val="bottom"/>
                  </w:tcPr>
                  <w:p w14:paraId="5AAA485B"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51A6B53B" w14:textId="77777777" w:rsidR="00D21C1F" w:rsidRDefault="00A42880">
                    <w:pPr>
                      <w:jc w:val="right"/>
                      <w:rPr>
                        <w:rFonts w:ascii="Times New Roman" w:hAnsi="Times New Roman" w:cs="Times New Roman"/>
                        <w:sz w:val="16"/>
                        <w:szCs w:val="18"/>
                      </w:rPr>
                    </w:pPr>
                    <w:r>
                      <w:rPr>
                        <w:sz w:val="16"/>
                        <w:szCs w:val="18"/>
                      </w:rPr>
                      <w:t>-</w:t>
                    </w:r>
                  </w:p>
                </w:tc>
                <w:tc>
                  <w:tcPr>
                    <w:tcW w:w="410" w:type="pct"/>
                    <w:vAlign w:val="bottom"/>
                  </w:tcPr>
                  <w:p w14:paraId="0383810A"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66F9FF9F" w14:textId="77777777" w:rsidR="00D21C1F" w:rsidRDefault="00A42880">
                    <w:pPr>
                      <w:jc w:val="right"/>
                      <w:rPr>
                        <w:rFonts w:ascii="Times New Roman" w:hAnsi="Times New Roman" w:cs="Times New Roman"/>
                        <w:sz w:val="16"/>
                        <w:szCs w:val="18"/>
                      </w:rPr>
                    </w:pPr>
                    <w:r>
                      <w:rPr>
                        <w:sz w:val="16"/>
                        <w:szCs w:val="18"/>
                      </w:rPr>
                      <w:t>-</w:t>
                    </w:r>
                  </w:p>
                </w:tc>
                <w:tc>
                  <w:tcPr>
                    <w:tcW w:w="439" w:type="pct"/>
                    <w:vAlign w:val="bottom"/>
                  </w:tcPr>
                  <w:p w14:paraId="1FD0704C" w14:textId="77777777" w:rsidR="00D21C1F" w:rsidRDefault="00A42880">
                    <w:pPr>
                      <w:jc w:val="right"/>
                      <w:rPr>
                        <w:rFonts w:ascii="Times New Roman" w:hAnsi="Times New Roman" w:cs="Times New Roman"/>
                        <w:sz w:val="16"/>
                        <w:szCs w:val="18"/>
                      </w:rPr>
                    </w:pPr>
                    <w:r>
                      <w:rPr>
                        <w:sz w:val="16"/>
                        <w:szCs w:val="18"/>
                      </w:rPr>
                      <w:t>-</w:t>
                    </w:r>
                  </w:p>
                </w:tc>
                <w:tc>
                  <w:tcPr>
                    <w:tcW w:w="143" w:type="pct"/>
                    <w:vAlign w:val="bottom"/>
                  </w:tcPr>
                  <w:p w14:paraId="1A70DEEA" w14:textId="77777777" w:rsidR="00D21C1F" w:rsidRDefault="00A42880">
                    <w:pPr>
                      <w:jc w:val="right"/>
                      <w:rPr>
                        <w:rFonts w:ascii="Times New Roman" w:hAnsi="Times New Roman" w:cs="Times New Roman"/>
                        <w:sz w:val="16"/>
                        <w:szCs w:val="18"/>
                      </w:rPr>
                    </w:pPr>
                    <w:r>
                      <w:rPr>
                        <w:sz w:val="16"/>
                        <w:szCs w:val="18"/>
                      </w:rPr>
                      <w:t>-</w:t>
                    </w:r>
                  </w:p>
                </w:tc>
                <w:tc>
                  <w:tcPr>
                    <w:tcW w:w="482" w:type="pct"/>
                    <w:vAlign w:val="bottom"/>
                  </w:tcPr>
                  <w:p w14:paraId="77247F89" w14:textId="77777777" w:rsidR="00D21C1F" w:rsidRDefault="00A42880">
                    <w:pPr>
                      <w:jc w:val="right"/>
                      <w:rPr>
                        <w:rFonts w:ascii="Times New Roman" w:hAnsi="Times New Roman" w:cs="Times New Roman"/>
                        <w:sz w:val="16"/>
                        <w:szCs w:val="18"/>
                      </w:rPr>
                    </w:pPr>
                    <w:r>
                      <w:rPr>
                        <w:sz w:val="16"/>
                        <w:szCs w:val="18"/>
                      </w:rPr>
                      <w:t>-</w:t>
                    </w:r>
                  </w:p>
                </w:tc>
                <w:tc>
                  <w:tcPr>
                    <w:tcW w:w="381" w:type="pct"/>
                    <w:vAlign w:val="bottom"/>
                  </w:tcPr>
                  <w:p w14:paraId="4E3DA461" w14:textId="77777777" w:rsidR="00D21C1F" w:rsidRDefault="00A42880">
                    <w:pPr>
                      <w:jc w:val="right"/>
                      <w:rPr>
                        <w:rFonts w:ascii="Times New Roman" w:hAnsi="Times New Roman" w:cs="Times New Roman"/>
                        <w:sz w:val="16"/>
                        <w:szCs w:val="18"/>
                      </w:rPr>
                    </w:pPr>
                    <w:r>
                      <w:rPr>
                        <w:sz w:val="16"/>
                        <w:szCs w:val="18"/>
                      </w:rPr>
                      <w:t>-</w:t>
                    </w:r>
                  </w:p>
                </w:tc>
                <w:tc>
                  <w:tcPr>
                    <w:tcW w:w="482" w:type="pct"/>
                    <w:vAlign w:val="bottom"/>
                  </w:tcPr>
                  <w:p w14:paraId="2DD7EF96" w14:textId="77777777" w:rsidR="00D21C1F" w:rsidRDefault="00A42880">
                    <w:pPr>
                      <w:jc w:val="right"/>
                      <w:rPr>
                        <w:rFonts w:ascii="Times New Roman" w:hAnsi="Times New Roman" w:cs="Times New Roman"/>
                        <w:sz w:val="16"/>
                        <w:szCs w:val="18"/>
                      </w:rPr>
                    </w:pPr>
                    <w:r>
                      <w:rPr>
                        <w:sz w:val="16"/>
                        <w:szCs w:val="18"/>
                      </w:rPr>
                      <w:t>-</w:t>
                    </w:r>
                  </w:p>
                </w:tc>
              </w:tr>
              <w:tr w:rsidR="00D21C1F" w14:paraId="570A5133" w14:textId="77777777">
                <w:sdt>
                  <w:sdtPr>
                    <w:tag w:val="_PLD_7953fd87201b462ab8c42a4716d6cb65"/>
                    <w:id w:val="-1218518185"/>
                    <w:lock w:val="sdtLocked"/>
                  </w:sdtPr>
                  <w:sdtEndPr/>
                  <w:sdtContent>
                    <w:tc>
                      <w:tcPr>
                        <w:tcW w:w="383" w:type="pct"/>
                      </w:tcPr>
                      <w:p w14:paraId="6E39F282" w14:textId="77777777" w:rsidR="00D21C1F" w:rsidRDefault="00A42880">
                        <w:pPr>
                          <w:ind w:firstLineChars="200" w:firstLine="420"/>
                          <w:rPr>
                            <w:sz w:val="18"/>
                            <w:szCs w:val="18"/>
                          </w:rPr>
                        </w:pPr>
                        <w:r>
                          <w:rPr>
                            <w:rFonts w:hint="eastAsia"/>
                            <w:sz w:val="18"/>
                            <w:szCs w:val="18"/>
                          </w:rPr>
                          <w:t>其他</w:t>
                        </w:r>
                      </w:p>
                    </w:tc>
                  </w:sdtContent>
                </w:sdt>
                <w:tc>
                  <w:tcPr>
                    <w:tcW w:w="439" w:type="pct"/>
                    <w:vAlign w:val="bottom"/>
                  </w:tcPr>
                  <w:p w14:paraId="40195AB7" w14:textId="77777777" w:rsidR="00D21C1F" w:rsidRDefault="00D21C1F">
                    <w:pPr>
                      <w:jc w:val="right"/>
                      <w:rPr>
                        <w:rFonts w:ascii="Times New Roman" w:hAnsi="Times New Roman" w:cs="Times New Roman"/>
                        <w:sz w:val="16"/>
                        <w:szCs w:val="16"/>
                      </w:rPr>
                    </w:pPr>
                  </w:p>
                </w:tc>
                <w:tc>
                  <w:tcPr>
                    <w:tcW w:w="143" w:type="pct"/>
                    <w:vAlign w:val="bottom"/>
                  </w:tcPr>
                  <w:p w14:paraId="27B9F121" w14:textId="77777777" w:rsidR="00D21C1F" w:rsidRDefault="00D21C1F">
                    <w:pPr>
                      <w:jc w:val="right"/>
                      <w:rPr>
                        <w:rFonts w:ascii="Times New Roman" w:hAnsi="Times New Roman" w:cs="Times New Roman"/>
                        <w:sz w:val="16"/>
                        <w:szCs w:val="16"/>
                      </w:rPr>
                    </w:pPr>
                  </w:p>
                </w:tc>
                <w:tc>
                  <w:tcPr>
                    <w:tcW w:w="143" w:type="pct"/>
                    <w:vAlign w:val="bottom"/>
                  </w:tcPr>
                  <w:p w14:paraId="23643FE1" w14:textId="77777777" w:rsidR="00D21C1F" w:rsidRDefault="00D21C1F">
                    <w:pPr>
                      <w:jc w:val="right"/>
                      <w:rPr>
                        <w:rFonts w:ascii="Times New Roman" w:hAnsi="Times New Roman" w:cs="Times New Roman"/>
                        <w:sz w:val="16"/>
                        <w:szCs w:val="16"/>
                      </w:rPr>
                    </w:pPr>
                  </w:p>
                </w:tc>
                <w:tc>
                  <w:tcPr>
                    <w:tcW w:w="143" w:type="pct"/>
                    <w:vAlign w:val="bottom"/>
                  </w:tcPr>
                  <w:p w14:paraId="57F359C0" w14:textId="77777777" w:rsidR="00D21C1F" w:rsidRDefault="00D21C1F">
                    <w:pPr>
                      <w:jc w:val="right"/>
                      <w:rPr>
                        <w:rFonts w:ascii="Times New Roman" w:hAnsi="Times New Roman" w:cs="Times New Roman"/>
                        <w:sz w:val="16"/>
                        <w:szCs w:val="16"/>
                      </w:rPr>
                    </w:pPr>
                  </w:p>
                </w:tc>
                <w:tc>
                  <w:tcPr>
                    <w:tcW w:w="482" w:type="pct"/>
                    <w:vAlign w:val="bottom"/>
                  </w:tcPr>
                  <w:p w14:paraId="2DC711BD" w14:textId="77777777" w:rsidR="00D21C1F" w:rsidRDefault="00D21C1F">
                    <w:pPr>
                      <w:jc w:val="right"/>
                      <w:rPr>
                        <w:rFonts w:ascii="Times New Roman" w:hAnsi="Times New Roman" w:cs="Times New Roman"/>
                        <w:sz w:val="16"/>
                        <w:szCs w:val="16"/>
                      </w:rPr>
                    </w:pPr>
                  </w:p>
                </w:tc>
                <w:tc>
                  <w:tcPr>
                    <w:tcW w:w="208" w:type="pct"/>
                    <w:vAlign w:val="bottom"/>
                  </w:tcPr>
                  <w:p w14:paraId="49004438" w14:textId="77777777" w:rsidR="00D21C1F" w:rsidRDefault="00D21C1F">
                    <w:pPr>
                      <w:jc w:val="right"/>
                      <w:rPr>
                        <w:rFonts w:ascii="Times New Roman" w:hAnsi="Times New Roman" w:cs="Times New Roman"/>
                        <w:sz w:val="16"/>
                        <w:szCs w:val="16"/>
                      </w:rPr>
                    </w:pPr>
                  </w:p>
                </w:tc>
                <w:tc>
                  <w:tcPr>
                    <w:tcW w:w="439" w:type="pct"/>
                    <w:vAlign w:val="bottom"/>
                  </w:tcPr>
                  <w:p w14:paraId="2A45F9E7" w14:textId="77777777" w:rsidR="00D21C1F" w:rsidRDefault="00D21C1F">
                    <w:pPr>
                      <w:jc w:val="right"/>
                      <w:rPr>
                        <w:rFonts w:ascii="Times New Roman" w:hAnsi="Times New Roman" w:cs="Times New Roman"/>
                        <w:sz w:val="16"/>
                        <w:szCs w:val="16"/>
                      </w:rPr>
                    </w:pPr>
                  </w:p>
                </w:tc>
                <w:tc>
                  <w:tcPr>
                    <w:tcW w:w="143" w:type="pct"/>
                    <w:vAlign w:val="bottom"/>
                  </w:tcPr>
                  <w:p w14:paraId="5990D96D" w14:textId="77777777" w:rsidR="00D21C1F" w:rsidRDefault="00D21C1F">
                    <w:pPr>
                      <w:jc w:val="right"/>
                      <w:rPr>
                        <w:rFonts w:ascii="Times New Roman" w:hAnsi="Times New Roman" w:cs="Times New Roman"/>
                        <w:sz w:val="16"/>
                        <w:szCs w:val="16"/>
                      </w:rPr>
                    </w:pPr>
                  </w:p>
                </w:tc>
                <w:tc>
                  <w:tcPr>
                    <w:tcW w:w="410" w:type="pct"/>
                    <w:vAlign w:val="bottom"/>
                  </w:tcPr>
                  <w:p w14:paraId="24F20184" w14:textId="77777777" w:rsidR="00D21C1F" w:rsidRDefault="00D21C1F">
                    <w:pPr>
                      <w:jc w:val="right"/>
                      <w:rPr>
                        <w:rFonts w:ascii="Times New Roman" w:hAnsi="Times New Roman" w:cs="Times New Roman"/>
                        <w:sz w:val="16"/>
                        <w:szCs w:val="16"/>
                      </w:rPr>
                    </w:pPr>
                  </w:p>
                </w:tc>
                <w:tc>
                  <w:tcPr>
                    <w:tcW w:w="143" w:type="pct"/>
                    <w:vAlign w:val="bottom"/>
                  </w:tcPr>
                  <w:p w14:paraId="7330F366" w14:textId="77777777" w:rsidR="00D21C1F" w:rsidRDefault="00D21C1F">
                    <w:pPr>
                      <w:jc w:val="right"/>
                      <w:rPr>
                        <w:rFonts w:ascii="Times New Roman" w:hAnsi="Times New Roman" w:cs="Times New Roman"/>
                        <w:sz w:val="16"/>
                        <w:szCs w:val="16"/>
                      </w:rPr>
                    </w:pPr>
                  </w:p>
                </w:tc>
                <w:tc>
                  <w:tcPr>
                    <w:tcW w:w="439" w:type="pct"/>
                    <w:vAlign w:val="bottom"/>
                  </w:tcPr>
                  <w:p w14:paraId="37F69714" w14:textId="77777777" w:rsidR="00D21C1F" w:rsidRDefault="00D21C1F">
                    <w:pPr>
                      <w:jc w:val="right"/>
                      <w:rPr>
                        <w:rFonts w:ascii="Times New Roman" w:hAnsi="Times New Roman" w:cs="Times New Roman"/>
                        <w:sz w:val="16"/>
                        <w:szCs w:val="16"/>
                      </w:rPr>
                    </w:pPr>
                  </w:p>
                </w:tc>
                <w:tc>
                  <w:tcPr>
                    <w:tcW w:w="143" w:type="pct"/>
                    <w:vAlign w:val="bottom"/>
                  </w:tcPr>
                  <w:p w14:paraId="0A0E9A09" w14:textId="77777777" w:rsidR="00D21C1F" w:rsidRDefault="00D21C1F">
                    <w:pPr>
                      <w:jc w:val="right"/>
                      <w:rPr>
                        <w:rFonts w:ascii="Times New Roman" w:hAnsi="Times New Roman" w:cs="Times New Roman"/>
                        <w:sz w:val="16"/>
                        <w:szCs w:val="16"/>
                      </w:rPr>
                    </w:pPr>
                  </w:p>
                </w:tc>
                <w:tc>
                  <w:tcPr>
                    <w:tcW w:w="482" w:type="pct"/>
                    <w:vAlign w:val="bottom"/>
                  </w:tcPr>
                  <w:p w14:paraId="6D37EE7C" w14:textId="77777777" w:rsidR="00D21C1F" w:rsidRDefault="00D21C1F">
                    <w:pPr>
                      <w:jc w:val="right"/>
                      <w:rPr>
                        <w:rFonts w:ascii="Times New Roman" w:hAnsi="Times New Roman" w:cs="Times New Roman"/>
                        <w:sz w:val="16"/>
                        <w:szCs w:val="16"/>
                      </w:rPr>
                    </w:pPr>
                  </w:p>
                </w:tc>
                <w:tc>
                  <w:tcPr>
                    <w:tcW w:w="381" w:type="pct"/>
                    <w:vAlign w:val="bottom"/>
                  </w:tcPr>
                  <w:p w14:paraId="15C4F320" w14:textId="77777777" w:rsidR="00D21C1F" w:rsidRDefault="00D21C1F">
                    <w:pPr>
                      <w:jc w:val="right"/>
                      <w:rPr>
                        <w:rFonts w:ascii="Times New Roman" w:hAnsi="Times New Roman" w:cs="Times New Roman"/>
                        <w:sz w:val="16"/>
                        <w:szCs w:val="16"/>
                      </w:rPr>
                    </w:pPr>
                  </w:p>
                </w:tc>
                <w:tc>
                  <w:tcPr>
                    <w:tcW w:w="482" w:type="pct"/>
                    <w:vAlign w:val="bottom"/>
                  </w:tcPr>
                  <w:p w14:paraId="3FAFD1A4" w14:textId="77777777" w:rsidR="00D21C1F" w:rsidRDefault="00D21C1F">
                    <w:pPr>
                      <w:jc w:val="right"/>
                      <w:rPr>
                        <w:rFonts w:ascii="Times New Roman" w:hAnsi="Times New Roman" w:cs="Times New Roman"/>
                        <w:sz w:val="16"/>
                        <w:szCs w:val="16"/>
                      </w:rPr>
                    </w:pPr>
                  </w:p>
                </w:tc>
              </w:tr>
              <w:tr w:rsidR="00D21C1F" w14:paraId="380FB8BE" w14:textId="77777777">
                <w:sdt>
                  <w:sdtPr>
                    <w:tag w:val="_PLD_16d601e73dc14990b60ca53acf1371ba"/>
                    <w:id w:val="-294913171"/>
                    <w:lock w:val="sdtLocked"/>
                  </w:sdtPr>
                  <w:sdtEndPr/>
                  <w:sdtContent>
                    <w:tc>
                      <w:tcPr>
                        <w:tcW w:w="383" w:type="pct"/>
                      </w:tcPr>
                      <w:p w14:paraId="41D9FC73" w14:textId="77777777" w:rsidR="00D21C1F" w:rsidRDefault="00A42880">
                        <w:pPr>
                          <w:rPr>
                            <w:sz w:val="18"/>
                            <w:szCs w:val="18"/>
                          </w:rPr>
                        </w:pPr>
                        <w:r>
                          <w:rPr>
                            <w:sz w:val="18"/>
                            <w:szCs w:val="18"/>
                          </w:rPr>
                          <w:t>二、本年</w:t>
                        </w:r>
                        <w:r>
                          <w:rPr>
                            <w:rFonts w:hint="eastAsia"/>
                            <w:sz w:val="18"/>
                            <w:szCs w:val="18"/>
                          </w:rPr>
                          <w:t>期</w:t>
                        </w:r>
                        <w:r>
                          <w:rPr>
                            <w:sz w:val="18"/>
                            <w:szCs w:val="18"/>
                          </w:rPr>
                          <w:t>初余额</w:t>
                        </w:r>
                      </w:p>
                    </w:tc>
                  </w:sdtContent>
                </w:sdt>
                <w:tc>
                  <w:tcPr>
                    <w:tcW w:w="439" w:type="pct"/>
                    <w:vAlign w:val="bottom"/>
                  </w:tcPr>
                  <w:p w14:paraId="62B6A95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521,780,000.00</w:t>
                    </w:r>
                  </w:p>
                </w:tc>
                <w:tc>
                  <w:tcPr>
                    <w:tcW w:w="143" w:type="pct"/>
                    <w:vAlign w:val="bottom"/>
                  </w:tcPr>
                  <w:p w14:paraId="148B0EC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5C1B2A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2F0189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FEB79B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2,009,304,318.01</w:t>
                    </w:r>
                  </w:p>
                </w:tc>
                <w:tc>
                  <w:tcPr>
                    <w:tcW w:w="208" w:type="pct"/>
                    <w:vAlign w:val="bottom"/>
                  </w:tcPr>
                  <w:p w14:paraId="77A887A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768809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-86,283,221.34</w:t>
                    </w:r>
                  </w:p>
                </w:tc>
                <w:tc>
                  <w:tcPr>
                    <w:tcW w:w="143" w:type="pct"/>
                    <w:vAlign w:val="bottom"/>
                  </w:tcPr>
                  <w:p w14:paraId="1F19C47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3A922DF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10,122,906.55</w:t>
                    </w:r>
                  </w:p>
                </w:tc>
                <w:tc>
                  <w:tcPr>
                    <w:tcW w:w="143" w:type="pct"/>
                    <w:vAlign w:val="bottom"/>
                  </w:tcPr>
                  <w:p w14:paraId="14FA53CB" w14:textId="77777777" w:rsidR="00D21C1F" w:rsidRDefault="00D21C1F">
                    <w:pPr>
                      <w:jc w:val="right"/>
                      <w:rPr>
                        <w:rFonts w:ascii="Times New Roman" w:hAnsi="Times New Roman" w:cs="Times New Roman"/>
                        <w:sz w:val="16"/>
                        <w:szCs w:val="16"/>
                      </w:rPr>
                    </w:pPr>
                  </w:p>
                </w:tc>
                <w:tc>
                  <w:tcPr>
                    <w:tcW w:w="439" w:type="pct"/>
                    <w:vAlign w:val="bottom"/>
                  </w:tcPr>
                  <w:p w14:paraId="626D5E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-345,488,092.53</w:t>
                    </w:r>
                  </w:p>
                </w:tc>
                <w:tc>
                  <w:tcPr>
                    <w:tcW w:w="143" w:type="pct"/>
                    <w:vAlign w:val="bottom"/>
                  </w:tcPr>
                  <w:p w14:paraId="18C680DE" w14:textId="77777777" w:rsidR="00D21C1F" w:rsidRDefault="00D21C1F">
                    <w:pPr>
                      <w:jc w:val="right"/>
                      <w:rPr>
                        <w:rFonts w:ascii="Times New Roman" w:hAnsi="Times New Roman" w:cs="Times New Roman"/>
                        <w:sz w:val="16"/>
                        <w:szCs w:val="16"/>
                      </w:rPr>
                    </w:pPr>
                  </w:p>
                </w:tc>
                <w:tc>
                  <w:tcPr>
                    <w:tcW w:w="482" w:type="pct"/>
                    <w:vAlign w:val="bottom"/>
                  </w:tcPr>
                  <w:p w14:paraId="124A8B8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2,109,435,910.69</w:t>
                    </w:r>
                  </w:p>
                </w:tc>
                <w:tc>
                  <w:tcPr>
                    <w:tcW w:w="381" w:type="pct"/>
                    <w:vAlign w:val="bottom"/>
                  </w:tcPr>
                  <w:p w14:paraId="50D7B3C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7,056,143.09</w:t>
                    </w:r>
                  </w:p>
                </w:tc>
                <w:tc>
                  <w:tcPr>
                    <w:tcW w:w="482" w:type="pct"/>
                    <w:vAlign w:val="bottom"/>
                  </w:tcPr>
                  <w:p w14:paraId="7E199FA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2,116,492,053.78</w:t>
                    </w:r>
                  </w:p>
                </w:tc>
              </w:tr>
              <w:tr w:rsidR="00D21C1F" w14:paraId="5962AC20" w14:textId="77777777">
                <w:sdt>
                  <w:sdtPr>
                    <w:tag w:val="_PLD_60156dcb8ac241a7929015e75c8eef16"/>
                    <w:id w:val="67321550"/>
                    <w:lock w:val="sdtLocked"/>
                  </w:sdtPr>
                  <w:sdtEndPr/>
                  <w:sdtContent>
                    <w:tc>
                      <w:tcPr>
                        <w:tcW w:w="383" w:type="pct"/>
                      </w:tcPr>
                      <w:p w14:paraId="4E2F2578" w14:textId="77777777" w:rsidR="00D21C1F" w:rsidRDefault="00A4288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39" w:type="pct"/>
                    <w:vAlign w:val="bottom"/>
                  </w:tcPr>
                  <w:p w14:paraId="01BD3B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397954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9462B5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3F8BC9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486696C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7,373,094.56</w:t>
                    </w:r>
                  </w:p>
                </w:tc>
                <w:tc>
                  <w:tcPr>
                    <w:tcW w:w="208" w:type="pct"/>
                    <w:vAlign w:val="bottom"/>
                  </w:tcPr>
                  <w:p w14:paraId="22B378E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A31441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-14,386,542.25</w:t>
                    </w:r>
                  </w:p>
                </w:tc>
                <w:tc>
                  <w:tcPr>
                    <w:tcW w:w="143" w:type="pct"/>
                    <w:vAlign w:val="bottom"/>
                  </w:tcPr>
                  <w:p w14:paraId="2F0E76A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58EAE35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6219345" w14:textId="77777777" w:rsidR="00D21C1F" w:rsidRDefault="00D21C1F">
                    <w:pPr>
                      <w:jc w:val="right"/>
                      <w:rPr>
                        <w:rFonts w:ascii="Times New Roman" w:hAnsi="Times New Roman" w:cs="Times New Roman"/>
                        <w:sz w:val="16"/>
                        <w:szCs w:val="16"/>
                      </w:rPr>
                    </w:pPr>
                  </w:p>
                </w:tc>
                <w:tc>
                  <w:tcPr>
                    <w:tcW w:w="439" w:type="pct"/>
                    <w:vAlign w:val="bottom"/>
                  </w:tcPr>
                  <w:p w14:paraId="111B9D2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-56,479,024.64</w:t>
                    </w:r>
                  </w:p>
                </w:tc>
                <w:tc>
                  <w:tcPr>
                    <w:tcW w:w="143" w:type="pct"/>
                    <w:vAlign w:val="bottom"/>
                  </w:tcPr>
                  <w:p w14:paraId="6B68A7E6" w14:textId="77777777" w:rsidR="00D21C1F" w:rsidRDefault="00D21C1F">
                    <w:pPr>
                      <w:jc w:val="right"/>
                      <w:rPr>
                        <w:rFonts w:ascii="Times New Roman" w:hAnsi="Times New Roman" w:cs="Times New Roman"/>
                        <w:sz w:val="16"/>
                        <w:szCs w:val="16"/>
                      </w:rPr>
                    </w:pPr>
                  </w:p>
                </w:tc>
                <w:tc>
                  <w:tcPr>
                    <w:tcW w:w="482" w:type="pct"/>
                    <w:vAlign w:val="bottom"/>
                  </w:tcPr>
                  <w:p w14:paraId="28FE0E6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-63,492,472.33</w:t>
                    </w:r>
                  </w:p>
                </w:tc>
                <w:tc>
                  <w:tcPr>
                    <w:tcW w:w="381" w:type="pct"/>
                    <w:vAlign w:val="bottom"/>
                  </w:tcPr>
                  <w:p w14:paraId="357A616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-241,651.66</w:t>
                    </w:r>
                  </w:p>
                </w:tc>
                <w:tc>
                  <w:tcPr>
                    <w:tcW w:w="482" w:type="pct"/>
                    <w:vAlign w:val="bottom"/>
                  </w:tcPr>
                  <w:p w14:paraId="32F76EC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-63,734,123.99</w:t>
                    </w:r>
                  </w:p>
                </w:tc>
              </w:tr>
              <w:tr w:rsidR="00D21C1F" w14:paraId="7739CE56" w14:textId="77777777">
                <w:sdt>
                  <w:sdtPr>
                    <w:tag w:val="_PLD_b05dacde51ff43abaf7ec73bf9668d99"/>
                    <w:id w:val="-901452907"/>
                    <w:lock w:val="sdtLocked"/>
                  </w:sdtPr>
                  <w:sdtEndPr/>
                  <w:sdtContent>
                    <w:tc>
                      <w:tcPr>
                        <w:tcW w:w="383" w:type="pct"/>
                      </w:tcPr>
                      <w:p w14:paraId="397238EB" w14:textId="77777777" w:rsidR="00D21C1F" w:rsidRDefault="00A42880">
                        <w:pPr>
                          <w:rPr>
                            <w:sz w:val="18"/>
                            <w:szCs w:val="18"/>
                          </w:rPr>
                        </w:pPr>
                        <w:r>
                          <w:rPr>
                            <w:rFonts w:hint="eastAsia"/>
                            <w:sz w:val="18"/>
                            <w:szCs w:val="18"/>
                          </w:rPr>
                          <w:t>（一）综合收益总额</w:t>
                        </w:r>
                      </w:p>
                    </w:tc>
                  </w:sdtContent>
                </w:sdt>
                <w:tc>
                  <w:tcPr>
                    <w:tcW w:w="439" w:type="pct"/>
                    <w:vAlign w:val="bottom"/>
                  </w:tcPr>
                  <w:p w14:paraId="6DFE5B6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206261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0EFEA8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F05941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40EF5A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3CF38D9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668CC0D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-14,386,542.25</w:t>
                    </w:r>
                  </w:p>
                </w:tc>
                <w:tc>
                  <w:tcPr>
                    <w:tcW w:w="143" w:type="pct"/>
                    <w:vAlign w:val="bottom"/>
                  </w:tcPr>
                  <w:p w14:paraId="40CEB4C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0" w:type="pct"/>
                    <w:vAlign w:val="bottom"/>
                  </w:tcPr>
                  <w:p w14:paraId="54FAD4E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5C6266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0DBC867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-56,479,024.64</w:t>
                    </w:r>
                  </w:p>
                </w:tc>
                <w:tc>
                  <w:tcPr>
                    <w:tcW w:w="143" w:type="pct"/>
                    <w:vAlign w:val="bottom"/>
                  </w:tcPr>
                  <w:p w14:paraId="147ED0BB" w14:textId="77777777" w:rsidR="00D21C1F" w:rsidRDefault="00D21C1F">
                    <w:pPr>
                      <w:jc w:val="right"/>
                      <w:rPr>
                        <w:rFonts w:ascii="Times New Roman" w:hAnsi="Times New Roman" w:cs="Times New Roman"/>
                        <w:sz w:val="16"/>
                        <w:szCs w:val="16"/>
                      </w:rPr>
                    </w:pPr>
                  </w:p>
                </w:tc>
                <w:tc>
                  <w:tcPr>
                    <w:tcW w:w="482" w:type="pct"/>
                    <w:vAlign w:val="bottom"/>
                  </w:tcPr>
                  <w:p w14:paraId="601A5F7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-70,865,566.89</w:t>
                    </w:r>
                  </w:p>
                </w:tc>
                <w:tc>
                  <w:tcPr>
                    <w:tcW w:w="381" w:type="pct"/>
                    <w:vAlign w:val="bottom"/>
                  </w:tcPr>
                  <w:p w14:paraId="6ECC2CC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-241,651.66</w:t>
                    </w:r>
                  </w:p>
                </w:tc>
                <w:tc>
                  <w:tcPr>
                    <w:tcW w:w="482" w:type="pct"/>
                    <w:vAlign w:val="bottom"/>
                  </w:tcPr>
                  <w:p w14:paraId="29DF512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-71,107,218.55</w:t>
                    </w:r>
                  </w:p>
                </w:tc>
              </w:tr>
              <w:tr w:rsidR="00D21C1F" w14:paraId="5EF7AA16" w14:textId="77777777">
                <w:sdt>
                  <w:sdtPr>
                    <w:tag w:val="_PLD_f17921fb207340239c73a056e615d773"/>
                    <w:id w:val="217485152"/>
                    <w:lock w:val="sdtLocked"/>
                  </w:sdtPr>
                  <w:sdtEndPr/>
                  <w:sdtContent>
                    <w:tc>
                      <w:tcPr>
                        <w:tcW w:w="383" w:type="pct"/>
                      </w:tcPr>
                      <w:p w14:paraId="7FADB2C6" w14:textId="77777777" w:rsidR="00D21C1F" w:rsidRDefault="00A42880">
                        <w:pPr>
                          <w:rPr>
                            <w:sz w:val="18"/>
                            <w:szCs w:val="18"/>
                          </w:rPr>
                        </w:pPr>
                        <w:r>
                          <w:rPr>
                            <w:sz w:val="18"/>
                            <w:szCs w:val="18"/>
                          </w:rPr>
                          <w:t>（</w:t>
                        </w:r>
                        <w:r>
                          <w:rPr>
                            <w:rFonts w:hint="eastAsia"/>
                            <w:sz w:val="18"/>
                            <w:szCs w:val="18"/>
                          </w:rPr>
                          <w:t>二</w:t>
                        </w:r>
                        <w:r>
                          <w:rPr>
                            <w:sz w:val="18"/>
                            <w:szCs w:val="18"/>
                          </w:rPr>
                          <w:t>）所有者投入</w:t>
                        </w:r>
                        <w:r>
                          <w:rPr>
                            <w:sz w:val="18"/>
                            <w:szCs w:val="18"/>
                          </w:rPr>
                          <w:lastRenderedPageBreak/>
                          <w:t>和减少资本</w:t>
                        </w:r>
                      </w:p>
                    </w:tc>
                  </w:sdtContent>
                </w:sdt>
                <w:tc>
                  <w:tcPr>
                    <w:tcW w:w="439" w:type="pct"/>
                    <w:vAlign w:val="bottom"/>
                  </w:tcPr>
                  <w:p w14:paraId="45B047B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lastRenderedPageBreak/>
                      <w:t>-</w:t>
                    </w:r>
                  </w:p>
                </w:tc>
                <w:tc>
                  <w:tcPr>
                    <w:tcW w:w="143" w:type="pct"/>
                    <w:vAlign w:val="bottom"/>
                  </w:tcPr>
                  <w:p w14:paraId="16BD40EF" w14:textId="77777777" w:rsidR="00D21C1F" w:rsidRDefault="00D21C1F">
                    <w:pPr>
                      <w:jc w:val="right"/>
                      <w:rPr>
                        <w:rFonts w:ascii="Times New Roman" w:hAnsi="Times New Roman" w:cs="Times New Roman"/>
                        <w:sz w:val="16"/>
                        <w:szCs w:val="16"/>
                      </w:rPr>
                    </w:pPr>
                  </w:p>
                </w:tc>
                <w:tc>
                  <w:tcPr>
                    <w:tcW w:w="143" w:type="pct"/>
                    <w:vAlign w:val="bottom"/>
                  </w:tcPr>
                  <w:p w14:paraId="7570BC6E" w14:textId="77777777" w:rsidR="00D21C1F" w:rsidRDefault="00D21C1F">
                    <w:pPr>
                      <w:jc w:val="right"/>
                      <w:rPr>
                        <w:rFonts w:ascii="Times New Roman" w:hAnsi="Times New Roman" w:cs="Times New Roman"/>
                        <w:sz w:val="16"/>
                        <w:szCs w:val="16"/>
                      </w:rPr>
                    </w:pPr>
                  </w:p>
                </w:tc>
                <w:tc>
                  <w:tcPr>
                    <w:tcW w:w="143" w:type="pct"/>
                    <w:vAlign w:val="bottom"/>
                  </w:tcPr>
                  <w:p w14:paraId="00F9BD3A" w14:textId="77777777" w:rsidR="00D21C1F" w:rsidRDefault="00D21C1F">
                    <w:pPr>
                      <w:jc w:val="right"/>
                      <w:rPr>
                        <w:rFonts w:ascii="Times New Roman" w:hAnsi="Times New Roman" w:cs="Times New Roman"/>
                        <w:sz w:val="16"/>
                        <w:szCs w:val="16"/>
                      </w:rPr>
                    </w:pPr>
                  </w:p>
                </w:tc>
                <w:tc>
                  <w:tcPr>
                    <w:tcW w:w="482" w:type="pct"/>
                    <w:vAlign w:val="bottom"/>
                  </w:tcPr>
                  <w:p w14:paraId="07DD17E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7,373,094.56</w:t>
                    </w:r>
                  </w:p>
                </w:tc>
                <w:tc>
                  <w:tcPr>
                    <w:tcW w:w="208" w:type="pct"/>
                    <w:vAlign w:val="bottom"/>
                  </w:tcPr>
                  <w:p w14:paraId="47EA33A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7ECDAC35" w14:textId="77777777" w:rsidR="00D21C1F" w:rsidRDefault="00D21C1F">
                    <w:pPr>
                      <w:jc w:val="right"/>
                      <w:rPr>
                        <w:rFonts w:ascii="Times New Roman" w:hAnsi="Times New Roman" w:cs="Times New Roman"/>
                        <w:sz w:val="16"/>
                        <w:szCs w:val="16"/>
                      </w:rPr>
                    </w:pPr>
                  </w:p>
                </w:tc>
                <w:tc>
                  <w:tcPr>
                    <w:tcW w:w="143" w:type="pct"/>
                    <w:vAlign w:val="bottom"/>
                  </w:tcPr>
                  <w:p w14:paraId="3354578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45ADB93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4A76C84" w14:textId="77777777" w:rsidR="00D21C1F" w:rsidRDefault="00D21C1F">
                    <w:pPr>
                      <w:jc w:val="right"/>
                      <w:rPr>
                        <w:rFonts w:ascii="Times New Roman" w:hAnsi="Times New Roman" w:cs="Times New Roman"/>
                        <w:sz w:val="16"/>
                        <w:szCs w:val="16"/>
                      </w:rPr>
                    </w:pPr>
                  </w:p>
                </w:tc>
                <w:tc>
                  <w:tcPr>
                    <w:tcW w:w="439" w:type="pct"/>
                    <w:vAlign w:val="bottom"/>
                  </w:tcPr>
                  <w:p w14:paraId="15FACF4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1EDDF82" w14:textId="77777777" w:rsidR="00D21C1F" w:rsidRDefault="00D21C1F">
                    <w:pPr>
                      <w:jc w:val="right"/>
                      <w:rPr>
                        <w:rFonts w:ascii="Times New Roman" w:hAnsi="Times New Roman" w:cs="Times New Roman"/>
                        <w:sz w:val="16"/>
                        <w:szCs w:val="16"/>
                      </w:rPr>
                    </w:pPr>
                  </w:p>
                </w:tc>
                <w:tc>
                  <w:tcPr>
                    <w:tcW w:w="482" w:type="pct"/>
                    <w:vAlign w:val="bottom"/>
                  </w:tcPr>
                  <w:p w14:paraId="2DA4517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7,373,094.56</w:t>
                    </w:r>
                  </w:p>
                </w:tc>
                <w:tc>
                  <w:tcPr>
                    <w:tcW w:w="381" w:type="pct"/>
                    <w:vAlign w:val="bottom"/>
                  </w:tcPr>
                  <w:p w14:paraId="13D6613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25CD8D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7,373,094.56</w:t>
                    </w:r>
                  </w:p>
                </w:tc>
              </w:tr>
              <w:tr w:rsidR="00D21C1F" w14:paraId="58CB72F5" w14:textId="77777777">
                <w:sdt>
                  <w:sdtPr>
                    <w:tag w:val="_PLD_a4e5a1909d05445a88f8a664e237ae02"/>
                    <w:id w:val="-1231220741"/>
                    <w:lock w:val="sdtLocked"/>
                  </w:sdtPr>
                  <w:sdtEndPr/>
                  <w:sdtContent>
                    <w:tc>
                      <w:tcPr>
                        <w:tcW w:w="383" w:type="pct"/>
                      </w:tcPr>
                      <w:p w14:paraId="5E45031B" w14:textId="77777777" w:rsidR="00D21C1F" w:rsidRDefault="00A42880">
                        <w:pPr>
                          <w:rPr>
                            <w:sz w:val="18"/>
                            <w:szCs w:val="18"/>
                          </w:rPr>
                        </w:pPr>
                        <w:r>
                          <w:rPr>
                            <w:rFonts w:ascii="Times New Roman" w:hAnsi="Times New Roman" w:hint="eastAsia"/>
                            <w:sz w:val="18"/>
                            <w:szCs w:val="18"/>
                          </w:rPr>
                          <w:t>1</w:t>
                        </w:r>
                        <w:r>
                          <w:rPr>
                            <w:rFonts w:hint="eastAsia"/>
                            <w:sz w:val="18"/>
                            <w:szCs w:val="18"/>
                          </w:rPr>
                          <w:t>．所有者投入的普通股</w:t>
                        </w:r>
                      </w:p>
                    </w:tc>
                  </w:sdtContent>
                </w:sdt>
                <w:tc>
                  <w:tcPr>
                    <w:tcW w:w="439" w:type="pct"/>
                    <w:vAlign w:val="bottom"/>
                  </w:tcPr>
                  <w:p w14:paraId="1894F8F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620645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3B5349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9AE80E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5694232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0C14F4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AEBCCE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32007C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5ED7BCB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5701E7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094C73A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4FC78C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4B3025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126EF5A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45D35E0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7CF42A80" w14:textId="77777777">
                <w:sdt>
                  <w:sdtPr>
                    <w:tag w:val="_PLD_00983bc5e4cc404f92b2fab2c532ec5f"/>
                    <w:id w:val="1732196226"/>
                    <w:lock w:val="sdtLocked"/>
                  </w:sdtPr>
                  <w:sdtEndPr/>
                  <w:sdtContent>
                    <w:tc>
                      <w:tcPr>
                        <w:tcW w:w="383" w:type="pct"/>
                      </w:tcPr>
                      <w:p w14:paraId="10060C3B" w14:textId="77777777" w:rsidR="00D21C1F" w:rsidRDefault="00A42880">
                        <w:pPr>
                          <w:rPr>
                            <w:sz w:val="18"/>
                            <w:szCs w:val="18"/>
                          </w:rPr>
                        </w:pPr>
                        <w:r>
                          <w:rPr>
                            <w:rFonts w:ascii="Times New Roman" w:hAnsi="Times New Roman" w:hint="eastAsia"/>
                            <w:sz w:val="18"/>
                            <w:szCs w:val="18"/>
                          </w:rPr>
                          <w:t>2</w:t>
                        </w:r>
                        <w:r>
                          <w:rPr>
                            <w:rFonts w:hint="eastAsia"/>
                            <w:sz w:val="18"/>
                            <w:szCs w:val="18"/>
                          </w:rPr>
                          <w:t>．其他权益工具持有者投入资本</w:t>
                        </w:r>
                      </w:p>
                    </w:tc>
                  </w:sdtContent>
                </w:sdt>
                <w:tc>
                  <w:tcPr>
                    <w:tcW w:w="439" w:type="pct"/>
                    <w:vAlign w:val="bottom"/>
                  </w:tcPr>
                  <w:p w14:paraId="530FE42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3AFEF1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F7490D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5E62EA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A98714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153E2B2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0D0B1F4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EBC075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0E735E7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AFADF0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054A0DE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504C13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2755A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0B298C6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53FBC65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1C19977B" w14:textId="77777777">
                <w:sdt>
                  <w:sdtPr>
                    <w:tag w:val="_PLD_b945685508384f75ad9507566dd406a5"/>
                    <w:id w:val="-1185511893"/>
                    <w:lock w:val="sdtLocked"/>
                  </w:sdtPr>
                  <w:sdtEndPr/>
                  <w:sdtContent>
                    <w:tc>
                      <w:tcPr>
                        <w:tcW w:w="383" w:type="pct"/>
                      </w:tcPr>
                      <w:p w14:paraId="3E0F7439" w14:textId="77777777" w:rsidR="00D21C1F" w:rsidRDefault="00A42880">
                        <w:pPr>
                          <w:rPr>
                            <w:sz w:val="18"/>
                            <w:szCs w:val="18"/>
                          </w:rPr>
                        </w:pPr>
                        <w:r>
                          <w:rPr>
                            <w:rFonts w:ascii="Times New Roman" w:hAnsi="Times New Roman" w:hint="eastAsia"/>
                            <w:sz w:val="18"/>
                            <w:szCs w:val="18"/>
                          </w:rPr>
                          <w:t>3</w:t>
                        </w:r>
                        <w:r>
                          <w:rPr>
                            <w:sz w:val="18"/>
                            <w:szCs w:val="18"/>
                          </w:rPr>
                          <w:t>．股份支付计入所有者权益的金额</w:t>
                        </w:r>
                      </w:p>
                    </w:tc>
                  </w:sdtContent>
                </w:sdt>
                <w:tc>
                  <w:tcPr>
                    <w:tcW w:w="439" w:type="pct"/>
                    <w:vAlign w:val="bottom"/>
                  </w:tcPr>
                  <w:p w14:paraId="71EA952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F681EC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8729C9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FEDA82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B5846C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7,246,840.00</w:t>
                    </w:r>
                  </w:p>
                </w:tc>
                <w:tc>
                  <w:tcPr>
                    <w:tcW w:w="208" w:type="pct"/>
                    <w:vAlign w:val="bottom"/>
                  </w:tcPr>
                  <w:p w14:paraId="749FB74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2E47E69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76695D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0" w:type="pct"/>
                    <w:vAlign w:val="bottom"/>
                  </w:tcPr>
                  <w:p w14:paraId="558FF2A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E5E14A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4A4AB51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F12013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0C51D8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7,246,840.00</w:t>
                    </w:r>
                  </w:p>
                </w:tc>
                <w:tc>
                  <w:tcPr>
                    <w:tcW w:w="381" w:type="pct"/>
                    <w:vAlign w:val="bottom"/>
                  </w:tcPr>
                  <w:p w14:paraId="050AA4A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45A6D2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7,246,840.00</w:t>
                    </w:r>
                  </w:p>
                </w:tc>
              </w:tr>
              <w:tr w:rsidR="00D21C1F" w14:paraId="195C2710" w14:textId="77777777">
                <w:sdt>
                  <w:sdtPr>
                    <w:tag w:val="_PLD_86538f5d06744ca9be65b0b439b17643"/>
                    <w:id w:val="-1956013090"/>
                    <w:lock w:val="sdtLocked"/>
                  </w:sdtPr>
                  <w:sdtEndPr/>
                  <w:sdtContent>
                    <w:tc>
                      <w:tcPr>
                        <w:tcW w:w="383" w:type="pct"/>
                      </w:tcPr>
                      <w:p w14:paraId="1CD51344" w14:textId="77777777" w:rsidR="00D21C1F" w:rsidRDefault="00A42880">
                        <w:pPr>
                          <w:rPr>
                            <w:sz w:val="18"/>
                            <w:szCs w:val="18"/>
                          </w:rPr>
                        </w:pPr>
                        <w:r>
                          <w:rPr>
                            <w:rFonts w:ascii="Times New Roman" w:hAnsi="Times New Roman" w:hint="eastAsia"/>
                            <w:sz w:val="18"/>
                            <w:szCs w:val="18"/>
                          </w:rPr>
                          <w:t>4</w:t>
                        </w:r>
                        <w:r>
                          <w:rPr>
                            <w:sz w:val="18"/>
                            <w:szCs w:val="18"/>
                          </w:rPr>
                          <w:t>．其他</w:t>
                        </w:r>
                      </w:p>
                    </w:tc>
                  </w:sdtContent>
                </w:sdt>
                <w:tc>
                  <w:tcPr>
                    <w:tcW w:w="439" w:type="pct"/>
                    <w:vAlign w:val="bottom"/>
                  </w:tcPr>
                  <w:p w14:paraId="3550D96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9B19CC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DD9A13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10AAA1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12C693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126,254.56</w:t>
                    </w:r>
                  </w:p>
                </w:tc>
                <w:tc>
                  <w:tcPr>
                    <w:tcW w:w="208" w:type="pct"/>
                    <w:vAlign w:val="bottom"/>
                  </w:tcPr>
                  <w:p w14:paraId="7FCDE8B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19652D4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98738F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0" w:type="pct"/>
                    <w:vAlign w:val="bottom"/>
                  </w:tcPr>
                  <w:p w14:paraId="33A02CD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2E55C9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39" w:type="pct"/>
                    <w:vAlign w:val="bottom"/>
                  </w:tcPr>
                  <w:p w14:paraId="541F06C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5547B1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502863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126,254.56</w:t>
                    </w:r>
                  </w:p>
                </w:tc>
                <w:tc>
                  <w:tcPr>
                    <w:tcW w:w="381" w:type="pct"/>
                    <w:vAlign w:val="bottom"/>
                  </w:tcPr>
                  <w:p w14:paraId="5CE468B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419201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126,254.56</w:t>
                    </w:r>
                  </w:p>
                </w:tc>
              </w:tr>
              <w:tr w:rsidR="00D21C1F" w14:paraId="2254472F" w14:textId="77777777">
                <w:sdt>
                  <w:sdtPr>
                    <w:tag w:val="_PLD_8fb1d678e8ca4e3ba31e34bed05e6c58"/>
                    <w:id w:val="-280493728"/>
                    <w:lock w:val="sdtLocked"/>
                  </w:sdtPr>
                  <w:sdtEndPr/>
                  <w:sdtContent>
                    <w:tc>
                      <w:tcPr>
                        <w:tcW w:w="383" w:type="pct"/>
                      </w:tcPr>
                      <w:p w14:paraId="7F534183" w14:textId="77777777" w:rsidR="00D21C1F" w:rsidRDefault="00A42880">
                        <w:pPr>
                          <w:rPr>
                            <w:sz w:val="18"/>
                            <w:szCs w:val="18"/>
                          </w:rPr>
                        </w:pPr>
                        <w:r>
                          <w:rPr>
                            <w:sz w:val="18"/>
                            <w:szCs w:val="18"/>
                          </w:rPr>
                          <w:t>（</w:t>
                        </w:r>
                        <w:r>
                          <w:rPr>
                            <w:rFonts w:hint="eastAsia"/>
                            <w:sz w:val="18"/>
                            <w:szCs w:val="18"/>
                          </w:rPr>
                          <w:t>三</w:t>
                        </w:r>
                        <w:r>
                          <w:rPr>
                            <w:sz w:val="18"/>
                            <w:szCs w:val="18"/>
                          </w:rPr>
                          <w:t>）利润分配</w:t>
                        </w:r>
                      </w:p>
                    </w:tc>
                  </w:sdtContent>
                </w:sdt>
                <w:tc>
                  <w:tcPr>
                    <w:tcW w:w="439" w:type="pct"/>
                    <w:vAlign w:val="bottom"/>
                  </w:tcPr>
                  <w:p w14:paraId="3805415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CA87F1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720A96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B101E5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4692A2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7183E52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6BF9E23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C68B09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074BBC3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F8073B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7DE3A58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152A7B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AF9698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4D51590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44D1090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66219261" w14:textId="77777777">
                <w:sdt>
                  <w:sdtPr>
                    <w:tag w:val="_PLD_5badbc22860d48e29f8d8d9a4a633d8c"/>
                    <w:id w:val="-143818099"/>
                    <w:lock w:val="sdtLocked"/>
                  </w:sdtPr>
                  <w:sdtEndPr/>
                  <w:sdtContent>
                    <w:tc>
                      <w:tcPr>
                        <w:tcW w:w="383" w:type="pct"/>
                      </w:tcPr>
                      <w:p w14:paraId="163B904C" w14:textId="77777777" w:rsidR="00D21C1F" w:rsidRDefault="00A42880">
                        <w:pPr>
                          <w:rPr>
                            <w:sz w:val="18"/>
                            <w:szCs w:val="18"/>
                          </w:rPr>
                        </w:pPr>
                        <w:r>
                          <w:rPr>
                            <w:rFonts w:ascii="Times New Roman" w:hAnsi="Times New Roman"/>
                            <w:sz w:val="18"/>
                            <w:szCs w:val="18"/>
                          </w:rPr>
                          <w:t>1</w:t>
                        </w:r>
                        <w:r>
                          <w:rPr>
                            <w:sz w:val="18"/>
                            <w:szCs w:val="18"/>
                          </w:rPr>
                          <w:t>．提取盈余公积</w:t>
                        </w:r>
                      </w:p>
                    </w:tc>
                  </w:sdtContent>
                </w:sdt>
                <w:tc>
                  <w:tcPr>
                    <w:tcW w:w="439" w:type="pct"/>
                    <w:vAlign w:val="bottom"/>
                  </w:tcPr>
                  <w:p w14:paraId="061B6C4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514DFB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CD8459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FF30D0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6A475E3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4EF574C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398E2DF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E85581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7C91F0A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5CB1A2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BB6327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7B9D35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EEDBCF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717671F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6800148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56691450" w14:textId="77777777">
                <w:sdt>
                  <w:sdtPr>
                    <w:tag w:val="_PLD_2c8b649d670044a9b5fda521dd40705d"/>
                    <w:id w:val="-1413622550"/>
                    <w:lock w:val="sdtLocked"/>
                  </w:sdtPr>
                  <w:sdtEndPr/>
                  <w:sdtContent>
                    <w:tc>
                      <w:tcPr>
                        <w:tcW w:w="383" w:type="pct"/>
                      </w:tcPr>
                      <w:p w14:paraId="30F98AAD" w14:textId="77777777" w:rsidR="00D21C1F" w:rsidRDefault="00A42880">
                        <w:pPr>
                          <w:rPr>
                            <w:sz w:val="18"/>
                            <w:szCs w:val="18"/>
                          </w:rPr>
                        </w:pPr>
                        <w:r>
                          <w:rPr>
                            <w:rFonts w:ascii="Times New Roman" w:hAnsi="Times New Roman"/>
                            <w:sz w:val="18"/>
                            <w:szCs w:val="18"/>
                          </w:rPr>
                          <w:t>2</w:t>
                        </w:r>
                        <w:r>
                          <w:rPr>
                            <w:sz w:val="18"/>
                            <w:szCs w:val="18"/>
                          </w:rPr>
                          <w:t>．提取一般风险准备</w:t>
                        </w:r>
                      </w:p>
                    </w:tc>
                  </w:sdtContent>
                </w:sdt>
                <w:tc>
                  <w:tcPr>
                    <w:tcW w:w="439" w:type="pct"/>
                    <w:vAlign w:val="bottom"/>
                  </w:tcPr>
                  <w:p w14:paraId="7049D6D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BC4586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67FBD1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D85B6C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4DC1DC9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21376C3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663F1CA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E3BD02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77ACF73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195597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9960B9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C466B4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48E661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05EEB43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3185004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09F5E941" w14:textId="77777777">
                <w:sdt>
                  <w:sdtPr>
                    <w:tag w:val="_PLD_254428ff3bee49c2acd11ef634901543"/>
                    <w:id w:val="-2060549585"/>
                    <w:lock w:val="sdtLocked"/>
                  </w:sdtPr>
                  <w:sdtEndPr/>
                  <w:sdtContent>
                    <w:tc>
                      <w:tcPr>
                        <w:tcW w:w="383" w:type="pct"/>
                      </w:tcPr>
                      <w:p w14:paraId="183D1D74" w14:textId="77777777" w:rsidR="00D21C1F" w:rsidRDefault="00A42880">
                        <w:pPr>
                          <w:rPr>
                            <w:sz w:val="18"/>
                            <w:szCs w:val="18"/>
                          </w:rPr>
                        </w:pPr>
                        <w:r>
                          <w:rPr>
                            <w:rFonts w:ascii="Times New Roman" w:hAnsi="Times New Roman"/>
                            <w:sz w:val="18"/>
                            <w:szCs w:val="18"/>
                          </w:rPr>
                          <w:t>3</w:t>
                        </w:r>
                        <w:r>
                          <w:rPr>
                            <w:sz w:val="18"/>
                            <w:szCs w:val="18"/>
                          </w:rPr>
                          <w:t>．对所有者（或股东）的分配</w:t>
                        </w:r>
                      </w:p>
                    </w:tc>
                  </w:sdtContent>
                </w:sdt>
                <w:tc>
                  <w:tcPr>
                    <w:tcW w:w="439" w:type="pct"/>
                    <w:vAlign w:val="bottom"/>
                  </w:tcPr>
                  <w:p w14:paraId="7B9F9D3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55E478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CEAE11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9C9B0B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98CCDB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19BCEE0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00034DE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9D0002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5BA2368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912AB5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C4476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98EB83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33F029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2352E2B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3DD0AFD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79B5D37F" w14:textId="77777777">
                <w:sdt>
                  <w:sdtPr>
                    <w:tag w:val="_PLD_b3d350728a6c49ccaa6dbb4adf16c691"/>
                    <w:id w:val="-1859735497"/>
                    <w:lock w:val="sdtLocked"/>
                  </w:sdtPr>
                  <w:sdtEndPr/>
                  <w:sdtContent>
                    <w:tc>
                      <w:tcPr>
                        <w:tcW w:w="383" w:type="pct"/>
                      </w:tcPr>
                      <w:p w14:paraId="3A020D8C" w14:textId="77777777" w:rsidR="00D21C1F" w:rsidRDefault="00A42880">
                        <w:pPr>
                          <w:rPr>
                            <w:sz w:val="18"/>
                            <w:szCs w:val="18"/>
                          </w:rPr>
                        </w:pPr>
                        <w:r>
                          <w:rPr>
                            <w:rFonts w:ascii="Times New Roman" w:hAnsi="Times New Roman"/>
                            <w:sz w:val="18"/>
                            <w:szCs w:val="18"/>
                          </w:rPr>
                          <w:t>4</w:t>
                        </w:r>
                        <w:r>
                          <w:rPr>
                            <w:sz w:val="18"/>
                            <w:szCs w:val="18"/>
                          </w:rPr>
                          <w:t>．其他</w:t>
                        </w:r>
                      </w:p>
                    </w:tc>
                  </w:sdtContent>
                </w:sdt>
                <w:tc>
                  <w:tcPr>
                    <w:tcW w:w="439" w:type="pct"/>
                    <w:vAlign w:val="bottom"/>
                  </w:tcPr>
                  <w:p w14:paraId="7BCE90C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E94B86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A72EB0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5AE904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4E1EAD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09FB9F1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512EC6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204FED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64B177D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750397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2BBA794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BCC79B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5E65DC7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04C76E3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1DB00A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63DEA2F2" w14:textId="77777777">
                <w:sdt>
                  <w:sdtPr>
                    <w:tag w:val="_PLD_03ab84b7536c4ddcaaad4c99a2dd5fd3"/>
                    <w:id w:val="-2118131503"/>
                    <w:lock w:val="sdtLocked"/>
                  </w:sdtPr>
                  <w:sdtEndPr/>
                  <w:sdtContent>
                    <w:tc>
                      <w:tcPr>
                        <w:tcW w:w="383" w:type="pct"/>
                      </w:tcPr>
                      <w:p w14:paraId="4F7FA9A5" w14:textId="77777777" w:rsidR="00D21C1F" w:rsidRDefault="00A42880">
                        <w:pPr>
                          <w:rPr>
                            <w:sz w:val="18"/>
                            <w:szCs w:val="18"/>
                          </w:rPr>
                        </w:pPr>
                        <w:r>
                          <w:rPr>
                            <w:sz w:val="18"/>
                            <w:szCs w:val="18"/>
                          </w:rPr>
                          <w:t>（</w:t>
                        </w:r>
                        <w:r>
                          <w:rPr>
                            <w:rFonts w:hint="eastAsia"/>
                            <w:sz w:val="18"/>
                            <w:szCs w:val="18"/>
                          </w:rPr>
                          <w:t>四</w:t>
                        </w:r>
                        <w:r>
                          <w:rPr>
                            <w:sz w:val="18"/>
                            <w:szCs w:val="18"/>
                          </w:rPr>
                          <w:t>）所有者权益内部结转</w:t>
                        </w:r>
                      </w:p>
                    </w:tc>
                  </w:sdtContent>
                </w:sdt>
                <w:tc>
                  <w:tcPr>
                    <w:tcW w:w="439" w:type="pct"/>
                    <w:vAlign w:val="bottom"/>
                  </w:tcPr>
                  <w:p w14:paraId="6F9BF82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D8CE35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0FB3AE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11095A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6448FAC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5ECAAF5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20B4814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7D06C3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21D54C2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ED6846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6A1306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0CB2EA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DCA400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2305E65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3463632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00B66548" w14:textId="77777777">
                <w:sdt>
                  <w:sdtPr>
                    <w:tag w:val="_PLD_88233f88b9ea4ceb82a1cc6cd7a5030d"/>
                    <w:id w:val="198211121"/>
                    <w:lock w:val="sdtLocked"/>
                  </w:sdtPr>
                  <w:sdtEndPr/>
                  <w:sdtContent>
                    <w:tc>
                      <w:tcPr>
                        <w:tcW w:w="383" w:type="pct"/>
                      </w:tcPr>
                      <w:p w14:paraId="6F1DF7B7" w14:textId="77777777" w:rsidR="00D21C1F" w:rsidRDefault="00A42880">
                        <w:pPr>
                          <w:rPr>
                            <w:sz w:val="18"/>
                            <w:szCs w:val="18"/>
                          </w:rPr>
                        </w:pPr>
                        <w:r>
                          <w:rPr>
                            <w:rFonts w:ascii="Times New Roman" w:hAnsi="Times New Roman"/>
                            <w:sz w:val="18"/>
                            <w:szCs w:val="18"/>
                          </w:rPr>
                          <w:t>1</w:t>
                        </w:r>
                        <w:r>
                          <w:rPr>
                            <w:sz w:val="18"/>
                            <w:szCs w:val="18"/>
                          </w:rPr>
                          <w:t>．资本公积转增资本（或股本）</w:t>
                        </w:r>
                      </w:p>
                    </w:tc>
                  </w:sdtContent>
                </w:sdt>
                <w:tc>
                  <w:tcPr>
                    <w:tcW w:w="439" w:type="pct"/>
                    <w:vAlign w:val="bottom"/>
                  </w:tcPr>
                  <w:p w14:paraId="6BB508E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B22CB6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0E1E74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572D68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19DC2C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4C471BA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EFD703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BC713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5F3B32B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D1602A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070AEE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DF21BC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1C21391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4197712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69DDE56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78D7EFBC" w14:textId="77777777">
                <w:sdt>
                  <w:sdtPr>
                    <w:tag w:val="_PLD_4a9492c5a232434296cfdef5eeded778"/>
                    <w:id w:val="-1896039121"/>
                    <w:lock w:val="sdtLocked"/>
                  </w:sdtPr>
                  <w:sdtEndPr/>
                  <w:sdtContent>
                    <w:tc>
                      <w:tcPr>
                        <w:tcW w:w="383" w:type="pct"/>
                      </w:tcPr>
                      <w:p w14:paraId="70582BDB" w14:textId="77777777" w:rsidR="00D21C1F" w:rsidRDefault="00A42880">
                        <w:pPr>
                          <w:rPr>
                            <w:sz w:val="18"/>
                            <w:szCs w:val="18"/>
                          </w:rPr>
                        </w:pPr>
                        <w:r>
                          <w:rPr>
                            <w:rFonts w:ascii="Times New Roman" w:hAnsi="Times New Roman"/>
                            <w:sz w:val="18"/>
                            <w:szCs w:val="18"/>
                          </w:rPr>
                          <w:t>2</w:t>
                        </w:r>
                        <w:r>
                          <w:rPr>
                            <w:sz w:val="18"/>
                            <w:szCs w:val="18"/>
                          </w:rPr>
                          <w:t>．盈余公积转增资</w:t>
                        </w:r>
                        <w:r>
                          <w:rPr>
                            <w:sz w:val="18"/>
                            <w:szCs w:val="18"/>
                          </w:rPr>
                          <w:lastRenderedPageBreak/>
                          <w:t>本（或股本）</w:t>
                        </w:r>
                      </w:p>
                    </w:tc>
                  </w:sdtContent>
                </w:sdt>
                <w:tc>
                  <w:tcPr>
                    <w:tcW w:w="439" w:type="pct"/>
                    <w:vAlign w:val="bottom"/>
                  </w:tcPr>
                  <w:p w14:paraId="0197735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lastRenderedPageBreak/>
                      <w:t>-</w:t>
                    </w:r>
                  </w:p>
                </w:tc>
                <w:tc>
                  <w:tcPr>
                    <w:tcW w:w="143" w:type="pct"/>
                    <w:vAlign w:val="bottom"/>
                  </w:tcPr>
                  <w:p w14:paraId="2A2F81B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B90A93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7B896D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F80392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751CA4A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66E518F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DFACF0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19E46A6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AD3A43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450FE1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231C13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9CDCED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3784FDF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4101A9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0140E011" w14:textId="77777777">
                <w:sdt>
                  <w:sdtPr>
                    <w:tag w:val="_PLD_25911664beff496799fc3193be7c3182"/>
                    <w:id w:val="124976168"/>
                    <w:lock w:val="sdtLocked"/>
                  </w:sdtPr>
                  <w:sdtEndPr/>
                  <w:sdtContent>
                    <w:tc>
                      <w:tcPr>
                        <w:tcW w:w="383" w:type="pct"/>
                      </w:tcPr>
                      <w:p w14:paraId="0F14EEF1" w14:textId="77777777" w:rsidR="00D21C1F" w:rsidRDefault="00A42880">
                        <w:pPr>
                          <w:rPr>
                            <w:sz w:val="18"/>
                            <w:szCs w:val="18"/>
                          </w:rPr>
                        </w:pPr>
                        <w:r>
                          <w:rPr>
                            <w:rFonts w:ascii="Times New Roman" w:hAnsi="Times New Roman"/>
                            <w:sz w:val="18"/>
                            <w:szCs w:val="18"/>
                          </w:rPr>
                          <w:t>3</w:t>
                        </w:r>
                        <w:r>
                          <w:rPr>
                            <w:sz w:val="18"/>
                            <w:szCs w:val="18"/>
                          </w:rPr>
                          <w:t>．盈余公积弥补亏损</w:t>
                        </w:r>
                      </w:p>
                    </w:tc>
                  </w:sdtContent>
                </w:sdt>
                <w:tc>
                  <w:tcPr>
                    <w:tcW w:w="439" w:type="pct"/>
                    <w:vAlign w:val="bottom"/>
                  </w:tcPr>
                  <w:p w14:paraId="311F5FE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BAEFE4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35DD01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1041A0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5686AE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41DA9F6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7B22DB5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3462C3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361A30A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5C8B91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2071194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DE3403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22330C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1B13485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4DCB09B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6B0A0E69" w14:textId="77777777">
                <w:tc>
                  <w:tcPr>
                    <w:tcW w:w="383" w:type="pct"/>
                  </w:tcPr>
                  <w:sdt>
                    <w:sdtPr>
                      <w:rPr>
                        <w:sz w:val="18"/>
                        <w:szCs w:val="18"/>
                      </w:rPr>
                      <w:tag w:val="_PLD_c2918ada9b53437193e4f9cfffa064e3"/>
                      <w:id w:val="159132977"/>
                      <w:lock w:val="sdtLocked"/>
                    </w:sdtPr>
                    <w:sdtEndPr/>
                    <w:sdtContent>
                      <w:p w14:paraId="30E0A832" w14:textId="77777777" w:rsidR="00D21C1F" w:rsidRDefault="00A42880">
                        <w:pPr>
                          <w:pStyle w:val="97"/>
                        </w:pPr>
                        <w:r>
                          <w:rPr>
                            <w:rFonts w:ascii="Times New Roman" w:hAnsi="Times New Roman"/>
                            <w:sz w:val="18"/>
                            <w:szCs w:val="18"/>
                          </w:rPr>
                          <w:t>4</w:t>
                        </w:r>
                        <w:r>
                          <w:rPr>
                            <w:sz w:val="18"/>
                            <w:szCs w:val="18"/>
                          </w:rPr>
                          <w:t>．设定受益计划变动额结转留存收益</w:t>
                        </w:r>
                      </w:p>
                    </w:sdtContent>
                  </w:sdt>
                </w:tc>
                <w:tc>
                  <w:tcPr>
                    <w:tcW w:w="439" w:type="pct"/>
                    <w:vAlign w:val="bottom"/>
                  </w:tcPr>
                  <w:p w14:paraId="35A14C9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804650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BA4C52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B2CAD4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BFF7E0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03922C6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9BE5A2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695C29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2A560F3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2918E7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65131F8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9AD760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E94D6C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2F00AF5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4854749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78030704" w14:textId="77777777">
                <w:tc>
                  <w:tcPr>
                    <w:tcW w:w="383" w:type="pct"/>
                  </w:tcPr>
                  <w:sdt>
                    <w:sdtPr>
                      <w:rPr>
                        <w:sz w:val="18"/>
                        <w:szCs w:val="18"/>
                      </w:rPr>
                      <w:tag w:val="_PLD_ea153cdd99f74bf1b50bc1743d25f429"/>
                      <w:id w:val="130067497"/>
                      <w:lock w:val="sdtLocked"/>
                    </w:sdtPr>
                    <w:sdtEndPr/>
                    <w:sdtContent>
                      <w:p w14:paraId="7BD7C382" w14:textId="77777777" w:rsidR="00D21C1F" w:rsidRDefault="00A42880">
                        <w:pPr>
                          <w:rPr>
                            <w:sz w:val="18"/>
                            <w:szCs w:val="18"/>
                          </w:rPr>
                        </w:pPr>
                        <w:r>
                          <w:rPr>
                            <w:rFonts w:ascii="Times New Roman" w:hAnsi="Times New Roman"/>
                            <w:sz w:val="18"/>
                            <w:szCs w:val="18"/>
                          </w:rPr>
                          <w:t>5</w:t>
                        </w:r>
                        <w:r>
                          <w:rPr>
                            <w:sz w:val="18"/>
                            <w:szCs w:val="18"/>
                          </w:rPr>
                          <w:t>．其他综合收益结转留存收益</w:t>
                        </w:r>
                      </w:p>
                    </w:sdtContent>
                  </w:sdt>
                </w:tc>
                <w:tc>
                  <w:tcPr>
                    <w:tcW w:w="439" w:type="pct"/>
                    <w:vAlign w:val="bottom"/>
                  </w:tcPr>
                  <w:p w14:paraId="1F744BB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B88635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A5820F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1F4FF6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1EF6757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70065EA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3F6929F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07CD78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10644EB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32CE76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CB605E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E0C49B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874446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6F6FE36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3272C52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1AA14667" w14:textId="77777777">
                <w:tc>
                  <w:tcPr>
                    <w:tcW w:w="383" w:type="pct"/>
                  </w:tcPr>
                  <w:sdt>
                    <w:sdtPr>
                      <w:rPr>
                        <w:sz w:val="18"/>
                        <w:szCs w:val="18"/>
                      </w:rPr>
                      <w:tag w:val="_PLD_de42fced9d0547ecb946b8443ac4ea20"/>
                      <w:id w:val="-107126870"/>
                      <w:lock w:val="sdtLocked"/>
                    </w:sdtPr>
                    <w:sdtEndPr/>
                    <w:sdtContent>
                      <w:p w14:paraId="27312315" w14:textId="77777777" w:rsidR="00D21C1F" w:rsidRDefault="00A42880">
                        <w:pPr>
                          <w:pStyle w:val="97"/>
                        </w:pPr>
                        <w:r>
                          <w:rPr>
                            <w:rFonts w:ascii="Times New Roman" w:hAnsi="Times New Roman"/>
                            <w:sz w:val="18"/>
                            <w:szCs w:val="18"/>
                          </w:rPr>
                          <w:t>6</w:t>
                        </w:r>
                        <w:r>
                          <w:rPr>
                            <w:sz w:val="18"/>
                            <w:szCs w:val="18"/>
                          </w:rPr>
                          <w:t>．其他</w:t>
                        </w:r>
                      </w:p>
                    </w:sdtContent>
                  </w:sdt>
                </w:tc>
                <w:tc>
                  <w:tcPr>
                    <w:tcW w:w="439" w:type="pct"/>
                    <w:vAlign w:val="bottom"/>
                  </w:tcPr>
                  <w:p w14:paraId="231BB59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9116CD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C88726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999C99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6BD7561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3F0F491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4874A86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E6CC96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6E77AD1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03927E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2BBD62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B6FF39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30E0E01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3E02A6D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6C6FB3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6C6BA8F3" w14:textId="77777777">
                <w:sdt>
                  <w:sdtPr>
                    <w:tag w:val="_PLD_14d25c6e75074c52a0f884581cc84dba"/>
                    <w:id w:val="1597821909"/>
                    <w:lock w:val="sdtLocked"/>
                  </w:sdtPr>
                  <w:sdtEndPr/>
                  <w:sdtContent>
                    <w:tc>
                      <w:tcPr>
                        <w:tcW w:w="383" w:type="pct"/>
                      </w:tcPr>
                      <w:p w14:paraId="38169ED5" w14:textId="77777777" w:rsidR="00D21C1F" w:rsidRDefault="00A42880">
                        <w:pPr>
                          <w:rPr>
                            <w:sz w:val="18"/>
                            <w:szCs w:val="18"/>
                          </w:rPr>
                        </w:pPr>
                        <w:r>
                          <w:rPr>
                            <w:rFonts w:hint="eastAsia"/>
                            <w:sz w:val="18"/>
                            <w:szCs w:val="18"/>
                          </w:rPr>
                          <w:t>（五）专项储备</w:t>
                        </w:r>
                      </w:p>
                    </w:tc>
                  </w:sdtContent>
                </w:sdt>
                <w:tc>
                  <w:tcPr>
                    <w:tcW w:w="439" w:type="pct"/>
                    <w:vAlign w:val="bottom"/>
                  </w:tcPr>
                  <w:p w14:paraId="56D81A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3B89515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E023DC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709374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179AE19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2BCDDB5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3645EE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C9912D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67749CE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FB4C2E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4A6087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09F6A1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EB6ACC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4110459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284B50E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09F128A0" w14:textId="77777777">
                <w:sdt>
                  <w:sdtPr>
                    <w:tag w:val="_PLD_672c666008dd4adfa2ab5933e9cd1671"/>
                    <w:id w:val="109252302"/>
                    <w:lock w:val="sdtLocked"/>
                  </w:sdtPr>
                  <w:sdtEndPr/>
                  <w:sdtContent>
                    <w:tc>
                      <w:tcPr>
                        <w:tcW w:w="383" w:type="pct"/>
                      </w:tcPr>
                      <w:p w14:paraId="793D55DB" w14:textId="77777777" w:rsidR="00D21C1F" w:rsidRDefault="00A42880">
                        <w:pPr>
                          <w:rPr>
                            <w:sz w:val="18"/>
                            <w:szCs w:val="18"/>
                          </w:rPr>
                        </w:pPr>
                        <w:r>
                          <w:rPr>
                            <w:rFonts w:ascii="Times New Roman" w:hAnsi="Times New Roman" w:hint="eastAsia"/>
                            <w:sz w:val="18"/>
                            <w:szCs w:val="18"/>
                          </w:rPr>
                          <w:t>1</w:t>
                        </w:r>
                        <w:r>
                          <w:rPr>
                            <w:rFonts w:hint="eastAsia"/>
                            <w:sz w:val="18"/>
                            <w:szCs w:val="18"/>
                          </w:rPr>
                          <w:t>．本期提取</w:t>
                        </w:r>
                      </w:p>
                    </w:tc>
                  </w:sdtContent>
                </w:sdt>
                <w:tc>
                  <w:tcPr>
                    <w:tcW w:w="439" w:type="pct"/>
                    <w:vAlign w:val="bottom"/>
                  </w:tcPr>
                  <w:p w14:paraId="41139BD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84E1C2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79B2C4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6FF9D4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4740963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13CE85A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74EB40A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01CE5D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6FAB585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B6870D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0BD1C8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1FB502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613E2F4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29A9559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6046748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537A892" w14:textId="77777777">
                <w:sdt>
                  <w:sdtPr>
                    <w:tag w:val="_PLD_810ec2533aac40f59079e8e8d20e52c3"/>
                    <w:id w:val="1048649300"/>
                    <w:lock w:val="sdtLocked"/>
                  </w:sdtPr>
                  <w:sdtEndPr/>
                  <w:sdtContent>
                    <w:tc>
                      <w:tcPr>
                        <w:tcW w:w="383" w:type="pct"/>
                      </w:tcPr>
                      <w:p w14:paraId="03B043D7" w14:textId="77777777" w:rsidR="00D21C1F" w:rsidRDefault="00A42880">
                        <w:pPr>
                          <w:rPr>
                            <w:sz w:val="18"/>
                            <w:szCs w:val="18"/>
                          </w:rPr>
                        </w:pPr>
                        <w:r>
                          <w:rPr>
                            <w:rFonts w:ascii="Times New Roman" w:hAnsi="Times New Roman" w:hint="eastAsia"/>
                            <w:sz w:val="18"/>
                            <w:szCs w:val="18"/>
                          </w:rPr>
                          <w:t>2</w:t>
                        </w:r>
                        <w:r>
                          <w:rPr>
                            <w:rFonts w:hint="eastAsia"/>
                            <w:sz w:val="18"/>
                            <w:szCs w:val="18"/>
                          </w:rPr>
                          <w:t>．本期使用</w:t>
                        </w:r>
                      </w:p>
                    </w:tc>
                  </w:sdtContent>
                </w:sdt>
                <w:tc>
                  <w:tcPr>
                    <w:tcW w:w="439" w:type="pct"/>
                    <w:vAlign w:val="bottom"/>
                  </w:tcPr>
                  <w:p w14:paraId="1C274E0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AE9EC0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B101E2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460DF8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36C54D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1E00E18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22D7DA5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DDF481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09DC8A9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CBCC71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212DFB0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C04B86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5C2408D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6D74C30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336BAF7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9FF3BA5" w14:textId="77777777">
                <w:sdt>
                  <w:sdtPr>
                    <w:tag w:val="_PLD_f4bc69f9c7d34151a4b7a0d89088f0ee"/>
                    <w:id w:val="-1109280711"/>
                    <w:lock w:val="sdtLocked"/>
                  </w:sdtPr>
                  <w:sdtEndPr/>
                  <w:sdtContent>
                    <w:tc>
                      <w:tcPr>
                        <w:tcW w:w="383" w:type="pct"/>
                      </w:tcPr>
                      <w:p w14:paraId="034ACD4C" w14:textId="77777777" w:rsidR="00D21C1F" w:rsidRDefault="00A42880">
                        <w:pPr>
                          <w:rPr>
                            <w:sz w:val="18"/>
                            <w:szCs w:val="18"/>
                          </w:rPr>
                        </w:pPr>
                        <w:r>
                          <w:rPr>
                            <w:rFonts w:hint="eastAsia"/>
                            <w:sz w:val="18"/>
                            <w:szCs w:val="18"/>
                          </w:rPr>
                          <w:t>（六）其他</w:t>
                        </w:r>
                      </w:p>
                    </w:tc>
                  </w:sdtContent>
                </w:sdt>
                <w:tc>
                  <w:tcPr>
                    <w:tcW w:w="439" w:type="pct"/>
                    <w:vAlign w:val="bottom"/>
                  </w:tcPr>
                  <w:p w14:paraId="67B2916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8822B5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44C5752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662D57F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7494EBB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208" w:type="pct"/>
                    <w:vAlign w:val="bottom"/>
                  </w:tcPr>
                  <w:p w14:paraId="102463F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5F1AC38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20CC0DF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4F40F3E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09DACF9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2A59F3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57D6991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5EBC37A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381" w:type="pct"/>
                    <w:vAlign w:val="bottom"/>
                  </w:tcPr>
                  <w:p w14:paraId="75B0379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04519CF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3A1FBB27" w14:textId="77777777">
                <w:sdt>
                  <w:sdtPr>
                    <w:tag w:val="_PLD_033ca7ec3c1d4c1b905d0af57ca8a614"/>
                    <w:id w:val="-891891723"/>
                    <w:lock w:val="sdtLocked"/>
                  </w:sdtPr>
                  <w:sdtEndPr/>
                  <w:sdtContent>
                    <w:tc>
                      <w:tcPr>
                        <w:tcW w:w="383" w:type="pct"/>
                      </w:tcPr>
                      <w:p w14:paraId="5F9FFE35" w14:textId="77777777" w:rsidR="00D21C1F" w:rsidRDefault="00A42880">
                        <w:pPr>
                          <w:rPr>
                            <w:sz w:val="18"/>
                            <w:szCs w:val="18"/>
                          </w:rPr>
                        </w:pPr>
                        <w:r>
                          <w:rPr>
                            <w:sz w:val="18"/>
                            <w:szCs w:val="18"/>
                          </w:rPr>
                          <w:t>四、本期期末余额</w:t>
                        </w:r>
                      </w:p>
                    </w:tc>
                  </w:sdtContent>
                </w:sdt>
                <w:tc>
                  <w:tcPr>
                    <w:tcW w:w="439" w:type="pct"/>
                    <w:vAlign w:val="bottom"/>
                  </w:tcPr>
                  <w:p w14:paraId="17E82C3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521,780,000.00</w:t>
                    </w:r>
                  </w:p>
                </w:tc>
                <w:tc>
                  <w:tcPr>
                    <w:tcW w:w="143" w:type="pct"/>
                    <w:vAlign w:val="bottom"/>
                  </w:tcPr>
                  <w:p w14:paraId="40F5289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18226D2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3" w:type="pct"/>
                    <w:vAlign w:val="bottom"/>
                  </w:tcPr>
                  <w:p w14:paraId="7BC1BA7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82" w:type="pct"/>
                    <w:vAlign w:val="bottom"/>
                  </w:tcPr>
                  <w:p w14:paraId="521B76D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2,016,677,412.57</w:t>
                    </w:r>
                  </w:p>
                </w:tc>
                <w:tc>
                  <w:tcPr>
                    <w:tcW w:w="208" w:type="pct"/>
                    <w:vAlign w:val="bottom"/>
                  </w:tcPr>
                  <w:p w14:paraId="02AC046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39" w:type="pct"/>
                    <w:vAlign w:val="bottom"/>
                  </w:tcPr>
                  <w:p w14:paraId="1C32CB6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-100,669,763.59</w:t>
                    </w:r>
                  </w:p>
                </w:tc>
                <w:tc>
                  <w:tcPr>
                    <w:tcW w:w="143" w:type="pct"/>
                    <w:vAlign w:val="bottom"/>
                  </w:tcPr>
                  <w:p w14:paraId="63B0EC6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410" w:type="pct"/>
                    <w:vAlign w:val="bottom"/>
                  </w:tcPr>
                  <w:p w14:paraId="156B1E8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10,122,906.55</w:t>
                    </w:r>
                  </w:p>
                </w:tc>
                <w:tc>
                  <w:tcPr>
                    <w:tcW w:w="143" w:type="pct"/>
                    <w:vAlign w:val="bottom"/>
                  </w:tcPr>
                  <w:p w14:paraId="497F6129" w14:textId="77777777" w:rsidR="00D21C1F" w:rsidRDefault="00D21C1F">
                    <w:pPr>
                      <w:jc w:val="right"/>
                      <w:rPr>
                        <w:rFonts w:ascii="Times New Roman" w:hAnsi="Times New Roman" w:cs="Times New Roman"/>
                        <w:sz w:val="16"/>
                        <w:szCs w:val="16"/>
                      </w:rPr>
                    </w:pPr>
                  </w:p>
                </w:tc>
                <w:tc>
                  <w:tcPr>
                    <w:tcW w:w="439" w:type="pct"/>
                    <w:vAlign w:val="bottom"/>
                  </w:tcPr>
                  <w:p w14:paraId="36BF313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-401,967,117.17</w:t>
                    </w:r>
                  </w:p>
                </w:tc>
                <w:tc>
                  <w:tcPr>
                    <w:tcW w:w="143" w:type="pct"/>
                    <w:vAlign w:val="bottom"/>
                  </w:tcPr>
                  <w:p w14:paraId="5FD0FF13" w14:textId="77777777" w:rsidR="00D21C1F" w:rsidRDefault="00D21C1F">
                    <w:pPr>
                      <w:jc w:val="right"/>
                      <w:rPr>
                        <w:rFonts w:ascii="Times New Roman" w:hAnsi="Times New Roman" w:cs="Times New Roman"/>
                        <w:sz w:val="16"/>
                        <w:szCs w:val="16"/>
                      </w:rPr>
                    </w:pPr>
                  </w:p>
                </w:tc>
                <w:tc>
                  <w:tcPr>
                    <w:tcW w:w="482" w:type="pct"/>
                    <w:vAlign w:val="bottom"/>
                  </w:tcPr>
                  <w:p w14:paraId="6FD656C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2,045,943,438.36</w:t>
                    </w:r>
                  </w:p>
                </w:tc>
                <w:tc>
                  <w:tcPr>
                    <w:tcW w:w="381" w:type="pct"/>
                    <w:vAlign w:val="bottom"/>
                  </w:tcPr>
                  <w:p w14:paraId="0CCC69E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6,814,491.43</w:t>
                    </w:r>
                  </w:p>
                </w:tc>
                <w:tc>
                  <w:tcPr>
                    <w:tcW w:w="482" w:type="pct"/>
                    <w:vAlign w:val="bottom"/>
                  </w:tcPr>
                  <w:p w14:paraId="1906EF8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2,052,757,929.79</w:t>
                    </w:r>
                  </w:p>
                </w:tc>
              </w:tr>
            </w:tbl>
            <w:p w14:paraId="6E5B87FA" w14:textId="77777777" w:rsidR="00D21C1F" w:rsidRDefault="00D21C1F">
              <w:pPr>
                <w:snapToGrid w:val="0"/>
                <w:spacing w:line="240" w:lineRule="atLeast"/>
                <w:ind w:rightChars="-759" w:right="-1594"/>
                <w:rPr>
                  <w:szCs w:val="21"/>
                </w:rPr>
              </w:pPr>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216"/>
                <w:gridCol w:w="396"/>
                <w:gridCol w:w="396"/>
                <w:gridCol w:w="463"/>
                <w:gridCol w:w="1336"/>
                <w:gridCol w:w="577"/>
                <w:gridCol w:w="1145"/>
                <w:gridCol w:w="396"/>
                <w:gridCol w:w="1056"/>
                <w:gridCol w:w="396"/>
                <w:gridCol w:w="1267"/>
                <w:gridCol w:w="396"/>
                <w:gridCol w:w="1336"/>
                <w:gridCol w:w="1134"/>
                <w:gridCol w:w="1336"/>
              </w:tblGrid>
              <w:tr w:rsidR="00D21C1F" w14:paraId="12D64CEB" w14:textId="77777777">
                <w:tc>
                  <w:tcPr>
                    <w:tcW w:w="367" w:type="pct"/>
                    <w:vMerge w:val="restart"/>
                    <w:vAlign w:val="center"/>
                  </w:tcPr>
                  <w:sdt>
                    <w:sdtPr>
                      <w:rPr>
                        <w:rFonts w:hint="eastAsia"/>
                        <w:sz w:val="18"/>
                        <w:szCs w:val="18"/>
                      </w:rPr>
                      <w:tag w:val="_PLD_20eb9c9dd1e14fb0a0790f87b63a489d"/>
                      <w:id w:val="1142924592"/>
                      <w:lock w:val="sdtLocked"/>
                    </w:sdtPr>
                    <w:sdtEndPr/>
                    <w:sdtContent>
                      <w:p w14:paraId="487C8698" w14:textId="77777777" w:rsidR="00D21C1F" w:rsidRDefault="00A42880">
                        <w:pPr>
                          <w:snapToGrid w:val="0"/>
                          <w:spacing w:line="240" w:lineRule="atLeast"/>
                          <w:jc w:val="center"/>
                          <w:rPr>
                            <w:sz w:val="18"/>
                            <w:szCs w:val="18"/>
                          </w:rPr>
                        </w:pPr>
                        <w:r>
                          <w:rPr>
                            <w:rFonts w:hint="eastAsia"/>
                            <w:sz w:val="18"/>
                            <w:szCs w:val="18"/>
                          </w:rPr>
                          <w:t>项目</w:t>
                        </w:r>
                      </w:p>
                    </w:sdtContent>
                  </w:sdt>
                </w:tc>
                <w:tc>
                  <w:tcPr>
                    <w:tcW w:w="4633" w:type="pct"/>
                    <w:gridSpan w:val="15"/>
                  </w:tcPr>
                  <w:p w14:paraId="6C4449F6" w14:textId="77777777" w:rsidR="00D21C1F" w:rsidRDefault="00045EC6">
                    <w:pPr>
                      <w:snapToGrid w:val="0"/>
                      <w:spacing w:line="240" w:lineRule="atLeast"/>
                      <w:jc w:val="center"/>
                    </w:pPr>
                    <w:sdt>
                      <w:sdtPr>
                        <w:rPr>
                          <w:rFonts w:hint="eastAsia"/>
                        </w:rPr>
                        <w:tag w:val="_PLD_95c0e6e5f75a49daa1b601f67b7dd704"/>
                        <w:id w:val="-1961955961"/>
                        <w:lock w:val="sdtLocked"/>
                      </w:sdtPr>
                      <w:sdtEndPr/>
                      <w:sdtContent>
                        <w:r w:rsidR="00A42880">
                          <w:rPr>
                            <w:rFonts w:ascii="Times New Roman" w:hAnsi="Times New Roman" w:hint="eastAsia"/>
                            <w:sz w:val="18"/>
                            <w:szCs w:val="18"/>
                          </w:rPr>
                          <w:t>2020</w:t>
                        </w:r>
                        <w:r w:rsidR="00A42880">
                          <w:rPr>
                            <w:rFonts w:hint="eastAsia"/>
                            <w:sz w:val="18"/>
                            <w:szCs w:val="18"/>
                          </w:rPr>
                          <w:t>年半年度</w:t>
                        </w:r>
                      </w:sdtContent>
                    </w:sdt>
                  </w:p>
                </w:tc>
              </w:tr>
              <w:tr w:rsidR="00D21C1F" w14:paraId="214494F3" w14:textId="77777777">
                <w:trPr>
                  <w:trHeight w:val="471"/>
                </w:trPr>
                <w:tc>
                  <w:tcPr>
                    <w:tcW w:w="367" w:type="pct"/>
                    <w:vMerge/>
                  </w:tcPr>
                  <w:p w14:paraId="4251923C" w14:textId="77777777" w:rsidR="00D21C1F" w:rsidRDefault="00D21C1F">
                    <w:pPr>
                      <w:snapToGrid w:val="0"/>
                      <w:spacing w:line="240" w:lineRule="atLeast"/>
                      <w:ind w:rightChars="-759" w:right="-1594"/>
                      <w:rPr>
                        <w:sz w:val="18"/>
                        <w:szCs w:val="18"/>
                      </w:rPr>
                    </w:pPr>
                  </w:p>
                </w:tc>
                <w:sdt>
                  <w:sdtPr>
                    <w:tag w:val="_PLD_3c5d65171933469ea16eac46afc03a54"/>
                    <w:id w:val="-1015689567"/>
                    <w:lock w:val="sdtLocked"/>
                  </w:sdtPr>
                  <w:sdtEndPr/>
                  <w:sdtContent>
                    <w:tc>
                      <w:tcPr>
                        <w:tcW w:w="3742" w:type="pct"/>
                        <w:gridSpan w:val="13"/>
                        <w:vAlign w:val="center"/>
                      </w:tcPr>
                      <w:p w14:paraId="4E63F0D9" w14:textId="77777777" w:rsidR="00D21C1F" w:rsidRDefault="00A42880">
                        <w:pPr>
                          <w:jc w:val="center"/>
                        </w:pPr>
                        <w:r>
                          <w:rPr>
                            <w:sz w:val="18"/>
                            <w:szCs w:val="18"/>
                          </w:rPr>
                          <w:t>归属于母公司所有者权益</w:t>
                        </w:r>
                      </w:p>
                    </w:tc>
                  </w:sdtContent>
                </w:sdt>
                <w:sdt>
                  <w:sdtPr>
                    <w:tag w:val="_PLD_ba7b1c99b1634f48939c500d6c46ce09"/>
                    <w:id w:val="1782151034"/>
                    <w:lock w:val="sdtLocked"/>
                  </w:sdtPr>
                  <w:sdtEndPr/>
                  <w:sdtContent>
                    <w:tc>
                      <w:tcPr>
                        <w:tcW w:w="409" w:type="pct"/>
                        <w:vMerge w:val="restart"/>
                        <w:vAlign w:val="center"/>
                      </w:tcPr>
                      <w:p w14:paraId="6B1B81A2" w14:textId="77777777" w:rsidR="00D21C1F" w:rsidRDefault="00A42880">
                        <w:pPr>
                          <w:jc w:val="center"/>
                          <w:rPr>
                            <w:sz w:val="18"/>
                            <w:szCs w:val="18"/>
                          </w:rPr>
                        </w:pPr>
                        <w:r>
                          <w:rPr>
                            <w:sz w:val="18"/>
                            <w:szCs w:val="18"/>
                          </w:rPr>
                          <w:t>少数股东权益</w:t>
                        </w:r>
                      </w:p>
                    </w:tc>
                  </w:sdtContent>
                </w:sdt>
                <w:sdt>
                  <w:sdtPr>
                    <w:tag w:val="_PLD_fb367567c5f141a5863649df07435b71"/>
                    <w:id w:val="-314099749"/>
                    <w:lock w:val="sdtLocked"/>
                  </w:sdtPr>
                  <w:sdtEndPr/>
                  <w:sdtContent>
                    <w:tc>
                      <w:tcPr>
                        <w:tcW w:w="482" w:type="pct"/>
                        <w:vMerge w:val="restart"/>
                        <w:vAlign w:val="center"/>
                      </w:tcPr>
                      <w:p w14:paraId="194904A9" w14:textId="77777777" w:rsidR="00D21C1F" w:rsidRDefault="00A42880">
                        <w:pPr>
                          <w:jc w:val="center"/>
                          <w:rPr>
                            <w:sz w:val="18"/>
                            <w:szCs w:val="18"/>
                          </w:rPr>
                        </w:pPr>
                        <w:r>
                          <w:rPr>
                            <w:sz w:val="18"/>
                            <w:szCs w:val="18"/>
                          </w:rPr>
                          <w:t>所有者权益合计</w:t>
                        </w:r>
                      </w:p>
                    </w:tc>
                  </w:sdtContent>
                </w:sdt>
              </w:tr>
              <w:tr w:rsidR="00D21C1F" w14:paraId="6548B9E1" w14:textId="77777777">
                <w:trPr>
                  <w:trHeight w:val="383"/>
                </w:trPr>
                <w:tc>
                  <w:tcPr>
                    <w:tcW w:w="367" w:type="pct"/>
                    <w:vMerge/>
                  </w:tcPr>
                  <w:p w14:paraId="5F12E1AD" w14:textId="77777777" w:rsidR="00D21C1F" w:rsidRDefault="00D21C1F">
                    <w:pPr>
                      <w:snapToGrid w:val="0"/>
                      <w:spacing w:line="240" w:lineRule="atLeast"/>
                      <w:ind w:rightChars="-759" w:right="-1594"/>
                      <w:rPr>
                        <w:sz w:val="18"/>
                        <w:szCs w:val="18"/>
                      </w:rPr>
                    </w:pPr>
                  </w:p>
                </w:tc>
                <w:sdt>
                  <w:sdtPr>
                    <w:tag w:val="_PLD_36b3a5c009c04b53b0bd25afc2596e7e"/>
                    <w:id w:val="228207076"/>
                    <w:lock w:val="sdtLocked"/>
                  </w:sdtPr>
                  <w:sdtEndPr/>
                  <w:sdtContent>
                    <w:tc>
                      <w:tcPr>
                        <w:tcW w:w="439" w:type="pct"/>
                        <w:vMerge w:val="restart"/>
                        <w:vAlign w:val="center"/>
                      </w:tcPr>
                      <w:p w14:paraId="72689AE9" w14:textId="77777777" w:rsidR="00D21C1F" w:rsidRDefault="00A42880">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c0579a9940424a129a85d26955bb30bc"/>
                    <w:id w:val="1794399335"/>
                    <w:lock w:val="sdtLocked"/>
                  </w:sdtPr>
                  <w:sdtEndPr/>
                  <w:sdtContent>
                    <w:tc>
                      <w:tcPr>
                        <w:tcW w:w="453" w:type="pct"/>
                        <w:gridSpan w:val="3"/>
                        <w:vAlign w:val="center"/>
                      </w:tcPr>
                      <w:p w14:paraId="320BE085" w14:textId="77777777" w:rsidR="00D21C1F" w:rsidRDefault="00A42880">
                        <w:pPr>
                          <w:snapToGrid w:val="0"/>
                          <w:spacing w:line="240" w:lineRule="atLeast"/>
                          <w:jc w:val="center"/>
                          <w:rPr>
                            <w:sz w:val="18"/>
                            <w:szCs w:val="18"/>
                          </w:rPr>
                        </w:pPr>
                        <w:r>
                          <w:rPr>
                            <w:rFonts w:hint="eastAsia"/>
                            <w:sz w:val="18"/>
                            <w:szCs w:val="18"/>
                          </w:rPr>
                          <w:t>其他权益工具</w:t>
                        </w:r>
                      </w:p>
                    </w:tc>
                  </w:sdtContent>
                </w:sdt>
                <w:sdt>
                  <w:sdtPr>
                    <w:tag w:val="_PLD_f728bf12d1d64c4fa04dfc828a7a0411"/>
                    <w:id w:val="845830180"/>
                    <w:lock w:val="sdtLocked"/>
                  </w:sdtPr>
                  <w:sdtEndPr/>
                  <w:sdtContent>
                    <w:tc>
                      <w:tcPr>
                        <w:tcW w:w="482" w:type="pct"/>
                        <w:vMerge w:val="restart"/>
                        <w:vAlign w:val="center"/>
                      </w:tcPr>
                      <w:p w14:paraId="0CB11C2C" w14:textId="77777777" w:rsidR="00D21C1F" w:rsidRDefault="00A42880">
                        <w:pPr>
                          <w:snapToGrid w:val="0"/>
                          <w:spacing w:line="240" w:lineRule="atLeast"/>
                          <w:jc w:val="center"/>
                          <w:rPr>
                            <w:sz w:val="18"/>
                            <w:szCs w:val="18"/>
                          </w:rPr>
                        </w:pPr>
                        <w:r>
                          <w:rPr>
                            <w:rFonts w:hint="eastAsia"/>
                            <w:sz w:val="18"/>
                            <w:szCs w:val="18"/>
                          </w:rPr>
                          <w:t>资本公积</w:t>
                        </w:r>
                      </w:p>
                    </w:tc>
                  </w:sdtContent>
                </w:sdt>
                <w:sdt>
                  <w:sdtPr>
                    <w:tag w:val="_PLD_8c191e0685ac4367b113504c484a11e9"/>
                    <w:id w:val="-1407140436"/>
                    <w:lock w:val="sdtLocked"/>
                  </w:sdtPr>
                  <w:sdtEndPr/>
                  <w:sdtContent>
                    <w:tc>
                      <w:tcPr>
                        <w:tcW w:w="208" w:type="pct"/>
                        <w:vMerge w:val="restart"/>
                        <w:vAlign w:val="center"/>
                      </w:tcPr>
                      <w:p w14:paraId="01926CE6" w14:textId="77777777" w:rsidR="00D21C1F" w:rsidRDefault="00A42880">
                        <w:pPr>
                          <w:snapToGrid w:val="0"/>
                          <w:spacing w:line="240" w:lineRule="atLeast"/>
                          <w:jc w:val="both"/>
                          <w:rPr>
                            <w:sz w:val="18"/>
                            <w:szCs w:val="18"/>
                          </w:rPr>
                        </w:pPr>
                        <w:r>
                          <w:rPr>
                            <w:rFonts w:hint="eastAsia"/>
                            <w:sz w:val="18"/>
                            <w:szCs w:val="18"/>
                          </w:rPr>
                          <w:t>减：库存股</w:t>
                        </w:r>
                      </w:p>
                    </w:tc>
                  </w:sdtContent>
                </w:sdt>
                <w:sdt>
                  <w:sdtPr>
                    <w:tag w:val="_PLD_68ae3206209542ea8491f40d49bafeb7"/>
                    <w:id w:val="-459806659"/>
                    <w:lock w:val="sdtLocked"/>
                  </w:sdtPr>
                  <w:sdtEndPr/>
                  <w:sdtContent>
                    <w:tc>
                      <w:tcPr>
                        <w:tcW w:w="413" w:type="pct"/>
                        <w:vMerge w:val="restart"/>
                        <w:vAlign w:val="center"/>
                      </w:tcPr>
                      <w:p w14:paraId="69686DC6" w14:textId="77777777" w:rsidR="00D21C1F" w:rsidRDefault="00A42880">
                        <w:pPr>
                          <w:snapToGrid w:val="0"/>
                          <w:spacing w:line="240" w:lineRule="atLeast"/>
                          <w:jc w:val="center"/>
                          <w:rPr>
                            <w:sz w:val="18"/>
                            <w:szCs w:val="18"/>
                          </w:rPr>
                        </w:pPr>
                        <w:r>
                          <w:rPr>
                            <w:rFonts w:hint="eastAsia"/>
                            <w:sz w:val="18"/>
                            <w:szCs w:val="18"/>
                          </w:rPr>
                          <w:t>其他综合收益</w:t>
                        </w:r>
                      </w:p>
                    </w:tc>
                  </w:sdtContent>
                </w:sdt>
                <w:sdt>
                  <w:sdtPr>
                    <w:tag w:val="_PLD_6402f064d7a041d58973d8b8205096d0"/>
                    <w:id w:val="-356347995"/>
                    <w:lock w:val="sdtLocked"/>
                  </w:sdtPr>
                  <w:sdtEndPr/>
                  <w:sdtContent>
                    <w:tc>
                      <w:tcPr>
                        <w:tcW w:w="143" w:type="pct"/>
                        <w:vMerge w:val="restart"/>
                        <w:vAlign w:val="center"/>
                      </w:tcPr>
                      <w:p w14:paraId="664823F0" w14:textId="77777777" w:rsidR="00D21C1F" w:rsidRDefault="00A42880">
                        <w:pPr>
                          <w:snapToGrid w:val="0"/>
                          <w:spacing w:line="240" w:lineRule="atLeast"/>
                          <w:jc w:val="center"/>
                          <w:rPr>
                            <w:sz w:val="18"/>
                            <w:szCs w:val="18"/>
                          </w:rPr>
                        </w:pPr>
                        <w:r>
                          <w:rPr>
                            <w:rFonts w:hint="eastAsia"/>
                            <w:sz w:val="18"/>
                            <w:szCs w:val="18"/>
                          </w:rPr>
                          <w:t>专项储备</w:t>
                        </w:r>
                      </w:p>
                    </w:tc>
                  </w:sdtContent>
                </w:sdt>
                <w:sdt>
                  <w:sdtPr>
                    <w:tag w:val="_PLD_b1d22d8686164205bfa14ef647cebfcd"/>
                    <w:id w:val="1760332637"/>
                    <w:lock w:val="sdtLocked"/>
                  </w:sdtPr>
                  <w:sdtEndPr/>
                  <w:sdtContent>
                    <w:tc>
                      <w:tcPr>
                        <w:tcW w:w="381" w:type="pct"/>
                        <w:vMerge w:val="restart"/>
                        <w:vAlign w:val="center"/>
                      </w:tcPr>
                      <w:p w14:paraId="78979FC7" w14:textId="77777777" w:rsidR="00D21C1F" w:rsidRDefault="00A42880">
                        <w:pPr>
                          <w:snapToGrid w:val="0"/>
                          <w:spacing w:line="240" w:lineRule="atLeast"/>
                          <w:jc w:val="center"/>
                          <w:rPr>
                            <w:sz w:val="18"/>
                            <w:szCs w:val="18"/>
                          </w:rPr>
                        </w:pPr>
                        <w:r>
                          <w:rPr>
                            <w:rFonts w:hint="eastAsia"/>
                            <w:sz w:val="18"/>
                            <w:szCs w:val="18"/>
                          </w:rPr>
                          <w:t>盈余公积</w:t>
                        </w:r>
                      </w:p>
                    </w:tc>
                  </w:sdtContent>
                </w:sdt>
                <w:sdt>
                  <w:sdtPr>
                    <w:tag w:val="_PLD_c5c57d0195b14864b413898a9c76e89d"/>
                    <w:id w:val="-696233447"/>
                    <w:lock w:val="sdtLocked"/>
                  </w:sdtPr>
                  <w:sdtEndPr/>
                  <w:sdtContent>
                    <w:tc>
                      <w:tcPr>
                        <w:tcW w:w="143" w:type="pct"/>
                        <w:vMerge w:val="restart"/>
                        <w:vAlign w:val="center"/>
                      </w:tcPr>
                      <w:p w14:paraId="6BD97D37" w14:textId="77777777" w:rsidR="00D21C1F" w:rsidRDefault="00A42880">
                        <w:pPr>
                          <w:snapToGrid w:val="0"/>
                          <w:spacing w:line="240" w:lineRule="atLeast"/>
                          <w:jc w:val="center"/>
                          <w:rPr>
                            <w:sz w:val="18"/>
                            <w:szCs w:val="18"/>
                          </w:rPr>
                        </w:pPr>
                        <w:r>
                          <w:rPr>
                            <w:rFonts w:hint="eastAsia"/>
                            <w:sz w:val="18"/>
                            <w:szCs w:val="18"/>
                          </w:rPr>
                          <w:t>一般风险准备</w:t>
                        </w:r>
                      </w:p>
                    </w:tc>
                  </w:sdtContent>
                </w:sdt>
                <w:sdt>
                  <w:sdtPr>
                    <w:tag w:val="_PLD_c9bffd2027d24ca1955db036ad79f5ea"/>
                    <w:id w:val="-461734054"/>
                    <w:lock w:val="sdtLocked"/>
                  </w:sdtPr>
                  <w:sdtEndPr/>
                  <w:sdtContent>
                    <w:tc>
                      <w:tcPr>
                        <w:tcW w:w="457" w:type="pct"/>
                        <w:vMerge w:val="restart"/>
                        <w:vAlign w:val="center"/>
                      </w:tcPr>
                      <w:p w14:paraId="11A5A4CA" w14:textId="77777777" w:rsidR="00D21C1F" w:rsidRDefault="00A42880">
                        <w:pPr>
                          <w:snapToGrid w:val="0"/>
                          <w:spacing w:line="240" w:lineRule="atLeast"/>
                          <w:jc w:val="center"/>
                          <w:rPr>
                            <w:sz w:val="18"/>
                            <w:szCs w:val="18"/>
                          </w:rPr>
                        </w:pPr>
                        <w:r>
                          <w:rPr>
                            <w:rFonts w:hint="eastAsia"/>
                            <w:sz w:val="18"/>
                            <w:szCs w:val="18"/>
                          </w:rPr>
                          <w:t>未分配利润</w:t>
                        </w:r>
                      </w:p>
                    </w:tc>
                  </w:sdtContent>
                </w:sdt>
                <w:tc>
                  <w:tcPr>
                    <w:tcW w:w="143" w:type="pct"/>
                    <w:vMerge w:val="restart"/>
                    <w:vAlign w:val="center"/>
                  </w:tcPr>
                  <w:sdt>
                    <w:sdtPr>
                      <w:rPr>
                        <w:rFonts w:hint="eastAsia"/>
                        <w:sz w:val="18"/>
                        <w:szCs w:val="18"/>
                      </w:rPr>
                      <w:tag w:val="_PLD_de6da1e2128f48e49564e44af75ff7ab"/>
                      <w:id w:val="-1410693748"/>
                      <w:lock w:val="sdtLocked"/>
                    </w:sdtPr>
                    <w:sdtEndPr/>
                    <w:sdtContent>
                      <w:sdt>
                        <w:sdtPr>
                          <w:rPr>
                            <w:rFonts w:hint="eastAsia"/>
                            <w:sz w:val="18"/>
                            <w:szCs w:val="18"/>
                          </w:rPr>
                          <w:tag w:val="_PLD_ff5e808cf3794086a9aee4c489a9f6eb"/>
                          <w:id w:val="17278150"/>
                          <w:lock w:val="sdtLocked"/>
                          <w:placeholder>
                            <w:docPart w:val="GBC11111111111111111111111111111"/>
                          </w:placeholder>
                        </w:sdtPr>
                        <w:sdtEndPr/>
                        <w:sdtContent>
                          <w:p w14:paraId="1AAF8BF6" w14:textId="77777777" w:rsidR="00D21C1F" w:rsidRDefault="00A42880">
                            <w:pPr>
                              <w:jc w:val="center"/>
                              <w:rPr>
                                <w:sz w:val="18"/>
                                <w:szCs w:val="18"/>
                              </w:rPr>
                            </w:pPr>
                            <w:r>
                              <w:rPr>
                                <w:rFonts w:hint="eastAsia"/>
                                <w:sz w:val="18"/>
                                <w:szCs w:val="18"/>
                              </w:rPr>
                              <w:t>其他</w:t>
                            </w:r>
                          </w:p>
                        </w:sdtContent>
                      </w:sdt>
                    </w:sdtContent>
                  </w:sdt>
                </w:tc>
                <w:tc>
                  <w:tcPr>
                    <w:tcW w:w="482" w:type="pct"/>
                    <w:vMerge w:val="restart"/>
                    <w:vAlign w:val="center"/>
                  </w:tcPr>
                  <w:sdt>
                    <w:sdtPr>
                      <w:rPr>
                        <w:rFonts w:hint="eastAsia"/>
                        <w:sz w:val="18"/>
                        <w:szCs w:val="18"/>
                      </w:rPr>
                      <w:tag w:val="_PLD_e6df9793a438430a8df9730b2cdd8a99"/>
                      <w:id w:val="-1457247131"/>
                      <w:lock w:val="sdtLocked"/>
                    </w:sdtPr>
                    <w:sdtEndPr/>
                    <w:sdtContent>
                      <w:p w14:paraId="5B992725" w14:textId="77777777" w:rsidR="00D21C1F" w:rsidRDefault="00A42880">
                        <w:pPr>
                          <w:jc w:val="center"/>
                          <w:rPr>
                            <w:sz w:val="18"/>
                            <w:szCs w:val="18"/>
                          </w:rPr>
                        </w:pPr>
                        <w:r>
                          <w:rPr>
                            <w:rFonts w:hint="eastAsia"/>
                            <w:sz w:val="18"/>
                            <w:szCs w:val="18"/>
                          </w:rPr>
                          <w:t>小计</w:t>
                        </w:r>
                      </w:p>
                    </w:sdtContent>
                  </w:sdt>
                </w:tc>
                <w:tc>
                  <w:tcPr>
                    <w:tcW w:w="409" w:type="pct"/>
                    <w:vMerge/>
                  </w:tcPr>
                  <w:p w14:paraId="1D7F9AEC" w14:textId="77777777" w:rsidR="00D21C1F" w:rsidRDefault="00D21C1F">
                    <w:pPr>
                      <w:jc w:val="center"/>
                      <w:rPr>
                        <w:sz w:val="18"/>
                        <w:szCs w:val="18"/>
                      </w:rPr>
                    </w:pPr>
                  </w:p>
                </w:tc>
                <w:tc>
                  <w:tcPr>
                    <w:tcW w:w="482" w:type="pct"/>
                    <w:vMerge/>
                  </w:tcPr>
                  <w:p w14:paraId="43671977" w14:textId="77777777" w:rsidR="00D21C1F" w:rsidRDefault="00D21C1F">
                    <w:pPr>
                      <w:jc w:val="center"/>
                      <w:rPr>
                        <w:sz w:val="18"/>
                        <w:szCs w:val="18"/>
                      </w:rPr>
                    </w:pPr>
                  </w:p>
                </w:tc>
              </w:tr>
              <w:tr w:rsidR="00D21C1F" w14:paraId="101C08F1" w14:textId="77777777">
                <w:trPr>
                  <w:trHeight w:val="303"/>
                </w:trPr>
                <w:tc>
                  <w:tcPr>
                    <w:tcW w:w="367" w:type="pct"/>
                    <w:vMerge/>
                  </w:tcPr>
                  <w:p w14:paraId="320FC9CD" w14:textId="77777777" w:rsidR="00D21C1F" w:rsidRDefault="00D21C1F">
                    <w:pPr>
                      <w:snapToGrid w:val="0"/>
                      <w:spacing w:line="240" w:lineRule="atLeast"/>
                      <w:ind w:rightChars="-759" w:right="-1594"/>
                      <w:rPr>
                        <w:sz w:val="18"/>
                        <w:szCs w:val="18"/>
                      </w:rPr>
                    </w:pPr>
                  </w:p>
                </w:tc>
                <w:tc>
                  <w:tcPr>
                    <w:tcW w:w="439" w:type="pct"/>
                    <w:vMerge/>
                  </w:tcPr>
                  <w:p w14:paraId="22BD87E1" w14:textId="77777777" w:rsidR="00D21C1F" w:rsidRDefault="00D21C1F">
                    <w:pPr>
                      <w:snapToGrid w:val="0"/>
                      <w:spacing w:line="240" w:lineRule="atLeast"/>
                      <w:jc w:val="center"/>
                      <w:rPr>
                        <w:sz w:val="18"/>
                        <w:szCs w:val="18"/>
                      </w:rPr>
                    </w:pPr>
                  </w:p>
                </w:tc>
                <w:sdt>
                  <w:sdtPr>
                    <w:tag w:val="_PLD_052ae87eff474159aaedec0c5ce4bb50"/>
                    <w:id w:val="1585655178"/>
                    <w:lock w:val="sdtLocked"/>
                  </w:sdtPr>
                  <w:sdtEndPr/>
                  <w:sdtContent>
                    <w:tc>
                      <w:tcPr>
                        <w:tcW w:w="143" w:type="pct"/>
                        <w:vAlign w:val="center"/>
                      </w:tcPr>
                      <w:p w14:paraId="5C128460" w14:textId="77777777" w:rsidR="00D21C1F" w:rsidRDefault="00A42880">
                        <w:pPr>
                          <w:jc w:val="center"/>
                          <w:rPr>
                            <w:sz w:val="18"/>
                            <w:szCs w:val="18"/>
                          </w:rPr>
                        </w:pPr>
                        <w:r>
                          <w:rPr>
                            <w:rFonts w:hint="eastAsia"/>
                            <w:sz w:val="18"/>
                            <w:szCs w:val="18"/>
                          </w:rPr>
                          <w:t>优先股</w:t>
                        </w:r>
                      </w:p>
                    </w:tc>
                  </w:sdtContent>
                </w:sdt>
                <w:sdt>
                  <w:sdtPr>
                    <w:tag w:val="_PLD_f40d311f528a48d8a47457e11ad5ccd5"/>
                    <w:id w:val="1700896379"/>
                    <w:lock w:val="sdtLocked"/>
                  </w:sdtPr>
                  <w:sdtEndPr/>
                  <w:sdtContent>
                    <w:tc>
                      <w:tcPr>
                        <w:tcW w:w="143" w:type="pct"/>
                        <w:vAlign w:val="center"/>
                      </w:tcPr>
                      <w:p w14:paraId="4D6D3536" w14:textId="77777777" w:rsidR="00D21C1F" w:rsidRDefault="00A42880">
                        <w:pPr>
                          <w:jc w:val="center"/>
                          <w:rPr>
                            <w:sz w:val="18"/>
                            <w:szCs w:val="18"/>
                          </w:rPr>
                        </w:pPr>
                        <w:r>
                          <w:rPr>
                            <w:rFonts w:hint="eastAsia"/>
                            <w:sz w:val="18"/>
                            <w:szCs w:val="18"/>
                          </w:rPr>
                          <w:t>永续债</w:t>
                        </w:r>
                      </w:p>
                    </w:tc>
                  </w:sdtContent>
                </w:sdt>
                <w:sdt>
                  <w:sdtPr>
                    <w:tag w:val="_PLD_90f98adf8eaf44078005d57f570c4291"/>
                    <w:id w:val="725409473"/>
                    <w:lock w:val="sdtLocked"/>
                  </w:sdtPr>
                  <w:sdtEndPr/>
                  <w:sdtContent>
                    <w:tc>
                      <w:tcPr>
                        <w:tcW w:w="167" w:type="pct"/>
                        <w:vAlign w:val="center"/>
                      </w:tcPr>
                      <w:p w14:paraId="719F2664" w14:textId="77777777" w:rsidR="00D21C1F" w:rsidRDefault="00A42880">
                        <w:pPr>
                          <w:jc w:val="center"/>
                          <w:rPr>
                            <w:sz w:val="18"/>
                            <w:szCs w:val="18"/>
                          </w:rPr>
                        </w:pPr>
                        <w:r>
                          <w:rPr>
                            <w:rFonts w:hint="eastAsia"/>
                            <w:sz w:val="18"/>
                            <w:szCs w:val="18"/>
                          </w:rPr>
                          <w:t>其他</w:t>
                        </w:r>
                      </w:p>
                    </w:tc>
                  </w:sdtContent>
                </w:sdt>
                <w:tc>
                  <w:tcPr>
                    <w:tcW w:w="482" w:type="pct"/>
                    <w:vMerge/>
                  </w:tcPr>
                  <w:p w14:paraId="0190B900" w14:textId="77777777" w:rsidR="00D21C1F" w:rsidRDefault="00D21C1F">
                    <w:pPr>
                      <w:snapToGrid w:val="0"/>
                      <w:spacing w:line="240" w:lineRule="atLeast"/>
                      <w:jc w:val="center"/>
                      <w:rPr>
                        <w:sz w:val="18"/>
                        <w:szCs w:val="18"/>
                      </w:rPr>
                    </w:pPr>
                  </w:p>
                </w:tc>
                <w:tc>
                  <w:tcPr>
                    <w:tcW w:w="208" w:type="pct"/>
                    <w:vMerge/>
                  </w:tcPr>
                  <w:p w14:paraId="2815F36B" w14:textId="77777777" w:rsidR="00D21C1F" w:rsidRDefault="00D21C1F">
                    <w:pPr>
                      <w:snapToGrid w:val="0"/>
                      <w:spacing w:line="240" w:lineRule="atLeast"/>
                      <w:jc w:val="center"/>
                      <w:rPr>
                        <w:sz w:val="18"/>
                        <w:szCs w:val="18"/>
                      </w:rPr>
                    </w:pPr>
                  </w:p>
                </w:tc>
                <w:tc>
                  <w:tcPr>
                    <w:tcW w:w="413" w:type="pct"/>
                    <w:vMerge/>
                  </w:tcPr>
                  <w:p w14:paraId="6D280F1C" w14:textId="77777777" w:rsidR="00D21C1F" w:rsidRDefault="00D21C1F">
                    <w:pPr>
                      <w:snapToGrid w:val="0"/>
                      <w:spacing w:line="240" w:lineRule="atLeast"/>
                      <w:jc w:val="center"/>
                      <w:rPr>
                        <w:sz w:val="18"/>
                        <w:szCs w:val="18"/>
                      </w:rPr>
                    </w:pPr>
                  </w:p>
                </w:tc>
                <w:tc>
                  <w:tcPr>
                    <w:tcW w:w="143" w:type="pct"/>
                    <w:vMerge/>
                  </w:tcPr>
                  <w:p w14:paraId="34D89634" w14:textId="77777777" w:rsidR="00D21C1F" w:rsidRDefault="00D21C1F">
                    <w:pPr>
                      <w:snapToGrid w:val="0"/>
                      <w:spacing w:line="240" w:lineRule="atLeast"/>
                      <w:jc w:val="center"/>
                      <w:rPr>
                        <w:sz w:val="18"/>
                        <w:szCs w:val="18"/>
                      </w:rPr>
                    </w:pPr>
                  </w:p>
                </w:tc>
                <w:tc>
                  <w:tcPr>
                    <w:tcW w:w="381" w:type="pct"/>
                    <w:vMerge/>
                  </w:tcPr>
                  <w:p w14:paraId="74070FD8" w14:textId="77777777" w:rsidR="00D21C1F" w:rsidRDefault="00D21C1F">
                    <w:pPr>
                      <w:snapToGrid w:val="0"/>
                      <w:spacing w:line="240" w:lineRule="atLeast"/>
                      <w:jc w:val="center"/>
                      <w:rPr>
                        <w:sz w:val="18"/>
                        <w:szCs w:val="18"/>
                      </w:rPr>
                    </w:pPr>
                  </w:p>
                </w:tc>
                <w:tc>
                  <w:tcPr>
                    <w:tcW w:w="143" w:type="pct"/>
                    <w:vMerge/>
                  </w:tcPr>
                  <w:p w14:paraId="4DF7D232" w14:textId="77777777" w:rsidR="00D21C1F" w:rsidRDefault="00D21C1F">
                    <w:pPr>
                      <w:snapToGrid w:val="0"/>
                      <w:spacing w:line="240" w:lineRule="atLeast"/>
                      <w:jc w:val="center"/>
                      <w:rPr>
                        <w:sz w:val="18"/>
                        <w:szCs w:val="18"/>
                      </w:rPr>
                    </w:pPr>
                  </w:p>
                </w:tc>
                <w:tc>
                  <w:tcPr>
                    <w:tcW w:w="457" w:type="pct"/>
                    <w:vMerge/>
                  </w:tcPr>
                  <w:p w14:paraId="3747A467" w14:textId="77777777" w:rsidR="00D21C1F" w:rsidRDefault="00D21C1F">
                    <w:pPr>
                      <w:snapToGrid w:val="0"/>
                      <w:spacing w:line="240" w:lineRule="atLeast"/>
                      <w:jc w:val="center"/>
                      <w:rPr>
                        <w:sz w:val="18"/>
                        <w:szCs w:val="18"/>
                      </w:rPr>
                    </w:pPr>
                  </w:p>
                </w:tc>
                <w:tc>
                  <w:tcPr>
                    <w:tcW w:w="143" w:type="pct"/>
                    <w:vMerge/>
                  </w:tcPr>
                  <w:p w14:paraId="527ACDE5" w14:textId="77777777" w:rsidR="00D21C1F" w:rsidRDefault="00D21C1F">
                    <w:pPr>
                      <w:jc w:val="center"/>
                      <w:rPr>
                        <w:sz w:val="18"/>
                        <w:szCs w:val="18"/>
                      </w:rPr>
                    </w:pPr>
                  </w:p>
                </w:tc>
                <w:tc>
                  <w:tcPr>
                    <w:tcW w:w="482" w:type="pct"/>
                    <w:vMerge/>
                  </w:tcPr>
                  <w:p w14:paraId="4C39B929" w14:textId="77777777" w:rsidR="00D21C1F" w:rsidRDefault="00D21C1F">
                    <w:pPr>
                      <w:jc w:val="center"/>
                      <w:rPr>
                        <w:sz w:val="18"/>
                        <w:szCs w:val="18"/>
                      </w:rPr>
                    </w:pPr>
                  </w:p>
                </w:tc>
                <w:tc>
                  <w:tcPr>
                    <w:tcW w:w="409" w:type="pct"/>
                    <w:vMerge/>
                  </w:tcPr>
                  <w:p w14:paraId="5D81341B" w14:textId="77777777" w:rsidR="00D21C1F" w:rsidRDefault="00D21C1F">
                    <w:pPr>
                      <w:jc w:val="center"/>
                      <w:rPr>
                        <w:sz w:val="18"/>
                        <w:szCs w:val="18"/>
                      </w:rPr>
                    </w:pPr>
                  </w:p>
                </w:tc>
                <w:tc>
                  <w:tcPr>
                    <w:tcW w:w="482" w:type="pct"/>
                    <w:vMerge/>
                    <w:tcBorders>
                      <w:bottom w:val="nil"/>
                    </w:tcBorders>
                  </w:tcPr>
                  <w:p w14:paraId="40B8E453" w14:textId="77777777" w:rsidR="00D21C1F" w:rsidRDefault="00D21C1F">
                    <w:pPr>
                      <w:jc w:val="center"/>
                      <w:rPr>
                        <w:sz w:val="18"/>
                        <w:szCs w:val="18"/>
                      </w:rPr>
                    </w:pPr>
                  </w:p>
                </w:tc>
              </w:tr>
              <w:tr w:rsidR="00D21C1F" w14:paraId="4790ACF9" w14:textId="77777777">
                <w:sdt>
                  <w:sdtPr>
                    <w:tag w:val="_PLD_7e9607e7cfb34d74bf0fce08e0866d34"/>
                    <w:id w:val="-228541966"/>
                    <w:lock w:val="sdtLocked"/>
                  </w:sdtPr>
                  <w:sdtEndPr/>
                  <w:sdtContent>
                    <w:tc>
                      <w:tcPr>
                        <w:tcW w:w="367" w:type="pct"/>
                      </w:tcPr>
                      <w:p w14:paraId="1E8FAF4A" w14:textId="77777777" w:rsidR="00D21C1F" w:rsidRDefault="00A42880">
                        <w:pPr>
                          <w:rPr>
                            <w:sz w:val="18"/>
                            <w:szCs w:val="18"/>
                          </w:rPr>
                        </w:pPr>
                        <w:r>
                          <w:rPr>
                            <w:sz w:val="18"/>
                            <w:szCs w:val="18"/>
                          </w:rPr>
                          <w:t>一、上年</w:t>
                        </w:r>
                        <w:r>
                          <w:rPr>
                            <w:rFonts w:hint="eastAsia"/>
                            <w:sz w:val="18"/>
                            <w:szCs w:val="18"/>
                          </w:rPr>
                          <w:t>期</w:t>
                        </w:r>
                        <w:r>
                          <w:rPr>
                            <w:sz w:val="18"/>
                            <w:szCs w:val="18"/>
                          </w:rPr>
                          <w:t>末余额</w:t>
                        </w:r>
                      </w:p>
                    </w:tc>
                  </w:sdtContent>
                </w:sdt>
                <w:tc>
                  <w:tcPr>
                    <w:tcW w:w="439" w:type="pct"/>
                    <w:vAlign w:val="bottom"/>
                  </w:tcPr>
                  <w:p w14:paraId="0944640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391,333,162.00</w:t>
                    </w:r>
                  </w:p>
                </w:tc>
                <w:tc>
                  <w:tcPr>
                    <w:tcW w:w="143" w:type="pct"/>
                    <w:vAlign w:val="bottom"/>
                  </w:tcPr>
                  <w:p w14:paraId="1FBE3896" w14:textId="77777777" w:rsidR="00D21C1F" w:rsidRDefault="00D21C1F">
                    <w:pPr>
                      <w:jc w:val="right"/>
                      <w:rPr>
                        <w:rFonts w:ascii="Times New Roman" w:hAnsi="Times New Roman" w:cs="Times New Roman"/>
                        <w:sz w:val="16"/>
                        <w:szCs w:val="16"/>
                      </w:rPr>
                    </w:pPr>
                  </w:p>
                </w:tc>
                <w:tc>
                  <w:tcPr>
                    <w:tcW w:w="143" w:type="pct"/>
                    <w:vAlign w:val="bottom"/>
                  </w:tcPr>
                  <w:p w14:paraId="5F8D9660" w14:textId="77777777" w:rsidR="00D21C1F" w:rsidRDefault="00D21C1F">
                    <w:pPr>
                      <w:jc w:val="right"/>
                      <w:rPr>
                        <w:rFonts w:ascii="Times New Roman" w:hAnsi="Times New Roman" w:cs="Times New Roman"/>
                        <w:sz w:val="16"/>
                        <w:szCs w:val="16"/>
                      </w:rPr>
                    </w:pPr>
                  </w:p>
                </w:tc>
                <w:tc>
                  <w:tcPr>
                    <w:tcW w:w="167" w:type="pct"/>
                    <w:vAlign w:val="bottom"/>
                  </w:tcPr>
                  <w:p w14:paraId="55CED071" w14:textId="77777777" w:rsidR="00D21C1F" w:rsidRDefault="00D21C1F">
                    <w:pPr>
                      <w:jc w:val="right"/>
                      <w:rPr>
                        <w:rFonts w:ascii="Times New Roman" w:hAnsi="Times New Roman" w:cs="Times New Roman"/>
                        <w:sz w:val="16"/>
                        <w:szCs w:val="16"/>
                      </w:rPr>
                    </w:pPr>
                  </w:p>
                </w:tc>
                <w:tc>
                  <w:tcPr>
                    <w:tcW w:w="482" w:type="pct"/>
                    <w:vAlign w:val="bottom"/>
                  </w:tcPr>
                  <w:p w14:paraId="7A1F6AA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1,394,246,642.59</w:t>
                    </w:r>
                  </w:p>
                </w:tc>
                <w:tc>
                  <w:tcPr>
                    <w:tcW w:w="208" w:type="pct"/>
                    <w:vAlign w:val="bottom"/>
                  </w:tcPr>
                  <w:p w14:paraId="224B35DA" w14:textId="77777777" w:rsidR="00D21C1F" w:rsidRDefault="00D21C1F">
                    <w:pPr>
                      <w:jc w:val="right"/>
                      <w:rPr>
                        <w:rFonts w:ascii="Times New Roman" w:hAnsi="Times New Roman" w:cs="Times New Roman"/>
                        <w:sz w:val="16"/>
                        <w:szCs w:val="16"/>
                      </w:rPr>
                    </w:pPr>
                  </w:p>
                </w:tc>
                <w:tc>
                  <w:tcPr>
                    <w:tcW w:w="413" w:type="pct"/>
                    <w:vAlign w:val="bottom"/>
                  </w:tcPr>
                  <w:p w14:paraId="3A5DB40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-30,786,774.20</w:t>
                    </w:r>
                  </w:p>
                </w:tc>
                <w:tc>
                  <w:tcPr>
                    <w:tcW w:w="143" w:type="pct"/>
                    <w:vAlign w:val="bottom"/>
                  </w:tcPr>
                  <w:p w14:paraId="37D137FB" w14:textId="77777777" w:rsidR="00D21C1F" w:rsidRDefault="00D21C1F">
                    <w:pPr>
                      <w:jc w:val="right"/>
                      <w:rPr>
                        <w:rFonts w:ascii="Times New Roman" w:hAnsi="Times New Roman" w:cs="Times New Roman"/>
                        <w:sz w:val="16"/>
                        <w:szCs w:val="16"/>
                      </w:rPr>
                    </w:pPr>
                  </w:p>
                </w:tc>
                <w:tc>
                  <w:tcPr>
                    <w:tcW w:w="381" w:type="pct"/>
                    <w:vAlign w:val="bottom"/>
                  </w:tcPr>
                  <w:p w14:paraId="705D692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7,850,945.49</w:t>
                    </w:r>
                  </w:p>
                </w:tc>
                <w:tc>
                  <w:tcPr>
                    <w:tcW w:w="143" w:type="pct"/>
                    <w:vAlign w:val="bottom"/>
                  </w:tcPr>
                  <w:p w14:paraId="4A98F11D" w14:textId="77777777" w:rsidR="00D21C1F" w:rsidRDefault="00D21C1F">
                    <w:pPr>
                      <w:jc w:val="right"/>
                      <w:rPr>
                        <w:rFonts w:ascii="Times New Roman" w:hAnsi="Times New Roman" w:cs="Times New Roman"/>
                        <w:sz w:val="16"/>
                        <w:szCs w:val="16"/>
                      </w:rPr>
                    </w:pPr>
                  </w:p>
                </w:tc>
                <w:tc>
                  <w:tcPr>
                    <w:tcW w:w="457" w:type="pct"/>
                    <w:vAlign w:val="bottom"/>
                  </w:tcPr>
                  <w:p w14:paraId="6866B27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-154,927,381.73</w:t>
                    </w:r>
                  </w:p>
                </w:tc>
                <w:tc>
                  <w:tcPr>
                    <w:tcW w:w="143" w:type="pct"/>
                    <w:vAlign w:val="bottom"/>
                  </w:tcPr>
                  <w:p w14:paraId="46DA2DCA" w14:textId="77777777" w:rsidR="00D21C1F" w:rsidRDefault="00D21C1F">
                    <w:pPr>
                      <w:jc w:val="right"/>
                      <w:rPr>
                        <w:rFonts w:ascii="Times New Roman" w:hAnsi="Times New Roman" w:cs="Times New Roman"/>
                        <w:sz w:val="16"/>
                        <w:szCs w:val="16"/>
                      </w:rPr>
                    </w:pPr>
                  </w:p>
                </w:tc>
                <w:tc>
                  <w:tcPr>
                    <w:tcW w:w="482" w:type="pct"/>
                    <w:vAlign w:val="bottom"/>
                  </w:tcPr>
                  <w:p w14:paraId="3B1B8A0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1,607,716,594.15</w:t>
                    </w:r>
                  </w:p>
                </w:tc>
                <w:tc>
                  <w:tcPr>
                    <w:tcW w:w="409" w:type="pct"/>
                    <w:vAlign w:val="bottom"/>
                  </w:tcPr>
                  <w:p w14:paraId="2A8C159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8,644,834.85</w:t>
                    </w:r>
                  </w:p>
                </w:tc>
                <w:tc>
                  <w:tcPr>
                    <w:tcW w:w="482" w:type="pct"/>
                    <w:vAlign w:val="bottom"/>
                  </w:tcPr>
                  <w:p w14:paraId="5B25789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1,616,361,429.00</w:t>
                    </w:r>
                  </w:p>
                </w:tc>
              </w:tr>
              <w:tr w:rsidR="00D21C1F" w14:paraId="0B5C31BD" w14:textId="77777777">
                <w:sdt>
                  <w:sdtPr>
                    <w:tag w:val="_PLD_fd33bb0caf614a75b319dc40c7515dcc"/>
                    <w:id w:val="-821267961"/>
                    <w:lock w:val="sdtLocked"/>
                  </w:sdtPr>
                  <w:sdtEndPr/>
                  <w:sdtContent>
                    <w:tc>
                      <w:tcPr>
                        <w:tcW w:w="367" w:type="pct"/>
                      </w:tcPr>
                      <w:p w14:paraId="14489E0F" w14:textId="77777777" w:rsidR="00D21C1F" w:rsidRDefault="00A42880">
                        <w:pPr>
                          <w:rPr>
                            <w:sz w:val="18"/>
                            <w:szCs w:val="18"/>
                          </w:rPr>
                        </w:pPr>
                        <w:r>
                          <w:rPr>
                            <w:rFonts w:hint="eastAsia"/>
                            <w:sz w:val="18"/>
                            <w:szCs w:val="18"/>
                          </w:rPr>
                          <w:t>加：</w:t>
                        </w:r>
                        <w:r>
                          <w:rPr>
                            <w:sz w:val="18"/>
                            <w:szCs w:val="18"/>
                          </w:rPr>
                          <w:t>会计政策变更</w:t>
                        </w:r>
                      </w:p>
                    </w:tc>
                  </w:sdtContent>
                </w:sdt>
                <w:tc>
                  <w:tcPr>
                    <w:tcW w:w="439" w:type="pct"/>
                    <w:vAlign w:val="bottom"/>
                  </w:tcPr>
                  <w:p w14:paraId="40E4518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217BA9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35D64C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20F01C28" w14:textId="77777777" w:rsidR="00D21C1F" w:rsidRDefault="00D21C1F">
                    <w:pPr>
                      <w:jc w:val="right"/>
                      <w:rPr>
                        <w:rFonts w:ascii="Times New Roman" w:hAnsi="Times New Roman" w:cs="Times New Roman"/>
                        <w:sz w:val="16"/>
                        <w:szCs w:val="16"/>
                      </w:rPr>
                    </w:pPr>
                  </w:p>
                </w:tc>
                <w:tc>
                  <w:tcPr>
                    <w:tcW w:w="482" w:type="pct"/>
                    <w:vAlign w:val="bottom"/>
                  </w:tcPr>
                  <w:p w14:paraId="3674F9A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-609,980.00</w:t>
                    </w:r>
                  </w:p>
                </w:tc>
                <w:tc>
                  <w:tcPr>
                    <w:tcW w:w="208" w:type="pct"/>
                    <w:vAlign w:val="bottom"/>
                  </w:tcPr>
                  <w:p w14:paraId="409A74A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007AF81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-63,494.40</w:t>
                    </w:r>
                  </w:p>
                </w:tc>
                <w:tc>
                  <w:tcPr>
                    <w:tcW w:w="143" w:type="pct"/>
                    <w:vAlign w:val="bottom"/>
                  </w:tcPr>
                  <w:p w14:paraId="088CBC7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1A26CB7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D5970D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4B4A8B9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-19,304,226.60</w:t>
                    </w:r>
                  </w:p>
                </w:tc>
                <w:tc>
                  <w:tcPr>
                    <w:tcW w:w="143" w:type="pct"/>
                    <w:vAlign w:val="bottom"/>
                  </w:tcPr>
                  <w:p w14:paraId="05D9C06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DB5F6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-19,977,701.00</w:t>
                    </w:r>
                  </w:p>
                </w:tc>
                <w:tc>
                  <w:tcPr>
                    <w:tcW w:w="409" w:type="pct"/>
                    <w:vAlign w:val="bottom"/>
                  </w:tcPr>
                  <w:p w14:paraId="18B5954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-192.02</w:t>
                    </w:r>
                  </w:p>
                </w:tc>
                <w:tc>
                  <w:tcPr>
                    <w:tcW w:w="482" w:type="pct"/>
                    <w:vAlign w:val="bottom"/>
                  </w:tcPr>
                  <w:p w14:paraId="092C80F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-19,977,893.02</w:t>
                    </w:r>
                  </w:p>
                </w:tc>
              </w:tr>
              <w:tr w:rsidR="00D21C1F" w14:paraId="6A1B3B52" w14:textId="77777777">
                <w:sdt>
                  <w:sdtPr>
                    <w:tag w:val="_PLD_15b4364437fa4ad39040010f7c204056"/>
                    <w:id w:val="-536731524"/>
                    <w:lock w:val="sdtLocked"/>
                  </w:sdtPr>
                  <w:sdtEndPr/>
                  <w:sdtContent>
                    <w:tc>
                      <w:tcPr>
                        <w:tcW w:w="367" w:type="pct"/>
                      </w:tcPr>
                      <w:p w14:paraId="6AECE75D" w14:textId="77777777" w:rsidR="00D21C1F" w:rsidRDefault="00A42880">
                        <w:pPr>
                          <w:ind w:firstLineChars="200" w:firstLine="420"/>
                          <w:rPr>
                            <w:sz w:val="18"/>
                            <w:szCs w:val="18"/>
                          </w:rPr>
                        </w:pPr>
                        <w:r>
                          <w:rPr>
                            <w:sz w:val="18"/>
                            <w:szCs w:val="18"/>
                          </w:rPr>
                          <w:t>前期差错更正</w:t>
                        </w:r>
                      </w:p>
                    </w:tc>
                  </w:sdtContent>
                </w:sdt>
                <w:tc>
                  <w:tcPr>
                    <w:tcW w:w="439" w:type="pct"/>
                    <w:vAlign w:val="bottom"/>
                  </w:tcPr>
                  <w:p w14:paraId="1D74D47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607D8D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6164A0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7022E8E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64DB12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6D91C05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0B8DAD8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546730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0AB69CD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AACD0A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72CCA47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FCEBD0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93788B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5285C5E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1050EF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645D961E" w14:textId="77777777">
                <w:sdt>
                  <w:sdtPr>
                    <w:tag w:val="_PLD_800fb53c11a943e3b9b9bd49c8085679"/>
                    <w:id w:val="-1957169903"/>
                    <w:lock w:val="sdtLocked"/>
                  </w:sdtPr>
                  <w:sdtEndPr/>
                  <w:sdtContent>
                    <w:tc>
                      <w:tcPr>
                        <w:tcW w:w="367" w:type="pct"/>
                      </w:tcPr>
                      <w:p w14:paraId="31BF97B9" w14:textId="77777777" w:rsidR="00D21C1F" w:rsidRDefault="00A42880">
                        <w:pPr>
                          <w:ind w:firstLineChars="200" w:firstLine="420"/>
                          <w:rPr>
                            <w:sz w:val="18"/>
                            <w:szCs w:val="18"/>
                          </w:rPr>
                        </w:pPr>
                        <w:r>
                          <w:rPr>
                            <w:rFonts w:hint="eastAsia"/>
                            <w:sz w:val="18"/>
                            <w:szCs w:val="18"/>
                          </w:rPr>
                          <w:t>同一控制下企业合并</w:t>
                        </w:r>
                      </w:p>
                    </w:tc>
                  </w:sdtContent>
                </w:sdt>
                <w:tc>
                  <w:tcPr>
                    <w:tcW w:w="439" w:type="pct"/>
                    <w:vAlign w:val="bottom"/>
                  </w:tcPr>
                  <w:p w14:paraId="1E2C735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A52AAD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0712E8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5113003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0FCB5B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59D3347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1690D26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CE3DDE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5CC5D59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CA0E64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33AF813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EFC2C9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B48478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7EEC940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4F8B5A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EA599DF" w14:textId="77777777">
                <w:sdt>
                  <w:sdtPr>
                    <w:tag w:val="_PLD_87118e97730e486dbbcc5e072b67665f"/>
                    <w:id w:val="173534790"/>
                    <w:lock w:val="sdtLocked"/>
                  </w:sdtPr>
                  <w:sdtEndPr/>
                  <w:sdtContent>
                    <w:tc>
                      <w:tcPr>
                        <w:tcW w:w="367" w:type="pct"/>
                      </w:tcPr>
                      <w:p w14:paraId="7554DD8E" w14:textId="77777777" w:rsidR="00D21C1F" w:rsidRDefault="00A42880">
                        <w:pPr>
                          <w:ind w:firstLineChars="200" w:firstLine="420"/>
                          <w:rPr>
                            <w:sz w:val="18"/>
                            <w:szCs w:val="18"/>
                          </w:rPr>
                        </w:pPr>
                        <w:r>
                          <w:rPr>
                            <w:rFonts w:hint="eastAsia"/>
                            <w:sz w:val="18"/>
                            <w:szCs w:val="18"/>
                          </w:rPr>
                          <w:t>其他</w:t>
                        </w:r>
                      </w:p>
                    </w:tc>
                  </w:sdtContent>
                </w:sdt>
                <w:tc>
                  <w:tcPr>
                    <w:tcW w:w="439" w:type="pct"/>
                    <w:vAlign w:val="bottom"/>
                  </w:tcPr>
                  <w:p w14:paraId="53C4769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305546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E83779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4490A27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BB5A6B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02CA960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30E942D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FB6C8F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2249854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98BAA5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7E11F35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1B12BA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4E4271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4FBC888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ECD8CF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20A29B21" w14:textId="77777777">
                <w:sdt>
                  <w:sdtPr>
                    <w:tag w:val="_PLD_b579c38070f04b86951daea3037af89c"/>
                    <w:id w:val="1889987770"/>
                    <w:lock w:val="sdtLocked"/>
                  </w:sdtPr>
                  <w:sdtEndPr/>
                  <w:sdtContent>
                    <w:tc>
                      <w:tcPr>
                        <w:tcW w:w="367" w:type="pct"/>
                      </w:tcPr>
                      <w:p w14:paraId="320CFE6B" w14:textId="77777777" w:rsidR="00D21C1F" w:rsidRDefault="00A42880">
                        <w:pPr>
                          <w:rPr>
                            <w:sz w:val="18"/>
                            <w:szCs w:val="18"/>
                          </w:rPr>
                        </w:pPr>
                        <w:r>
                          <w:rPr>
                            <w:sz w:val="18"/>
                            <w:szCs w:val="18"/>
                          </w:rPr>
                          <w:t>二、本年</w:t>
                        </w:r>
                        <w:r>
                          <w:rPr>
                            <w:rFonts w:hint="eastAsia"/>
                            <w:sz w:val="18"/>
                            <w:szCs w:val="18"/>
                          </w:rPr>
                          <w:t>期</w:t>
                        </w:r>
                        <w:r>
                          <w:rPr>
                            <w:sz w:val="18"/>
                            <w:szCs w:val="18"/>
                          </w:rPr>
                          <w:t>初余额</w:t>
                        </w:r>
                      </w:p>
                    </w:tc>
                  </w:sdtContent>
                </w:sdt>
                <w:tc>
                  <w:tcPr>
                    <w:tcW w:w="439" w:type="pct"/>
                    <w:vAlign w:val="bottom"/>
                  </w:tcPr>
                  <w:p w14:paraId="378912D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391,333,162.00</w:t>
                    </w:r>
                  </w:p>
                </w:tc>
                <w:tc>
                  <w:tcPr>
                    <w:tcW w:w="143" w:type="pct"/>
                    <w:vAlign w:val="bottom"/>
                  </w:tcPr>
                  <w:p w14:paraId="20A4458E" w14:textId="77777777" w:rsidR="00D21C1F" w:rsidRDefault="00D21C1F">
                    <w:pPr>
                      <w:jc w:val="right"/>
                      <w:rPr>
                        <w:rFonts w:ascii="Times New Roman" w:hAnsi="Times New Roman" w:cs="Times New Roman"/>
                        <w:sz w:val="16"/>
                        <w:szCs w:val="16"/>
                      </w:rPr>
                    </w:pPr>
                  </w:p>
                </w:tc>
                <w:tc>
                  <w:tcPr>
                    <w:tcW w:w="143" w:type="pct"/>
                    <w:vAlign w:val="bottom"/>
                  </w:tcPr>
                  <w:p w14:paraId="590D19B3" w14:textId="77777777" w:rsidR="00D21C1F" w:rsidRDefault="00D21C1F">
                    <w:pPr>
                      <w:jc w:val="right"/>
                      <w:rPr>
                        <w:rFonts w:ascii="Times New Roman" w:hAnsi="Times New Roman" w:cs="Times New Roman"/>
                        <w:sz w:val="16"/>
                        <w:szCs w:val="16"/>
                      </w:rPr>
                    </w:pPr>
                  </w:p>
                </w:tc>
                <w:tc>
                  <w:tcPr>
                    <w:tcW w:w="167" w:type="pct"/>
                    <w:vAlign w:val="bottom"/>
                  </w:tcPr>
                  <w:p w14:paraId="669FBBF2" w14:textId="77777777" w:rsidR="00D21C1F" w:rsidRDefault="00D21C1F">
                    <w:pPr>
                      <w:jc w:val="right"/>
                      <w:rPr>
                        <w:rFonts w:ascii="Times New Roman" w:hAnsi="Times New Roman" w:cs="Times New Roman"/>
                        <w:sz w:val="16"/>
                        <w:szCs w:val="16"/>
                      </w:rPr>
                    </w:pPr>
                  </w:p>
                </w:tc>
                <w:tc>
                  <w:tcPr>
                    <w:tcW w:w="482" w:type="pct"/>
                    <w:vAlign w:val="bottom"/>
                  </w:tcPr>
                  <w:p w14:paraId="18FA1D8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1,393,636,662.59</w:t>
                    </w:r>
                  </w:p>
                </w:tc>
                <w:tc>
                  <w:tcPr>
                    <w:tcW w:w="208" w:type="pct"/>
                    <w:vAlign w:val="bottom"/>
                  </w:tcPr>
                  <w:p w14:paraId="4E4BFCD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542EB4E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-30,850,268.60</w:t>
                    </w:r>
                  </w:p>
                </w:tc>
                <w:tc>
                  <w:tcPr>
                    <w:tcW w:w="143" w:type="pct"/>
                    <w:vAlign w:val="bottom"/>
                  </w:tcPr>
                  <w:p w14:paraId="1EDF70C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7CF6D1E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7,850,945.49</w:t>
                    </w:r>
                  </w:p>
                </w:tc>
                <w:tc>
                  <w:tcPr>
                    <w:tcW w:w="143" w:type="pct"/>
                    <w:vAlign w:val="bottom"/>
                  </w:tcPr>
                  <w:p w14:paraId="23E00AB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650839D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-174,231,608.33</w:t>
                    </w:r>
                  </w:p>
                </w:tc>
                <w:tc>
                  <w:tcPr>
                    <w:tcW w:w="143" w:type="pct"/>
                    <w:vAlign w:val="bottom"/>
                  </w:tcPr>
                  <w:p w14:paraId="079FD6C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9FE884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1,587,738,893.15</w:t>
                    </w:r>
                  </w:p>
                </w:tc>
                <w:tc>
                  <w:tcPr>
                    <w:tcW w:w="409" w:type="pct"/>
                    <w:vAlign w:val="bottom"/>
                  </w:tcPr>
                  <w:p w14:paraId="54BFB1D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8,644,642.83</w:t>
                    </w:r>
                  </w:p>
                </w:tc>
                <w:tc>
                  <w:tcPr>
                    <w:tcW w:w="482" w:type="pct"/>
                    <w:vAlign w:val="bottom"/>
                  </w:tcPr>
                  <w:p w14:paraId="5915491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1,596,383,535.98</w:t>
                    </w:r>
                  </w:p>
                </w:tc>
              </w:tr>
              <w:tr w:rsidR="00D21C1F" w14:paraId="10E0F9D3" w14:textId="77777777">
                <w:sdt>
                  <w:sdtPr>
                    <w:tag w:val="_PLD_186aec2424a047ee9af21797aa0ee0d8"/>
                    <w:id w:val="368877555"/>
                    <w:lock w:val="sdtLocked"/>
                  </w:sdtPr>
                  <w:sdtEndPr/>
                  <w:sdtContent>
                    <w:tc>
                      <w:tcPr>
                        <w:tcW w:w="367" w:type="pct"/>
                      </w:tcPr>
                      <w:p w14:paraId="1926004E" w14:textId="77777777" w:rsidR="00D21C1F" w:rsidRDefault="00A4288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39" w:type="pct"/>
                    <w:vAlign w:val="bottom"/>
                  </w:tcPr>
                  <w:p w14:paraId="61E6767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15BB40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61679F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7751B12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405F66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208" w:type="pct"/>
                    <w:vAlign w:val="bottom"/>
                  </w:tcPr>
                  <w:p w14:paraId="43CA304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3EAAAE0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-46,581,828.81</w:t>
                    </w:r>
                  </w:p>
                </w:tc>
                <w:tc>
                  <w:tcPr>
                    <w:tcW w:w="143" w:type="pct"/>
                    <w:vAlign w:val="bottom"/>
                  </w:tcPr>
                  <w:p w14:paraId="34E2BF5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79D28DE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D9A739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49523DC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-63,351,500.63</w:t>
                    </w:r>
                  </w:p>
                </w:tc>
                <w:tc>
                  <w:tcPr>
                    <w:tcW w:w="143" w:type="pct"/>
                    <w:vAlign w:val="bottom"/>
                  </w:tcPr>
                  <w:p w14:paraId="7317E84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73703D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-99,823,521.15</w:t>
                    </w:r>
                  </w:p>
                </w:tc>
                <w:tc>
                  <w:tcPr>
                    <w:tcW w:w="409" w:type="pct"/>
                    <w:vAlign w:val="bottom"/>
                  </w:tcPr>
                  <w:p w14:paraId="149A7E4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-1,293,278.35</w:t>
                    </w:r>
                  </w:p>
                </w:tc>
                <w:tc>
                  <w:tcPr>
                    <w:tcW w:w="482" w:type="pct"/>
                    <w:vAlign w:val="bottom"/>
                  </w:tcPr>
                  <w:p w14:paraId="05EA844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-101,116,799.50</w:t>
                    </w:r>
                  </w:p>
                </w:tc>
              </w:tr>
              <w:tr w:rsidR="00D21C1F" w14:paraId="3DB4A21E" w14:textId="77777777">
                <w:sdt>
                  <w:sdtPr>
                    <w:tag w:val="_PLD_17bf1a1d144b41e18dbd63758cccc7b5"/>
                    <w:id w:val="-1963337416"/>
                    <w:lock w:val="sdtLocked"/>
                  </w:sdtPr>
                  <w:sdtEndPr/>
                  <w:sdtContent>
                    <w:tc>
                      <w:tcPr>
                        <w:tcW w:w="367" w:type="pct"/>
                      </w:tcPr>
                      <w:p w14:paraId="21DCD451" w14:textId="77777777" w:rsidR="00D21C1F" w:rsidRDefault="00A42880">
                        <w:pPr>
                          <w:rPr>
                            <w:sz w:val="18"/>
                            <w:szCs w:val="18"/>
                          </w:rPr>
                        </w:pPr>
                        <w:r>
                          <w:rPr>
                            <w:rFonts w:hint="eastAsia"/>
                            <w:sz w:val="18"/>
                            <w:szCs w:val="18"/>
                          </w:rPr>
                          <w:t>（一）综合收益总额</w:t>
                        </w:r>
                      </w:p>
                    </w:tc>
                  </w:sdtContent>
                </w:sdt>
                <w:tc>
                  <w:tcPr>
                    <w:tcW w:w="439" w:type="pct"/>
                    <w:vAlign w:val="bottom"/>
                  </w:tcPr>
                  <w:p w14:paraId="2FC9F7E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2380F8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BB90AE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34E5389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8B88A2A" w14:textId="77777777" w:rsidR="00D21C1F" w:rsidRDefault="00D21C1F">
                    <w:pPr>
                      <w:jc w:val="right"/>
                      <w:rPr>
                        <w:rFonts w:ascii="Times New Roman" w:hAnsi="Times New Roman" w:cs="Times New Roman"/>
                        <w:sz w:val="16"/>
                        <w:szCs w:val="16"/>
                      </w:rPr>
                    </w:pPr>
                  </w:p>
                </w:tc>
                <w:tc>
                  <w:tcPr>
                    <w:tcW w:w="208" w:type="pct"/>
                    <w:vAlign w:val="bottom"/>
                  </w:tcPr>
                  <w:p w14:paraId="3A99458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250CFE7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-46,581,828.81</w:t>
                    </w:r>
                  </w:p>
                </w:tc>
                <w:tc>
                  <w:tcPr>
                    <w:tcW w:w="143" w:type="pct"/>
                    <w:vAlign w:val="bottom"/>
                  </w:tcPr>
                  <w:p w14:paraId="7E8B24C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3B0F92D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F80BE6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691685F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-63,351,500.63</w:t>
                    </w:r>
                  </w:p>
                </w:tc>
                <w:tc>
                  <w:tcPr>
                    <w:tcW w:w="143" w:type="pct"/>
                    <w:vAlign w:val="bottom"/>
                  </w:tcPr>
                  <w:p w14:paraId="201EF05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DF6DA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-109,933,329.44</w:t>
                    </w:r>
                  </w:p>
                </w:tc>
                <w:tc>
                  <w:tcPr>
                    <w:tcW w:w="409" w:type="pct"/>
                    <w:vAlign w:val="bottom"/>
                  </w:tcPr>
                  <w:p w14:paraId="622090C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-1,293,278.35</w:t>
                    </w:r>
                  </w:p>
                </w:tc>
                <w:tc>
                  <w:tcPr>
                    <w:tcW w:w="482" w:type="pct"/>
                    <w:vAlign w:val="bottom"/>
                  </w:tcPr>
                  <w:p w14:paraId="165E60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-111,226,607.79</w:t>
                    </w:r>
                  </w:p>
                </w:tc>
              </w:tr>
              <w:tr w:rsidR="00D21C1F" w14:paraId="2726F153" w14:textId="77777777">
                <w:sdt>
                  <w:sdtPr>
                    <w:tag w:val="_PLD_d55056423dbf4ac187d64bd43c03aca3"/>
                    <w:id w:val="-1396961757"/>
                    <w:lock w:val="sdtLocked"/>
                  </w:sdtPr>
                  <w:sdtEndPr/>
                  <w:sdtContent>
                    <w:tc>
                      <w:tcPr>
                        <w:tcW w:w="367" w:type="pct"/>
                      </w:tcPr>
                      <w:p w14:paraId="55BC2639" w14:textId="77777777" w:rsidR="00D21C1F" w:rsidRDefault="00A42880">
                        <w:pPr>
                          <w:rPr>
                            <w:sz w:val="18"/>
                            <w:szCs w:val="18"/>
                          </w:rPr>
                        </w:pPr>
                        <w:r>
                          <w:rPr>
                            <w:sz w:val="18"/>
                            <w:szCs w:val="18"/>
                          </w:rPr>
                          <w:t>（</w:t>
                        </w:r>
                        <w:r>
                          <w:rPr>
                            <w:rFonts w:hint="eastAsia"/>
                            <w:sz w:val="18"/>
                            <w:szCs w:val="18"/>
                          </w:rPr>
                          <w:t>二</w:t>
                        </w:r>
                        <w:r>
                          <w:rPr>
                            <w:sz w:val="18"/>
                            <w:szCs w:val="18"/>
                          </w:rPr>
                          <w:t>）所有者投入和减少资本</w:t>
                        </w:r>
                      </w:p>
                    </w:tc>
                  </w:sdtContent>
                </w:sdt>
                <w:tc>
                  <w:tcPr>
                    <w:tcW w:w="439" w:type="pct"/>
                    <w:vAlign w:val="bottom"/>
                  </w:tcPr>
                  <w:p w14:paraId="2E1343E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421D88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17C8F6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7297476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09A149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208" w:type="pct"/>
                    <w:vAlign w:val="bottom"/>
                  </w:tcPr>
                  <w:p w14:paraId="221532F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2251BBA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497A6F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38EC3FC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A5748B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618CD69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311375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68518A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409" w:type="pct"/>
                    <w:vAlign w:val="bottom"/>
                  </w:tcPr>
                  <w:p w14:paraId="6B10089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126C38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r>
              <w:tr w:rsidR="00D21C1F" w14:paraId="6DB9CFF1" w14:textId="77777777">
                <w:sdt>
                  <w:sdtPr>
                    <w:tag w:val="_PLD_284541025868477ca26973c13dd9ff9e"/>
                    <w:id w:val="-1347322731"/>
                    <w:lock w:val="sdtLocked"/>
                  </w:sdtPr>
                  <w:sdtEndPr/>
                  <w:sdtContent>
                    <w:tc>
                      <w:tcPr>
                        <w:tcW w:w="367" w:type="pct"/>
                      </w:tcPr>
                      <w:p w14:paraId="1C04BF3E" w14:textId="77777777" w:rsidR="00D21C1F" w:rsidRDefault="00A42880">
                        <w:pPr>
                          <w:rPr>
                            <w:sz w:val="18"/>
                            <w:szCs w:val="18"/>
                          </w:rPr>
                        </w:pPr>
                        <w:r>
                          <w:rPr>
                            <w:rFonts w:ascii="Times New Roman" w:hAnsi="Times New Roman" w:hint="eastAsia"/>
                            <w:sz w:val="18"/>
                            <w:szCs w:val="18"/>
                          </w:rPr>
                          <w:t>1</w:t>
                        </w:r>
                        <w:r>
                          <w:rPr>
                            <w:rFonts w:hint="eastAsia"/>
                            <w:sz w:val="18"/>
                            <w:szCs w:val="18"/>
                          </w:rPr>
                          <w:t>．所有者投入的普通股</w:t>
                        </w:r>
                      </w:p>
                    </w:tc>
                  </w:sdtContent>
                </w:sdt>
                <w:tc>
                  <w:tcPr>
                    <w:tcW w:w="439" w:type="pct"/>
                    <w:vAlign w:val="bottom"/>
                  </w:tcPr>
                  <w:p w14:paraId="7D2968F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8ABC0F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0168E4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6C5D561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3BCACC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083E762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5F47F17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608262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61AC3C3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78E337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1558316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36BC42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850416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09E968A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A619C6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34DA9B91" w14:textId="77777777">
                <w:sdt>
                  <w:sdtPr>
                    <w:tag w:val="_PLD_13b4ec8d0fe34f9797d68eab8f95768d"/>
                    <w:id w:val="-1100567120"/>
                    <w:lock w:val="sdtLocked"/>
                  </w:sdtPr>
                  <w:sdtEndPr/>
                  <w:sdtContent>
                    <w:tc>
                      <w:tcPr>
                        <w:tcW w:w="367" w:type="pct"/>
                      </w:tcPr>
                      <w:p w14:paraId="0C6B370E" w14:textId="77777777" w:rsidR="00D21C1F" w:rsidRDefault="00A42880">
                        <w:pPr>
                          <w:rPr>
                            <w:sz w:val="18"/>
                            <w:szCs w:val="18"/>
                          </w:rPr>
                        </w:pPr>
                        <w:r>
                          <w:rPr>
                            <w:rFonts w:ascii="Times New Roman" w:hAnsi="Times New Roman" w:hint="eastAsia"/>
                            <w:sz w:val="18"/>
                            <w:szCs w:val="18"/>
                          </w:rPr>
                          <w:t>2</w:t>
                        </w:r>
                        <w:r>
                          <w:rPr>
                            <w:rFonts w:hint="eastAsia"/>
                            <w:sz w:val="18"/>
                            <w:szCs w:val="18"/>
                          </w:rPr>
                          <w:t>．其他权益工具持有者投入资本</w:t>
                        </w:r>
                      </w:p>
                    </w:tc>
                  </w:sdtContent>
                </w:sdt>
                <w:tc>
                  <w:tcPr>
                    <w:tcW w:w="439" w:type="pct"/>
                    <w:vAlign w:val="bottom"/>
                  </w:tcPr>
                  <w:p w14:paraId="082BDA2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55C90E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B3021D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208E53B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F2DCEC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6B62461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3428AB9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74C813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6D0643B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460C5C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2F905EB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08DD91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CCDF59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3453581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C67CAC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1E8A022C" w14:textId="77777777">
                <w:sdt>
                  <w:sdtPr>
                    <w:tag w:val="_PLD_f1f3be9263a748c28f276e78f447b133"/>
                    <w:id w:val="-1954316874"/>
                    <w:lock w:val="sdtLocked"/>
                  </w:sdtPr>
                  <w:sdtEndPr/>
                  <w:sdtContent>
                    <w:tc>
                      <w:tcPr>
                        <w:tcW w:w="367" w:type="pct"/>
                      </w:tcPr>
                      <w:p w14:paraId="418EE5EA" w14:textId="77777777" w:rsidR="00D21C1F" w:rsidRDefault="00A42880">
                        <w:pPr>
                          <w:rPr>
                            <w:sz w:val="18"/>
                            <w:szCs w:val="18"/>
                          </w:rPr>
                        </w:pPr>
                        <w:r>
                          <w:rPr>
                            <w:rFonts w:ascii="Times New Roman" w:hAnsi="Times New Roman" w:hint="eastAsia"/>
                            <w:sz w:val="18"/>
                            <w:szCs w:val="18"/>
                          </w:rPr>
                          <w:t>3</w:t>
                        </w:r>
                        <w:r>
                          <w:rPr>
                            <w:sz w:val="18"/>
                            <w:szCs w:val="18"/>
                          </w:rPr>
                          <w:t>．股份支付计入所有者权益的金额</w:t>
                        </w:r>
                      </w:p>
                    </w:tc>
                  </w:sdtContent>
                </w:sdt>
                <w:tc>
                  <w:tcPr>
                    <w:tcW w:w="439" w:type="pct"/>
                    <w:vAlign w:val="bottom"/>
                  </w:tcPr>
                  <w:p w14:paraId="22170C7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946E00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F0CD3A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0A21154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239E33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208" w:type="pct"/>
                    <w:vAlign w:val="bottom"/>
                  </w:tcPr>
                  <w:p w14:paraId="71CE8513" w14:textId="77777777" w:rsidR="00D21C1F" w:rsidRDefault="00D21C1F">
                    <w:pPr>
                      <w:jc w:val="right"/>
                      <w:rPr>
                        <w:rFonts w:ascii="Times New Roman" w:hAnsi="Times New Roman" w:cs="Times New Roman"/>
                        <w:sz w:val="16"/>
                        <w:szCs w:val="16"/>
                      </w:rPr>
                    </w:pPr>
                  </w:p>
                </w:tc>
                <w:tc>
                  <w:tcPr>
                    <w:tcW w:w="413" w:type="pct"/>
                    <w:vAlign w:val="bottom"/>
                  </w:tcPr>
                  <w:p w14:paraId="1AD430C7" w14:textId="77777777" w:rsidR="00D21C1F" w:rsidRDefault="00D21C1F">
                    <w:pPr>
                      <w:jc w:val="right"/>
                      <w:rPr>
                        <w:rFonts w:ascii="Times New Roman" w:hAnsi="Times New Roman" w:cs="Times New Roman"/>
                        <w:sz w:val="16"/>
                        <w:szCs w:val="16"/>
                      </w:rPr>
                    </w:pPr>
                  </w:p>
                </w:tc>
                <w:tc>
                  <w:tcPr>
                    <w:tcW w:w="143" w:type="pct"/>
                    <w:vAlign w:val="bottom"/>
                  </w:tcPr>
                  <w:p w14:paraId="595FF3F8" w14:textId="77777777" w:rsidR="00D21C1F" w:rsidRDefault="00D21C1F">
                    <w:pPr>
                      <w:jc w:val="right"/>
                      <w:rPr>
                        <w:rFonts w:ascii="Times New Roman" w:hAnsi="Times New Roman" w:cs="Times New Roman"/>
                        <w:sz w:val="16"/>
                        <w:szCs w:val="16"/>
                      </w:rPr>
                    </w:pPr>
                  </w:p>
                </w:tc>
                <w:tc>
                  <w:tcPr>
                    <w:tcW w:w="381" w:type="pct"/>
                    <w:vAlign w:val="bottom"/>
                  </w:tcPr>
                  <w:p w14:paraId="511F5B57" w14:textId="77777777" w:rsidR="00D21C1F" w:rsidRDefault="00D21C1F">
                    <w:pPr>
                      <w:jc w:val="right"/>
                      <w:rPr>
                        <w:rFonts w:ascii="Times New Roman" w:hAnsi="Times New Roman" w:cs="Times New Roman"/>
                        <w:sz w:val="16"/>
                        <w:szCs w:val="16"/>
                      </w:rPr>
                    </w:pPr>
                  </w:p>
                </w:tc>
                <w:tc>
                  <w:tcPr>
                    <w:tcW w:w="143" w:type="pct"/>
                    <w:vAlign w:val="bottom"/>
                  </w:tcPr>
                  <w:p w14:paraId="3B00082D" w14:textId="77777777" w:rsidR="00D21C1F" w:rsidRDefault="00D21C1F">
                    <w:pPr>
                      <w:jc w:val="right"/>
                      <w:rPr>
                        <w:rFonts w:ascii="Times New Roman" w:hAnsi="Times New Roman" w:cs="Times New Roman"/>
                        <w:sz w:val="16"/>
                        <w:szCs w:val="16"/>
                      </w:rPr>
                    </w:pPr>
                  </w:p>
                </w:tc>
                <w:tc>
                  <w:tcPr>
                    <w:tcW w:w="457" w:type="pct"/>
                    <w:vAlign w:val="bottom"/>
                  </w:tcPr>
                  <w:p w14:paraId="0B466B96" w14:textId="77777777" w:rsidR="00D21C1F" w:rsidRDefault="00D21C1F">
                    <w:pPr>
                      <w:jc w:val="right"/>
                      <w:rPr>
                        <w:rFonts w:ascii="Times New Roman" w:hAnsi="Times New Roman" w:cs="Times New Roman"/>
                        <w:sz w:val="16"/>
                        <w:szCs w:val="16"/>
                      </w:rPr>
                    </w:pPr>
                  </w:p>
                </w:tc>
                <w:tc>
                  <w:tcPr>
                    <w:tcW w:w="143" w:type="pct"/>
                    <w:vAlign w:val="bottom"/>
                  </w:tcPr>
                  <w:p w14:paraId="279A06AD" w14:textId="77777777" w:rsidR="00D21C1F" w:rsidRDefault="00D21C1F">
                    <w:pPr>
                      <w:jc w:val="right"/>
                      <w:rPr>
                        <w:rFonts w:ascii="Times New Roman" w:hAnsi="Times New Roman" w:cs="Times New Roman"/>
                        <w:sz w:val="16"/>
                        <w:szCs w:val="16"/>
                      </w:rPr>
                    </w:pPr>
                  </w:p>
                </w:tc>
                <w:tc>
                  <w:tcPr>
                    <w:tcW w:w="482" w:type="pct"/>
                    <w:vAlign w:val="bottom"/>
                  </w:tcPr>
                  <w:p w14:paraId="5AFEE2A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409" w:type="pct"/>
                    <w:vAlign w:val="bottom"/>
                  </w:tcPr>
                  <w:p w14:paraId="7F4914C6" w14:textId="77777777" w:rsidR="00D21C1F" w:rsidRDefault="00D21C1F">
                    <w:pPr>
                      <w:jc w:val="right"/>
                      <w:rPr>
                        <w:rFonts w:ascii="Times New Roman" w:hAnsi="Times New Roman" w:cs="Times New Roman"/>
                        <w:sz w:val="16"/>
                        <w:szCs w:val="16"/>
                      </w:rPr>
                    </w:pPr>
                  </w:p>
                </w:tc>
                <w:tc>
                  <w:tcPr>
                    <w:tcW w:w="482" w:type="pct"/>
                    <w:vAlign w:val="bottom"/>
                  </w:tcPr>
                  <w:p w14:paraId="31AEEB6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r>
              <w:tr w:rsidR="00D21C1F" w14:paraId="7DDA838F" w14:textId="77777777">
                <w:sdt>
                  <w:sdtPr>
                    <w:tag w:val="_PLD_b361f3a237774bcd8ac416b2b21655eb"/>
                    <w:id w:val="155883312"/>
                    <w:lock w:val="sdtLocked"/>
                  </w:sdtPr>
                  <w:sdtEndPr/>
                  <w:sdtContent>
                    <w:tc>
                      <w:tcPr>
                        <w:tcW w:w="367" w:type="pct"/>
                      </w:tcPr>
                      <w:p w14:paraId="2F822275" w14:textId="77777777" w:rsidR="00D21C1F" w:rsidRDefault="00A42880">
                        <w:pPr>
                          <w:rPr>
                            <w:sz w:val="18"/>
                            <w:szCs w:val="18"/>
                          </w:rPr>
                        </w:pPr>
                        <w:r>
                          <w:rPr>
                            <w:rFonts w:ascii="Times New Roman" w:hAnsi="Times New Roman" w:hint="eastAsia"/>
                            <w:sz w:val="18"/>
                            <w:szCs w:val="18"/>
                          </w:rPr>
                          <w:t>4</w:t>
                        </w:r>
                        <w:r>
                          <w:rPr>
                            <w:sz w:val="18"/>
                            <w:szCs w:val="18"/>
                          </w:rPr>
                          <w:t>．其他</w:t>
                        </w:r>
                      </w:p>
                    </w:tc>
                  </w:sdtContent>
                </w:sdt>
                <w:tc>
                  <w:tcPr>
                    <w:tcW w:w="439" w:type="pct"/>
                    <w:vAlign w:val="bottom"/>
                  </w:tcPr>
                  <w:p w14:paraId="2E70BF7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66F083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C9AC56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3892D1D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388D00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62A1EC8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78FC735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7E1276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63B12B6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EDBD75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72E180F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01D8BC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8890BE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5C9B050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421D6C8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13C69A93" w14:textId="77777777">
                <w:sdt>
                  <w:sdtPr>
                    <w:tag w:val="_PLD_a7e75a2d1ed049d9bbdb0ef093ac9478"/>
                    <w:id w:val="1696110738"/>
                    <w:lock w:val="sdtLocked"/>
                  </w:sdtPr>
                  <w:sdtEndPr/>
                  <w:sdtContent>
                    <w:tc>
                      <w:tcPr>
                        <w:tcW w:w="367" w:type="pct"/>
                      </w:tcPr>
                      <w:p w14:paraId="42F60E71" w14:textId="77777777" w:rsidR="00D21C1F" w:rsidRDefault="00A42880">
                        <w:pPr>
                          <w:rPr>
                            <w:sz w:val="18"/>
                            <w:szCs w:val="18"/>
                          </w:rPr>
                        </w:pPr>
                        <w:r>
                          <w:rPr>
                            <w:sz w:val="18"/>
                            <w:szCs w:val="18"/>
                          </w:rPr>
                          <w:t>（</w:t>
                        </w:r>
                        <w:r>
                          <w:rPr>
                            <w:rFonts w:hint="eastAsia"/>
                            <w:sz w:val="18"/>
                            <w:szCs w:val="18"/>
                          </w:rPr>
                          <w:t>三</w:t>
                        </w:r>
                        <w:r>
                          <w:rPr>
                            <w:sz w:val="18"/>
                            <w:szCs w:val="18"/>
                          </w:rPr>
                          <w:t>）利润分配</w:t>
                        </w:r>
                      </w:p>
                    </w:tc>
                  </w:sdtContent>
                </w:sdt>
                <w:tc>
                  <w:tcPr>
                    <w:tcW w:w="439" w:type="pct"/>
                    <w:vAlign w:val="bottom"/>
                  </w:tcPr>
                  <w:p w14:paraId="7494EAE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0038DD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364108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60DB963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31F71C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485DEF4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56B0A7B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2200C0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327A208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23E35B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77A00F3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2757BD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01DABE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0D59400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3F9DE0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2AC56473" w14:textId="77777777">
                <w:sdt>
                  <w:sdtPr>
                    <w:tag w:val="_PLD_728c39864cdd4a7c93d6a2bae73ac47f"/>
                    <w:id w:val="2104912429"/>
                    <w:lock w:val="sdtLocked"/>
                  </w:sdtPr>
                  <w:sdtEndPr/>
                  <w:sdtContent>
                    <w:tc>
                      <w:tcPr>
                        <w:tcW w:w="367" w:type="pct"/>
                      </w:tcPr>
                      <w:p w14:paraId="4524A6A9" w14:textId="77777777" w:rsidR="00D21C1F" w:rsidRDefault="00A42880">
                        <w:pPr>
                          <w:rPr>
                            <w:sz w:val="18"/>
                            <w:szCs w:val="18"/>
                          </w:rPr>
                        </w:pPr>
                        <w:r>
                          <w:rPr>
                            <w:rFonts w:ascii="Times New Roman" w:hAnsi="Times New Roman"/>
                            <w:sz w:val="18"/>
                            <w:szCs w:val="18"/>
                          </w:rPr>
                          <w:t>1</w:t>
                        </w:r>
                        <w:r>
                          <w:rPr>
                            <w:sz w:val="18"/>
                            <w:szCs w:val="18"/>
                          </w:rPr>
                          <w:t>．提取盈余公积</w:t>
                        </w:r>
                      </w:p>
                    </w:tc>
                  </w:sdtContent>
                </w:sdt>
                <w:tc>
                  <w:tcPr>
                    <w:tcW w:w="439" w:type="pct"/>
                    <w:vAlign w:val="bottom"/>
                  </w:tcPr>
                  <w:p w14:paraId="2A1A702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34D119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EA9632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534E25C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80B8C1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6E096D6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7AB6BA6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F19948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2363BEC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49BD4C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293EBE5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71A017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BB688C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54AAC2C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5FFA0B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3C0F55B2" w14:textId="77777777">
                <w:sdt>
                  <w:sdtPr>
                    <w:tag w:val="_PLD_6d8c8a0de80b4f6a97fdb16b82b3a6ac"/>
                    <w:id w:val="-1758045159"/>
                    <w:lock w:val="sdtLocked"/>
                  </w:sdtPr>
                  <w:sdtEndPr/>
                  <w:sdtContent>
                    <w:tc>
                      <w:tcPr>
                        <w:tcW w:w="367" w:type="pct"/>
                      </w:tcPr>
                      <w:p w14:paraId="71AB4CB1" w14:textId="77777777" w:rsidR="00D21C1F" w:rsidRDefault="00A42880">
                        <w:pPr>
                          <w:rPr>
                            <w:sz w:val="18"/>
                            <w:szCs w:val="18"/>
                          </w:rPr>
                        </w:pPr>
                        <w:r>
                          <w:rPr>
                            <w:rFonts w:ascii="Times New Roman" w:hAnsi="Times New Roman"/>
                            <w:sz w:val="18"/>
                            <w:szCs w:val="18"/>
                          </w:rPr>
                          <w:t>2</w:t>
                        </w:r>
                        <w:r>
                          <w:rPr>
                            <w:sz w:val="18"/>
                            <w:szCs w:val="18"/>
                          </w:rPr>
                          <w:t>．提取一般风险准备</w:t>
                        </w:r>
                      </w:p>
                    </w:tc>
                  </w:sdtContent>
                </w:sdt>
                <w:tc>
                  <w:tcPr>
                    <w:tcW w:w="439" w:type="pct"/>
                    <w:vAlign w:val="bottom"/>
                  </w:tcPr>
                  <w:p w14:paraId="53AA15F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F1A762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532CD6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38FF5E4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7CFE27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3D2FDCE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703B46F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D1D530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59073ED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60264E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24E668A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649D45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4963E93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18F7CEF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5CC5CC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4D084A4" w14:textId="77777777">
                <w:sdt>
                  <w:sdtPr>
                    <w:tag w:val="_PLD_a5531db3e1d84f3897cb962fdc73ab3d"/>
                    <w:id w:val="-1865591726"/>
                    <w:lock w:val="sdtLocked"/>
                  </w:sdtPr>
                  <w:sdtEndPr/>
                  <w:sdtContent>
                    <w:tc>
                      <w:tcPr>
                        <w:tcW w:w="367" w:type="pct"/>
                      </w:tcPr>
                      <w:p w14:paraId="335751A0" w14:textId="77777777" w:rsidR="00D21C1F" w:rsidRDefault="00A42880">
                        <w:pPr>
                          <w:rPr>
                            <w:sz w:val="18"/>
                            <w:szCs w:val="18"/>
                          </w:rPr>
                        </w:pPr>
                        <w:r>
                          <w:rPr>
                            <w:rFonts w:ascii="Times New Roman" w:hAnsi="Times New Roman"/>
                            <w:sz w:val="18"/>
                            <w:szCs w:val="18"/>
                          </w:rPr>
                          <w:t>3</w:t>
                        </w:r>
                        <w:r>
                          <w:rPr>
                            <w:sz w:val="18"/>
                            <w:szCs w:val="18"/>
                          </w:rPr>
                          <w:t>．对所有者（或股东）的分配</w:t>
                        </w:r>
                      </w:p>
                    </w:tc>
                  </w:sdtContent>
                </w:sdt>
                <w:tc>
                  <w:tcPr>
                    <w:tcW w:w="439" w:type="pct"/>
                    <w:vAlign w:val="bottom"/>
                  </w:tcPr>
                  <w:p w14:paraId="37E3374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2CD461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8068DE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6E7F0E4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B5332C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61CEC6E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54B0FC2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4C76B5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116EDC4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5045AB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7318112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D57626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C67FEA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5CA0839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4E5F40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1666A6A7" w14:textId="77777777">
                <w:sdt>
                  <w:sdtPr>
                    <w:tag w:val="_PLD_f3206f8cddd54371b8a1b220dc836af8"/>
                    <w:id w:val="782463911"/>
                    <w:lock w:val="sdtLocked"/>
                  </w:sdtPr>
                  <w:sdtEndPr/>
                  <w:sdtContent>
                    <w:tc>
                      <w:tcPr>
                        <w:tcW w:w="367" w:type="pct"/>
                      </w:tcPr>
                      <w:p w14:paraId="5E7D7353" w14:textId="77777777" w:rsidR="00D21C1F" w:rsidRDefault="00A42880">
                        <w:pPr>
                          <w:rPr>
                            <w:sz w:val="18"/>
                            <w:szCs w:val="18"/>
                          </w:rPr>
                        </w:pPr>
                        <w:r>
                          <w:rPr>
                            <w:rFonts w:ascii="Times New Roman" w:hAnsi="Times New Roman"/>
                            <w:sz w:val="18"/>
                            <w:szCs w:val="18"/>
                          </w:rPr>
                          <w:t>4</w:t>
                        </w:r>
                        <w:r>
                          <w:rPr>
                            <w:sz w:val="18"/>
                            <w:szCs w:val="18"/>
                          </w:rPr>
                          <w:t>．其他</w:t>
                        </w:r>
                      </w:p>
                    </w:tc>
                  </w:sdtContent>
                </w:sdt>
                <w:tc>
                  <w:tcPr>
                    <w:tcW w:w="439" w:type="pct"/>
                    <w:vAlign w:val="bottom"/>
                  </w:tcPr>
                  <w:p w14:paraId="0DBE18A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0C3E4C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62B9B2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51EBF53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42C2FB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0E2EE09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376BA0C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704DA6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503B538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F00E93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30FED3A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B0A286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FBD9C0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781704B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61BDFD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0A0BB6CE" w14:textId="77777777">
                <w:sdt>
                  <w:sdtPr>
                    <w:tag w:val="_PLD_c0c9652bd3724ad8b729d3650a0840d4"/>
                    <w:id w:val="529231075"/>
                    <w:lock w:val="sdtLocked"/>
                  </w:sdtPr>
                  <w:sdtEndPr/>
                  <w:sdtContent>
                    <w:tc>
                      <w:tcPr>
                        <w:tcW w:w="367" w:type="pct"/>
                      </w:tcPr>
                      <w:p w14:paraId="7B1417F3" w14:textId="77777777" w:rsidR="00D21C1F" w:rsidRDefault="00A42880">
                        <w:pPr>
                          <w:rPr>
                            <w:sz w:val="18"/>
                            <w:szCs w:val="18"/>
                          </w:rPr>
                        </w:pPr>
                        <w:r>
                          <w:rPr>
                            <w:sz w:val="18"/>
                            <w:szCs w:val="18"/>
                          </w:rPr>
                          <w:t>（</w:t>
                        </w:r>
                        <w:r>
                          <w:rPr>
                            <w:rFonts w:hint="eastAsia"/>
                            <w:sz w:val="18"/>
                            <w:szCs w:val="18"/>
                          </w:rPr>
                          <w:t>四</w:t>
                        </w:r>
                        <w:r>
                          <w:rPr>
                            <w:sz w:val="18"/>
                            <w:szCs w:val="18"/>
                          </w:rPr>
                          <w:t>）所有者权益内部结转</w:t>
                        </w:r>
                      </w:p>
                    </w:tc>
                  </w:sdtContent>
                </w:sdt>
                <w:tc>
                  <w:tcPr>
                    <w:tcW w:w="439" w:type="pct"/>
                    <w:vAlign w:val="bottom"/>
                  </w:tcPr>
                  <w:p w14:paraId="4CE7C9D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33689E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E5646F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1EEDC4A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29E20B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275A1BD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46EA0D1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C06433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374C7BF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C3D031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1BAD021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737148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71BAB3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7B84B9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DD2C63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FC6ECDF" w14:textId="77777777">
                <w:sdt>
                  <w:sdtPr>
                    <w:tag w:val="_PLD_469a000ac571436189f1cb682bbe4ce7"/>
                    <w:id w:val="-1828669218"/>
                    <w:lock w:val="sdtLocked"/>
                  </w:sdtPr>
                  <w:sdtEndPr/>
                  <w:sdtContent>
                    <w:tc>
                      <w:tcPr>
                        <w:tcW w:w="367" w:type="pct"/>
                      </w:tcPr>
                      <w:p w14:paraId="7E70A97D" w14:textId="77777777" w:rsidR="00D21C1F" w:rsidRDefault="00A42880">
                        <w:pPr>
                          <w:rPr>
                            <w:sz w:val="18"/>
                            <w:szCs w:val="18"/>
                          </w:rPr>
                        </w:pPr>
                        <w:r>
                          <w:rPr>
                            <w:rFonts w:ascii="Times New Roman" w:hAnsi="Times New Roman"/>
                            <w:sz w:val="18"/>
                            <w:szCs w:val="18"/>
                          </w:rPr>
                          <w:t>1</w:t>
                        </w:r>
                        <w:r>
                          <w:rPr>
                            <w:sz w:val="18"/>
                            <w:szCs w:val="18"/>
                          </w:rPr>
                          <w:t>．资本公积转增资本（或股本）</w:t>
                        </w:r>
                      </w:p>
                    </w:tc>
                  </w:sdtContent>
                </w:sdt>
                <w:tc>
                  <w:tcPr>
                    <w:tcW w:w="439" w:type="pct"/>
                    <w:vAlign w:val="bottom"/>
                  </w:tcPr>
                  <w:p w14:paraId="43232A8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72267B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DF18A9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765E4B5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A7C76C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33E5C95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116B1EE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58C374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7F31E96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8D3CDE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308E639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18F87C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A59852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3757416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973EFE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4F1FD0C4" w14:textId="77777777">
                <w:sdt>
                  <w:sdtPr>
                    <w:tag w:val="_PLD_8874e17dc09c419baab53299f7967f44"/>
                    <w:id w:val="-1808457399"/>
                    <w:lock w:val="sdtLocked"/>
                  </w:sdtPr>
                  <w:sdtEndPr/>
                  <w:sdtContent>
                    <w:tc>
                      <w:tcPr>
                        <w:tcW w:w="367" w:type="pct"/>
                      </w:tcPr>
                      <w:p w14:paraId="6D7A0831" w14:textId="77777777" w:rsidR="00D21C1F" w:rsidRDefault="00A42880">
                        <w:pPr>
                          <w:rPr>
                            <w:sz w:val="18"/>
                            <w:szCs w:val="18"/>
                          </w:rPr>
                        </w:pPr>
                        <w:r>
                          <w:rPr>
                            <w:rFonts w:ascii="Times New Roman" w:hAnsi="Times New Roman"/>
                            <w:sz w:val="18"/>
                            <w:szCs w:val="18"/>
                          </w:rPr>
                          <w:t>2</w:t>
                        </w:r>
                        <w:r>
                          <w:rPr>
                            <w:sz w:val="18"/>
                            <w:szCs w:val="18"/>
                          </w:rPr>
                          <w:t>．盈余公积转增资本（或股本）</w:t>
                        </w:r>
                      </w:p>
                    </w:tc>
                  </w:sdtContent>
                </w:sdt>
                <w:tc>
                  <w:tcPr>
                    <w:tcW w:w="439" w:type="pct"/>
                    <w:vAlign w:val="bottom"/>
                  </w:tcPr>
                  <w:p w14:paraId="7D99303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8DAB35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91E43C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191C08C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6389BD7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363766A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0669493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02AA03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4E50502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A1F54D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1F0674D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5BCAFD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42B1FE1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416D299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3E18E6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055FF6F3" w14:textId="77777777">
                <w:sdt>
                  <w:sdtPr>
                    <w:tag w:val="_PLD_e3c6e2e078f649258bfa4dadb9266249"/>
                    <w:id w:val="1270731878"/>
                    <w:lock w:val="sdtLocked"/>
                  </w:sdtPr>
                  <w:sdtEndPr/>
                  <w:sdtContent>
                    <w:tc>
                      <w:tcPr>
                        <w:tcW w:w="367" w:type="pct"/>
                      </w:tcPr>
                      <w:p w14:paraId="1298CB85" w14:textId="77777777" w:rsidR="00D21C1F" w:rsidRDefault="00A42880">
                        <w:pPr>
                          <w:rPr>
                            <w:sz w:val="18"/>
                            <w:szCs w:val="18"/>
                          </w:rPr>
                        </w:pPr>
                        <w:r>
                          <w:rPr>
                            <w:rFonts w:ascii="Times New Roman" w:hAnsi="Times New Roman"/>
                            <w:sz w:val="18"/>
                            <w:szCs w:val="18"/>
                          </w:rPr>
                          <w:t>3</w:t>
                        </w:r>
                        <w:r>
                          <w:rPr>
                            <w:sz w:val="18"/>
                            <w:szCs w:val="18"/>
                          </w:rPr>
                          <w:t>．盈余公积弥补亏损</w:t>
                        </w:r>
                      </w:p>
                    </w:tc>
                  </w:sdtContent>
                </w:sdt>
                <w:tc>
                  <w:tcPr>
                    <w:tcW w:w="439" w:type="pct"/>
                    <w:vAlign w:val="bottom"/>
                  </w:tcPr>
                  <w:p w14:paraId="0AC4586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9802BE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521178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518FA0D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E1AC81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347B5F6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7C085AC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78F1BA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782562B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D49AA8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1E20BE9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93B5DE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58E144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56ABB0F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3B0EC2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4EBF2D6B" w14:textId="77777777">
                <w:tc>
                  <w:tcPr>
                    <w:tcW w:w="367" w:type="pct"/>
                  </w:tcPr>
                  <w:sdt>
                    <w:sdtPr>
                      <w:rPr>
                        <w:sz w:val="18"/>
                        <w:szCs w:val="18"/>
                      </w:rPr>
                      <w:tag w:val="_PLD_7a03b853b8c74c2fb2e89f59e327b578"/>
                      <w:id w:val="-1492703275"/>
                      <w:lock w:val="sdtLocked"/>
                    </w:sdtPr>
                    <w:sdtEndPr/>
                    <w:sdtContent>
                      <w:p w14:paraId="4D9181E6" w14:textId="77777777" w:rsidR="00D21C1F" w:rsidRDefault="00A42880">
                        <w:pPr>
                          <w:pStyle w:val="97"/>
                        </w:pPr>
                        <w:r>
                          <w:rPr>
                            <w:rFonts w:ascii="Times New Roman" w:hAnsi="Times New Roman"/>
                            <w:sz w:val="18"/>
                            <w:szCs w:val="18"/>
                          </w:rPr>
                          <w:t>4</w:t>
                        </w:r>
                        <w:r>
                          <w:rPr>
                            <w:sz w:val="18"/>
                            <w:szCs w:val="18"/>
                          </w:rPr>
                          <w:t>．设定受益计划变动额结转留存收益</w:t>
                        </w:r>
                      </w:p>
                    </w:sdtContent>
                  </w:sdt>
                </w:tc>
                <w:tc>
                  <w:tcPr>
                    <w:tcW w:w="439" w:type="pct"/>
                    <w:vAlign w:val="bottom"/>
                  </w:tcPr>
                  <w:p w14:paraId="6231222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1F91F7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D381F0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0D09FA8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2DCB10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777F7AC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709546E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9CF0C6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071A98B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261762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0FFE8F9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3D62F2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ADC9D1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3C83BA6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493A21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3BF8AC11" w14:textId="77777777">
                <w:tc>
                  <w:tcPr>
                    <w:tcW w:w="367" w:type="pct"/>
                  </w:tcPr>
                  <w:sdt>
                    <w:sdtPr>
                      <w:rPr>
                        <w:sz w:val="18"/>
                        <w:szCs w:val="18"/>
                      </w:rPr>
                      <w:tag w:val="_PLD_1db95d2c039e4fb6b41eae5a5c0aeb0a"/>
                      <w:id w:val="1632443947"/>
                      <w:lock w:val="sdtLocked"/>
                    </w:sdtPr>
                    <w:sdtEndPr/>
                    <w:sdtContent>
                      <w:p w14:paraId="173E3784" w14:textId="77777777" w:rsidR="00D21C1F" w:rsidRDefault="00A42880">
                        <w:pPr>
                          <w:rPr>
                            <w:sz w:val="18"/>
                            <w:szCs w:val="18"/>
                          </w:rPr>
                        </w:pPr>
                        <w:r>
                          <w:rPr>
                            <w:rFonts w:ascii="Times New Roman" w:hAnsi="Times New Roman"/>
                            <w:sz w:val="18"/>
                            <w:szCs w:val="18"/>
                          </w:rPr>
                          <w:t>5</w:t>
                        </w:r>
                        <w:r>
                          <w:rPr>
                            <w:sz w:val="18"/>
                            <w:szCs w:val="18"/>
                          </w:rPr>
                          <w:t>．其他综合收益结转留存收益</w:t>
                        </w:r>
                      </w:p>
                    </w:sdtContent>
                  </w:sdt>
                </w:tc>
                <w:tc>
                  <w:tcPr>
                    <w:tcW w:w="439" w:type="pct"/>
                    <w:vAlign w:val="bottom"/>
                  </w:tcPr>
                  <w:p w14:paraId="48E48E0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329A2E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F5B0AC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12BA2BA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B2858B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25E12CA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4A7B661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B07CB7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7515183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54E4E7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68261C4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916B35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6EB069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5169B87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5FD6514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2D1C23C" w14:textId="77777777">
                <w:tc>
                  <w:tcPr>
                    <w:tcW w:w="367" w:type="pct"/>
                  </w:tcPr>
                  <w:sdt>
                    <w:sdtPr>
                      <w:rPr>
                        <w:sz w:val="18"/>
                        <w:szCs w:val="18"/>
                      </w:rPr>
                      <w:tag w:val="_PLD_44b366cf670e4514b5f91bc8cef97e27"/>
                      <w:id w:val="-1639409158"/>
                      <w:lock w:val="sdtLocked"/>
                    </w:sdtPr>
                    <w:sdtEndPr/>
                    <w:sdtContent>
                      <w:p w14:paraId="4DEDE683" w14:textId="77777777" w:rsidR="00D21C1F" w:rsidRDefault="00A42880">
                        <w:pPr>
                          <w:pStyle w:val="97"/>
                        </w:pPr>
                        <w:r>
                          <w:rPr>
                            <w:rFonts w:ascii="Times New Roman" w:hAnsi="Times New Roman"/>
                            <w:sz w:val="18"/>
                            <w:szCs w:val="18"/>
                          </w:rPr>
                          <w:t>6</w:t>
                        </w:r>
                        <w:r>
                          <w:rPr>
                            <w:sz w:val="18"/>
                            <w:szCs w:val="18"/>
                          </w:rPr>
                          <w:t>．其他</w:t>
                        </w:r>
                      </w:p>
                    </w:sdtContent>
                  </w:sdt>
                </w:tc>
                <w:tc>
                  <w:tcPr>
                    <w:tcW w:w="439" w:type="pct"/>
                    <w:vAlign w:val="bottom"/>
                  </w:tcPr>
                  <w:p w14:paraId="3AB0FD5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2F4C77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39491D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25ABEA1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4F40D12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04A543C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5325E50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4C8D48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278DE9D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A5038F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42A72CF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27588A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209397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06EED4F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36DB55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DAB8C51" w14:textId="77777777">
                <w:sdt>
                  <w:sdtPr>
                    <w:tag w:val="_PLD_4c2ffccd1b8247f8b48874b508665dc1"/>
                    <w:id w:val="1849060400"/>
                    <w:lock w:val="sdtLocked"/>
                  </w:sdtPr>
                  <w:sdtEndPr/>
                  <w:sdtContent>
                    <w:tc>
                      <w:tcPr>
                        <w:tcW w:w="367" w:type="pct"/>
                      </w:tcPr>
                      <w:p w14:paraId="74156185" w14:textId="77777777" w:rsidR="00D21C1F" w:rsidRDefault="00A42880">
                        <w:pPr>
                          <w:rPr>
                            <w:sz w:val="18"/>
                            <w:szCs w:val="18"/>
                          </w:rPr>
                        </w:pPr>
                        <w:r>
                          <w:rPr>
                            <w:rFonts w:hint="eastAsia"/>
                            <w:sz w:val="18"/>
                            <w:szCs w:val="18"/>
                          </w:rPr>
                          <w:t>（五）专项储备</w:t>
                        </w:r>
                      </w:p>
                    </w:tc>
                  </w:sdtContent>
                </w:sdt>
                <w:tc>
                  <w:tcPr>
                    <w:tcW w:w="439" w:type="pct"/>
                    <w:vAlign w:val="bottom"/>
                  </w:tcPr>
                  <w:p w14:paraId="734B108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1C68D9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933E09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363C7DF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49B9368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616DFC6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53783AE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678A10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1CC7A0E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3175943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06C2EB7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ECF77D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8353D8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2D858C4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7644B5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12588E5E" w14:textId="77777777">
                <w:sdt>
                  <w:sdtPr>
                    <w:tag w:val="_PLD_d7da1c1428f3471c9d74c89a582725d7"/>
                    <w:id w:val="-701712470"/>
                    <w:lock w:val="sdtLocked"/>
                  </w:sdtPr>
                  <w:sdtEndPr/>
                  <w:sdtContent>
                    <w:tc>
                      <w:tcPr>
                        <w:tcW w:w="367" w:type="pct"/>
                      </w:tcPr>
                      <w:p w14:paraId="1932EA5A" w14:textId="77777777" w:rsidR="00D21C1F" w:rsidRDefault="00A42880">
                        <w:pPr>
                          <w:rPr>
                            <w:sz w:val="18"/>
                            <w:szCs w:val="18"/>
                          </w:rPr>
                        </w:pPr>
                        <w:r>
                          <w:rPr>
                            <w:rFonts w:ascii="Times New Roman" w:hAnsi="Times New Roman" w:hint="eastAsia"/>
                            <w:sz w:val="18"/>
                            <w:szCs w:val="18"/>
                          </w:rPr>
                          <w:t>1</w:t>
                        </w:r>
                        <w:r>
                          <w:rPr>
                            <w:rFonts w:hint="eastAsia"/>
                            <w:sz w:val="18"/>
                            <w:szCs w:val="18"/>
                          </w:rPr>
                          <w:t>．本期提取</w:t>
                        </w:r>
                      </w:p>
                    </w:tc>
                  </w:sdtContent>
                </w:sdt>
                <w:tc>
                  <w:tcPr>
                    <w:tcW w:w="439" w:type="pct"/>
                    <w:vAlign w:val="bottom"/>
                  </w:tcPr>
                  <w:p w14:paraId="515539E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D9AA65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0EC082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3A01DB5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4489FA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2120A31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7C1DFE8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25BA51F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77E7512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021895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219E4A0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08B120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023FD88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6662BD8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50D17D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084AC3F2" w14:textId="77777777">
                <w:sdt>
                  <w:sdtPr>
                    <w:tag w:val="_PLD_f11a5c1cf32e432cb3dba158baca32fc"/>
                    <w:id w:val="1789776156"/>
                    <w:lock w:val="sdtLocked"/>
                  </w:sdtPr>
                  <w:sdtEndPr/>
                  <w:sdtContent>
                    <w:tc>
                      <w:tcPr>
                        <w:tcW w:w="367" w:type="pct"/>
                      </w:tcPr>
                      <w:p w14:paraId="6A5A57FB" w14:textId="77777777" w:rsidR="00D21C1F" w:rsidRDefault="00A42880">
                        <w:pPr>
                          <w:rPr>
                            <w:sz w:val="18"/>
                            <w:szCs w:val="18"/>
                          </w:rPr>
                        </w:pPr>
                        <w:r>
                          <w:rPr>
                            <w:rFonts w:ascii="Times New Roman" w:hAnsi="Times New Roman" w:hint="eastAsia"/>
                            <w:sz w:val="18"/>
                            <w:szCs w:val="18"/>
                          </w:rPr>
                          <w:t>2</w:t>
                        </w:r>
                        <w:r>
                          <w:rPr>
                            <w:rFonts w:hint="eastAsia"/>
                            <w:sz w:val="18"/>
                            <w:szCs w:val="18"/>
                          </w:rPr>
                          <w:t>．本期使用</w:t>
                        </w:r>
                      </w:p>
                    </w:tc>
                  </w:sdtContent>
                </w:sdt>
                <w:tc>
                  <w:tcPr>
                    <w:tcW w:w="439" w:type="pct"/>
                    <w:vAlign w:val="bottom"/>
                  </w:tcPr>
                  <w:p w14:paraId="26EE1BF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17B490A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051E250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707FF0A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74153A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2033CF1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7E9D7F7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7B2F388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5D98F75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055FCD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0DD22A2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2A74C9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7733234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7FDE8CB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17C8AAB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2A7F843B" w14:textId="77777777">
                <w:sdt>
                  <w:sdtPr>
                    <w:tag w:val="_PLD_749e92980f334c9cae023bb1dba136fc"/>
                    <w:id w:val="-1800294356"/>
                    <w:lock w:val="sdtLocked"/>
                  </w:sdtPr>
                  <w:sdtEndPr/>
                  <w:sdtContent>
                    <w:tc>
                      <w:tcPr>
                        <w:tcW w:w="367" w:type="pct"/>
                      </w:tcPr>
                      <w:p w14:paraId="374BBFA1" w14:textId="77777777" w:rsidR="00D21C1F" w:rsidRDefault="00A42880">
                        <w:pPr>
                          <w:rPr>
                            <w:sz w:val="18"/>
                            <w:szCs w:val="18"/>
                          </w:rPr>
                        </w:pPr>
                        <w:r>
                          <w:rPr>
                            <w:rFonts w:hint="eastAsia"/>
                            <w:sz w:val="18"/>
                            <w:szCs w:val="18"/>
                          </w:rPr>
                          <w:t>（六）其他</w:t>
                        </w:r>
                      </w:p>
                    </w:tc>
                  </w:sdtContent>
                </w:sdt>
                <w:tc>
                  <w:tcPr>
                    <w:tcW w:w="439" w:type="pct"/>
                    <w:vAlign w:val="bottom"/>
                  </w:tcPr>
                  <w:p w14:paraId="70035D7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C25F0E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6698AB9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67" w:type="pct"/>
                    <w:vAlign w:val="bottom"/>
                  </w:tcPr>
                  <w:p w14:paraId="09FC4EA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2F61FB0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208" w:type="pct"/>
                    <w:vAlign w:val="bottom"/>
                  </w:tcPr>
                  <w:p w14:paraId="5CE7919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13" w:type="pct"/>
                    <w:vAlign w:val="bottom"/>
                  </w:tcPr>
                  <w:p w14:paraId="3AC8E5C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48231B2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381" w:type="pct"/>
                    <w:vAlign w:val="bottom"/>
                  </w:tcPr>
                  <w:p w14:paraId="05D521D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C805F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57" w:type="pct"/>
                    <w:vAlign w:val="bottom"/>
                  </w:tcPr>
                  <w:p w14:paraId="43E2004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3" w:type="pct"/>
                    <w:vAlign w:val="bottom"/>
                  </w:tcPr>
                  <w:p w14:paraId="50326F2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9DE00B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09" w:type="pct"/>
                    <w:vAlign w:val="bottom"/>
                  </w:tcPr>
                  <w:p w14:paraId="14CDF0A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482" w:type="pct"/>
                    <w:vAlign w:val="bottom"/>
                  </w:tcPr>
                  <w:p w14:paraId="3B96FD4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573D31A" w14:textId="77777777">
                <w:sdt>
                  <w:sdtPr>
                    <w:tag w:val="_PLD_e9c8435b637745858c6ad855ad7bbea0"/>
                    <w:id w:val="-434912618"/>
                    <w:lock w:val="sdtLocked"/>
                  </w:sdtPr>
                  <w:sdtEndPr/>
                  <w:sdtContent>
                    <w:tc>
                      <w:tcPr>
                        <w:tcW w:w="367" w:type="pct"/>
                      </w:tcPr>
                      <w:p w14:paraId="79009370" w14:textId="77777777" w:rsidR="00D21C1F" w:rsidRDefault="00A42880">
                        <w:pPr>
                          <w:rPr>
                            <w:sz w:val="18"/>
                            <w:szCs w:val="18"/>
                          </w:rPr>
                        </w:pPr>
                        <w:r>
                          <w:rPr>
                            <w:sz w:val="18"/>
                            <w:szCs w:val="18"/>
                          </w:rPr>
                          <w:t>四、本期期末余额</w:t>
                        </w:r>
                      </w:p>
                    </w:tc>
                  </w:sdtContent>
                </w:sdt>
                <w:tc>
                  <w:tcPr>
                    <w:tcW w:w="439" w:type="pct"/>
                    <w:vAlign w:val="bottom"/>
                  </w:tcPr>
                  <w:p w14:paraId="26251EE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391,333,162.00</w:t>
                    </w:r>
                  </w:p>
                </w:tc>
                <w:tc>
                  <w:tcPr>
                    <w:tcW w:w="143" w:type="pct"/>
                    <w:vAlign w:val="bottom"/>
                  </w:tcPr>
                  <w:p w14:paraId="791E8CDB" w14:textId="77777777" w:rsidR="00D21C1F" w:rsidRDefault="00D21C1F">
                    <w:pPr>
                      <w:jc w:val="right"/>
                      <w:rPr>
                        <w:rFonts w:ascii="Times New Roman" w:hAnsi="Times New Roman" w:cs="Times New Roman"/>
                        <w:sz w:val="16"/>
                        <w:szCs w:val="16"/>
                      </w:rPr>
                    </w:pPr>
                  </w:p>
                </w:tc>
                <w:tc>
                  <w:tcPr>
                    <w:tcW w:w="143" w:type="pct"/>
                    <w:vAlign w:val="bottom"/>
                  </w:tcPr>
                  <w:p w14:paraId="240E95B6" w14:textId="77777777" w:rsidR="00D21C1F" w:rsidRDefault="00D21C1F">
                    <w:pPr>
                      <w:jc w:val="right"/>
                      <w:rPr>
                        <w:rFonts w:ascii="Times New Roman" w:hAnsi="Times New Roman" w:cs="Times New Roman"/>
                        <w:sz w:val="16"/>
                        <w:szCs w:val="16"/>
                      </w:rPr>
                    </w:pPr>
                  </w:p>
                </w:tc>
                <w:tc>
                  <w:tcPr>
                    <w:tcW w:w="167" w:type="pct"/>
                    <w:vAlign w:val="bottom"/>
                  </w:tcPr>
                  <w:p w14:paraId="5E922D2C" w14:textId="77777777" w:rsidR="00D21C1F" w:rsidRDefault="00D21C1F">
                    <w:pPr>
                      <w:jc w:val="right"/>
                      <w:rPr>
                        <w:rFonts w:ascii="Times New Roman" w:hAnsi="Times New Roman" w:cs="Times New Roman"/>
                        <w:sz w:val="16"/>
                        <w:szCs w:val="16"/>
                      </w:rPr>
                    </w:pPr>
                  </w:p>
                </w:tc>
                <w:tc>
                  <w:tcPr>
                    <w:tcW w:w="482" w:type="pct"/>
                    <w:vAlign w:val="bottom"/>
                  </w:tcPr>
                  <w:p w14:paraId="28DBEAD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1,403,746,470.88</w:t>
                    </w:r>
                  </w:p>
                </w:tc>
                <w:tc>
                  <w:tcPr>
                    <w:tcW w:w="208" w:type="pct"/>
                    <w:vAlign w:val="bottom"/>
                  </w:tcPr>
                  <w:p w14:paraId="17CC3B1B" w14:textId="77777777" w:rsidR="00D21C1F" w:rsidRDefault="00D21C1F">
                    <w:pPr>
                      <w:jc w:val="right"/>
                      <w:rPr>
                        <w:rFonts w:ascii="Times New Roman" w:hAnsi="Times New Roman" w:cs="Times New Roman"/>
                        <w:sz w:val="16"/>
                        <w:szCs w:val="16"/>
                      </w:rPr>
                    </w:pPr>
                  </w:p>
                </w:tc>
                <w:tc>
                  <w:tcPr>
                    <w:tcW w:w="413" w:type="pct"/>
                    <w:vAlign w:val="bottom"/>
                  </w:tcPr>
                  <w:p w14:paraId="110432D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-77,432,097.41</w:t>
                    </w:r>
                  </w:p>
                </w:tc>
                <w:tc>
                  <w:tcPr>
                    <w:tcW w:w="143" w:type="pct"/>
                    <w:vAlign w:val="bottom"/>
                  </w:tcPr>
                  <w:p w14:paraId="691FD04D" w14:textId="77777777" w:rsidR="00D21C1F" w:rsidRDefault="00D21C1F">
                    <w:pPr>
                      <w:jc w:val="right"/>
                      <w:rPr>
                        <w:rFonts w:ascii="Times New Roman" w:hAnsi="Times New Roman" w:cs="Times New Roman"/>
                        <w:sz w:val="16"/>
                        <w:szCs w:val="16"/>
                      </w:rPr>
                    </w:pPr>
                  </w:p>
                </w:tc>
                <w:tc>
                  <w:tcPr>
                    <w:tcW w:w="381" w:type="pct"/>
                    <w:vAlign w:val="bottom"/>
                  </w:tcPr>
                  <w:p w14:paraId="0487048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7,850,945.49</w:t>
                    </w:r>
                  </w:p>
                </w:tc>
                <w:tc>
                  <w:tcPr>
                    <w:tcW w:w="143" w:type="pct"/>
                    <w:vAlign w:val="bottom"/>
                  </w:tcPr>
                  <w:p w14:paraId="4AC54765" w14:textId="77777777" w:rsidR="00D21C1F" w:rsidRDefault="00D21C1F">
                    <w:pPr>
                      <w:jc w:val="right"/>
                      <w:rPr>
                        <w:rFonts w:ascii="Times New Roman" w:hAnsi="Times New Roman" w:cs="Times New Roman"/>
                        <w:sz w:val="16"/>
                        <w:szCs w:val="16"/>
                      </w:rPr>
                    </w:pPr>
                  </w:p>
                </w:tc>
                <w:tc>
                  <w:tcPr>
                    <w:tcW w:w="457" w:type="pct"/>
                    <w:vAlign w:val="bottom"/>
                  </w:tcPr>
                  <w:p w14:paraId="0D50C8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-237,583,108.96</w:t>
                    </w:r>
                  </w:p>
                </w:tc>
                <w:tc>
                  <w:tcPr>
                    <w:tcW w:w="143" w:type="pct"/>
                    <w:vAlign w:val="bottom"/>
                  </w:tcPr>
                  <w:p w14:paraId="6F345BE1" w14:textId="77777777" w:rsidR="00D21C1F" w:rsidRDefault="00D21C1F">
                    <w:pPr>
                      <w:jc w:val="right"/>
                      <w:rPr>
                        <w:rFonts w:ascii="Times New Roman" w:hAnsi="Times New Roman" w:cs="Times New Roman"/>
                        <w:sz w:val="16"/>
                        <w:szCs w:val="16"/>
                      </w:rPr>
                    </w:pPr>
                  </w:p>
                </w:tc>
                <w:tc>
                  <w:tcPr>
                    <w:tcW w:w="482" w:type="pct"/>
                    <w:vAlign w:val="bottom"/>
                  </w:tcPr>
                  <w:p w14:paraId="46B5A6C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1,487,915,372.00</w:t>
                    </w:r>
                  </w:p>
                </w:tc>
                <w:tc>
                  <w:tcPr>
                    <w:tcW w:w="409" w:type="pct"/>
                    <w:vAlign w:val="bottom"/>
                  </w:tcPr>
                  <w:p w14:paraId="41CCB4D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7,351,364.48</w:t>
                    </w:r>
                  </w:p>
                </w:tc>
                <w:tc>
                  <w:tcPr>
                    <w:tcW w:w="482" w:type="pct"/>
                    <w:vAlign w:val="bottom"/>
                  </w:tcPr>
                  <w:p w14:paraId="6542F9B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1,495,266,736.48</w:t>
                    </w:r>
                  </w:p>
                </w:tc>
              </w:tr>
            </w:tbl>
            <w:p w14:paraId="5776678F" w14:textId="77777777" w:rsidR="00D21C1F" w:rsidRDefault="00D21C1F">
              <w:pPr>
                <w:pStyle w:val="97"/>
              </w:pPr>
            </w:p>
            <w:p w14:paraId="746FADFD" w14:textId="77777777" w:rsidR="00D21C1F" w:rsidRDefault="00A42880">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076a4a0998a840bab20f0ed83e5bab3d"/>
                  <w:id w:val="1693267592"/>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162048639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897713810"/>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sdtContent>
        </w:sdt>
        <w:p w14:paraId="7B72C954" w14:textId="77777777" w:rsidR="00D21C1F" w:rsidRDefault="00D21C1F">
          <w:pPr>
            <w:rPr>
              <w:szCs w:val="21"/>
            </w:rPr>
          </w:pPr>
        </w:p>
        <w:p w14:paraId="7DA2969F" w14:textId="77777777" w:rsidR="00D21C1F" w:rsidRDefault="00D21C1F">
          <w:pPr>
            <w:rPr>
              <w:szCs w:val="21"/>
            </w:rPr>
          </w:pPr>
        </w:p>
        <w:sdt>
          <w:sdtPr>
            <w:rPr>
              <w:rFonts w:ascii="宋体" w:eastAsia="宋体" w:hAnsi="宋体" w:cs="宋体"/>
              <w:b w:val="0"/>
              <w:bCs w:val="0"/>
              <w:kern w:val="0"/>
              <w:szCs w:val="24"/>
            </w:rPr>
            <w:tag w:val="_GBC_24560eea01804b8b9d3678736eb60ca8"/>
            <w:id w:val="-1344392429"/>
            <w:lock w:val="sdtLocked"/>
            <w:placeholder>
              <w:docPart w:val="GBC22222222222222222222222222222"/>
            </w:placeholder>
          </w:sdtPr>
          <w:sdtEndPr>
            <w:rPr>
              <w:rFonts w:hint="eastAsia"/>
              <w:szCs w:val="21"/>
            </w:rPr>
          </w:sdtEndPr>
          <w:sdtContent>
            <w:p w14:paraId="61793C62" w14:textId="77777777" w:rsidR="00D21C1F" w:rsidRDefault="00A42880">
              <w:pPr>
                <w:pStyle w:val="94"/>
                <w:jc w:val="center"/>
                <w:rPr>
                  <w:rFonts w:ascii="宋体" w:hAnsi="宋体"/>
                </w:rPr>
              </w:pPr>
              <w:r>
                <w:rPr>
                  <w:rFonts w:ascii="宋体" w:hAnsi="宋体"/>
                </w:rPr>
                <w:t>母公司</w:t>
              </w:r>
              <w:r>
                <w:rPr>
                  <w:rFonts w:ascii="宋体" w:hAnsi="宋体" w:hint="eastAsia"/>
                </w:rPr>
                <w:t>所有者权益变动表</w:t>
              </w:r>
            </w:p>
            <w:p w14:paraId="030E67BA" w14:textId="77777777" w:rsidR="00D21C1F" w:rsidRDefault="00A42880">
              <w:pPr>
                <w:tabs>
                  <w:tab w:val="left" w:pos="10080"/>
                </w:tabs>
                <w:snapToGrid w:val="0"/>
                <w:spacing w:line="240" w:lineRule="atLeast"/>
                <w:ind w:rightChars="12" w:right="25"/>
                <w:jc w:val="center"/>
                <w:rPr>
                  <w:b/>
                  <w:bCs/>
                  <w:szCs w:val="21"/>
                </w:rPr>
              </w:pPr>
              <w:r>
                <w:rPr>
                  <w:rFonts w:ascii="Times New Roman" w:hAnsi="Times New Roman"/>
                  <w:szCs w:val="21"/>
                </w:rPr>
                <w:t>2021</w:t>
              </w:r>
              <w:r>
                <w:rPr>
                  <w:szCs w:val="21"/>
                </w:rPr>
                <w:t>年</w:t>
              </w:r>
              <w:r>
                <w:rPr>
                  <w:rFonts w:ascii="Times New Roman" w:hAnsi="Times New Roman" w:hint="eastAsia"/>
                  <w:szCs w:val="21"/>
                </w:rPr>
                <w:t>1</w:t>
              </w:r>
              <w:r>
                <w:rPr>
                  <w:rFonts w:hint="eastAsia"/>
                  <w:szCs w:val="21"/>
                </w:rPr>
                <w:t>—</w:t>
              </w:r>
              <w:r>
                <w:rPr>
                  <w:rFonts w:ascii="Times New Roman" w:hAnsi="Times New Roman" w:hint="eastAsia"/>
                  <w:szCs w:val="21"/>
                </w:rPr>
                <w:t>6</w:t>
              </w:r>
              <w:r>
                <w:rPr>
                  <w:szCs w:val="21"/>
                </w:rPr>
                <w:t>月</w:t>
              </w:r>
            </w:p>
            <w:p w14:paraId="5AAE022A" w14:textId="77777777" w:rsidR="00D21C1F" w:rsidRDefault="00A42880">
              <w:pPr>
                <w:snapToGrid w:val="0"/>
                <w:spacing w:line="240" w:lineRule="atLeast"/>
                <w:jc w:val="right"/>
                <w:rPr>
                  <w:szCs w:val="21"/>
                </w:rPr>
              </w:pPr>
              <w:r>
                <w:rPr>
                  <w:szCs w:val="21"/>
                </w:rPr>
                <w:t>单位:</w:t>
              </w:r>
              <w:sdt>
                <w:sdtPr>
                  <w:rPr>
                    <w:szCs w:val="21"/>
                  </w:rPr>
                  <w:alias w:val="单位：母公司股东权益调节表"/>
                  <w:tag w:val="_GBC_048773409e614c6bb753000b028316a5"/>
                  <w:id w:val="-591743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母公司股东权益调节表"/>
                  <w:tag w:val="_GBC_5214b7a188334da286fc3038d017d072"/>
                  <w:id w:val="-20305550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321"/>
                <w:gridCol w:w="807"/>
                <w:gridCol w:w="894"/>
                <w:gridCol w:w="850"/>
                <w:gridCol w:w="1461"/>
                <w:gridCol w:w="807"/>
                <w:gridCol w:w="709"/>
                <w:gridCol w:w="709"/>
                <w:gridCol w:w="1275"/>
                <w:gridCol w:w="1276"/>
                <w:gridCol w:w="1401"/>
              </w:tblGrid>
              <w:tr w:rsidR="00D21C1F" w14:paraId="36C84549" w14:textId="77777777">
                <w:trPr>
                  <w:trHeight w:val="20"/>
                </w:trPr>
                <w:sdt>
                  <w:sdtPr>
                    <w:tag w:val="_PLD_e16babcb874e4410be91226aac3d24db"/>
                    <w:id w:val="-1025091089"/>
                    <w:lock w:val="sdtLocked"/>
                  </w:sdtPr>
                  <w:sdtEndPr/>
                  <w:sdtContent>
                    <w:tc>
                      <w:tcPr>
                        <w:tcW w:w="2450" w:type="dxa"/>
                        <w:vMerge w:val="restart"/>
                        <w:vAlign w:val="center"/>
                      </w:tcPr>
                      <w:p w14:paraId="6095FCEB" w14:textId="77777777" w:rsidR="00D21C1F" w:rsidRDefault="00A42880">
                        <w:pPr>
                          <w:adjustRightInd w:val="0"/>
                          <w:snapToGrid w:val="0"/>
                          <w:jc w:val="center"/>
                          <w:rPr>
                            <w:sz w:val="18"/>
                            <w:szCs w:val="18"/>
                          </w:rPr>
                        </w:pPr>
                        <w:r>
                          <w:rPr>
                            <w:rFonts w:hint="eastAsia"/>
                            <w:sz w:val="18"/>
                            <w:szCs w:val="18"/>
                          </w:rPr>
                          <w:t>项目</w:t>
                        </w:r>
                      </w:p>
                    </w:tc>
                  </w:sdtContent>
                </w:sdt>
                <w:tc>
                  <w:tcPr>
                    <w:tcW w:w="11510" w:type="dxa"/>
                    <w:gridSpan w:val="11"/>
                    <w:vAlign w:val="center"/>
                  </w:tcPr>
                  <w:p w14:paraId="7514B748" w14:textId="77777777" w:rsidR="00D21C1F" w:rsidRDefault="00045EC6">
                    <w:pPr>
                      <w:adjustRightInd w:val="0"/>
                      <w:snapToGrid w:val="0"/>
                      <w:jc w:val="center"/>
                    </w:pPr>
                    <w:sdt>
                      <w:sdtPr>
                        <w:rPr>
                          <w:rFonts w:hint="eastAsia"/>
                        </w:rPr>
                        <w:tag w:val="_PLD_f6e21c3ce66d4e148eea3bf743a653b8"/>
                        <w:id w:val="1833172056"/>
                        <w:lock w:val="sdtLocked"/>
                      </w:sdtPr>
                      <w:sdtEndPr/>
                      <w:sdtContent>
                        <w:r w:rsidR="00A42880">
                          <w:rPr>
                            <w:rFonts w:ascii="Times New Roman" w:hAnsi="Times New Roman" w:hint="eastAsia"/>
                            <w:sz w:val="18"/>
                          </w:rPr>
                          <w:t>2021</w:t>
                        </w:r>
                        <w:r w:rsidR="00A42880">
                          <w:rPr>
                            <w:rFonts w:hint="eastAsia"/>
                            <w:sz w:val="18"/>
                          </w:rPr>
                          <w:t>年半年度</w:t>
                        </w:r>
                      </w:sdtContent>
                    </w:sdt>
                  </w:p>
                </w:tc>
              </w:tr>
              <w:tr w:rsidR="00D21C1F" w14:paraId="23FFBD15" w14:textId="77777777">
                <w:trPr>
                  <w:trHeight w:val="315"/>
                </w:trPr>
                <w:tc>
                  <w:tcPr>
                    <w:tcW w:w="2450" w:type="dxa"/>
                    <w:vMerge/>
                  </w:tcPr>
                  <w:p w14:paraId="3C16CC60" w14:textId="77777777" w:rsidR="00D21C1F" w:rsidRDefault="00D21C1F">
                    <w:pPr>
                      <w:adjustRightInd w:val="0"/>
                      <w:snapToGrid w:val="0"/>
                      <w:rPr>
                        <w:sz w:val="18"/>
                        <w:szCs w:val="18"/>
                      </w:rPr>
                    </w:pPr>
                  </w:p>
                </w:tc>
                <w:sdt>
                  <w:sdtPr>
                    <w:tag w:val="_PLD_0b6e9703ed65458cb162afd47e6cc9f5"/>
                    <w:id w:val="852696376"/>
                    <w:lock w:val="sdtLocked"/>
                  </w:sdtPr>
                  <w:sdtEndPr/>
                  <w:sdtContent>
                    <w:tc>
                      <w:tcPr>
                        <w:tcW w:w="1321" w:type="dxa"/>
                        <w:vMerge w:val="restart"/>
                        <w:tcBorders>
                          <w:right w:val="single" w:sz="4" w:space="0" w:color="auto"/>
                        </w:tcBorders>
                        <w:vAlign w:val="center"/>
                      </w:tcPr>
                      <w:p w14:paraId="51AB43F5" w14:textId="77777777" w:rsidR="00D21C1F" w:rsidRDefault="00A42880">
                        <w:pPr>
                          <w:adjustRightInd w:val="0"/>
                          <w:snapToGrid w:val="0"/>
                          <w:jc w:val="center"/>
                          <w:rPr>
                            <w:sz w:val="18"/>
                            <w:szCs w:val="18"/>
                          </w:rPr>
                        </w:pPr>
                        <w:r>
                          <w:rPr>
                            <w:rFonts w:hint="eastAsia"/>
                            <w:sz w:val="18"/>
                            <w:szCs w:val="18"/>
                          </w:rPr>
                          <w:t>实收资本</w:t>
                        </w:r>
                        <w:r>
                          <w:rPr>
                            <w:sz w:val="18"/>
                            <w:szCs w:val="18"/>
                          </w:rPr>
                          <w:t>(或股本)</w:t>
                        </w:r>
                      </w:p>
                    </w:tc>
                  </w:sdtContent>
                </w:sdt>
                <w:sdt>
                  <w:sdtPr>
                    <w:tag w:val="_PLD_385a3413585444238bb59d181b958311"/>
                    <w:id w:val="936635735"/>
                    <w:lock w:val="sdtLocked"/>
                  </w:sdtPr>
                  <w:sdtEndPr/>
                  <w:sdtContent>
                    <w:tc>
                      <w:tcPr>
                        <w:tcW w:w="2551" w:type="dxa"/>
                        <w:gridSpan w:val="3"/>
                        <w:tcBorders>
                          <w:left w:val="single" w:sz="4" w:space="0" w:color="auto"/>
                          <w:bottom w:val="single" w:sz="4" w:space="0" w:color="auto"/>
                        </w:tcBorders>
                        <w:vAlign w:val="center"/>
                      </w:tcPr>
                      <w:p w14:paraId="325AF9FA" w14:textId="77777777" w:rsidR="00D21C1F" w:rsidRDefault="00A42880">
                        <w:pPr>
                          <w:adjustRightInd w:val="0"/>
                          <w:snapToGrid w:val="0"/>
                          <w:jc w:val="center"/>
                          <w:rPr>
                            <w:sz w:val="18"/>
                            <w:szCs w:val="18"/>
                          </w:rPr>
                        </w:pPr>
                        <w:r>
                          <w:rPr>
                            <w:rFonts w:hint="eastAsia"/>
                            <w:sz w:val="18"/>
                            <w:szCs w:val="18"/>
                          </w:rPr>
                          <w:t>其他权益工具</w:t>
                        </w:r>
                      </w:p>
                    </w:tc>
                  </w:sdtContent>
                </w:sdt>
                <w:sdt>
                  <w:sdtPr>
                    <w:tag w:val="_PLD_670488de432c4150880353e82f6ebb21"/>
                    <w:id w:val="-2081367295"/>
                    <w:lock w:val="sdtLocked"/>
                  </w:sdtPr>
                  <w:sdtEndPr/>
                  <w:sdtContent>
                    <w:tc>
                      <w:tcPr>
                        <w:tcW w:w="1461" w:type="dxa"/>
                        <w:vMerge w:val="restart"/>
                        <w:vAlign w:val="center"/>
                      </w:tcPr>
                      <w:p w14:paraId="6734BBD7" w14:textId="77777777" w:rsidR="00D21C1F" w:rsidRDefault="00A42880">
                        <w:pPr>
                          <w:adjustRightInd w:val="0"/>
                          <w:snapToGrid w:val="0"/>
                          <w:jc w:val="center"/>
                          <w:rPr>
                            <w:sz w:val="18"/>
                            <w:szCs w:val="18"/>
                          </w:rPr>
                        </w:pPr>
                        <w:r>
                          <w:rPr>
                            <w:sz w:val="18"/>
                            <w:szCs w:val="18"/>
                          </w:rPr>
                          <w:t>资本公积</w:t>
                        </w:r>
                      </w:p>
                    </w:tc>
                  </w:sdtContent>
                </w:sdt>
                <w:sdt>
                  <w:sdtPr>
                    <w:tag w:val="_PLD_c1c25c4e521b4e8aba5ccfef16a558c5"/>
                    <w:id w:val="212009478"/>
                    <w:lock w:val="sdtLocked"/>
                  </w:sdtPr>
                  <w:sdtEndPr/>
                  <w:sdtContent>
                    <w:tc>
                      <w:tcPr>
                        <w:tcW w:w="807" w:type="dxa"/>
                        <w:vMerge w:val="restart"/>
                        <w:vAlign w:val="center"/>
                      </w:tcPr>
                      <w:p w14:paraId="6D172701" w14:textId="77777777" w:rsidR="00D21C1F" w:rsidRDefault="00A42880">
                        <w:pPr>
                          <w:adjustRightInd w:val="0"/>
                          <w:snapToGrid w:val="0"/>
                          <w:jc w:val="center"/>
                          <w:rPr>
                            <w:sz w:val="18"/>
                            <w:szCs w:val="18"/>
                          </w:rPr>
                        </w:pPr>
                        <w:r>
                          <w:rPr>
                            <w:sz w:val="18"/>
                            <w:szCs w:val="18"/>
                          </w:rPr>
                          <w:t>减：库存股</w:t>
                        </w:r>
                      </w:p>
                    </w:tc>
                  </w:sdtContent>
                </w:sdt>
                <w:sdt>
                  <w:sdtPr>
                    <w:tag w:val="_PLD_4ef83c170ca54a08ac6fcebc6a487dcd"/>
                    <w:id w:val="-569417959"/>
                    <w:lock w:val="sdtLocked"/>
                  </w:sdtPr>
                  <w:sdtEndPr/>
                  <w:sdtContent>
                    <w:tc>
                      <w:tcPr>
                        <w:tcW w:w="709" w:type="dxa"/>
                        <w:vMerge w:val="restart"/>
                        <w:vAlign w:val="center"/>
                      </w:tcPr>
                      <w:p w14:paraId="2C4053E4" w14:textId="77777777" w:rsidR="00D21C1F" w:rsidRDefault="00A42880">
                        <w:pPr>
                          <w:jc w:val="center"/>
                          <w:rPr>
                            <w:sz w:val="18"/>
                            <w:szCs w:val="18"/>
                          </w:rPr>
                        </w:pPr>
                        <w:r>
                          <w:rPr>
                            <w:rFonts w:hint="eastAsia"/>
                            <w:sz w:val="18"/>
                            <w:szCs w:val="18"/>
                          </w:rPr>
                          <w:t>其他综合收益</w:t>
                        </w:r>
                      </w:p>
                    </w:tc>
                  </w:sdtContent>
                </w:sdt>
                <w:sdt>
                  <w:sdtPr>
                    <w:tag w:val="_PLD_5a42f2a835d44138928915520fc5e902"/>
                    <w:id w:val="-1647961701"/>
                    <w:lock w:val="sdtLocked"/>
                  </w:sdtPr>
                  <w:sdtEndPr/>
                  <w:sdtContent>
                    <w:tc>
                      <w:tcPr>
                        <w:tcW w:w="709" w:type="dxa"/>
                        <w:vMerge w:val="restart"/>
                        <w:vAlign w:val="center"/>
                      </w:tcPr>
                      <w:p w14:paraId="3ADF157D" w14:textId="77777777" w:rsidR="00D21C1F" w:rsidRDefault="00A42880">
                        <w:pPr>
                          <w:adjustRightInd w:val="0"/>
                          <w:snapToGrid w:val="0"/>
                          <w:jc w:val="center"/>
                          <w:rPr>
                            <w:sz w:val="18"/>
                            <w:szCs w:val="18"/>
                          </w:rPr>
                        </w:pPr>
                        <w:r>
                          <w:rPr>
                            <w:rFonts w:hint="eastAsia"/>
                            <w:sz w:val="18"/>
                            <w:szCs w:val="18"/>
                          </w:rPr>
                          <w:t>专项储备</w:t>
                        </w:r>
                      </w:p>
                    </w:tc>
                  </w:sdtContent>
                </w:sdt>
                <w:sdt>
                  <w:sdtPr>
                    <w:tag w:val="_PLD_dbef0e1514f54b8ab8b43e975d3451b6"/>
                    <w:id w:val="-1492096465"/>
                    <w:lock w:val="sdtLocked"/>
                  </w:sdtPr>
                  <w:sdtEndPr/>
                  <w:sdtContent>
                    <w:tc>
                      <w:tcPr>
                        <w:tcW w:w="1275" w:type="dxa"/>
                        <w:vMerge w:val="restart"/>
                        <w:vAlign w:val="center"/>
                      </w:tcPr>
                      <w:p w14:paraId="1B483713" w14:textId="77777777" w:rsidR="00D21C1F" w:rsidRDefault="00A42880">
                        <w:pPr>
                          <w:adjustRightInd w:val="0"/>
                          <w:snapToGrid w:val="0"/>
                          <w:jc w:val="center"/>
                          <w:rPr>
                            <w:sz w:val="18"/>
                            <w:szCs w:val="18"/>
                          </w:rPr>
                        </w:pPr>
                        <w:r>
                          <w:rPr>
                            <w:sz w:val="18"/>
                            <w:szCs w:val="18"/>
                          </w:rPr>
                          <w:t>盈余公积</w:t>
                        </w:r>
                      </w:p>
                    </w:tc>
                  </w:sdtContent>
                </w:sdt>
                <w:sdt>
                  <w:sdtPr>
                    <w:tag w:val="_PLD_63b6c2969ec64e7abb1802f027c1069a"/>
                    <w:id w:val="-576969767"/>
                    <w:lock w:val="sdtLocked"/>
                  </w:sdtPr>
                  <w:sdtEndPr/>
                  <w:sdtContent>
                    <w:tc>
                      <w:tcPr>
                        <w:tcW w:w="1276" w:type="dxa"/>
                        <w:vMerge w:val="restart"/>
                        <w:vAlign w:val="center"/>
                      </w:tcPr>
                      <w:p w14:paraId="3C75A580" w14:textId="77777777" w:rsidR="00D21C1F" w:rsidRDefault="00A42880">
                        <w:pPr>
                          <w:adjustRightInd w:val="0"/>
                          <w:snapToGrid w:val="0"/>
                          <w:jc w:val="center"/>
                          <w:rPr>
                            <w:sz w:val="18"/>
                            <w:szCs w:val="18"/>
                          </w:rPr>
                        </w:pPr>
                        <w:r>
                          <w:rPr>
                            <w:sz w:val="18"/>
                            <w:szCs w:val="18"/>
                          </w:rPr>
                          <w:t>未分配利润</w:t>
                        </w:r>
                      </w:p>
                    </w:tc>
                  </w:sdtContent>
                </w:sdt>
                <w:sdt>
                  <w:sdtPr>
                    <w:tag w:val="_PLD_cdd38492b3a84e28b52c6700432babfd"/>
                    <w:id w:val="2138451028"/>
                    <w:lock w:val="sdtLocked"/>
                  </w:sdtPr>
                  <w:sdtEndPr/>
                  <w:sdtContent>
                    <w:tc>
                      <w:tcPr>
                        <w:tcW w:w="1401" w:type="dxa"/>
                        <w:vMerge w:val="restart"/>
                        <w:vAlign w:val="center"/>
                      </w:tcPr>
                      <w:p w14:paraId="085AF1ED" w14:textId="77777777" w:rsidR="00D21C1F" w:rsidRDefault="00A42880">
                        <w:pPr>
                          <w:adjustRightInd w:val="0"/>
                          <w:snapToGrid w:val="0"/>
                          <w:jc w:val="center"/>
                          <w:rPr>
                            <w:sz w:val="18"/>
                            <w:szCs w:val="18"/>
                          </w:rPr>
                        </w:pPr>
                        <w:r>
                          <w:rPr>
                            <w:sz w:val="18"/>
                            <w:szCs w:val="18"/>
                          </w:rPr>
                          <w:t>所有者权益合计</w:t>
                        </w:r>
                      </w:p>
                    </w:tc>
                  </w:sdtContent>
                </w:sdt>
              </w:tr>
              <w:tr w:rsidR="00D21C1F" w14:paraId="51905052" w14:textId="77777777">
                <w:trPr>
                  <w:trHeight w:val="294"/>
                </w:trPr>
                <w:tc>
                  <w:tcPr>
                    <w:tcW w:w="2450" w:type="dxa"/>
                    <w:vMerge/>
                  </w:tcPr>
                  <w:p w14:paraId="25059A02" w14:textId="77777777" w:rsidR="00D21C1F" w:rsidRDefault="00D21C1F">
                    <w:pPr>
                      <w:adjustRightInd w:val="0"/>
                      <w:snapToGrid w:val="0"/>
                      <w:rPr>
                        <w:sz w:val="18"/>
                        <w:szCs w:val="18"/>
                      </w:rPr>
                    </w:pPr>
                  </w:p>
                </w:tc>
                <w:tc>
                  <w:tcPr>
                    <w:tcW w:w="1321" w:type="dxa"/>
                    <w:vMerge/>
                    <w:tcBorders>
                      <w:right w:val="single" w:sz="4" w:space="0" w:color="auto"/>
                    </w:tcBorders>
                    <w:vAlign w:val="center"/>
                  </w:tcPr>
                  <w:p w14:paraId="62F20E39" w14:textId="77777777" w:rsidR="00D21C1F" w:rsidRDefault="00D21C1F">
                    <w:pPr>
                      <w:adjustRightInd w:val="0"/>
                      <w:snapToGrid w:val="0"/>
                      <w:jc w:val="center"/>
                      <w:rPr>
                        <w:sz w:val="18"/>
                        <w:szCs w:val="18"/>
                      </w:rPr>
                    </w:pPr>
                  </w:p>
                </w:tc>
                <w:sdt>
                  <w:sdtPr>
                    <w:tag w:val="_PLD_90c1cf3c29414463ba491093caed23a7"/>
                    <w:id w:val="-627936392"/>
                    <w:lock w:val="sdtLocked"/>
                  </w:sdtPr>
                  <w:sdtEndPr/>
                  <w:sdtContent>
                    <w:tc>
                      <w:tcPr>
                        <w:tcW w:w="807" w:type="dxa"/>
                        <w:tcBorders>
                          <w:top w:val="single" w:sz="4" w:space="0" w:color="auto"/>
                          <w:left w:val="single" w:sz="4" w:space="0" w:color="auto"/>
                          <w:right w:val="single" w:sz="4" w:space="0" w:color="auto"/>
                        </w:tcBorders>
                        <w:vAlign w:val="center"/>
                      </w:tcPr>
                      <w:p w14:paraId="7B189631" w14:textId="77777777" w:rsidR="00D21C1F" w:rsidRDefault="00A42880">
                        <w:pPr>
                          <w:adjustRightInd w:val="0"/>
                          <w:snapToGrid w:val="0"/>
                          <w:jc w:val="center"/>
                          <w:rPr>
                            <w:sz w:val="18"/>
                            <w:szCs w:val="18"/>
                          </w:rPr>
                        </w:pPr>
                        <w:r>
                          <w:rPr>
                            <w:rFonts w:hint="eastAsia"/>
                            <w:sz w:val="18"/>
                            <w:szCs w:val="18"/>
                          </w:rPr>
                          <w:t>优先股</w:t>
                        </w:r>
                      </w:p>
                    </w:tc>
                  </w:sdtContent>
                </w:sdt>
                <w:sdt>
                  <w:sdtPr>
                    <w:tag w:val="_PLD_7dac20c025664b94b7a2176be4c24d00"/>
                    <w:id w:val="615493198"/>
                    <w:lock w:val="sdtLocked"/>
                  </w:sdtPr>
                  <w:sdtEndPr/>
                  <w:sdtContent>
                    <w:tc>
                      <w:tcPr>
                        <w:tcW w:w="894" w:type="dxa"/>
                        <w:tcBorders>
                          <w:top w:val="single" w:sz="4" w:space="0" w:color="auto"/>
                          <w:left w:val="single" w:sz="4" w:space="0" w:color="auto"/>
                          <w:right w:val="single" w:sz="4" w:space="0" w:color="auto"/>
                        </w:tcBorders>
                        <w:vAlign w:val="center"/>
                      </w:tcPr>
                      <w:p w14:paraId="7946CECF" w14:textId="77777777" w:rsidR="00D21C1F" w:rsidRDefault="00A42880">
                        <w:pPr>
                          <w:adjustRightInd w:val="0"/>
                          <w:snapToGrid w:val="0"/>
                          <w:jc w:val="center"/>
                          <w:rPr>
                            <w:sz w:val="18"/>
                            <w:szCs w:val="18"/>
                          </w:rPr>
                        </w:pPr>
                        <w:r>
                          <w:rPr>
                            <w:rFonts w:hint="eastAsia"/>
                            <w:sz w:val="18"/>
                            <w:szCs w:val="18"/>
                          </w:rPr>
                          <w:t>永续债</w:t>
                        </w:r>
                      </w:p>
                    </w:tc>
                  </w:sdtContent>
                </w:sdt>
                <w:sdt>
                  <w:sdtPr>
                    <w:tag w:val="_PLD_23829f284d5149ee92e64b94083b1ade"/>
                    <w:id w:val="1039870345"/>
                    <w:lock w:val="sdtLocked"/>
                  </w:sdtPr>
                  <w:sdtEndPr/>
                  <w:sdtContent>
                    <w:tc>
                      <w:tcPr>
                        <w:tcW w:w="850" w:type="dxa"/>
                        <w:tcBorders>
                          <w:top w:val="single" w:sz="4" w:space="0" w:color="auto"/>
                          <w:left w:val="single" w:sz="4" w:space="0" w:color="auto"/>
                        </w:tcBorders>
                        <w:vAlign w:val="center"/>
                      </w:tcPr>
                      <w:p w14:paraId="2C78C287" w14:textId="77777777" w:rsidR="00D21C1F" w:rsidRDefault="00A42880">
                        <w:pPr>
                          <w:adjustRightInd w:val="0"/>
                          <w:snapToGrid w:val="0"/>
                          <w:jc w:val="center"/>
                          <w:rPr>
                            <w:sz w:val="18"/>
                            <w:szCs w:val="18"/>
                          </w:rPr>
                        </w:pPr>
                        <w:r>
                          <w:rPr>
                            <w:rFonts w:hint="eastAsia"/>
                            <w:sz w:val="18"/>
                            <w:szCs w:val="18"/>
                          </w:rPr>
                          <w:t>其他</w:t>
                        </w:r>
                      </w:p>
                    </w:tc>
                  </w:sdtContent>
                </w:sdt>
                <w:tc>
                  <w:tcPr>
                    <w:tcW w:w="1461" w:type="dxa"/>
                    <w:vMerge/>
                  </w:tcPr>
                  <w:p w14:paraId="2FCB7B1A" w14:textId="77777777" w:rsidR="00D21C1F" w:rsidRDefault="00D21C1F">
                    <w:pPr>
                      <w:adjustRightInd w:val="0"/>
                      <w:snapToGrid w:val="0"/>
                      <w:jc w:val="center"/>
                      <w:rPr>
                        <w:sz w:val="18"/>
                        <w:szCs w:val="18"/>
                      </w:rPr>
                    </w:pPr>
                  </w:p>
                </w:tc>
                <w:tc>
                  <w:tcPr>
                    <w:tcW w:w="807" w:type="dxa"/>
                    <w:vMerge/>
                  </w:tcPr>
                  <w:p w14:paraId="2C3E67EB" w14:textId="77777777" w:rsidR="00D21C1F" w:rsidRDefault="00D21C1F">
                    <w:pPr>
                      <w:adjustRightInd w:val="0"/>
                      <w:snapToGrid w:val="0"/>
                      <w:jc w:val="center"/>
                      <w:rPr>
                        <w:sz w:val="18"/>
                        <w:szCs w:val="18"/>
                      </w:rPr>
                    </w:pPr>
                  </w:p>
                </w:tc>
                <w:tc>
                  <w:tcPr>
                    <w:tcW w:w="709" w:type="dxa"/>
                    <w:vMerge/>
                  </w:tcPr>
                  <w:p w14:paraId="7125632E" w14:textId="77777777" w:rsidR="00D21C1F" w:rsidRDefault="00D21C1F">
                    <w:pPr>
                      <w:jc w:val="center"/>
                      <w:rPr>
                        <w:sz w:val="18"/>
                        <w:szCs w:val="18"/>
                      </w:rPr>
                    </w:pPr>
                  </w:p>
                </w:tc>
                <w:tc>
                  <w:tcPr>
                    <w:tcW w:w="709" w:type="dxa"/>
                    <w:vMerge/>
                  </w:tcPr>
                  <w:p w14:paraId="425AE07C" w14:textId="77777777" w:rsidR="00D21C1F" w:rsidRDefault="00D21C1F">
                    <w:pPr>
                      <w:adjustRightInd w:val="0"/>
                      <w:snapToGrid w:val="0"/>
                      <w:jc w:val="center"/>
                      <w:rPr>
                        <w:sz w:val="18"/>
                        <w:szCs w:val="18"/>
                      </w:rPr>
                    </w:pPr>
                  </w:p>
                </w:tc>
                <w:tc>
                  <w:tcPr>
                    <w:tcW w:w="1275" w:type="dxa"/>
                    <w:vMerge/>
                  </w:tcPr>
                  <w:p w14:paraId="3362C9CB" w14:textId="77777777" w:rsidR="00D21C1F" w:rsidRDefault="00D21C1F">
                    <w:pPr>
                      <w:adjustRightInd w:val="0"/>
                      <w:snapToGrid w:val="0"/>
                      <w:jc w:val="center"/>
                      <w:rPr>
                        <w:sz w:val="18"/>
                        <w:szCs w:val="18"/>
                      </w:rPr>
                    </w:pPr>
                  </w:p>
                </w:tc>
                <w:tc>
                  <w:tcPr>
                    <w:tcW w:w="1276" w:type="dxa"/>
                    <w:vMerge/>
                  </w:tcPr>
                  <w:p w14:paraId="6FE434EE" w14:textId="77777777" w:rsidR="00D21C1F" w:rsidRDefault="00D21C1F">
                    <w:pPr>
                      <w:adjustRightInd w:val="0"/>
                      <w:snapToGrid w:val="0"/>
                      <w:jc w:val="center"/>
                      <w:rPr>
                        <w:sz w:val="18"/>
                        <w:szCs w:val="18"/>
                      </w:rPr>
                    </w:pPr>
                  </w:p>
                </w:tc>
                <w:tc>
                  <w:tcPr>
                    <w:tcW w:w="1401" w:type="dxa"/>
                    <w:vMerge/>
                  </w:tcPr>
                  <w:p w14:paraId="20CF738B" w14:textId="77777777" w:rsidR="00D21C1F" w:rsidRDefault="00D21C1F">
                    <w:pPr>
                      <w:adjustRightInd w:val="0"/>
                      <w:snapToGrid w:val="0"/>
                      <w:jc w:val="center"/>
                      <w:rPr>
                        <w:sz w:val="18"/>
                        <w:szCs w:val="18"/>
                      </w:rPr>
                    </w:pPr>
                  </w:p>
                </w:tc>
              </w:tr>
              <w:tr w:rsidR="00D21C1F" w14:paraId="1DDDE556" w14:textId="77777777">
                <w:trPr>
                  <w:trHeight w:val="20"/>
                </w:trPr>
                <w:sdt>
                  <w:sdtPr>
                    <w:rPr>
                      <w:rFonts w:ascii="Times New Roman" w:hAnsi="Times New Roman" w:cs="Times New Roman"/>
                      <w:sz w:val="16"/>
                      <w:szCs w:val="16"/>
                    </w:rPr>
                    <w:tag w:val="_PLD_b5131b53bda244fcbd76916797d6b666"/>
                    <w:id w:val="-1196848545"/>
                    <w:lock w:val="sdtLocked"/>
                  </w:sdtPr>
                  <w:sdtEndPr/>
                  <w:sdtContent>
                    <w:tc>
                      <w:tcPr>
                        <w:tcW w:w="2450" w:type="dxa"/>
                      </w:tcPr>
                      <w:p w14:paraId="286635CE"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一、上年期末余额</w:t>
                        </w:r>
                      </w:p>
                    </w:tc>
                  </w:sdtContent>
                </w:sdt>
                <w:tc>
                  <w:tcPr>
                    <w:tcW w:w="1321" w:type="dxa"/>
                    <w:tcBorders>
                      <w:right w:val="single" w:sz="4" w:space="0" w:color="auto"/>
                    </w:tcBorders>
                    <w:vAlign w:val="center"/>
                  </w:tcPr>
                  <w:p w14:paraId="742AD56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521,780,000.00</w:t>
                    </w:r>
                  </w:p>
                </w:tc>
                <w:tc>
                  <w:tcPr>
                    <w:tcW w:w="807" w:type="dxa"/>
                    <w:tcBorders>
                      <w:left w:val="single" w:sz="4" w:space="0" w:color="auto"/>
                      <w:right w:val="single" w:sz="4" w:space="0" w:color="auto"/>
                    </w:tcBorders>
                    <w:vAlign w:val="center"/>
                  </w:tcPr>
                  <w:p w14:paraId="2A49F21D" w14:textId="77777777" w:rsidR="00D21C1F" w:rsidRDefault="00D21C1F">
                    <w:pPr>
                      <w:jc w:val="right"/>
                      <w:rPr>
                        <w:rFonts w:ascii="Times New Roman" w:hAnsi="Times New Roman" w:cs="Times New Roman"/>
                        <w:sz w:val="16"/>
                        <w:szCs w:val="16"/>
                      </w:rPr>
                    </w:pPr>
                  </w:p>
                </w:tc>
                <w:tc>
                  <w:tcPr>
                    <w:tcW w:w="894" w:type="dxa"/>
                    <w:tcBorders>
                      <w:left w:val="single" w:sz="4" w:space="0" w:color="auto"/>
                      <w:right w:val="single" w:sz="4" w:space="0" w:color="auto"/>
                    </w:tcBorders>
                    <w:vAlign w:val="center"/>
                  </w:tcPr>
                  <w:p w14:paraId="71DA1BC6" w14:textId="77777777" w:rsidR="00D21C1F" w:rsidRDefault="00D21C1F">
                    <w:pPr>
                      <w:jc w:val="right"/>
                      <w:rPr>
                        <w:rFonts w:ascii="Times New Roman" w:hAnsi="Times New Roman" w:cs="Times New Roman"/>
                        <w:sz w:val="16"/>
                        <w:szCs w:val="16"/>
                      </w:rPr>
                    </w:pPr>
                  </w:p>
                </w:tc>
                <w:tc>
                  <w:tcPr>
                    <w:tcW w:w="850" w:type="dxa"/>
                    <w:tcBorders>
                      <w:left w:val="single" w:sz="4" w:space="0" w:color="auto"/>
                      <w:right w:val="single" w:sz="4" w:space="0" w:color="auto"/>
                    </w:tcBorders>
                    <w:vAlign w:val="center"/>
                  </w:tcPr>
                  <w:p w14:paraId="57686195" w14:textId="77777777" w:rsidR="00D21C1F" w:rsidRDefault="00D21C1F">
                    <w:pPr>
                      <w:jc w:val="right"/>
                      <w:rPr>
                        <w:rFonts w:ascii="Times New Roman" w:hAnsi="Times New Roman" w:cs="Times New Roman"/>
                        <w:sz w:val="16"/>
                        <w:szCs w:val="16"/>
                      </w:rPr>
                    </w:pPr>
                  </w:p>
                </w:tc>
                <w:tc>
                  <w:tcPr>
                    <w:tcW w:w="1461" w:type="dxa"/>
                    <w:tcBorders>
                      <w:left w:val="single" w:sz="4" w:space="0" w:color="auto"/>
                    </w:tcBorders>
                    <w:vAlign w:val="center"/>
                  </w:tcPr>
                  <w:p w14:paraId="5A74654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2,053,523,093.12</w:t>
                    </w:r>
                  </w:p>
                </w:tc>
                <w:tc>
                  <w:tcPr>
                    <w:tcW w:w="807" w:type="dxa"/>
                    <w:vAlign w:val="center"/>
                  </w:tcPr>
                  <w:p w14:paraId="3E5E0798" w14:textId="77777777" w:rsidR="00D21C1F" w:rsidRDefault="00D21C1F">
                    <w:pPr>
                      <w:jc w:val="right"/>
                      <w:rPr>
                        <w:rFonts w:ascii="Times New Roman" w:hAnsi="Times New Roman" w:cs="Times New Roman"/>
                        <w:sz w:val="16"/>
                        <w:szCs w:val="16"/>
                      </w:rPr>
                    </w:pPr>
                  </w:p>
                </w:tc>
                <w:tc>
                  <w:tcPr>
                    <w:tcW w:w="709" w:type="dxa"/>
                    <w:vAlign w:val="center"/>
                  </w:tcPr>
                  <w:p w14:paraId="385631E7" w14:textId="77777777" w:rsidR="00D21C1F" w:rsidRDefault="00D21C1F">
                    <w:pPr>
                      <w:jc w:val="right"/>
                      <w:rPr>
                        <w:rFonts w:ascii="Times New Roman" w:hAnsi="Times New Roman" w:cs="Times New Roman"/>
                        <w:sz w:val="16"/>
                        <w:szCs w:val="16"/>
                      </w:rPr>
                    </w:pPr>
                  </w:p>
                </w:tc>
                <w:tc>
                  <w:tcPr>
                    <w:tcW w:w="709" w:type="dxa"/>
                    <w:vAlign w:val="center"/>
                  </w:tcPr>
                  <w:p w14:paraId="5DC54308" w14:textId="77777777" w:rsidR="00D21C1F" w:rsidRDefault="00D21C1F">
                    <w:pPr>
                      <w:jc w:val="right"/>
                      <w:rPr>
                        <w:rFonts w:ascii="Times New Roman" w:hAnsi="Times New Roman" w:cs="Times New Roman"/>
                        <w:sz w:val="16"/>
                        <w:szCs w:val="16"/>
                      </w:rPr>
                    </w:pPr>
                  </w:p>
                </w:tc>
                <w:tc>
                  <w:tcPr>
                    <w:tcW w:w="1275" w:type="dxa"/>
                    <w:vAlign w:val="center"/>
                  </w:tcPr>
                  <w:p w14:paraId="73A97B1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10,122,906.55</w:t>
                    </w:r>
                  </w:p>
                </w:tc>
                <w:tc>
                  <w:tcPr>
                    <w:tcW w:w="1276" w:type="dxa"/>
                    <w:vAlign w:val="center"/>
                  </w:tcPr>
                  <w:p w14:paraId="47E53FB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71,216,430.78</w:t>
                    </w:r>
                  </w:p>
                </w:tc>
                <w:tc>
                  <w:tcPr>
                    <w:tcW w:w="1401" w:type="dxa"/>
                    <w:vAlign w:val="center"/>
                  </w:tcPr>
                  <w:p w14:paraId="40C9EEE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2,656,642,430.45</w:t>
                    </w:r>
                  </w:p>
                </w:tc>
              </w:tr>
              <w:tr w:rsidR="00D21C1F" w14:paraId="24DBC059" w14:textId="77777777">
                <w:trPr>
                  <w:trHeight w:val="20"/>
                </w:trPr>
                <w:sdt>
                  <w:sdtPr>
                    <w:rPr>
                      <w:rFonts w:ascii="Times New Roman" w:hAnsi="Times New Roman" w:cs="Times New Roman"/>
                      <w:sz w:val="16"/>
                      <w:szCs w:val="16"/>
                    </w:rPr>
                    <w:tag w:val="_PLD_66de901175bd4e50a35a24f0fca7513d"/>
                    <w:id w:val="-1296597327"/>
                    <w:lock w:val="sdtLocked"/>
                  </w:sdtPr>
                  <w:sdtEndPr/>
                  <w:sdtContent>
                    <w:tc>
                      <w:tcPr>
                        <w:tcW w:w="2450" w:type="dxa"/>
                      </w:tcPr>
                      <w:p w14:paraId="64B3E58A"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加：会计政策变更</w:t>
                        </w:r>
                      </w:p>
                    </w:tc>
                  </w:sdtContent>
                </w:sdt>
                <w:tc>
                  <w:tcPr>
                    <w:tcW w:w="1321" w:type="dxa"/>
                    <w:tcBorders>
                      <w:right w:val="single" w:sz="4" w:space="0" w:color="auto"/>
                    </w:tcBorders>
                    <w:vAlign w:val="bottom"/>
                  </w:tcPr>
                  <w:p w14:paraId="6479BC0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2D2FD4D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1F0492E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right w:val="single" w:sz="4" w:space="0" w:color="auto"/>
                    </w:tcBorders>
                    <w:vAlign w:val="bottom"/>
                  </w:tcPr>
                  <w:p w14:paraId="0D8438C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tcBorders>
                      <w:left w:val="single" w:sz="4" w:space="0" w:color="auto"/>
                    </w:tcBorders>
                    <w:vAlign w:val="bottom"/>
                  </w:tcPr>
                  <w:p w14:paraId="2482FF1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5081C6B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1DB02EE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B03E2A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2F1BFEB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60083DB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3735C53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C3A76C5" w14:textId="77777777">
                <w:trPr>
                  <w:trHeight w:val="20"/>
                </w:trPr>
                <w:sdt>
                  <w:sdtPr>
                    <w:rPr>
                      <w:rFonts w:ascii="Times New Roman" w:hAnsi="Times New Roman" w:cs="Times New Roman"/>
                      <w:sz w:val="16"/>
                      <w:szCs w:val="16"/>
                    </w:rPr>
                    <w:tag w:val="_PLD_3bfc3b7951f4488f95a7180f02c989cf"/>
                    <w:id w:val="-1494950018"/>
                    <w:lock w:val="sdtLocked"/>
                  </w:sdtPr>
                  <w:sdtEndPr/>
                  <w:sdtContent>
                    <w:tc>
                      <w:tcPr>
                        <w:tcW w:w="2450" w:type="dxa"/>
                      </w:tcPr>
                      <w:p w14:paraId="1D6EE95B" w14:textId="77777777" w:rsidR="00D21C1F" w:rsidRDefault="00A42880">
                        <w:pPr>
                          <w:ind w:firstLineChars="200" w:firstLine="320"/>
                          <w:rPr>
                            <w:rFonts w:ascii="Times New Roman" w:hAnsi="Times New Roman" w:cs="Times New Roman"/>
                            <w:sz w:val="16"/>
                            <w:szCs w:val="16"/>
                          </w:rPr>
                        </w:pPr>
                        <w:r>
                          <w:rPr>
                            <w:rFonts w:ascii="Times New Roman" w:hAnsi="Times New Roman" w:cs="Times New Roman"/>
                            <w:sz w:val="16"/>
                            <w:szCs w:val="16"/>
                          </w:rPr>
                          <w:t>前期差错更正</w:t>
                        </w:r>
                      </w:p>
                    </w:tc>
                  </w:sdtContent>
                </w:sdt>
                <w:tc>
                  <w:tcPr>
                    <w:tcW w:w="1321" w:type="dxa"/>
                    <w:tcBorders>
                      <w:right w:val="single" w:sz="4" w:space="0" w:color="auto"/>
                    </w:tcBorders>
                    <w:vAlign w:val="bottom"/>
                  </w:tcPr>
                  <w:p w14:paraId="42FB056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330BF75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6D1DCA0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right w:val="single" w:sz="4" w:space="0" w:color="auto"/>
                    </w:tcBorders>
                    <w:vAlign w:val="bottom"/>
                  </w:tcPr>
                  <w:p w14:paraId="2ADB880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tcBorders>
                      <w:left w:val="single" w:sz="4" w:space="0" w:color="auto"/>
                    </w:tcBorders>
                    <w:vAlign w:val="bottom"/>
                  </w:tcPr>
                  <w:p w14:paraId="42FED54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4547EE7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394FD0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5BB407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6BA60AE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5BFCED5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112965F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692AB69C" w14:textId="77777777">
                <w:trPr>
                  <w:trHeight w:val="20"/>
                </w:trPr>
                <w:sdt>
                  <w:sdtPr>
                    <w:rPr>
                      <w:rFonts w:ascii="Times New Roman" w:hAnsi="Times New Roman" w:cs="Times New Roman"/>
                      <w:sz w:val="16"/>
                      <w:szCs w:val="16"/>
                    </w:rPr>
                    <w:tag w:val="_PLD_dc9b9aaf7e384b1eae7dcabb517c2b1e"/>
                    <w:id w:val="1428155779"/>
                    <w:lock w:val="sdtLocked"/>
                  </w:sdtPr>
                  <w:sdtEndPr/>
                  <w:sdtContent>
                    <w:tc>
                      <w:tcPr>
                        <w:tcW w:w="2450" w:type="dxa"/>
                      </w:tcPr>
                      <w:p w14:paraId="69EB57EE" w14:textId="77777777" w:rsidR="00D21C1F" w:rsidRDefault="00A42880">
                        <w:pPr>
                          <w:ind w:firstLineChars="200" w:firstLine="320"/>
                          <w:rPr>
                            <w:rFonts w:ascii="Times New Roman" w:hAnsi="Times New Roman" w:cs="Times New Roman"/>
                            <w:sz w:val="16"/>
                            <w:szCs w:val="16"/>
                          </w:rPr>
                        </w:pPr>
                        <w:r>
                          <w:rPr>
                            <w:rFonts w:ascii="Times New Roman" w:hAnsi="Times New Roman" w:cs="Times New Roman"/>
                            <w:sz w:val="16"/>
                            <w:szCs w:val="16"/>
                          </w:rPr>
                          <w:t>其他</w:t>
                        </w:r>
                      </w:p>
                    </w:tc>
                  </w:sdtContent>
                </w:sdt>
                <w:tc>
                  <w:tcPr>
                    <w:tcW w:w="1321" w:type="dxa"/>
                    <w:tcBorders>
                      <w:right w:val="single" w:sz="4" w:space="0" w:color="auto"/>
                    </w:tcBorders>
                    <w:vAlign w:val="bottom"/>
                  </w:tcPr>
                  <w:p w14:paraId="049922C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01D6D8B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2A44004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right w:val="single" w:sz="4" w:space="0" w:color="auto"/>
                    </w:tcBorders>
                    <w:vAlign w:val="bottom"/>
                  </w:tcPr>
                  <w:p w14:paraId="0DCC697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tcBorders>
                      <w:left w:val="single" w:sz="4" w:space="0" w:color="auto"/>
                    </w:tcBorders>
                    <w:vAlign w:val="bottom"/>
                  </w:tcPr>
                  <w:p w14:paraId="75F5A18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6B42F94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3622A6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6800A26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7B62469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043B098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67E8CDC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605F8E3" w14:textId="77777777">
                <w:trPr>
                  <w:trHeight w:val="20"/>
                </w:trPr>
                <w:sdt>
                  <w:sdtPr>
                    <w:rPr>
                      <w:rFonts w:ascii="Times New Roman" w:hAnsi="Times New Roman" w:cs="Times New Roman"/>
                      <w:sz w:val="16"/>
                      <w:szCs w:val="16"/>
                    </w:rPr>
                    <w:tag w:val="_PLD_345919472b384d0eb13471ef5f2f5e92"/>
                    <w:id w:val="514733659"/>
                    <w:lock w:val="sdtLocked"/>
                  </w:sdtPr>
                  <w:sdtEndPr/>
                  <w:sdtContent>
                    <w:tc>
                      <w:tcPr>
                        <w:tcW w:w="2450" w:type="dxa"/>
                      </w:tcPr>
                      <w:p w14:paraId="26AC79C8"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二、本年期初余额</w:t>
                        </w:r>
                      </w:p>
                    </w:tc>
                  </w:sdtContent>
                </w:sdt>
                <w:tc>
                  <w:tcPr>
                    <w:tcW w:w="1321" w:type="dxa"/>
                    <w:tcBorders>
                      <w:right w:val="single" w:sz="4" w:space="0" w:color="auto"/>
                    </w:tcBorders>
                    <w:vAlign w:val="center"/>
                  </w:tcPr>
                  <w:p w14:paraId="41C8B1D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521,780,000.00</w:t>
                    </w:r>
                  </w:p>
                </w:tc>
                <w:tc>
                  <w:tcPr>
                    <w:tcW w:w="807" w:type="dxa"/>
                    <w:tcBorders>
                      <w:left w:val="single" w:sz="4" w:space="0" w:color="auto"/>
                      <w:right w:val="single" w:sz="4" w:space="0" w:color="auto"/>
                    </w:tcBorders>
                    <w:vAlign w:val="center"/>
                  </w:tcPr>
                  <w:p w14:paraId="4B5B6A2F" w14:textId="77777777" w:rsidR="00D21C1F" w:rsidRDefault="00D21C1F">
                    <w:pPr>
                      <w:jc w:val="right"/>
                      <w:rPr>
                        <w:rFonts w:ascii="Times New Roman" w:hAnsi="Times New Roman" w:cs="Times New Roman"/>
                        <w:sz w:val="16"/>
                        <w:szCs w:val="16"/>
                      </w:rPr>
                    </w:pPr>
                  </w:p>
                </w:tc>
                <w:tc>
                  <w:tcPr>
                    <w:tcW w:w="894" w:type="dxa"/>
                    <w:tcBorders>
                      <w:left w:val="single" w:sz="4" w:space="0" w:color="auto"/>
                      <w:right w:val="single" w:sz="4" w:space="0" w:color="auto"/>
                    </w:tcBorders>
                    <w:vAlign w:val="center"/>
                  </w:tcPr>
                  <w:p w14:paraId="0D056831" w14:textId="77777777" w:rsidR="00D21C1F" w:rsidRDefault="00D21C1F">
                    <w:pPr>
                      <w:jc w:val="right"/>
                      <w:rPr>
                        <w:rFonts w:ascii="Times New Roman" w:hAnsi="Times New Roman" w:cs="Times New Roman"/>
                        <w:sz w:val="16"/>
                        <w:szCs w:val="16"/>
                      </w:rPr>
                    </w:pPr>
                  </w:p>
                </w:tc>
                <w:tc>
                  <w:tcPr>
                    <w:tcW w:w="850" w:type="dxa"/>
                    <w:tcBorders>
                      <w:left w:val="single" w:sz="4" w:space="0" w:color="auto"/>
                      <w:right w:val="single" w:sz="4" w:space="0" w:color="auto"/>
                    </w:tcBorders>
                    <w:vAlign w:val="center"/>
                  </w:tcPr>
                  <w:p w14:paraId="237ACE7C" w14:textId="77777777" w:rsidR="00D21C1F" w:rsidRDefault="00D21C1F">
                    <w:pPr>
                      <w:jc w:val="right"/>
                      <w:rPr>
                        <w:rFonts w:ascii="Times New Roman" w:hAnsi="Times New Roman" w:cs="Times New Roman"/>
                        <w:sz w:val="16"/>
                        <w:szCs w:val="16"/>
                      </w:rPr>
                    </w:pPr>
                  </w:p>
                </w:tc>
                <w:tc>
                  <w:tcPr>
                    <w:tcW w:w="1461" w:type="dxa"/>
                    <w:tcBorders>
                      <w:left w:val="single" w:sz="4" w:space="0" w:color="auto"/>
                    </w:tcBorders>
                    <w:vAlign w:val="center"/>
                  </w:tcPr>
                  <w:p w14:paraId="395024B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2,053,523,093.12</w:t>
                    </w:r>
                  </w:p>
                </w:tc>
                <w:tc>
                  <w:tcPr>
                    <w:tcW w:w="807" w:type="dxa"/>
                    <w:vAlign w:val="bottom"/>
                  </w:tcPr>
                  <w:p w14:paraId="529E619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2113C70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EC6850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center"/>
                  </w:tcPr>
                  <w:p w14:paraId="70EAF7B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10,122,906.55</w:t>
                    </w:r>
                  </w:p>
                </w:tc>
                <w:tc>
                  <w:tcPr>
                    <w:tcW w:w="1276" w:type="dxa"/>
                    <w:vAlign w:val="center"/>
                  </w:tcPr>
                  <w:p w14:paraId="012E504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71,216,430.78</w:t>
                    </w:r>
                  </w:p>
                </w:tc>
                <w:tc>
                  <w:tcPr>
                    <w:tcW w:w="1401" w:type="dxa"/>
                    <w:vAlign w:val="center"/>
                  </w:tcPr>
                  <w:p w14:paraId="68CB303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2,656,642,430.45</w:t>
                    </w:r>
                  </w:p>
                </w:tc>
              </w:tr>
              <w:tr w:rsidR="00D21C1F" w14:paraId="50CCB338" w14:textId="77777777">
                <w:trPr>
                  <w:trHeight w:val="20"/>
                </w:trPr>
                <w:sdt>
                  <w:sdtPr>
                    <w:rPr>
                      <w:rFonts w:ascii="Times New Roman" w:hAnsi="Times New Roman" w:cs="Times New Roman"/>
                      <w:sz w:val="16"/>
                      <w:szCs w:val="16"/>
                    </w:rPr>
                    <w:tag w:val="_PLD_4eea4cc259884a6ab5f2fe018aec3d4e"/>
                    <w:id w:val="-1963723068"/>
                    <w:lock w:val="sdtLocked"/>
                  </w:sdtPr>
                  <w:sdtEndPr/>
                  <w:sdtContent>
                    <w:tc>
                      <w:tcPr>
                        <w:tcW w:w="2450" w:type="dxa"/>
                      </w:tcPr>
                      <w:p w14:paraId="3E29FD46"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三、本期增减变动金额（减少以</w:t>
                        </w:r>
                        <w:r>
                          <w:rPr>
                            <w:rFonts w:ascii="Times New Roman" w:hAnsi="Times New Roman" w:cs="Times New Roman"/>
                            <w:sz w:val="16"/>
                            <w:szCs w:val="16"/>
                          </w:rPr>
                          <w:t>“</w:t>
                        </w:r>
                        <w:r>
                          <w:rPr>
                            <w:rFonts w:ascii="Times New Roman" w:hAnsi="Times New Roman" w:cs="Times New Roman"/>
                            <w:sz w:val="16"/>
                            <w:szCs w:val="16"/>
                          </w:rPr>
                          <w:t>－</w:t>
                        </w:r>
                        <w:r>
                          <w:rPr>
                            <w:rFonts w:ascii="Times New Roman" w:hAnsi="Times New Roman" w:cs="Times New Roman"/>
                            <w:sz w:val="16"/>
                            <w:szCs w:val="16"/>
                          </w:rPr>
                          <w:t>”</w:t>
                        </w:r>
                        <w:r>
                          <w:rPr>
                            <w:rFonts w:ascii="Times New Roman" w:hAnsi="Times New Roman" w:cs="Times New Roman"/>
                            <w:sz w:val="16"/>
                            <w:szCs w:val="16"/>
                          </w:rPr>
                          <w:t>号填列）</w:t>
                        </w:r>
                      </w:p>
                    </w:tc>
                  </w:sdtContent>
                </w:sdt>
                <w:tc>
                  <w:tcPr>
                    <w:tcW w:w="1321" w:type="dxa"/>
                    <w:tcBorders>
                      <w:right w:val="single" w:sz="4" w:space="0" w:color="auto"/>
                    </w:tcBorders>
                    <w:vAlign w:val="bottom"/>
                  </w:tcPr>
                  <w:p w14:paraId="6BE633F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7964FDF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326F1E2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6BE3C38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center"/>
                  </w:tcPr>
                  <w:p w14:paraId="1BD0452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7,373,094.56</w:t>
                    </w:r>
                  </w:p>
                </w:tc>
                <w:tc>
                  <w:tcPr>
                    <w:tcW w:w="807" w:type="dxa"/>
                    <w:vAlign w:val="bottom"/>
                  </w:tcPr>
                  <w:p w14:paraId="1FFA4EA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60A9045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4F1827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6CB5949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center"/>
                  </w:tcPr>
                  <w:p w14:paraId="0D12792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-19,905,657.07</w:t>
                    </w:r>
                  </w:p>
                </w:tc>
                <w:tc>
                  <w:tcPr>
                    <w:tcW w:w="1401" w:type="dxa"/>
                    <w:vAlign w:val="center"/>
                  </w:tcPr>
                  <w:p w14:paraId="18BE1F8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-12,532,562.51</w:t>
                    </w:r>
                  </w:p>
                </w:tc>
              </w:tr>
              <w:tr w:rsidR="00D21C1F" w14:paraId="4A92B823" w14:textId="77777777">
                <w:trPr>
                  <w:trHeight w:val="20"/>
                </w:trPr>
                <w:sdt>
                  <w:sdtPr>
                    <w:rPr>
                      <w:rFonts w:ascii="Times New Roman" w:hAnsi="Times New Roman" w:cs="Times New Roman"/>
                      <w:sz w:val="16"/>
                      <w:szCs w:val="16"/>
                    </w:rPr>
                    <w:tag w:val="_PLD_c2eb317db9474ea9b9513a40ba81d9f7"/>
                    <w:id w:val="576329667"/>
                    <w:lock w:val="sdtLocked"/>
                  </w:sdtPr>
                  <w:sdtEndPr/>
                  <w:sdtContent>
                    <w:tc>
                      <w:tcPr>
                        <w:tcW w:w="2450" w:type="dxa"/>
                      </w:tcPr>
                      <w:p w14:paraId="58044D20"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（一）综合收益总额</w:t>
                        </w:r>
                      </w:p>
                    </w:tc>
                  </w:sdtContent>
                </w:sdt>
                <w:tc>
                  <w:tcPr>
                    <w:tcW w:w="1321" w:type="dxa"/>
                    <w:tcBorders>
                      <w:right w:val="single" w:sz="4" w:space="0" w:color="auto"/>
                    </w:tcBorders>
                    <w:vAlign w:val="bottom"/>
                  </w:tcPr>
                  <w:p w14:paraId="380FA00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4A7B6A3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7BA5830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179FE02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center"/>
                  </w:tcPr>
                  <w:p w14:paraId="6B6839AC" w14:textId="77777777" w:rsidR="00D21C1F" w:rsidRDefault="00D21C1F">
                    <w:pPr>
                      <w:jc w:val="right"/>
                      <w:rPr>
                        <w:rFonts w:ascii="Times New Roman" w:hAnsi="Times New Roman" w:cs="Times New Roman"/>
                        <w:sz w:val="16"/>
                        <w:szCs w:val="16"/>
                      </w:rPr>
                    </w:pPr>
                  </w:p>
                </w:tc>
                <w:tc>
                  <w:tcPr>
                    <w:tcW w:w="807" w:type="dxa"/>
                    <w:vAlign w:val="bottom"/>
                  </w:tcPr>
                  <w:p w14:paraId="18796A1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4E75F0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B3465C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6430866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center"/>
                  </w:tcPr>
                  <w:p w14:paraId="34A065A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-19,905,657.07</w:t>
                    </w:r>
                  </w:p>
                </w:tc>
                <w:tc>
                  <w:tcPr>
                    <w:tcW w:w="1401" w:type="dxa"/>
                    <w:vAlign w:val="center"/>
                  </w:tcPr>
                  <w:p w14:paraId="08694BE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-19,905,657.07</w:t>
                    </w:r>
                  </w:p>
                </w:tc>
              </w:tr>
              <w:tr w:rsidR="00D21C1F" w14:paraId="3F9E5DB0" w14:textId="77777777">
                <w:trPr>
                  <w:trHeight w:val="20"/>
                </w:trPr>
                <w:sdt>
                  <w:sdtPr>
                    <w:rPr>
                      <w:rFonts w:ascii="Times New Roman" w:hAnsi="Times New Roman" w:cs="Times New Roman"/>
                      <w:sz w:val="16"/>
                      <w:szCs w:val="16"/>
                    </w:rPr>
                    <w:tag w:val="_PLD_2c2c42255e12419d81111ac5d28c5859"/>
                    <w:id w:val="-524176065"/>
                    <w:lock w:val="sdtLocked"/>
                  </w:sdtPr>
                  <w:sdtEndPr/>
                  <w:sdtContent>
                    <w:tc>
                      <w:tcPr>
                        <w:tcW w:w="2450" w:type="dxa"/>
                      </w:tcPr>
                      <w:p w14:paraId="79AEE5E9"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（二）所有者投入和减少资本</w:t>
                        </w:r>
                      </w:p>
                    </w:tc>
                  </w:sdtContent>
                </w:sdt>
                <w:tc>
                  <w:tcPr>
                    <w:tcW w:w="1321" w:type="dxa"/>
                    <w:tcBorders>
                      <w:right w:val="single" w:sz="4" w:space="0" w:color="auto"/>
                    </w:tcBorders>
                    <w:vAlign w:val="bottom"/>
                  </w:tcPr>
                  <w:p w14:paraId="45B71B9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1CAB85E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7B3C619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56785E3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center"/>
                  </w:tcPr>
                  <w:p w14:paraId="62C3D3D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7,373,094.56</w:t>
                    </w:r>
                  </w:p>
                </w:tc>
                <w:tc>
                  <w:tcPr>
                    <w:tcW w:w="807" w:type="dxa"/>
                    <w:vAlign w:val="bottom"/>
                  </w:tcPr>
                  <w:p w14:paraId="0DA2300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221A39D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632AB6A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78AD85D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33F5A31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center"/>
                  </w:tcPr>
                  <w:p w14:paraId="717F66F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7,373,094.56</w:t>
                    </w:r>
                  </w:p>
                </w:tc>
              </w:tr>
              <w:tr w:rsidR="00D21C1F" w14:paraId="1D063C51" w14:textId="77777777">
                <w:trPr>
                  <w:trHeight w:val="20"/>
                </w:trPr>
                <w:sdt>
                  <w:sdtPr>
                    <w:rPr>
                      <w:rFonts w:ascii="Times New Roman" w:hAnsi="Times New Roman" w:cs="Times New Roman"/>
                      <w:sz w:val="16"/>
                      <w:szCs w:val="16"/>
                    </w:rPr>
                    <w:tag w:val="_PLD_ced9c335ab0c4ec8b683bd42730e309b"/>
                    <w:id w:val="-1670554449"/>
                    <w:lock w:val="sdtLocked"/>
                  </w:sdtPr>
                  <w:sdtEndPr/>
                  <w:sdtContent>
                    <w:tc>
                      <w:tcPr>
                        <w:tcW w:w="2450" w:type="dxa"/>
                      </w:tcPr>
                      <w:p w14:paraId="397CECE6"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．所有者投入的普通股</w:t>
                        </w:r>
                      </w:p>
                    </w:tc>
                  </w:sdtContent>
                </w:sdt>
                <w:tc>
                  <w:tcPr>
                    <w:tcW w:w="1321" w:type="dxa"/>
                    <w:tcBorders>
                      <w:right w:val="single" w:sz="4" w:space="0" w:color="auto"/>
                    </w:tcBorders>
                    <w:vAlign w:val="bottom"/>
                  </w:tcPr>
                  <w:p w14:paraId="089903B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7130DE0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7AC3464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306BFC6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center"/>
                  </w:tcPr>
                  <w:p w14:paraId="39BF5AA1" w14:textId="77777777" w:rsidR="00D21C1F" w:rsidRDefault="00D21C1F">
                    <w:pPr>
                      <w:jc w:val="right"/>
                      <w:rPr>
                        <w:rFonts w:ascii="Times New Roman" w:hAnsi="Times New Roman" w:cs="Times New Roman"/>
                        <w:sz w:val="16"/>
                        <w:szCs w:val="16"/>
                      </w:rPr>
                    </w:pPr>
                  </w:p>
                </w:tc>
                <w:tc>
                  <w:tcPr>
                    <w:tcW w:w="807" w:type="dxa"/>
                    <w:vAlign w:val="bottom"/>
                  </w:tcPr>
                  <w:p w14:paraId="7D04B07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7F1FD1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59869EE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1C8A544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01CF7A7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0F99DED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01CF61C6" w14:textId="77777777">
                <w:trPr>
                  <w:trHeight w:val="20"/>
                </w:trPr>
                <w:sdt>
                  <w:sdtPr>
                    <w:rPr>
                      <w:rFonts w:ascii="Times New Roman" w:hAnsi="Times New Roman" w:cs="Times New Roman"/>
                      <w:sz w:val="16"/>
                      <w:szCs w:val="16"/>
                    </w:rPr>
                    <w:tag w:val="_PLD_5db7714c048b45cb8fc2f783898126a2"/>
                    <w:id w:val="227584528"/>
                    <w:lock w:val="sdtLocked"/>
                  </w:sdtPr>
                  <w:sdtEndPr/>
                  <w:sdtContent>
                    <w:tc>
                      <w:tcPr>
                        <w:tcW w:w="2450" w:type="dxa"/>
                      </w:tcPr>
                      <w:p w14:paraId="1344BCFB"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．其他权益工具持有者投入资本</w:t>
                        </w:r>
                      </w:p>
                    </w:tc>
                  </w:sdtContent>
                </w:sdt>
                <w:tc>
                  <w:tcPr>
                    <w:tcW w:w="1321" w:type="dxa"/>
                    <w:tcBorders>
                      <w:right w:val="single" w:sz="4" w:space="0" w:color="auto"/>
                    </w:tcBorders>
                    <w:vAlign w:val="bottom"/>
                  </w:tcPr>
                  <w:p w14:paraId="4F129C9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180DF13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69EAE8A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73ED02B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668D5C4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581AD6B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18ABA45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BCC552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38EA9D5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1BA20D7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32EB23F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32D44B5F" w14:textId="77777777">
                <w:trPr>
                  <w:trHeight w:val="20"/>
                </w:trPr>
                <w:sdt>
                  <w:sdtPr>
                    <w:rPr>
                      <w:rFonts w:ascii="Times New Roman" w:hAnsi="Times New Roman" w:cs="Times New Roman"/>
                      <w:sz w:val="16"/>
                      <w:szCs w:val="16"/>
                    </w:rPr>
                    <w:tag w:val="_PLD_0c8627dcaed14beabce3c3a65384cf01"/>
                    <w:id w:val="2090886727"/>
                    <w:lock w:val="sdtLocked"/>
                  </w:sdtPr>
                  <w:sdtEndPr/>
                  <w:sdtContent>
                    <w:tc>
                      <w:tcPr>
                        <w:tcW w:w="2450" w:type="dxa"/>
                      </w:tcPr>
                      <w:p w14:paraId="0BE68E66"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3</w:t>
                        </w:r>
                        <w:r>
                          <w:rPr>
                            <w:rFonts w:ascii="Times New Roman" w:hAnsi="Times New Roman" w:cs="Times New Roman"/>
                            <w:sz w:val="16"/>
                            <w:szCs w:val="16"/>
                          </w:rPr>
                          <w:t>．股份支付计入所有者权益的金额</w:t>
                        </w:r>
                      </w:p>
                    </w:tc>
                  </w:sdtContent>
                </w:sdt>
                <w:tc>
                  <w:tcPr>
                    <w:tcW w:w="1321" w:type="dxa"/>
                    <w:tcBorders>
                      <w:right w:val="single" w:sz="4" w:space="0" w:color="auto"/>
                    </w:tcBorders>
                    <w:vAlign w:val="bottom"/>
                  </w:tcPr>
                  <w:p w14:paraId="26F18B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1B86DFF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204B100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7AB310C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center"/>
                  </w:tcPr>
                  <w:p w14:paraId="4297B33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7,246,840.00</w:t>
                    </w:r>
                  </w:p>
                </w:tc>
                <w:tc>
                  <w:tcPr>
                    <w:tcW w:w="807" w:type="dxa"/>
                    <w:vAlign w:val="bottom"/>
                  </w:tcPr>
                  <w:p w14:paraId="50C4270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1019A7F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434D443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063F90A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4F9D553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center"/>
                  </w:tcPr>
                  <w:p w14:paraId="61DB3D8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7,246,840.00</w:t>
                    </w:r>
                  </w:p>
                </w:tc>
              </w:tr>
              <w:tr w:rsidR="00D21C1F" w14:paraId="6F493894" w14:textId="77777777">
                <w:trPr>
                  <w:trHeight w:val="20"/>
                </w:trPr>
                <w:sdt>
                  <w:sdtPr>
                    <w:rPr>
                      <w:rFonts w:ascii="Times New Roman" w:hAnsi="Times New Roman" w:cs="Times New Roman"/>
                      <w:sz w:val="16"/>
                      <w:szCs w:val="16"/>
                    </w:rPr>
                    <w:tag w:val="_PLD_4815225e85794febad32622528b72229"/>
                    <w:id w:val="276845476"/>
                    <w:lock w:val="sdtLocked"/>
                  </w:sdtPr>
                  <w:sdtEndPr/>
                  <w:sdtContent>
                    <w:tc>
                      <w:tcPr>
                        <w:tcW w:w="2450" w:type="dxa"/>
                      </w:tcPr>
                      <w:p w14:paraId="155C417F"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4</w:t>
                        </w:r>
                        <w:r>
                          <w:rPr>
                            <w:rFonts w:ascii="Times New Roman" w:hAnsi="Times New Roman" w:cs="Times New Roman"/>
                            <w:sz w:val="16"/>
                            <w:szCs w:val="16"/>
                          </w:rPr>
                          <w:t>．其他</w:t>
                        </w:r>
                      </w:p>
                    </w:tc>
                  </w:sdtContent>
                </w:sdt>
                <w:tc>
                  <w:tcPr>
                    <w:tcW w:w="1321" w:type="dxa"/>
                    <w:tcBorders>
                      <w:right w:val="single" w:sz="4" w:space="0" w:color="auto"/>
                    </w:tcBorders>
                    <w:vAlign w:val="bottom"/>
                  </w:tcPr>
                  <w:p w14:paraId="0F4971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0F99658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0AD830A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22CE426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center"/>
                  </w:tcPr>
                  <w:p w14:paraId="5DD5CF1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126,254.56</w:t>
                    </w:r>
                  </w:p>
                </w:tc>
                <w:tc>
                  <w:tcPr>
                    <w:tcW w:w="807" w:type="dxa"/>
                    <w:vAlign w:val="bottom"/>
                  </w:tcPr>
                  <w:p w14:paraId="6E77951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C9FF32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1F4081A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08BBA79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2218E1E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center"/>
                  </w:tcPr>
                  <w:p w14:paraId="2F9E846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126,254.56</w:t>
                    </w:r>
                  </w:p>
                </w:tc>
              </w:tr>
              <w:tr w:rsidR="00D21C1F" w14:paraId="55C658A9" w14:textId="77777777">
                <w:trPr>
                  <w:trHeight w:val="20"/>
                </w:trPr>
                <w:sdt>
                  <w:sdtPr>
                    <w:rPr>
                      <w:rFonts w:ascii="Times New Roman" w:hAnsi="Times New Roman" w:cs="Times New Roman"/>
                      <w:sz w:val="16"/>
                      <w:szCs w:val="16"/>
                    </w:rPr>
                    <w:tag w:val="_PLD_1277678c10f343d5a55853e3552c21df"/>
                    <w:id w:val="455991891"/>
                    <w:lock w:val="sdtLocked"/>
                  </w:sdtPr>
                  <w:sdtEndPr/>
                  <w:sdtContent>
                    <w:tc>
                      <w:tcPr>
                        <w:tcW w:w="2450" w:type="dxa"/>
                      </w:tcPr>
                      <w:p w14:paraId="670C809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（三）利润分配</w:t>
                        </w:r>
                      </w:p>
                    </w:tc>
                  </w:sdtContent>
                </w:sdt>
                <w:tc>
                  <w:tcPr>
                    <w:tcW w:w="1321" w:type="dxa"/>
                    <w:tcBorders>
                      <w:right w:val="single" w:sz="4" w:space="0" w:color="auto"/>
                    </w:tcBorders>
                    <w:vAlign w:val="bottom"/>
                  </w:tcPr>
                  <w:p w14:paraId="65AD562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45CEEC5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2E4D74B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6C8433C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26C421B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4D4DD55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DFDB05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4861BAC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6846B28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7B3C40F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5194D54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07733061" w14:textId="77777777">
                <w:trPr>
                  <w:trHeight w:val="20"/>
                </w:trPr>
                <w:sdt>
                  <w:sdtPr>
                    <w:rPr>
                      <w:rFonts w:ascii="Times New Roman" w:hAnsi="Times New Roman" w:cs="Times New Roman"/>
                      <w:sz w:val="16"/>
                      <w:szCs w:val="16"/>
                    </w:rPr>
                    <w:tag w:val="_PLD_6be0f6b7609247d98f239c435a57bdf2"/>
                    <w:id w:val="-275709853"/>
                    <w:lock w:val="sdtLocked"/>
                  </w:sdtPr>
                  <w:sdtEndPr/>
                  <w:sdtContent>
                    <w:tc>
                      <w:tcPr>
                        <w:tcW w:w="2450" w:type="dxa"/>
                      </w:tcPr>
                      <w:p w14:paraId="354425C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．提取盈余公积</w:t>
                        </w:r>
                      </w:p>
                    </w:tc>
                  </w:sdtContent>
                </w:sdt>
                <w:tc>
                  <w:tcPr>
                    <w:tcW w:w="1321" w:type="dxa"/>
                    <w:tcBorders>
                      <w:right w:val="single" w:sz="4" w:space="0" w:color="auto"/>
                    </w:tcBorders>
                    <w:vAlign w:val="bottom"/>
                  </w:tcPr>
                  <w:p w14:paraId="12695F9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6F83FA3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3523073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1BD7BC5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3E6131C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31BF161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ABEC9F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5457EF1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4C7CFD3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720AB3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1F9A8F2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37EA29E" w14:textId="77777777">
                <w:trPr>
                  <w:trHeight w:val="20"/>
                </w:trPr>
                <w:sdt>
                  <w:sdtPr>
                    <w:rPr>
                      <w:rFonts w:ascii="Times New Roman" w:hAnsi="Times New Roman" w:cs="Times New Roman"/>
                      <w:sz w:val="16"/>
                      <w:szCs w:val="16"/>
                    </w:rPr>
                    <w:tag w:val="_PLD_b4a66855afc2407cbaf93baeafe0ad7f"/>
                    <w:id w:val="359629685"/>
                    <w:lock w:val="sdtLocked"/>
                  </w:sdtPr>
                  <w:sdtEndPr/>
                  <w:sdtContent>
                    <w:tc>
                      <w:tcPr>
                        <w:tcW w:w="2450" w:type="dxa"/>
                      </w:tcPr>
                      <w:p w14:paraId="69139EDA"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．对所有者（或股东）的分配</w:t>
                        </w:r>
                      </w:p>
                    </w:tc>
                  </w:sdtContent>
                </w:sdt>
                <w:tc>
                  <w:tcPr>
                    <w:tcW w:w="1321" w:type="dxa"/>
                    <w:tcBorders>
                      <w:right w:val="single" w:sz="4" w:space="0" w:color="auto"/>
                    </w:tcBorders>
                    <w:vAlign w:val="bottom"/>
                  </w:tcPr>
                  <w:p w14:paraId="30C1F21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1B70BDC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4F2D9DA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24064DD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20E4E4B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0827B98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705DA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6A1BAE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758C8E3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2C39448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2C05BF0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0DF5C8F" w14:textId="77777777">
                <w:trPr>
                  <w:trHeight w:val="20"/>
                </w:trPr>
                <w:sdt>
                  <w:sdtPr>
                    <w:rPr>
                      <w:rFonts w:ascii="Times New Roman" w:hAnsi="Times New Roman" w:cs="Times New Roman"/>
                      <w:sz w:val="16"/>
                      <w:szCs w:val="16"/>
                    </w:rPr>
                    <w:tag w:val="_PLD_f35184bd1aa14b32a781b0ed9b526ffe"/>
                    <w:id w:val="1975255442"/>
                    <w:lock w:val="sdtLocked"/>
                  </w:sdtPr>
                  <w:sdtEndPr/>
                  <w:sdtContent>
                    <w:tc>
                      <w:tcPr>
                        <w:tcW w:w="2450" w:type="dxa"/>
                      </w:tcPr>
                      <w:p w14:paraId="5C318C3F"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3</w:t>
                        </w:r>
                        <w:r>
                          <w:rPr>
                            <w:rFonts w:ascii="Times New Roman" w:hAnsi="Times New Roman" w:cs="Times New Roman"/>
                            <w:sz w:val="16"/>
                            <w:szCs w:val="16"/>
                          </w:rPr>
                          <w:t>．其他</w:t>
                        </w:r>
                      </w:p>
                    </w:tc>
                  </w:sdtContent>
                </w:sdt>
                <w:tc>
                  <w:tcPr>
                    <w:tcW w:w="1321" w:type="dxa"/>
                    <w:tcBorders>
                      <w:right w:val="single" w:sz="4" w:space="0" w:color="auto"/>
                    </w:tcBorders>
                    <w:vAlign w:val="bottom"/>
                  </w:tcPr>
                  <w:p w14:paraId="73DE28A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2CCB3BE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0BC5081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20D3728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6ADCA22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2D4532C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52B9746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2FB450A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3387662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6C6671D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312AC54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4390A1C0" w14:textId="77777777">
                <w:trPr>
                  <w:trHeight w:val="20"/>
                </w:trPr>
                <w:sdt>
                  <w:sdtPr>
                    <w:rPr>
                      <w:rFonts w:ascii="Times New Roman" w:hAnsi="Times New Roman" w:cs="Times New Roman"/>
                      <w:sz w:val="16"/>
                      <w:szCs w:val="16"/>
                    </w:rPr>
                    <w:tag w:val="_PLD_377c539e51b74e8689b49d91a30d6a9f"/>
                    <w:id w:val="-2129006322"/>
                    <w:lock w:val="sdtLocked"/>
                  </w:sdtPr>
                  <w:sdtEndPr/>
                  <w:sdtContent>
                    <w:tc>
                      <w:tcPr>
                        <w:tcW w:w="2450" w:type="dxa"/>
                      </w:tcPr>
                      <w:p w14:paraId="23EEA807"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（四）所有者权益内部结转</w:t>
                        </w:r>
                      </w:p>
                    </w:tc>
                  </w:sdtContent>
                </w:sdt>
                <w:tc>
                  <w:tcPr>
                    <w:tcW w:w="1321" w:type="dxa"/>
                    <w:tcBorders>
                      <w:right w:val="single" w:sz="4" w:space="0" w:color="auto"/>
                    </w:tcBorders>
                    <w:vAlign w:val="bottom"/>
                  </w:tcPr>
                  <w:p w14:paraId="15B0D25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3B82E7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27FD5EB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3E2747A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03F5B6B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046EDEB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2C63360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51D583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01CDA7A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49A630C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07AAEE9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BC77CA4" w14:textId="77777777">
                <w:trPr>
                  <w:trHeight w:val="20"/>
                </w:trPr>
                <w:sdt>
                  <w:sdtPr>
                    <w:rPr>
                      <w:rFonts w:ascii="Times New Roman" w:hAnsi="Times New Roman" w:cs="Times New Roman"/>
                      <w:sz w:val="16"/>
                      <w:szCs w:val="16"/>
                    </w:rPr>
                    <w:tag w:val="_PLD_9d82304ad85542d89ad56bdebdedd7c5"/>
                    <w:id w:val="499789219"/>
                    <w:lock w:val="sdtLocked"/>
                  </w:sdtPr>
                  <w:sdtEndPr/>
                  <w:sdtContent>
                    <w:tc>
                      <w:tcPr>
                        <w:tcW w:w="2450" w:type="dxa"/>
                      </w:tcPr>
                      <w:p w14:paraId="1E9A1CBE"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．资本公积转增资本（或股本）</w:t>
                        </w:r>
                      </w:p>
                    </w:tc>
                  </w:sdtContent>
                </w:sdt>
                <w:tc>
                  <w:tcPr>
                    <w:tcW w:w="1321" w:type="dxa"/>
                    <w:tcBorders>
                      <w:right w:val="single" w:sz="4" w:space="0" w:color="auto"/>
                    </w:tcBorders>
                    <w:vAlign w:val="bottom"/>
                  </w:tcPr>
                  <w:p w14:paraId="194D5E4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48264E3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009362F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314815B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3575D69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04B70EC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DBFB4D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E88E12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2431D78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272536E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59B7D08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6BDD5DEB" w14:textId="77777777">
                <w:trPr>
                  <w:trHeight w:val="20"/>
                </w:trPr>
                <w:sdt>
                  <w:sdtPr>
                    <w:rPr>
                      <w:rFonts w:ascii="Times New Roman" w:hAnsi="Times New Roman" w:cs="Times New Roman"/>
                      <w:sz w:val="16"/>
                      <w:szCs w:val="16"/>
                    </w:rPr>
                    <w:tag w:val="_PLD_ba5c81951f1c4ff0a188b55532ed96a5"/>
                    <w:id w:val="105623887"/>
                    <w:lock w:val="sdtLocked"/>
                  </w:sdtPr>
                  <w:sdtEndPr/>
                  <w:sdtContent>
                    <w:tc>
                      <w:tcPr>
                        <w:tcW w:w="2450" w:type="dxa"/>
                      </w:tcPr>
                      <w:p w14:paraId="2F05A939"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．盈余公积转增资本（或股本）</w:t>
                        </w:r>
                      </w:p>
                    </w:tc>
                  </w:sdtContent>
                </w:sdt>
                <w:tc>
                  <w:tcPr>
                    <w:tcW w:w="1321" w:type="dxa"/>
                    <w:tcBorders>
                      <w:right w:val="single" w:sz="4" w:space="0" w:color="auto"/>
                    </w:tcBorders>
                    <w:vAlign w:val="bottom"/>
                  </w:tcPr>
                  <w:p w14:paraId="0739BD1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4D18A70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45CB7DF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2AAB89A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11CD86B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14B6F92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4A80DD4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4CB5C8A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74DFA30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427E471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017B223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05B051E2" w14:textId="77777777">
                <w:trPr>
                  <w:trHeight w:val="20"/>
                </w:trPr>
                <w:sdt>
                  <w:sdtPr>
                    <w:rPr>
                      <w:rFonts w:ascii="Times New Roman" w:hAnsi="Times New Roman" w:cs="Times New Roman"/>
                      <w:sz w:val="16"/>
                      <w:szCs w:val="16"/>
                    </w:rPr>
                    <w:tag w:val="_PLD_81b068c4cdf2482a9438450e52e9b3b4"/>
                    <w:id w:val="-1780868714"/>
                    <w:lock w:val="sdtLocked"/>
                  </w:sdtPr>
                  <w:sdtEndPr/>
                  <w:sdtContent>
                    <w:tc>
                      <w:tcPr>
                        <w:tcW w:w="2450" w:type="dxa"/>
                      </w:tcPr>
                      <w:p w14:paraId="2668DF75"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3</w:t>
                        </w:r>
                        <w:r>
                          <w:rPr>
                            <w:rFonts w:ascii="Times New Roman" w:hAnsi="Times New Roman" w:cs="Times New Roman"/>
                            <w:sz w:val="16"/>
                            <w:szCs w:val="16"/>
                          </w:rPr>
                          <w:t>．盈余公积弥补亏损</w:t>
                        </w:r>
                      </w:p>
                    </w:tc>
                  </w:sdtContent>
                </w:sdt>
                <w:tc>
                  <w:tcPr>
                    <w:tcW w:w="1321" w:type="dxa"/>
                    <w:tcBorders>
                      <w:right w:val="single" w:sz="4" w:space="0" w:color="auto"/>
                    </w:tcBorders>
                    <w:vAlign w:val="bottom"/>
                  </w:tcPr>
                  <w:p w14:paraId="20515DD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6C8A3F9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0EB5B9E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6CA9A21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42BD328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6F47AEB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2C06AE9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1764F0D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1677FFA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1496C50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7711ECA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AA01553" w14:textId="77777777">
                <w:trPr>
                  <w:trHeight w:val="20"/>
                </w:trPr>
                <w:tc>
                  <w:tcPr>
                    <w:tcW w:w="2450" w:type="dxa"/>
                  </w:tcPr>
                  <w:sdt>
                    <w:sdtPr>
                      <w:rPr>
                        <w:rFonts w:ascii="Times New Roman" w:hAnsi="Times New Roman" w:cs="Times New Roman"/>
                        <w:sz w:val="16"/>
                        <w:szCs w:val="16"/>
                      </w:rPr>
                      <w:tag w:val="_PLD_0e7647effaeb42219d706b118465bdec"/>
                      <w:id w:val="-734312319"/>
                      <w:lock w:val="sdtLocked"/>
                    </w:sdtPr>
                    <w:sdtEndPr/>
                    <w:sdtContent>
                      <w:p w14:paraId="5841F9C8"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4</w:t>
                        </w:r>
                        <w:r>
                          <w:rPr>
                            <w:rFonts w:ascii="Times New Roman" w:hAnsi="Times New Roman" w:cs="Times New Roman"/>
                            <w:sz w:val="16"/>
                            <w:szCs w:val="16"/>
                          </w:rPr>
                          <w:t>．设定受益计划变动额结转留存收益</w:t>
                        </w:r>
                      </w:p>
                    </w:sdtContent>
                  </w:sdt>
                </w:tc>
                <w:tc>
                  <w:tcPr>
                    <w:tcW w:w="1321" w:type="dxa"/>
                    <w:tcBorders>
                      <w:right w:val="single" w:sz="4" w:space="0" w:color="auto"/>
                    </w:tcBorders>
                    <w:vAlign w:val="bottom"/>
                  </w:tcPr>
                  <w:p w14:paraId="76184DB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1D6A3A1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0F42C79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0FEFB9C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7AB703E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5A1D6B0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59F57F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CFF4F1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2989F87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2D0D3E7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70229AF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1FF20CC" w14:textId="77777777">
                <w:trPr>
                  <w:trHeight w:val="20"/>
                </w:trPr>
                <w:tc>
                  <w:tcPr>
                    <w:tcW w:w="2450" w:type="dxa"/>
                  </w:tcPr>
                  <w:sdt>
                    <w:sdtPr>
                      <w:rPr>
                        <w:rFonts w:ascii="Times New Roman" w:hAnsi="Times New Roman" w:cs="Times New Roman"/>
                        <w:sz w:val="16"/>
                        <w:szCs w:val="16"/>
                      </w:rPr>
                      <w:tag w:val="_PLD_1c8ba4a0bb224c1d891e628390545199"/>
                      <w:id w:val="-682280587"/>
                      <w:lock w:val="sdtLocked"/>
                    </w:sdtPr>
                    <w:sdtEndPr/>
                    <w:sdtContent>
                      <w:p w14:paraId="6A5F0D75"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5</w:t>
                        </w:r>
                        <w:r>
                          <w:rPr>
                            <w:rFonts w:ascii="Times New Roman" w:hAnsi="Times New Roman" w:cs="Times New Roman"/>
                            <w:sz w:val="16"/>
                            <w:szCs w:val="16"/>
                          </w:rPr>
                          <w:t>．其他综合收益结转留存收益</w:t>
                        </w:r>
                      </w:p>
                    </w:sdtContent>
                  </w:sdt>
                </w:tc>
                <w:tc>
                  <w:tcPr>
                    <w:tcW w:w="1321" w:type="dxa"/>
                    <w:tcBorders>
                      <w:right w:val="single" w:sz="4" w:space="0" w:color="auto"/>
                    </w:tcBorders>
                    <w:vAlign w:val="bottom"/>
                  </w:tcPr>
                  <w:p w14:paraId="5B94288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5DE3B9E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045EC9B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436DA80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60D31A7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1DABE50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667D4F0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04D761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66B8332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4390826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19E71AE2"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43BEF7A7" w14:textId="77777777">
                <w:trPr>
                  <w:trHeight w:val="20"/>
                </w:trPr>
                <w:tc>
                  <w:tcPr>
                    <w:tcW w:w="2450" w:type="dxa"/>
                  </w:tcPr>
                  <w:sdt>
                    <w:sdtPr>
                      <w:rPr>
                        <w:rFonts w:ascii="Times New Roman" w:hAnsi="Times New Roman" w:cs="Times New Roman"/>
                        <w:sz w:val="16"/>
                        <w:szCs w:val="16"/>
                      </w:rPr>
                      <w:tag w:val="_PLD_69d4adb536bf498a8a9d97dda9d31e75"/>
                      <w:id w:val="2102527027"/>
                      <w:lock w:val="sdtLocked"/>
                    </w:sdtPr>
                    <w:sdtEndPr/>
                    <w:sdtContent>
                      <w:p w14:paraId="439A2400"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6</w:t>
                        </w:r>
                        <w:r>
                          <w:rPr>
                            <w:rFonts w:ascii="Times New Roman" w:hAnsi="Times New Roman" w:cs="Times New Roman"/>
                            <w:sz w:val="16"/>
                            <w:szCs w:val="16"/>
                          </w:rPr>
                          <w:t>．其他</w:t>
                        </w:r>
                      </w:p>
                    </w:sdtContent>
                  </w:sdt>
                </w:tc>
                <w:tc>
                  <w:tcPr>
                    <w:tcW w:w="1321" w:type="dxa"/>
                    <w:tcBorders>
                      <w:right w:val="single" w:sz="4" w:space="0" w:color="auto"/>
                    </w:tcBorders>
                    <w:vAlign w:val="bottom"/>
                  </w:tcPr>
                  <w:p w14:paraId="0B63F17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14321C9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617EE06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5B74E28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2E235DF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1DD7948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26AF9A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CF8755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32BAD6F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44D4757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25AB9D5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0EDD8B3" w14:textId="77777777">
                <w:trPr>
                  <w:trHeight w:val="20"/>
                </w:trPr>
                <w:sdt>
                  <w:sdtPr>
                    <w:rPr>
                      <w:rFonts w:ascii="Times New Roman" w:hAnsi="Times New Roman" w:cs="Times New Roman"/>
                      <w:sz w:val="16"/>
                      <w:szCs w:val="16"/>
                    </w:rPr>
                    <w:tag w:val="_PLD_2ae06251c01740e284196240776af550"/>
                    <w:id w:val="1606623928"/>
                    <w:lock w:val="sdtLocked"/>
                  </w:sdtPr>
                  <w:sdtEndPr/>
                  <w:sdtContent>
                    <w:tc>
                      <w:tcPr>
                        <w:tcW w:w="2450" w:type="dxa"/>
                        <w:vAlign w:val="center"/>
                      </w:tcPr>
                      <w:p w14:paraId="102FA999"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（五）专项储备</w:t>
                        </w:r>
                      </w:p>
                    </w:tc>
                  </w:sdtContent>
                </w:sdt>
                <w:tc>
                  <w:tcPr>
                    <w:tcW w:w="1321" w:type="dxa"/>
                    <w:tcBorders>
                      <w:right w:val="single" w:sz="4" w:space="0" w:color="auto"/>
                    </w:tcBorders>
                    <w:vAlign w:val="bottom"/>
                  </w:tcPr>
                  <w:p w14:paraId="0F8A039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3CB8636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08C9BB4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3E21BB3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2F1786C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3499F4F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11580A9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99C032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71329C8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3DABD67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044F4A9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7715A95B" w14:textId="77777777">
                <w:trPr>
                  <w:trHeight w:val="20"/>
                </w:trPr>
                <w:sdt>
                  <w:sdtPr>
                    <w:rPr>
                      <w:rFonts w:ascii="Times New Roman" w:hAnsi="Times New Roman" w:cs="Times New Roman"/>
                      <w:sz w:val="16"/>
                      <w:szCs w:val="16"/>
                    </w:rPr>
                    <w:tag w:val="_PLD_6c9c274129814a4ea45296335d45791b"/>
                    <w:id w:val="789482663"/>
                    <w:lock w:val="sdtLocked"/>
                  </w:sdtPr>
                  <w:sdtEndPr/>
                  <w:sdtContent>
                    <w:tc>
                      <w:tcPr>
                        <w:tcW w:w="2450" w:type="dxa"/>
                        <w:vAlign w:val="center"/>
                      </w:tcPr>
                      <w:p w14:paraId="6F9F344D"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．本期提取</w:t>
                        </w:r>
                      </w:p>
                    </w:tc>
                  </w:sdtContent>
                </w:sdt>
                <w:tc>
                  <w:tcPr>
                    <w:tcW w:w="1321" w:type="dxa"/>
                    <w:tcBorders>
                      <w:right w:val="single" w:sz="4" w:space="0" w:color="auto"/>
                    </w:tcBorders>
                    <w:vAlign w:val="bottom"/>
                  </w:tcPr>
                  <w:p w14:paraId="49A64FC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0C4E7A9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39C2377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6AD6C20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4BDF1CD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4961BC2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457C9E9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58DC6F4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1BA4E223"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1F84242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2B6C5C1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F44907D" w14:textId="77777777">
                <w:trPr>
                  <w:trHeight w:val="20"/>
                </w:trPr>
                <w:sdt>
                  <w:sdtPr>
                    <w:rPr>
                      <w:rFonts w:ascii="Times New Roman" w:hAnsi="Times New Roman" w:cs="Times New Roman"/>
                      <w:sz w:val="16"/>
                      <w:szCs w:val="16"/>
                    </w:rPr>
                    <w:tag w:val="_PLD_14398e4dd6ed4c74869a974323e2137e"/>
                    <w:id w:val="1046032081"/>
                    <w:lock w:val="sdtLocked"/>
                  </w:sdtPr>
                  <w:sdtEndPr/>
                  <w:sdtContent>
                    <w:tc>
                      <w:tcPr>
                        <w:tcW w:w="2450" w:type="dxa"/>
                        <w:vAlign w:val="center"/>
                      </w:tcPr>
                      <w:p w14:paraId="150F017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．本期使用</w:t>
                        </w:r>
                      </w:p>
                    </w:tc>
                  </w:sdtContent>
                </w:sdt>
                <w:tc>
                  <w:tcPr>
                    <w:tcW w:w="1321" w:type="dxa"/>
                    <w:tcBorders>
                      <w:right w:val="single" w:sz="4" w:space="0" w:color="auto"/>
                    </w:tcBorders>
                    <w:vAlign w:val="bottom"/>
                  </w:tcPr>
                  <w:p w14:paraId="7BB72FC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3DB0DC6E"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45053A9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74A6338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2714DA5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6608993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72EA9E81"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2DCFBEA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15D246B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3EEFB4D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0CF99E8F"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55261487" w14:textId="77777777">
                <w:trPr>
                  <w:trHeight w:val="20"/>
                </w:trPr>
                <w:sdt>
                  <w:sdtPr>
                    <w:rPr>
                      <w:rFonts w:ascii="Times New Roman" w:hAnsi="Times New Roman" w:cs="Times New Roman"/>
                      <w:sz w:val="16"/>
                      <w:szCs w:val="16"/>
                    </w:rPr>
                    <w:tag w:val="_PLD_224fa1ebe84a4d40b88b89a97997e311"/>
                    <w:id w:val="1442107566"/>
                    <w:lock w:val="sdtLocked"/>
                  </w:sdtPr>
                  <w:sdtEndPr/>
                  <w:sdtContent>
                    <w:tc>
                      <w:tcPr>
                        <w:tcW w:w="2450" w:type="dxa"/>
                      </w:tcPr>
                      <w:p w14:paraId="6468029F"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（六）其他</w:t>
                        </w:r>
                      </w:p>
                    </w:tc>
                  </w:sdtContent>
                </w:sdt>
                <w:tc>
                  <w:tcPr>
                    <w:tcW w:w="1321" w:type="dxa"/>
                    <w:tcBorders>
                      <w:right w:val="single" w:sz="4" w:space="0" w:color="auto"/>
                    </w:tcBorders>
                    <w:vAlign w:val="bottom"/>
                  </w:tcPr>
                  <w:p w14:paraId="0539673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tcBorders>
                      <w:left w:val="single" w:sz="4" w:space="0" w:color="auto"/>
                      <w:right w:val="single" w:sz="4" w:space="0" w:color="auto"/>
                    </w:tcBorders>
                    <w:vAlign w:val="bottom"/>
                  </w:tcPr>
                  <w:p w14:paraId="0639F14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77E98555"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54AD009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bottom"/>
                  </w:tcPr>
                  <w:p w14:paraId="0BFCA4A8"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07" w:type="dxa"/>
                    <w:vAlign w:val="bottom"/>
                  </w:tcPr>
                  <w:p w14:paraId="764587E9"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647BEF67"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019C22B4"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bottom"/>
                  </w:tcPr>
                  <w:p w14:paraId="5DEC1686"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6" w:type="dxa"/>
                    <w:vAlign w:val="bottom"/>
                  </w:tcPr>
                  <w:p w14:paraId="4529094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01" w:type="dxa"/>
                    <w:vAlign w:val="bottom"/>
                  </w:tcPr>
                  <w:p w14:paraId="525655C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r>
              <w:tr w:rsidR="00D21C1F" w14:paraId="02F1F6E2" w14:textId="77777777">
                <w:trPr>
                  <w:trHeight w:val="20"/>
                </w:trPr>
                <w:sdt>
                  <w:sdtPr>
                    <w:rPr>
                      <w:rFonts w:ascii="Times New Roman" w:hAnsi="Times New Roman" w:cs="Times New Roman"/>
                      <w:sz w:val="16"/>
                      <w:szCs w:val="16"/>
                    </w:rPr>
                    <w:tag w:val="_PLD_fe962ef732004aec94edafee7e0bef94"/>
                    <w:id w:val="-61865691"/>
                    <w:lock w:val="sdtLocked"/>
                  </w:sdtPr>
                  <w:sdtEndPr/>
                  <w:sdtContent>
                    <w:tc>
                      <w:tcPr>
                        <w:tcW w:w="2450" w:type="dxa"/>
                      </w:tcPr>
                      <w:p w14:paraId="30EE5955"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四、本期期末余额</w:t>
                        </w:r>
                      </w:p>
                    </w:tc>
                  </w:sdtContent>
                </w:sdt>
                <w:tc>
                  <w:tcPr>
                    <w:tcW w:w="1321" w:type="dxa"/>
                    <w:tcBorders>
                      <w:right w:val="single" w:sz="4" w:space="0" w:color="auto"/>
                    </w:tcBorders>
                    <w:vAlign w:val="center"/>
                  </w:tcPr>
                  <w:p w14:paraId="42E5E6F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521,780,000.00</w:t>
                    </w:r>
                  </w:p>
                </w:tc>
                <w:tc>
                  <w:tcPr>
                    <w:tcW w:w="807" w:type="dxa"/>
                    <w:tcBorders>
                      <w:left w:val="single" w:sz="4" w:space="0" w:color="auto"/>
                      <w:right w:val="single" w:sz="4" w:space="0" w:color="auto"/>
                    </w:tcBorders>
                    <w:vAlign w:val="bottom"/>
                  </w:tcPr>
                  <w:p w14:paraId="08DBABA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94" w:type="dxa"/>
                    <w:tcBorders>
                      <w:left w:val="single" w:sz="4" w:space="0" w:color="auto"/>
                      <w:right w:val="single" w:sz="4" w:space="0" w:color="auto"/>
                    </w:tcBorders>
                    <w:vAlign w:val="bottom"/>
                  </w:tcPr>
                  <w:p w14:paraId="6E55693A"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850" w:type="dxa"/>
                    <w:tcBorders>
                      <w:left w:val="single" w:sz="4" w:space="0" w:color="auto"/>
                    </w:tcBorders>
                    <w:vAlign w:val="bottom"/>
                  </w:tcPr>
                  <w:p w14:paraId="5DB2D96B"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461" w:type="dxa"/>
                    <w:vAlign w:val="center"/>
                  </w:tcPr>
                  <w:p w14:paraId="314BC7B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2,060,896,187.68</w:t>
                    </w:r>
                  </w:p>
                </w:tc>
                <w:tc>
                  <w:tcPr>
                    <w:tcW w:w="807" w:type="dxa"/>
                    <w:vAlign w:val="bottom"/>
                  </w:tcPr>
                  <w:p w14:paraId="433AB71D"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3E8FAD60"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709" w:type="dxa"/>
                    <w:vAlign w:val="bottom"/>
                  </w:tcPr>
                  <w:p w14:paraId="28FB0D8C" w14:textId="77777777" w:rsidR="00D21C1F" w:rsidRDefault="00A42880">
                    <w:pPr>
                      <w:jc w:val="right"/>
                      <w:rPr>
                        <w:rFonts w:ascii="Times New Roman" w:hAnsi="Times New Roman" w:cs="Times New Roman"/>
                        <w:sz w:val="16"/>
                        <w:szCs w:val="16"/>
                      </w:rPr>
                    </w:pPr>
                    <w:r>
                      <w:rPr>
                        <w:rFonts w:ascii="Times New Roman" w:hAnsi="Times New Roman" w:cs="Times New Roman" w:hint="eastAsia"/>
                        <w:sz w:val="16"/>
                        <w:szCs w:val="16"/>
                      </w:rPr>
                      <w:t>-</w:t>
                    </w:r>
                  </w:p>
                </w:tc>
                <w:tc>
                  <w:tcPr>
                    <w:tcW w:w="1275" w:type="dxa"/>
                    <w:vAlign w:val="center"/>
                  </w:tcPr>
                  <w:p w14:paraId="42438D4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10,122,906.55</w:t>
                    </w:r>
                  </w:p>
                </w:tc>
                <w:tc>
                  <w:tcPr>
                    <w:tcW w:w="1276" w:type="dxa"/>
                    <w:vAlign w:val="center"/>
                  </w:tcPr>
                  <w:p w14:paraId="348E9E7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51,310,773.71</w:t>
                    </w:r>
                  </w:p>
                </w:tc>
                <w:tc>
                  <w:tcPr>
                    <w:tcW w:w="1401" w:type="dxa"/>
                    <w:vAlign w:val="center"/>
                  </w:tcPr>
                  <w:p w14:paraId="5E627A1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2,644,109,867.94</w:t>
                    </w:r>
                  </w:p>
                </w:tc>
              </w:tr>
            </w:tbl>
            <w:p w14:paraId="1798F6A0" w14:textId="77777777" w:rsidR="00D21C1F" w:rsidRDefault="00D21C1F">
              <w:pPr>
                <w:rPr>
                  <w:rFonts w:ascii="Times New Roman" w:hAnsi="Times New Roman" w:cs="Times New Roman"/>
                  <w:sz w:val="16"/>
                  <w:szCs w:val="16"/>
                </w:rPr>
              </w:pPr>
            </w:p>
            <w:p w14:paraId="623A0648" w14:textId="77777777" w:rsidR="00D21C1F" w:rsidRDefault="00D21C1F">
              <w:pPr>
                <w:rPr>
                  <w:rFonts w:ascii="Times New Roman" w:hAnsi="Times New Roman" w:cs="Times New Roman"/>
                  <w:sz w:val="16"/>
                  <w:szCs w:val="16"/>
                </w:rPr>
              </w:pPr>
            </w:p>
            <w:tbl>
              <w:tblPr>
                <w:tblStyle w:val="88"/>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318"/>
                <w:gridCol w:w="810"/>
                <w:gridCol w:w="749"/>
                <w:gridCol w:w="850"/>
                <w:gridCol w:w="1606"/>
                <w:gridCol w:w="662"/>
                <w:gridCol w:w="709"/>
                <w:gridCol w:w="709"/>
                <w:gridCol w:w="1276"/>
                <w:gridCol w:w="1417"/>
                <w:gridCol w:w="1404"/>
              </w:tblGrid>
              <w:tr w:rsidR="00D21C1F" w14:paraId="369483A5" w14:textId="77777777">
                <w:trPr>
                  <w:trHeight w:val="20"/>
                </w:trPr>
                <w:tc>
                  <w:tcPr>
                    <w:tcW w:w="2394" w:type="dxa"/>
                    <w:vMerge w:val="restart"/>
                    <w:vAlign w:val="center"/>
                  </w:tcPr>
                  <w:sdt>
                    <w:sdtPr>
                      <w:rPr>
                        <w:rFonts w:ascii="Times New Roman" w:hAnsi="Times New Roman" w:cs="Times New Roman"/>
                        <w:sz w:val="16"/>
                        <w:szCs w:val="16"/>
                      </w:rPr>
                      <w:tag w:val="_PLD_312727f4b56147c2b646c0fb68a4b58b"/>
                      <w:id w:val="569852360"/>
                      <w:lock w:val="sdtLocked"/>
                    </w:sdtPr>
                    <w:sdtEndPr/>
                    <w:sdtContent>
                      <w:p w14:paraId="670FE4CD"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项目</w:t>
                        </w:r>
                      </w:p>
                    </w:sdtContent>
                  </w:sdt>
                </w:tc>
                <w:tc>
                  <w:tcPr>
                    <w:tcW w:w="11510" w:type="dxa"/>
                    <w:gridSpan w:val="11"/>
                  </w:tcPr>
                  <w:p w14:paraId="67C974D8" w14:textId="77777777" w:rsidR="00D21C1F" w:rsidRDefault="00045EC6">
                    <w:pPr>
                      <w:adjustRightInd w:val="0"/>
                      <w:snapToGrid w:val="0"/>
                      <w:jc w:val="center"/>
                      <w:rPr>
                        <w:rFonts w:ascii="Times New Roman" w:hAnsi="Times New Roman" w:cs="Times New Roman"/>
                        <w:sz w:val="16"/>
                        <w:szCs w:val="16"/>
                      </w:rPr>
                    </w:pPr>
                    <w:sdt>
                      <w:sdtPr>
                        <w:rPr>
                          <w:rFonts w:ascii="Times New Roman" w:hAnsi="Times New Roman" w:cs="Times New Roman"/>
                          <w:sz w:val="16"/>
                          <w:szCs w:val="16"/>
                        </w:rPr>
                        <w:tag w:val="_PLD_35246b22171846ac8ef46c5dfa1d1663"/>
                        <w:id w:val="-386645987"/>
                        <w:lock w:val="sdtLocked"/>
                      </w:sdtPr>
                      <w:sdtEndPr/>
                      <w:sdtContent>
                        <w:r w:rsidR="00A42880">
                          <w:rPr>
                            <w:rFonts w:ascii="Times New Roman" w:hAnsi="Times New Roman" w:cs="Times New Roman"/>
                            <w:sz w:val="16"/>
                            <w:szCs w:val="16"/>
                          </w:rPr>
                          <w:t>2020</w:t>
                        </w:r>
                        <w:r w:rsidR="00A42880">
                          <w:rPr>
                            <w:rFonts w:ascii="Times New Roman" w:hAnsi="Times New Roman" w:cs="Times New Roman"/>
                            <w:sz w:val="16"/>
                            <w:szCs w:val="16"/>
                          </w:rPr>
                          <w:t>年半年度</w:t>
                        </w:r>
                      </w:sdtContent>
                    </w:sdt>
                  </w:p>
                </w:tc>
              </w:tr>
              <w:tr w:rsidR="00D21C1F" w14:paraId="6C0BE6EE" w14:textId="77777777">
                <w:trPr>
                  <w:trHeight w:val="315"/>
                </w:trPr>
                <w:tc>
                  <w:tcPr>
                    <w:tcW w:w="2394" w:type="dxa"/>
                    <w:vMerge/>
                  </w:tcPr>
                  <w:p w14:paraId="7A8B3079" w14:textId="77777777" w:rsidR="00D21C1F" w:rsidRDefault="00D21C1F">
                    <w:pPr>
                      <w:adjustRightInd w:val="0"/>
                      <w:snapToGrid w:val="0"/>
                      <w:rPr>
                        <w:rFonts w:ascii="Times New Roman" w:hAnsi="Times New Roman" w:cs="Times New Roman"/>
                        <w:sz w:val="16"/>
                        <w:szCs w:val="16"/>
                      </w:rPr>
                    </w:pPr>
                  </w:p>
                </w:tc>
                <w:sdt>
                  <w:sdtPr>
                    <w:rPr>
                      <w:rFonts w:ascii="Times New Roman" w:hAnsi="Times New Roman" w:cs="Times New Roman"/>
                      <w:sz w:val="16"/>
                      <w:szCs w:val="16"/>
                    </w:rPr>
                    <w:tag w:val="_PLD_5da9900c5a9e46a085487ea972f44796"/>
                    <w:id w:val="-158621634"/>
                    <w:lock w:val="sdtLocked"/>
                  </w:sdtPr>
                  <w:sdtEndPr/>
                  <w:sdtContent>
                    <w:tc>
                      <w:tcPr>
                        <w:tcW w:w="1318" w:type="dxa"/>
                        <w:vMerge w:val="restart"/>
                        <w:tcBorders>
                          <w:right w:val="single" w:sz="4" w:space="0" w:color="auto"/>
                        </w:tcBorders>
                        <w:vAlign w:val="center"/>
                      </w:tcPr>
                      <w:p w14:paraId="48CF8280"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实收资本</w:t>
                        </w:r>
                        <w:r>
                          <w:rPr>
                            <w:rFonts w:ascii="Times New Roman" w:hAnsi="Times New Roman" w:cs="Times New Roman"/>
                            <w:sz w:val="16"/>
                            <w:szCs w:val="16"/>
                          </w:rPr>
                          <w:t>(</w:t>
                        </w:r>
                        <w:r>
                          <w:rPr>
                            <w:rFonts w:ascii="Times New Roman" w:hAnsi="Times New Roman" w:cs="Times New Roman"/>
                            <w:sz w:val="16"/>
                            <w:szCs w:val="16"/>
                          </w:rPr>
                          <w:t>或股本</w:t>
                        </w:r>
                        <w:r>
                          <w:rPr>
                            <w:rFonts w:ascii="Times New Roman" w:hAnsi="Times New Roman" w:cs="Times New Roman"/>
                            <w:sz w:val="16"/>
                            <w:szCs w:val="16"/>
                          </w:rPr>
                          <w:t>)</w:t>
                        </w:r>
                      </w:p>
                    </w:tc>
                  </w:sdtContent>
                </w:sdt>
                <w:sdt>
                  <w:sdtPr>
                    <w:rPr>
                      <w:rFonts w:ascii="Times New Roman" w:hAnsi="Times New Roman" w:cs="Times New Roman"/>
                      <w:sz w:val="16"/>
                      <w:szCs w:val="16"/>
                    </w:rPr>
                    <w:tag w:val="_PLD_fc0bce3be00144ff950606755a048a76"/>
                    <w:id w:val="-664465256"/>
                    <w:lock w:val="sdtLocked"/>
                  </w:sdtPr>
                  <w:sdtEndPr/>
                  <w:sdtContent>
                    <w:tc>
                      <w:tcPr>
                        <w:tcW w:w="2409" w:type="dxa"/>
                        <w:gridSpan w:val="3"/>
                        <w:tcBorders>
                          <w:left w:val="single" w:sz="4" w:space="0" w:color="auto"/>
                          <w:bottom w:val="single" w:sz="4" w:space="0" w:color="auto"/>
                        </w:tcBorders>
                        <w:vAlign w:val="center"/>
                      </w:tcPr>
                      <w:p w14:paraId="5BCE3BBE"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其他权益工具</w:t>
                        </w:r>
                      </w:p>
                    </w:tc>
                  </w:sdtContent>
                </w:sdt>
                <w:sdt>
                  <w:sdtPr>
                    <w:rPr>
                      <w:rFonts w:ascii="Times New Roman" w:hAnsi="Times New Roman" w:cs="Times New Roman"/>
                      <w:sz w:val="16"/>
                      <w:szCs w:val="16"/>
                    </w:rPr>
                    <w:tag w:val="_PLD_b31d07f97db344b1b180738b22a76467"/>
                    <w:id w:val="-644274083"/>
                    <w:lock w:val="sdtLocked"/>
                  </w:sdtPr>
                  <w:sdtEndPr/>
                  <w:sdtContent>
                    <w:tc>
                      <w:tcPr>
                        <w:tcW w:w="1606" w:type="dxa"/>
                        <w:vMerge w:val="restart"/>
                        <w:vAlign w:val="center"/>
                      </w:tcPr>
                      <w:p w14:paraId="11D6E0A9"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资本公积</w:t>
                        </w:r>
                      </w:p>
                    </w:tc>
                  </w:sdtContent>
                </w:sdt>
                <w:sdt>
                  <w:sdtPr>
                    <w:rPr>
                      <w:rFonts w:ascii="Times New Roman" w:hAnsi="Times New Roman" w:cs="Times New Roman"/>
                      <w:sz w:val="16"/>
                      <w:szCs w:val="16"/>
                    </w:rPr>
                    <w:tag w:val="_PLD_244676dcaf4245bd9119f474a4e885f9"/>
                    <w:id w:val="-1199229455"/>
                    <w:lock w:val="sdtLocked"/>
                  </w:sdtPr>
                  <w:sdtEndPr/>
                  <w:sdtContent>
                    <w:tc>
                      <w:tcPr>
                        <w:tcW w:w="662" w:type="dxa"/>
                        <w:vMerge w:val="restart"/>
                        <w:vAlign w:val="center"/>
                      </w:tcPr>
                      <w:p w14:paraId="7B7577CD"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减：库存股</w:t>
                        </w:r>
                      </w:p>
                    </w:tc>
                  </w:sdtContent>
                </w:sdt>
                <w:sdt>
                  <w:sdtPr>
                    <w:rPr>
                      <w:rFonts w:ascii="Times New Roman" w:hAnsi="Times New Roman" w:cs="Times New Roman"/>
                      <w:sz w:val="16"/>
                      <w:szCs w:val="16"/>
                    </w:rPr>
                    <w:tag w:val="_PLD_01eab1b775574165b2820a19e72d2ad0"/>
                    <w:id w:val="-1493163999"/>
                    <w:lock w:val="sdtLocked"/>
                  </w:sdtPr>
                  <w:sdtEndPr/>
                  <w:sdtContent>
                    <w:tc>
                      <w:tcPr>
                        <w:tcW w:w="709" w:type="dxa"/>
                        <w:vMerge w:val="restart"/>
                        <w:vAlign w:val="center"/>
                      </w:tcPr>
                      <w:p w14:paraId="6481ED74" w14:textId="77777777" w:rsidR="00D21C1F" w:rsidRDefault="00A42880">
                        <w:pPr>
                          <w:jc w:val="center"/>
                          <w:rPr>
                            <w:rFonts w:ascii="Times New Roman" w:hAnsi="Times New Roman" w:cs="Times New Roman"/>
                            <w:sz w:val="16"/>
                            <w:szCs w:val="16"/>
                          </w:rPr>
                        </w:pPr>
                        <w:r>
                          <w:rPr>
                            <w:rFonts w:ascii="Times New Roman" w:hAnsi="Times New Roman" w:cs="Times New Roman"/>
                            <w:sz w:val="16"/>
                            <w:szCs w:val="16"/>
                          </w:rPr>
                          <w:t>其他综合收益</w:t>
                        </w:r>
                      </w:p>
                    </w:tc>
                  </w:sdtContent>
                </w:sdt>
                <w:sdt>
                  <w:sdtPr>
                    <w:rPr>
                      <w:rFonts w:ascii="Times New Roman" w:hAnsi="Times New Roman" w:cs="Times New Roman"/>
                      <w:sz w:val="16"/>
                      <w:szCs w:val="16"/>
                    </w:rPr>
                    <w:tag w:val="_PLD_13f17e2c8a7a404da876af1bac2ae6d1"/>
                    <w:id w:val="-365288725"/>
                    <w:lock w:val="sdtLocked"/>
                  </w:sdtPr>
                  <w:sdtEndPr/>
                  <w:sdtContent>
                    <w:tc>
                      <w:tcPr>
                        <w:tcW w:w="709" w:type="dxa"/>
                        <w:vMerge w:val="restart"/>
                        <w:vAlign w:val="center"/>
                      </w:tcPr>
                      <w:p w14:paraId="677F7040"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专项储备</w:t>
                        </w:r>
                      </w:p>
                    </w:tc>
                  </w:sdtContent>
                </w:sdt>
                <w:sdt>
                  <w:sdtPr>
                    <w:rPr>
                      <w:rFonts w:ascii="Times New Roman" w:hAnsi="Times New Roman" w:cs="Times New Roman"/>
                      <w:sz w:val="16"/>
                      <w:szCs w:val="16"/>
                    </w:rPr>
                    <w:tag w:val="_PLD_9578f3812cf04a34965a5bdc9ee82115"/>
                    <w:id w:val="-848871930"/>
                    <w:lock w:val="sdtLocked"/>
                  </w:sdtPr>
                  <w:sdtEndPr/>
                  <w:sdtContent>
                    <w:tc>
                      <w:tcPr>
                        <w:tcW w:w="1276" w:type="dxa"/>
                        <w:vMerge w:val="restart"/>
                        <w:vAlign w:val="center"/>
                      </w:tcPr>
                      <w:p w14:paraId="1F0243C8"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盈余公积</w:t>
                        </w:r>
                      </w:p>
                    </w:tc>
                  </w:sdtContent>
                </w:sdt>
                <w:sdt>
                  <w:sdtPr>
                    <w:rPr>
                      <w:rFonts w:ascii="Times New Roman" w:hAnsi="Times New Roman" w:cs="Times New Roman"/>
                      <w:sz w:val="16"/>
                      <w:szCs w:val="16"/>
                    </w:rPr>
                    <w:tag w:val="_PLD_5d835cd98ccc4304aec553a0b6a56628"/>
                    <w:id w:val="-1091318265"/>
                    <w:lock w:val="sdtLocked"/>
                  </w:sdtPr>
                  <w:sdtEndPr/>
                  <w:sdtContent>
                    <w:tc>
                      <w:tcPr>
                        <w:tcW w:w="1417" w:type="dxa"/>
                        <w:vMerge w:val="restart"/>
                        <w:vAlign w:val="center"/>
                      </w:tcPr>
                      <w:p w14:paraId="34EF2527"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未分配利润</w:t>
                        </w:r>
                      </w:p>
                    </w:tc>
                  </w:sdtContent>
                </w:sdt>
                <w:sdt>
                  <w:sdtPr>
                    <w:rPr>
                      <w:rFonts w:ascii="Times New Roman" w:hAnsi="Times New Roman" w:cs="Times New Roman"/>
                      <w:sz w:val="16"/>
                      <w:szCs w:val="16"/>
                    </w:rPr>
                    <w:tag w:val="_PLD_1cbb8af374a54430ad1f29ed83c69cd0"/>
                    <w:id w:val="968398415"/>
                    <w:lock w:val="sdtLocked"/>
                  </w:sdtPr>
                  <w:sdtEndPr/>
                  <w:sdtContent>
                    <w:tc>
                      <w:tcPr>
                        <w:tcW w:w="1404" w:type="dxa"/>
                        <w:vMerge w:val="restart"/>
                        <w:vAlign w:val="center"/>
                      </w:tcPr>
                      <w:p w14:paraId="5571064F"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所有者权益合计</w:t>
                        </w:r>
                      </w:p>
                    </w:tc>
                  </w:sdtContent>
                </w:sdt>
              </w:tr>
              <w:tr w:rsidR="00D21C1F" w14:paraId="11C0132B" w14:textId="77777777">
                <w:trPr>
                  <w:trHeight w:val="294"/>
                </w:trPr>
                <w:tc>
                  <w:tcPr>
                    <w:tcW w:w="2394" w:type="dxa"/>
                    <w:vMerge/>
                  </w:tcPr>
                  <w:p w14:paraId="1FA71753" w14:textId="77777777" w:rsidR="00D21C1F" w:rsidRDefault="00D21C1F">
                    <w:pPr>
                      <w:adjustRightInd w:val="0"/>
                      <w:snapToGrid w:val="0"/>
                      <w:rPr>
                        <w:rFonts w:ascii="Times New Roman" w:hAnsi="Times New Roman" w:cs="Times New Roman"/>
                        <w:sz w:val="16"/>
                        <w:szCs w:val="16"/>
                      </w:rPr>
                    </w:pPr>
                  </w:p>
                </w:tc>
                <w:tc>
                  <w:tcPr>
                    <w:tcW w:w="1318" w:type="dxa"/>
                    <w:vMerge/>
                    <w:tcBorders>
                      <w:right w:val="single" w:sz="4" w:space="0" w:color="auto"/>
                    </w:tcBorders>
                  </w:tcPr>
                  <w:p w14:paraId="68367D21" w14:textId="77777777" w:rsidR="00D21C1F" w:rsidRDefault="00D21C1F">
                    <w:pPr>
                      <w:adjustRightInd w:val="0"/>
                      <w:snapToGrid w:val="0"/>
                      <w:jc w:val="center"/>
                      <w:rPr>
                        <w:rFonts w:ascii="Times New Roman" w:hAnsi="Times New Roman" w:cs="Times New Roman"/>
                        <w:sz w:val="16"/>
                        <w:szCs w:val="16"/>
                      </w:rPr>
                    </w:pPr>
                  </w:p>
                </w:tc>
                <w:sdt>
                  <w:sdtPr>
                    <w:rPr>
                      <w:rFonts w:ascii="Times New Roman" w:hAnsi="Times New Roman" w:cs="Times New Roman"/>
                      <w:sz w:val="16"/>
                      <w:szCs w:val="16"/>
                    </w:rPr>
                    <w:tag w:val="_PLD_dcc9ba0f815c4a99a7c4c9fe219d232e"/>
                    <w:id w:val="-1240865071"/>
                    <w:lock w:val="sdtLocked"/>
                  </w:sdtPr>
                  <w:sdtEndPr/>
                  <w:sdtContent>
                    <w:tc>
                      <w:tcPr>
                        <w:tcW w:w="810" w:type="dxa"/>
                        <w:tcBorders>
                          <w:top w:val="single" w:sz="4" w:space="0" w:color="auto"/>
                          <w:left w:val="single" w:sz="4" w:space="0" w:color="auto"/>
                          <w:right w:val="single" w:sz="4" w:space="0" w:color="auto"/>
                        </w:tcBorders>
                        <w:vAlign w:val="center"/>
                      </w:tcPr>
                      <w:p w14:paraId="0D6B3AC0"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优先股</w:t>
                        </w:r>
                      </w:p>
                    </w:tc>
                  </w:sdtContent>
                </w:sdt>
                <w:sdt>
                  <w:sdtPr>
                    <w:rPr>
                      <w:rFonts w:ascii="Times New Roman" w:hAnsi="Times New Roman" w:cs="Times New Roman"/>
                      <w:sz w:val="16"/>
                      <w:szCs w:val="16"/>
                    </w:rPr>
                    <w:tag w:val="_PLD_42f56a6e995041a8b03e0979c7b2350c"/>
                    <w:id w:val="1544020483"/>
                    <w:lock w:val="sdtLocked"/>
                  </w:sdtPr>
                  <w:sdtEndPr/>
                  <w:sdtContent>
                    <w:tc>
                      <w:tcPr>
                        <w:tcW w:w="749" w:type="dxa"/>
                        <w:tcBorders>
                          <w:top w:val="single" w:sz="4" w:space="0" w:color="auto"/>
                          <w:left w:val="single" w:sz="4" w:space="0" w:color="auto"/>
                          <w:right w:val="single" w:sz="4" w:space="0" w:color="auto"/>
                        </w:tcBorders>
                        <w:vAlign w:val="center"/>
                      </w:tcPr>
                      <w:p w14:paraId="65B99078"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永续债</w:t>
                        </w:r>
                      </w:p>
                    </w:tc>
                  </w:sdtContent>
                </w:sdt>
                <w:sdt>
                  <w:sdtPr>
                    <w:rPr>
                      <w:rFonts w:ascii="Times New Roman" w:hAnsi="Times New Roman" w:cs="Times New Roman"/>
                      <w:sz w:val="16"/>
                      <w:szCs w:val="16"/>
                    </w:rPr>
                    <w:tag w:val="_PLD_30aa853463c54004a69a2235554ee8fd"/>
                    <w:id w:val="-1432119119"/>
                    <w:lock w:val="sdtLocked"/>
                  </w:sdtPr>
                  <w:sdtEndPr/>
                  <w:sdtContent>
                    <w:tc>
                      <w:tcPr>
                        <w:tcW w:w="850" w:type="dxa"/>
                        <w:tcBorders>
                          <w:top w:val="single" w:sz="4" w:space="0" w:color="auto"/>
                          <w:left w:val="single" w:sz="4" w:space="0" w:color="auto"/>
                        </w:tcBorders>
                        <w:vAlign w:val="center"/>
                      </w:tcPr>
                      <w:p w14:paraId="1AE838B1" w14:textId="77777777" w:rsidR="00D21C1F" w:rsidRDefault="00A42880">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其他</w:t>
                        </w:r>
                      </w:p>
                    </w:tc>
                  </w:sdtContent>
                </w:sdt>
                <w:tc>
                  <w:tcPr>
                    <w:tcW w:w="1606" w:type="dxa"/>
                    <w:vMerge/>
                  </w:tcPr>
                  <w:p w14:paraId="59D3A3C2" w14:textId="77777777" w:rsidR="00D21C1F" w:rsidRDefault="00D21C1F">
                    <w:pPr>
                      <w:adjustRightInd w:val="0"/>
                      <w:snapToGrid w:val="0"/>
                      <w:jc w:val="center"/>
                      <w:rPr>
                        <w:rFonts w:ascii="Times New Roman" w:hAnsi="Times New Roman" w:cs="Times New Roman"/>
                        <w:sz w:val="16"/>
                        <w:szCs w:val="16"/>
                      </w:rPr>
                    </w:pPr>
                  </w:p>
                </w:tc>
                <w:tc>
                  <w:tcPr>
                    <w:tcW w:w="662" w:type="dxa"/>
                    <w:vMerge/>
                  </w:tcPr>
                  <w:p w14:paraId="273E31EE" w14:textId="77777777" w:rsidR="00D21C1F" w:rsidRDefault="00D21C1F">
                    <w:pPr>
                      <w:adjustRightInd w:val="0"/>
                      <w:snapToGrid w:val="0"/>
                      <w:jc w:val="center"/>
                      <w:rPr>
                        <w:rFonts w:ascii="Times New Roman" w:hAnsi="Times New Roman" w:cs="Times New Roman"/>
                        <w:sz w:val="16"/>
                        <w:szCs w:val="16"/>
                      </w:rPr>
                    </w:pPr>
                  </w:p>
                </w:tc>
                <w:tc>
                  <w:tcPr>
                    <w:tcW w:w="709" w:type="dxa"/>
                    <w:vMerge/>
                  </w:tcPr>
                  <w:p w14:paraId="180E32E2" w14:textId="77777777" w:rsidR="00D21C1F" w:rsidRDefault="00D21C1F">
                    <w:pPr>
                      <w:jc w:val="center"/>
                      <w:rPr>
                        <w:rFonts w:ascii="Times New Roman" w:hAnsi="Times New Roman" w:cs="Times New Roman"/>
                        <w:sz w:val="16"/>
                        <w:szCs w:val="16"/>
                      </w:rPr>
                    </w:pPr>
                  </w:p>
                </w:tc>
                <w:tc>
                  <w:tcPr>
                    <w:tcW w:w="709" w:type="dxa"/>
                    <w:vMerge/>
                  </w:tcPr>
                  <w:p w14:paraId="73C2BD26" w14:textId="77777777" w:rsidR="00D21C1F" w:rsidRDefault="00D21C1F">
                    <w:pPr>
                      <w:adjustRightInd w:val="0"/>
                      <w:snapToGrid w:val="0"/>
                      <w:jc w:val="center"/>
                      <w:rPr>
                        <w:rFonts w:ascii="Times New Roman" w:hAnsi="Times New Roman" w:cs="Times New Roman"/>
                        <w:sz w:val="16"/>
                        <w:szCs w:val="16"/>
                      </w:rPr>
                    </w:pPr>
                  </w:p>
                </w:tc>
                <w:tc>
                  <w:tcPr>
                    <w:tcW w:w="1276" w:type="dxa"/>
                    <w:vMerge/>
                  </w:tcPr>
                  <w:p w14:paraId="10DF4BBA" w14:textId="77777777" w:rsidR="00D21C1F" w:rsidRDefault="00D21C1F">
                    <w:pPr>
                      <w:adjustRightInd w:val="0"/>
                      <w:snapToGrid w:val="0"/>
                      <w:jc w:val="center"/>
                      <w:rPr>
                        <w:rFonts w:ascii="Times New Roman" w:hAnsi="Times New Roman" w:cs="Times New Roman"/>
                        <w:sz w:val="16"/>
                        <w:szCs w:val="16"/>
                      </w:rPr>
                    </w:pPr>
                  </w:p>
                </w:tc>
                <w:tc>
                  <w:tcPr>
                    <w:tcW w:w="1417" w:type="dxa"/>
                    <w:vMerge/>
                  </w:tcPr>
                  <w:p w14:paraId="6168C7DB" w14:textId="77777777" w:rsidR="00D21C1F" w:rsidRDefault="00D21C1F">
                    <w:pPr>
                      <w:adjustRightInd w:val="0"/>
                      <w:snapToGrid w:val="0"/>
                      <w:jc w:val="center"/>
                      <w:rPr>
                        <w:rFonts w:ascii="Times New Roman" w:hAnsi="Times New Roman" w:cs="Times New Roman"/>
                        <w:sz w:val="16"/>
                        <w:szCs w:val="16"/>
                      </w:rPr>
                    </w:pPr>
                  </w:p>
                </w:tc>
                <w:tc>
                  <w:tcPr>
                    <w:tcW w:w="1404" w:type="dxa"/>
                    <w:vMerge/>
                  </w:tcPr>
                  <w:p w14:paraId="0BC7F99F" w14:textId="77777777" w:rsidR="00D21C1F" w:rsidRDefault="00D21C1F">
                    <w:pPr>
                      <w:adjustRightInd w:val="0"/>
                      <w:snapToGrid w:val="0"/>
                      <w:jc w:val="center"/>
                      <w:rPr>
                        <w:rFonts w:ascii="Times New Roman" w:hAnsi="Times New Roman" w:cs="Times New Roman"/>
                        <w:sz w:val="16"/>
                        <w:szCs w:val="16"/>
                      </w:rPr>
                    </w:pPr>
                  </w:p>
                </w:tc>
              </w:tr>
              <w:tr w:rsidR="00D21C1F" w14:paraId="6BA93E98" w14:textId="77777777">
                <w:trPr>
                  <w:trHeight w:val="20"/>
                </w:trPr>
                <w:sdt>
                  <w:sdtPr>
                    <w:rPr>
                      <w:rFonts w:ascii="Times New Roman" w:hAnsi="Times New Roman" w:cs="Times New Roman"/>
                      <w:sz w:val="16"/>
                      <w:szCs w:val="16"/>
                    </w:rPr>
                    <w:tag w:val="_PLD_b00b327c7ecc4ad1bfafd8f9c1a6ce86"/>
                    <w:id w:val="353156850"/>
                    <w:lock w:val="sdtLocked"/>
                  </w:sdtPr>
                  <w:sdtEndPr/>
                  <w:sdtContent>
                    <w:tc>
                      <w:tcPr>
                        <w:tcW w:w="2394" w:type="dxa"/>
                      </w:tcPr>
                      <w:p w14:paraId="10AC1A43"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一、上年期末余额</w:t>
                        </w:r>
                      </w:p>
                    </w:tc>
                  </w:sdtContent>
                </w:sdt>
                <w:tc>
                  <w:tcPr>
                    <w:tcW w:w="1318" w:type="dxa"/>
                    <w:tcBorders>
                      <w:right w:val="single" w:sz="4" w:space="0" w:color="auto"/>
                    </w:tcBorders>
                    <w:vAlign w:val="bottom"/>
                  </w:tcPr>
                  <w:p w14:paraId="3578345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391,333,162.00</w:t>
                    </w:r>
                  </w:p>
                </w:tc>
                <w:tc>
                  <w:tcPr>
                    <w:tcW w:w="810" w:type="dxa"/>
                    <w:tcBorders>
                      <w:left w:val="single" w:sz="4" w:space="0" w:color="auto"/>
                      <w:right w:val="single" w:sz="4" w:space="0" w:color="auto"/>
                    </w:tcBorders>
                    <w:vAlign w:val="bottom"/>
                  </w:tcPr>
                  <w:p w14:paraId="5F7BAED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26EF366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right w:val="single" w:sz="4" w:space="0" w:color="auto"/>
                    </w:tcBorders>
                    <w:vAlign w:val="bottom"/>
                  </w:tcPr>
                  <w:p w14:paraId="42073ED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tcBorders>
                      <w:left w:val="single" w:sz="4" w:space="0" w:color="auto"/>
                    </w:tcBorders>
                    <w:vAlign w:val="bottom"/>
                  </w:tcPr>
                  <w:p w14:paraId="2B02E97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1,437,855,437.70</w:t>
                    </w:r>
                  </w:p>
                </w:tc>
                <w:tc>
                  <w:tcPr>
                    <w:tcW w:w="662" w:type="dxa"/>
                    <w:vAlign w:val="bottom"/>
                  </w:tcPr>
                  <w:p w14:paraId="29C363E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47DB8CE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4CBA1FF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1B680AB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7,850,945.49</w:t>
                    </w:r>
                  </w:p>
                </w:tc>
                <w:tc>
                  <w:tcPr>
                    <w:tcW w:w="1417" w:type="dxa"/>
                    <w:vAlign w:val="bottom"/>
                  </w:tcPr>
                  <w:p w14:paraId="0170B24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59,630,091.78</w:t>
                    </w:r>
                  </w:p>
                </w:tc>
                <w:tc>
                  <w:tcPr>
                    <w:tcW w:w="1404" w:type="dxa"/>
                    <w:vAlign w:val="bottom"/>
                  </w:tcPr>
                  <w:p w14:paraId="5B7326E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1,896,669,636.97</w:t>
                    </w:r>
                  </w:p>
                </w:tc>
              </w:tr>
              <w:tr w:rsidR="00D21C1F" w14:paraId="3FD7CB23" w14:textId="77777777">
                <w:trPr>
                  <w:trHeight w:val="20"/>
                </w:trPr>
                <w:sdt>
                  <w:sdtPr>
                    <w:rPr>
                      <w:rFonts w:ascii="Times New Roman" w:hAnsi="Times New Roman" w:cs="Times New Roman"/>
                      <w:sz w:val="16"/>
                      <w:szCs w:val="16"/>
                    </w:rPr>
                    <w:tag w:val="_PLD_87ad1d45ba9b40488fdf5165b8168def"/>
                    <w:id w:val="-1280868556"/>
                    <w:lock w:val="sdtLocked"/>
                  </w:sdtPr>
                  <w:sdtEndPr/>
                  <w:sdtContent>
                    <w:tc>
                      <w:tcPr>
                        <w:tcW w:w="2394" w:type="dxa"/>
                      </w:tcPr>
                      <w:p w14:paraId="56D3331F"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加：会计政策变更</w:t>
                        </w:r>
                      </w:p>
                    </w:tc>
                  </w:sdtContent>
                </w:sdt>
                <w:tc>
                  <w:tcPr>
                    <w:tcW w:w="1318" w:type="dxa"/>
                    <w:tcBorders>
                      <w:right w:val="single" w:sz="4" w:space="0" w:color="auto"/>
                    </w:tcBorders>
                    <w:vAlign w:val="bottom"/>
                  </w:tcPr>
                  <w:p w14:paraId="7F5D074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2EEDE30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772C27A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right w:val="single" w:sz="4" w:space="0" w:color="auto"/>
                    </w:tcBorders>
                    <w:vAlign w:val="bottom"/>
                  </w:tcPr>
                  <w:p w14:paraId="73FB6D1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tcBorders>
                      <w:left w:val="single" w:sz="4" w:space="0" w:color="auto"/>
                    </w:tcBorders>
                    <w:vAlign w:val="bottom"/>
                  </w:tcPr>
                  <w:p w14:paraId="0F9509C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63A441C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F7D25A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6F1A126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564166C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26113E0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-8,861,310.56</w:t>
                    </w:r>
                  </w:p>
                </w:tc>
                <w:tc>
                  <w:tcPr>
                    <w:tcW w:w="1404" w:type="dxa"/>
                    <w:vAlign w:val="bottom"/>
                  </w:tcPr>
                  <w:p w14:paraId="7E84986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-8,861,310.56</w:t>
                    </w:r>
                  </w:p>
                </w:tc>
              </w:tr>
              <w:tr w:rsidR="00D21C1F" w14:paraId="183E7FAC" w14:textId="77777777">
                <w:trPr>
                  <w:trHeight w:val="20"/>
                </w:trPr>
                <w:sdt>
                  <w:sdtPr>
                    <w:rPr>
                      <w:rFonts w:ascii="Times New Roman" w:hAnsi="Times New Roman" w:cs="Times New Roman"/>
                      <w:sz w:val="16"/>
                      <w:szCs w:val="16"/>
                    </w:rPr>
                    <w:tag w:val="_PLD_494f8b7216f946d9a09f6954da6ee226"/>
                    <w:id w:val="1002695886"/>
                    <w:lock w:val="sdtLocked"/>
                  </w:sdtPr>
                  <w:sdtEndPr/>
                  <w:sdtContent>
                    <w:tc>
                      <w:tcPr>
                        <w:tcW w:w="2394" w:type="dxa"/>
                      </w:tcPr>
                      <w:p w14:paraId="5498D335" w14:textId="77777777" w:rsidR="00D21C1F" w:rsidRDefault="00A42880">
                        <w:pPr>
                          <w:ind w:firstLineChars="200" w:firstLine="320"/>
                          <w:rPr>
                            <w:rFonts w:ascii="Times New Roman" w:hAnsi="Times New Roman" w:cs="Times New Roman"/>
                            <w:sz w:val="16"/>
                            <w:szCs w:val="16"/>
                          </w:rPr>
                        </w:pPr>
                        <w:r>
                          <w:rPr>
                            <w:rFonts w:ascii="Times New Roman" w:hAnsi="Times New Roman" w:cs="Times New Roman"/>
                            <w:sz w:val="16"/>
                            <w:szCs w:val="16"/>
                          </w:rPr>
                          <w:t>前期差错更正</w:t>
                        </w:r>
                      </w:p>
                    </w:tc>
                  </w:sdtContent>
                </w:sdt>
                <w:tc>
                  <w:tcPr>
                    <w:tcW w:w="1318" w:type="dxa"/>
                    <w:tcBorders>
                      <w:right w:val="single" w:sz="4" w:space="0" w:color="auto"/>
                    </w:tcBorders>
                    <w:vAlign w:val="bottom"/>
                  </w:tcPr>
                  <w:p w14:paraId="05EB7BC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35F7A3B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7850359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right w:val="single" w:sz="4" w:space="0" w:color="auto"/>
                    </w:tcBorders>
                    <w:vAlign w:val="bottom"/>
                  </w:tcPr>
                  <w:p w14:paraId="3825A03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tcBorders>
                      <w:left w:val="single" w:sz="4" w:space="0" w:color="auto"/>
                    </w:tcBorders>
                    <w:vAlign w:val="bottom"/>
                  </w:tcPr>
                  <w:p w14:paraId="1680A2F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5FF8CC0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66B7EA6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8A864A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2F2A68CF" w14:textId="77777777" w:rsidR="00D21C1F" w:rsidRDefault="00D21C1F">
                    <w:pPr>
                      <w:jc w:val="right"/>
                      <w:rPr>
                        <w:rFonts w:ascii="Times New Roman" w:hAnsi="Times New Roman" w:cs="Times New Roman"/>
                        <w:sz w:val="16"/>
                        <w:szCs w:val="16"/>
                      </w:rPr>
                    </w:pPr>
                  </w:p>
                </w:tc>
                <w:tc>
                  <w:tcPr>
                    <w:tcW w:w="1417" w:type="dxa"/>
                    <w:vAlign w:val="bottom"/>
                  </w:tcPr>
                  <w:p w14:paraId="090396A2" w14:textId="77777777" w:rsidR="00D21C1F" w:rsidRDefault="00D21C1F">
                    <w:pPr>
                      <w:jc w:val="right"/>
                      <w:rPr>
                        <w:rFonts w:ascii="Times New Roman" w:hAnsi="Times New Roman" w:cs="Times New Roman"/>
                        <w:sz w:val="16"/>
                        <w:szCs w:val="16"/>
                      </w:rPr>
                    </w:pPr>
                  </w:p>
                </w:tc>
                <w:tc>
                  <w:tcPr>
                    <w:tcW w:w="1404" w:type="dxa"/>
                    <w:vAlign w:val="bottom"/>
                  </w:tcPr>
                  <w:p w14:paraId="69B678A0" w14:textId="77777777" w:rsidR="00D21C1F" w:rsidRDefault="00D21C1F">
                    <w:pPr>
                      <w:jc w:val="right"/>
                      <w:rPr>
                        <w:rFonts w:ascii="Times New Roman" w:hAnsi="Times New Roman" w:cs="Times New Roman"/>
                        <w:sz w:val="16"/>
                        <w:szCs w:val="16"/>
                      </w:rPr>
                    </w:pPr>
                  </w:p>
                </w:tc>
              </w:tr>
              <w:tr w:rsidR="00D21C1F" w14:paraId="1887E5A9" w14:textId="77777777">
                <w:trPr>
                  <w:trHeight w:val="20"/>
                </w:trPr>
                <w:sdt>
                  <w:sdtPr>
                    <w:rPr>
                      <w:rFonts w:ascii="Times New Roman" w:hAnsi="Times New Roman" w:cs="Times New Roman"/>
                      <w:sz w:val="16"/>
                      <w:szCs w:val="16"/>
                    </w:rPr>
                    <w:tag w:val="_PLD_cdd9f72b38894c3eb70b005a61432c29"/>
                    <w:id w:val="95674727"/>
                    <w:lock w:val="sdtLocked"/>
                  </w:sdtPr>
                  <w:sdtEndPr/>
                  <w:sdtContent>
                    <w:tc>
                      <w:tcPr>
                        <w:tcW w:w="2394" w:type="dxa"/>
                      </w:tcPr>
                      <w:p w14:paraId="30B4B264" w14:textId="77777777" w:rsidR="00D21C1F" w:rsidRDefault="00A42880">
                        <w:pPr>
                          <w:ind w:firstLineChars="200" w:firstLine="320"/>
                          <w:rPr>
                            <w:rFonts w:ascii="Times New Roman" w:hAnsi="Times New Roman" w:cs="Times New Roman"/>
                            <w:sz w:val="16"/>
                            <w:szCs w:val="16"/>
                          </w:rPr>
                        </w:pPr>
                        <w:r>
                          <w:rPr>
                            <w:rFonts w:ascii="Times New Roman" w:hAnsi="Times New Roman" w:cs="Times New Roman"/>
                            <w:sz w:val="16"/>
                            <w:szCs w:val="16"/>
                          </w:rPr>
                          <w:t>其他</w:t>
                        </w:r>
                      </w:p>
                    </w:tc>
                  </w:sdtContent>
                </w:sdt>
                <w:tc>
                  <w:tcPr>
                    <w:tcW w:w="1318" w:type="dxa"/>
                    <w:tcBorders>
                      <w:right w:val="single" w:sz="4" w:space="0" w:color="auto"/>
                    </w:tcBorders>
                    <w:vAlign w:val="bottom"/>
                  </w:tcPr>
                  <w:p w14:paraId="1F2C760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07B9B4C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7A58166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right w:val="single" w:sz="4" w:space="0" w:color="auto"/>
                    </w:tcBorders>
                    <w:vAlign w:val="bottom"/>
                  </w:tcPr>
                  <w:p w14:paraId="2060091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tcBorders>
                      <w:left w:val="single" w:sz="4" w:space="0" w:color="auto"/>
                    </w:tcBorders>
                    <w:vAlign w:val="bottom"/>
                  </w:tcPr>
                  <w:p w14:paraId="1F48AC1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41FDC85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FFA917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AAC158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06C25022" w14:textId="77777777" w:rsidR="00D21C1F" w:rsidRDefault="00D21C1F">
                    <w:pPr>
                      <w:jc w:val="right"/>
                      <w:rPr>
                        <w:rFonts w:ascii="Times New Roman" w:hAnsi="Times New Roman" w:cs="Times New Roman"/>
                        <w:sz w:val="16"/>
                        <w:szCs w:val="16"/>
                      </w:rPr>
                    </w:pPr>
                  </w:p>
                </w:tc>
                <w:tc>
                  <w:tcPr>
                    <w:tcW w:w="1417" w:type="dxa"/>
                    <w:vAlign w:val="bottom"/>
                  </w:tcPr>
                  <w:p w14:paraId="6788E065" w14:textId="77777777" w:rsidR="00D21C1F" w:rsidRDefault="00D21C1F">
                    <w:pPr>
                      <w:jc w:val="right"/>
                      <w:rPr>
                        <w:rFonts w:ascii="Times New Roman" w:hAnsi="Times New Roman" w:cs="Times New Roman"/>
                        <w:sz w:val="16"/>
                        <w:szCs w:val="16"/>
                      </w:rPr>
                    </w:pPr>
                  </w:p>
                </w:tc>
                <w:tc>
                  <w:tcPr>
                    <w:tcW w:w="1404" w:type="dxa"/>
                    <w:vAlign w:val="bottom"/>
                  </w:tcPr>
                  <w:p w14:paraId="09157DCD" w14:textId="77777777" w:rsidR="00D21C1F" w:rsidRDefault="00D21C1F">
                    <w:pPr>
                      <w:jc w:val="right"/>
                      <w:rPr>
                        <w:rFonts w:ascii="Times New Roman" w:hAnsi="Times New Roman" w:cs="Times New Roman"/>
                        <w:sz w:val="16"/>
                        <w:szCs w:val="16"/>
                      </w:rPr>
                    </w:pPr>
                  </w:p>
                </w:tc>
              </w:tr>
              <w:tr w:rsidR="00D21C1F" w14:paraId="5BD77F19" w14:textId="77777777">
                <w:trPr>
                  <w:trHeight w:val="20"/>
                </w:trPr>
                <w:sdt>
                  <w:sdtPr>
                    <w:rPr>
                      <w:rFonts w:ascii="Times New Roman" w:hAnsi="Times New Roman" w:cs="Times New Roman"/>
                      <w:sz w:val="16"/>
                      <w:szCs w:val="16"/>
                    </w:rPr>
                    <w:tag w:val="_PLD_8593e1735c664981bacefcb1a0cab245"/>
                    <w:id w:val="-1432045351"/>
                    <w:lock w:val="sdtLocked"/>
                  </w:sdtPr>
                  <w:sdtEndPr/>
                  <w:sdtContent>
                    <w:tc>
                      <w:tcPr>
                        <w:tcW w:w="2394" w:type="dxa"/>
                      </w:tcPr>
                      <w:p w14:paraId="3082431C"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二、本年期初余额</w:t>
                        </w:r>
                      </w:p>
                    </w:tc>
                  </w:sdtContent>
                </w:sdt>
                <w:tc>
                  <w:tcPr>
                    <w:tcW w:w="1318" w:type="dxa"/>
                    <w:tcBorders>
                      <w:right w:val="single" w:sz="4" w:space="0" w:color="auto"/>
                    </w:tcBorders>
                    <w:vAlign w:val="bottom"/>
                  </w:tcPr>
                  <w:p w14:paraId="1055644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391,333,162.00</w:t>
                    </w:r>
                  </w:p>
                </w:tc>
                <w:tc>
                  <w:tcPr>
                    <w:tcW w:w="810" w:type="dxa"/>
                    <w:tcBorders>
                      <w:left w:val="single" w:sz="4" w:space="0" w:color="auto"/>
                      <w:right w:val="single" w:sz="4" w:space="0" w:color="auto"/>
                    </w:tcBorders>
                    <w:vAlign w:val="bottom"/>
                  </w:tcPr>
                  <w:p w14:paraId="36F5199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73E2895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right w:val="single" w:sz="4" w:space="0" w:color="auto"/>
                    </w:tcBorders>
                    <w:vAlign w:val="bottom"/>
                  </w:tcPr>
                  <w:p w14:paraId="54BCD61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tcBorders>
                      <w:left w:val="single" w:sz="4" w:space="0" w:color="auto"/>
                    </w:tcBorders>
                    <w:vAlign w:val="bottom"/>
                  </w:tcPr>
                  <w:p w14:paraId="6B6EA67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1,437,855,437.70</w:t>
                    </w:r>
                  </w:p>
                </w:tc>
                <w:tc>
                  <w:tcPr>
                    <w:tcW w:w="662" w:type="dxa"/>
                    <w:vAlign w:val="bottom"/>
                  </w:tcPr>
                  <w:p w14:paraId="0EF6241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13D2500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656058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2D1FAB3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7,850,945.49</w:t>
                    </w:r>
                  </w:p>
                </w:tc>
                <w:tc>
                  <w:tcPr>
                    <w:tcW w:w="1417" w:type="dxa"/>
                    <w:vAlign w:val="bottom"/>
                  </w:tcPr>
                  <w:p w14:paraId="32F94C2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50,768,781.22</w:t>
                    </w:r>
                  </w:p>
                </w:tc>
                <w:tc>
                  <w:tcPr>
                    <w:tcW w:w="1404" w:type="dxa"/>
                    <w:vAlign w:val="bottom"/>
                  </w:tcPr>
                  <w:p w14:paraId="20EA695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1,887,808,326.41</w:t>
                    </w:r>
                  </w:p>
                </w:tc>
              </w:tr>
              <w:tr w:rsidR="00D21C1F" w14:paraId="52C56FBC" w14:textId="77777777">
                <w:trPr>
                  <w:trHeight w:val="20"/>
                </w:trPr>
                <w:sdt>
                  <w:sdtPr>
                    <w:rPr>
                      <w:rFonts w:ascii="Times New Roman" w:hAnsi="Times New Roman" w:cs="Times New Roman"/>
                      <w:sz w:val="16"/>
                      <w:szCs w:val="16"/>
                    </w:rPr>
                    <w:tag w:val="_PLD_9ce2d31f4fd34371930cec7fd79a4318"/>
                    <w:id w:val="-817961323"/>
                    <w:lock w:val="sdtLocked"/>
                  </w:sdtPr>
                  <w:sdtEndPr/>
                  <w:sdtContent>
                    <w:tc>
                      <w:tcPr>
                        <w:tcW w:w="2394" w:type="dxa"/>
                      </w:tcPr>
                      <w:p w14:paraId="7533DC23"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三、本期增减变动金额（减少以</w:t>
                        </w:r>
                        <w:r>
                          <w:rPr>
                            <w:rFonts w:ascii="Times New Roman" w:hAnsi="Times New Roman" w:cs="Times New Roman"/>
                            <w:sz w:val="16"/>
                            <w:szCs w:val="16"/>
                          </w:rPr>
                          <w:t>“</w:t>
                        </w:r>
                        <w:r>
                          <w:rPr>
                            <w:rFonts w:ascii="Times New Roman" w:hAnsi="Times New Roman" w:cs="Times New Roman"/>
                            <w:sz w:val="16"/>
                            <w:szCs w:val="16"/>
                          </w:rPr>
                          <w:t>－</w:t>
                        </w:r>
                        <w:r>
                          <w:rPr>
                            <w:rFonts w:ascii="Times New Roman" w:hAnsi="Times New Roman" w:cs="Times New Roman"/>
                            <w:sz w:val="16"/>
                            <w:szCs w:val="16"/>
                          </w:rPr>
                          <w:t>”</w:t>
                        </w:r>
                        <w:r>
                          <w:rPr>
                            <w:rFonts w:ascii="Times New Roman" w:hAnsi="Times New Roman" w:cs="Times New Roman"/>
                            <w:sz w:val="16"/>
                            <w:szCs w:val="16"/>
                          </w:rPr>
                          <w:t>号填列）</w:t>
                        </w:r>
                      </w:p>
                    </w:tc>
                  </w:sdtContent>
                </w:sdt>
                <w:tc>
                  <w:tcPr>
                    <w:tcW w:w="1318" w:type="dxa"/>
                    <w:tcBorders>
                      <w:right w:val="single" w:sz="4" w:space="0" w:color="auto"/>
                    </w:tcBorders>
                    <w:vAlign w:val="bottom"/>
                  </w:tcPr>
                  <w:p w14:paraId="619126C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188A322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08B2FE6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55D66F0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1E6EA04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662" w:type="dxa"/>
                    <w:vAlign w:val="bottom"/>
                  </w:tcPr>
                  <w:p w14:paraId="1506E4B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4480E0B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1F3910E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6B4AAB5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2A9BE34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-26,608,861.01</w:t>
                    </w:r>
                  </w:p>
                </w:tc>
                <w:tc>
                  <w:tcPr>
                    <w:tcW w:w="1404" w:type="dxa"/>
                    <w:vAlign w:val="bottom"/>
                  </w:tcPr>
                  <w:p w14:paraId="396AD6F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-16,499,052.72</w:t>
                    </w:r>
                  </w:p>
                </w:tc>
              </w:tr>
              <w:tr w:rsidR="00D21C1F" w14:paraId="08B7A165" w14:textId="77777777">
                <w:trPr>
                  <w:trHeight w:val="20"/>
                </w:trPr>
                <w:sdt>
                  <w:sdtPr>
                    <w:rPr>
                      <w:rFonts w:ascii="Times New Roman" w:hAnsi="Times New Roman" w:cs="Times New Roman"/>
                      <w:sz w:val="16"/>
                      <w:szCs w:val="16"/>
                    </w:rPr>
                    <w:tag w:val="_PLD_8e61c9577cd8495fb0815773685b00bb"/>
                    <w:id w:val="1076712419"/>
                    <w:lock w:val="sdtLocked"/>
                  </w:sdtPr>
                  <w:sdtEndPr/>
                  <w:sdtContent>
                    <w:tc>
                      <w:tcPr>
                        <w:tcW w:w="2394" w:type="dxa"/>
                      </w:tcPr>
                      <w:p w14:paraId="7B5C6D5D"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（一）综合收益总额</w:t>
                        </w:r>
                      </w:p>
                    </w:tc>
                  </w:sdtContent>
                </w:sdt>
                <w:tc>
                  <w:tcPr>
                    <w:tcW w:w="1318" w:type="dxa"/>
                    <w:tcBorders>
                      <w:right w:val="single" w:sz="4" w:space="0" w:color="auto"/>
                    </w:tcBorders>
                    <w:vAlign w:val="bottom"/>
                  </w:tcPr>
                  <w:p w14:paraId="23DC827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5D860ED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7AF3E80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7A194EE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37F4BF3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4358B65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D56F54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4C0C72F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14A272B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37170D2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-26,608,861.01</w:t>
                    </w:r>
                  </w:p>
                </w:tc>
                <w:tc>
                  <w:tcPr>
                    <w:tcW w:w="1404" w:type="dxa"/>
                    <w:vAlign w:val="bottom"/>
                  </w:tcPr>
                  <w:p w14:paraId="0A5F652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-26,608,861.01</w:t>
                    </w:r>
                  </w:p>
                </w:tc>
              </w:tr>
              <w:tr w:rsidR="00D21C1F" w14:paraId="67C625E6" w14:textId="77777777">
                <w:trPr>
                  <w:trHeight w:val="20"/>
                </w:trPr>
                <w:sdt>
                  <w:sdtPr>
                    <w:rPr>
                      <w:rFonts w:ascii="Times New Roman" w:hAnsi="Times New Roman" w:cs="Times New Roman"/>
                      <w:sz w:val="16"/>
                      <w:szCs w:val="16"/>
                    </w:rPr>
                    <w:tag w:val="_PLD_e11fbdac72bf4f84a5635701204e5724"/>
                    <w:id w:val="-1992401458"/>
                    <w:lock w:val="sdtLocked"/>
                  </w:sdtPr>
                  <w:sdtEndPr/>
                  <w:sdtContent>
                    <w:tc>
                      <w:tcPr>
                        <w:tcW w:w="2394" w:type="dxa"/>
                      </w:tcPr>
                      <w:p w14:paraId="07B76395"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（二）所有者投入和减少资本</w:t>
                        </w:r>
                      </w:p>
                    </w:tc>
                  </w:sdtContent>
                </w:sdt>
                <w:tc>
                  <w:tcPr>
                    <w:tcW w:w="1318" w:type="dxa"/>
                    <w:tcBorders>
                      <w:right w:val="single" w:sz="4" w:space="0" w:color="auto"/>
                    </w:tcBorders>
                    <w:vAlign w:val="bottom"/>
                  </w:tcPr>
                  <w:p w14:paraId="2173EDF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777D2EB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18750FD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5DEDBFB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04DFA43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662" w:type="dxa"/>
                    <w:vAlign w:val="bottom"/>
                  </w:tcPr>
                  <w:p w14:paraId="12AAE32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40D9834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38EC78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478AA7B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2D501D2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757A16B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r>
              <w:tr w:rsidR="00D21C1F" w14:paraId="278E0D9F" w14:textId="77777777">
                <w:trPr>
                  <w:trHeight w:val="20"/>
                </w:trPr>
                <w:sdt>
                  <w:sdtPr>
                    <w:rPr>
                      <w:rFonts w:ascii="Times New Roman" w:hAnsi="Times New Roman" w:cs="Times New Roman"/>
                      <w:sz w:val="16"/>
                      <w:szCs w:val="16"/>
                    </w:rPr>
                    <w:tag w:val="_PLD_7b195f652f0542a9b8fb6e62990feb42"/>
                    <w:id w:val="-279656650"/>
                    <w:lock w:val="sdtLocked"/>
                  </w:sdtPr>
                  <w:sdtEndPr/>
                  <w:sdtContent>
                    <w:tc>
                      <w:tcPr>
                        <w:tcW w:w="2394" w:type="dxa"/>
                      </w:tcPr>
                      <w:p w14:paraId="37A8C40B"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．所有者投入的普通股</w:t>
                        </w:r>
                      </w:p>
                    </w:tc>
                  </w:sdtContent>
                </w:sdt>
                <w:tc>
                  <w:tcPr>
                    <w:tcW w:w="1318" w:type="dxa"/>
                    <w:tcBorders>
                      <w:right w:val="single" w:sz="4" w:space="0" w:color="auto"/>
                    </w:tcBorders>
                    <w:vAlign w:val="bottom"/>
                  </w:tcPr>
                  <w:p w14:paraId="6075AB8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1D41D8C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0225D40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0044284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51C9D87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4781AE8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551068A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18C783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34EC6E6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6D546E0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5B0D47F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36C9AFA9" w14:textId="77777777">
                <w:trPr>
                  <w:trHeight w:val="20"/>
                </w:trPr>
                <w:sdt>
                  <w:sdtPr>
                    <w:rPr>
                      <w:rFonts w:ascii="Times New Roman" w:hAnsi="Times New Roman" w:cs="Times New Roman"/>
                      <w:sz w:val="16"/>
                      <w:szCs w:val="16"/>
                    </w:rPr>
                    <w:tag w:val="_PLD_4873337789fc42b5ae8485de96f3dad3"/>
                    <w:id w:val="-1048601455"/>
                    <w:lock w:val="sdtLocked"/>
                  </w:sdtPr>
                  <w:sdtEndPr/>
                  <w:sdtContent>
                    <w:tc>
                      <w:tcPr>
                        <w:tcW w:w="2394" w:type="dxa"/>
                      </w:tcPr>
                      <w:p w14:paraId="0FAD4629"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．其他权益工具持有者投入资本</w:t>
                        </w:r>
                      </w:p>
                    </w:tc>
                  </w:sdtContent>
                </w:sdt>
                <w:tc>
                  <w:tcPr>
                    <w:tcW w:w="1318" w:type="dxa"/>
                    <w:tcBorders>
                      <w:right w:val="single" w:sz="4" w:space="0" w:color="auto"/>
                    </w:tcBorders>
                    <w:vAlign w:val="bottom"/>
                  </w:tcPr>
                  <w:p w14:paraId="05694B9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3386B32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5192E4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0B60C1A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19F1DF1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6F082A6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74FA25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5138CE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4A10E3E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05036C3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6F5BFB6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634C5D5" w14:textId="77777777">
                <w:trPr>
                  <w:trHeight w:val="20"/>
                </w:trPr>
                <w:sdt>
                  <w:sdtPr>
                    <w:rPr>
                      <w:rFonts w:ascii="Times New Roman" w:hAnsi="Times New Roman" w:cs="Times New Roman"/>
                      <w:sz w:val="16"/>
                      <w:szCs w:val="16"/>
                    </w:rPr>
                    <w:tag w:val="_PLD_83c73c5580c0412189f697f05780f9af"/>
                    <w:id w:val="-1264762360"/>
                    <w:lock w:val="sdtLocked"/>
                  </w:sdtPr>
                  <w:sdtEndPr/>
                  <w:sdtContent>
                    <w:tc>
                      <w:tcPr>
                        <w:tcW w:w="2394" w:type="dxa"/>
                      </w:tcPr>
                      <w:p w14:paraId="7264B43E"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3</w:t>
                        </w:r>
                        <w:r>
                          <w:rPr>
                            <w:rFonts w:ascii="Times New Roman" w:hAnsi="Times New Roman" w:cs="Times New Roman"/>
                            <w:sz w:val="16"/>
                            <w:szCs w:val="16"/>
                          </w:rPr>
                          <w:t>．股份支付计入所有者权益的金额</w:t>
                        </w:r>
                      </w:p>
                    </w:tc>
                  </w:sdtContent>
                </w:sdt>
                <w:tc>
                  <w:tcPr>
                    <w:tcW w:w="1318" w:type="dxa"/>
                    <w:tcBorders>
                      <w:right w:val="single" w:sz="4" w:space="0" w:color="auto"/>
                    </w:tcBorders>
                    <w:vAlign w:val="bottom"/>
                  </w:tcPr>
                  <w:p w14:paraId="1C63A42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359D99A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7A1B7C1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0B739C6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6D44CC0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c>
                  <w:tcPr>
                    <w:tcW w:w="662" w:type="dxa"/>
                    <w:vAlign w:val="bottom"/>
                  </w:tcPr>
                  <w:p w14:paraId="0353040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2CD525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9DC7B0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5A684E2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6E89FD4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3EC5D2C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10,109,808.29</w:t>
                    </w:r>
                  </w:p>
                </w:tc>
              </w:tr>
              <w:tr w:rsidR="00D21C1F" w14:paraId="26F9D5A4" w14:textId="77777777">
                <w:trPr>
                  <w:trHeight w:val="20"/>
                </w:trPr>
                <w:sdt>
                  <w:sdtPr>
                    <w:rPr>
                      <w:rFonts w:ascii="Times New Roman" w:hAnsi="Times New Roman" w:cs="Times New Roman"/>
                      <w:sz w:val="16"/>
                      <w:szCs w:val="16"/>
                    </w:rPr>
                    <w:tag w:val="_PLD_b328cbc349734354ae3aacf675414174"/>
                    <w:id w:val="-1847312831"/>
                    <w:lock w:val="sdtLocked"/>
                  </w:sdtPr>
                  <w:sdtEndPr/>
                  <w:sdtContent>
                    <w:tc>
                      <w:tcPr>
                        <w:tcW w:w="2394" w:type="dxa"/>
                      </w:tcPr>
                      <w:p w14:paraId="71966188"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4</w:t>
                        </w:r>
                        <w:r>
                          <w:rPr>
                            <w:rFonts w:ascii="Times New Roman" w:hAnsi="Times New Roman" w:cs="Times New Roman"/>
                            <w:sz w:val="16"/>
                            <w:szCs w:val="16"/>
                          </w:rPr>
                          <w:t>．其他</w:t>
                        </w:r>
                      </w:p>
                    </w:tc>
                  </w:sdtContent>
                </w:sdt>
                <w:tc>
                  <w:tcPr>
                    <w:tcW w:w="1318" w:type="dxa"/>
                    <w:tcBorders>
                      <w:right w:val="single" w:sz="4" w:space="0" w:color="auto"/>
                    </w:tcBorders>
                    <w:vAlign w:val="bottom"/>
                  </w:tcPr>
                  <w:p w14:paraId="3128807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79D60C6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23A6D92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52E6AD0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7688ADE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7485226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285CA5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51B1693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1E1E407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099CEFA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64A19C6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3CD4ADF9" w14:textId="77777777">
                <w:trPr>
                  <w:trHeight w:val="20"/>
                </w:trPr>
                <w:sdt>
                  <w:sdtPr>
                    <w:rPr>
                      <w:rFonts w:ascii="Times New Roman" w:hAnsi="Times New Roman" w:cs="Times New Roman"/>
                      <w:sz w:val="16"/>
                      <w:szCs w:val="16"/>
                    </w:rPr>
                    <w:tag w:val="_PLD_9773183e97be44a1a360188937e7fe10"/>
                    <w:id w:val="-1830900415"/>
                    <w:lock w:val="sdtLocked"/>
                  </w:sdtPr>
                  <w:sdtEndPr/>
                  <w:sdtContent>
                    <w:tc>
                      <w:tcPr>
                        <w:tcW w:w="2394" w:type="dxa"/>
                      </w:tcPr>
                      <w:p w14:paraId="5985AD39"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（三）利润分配</w:t>
                        </w:r>
                      </w:p>
                    </w:tc>
                  </w:sdtContent>
                </w:sdt>
                <w:tc>
                  <w:tcPr>
                    <w:tcW w:w="1318" w:type="dxa"/>
                    <w:tcBorders>
                      <w:right w:val="single" w:sz="4" w:space="0" w:color="auto"/>
                    </w:tcBorders>
                    <w:vAlign w:val="bottom"/>
                  </w:tcPr>
                  <w:p w14:paraId="785349D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2E44605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1030120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1F2FF05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0D23AE4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2CE23CA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E3E92F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4199BB1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41AB50C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6446999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037F11A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1A6B0E97" w14:textId="77777777">
                <w:trPr>
                  <w:trHeight w:val="20"/>
                </w:trPr>
                <w:sdt>
                  <w:sdtPr>
                    <w:rPr>
                      <w:rFonts w:ascii="Times New Roman" w:hAnsi="Times New Roman" w:cs="Times New Roman"/>
                      <w:sz w:val="16"/>
                      <w:szCs w:val="16"/>
                    </w:rPr>
                    <w:tag w:val="_PLD_49d633deae854098a44173514bb3a7b3"/>
                    <w:id w:val="-75600328"/>
                    <w:lock w:val="sdtLocked"/>
                  </w:sdtPr>
                  <w:sdtEndPr/>
                  <w:sdtContent>
                    <w:tc>
                      <w:tcPr>
                        <w:tcW w:w="2394" w:type="dxa"/>
                      </w:tcPr>
                      <w:p w14:paraId="46230ACA"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．提取盈余公积</w:t>
                        </w:r>
                      </w:p>
                    </w:tc>
                  </w:sdtContent>
                </w:sdt>
                <w:tc>
                  <w:tcPr>
                    <w:tcW w:w="1318" w:type="dxa"/>
                    <w:tcBorders>
                      <w:right w:val="single" w:sz="4" w:space="0" w:color="auto"/>
                    </w:tcBorders>
                    <w:vAlign w:val="bottom"/>
                  </w:tcPr>
                  <w:p w14:paraId="4961BF5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45F69C9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20E3005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3F91B4A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53CBF50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52832A1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CF372F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28DBB0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424BF05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764F8DC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64FEB4C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57E3E1D7" w14:textId="77777777">
                <w:trPr>
                  <w:trHeight w:val="20"/>
                </w:trPr>
                <w:sdt>
                  <w:sdtPr>
                    <w:rPr>
                      <w:rFonts w:ascii="Times New Roman" w:hAnsi="Times New Roman" w:cs="Times New Roman"/>
                      <w:sz w:val="16"/>
                      <w:szCs w:val="16"/>
                    </w:rPr>
                    <w:tag w:val="_PLD_97bd41fffab4497fb1be0b345aef17bd"/>
                    <w:id w:val="-1445764009"/>
                    <w:lock w:val="sdtLocked"/>
                  </w:sdtPr>
                  <w:sdtEndPr/>
                  <w:sdtContent>
                    <w:tc>
                      <w:tcPr>
                        <w:tcW w:w="2394" w:type="dxa"/>
                      </w:tcPr>
                      <w:p w14:paraId="181B82D6"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．对所有者（或股东）的分配</w:t>
                        </w:r>
                      </w:p>
                    </w:tc>
                  </w:sdtContent>
                </w:sdt>
                <w:tc>
                  <w:tcPr>
                    <w:tcW w:w="1318" w:type="dxa"/>
                    <w:tcBorders>
                      <w:right w:val="single" w:sz="4" w:space="0" w:color="auto"/>
                    </w:tcBorders>
                    <w:vAlign w:val="bottom"/>
                  </w:tcPr>
                  <w:p w14:paraId="7277064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5B380CD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1052299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3B116AC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2639481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7E8FED0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286033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1A36E3D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46CFC79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2C28917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2B61897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235DF8B" w14:textId="77777777">
                <w:trPr>
                  <w:trHeight w:val="20"/>
                </w:trPr>
                <w:sdt>
                  <w:sdtPr>
                    <w:rPr>
                      <w:rFonts w:ascii="Times New Roman" w:hAnsi="Times New Roman" w:cs="Times New Roman"/>
                      <w:sz w:val="16"/>
                      <w:szCs w:val="16"/>
                    </w:rPr>
                    <w:tag w:val="_PLD_a5c6789730e84b389ee95f39091419a8"/>
                    <w:id w:val="-1483386068"/>
                    <w:lock w:val="sdtLocked"/>
                  </w:sdtPr>
                  <w:sdtEndPr/>
                  <w:sdtContent>
                    <w:tc>
                      <w:tcPr>
                        <w:tcW w:w="2394" w:type="dxa"/>
                      </w:tcPr>
                      <w:p w14:paraId="5C5BCABF"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3</w:t>
                        </w:r>
                        <w:r>
                          <w:rPr>
                            <w:rFonts w:ascii="Times New Roman" w:hAnsi="Times New Roman" w:cs="Times New Roman"/>
                            <w:sz w:val="16"/>
                            <w:szCs w:val="16"/>
                          </w:rPr>
                          <w:t>．其他</w:t>
                        </w:r>
                      </w:p>
                    </w:tc>
                  </w:sdtContent>
                </w:sdt>
                <w:tc>
                  <w:tcPr>
                    <w:tcW w:w="1318" w:type="dxa"/>
                    <w:tcBorders>
                      <w:right w:val="single" w:sz="4" w:space="0" w:color="auto"/>
                    </w:tcBorders>
                    <w:vAlign w:val="bottom"/>
                  </w:tcPr>
                  <w:p w14:paraId="487DF2D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22D9890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0E69CAF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0B9C839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0E71A04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381ED53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11E7019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6633D5F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6DA3563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2E2F69C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6BF8C8A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A8ADFAE" w14:textId="77777777">
                <w:trPr>
                  <w:trHeight w:val="20"/>
                </w:trPr>
                <w:sdt>
                  <w:sdtPr>
                    <w:rPr>
                      <w:rFonts w:ascii="Times New Roman" w:hAnsi="Times New Roman" w:cs="Times New Roman"/>
                      <w:sz w:val="16"/>
                      <w:szCs w:val="16"/>
                    </w:rPr>
                    <w:tag w:val="_PLD_9c529a92f12642ed93c3ac5d7c5ef52b"/>
                    <w:id w:val="148022065"/>
                    <w:lock w:val="sdtLocked"/>
                  </w:sdtPr>
                  <w:sdtEndPr/>
                  <w:sdtContent>
                    <w:tc>
                      <w:tcPr>
                        <w:tcW w:w="2394" w:type="dxa"/>
                      </w:tcPr>
                      <w:p w14:paraId="27CDB888"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（四）所有者权益内部结转</w:t>
                        </w:r>
                      </w:p>
                    </w:tc>
                  </w:sdtContent>
                </w:sdt>
                <w:tc>
                  <w:tcPr>
                    <w:tcW w:w="1318" w:type="dxa"/>
                    <w:tcBorders>
                      <w:right w:val="single" w:sz="4" w:space="0" w:color="auto"/>
                    </w:tcBorders>
                    <w:vAlign w:val="bottom"/>
                  </w:tcPr>
                  <w:p w14:paraId="1A2CF58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49D2FCE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3E3CF5B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43AC735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49D160A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0075487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E6A1C1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7C4081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7677B4C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696045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2D63038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A5BD244" w14:textId="77777777">
                <w:trPr>
                  <w:trHeight w:val="20"/>
                </w:trPr>
                <w:sdt>
                  <w:sdtPr>
                    <w:rPr>
                      <w:rFonts w:ascii="Times New Roman" w:hAnsi="Times New Roman" w:cs="Times New Roman"/>
                      <w:sz w:val="16"/>
                      <w:szCs w:val="16"/>
                    </w:rPr>
                    <w:tag w:val="_PLD_084a56709ef243f89e8f0aead886c10d"/>
                    <w:id w:val="-398586462"/>
                    <w:lock w:val="sdtLocked"/>
                  </w:sdtPr>
                  <w:sdtEndPr/>
                  <w:sdtContent>
                    <w:tc>
                      <w:tcPr>
                        <w:tcW w:w="2394" w:type="dxa"/>
                      </w:tcPr>
                      <w:p w14:paraId="4CB3F24C"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．资本公积转增资本（或股本）</w:t>
                        </w:r>
                      </w:p>
                    </w:tc>
                  </w:sdtContent>
                </w:sdt>
                <w:tc>
                  <w:tcPr>
                    <w:tcW w:w="1318" w:type="dxa"/>
                    <w:tcBorders>
                      <w:right w:val="single" w:sz="4" w:space="0" w:color="auto"/>
                    </w:tcBorders>
                    <w:vAlign w:val="bottom"/>
                  </w:tcPr>
                  <w:p w14:paraId="2E63308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2E4908C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42E379F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2BC9C16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760C943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5B9F8E2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131D253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602A826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59D9A32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0D55D58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30EE8B1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39F11409" w14:textId="77777777">
                <w:trPr>
                  <w:trHeight w:val="20"/>
                </w:trPr>
                <w:sdt>
                  <w:sdtPr>
                    <w:rPr>
                      <w:rFonts w:ascii="Times New Roman" w:hAnsi="Times New Roman" w:cs="Times New Roman"/>
                      <w:sz w:val="16"/>
                      <w:szCs w:val="16"/>
                    </w:rPr>
                    <w:tag w:val="_PLD_22df50d156334ad9a740cc6d62e17f0b"/>
                    <w:id w:val="1253622342"/>
                    <w:lock w:val="sdtLocked"/>
                  </w:sdtPr>
                  <w:sdtEndPr/>
                  <w:sdtContent>
                    <w:tc>
                      <w:tcPr>
                        <w:tcW w:w="2394" w:type="dxa"/>
                      </w:tcPr>
                      <w:p w14:paraId="3F9E68C6"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．盈余公积转增资本（或股本）</w:t>
                        </w:r>
                      </w:p>
                    </w:tc>
                  </w:sdtContent>
                </w:sdt>
                <w:tc>
                  <w:tcPr>
                    <w:tcW w:w="1318" w:type="dxa"/>
                    <w:tcBorders>
                      <w:right w:val="single" w:sz="4" w:space="0" w:color="auto"/>
                    </w:tcBorders>
                    <w:vAlign w:val="bottom"/>
                  </w:tcPr>
                  <w:p w14:paraId="3B26474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46883B7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735F110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211E66C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265ADE8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0716C36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F52CCF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68CE57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164BA44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6EEA0B7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23C7902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0DB955BE" w14:textId="77777777">
                <w:trPr>
                  <w:trHeight w:val="20"/>
                </w:trPr>
                <w:sdt>
                  <w:sdtPr>
                    <w:rPr>
                      <w:rFonts w:ascii="Times New Roman" w:hAnsi="Times New Roman" w:cs="Times New Roman"/>
                      <w:sz w:val="16"/>
                      <w:szCs w:val="16"/>
                    </w:rPr>
                    <w:tag w:val="_PLD_4846580862224d1a9e17a9af1fe14d07"/>
                    <w:id w:val="1269121365"/>
                    <w:lock w:val="sdtLocked"/>
                  </w:sdtPr>
                  <w:sdtEndPr/>
                  <w:sdtContent>
                    <w:tc>
                      <w:tcPr>
                        <w:tcW w:w="2394" w:type="dxa"/>
                      </w:tcPr>
                      <w:p w14:paraId="709A732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3</w:t>
                        </w:r>
                        <w:r>
                          <w:rPr>
                            <w:rFonts w:ascii="Times New Roman" w:hAnsi="Times New Roman" w:cs="Times New Roman"/>
                            <w:sz w:val="16"/>
                            <w:szCs w:val="16"/>
                          </w:rPr>
                          <w:t>．盈余公积弥补亏损</w:t>
                        </w:r>
                      </w:p>
                    </w:tc>
                  </w:sdtContent>
                </w:sdt>
                <w:tc>
                  <w:tcPr>
                    <w:tcW w:w="1318" w:type="dxa"/>
                    <w:tcBorders>
                      <w:right w:val="single" w:sz="4" w:space="0" w:color="auto"/>
                    </w:tcBorders>
                    <w:vAlign w:val="bottom"/>
                  </w:tcPr>
                  <w:p w14:paraId="703FE5B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5E5BD1B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0389B45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54D883C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1143A9F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6BDCC95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1025E40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18AABCE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691D151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1BBF489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14514B1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8E719C0" w14:textId="77777777">
                <w:trPr>
                  <w:trHeight w:val="20"/>
                </w:trPr>
                <w:tc>
                  <w:tcPr>
                    <w:tcW w:w="2394" w:type="dxa"/>
                  </w:tcPr>
                  <w:sdt>
                    <w:sdtPr>
                      <w:rPr>
                        <w:rFonts w:ascii="Times New Roman" w:hAnsi="Times New Roman" w:cs="Times New Roman"/>
                        <w:sz w:val="16"/>
                        <w:szCs w:val="16"/>
                      </w:rPr>
                      <w:tag w:val="_PLD_a2566358e2dc4d0b9e534ee13a2b1a26"/>
                      <w:id w:val="-1103888696"/>
                      <w:lock w:val="sdtLocked"/>
                    </w:sdtPr>
                    <w:sdtEndPr/>
                    <w:sdtContent>
                      <w:p w14:paraId="1A1B24F4"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4</w:t>
                        </w:r>
                        <w:r>
                          <w:rPr>
                            <w:rFonts w:ascii="Times New Roman" w:hAnsi="Times New Roman" w:cs="Times New Roman"/>
                            <w:sz w:val="16"/>
                            <w:szCs w:val="16"/>
                          </w:rPr>
                          <w:t>．设定受益计划变动额结转留存收益</w:t>
                        </w:r>
                      </w:p>
                    </w:sdtContent>
                  </w:sdt>
                </w:tc>
                <w:tc>
                  <w:tcPr>
                    <w:tcW w:w="1318" w:type="dxa"/>
                    <w:tcBorders>
                      <w:right w:val="single" w:sz="4" w:space="0" w:color="auto"/>
                    </w:tcBorders>
                    <w:vAlign w:val="bottom"/>
                  </w:tcPr>
                  <w:p w14:paraId="1E6570B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34A11E2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240E8E9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5D8026B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1859423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334E4A1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5D7D35D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78738A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0994ECF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3154274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0472F32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6E06647A" w14:textId="77777777">
                <w:trPr>
                  <w:trHeight w:val="20"/>
                </w:trPr>
                <w:tc>
                  <w:tcPr>
                    <w:tcW w:w="2394" w:type="dxa"/>
                  </w:tcPr>
                  <w:sdt>
                    <w:sdtPr>
                      <w:rPr>
                        <w:rFonts w:ascii="Times New Roman" w:hAnsi="Times New Roman" w:cs="Times New Roman"/>
                        <w:sz w:val="16"/>
                        <w:szCs w:val="16"/>
                      </w:rPr>
                      <w:tag w:val="_PLD_659907ea90ce4ac18323403c6e02efd1"/>
                      <w:id w:val="-1118214796"/>
                      <w:lock w:val="sdtLocked"/>
                    </w:sdtPr>
                    <w:sdtEndPr/>
                    <w:sdtContent>
                      <w:p w14:paraId="64D3BAE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5</w:t>
                        </w:r>
                        <w:r>
                          <w:rPr>
                            <w:rFonts w:ascii="Times New Roman" w:hAnsi="Times New Roman" w:cs="Times New Roman"/>
                            <w:sz w:val="16"/>
                            <w:szCs w:val="16"/>
                          </w:rPr>
                          <w:t>．其他综合收益结转留存收益</w:t>
                        </w:r>
                      </w:p>
                    </w:sdtContent>
                  </w:sdt>
                </w:tc>
                <w:tc>
                  <w:tcPr>
                    <w:tcW w:w="1318" w:type="dxa"/>
                    <w:tcBorders>
                      <w:right w:val="single" w:sz="4" w:space="0" w:color="auto"/>
                    </w:tcBorders>
                    <w:vAlign w:val="bottom"/>
                  </w:tcPr>
                  <w:p w14:paraId="29B54BA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2B24914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34E50B9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51FA29F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0528FCF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107C67F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FAD545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789266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3393425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3364E64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40E360D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532543B4" w14:textId="77777777">
                <w:trPr>
                  <w:trHeight w:val="20"/>
                </w:trPr>
                <w:tc>
                  <w:tcPr>
                    <w:tcW w:w="2394" w:type="dxa"/>
                  </w:tcPr>
                  <w:sdt>
                    <w:sdtPr>
                      <w:rPr>
                        <w:rFonts w:ascii="Times New Roman" w:hAnsi="Times New Roman" w:cs="Times New Roman"/>
                        <w:sz w:val="16"/>
                        <w:szCs w:val="16"/>
                      </w:rPr>
                      <w:tag w:val="_PLD_811577c623d04471a27af10d35119258"/>
                      <w:id w:val="2126492859"/>
                      <w:lock w:val="sdtLocked"/>
                    </w:sdtPr>
                    <w:sdtEndPr/>
                    <w:sdtContent>
                      <w:p w14:paraId="064996C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6</w:t>
                        </w:r>
                        <w:r>
                          <w:rPr>
                            <w:rFonts w:ascii="Times New Roman" w:hAnsi="Times New Roman" w:cs="Times New Roman"/>
                            <w:sz w:val="16"/>
                            <w:szCs w:val="16"/>
                          </w:rPr>
                          <w:t>．其他</w:t>
                        </w:r>
                      </w:p>
                    </w:sdtContent>
                  </w:sdt>
                </w:tc>
                <w:tc>
                  <w:tcPr>
                    <w:tcW w:w="1318" w:type="dxa"/>
                    <w:tcBorders>
                      <w:right w:val="single" w:sz="4" w:space="0" w:color="auto"/>
                    </w:tcBorders>
                    <w:vAlign w:val="bottom"/>
                  </w:tcPr>
                  <w:p w14:paraId="50293C7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5901463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20F0AE6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4C5EDB1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6E07D40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3D5CEB4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30B9DBC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65313FD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2D6B70E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0DD623A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6B23B00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4472157D" w14:textId="77777777">
                <w:trPr>
                  <w:trHeight w:val="20"/>
                </w:trPr>
                <w:sdt>
                  <w:sdtPr>
                    <w:rPr>
                      <w:rFonts w:ascii="Times New Roman" w:hAnsi="Times New Roman" w:cs="Times New Roman"/>
                      <w:sz w:val="16"/>
                      <w:szCs w:val="16"/>
                    </w:rPr>
                    <w:tag w:val="_PLD_2a0b15de13474fe285b68b48e29b688f"/>
                    <w:id w:val="-1042288434"/>
                    <w:lock w:val="sdtLocked"/>
                  </w:sdtPr>
                  <w:sdtEndPr/>
                  <w:sdtContent>
                    <w:tc>
                      <w:tcPr>
                        <w:tcW w:w="2394" w:type="dxa"/>
                        <w:vAlign w:val="center"/>
                      </w:tcPr>
                      <w:p w14:paraId="57A322BC"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（五）专项储备</w:t>
                        </w:r>
                      </w:p>
                    </w:tc>
                  </w:sdtContent>
                </w:sdt>
                <w:tc>
                  <w:tcPr>
                    <w:tcW w:w="1318" w:type="dxa"/>
                    <w:tcBorders>
                      <w:right w:val="single" w:sz="4" w:space="0" w:color="auto"/>
                    </w:tcBorders>
                    <w:vAlign w:val="bottom"/>
                  </w:tcPr>
                  <w:p w14:paraId="2878780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30A1E72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4E2CD27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289364F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39953EF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2D9E089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2BB4CF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68357C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77CA1BF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1F9ED96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2C07DB3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0C80943B" w14:textId="77777777">
                <w:trPr>
                  <w:trHeight w:val="20"/>
                </w:trPr>
                <w:sdt>
                  <w:sdtPr>
                    <w:rPr>
                      <w:rFonts w:ascii="Times New Roman" w:hAnsi="Times New Roman" w:cs="Times New Roman"/>
                      <w:sz w:val="16"/>
                      <w:szCs w:val="16"/>
                    </w:rPr>
                    <w:tag w:val="_PLD_8be2fdb078fc42cdaebf61e81ed6d67b"/>
                    <w:id w:val="-2093537980"/>
                    <w:lock w:val="sdtLocked"/>
                  </w:sdtPr>
                  <w:sdtEndPr/>
                  <w:sdtContent>
                    <w:tc>
                      <w:tcPr>
                        <w:tcW w:w="2394" w:type="dxa"/>
                        <w:vAlign w:val="center"/>
                      </w:tcPr>
                      <w:p w14:paraId="67AF38F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t>．本期提取</w:t>
                        </w:r>
                      </w:p>
                    </w:tc>
                  </w:sdtContent>
                </w:sdt>
                <w:tc>
                  <w:tcPr>
                    <w:tcW w:w="1318" w:type="dxa"/>
                    <w:tcBorders>
                      <w:right w:val="single" w:sz="4" w:space="0" w:color="auto"/>
                    </w:tcBorders>
                    <w:vAlign w:val="bottom"/>
                  </w:tcPr>
                  <w:p w14:paraId="4828824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551A493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6C76922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1BD1A23C"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544996F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263139E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49881BC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059E839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2D2B6A6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759E123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4C2D9A2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71284DB6" w14:textId="77777777">
                <w:trPr>
                  <w:trHeight w:val="20"/>
                </w:trPr>
                <w:sdt>
                  <w:sdtPr>
                    <w:rPr>
                      <w:rFonts w:ascii="Times New Roman" w:hAnsi="Times New Roman" w:cs="Times New Roman"/>
                      <w:sz w:val="16"/>
                      <w:szCs w:val="16"/>
                    </w:rPr>
                    <w:tag w:val="_PLD_12344832238e442d9f64388fa2af60f1"/>
                    <w:id w:val="-510683061"/>
                    <w:lock w:val="sdtLocked"/>
                  </w:sdtPr>
                  <w:sdtEndPr/>
                  <w:sdtContent>
                    <w:tc>
                      <w:tcPr>
                        <w:tcW w:w="2394" w:type="dxa"/>
                        <w:vAlign w:val="center"/>
                      </w:tcPr>
                      <w:p w14:paraId="3BC353C8"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2</w:t>
                        </w:r>
                        <w:r>
                          <w:rPr>
                            <w:rFonts w:ascii="Times New Roman" w:hAnsi="Times New Roman" w:cs="Times New Roman"/>
                            <w:sz w:val="16"/>
                            <w:szCs w:val="16"/>
                          </w:rPr>
                          <w:t>．本期使用</w:t>
                        </w:r>
                      </w:p>
                    </w:tc>
                  </w:sdtContent>
                </w:sdt>
                <w:tc>
                  <w:tcPr>
                    <w:tcW w:w="1318" w:type="dxa"/>
                    <w:tcBorders>
                      <w:right w:val="single" w:sz="4" w:space="0" w:color="auto"/>
                    </w:tcBorders>
                    <w:vAlign w:val="bottom"/>
                  </w:tcPr>
                  <w:p w14:paraId="4F71E9E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602769B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630F2B5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57FE28E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4C741BA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1D54D70B"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5ACA758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40B55D2"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61E81F5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21076CC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34E5DBA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0B5CC380" w14:textId="77777777">
                <w:trPr>
                  <w:trHeight w:val="20"/>
                </w:trPr>
                <w:sdt>
                  <w:sdtPr>
                    <w:rPr>
                      <w:rFonts w:ascii="Times New Roman" w:hAnsi="Times New Roman" w:cs="Times New Roman"/>
                      <w:sz w:val="16"/>
                      <w:szCs w:val="16"/>
                    </w:rPr>
                    <w:tag w:val="_PLD_adc6cb0ad3a14129b7edac5f396c8fd5"/>
                    <w:id w:val="-660920256"/>
                    <w:lock w:val="sdtLocked"/>
                  </w:sdtPr>
                  <w:sdtEndPr/>
                  <w:sdtContent>
                    <w:tc>
                      <w:tcPr>
                        <w:tcW w:w="2394" w:type="dxa"/>
                      </w:tcPr>
                      <w:p w14:paraId="323A3A3A"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（六）其他</w:t>
                        </w:r>
                      </w:p>
                    </w:tc>
                  </w:sdtContent>
                </w:sdt>
                <w:tc>
                  <w:tcPr>
                    <w:tcW w:w="1318" w:type="dxa"/>
                    <w:tcBorders>
                      <w:right w:val="single" w:sz="4" w:space="0" w:color="auto"/>
                    </w:tcBorders>
                    <w:vAlign w:val="bottom"/>
                  </w:tcPr>
                  <w:p w14:paraId="7ED8875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10" w:type="dxa"/>
                    <w:tcBorders>
                      <w:left w:val="single" w:sz="4" w:space="0" w:color="auto"/>
                      <w:right w:val="single" w:sz="4" w:space="0" w:color="auto"/>
                    </w:tcBorders>
                    <w:vAlign w:val="bottom"/>
                  </w:tcPr>
                  <w:p w14:paraId="53CC8D9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695FA474"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1534D98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2788B16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662" w:type="dxa"/>
                    <w:vAlign w:val="bottom"/>
                  </w:tcPr>
                  <w:p w14:paraId="420BB01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556E2D41"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ECAEF7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4A52057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17" w:type="dxa"/>
                    <w:vAlign w:val="bottom"/>
                  </w:tcPr>
                  <w:p w14:paraId="47A99B73"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404" w:type="dxa"/>
                    <w:vAlign w:val="bottom"/>
                  </w:tcPr>
                  <w:p w14:paraId="50BD5B1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r>
              <w:tr w:rsidR="00D21C1F" w14:paraId="209EF5A4" w14:textId="77777777">
                <w:trPr>
                  <w:trHeight w:val="20"/>
                </w:trPr>
                <w:sdt>
                  <w:sdtPr>
                    <w:rPr>
                      <w:rFonts w:ascii="Times New Roman" w:hAnsi="Times New Roman" w:cs="Times New Roman"/>
                      <w:sz w:val="16"/>
                      <w:szCs w:val="16"/>
                    </w:rPr>
                    <w:tag w:val="_PLD_0009c8b4e5ca4d7083f8b2619f6a4584"/>
                    <w:id w:val="1735583057"/>
                    <w:lock w:val="sdtLocked"/>
                  </w:sdtPr>
                  <w:sdtEndPr/>
                  <w:sdtContent>
                    <w:tc>
                      <w:tcPr>
                        <w:tcW w:w="2394" w:type="dxa"/>
                      </w:tcPr>
                      <w:p w14:paraId="00C4AAD2" w14:textId="77777777" w:rsidR="00D21C1F" w:rsidRDefault="00A42880">
                        <w:pPr>
                          <w:rPr>
                            <w:rFonts w:ascii="Times New Roman" w:hAnsi="Times New Roman" w:cs="Times New Roman"/>
                            <w:sz w:val="16"/>
                            <w:szCs w:val="16"/>
                          </w:rPr>
                        </w:pPr>
                        <w:r>
                          <w:rPr>
                            <w:rFonts w:ascii="Times New Roman" w:hAnsi="Times New Roman" w:cs="Times New Roman"/>
                            <w:sz w:val="16"/>
                            <w:szCs w:val="16"/>
                          </w:rPr>
                          <w:t>四、本期期末余额</w:t>
                        </w:r>
                      </w:p>
                    </w:tc>
                  </w:sdtContent>
                </w:sdt>
                <w:tc>
                  <w:tcPr>
                    <w:tcW w:w="1318" w:type="dxa"/>
                    <w:tcBorders>
                      <w:right w:val="single" w:sz="4" w:space="0" w:color="auto"/>
                    </w:tcBorders>
                    <w:vAlign w:val="bottom"/>
                  </w:tcPr>
                  <w:p w14:paraId="13D9D8F0"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391,333,162.00</w:t>
                    </w:r>
                  </w:p>
                </w:tc>
                <w:tc>
                  <w:tcPr>
                    <w:tcW w:w="810" w:type="dxa"/>
                    <w:tcBorders>
                      <w:left w:val="single" w:sz="4" w:space="0" w:color="auto"/>
                      <w:right w:val="single" w:sz="4" w:space="0" w:color="auto"/>
                    </w:tcBorders>
                    <w:vAlign w:val="bottom"/>
                  </w:tcPr>
                  <w:p w14:paraId="27642DD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49" w:type="dxa"/>
                    <w:tcBorders>
                      <w:left w:val="single" w:sz="4" w:space="0" w:color="auto"/>
                      <w:right w:val="single" w:sz="4" w:space="0" w:color="auto"/>
                    </w:tcBorders>
                    <w:vAlign w:val="bottom"/>
                  </w:tcPr>
                  <w:p w14:paraId="493EFDA9"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850" w:type="dxa"/>
                    <w:tcBorders>
                      <w:left w:val="single" w:sz="4" w:space="0" w:color="auto"/>
                    </w:tcBorders>
                    <w:vAlign w:val="bottom"/>
                  </w:tcPr>
                  <w:p w14:paraId="10962436"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606" w:type="dxa"/>
                    <w:vAlign w:val="bottom"/>
                  </w:tcPr>
                  <w:p w14:paraId="6AF7E54F"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1,447,965,245.99</w:t>
                    </w:r>
                  </w:p>
                </w:tc>
                <w:tc>
                  <w:tcPr>
                    <w:tcW w:w="662" w:type="dxa"/>
                    <w:vAlign w:val="bottom"/>
                  </w:tcPr>
                  <w:p w14:paraId="432502A8"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7DE3C3B7"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709" w:type="dxa"/>
                    <w:vAlign w:val="bottom"/>
                  </w:tcPr>
                  <w:p w14:paraId="25D837C5"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w:t>
                    </w:r>
                  </w:p>
                </w:tc>
                <w:tc>
                  <w:tcPr>
                    <w:tcW w:w="1276" w:type="dxa"/>
                    <w:vAlign w:val="bottom"/>
                  </w:tcPr>
                  <w:p w14:paraId="72E056CE"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7,850,945.49</w:t>
                    </w:r>
                  </w:p>
                </w:tc>
                <w:tc>
                  <w:tcPr>
                    <w:tcW w:w="1417" w:type="dxa"/>
                    <w:vAlign w:val="bottom"/>
                  </w:tcPr>
                  <w:p w14:paraId="236F1FAA"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24,159,920.21</w:t>
                    </w:r>
                  </w:p>
                </w:tc>
                <w:tc>
                  <w:tcPr>
                    <w:tcW w:w="1404" w:type="dxa"/>
                    <w:vAlign w:val="bottom"/>
                  </w:tcPr>
                  <w:p w14:paraId="791E75ED" w14:textId="77777777" w:rsidR="00D21C1F" w:rsidRDefault="00A42880">
                    <w:pPr>
                      <w:jc w:val="right"/>
                      <w:rPr>
                        <w:rFonts w:ascii="Times New Roman" w:hAnsi="Times New Roman" w:cs="Times New Roman"/>
                        <w:sz w:val="16"/>
                        <w:szCs w:val="16"/>
                      </w:rPr>
                    </w:pPr>
                    <w:r>
                      <w:rPr>
                        <w:rFonts w:ascii="Times New Roman" w:hAnsi="Times New Roman" w:cs="Times New Roman"/>
                        <w:sz w:val="16"/>
                        <w:szCs w:val="16"/>
                      </w:rPr>
                      <w:t>1,871,309,273.69</w:t>
                    </w:r>
                  </w:p>
                </w:tc>
              </w:tr>
            </w:tbl>
            <w:p w14:paraId="0D4267D4" w14:textId="77777777" w:rsidR="00D21C1F" w:rsidRDefault="00D21C1F">
              <w:pPr>
                <w:pStyle w:val="97"/>
              </w:pPr>
            </w:p>
            <w:p w14:paraId="4795DBEC" w14:textId="77777777" w:rsidR="00D21C1F" w:rsidRDefault="00A42880">
              <w:pPr>
                <w:snapToGrid w:val="0"/>
                <w:spacing w:line="240" w:lineRule="atLeast"/>
                <w:rPr>
                  <w:szCs w:val="21"/>
                </w:rPr>
              </w:pPr>
              <w:r>
                <w:rPr>
                  <w:szCs w:val="21"/>
                </w:rPr>
                <w:t>公司负责人</w:t>
              </w:r>
              <w:r>
                <w:rPr>
                  <w:rFonts w:hint="eastAsia"/>
                  <w:szCs w:val="21"/>
                </w:rPr>
                <w:t>：</w:t>
              </w:r>
              <w:sdt>
                <w:sdtPr>
                  <w:rPr>
                    <w:rFonts w:hint="eastAsia"/>
                    <w:szCs w:val="21"/>
                  </w:rPr>
                  <w:alias w:val="公司负责人"/>
                  <w:tag w:val="_GBC_6042a2c12168484781348969a4da3e4c"/>
                  <w:id w:val="-1128003027"/>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 xml:space="preserve">许礼进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21634516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 xml:space="preserve">康斌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1002165984"/>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汪洋</w:t>
                  </w:r>
                </w:sdtContent>
              </w:sdt>
            </w:p>
          </w:sdtContent>
        </w:sdt>
      </w:sdtContent>
    </w:sdt>
    <w:bookmarkEnd w:id="144"/>
    <w:p w14:paraId="5B22D781" w14:textId="77777777" w:rsidR="00D21C1F" w:rsidRDefault="00D21C1F">
      <w:pPr>
        <w:snapToGrid w:val="0"/>
        <w:spacing w:line="240" w:lineRule="atLeast"/>
        <w:rPr>
          <w:szCs w:val="21"/>
        </w:rPr>
        <w:sectPr w:rsidR="00D21C1F">
          <w:pgSz w:w="16838" w:h="11906" w:orient="landscape"/>
          <w:pgMar w:top="1797" w:right="1525" w:bottom="1276" w:left="1440" w:header="851" w:footer="992" w:gutter="0"/>
          <w:cols w:space="425"/>
          <w:docGrid w:linePitch="312"/>
        </w:sectPr>
      </w:pPr>
    </w:p>
    <w:sdt>
      <w:sdtPr>
        <w:rPr>
          <w:rFonts w:cs="Times New Roman"/>
          <w:b w:val="0"/>
          <w:bCs w:val="0"/>
          <w:szCs w:val="21"/>
        </w:rPr>
        <w:alias w:val="模块:公司基本情况"/>
        <w:tag w:val="_GBC_c49d72d4b04e4ead97addb731e9b6458"/>
        <w:id w:val="216097184"/>
        <w:lock w:val="sdtLocked"/>
        <w:placeholder>
          <w:docPart w:val="GBC22222222222222222222222222222"/>
        </w:placeholder>
      </w:sdtPr>
      <w:sdtEndPr>
        <w:rPr>
          <w:rFonts w:hint="eastAsia"/>
          <w:kern w:val="2"/>
        </w:rPr>
      </w:sdtEndPr>
      <w:sdtContent>
        <w:p w14:paraId="62B269D8" w14:textId="77777777" w:rsidR="00D21C1F" w:rsidRDefault="00A42880">
          <w:pPr>
            <w:pStyle w:val="2CharCharChar"/>
            <w:numPr>
              <w:ilvl w:val="0"/>
              <w:numId w:val="42"/>
            </w:numPr>
          </w:pPr>
          <w:r>
            <w:t>公司基本情况</w:t>
          </w:r>
        </w:p>
        <w:p w14:paraId="71937894" w14:textId="77777777" w:rsidR="00D21C1F" w:rsidRDefault="00A42880">
          <w:pPr>
            <w:pStyle w:val="94"/>
            <w:numPr>
              <w:ilvl w:val="0"/>
              <w:numId w:val="43"/>
            </w:numPr>
            <w:rPr>
              <w:rFonts w:ascii="宋体" w:hAnsi="宋体"/>
            </w:rPr>
          </w:pPr>
          <w:r>
            <w:rPr>
              <w:rFonts w:ascii="宋体" w:hAnsi="宋体" w:hint="eastAsia"/>
            </w:rPr>
            <w:t>公司概况</w:t>
          </w:r>
        </w:p>
        <w:sdt>
          <w:sdtPr>
            <w:alias w:val="是否适用：公司概况[双击切换]"/>
            <w:tag w:val="_GBC_2e5fe5b3ed964f468989da49e4242039"/>
            <w:id w:val="175233995"/>
            <w:lock w:val="sdtLocked"/>
            <w:placeholder>
              <w:docPart w:val="GBC22222222222222222222222222222"/>
            </w:placeholder>
          </w:sdtPr>
          <w:sdtEndPr/>
          <w:sdtContent>
            <w:p w14:paraId="4185C24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公司概况"/>
            <w:tag w:val="_GBC_dfec127af3a7441dade8cb0f67119e66"/>
            <w:id w:val="1437632186"/>
            <w:lock w:val="sdtLocked"/>
            <w:placeholder>
              <w:docPart w:val="GBC22222222222222222222222222222"/>
            </w:placeholder>
          </w:sdtPr>
          <w:sdtEndPr/>
          <w:sdtContent>
            <w:p w14:paraId="437BB341" w14:textId="77777777" w:rsidR="00D21C1F" w:rsidRDefault="00A42880">
              <w:pPr>
                <w:pStyle w:val="120"/>
                <w:spacing w:line="360" w:lineRule="auto"/>
                <w:ind w:firstLineChars="200" w:firstLine="420"/>
                <w:jc w:val="both"/>
              </w:pPr>
              <w:r>
                <w:rPr>
                  <w:rFonts w:hint="eastAsia"/>
                </w:rPr>
                <w:t>埃夫特智能装备股份有限公司系安徽埃夫特智能装备有限公司（以下简称埃夫特有限）整体变更设立的股份有限公司，于</w:t>
              </w:r>
              <w:r>
                <w:rPr>
                  <w:rFonts w:ascii="Times New Roman" w:hAnsi="Times New Roman" w:cs="宋体"/>
                </w:rPr>
                <w:t>2016</w:t>
              </w:r>
              <w:r>
                <w:rPr>
                  <w:rFonts w:hint="eastAsia"/>
                </w:rPr>
                <w:t>年</w:t>
              </w:r>
              <w:r>
                <w:rPr>
                  <w:rFonts w:ascii="Times New Roman" w:hAnsi="Times New Roman" w:cs="宋体"/>
                </w:rPr>
                <w:t>5</w:t>
              </w:r>
              <w:r>
                <w:rPr>
                  <w:rFonts w:hint="eastAsia"/>
                </w:rPr>
                <w:t>月</w:t>
              </w:r>
              <w:r>
                <w:rPr>
                  <w:rFonts w:ascii="Times New Roman" w:hAnsi="Times New Roman" w:cs="宋体"/>
                </w:rPr>
                <w:t>31</w:t>
              </w:r>
              <w:r>
                <w:rPr>
                  <w:rFonts w:hint="eastAsia"/>
                </w:rPr>
                <w:t>日在芜湖市工商行政管理局办理完毕工商变更登记，取得了统一社会信用代码为</w:t>
              </w:r>
              <w:r>
                <w:rPr>
                  <w:rFonts w:ascii="Times New Roman" w:hAnsi="Times New Roman" w:cs="宋体"/>
                </w:rPr>
                <w:t>91340207664238230M</w:t>
              </w:r>
              <w:r>
                <w:rPr>
                  <w:rFonts w:hint="eastAsia"/>
                </w:rPr>
                <w:t>的营业执照。</w:t>
              </w:r>
            </w:p>
            <w:p w14:paraId="7B988FB0" w14:textId="77777777" w:rsidR="00D21C1F" w:rsidRDefault="00A42880">
              <w:pPr>
                <w:pStyle w:val="120"/>
                <w:spacing w:line="360" w:lineRule="auto"/>
                <w:ind w:firstLineChars="200" w:firstLine="420"/>
                <w:jc w:val="both"/>
              </w:pPr>
              <w:r>
                <w:rPr>
                  <w:rFonts w:ascii="Times New Roman" w:hAnsi="Times New Roman" w:cs="宋体"/>
                </w:rPr>
                <w:t>2020</w:t>
              </w:r>
              <w:r>
                <w:rPr>
                  <w:rFonts w:cs="宋体"/>
                </w:rPr>
                <w:t>年</w:t>
              </w:r>
              <w:r>
                <w:rPr>
                  <w:rFonts w:ascii="Times New Roman" w:hAnsi="Times New Roman"/>
                </w:rPr>
                <w:t>6</w:t>
              </w:r>
              <w:r>
                <w:rPr>
                  <w:rFonts w:cs="宋体"/>
                </w:rPr>
                <w:t>月，本公司首次公开发行股票经中国证券监督管理委员会证监许可〔</w:t>
              </w:r>
              <w:r>
                <w:rPr>
                  <w:rFonts w:ascii="Times New Roman" w:hAnsi="Times New Roman"/>
                </w:rPr>
                <w:t>2020</w:t>
              </w:r>
              <w:r>
                <w:rPr>
                  <w:rFonts w:cs="宋体"/>
                </w:rPr>
                <w:t>〕</w:t>
              </w:r>
              <w:r>
                <w:rPr>
                  <w:rFonts w:ascii="Times New Roman" w:hAnsi="Times New Roman"/>
                </w:rPr>
                <w:t>1088</w:t>
              </w:r>
              <w:r>
                <w:rPr>
                  <w:rFonts w:cs="宋体"/>
                </w:rPr>
                <w:t>号《关于同意埃夫特首次公开发行股票注册的批复》核准；</w:t>
              </w:r>
              <w:r>
                <w:rPr>
                  <w:rFonts w:ascii="Times New Roman" w:hAnsi="Times New Roman"/>
                </w:rPr>
                <w:t>2020</w:t>
              </w:r>
              <w:r>
                <w:rPr>
                  <w:rFonts w:cs="宋体"/>
                </w:rPr>
                <w:t>年</w:t>
              </w:r>
              <w:r>
                <w:rPr>
                  <w:rFonts w:ascii="Times New Roman" w:hAnsi="Times New Roman"/>
                </w:rPr>
                <w:t>7</w:t>
              </w:r>
              <w:r>
                <w:rPr>
                  <w:rFonts w:cs="宋体"/>
                </w:rPr>
                <w:t>月，本公司向社会公开发行人民币普通股</w:t>
              </w:r>
              <w:r>
                <w:rPr>
                  <w:rFonts w:ascii="Times New Roman" w:hAnsi="Times New Roman"/>
                </w:rPr>
                <w:t>13,044.6838</w:t>
              </w:r>
              <w:r>
                <w:rPr>
                  <w:rFonts w:cs="宋体"/>
                </w:rPr>
                <w:t>万股，发行后本公司注册资本和股本增加至</w:t>
              </w:r>
              <w:r>
                <w:rPr>
                  <w:rFonts w:ascii="Times New Roman" w:hAnsi="Times New Roman"/>
                </w:rPr>
                <w:t>52,178</w:t>
              </w:r>
              <w:r>
                <w:rPr>
                  <w:rFonts w:cs="宋体"/>
                </w:rPr>
                <w:t>万元</w:t>
              </w:r>
              <w:r>
                <w:rPr>
                  <w:rFonts w:hint="eastAsia"/>
                </w:rPr>
                <w:t>。</w:t>
              </w:r>
            </w:p>
            <w:p w14:paraId="26CD534B" w14:textId="77777777" w:rsidR="00D21C1F" w:rsidRDefault="00A42880">
              <w:pPr>
                <w:pStyle w:val="120"/>
                <w:spacing w:line="360" w:lineRule="auto"/>
                <w:ind w:firstLineChars="200" w:firstLine="420"/>
                <w:jc w:val="both"/>
              </w:pPr>
              <w:r>
                <w:rPr>
                  <w:rFonts w:hint="eastAsia"/>
                </w:rPr>
                <w:t>公司主要产品：机器人整机和系统集成。</w:t>
              </w:r>
            </w:p>
            <w:p w14:paraId="2E011D91" w14:textId="77777777" w:rsidR="00D21C1F" w:rsidRDefault="00A42880">
              <w:pPr>
                <w:pStyle w:val="120"/>
                <w:spacing w:line="360" w:lineRule="auto"/>
                <w:ind w:firstLineChars="200" w:firstLine="420"/>
                <w:jc w:val="both"/>
              </w:pPr>
              <w:r>
                <w:rPr>
                  <w:rFonts w:hint="eastAsia"/>
                </w:rPr>
                <w:t>公司经营范围：工业机器人、智能机器人、智能生产线设备及配件、汽车专用设备研发、设计、制造、安装、调试、销售及售后服务，机器人领域内的技术咨询、技术服务，软件开发、销售及售后服务，机电设备(除特种设备)设计、制造、安装、调试、销售及售后服务，节能技术服务。</w:t>
              </w:r>
            </w:p>
            <w:p w14:paraId="7BD81BCA" w14:textId="77777777" w:rsidR="00D21C1F" w:rsidRDefault="00A42880">
              <w:pPr>
                <w:pStyle w:val="120"/>
                <w:spacing w:line="360" w:lineRule="auto"/>
                <w:ind w:firstLineChars="200" w:firstLine="420"/>
                <w:jc w:val="both"/>
              </w:pPr>
              <w:r>
                <w:rPr>
                  <w:rFonts w:hint="eastAsia"/>
                </w:rPr>
                <w:t>公司注册地址：安徽省芜湖市鸠江经济开发区万春东路</w:t>
              </w:r>
              <w:r>
                <w:rPr>
                  <w:rFonts w:ascii="Times New Roman" w:hAnsi="Times New Roman" w:cs="宋体"/>
                </w:rPr>
                <w:t>96</w:t>
              </w:r>
              <w:r>
                <w:rPr>
                  <w:rFonts w:hint="eastAsia"/>
                </w:rPr>
                <w:t>号。</w:t>
              </w:r>
            </w:p>
            <w:p w14:paraId="2CAF059A" w14:textId="77777777" w:rsidR="00D21C1F" w:rsidRDefault="00A42880">
              <w:pPr>
                <w:pStyle w:val="120"/>
                <w:spacing w:line="360" w:lineRule="auto"/>
                <w:ind w:firstLineChars="200" w:firstLine="420"/>
                <w:jc w:val="both"/>
              </w:pPr>
              <w:r>
                <w:rPr>
                  <w:rFonts w:hint="eastAsia"/>
                </w:rPr>
                <w:t>公司法定代表人：许礼进。</w:t>
              </w:r>
            </w:p>
            <w:p w14:paraId="5176AA1A" w14:textId="77777777" w:rsidR="00D21C1F" w:rsidRDefault="00A42880">
              <w:pPr>
                <w:pStyle w:val="120"/>
                <w:spacing w:line="360" w:lineRule="auto"/>
                <w:ind w:firstLineChars="200" w:firstLine="420"/>
                <w:jc w:val="both"/>
              </w:pPr>
              <w:r>
                <w:rPr>
                  <w:rFonts w:hint="eastAsia"/>
                </w:rPr>
                <w:t>公司统一社会信用代码：</w:t>
              </w:r>
              <w:r>
                <w:rPr>
                  <w:rFonts w:ascii="Times New Roman" w:hAnsi="Times New Roman" w:cs="宋体"/>
                </w:rPr>
                <w:t>91340207664238230M</w:t>
              </w:r>
              <w:r>
                <w:rPr>
                  <w:rFonts w:hint="eastAsia"/>
                </w:rPr>
                <w:t>。</w:t>
              </w:r>
            </w:p>
            <w:p w14:paraId="50689A62" w14:textId="77777777" w:rsidR="00D21C1F" w:rsidRDefault="00A42880">
              <w:pPr>
                <w:pStyle w:val="120"/>
                <w:spacing w:line="360" w:lineRule="auto"/>
                <w:ind w:firstLineChars="200" w:firstLine="420"/>
                <w:jc w:val="both"/>
              </w:pPr>
              <w:r>
                <w:rPr>
                  <w:rFonts w:hint="eastAsia"/>
                </w:rPr>
                <w:t>财务报告批准报出日：本财务报表业经本公司董事会于</w:t>
              </w:r>
              <w:r>
                <w:rPr>
                  <w:rFonts w:ascii="Times New Roman" w:hAnsi="Times New Roman" w:cs="宋体"/>
                </w:rPr>
                <w:t>2021</w:t>
              </w:r>
              <w:r>
                <w:rPr>
                  <w:rFonts w:hint="eastAsia"/>
                </w:rPr>
                <w:t>年</w:t>
              </w:r>
              <w:r>
                <w:rPr>
                  <w:rFonts w:ascii="Times New Roman" w:hAnsi="Times New Roman" w:cs="宋体"/>
                </w:rPr>
                <w:t>8</w:t>
              </w:r>
              <w:r>
                <w:rPr>
                  <w:rFonts w:hint="eastAsia"/>
                </w:rPr>
                <w:t>月</w:t>
              </w:r>
              <w:r>
                <w:rPr>
                  <w:rFonts w:ascii="Times New Roman" w:hAnsi="Times New Roman" w:cs="宋体"/>
                </w:rPr>
                <w:t>26</w:t>
              </w:r>
              <w:r>
                <w:rPr>
                  <w:rFonts w:hint="eastAsia"/>
                </w:rPr>
                <w:t>日决议批准报出。</w:t>
              </w:r>
            </w:p>
          </w:sdtContent>
        </w:sdt>
        <w:p w14:paraId="57F793DE" w14:textId="77777777" w:rsidR="00D21C1F" w:rsidRDefault="00D21C1F">
          <w:pPr>
            <w:rPr>
              <w:szCs w:val="21"/>
            </w:rPr>
          </w:pPr>
        </w:p>
        <w:p w14:paraId="4FF08590" w14:textId="77777777" w:rsidR="00D21C1F" w:rsidRDefault="00A42880">
          <w:pPr>
            <w:pStyle w:val="94"/>
            <w:numPr>
              <w:ilvl w:val="0"/>
              <w:numId w:val="43"/>
            </w:numPr>
            <w:rPr>
              <w:rFonts w:ascii="宋体" w:hAnsi="宋体"/>
              <w:szCs w:val="21"/>
            </w:rPr>
          </w:pPr>
          <w:r>
            <w:rPr>
              <w:rFonts w:ascii="宋体" w:hAnsi="宋体" w:hint="eastAsia"/>
              <w:szCs w:val="21"/>
            </w:rPr>
            <w:t>合并财务</w:t>
          </w:r>
          <w:r>
            <w:rPr>
              <w:rFonts w:ascii="宋体" w:hAnsi="宋体" w:hint="eastAsia"/>
            </w:rPr>
            <w:t>报表</w:t>
          </w:r>
          <w:r>
            <w:rPr>
              <w:rFonts w:ascii="宋体" w:hAnsi="宋体" w:hint="eastAsia"/>
              <w:szCs w:val="21"/>
            </w:rPr>
            <w:t>范围</w:t>
          </w:r>
        </w:p>
        <w:sdt>
          <w:sdtPr>
            <w:alias w:val="是否适用：合并财务报表范围[双击切换]"/>
            <w:tag w:val="_GBC_ea2f3ec3b347465c8c563d4599124150"/>
            <w:id w:val="-426973287"/>
            <w:lock w:val="sdtLocked"/>
            <w:placeholder>
              <w:docPart w:val="GBC22222222222222222222222222222"/>
            </w:placeholder>
          </w:sdtPr>
          <w:sdtEndPr/>
          <w:sdtContent>
            <w:p w14:paraId="5940BDF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theme="minorBidi"/>
              <w:kern w:val="0"/>
            </w:rPr>
            <w:alias w:val="本年度合并财务报表范围"/>
            <w:tag w:val="_GBC_696c121eead146fba6371fa5b371b2fc"/>
            <w:id w:val="864950613"/>
            <w:lock w:val="sdtLocked"/>
            <w:placeholder>
              <w:docPart w:val="GBC22222222222222222222222222222"/>
            </w:placeholder>
          </w:sdtPr>
          <w:sdtEndPr/>
          <w:sdtContent>
            <w:p w14:paraId="23C40EE9" w14:textId="77777777" w:rsidR="00D21C1F" w:rsidRDefault="00A42880">
              <w:pPr>
                <w:pStyle w:val="110"/>
                <w:spacing w:beforeLines="50" w:before="120" w:line="360" w:lineRule="auto"/>
              </w:pPr>
              <w:r>
                <w:t>(1)</w:t>
              </w:r>
              <w:r>
                <w:rPr>
                  <w:rFonts w:ascii="宋体" w:hAnsi="宋体"/>
                </w:rPr>
                <w:t>本报告期末纳入合并范围的子公司</w:t>
              </w:r>
            </w:p>
            <w:tbl>
              <w:tblPr>
                <w:tblStyle w:val="g5"/>
                <w:tblW w:w="8833" w:type="dxa"/>
                <w:tblInd w:w="0" w:type="dxa"/>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627"/>
                <w:gridCol w:w="4650"/>
                <w:gridCol w:w="1507"/>
                <w:gridCol w:w="1056"/>
                <w:gridCol w:w="993"/>
              </w:tblGrid>
              <w:tr w:rsidR="00D21C1F" w14:paraId="306C6096" w14:textId="77777777">
                <w:trPr>
                  <w:trHeight w:val="397"/>
                </w:trPr>
                <w:tc>
                  <w:tcPr>
                    <w:tcW w:w="627" w:type="dxa"/>
                    <w:vMerge w:val="restart"/>
                    <w:tcBorders>
                      <w:top w:val="single" w:sz="8" w:space="0" w:color="auto"/>
                      <w:left w:val="nil"/>
                      <w:bottom w:val="single" w:sz="2" w:space="0" w:color="auto"/>
                      <w:right w:val="single" w:sz="2" w:space="0" w:color="auto"/>
                    </w:tcBorders>
                    <w:vAlign w:val="center"/>
                  </w:tcPr>
                  <w:p w14:paraId="337CCF3F" w14:textId="77777777" w:rsidR="00D21C1F" w:rsidRDefault="00A42880">
                    <w:pPr>
                      <w:pStyle w:val="100"/>
                      <w:jc w:val="center"/>
                      <w:rPr>
                        <w:rFonts w:asciiTheme="majorEastAsia" w:eastAsiaTheme="majorEastAsia" w:hAnsiTheme="majorEastAsia"/>
                      </w:rPr>
                    </w:pPr>
                    <w:bookmarkStart w:id="145" w:name="_Hlk69333524"/>
                    <w:bookmarkStart w:id="146" w:name="_Hlk79758012"/>
                    <w:r>
                      <w:rPr>
                        <w:rFonts w:asciiTheme="majorEastAsia" w:eastAsiaTheme="majorEastAsia" w:hAnsiTheme="majorEastAsia" w:hint="eastAsia"/>
                      </w:rPr>
                      <w:t>序号</w:t>
                    </w:r>
                    <w:bookmarkEnd w:id="145"/>
                  </w:p>
                </w:tc>
                <w:tc>
                  <w:tcPr>
                    <w:tcW w:w="4650" w:type="dxa"/>
                    <w:vMerge w:val="restart"/>
                    <w:tcBorders>
                      <w:top w:val="single" w:sz="8" w:space="0" w:color="auto"/>
                      <w:left w:val="single" w:sz="2" w:space="0" w:color="auto"/>
                      <w:bottom w:val="single" w:sz="2" w:space="0" w:color="auto"/>
                      <w:right w:val="single" w:sz="2" w:space="0" w:color="auto"/>
                    </w:tcBorders>
                    <w:vAlign w:val="center"/>
                  </w:tcPr>
                  <w:p w14:paraId="56276C1E" w14:textId="77777777" w:rsidR="00D21C1F" w:rsidRDefault="00A42880">
                    <w:pPr>
                      <w:pStyle w:val="100"/>
                      <w:jc w:val="center"/>
                      <w:rPr>
                        <w:rFonts w:ascii="Times New Roman" w:eastAsiaTheme="majorEastAsia" w:hAnsi="Times New Roman"/>
                      </w:rPr>
                    </w:pPr>
                    <w:r>
                      <w:rPr>
                        <w:rFonts w:ascii="Times New Roman" w:eastAsiaTheme="majorEastAsia" w:hAnsi="Times New Roman"/>
                        <w:kern w:val="0"/>
                      </w:rPr>
                      <w:t>子公司全称</w:t>
                    </w:r>
                  </w:p>
                </w:tc>
                <w:tc>
                  <w:tcPr>
                    <w:tcW w:w="1507" w:type="dxa"/>
                    <w:vMerge w:val="restart"/>
                    <w:tcBorders>
                      <w:top w:val="single" w:sz="8" w:space="0" w:color="auto"/>
                      <w:left w:val="single" w:sz="2" w:space="0" w:color="auto"/>
                      <w:bottom w:val="single" w:sz="2" w:space="0" w:color="auto"/>
                      <w:right w:val="single" w:sz="2" w:space="0" w:color="auto"/>
                    </w:tcBorders>
                    <w:vAlign w:val="center"/>
                  </w:tcPr>
                  <w:p w14:paraId="416B98A2" w14:textId="77777777" w:rsidR="00D21C1F" w:rsidRDefault="00A42880">
                    <w:pPr>
                      <w:pStyle w:val="100"/>
                      <w:jc w:val="center"/>
                      <w:rPr>
                        <w:rFonts w:ascii="Times New Roman" w:eastAsiaTheme="majorEastAsia" w:hAnsi="Times New Roman"/>
                      </w:rPr>
                    </w:pPr>
                    <w:r>
                      <w:rPr>
                        <w:rFonts w:ascii="Times New Roman" w:eastAsiaTheme="majorEastAsia" w:hAnsi="Times New Roman"/>
                        <w:kern w:val="0"/>
                      </w:rPr>
                      <w:t>子公司简称</w:t>
                    </w:r>
                  </w:p>
                </w:tc>
                <w:tc>
                  <w:tcPr>
                    <w:tcW w:w="2049" w:type="dxa"/>
                    <w:gridSpan w:val="2"/>
                    <w:tcBorders>
                      <w:top w:val="single" w:sz="8" w:space="0" w:color="auto"/>
                      <w:left w:val="single" w:sz="2" w:space="0" w:color="auto"/>
                      <w:bottom w:val="single" w:sz="2" w:space="0" w:color="auto"/>
                      <w:right w:val="nil"/>
                    </w:tcBorders>
                    <w:vAlign w:val="center"/>
                  </w:tcPr>
                  <w:p w14:paraId="57CB619B" w14:textId="77777777" w:rsidR="00D21C1F" w:rsidRDefault="00A42880">
                    <w:pPr>
                      <w:pStyle w:val="100"/>
                      <w:jc w:val="center"/>
                      <w:rPr>
                        <w:rFonts w:ascii="Times New Roman" w:eastAsiaTheme="majorEastAsia" w:hAnsi="Times New Roman"/>
                      </w:rPr>
                    </w:pPr>
                    <w:r>
                      <w:rPr>
                        <w:rFonts w:ascii="Times New Roman" w:eastAsiaTheme="majorEastAsia" w:hAnsi="Times New Roman"/>
                        <w:kern w:val="0"/>
                      </w:rPr>
                      <w:t>持股比例</w:t>
                    </w:r>
                    <w:r>
                      <w:rPr>
                        <w:rFonts w:ascii="Times New Roman" w:eastAsiaTheme="majorEastAsia" w:hAnsi="Times New Roman"/>
                        <w:kern w:val="0"/>
                      </w:rPr>
                      <w:t>%</w:t>
                    </w:r>
                  </w:p>
                </w:tc>
              </w:tr>
              <w:tr w:rsidR="00D21C1F" w14:paraId="63C674C6" w14:textId="77777777">
                <w:trPr>
                  <w:trHeight w:val="397"/>
                </w:trPr>
                <w:tc>
                  <w:tcPr>
                    <w:tcW w:w="627" w:type="dxa"/>
                    <w:vMerge/>
                    <w:tcBorders>
                      <w:top w:val="single" w:sz="8" w:space="0" w:color="auto"/>
                      <w:left w:val="nil"/>
                      <w:bottom w:val="single" w:sz="2" w:space="0" w:color="auto"/>
                      <w:right w:val="single" w:sz="2" w:space="0" w:color="auto"/>
                    </w:tcBorders>
                    <w:vAlign w:val="center"/>
                  </w:tcPr>
                  <w:p w14:paraId="48C215D6" w14:textId="77777777" w:rsidR="00D21C1F" w:rsidRDefault="00D21C1F">
                    <w:pPr>
                      <w:rPr>
                        <w:rFonts w:asciiTheme="majorEastAsia" w:eastAsiaTheme="majorEastAsia" w:hAnsiTheme="majorEastAsia" w:cs="Times New Roman"/>
                        <w:kern w:val="2"/>
                        <w:szCs w:val="21"/>
                      </w:rPr>
                    </w:pPr>
                  </w:p>
                </w:tc>
                <w:tc>
                  <w:tcPr>
                    <w:tcW w:w="4650" w:type="dxa"/>
                    <w:vMerge/>
                    <w:tcBorders>
                      <w:top w:val="single" w:sz="8" w:space="0" w:color="auto"/>
                      <w:left w:val="single" w:sz="2" w:space="0" w:color="auto"/>
                      <w:bottom w:val="single" w:sz="2" w:space="0" w:color="auto"/>
                      <w:right w:val="single" w:sz="2" w:space="0" w:color="auto"/>
                    </w:tcBorders>
                    <w:vAlign w:val="center"/>
                  </w:tcPr>
                  <w:p w14:paraId="58CC872F" w14:textId="77777777" w:rsidR="00D21C1F" w:rsidRDefault="00D21C1F">
                    <w:pPr>
                      <w:rPr>
                        <w:rFonts w:ascii="Times New Roman" w:eastAsiaTheme="majorEastAsia" w:hAnsi="Times New Roman" w:cs="Times New Roman"/>
                        <w:kern w:val="2"/>
                        <w:szCs w:val="21"/>
                      </w:rPr>
                    </w:pPr>
                  </w:p>
                </w:tc>
                <w:tc>
                  <w:tcPr>
                    <w:tcW w:w="1507" w:type="dxa"/>
                    <w:vMerge/>
                    <w:tcBorders>
                      <w:top w:val="single" w:sz="8" w:space="0" w:color="auto"/>
                      <w:left w:val="single" w:sz="2" w:space="0" w:color="auto"/>
                      <w:bottom w:val="single" w:sz="2" w:space="0" w:color="auto"/>
                      <w:right w:val="single" w:sz="2" w:space="0" w:color="auto"/>
                    </w:tcBorders>
                    <w:vAlign w:val="center"/>
                  </w:tcPr>
                  <w:p w14:paraId="396B0B1D" w14:textId="77777777" w:rsidR="00D21C1F" w:rsidRDefault="00D21C1F">
                    <w:pPr>
                      <w:rPr>
                        <w:rFonts w:ascii="Times New Roman" w:eastAsiaTheme="majorEastAsia" w:hAnsi="Times New Roman" w:cs="Times New Roman"/>
                        <w:kern w:val="2"/>
                        <w:szCs w:val="21"/>
                      </w:rPr>
                    </w:pPr>
                  </w:p>
                </w:tc>
                <w:tc>
                  <w:tcPr>
                    <w:tcW w:w="1056" w:type="dxa"/>
                    <w:tcBorders>
                      <w:top w:val="single" w:sz="2" w:space="0" w:color="auto"/>
                      <w:left w:val="single" w:sz="2" w:space="0" w:color="auto"/>
                      <w:bottom w:val="single" w:sz="2" w:space="0" w:color="auto"/>
                      <w:right w:val="single" w:sz="2" w:space="0" w:color="auto"/>
                    </w:tcBorders>
                    <w:vAlign w:val="center"/>
                  </w:tcPr>
                  <w:p w14:paraId="5A9626BC" w14:textId="77777777" w:rsidR="00D21C1F" w:rsidRDefault="00A42880">
                    <w:pPr>
                      <w:pStyle w:val="100"/>
                      <w:jc w:val="center"/>
                      <w:rPr>
                        <w:rFonts w:ascii="Times New Roman" w:eastAsiaTheme="majorEastAsia" w:hAnsi="Times New Roman"/>
                      </w:rPr>
                    </w:pPr>
                    <w:r>
                      <w:rPr>
                        <w:rFonts w:ascii="Times New Roman" w:eastAsiaTheme="majorEastAsia" w:hAnsi="Times New Roman"/>
                      </w:rPr>
                      <w:t>直接</w:t>
                    </w:r>
                  </w:p>
                </w:tc>
                <w:tc>
                  <w:tcPr>
                    <w:tcW w:w="993" w:type="dxa"/>
                    <w:tcBorders>
                      <w:top w:val="single" w:sz="2" w:space="0" w:color="auto"/>
                      <w:left w:val="single" w:sz="2" w:space="0" w:color="auto"/>
                      <w:bottom w:val="single" w:sz="2" w:space="0" w:color="auto"/>
                      <w:right w:val="nil"/>
                    </w:tcBorders>
                    <w:vAlign w:val="center"/>
                  </w:tcPr>
                  <w:p w14:paraId="4D58D3E9" w14:textId="77777777" w:rsidR="00D21C1F" w:rsidRDefault="00A42880">
                    <w:pPr>
                      <w:pStyle w:val="100"/>
                      <w:jc w:val="center"/>
                      <w:rPr>
                        <w:rFonts w:ascii="Times New Roman" w:eastAsiaTheme="majorEastAsia" w:hAnsi="Times New Roman"/>
                      </w:rPr>
                    </w:pPr>
                    <w:r>
                      <w:rPr>
                        <w:rFonts w:ascii="Times New Roman" w:eastAsiaTheme="majorEastAsia" w:hAnsi="Times New Roman"/>
                      </w:rPr>
                      <w:t>间接</w:t>
                    </w:r>
                  </w:p>
                </w:tc>
              </w:tr>
              <w:tr w:rsidR="00D21C1F" w14:paraId="67015AA8" w14:textId="77777777">
                <w:trPr>
                  <w:trHeight w:val="401"/>
                </w:trPr>
                <w:tc>
                  <w:tcPr>
                    <w:tcW w:w="627" w:type="dxa"/>
                    <w:tcBorders>
                      <w:top w:val="single" w:sz="2" w:space="0" w:color="auto"/>
                      <w:left w:val="nil"/>
                      <w:bottom w:val="single" w:sz="2" w:space="0" w:color="auto"/>
                      <w:right w:val="single" w:sz="2" w:space="0" w:color="auto"/>
                    </w:tcBorders>
                    <w:vAlign w:val="center"/>
                  </w:tcPr>
                  <w:p w14:paraId="4F7AB5AF"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w:t>
                    </w:r>
                  </w:p>
                </w:tc>
                <w:tc>
                  <w:tcPr>
                    <w:tcW w:w="4650" w:type="dxa"/>
                    <w:tcBorders>
                      <w:top w:val="single" w:sz="2" w:space="0" w:color="auto"/>
                      <w:left w:val="single" w:sz="2" w:space="0" w:color="auto"/>
                      <w:bottom w:val="single" w:sz="2" w:space="0" w:color="auto"/>
                      <w:right w:val="single" w:sz="2" w:space="0" w:color="auto"/>
                    </w:tcBorders>
                    <w:vAlign w:val="center"/>
                  </w:tcPr>
                  <w:p w14:paraId="3198C7AD" w14:textId="77777777" w:rsidR="00D21C1F" w:rsidRDefault="00A42880">
                    <w:pPr>
                      <w:pStyle w:val="100"/>
                      <w:rPr>
                        <w:rFonts w:ascii="Times New Roman" w:eastAsiaTheme="majorEastAsia" w:hAnsi="Times New Roman"/>
                      </w:rPr>
                    </w:pPr>
                    <w:r>
                      <w:rPr>
                        <w:rFonts w:ascii="Times New Roman" w:eastAsiaTheme="majorEastAsia" w:hAnsi="Times New Roman"/>
                      </w:rPr>
                      <w:t>希美埃（芜湖）机器人技术有限公司</w:t>
                    </w:r>
                  </w:p>
                </w:tc>
                <w:tc>
                  <w:tcPr>
                    <w:tcW w:w="1507" w:type="dxa"/>
                    <w:tcBorders>
                      <w:top w:val="single" w:sz="2" w:space="0" w:color="auto"/>
                      <w:left w:val="single" w:sz="2" w:space="0" w:color="auto"/>
                      <w:bottom w:val="single" w:sz="2" w:space="0" w:color="auto"/>
                      <w:right w:val="single" w:sz="2" w:space="0" w:color="auto"/>
                    </w:tcBorders>
                    <w:vAlign w:val="center"/>
                  </w:tcPr>
                  <w:p w14:paraId="4D310E2A" w14:textId="77777777" w:rsidR="00D21C1F" w:rsidRDefault="00A42880">
                    <w:pPr>
                      <w:pStyle w:val="100"/>
                      <w:rPr>
                        <w:rFonts w:ascii="Times New Roman" w:eastAsiaTheme="majorEastAsia" w:hAnsi="Times New Roman"/>
                      </w:rPr>
                    </w:pPr>
                    <w:r>
                      <w:rPr>
                        <w:rFonts w:ascii="Times New Roman" w:eastAsiaTheme="majorEastAsia" w:hAnsi="Times New Roman"/>
                      </w:rPr>
                      <w:t>芜湖希美埃</w:t>
                    </w:r>
                  </w:p>
                </w:tc>
                <w:tc>
                  <w:tcPr>
                    <w:tcW w:w="1056" w:type="dxa"/>
                    <w:tcBorders>
                      <w:top w:val="single" w:sz="2" w:space="0" w:color="auto"/>
                      <w:left w:val="single" w:sz="2" w:space="0" w:color="auto"/>
                      <w:bottom w:val="single" w:sz="2" w:space="0" w:color="auto"/>
                      <w:right w:val="single" w:sz="2" w:space="0" w:color="auto"/>
                    </w:tcBorders>
                    <w:vAlign w:val="center"/>
                  </w:tcPr>
                  <w:p w14:paraId="6DF944AF"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81.00</w:t>
                    </w:r>
                  </w:p>
                </w:tc>
                <w:tc>
                  <w:tcPr>
                    <w:tcW w:w="993" w:type="dxa"/>
                    <w:tcBorders>
                      <w:top w:val="single" w:sz="2" w:space="0" w:color="auto"/>
                      <w:left w:val="single" w:sz="2" w:space="0" w:color="auto"/>
                      <w:bottom w:val="single" w:sz="2" w:space="0" w:color="auto"/>
                      <w:right w:val="nil"/>
                    </w:tcBorders>
                    <w:vAlign w:val="center"/>
                  </w:tcPr>
                  <w:p w14:paraId="0ECCEF34"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r>
              <w:tr w:rsidR="00D21C1F" w14:paraId="18F64D74" w14:textId="77777777">
                <w:trPr>
                  <w:trHeight w:val="374"/>
                </w:trPr>
                <w:tc>
                  <w:tcPr>
                    <w:tcW w:w="627" w:type="dxa"/>
                    <w:tcBorders>
                      <w:top w:val="single" w:sz="2" w:space="0" w:color="auto"/>
                      <w:left w:val="nil"/>
                      <w:bottom w:val="single" w:sz="2" w:space="0" w:color="auto"/>
                      <w:right w:val="single" w:sz="2" w:space="0" w:color="auto"/>
                    </w:tcBorders>
                    <w:vAlign w:val="center"/>
                  </w:tcPr>
                  <w:p w14:paraId="39FFC4C9"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2</w:t>
                    </w:r>
                  </w:p>
                </w:tc>
                <w:tc>
                  <w:tcPr>
                    <w:tcW w:w="4650" w:type="dxa"/>
                    <w:tcBorders>
                      <w:top w:val="single" w:sz="2" w:space="0" w:color="auto"/>
                      <w:left w:val="single" w:sz="2" w:space="0" w:color="auto"/>
                      <w:bottom w:val="single" w:sz="2" w:space="0" w:color="auto"/>
                      <w:right w:val="single" w:sz="2" w:space="0" w:color="auto"/>
                    </w:tcBorders>
                    <w:vAlign w:val="center"/>
                  </w:tcPr>
                  <w:p w14:paraId="242D201F" w14:textId="77777777" w:rsidR="00D21C1F" w:rsidRDefault="00A42880">
                    <w:pPr>
                      <w:pStyle w:val="100"/>
                      <w:rPr>
                        <w:rFonts w:ascii="Times New Roman" w:eastAsiaTheme="majorEastAsia" w:hAnsi="Times New Roman"/>
                      </w:rPr>
                    </w:pPr>
                    <w:r>
                      <w:rPr>
                        <w:rFonts w:ascii="Times New Roman" w:eastAsiaTheme="majorEastAsia" w:hAnsi="Times New Roman"/>
                      </w:rPr>
                      <w:t>埃华路（芜湖）机器人工程有限公司</w:t>
                    </w:r>
                  </w:p>
                </w:tc>
                <w:tc>
                  <w:tcPr>
                    <w:tcW w:w="1507" w:type="dxa"/>
                    <w:tcBorders>
                      <w:top w:val="single" w:sz="2" w:space="0" w:color="auto"/>
                      <w:left w:val="single" w:sz="2" w:space="0" w:color="auto"/>
                      <w:bottom w:val="single" w:sz="2" w:space="0" w:color="auto"/>
                      <w:right w:val="single" w:sz="2" w:space="0" w:color="auto"/>
                    </w:tcBorders>
                    <w:vAlign w:val="center"/>
                  </w:tcPr>
                  <w:p w14:paraId="72361B94" w14:textId="77777777" w:rsidR="00D21C1F" w:rsidRDefault="00A42880">
                    <w:pPr>
                      <w:pStyle w:val="100"/>
                      <w:rPr>
                        <w:rFonts w:ascii="Times New Roman" w:eastAsiaTheme="majorEastAsia" w:hAnsi="Times New Roman"/>
                      </w:rPr>
                    </w:pPr>
                    <w:r>
                      <w:rPr>
                        <w:rFonts w:ascii="Times New Roman" w:eastAsiaTheme="majorEastAsia" w:hAnsi="Times New Roman"/>
                      </w:rPr>
                      <w:t>芜湖埃华路</w:t>
                    </w:r>
                  </w:p>
                </w:tc>
                <w:tc>
                  <w:tcPr>
                    <w:tcW w:w="1056" w:type="dxa"/>
                    <w:tcBorders>
                      <w:top w:val="single" w:sz="2" w:space="0" w:color="auto"/>
                      <w:left w:val="single" w:sz="2" w:space="0" w:color="auto"/>
                      <w:bottom w:val="single" w:sz="2" w:space="0" w:color="auto"/>
                      <w:right w:val="single" w:sz="2" w:space="0" w:color="auto"/>
                    </w:tcBorders>
                    <w:vAlign w:val="center"/>
                  </w:tcPr>
                  <w:p w14:paraId="20CCE033"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86.875</w:t>
                    </w:r>
                  </w:p>
                </w:tc>
                <w:tc>
                  <w:tcPr>
                    <w:tcW w:w="993" w:type="dxa"/>
                    <w:tcBorders>
                      <w:top w:val="single" w:sz="2" w:space="0" w:color="auto"/>
                      <w:left w:val="single" w:sz="2" w:space="0" w:color="auto"/>
                      <w:bottom w:val="single" w:sz="2" w:space="0" w:color="auto"/>
                      <w:right w:val="nil"/>
                    </w:tcBorders>
                    <w:vAlign w:val="center"/>
                  </w:tcPr>
                  <w:p w14:paraId="6EC1B980"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13.125</w:t>
                    </w:r>
                  </w:p>
                </w:tc>
              </w:tr>
              <w:tr w:rsidR="00D21C1F" w14:paraId="4F229CC3" w14:textId="77777777">
                <w:trPr>
                  <w:trHeight w:val="397"/>
                </w:trPr>
                <w:tc>
                  <w:tcPr>
                    <w:tcW w:w="627" w:type="dxa"/>
                    <w:tcBorders>
                      <w:top w:val="single" w:sz="2" w:space="0" w:color="auto"/>
                      <w:left w:val="nil"/>
                      <w:bottom w:val="single" w:sz="2" w:space="0" w:color="auto"/>
                      <w:right w:val="single" w:sz="2" w:space="0" w:color="auto"/>
                    </w:tcBorders>
                    <w:vAlign w:val="center"/>
                  </w:tcPr>
                  <w:p w14:paraId="3C06089F"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3</w:t>
                    </w:r>
                  </w:p>
                </w:tc>
                <w:tc>
                  <w:tcPr>
                    <w:tcW w:w="4650" w:type="dxa"/>
                    <w:tcBorders>
                      <w:top w:val="single" w:sz="2" w:space="0" w:color="auto"/>
                      <w:left w:val="single" w:sz="2" w:space="0" w:color="auto"/>
                      <w:bottom w:val="single" w:sz="2" w:space="0" w:color="auto"/>
                      <w:right w:val="single" w:sz="2" w:space="0" w:color="auto"/>
                    </w:tcBorders>
                    <w:vAlign w:val="center"/>
                  </w:tcPr>
                  <w:p w14:paraId="4E859F6A" w14:textId="77777777" w:rsidR="00D21C1F" w:rsidRDefault="00A42880">
                    <w:pPr>
                      <w:pStyle w:val="100"/>
                      <w:rPr>
                        <w:rFonts w:ascii="Times New Roman" w:eastAsiaTheme="majorEastAsia" w:hAnsi="Times New Roman"/>
                      </w:rPr>
                    </w:pPr>
                    <w:r>
                      <w:rPr>
                        <w:rFonts w:ascii="Times New Roman" w:eastAsiaTheme="majorEastAsia" w:hAnsi="Times New Roman"/>
                      </w:rPr>
                      <w:t>广东埃华路机器人工程有限公司</w:t>
                    </w:r>
                  </w:p>
                </w:tc>
                <w:tc>
                  <w:tcPr>
                    <w:tcW w:w="1507" w:type="dxa"/>
                    <w:tcBorders>
                      <w:top w:val="single" w:sz="2" w:space="0" w:color="auto"/>
                      <w:left w:val="single" w:sz="2" w:space="0" w:color="auto"/>
                      <w:bottom w:val="single" w:sz="2" w:space="0" w:color="auto"/>
                      <w:right w:val="single" w:sz="2" w:space="0" w:color="auto"/>
                    </w:tcBorders>
                    <w:vAlign w:val="center"/>
                  </w:tcPr>
                  <w:p w14:paraId="774195AC" w14:textId="77777777" w:rsidR="00D21C1F" w:rsidRDefault="00A42880">
                    <w:pPr>
                      <w:pStyle w:val="100"/>
                      <w:rPr>
                        <w:rFonts w:ascii="Times New Roman" w:eastAsiaTheme="majorEastAsia" w:hAnsi="Times New Roman"/>
                      </w:rPr>
                    </w:pPr>
                    <w:r>
                      <w:rPr>
                        <w:rFonts w:ascii="Times New Roman" w:eastAsiaTheme="majorEastAsia" w:hAnsi="Times New Roman"/>
                      </w:rPr>
                      <w:t>广东埃华路</w:t>
                    </w:r>
                  </w:p>
                </w:tc>
                <w:tc>
                  <w:tcPr>
                    <w:tcW w:w="1056" w:type="dxa"/>
                    <w:tcBorders>
                      <w:top w:val="single" w:sz="2" w:space="0" w:color="auto"/>
                      <w:left w:val="single" w:sz="2" w:space="0" w:color="auto"/>
                      <w:bottom w:val="single" w:sz="2" w:space="0" w:color="auto"/>
                      <w:right w:val="single" w:sz="2" w:space="0" w:color="auto"/>
                    </w:tcBorders>
                    <w:vAlign w:val="center"/>
                  </w:tcPr>
                  <w:p w14:paraId="2A17E477"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66.67</w:t>
                    </w:r>
                  </w:p>
                </w:tc>
                <w:tc>
                  <w:tcPr>
                    <w:tcW w:w="993" w:type="dxa"/>
                    <w:tcBorders>
                      <w:top w:val="single" w:sz="2" w:space="0" w:color="auto"/>
                      <w:left w:val="single" w:sz="2" w:space="0" w:color="auto"/>
                      <w:bottom w:val="single" w:sz="2" w:space="0" w:color="auto"/>
                      <w:right w:val="nil"/>
                    </w:tcBorders>
                    <w:vAlign w:val="center"/>
                  </w:tcPr>
                  <w:p w14:paraId="71A4822B"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33.33</w:t>
                    </w:r>
                  </w:p>
                </w:tc>
              </w:tr>
              <w:tr w:rsidR="00D21C1F" w14:paraId="6E8A8705" w14:textId="77777777">
                <w:trPr>
                  <w:trHeight w:val="397"/>
                </w:trPr>
                <w:tc>
                  <w:tcPr>
                    <w:tcW w:w="627" w:type="dxa"/>
                    <w:tcBorders>
                      <w:top w:val="single" w:sz="2" w:space="0" w:color="auto"/>
                      <w:left w:val="nil"/>
                      <w:bottom w:val="single" w:sz="2" w:space="0" w:color="auto"/>
                      <w:right w:val="single" w:sz="2" w:space="0" w:color="auto"/>
                    </w:tcBorders>
                    <w:vAlign w:val="center"/>
                  </w:tcPr>
                  <w:p w14:paraId="7DE4C977"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4</w:t>
                    </w:r>
                  </w:p>
                </w:tc>
                <w:tc>
                  <w:tcPr>
                    <w:tcW w:w="4650" w:type="dxa"/>
                    <w:tcBorders>
                      <w:top w:val="single" w:sz="2" w:space="0" w:color="auto"/>
                      <w:left w:val="single" w:sz="2" w:space="0" w:color="auto"/>
                      <w:bottom w:val="single" w:sz="2" w:space="0" w:color="auto"/>
                      <w:right w:val="single" w:sz="2" w:space="0" w:color="auto"/>
                    </w:tcBorders>
                    <w:vAlign w:val="center"/>
                  </w:tcPr>
                  <w:p w14:paraId="4D11D842" w14:textId="77777777" w:rsidR="00D21C1F" w:rsidRDefault="00A42880">
                    <w:pPr>
                      <w:pStyle w:val="100"/>
                      <w:rPr>
                        <w:rFonts w:ascii="Times New Roman" w:eastAsiaTheme="majorEastAsia" w:hAnsi="Times New Roman"/>
                      </w:rPr>
                    </w:pPr>
                    <w:r>
                      <w:rPr>
                        <w:rFonts w:ascii="Times New Roman" w:eastAsiaTheme="majorEastAsia" w:hAnsi="Times New Roman"/>
                      </w:rPr>
                      <w:t>Evolut Service S.r.l.</w:t>
                    </w:r>
                    <w:r>
                      <w:rPr>
                        <w:rFonts w:ascii="Times New Roman" w:eastAsiaTheme="majorEastAsia" w:hAnsi="Times New Roman"/>
                      </w:rPr>
                      <w:t>（曾用名：</w:t>
                    </w:r>
                    <w:r>
                      <w:rPr>
                        <w:rFonts w:ascii="Times New Roman" w:eastAsiaTheme="majorEastAsia" w:hAnsi="Times New Roman"/>
                      </w:rPr>
                      <w:t>EVOLUT S.p.A.</w:t>
                    </w:r>
                    <w:r>
                      <w:rPr>
                        <w:rFonts w:ascii="Times New Roman" w:eastAsiaTheme="majorEastAsia" w:hAnsi="Times New Roman"/>
                      </w:rPr>
                      <w:t>）</w:t>
                    </w:r>
                  </w:p>
                </w:tc>
                <w:tc>
                  <w:tcPr>
                    <w:tcW w:w="1507" w:type="dxa"/>
                    <w:tcBorders>
                      <w:top w:val="single" w:sz="2" w:space="0" w:color="auto"/>
                      <w:left w:val="single" w:sz="2" w:space="0" w:color="auto"/>
                      <w:bottom w:val="single" w:sz="2" w:space="0" w:color="auto"/>
                      <w:right w:val="single" w:sz="2" w:space="0" w:color="auto"/>
                    </w:tcBorders>
                    <w:vAlign w:val="center"/>
                  </w:tcPr>
                  <w:p w14:paraId="40A249E6" w14:textId="77777777" w:rsidR="00D21C1F" w:rsidRDefault="00A42880">
                    <w:pPr>
                      <w:pStyle w:val="100"/>
                      <w:rPr>
                        <w:rFonts w:ascii="Times New Roman" w:eastAsiaTheme="majorEastAsia" w:hAnsi="Times New Roman"/>
                      </w:rPr>
                    </w:pPr>
                    <w:r>
                      <w:rPr>
                        <w:rFonts w:ascii="Times New Roman" w:eastAsiaTheme="majorEastAsia" w:hAnsi="Times New Roman"/>
                      </w:rPr>
                      <w:t>EVOLUT</w:t>
                    </w:r>
                  </w:p>
                </w:tc>
                <w:tc>
                  <w:tcPr>
                    <w:tcW w:w="1056" w:type="dxa"/>
                    <w:tcBorders>
                      <w:top w:val="single" w:sz="2" w:space="0" w:color="auto"/>
                      <w:left w:val="single" w:sz="2" w:space="0" w:color="auto"/>
                      <w:bottom w:val="single" w:sz="2" w:space="0" w:color="auto"/>
                      <w:right w:val="single" w:sz="2" w:space="0" w:color="auto"/>
                    </w:tcBorders>
                    <w:vAlign w:val="center"/>
                  </w:tcPr>
                  <w:p w14:paraId="2CF9C1F1"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54.79</w:t>
                    </w:r>
                  </w:p>
                </w:tc>
                <w:tc>
                  <w:tcPr>
                    <w:tcW w:w="993" w:type="dxa"/>
                    <w:tcBorders>
                      <w:top w:val="single" w:sz="2" w:space="0" w:color="auto"/>
                      <w:left w:val="single" w:sz="2" w:space="0" w:color="auto"/>
                      <w:bottom w:val="single" w:sz="2" w:space="0" w:color="auto"/>
                      <w:right w:val="nil"/>
                    </w:tcBorders>
                    <w:vAlign w:val="center"/>
                  </w:tcPr>
                  <w:p w14:paraId="0491F5AC"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45.21</w:t>
                    </w:r>
                  </w:p>
                </w:tc>
              </w:tr>
              <w:tr w:rsidR="00D21C1F" w14:paraId="53BC9A81" w14:textId="77777777">
                <w:trPr>
                  <w:trHeight w:val="375"/>
                </w:trPr>
                <w:tc>
                  <w:tcPr>
                    <w:tcW w:w="627" w:type="dxa"/>
                    <w:tcBorders>
                      <w:top w:val="single" w:sz="2" w:space="0" w:color="auto"/>
                      <w:left w:val="nil"/>
                      <w:bottom w:val="single" w:sz="2" w:space="0" w:color="auto"/>
                      <w:right w:val="single" w:sz="2" w:space="0" w:color="auto"/>
                    </w:tcBorders>
                    <w:vAlign w:val="center"/>
                  </w:tcPr>
                  <w:p w14:paraId="536ACC37"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5</w:t>
                    </w:r>
                  </w:p>
                </w:tc>
                <w:tc>
                  <w:tcPr>
                    <w:tcW w:w="4650" w:type="dxa"/>
                    <w:tcBorders>
                      <w:top w:val="single" w:sz="2" w:space="0" w:color="auto"/>
                      <w:left w:val="single" w:sz="2" w:space="0" w:color="auto"/>
                      <w:bottom w:val="single" w:sz="2" w:space="0" w:color="auto"/>
                      <w:right w:val="single" w:sz="2" w:space="0" w:color="auto"/>
                    </w:tcBorders>
                    <w:vAlign w:val="center"/>
                  </w:tcPr>
                  <w:p w14:paraId="43294E7E" w14:textId="77777777" w:rsidR="00D21C1F" w:rsidRDefault="00A42880">
                    <w:pPr>
                      <w:pStyle w:val="100"/>
                      <w:rPr>
                        <w:rFonts w:ascii="Times New Roman" w:eastAsiaTheme="majorEastAsia" w:hAnsi="Times New Roman"/>
                      </w:rPr>
                    </w:pPr>
                    <w:r>
                      <w:rPr>
                        <w:rFonts w:ascii="Times New Roman" w:eastAsiaTheme="majorEastAsia" w:hAnsi="Times New Roman"/>
                      </w:rPr>
                      <w:t>瑞博思（芜湖）智能控制系统有限公司</w:t>
                    </w:r>
                  </w:p>
                </w:tc>
                <w:tc>
                  <w:tcPr>
                    <w:tcW w:w="1507" w:type="dxa"/>
                    <w:tcBorders>
                      <w:top w:val="single" w:sz="2" w:space="0" w:color="auto"/>
                      <w:left w:val="single" w:sz="2" w:space="0" w:color="auto"/>
                      <w:bottom w:val="single" w:sz="2" w:space="0" w:color="auto"/>
                      <w:right w:val="single" w:sz="2" w:space="0" w:color="auto"/>
                    </w:tcBorders>
                    <w:vAlign w:val="center"/>
                  </w:tcPr>
                  <w:p w14:paraId="22B522EC" w14:textId="77777777" w:rsidR="00D21C1F" w:rsidRDefault="00A42880">
                    <w:pPr>
                      <w:pStyle w:val="100"/>
                      <w:rPr>
                        <w:rFonts w:ascii="Times New Roman" w:eastAsiaTheme="majorEastAsia" w:hAnsi="Times New Roman"/>
                      </w:rPr>
                    </w:pPr>
                    <w:r>
                      <w:rPr>
                        <w:rFonts w:ascii="Times New Roman" w:eastAsiaTheme="majorEastAsia" w:hAnsi="Times New Roman"/>
                      </w:rPr>
                      <w:t>瑞博思</w:t>
                    </w:r>
                  </w:p>
                </w:tc>
                <w:tc>
                  <w:tcPr>
                    <w:tcW w:w="1056" w:type="dxa"/>
                    <w:tcBorders>
                      <w:top w:val="single" w:sz="2" w:space="0" w:color="auto"/>
                      <w:left w:val="single" w:sz="2" w:space="0" w:color="auto"/>
                      <w:bottom w:val="single" w:sz="2" w:space="0" w:color="auto"/>
                      <w:right w:val="single" w:sz="2" w:space="0" w:color="auto"/>
                    </w:tcBorders>
                    <w:vAlign w:val="center"/>
                  </w:tcPr>
                  <w:p w14:paraId="1A0987D6"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60.00</w:t>
                    </w:r>
                  </w:p>
                </w:tc>
                <w:tc>
                  <w:tcPr>
                    <w:tcW w:w="993" w:type="dxa"/>
                    <w:tcBorders>
                      <w:top w:val="single" w:sz="2" w:space="0" w:color="auto"/>
                      <w:left w:val="single" w:sz="2" w:space="0" w:color="auto"/>
                      <w:bottom w:val="single" w:sz="2" w:space="0" w:color="auto"/>
                      <w:right w:val="nil"/>
                    </w:tcBorders>
                    <w:vAlign w:val="center"/>
                  </w:tcPr>
                  <w:p w14:paraId="7AACD6E2"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r>
              <w:tr w:rsidR="00D21C1F" w14:paraId="3337EB10" w14:textId="77777777">
                <w:trPr>
                  <w:trHeight w:val="397"/>
                </w:trPr>
                <w:tc>
                  <w:tcPr>
                    <w:tcW w:w="627" w:type="dxa"/>
                    <w:tcBorders>
                      <w:top w:val="single" w:sz="2" w:space="0" w:color="auto"/>
                      <w:left w:val="nil"/>
                      <w:bottom w:val="single" w:sz="2" w:space="0" w:color="auto"/>
                      <w:right w:val="single" w:sz="2" w:space="0" w:color="auto"/>
                    </w:tcBorders>
                    <w:vAlign w:val="center"/>
                  </w:tcPr>
                  <w:p w14:paraId="05803131"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6</w:t>
                    </w:r>
                  </w:p>
                </w:tc>
                <w:tc>
                  <w:tcPr>
                    <w:tcW w:w="4650" w:type="dxa"/>
                    <w:tcBorders>
                      <w:top w:val="single" w:sz="2" w:space="0" w:color="auto"/>
                      <w:left w:val="single" w:sz="2" w:space="0" w:color="auto"/>
                      <w:bottom w:val="single" w:sz="2" w:space="0" w:color="auto"/>
                      <w:right w:val="single" w:sz="2" w:space="0" w:color="auto"/>
                    </w:tcBorders>
                    <w:vAlign w:val="center"/>
                  </w:tcPr>
                  <w:p w14:paraId="21EBCE9D" w14:textId="7D6AC10A" w:rsidR="00D21C1F" w:rsidRDefault="00A42880">
                    <w:pPr>
                      <w:pStyle w:val="100"/>
                      <w:rPr>
                        <w:rFonts w:ascii="Times New Roman" w:eastAsiaTheme="majorEastAsia" w:hAnsi="Times New Roman"/>
                      </w:rPr>
                    </w:pPr>
                    <w:r>
                      <w:rPr>
                        <w:rFonts w:ascii="Times New Roman" w:eastAsiaTheme="majorEastAsia" w:hAnsi="Times New Roman"/>
                      </w:rPr>
                      <w:t>EFORT WFC Holding S.p.A.</w:t>
                    </w:r>
                    <w:r w:rsidR="0064070B">
                      <w:rPr>
                        <w:rFonts w:ascii="Times New Roman" w:eastAsiaTheme="majorEastAsia" w:hAnsi="Times New Roman" w:hint="eastAsia"/>
                      </w:rPr>
                      <w:t>（曾用名：</w:t>
                    </w:r>
                    <w:r w:rsidR="0064070B" w:rsidRPr="0064070B">
                      <w:rPr>
                        <w:rFonts w:ascii="Times New Roman" w:eastAsiaTheme="majorEastAsia" w:hAnsi="Times New Roman"/>
                      </w:rPr>
                      <w:t>WFC Holding S.p.A.</w:t>
                    </w:r>
                    <w:r w:rsidR="0064070B">
                      <w:rPr>
                        <w:rFonts w:ascii="Times New Roman" w:eastAsiaTheme="majorEastAsia" w:hAnsi="Times New Roman" w:hint="eastAsia"/>
                      </w:rPr>
                      <w:t>）</w:t>
                    </w:r>
                  </w:p>
                </w:tc>
                <w:tc>
                  <w:tcPr>
                    <w:tcW w:w="1507" w:type="dxa"/>
                    <w:tcBorders>
                      <w:top w:val="single" w:sz="2" w:space="0" w:color="auto"/>
                      <w:left w:val="single" w:sz="2" w:space="0" w:color="auto"/>
                      <w:bottom w:val="single" w:sz="2" w:space="0" w:color="auto"/>
                      <w:right w:val="single" w:sz="2" w:space="0" w:color="auto"/>
                    </w:tcBorders>
                    <w:vAlign w:val="center"/>
                  </w:tcPr>
                  <w:p w14:paraId="6E621E25" w14:textId="77777777" w:rsidR="00D21C1F" w:rsidRDefault="00A42880">
                    <w:pPr>
                      <w:pStyle w:val="100"/>
                      <w:rPr>
                        <w:rFonts w:ascii="Times New Roman" w:eastAsiaTheme="majorEastAsia" w:hAnsi="Times New Roman"/>
                      </w:rPr>
                    </w:pPr>
                    <w:r>
                      <w:rPr>
                        <w:rFonts w:ascii="Times New Roman" w:eastAsiaTheme="majorEastAsia" w:hAnsi="Times New Roman"/>
                      </w:rPr>
                      <w:t>WFC</w:t>
                    </w:r>
                  </w:p>
                </w:tc>
                <w:tc>
                  <w:tcPr>
                    <w:tcW w:w="1056" w:type="dxa"/>
                    <w:tcBorders>
                      <w:top w:val="single" w:sz="2" w:space="0" w:color="auto"/>
                      <w:left w:val="single" w:sz="2" w:space="0" w:color="auto"/>
                      <w:bottom w:val="single" w:sz="2" w:space="0" w:color="auto"/>
                      <w:right w:val="single" w:sz="2" w:space="0" w:color="auto"/>
                    </w:tcBorders>
                    <w:vAlign w:val="center"/>
                  </w:tcPr>
                  <w:p w14:paraId="452B6BB9"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c>
                  <w:tcPr>
                    <w:tcW w:w="993" w:type="dxa"/>
                    <w:tcBorders>
                      <w:top w:val="single" w:sz="2" w:space="0" w:color="auto"/>
                      <w:left w:val="single" w:sz="2" w:space="0" w:color="auto"/>
                      <w:bottom w:val="single" w:sz="2" w:space="0" w:color="auto"/>
                      <w:right w:val="nil"/>
                    </w:tcBorders>
                    <w:vAlign w:val="center"/>
                  </w:tcPr>
                  <w:p w14:paraId="2DD082D5"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r>
              <w:tr w:rsidR="00D21C1F" w14:paraId="3F9B1662" w14:textId="77777777">
                <w:trPr>
                  <w:trHeight w:val="397"/>
                </w:trPr>
                <w:tc>
                  <w:tcPr>
                    <w:tcW w:w="627" w:type="dxa"/>
                    <w:tcBorders>
                      <w:top w:val="single" w:sz="2" w:space="0" w:color="auto"/>
                      <w:left w:val="nil"/>
                      <w:bottom w:val="single" w:sz="2" w:space="0" w:color="auto"/>
                      <w:right w:val="single" w:sz="2" w:space="0" w:color="auto"/>
                    </w:tcBorders>
                    <w:vAlign w:val="center"/>
                  </w:tcPr>
                  <w:p w14:paraId="03419BCF"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7</w:t>
                    </w:r>
                  </w:p>
                </w:tc>
                <w:tc>
                  <w:tcPr>
                    <w:tcW w:w="4650" w:type="dxa"/>
                    <w:tcBorders>
                      <w:top w:val="single" w:sz="2" w:space="0" w:color="auto"/>
                      <w:left w:val="single" w:sz="2" w:space="0" w:color="auto"/>
                      <w:bottom w:val="single" w:sz="2" w:space="0" w:color="auto"/>
                      <w:right w:val="single" w:sz="2" w:space="0" w:color="auto"/>
                    </w:tcBorders>
                    <w:vAlign w:val="center"/>
                  </w:tcPr>
                  <w:p w14:paraId="07030342" w14:textId="77777777" w:rsidR="00D21C1F" w:rsidRDefault="00A42880">
                    <w:pPr>
                      <w:pStyle w:val="100"/>
                      <w:rPr>
                        <w:rFonts w:ascii="Times New Roman" w:eastAsiaTheme="majorEastAsia" w:hAnsi="Times New Roman"/>
                      </w:rPr>
                    </w:pPr>
                    <w:r>
                      <w:rPr>
                        <w:rFonts w:ascii="Times New Roman" w:eastAsiaTheme="majorEastAsia" w:hAnsi="Times New Roman"/>
                      </w:rPr>
                      <w:t>O.L.C.I. Engineering S.r.l.</w:t>
                    </w:r>
                  </w:p>
                </w:tc>
                <w:tc>
                  <w:tcPr>
                    <w:tcW w:w="1507" w:type="dxa"/>
                    <w:tcBorders>
                      <w:top w:val="single" w:sz="2" w:space="0" w:color="auto"/>
                      <w:left w:val="single" w:sz="2" w:space="0" w:color="auto"/>
                      <w:bottom w:val="single" w:sz="2" w:space="0" w:color="auto"/>
                      <w:right w:val="single" w:sz="2" w:space="0" w:color="auto"/>
                    </w:tcBorders>
                    <w:vAlign w:val="center"/>
                  </w:tcPr>
                  <w:p w14:paraId="19A0B128" w14:textId="77777777" w:rsidR="00D21C1F" w:rsidRDefault="00A42880">
                    <w:pPr>
                      <w:pStyle w:val="100"/>
                      <w:rPr>
                        <w:rFonts w:ascii="Times New Roman" w:eastAsiaTheme="majorEastAsia" w:hAnsi="Times New Roman"/>
                      </w:rPr>
                    </w:pPr>
                    <w:r>
                      <w:rPr>
                        <w:rFonts w:ascii="Times New Roman" w:eastAsiaTheme="majorEastAsia" w:hAnsi="Times New Roman"/>
                      </w:rPr>
                      <w:t>OLCI</w:t>
                    </w:r>
                  </w:p>
                </w:tc>
                <w:tc>
                  <w:tcPr>
                    <w:tcW w:w="1056" w:type="dxa"/>
                    <w:tcBorders>
                      <w:top w:val="single" w:sz="2" w:space="0" w:color="auto"/>
                      <w:left w:val="single" w:sz="2" w:space="0" w:color="auto"/>
                      <w:bottom w:val="single" w:sz="2" w:space="0" w:color="auto"/>
                      <w:right w:val="single" w:sz="2" w:space="0" w:color="auto"/>
                    </w:tcBorders>
                    <w:vAlign w:val="center"/>
                  </w:tcPr>
                  <w:p w14:paraId="44B8FC26"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07AE2A58"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19557156" w14:textId="77777777">
                <w:trPr>
                  <w:trHeight w:val="427"/>
                </w:trPr>
                <w:tc>
                  <w:tcPr>
                    <w:tcW w:w="627" w:type="dxa"/>
                    <w:tcBorders>
                      <w:top w:val="single" w:sz="2" w:space="0" w:color="auto"/>
                      <w:left w:val="nil"/>
                      <w:bottom w:val="single" w:sz="2" w:space="0" w:color="auto"/>
                      <w:right w:val="single" w:sz="2" w:space="0" w:color="auto"/>
                    </w:tcBorders>
                    <w:vAlign w:val="center"/>
                  </w:tcPr>
                  <w:p w14:paraId="3BB69215"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8</w:t>
                    </w:r>
                  </w:p>
                </w:tc>
                <w:tc>
                  <w:tcPr>
                    <w:tcW w:w="4650" w:type="dxa"/>
                    <w:tcBorders>
                      <w:top w:val="single" w:sz="2" w:space="0" w:color="auto"/>
                      <w:left w:val="single" w:sz="2" w:space="0" w:color="auto"/>
                      <w:bottom w:val="single" w:sz="2" w:space="0" w:color="auto"/>
                      <w:right w:val="single" w:sz="2" w:space="0" w:color="auto"/>
                    </w:tcBorders>
                    <w:vAlign w:val="center"/>
                  </w:tcPr>
                  <w:p w14:paraId="660EF95B" w14:textId="77777777" w:rsidR="00D21C1F" w:rsidRDefault="00A42880">
                    <w:pPr>
                      <w:pStyle w:val="100"/>
                      <w:rPr>
                        <w:rFonts w:ascii="Times New Roman" w:eastAsiaTheme="majorEastAsia" w:hAnsi="Times New Roman"/>
                      </w:rPr>
                    </w:pPr>
                    <w:r>
                      <w:rPr>
                        <w:rFonts w:ascii="Times New Roman" w:eastAsiaTheme="majorEastAsia" w:hAnsi="Times New Roman"/>
                      </w:rPr>
                      <w:t>O.L.C.I. Engineering India Private Ltd.</w:t>
                    </w:r>
                  </w:p>
                </w:tc>
                <w:tc>
                  <w:tcPr>
                    <w:tcW w:w="1507" w:type="dxa"/>
                    <w:tcBorders>
                      <w:top w:val="single" w:sz="2" w:space="0" w:color="auto"/>
                      <w:left w:val="single" w:sz="2" w:space="0" w:color="auto"/>
                      <w:bottom w:val="single" w:sz="2" w:space="0" w:color="auto"/>
                      <w:right w:val="single" w:sz="2" w:space="0" w:color="auto"/>
                    </w:tcBorders>
                    <w:vAlign w:val="center"/>
                  </w:tcPr>
                  <w:p w14:paraId="67810E12" w14:textId="77777777" w:rsidR="00D21C1F" w:rsidRDefault="00A42880">
                    <w:pPr>
                      <w:pStyle w:val="100"/>
                      <w:rPr>
                        <w:rFonts w:ascii="Times New Roman" w:eastAsiaTheme="majorEastAsia" w:hAnsi="Times New Roman"/>
                      </w:rPr>
                    </w:pPr>
                    <w:r>
                      <w:rPr>
                        <w:rFonts w:ascii="Times New Roman" w:eastAsiaTheme="majorEastAsia" w:hAnsi="Times New Roman"/>
                      </w:rPr>
                      <w:t>OLCI India</w:t>
                    </w:r>
                  </w:p>
                </w:tc>
                <w:tc>
                  <w:tcPr>
                    <w:tcW w:w="1056" w:type="dxa"/>
                    <w:tcBorders>
                      <w:top w:val="single" w:sz="2" w:space="0" w:color="auto"/>
                      <w:left w:val="single" w:sz="2" w:space="0" w:color="auto"/>
                      <w:bottom w:val="single" w:sz="2" w:space="0" w:color="auto"/>
                      <w:right w:val="single" w:sz="2" w:space="0" w:color="auto"/>
                    </w:tcBorders>
                    <w:vAlign w:val="center"/>
                  </w:tcPr>
                  <w:p w14:paraId="5D05A599"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3CAECF5A"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0083F525" w14:textId="77777777">
                <w:trPr>
                  <w:trHeight w:val="431"/>
                </w:trPr>
                <w:tc>
                  <w:tcPr>
                    <w:tcW w:w="627" w:type="dxa"/>
                    <w:tcBorders>
                      <w:top w:val="single" w:sz="2" w:space="0" w:color="auto"/>
                      <w:left w:val="nil"/>
                      <w:bottom w:val="single" w:sz="2" w:space="0" w:color="auto"/>
                      <w:right w:val="single" w:sz="2" w:space="0" w:color="auto"/>
                    </w:tcBorders>
                    <w:vAlign w:val="center"/>
                  </w:tcPr>
                  <w:p w14:paraId="7DE9A836"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9</w:t>
                    </w:r>
                  </w:p>
                </w:tc>
                <w:tc>
                  <w:tcPr>
                    <w:tcW w:w="4650" w:type="dxa"/>
                    <w:tcBorders>
                      <w:top w:val="single" w:sz="2" w:space="0" w:color="auto"/>
                      <w:left w:val="single" w:sz="2" w:space="0" w:color="auto"/>
                      <w:bottom w:val="single" w:sz="2" w:space="0" w:color="auto"/>
                      <w:right w:val="single" w:sz="2" w:space="0" w:color="auto"/>
                    </w:tcBorders>
                    <w:vAlign w:val="center"/>
                  </w:tcPr>
                  <w:p w14:paraId="07E713C3" w14:textId="77777777" w:rsidR="00D21C1F" w:rsidRDefault="00A42880">
                    <w:pPr>
                      <w:pStyle w:val="100"/>
                      <w:rPr>
                        <w:rFonts w:ascii="Times New Roman" w:eastAsiaTheme="majorEastAsia" w:hAnsi="Times New Roman"/>
                      </w:rPr>
                    </w:pPr>
                    <w:r>
                      <w:rPr>
                        <w:rFonts w:ascii="Times New Roman" w:eastAsiaTheme="majorEastAsia" w:hAnsi="Times New Roman"/>
                      </w:rPr>
                      <w:t>GME Aerospace Indústriade Material Composto S.A.</w:t>
                    </w:r>
                  </w:p>
                </w:tc>
                <w:tc>
                  <w:tcPr>
                    <w:tcW w:w="1507" w:type="dxa"/>
                    <w:tcBorders>
                      <w:top w:val="single" w:sz="2" w:space="0" w:color="auto"/>
                      <w:left w:val="single" w:sz="2" w:space="0" w:color="auto"/>
                      <w:bottom w:val="single" w:sz="2" w:space="0" w:color="auto"/>
                      <w:right w:val="single" w:sz="2" w:space="0" w:color="auto"/>
                    </w:tcBorders>
                    <w:vAlign w:val="center"/>
                  </w:tcPr>
                  <w:p w14:paraId="46EDC1EF" w14:textId="77777777" w:rsidR="00D21C1F" w:rsidRDefault="00A42880">
                    <w:pPr>
                      <w:pStyle w:val="100"/>
                      <w:rPr>
                        <w:rFonts w:ascii="Times New Roman" w:eastAsiaTheme="majorEastAsia" w:hAnsi="Times New Roman"/>
                      </w:rPr>
                    </w:pPr>
                    <w:r>
                      <w:rPr>
                        <w:rFonts w:ascii="Times New Roman" w:eastAsiaTheme="majorEastAsia" w:hAnsi="Times New Roman"/>
                      </w:rPr>
                      <w:t>GME</w:t>
                    </w:r>
                  </w:p>
                </w:tc>
                <w:tc>
                  <w:tcPr>
                    <w:tcW w:w="1056" w:type="dxa"/>
                    <w:tcBorders>
                      <w:top w:val="single" w:sz="2" w:space="0" w:color="auto"/>
                      <w:left w:val="single" w:sz="2" w:space="0" w:color="auto"/>
                      <w:bottom w:val="single" w:sz="2" w:space="0" w:color="auto"/>
                      <w:right w:val="single" w:sz="2" w:space="0" w:color="auto"/>
                    </w:tcBorders>
                    <w:vAlign w:val="center"/>
                  </w:tcPr>
                  <w:p w14:paraId="2A35BA1A"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6A314DD6"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195C3BF5" w14:textId="77777777">
                <w:trPr>
                  <w:trHeight w:val="397"/>
                </w:trPr>
                <w:tc>
                  <w:tcPr>
                    <w:tcW w:w="627" w:type="dxa"/>
                    <w:tcBorders>
                      <w:top w:val="single" w:sz="2" w:space="0" w:color="auto"/>
                      <w:left w:val="nil"/>
                      <w:bottom w:val="single" w:sz="2" w:space="0" w:color="auto"/>
                      <w:right w:val="single" w:sz="2" w:space="0" w:color="auto"/>
                    </w:tcBorders>
                    <w:vAlign w:val="center"/>
                  </w:tcPr>
                  <w:p w14:paraId="61603D38"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10</w:t>
                    </w:r>
                  </w:p>
                </w:tc>
                <w:tc>
                  <w:tcPr>
                    <w:tcW w:w="4650" w:type="dxa"/>
                    <w:tcBorders>
                      <w:top w:val="single" w:sz="2" w:space="0" w:color="auto"/>
                      <w:left w:val="single" w:sz="2" w:space="0" w:color="auto"/>
                      <w:bottom w:val="single" w:sz="2" w:space="0" w:color="auto"/>
                      <w:right w:val="single" w:sz="2" w:space="0" w:color="auto"/>
                    </w:tcBorders>
                    <w:vAlign w:val="center"/>
                  </w:tcPr>
                  <w:p w14:paraId="441970B3" w14:textId="77777777" w:rsidR="00D21C1F" w:rsidRDefault="00A42880">
                    <w:pPr>
                      <w:pStyle w:val="100"/>
                      <w:rPr>
                        <w:rFonts w:ascii="Times New Roman" w:eastAsiaTheme="majorEastAsia" w:hAnsi="Times New Roman"/>
                      </w:rPr>
                    </w:pPr>
                    <w:r>
                      <w:rPr>
                        <w:rFonts w:ascii="Times New Roman" w:eastAsiaTheme="majorEastAsia" w:hAnsi="Times New Roman"/>
                      </w:rPr>
                      <w:t>Autorobot Strefasp.z.o.o.</w:t>
                    </w:r>
                  </w:p>
                </w:tc>
                <w:tc>
                  <w:tcPr>
                    <w:tcW w:w="1507" w:type="dxa"/>
                    <w:tcBorders>
                      <w:top w:val="single" w:sz="2" w:space="0" w:color="auto"/>
                      <w:left w:val="single" w:sz="2" w:space="0" w:color="auto"/>
                      <w:bottom w:val="single" w:sz="2" w:space="0" w:color="auto"/>
                      <w:right w:val="single" w:sz="2" w:space="0" w:color="auto"/>
                    </w:tcBorders>
                    <w:vAlign w:val="center"/>
                  </w:tcPr>
                  <w:p w14:paraId="1F0562CA" w14:textId="77777777" w:rsidR="00D21C1F" w:rsidRDefault="00A42880">
                    <w:pPr>
                      <w:pStyle w:val="100"/>
                      <w:rPr>
                        <w:rFonts w:ascii="Times New Roman" w:eastAsiaTheme="majorEastAsia" w:hAnsi="Times New Roman"/>
                      </w:rPr>
                    </w:pPr>
                    <w:r>
                      <w:rPr>
                        <w:rFonts w:ascii="Times New Roman" w:eastAsiaTheme="majorEastAsia" w:hAnsi="Times New Roman"/>
                      </w:rPr>
                      <w:t>Autorobot</w:t>
                    </w:r>
                  </w:p>
                </w:tc>
                <w:tc>
                  <w:tcPr>
                    <w:tcW w:w="1056" w:type="dxa"/>
                    <w:tcBorders>
                      <w:top w:val="single" w:sz="2" w:space="0" w:color="auto"/>
                      <w:left w:val="single" w:sz="2" w:space="0" w:color="auto"/>
                      <w:bottom w:val="single" w:sz="2" w:space="0" w:color="auto"/>
                      <w:right w:val="single" w:sz="2" w:space="0" w:color="auto"/>
                    </w:tcBorders>
                    <w:vAlign w:val="center"/>
                  </w:tcPr>
                  <w:p w14:paraId="2CAB981B"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4DF70A8A"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642F9310" w14:textId="77777777">
                <w:trPr>
                  <w:trHeight w:val="397"/>
                </w:trPr>
                <w:tc>
                  <w:tcPr>
                    <w:tcW w:w="627" w:type="dxa"/>
                    <w:tcBorders>
                      <w:top w:val="single" w:sz="2" w:space="0" w:color="auto"/>
                      <w:left w:val="nil"/>
                      <w:bottom w:val="single" w:sz="2" w:space="0" w:color="auto"/>
                      <w:right w:val="single" w:sz="2" w:space="0" w:color="auto"/>
                    </w:tcBorders>
                    <w:vAlign w:val="center"/>
                  </w:tcPr>
                  <w:p w14:paraId="0274E818"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lastRenderedPageBreak/>
                      <w:t>11</w:t>
                    </w:r>
                  </w:p>
                </w:tc>
                <w:tc>
                  <w:tcPr>
                    <w:tcW w:w="4650" w:type="dxa"/>
                    <w:tcBorders>
                      <w:top w:val="single" w:sz="2" w:space="0" w:color="auto"/>
                      <w:left w:val="single" w:sz="2" w:space="0" w:color="auto"/>
                      <w:bottom w:val="single" w:sz="2" w:space="0" w:color="auto"/>
                      <w:right w:val="single" w:sz="2" w:space="0" w:color="auto"/>
                    </w:tcBorders>
                    <w:vAlign w:val="center"/>
                  </w:tcPr>
                  <w:p w14:paraId="59F89C23" w14:textId="77777777" w:rsidR="00D21C1F" w:rsidRDefault="00A42880">
                    <w:pPr>
                      <w:pStyle w:val="100"/>
                      <w:rPr>
                        <w:rFonts w:ascii="Times New Roman" w:eastAsiaTheme="majorEastAsia" w:hAnsi="Times New Roman"/>
                      </w:rPr>
                    </w:pPr>
                    <w:r>
                      <w:rPr>
                        <w:rFonts w:ascii="Times New Roman" w:eastAsiaTheme="majorEastAsia" w:hAnsi="Times New Roman"/>
                      </w:rPr>
                      <w:t>上海埃奇机器人技术有限公司</w:t>
                    </w:r>
                  </w:p>
                </w:tc>
                <w:tc>
                  <w:tcPr>
                    <w:tcW w:w="1507" w:type="dxa"/>
                    <w:tcBorders>
                      <w:top w:val="single" w:sz="2" w:space="0" w:color="auto"/>
                      <w:left w:val="single" w:sz="2" w:space="0" w:color="auto"/>
                      <w:bottom w:val="single" w:sz="2" w:space="0" w:color="auto"/>
                      <w:right w:val="single" w:sz="2" w:space="0" w:color="auto"/>
                    </w:tcBorders>
                    <w:vAlign w:val="center"/>
                  </w:tcPr>
                  <w:p w14:paraId="318AC622" w14:textId="77777777" w:rsidR="00D21C1F" w:rsidRDefault="00A42880">
                    <w:pPr>
                      <w:pStyle w:val="100"/>
                      <w:rPr>
                        <w:rFonts w:ascii="Times New Roman" w:eastAsiaTheme="majorEastAsia" w:hAnsi="Times New Roman"/>
                      </w:rPr>
                    </w:pPr>
                    <w:r>
                      <w:rPr>
                        <w:rFonts w:ascii="Times New Roman" w:eastAsiaTheme="majorEastAsia" w:hAnsi="Times New Roman"/>
                      </w:rPr>
                      <w:t>上海埃奇</w:t>
                    </w:r>
                  </w:p>
                </w:tc>
                <w:tc>
                  <w:tcPr>
                    <w:tcW w:w="1056" w:type="dxa"/>
                    <w:tcBorders>
                      <w:top w:val="single" w:sz="2" w:space="0" w:color="auto"/>
                      <w:left w:val="single" w:sz="2" w:space="0" w:color="auto"/>
                      <w:bottom w:val="single" w:sz="2" w:space="0" w:color="auto"/>
                      <w:right w:val="single" w:sz="2" w:space="0" w:color="auto"/>
                    </w:tcBorders>
                    <w:vAlign w:val="center"/>
                  </w:tcPr>
                  <w:p w14:paraId="33DFC18C"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c>
                  <w:tcPr>
                    <w:tcW w:w="993" w:type="dxa"/>
                    <w:tcBorders>
                      <w:top w:val="single" w:sz="2" w:space="0" w:color="auto"/>
                      <w:left w:val="single" w:sz="2" w:space="0" w:color="auto"/>
                      <w:bottom w:val="single" w:sz="2" w:space="0" w:color="auto"/>
                      <w:right w:val="nil"/>
                    </w:tcBorders>
                    <w:vAlign w:val="center"/>
                  </w:tcPr>
                  <w:p w14:paraId="2A10DE5E"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r>
              <w:tr w:rsidR="00D21C1F" w14:paraId="669DF7ED" w14:textId="77777777">
                <w:trPr>
                  <w:trHeight w:val="397"/>
                </w:trPr>
                <w:tc>
                  <w:tcPr>
                    <w:tcW w:w="627" w:type="dxa"/>
                    <w:tcBorders>
                      <w:top w:val="single" w:sz="2" w:space="0" w:color="auto"/>
                      <w:left w:val="nil"/>
                      <w:bottom w:val="single" w:sz="2" w:space="0" w:color="auto"/>
                      <w:right w:val="single" w:sz="2" w:space="0" w:color="auto"/>
                    </w:tcBorders>
                    <w:vAlign w:val="center"/>
                  </w:tcPr>
                  <w:p w14:paraId="1029C1A1"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12</w:t>
                    </w:r>
                  </w:p>
                </w:tc>
                <w:tc>
                  <w:tcPr>
                    <w:tcW w:w="4650" w:type="dxa"/>
                    <w:tcBorders>
                      <w:top w:val="single" w:sz="2" w:space="0" w:color="auto"/>
                      <w:left w:val="single" w:sz="2" w:space="0" w:color="auto"/>
                      <w:bottom w:val="single" w:sz="2" w:space="0" w:color="auto"/>
                      <w:right w:val="single" w:sz="2" w:space="0" w:color="auto"/>
                    </w:tcBorders>
                    <w:vAlign w:val="center"/>
                  </w:tcPr>
                  <w:p w14:paraId="2CF5F7C9" w14:textId="77777777" w:rsidR="00D21C1F" w:rsidRDefault="00A42880">
                    <w:pPr>
                      <w:pStyle w:val="100"/>
                      <w:rPr>
                        <w:rFonts w:ascii="Times New Roman" w:eastAsiaTheme="majorEastAsia" w:hAnsi="Times New Roman"/>
                      </w:rPr>
                    </w:pPr>
                    <w:r>
                      <w:rPr>
                        <w:rFonts w:ascii="Times New Roman" w:eastAsiaTheme="majorEastAsia" w:hAnsi="Times New Roman"/>
                      </w:rPr>
                      <w:t>EFORT Europe S.r.l.</w:t>
                    </w:r>
                  </w:p>
                </w:tc>
                <w:tc>
                  <w:tcPr>
                    <w:tcW w:w="1507" w:type="dxa"/>
                    <w:tcBorders>
                      <w:top w:val="single" w:sz="2" w:space="0" w:color="auto"/>
                      <w:left w:val="single" w:sz="2" w:space="0" w:color="auto"/>
                      <w:bottom w:val="single" w:sz="2" w:space="0" w:color="auto"/>
                      <w:right w:val="single" w:sz="2" w:space="0" w:color="auto"/>
                    </w:tcBorders>
                    <w:vAlign w:val="center"/>
                  </w:tcPr>
                  <w:p w14:paraId="732F99A1" w14:textId="77777777" w:rsidR="00D21C1F" w:rsidRDefault="00A42880">
                    <w:pPr>
                      <w:pStyle w:val="100"/>
                      <w:rPr>
                        <w:rFonts w:ascii="Times New Roman" w:eastAsiaTheme="majorEastAsia" w:hAnsi="Times New Roman"/>
                      </w:rPr>
                    </w:pPr>
                    <w:r>
                      <w:rPr>
                        <w:rFonts w:ascii="Times New Roman" w:eastAsiaTheme="majorEastAsia" w:hAnsi="Times New Roman"/>
                      </w:rPr>
                      <w:t>Efort Europe</w:t>
                    </w:r>
                  </w:p>
                </w:tc>
                <w:tc>
                  <w:tcPr>
                    <w:tcW w:w="1056" w:type="dxa"/>
                    <w:tcBorders>
                      <w:top w:val="single" w:sz="2" w:space="0" w:color="auto"/>
                      <w:left w:val="single" w:sz="2" w:space="0" w:color="auto"/>
                      <w:bottom w:val="single" w:sz="2" w:space="0" w:color="auto"/>
                      <w:right w:val="single" w:sz="2" w:space="0" w:color="auto"/>
                    </w:tcBorders>
                    <w:vAlign w:val="center"/>
                  </w:tcPr>
                  <w:p w14:paraId="0425BDDD"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c>
                  <w:tcPr>
                    <w:tcW w:w="993" w:type="dxa"/>
                    <w:tcBorders>
                      <w:top w:val="single" w:sz="2" w:space="0" w:color="auto"/>
                      <w:left w:val="single" w:sz="2" w:space="0" w:color="auto"/>
                      <w:bottom w:val="single" w:sz="2" w:space="0" w:color="auto"/>
                      <w:right w:val="nil"/>
                    </w:tcBorders>
                    <w:vAlign w:val="center"/>
                  </w:tcPr>
                  <w:p w14:paraId="36F16AE1"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r>
              <w:tr w:rsidR="00D21C1F" w14:paraId="542638B4" w14:textId="77777777">
                <w:trPr>
                  <w:trHeight w:val="397"/>
                </w:trPr>
                <w:tc>
                  <w:tcPr>
                    <w:tcW w:w="627" w:type="dxa"/>
                    <w:tcBorders>
                      <w:top w:val="single" w:sz="2" w:space="0" w:color="auto"/>
                      <w:left w:val="nil"/>
                      <w:bottom w:val="single" w:sz="2" w:space="0" w:color="auto"/>
                      <w:right w:val="single" w:sz="2" w:space="0" w:color="auto"/>
                    </w:tcBorders>
                    <w:vAlign w:val="center"/>
                  </w:tcPr>
                  <w:p w14:paraId="553D3628"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13</w:t>
                    </w:r>
                  </w:p>
                </w:tc>
                <w:tc>
                  <w:tcPr>
                    <w:tcW w:w="4650" w:type="dxa"/>
                    <w:tcBorders>
                      <w:top w:val="single" w:sz="2" w:space="0" w:color="auto"/>
                      <w:left w:val="single" w:sz="2" w:space="0" w:color="auto"/>
                      <w:bottom w:val="single" w:sz="2" w:space="0" w:color="auto"/>
                      <w:right w:val="single" w:sz="2" w:space="0" w:color="auto"/>
                    </w:tcBorders>
                    <w:vAlign w:val="center"/>
                  </w:tcPr>
                  <w:p w14:paraId="28538E6D" w14:textId="77777777" w:rsidR="00D21C1F" w:rsidRDefault="00A42880">
                    <w:pPr>
                      <w:pStyle w:val="100"/>
                      <w:rPr>
                        <w:rFonts w:ascii="Times New Roman" w:eastAsiaTheme="majorEastAsia" w:hAnsi="Times New Roman"/>
                      </w:rPr>
                    </w:pPr>
                    <w:r>
                      <w:rPr>
                        <w:rFonts w:ascii="Times New Roman" w:eastAsiaTheme="majorEastAsia" w:hAnsi="Times New Roman"/>
                      </w:rPr>
                      <w:t>EFORT France S.A.S.</w:t>
                    </w:r>
                  </w:p>
                </w:tc>
                <w:tc>
                  <w:tcPr>
                    <w:tcW w:w="1507" w:type="dxa"/>
                    <w:tcBorders>
                      <w:top w:val="single" w:sz="2" w:space="0" w:color="auto"/>
                      <w:left w:val="single" w:sz="2" w:space="0" w:color="auto"/>
                      <w:bottom w:val="single" w:sz="2" w:space="0" w:color="auto"/>
                      <w:right w:val="single" w:sz="2" w:space="0" w:color="auto"/>
                    </w:tcBorders>
                    <w:vAlign w:val="center"/>
                  </w:tcPr>
                  <w:p w14:paraId="288BA2AC" w14:textId="77777777" w:rsidR="00D21C1F" w:rsidRDefault="00A42880">
                    <w:pPr>
                      <w:pStyle w:val="100"/>
                      <w:rPr>
                        <w:rFonts w:ascii="Times New Roman" w:eastAsiaTheme="majorEastAsia" w:hAnsi="Times New Roman"/>
                      </w:rPr>
                    </w:pPr>
                    <w:r>
                      <w:rPr>
                        <w:rFonts w:ascii="Times New Roman" w:eastAsiaTheme="majorEastAsia" w:hAnsi="Times New Roman"/>
                      </w:rPr>
                      <w:t>Efort France</w:t>
                    </w:r>
                  </w:p>
                </w:tc>
                <w:tc>
                  <w:tcPr>
                    <w:tcW w:w="1056" w:type="dxa"/>
                    <w:tcBorders>
                      <w:top w:val="single" w:sz="2" w:space="0" w:color="auto"/>
                      <w:left w:val="single" w:sz="2" w:space="0" w:color="auto"/>
                      <w:bottom w:val="single" w:sz="2" w:space="0" w:color="auto"/>
                      <w:right w:val="single" w:sz="2" w:space="0" w:color="auto"/>
                    </w:tcBorders>
                    <w:vAlign w:val="center"/>
                  </w:tcPr>
                  <w:p w14:paraId="0FEC675F"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7B46548A"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674EE99B" w14:textId="77777777">
                <w:trPr>
                  <w:trHeight w:val="397"/>
                </w:trPr>
                <w:tc>
                  <w:tcPr>
                    <w:tcW w:w="627" w:type="dxa"/>
                    <w:tcBorders>
                      <w:top w:val="single" w:sz="2" w:space="0" w:color="auto"/>
                      <w:left w:val="nil"/>
                      <w:bottom w:val="single" w:sz="2" w:space="0" w:color="auto"/>
                      <w:right w:val="single" w:sz="2" w:space="0" w:color="auto"/>
                    </w:tcBorders>
                    <w:vAlign w:val="center"/>
                  </w:tcPr>
                  <w:p w14:paraId="595A33EC"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14</w:t>
                    </w:r>
                  </w:p>
                </w:tc>
                <w:tc>
                  <w:tcPr>
                    <w:tcW w:w="4650" w:type="dxa"/>
                    <w:tcBorders>
                      <w:top w:val="single" w:sz="2" w:space="0" w:color="auto"/>
                      <w:left w:val="single" w:sz="2" w:space="0" w:color="auto"/>
                      <w:bottom w:val="single" w:sz="2" w:space="0" w:color="auto"/>
                      <w:right w:val="single" w:sz="2" w:space="0" w:color="auto"/>
                    </w:tcBorders>
                    <w:vAlign w:val="center"/>
                  </w:tcPr>
                  <w:p w14:paraId="7486B91A" w14:textId="77777777" w:rsidR="00D21C1F" w:rsidRDefault="00A42880">
                    <w:pPr>
                      <w:pStyle w:val="100"/>
                      <w:rPr>
                        <w:rFonts w:ascii="Times New Roman" w:eastAsiaTheme="majorEastAsia" w:hAnsi="Times New Roman"/>
                      </w:rPr>
                    </w:pPr>
                    <w:r>
                      <w:rPr>
                        <w:rFonts w:ascii="Times New Roman" w:eastAsiaTheme="majorEastAsia" w:hAnsi="Times New Roman"/>
                      </w:rPr>
                      <w:t>EFORT Systems S.r.l.</w:t>
                    </w:r>
                    <w:r>
                      <w:rPr>
                        <w:rFonts w:ascii="Times New Roman" w:eastAsiaTheme="majorEastAsia" w:hAnsi="Times New Roman"/>
                      </w:rPr>
                      <w:t>（曾用名：</w:t>
                    </w:r>
                    <w:r>
                      <w:rPr>
                        <w:rFonts w:ascii="Times New Roman" w:eastAsiaTheme="majorEastAsia" w:hAnsi="Times New Roman"/>
                      </w:rPr>
                      <w:t>WEBB Robotica S.r.l.</w:t>
                    </w:r>
                    <w:r>
                      <w:rPr>
                        <w:rFonts w:ascii="Times New Roman" w:eastAsiaTheme="majorEastAsia" w:hAnsi="Times New Roman"/>
                      </w:rPr>
                      <w:t>）</w:t>
                    </w:r>
                  </w:p>
                </w:tc>
                <w:tc>
                  <w:tcPr>
                    <w:tcW w:w="1507" w:type="dxa"/>
                    <w:tcBorders>
                      <w:top w:val="single" w:sz="2" w:space="0" w:color="auto"/>
                      <w:left w:val="single" w:sz="2" w:space="0" w:color="auto"/>
                      <w:bottom w:val="single" w:sz="2" w:space="0" w:color="auto"/>
                      <w:right w:val="single" w:sz="2" w:space="0" w:color="auto"/>
                    </w:tcBorders>
                    <w:vAlign w:val="center"/>
                  </w:tcPr>
                  <w:p w14:paraId="6F780883" w14:textId="77777777" w:rsidR="00D21C1F" w:rsidRDefault="00A42880">
                    <w:pPr>
                      <w:pStyle w:val="100"/>
                      <w:rPr>
                        <w:rFonts w:ascii="Times New Roman" w:eastAsiaTheme="majorEastAsia" w:hAnsi="Times New Roman"/>
                      </w:rPr>
                    </w:pPr>
                    <w:r>
                      <w:rPr>
                        <w:rFonts w:ascii="Times New Roman" w:eastAsiaTheme="majorEastAsia" w:hAnsi="Times New Roman"/>
                      </w:rPr>
                      <w:t>Efort Systems</w:t>
                    </w:r>
                  </w:p>
                </w:tc>
                <w:tc>
                  <w:tcPr>
                    <w:tcW w:w="1056" w:type="dxa"/>
                    <w:tcBorders>
                      <w:top w:val="single" w:sz="2" w:space="0" w:color="auto"/>
                      <w:left w:val="single" w:sz="2" w:space="0" w:color="auto"/>
                      <w:bottom w:val="single" w:sz="2" w:space="0" w:color="auto"/>
                      <w:right w:val="single" w:sz="2" w:space="0" w:color="auto"/>
                    </w:tcBorders>
                    <w:vAlign w:val="center"/>
                  </w:tcPr>
                  <w:p w14:paraId="6AEB8359" w14:textId="77777777" w:rsidR="00D21C1F" w:rsidRDefault="00A42880">
                    <w:pPr>
                      <w:pStyle w:val="100"/>
                      <w:jc w:val="center"/>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681ACD9D"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7BF1EF8E" w14:textId="77777777">
                <w:trPr>
                  <w:trHeight w:val="397"/>
                </w:trPr>
                <w:tc>
                  <w:tcPr>
                    <w:tcW w:w="627" w:type="dxa"/>
                    <w:tcBorders>
                      <w:top w:val="single" w:sz="2" w:space="0" w:color="auto"/>
                      <w:left w:val="nil"/>
                      <w:bottom w:val="single" w:sz="2" w:space="0" w:color="auto"/>
                      <w:right w:val="single" w:sz="2" w:space="0" w:color="auto"/>
                    </w:tcBorders>
                    <w:vAlign w:val="center"/>
                  </w:tcPr>
                  <w:p w14:paraId="5964DCE3"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15</w:t>
                    </w:r>
                  </w:p>
                </w:tc>
                <w:tc>
                  <w:tcPr>
                    <w:tcW w:w="4650" w:type="dxa"/>
                    <w:tcBorders>
                      <w:top w:val="single" w:sz="2" w:space="0" w:color="auto"/>
                      <w:left w:val="single" w:sz="2" w:space="0" w:color="auto"/>
                      <w:bottom w:val="single" w:sz="2" w:space="0" w:color="auto"/>
                      <w:right w:val="single" w:sz="2" w:space="0" w:color="auto"/>
                    </w:tcBorders>
                    <w:vAlign w:val="center"/>
                  </w:tcPr>
                  <w:p w14:paraId="0D7ADACB" w14:textId="77777777" w:rsidR="00D21C1F" w:rsidRDefault="00A42880">
                    <w:pPr>
                      <w:pStyle w:val="100"/>
                      <w:rPr>
                        <w:rFonts w:ascii="Times New Roman" w:eastAsiaTheme="majorEastAsia" w:hAnsi="Times New Roman"/>
                      </w:rPr>
                    </w:pPr>
                    <w:r>
                      <w:rPr>
                        <w:rFonts w:ascii="Times New Roman" w:eastAsiaTheme="majorEastAsia" w:hAnsi="Times New Roman"/>
                      </w:rPr>
                      <w:t>CMA Robotics S.p.A.</w:t>
                    </w:r>
                  </w:p>
                </w:tc>
                <w:tc>
                  <w:tcPr>
                    <w:tcW w:w="1507" w:type="dxa"/>
                    <w:tcBorders>
                      <w:top w:val="single" w:sz="2" w:space="0" w:color="auto"/>
                      <w:left w:val="single" w:sz="2" w:space="0" w:color="auto"/>
                      <w:bottom w:val="single" w:sz="2" w:space="0" w:color="auto"/>
                      <w:right w:val="single" w:sz="2" w:space="0" w:color="auto"/>
                    </w:tcBorders>
                    <w:vAlign w:val="center"/>
                  </w:tcPr>
                  <w:p w14:paraId="3D28478E" w14:textId="77777777" w:rsidR="00D21C1F" w:rsidRDefault="00A42880">
                    <w:pPr>
                      <w:pStyle w:val="100"/>
                      <w:rPr>
                        <w:rFonts w:ascii="Times New Roman" w:eastAsiaTheme="majorEastAsia" w:hAnsi="Times New Roman"/>
                      </w:rPr>
                    </w:pPr>
                    <w:r>
                      <w:rPr>
                        <w:rFonts w:ascii="Times New Roman" w:eastAsiaTheme="majorEastAsia" w:hAnsi="Times New Roman"/>
                      </w:rPr>
                      <w:t>CMA</w:t>
                    </w:r>
                  </w:p>
                </w:tc>
                <w:tc>
                  <w:tcPr>
                    <w:tcW w:w="1056" w:type="dxa"/>
                    <w:tcBorders>
                      <w:top w:val="single" w:sz="2" w:space="0" w:color="auto"/>
                      <w:left w:val="single" w:sz="2" w:space="0" w:color="auto"/>
                      <w:bottom w:val="single" w:sz="2" w:space="0" w:color="auto"/>
                      <w:right w:val="single" w:sz="2" w:space="0" w:color="auto"/>
                    </w:tcBorders>
                    <w:vAlign w:val="center"/>
                  </w:tcPr>
                  <w:p w14:paraId="4D4DFA10" w14:textId="77777777" w:rsidR="00D21C1F" w:rsidRDefault="00D21C1F">
                    <w:pPr>
                      <w:pStyle w:val="100"/>
                      <w:jc w:val="right"/>
                      <w:rPr>
                        <w:rFonts w:ascii="Times New Roman" w:eastAsiaTheme="majorEastAsia" w:hAnsi="Times New Roman"/>
                      </w:rPr>
                    </w:pPr>
                  </w:p>
                </w:tc>
                <w:tc>
                  <w:tcPr>
                    <w:tcW w:w="993" w:type="dxa"/>
                    <w:tcBorders>
                      <w:top w:val="single" w:sz="2" w:space="0" w:color="auto"/>
                      <w:left w:val="single" w:sz="2" w:space="0" w:color="auto"/>
                      <w:bottom w:val="single" w:sz="2" w:space="0" w:color="auto"/>
                      <w:right w:val="nil"/>
                    </w:tcBorders>
                    <w:vAlign w:val="center"/>
                  </w:tcPr>
                  <w:p w14:paraId="437F0BBB"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0FBD5ACB" w14:textId="77777777">
                <w:trPr>
                  <w:trHeight w:val="397"/>
                </w:trPr>
                <w:tc>
                  <w:tcPr>
                    <w:tcW w:w="627" w:type="dxa"/>
                    <w:tcBorders>
                      <w:top w:val="single" w:sz="2" w:space="0" w:color="auto"/>
                      <w:left w:val="nil"/>
                      <w:bottom w:val="single" w:sz="2" w:space="0" w:color="auto"/>
                      <w:right w:val="single" w:sz="2" w:space="0" w:color="auto"/>
                    </w:tcBorders>
                    <w:vAlign w:val="center"/>
                  </w:tcPr>
                  <w:p w14:paraId="0B8006A3"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16</w:t>
                    </w:r>
                  </w:p>
                </w:tc>
                <w:tc>
                  <w:tcPr>
                    <w:tcW w:w="4650" w:type="dxa"/>
                    <w:tcBorders>
                      <w:top w:val="single" w:sz="2" w:space="0" w:color="auto"/>
                      <w:left w:val="single" w:sz="2" w:space="0" w:color="auto"/>
                      <w:bottom w:val="single" w:sz="2" w:space="0" w:color="auto"/>
                      <w:right w:val="single" w:sz="2" w:space="0" w:color="auto"/>
                    </w:tcBorders>
                    <w:vAlign w:val="center"/>
                  </w:tcPr>
                  <w:p w14:paraId="498B4BFE" w14:textId="77777777" w:rsidR="00D21C1F" w:rsidRDefault="00A42880">
                    <w:pPr>
                      <w:pStyle w:val="100"/>
                      <w:rPr>
                        <w:rFonts w:ascii="Times New Roman" w:eastAsiaTheme="majorEastAsia" w:hAnsi="Times New Roman"/>
                      </w:rPr>
                    </w:pPr>
                    <w:r>
                      <w:rPr>
                        <w:rFonts w:ascii="Times New Roman" w:eastAsiaTheme="majorEastAsia" w:hAnsi="Times New Roman"/>
                      </w:rPr>
                      <w:t>CMA Roboter GmbH</w:t>
                    </w:r>
                  </w:p>
                </w:tc>
                <w:tc>
                  <w:tcPr>
                    <w:tcW w:w="1507" w:type="dxa"/>
                    <w:tcBorders>
                      <w:top w:val="single" w:sz="2" w:space="0" w:color="auto"/>
                      <w:left w:val="single" w:sz="2" w:space="0" w:color="auto"/>
                      <w:bottom w:val="single" w:sz="2" w:space="0" w:color="auto"/>
                      <w:right w:val="single" w:sz="2" w:space="0" w:color="auto"/>
                    </w:tcBorders>
                    <w:vAlign w:val="center"/>
                  </w:tcPr>
                  <w:p w14:paraId="7FEF32A0" w14:textId="77777777" w:rsidR="00D21C1F" w:rsidRDefault="00A42880">
                    <w:pPr>
                      <w:pStyle w:val="100"/>
                      <w:rPr>
                        <w:rFonts w:ascii="Times New Roman" w:eastAsiaTheme="majorEastAsia" w:hAnsi="Times New Roman"/>
                      </w:rPr>
                    </w:pPr>
                    <w:r>
                      <w:rPr>
                        <w:rFonts w:ascii="Times New Roman" w:eastAsiaTheme="majorEastAsia" w:hAnsi="Times New Roman"/>
                      </w:rPr>
                      <w:t>CMA GmbH</w:t>
                    </w:r>
                  </w:p>
                </w:tc>
                <w:tc>
                  <w:tcPr>
                    <w:tcW w:w="1056" w:type="dxa"/>
                    <w:tcBorders>
                      <w:top w:val="single" w:sz="2" w:space="0" w:color="auto"/>
                      <w:left w:val="single" w:sz="2" w:space="0" w:color="auto"/>
                      <w:bottom w:val="single" w:sz="2" w:space="0" w:color="auto"/>
                      <w:right w:val="single" w:sz="2" w:space="0" w:color="auto"/>
                    </w:tcBorders>
                    <w:vAlign w:val="center"/>
                  </w:tcPr>
                  <w:p w14:paraId="16761EC9"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4C87C5D5"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100.00</w:t>
                    </w:r>
                  </w:p>
                </w:tc>
              </w:tr>
              <w:tr w:rsidR="00D21C1F" w14:paraId="51005D8A" w14:textId="77777777">
                <w:trPr>
                  <w:trHeight w:val="397"/>
                </w:trPr>
                <w:tc>
                  <w:tcPr>
                    <w:tcW w:w="627" w:type="dxa"/>
                    <w:tcBorders>
                      <w:top w:val="single" w:sz="2" w:space="0" w:color="auto"/>
                      <w:left w:val="nil"/>
                      <w:bottom w:val="single" w:sz="2" w:space="0" w:color="auto"/>
                      <w:right w:val="single" w:sz="2" w:space="0" w:color="auto"/>
                    </w:tcBorders>
                    <w:vAlign w:val="center"/>
                  </w:tcPr>
                  <w:p w14:paraId="6E50CC20"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17</w:t>
                    </w:r>
                  </w:p>
                </w:tc>
                <w:tc>
                  <w:tcPr>
                    <w:tcW w:w="4650" w:type="dxa"/>
                    <w:tcBorders>
                      <w:top w:val="single" w:sz="2" w:space="0" w:color="auto"/>
                      <w:left w:val="single" w:sz="2" w:space="0" w:color="auto"/>
                      <w:bottom w:val="single" w:sz="2" w:space="0" w:color="auto"/>
                      <w:right w:val="single" w:sz="2" w:space="0" w:color="auto"/>
                    </w:tcBorders>
                    <w:vAlign w:val="center"/>
                  </w:tcPr>
                  <w:p w14:paraId="2CB3D22D" w14:textId="77777777" w:rsidR="00D21C1F" w:rsidRDefault="00A42880">
                    <w:pPr>
                      <w:pStyle w:val="100"/>
                      <w:rPr>
                        <w:rFonts w:ascii="Times New Roman" w:eastAsiaTheme="majorEastAsia" w:hAnsi="Times New Roman"/>
                      </w:rPr>
                    </w:pPr>
                    <w:r>
                      <w:rPr>
                        <w:rFonts w:ascii="Times New Roman" w:eastAsiaTheme="majorEastAsia" w:hAnsi="Times New Roman"/>
                      </w:rPr>
                      <w:t>江西希美埃机器人工程有限公司</w:t>
                    </w:r>
                  </w:p>
                </w:tc>
                <w:tc>
                  <w:tcPr>
                    <w:tcW w:w="1507" w:type="dxa"/>
                    <w:tcBorders>
                      <w:top w:val="single" w:sz="2" w:space="0" w:color="auto"/>
                      <w:left w:val="single" w:sz="2" w:space="0" w:color="auto"/>
                      <w:bottom w:val="single" w:sz="2" w:space="0" w:color="auto"/>
                      <w:right w:val="single" w:sz="2" w:space="0" w:color="auto"/>
                    </w:tcBorders>
                    <w:vAlign w:val="center"/>
                  </w:tcPr>
                  <w:p w14:paraId="0992C737" w14:textId="77777777" w:rsidR="00D21C1F" w:rsidRDefault="00A42880">
                    <w:pPr>
                      <w:pStyle w:val="100"/>
                      <w:rPr>
                        <w:rFonts w:ascii="Times New Roman" w:eastAsiaTheme="majorEastAsia" w:hAnsi="Times New Roman"/>
                      </w:rPr>
                    </w:pPr>
                    <w:r>
                      <w:rPr>
                        <w:rFonts w:ascii="Times New Roman" w:eastAsiaTheme="majorEastAsia" w:hAnsi="Times New Roman"/>
                      </w:rPr>
                      <w:t>江西希美埃</w:t>
                    </w:r>
                  </w:p>
                </w:tc>
                <w:tc>
                  <w:tcPr>
                    <w:tcW w:w="1056" w:type="dxa"/>
                    <w:tcBorders>
                      <w:top w:val="single" w:sz="2" w:space="0" w:color="auto"/>
                      <w:left w:val="single" w:sz="2" w:space="0" w:color="auto"/>
                      <w:bottom w:val="single" w:sz="2" w:space="0" w:color="auto"/>
                      <w:right w:val="single" w:sz="2" w:space="0" w:color="auto"/>
                    </w:tcBorders>
                    <w:vAlign w:val="center"/>
                  </w:tcPr>
                  <w:p w14:paraId="5EF14BAA"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c>
                  <w:tcPr>
                    <w:tcW w:w="993" w:type="dxa"/>
                    <w:tcBorders>
                      <w:top w:val="single" w:sz="2" w:space="0" w:color="auto"/>
                      <w:left w:val="single" w:sz="2" w:space="0" w:color="auto"/>
                      <w:bottom w:val="single" w:sz="2" w:space="0" w:color="auto"/>
                      <w:right w:val="nil"/>
                    </w:tcBorders>
                    <w:vAlign w:val="center"/>
                  </w:tcPr>
                  <w:p w14:paraId="69F0ABEC"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50.50</w:t>
                    </w:r>
                  </w:p>
                </w:tc>
              </w:tr>
              <w:tr w:rsidR="00D21C1F" w14:paraId="301BBAF8" w14:textId="77777777">
                <w:trPr>
                  <w:trHeight w:val="397"/>
                </w:trPr>
                <w:tc>
                  <w:tcPr>
                    <w:tcW w:w="627" w:type="dxa"/>
                    <w:tcBorders>
                      <w:top w:val="single" w:sz="2" w:space="0" w:color="auto"/>
                      <w:left w:val="nil"/>
                      <w:bottom w:val="single" w:sz="8" w:space="0" w:color="auto"/>
                      <w:right w:val="single" w:sz="2" w:space="0" w:color="auto"/>
                    </w:tcBorders>
                    <w:vAlign w:val="center"/>
                  </w:tcPr>
                  <w:p w14:paraId="16116B0D" w14:textId="77777777" w:rsidR="00D21C1F" w:rsidRDefault="00A42880">
                    <w:pPr>
                      <w:pStyle w:val="100"/>
                      <w:jc w:val="center"/>
                      <w:rPr>
                        <w:rFonts w:asciiTheme="majorEastAsia" w:eastAsiaTheme="majorEastAsia" w:hAnsiTheme="majorEastAsia"/>
                      </w:rPr>
                    </w:pPr>
                    <w:r>
                      <w:rPr>
                        <w:rFonts w:asciiTheme="majorEastAsia" w:eastAsiaTheme="majorEastAsia" w:hAnsiTheme="majorEastAsia"/>
                      </w:rPr>
                      <w:t>18</w:t>
                    </w:r>
                  </w:p>
                </w:tc>
                <w:tc>
                  <w:tcPr>
                    <w:tcW w:w="4650" w:type="dxa"/>
                    <w:tcBorders>
                      <w:top w:val="single" w:sz="2" w:space="0" w:color="auto"/>
                      <w:left w:val="single" w:sz="2" w:space="0" w:color="auto"/>
                      <w:bottom w:val="single" w:sz="8" w:space="0" w:color="auto"/>
                      <w:right w:val="single" w:sz="2" w:space="0" w:color="auto"/>
                    </w:tcBorders>
                    <w:vAlign w:val="center"/>
                  </w:tcPr>
                  <w:p w14:paraId="35448520" w14:textId="77777777" w:rsidR="00D21C1F" w:rsidRDefault="00A42880">
                    <w:pPr>
                      <w:pStyle w:val="100"/>
                      <w:rPr>
                        <w:rFonts w:ascii="Times New Roman" w:eastAsiaTheme="majorEastAsia" w:hAnsi="Times New Roman"/>
                      </w:rPr>
                    </w:pPr>
                    <w:r>
                      <w:rPr>
                        <w:rFonts w:ascii="Times New Roman" w:eastAsiaTheme="majorEastAsia" w:hAnsi="Times New Roman"/>
                      </w:rPr>
                      <w:t>广东埃汇智能装备有限公司</w:t>
                    </w:r>
                  </w:p>
                </w:tc>
                <w:tc>
                  <w:tcPr>
                    <w:tcW w:w="1507" w:type="dxa"/>
                    <w:tcBorders>
                      <w:top w:val="single" w:sz="2" w:space="0" w:color="auto"/>
                      <w:left w:val="single" w:sz="2" w:space="0" w:color="auto"/>
                      <w:bottom w:val="single" w:sz="8" w:space="0" w:color="auto"/>
                      <w:right w:val="single" w:sz="2" w:space="0" w:color="auto"/>
                    </w:tcBorders>
                    <w:vAlign w:val="center"/>
                  </w:tcPr>
                  <w:p w14:paraId="20B3E755" w14:textId="77777777" w:rsidR="00D21C1F" w:rsidRDefault="00A42880">
                    <w:pPr>
                      <w:pStyle w:val="100"/>
                      <w:rPr>
                        <w:rFonts w:ascii="Times New Roman" w:eastAsiaTheme="majorEastAsia" w:hAnsi="Times New Roman"/>
                      </w:rPr>
                    </w:pPr>
                    <w:r>
                      <w:rPr>
                        <w:rFonts w:ascii="Times New Roman" w:eastAsiaTheme="majorEastAsia" w:hAnsi="Times New Roman"/>
                      </w:rPr>
                      <w:t>广东埃汇</w:t>
                    </w:r>
                  </w:p>
                </w:tc>
                <w:tc>
                  <w:tcPr>
                    <w:tcW w:w="1056" w:type="dxa"/>
                    <w:tcBorders>
                      <w:top w:val="single" w:sz="2" w:space="0" w:color="auto"/>
                      <w:left w:val="single" w:sz="2" w:space="0" w:color="auto"/>
                      <w:bottom w:val="single" w:sz="8" w:space="0" w:color="auto"/>
                      <w:right w:val="single" w:sz="2" w:space="0" w:color="auto"/>
                    </w:tcBorders>
                    <w:vAlign w:val="center"/>
                  </w:tcPr>
                  <w:p w14:paraId="30BE5F07"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60.00</w:t>
                    </w:r>
                  </w:p>
                </w:tc>
                <w:tc>
                  <w:tcPr>
                    <w:tcW w:w="993" w:type="dxa"/>
                    <w:tcBorders>
                      <w:top w:val="single" w:sz="2" w:space="0" w:color="auto"/>
                      <w:left w:val="single" w:sz="2" w:space="0" w:color="auto"/>
                      <w:bottom w:val="single" w:sz="8" w:space="0" w:color="auto"/>
                      <w:right w:val="nil"/>
                    </w:tcBorders>
                    <w:vAlign w:val="center"/>
                  </w:tcPr>
                  <w:p w14:paraId="12505D66" w14:textId="77777777" w:rsidR="00D21C1F" w:rsidRDefault="00A42880">
                    <w:pPr>
                      <w:pStyle w:val="100"/>
                      <w:jc w:val="right"/>
                      <w:rPr>
                        <w:rFonts w:ascii="Times New Roman" w:eastAsiaTheme="majorEastAsia" w:hAnsi="Times New Roman"/>
                      </w:rPr>
                    </w:pPr>
                    <w:r>
                      <w:rPr>
                        <w:rFonts w:ascii="Times New Roman" w:eastAsiaTheme="majorEastAsia" w:hAnsi="Times New Roman"/>
                      </w:rPr>
                      <w:t>-</w:t>
                    </w:r>
                  </w:p>
                </w:tc>
              </w:tr>
            </w:tbl>
            <w:p w14:paraId="32E07650" w14:textId="77777777" w:rsidR="00D21C1F" w:rsidRDefault="00045EC6">
              <w:pPr>
                <w:pStyle w:val="120"/>
              </w:pPr>
            </w:p>
          </w:sdtContent>
        </w:sdt>
      </w:sdtContent>
    </w:sdt>
    <w:bookmarkEnd w:id="146"/>
    <w:p w14:paraId="6827BA12" w14:textId="77777777" w:rsidR="00D21C1F" w:rsidRDefault="00D21C1F">
      <w:pPr>
        <w:rPr>
          <w:szCs w:val="21"/>
        </w:rPr>
      </w:pPr>
    </w:p>
    <w:p w14:paraId="571A2AAA" w14:textId="77777777" w:rsidR="00D21C1F" w:rsidRDefault="00A42880">
      <w:pPr>
        <w:pStyle w:val="2CharCharChar"/>
        <w:numPr>
          <w:ilvl w:val="0"/>
          <w:numId w:val="42"/>
        </w:numPr>
      </w:pPr>
      <w:r>
        <w:rPr>
          <w:rFonts w:hint="eastAsia"/>
        </w:rPr>
        <w:t>财务报表的编制基础</w:t>
      </w:r>
    </w:p>
    <w:sdt>
      <w:sdtPr>
        <w:rPr>
          <w:rFonts w:ascii="宋体" w:eastAsia="宋体" w:hAnsi="宋体" w:cs="宋体"/>
          <w:b w:val="0"/>
          <w:bCs w:val="0"/>
          <w:kern w:val="0"/>
          <w:szCs w:val="22"/>
        </w:rPr>
        <w:alias w:val="模块:财务报表的编制基础"/>
        <w:tag w:val="_GBC_6d12949d3695402592266a78137dcfb5"/>
        <w:id w:val="2125419402"/>
        <w:lock w:val="sdtLocked"/>
        <w:placeholder>
          <w:docPart w:val="GBC22222222222222222222222222222"/>
        </w:placeholder>
      </w:sdtPr>
      <w:sdtEndPr>
        <w:rPr>
          <w:rFonts w:cs="Times New Roman" w:hint="eastAsia"/>
          <w:kern w:val="2"/>
          <w:szCs w:val="21"/>
        </w:rPr>
      </w:sdtEndPr>
      <w:sdtContent>
        <w:p w14:paraId="21E3ABB4" w14:textId="77777777" w:rsidR="00D21C1F" w:rsidRDefault="00A42880">
          <w:pPr>
            <w:pStyle w:val="94"/>
            <w:numPr>
              <w:ilvl w:val="0"/>
              <w:numId w:val="44"/>
            </w:numPr>
            <w:rPr>
              <w:rFonts w:ascii="宋体" w:hAnsi="宋体"/>
            </w:rPr>
          </w:pPr>
          <w:r>
            <w:rPr>
              <w:rFonts w:ascii="宋体" w:hAnsi="宋体"/>
            </w:rPr>
            <w:t>编制基础</w:t>
          </w:r>
        </w:p>
        <w:sdt>
          <w:sdtPr>
            <w:rPr>
              <w:rFonts w:hint="eastAsia"/>
              <w:szCs w:val="21"/>
            </w:rPr>
            <w:alias w:val="财务报表的编制基础"/>
            <w:tag w:val="_GBC_1dc2375ed7ab49628f5badf2d5006405"/>
            <w:id w:val="-2135860806"/>
            <w:lock w:val="sdtLocked"/>
            <w:placeholder>
              <w:docPart w:val="GBC22222222222222222222222222222"/>
            </w:placeholder>
          </w:sdtPr>
          <w:sdtEndPr/>
          <w:sdtContent>
            <w:p w14:paraId="363EDA1B" w14:textId="77777777" w:rsidR="00D21C1F" w:rsidRDefault="00A42880">
              <w:pPr>
                <w:rPr>
                  <w:szCs w:val="21"/>
                </w:rPr>
              </w:pPr>
              <w:r>
                <w:rPr>
                  <w:szCs w:val="21"/>
                </w:rPr>
                <w:t>本公司财务报表以持续经营为编制基础。</w:t>
              </w:r>
            </w:p>
          </w:sdtContent>
        </w:sdt>
      </w:sdtContent>
    </w:sdt>
    <w:p w14:paraId="2441FCC0" w14:textId="77777777" w:rsidR="00D21C1F" w:rsidRDefault="00D21C1F">
      <w:pPr>
        <w:rPr>
          <w:szCs w:val="21"/>
        </w:rPr>
      </w:pPr>
    </w:p>
    <w:sdt>
      <w:sdtPr>
        <w:rPr>
          <w:rFonts w:ascii="宋体" w:hAnsi="宋体" w:cs="宋体" w:hint="eastAsia"/>
          <w:b w:val="0"/>
          <w:bCs w:val="0"/>
          <w:kern w:val="0"/>
          <w:szCs w:val="22"/>
        </w:rPr>
        <w:alias w:val="模块:持续经营"/>
        <w:tag w:val="_GBC_69ae6baeacb44e8fa17b0b984abbf6ab"/>
        <w:id w:val="1730652501"/>
        <w:lock w:val="sdtLocked"/>
        <w:placeholder>
          <w:docPart w:val="GBC22222222222222222222222222222"/>
        </w:placeholder>
      </w:sdtPr>
      <w:sdtEndPr>
        <w:rPr>
          <w:rFonts w:cs="Times New Roman"/>
          <w:kern w:val="2"/>
          <w:szCs w:val="21"/>
        </w:rPr>
      </w:sdtEndPr>
      <w:sdtContent>
        <w:p w14:paraId="128A1B68" w14:textId="77777777" w:rsidR="00D21C1F" w:rsidRDefault="00A42880">
          <w:pPr>
            <w:pStyle w:val="94"/>
            <w:numPr>
              <w:ilvl w:val="0"/>
              <w:numId w:val="44"/>
            </w:numPr>
            <w:rPr>
              <w:rFonts w:ascii="宋体" w:hAnsi="宋体"/>
            </w:rPr>
          </w:pPr>
          <w:r>
            <w:rPr>
              <w:rFonts w:ascii="宋体" w:hAnsi="宋体" w:hint="eastAsia"/>
            </w:rPr>
            <w:t>持续经营</w:t>
          </w:r>
        </w:p>
        <w:sdt>
          <w:sdtPr>
            <w:alias w:val="是否适用：持续经营[双击切换]"/>
            <w:tag w:val="_GBC_7a7bd82392314f508ef1adfe80947192"/>
            <w:id w:val="418991330"/>
            <w:lock w:val="sdtLocked"/>
            <w:placeholder>
              <w:docPart w:val="GBC22222222222222222222222222222"/>
            </w:placeholder>
          </w:sdtPr>
          <w:sdtEndPr/>
          <w:sdtContent>
            <w:p w14:paraId="574A2D7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持续经营"/>
            <w:tag w:val="_GBC_dc876c24006b428987a041949eb554f3"/>
            <w:id w:val="-1013368540"/>
            <w:lock w:val="sdtLocked"/>
            <w:placeholder>
              <w:docPart w:val="GBC22222222222222222222222222222"/>
            </w:placeholder>
          </w:sdtPr>
          <w:sdtEndPr/>
          <w:sdtContent>
            <w:p w14:paraId="53BEE90C" w14:textId="77777777" w:rsidR="00D21C1F" w:rsidRDefault="00A42880">
              <w:pPr>
                <w:pStyle w:val="120"/>
                <w:spacing w:line="360" w:lineRule="auto"/>
                <w:ind w:firstLineChars="200" w:firstLine="420"/>
                <w:jc w:val="both"/>
              </w:pPr>
              <w:r>
                <w:rPr>
                  <w:rFonts w:hint="eastAsia"/>
                </w:rPr>
                <w:t>本公司对自报告期末起</w:t>
              </w:r>
              <w:r>
                <w:rPr>
                  <w:rFonts w:ascii="Times New Roman" w:hAnsi="Times New Roman" w:cs="宋体"/>
                </w:rPr>
                <w:t>12</w:t>
              </w:r>
              <w:r>
                <w:rPr>
                  <w:rFonts w:hint="eastAsia"/>
                </w:rPr>
                <w:t>月的持续经营能力进行了评估，未发现影响本公司持续经营能力的事项，本公司以持续经营为基础编制财务报表是合理的。</w:t>
              </w:r>
            </w:p>
          </w:sdtContent>
        </w:sdt>
      </w:sdtContent>
    </w:sdt>
    <w:p w14:paraId="5DFF61C0" w14:textId="77777777" w:rsidR="00D21C1F" w:rsidRDefault="00D21C1F">
      <w:pPr>
        <w:rPr>
          <w:szCs w:val="21"/>
        </w:rPr>
      </w:pPr>
    </w:p>
    <w:p w14:paraId="2955EE46" w14:textId="77777777" w:rsidR="00D21C1F" w:rsidRDefault="00A42880">
      <w:pPr>
        <w:pStyle w:val="2CharCharChar"/>
        <w:numPr>
          <w:ilvl w:val="0"/>
          <w:numId w:val="42"/>
        </w:numPr>
      </w:pPr>
      <w:r>
        <w:rPr>
          <w:rFonts w:hint="eastAsia"/>
        </w:rPr>
        <w:t>重</w:t>
      </w:r>
      <w:r>
        <w:t>要会计政策</w:t>
      </w:r>
      <w:r>
        <w:rPr>
          <w:rFonts w:hint="eastAsia"/>
        </w:rPr>
        <w:t>及</w:t>
      </w:r>
      <w:r>
        <w:t>会计估计</w:t>
      </w:r>
    </w:p>
    <w:sdt>
      <w:sdtPr>
        <w:alias w:val="模块:具体会计政策和会计估计提示"/>
        <w:tag w:val="_GBC_03d97fea34d045cb980749ccc6860a5a"/>
        <w:id w:val="1749622942"/>
        <w:lock w:val="sdtLocked"/>
        <w:placeholder>
          <w:docPart w:val="GBC22222222222222222222222222222"/>
        </w:placeholder>
      </w:sdtPr>
      <w:sdtEndPr/>
      <w:sdtContent>
        <w:p w14:paraId="60A2C001" w14:textId="77777777" w:rsidR="00D21C1F" w:rsidRDefault="00A42880">
          <w:pPr>
            <w:pStyle w:val="97"/>
          </w:pPr>
          <w:r>
            <w:rPr>
              <w:rFonts w:hint="eastAsia"/>
            </w:rPr>
            <w:t>具体会计政策和会计估计提示：</w:t>
          </w:r>
        </w:p>
        <w:sdt>
          <w:sdtPr>
            <w:alias w:val="是否适用：具体会计政策和会计估计提示[双击切换]"/>
            <w:tag w:val="_GBC_77c62823e3884e1fbfb236cea1f9f425"/>
            <w:id w:val="1949035221"/>
            <w:lock w:val="sdtLocked"/>
            <w:placeholder>
              <w:docPart w:val="GBC22222222222222222222222222222"/>
            </w:placeholder>
          </w:sdtPr>
          <w:sdtEndPr/>
          <w:sdtContent>
            <w:p w14:paraId="5EACD8A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7FF7267" w14:textId="77777777" w:rsidR="00D21C1F" w:rsidRDefault="00D21C1F">
      <w:pPr>
        <w:pStyle w:val="97"/>
      </w:pPr>
    </w:p>
    <w:sdt>
      <w:sdtPr>
        <w:rPr>
          <w:rFonts w:ascii="宋体" w:eastAsia="宋体" w:hAnsi="宋体" w:cs="宋体"/>
          <w:b w:val="0"/>
          <w:bCs w:val="0"/>
          <w:kern w:val="0"/>
          <w:szCs w:val="22"/>
        </w:rPr>
        <w:alias w:val="模块:遵循企业会计准则的声明"/>
        <w:tag w:val="_GBC_a0afbb5b3a444bce84ee78a2a282cb28"/>
        <w:id w:val="-58326971"/>
        <w:lock w:val="sdtLocked"/>
        <w:placeholder>
          <w:docPart w:val="GBC22222222222222222222222222222"/>
        </w:placeholder>
      </w:sdtPr>
      <w:sdtEndPr>
        <w:rPr>
          <w:rFonts w:cs="Times New Roman" w:hint="eastAsia"/>
          <w:kern w:val="2"/>
          <w:szCs w:val="21"/>
        </w:rPr>
      </w:sdtEndPr>
      <w:sdtContent>
        <w:p w14:paraId="0DD4B210" w14:textId="77777777" w:rsidR="00D21C1F" w:rsidRDefault="00A42880">
          <w:pPr>
            <w:pStyle w:val="94"/>
            <w:numPr>
              <w:ilvl w:val="0"/>
              <w:numId w:val="45"/>
            </w:numPr>
            <w:rPr>
              <w:rFonts w:ascii="宋体" w:hAnsi="宋体"/>
            </w:rPr>
          </w:pPr>
          <w:r>
            <w:rPr>
              <w:rFonts w:ascii="宋体" w:hAnsi="宋体"/>
            </w:rPr>
            <w:t>遵循企业会计准则的声明</w:t>
          </w:r>
        </w:p>
        <w:sdt>
          <w:sdtPr>
            <w:rPr>
              <w:rFonts w:hint="eastAsia"/>
              <w:szCs w:val="21"/>
            </w:rPr>
            <w:alias w:val="会计准则和会计制度"/>
            <w:tag w:val="_GBC_a350b889163a4ef3bb500c021e6a6b47"/>
            <w:id w:val="-1737388584"/>
            <w:lock w:val="sdtLocked"/>
            <w:placeholder>
              <w:docPart w:val="GBC22222222222222222222222222222"/>
            </w:placeholder>
          </w:sdtPr>
          <w:sdtEndPr/>
          <w:sdtContent>
            <w:p w14:paraId="33BFBEB8" w14:textId="77777777" w:rsidR="00D21C1F" w:rsidRDefault="00A42880">
              <w:pPr>
                <w:spacing w:line="360" w:lineRule="auto"/>
                <w:ind w:firstLineChars="200" w:firstLine="420"/>
                <w:jc w:val="both"/>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5E046771" w14:textId="77777777" w:rsidR="00D21C1F" w:rsidRDefault="00D21C1F">
      <w:pPr>
        <w:rPr>
          <w:szCs w:val="21"/>
        </w:rPr>
      </w:pPr>
    </w:p>
    <w:sdt>
      <w:sdtPr>
        <w:rPr>
          <w:rFonts w:ascii="宋体" w:eastAsia="宋体" w:hAnsi="宋体" w:cs="宋体"/>
          <w:b w:val="0"/>
          <w:bCs w:val="0"/>
          <w:kern w:val="0"/>
          <w:szCs w:val="24"/>
        </w:rPr>
        <w:alias w:val="模块:会计期间"/>
        <w:tag w:val="_GBC_2d7f332501c8461ea731797db5588ee5"/>
        <w:id w:val="1408578422"/>
        <w:lock w:val="sdtLocked"/>
        <w:placeholder>
          <w:docPart w:val="GBC22222222222222222222222222222"/>
        </w:placeholder>
      </w:sdtPr>
      <w:sdtEndPr>
        <w:rPr>
          <w:rFonts w:hint="eastAsia"/>
          <w:szCs w:val="21"/>
        </w:rPr>
      </w:sdtEndPr>
      <w:sdtContent>
        <w:p w14:paraId="6A0148A5" w14:textId="77777777" w:rsidR="00D21C1F" w:rsidRDefault="00A42880">
          <w:pPr>
            <w:pStyle w:val="94"/>
            <w:numPr>
              <w:ilvl w:val="0"/>
              <w:numId w:val="45"/>
            </w:numPr>
            <w:rPr>
              <w:rFonts w:ascii="宋体" w:hAnsi="宋体"/>
            </w:rPr>
          </w:pPr>
          <w:r>
            <w:rPr>
              <w:rFonts w:ascii="宋体" w:hAnsi="宋体"/>
            </w:rPr>
            <w:t>会计期间</w:t>
          </w:r>
        </w:p>
        <w:sdt>
          <w:sdtPr>
            <w:rPr>
              <w:rFonts w:hint="eastAsia"/>
              <w:szCs w:val="21"/>
            </w:rPr>
            <w:alias w:val="会计年度"/>
            <w:tag w:val="_GBC_fc896fba50b143f8a06984831f5d5600"/>
            <w:id w:val="-1511213229"/>
            <w:lock w:val="sdtLocked"/>
            <w:placeholder>
              <w:docPart w:val="GBC22222222222222222222222222222"/>
            </w:placeholder>
          </w:sdtPr>
          <w:sdtEndPr/>
          <w:sdtContent>
            <w:p w14:paraId="4E4CBFAD" w14:textId="77777777" w:rsidR="00D21C1F" w:rsidRDefault="00A42880">
              <w:pPr>
                <w:rPr>
                  <w:szCs w:val="21"/>
                </w:rPr>
              </w:pPr>
              <w:r>
                <w:rPr>
                  <w:szCs w:val="21"/>
                </w:rPr>
                <w:t>本公司会计年度自公历</w:t>
              </w:r>
              <w:r>
                <w:rPr>
                  <w:rFonts w:ascii="Times New Roman" w:hAnsi="Times New Roman"/>
                  <w:szCs w:val="21"/>
                </w:rPr>
                <w:t>1</w:t>
              </w:r>
              <w:r>
                <w:rPr>
                  <w:szCs w:val="21"/>
                </w:rPr>
                <w:t>月</w:t>
              </w:r>
              <w:r>
                <w:rPr>
                  <w:rFonts w:ascii="Times New Roman" w:hAnsi="Times New Roman"/>
                  <w:szCs w:val="21"/>
                </w:rPr>
                <w:t>1</w:t>
              </w:r>
              <w:r>
                <w:rPr>
                  <w:szCs w:val="21"/>
                </w:rPr>
                <w:t>日起至</w:t>
              </w:r>
              <w:r>
                <w:rPr>
                  <w:rFonts w:ascii="Times New Roman" w:hAnsi="Times New Roman"/>
                  <w:szCs w:val="21"/>
                </w:rPr>
                <w:t>12</w:t>
              </w:r>
              <w:r>
                <w:rPr>
                  <w:szCs w:val="21"/>
                </w:rPr>
                <w:t>月</w:t>
              </w:r>
              <w:r>
                <w:rPr>
                  <w:rFonts w:ascii="Times New Roman" w:hAnsi="Times New Roman"/>
                  <w:szCs w:val="21"/>
                </w:rPr>
                <w:t>31</w:t>
              </w:r>
              <w:r>
                <w:rPr>
                  <w:szCs w:val="21"/>
                </w:rPr>
                <w:t>日止。</w:t>
              </w:r>
            </w:p>
          </w:sdtContent>
        </w:sdt>
      </w:sdtContent>
    </w:sdt>
    <w:p w14:paraId="7162329A" w14:textId="77777777" w:rsidR="00D21C1F" w:rsidRDefault="00D21C1F">
      <w:pPr>
        <w:rPr>
          <w:szCs w:val="21"/>
        </w:rPr>
      </w:pPr>
    </w:p>
    <w:sdt>
      <w:sdtPr>
        <w:rPr>
          <w:rFonts w:ascii="宋体" w:hAnsi="宋体" w:cs="宋体" w:hint="eastAsia"/>
          <w:b w:val="0"/>
          <w:bCs w:val="0"/>
          <w:kern w:val="0"/>
          <w:szCs w:val="22"/>
        </w:rPr>
        <w:alias w:val="模块:营业周期"/>
        <w:tag w:val="_GBC_b045784ca7904d52a060134ffec0d88c"/>
        <w:id w:val="240757721"/>
        <w:lock w:val="sdtLocked"/>
        <w:placeholder>
          <w:docPart w:val="GBC22222222222222222222222222222"/>
        </w:placeholder>
      </w:sdtPr>
      <w:sdtEndPr>
        <w:rPr>
          <w:rFonts w:cs="Times New Roman"/>
          <w:kern w:val="2"/>
          <w:szCs w:val="21"/>
        </w:rPr>
      </w:sdtEndPr>
      <w:sdtContent>
        <w:p w14:paraId="5F3C2738" w14:textId="77777777" w:rsidR="00D21C1F" w:rsidRDefault="00A42880">
          <w:pPr>
            <w:pStyle w:val="94"/>
            <w:numPr>
              <w:ilvl w:val="0"/>
              <w:numId w:val="45"/>
            </w:numPr>
            <w:rPr>
              <w:rFonts w:ascii="宋体" w:hAnsi="宋体"/>
            </w:rPr>
          </w:pPr>
          <w:r>
            <w:rPr>
              <w:rFonts w:ascii="宋体" w:hAnsi="宋体" w:hint="eastAsia"/>
            </w:rPr>
            <w:t>营业周期</w:t>
          </w:r>
        </w:p>
        <w:sdt>
          <w:sdtPr>
            <w:alias w:val="是否适用：营业周期[双击切换]"/>
            <w:tag w:val="_GBC_1668f7f497234cf886206b57711c4c87"/>
            <w:id w:val="-1907063856"/>
            <w:lock w:val="sdtLocked"/>
            <w:placeholder>
              <w:docPart w:val="GBC22222222222222222222222222222"/>
            </w:placeholder>
          </w:sdtPr>
          <w:sdtEndPr/>
          <w:sdtContent>
            <w:p w14:paraId="21B9712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营业周期"/>
            <w:tag w:val="_GBC_e145e43187d9463889884f48e9e0b234"/>
            <w:id w:val="441582407"/>
            <w:lock w:val="sdtLocked"/>
            <w:placeholder>
              <w:docPart w:val="GBC22222222222222222222222222222"/>
            </w:placeholder>
          </w:sdtPr>
          <w:sdtEndPr/>
          <w:sdtContent>
            <w:p w14:paraId="6235B409" w14:textId="77777777" w:rsidR="00D21C1F" w:rsidRDefault="00A42880">
              <w:pPr>
                <w:pStyle w:val="120"/>
              </w:pPr>
              <w:r>
                <w:rPr>
                  <w:rFonts w:hint="eastAsia"/>
                </w:rPr>
                <w:t>本公司正常营业周期为一年(</w:t>
              </w:r>
              <w:r>
                <w:rPr>
                  <w:rFonts w:ascii="Times New Roman" w:hAnsi="Times New Roman" w:cs="宋体"/>
                </w:rPr>
                <w:t>12</w:t>
              </w:r>
              <w:r>
                <w:rPr>
                  <w:rFonts w:hint="eastAsia"/>
                </w:rPr>
                <w:t>个月)。</w:t>
              </w:r>
            </w:p>
          </w:sdtContent>
        </w:sdt>
      </w:sdtContent>
    </w:sdt>
    <w:p w14:paraId="4148AE30" w14:textId="77777777" w:rsidR="00D21C1F" w:rsidRDefault="00D21C1F">
      <w:pPr>
        <w:rPr>
          <w:szCs w:val="21"/>
        </w:rPr>
      </w:pPr>
    </w:p>
    <w:sdt>
      <w:sdtPr>
        <w:rPr>
          <w:rFonts w:ascii="宋体" w:eastAsia="宋体" w:hAnsi="宋体" w:cs="宋体"/>
          <w:b w:val="0"/>
          <w:bCs w:val="0"/>
          <w:kern w:val="0"/>
          <w:szCs w:val="22"/>
        </w:rPr>
        <w:alias w:val="模块:记账本位币"/>
        <w:tag w:val="_GBC_13b1061968754e20bebf2099281ed54f"/>
        <w:id w:val="1696570390"/>
        <w:lock w:val="sdtLocked"/>
        <w:placeholder>
          <w:docPart w:val="GBC22222222222222222222222222222"/>
        </w:placeholder>
      </w:sdtPr>
      <w:sdtEndPr>
        <w:rPr>
          <w:rFonts w:cs="Times New Roman" w:hint="eastAsia"/>
          <w:kern w:val="2"/>
          <w:szCs w:val="21"/>
        </w:rPr>
      </w:sdtEndPr>
      <w:sdtContent>
        <w:p w14:paraId="1C4F3704" w14:textId="77777777" w:rsidR="00D21C1F" w:rsidRDefault="00A42880">
          <w:pPr>
            <w:pStyle w:val="94"/>
            <w:numPr>
              <w:ilvl w:val="0"/>
              <w:numId w:val="45"/>
            </w:numPr>
            <w:rPr>
              <w:rFonts w:ascii="宋体" w:hAnsi="宋体"/>
            </w:rPr>
          </w:pPr>
          <w:r>
            <w:rPr>
              <w:rFonts w:ascii="宋体" w:hAnsi="宋体"/>
            </w:rPr>
            <w:t>记账本位币</w:t>
          </w:r>
        </w:p>
        <w:sdt>
          <w:sdtPr>
            <w:rPr>
              <w:rFonts w:hint="eastAsia"/>
              <w:szCs w:val="21"/>
            </w:rPr>
            <w:alias w:val="记账本位币"/>
            <w:tag w:val="_GBC_3749a2357eba44e8b968cb41cda75ff1"/>
            <w:id w:val="-125470844"/>
            <w:lock w:val="sdtLocked"/>
            <w:placeholder>
              <w:docPart w:val="GBC22222222222222222222222222222"/>
            </w:placeholder>
          </w:sdtPr>
          <w:sdtEndPr/>
          <w:sdtContent>
            <w:p w14:paraId="25FE442F" w14:textId="77777777" w:rsidR="00D21C1F" w:rsidRDefault="00A42880">
              <w:pPr>
                <w:rPr>
                  <w:szCs w:val="21"/>
                </w:rPr>
              </w:pPr>
              <w:r>
                <w:rPr>
                  <w:szCs w:val="21"/>
                </w:rPr>
                <w:t>本公司的记账本位币为人民币。</w:t>
              </w:r>
            </w:p>
          </w:sdtContent>
        </w:sdt>
        <w:p w14:paraId="268A8D9A" w14:textId="77777777" w:rsidR="00D21C1F" w:rsidRDefault="00045EC6">
          <w:pPr>
            <w:rPr>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867754072"/>
        <w:lock w:val="sdtLocked"/>
        <w:placeholder>
          <w:docPart w:val="GBC22222222222222222222222222222"/>
        </w:placeholder>
      </w:sdtPr>
      <w:sdtEndPr>
        <w:rPr>
          <w:rFonts w:cs="Times New Roman" w:hint="eastAsia"/>
          <w:kern w:val="2"/>
          <w:szCs w:val="21"/>
        </w:rPr>
      </w:sdtEndPr>
      <w:sdtContent>
        <w:p w14:paraId="2C670E36" w14:textId="77777777" w:rsidR="00D21C1F" w:rsidRDefault="00A42880">
          <w:pPr>
            <w:pStyle w:val="94"/>
            <w:numPr>
              <w:ilvl w:val="0"/>
              <w:numId w:val="45"/>
            </w:numPr>
            <w:rPr>
              <w:rFonts w:ascii="宋体" w:hAnsi="宋体"/>
            </w:rPr>
          </w:pPr>
          <w:r>
            <w:rPr>
              <w:rFonts w:ascii="宋体" w:hAnsi="宋体"/>
            </w:rP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1780597446"/>
            <w:lock w:val="sdtLocked"/>
            <w:placeholder>
              <w:docPart w:val="GBC22222222222222222222222222222"/>
            </w:placeholder>
          </w:sdtPr>
          <w:sdtEndPr/>
          <w:sdtContent>
            <w:p w14:paraId="0898E91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同一控制下和非同一控制下企业合并的会计处理方法"/>
            <w:tag w:val="_GBC_ef4b9a8d4ac34f45a0f61a23267bcbb8"/>
            <w:id w:val="2054427196"/>
            <w:lock w:val="sdtLocked"/>
            <w:placeholder>
              <w:docPart w:val="GBC22222222222222222222222222222"/>
            </w:placeholder>
          </w:sdtPr>
          <w:sdtEndPr/>
          <w:sdtContent>
            <w:p w14:paraId="6D33B98D" w14:textId="77777777" w:rsidR="00D21C1F" w:rsidRDefault="00A42880">
              <w:pPr>
                <w:pStyle w:val="120"/>
                <w:widowControl w:val="0"/>
                <w:spacing w:line="360" w:lineRule="auto"/>
                <w:ind w:left="420"/>
                <w:jc w:val="both"/>
                <w:rPr>
                  <w:b/>
                  <w:bCs/>
                </w:rPr>
              </w:pPr>
              <w:r>
                <w:rPr>
                  <w:rFonts w:hint="eastAsia"/>
                  <w:b/>
                  <w:bCs/>
                </w:rPr>
                <w:t>同一控制下的企业合并</w:t>
              </w:r>
            </w:p>
            <w:p w14:paraId="74624304" w14:textId="77777777" w:rsidR="00D21C1F" w:rsidRDefault="00A42880">
              <w:pPr>
                <w:pStyle w:val="120"/>
                <w:spacing w:line="360" w:lineRule="auto"/>
                <w:ind w:firstLineChars="200" w:firstLine="420"/>
                <w:jc w:val="both"/>
              </w:pPr>
              <w:r>
                <w:rPr>
                  <w:rFonts w:hint="eastAsia"/>
                </w:rPr>
                <w:lastRenderedPageBreak/>
                <w:t>本公司在企业合并中取得的资产和负债，在合并日按取得被合并方在最终控制方合并财务报表中的账面价值计量。其中，对于被合并方与本公司在企业合并前采用的会计政策不同的，基于重要性原则统一会计政策，即按照本公司的会计政策对被合并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14:paraId="78B1E6C3" w14:textId="77777777" w:rsidR="00D21C1F" w:rsidRDefault="00A42880">
              <w:pPr>
                <w:pStyle w:val="120"/>
                <w:spacing w:line="360" w:lineRule="auto"/>
                <w:ind w:firstLineChars="200" w:firstLine="422"/>
                <w:jc w:val="both"/>
                <w:rPr>
                  <w:b/>
                  <w:bCs/>
                </w:rPr>
              </w:pPr>
              <w:r>
                <w:rPr>
                  <w:rFonts w:hint="eastAsia"/>
                  <w:b/>
                  <w:bCs/>
                </w:rPr>
                <w:t>非同一控制下的企业合并</w:t>
              </w:r>
            </w:p>
            <w:p w14:paraId="5BEEBFD9" w14:textId="77777777" w:rsidR="00D21C1F" w:rsidRDefault="00A42880">
              <w:pPr>
                <w:pStyle w:val="120"/>
                <w:spacing w:line="360" w:lineRule="auto"/>
                <w:ind w:firstLineChars="200" w:firstLine="420"/>
                <w:jc w:val="both"/>
              </w:pPr>
              <w:r>
                <w:rPr>
                  <w:rFonts w:hint="eastAsia"/>
                </w:rPr>
                <w:t>本公司在企业合并中取得的被购买方各项可辨认资产和负债，在购买日按其公允价值计量。其中，对于被购买方与本公司在企业合并前采用的会计政策不同的，基于重要性原则统一会计政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sdtContent>
        </w:sdt>
      </w:sdtContent>
    </w:sdt>
    <w:p w14:paraId="7142CF28" w14:textId="77777777" w:rsidR="00D21C1F" w:rsidRDefault="00D21C1F">
      <w:pPr>
        <w:rPr>
          <w:szCs w:val="21"/>
        </w:rPr>
      </w:pPr>
    </w:p>
    <w:sdt>
      <w:sdtPr>
        <w:rPr>
          <w:rFonts w:ascii="宋体" w:hAnsi="宋体" w:cs="宋体"/>
          <w:b w:val="0"/>
          <w:bCs w:val="0"/>
          <w:kern w:val="0"/>
          <w:szCs w:val="24"/>
        </w:rPr>
        <w:alias w:val="模块:合并财务报表的编制方法"/>
        <w:tag w:val="_GBC_c23be25e527044f689b710dabd312b04"/>
        <w:id w:val="-1326743997"/>
        <w:lock w:val="sdtLocked"/>
        <w:placeholder>
          <w:docPart w:val="GBC22222222222222222222222222222"/>
        </w:placeholder>
      </w:sdtPr>
      <w:sdtEndPr>
        <w:rPr>
          <w:rFonts w:cs="Times New Roman" w:hint="eastAsia"/>
          <w:szCs w:val="21"/>
        </w:rPr>
      </w:sdtEndPr>
      <w:sdtContent>
        <w:p w14:paraId="2B121DE1" w14:textId="77777777" w:rsidR="00D21C1F" w:rsidRDefault="00A42880">
          <w:pPr>
            <w:pStyle w:val="94"/>
            <w:numPr>
              <w:ilvl w:val="0"/>
              <w:numId w:val="45"/>
            </w:numPr>
            <w:rPr>
              <w:rFonts w:ascii="宋体" w:hAnsi="宋体"/>
            </w:rPr>
          </w:pPr>
          <w:r>
            <w:rPr>
              <w:rFonts w:ascii="宋体" w:hAnsi="宋体"/>
            </w:rPr>
            <w:t>合并财务报表的编制方法</w:t>
          </w:r>
        </w:p>
        <w:sdt>
          <w:sdtPr>
            <w:rPr>
              <w:rFonts w:hint="eastAsia"/>
              <w:szCs w:val="21"/>
            </w:rPr>
            <w:alias w:val="是否适用：合并财务报表的编制方法[双击切换]"/>
            <w:tag w:val="_GBC_dad2e053cc8c4461a681b3e4926c48a6"/>
            <w:id w:val="-1212956589"/>
            <w:lock w:val="sdtLocked"/>
            <w:placeholder>
              <w:docPart w:val="GBC22222222222222222222222222222"/>
            </w:placeholder>
          </w:sdtPr>
          <w:sdtEndPr/>
          <w:sdtContent>
            <w:p w14:paraId="71110D6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企业合并及合并财务报表的说明"/>
            <w:tag w:val="_GBC_5201beca0c0944939b4a0d8d100d6fcf"/>
            <w:id w:val="-1474758061"/>
            <w:lock w:val="sdtLocked"/>
            <w:placeholder>
              <w:docPart w:val="GBC22222222222222222222222222222"/>
            </w:placeholder>
          </w:sdtPr>
          <w:sdtEndPr/>
          <w:sdtContent>
            <w:p w14:paraId="363B8833" w14:textId="77777777" w:rsidR="00D21C1F" w:rsidRDefault="00A42880">
              <w:pPr>
                <w:pStyle w:val="120"/>
                <w:spacing w:line="360" w:lineRule="auto"/>
                <w:ind w:firstLineChars="200" w:firstLine="420"/>
                <w:jc w:val="both"/>
                <w:rPr>
                  <w:rFonts w:ascii="Times New Roman" w:hAnsi="Times New Roman"/>
                  <w:sz w:val="24"/>
                  <w:szCs w:val="24"/>
                </w:rPr>
              </w:pPr>
              <w:r>
                <w:rPr>
                  <w:rFonts w:hint="eastAsia"/>
                </w:rPr>
                <w:t>编制合并财务报表时，合并范围包括本公司及全部子公司。</w:t>
              </w:r>
            </w:p>
            <w:p w14:paraId="24E4E279" w14:textId="77777777" w:rsidR="00D21C1F" w:rsidRDefault="00A42880">
              <w:pPr>
                <w:pStyle w:val="120"/>
                <w:spacing w:line="360" w:lineRule="auto"/>
                <w:ind w:firstLineChars="200" w:firstLine="420"/>
                <w:jc w:val="both"/>
                <w:rPr>
                  <w:rFonts w:ascii="Times New Roman" w:hAnsi="Times New Roman"/>
                  <w:sz w:val="24"/>
                  <w:szCs w:val="24"/>
                </w:rPr>
              </w:pPr>
              <w:r>
                <w:rPr>
                  <w:rFonts w:hint="eastAsia"/>
                </w:rPr>
                <w:t>从取得子公司的实际控制权之日起，本集团开始将其纳入合并范围；从丧失实际控制权之日起停止纳入合并范围。</w:t>
              </w:r>
              <w:r>
                <w:rPr>
                  <w:rFonts w:cs="Arial"/>
                </w:rPr>
                <w:t>对于同一控制下企业合并取得的子公司</w:t>
              </w:r>
              <w:r>
                <w:rPr>
                  <w:rFonts w:cs="Arial" w:hint="eastAsia"/>
                </w:rPr>
                <w:t>，自其与本公司同受最终控制方控制之日起</w:t>
              </w:r>
              <w:r>
                <w:rPr>
                  <w:rFonts w:cs="Arial"/>
                </w:rPr>
                <w:t>纳入</w:t>
              </w:r>
              <w:r>
                <w:rPr>
                  <w:rFonts w:cs="Arial" w:hint="eastAsia"/>
                </w:rPr>
                <w:t>本公司</w:t>
              </w:r>
              <w:r>
                <w:rPr>
                  <w:rFonts w:cs="Arial"/>
                </w:rPr>
                <w:t>合并</w:t>
              </w:r>
              <w:r>
                <w:rPr>
                  <w:rFonts w:cs="Arial" w:hint="eastAsia"/>
                </w:rPr>
                <w:t>范围，并将</w:t>
              </w:r>
              <w:r>
                <w:rPr>
                  <w:rFonts w:cs="Arial"/>
                </w:rPr>
                <w:t>其</w:t>
              </w:r>
              <w:r>
                <w:rPr>
                  <w:rFonts w:cs="Arial" w:hint="eastAsia"/>
                </w:rPr>
                <w:t>在</w:t>
              </w:r>
              <w:r>
                <w:rPr>
                  <w:rFonts w:cs="Arial"/>
                </w:rPr>
                <w:t>合并日前实现的净利润在合并利润表中单列项目反映。</w:t>
              </w:r>
            </w:p>
            <w:p w14:paraId="7BD0FC8B" w14:textId="77777777" w:rsidR="00D21C1F" w:rsidRDefault="00A42880">
              <w:pPr>
                <w:pStyle w:val="120"/>
                <w:spacing w:line="360" w:lineRule="auto"/>
                <w:ind w:firstLineChars="200" w:firstLine="420"/>
                <w:jc w:val="both"/>
                <w:rPr>
                  <w:rFonts w:ascii="Times New Roman" w:hAnsi="Times New Roman"/>
                  <w:sz w:val="24"/>
                  <w:szCs w:val="24"/>
                </w:rPr>
              </w:pPr>
              <w:r>
                <w:rPr>
                  <w:rFonts w:hint="eastAsia"/>
                </w:rPr>
                <w:t>在编制合并财务报表时，子公司与本公司采用的会计政策或会计期间不一致的，按照本公司的会计政策和会计期间对子公司财务报表进行必要的调整。</w:t>
              </w:r>
              <w:r>
                <w:rPr>
                  <w:rFonts w:cs="Arial"/>
                </w:rPr>
                <w:t>对于非同一控制下企业合并取得的子公司</w:t>
              </w:r>
              <w:r>
                <w:rPr>
                  <w:rFonts w:cs="Arial" w:hint="eastAsia"/>
                </w:rPr>
                <w:t>，</w:t>
              </w:r>
              <w:r>
                <w:rPr>
                  <w:rFonts w:cs="Arial"/>
                </w:rPr>
                <w:t>以购买日可辨认净资产公允价值为基础对其财务报表进行调整</w:t>
              </w:r>
              <w:r>
                <w:rPr>
                  <w:rFonts w:cs="Arial" w:hint="eastAsia"/>
                </w:rPr>
                <w:t>。</w:t>
              </w:r>
            </w:p>
            <w:p w14:paraId="1B75505E" w14:textId="77777777" w:rsidR="00D21C1F" w:rsidRDefault="00A42880">
              <w:pPr>
                <w:pStyle w:val="120"/>
                <w:spacing w:line="360" w:lineRule="auto"/>
                <w:ind w:firstLineChars="200" w:firstLine="420"/>
                <w:jc w:val="both"/>
                <w:rPr>
                  <w:rFonts w:ascii="Arial" w:hAnsi="Arial"/>
                  <w:sz w:val="24"/>
                  <w:szCs w:val="24"/>
                </w:rPr>
              </w:pPr>
              <w:r>
                <w:rPr>
                  <w:rFonts w:hint="eastAsia"/>
                </w:rPr>
                <w:t>集团内所有重大往来余额、交易及未实现利润在合并财务报表编制时予以抵销。子公司的股东权益、当期净损益及综合收益中不归属于本公司所拥有的部分分别作为少数股东权益、少数股东损益及归属于少数股东的综合收益总额在合并财务报表中股东权益、净利润及综合收益总额项下单独列示。子公司少数股东分担的当期亏损超过了少数股东在该子公司期初所有者权益中所享有的份额的，其余额冲减少数股东权益。</w:t>
              </w:r>
              <w:r>
                <w:t>本公司向子公司出售资产所发生的未实现内部交易损益，全额</w:t>
              </w:r>
              <w:r>
                <w:rPr>
                  <w:rFonts w:cs="Tms Rmn" w:hint="eastAsia"/>
                </w:rPr>
                <w:t>抵销</w:t>
              </w:r>
              <w:r>
                <w:t>归属于母公司</w:t>
              </w:r>
              <w:r>
                <w:rPr>
                  <w:rFonts w:cs="Tms Rmn" w:hint="eastAsia"/>
                </w:rPr>
                <w:t>股东</w:t>
              </w:r>
              <w:r>
                <w:t>的净利润；子公司向本公司出售资产所发生的未实现内部交易损益，按</w:t>
              </w:r>
              <w:r>
                <w:rPr>
                  <w:rFonts w:cs="Tms Rmn" w:hint="eastAsia"/>
                </w:rPr>
                <w:t>本公司对该子公司的分配</w:t>
              </w:r>
              <w:r>
                <w:t>比例在归属于母公司</w:t>
              </w:r>
              <w:r>
                <w:rPr>
                  <w:rFonts w:cs="Tms Rmn" w:hint="eastAsia"/>
                </w:rPr>
                <w:t>股东</w:t>
              </w:r>
              <w:r>
                <w:t>的净利润和少数股东损益之间分配</w:t>
              </w:r>
              <w:r>
                <w:rPr>
                  <w:rFonts w:cs="Tms Rmn" w:hint="eastAsia"/>
                </w:rPr>
                <w:t>抵销</w:t>
              </w:r>
              <w:r>
                <w:t>。</w:t>
              </w:r>
              <w:r>
                <w:rPr>
                  <w:rFonts w:hint="eastAsia"/>
                </w:rPr>
                <w:t>子公司之间出售资产所发生的未实现内部交易损益，按照母公司对出售方子公司的分配比例在归属于母公司股东的净利润和少数股东损益之间分配抵销。</w:t>
              </w:r>
            </w:p>
            <w:p w14:paraId="7E98E0F7" w14:textId="77777777" w:rsidR="00D21C1F" w:rsidRDefault="00A42880">
              <w:pPr>
                <w:pStyle w:val="120"/>
                <w:spacing w:line="360" w:lineRule="auto"/>
                <w:ind w:firstLineChars="200" w:firstLine="420"/>
                <w:jc w:val="both"/>
                <w:rPr>
                  <w:rFonts w:ascii="Times New Roman" w:hAnsi="Times New Roman"/>
                </w:rPr>
              </w:pPr>
              <w:r>
                <w:rPr>
                  <w:rFonts w:hint="eastAsia"/>
                </w:rPr>
                <w:lastRenderedPageBreak/>
                <w:t>如果以本集团为会计主体与以本公司或子公司为会计主体对同一交易的认定不同时，从本集团的角度对该交易予以调整。</w:t>
              </w:r>
            </w:p>
          </w:sdtContent>
        </w:sdt>
      </w:sdtContent>
    </w:sdt>
    <w:p w14:paraId="49FB541F" w14:textId="77777777" w:rsidR="00D21C1F" w:rsidRDefault="00D21C1F">
      <w:pPr>
        <w:rPr>
          <w:szCs w:val="21"/>
        </w:rPr>
      </w:pPr>
    </w:p>
    <w:sdt>
      <w:sdtPr>
        <w:rPr>
          <w:rFonts w:ascii="宋体" w:eastAsia="宋体" w:hAnsi="宋体" w:cs="宋体" w:hint="eastAsia"/>
          <w:b w:val="0"/>
          <w:bCs w:val="0"/>
          <w:kern w:val="0"/>
          <w:szCs w:val="21"/>
        </w:rPr>
        <w:alias w:val="模块:合营安排分类及共同经营会计处理方法"/>
        <w:tag w:val="_GBC_a6643877dd0341e39dee12c064dc6fdc"/>
        <w:id w:val="345070532"/>
        <w:lock w:val="sdtLocked"/>
        <w:placeholder>
          <w:docPart w:val="GBC22222222222222222222222222222"/>
        </w:placeholder>
      </w:sdtPr>
      <w:sdtEndPr>
        <w:rPr>
          <w:b/>
          <w:bCs/>
        </w:rPr>
      </w:sdtEndPr>
      <w:sdtContent>
        <w:p w14:paraId="49D714C9" w14:textId="77777777" w:rsidR="00D21C1F" w:rsidRDefault="00A42880">
          <w:pPr>
            <w:pStyle w:val="94"/>
            <w:numPr>
              <w:ilvl w:val="0"/>
              <w:numId w:val="45"/>
            </w:numPr>
            <w:rPr>
              <w:rFonts w:ascii="宋体" w:hAnsi="宋体"/>
              <w:szCs w:val="21"/>
            </w:rPr>
          </w:pPr>
          <w:r>
            <w:rPr>
              <w:rFonts w:ascii="宋体" w:hAnsi="宋体" w:hint="eastAsia"/>
              <w:szCs w:val="21"/>
            </w:rPr>
            <w:t>合营安排</w:t>
          </w:r>
          <w:r>
            <w:rPr>
              <w:rFonts w:ascii="宋体" w:hAnsi="宋体" w:hint="eastAsia"/>
            </w:rPr>
            <w:t>分类</w:t>
          </w:r>
          <w:r>
            <w:rPr>
              <w:rFonts w:ascii="宋体" w:hAnsi="宋体" w:hint="eastAsia"/>
              <w:szCs w:val="21"/>
            </w:rPr>
            <w:t>及共同经营会计处理方法</w:t>
          </w:r>
        </w:p>
        <w:sdt>
          <w:sdtPr>
            <w:rPr>
              <w:rFonts w:hint="eastAsia"/>
            </w:rPr>
            <w:alias w:val="是否适用：合营安排分类及共同经营会计处理方法[双击切换]"/>
            <w:tag w:val="_GBC_f94c8519453541fe9de852d3064d61d5"/>
            <w:id w:val="1049576642"/>
            <w:lock w:val="sdtLocked"/>
            <w:placeholder>
              <w:docPart w:val="GBC22222222222222222222222222222"/>
            </w:placeholder>
          </w:sdtPr>
          <w:sdtEndPr/>
          <w:sdtContent>
            <w:p w14:paraId="5B452F98" w14:textId="77777777" w:rsidR="00D21C1F" w:rsidRDefault="00A42880">
              <w:pPr>
                <w:rPr>
                  <w:b/>
                  <w:bCs/>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83FCC7D" w14:textId="77777777" w:rsidR="00D21C1F" w:rsidRDefault="00D21C1F">
      <w:pPr>
        <w:rPr>
          <w:szCs w:val="21"/>
        </w:rPr>
      </w:pPr>
    </w:p>
    <w:sdt>
      <w:sdtPr>
        <w:rPr>
          <w:rFonts w:ascii="宋体" w:eastAsia="宋体" w:hAnsi="宋体" w:cs="宋体"/>
          <w:b w:val="0"/>
          <w:bCs w:val="0"/>
          <w:kern w:val="0"/>
          <w:szCs w:val="24"/>
        </w:rPr>
        <w:alias w:val="模块:现金及现金等价物的确定标准"/>
        <w:tag w:val="_GBC_9f2dfe6521c4434b9ad3e7bb1a8a52b7"/>
        <w:id w:val="1386683797"/>
        <w:lock w:val="sdtLocked"/>
        <w:placeholder>
          <w:docPart w:val="GBC22222222222222222222222222222"/>
        </w:placeholder>
      </w:sdtPr>
      <w:sdtEndPr>
        <w:rPr>
          <w:rFonts w:hint="eastAsia"/>
          <w:szCs w:val="21"/>
        </w:rPr>
      </w:sdtEndPr>
      <w:sdtContent>
        <w:p w14:paraId="12948AF7" w14:textId="77777777" w:rsidR="00D21C1F" w:rsidRDefault="00A42880">
          <w:pPr>
            <w:pStyle w:val="94"/>
            <w:numPr>
              <w:ilvl w:val="0"/>
              <w:numId w:val="45"/>
            </w:numPr>
            <w:rPr>
              <w:rFonts w:ascii="宋体" w:hAnsi="宋体"/>
            </w:rPr>
          </w:pPr>
          <w:r>
            <w:rPr>
              <w:rFonts w:ascii="宋体" w:hAnsi="宋体"/>
            </w:rPr>
            <w:t>现金及现金等价物的确定标准</w:t>
          </w:r>
        </w:p>
        <w:sdt>
          <w:sdtPr>
            <w:rPr>
              <w:rFonts w:hint="eastAsia"/>
              <w:szCs w:val="21"/>
            </w:rPr>
            <w:alias w:val="现金及现金等价物的确定标准"/>
            <w:tag w:val="_GBC_54f6bc3e44e840bc85cb3872600823b5"/>
            <w:id w:val="-969283099"/>
            <w:lock w:val="sdtLocked"/>
            <w:placeholder>
              <w:docPart w:val="GBC22222222222222222222222222222"/>
            </w:placeholder>
          </w:sdtPr>
          <w:sdtEndPr/>
          <w:sdtContent>
            <w:p w14:paraId="67A3D801" w14:textId="77777777" w:rsidR="00D21C1F" w:rsidRDefault="00A42880">
              <w:pPr>
                <w:spacing w:line="360" w:lineRule="auto"/>
                <w:ind w:firstLineChars="200" w:firstLine="420"/>
                <w:jc w:val="both"/>
                <w:rPr>
                  <w:szCs w:val="21"/>
                </w:rPr>
              </w:pPr>
              <w:r>
                <w:rPr>
                  <w:szCs w:val="21"/>
                </w:rPr>
                <w:t>现金等价物是指企业持有的期限短（一般指从购买日起三个月内到期）、流动性强、易于转换为已知金额现金、价值变动风险很小的投资。</w:t>
              </w:r>
            </w:p>
          </w:sdtContent>
        </w:sdt>
      </w:sdtContent>
    </w:sdt>
    <w:p w14:paraId="13A299FF" w14:textId="77777777" w:rsidR="00D21C1F" w:rsidRDefault="00D21C1F">
      <w:pPr>
        <w:rPr>
          <w:szCs w:val="21"/>
        </w:rPr>
      </w:pPr>
    </w:p>
    <w:sdt>
      <w:sdtPr>
        <w:rPr>
          <w:rFonts w:ascii="宋体" w:eastAsia="宋体" w:hAnsi="宋体" w:cs="宋体"/>
          <w:b w:val="0"/>
          <w:bCs w:val="0"/>
          <w:kern w:val="0"/>
          <w:szCs w:val="22"/>
        </w:rPr>
        <w:alias w:val="模块:外币业务和外币报表折算"/>
        <w:tag w:val="_GBC_cff1e1487c3242a8a1be0ce9c2b7a554"/>
        <w:id w:val="-1245798230"/>
        <w:lock w:val="sdtLocked"/>
        <w:placeholder>
          <w:docPart w:val="GBC22222222222222222222222222222"/>
        </w:placeholder>
      </w:sdtPr>
      <w:sdtEndPr>
        <w:rPr>
          <w:rFonts w:cs="Times New Roman" w:hint="eastAsia"/>
          <w:kern w:val="2"/>
          <w:szCs w:val="21"/>
        </w:rPr>
      </w:sdtEndPr>
      <w:sdtContent>
        <w:p w14:paraId="5FFA9A3C" w14:textId="77777777" w:rsidR="00D21C1F" w:rsidRDefault="00A42880">
          <w:pPr>
            <w:pStyle w:val="94"/>
            <w:numPr>
              <w:ilvl w:val="0"/>
              <w:numId w:val="45"/>
            </w:numPr>
            <w:rPr>
              <w:rFonts w:ascii="宋体" w:hAnsi="宋体"/>
            </w:rPr>
          </w:pPr>
          <w:r>
            <w:rPr>
              <w:rFonts w:ascii="宋体" w:hAnsi="宋体"/>
            </w:rPr>
            <w:t>外币业务和外币报表折算</w:t>
          </w:r>
        </w:p>
        <w:sdt>
          <w:sdtPr>
            <w:rPr>
              <w:rFonts w:hint="eastAsia"/>
              <w:szCs w:val="21"/>
            </w:rPr>
            <w:alias w:val="是否适用：外币业务和外币报表折算[双击切换]"/>
            <w:tag w:val="_GBC_cd1fc5c05f5e49ed9ea2fffe41d0d113"/>
            <w:id w:val="757323599"/>
            <w:lock w:val="sdtLocked"/>
            <w:placeholder>
              <w:docPart w:val="GBC22222222222222222222222222222"/>
            </w:placeholder>
          </w:sdtPr>
          <w:sdtEndPr/>
          <w:sdtContent>
            <w:p w14:paraId="2BFBDE65"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外币业务核算方法"/>
            <w:tag w:val="_GBC_1703fe5fc56b42a8972c0906a4ac6d6b"/>
            <w:id w:val="1470706685"/>
            <w:lock w:val="sdtLocked"/>
            <w:placeholder>
              <w:docPart w:val="GBC22222222222222222222222222222"/>
            </w:placeholder>
          </w:sdtPr>
          <w:sdtEndPr/>
          <w:sdtContent>
            <w:p w14:paraId="788F800F" w14:textId="77777777" w:rsidR="00D21C1F" w:rsidRDefault="00A42880">
              <w:pPr>
                <w:pStyle w:val="120"/>
                <w:widowControl w:val="0"/>
                <w:numPr>
                  <w:ilvl w:val="2"/>
                  <w:numId w:val="46"/>
                </w:numPr>
                <w:spacing w:line="360" w:lineRule="auto"/>
                <w:ind w:left="0" w:firstLineChars="200" w:firstLine="420"/>
                <w:jc w:val="both"/>
                <w:rPr>
                  <w:b/>
                  <w:bCs/>
                </w:rPr>
              </w:pPr>
              <w:r>
                <w:rPr>
                  <w:rFonts w:hint="eastAsia"/>
                  <w:b/>
                  <w:bCs/>
                </w:rPr>
                <w:t>外币交易时折算汇率的确定方法</w:t>
              </w:r>
            </w:p>
            <w:p w14:paraId="3430C892" w14:textId="77777777" w:rsidR="00D21C1F" w:rsidRDefault="00A42880">
              <w:pPr>
                <w:pStyle w:val="120"/>
                <w:spacing w:line="360" w:lineRule="auto"/>
                <w:ind w:firstLineChars="200" w:firstLine="420"/>
                <w:jc w:val="both"/>
              </w:pPr>
              <w:r>
                <w:rPr>
                  <w:rFonts w:hint="eastAsia"/>
                </w:rPr>
                <w:t>本公司外币交易初始确认时采用交易发生日的即期汇率或采用按照系统合理的方法确定的、与交易发生日即期汇率近似的汇率（以下简称即期汇率的近似汇率）折算为记账本位币。</w:t>
              </w:r>
            </w:p>
            <w:p w14:paraId="4E8B4C19" w14:textId="77777777" w:rsidR="00D21C1F" w:rsidRDefault="00A42880">
              <w:pPr>
                <w:pStyle w:val="120"/>
                <w:widowControl w:val="0"/>
                <w:numPr>
                  <w:ilvl w:val="2"/>
                  <w:numId w:val="46"/>
                </w:numPr>
                <w:spacing w:line="360" w:lineRule="auto"/>
                <w:ind w:left="0" w:firstLineChars="200" w:firstLine="422"/>
                <w:jc w:val="both"/>
                <w:rPr>
                  <w:b/>
                  <w:bCs/>
                </w:rPr>
              </w:pPr>
              <w:r>
                <w:rPr>
                  <w:rFonts w:hint="eastAsia"/>
                  <w:b/>
                  <w:bCs/>
                </w:rPr>
                <w:t>资产负债表日外币货币性项目的折算方法</w:t>
              </w:r>
            </w:p>
            <w:p w14:paraId="50F34AB9" w14:textId="77777777" w:rsidR="00D21C1F" w:rsidRDefault="00A42880">
              <w:pPr>
                <w:pStyle w:val="120"/>
                <w:spacing w:line="360" w:lineRule="auto"/>
                <w:ind w:firstLineChars="200" w:firstLine="420"/>
                <w:jc w:val="both"/>
              </w:pPr>
              <w:r>
                <w:rPr>
                  <w:rFonts w:hint="eastAsia"/>
                </w:rPr>
                <w:t>在资产负债表日，对于外币货币性项目，采用资产负债表日的即期汇率折算。因资产负债表日即期汇率与初始确认时或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p w14:paraId="20868DC6" w14:textId="77777777" w:rsidR="00D21C1F" w:rsidRDefault="00A42880">
              <w:pPr>
                <w:pStyle w:val="120"/>
                <w:widowControl w:val="0"/>
                <w:numPr>
                  <w:ilvl w:val="2"/>
                  <w:numId w:val="46"/>
                </w:numPr>
                <w:spacing w:line="360" w:lineRule="auto"/>
                <w:ind w:left="0" w:firstLineChars="200" w:firstLine="422"/>
                <w:jc w:val="both"/>
                <w:rPr>
                  <w:b/>
                  <w:bCs/>
                </w:rPr>
              </w:pPr>
              <w:r>
                <w:rPr>
                  <w:rFonts w:hint="eastAsia"/>
                  <w:b/>
                  <w:bCs/>
                </w:rPr>
                <w:t>外币报表折算方法</w:t>
              </w:r>
            </w:p>
            <w:p w14:paraId="64F9B45A" w14:textId="77777777" w:rsidR="00D21C1F" w:rsidRDefault="00A42880">
              <w:pPr>
                <w:pStyle w:val="120"/>
                <w:spacing w:line="360" w:lineRule="auto"/>
                <w:ind w:firstLineChars="200" w:firstLine="420"/>
                <w:jc w:val="both"/>
              </w:pPr>
              <w:r>
                <w:rPr>
                  <w:rFonts w:hint="eastAsia"/>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14:paraId="5A88CF37" w14:textId="77777777" w:rsidR="00D21C1F" w:rsidRDefault="00A42880">
              <w:pPr>
                <w:pStyle w:val="120"/>
                <w:widowControl w:val="0"/>
                <w:numPr>
                  <w:ilvl w:val="0"/>
                  <w:numId w:val="47"/>
                </w:numPr>
                <w:spacing w:line="360" w:lineRule="auto"/>
                <w:ind w:left="0" w:firstLineChars="200" w:firstLine="420"/>
                <w:jc w:val="both"/>
              </w:pPr>
              <w:r>
                <w:rPr>
                  <w:rFonts w:hint="eastAsia"/>
                </w:rPr>
                <w:t>资产负债表中的资产和负债项目，采用资产负债表日的即期汇率折算，所有者权益项目除“未分配利润”项目外，其他项目采用发生时的即期汇率折算。</w:t>
              </w:r>
            </w:p>
            <w:p w14:paraId="4D8247BF" w14:textId="77777777" w:rsidR="00D21C1F" w:rsidRDefault="00A42880">
              <w:pPr>
                <w:pStyle w:val="120"/>
                <w:widowControl w:val="0"/>
                <w:numPr>
                  <w:ilvl w:val="0"/>
                  <w:numId w:val="47"/>
                </w:numPr>
                <w:spacing w:line="360" w:lineRule="auto"/>
                <w:ind w:left="0" w:firstLineChars="200" w:firstLine="420"/>
                <w:jc w:val="both"/>
              </w:pPr>
              <w:r>
                <w:rPr>
                  <w:rFonts w:hint="eastAsia"/>
                </w:rPr>
                <w:t>利润表中的收入和费用项目，采用交易发生日的即期汇率或即期汇率的近似汇率折算。</w:t>
              </w:r>
            </w:p>
            <w:p w14:paraId="1A075144" w14:textId="77777777" w:rsidR="00D21C1F" w:rsidRDefault="00A42880">
              <w:pPr>
                <w:pStyle w:val="120"/>
                <w:widowControl w:val="0"/>
                <w:numPr>
                  <w:ilvl w:val="0"/>
                  <w:numId w:val="47"/>
                </w:numPr>
                <w:spacing w:line="360" w:lineRule="auto"/>
                <w:ind w:left="0" w:firstLineChars="200" w:firstLine="420"/>
                <w:jc w:val="both"/>
              </w:pPr>
              <w:r>
                <w:rPr>
                  <w:rFonts w:hint="eastAsia"/>
                </w:rPr>
                <w:t>产生的外币财务报表折算差额，在编制合并财务报表时，在合并资产负债表中所有者权益项目下单独列示“其他综合收益”。</w:t>
              </w:r>
            </w:p>
            <w:p w14:paraId="25C5603E" w14:textId="77777777" w:rsidR="00D21C1F" w:rsidRDefault="00A42880">
              <w:pPr>
                <w:pStyle w:val="120"/>
                <w:widowControl w:val="0"/>
                <w:numPr>
                  <w:ilvl w:val="0"/>
                  <w:numId w:val="47"/>
                </w:numPr>
                <w:spacing w:line="360" w:lineRule="auto"/>
                <w:ind w:left="0" w:firstLineChars="200" w:firstLine="420"/>
                <w:jc w:val="both"/>
              </w:pPr>
              <w:r>
                <w:rPr>
                  <w:rFonts w:hint="eastAsia"/>
                </w:rPr>
                <w:t>外币现金流量以及境外子公司的现金流量，采用现金流量发生日的即期汇率或即期汇率的近似汇率折算。汇率变动对现金的影响额应当作为调节项目，在现金流量表中单独列报。</w:t>
              </w:r>
            </w:p>
            <w:p w14:paraId="2009E964" w14:textId="77777777" w:rsidR="00D21C1F" w:rsidRDefault="00A42880">
              <w:pPr>
                <w:pStyle w:val="120"/>
                <w:spacing w:line="360" w:lineRule="auto"/>
                <w:ind w:firstLineChars="200" w:firstLine="420"/>
                <w:jc w:val="both"/>
              </w:pPr>
              <w:r>
                <w:rPr>
                  <w:rFonts w:hint="eastAsia"/>
                </w:rPr>
                <w:t>处置境外经营并丧失控制权时，将资产负债表中所有者权益项目下列示的、与该境外经营相关的外币报表折算差额，全部或按处置该境外经营的比例转入处置当期损益。</w:t>
              </w:r>
            </w:p>
          </w:sdtContent>
        </w:sdt>
        <w:p w14:paraId="374B6404" w14:textId="77777777" w:rsidR="00D21C1F" w:rsidRDefault="00045EC6">
          <w:pPr>
            <w:rPr>
              <w:szCs w:val="21"/>
            </w:rPr>
          </w:pPr>
        </w:p>
      </w:sdtContent>
    </w:sdt>
    <w:sdt>
      <w:sdtPr>
        <w:rPr>
          <w:rFonts w:ascii="宋体" w:hAnsi="宋体" w:cs="宋体"/>
          <w:b w:val="0"/>
          <w:bCs w:val="0"/>
          <w:kern w:val="0"/>
          <w:szCs w:val="24"/>
        </w:rPr>
        <w:alias w:val="模块:金融工具"/>
        <w:tag w:val="_GBC_4b3a058b038b41689d379e6a2726a904"/>
        <w:id w:val="138696757"/>
        <w:lock w:val="sdtLocked"/>
        <w:placeholder>
          <w:docPart w:val="GBC22222222222222222222222222222"/>
        </w:placeholder>
      </w:sdtPr>
      <w:sdtEndPr>
        <w:rPr>
          <w:rFonts w:cs="Times New Roman" w:hint="eastAsia"/>
          <w:szCs w:val="21"/>
        </w:rPr>
      </w:sdtEndPr>
      <w:sdtContent>
        <w:p w14:paraId="6248BA41" w14:textId="77777777" w:rsidR="00D21C1F" w:rsidRDefault="00A42880">
          <w:pPr>
            <w:pStyle w:val="94"/>
            <w:numPr>
              <w:ilvl w:val="0"/>
              <w:numId w:val="45"/>
            </w:numPr>
            <w:rPr>
              <w:rFonts w:ascii="宋体" w:hAnsi="宋体"/>
            </w:rPr>
          </w:pPr>
          <w:r>
            <w:rPr>
              <w:rFonts w:ascii="宋体" w:hAnsi="宋体"/>
            </w:rPr>
            <w:t>金融工具</w:t>
          </w:r>
        </w:p>
        <w:sdt>
          <w:sdtPr>
            <w:rPr>
              <w:rFonts w:hint="eastAsia"/>
              <w:szCs w:val="21"/>
            </w:rPr>
            <w:alias w:val="是否适用：金融工具_重要会计政策和估计[双击切换]"/>
            <w:tag w:val="_GBC_285bdf73a629411f9c5d05731712b876"/>
            <w:id w:val="198524810"/>
            <w:lock w:val="sdtLocked"/>
            <w:placeholder>
              <w:docPart w:val="GBC22222222222222222222222222222"/>
            </w:placeholder>
          </w:sdtPr>
          <w:sdtEndPr/>
          <w:sdtContent>
            <w:p w14:paraId="1B1E306C"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金融资产和金融负债的核算方法"/>
            <w:tag w:val="_GBC_b358067bbe2a49bf880c383a5db50d8a"/>
            <w:id w:val="-712808829"/>
            <w:lock w:val="sdtLocked"/>
            <w:placeholder>
              <w:docPart w:val="GBC22222222222222222222222222222"/>
            </w:placeholder>
          </w:sdtPr>
          <w:sdtEndPr/>
          <w:sdtContent>
            <w:p w14:paraId="70346CC8" w14:textId="77777777" w:rsidR="00D21C1F" w:rsidRDefault="00A42880">
              <w:pPr>
                <w:pStyle w:val="120"/>
                <w:spacing w:line="360" w:lineRule="auto"/>
                <w:ind w:firstLineChars="200" w:firstLine="420"/>
                <w:jc w:val="both"/>
                <w:rPr>
                  <w:b/>
                  <w:bCs/>
                </w:rPr>
              </w:pPr>
              <w:r>
                <w:rPr>
                  <w:rFonts w:hint="eastAsia"/>
                </w:rPr>
                <w:t>金融工具，是指形成一方的金融资产并形成其他方的金融负债或权益工具的合同。</w:t>
              </w:r>
            </w:p>
            <w:p w14:paraId="263E34C9" w14:textId="77777777" w:rsidR="00D21C1F" w:rsidRDefault="00A42880">
              <w:pPr>
                <w:pStyle w:val="120"/>
                <w:spacing w:line="360" w:lineRule="auto"/>
                <w:ind w:firstLineChars="200" w:firstLine="422"/>
                <w:jc w:val="both"/>
                <w:outlineLvl w:val="2"/>
                <w:rPr>
                  <w:b/>
                  <w:bCs/>
                </w:rPr>
              </w:pPr>
              <w:r>
                <w:rPr>
                  <w:rFonts w:hint="eastAsia"/>
                  <w:b/>
                  <w:bCs/>
                </w:rPr>
                <w:t>（</w:t>
              </w:r>
              <w:r>
                <w:rPr>
                  <w:rFonts w:ascii="Times New Roman" w:hAnsi="Times New Roman" w:cs="宋体"/>
                  <w:b/>
                  <w:bCs/>
                </w:rPr>
                <w:t>1</w:t>
              </w:r>
              <w:r>
                <w:rPr>
                  <w:rFonts w:hint="eastAsia"/>
                  <w:b/>
                  <w:bCs/>
                </w:rPr>
                <w:t>）金融工具的确认和终止确认</w:t>
              </w:r>
            </w:p>
            <w:p w14:paraId="3B7BCDE0" w14:textId="77777777" w:rsidR="00D21C1F" w:rsidRDefault="00A42880">
              <w:pPr>
                <w:pStyle w:val="120"/>
                <w:spacing w:line="360" w:lineRule="auto"/>
                <w:ind w:firstLineChars="200" w:firstLine="420"/>
                <w:jc w:val="both"/>
              </w:pPr>
              <w:r>
                <w:rPr>
                  <w:rFonts w:hint="eastAsia"/>
                </w:rPr>
                <w:t>当本公司成为金融工具合同的一方时，确认相关的金融资产或金融负债。</w:t>
              </w:r>
            </w:p>
            <w:p w14:paraId="1795CF76" w14:textId="77777777" w:rsidR="00D21C1F" w:rsidRDefault="00A42880">
              <w:pPr>
                <w:pStyle w:val="120"/>
                <w:spacing w:line="360" w:lineRule="auto"/>
                <w:ind w:firstLine="200"/>
                <w:jc w:val="both"/>
              </w:pPr>
              <w:r>
                <w:rPr>
                  <w:rFonts w:hint="eastAsia"/>
                </w:rPr>
                <w:t>金融资产满足下列条件之一的，终止确认：</w:t>
              </w:r>
            </w:p>
            <w:p w14:paraId="6944A779" w14:textId="77777777" w:rsidR="00D21C1F" w:rsidRDefault="00A42880">
              <w:pPr>
                <w:pStyle w:val="120"/>
                <w:widowControl w:val="0"/>
                <w:numPr>
                  <w:ilvl w:val="1"/>
                  <w:numId w:val="48"/>
                </w:numPr>
                <w:spacing w:line="360" w:lineRule="auto"/>
                <w:ind w:left="0" w:firstLineChars="200" w:firstLine="420"/>
                <w:jc w:val="both"/>
              </w:pPr>
              <w:r>
                <w:rPr>
                  <w:rFonts w:hint="eastAsia"/>
                </w:rPr>
                <w:t>收取该金融资产现金流量的合同权利终止；</w:t>
              </w:r>
            </w:p>
            <w:p w14:paraId="09D9C359" w14:textId="77777777" w:rsidR="00D21C1F" w:rsidRDefault="00A42880">
              <w:pPr>
                <w:pStyle w:val="120"/>
                <w:widowControl w:val="0"/>
                <w:numPr>
                  <w:ilvl w:val="1"/>
                  <w:numId w:val="48"/>
                </w:numPr>
                <w:spacing w:line="360" w:lineRule="auto"/>
                <w:ind w:left="0" w:firstLineChars="200" w:firstLine="420"/>
                <w:jc w:val="both"/>
              </w:pPr>
              <w:r>
                <w:rPr>
                  <w:rFonts w:hint="eastAsia"/>
                </w:rPr>
                <w:t>该金融资产已转移，且符合下述金融资产转移的终止确认条件。</w:t>
              </w:r>
            </w:p>
            <w:p w14:paraId="0227E083" w14:textId="77777777" w:rsidR="00D21C1F" w:rsidRDefault="00A42880">
              <w:pPr>
                <w:pStyle w:val="120"/>
                <w:spacing w:line="360" w:lineRule="auto"/>
                <w:ind w:firstLineChars="200" w:firstLine="420"/>
                <w:jc w:val="both"/>
              </w:pPr>
              <w:r>
                <w:rPr>
                  <w:rFonts w:hint="eastAsia"/>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原金融负债（或其一部分）的合同条款作出实质性修改的，应当终止原金融负债，同时按照修改后的条款确认一项新的金融负债。</w:t>
              </w:r>
            </w:p>
            <w:p w14:paraId="4EDCB763" w14:textId="77777777" w:rsidR="00D21C1F" w:rsidRDefault="00A42880">
              <w:pPr>
                <w:pStyle w:val="120"/>
                <w:spacing w:line="360" w:lineRule="auto"/>
                <w:ind w:firstLineChars="200" w:firstLine="420"/>
                <w:jc w:val="both"/>
              </w:pPr>
              <w:r>
                <w:rPr>
                  <w:rFonts w:hint="eastAsia"/>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14:paraId="04743AD8" w14:textId="77777777" w:rsidR="00D21C1F" w:rsidRDefault="00A42880">
              <w:pPr>
                <w:pStyle w:val="120"/>
                <w:spacing w:line="360" w:lineRule="auto"/>
                <w:ind w:firstLineChars="200" w:firstLine="422"/>
                <w:jc w:val="both"/>
                <w:outlineLvl w:val="2"/>
                <w:rPr>
                  <w:b/>
                  <w:bCs/>
                </w:rPr>
              </w:pPr>
              <w:r>
                <w:rPr>
                  <w:rFonts w:hint="eastAsia"/>
                  <w:b/>
                  <w:bCs/>
                </w:rPr>
                <w:t>（</w:t>
              </w:r>
              <w:r>
                <w:rPr>
                  <w:rFonts w:ascii="Times New Roman" w:hAnsi="Times New Roman" w:cs="宋体"/>
                  <w:b/>
                  <w:bCs/>
                </w:rPr>
                <w:t>2</w:t>
              </w:r>
              <w:r>
                <w:rPr>
                  <w:rFonts w:hint="eastAsia"/>
                  <w:b/>
                  <w:bCs/>
                </w:rPr>
                <w:t>）金融资产的分类与计量</w:t>
              </w:r>
            </w:p>
            <w:p w14:paraId="7A022DD5" w14:textId="77777777" w:rsidR="00D21C1F" w:rsidRDefault="00A42880">
              <w:pPr>
                <w:pStyle w:val="120"/>
                <w:spacing w:line="360" w:lineRule="auto"/>
                <w:ind w:firstLineChars="200" w:firstLine="420"/>
                <w:jc w:val="both"/>
              </w:pPr>
              <w:r>
                <w:rPr>
                  <w:rFonts w:hint="eastAsia"/>
                </w:rPr>
                <w:t>本公司在初始确认时根据管理金融资产的业务模式和金融资产的合同现金流量特征，将金融资产分类为：以摊余成本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14:paraId="40A53B84" w14:textId="77777777" w:rsidR="00D21C1F" w:rsidRDefault="00A42880">
              <w:pPr>
                <w:pStyle w:val="120"/>
                <w:spacing w:line="360" w:lineRule="auto"/>
                <w:ind w:firstLineChars="200" w:firstLine="420"/>
                <w:jc w:val="both"/>
              </w:pPr>
              <w:r>
                <w:rPr>
                  <w:rFonts w:hint="eastAsia"/>
                </w:rPr>
                <w:t>金融资产在初始确认时以公允价值计量。对于以公允价值计量且其变动计入当期损益的金融资产，相关交易费用直接计入当期损益，其他类别的金融资产相关交易费用计入其初始确认金额。因销售商品或提供劳务而产生的、未包含或不考虑重大融资成分的应收票据及应收账款，本公司则按照收入准则定义的交易价格进行初始计量。</w:t>
              </w:r>
            </w:p>
            <w:p w14:paraId="1DE9099A" w14:textId="77777777" w:rsidR="00D21C1F" w:rsidRDefault="00A42880">
              <w:pPr>
                <w:pStyle w:val="120"/>
                <w:spacing w:line="360" w:lineRule="auto"/>
                <w:ind w:firstLine="200"/>
                <w:jc w:val="both"/>
              </w:pPr>
              <w:r>
                <w:rPr>
                  <w:rFonts w:hint="eastAsia"/>
                </w:rPr>
                <w:t>金融资产的后续计量取决于其分类：</w:t>
              </w:r>
            </w:p>
            <w:p w14:paraId="102219D6" w14:textId="77777777" w:rsidR="00D21C1F" w:rsidRDefault="00A42880">
              <w:pPr>
                <w:pStyle w:val="120"/>
                <w:widowControl w:val="0"/>
                <w:numPr>
                  <w:ilvl w:val="0"/>
                  <w:numId w:val="49"/>
                </w:numPr>
                <w:spacing w:line="360" w:lineRule="auto"/>
                <w:ind w:left="0" w:firstLineChars="200" w:firstLine="420"/>
                <w:jc w:val="both"/>
              </w:pPr>
              <w:r>
                <w:rPr>
                  <w:rFonts w:hint="eastAsia"/>
                </w:rPr>
                <w:t>以摊余成本计量的金融资产</w:t>
              </w:r>
            </w:p>
            <w:p w14:paraId="0745E5C3" w14:textId="77777777" w:rsidR="00D21C1F" w:rsidRDefault="00A42880">
              <w:pPr>
                <w:pStyle w:val="120"/>
                <w:spacing w:line="360" w:lineRule="auto"/>
                <w:ind w:firstLineChars="200" w:firstLine="420"/>
                <w:jc w:val="both"/>
              </w:pPr>
              <w:r>
                <w:rPr>
                  <w:rFonts w:hint="eastAsia"/>
                </w:rPr>
                <w:t>金融资产同时符合下列条件的，分类为以摊余成本计量的金融资产：本公司管理该金融资产的业务模式是以收取合同现金流量为目标；该金融资产的合同条款规定，在特定日期产生的现金流量，仅为对本金和以未偿付本金金额为基础的利息的支付。对于此类金融资产，采用实际利率法，按照摊余成本进行后续计量，其终止确认、按实际利率法摊销或减值产生的利得或损失，均计入当期损益。</w:t>
              </w:r>
            </w:p>
            <w:p w14:paraId="1F8C141A" w14:textId="77777777" w:rsidR="00D21C1F" w:rsidRDefault="00A42880">
              <w:pPr>
                <w:pStyle w:val="120"/>
                <w:widowControl w:val="0"/>
                <w:numPr>
                  <w:ilvl w:val="0"/>
                  <w:numId w:val="49"/>
                </w:numPr>
                <w:spacing w:line="360" w:lineRule="auto"/>
                <w:ind w:left="0" w:firstLineChars="200" w:firstLine="420"/>
                <w:jc w:val="both"/>
              </w:pPr>
              <w:r>
                <w:rPr>
                  <w:rFonts w:hint="eastAsia"/>
                </w:rPr>
                <w:t>以公允价值计量且其变动计入其他综合收益的金融资产</w:t>
              </w:r>
            </w:p>
            <w:p w14:paraId="5BEBEE01" w14:textId="77777777" w:rsidR="00D21C1F" w:rsidRDefault="00A42880">
              <w:pPr>
                <w:pStyle w:val="120"/>
                <w:spacing w:line="360" w:lineRule="auto"/>
                <w:ind w:firstLineChars="200" w:firstLine="420"/>
                <w:jc w:val="both"/>
              </w:pPr>
              <w:r>
                <w:rPr>
                  <w:rFonts w:hint="eastAsia"/>
                </w:rPr>
                <w:lastRenderedPageBreak/>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对于此类金融资产，采用公允价值进行后续计量。其折价或溢价采用实际利率法进行摊销并确认为利息收入或费用。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14:paraId="05167DED" w14:textId="77777777" w:rsidR="00D21C1F" w:rsidRDefault="00A42880">
              <w:pPr>
                <w:pStyle w:val="120"/>
                <w:spacing w:line="360" w:lineRule="auto"/>
                <w:ind w:firstLineChars="200" w:firstLine="420"/>
                <w:jc w:val="both"/>
              </w:pPr>
              <w:r>
                <w:rPr>
                  <w:rFonts w:hint="eastAsia"/>
                </w:rPr>
                <w:t>本公司不可撤销地选择将部分非交易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14:paraId="4AE98D3E" w14:textId="77777777" w:rsidR="00D21C1F" w:rsidRDefault="00A42880">
              <w:pPr>
                <w:pStyle w:val="120"/>
                <w:widowControl w:val="0"/>
                <w:numPr>
                  <w:ilvl w:val="1"/>
                  <w:numId w:val="48"/>
                </w:numPr>
                <w:spacing w:line="360" w:lineRule="auto"/>
                <w:ind w:left="0" w:firstLineChars="200" w:firstLine="420"/>
                <w:jc w:val="both"/>
              </w:pPr>
              <w:r>
                <w:rPr>
                  <w:rFonts w:hint="eastAsia"/>
                </w:rPr>
                <w:t>以公允价值计量且其变动计入当期损益的金融资产</w:t>
              </w:r>
            </w:p>
            <w:p w14:paraId="7CDC5A70" w14:textId="77777777" w:rsidR="00D21C1F" w:rsidRDefault="00A42880">
              <w:pPr>
                <w:pStyle w:val="120"/>
                <w:spacing w:line="360" w:lineRule="auto"/>
                <w:ind w:firstLineChars="200" w:firstLine="420"/>
                <w:jc w:val="both"/>
              </w:pPr>
              <w:r>
                <w:rPr>
                  <w:rFonts w:hint="eastAsia"/>
                </w:rPr>
                <w:t>上述以摊余成本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14:paraId="2C866F81" w14:textId="77777777" w:rsidR="00D21C1F" w:rsidRDefault="00A42880">
              <w:pPr>
                <w:pStyle w:val="120"/>
                <w:spacing w:line="360" w:lineRule="auto"/>
                <w:ind w:firstLineChars="200" w:firstLine="422"/>
                <w:jc w:val="both"/>
                <w:outlineLvl w:val="2"/>
                <w:rPr>
                  <w:b/>
                  <w:bCs/>
                </w:rPr>
              </w:pPr>
              <w:r>
                <w:rPr>
                  <w:rFonts w:hint="eastAsia"/>
                  <w:b/>
                  <w:bCs/>
                </w:rPr>
                <w:t>（</w:t>
              </w:r>
              <w:r>
                <w:rPr>
                  <w:rFonts w:ascii="Times New Roman" w:hAnsi="Times New Roman" w:cs="宋体"/>
                  <w:b/>
                  <w:bCs/>
                </w:rPr>
                <w:t>3</w:t>
              </w:r>
              <w:r>
                <w:rPr>
                  <w:rFonts w:hint="eastAsia"/>
                  <w:b/>
                  <w:bCs/>
                </w:rPr>
                <w:t>）金融负债的分类与计量</w:t>
              </w:r>
            </w:p>
            <w:p w14:paraId="3C70623C" w14:textId="77777777" w:rsidR="00D21C1F" w:rsidRDefault="00A42880">
              <w:pPr>
                <w:pStyle w:val="120"/>
                <w:spacing w:line="360" w:lineRule="auto"/>
                <w:ind w:firstLineChars="200" w:firstLine="420"/>
                <w:jc w:val="both"/>
              </w:pPr>
              <w:r>
                <w:rPr>
                  <w:rFonts w:hint="eastAsia"/>
                </w:rPr>
                <w:t>本公司将金融负债分类为以公允价值计量且其变动计入当期损益的金融负债、低于市场利率贷款的贷款承诺及财务担保合同负债及以摊余成本计量的金融负债。</w:t>
              </w:r>
            </w:p>
            <w:p w14:paraId="3E755E61" w14:textId="77777777" w:rsidR="00D21C1F" w:rsidRDefault="00A42880">
              <w:pPr>
                <w:pStyle w:val="120"/>
                <w:spacing w:line="360" w:lineRule="auto"/>
                <w:ind w:firstLineChars="200" w:firstLine="420"/>
                <w:jc w:val="both"/>
              </w:pPr>
              <w:r>
                <w:rPr>
                  <w:rFonts w:hint="eastAsia"/>
                </w:rPr>
                <w:t>金融负债的后续计量取决于其分类：</w:t>
              </w:r>
            </w:p>
            <w:p w14:paraId="37B28D20" w14:textId="77777777" w:rsidR="00D21C1F" w:rsidRDefault="00A42880">
              <w:pPr>
                <w:pStyle w:val="120"/>
                <w:widowControl w:val="0"/>
                <w:numPr>
                  <w:ilvl w:val="1"/>
                  <w:numId w:val="50"/>
                </w:numPr>
                <w:spacing w:line="360" w:lineRule="auto"/>
                <w:ind w:left="0" w:firstLineChars="200" w:firstLine="420"/>
                <w:jc w:val="both"/>
              </w:pPr>
              <w:r>
                <w:rPr>
                  <w:rFonts w:hint="eastAsia"/>
                </w:rPr>
                <w:t>以公允价值计量且其变动计入当期损益的金融负债</w:t>
              </w:r>
            </w:p>
            <w:p w14:paraId="57DCCEF4" w14:textId="77777777" w:rsidR="00D21C1F" w:rsidRDefault="00A42880">
              <w:pPr>
                <w:pStyle w:val="120"/>
                <w:spacing w:line="360" w:lineRule="auto"/>
                <w:ind w:firstLineChars="200" w:firstLine="420"/>
                <w:jc w:val="both"/>
              </w:pPr>
              <w:r>
                <w:rPr>
                  <w:rFonts w:hint="eastAsia"/>
                </w:rPr>
                <w:t>该类金融负债包括交易性金融负债（含属于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14:paraId="4CFC47AC" w14:textId="77777777" w:rsidR="00D21C1F" w:rsidRDefault="00A42880">
              <w:pPr>
                <w:pStyle w:val="120"/>
                <w:widowControl w:val="0"/>
                <w:numPr>
                  <w:ilvl w:val="1"/>
                  <w:numId w:val="50"/>
                </w:numPr>
                <w:spacing w:line="360" w:lineRule="auto"/>
                <w:ind w:left="0" w:firstLineChars="200" w:firstLine="420"/>
                <w:jc w:val="both"/>
              </w:pPr>
              <w:r>
                <w:rPr>
                  <w:rFonts w:hint="eastAsia"/>
                </w:rPr>
                <w:t>贷款承诺及财务担保合同负债</w:t>
              </w:r>
            </w:p>
            <w:p w14:paraId="055673F2" w14:textId="77777777" w:rsidR="00D21C1F" w:rsidRDefault="00A42880">
              <w:pPr>
                <w:pStyle w:val="120"/>
                <w:spacing w:line="360" w:lineRule="auto"/>
                <w:ind w:firstLineChars="200" w:firstLine="420"/>
                <w:jc w:val="both"/>
              </w:pPr>
              <w:r>
                <w:rPr>
                  <w:rFonts w:hint="eastAsia"/>
                </w:rPr>
                <w:t>贷款承诺是本公司向客户提供的一项在承诺期间内以既定的合同条款向客户发放贷款的承诺。贷款承诺按照预期信用损失模型计提减值损失。</w:t>
              </w:r>
            </w:p>
            <w:p w14:paraId="60AAB1F3" w14:textId="77777777" w:rsidR="00D21C1F" w:rsidRDefault="00A42880">
              <w:pPr>
                <w:pStyle w:val="120"/>
                <w:spacing w:line="360" w:lineRule="auto"/>
                <w:ind w:firstLineChars="200" w:firstLine="420"/>
                <w:jc w:val="both"/>
              </w:pPr>
              <w:r>
                <w:rPr>
                  <w:rFonts w:hint="eastAsia"/>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14:paraId="0F79A979" w14:textId="77777777" w:rsidR="00D21C1F" w:rsidRDefault="00A42880">
              <w:pPr>
                <w:pStyle w:val="120"/>
                <w:widowControl w:val="0"/>
                <w:numPr>
                  <w:ilvl w:val="1"/>
                  <w:numId w:val="50"/>
                </w:numPr>
                <w:spacing w:line="360" w:lineRule="auto"/>
                <w:ind w:left="0" w:firstLineChars="200" w:firstLine="420"/>
                <w:jc w:val="both"/>
              </w:pPr>
              <w:r>
                <w:rPr>
                  <w:rFonts w:hint="eastAsia"/>
                </w:rPr>
                <w:t>以摊余成本计量的金融负债</w:t>
              </w:r>
            </w:p>
            <w:p w14:paraId="4967338A" w14:textId="77777777" w:rsidR="00D21C1F" w:rsidRDefault="00A42880">
              <w:pPr>
                <w:pStyle w:val="120"/>
                <w:spacing w:line="360" w:lineRule="auto"/>
                <w:ind w:firstLineChars="200" w:firstLine="420"/>
                <w:jc w:val="both"/>
              </w:pPr>
              <w:r>
                <w:rPr>
                  <w:rFonts w:hint="eastAsia"/>
                </w:rPr>
                <w:t>初始确认后，对其他金融负债采用实际利率法以摊余成本计量。</w:t>
              </w:r>
            </w:p>
            <w:p w14:paraId="173111E6" w14:textId="77777777" w:rsidR="00D21C1F" w:rsidRDefault="00A42880">
              <w:pPr>
                <w:pStyle w:val="120"/>
                <w:spacing w:line="360" w:lineRule="auto"/>
                <w:ind w:firstLineChars="200" w:firstLine="420"/>
                <w:jc w:val="both"/>
              </w:pPr>
              <w:r>
                <w:rPr>
                  <w:rFonts w:hint="eastAsia"/>
                </w:rPr>
                <w:lastRenderedPageBreak/>
                <w:t>除特殊情况外，金融负债与权益工具按照下列原则进行区分：</w:t>
              </w:r>
            </w:p>
            <w:p w14:paraId="50885316" w14:textId="77777777" w:rsidR="00D21C1F" w:rsidRDefault="00A42880">
              <w:pPr>
                <w:pStyle w:val="120"/>
                <w:spacing w:line="360" w:lineRule="auto"/>
                <w:ind w:firstLineChars="200" w:firstLine="420"/>
                <w:jc w:val="both"/>
              </w:pPr>
              <w:r>
                <w:rPr>
                  <w:rFonts w:hint="eastAsia"/>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14:paraId="18E8451E" w14:textId="77777777" w:rsidR="00D21C1F" w:rsidRDefault="00A42880">
              <w:pPr>
                <w:pStyle w:val="120"/>
                <w:spacing w:line="360" w:lineRule="auto"/>
                <w:ind w:firstLineChars="200" w:firstLine="420"/>
                <w:jc w:val="both"/>
              </w:pPr>
              <w:r>
                <w:rPr>
                  <w:rFonts w:hint="eastAsia"/>
                </w:rPr>
                <w:t>②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14:paraId="21B04660" w14:textId="77777777" w:rsidR="00D21C1F" w:rsidRDefault="00A42880">
              <w:pPr>
                <w:pStyle w:val="120"/>
                <w:spacing w:line="360" w:lineRule="auto"/>
                <w:ind w:firstLineChars="200" w:firstLine="422"/>
                <w:jc w:val="both"/>
                <w:outlineLvl w:val="2"/>
                <w:rPr>
                  <w:b/>
                  <w:bCs/>
                </w:rPr>
              </w:pPr>
              <w:r>
                <w:rPr>
                  <w:rFonts w:hint="eastAsia"/>
                  <w:b/>
                  <w:bCs/>
                </w:rPr>
                <w:t>（</w:t>
              </w:r>
              <w:r>
                <w:rPr>
                  <w:rFonts w:ascii="Times New Roman" w:hAnsi="Times New Roman" w:cs="宋体"/>
                  <w:b/>
                  <w:bCs/>
                </w:rPr>
                <w:t>4</w:t>
              </w:r>
              <w:r>
                <w:rPr>
                  <w:rFonts w:hint="eastAsia"/>
                  <w:b/>
                  <w:bCs/>
                </w:rPr>
                <w:t>）衍生金融工具及嵌入衍生工具</w:t>
              </w:r>
            </w:p>
            <w:p w14:paraId="02888661" w14:textId="77777777" w:rsidR="00D21C1F" w:rsidRDefault="00A42880">
              <w:pPr>
                <w:pStyle w:val="120"/>
                <w:spacing w:line="360" w:lineRule="auto"/>
                <w:ind w:firstLineChars="200" w:firstLine="420"/>
                <w:jc w:val="both"/>
              </w:pPr>
              <w:r>
                <w:rPr>
                  <w:rFonts w:hint="eastAsia"/>
                </w:rPr>
                <w:t>衍生金融工具初始以衍生交易合同签订当日的公允价值进行计量，并以其公允价值进行后续计量。公允价值为正数的衍生金融工具确认为一项资产，公允价值为负数的确认为一项负债。</w:t>
              </w:r>
            </w:p>
            <w:p w14:paraId="4A97DEE0" w14:textId="77777777" w:rsidR="00D21C1F" w:rsidRDefault="00A42880">
              <w:pPr>
                <w:pStyle w:val="120"/>
                <w:spacing w:line="360" w:lineRule="auto"/>
                <w:ind w:firstLineChars="200" w:firstLine="420"/>
                <w:jc w:val="both"/>
              </w:pPr>
              <w:r>
                <w:rPr>
                  <w:rFonts w:hint="eastAsia"/>
                </w:rPr>
                <w:t>除现金流量套期中属于套期有效的部分计入其他综合收益并于被套期项目影响损益时转出计入当期损益之外，衍生工具公允价值变动而产生的利得或损失，直接计入当期损益。</w:t>
              </w:r>
            </w:p>
            <w:p w14:paraId="3F4E1497" w14:textId="77777777" w:rsidR="00D21C1F" w:rsidRDefault="00A42880">
              <w:pPr>
                <w:pStyle w:val="120"/>
                <w:spacing w:line="360" w:lineRule="auto"/>
                <w:ind w:firstLineChars="200" w:firstLine="420"/>
                <w:jc w:val="both"/>
              </w:pPr>
              <w:r>
                <w:rPr>
                  <w:rFonts w:hint="eastAsia"/>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14:paraId="3178ADD6" w14:textId="77777777" w:rsidR="00D21C1F" w:rsidRDefault="00A42880">
              <w:pPr>
                <w:pStyle w:val="120"/>
                <w:spacing w:line="360" w:lineRule="auto"/>
                <w:ind w:firstLineChars="200" w:firstLine="422"/>
                <w:jc w:val="both"/>
                <w:outlineLvl w:val="2"/>
                <w:rPr>
                  <w:b/>
                  <w:bCs/>
                </w:rPr>
              </w:pPr>
              <w:r>
                <w:rPr>
                  <w:rFonts w:hint="eastAsia"/>
                  <w:b/>
                  <w:bCs/>
                </w:rPr>
                <w:t>（</w:t>
              </w:r>
              <w:r>
                <w:rPr>
                  <w:rFonts w:ascii="Times New Roman" w:hAnsi="Times New Roman" w:cs="宋体"/>
                  <w:b/>
                  <w:bCs/>
                </w:rPr>
                <w:t>5</w:t>
              </w:r>
              <w:r>
                <w:rPr>
                  <w:rFonts w:hint="eastAsia"/>
                  <w:b/>
                  <w:bCs/>
                </w:rPr>
                <w:t>）金融工具减值</w:t>
              </w:r>
            </w:p>
            <w:p w14:paraId="7DB1C16E" w14:textId="77777777" w:rsidR="00D21C1F" w:rsidRDefault="00A42880">
              <w:pPr>
                <w:pStyle w:val="120"/>
                <w:spacing w:line="360" w:lineRule="auto"/>
                <w:ind w:firstLineChars="200" w:firstLine="420"/>
                <w:jc w:val="both"/>
              </w:pPr>
              <w:r>
                <w:rPr>
                  <w:rFonts w:hint="eastAsia"/>
                </w:rPr>
                <w:t>本公司对于以摊余成本计量的金融资产、以公允价值计量且其变动计入其他综合收益的债权投资、</w:t>
              </w:r>
              <w:r>
                <w:rPr>
                  <w:rFonts w:hint="eastAsia"/>
                  <w:color w:val="000000"/>
                </w:rPr>
                <w:t>合同资产、</w:t>
              </w:r>
              <w:r>
                <w:rPr>
                  <w:rFonts w:hint="eastAsia"/>
                </w:rPr>
                <w:t>租赁应收款、贷款承诺及财务担保合同等，以预期信用损失为基础确认损失准备。</w:t>
              </w:r>
            </w:p>
            <w:p w14:paraId="27569F3C" w14:textId="77777777" w:rsidR="00D21C1F" w:rsidRDefault="00A42880">
              <w:pPr>
                <w:pStyle w:val="120"/>
                <w:widowControl w:val="0"/>
                <w:numPr>
                  <w:ilvl w:val="0"/>
                  <w:numId w:val="2"/>
                </w:numPr>
                <w:spacing w:line="360" w:lineRule="auto"/>
                <w:ind w:left="0" w:firstLineChars="200" w:firstLine="420"/>
                <w:jc w:val="both"/>
                <w:outlineLvl w:val="3"/>
              </w:pPr>
              <w:r>
                <w:rPr>
                  <w:rFonts w:hint="eastAsia"/>
                </w:rPr>
                <w:t>预期信用损失的计量</w:t>
              </w:r>
            </w:p>
            <w:p w14:paraId="41278774" w14:textId="77777777" w:rsidR="00D21C1F" w:rsidRDefault="00A42880">
              <w:pPr>
                <w:pStyle w:val="120"/>
                <w:spacing w:line="360" w:lineRule="auto"/>
                <w:ind w:firstLineChars="200" w:firstLine="420"/>
                <w:jc w:val="both"/>
              </w:pPr>
              <w:r>
                <w:rPr>
                  <w:rFonts w:hint="eastAsia"/>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14:paraId="248451FF" w14:textId="77777777" w:rsidR="00D21C1F" w:rsidRDefault="00A42880">
              <w:pPr>
                <w:pStyle w:val="120"/>
                <w:spacing w:line="360" w:lineRule="auto"/>
                <w:ind w:firstLineChars="200" w:firstLine="420"/>
                <w:jc w:val="both"/>
              </w:pPr>
              <w:r>
                <w:rPr>
                  <w:rFonts w:hint="eastAsia"/>
                </w:rPr>
                <w:lastRenderedPageBreak/>
                <w:t>整个存续期预期信用损失，是指因金融工具整个预计存续期内所有可能发生的违约事件而导致的预期信用损失。</w:t>
              </w:r>
            </w:p>
            <w:p w14:paraId="034A69D9" w14:textId="77777777" w:rsidR="00D21C1F" w:rsidRDefault="00A42880">
              <w:pPr>
                <w:pStyle w:val="120"/>
                <w:spacing w:line="360" w:lineRule="auto"/>
                <w:ind w:firstLineChars="200" w:firstLine="420"/>
                <w:jc w:val="both"/>
              </w:pPr>
              <w:r>
                <w:rPr>
                  <w:rFonts w:hint="eastAsia"/>
                </w:rPr>
                <w:t>未来</w:t>
              </w:r>
              <w:r>
                <w:rPr>
                  <w:rFonts w:ascii="Times New Roman" w:hAnsi="Times New Roman" w:cs="宋体"/>
                </w:rPr>
                <w:t>12</w:t>
              </w:r>
              <w:r>
                <w:rPr>
                  <w:rFonts w:hint="eastAsia"/>
                </w:rPr>
                <w:t>个月内预期信用损失，是指因资产负债表日后</w:t>
              </w:r>
              <w:r>
                <w:rPr>
                  <w:rFonts w:ascii="Times New Roman" w:hAnsi="Times New Roman" w:cs="宋体"/>
                </w:rPr>
                <w:t>12</w:t>
              </w:r>
              <w:r>
                <w:rPr>
                  <w:rFonts w:hint="eastAsia"/>
                </w:rPr>
                <w:t>个月内（若金融工具的预计存续期少于</w:t>
              </w:r>
              <w:r>
                <w:rPr>
                  <w:rFonts w:ascii="Times New Roman" w:hAnsi="Times New Roman" w:cs="宋体"/>
                </w:rPr>
                <w:t>12</w:t>
              </w:r>
              <w:r>
                <w:rPr>
                  <w:rFonts w:hint="eastAsia"/>
                </w:rPr>
                <w:t>个月，则为预计存续期）可能发生的金融工具违约事件而导致的预期信用损失，是整个存续期预期信用损失的一部分。</w:t>
              </w:r>
            </w:p>
            <w:p w14:paraId="58CB64E0" w14:textId="77777777" w:rsidR="00D21C1F" w:rsidRDefault="00A42880">
              <w:pPr>
                <w:pStyle w:val="120"/>
                <w:spacing w:line="360" w:lineRule="auto"/>
                <w:ind w:firstLineChars="200" w:firstLine="420"/>
                <w:jc w:val="both"/>
              </w:pPr>
              <w:r>
                <w:rPr>
                  <w:rFonts w:hint="eastAsia"/>
                </w:rPr>
                <w:t>于每个资产负债表日，本公司对于处于不同阶段的金融工具的预期信用损失分别进行计量。金融工具自初始确认后信用风险未显著增加的，处于第一阶段，本公司按照未来</w:t>
              </w:r>
              <w:r>
                <w:rPr>
                  <w:rFonts w:ascii="Times New Roman" w:hAnsi="Times New Roman" w:cs="宋体"/>
                </w:rPr>
                <w:t>12</w:t>
              </w:r>
              <w:r>
                <w:rPr>
                  <w:rFonts w:hint="eastAsia"/>
                </w:rPr>
                <w:t>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0DE9C451" w14:textId="77777777" w:rsidR="00D21C1F" w:rsidRDefault="00A42880">
              <w:pPr>
                <w:pStyle w:val="120"/>
                <w:spacing w:line="360" w:lineRule="auto"/>
                <w:ind w:firstLineChars="200" w:firstLine="420"/>
                <w:jc w:val="both"/>
              </w:pPr>
              <w:r>
                <w:rPr>
                  <w:rFonts w:hint="eastAsia"/>
                </w:rPr>
                <w:t>对于在资产负债表日具有较低信用风险的金融工具，本公司假设其信用风险自初始确认后并未显著增加，按照未来</w:t>
              </w:r>
              <w:r>
                <w:rPr>
                  <w:rFonts w:ascii="Times New Roman" w:hAnsi="Times New Roman" w:cs="宋体"/>
                </w:rPr>
                <w:t>12</w:t>
              </w:r>
              <w:r>
                <w:rPr>
                  <w:rFonts w:hint="eastAsia"/>
                </w:rPr>
                <w:t>个月内的预期信用损失计量损失准备。</w:t>
              </w:r>
            </w:p>
            <w:p w14:paraId="5C1D00DC" w14:textId="77777777" w:rsidR="00D21C1F" w:rsidRDefault="00A42880">
              <w:pPr>
                <w:pStyle w:val="120"/>
                <w:spacing w:line="360" w:lineRule="auto"/>
                <w:ind w:firstLineChars="200" w:firstLine="420"/>
                <w:jc w:val="both"/>
              </w:pPr>
              <w:r>
                <w:rPr>
                  <w:rFonts w:hint="eastAsia"/>
                </w:rPr>
                <w:t>本公司对于处于第一阶段和第二阶段、以及较低信用风险的金融工具，按照其未扣除减值准备的账面余额和实际利率计算利息收入。对于处于第三阶段的金融工具，按照其账面余额减已计提减值准备后的摊余成本和实际利率计算利息收入。</w:t>
              </w:r>
            </w:p>
            <w:p w14:paraId="5FB6E2EB" w14:textId="77777777" w:rsidR="00D21C1F" w:rsidRDefault="00A42880">
              <w:pPr>
                <w:pStyle w:val="120"/>
                <w:spacing w:line="360" w:lineRule="auto"/>
                <w:ind w:firstLineChars="200" w:firstLine="420"/>
                <w:jc w:val="both"/>
              </w:pPr>
              <w:r>
                <w:rPr>
                  <w:rFonts w:hint="eastAsia"/>
                </w:rPr>
                <w:t>对于应收票据、应收账款、</w:t>
              </w:r>
              <w:r>
                <w:rPr>
                  <w:rFonts w:hint="eastAsia"/>
                  <w:color w:val="000000"/>
                </w:rPr>
                <w:t>应收款项融资</w:t>
              </w:r>
              <w:r>
                <w:rPr>
                  <w:rFonts w:hint="eastAsia"/>
                </w:rPr>
                <w:t>及合同资产，无论是否存在重大融资成分，本公司均按照整个存续期的预期信用损失计量损失准备。</w:t>
              </w:r>
            </w:p>
            <w:p w14:paraId="062C39E6" w14:textId="77777777" w:rsidR="00D21C1F" w:rsidRDefault="00A42880">
              <w:pPr>
                <w:pStyle w:val="120"/>
                <w:spacing w:line="360" w:lineRule="auto"/>
                <w:ind w:firstLineChars="200" w:firstLine="420"/>
                <w:jc w:val="both"/>
                <w:outlineLvl w:val="4"/>
              </w:pPr>
              <w:r>
                <w:rPr>
                  <w:rFonts w:ascii="Times New Roman" w:hAnsi="Times New Roman" w:cs="宋体"/>
                </w:rPr>
                <w:t>A</w:t>
              </w:r>
              <w:r>
                <w:rPr>
                  <w:rFonts w:hint="eastAsia"/>
                </w:rPr>
                <w:t>、应收款项</w:t>
              </w:r>
            </w:p>
            <w:p w14:paraId="69B5EEF0" w14:textId="77777777" w:rsidR="00D21C1F" w:rsidRDefault="00A42880">
              <w:pPr>
                <w:pStyle w:val="120"/>
                <w:spacing w:line="360" w:lineRule="auto"/>
                <w:ind w:firstLineChars="200" w:firstLine="420"/>
                <w:jc w:val="both"/>
              </w:pPr>
              <w:r>
                <w:rPr>
                  <w:rFonts w:hint="eastAsia"/>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同资产及长期应收款或当单项金融资产无法以合理成本评估预期信用损失的信息时，本公司依据信用风险特征将应收票据、应收账款、其他应收款、应收款项融资、合同资产及长期应收款等划分为若干组合，在组合基础上计算预期信用损失，确定组合的依据如下：</w:t>
              </w:r>
            </w:p>
            <w:p w14:paraId="039C6AD9" w14:textId="77777777" w:rsidR="00D21C1F" w:rsidRDefault="00A42880">
              <w:pPr>
                <w:pStyle w:val="120"/>
                <w:spacing w:line="360" w:lineRule="auto"/>
                <w:ind w:left="482"/>
                <w:jc w:val="both"/>
              </w:pPr>
              <w:r>
                <w:rPr>
                  <w:rFonts w:ascii="Times New Roman" w:hAnsi="Times New Roman" w:cs="宋体"/>
                </w:rPr>
                <w:t>a</w:t>
              </w:r>
              <w:r>
                <w:rPr>
                  <w:rFonts w:hint="eastAsia"/>
                </w:rPr>
                <w:t>、应收票据确定组合的依据如下：</w:t>
              </w:r>
            </w:p>
            <w:p w14:paraId="22BBAB66" w14:textId="77777777" w:rsidR="00D21C1F" w:rsidRDefault="00A42880">
              <w:pPr>
                <w:pStyle w:val="120"/>
                <w:spacing w:line="360" w:lineRule="auto"/>
                <w:ind w:firstLineChars="200" w:firstLine="420"/>
                <w:jc w:val="both"/>
              </w:pPr>
              <w:r>
                <w:rPr>
                  <w:rFonts w:hint="eastAsia"/>
                </w:rPr>
                <w:t>应收票据组合</w:t>
              </w:r>
              <w:r>
                <w:rPr>
                  <w:rFonts w:ascii="Times New Roman" w:hAnsi="Times New Roman" w:cs="宋体"/>
                </w:rPr>
                <w:t>1</w:t>
              </w:r>
              <w:r>
                <w:rPr>
                  <w:rFonts w:hint="eastAsia"/>
                </w:rPr>
                <w:t>：商业承兑汇票</w:t>
              </w:r>
            </w:p>
            <w:p w14:paraId="14AB341C" w14:textId="77777777" w:rsidR="00D21C1F" w:rsidRDefault="00A42880">
              <w:pPr>
                <w:pStyle w:val="120"/>
                <w:spacing w:line="360" w:lineRule="auto"/>
                <w:ind w:firstLineChars="200" w:firstLine="420"/>
                <w:jc w:val="both"/>
              </w:pPr>
              <w:r>
                <w:rPr>
                  <w:rFonts w:hint="eastAsia"/>
                </w:rPr>
                <w:t>应收票据组合</w:t>
              </w:r>
              <w:r>
                <w:rPr>
                  <w:rFonts w:ascii="Times New Roman" w:hAnsi="Times New Roman" w:cs="宋体"/>
                </w:rPr>
                <w:t>2</w:t>
              </w:r>
              <w:r>
                <w:rPr>
                  <w:rFonts w:hint="eastAsia"/>
                </w:rPr>
                <w:t>：银行承兑汇票</w:t>
              </w:r>
            </w:p>
            <w:p w14:paraId="06FAD7AA" w14:textId="77777777" w:rsidR="00D21C1F" w:rsidRDefault="00A42880">
              <w:pPr>
                <w:pStyle w:val="120"/>
                <w:spacing w:line="360" w:lineRule="auto"/>
                <w:ind w:firstLineChars="200" w:firstLine="420"/>
                <w:jc w:val="both"/>
              </w:pPr>
              <w:r>
                <w:rPr>
                  <w:rFonts w:hint="eastAsia"/>
                </w:rPr>
                <w:t>对于划分为组合</w:t>
              </w:r>
              <w:r>
                <w:rPr>
                  <w:rFonts w:ascii="Times New Roman" w:hAnsi="Times New Roman" w:cs="宋体"/>
                </w:rPr>
                <w:t>1</w:t>
              </w:r>
              <w:r>
                <w:rPr>
                  <w:rFonts w:hint="eastAsia"/>
                </w:rPr>
                <w:t>的应收票据，本公司参考历史信用损失经验，结合当前状况以及对未来经济状况的预测，通过违约风险敞口和整个存续期预期信用损失率，计算预期信用损失。对于划分为组合</w:t>
              </w:r>
              <w:r>
                <w:rPr>
                  <w:rFonts w:ascii="Times New Roman" w:hAnsi="Times New Roman" w:cs="宋体"/>
                </w:rPr>
                <w:t>2</w:t>
              </w:r>
              <w:r>
                <w:rPr>
                  <w:rFonts w:hint="eastAsia"/>
                </w:rPr>
                <w:t>的应收票据，本公司评估无收回风险，不计算预期信用损失。</w:t>
              </w:r>
            </w:p>
            <w:p w14:paraId="60303ECA" w14:textId="77777777" w:rsidR="00D21C1F" w:rsidRDefault="00A42880">
              <w:pPr>
                <w:pStyle w:val="120"/>
                <w:spacing w:line="360" w:lineRule="auto"/>
                <w:ind w:left="482"/>
                <w:jc w:val="both"/>
              </w:pPr>
              <w:r>
                <w:rPr>
                  <w:rFonts w:ascii="Times New Roman" w:hAnsi="Times New Roman" w:cs="宋体"/>
                </w:rPr>
                <w:t>b</w:t>
              </w:r>
              <w:r>
                <w:rPr>
                  <w:rFonts w:hint="eastAsia"/>
                </w:rPr>
                <w:t>、应收账款、其他应收款确定组合的依据如下：</w:t>
              </w:r>
            </w:p>
            <w:p w14:paraId="35E5C7C4" w14:textId="77777777" w:rsidR="00D21C1F" w:rsidRDefault="00A42880">
              <w:pPr>
                <w:pStyle w:val="120"/>
                <w:spacing w:line="360" w:lineRule="auto"/>
                <w:ind w:firstLineChars="200" w:firstLine="420"/>
                <w:jc w:val="both"/>
              </w:pPr>
              <w:r>
                <w:rPr>
                  <w:rFonts w:hint="eastAsia"/>
                </w:rPr>
                <w:t>组合：应收款项</w:t>
              </w:r>
            </w:p>
            <w:p w14:paraId="4B2D71C2" w14:textId="77777777" w:rsidR="00D21C1F" w:rsidRDefault="00A42880">
              <w:pPr>
                <w:pStyle w:val="120"/>
                <w:spacing w:line="360" w:lineRule="auto"/>
                <w:ind w:firstLineChars="200" w:firstLine="420"/>
                <w:jc w:val="both"/>
              </w:pPr>
              <w:r>
                <w:rPr>
                  <w:rFonts w:hint="eastAsia"/>
                </w:rPr>
                <w:lastRenderedPageBreak/>
                <w:t>对于划分为组合的应收款项，本公司参考历史信用损失经验，结合当前状况以及对未来经济状况的预测，编制应收款项账龄与整个存续期预期信用损失率对照表，计算预期信用损失。</w:t>
              </w:r>
            </w:p>
            <w:p w14:paraId="29720B3A" w14:textId="77777777" w:rsidR="00D21C1F" w:rsidRDefault="00A42880">
              <w:pPr>
                <w:pStyle w:val="120"/>
                <w:spacing w:line="360" w:lineRule="auto"/>
                <w:ind w:left="482"/>
                <w:jc w:val="both"/>
              </w:pPr>
              <w:r>
                <w:rPr>
                  <w:rFonts w:ascii="Times New Roman" w:hAnsi="Times New Roman" w:cs="宋体"/>
                </w:rPr>
                <w:t>c</w:t>
              </w:r>
              <w:r>
                <w:rPr>
                  <w:rFonts w:hint="eastAsia"/>
                </w:rPr>
                <w:t>、应收款项融资确定组合的依据如下：</w:t>
              </w:r>
            </w:p>
            <w:p w14:paraId="17256B31" w14:textId="77777777" w:rsidR="00D21C1F" w:rsidRDefault="00A42880">
              <w:pPr>
                <w:pStyle w:val="120"/>
                <w:spacing w:line="360" w:lineRule="auto"/>
                <w:ind w:firstLineChars="200" w:firstLine="420"/>
                <w:jc w:val="both"/>
              </w:pPr>
              <w:r>
                <w:rPr>
                  <w:rFonts w:hint="eastAsia"/>
                </w:rPr>
                <w:t>应收款项融资组合：较高信用等级商业银行承兑的银行承兑汇票。</w:t>
              </w:r>
            </w:p>
            <w:p w14:paraId="118DF658" w14:textId="77777777" w:rsidR="00D21C1F" w:rsidRDefault="00A42880">
              <w:pPr>
                <w:pStyle w:val="120"/>
                <w:spacing w:line="360" w:lineRule="auto"/>
                <w:ind w:firstLineChars="200" w:firstLine="420"/>
                <w:jc w:val="both"/>
              </w:pPr>
              <w:r>
                <w:rPr>
                  <w:rFonts w:hint="eastAsia"/>
                </w:rPr>
                <w:t>对于划分为组合的应收款项融资，本公司参考历史信用损失经验，结合当前状况以及对未来经济状况的预测，通过违约风险敞口和整个存续期预期信用损失率，计算预期信用损失。</w:t>
              </w:r>
            </w:p>
            <w:p w14:paraId="0E3042A6" w14:textId="77777777" w:rsidR="00D21C1F" w:rsidRDefault="00A42880">
              <w:pPr>
                <w:pStyle w:val="120"/>
                <w:spacing w:line="360" w:lineRule="auto"/>
                <w:ind w:left="482"/>
                <w:jc w:val="both"/>
              </w:pPr>
              <w:r>
                <w:rPr>
                  <w:rFonts w:ascii="Times New Roman" w:hAnsi="Times New Roman" w:cs="宋体"/>
                </w:rPr>
                <w:t>d</w:t>
              </w:r>
              <w:r>
                <w:rPr>
                  <w:rFonts w:hint="eastAsia"/>
                </w:rPr>
                <w:t>、合同资产确定组合的依据如下：</w:t>
              </w:r>
            </w:p>
            <w:p w14:paraId="6C798204" w14:textId="77777777" w:rsidR="00D21C1F" w:rsidRDefault="00A42880">
              <w:pPr>
                <w:pStyle w:val="120"/>
                <w:spacing w:line="360" w:lineRule="auto"/>
                <w:ind w:left="482"/>
                <w:jc w:val="both"/>
              </w:pPr>
              <w:r>
                <w:rPr>
                  <w:rFonts w:hint="eastAsia"/>
                </w:rPr>
                <w:t>合同资产组合：已完工未结算资产、未到期质保金</w:t>
              </w:r>
            </w:p>
            <w:p w14:paraId="0C7DB7A3" w14:textId="77777777" w:rsidR="00D21C1F" w:rsidRDefault="00A42880">
              <w:pPr>
                <w:pStyle w:val="120"/>
                <w:spacing w:line="360" w:lineRule="auto"/>
                <w:ind w:firstLineChars="200" w:firstLine="420"/>
                <w:jc w:val="both"/>
              </w:pPr>
              <w:r>
                <w:rPr>
                  <w:rFonts w:hint="eastAsia"/>
                </w:rPr>
                <w:t>对于划分为组合的合同资产，本公司参考历史信用损失经验，结合当前状况以及对未来经济状况的预测，通过违约风险敞口与整个存续期预期信用损失率，计算预期信用损失。</w:t>
              </w:r>
            </w:p>
            <w:p w14:paraId="4DFA9625" w14:textId="77777777" w:rsidR="00D21C1F" w:rsidRDefault="00A42880">
              <w:pPr>
                <w:pStyle w:val="120"/>
                <w:spacing w:line="360" w:lineRule="auto"/>
                <w:ind w:firstLineChars="200" w:firstLine="420"/>
                <w:jc w:val="both"/>
                <w:outlineLvl w:val="4"/>
              </w:pPr>
              <w:r>
                <w:rPr>
                  <w:rFonts w:ascii="Times New Roman" w:hAnsi="Times New Roman" w:cs="宋体"/>
                </w:rPr>
                <w:t>B</w:t>
              </w:r>
              <w:r>
                <w:rPr>
                  <w:rFonts w:hint="eastAsia"/>
                </w:rPr>
                <w:t>、债权投资、其他债权投资</w:t>
              </w:r>
            </w:p>
            <w:p w14:paraId="215EF08C" w14:textId="77777777" w:rsidR="00D21C1F" w:rsidRDefault="00A42880">
              <w:pPr>
                <w:pStyle w:val="120"/>
                <w:spacing w:line="360" w:lineRule="auto"/>
                <w:ind w:firstLineChars="200" w:firstLine="420"/>
                <w:jc w:val="both"/>
              </w:pPr>
              <w:r>
                <w:rPr>
                  <w:rFonts w:hint="eastAsia"/>
                </w:rPr>
                <w:t>对于债权投资和其他债权投资，本公司按照投资的性质，根据交易对手和风险敞口的各种类型，通过违约风险敞口和未来</w:t>
              </w:r>
              <w:r>
                <w:rPr>
                  <w:rFonts w:ascii="Times New Roman" w:hAnsi="Times New Roman" w:cs="宋体"/>
                </w:rPr>
                <w:t>12</w:t>
              </w:r>
              <w:r>
                <w:rPr>
                  <w:rFonts w:hint="eastAsia"/>
                </w:rPr>
                <w:t>个月内或整个存续期预期信用损失率，计算预期信用损失。</w:t>
              </w:r>
            </w:p>
            <w:p w14:paraId="523EDBF0" w14:textId="77777777" w:rsidR="00D21C1F" w:rsidRDefault="00A42880">
              <w:pPr>
                <w:pStyle w:val="120"/>
                <w:widowControl w:val="0"/>
                <w:numPr>
                  <w:ilvl w:val="0"/>
                  <w:numId w:val="2"/>
                </w:numPr>
                <w:spacing w:line="360" w:lineRule="auto"/>
                <w:ind w:left="0" w:firstLineChars="200" w:firstLine="420"/>
                <w:jc w:val="both"/>
                <w:outlineLvl w:val="3"/>
              </w:pPr>
              <w:r>
                <w:rPr>
                  <w:rFonts w:hint="eastAsia"/>
                </w:rPr>
                <w:t>具有较低的信用风险</w:t>
              </w:r>
            </w:p>
            <w:p w14:paraId="50885F0D" w14:textId="77777777" w:rsidR="00D21C1F" w:rsidRDefault="00A42880">
              <w:pPr>
                <w:pStyle w:val="120"/>
                <w:spacing w:line="360" w:lineRule="auto"/>
                <w:ind w:firstLineChars="200" w:firstLine="420"/>
                <w:jc w:val="both"/>
              </w:pPr>
              <w:r>
                <w:rPr>
                  <w:rFonts w:hint="eastAsia"/>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1AB35FE6" w14:textId="77777777" w:rsidR="00D21C1F" w:rsidRDefault="00A42880">
              <w:pPr>
                <w:pStyle w:val="120"/>
                <w:widowControl w:val="0"/>
                <w:numPr>
                  <w:ilvl w:val="0"/>
                  <w:numId w:val="2"/>
                </w:numPr>
                <w:spacing w:line="360" w:lineRule="auto"/>
                <w:ind w:left="0" w:firstLineChars="200" w:firstLine="420"/>
                <w:jc w:val="both"/>
                <w:outlineLvl w:val="3"/>
              </w:pPr>
              <w:r>
                <w:rPr>
                  <w:rFonts w:hint="eastAsia"/>
                </w:rPr>
                <w:t>信用风险显著增加</w:t>
              </w:r>
            </w:p>
            <w:p w14:paraId="6E72BCCA" w14:textId="77777777" w:rsidR="00D21C1F" w:rsidRDefault="00A42880">
              <w:pPr>
                <w:pStyle w:val="120"/>
                <w:spacing w:line="360" w:lineRule="auto"/>
                <w:ind w:firstLineChars="200" w:firstLine="420"/>
                <w:jc w:val="both"/>
              </w:pPr>
              <w:r>
                <w:rPr>
                  <w:rFonts w:hint="eastAsia"/>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14:paraId="42C1811A" w14:textId="77777777" w:rsidR="00D21C1F" w:rsidRDefault="00A42880">
              <w:pPr>
                <w:pStyle w:val="120"/>
                <w:spacing w:line="360" w:lineRule="auto"/>
                <w:ind w:firstLineChars="200" w:firstLine="420"/>
                <w:jc w:val="both"/>
              </w:pPr>
              <w:r>
                <w:rPr>
                  <w:rFonts w:hint="eastAsia"/>
                </w:rPr>
                <w:t>在确定信用风险自初始确认后是否显著增加时，本公司考虑无须付出不必要的额外成本或努力即可获得的合理且有依据的信息，包括前瞻性信息。本公司考虑的信息包括：</w:t>
              </w:r>
            </w:p>
            <w:p w14:paraId="148295B2" w14:textId="77777777" w:rsidR="00D21C1F" w:rsidRDefault="00A42880">
              <w:pPr>
                <w:pStyle w:val="120"/>
                <w:spacing w:line="360" w:lineRule="auto"/>
                <w:ind w:firstLineChars="200" w:firstLine="420"/>
                <w:jc w:val="both"/>
              </w:pPr>
              <w:r>
                <w:rPr>
                  <w:rFonts w:ascii="Times New Roman" w:hAnsi="Times New Roman" w:cs="宋体"/>
                </w:rPr>
                <w:t>A</w:t>
              </w:r>
              <w:r>
                <w:rPr>
                  <w:rFonts w:hint="eastAsia"/>
                </w:rPr>
                <w:t>.信用风险变化所导致的内部价格指标是否发生显著变化；</w:t>
              </w:r>
            </w:p>
            <w:p w14:paraId="70B57992" w14:textId="77777777" w:rsidR="00D21C1F" w:rsidRDefault="00A42880">
              <w:pPr>
                <w:pStyle w:val="120"/>
                <w:spacing w:line="360" w:lineRule="auto"/>
                <w:ind w:firstLineChars="200" w:firstLine="420"/>
                <w:jc w:val="both"/>
              </w:pPr>
              <w:r>
                <w:rPr>
                  <w:rFonts w:ascii="Times New Roman" w:hAnsi="Times New Roman" w:cs="宋体"/>
                </w:rPr>
                <w:t>B</w:t>
              </w:r>
              <w:r>
                <w:rPr>
                  <w:rFonts w:hint="eastAsia"/>
                </w:rPr>
                <w:t>.预期将导致债务人履行其偿债义务的能力是否发生显著变化的业务、财务或经济状况的不利变化；</w:t>
              </w:r>
            </w:p>
            <w:p w14:paraId="7D05C0CF" w14:textId="77777777" w:rsidR="00D21C1F" w:rsidRDefault="00A42880">
              <w:pPr>
                <w:pStyle w:val="120"/>
                <w:spacing w:line="360" w:lineRule="auto"/>
                <w:ind w:firstLineChars="200" w:firstLine="420"/>
                <w:jc w:val="both"/>
              </w:pPr>
              <w:r>
                <w:rPr>
                  <w:rFonts w:ascii="Times New Roman" w:hAnsi="Times New Roman" w:cs="宋体"/>
                </w:rPr>
                <w:t>C</w:t>
              </w:r>
              <w:r>
                <w:rPr>
                  <w:rFonts w:hint="eastAsia"/>
                </w:rPr>
                <w:t>.债务人经营成果实际或预期是否发生显著变化；债务人所处的监管、经济或技术环境是否发生显著不利变化；</w:t>
              </w:r>
            </w:p>
            <w:p w14:paraId="60C2BF41" w14:textId="77777777" w:rsidR="00D21C1F" w:rsidRDefault="00A42880">
              <w:pPr>
                <w:pStyle w:val="120"/>
                <w:spacing w:line="360" w:lineRule="auto"/>
                <w:ind w:firstLineChars="200" w:firstLine="420"/>
                <w:jc w:val="both"/>
              </w:pPr>
              <w:r>
                <w:rPr>
                  <w:rFonts w:ascii="Times New Roman" w:hAnsi="Times New Roman" w:cs="宋体"/>
                </w:rPr>
                <w:t>D</w:t>
              </w:r>
              <w:r>
                <w:rPr>
                  <w:rFonts w:hint="eastAsia"/>
                </w:rPr>
                <w:t>.作为债务抵押的担保物价值或第三方提供的担保或信用增级质量是否发生显著变化。这些变化预期将降低债务人按合同规定期限还款的经济动机或者影响违约概率；</w:t>
              </w:r>
            </w:p>
            <w:p w14:paraId="2A301CC5" w14:textId="77777777" w:rsidR="00D21C1F" w:rsidRDefault="00A42880">
              <w:pPr>
                <w:pStyle w:val="120"/>
                <w:spacing w:line="360" w:lineRule="auto"/>
                <w:ind w:firstLineChars="200" w:firstLine="420"/>
                <w:jc w:val="both"/>
              </w:pPr>
              <w:r>
                <w:rPr>
                  <w:rFonts w:ascii="Times New Roman" w:hAnsi="Times New Roman" w:cs="宋体"/>
                </w:rPr>
                <w:t>E</w:t>
              </w:r>
              <w:r>
                <w:rPr>
                  <w:rFonts w:hint="eastAsia"/>
                </w:rPr>
                <w:t>.预期将降低债务人按合同约定期限还款的经济动机是否发生显著变化；</w:t>
              </w:r>
            </w:p>
            <w:p w14:paraId="12CC8A96" w14:textId="77777777" w:rsidR="00D21C1F" w:rsidRDefault="00A42880">
              <w:pPr>
                <w:pStyle w:val="120"/>
                <w:spacing w:line="360" w:lineRule="auto"/>
                <w:ind w:firstLineChars="200" w:firstLine="420"/>
                <w:jc w:val="both"/>
              </w:pPr>
              <w:r>
                <w:rPr>
                  <w:rFonts w:ascii="Times New Roman" w:hAnsi="Times New Roman" w:cs="宋体"/>
                </w:rPr>
                <w:t>F</w:t>
              </w:r>
              <w:r>
                <w:rPr>
                  <w:rFonts w:hint="eastAsia"/>
                </w:rPr>
                <w:t>.借款合同的预期变更，包括预计违反合同的行为是否可能导致的合同义务的免除或修订、给予免息期、利率跳升、要求追加抵押品或担保或者对金融工具的合同框架做出其他变更；</w:t>
              </w:r>
            </w:p>
            <w:p w14:paraId="4BED47E0" w14:textId="77777777" w:rsidR="00D21C1F" w:rsidRDefault="00A42880">
              <w:pPr>
                <w:pStyle w:val="120"/>
                <w:spacing w:line="360" w:lineRule="auto"/>
                <w:ind w:firstLineChars="200" w:firstLine="420"/>
                <w:jc w:val="both"/>
              </w:pPr>
              <w:r>
                <w:rPr>
                  <w:rFonts w:ascii="Times New Roman" w:hAnsi="Times New Roman" w:cs="宋体"/>
                </w:rPr>
                <w:t>G</w:t>
              </w:r>
              <w:r>
                <w:rPr>
                  <w:rFonts w:hint="eastAsia"/>
                </w:rPr>
                <w:t>.债务人预期表现和还款行为是否发生显著变化；</w:t>
              </w:r>
            </w:p>
            <w:p w14:paraId="68EB3CBB" w14:textId="77777777" w:rsidR="00D21C1F" w:rsidRDefault="00A42880">
              <w:pPr>
                <w:pStyle w:val="120"/>
                <w:spacing w:line="360" w:lineRule="auto"/>
                <w:ind w:firstLineChars="200" w:firstLine="420"/>
                <w:jc w:val="both"/>
              </w:pPr>
              <w:r>
                <w:rPr>
                  <w:rFonts w:ascii="Times New Roman" w:hAnsi="Times New Roman" w:cs="宋体"/>
                </w:rPr>
                <w:lastRenderedPageBreak/>
                <w:t>H</w:t>
              </w:r>
              <w:r>
                <w:rPr>
                  <w:rFonts w:hint="eastAsia"/>
                </w:rPr>
                <w:t>.合同付款是否发生逾期超过（含）</w:t>
              </w:r>
              <w:r>
                <w:rPr>
                  <w:rFonts w:ascii="Times New Roman" w:hAnsi="Times New Roman" w:cs="宋体"/>
                </w:rPr>
                <w:t>30</w:t>
              </w:r>
              <w:r>
                <w:rPr>
                  <w:rFonts w:hint="eastAsia"/>
                </w:rPr>
                <w:t>日。</w:t>
              </w:r>
            </w:p>
            <w:p w14:paraId="2385C267" w14:textId="77777777" w:rsidR="00D21C1F" w:rsidRDefault="00A42880">
              <w:pPr>
                <w:pStyle w:val="120"/>
                <w:spacing w:line="360" w:lineRule="auto"/>
                <w:ind w:firstLineChars="200" w:firstLine="420"/>
                <w:jc w:val="both"/>
              </w:pPr>
              <w:r>
                <w:rPr>
                  <w:rFonts w:hint="eastAsia"/>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5D7FB58B" w14:textId="77777777" w:rsidR="00D21C1F" w:rsidRDefault="00A42880">
              <w:pPr>
                <w:pStyle w:val="120"/>
                <w:spacing w:line="360" w:lineRule="auto"/>
                <w:ind w:firstLineChars="200" w:firstLine="420"/>
                <w:jc w:val="both"/>
              </w:pPr>
              <w:r>
                <w:rPr>
                  <w:rFonts w:hint="eastAsia"/>
                </w:rPr>
                <w:t>通常情况下，如果逾期超过</w:t>
              </w:r>
              <w:r>
                <w:rPr>
                  <w:rFonts w:ascii="Times New Roman" w:hAnsi="Times New Roman" w:cs="宋体"/>
                </w:rPr>
                <w:t>30</w:t>
              </w:r>
              <w:r>
                <w:rPr>
                  <w:rFonts w:hint="eastAsia"/>
                </w:rPr>
                <w:t>日，本公司确定金融工具的信用风险已经显著增加。除非本公司无需付出过多成本或努力即可获得合理且有依据的信息，证明虽然超过合同约定的付款期限</w:t>
              </w:r>
              <w:r>
                <w:rPr>
                  <w:rFonts w:ascii="Times New Roman" w:hAnsi="Times New Roman" w:cs="宋体"/>
                </w:rPr>
                <w:t>30</w:t>
              </w:r>
              <w:r>
                <w:rPr>
                  <w:rFonts w:hint="eastAsia"/>
                </w:rPr>
                <w:t>天，但信用风险自初始确认以来并未显著增加。</w:t>
              </w:r>
            </w:p>
            <w:p w14:paraId="07648452" w14:textId="77777777" w:rsidR="00D21C1F" w:rsidRDefault="00A42880">
              <w:pPr>
                <w:pStyle w:val="120"/>
                <w:widowControl w:val="0"/>
                <w:numPr>
                  <w:ilvl w:val="0"/>
                  <w:numId w:val="2"/>
                </w:numPr>
                <w:spacing w:line="360" w:lineRule="auto"/>
                <w:ind w:left="0" w:firstLineChars="200" w:firstLine="420"/>
                <w:jc w:val="both"/>
                <w:outlineLvl w:val="3"/>
              </w:pPr>
              <w:r>
                <w:rPr>
                  <w:rFonts w:hint="eastAsia"/>
                </w:rPr>
                <w:t>已发生信用减值的金融资产</w:t>
              </w:r>
            </w:p>
            <w:p w14:paraId="3634E3B4" w14:textId="77777777" w:rsidR="00D21C1F" w:rsidRDefault="00A42880">
              <w:pPr>
                <w:pStyle w:val="120"/>
                <w:spacing w:line="360" w:lineRule="auto"/>
                <w:ind w:firstLineChars="200" w:firstLine="420"/>
                <w:jc w:val="both"/>
              </w:pPr>
              <w:r>
                <w:rPr>
                  <w:rFonts w:hint="eastAsia"/>
                </w:rPr>
                <w:t>本公司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261046C9" w14:textId="77777777" w:rsidR="00D21C1F" w:rsidRDefault="00A42880">
              <w:pPr>
                <w:pStyle w:val="120"/>
                <w:spacing w:line="360" w:lineRule="auto"/>
                <w:ind w:firstLineChars="200" w:firstLine="420"/>
                <w:jc w:val="both"/>
              </w:pPr>
              <w:r>
                <w:rPr>
                  <w:rFonts w:hint="eastAsia"/>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5978510E" w14:textId="77777777" w:rsidR="00D21C1F" w:rsidRDefault="00A42880">
              <w:pPr>
                <w:pStyle w:val="120"/>
                <w:spacing w:line="360" w:lineRule="auto"/>
                <w:ind w:firstLineChars="200" w:firstLine="422"/>
                <w:jc w:val="both"/>
                <w:outlineLvl w:val="2"/>
                <w:rPr>
                  <w:b/>
                  <w:bCs/>
                </w:rPr>
              </w:pPr>
              <w:r>
                <w:rPr>
                  <w:rFonts w:hint="eastAsia"/>
                  <w:b/>
                  <w:bCs/>
                </w:rPr>
                <w:t>（</w:t>
              </w:r>
              <w:r>
                <w:rPr>
                  <w:rFonts w:ascii="Times New Roman" w:hAnsi="Times New Roman" w:cs="宋体"/>
                  <w:b/>
                  <w:bCs/>
                </w:rPr>
                <w:t>6</w:t>
              </w:r>
              <w:r>
                <w:rPr>
                  <w:rFonts w:hint="eastAsia"/>
                  <w:b/>
                  <w:bCs/>
                </w:rPr>
                <w:t>）金融资产转移</w:t>
              </w:r>
            </w:p>
            <w:p w14:paraId="77CA5D39" w14:textId="77777777" w:rsidR="00D21C1F" w:rsidRDefault="00A42880">
              <w:pPr>
                <w:pStyle w:val="120"/>
                <w:spacing w:line="360" w:lineRule="auto"/>
                <w:ind w:firstLineChars="200" w:firstLine="420"/>
                <w:jc w:val="both"/>
              </w:pPr>
              <w:r>
                <w:rPr>
                  <w:rFonts w:hint="eastAsia"/>
                </w:rPr>
                <w:t>金融资产转移是指下列两种情形：</w:t>
              </w:r>
            </w:p>
            <w:p w14:paraId="29675D6D" w14:textId="77777777" w:rsidR="00D21C1F" w:rsidRDefault="00A42880">
              <w:pPr>
                <w:pStyle w:val="120"/>
                <w:spacing w:line="360" w:lineRule="auto"/>
                <w:ind w:firstLineChars="200" w:firstLine="420"/>
                <w:jc w:val="both"/>
              </w:pPr>
              <w:r>
                <w:rPr>
                  <w:rFonts w:ascii="Times New Roman" w:hAnsi="Times New Roman" w:cs="宋体"/>
                </w:rPr>
                <w:t>A</w:t>
              </w:r>
              <w:r>
                <w:rPr>
                  <w:rFonts w:hint="eastAsia"/>
                </w:rPr>
                <w:t>.将收取金融资产现金流量的合同权利转移给另一方；</w:t>
              </w:r>
            </w:p>
            <w:p w14:paraId="7D77F30A" w14:textId="77777777" w:rsidR="00D21C1F" w:rsidRDefault="00A42880">
              <w:pPr>
                <w:pStyle w:val="120"/>
                <w:spacing w:line="360" w:lineRule="auto"/>
                <w:ind w:firstLineChars="200" w:firstLine="420"/>
                <w:jc w:val="both"/>
              </w:pPr>
              <w:r>
                <w:rPr>
                  <w:rFonts w:ascii="Times New Roman" w:hAnsi="Times New Roman" w:cs="宋体"/>
                </w:rPr>
                <w:t>B</w:t>
              </w:r>
              <w:r>
                <w:rPr>
                  <w:rFonts w:hint="eastAsia"/>
                </w:rPr>
                <w:t>.将金融资产整体或部分转移给另一方，但保留收取金融资产现金流量的合同权利，并承担将收取的现金流量支付给一个或多个收款方的合同义务。</w:t>
              </w:r>
            </w:p>
            <w:p w14:paraId="7DB3BBAB" w14:textId="77777777" w:rsidR="00D21C1F" w:rsidRDefault="00A42880">
              <w:pPr>
                <w:pStyle w:val="120"/>
                <w:spacing w:line="360" w:lineRule="auto"/>
                <w:ind w:firstLineChars="200" w:firstLine="420"/>
                <w:jc w:val="both"/>
              </w:pPr>
              <w:r>
                <w:rPr>
                  <w:rFonts w:hint="eastAsia"/>
                </w:rPr>
                <w:t>①终止确认所转移的金融资产</w:t>
              </w:r>
            </w:p>
            <w:p w14:paraId="733384D5" w14:textId="77777777" w:rsidR="00D21C1F" w:rsidRDefault="00A42880">
              <w:pPr>
                <w:pStyle w:val="120"/>
                <w:spacing w:line="360" w:lineRule="auto"/>
                <w:ind w:firstLineChars="200" w:firstLine="420"/>
                <w:jc w:val="both"/>
              </w:pPr>
              <w:r>
                <w:rPr>
                  <w:rFonts w:hint="eastAsia"/>
                </w:rPr>
                <w:t>已将金融资产所有权上几乎所有的风险和报酬转移给转入方的，或既没有转移也没有保留金融资产所有权上几乎所有的风险和报酬的，但放弃了对该金融资产控制的，终止确认该金融资产。</w:t>
              </w:r>
            </w:p>
            <w:p w14:paraId="1A7BC702" w14:textId="77777777" w:rsidR="00D21C1F" w:rsidRDefault="00A42880">
              <w:pPr>
                <w:pStyle w:val="120"/>
                <w:spacing w:line="360" w:lineRule="auto"/>
                <w:ind w:firstLineChars="200" w:firstLine="420"/>
                <w:jc w:val="both"/>
              </w:pPr>
              <w:r>
                <w:rPr>
                  <w:rFonts w:hint="eastAsia"/>
                </w:rPr>
                <w:t>在判断是否已放弃对所转移金融资产的控制时，注重转入方出售该金融资产的实际能力。转入方能够单独将转入的金融资产整体出售给与其不存在关联方关系的第三方，且没有额外条件对此项出售加以限制的，表明企业已放弃对该金融资产的控制。</w:t>
              </w:r>
            </w:p>
            <w:p w14:paraId="198E534C" w14:textId="77777777" w:rsidR="00D21C1F" w:rsidRDefault="00A42880">
              <w:pPr>
                <w:pStyle w:val="120"/>
                <w:spacing w:line="360" w:lineRule="auto"/>
                <w:ind w:firstLineChars="200" w:firstLine="420"/>
                <w:jc w:val="both"/>
              </w:pPr>
              <w:r>
                <w:rPr>
                  <w:rFonts w:hint="eastAsia"/>
                </w:rPr>
                <w:t>本公司在判断金融资产转移是否满足金融资产终止确认条件时，注重金融资产转移的实质。</w:t>
              </w:r>
            </w:p>
            <w:p w14:paraId="041E4D99" w14:textId="77777777" w:rsidR="00D21C1F" w:rsidRDefault="00A42880">
              <w:pPr>
                <w:pStyle w:val="120"/>
                <w:spacing w:line="360" w:lineRule="auto"/>
                <w:ind w:firstLineChars="200" w:firstLine="420"/>
                <w:jc w:val="both"/>
              </w:pPr>
              <w:r>
                <w:rPr>
                  <w:rFonts w:hint="eastAsia"/>
                </w:rPr>
                <w:t>金融资产整体转移满足终止确认条件的，将下列两项金额的差额计入当期损益：</w:t>
              </w:r>
            </w:p>
            <w:p w14:paraId="1993A8E5" w14:textId="77777777" w:rsidR="00D21C1F" w:rsidRDefault="00A42880">
              <w:pPr>
                <w:pStyle w:val="120"/>
                <w:spacing w:line="360" w:lineRule="auto"/>
                <w:ind w:firstLineChars="200" w:firstLine="420"/>
                <w:jc w:val="both"/>
              </w:pPr>
              <w:r>
                <w:rPr>
                  <w:rFonts w:ascii="Times New Roman" w:hAnsi="Times New Roman" w:cs="宋体"/>
                </w:rPr>
                <w:t>A</w:t>
              </w:r>
              <w:r>
                <w:rPr>
                  <w:rFonts w:hint="eastAsia"/>
                </w:rPr>
                <w:t>.所转移金融资产的账面价值；</w:t>
              </w:r>
            </w:p>
            <w:p w14:paraId="50C32984" w14:textId="77777777" w:rsidR="00D21C1F" w:rsidRDefault="00A42880">
              <w:pPr>
                <w:pStyle w:val="120"/>
                <w:spacing w:line="360" w:lineRule="auto"/>
                <w:ind w:firstLineChars="200" w:firstLine="420"/>
                <w:jc w:val="both"/>
              </w:pPr>
              <w:r>
                <w:rPr>
                  <w:rFonts w:ascii="Times New Roman" w:hAnsi="Times New Roman" w:cs="宋体"/>
                </w:rPr>
                <w:t>B</w:t>
              </w:r>
              <w:r>
                <w:rPr>
                  <w:rFonts w:hint="eastAsia"/>
                </w:rPr>
                <w:t>.因转移而收到的对价，与原直接计入所有者权益的公允价值变动累计额（涉及转移的金融资产为可供出售金融资产的情形）之和。</w:t>
              </w:r>
            </w:p>
            <w:p w14:paraId="6A1C7C00" w14:textId="77777777" w:rsidR="00D21C1F" w:rsidRDefault="00A42880">
              <w:pPr>
                <w:pStyle w:val="120"/>
                <w:spacing w:line="360" w:lineRule="auto"/>
                <w:ind w:firstLineChars="200" w:firstLine="420"/>
                <w:jc w:val="both"/>
              </w:pPr>
              <w:r>
                <w:rPr>
                  <w:rFonts w:hint="eastAsia"/>
                </w:rPr>
                <w:lastRenderedPageBreak/>
                <w:t>金融资产部分转移满足终止确认条件的，将所转移金融资产整体的账面价值，在终止确认部分和未终止确认部分（在此种情况下，所保留的服务资产视同未终止确认金融资产的一部分）之间，按照各自的相对公允价值进行分摊，并将下列两项金额的差额计入当期损益：</w:t>
              </w:r>
            </w:p>
            <w:p w14:paraId="61CDFE0A" w14:textId="77777777" w:rsidR="00D21C1F" w:rsidRDefault="00A42880">
              <w:pPr>
                <w:pStyle w:val="120"/>
                <w:spacing w:line="360" w:lineRule="auto"/>
                <w:ind w:firstLineChars="200" w:firstLine="420"/>
                <w:jc w:val="both"/>
              </w:pPr>
              <w:r>
                <w:rPr>
                  <w:rFonts w:ascii="Times New Roman" w:hAnsi="Times New Roman" w:cs="宋体"/>
                </w:rPr>
                <w:t>A</w:t>
              </w:r>
              <w:r>
                <w:rPr>
                  <w:rFonts w:hint="eastAsia"/>
                </w:rPr>
                <w:t>.终止确认部分的账面价值；</w:t>
              </w:r>
            </w:p>
            <w:p w14:paraId="3697B102" w14:textId="77777777" w:rsidR="00D21C1F" w:rsidRDefault="00A42880">
              <w:pPr>
                <w:pStyle w:val="120"/>
                <w:spacing w:line="360" w:lineRule="auto"/>
                <w:ind w:firstLineChars="200" w:firstLine="420"/>
                <w:jc w:val="both"/>
              </w:pPr>
              <w:r>
                <w:rPr>
                  <w:rFonts w:ascii="Times New Roman" w:hAnsi="Times New Roman" w:cs="宋体"/>
                </w:rPr>
                <w:t>B</w:t>
              </w:r>
              <w:r>
                <w:rPr>
                  <w:rFonts w:hint="eastAsia"/>
                </w:rPr>
                <w:t>.终止确认部分的对价，与原直接计入所有者权益的公允价值变动累计额中对应终止确认部分的金额（涉及转移的金融资产为可供出售金融资产的情形）之和。</w:t>
              </w:r>
            </w:p>
            <w:p w14:paraId="746E585D" w14:textId="77777777" w:rsidR="00D21C1F" w:rsidRDefault="00A42880">
              <w:pPr>
                <w:pStyle w:val="120"/>
                <w:spacing w:line="360" w:lineRule="auto"/>
                <w:ind w:firstLineChars="200" w:firstLine="420"/>
                <w:jc w:val="both"/>
              </w:pPr>
              <w:r>
                <w:rPr>
                  <w:rFonts w:hint="eastAsia"/>
                </w:rPr>
                <w:t>②继续涉入所转移的金融资产</w:t>
              </w:r>
            </w:p>
            <w:p w14:paraId="4840E24B" w14:textId="77777777" w:rsidR="00D21C1F" w:rsidRDefault="00A42880">
              <w:pPr>
                <w:pStyle w:val="120"/>
                <w:spacing w:line="360" w:lineRule="auto"/>
                <w:ind w:firstLineChars="200" w:firstLine="420"/>
                <w:jc w:val="both"/>
              </w:pPr>
              <w:r>
                <w:rPr>
                  <w:rFonts w:hint="eastAsia"/>
                </w:rPr>
                <w:t>既没有转移也没有保留金融资产所有权上几乎所有的风险和报酬的，且未放弃对该金融资产控制的，应当按照其继续涉入所转移金融资产的程度确认有关金融资产，并相应确认有关负债。</w:t>
              </w:r>
            </w:p>
            <w:p w14:paraId="7C36307B" w14:textId="77777777" w:rsidR="00D21C1F" w:rsidRDefault="00A42880">
              <w:pPr>
                <w:pStyle w:val="120"/>
                <w:spacing w:line="360" w:lineRule="auto"/>
                <w:ind w:firstLineChars="200" w:firstLine="420"/>
                <w:jc w:val="both"/>
              </w:pPr>
              <w:r>
                <w:rPr>
                  <w:rFonts w:hint="eastAsia"/>
                </w:rPr>
                <w:t>继续涉入所转移金融资产的程度，是指企业承担的被转移金融资产价值变动风险或报酬的程度。</w:t>
              </w:r>
            </w:p>
            <w:p w14:paraId="45EEEBB3" w14:textId="77777777" w:rsidR="00D21C1F" w:rsidRDefault="00A42880">
              <w:pPr>
                <w:pStyle w:val="120"/>
                <w:spacing w:line="360" w:lineRule="auto"/>
                <w:ind w:firstLineChars="200" w:firstLine="420"/>
                <w:jc w:val="both"/>
              </w:pPr>
              <w:r>
                <w:rPr>
                  <w:rFonts w:hint="eastAsia"/>
                </w:rPr>
                <w:t>③继续确认所转移的金融资产</w:t>
              </w:r>
            </w:p>
            <w:p w14:paraId="79D5062B" w14:textId="77777777" w:rsidR="00D21C1F" w:rsidRDefault="00A42880">
              <w:pPr>
                <w:pStyle w:val="120"/>
                <w:spacing w:line="360" w:lineRule="auto"/>
                <w:ind w:firstLineChars="200" w:firstLine="420"/>
                <w:jc w:val="both"/>
              </w:pPr>
              <w:r>
                <w:rPr>
                  <w:rFonts w:hint="eastAsia"/>
                </w:rPr>
                <w:t>仍保留与所转移金融资产所有权上几乎所有的风险和报酬的，应当继续确认所转移金融资产整体，并将收到的对价确认为一项金融负债。</w:t>
              </w:r>
            </w:p>
            <w:p w14:paraId="7C5A9F25" w14:textId="77777777" w:rsidR="00D21C1F" w:rsidRDefault="00A42880">
              <w:pPr>
                <w:pStyle w:val="120"/>
                <w:spacing w:line="360" w:lineRule="auto"/>
                <w:ind w:firstLineChars="200" w:firstLine="420"/>
                <w:jc w:val="both"/>
              </w:pPr>
              <w:r>
                <w:rPr>
                  <w:rFonts w:hint="eastAsia"/>
                </w:rPr>
                <w:t>该金融资产与确认的相关金融负债不得相互抵销。在随后的会计期间，企业应当继续确认该金融资产产生的收入（或利得）和该金融负债产生的费用（或损失）。</w:t>
              </w:r>
            </w:p>
            <w:p w14:paraId="3B9854A3" w14:textId="77777777" w:rsidR="00D21C1F" w:rsidRDefault="00A42880">
              <w:pPr>
                <w:pStyle w:val="120"/>
                <w:spacing w:line="360" w:lineRule="auto"/>
                <w:ind w:firstLineChars="200" w:firstLine="422"/>
                <w:outlineLvl w:val="2"/>
                <w:rPr>
                  <w:b/>
                  <w:bCs/>
                </w:rPr>
              </w:pPr>
              <w:r>
                <w:rPr>
                  <w:rFonts w:hint="eastAsia"/>
                  <w:b/>
                  <w:bCs/>
                </w:rPr>
                <w:t>（</w:t>
              </w:r>
              <w:r>
                <w:rPr>
                  <w:rFonts w:ascii="Times New Roman" w:hAnsi="Times New Roman" w:cs="宋体"/>
                  <w:b/>
                  <w:bCs/>
                </w:rPr>
                <w:t>7</w:t>
              </w:r>
              <w:r>
                <w:rPr>
                  <w:rFonts w:hint="eastAsia"/>
                  <w:b/>
                  <w:bCs/>
                </w:rPr>
                <w:t>）金融资产和金融负债的抵销</w:t>
              </w:r>
            </w:p>
            <w:p w14:paraId="5DF3D757" w14:textId="77777777" w:rsidR="00D21C1F" w:rsidRDefault="00A42880">
              <w:pPr>
                <w:pStyle w:val="120"/>
                <w:spacing w:line="360" w:lineRule="auto"/>
                <w:ind w:firstLineChars="200" w:firstLine="420"/>
                <w:jc w:val="both"/>
              </w:pPr>
              <w:r>
                <w:rPr>
                  <w:rFonts w:hint="eastAsia"/>
                </w:rPr>
                <w:t>金融资产和金融负债应当在资产负债表内分别列示，不得相互抵销。但同时满足下列条件的，以相互抵销后的净额在资产负债表内列示：</w:t>
              </w:r>
            </w:p>
            <w:p w14:paraId="6E99148C" w14:textId="77777777" w:rsidR="00D21C1F" w:rsidRDefault="00A42880">
              <w:pPr>
                <w:pStyle w:val="120"/>
                <w:spacing w:line="360" w:lineRule="auto"/>
                <w:ind w:firstLineChars="200" w:firstLine="420"/>
                <w:jc w:val="both"/>
              </w:pPr>
              <w:r>
                <w:rPr>
                  <w:rFonts w:hint="eastAsia"/>
                </w:rPr>
                <w:t>本公司具有抵销已确认金额的法定权利，且该种法定权利是当前可执行的；</w:t>
              </w:r>
            </w:p>
            <w:p w14:paraId="01B626F0" w14:textId="77777777" w:rsidR="00D21C1F" w:rsidRDefault="00A42880">
              <w:pPr>
                <w:pStyle w:val="120"/>
                <w:spacing w:line="360" w:lineRule="auto"/>
                <w:ind w:firstLineChars="200" w:firstLine="420"/>
                <w:jc w:val="both"/>
              </w:pPr>
              <w:r>
                <w:rPr>
                  <w:rFonts w:hint="eastAsia"/>
                </w:rPr>
                <w:t>本公司计划以净额结算，或同时变现该金融资产和清偿该金融负债。</w:t>
              </w:r>
            </w:p>
            <w:p w14:paraId="44008434" w14:textId="77777777" w:rsidR="00D21C1F" w:rsidRDefault="00A42880">
              <w:pPr>
                <w:pStyle w:val="120"/>
                <w:spacing w:line="360" w:lineRule="auto"/>
                <w:ind w:firstLineChars="200" w:firstLine="420"/>
                <w:jc w:val="both"/>
              </w:pPr>
              <w:r>
                <w:rPr>
                  <w:rFonts w:hint="eastAsia"/>
                </w:rPr>
                <w:t>不满足终止确认条件的金融资产转移，转出方不得将已转移的金融资产和相关负债进行抵销。</w:t>
              </w:r>
            </w:p>
            <w:p w14:paraId="62DC8F84" w14:textId="77777777" w:rsidR="00D21C1F" w:rsidRDefault="00A42880">
              <w:pPr>
                <w:pStyle w:val="120"/>
                <w:spacing w:line="360" w:lineRule="auto"/>
                <w:ind w:firstLineChars="200" w:firstLine="422"/>
                <w:outlineLvl w:val="2"/>
                <w:rPr>
                  <w:b/>
                  <w:bCs/>
                </w:rPr>
              </w:pPr>
              <w:r>
                <w:rPr>
                  <w:rFonts w:hint="eastAsia"/>
                  <w:b/>
                  <w:bCs/>
                </w:rPr>
                <w:t>（</w:t>
              </w:r>
              <w:r>
                <w:rPr>
                  <w:rFonts w:ascii="Times New Roman" w:hAnsi="Times New Roman" w:cs="宋体"/>
                  <w:b/>
                  <w:bCs/>
                </w:rPr>
                <w:t>8</w:t>
              </w:r>
              <w:r>
                <w:rPr>
                  <w:rFonts w:hint="eastAsia"/>
                  <w:b/>
                  <w:bCs/>
                </w:rPr>
                <w:t>）金融工具公允价值的确定方法</w:t>
              </w:r>
            </w:p>
            <w:p w14:paraId="427A9684" w14:textId="77777777" w:rsidR="00D21C1F" w:rsidRDefault="00A42880">
              <w:pPr>
                <w:pStyle w:val="120"/>
                <w:spacing w:line="360" w:lineRule="auto"/>
                <w:ind w:firstLineChars="200" w:firstLine="420"/>
                <w:jc w:val="both"/>
              </w:pPr>
              <w:r>
                <w:rPr>
                  <w:rFonts w:hint="eastAsia"/>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sdtContent>
        </w:sdt>
      </w:sdtContent>
    </w:sdt>
    <w:p w14:paraId="73ED1E71" w14:textId="77777777" w:rsidR="00D21C1F" w:rsidRDefault="00D21C1F">
      <w:pPr>
        <w:rPr>
          <w:szCs w:val="21"/>
        </w:rPr>
      </w:pPr>
    </w:p>
    <w:sdt>
      <w:sdtPr>
        <w:rPr>
          <w:rFonts w:ascii="宋体" w:eastAsia="宋体" w:hAnsi="宋体" w:cs="宋体" w:hint="eastAsia"/>
          <w:b w:val="0"/>
          <w:bCs w:val="0"/>
          <w:kern w:val="0"/>
          <w:szCs w:val="21"/>
        </w:rPr>
        <w:alias w:val="模块:应收票据应收票据的预期信用损失的确定方法及会计处理方法"/>
        <w:tag w:val="_SEC_fe6dfe1a730f4d3183b25ca057cb8f6a"/>
        <w:id w:val="1697886487"/>
        <w:lock w:val="sdtLocked"/>
        <w:placeholder>
          <w:docPart w:val="GBC22222222222222222222222222222"/>
        </w:placeholder>
      </w:sdtPr>
      <w:sdtEndPr>
        <w:rPr>
          <w:rFonts w:hint="default"/>
        </w:rPr>
      </w:sdtEndPr>
      <w:sdtContent>
        <w:p w14:paraId="6AB5C2BE" w14:textId="77777777" w:rsidR="00D21C1F" w:rsidRDefault="00A42880">
          <w:pPr>
            <w:pStyle w:val="94"/>
            <w:numPr>
              <w:ilvl w:val="0"/>
              <w:numId w:val="45"/>
            </w:numPr>
            <w:rPr>
              <w:rFonts w:ascii="宋体" w:hAnsi="宋体"/>
              <w:szCs w:val="21"/>
            </w:rPr>
          </w:pPr>
          <w:r>
            <w:rPr>
              <w:rFonts w:ascii="宋体" w:hAnsi="宋体" w:hint="eastAsia"/>
              <w:szCs w:val="21"/>
            </w:rPr>
            <w:t>应收票据</w:t>
          </w:r>
        </w:p>
        <w:p w14:paraId="59FCF03A" w14:textId="77777777" w:rsidR="00D21C1F" w:rsidRDefault="00A42880">
          <w:pPr>
            <w:pStyle w:val="93"/>
            <w:rPr>
              <w:rFonts w:ascii="宋体" w:hAnsi="宋体"/>
            </w:rPr>
          </w:pPr>
          <w:r>
            <w:rPr>
              <w:rFonts w:ascii="宋体" w:hAnsi="宋体"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020431068"/>
            <w:lock w:val="sdtLocked"/>
            <w:placeholder>
              <w:docPart w:val="GBC22222222222222222222222222222"/>
            </w:placeholder>
          </w:sdtPr>
          <w:sdtEndPr/>
          <w:sdtContent>
            <w:p w14:paraId="5798CEEA"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C46CBCA" w14:textId="77777777" w:rsidR="00D21C1F" w:rsidRDefault="00D21C1F">
      <w:pPr>
        <w:rPr>
          <w:szCs w:val="21"/>
        </w:rPr>
      </w:pPr>
    </w:p>
    <w:sdt>
      <w:sdtPr>
        <w:rPr>
          <w:rFonts w:ascii="宋体" w:eastAsia="宋体" w:hAnsi="宋体" w:cs="宋体" w:hint="eastAsia"/>
          <w:b w:val="0"/>
          <w:bCs w:val="0"/>
          <w:kern w:val="0"/>
          <w:szCs w:val="21"/>
        </w:rPr>
        <w:alias w:val="模块:应收账款应收账款的预期信用损失的确定方法及会计处理方法"/>
        <w:tag w:val="_SEC_6a9a70c8b5914d5d85ea9b8f86eb6ec8"/>
        <w:id w:val="1496688454"/>
        <w:lock w:val="sdtLocked"/>
        <w:placeholder>
          <w:docPart w:val="GBC22222222222222222222222222222"/>
        </w:placeholder>
      </w:sdtPr>
      <w:sdtEndPr>
        <w:rPr>
          <w:rFonts w:hint="default"/>
        </w:rPr>
      </w:sdtEndPr>
      <w:sdtContent>
        <w:p w14:paraId="6304C39F" w14:textId="77777777" w:rsidR="00D21C1F" w:rsidRDefault="00A42880">
          <w:pPr>
            <w:pStyle w:val="94"/>
            <w:numPr>
              <w:ilvl w:val="0"/>
              <w:numId w:val="45"/>
            </w:numPr>
            <w:rPr>
              <w:rFonts w:ascii="宋体" w:hAnsi="宋体"/>
              <w:szCs w:val="21"/>
            </w:rPr>
          </w:pPr>
          <w:r>
            <w:rPr>
              <w:rFonts w:ascii="宋体" w:hAnsi="宋体" w:hint="eastAsia"/>
              <w:szCs w:val="21"/>
            </w:rPr>
            <w:t>应收账款</w:t>
          </w:r>
        </w:p>
        <w:p w14:paraId="48D1904A" w14:textId="77777777" w:rsidR="00D21C1F" w:rsidRDefault="00A42880">
          <w:pPr>
            <w:pStyle w:val="93"/>
            <w:rPr>
              <w:rFonts w:ascii="宋体" w:hAnsi="宋体"/>
              <w:szCs w:val="21"/>
            </w:rPr>
          </w:pPr>
          <w:r>
            <w:rPr>
              <w:rFonts w:ascii="宋体" w:hAnsi="宋体"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897633753"/>
            <w:lock w:val="sdtLocked"/>
            <w:placeholder>
              <w:docPart w:val="GBC22222222222222222222222222222"/>
            </w:placeholder>
          </w:sdtPr>
          <w:sdtEndPr/>
          <w:sdtContent>
            <w:p w14:paraId="2A994572"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509E2BB" w14:textId="77777777" w:rsidR="00D21C1F" w:rsidRDefault="00D21C1F">
      <w:pPr>
        <w:rPr>
          <w:szCs w:val="21"/>
        </w:rPr>
      </w:pPr>
    </w:p>
    <w:sdt>
      <w:sdtPr>
        <w:rPr>
          <w:rFonts w:ascii="宋体" w:hAnsi="宋体" w:cs="宋体" w:hint="eastAsia"/>
          <w:b w:val="0"/>
          <w:bCs w:val="0"/>
          <w:kern w:val="0"/>
          <w:szCs w:val="24"/>
        </w:rPr>
        <w:alias w:val="模块:应收款项融资"/>
        <w:tag w:val="_SEC_6779da9334294ce2a6d1ffc1b4a6e588"/>
        <w:id w:val="-1844007257"/>
        <w:lock w:val="sdtLocked"/>
        <w:placeholder>
          <w:docPart w:val="GBC22222222222222222222222222222"/>
        </w:placeholder>
      </w:sdtPr>
      <w:sdtEndPr>
        <w:rPr>
          <w:rFonts w:hint="default"/>
        </w:rPr>
      </w:sdtEndPr>
      <w:sdtContent>
        <w:p w14:paraId="774C023D" w14:textId="77777777" w:rsidR="00D21C1F" w:rsidRDefault="00A42880">
          <w:pPr>
            <w:pStyle w:val="94"/>
            <w:numPr>
              <w:ilvl w:val="0"/>
              <w:numId w:val="45"/>
            </w:numPr>
            <w:rPr>
              <w:rFonts w:ascii="宋体" w:hAnsi="宋体"/>
            </w:rPr>
          </w:pPr>
          <w:r>
            <w:rPr>
              <w:rFonts w:ascii="宋体" w:hAnsi="宋体" w:hint="eastAsia"/>
            </w:rPr>
            <w:t>应收款项融资</w:t>
          </w:r>
        </w:p>
        <w:bookmarkStart w:id="147" w:name="_Hlk11675626" w:displacedByCustomXml="next"/>
        <w:sdt>
          <w:sdtPr>
            <w:alias w:val="是否适用：应收款项融资_重要会计政策和估计[双击切换]"/>
            <w:tag w:val="_GBC_02210df6587d4e47b6149386c3665a46"/>
            <w:id w:val="-1680963405"/>
            <w:lock w:val="sdtLocked"/>
            <w:placeholder>
              <w:docPart w:val="GBC22222222222222222222222222222"/>
            </w:placeholder>
          </w:sdtPr>
          <w:sdtEndPr/>
          <w:sdtContent>
            <w:p w14:paraId="39FEC3F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47"/>
    <w:p w14:paraId="7DB1950D" w14:textId="77777777" w:rsidR="00D21C1F" w:rsidRDefault="00D21C1F">
      <w:pPr>
        <w:pStyle w:val="97"/>
      </w:pPr>
    </w:p>
    <w:bookmarkStart w:id="148" w:name="_Hlk10465124" w:displacedByCustomXml="next"/>
    <w:sdt>
      <w:sdtPr>
        <w:rPr>
          <w:rFonts w:ascii="宋体" w:hAnsi="宋体" w:cs="宋体" w:hint="eastAsia"/>
          <w:b w:val="0"/>
          <w:bCs w:val="0"/>
          <w:kern w:val="0"/>
          <w:szCs w:val="24"/>
        </w:rPr>
        <w:alias w:val="模块:其他应收款"/>
        <w:tag w:val="_SEC_225822c587b74cc6b807038a0533c4e3"/>
        <w:id w:val="631908309"/>
        <w:lock w:val="sdtLocked"/>
        <w:placeholder>
          <w:docPart w:val="GBC22222222222222222222222222222"/>
        </w:placeholder>
      </w:sdtPr>
      <w:sdtEndPr/>
      <w:sdtContent>
        <w:p w14:paraId="20B01341" w14:textId="77777777" w:rsidR="00D21C1F" w:rsidRDefault="00A42880">
          <w:pPr>
            <w:pStyle w:val="94"/>
            <w:numPr>
              <w:ilvl w:val="0"/>
              <w:numId w:val="45"/>
            </w:numPr>
            <w:rPr>
              <w:rFonts w:ascii="宋体" w:hAnsi="宋体"/>
            </w:rPr>
          </w:pPr>
          <w:r>
            <w:rPr>
              <w:rFonts w:ascii="宋体" w:hAnsi="宋体" w:hint="eastAsia"/>
            </w:rPr>
            <w:t>其他应收款</w:t>
          </w:r>
        </w:p>
        <w:p w14:paraId="1DDF5E16" w14:textId="77777777" w:rsidR="00D21C1F" w:rsidRDefault="00A42880">
          <w:pPr>
            <w:pStyle w:val="93"/>
            <w:rPr>
              <w:rFonts w:ascii="宋体" w:hAnsi="宋体"/>
            </w:rPr>
          </w:pPr>
          <w:r>
            <w:rPr>
              <w:rFonts w:ascii="宋体" w:hAnsi="宋体" w:hint="eastAsia"/>
            </w:rPr>
            <w:t>其他应收款</w:t>
          </w:r>
          <w:r>
            <w:rPr>
              <w:rFonts w:ascii="宋体" w:hAnsi="宋体"/>
            </w:rP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1598246046"/>
            <w:lock w:val="sdtLocked"/>
            <w:placeholder>
              <w:docPart w:val="GBC22222222222222222222222222222"/>
            </w:placeholder>
          </w:sdtPr>
          <w:sdtEndPr/>
          <w:sdtContent>
            <w:p w14:paraId="1D2931AF"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63C92F" w14:textId="77777777" w:rsidR="00D21C1F" w:rsidRDefault="00045EC6">
          <w:pPr>
            <w:pStyle w:val="97"/>
          </w:pPr>
        </w:p>
      </w:sdtContent>
    </w:sdt>
    <w:bookmarkEnd w:id="148" w:displacedByCustomXml="next"/>
    <w:sdt>
      <w:sdtPr>
        <w:rPr>
          <w:rFonts w:ascii="宋体" w:hAnsi="宋体" w:cstheme="minorBidi"/>
          <w:b w:val="0"/>
          <w:bCs w:val="0"/>
          <w:kern w:val="0"/>
          <w:szCs w:val="22"/>
        </w:rPr>
        <w:alias w:val="模块:存货"/>
        <w:tag w:val="_GBC_b0f90fdf6c7749dbb9bd3cde55d5c0c3"/>
        <w:id w:val="-408382703"/>
        <w:lock w:val="sdtLocked"/>
        <w:placeholder>
          <w:docPart w:val="GBC22222222222222222222222222222"/>
        </w:placeholder>
      </w:sdtPr>
      <w:sdtEndPr>
        <w:rPr>
          <w:rFonts w:cs="Times New Roman"/>
          <w:szCs w:val="21"/>
        </w:rPr>
      </w:sdtEndPr>
      <w:sdtContent>
        <w:p w14:paraId="1F29FC46" w14:textId="77777777" w:rsidR="00D21C1F" w:rsidRDefault="00A42880">
          <w:pPr>
            <w:pStyle w:val="94"/>
            <w:numPr>
              <w:ilvl w:val="0"/>
              <w:numId w:val="45"/>
            </w:numPr>
            <w:rPr>
              <w:rFonts w:ascii="宋体" w:hAnsi="宋体"/>
            </w:rPr>
          </w:pPr>
          <w:r>
            <w:rPr>
              <w:rFonts w:ascii="宋体" w:hAnsi="宋体"/>
            </w:rPr>
            <w:t>存货</w:t>
          </w:r>
        </w:p>
        <w:sdt>
          <w:sdtPr>
            <w:alias w:val="是否适用：存货_重要会计政策和估计[双击切换]"/>
            <w:tag w:val="_GBC_5c493df9664440ecbc3f3fa5d917221a"/>
            <w:id w:val="1410739138"/>
            <w:lock w:val="sdtLocked"/>
            <w:placeholder>
              <w:docPart w:val="GBC22222222222222222222222222222"/>
            </w:placeholder>
          </w:sdtPr>
          <w:sdtEndPr/>
          <w:sdtContent>
            <w:p w14:paraId="28BFC7F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存货的核算方法"/>
            <w:tag w:val="_GBC_553fb8cba06d4979b05ae3dabe788fa6"/>
            <w:id w:val="-237095324"/>
            <w:lock w:val="sdtLocked"/>
            <w:placeholder>
              <w:docPart w:val="GBC22222222222222222222222222222"/>
            </w:placeholder>
          </w:sdtPr>
          <w:sdtEndPr/>
          <w:sdtContent>
            <w:p w14:paraId="60684ED0" w14:textId="77777777" w:rsidR="00D21C1F" w:rsidRDefault="00A42880">
              <w:pPr>
                <w:pStyle w:val="120"/>
                <w:widowControl w:val="0"/>
                <w:spacing w:line="360" w:lineRule="auto"/>
                <w:ind w:firstLineChars="200" w:firstLine="420"/>
                <w:jc w:val="both"/>
                <w:rPr>
                  <w:b/>
                  <w:bCs/>
                </w:rPr>
              </w:pPr>
              <w:r>
                <w:rPr>
                  <w:rFonts w:hint="eastAsia"/>
                  <w:b/>
                  <w:bCs/>
                </w:rPr>
                <w:t>存货的分类</w:t>
              </w:r>
            </w:p>
            <w:p w14:paraId="1CA45EDA" w14:textId="77777777" w:rsidR="00D21C1F" w:rsidRDefault="00A42880">
              <w:pPr>
                <w:pStyle w:val="120"/>
                <w:spacing w:line="360" w:lineRule="auto"/>
                <w:ind w:firstLineChars="200" w:firstLine="420"/>
                <w:jc w:val="both"/>
              </w:pPr>
              <w:r>
                <w:rPr>
                  <w:rFonts w:hint="eastAsia"/>
                </w:rPr>
                <w:t>存货是指本公司在日常活动中持有以备出售的产成品或商品、处在生产过程中的在产品、在生产过程或提供劳务过程中耗用的材料和物料等，包括原材料、在产品、库存商品、周转材料、发出商品等。</w:t>
              </w:r>
            </w:p>
            <w:p w14:paraId="68D78A23" w14:textId="77777777" w:rsidR="00D21C1F" w:rsidRDefault="00A42880">
              <w:pPr>
                <w:pStyle w:val="120"/>
                <w:widowControl w:val="0"/>
                <w:spacing w:line="360" w:lineRule="auto"/>
                <w:ind w:firstLineChars="200" w:firstLine="422"/>
                <w:jc w:val="both"/>
                <w:rPr>
                  <w:b/>
                  <w:bCs/>
                </w:rPr>
              </w:pPr>
              <w:r>
                <w:rPr>
                  <w:rFonts w:hint="eastAsia"/>
                  <w:b/>
                  <w:bCs/>
                </w:rPr>
                <w:t>发出存货的计价方法</w:t>
              </w:r>
            </w:p>
            <w:p w14:paraId="2FDB62B7" w14:textId="77777777" w:rsidR="00D21C1F" w:rsidRDefault="00A42880">
              <w:pPr>
                <w:pStyle w:val="120"/>
                <w:spacing w:line="360" w:lineRule="auto"/>
                <w:ind w:firstLineChars="200" w:firstLine="420"/>
                <w:jc w:val="both"/>
              </w:pPr>
              <w:r>
                <w:rPr>
                  <w:rFonts w:hint="eastAsia"/>
                </w:rPr>
                <w:t>本公司存货发出时采用加权平均法计价。</w:t>
              </w:r>
            </w:p>
            <w:p w14:paraId="0E66E5F1" w14:textId="77777777" w:rsidR="00D21C1F" w:rsidRDefault="00A42880">
              <w:pPr>
                <w:pStyle w:val="120"/>
                <w:widowControl w:val="0"/>
                <w:spacing w:line="360" w:lineRule="auto"/>
                <w:ind w:firstLineChars="200" w:firstLine="422"/>
                <w:jc w:val="both"/>
                <w:rPr>
                  <w:b/>
                  <w:bCs/>
                </w:rPr>
              </w:pPr>
              <w:r>
                <w:rPr>
                  <w:rFonts w:hint="eastAsia"/>
                  <w:b/>
                  <w:bCs/>
                </w:rPr>
                <w:t>存货的盘存制度</w:t>
              </w:r>
            </w:p>
            <w:p w14:paraId="1C9011C4" w14:textId="77777777" w:rsidR="00D21C1F" w:rsidRDefault="00A42880">
              <w:pPr>
                <w:pStyle w:val="120"/>
                <w:spacing w:line="360" w:lineRule="auto"/>
                <w:ind w:firstLineChars="200" w:firstLine="420"/>
                <w:jc w:val="both"/>
              </w:pPr>
              <w:r>
                <w:rPr>
                  <w:rFonts w:hint="eastAsia"/>
                </w:rPr>
                <w:t>本公司存货采用永续盘存制，每年至少盘点一次，盘盈及盘亏金额计入当年度损益。</w:t>
              </w:r>
            </w:p>
            <w:p w14:paraId="5E063D0E" w14:textId="77777777" w:rsidR="00D21C1F" w:rsidRDefault="00A42880">
              <w:pPr>
                <w:pStyle w:val="120"/>
                <w:widowControl w:val="0"/>
                <w:spacing w:line="360" w:lineRule="auto"/>
                <w:ind w:firstLineChars="200" w:firstLine="422"/>
                <w:jc w:val="both"/>
                <w:rPr>
                  <w:b/>
                  <w:bCs/>
                </w:rPr>
              </w:pPr>
              <w:r>
                <w:rPr>
                  <w:rFonts w:hint="eastAsia"/>
                  <w:b/>
                  <w:bCs/>
                </w:rPr>
                <w:t>存货跌价准备的计提方法</w:t>
              </w:r>
            </w:p>
            <w:p w14:paraId="30612C69" w14:textId="77777777" w:rsidR="00D21C1F" w:rsidRDefault="00A42880">
              <w:pPr>
                <w:pStyle w:val="120"/>
                <w:spacing w:line="360" w:lineRule="auto"/>
                <w:ind w:firstLineChars="200" w:firstLine="420"/>
                <w:jc w:val="both"/>
              </w:pPr>
              <w:r>
                <w:rPr>
                  <w:rFonts w:hint="eastAsia"/>
                </w:rPr>
                <w:t>资产负债表日按成本与可变现净值孰低计量，存货成本高于其可变现净值的，计提存货跌价准备，计入当期损益。</w:t>
              </w:r>
            </w:p>
            <w:p w14:paraId="1AF18852" w14:textId="77777777" w:rsidR="00D21C1F" w:rsidRDefault="00A42880">
              <w:pPr>
                <w:pStyle w:val="120"/>
                <w:spacing w:line="360" w:lineRule="auto"/>
                <w:ind w:firstLineChars="200" w:firstLine="420"/>
                <w:jc w:val="both"/>
              </w:pPr>
              <w:r>
                <w:rPr>
                  <w:rFonts w:hint="eastAsia"/>
                </w:rPr>
                <w:t>在确定存货的可变现净值时，以取得的可靠证据为基础，并且考虑持有存货的目的、资产负债表日后事项的影响等因素。</w:t>
              </w:r>
            </w:p>
            <w:p w14:paraId="3F0772E7" w14:textId="77777777" w:rsidR="00D21C1F" w:rsidRDefault="00A42880">
              <w:pPr>
                <w:pStyle w:val="120"/>
                <w:widowControl w:val="0"/>
                <w:numPr>
                  <w:ilvl w:val="0"/>
                  <w:numId w:val="51"/>
                </w:numPr>
                <w:spacing w:line="360" w:lineRule="auto"/>
                <w:ind w:left="0" w:firstLineChars="200" w:firstLine="420"/>
                <w:jc w:val="both"/>
              </w:pPr>
              <w:r>
                <w:rPr>
                  <w:rFonts w:hint="eastAsia"/>
                </w:rPr>
                <w:t>库存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1BCFDBD7" w14:textId="77777777" w:rsidR="00D21C1F" w:rsidRDefault="00A42880">
              <w:pPr>
                <w:pStyle w:val="120"/>
                <w:widowControl w:val="0"/>
                <w:numPr>
                  <w:ilvl w:val="0"/>
                  <w:numId w:val="51"/>
                </w:numPr>
                <w:spacing w:line="360" w:lineRule="auto"/>
                <w:ind w:left="0" w:firstLineChars="200" w:firstLine="420"/>
                <w:jc w:val="both"/>
              </w:pPr>
              <w:r>
                <w:rPr>
                  <w:rFonts w:hint="eastAsia"/>
                </w:rPr>
                <w:t>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10318B5E" w14:textId="77777777" w:rsidR="00D21C1F" w:rsidRDefault="00A42880">
              <w:pPr>
                <w:pStyle w:val="120"/>
                <w:widowControl w:val="0"/>
                <w:numPr>
                  <w:ilvl w:val="0"/>
                  <w:numId w:val="51"/>
                </w:numPr>
                <w:spacing w:line="360" w:lineRule="auto"/>
                <w:ind w:left="0" w:firstLineChars="200" w:firstLine="420"/>
                <w:jc w:val="both"/>
              </w:pPr>
              <w:r>
                <w:rPr>
                  <w:rFonts w:hint="eastAsia"/>
                </w:rPr>
                <w:t>存货跌价准备一般按单个存货项目计提；对于数量繁多、单价较低的存货，按存货类别计提。</w:t>
              </w:r>
            </w:p>
            <w:p w14:paraId="57BC5AD5" w14:textId="77777777" w:rsidR="00D21C1F" w:rsidRDefault="00A42880">
              <w:pPr>
                <w:pStyle w:val="120"/>
                <w:widowControl w:val="0"/>
                <w:numPr>
                  <w:ilvl w:val="0"/>
                  <w:numId w:val="51"/>
                </w:numPr>
                <w:spacing w:line="360" w:lineRule="auto"/>
                <w:ind w:left="0" w:firstLineChars="200" w:firstLine="420"/>
                <w:jc w:val="both"/>
              </w:pPr>
              <w:r>
                <w:rPr>
                  <w:rFonts w:hint="eastAsia"/>
                </w:rPr>
                <w:lastRenderedPageBreak/>
                <w:t>资产负债表日如果以前减记存货价值的影响因素已经消失，则减记的金额予以恢复，并在原已计提的存货跌价准备的金额内转回，转回的金额计入当期损益。</w:t>
              </w:r>
            </w:p>
            <w:p w14:paraId="6FF5745E" w14:textId="77777777" w:rsidR="00D21C1F" w:rsidRDefault="00A42880">
              <w:pPr>
                <w:pStyle w:val="120"/>
                <w:widowControl w:val="0"/>
                <w:spacing w:line="360" w:lineRule="auto"/>
                <w:ind w:firstLineChars="200" w:firstLine="422"/>
                <w:jc w:val="both"/>
                <w:rPr>
                  <w:b/>
                  <w:bCs/>
                </w:rPr>
              </w:pPr>
              <w:r>
                <w:rPr>
                  <w:rFonts w:hint="eastAsia"/>
                  <w:b/>
                  <w:bCs/>
                </w:rPr>
                <w:t>周转材料的摊销方法</w:t>
              </w:r>
            </w:p>
            <w:p w14:paraId="367E35EE" w14:textId="77777777" w:rsidR="00D21C1F" w:rsidRDefault="00A42880">
              <w:pPr>
                <w:pStyle w:val="120"/>
                <w:widowControl w:val="0"/>
                <w:numPr>
                  <w:ilvl w:val="0"/>
                  <w:numId w:val="51"/>
                </w:numPr>
                <w:spacing w:line="360" w:lineRule="auto"/>
                <w:ind w:left="0" w:firstLineChars="200" w:firstLine="420"/>
                <w:jc w:val="both"/>
              </w:pPr>
              <w:r>
                <w:rPr>
                  <w:rFonts w:hint="eastAsia"/>
                </w:rPr>
                <w:t>低值易耗品摊销方法：在领用时采用一次转销法。</w:t>
              </w:r>
            </w:p>
            <w:p w14:paraId="22E7C800" w14:textId="77777777" w:rsidR="00D21C1F" w:rsidRDefault="00A42880">
              <w:pPr>
                <w:pStyle w:val="120"/>
                <w:spacing w:line="360" w:lineRule="auto"/>
                <w:ind w:firstLineChars="200" w:firstLine="420"/>
                <w:jc w:val="both"/>
              </w:pPr>
              <w:r>
                <w:rPr>
                  <w:rFonts w:hint="eastAsia"/>
                </w:rPr>
                <w:t>包装物的摊销方法：在领用时采用一次转销法。</w:t>
              </w:r>
            </w:p>
          </w:sdtContent>
        </w:sdt>
      </w:sdtContent>
    </w:sdt>
    <w:p w14:paraId="30F067FD" w14:textId="77777777" w:rsidR="00D21C1F" w:rsidRDefault="00D21C1F">
      <w:pPr>
        <w:rPr>
          <w:rFonts w:cs="Times New Roman"/>
          <w:szCs w:val="21"/>
        </w:rPr>
      </w:pPr>
    </w:p>
    <w:bookmarkStart w:id="149" w:name="_Hlk10465202" w:displacedByCustomXml="next"/>
    <w:sdt>
      <w:sdtPr>
        <w:rPr>
          <w:rFonts w:ascii="宋体" w:eastAsia="宋体" w:hAnsi="宋体" w:cs="宋体" w:hint="eastAsia"/>
          <w:b w:val="0"/>
          <w:bCs w:val="0"/>
          <w:kern w:val="0"/>
          <w:szCs w:val="21"/>
        </w:rPr>
        <w:alias w:val="模块:合同资产"/>
        <w:tag w:val="_SEC_c8278ca8e95a4a1fb97258ed9c2842ff"/>
        <w:id w:val="1458217431"/>
        <w:lock w:val="sdtLocked"/>
        <w:placeholder>
          <w:docPart w:val="GBC22222222222222222222222222222"/>
        </w:placeholder>
      </w:sdtPr>
      <w:sdtEndPr>
        <w:rPr>
          <w:rFonts w:hint="default"/>
        </w:rPr>
      </w:sdtEndPr>
      <w:sdtContent>
        <w:p w14:paraId="11D23366" w14:textId="77777777" w:rsidR="00D21C1F" w:rsidRDefault="00A42880">
          <w:pPr>
            <w:pStyle w:val="94"/>
            <w:numPr>
              <w:ilvl w:val="0"/>
              <w:numId w:val="45"/>
            </w:numPr>
            <w:rPr>
              <w:rFonts w:ascii="宋体" w:hAnsi="宋体"/>
              <w:szCs w:val="21"/>
            </w:rPr>
          </w:pPr>
          <w:r>
            <w:rPr>
              <w:rFonts w:ascii="宋体" w:hAnsi="宋体" w:hint="eastAsia"/>
              <w:szCs w:val="21"/>
            </w:rPr>
            <w:t>合同资产</w:t>
          </w:r>
        </w:p>
        <w:p w14:paraId="480A8567" w14:textId="77777777" w:rsidR="00D21C1F" w:rsidRDefault="00A42880">
          <w:pPr>
            <w:pStyle w:val="93"/>
            <w:numPr>
              <w:ilvl w:val="0"/>
              <w:numId w:val="52"/>
            </w:numPr>
            <w:rPr>
              <w:rFonts w:ascii="宋体" w:hAnsi="宋体"/>
              <w:szCs w:val="21"/>
            </w:rPr>
          </w:pPr>
          <w:r>
            <w:rPr>
              <w:rFonts w:ascii="宋体" w:hAnsi="宋体" w:hint="eastAsia"/>
              <w:szCs w:val="21"/>
            </w:rPr>
            <w:t>合同资产的确认方法及标准</w:t>
          </w:r>
        </w:p>
        <w:sdt>
          <w:sdtPr>
            <w:rPr>
              <w:szCs w:val="21"/>
            </w:rPr>
            <w:alias w:val="是否适用：合同资产的确定方法、摊销方法和减值测试方法[双击切换]"/>
            <w:tag w:val="_GBC_9daae386f9a94543beb70aace93dc36d"/>
            <w:id w:val="1565291975"/>
            <w:lock w:val="sdtLocked"/>
            <w:placeholder>
              <w:docPart w:val="GBC22222222222222222222222222222"/>
            </w:placeholder>
          </w:sdtPr>
          <w:sdtEndPr/>
          <w:sdtContent>
            <w:p w14:paraId="56ACA6D8"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资产的确定方法、摊销方法和减值测试方法"/>
            <w:tag w:val="_GBC_509139300ad14da0961ff5023dc7e8f7"/>
            <w:id w:val="-1160845575"/>
            <w:lock w:val="sdtLocked"/>
            <w:placeholder>
              <w:docPart w:val="GBC22222222222222222222222222222"/>
            </w:placeholder>
          </w:sdtPr>
          <w:sdtEndPr/>
          <w:sdtContent>
            <w:p w14:paraId="388991EC" w14:textId="77777777" w:rsidR="00D21C1F" w:rsidRDefault="00A42880">
              <w:pPr>
                <w:pStyle w:val="120"/>
                <w:adjustRightInd w:val="0"/>
                <w:spacing w:line="360" w:lineRule="auto"/>
                <w:ind w:firstLineChars="200" w:firstLine="420"/>
                <w:jc w:val="both"/>
              </w:pPr>
              <w:r>
                <w:rPr>
                  <w:rFonts w:hint="eastAsia"/>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14:paraId="10AFE254" w14:textId="77777777" w:rsidR="00D21C1F" w:rsidRDefault="00A42880">
              <w:pPr>
                <w:pStyle w:val="120"/>
                <w:spacing w:line="360" w:lineRule="auto"/>
                <w:ind w:firstLineChars="200" w:firstLine="420"/>
                <w:jc w:val="both"/>
              </w:pPr>
              <w:r>
                <w:rPr>
                  <w:rFonts w:hint="eastAsia"/>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p w14:paraId="468A70F4" w14:textId="77777777" w:rsidR="00D21C1F" w:rsidRDefault="00045EC6">
          <w:pPr>
            <w:rPr>
              <w:rFonts w:cs="Times New Roman"/>
              <w:szCs w:val="21"/>
            </w:rPr>
          </w:pPr>
        </w:p>
      </w:sdtContent>
    </w:sdt>
    <w:bookmarkEnd w:id="149" w:displacedByCustomXml="next"/>
    <w:bookmarkStart w:id="150" w:name="_Hlk10465245" w:displacedByCustomXml="next"/>
    <w:bookmarkStart w:id="151" w:name="_Hlk10465255" w:displacedByCustomXml="next"/>
    <w:sdt>
      <w:sdtPr>
        <w:rPr>
          <w:rFonts w:ascii="宋体" w:eastAsia="宋体" w:hAnsi="宋体" w:cs="宋体" w:hint="eastAsia"/>
          <w:b w:val="0"/>
          <w:bCs w:val="0"/>
          <w:kern w:val="0"/>
          <w:szCs w:val="21"/>
        </w:rPr>
        <w:alias w:val="模块:合同资产预期信用损失的确定方法及会计处理方法"/>
        <w:tag w:val="_SEC_c2bb2c97fdb4423db069686155694c4c"/>
        <w:id w:val="-75368094"/>
        <w:lock w:val="sdtLocked"/>
        <w:placeholder>
          <w:docPart w:val="GBC22222222222222222222222222222"/>
        </w:placeholder>
      </w:sdtPr>
      <w:sdtEndPr>
        <w:rPr>
          <w:rFonts w:hint="default"/>
        </w:rPr>
      </w:sdtEndPr>
      <w:sdtContent>
        <w:p w14:paraId="481C2292" w14:textId="77777777" w:rsidR="00D21C1F" w:rsidRDefault="00A42880">
          <w:pPr>
            <w:pStyle w:val="93"/>
            <w:numPr>
              <w:ilvl w:val="0"/>
              <w:numId w:val="52"/>
            </w:numPr>
            <w:rPr>
              <w:rFonts w:ascii="宋体" w:hAnsi="宋体"/>
              <w:szCs w:val="21"/>
            </w:rPr>
          </w:pPr>
          <w:r>
            <w:rPr>
              <w:rFonts w:ascii="宋体" w:hAnsi="宋体" w:hint="eastAsia"/>
              <w:szCs w:val="21"/>
            </w:rPr>
            <w:t>合同资产预期信用损失的确定方法及会计处理方法</w:t>
          </w:r>
          <w:bookmarkEnd w:id="150"/>
        </w:p>
        <w:sdt>
          <w:sdtPr>
            <w:rPr>
              <w:szCs w:val="21"/>
            </w:rPr>
            <w:alias w:val="是否适用：合同资产预期信用损失的确定方法及会计处理方法[双击切换]"/>
            <w:tag w:val="_GBC_c1227cf6e2f0432a85c32b611a40fa7f"/>
            <w:id w:val="585048694"/>
            <w:lock w:val="sdtLocked"/>
            <w:placeholder>
              <w:docPart w:val="GBC22222222222222222222222222222"/>
            </w:placeholder>
          </w:sdtPr>
          <w:sdtEndPr/>
          <w:sdtContent>
            <w:p w14:paraId="7A67246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资产预期信用损失的确定方法及会计处理方法"/>
            <w:tag w:val="_GBC_ec035a84f2ae41b08fe408f3623243ab"/>
            <w:id w:val="1231651571"/>
            <w:lock w:val="sdtLocked"/>
            <w:placeholder>
              <w:docPart w:val="GBC22222222222222222222222222222"/>
            </w:placeholder>
          </w:sdtPr>
          <w:sdtEndPr/>
          <w:sdtContent>
            <w:p w14:paraId="61EBD2A3" w14:textId="77777777" w:rsidR="00D21C1F" w:rsidRDefault="00A42880">
              <w:pPr>
                <w:pStyle w:val="120"/>
              </w:pPr>
              <w:r>
                <w:rPr>
                  <w:rFonts w:hint="eastAsia"/>
                </w:rPr>
                <w:t>本公司对合同资产的预期信用损失的确定方法及会计处理方法详见附注五、</w:t>
              </w:r>
              <w:r>
                <w:rPr>
                  <w:rFonts w:ascii="Times New Roman" w:hAnsi="Times New Roman" w:cs="宋体"/>
                </w:rPr>
                <w:t>10</w:t>
              </w:r>
              <w:r>
                <w:rPr>
                  <w:rFonts w:hint="eastAsia"/>
                </w:rPr>
                <w:t>。</w:t>
              </w:r>
            </w:p>
          </w:sdtContent>
        </w:sdt>
        <w:p w14:paraId="2EFCADFA" w14:textId="77777777" w:rsidR="00D21C1F" w:rsidRDefault="00045EC6">
          <w:pPr>
            <w:rPr>
              <w:rFonts w:cs="Times New Roman"/>
              <w:szCs w:val="21"/>
            </w:rPr>
          </w:pPr>
        </w:p>
      </w:sdtContent>
    </w:sdt>
    <w:bookmarkEnd w:id="151" w:displacedByCustomXml="next"/>
    <w:bookmarkStart w:id="152" w:name="_Hlk10465310" w:displacedByCustomXml="next"/>
    <w:sdt>
      <w:sdtPr>
        <w:rPr>
          <w:rFonts w:ascii="宋体" w:eastAsia="宋体" w:hAnsi="宋体" w:cs="宋体" w:hint="eastAsia"/>
          <w:b w:val="0"/>
          <w:bCs w:val="0"/>
          <w:kern w:val="0"/>
          <w:szCs w:val="21"/>
        </w:rPr>
        <w:alias w:val="模块:划分为持有待售资产"/>
        <w:tag w:val="_GBC_a1a86a762feb43c3bed478ce8a19ae7c"/>
        <w:id w:val="372972510"/>
        <w:lock w:val="sdtLocked"/>
        <w:placeholder>
          <w:docPart w:val="GBC22222222222222222222222222222"/>
        </w:placeholder>
      </w:sdtPr>
      <w:sdtEndPr/>
      <w:sdtContent>
        <w:p w14:paraId="2EAB25D7" w14:textId="77777777" w:rsidR="00D21C1F" w:rsidRDefault="00A42880">
          <w:pPr>
            <w:pStyle w:val="94"/>
            <w:numPr>
              <w:ilvl w:val="0"/>
              <w:numId w:val="45"/>
            </w:numPr>
            <w:rPr>
              <w:rFonts w:ascii="宋体" w:hAnsi="宋体"/>
              <w:szCs w:val="21"/>
            </w:rPr>
          </w:pPr>
          <w:r>
            <w:rPr>
              <w:rFonts w:ascii="宋体" w:hAnsi="宋体" w:hint="eastAsia"/>
            </w:rPr>
            <w:t>持有</w:t>
          </w:r>
          <w:r>
            <w:rPr>
              <w:rFonts w:ascii="宋体" w:hAnsi="宋体" w:hint="eastAsia"/>
              <w:szCs w:val="21"/>
            </w:rPr>
            <w:t>待售资产</w:t>
          </w:r>
        </w:p>
        <w:sdt>
          <w:sdtPr>
            <w:rPr>
              <w:rFonts w:hint="eastAsia"/>
              <w:szCs w:val="21"/>
            </w:rPr>
            <w:alias w:val="是否适用：划分为持有待售资产_重要会计政策和估计[双击切换]"/>
            <w:tag w:val="_GBC_7d21fae1fb15414bac10a5567ebb7aca"/>
            <w:id w:val="-2012440920"/>
            <w:lock w:val="sdtLocked"/>
            <w:placeholder>
              <w:docPart w:val="GBC22222222222222222222222222222"/>
            </w:placeholder>
          </w:sdtPr>
          <w:sdtEndPr/>
          <w:sdtContent>
            <w:p w14:paraId="76D770A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209EF24" w14:textId="77777777" w:rsidR="00D21C1F" w:rsidRDefault="00D21C1F">
      <w:pPr>
        <w:rPr>
          <w:szCs w:val="21"/>
        </w:rPr>
      </w:pPr>
    </w:p>
    <w:sdt>
      <w:sdtPr>
        <w:rPr>
          <w:rFonts w:ascii="宋体" w:eastAsia="宋体" w:hAnsi="宋体" w:cs="宋体" w:hint="eastAsia"/>
          <w:b w:val="0"/>
          <w:bCs w:val="0"/>
          <w:kern w:val="0"/>
          <w:szCs w:val="21"/>
        </w:rPr>
        <w:alias w:val="模块:债权投资"/>
        <w:tag w:val="_SEC_64972cc74e5349aa855fec98c6609582"/>
        <w:id w:val="-1396034577"/>
        <w:lock w:val="sdtLocked"/>
        <w:placeholder>
          <w:docPart w:val="GBC22222222222222222222222222222"/>
        </w:placeholder>
      </w:sdtPr>
      <w:sdtEndPr>
        <w:rPr>
          <w:rFonts w:hint="default"/>
        </w:rPr>
      </w:sdtEndPr>
      <w:sdtContent>
        <w:p w14:paraId="122819B6" w14:textId="77777777" w:rsidR="00D21C1F" w:rsidRDefault="00A42880">
          <w:pPr>
            <w:pStyle w:val="94"/>
            <w:numPr>
              <w:ilvl w:val="0"/>
              <w:numId w:val="45"/>
            </w:numPr>
            <w:rPr>
              <w:rFonts w:ascii="宋体" w:hAnsi="宋体"/>
              <w:szCs w:val="21"/>
            </w:rPr>
          </w:pPr>
          <w:r>
            <w:rPr>
              <w:rFonts w:ascii="宋体" w:hAnsi="宋体" w:hint="eastAsia"/>
              <w:szCs w:val="21"/>
            </w:rPr>
            <w:t>债权投资</w:t>
          </w:r>
        </w:p>
        <w:p w14:paraId="276F2898" w14:textId="77777777" w:rsidR="00D21C1F" w:rsidRDefault="00A42880">
          <w:pPr>
            <w:pStyle w:val="93"/>
            <w:rPr>
              <w:rFonts w:ascii="宋体" w:hAnsi="宋体"/>
            </w:rPr>
          </w:pPr>
          <w:r>
            <w:rPr>
              <w:rFonts w:ascii="宋体" w:hAnsi="宋体"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1743524177"/>
            <w:lock w:val="sdtLocked"/>
            <w:placeholder>
              <w:docPart w:val="GBC22222222222222222222222222222"/>
            </w:placeholder>
          </w:sdtPr>
          <w:sdtEndPr/>
          <w:sdtContent>
            <w:p w14:paraId="6E75220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EA6C248" w14:textId="77777777" w:rsidR="00D21C1F" w:rsidRDefault="00045EC6">
          <w:pPr>
            <w:rPr>
              <w:rFonts w:cs="Times New Roman"/>
              <w:szCs w:val="21"/>
            </w:rPr>
          </w:pPr>
        </w:p>
      </w:sdtContent>
    </w:sdt>
    <w:bookmarkEnd w:id="152" w:displacedByCustomXml="next"/>
    <w:bookmarkStart w:id="153" w:name="_Hlk10465347" w:displacedByCustomXml="next"/>
    <w:sdt>
      <w:sdtPr>
        <w:rPr>
          <w:rFonts w:ascii="宋体" w:eastAsia="宋体" w:hAnsi="宋体" w:cs="宋体" w:hint="eastAsia"/>
          <w:b w:val="0"/>
          <w:bCs w:val="0"/>
          <w:kern w:val="0"/>
          <w:szCs w:val="21"/>
        </w:rPr>
        <w:alias w:val="模块:其他债权投资"/>
        <w:tag w:val="_SEC_41586dd479b54f07aeed675230b384c8"/>
        <w:id w:val="-1778785970"/>
        <w:lock w:val="sdtLocked"/>
        <w:placeholder>
          <w:docPart w:val="GBC22222222222222222222222222222"/>
        </w:placeholder>
      </w:sdtPr>
      <w:sdtEndPr>
        <w:rPr>
          <w:rFonts w:hint="default"/>
        </w:rPr>
      </w:sdtEndPr>
      <w:sdtContent>
        <w:p w14:paraId="7E77FAED" w14:textId="77777777" w:rsidR="00D21C1F" w:rsidRDefault="00A42880">
          <w:pPr>
            <w:pStyle w:val="94"/>
            <w:numPr>
              <w:ilvl w:val="0"/>
              <w:numId w:val="45"/>
            </w:numPr>
            <w:rPr>
              <w:rFonts w:ascii="宋体" w:hAnsi="宋体"/>
              <w:szCs w:val="21"/>
            </w:rPr>
          </w:pPr>
          <w:r>
            <w:rPr>
              <w:rFonts w:ascii="宋体" w:hAnsi="宋体" w:hint="eastAsia"/>
              <w:szCs w:val="21"/>
            </w:rPr>
            <w:t>其他债权投资</w:t>
          </w:r>
        </w:p>
        <w:p w14:paraId="5BE24DD5" w14:textId="77777777" w:rsidR="00D21C1F" w:rsidRDefault="00A42880">
          <w:pPr>
            <w:pStyle w:val="93"/>
            <w:rPr>
              <w:rFonts w:ascii="宋体" w:hAnsi="宋体"/>
            </w:rPr>
          </w:pPr>
          <w:r>
            <w:rPr>
              <w:rFonts w:ascii="宋体" w:hAnsi="宋体" w:hint="eastAsia"/>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1314321942"/>
            <w:lock w:val="sdtLocked"/>
            <w:placeholder>
              <w:docPart w:val="GBC22222222222222222222222222222"/>
            </w:placeholder>
          </w:sdtPr>
          <w:sdtEndPr/>
          <w:sdtContent>
            <w:p w14:paraId="13D0C869" w14:textId="77777777" w:rsidR="00D21C1F" w:rsidRDefault="00A42880">
              <w:pPr>
                <w:rPr>
                  <w:rFonts w:cs="Times New Roman"/>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A52A6D" w14:textId="77777777" w:rsidR="00D21C1F" w:rsidRDefault="00045EC6">
          <w:pPr>
            <w:rPr>
              <w:rFonts w:cs="Times New Roman"/>
              <w:szCs w:val="21"/>
            </w:rPr>
          </w:pPr>
        </w:p>
      </w:sdtContent>
    </w:sdt>
    <w:bookmarkEnd w:id="153" w:displacedByCustomXml="next"/>
    <w:bookmarkStart w:id="154" w:name="_Hlk10465393" w:displacedByCustomXml="next"/>
    <w:sdt>
      <w:sdtPr>
        <w:rPr>
          <w:rFonts w:ascii="宋体" w:eastAsia="宋体" w:hAnsi="宋体" w:cs="宋体" w:hint="eastAsia"/>
          <w:b w:val="0"/>
          <w:bCs w:val="0"/>
          <w:kern w:val="0"/>
          <w:szCs w:val="21"/>
        </w:rPr>
        <w:alias w:val="模块:长期应收款"/>
        <w:tag w:val="_SEC_ef0b5e87e2254c638e2a6672bcd1eac8"/>
        <w:id w:val="-709873095"/>
        <w:lock w:val="sdtLocked"/>
        <w:placeholder>
          <w:docPart w:val="GBC22222222222222222222222222222"/>
        </w:placeholder>
      </w:sdtPr>
      <w:sdtEndPr/>
      <w:sdtContent>
        <w:p w14:paraId="1A597FFA" w14:textId="77777777" w:rsidR="00D21C1F" w:rsidRDefault="00A42880">
          <w:pPr>
            <w:pStyle w:val="94"/>
            <w:numPr>
              <w:ilvl w:val="0"/>
              <w:numId w:val="45"/>
            </w:numPr>
            <w:rPr>
              <w:rFonts w:ascii="宋体" w:hAnsi="宋体"/>
              <w:szCs w:val="21"/>
            </w:rPr>
          </w:pPr>
          <w:r>
            <w:rPr>
              <w:rFonts w:ascii="宋体" w:hAnsi="宋体" w:hint="eastAsia"/>
              <w:szCs w:val="21"/>
            </w:rPr>
            <w:t>长期应收款</w:t>
          </w:r>
        </w:p>
        <w:p w14:paraId="768F4E44" w14:textId="77777777" w:rsidR="00D21C1F" w:rsidRDefault="00A42880">
          <w:pPr>
            <w:pStyle w:val="93"/>
            <w:rPr>
              <w:rFonts w:ascii="宋体" w:hAnsi="宋体"/>
            </w:rPr>
          </w:pPr>
          <w:r>
            <w:rPr>
              <w:rFonts w:ascii="宋体" w:hAnsi="宋体" w:hint="eastAsia"/>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433523240"/>
            <w:lock w:val="sdtLocked"/>
            <w:placeholder>
              <w:docPart w:val="GBC22222222222222222222222222222"/>
            </w:placeholder>
          </w:sdtPr>
          <w:sdtEndPr/>
          <w:sdtContent>
            <w:p w14:paraId="72BA8C9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B0BA32" w14:textId="77777777" w:rsidR="00D21C1F" w:rsidRDefault="00045EC6">
          <w:pPr>
            <w:rPr>
              <w:rFonts w:cs="Times New Roman"/>
              <w:szCs w:val="21"/>
            </w:rPr>
          </w:pPr>
        </w:p>
      </w:sdtContent>
    </w:sdt>
    <w:bookmarkEnd w:id="154" w:displacedByCustomXml="next"/>
    <w:sdt>
      <w:sdtPr>
        <w:rPr>
          <w:rFonts w:ascii="宋体" w:hAnsi="宋体" w:cstheme="minorBidi"/>
          <w:b w:val="0"/>
          <w:bCs w:val="0"/>
          <w:kern w:val="0"/>
          <w:szCs w:val="22"/>
        </w:rPr>
        <w:alias w:val="模块:长期股权投资"/>
        <w:tag w:val="_GBC_d82c12cf13554acd90dfb7880244798c"/>
        <w:id w:val="-1484159183"/>
        <w:lock w:val="sdtLocked"/>
        <w:placeholder>
          <w:docPart w:val="GBC22222222222222222222222222222"/>
        </w:placeholder>
      </w:sdtPr>
      <w:sdtEndPr>
        <w:rPr>
          <w:rFonts w:cs="Times New Roman"/>
          <w:szCs w:val="21"/>
        </w:rPr>
      </w:sdtEndPr>
      <w:sdtContent>
        <w:p w14:paraId="0BE410AB" w14:textId="77777777" w:rsidR="00D21C1F" w:rsidRDefault="00A42880">
          <w:pPr>
            <w:pStyle w:val="94"/>
            <w:numPr>
              <w:ilvl w:val="0"/>
              <w:numId w:val="45"/>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337205348"/>
            <w:lock w:val="sdtLocked"/>
            <w:placeholder>
              <w:docPart w:val="GBC22222222222222222222222222222"/>
            </w:placeholder>
          </w:sdtPr>
          <w:sdtEndPr/>
          <w:sdtContent>
            <w:p w14:paraId="4760376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长期股权投资的核算方法"/>
            <w:tag w:val="_GBC_3e77074cd50946b1bccdff9bc1c9556f"/>
            <w:id w:val="1388372000"/>
            <w:lock w:val="sdtLocked"/>
            <w:placeholder>
              <w:docPart w:val="GBC22222222222222222222222222222"/>
            </w:placeholder>
          </w:sdtPr>
          <w:sdtEndPr/>
          <w:sdtContent>
            <w:p w14:paraId="5139541C" w14:textId="77777777" w:rsidR="00D21C1F" w:rsidRDefault="00A42880">
              <w:pPr>
                <w:pStyle w:val="120"/>
                <w:spacing w:line="360" w:lineRule="auto"/>
                <w:ind w:firstLineChars="200" w:firstLine="420"/>
                <w:jc w:val="both"/>
              </w:pPr>
              <w:r>
                <w:rPr>
                  <w:rFonts w:hint="eastAsia"/>
                </w:rPr>
                <w:t>本公司长期股权投资包括对被投资单位实施控制、重大影响的权益性投资，以及对合营企业的权益性投资。本公司能够对被投资单位施加重大影响的，为本公司的联营企业。</w:t>
              </w:r>
            </w:p>
            <w:p w14:paraId="1F5CA824" w14:textId="77777777" w:rsidR="00D21C1F" w:rsidRDefault="00A42880">
              <w:pPr>
                <w:pStyle w:val="120"/>
                <w:widowControl w:val="0"/>
                <w:numPr>
                  <w:ilvl w:val="2"/>
                  <w:numId w:val="53"/>
                </w:numPr>
                <w:spacing w:line="360" w:lineRule="auto"/>
                <w:ind w:left="0" w:firstLineChars="200" w:firstLine="422"/>
                <w:jc w:val="both"/>
                <w:rPr>
                  <w:b/>
                  <w:bCs/>
                </w:rPr>
              </w:pPr>
              <w:r>
                <w:rPr>
                  <w:rFonts w:hint="eastAsia"/>
                  <w:b/>
                  <w:bCs/>
                </w:rPr>
                <w:t>确定对被投资单位具有共同控制、重大影响的依据</w:t>
              </w:r>
            </w:p>
            <w:p w14:paraId="40AB2B1E" w14:textId="77777777" w:rsidR="00D21C1F" w:rsidRDefault="00A42880">
              <w:pPr>
                <w:pStyle w:val="120"/>
                <w:snapToGrid w:val="0"/>
                <w:spacing w:line="360" w:lineRule="auto"/>
                <w:ind w:firstLineChars="200" w:firstLine="420"/>
                <w:jc w:val="both"/>
              </w:pPr>
              <w:r>
                <w:rPr>
                  <w:rFonts w:hint="eastAsia"/>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14:paraId="01A20707" w14:textId="77777777" w:rsidR="00D21C1F" w:rsidRDefault="00A42880">
              <w:pPr>
                <w:pStyle w:val="120"/>
                <w:snapToGrid w:val="0"/>
                <w:spacing w:line="360" w:lineRule="auto"/>
                <w:ind w:firstLineChars="200" w:firstLine="420"/>
                <w:jc w:val="both"/>
              </w:pPr>
              <w:r>
                <w:rPr>
                  <w:rFonts w:hint="eastAsia"/>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14:paraId="3FF444F3" w14:textId="77777777" w:rsidR="00D21C1F" w:rsidRDefault="00A42880">
              <w:pPr>
                <w:pStyle w:val="120"/>
                <w:spacing w:line="360" w:lineRule="auto"/>
                <w:ind w:firstLineChars="200" w:firstLine="420"/>
                <w:jc w:val="both"/>
              </w:pPr>
              <w:r>
                <w:rPr>
                  <w:rFonts w:hint="eastAsia"/>
                </w:rPr>
                <w:t>当本公司直接或通过子公司间接拥有被投资单位</w:t>
              </w:r>
              <w:r>
                <w:rPr>
                  <w:rFonts w:ascii="Times New Roman" w:hAnsi="Times New Roman" w:cs="Times New Roman"/>
                </w:rPr>
                <w:t>20%(</w:t>
              </w:r>
              <w:r>
                <w:rPr>
                  <w:rFonts w:ascii="Times New Roman" w:hAnsi="Times New Roman" w:cs="Times New Roman"/>
                </w:rPr>
                <w:t>含</w:t>
              </w:r>
              <w:r>
                <w:rPr>
                  <w:rFonts w:ascii="Times New Roman" w:hAnsi="Times New Roman" w:cs="Times New Roman"/>
                </w:rPr>
                <w:t>20%)</w:t>
              </w:r>
              <w:r>
                <w:rPr>
                  <w:rFonts w:ascii="Times New Roman" w:hAnsi="Times New Roman" w:cs="Times New Roman"/>
                </w:rPr>
                <w:t>以上但低于</w:t>
              </w:r>
              <w:r>
                <w:rPr>
                  <w:rFonts w:ascii="Times New Roman" w:hAnsi="Times New Roman" w:cs="Times New Roman"/>
                </w:rPr>
                <w:t>50%</w:t>
              </w:r>
              <w:r>
                <w:rPr>
                  <w:rFonts w:hint="eastAsia"/>
                </w:rPr>
                <w:t>的表决权股份时，一般认为对被投资单位具有重大影响，除非有明确证据表明该种情况下不能参与被投资单位的生产经营决策，不形成重大影响。</w:t>
              </w:r>
            </w:p>
            <w:p w14:paraId="1905FAF8" w14:textId="77777777" w:rsidR="00D21C1F" w:rsidRDefault="00A42880">
              <w:pPr>
                <w:pStyle w:val="120"/>
                <w:widowControl w:val="0"/>
                <w:numPr>
                  <w:ilvl w:val="2"/>
                  <w:numId w:val="53"/>
                </w:numPr>
                <w:spacing w:line="360" w:lineRule="auto"/>
                <w:ind w:left="0" w:firstLineChars="200" w:firstLine="422"/>
                <w:jc w:val="both"/>
                <w:rPr>
                  <w:b/>
                  <w:bCs/>
                </w:rPr>
              </w:pPr>
              <w:r>
                <w:rPr>
                  <w:rFonts w:hint="eastAsia"/>
                  <w:b/>
                  <w:bCs/>
                </w:rPr>
                <w:t>初始投资成本确定</w:t>
              </w:r>
            </w:p>
            <w:p w14:paraId="1579AF1F" w14:textId="77777777" w:rsidR="00D21C1F" w:rsidRDefault="00A42880">
              <w:pPr>
                <w:pStyle w:val="120"/>
                <w:widowControl w:val="0"/>
                <w:numPr>
                  <w:ilvl w:val="0"/>
                  <w:numId w:val="54"/>
                </w:numPr>
                <w:spacing w:line="360" w:lineRule="auto"/>
                <w:ind w:left="0" w:firstLineChars="200" w:firstLine="420"/>
                <w:jc w:val="both"/>
              </w:pPr>
              <w:r>
                <w:rPr>
                  <w:rFonts w:hint="eastAsia"/>
                </w:rPr>
                <w:t>企业合并形成的长期股权投资，按照下列规定确定其投资成本：</w:t>
              </w:r>
            </w:p>
            <w:p w14:paraId="7840067C" w14:textId="77777777" w:rsidR="00D21C1F" w:rsidRDefault="00A42880">
              <w:pPr>
                <w:pStyle w:val="120"/>
                <w:widowControl w:val="0"/>
                <w:numPr>
                  <w:ilvl w:val="3"/>
                  <w:numId w:val="55"/>
                </w:numPr>
                <w:spacing w:line="360" w:lineRule="auto"/>
                <w:ind w:left="0" w:firstLineChars="200" w:firstLine="420"/>
                <w:jc w:val="both"/>
              </w:pPr>
              <w:r>
                <w:rPr>
                  <w:rFonts w:hint="eastAsia"/>
                </w:rPr>
                <w:t>同一控制下的企业合并，合并方以支付现金、转让非现金资产或承担债务方式作为合并对价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w:t>
              </w:r>
            </w:p>
            <w:p w14:paraId="4B45B52A" w14:textId="77777777" w:rsidR="00D21C1F" w:rsidRDefault="00A42880">
              <w:pPr>
                <w:pStyle w:val="120"/>
                <w:widowControl w:val="0"/>
                <w:numPr>
                  <w:ilvl w:val="3"/>
                  <w:numId w:val="55"/>
                </w:numPr>
                <w:spacing w:line="360" w:lineRule="auto"/>
                <w:ind w:left="0" w:firstLineChars="200" w:firstLine="420"/>
                <w:jc w:val="both"/>
              </w:pPr>
              <w:r>
                <w:rPr>
                  <w:rFonts w:hint="eastAsia"/>
                </w:rPr>
                <w:t>同一控制下的企业合并，合并方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14:paraId="4C43D84F" w14:textId="77777777" w:rsidR="00D21C1F" w:rsidRDefault="00A42880">
              <w:pPr>
                <w:pStyle w:val="120"/>
                <w:widowControl w:val="0"/>
                <w:numPr>
                  <w:ilvl w:val="3"/>
                  <w:numId w:val="55"/>
                </w:numPr>
                <w:autoSpaceDE w:val="0"/>
                <w:autoSpaceDN w:val="0"/>
                <w:adjustRightInd w:val="0"/>
                <w:spacing w:line="360" w:lineRule="auto"/>
                <w:ind w:left="0" w:firstLineChars="200" w:firstLine="420"/>
                <w:jc w:val="both"/>
              </w:pPr>
              <w:r>
                <w:rPr>
                  <w:rFonts w:hint="eastAsia"/>
                </w:rPr>
                <w:t>非同一控制下的企业合并，以购买日为取得对被购买方的控制权而付出的资产、发生或承担的负债以及发行的权益性证券的公允价值确定为合并成本作为长期股权投资的初始投资成本。合并方为企业合并发生的审计、法律服务、评估咨询等中介费用以及其他相关管理费用，于发生时计入当期损益。</w:t>
              </w:r>
            </w:p>
            <w:p w14:paraId="61CE368C" w14:textId="77777777" w:rsidR="00D21C1F" w:rsidRDefault="00A42880">
              <w:pPr>
                <w:pStyle w:val="120"/>
                <w:widowControl w:val="0"/>
                <w:numPr>
                  <w:ilvl w:val="0"/>
                  <w:numId w:val="54"/>
                </w:numPr>
                <w:spacing w:line="360" w:lineRule="auto"/>
                <w:ind w:left="0" w:firstLineChars="200" w:firstLine="420"/>
                <w:jc w:val="both"/>
              </w:pPr>
              <w:r>
                <w:rPr>
                  <w:rFonts w:hint="eastAsia"/>
                </w:rPr>
                <w:t>除企业合并形成的长期股权投资以外，其他方式取得的长期股权投资，按照下列规定确定其投资成本：</w:t>
              </w:r>
            </w:p>
            <w:p w14:paraId="3F0F8F9F" w14:textId="77777777" w:rsidR="00D21C1F" w:rsidRDefault="00A42880">
              <w:pPr>
                <w:pStyle w:val="120"/>
                <w:widowControl w:val="0"/>
                <w:numPr>
                  <w:ilvl w:val="1"/>
                  <w:numId w:val="56"/>
                </w:numPr>
                <w:spacing w:line="360" w:lineRule="auto"/>
                <w:ind w:left="0" w:firstLineChars="200" w:firstLine="420"/>
                <w:jc w:val="both"/>
              </w:pPr>
              <w:r>
                <w:rPr>
                  <w:rFonts w:hint="eastAsia"/>
                </w:rPr>
                <w:t>以支付现金取得的长期股权投资，按照实际支付的购买价款作为投资成本。初始投资成</w:t>
              </w:r>
              <w:r>
                <w:rPr>
                  <w:rFonts w:hint="eastAsia"/>
                </w:rPr>
                <w:lastRenderedPageBreak/>
                <w:t>本包括与取得长期股权投资直接相关的费用、税金及其他必要支出；</w:t>
              </w:r>
            </w:p>
            <w:p w14:paraId="53059CC7" w14:textId="77777777" w:rsidR="00D21C1F" w:rsidRDefault="00A42880">
              <w:pPr>
                <w:pStyle w:val="120"/>
                <w:widowControl w:val="0"/>
                <w:numPr>
                  <w:ilvl w:val="1"/>
                  <w:numId w:val="56"/>
                </w:numPr>
                <w:spacing w:line="360" w:lineRule="auto"/>
                <w:ind w:left="0" w:firstLineChars="200" w:firstLine="420"/>
                <w:jc w:val="both"/>
              </w:pPr>
              <w:r>
                <w:rPr>
                  <w:rFonts w:hint="eastAsia"/>
                </w:rPr>
                <w:t>以发行权益性证券取得的长期股权投资，按照发行权益性证券的公允价值作为初始投资成本；</w:t>
              </w:r>
            </w:p>
            <w:p w14:paraId="195C6C37" w14:textId="77777777" w:rsidR="00D21C1F" w:rsidRDefault="00A42880">
              <w:pPr>
                <w:pStyle w:val="120"/>
                <w:widowControl w:val="0"/>
                <w:numPr>
                  <w:ilvl w:val="1"/>
                  <w:numId w:val="56"/>
                </w:numPr>
                <w:spacing w:line="360" w:lineRule="auto"/>
                <w:ind w:left="0" w:firstLineChars="200" w:firstLine="420"/>
                <w:jc w:val="both"/>
              </w:pPr>
              <w:r>
                <w:rPr>
                  <w:rFonts w:hint="eastAsia"/>
                </w:rPr>
                <w:t>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14:paraId="09B03F5E" w14:textId="77777777" w:rsidR="00D21C1F" w:rsidRDefault="00A42880">
              <w:pPr>
                <w:pStyle w:val="120"/>
                <w:widowControl w:val="0"/>
                <w:numPr>
                  <w:ilvl w:val="1"/>
                  <w:numId w:val="56"/>
                </w:numPr>
                <w:spacing w:line="360" w:lineRule="auto"/>
                <w:ind w:left="0" w:firstLineChars="200" w:firstLine="420"/>
                <w:jc w:val="both"/>
              </w:pPr>
              <w:r>
                <w:rPr>
                  <w:rFonts w:hint="eastAsia"/>
                </w:rPr>
                <w:t>通过债务重组取得的长期股权投资，以所放弃债权的公允价值和可直接归属于该资产的税金等其他成本确定其入账价值，并将所放弃债权的公允价值与账面价值之间的差额，计入当期损益。</w:t>
              </w:r>
            </w:p>
            <w:p w14:paraId="497BB444" w14:textId="77777777" w:rsidR="00D21C1F" w:rsidRDefault="00A42880">
              <w:pPr>
                <w:pStyle w:val="120"/>
                <w:widowControl w:val="0"/>
                <w:numPr>
                  <w:ilvl w:val="2"/>
                  <w:numId w:val="53"/>
                </w:numPr>
                <w:spacing w:line="360" w:lineRule="auto"/>
                <w:ind w:left="0" w:firstLineChars="200" w:firstLine="422"/>
                <w:jc w:val="both"/>
                <w:rPr>
                  <w:b/>
                  <w:bCs/>
                </w:rPr>
              </w:pPr>
              <w:r>
                <w:rPr>
                  <w:rFonts w:hint="eastAsia"/>
                  <w:b/>
                  <w:bCs/>
                </w:rPr>
                <w:t>后续计量及损益确认方法</w:t>
              </w:r>
            </w:p>
            <w:p w14:paraId="29BF7A9B" w14:textId="77777777" w:rsidR="00D21C1F" w:rsidRDefault="00A42880">
              <w:pPr>
                <w:pStyle w:val="120"/>
                <w:snapToGrid w:val="0"/>
                <w:spacing w:line="360" w:lineRule="auto"/>
                <w:ind w:firstLineChars="200" w:firstLine="420"/>
                <w:jc w:val="both"/>
              </w:pPr>
              <w:r>
                <w:rPr>
                  <w:rFonts w:hint="eastAsia"/>
                </w:rPr>
                <w:t>本公司能够对被投资单位实施控制的长期股权投资采用成本法核算；对联营企业和合营企业的长期股权投资采用权益法核算。</w:t>
              </w:r>
            </w:p>
            <w:p w14:paraId="31CF6759" w14:textId="77777777" w:rsidR="00D21C1F" w:rsidRDefault="00A42880">
              <w:pPr>
                <w:pStyle w:val="120"/>
                <w:widowControl w:val="0"/>
                <w:numPr>
                  <w:ilvl w:val="0"/>
                  <w:numId w:val="57"/>
                </w:numPr>
                <w:spacing w:line="360" w:lineRule="auto"/>
                <w:jc w:val="both"/>
              </w:pPr>
              <w:r>
                <w:rPr>
                  <w:rFonts w:hint="eastAsia"/>
                </w:rPr>
                <w:t>成本法</w:t>
              </w:r>
            </w:p>
            <w:p w14:paraId="7CBC8F67" w14:textId="77777777" w:rsidR="00D21C1F" w:rsidRDefault="00A42880">
              <w:pPr>
                <w:pStyle w:val="120"/>
                <w:snapToGrid w:val="0"/>
                <w:spacing w:line="360" w:lineRule="auto"/>
                <w:ind w:firstLineChars="200" w:firstLine="420"/>
                <w:jc w:val="both"/>
              </w:pPr>
              <w:r>
                <w:rPr>
                  <w:rFonts w:hint="eastAsia"/>
                </w:rPr>
                <w:t>采用成本法核算的长期股权投资，追加或收回投资时调整长期股权投资的成本；被投资单位宣告分派的现金股利或利润，确认为当期投资收益。</w:t>
              </w:r>
            </w:p>
            <w:p w14:paraId="68D66CF5" w14:textId="77777777" w:rsidR="00D21C1F" w:rsidRDefault="00A42880">
              <w:pPr>
                <w:pStyle w:val="120"/>
                <w:widowControl w:val="0"/>
                <w:numPr>
                  <w:ilvl w:val="0"/>
                  <w:numId w:val="57"/>
                </w:numPr>
                <w:spacing w:line="360" w:lineRule="auto"/>
                <w:ind w:left="0" w:firstLineChars="200" w:firstLine="420"/>
                <w:jc w:val="both"/>
              </w:pPr>
              <w:r>
                <w:rPr>
                  <w:rFonts w:hint="eastAsia"/>
                </w:rPr>
                <w:t>权益法</w:t>
              </w:r>
            </w:p>
            <w:p w14:paraId="051EEDAA" w14:textId="77777777" w:rsidR="00D21C1F" w:rsidRDefault="00A42880">
              <w:pPr>
                <w:pStyle w:val="120"/>
                <w:spacing w:line="360" w:lineRule="auto"/>
                <w:ind w:firstLineChars="200" w:firstLine="420"/>
                <w:jc w:val="both"/>
              </w:pPr>
              <w:r>
                <w:rPr>
                  <w:rFonts w:hint="eastAsia"/>
                </w:rPr>
                <w:t>按照权益法核算的长期股权投资，一般会计处理为：</w:t>
              </w:r>
            </w:p>
            <w:p w14:paraId="0E905380" w14:textId="77777777" w:rsidR="00D21C1F" w:rsidRDefault="00A42880">
              <w:pPr>
                <w:pStyle w:val="120"/>
                <w:spacing w:line="360" w:lineRule="auto"/>
                <w:ind w:firstLineChars="200" w:firstLine="420"/>
                <w:jc w:val="both"/>
              </w:pPr>
              <w:r>
                <w:rPr>
                  <w:rFonts w:hint="eastAsia"/>
                </w:rPr>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14:paraId="51E00694" w14:textId="77777777" w:rsidR="00D21C1F" w:rsidRDefault="00A42880">
              <w:pPr>
                <w:pStyle w:val="120"/>
                <w:snapToGrid w:val="0"/>
                <w:spacing w:line="360" w:lineRule="auto"/>
                <w:ind w:firstLineChars="200" w:firstLine="420"/>
                <w:jc w:val="both"/>
              </w:pPr>
              <w:r>
                <w:rPr>
                  <w:rFonts w:hint="eastAsia"/>
                </w:rPr>
                <w:t>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抵销，在此基础上确认投资损益。本公司与被投资单位发生的未实现内部交易损失属于资产减值损失的，应全额确认。</w:t>
              </w:r>
            </w:p>
            <w:p w14:paraId="1A6934A2" w14:textId="77777777" w:rsidR="00D21C1F" w:rsidRDefault="00A42880">
              <w:pPr>
                <w:pStyle w:val="120"/>
                <w:snapToGrid w:val="0"/>
                <w:spacing w:line="360" w:lineRule="auto"/>
                <w:ind w:firstLineChars="200" w:firstLine="420"/>
                <w:jc w:val="both"/>
              </w:pPr>
              <w:r>
                <w:rPr>
                  <w:rFonts w:hint="eastAsia"/>
                </w:rPr>
                <w:t>因追加投资等原因能够对被投资单位施加重大影响或实施共同控制但不构成控制的，按照原持有的股权投资的公允价值加上新增投资成本之和，作为改按权益法核算的初始投资成本。原持</w:t>
              </w:r>
              <w:r>
                <w:rPr>
                  <w:rFonts w:hint="eastAsia"/>
                </w:rPr>
                <w:lastRenderedPageBreak/>
                <w:t>有的股权投资分类为可供出售金融资产的，其公允价值与账面价值之间的差额，以及原计入其他综合收益的累计公允价值变动应当转入改按权益法核算的当期损益。</w:t>
              </w:r>
            </w:p>
            <w:p w14:paraId="5114EEA9" w14:textId="77777777" w:rsidR="00D21C1F" w:rsidRDefault="00A42880">
              <w:pPr>
                <w:pStyle w:val="120"/>
                <w:spacing w:line="360" w:lineRule="auto"/>
                <w:ind w:firstLineChars="200" w:firstLine="420"/>
                <w:jc w:val="both"/>
              </w:pPr>
              <w:r>
                <w:rPr>
                  <w:rFonts w:hint="eastAsia"/>
                </w:rPr>
                <w:t>因处置部分股权投资等原因丧失了对被投资单位的共同控制或重大影响的，处置后的剩余股权改按公允价值计量，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sdtContent>
        </w:sdt>
      </w:sdtContent>
    </w:sdt>
    <w:p w14:paraId="2B14B1FF" w14:textId="77777777" w:rsidR="00D21C1F" w:rsidRDefault="00D21C1F">
      <w:pPr>
        <w:rPr>
          <w:szCs w:val="21"/>
        </w:rPr>
      </w:pPr>
    </w:p>
    <w:p w14:paraId="53FD4CFE" w14:textId="77777777" w:rsidR="00D21C1F" w:rsidRDefault="00A42880">
      <w:pPr>
        <w:pStyle w:val="94"/>
        <w:numPr>
          <w:ilvl w:val="0"/>
          <w:numId w:val="45"/>
        </w:numPr>
        <w:rPr>
          <w:rFonts w:ascii="宋体" w:hAnsi="宋体"/>
        </w:rPr>
      </w:pPr>
      <w:r>
        <w:rPr>
          <w:rFonts w:ascii="宋体" w:hAnsi="宋体"/>
        </w:rPr>
        <w:t>投资性房地产</w:t>
      </w:r>
    </w:p>
    <w:sdt>
      <w:sdtPr>
        <w:rPr>
          <w:rFonts w:hint="eastAsia"/>
          <w:b/>
          <w:bCs/>
        </w:rPr>
        <w:alias w:val="选项模块:不适用"/>
        <w:tag w:val="_GBC_6983d9e24ed54c18a335cb0386f36c2c"/>
        <w:id w:val="804592778"/>
        <w:placeholder>
          <w:docPart w:val="GBC22222222222222222222222222222"/>
        </w:placeholder>
      </w:sdtPr>
      <w:sdtEndPr>
        <w:rPr>
          <w:b w:val="0"/>
          <w:bCs w:val="0"/>
        </w:rPr>
      </w:sdtEndPr>
      <w:sdtContent>
        <w:p w14:paraId="377F7F72" w14:textId="77777777" w:rsidR="00D21C1F" w:rsidRDefault="00A42880">
          <w:pPr>
            <w:rPr>
              <w:szCs w:val="21"/>
            </w:rPr>
          </w:pPr>
          <w:r>
            <w:rPr>
              <w:rFonts w:hint="eastAsia"/>
              <w:szCs w:val="21"/>
            </w:rPr>
            <w:t>不</w:t>
          </w:r>
          <w:sdt>
            <w:sdtPr>
              <w:rPr>
                <w:rFonts w:hint="eastAsia"/>
                <w:szCs w:val="21"/>
              </w:rPr>
              <w:tag w:val="_PLD_2184b7576e914eab9a60f92a290f95d2"/>
              <w:id w:val="563301117"/>
              <w:lock w:val="sdtLocked"/>
              <w:placeholder>
                <w:docPart w:val="8E2DBE4EF8DE46EEA7A5336DDCEE3FF4"/>
              </w:placeholder>
            </w:sdtPr>
            <w:sdtEndPr/>
            <w:sdtContent>
              <w:r>
                <w:rPr>
                  <w:rFonts w:hint="eastAsia"/>
                  <w:szCs w:val="21"/>
                </w:rPr>
                <w:t>适</w:t>
              </w:r>
            </w:sdtContent>
          </w:sdt>
          <w:r>
            <w:rPr>
              <w:rFonts w:hint="eastAsia"/>
              <w:szCs w:val="21"/>
            </w:rPr>
            <w:t>用</w:t>
          </w:r>
        </w:p>
        <w:p w14:paraId="314903B8" w14:textId="77777777" w:rsidR="00D21C1F" w:rsidRDefault="00045EC6"/>
      </w:sdtContent>
    </w:sdt>
    <w:p w14:paraId="59207260" w14:textId="77777777" w:rsidR="00D21C1F" w:rsidRDefault="00D21C1F">
      <w:pPr>
        <w:rPr>
          <w:szCs w:val="21"/>
        </w:rPr>
      </w:pPr>
    </w:p>
    <w:p w14:paraId="4CD0A01F" w14:textId="77777777" w:rsidR="00D21C1F" w:rsidRDefault="00A42880">
      <w:pPr>
        <w:pStyle w:val="94"/>
        <w:numPr>
          <w:ilvl w:val="0"/>
          <w:numId w:val="45"/>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935252383"/>
        <w:lock w:val="sdtLocked"/>
        <w:placeholder>
          <w:docPart w:val="GBC22222222222222222222222222222"/>
        </w:placeholder>
      </w:sdtPr>
      <w:sdtEndPr>
        <w:rPr>
          <w:rFonts w:cs="Times New Roman"/>
          <w:szCs w:val="21"/>
        </w:rPr>
      </w:sdtEndPr>
      <w:sdtContent>
        <w:p w14:paraId="7A9B9788" w14:textId="77777777" w:rsidR="00D21C1F" w:rsidRDefault="00A42880">
          <w:pPr>
            <w:pStyle w:val="93"/>
            <w:numPr>
              <w:ilvl w:val="0"/>
              <w:numId w:val="58"/>
            </w:numPr>
            <w:rPr>
              <w:rFonts w:ascii="宋体" w:hAnsi="宋体"/>
            </w:rPr>
          </w:pPr>
          <w:r>
            <w:rPr>
              <w:rFonts w:ascii="宋体" w:hAnsi="宋体" w:hint="eastAsia"/>
            </w:rPr>
            <w:t>确认条件</w:t>
          </w:r>
        </w:p>
        <w:sdt>
          <w:sdtPr>
            <w:alias w:val="是否适用：固定资产确认条件[双击切换]"/>
            <w:tag w:val="_GBC_45cce032cd1f43bfad18a80dd94e9cc4"/>
            <w:id w:val="673465585"/>
            <w:lock w:val="sdtLocked"/>
            <w:placeholder>
              <w:docPart w:val="GBC22222222222222222222222222222"/>
            </w:placeholder>
          </w:sdtPr>
          <w:sdtEndPr/>
          <w:sdtContent>
            <w:p w14:paraId="3E11272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Cs/>
            </w:rPr>
            <w:alias w:val="固定资产确认条件"/>
            <w:tag w:val="_GBC_3044d53470b143fa9477fa34b85d4ec5"/>
            <w:id w:val="846213957"/>
            <w:lock w:val="sdtLocked"/>
            <w:placeholder>
              <w:docPart w:val="GBC22222222222222222222222222222"/>
            </w:placeholder>
          </w:sdtPr>
          <w:sdtEndPr>
            <w:rPr>
              <w:b/>
            </w:rPr>
          </w:sdtEndPr>
          <w:sdtContent>
            <w:p w14:paraId="3318E368" w14:textId="77777777" w:rsidR="00D21C1F" w:rsidRDefault="00A42880">
              <w:pPr>
                <w:pStyle w:val="120"/>
                <w:spacing w:line="360" w:lineRule="auto"/>
                <w:ind w:firstLineChars="200" w:firstLine="420"/>
                <w:jc w:val="both"/>
              </w:pPr>
              <w:r>
                <w:rPr>
                  <w:rFonts w:hint="eastAsia"/>
                </w:rPr>
                <w:t>固定资产在同时满足下列条件时，按取得时的实际成本予以确认：</w:t>
              </w:r>
            </w:p>
            <w:p w14:paraId="5CD8E27F" w14:textId="77777777" w:rsidR="00D21C1F" w:rsidRDefault="00A42880">
              <w:pPr>
                <w:pStyle w:val="120"/>
                <w:widowControl w:val="0"/>
                <w:numPr>
                  <w:ilvl w:val="0"/>
                  <w:numId w:val="59"/>
                </w:numPr>
                <w:spacing w:line="360" w:lineRule="auto"/>
                <w:ind w:left="0" w:firstLineChars="200" w:firstLine="420"/>
                <w:jc w:val="both"/>
              </w:pPr>
              <w:r>
                <w:rPr>
                  <w:rFonts w:hint="eastAsia"/>
                </w:rPr>
                <w:t>与该固定资产有关的经济利益很可能流入企业。</w:t>
              </w:r>
            </w:p>
            <w:p w14:paraId="07761A8D" w14:textId="77777777" w:rsidR="00D21C1F" w:rsidRDefault="00A42880">
              <w:pPr>
                <w:pStyle w:val="120"/>
                <w:widowControl w:val="0"/>
                <w:numPr>
                  <w:ilvl w:val="0"/>
                  <w:numId w:val="59"/>
                </w:numPr>
                <w:spacing w:line="360" w:lineRule="auto"/>
                <w:ind w:left="0" w:firstLineChars="200" w:firstLine="420"/>
                <w:jc w:val="both"/>
              </w:pPr>
              <w:r>
                <w:rPr>
                  <w:rFonts w:hint="eastAsia"/>
                </w:rPr>
                <w:t>该固定资产的成本能够可靠地计量。</w:t>
              </w:r>
            </w:p>
            <w:p w14:paraId="58E542BA" w14:textId="77777777" w:rsidR="00D21C1F" w:rsidRDefault="00A42880">
              <w:pPr>
                <w:pStyle w:val="120"/>
                <w:spacing w:line="360" w:lineRule="auto"/>
                <w:ind w:firstLineChars="200" w:firstLine="420"/>
                <w:jc w:val="both"/>
              </w:pPr>
              <w:r>
                <w:rPr>
                  <w:rFonts w:hint="eastAsia"/>
                </w:rPr>
                <w:t>固定资产发生的后续支出，符合固定资产确认条件的计入固定资产成本；不符合固定资产确认条件的在发生时计入当期损益。</w:t>
              </w:r>
            </w:p>
          </w:sdtContent>
        </w:sdt>
      </w:sdtContent>
    </w:sdt>
    <w:p w14:paraId="6E3DB98D" w14:textId="77777777" w:rsidR="00D21C1F" w:rsidRDefault="00D21C1F">
      <w:pPr>
        <w:rPr>
          <w:szCs w:val="21"/>
        </w:rPr>
      </w:pPr>
    </w:p>
    <w:sdt>
      <w:sdtPr>
        <w:rPr>
          <w:rFonts w:ascii="宋体" w:hAnsi="宋体" w:cstheme="minorBidi"/>
          <w:b w:val="0"/>
          <w:bCs w:val="0"/>
          <w:kern w:val="0"/>
          <w:szCs w:val="22"/>
        </w:rPr>
        <w:alias w:val="模块:固定资产折旧方法"/>
        <w:tag w:val="_GBC_7c749a57d4094b3386978c34c3487e2a"/>
        <w:id w:val="-694770098"/>
        <w:lock w:val="sdtLocked"/>
        <w:placeholder>
          <w:docPart w:val="GBC22222222222222222222222222222"/>
        </w:placeholder>
      </w:sdtPr>
      <w:sdtEndPr>
        <w:rPr>
          <w:rFonts w:cs="宋体"/>
          <w:szCs w:val="24"/>
        </w:rPr>
      </w:sdtEndPr>
      <w:sdtContent>
        <w:p w14:paraId="51044A36" w14:textId="77777777" w:rsidR="00D21C1F" w:rsidRDefault="00A42880">
          <w:pPr>
            <w:pStyle w:val="93"/>
            <w:numPr>
              <w:ilvl w:val="0"/>
              <w:numId w:val="58"/>
            </w:numPr>
            <w:rPr>
              <w:rFonts w:ascii="宋体" w:hAnsi="宋体"/>
            </w:rPr>
          </w:pPr>
          <w:r>
            <w:rPr>
              <w:rFonts w:ascii="宋体" w:hAnsi="宋体"/>
            </w:rPr>
            <w:t>折旧方法</w:t>
          </w:r>
        </w:p>
        <w:sdt>
          <w:sdtPr>
            <w:alias w:val="是否适用：固定资产折旧方法[双击切换]"/>
            <w:tag w:val="_GBC_c221ef38ff6a4242aab725946697311c"/>
            <w:id w:val="689411138"/>
            <w:lock w:val="sdtLocked"/>
            <w:placeholder>
              <w:docPart w:val="GBC22222222222222222222222222222"/>
            </w:placeholder>
          </w:sdtPr>
          <w:sdtEndPr/>
          <w:sdtContent>
            <w:p w14:paraId="2C9FDA5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D21C1F" w14:paraId="367BCCE2" w14:textId="77777777">
            <w:sdt>
              <w:sdtPr>
                <w:tag w:val="_PLD_d39db65ac15c4d7583d7fe75cb893517"/>
                <w:id w:val="120740067"/>
                <w:lock w:val="sdtLocked"/>
              </w:sdtPr>
              <w:sdtEndPr/>
              <w:sdtContent>
                <w:tc>
                  <w:tcPr>
                    <w:tcW w:w="949" w:type="pct"/>
                    <w:vAlign w:val="center"/>
                  </w:tcPr>
                  <w:p w14:paraId="0B887548" w14:textId="77777777" w:rsidR="00D21C1F" w:rsidRDefault="00A42880">
                    <w:pPr>
                      <w:jc w:val="center"/>
                      <w:rPr>
                        <w:szCs w:val="21"/>
                      </w:rPr>
                    </w:pPr>
                    <w:r>
                      <w:rPr>
                        <w:szCs w:val="21"/>
                      </w:rPr>
                      <w:t>类别</w:t>
                    </w:r>
                  </w:p>
                </w:tc>
              </w:sdtContent>
            </w:sdt>
            <w:sdt>
              <w:sdtPr>
                <w:tag w:val="_PLD_1b5147121b9948e5a115c7a4d6c95995"/>
                <w:id w:val="1328636629"/>
                <w:lock w:val="sdtLocked"/>
              </w:sdtPr>
              <w:sdtEndPr/>
              <w:sdtContent>
                <w:tc>
                  <w:tcPr>
                    <w:tcW w:w="1012" w:type="pct"/>
                    <w:vAlign w:val="center"/>
                  </w:tcPr>
                  <w:p w14:paraId="0D0802AE" w14:textId="77777777" w:rsidR="00D21C1F" w:rsidRDefault="00A42880">
                    <w:pPr>
                      <w:jc w:val="center"/>
                      <w:rPr>
                        <w:szCs w:val="21"/>
                      </w:rPr>
                    </w:pPr>
                    <w:r>
                      <w:rPr>
                        <w:rFonts w:hint="eastAsia"/>
                        <w:szCs w:val="21"/>
                      </w:rPr>
                      <w:t>折旧方法</w:t>
                    </w:r>
                  </w:p>
                </w:tc>
              </w:sdtContent>
            </w:sdt>
            <w:sdt>
              <w:sdtPr>
                <w:tag w:val="_PLD_65441224aa3f4fd3be4ca0650b16b1aa"/>
                <w:id w:val="-759910258"/>
                <w:lock w:val="sdtLocked"/>
              </w:sdtPr>
              <w:sdtEndPr/>
              <w:sdtContent>
                <w:tc>
                  <w:tcPr>
                    <w:tcW w:w="1013" w:type="pct"/>
                    <w:vAlign w:val="center"/>
                  </w:tcPr>
                  <w:p w14:paraId="075B978B" w14:textId="77777777" w:rsidR="00D21C1F" w:rsidRDefault="00A42880">
                    <w:pPr>
                      <w:jc w:val="center"/>
                      <w:rPr>
                        <w:szCs w:val="21"/>
                      </w:rPr>
                    </w:pPr>
                    <w:r>
                      <w:rPr>
                        <w:szCs w:val="21"/>
                      </w:rPr>
                      <w:t>折旧年限（年）</w:t>
                    </w:r>
                  </w:p>
                </w:tc>
              </w:sdtContent>
            </w:sdt>
            <w:sdt>
              <w:sdtPr>
                <w:tag w:val="_PLD_1c82a37539a842289bf80f2937f33bee"/>
                <w:id w:val="-1678490052"/>
                <w:lock w:val="sdtLocked"/>
              </w:sdtPr>
              <w:sdtEndPr/>
              <w:sdtContent>
                <w:tc>
                  <w:tcPr>
                    <w:tcW w:w="1013" w:type="pct"/>
                    <w:vAlign w:val="center"/>
                  </w:tcPr>
                  <w:p w14:paraId="5FD16A2A" w14:textId="77777777" w:rsidR="00D21C1F" w:rsidRDefault="00A42880">
                    <w:pPr>
                      <w:jc w:val="center"/>
                      <w:rPr>
                        <w:szCs w:val="21"/>
                      </w:rPr>
                    </w:pPr>
                    <w:r>
                      <w:rPr>
                        <w:szCs w:val="21"/>
                      </w:rPr>
                      <w:t>残值率</w:t>
                    </w:r>
                  </w:p>
                </w:tc>
              </w:sdtContent>
            </w:sdt>
            <w:sdt>
              <w:sdtPr>
                <w:tag w:val="_PLD_a67e8338c181496fa22b9944b63ec82c"/>
                <w:id w:val="-1350017398"/>
                <w:lock w:val="sdtLocked"/>
              </w:sdtPr>
              <w:sdtEndPr/>
              <w:sdtContent>
                <w:tc>
                  <w:tcPr>
                    <w:tcW w:w="1013" w:type="pct"/>
                    <w:vAlign w:val="center"/>
                  </w:tcPr>
                  <w:p w14:paraId="7FE2AFB6" w14:textId="77777777" w:rsidR="00D21C1F" w:rsidRDefault="00A42880">
                    <w:pPr>
                      <w:jc w:val="center"/>
                      <w:rPr>
                        <w:szCs w:val="21"/>
                      </w:rPr>
                    </w:pPr>
                    <w:r>
                      <w:rPr>
                        <w:szCs w:val="21"/>
                      </w:rPr>
                      <w:t>年折旧率</w:t>
                    </w:r>
                  </w:p>
                </w:tc>
              </w:sdtContent>
            </w:sdt>
          </w:tr>
          <w:sdt>
            <w:sdtPr>
              <w:rPr>
                <w:kern w:val="2"/>
                <w:szCs w:val="21"/>
              </w:rPr>
              <w:alias w:val="其他固定资产计价、折旧、减值方法"/>
              <w:tag w:val="_GBC_f1ad6125c5d74d2a98f593d2ba574474"/>
              <w:id w:val="597215861"/>
              <w:lock w:val="sdtLocked"/>
            </w:sdtPr>
            <w:sdtEndPr/>
            <w:sdtContent>
              <w:tr w:rsidR="00D21C1F" w14:paraId="57098A85" w14:textId="77777777">
                <w:tc>
                  <w:tcPr>
                    <w:tcW w:w="949" w:type="pct"/>
                  </w:tcPr>
                  <w:p w14:paraId="466FC601" w14:textId="77777777" w:rsidR="00D21C1F" w:rsidRDefault="00A42880">
                    <w:pPr>
                      <w:rPr>
                        <w:szCs w:val="21"/>
                      </w:rPr>
                    </w:pPr>
                    <w:r>
                      <w:t>房屋建筑物</w:t>
                    </w:r>
                  </w:p>
                </w:tc>
                <w:tc>
                  <w:tcPr>
                    <w:tcW w:w="1012" w:type="pct"/>
                  </w:tcPr>
                  <w:p w14:paraId="490BEE47" w14:textId="77777777" w:rsidR="00D21C1F" w:rsidRDefault="00A42880">
                    <w:pPr>
                      <w:rPr>
                        <w:szCs w:val="21"/>
                      </w:rPr>
                    </w:pPr>
                    <w:r>
                      <w:t>直线法折旧</w:t>
                    </w:r>
                  </w:p>
                </w:tc>
                <w:tc>
                  <w:tcPr>
                    <w:tcW w:w="1013" w:type="pct"/>
                  </w:tcPr>
                  <w:p w14:paraId="69C0F26E" w14:textId="77777777" w:rsidR="00D21C1F" w:rsidRDefault="00A42880">
                    <w:pPr>
                      <w:rPr>
                        <w:szCs w:val="21"/>
                      </w:rPr>
                    </w:pPr>
                    <w:r>
                      <w:rPr>
                        <w:rFonts w:ascii="Times New Roman" w:hAnsi="Times New Roman"/>
                      </w:rPr>
                      <w:t>10</w:t>
                    </w:r>
                    <w:r>
                      <w:t>-</w:t>
                    </w:r>
                    <w:r>
                      <w:rPr>
                        <w:rFonts w:ascii="Times New Roman" w:hAnsi="Times New Roman"/>
                      </w:rPr>
                      <w:t>50</w:t>
                    </w:r>
                  </w:p>
                </w:tc>
                <w:tc>
                  <w:tcPr>
                    <w:tcW w:w="1013" w:type="pct"/>
                  </w:tcPr>
                  <w:p w14:paraId="2A216198" w14:textId="77777777" w:rsidR="00D21C1F" w:rsidRDefault="00A42880">
                    <w:pPr>
                      <w:rPr>
                        <w:szCs w:val="21"/>
                      </w:rPr>
                    </w:pPr>
                    <w:r>
                      <w:rPr>
                        <w:rFonts w:ascii="Times New Roman" w:hAnsi="Times New Roman"/>
                      </w:rPr>
                      <w:t>0</w:t>
                    </w:r>
                    <w:r>
                      <w:t>-</w:t>
                    </w:r>
                    <w:r>
                      <w:rPr>
                        <w:rFonts w:ascii="Times New Roman" w:hAnsi="Times New Roman"/>
                      </w:rPr>
                      <w:t>5</w:t>
                    </w:r>
                  </w:p>
                </w:tc>
                <w:tc>
                  <w:tcPr>
                    <w:tcW w:w="1013" w:type="pct"/>
                  </w:tcPr>
                  <w:p w14:paraId="5DA9D2D1" w14:textId="77777777" w:rsidR="00D21C1F" w:rsidRDefault="00A42880">
                    <w:pPr>
                      <w:rPr>
                        <w:szCs w:val="21"/>
                      </w:rPr>
                    </w:pPr>
                    <w:r>
                      <w:rPr>
                        <w:rFonts w:ascii="Times New Roman" w:hAnsi="Times New Roman"/>
                      </w:rPr>
                      <w:t>2</w:t>
                    </w:r>
                    <w:r>
                      <w:t>.</w:t>
                    </w:r>
                    <w:r>
                      <w:rPr>
                        <w:rFonts w:ascii="Times New Roman" w:hAnsi="Times New Roman"/>
                      </w:rPr>
                      <w:t>00</w:t>
                    </w:r>
                    <w:r>
                      <w:t>-</w:t>
                    </w:r>
                    <w:r>
                      <w:rPr>
                        <w:rFonts w:ascii="Times New Roman" w:hAnsi="Times New Roman"/>
                      </w:rPr>
                      <w:t>10</w:t>
                    </w:r>
                    <w:r>
                      <w:t>.</w:t>
                    </w:r>
                    <w:r>
                      <w:rPr>
                        <w:rFonts w:ascii="Times New Roman" w:hAnsi="Times New Roman"/>
                      </w:rPr>
                      <w:t>00</w:t>
                    </w:r>
                  </w:p>
                </w:tc>
              </w:tr>
            </w:sdtContent>
          </w:sdt>
          <w:sdt>
            <w:sdtPr>
              <w:rPr>
                <w:kern w:val="2"/>
                <w:szCs w:val="21"/>
              </w:rPr>
              <w:alias w:val="其他固定资产计价、折旧、减值方法"/>
              <w:tag w:val="_GBC_f1ad6125c5d74d2a98f593d2ba574474"/>
              <w:id w:val="1234499803"/>
              <w:lock w:val="sdtLocked"/>
            </w:sdtPr>
            <w:sdtEndPr/>
            <w:sdtContent>
              <w:tr w:rsidR="00D21C1F" w14:paraId="67B6B32B" w14:textId="77777777">
                <w:tc>
                  <w:tcPr>
                    <w:tcW w:w="949" w:type="pct"/>
                  </w:tcPr>
                  <w:p w14:paraId="2413EE0E" w14:textId="77777777" w:rsidR="00D21C1F" w:rsidRDefault="00A42880">
                    <w:pPr>
                      <w:rPr>
                        <w:kern w:val="2"/>
                        <w:szCs w:val="21"/>
                      </w:rPr>
                    </w:pPr>
                    <w:r>
                      <w:t>机器设备</w:t>
                    </w:r>
                  </w:p>
                </w:tc>
                <w:tc>
                  <w:tcPr>
                    <w:tcW w:w="1012" w:type="pct"/>
                  </w:tcPr>
                  <w:p w14:paraId="2BA04B7B" w14:textId="77777777" w:rsidR="00D21C1F" w:rsidRDefault="00A42880">
                    <w:pPr>
                      <w:rPr>
                        <w:szCs w:val="21"/>
                      </w:rPr>
                    </w:pPr>
                    <w:r>
                      <w:t>直线法折旧</w:t>
                    </w:r>
                  </w:p>
                </w:tc>
                <w:tc>
                  <w:tcPr>
                    <w:tcW w:w="1013" w:type="pct"/>
                  </w:tcPr>
                  <w:p w14:paraId="3F7C7098" w14:textId="77777777" w:rsidR="00D21C1F" w:rsidRDefault="00A42880">
                    <w:pPr>
                      <w:rPr>
                        <w:szCs w:val="21"/>
                      </w:rPr>
                    </w:pPr>
                    <w:r>
                      <w:rPr>
                        <w:rFonts w:ascii="Times New Roman" w:hAnsi="Times New Roman"/>
                      </w:rPr>
                      <w:t>2</w:t>
                    </w:r>
                    <w:r>
                      <w:t>-</w:t>
                    </w:r>
                    <w:r>
                      <w:rPr>
                        <w:rFonts w:ascii="Times New Roman" w:hAnsi="Times New Roman"/>
                      </w:rPr>
                      <w:t>10</w:t>
                    </w:r>
                  </w:p>
                </w:tc>
                <w:tc>
                  <w:tcPr>
                    <w:tcW w:w="1013" w:type="pct"/>
                  </w:tcPr>
                  <w:p w14:paraId="23F858ED" w14:textId="77777777" w:rsidR="00D21C1F" w:rsidRDefault="00A42880">
                    <w:pPr>
                      <w:rPr>
                        <w:szCs w:val="21"/>
                      </w:rPr>
                    </w:pPr>
                    <w:r>
                      <w:rPr>
                        <w:rFonts w:ascii="Times New Roman" w:hAnsi="Times New Roman"/>
                      </w:rPr>
                      <w:t>0</w:t>
                    </w:r>
                    <w:r>
                      <w:t>-</w:t>
                    </w:r>
                    <w:r>
                      <w:rPr>
                        <w:rFonts w:ascii="Times New Roman" w:hAnsi="Times New Roman"/>
                      </w:rPr>
                      <w:t>5</w:t>
                    </w:r>
                  </w:p>
                </w:tc>
                <w:tc>
                  <w:tcPr>
                    <w:tcW w:w="1013" w:type="pct"/>
                  </w:tcPr>
                  <w:p w14:paraId="0978508C" w14:textId="77777777" w:rsidR="00D21C1F" w:rsidRDefault="00A42880">
                    <w:pPr>
                      <w:rPr>
                        <w:kern w:val="2"/>
                        <w:szCs w:val="21"/>
                      </w:rPr>
                    </w:pPr>
                    <w:r>
                      <w:rPr>
                        <w:rFonts w:ascii="Times New Roman" w:hAnsi="Times New Roman"/>
                      </w:rPr>
                      <w:t>9</w:t>
                    </w:r>
                    <w:r>
                      <w:t>.</w:t>
                    </w:r>
                    <w:r>
                      <w:rPr>
                        <w:rFonts w:ascii="Times New Roman" w:hAnsi="Times New Roman"/>
                      </w:rPr>
                      <w:t>50</w:t>
                    </w:r>
                    <w:r>
                      <w:t>-</w:t>
                    </w:r>
                    <w:r>
                      <w:rPr>
                        <w:rFonts w:ascii="Times New Roman" w:hAnsi="Times New Roman"/>
                      </w:rPr>
                      <w:t>50</w:t>
                    </w:r>
                    <w:r>
                      <w:t>.</w:t>
                    </w:r>
                    <w:r>
                      <w:rPr>
                        <w:rFonts w:ascii="Times New Roman" w:hAnsi="Times New Roman"/>
                      </w:rPr>
                      <w:t>00</w:t>
                    </w:r>
                  </w:p>
                </w:tc>
              </w:tr>
            </w:sdtContent>
          </w:sdt>
          <w:sdt>
            <w:sdtPr>
              <w:rPr>
                <w:kern w:val="2"/>
                <w:szCs w:val="21"/>
              </w:rPr>
              <w:alias w:val="其他固定资产计价、折旧、减值方法"/>
              <w:tag w:val="_GBC_f1ad6125c5d74d2a98f593d2ba574474"/>
              <w:id w:val="1201437654"/>
              <w:lock w:val="sdtLocked"/>
            </w:sdtPr>
            <w:sdtEndPr/>
            <w:sdtContent>
              <w:tr w:rsidR="00D21C1F" w14:paraId="0EEBA7B5" w14:textId="77777777">
                <w:tc>
                  <w:tcPr>
                    <w:tcW w:w="949" w:type="pct"/>
                  </w:tcPr>
                  <w:p w14:paraId="67046E2E" w14:textId="77777777" w:rsidR="00D21C1F" w:rsidRDefault="00A42880">
                    <w:pPr>
                      <w:rPr>
                        <w:kern w:val="2"/>
                        <w:szCs w:val="21"/>
                      </w:rPr>
                    </w:pPr>
                    <w:r>
                      <w:t>运输设备</w:t>
                    </w:r>
                  </w:p>
                </w:tc>
                <w:tc>
                  <w:tcPr>
                    <w:tcW w:w="1012" w:type="pct"/>
                  </w:tcPr>
                  <w:p w14:paraId="3003DAB1" w14:textId="77777777" w:rsidR="00D21C1F" w:rsidRDefault="00A42880">
                    <w:pPr>
                      <w:rPr>
                        <w:szCs w:val="21"/>
                      </w:rPr>
                    </w:pPr>
                    <w:r>
                      <w:t>直线法折旧</w:t>
                    </w:r>
                  </w:p>
                </w:tc>
                <w:tc>
                  <w:tcPr>
                    <w:tcW w:w="1013" w:type="pct"/>
                  </w:tcPr>
                  <w:p w14:paraId="1EE97512" w14:textId="77777777" w:rsidR="00D21C1F" w:rsidRDefault="00A42880">
                    <w:pPr>
                      <w:rPr>
                        <w:szCs w:val="21"/>
                      </w:rPr>
                    </w:pPr>
                    <w:r>
                      <w:rPr>
                        <w:rFonts w:ascii="Times New Roman" w:hAnsi="Times New Roman"/>
                      </w:rPr>
                      <w:t>4</w:t>
                    </w:r>
                    <w:r>
                      <w:t>-</w:t>
                    </w:r>
                    <w:r>
                      <w:rPr>
                        <w:rFonts w:ascii="Times New Roman" w:hAnsi="Times New Roman"/>
                      </w:rPr>
                      <w:t>8</w:t>
                    </w:r>
                  </w:p>
                </w:tc>
                <w:tc>
                  <w:tcPr>
                    <w:tcW w:w="1013" w:type="pct"/>
                  </w:tcPr>
                  <w:p w14:paraId="7D3CF2ED" w14:textId="77777777" w:rsidR="00D21C1F" w:rsidRDefault="00A42880">
                    <w:pPr>
                      <w:rPr>
                        <w:szCs w:val="21"/>
                      </w:rPr>
                    </w:pPr>
                    <w:r>
                      <w:rPr>
                        <w:rFonts w:ascii="Times New Roman" w:hAnsi="Times New Roman"/>
                      </w:rPr>
                      <w:t>0</w:t>
                    </w:r>
                    <w:r>
                      <w:t>-</w:t>
                    </w:r>
                    <w:r>
                      <w:rPr>
                        <w:rFonts w:ascii="Times New Roman" w:hAnsi="Times New Roman"/>
                      </w:rPr>
                      <w:t>5</w:t>
                    </w:r>
                  </w:p>
                </w:tc>
                <w:tc>
                  <w:tcPr>
                    <w:tcW w:w="1013" w:type="pct"/>
                  </w:tcPr>
                  <w:p w14:paraId="26406190" w14:textId="77777777" w:rsidR="00D21C1F" w:rsidRDefault="00A42880">
                    <w:pPr>
                      <w:rPr>
                        <w:kern w:val="2"/>
                        <w:szCs w:val="21"/>
                      </w:rPr>
                    </w:pPr>
                    <w:r>
                      <w:rPr>
                        <w:rFonts w:ascii="Times New Roman" w:hAnsi="Times New Roman"/>
                      </w:rPr>
                      <w:t>12</w:t>
                    </w:r>
                    <w:r>
                      <w:t>.</w:t>
                    </w:r>
                    <w:r>
                      <w:rPr>
                        <w:rFonts w:ascii="Times New Roman" w:hAnsi="Times New Roman"/>
                      </w:rPr>
                      <w:t>50</w:t>
                    </w:r>
                    <w:r>
                      <w:t>-</w:t>
                    </w:r>
                    <w:r>
                      <w:rPr>
                        <w:rFonts w:ascii="Times New Roman" w:hAnsi="Times New Roman"/>
                      </w:rPr>
                      <w:t>25</w:t>
                    </w:r>
                    <w:r>
                      <w:t>.</w:t>
                    </w:r>
                    <w:r>
                      <w:rPr>
                        <w:rFonts w:ascii="Times New Roman" w:hAnsi="Times New Roman"/>
                      </w:rPr>
                      <w:t>00</w:t>
                    </w:r>
                  </w:p>
                </w:tc>
              </w:tr>
            </w:sdtContent>
          </w:sdt>
          <w:sdt>
            <w:sdtPr>
              <w:rPr>
                <w:kern w:val="2"/>
                <w:szCs w:val="21"/>
              </w:rPr>
              <w:alias w:val="其他固定资产计价、折旧、减值方法"/>
              <w:tag w:val="_GBC_f1ad6125c5d74d2a98f593d2ba574474"/>
              <w:id w:val="682717239"/>
              <w:lock w:val="sdtLocked"/>
            </w:sdtPr>
            <w:sdtEndPr/>
            <w:sdtContent>
              <w:tr w:rsidR="00D21C1F" w14:paraId="1CA7662B" w14:textId="77777777">
                <w:tc>
                  <w:tcPr>
                    <w:tcW w:w="949" w:type="pct"/>
                  </w:tcPr>
                  <w:p w14:paraId="018D8ECB" w14:textId="77777777" w:rsidR="00D21C1F" w:rsidRDefault="00A42880">
                    <w:pPr>
                      <w:rPr>
                        <w:kern w:val="2"/>
                        <w:szCs w:val="21"/>
                      </w:rPr>
                    </w:pPr>
                    <w:r>
                      <w:t>办公及其他设备</w:t>
                    </w:r>
                  </w:p>
                </w:tc>
                <w:tc>
                  <w:tcPr>
                    <w:tcW w:w="1012" w:type="pct"/>
                  </w:tcPr>
                  <w:p w14:paraId="2EABB287" w14:textId="77777777" w:rsidR="00D21C1F" w:rsidRDefault="00A42880">
                    <w:pPr>
                      <w:rPr>
                        <w:szCs w:val="21"/>
                      </w:rPr>
                    </w:pPr>
                    <w:r>
                      <w:t>直线法折旧</w:t>
                    </w:r>
                  </w:p>
                </w:tc>
                <w:tc>
                  <w:tcPr>
                    <w:tcW w:w="1013" w:type="pct"/>
                  </w:tcPr>
                  <w:p w14:paraId="0BECA20A" w14:textId="77777777" w:rsidR="00D21C1F" w:rsidRDefault="00A42880">
                    <w:pPr>
                      <w:rPr>
                        <w:szCs w:val="21"/>
                      </w:rPr>
                    </w:pPr>
                    <w:r>
                      <w:rPr>
                        <w:rFonts w:ascii="Times New Roman" w:hAnsi="Times New Roman"/>
                      </w:rPr>
                      <w:t>4</w:t>
                    </w:r>
                    <w:r>
                      <w:t>-</w:t>
                    </w:r>
                    <w:r>
                      <w:rPr>
                        <w:rFonts w:ascii="Times New Roman" w:hAnsi="Times New Roman"/>
                      </w:rPr>
                      <w:t>11</w:t>
                    </w:r>
                  </w:p>
                </w:tc>
                <w:tc>
                  <w:tcPr>
                    <w:tcW w:w="1013" w:type="pct"/>
                  </w:tcPr>
                  <w:p w14:paraId="10111312" w14:textId="77777777" w:rsidR="00D21C1F" w:rsidRDefault="00A42880">
                    <w:pPr>
                      <w:rPr>
                        <w:szCs w:val="21"/>
                      </w:rPr>
                    </w:pPr>
                    <w:r>
                      <w:rPr>
                        <w:rFonts w:ascii="Times New Roman" w:hAnsi="Times New Roman"/>
                      </w:rPr>
                      <w:t>0</w:t>
                    </w:r>
                    <w:r>
                      <w:t>-</w:t>
                    </w:r>
                    <w:r>
                      <w:rPr>
                        <w:rFonts w:ascii="Times New Roman" w:hAnsi="Times New Roman"/>
                      </w:rPr>
                      <w:t>5</w:t>
                    </w:r>
                  </w:p>
                </w:tc>
                <w:tc>
                  <w:tcPr>
                    <w:tcW w:w="1013" w:type="pct"/>
                  </w:tcPr>
                  <w:p w14:paraId="7A15428F" w14:textId="77777777" w:rsidR="00D21C1F" w:rsidRDefault="00A42880">
                    <w:pPr>
                      <w:rPr>
                        <w:kern w:val="2"/>
                        <w:szCs w:val="21"/>
                      </w:rPr>
                    </w:pPr>
                    <w:r>
                      <w:rPr>
                        <w:rFonts w:ascii="Times New Roman" w:hAnsi="Times New Roman"/>
                      </w:rPr>
                      <w:t>9</w:t>
                    </w:r>
                    <w:r>
                      <w:t>.</w:t>
                    </w:r>
                    <w:r>
                      <w:rPr>
                        <w:rFonts w:ascii="Times New Roman" w:hAnsi="Times New Roman"/>
                      </w:rPr>
                      <w:t>09</w:t>
                    </w:r>
                    <w:r>
                      <w:t>-</w:t>
                    </w:r>
                    <w:r>
                      <w:rPr>
                        <w:rFonts w:ascii="Times New Roman" w:hAnsi="Times New Roman"/>
                      </w:rPr>
                      <w:t>25</w:t>
                    </w:r>
                    <w:r>
                      <w:t>.</w:t>
                    </w:r>
                    <w:r>
                      <w:rPr>
                        <w:rFonts w:ascii="Times New Roman" w:hAnsi="Times New Roman"/>
                      </w:rPr>
                      <w:t>00</w:t>
                    </w:r>
                  </w:p>
                </w:tc>
              </w:tr>
            </w:sdtContent>
          </w:sdt>
          <w:sdt>
            <w:sdtPr>
              <w:rPr>
                <w:kern w:val="2"/>
                <w:szCs w:val="21"/>
              </w:rPr>
              <w:alias w:val="其他固定资产计价、折旧、减值方法"/>
              <w:tag w:val="_GBC_f1ad6125c5d74d2a98f593d2ba574474"/>
              <w:id w:val="1299269734"/>
              <w:lock w:val="sdtLocked"/>
            </w:sdtPr>
            <w:sdtEndPr/>
            <w:sdtContent>
              <w:tr w:rsidR="00D21C1F" w14:paraId="4A48CE36" w14:textId="77777777">
                <w:tc>
                  <w:tcPr>
                    <w:tcW w:w="949" w:type="pct"/>
                  </w:tcPr>
                  <w:p w14:paraId="5D074561" w14:textId="77777777" w:rsidR="00D21C1F" w:rsidRDefault="00A42880">
                    <w:pPr>
                      <w:rPr>
                        <w:szCs w:val="21"/>
                      </w:rPr>
                    </w:pPr>
                    <w:r>
                      <w:t>土地</w:t>
                    </w:r>
                  </w:p>
                </w:tc>
                <w:tc>
                  <w:tcPr>
                    <w:tcW w:w="1012" w:type="pct"/>
                  </w:tcPr>
                  <w:p w14:paraId="7AFD7832" w14:textId="77777777" w:rsidR="00D21C1F" w:rsidRDefault="00A42880">
                    <w:pPr>
                      <w:rPr>
                        <w:szCs w:val="21"/>
                      </w:rPr>
                    </w:pPr>
                    <w:r>
                      <w:t>直线法折旧</w:t>
                    </w:r>
                  </w:p>
                </w:tc>
                <w:tc>
                  <w:tcPr>
                    <w:tcW w:w="1013" w:type="pct"/>
                  </w:tcPr>
                  <w:p w14:paraId="68F90DD3" w14:textId="77777777" w:rsidR="00D21C1F" w:rsidRDefault="00A42880">
                    <w:pPr>
                      <w:rPr>
                        <w:szCs w:val="21"/>
                      </w:rPr>
                    </w:pPr>
                    <w:r>
                      <w:t>/</w:t>
                    </w:r>
                  </w:p>
                </w:tc>
                <w:tc>
                  <w:tcPr>
                    <w:tcW w:w="1013" w:type="pct"/>
                  </w:tcPr>
                  <w:p w14:paraId="359434A4" w14:textId="77777777" w:rsidR="00D21C1F" w:rsidRDefault="00A42880">
                    <w:pPr>
                      <w:rPr>
                        <w:szCs w:val="21"/>
                      </w:rPr>
                    </w:pPr>
                    <w:r>
                      <w:t>/</w:t>
                    </w:r>
                  </w:p>
                </w:tc>
                <w:tc>
                  <w:tcPr>
                    <w:tcW w:w="1013" w:type="pct"/>
                  </w:tcPr>
                  <w:p w14:paraId="11B43B04" w14:textId="77777777" w:rsidR="00D21C1F" w:rsidRDefault="00A42880">
                    <w:pPr>
                      <w:rPr>
                        <w:szCs w:val="21"/>
                      </w:rPr>
                    </w:pPr>
                    <w:r>
                      <w:t>/</w:t>
                    </w:r>
                  </w:p>
                </w:tc>
              </w:tr>
            </w:sdtContent>
          </w:sdt>
        </w:tbl>
        <w:p w14:paraId="661BCB93" w14:textId="77777777" w:rsidR="00D21C1F" w:rsidRDefault="00045EC6">
          <w:pPr>
            <w:pStyle w:val="97"/>
          </w:pPr>
        </w:p>
      </w:sdtContent>
    </w:sdt>
    <w:p w14:paraId="535DBE10" w14:textId="77777777" w:rsidR="00D21C1F" w:rsidRDefault="00D21C1F">
      <w:pPr>
        <w:rPr>
          <w:szCs w:val="21"/>
        </w:rPr>
      </w:pPr>
    </w:p>
    <w:sdt>
      <w:sdtPr>
        <w:rPr>
          <w:rFonts w:ascii="宋体" w:eastAsia="宋体" w:hAnsi="宋体" w:cs="宋体"/>
          <w:b w:val="0"/>
          <w:bCs w:val="0"/>
          <w:kern w:val="0"/>
          <w:szCs w:val="22"/>
        </w:rPr>
        <w:alias w:val="模块:固定资产计价和折旧方法及减值准备的计提方法"/>
        <w:tag w:val="_GBC_a1560089c32f441f92e145c3cdc25289"/>
        <w:id w:val="1927383394"/>
        <w:lock w:val="sdtLocked"/>
        <w:placeholder>
          <w:docPart w:val="GBC22222222222222222222222222222"/>
        </w:placeholder>
      </w:sdtPr>
      <w:sdtEndPr>
        <w:rPr>
          <w:rFonts w:cs="Times New Roman" w:hint="eastAsia"/>
          <w:kern w:val="2"/>
          <w:szCs w:val="24"/>
        </w:rPr>
      </w:sdtEndPr>
      <w:sdtContent>
        <w:p w14:paraId="4E5148B9" w14:textId="77777777" w:rsidR="00D21C1F" w:rsidRDefault="00A42880">
          <w:pPr>
            <w:pStyle w:val="93"/>
            <w:numPr>
              <w:ilvl w:val="0"/>
              <w:numId w:val="58"/>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480885242"/>
            <w:lock w:val="sdtLocked"/>
            <w:placeholder>
              <w:docPart w:val="GBC22222222222222222222222222222"/>
            </w:placeholder>
          </w:sdtPr>
          <w:sdtEndPr/>
          <w:sdtContent>
            <w:p w14:paraId="1F5FC40A"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7F07D83" w14:textId="77777777" w:rsidR="00D21C1F" w:rsidRDefault="00D21C1F">
      <w:pPr>
        <w:rPr>
          <w:szCs w:val="21"/>
        </w:rPr>
      </w:pPr>
    </w:p>
    <w:sdt>
      <w:sdtPr>
        <w:rPr>
          <w:rFonts w:ascii="宋体" w:eastAsia="宋体" w:hAnsi="宋体" w:cs="宋体"/>
          <w:b w:val="0"/>
          <w:bCs w:val="0"/>
          <w:kern w:val="0"/>
          <w:szCs w:val="24"/>
        </w:rPr>
        <w:alias w:val="模块:在建工程会计处理方法"/>
        <w:tag w:val="_GBC_3eb5f960df3e47f0a4bf3af0bc67ca96"/>
        <w:id w:val="1465162511"/>
        <w:lock w:val="sdtLocked"/>
        <w:placeholder>
          <w:docPart w:val="GBC22222222222222222222222222222"/>
        </w:placeholder>
      </w:sdtPr>
      <w:sdtEndPr>
        <w:rPr>
          <w:rFonts w:hint="eastAsia"/>
          <w:szCs w:val="21"/>
        </w:rPr>
      </w:sdtEndPr>
      <w:sdtContent>
        <w:p w14:paraId="200BE82D" w14:textId="77777777" w:rsidR="00D21C1F" w:rsidRDefault="00A42880">
          <w:pPr>
            <w:pStyle w:val="94"/>
            <w:numPr>
              <w:ilvl w:val="0"/>
              <w:numId w:val="45"/>
            </w:numPr>
            <w:rPr>
              <w:rFonts w:ascii="宋体" w:hAnsi="宋体"/>
            </w:rPr>
          </w:pPr>
          <w:r>
            <w:rPr>
              <w:rFonts w:ascii="宋体" w:hAnsi="宋体"/>
            </w:rPr>
            <w:t>在建工程</w:t>
          </w:r>
        </w:p>
        <w:p w14:paraId="03D6DB2C" w14:textId="77777777" w:rsidR="00D21C1F" w:rsidRDefault="00045EC6">
          <w:pPr>
            <w:rPr>
              <w:szCs w:val="21"/>
            </w:rPr>
          </w:pPr>
          <w:sdt>
            <w:sdtPr>
              <w:rPr>
                <w:rFonts w:hint="eastAsia"/>
                <w:szCs w:val="21"/>
              </w:rPr>
              <w:alias w:val="是否适用：在建工程_重要会计政策和估计[双击切换]"/>
              <w:tag w:val="_GBC_d9803b41f65e4a7fbebb412a259d9bf9"/>
              <w:id w:val="-911697561"/>
              <w:lock w:val="sdtLocked"/>
              <w:placeholder>
                <w:docPart w:val="GBC22222222222222222222222222222"/>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sdt>
          <w:sdtPr>
            <w:rPr>
              <w:rFonts w:hint="eastAsia"/>
            </w:rPr>
            <w:alias w:val="在建工程核算方法"/>
            <w:tag w:val="_GBC_ed79f983df814c58add61776fe84c76e"/>
            <w:id w:val="1446573371"/>
            <w:lock w:val="sdtLocked"/>
            <w:placeholder>
              <w:docPart w:val="GBC22222222222222222222222222222"/>
            </w:placeholder>
          </w:sdtPr>
          <w:sdtEndPr/>
          <w:sdtContent>
            <w:p w14:paraId="64A2CBC6" w14:textId="77777777" w:rsidR="00D21C1F" w:rsidRDefault="00A42880">
              <w:pPr>
                <w:pStyle w:val="120"/>
                <w:widowControl w:val="0"/>
                <w:autoSpaceDE w:val="0"/>
                <w:autoSpaceDN w:val="0"/>
                <w:adjustRightInd w:val="0"/>
                <w:spacing w:line="360" w:lineRule="auto"/>
                <w:ind w:firstLineChars="200" w:firstLine="420"/>
                <w:jc w:val="both"/>
                <w:rPr>
                  <w:b/>
                  <w:bCs/>
                </w:rPr>
              </w:pPr>
              <w:r>
                <w:rPr>
                  <w:rFonts w:ascii="Times New Roman" w:hAnsi="Times New Roman" w:cs="Times New Roman"/>
                  <w:b/>
                  <w:bCs/>
                </w:rPr>
                <w:t>（</w:t>
              </w:r>
              <w:r>
                <w:rPr>
                  <w:rFonts w:ascii="Times New Roman" w:hAnsi="Times New Roman" w:cs="Times New Roman"/>
                  <w:b/>
                  <w:bCs/>
                </w:rPr>
                <w:t>1</w:t>
              </w:r>
              <w:r>
                <w:rPr>
                  <w:rFonts w:ascii="Times New Roman" w:hAnsi="Times New Roman" w:cs="Times New Roman"/>
                  <w:b/>
                  <w:bCs/>
                </w:rPr>
                <w:t>）</w:t>
              </w:r>
              <w:r>
                <w:rPr>
                  <w:rFonts w:hint="eastAsia"/>
                  <w:b/>
                  <w:bCs/>
                </w:rPr>
                <w:t>在建工程以立项项目分类核算。</w:t>
              </w:r>
            </w:p>
            <w:p w14:paraId="54704BE3" w14:textId="77777777" w:rsidR="00D21C1F" w:rsidRDefault="00A42880">
              <w:pPr>
                <w:pStyle w:val="120"/>
                <w:widowControl w:val="0"/>
                <w:autoSpaceDE w:val="0"/>
                <w:autoSpaceDN w:val="0"/>
                <w:adjustRightInd w:val="0"/>
                <w:spacing w:line="360" w:lineRule="auto"/>
                <w:ind w:firstLineChars="200" w:firstLine="422"/>
                <w:jc w:val="both"/>
                <w:rPr>
                  <w:b/>
                  <w:bCs/>
                </w:rPr>
              </w:pPr>
              <w:r>
                <w:rPr>
                  <w:rFonts w:ascii="Times New Roman" w:hAnsi="Times New Roman" w:cs="Times New Roman"/>
                  <w:b/>
                  <w:bCs/>
                </w:rPr>
                <w:t>（</w:t>
              </w:r>
              <w:r>
                <w:rPr>
                  <w:rFonts w:ascii="Times New Roman" w:hAnsi="Times New Roman" w:cs="Times New Roman"/>
                  <w:b/>
                  <w:bCs/>
                </w:rPr>
                <w:t>2</w:t>
              </w:r>
              <w:r>
                <w:rPr>
                  <w:rFonts w:ascii="Times New Roman" w:hAnsi="Times New Roman" w:cs="Times New Roman"/>
                  <w:b/>
                  <w:bCs/>
                </w:rPr>
                <w:t>）</w:t>
              </w:r>
              <w:r>
                <w:rPr>
                  <w:rFonts w:hint="eastAsia"/>
                  <w:b/>
                  <w:bCs/>
                </w:rPr>
                <w:t>在建工程结转为固定资产的标准和时点</w:t>
              </w:r>
            </w:p>
            <w:p w14:paraId="731C1EF3" w14:textId="77777777" w:rsidR="00D21C1F" w:rsidRDefault="00A42880">
              <w:pPr>
                <w:pStyle w:val="120"/>
                <w:spacing w:line="360" w:lineRule="auto"/>
                <w:ind w:firstLineChars="200" w:firstLine="420"/>
                <w:jc w:val="both"/>
              </w:pPr>
              <w:r>
                <w:rPr>
                  <w:rFonts w:hint="eastAsia"/>
                </w:rPr>
                <w:t>在建工程项目按建造该项资产达到预定可使用状态前所发生的全部支出，作为固定资产的入账价值。包括建筑费用、机器设备原价、其他为使在建工程达到预定可使用状态所发生的必要支</w:t>
              </w:r>
              <w:r>
                <w:rPr>
                  <w:rFonts w:hint="eastAsia"/>
                </w:rPr>
                <w:lastRenderedPageBreak/>
                <w:t>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p w14:paraId="18DC482A" w14:textId="77777777" w:rsidR="00D21C1F" w:rsidRDefault="00045EC6">
          <w:pPr>
            <w:rPr>
              <w:szCs w:val="21"/>
            </w:rPr>
          </w:pPr>
        </w:p>
      </w:sdtContent>
    </w:sdt>
    <w:sdt>
      <w:sdtPr>
        <w:rPr>
          <w:rFonts w:ascii="宋体" w:eastAsia="宋体" w:hAnsi="宋体" w:cs="宋体"/>
          <w:b w:val="0"/>
          <w:bCs w:val="0"/>
          <w:kern w:val="0"/>
          <w:szCs w:val="22"/>
        </w:rPr>
        <w:alias w:val="模块:借款费用会计处理方法"/>
        <w:tag w:val="_GBC_e3e4d07ea08d4589a9293563ea655b42"/>
        <w:id w:val="1160815840"/>
        <w:lock w:val="sdtLocked"/>
        <w:placeholder>
          <w:docPart w:val="GBC22222222222222222222222222222"/>
        </w:placeholder>
      </w:sdtPr>
      <w:sdtEndPr>
        <w:rPr>
          <w:rFonts w:cs="Times New Roman" w:hint="eastAsia"/>
          <w:kern w:val="2"/>
          <w:szCs w:val="21"/>
        </w:rPr>
      </w:sdtEndPr>
      <w:sdtContent>
        <w:p w14:paraId="55C93EB6" w14:textId="77777777" w:rsidR="00D21C1F" w:rsidRDefault="00A42880">
          <w:pPr>
            <w:pStyle w:val="94"/>
            <w:numPr>
              <w:ilvl w:val="0"/>
              <w:numId w:val="45"/>
            </w:numPr>
            <w:rPr>
              <w:rFonts w:ascii="宋体" w:hAnsi="宋体"/>
            </w:rPr>
          </w:pPr>
          <w:r>
            <w:rPr>
              <w:rFonts w:ascii="宋体" w:hAnsi="宋体"/>
            </w:rPr>
            <w:t>借款费用</w:t>
          </w:r>
        </w:p>
        <w:sdt>
          <w:sdtPr>
            <w:rPr>
              <w:rFonts w:hint="eastAsia"/>
              <w:szCs w:val="21"/>
            </w:rPr>
            <w:alias w:val="是否适用：借款费用_重要会计政策和估计[双击切换]"/>
            <w:tag w:val="_GBC_3f3db73e5cb247009b3840143b5e6627"/>
            <w:id w:val="-39061079"/>
            <w:lock w:val="sdtLocked"/>
            <w:placeholder>
              <w:docPart w:val="GBC22222222222222222222222222222"/>
            </w:placeholder>
          </w:sdtPr>
          <w:sdtEndPr/>
          <w:sdtContent>
            <w:p w14:paraId="2477A296"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CA51F7F" w14:textId="77777777" w:rsidR="00D21C1F" w:rsidRDefault="00045EC6">
          <w:pPr>
            <w:rPr>
              <w:szCs w:val="21"/>
            </w:rPr>
          </w:pPr>
        </w:p>
      </w:sdtContent>
    </w:sdt>
    <w:sdt>
      <w:sdtPr>
        <w:rPr>
          <w:rFonts w:ascii="宋体" w:eastAsia="宋体" w:hAnsi="宋体" w:cs="宋体"/>
          <w:b w:val="0"/>
          <w:bCs w:val="0"/>
          <w:kern w:val="0"/>
          <w:szCs w:val="22"/>
        </w:rPr>
        <w:alias w:val="模块:生物资产会计处理方法"/>
        <w:tag w:val="_GBC_0b83f813710f436286429917c8c39567"/>
        <w:id w:val="1490675161"/>
        <w:lock w:val="sdtLocked"/>
        <w:placeholder>
          <w:docPart w:val="GBC22222222222222222222222222222"/>
        </w:placeholder>
      </w:sdtPr>
      <w:sdtEndPr>
        <w:rPr>
          <w:rFonts w:cs="Times New Roman" w:hint="eastAsia"/>
          <w:kern w:val="2"/>
          <w:szCs w:val="21"/>
        </w:rPr>
      </w:sdtEndPr>
      <w:sdtContent>
        <w:p w14:paraId="05B61E29" w14:textId="77777777" w:rsidR="00D21C1F" w:rsidRDefault="00A42880">
          <w:pPr>
            <w:pStyle w:val="94"/>
            <w:numPr>
              <w:ilvl w:val="0"/>
              <w:numId w:val="45"/>
            </w:numPr>
            <w:rPr>
              <w:rFonts w:ascii="宋体" w:hAnsi="宋体"/>
            </w:rPr>
          </w:pPr>
          <w:r>
            <w:rPr>
              <w:rFonts w:ascii="宋体" w:hAnsi="宋体"/>
            </w:rPr>
            <w:t>生物资产</w:t>
          </w:r>
        </w:p>
        <w:sdt>
          <w:sdtPr>
            <w:rPr>
              <w:rFonts w:hint="eastAsia"/>
              <w:szCs w:val="21"/>
            </w:rPr>
            <w:alias w:val="是否适用：生物资产_重要会计政策和估计[双击切换]"/>
            <w:tag w:val="_GBC_3c525bb9dd0340978b83e74317a40315"/>
            <w:id w:val="2110304290"/>
            <w:lock w:val="sdtLocked"/>
            <w:placeholder>
              <w:docPart w:val="GBC22222222222222222222222222222"/>
            </w:placeholder>
          </w:sdtPr>
          <w:sdtEndPr/>
          <w:sdtContent>
            <w:p w14:paraId="36AFC84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0A2831E" w14:textId="77777777" w:rsidR="00D21C1F" w:rsidRDefault="00045EC6">
          <w:pPr>
            <w:rPr>
              <w:szCs w:val="21"/>
            </w:rPr>
          </w:pPr>
        </w:p>
      </w:sdtContent>
    </w:sdt>
    <w:sdt>
      <w:sdtPr>
        <w:rPr>
          <w:rFonts w:ascii="宋体" w:eastAsia="宋体" w:hAnsi="宋体" w:cs="宋体"/>
          <w:b w:val="0"/>
          <w:bCs w:val="0"/>
          <w:kern w:val="0"/>
          <w:szCs w:val="22"/>
        </w:rPr>
        <w:alias w:val="模块:油气资产会计处理方法"/>
        <w:tag w:val="_GBC_ed738d1d51d04aad8efd3fb3e88bf021"/>
        <w:id w:val="695124439"/>
        <w:lock w:val="sdtLocked"/>
        <w:placeholder>
          <w:docPart w:val="GBC22222222222222222222222222222"/>
        </w:placeholder>
      </w:sdtPr>
      <w:sdtEndPr>
        <w:rPr>
          <w:rFonts w:cs="Times New Roman" w:hint="eastAsia"/>
          <w:kern w:val="2"/>
          <w:szCs w:val="21"/>
        </w:rPr>
      </w:sdtEndPr>
      <w:sdtContent>
        <w:p w14:paraId="458CC208" w14:textId="77777777" w:rsidR="00D21C1F" w:rsidRDefault="00A42880">
          <w:pPr>
            <w:pStyle w:val="94"/>
            <w:numPr>
              <w:ilvl w:val="0"/>
              <w:numId w:val="45"/>
            </w:numPr>
            <w:rPr>
              <w:rFonts w:ascii="宋体" w:hAnsi="宋体"/>
            </w:rPr>
          </w:pPr>
          <w:r>
            <w:rPr>
              <w:rFonts w:ascii="宋体" w:hAnsi="宋体"/>
            </w:rPr>
            <w:t>油气资产</w:t>
          </w:r>
        </w:p>
        <w:sdt>
          <w:sdtPr>
            <w:rPr>
              <w:rFonts w:hint="eastAsia"/>
              <w:szCs w:val="21"/>
            </w:rPr>
            <w:alias w:val="是否适用：油气资产_重要会计政策和估计[双击切换]"/>
            <w:tag w:val="_GBC_60d99a70431c4b868b6e953077cbfe88"/>
            <w:id w:val="393556565"/>
            <w:lock w:val="sdtLocked"/>
            <w:placeholder>
              <w:docPart w:val="GBC22222222222222222222222222222"/>
            </w:placeholder>
          </w:sdtPr>
          <w:sdtEndPr/>
          <w:sdtContent>
            <w:p w14:paraId="43FC863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B5FFF7" w14:textId="77777777" w:rsidR="00D21C1F" w:rsidRDefault="00045EC6">
          <w:pPr>
            <w:rPr>
              <w:rFonts w:cs="Times New Roman"/>
              <w:kern w:val="2"/>
              <w:szCs w:val="21"/>
            </w:rPr>
          </w:pPr>
        </w:p>
      </w:sdtContent>
    </w:sdt>
    <w:sdt>
      <w:sdtPr>
        <w:rPr>
          <w:rFonts w:ascii="宋体" w:eastAsia="宋体" w:hAnsi="宋体" w:cs="宋体" w:hint="eastAsia"/>
          <w:b w:val="0"/>
          <w:bCs w:val="0"/>
          <w:kern w:val="0"/>
          <w:szCs w:val="21"/>
        </w:rPr>
        <w:alias w:val="模块:使用权资产"/>
        <w:tag w:val="_SEC_90a021f24056469493c41c33bb5760c5"/>
        <w:id w:val="-1086683478"/>
        <w:lock w:val="sdtLocked"/>
        <w:placeholder>
          <w:docPart w:val="GBC22222222222222222222222222222"/>
        </w:placeholder>
      </w:sdtPr>
      <w:sdtEndPr>
        <w:rPr>
          <w:rFonts w:hint="default"/>
        </w:rPr>
      </w:sdtEndPr>
      <w:sdtContent>
        <w:p w14:paraId="6629769A" w14:textId="77777777" w:rsidR="00D21C1F" w:rsidRDefault="00A42880">
          <w:pPr>
            <w:pStyle w:val="94"/>
            <w:numPr>
              <w:ilvl w:val="0"/>
              <w:numId w:val="45"/>
            </w:numPr>
            <w:rPr>
              <w:rFonts w:ascii="宋体" w:hAnsi="宋体"/>
              <w:szCs w:val="21"/>
            </w:rPr>
          </w:pPr>
          <w:r>
            <w:rPr>
              <w:rFonts w:ascii="宋体" w:hAnsi="宋体" w:hint="eastAsia"/>
              <w:szCs w:val="21"/>
            </w:rPr>
            <w:t>使用权资产</w:t>
          </w:r>
        </w:p>
        <w:bookmarkStart w:id="155" w:name="_Hlk11675892" w:displacedByCustomXml="next"/>
        <w:sdt>
          <w:sdtPr>
            <w:rPr>
              <w:szCs w:val="21"/>
            </w:rPr>
            <w:alias w:val="是否适用：使用权资产_重要会计政策和估计[双击切换]"/>
            <w:tag w:val="_GBC_bbd2545b6bca43cea34e43a28caeae1a"/>
            <w:id w:val="-1441994390"/>
            <w:lock w:val="sdtLocked"/>
            <w:placeholder>
              <w:docPart w:val="GBC22222222222222222222222222222"/>
            </w:placeholder>
          </w:sdtPr>
          <w:sdtEndPr/>
          <w:sdtContent>
            <w:p w14:paraId="5FB7E3E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3bb46fd024784bf2b06e4f7d7b903751"/>
            <w:id w:val="-97025328"/>
            <w:lock w:val="sdtLocked"/>
            <w:placeholder>
              <w:docPart w:val="GBC22222222222222222222222222222"/>
            </w:placeholder>
          </w:sdtPr>
          <w:sdtEndPr/>
          <w:sdtContent>
            <w:p w14:paraId="2CAF460D" w14:textId="77777777" w:rsidR="00D21C1F" w:rsidRDefault="00A42880">
              <w:pPr>
                <w:rPr>
                  <w:szCs w:val="21"/>
                </w:rPr>
              </w:pPr>
              <w:r>
                <w:rPr>
                  <w:rFonts w:hint="eastAsia"/>
                  <w:szCs w:val="21"/>
                </w:rPr>
                <w:t>本公司对使用权资产的会计政策请参见附注五、</w:t>
              </w:r>
              <w:r>
                <w:rPr>
                  <w:rFonts w:ascii="Times New Roman" w:hAnsi="Times New Roman" w:hint="eastAsia"/>
                  <w:szCs w:val="21"/>
                </w:rPr>
                <w:t>4</w:t>
              </w:r>
              <w:r>
                <w:rPr>
                  <w:rFonts w:ascii="Times New Roman" w:hAnsi="Times New Roman"/>
                  <w:szCs w:val="21"/>
                </w:rPr>
                <w:t>2</w:t>
              </w:r>
              <w:r>
                <w:rPr>
                  <w:szCs w:val="21"/>
                </w:rPr>
                <w:t>.</w:t>
              </w:r>
              <w:r>
                <w:rPr>
                  <w:rFonts w:hint="eastAsia"/>
                  <w:szCs w:val="21"/>
                </w:rPr>
                <w:t>租赁。</w:t>
              </w:r>
            </w:p>
          </w:sdtContent>
        </w:sdt>
      </w:sdtContent>
    </w:sdt>
    <w:bookmarkEnd w:id="155"/>
    <w:p w14:paraId="5B1F237C" w14:textId="77777777" w:rsidR="00D21C1F" w:rsidRDefault="00D21C1F">
      <w:pPr>
        <w:rPr>
          <w:szCs w:val="21"/>
        </w:rPr>
      </w:pPr>
    </w:p>
    <w:sdt>
      <w:sdtPr>
        <w:rPr>
          <w:rFonts w:ascii="宋体" w:eastAsia="宋体" w:hAnsi="宋体" w:cs="宋体"/>
          <w:b w:val="0"/>
          <w:bCs w:val="0"/>
          <w:kern w:val="0"/>
          <w:szCs w:val="22"/>
        </w:rPr>
        <w:alias w:val="模块:无形资产会计处理方法"/>
        <w:tag w:val="_GBC_0a8b293ff9e94173b2e385f4ef2a8c89"/>
        <w:id w:val="-1331596648"/>
        <w:lock w:val="sdtLocked"/>
        <w:placeholder>
          <w:docPart w:val="GBC22222222222222222222222222222"/>
        </w:placeholder>
      </w:sdtPr>
      <w:sdtEndPr>
        <w:rPr>
          <w:rFonts w:cs="Times New Roman" w:hint="eastAsia"/>
          <w:kern w:val="2"/>
          <w:szCs w:val="21"/>
        </w:rPr>
      </w:sdtEndPr>
      <w:sdtContent>
        <w:p w14:paraId="54A11FD1" w14:textId="77777777" w:rsidR="00D21C1F" w:rsidRDefault="00A42880">
          <w:pPr>
            <w:pStyle w:val="94"/>
            <w:numPr>
              <w:ilvl w:val="0"/>
              <w:numId w:val="45"/>
            </w:numPr>
            <w:rPr>
              <w:rFonts w:ascii="宋体" w:hAnsi="宋体"/>
            </w:rPr>
          </w:pPr>
          <w:r>
            <w:rPr>
              <w:rFonts w:ascii="宋体" w:hAnsi="宋体"/>
            </w:rPr>
            <w:t>无形资产</w:t>
          </w:r>
        </w:p>
        <w:p w14:paraId="444E719D" w14:textId="77777777" w:rsidR="00D21C1F" w:rsidRDefault="00A42880">
          <w:pPr>
            <w:pStyle w:val="93"/>
            <w:numPr>
              <w:ilvl w:val="3"/>
              <w:numId w:val="60"/>
            </w:numPr>
            <w:tabs>
              <w:tab w:val="left" w:pos="448"/>
            </w:tabs>
            <w:rPr>
              <w:rFonts w:ascii="宋体" w:hAnsi="宋体"/>
            </w:rPr>
          </w:pPr>
          <w:r>
            <w:rPr>
              <w:rFonts w:ascii="宋体" w:hAnsi="宋体" w:hint="eastAsia"/>
            </w:rPr>
            <w:t>计价方法、使用寿命、减值测试</w:t>
          </w:r>
        </w:p>
        <w:sdt>
          <w:sdtPr>
            <w:rPr>
              <w:rFonts w:hint="eastAsia"/>
              <w:szCs w:val="21"/>
            </w:rPr>
            <w:alias w:val="是否适用：无形资产计价方法、使用寿命、减值测试[双击切换]"/>
            <w:tag w:val="_GBC_a82698fb1ffd4e75b46a9c35938b4cf4"/>
            <w:id w:val="-2049213524"/>
            <w:lock w:val="sdtLocked"/>
            <w:placeholder>
              <w:docPart w:val="GBC22222222222222222222222222222"/>
            </w:placeholder>
          </w:sdtPr>
          <w:sdtEndPr/>
          <w:sdtContent>
            <w:p w14:paraId="106961F7"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无形资产计价方法、使用寿命、减值测试"/>
            <w:tag w:val="_GBC_a9e64b18f452482eb6674ec605618dcc"/>
            <w:id w:val="-975824384"/>
            <w:lock w:val="sdtLocked"/>
            <w:placeholder>
              <w:docPart w:val="GBC22222222222222222222222222222"/>
            </w:placeholder>
          </w:sdtPr>
          <w:sdtEndPr/>
          <w:sdtContent>
            <w:p w14:paraId="35DFF09C" w14:textId="77777777" w:rsidR="00D21C1F" w:rsidRDefault="00A42880">
              <w:pPr>
                <w:pStyle w:val="120"/>
                <w:spacing w:line="360" w:lineRule="auto"/>
                <w:ind w:firstLineChars="200" w:firstLine="420"/>
                <w:jc w:val="both"/>
              </w:pPr>
              <w:r>
                <w:rPr>
                  <w:rFonts w:hint="eastAsia"/>
                </w:rPr>
                <w:t>按取得时的实际成本入账。</w:t>
              </w:r>
            </w:p>
            <w:p w14:paraId="6B1E6D22" w14:textId="77777777" w:rsidR="00D21C1F" w:rsidRDefault="00A42880">
              <w:pPr>
                <w:pStyle w:val="120"/>
                <w:widowControl w:val="0"/>
                <w:numPr>
                  <w:ilvl w:val="0"/>
                  <w:numId w:val="61"/>
                </w:numPr>
                <w:spacing w:line="360" w:lineRule="auto"/>
                <w:ind w:left="0" w:firstLineChars="200" w:firstLine="420"/>
                <w:jc w:val="both"/>
              </w:pPr>
              <w:r>
                <w:rPr>
                  <w:rFonts w:hint="eastAsia"/>
                </w:rPr>
                <w:t>使用寿命有限的无形资产的使用寿命估计情况：</w:t>
              </w:r>
            </w:p>
            <w:tbl>
              <w:tblPr>
                <w:tblStyle w:val="g5"/>
                <w:tblW w:w="8647" w:type="dxa"/>
                <w:jc w:val="center"/>
                <w:tblInd w:w="0" w:type="dxa"/>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2376"/>
                <w:gridCol w:w="1593"/>
                <w:gridCol w:w="4678"/>
              </w:tblGrid>
              <w:tr w:rsidR="00D21C1F" w14:paraId="0127D475" w14:textId="77777777">
                <w:trPr>
                  <w:trHeight w:val="397"/>
                  <w:jc w:val="center"/>
                </w:trPr>
                <w:tc>
                  <w:tcPr>
                    <w:tcW w:w="2376" w:type="dxa"/>
                    <w:tcBorders>
                      <w:top w:val="single" w:sz="8" w:space="0" w:color="auto"/>
                      <w:left w:val="nil"/>
                      <w:bottom w:val="single" w:sz="2" w:space="0" w:color="auto"/>
                      <w:right w:val="single" w:sz="2" w:space="0" w:color="auto"/>
                    </w:tcBorders>
                    <w:vAlign w:val="center"/>
                  </w:tcPr>
                  <w:p w14:paraId="094D90BD" w14:textId="77777777" w:rsidR="00D21C1F" w:rsidRDefault="00A42880">
                    <w:pPr>
                      <w:pStyle w:val="120"/>
                      <w:ind w:firstLine="200"/>
                      <w:jc w:val="both"/>
                    </w:pPr>
                    <w:bookmarkStart w:id="156" w:name="_Hlk69934466"/>
                    <w:r>
                      <w:rPr>
                        <w:rFonts w:hint="eastAsia"/>
                      </w:rPr>
                      <w:t>项目</w:t>
                    </w:r>
                    <w:bookmarkEnd w:id="156"/>
                  </w:p>
                </w:tc>
                <w:tc>
                  <w:tcPr>
                    <w:tcW w:w="1593" w:type="dxa"/>
                    <w:tcBorders>
                      <w:top w:val="single" w:sz="8" w:space="0" w:color="auto"/>
                      <w:left w:val="single" w:sz="2" w:space="0" w:color="auto"/>
                      <w:bottom w:val="single" w:sz="2" w:space="0" w:color="auto"/>
                      <w:right w:val="single" w:sz="2" w:space="0" w:color="auto"/>
                    </w:tcBorders>
                    <w:vAlign w:val="center"/>
                  </w:tcPr>
                  <w:p w14:paraId="7FB65EF9" w14:textId="77777777" w:rsidR="00D21C1F" w:rsidRDefault="00A42880">
                    <w:pPr>
                      <w:pStyle w:val="120"/>
                      <w:ind w:firstLine="200"/>
                      <w:jc w:val="both"/>
                    </w:pPr>
                    <w:r>
                      <w:rPr>
                        <w:rFonts w:hint="eastAsia"/>
                      </w:rPr>
                      <w:t>预计使用寿命</w:t>
                    </w:r>
                  </w:p>
                </w:tc>
                <w:tc>
                  <w:tcPr>
                    <w:tcW w:w="4678" w:type="dxa"/>
                    <w:tcBorders>
                      <w:top w:val="single" w:sz="8" w:space="0" w:color="auto"/>
                      <w:left w:val="single" w:sz="2" w:space="0" w:color="auto"/>
                      <w:bottom w:val="single" w:sz="2" w:space="0" w:color="auto"/>
                      <w:right w:val="nil"/>
                    </w:tcBorders>
                    <w:vAlign w:val="center"/>
                  </w:tcPr>
                  <w:p w14:paraId="12667F21" w14:textId="77777777" w:rsidR="00D21C1F" w:rsidRDefault="00A42880">
                    <w:pPr>
                      <w:pStyle w:val="120"/>
                      <w:ind w:firstLine="200"/>
                      <w:jc w:val="both"/>
                    </w:pPr>
                    <w:r>
                      <w:rPr>
                        <w:rFonts w:hint="eastAsia"/>
                      </w:rPr>
                      <w:t>依据</w:t>
                    </w:r>
                  </w:p>
                </w:tc>
              </w:tr>
              <w:tr w:rsidR="00D21C1F" w14:paraId="2C1AFFEC" w14:textId="77777777">
                <w:trPr>
                  <w:trHeight w:val="397"/>
                  <w:jc w:val="center"/>
                </w:trPr>
                <w:tc>
                  <w:tcPr>
                    <w:tcW w:w="2376" w:type="dxa"/>
                    <w:tcBorders>
                      <w:top w:val="single" w:sz="2" w:space="0" w:color="auto"/>
                      <w:left w:val="nil"/>
                      <w:bottom w:val="single" w:sz="2" w:space="0" w:color="auto"/>
                      <w:right w:val="single" w:sz="2" w:space="0" w:color="auto"/>
                    </w:tcBorders>
                    <w:vAlign w:val="center"/>
                  </w:tcPr>
                  <w:p w14:paraId="700E3A35" w14:textId="77777777" w:rsidR="00D21C1F" w:rsidRDefault="00A42880">
                    <w:pPr>
                      <w:pStyle w:val="120"/>
                      <w:ind w:firstLine="200"/>
                      <w:jc w:val="both"/>
                    </w:pPr>
                    <w:r>
                      <w:rPr>
                        <w:rFonts w:hint="eastAsia"/>
                      </w:rPr>
                      <w:t>土地使用权</w:t>
                    </w:r>
                  </w:p>
                </w:tc>
                <w:tc>
                  <w:tcPr>
                    <w:tcW w:w="1593" w:type="dxa"/>
                    <w:tcBorders>
                      <w:top w:val="single" w:sz="2" w:space="0" w:color="auto"/>
                      <w:left w:val="single" w:sz="2" w:space="0" w:color="auto"/>
                      <w:bottom w:val="single" w:sz="2" w:space="0" w:color="auto"/>
                      <w:right w:val="single" w:sz="2" w:space="0" w:color="auto"/>
                    </w:tcBorders>
                    <w:vAlign w:val="center"/>
                  </w:tcPr>
                  <w:p w14:paraId="6CDBFBD0" w14:textId="77777777" w:rsidR="00D21C1F" w:rsidRDefault="00A42880">
                    <w:pPr>
                      <w:pStyle w:val="120"/>
                      <w:ind w:firstLine="200"/>
                      <w:jc w:val="both"/>
                    </w:pPr>
                    <w:r>
                      <w:rPr>
                        <w:rFonts w:ascii="Times New Roman" w:hAnsi="Times New Roman" w:cs="宋体"/>
                      </w:rPr>
                      <w:t>50</w:t>
                    </w:r>
                    <w:r>
                      <w:rPr>
                        <w:rFonts w:hint="eastAsia"/>
                      </w:rPr>
                      <w:t>年</w:t>
                    </w:r>
                  </w:p>
                </w:tc>
                <w:tc>
                  <w:tcPr>
                    <w:tcW w:w="4678" w:type="dxa"/>
                    <w:tcBorders>
                      <w:top w:val="single" w:sz="2" w:space="0" w:color="auto"/>
                      <w:left w:val="single" w:sz="2" w:space="0" w:color="auto"/>
                      <w:bottom w:val="single" w:sz="2" w:space="0" w:color="auto"/>
                      <w:right w:val="nil"/>
                    </w:tcBorders>
                    <w:vAlign w:val="center"/>
                  </w:tcPr>
                  <w:p w14:paraId="4E5849FB" w14:textId="77777777" w:rsidR="00D21C1F" w:rsidRDefault="00A42880">
                    <w:pPr>
                      <w:pStyle w:val="120"/>
                      <w:ind w:firstLine="200"/>
                      <w:jc w:val="both"/>
                    </w:pPr>
                    <w:r>
                      <w:rPr>
                        <w:rFonts w:hint="eastAsia"/>
                      </w:rPr>
                      <w:t>法定使用权</w:t>
                    </w:r>
                  </w:p>
                </w:tc>
              </w:tr>
              <w:tr w:rsidR="00D21C1F" w14:paraId="6A2E38C8" w14:textId="77777777">
                <w:trPr>
                  <w:trHeight w:val="397"/>
                  <w:jc w:val="center"/>
                </w:trPr>
                <w:tc>
                  <w:tcPr>
                    <w:tcW w:w="2376" w:type="dxa"/>
                    <w:tcBorders>
                      <w:top w:val="single" w:sz="2" w:space="0" w:color="auto"/>
                      <w:left w:val="nil"/>
                      <w:bottom w:val="single" w:sz="2" w:space="0" w:color="auto"/>
                      <w:right w:val="single" w:sz="2" w:space="0" w:color="auto"/>
                    </w:tcBorders>
                    <w:vAlign w:val="center"/>
                  </w:tcPr>
                  <w:p w14:paraId="22D8BD21" w14:textId="77777777" w:rsidR="00D21C1F" w:rsidRDefault="00A42880">
                    <w:pPr>
                      <w:pStyle w:val="120"/>
                      <w:ind w:firstLine="200"/>
                      <w:jc w:val="both"/>
                    </w:pPr>
                    <w:r>
                      <w:rPr>
                        <w:rFonts w:hint="eastAsia"/>
                      </w:rPr>
                      <w:t>专利技术和非专利技术</w:t>
                    </w:r>
                  </w:p>
                </w:tc>
                <w:tc>
                  <w:tcPr>
                    <w:tcW w:w="1593" w:type="dxa"/>
                    <w:tcBorders>
                      <w:top w:val="single" w:sz="2" w:space="0" w:color="auto"/>
                      <w:left w:val="single" w:sz="2" w:space="0" w:color="auto"/>
                      <w:bottom w:val="single" w:sz="2" w:space="0" w:color="auto"/>
                      <w:right w:val="single" w:sz="2" w:space="0" w:color="auto"/>
                    </w:tcBorders>
                    <w:vAlign w:val="center"/>
                  </w:tcPr>
                  <w:p w14:paraId="6FDC5DE6" w14:textId="77777777" w:rsidR="00D21C1F" w:rsidRDefault="00A42880">
                    <w:pPr>
                      <w:pStyle w:val="120"/>
                      <w:ind w:firstLine="200"/>
                      <w:jc w:val="both"/>
                    </w:pPr>
                    <w:r>
                      <w:rPr>
                        <w:rFonts w:ascii="Times New Roman" w:hAnsi="Times New Roman" w:cs="宋体"/>
                      </w:rPr>
                      <w:t>5</w:t>
                    </w:r>
                    <w:r>
                      <w:rPr>
                        <w:rFonts w:hint="eastAsia"/>
                      </w:rPr>
                      <w:t>-</w:t>
                    </w:r>
                    <w:r>
                      <w:rPr>
                        <w:rFonts w:ascii="Times New Roman" w:hAnsi="Times New Roman" w:cs="宋体"/>
                      </w:rPr>
                      <w:t>11</w:t>
                    </w:r>
                    <w:r>
                      <w:rPr>
                        <w:rFonts w:hint="eastAsia"/>
                      </w:rPr>
                      <w:t>.</w:t>
                    </w:r>
                    <w:r>
                      <w:rPr>
                        <w:rFonts w:ascii="Times New Roman" w:hAnsi="Times New Roman" w:cs="宋体"/>
                      </w:rPr>
                      <w:t>25</w:t>
                    </w:r>
                    <w:r>
                      <w:rPr>
                        <w:rFonts w:hint="eastAsia"/>
                      </w:rPr>
                      <w:t>年</w:t>
                    </w:r>
                  </w:p>
                </w:tc>
                <w:tc>
                  <w:tcPr>
                    <w:tcW w:w="4678" w:type="dxa"/>
                    <w:tcBorders>
                      <w:top w:val="single" w:sz="2" w:space="0" w:color="auto"/>
                      <w:left w:val="single" w:sz="2" w:space="0" w:color="auto"/>
                      <w:bottom w:val="single" w:sz="2" w:space="0" w:color="auto"/>
                      <w:right w:val="nil"/>
                    </w:tcBorders>
                    <w:vAlign w:val="center"/>
                  </w:tcPr>
                  <w:p w14:paraId="740B2242" w14:textId="77777777" w:rsidR="00D21C1F" w:rsidRDefault="00A42880">
                    <w:pPr>
                      <w:pStyle w:val="120"/>
                      <w:ind w:firstLine="200"/>
                      <w:jc w:val="both"/>
                    </w:pPr>
                    <w:r>
                      <w:rPr>
                        <w:rFonts w:hint="eastAsia"/>
                      </w:rPr>
                      <w:t>参考能为公司带来经济利益的期限确定使用寿命</w:t>
                    </w:r>
                  </w:p>
                </w:tc>
              </w:tr>
              <w:tr w:rsidR="00D21C1F" w14:paraId="3DE951E3" w14:textId="77777777">
                <w:trPr>
                  <w:trHeight w:val="397"/>
                  <w:jc w:val="center"/>
                </w:trPr>
                <w:tc>
                  <w:tcPr>
                    <w:tcW w:w="2376" w:type="dxa"/>
                    <w:tcBorders>
                      <w:top w:val="single" w:sz="2" w:space="0" w:color="auto"/>
                      <w:left w:val="nil"/>
                      <w:bottom w:val="single" w:sz="2" w:space="0" w:color="auto"/>
                      <w:right w:val="single" w:sz="2" w:space="0" w:color="auto"/>
                    </w:tcBorders>
                    <w:vAlign w:val="center"/>
                  </w:tcPr>
                  <w:p w14:paraId="0A4545C6" w14:textId="77777777" w:rsidR="00D21C1F" w:rsidRDefault="00A42880">
                    <w:pPr>
                      <w:pStyle w:val="120"/>
                      <w:ind w:firstLine="200"/>
                      <w:jc w:val="both"/>
                    </w:pPr>
                    <w:r>
                      <w:rPr>
                        <w:rFonts w:hint="eastAsia"/>
                      </w:rPr>
                      <w:t>软件及其他</w:t>
                    </w:r>
                  </w:p>
                </w:tc>
                <w:tc>
                  <w:tcPr>
                    <w:tcW w:w="1593" w:type="dxa"/>
                    <w:tcBorders>
                      <w:top w:val="single" w:sz="2" w:space="0" w:color="auto"/>
                      <w:left w:val="single" w:sz="2" w:space="0" w:color="auto"/>
                      <w:bottom w:val="single" w:sz="2" w:space="0" w:color="auto"/>
                      <w:right w:val="single" w:sz="2" w:space="0" w:color="auto"/>
                    </w:tcBorders>
                    <w:vAlign w:val="center"/>
                  </w:tcPr>
                  <w:p w14:paraId="1E926CBC" w14:textId="77777777" w:rsidR="00D21C1F" w:rsidRDefault="00A42880">
                    <w:pPr>
                      <w:pStyle w:val="120"/>
                      <w:ind w:firstLine="200"/>
                      <w:jc w:val="both"/>
                    </w:pPr>
                    <w:r>
                      <w:rPr>
                        <w:rFonts w:ascii="Times New Roman" w:hAnsi="Times New Roman" w:cs="宋体"/>
                      </w:rPr>
                      <w:t>3</w:t>
                    </w:r>
                    <w:r>
                      <w:rPr>
                        <w:rFonts w:hint="eastAsia"/>
                      </w:rPr>
                      <w:t>-</w:t>
                    </w:r>
                    <w:r>
                      <w:rPr>
                        <w:rFonts w:ascii="Times New Roman" w:hAnsi="Times New Roman" w:cs="宋体"/>
                      </w:rPr>
                      <w:t>10</w:t>
                    </w:r>
                    <w:r>
                      <w:rPr>
                        <w:rFonts w:hint="eastAsia"/>
                      </w:rPr>
                      <w:t>年</w:t>
                    </w:r>
                  </w:p>
                </w:tc>
                <w:tc>
                  <w:tcPr>
                    <w:tcW w:w="4678" w:type="dxa"/>
                    <w:tcBorders>
                      <w:top w:val="single" w:sz="2" w:space="0" w:color="auto"/>
                      <w:left w:val="single" w:sz="2" w:space="0" w:color="auto"/>
                      <w:bottom w:val="single" w:sz="2" w:space="0" w:color="auto"/>
                      <w:right w:val="nil"/>
                    </w:tcBorders>
                    <w:vAlign w:val="center"/>
                  </w:tcPr>
                  <w:p w14:paraId="72623DCA" w14:textId="77777777" w:rsidR="00D21C1F" w:rsidRDefault="00A42880">
                    <w:pPr>
                      <w:pStyle w:val="120"/>
                      <w:ind w:firstLine="200"/>
                      <w:jc w:val="both"/>
                    </w:pPr>
                    <w:r>
                      <w:rPr>
                        <w:rFonts w:hint="eastAsia"/>
                      </w:rPr>
                      <w:t>参考能为公司带来经济利益的期限确定使用寿命</w:t>
                    </w:r>
                  </w:p>
                </w:tc>
              </w:tr>
              <w:tr w:rsidR="00D21C1F" w14:paraId="5A83BAD5" w14:textId="77777777">
                <w:trPr>
                  <w:trHeight w:val="397"/>
                  <w:jc w:val="center"/>
                </w:trPr>
                <w:tc>
                  <w:tcPr>
                    <w:tcW w:w="2376" w:type="dxa"/>
                    <w:tcBorders>
                      <w:top w:val="single" w:sz="2" w:space="0" w:color="auto"/>
                      <w:left w:val="nil"/>
                      <w:bottom w:val="single" w:sz="8" w:space="0" w:color="auto"/>
                      <w:right w:val="single" w:sz="2" w:space="0" w:color="auto"/>
                    </w:tcBorders>
                    <w:vAlign w:val="center"/>
                  </w:tcPr>
                  <w:p w14:paraId="3AF753B2" w14:textId="77777777" w:rsidR="00D21C1F" w:rsidRDefault="00A42880">
                    <w:pPr>
                      <w:pStyle w:val="120"/>
                      <w:ind w:firstLine="200"/>
                      <w:jc w:val="both"/>
                    </w:pPr>
                    <w:r>
                      <w:rPr>
                        <w:rFonts w:hint="eastAsia"/>
                      </w:rPr>
                      <w:t>客户关系</w:t>
                    </w:r>
                  </w:p>
                </w:tc>
                <w:tc>
                  <w:tcPr>
                    <w:tcW w:w="1593" w:type="dxa"/>
                    <w:tcBorders>
                      <w:top w:val="single" w:sz="2" w:space="0" w:color="auto"/>
                      <w:left w:val="single" w:sz="2" w:space="0" w:color="auto"/>
                      <w:bottom w:val="single" w:sz="8" w:space="0" w:color="auto"/>
                      <w:right w:val="single" w:sz="2" w:space="0" w:color="auto"/>
                    </w:tcBorders>
                    <w:vAlign w:val="center"/>
                  </w:tcPr>
                  <w:p w14:paraId="3D52B286" w14:textId="77777777" w:rsidR="00D21C1F" w:rsidRDefault="00A42880">
                    <w:pPr>
                      <w:pStyle w:val="120"/>
                      <w:ind w:firstLine="200"/>
                      <w:jc w:val="both"/>
                    </w:pPr>
                    <w:r>
                      <w:rPr>
                        <w:rFonts w:ascii="Times New Roman" w:hAnsi="Times New Roman" w:cs="宋体"/>
                      </w:rPr>
                      <w:t>16</w:t>
                    </w:r>
                    <w:r>
                      <w:rPr>
                        <w:rFonts w:hint="eastAsia"/>
                      </w:rPr>
                      <w:t>.</w:t>
                    </w:r>
                    <w:r>
                      <w:rPr>
                        <w:rFonts w:ascii="Times New Roman" w:hAnsi="Times New Roman" w:cs="宋体"/>
                      </w:rPr>
                      <w:t>84</w:t>
                    </w:r>
                    <w:r>
                      <w:rPr>
                        <w:rFonts w:hint="eastAsia"/>
                      </w:rPr>
                      <w:t>年</w:t>
                    </w:r>
                  </w:p>
                </w:tc>
                <w:tc>
                  <w:tcPr>
                    <w:tcW w:w="4678" w:type="dxa"/>
                    <w:tcBorders>
                      <w:top w:val="single" w:sz="2" w:space="0" w:color="auto"/>
                      <w:left w:val="single" w:sz="2" w:space="0" w:color="auto"/>
                      <w:bottom w:val="single" w:sz="8" w:space="0" w:color="auto"/>
                      <w:right w:val="nil"/>
                    </w:tcBorders>
                    <w:vAlign w:val="center"/>
                  </w:tcPr>
                  <w:p w14:paraId="289796DF" w14:textId="77777777" w:rsidR="00D21C1F" w:rsidRDefault="00A42880">
                    <w:pPr>
                      <w:pStyle w:val="120"/>
                      <w:ind w:firstLine="200"/>
                      <w:jc w:val="both"/>
                    </w:pPr>
                    <w:r>
                      <w:rPr>
                        <w:rFonts w:hint="eastAsia"/>
                      </w:rPr>
                      <w:t>参考能为公司带来经济利益的期限确定使用寿命</w:t>
                    </w:r>
                  </w:p>
                </w:tc>
              </w:tr>
            </w:tbl>
            <w:p w14:paraId="0AA364B5" w14:textId="77777777" w:rsidR="00D21C1F" w:rsidRDefault="00A42880">
              <w:pPr>
                <w:pStyle w:val="120"/>
                <w:spacing w:line="360" w:lineRule="auto"/>
                <w:ind w:firstLineChars="200" w:firstLine="420"/>
                <w:jc w:val="both"/>
              </w:pPr>
              <w:r>
                <w:rPr>
                  <w:rFonts w:hint="eastAsia"/>
                </w:rPr>
                <w:t>每年年度终了，公司对使用寿命有限的无形资产的使用寿命及摊销方法进行复核。经复核，本期末无形资产的使用寿命及摊销方法与以前估计未有不同。</w:t>
              </w:r>
            </w:p>
            <w:p w14:paraId="395B39BD" w14:textId="77777777" w:rsidR="00D21C1F" w:rsidRDefault="00A42880">
              <w:pPr>
                <w:pStyle w:val="120"/>
                <w:widowControl w:val="0"/>
                <w:numPr>
                  <w:ilvl w:val="0"/>
                  <w:numId w:val="61"/>
                </w:numPr>
                <w:spacing w:line="360" w:lineRule="auto"/>
                <w:ind w:left="0" w:firstLineChars="200" w:firstLine="420"/>
                <w:jc w:val="both"/>
              </w:pPr>
              <w:r>
                <w:rPr>
                  <w:rFonts w:hint="eastAsia"/>
                </w:rPr>
                <w:t>无法预见无形资产为企业带来经济利益期限的，视为使用寿命不确定的无形资产。对于使用寿命不确定的无形资产，公司在每年年度终了对使用寿命不确定的无形资产的使用寿命进行复核，如果重新复核后仍为不确定的，于资产负债表日进行减值测试。</w:t>
              </w:r>
            </w:p>
            <w:p w14:paraId="7BC2D429" w14:textId="77777777" w:rsidR="00D21C1F" w:rsidRDefault="00A42880">
              <w:pPr>
                <w:pStyle w:val="120"/>
                <w:widowControl w:val="0"/>
                <w:numPr>
                  <w:ilvl w:val="0"/>
                  <w:numId w:val="61"/>
                </w:numPr>
                <w:spacing w:line="360" w:lineRule="auto"/>
                <w:ind w:left="0" w:firstLineChars="200" w:firstLine="420"/>
                <w:jc w:val="both"/>
              </w:pPr>
              <w:r>
                <w:rPr>
                  <w:rFonts w:hint="eastAsia"/>
                </w:rPr>
                <w:t>无形资产的摊销</w:t>
              </w:r>
            </w:p>
            <w:p w14:paraId="7C521430" w14:textId="77777777" w:rsidR="00D21C1F" w:rsidRDefault="00A42880">
              <w:pPr>
                <w:pStyle w:val="120"/>
                <w:autoSpaceDE w:val="0"/>
                <w:autoSpaceDN w:val="0"/>
                <w:adjustRightInd w:val="0"/>
                <w:spacing w:line="360" w:lineRule="auto"/>
                <w:ind w:firstLineChars="200" w:firstLine="420"/>
                <w:jc w:val="both"/>
              </w:pPr>
              <w:r>
                <w:rPr>
                  <w:rFonts w:hint="eastAsia"/>
                </w:rPr>
                <w:t>对于使用寿命有限的无形资产，本公司在取得时判定其使用寿命，在使用寿命内采用直线法系统合理摊销，摊销金额按受益项目计入当期损益。具体应摊销金额为其成本扣除预计残值后的</w:t>
              </w:r>
              <w:r>
                <w:rPr>
                  <w:rFonts w:hint="eastAsia"/>
                </w:rPr>
                <w:lastRenderedPageBreak/>
                <w:t>金额。已计提减值准备的无形资产，还应扣除已计提的无形资产减值准备累计金额，残值为零。但下列情况除外：有第三方承诺在无形资产使用寿命结束时购买该无形资产或可以根据活跃市场得到预计残值信息，并且该市场在无形资产使用寿命结束时很可能存在。</w:t>
              </w:r>
            </w:p>
            <w:p w14:paraId="73DD79D5" w14:textId="77777777" w:rsidR="00D21C1F" w:rsidRDefault="00A42880">
              <w:pPr>
                <w:pStyle w:val="120"/>
                <w:spacing w:line="360" w:lineRule="auto"/>
                <w:ind w:firstLineChars="200" w:firstLine="420"/>
                <w:jc w:val="both"/>
              </w:pPr>
              <w:r>
                <w:rPr>
                  <w:rFonts w:hint="eastAsia"/>
                </w:rPr>
                <w:t>对使用寿命不确定的无形资产，不予摊销。每年年度终了对使用寿命不确定的无形资产的使用寿命进行复核，如果有证据表明无形资产的使用寿命是有限的，估计其使用寿命并在预计使用年限内系统合理摊销</w:t>
              </w:r>
            </w:p>
          </w:sdtContent>
        </w:sdt>
        <w:p w14:paraId="1297DF16" w14:textId="77777777" w:rsidR="00D21C1F" w:rsidRDefault="00D21C1F">
          <w:pPr>
            <w:rPr>
              <w:szCs w:val="21"/>
            </w:rPr>
          </w:pPr>
        </w:p>
        <w:p w14:paraId="67560876" w14:textId="77777777" w:rsidR="00D21C1F" w:rsidRDefault="00A42880">
          <w:pPr>
            <w:pStyle w:val="93"/>
            <w:numPr>
              <w:ilvl w:val="3"/>
              <w:numId w:val="60"/>
            </w:numPr>
            <w:tabs>
              <w:tab w:val="left" w:pos="448"/>
            </w:tabs>
            <w:rPr>
              <w:rFonts w:ascii="宋体" w:hAnsi="宋体"/>
            </w:rPr>
          </w:pPr>
          <w:r>
            <w:rPr>
              <w:rFonts w:ascii="宋体" w:hAnsi="宋体" w:hint="eastAsia"/>
            </w:rPr>
            <w:t>内部研究开发支出会计政策</w:t>
          </w:r>
        </w:p>
        <w:sdt>
          <w:sdtPr>
            <w:rPr>
              <w:rFonts w:hint="eastAsia"/>
              <w:szCs w:val="21"/>
            </w:rPr>
            <w:alias w:val="是否适用：无形资产内部研究开发支出会计政策[双击切换]"/>
            <w:tag w:val="_GBC_c3cef4c9f19749b8a53b7f49d3b7bac3"/>
            <w:id w:val="-1084842977"/>
            <w:lock w:val="sdtLocked"/>
            <w:placeholder>
              <w:docPart w:val="GBC22222222222222222222222222222"/>
            </w:placeholder>
          </w:sdtPr>
          <w:sdtEndPr/>
          <w:sdtContent>
            <w:p w14:paraId="6A8F7CEB"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无形资产内部研究、开发支出会计政策"/>
            <w:tag w:val="_GBC_af7b1338d88344dfb8cd34ed66bfe672"/>
            <w:id w:val="1637218676"/>
            <w:lock w:val="sdtLocked"/>
            <w:placeholder>
              <w:docPart w:val="6400F56DEEAD4270BD794C1DD7439495"/>
            </w:placeholder>
          </w:sdtPr>
          <w:sdtEndPr/>
          <w:sdtContent>
            <w:p w14:paraId="1DB82C59" w14:textId="77777777" w:rsidR="00D21C1F" w:rsidRDefault="00A42880">
              <w:pPr>
                <w:pStyle w:val="120"/>
                <w:widowControl w:val="0"/>
                <w:spacing w:line="360" w:lineRule="auto"/>
                <w:ind w:firstLineChars="200" w:firstLine="420"/>
                <w:jc w:val="both"/>
                <w:rPr>
                  <w:b/>
                  <w:bCs/>
                </w:rPr>
              </w:pPr>
              <w:r>
                <w:rPr>
                  <w:rFonts w:hint="eastAsia"/>
                  <w:b/>
                  <w:bCs/>
                </w:rPr>
                <w:t>划分内部研究开发项目的研究阶段和开发阶段具体标准</w:t>
              </w:r>
            </w:p>
            <w:p w14:paraId="3D8A182A" w14:textId="77777777" w:rsidR="00D21C1F" w:rsidRDefault="00A42880">
              <w:pPr>
                <w:pStyle w:val="120"/>
                <w:widowControl w:val="0"/>
                <w:numPr>
                  <w:ilvl w:val="0"/>
                  <w:numId w:val="62"/>
                </w:numPr>
                <w:autoSpaceDE w:val="0"/>
                <w:autoSpaceDN w:val="0"/>
                <w:adjustRightInd w:val="0"/>
                <w:spacing w:line="360" w:lineRule="auto"/>
                <w:ind w:left="0" w:firstLineChars="200" w:firstLine="420"/>
                <w:jc w:val="both"/>
              </w:pPr>
              <w:r>
                <w:rPr>
                  <w:rFonts w:hint="eastAsia"/>
                </w:rPr>
                <w:t>本公司将为进一步开发活动进行的资料及相关方面的准备活动作为研究阶段，无形资产研究阶段的支出在发生时计入当期损益。</w:t>
              </w:r>
            </w:p>
            <w:p w14:paraId="75CDE82F" w14:textId="77777777" w:rsidR="00D21C1F" w:rsidRDefault="00A42880">
              <w:pPr>
                <w:pStyle w:val="120"/>
                <w:widowControl w:val="0"/>
                <w:numPr>
                  <w:ilvl w:val="0"/>
                  <w:numId w:val="62"/>
                </w:numPr>
                <w:autoSpaceDE w:val="0"/>
                <w:autoSpaceDN w:val="0"/>
                <w:adjustRightInd w:val="0"/>
                <w:spacing w:line="360" w:lineRule="auto"/>
                <w:ind w:left="0" w:firstLineChars="200" w:firstLine="420"/>
                <w:jc w:val="both"/>
              </w:pPr>
              <w:r>
                <w:rPr>
                  <w:rFonts w:hint="eastAsia"/>
                </w:rPr>
                <w:t>在本公司已完成研究阶段的工作后再进行的开发活动作为开发阶段。</w:t>
              </w:r>
            </w:p>
            <w:p w14:paraId="7751469C" w14:textId="77777777" w:rsidR="00D21C1F" w:rsidRDefault="00A42880">
              <w:pPr>
                <w:pStyle w:val="120"/>
                <w:widowControl w:val="0"/>
                <w:spacing w:line="360" w:lineRule="auto"/>
                <w:ind w:firstLineChars="200" w:firstLine="422"/>
                <w:jc w:val="both"/>
                <w:rPr>
                  <w:b/>
                  <w:bCs/>
                </w:rPr>
              </w:pPr>
              <w:r>
                <w:rPr>
                  <w:rFonts w:hint="eastAsia"/>
                  <w:b/>
                  <w:bCs/>
                </w:rPr>
                <w:t>开发阶段支出资本化的具体条件</w:t>
              </w:r>
            </w:p>
            <w:p w14:paraId="040ED27A" w14:textId="77777777" w:rsidR="00D21C1F" w:rsidRDefault="00A42880">
              <w:pPr>
                <w:pStyle w:val="120"/>
                <w:autoSpaceDE w:val="0"/>
                <w:autoSpaceDN w:val="0"/>
                <w:adjustRightInd w:val="0"/>
                <w:spacing w:line="360" w:lineRule="auto"/>
                <w:ind w:firstLineChars="200" w:firstLine="420"/>
                <w:jc w:val="both"/>
              </w:pPr>
              <w:r>
                <w:rPr>
                  <w:rFonts w:hint="eastAsia"/>
                </w:rPr>
                <w:t>开发阶段的支出同时满足下列条件时，才能确认为无形资产：</w:t>
              </w:r>
            </w:p>
            <w:p w14:paraId="47AD32EA" w14:textId="77777777" w:rsidR="00D21C1F" w:rsidRDefault="00A42880">
              <w:pPr>
                <w:pStyle w:val="120"/>
                <w:widowControl w:val="0"/>
                <w:autoSpaceDE w:val="0"/>
                <w:autoSpaceDN w:val="0"/>
                <w:adjustRightInd w:val="0"/>
                <w:spacing w:line="360" w:lineRule="auto"/>
                <w:ind w:left="420"/>
                <w:jc w:val="both"/>
              </w:pPr>
              <w:r>
                <w:rPr>
                  <w:rFonts w:hint="eastAsia"/>
                </w:rPr>
                <w:t>完成该无形资产以使其能够使用或出售在技术上具有可行性；</w:t>
              </w:r>
            </w:p>
            <w:p w14:paraId="5A87155F" w14:textId="77777777" w:rsidR="00D21C1F" w:rsidRDefault="00A42880">
              <w:pPr>
                <w:pStyle w:val="120"/>
                <w:widowControl w:val="0"/>
                <w:numPr>
                  <w:ilvl w:val="3"/>
                  <w:numId w:val="63"/>
                </w:numPr>
                <w:autoSpaceDE w:val="0"/>
                <w:autoSpaceDN w:val="0"/>
                <w:adjustRightInd w:val="0"/>
                <w:spacing w:line="360" w:lineRule="auto"/>
                <w:ind w:left="0" w:firstLineChars="200" w:firstLine="420"/>
                <w:jc w:val="both"/>
              </w:pPr>
              <w:r>
                <w:rPr>
                  <w:rFonts w:hint="eastAsia"/>
                </w:rPr>
                <w:t>具有完成该无形资产并使用或出售的意图；</w:t>
              </w:r>
            </w:p>
            <w:p w14:paraId="0B4BB99A" w14:textId="77777777" w:rsidR="00D21C1F" w:rsidRDefault="00A42880">
              <w:pPr>
                <w:pStyle w:val="120"/>
                <w:widowControl w:val="0"/>
                <w:numPr>
                  <w:ilvl w:val="3"/>
                  <w:numId w:val="63"/>
                </w:numPr>
                <w:autoSpaceDE w:val="0"/>
                <w:autoSpaceDN w:val="0"/>
                <w:adjustRightInd w:val="0"/>
                <w:spacing w:line="360" w:lineRule="auto"/>
                <w:ind w:left="0" w:firstLineChars="200" w:firstLine="420"/>
                <w:jc w:val="both"/>
              </w:pPr>
              <w:r>
                <w:rPr>
                  <w:rFonts w:hint="eastAsia"/>
                </w:rPr>
                <w:t>无形资产产生经济利益的方式，包括能够证明运用该无形资产生产的产品存在市场或无形资产自身存在市场，无形资产将在内部使用的，能够证明其有用性；</w:t>
              </w:r>
            </w:p>
            <w:p w14:paraId="731C057C" w14:textId="77777777" w:rsidR="00D21C1F" w:rsidRDefault="00A42880">
              <w:pPr>
                <w:pStyle w:val="120"/>
                <w:widowControl w:val="0"/>
                <w:numPr>
                  <w:ilvl w:val="3"/>
                  <w:numId w:val="63"/>
                </w:numPr>
                <w:autoSpaceDE w:val="0"/>
                <w:autoSpaceDN w:val="0"/>
                <w:adjustRightInd w:val="0"/>
                <w:spacing w:line="360" w:lineRule="auto"/>
                <w:ind w:left="0" w:firstLineChars="200" w:firstLine="420"/>
                <w:jc w:val="both"/>
              </w:pPr>
              <w:r>
                <w:rPr>
                  <w:rFonts w:hint="eastAsia"/>
                </w:rPr>
                <w:t>有足够的技术、财务资源和其他资源支持，以完成该无形资产的开发，并有能力使用或出售该无形资产；</w:t>
              </w:r>
            </w:p>
            <w:p w14:paraId="150B5D43" w14:textId="77777777" w:rsidR="00D21C1F" w:rsidRDefault="00A42880">
              <w:pPr>
                <w:pStyle w:val="120"/>
                <w:widowControl w:val="0"/>
                <w:numPr>
                  <w:ilvl w:val="3"/>
                  <w:numId w:val="63"/>
                </w:numPr>
                <w:autoSpaceDE w:val="0"/>
                <w:autoSpaceDN w:val="0"/>
                <w:adjustRightInd w:val="0"/>
                <w:spacing w:line="360" w:lineRule="auto"/>
                <w:ind w:left="0" w:firstLineChars="200" w:firstLine="420"/>
                <w:jc w:val="both"/>
              </w:pPr>
              <w:r>
                <w:rPr>
                  <w:rFonts w:hint="eastAsia"/>
                </w:rPr>
                <w:t>归属于该无形资产开发阶段的支出能够可靠地计量。</w:t>
              </w:r>
            </w:p>
          </w:sdtContent>
        </w:sdt>
        <w:p w14:paraId="70058683" w14:textId="77777777" w:rsidR="00D21C1F" w:rsidRDefault="00045EC6">
          <w:pPr>
            <w:rPr>
              <w:szCs w:val="21"/>
            </w:rPr>
          </w:pPr>
        </w:p>
      </w:sdtContent>
    </w:sdt>
    <w:p w14:paraId="1F06521E" w14:textId="77777777" w:rsidR="00D21C1F" w:rsidRDefault="00D21C1F">
      <w:pPr>
        <w:rPr>
          <w:szCs w:val="21"/>
        </w:rPr>
      </w:pPr>
    </w:p>
    <w:bookmarkStart w:id="157" w:name="_Hlk44405424" w:displacedByCustomXml="next"/>
    <w:sdt>
      <w:sdtPr>
        <w:rPr>
          <w:rFonts w:ascii="宋体" w:hAnsi="宋体" w:cs="宋体" w:hint="eastAsia"/>
          <w:b w:val="0"/>
          <w:bCs w:val="0"/>
          <w:kern w:val="0"/>
          <w:szCs w:val="21"/>
        </w:rPr>
        <w:alias w:val="模块:长期资产减值"/>
        <w:tag w:val="_SEC_c11b0580b6b040ca9dbb882b383dfc03"/>
        <w:id w:val="1484662353"/>
        <w:lock w:val="sdtLocked"/>
        <w:placeholder>
          <w:docPart w:val="GBC22222222222222222222222222222"/>
        </w:placeholder>
      </w:sdtPr>
      <w:sdtEndPr>
        <w:rPr>
          <w:rFonts w:cs="Times New Roman"/>
        </w:rPr>
      </w:sdtEndPr>
      <w:sdtContent>
        <w:p w14:paraId="50890C8F" w14:textId="77777777" w:rsidR="00D21C1F" w:rsidRDefault="00A42880">
          <w:pPr>
            <w:pStyle w:val="94"/>
            <w:numPr>
              <w:ilvl w:val="0"/>
              <w:numId w:val="45"/>
            </w:numPr>
            <w:rPr>
              <w:rFonts w:ascii="宋体" w:hAnsi="宋体"/>
              <w:szCs w:val="21"/>
            </w:rPr>
          </w:pPr>
          <w:r>
            <w:rPr>
              <w:rFonts w:ascii="宋体" w:hAnsi="宋体" w:hint="eastAsia"/>
              <w:szCs w:val="21"/>
            </w:rPr>
            <w:t>长期资产减值</w:t>
          </w:r>
        </w:p>
        <w:sdt>
          <w:sdtPr>
            <w:rPr>
              <w:rFonts w:hint="eastAsia"/>
              <w:szCs w:val="21"/>
            </w:rPr>
            <w:alias w:val="是否适用：长期资产减值_重要会计政策和估计[双击切换]"/>
            <w:tag w:val="_GBC_d0feb744f96144ffa5335cd194c6cdf9"/>
            <w:id w:val="-2026474570"/>
            <w:lock w:val="sdtLocked"/>
            <w:placeholder>
              <w:docPart w:val="GBC22222222222222222222222222222"/>
            </w:placeholder>
          </w:sdtPr>
          <w:sdtEndPr/>
          <w:sdtContent>
            <w:p w14:paraId="34B3A49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非金融长期资产减值测试方法及会计处理方法"/>
            <w:tag w:val="_GBC_e8cb396d7101453b9e9cd1bc11b8633e"/>
            <w:id w:val="1440254243"/>
            <w:lock w:val="sdtLocked"/>
            <w:placeholder>
              <w:docPart w:val="GBC22222222222222222222222222222"/>
            </w:placeholder>
          </w:sdtPr>
          <w:sdtEndPr/>
          <w:sdtContent>
            <w:p w14:paraId="6ABEECA1" w14:textId="77777777" w:rsidR="00D21C1F" w:rsidRDefault="00A42880">
              <w:pPr>
                <w:pStyle w:val="120"/>
                <w:widowControl w:val="0"/>
                <w:spacing w:line="360" w:lineRule="auto"/>
                <w:ind w:firstLineChars="200" w:firstLine="420"/>
                <w:jc w:val="both"/>
                <w:rPr>
                  <w:b/>
                  <w:bCs/>
                </w:rPr>
              </w:pPr>
              <w:r>
                <w:rPr>
                  <w:rFonts w:hint="eastAsia"/>
                  <w:b/>
                  <w:bCs/>
                </w:rPr>
                <w:t>长期股权投资减值测试方法及会计处理方法</w:t>
              </w:r>
            </w:p>
            <w:p w14:paraId="3988D546" w14:textId="77777777" w:rsidR="00D21C1F" w:rsidRDefault="00A42880">
              <w:pPr>
                <w:pStyle w:val="120"/>
                <w:spacing w:line="360" w:lineRule="auto"/>
                <w:ind w:firstLineChars="200" w:firstLine="420"/>
                <w:jc w:val="both"/>
              </w:pPr>
              <w:r>
                <w:rPr>
                  <w:rFonts w:hint="eastAsia"/>
                </w:rPr>
                <w:t>本公司在资产负债表日对长期股权投资进行逐项检查，根据被投资单位经营政策、法律环境、市场需求、行业及盈利能力等的各种变化判断长期股权投资是否存在减值迹象。当长期股权投资可收回金额低于账面价值时，将可收回金额低于长期股权投资账面价值的差额作为长期股权投资减值准备予以计提。资产减值损失一经确认，在以后会计期间不再转回。</w:t>
              </w:r>
            </w:p>
            <w:p w14:paraId="516AB0C6" w14:textId="77777777" w:rsidR="00D21C1F" w:rsidRDefault="00A42880">
              <w:pPr>
                <w:pStyle w:val="120"/>
                <w:widowControl w:val="0"/>
                <w:spacing w:line="360" w:lineRule="auto"/>
                <w:ind w:firstLineChars="200" w:firstLine="422"/>
                <w:jc w:val="both"/>
                <w:rPr>
                  <w:b/>
                  <w:bCs/>
                </w:rPr>
              </w:pPr>
              <w:r>
                <w:rPr>
                  <w:rFonts w:hint="eastAsia"/>
                  <w:b/>
                  <w:bCs/>
                </w:rPr>
                <w:t>固定资产的减值测试方法及会计处理方法</w:t>
              </w:r>
            </w:p>
            <w:p w14:paraId="050C8DAD" w14:textId="77777777" w:rsidR="00D21C1F" w:rsidRDefault="00A42880">
              <w:pPr>
                <w:pStyle w:val="120"/>
                <w:spacing w:line="360" w:lineRule="auto"/>
                <w:ind w:firstLineChars="200" w:firstLine="420"/>
                <w:jc w:val="both"/>
              </w:pPr>
              <w:r>
                <w:rPr>
                  <w:rFonts w:hint="eastAsia"/>
                </w:rPr>
                <w:t>本公司在资产负债表日对各项固定资产进行判断，当存在减值迹象，估计可收回金额低于其账面价值时，账面价值减记至可收回金额，减记的金额确认为资产减值损失，计入当期损益，同时计提相应的资产减值准备。资产减值损失一经确认，在以后会计期间不再转回。当存在下列迹象的，按固定资产单项项目全额计提减值准备：</w:t>
              </w:r>
            </w:p>
            <w:p w14:paraId="4DA3CEFC" w14:textId="77777777" w:rsidR="00D21C1F" w:rsidRDefault="00A42880">
              <w:pPr>
                <w:pStyle w:val="120"/>
                <w:widowControl w:val="0"/>
                <w:numPr>
                  <w:ilvl w:val="0"/>
                  <w:numId w:val="64"/>
                </w:numPr>
                <w:spacing w:line="360" w:lineRule="auto"/>
                <w:ind w:left="0" w:firstLineChars="200" w:firstLine="420"/>
                <w:jc w:val="both"/>
              </w:pPr>
              <w:r>
                <w:rPr>
                  <w:rFonts w:hint="eastAsia"/>
                </w:rPr>
                <w:lastRenderedPageBreak/>
                <w:t>长期闲置不用，在可预见的未来不会再使用，且已无转让价值的固定资产；</w:t>
              </w:r>
            </w:p>
            <w:p w14:paraId="204868AC" w14:textId="77777777" w:rsidR="00D21C1F" w:rsidRDefault="00A42880">
              <w:pPr>
                <w:pStyle w:val="120"/>
                <w:widowControl w:val="0"/>
                <w:numPr>
                  <w:ilvl w:val="0"/>
                  <w:numId w:val="64"/>
                </w:numPr>
                <w:spacing w:line="360" w:lineRule="auto"/>
                <w:ind w:left="0" w:firstLineChars="200" w:firstLine="420"/>
                <w:jc w:val="both"/>
              </w:pPr>
              <w:r>
                <w:rPr>
                  <w:rFonts w:hint="eastAsia"/>
                </w:rPr>
                <w:t>由于技术进步等原因，已不可使用的固定资产；</w:t>
              </w:r>
            </w:p>
            <w:p w14:paraId="14E46122" w14:textId="77777777" w:rsidR="00D21C1F" w:rsidRDefault="00A42880">
              <w:pPr>
                <w:pStyle w:val="120"/>
                <w:widowControl w:val="0"/>
                <w:numPr>
                  <w:ilvl w:val="0"/>
                  <w:numId w:val="64"/>
                </w:numPr>
                <w:spacing w:line="360" w:lineRule="auto"/>
                <w:ind w:left="0" w:firstLineChars="200" w:firstLine="420"/>
                <w:jc w:val="both"/>
              </w:pPr>
              <w:r>
                <w:rPr>
                  <w:rFonts w:hint="eastAsia"/>
                </w:rPr>
                <w:t>虽然固定资产尚可使用，但使用后产生大量不合格品的固定资产；</w:t>
              </w:r>
            </w:p>
            <w:p w14:paraId="186F163E" w14:textId="77777777" w:rsidR="00D21C1F" w:rsidRDefault="00A42880">
              <w:pPr>
                <w:pStyle w:val="120"/>
                <w:widowControl w:val="0"/>
                <w:numPr>
                  <w:ilvl w:val="0"/>
                  <w:numId w:val="64"/>
                </w:numPr>
                <w:spacing w:line="360" w:lineRule="auto"/>
                <w:ind w:left="0" w:firstLineChars="200" w:firstLine="420"/>
                <w:jc w:val="both"/>
              </w:pPr>
              <w:r>
                <w:rPr>
                  <w:rFonts w:hint="eastAsia"/>
                </w:rPr>
                <w:t>已遭毁损，以至于不再具有使用价值和转让价值的固定资产；</w:t>
              </w:r>
            </w:p>
            <w:p w14:paraId="78B50789" w14:textId="77777777" w:rsidR="00D21C1F" w:rsidRDefault="00A42880">
              <w:pPr>
                <w:pStyle w:val="120"/>
                <w:widowControl w:val="0"/>
                <w:numPr>
                  <w:ilvl w:val="0"/>
                  <w:numId w:val="64"/>
                </w:numPr>
                <w:spacing w:line="360" w:lineRule="auto"/>
                <w:ind w:left="0" w:firstLineChars="200" w:firstLine="420"/>
                <w:jc w:val="both"/>
              </w:pPr>
              <w:r>
                <w:rPr>
                  <w:rFonts w:hint="eastAsia"/>
                </w:rPr>
                <w:t>其他实质上已经不能再给公司带来经济利益的固定资产。</w:t>
              </w:r>
            </w:p>
            <w:p w14:paraId="53EF09C1" w14:textId="77777777" w:rsidR="00D21C1F" w:rsidRDefault="00A42880">
              <w:pPr>
                <w:pStyle w:val="120"/>
                <w:widowControl w:val="0"/>
                <w:spacing w:line="360" w:lineRule="auto"/>
                <w:ind w:firstLineChars="200" w:firstLine="422"/>
                <w:jc w:val="both"/>
                <w:rPr>
                  <w:b/>
                  <w:bCs/>
                </w:rPr>
              </w:pPr>
              <w:r>
                <w:rPr>
                  <w:rFonts w:hint="eastAsia"/>
                  <w:b/>
                  <w:bCs/>
                </w:rPr>
                <w:t>在建工程减值测试方法及会计处理方法</w:t>
              </w:r>
            </w:p>
            <w:p w14:paraId="14561C0A" w14:textId="77777777" w:rsidR="00D21C1F" w:rsidRDefault="00A42880">
              <w:pPr>
                <w:pStyle w:val="120"/>
                <w:spacing w:line="360" w:lineRule="auto"/>
                <w:ind w:firstLineChars="200" w:firstLine="420"/>
                <w:jc w:val="both"/>
              </w:pPr>
              <w:r>
                <w:rPr>
                  <w:rFonts w:hint="eastAsia"/>
                </w:rPr>
                <w:t>本公司于资产负债表日对在建工程进行全面检查，如果有证据表明在建工程已经发生了减值，估计可收回金额低于其账面价值时，账面价值减记至可收回金额，减记的金额确认为资产减值损失，计入当期损益，同时计提相应的资产减值准备。资产减值损失一经确认，在以后会计期间不再转回。存在下列一项或若干项情况的，对在建工程进行减值测试：</w:t>
              </w:r>
            </w:p>
            <w:p w14:paraId="467E66D3" w14:textId="77777777" w:rsidR="00D21C1F" w:rsidRDefault="00A42880">
              <w:pPr>
                <w:pStyle w:val="120"/>
                <w:widowControl w:val="0"/>
                <w:numPr>
                  <w:ilvl w:val="0"/>
                  <w:numId w:val="65"/>
                </w:numPr>
                <w:spacing w:line="360" w:lineRule="auto"/>
                <w:ind w:left="0" w:firstLineChars="200" w:firstLine="420"/>
                <w:jc w:val="both"/>
              </w:pPr>
              <w:r>
                <w:rPr>
                  <w:rFonts w:hint="eastAsia"/>
                </w:rPr>
                <w:t>长期停建并且预计在未来</w:t>
              </w:r>
              <w:r>
                <w:rPr>
                  <w:rFonts w:ascii="Times New Roman" w:hAnsi="Times New Roman" w:cs="宋体"/>
                </w:rPr>
                <w:t>3</w:t>
              </w:r>
              <w:r>
                <w:rPr>
                  <w:rFonts w:hint="eastAsia"/>
                </w:rPr>
                <w:t>年内不会重新开工的在建工程；</w:t>
              </w:r>
            </w:p>
            <w:p w14:paraId="7A3B9985" w14:textId="77777777" w:rsidR="00D21C1F" w:rsidRDefault="00A42880">
              <w:pPr>
                <w:pStyle w:val="120"/>
                <w:widowControl w:val="0"/>
                <w:numPr>
                  <w:ilvl w:val="0"/>
                  <w:numId w:val="65"/>
                </w:numPr>
                <w:spacing w:line="360" w:lineRule="auto"/>
                <w:ind w:left="0" w:firstLineChars="200" w:firstLine="420"/>
                <w:jc w:val="both"/>
              </w:pPr>
              <w:r>
                <w:rPr>
                  <w:rFonts w:hint="eastAsia"/>
                </w:rPr>
                <w:t>所建项目无论在性能上，还是在技术上已经落后，并且给企业带来的经济利益具有很大的不确定性；</w:t>
              </w:r>
            </w:p>
            <w:p w14:paraId="5B7D8098" w14:textId="77777777" w:rsidR="00D21C1F" w:rsidRDefault="00A42880">
              <w:pPr>
                <w:pStyle w:val="120"/>
                <w:widowControl w:val="0"/>
                <w:numPr>
                  <w:ilvl w:val="0"/>
                  <w:numId w:val="65"/>
                </w:numPr>
                <w:spacing w:line="360" w:lineRule="auto"/>
                <w:ind w:left="0" w:firstLineChars="200" w:firstLine="420"/>
                <w:jc w:val="both"/>
              </w:pPr>
              <w:r>
                <w:rPr>
                  <w:rFonts w:hint="eastAsia"/>
                </w:rPr>
                <w:t>其他足以证明在建工程已经发生减值的情形。</w:t>
              </w:r>
            </w:p>
            <w:p w14:paraId="78BB3C07" w14:textId="77777777" w:rsidR="00D21C1F" w:rsidRDefault="00A42880">
              <w:pPr>
                <w:pStyle w:val="120"/>
                <w:widowControl w:val="0"/>
                <w:spacing w:line="360" w:lineRule="auto"/>
                <w:ind w:firstLineChars="200" w:firstLine="422"/>
                <w:jc w:val="both"/>
                <w:rPr>
                  <w:b/>
                  <w:bCs/>
                </w:rPr>
              </w:pPr>
              <w:r>
                <w:rPr>
                  <w:rFonts w:hint="eastAsia"/>
                  <w:b/>
                  <w:bCs/>
                </w:rPr>
                <w:t>无形资产减值测试方法及会计处理方法</w:t>
              </w:r>
            </w:p>
            <w:p w14:paraId="41FADF90" w14:textId="77777777" w:rsidR="00D21C1F" w:rsidRDefault="00A42880">
              <w:pPr>
                <w:pStyle w:val="120"/>
                <w:spacing w:line="360" w:lineRule="auto"/>
                <w:ind w:firstLineChars="200" w:firstLine="420"/>
                <w:jc w:val="both"/>
              </w:pPr>
              <w:r>
                <w:rPr>
                  <w:rFonts w:hint="eastAsia"/>
                </w:rPr>
                <w:t>当无形资产的可收回金额低于其账面价值时，将资产的账面价值减记至可收回金额，减记的金额确认为资产减值损失，计入当期损益，同时计提相应的无形资产减值准备。无形资产减值损失一经确认，在以后会计期间不再转回。存在下列一项或多项以下情况的，对无形资产进行减值测试：</w:t>
              </w:r>
            </w:p>
            <w:p w14:paraId="505F7D70" w14:textId="77777777" w:rsidR="00D21C1F" w:rsidRDefault="00A42880">
              <w:pPr>
                <w:pStyle w:val="120"/>
                <w:widowControl w:val="0"/>
                <w:numPr>
                  <w:ilvl w:val="0"/>
                  <w:numId w:val="66"/>
                </w:numPr>
                <w:spacing w:line="360" w:lineRule="auto"/>
                <w:ind w:left="0" w:firstLineChars="200" w:firstLine="420"/>
                <w:jc w:val="both"/>
              </w:pPr>
              <w:r>
                <w:rPr>
                  <w:rFonts w:hint="eastAsia"/>
                </w:rPr>
                <w:t>该无形资产已被其他新技术等所替代，使其为企业创造经济利益的能力受到重大不利影响；</w:t>
              </w:r>
            </w:p>
            <w:p w14:paraId="7A5C21A1" w14:textId="77777777" w:rsidR="00D21C1F" w:rsidRDefault="00A42880">
              <w:pPr>
                <w:pStyle w:val="120"/>
                <w:widowControl w:val="0"/>
                <w:numPr>
                  <w:ilvl w:val="0"/>
                  <w:numId w:val="66"/>
                </w:numPr>
                <w:spacing w:line="360" w:lineRule="auto"/>
                <w:ind w:left="0" w:firstLineChars="200" w:firstLine="420"/>
                <w:jc w:val="both"/>
              </w:pPr>
              <w:r>
                <w:rPr>
                  <w:rFonts w:hint="eastAsia"/>
                </w:rPr>
                <w:t>该无形资产的市价在当期大幅下跌，并在剩余年限内可能不会回升；</w:t>
              </w:r>
            </w:p>
            <w:p w14:paraId="3B830590" w14:textId="77777777" w:rsidR="00D21C1F" w:rsidRDefault="00A42880">
              <w:pPr>
                <w:pStyle w:val="120"/>
                <w:widowControl w:val="0"/>
                <w:numPr>
                  <w:ilvl w:val="0"/>
                  <w:numId w:val="66"/>
                </w:numPr>
                <w:spacing w:line="360" w:lineRule="auto"/>
                <w:ind w:left="0" w:firstLineChars="200" w:firstLine="420"/>
                <w:jc w:val="both"/>
              </w:pPr>
              <w:r>
                <w:rPr>
                  <w:rFonts w:hint="eastAsia"/>
                </w:rPr>
                <w:t>其他足以表明该无形资产的账面价值已超过可收回金额的情况。</w:t>
              </w:r>
            </w:p>
            <w:p w14:paraId="2C794AB1" w14:textId="77777777" w:rsidR="00D21C1F" w:rsidRDefault="00A42880">
              <w:pPr>
                <w:pStyle w:val="120"/>
                <w:widowControl w:val="0"/>
                <w:spacing w:line="360" w:lineRule="auto"/>
                <w:ind w:firstLineChars="200" w:firstLine="422"/>
                <w:jc w:val="both"/>
                <w:rPr>
                  <w:b/>
                  <w:bCs/>
                </w:rPr>
              </w:pPr>
              <w:r>
                <w:rPr>
                  <w:rFonts w:hint="eastAsia"/>
                  <w:b/>
                  <w:bCs/>
                </w:rPr>
                <w:t>商誉减值测试</w:t>
              </w:r>
            </w:p>
            <w:p w14:paraId="443338EC" w14:textId="77777777" w:rsidR="00D21C1F" w:rsidRDefault="00A42880">
              <w:pPr>
                <w:pStyle w:val="120"/>
                <w:spacing w:line="360" w:lineRule="auto"/>
                <w:ind w:firstLineChars="200" w:firstLine="420"/>
                <w:jc w:val="both"/>
              </w:pPr>
              <w:r>
                <w:rPr>
                  <w:rFonts w:hint="eastAsia"/>
                </w:rPr>
                <w:t>企业合并形成的商誉，至少在每年年度终了进行减值测试。本公司在对包含商誉的相关资产组或者资产组组合进行减值测试时，如与商誉相关的资产组或者资产组组合存在减值迹象的，按以下步骤处理：</w:t>
              </w:r>
            </w:p>
            <w:p w14:paraId="7C1BA0A7" w14:textId="77777777" w:rsidR="00D21C1F" w:rsidRDefault="00A42880">
              <w:pPr>
                <w:pStyle w:val="120"/>
                <w:spacing w:line="360" w:lineRule="auto"/>
                <w:ind w:firstLineChars="200" w:firstLine="420"/>
                <w:jc w:val="both"/>
              </w:pPr>
              <w:r>
                <w:rPr>
                  <w:rFonts w:hint="eastAsia"/>
                </w:rPr>
                <w:t>首先对不包含商誉的资产组或者资产组组合进行减值测试，计算可收回金额，并与相关资产账面价值比较，确认相应的减值损失；然后再对包含商誉的资产组或者资产组这组合进行减值测试，比较这些相关资产组或者资产组组合的账面价值（包括所分摊的商誉的账面价值部分）与其可收回金额，如相关资产组或者资产组组合的可收回金额低于其账面价值的，就其差额确认减值损失。减值损失金额首先抵减分摊至资产组或者资产组组合中商誉的账面价值；再根据资产组或者资产组组合中除商誉之外的其他各项资产的账面价值所占比重，按比例抵减其他各项资产的账面价值。</w:t>
              </w:r>
            </w:p>
          </w:sdtContent>
        </w:sdt>
      </w:sdtContent>
    </w:sdt>
    <w:bookmarkEnd w:id="157"/>
    <w:p w14:paraId="4AEF2E96" w14:textId="77777777" w:rsidR="00D21C1F" w:rsidRDefault="00D21C1F">
      <w:pPr>
        <w:rPr>
          <w:szCs w:val="21"/>
        </w:rPr>
      </w:pPr>
    </w:p>
    <w:sdt>
      <w:sdtPr>
        <w:rPr>
          <w:rFonts w:ascii="宋体" w:eastAsia="宋体" w:hAnsi="宋体" w:cs="宋体" w:hint="eastAsia"/>
          <w:b w:val="0"/>
          <w:bCs w:val="0"/>
          <w:kern w:val="0"/>
          <w:szCs w:val="21"/>
        </w:rPr>
        <w:alias w:val="模块:长期待摊费用"/>
        <w:tag w:val="_SEC_716e5dd4aef549d9b8815a4e1474e63d"/>
        <w:id w:val="2132360583"/>
        <w:lock w:val="sdtLocked"/>
        <w:placeholder>
          <w:docPart w:val="GBC22222222222222222222222222222"/>
        </w:placeholder>
      </w:sdtPr>
      <w:sdtEndPr/>
      <w:sdtContent>
        <w:p w14:paraId="54DB1D83" w14:textId="77777777" w:rsidR="00D21C1F" w:rsidRDefault="00A42880">
          <w:pPr>
            <w:pStyle w:val="94"/>
            <w:numPr>
              <w:ilvl w:val="0"/>
              <w:numId w:val="45"/>
            </w:numPr>
            <w:rPr>
              <w:rFonts w:ascii="宋体" w:hAnsi="宋体"/>
            </w:rPr>
          </w:pPr>
          <w:r>
            <w:rPr>
              <w:rFonts w:ascii="宋体" w:hAnsi="宋体"/>
            </w:rPr>
            <w:t>长期待摊费用</w:t>
          </w:r>
        </w:p>
        <w:sdt>
          <w:sdtPr>
            <w:rPr>
              <w:rFonts w:hint="eastAsia"/>
              <w:szCs w:val="21"/>
            </w:rPr>
            <w:alias w:val="是否适用：长期待摊费用_重要会计政策和估计[双击切换]"/>
            <w:tag w:val="_GBC_75739ccc62204f0490525060b33e330f"/>
            <w:id w:val="968781858"/>
            <w:lock w:val="sdtLocked"/>
            <w:placeholder>
              <w:docPart w:val="GBC22222222222222222222222222222"/>
            </w:placeholder>
          </w:sdtPr>
          <w:sdtEndPr/>
          <w:sdtContent>
            <w:p w14:paraId="75080F71"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开办费、长期待摊费用摊销方法"/>
            <w:tag w:val="_GBC_e4e695ce4aea4c878acb6f8ad7190139"/>
            <w:id w:val="855303777"/>
            <w:lock w:val="sdtLocked"/>
            <w:placeholder>
              <w:docPart w:val="GBC22222222222222222222222222222"/>
            </w:placeholder>
          </w:sdtPr>
          <w:sdtEndPr/>
          <w:sdtContent>
            <w:p w14:paraId="51454E9F" w14:textId="77777777" w:rsidR="00D21C1F" w:rsidRDefault="00A42880">
              <w:pPr>
                <w:pStyle w:val="120"/>
                <w:spacing w:line="360" w:lineRule="auto"/>
                <w:ind w:firstLineChars="200" w:firstLine="420"/>
                <w:jc w:val="both"/>
              </w:pPr>
              <w:r>
                <w:rPr>
                  <w:rFonts w:hint="eastAsia"/>
                </w:rPr>
                <w:t>长期待摊费用核算本公司已经发生但应由本期和以后各期负担的分摊期限在一年以上的各项费用。</w:t>
              </w:r>
            </w:p>
            <w:p w14:paraId="6AE60B3E" w14:textId="77777777" w:rsidR="00D21C1F" w:rsidRDefault="00A42880">
              <w:pPr>
                <w:pStyle w:val="120"/>
                <w:spacing w:line="360" w:lineRule="auto"/>
                <w:ind w:firstLineChars="200" w:firstLine="420"/>
                <w:jc w:val="both"/>
              </w:pPr>
              <w:r>
                <w:rPr>
                  <w:rFonts w:hint="eastAsia"/>
                </w:rPr>
                <w:t>本公司长期待摊费用在受益期内平均摊销，其中：经营租赁方式租入的固定资产改良支出，按最佳预期经济利益实现方式合理摊销。</w:t>
              </w:r>
            </w:p>
          </w:sdtContent>
        </w:sdt>
        <w:p w14:paraId="164A2F6E" w14:textId="77777777" w:rsidR="00D21C1F" w:rsidRDefault="00045EC6">
          <w:pPr>
            <w:rPr>
              <w:szCs w:val="21"/>
            </w:rPr>
          </w:pPr>
        </w:p>
      </w:sdtContent>
    </w:sdt>
    <w:bookmarkStart w:id="158" w:name="_Hlk10465482" w:displacedByCustomXml="next"/>
    <w:sdt>
      <w:sdtPr>
        <w:rPr>
          <w:rFonts w:ascii="宋体" w:hAnsi="宋体" w:cs="宋体" w:hint="eastAsia"/>
          <w:b w:val="0"/>
          <w:bCs w:val="0"/>
          <w:kern w:val="0"/>
          <w:szCs w:val="21"/>
        </w:rPr>
        <w:alias w:val="模块:合同负债"/>
        <w:tag w:val="_SEC_2988762bdf3a48178e0180a615cb7705"/>
        <w:id w:val="-1993932158"/>
        <w:lock w:val="sdtLocked"/>
        <w:placeholder>
          <w:docPart w:val="GBC22222222222222222222222222222"/>
        </w:placeholder>
      </w:sdtPr>
      <w:sdtEndPr>
        <w:rPr>
          <w:szCs w:val="24"/>
        </w:rPr>
      </w:sdtEndPr>
      <w:sdtContent>
        <w:p w14:paraId="370A43A3" w14:textId="77777777" w:rsidR="00D21C1F" w:rsidRDefault="00A42880">
          <w:pPr>
            <w:pStyle w:val="94"/>
            <w:numPr>
              <w:ilvl w:val="0"/>
              <w:numId w:val="45"/>
            </w:numPr>
            <w:rPr>
              <w:rFonts w:ascii="宋体" w:hAnsi="宋体"/>
              <w:szCs w:val="21"/>
            </w:rPr>
          </w:pPr>
          <w:r>
            <w:rPr>
              <w:rFonts w:ascii="宋体" w:hAnsi="宋体" w:hint="eastAsia"/>
              <w:szCs w:val="21"/>
            </w:rPr>
            <w:t>合同负债</w:t>
          </w:r>
        </w:p>
        <w:p w14:paraId="1FD1924B" w14:textId="77777777" w:rsidR="00D21C1F" w:rsidRDefault="00A42880">
          <w:pPr>
            <w:pStyle w:val="93"/>
            <w:rPr>
              <w:rFonts w:ascii="宋体" w:hAnsi="宋体"/>
            </w:rPr>
          </w:pPr>
          <w:r>
            <w:rPr>
              <w:rFonts w:ascii="宋体" w:hAnsi="宋体" w:hint="eastAsia"/>
            </w:rPr>
            <w:t>合同负债的确认方法</w:t>
          </w:r>
        </w:p>
        <w:sdt>
          <w:sdtPr>
            <w:rPr>
              <w:szCs w:val="21"/>
            </w:rPr>
            <w:alias w:val="是否适用：合同负债的确定方法、摊销方法和减值测试方法[双击切换]"/>
            <w:tag w:val="_GBC_f210968f2ea04a338a3253827b172c25"/>
            <w:id w:val="-1182581113"/>
            <w:lock w:val="sdtLocked"/>
            <w:placeholder>
              <w:docPart w:val="GBC22222222222222222222222222222"/>
            </w:placeholder>
          </w:sdtPr>
          <w:sdtEndPr/>
          <w:sdtContent>
            <w:p w14:paraId="45E60510"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负债的确定方法、摊销方法和减值测试方法"/>
            <w:tag w:val="_GBC_adbfb902bae348178906cb42c1932267"/>
            <w:id w:val="167532239"/>
            <w:lock w:val="sdtLocked"/>
            <w:placeholder>
              <w:docPart w:val="GBC22222222222222222222222222222"/>
            </w:placeholder>
          </w:sdtPr>
          <w:sdtEndPr/>
          <w:sdtContent>
            <w:p w14:paraId="245D0B09" w14:textId="77777777" w:rsidR="00D21C1F" w:rsidRDefault="00A42880">
              <w:pPr>
                <w:pStyle w:val="120"/>
                <w:adjustRightInd w:val="0"/>
                <w:spacing w:line="360" w:lineRule="auto"/>
                <w:ind w:firstLineChars="200" w:firstLine="420"/>
                <w:jc w:val="both"/>
              </w:pPr>
              <w:r>
                <w:rPr>
                  <w:rFonts w:hint="eastAsia"/>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14:paraId="207D120B" w14:textId="77777777" w:rsidR="00D21C1F" w:rsidRDefault="00A42880">
              <w:pPr>
                <w:pStyle w:val="120"/>
                <w:adjustRightInd w:val="0"/>
                <w:spacing w:line="360" w:lineRule="auto"/>
                <w:ind w:firstLineChars="200" w:firstLine="420"/>
                <w:jc w:val="both"/>
              </w:pPr>
              <w:r>
                <w:rPr>
                  <w:rFonts w:hint="eastAsia"/>
                </w:rPr>
                <w:t>本公司对合同资产的预期信用损失的确定方法及会计处理方法详见附注五、</w:t>
              </w:r>
              <w:r>
                <w:rPr>
                  <w:rFonts w:ascii="Times New Roman" w:hAnsi="Times New Roman" w:cs="宋体"/>
                </w:rPr>
                <w:t>10</w:t>
              </w:r>
              <w:r>
                <w:rPr>
                  <w:rFonts w:hint="eastAsia"/>
                </w:rPr>
                <w:t>。</w:t>
              </w:r>
            </w:p>
            <w:p w14:paraId="7929E531" w14:textId="77777777" w:rsidR="00D21C1F" w:rsidRDefault="00A42880">
              <w:pPr>
                <w:pStyle w:val="120"/>
                <w:adjustRightInd w:val="0"/>
                <w:spacing w:line="360" w:lineRule="auto"/>
                <w:ind w:firstLineChars="200" w:firstLine="420"/>
                <w:jc w:val="both"/>
              </w:pPr>
              <w:r>
                <w:rPr>
                  <w:rFonts w:hint="eastAsia"/>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p w14:paraId="574A87A7" w14:textId="77777777" w:rsidR="00D21C1F" w:rsidRDefault="00045EC6">
          <w:pPr>
            <w:pStyle w:val="97"/>
          </w:pPr>
        </w:p>
      </w:sdtContent>
    </w:sdt>
    <w:bookmarkEnd w:id="158" w:displacedByCustomXml="next"/>
    <w:sdt>
      <w:sdtPr>
        <w:rPr>
          <w:rFonts w:ascii="宋体" w:hAnsi="宋体" w:cstheme="minorBidi" w:hint="eastAsia"/>
          <w:b w:val="0"/>
          <w:bCs w:val="0"/>
          <w:kern w:val="0"/>
          <w:szCs w:val="22"/>
        </w:rPr>
        <w:alias w:val="模块:职工薪酬"/>
        <w:tag w:val="_GBC_8ec8855eb4d5447ab785e4bd4b0b73aa"/>
        <w:id w:val="-172964678"/>
        <w:lock w:val="sdtLocked"/>
        <w:placeholder>
          <w:docPart w:val="GBC22222222222222222222222222222"/>
        </w:placeholder>
      </w:sdtPr>
      <w:sdtEndPr>
        <w:rPr>
          <w:rFonts w:cs="Times New Roman"/>
          <w:szCs w:val="21"/>
        </w:rPr>
      </w:sdtEndPr>
      <w:sdtContent>
        <w:p w14:paraId="6142FF70" w14:textId="77777777" w:rsidR="00D21C1F" w:rsidRDefault="00A42880">
          <w:pPr>
            <w:pStyle w:val="94"/>
            <w:numPr>
              <w:ilvl w:val="0"/>
              <w:numId w:val="45"/>
            </w:numPr>
            <w:rPr>
              <w:rFonts w:ascii="宋体" w:hAnsi="宋体"/>
            </w:rPr>
          </w:pPr>
          <w:r>
            <w:rPr>
              <w:rFonts w:ascii="宋体" w:hAnsi="宋体" w:hint="eastAsia"/>
            </w:rPr>
            <w:t>职工薪酬</w:t>
          </w:r>
        </w:p>
        <w:p w14:paraId="624E497F" w14:textId="77777777" w:rsidR="00D21C1F" w:rsidRDefault="00A42880">
          <w:pPr>
            <w:pStyle w:val="93"/>
            <w:numPr>
              <w:ilvl w:val="0"/>
              <w:numId w:val="67"/>
            </w:numPr>
            <w:rPr>
              <w:rFonts w:ascii="宋体" w:hAnsi="宋体"/>
            </w:rPr>
          </w:pPr>
          <w:r>
            <w:rPr>
              <w:rFonts w:ascii="宋体" w:hAnsi="宋体" w:hint="eastAsia"/>
            </w:rPr>
            <w:t>短期薪酬的会计处理方法</w:t>
          </w:r>
        </w:p>
        <w:sdt>
          <w:sdtPr>
            <w:alias w:val="是否适用：短期薪酬的会计处理方法[双击切换]"/>
            <w:tag w:val="_GBC_eefed2a465e349b6a35598930bd9541d"/>
            <w:id w:val="1968929114"/>
            <w:lock w:val="sdtLocked"/>
            <w:placeholder>
              <w:docPart w:val="GBC22222222222222222222222222222"/>
            </w:placeholder>
          </w:sdtPr>
          <w:sdtEndPr/>
          <w:sdtContent>
            <w:p w14:paraId="706676D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短期薪酬的会计处理方法"/>
            <w:tag w:val="_GBC_8fdf44b194ac45fb945d36b9896df796"/>
            <w:id w:val="-873377624"/>
            <w:lock w:val="sdtLocked"/>
            <w:placeholder>
              <w:docPart w:val="GBC22222222222222222222222222222"/>
            </w:placeholder>
          </w:sdtPr>
          <w:sdtEndPr/>
          <w:sdtContent>
            <w:p w14:paraId="25EABB14" w14:textId="77777777" w:rsidR="00D21C1F" w:rsidRDefault="00A42880">
              <w:pPr>
                <w:pStyle w:val="120"/>
                <w:widowControl w:val="0"/>
                <w:numPr>
                  <w:ilvl w:val="0"/>
                  <w:numId w:val="68"/>
                </w:numPr>
                <w:spacing w:line="360" w:lineRule="auto"/>
                <w:ind w:left="0" w:firstLineChars="200" w:firstLine="420"/>
                <w:jc w:val="both"/>
              </w:pPr>
              <w:r>
                <w:rPr>
                  <w:rFonts w:hint="eastAsia"/>
                </w:rPr>
                <w:t>职工基本薪酬(工资、奖金、津贴、补贴)</w:t>
              </w:r>
            </w:p>
            <w:p w14:paraId="3917AA22" w14:textId="77777777" w:rsidR="00D21C1F" w:rsidRDefault="00A42880">
              <w:pPr>
                <w:pStyle w:val="120"/>
                <w:spacing w:line="360" w:lineRule="auto"/>
                <w:ind w:firstLineChars="200" w:firstLine="420"/>
                <w:jc w:val="both"/>
              </w:pPr>
              <w:r>
                <w:rPr>
                  <w:rFonts w:hint="eastAsia"/>
                </w:rPr>
                <w:t>本公司在职工为其提供服务的会计期间，将实际发生的短期薪酬确认为负债，并计入当期损益，其他会计准则要求或允许计入资产成本的除外。</w:t>
              </w:r>
            </w:p>
            <w:p w14:paraId="5BE6B936" w14:textId="77777777" w:rsidR="00D21C1F" w:rsidRDefault="00A42880">
              <w:pPr>
                <w:pStyle w:val="120"/>
                <w:widowControl w:val="0"/>
                <w:numPr>
                  <w:ilvl w:val="0"/>
                  <w:numId w:val="68"/>
                </w:numPr>
                <w:spacing w:line="360" w:lineRule="auto"/>
                <w:ind w:left="0" w:firstLineChars="200" w:firstLine="420"/>
                <w:jc w:val="both"/>
              </w:pPr>
              <w:r>
                <w:rPr>
                  <w:rFonts w:hint="eastAsia"/>
                </w:rPr>
                <w:t>职工福利费</w:t>
              </w:r>
            </w:p>
            <w:p w14:paraId="3D5C24CF" w14:textId="77777777" w:rsidR="00D21C1F" w:rsidRDefault="00A42880">
              <w:pPr>
                <w:pStyle w:val="120"/>
                <w:spacing w:line="360" w:lineRule="auto"/>
                <w:ind w:firstLineChars="200" w:firstLine="420"/>
                <w:jc w:val="both"/>
              </w:pPr>
              <w:r>
                <w:rPr>
                  <w:rFonts w:hint="eastAsia"/>
                </w:rPr>
                <w:t>本公司发生的职工福利费，在实际发生时根据实际发生额计入当期损益或相关资产成本。职工福利费为非货币性福利的，按照公允价值计量。</w:t>
              </w:r>
            </w:p>
            <w:p w14:paraId="12FCEB06" w14:textId="77777777" w:rsidR="00D21C1F" w:rsidRDefault="00A42880">
              <w:pPr>
                <w:pStyle w:val="120"/>
                <w:widowControl w:val="0"/>
                <w:numPr>
                  <w:ilvl w:val="0"/>
                  <w:numId w:val="68"/>
                </w:numPr>
                <w:spacing w:line="360" w:lineRule="auto"/>
                <w:ind w:left="0" w:firstLineChars="200" w:firstLine="420"/>
                <w:jc w:val="both"/>
              </w:pPr>
              <w:r>
                <w:rPr>
                  <w:rFonts w:hint="eastAsia"/>
                </w:rPr>
                <w:t>医疗保险费、工伤保险费、生育保险费等社会保险费和住房公积金，以及工会经费和职工教育经费。</w:t>
              </w:r>
            </w:p>
            <w:p w14:paraId="0BD10625" w14:textId="77777777" w:rsidR="00D21C1F" w:rsidRDefault="00A42880">
              <w:pPr>
                <w:pStyle w:val="120"/>
                <w:spacing w:line="360" w:lineRule="auto"/>
                <w:ind w:firstLineChars="200" w:firstLine="420"/>
                <w:jc w:val="both"/>
              </w:pPr>
              <w:r>
                <w:rPr>
                  <w:rFonts w:hint="eastAsia"/>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14:paraId="6CE57F6C" w14:textId="77777777" w:rsidR="00D21C1F" w:rsidRDefault="00A42880">
              <w:pPr>
                <w:pStyle w:val="120"/>
                <w:widowControl w:val="0"/>
                <w:numPr>
                  <w:ilvl w:val="0"/>
                  <w:numId w:val="68"/>
                </w:numPr>
                <w:spacing w:line="360" w:lineRule="auto"/>
                <w:ind w:left="0" w:firstLineChars="200" w:firstLine="420"/>
                <w:jc w:val="both"/>
              </w:pPr>
              <w:r>
                <w:rPr>
                  <w:rFonts w:hint="eastAsia"/>
                </w:rPr>
                <w:t>短期带薪缺勤</w:t>
              </w:r>
            </w:p>
            <w:p w14:paraId="3B56451A" w14:textId="77777777" w:rsidR="00D21C1F" w:rsidRDefault="00A42880">
              <w:pPr>
                <w:pStyle w:val="120"/>
                <w:spacing w:line="360" w:lineRule="auto"/>
                <w:ind w:firstLineChars="200" w:firstLine="420"/>
                <w:jc w:val="both"/>
              </w:pPr>
              <w:r>
                <w:rPr>
                  <w:rFonts w:hint="eastAsia"/>
                </w:rPr>
                <w:lastRenderedPageBreak/>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14:paraId="77A5BB74" w14:textId="77777777" w:rsidR="00D21C1F" w:rsidRDefault="00A42880">
              <w:pPr>
                <w:pStyle w:val="120"/>
                <w:widowControl w:val="0"/>
                <w:numPr>
                  <w:ilvl w:val="0"/>
                  <w:numId w:val="68"/>
                </w:numPr>
                <w:spacing w:line="360" w:lineRule="auto"/>
                <w:ind w:left="0" w:firstLineChars="200" w:firstLine="420"/>
                <w:jc w:val="both"/>
              </w:pPr>
              <w:r>
                <w:rPr>
                  <w:rFonts w:hint="eastAsia"/>
                </w:rPr>
                <w:t>短期利润分享计划</w:t>
              </w:r>
            </w:p>
            <w:p w14:paraId="2C153625" w14:textId="77777777" w:rsidR="00D21C1F" w:rsidRDefault="00A42880">
              <w:pPr>
                <w:pStyle w:val="120"/>
                <w:spacing w:line="360" w:lineRule="auto"/>
                <w:ind w:firstLineChars="200" w:firstLine="420"/>
                <w:jc w:val="both"/>
              </w:pPr>
              <w:r>
                <w:rPr>
                  <w:rFonts w:hint="eastAsia"/>
                </w:rPr>
                <w:t>利润分享计划同时满足下列条件的，本公司确认相关的应付职工薪酬：</w:t>
              </w:r>
            </w:p>
            <w:p w14:paraId="44CAFD96" w14:textId="77777777" w:rsidR="00D21C1F" w:rsidRDefault="00A42880">
              <w:pPr>
                <w:pStyle w:val="120"/>
                <w:widowControl w:val="0"/>
                <w:spacing w:line="360" w:lineRule="auto"/>
                <w:ind w:firstLineChars="200" w:firstLine="420"/>
                <w:jc w:val="both"/>
              </w:pPr>
              <w:r>
                <w:rPr>
                  <w:rFonts w:hint="eastAsia"/>
                </w:rPr>
                <w:t>企业因过去事项导致现在具有支付职工薪酬的法定义务或推定义务；</w:t>
              </w:r>
            </w:p>
            <w:p w14:paraId="3A6F3CA8" w14:textId="77777777" w:rsidR="00D21C1F" w:rsidRDefault="00A42880">
              <w:pPr>
                <w:pStyle w:val="120"/>
                <w:spacing w:line="360" w:lineRule="auto"/>
                <w:ind w:firstLineChars="200" w:firstLine="420"/>
                <w:jc w:val="both"/>
              </w:pPr>
              <w:r>
                <w:rPr>
                  <w:rFonts w:hint="eastAsia"/>
                </w:rPr>
                <w:t>因利润分享计划所产生的应付职工薪酬义务金额能够可靠估计。</w:t>
              </w:r>
            </w:p>
          </w:sdtContent>
        </w:sdt>
        <w:p w14:paraId="5876D8B7" w14:textId="77777777" w:rsidR="00D21C1F" w:rsidRDefault="00D21C1F">
          <w:pPr>
            <w:rPr>
              <w:szCs w:val="21"/>
            </w:rPr>
          </w:pPr>
        </w:p>
        <w:p w14:paraId="6264BC98" w14:textId="77777777" w:rsidR="00D21C1F" w:rsidRDefault="00A42880">
          <w:pPr>
            <w:pStyle w:val="93"/>
            <w:numPr>
              <w:ilvl w:val="0"/>
              <w:numId w:val="67"/>
            </w:numPr>
            <w:rPr>
              <w:rFonts w:ascii="宋体" w:hAnsi="宋体"/>
            </w:rPr>
          </w:pPr>
          <w:r>
            <w:rPr>
              <w:rFonts w:ascii="宋体" w:hAnsi="宋体" w:hint="eastAsia"/>
            </w:rPr>
            <w:t>离职后福利的会计处理方法</w:t>
          </w:r>
        </w:p>
        <w:sdt>
          <w:sdtPr>
            <w:rPr>
              <w:rFonts w:hint="eastAsia"/>
              <w:szCs w:val="21"/>
            </w:rPr>
            <w:alias w:val="是否适用：离职后福利的会计处理方法[双击切换]"/>
            <w:tag w:val="_GBC_35bbae299fda438d9e595058bbecbcdc"/>
            <w:id w:val="-1847623008"/>
            <w:lock w:val="sdtLocked"/>
            <w:placeholder>
              <w:docPart w:val="GBC22222222222222222222222222222"/>
            </w:placeholder>
          </w:sdtPr>
          <w:sdtEndPr/>
          <w:sdtContent>
            <w:p w14:paraId="4DA4046F"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离职后福利的会计处理方法"/>
            <w:tag w:val="_GBC_3b0bafa6ef784ba99c829e2f60cf828e"/>
            <w:id w:val="-1543594779"/>
            <w:lock w:val="sdtLocked"/>
            <w:placeholder>
              <w:docPart w:val="GBC22222222222222222222222222222"/>
            </w:placeholder>
          </w:sdtPr>
          <w:sdtEndPr/>
          <w:sdtContent>
            <w:p w14:paraId="284B01C6" w14:textId="77777777" w:rsidR="00D21C1F" w:rsidRDefault="00A42880">
              <w:pPr>
                <w:pStyle w:val="120"/>
                <w:widowControl w:val="0"/>
                <w:numPr>
                  <w:ilvl w:val="0"/>
                  <w:numId w:val="69"/>
                </w:numPr>
                <w:spacing w:line="360" w:lineRule="auto"/>
                <w:ind w:left="0" w:firstLineChars="200" w:firstLine="420"/>
                <w:jc w:val="both"/>
              </w:pPr>
              <w:r>
                <w:rPr>
                  <w:rFonts w:hint="eastAsia"/>
                </w:rPr>
                <w:t>设定提存计划</w:t>
              </w:r>
            </w:p>
            <w:p w14:paraId="608FCE89" w14:textId="77777777" w:rsidR="00D21C1F" w:rsidRDefault="00A42880">
              <w:pPr>
                <w:pStyle w:val="120"/>
                <w:spacing w:line="360" w:lineRule="auto"/>
                <w:ind w:firstLineChars="200" w:firstLine="420"/>
                <w:jc w:val="both"/>
              </w:pPr>
              <w:r>
                <w:rPr>
                  <w:rFonts w:hint="eastAsia"/>
                </w:rPr>
                <w:t>本公司在职工为其提供服务的会计期间，将根据设定提存计划计算的应缴存金额确认为负债，并计入当期损益或相关资产成本。</w:t>
              </w:r>
            </w:p>
            <w:p w14:paraId="07F35429" w14:textId="77777777" w:rsidR="00D21C1F" w:rsidRDefault="00A42880">
              <w:pPr>
                <w:pStyle w:val="120"/>
                <w:spacing w:line="360" w:lineRule="auto"/>
                <w:ind w:firstLineChars="200" w:firstLine="420"/>
                <w:jc w:val="both"/>
              </w:pPr>
              <w:r>
                <w:rPr>
                  <w:rFonts w:hint="eastAsia"/>
                </w:rPr>
                <w:t>根据设定提存计划，预期不会在职工提供相关服务的年度报告期结束后十二个月内支付全部应缴存金额的，本公司参照相应的折现率(根据资产负债表日与设定受益计划义务期限和币种相匹配的国债或活跃市场上的高质量公司债券的市场收益率确定)，将全部应缴存金额以折现后的金额计量应付职工薪酬。</w:t>
              </w:r>
            </w:p>
            <w:p w14:paraId="1CF05C13" w14:textId="77777777" w:rsidR="00D21C1F" w:rsidRDefault="00A42880">
              <w:pPr>
                <w:pStyle w:val="120"/>
                <w:widowControl w:val="0"/>
                <w:numPr>
                  <w:ilvl w:val="0"/>
                  <w:numId w:val="69"/>
                </w:numPr>
                <w:spacing w:line="360" w:lineRule="auto"/>
                <w:ind w:left="0" w:firstLineChars="200" w:firstLine="420"/>
                <w:jc w:val="both"/>
              </w:pPr>
              <w:r>
                <w:rPr>
                  <w:rFonts w:hint="eastAsia"/>
                </w:rPr>
                <w:t>设定受益计划</w:t>
              </w:r>
            </w:p>
            <w:p w14:paraId="4C08FAB3" w14:textId="77777777" w:rsidR="00D21C1F" w:rsidRDefault="00A42880">
              <w:pPr>
                <w:pStyle w:val="120"/>
                <w:widowControl w:val="0"/>
                <w:numPr>
                  <w:ilvl w:val="0"/>
                  <w:numId w:val="70"/>
                </w:numPr>
                <w:spacing w:line="360" w:lineRule="auto"/>
                <w:ind w:left="0" w:firstLineChars="200" w:firstLine="420"/>
                <w:jc w:val="both"/>
              </w:pPr>
              <w:r>
                <w:rPr>
                  <w:rFonts w:hint="eastAsia"/>
                </w:rPr>
                <w:t>确定设定受益计划义务的现值和当期服务成本</w:t>
              </w:r>
            </w:p>
            <w:p w14:paraId="0F868EE8" w14:textId="77777777" w:rsidR="00D21C1F" w:rsidRDefault="00A42880">
              <w:pPr>
                <w:pStyle w:val="120"/>
                <w:spacing w:line="360" w:lineRule="auto"/>
                <w:ind w:firstLineChars="200" w:firstLine="420"/>
                <w:jc w:val="both"/>
              </w:pPr>
              <w:r>
                <w:rPr>
                  <w:rFonts w:hint="eastAsia"/>
                </w:rPr>
                <w:t>根据预期累计福利单位法，采用无偏且相互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14:paraId="382500A5" w14:textId="77777777" w:rsidR="00D21C1F" w:rsidRDefault="00A42880">
              <w:pPr>
                <w:pStyle w:val="120"/>
                <w:widowControl w:val="0"/>
                <w:numPr>
                  <w:ilvl w:val="0"/>
                  <w:numId w:val="70"/>
                </w:numPr>
                <w:spacing w:line="360" w:lineRule="auto"/>
                <w:ind w:left="0" w:firstLineChars="200" w:firstLine="420"/>
                <w:jc w:val="both"/>
              </w:pPr>
              <w:r>
                <w:rPr>
                  <w:rFonts w:hint="eastAsia"/>
                </w:rPr>
                <w:t>确认设定受益计划净负债或净资产</w:t>
              </w:r>
            </w:p>
            <w:p w14:paraId="7E9693C7" w14:textId="77777777" w:rsidR="00D21C1F" w:rsidRDefault="00A42880">
              <w:pPr>
                <w:pStyle w:val="120"/>
                <w:spacing w:line="360" w:lineRule="auto"/>
                <w:ind w:firstLineChars="200" w:firstLine="420"/>
                <w:jc w:val="both"/>
              </w:pPr>
              <w:r>
                <w:rPr>
                  <w:rFonts w:hint="eastAsia"/>
                </w:rPr>
                <w:t>设定受益计划存在资产的，本公司将设定受益计划义务现值减去设定受益计划资产公允价值所形成的赤字或盈余确认为一项设定受益计划净负债或净资产。</w:t>
              </w:r>
            </w:p>
            <w:p w14:paraId="71B03153" w14:textId="77777777" w:rsidR="00D21C1F" w:rsidRDefault="00A42880">
              <w:pPr>
                <w:pStyle w:val="120"/>
                <w:spacing w:line="360" w:lineRule="auto"/>
                <w:ind w:firstLineChars="200" w:firstLine="420"/>
                <w:jc w:val="both"/>
              </w:pPr>
              <w:r>
                <w:rPr>
                  <w:rFonts w:hint="eastAsia"/>
                </w:rPr>
                <w:t>设定受益计划存在盈余的，本公司以设定受益计划的盈余和资产上限两项的孰低者计量设定受益计划净资产。</w:t>
              </w:r>
            </w:p>
            <w:p w14:paraId="0F613D0F" w14:textId="77777777" w:rsidR="00D21C1F" w:rsidRDefault="00A42880">
              <w:pPr>
                <w:pStyle w:val="120"/>
                <w:widowControl w:val="0"/>
                <w:numPr>
                  <w:ilvl w:val="0"/>
                  <w:numId w:val="70"/>
                </w:numPr>
                <w:spacing w:line="360" w:lineRule="auto"/>
                <w:ind w:left="0" w:firstLineChars="200" w:firstLine="420"/>
                <w:jc w:val="both"/>
              </w:pPr>
              <w:r>
                <w:rPr>
                  <w:rFonts w:hint="eastAsia"/>
                </w:rPr>
                <w:t>确定应计入资产成本或当期损益的金额</w:t>
              </w:r>
            </w:p>
            <w:p w14:paraId="20701E53" w14:textId="77777777" w:rsidR="00D21C1F" w:rsidRDefault="00A42880">
              <w:pPr>
                <w:pStyle w:val="120"/>
                <w:spacing w:line="360" w:lineRule="auto"/>
                <w:ind w:firstLineChars="200" w:firstLine="420"/>
                <w:jc w:val="both"/>
              </w:pPr>
              <w:r>
                <w:rPr>
                  <w:rFonts w:hint="eastAsia"/>
                </w:rPr>
                <w:t>服务成本，包括当期服务成本、过去服务成本和结算利得或损失。其中，除了其他会计准则要求或允许计入资产成本的当期服务成本之外，其他服务成本均计入当期损益。</w:t>
              </w:r>
            </w:p>
            <w:p w14:paraId="084820A3" w14:textId="77777777" w:rsidR="00D21C1F" w:rsidRDefault="00A42880">
              <w:pPr>
                <w:pStyle w:val="120"/>
                <w:spacing w:line="360" w:lineRule="auto"/>
                <w:ind w:firstLineChars="200" w:firstLine="420"/>
                <w:jc w:val="both"/>
              </w:pPr>
              <w:r>
                <w:rPr>
                  <w:rFonts w:hint="eastAsia"/>
                </w:rPr>
                <w:t>设定受益计划净负债或净资产的利息净额，包括计划资产的利息收益、设定受益计划义务的利息费用以及资产上限影响的利息，均计入当期损益。</w:t>
              </w:r>
            </w:p>
            <w:p w14:paraId="5218AF75" w14:textId="77777777" w:rsidR="00D21C1F" w:rsidRDefault="00A42880">
              <w:pPr>
                <w:pStyle w:val="120"/>
                <w:widowControl w:val="0"/>
                <w:numPr>
                  <w:ilvl w:val="0"/>
                  <w:numId w:val="70"/>
                </w:numPr>
                <w:spacing w:line="360" w:lineRule="auto"/>
                <w:ind w:left="0" w:firstLineChars="200" w:firstLine="420"/>
                <w:jc w:val="both"/>
              </w:pPr>
              <w:r>
                <w:rPr>
                  <w:rFonts w:hint="eastAsia"/>
                </w:rPr>
                <w:lastRenderedPageBreak/>
                <w:t>确定应计入其他综合收益的金额</w:t>
              </w:r>
            </w:p>
            <w:p w14:paraId="180FF5B8" w14:textId="77777777" w:rsidR="00D21C1F" w:rsidRDefault="00A42880">
              <w:pPr>
                <w:pStyle w:val="120"/>
                <w:spacing w:line="360" w:lineRule="auto"/>
                <w:ind w:firstLineChars="200" w:firstLine="420"/>
                <w:jc w:val="both"/>
              </w:pPr>
              <w:r>
                <w:rPr>
                  <w:rFonts w:hint="eastAsia"/>
                </w:rPr>
                <w:t>重新计量设定受益计划净负债或净资产所产生的变动，包括：</w:t>
              </w:r>
            </w:p>
            <w:p w14:paraId="375261FF" w14:textId="77777777" w:rsidR="00D21C1F" w:rsidRDefault="00A42880">
              <w:pPr>
                <w:pStyle w:val="120"/>
                <w:widowControl w:val="0"/>
                <w:numPr>
                  <w:ilvl w:val="1"/>
                  <w:numId w:val="71"/>
                </w:numPr>
                <w:spacing w:line="360" w:lineRule="auto"/>
                <w:ind w:left="0" w:firstLineChars="200" w:firstLine="420"/>
                <w:jc w:val="both"/>
              </w:pPr>
              <w:r>
                <w:rPr>
                  <w:rFonts w:hint="eastAsia"/>
                </w:rPr>
                <w:t>精算利得或损失，即由于精算假设和经验调整导致之前所计量的设定受益计划义务现值的增加或减少；</w:t>
              </w:r>
            </w:p>
            <w:p w14:paraId="6E86386B" w14:textId="77777777" w:rsidR="00D21C1F" w:rsidRDefault="00A42880">
              <w:pPr>
                <w:pStyle w:val="120"/>
                <w:widowControl w:val="0"/>
                <w:numPr>
                  <w:ilvl w:val="1"/>
                  <w:numId w:val="71"/>
                </w:numPr>
                <w:spacing w:line="360" w:lineRule="auto"/>
                <w:ind w:left="0" w:firstLineChars="200" w:firstLine="420"/>
                <w:jc w:val="both"/>
              </w:pPr>
              <w:r>
                <w:rPr>
                  <w:rFonts w:hint="eastAsia"/>
                </w:rPr>
                <w:t>计划资产回报，扣除包括在设定受益计划净负债或净资产的利息净额中的金额；</w:t>
              </w:r>
            </w:p>
            <w:p w14:paraId="2E2F5756" w14:textId="77777777" w:rsidR="00D21C1F" w:rsidRDefault="00A42880">
              <w:pPr>
                <w:pStyle w:val="120"/>
                <w:widowControl w:val="0"/>
                <w:numPr>
                  <w:ilvl w:val="1"/>
                  <w:numId w:val="71"/>
                </w:numPr>
                <w:spacing w:line="360" w:lineRule="auto"/>
                <w:ind w:left="0" w:firstLineChars="200" w:firstLine="420"/>
                <w:jc w:val="both"/>
              </w:pPr>
              <w:r>
                <w:rPr>
                  <w:rFonts w:hint="eastAsia"/>
                </w:rPr>
                <w:t>资产上限影响的变动，扣除包括在设定受益计划净负债或净资产的利息净额中的金额。</w:t>
              </w:r>
            </w:p>
            <w:p w14:paraId="69363876" w14:textId="77777777" w:rsidR="00D21C1F" w:rsidRDefault="00A42880">
              <w:pPr>
                <w:pStyle w:val="120"/>
                <w:spacing w:line="360" w:lineRule="auto"/>
                <w:ind w:firstLineChars="200" w:firstLine="420"/>
                <w:jc w:val="both"/>
              </w:pPr>
              <w:r>
                <w:rPr>
                  <w:rFonts w:hint="eastAsia"/>
                </w:rPr>
                <w:t>上述重新计量设定受益计划净负债或净资产所产生的变动直接计入其他综合收益,并且在后续会计期间不允许转回至损益，但本公司可以在权益范围内转移这些在其他综合收益中确认的金额。</w:t>
              </w:r>
            </w:p>
          </w:sdtContent>
        </w:sdt>
        <w:p w14:paraId="6020E5E0" w14:textId="77777777" w:rsidR="00D21C1F" w:rsidRDefault="00D21C1F">
          <w:pPr>
            <w:rPr>
              <w:szCs w:val="21"/>
            </w:rPr>
          </w:pPr>
        </w:p>
        <w:p w14:paraId="691FA880" w14:textId="77777777" w:rsidR="00D21C1F" w:rsidRDefault="00A42880">
          <w:pPr>
            <w:pStyle w:val="93"/>
            <w:numPr>
              <w:ilvl w:val="0"/>
              <w:numId w:val="67"/>
            </w:numPr>
            <w:rPr>
              <w:rFonts w:ascii="宋体" w:hAnsi="宋体"/>
            </w:rPr>
          </w:pPr>
          <w:r>
            <w:rPr>
              <w:rFonts w:ascii="宋体" w:hAnsi="宋体" w:hint="eastAsia"/>
            </w:rPr>
            <w:t>辞退福利的会计处理方法</w:t>
          </w:r>
        </w:p>
        <w:sdt>
          <w:sdtPr>
            <w:rPr>
              <w:rFonts w:hint="eastAsia"/>
              <w:szCs w:val="21"/>
            </w:rPr>
            <w:alias w:val="是否适用：辞退福利的会计处理方法[双击切换]"/>
            <w:tag w:val="_GBC_b6be1c30b6144d54b0e20b3cb9d3a691"/>
            <w:id w:val="1368255721"/>
            <w:lock w:val="sdtLocked"/>
            <w:placeholder>
              <w:docPart w:val="GBC22222222222222222222222222222"/>
            </w:placeholder>
          </w:sdtPr>
          <w:sdtEndPr/>
          <w:sdtContent>
            <w:p w14:paraId="7E902670"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辞退福利的会计处理方法"/>
            <w:tag w:val="_GBC_a93705fb60b24bceb25c88a68ed87432"/>
            <w:id w:val="270903162"/>
            <w:lock w:val="sdtLocked"/>
            <w:placeholder>
              <w:docPart w:val="GBC22222222222222222222222222222"/>
            </w:placeholder>
          </w:sdtPr>
          <w:sdtEndPr/>
          <w:sdtContent>
            <w:p w14:paraId="7B1FA51F" w14:textId="77777777" w:rsidR="00D21C1F" w:rsidRDefault="00A42880">
              <w:pPr>
                <w:pStyle w:val="120"/>
                <w:spacing w:line="360" w:lineRule="auto"/>
                <w:ind w:firstLineChars="200" w:firstLine="420"/>
                <w:jc w:val="both"/>
              </w:pPr>
              <w:r>
                <w:rPr>
                  <w:rFonts w:hint="eastAsia"/>
                </w:rPr>
                <w:t>本公司向职工提供辞退福利的，在下列两者孰早日确认辞退福利产生的职工薪酬负债，并计入当期损益：</w:t>
              </w:r>
            </w:p>
            <w:p w14:paraId="080EA202" w14:textId="77777777" w:rsidR="00D21C1F" w:rsidRDefault="00A42880">
              <w:pPr>
                <w:pStyle w:val="120"/>
                <w:widowControl w:val="0"/>
                <w:numPr>
                  <w:ilvl w:val="0"/>
                  <w:numId w:val="72"/>
                </w:numPr>
                <w:spacing w:line="360" w:lineRule="auto"/>
                <w:ind w:left="0" w:firstLineChars="200" w:firstLine="420"/>
                <w:jc w:val="both"/>
              </w:pPr>
              <w:r>
                <w:rPr>
                  <w:rFonts w:hint="eastAsia"/>
                </w:rPr>
                <w:t>企业不能单方面撤回因解除劳动关系计划或裁减建议所提供的辞退福利时；</w:t>
              </w:r>
            </w:p>
            <w:p w14:paraId="3469D110" w14:textId="77777777" w:rsidR="00D21C1F" w:rsidRDefault="00A42880">
              <w:pPr>
                <w:pStyle w:val="120"/>
                <w:widowControl w:val="0"/>
                <w:numPr>
                  <w:ilvl w:val="0"/>
                  <w:numId w:val="72"/>
                </w:numPr>
                <w:spacing w:line="360" w:lineRule="auto"/>
                <w:ind w:left="0" w:firstLineChars="200" w:firstLine="420"/>
                <w:jc w:val="both"/>
              </w:pPr>
              <w:r>
                <w:rPr>
                  <w:rFonts w:hint="eastAsia"/>
                </w:rPr>
                <w:t>企业确认与涉及支付辞退福利的重组相关的成本或费用时。</w:t>
              </w:r>
            </w:p>
            <w:p w14:paraId="5A861E57" w14:textId="77777777" w:rsidR="00D21C1F" w:rsidRDefault="00A42880">
              <w:pPr>
                <w:pStyle w:val="120"/>
                <w:spacing w:line="360" w:lineRule="auto"/>
                <w:ind w:firstLineChars="200" w:firstLine="420"/>
                <w:jc w:val="both"/>
              </w:pPr>
              <w:r>
                <w:rPr>
                  <w:rFonts w:hint="eastAsia"/>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p w14:paraId="6646CD0A" w14:textId="77777777" w:rsidR="00D21C1F" w:rsidRDefault="00D21C1F">
          <w:pPr>
            <w:rPr>
              <w:szCs w:val="21"/>
            </w:rPr>
          </w:pPr>
        </w:p>
        <w:p w14:paraId="4534E5E1" w14:textId="77777777" w:rsidR="00D21C1F" w:rsidRDefault="00A42880">
          <w:pPr>
            <w:pStyle w:val="93"/>
            <w:numPr>
              <w:ilvl w:val="0"/>
              <w:numId w:val="67"/>
            </w:numPr>
            <w:rPr>
              <w:rFonts w:ascii="宋体" w:hAnsi="宋体"/>
            </w:rPr>
          </w:pPr>
          <w:r>
            <w:rPr>
              <w:rFonts w:ascii="宋体" w:hAnsi="宋体" w:hint="eastAsia"/>
            </w:rPr>
            <w:t>其他长期职工福利的会计处理方法</w:t>
          </w:r>
        </w:p>
        <w:sdt>
          <w:sdtPr>
            <w:rPr>
              <w:rFonts w:hint="eastAsia"/>
              <w:szCs w:val="21"/>
            </w:rPr>
            <w:alias w:val="是否适用：其他长期职工福利的会计处理方法[双击切换]"/>
            <w:tag w:val="_GBC_6650f3bc6a474b318e05b9d60314cb7f"/>
            <w:id w:val="1720165886"/>
            <w:lock w:val="sdtLocked"/>
            <w:placeholder>
              <w:docPart w:val="GBC22222222222222222222222222222"/>
            </w:placeholder>
          </w:sdtPr>
          <w:sdtEndPr/>
          <w:sdtContent>
            <w:p w14:paraId="1963BC2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其他长期职工福利的会计处理方法"/>
            <w:tag w:val="_GBC_0e549e9400284de7b64ddf6ecc255dea"/>
            <w:id w:val="1561751979"/>
            <w:lock w:val="sdtLocked"/>
            <w:placeholder>
              <w:docPart w:val="GBC22222222222222222222222222222"/>
            </w:placeholder>
          </w:sdtPr>
          <w:sdtEndPr/>
          <w:sdtContent>
            <w:p w14:paraId="22354490" w14:textId="77777777" w:rsidR="00D21C1F" w:rsidRDefault="00A42880">
              <w:pPr>
                <w:pStyle w:val="120"/>
                <w:widowControl w:val="0"/>
                <w:numPr>
                  <w:ilvl w:val="0"/>
                  <w:numId w:val="73"/>
                </w:numPr>
                <w:spacing w:line="360" w:lineRule="auto"/>
                <w:ind w:left="0" w:firstLineChars="200" w:firstLine="420"/>
                <w:jc w:val="both"/>
              </w:pPr>
              <w:r>
                <w:rPr>
                  <w:rFonts w:hint="eastAsia"/>
                </w:rPr>
                <w:t>符合设定提存计划条件的</w:t>
              </w:r>
            </w:p>
            <w:p w14:paraId="7094047A" w14:textId="77777777" w:rsidR="00D21C1F" w:rsidRDefault="00A42880">
              <w:pPr>
                <w:pStyle w:val="120"/>
                <w:spacing w:line="360" w:lineRule="auto"/>
                <w:ind w:firstLineChars="200" w:firstLine="420"/>
                <w:jc w:val="both"/>
              </w:pPr>
              <w:r>
                <w:rPr>
                  <w:rFonts w:hint="eastAsia"/>
                </w:rPr>
                <w:t>本公司向职工提供的其他长期职工福利，符合设定提存计划条件的，将全部应缴存金额以折现后的金额计量应付职工薪酬。</w:t>
              </w:r>
            </w:p>
            <w:p w14:paraId="797CB70D" w14:textId="77777777" w:rsidR="00D21C1F" w:rsidRDefault="00A42880">
              <w:pPr>
                <w:pStyle w:val="120"/>
                <w:widowControl w:val="0"/>
                <w:numPr>
                  <w:ilvl w:val="0"/>
                  <w:numId w:val="73"/>
                </w:numPr>
                <w:spacing w:line="360" w:lineRule="auto"/>
                <w:ind w:left="0" w:firstLineChars="200" w:firstLine="420"/>
                <w:jc w:val="both"/>
              </w:pPr>
              <w:r>
                <w:rPr>
                  <w:rFonts w:hint="eastAsia"/>
                </w:rPr>
                <w:t>符合设定受益计划条件的</w:t>
              </w:r>
            </w:p>
            <w:p w14:paraId="40875BF1" w14:textId="77777777" w:rsidR="00D21C1F" w:rsidRDefault="00A42880">
              <w:pPr>
                <w:pStyle w:val="120"/>
                <w:spacing w:line="360" w:lineRule="auto"/>
                <w:ind w:firstLineChars="200" w:firstLine="420"/>
                <w:jc w:val="both"/>
              </w:pPr>
              <w:r>
                <w:rPr>
                  <w:rFonts w:hint="eastAsia"/>
                </w:rPr>
                <w:t>在报告期末，本公司将其他长期职工福利产生的职工薪酬成本确认为下列组成部分：</w:t>
              </w:r>
            </w:p>
            <w:p w14:paraId="23DF0DE2" w14:textId="77777777" w:rsidR="00D21C1F" w:rsidRDefault="00A42880">
              <w:pPr>
                <w:pStyle w:val="120"/>
                <w:widowControl w:val="0"/>
                <w:numPr>
                  <w:ilvl w:val="3"/>
                  <w:numId w:val="74"/>
                </w:numPr>
                <w:spacing w:line="360" w:lineRule="auto"/>
                <w:ind w:left="0" w:firstLineChars="200" w:firstLine="420"/>
                <w:jc w:val="both"/>
              </w:pPr>
              <w:r>
                <w:rPr>
                  <w:rFonts w:hint="eastAsia"/>
                </w:rPr>
                <w:t>服务成本；</w:t>
              </w:r>
            </w:p>
            <w:p w14:paraId="3F246F11" w14:textId="77777777" w:rsidR="00D21C1F" w:rsidRDefault="00A42880">
              <w:pPr>
                <w:pStyle w:val="120"/>
                <w:widowControl w:val="0"/>
                <w:numPr>
                  <w:ilvl w:val="3"/>
                  <w:numId w:val="74"/>
                </w:numPr>
                <w:spacing w:line="360" w:lineRule="auto"/>
                <w:ind w:left="0" w:firstLineChars="200" w:firstLine="420"/>
                <w:jc w:val="both"/>
              </w:pPr>
              <w:r>
                <w:rPr>
                  <w:rFonts w:hint="eastAsia"/>
                </w:rPr>
                <w:t>其他长期职工福利净负债或净资产的利息净额；</w:t>
              </w:r>
            </w:p>
            <w:p w14:paraId="73C5C274" w14:textId="77777777" w:rsidR="00D21C1F" w:rsidRDefault="00A42880">
              <w:pPr>
                <w:pStyle w:val="120"/>
                <w:widowControl w:val="0"/>
                <w:numPr>
                  <w:ilvl w:val="3"/>
                  <w:numId w:val="74"/>
                </w:numPr>
                <w:spacing w:line="360" w:lineRule="auto"/>
                <w:ind w:left="0" w:firstLineChars="200" w:firstLine="420"/>
                <w:jc w:val="both"/>
              </w:pPr>
              <w:r>
                <w:rPr>
                  <w:rFonts w:hint="eastAsia"/>
                </w:rPr>
                <w:t>重新计量其他长期职工福利净负债或净资产所产生的变动。</w:t>
              </w:r>
            </w:p>
            <w:p w14:paraId="04C1CFD5" w14:textId="77777777" w:rsidR="00D21C1F" w:rsidRDefault="00A42880">
              <w:pPr>
                <w:pStyle w:val="120"/>
                <w:spacing w:line="360" w:lineRule="auto"/>
                <w:ind w:firstLineChars="200" w:firstLine="420"/>
                <w:jc w:val="both"/>
              </w:pPr>
              <w:r>
                <w:rPr>
                  <w:rFonts w:hint="eastAsia"/>
                </w:rPr>
                <w:t>为简化相关会计处理，上述项目的总净额计入当期损益或相关资产成本。</w:t>
              </w:r>
            </w:p>
          </w:sdtContent>
        </w:sdt>
      </w:sdtContent>
    </w:sdt>
    <w:p w14:paraId="1A4EE33E" w14:textId="77777777" w:rsidR="00D21C1F" w:rsidRDefault="00D21C1F">
      <w:pPr>
        <w:rPr>
          <w:szCs w:val="21"/>
        </w:rPr>
      </w:pPr>
    </w:p>
    <w:sdt>
      <w:sdtPr>
        <w:rPr>
          <w:rFonts w:ascii="宋体" w:hAnsi="宋体" w:cs="宋体" w:hint="eastAsia"/>
          <w:b w:val="0"/>
          <w:bCs w:val="0"/>
          <w:kern w:val="0"/>
          <w:szCs w:val="21"/>
        </w:rPr>
        <w:alias w:val="模块:租赁负债"/>
        <w:tag w:val="_SEC_d8e7208bcd04489eb6a8b588ac7c08d7"/>
        <w:id w:val="-1805298365"/>
        <w:lock w:val="sdtLocked"/>
        <w:placeholder>
          <w:docPart w:val="GBC22222222222222222222222222222"/>
        </w:placeholder>
      </w:sdtPr>
      <w:sdtEndPr>
        <w:rPr>
          <w:szCs w:val="24"/>
        </w:rPr>
      </w:sdtEndPr>
      <w:sdtContent>
        <w:p w14:paraId="5F70723A" w14:textId="77777777" w:rsidR="00D21C1F" w:rsidRDefault="00A42880">
          <w:pPr>
            <w:pStyle w:val="94"/>
            <w:numPr>
              <w:ilvl w:val="0"/>
              <w:numId w:val="45"/>
            </w:numPr>
            <w:rPr>
              <w:rFonts w:ascii="宋体" w:hAnsi="宋体"/>
              <w:szCs w:val="21"/>
            </w:rPr>
          </w:pPr>
          <w:r>
            <w:rPr>
              <w:rFonts w:ascii="宋体" w:hAnsi="宋体" w:hint="eastAsia"/>
              <w:szCs w:val="21"/>
            </w:rPr>
            <w:t>租赁负债</w:t>
          </w:r>
        </w:p>
        <w:sdt>
          <w:sdtPr>
            <w:alias w:val="是否适用：租赁负债_重要会计政策和估计[双击切换]"/>
            <w:tag w:val="_GBC_34c8994db6c04aa0821b8100fc152679"/>
            <w:id w:val="-2003347442"/>
            <w:lock w:val="sdtLocked"/>
            <w:placeholder>
              <w:docPart w:val="GBC22222222222222222222222222222"/>
            </w:placeholder>
          </w:sdtPr>
          <w:sdtEndPr/>
          <w:sdtContent>
            <w:p w14:paraId="77DAF77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541BEC" w14:textId="77777777" w:rsidR="00D21C1F" w:rsidRDefault="00045EC6">
          <w:pPr>
            <w:pStyle w:val="97"/>
          </w:pPr>
          <w:sdt>
            <w:sdtPr>
              <w:rPr>
                <w:rFonts w:hint="eastAsia"/>
              </w:rPr>
              <w:alias w:val="租赁负债的核算方法"/>
              <w:tag w:val="_GBC_f93840fd38604e669d3682eeebba46a7"/>
              <w:id w:val="1831407786"/>
              <w:lock w:val="sdtLocked"/>
            </w:sdtPr>
            <w:sdtEndPr/>
            <w:sdtContent>
              <w:r w:rsidR="00A42880">
                <w:rPr>
                  <w:rFonts w:hint="eastAsia"/>
                </w:rPr>
                <w:t>本公司对租赁负债的会计政策请参见附注五、</w:t>
              </w:r>
              <w:r w:rsidR="00A42880">
                <w:rPr>
                  <w:rFonts w:ascii="Times New Roman" w:hAnsi="Times New Roman"/>
                </w:rPr>
                <w:t>42</w:t>
              </w:r>
              <w:r w:rsidR="00A42880">
                <w:t>.租赁。</w:t>
              </w:r>
            </w:sdtContent>
          </w:sdt>
        </w:p>
        <w:p w14:paraId="03BFED1A" w14:textId="77777777" w:rsidR="00D21C1F" w:rsidRDefault="00045EC6">
          <w:pPr>
            <w:pStyle w:val="97"/>
          </w:pPr>
        </w:p>
      </w:sdtContent>
    </w:sdt>
    <w:p w14:paraId="74F7B30B" w14:textId="77777777" w:rsidR="00D21C1F" w:rsidRDefault="00D21C1F">
      <w:pPr>
        <w:rPr>
          <w:szCs w:val="21"/>
        </w:rPr>
      </w:pPr>
    </w:p>
    <w:sdt>
      <w:sdtPr>
        <w:rPr>
          <w:rFonts w:ascii="宋体" w:hAnsi="宋体" w:cs="宋体"/>
          <w:b w:val="0"/>
          <w:bCs w:val="0"/>
          <w:kern w:val="0"/>
          <w:szCs w:val="24"/>
        </w:rPr>
        <w:alias w:val="模块:预计负债会计处理方法"/>
        <w:tag w:val="_GBC_b5b71a4d3cc1425c80f55e751e7e18c2"/>
        <w:id w:val="81107860"/>
        <w:lock w:val="sdtLocked"/>
        <w:placeholder>
          <w:docPart w:val="GBC22222222222222222222222222222"/>
        </w:placeholder>
      </w:sdtPr>
      <w:sdtEndPr>
        <w:rPr>
          <w:rFonts w:cs="Times New Roman" w:hint="eastAsia"/>
          <w:szCs w:val="21"/>
        </w:rPr>
      </w:sdtEndPr>
      <w:sdtContent>
        <w:p w14:paraId="5D9C9A77" w14:textId="77777777" w:rsidR="00D21C1F" w:rsidRDefault="00A42880">
          <w:pPr>
            <w:pStyle w:val="94"/>
            <w:numPr>
              <w:ilvl w:val="0"/>
              <w:numId w:val="45"/>
            </w:numPr>
            <w:rPr>
              <w:rFonts w:ascii="宋体" w:hAnsi="宋体"/>
            </w:rPr>
          </w:pPr>
          <w:r>
            <w:rPr>
              <w:rFonts w:ascii="宋体" w:hAnsi="宋体"/>
            </w:rPr>
            <w:t>预计负债</w:t>
          </w:r>
        </w:p>
        <w:sdt>
          <w:sdtPr>
            <w:rPr>
              <w:rFonts w:hint="eastAsia"/>
              <w:szCs w:val="21"/>
            </w:rPr>
            <w:alias w:val="是否适用：预计负债_重要会计政策和估计[双击切换]"/>
            <w:tag w:val="_GBC_60f7f598e5d5458986c0f06775dc38fd"/>
            <w:id w:val="965082136"/>
            <w:lock w:val="sdtLocked"/>
            <w:placeholder>
              <w:docPart w:val="GBC22222222222222222222222222222"/>
            </w:placeholder>
          </w:sdtPr>
          <w:sdtEndPr/>
          <w:sdtContent>
            <w:p w14:paraId="5BDEAF9B"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预计负债的核算方法"/>
            <w:tag w:val="_GBC_d6934772e41e485d9e00e349486f9d7e"/>
            <w:id w:val="-1721976079"/>
            <w:lock w:val="sdtLocked"/>
            <w:placeholder>
              <w:docPart w:val="GBC22222222222222222222222222222"/>
            </w:placeholder>
          </w:sdtPr>
          <w:sdtEndPr/>
          <w:sdtContent>
            <w:p w14:paraId="0903A820" w14:textId="77777777" w:rsidR="00D21C1F" w:rsidRDefault="00A42880">
              <w:pPr>
                <w:pStyle w:val="120"/>
                <w:widowControl w:val="0"/>
                <w:numPr>
                  <w:ilvl w:val="2"/>
                  <w:numId w:val="75"/>
                </w:numPr>
                <w:spacing w:line="360" w:lineRule="auto"/>
                <w:ind w:left="0" w:firstLineChars="200" w:firstLine="420"/>
                <w:jc w:val="both"/>
                <w:rPr>
                  <w:b/>
                  <w:bCs/>
                </w:rPr>
              </w:pPr>
              <w:r>
                <w:rPr>
                  <w:rFonts w:hint="eastAsia"/>
                  <w:b/>
                  <w:bCs/>
                </w:rPr>
                <w:t>预计负债的确认标准</w:t>
              </w:r>
            </w:p>
            <w:p w14:paraId="6C558CCB" w14:textId="77777777" w:rsidR="00D21C1F" w:rsidRDefault="00A42880">
              <w:pPr>
                <w:pStyle w:val="120"/>
                <w:spacing w:line="360" w:lineRule="auto"/>
                <w:ind w:firstLineChars="200" w:firstLine="420"/>
                <w:jc w:val="both"/>
              </w:pPr>
              <w:r>
                <w:rPr>
                  <w:rFonts w:hint="eastAsia"/>
                </w:rPr>
                <w:t>如果与或有事项相关的义务同时符合以下条件，本公司将其确认为预计负债：</w:t>
              </w:r>
            </w:p>
            <w:p w14:paraId="2907384A" w14:textId="77777777" w:rsidR="00D21C1F" w:rsidRDefault="00A42880">
              <w:pPr>
                <w:pStyle w:val="120"/>
                <w:widowControl w:val="0"/>
                <w:numPr>
                  <w:ilvl w:val="0"/>
                  <w:numId w:val="76"/>
                </w:numPr>
                <w:spacing w:line="360" w:lineRule="auto"/>
                <w:ind w:left="0" w:firstLineChars="200" w:firstLine="420"/>
                <w:jc w:val="both"/>
              </w:pPr>
              <w:r>
                <w:rPr>
                  <w:rFonts w:hint="eastAsia"/>
                </w:rPr>
                <w:t>该义务是本公司承担的现时义务；</w:t>
              </w:r>
            </w:p>
            <w:p w14:paraId="15074222" w14:textId="77777777" w:rsidR="00D21C1F" w:rsidRDefault="00A42880">
              <w:pPr>
                <w:pStyle w:val="120"/>
                <w:widowControl w:val="0"/>
                <w:numPr>
                  <w:ilvl w:val="0"/>
                  <w:numId w:val="76"/>
                </w:numPr>
                <w:spacing w:line="360" w:lineRule="auto"/>
                <w:ind w:left="0" w:firstLineChars="200" w:firstLine="420"/>
                <w:jc w:val="both"/>
              </w:pPr>
              <w:r>
                <w:rPr>
                  <w:rFonts w:hint="eastAsia"/>
                </w:rPr>
                <w:t>该义务的履行很可能导致经济利益流出本公司；</w:t>
              </w:r>
            </w:p>
            <w:p w14:paraId="5280BE42" w14:textId="77777777" w:rsidR="00D21C1F" w:rsidRDefault="00A42880">
              <w:pPr>
                <w:pStyle w:val="120"/>
                <w:widowControl w:val="0"/>
                <w:numPr>
                  <w:ilvl w:val="0"/>
                  <w:numId w:val="76"/>
                </w:numPr>
                <w:spacing w:line="360" w:lineRule="auto"/>
                <w:ind w:left="0" w:firstLineChars="200" w:firstLine="420"/>
                <w:jc w:val="both"/>
              </w:pPr>
              <w:r>
                <w:rPr>
                  <w:rFonts w:hint="eastAsia"/>
                </w:rPr>
                <w:t>该义务的金额能够可靠地计量。</w:t>
              </w:r>
            </w:p>
            <w:p w14:paraId="300FD4C0" w14:textId="77777777" w:rsidR="00D21C1F" w:rsidRDefault="00A42880">
              <w:pPr>
                <w:pStyle w:val="120"/>
                <w:widowControl w:val="0"/>
                <w:numPr>
                  <w:ilvl w:val="2"/>
                  <w:numId w:val="75"/>
                </w:numPr>
                <w:spacing w:line="360" w:lineRule="auto"/>
                <w:ind w:left="0" w:firstLineChars="200" w:firstLine="422"/>
                <w:jc w:val="both"/>
                <w:rPr>
                  <w:b/>
                  <w:bCs/>
                </w:rPr>
              </w:pPr>
              <w:r>
                <w:rPr>
                  <w:rFonts w:hint="eastAsia"/>
                  <w:b/>
                  <w:bCs/>
                </w:rPr>
                <w:t>预计负债的计量方法</w:t>
              </w:r>
            </w:p>
            <w:p w14:paraId="6A619D5E" w14:textId="77777777" w:rsidR="00D21C1F" w:rsidRDefault="00A42880">
              <w:pPr>
                <w:pStyle w:val="120"/>
                <w:spacing w:line="360" w:lineRule="auto"/>
                <w:ind w:firstLineChars="200" w:firstLine="420"/>
                <w:jc w:val="both"/>
              </w:pPr>
              <w:r>
                <w:rPr>
                  <w:rFonts w:hint="eastAsia"/>
                </w:rPr>
                <w:t>预计负债按照履行相关现时义务所需支出的最佳估计数进行初始计量，并综合考虑与或有事项有关的风险、不确定性和货币时间价值等因素。每个资产负债表日对预计负债的账面价值进行复核。有确凿证据表明该账面价值不能反映当前最佳估计数的，按照当前最佳估计数对该账面价值进行调整。</w:t>
              </w:r>
            </w:p>
            <w:p w14:paraId="3DDF1443" w14:textId="77777777" w:rsidR="00D21C1F" w:rsidRDefault="00A42880">
              <w:pPr>
                <w:pStyle w:val="120"/>
                <w:spacing w:line="360" w:lineRule="auto"/>
                <w:ind w:firstLineChars="200" w:firstLine="420"/>
                <w:jc w:val="both"/>
              </w:pPr>
              <w:r>
                <w:rPr>
                  <w:rFonts w:hint="eastAsia"/>
                </w:rPr>
                <w:t>①售后服务。针对工业机器人整机销售，公司在每个资产负债表日，对处于质保期内的项目，参考历史期间实际发生的售后服务费支出占相应期间销售金额的比率计提售后服务费。</w:t>
              </w:r>
            </w:p>
            <w:p w14:paraId="32192482" w14:textId="77777777" w:rsidR="00D21C1F" w:rsidRDefault="00A42880">
              <w:pPr>
                <w:pStyle w:val="120"/>
                <w:spacing w:line="360" w:lineRule="auto"/>
                <w:ind w:firstLineChars="200" w:firstLine="420"/>
                <w:jc w:val="both"/>
              </w:pPr>
              <w:r>
                <w:rPr>
                  <w:rFonts w:hint="eastAsia"/>
                </w:rPr>
                <w:t>②亏损合同。亏损合同是履行合同义务不可避免会发生的成本超过预期经济利益的合同。待执行合同变成亏损合同，且该亏损合同产生的义务满足上述预计负债的确认条件的，将合同预计损失超过合同标的资产已确认的减值损失（如有）的部分，确认为预计负债。</w:t>
              </w:r>
            </w:p>
          </w:sdtContent>
        </w:sdt>
      </w:sdtContent>
    </w:sdt>
    <w:p w14:paraId="099A64B9" w14:textId="77777777" w:rsidR="00D21C1F" w:rsidRDefault="00D21C1F">
      <w:pPr>
        <w:rPr>
          <w:szCs w:val="21"/>
        </w:rPr>
      </w:pPr>
    </w:p>
    <w:sdt>
      <w:sdtPr>
        <w:rPr>
          <w:rFonts w:ascii="宋体" w:hAnsi="宋体" w:cstheme="minorBidi" w:hint="eastAsia"/>
          <w:b w:val="0"/>
          <w:bCs w:val="0"/>
          <w:kern w:val="0"/>
          <w:szCs w:val="22"/>
        </w:rPr>
        <w:alias w:val="模块:股份支付"/>
        <w:tag w:val="_GBC_5300d3ce4b5f4c1690fe13bde0a610e3"/>
        <w:id w:val="1497459293"/>
        <w:lock w:val="sdtLocked"/>
        <w:placeholder>
          <w:docPart w:val="GBC22222222222222222222222222222"/>
        </w:placeholder>
      </w:sdtPr>
      <w:sdtEndPr>
        <w:rPr>
          <w:rFonts w:cs="Times New Roman"/>
          <w:szCs w:val="21"/>
        </w:rPr>
      </w:sdtEndPr>
      <w:sdtContent>
        <w:p w14:paraId="0316CA5A" w14:textId="77777777" w:rsidR="00D21C1F" w:rsidRDefault="00A42880">
          <w:pPr>
            <w:pStyle w:val="94"/>
            <w:numPr>
              <w:ilvl w:val="0"/>
              <w:numId w:val="45"/>
            </w:numPr>
            <w:rPr>
              <w:rFonts w:ascii="宋体" w:hAnsi="宋体"/>
            </w:rPr>
          </w:pPr>
          <w:r>
            <w:rPr>
              <w:rFonts w:ascii="宋体" w:hAnsi="宋体" w:hint="eastAsia"/>
            </w:rPr>
            <w:t>股份支付</w:t>
          </w:r>
        </w:p>
        <w:sdt>
          <w:sdtPr>
            <w:rPr>
              <w:rFonts w:hint="eastAsia"/>
              <w:szCs w:val="21"/>
            </w:rPr>
            <w:alias w:val="是否适用：股份支付_重要会计政策和估计[双击切换]"/>
            <w:tag w:val="_GBC_cfe00a6b35f24950855f2412f34bcf7a"/>
            <w:id w:val="-774937615"/>
            <w:lock w:val="sdtLocked"/>
            <w:placeholder>
              <w:docPart w:val="GBC22222222222222222222222222222"/>
            </w:placeholder>
          </w:sdtPr>
          <w:sdtEndPr/>
          <w:sdtContent>
            <w:p w14:paraId="1C5D9A91"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股份支付的核算方法"/>
            <w:tag w:val="_GBC_99e197c555ed4cf8aa00bbd5da2fe98b"/>
            <w:id w:val="2129741022"/>
            <w:lock w:val="sdtLocked"/>
            <w:placeholder>
              <w:docPart w:val="GBC22222222222222222222222222222"/>
            </w:placeholder>
          </w:sdtPr>
          <w:sdtEndPr/>
          <w:sdtContent>
            <w:p w14:paraId="4DFF652C" w14:textId="77777777" w:rsidR="00D21C1F" w:rsidRDefault="00A42880">
              <w:pPr>
                <w:pStyle w:val="120"/>
                <w:widowControl w:val="0"/>
                <w:numPr>
                  <w:ilvl w:val="2"/>
                  <w:numId w:val="77"/>
                </w:numPr>
                <w:spacing w:line="360" w:lineRule="auto"/>
                <w:ind w:left="0" w:firstLineChars="200" w:firstLine="420"/>
                <w:jc w:val="both"/>
                <w:rPr>
                  <w:b/>
                  <w:bCs/>
                </w:rPr>
              </w:pPr>
              <w:r>
                <w:rPr>
                  <w:rFonts w:hint="eastAsia"/>
                  <w:b/>
                  <w:bCs/>
                </w:rPr>
                <w:t>股份支付的种类</w:t>
              </w:r>
            </w:p>
            <w:p w14:paraId="59D9382D" w14:textId="77777777" w:rsidR="00D21C1F" w:rsidRDefault="00A42880">
              <w:pPr>
                <w:pStyle w:val="120"/>
                <w:spacing w:line="360" w:lineRule="auto"/>
                <w:ind w:firstLineChars="200" w:firstLine="420"/>
                <w:jc w:val="both"/>
              </w:pPr>
              <w:r>
                <w:rPr>
                  <w:rFonts w:hint="eastAsia"/>
                </w:rPr>
                <w:t>本公司股份支付包括以现金结算的股份支付和以权益结算的股份支付。</w:t>
              </w:r>
            </w:p>
            <w:p w14:paraId="7D4D0577" w14:textId="77777777" w:rsidR="00D21C1F" w:rsidRDefault="00A42880">
              <w:pPr>
                <w:pStyle w:val="120"/>
                <w:widowControl w:val="0"/>
                <w:numPr>
                  <w:ilvl w:val="2"/>
                  <w:numId w:val="77"/>
                </w:numPr>
                <w:spacing w:line="360" w:lineRule="auto"/>
                <w:ind w:left="0" w:firstLineChars="200" w:firstLine="422"/>
                <w:jc w:val="both"/>
                <w:rPr>
                  <w:b/>
                  <w:bCs/>
                </w:rPr>
              </w:pPr>
              <w:r>
                <w:rPr>
                  <w:rFonts w:hint="eastAsia"/>
                  <w:b/>
                  <w:bCs/>
                </w:rPr>
                <w:t>权益工具公允价值的确定方法</w:t>
              </w:r>
            </w:p>
            <w:p w14:paraId="0ED78E62" w14:textId="77777777" w:rsidR="00D21C1F" w:rsidRDefault="00A42880">
              <w:pPr>
                <w:pStyle w:val="120"/>
                <w:widowControl w:val="0"/>
                <w:numPr>
                  <w:ilvl w:val="0"/>
                  <w:numId w:val="78"/>
                </w:numPr>
                <w:spacing w:line="360" w:lineRule="auto"/>
                <w:ind w:left="0" w:firstLineChars="200" w:firstLine="420"/>
                <w:jc w:val="both"/>
              </w:pPr>
              <w:r>
                <w:rPr>
                  <w:rFonts w:hint="eastAsia"/>
                </w:rPr>
                <w:t>对于授予职工的股份，其公允价值按公司股份的市场价格计量，同时考虑授予股份所依据的条款和条件(不包括市场条件之外的可行权条件)进行调整。</w:t>
              </w:r>
            </w:p>
            <w:p w14:paraId="7E7E0BA8" w14:textId="77777777" w:rsidR="00D21C1F" w:rsidRDefault="00A42880">
              <w:pPr>
                <w:pStyle w:val="120"/>
                <w:widowControl w:val="0"/>
                <w:numPr>
                  <w:ilvl w:val="0"/>
                  <w:numId w:val="78"/>
                </w:numPr>
                <w:spacing w:line="360" w:lineRule="auto"/>
                <w:ind w:left="0" w:firstLineChars="200" w:firstLine="420"/>
                <w:jc w:val="both"/>
              </w:pPr>
              <w:r>
                <w:rPr>
                  <w:rFonts w:hint="eastAsia"/>
                </w:rPr>
                <w:t>对于授予职工的股票期权，在许多情况下难以获得其市场价格。如果不存在条款和条件相似的交易期权，公司选择适用的期权定价模型估计所授予的期权的公允价值。</w:t>
              </w:r>
            </w:p>
            <w:p w14:paraId="449225DD" w14:textId="77777777" w:rsidR="00D21C1F" w:rsidRDefault="00A42880">
              <w:pPr>
                <w:pStyle w:val="120"/>
                <w:widowControl w:val="0"/>
                <w:numPr>
                  <w:ilvl w:val="2"/>
                  <w:numId w:val="77"/>
                </w:numPr>
                <w:spacing w:line="360" w:lineRule="auto"/>
                <w:jc w:val="both"/>
                <w:rPr>
                  <w:b/>
                  <w:bCs/>
                </w:rPr>
              </w:pPr>
              <w:r>
                <w:rPr>
                  <w:rFonts w:hint="eastAsia"/>
                  <w:b/>
                  <w:bCs/>
                </w:rPr>
                <w:t>确认可行权权益工具最佳估计的依据</w:t>
              </w:r>
            </w:p>
            <w:p w14:paraId="35C3769D" w14:textId="77777777" w:rsidR="00D21C1F" w:rsidRDefault="00A42880">
              <w:pPr>
                <w:pStyle w:val="120"/>
                <w:spacing w:line="360" w:lineRule="auto"/>
                <w:ind w:firstLineChars="200" w:firstLine="420"/>
                <w:jc w:val="both"/>
              </w:pPr>
              <w:r>
                <w:rPr>
                  <w:rFonts w:hint="eastAsia"/>
                </w:rPr>
                <w:t>在等待期内每个资产负债表日，公司根据最新取得的可行权职工人数变动等后续信息作出最佳估计，修正预计可行权的权益工具数量，以作出可行权权益工具的最佳估计。</w:t>
              </w:r>
            </w:p>
            <w:p w14:paraId="26AA2B05" w14:textId="77777777" w:rsidR="00D21C1F" w:rsidRDefault="00A42880">
              <w:pPr>
                <w:pStyle w:val="120"/>
                <w:widowControl w:val="0"/>
                <w:numPr>
                  <w:ilvl w:val="2"/>
                  <w:numId w:val="77"/>
                </w:numPr>
                <w:spacing w:line="360" w:lineRule="auto"/>
                <w:jc w:val="both"/>
                <w:rPr>
                  <w:b/>
                  <w:bCs/>
                </w:rPr>
              </w:pPr>
              <w:r>
                <w:rPr>
                  <w:rFonts w:hint="eastAsia"/>
                  <w:b/>
                  <w:bCs/>
                </w:rPr>
                <w:t>股份支付计划实施的会计处理</w:t>
              </w:r>
            </w:p>
            <w:p w14:paraId="69412B51" w14:textId="77777777" w:rsidR="00D21C1F" w:rsidRDefault="00A42880">
              <w:pPr>
                <w:pStyle w:val="120"/>
                <w:widowControl w:val="0"/>
                <w:numPr>
                  <w:ilvl w:val="0"/>
                  <w:numId w:val="79"/>
                </w:numPr>
                <w:spacing w:line="360" w:lineRule="auto"/>
                <w:ind w:left="0" w:firstLineChars="200" w:firstLine="420"/>
                <w:jc w:val="both"/>
              </w:pPr>
              <w:r>
                <w:rPr>
                  <w:rFonts w:hint="eastAsia"/>
                </w:rPr>
                <w:t>授予后立即可行权的以现金结算的股份支付，在授予日以本公司承担负债的公允价值计入相关成本或费用，相应增加负债。并在结算前的每个资产负债表日和结算日对负债的公允价值重新计量，将其变动计入损益。</w:t>
              </w:r>
            </w:p>
            <w:p w14:paraId="0427ADBA" w14:textId="77777777" w:rsidR="00D21C1F" w:rsidRDefault="00A42880">
              <w:pPr>
                <w:pStyle w:val="120"/>
                <w:widowControl w:val="0"/>
                <w:numPr>
                  <w:ilvl w:val="0"/>
                  <w:numId w:val="79"/>
                </w:numPr>
                <w:spacing w:line="360" w:lineRule="auto"/>
                <w:ind w:left="0" w:firstLineChars="200" w:firstLine="420"/>
                <w:jc w:val="both"/>
              </w:pPr>
              <w:r>
                <w:rPr>
                  <w:rFonts w:hint="eastAsia"/>
                </w:rPr>
                <w:t>完成等待期内的服务或达到规定业绩条件以后才可行权的以现金结算的股份支付，在等</w:t>
              </w:r>
              <w:r>
                <w:rPr>
                  <w:rFonts w:hint="eastAsia"/>
                </w:rPr>
                <w:lastRenderedPageBreak/>
                <w:t>待期内的每个资产负债表日以对可行权情况的最佳估计为基础，按本公司承担负债的公允价值金额，将当期取得的服务计入成本或费用和相应的负债。</w:t>
              </w:r>
            </w:p>
            <w:p w14:paraId="0140703F" w14:textId="77777777" w:rsidR="00D21C1F" w:rsidRDefault="00A42880">
              <w:pPr>
                <w:pStyle w:val="120"/>
                <w:widowControl w:val="0"/>
                <w:numPr>
                  <w:ilvl w:val="0"/>
                  <w:numId w:val="79"/>
                </w:numPr>
                <w:spacing w:line="360" w:lineRule="auto"/>
                <w:ind w:left="0" w:firstLineChars="200" w:firstLine="420"/>
                <w:jc w:val="both"/>
              </w:pPr>
              <w:r>
                <w:rPr>
                  <w:rFonts w:hint="eastAsia"/>
                </w:rPr>
                <w:t>授予后立即可行权的换取职工服务的以权益结算的股份支付，在授予日以权益工具的公允价值计入相关成本或费用，相应增加资本公积。</w:t>
              </w:r>
            </w:p>
            <w:p w14:paraId="201ED2CB" w14:textId="77777777" w:rsidR="00D21C1F" w:rsidRDefault="00A42880">
              <w:pPr>
                <w:pStyle w:val="120"/>
                <w:widowControl w:val="0"/>
                <w:numPr>
                  <w:ilvl w:val="0"/>
                  <w:numId w:val="79"/>
                </w:numPr>
                <w:spacing w:line="360" w:lineRule="auto"/>
                <w:ind w:left="0" w:firstLineChars="200" w:firstLine="420"/>
                <w:jc w:val="both"/>
              </w:pPr>
              <w:r>
                <w:rPr>
                  <w:rFonts w:hint="eastAsia"/>
                </w:rPr>
                <w:t>完成等待期内的服务或达到规定业绩条件以后才可行权换取职工服务的以权益结算的股份支付，在等待期内的每个资产负债表日，以对可行权权益工具数量的最佳估计为基础，按权益工具授予日的公允价值，将当期取得的服务计入成本或费用和资本公积。</w:t>
              </w:r>
            </w:p>
            <w:p w14:paraId="5989682C" w14:textId="77777777" w:rsidR="00D21C1F" w:rsidRDefault="00A42880">
              <w:pPr>
                <w:pStyle w:val="120"/>
                <w:widowControl w:val="0"/>
                <w:numPr>
                  <w:ilvl w:val="2"/>
                  <w:numId w:val="77"/>
                </w:numPr>
                <w:spacing w:line="360" w:lineRule="auto"/>
                <w:jc w:val="both"/>
                <w:rPr>
                  <w:b/>
                  <w:bCs/>
                </w:rPr>
              </w:pPr>
              <w:r>
                <w:rPr>
                  <w:rFonts w:hint="eastAsia"/>
                  <w:b/>
                  <w:bCs/>
                </w:rPr>
                <w:t>股份支付计划修改的会计处理</w:t>
              </w:r>
            </w:p>
            <w:p w14:paraId="076E4EB2" w14:textId="77777777" w:rsidR="00D21C1F" w:rsidRDefault="00A42880">
              <w:pPr>
                <w:pStyle w:val="120"/>
                <w:snapToGrid w:val="0"/>
                <w:spacing w:line="360" w:lineRule="auto"/>
                <w:ind w:firstLineChars="200" w:firstLine="420"/>
                <w:jc w:val="both"/>
              </w:pPr>
              <w:r>
                <w:rPr>
                  <w:rFonts w:hint="eastAsia"/>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14:paraId="2DCDB145" w14:textId="77777777" w:rsidR="00D21C1F" w:rsidRDefault="00A42880">
              <w:pPr>
                <w:pStyle w:val="120"/>
                <w:widowControl w:val="0"/>
                <w:numPr>
                  <w:ilvl w:val="2"/>
                  <w:numId w:val="77"/>
                </w:numPr>
                <w:spacing w:line="360" w:lineRule="auto"/>
                <w:ind w:left="0" w:firstLineChars="200" w:firstLine="422"/>
                <w:jc w:val="both"/>
                <w:rPr>
                  <w:b/>
                  <w:bCs/>
                </w:rPr>
              </w:pPr>
              <w:r>
                <w:rPr>
                  <w:rFonts w:hint="eastAsia"/>
                  <w:b/>
                  <w:bCs/>
                </w:rPr>
                <w:t>股份支付计划终止的会计处理</w:t>
              </w:r>
            </w:p>
            <w:p w14:paraId="47167D28" w14:textId="77777777" w:rsidR="00D21C1F" w:rsidRDefault="00A42880">
              <w:pPr>
                <w:pStyle w:val="120"/>
                <w:spacing w:line="360" w:lineRule="auto"/>
                <w:ind w:firstLineChars="200" w:firstLine="420"/>
                <w:jc w:val="both"/>
              </w:pPr>
              <w:r>
                <w:rPr>
                  <w:rFonts w:hint="eastAsia"/>
                </w:rPr>
                <w:t>如果在等待期内取消了所授予的权益工具或结算了所授予的权益工具(因未满足可行权条件而被取消的除外)，本公司：</w:t>
              </w:r>
            </w:p>
            <w:p w14:paraId="44CC403F" w14:textId="77777777" w:rsidR="00D21C1F" w:rsidRDefault="00A42880">
              <w:pPr>
                <w:pStyle w:val="120"/>
                <w:widowControl w:val="0"/>
                <w:numPr>
                  <w:ilvl w:val="0"/>
                  <w:numId w:val="80"/>
                </w:numPr>
                <w:spacing w:line="360" w:lineRule="auto"/>
                <w:jc w:val="both"/>
              </w:pPr>
              <w:r>
                <w:rPr>
                  <w:rFonts w:hint="eastAsia"/>
                </w:rPr>
                <w:t>将取消或结算作为加速可行权处理，立即确认原本应在剩余等待期内确认的金额；</w:t>
              </w:r>
            </w:p>
            <w:p w14:paraId="6AC98D1F" w14:textId="77777777" w:rsidR="00D21C1F" w:rsidRDefault="00A42880">
              <w:pPr>
                <w:pStyle w:val="120"/>
                <w:widowControl w:val="0"/>
                <w:numPr>
                  <w:ilvl w:val="0"/>
                  <w:numId w:val="80"/>
                </w:numPr>
                <w:spacing w:line="360" w:lineRule="auto"/>
                <w:ind w:left="0" w:firstLineChars="200" w:firstLine="420"/>
                <w:jc w:val="both"/>
              </w:pPr>
              <w:r>
                <w:rPr>
                  <w:rFonts w:hint="eastAsia"/>
                </w:rPr>
                <w:t>在取消或结算时支付给职工的所有款项均作为权益的回购处理，回购支付的金额高于该权益工具在回购日公允价值的部分，计入当期费用。</w:t>
              </w:r>
            </w:p>
            <w:p w14:paraId="5137CF1A" w14:textId="77777777" w:rsidR="00D21C1F" w:rsidRDefault="00A42880">
              <w:pPr>
                <w:pStyle w:val="120"/>
                <w:spacing w:line="360" w:lineRule="auto"/>
                <w:ind w:firstLineChars="200" w:firstLine="420"/>
                <w:jc w:val="both"/>
              </w:pPr>
              <w:r>
                <w:rPr>
                  <w:rFonts w:hint="eastAsia"/>
                </w:rPr>
                <w:t>本公司如果回购其职工已可行权的权益工具，冲减企业的所有者权益；回购支付的款项高于该权益工具在回购日公允价值的部分，计入当期损益。</w:t>
              </w:r>
            </w:p>
          </w:sdtContent>
        </w:sdt>
      </w:sdtContent>
    </w:sdt>
    <w:p w14:paraId="65110790" w14:textId="77777777" w:rsidR="00D21C1F" w:rsidRDefault="00D21C1F">
      <w:pPr>
        <w:rPr>
          <w:szCs w:val="21"/>
        </w:rPr>
      </w:pPr>
    </w:p>
    <w:sdt>
      <w:sdtPr>
        <w:rPr>
          <w:rFonts w:ascii="宋体" w:eastAsia="宋体" w:hAnsi="宋体" w:cstheme="minorBidi" w:hint="eastAsia"/>
          <w:b w:val="0"/>
          <w:bCs w:val="0"/>
          <w:kern w:val="0"/>
          <w:szCs w:val="22"/>
        </w:rPr>
        <w:alias w:val="模块:优先股、永续债"/>
        <w:tag w:val="_GBC_d3c9524999e647d78f354bb216cfb1aa"/>
        <w:id w:val="1348444599"/>
        <w:lock w:val="sdtLocked"/>
        <w:placeholder>
          <w:docPart w:val="GBC22222222222222222222222222222"/>
        </w:placeholder>
      </w:sdtPr>
      <w:sdtEndPr>
        <w:rPr>
          <w:rFonts w:cs="Times New Roman"/>
          <w:szCs w:val="21"/>
        </w:rPr>
      </w:sdtEndPr>
      <w:sdtContent>
        <w:p w14:paraId="595C0776" w14:textId="77777777" w:rsidR="00D21C1F" w:rsidRDefault="00A42880">
          <w:pPr>
            <w:pStyle w:val="94"/>
            <w:numPr>
              <w:ilvl w:val="0"/>
              <w:numId w:val="45"/>
            </w:numPr>
            <w:rPr>
              <w:rFonts w:ascii="宋体" w:hAnsi="宋体"/>
            </w:rPr>
          </w:pPr>
          <w:r>
            <w:rPr>
              <w:rFonts w:ascii="宋体" w:hAnsi="宋体" w:hint="eastAsia"/>
            </w:rPr>
            <w:t>优先股、永续债等其他金融工具</w:t>
          </w:r>
        </w:p>
        <w:sdt>
          <w:sdtPr>
            <w:rPr>
              <w:rFonts w:hint="eastAsia"/>
              <w:szCs w:val="21"/>
            </w:rPr>
            <w:alias w:val="是否适用：优先股、永续债等其他金融工具[双击切换]"/>
            <w:tag w:val="_GBC_34eb80e2168144958293aa1351780303"/>
            <w:id w:val="-1055621818"/>
            <w:lock w:val="sdtLocked"/>
            <w:placeholder>
              <w:docPart w:val="GBC22222222222222222222222222222"/>
            </w:placeholder>
          </w:sdtPr>
          <w:sdtEndPr/>
          <w:sdtContent>
            <w:p w14:paraId="3A972624"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39EF89C" w14:textId="77777777" w:rsidR="00D21C1F" w:rsidRDefault="00D21C1F">
      <w:pPr>
        <w:rPr>
          <w:szCs w:val="21"/>
        </w:rPr>
      </w:pPr>
    </w:p>
    <w:bookmarkStart w:id="159" w:name="_Hlk10465559" w:displacedByCustomXml="next"/>
    <w:sdt>
      <w:sdtPr>
        <w:rPr>
          <w:rFonts w:ascii="宋体" w:hAnsi="宋体" w:cs="宋体"/>
          <w:b w:val="0"/>
          <w:bCs w:val="0"/>
          <w:kern w:val="0"/>
          <w:szCs w:val="22"/>
        </w:rPr>
        <w:alias w:val="模块:收入会计处理方法"/>
        <w:tag w:val="_GBC_19704df9fd714cad895419bf4903f70e"/>
        <w:id w:val="-203956388"/>
        <w:lock w:val="sdtLocked"/>
        <w:placeholder>
          <w:docPart w:val="GBC22222222222222222222222222222"/>
        </w:placeholder>
      </w:sdtPr>
      <w:sdtEndPr>
        <w:rPr>
          <w:b/>
          <w:bCs/>
          <w:szCs w:val="21"/>
        </w:rPr>
      </w:sdtEndPr>
      <w:sdtContent>
        <w:p w14:paraId="14B46818" w14:textId="77777777" w:rsidR="00D21C1F" w:rsidRDefault="00A42880">
          <w:pPr>
            <w:pStyle w:val="94"/>
            <w:numPr>
              <w:ilvl w:val="0"/>
              <w:numId w:val="45"/>
            </w:numPr>
            <w:rPr>
              <w:rFonts w:ascii="宋体" w:hAnsi="宋体"/>
            </w:rPr>
          </w:pPr>
          <w:r>
            <w:rPr>
              <w:rFonts w:ascii="宋体" w:hAnsi="宋体"/>
            </w:rPr>
            <w:t>收入</w:t>
          </w:r>
        </w:p>
        <w:p w14:paraId="680A1804" w14:textId="77777777" w:rsidR="00D21C1F" w:rsidRDefault="00A42880">
          <w:pPr>
            <w:pStyle w:val="93"/>
            <w:numPr>
              <w:ilvl w:val="3"/>
              <w:numId w:val="81"/>
            </w:numPr>
            <w:ind w:left="426" w:hanging="426"/>
            <w:rPr>
              <w:rFonts w:ascii="宋体" w:hAnsi="宋体"/>
              <w:szCs w:val="21"/>
            </w:rPr>
          </w:pPr>
          <w:r>
            <w:rPr>
              <w:rFonts w:ascii="宋体" w:hAnsi="宋体" w:hint="eastAsia"/>
              <w:szCs w:val="21"/>
            </w:rPr>
            <w:t>收入确认和计量所采用的会计政策</w:t>
          </w:r>
        </w:p>
        <w:sdt>
          <w:sdtPr>
            <w:rPr>
              <w:szCs w:val="21"/>
            </w:rPr>
            <w:alias w:val="是否适用：收入确认和计量所采用的会计政策[双击切换]"/>
            <w:tag w:val="_GBC_b6eb71cc057645f3b05fb68d8273c681"/>
            <w:id w:val="943421544"/>
            <w:lock w:val="sdtLocked"/>
            <w:placeholder>
              <w:docPart w:val="GBC22222222222222222222222222222"/>
            </w:placeholder>
          </w:sdtPr>
          <w:sdtEndPr/>
          <w:sdtContent>
            <w:p w14:paraId="66482D3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Calibri" w:hAnsi="Calibri" w:cs="Times New Roman"/>
              <w:kern w:val="2"/>
            </w:rPr>
            <w:alias w:val="收入确认和计量所采用的会计政策"/>
            <w:tag w:val="_GBC_c9c2b3029c08405387c460d2d7eacc7d"/>
            <w:id w:val="-1752883006"/>
            <w:lock w:val="sdtLocked"/>
            <w:placeholder>
              <w:docPart w:val="GBC22222222222222222222222222222"/>
            </w:placeholder>
          </w:sdtPr>
          <w:sdtEndPr/>
          <w:sdtContent>
            <w:p w14:paraId="79FC6A8D" w14:textId="77777777" w:rsidR="00D21C1F" w:rsidRDefault="00A42880">
              <w:pPr>
                <w:pStyle w:val="120"/>
                <w:adjustRightInd w:val="0"/>
                <w:spacing w:line="360" w:lineRule="auto"/>
                <w:ind w:firstLineChars="200" w:firstLine="420"/>
                <w:jc w:val="both"/>
              </w:pPr>
              <w:r>
                <w:rPr>
                  <w:rFonts w:hint="eastAsia"/>
                </w:rPr>
                <w:t>收入是本公司在日常活动中形成的、会导致股东权益增加且与股东投入资本无关的经济利益的总流入。</w:t>
              </w:r>
            </w:p>
            <w:p w14:paraId="6390AAEA" w14:textId="77777777" w:rsidR="00D21C1F" w:rsidRDefault="00A42880">
              <w:pPr>
                <w:pStyle w:val="120"/>
                <w:adjustRightInd w:val="0"/>
                <w:spacing w:line="360" w:lineRule="auto"/>
                <w:ind w:firstLineChars="200" w:firstLine="420"/>
                <w:jc w:val="both"/>
              </w:pPr>
              <w:r>
                <w:rPr>
                  <w:rFonts w:hint="eastAsia"/>
                </w:rPr>
                <w:t>本公司在履行了合同中的履约义务，即在客户取得相关商品控制权时确认收入。取得相关商品控制权，是指能够主导该商品的使用并从中获得几乎全部的经济利益。</w:t>
              </w:r>
            </w:p>
            <w:p w14:paraId="3FF9D16A" w14:textId="77777777" w:rsidR="00D21C1F" w:rsidRDefault="00A42880">
              <w:pPr>
                <w:pStyle w:val="120"/>
                <w:adjustRightInd w:val="0"/>
                <w:spacing w:line="360" w:lineRule="auto"/>
                <w:ind w:firstLineChars="200" w:firstLine="420"/>
                <w:jc w:val="both"/>
              </w:pPr>
              <w:r>
                <w:rPr>
                  <w:rFonts w:hint="eastAsia"/>
                </w:rPr>
                <w:lastRenderedPageBreak/>
                <w:t>合同中包含两项或多项履约义务的，本公司在合同开始日，按照各单项履约义务所承诺商品或服务的单独售价的相对比例，将交易价格分摊至各单项履约义务，按照分摊至各单项履约义务的交易价格计量收入。</w:t>
              </w:r>
            </w:p>
            <w:p w14:paraId="6DE39364" w14:textId="77777777" w:rsidR="00D21C1F" w:rsidRDefault="00A42880">
              <w:pPr>
                <w:pStyle w:val="120"/>
                <w:adjustRightInd w:val="0"/>
                <w:spacing w:line="360" w:lineRule="auto"/>
                <w:ind w:firstLineChars="200" w:firstLine="420"/>
                <w:jc w:val="both"/>
              </w:pPr>
              <w:r>
                <w:rPr>
                  <w:rFonts w:hint="eastAsia"/>
                </w:rPr>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司将根据客户在取得商品控制权时即以现金支付的应付金额确定交易价格，该交易价格与合同对价之间的差额，在合同期间内采用实际利率法摊销，对于控制权转移与客户支付价款间隔未超过一年的，本公司不考虑其中的融资成分。</w:t>
              </w:r>
            </w:p>
            <w:p w14:paraId="4E9A52E5" w14:textId="77777777" w:rsidR="00D21C1F" w:rsidRDefault="00A42880">
              <w:pPr>
                <w:pStyle w:val="120"/>
                <w:adjustRightInd w:val="0"/>
                <w:spacing w:line="360" w:lineRule="auto"/>
                <w:ind w:firstLineChars="200" w:firstLine="420"/>
                <w:jc w:val="both"/>
              </w:pPr>
              <w:r>
                <w:rPr>
                  <w:rFonts w:hint="eastAsia"/>
                </w:rPr>
                <w:t>满足下列条件之一的，属于在某一时段内履行履约义务；否则，属于在某一时点履行履约义务：</w:t>
              </w:r>
            </w:p>
            <w:p w14:paraId="116B06DE" w14:textId="77777777" w:rsidR="00D21C1F" w:rsidRDefault="00A42880">
              <w:pPr>
                <w:pStyle w:val="120"/>
                <w:adjustRightInd w:val="0"/>
                <w:spacing w:line="360" w:lineRule="auto"/>
                <w:ind w:firstLineChars="200" w:firstLine="420"/>
                <w:jc w:val="both"/>
              </w:pPr>
              <w:r>
                <w:rPr>
                  <w:rFonts w:hint="eastAsia"/>
                </w:rPr>
                <w:t>①客户在本公司履约的同时即取得并消耗本公司履约所带来的经济利益；</w:t>
              </w:r>
            </w:p>
            <w:p w14:paraId="51F326CC" w14:textId="77777777" w:rsidR="00D21C1F" w:rsidRDefault="00A42880">
              <w:pPr>
                <w:pStyle w:val="120"/>
                <w:adjustRightInd w:val="0"/>
                <w:spacing w:line="360" w:lineRule="auto"/>
                <w:ind w:firstLineChars="200" w:firstLine="420"/>
                <w:jc w:val="both"/>
              </w:pPr>
              <w:r>
                <w:rPr>
                  <w:rFonts w:hint="eastAsia"/>
                </w:rPr>
                <w:t>②客户能够控制本公司履约过程中在建的商品；</w:t>
              </w:r>
            </w:p>
            <w:p w14:paraId="78244A21" w14:textId="77777777" w:rsidR="00D21C1F" w:rsidRDefault="00A42880">
              <w:pPr>
                <w:pStyle w:val="120"/>
                <w:adjustRightInd w:val="0"/>
                <w:spacing w:line="360" w:lineRule="auto"/>
                <w:ind w:firstLineChars="200" w:firstLine="420"/>
                <w:jc w:val="both"/>
              </w:pPr>
              <w:r>
                <w:rPr>
                  <w:rFonts w:hint="eastAsia"/>
                </w:rPr>
                <w:t>③本公司履约过程中所产出的商品具有不可替代用途，且本公司在整个合同期间内有权就累计至今已完成的履约部分收取款项。</w:t>
              </w:r>
            </w:p>
            <w:p w14:paraId="233CD504" w14:textId="77777777" w:rsidR="00D21C1F" w:rsidRDefault="00A42880">
              <w:pPr>
                <w:pStyle w:val="120"/>
                <w:adjustRightInd w:val="0"/>
                <w:spacing w:line="360" w:lineRule="auto"/>
                <w:ind w:firstLineChars="200" w:firstLine="420"/>
                <w:jc w:val="both"/>
              </w:pPr>
              <w:r>
                <w:rPr>
                  <w:rFonts w:hint="eastAsia"/>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14:paraId="6FC4CC33" w14:textId="77777777" w:rsidR="00D21C1F" w:rsidRDefault="00A42880">
              <w:pPr>
                <w:pStyle w:val="120"/>
                <w:adjustRightInd w:val="0"/>
                <w:spacing w:line="360" w:lineRule="auto"/>
                <w:ind w:firstLineChars="200" w:firstLine="420"/>
                <w:jc w:val="both"/>
              </w:pPr>
              <w:r>
                <w:rPr>
                  <w:rFonts w:hint="eastAsia"/>
                </w:rPr>
                <w:t>对于在某一时点履行的履约义务，本公司在客户取得相关商品控制权时点确认收入。在判断客户是否已取得商品或服务控制权时，本公司会考虑下列迹象：</w:t>
              </w:r>
            </w:p>
            <w:p w14:paraId="6BDAA0E2" w14:textId="77777777" w:rsidR="00D21C1F" w:rsidRDefault="00A42880">
              <w:pPr>
                <w:pStyle w:val="67"/>
                <w:numPr>
                  <w:ilvl w:val="0"/>
                  <w:numId w:val="82"/>
                </w:numPr>
                <w:adjustRightInd w:val="0"/>
                <w:spacing w:line="360" w:lineRule="auto"/>
                <w:ind w:left="0" w:firstLine="420"/>
              </w:pPr>
              <w:r>
                <w:rPr>
                  <w:rFonts w:ascii="宋体" w:hAnsi="宋体"/>
                </w:rPr>
                <w:t>本公司就该商品或服务享有现时收款权利，即客户就该商品负有现时付款义务；</w:t>
              </w:r>
            </w:p>
            <w:p w14:paraId="3D5AEEB8" w14:textId="77777777" w:rsidR="00D21C1F" w:rsidRDefault="00A42880">
              <w:pPr>
                <w:pStyle w:val="67"/>
                <w:numPr>
                  <w:ilvl w:val="0"/>
                  <w:numId w:val="82"/>
                </w:numPr>
                <w:adjustRightInd w:val="0"/>
                <w:spacing w:line="360" w:lineRule="auto"/>
                <w:ind w:left="0" w:firstLine="420"/>
              </w:pPr>
              <w:r>
                <w:rPr>
                  <w:rFonts w:ascii="宋体" w:hAnsi="宋体"/>
                </w:rPr>
                <w:t>本公司已将该商品的法定所有权转移给客户，即客户已拥有了该商品的法定所有权；</w:t>
              </w:r>
            </w:p>
            <w:p w14:paraId="6484E2FB" w14:textId="77777777" w:rsidR="00D21C1F" w:rsidRDefault="00A42880">
              <w:pPr>
                <w:pStyle w:val="67"/>
                <w:numPr>
                  <w:ilvl w:val="0"/>
                  <w:numId w:val="82"/>
                </w:numPr>
                <w:adjustRightInd w:val="0"/>
                <w:spacing w:line="360" w:lineRule="auto"/>
                <w:ind w:left="0" w:firstLine="420"/>
              </w:pPr>
              <w:r>
                <w:rPr>
                  <w:rFonts w:ascii="宋体" w:hAnsi="宋体"/>
                </w:rPr>
                <w:t>本公司已将该商品的实物转移给客户，即客户已实物占有该商品；</w:t>
              </w:r>
            </w:p>
            <w:p w14:paraId="5904A4BA" w14:textId="77777777" w:rsidR="00D21C1F" w:rsidRDefault="00A42880">
              <w:pPr>
                <w:pStyle w:val="67"/>
                <w:numPr>
                  <w:ilvl w:val="0"/>
                  <w:numId w:val="82"/>
                </w:numPr>
                <w:adjustRightInd w:val="0"/>
                <w:spacing w:line="360" w:lineRule="auto"/>
                <w:ind w:left="0" w:firstLine="420"/>
              </w:pPr>
              <w:r>
                <w:rPr>
                  <w:rFonts w:ascii="宋体" w:hAnsi="宋体"/>
                </w:rPr>
                <w:t>本公司已将该商品所有权上的主要风险和报酬转移给客户，即客户已取得该商品所有权上的主要风险和报酬；</w:t>
              </w:r>
            </w:p>
            <w:p w14:paraId="223062D7" w14:textId="77777777" w:rsidR="00D21C1F" w:rsidRDefault="00A42880">
              <w:pPr>
                <w:pStyle w:val="67"/>
                <w:numPr>
                  <w:ilvl w:val="0"/>
                  <w:numId w:val="82"/>
                </w:numPr>
                <w:adjustRightInd w:val="0"/>
                <w:spacing w:line="360" w:lineRule="auto"/>
                <w:ind w:left="0" w:firstLine="420"/>
              </w:pPr>
              <w:r>
                <w:rPr>
                  <w:rFonts w:ascii="宋体" w:hAnsi="宋体"/>
                </w:rPr>
                <w:t>客户已接受该商品。</w:t>
              </w:r>
            </w:p>
            <w:p w14:paraId="354CA1D5" w14:textId="77777777" w:rsidR="00D21C1F" w:rsidRDefault="00A42880">
              <w:pPr>
                <w:pStyle w:val="7a"/>
                <w:adjustRightInd w:val="0"/>
                <w:spacing w:line="360" w:lineRule="auto"/>
                <w:ind w:firstLine="422"/>
                <w:rPr>
                  <w:b/>
                  <w:bCs/>
                </w:rPr>
              </w:pPr>
              <w:r>
                <w:rPr>
                  <w:rFonts w:ascii="宋体" w:hAnsi="宋体"/>
                  <w:b/>
                  <w:bCs/>
                </w:rPr>
                <w:t>具体方法</w:t>
              </w:r>
            </w:p>
            <w:p w14:paraId="57E9260B" w14:textId="77777777" w:rsidR="00D21C1F" w:rsidRDefault="00A42880">
              <w:pPr>
                <w:pStyle w:val="7a"/>
                <w:adjustRightInd w:val="0"/>
                <w:spacing w:line="360" w:lineRule="auto"/>
              </w:pPr>
              <w:r>
                <w:rPr>
                  <w:rFonts w:ascii="宋体" w:hAnsi="宋体"/>
                </w:rPr>
                <w:t>本公司收入确认的具体方法如下：</w:t>
              </w:r>
            </w:p>
            <w:p w14:paraId="266560A5" w14:textId="77777777" w:rsidR="00D21C1F" w:rsidRDefault="00A42880">
              <w:pPr>
                <w:pStyle w:val="7a"/>
                <w:adjustRightInd w:val="0"/>
                <w:spacing w:line="360" w:lineRule="auto"/>
              </w:pPr>
              <w:r>
                <w:rPr>
                  <w:rFonts w:ascii="宋体" w:hAnsi="宋体" w:hint="eastAsia"/>
                </w:rPr>
                <w:t>①</w:t>
              </w:r>
              <w:r>
                <w:rPr>
                  <w:rFonts w:ascii="宋体" w:hAnsi="宋体"/>
                </w:rPr>
                <w:t>商品销售合同</w:t>
              </w:r>
            </w:p>
            <w:p w14:paraId="1A395BF5" w14:textId="77777777" w:rsidR="00D21C1F" w:rsidRDefault="00A42880">
              <w:pPr>
                <w:pStyle w:val="7a"/>
                <w:adjustRightInd w:val="0"/>
                <w:spacing w:line="360" w:lineRule="auto"/>
              </w:pPr>
              <w:r>
                <w:rPr>
                  <w:rFonts w:ascii="宋体" w:hAnsi="宋体"/>
                </w:rPr>
                <w:t>本公司与客户之间的销售商品合同包含转让工业机器人整机的履约义务，属于在某一时点履行履约义务。</w:t>
              </w:r>
            </w:p>
            <w:p w14:paraId="25897A75" w14:textId="77777777" w:rsidR="00D21C1F" w:rsidRDefault="00A42880">
              <w:pPr>
                <w:pStyle w:val="7a"/>
                <w:adjustRightInd w:val="0"/>
                <w:spacing w:line="360" w:lineRule="auto"/>
              </w:pPr>
              <w:r>
                <w:rPr>
                  <w:rFonts w:ascii="宋体" w:hAnsi="宋体"/>
                </w:rPr>
                <w:t>内销产品收入确认需满足以下条件：本公司已根据合同约定将产品交付给客户且客户已接受</w:t>
              </w:r>
              <w:r>
                <w:rPr>
                  <w:rFonts w:ascii="宋体" w:hAnsi="宋体"/>
                </w:rPr>
                <w:lastRenderedPageBreak/>
                <w:t>该商品，已经收回货款或取得了收款凭证且相关的经济利益很可能流入，商品所有权上的主要风险和报酬已转移，商品的法定所有权已转移；</w:t>
              </w:r>
            </w:p>
            <w:p w14:paraId="262B93AD" w14:textId="77777777" w:rsidR="00D21C1F" w:rsidRDefault="00A42880">
              <w:pPr>
                <w:pStyle w:val="7a"/>
                <w:adjustRightInd w:val="0"/>
                <w:spacing w:line="360" w:lineRule="auto"/>
              </w:pPr>
              <w:r>
                <w:rPr>
                  <w:rFonts w:ascii="宋体" w:hAnsi="宋体"/>
                </w:rPr>
                <w:t>外销产品收入确认需满足以下条件：本公司已根据合同约定将产品报关，取得提单，已经收回货款或取得了收款凭证且相关的经济利益很可能流入，商品所有权上的主要风险和报酬已转移，商品的法定所有权已转移。</w:t>
              </w:r>
            </w:p>
            <w:p w14:paraId="70CD1E06" w14:textId="77777777" w:rsidR="00D21C1F" w:rsidRDefault="00A42880">
              <w:pPr>
                <w:pStyle w:val="7a"/>
                <w:adjustRightInd w:val="0"/>
                <w:spacing w:line="360" w:lineRule="auto"/>
              </w:pPr>
              <w:r>
                <w:rPr>
                  <w:rFonts w:hint="eastAsia"/>
                </w:rPr>
                <w:t>②</w:t>
              </w:r>
              <w:r>
                <w:rPr>
                  <w:rFonts w:ascii="宋体" w:hAnsi="宋体"/>
                </w:rPr>
                <w:t>建造合同</w:t>
              </w:r>
            </w:p>
            <w:p w14:paraId="7154B05A" w14:textId="286B2715" w:rsidR="00D21C1F" w:rsidRDefault="00A42880" w:rsidP="00723C22">
              <w:pPr>
                <w:pStyle w:val="7a"/>
                <w:adjustRightInd w:val="0"/>
                <w:spacing w:line="360" w:lineRule="auto"/>
              </w:pPr>
              <w:r>
                <w:rPr>
                  <w:rFonts w:ascii="宋体" w:hAnsi="宋体"/>
                </w:rPr>
                <w:t>本公司与客户之间的建造合同包含系统集成建设的履约义务，</w:t>
              </w:r>
              <w:r>
                <w:rPr>
                  <w:rFonts w:ascii="宋体" w:hAnsi="宋体" w:hint="eastAsia"/>
                </w:rPr>
                <w:t>履约过程中所产出的商品具有不可替代用途，且该企业在整个合同期间内有权就累计至今已完成的履约部分收取款项</w:t>
              </w:r>
              <w:r>
                <w:rPr>
                  <w:rFonts w:ascii="宋体" w:hAnsi="宋体"/>
                </w:rPr>
                <w:t>，本公司将其作为在某一时段内履行的履约义务，按照履约进度确认收入，履约进度不能合理确定的除外。本公司按照投入法确定提供服务的履约进度。履约进度按已经完成的为履行合同实际发生的合同成本占合同预计总成本的比例确定。于资产负债表日，本公司对已完工或已完成劳务的进度进行重新估计，以使其能够反映履约情况的变化。</w:t>
              </w:r>
            </w:p>
          </w:sdtContent>
        </w:sdt>
        <w:p w14:paraId="58FE4E07" w14:textId="77777777" w:rsidR="00D21C1F" w:rsidRDefault="00045EC6">
          <w:pPr>
            <w:pStyle w:val="97"/>
          </w:pPr>
        </w:p>
      </w:sdtContent>
    </w:sdt>
    <w:bookmarkEnd w:id="159" w:displacedByCustomXml="next"/>
    <w:bookmarkStart w:id="160" w:name="_Hlk10465594"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d90e7184f27046ff9caab68c045539c7"/>
        <w:id w:val="-1408528653"/>
        <w:lock w:val="sdtLocked"/>
        <w:placeholder>
          <w:docPart w:val="GBC22222222222222222222222222222"/>
        </w:placeholder>
      </w:sdtPr>
      <w:sdtEndPr>
        <w:rPr>
          <w:rFonts w:hint="default"/>
        </w:rPr>
      </w:sdtEndPr>
      <w:sdtContent>
        <w:p w14:paraId="2F043A96" w14:textId="77777777" w:rsidR="00D21C1F" w:rsidRDefault="00A42880">
          <w:pPr>
            <w:pStyle w:val="93"/>
            <w:numPr>
              <w:ilvl w:val="3"/>
              <w:numId w:val="81"/>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869113250"/>
            <w:lock w:val="sdtLocked"/>
            <w:placeholder>
              <w:docPart w:val="GBC22222222222222222222222222222"/>
            </w:placeholder>
          </w:sdtPr>
          <w:sdtEndPr/>
          <w:sdtContent>
            <w:p w14:paraId="50485060"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406273" w14:textId="77777777" w:rsidR="00D21C1F" w:rsidRDefault="00045EC6">
          <w:pPr>
            <w:rPr>
              <w:szCs w:val="21"/>
            </w:rPr>
          </w:pPr>
        </w:p>
      </w:sdtContent>
    </w:sdt>
    <w:bookmarkEnd w:id="160" w:displacedByCustomXml="next"/>
    <w:bookmarkStart w:id="161" w:name="_Hlk10465679" w:displacedByCustomXml="next"/>
    <w:sdt>
      <w:sdtPr>
        <w:rPr>
          <w:rFonts w:ascii="宋体" w:eastAsia="宋体" w:hAnsi="宋体" w:cs="宋体" w:hint="eastAsia"/>
          <w:b w:val="0"/>
          <w:bCs w:val="0"/>
          <w:kern w:val="0"/>
          <w:szCs w:val="21"/>
        </w:rPr>
        <w:alias w:val="模块:合同成本"/>
        <w:tag w:val="_SEC_1a8f2a657b9d471d80373f3b25cb1dfe"/>
        <w:id w:val="-1899427129"/>
        <w:lock w:val="sdtLocked"/>
        <w:placeholder>
          <w:docPart w:val="GBC22222222222222222222222222222"/>
        </w:placeholder>
      </w:sdtPr>
      <w:sdtEndPr>
        <w:rPr>
          <w:rFonts w:hint="default"/>
        </w:rPr>
      </w:sdtEndPr>
      <w:sdtContent>
        <w:p w14:paraId="1E0D74A6" w14:textId="77777777" w:rsidR="00D21C1F" w:rsidRDefault="00A42880">
          <w:pPr>
            <w:pStyle w:val="94"/>
            <w:numPr>
              <w:ilvl w:val="0"/>
              <w:numId w:val="45"/>
            </w:numPr>
            <w:rPr>
              <w:rFonts w:ascii="宋体" w:hAnsi="宋体"/>
              <w:szCs w:val="21"/>
            </w:rPr>
          </w:pPr>
          <w:r>
            <w:rPr>
              <w:rFonts w:ascii="宋体" w:hAnsi="宋体" w:hint="eastAsia"/>
              <w:szCs w:val="21"/>
            </w:rPr>
            <w:t>合同成本</w:t>
          </w:r>
        </w:p>
        <w:sdt>
          <w:sdtPr>
            <w:alias w:val="是否适用：合同成本_重要会计政策和估计[双击切换]"/>
            <w:tag w:val="_GBC_d7752b20e4914f04bf87bad019929fe8"/>
            <w:id w:val="1444887241"/>
            <w:lock w:val="sdtLocked"/>
            <w:placeholder>
              <w:docPart w:val="GBC22222222222222222222222222222"/>
            </w:placeholder>
          </w:sdtPr>
          <w:sdtEndPr/>
          <w:sdtContent>
            <w:p w14:paraId="0540D7D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A5997B" w14:textId="77777777" w:rsidR="00D21C1F" w:rsidRDefault="00045EC6">
          <w:pPr>
            <w:rPr>
              <w:szCs w:val="21"/>
            </w:rPr>
          </w:pPr>
        </w:p>
      </w:sdtContent>
    </w:sdt>
    <w:bookmarkEnd w:id="161" w:displacedByCustomXml="next"/>
    <w:bookmarkStart w:id="162" w:name="_Hlk10465775" w:displacedByCustomXml="next"/>
    <w:sdt>
      <w:sdtPr>
        <w:rPr>
          <w:rFonts w:ascii="宋体" w:hAnsi="宋体" w:cs="宋体"/>
          <w:b w:val="0"/>
          <w:bCs w:val="0"/>
          <w:kern w:val="0"/>
          <w:szCs w:val="24"/>
        </w:rPr>
        <w:alias w:val="模块:政府补助会计处理方法"/>
        <w:tag w:val="_GBC_b03bd816e50b42ae97b660897ca33234"/>
        <w:id w:val="-367761604"/>
        <w:lock w:val="sdtLocked"/>
        <w:placeholder>
          <w:docPart w:val="GBC22222222222222222222222222222"/>
        </w:placeholder>
      </w:sdtPr>
      <w:sdtEndPr>
        <w:rPr>
          <w:rFonts w:cs="Times New Roman"/>
          <w:b/>
          <w:bCs/>
          <w:szCs w:val="21"/>
        </w:rPr>
      </w:sdtEndPr>
      <w:sdtContent>
        <w:p w14:paraId="22FDC642" w14:textId="77777777" w:rsidR="00D21C1F" w:rsidRDefault="00A42880">
          <w:pPr>
            <w:pStyle w:val="94"/>
            <w:numPr>
              <w:ilvl w:val="0"/>
              <w:numId w:val="45"/>
            </w:numPr>
            <w:rPr>
              <w:rFonts w:ascii="宋体" w:hAnsi="宋体"/>
            </w:rPr>
          </w:pPr>
          <w:r>
            <w:rPr>
              <w:rFonts w:ascii="宋体" w:hAnsi="宋体"/>
            </w:rPr>
            <w:t>政府补助</w:t>
          </w:r>
        </w:p>
        <w:sdt>
          <w:sdtPr>
            <w:alias w:val="是否适用：政府补助_重要会计政策和估计[双击切换]"/>
            <w:tag w:val="_GBC_09d5ec3540ea4d9a8e10c93326c490a0"/>
            <w:id w:val="-1246340606"/>
            <w:lock w:val="sdtLocked"/>
            <w:placeholder>
              <w:docPart w:val="GBC22222222222222222222222222222"/>
            </w:placeholder>
          </w:sdtPr>
          <w:sdtEndPr/>
          <w:sdtContent>
            <w:p w14:paraId="7CABA78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f313a7b8b81b4ed0845a3af1ac57e5e8"/>
            <w:id w:val="1190106264"/>
            <w:lock w:val="sdtLocked"/>
            <w:placeholder>
              <w:docPart w:val="GBC22222222222222222222222222222"/>
            </w:placeholder>
          </w:sdtPr>
          <w:sdtEndPr/>
          <w:sdtContent>
            <w:p w14:paraId="6045FA08" w14:textId="77777777" w:rsidR="00D21C1F" w:rsidRDefault="00A42880">
              <w:pPr>
                <w:pStyle w:val="120"/>
                <w:spacing w:line="360" w:lineRule="auto"/>
                <w:ind w:firstLineChars="200" w:firstLine="420"/>
                <w:jc w:val="both"/>
                <w:rPr>
                  <w:b/>
                  <w:bCs/>
                </w:rPr>
              </w:pPr>
              <w:r>
                <w:rPr>
                  <w:rFonts w:hint="eastAsia"/>
                  <w:b/>
                  <w:bCs/>
                </w:rPr>
                <w:t>（</w:t>
              </w:r>
              <w:r>
                <w:rPr>
                  <w:rFonts w:ascii="Times New Roman" w:hAnsi="Times New Roman" w:hint="eastAsia"/>
                  <w:b/>
                  <w:bCs/>
                </w:rPr>
                <w:t>1</w:t>
              </w:r>
              <w:r>
                <w:rPr>
                  <w:rFonts w:hint="eastAsia"/>
                  <w:b/>
                  <w:bCs/>
                </w:rPr>
                <w:t>）政府补助的确认</w:t>
              </w:r>
            </w:p>
            <w:p w14:paraId="7795F85E" w14:textId="77777777" w:rsidR="00D21C1F" w:rsidRDefault="00A42880">
              <w:pPr>
                <w:pStyle w:val="120"/>
                <w:spacing w:line="360" w:lineRule="auto"/>
                <w:ind w:firstLineChars="200" w:firstLine="420"/>
                <w:jc w:val="both"/>
              </w:pPr>
              <w:r>
                <w:rPr>
                  <w:rFonts w:hint="eastAsia"/>
                </w:rPr>
                <w:t>政府补助同时满足下列条件的，才能予以确认：</w:t>
              </w:r>
            </w:p>
            <w:p w14:paraId="4F662AD4" w14:textId="77777777" w:rsidR="00D21C1F" w:rsidRDefault="00A42880">
              <w:pPr>
                <w:pStyle w:val="120"/>
                <w:widowControl w:val="0"/>
                <w:numPr>
                  <w:ilvl w:val="0"/>
                  <w:numId w:val="83"/>
                </w:numPr>
                <w:spacing w:line="360" w:lineRule="auto"/>
                <w:ind w:left="0" w:firstLineChars="200" w:firstLine="420"/>
                <w:jc w:val="both"/>
              </w:pPr>
              <w:r>
                <w:rPr>
                  <w:rFonts w:hint="eastAsia"/>
                </w:rPr>
                <w:t>本公司能够满足政府补助所附条件；</w:t>
              </w:r>
            </w:p>
            <w:p w14:paraId="1D85EA73" w14:textId="77777777" w:rsidR="00D21C1F" w:rsidRDefault="00A42880">
              <w:pPr>
                <w:pStyle w:val="120"/>
                <w:widowControl w:val="0"/>
                <w:numPr>
                  <w:ilvl w:val="0"/>
                  <w:numId w:val="83"/>
                </w:numPr>
                <w:spacing w:line="360" w:lineRule="auto"/>
                <w:ind w:left="0" w:firstLineChars="200" w:firstLine="420"/>
                <w:jc w:val="both"/>
              </w:pPr>
              <w:r>
                <w:rPr>
                  <w:rFonts w:hint="eastAsia"/>
                </w:rPr>
                <w:t>本公司能够收到政府补助。</w:t>
              </w:r>
            </w:p>
            <w:p w14:paraId="357FF2AD" w14:textId="77777777" w:rsidR="00D21C1F" w:rsidRDefault="00A42880">
              <w:pPr>
                <w:pStyle w:val="120"/>
                <w:spacing w:line="360" w:lineRule="auto"/>
                <w:ind w:firstLineChars="200" w:firstLine="422"/>
                <w:jc w:val="both"/>
                <w:rPr>
                  <w:b/>
                  <w:bCs/>
                </w:rPr>
              </w:pPr>
              <w:r>
                <w:rPr>
                  <w:rFonts w:hint="eastAsia"/>
                  <w:b/>
                  <w:bCs/>
                </w:rPr>
                <w:t>（</w:t>
              </w:r>
              <w:r>
                <w:rPr>
                  <w:rFonts w:ascii="Times New Roman" w:hAnsi="Times New Roman" w:cs="宋体"/>
                </w:rPr>
                <w:t>2</w:t>
              </w:r>
              <w:r>
                <w:rPr>
                  <w:rFonts w:hint="eastAsia"/>
                  <w:b/>
                  <w:bCs/>
                </w:rPr>
                <w:t>）政府补助的计量</w:t>
              </w:r>
            </w:p>
            <w:p w14:paraId="088DB9D5" w14:textId="77777777" w:rsidR="00D21C1F" w:rsidRDefault="00A42880">
              <w:pPr>
                <w:pStyle w:val="120"/>
                <w:spacing w:line="360" w:lineRule="auto"/>
                <w:ind w:firstLineChars="200" w:firstLine="420"/>
                <w:jc w:val="both"/>
              </w:pPr>
              <w:r>
                <w:rPr>
                  <w:rFonts w:hint="eastAsia"/>
                </w:rPr>
                <w:t>政府补助为货币性资产的，按照收到或应收的金额计量。政府补助为非货币性资产的，按照公允价值计量；公允价值不能可靠取得的，按照名义金额计量。</w:t>
              </w:r>
            </w:p>
            <w:p w14:paraId="401ED1D5" w14:textId="77777777" w:rsidR="00D21C1F" w:rsidRDefault="00A42880">
              <w:pPr>
                <w:pStyle w:val="120"/>
                <w:spacing w:line="360" w:lineRule="auto"/>
                <w:ind w:firstLineChars="200" w:firstLine="422"/>
                <w:jc w:val="both"/>
                <w:rPr>
                  <w:b/>
                  <w:bCs/>
                </w:rPr>
              </w:pPr>
              <w:r>
                <w:rPr>
                  <w:rFonts w:hint="eastAsia"/>
                  <w:b/>
                  <w:bCs/>
                </w:rPr>
                <w:t>（</w:t>
              </w:r>
              <w:r>
                <w:rPr>
                  <w:rFonts w:ascii="Times New Roman" w:hAnsi="Times New Roman" w:cs="宋体"/>
                </w:rPr>
                <w:t>3</w:t>
              </w:r>
              <w:r>
                <w:rPr>
                  <w:rFonts w:hint="eastAsia"/>
                  <w:b/>
                  <w:bCs/>
                </w:rPr>
                <w:t>）政府补助的会计处理</w:t>
              </w:r>
            </w:p>
            <w:p w14:paraId="7964ADB8" w14:textId="77777777" w:rsidR="00D21C1F" w:rsidRDefault="00A42880">
              <w:pPr>
                <w:pStyle w:val="120"/>
                <w:widowControl w:val="0"/>
                <w:numPr>
                  <w:ilvl w:val="0"/>
                  <w:numId w:val="84"/>
                </w:numPr>
                <w:spacing w:line="360" w:lineRule="auto"/>
                <w:jc w:val="both"/>
              </w:pPr>
              <w:r>
                <w:rPr>
                  <w:rFonts w:hint="eastAsia"/>
                </w:rPr>
                <w:t>与资产相关的政府补助</w:t>
              </w:r>
            </w:p>
            <w:p w14:paraId="266967C7" w14:textId="77777777" w:rsidR="00D21C1F" w:rsidRDefault="00A42880">
              <w:pPr>
                <w:pStyle w:val="120"/>
                <w:spacing w:line="360" w:lineRule="auto"/>
                <w:ind w:firstLineChars="200" w:firstLine="420"/>
                <w:jc w:val="both"/>
              </w:pPr>
              <w:r>
                <w:rPr>
                  <w:rFonts w:hint="eastAsia"/>
                </w:rPr>
                <w:t>公司取得的、用于购建或以其他方式形成长期资产的政府补助划分为与资产相关的政府补助。与资产相关的政府补助确认为递延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14:paraId="34BF018E" w14:textId="77777777" w:rsidR="00D21C1F" w:rsidRDefault="00A42880">
              <w:pPr>
                <w:pStyle w:val="120"/>
                <w:widowControl w:val="0"/>
                <w:numPr>
                  <w:ilvl w:val="0"/>
                  <w:numId w:val="84"/>
                </w:numPr>
                <w:spacing w:line="360" w:lineRule="auto"/>
                <w:ind w:left="0" w:firstLineChars="200" w:firstLine="420"/>
                <w:jc w:val="both"/>
              </w:pPr>
              <w:r>
                <w:rPr>
                  <w:rFonts w:hint="eastAsia"/>
                </w:rPr>
                <w:t>与收益相关的政府补助</w:t>
              </w:r>
            </w:p>
            <w:p w14:paraId="1EAB6A46" w14:textId="77777777" w:rsidR="00D21C1F" w:rsidRDefault="00A42880">
              <w:pPr>
                <w:pStyle w:val="120"/>
                <w:spacing w:line="360" w:lineRule="auto"/>
                <w:ind w:firstLineChars="200" w:firstLine="420"/>
                <w:jc w:val="both"/>
              </w:pPr>
              <w:r>
                <w:rPr>
                  <w:rFonts w:hint="eastAsia"/>
                </w:rPr>
                <w:lastRenderedPageBreak/>
                <w:t>除与资产相关的政府补助之外的政府补助划分为与收益相关的政府补助。与收益相关的政府补助，分情况按照以下规定进行会计处理：</w:t>
              </w:r>
            </w:p>
            <w:p w14:paraId="3118B00F" w14:textId="77777777" w:rsidR="00D21C1F" w:rsidRDefault="00A42880">
              <w:pPr>
                <w:pStyle w:val="120"/>
                <w:spacing w:line="360" w:lineRule="auto"/>
                <w:ind w:firstLineChars="200" w:firstLine="420"/>
                <w:jc w:val="both"/>
              </w:pPr>
              <w:r>
                <w:rPr>
                  <w:rFonts w:hint="eastAsia"/>
                </w:rPr>
                <w:t>用于补偿本公司以后期间的相关成本费用或损失的，确认为递延收益，并在确认相关成本费用或损失的期间，计入当期损益；</w:t>
              </w:r>
            </w:p>
            <w:p w14:paraId="1B2704DF" w14:textId="77777777" w:rsidR="00D21C1F" w:rsidRDefault="00A42880">
              <w:pPr>
                <w:pStyle w:val="120"/>
                <w:spacing w:line="360" w:lineRule="auto"/>
                <w:ind w:firstLineChars="200" w:firstLine="420"/>
                <w:jc w:val="both"/>
              </w:pPr>
              <w:r>
                <w:rPr>
                  <w:rFonts w:hint="eastAsia"/>
                </w:rPr>
                <w:t>用于补偿本公司已发生的相关成本费用或损失的，直接计入当期损益。</w:t>
              </w:r>
            </w:p>
            <w:p w14:paraId="42F2952F" w14:textId="77777777" w:rsidR="00D21C1F" w:rsidRDefault="00A42880">
              <w:pPr>
                <w:pStyle w:val="120"/>
                <w:spacing w:line="360" w:lineRule="auto"/>
                <w:ind w:firstLineChars="200" w:firstLine="420"/>
                <w:jc w:val="both"/>
              </w:pPr>
              <w:r>
                <w:rPr>
                  <w:rFonts w:hint="eastAsia"/>
                </w:rPr>
                <w:t>对于同时包含与资产相关部分和与收益相关部分的政府补助，区分不同部分分别进行会计处理；难以区分的，整体归类为与收益相关的政府补助。</w:t>
              </w:r>
            </w:p>
            <w:p w14:paraId="6F52126C" w14:textId="77777777" w:rsidR="00D21C1F" w:rsidRDefault="00A42880">
              <w:pPr>
                <w:pStyle w:val="120"/>
                <w:spacing w:line="360" w:lineRule="auto"/>
                <w:ind w:firstLineChars="200" w:firstLine="420"/>
                <w:jc w:val="both"/>
              </w:pPr>
              <w:r>
                <w:rPr>
                  <w:rFonts w:hint="eastAsia"/>
                </w:rPr>
                <w:t>与本公司日常活动相关的政府补助，按照经济业务实质，计入其他收益。与本公司日常活动无关的政府补助，计入营业外收支。</w:t>
              </w:r>
            </w:p>
            <w:p w14:paraId="3A99BE15" w14:textId="77777777" w:rsidR="00D21C1F" w:rsidRDefault="00A42880">
              <w:pPr>
                <w:pStyle w:val="120"/>
                <w:widowControl w:val="0"/>
                <w:numPr>
                  <w:ilvl w:val="0"/>
                  <w:numId w:val="84"/>
                </w:numPr>
                <w:spacing w:line="360" w:lineRule="auto"/>
                <w:ind w:left="0" w:firstLineChars="200" w:firstLine="420"/>
                <w:jc w:val="both"/>
              </w:pPr>
              <w:r>
                <w:rPr>
                  <w:rFonts w:hint="eastAsia"/>
                </w:rPr>
                <w:t>政策性优惠贷款贴息</w:t>
              </w:r>
            </w:p>
            <w:p w14:paraId="371E076B" w14:textId="77777777" w:rsidR="00D21C1F" w:rsidRDefault="00A42880">
              <w:pPr>
                <w:pStyle w:val="120"/>
                <w:spacing w:line="360" w:lineRule="auto"/>
                <w:ind w:firstLineChars="200" w:firstLine="420"/>
                <w:jc w:val="both"/>
              </w:pPr>
              <w:r>
                <w:rPr>
                  <w:rFonts w:hint="eastAsia"/>
                </w:rPr>
                <w:t>财政将贴息资金拨付给贷款银行，由贷款银行以政策性优惠利率向本公司提供贷款的，以实际收到的借款金额作为借款的入账价值，按照借款本金和该政策性优惠利率计算相关借款费用。</w:t>
              </w:r>
            </w:p>
            <w:p w14:paraId="160F5AE8" w14:textId="77777777" w:rsidR="00D21C1F" w:rsidRDefault="00A42880">
              <w:pPr>
                <w:pStyle w:val="120"/>
                <w:spacing w:line="360" w:lineRule="auto"/>
                <w:ind w:firstLineChars="200" w:firstLine="420"/>
                <w:jc w:val="both"/>
              </w:pPr>
              <w:r>
                <w:rPr>
                  <w:rFonts w:hint="eastAsia"/>
                </w:rPr>
                <w:t>财政将贴息资金直接拨付给本公司，本公司将对应的贴息冲减相关借款费用。</w:t>
              </w:r>
            </w:p>
            <w:p w14:paraId="661F313F" w14:textId="77777777" w:rsidR="00D21C1F" w:rsidRDefault="00A42880">
              <w:pPr>
                <w:pStyle w:val="120"/>
                <w:widowControl w:val="0"/>
                <w:numPr>
                  <w:ilvl w:val="0"/>
                  <w:numId w:val="84"/>
                </w:numPr>
                <w:spacing w:line="360" w:lineRule="auto"/>
                <w:ind w:left="0" w:firstLineChars="200" w:firstLine="420"/>
                <w:jc w:val="both"/>
              </w:pPr>
              <w:r>
                <w:rPr>
                  <w:rFonts w:hint="eastAsia"/>
                </w:rPr>
                <w:t>政府补助退回</w:t>
              </w:r>
            </w:p>
            <w:p w14:paraId="55B13C37" w14:textId="77777777" w:rsidR="00D21C1F" w:rsidRDefault="00A42880">
              <w:pPr>
                <w:pStyle w:val="120"/>
                <w:spacing w:line="360" w:lineRule="auto"/>
                <w:ind w:firstLineChars="200" w:firstLine="420"/>
                <w:jc w:val="both"/>
              </w:pPr>
              <w:r>
                <w:rPr>
                  <w:rFonts w:hint="eastAsia"/>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sdtContent>
    </w:sdt>
    <w:bookmarkEnd w:id="162"/>
    <w:p w14:paraId="0B5FED44" w14:textId="77777777" w:rsidR="00D21C1F" w:rsidRDefault="00D21C1F">
      <w:pPr>
        <w:rPr>
          <w:szCs w:val="21"/>
        </w:rPr>
      </w:pPr>
    </w:p>
    <w:sdt>
      <w:sdtPr>
        <w:rPr>
          <w:rFonts w:ascii="宋体" w:hAnsi="宋体" w:cs="宋体"/>
          <w:b w:val="0"/>
          <w:bCs w:val="0"/>
          <w:kern w:val="0"/>
          <w:szCs w:val="22"/>
        </w:rPr>
        <w:alias w:val="模块:递延所得税资产/递延所得税负债会计处理方法"/>
        <w:tag w:val="_GBC_01f1973e44f24cd99b90200f8205be13"/>
        <w:id w:val="-697546384"/>
        <w:lock w:val="sdtLocked"/>
        <w:placeholder>
          <w:docPart w:val="GBC22222222222222222222222222222"/>
        </w:placeholder>
      </w:sdtPr>
      <w:sdtEndPr>
        <w:rPr>
          <w:rFonts w:cs="Times New Roman" w:hint="eastAsia"/>
          <w:kern w:val="2"/>
          <w:szCs w:val="21"/>
        </w:rPr>
      </w:sdtEndPr>
      <w:sdtContent>
        <w:p w14:paraId="7A1DF0AA" w14:textId="77777777" w:rsidR="00D21C1F" w:rsidRDefault="00A42880">
          <w:pPr>
            <w:pStyle w:val="94"/>
            <w:numPr>
              <w:ilvl w:val="0"/>
              <w:numId w:val="45"/>
            </w:numPr>
            <w:rPr>
              <w:rFonts w:ascii="宋体" w:hAnsi="宋体"/>
            </w:rPr>
          </w:pPr>
          <w:r>
            <w:rPr>
              <w:rFonts w:ascii="宋体" w:hAnsi="宋体"/>
            </w:rPr>
            <w:t>递延所得税资产/递延所得税负债</w:t>
          </w:r>
        </w:p>
        <w:sdt>
          <w:sdtPr>
            <w:rPr>
              <w:rFonts w:hint="eastAsia"/>
              <w:szCs w:val="21"/>
            </w:rPr>
            <w:alias w:val="是否适用：所得税的会计处理方法[双击切换]"/>
            <w:tag w:val="_GBC_3e4bb828d17944599248216201e65683"/>
            <w:id w:val="-1122681063"/>
            <w:lock w:val="sdtLocked"/>
            <w:placeholder>
              <w:docPart w:val="GBC22222222222222222222222222222"/>
            </w:placeholder>
          </w:sdtPr>
          <w:sdtEndPr/>
          <w:sdtContent>
            <w:p w14:paraId="69A694FA"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所得税的会计处理方法"/>
            <w:tag w:val="_GBC_545dd84ed2b9458fa5e2b87aa1e1cc1c"/>
            <w:id w:val="-131338672"/>
            <w:lock w:val="sdtLocked"/>
            <w:placeholder>
              <w:docPart w:val="GBC22222222222222222222222222222"/>
            </w:placeholder>
          </w:sdtPr>
          <w:sdtEndPr/>
          <w:sdtContent>
            <w:p w14:paraId="36AE3853" w14:textId="77777777" w:rsidR="00D21C1F" w:rsidRDefault="00A42880">
              <w:pPr>
                <w:pStyle w:val="120"/>
                <w:spacing w:line="360" w:lineRule="auto"/>
                <w:ind w:firstLineChars="200" w:firstLine="420"/>
                <w:jc w:val="both"/>
              </w:pPr>
              <w:r>
                <w:rPr>
                  <w:rFonts w:hint="eastAsia"/>
                </w:rPr>
                <w:t>本公司通常根据资产与负债在资产负债表日的账面价值与计税基础之间的暂时性差异，采用资产负债表债务法将应纳税暂时性差异或可抵扣暂时性差异对所得税的影响额确认和计量为递延所得税负债或递延所得税资产。本公司不对递延所得税资产和递延所得税负债进行折现。</w:t>
              </w:r>
            </w:p>
            <w:p w14:paraId="54B3AB82" w14:textId="77777777" w:rsidR="00D21C1F" w:rsidRDefault="00A42880">
              <w:pPr>
                <w:pStyle w:val="120"/>
                <w:widowControl w:val="0"/>
                <w:numPr>
                  <w:ilvl w:val="2"/>
                  <w:numId w:val="85"/>
                </w:numPr>
                <w:spacing w:line="360" w:lineRule="auto"/>
                <w:ind w:left="0" w:firstLineChars="200" w:firstLine="422"/>
                <w:jc w:val="both"/>
                <w:rPr>
                  <w:b/>
                  <w:bCs/>
                </w:rPr>
              </w:pPr>
              <w:r>
                <w:rPr>
                  <w:rFonts w:hint="eastAsia"/>
                  <w:b/>
                  <w:bCs/>
                </w:rPr>
                <w:t>递延所得税资产的确认</w:t>
              </w:r>
            </w:p>
            <w:p w14:paraId="0BC76E86" w14:textId="77777777" w:rsidR="00D21C1F" w:rsidRDefault="00A42880">
              <w:pPr>
                <w:pStyle w:val="120"/>
                <w:spacing w:line="360" w:lineRule="auto"/>
                <w:ind w:firstLineChars="200" w:firstLine="420"/>
                <w:jc w:val="both"/>
              </w:pPr>
              <w:r>
                <w:rPr>
                  <w:rFonts w:hint="eastAsia"/>
                </w:rPr>
                <w:t>对于可抵扣暂时性差异、能够结转以后年度的可抵扣亏损和税款抵减，其对所得税的影响额按预计转回期间的所得税税率计算，并将该影响额确认为递延所得税资产，但是以本公司很可能取得用来抵扣可抵扣暂时性差异、可抵扣亏损和税款抵减的未来应纳税所得额为限。</w:t>
              </w:r>
            </w:p>
            <w:p w14:paraId="7CE7CB6A" w14:textId="77777777" w:rsidR="00D21C1F" w:rsidRDefault="00A42880">
              <w:pPr>
                <w:pStyle w:val="120"/>
                <w:spacing w:line="360" w:lineRule="auto"/>
                <w:ind w:firstLineChars="200" w:firstLine="420"/>
                <w:jc w:val="both"/>
              </w:pPr>
              <w:r>
                <w:rPr>
                  <w:rFonts w:hint="eastAsia"/>
                </w:rPr>
                <w:t>同时具有下列特征的交易或事项中因资产或负债的初始确认所产生的可抵扣暂时性差异对所得税的影响额不确认为递延所得税资产：</w:t>
              </w:r>
            </w:p>
            <w:p w14:paraId="63739F50" w14:textId="77777777" w:rsidR="00D21C1F" w:rsidRDefault="00A42880">
              <w:pPr>
                <w:pStyle w:val="120"/>
                <w:widowControl w:val="0"/>
                <w:numPr>
                  <w:ilvl w:val="1"/>
                  <w:numId w:val="86"/>
                </w:numPr>
                <w:spacing w:line="360" w:lineRule="auto"/>
                <w:ind w:left="0" w:firstLineChars="200" w:firstLine="420"/>
                <w:jc w:val="both"/>
              </w:pPr>
              <w:r>
                <w:rPr>
                  <w:rFonts w:hint="eastAsia"/>
                </w:rPr>
                <w:t>该项交易不是企业合并；</w:t>
              </w:r>
            </w:p>
            <w:p w14:paraId="65B39900" w14:textId="77777777" w:rsidR="00D21C1F" w:rsidRDefault="00A42880">
              <w:pPr>
                <w:pStyle w:val="120"/>
                <w:widowControl w:val="0"/>
                <w:numPr>
                  <w:ilvl w:val="1"/>
                  <w:numId w:val="86"/>
                </w:numPr>
                <w:spacing w:line="360" w:lineRule="auto"/>
                <w:ind w:left="0" w:firstLineChars="200" w:firstLine="420"/>
                <w:jc w:val="both"/>
              </w:pPr>
              <w:r>
                <w:rPr>
                  <w:rFonts w:hint="eastAsia"/>
                </w:rPr>
                <w:t>交易发生时既不影响会计利润也不影响应纳税所得额(或可抵扣亏损)。</w:t>
              </w:r>
            </w:p>
            <w:p w14:paraId="36018625" w14:textId="77777777" w:rsidR="00D21C1F" w:rsidRDefault="00A42880">
              <w:pPr>
                <w:pStyle w:val="120"/>
                <w:spacing w:line="360" w:lineRule="auto"/>
                <w:ind w:firstLineChars="200" w:firstLine="420"/>
                <w:jc w:val="both"/>
              </w:pPr>
              <w:r>
                <w:rPr>
                  <w:rFonts w:hint="eastAsia"/>
                </w:rPr>
                <w:t>本公司对与子公司、联营公司及合营企业投资相关的可抵扣暂时性差异，同时满足下列两项条件的，其对所得税的影响额(才能)确认为递延所得税资产：</w:t>
              </w:r>
            </w:p>
            <w:p w14:paraId="7383F78E" w14:textId="77777777" w:rsidR="00D21C1F" w:rsidRDefault="00A42880">
              <w:pPr>
                <w:pStyle w:val="120"/>
                <w:widowControl w:val="0"/>
                <w:numPr>
                  <w:ilvl w:val="1"/>
                  <w:numId w:val="86"/>
                </w:numPr>
                <w:spacing w:line="360" w:lineRule="auto"/>
                <w:ind w:left="0" w:firstLineChars="200" w:firstLine="420"/>
                <w:jc w:val="both"/>
              </w:pPr>
              <w:r>
                <w:rPr>
                  <w:rFonts w:hint="eastAsia"/>
                </w:rPr>
                <w:t>暂时性差异在可预见的未来很可能转回；</w:t>
              </w:r>
            </w:p>
            <w:p w14:paraId="28BCF2AE" w14:textId="77777777" w:rsidR="00D21C1F" w:rsidRDefault="00A42880">
              <w:pPr>
                <w:pStyle w:val="120"/>
                <w:widowControl w:val="0"/>
                <w:numPr>
                  <w:ilvl w:val="1"/>
                  <w:numId w:val="86"/>
                </w:numPr>
                <w:spacing w:line="360" w:lineRule="auto"/>
                <w:ind w:left="0" w:firstLineChars="200" w:firstLine="420"/>
                <w:jc w:val="both"/>
              </w:pPr>
              <w:r>
                <w:rPr>
                  <w:rFonts w:hint="eastAsia"/>
                </w:rPr>
                <w:lastRenderedPageBreak/>
                <w:t>未来很可能获得用来抵扣可抵扣暂时性差异的应纳税所得额；</w:t>
              </w:r>
            </w:p>
            <w:p w14:paraId="73B6CCDB" w14:textId="77777777" w:rsidR="00D21C1F" w:rsidRDefault="00A42880">
              <w:pPr>
                <w:pStyle w:val="120"/>
                <w:spacing w:line="360" w:lineRule="auto"/>
                <w:ind w:firstLineChars="200" w:firstLine="420"/>
                <w:jc w:val="both"/>
              </w:pPr>
              <w:r>
                <w:rPr>
                  <w:rFonts w:hint="eastAsia"/>
                </w:rPr>
                <w:t>资产负债表日，有确凿证据表明未来期间很可能获得足够的应纳税所得额用来抵扣可抵扣暂时性差异的，确认以前期间未确认的递延所得税资产。</w:t>
              </w:r>
            </w:p>
            <w:p w14:paraId="46DDF0FC" w14:textId="77777777" w:rsidR="00D21C1F" w:rsidRDefault="00A42880">
              <w:pPr>
                <w:pStyle w:val="120"/>
                <w:spacing w:line="360" w:lineRule="auto"/>
                <w:ind w:firstLineChars="200" w:firstLine="420"/>
                <w:jc w:val="both"/>
              </w:pPr>
              <w:r>
                <w:rPr>
                  <w:rFonts w:hint="eastAsia"/>
                </w:rPr>
                <w:t>在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14:paraId="4B72BE1A" w14:textId="77777777" w:rsidR="00D21C1F" w:rsidRDefault="00A42880">
              <w:pPr>
                <w:pStyle w:val="120"/>
                <w:widowControl w:val="0"/>
                <w:numPr>
                  <w:ilvl w:val="2"/>
                  <w:numId w:val="85"/>
                </w:numPr>
                <w:spacing w:line="360" w:lineRule="auto"/>
                <w:ind w:left="0" w:firstLineChars="200" w:firstLine="422"/>
                <w:jc w:val="both"/>
                <w:rPr>
                  <w:b/>
                  <w:bCs/>
                </w:rPr>
              </w:pPr>
              <w:r>
                <w:rPr>
                  <w:rFonts w:hint="eastAsia"/>
                  <w:b/>
                  <w:bCs/>
                </w:rPr>
                <w:t>递延所得税负债的确认</w:t>
              </w:r>
            </w:p>
            <w:p w14:paraId="0BF3BB06" w14:textId="77777777" w:rsidR="00D21C1F" w:rsidRDefault="00A42880">
              <w:pPr>
                <w:pStyle w:val="120"/>
                <w:spacing w:line="360" w:lineRule="auto"/>
                <w:ind w:firstLineChars="200" w:firstLine="420"/>
                <w:jc w:val="both"/>
              </w:pPr>
              <w:r>
                <w:rPr>
                  <w:rFonts w:hint="eastAsia"/>
                </w:rPr>
                <w:t>本公司所有应纳税暂时性差异均按预计转回期间的所得税税率计量对所得税的影响，并将该影响额确认为递延所得税负债，但下列情况的除外：</w:t>
              </w:r>
            </w:p>
            <w:p w14:paraId="205A84E9" w14:textId="77777777" w:rsidR="00D21C1F" w:rsidRDefault="00A42880">
              <w:pPr>
                <w:pStyle w:val="120"/>
                <w:widowControl w:val="0"/>
                <w:numPr>
                  <w:ilvl w:val="0"/>
                  <w:numId w:val="87"/>
                </w:numPr>
                <w:spacing w:line="360" w:lineRule="auto"/>
                <w:ind w:left="0" w:firstLineChars="200" w:firstLine="420"/>
                <w:jc w:val="both"/>
              </w:pPr>
              <w:r>
                <w:rPr>
                  <w:rFonts w:hint="eastAsia"/>
                </w:rPr>
                <w:t>因下列交易或事项中产生的应纳税暂时性差异对所得税的影响不确认为递延所得税负债：</w:t>
              </w:r>
            </w:p>
            <w:p w14:paraId="4BA9AD2B" w14:textId="77777777" w:rsidR="00D21C1F" w:rsidRDefault="00A42880">
              <w:pPr>
                <w:pStyle w:val="120"/>
                <w:widowControl w:val="0"/>
                <w:numPr>
                  <w:ilvl w:val="1"/>
                  <w:numId w:val="88"/>
                </w:numPr>
                <w:spacing w:line="360" w:lineRule="auto"/>
                <w:ind w:left="0" w:firstLineChars="200" w:firstLine="420"/>
                <w:jc w:val="both"/>
              </w:pPr>
              <w:r>
                <w:rPr>
                  <w:rFonts w:hint="eastAsia"/>
                </w:rPr>
                <w:t>商誉的初始确认；</w:t>
              </w:r>
            </w:p>
            <w:p w14:paraId="4765323F" w14:textId="77777777" w:rsidR="00D21C1F" w:rsidRDefault="00A42880">
              <w:pPr>
                <w:pStyle w:val="120"/>
                <w:widowControl w:val="0"/>
                <w:numPr>
                  <w:ilvl w:val="1"/>
                  <w:numId w:val="88"/>
                </w:numPr>
                <w:spacing w:line="360" w:lineRule="auto"/>
                <w:ind w:left="0" w:firstLineChars="200" w:firstLine="420"/>
                <w:jc w:val="both"/>
              </w:pPr>
              <w:r>
                <w:rPr>
                  <w:rFonts w:hint="eastAsia"/>
                </w:rPr>
                <w:t>具有以下特征的交易中产生的资产或负债的初始确认：该交易不是企业合并，并且交易发生时既不影响会计利润也不影响应纳税所得额或可抵扣亏损。</w:t>
              </w:r>
            </w:p>
            <w:p w14:paraId="10457CBF" w14:textId="77777777" w:rsidR="00D21C1F" w:rsidRDefault="00A42880">
              <w:pPr>
                <w:pStyle w:val="120"/>
                <w:widowControl w:val="0"/>
                <w:numPr>
                  <w:ilvl w:val="0"/>
                  <w:numId w:val="87"/>
                </w:numPr>
                <w:spacing w:line="360" w:lineRule="auto"/>
                <w:ind w:left="0" w:firstLineChars="200" w:firstLine="420"/>
                <w:jc w:val="both"/>
              </w:pPr>
              <w:r>
                <w:rPr>
                  <w:rFonts w:hint="eastAsia"/>
                </w:rPr>
                <w:t>本公司对与子公司、合营企业及联营企业投资相关的应纳税暂时性差异，其对所得税的影响额一般确认为递延所得税负债，但同时满足以下两项条件的除外：</w:t>
              </w:r>
            </w:p>
            <w:p w14:paraId="54CF6767" w14:textId="77777777" w:rsidR="00D21C1F" w:rsidRDefault="00A42880">
              <w:pPr>
                <w:pStyle w:val="120"/>
                <w:widowControl w:val="0"/>
                <w:numPr>
                  <w:ilvl w:val="0"/>
                  <w:numId w:val="89"/>
                </w:numPr>
                <w:spacing w:line="360" w:lineRule="auto"/>
                <w:ind w:left="0" w:firstLineChars="200" w:firstLine="420"/>
                <w:jc w:val="both"/>
              </w:pPr>
              <w:r>
                <w:rPr>
                  <w:rFonts w:hint="eastAsia"/>
                </w:rPr>
                <w:t>本公司能够控制暂时性差异转回的时间；</w:t>
              </w:r>
            </w:p>
            <w:p w14:paraId="33BEC737" w14:textId="77777777" w:rsidR="00D21C1F" w:rsidRDefault="00A42880">
              <w:pPr>
                <w:pStyle w:val="120"/>
                <w:widowControl w:val="0"/>
                <w:numPr>
                  <w:ilvl w:val="0"/>
                  <w:numId w:val="89"/>
                </w:numPr>
                <w:spacing w:line="360" w:lineRule="auto"/>
                <w:ind w:left="0" w:firstLineChars="200" w:firstLine="420"/>
                <w:jc w:val="both"/>
              </w:pPr>
              <w:r>
                <w:rPr>
                  <w:rFonts w:hint="eastAsia"/>
                </w:rPr>
                <w:t>该暂时性差异在可预见的未来很可能不会转回。</w:t>
              </w:r>
            </w:p>
            <w:p w14:paraId="38ED58EE" w14:textId="77777777" w:rsidR="00D21C1F" w:rsidRDefault="00A42880">
              <w:pPr>
                <w:pStyle w:val="120"/>
                <w:widowControl w:val="0"/>
                <w:numPr>
                  <w:ilvl w:val="2"/>
                  <w:numId w:val="85"/>
                </w:numPr>
                <w:spacing w:line="360" w:lineRule="auto"/>
                <w:ind w:left="0" w:firstLineChars="200" w:firstLine="422"/>
                <w:jc w:val="both"/>
                <w:rPr>
                  <w:b/>
                  <w:bCs/>
                </w:rPr>
              </w:pPr>
              <w:r>
                <w:rPr>
                  <w:rFonts w:hint="eastAsia"/>
                  <w:b/>
                  <w:bCs/>
                </w:rPr>
                <w:t>特定交易或事项所涉及的递延所得税负债或资产的确认</w:t>
              </w:r>
            </w:p>
            <w:p w14:paraId="04797509" w14:textId="77777777" w:rsidR="00D21C1F" w:rsidRDefault="00A42880">
              <w:pPr>
                <w:pStyle w:val="120"/>
                <w:widowControl w:val="0"/>
                <w:numPr>
                  <w:ilvl w:val="0"/>
                  <w:numId w:val="90"/>
                </w:numPr>
                <w:spacing w:line="360" w:lineRule="auto"/>
                <w:jc w:val="both"/>
              </w:pPr>
              <w:r>
                <w:rPr>
                  <w:rFonts w:hint="eastAsia"/>
                </w:rPr>
                <w:t>与企业合并相关的递延所得税负债或资产</w:t>
              </w:r>
            </w:p>
            <w:p w14:paraId="428B9430" w14:textId="77777777" w:rsidR="00D21C1F" w:rsidRDefault="00A42880">
              <w:pPr>
                <w:pStyle w:val="120"/>
                <w:spacing w:line="360" w:lineRule="auto"/>
                <w:ind w:firstLineChars="200" w:firstLine="420"/>
                <w:jc w:val="both"/>
              </w:pPr>
              <w:r>
                <w:rPr>
                  <w:rFonts w:hint="eastAsia"/>
                </w:rPr>
                <w:t>非同一控制下企业合并产生的应纳税暂时性差异或可抵扣暂时性差异，在确认递延所得税负债或递延所得税资产的同时，相关的递延所得税费用（或收益），通常调整企业合并中所确认的商誉。</w:t>
              </w:r>
            </w:p>
            <w:p w14:paraId="7FC0DEEF" w14:textId="77777777" w:rsidR="00D21C1F" w:rsidRDefault="00A42880">
              <w:pPr>
                <w:pStyle w:val="120"/>
                <w:widowControl w:val="0"/>
                <w:numPr>
                  <w:ilvl w:val="0"/>
                  <w:numId w:val="90"/>
                </w:numPr>
                <w:spacing w:line="360" w:lineRule="auto"/>
                <w:ind w:left="0" w:firstLineChars="200" w:firstLine="420"/>
                <w:jc w:val="both"/>
              </w:pPr>
              <w:r>
                <w:rPr>
                  <w:rFonts w:hint="eastAsia"/>
                </w:rPr>
                <w:t>直接计入所有者权益的项目</w:t>
              </w:r>
            </w:p>
            <w:p w14:paraId="25356D70" w14:textId="77777777" w:rsidR="00D21C1F" w:rsidRDefault="00A42880">
              <w:pPr>
                <w:pStyle w:val="120"/>
                <w:spacing w:line="360" w:lineRule="auto"/>
                <w:ind w:firstLineChars="200" w:firstLine="420"/>
                <w:jc w:val="both"/>
              </w:pPr>
              <w:r>
                <w:rPr>
                  <w:rFonts w:hint="eastAsia"/>
                </w:rPr>
                <w:t>与直接计入所有者权益的交易或者事项相关的当期所得税和递延所得税，计入所有者权益。暂时性差异对所得税的影响计入所有者权益的交易或事项包括：其他债权投资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14:paraId="0DB429D9" w14:textId="77777777" w:rsidR="00D21C1F" w:rsidRDefault="00A42880">
              <w:pPr>
                <w:pStyle w:val="120"/>
                <w:widowControl w:val="0"/>
                <w:numPr>
                  <w:ilvl w:val="0"/>
                  <w:numId w:val="90"/>
                </w:numPr>
                <w:spacing w:line="360" w:lineRule="auto"/>
                <w:ind w:left="0" w:firstLineChars="200" w:firstLine="420"/>
                <w:jc w:val="both"/>
              </w:pPr>
              <w:r>
                <w:rPr>
                  <w:rFonts w:hint="eastAsia"/>
                </w:rPr>
                <w:t>可弥补亏损和税款抵减</w:t>
              </w:r>
            </w:p>
            <w:p w14:paraId="53B61A3C" w14:textId="77777777" w:rsidR="00D21C1F" w:rsidRDefault="00A42880">
              <w:pPr>
                <w:pStyle w:val="120"/>
                <w:widowControl w:val="0"/>
                <w:numPr>
                  <w:ilvl w:val="3"/>
                  <w:numId w:val="91"/>
                </w:numPr>
                <w:spacing w:line="360" w:lineRule="auto"/>
                <w:ind w:left="0" w:firstLineChars="200" w:firstLine="420"/>
                <w:jc w:val="both"/>
              </w:pPr>
              <w:r>
                <w:rPr>
                  <w:rFonts w:hint="eastAsia"/>
                </w:rPr>
                <w:t>本公司自身经营产生的可弥补亏损以及税款抵减</w:t>
              </w:r>
            </w:p>
            <w:p w14:paraId="0C1956AD" w14:textId="77777777" w:rsidR="00D21C1F" w:rsidRDefault="00A42880">
              <w:pPr>
                <w:pStyle w:val="120"/>
                <w:spacing w:line="360" w:lineRule="auto"/>
                <w:ind w:firstLineChars="200" w:firstLine="420"/>
                <w:jc w:val="both"/>
              </w:pPr>
              <w:r>
                <w:rPr>
                  <w:rFonts w:hint="eastAsia"/>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w:t>
              </w:r>
              <w:r>
                <w:rPr>
                  <w:rFonts w:hint="eastAsia"/>
                </w:rPr>
                <w:lastRenderedPageBreak/>
                <w:t>以很可能取得的应纳税所得额为限，确认相应的递延所得税资产，同时减少当期利润表中的所得税费用。</w:t>
              </w:r>
            </w:p>
            <w:p w14:paraId="431EED62" w14:textId="77777777" w:rsidR="00D21C1F" w:rsidRDefault="00A42880">
              <w:pPr>
                <w:pStyle w:val="120"/>
                <w:widowControl w:val="0"/>
                <w:numPr>
                  <w:ilvl w:val="3"/>
                  <w:numId w:val="91"/>
                </w:numPr>
                <w:spacing w:line="360" w:lineRule="auto"/>
                <w:ind w:left="0" w:firstLineChars="200" w:firstLine="420"/>
                <w:jc w:val="both"/>
              </w:pPr>
              <w:r>
                <w:rPr>
                  <w:rFonts w:hint="eastAsia"/>
                </w:rPr>
                <w:t>因企业合并而形成的可弥补的被合并企业的未弥补亏损</w:t>
              </w:r>
            </w:p>
            <w:p w14:paraId="1485ADD5" w14:textId="77777777" w:rsidR="00D21C1F" w:rsidRDefault="00A42880">
              <w:pPr>
                <w:pStyle w:val="120"/>
                <w:spacing w:line="360" w:lineRule="auto"/>
                <w:ind w:firstLineChars="200" w:firstLine="420"/>
                <w:jc w:val="both"/>
              </w:pPr>
              <w:r>
                <w:rPr>
                  <w:rFonts w:hint="eastAsia"/>
                </w:rPr>
                <w:t>在企业合并中，本公司取得被购买方的可抵扣暂时性差异，在购买日不符合递延所得税资产确认条件的，不予以确认。购买日后</w:t>
              </w:r>
              <w:r>
                <w:rPr>
                  <w:rFonts w:ascii="Times New Roman" w:hAnsi="Times New Roman" w:hint="eastAsia"/>
                </w:rPr>
                <w:t>12</w:t>
              </w:r>
              <w:r>
                <w:rPr>
                  <w:rFonts w:hint="eastAsia"/>
                </w:rPr>
                <w:t>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676A8710" w14:textId="77777777" w:rsidR="00D21C1F" w:rsidRDefault="00A42880">
              <w:pPr>
                <w:pStyle w:val="120"/>
                <w:widowControl w:val="0"/>
                <w:numPr>
                  <w:ilvl w:val="0"/>
                  <w:numId w:val="90"/>
                </w:numPr>
                <w:spacing w:line="360" w:lineRule="auto"/>
                <w:ind w:left="0" w:firstLineChars="200" w:firstLine="420"/>
                <w:jc w:val="both"/>
              </w:pPr>
              <w:r>
                <w:rPr>
                  <w:rFonts w:hint="eastAsia"/>
                </w:rPr>
                <w:t>合并抵销形成的暂时性差异</w:t>
              </w:r>
            </w:p>
            <w:p w14:paraId="7CCC63F9" w14:textId="77777777" w:rsidR="00D21C1F" w:rsidRDefault="00A42880">
              <w:pPr>
                <w:pStyle w:val="120"/>
                <w:spacing w:line="360" w:lineRule="auto"/>
                <w:ind w:firstLineChars="200" w:firstLine="420"/>
                <w:jc w:val="both"/>
              </w:pPr>
              <w:r>
                <w:rPr>
                  <w:rFonts w:hint="eastAsia"/>
                </w:rPr>
                <w:t>本公司在编制合并财务报表时，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48244EA1" w14:textId="77777777" w:rsidR="00D21C1F" w:rsidRDefault="00A42880">
              <w:pPr>
                <w:pStyle w:val="120"/>
                <w:widowControl w:val="0"/>
                <w:numPr>
                  <w:ilvl w:val="0"/>
                  <w:numId w:val="90"/>
                </w:numPr>
                <w:spacing w:line="360" w:lineRule="auto"/>
                <w:ind w:left="0" w:firstLineChars="200" w:firstLine="420"/>
                <w:jc w:val="both"/>
              </w:pPr>
              <w:r>
                <w:rPr>
                  <w:rFonts w:hint="eastAsia"/>
                </w:rPr>
                <w:t>以权益结算的股份支付</w:t>
              </w:r>
            </w:p>
            <w:p w14:paraId="33E9440A" w14:textId="77777777" w:rsidR="00D21C1F" w:rsidRDefault="00A42880">
              <w:pPr>
                <w:pStyle w:val="120"/>
                <w:spacing w:line="360" w:lineRule="auto"/>
                <w:ind w:firstLineChars="200" w:firstLine="420"/>
                <w:jc w:val="both"/>
              </w:pPr>
              <w:r>
                <w:rPr>
                  <w:rFonts w:hint="eastAsia"/>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sdtContent>
        </w:sdt>
      </w:sdtContent>
    </w:sdt>
    <w:p w14:paraId="16E40D66" w14:textId="77777777" w:rsidR="00D21C1F" w:rsidRDefault="00D21C1F">
      <w:pPr>
        <w:rPr>
          <w:szCs w:val="21"/>
        </w:rPr>
      </w:pPr>
    </w:p>
    <w:sdt>
      <w:sdtPr>
        <w:rPr>
          <w:rFonts w:ascii="宋体" w:eastAsia="宋体" w:hAnsi="宋体" w:cs="宋体"/>
          <w:b w:val="0"/>
          <w:bCs w:val="0"/>
          <w:kern w:val="0"/>
          <w:szCs w:val="24"/>
        </w:rPr>
        <w:alias w:val="模块:经营租赁、融资租赁会计处理方法"/>
        <w:tag w:val="_GBC_f9ff4c1b9d1748b8854889b1fd9b076c"/>
        <w:id w:val="-114688279"/>
        <w:lock w:val="sdtLocked"/>
        <w:placeholder>
          <w:docPart w:val="GBC22222222222222222222222222222"/>
        </w:placeholder>
      </w:sdtPr>
      <w:sdtEndPr>
        <w:rPr>
          <w:rFonts w:hint="eastAsia"/>
          <w:szCs w:val="21"/>
        </w:rPr>
      </w:sdtEndPr>
      <w:sdtContent>
        <w:p w14:paraId="45E2CCC2" w14:textId="77777777" w:rsidR="00D21C1F" w:rsidRDefault="00A42880">
          <w:pPr>
            <w:pStyle w:val="94"/>
            <w:numPr>
              <w:ilvl w:val="0"/>
              <w:numId w:val="45"/>
            </w:numPr>
            <w:rPr>
              <w:rFonts w:ascii="宋体" w:hAnsi="宋体"/>
            </w:rPr>
          </w:pPr>
          <w:r>
            <w:rPr>
              <w:rFonts w:ascii="宋体" w:hAnsi="宋体"/>
            </w:rPr>
            <w:t>租赁</w:t>
          </w:r>
        </w:p>
        <w:p w14:paraId="28D60BFD" w14:textId="77777777" w:rsidR="00D21C1F" w:rsidRDefault="00A42880">
          <w:pPr>
            <w:pStyle w:val="93"/>
            <w:numPr>
              <w:ilvl w:val="3"/>
              <w:numId w:val="92"/>
            </w:numPr>
            <w:ind w:left="426" w:hanging="426"/>
            <w:rPr>
              <w:rFonts w:ascii="宋体" w:hAnsi="宋体"/>
            </w:rPr>
          </w:pPr>
          <w:r>
            <w:rPr>
              <w:rFonts w:ascii="宋体" w:hAnsi="宋体" w:hint="eastAsia"/>
            </w:rPr>
            <w:t>经营租赁的会计处理方法</w:t>
          </w:r>
        </w:p>
        <w:sdt>
          <w:sdtPr>
            <w:alias w:val="是否适用：经营租赁的会计处理方法[双击切换]"/>
            <w:tag w:val="_GBC_e2074b0f384d4bba80c32083627e5bdd"/>
            <w:id w:val="-1356499013"/>
            <w:lock w:val="sdtLocked"/>
            <w:placeholder>
              <w:docPart w:val="GBC22222222222222222222222222222"/>
            </w:placeholder>
          </w:sdtPr>
          <w:sdtEndPr/>
          <w:sdtContent>
            <w:p w14:paraId="3696B6C3"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EE261D" w14:textId="77777777" w:rsidR="00D21C1F" w:rsidRDefault="00D21C1F">
          <w:pPr>
            <w:rPr>
              <w:szCs w:val="21"/>
            </w:rPr>
          </w:pPr>
        </w:p>
        <w:p w14:paraId="2139071F" w14:textId="77777777" w:rsidR="00D21C1F" w:rsidRDefault="00A42880">
          <w:pPr>
            <w:pStyle w:val="93"/>
            <w:numPr>
              <w:ilvl w:val="3"/>
              <w:numId w:val="92"/>
            </w:numPr>
            <w:ind w:left="426" w:hanging="426"/>
            <w:rPr>
              <w:rFonts w:ascii="宋体" w:hAnsi="宋体"/>
            </w:rPr>
          </w:pPr>
          <w:r>
            <w:rPr>
              <w:rFonts w:ascii="宋体" w:hAnsi="宋体" w:hint="eastAsia"/>
            </w:rPr>
            <w:t>融资租赁的会计处理方法</w:t>
          </w:r>
        </w:p>
        <w:sdt>
          <w:sdtPr>
            <w:rPr>
              <w:rFonts w:hint="eastAsia"/>
              <w:szCs w:val="21"/>
            </w:rPr>
            <w:alias w:val="是否适用：融资租赁的会计处理方法[双击切换]"/>
            <w:tag w:val="_GBC_e6743f781bfc4763acf7f9821c740304"/>
            <w:id w:val="-1769840395"/>
            <w:lock w:val="sdtLocked"/>
            <w:placeholder>
              <w:docPart w:val="GBC22222222222222222222222222222"/>
            </w:placeholder>
          </w:sdtPr>
          <w:sdtEndPr/>
          <w:sdtContent>
            <w:p w14:paraId="23D2E8E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D3DF268" w14:textId="77777777" w:rsidR="00D21C1F" w:rsidRDefault="00D21C1F">
      <w:pPr>
        <w:rPr>
          <w:szCs w:val="21"/>
        </w:rPr>
      </w:pPr>
    </w:p>
    <w:bookmarkStart w:id="163" w:name="_Hlk23952334" w:displacedByCustomXml="next"/>
    <w:bookmarkEnd w:id="163" w:displacedByCustomXml="next"/>
    <w:bookmarkStart w:id="164" w:name="_Hlk41484250" w:displacedByCustomXml="next"/>
    <w:sdt>
      <w:sdtPr>
        <w:rPr>
          <w:rFonts w:ascii="宋体" w:eastAsia="宋体" w:hAnsi="宋体" w:cs="宋体" w:hint="eastAsia"/>
          <w:b w:val="0"/>
          <w:bCs w:val="0"/>
          <w:kern w:val="0"/>
          <w:szCs w:val="24"/>
        </w:rPr>
        <w:alias w:val="模块:新租赁准则下租赁的确定方法及会计处理方法"/>
        <w:tag w:val="_SEC_8bc58354e42542c7bbad4c16498c3080"/>
        <w:id w:val="-2063557358"/>
        <w:lock w:val="sdtLocked"/>
        <w:placeholder>
          <w:docPart w:val="GBC22222222222222222222222222222"/>
        </w:placeholder>
      </w:sdtPr>
      <w:sdtEndPr>
        <w:rPr>
          <w:rFonts w:eastAsiaTheme="minorEastAsia" w:cstheme="minorBidi"/>
          <w:szCs w:val="21"/>
        </w:rPr>
      </w:sdtEndPr>
      <w:sdtContent>
        <w:p w14:paraId="7C896FB9" w14:textId="77777777" w:rsidR="00D21C1F" w:rsidRDefault="00A42880">
          <w:pPr>
            <w:pStyle w:val="93"/>
            <w:numPr>
              <w:ilvl w:val="3"/>
              <w:numId w:val="92"/>
            </w:numPr>
            <w:ind w:left="426" w:hanging="426"/>
            <w:rPr>
              <w:rFonts w:ascii="宋体" w:hAnsi="宋体"/>
            </w:rPr>
          </w:pPr>
          <w:r>
            <w:rPr>
              <w:rFonts w:ascii="宋体" w:hAnsi="宋体" w:hint="eastAsia"/>
            </w:rPr>
            <w:t>新租赁准则下租赁的确定方法及会计处理方法</w:t>
          </w:r>
        </w:p>
        <w:sdt>
          <w:sdtPr>
            <w:rPr>
              <w:szCs w:val="21"/>
            </w:rPr>
            <w:alias w:val="是否适用：新租赁准则下租赁的确定方法及会计处理方法[双击切换]"/>
            <w:tag w:val="_GBC_9214d33ec34c41b68ccb23415b029371"/>
            <w:id w:val="-1708946515"/>
            <w:lock w:val="sdtLocked"/>
            <w:placeholder>
              <w:docPart w:val="GBC22222222222222222222222222222"/>
            </w:placeholder>
          </w:sdtPr>
          <w:sdtEndPr/>
          <w:sdtContent>
            <w:p w14:paraId="3F8FF46F"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新租赁准则下租赁的确定方法及会计处理方法的说明 "/>
            <w:tag w:val="_GBC_ccaa4235b3124a2f9a3b351187d42720"/>
            <w:id w:val="-693997758"/>
            <w:lock w:val="sdtLocked"/>
            <w:placeholder>
              <w:docPart w:val="GBC22222222222222222222222222222"/>
            </w:placeholder>
          </w:sdtPr>
          <w:sdtEndPr/>
          <w:sdtContent>
            <w:p w14:paraId="10A11347" w14:textId="77777777" w:rsidR="00D21C1F" w:rsidRDefault="00A42880">
              <w:pPr>
                <w:pStyle w:val="120"/>
                <w:spacing w:line="360" w:lineRule="auto"/>
                <w:ind w:firstLineChars="200" w:firstLine="420"/>
                <w:jc w:val="both"/>
                <w:rPr>
                  <w:rFonts w:ascii="Times New Roman" w:hAnsi="Times New Roman"/>
                  <w:sz w:val="24"/>
                  <w:szCs w:val="24"/>
                </w:rPr>
              </w:pPr>
              <w:r>
                <w:rPr>
                  <w:rFonts w:cs="Arial" w:hint="eastAsia"/>
                </w:rPr>
                <w:t>租赁，是指在一定期间内，出租人将资产的使用权让与承租人以获取对价的合同。</w:t>
              </w:r>
            </w:p>
            <w:p w14:paraId="0E6D532D" w14:textId="77777777" w:rsidR="00D21C1F" w:rsidRDefault="00A42880">
              <w:pPr>
                <w:pStyle w:val="120"/>
                <w:spacing w:line="360" w:lineRule="auto"/>
                <w:ind w:firstLineChars="200" w:firstLine="420"/>
                <w:jc w:val="both"/>
                <w:rPr>
                  <w:rFonts w:ascii="Times New Roman" w:hAnsi="Times New Roman"/>
                  <w:sz w:val="24"/>
                  <w:szCs w:val="24"/>
                </w:rPr>
              </w:pPr>
              <w:r>
                <w:rPr>
                  <w:rFonts w:cs="Arial" w:hint="eastAsia"/>
                </w:rPr>
                <w:t>本集团作为承租人</w:t>
              </w:r>
            </w:p>
            <w:p w14:paraId="131CAAA9" w14:textId="77777777" w:rsidR="00D21C1F" w:rsidRDefault="00A42880">
              <w:pPr>
                <w:pStyle w:val="120"/>
                <w:spacing w:line="360" w:lineRule="auto"/>
                <w:ind w:firstLineChars="200" w:firstLine="420"/>
                <w:jc w:val="both"/>
                <w:rPr>
                  <w:rFonts w:ascii="Times New Roman" w:hAnsi="Times New Roman"/>
                  <w:sz w:val="24"/>
                  <w:szCs w:val="24"/>
                </w:rPr>
              </w:pPr>
              <w:r>
                <w:rPr>
                  <w:rFonts w:cs="Arial"/>
                </w:rPr>
                <w:t>本集团于租赁期开始日确认使用权资产，并</w:t>
              </w:r>
              <w:r>
                <w:rPr>
                  <w:rFonts w:cs="Arial" w:hint="eastAsia"/>
                </w:rPr>
                <w:t>按尚</w:t>
              </w:r>
              <w:r>
                <w:rPr>
                  <w:rFonts w:cs="Arial"/>
                </w:rPr>
                <w:t>未支付的租赁付款额的现值确认租赁负债。租赁付款额包括固定付款额，以及在合理确定将行使购买选择权或终止租赁选择权的情况下需支付的款项等</w:t>
              </w:r>
              <w:r>
                <w:rPr>
                  <w:rFonts w:cs="Arial" w:hint="eastAsia"/>
                </w:rPr>
                <w:t>。</w:t>
              </w:r>
              <w:r>
                <w:rPr>
                  <w:rFonts w:cs="Arial"/>
                </w:rPr>
                <w:t>按销售额的一定比例确定的可变租金不纳入租赁付款额，在实际发生时计入当期损益。本集团将自资产负债表日起一年内</w:t>
              </w:r>
              <w:r>
                <w:rPr>
                  <w:rFonts w:ascii="Arial" w:hAnsi="Arial" w:cs="Arial"/>
                </w:rPr>
                <w:t>(</w:t>
              </w:r>
              <w:r>
                <w:rPr>
                  <w:rFonts w:cs="Arial"/>
                </w:rPr>
                <w:t>含一年</w:t>
              </w:r>
              <w:r>
                <w:rPr>
                  <w:rFonts w:ascii="Arial" w:hAnsi="Arial" w:cs="Arial"/>
                </w:rPr>
                <w:t>)</w:t>
              </w:r>
              <w:r>
                <w:rPr>
                  <w:rFonts w:cs="Arial"/>
                </w:rPr>
                <w:t>支付的租赁负债，列示为一年内到期的非流动负债。</w:t>
              </w:r>
            </w:p>
            <w:p w14:paraId="4DCBC98B" w14:textId="77777777" w:rsidR="00D21C1F" w:rsidRDefault="00A42880">
              <w:pPr>
                <w:pStyle w:val="120"/>
                <w:spacing w:line="360" w:lineRule="auto"/>
                <w:ind w:firstLineChars="200" w:firstLine="420"/>
                <w:jc w:val="both"/>
                <w:rPr>
                  <w:rFonts w:ascii="Times New Roman" w:hAnsi="Times New Roman"/>
                  <w:sz w:val="24"/>
                  <w:szCs w:val="24"/>
                </w:rPr>
              </w:pPr>
              <w:r>
                <w:rPr>
                  <w:rFonts w:cs="Arial" w:hint="eastAsia"/>
                </w:rPr>
                <w:lastRenderedPageBreak/>
                <w:t>本集团的</w:t>
              </w:r>
              <w:r>
                <w:rPr>
                  <w:rFonts w:cs="Arial"/>
                </w:rPr>
                <w:t>使用权资产包括租</w:t>
              </w:r>
              <w:r>
                <w:rPr>
                  <w:rFonts w:cs="Arial" w:hint="eastAsia"/>
                </w:rPr>
                <w:t>入的</w:t>
              </w:r>
              <w:r>
                <w:rPr>
                  <w:rFonts w:cs="Arial"/>
                </w:rPr>
                <w:t>房屋及建筑物</w:t>
              </w:r>
              <w:r>
                <w:rPr>
                  <w:rFonts w:cs="Arial" w:hint="eastAsia"/>
                </w:rPr>
                <w:t>。使用权资产按照成本进行初始计量，该成本包括租赁负债的初始计量金额、租赁期开始日或之前已支付的租赁付款额、初始直接费用等，并扣除已收到的租赁激励。本集团能够合理确定租赁期届满时取得租赁资产所有权的，在租赁资产剩余使用寿命内计提折旧；若无法合理确定租赁期届满时是否能够取得租赁资产所有权，则在租赁期与租赁资产剩余使用寿命两者孰短的期间内计提折旧。当可收回金额低于使用权资产的账面价值时，本集团将其账面价值减记至可收回金额。</w:t>
              </w:r>
            </w:p>
            <w:p w14:paraId="1DFFC386" w14:textId="77777777" w:rsidR="00D21C1F" w:rsidRDefault="00A42880">
              <w:pPr>
                <w:pStyle w:val="120"/>
                <w:spacing w:line="360" w:lineRule="auto"/>
                <w:ind w:firstLineChars="200" w:firstLine="420"/>
                <w:jc w:val="both"/>
                <w:rPr>
                  <w:rFonts w:ascii="Times New Roman" w:hAnsi="Times New Roman"/>
                  <w:sz w:val="24"/>
                  <w:szCs w:val="24"/>
                </w:rPr>
              </w:pPr>
              <w:r>
                <w:rPr>
                  <w:rFonts w:cs="Arial" w:hint="eastAsia"/>
                </w:rPr>
                <w:t>于</w:t>
              </w:r>
              <w:r>
                <w:rPr>
                  <w:rFonts w:cs="Arial"/>
                </w:rPr>
                <w:t>租赁期不超过</w:t>
              </w:r>
              <w:r>
                <w:rPr>
                  <w:rFonts w:ascii="Times New Roman" w:hAnsi="Times New Roman" w:cs="Arial"/>
                </w:rPr>
                <w:t>12</w:t>
              </w:r>
              <w:r>
                <w:rPr>
                  <w:rFonts w:cs="Arial"/>
                </w:rPr>
                <w:t>个月的</w:t>
              </w:r>
              <w:r>
                <w:rPr>
                  <w:rFonts w:cs="Arial" w:hint="eastAsia"/>
                </w:rPr>
                <w:t>短期</w:t>
              </w:r>
              <w:r>
                <w:rPr>
                  <w:rFonts w:cs="Arial"/>
                </w:rPr>
                <w:t>租赁和</w:t>
              </w:r>
              <w:r>
                <w:rPr>
                  <w:rFonts w:cs="Arial" w:hint="eastAsia"/>
                </w:rPr>
                <w:t>单项资产全新时价值较低的低价值资产租赁</w:t>
              </w:r>
              <w:r>
                <w:rPr>
                  <w:rFonts w:cs="Arial"/>
                </w:rPr>
                <w:t>，本集团</w:t>
              </w:r>
              <w:r>
                <w:rPr>
                  <w:rFonts w:cs="Arial" w:hint="eastAsia"/>
                </w:rPr>
                <w:t>选择不确认使用权资产和租赁负债，将相关租金支出在租赁期内各个期间按照直线法计入当期损益或相关资产成本。</w:t>
              </w:r>
            </w:p>
            <w:p w14:paraId="77FC9FFA" w14:textId="77777777" w:rsidR="00D21C1F" w:rsidRDefault="00A42880">
              <w:pPr>
                <w:pStyle w:val="120"/>
                <w:spacing w:line="360" w:lineRule="auto"/>
                <w:ind w:firstLineChars="200" w:firstLine="420"/>
                <w:jc w:val="both"/>
                <w:rPr>
                  <w:rFonts w:ascii="Times New Roman" w:hAnsi="Times New Roman"/>
                  <w:sz w:val="24"/>
                  <w:szCs w:val="24"/>
                </w:rPr>
              </w:pPr>
              <w:r>
                <w:rPr>
                  <w:rFonts w:cs="Arial" w:hint="eastAsia"/>
                </w:rPr>
                <w:t>租赁发生变更且同时符合下列条件时，本集团将其作为一项单独租赁进行会计处理：</w:t>
              </w:r>
              <w:r>
                <w:rPr>
                  <w:rFonts w:ascii="Arial" w:hAnsi="Arial" w:cs="Arial" w:hint="eastAsia"/>
                </w:rPr>
                <w:t>(</w:t>
              </w:r>
              <w:r>
                <w:rPr>
                  <w:rFonts w:ascii="Times New Roman" w:hAnsi="Times New Roman" w:cs="Arial" w:hint="eastAsia"/>
                </w:rPr>
                <w:t>1</w:t>
              </w:r>
              <w:r>
                <w:rPr>
                  <w:rFonts w:ascii="Arial" w:hAnsi="Arial" w:cs="Arial"/>
                </w:rPr>
                <w:t>)</w:t>
              </w:r>
              <w:r>
                <w:rPr>
                  <w:rFonts w:cs="Arial" w:hint="eastAsia"/>
                </w:rPr>
                <w:t>该租赁变更通过增加一项或多项租赁资产的使用权而扩大了租赁范围；</w:t>
              </w:r>
              <w:r>
                <w:rPr>
                  <w:rFonts w:ascii="Arial" w:hAnsi="Arial" w:cs="Arial" w:hint="eastAsia"/>
                </w:rPr>
                <w:t>(</w:t>
              </w:r>
              <w:r>
                <w:rPr>
                  <w:rFonts w:ascii="Times New Roman" w:hAnsi="Times New Roman" w:cs="Arial" w:hint="eastAsia"/>
                </w:rPr>
                <w:t>2</w:t>
              </w:r>
              <w:r>
                <w:rPr>
                  <w:rFonts w:ascii="Arial" w:hAnsi="Arial" w:cs="Arial"/>
                </w:rPr>
                <w:t>)</w:t>
              </w:r>
              <w:r>
                <w:rPr>
                  <w:rFonts w:cs="Arial" w:hint="eastAsia"/>
                </w:rPr>
                <w:t>增加的对价与租赁范围扩大部分的单独价格按该合同情况调整后的金额相当</w:t>
              </w:r>
            </w:p>
            <w:p w14:paraId="319231C8" w14:textId="77777777" w:rsidR="00D21C1F" w:rsidRDefault="00A42880">
              <w:pPr>
                <w:pStyle w:val="120"/>
                <w:spacing w:line="360" w:lineRule="auto"/>
                <w:ind w:firstLineChars="200" w:firstLine="420"/>
                <w:jc w:val="both"/>
                <w:rPr>
                  <w:rFonts w:ascii="Times New Roman" w:hAnsi="Times New Roman"/>
                  <w:color w:val="000000" w:themeColor="text1"/>
                  <w:sz w:val="24"/>
                  <w:szCs w:val="24"/>
                </w:rPr>
              </w:pPr>
              <w:r>
                <w:rPr>
                  <w:rFonts w:cs="Arial" w:hint="eastAsia"/>
                </w:rPr>
                <w:t>当租赁变更未作为一项单独</w:t>
              </w:r>
              <w:r>
                <w:rPr>
                  <w:rFonts w:cs="Arial" w:hint="eastAsia"/>
                  <w:color w:val="000000" w:themeColor="text1"/>
                </w:rPr>
                <w:t>租赁进行会计处理时，除新冠肺炎疫情直接引发的合同变更采用简化方法外，本集团在租赁变更生效日重新确定租赁期，并采用修订后的折现率对变更后的租赁付款额进行折现，重新计量租赁负债。租赁变更导致租赁范围缩小或租赁期缩短的，本集团相应调减使用权资产的账面价值，并将部分终止或完全终止租赁的相关利得或损失计入当期损益。其他租赁变更导致租赁负债重新计量的，本集团相应调整使用权资产的账面价值。</w:t>
              </w:r>
            </w:p>
            <w:p w14:paraId="3CB5E97C" w14:textId="356F54AB" w:rsidR="00D21C1F" w:rsidRPr="00723C22" w:rsidRDefault="00A42880" w:rsidP="00723C22">
              <w:pPr>
                <w:pStyle w:val="120"/>
                <w:spacing w:line="360" w:lineRule="auto"/>
                <w:ind w:firstLineChars="200" w:firstLine="420"/>
                <w:jc w:val="both"/>
                <w:rPr>
                  <w:rFonts w:ascii="Times New Roman" w:hAnsi="Times New Roman"/>
                  <w:sz w:val="24"/>
                  <w:szCs w:val="24"/>
                </w:rPr>
              </w:pPr>
              <w:r>
                <w:rPr>
                  <w:rFonts w:cs="Arial" w:hint="eastAsia"/>
                  <w:color w:val="000000" w:themeColor="text1"/>
                </w:rPr>
                <w:t>对于由新冠肺炎疫情直接引发且仅针对</w:t>
              </w:r>
              <w:r>
                <w:rPr>
                  <w:rFonts w:ascii="Times New Roman" w:hAnsi="Times New Roman" w:cs="Arial"/>
                  <w:color w:val="000000" w:themeColor="text1"/>
                </w:rPr>
                <w:t>2021</w:t>
              </w:r>
              <w:r>
                <w:rPr>
                  <w:rFonts w:cs="Arial" w:hint="eastAsia"/>
                  <w:color w:val="000000" w:themeColor="text1"/>
                </w:rPr>
                <w:t>年</w:t>
              </w:r>
              <w:r>
                <w:rPr>
                  <w:rFonts w:ascii="Times New Roman" w:hAnsi="Times New Roman" w:cs="Arial"/>
                  <w:color w:val="000000" w:themeColor="text1"/>
                </w:rPr>
                <w:t>6</w:t>
              </w:r>
              <w:r>
                <w:rPr>
                  <w:rFonts w:cs="Arial" w:hint="eastAsia"/>
                  <w:color w:val="000000" w:themeColor="text1"/>
                </w:rPr>
                <w:t>月</w:t>
              </w:r>
              <w:r>
                <w:rPr>
                  <w:rFonts w:ascii="Times New Roman" w:hAnsi="Times New Roman" w:cs="Arial"/>
                  <w:color w:val="000000" w:themeColor="text1"/>
                </w:rPr>
                <w:t>30</w:t>
              </w:r>
              <w:r>
                <w:rPr>
                  <w:rFonts w:cs="Arial" w:hint="eastAsia"/>
                  <w:color w:val="000000" w:themeColor="text1"/>
                </w:rPr>
                <w:t>日之前的租金减免，本集团选择采用简化方法，在达成协议解除原支付义务时将未折现的减免金额计入当期损益，并相应调整租赁负债。</w:t>
              </w:r>
            </w:p>
          </w:sdtContent>
        </w:sdt>
      </w:sdtContent>
    </w:sdt>
    <w:bookmarkEnd w:id="164"/>
    <w:p w14:paraId="29CB014E" w14:textId="77777777" w:rsidR="00D21C1F" w:rsidRDefault="00D21C1F">
      <w:pPr>
        <w:rPr>
          <w:szCs w:val="21"/>
        </w:rPr>
      </w:pPr>
    </w:p>
    <w:sdt>
      <w:sdtPr>
        <w:rPr>
          <w:rFonts w:ascii="宋体" w:eastAsia="宋体" w:hAnsi="宋体" w:cstheme="minorBidi" w:hint="eastAsia"/>
          <w:b w:val="0"/>
          <w:bCs w:val="0"/>
          <w:kern w:val="0"/>
          <w:szCs w:val="22"/>
        </w:rPr>
        <w:alias w:val="模块:其他重要的会计政策和会计估计"/>
        <w:tag w:val="_GBC_208440ea3a0f4676970b3672c3cdf96f"/>
        <w:id w:val="-1836296919"/>
        <w:lock w:val="sdtLocked"/>
        <w:placeholder>
          <w:docPart w:val="GBC22222222222222222222222222222"/>
        </w:placeholder>
      </w:sdtPr>
      <w:sdtEndPr>
        <w:rPr>
          <w:rFonts w:cs="Times New Roman"/>
          <w:szCs w:val="21"/>
        </w:rPr>
      </w:sdtEndPr>
      <w:sdtContent>
        <w:p w14:paraId="6BFDDD35" w14:textId="77777777" w:rsidR="00D21C1F" w:rsidRDefault="00A42880">
          <w:pPr>
            <w:pStyle w:val="94"/>
            <w:numPr>
              <w:ilvl w:val="0"/>
              <w:numId w:val="45"/>
            </w:numPr>
            <w:rPr>
              <w:rFonts w:ascii="宋体" w:hAnsi="宋体"/>
            </w:rPr>
          </w:pPr>
          <w:r>
            <w:rPr>
              <w:rFonts w:ascii="宋体" w:hAnsi="宋体" w:hint="eastAsia"/>
            </w:rPr>
            <w:t>其他重要的会计政策和会计估计</w:t>
          </w:r>
        </w:p>
        <w:sdt>
          <w:sdtPr>
            <w:alias w:val="是否适用：其他重要的会计政策和会计估计[双击切换]"/>
            <w:tag w:val="_GBC_b4281f4538de4623a036697d3903e1f8"/>
            <w:id w:val="236604494"/>
            <w:lock w:val="sdtLocked"/>
            <w:placeholder>
              <w:docPart w:val="GBC22222222222222222222222222222"/>
            </w:placeholder>
          </w:sdtPr>
          <w:sdtEndPr/>
          <w:sdtContent>
            <w:p w14:paraId="051C2C39"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4D944D3" w14:textId="77777777" w:rsidR="00D21C1F" w:rsidRDefault="00D21C1F">
      <w:pPr>
        <w:rPr>
          <w:szCs w:val="21"/>
        </w:rPr>
      </w:pPr>
    </w:p>
    <w:p w14:paraId="3E321C62" w14:textId="77777777" w:rsidR="00D21C1F" w:rsidRDefault="00A42880">
      <w:pPr>
        <w:pStyle w:val="94"/>
        <w:numPr>
          <w:ilvl w:val="0"/>
          <w:numId w:val="45"/>
        </w:numPr>
        <w:rPr>
          <w:rFonts w:ascii="宋体" w:hAnsi="宋体"/>
        </w:rPr>
      </w:pPr>
      <w:r>
        <w:rPr>
          <w:rFonts w:ascii="宋体" w:hAnsi="宋体" w:hint="eastAsia"/>
        </w:rPr>
        <w:t>重要</w:t>
      </w:r>
      <w:r>
        <w:rPr>
          <w:rFonts w:ascii="宋体" w:hAnsi="宋体"/>
        </w:rPr>
        <w:t>会计政策</w:t>
      </w:r>
      <w:r>
        <w:rPr>
          <w:rFonts w:ascii="宋体" w:hAnsi="宋体" w:hint="eastAsia"/>
        </w:rPr>
        <w:t>和</w:t>
      </w:r>
      <w:r>
        <w:rPr>
          <w:rFonts w:ascii="宋体" w:hAnsi="宋体"/>
        </w:rPr>
        <w:t>会计估计的变更</w:t>
      </w:r>
    </w:p>
    <w:p w14:paraId="2377AB41" w14:textId="77777777" w:rsidR="00D21C1F" w:rsidRDefault="00A42880">
      <w:pPr>
        <w:pStyle w:val="93"/>
        <w:numPr>
          <w:ilvl w:val="3"/>
          <w:numId w:val="93"/>
        </w:numPr>
        <w:ind w:left="426" w:hanging="426"/>
        <w:rPr>
          <w:rFonts w:ascii="宋体" w:hAnsi="宋体"/>
        </w:rPr>
      </w:pPr>
      <w:r>
        <w:rPr>
          <w:rFonts w:ascii="宋体" w:hAnsi="宋体" w:hint="eastAsia"/>
        </w:rPr>
        <w:t>重要</w:t>
      </w:r>
      <w:r>
        <w:rPr>
          <w:rFonts w:ascii="宋体" w:hAnsi="宋体"/>
        </w:rPr>
        <w:t>会计政策变更</w:t>
      </w:r>
    </w:p>
    <w:sdt>
      <w:sdtPr>
        <w:rPr>
          <w:szCs w:val="21"/>
        </w:rPr>
        <w:alias w:val="是否适用：重要会计政策变更[双击切换]"/>
        <w:tag w:val="_GBC_f1ebc580f60c4d30a80747190ffbec4f"/>
        <w:id w:val="1355609723"/>
        <w:lock w:val="sdtContentLocked"/>
        <w:placeholder>
          <w:docPart w:val="GBC22222222222222222222222222222"/>
        </w:placeholder>
      </w:sdtPr>
      <w:sdtEndPr/>
      <w:sdtContent>
        <w:p w14:paraId="40F19350"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602424628"/>
        <w:lock w:val="sdtLocked"/>
        <w:placeholder>
          <w:docPart w:val="GBC22222222222222222222222222222"/>
        </w:placeholder>
      </w:sdtPr>
      <w:sdtEndPr>
        <w:rPr>
          <w:rFonts w:cs="Times New Roman"/>
        </w:rPr>
      </w:sdtEndPr>
      <w:sdtContent>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gridCol w:w="2024"/>
          </w:tblGrid>
          <w:tr w:rsidR="00D21C1F" w14:paraId="29E85F58" w14:textId="77777777">
            <w:sdt>
              <w:sdtPr>
                <w:rPr>
                  <w:rFonts w:cstheme="minorBidi" w:hint="eastAsia"/>
                  <w:kern w:val="2"/>
                  <w:szCs w:val="21"/>
                </w:rPr>
                <w:tag w:val="_PLD_daa059e86d644c38a64c2363d44d41a6"/>
                <w:id w:val="1294407248"/>
                <w:lock w:val="sdtLocked"/>
              </w:sdtPr>
              <w:sdtEndPr>
                <w:rPr>
                  <w:rFonts w:cs="宋体" w:hint="default"/>
                  <w:kern w:val="0"/>
                  <w:szCs w:val="24"/>
                </w:rPr>
              </w:sdtEndPr>
              <w:sdtContent>
                <w:tc>
                  <w:tcPr>
                    <w:tcW w:w="2327" w:type="pct"/>
                    <w:vAlign w:val="center"/>
                  </w:tcPr>
                  <w:p w14:paraId="0EAD2E78" w14:textId="77777777" w:rsidR="00D21C1F" w:rsidRDefault="00A42880">
                    <w:pPr>
                      <w:jc w:val="center"/>
                      <w:rPr>
                        <w:szCs w:val="21"/>
                      </w:rPr>
                    </w:pPr>
                    <w:r>
                      <w:rPr>
                        <w:rFonts w:hint="eastAsia"/>
                        <w:szCs w:val="21"/>
                      </w:rPr>
                      <w:t>会计政策变更的内容和原因</w:t>
                    </w:r>
                  </w:p>
                </w:tc>
              </w:sdtContent>
            </w:sdt>
            <w:sdt>
              <w:sdtPr>
                <w:tag w:val="_PLD_1a94328f786e442083b01d246c327f25"/>
                <w:id w:val="1179236795"/>
                <w:lock w:val="sdtLocked"/>
              </w:sdtPr>
              <w:sdtEndPr/>
              <w:sdtContent>
                <w:tc>
                  <w:tcPr>
                    <w:tcW w:w="1526" w:type="pct"/>
                    <w:vAlign w:val="center"/>
                  </w:tcPr>
                  <w:p w14:paraId="24DC733C" w14:textId="77777777" w:rsidR="00D21C1F" w:rsidRDefault="00A42880">
                    <w:pPr>
                      <w:jc w:val="center"/>
                      <w:rPr>
                        <w:szCs w:val="21"/>
                      </w:rPr>
                    </w:pPr>
                    <w:r>
                      <w:rPr>
                        <w:szCs w:val="21"/>
                      </w:rPr>
                      <w:t>审批程序</w:t>
                    </w:r>
                  </w:p>
                </w:tc>
              </w:sdtContent>
            </w:sdt>
            <w:sdt>
              <w:sdtPr>
                <w:tag w:val="_PLD_de432e748e8c4df0b4c141bfafe34ee9"/>
                <w:id w:val="-1851871399"/>
                <w:lock w:val="sdtLocked"/>
              </w:sdtPr>
              <w:sdtEndPr/>
              <w:sdtContent>
                <w:tc>
                  <w:tcPr>
                    <w:tcW w:w="1147" w:type="pct"/>
                    <w:vAlign w:val="center"/>
                  </w:tcPr>
                  <w:p w14:paraId="383D7CC5" w14:textId="77777777" w:rsidR="00D21C1F" w:rsidRDefault="00A42880">
                    <w:pPr>
                      <w:jc w:val="center"/>
                      <w:rPr>
                        <w:szCs w:val="21"/>
                      </w:rPr>
                    </w:pPr>
                    <w:r>
                      <w:rPr>
                        <w:rFonts w:hint="eastAsia"/>
                        <w:szCs w:val="21"/>
                      </w:rPr>
                      <w:t>备注</w:t>
                    </w:r>
                    <w:r>
                      <w:rPr>
                        <w:szCs w:val="21"/>
                      </w:rPr>
                      <w:t>(受重要影响的报表项目名称和金额)</w:t>
                    </w:r>
                  </w:p>
                </w:tc>
              </w:sdtContent>
            </w:sdt>
          </w:tr>
          <w:sdt>
            <w:sdtPr>
              <w:rPr>
                <w:rFonts w:cstheme="minorBidi" w:hint="eastAsia"/>
                <w:kern w:val="2"/>
                <w:szCs w:val="21"/>
              </w:rPr>
              <w:alias w:val="会计政策的变更"/>
              <w:tag w:val="_GBC_3ee3045c350e4d52ab819ea497aaf2f3"/>
              <w:id w:val="1531844078"/>
              <w:lock w:val="sdtLocked"/>
              <w:placeholder>
                <w:docPart w:val="GBC11111111111111111111111111111"/>
              </w:placeholder>
            </w:sdtPr>
            <w:sdtEndPr/>
            <w:sdtContent>
              <w:tr w:rsidR="00D21C1F" w14:paraId="00918B62" w14:textId="77777777">
                <w:tc>
                  <w:tcPr>
                    <w:tcW w:w="2327" w:type="pct"/>
                  </w:tcPr>
                  <w:p w14:paraId="529E7B46" w14:textId="77777777" w:rsidR="00D21C1F" w:rsidRDefault="00A42880">
                    <w:pPr>
                      <w:jc w:val="both"/>
                      <w:rPr>
                        <w:rFonts w:cstheme="minorBidi"/>
                        <w:kern w:val="2"/>
                        <w:szCs w:val="21"/>
                      </w:rPr>
                    </w:pPr>
                    <w:r>
                      <w:rPr>
                        <w:rFonts w:cstheme="minorBidi" w:hint="eastAsia"/>
                        <w:kern w:val="2"/>
                        <w:szCs w:val="21"/>
                      </w:rPr>
                      <w:t>根据</w:t>
                    </w:r>
                    <w:r>
                      <w:rPr>
                        <w:rFonts w:ascii="Times New Roman" w:hAnsi="Times New Roman" w:cstheme="minorBidi"/>
                        <w:kern w:val="2"/>
                        <w:szCs w:val="21"/>
                      </w:rPr>
                      <w:t>2018</w:t>
                    </w:r>
                    <w:r>
                      <w:rPr>
                        <w:rFonts w:cstheme="minorBidi"/>
                        <w:kern w:val="2"/>
                        <w:szCs w:val="21"/>
                      </w:rPr>
                      <w:t>年</w:t>
                    </w:r>
                    <w:r>
                      <w:rPr>
                        <w:rFonts w:ascii="Times New Roman" w:hAnsi="Times New Roman" w:cstheme="minorBidi"/>
                        <w:kern w:val="2"/>
                        <w:szCs w:val="21"/>
                      </w:rPr>
                      <w:t>12</w:t>
                    </w:r>
                    <w:r>
                      <w:rPr>
                        <w:rFonts w:cstheme="minorBidi"/>
                        <w:kern w:val="2"/>
                        <w:szCs w:val="21"/>
                      </w:rPr>
                      <w:t>月</w:t>
                    </w:r>
                    <w:r>
                      <w:rPr>
                        <w:rFonts w:ascii="Times New Roman" w:hAnsi="Times New Roman" w:cstheme="minorBidi"/>
                        <w:kern w:val="2"/>
                        <w:szCs w:val="21"/>
                      </w:rPr>
                      <w:t>7</w:t>
                    </w:r>
                    <w:r>
                      <w:rPr>
                        <w:rFonts w:cstheme="minorBidi"/>
                        <w:kern w:val="2"/>
                        <w:szCs w:val="21"/>
                      </w:rPr>
                      <w:t>日发布的《关于修订印发&lt;企业会计准则第</w:t>
                    </w:r>
                    <w:r>
                      <w:rPr>
                        <w:rFonts w:ascii="Times New Roman" w:hAnsi="Times New Roman" w:cstheme="minorBidi"/>
                        <w:kern w:val="2"/>
                        <w:szCs w:val="21"/>
                      </w:rPr>
                      <w:t>21</w:t>
                    </w:r>
                    <w:r>
                      <w:rPr>
                        <w:rFonts w:cstheme="minorBidi"/>
                        <w:kern w:val="2"/>
                        <w:szCs w:val="21"/>
                      </w:rPr>
                      <w:t>号——租</w:t>
                    </w:r>
                    <w:r>
                      <w:rPr>
                        <w:rFonts w:cstheme="minorBidi" w:hint="eastAsia"/>
                        <w:kern w:val="2"/>
                        <w:szCs w:val="21"/>
                      </w:rPr>
                      <w:t>赁</w:t>
                    </w:r>
                    <w:r>
                      <w:rPr>
                        <w:rFonts w:cstheme="minorBidi"/>
                        <w:kern w:val="2"/>
                        <w:szCs w:val="21"/>
                      </w:rPr>
                      <w:t>&gt;的通知》（财会〔</w:t>
                    </w:r>
                    <w:r>
                      <w:rPr>
                        <w:rFonts w:ascii="Times New Roman" w:hAnsi="Times New Roman" w:cstheme="minorBidi"/>
                        <w:kern w:val="2"/>
                        <w:szCs w:val="21"/>
                      </w:rPr>
                      <w:t>2018</w:t>
                    </w:r>
                    <w:r>
                      <w:rPr>
                        <w:rFonts w:cstheme="minorBidi"/>
                        <w:kern w:val="2"/>
                        <w:szCs w:val="21"/>
                      </w:rPr>
                      <w:t>〕</w:t>
                    </w:r>
                    <w:r>
                      <w:rPr>
                        <w:rFonts w:ascii="Times New Roman" w:hAnsi="Times New Roman" w:cstheme="minorBidi"/>
                        <w:kern w:val="2"/>
                        <w:szCs w:val="21"/>
                      </w:rPr>
                      <w:t>35</w:t>
                    </w:r>
                    <w:r>
                      <w:rPr>
                        <w:rFonts w:cstheme="minorBidi"/>
                        <w:kern w:val="2"/>
                        <w:szCs w:val="21"/>
                      </w:rPr>
                      <w:t>号），对于修订后的《企业会计准则第</w:t>
                    </w:r>
                    <w:r>
                      <w:rPr>
                        <w:rFonts w:ascii="Times New Roman" w:hAnsi="Times New Roman" w:cstheme="minorBidi"/>
                        <w:kern w:val="2"/>
                        <w:szCs w:val="21"/>
                      </w:rPr>
                      <w:t>21</w:t>
                    </w:r>
                    <w:r>
                      <w:rPr>
                        <w:rFonts w:cstheme="minorBidi"/>
                        <w:kern w:val="2"/>
                        <w:szCs w:val="21"/>
                      </w:rPr>
                      <w:t>号—</w:t>
                    </w:r>
                    <w:r>
                      <w:rPr>
                        <w:rFonts w:cstheme="minorBidi" w:hint="eastAsia"/>
                        <w:kern w:val="2"/>
                        <w:szCs w:val="21"/>
                      </w:rPr>
                      <w:t>—租赁》要求在境内外同时上市的企业以及在境外上市并采用国际财务报告准则或企业会计准则编制财务报表的企业，自</w:t>
                    </w:r>
                    <w:r>
                      <w:rPr>
                        <w:rFonts w:ascii="Times New Roman" w:hAnsi="Times New Roman" w:cstheme="minorBidi"/>
                        <w:kern w:val="2"/>
                        <w:szCs w:val="21"/>
                      </w:rPr>
                      <w:t>2019</w:t>
                    </w:r>
                    <w:r>
                      <w:rPr>
                        <w:rFonts w:cstheme="minorBidi"/>
                        <w:kern w:val="2"/>
                        <w:szCs w:val="21"/>
                      </w:rPr>
                      <w:t>年</w:t>
                    </w:r>
                    <w:r>
                      <w:rPr>
                        <w:rFonts w:ascii="Times New Roman" w:hAnsi="Times New Roman" w:cstheme="minorBidi"/>
                        <w:kern w:val="2"/>
                        <w:szCs w:val="21"/>
                      </w:rPr>
                      <w:t>1</w:t>
                    </w:r>
                    <w:r>
                      <w:rPr>
                        <w:rFonts w:cstheme="minorBidi"/>
                        <w:kern w:val="2"/>
                        <w:szCs w:val="21"/>
                      </w:rPr>
                      <w:t>月</w:t>
                    </w:r>
                    <w:r>
                      <w:rPr>
                        <w:rFonts w:ascii="Times New Roman" w:hAnsi="Times New Roman" w:cstheme="minorBidi"/>
                        <w:kern w:val="2"/>
                        <w:szCs w:val="21"/>
                      </w:rPr>
                      <w:t>1</w:t>
                    </w:r>
                    <w:r>
                      <w:rPr>
                        <w:rFonts w:cstheme="minorBidi"/>
                        <w:kern w:val="2"/>
                        <w:szCs w:val="21"/>
                      </w:rPr>
                      <w:t>日起施行；其他执行企</w:t>
                    </w:r>
                    <w:r>
                      <w:rPr>
                        <w:rFonts w:cstheme="minorBidi" w:hint="eastAsia"/>
                        <w:kern w:val="2"/>
                        <w:szCs w:val="21"/>
                      </w:rPr>
                      <w:t>业会计准则的企业自</w:t>
                    </w:r>
                    <w:r>
                      <w:rPr>
                        <w:rFonts w:ascii="Times New Roman" w:hAnsi="Times New Roman" w:cstheme="minorBidi"/>
                        <w:kern w:val="2"/>
                        <w:szCs w:val="21"/>
                      </w:rPr>
                      <w:t>2021</w:t>
                    </w:r>
                    <w:r>
                      <w:rPr>
                        <w:rFonts w:cstheme="minorBidi"/>
                        <w:kern w:val="2"/>
                        <w:szCs w:val="21"/>
                      </w:rPr>
                      <w:t>年</w:t>
                    </w:r>
                    <w:r>
                      <w:rPr>
                        <w:rFonts w:ascii="Times New Roman" w:hAnsi="Times New Roman" w:cstheme="minorBidi"/>
                        <w:kern w:val="2"/>
                        <w:szCs w:val="21"/>
                      </w:rPr>
                      <w:t>1</w:t>
                    </w:r>
                    <w:r>
                      <w:rPr>
                        <w:rFonts w:cstheme="minorBidi"/>
                        <w:kern w:val="2"/>
                        <w:szCs w:val="21"/>
                      </w:rPr>
                      <w:t>月</w:t>
                    </w:r>
                    <w:r>
                      <w:rPr>
                        <w:rFonts w:ascii="Times New Roman" w:hAnsi="Times New Roman" w:cstheme="minorBidi"/>
                        <w:kern w:val="2"/>
                        <w:szCs w:val="21"/>
                      </w:rPr>
                      <w:t>1</w:t>
                    </w:r>
                    <w:r>
                      <w:rPr>
                        <w:rFonts w:cstheme="minorBidi"/>
                        <w:kern w:val="2"/>
                        <w:szCs w:val="21"/>
                      </w:rPr>
                      <w:t>日起施行。</w:t>
                    </w:r>
                  </w:p>
                  <w:p w14:paraId="24EC1123" w14:textId="77777777" w:rsidR="00D21C1F" w:rsidRDefault="00A42880">
                    <w:pPr>
                      <w:jc w:val="both"/>
                      <w:rPr>
                        <w:szCs w:val="21"/>
                      </w:rPr>
                    </w:pPr>
                    <w:r>
                      <w:rPr>
                        <w:rFonts w:cstheme="minorBidi" w:hint="eastAsia"/>
                        <w:kern w:val="2"/>
                        <w:szCs w:val="21"/>
                      </w:rPr>
                      <w:lastRenderedPageBreak/>
                      <w:t>基于上述原因，公司对原会计政策进行相应变更。</w:t>
                    </w:r>
                  </w:p>
                </w:tc>
                <w:tc>
                  <w:tcPr>
                    <w:tcW w:w="1526" w:type="pct"/>
                  </w:tcPr>
                  <w:p w14:paraId="0F5A23FD" w14:textId="77777777" w:rsidR="00D21C1F" w:rsidRDefault="00A42880">
                    <w:pPr>
                      <w:jc w:val="both"/>
                      <w:rPr>
                        <w:szCs w:val="21"/>
                      </w:rPr>
                    </w:pPr>
                    <w:r>
                      <w:rPr>
                        <w:rFonts w:hint="eastAsia"/>
                        <w:szCs w:val="21"/>
                      </w:rPr>
                      <w:lastRenderedPageBreak/>
                      <w:t>公司于</w:t>
                    </w:r>
                    <w:r>
                      <w:rPr>
                        <w:rFonts w:ascii="Times New Roman" w:hAnsi="Times New Roman"/>
                        <w:szCs w:val="21"/>
                      </w:rPr>
                      <w:t>2021</w:t>
                    </w:r>
                    <w:r>
                      <w:rPr>
                        <w:szCs w:val="21"/>
                      </w:rPr>
                      <w:t>年</w:t>
                    </w:r>
                    <w:r>
                      <w:rPr>
                        <w:rFonts w:ascii="Times New Roman" w:hAnsi="Times New Roman"/>
                        <w:szCs w:val="21"/>
                      </w:rPr>
                      <w:t>4</w:t>
                    </w:r>
                    <w:r>
                      <w:rPr>
                        <w:szCs w:val="21"/>
                      </w:rPr>
                      <w:t>月</w:t>
                    </w:r>
                    <w:r>
                      <w:rPr>
                        <w:rFonts w:ascii="Times New Roman" w:hAnsi="Times New Roman"/>
                        <w:szCs w:val="21"/>
                      </w:rPr>
                      <w:t>21</w:t>
                    </w:r>
                    <w:r>
                      <w:rPr>
                        <w:szCs w:val="21"/>
                      </w:rPr>
                      <w:t>日召开第二届董事会第十三次会议、第二届监事会第</w:t>
                    </w:r>
                    <w:r>
                      <w:rPr>
                        <w:rFonts w:hint="eastAsia"/>
                        <w:szCs w:val="21"/>
                      </w:rPr>
                      <w:t>八次会议，分别审议了《关于会计政策变更的议案》。本次会计政策变更事项无需提交股东大会审议，公司独立董事对该事</w:t>
                    </w:r>
                    <w:r>
                      <w:rPr>
                        <w:rFonts w:hint="eastAsia"/>
                        <w:szCs w:val="21"/>
                      </w:rPr>
                      <w:lastRenderedPageBreak/>
                      <w:t>项发表了明确同意的独立意见。</w:t>
                    </w:r>
                  </w:p>
                </w:tc>
                <w:tc>
                  <w:tcPr>
                    <w:tcW w:w="1147" w:type="pct"/>
                  </w:tcPr>
                  <w:p w14:paraId="10236433" w14:textId="77777777" w:rsidR="00D21C1F" w:rsidRDefault="00A42880" w:rsidP="002C402E">
                    <w:pPr>
                      <w:rPr>
                        <w:szCs w:val="21"/>
                      </w:rPr>
                    </w:pPr>
                    <w:r>
                      <w:rPr>
                        <w:rFonts w:hint="eastAsia"/>
                        <w:szCs w:val="21"/>
                      </w:rPr>
                      <w:lastRenderedPageBreak/>
                      <w:t>使用权资产</w:t>
                    </w:r>
                    <w:r>
                      <w:rPr>
                        <w:rFonts w:ascii="Times New Roman" w:hAnsi="Times New Roman"/>
                        <w:szCs w:val="21"/>
                      </w:rPr>
                      <w:t>55</w:t>
                    </w:r>
                    <w:r>
                      <w:rPr>
                        <w:szCs w:val="21"/>
                      </w:rPr>
                      <w:t>,</w:t>
                    </w:r>
                    <w:r>
                      <w:rPr>
                        <w:rFonts w:ascii="Times New Roman" w:hAnsi="Times New Roman"/>
                        <w:szCs w:val="21"/>
                      </w:rPr>
                      <w:t>404</w:t>
                    </w:r>
                    <w:r>
                      <w:rPr>
                        <w:szCs w:val="21"/>
                      </w:rPr>
                      <w:t>,</w:t>
                    </w:r>
                    <w:r>
                      <w:rPr>
                        <w:rFonts w:ascii="Times New Roman" w:hAnsi="Times New Roman"/>
                        <w:szCs w:val="21"/>
                      </w:rPr>
                      <w:t>440</w:t>
                    </w:r>
                    <w:r>
                      <w:rPr>
                        <w:szCs w:val="21"/>
                      </w:rPr>
                      <w:t>.</w:t>
                    </w:r>
                    <w:r>
                      <w:rPr>
                        <w:rFonts w:ascii="Times New Roman" w:hAnsi="Times New Roman"/>
                        <w:szCs w:val="21"/>
                      </w:rPr>
                      <w:t>63</w:t>
                    </w:r>
                    <w:r>
                      <w:rPr>
                        <w:rFonts w:hint="eastAsia"/>
                        <w:szCs w:val="21"/>
                      </w:rPr>
                      <w:t>元</w:t>
                    </w:r>
                  </w:p>
                  <w:p w14:paraId="38C7B05A" w14:textId="77777777" w:rsidR="00D21C1F" w:rsidRDefault="00A42880" w:rsidP="002C402E">
                    <w:pPr>
                      <w:rPr>
                        <w:szCs w:val="21"/>
                      </w:rPr>
                    </w:pPr>
                    <w:r>
                      <w:rPr>
                        <w:rFonts w:hint="eastAsia"/>
                        <w:szCs w:val="21"/>
                      </w:rPr>
                      <w:t>应付账款</w:t>
                    </w:r>
                    <w:r>
                      <w:rPr>
                        <w:szCs w:val="21"/>
                      </w:rPr>
                      <w:t>-</w:t>
                    </w:r>
                    <w:r>
                      <w:rPr>
                        <w:rFonts w:ascii="Times New Roman" w:hAnsi="Times New Roman"/>
                        <w:szCs w:val="21"/>
                      </w:rPr>
                      <w:t>2</w:t>
                    </w:r>
                    <w:r>
                      <w:rPr>
                        <w:szCs w:val="21"/>
                      </w:rPr>
                      <w:t>,</w:t>
                    </w:r>
                    <w:r>
                      <w:rPr>
                        <w:rFonts w:ascii="Times New Roman" w:hAnsi="Times New Roman"/>
                        <w:szCs w:val="21"/>
                      </w:rPr>
                      <w:t>414</w:t>
                    </w:r>
                    <w:r>
                      <w:rPr>
                        <w:szCs w:val="21"/>
                      </w:rPr>
                      <w:t>,</w:t>
                    </w:r>
                    <w:r>
                      <w:rPr>
                        <w:rFonts w:ascii="Times New Roman" w:hAnsi="Times New Roman"/>
                        <w:szCs w:val="21"/>
                      </w:rPr>
                      <w:t>342</w:t>
                    </w:r>
                    <w:r>
                      <w:rPr>
                        <w:szCs w:val="21"/>
                      </w:rPr>
                      <w:t>.</w:t>
                    </w:r>
                    <w:r>
                      <w:rPr>
                        <w:rFonts w:ascii="Times New Roman" w:hAnsi="Times New Roman"/>
                        <w:szCs w:val="21"/>
                      </w:rPr>
                      <w:t>71</w:t>
                    </w:r>
                    <w:r>
                      <w:rPr>
                        <w:rFonts w:hint="eastAsia"/>
                        <w:szCs w:val="21"/>
                      </w:rPr>
                      <w:t>元</w:t>
                    </w:r>
                  </w:p>
                  <w:p w14:paraId="5FC52C88" w14:textId="77777777" w:rsidR="00D21C1F" w:rsidRDefault="00A42880" w:rsidP="002C402E">
                    <w:pPr>
                      <w:rPr>
                        <w:szCs w:val="21"/>
                      </w:rPr>
                    </w:pPr>
                    <w:r>
                      <w:rPr>
                        <w:rFonts w:hint="eastAsia"/>
                        <w:szCs w:val="21"/>
                      </w:rPr>
                      <w:t>一年内到期的非流动负债</w:t>
                    </w:r>
                    <w:r>
                      <w:rPr>
                        <w:rFonts w:ascii="Times New Roman" w:hAnsi="Times New Roman"/>
                        <w:szCs w:val="21"/>
                      </w:rPr>
                      <w:t>8</w:t>
                    </w:r>
                    <w:r>
                      <w:rPr>
                        <w:szCs w:val="21"/>
                      </w:rPr>
                      <w:t>,</w:t>
                    </w:r>
                    <w:r>
                      <w:rPr>
                        <w:rFonts w:ascii="Times New Roman" w:hAnsi="Times New Roman"/>
                        <w:szCs w:val="21"/>
                      </w:rPr>
                      <w:t>958</w:t>
                    </w:r>
                    <w:r>
                      <w:rPr>
                        <w:szCs w:val="21"/>
                      </w:rPr>
                      <w:t>,</w:t>
                    </w:r>
                    <w:r>
                      <w:rPr>
                        <w:rFonts w:ascii="Times New Roman" w:hAnsi="Times New Roman"/>
                        <w:szCs w:val="21"/>
                      </w:rPr>
                      <w:t>624</w:t>
                    </w:r>
                    <w:r>
                      <w:rPr>
                        <w:szCs w:val="21"/>
                      </w:rPr>
                      <w:t>.</w:t>
                    </w:r>
                    <w:r>
                      <w:rPr>
                        <w:rFonts w:ascii="Times New Roman" w:hAnsi="Times New Roman"/>
                        <w:szCs w:val="21"/>
                      </w:rPr>
                      <w:t>26</w:t>
                    </w:r>
                    <w:r>
                      <w:rPr>
                        <w:rFonts w:hint="eastAsia"/>
                        <w:szCs w:val="21"/>
                      </w:rPr>
                      <w:t>元</w:t>
                    </w:r>
                  </w:p>
                  <w:p w14:paraId="2A4A5452" w14:textId="77777777" w:rsidR="00D21C1F" w:rsidRDefault="00A42880" w:rsidP="002C402E">
                    <w:pPr>
                      <w:rPr>
                        <w:szCs w:val="21"/>
                      </w:rPr>
                    </w:pPr>
                    <w:r>
                      <w:rPr>
                        <w:rFonts w:hint="eastAsia"/>
                        <w:szCs w:val="21"/>
                      </w:rPr>
                      <w:t>租赁负债</w:t>
                    </w:r>
                    <w:r>
                      <w:rPr>
                        <w:rFonts w:ascii="Times New Roman" w:hAnsi="Times New Roman"/>
                        <w:szCs w:val="21"/>
                      </w:rPr>
                      <w:t>48</w:t>
                    </w:r>
                    <w:r>
                      <w:rPr>
                        <w:szCs w:val="21"/>
                      </w:rPr>
                      <w:t>,</w:t>
                    </w:r>
                    <w:r>
                      <w:rPr>
                        <w:rFonts w:ascii="Times New Roman" w:hAnsi="Times New Roman"/>
                        <w:szCs w:val="21"/>
                      </w:rPr>
                      <w:t>860</w:t>
                    </w:r>
                    <w:r>
                      <w:rPr>
                        <w:szCs w:val="21"/>
                      </w:rPr>
                      <w:t>,</w:t>
                    </w:r>
                    <w:r>
                      <w:rPr>
                        <w:rFonts w:ascii="Times New Roman" w:hAnsi="Times New Roman"/>
                        <w:szCs w:val="21"/>
                      </w:rPr>
                      <w:t>159</w:t>
                    </w:r>
                    <w:r>
                      <w:rPr>
                        <w:szCs w:val="21"/>
                      </w:rPr>
                      <w:t>.</w:t>
                    </w:r>
                    <w:r>
                      <w:rPr>
                        <w:rFonts w:ascii="Times New Roman" w:hAnsi="Times New Roman"/>
                        <w:szCs w:val="21"/>
                      </w:rPr>
                      <w:t>08</w:t>
                    </w:r>
                    <w:r>
                      <w:rPr>
                        <w:rFonts w:hint="eastAsia"/>
                        <w:szCs w:val="21"/>
                      </w:rPr>
                      <w:t>元</w:t>
                    </w:r>
                  </w:p>
                </w:tc>
              </w:tr>
            </w:sdtContent>
          </w:sdt>
        </w:tbl>
        <w:p w14:paraId="6A9CEDEA" w14:textId="77777777" w:rsidR="00D21C1F" w:rsidRDefault="00A42880">
          <w:pPr>
            <w:rPr>
              <w:szCs w:val="21"/>
            </w:rPr>
          </w:pPr>
          <w:r>
            <w:rPr>
              <w:rFonts w:hint="eastAsia"/>
              <w:szCs w:val="21"/>
            </w:rPr>
            <w:t>其他说明：</w:t>
          </w:r>
        </w:p>
        <w:sdt>
          <w:sdtPr>
            <w:rPr>
              <w:szCs w:val="21"/>
            </w:rPr>
            <w:alias w:val="会计政策的变更的其他说明"/>
            <w:tag w:val="_GBC_93e2fc5a38cb45958eae783eee8d98c3"/>
            <w:id w:val="1891995069"/>
            <w:lock w:val="sdtLocked"/>
            <w:placeholder>
              <w:docPart w:val="GBC22222222222222222222222222222"/>
            </w:placeholder>
          </w:sdtPr>
          <w:sdtEndPr/>
          <w:sdtContent>
            <w:p w14:paraId="21601682" w14:textId="77777777" w:rsidR="00D21C1F" w:rsidRDefault="00A42880">
              <w:pPr>
                <w:spacing w:line="360" w:lineRule="auto"/>
                <w:ind w:firstLineChars="200" w:firstLine="420"/>
                <w:jc w:val="both"/>
                <w:rPr>
                  <w:szCs w:val="21"/>
                </w:rPr>
              </w:pPr>
              <w:r>
                <w:rPr>
                  <w:rFonts w:hint="eastAsia"/>
                  <w:szCs w:val="21"/>
                </w:rPr>
                <w:t>详细信息请见本公司于</w:t>
              </w:r>
              <w:r>
                <w:rPr>
                  <w:rFonts w:ascii="Times New Roman" w:hAnsi="Times New Roman" w:hint="eastAsia"/>
                  <w:szCs w:val="21"/>
                </w:rPr>
                <w:t>2</w:t>
              </w:r>
              <w:r>
                <w:rPr>
                  <w:rFonts w:ascii="Times New Roman" w:hAnsi="Times New Roman"/>
                  <w:szCs w:val="21"/>
                </w:rPr>
                <w:t>021</w:t>
              </w:r>
              <w:r>
                <w:rPr>
                  <w:rFonts w:hint="eastAsia"/>
                  <w:szCs w:val="21"/>
                </w:rPr>
                <w:t>年</w:t>
              </w:r>
              <w:r>
                <w:rPr>
                  <w:rFonts w:ascii="Times New Roman" w:hAnsi="Times New Roman" w:hint="eastAsia"/>
                  <w:szCs w:val="21"/>
                </w:rPr>
                <w:t>4</w:t>
              </w:r>
              <w:r>
                <w:rPr>
                  <w:rFonts w:hint="eastAsia"/>
                  <w:szCs w:val="21"/>
                </w:rPr>
                <w:t>月</w:t>
              </w:r>
              <w:r>
                <w:rPr>
                  <w:rFonts w:ascii="Times New Roman" w:hAnsi="Times New Roman" w:hint="eastAsia"/>
                  <w:szCs w:val="21"/>
                </w:rPr>
                <w:t>2</w:t>
              </w:r>
              <w:r>
                <w:rPr>
                  <w:rFonts w:ascii="Times New Roman" w:hAnsi="Times New Roman"/>
                  <w:szCs w:val="21"/>
                </w:rPr>
                <w:t>3</w:t>
              </w:r>
              <w:r>
                <w:rPr>
                  <w:rFonts w:hint="eastAsia"/>
                  <w:szCs w:val="21"/>
                </w:rPr>
                <w:t>日在上海证券交易所网站（</w:t>
              </w:r>
              <w:r>
                <w:rPr>
                  <w:rFonts w:ascii="Times New Roman" w:hAnsi="Times New Roman" w:cs="Times New Roman"/>
                  <w:szCs w:val="21"/>
                </w:rPr>
                <w:t>www.sse.com.cn</w:t>
              </w:r>
              <w:r>
                <w:rPr>
                  <w:rFonts w:hint="eastAsia"/>
                  <w:szCs w:val="21"/>
                </w:rPr>
                <w:t>）披露的《埃夫特关于会计政策变更的公告》（公告编号：</w:t>
              </w:r>
              <w:r>
                <w:rPr>
                  <w:rFonts w:ascii="Times New Roman" w:hAnsi="Times New Roman" w:cs="Times New Roman"/>
                  <w:szCs w:val="21"/>
                </w:rPr>
                <w:t>2021-011</w:t>
              </w:r>
              <w:r>
                <w:rPr>
                  <w:rFonts w:hint="eastAsia"/>
                  <w:szCs w:val="21"/>
                </w:rPr>
                <w:t>）。</w:t>
              </w:r>
            </w:p>
          </w:sdtContent>
        </w:sdt>
      </w:sdtContent>
    </w:sdt>
    <w:p w14:paraId="7E4C38C3" w14:textId="77777777" w:rsidR="00D21C1F" w:rsidRDefault="00D21C1F">
      <w:pPr>
        <w:rPr>
          <w:szCs w:val="21"/>
        </w:rPr>
      </w:pPr>
    </w:p>
    <w:p w14:paraId="4D2A923E" w14:textId="77777777" w:rsidR="00D21C1F" w:rsidRDefault="00A42880">
      <w:pPr>
        <w:pStyle w:val="93"/>
        <w:numPr>
          <w:ilvl w:val="3"/>
          <w:numId w:val="93"/>
        </w:numPr>
        <w:ind w:left="426" w:hanging="426"/>
        <w:rPr>
          <w:rFonts w:ascii="宋体" w:hAnsi="宋体"/>
        </w:rPr>
      </w:pPr>
      <w:r>
        <w:rPr>
          <w:rFonts w:ascii="宋体" w:hAnsi="宋体" w:hint="eastAsia"/>
        </w:rPr>
        <w:t>重要</w:t>
      </w:r>
      <w:r>
        <w:rPr>
          <w:rFonts w:ascii="宋体" w:hAnsi="宋体"/>
        </w:rPr>
        <w:t>会计估计变更</w:t>
      </w:r>
    </w:p>
    <w:sdt>
      <w:sdtPr>
        <w:alias w:val="是否适用：重要会计估计变更[双击切换]"/>
        <w:tag w:val="_GBC_902f08bd36774074945386d2d1f9b67d"/>
        <w:id w:val="-1949776673"/>
        <w:lock w:val="sdtLocked"/>
        <w:placeholder>
          <w:docPart w:val="GBC22222222222222222222222222222"/>
        </w:placeholder>
      </w:sdtPr>
      <w:sdtEndPr/>
      <w:sdtContent>
        <w:p w14:paraId="753922AC"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F40BA2" w14:textId="77777777" w:rsidR="00D21C1F" w:rsidRDefault="00D21C1F">
      <w:pPr>
        <w:rPr>
          <w:szCs w:val="21"/>
        </w:rPr>
      </w:pPr>
    </w:p>
    <w:bookmarkStart w:id="165" w:name="_Hlk10465969" w:displacedByCustomXml="next"/>
    <w:sdt>
      <w:sdtPr>
        <w:rPr>
          <w:rFonts w:ascii="Times New Roman" w:hAnsi="Times New Roman" w:cs="宋体"/>
          <w:b w:val="0"/>
          <w:bCs w:val="0"/>
          <w:kern w:val="0"/>
          <w:szCs w:val="21"/>
        </w:rPr>
        <w:alias w:val="选项模块:首次执行新金融工具准则、新收入准则、新租赁准则调整首次执行当..."/>
        <w:tag w:val="_SEC_e1c98e5fd61d48c4bc25ea1a7cf45164"/>
        <w:id w:val="1094123079"/>
        <w:lock w:val="sdtLocked"/>
        <w:placeholder>
          <w:docPart w:val="GBC22222222222222222222222222222"/>
        </w:placeholder>
      </w:sdtPr>
      <w:sdtEndPr/>
      <w:sdtContent>
        <w:p w14:paraId="5F6E4BBA" w14:textId="77777777" w:rsidR="009635E0" w:rsidRDefault="009635E0" w:rsidP="009635E0">
          <w:pPr>
            <w:pStyle w:val="4"/>
            <w:numPr>
              <w:ilvl w:val="3"/>
              <w:numId w:val="93"/>
            </w:numPr>
            <w:ind w:left="426" w:hanging="426"/>
            <w:rPr>
              <w:rFonts w:ascii="宋体" w:hAnsi="宋体"/>
              <w:szCs w:val="21"/>
            </w:rPr>
          </w:pPr>
          <w:r>
            <w:rPr>
              <w:rFonts w:ascii="宋体" w:hAnsi="宋体" w:hint="eastAsia"/>
              <w:szCs w:val="21"/>
            </w:rPr>
            <w:t>2021年</w:t>
          </w:r>
          <w:r>
            <w:rPr>
              <w:rFonts w:ascii="宋体" w:hAnsi="宋体" w:hint="eastAsia"/>
            </w:rPr>
            <w:t>起首次执行新租赁准则调整首次执行当年年初财务报表相关情</w:t>
          </w:r>
          <w:r>
            <w:rPr>
              <w:rFonts w:ascii="宋体" w:hAnsi="宋体"/>
            </w:rPr>
            <w:t>况</w:t>
          </w:r>
        </w:p>
        <w:sdt>
          <w:sdtPr>
            <w:rPr>
              <w:rFonts w:hint="eastAsia"/>
            </w:rPr>
            <w:alias w:val="是否适用：首次执行新金融工具准则或新收入准则调整首次执行当年年初财务报表相关项目情况[双击切换]"/>
            <w:tag w:val="_GBC_5ea888705f7c4c0f98e8769d2197c0de"/>
            <w:id w:val="1529222755"/>
            <w:lock w:val="sdtLocked"/>
          </w:sdtPr>
          <w:sdtEndPr/>
          <w:sdtContent>
            <w:p w14:paraId="255C0CDE" w14:textId="77777777" w:rsidR="009635E0" w:rsidRDefault="009635E0">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hint="eastAsia"/>
            </w:rPr>
            <w:tag w:val="_SEC_41a4f1020a3c418c935a7cb510dee401"/>
            <w:id w:val="1907794696"/>
            <w:lock w:val="sdtLocked"/>
            <w:placeholder>
              <w:docPart w:val="304C43BCF33141239166530FE418699A"/>
            </w:placeholder>
          </w:sdtPr>
          <w:sdtEndPr>
            <w:rPr>
              <w:rFonts w:hint="default"/>
              <w:b/>
              <w:bCs/>
              <w:color w:val="008000"/>
              <w:szCs w:val="21"/>
              <w:u w:val="single"/>
            </w:rPr>
          </w:sdtEndPr>
          <w:sdtContent>
            <w:p w14:paraId="57666282" w14:textId="77777777" w:rsidR="009635E0" w:rsidRDefault="009635E0">
              <w:pPr>
                <w:jc w:val="center"/>
              </w:pPr>
              <w:r>
                <w:rPr>
                  <w:rFonts w:hint="eastAsia"/>
                </w:rPr>
                <w:t>合并资产负债表</w:t>
              </w:r>
            </w:p>
            <w:p w14:paraId="0DDE0878" w14:textId="77777777" w:rsidR="009635E0" w:rsidRDefault="009635E0">
              <w:pPr>
                <w:jc w:val="right"/>
                <w:rPr>
                  <w:szCs w:val="21"/>
                </w:rPr>
              </w:pPr>
              <w:r>
                <w:rPr>
                  <w:szCs w:val="21"/>
                </w:rPr>
                <w:t>单位:</w:t>
              </w:r>
              <w:sdt>
                <w:sdtPr>
                  <w:rPr>
                    <w:szCs w:val="21"/>
                  </w:rPr>
                  <w:alias w:val="单位：合并资产负债表"/>
                  <w:tag w:val="_GBC_d28e3b675fc048afb747681dc6d939c2"/>
                  <w:id w:val="-3121840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资产负债表"/>
                  <w:tag w:val="_GBC_e3316f7d89b24ba1bb4a783fd180bf77"/>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2"/>
                <w:gridCol w:w="2030"/>
                <w:gridCol w:w="1755"/>
                <w:gridCol w:w="2055"/>
              </w:tblGrid>
              <w:tr w:rsidR="009635E0" w14:paraId="5D5B5D06" w14:textId="77777777" w:rsidTr="00787374">
                <w:sdt>
                  <w:sdtPr>
                    <w:rPr>
                      <w:b/>
                    </w:rPr>
                    <w:tag w:val="_PLD_f722f6dfc20745adb2d46c44c80bfac1"/>
                    <w:id w:val="-1225758981"/>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9F7A502" w14:textId="77777777" w:rsidR="009635E0" w:rsidRDefault="009635E0">
                        <w:pPr>
                          <w:jc w:val="center"/>
                          <w:rPr>
                            <w:b/>
                            <w:szCs w:val="21"/>
                          </w:rPr>
                        </w:pPr>
                        <w:r>
                          <w:rPr>
                            <w:b/>
                            <w:szCs w:val="21"/>
                          </w:rPr>
                          <w:t>项目</w:t>
                        </w:r>
                      </w:p>
                    </w:tc>
                  </w:sdtContent>
                </w:sdt>
                <w:sdt>
                  <w:sdtPr>
                    <w:rPr>
                      <w:rFonts w:ascii="Times New Roman" w:hAnsi="Times New Roman" w:cs="Times New Roman"/>
                      <w:b/>
                    </w:rPr>
                    <w:tag w:val="_PLD_f4bb71216cbe4aa2b7c307a16214d769"/>
                    <w:id w:val="105476257"/>
                    <w:lock w:val="sdtLocked"/>
                  </w:sdtPr>
                  <w:sdtEndPr/>
                  <w:sdtContent>
                    <w:tc>
                      <w:tcPr>
                        <w:tcW w:w="1152" w:type="pct"/>
                        <w:tcBorders>
                          <w:top w:val="outset" w:sz="4" w:space="0" w:color="auto"/>
                          <w:left w:val="outset" w:sz="4" w:space="0" w:color="auto"/>
                          <w:bottom w:val="outset" w:sz="4" w:space="0" w:color="auto"/>
                          <w:right w:val="outset" w:sz="4" w:space="0" w:color="auto"/>
                        </w:tcBorders>
                        <w:vAlign w:val="center"/>
                      </w:tcPr>
                      <w:p w14:paraId="4C820728" w14:textId="77777777" w:rsidR="009635E0" w:rsidRPr="009635E0" w:rsidRDefault="009635E0">
                        <w:pPr>
                          <w:jc w:val="center"/>
                          <w:rPr>
                            <w:rFonts w:ascii="Times New Roman" w:hAnsi="Times New Roman" w:cs="Times New Roman"/>
                            <w:b/>
                            <w:szCs w:val="21"/>
                          </w:rPr>
                        </w:pPr>
                        <w:r w:rsidRPr="009635E0">
                          <w:rPr>
                            <w:rFonts w:ascii="Times New Roman" w:hAnsi="Times New Roman" w:cs="Times New Roman"/>
                            <w:b/>
                          </w:rPr>
                          <w:t>2020</w:t>
                        </w:r>
                        <w:r w:rsidRPr="009635E0">
                          <w:rPr>
                            <w:rFonts w:ascii="Times New Roman" w:hAnsi="Times New Roman" w:cs="Times New Roman"/>
                            <w:b/>
                          </w:rPr>
                          <w:t>年</w:t>
                        </w:r>
                        <w:r w:rsidRPr="009635E0">
                          <w:rPr>
                            <w:rFonts w:ascii="Times New Roman" w:hAnsi="Times New Roman" w:cs="Times New Roman"/>
                            <w:b/>
                          </w:rPr>
                          <w:t>12</w:t>
                        </w:r>
                        <w:r w:rsidRPr="009635E0">
                          <w:rPr>
                            <w:rFonts w:ascii="Times New Roman" w:hAnsi="Times New Roman" w:cs="Times New Roman"/>
                            <w:b/>
                          </w:rPr>
                          <w:t>月</w:t>
                        </w:r>
                        <w:r w:rsidRPr="009635E0">
                          <w:rPr>
                            <w:rFonts w:ascii="Times New Roman" w:hAnsi="Times New Roman" w:cs="Times New Roman"/>
                            <w:b/>
                          </w:rPr>
                          <w:t>31</w:t>
                        </w:r>
                        <w:r w:rsidRPr="009635E0">
                          <w:rPr>
                            <w:rFonts w:ascii="Times New Roman" w:hAnsi="Times New Roman" w:cs="Times New Roman"/>
                            <w:b/>
                          </w:rPr>
                          <w:t>日</w:t>
                        </w:r>
                      </w:p>
                    </w:tc>
                  </w:sdtContent>
                </w:sdt>
                <w:sdt>
                  <w:sdtPr>
                    <w:rPr>
                      <w:rFonts w:ascii="Times New Roman" w:hAnsi="Times New Roman" w:cs="Times New Roman"/>
                      <w:b/>
                    </w:rPr>
                    <w:tag w:val="_PLD_117c3036ee174d36950551d0e65ed7fe"/>
                    <w:id w:val="971633581"/>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335963AC" w14:textId="77777777" w:rsidR="009635E0" w:rsidRPr="009635E0" w:rsidRDefault="009635E0">
                        <w:pPr>
                          <w:jc w:val="center"/>
                          <w:rPr>
                            <w:rFonts w:ascii="Times New Roman" w:hAnsi="Times New Roman" w:cs="Times New Roman"/>
                            <w:b/>
                            <w:szCs w:val="21"/>
                          </w:rPr>
                        </w:pPr>
                        <w:r w:rsidRPr="009635E0">
                          <w:rPr>
                            <w:rFonts w:ascii="Times New Roman" w:hAnsi="Times New Roman" w:cs="Times New Roman"/>
                            <w:b/>
                          </w:rPr>
                          <w:t>2021</w:t>
                        </w:r>
                        <w:r w:rsidRPr="009635E0">
                          <w:rPr>
                            <w:rFonts w:ascii="Times New Roman" w:hAnsi="Times New Roman" w:cs="Times New Roman"/>
                            <w:b/>
                          </w:rPr>
                          <w:t>年</w:t>
                        </w:r>
                        <w:r w:rsidRPr="009635E0">
                          <w:rPr>
                            <w:rFonts w:ascii="Times New Roman" w:hAnsi="Times New Roman" w:cs="Times New Roman"/>
                            <w:b/>
                          </w:rPr>
                          <w:t>1</w:t>
                        </w:r>
                        <w:r w:rsidRPr="009635E0">
                          <w:rPr>
                            <w:rFonts w:ascii="Times New Roman" w:hAnsi="Times New Roman" w:cs="Times New Roman"/>
                            <w:b/>
                          </w:rPr>
                          <w:t>月</w:t>
                        </w:r>
                        <w:r w:rsidRPr="009635E0">
                          <w:rPr>
                            <w:rFonts w:ascii="Times New Roman" w:hAnsi="Times New Roman" w:cs="Times New Roman"/>
                            <w:b/>
                          </w:rPr>
                          <w:t>1</w:t>
                        </w:r>
                        <w:r w:rsidRPr="009635E0">
                          <w:rPr>
                            <w:rFonts w:ascii="Times New Roman" w:hAnsi="Times New Roman" w:cs="Times New Roman"/>
                            <w:b/>
                          </w:rPr>
                          <w:t>日</w:t>
                        </w:r>
                      </w:p>
                    </w:tc>
                  </w:sdtContent>
                </w:sdt>
                <w:sdt>
                  <w:sdtPr>
                    <w:rPr>
                      <w:rFonts w:ascii="Times New Roman" w:hAnsi="Times New Roman" w:cs="Times New Roman"/>
                    </w:rPr>
                    <w:tag w:val="_PLD_81596488beb14108bcc1a644f7064c86"/>
                    <w:id w:val="-1595625958"/>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075184AC" w14:textId="77777777" w:rsidR="009635E0" w:rsidRPr="009635E0" w:rsidRDefault="009635E0">
                        <w:pPr>
                          <w:jc w:val="center"/>
                          <w:rPr>
                            <w:rFonts w:ascii="Times New Roman" w:hAnsi="Times New Roman" w:cs="Times New Roman"/>
                            <w:b/>
                          </w:rPr>
                        </w:pPr>
                        <w:r w:rsidRPr="009635E0">
                          <w:rPr>
                            <w:rFonts w:ascii="Times New Roman" w:hAnsi="Times New Roman" w:cs="Times New Roman"/>
                            <w:b/>
                          </w:rPr>
                          <w:t>调整数</w:t>
                        </w:r>
                      </w:p>
                    </w:tc>
                  </w:sdtContent>
                </w:sdt>
              </w:tr>
              <w:tr w:rsidR="009635E0" w14:paraId="38AE58E4" w14:textId="77777777" w:rsidTr="00787374">
                <w:sdt>
                  <w:sdtPr>
                    <w:tag w:val="_PLD_56fc53346a344cb18c42cf14da6a0ab8"/>
                    <w:id w:val="-207704963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50CA545" w14:textId="77777777" w:rsidR="009635E0" w:rsidRDefault="009635E0">
                        <w:pPr>
                          <w:rPr>
                            <w:b/>
                          </w:rPr>
                        </w:pPr>
                        <w:r>
                          <w:rPr>
                            <w:rFonts w:hint="eastAsia"/>
                            <w:b/>
                          </w:rPr>
                          <w:t>流动</w:t>
                        </w:r>
                        <w:r>
                          <w:rPr>
                            <w:b/>
                          </w:rPr>
                          <w:t>资产：</w:t>
                        </w:r>
                      </w:p>
                    </w:tc>
                  </w:sdtContent>
                </w:sdt>
                <w:tc>
                  <w:tcPr>
                    <w:tcW w:w="1152" w:type="pct"/>
                    <w:tcBorders>
                      <w:top w:val="outset" w:sz="4" w:space="0" w:color="auto"/>
                      <w:left w:val="outset" w:sz="4" w:space="0" w:color="auto"/>
                      <w:bottom w:val="outset" w:sz="4" w:space="0" w:color="auto"/>
                      <w:right w:val="outset" w:sz="4" w:space="0" w:color="auto"/>
                    </w:tcBorders>
                    <w:vAlign w:val="center"/>
                  </w:tcPr>
                  <w:p w14:paraId="212D05BC" w14:textId="77777777" w:rsidR="009635E0" w:rsidRPr="009635E0" w:rsidRDefault="009635E0">
                    <w:pPr>
                      <w:jc w:val="center"/>
                      <w:rPr>
                        <w:rFonts w:ascii="Times New Roman" w:hAnsi="Times New Roman" w:cs="Times New Roman"/>
                        <w:b/>
                      </w:rPr>
                    </w:pPr>
                  </w:p>
                </w:tc>
                <w:tc>
                  <w:tcPr>
                    <w:tcW w:w="996" w:type="pct"/>
                    <w:tcBorders>
                      <w:top w:val="outset" w:sz="4" w:space="0" w:color="auto"/>
                      <w:left w:val="outset" w:sz="4" w:space="0" w:color="auto"/>
                      <w:bottom w:val="outset" w:sz="4" w:space="0" w:color="auto"/>
                      <w:right w:val="outset" w:sz="4" w:space="0" w:color="auto"/>
                    </w:tcBorders>
                    <w:vAlign w:val="center"/>
                  </w:tcPr>
                  <w:p w14:paraId="5741C394" w14:textId="77777777" w:rsidR="009635E0" w:rsidRPr="009635E0" w:rsidRDefault="009635E0">
                    <w:pPr>
                      <w:jc w:val="center"/>
                      <w:rPr>
                        <w:rFonts w:ascii="Times New Roman" w:hAnsi="Times New Roman" w:cs="Times New Roman"/>
                        <w:b/>
                      </w:rPr>
                    </w:pPr>
                  </w:p>
                </w:tc>
                <w:tc>
                  <w:tcPr>
                    <w:tcW w:w="1166" w:type="pct"/>
                    <w:tcBorders>
                      <w:top w:val="outset" w:sz="4" w:space="0" w:color="auto"/>
                      <w:left w:val="outset" w:sz="4" w:space="0" w:color="auto"/>
                      <w:bottom w:val="outset" w:sz="4" w:space="0" w:color="auto"/>
                      <w:right w:val="outset" w:sz="4" w:space="0" w:color="auto"/>
                    </w:tcBorders>
                  </w:tcPr>
                  <w:p w14:paraId="10F8ED25" w14:textId="77777777" w:rsidR="009635E0" w:rsidRPr="009635E0" w:rsidRDefault="009635E0">
                    <w:pPr>
                      <w:jc w:val="center"/>
                      <w:rPr>
                        <w:rFonts w:ascii="Times New Roman" w:hAnsi="Times New Roman" w:cs="Times New Roman"/>
                        <w:b/>
                      </w:rPr>
                    </w:pPr>
                  </w:p>
                </w:tc>
              </w:tr>
              <w:tr w:rsidR="002C402E" w14:paraId="793F5358" w14:textId="77777777" w:rsidTr="00787374">
                <w:sdt>
                  <w:sdtPr>
                    <w:tag w:val="_PLD_4275c997fab34b31bdc237110f7ac4b5"/>
                    <w:id w:val="-128091383"/>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395025D" w14:textId="77777777" w:rsidR="002C402E" w:rsidRDefault="002C402E" w:rsidP="002C402E">
                        <w:pPr>
                          <w:ind w:firstLineChars="100" w:firstLine="210"/>
                          <w:rPr>
                            <w:szCs w:val="21"/>
                          </w:rPr>
                        </w:pPr>
                        <w:r>
                          <w:rPr>
                            <w:rFonts w:hint="eastAsia"/>
                            <w:szCs w:val="21"/>
                          </w:rPr>
                          <w:t>货币资金</w:t>
                        </w:r>
                      </w:p>
                    </w:tc>
                  </w:sdtContent>
                </w:sdt>
                <w:tc>
                  <w:tcPr>
                    <w:tcW w:w="1152" w:type="pct"/>
                    <w:tcBorders>
                      <w:top w:val="outset" w:sz="4" w:space="0" w:color="auto"/>
                      <w:left w:val="outset" w:sz="4" w:space="0" w:color="auto"/>
                      <w:bottom w:val="outset" w:sz="4" w:space="0" w:color="auto"/>
                      <w:right w:val="outset" w:sz="4" w:space="0" w:color="auto"/>
                    </w:tcBorders>
                  </w:tcPr>
                  <w:p w14:paraId="568873F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335,988,568.50</w:t>
                    </w:r>
                  </w:p>
                </w:tc>
                <w:tc>
                  <w:tcPr>
                    <w:tcW w:w="996" w:type="pct"/>
                    <w:tcBorders>
                      <w:top w:val="outset" w:sz="4" w:space="0" w:color="auto"/>
                      <w:left w:val="outset" w:sz="4" w:space="0" w:color="auto"/>
                      <w:bottom w:val="outset" w:sz="4" w:space="0" w:color="auto"/>
                      <w:right w:val="outset" w:sz="4" w:space="0" w:color="auto"/>
                    </w:tcBorders>
                  </w:tcPr>
                  <w:p w14:paraId="4BD59DD3"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335,988,568.50</w:t>
                    </w:r>
                  </w:p>
                </w:tc>
                <w:tc>
                  <w:tcPr>
                    <w:tcW w:w="1166" w:type="pct"/>
                    <w:tcBorders>
                      <w:top w:val="outset" w:sz="4" w:space="0" w:color="auto"/>
                      <w:left w:val="outset" w:sz="4" w:space="0" w:color="auto"/>
                      <w:bottom w:val="outset" w:sz="4" w:space="0" w:color="auto"/>
                      <w:right w:val="outset" w:sz="4" w:space="0" w:color="auto"/>
                    </w:tcBorders>
                  </w:tcPr>
                  <w:p w14:paraId="5D149259" w14:textId="5B409920" w:rsidR="002C402E" w:rsidRPr="009635E0" w:rsidRDefault="002C402E" w:rsidP="002C402E">
                    <w:pPr>
                      <w:jc w:val="right"/>
                      <w:rPr>
                        <w:rFonts w:ascii="Times New Roman" w:hAnsi="Times New Roman" w:cs="Times New Roman"/>
                        <w:szCs w:val="21"/>
                      </w:rPr>
                    </w:pPr>
                    <w:r w:rsidRPr="00AD4133">
                      <w:t>-</w:t>
                    </w:r>
                  </w:p>
                </w:tc>
              </w:tr>
              <w:tr w:rsidR="002C402E" w14:paraId="09188019" w14:textId="77777777" w:rsidTr="00787374">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406744239a488ea72665c240337f9e"/>
                      <w:id w:val="-117532183"/>
                      <w:lock w:val="sdtLocked"/>
                    </w:sdtPr>
                    <w:sdtEndPr/>
                    <w:sdtContent>
                      <w:p w14:paraId="400CA733" w14:textId="77777777" w:rsidR="002C402E" w:rsidRDefault="002C402E" w:rsidP="002C402E">
                        <w:pPr>
                          <w:ind w:firstLineChars="100" w:firstLine="210"/>
                        </w:pPr>
                        <w:r>
                          <w:rPr>
                            <w:rFonts w:hint="eastAsia"/>
                          </w:rPr>
                          <w:t>交易性金融资产</w:t>
                        </w:r>
                      </w:p>
                    </w:sdtContent>
                  </w:sdt>
                </w:tc>
                <w:tc>
                  <w:tcPr>
                    <w:tcW w:w="1152" w:type="pct"/>
                    <w:tcBorders>
                      <w:top w:val="outset" w:sz="4" w:space="0" w:color="auto"/>
                      <w:left w:val="outset" w:sz="4" w:space="0" w:color="auto"/>
                      <w:bottom w:val="outset" w:sz="4" w:space="0" w:color="auto"/>
                      <w:right w:val="outset" w:sz="4" w:space="0" w:color="auto"/>
                    </w:tcBorders>
                  </w:tcPr>
                  <w:p w14:paraId="4077258C"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697,088,958.27</w:t>
                    </w:r>
                  </w:p>
                </w:tc>
                <w:tc>
                  <w:tcPr>
                    <w:tcW w:w="996" w:type="pct"/>
                    <w:tcBorders>
                      <w:top w:val="outset" w:sz="4" w:space="0" w:color="auto"/>
                      <w:left w:val="outset" w:sz="4" w:space="0" w:color="auto"/>
                      <w:bottom w:val="outset" w:sz="4" w:space="0" w:color="auto"/>
                      <w:right w:val="outset" w:sz="4" w:space="0" w:color="auto"/>
                    </w:tcBorders>
                  </w:tcPr>
                  <w:p w14:paraId="35E8336B"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697,088,958.27</w:t>
                    </w:r>
                  </w:p>
                </w:tc>
                <w:tc>
                  <w:tcPr>
                    <w:tcW w:w="1166" w:type="pct"/>
                    <w:tcBorders>
                      <w:top w:val="outset" w:sz="4" w:space="0" w:color="auto"/>
                      <w:left w:val="outset" w:sz="4" w:space="0" w:color="auto"/>
                      <w:bottom w:val="outset" w:sz="4" w:space="0" w:color="auto"/>
                      <w:right w:val="outset" w:sz="4" w:space="0" w:color="auto"/>
                    </w:tcBorders>
                  </w:tcPr>
                  <w:p w14:paraId="28095542" w14:textId="530CC97B" w:rsidR="002C402E" w:rsidRPr="009635E0" w:rsidRDefault="002C402E" w:rsidP="002C402E">
                    <w:pPr>
                      <w:jc w:val="right"/>
                      <w:rPr>
                        <w:rFonts w:ascii="Times New Roman" w:hAnsi="Times New Roman" w:cs="Times New Roman"/>
                        <w:szCs w:val="21"/>
                      </w:rPr>
                    </w:pPr>
                    <w:r w:rsidRPr="00AD4133">
                      <w:t>-</w:t>
                    </w:r>
                  </w:p>
                </w:tc>
              </w:tr>
              <w:tr w:rsidR="002C402E" w14:paraId="52EAFF49" w14:textId="77777777" w:rsidTr="00787374">
                <w:sdt>
                  <w:sdtPr>
                    <w:tag w:val="_PLD_404cf6ab6df04bccadc6e50b430c5ad1"/>
                    <w:id w:val="-1429260338"/>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7F9D9B53" w14:textId="77777777" w:rsidR="002C402E" w:rsidRDefault="002C402E" w:rsidP="002C402E">
                        <w:pPr>
                          <w:ind w:firstLineChars="100" w:firstLine="210"/>
                          <w:rPr>
                            <w:szCs w:val="21"/>
                          </w:rPr>
                        </w:pPr>
                        <w:r>
                          <w:rPr>
                            <w:rFonts w:hint="eastAsia"/>
                            <w:szCs w:val="21"/>
                          </w:rPr>
                          <w:t>应收票据</w:t>
                        </w:r>
                      </w:p>
                    </w:tc>
                  </w:sdtContent>
                </w:sdt>
                <w:tc>
                  <w:tcPr>
                    <w:tcW w:w="1152" w:type="pct"/>
                    <w:tcBorders>
                      <w:top w:val="outset" w:sz="4" w:space="0" w:color="auto"/>
                      <w:left w:val="outset" w:sz="4" w:space="0" w:color="auto"/>
                      <w:bottom w:val="outset" w:sz="4" w:space="0" w:color="auto"/>
                      <w:right w:val="outset" w:sz="4" w:space="0" w:color="auto"/>
                    </w:tcBorders>
                  </w:tcPr>
                  <w:p w14:paraId="5C5CC12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48,765,999.87</w:t>
                    </w:r>
                  </w:p>
                </w:tc>
                <w:tc>
                  <w:tcPr>
                    <w:tcW w:w="996" w:type="pct"/>
                    <w:tcBorders>
                      <w:top w:val="outset" w:sz="4" w:space="0" w:color="auto"/>
                      <w:left w:val="outset" w:sz="4" w:space="0" w:color="auto"/>
                      <w:bottom w:val="outset" w:sz="4" w:space="0" w:color="auto"/>
                      <w:right w:val="outset" w:sz="4" w:space="0" w:color="auto"/>
                    </w:tcBorders>
                  </w:tcPr>
                  <w:p w14:paraId="6D6AD4B3"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48,765,999.87</w:t>
                    </w:r>
                  </w:p>
                </w:tc>
                <w:tc>
                  <w:tcPr>
                    <w:tcW w:w="1166" w:type="pct"/>
                    <w:tcBorders>
                      <w:top w:val="outset" w:sz="4" w:space="0" w:color="auto"/>
                      <w:left w:val="outset" w:sz="4" w:space="0" w:color="auto"/>
                      <w:bottom w:val="outset" w:sz="4" w:space="0" w:color="auto"/>
                      <w:right w:val="outset" w:sz="4" w:space="0" w:color="auto"/>
                    </w:tcBorders>
                  </w:tcPr>
                  <w:p w14:paraId="366EC792" w14:textId="36D65CC4" w:rsidR="002C402E" w:rsidRPr="009635E0" w:rsidRDefault="002C402E" w:rsidP="002C402E">
                    <w:pPr>
                      <w:jc w:val="right"/>
                      <w:rPr>
                        <w:rFonts w:ascii="Times New Roman" w:hAnsi="Times New Roman" w:cs="Times New Roman"/>
                        <w:szCs w:val="21"/>
                      </w:rPr>
                    </w:pPr>
                    <w:r w:rsidRPr="00AD4133">
                      <w:t>-</w:t>
                    </w:r>
                  </w:p>
                </w:tc>
              </w:tr>
              <w:tr w:rsidR="002C402E" w14:paraId="7608A289" w14:textId="77777777" w:rsidTr="00787374">
                <w:sdt>
                  <w:sdtPr>
                    <w:tag w:val="_PLD_60c7fd7f05404a5aa4d1bd82df1525bf"/>
                    <w:id w:val="-1128775076"/>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C5065CB" w14:textId="77777777" w:rsidR="002C402E" w:rsidRDefault="002C402E" w:rsidP="002C402E">
                        <w:pPr>
                          <w:ind w:firstLineChars="100" w:firstLine="210"/>
                          <w:rPr>
                            <w:szCs w:val="21"/>
                          </w:rPr>
                        </w:pPr>
                        <w:r>
                          <w:rPr>
                            <w:rFonts w:hint="eastAsia"/>
                            <w:szCs w:val="21"/>
                          </w:rPr>
                          <w:t>应收账款</w:t>
                        </w:r>
                      </w:p>
                    </w:tc>
                  </w:sdtContent>
                </w:sdt>
                <w:tc>
                  <w:tcPr>
                    <w:tcW w:w="1152" w:type="pct"/>
                    <w:tcBorders>
                      <w:top w:val="outset" w:sz="4" w:space="0" w:color="auto"/>
                      <w:left w:val="outset" w:sz="4" w:space="0" w:color="auto"/>
                      <w:bottom w:val="outset" w:sz="4" w:space="0" w:color="auto"/>
                      <w:right w:val="outset" w:sz="4" w:space="0" w:color="auto"/>
                    </w:tcBorders>
                  </w:tcPr>
                  <w:p w14:paraId="535DE128"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526,900,652.76</w:t>
                    </w:r>
                  </w:p>
                </w:tc>
                <w:tc>
                  <w:tcPr>
                    <w:tcW w:w="996" w:type="pct"/>
                    <w:tcBorders>
                      <w:top w:val="outset" w:sz="4" w:space="0" w:color="auto"/>
                      <w:left w:val="outset" w:sz="4" w:space="0" w:color="auto"/>
                      <w:bottom w:val="outset" w:sz="4" w:space="0" w:color="auto"/>
                      <w:right w:val="outset" w:sz="4" w:space="0" w:color="auto"/>
                    </w:tcBorders>
                  </w:tcPr>
                  <w:p w14:paraId="53938F26"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526,900,652.76</w:t>
                    </w:r>
                  </w:p>
                </w:tc>
                <w:tc>
                  <w:tcPr>
                    <w:tcW w:w="1166" w:type="pct"/>
                    <w:tcBorders>
                      <w:top w:val="outset" w:sz="4" w:space="0" w:color="auto"/>
                      <w:left w:val="outset" w:sz="4" w:space="0" w:color="auto"/>
                      <w:bottom w:val="outset" w:sz="4" w:space="0" w:color="auto"/>
                      <w:right w:val="outset" w:sz="4" w:space="0" w:color="auto"/>
                    </w:tcBorders>
                  </w:tcPr>
                  <w:p w14:paraId="5EE799EB" w14:textId="58B19EE6" w:rsidR="002C402E" w:rsidRPr="009635E0" w:rsidRDefault="002C402E" w:rsidP="002C402E">
                    <w:pPr>
                      <w:jc w:val="right"/>
                      <w:rPr>
                        <w:rFonts w:ascii="Times New Roman" w:hAnsi="Times New Roman" w:cs="Times New Roman"/>
                        <w:szCs w:val="21"/>
                      </w:rPr>
                    </w:pPr>
                    <w:r w:rsidRPr="00AD4133">
                      <w:t>-</w:t>
                    </w:r>
                  </w:p>
                </w:tc>
              </w:tr>
              <w:tr w:rsidR="002C402E" w14:paraId="53DAFEC8" w14:textId="77777777" w:rsidTr="00787374">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da8af118d94152a3fe4a70f28db8ca"/>
                      <w:id w:val="-1858184327"/>
                      <w:lock w:val="sdtLocked"/>
                    </w:sdtPr>
                    <w:sdtEndPr/>
                    <w:sdtContent>
                      <w:p w14:paraId="44505DA0" w14:textId="77777777" w:rsidR="002C402E" w:rsidRDefault="002C402E" w:rsidP="002C402E">
                        <w:pPr>
                          <w:ind w:firstLineChars="100" w:firstLine="210"/>
                        </w:pPr>
                        <w:r>
                          <w:rPr>
                            <w:rFonts w:hint="eastAsia"/>
                          </w:rPr>
                          <w:t>应收款项融资</w:t>
                        </w:r>
                      </w:p>
                    </w:sdtContent>
                  </w:sdt>
                </w:tc>
                <w:tc>
                  <w:tcPr>
                    <w:tcW w:w="1152" w:type="pct"/>
                    <w:tcBorders>
                      <w:top w:val="outset" w:sz="4" w:space="0" w:color="auto"/>
                      <w:left w:val="outset" w:sz="4" w:space="0" w:color="auto"/>
                      <w:bottom w:val="outset" w:sz="4" w:space="0" w:color="auto"/>
                      <w:right w:val="outset" w:sz="4" w:space="0" w:color="auto"/>
                    </w:tcBorders>
                  </w:tcPr>
                  <w:p w14:paraId="5A24A6B4" w14:textId="77777777" w:rsidR="002C402E" w:rsidRPr="009635E0" w:rsidRDefault="002C402E" w:rsidP="002C402E">
                    <w:pPr>
                      <w:jc w:val="right"/>
                      <w:rPr>
                        <w:rFonts w:ascii="Times New Roman" w:hAnsi="Times New Roman" w:cs="Times New Roman"/>
                        <w:szCs w:val="21"/>
                      </w:rPr>
                    </w:pPr>
                    <w:r w:rsidRPr="009635E0">
                      <w:rPr>
                        <w:rStyle w:val="aff6"/>
                        <w:rFonts w:ascii="Times New Roman" w:hAnsi="Times New Roman" w:cs="Times New Roman"/>
                      </w:rPr>
                      <w:t>18,052,511.60</w:t>
                    </w:r>
                  </w:p>
                </w:tc>
                <w:tc>
                  <w:tcPr>
                    <w:tcW w:w="996" w:type="pct"/>
                    <w:tcBorders>
                      <w:top w:val="outset" w:sz="4" w:space="0" w:color="auto"/>
                      <w:left w:val="outset" w:sz="4" w:space="0" w:color="auto"/>
                      <w:bottom w:val="outset" w:sz="4" w:space="0" w:color="auto"/>
                      <w:right w:val="outset" w:sz="4" w:space="0" w:color="auto"/>
                    </w:tcBorders>
                  </w:tcPr>
                  <w:p w14:paraId="4B1C3097" w14:textId="77777777" w:rsidR="002C402E" w:rsidRPr="009635E0" w:rsidRDefault="002C402E" w:rsidP="002C402E">
                    <w:pPr>
                      <w:jc w:val="right"/>
                      <w:rPr>
                        <w:rFonts w:ascii="Times New Roman" w:hAnsi="Times New Roman" w:cs="Times New Roman"/>
                        <w:szCs w:val="21"/>
                      </w:rPr>
                    </w:pPr>
                    <w:r w:rsidRPr="009635E0">
                      <w:rPr>
                        <w:rStyle w:val="aff6"/>
                        <w:rFonts w:ascii="Times New Roman" w:hAnsi="Times New Roman" w:cs="Times New Roman"/>
                      </w:rPr>
                      <w:t>18,052,511.60</w:t>
                    </w:r>
                  </w:p>
                </w:tc>
                <w:tc>
                  <w:tcPr>
                    <w:tcW w:w="1166" w:type="pct"/>
                    <w:tcBorders>
                      <w:top w:val="outset" w:sz="4" w:space="0" w:color="auto"/>
                      <w:left w:val="outset" w:sz="4" w:space="0" w:color="auto"/>
                      <w:bottom w:val="outset" w:sz="4" w:space="0" w:color="auto"/>
                      <w:right w:val="outset" w:sz="4" w:space="0" w:color="auto"/>
                    </w:tcBorders>
                  </w:tcPr>
                  <w:p w14:paraId="1380EB99" w14:textId="3129B346" w:rsidR="002C402E" w:rsidRPr="009635E0" w:rsidRDefault="002C402E" w:rsidP="002C402E">
                    <w:pPr>
                      <w:jc w:val="right"/>
                      <w:rPr>
                        <w:rFonts w:ascii="Times New Roman" w:hAnsi="Times New Roman" w:cs="Times New Roman"/>
                        <w:szCs w:val="21"/>
                      </w:rPr>
                    </w:pPr>
                    <w:r w:rsidRPr="00AD4133">
                      <w:t>-</w:t>
                    </w:r>
                  </w:p>
                </w:tc>
              </w:tr>
              <w:tr w:rsidR="002C402E" w14:paraId="5D8D957B" w14:textId="77777777" w:rsidTr="00787374">
                <w:sdt>
                  <w:sdtPr>
                    <w:tag w:val="_PLD_932119a1f2724f0296ba583a176a5b7f"/>
                    <w:id w:val="136023561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36D3353" w14:textId="77777777" w:rsidR="002C402E" w:rsidRDefault="002C402E" w:rsidP="002C402E">
                        <w:pPr>
                          <w:ind w:firstLineChars="100" w:firstLine="210"/>
                          <w:rPr>
                            <w:szCs w:val="21"/>
                          </w:rPr>
                        </w:pPr>
                        <w:r>
                          <w:rPr>
                            <w:rFonts w:hint="eastAsia"/>
                            <w:szCs w:val="21"/>
                          </w:rPr>
                          <w:t>预付款项</w:t>
                        </w:r>
                      </w:p>
                    </w:tc>
                  </w:sdtContent>
                </w:sdt>
                <w:tc>
                  <w:tcPr>
                    <w:tcW w:w="1152" w:type="pct"/>
                    <w:tcBorders>
                      <w:top w:val="outset" w:sz="4" w:space="0" w:color="auto"/>
                      <w:left w:val="outset" w:sz="4" w:space="0" w:color="auto"/>
                      <w:bottom w:val="outset" w:sz="4" w:space="0" w:color="auto"/>
                      <w:right w:val="outset" w:sz="4" w:space="0" w:color="auto"/>
                    </w:tcBorders>
                  </w:tcPr>
                  <w:p w14:paraId="5F56A382"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56,684,087.46</w:t>
                    </w:r>
                  </w:p>
                </w:tc>
                <w:tc>
                  <w:tcPr>
                    <w:tcW w:w="996" w:type="pct"/>
                    <w:tcBorders>
                      <w:top w:val="outset" w:sz="4" w:space="0" w:color="auto"/>
                      <w:left w:val="outset" w:sz="4" w:space="0" w:color="auto"/>
                      <w:bottom w:val="outset" w:sz="4" w:space="0" w:color="auto"/>
                      <w:right w:val="outset" w:sz="4" w:space="0" w:color="auto"/>
                    </w:tcBorders>
                  </w:tcPr>
                  <w:p w14:paraId="19CBA073"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56,684,087.46</w:t>
                    </w:r>
                  </w:p>
                </w:tc>
                <w:tc>
                  <w:tcPr>
                    <w:tcW w:w="1166" w:type="pct"/>
                    <w:tcBorders>
                      <w:top w:val="outset" w:sz="4" w:space="0" w:color="auto"/>
                      <w:left w:val="outset" w:sz="4" w:space="0" w:color="auto"/>
                      <w:bottom w:val="outset" w:sz="4" w:space="0" w:color="auto"/>
                      <w:right w:val="outset" w:sz="4" w:space="0" w:color="auto"/>
                    </w:tcBorders>
                  </w:tcPr>
                  <w:p w14:paraId="33D716AC" w14:textId="27CF567A" w:rsidR="002C402E" w:rsidRPr="009635E0" w:rsidRDefault="002C402E" w:rsidP="002C402E">
                    <w:pPr>
                      <w:jc w:val="right"/>
                      <w:rPr>
                        <w:rFonts w:ascii="Times New Roman" w:hAnsi="Times New Roman" w:cs="Times New Roman"/>
                        <w:szCs w:val="21"/>
                      </w:rPr>
                    </w:pPr>
                    <w:r w:rsidRPr="00AD4133">
                      <w:t>-</w:t>
                    </w:r>
                  </w:p>
                </w:tc>
              </w:tr>
              <w:tr w:rsidR="002C402E" w14:paraId="62304D2A" w14:textId="77777777" w:rsidTr="00787374">
                <w:sdt>
                  <w:sdtPr>
                    <w:tag w:val="_PLD_1c11d90f36904ee99e2d2614e1985d9f"/>
                    <w:id w:val="-654372661"/>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5DDB1B03" w14:textId="77777777" w:rsidR="002C402E" w:rsidRDefault="002C402E" w:rsidP="002C402E">
                        <w:pPr>
                          <w:ind w:firstLineChars="100" w:firstLine="210"/>
                          <w:rPr>
                            <w:szCs w:val="21"/>
                          </w:rPr>
                        </w:pPr>
                        <w:r>
                          <w:rPr>
                            <w:rFonts w:hint="eastAsia"/>
                            <w:szCs w:val="21"/>
                          </w:rPr>
                          <w:t>其他应收款</w:t>
                        </w:r>
                      </w:p>
                    </w:tc>
                  </w:sdtContent>
                </w:sdt>
                <w:tc>
                  <w:tcPr>
                    <w:tcW w:w="1152" w:type="pct"/>
                    <w:tcBorders>
                      <w:top w:val="outset" w:sz="4" w:space="0" w:color="auto"/>
                      <w:left w:val="outset" w:sz="4" w:space="0" w:color="auto"/>
                      <w:bottom w:val="outset" w:sz="4" w:space="0" w:color="auto"/>
                      <w:right w:val="outset" w:sz="4" w:space="0" w:color="auto"/>
                    </w:tcBorders>
                  </w:tcPr>
                  <w:p w14:paraId="39A829F1"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34,422,657.91</w:t>
                    </w:r>
                  </w:p>
                </w:tc>
                <w:tc>
                  <w:tcPr>
                    <w:tcW w:w="996" w:type="pct"/>
                    <w:tcBorders>
                      <w:top w:val="outset" w:sz="4" w:space="0" w:color="auto"/>
                      <w:left w:val="outset" w:sz="4" w:space="0" w:color="auto"/>
                      <w:bottom w:val="outset" w:sz="4" w:space="0" w:color="auto"/>
                      <w:right w:val="outset" w:sz="4" w:space="0" w:color="auto"/>
                    </w:tcBorders>
                  </w:tcPr>
                  <w:p w14:paraId="035DD2F4"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34,422,657.91</w:t>
                    </w:r>
                  </w:p>
                </w:tc>
                <w:tc>
                  <w:tcPr>
                    <w:tcW w:w="1166" w:type="pct"/>
                    <w:tcBorders>
                      <w:top w:val="outset" w:sz="4" w:space="0" w:color="auto"/>
                      <w:left w:val="outset" w:sz="4" w:space="0" w:color="auto"/>
                      <w:bottom w:val="outset" w:sz="4" w:space="0" w:color="auto"/>
                      <w:right w:val="outset" w:sz="4" w:space="0" w:color="auto"/>
                    </w:tcBorders>
                  </w:tcPr>
                  <w:p w14:paraId="41728A4C" w14:textId="415689A8" w:rsidR="002C402E" w:rsidRPr="009635E0" w:rsidRDefault="002C402E" w:rsidP="002C402E">
                    <w:pPr>
                      <w:jc w:val="right"/>
                      <w:rPr>
                        <w:rFonts w:ascii="Times New Roman" w:hAnsi="Times New Roman" w:cs="Times New Roman"/>
                        <w:szCs w:val="21"/>
                      </w:rPr>
                    </w:pPr>
                    <w:r w:rsidRPr="00AD4133">
                      <w:t>-</w:t>
                    </w:r>
                  </w:p>
                </w:tc>
              </w:tr>
              <w:tr w:rsidR="002C402E" w14:paraId="4A384B22" w14:textId="77777777" w:rsidTr="00787374">
                <w:sdt>
                  <w:sdtPr>
                    <w:tag w:val="_PLD_b725da7877314ffbb440022473aa4771"/>
                    <w:id w:val="-79838573"/>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720D3001" w14:textId="77777777" w:rsidR="002C402E" w:rsidRDefault="002C402E" w:rsidP="002C402E">
                        <w:pPr>
                          <w:ind w:firstLineChars="100" w:firstLine="210"/>
                          <w:rPr>
                            <w:szCs w:val="21"/>
                          </w:rPr>
                        </w:pPr>
                        <w:r>
                          <w:rPr>
                            <w:rFonts w:hint="eastAsia"/>
                          </w:rPr>
                          <w:t>其中：</w:t>
                        </w:r>
                        <w:r>
                          <w:rPr>
                            <w:rFonts w:hint="eastAsia"/>
                            <w:szCs w:val="21"/>
                          </w:rPr>
                          <w:t>应收利息</w:t>
                        </w:r>
                      </w:p>
                    </w:tc>
                  </w:sdtContent>
                </w:sdt>
                <w:tc>
                  <w:tcPr>
                    <w:tcW w:w="1152" w:type="pct"/>
                    <w:tcBorders>
                      <w:top w:val="outset" w:sz="4" w:space="0" w:color="auto"/>
                      <w:left w:val="outset" w:sz="4" w:space="0" w:color="auto"/>
                      <w:bottom w:val="outset" w:sz="4" w:space="0" w:color="auto"/>
                      <w:right w:val="outset" w:sz="4" w:space="0" w:color="auto"/>
                    </w:tcBorders>
                  </w:tcPr>
                  <w:p w14:paraId="7EF777D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21,705.54</w:t>
                    </w:r>
                  </w:p>
                </w:tc>
                <w:tc>
                  <w:tcPr>
                    <w:tcW w:w="996" w:type="pct"/>
                    <w:tcBorders>
                      <w:top w:val="outset" w:sz="4" w:space="0" w:color="auto"/>
                      <w:left w:val="outset" w:sz="4" w:space="0" w:color="auto"/>
                      <w:bottom w:val="outset" w:sz="4" w:space="0" w:color="auto"/>
                      <w:right w:val="outset" w:sz="4" w:space="0" w:color="auto"/>
                    </w:tcBorders>
                  </w:tcPr>
                  <w:p w14:paraId="76BD7F71"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21,705.54</w:t>
                    </w:r>
                  </w:p>
                </w:tc>
                <w:tc>
                  <w:tcPr>
                    <w:tcW w:w="1166" w:type="pct"/>
                    <w:tcBorders>
                      <w:top w:val="outset" w:sz="4" w:space="0" w:color="auto"/>
                      <w:left w:val="outset" w:sz="4" w:space="0" w:color="auto"/>
                      <w:bottom w:val="outset" w:sz="4" w:space="0" w:color="auto"/>
                      <w:right w:val="outset" w:sz="4" w:space="0" w:color="auto"/>
                    </w:tcBorders>
                  </w:tcPr>
                  <w:p w14:paraId="5ECF1A7E" w14:textId="2FEBB89D" w:rsidR="002C402E" w:rsidRPr="009635E0" w:rsidRDefault="002C402E" w:rsidP="002C402E">
                    <w:pPr>
                      <w:jc w:val="right"/>
                      <w:rPr>
                        <w:rFonts w:ascii="Times New Roman" w:hAnsi="Times New Roman" w:cs="Times New Roman"/>
                        <w:szCs w:val="21"/>
                      </w:rPr>
                    </w:pPr>
                    <w:r w:rsidRPr="00AD4133">
                      <w:t>-</w:t>
                    </w:r>
                  </w:p>
                </w:tc>
              </w:tr>
              <w:tr w:rsidR="002C402E" w14:paraId="0E3CDE62" w14:textId="77777777" w:rsidTr="002C402E">
                <w:sdt>
                  <w:sdtPr>
                    <w:tag w:val="_PLD_c5bd1b6582fc46a4af5fd9ca75d2de9e"/>
                    <w:id w:val="1852458016"/>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CA73EC0" w14:textId="77777777" w:rsidR="002C402E" w:rsidRDefault="002C402E" w:rsidP="002C402E">
                        <w:pPr>
                          <w:ind w:firstLineChars="400" w:firstLine="840"/>
                          <w:rPr>
                            <w:szCs w:val="21"/>
                          </w:rPr>
                        </w:pPr>
                        <w:r>
                          <w:rPr>
                            <w:rFonts w:hint="eastAsia"/>
                            <w:szCs w:val="21"/>
                          </w:rPr>
                          <w:t>应收股利</w:t>
                        </w:r>
                      </w:p>
                    </w:tc>
                  </w:sdtContent>
                </w:sdt>
                <w:tc>
                  <w:tcPr>
                    <w:tcW w:w="1152" w:type="pct"/>
                    <w:tcBorders>
                      <w:top w:val="outset" w:sz="4" w:space="0" w:color="auto"/>
                      <w:left w:val="outset" w:sz="4" w:space="0" w:color="auto"/>
                      <w:bottom w:val="outset" w:sz="4" w:space="0" w:color="auto"/>
                      <w:right w:val="outset" w:sz="4" w:space="0" w:color="auto"/>
                    </w:tcBorders>
                    <w:vAlign w:val="center"/>
                  </w:tcPr>
                  <w:p w14:paraId="671F3F10" w14:textId="6DE25932" w:rsidR="002C402E" w:rsidRPr="009635E0" w:rsidRDefault="002C402E" w:rsidP="002C402E">
                    <w:pPr>
                      <w:jc w:val="right"/>
                      <w:rPr>
                        <w:rFonts w:ascii="Times New Roman" w:hAnsi="Times New Roman" w:cs="Times New Roman"/>
                        <w:szCs w:val="21"/>
                      </w:rPr>
                    </w:pPr>
                    <w:r>
                      <w:t>-</w:t>
                    </w:r>
                  </w:p>
                </w:tc>
                <w:tc>
                  <w:tcPr>
                    <w:tcW w:w="996" w:type="pct"/>
                    <w:tcBorders>
                      <w:top w:val="outset" w:sz="4" w:space="0" w:color="auto"/>
                      <w:left w:val="outset" w:sz="4" w:space="0" w:color="auto"/>
                      <w:bottom w:val="outset" w:sz="4" w:space="0" w:color="auto"/>
                      <w:right w:val="outset" w:sz="4" w:space="0" w:color="auto"/>
                    </w:tcBorders>
                    <w:vAlign w:val="center"/>
                  </w:tcPr>
                  <w:p w14:paraId="34C337A2" w14:textId="1F84D205" w:rsidR="002C402E" w:rsidRPr="009635E0" w:rsidRDefault="002C402E" w:rsidP="002C402E">
                    <w:pPr>
                      <w:jc w:val="right"/>
                      <w:rPr>
                        <w:rFonts w:ascii="Times New Roman" w:hAnsi="Times New Roman" w:cs="Times New Roman"/>
                        <w:szCs w:val="21"/>
                      </w:rPr>
                    </w:pPr>
                    <w:r>
                      <w:t>-</w:t>
                    </w:r>
                  </w:p>
                </w:tc>
                <w:tc>
                  <w:tcPr>
                    <w:tcW w:w="1166" w:type="pct"/>
                    <w:tcBorders>
                      <w:top w:val="outset" w:sz="4" w:space="0" w:color="auto"/>
                      <w:left w:val="outset" w:sz="4" w:space="0" w:color="auto"/>
                      <w:bottom w:val="outset" w:sz="4" w:space="0" w:color="auto"/>
                      <w:right w:val="outset" w:sz="4" w:space="0" w:color="auto"/>
                    </w:tcBorders>
                  </w:tcPr>
                  <w:p w14:paraId="403A0E21" w14:textId="01163CED" w:rsidR="002C402E" w:rsidRPr="009635E0" w:rsidRDefault="002C402E" w:rsidP="002C402E">
                    <w:pPr>
                      <w:jc w:val="right"/>
                      <w:rPr>
                        <w:rFonts w:ascii="Times New Roman" w:hAnsi="Times New Roman" w:cs="Times New Roman"/>
                        <w:szCs w:val="21"/>
                      </w:rPr>
                    </w:pPr>
                    <w:r w:rsidRPr="00AD4133">
                      <w:t>-</w:t>
                    </w:r>
                  </w:p>
                </w:tc>
              </w:tr>
              <w:tr w:rsidR="002C402E" w14:paraId="149E2883" w14:textId="77777777" w:rsidTr="00787374">
                <w:sdt>
                  <w:sdtPr>
                    <w:tag w:val="_PLD_1b93e8fafaee4160b39625362d84eff2"/>
                    <w:id w:val="-54228504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2CAACED8" w14:textId="77777777" w:rsidR="002C402E" w:rsidRDefault="002C402E" w:rsidP="002C402E">
                        <w:pPr>
                          <w:ind w:firstLineChars="100" w:firstLine="210"/>
                          <w:rPr>
                            <w:szCs w:val="21"/>
                          </w:rPr>
                        </w:pPr>
                        <w:r>
                          <w:rPr>
                            <w:rFonts w:hint="eastAsia"/>
                            <w:szCs w:val="21"/>
                          </w:rPr>
                          <w:t>存货</w:t>
                        </w:r>
                      </w:p>
                    </w:tc>
                  </w:sdtContent>
                </w:sdt>
                <w:tc>
                  <w:tcPr>
                    <w:tcW w:w="1152" w:type="pct"/>
                    <w:tcBorders>
                      <w:top w:val="outset" w:sz="4" w:space="0" w:color="auto"/>
                      <w:left w:val="outset" w:sz="4" w:space="0" w:color="auto"/>
                      <w:bottom w:val="outset" w:sz="4" w:space="0" w:color="auto"/>
                      <w:right w:val="outset" w:sz="4" w:space="0" w:color="auto"/>
                    </w:tcBorders>
                  </w:tcPr>
                  <w:p w14:paraId="2FCE0D56"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162,334,973.29</w:t>
                    </w:r>
                  </w:p>
                </w:tc>
                <w:tc>
                  <w:tcPr>
                    <w:tcW w:w="996" w:type="pct"/>
                    <w:tcBorders>
                      <w:top w:val="outset" w:sz="4" w:space="0" w:color="auto"/>
                      <w:left w:val="outset" w:sz="4" w:space="0" w:color="auto"/>
                      <w:bottom w:val="outset" w:sz="4" w:space="0" w:color="auto"/>
                      <w:right w:val="outset" w:sz="4" w:space="0" w:color="auto"/>
                    </w:tcBorders>
                  </w:tcPr>
                  <w:p w14:paraId="0EE2600E"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162,334,973.29</w:t>
                    </w:r>
                  </w:p>
                </w:tc>
                <w:tc>
                  <w:tcPr>
                    <w:tcW w:w="1166" w:type="pct"/>
                    <w:tcBorders>
                      <w:top w:val="outset" w:sz="4" w:space="0" w:color="auto"/>
                      <w:left w:val="outset" w:sz="4" w:space="0" w:color="auto"/>
                      <w:bottom w:val="outset" w:sz="4" w:space="0" w:color="auto"/>
                      <w:right w:val="outset" w:sz="4" w:space="0" w:color="auto"/>
                    </w:tcBorders>
                  </w:tcPr>
                  <w:p w14:paraId="1D8BBB53" w14:textId="2A3EEAD9" w:rsidR="002C402E" w:rsidRPr="009635E0" w:rsidRDefault="002C402E" w:rsidP="002C402E">
                    <w:pPr>
                      <w:jc w:val="right"/>
                      <w:rPr>
                        <w:rFonts w:ascii="Times New Roman" w:hAnsi="Times New Roman" w:cs="Times New Roman"/>
                        <w:szCs w:val="21"/>
                      </w:rPr>
                    </w:pPr>
                    <w:r w:rsidRPr="00AD4133">
                      <w:t>-</w:t>
                    </w:r>
                  </w:p>
                </w:tc>
              </w:tr>
              <w:tr w:rsidR="002C402E" w14:paraId="2873C0BD" w14:textId="77777777" w:rsidTr="00787374">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d2ee0df5ae54e54a7746259b5f3c9e7"/>
                      <w:id w:val="1189641290"/>
                      <w:lock w:val="sdtLocked"/>
                    </w:sdtPr>
                    <w:sdtEndPr/>
                    <w:sdtContent>
                      <w:p w14:paraId="1284D666" w14:textId="77777777" w:rsidR="002C402E" w:rsidRDefault="002C402E" w:rsidP="002C402E">
                        <w:pPr>
                          <w:ind w:firstLineChars="100" w:firstLine="210"/>
                        </w:pPr>
                        <w:r>
                          <w:rPr>
                            <w:rFonts w:hint="eastAsia"/>
                          </w:rPr>
                          <w:t>合同资产</w:t>
                        </w:r>
                      </w:p>
                    </w:sdtContent>
                  </w:sdt>
                </w:tc>
                <w:tc>
                  <w:tcPr>
                    <w:tcW w:w="1152" w:type="pct"/>
                    <w:tcBorders>
                      <w:top w:val="outset" w:sz="4" w:space="0" w:color="auto"/>
                      <w:left w:val="outset" w:sz="4" w:space="0" w:color="auto"/>
                      <w:bottom w:val="outset" w:sz="4" w:space="0" w:color="auto"/>
                      <w:right w:val="outset" w:sz="4" w:space="0" w:color="auto"/>
                    </w:tcBorders>
                  </w:tcPr>
                  <w:p w14:paraId="0D21D25C"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289,909,079.18</w:t>
                    </w:r>
                  </w:p>
                </w:tc>
                <w:tc>
                  <w:tcPr>
                    <w:tcW w:w="996" w:type="pct"/>
                    <w:tcBorders>
                      <w:top w:val="outset" w:sz="4" w:space="0" w:color="auto"/>
                      <w:left w:val="outset" w:sz="4" w:space="0" w:color="auto"/>
                      <w:bottom w:val="outset" w:sz="4" w:space="0" w:color="auto"/>
                      <w:right w:val="outset" w:sz="4" w:space="0" w:color="auto"/>
                    </w:tcBorders>
                  </w:tcPr>
                  <w:p w14:paraId="658FDBF3"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289,909,079.18</w:t>
                    </w:r>
                  </w:p>
                </w:tc>
                <w:tc>
                  <w:tcPr>
                    <w:tcW w:w="1166" w:type="pct"/>
                    <w:tcBorders>
                      <w:top w:val="outset" w:sz="4" w:space="0" w:color="auto"/>
                      <w:left w:val="outset" w:sz="4" w:space="0" w:color="auto"/>
                      <w:bottom w:val="outset" w:sz="4" w:space="0" w:color="auto"/>
                      <w:right w:val="outset" w:sz="4" w:space="0" w:color="auto"/>
                    </w:tcBorders>
                  </w:tcPr>
                  <w:p w14:paraId="5AF5F2E2" w14:textId="4AC44E63" w:rsidR="002C402E" w:rsidRPr="009635E0" w:rsidRDefault="002C402E" w:rsidP="002C402E">
                    <w:pPr>
                      <w:jc w:val="right"/>
                      <w:rPr>
                        <w:rFonts w:ascii="Times New Roman" w:hAnsi="Times New Roman" w:cs="Times New Roman"/>
                        <w:szCs w:val="21"/>
                      </w:rPr>
                    </w:pPr>
                    <w:r w:rsidRPr="00AD4133">
                      <w:t>-</w:t>
                    </w:r>
                  </w:p>
                </w:tc>
              </w:tr>
              <w:tr w:rsidR="002C402E" w14:paraId="4E71A705" w14:textId="77777777" w:rsidTr="00787374">
                <w:sdt>
                  <w:sdtPr>
                    <w:tag w:val="_PLD_c639adcbe40b4a05b0dabb81fab2af29"/>
                    <w:id w:val="-1256585263"/>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46EE2F5C" w14:textId="77777777" w:rsidR="002C402E" w:rsidRDefault="002C402E" w:rsidP="002C402E">
                        <w:pPr>
                          <w:ind w:firstLineChars="100" w:firstLine="210"/>
                          <w:rPr>
                            <w:szCs w:val="21"/>
                          </w:rPr>
                        </w:pPr>
                        <w:r>
                          <w:rPr>
                            <w:rFonts w:hint="eastAsia"/>
                            <w:szCs w:val="21"/>
                          </w:rPr>
                          <w:t>其他流动资产</w:t>
                        </w:r>
                      </w:p>
                    </w:tc>
                  </w:sdtContent>
                </w:sdt>
                <w:tc>
                  <w:tcPr>
                    <w:tcW w:w="1152" w:type="pct"/>
                    <w:tcBorders>
                      <w:top w:val="outset" w:sz="4" w:space="0" w:color="auto"/>
                      <w:left w:val="outset" w:sz="4" w:space="0" w:color="auto"/>
                      <w:bottom w:val="outset" w:sz="4" w:space="0" w:color="auto"/>
                      <w:right w:val="outset" w:sz="4" w:space="0" w:color="auto"/>
                    </w:tcBorders>
                  </w:tcPr>
                  <w:p w14:paraId="3A9BC985"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67,993,756.66</w:t>
                    </w:r>
                  </w:p>
                </w:tc>
                <w:tc>
                  <w:tcPr>
                    <w:tcW w:w="996" w:type="pct"/>
                    <w:tcBorders>
                      <w:top w:val="outset" w:sz="4" w:space="0" w:color="auto"/>
                      <w:left w:val="outset" w:sz="4" w:space="0" w:color="auto"/>
                      <w:bottom w:val="outset" w:sz="4" w:space="0" w:color="auto"/>
                      <w:right w:val="outset" w:sz="4" w:space="0" w:color="auto"/>
                    </w:tcBorders>
                  </w:tcPr>
                  <w:p w14:paraId="058EB8C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67,993,756.66</w:t>
                    </w:r>
                  </w:p>
                </w:tc>
                <w:tc>
                  <w:tcPr>
                    <w:tcW w:w="1166" w:type="pct"/>
                    <w:tcBorders>
                      <w:top w:val="outset" w:sz="4" w:space="0" w:color="auto"/>
                      <w:left w:val="outset" w:sz="4" w:space="0" w:color="auto"/>
                      <w:bottom w:val="outset" w:sz="4" w:space="0" w:color="auto"/>
                      <w:right w:val="outset" w:sz="4" w:space="0" w:color="auto"/>
                    </w:tcBorders>
                  </w:tcPr>
                  <w:p w14:paraId="4F536C61" w14:textId="50910D7C" w:rsidR="002C402E" w:rsidRPr="009635E0" w:rsidRDefault="002C402E" w:rsidP="002C402E">
                    <w:pPr>
                      <w:jc w:val="right"/>
                      <w:rPr>
                        <w:rFonts w:ascii="Times New Roman" w:hAnsi="Times New Roman" w:cs="Times New Roman"/>
                        <w:szCs w:val="21"/>
                      </w:rPr>
                    </w:pPr>
                    <w:r w:rsidRPr="00AD4133">
                      <w:t>-</w:t>
                    </w:r>
                  </w:p>
                </w:tc>
              </w:tr>
              <w:tr w:rsidR="002C402E" w14:paraId="0995087F" w14:textId="77777777" w:rsidTr="00787374">
                <w:sdt>
                  <w:sdtPr>
                    <w:tag w:val="_PLD_e3f264539b5943aeb4e53e3500a11c95"/>
                    <w:id w:val="1492364285"/>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7921463A" w14:textId="77777777" w:rsidR="002C402E" w:rsidRDefault="002C402E" w:rsidP="002C402E">
                        <w:pPr>
                          <w:ind w:firstLineChars="200" w:firstLine="420"/>
                          <w:rPr>
                            <w:szCs w:val="21"/>
                          </w:rPr>
                        </w:pPr>
                        <w:r>
                          <w:rPr>
                            <w:rFonts w:hint="eastAsia"/>
                            <w:szCs w:val="21"/>
                          </w:rPr>
                          <w:t>流动资产合计</w:t>
                        </w:r>
                      </w:p>
                    </w:tc>
                  </w:sdtContent>
                </w:sdt>
                <w:tc>
                  <w:tcPr>
                    <w:tcW w:w="1152" w:type="pct"/>
                    <w:tcBorders>
                      <w:top w:val="outset" w:sz="4" w:space="0" w:color="auto"/>
                      <w:left w:val="outset" w:sz="4" w:space="0" w:color="auto"/>
                      <w:bottom w:val="outset" w:sz="4" w:space="0" w:color="auto"/>
                      <w:right w:val="outset" w:sz="4" w:space="0" w:color="auto"/>
                    </w:tcBorders>
                  </w:tcPr>
                  <w:p w14:paraId="0C900FFE"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2,238,141,245.50</w:t>
                    </w:r>
                  </w:p>
                </w:tc>
                <w:tc>
                  <w:tcPr>
                    <w:tcW w:w="996" w:type="pct"/>
                    <w:tcBorders>
                      <w:top w:val="outset" w:sz="4" w:space="0" w:color="auto"/>
                      <w:left w:val="outset" w:sz="4" w:space="0" w:color="auto"/>
                      <w:bottom w:val="outset" w:sz="4" w:space="0" w:color="auto"/>
                      <w:right w:val="outset" w:sz="4" w:space="0" w:color="auto"/>
                    </w:tcBorders>
                  </w:tcPr>
                  <w:p w14:paraId="0DC22C90"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2,238,141,245.50</w:t>
                    </w:r>
                  </w:p>
                </w:tc>
                <w:tc>
                  <w:tcPr>
                    <w:tcW w:w="1166" w:type="pct"/>
                    <w:tcBorders>
                      <w:top w:val="outset" w:sz="4" w:space="0" w:color="auto"/>
                      <w:left w:val="outset" w:sz="4" w:space="0" w:color="auto"/>
                      <w:bottom w:val="outset" w:sz="4" w:space="0" w:color="auto"/>
                      <w:right w:val="outset" w:sz="4" w:space="0" w:color="auto"/>
                    </w:tcBorders>
                  </w:tcPr>
                  <w:p w14:paraId="6D344702" w14:textId="67BF2915" w:rsidR="002C402E" w:rsidRPr="009635E0" w:rsidRDefault="002C402E" w:rsidP="002C402E">
                    <w:pPr>
                      <w:jc w:val="right"/>
                      <w:rPr>
                        <w:rFonts w:ascii="Times New Roman" w:hAnsi="Times New Roman" w:cs="Times New Roman"/>
                        <w:szCs w:val="21"/>
                      </w:rPr>
                    </w:pPr>
                    <w:r w:rsidRPr="00AD4133">
                      <w:t>-</w:t>
                    </w:r>
                  </w:p>
                </w:tc>
              </w:tr>
              <w:tr w:rsidR="009635E0" w14:paraId="327AB723" w14:textId="77777777" w:rsidTr="00D32D2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caf9cfa49da24a91b1a36ce2bbed2585"/>
                      <w:id w:val="-1837528590"/>
                      <w:lock w:val="sdtLocked"/>
                    </w:sdtPr>
                    <w:sdtEndPr/>
                    <w:sdtContent>
                      <w:p w14:paraId="3573B1DA" w14:textId="77777777" w:rsidR="009635E0" w:rsidRPr="009635E0" w:rsidRDefault="009635E0">
                        <w:pPr>
                          <w:rPr>
                            <w:rFonts w:ascii="Times New Roman" w:hAnsi="Times New Roman" w:cs="Times New Roman"/>
                            <w:szCs w:val="21"/>
                          </w:rPr>
                        </w:pPr>
                        <w:r w:rsidRPr="009635E0">
                          <w:rPr>
                            <w:rFonts w:ascii="Times New Roman" w:hAnsi="Times New Roman" w:cs="Times New Roman"/>
                            <w:b/>
                          </w:rPr>
                          <w:t>非流动资产：</w:t>
                        </w:r>
                      </w:p>
                    </w:sdtContent>
                  </w:sdt>
                </w:tc>
              </w:tr>
              <w:tr w:rsidR="002C402E" w14:paraId="31848EF5" w14:textId="77777777" w:rsidTr="00787374">
                <w:sdt>
                  <w:sdtPr>
                    <w:tag w:val="_PLD_2c2f80b155914d9cbb35f3ee70f3962e"/>
                    <w:id w:val="-1500194461"/>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26410947" w14:textId="77777777" w:rsidR="002C402E" w:rsidRDefault="002C402E" w:rsidP="002C402E">
                        <w:pPr>
                          <w:ind w:firstLineChars="100" w:firstLine="210"/>
                          <w:rPr>
                            <w:szCs w:val="21"/>
                          </w:rPr>
                        </w:pPr>
                        <w:r>
                          <w:rPr>
                            <w:rFonts w:hint="eastAsia"/>
                            <w:szCs w:val="21"/>
                          </w:rPr>
                          <w:t>长期股权投资</w:t>
                        </w:r>
                      </w:p>
                    </w:tc>
                  </w:sdtContent>
                </w:sdt>
                <w:tc>
                  <w:tcPr>
                    <w:tcW w:w="1152" w:type="pct"/>
                    <w:tcBorders>
                      <w:top w:val="outset" w:sz="4" w:space="0" w:color="auto"/>
                      <w:left w:val="outset" w:sz="4" w:space="0" w:color="auto"/>
                      <w:bottom w:val="outset" w:sz="4" w:space="0" w:color="auto"/>
                      <w:right w:val="outset" w:sz="4" w:space="0" w:color="auto"/>
                    </w:tcBorders>
                  </w:tcPr>
                  <w:p w14:paraId="280DA75C"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44,290,058.79</w:t>
                    </w:r>
                  </w:p>
                </w:tc>
                <w:tc>
                  <w:tcPr>
                    <w:tcW w:w="996" w:type="pct"/>
                    <w:tcBorders>
                      <w:top w:val="outset" w:sz="4" w:space="0" w:color="auto"/>
                      <w:left w:val="outset" w:sz="4" w:space="0" w:color="auto"/>
                      <w:bottom w:val="outset" w:sz="4" w:space="0" w:color="auto"/>
                      <w:right w:val="outset" w:sz="4" w:space="0" w:color="auto"/>
                    </w:tcBorders>
                  </w:tcPr>
                  <w:p w14:paraId="2EDA4199"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44,290,058.79</w:t>
                    </w:r>
                  </w:p>
                </w:tc>
                <w:tc>
                  <w:tcPr>
                    <w:tcW w:w="1166" w:type="pct"/>
                    <w:tcBorders>
                      <w:top w:val="outset" w:sz="4" w:space="0" w:color="auto"/>
                      <w:left w:val="outset" w:sz="4" w:space="0" w:color="auto"/>
                      <w:bottom w:val="outset" w:sz="4" w:space="0" w:color="auto"/>
                      <w:right w:val="outset" w:sz="4" w:space="0" w:color="auto"/>
                    </w:tcBorders>
                  </w:tcPr>
                  <w:p w14:paraId="061367DF" w14:textId="4591B1E1" w:rsidR="002C402E" w:rsidRPr="009635E0" w:rsidRDefault="002C402E" w:rsidP="002C402E">
                    <w:pPr>
                      <w:jc w:val="right"/>
                      <w:rPr>
                        <w:rFonts w:ascii="Times New Roman" w:hAnsi="Times New Roman" w:cs="Times New Roman"/>
                        <w:szCs w:val="21"/>
                      </w:rPr>
                    </w:pPr>
                    <w:r w:rsidRPr="00527298">
                      <w:t>-</w:t>
                    </w:r>
                  </w:p>
                </w:tc>
              </w:tr>
              <w:tr w:rsidR="002C402E" w14:paraId="5F261DE5" w14:textId="77777777" w:rsidTr="00787374">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236fe62569441f3928324583015cc4a"/>
                      <w:id w:val="-1095862516"/>
                      <w:lock w:val="sdtLocked"/>
                    </w:sdtPr>
                    <w:sdtEndPr/>
                    <w:sdtContent>
                      <w:p w14:paraId="456D28A4" w14:textId="77777777" w:rsidR="002C402E" w:rsidRDefault="002C402E" w:rsidP="002C402E">
                        <w:pPr>
                          <w:ind w:firstLineChars="100" w:firstLine="210"/>
                        </w:pPr>
                        <w:r>
                          <w:rPr>
                            <w:rFonts w:hint="eastAsia"/>
                          </w:rPr>
                          <w:t>其他权益工具投资</w:t>
                        </w:r>
                      </w:p>
                    </w:sdtContent>
                  </w:sdt>
                </w:tc>
                <w:tc>
                  <w:tcPr>
                    <w:tcW w:w="1152" w:type="pct"/>
                    <w:tcBorders>
                      <w:top w:val="outset" w:sz="4" w:space="0" w:color="auto"/>
                      <w:left w:val="outset" w:sz="4" w:space="0" w:color="auto"/>
                      <w:bottom w:val="outset" w:sz="4" w:space="0" w:color="auto"/>
                      <w:right w:val="outset" w:sz="4" w:space="0" w:color="auto"/>
                    </w:tcBorders>
                  </w:tcPr>
                  <w:p w14:paraId="07BCFB0A"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10,000,000.00</w:t>
                    </w:r>
                  </w:p>
                </w:tc>
                <w:tc>
                  <w:tcPr>
                    <w:tcW w:w="996" w:type="pct"/>
                    <w:tcBorders>
                      <w:top w:val="outset" w:sz="4" w:space="0" w:color="auto"/>
                      <w:left w:val="outset" w:sz="4" w:space="0" w:color="auto"/>
                      <w:bottom w:val="outset" w:sz="4" w:space="0" w:color="auto"/>
                      <w:right w:val="outset" w:sz="4" w:space="0" w:color="auto"/>
                    </w:tcBorders>
                  </w:tcPr>
                  <w:p w14:paraId="77F771D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10,000,000.00</w:t>
                    </w:r>
                  </w:p>
                </w:tc>
                <w:tc>
                  <w:tcPr>
                    <w:tcW w:w="1166" w:type="pct"/>
                    <w:tcBorders>
                      <w:top w:val="outset" w:sz="4" w:space="0" w:color="auto"/>
                      <w:left w:val="outset" w:sz="4" w:space="0" w:color="auto"/>
                      <w:bottom w:val="outset" w:sz="4" w:space="0" w:color="auto"/>
                      <w:right w:val="outset" w:sz="4" w:space="0" w:color="auto"/>
                    </w:tcBorders>
                  </w:tcPr>
                  <w:p w14:paraId="6AD742AF" w14:textId="0161DEA8" w:rsidR="002C402E" w:rsidRPr="009635E0" w:rsidRDefault="002C402E" w:rsidP="002C402E">
                    <w:pPr>
                      <w:jc w:val="right"/>
                      <w:rPr>
                        <w:rFonts w:ascii="Times New Roman" w:hAnsi="Times New Roman" w:cs="Times New Roman"/>
                        <w:szCs w:val="21"/>
                      </w:rPr>
                    </w:pPr>
                    <w:r w:rsidRPr="00527298">
                      <w:t>-</w:t>
                    </w:r>
                  </w:p>
                </w:tc>
              </w:tr>
              <w:tr w:rsidR="002C402E" w14:paraId="1E9AD98C" w14:textId="77777777" w:rsidTr="00787374">
                <w:sdt>
                  <w:sdtPr>
                    <w:tag w:val="_PLD_b4d3d3f9c80a46518df6b927f85638a8"/>
                    <w:id w:val="-13299476"/>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0282E967" w14:textId="77777777" w:rsidR="002C402E" w:rsidRDefault="002C402E" w:rsidP="002C402E">
                        <w:pPr>
                          <w:ind w:firstLineChars="100" w:firstLine="210"/>
                          <w:rPr>
                            <w:szCs w:val="21"/>
                          </w:rPr>
                        </w:pPr>
                        <w:r>
                          <w:rPr>
                            <w:rFonts w:hint="eastAsia"/>
                            <w:szCs w:val="21"/>
                          </w:rPr>
                          <w:t>固定资产</w:t>
                        </w:r>
                      </w:p>
                    </w:tc>
                  </w:sdtContent>
                </w:sdt>
                <w:tc>
                  <w:tcPr>
                    <w:tcW w:w="1152" w:type="pct"/>
                    <w:tcBorders>
                      <w:top w:val="outset" w:sz="4" w:space="0" w:color="auto"/>
                      <w:left w:val="outset" w:sz="4" w:space="0" w:color="auto"/>
                      <w:bottom w:val="outset" w:sz="4" w:space="0" w:color="auto"/>
                      <w:right w:val="outset" w:sz="4" w:space="0" w:color="auto"/>
                    </w:tcBorders>
                  </w:tcPr>
                  <w:p w14:paraId="7340D022"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279,101,262.68</w:t>
                    </w:r>
                  </w:p>
                </w:tc>
                <w:tc>
                  <w:tcPr>
                    <w:tcW w:w="996" w:type="pct"/>
                    <w:tcBorders>
                      <w:top w:val="outset" w:sz="4" w:space="0" w:color="auto"/>
                      <w:left w:val="outset" w:sz="4" w:space="0" w:color="auto"/>
                      <w:bottom w:val="outset" w:sz="4" w:space="0" w:color="auto"/>
                      <w:right w:val="outset" w:sz="4" w:space="0" w:color="auto"/>
                    </w:tcBorders>
                  </w:tcPr>
                  <w:p w14:paraId="187D9FA4"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279,101,262.68</w:t>
                    </w:r>
                  </w:p>
                </w:tc>
                <w:tc>
                  <w:tcPr>
                    <w:tcW w:w="1166" w:type="pct"/>
                    <w:tcBorders>
                      <w:top w:val="outset" w:sz="4" w:space="0" w:color="auto"/>
                      <w:left w:val="outset" w:sz="4" w:space="0" w:color="auto"/>
                      <w:bottom w:val="outset" w:sz="4" w:space="0" w:color="auto"/>
                      <w:right w:val="outset" w:sz="4" w:space="0" w:color="auto"/>
                    </w:tcBorders>
                  </w:tcPr>
                  <w:p w14:paraId="266227BA" w14:textId="3A429032" w:rsidR="002C402E" w:rsidRPr="009635E0" w:rsidRDefault="002C402E" w:rsidP="002C402E">
                    <w:pPr>
                      <w:jc w:val="right"/>
                      <w:rPr>
                        <w:rFonts w:ascii="Times New Roman" w:hAnsi="Times New Roman" w:cs="Times New Roman"/>
                        <w:szCs w:val="21"/>
                      </w:rPr>
                    </w:pPr>
                    <w:r w:rsidRPr="00527298">
                      <w:t>-</w:t>
                    </w:r>
                  </w:p>
                </w:tc>
              </w:tr>
              <w:tr w:rsidR="002C402E" w14:paraId="58F0A0C7" w14:textId="77777777" w:rsidTr="00787374">
                <w:sdt>
                  <w:sdtPr>
                    <w:tag w:val="_PLD_0b3a7e34c3ee4ba5a49df4a07c4c3528"/>
                    <w:id w:val="-310092845"/>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35989492" w14:textId="77777777" w:rsidR="002C402E" w:rsidRDefault="002C402E" w:rsidP="002C402E">
                        <w:pPr>
                          <w:ind w:firstLineChars="100" w:firstLine="210"/>
                          <w:rPr>
                            <w:szCs w:val="21"/>
                          </w:rPr>
                        </w:pPr>
                        <w:r>
                          <w:rPr>
                            <w:rFonts w:hint="eastAsia"/>
                            <w:szCs w:val="21"/>
                          </w:rPr>
                          <w:t>在建工程</w:t>
                        </w:r>
                      </w:p>
                    </w:tc>
                  </w:sdtContent>
                </w:sdt>
                <w:tc>
                  <w:tcPr>
                    <w:tcW w:w="1152" w:type="pct"/>
                    <w:tcBorders>
                      <w:top w:val="outset" w:sz="4" w:space="0" w:color="auto"/>
                      <w:left w:val="outset" w:sz="4" w:space="0" w:color="auto"/>
                      <w:bottom w:val="outset" w:sz="4" w:space="0" w:color="auto"/>
                      <w:right w:val="outset" w:sz="4" w:space="0" w:color="auto"/>
                    </w:tcBorders>
                  </w:tcPr>
                  <w:p w14:paraId="39886E2B"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1,566,154.69</w:t>
                    </w:r>
                  </w:p>
                </w:tc>
                <w:tc>
                  <w:tcPr>
                    <w:tcW w:w="996" w:type="pct"/>
                    <w:tcBorders>
                      <w:top w:val="outset" w:sz="4" w:space="0" w:color="auto"/>
                      <w:left w:val="outset" w:sz="4" w:space="0" w:color="auto"/>
                      <w:bottom w:val="outset" w:sz="4" w:space="0" w:color="auto"/>
                      <w:right w:val="outset" w:sz="4" w:space="0" w:color="auto"/>
                    </w:tcBorders>
                  </w:tcPr>
                  <w:p w14:paraId="41F74C40"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1,566,154.69</w:t>
                    </w:r>
                  </w:p>
                </w:tc>
                <w:tc>
                  <w:tcPr>
                    <w:tcW w:w="1166" w:type="pct"/>
                    <w:tcBorders>
                      <w:top w:val="outset" w:sz="4" w:space="0" w:color="auto"/>
                      <w:left w:val="outset" w:sz="4" w:space="0" w:color="auto"/>
                      <w:bottom w:val="outset" w:sz="4" w:space="0" w:color="auto"/>
                      <w:right w:val="outset" w:sz="4" w:space="0" w:color="auto"/>
                    </w:tcBorders>
                  </w:tcPr>
                  <w:p w14:paraId="47350AEA" w14:textId="03A5D41A" w:rsidR="002C402E" w:rsidRPr="009635E0" w:rsidRDefault="002C402E" w:rsidP="002C402E">
                    <w:pPr>
                      <w:jc w:val="right"/>
                      <w:rPr>
                        <w:rFonts w:ascii="Times New Roman" w:hAnsi="Times New Roman" w:cs="Times New Roman"/>
                        <w:szCs w:val="21"/>
                      </w:rPr>
                    </w:pPr>
                    <w:r w:rsidRPr="00254AB1">
                      <w:t>-</w:t>
                    </w:r>
                  </w:p>
                </w:tc>
              </w:tr>
              <w:tr w:rsidR="009635E0" w14:paraId="55B0B1B9" w14:textId="77777777" w:rsidTr="00787374">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8155493935647008a2703b03dfc7652"/>
                      <w:id w:val="1986894849"/>
                      <w:lock w:val="sdtLocked"/>
                    </w:sdtPr>
                    <w:sdtEndPr/>
                    <w:sdtContent>
                      <w:p w14:paraId="0F00B81C" w14:textId="77777777" w:rsidR="009635E0" w:rsidRDefault="009635E0">
                        <w:pPr>
                          <w:ind w:firstLineChars="100" w:firstLine="210"/>
                        </w:pPr>
                        <w:r>
                          <w:rPr>
                            <w:rFonts w:hint="eastAsia"/>
                          </w:rPr>
                          <w:t>使用权资产</w:t>
                        </w:r>
                      </w:p>
                    </w:sdtContent>
                  </w:sdt>
                </w:tc>
                <w:tc>
                  <w:tcPr>
                    <w:tcW w:w="1152" w:type="pct"/>
                    <w:tcBorders>
                      <w:top w:val="outset" w:sz="4" w:space="0" w:color="auto"/>
                      <w:left w:val="outset" w:sz="4" w:space="0" w:color="auto"/>
                      <w:bottom w:val="outset" w:sz="4" w:space="0" w:color="auto"/>
                      <w:right w:val="outset" w:sz="4" w:space="0" w:color="auto"/>
                    </w:tcBorders>
                  </w:tcPr>
                  <w:p w14:paraId="29A3D015" w14:textId="0DEF0326" w:rsidR="009635E0" w:rsidRPr="009635E0" w:rsidRDefault="002C402E">
                    <w:pPr>
                      <w:jc w:val="right"/>
                      <w:rPr>
                        <w:rFonts w:ascii="Times New Roman" w:hAnsi="Times New Roman" w:cs="Times New Roman"/>
                        <w:szCs w:val="21"/>
                      </w:rPr>
                    </w:pPr>
                    <w:r w:rsidRPr="002C402E">
                      <w:rPr>
                        <w:rFonts w:ascii="Times New Roman" w:hAnsi="Times New Roman" w:cs="Times New Roman"/>
                        <w:szCs w:val="21"/>
                      </w:rPr>
                      <w:t>-</w:t>
                    </w:r>
                  </w:p>
                </w:tc>
                <w:tc>
                  <w:tcPr>
                    <w:tcW w:w="996" w:type="pct"/>
                    <w:tcBorders>
                      <w:top w:val="outset" w:sz="4" w:space="0" w:color="auto"/>
                      <w:left w:val="outset" w:sz="4" w:space="0" w:color="auto"/>
                      <w:bottom w:val="outset" w:sz="4" w:space="0" w:color="auto"/>
                      <w:right w:val="outset" w:sz="4" w:space="0" w:color="auto"/>
                    </w:tcBorders>
                  </w:tcPr>
                  <w:p w14:paraId="0C727B2A" w14:textId="77777777" w:rsidR="009635E0" w:rsidRPr="009635E0" w:rsidRDefault="009635E0">
                    <w:pPr>
                      <w:jc w:val="right"/>
                      <w:rPr>
                        <w:rFonts w:ascii="Times New Roman" w:hAnsi="Times New Roman" w:cs="Times New Roman"/>
                        <w:szCs w:val="21"/>
                      </w:rPr>
                    </w:pPr>
                    <w:r w:rsidRPr="009635E0">
                      <w:rPr>
                        <w:rStyle w:val="aff6"/>
                        <w:rFonts w:ascii="Times New Roman" w:hAnsi="Times New Roman" w:cs="Times New Roman"/>
                      </w:rPr>
                      <w:t>55,404,440.63</w:t>
                    </w:r>
                  </w:p>
                </w:tc>
                <w:tc>
                  <w:tcPr>
                    <w:tcW w:w="1166" w:type="pct"/>
                    <w:tcBorders>
                      <w:top w:val="outset" w:sz="4" w:space="0" w:color="auto"/>
                      <w:left w:val="outset" w:sz="4" w:space="0" w:color="auto"/>
                      <w:bottom w:val="outset" w:sz="4" w:space="0" w:color="auto"/>
                      <w:right w:val="outset" w:sz="4" w:space="0" w:color="auto"/>
                    </w:tcBorders>
                  </w:tcPr>
                  <w:p w14:paraId="1EEBC351" w14:textId="77777777" w:rsidR="009635E0" w:rsidRPr="009635E0" w:rsidRDefault="009635E0">
                    <w:pPr>
                      <w:jc w:val="right"/>
                      <w:rPr>
                        <w:rFonts w:ascii="Times New Roman" w:hAnsi="Times New Roman" w:cs="Times New Roman"/>
                        <w:szCs w:val="21"/>
                      </w:rPr>
                    </w:pPr>
                    <w:r w:rsidRPr="009635E0">
                      <w:rPr>
                        <w:rStyle w:val="aff6"/>
                        <w:rFonts w:ascii="Times New Roman" w:hAnsi="Times New Roman" w:cs="Times New Roman"/>
                      </w:rPr>
                      <w:t>55,404,440.63</w:t>
                    </w:r>
                  </w:p>
                </w:tc>
              </w:tr>
              <w:tr w:rsidR="002C402E" w14:paraId="3803EC17" w14:textId="77777777" w:rsidTr="00787374">
                <w:sdt>
                  <w:sdtPr>
                    <w:tag w:val="_PLD_e197206e3cda421f90e7c968c373824e"/>
                    <w:id w:val="84321095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769EE1FE" w14:textId="77777777" w:rsidR="002C402E" w:rsidRDefault="002C402E" w:rsidP="002C402E">
                        <w:pPr>
                          <w:ind w:firstLineChars="100" w:firstLine="210"/>
                          <w:rPr>
                            <w:szCs w:val="21"/>
                          </w:rPr>
                        </w:pPr>
                        <w:r>
                          <w:rPr>
                            <w:rFonts w:hint="eastAsia"/>
                            <w:szCs w:val="21"/>
                          </w:rPr>
                          <w:t>无形资产</w:t>
                        </w:r>
                      </w:p>
                    </w:tc>
                  </w:sdtContent>
                </w:sdt>
                <w:tc>
                  <w:tcPr>
                    <w:tcW w:w="1152" w:type="pct"/>
                    <w:tcBorders>
                      <w:top w:val="outset" w:sz="4" w:space="0" w:color="auto"/>
                      <w:left w:val="outset" w:sz="4" w:space="0" w:color="auto"/>
                      <w:bottom w:val="outset" w:sz="4" w:space="0" w:color="auto"/>
                      <w:right w:val="outset" w:sz="4" w:space="0" w:color="auto"/>
                    </w:tcBorders>
                  </w:tcPr>
                  <w:p w14:paraId="4850BAAB"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259,614,734.78</w:t>
                    </w:r>
                  </w:p>
                </w:tc>
                <w:tc>
                  <w:tcPr>
                    <w:tcW w:w="996" w:type="pct"/>
                    <w:tcBorders>
                      <w:top w:val="outset" w:sz="4" w:space="0" w:color="auto"/>
                      <w:left w:val="outset" w:sz="4" w:space="0" w:color="auto"/>
                      <w:bottom w:val="outset" w:sz="4" w:space="0" w:color="auto"/>
                      <w:right w:val="outset" w:sz="4" w:space="0" w:color="auto"/>
                    </w:tcBorders>
                  </w:tcPr>
                  <w:p w14:paraId="5C161374"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259,614,734.78</w:t>
                    </w:r>
                  </w:p>
                </w:tc>
                <w:tc>
                  <w:tcPr>
                    <w:tcW w:w="1166" w:type="pct"/>
                    <w:tcBorders>
                      <w:top w:val="outset" w:sz="4" w:space="0" w:color="auto"/>
                      <w:left w:val="outset" w:sz="4" w:space="0" w:color="auto"/>
                      <w:bottom w:val="outset" w:sz="4" w:space="0" w:color="auto"/>
                      <w:right w:val="outset" w:sz="4" w:space="0" w:color="auto"/>
                    </w:tcBorders>
                  </w:tcPr>
                  <w:p w14:paraId="55F5211B" w14:textId="281BA39B" w:rsidR="002C402E" w:rsidRPr="009635E0" w:rsidRDefault="002C402E" w:rsidP="002C402E">
                    <w:pPr>
                      <w:jc w:val="right"/>
                      <w:rPr>
                        <w:rFonts w:ascii="Times New Roman" w:hAnsi="Times New Roman" w:cs="Times New Roman"/>
                        <w:szCs w:val="21"/>
                      </w:rPr>
                    </w:pPr>
                    <w:r w:rsidRPr="00DD4C68">
                      <w:t>-</w:t>
                    </w:r>
                  </w:p>
                </w:tc>
              </w:tr>
              <w:tr w:rsidR="002C402E" w14:paraId="0E378192" w14:textId="77777777" w:rsidTr="00787374">
                <w:sdt>
                  <w:sdtPr>
                    <w:tag w:val="_PLD_6db764bcb49749d8ae12e0b82de90e57"/>
                    <w:id w:val="-1539126129"/>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8CF9DEA" w14:textId="77777777" w:rsidR="002C402E" w:rsidRDefault="002C402E" w:rsidP="002C402E">
                        <w:pPr>
                          <w:ind w:firstLineChars="100" w:firstLine="210"/>
                          <w:rPr>
                            <w:szCs w:val="21"/>
                          </w:rPr>
                        </w:pPr>
                        <w:r>
                          <w:rPr>
                            <w:rFonts w:hint="eastAsia"/>
                            <w:szCs w:val="21"/>
                          </w:rPr>
                          <w:t>商誉</w:t>
                        </w:r>
                      </w:p>
                    </w:tc>
                  </w:sdtContent>
                </w:sdt>
                <w:tc>
                  <w:tcPr>
                    <w:tcW w:w="1152" w:type="pct"/>
                    <w:tcBorders>
                      <w:top w:val="outset" w:sz="4" w:space="0" w:color="auto"/>
                      <w:left w:val="outset" w:sz="4" w:space="0" w:color="auto"/>
                      <w:bottom w:val="outset" w:sz="4" w:space="0" w:color="auto"/>
                      <w:right w:val="outset" w:sz="4" w:space="0" w:color="auto"/>
                    </w:tcBorders>
                  </w:tcPr>
                  <w:p w14:paraId="7FEA1B55"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306,723,186.45</w:t>
                    </w:r>
                  </w:p>
                </w:tc>
                <w:tc>
                  <w:tcPr>
                    <w:tcW w:w="996" w:type="pct"/>
                    <w:tcBorders>
                      <w:top w:val="outset" w:sz="4" w:space="0" w:color="auto"/>
                      <w:left w:val="outset" w:sz="4" w:space="0" w:color="auto"/>
                      <w:bottom w:val="outset" w:sz="4" w:space="0" w:color="auto"/>
                      <w:right w:val="outset" w:sz="4" w:space="0" w:color="auto"/>
                    </w:tcBorders>
                  </w:tcPr>
                  <w:p w14:paraId="53277959"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306,723,186.45</w:t>
                    </w:r>
                  </w:p>
                </w:tc>
                <w:tc>
                  <w:tcPr>
                    <w:tcW w:w="1166" w:type="pct"/>
                    <w:tcBorders>
                      <w:top w:val="outset" w:sz="4" w:space="0" w:color="auto"/>
                      <w:left w:val="outset" w:sz="4" w:space="0" w:color="auto"/>
                      <w:bottom w:val="outset" w:sz="4" w:space="0" w:color="auto"/>
                      <w:right w:val="outset" w:sz="4" w:space="0" w:color="auto"/>
                    </w:tcBorders>
                  </w:tcPr>
                  <w:p w14:paraId="2C6733B5" w14:textId="5263D72B" w:rsidR="002C402E" w:rsidRPr="009635E0" w:rsidRDefault="002C402E" w:rsidP="002C402E">
                    <w:pPr>
                      <w:jc w:val="right"/>
                      <w:rPr>
                        <w:rFonts w:ascii="Times New Roman" w:hAnsi="Times New Roman" w:cs="Times New Roman"/>
                        <w:szCs w:val="21"/>
                      </w:rPr>
                    </w:pPr>
                    <w:r w:rsidRPr="00DD4C68">
                      <w:t>-</w:t>
                    </w:r>
                  </w:p>
                </w:tc>
              </w:tr>
              <w:tr w:rsidR="002C402E" w14:paraId="79217FCD" w14:textId="77777777" w:rsidTr="00787374">
                <w:sdt>
                  <w:sdtPr>
                    <w:tag w:val="_PLD_ee338cdcd96a4fe9aa3a900a05d86d62"/>
                    <w:id w:val="-511923396"/>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02727737" w14:textId="77777777" w:rsidR="002C402E" w:rsidRDefault="002C402E" w:rsidP="002C402E">
                        <w:pPr>
                          <w:ind w:firstLineChars="100" w:firstLine="210"/>
                          <w:rPr>
                            <w:szCs w:val="21"/>
                          </w:rPr>
                        </w:pPr>
                        <w:r>
                          <w:rPr>
                            <w:rFonts w:hint="eastAsia"/>
                            <w:szCs w:val="21"/>
                          </w:rPr>
                          <w:t>长期待摊费用</w:t>
                        </w:r>
                      </w:p>
                    </w:tc>
                  </w:sdtContent>
                </w:sdt>
                <w:tc>
                  <w:tcPr>
                    <w:tcW w:w="1152" w:type="pct"/>
                    <w:tcBorders>
                      <w:top w:val="outset" w:sz="4" w:space="0" w:color="auto"/>
                      <w:left w:val="outset" w:sz="4" w:space="0" w:color="auto"/>
                      <w:bottom w:val="outset" w:sz="4" w:space="0" w:color="auto"/>
                      <w:right w:val="outset" w:sz="4" w:space="0" w:color="auto"/>
                    </w:tcBorders>
                  </w:tcPr>
                  <w:p w14:paraId="7C541CCB"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966,995.89</w:t>
                    </w:r>
                  </w:p>
                </w:tc>
                <w:tc>
                  <w:tcPr>
                    <w:tcW w:w="996" w:type="pct"/>
                    <w:tcBorders>
                      <w:top w:val="outset" w:sz="4" w:space="0" w:color="auto"/>
                      <w:left w:val="outset" w:sz="4" w:space="0" w:color="auto"/>
                      <w:bottom w:val="outset" w:sz="4" w:space="0" w:color="auto"/>
                      <w:right w:val="outset" w:sz="4" w:space="0" w:color="auto"/>
                    </w:tcBorders>
                  </w:tcPr>
                  <w:p w14:paraId="41E19135"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966,995.89</w:t>
                    </w:r>
                  </w:p>
                </w:tc>
                <w:tc>
                  <w:tcPr>
                    <w:tcW w:w="1166" w:type="pct"/>
                    <w:tcBorders>
                      <w:top w:val="outset" w:sz="4" w:space="0" w:color="auto"/>
                      <w:left w:val="outset" w:sz="4" w:space="0" w:color="auto"/>
                      <w:bottom w:val="outset" w:sz="4" w:space="0" w:color="auto"/>
                      <w:right w:val="outset" w:sz="4" w:space="0" w:color="auto"/>
                    </w:tcBorders>
                  </w:tcPr>
                  <w:p w14:paraId="058C7998" w14:textId="5B426D34" w:rsidR="002C402E" w:rsidRPr="009635E0" w:rsidRDefault="002C402E" w:rsidP="002C402E">
                    <w:pPr>
                      <w:jc w:val="right"/>
                      <w:rPr>
                        <w:rFonts w:ascii="Times New Roman" w:hAnsi="Times New Roman" w:cs="Times New Roman"/>
                        <w:szCs w:val="21"/>
                      </w:rPr>
                    </w:pPr>
                    <w:r w:rsidRPr="00DD4C68">
                      <w:t>-</w:t>
                    </w:r>
                  </w:p>
                </w:tc>
              </w:tr>
              <w:tr w:rsidR="002C402E" w14:paraId="7D8195F4" w14:textId="77777777" w:rsidTr="00787374">
                <w:sdt>
                  <w:sdtPr>
                    <w:tag w:val="_PLD_ff748a0e2f2a4598b0245a7b2a5f8cb9"/>
                    <w:id w:val="-886484735"/>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530D589" w14:textId="77777777" w:rsidR="002C402E" w:rsidRDefault="002C402E" w:rsidP="002C402E">
                        <w:pPr>
                          <w:ind w:firstLineChars="100" w:firstLine="210"/>
                          <w:rPr>
                            <w:szCs w:val="21"/>
                          </w:rPr>
                        </w:pPr>
                        <w:r>
                          <w:rPr>
                            <w:rFonts w:hint="eastAsia"/>
                            <w:szCs w:val="21"/>
                          </w:rPr>
                          <w:t>递延所得税资产</w:t>
                        </w:r>
                      </w:p>
                    </w:tc>
                  </w:sdtContent>
                </w:sdt>
                <w:tc>
                  <w:tcPr>
                    <w:tcW w:w="1152" w:type="pct"/>
                    <w:tcBorders>
                      <w:top w:val="outset" w:sz="4" w:space="0" w:color="auto"/>
                      <w:left w:val="outset" w:sz="4" w:space="0" w:color="auto"/>
                      <w:bottom w:val="outset" w:sz="4" w:space="0" w:color="auto"/>
                      <w:right w:val="outset" w:sz="4" w:space="0" w:color="auto"/>
                    </w:tcBorders>
                  </w:tcPr>
                  <w:p w14:paraId="0D7C9834"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126,913,456.67</w:t>
                    </w:r>
                  </w:p>
                </w:tc>
                <w:tc>
                  <w:tcPr>
                    <w:tcW w:w="996" w:type="pct"/>
                    <w:tcBorders>
                      <w:top w:val="outset" w:sz="4" w:space="0" w:color="auto"/>
                      <w:left w:val="outset" w:sz="4" w:space="0" w:color="auto"/>
                      <w:bottom w:val="outset" w:sz="4" w:space="0" w:color="auto"/>
                      <w:right w:val="outset" w:sz="4" w:space="0" w:color="auto"/>
                    </w:tcBorders>
                  </w:tcPr>
                  <w:p w14:paraId="7FE7B58A"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126,913,456.67</w:t>
                    </w:r>
                  </w:p>
                </w:tc>
                <w:tc>
                  <w:tcPr>
                    <w:tcW w:w="1166" w:type="pct"/>
                    <w:tcBorders>
                      <w:top w:val="outset" w:sz="4" w:space="0" w:color="auto"/>
                      <w:left w:val="outset" w:sz="4" w:space="0" w:color="auto"/>
                      <w:bottom w:val="outset" w:sz="4" w:space="0" w:color="auto"/>
                      <w:right w:val="outset" w:sz="4" w:space="0" w:color="auto"/>
                    </w:tcBorders>
                  </w:tcPr>
                  <w:p w14:paraId="772C673D" w14:textId="1E6442E7" w:rsidR="002C402E" w:rsidRPr="009635E0" w:rsidRDefault="002C402E" w:rsidP="002C402E">
                    <w:pPr>
                      <w:jc w:val="right"/>
                      <w:rPr>
                        <w:rFonts w:ascii="Times New Roman" w:hAnsi="Times New Roman" w:cs="Times New Roman"/>
                        <w:szCs w:val="21"/>
                      </w:rPr>
                    </w:pPr>
                    <w:r w:rsidRPr="00DD4C68">
                      <w:t>-</w:t>
                    </w:r>
                  </w:p>
                </w:tc>
              </w:tr>
              <w:tr w:rsidR="002C402E" w14:paraId="1D268B55" w14:textId="77777777" w:rsidTr="00787374">
                <w:sdt>
                  <w:sdtPr>
                    <w:tag w:val="_PLD_58edba0eddc644959242154db461c42a"/>
                    <w:id w:val="-193997689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F62A926" w14:textId="77777777" w:rsidR="002C402E" w:rsidRDefault="002C402E" w:rsidP="002C402E">
                        <w:pPr>
                          <w:ind w:firstLineChars="100" w:firstLine="210"/>
                          <w:rPr>
                            <w:szCs w:val="21"/>
                          </w:rPr>
                        </w:pPr>
                        <w:r>
                          <w:rPr>
                            <w:rFonts w:hint="eastAsia"/>
                            <w:szCs w:val="21"/>
                          </w:rPr>
                          <w:t>其他非流动资产</w:t>
                        </w:r>
                      </w:p>
                    </w:tc>
                  </w:sdtContent>
                </w:sdt>
                <w:tc>
                  <w:tcPr>
                    <w:tcW w:w="1152" w:type="pct"/>
                    <w:tcBorders>
                      <w:top w:val="outset" w:sz="4" w:space="0" w:color="auto"/>
                      <w:left w:val="outset" w:sz="4" w:space="0" w:color="auto"/>
                      <w:bottom w:val="outset" w:sz="4" w:space="0" w:color="auto"/>
                      <w:right w:val="outset" w:sz="4" w:space="0" w:color="auto"/>
                    </w:tcBorders>
                  </w:tcPr>
                  <w:p w14:paraId="37000C38"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40,015,806.85</w:t>
                    </w:r>
                  </w:p>
                </w:tc>
                <w:tc>
                  <w:tcPr>
                    <w:tcW w:w="996" w:type="pct"/>
                    <w:tcBorders>
                      <w:top w:val="outset" w:sz="4" w:space="0" w:color="auto"/>
                      <w:left w:val="outset" w:sz="4" w:space="0" w:color="auto"/>
                      <w:bottom w:val="outset" w:sz="4" w:space="0" w:color="auto"/>
                      <w:right w:val="outset" w:sz="4" w:space="0" w:color="auto"/>
                    </w:tcBorders>
                  </w:tcPr>
                  <w:p w14:paraId="17E18C19"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40,015,806.85</w:t>
                    </w:r>
                  </w:p>
                </w:tc>
                <w:tc>
                  <w:tcPr>
                    <w:tcW w:w="1166" w:type="pct"/>
                    <w:tcBorders>
                      <w:top w:val="outset" w:sz="4" w:space="0" w:color="auto"/>
                      <w:left w:val="outset" w:sz="4" w:space="0" w:color="auto"/>
                      <w:bottom w:val="outset" w:sz="4" w:space="0" w:color="auto"/>
                      <w:right w:val="outset" w:sz="4" w:space="0" w:color="auto"/>
                    </w:tcBorders>
                  </w:tcPr>
                  <w:p w14:paraId="42C8670F" w14:textId="076757B0" w:rsidR="002C402E" w:rsidRPr="009635E0" w:rsidRDefault="002C402E" w:rsidP="002C402E">
                    <w:pPr>
                      <w:jc w:val="right"/>
                      <w:rPr>
                        <w:rFonts w:ascii="Times New Roman" w:hAnsi="Times New Roman" w:cs="Times New Roman"/>
                        <w:szCs w:val="21"/>
                      </w:rPr>
                    </w:pPr>
                    <w:r w:rsidRPr="00DD4C68">
                      <w:t>-</w:t>
                    </w:r>
                  </w:p>
                </w:tc>
              </w:tr>
              <w:tr w:rsidR="009635E0" w14:paraId="6D0356B7" w14:textId="77777777" w:rsidTr="00787374">
                <w:sdt>
                  <w:sdtPr>
                    <w:tag w:val="_PLD_a381a26adc92401cacf197178c3d49bb"/>
                    <w:id w:val="1809048317"/>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ABC1065" w14:textId="77777777" w:rsidR="009635E0" w:rsidRDefault="009635E0">
                        <w:pPr>
                          <w:ind w:firstLineChars="200" w:firstLine="420"/>
                          <w:rPr>
                            <w:szCs w:val="21"/>
                          </w:rPr>
                        </w:pPr>
                        <w:r>
                          <w:rPr>
                            <w:rFonts w:hint="eastAsia"/>
                            <w:szCs w:val="21"/>
                          </w:rPr>
                          <w:t>非流动资产合计</w:t>
                        </w:r>
                      </w:p>
                    </w:tc>
                  </w:sdtContent>
                </w:sdt>
                <w:tc>
                  <w:tcPr>
                    <w:tcW w:w="1152" w:type="pct"/>
                    <w:tcBorders>
                      <w:top w:val="outset" w:sz="4" w:space="0" w:color="auto"/>
                      <w:left w:val="outset" w:sz="4" w:space="0" w:color="auto"/>
                      <w:bottom w:val="outset" w:sz="4" w:space="0" w:color="auto"/>
                      <w:right w:val="outset" w:sz="4" w:space="0" w:color="auto"/>
                    </w:tcBorders>
                  </w:tcPr>
                  <w:p w14:paraId="4BCDEEB3"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1,069,191,656.80</w:t>
                    </w:r>
                  </w:p>
                </w:tc>
                <w:tc>
                  <w:tcPr>
                    <w:tcW w:w="996" w:type="pct"/>
                    <w:tcBorders>
                      <w:top w:val="outset" w:sz="4" w:space="0" w:color="auto"/>
                      <w:left w:val="outset" w:sz="4" w:space="0" w:color="auto"/>
                      <w:bottom w:val="outset" w:sz="4" w:space="0" w:color="auto"/>
                      <w:right w:val="outset" w:sz="4" w:space="0" w:color="auto"/>
                    </w:tcBorders>
                  </w:tcPr>
                  <w:p w14:paraId="364B141B"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1,124,596,097.43</w:t>
                    </w:r>
                  </w:p>
                </w:tc>
                <w:tc>
                  <w:tcPr>
                    <w:tcW w:w="1166" w:type="pct"/>
                    <w:tcBorders>
                      <w:top w:val="outset" w:sz="4" w:space="0" w:color="auto"/>
                      <w:left w:val="outset" w:sz="4" w:space="0" w:color="auto"/>
                      <w:bottom w:val="outset" w:sz="4" w:space="0" w:color="auto"/>
                      <w:right w:val="outset" w:sz="4" w:space="0" w:color="auto"/>
                    </w:tcBorders>
                  </w:tcPr>
                  <w:p w14:paraId="794F29CB"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55,404,440.63</w:t>
                    </w:r>
                  </w:p>
                </w:tc>
              </w:tr>
              <w:tr w:rsidR="009635E0" w14:paraId="3B18C9F8" w14:textId="77777777" w:rsidTr="00787374">
                <w:sdt>
                  <w:sdtPr>
                    <w:tag w:val="_PLD_fe9d973bac6b4be6b5d2293c60039e19"/>
                    <w:id w:val="1494686342"/>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3422A1FE" w14:textId="77777777" w:rsidR="009635E0" w:rsidRDefault="009635E0">
                        <w:pPr>
                          <w:ind w:firstLineChars="300" w:firstLine="630"/>
                          <w:rPr>
                            <w:szCs w:val="21"/>
                          </w:rPr>
                        </w:pPr>
                        <w:r>
                          <w:rPr>
                            <w:rFonts w:hint="eastAsia"/>
                            <w:szCs w:val="21"/>
                          </w:rPr>
                          <w:t>资产总计</w:t>
                        </w:r>
                      </w:p>
                    </w:tc>
                  </w:sdtContent>
                </w:sdt>
                <w:tc>
                  <w:tcPr>
                    <w:tcW w:w="1152" w:type="pct"/>
                    <w:tcBorders>
                      <w:top w:val="outset" w:sz="4" w:space="0" w:color="auto"/>
                      <w:left w:val="outset" w:sz="4" w:space="0" w:color="auto"/>
                      <w:bottom w:val="outset" w:sz="4" w:space="0" w:color="auto"/>
                      <w:right w:val="outset" w:sz="4" w:space="0" w:color="auto"/>
                    </w:tcBorders>
                  </w:tcPr>
                  <w:p w14:paraId="2FAD5C53"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3,307,332,902.30</w:t>
                    </w:r>
                  </w:p>
                </w:tc>
                <w:tc>
                  <w:tcPr>
                    <w:tcW w:w="996" w:type="pct"/>
                    <w:tcBorders>
                      <w:top w:val="outset" w:sz="4" w:space="0" w:color="auto"/>
                      <w:left w:val="outset" w:sz="4" w:space="0" w:color="auto"/>
                      <w:bottom w:val="outset" w:sz="4" w:space="0" w:color="auto"/>
                      <w:right w:val="outset" w:sz="4" w:space="0" w:color="auto"/>
                    </w:tcBorders>
                  </w:tcPr>
                  <w:p w14:paraId="28BBA7D5"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3,362,737,342.93</w:t>
                    </w:r>
                  </w:p>
                </w:tc>
                <w:tc>
                  <w:tcPr>
                    <w:tcW w:w="1166" w:type="pct"/>
                    <w:tcBorders>
                      <w:top w:val="outset" w:sz="4" w:space="0" w:color="auto"/>
                      <w:left w:val="outset" w:sz="4" w:space="0" w:color="auto"/>
                      <w:bottom w:val="outset" w:sz="4" w:space="0" w:color="auto"/>
                      <w:right w:val="outset" w:sz="4" w:space="0" w:color="auto"/>
                    </w:tcBorders>
                  </w:tcPr>
                  <w:p w14:paraId="42225B63"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55,404,440.63</w:t>
                    </w:r>
                  </w:p>
                </w:tc>
              </w:tr>
              <w:tr w:rsidR="009635E0" w14:paraId="11CE1454" w14:textId="77777777" w:rsidTr="00D32D2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882c67f0356e4caa843229106fd31aac"/>
                      <w:id w:val="-1731145543"/>
                      <w:lock w:val="sdtLocked"/>
                    </w:sdtPr>
                    <w:sdtEndPr/>
                    <w:sdtContent>
                      <w:p w14:paraId="4109033D" w14:textId="77777777" w:rsidR="009635E0" w:rsidRPr="009635E0" w:rsidRDefault="009635E0">
                        <w:pPr>
                          <w:rPr>
                            <w:rFonts w:ascii="Times New Roman" w:hAnsi="Times New Roman" w:cs="Times New Roman"/>
                            <w:szCs w:val="21"/>
                          </w:rPr>
                        </w:pPr>
                        <w:r w:rsidRPr="009635E0">
                          <w:rPr>
                            <w:rFonts w:ascii="Times New Roman" w:hAnsi="Times New Roman" w:cs="Times New Roman"/>
                            <w:b/>
                          </w:rPr>
                          <w:t>流动负债：</w:t>
                        </w:r>
                      </w:p>
                    </w:sdtContent>
                  </w:sdt>
                </w:tc>
              </w:tr>
              <w:tr w:rsidR="002C402E" w14:paraId="6AF90BD8" w14:textId="77777777" w:rsidTr="00787374">
                <w:sdt>
                  <w:sdtPr>
                    <w:tag w:val="_PLD_0efba9adef604cadac8599fe5a7c8c43"/>
                    <w:id w:val="-148106915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29EE93D6" w14:textId="77777777" w:rsidR="002C402E" w:rsidRDefault="002C402E" w:rsidP="002C402E">
                        <w:pPr>
                          <w:ind w:firstLineChars="100" w:firstLine="210"/>
                          <w:rPr>
                            <w:szCs w:val="21"/>
                          </w:rPr>
                        </w:pPr>
                        <w:r>
                          <w:rPr>
                            <w:rFonts w:hint="eastAsia"/>
                            <w:szCs w:val="21"/>
                          </w:rPr>
                          <w:t>短期借款</w:t>
                        </w:r>
                      </w:p>
                    </w:tc>
                  </w:sdtContent>
                </w:sdt>
                <w:tc>
                  <w:tcPr>
                    <w:tcW w:w="1152" w:type="pct"/>
                    <w:tcBorders>
                      <w:top w:val="outset" w:sz="4" w:space="0" w:color="auto"/>
                      <w:left w:val="outset" w:sz="4" w:space="0" w:color="auto"/>
                      <w:bottom w:val="outset" w:sz="4" w:space="0" w:color="auto"/>
                      <w:right w:val="outset" w:sz="4" w:space="0" w:color="auto"/>
                    </w:tcBorders>
                  </w:tcPr>
                  <w:p w14:paraId="40AA50DC"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256,374,734.88</w:t>
                    </w:r>
                  </w:p>
                </w:tc>
                <w:tc>
                  <w:tcPr>
                    <w:tcW w:w="996" w:type="pct"/>
                    <w:tcBorders>
                      <w:top w:val="outset" w:sz="4" w:space="0" w:color="auto"/>
                      <w:left w:val="outset" w:sz="4" w:space="0" w:color="auto"/>
                      <w:bottom w:val="outset" w:sz="4" w:space="0" w:color="auto"/>
                      <w:right w:val="outset" w:sz="4" w:space="0" w:color="auto"/>
                    </w:tcBorders>
                  </w:tcPr>
                  <w:p w14:paraId="60ECD2C6"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256,374,734.88</w:t>
                    </w:r>
                  </w:p>
                </w:tc>
                <w:tc>
                  <w:tcPr>
                    <w:tcW w:w="1166" w:type="pct"/>
                    <w:tcBorders>
                      <w:top w:val="outset" w:sz="4" w:space="0" w:color="auto"/>
                      <w:left w:val="outset" w:sz="4" w:space="0" w:color="auto"/>
                      <w:bottom w:val="outset" w:sz="4" w:space="0" w:color="auto"/>
                      <w:right w:val="outset" w:sz="4" w:space="0" w:color="auto"/>
                    </w:tcBorders>
                  </w:tcPr>
                  <w:p w14:paraId="785EE160" w14:textId="282E9B37" w:rsidR="002C402E" w:rsidRPr="009635E0" w:rsidRDefault="002C402E" w:rsidP="002C402E">
                    <w:pPr>
                      <w:jc w:val="right"/>
                      <w:rPr>
                        <w:rFonts w:ascii="Times New Roman" w:hAnsi="Times New Roman" w:cs="Times New Roman"/>
                        <w:szCs w:val="21"/>
                      </w:rPr>
                    </w:pPr>
                    <w:r w:rsidRPr="00151224">
                      <w:t>-</w:t>
                    </w:r>
                  </w:p>
                </w:tc>
              </w:tr>
              <w:tr w:rsidR="009635E0" w14:paraId="31D74C0C" w14:textId="77777777" w:rsidTr="00787374">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fa39fd4bb1d4ff29a7f4c24bbfc9eec"/>
                      <w:id w:val="-1780861354"/>
                      <w:lock w:val="sdtLocked"/>
                    </w:sdtPr>
                    <w:sdtEndPr/>
                    <w:sdtContent>
                      <w:p w14:paraId="1C7E2F2F" w14:textId="77777777" w:rsidR="009635E0" w:rsidRDefault="009635E0">
                        <w:pPr>
                          <w:ind w:firstLineChars="100" w:firstLine="210"/>
                        </w:pPr>
                        <w:r>
                          <w:rPr>
                            <w:rFonts w:hint="eastAsia"/>
                          </w:rPr>
                          <w:t>应付账款</w:t>
                        </w:r>
                      </w:p>
                    </w:sdtContent>
                  </w:sdt>
                </w:tc>
                <w:tc>
                  <w:tcPr>
                    <w:tcW w:w="1152" w:type="pct"/>
                    <w:tcBorders>
                      <w:top w:val="outset" w:sz="4" w:space="0" w:color="auto"/>
                      <w:left w:val="outset" w:sz="4" w:space="0" w:color="auto"/>
                      <w:bottom w:val="outset" w:sz="4" w:space="0" w:color="auto"/>
                      <w:right w:val="outset" w:sz="4" w:space="0" w:color="auto"/>
                    </w:tcBorders>
                  </w:tcPr>
                  <w:p w14:paraId="2FE4E093" w14:textId="77777777" w:rsidR="009635E0" w:rsidRPr="009635E0" w:rsidRDefault="009635E0">
                    <w:pPr>
                      <w:jc w:val="right"/>
                      <w:rPr>
                        <w:rFonts w:ascii="Times New Roman" w:hAnsi="Times New Roman" w:cs="Times New Roman"/>
                        <w:szCs w:val="21"/>
                      </w:rPr>
                    </w:pPr>
                    <w:r w:rsidRPr="009635E0">
                      <w:rPr>
                        <w:rStyle w:val="aff6"/>
                        <w:rFonts w:ascii="Times New Roman" w:hAnsi="Times New Roman" w:cs="Times New Roman"/>
                      </w:rPr>
                      <w:t>285,348,288.35</w:t>
                    </w:r>
                  </w:p>
                </w:tc>
                <w:tc>
                  <w:tcPr>
                    <w:tcW w:w="996" w:type="pct"/>
                    <w:tcBorders>
                      <w:top w:val="outset" w:sz="4" w:space="0" w:color="auto"/>
                      <w:left w:val="outset" w:sz="4" w:space="0" w:color="auto"/>
                      <w:bottom w:val="outset" w:sz="4" w:space="0" w:color="auto"/>
                      <w:right w:val="outset" w:sz="4" w:space="0" w:color="auto"/>
                    </w:tcBorders>
                  </w:tcPr>
                  <w:p w14:paraId="7A8835F6" w14:textId="77777777" w:rsidR="009635E0" w:rsidRPr="009635E0" w:rsidRDefault="009635E0">
                    <w:pPr>
                      <w:jc w:val="right"/>
                      <w:rPr>
                        <w:rFonts w:ascii="Times New Roman" w:hAnsi="Times New Roman" w:cs="Times New Roman"/>
                        <w:szCs w:val="21"/>
                      </w:rPr>
                    </w:pPr>
                    <w:r w:rsidRPr="009635E0">
                      <w:rPr>
                        <w:rStyle w:val="aff6"/>
                        <w:rFonts w:ascii="Times New Roman" w:hAnsi="Times New Roman" w:cs="Times New Roman"/>
                      </w:rPr>
                      <w:t>282,933,945.64</w:t>
                    </w:r>
                  </w:p>
                </w:tc>
                <w:tc>
                  <w:tcPr>
                    <w:tcW w:w="1166" w:type="pct"/>
                    <w:tcBorders>
                      <w:top w:val="outset" w:sz="4" w:space="0" w:color="auto"/>
                      <w:left w:val="outset" w:sz="4" w:space="0" w:color="auto"/>
                      <w:bottom w:val="outset" w:sz="4" w:space="0" w:color="auto"/>
                      <w:right w:val="outset" w:sz="4" w:space="0" w:color="auto"/>
                    </w:tcBorders>
                  </w:tcPr>
                  <w:p w14:paraId="568B1CA8" w14:textId="77777777" w:rsidR="009635E0" w:rsidRPr="009635E0" w:rsidRDefault="009635E0">
                    <w:pPr>
                      <w:jc w:val="right"/>
                      <w:rPr>
                        <w:rFonts w:ascii="Times New Roman" w:hAnsi="Times New Roman" w:cs="Times New Roman"/>
                        <w:szCs w:val="21"/>
                      </w:rPr>
                    </w:pPr>
                    <w:r w:rsidRPr="009635E0">
                      <w:rPr>
                        <w:rStyle w:val="aff6"/>
                        <w:rFonts w:ascii="Times New Roman" w:hAnsi="Times New Roman" w:cs="Times New Roman"/>
                      </w:rPr>
                      <w:t>-2,414,342.71</w:t>
                    </w:r>
                  </w:p>
                </w:tc>
              </w:tr>
              <w:tr w:rsidR="002C402E" w14:paraId="23FDA75E" w14:textId="77777777" w:rsidTr="00787374">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62ca996b5d4bcca79fbcae92731704"/>
                      <w:id w:val="1030527664"/>
                      <w:lock w:val="sdtLocked"/>
                    </w:sdtPr>
                    <w:sdtEndPr/>
                    <w:sdtContent>
                      <w:p w14:paraId="104363EC" w14:textId="77777777" w:rsidR="002C402E" w:rsidRDefault="002C402E" w:rsidP="002C402E">
                        <w:pPr>
                          <w:ind w:firstLineChars="100" w:firstLine="210"/>
                        </w:pPr>
                        <w:r>
                          <w:rPr>
                            <w:rFonts w:hint="eastAsia"/>
                          </w:rPr>
                          <w:t>合同负债</w:t>
                        </w:r>
                      </w:p>
                    </w:sdtContent>
                  </w:sdt>
                </w:tc>
                <w:tc>
                  <w:tcPr>
                    <w:tcW w:w="1152" w:type="pct"/>
                    <w:tcBorders>
                      <w:top w:val="outset" w:sz="4" w:space="0" w:color="auto"/>
                      <w:left w:val="outset" w:sz="4" w:space="0" w:color="auto"/>
                      <w:bottom w:val="outset" w:sz="4" w:space="0" w:color="auto"/>
                      <w:right w:val="outset" w:sz="4" w:space="0" w:color="auto"/>
                    </w:tcBorders>
                  </w:tcPr>
                  <w:p w14:paraId="045D20DE"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79,271,894.24</w:t>
                    </w:r>
                  </w:p>
                </w:tc>
                <w:tc>
                  <w:tcPr>
                    <w:tcW w:w="996" w:type="pct"/>
                    <w:tcBorders>
                      <w:top w:val="outset" w:sz="4" w:space="0" w:color="auto"/>
                      <w:left w:val="outset" w:sz="4" w:space="0" w:color="auto"/>
                      <w:bottom w:val="outset" w:sz="4" w:space="0" w:color="auto"/>
                      <w:right w:val="outset" w:sz="4" w:space="0" w:color="auto"/>
                    </w:tcBorders>
                  </w:tcPr>
                  <w:p w14:paraId="03C286BF"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79,271,894.24</w:t>
                    </w:r>
                  </w:p>
                </w:tc>
                <w:tc>
                  <w:tcPr>
                    <w:tcW w:w="1166" w:type="pct"/>
                    <w:tcBorders>
                      <w:top w:val="outset" w:sz="4" w:space="0" w:color="auto"/>
                      <w:left w:val="outset" w:sz="4" w:space="0" w:color="auto"/>
                      <w:bottom w:val="outset" w:sz="4" w:space="0" w:color="auto"/>
                      <w:right w:val="outset" w:sz="4" w:space="0" w:color="auto"/>
                    </w:tcBorders>
                  </w:tcPr>
                  <w:p w14:paraId="58B7F34D" w14:textId="37040739" w:rsidR="002C402E" w:rsidRPr="009635E0" w:rsidRDefault="002C402E" w:rsidP="002C402E">
                    <w:pPr>
                      <w:jc w:val="right"/>
                      <w:rPr>
                        <w:rFonts w:ascii="Times New Roman" w:hAnsi="Times New Roman" w:cs="Times New Roman"/>
                        <w:szCs w:val="21"/>
                      </w:rPr>
                    </w:pPr>
                    <w:r w:rsidRPr="004048BA">
                      <w:t>-</w:t>
                    </w:r>
                  </w:p>
                </w:tc>
              </w:tr>
              <w:tr w:rsidR="002C402E" w14:paraId="6A71CFAA" w14:textId="77777777" w:rsidTr="00787374">
                <w:sdt>
                  <w:sdtPr>
                    <w:tag w:val="_PLD_645872124b78478895ac8ca50bf1fb8a"/>
                    <w:id w:val="-90400115"/>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7025A2BA" w14:textId="77777777" w:rsidR="002C402E" w:rsidRDefault="002C402E" w:rsidP="002C402E">
                        <w:pPr>
                          <w:ind w:firstLineChars="100" w:firstLine="210"/>
                          <w:rPr>
                            <w:szCs w:val="21"/>
                          </w:rPr>
                        </w:pPr>
                        <w:r>
                          <w:rPr>
                            <w:rFonts w:hint="eastAsia"/>
                            <w:szCs w:val="21"/>
                          </w:rPr>
                          <w:t>应付职工薪酬</w:t>
                        </w:r>
                      </w:p>
                    </w:tc>
                  </w:sdtContent>
                </w:sdt>
                <w:tc>
                  <w:tcPr>
                    <w:tcW w:w="1152" w:type="pct"/>
                    <w:tcBorders>
                      <w:top w:val="outset" w:sz="4" w:space="0" w:color="auto"/>
                      <w:left w:val="outset" w:sz="4" w:space="0" w:color="auto"/>
                      <w:bottom w:val="outset" w:sz="4" w:space="0" w:color="auto"/>
                      <w:right w:val="outset" w:sz="4" w:space="0" w:color="auto"/>
                    </w:tcBorders>
                  </w:tcPr>
                  <w:p w14:paraId="6EE09FB2"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66,496,927.77</w:t>
                    </w:r>
                  </w:p>
                </w:tc>
                <w:tc>
                  <w:tcPr>
                    <w:tcW w:w="996" w:type="pct"/>
                    <w:tcBorders>
                      <w:top w:val="outset" w:sz="4" w:space="0" w:color="auto"/>
                      <w:left w:val="outset" w:sz="4" w:space="0" w:color="auto"/>
                      <w:bottom w:val="outset" w:sz="4" w:space="0" w:color="auto"/>
                      <w:right w:val="outset" w:sz="4" w:space="0" w:color="auto"/>
                    </w:tcBorders>
                  </w:tcPr>
                  <w:p w14:paraId="3A5B5FAF"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66,496,927.77</w:t>
                    </w:r>
                  </w:p>
                </w:tc>
                <w:tc>
                  <w:tcPr>
                    <w:tcW w:w="1166" w:type="pct"/>
                    <w:tcBorders>
                      <w:top w:val="outset" w:sz="4" w:space="0" w:color="auto"/>
                      <w:left w:val="outset" w:sz="4" w:space="0" w:color="auto"/>
                      <w:bottom w:val="outset" w:sz="4" w:space="0" w:color="auto"/>
                      <w:right w:val="outset" w:sz="4" w:space="0" w:color="auto"/>
                    </w:tcBorders>
                  </w:tcPr>
                  <w:p w14:paraId="5E728554" w14:textId="61BBC4E4" w:rsidR="002C402E" w:rsidRPr="009635E0" w:rsidRDefault="002C402E" w:rsidP="002C402E">
                    <w:pPr>
                      <w:jc w:val="right"/>
                      <w:rPr>
                        <w:rFonts w:ascii="Times New Roman" w:hAnsi="Times New Roman" w:cs="Times New Roman"/>
                        <w:szCs w:val="21"/>
                      </w:rPr>
                    </w:pPr>
                    <w:r w:rsidRPr="004048BA">
                      <w:t>-</w:t>
                    </w:r>
                  </w:p>
                </w:tc>
              </w:tr>
              <w:tr w:rsidR="002C402E" w14:paraId="7DD0B561" w14:textId="77777777" w:rsidTr="00787374">
                <w:sdt>
                  <w:sdtPr>
                    <w:tag w:val="_PLD_d3c044defc17425daa2954955510acc7"/>
                    <w:id w:val="-744868598"/>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2B389908" w14:textId="77777777" w:rsidR="002C402E" w:rsidRDefault="002C402E" w:rsidP="002C402E">
                        <w:pPr>
                          <w:ind w:firstLineChars="100" w:firstLine="210"/>
                          <w:rPr>
                            <w:szCs w:val="21"/>
                          </w:rPr>
                        </w:pPr>
                        <w:r>
                          <w:rPr>
                            <w:rFonts w:hint="eastAsia"/>
                            <w:szCs w:val="21"/>
                          </w:rPr>
                          <w:t>应交税费</w:t>
                        </w:r>
                      </w:p>
                    </w:tc>
                  </w:sdtContent>
                </w:sdt>
                <w:tc>
                  <w:tcPr>
                    <w:tcW w:w="1152" w:type="pct"/>
                    <w:tcBorders>
                      <w:top w:val="outset" w:sz="4" w:space="0" w:color="auto"/>
                      <w:left w:val="outset" w:sz="4" w:space="0" w:color="auto"/>
                      <w:bottom w:val="outset" w:sz="4" w:space="0" w:color="auto"/>
                      <w:right w:val="outset" w:sz="4" w:space="0" w:color="auto"/>
                    </w:tcBorders>
                  </w:tcPr>
                  <w:p w14:paraId="35538D71"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26,796,044.19</w:t>
                    </w:r>
                  </w:p>
                </w:tc>
                <w:tc>
                  <w:tcPr>
                    <w:tcW w:w="996" w:type="pct"/>
                    <w:tcBorders>
                      <w:top w:val="outset" w:sz="4" w:space="0" w:color="auto"/>
                      <w:left w:val="outset" w:sz="4" w:space="0" w:color="auto"/>
                      <w:bottom w:val="outset" w:sz="4" w:space="0" w:color="auto"/>
                      <w:right w:val="outset" w:sz="4" w:space="0" w:color="auto"/>
                    </w:tcBorders>
                  </w:tcPr>
                  <w:p w14:paraId="6165F11B"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26,796,044.19</w:t>
                    </w:r>
                  </w:p>
                </w:tc>
                <w:tc>
                  <w:tcPr>
                    <w:tcW w:w="1166" w:type="pct"/>
                    <w:tcBorders>
                      <w:top w:val="outset" w:sz="4" w:space="0" w:color="auto"/>
                      <w:left w:val="outset" w:sz="4" w:space="0" w:color="auto"/>
                      <w:bottom w:val="outset" w:sz="4" w:space="0" w:color="auto"/>
                      <w:right w:val="outset" w:sz="4" w:space="0" w:color="auto"/>
                    </w:tcBorders>
                  </w:tcPr>
                  <w:p w14:paraId="1EDF7679" w14:textId="7B7D3930" w:rsidR="002C402E" w:rsidRPr="009635E0" w:rsidRDefault="002C402E" w:rsidP="002C402E">
                    <w:pPr>
                      <w:jc w:val="right"/>
                      <w:rPr>
                        <w:rFonts w:ascii="Times New Roman" w:hAnsi="Times New Roman" w:cs="Times New Roman"/>
                        <w:szCs w:val="21"/>
                      </w:rPr>
                    </w:pPr>
                    <w:r w:rsidRPr="004048BA">
                      <w:t>-</w:t>
                    </w:r>
                  </w:p>
                </w:tc>
              </w:tr>
              <w:tr w:rsidR="002C402E" w14:paraId="1A322214" w14:textId="77777777" w:rsidTr="00787374">
                <w:sdt>
                  <w:sdtPr>
                    <w:tag w:val="_PLD_2463a98e91ab4940a86070ef84c09928"/>
                    <w:id w:val="-1947918999"/>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4ACB37A2" w14:textId="77777777" w:rsidR="002C402E" w:rsidRDefault="002C402E" w:rsidP="002C402E">
                        <w:pPr>
                          <w:ind w:firstLineChars="100" w:firstLine="210"/>
                          <w:rPr>
                            <w:szCs w:val="21"/>
                          </w:rPr>
                        </w:pPr>
                        <w:r>
                          <w:rPr>
                            <w:rFonts w:hint="eastAsia"/>
                            <w:szCs w:val="21"/>
                          </w:rPr>
                          <w:t>其他应付款</w:t>
                        </w:r>
                      </w:p>
                    </w:tc>
                  </w:sdtContent>
                </w:sdt>
                <w:tc>
                  <w:tcPr>
                    <w:tcW w:w="1152" w:type="pct"/>
                    <w:tcBorders>
                      <w:top w:val="outset" w:sz="4" w:space="0" w:color="auto"/>
                      <w:left w:val="outset" w:sz="4" w:space="0" w:color="auto"/>
                      <w:bottom w:val="outset" w:sz="4" w:space="0" w:color="auto"/>
                      <w:right w:val="outset" w:sz="4" w:space="0" w:color="auto"/>
                    </w:tcBorders>
                  </w:tcPr>
                  <w:p w14:paraId="7122232E"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36,133,469.42</w:t>
                    </w:r>
                  </w:p>
                </w:tc>
                <w:tc>
                  <w:tcPr>
                    <w:tcW w:w="996" w:type="pct"/>
                    <w:tcBorders>
                      <w:top w:val="outset" w:sz="4" w:space="0" w:color="auto"/>
                      <w:left w:val="outset" w:sz="4" w:space="0" w:color="auto"/>
                      <w:bottom w:val="outset" w:sz="4" w:space="0" w:color="auto"/>
                      <w:right w:val="outset" w:sz="4" w:space="0" w:color="auto"/>
                    </w:tcBorders>
                  </w:tcPr>
                  <w:p w14:paraId="45AC9A0A"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36,133,469.42</w:t>
                    </w:r>
                  </w:p>
                </w:tc>
                <w:tc>
                  <w:tcPr>
                    <w:tcW w:w="1166" w:type="pct"/>
                    <w:tcBorders>
                      <w:top w:val="outset" w:sz="4" w:space="0" w:color="auto"/>
                      <w:left w:val="outset" w:sz="4" w:space="0" w:color="auto"/>
                      <w:bottom w:val="outset" w:sz="4" w:space="0" w:color="auto"/>
                      <w:right w:val="outset" w:sz="4" w:space="0" w:color="auto"/>
                    </w:tcBorders>
                  </w:tcPr>
                  <w:p w14:paraId="099E5511" w14:textId="0E07E8E4" w:rsidR="002C402E" w:rsidRPr="009635E0" w:rsidRDefault="002C402E" w:rsidP="002C402E">
                    <w:pPr>
                      <w:jc w:val="right"/>
                      <w:rPr>
                        <w:rFonts w:ascii="Times New Roman" w:hAnsi="Times New Roman" w:cs="Times New Roman"/>
                        <w:szCs w:val="21"/>
                      </w:rPr>
                    </w:pPr>
                    <w:r w:rsidRPr="004048BA">
                      <w:t>-</w:t>
                    </w:r>
                  </w:p>
                </w:tc>
              </w:tr>
              <w:tr w:rsidR="002C402E" w14:paraId="65D7CAFB" w14:textId="77777777" w:rsidTr="002C402E">
                <w:sdt>
                  <w:sdtPr>
                    <w:tag w:val="_PLD_1e3b5010b1644b86a63caa38200d9fc7"/>
                    <w:id w:val="-521321345"/>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05215E3" w14:textId="77777777" w:rsidR="002C402E" w:rsidRDefault="002C402E" w:rsidP="002C402E">
                        <w:pPr>
                          <w:ind w:firstLineChars="100" w:firstLine="210"/>
                          <w:rPr>
                            <w:szCs w:val="21"/>
                          </w:rPr>
                        </w:pPr>
                        <w:r>
                          <w:rPr>
                            <w:rFonts w:hint="eastAsia"/>
                          </w:rPr>
                          <w:t>其中：</w:t>
                        </w:r>
                        <w:r>
                          <w:rPr>
                            <w:rFonts w:hint="eastAsia"/>
                            <w:szCs w:val="21"/>
                          </w:rPr>
                          <w:t>应付利息</w:t>
                        </w:r>
                      </w:p>
                    </w:tc>
                  </w:sdtContent>
                </w:sdt>
                <w:tc>
                  <w:tcPr>
                    <w:tcW w:w="1152" w:type="pct"/>
                    <w:tcBorders>
                      <w:top w:val="outset" w:sz="4" w:space="0" w:color="auto"/>
                      <w:left w:val="outset" w:sz="4" w:space="0" w:color="auto"/>
                      <w:bottom w:val="outset" w:sz="4" w:space="0" w:color="auto"/>
                      <w:right w:val="outset" w:sz="4" w:space="0" w:color="auto"/>
                    </w:tcBorders>
                    <w:vAlign w:val="center"/>
                  </w:tcPr>
                  <w:p w14:paraId="381E56EB" w14:textId="3A269126" w:rsidR="002C402E" w:rsidRPr="009635E0" w:rsidRDefault="002C402E" w:rsidP="002C402E">
                    <w:pPr>
                      <w:jc w:val="right"/>
                      <w:rPr>
                        <w:rFonts w:ascii="Times New Roman" w:hAnsi="Times New Roman" w:cs="Times New Roman"/>
                        <w:szCs w:val="21"/>
                      </w:rPr>
                    </w:pPr>
                    <w:r>
                      <w:t>-</w:t>
                    </w:r>
                  </w:p>
                </w:tc>
                <w:tc>
                  <w:tcPr>
                    <w:tcW w:w="996" w:type="pct"/>
                    <w:tcBorders>
                      <w:top w:val="outset" w:sz="4" w:space="0" w:color="auto"/>
                      <w:left w:val="outset" w:sz="4" w:space="0" w:color="auto"/>
                      <w:bottom w:val="outset" w:sz="4" w:space="0" w:color="auto"/>
                      <w:right w:val="outset" w:sz="4" w:space="0" w:color="auto"/>
                    </w:tcBorders>
                    <w:vAlign w:val="center"/>
                  </w:tcPr>
                  <w:p w14:paraId="7EF94AB6" w14:textId="749B2576" w:rsidR="002C402E" w:rsidRPr="009635E0" w:rsidRDefault="002C402E" w:rsidP="002C402E">
                    <w:pPr>
                      <w:jc w:val="right"/>
                      <w:rPr>
                        <w:rFonts w:ascii="Times New Roman" w:hAnsi="Times New Roman" w:cs="Times New Roman"/>
                        <w:szCs w:val="21"/>
                      </w:rPr>
                    </w:pPr>
                    <w:r>
                      <w:t>-</w:t>
                    </w:r>
                  </w:p>
                </w:tc>
                <w:tc>
                  <w:tcPr>
                    <w:tcW w:w="1166" w:type="pct"/>
                    <w:tcBorders>
                      <w:top w:val="outset" w:sz="4" w:space="0" w:color="auto"/>
                      <w:left w:val="outset" w:sz="4" w:space="0" w:color="auto"/>
                      <w:bottom w:val="outset" w:sz="4" w:space="0" w:color="auto"/>
                      <w:right w:val="outset" w:sz="4" w:space="0" w:color="auto"/>
                    </w:tcBorders>
                  </w:tcPr>
                  <w:p w14:paraId="3CB4240D" w14:textId="607E2F72" w:rsidR="002C402E" w:rsidRPr="009635E0" w:rsidRDefault="002C402E" w:rsidP="002C402E">
                    <w:pPr>
                      <w:jc w:val="right"/>
                      <w:rPr>
                        <w:rFonts w:ascii="Times New Roman" w:hAnsi="Times New Roman" w:cs="Times New Roman"/>
                        <w:szCs w:val="21"/>
                      </w:rPr>
                    </w:pPr>
                    <w:r w:rsidRPr="004048BA">
                      <w:t>-</w:t>
                    </w:r>
                  </w:p>
                </w:tc>
              </w:tr>
              <w:tr w:rsidR="002C402E" w14:paraId="6DF55542" w14:textId="77777777" w:rsidTr="002C402E">
                <w:sdt>
                  <w:sdtPr>
                    <w:tag w:val="_PLD_bb0dd0f249ab4ec4b35a1769f3ab804c"/>
                    <w:id w:val="432860316"/>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2292EB3B" w14:textId="77777777" w:rsidR="002C402E" w:rsidRDefault="002C402E" w:rsidP="002C402E">
                        <w:pPr>
                          <w:ind w:firstLineChars="400" w:firstLine="840"/>
                          <w:rPr>
                            <w:szCs w:val="21"/>
                          </w:rPr>
                        </w:pPr>
                        <w:r>
                          <w:rPr>
                            <w:rFonts w:hint="eastAsia"/>
                            <w:szCs w:val="21"/>
                          </w:rPr>
                          <w:t>应付股利</w:t>
                        </w:r>
                      </w:p>
                    </w:tc>
                  </w:sdtContent>
                </w:sdt>
                <w:tc>
                  <w:tcPr>
                    <w:tcW w:w="1152" w:type="pct"/>
                    <w:tcBorders>
                      <w:top w:val="outset" w:sz="4" w:space="0" w:color="auto"/>
                      <w:left w:val="outset" w:sz="4" w:space="0" w:color="auto"/>
                      <w:bottom w:val="outset" w:sz="4" w:space="0" w:color="auto"/>
                      <w:right w:val="outset" w:sz="4" w:space="0" w:color="auto"/>
                    </w:tcBorders>
                    <w:vAlign w:val="center"/>
                  </w:tcPr>
                  <w:p w14:paraId="79570D6C" w14:textId="7EF904B8" w:rsidR="002C402E" w:rsidRPr="009635E0" w:rsidRDefault="002C402E" w:rsidP="002C402E">
                    <w:pPr>
                      <w:jc w:val="right"/>
                      <w:rPr>
                        <w:rFonts w:ascii="Times New Roman" w:hAnsi="Times New Roman" w:cs="Times New Roman"/>
                        <w:szCs w:val="21"/>
                      </w:rPr>
                    </w:pPr>
                    <w:r>
                      <w:t>-</w:t>
                    </w:r>
                  </w:p>
                </w:tc>
                <w:tc>
                  <w:tcPr>
                    <w:tcW w:w="996" w:type="pct"/>
                    <w:tcBorders>
                      <w:top w:val="outset" w:sz="4" w:space="0" w:color="auto"/>
                      <w:left w:val="outset" w:sz="4" w:space="0" w:color="auto"/>
                      <w:bottom w:val="outset" w:sz="4" w:space="0" w:color="auto"/>
                      <w:right w:val="outset" w:sz="4" w:space="0" w:color="auto"/>
                    </w:tcBorders>
                    <w:vAlign w:val="center"/>
                  </w:tcPr>
                  <w:p w14:paraId="1BAAE405" w14:textId="3236F391" w:rsidR="002C402E" w:rsidRPr="009635E0" w:rsidRDefault="002C402E" w:rsidP="002C402E">
                    <w:pPr>
                      <w:jc w:val="right"/>
                      <w:rPr>
                        <w:rFonts w:ascii="Times New Roman" w:hAnsi="Times New Roman" w:cs="Times New Roman"/>
                        <w:szCs w:val="21"/>
                      </w:rPr>
                    </w:pPr>
                    <w:r>
                      <w:t>-</w:t>
                    </w:r>
                  </w:p>
                </w:tc>
                <w:tc>
                  <w:tcPr>
                    <w:tcW w:w="1166" w:type="pct"/>
                    <w:tcBorders>
                      <w:top w:val="outset" w:sz="4" w:space="0" w:color="auto"/>
                      <w:left w:val="outset" w:sz="4" w:space="0" w:color="auto"/>
                      <w:bottom w:val="outset" w:sz="4" w:space="0" w:color="auto"/>
                      <w:right w:val="outset" w:sz="4" w:space="0" w:color="auto"/>
                    </w:tcBorders>
                  </w:tcPr>
                  <w:p w14:paraId="05FA49FE" w14:textId="63EF003A" w:rsidR="002C402E" w:rsidRPr="009635E0" w:rsidRDefault="002C402E" w:rsidP="002C402E">
                    <w:pPr>
                      <w:jc w:val="right"/>
                      <w:rPr>
                        <w:rFonts w:ascii="Times New Roman" w:hAnsi="Times New Roman" w:cs="Times New Roman"/>
                        <w:szCs w:val="21"/>
                      </w:rPr>
                    </w:pPr>
                    <w:r w:rsidRPr="004048BA">
                      <w:t>-</w:t>
                    </w:r>
                  </w:p>
                </w:tc>
              </w:tr>
              <w:tr w:rsidR="009635E0" w14:paraId="1FB33C08" w14:textId="77777777" w:rsidTr="00787374">
                <w:sdt>
                  <w:sdtPr>
                    <w:tag w:val="_PLD_184262582d204a07b7c7b039008d30a1"/>
                    <w:id w:val="-381253328"/>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0F3D1E11" w14:textId="77777777" w:rsidR="009635E0" w:rsidRDefault="009635E0">
                        <w:pPr>
                          <w:ind w:firstLineChars="100" w:firstLine="210"/>
                          <w:rPr>
                            <w:szCs w:val="21"/>
                          </w:rPr>
                        </w:pPr>
                        <w:r>
                          <w:rPr>
                            <w:rFonts w:hint="eastAsia"/>
                            <w:szCs w:val="21"/>
                          </w:rPr>
                          <w:t>一年内到期的非流动负债</w:t>
                        </w:r>
                      </w:p>
                    </w:tc>
                  </w:sdtContent>
                </w:sdt>
                <w:tc>
                  <w:tcPr>
                    <w:tcW w:w="1152" w:type="pct"/>
                    <w:tcBorders>
                      <w:top w:val="outset" w:sz="4" w:space="0" w:color="auto"/>
                      <w:left w:val="outset" w:sz="4" w:space="0" w:color="auto"/>
                      <w:bottom w:val="outset" w:sz="4" w:space="0" w:color="auto"/>
                      <w:right w:val="outset" w:sz="4" w:space="0" w:color="auto"/>
                    </w:tcBorders>
                  </w:tcPr>
                  <w:p w14:paraId="36B72A26"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85,891,818.83</w:t>
                    </w:r>
                  </w:p>
                </w:tc>
                <w:tc>
                  <w:tcPr>
                    <w:tcW w:w="996" w:type="pct"/>
                    <w:tcBorders>
                      <w:top w:val="outset" w:sz="4" w:space="0" w:color="auto"/>
                      <w:left w:val="outset" w:sz="4" w:space="0" w:color="auto"/>
                      <w:bottom w:val="outset" w:sz="4" w:space="0" w:color="auto"/>
                      <w:right w:val="outset" w:sz="4" w:space="0" w:color="auto"/>
                    </w:tcBorders>
                  </w:tcPr>
                  <w:p w14:paraId="2BD8C195"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94,850,443.09</w:t>
                    </w:r>
                  </w:p>
                </w:tc>
                <w:tc>
                  <w:tcPr>
                    <w:tcW w:w="1166" w:type="pct"/>
                    <w:tcBorders>
                      <w:top w:val="outset" w:sz="4" w:space="0" w:color="auto"/>
                      <w:left w:val="outset" w:sz="4" w:space="0" w:color="auto"/>
                      <w:bottom w:val="outset" w:sz="4" w:space="0" w:color="auto"/>
                      <w:right w:val="outset" w:sz="4" w:space="0" w:color="auto"/>
                    </w:tcBorders>
                  </w:tcPr>
                  <w:p w14:paraId="35873970"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8,958,624.26</w:t>
                    </w:r>
                  </w:p>
                </w:tc>
              </w:tr>
              <w:tr w:rsidR="009635E0" w14:paraId="64D61631" w14:textId="77777777" w:rsidTr="00787374">
                <w:sdt>
                  <w:sdtPr>
                    <w:tag w:val="_PLD_af93e4b207a64595bfc64c7f72b1187a"/>
                    <w:id w:val="1075789517"/>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3A12B72E" w14:textId="77777777" w:rsidR="009635E0" w:rsidRDefault="009635E0">
                        <w:pPr>
                          <w:ind w:firstLineChars="100" w:firstLine="210"/>
                          <w:rPr>
                            <w:szCs w:val="21"/>
                          </w:rPr>
                        </w:pPr>
                        <w:r>
                          <w:rPr>
                            <w:rFonts w:hint="eastAsia"/>
                            <w:szCs w:val="21"/>
                          </w:rPr>
                          <w:t>其他流动负债</w:t>
                        </w:r>
                      </w:p>
                    </w:tc>
                  </w:sdtContent>
                </w:sdt>
                <w:tc>
                  <w:tcPr>
                    <w:tcW w:w="1152" w:type="pct"/>
                    <w:tcBorders>
                      <w:top w:val="outset" w:sz="4" w:space="0" w:color="auto"/>
                      <w:left w:val="outset" w:sz="4" w:space="0" w:color="auto"/>
                      <w:bottom w:val="outset" w:sz="4" w:space="0" w:color="auto"/>
                      <w:right w:val="outset" w:sz="4" w:space="0" w:color="auto"/>
                    </w:tcBorders>
                  </w:tcPr>
                  <w:p w14:paraId="7B0A22FE"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1,631,528.71</w:t>
                    </w:r>
                  </w:p>
                </w:tc>
                <w:tc>
                  <w:tcPr>
                    <w:tcW w:w="996" w:type="pct"/>
                    <w:tcBorders>
                      <w:top w:val="outset" w:sz="4" w:space="0" w:color="auto"/>
                      <w:left w:val="outset" w:sz="4" w:space="0" w:color="auto"/>
                      <w:bottom w:val="outset" w:sz="4" w:space="0" w:color="auto"/>
                      <w:right w:val="outset" w:sz="4" w:space="0" w:color="auto"/>
                    </w:tcBorders>
                  </w:tcPr>
                  <w:p w14:paraId="4EED6ED2"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1,631,528.71</w:t>
                    </w:r>
                  </w:p>
                </w:tc>
                <w:tc>
                  <w:tcPr>
                    <w:tcW w:w="1166" w:type="pct"/>
                    <w:tcBorders>
                      <w:top w:val="outset" w:sz="4" w:space="0" w:color="auto"/>
                      <w:left w:val="outset" w:sz="4" w:space="0" w:color="auto"/>
                      <w:bottom w:val="outset" w:sz="4" w:space="0" w:color="auto"/>
                      <w:right w:val="outset" w:sz="4" w:space="0" w:color="auto"/>
                    </w:tcBorders>
                  </w:tcPr>
                  <w:p w14:paraId="05C15492" w14:textId="69E0962D" w:rsidR="009635E0" w:rsidRPr="009635E0" w:rsidRDefault="002C402E">
                    <w:pPr>
                      <w:jc w:val="right"/>
                      <w:rPr>
                        <w:rFonts w:ascii="Times New Roman" w:hAnsi="Times New Roman" w:cs="Times New Roman"/>
                        <w:szCs w:val="21"/>
                      </w:rPr>
                    </w:pPr>
                    <w:r w:rsidRPr="002C402E">
                      <w:rPr>
                        <w:rFonts w:ascii="Times New Roman" w:hAnsi="Times New Roman" w:cs="Times New Roman"/>
                        <w:szCs w:val="21"/>
                      </w:rPr>
                      <w:t>-</w:t>
                    </w:r>
                  </w:p>
                </w:tc>
              </w:tr>
              <w:tr w:rsidR="009635E0" w14:paraId="5AE77D1B" w14:textId="77777777" w:rsidTr="00787374">
                <w:sdt>
                  <w:sdtPr>
                    <w:tag w:val="_PLD_9a3d3ca1f3174615bf9ff36a589d6783"/>
                    <w:id w:val="220102597"/>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041E35A3" w14:textId="77777777" w:rsidR="009635E0" w:rsidRDefault="009635E0">
                        <w:pPr>
                          <w:ind w:firstLineChars="200" w:firstLine="420"/>
                          <w:rPr>
                            <w:szCs w:val="21"/>
                          </w:rPr>
                        </w:pPr>
                        <w:r>
                          <w:rPr>
                            <w:rFonts w:hint="eastAsia"/>
                            <w:szCs w:val="21"/>
                          </w:rPr>
                          <w:t>流动负债合计</w:t>
                        </w:r>
                      </w:p>
                    </w:tc>
                  </w:sdtContent>
                </w:sdt>
                <w:tc>
                  <w:tcPr>
                    <w:tcW w:w="1152" w:type="pct"/>
                    <w:tcBorders>
                      <w:top w:val="outset" w:sz="4" w:space="0" w:color="auto"/>
                      <w:left w:val="outset" w:sz="4" w:space="0" w:color="auto"/>
                      <w:bottom w:val="outset" w:sz="4" w:space="0" w:color="auto"/>
                      <w:right w:val="outset" w:sz="4" w:space="0" w:color="auto"/>
                    </w:tcBorders>
                  </w:tcPr>
                  <w:p w14:paraId="15FC6DE8"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837,944,706.39</w:t>
                    </w:r>
                  </w:p>
                </w:tc>
                <w:tc>
                  <w:tcPr>
                    <w:tcW w:w="996" w:type="pct"/>
                    <w:tcBorders>
                      <w:top w:val="outset" w:sz="4" w:space="0" w:color="auto"/>
                      <w:left w:val="outset" w:sz="4" w:space="0" w:color="auto"/>
                      <w:bottom w:val="outset" w:sz="4" w:space="0" w:color="auto"/>
                      <w:right w:val="outset" w:sz="4" w:space="0" w:color="auto"/>
                    </w:tcBorders>
                  </w:tcPr>
                  <w:p w14:paraId="10111FE5"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szCs w:val="21"/>
                      </w:rPr>
                      <w:t>844,488,987.94</w:t>
                    </w:r>
                  </w:p>
                </w:tc>
                <w:tc>
                  <w:tcPr>
                    <w:tcW w:w="1166" w:type="pct"/>
                    <w:tcBorders>
                      <w:top w:val="outset" w:sz="4" w:space="0" w:color="auto"/>
                      <w:left w:val="outset" w:sz="4" w:space="0" w:color="auto"/>
                      <w:bottom w:val="outset" w:sz="4" w:space="0" w:color="auto"/>
                      <w:right w:val="outset" w:sz="4" w:space="0" w:color="auto"/>
                    </w:tcBorders>
                  </w:tcPr>
                  <w:p w14:paraId="7C015A05" w14:textId="77777777" w:rsidR="009635E0" w:rsidRPr="009635E0" w:rsidRDefault="009635E0">
                    <w:pPr>
                      <w:jc w:val="right"/>
                      <w:rPr>
                        <w:rFonts w:ascii="Times New Roman" w:hAnsi="Times New Roman" w:cs="Times New Roman"/>
                        <w:szCs w:val="21"/>
                      </w:rPr>
                    </w:pPr>
                    <w:r w:rsidRPr="009635E0">
                      <w:rPr>
                        <w:rFonts w:ascii="Times New Roman" w:hAnsi="Times New Roman" w:cs="Times New Roman"/>
                      </w:rPr>
                      <w:t>6,544,281.55</w:t>
                    </w:r>
                  </w:p>
                </w:tc>
              </w:tr>
              <w:tr w:rsidR="009635E0" w14:paraId="002DDB7E" w14:textId="77777777" w:rsidTr="00D32D2D">
                <w:sdt>
                  <w:sdtPr>
                    <w:rPr>
                      <w:rFonts w:ascii="Times New Roman" w:hAnsi="Times New Roman" w:cs="Times New Roman"/>
                    </w:rPr>
                    <w:tag w:val="_PLD_a08e21293f134b168255e7186cb648ba"/>
                    <w:id w:val="107717377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DB7686B" w14:textId="77777777" w:rsidR="009635E0" w:rsidRPr="009635E0" w:rsidRDefault="009635E0">
                        <w:pPr>
                          <w:rPr>
                            <w:rFonts w:ascii="Times New Roman" w:hAnsi="Times New Roman" w:cs="Times New Roman"/>
                            <w:color w:val="008000"/>
                            <w:szCs w:val="21"/>
                          </w:rPr>
                        </w:pPr>
                        <w:r w:rsidRPr="009635E0">
                          <w:rPr>
                            <w:rFonts w:ascii="Times New Roman" w:hAnsi="Times New Roman" w:cs="Times New Roman"/>
                            <w:b/>
                            <w:bCs/>
                            <w:szCs w:val="21"/>
                          </w:rPr>
                          <w:t>非流动负债：</w:t>
                        </w:r>
                      </w:p>
                    </w:tc>
                  </w:sdtContent>
                </w:sdt>
              </w:tr>
              <w:tr w:rsidR="002C402E" w14:paraId="37DECFD4" w14:textId="77777777" w:rsidTr="00787374">
                <w:sdt>
                  <w:sdtPr>
                    <w:tag w:val="_PLD_1d1cee5b720049af960e79c80ab30479"/>
                    <w:id w:val="422005819"/>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0B57F2F5" w14:textId="77777777" w:rsidR="002C402E" w:rsidRDefault="002C402E" w:rsidP="002C402E">
                        <w:pPr>
                          <w:ind w:firstLineChars="100" w:firstLine="210"/>
                          <w:rPr>
                            <w:szCs w:val="21"/>
                          </w:rPr>
                        </w:pPr>
                        <w:r>
                          <w:rPr>
                            <w:rFonts w:hint="eastAsia"/>
                            <w:szCs w:val="21"/>
                          </w:rPr>
                          <w:t>长期借款</w:t>
                        </w:r>
                      </w:p>
                    </w:tc>
                  </w:sdtContent>
                </w:sdt>
                <w:tc>
                  <w:tcPr>
                    <w:tcW w:w="1152" w:type="pct"/>
                    <w:tcBorders>
                      <w:top w:val="outset" w:sz="4" w:space="0" w:color="auto"/>
                      <w:left w:val="outset" w:sz="4" w:space="0" w:color="auto"/>
                      <w:bottom w:val="outset" w:sz="4" w:space="0" w:color="auto"/>
                      <w:right w:val="outset" w:sz="4" w:space="0" w:color="auto"/>
                    </w:tcBorders>
                  </w:tcPr>
                  <w:p w14:paraId="481044E5"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154,695,760.61</w:t>
                    </w:r>
                  </w:p>
                </w:tc>
                <w:tc>
                  <w:tcPr>
                    <w:tcW w:w="996" w:type="pct"/>
                    <w:tcBorders>
                      <w:top w:val="outset" w:sz="4" w:space="0" w:color="auto"/>
                      <w:left w:val="outset" w:sz="4" w:space="0" w:color="auto"/>
                      <w:bottom w:val="outset" w:sz="4" w:space="0" w:color="auto"/>
                      <w:right w:val="outset" w:sz="4" w:space="0" w:color="auto"/>
                    </w:tcBorders>
                  </w:tcPr>
                  <w:p w14:paraId="332FDF42"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154,695,760.61</w:t>
                    </w:r>
                  </w:p>
                </w:tc>
                <w:tc>
                  <w:tcPr>
                    <w:tcW w:w="1166" w:type="pct"/>
                    <w:tcBorders>
                      <w:top w:val="outset" w:sz="4" w:space="0" w:color="auto"/>
                      <w:left w:val="outset" w:sz="4" w:space="0" w:color="auto"/>
                      <w:bottom w:val="outset" w:sz="4" w:space="0" w:color="auto"/>
                      <w:right w:val="outset" w:sz="4" w:space="0" w:color="auto"/>
                    </w:tcBorders>
                  </w:tcPr>
                  <w:p w14:paraId="4E94A731" w14:textId="16239E47" w:rsidR="002C402E" w:rsidRPr="009635E0" w:rsidRDefault="002C402E" w:rsidP="002C402E">
                    <w:pPr>
                      <w:jc w:val="right"/>
                      <w:rPr>
                        <w:rFonts w:ascii="Times New Roman" w:hAnsi="Times New Roman" w:cs="Times New Roman"/>
                        <w:szCs w:val="21"/>
                      </w:rPr>
                    </w:pPr>
                    <w:r w:rsidRPr="00387486">
                      <w:t>-</w:t>
                    </w:r>
                  </w:p>
                </w:tc>
              </w:tr>
              <w:tr w:rsidR="002C402E" w14:paraId="33F097C4" w14:textId="77777777" w:rsidTr="002C402E">
                <w:tc>
                  <w:tcPr>
                    <w:tcW w:w="168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3d73c87b7e3475991fcc1cef4eb2477"/>
                      <w:id w:val="-346568903"/>
                      <w:lock w:val="sdtLocked"/>
                    </w:sdtPr>
                    <w:sdtEndPr/>
                    <w:sdtContent>
                      <w:p w14:paraId="72A7AA67" w14:textId="77777777" w:rsidR="002C402E" w:rsidRDefault="002C402E" w:rsidP="002C402E">
                        <w:pPr>
                          <w:ind w:firstLineChars="100" w:firstLine="210"/>
                        </w:pPr>
                        <w:r>
                          <w:rPr>
                            <w:rFonts w:hint="eastAsia"/>
                          </w:rPr>
                          <w:t>租赁负债</w:t>
                        </w:r>
                      </w:p>
                    </w:sdtContent>
                  </w:sdt>
                </w:tc>
                <w:tc>
                  <w:tcPr>
                    <w:tcW w:w="1152" w:type="pct"/>
                    <w:tcBorders>
                      <w:top w:val="outset" w:sz="4" w:space="0" w:color="auto"/>
                      <w:left w:val="outset" w:sz="4" w:space="0" w:color="auto"/>
                      <w:bottom w:val="outset" w:sz="4" w:space="0" w:color="auto"/>
                      <w:right w:val="outset" w:sz="4" w:space="0" w:color="auto"/>
                    </w:tcBorders>
                    <w:vAlign w:val="center"/>
                  </w:tcPr>
                  <w:p w14:paraId="254128DB" w14:textId="7EB05B47" w:rsidR="002C402E" w:rsidRPr="009635E0" w:rsidRDefault="002C402E" w:rsidP="002C402E">
                    <w:pPr>
                      <w:jc w:val="right"/>
                      <w:rPr>
                        <w:rFonts w:ascii="Times New Roman" w:hAnsi="Times New Roman" w:cs="Times New Roman"/>
                        <w:szCs w:val="21"/>
                      </w:rPr>
                    </w:pPr>
                    <w:r>
                      <w:t>-</w:t>
                    </w:r>
                  </w:p>
                </w:tc>
                <w:tc>
                  <w:tcPr>
                    <w:tcW w:w="996" w:type="pct"/>
                    <w:tcBorders>
                      <w:top w:val="outset" w:sz="4" w:space="0" w:color="auto"/>
                      <w:left w:val="outset" w:sz="4" w:space="0" w:color="auto"/>
                      <w:bottom w:val="outset" w:sz="4" w:space="0" w:color="auto"/>
                      <w:right w:val="outset" w:sz="4" w:space="0" w:color="auto"/>
                    </w:tcBorders>
                  </w:tcPr>
                  <w:p w14:paraId="4FC921B7" w14:textId="77777777" w:rsidR="002C402E" w:rsidRPr="009635E0" w:rsidRDefault="002C402E" w:rsidP="002C402E">
                    <w:pPr>
                      <w:jc w:val="right"/>
                      <w:rPr>
                        <w:rFonts w:ascii="Times New Roman" w:hAnsi="Times New Roman" w:cs="Times New Roman"/>
                        <w:szCs w:val="21"/>
                      </w:rPr>
                    </w:pPr>
                    <w:r w:rsidRPr="009635E0">
                      <w:rPr>
                        <w:rStyle w:val="aff6"/>
                        <w:rFonts w:ascii="Times New Roman" w:hAnsi="Times New Roman" w:cs="Times New Roman"/>
                      </w:rPr>
                      <w:t>48,860,159.08</w:t>
                    </w:r>
                  </w:p>
                </w:tc>
                <w:tc>
                  <w:tcPr>
                    <w:tcW w:w="1166" w:type="pct"/>
                    <w:tcBorders>
                      <w:top w:val="outset" w:sz="4" w:space="0" w:color="auto"/>
                      <w:left w:val="outset" w:sz="4" w:space="0" w:color="auto"/>
                      <w:bottom w:val="outset" w:sz="4" w:space="0" w:color="auto"/>
                      <w:right w:val="outset" w:sz="4" w:space="0" w:color="auto"/>
                    </w:tcBorders>
                  </w:tcPr>
                  <w:p w14:paraId="721F403F" w14:textId="77777777" w:rsidR="002C402E" w:rsidRPr="009635E0" w:rsidRDefault="002C402E" w:rsidP="002C402E">
                    <w:pPr>
                      <w:jc w:val="right"/>
                      <w:rPr>
                        <w:rFonts w:ascii="Times New Roman" w:hAnsi="Times New Roman" w:cs="Times New Roman"/>
                        <w:szCs w:val="21"/>
                      </w:rPr>
                    </w:pPr>
                    <w:r w:rsidRPr="009635E0">
                      <w:rPr>
                        <w:rStyle w:val="aff6"/>
                        <w:rFonts w:ascii="Times New Roman" w:hAnsi="Times New Roman" w:cs="Times New Roman"/>
                      </w:rPr>
                      <w:t>48,860,159.08</w:t>
                    </w:r>
                  </w:p>
                </w:tc>
              </w:tr>
              <w:tr w:rsidR="002C402E" w14:paraId="0E0F5C6B" w14:textId="77777777" w:rsidTr="00787374">
                <w:sdt>
                  <w:sdtPr>
                    <w:tag w:val="_PLD_247910bb42db46d9bbfa7a6ba34ed159"/>
                    <w:id w:val="1382901277"/>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A2AA931" w14:textId="77777777" w:rsidR="002C402E" w:rsidRDefault="002C402E" w:rsidP="002C402E">
                        <w:pPr>
                          <w:ind w:firstLineChars="100" w:firstLine="210"/>
                          <w:rPr>
                            <w:szCs w:val="21"/>
                          </w:rPr>
                        </w:pPr>
                        <w:r>
                          <w:rPr>
                            <w:rFonts w:hint="eastAsia"/>
                            <w:szCs w:val="21"/>
                          </w:rPr>
                          <w:t>长期应付职工薪酬</w:t>
                        </w:r>
                      </w:p>
                    </w:tc>
                  </w:sdtContent>
                </w:sdt>
                <w:tc>
                  <w:tcPr>
                    <w:tcW w:w="1152" w:type="pct"/>
                    <w:tcBorders>
                      <w:top w:val="outset" w:sz="4" w:space="0" w:color="auto"/>
                      <w:left w:val="outset" w:sz="4" w:space="0" w:color="auto"/>
                      <w:bottom w:val="outset" w:sz="4" w:space="0" w:color="auto"/>
                      <w:right w:val="outset" w:sz="4" w:space="0" w:color="auto"/>
                    </w:tcBorders>
                  </w:tcPr>
                  <w:p w14:paraId="01A9B5BD"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52,731,859.39</w:t>
                    </w:r>
                  </w:p>
                </w:tc>
                <w:tc>
                  <w:tcPr>
                    <w:tcW w:w="996" w:type="pct"/>
                    <w:tcBorders>
                      <w:top w:val="outset" w:sz="4" w:space="0" w:color="auto"/>
                      <w:left w:val="outset" w:sz="4" w:space="0" w:color="auto"/>
                      <w:bottom w:val="outset" w:sz="4" w:space="0" w:color="auto"/>
                      <w:right w:val="outset" w:sz="4" w:space="0" w:color="auto"/>
                    </w:tcBorders>
                  </w:tcPr>
                  <w:p w14:paraId="66ADCD94"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52,731,859.39</w:t>
                    </w:r>
                  </w:p>
                </w:tc>
                <w:tc>
                  <w:tcPr>
                    <w:tcW w:w="1166" w:type="pct"/>
                    <w:tcBorders>
                      <w:top w:val="outset" w:sz="4" w:space="0" w:color="auto"/>
                      <w:left w:val="outset" w:sz="4" w:space="0" w:color="auto"/>
                      <w:bottom w:val="outset" w:sz="4" w:space="0" w:color="auto"/>
                      <w:right w:val="outset" w:sz="4" w:space="0" w:color="auto"/>
                    </w:tcBorders>
                  </w:tcPr>
                  <w:p w14:paraId="34B49044" w14:textId="06CCDC9D" w:rsidR="002C402E" w:rsidRPr="009635E0" w:rsidRDefault="002C402E" w:rsidP="002C402E">
                    <w:pPr>
                      <w:jc w:val="right"/>
                      <w:rPr>
                        <w:rFonts w:ascii="Times New Roman" w:hAnsi="Times New Roman" w:cs="Times New Roman"/>
                        <w:szCs w:val="21"/>
                      </w:rPr>
                    </w:pPr>
                    <w:r w:rsidRPr="002E43A7">
                      <w:t>-</w:t>
                    </w:r>
                  </w:p>
                </w:tc>
              </w:tr>
              <w:tr w:rsidR="002C402E" w14:paraId="6C143821" w14:textId="77777777" w:rsidTr="00787374">
                <w:sdt>
                  <w:sdtPr>
                    <w:tag w:val="_PLD_4b983db901be4c5b82741ed5d0c63202"/>
                    <w:id w:val="-122998176"/>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7E5934EE" w14:textId="77777777" w:rsidR="002C402E" w:rsidRDefault="002C402E" w:rsidP="002C402E">
                        <w:pPr>
                          <w:ind w:firstLineChars="100" w:firstLine="210"/>
                          <w:rPr>
                            <w:szCs w:val="21"/>
                          </w:rPr>
                        </w:pPr>
                        <w:r>
                          <w:rPr>
                            <w:rFonts w:hint="eastAsia"/>
                            <w:szCs w:val="21"/>
                          </w:rPr>
                          <w:t>预计负债</w:t>
                        </w:r>
                      </w:p>
                    </w:tc>
                  </w:sdtContent>
                </w:sdt>
                <w:tc>
                  <w:tcPr>
                    <w:tcW w:w="1152" w:type="pct"/>
                    <w:tcBorders>
                      <w:top w:val="outset" w:sz="4" w:space="0" w:color="auto"/>
                      <w:left w:val="outset" w:sz="4" w:space="0" w:color="auto"/>
                      <w:bottom w:val="outset" w:sz="4" w:space="0" w:color="auto"/>
                      <w:right w:val="outset" w:sz="4" w:space="0" w:color="auto"/>
                    </w:tcBorders>
                  </w:tcPr>
                  <w:p w14:paraId="3F509A4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7,771,688.08</w:t>
                    </w:r>
                  </w:p>
                </w:tc>
                <w:tc>
                  <w:tcPr>
                    <w:tcW w:w="996" w:type="pct"/>
                    <w:tcBorders>
                      <w:top w:val="outset" w:sz="4" w:space="0" w:color="auto"/>
                      <w:left w:val="outset" w:sz="4" w:space="0" w:color="auto"/>
                      <w:bottom w:val="outset" w:sz="4" w:space="0" w:color="auto"/>
                      <w:right w:val="outset" w:sz="4" w:space="0" w:color="auto"/>
                    </w:tcBorders>
                  </w:tcPr>
                  <w:p w14:paraId="123B6D8A"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7,771,688.08</w:t>
                    </w:r>
                  </w:p>
                </w:tc>
                <w:tc>
                  <w:tcPr>
                    <w:tcW w:w="1166" w:type="pct"/>
                    <w:tcBorders>
                      <w:top w:val="outset" w:sz="4" w:space="0" w:color="auto"/>
                      <w:left w:val="outset" w:sz="4" w:space="0" w:color="auto"/>
                      <w:bottom w:val="outset" w:sz="4" w:space="0" w:color="auto"/>
                      <w:right w:val="outset" w:sz="4" w:space="0" w:color="auto"/>
                    </w:tcBorders>
                  </w:tcPr>
                  <w:p w14:paraId="0CE5EF26" w14:textId="7C38363E" w:rsidR="002C402E" w:rsidRPr="009635E0" w:rsidRDefault="002C402E" w:rsidP="002C402E">
                    <w:pPr>
                      <w:jc w:val="right"/>
                      <w:rPr>
                        <w:rFonts w:ascii="Times New Roman" w:hAnsi="Times New Roman" w:cs="Times New Roman"/>
                        <w:szCs w:val="21"/>
                      </w:rPr>
                    </w:pPr>
                    <w:r w:rsidRPr="002E43A7">
                      <w:t>-</w:t>
                    </w:r>
                  </w:p>
                </w:tc>
              </w:tr>
              <w:tr w:rsidR="002C402E" w14:paraId="3D8C69EC" w14:textId="77777777" w:rsidTr="00787374">
                <w:sdt>
                  <w:sdtPr>
                    <w:tag w:val="_PLD_3166959a76864d06b969fe5246da4a21"/>
                    <w:id w:val="-630478887"/>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5EBA3416" w14:textId="77777777" w:rsidR="002C402E" w:rsidRDefault="002C402E" w:rsidP="002C402E">
                        <w:pPr>
                          <w:ind w:firstLineChars="100" w:firstLine="210"/>
                          <w:rPr>
                            <w:szCs w:val="21"/>
                          </w:rPr>
                        </w:pPr>
                        <w:r>
                          <w:rPr>
                            <w:rFonts w:hint="eastAsia"/>
                            <w:szCs w:val="21"/>
                          </w:rPr>
                          <w:t>递延收益</w:t>
                        </w:r>
                      </w:p>
                    </w:tc>
                  </w:sdtContent>
                </w:sdt>
                <w:tc>
                  <w:tcPr>
                    <w:tcW w:w="1152" w:type="pct"/>
                    <w:tcBorders>
                      <w:top w:val="outset" w:sz="4" w:space="0" w:color="auto"/>
                      <w:left w:val="outset" w:sz="4" w:space="0" w:color="auto"/>
                      <w:bottom w:val="outset" w:sz="4" w:space="0" w:color="auto"/>
                      <w:right w:val="outset" w:sz="4" w:space="0" w:color="auto"/>
                    </w:tcBorders>
                  </w:tcPr>
                  <w:p w14:paraId="286D11A0"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46,407,644.34</w:t>
                    </w:r>
                  </w:p>
                </w:tc>
                <w:tc>
                  <w:tcPr>
                    <w:tcW w:w="996" w:type="pct"/>
                    <w:tcBorders>
                      <w:top w:val="outset" w:sz="4" w:space="0" w:color="auto"/>
                      <w:left w:val="outset" w:sz="4" w:space="0" w:color="auto"/>
                      <w:bottom w:val="outset" w:sz="4" w:space="0" w:color="auto"/>
                      <w:right w:val="outset" w:sz="4" w:space="0" w:color="auto"/>
                    </w:tcBorders>
                  </w:tcPr>
                  <w:p w14:paraId="7B49F499"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46,407,644.34</w:t>
                    </w:r>
                  </w:p>
                </w:tc>
                <w:tc>
                  <w:tcPr>
                    <w:tcW w:w="1166" w:type="pct"/>
                    <w:tcBorders>
                      <w:top w:val="outset" w:sz="4" w:space="0" w:color="auto"/>
                      <w:left w:val="outset" w:sz="4" w:space="0" w:color="auto"/>
                      <w:bottom w:val="outset" w:sz="4" w:space="0" w:color="auto"/>
                      <w:right w:val="outset" w:sz="4" w:space="0" w:color="auto"/>
                    </w:tcBorders>
                  </w:tcPr>
                  <w:p w14:paraId="5F398ABD" w14:textId="1385F19C" w:rsidR="002C402E" w:rsidRPr="009635E0" w:rsidRDefault="002C402E" w:rsidP="002C402E">
                    <w:pPr>
                      <w:jc w:val="right"/>
                      <w:rPr>
                        <w:rFonts w:ascii="Times New Roman" w:hAnsi="Times New Roman" w:cs="Times New Roman"/>
                        <w:szCs w:val="21"/>
                      </w:rPr>
                    </w:pPr>
                    <w:r w:rsidRPr="002E43A7">
                      <w:t>-</w:t>
                    </w:r>
                  </w:p>
                </w:tc>
              </w:tr>
              <w:tr w:rsidR="002C402E" w14:paraId="3F200901" w14:textId="77777777" w:rsidTr="00787374">
                <w:sdt>
                  <w:sdtPr>
                    <w:tag w:val="_PLD_60af60b77da940acae56c08bb05a1240"/>
                    <w:id w:val="1036857137"/>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4EC866D7" w14:textId="77777777" w:rsidR="002C402E" w:rsidRDefault="002C402E" w:rsidP="002C402E">
                        <w:pPr>
                          <w:ind w:firstLineChars="100" w:firstLine="210"/>
                          <w:rPr>
                            <w:szCs w:val="21"/>
                          </w:rPr>
                        </w:pPr>
                        <w:r>
                          <w:rPr>
                            <w:rFonts w:hint="eastAsia"/>
                            <w:szCs w:val="21"/>
                          </w:rPr>
                          <w:t>递延所得税负债</w:t>
                        </w:r>
                      </w:p>
                    </w:tc>
                  </w:sdtContent>
                </w:sdt>
                <w:tc>
                  <w:tcPr>
                    <w:tcW w:w="1152" w:type="pct"/>
                    <w:tcBorders>
                      <w:top w:val="outset" w:sz="4" w:space="0" w:color="auto"/>
                      <w:left w:val="outset" w:sz="4" w:space="0" w:color="auto"/>
                      <w:bottom w:val="outset" w:sz="4" w:space="0" w:color="auto"/>
                      <w:right w:val="outset" w:sz="4" w:space="0" w:color="auto"/>
                    </w:tcBorders>
                  </w:tcPr>
                  <w:p w14:paraId="791E135A"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91,289,189.71</w:t>
                    </w:r>
                  </w:p>
                </w:tc>
                <w:tc>
                  <w:tcPr>
                    <w:tcW w:w="996" w:type="pct"/>
                    <w:tcBorders>
                      <w:top w:val="outset" w:sz="4" w:space="0" w:color="auto"/>
                      <w:left w:val="outset" w:sz="4" w:space="0" w:color="auto"/>
                      <w:bottom w:val="outset" w:sz="4" w:space="0" w:color="auto"/>
                      <w:right w:val="outset" w:sz="4" w:space="0" w:color="auto"/>
                    </w:tcBorders>
                  </w:tcPr>
                  <w:p w14:paraId="11D96E51"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91,289,189.71</w:t>
                    </w:r>
                  </w:p>
                </w:tc>
                <w:tc>
                  <w:tcPr>
                    <w:tcW w:w="1166" w:type="pct"/>
                    <w:tcBorders>
                      <w:top w:val="outset" w:sz="4" w:space="0" w:color="auto"/>
                      <w:left w:val="outset" w:sz="4" w:space="0" w:color="auto"/>
                      <w:bottom w:val="outset" w:sz="4" w:space="0" w:color="auto"/>
                      <w:right w:val="outset" w:sz="4" w:space="0" w:color="auto"/>
                    </w:tcBorders>
                  </w:tcPr>
                  <w:p w14:paraId="5D69CE66" w14:textId="149299F5" w:rsidR="002C402E" w:rsidRPr="009635E0" w:rsidRDefault="002C402E" w:rsidP="002C402E">
                    <w:pPr>
                      <w:jc w:val="right"/>
                      <w:rPr>
                        <w:rFonts w:ascii="Times New Roman" w:hAnsi="Times New Roman" w:cs="Times New Roman"/>
                        <w:szCs w:val="21"/>
                      </w:rPr>
                    </w:pPr>
                    <w:r w:rsidRPr="002E43A7">
                      <w:t>-</w:t>
                    </w:r>
                  </w:p>
                </w:tc>
              </w:tr>
              <w:tr w:rsidR="002C402E" w14:paraId="6F5FE9F9" w14:textId="77777777" w:rsidTr="00787374">
                <w:sdt>
                  <w:sdtPr>
                    <w:tag w:val="_PLD_70c7b2aa7d7a4f77a7e65d8722de302c"/>
                    <w:id w:val="-1936510403"/>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7992C7D0" w14:textId="77777777" w:rsidR="002C402E" w:rsidRDefault="002C402E" w:rsidP="002C402E">
                        <w:pPr>
                          <w:ind w:firstLineChars="200" w:firstLine="420"/>
                          <w:rPr>
                            <w:szCs w:val="21"/>
                          </w:rPr>
                        </w:pPr>
                        <w:r>
                          <w:rPr>
                            <w:rFonts w:hint="eastAsia"/>
                            <w:szCs w:val="21"/>
                          </w:rPr>
                          <w:t>非流动负债合计</w:t>
                        </w:r>
                      </w:p>
                    </w:tc>
                  </w:sdtContent>
                </w:sdt>
                <w:tc>
                  <w:tcPr>
                    <w:tcW w:w="1152" w:type="pct"/>
                    <w:tcBorders>
                      <w:top w:val="outset" w:sz="4" w:space="0" w:color="auto"/>
                      <w:left w:val="outset" w:sz="4" w:space="0" w:color="auto"/>
                      <w:bottom w:val="outset" w:sz="4" w:space="0" w:color="auto"/>
                      <w:right w:val="outset" w:sz="4" w:space="0" w:color="auto"/>
                    </w:tcBorders>
                  </w:tcPr>
                  <w:p w14:paraId="0F087DA9"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352,896,142.13</w:t>
                    </w:r>
                  </w:p>
                </w:tc>
                <w:tc>
                  <w:tcPr>
                    <w:tcW w:w="996" w:type="pct"/>
                    <w:tcBorders>
                      <w:top w:val="outset" w:sz="4" w:space="0" w:color="auto"/>
                      <w:left w:val="outset" w:sz="4" w:space="0" w:color="auto"/>
                      <w:bottom w:val="outset" w:sz="4" w:space="0" w:color="auto"/>
                      <w:right w:val="outset" w:sz="4" w:space="0" w:color="auto"/>
                    </w:tcBorders>
                  </w:tcPr>
                  <w:p w14:paraId="53C9830D"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401,756,301.21</w:t>
                    </w:r>
                  </w:p>
                </w:tc>
                <w:tc>
                  <w:tcPr>
                    <w:tcW w:w="1166" w:type="pct"/>
                    <w:tcBorders>
                      <w:top w:val="outset" w:sz="4" w:space="0" w:color="auto"/>
                      <w:left w:val="outset" w:sz="4" w:space="0" w:color="auto"/>
                      <w:bottom w:val="outset" w:sz="4" w:space="0" w:color="auto"/>
                      <w:right w:val="outset" w:sz="4" w:space="0" w:color="auto"/>
                    </w:tcBorders>
                  </w:tcPr>
                  <w:p w14:paraId="74B56E93"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48,860,159.08</w:t>
                    </w:r>
                  </w:p>
                </w:tc>
              </w:tr>
              <w:tr w:rsidR="002C402E" w14:paraId="23163F96" w14:textId="77777777" w:rsidTr="00787374">
                <w:sdt>
                  <w:sdtPr>
                    <w:tag w:val="_PLD_b5b63f46391c494fa54363a343e3a61a"/>
                    <w:id w:val="1051345889"/>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4D9FD6F0" w14:textId="77777777" w:rsidR="002C402E" w:rsidRDefault="002C402E" w:rsidP="002C402E">
                        <w:pPr>
                          <w:ind w:firstLineChars="300" w:firstLine="630"/>
                          <w:rPr>
                            <w:szCs w:val="21"/>
                          </w:rPr>
                        </w:pPr>
                        <w:r>
                          <w:rPr>
                            <w:rFonts w:hint="eastAsia"/>
                            <w:szCs w:val="21"/>
                          </w:rPr>
                          <w:t>负债合计</w:t>
                        </w:r>
                      </w:p>
                    </w:tc>
                  </w:sdtContent>
                </w:sdt>
                <w:tc>
                  <w:tcPr>
                    <w:tcW w:w="1152" w:type="pct"/>
                    <w:tcBorders>
                      <w:top w:val="outset" w:sz="4" w:space="0" w:color="auto"/>
                      <w:left w:val="outset" w:sz="4" w:space="0" w:color="auto"/>
                      <w:bottom w:val="outset" w:sz="4" w:space="0" w:color="auto"/>
                      <w:right w:val="outset" w:sz="4" w:space="0" w:color="auto"/>
                    </w:tcBorders>
                  </w:tcPr>
                  <w:p w14:paraId="08059B2B"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1,190,840,848.52</w:t>
                    </w:r>
                  </w:p>
                </w:tc>
                <w:tc>
                  <w:tcPr>
                    <w:tcW w:w="996" w:type="pct"/>
                    <w:tcBorders>
                      <w:top w:val="outset" w:sz="4" w:space="0" w:color="auto"/>
                      <w:left w:val="outset" w:sz="4" w:space="0" w:color="auto"/>
                      <w:bottom w:val="outset" w:sz="4" w:space="0" w:color="auto"/>
                      <w:right w:val="outset" w:sz="4" w:space="0" w:color="auto"/>
                    </w:tcBorders>
                  </w:tcPr>
                  <w:p w14:paraId="5A1E7C43"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1,246,245,289.15</w:t>
                    </w:r>
                  </w:p>
                </w:tc>
                <w:tc>
                  <w:tcPr>
                    <w:tcW w:w="1166" w:type="pct"/>
                    <w:tcBorders>
                      <w:top w:val="outset" w:sz="4" w:space="0" w:color="auto"/>
                      <w:left w:val="outset" w:sz="4" w:space="0" w:color="auto"/>
                      <w:bottom w:val="outset" w:sz="4" w:space="0" w:color="auto"/>
                      <w:right w:val="outset" w:sz="4" w:space="0" w:color="auto"/>
                    </w:tcBorders>
                  </w:tcPr>
                  <w:p w14:paraId="5E9206A8"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55,404,440.63</w:t>
                    </w:r>
                  </w:p>
                </w:tc>
              </w:tr>
              <w:tr w:rsidR="002C402E" w14:paraId="2E02D954" w14:textId="77777777" w:rsidTr="00D32D2D">
                <w:sdt>
                  <w:sdtPr>
                    <w:rPr>
                      <w:rFonts w:ascii="Times New Roman" w:hAnsi="Times New Roman" w:cs="Times New Roman"/>
                    </w:rPr>
                    <w:tag w:val="_PLD_e8b17808d1b64bcb8659e50a22f17c53"/>
                    <w:id w:val="161803166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7922E31" w14:textId="77777777" w:rsidR="002C402E" w:rsidRPr="009635E0" w:rsidRDefault="002C402E" w:rsidP="002C402E">
                        <w:pPr>
                          <w:rPr>
                            <w:rFonts w:ascii="Times New Roman" w:hAnsi="Times New Roman" w:cs="Times New Roman"/>
                            <w:szCs w:val="21"/>
                          </w:rPr>
                        </w:pPr>
                        <w:r w:rsidRPr="009635E0">
                          <w:rPr>
                            <w:rFonts w:ascii="Times New Roman" w:hAnsi="Times New Roman" w:cs="Times New Roman"/>
                            <w:b/>
                            <w:bCs/>
                            <w:szCs w:val="21"/>
                          </w:rPr>
                          <w:t>所有者权益（或股东权益）：</w:t>
                        </w:r>
                      </w:p>
                    </w:tc>
                  </w:sdtContent>
                </w:sdt>
              </w:tr>
              <w:tr w:rsidR="002C402E" w14:paraId="2954ECB4" w14:textId="77777777" w:rsidTr="00787374">
                <w:sdt>
                  <w:sdtPr>
                    <w:tag w:val="_PLD_9010fa9626ed4c1786f7a701883f8faf"/>
                    <w:id w:val="-4753676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3E5848F4" w14:textId="77777777" w:rsidR="002C402E" w:rsidRDefault="002C402E" w:rsidP="002C402E">
                        <w:pPr>
                          <w:ind w:firstLineChars="100" w:firstLine="210"/>
                          <w:rPr>
                            <w:szCs w:val="21"/>
                          </w:rPr>
                        </w:pPr>
                        <w:r>
                          <w:rPr>
                            <w:rFonts w:hint="eastAsia"/>
                            <w:szCs w:val="21"/>
                          </w:rPr>
                          <w:t>实收资本（或股本）</w:t>
                        </w:r>
                      </w:p>
                    </w:tc>
                  </w:sdtContent>
                </w:sdt>
                <w:tc>
                  <w:tcPr>
                    <w:tcW w:w="1152" w:type="pct"/>
                    <w:tcBorders>
                      <w:top w:val="outset" w:sz="4" w:space="0" w:color="auto"/>
                      <w:left w:val="outset" w:sz="4" w:space="0" w:color="auto"/>
                      <w:bottom w:val="outset" w:sz="4" w:space="0" w:color="auto"/>
                      <w:right w:val="outset" w:sz="4" w:space="0" w:color="auto"/>
                    </w:tcBorders>
                  </w:tcPr>
                  <w:p w14:paraId="5BF37F85"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521,780,000.00</w:t>
                    </w:r>
                  </w:p>
                </w:tc>
                <w:tc>
                  <w:tcPr>
                    <w:tcW w:w="996" w:type="pct"/>
                    <w:tcBorders>
                      <w:top w:val="outset" w:sz="4" w:space="0" w:color="auto"/>
                      <w:left w:val="outset" w:sz="4" w:space="0" w:color="auto"/>
                      <w:bottom w:val="outset" w:sz="4" w:space="0" w:color="auto"/>
                      <w:right w:val="outset" w:sz="4" w:space="0" w:color="auto"/>
                    </w:tcBorders>
                  </w:tcPr>
                  <w:p w14:paraId="27700B14"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521,780,000.00</w:t>
                    </w:r>
                  </w:p>
                </w:tc>
                <w:tc>
                  <w:tcPr>
                    <w:tcW w:w="1166" w:type="pct"/>
                    <w:tcBorders>
                      <w:top w:val="outset" w:sz="4" w:space="0" w:color="auto"/>
                      <w:left w:val="outset" w:sz="4" w:space="0" w:color="auto"/>
                      <w:bottom w:val="outset" w:sz="4" w:space="0" w:color="auto"/>
                      <w:right w:val="outset" w:sz="4" w:space="0" w:color="auto"/>
                    </w:tcBorders>
                  </w:tcPr>
                  <w:p w14:paraId="1065B81D" w14:textId="1EFA80C5" w:rsidR="002C402E" w:rsidRPr="009635E0" w:rsidRDefault="002C402E" w:rsidP="002C402E">
                    <w:pPr>
                      <w:jc w:val="right"/>
                      <w:rPr>
                        <w:rFonts w:ascii="Times New Roman" w:hAnsi="Times New Roman" w:cs="Times New Roman"/>
                        <w:szCs w:val="21"/>
                      </w:rPr>
                    </w:pPr>
                    <w:r w:rsidRPr="00762866">
                      <w:t>-</w:t>
                    </w:r>
                  </w:p>
                </w:tc>
              </w:tr>
              <w:tr w:rsidR="002C402E" w14:paraId="7C8118F5" w14:textId="77777777" w:rsidTr="00787374">
                <w:sdt>
                  <w:sdtPr>
                    <w:tag w:val="_PLD_67b70496c75d40f19a3cf648170a89dc"/>
                    <w:id w:val="-9298003"/>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104B89AE" w14:textId="77777777" w:rsidR="002C402E" w:rsidRDefault="002C402E" w:rsidP="002C402E">
                        <w:pPr>
                          <w:ind w:firstLineChars="100" w:firstLine="210"/>
                          <w:rPr>
                            <w:szCs w:val="21"/>
                          </w:rPr>
                        </w:pPr>
                        <w:r>
                          <w:rPr>
                            <w:rFonts w:hint="eastAsia"/>
                            <w:szCs w:val="21"/>
                          </w:rPr>
                          <w:t>资本公积</w:t>
                        </w:r>
                      </w:p>
                    </w:tc>
                  </w:sdtContent>
                </w:sdt>
                <w:tc>
                  <w:tcPr>
                    <w:tcW w:w="1152" w:type="pct"/>
                    <w:tcBorders>
                      <w:top w:val="outset" w:sz="4" w:space="0" w:color="auto"/>
                      <w:left w:val="outset" w:sz="4" w:space="0" w:color="auto"/>
                      <w:bottom w:val="outset" w:sz="4" w:space="0" w:color="auto"/>
                      <w:right w:val="outset" w:sz="4" w:space="0" w:color="auto"/>
                    </w:tcBorders>
                  </w:tcPr>
                  <w:p w14:paraId="3CED945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2,009,304,318.01</w:t>
                    </w:r>
                  </w:p>
                </w:tc>
                <w:tc>
                  <w:tcPr>
                    <w:tcW w:w="996" w:type="pct"/>
                    <w:tcBorders>
                      <w:top w:val="outset" w:sz="4" w:space="0" w:color="auto"/>
                      <w:left w:val="outset" w:sz="4" w:space="0" w:color="auto"/>
                      <w:bottom w:val="outset" w:sz="4" w:space="0" w:color="auto"/>
                      <w:right w:val="outset" w:sz="4" w:space="0" w:color="auto"/>
                    </w:tcBorders>
                  </w:tcPr>
                  <w:p w14:paraId="01609AAC"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2,009,304,318.01</w:t>
                    </w:r>
                  </w:p>
                </w:tc>
                <w:tc>
                  <w:tcPr>
                    <w:tcW w:w="1166" w:type="pct"/>
                    <w:tcBorders>
                      <w:top w:val="outset" w:sz="4" w:space="0" w:color="auto"/>
                      <w:left w:val="outset" w:sz="4" w:space="0" w:color="auto"/>
                      <w:bottom w:val="outset" w:sz="4" w:space="0" w:color="auto"/>
                      <w:right w:val="outset" w:sz="4" w:space="0" w:color="auto"/>
                    </w:tcBorders>
                  </w:tcPr>
                  <w:p w14:paraId="721A782C" w14:textId="580A7DB9" w:rsidR="002C402E" w:rsidRPr="009635E0" w:rsidRDefault="002C402E" w:rsidP="002C402E">
                    <w:pPr>
                      <w:jc w:val="right"/>
                      <w:rPr>
                        <w:rFonts w:ascii="Times New Roman" w:hAnsi="Times New Roman" w:cs="Times New Roman"/>
                        <w:szCs w:val="21"/>
                      </w:rPr>
                    </w:pPr>
                    <w:r w:rsidRPr="00762866">
                      <w:t>-</w:t>
                    </w:r>
                  </w:p>
                </w:tc>
              </w:tr>
              <w:tr w:rsidR="002C402E" w14:paraId="2CFDD3D6" w14:textId="77777777" w:rsidTr="00787374">
                <w:sdt>
                  <w:sdtPr>
                    <w:tag w:val="_PLD_f8576e43e2ba482da272b161656c0523"/>
                    <w:id w:val="1003475191"/>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94476DC" w14:textId="77777777" w:rsidR="002C402E" w:rsidRDefault="002C402E" w:rsidP="002C402E">
                        <w:pPr>
                          <w:ind w:firstLineChars="100" w:firstLine="210"/>
                          <w:rPr>
                            <w:szCs w:val="21"/>
                          </w:rPr>
                        </w:pPr>
                        <w:r>
                          <w:rPr>
                            <w:rFonts w:hint="eastAsia"/>
                            <w:szCs w:val="21"/>
                          </w:rPr>
                          <w:t>其他综合收益</w:t>
                        </w:r>
                      </w:p>
                    </w:tc>
                  </w:sdtContent>
                </w:sdt>
                <w:tc>
                  <w:tcPr>
                    <w:tcW w:w="1152" w:type="pct"/>
                    <w:tcBorders>
                      <w:top w:val="outset" w:sz="4" w:space="0" w:color="auto"/>
                      <w:left w:val="outset" w:sz="4" w:space="0" w:color="auto"/>
                      <w:bottom w:val="outset" w:sz="4" w:space="0" w:color="auto"/>
                      <w:right w:val="outset" w:sz="4" w:space="0" w:color="auto"/>
                    </w:tcBorders>
                  </w:tcPr>
                  <w:p w14:paraId="0290D12F"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-86,283,221.34</w:t>
                    </w:r>
                  </w:p>
                </w:tc>
                <w:tc>
                  <w:tcPr>
                    <w:tcW w:w="996" w:type="pct"/>
                    <w:tcBorders>
                      <w:top w:val="outset" w:sz="4" w:space="0" w:color="auto"/>
                      <w:left w:val="outset" w:sz="4" w:space="0" w:color="auto"/>
                      <w:bottom w:val="outset" w:sz="4" w:space="0" w:color="auto"/>
                      <w:right w:val="outset" w:sz="4" w:space="0" w:color="auto"/>
                    </w:tcBorders>
                  </w:tcPr>
                  <w:p w14:paraId="08B5A3D6"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-86,283,221.34</w:t>
                    </w:r>
                  </w:p>
                </w:tc>
                <w:tc>
                  <w:tcPr>
                    <w:tcW w:w="1166" w:type="pct"/>
                    <w:tcBorders>
                      <w:top w:val="outset" w:sz="4" w:space="0" w:color="auto"/>
                      <w:left w:val="outset" w:sz="4" w:space="0" w:color="auto"/>
                      <w:bottom w:val="outset" w:sz="4" w:space="0" w:color="auto"/>
                      <w:right w:val="outset" w:sz="4" w:space="0" w:color="auto"/>
                    </w:tcBorders>
                  </w:tcPr>
                  <w:p w14:paraId="3B5AFF38" w14:textId="214B3CB6" w:rsidR="002C402E" w:rsidRPr="009635E0" w:rsidRDefault="002C402E" w:rsidP="002C402E">
                    <w:pPr>
                      <w:jc w:val="right"/>
                      <w:rPr>
                        <w:rFonts w:ascii="Times New Roman" w:hAnsi="Times New Roman" w:cs="Times New Roman"/>
                        <w:szCs w:val="21"/>
                      </w:rPr>
                    </w:pPr>
                    <w:r w:rsidRPr="00762866">
                      <w:t>-</w:t>
                    </w:r>
                  </w:p>
                </w:tc>
              </w:tr>
              <w:tr w:rsidR="002C402E" w14:paraId="565F8937" w14:textId="77777777" w:rsidTr="00787374">
                <w:sdt>
                  <w:sdtPr>
                    <w:tag w:val="_PLD_f00af6e50b2746e6a098293b64c1d537"/>
                    <w:id w:val="-893424256"/>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A08A93B" w14:textId="77777777" w:rsidR="002C402E" w:rsidRDefault="002C402E" w:rsidP="002C402E">
                        <w:pPr>
                          <w:ind w:firstLineChars="100" w:firstLine="210"/>
                          <w:rPr>
                            <w:szCs w:val="21"/>
                          </w:rPr>
                        </w:pPr>
                        <w:r>
                          <w:rPr>
                            <w:rFonts w:hint="eastAsia"/>
                            <w:szCs w:val="21"/>
                          </w:rPr>
                          <w:t>盈余公积</w:t>
                        </w:r>
                      </w:p>
                    </w:tc>
                  </w:sdtContent>
                </w:sdt>
                <w:tc>
                  <w:tcPr>
                    <w:tcW w:w="1152" w:type="pct"/>
                    <w:tcBorders>
                      <w:top w:val="outset" w:sz="4" w:space="0" w:color="auto"/>
                      <w:left w:val="outset" w:sz="4" w:space="0" w:color="auto"/>
                      <w:bottom w:val="outset" w:sz="4" w:space="0" w:color="auto"/>
                      <w:right w:val="outset" w:sz="4" w:space="0" w:color="auto"/>
                    </w:tcBorders>
                  </w:tcPr>
                  <w:p w14:paraId="69512D46"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10,122,906.55</w:t>
                    </w:r>
                  </w:p>
                </w:tc>
                <w:tc>
                  <w:tcPr>
                    <w:tcW w:w="996" w:type="pct"/>
                    <w:tcBorders>
                      <w:top w:val="outset" w:sz="4" w:space="0" w:color="auto"/>
                      <w:left w:val="outset" w:sz="4" w:space="0" w:color="auto"/>
                      <w:bottom w:val="outset" w:sz="4" w:space="0" w:color="auto"/>
                      <w:right w:val="outset" w:sz="4" w:space="0" w:color="auto"/>
                    </w:tcBorders>
                  </w:tcPr>
                  <w:p w14:paraId="6A42C565"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10,122,906.55</w:t>
                    </w:r>
                  </w:p>
                </w:tc>
                <w:tc>
                  <w:tcPr>
                    <w:tcW w:w="1166" w:type="pct"/>
                    <w:tcBorders>
                      <w:top w:val="outset" w:sz="4" w:space="0" w:color="auto"/>
                      <w:left w:val="outset" w:sz="4" w:space="0" w:color="auto"/>
                      <w:bottom w:val="outset" w:sz="4" w:space="0" w:color="auto"/>
                      <w:right w:val="outset" w:sz="4" w:space="0" w:color="auto"/>
                    </w:tcBorders>
                  </w:tcPr>
                  <w:p w14:paraId="1E9BB445" w14:textId="604CCCB8" w:rsidR="002C402E" w:rsidRPr="009635E0" w:rsidRDefault="002C402E" w:rsidP="002C402E">
                    <w:pPr>
                      <w:jc w:val="right"/>
                      <w:rPr>
                        <w:rFonts w:ascii="Times New Roman" w:hAnsi="Times New Roman" w:cs="Times New Roman"/>
                        <w:szCs w:val="21"/>
                      </w:rPr>
                    </w:pPr>
                    <w:r w:rsidRPr="00762866">
                      <w:t>-</w:t>
                    </w:r>
                  </w:p>
                </w:tc>
              </w:tr>
              <w:tr w:rsidR="002C402E" w14:paraId="64B0817F" w14:textId="77777777" w:rsidTr="00787374">
                <w:sdt>
                  <w:sdtPr>
                    <w:tag w:val="_PLD_69e49e8e03b24f49a4f7055dd6cfe7af"/>
                    <w:id w:val="134455057"/>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0007FAD0" w14:textId="77777777" w:rsidR="002C402E" w:rsidRDefault="002C402E" w:rsidP="002C402E">
                        <w:pPr>
                          <w:ind w:firstLineChars="100" w:firstLine="210"/>
                          <w:rPr>
                            <w:szCs w:val="21"/>
                          </w:rPr>
                        </w:pPr>
                        <w:r>
                          <w:rPr>
                            <w:rFonts w:hint="eastAsia"/>
                            <w:szCs w:val="21"/>
                          </w:rPr>
                          <w:t>未分配利润</w:t>
                        </w:r>
                      </w:p>
                    </w:tc>
                  </w:sdtContent>
                </w:sdt>
                <w:tc>
                  <w:tcPr>
                    <w:tcW w:w="1152" w:type="pct"/>
                    <w:tcBorders>
                      <w:top w:val="outset" w:sz="4" w:space="0" w:color="auto"/>
                      <w:left w:val="outset" w:sz="4" w:space="0" w:color="auto"/>
                      <w:bottom w:val="outset" w:sz="4" w:space="0" w:color="auto"/>
                      <w:right w:val="outset" w:sz="4" w:space="0" w:color="auto"/>
                    </w:tcBorders>
                  </w:tcPr>
                  <w:p w14:paraId="4D2D9C6F"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-345,488,092.53</w:t>
                    </w:r>
                  </w:p>
                </w:tc>
                <w:tc>
                  <w:tcPr>
                    <w:tcW w:w="996" w:type="pct"/>
                    <w:tcBorders>
                      <w:top w:val="outset" w:sz="4" w:space="0" w:color="auto"/>
                      <w:left w:val="outset" w:sz="4" w:space="0" w:color="auto"/>
                      <w:bottom w:val="outset" w:sz="4" w:space="0" w:color="auto"/>
                      <w:right w:val="outset" w:sz="4" w:space="0" w:color="auto"/>
                    </w:tcBorders>
                  </w:tcPr>
                  <w:p w14:paraId="69D721DE"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-345,488,092.53</w:t>
                    </w:r>
                  </w:p>
                </w:tc>
                <w:tc>
                  <w:tcPr>
                    <w:tcW w:w="1166" w:type="pct"/>
                    <w:tcBorders>
                      <w:top w:val="outset" w:sz="4" w:space="0" w:color="auto"/>
                      <w:left w:val="outset" w:sz="4" w:space="0" w:color="auto"/>
                      <w:bottom w:val="outset" w:sz="4" w:space="0" w:color="auto"/>
                      <w:right w:val="outset" w:sz="4" w:space="0" w:color="auto"/>
                    </w:tcBorders>
                  </w:tcPr>
                  <w:p w14:paraId="7D3B3D6D" w14:textId="7CCC0779" w:rsidR="002C402E" w:rsidRPr="009635E0" w:rsidRDefault="002C402E" w:rsidP="002C402E">
                    <w:pPr>
                      <w:jc w:val="right"/>
                      <w:rPr>
                        <w:rFonts w:ascii="Times New Roman" w:hAnsi="Times New Roman" w:cs="Times New Roman"/>
                        <w:szCs w:val="21"/>
                      </w:rPr>
                    </w:pPr>
                    <w:r w:rsidRPr="00762866">
                      <w:t>-</w:t>
                    </w:r>
                  </w:p>
                </w:tc>
              </w:tr>
              <w:tr w:rsidR="002C402E" w14:paraId="233824CB" w14:textId="77777777" w:rsidTr="00787374">
                <w:sdt>
                  <w:sdtPr>
                    <w:tag w:val="_PLD_51025073495f439fbd66352253d45d1a"/>
                    <w:id w:val="-1497339085"/>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6264CB90" w14:textId="77777777" w:rsidR="002C402E" w:rsidRDefault="002C402E" w:rsidP="002C402E">
                        <w:pPr>
                          <w:ind w:firstLineChars="100" w:firstLine="210"/>
                          <w:rPr>
                            <w:szCs w:val="21"/>
                          </w:rPr>
                        </w:pPr>
                        <w:r>
                          <w:rPr>
                            <w:rFonts w:hint="eastAsia"/>
                            <w:szCs w:val="21"/>
                          </w:rPr>
                          <w:t>归属于母公司所有者权益（或股东权益）合计</w:t>
                        </w:r>
                      </w:p>
                    </w:tc>
                  </w:sdtContent>
                </w:sdt>
                <w:tc>
                  <w:tcPr>
                    <w:tcW w:w="1152" w:type="pct"/>
                    <w:tcBorders>
                      <w:top w:val="outset" w:sz="4" w:space="0" w:color="auto"/>
                      <w:left w:val="outset" w:sz="4" w:space="0" w:color="auto"/>
                      <w:bottom w:val="outset" w:sz="4" w:space="0" w:color="auto"/>
                      <w:right w:val="outset" w:sz="4" w:space="0" w:color="auto"/>
                    </w:tcBorders>
                  </w:tcPr>
                  <w:p w14:paraId="4FE238C4"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2,109,435,910.69</w:t>
                    </w:r>
                  </w:p>
                </w:tc>
                <w:tc>
                  <w:tcPr>
                    <w:tcW w:w="996" w:type="pct"/>
                    <w:tcBorders>
                      <w:top w:val="outset" w:sz="4" w:space="0" w:color="auto"/>
                      <w:left w:val="outset" w:sz="4" w:space="0" w:color="auto"/>
                      <w:bottom w:val="outset" w:sz="4" w:space="0" w:color="auto"/>
                      <w:right w:val="outset" w:sz="4" w:space="0" w:color="auto"/>
                    </w:tcBorders>
                  </w:tcPr>
                  <w:p w14:paraId="34A88ECC"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2,109,435,910.69</w:t>
                    </w:r>
                  </w:p>
                </w:tc>
                <w:tc>
                  <w:tcPr>
                    <w:tcW w:w="1166" w:type="pct"/>
                    <w:tcBorders>
                      <w:top w:val="outset" w:sz="4" w:space="0" w:color="auto"/>
                      <w:left w:val="outset" w:sz="4" w:space="0" w:color="auto"/>
                      <w:bottom w:val="outset" w:sz="4" w:space="0" w:color="auto"/>
                      <w:right w:val="outset" w:sz="4" w:space="0" w:color="auto"/>
                    </w:tcBorders>
                  </w:tcPr>
                  <w:p w14:paraId="417AE88C" w14:textId="3A47B567" w:rsidR="002C402E" w:rsidRPr="009635E0" w:rsidRDefault="002C402E" w:rsidP="002C402E">
                    <w:pPr>
                      <w:jc w:val="right"/>
                      <w:rPr>
                        <w:rFonts w:ascii="Times New Roman" w:hAnsi="Times New Roman" w:cs="Times New Roman"/>
                        <w:szCs w:val="21"/>
                      </w:rPr>
                    </w:pPr>
                    <w:r w:rsidRPr="00762866">
                      <w:t>-</w:t>
                    </w:r>
                  </w:p>
                </w:tc>
              </w:tr>
              <w:tr w:rsidR="002C402E" w14:paraId="2D30349E" w14:textId="77777777" w:rsidTr="00787374">
                <w:sdt>
                  <w:sdtPr>
                    <w:tag w:val="_PLD_9e2a49afb3b740edb7325551ffea197e"/>
                    <w:id w:val="36251274"/>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3BE842BC" w14:textId="77777777" w:rsidR="002C402E" w:rsidRDefault="002C402E" w:rsidP="002C402E">
                        <w:pPr>
                          <w:ind w:firstLineChars="100" w:firstLine="210"/>
                          <w:rPr>
                            <w:szCs w:val="21"/>
                          </w:rPr>
                        </w:pPr>
                        <w:r>
                          <w:rPr>
                            <w:rFonts w:hint="eastAsia"/>
                            <w:szCs w:val="21"/>
                          </w:rPr>
                          <w:t>少数股东权益</w:t>
                        </w:r>
                      </w:p>
                    </w:tc>
                  </w:sdtContent>
                </w:sdt>
                <w:tc>
                  <w:tcPr>
                    <w:tcW w:w="1152" w:type="pct"/>
                    <w:tcBorders>
                      <w:top w:val="outset" w:sz="4" w:space="0" w:color="auto"/>
                      <w:left w:val="outset" w:sz="4" w:space="0" w:color="auto"/>
                      <w:bottom w:val="outset" w:sz="4" w:space="0" w:color="auto"/>
                      <w:right w:val="outset" w:sz="4" w:space="0" w:color="auto"/>
                    </w:tcBorders>
                  </w:tcPr>
                  <w:p w14:paraId="5854E89B"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7,056,143.09</w:t>
                    </w:r>
                  </w:p>
                </w:tc>
                <w:tc>
                  <w:tcPr>
                    <w:tcW w:w="996" w:type="pct"/>
                    <w:tcBorders>
                      <w:top w:val="outset" w:sz="4" w:space="0" w:color="auto"/>
                      <w:left w:val="outset" w:sz="4" w:space="0" w:color="auto"/>
                      <w:bottom w:val="outset" w:sz="4" w:space="0" w:color="auto"/>
                      <w:right w:val="outset" w:sz="4" w:space="0" w:color="auto"/>
                    </w:tcBorders>
                  </w:tcPr>
                  <w:p w14:paraId="4C6C78FF"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7,056,143.09</w:t>
                    </w:r>
                  </w:p>
                </w:tc>
                <w:tc>
                  <w:tcPr>
                    <w:tcW w:w="1166" w:type="pct"/>
                    <w:tcBorders>
                      <w:top w:val="outset" w:sz="4" w:space="0" w:color="auto"/>
                      <w:left w:val="outset" w:sz="4" w:space="0" w:color="auto"/>
                      <w:bottom w:val="outset" w:sz="4" w:space="0" w:color="auto"/>
                      <w:right w:val="outset" w:sz="4" w:space="0" w:color="auto"/>
                    </w:tcBorders>
                  </w:tcPr>
                  <w:p w14:paraId="786A9DAF" w14:textId="6C07016A" w:rsidR="002C402E" w:rsidRPr="009635E0" w:rsidRDefault="002C402E" w:rsidP="002C402E">
                    <w:pPr>
                      <w:jc w:val="right"/>
                      <w:rPr>
                        <w:rFonts w:ascii="Times New Roman" w:hAnsi="Times New Roman" w:cs="Times New Roman"/>
                        <w:szCs w:val="21"/>
                      </w:rPr>
                    </w:pPr>
                    <w:r w:rsidRPr="00762866">
                      <w:t>-</w:t>
                    </w:r>
                  </w:p>
                </w:tc>
              </w:tr>
              <w:tr w:rsidR="002C402E" w14:paraId="281834A8" w14:textId="77777777" w:rsidTr="00787374">
                <w:sdt>
                  <w:sdtPr>
                    <w:tag w:val="_PLD_c8a5be1c81bf40a0b01cb817c0b0e1b9"/>
                    <w:id w:val="357624402"/>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2D5F568F" w14:textId="77777777" w:rsidR="002C402E" w:rsidRDefault="002C402E" w:rsidP="002C402E">
                        <w:pPr>
                          <w:ind w:firstLineChars="200" w:firstLine="420"/>
                          <w:rPr>
                            <w:szCs w:val="21"/>
                          </w:rPr>
                        </w:pPr>
                        <w:r>
                          <w:rPr>
                            <w:rFonts w:hint="eastAsia"/>
                            <w:szCs w:val="21"/>
                          </w:rPr>
                          <w:t>所有者权益（或股东权益）合计</w:t>
                        </w:r>
                      </w:p>
                    </w:tc>
                  </w:sdtContent>
                </w:sdt>
                <w:tc>
                  <w:tcPr>
                    <w:tcW w:w="1152" w:type="pct"/>
                    <w:tcBorders>
                      <w:top w:val="outset" w:sz="4" w:space="0" w:color="auto"/>
                      <w:left w:val="outset" w:sz="4" w:space="0" w:color="auto"/>
                      <w:bottom w:val="outset" w:sz="4" w:space="0" w:color="auto"/>
                      <w:right w:val="outset" w:sz="4" w:space="0" w:color="auto"/>
                    </w:tcBorders>
                  </w:tcPr>
                  <w:p w14:paraId="3D887887"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2,116,492,053.78</w:t>
                    </w:r>
                  </w:p>
                </w:tc>
                <w:tc>
                  <w:tcPr>
                    <w:tcW w:w="996" w:type="pct"/>
                    <w:tcBorders>
                      <w:top w:val="outset" w:sz="4" w:space="0" w:color="auto"/>
                      <w:left w:val="outset" w:sz="4" w:space="0" w:color="auto"/>
                      <w:bottom w:val="outset" w:sz="4" w:space="0" w:color="auto"/>
                      <w:right w:val="outset" w:sz="4" w:space="0" w:color="auto"/>
                    </w:tcBorders>
                  </w:tcPr>
                  <w:p w14:paraId="37849EF2"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2,116,492,053.78</w:t>
                    </w:r>
                  </w:p>
                </w:tc>
                <w:tc>
                  <w:tcPr>
                    <w:tcW w:w="1166" w:type="pct"/>
                    <w:tcBorders>
                      <w:top w:val="outset" w:sz="4" w:space="0" w:color="auto"/>
                      <w:left w:val="outset" w:sz="4" w:space="0" w:color="auto"/>
                      <w:bottom w:val="outset" w:sz="4" w:space="0" w:color="auto"/>
                      <w:right w:val="outset" w:sz="4" w:space="0" w:color="auto"/>
                    </w:tcBorders>
                  </w:tcPr>
                  <w:p w14:paraId="75D283D3" w14:textId="63CE26E8" w:rsidR="002C402E" w:rsidRPr="009635E0" w:rsidRDefault="002C402E" w:rsidP="002C402E">
                    <w:pPr>
                      <w:jc w:val="right"/>
                      <w:rPr>
                        <w:rFonts w:ascii="Times New Roman" w:hAnsi="Times New Roman" w:cs="Times New Roman"/>
                        <w:szCs w:val="21"/>
                      </w:rPr>
                    </w:pPr>
                    <w:r w:rsidRPr="00762866">
                      <w:t>-</w:t>
                    </w:r>
                  </w:p>
                </w:tc>
              </w:tr>
              <w:tr w:rsidR="002C402E" w14:paraId="79694D9D" w14:textId="77777777" w:rsidTr="00787374">
                <w:sdt>
                  <w:sdtPr>
                    <w:tag w:val="_PLD_bd6eda07bb8b42c19118fdb7c86bb62b"/>
                    <w:id w:val="478356513"/>
                    <w:lock w:val="sdtLocked"/>
                  </w:sdtPr>
                  <w:sdtEndPr/>
                  <w:sdtContent>
                    <w:tc>
                      <w:tcPr>
                        <w:tcW w:w="1686" w:type="pct"/>
                        <w:tcBorders>
                          <w:top w:val="outset" w:sz="4" w:space="0" w:color="auto"/>
                          <w:left w:val="outset" w:sz="4" w:space="0" w:color="auto"/>
                          <w:bottom w:val="outset" w:sz="4" w:space="0" w:color="auto"/>
                          <w:right w:val="outset" w:sz="4" w:space="0" w:color="auto"/>
                        </w:tcBorders>
                        <w:vAlign w:val="center"/>
                      </w:tcPr>
                      <w:p w14:paraId="43A8E660" w14:textId="77777777" w:rsidR="002C402E" w:rsidRDefault="002C402E" w:rsidP="002C402E">
                        <w:pPr>
                          <w:ind w:firstLineChars="300" w:firstLine="630"/>
                          <w:rPr>
                            <w:szCs w:val="21"/>
                          </w:rPr>
                        </w:pPr>
                        <w:r>
                          <w:rPr>
                            <w:rFonts w:hint="eastAsia"/>
                            <w:szCs w:val="21"/>
                          </w:rPr>
                          <w:t>负债和所有者权益（或股东权益）总计</w:t>
                        </w:r>
                      </w:p>
                    </w:tc>
                  </w:sdtContent>
                </w:sdt>
                <w:tc>
                  <w:tcPr>
                    <w:tcW w:w="1152" w:type="pct"/>
                    <w:tcBorders>
                      <w:top w:val="outset" w:sz="4" w:space="0" w:color="auto"/>
                      <w:left w:val="outset" w:sz="4" w:space="0" w:color="auto"/>
                      <w:bottom w:val="outset" w:sz="4" w:space="0" w:color="auto"/>
                      <w:right w:val="outset" w:sz="4" w:space="0" w:color="auto"/>
                    </w:tcBorders>
                  </w:tcPr>
                  <w:p w14:paraId="419AC671"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3,307,332,902.30</w:t>
                    </w:r>
                  </w:p>
                </w:tc>
                <w:tc>
                  <w:tcPr>
                    <w:tcW w:w="996" w:type="pct"/>
                    <w:tcBorders>
                      <w:top w:val="outset" w:sz="4" w:space="0" w:color="auto"/>
                      <w:left w:val="outset" w:sz="4" w:space="0" w:color="auto"/>
                      <w:bottom w:val="outset" w:sz="4" w:space="0" w:color="auto"/>
                      <w:right w:val="outset" w:sz="4" w:space="0" w:color="auto"/>
                    </w:tcBorders>
                  </w:tcPr>
                  <w:p w14:paraId="69BBC786"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szCs w:val="21"/>
                      </w:rPr>
                      <w:t>3,362,737,342.93</w:t>
                    </w:r>
                  </w:p>
                </w:tc>
                <w:tc>
                  <w:tcPr>
                    <w:tcW w:w="1166" w:type="pct"/>
                    <w:tcBorders>
                      <w:top w:val="outset" w:sz="4" w:space="0" w:color="auto"/>
                      <w:left w:val="outset" w:sz="4" w:space="0" w:color="auto"/>
                      <w:bottom w:val="outset" w:sz="4" w:space="0" w:color="auto"/>
                      <w:right w:val="outset" w:sz="4" w:space="0" w:color="auto"/>
                    </w:tcBorders>
                  </w:tcPr>
                  <w:p w14:paraId="63E23DCA" w14:textId="77777777" w:rsidR="002C402E" w:rsidRPr="009635E0" w:rsidRDefault="002C402E" w:rsidP="002C402E">
                    <w:pPr>
                      <w:jc w:val="right"/>
                      <w:rPr>
                        <w:rFonts w:ascii="Times New Roman" w:hAnsi="Times New Roman" w:cs="Times New Roman"/>
                        <w:szCs w:val="21"/>
                      </w:rPr>
                    </w:pPr>
                    <w:r w:rsidRPr="009635E0">
                      <w:rPr>
                        <w:rFonts w:ascii="Times New Roman" w:hAnsi="Times New Roman" w:cs="Times New Roman"/>
                      </w:rPr>
                      <w:t>55,404,440.63</w:t>
                    </w:r>
                  </w:p>
                </w:tc>
              </w:tr>
            </w:tbl>
            <w:p w14:paraId="57D37B11" w14:textId="77777777" w:rsidR="009635E0" w:rsidRDefault="009635E0"/>
            <w:p w14:paraId="67251EE7" w14:textId="77777777" w:rsidR="009635E0" w:rsidRDefault="009635E0">
              <w:pPr>
                <w:rPr>
                  <w:szCs w:val="21"/>
                </w:rPr>
              </w:pPr>
              <w:r>
                <w:rPr>
                  <w:rFonts w:hint="eastAsia"/>
                  <w:szCs w:val="21"/>
                </w:rPr>
                <w:t>各项目调整情况的说明：</w:t>
              </w:r>
            </w:p>
            <w:sdt>
              <w:sdtPr>
                <w:alias w:val="是否适用：资产负债表各项目调整情况的说明[双击切换]"/>
                <w:tag w:val="_GBC_78cdedcde0e54953bd93f6d9bfb220a2"/>
                <w:id w:val="-557329981"/>
                <w:lock w:val="sdtLocked"/>
              </w:sdtPr>
              <w:sdtEndPr/>
              <w:sdtContent>
                <w:p w14:paraId="50C09A95" w14:textId="6EC91BC0" w:rsidR="009635E0" w:rsidRDefault="009635E0" w:rsidP="009635E0">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Content>
        </w:sdt>
        <w:p w14:paraId="07F71F72" w14:textId="77777777" w:rsidR="009635E0" w:rsidRDefault="009635E0"/>
        <w:sdt>
          <w:sdtPr>
            <w:rPr>
              <w:rFonts w:hint="eastAsia"/>
            </w:rPr>
            <w:tag w:val="_SEC_42ac31f2b4fa4fd6a9f6f2a4dec4d231"/>
            <w:id w:val="-1699693057"/>
            <w:lock w:val="sdtLocked"/>
            <w:placeholder>
              <w:docPart w:val="304C43BCF33141239166530FE418699A"/>
            </w:placeholder>
          </w:sdtPr>
          <w:sdtEndPr>
            <w:rPr>
              <w:szCs w:val="21"/>
            </w:rPr>
          </w:sdtEndPr>
          <w:sdtContent>
            <w:p w14:paraId="2E7E1FAC" w14:textId="77777777" w:rsidR="009635E0" w:rsidRDefault="009635E0">
              <w:pPr>
                <w:jc w:val="center"/>
              </w:pPr>
              <w:r>
                <w:rPr>
                  <w:rFonts w:hint="eastAsia"/>
                </w:rPr>
                <w:t>母公司</w:t>
              </w:r>
              <w:r>
                <w:t>资产负债表</w:t>
              </w:r>
            </w:p>
            <w:p w14:paraId="3791D95C" w14:textId="77777777" w:rsidR="009635E0" w:rsidRDefault="009635E0">
              <w:pPr>
                <w:jc w:val="right"/>
                <w:rPr>
                  <w:szCs w:val="21"/>
                </w:rPr>
              </w:pPr>
              <w:r>
                <w:rPr>
                  <w:rFonts w:hint="eastAsia"/>
                  <w:szCs w:val="21"/>
                </w:rPr>
                <w:t xml:space="preserve"> </w:t>
              </w:r>
              <w:r>
                <w:rPr>
                  <w:szCs w:val="21"/>
                </w:rPr>
                <w:t xml:space="preserve">      单位:</w:t>
              </w:r>
              <w:sdt>
                <w:sdtPr>
                  <w:rPr>
                    <w:szCs w:val="21"/>
                  </w:rPr>
                  <w:alias w:val="单位：母公司资产负债表"/>
                  <w:tag w:val="_GBC_12bdcba29eb54af2b8443a5d65e13487"/>
                  <w:id w:val="-4288895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资产负债表"/>
                  <w:tag w:val="_GBC_5ae5b2f3e4c64e05b223351f52f762b8"/>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1"/>
                <w:gridCol w:w="2116"/>
                <w:gridCol w:w="1796"/>
                <w:gridCol w:w="2080"/>
              </w:tblGrid>
              <w:tr w:rsidR="00F066B5" w14:paraId="48C0CAB8" w14:textId="77777777" w:rsidTr="00180AE1">
                <w:trPr>
                  <w:cantSplit/>
                </w:trPr>
                <w:sdt>
                  <w:sdtPr>
                    <w:tag w:val="_PLD_1862792538844cfebbd7412e518cc3a1"/>
                    <w:id w:val="-93419981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4107594" w14:textId="77777777" w:rsidR="00F066B5" w:rsidRDefault="00F066B5" w:rsidP="00180AE1">
                        <w:pPr>
                          <w:jc w:val="center"/>
                          <w:rPr>
                            <w:b/>
                            <w:szCs w:val="21"/>
                          </w:rPr>
                        </w:pPr>
                        <w:r>
                          <w:rPr>
                            <w:b/>
                            <w:szCs w:val="21"/>
                          </w:rPr>
                          <w:t>项目</w:t>
                        </w:r>
                      </w:p>
                    </w:tc>
                  </w:sdtContent>
                </w:sdt>
                <w:sdt>
                  <w:sdtPr>
                    <w:rPr>
                      <w:rFonts w:ascii="Times New Roman" w:hAnsi="Times New Roman" w:cs="Times New Roman"/>
                    </w:rPr>
                    <w:tag w:val="_PLD_490733515ea04b4585d8f94ac2bde396"/>
                    <w:id w:val="1141466636"/>
                    <w:lock w:val="sdtLocked"/>
                  </w:sdtPr>
                  <w:sdtEndPr/>
                  <w:sdtContent>
                    <w:tc>
                      <w:tcPr>
                        <w:tcW w:w="1199" w:type="pct"/>
                        <w:tcBorders>
                          <w:top w:val="outset" w:sz="4" w:space="0" w:color="auto"/>
                          <w:left w:val="outset" w:sz="4" w:space="0" w:color="auto"/>
                          <w:bottom w:val="outset" w:sz="4" w:space="0" w:color="auto"/>
                          <w:right w:val="outset" w:sz="4" w:space="0" w:color="auto"/>
                        </w:tcBorders>
                        <w:vAlign w:val="center"/>
                      </w:tcPr>
                      <w:p w14:paraId="467B756C" w14:textId="77777777" w:rsidR="00F066B5" w:rsidRPr="009635E0" w:rsidRDefault="00F066B5" w:rsidP="00180AE1">
                        <w:pPr>
                          <w:jc w:val="center"/>
                          <w:rPr>
                            <w:rFonts w:ascii="Times New Roman" w:hAnsi="Times New Roman" w:cs="Times New Roman"/>
                            <w:b/>
                            <w:szCs w:val="21"/>
                          </w:rPr>
                        </w:pPr>
                        <w:r w:rsidRPr="009635E0">
                          <w:rPr>
                            <w:rFonts w:ascii="Times New Roman" w:hAnsi="Times New Roman" w:cs="Times New Roman"/>
                            <w:b/>
                            <w:szCs w:val="21"/>
                          </w:rPr>
                          <w:t>2020</w:t>
                        </w:r>
                        <w:r w:rsidRPr="009635E0">
                          <w:rPr>
                            <w:rFonts w:ascii="Times New Roman" w:hAnsi="Times New Roman" w:cs="Times New Roman"/>
                            <w:b/>
                            <w:szCs w:val="21"/>
                          </w:rPr>
                          <w:t>年</w:t>
                        </w:r>
                        <w:r w:rsidRPr="009635E0">
                          <w:rPr>
                            <w:rFonts w:ascii="Times New Roman" w:hAnsi="Times New Roman" w:cs="Times New Roman"/>
                            <w:b/>
                            <w:szCs w:val="21"/>
                          </w:rPr>
                          <w:t>12</w:t>
                        </w:r>
                        <w:r w:rsidRPr="009635E0">
                          <w:rPr>
                            <w:rFonts w:ascii="Times New Roman" w:hAnsi="Times New Roman" w:cs="Times New Roman"/>
                            <w:b/>
                            <w:szCs w:val="21"/>
                          </w:rPr>
                          <w:t>月</w:t>
                        </w:r>
                        <w:r w:rsidRPr="009635E0">
                          <w:rPr>
                            <w:rFonts w:ascii="Times New Roman" w:hAnsi="Times New Roman" w:cs="Times New Roman"/>
                            <w:b/>
                            <w:szCs w:val="21"/>
                          </w:rPr>
                          <w:t>31</w:t>
                        </w:r>
                        <w:r w:rsidRPr="009635E0">
                          <w:rPr>
                            <w:rFonts w:ascii="Times New Roman" w:hAnsi="Times New Roman" w:cs="Times New Roman"/>
                            <w:b/>
                            <w:szCs w:val="21"/>
                          </w:rPr>
                          <w:t>日</w:t>
                        </w:r>
                      </w:p>
                    </w:tc>
                  </w:sdtContent>
                </w:sdt>
                <w:sdt>
                  <w:sdtPr>
                    <w:rPr>
                      <w:rFonts w:ascii="Times New Roman" w:hAnsi="Times New Roman" w:cs="Times New Roman"/>
                    </w:rPr>
                    <w:tag w:val="_PLD_e87e7f82c0ce4a00b4c3c32f679e366a"/>
                    <w:id w:val="1029686191"/>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09549517" w14:textId="77777777" w:rsidR="00F066B5" w:rsidRPr="009635E0" w:rsidRDefault="00F066B5" w:rsidP="00180AE1">
                        <w:pPr>
                          <w:jc w:val="center"/>
                          <w:rPr>
                            <w:rFonts w:ascii="Times New Roman" w:hAnsi="Times New Roman" w:cs="Times New Roman"/>
                            <w:b/>
                            <w:szCs w:val="21"/>
                          </w:rPr>
                        </w:pPr>
                        <w:r w:rsidRPr="009635E0">
                          <w:rPr>
                            <w:rFonts w:ascii="Times New Roman" w:hAnsi="Times New Roman" w:cs="Times New Roman"/>
                            <w:b/>
                            <w:szCs w:val="21"/>
                          </w:rPr>
                          <w:t>2021</w:t>
                        </w:r>
                        <w:r w:rsidRPr="009635E0">
                          <w:rPr>
                            <w:rFonts w:ascii="Times New Roman" w:hAnsi="Times New Roman" w:cs="Times New Roman"/>
                            <w:b/>
                            <w:szCs w:val="21"/>
                          </w:rPr>
                          <w:t>年</w:t>
                        </w:r>
                        <w:r w:rsidRPr="009635E0">
                          <w:rPr>
                            <w:rFonts w:ascii="Times New Roman" w:hAnsi="Times New Roman" w:cs="Times New Roman"/>
                            <w:b/>
                            <w:szCs w:val="21"/>
                          </w:rPr>
                          <w:t>1</w:t>
                        </w:r>
                        <w:r w:rsidRPr="009635E0">
                          <w:rPr>
                            <w:rFonts w:ascii="Times New Roman" w:hAnsi="Times New Roman" w:cs="Times New Roman"/>
                            <w:b/>
                            <w:szCs w:val="21"/>
                          </w:rPr>
                          <w:t>月</w:t>
                        </w:r>
                        <w:r w:rsidRPr="009635E0">
                          <w:rPr>
                            <w:rFonts w:ascii="Times New Roman" w:hAnsi="Times New Roman" w:cs="Times New Roman"/>
                            <w:b/>
                            <w:szCs w:val="21"/>
                          </w:rPr>
                          <w:t>1</w:t>
                        </w:r>
                        <w:r w:rsidRPr="009635E0">
                          <w:rPr>
                            <w:rFonts w:ascii="Times New Roman" w:hAnsi="Times New Roman" w:cs="Times New Roman"/>
                            <w:b/>
                            <w:szCs w:val="21"/>
                          </w:rPr>
                          <w:t>日</w:t>
                        </w:r>
                      </w:p>
                    </w:tc>
                  </w:sdtContent>
                </w:sdt>
                <w:sdt>
                  <w:sdtPr>
                    <w:rPr>
                      <w:rFonts w:ascii="Times New Roman" w:hAnsi="Times New Roman" w:cs="Times New Roman"/>
                    </w:rPr>
                    <w:tag w:val="_PLD_183442aef00f452987866abd92d323be"/>
                    <w:id w:val="1702206883"/>
                    <w:lock w:val="sdtLocked"/>
                  </w:sdtPr>
                  <w:sdtEndPr/>
                  <w:sdtContent>
                    <w:tc>
                      <w:tcPr>
                        <w:tcW w:w="1179" w:type="pct"/>
                        <w:tcBorders>
                          <w:top w:val="outset" w:sz="4" w:space="0" w:color="auto"/>
                          <w:left w:val="outset" w:sz="4" w:space="0" w:color="auto"/>
                          <w:bottom w:val="outset" w:sz="4" w:space="0" w:color="auto"/>
                          <w:right w:val="outset" w:sz="4" w:space="0" w:color="auto"/>
                        </w:tcBorders>
                        <w:vAlign w:val="center"/>
                      </w:tcPr>
                      <w:p w14:paraId="0CE85991" w14:textId="77777777" w:rsidR="00F066B5" w:rsidRPr="009635E0" w:rsidRDefault="00F066B5" w:rsidP="00180AE1">
                        <w:pPr>
                          <w:jc w:val="center"/>
                          <w:rPr>
                            <w:rFonts w:ascii="Times New Roman" w:hAnsi="Times New Roman" w:cs="Times New Roman"/>
                            <w:b/>
                          </w:rPr>
                        </w:pPr>
                        <w:r w:rsidRPr="009635E0">
                          <w:rPr>
                            <w:rFonts w:ascii="Times New Roman" w:hAnsi="Times New Roman" w:cs="Times New Roman"/>
                            <w:b/>
                          </w:rPr>
                          <w:t>调整数</w:t>
                        </w:r>
                      </w:p>
                    </w:tc>
                  </w:sdtContent>
                </w:sdt>
              </w:tr>
              <w:tr w:rsidR="00F066B5" w14:paraId="24225874" w14:textId="77777777" w:rsidTr="00180AE1">
                <w:sdt>
                  <w:sdtPr>
                    <w:rPr>
                      <w:rFonts w:ascii="Times New Roman" w:hAnsi="Times New Roman" w:cs="Times New Roman"/>
                    </w:rPr>
                    <w:tag w:val="_PLD_d3873035b3234fe09b962abf0385995a"/>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72DD3C8" w14:textId="77777777" w:rsidR="00F066B5" w:rsidRPr="009635E0" w:rsidRDefault="00F066B5" w:rsidP="00180AE1">
                        <w:pPr>
                          <w:rPr>
                            <w:rFonts w:ascii="Times New Roman" w:hAnsi="Times New Roman" w:cs="Times New Roman"/>
                            <w:szCs w:val="21"/>
                          </w:rPr>
                        </w:pPr>
                        <w:r w:rsidRPr="009635E0">
                          <w:rPr>
                            <w:rFonts w:ascii="Times New Roman" w:hAnsi="Times New Roman" w:cs="Times New Roman"/>
                            <w:b/>
                            <w:bCs/>
                            <w:szCs w:val="21"/>
                          </w:rPr>
                          <w:t>流动资产：</w:t>
                        </w:r>
                      </w:p>
                    </w:tc>
                  </w:sdtContent>
                </w:sdt>
              </w:tr>
              <w:tr w:rsidR="00F066B5" w14:paraId="3DA871D7" w14:textId="77777777" w:rsidTr="00180AE1">
                <w:sdt>
                  <w:sdtPr>
                    <w:tag w:val="_PLD_74d515e6d6184499b93a2f64ac76312a"/>
                    <w:id w:val="25094406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4A827D7" w14:textId="77777777" w:rsidR="00F066B5" w:rsidRDefault="00F066B5" w:rsidP="00180AE1">
                        <w:pPr>
                          <w:ind w:firstLineChars="100" w:firstLine="210"/>
                          <w:rPr>
                            <w:szCs w:val="21"/>
                          </w:rPr>
                        </w:pPr>
                        <w:r>
                          <w:rPr>
                            <w:rFonts w:hint="eastAsia"/>
                            <w:szCs w:val="21"/>
                          </w:rPr>
                          <w:t>货币资金</w:t>
                        </w:r>
                      </w:p>
                    </w:tc>
                  </w:sdtContent>
                </w:sdt>
                <w:tc>
                  <w:tcPr>
                    <w:tcW w:w="1199" w:type="pct"/>
                    <w:tcBorders>
                      <w:top w:val="outset" w:sz="4" w:space="0" w:color="auto"/>
                      <w:left w:val="outset" w:sz="4" w:space="0" w:color="auto"/>
                      <w:bottom w:val="outset" w:sz="4" w:space="0" w:color="auto"/>
                      <w:right w:val="outset" w:sz="4" w:space="0" w:color="auto"/>
                    </w:tcBorders>
                  </w:tcPr>
                  <w:p w14:paraId="520D4ACE"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160,603,920.05</w:t>
                    </w:r>
                  </w:p>
                </w:tc>
                <w:tc>
                  <w:tcPr>
                    <w:tcW w:w="1018" w:type="pct"/>
                    <w:tcBorders>
                      <w:top w:val="outset" w:sz="4" w:space="0" w:color="auto"/>
                      <w:left w:val="outset" w:sz="4" w:space="0" w:color="auto"/>
                      <w:bottom w:val="outset" w:sz="4" w:space="0" w:color="auto"/>
                      <w:right w:val="outset" w:sz="4" w:space="0" w:color="auto"/>
                    </w:tcBorders>
                  </w:tcPr>
                  <w:p w14:paraId="62FBA9A9"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160,603,920.05</w:t>
                    </w:r>
                  </w:p>
                </w:tc>
                <w:tc>
                  <w:tcPr>
                    <w:tcW w:w="1179" w:type="pct"/>
                    <w:tcBorders>
                      <w:top w:val="outset" w:sz="4" w:space="0" w:color="auto"/>
                      <w:left w:val="outset" w:sz="4" w:space="0" w:color="auto"/>
                      <w:bottom w:val="outset" w:sz="4" w:space="0" w:color="auto"/>
                      <w:right w:val="outset" w:sz="4" w:space="0" w:color="auto"/>
                    </w:tcBorders>
                    <w:vAlign w:val="center"/>
                  </w:tcPr>
                  <w:p w14:paraId="6BA896A7" w14:textId="77777777" w:rsidR="00F066B5" w:rsidRPr="009635E0" w:rsidRDefault="00F066B5" w:rsidP="00180AE1">
                    <w:pPr>
                      <w:jc w:val="right"/>
                      <w:rPr>
                        <w:rFonts w:ascii="Times New Roman" w:hAnsi="Times New Roman" w:cs="Times New Roman"/>
                        <w:szCs w:val="21"/>
                      </w:rPr>
                    </w:pPr>
                    <w:r>
                      <w:t>-</w:t>
                    </w:r>
                  </w:p>
                </w:tc>
              </w:tr>
              <w:tr w:rsidR="00F066B5" w14:paraId="5721A8E2" w14:textId="77777777" w:rsidTr="00180AE1">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bce670f2a4240eeaa8e481be0a277f1"/>
                      <w:id w:val="-808316853"/>
                      <w:lock w:val="sdtLocked"/>
                    </w:sdtPr>
                    <w:sdtEndPr/>
                    <w:sdtContent>
                      <w:p w14:paraId="0224119D" w14:textId="77777777" w:rsidR="00F066B5" w:rsidRDefault="00F066B5" w:rsidP="00180AE1">
                        <w:pPr>
                          <w:ind w:firstLineChars="100" w:firstLine="210"/>
                        </w:pPr>
                        <w:r>
                          <w:rPr>
                            <w:rFonts w:hint="eastAsia"/>
                          </w:rPr>
                          <w:t>交易性金融资产</w:t>
                        </w:r>
                      </w:p>
                    </w:sdtContent>
                  </w:sdt>
                </w:tc>
                <w:tc>
                  <w:tcPr>
                    <w:tcW w:w="1199" w:type="pct"/>
                    <w:tcBorders>
                      <w:top w:val="outset" w:sz="4" w:space="0" w:color="auto"/>
                      <w:left w:val="outset" w:sz="4" w:space="0" w:color="auto"/>
                      <w:bottom w:val="outset" w:sz="4" w:space="0" w:color="auto"/>
                      <w:right w:val="outset" w:sz="4" w:space="0" w:color="auto"/>
                    </w:tcBorders>
                  </w:tcPr>
                  <w:p w14:paraId="3CC4529B"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693,115,758.89</w:t>
                    </w:r>
                  </w:p>
                </w:tc>
                <w:tc>
                  <w:tcPr>
                    <w:tcW w:w="1018" w:type="pct"/>
                    <w:tcBorders>
                      <w:top w:val="outset" w:sz="4" w:space="0" w:color="auto"/>
                      <w:left w:val="outset" w:sz="4" w:space="0" w:color="auto"/>
                      <w:bottom w:val="outset" w:sz="4" w:space="0" w:color="auto"/>
                      <w:right w:val="outset" w:sz="4" w:space="0" w:color="auto"/>
                    </w:tcBorders>
                  </w:tcPr>
                  <w:p w14:paraId="52A1E25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693,115,758.89</w:t>
                    </w:r>
                  </w:p>
                </w:tc>
                <w:tc>
                  <w:tcPr>
                    <w:tcW w:w="1179" w:type="pct"/>
                    <w:tcBorders>
                      <w:top w:val="outset" w:sz="4" w:space="0" w:color="auto"/>
                      <w:left w:val="outset" w:sz="4" w:space="0" w:color="auto"/>
                      <w:bottom w:val="outset" w:sz="4" w:space="0" w:color="auto"/>
                      <w:right w:val="outset" w:sz="4" w:space="0" w:color="auto"/>
                    </w:tcBorders>
                    <w:vAlign w:val="center"/>
                  </w:tcPr>
                  <w:p w14:paraId="2775393D" w14:textId="77777777" w:rsidR="00F066B5" w:rsidRPr="009635E0" w:rsidRDefault="00F066B5" w:rsidP="00180AE1">
                    <w:pPr>
                      <w:jc w:val="right"/>
                      <w:rPr>
                        <w:rFonts w:ascii="Times New Roman" w:hAnsi="Times New Roman" w:cs="Times New Roman"/>
                        <w:szCs w:val="21"/>
                      </w:rPr>
                    </w:pPr>
                    <w:r>
                      <w:t>-</w:t>
                    </w:r>
                  </w:p>
                </w:tc>
              </w:tr>
              <w:tr w:rsidR="00F066B5" w14:paraId="431563A3" w14:textId="77777777" w:rsidTr="00180AE1">
                <w:sdt>
                  <w:sdtPr>
                    <w:tag w:val="_PLD_ae75f8d2f5c14936a6818948d6cc2951"/>
                    <w:id w:val="-7751857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158CA22" w14:textId="77777777" w:rsidR="00F066B5" w:rsidRDefault="00F066B5" w:rsidP="00180AE1">
                        <w:pPr>
                          <w:ind w:firstLineChars="100" w:firstLine="210"/>
                          <w:rPr>
                            <w:szCs w:val="21"/>
                          </w:rPr>
                        </w:pPr>
                        <w:r>
                          <w:rPr>
                            <w:rFonts w:hint="eastAsia"/>
                            <w:szCs w:val="21"/>
                          </w:rPr>
                          <w:t>衍生金融资产</w:t>
                        </w:r>
                      </w:p>
                    </w:tc>
                  </w:sdtContent>
                </w:sdt>
                <w:tc>
                  <w:tcPr>
                    <w:tcW w:w="1199" w:type="pct"/>
                    <w:tcBorders>
                      <w:top w:val="outset" w:sz="4" w:space="0" w:color="auto"/>
                      <w:left w:val="outset" w:sz="4" w:space="0" w:color="auto"/>
                      <w:bottom w:val="outset" w:sz="4" w:space="0" w:color="auto"/>
                      <w:right w:val="outset" w:sz="4" w:space="0" w:color="auto"/>
                    </w:tcBorders>
                    <w:vAlign w:val="center"/>
                  </w:tcPr>
                  <w:p w14:paraId="064F40A3" w14:textId="77777777" w:rsidR="00F066B5" w:rsidRPr="009635E0" w:rsidRDefault="00F066B5" w:rsidP="00180AE1">
                    <w:pPr>
                      <w:jc w:val="right"/>
                      <w:rPr>
                        <w:rFonts w:ascii="Times New Roman" w:hAnsi="Times New Roman" w:cs="Times New Roman"/>
                        <w:szCs w:val="21"/>
                      </w:rPr>
                    </w:pPr>
                    <w:r>
                      <w:t>-</w:t>
                    </w:r>
                  </w:p>
                </w:tc>
                <w:tc>
                  <w:tcPr>
                    <w:tcW w:w="1018" w:type="pct"/>
                    <w:tcBorders>
                      <w:top w:val="outset" w:sz="4" w:space="0" w:color="auto"/>
                      <w:left w:val="outset" w:sz="4" w:space="0" w:color="auto"/>
                      <w:bottom w:val="outset" w:sz="4" w:space="0" w:color="auto"/>
                      <w:right w:val="outset" w:sz="4" w:space="0" w:color="auto"/>
                    </w:tcBorders>
                    <w:vAlign w:val="center"/>
                  </w:tcPr>
                  <w:p w14:paraId="296F6F3A" w14:textId="77777777" w:rsidR="00F066B5" w:rsidRPr="009635E0" w:rsidRDefault="00F066B5" w:rsidP="00180AE1">
                    <w:pPr>
                      <w:jc w:val="right"/>
                      <w:rPr>
                        <w:rFonts w:ascii="Times New Roman" w:hAnsi="Times New Roman" w:cs="Times New Roman"/>
                        <w:szCs w:val="21"/>
                      </w:rPr>
                    </w:pPr>
                    <w:r>
                      <w:t>-</w:t>
                    </w:r>
                  </w:p>
                </w:tc>
                <w:tc>
                  <w:tcPr>
                    <w:tcW w:w="1179" w:type="pct"/>
                    <w:tcBorders>
                      <w:top w:val="outset" w:sz="4" w:space="0" w:color="auto"/>
                      <w:left w:val="outset" w:sz="4" w:space="0" w:color="auto"/>
                      <w:bottom w:val="outset" w:sz="4" w:space="0" w:color="auto"/>
                      <w:right w:val="outset" w:sz="4" w:space="0" w:color="auto"/>
                    </w:tcBorders>
                    <w:vAlign w:val="center"/>
                  </w:tcPr>
                  <w:p w14:paraId="330ADEE2" w14:textId="77777777" w:rsidR="00F066B5" w:rsidRPr="009635E0" w:rsidRDefault="00F066B5" w:rsidP="00180AE1">
                    <w:pPr>
                      <w:jc w:val="right"/>
                      <w:rPr>
                        <w:rFonts w:ascii="Times New Roman" w:hAnsi="Times New Roman" w:cs="Times New Roman"/>
                        <w:szCs w:val="21"/>
                      </w:rPr>
                    </w:pPr>
                    <w:r>
                      <w:t>-</w:t>
                    </w:r>
                  </w:p>
                </w:tc>
              </w:tr>
              <w:tr w:rsidR="00F066B5" w14:paraId="324AC602" w14:textId="77777777" w:rsidTr="00180AE1">
                <w:sdt>
                  <w:sdtPr>
                    <w:tag w:val="_PLD_d38796d2735e412fbb2b548202f4f87a"/>
                    <w:id w:val="99876590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69C2E65" w14:textId="77777777" w:rsidR="00F066B5" w:rsidRDefault="00F066B5" w:rsidP="00180AE1">
                        <w:pPr>
                          <w:ind w:firstLineChars="100" w:firstLine="210"/>
                          <w:rPr>
                            <w:szCs w:val="21"/>
                          </w:rPr>
                        </w:pPr>
                        <w:r>
                          <w:rPr>
                            <w:rFonts w:hint="eastAsia"/>
                            <w:szCs w:val="21"/>
                          </w:rPr>
                          <w:t>应收票据</w:t>
                        </w:r>
                      </w:p>
                    </w:tc>
                  </w:sdtContent>
                </w:sdt>
                <w:tc>
                  <w:tcPr>
                    <w:tcW w:w="1199" w:type="pct"/>
                    <w:tcBorders>
                      <w:top w:val="outset" w:sz="4" w:space="0" w:color="auto"/>
                      <w:left w:val="outset" w:sz="4" w:space="0" w:color="auto"/>
                      <w:bottom w:val="outset" w:sz="4" w:space="0" w:color="auto"/>
                      <w:right w:val="outset" w:sz="4" w:space="0" w:color="auto"/>
                    </w:tcBorders>
                  </w:tcPr>
                  <w:p w14:paraId="50ACABC9"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41,802,015.07</w:t>
                    </w:r>
                  </w:p>
                </w:tc>
                <w:tc>
                  <w:tcPr>
                    <w:tcW w:w="1018" w:type="pct"/>
                    <w:tcBorders>
                      <w:top w:val="outset" w:sz="4" w:space="0" w:color="auto"/>
                      <w:left w:val="outset" w:sz="4" w:space="0" w:color="auto"/>
                      <w:bottom w:val="outset" w:sz="4" w:space="0" w:color="auto"/>
                      <w:right w:val="outset" w:sz="4" w:space="0" w:color="auto"/>
                    </w:tcBorders>
                  </w:tcPr>
                  <w:p w14:paraId="0B4728B9"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41,802,015.07</w:t>
                    </w:r>
                  </w:p>
                </w:tc>
                <w:tc>
                  <w:tcPr>
                    <w:tcW w:w="1179" w:type="pct"/>
                    <w:tcBorders>
                      <w:top w:val="outset" w:sz="4" w:space="0" w:color="auto"/>
                      <w:left w:val="outset" w:sz="4" w:space="0" w:color="auto"/>
                      <w:bottom w:val="outset" w:sz="4" w:space="0" w:color="auto"/>
                      <w:right w:val="outset" w:sz="4" w:space="0" w:color="auto"/>
                    </w:tcBorders>
                    <w:vAlign w:val="center"/>
                  </w:tcPr>
                  <w:p w14:paraId="43F1E77F" w14:textId="77777777" w:rsidR="00F066B5" w:rsidRPr="009635E0" w:rsidRDefault="00F066B5" w:rsidP="00180AE1">
                    <w:pPr>
                      <w:jc w:val="right"/>
                      <w:rPr>
                        <w:rFonts w:ascii="Times New Roman" w:hAnsi="Times New Roman" w:cs="Times New Roman"/>
                        <w:szCs w:val="21"/>
                      </w:rPr>
                    </w:pPr>
                    <w:r>
                      <w:t>-</w:t>
                    </w:r>
                  </w:p>
                </w:tc>
              </w:tr>
              <w:tr w:rsidR="00F066B5" w14:paraId="59E90226" w14:textId="77777777" w:rsidTr="00180AE1">
                <w:sdt>
                  <w:sdtPr>
                    <w:tag w:val="_PLD_330335623c744c63b1ff8fbca1c82725"/>
                    <w:id w:val="176710724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99B1084" w14:textId="77777777" w:rsidR="00F066B5" w:rsidRDefault="00F066B5" w:rsidP="00180AE1">
                        <w:pPr>
                          <w:ind w:firstLineChars="100" w:firstLine="210"/>
                          <w:rPr>
                            <w:szCs w:val="21"/>
                          </w:rPr>
                        </w:pPr>
                        <w:r>
                          <w:rPr>
                            <w:rFonts w:hint="eastAsia"/>
                            <w:szCs w:val="21"/>
                          </w:rPr>
                          <w:t>应收账款</w:t>
                        </w:r>
                      </w:p>
                    </w:tc>
                  </w:sdtContent>
                </w:sdt>
                <w:tc>
                  <w:tcPr>
                    <w:tcW w:w="1199" w:type="pct"/>
                    <w:tcBorders>
                      <w:top w:val="outset" w:sz="4" w:space="0" w:color="auto"/>
                      <w:left w:val="outset" w:sz="4" w:space="0" w:color="auto"/>
                      <w:bottom w:val="outset" w:sz="4" w:space="0" w:color="auto"/>
                      <w:right w:val="outset" w:sz="4" w:space="0" w:color="auto"/>
                    </w:tcBorders>
                  </w:tcPr>
                  <w:p w14:paraId="4CD59755"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234,877,971.91</w:t>
                    </w:r>
                  </w:p>
                </w:tc>
                <w:tc>
                  <w:tcPr>
                    <w:tcW w:w="1018" w:type="pct"/>
                    <w:tcBorders>
                      <w:top w:val="outset" w:sz="4" w:space="0" w:color="auto"/>
                      <w:left w:val="outset" w:sz="4" w:space="0" w:color="auto"/>
                      <w:bottom w:val="outset" w:sz="4" w:space="0" w:color="auto"/>
                      <w:right w:val="outset" w:sz="4" w:space="0" w:color="auto"/>
                    </w:tcBorders>
                  </w:tcPr>
                  <w:p w14:paraId="391B69A0"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234,877,971.91</w:t>
                    </w:r>
                  </w:p>
                </w:tc>
                <w:tc>
                  <w:tcPr>
                    <w:tcW w:w="1179" w:type="pct"/>
                    <w:tcBorders>
                      <w:top w:val="outset" w:sz="4" w:space="0" w:color="auto"/>
                      <w:left w:val="outset" w:sz="4" w:space="0" w:color="auto"/>
                      <w:bottom w:val="outset" w:sz="4" w:space="0" w:color="auto"/>
                      <w:right w:val="outset" w:sz="4" w:space="0" w:color="auto"/>
                    </w:tcBorders>
                    <w:vAlign w:val="center"/>
                  </w:tcPr>
                  <w:p w14:paraId="6BAFFF7B" w14:textId="77777777" w:rsidR="00F066B5" w:rsidRPr="009635E0" w:rsidRDefault="00F066B5" w:rsidP="00180AE1">
                    <w:pPr>
                      <w:jc w:val="right"/>
                      <w:rPr>
                        <w:rFonts w:ascii="Times New Roman" w:hAnsi="Times New Roman" w:cs="Times New Roman"/>
                        <w:szCs w:val="21"/>
                      </w:rPr>
                    </w:pPr>
                    <w:r>
                      <w:t>-</w:t>
                    </w:r>
                  </w:p>
                </w:tc>
              </w:tr>
              <w:tr w:rsidR="00F066B5" w14:paraId="314C2D2D" w14:textId="77777777" w:rsidTr="00180AE1">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9488865268f46f29f059c2d0282e38e"/>
                      <w:id w:val="-1531247654"/>
                      <w:lock w:val="sdtLocked"/>
                    </w:sdtPr>
                    <w:sdtEndPr/>
                    <w:sdtContent>
                      <w:p w14:paraId="5B045E5E" w14:textId="77777777" w:rsidR="00F066B5" w:rsidRDefault="00F066B5" w:rsidP="00180AE1">
                        <w:pPr>
                          <w:ind w:firstLineChars="100" w:firstLine="210"/>
                        </w:pPr>
                        <w:r>
                          <w:rPr>
                            <w:rFonts w:hint="eastAsia"/>
                          </w:rPr>
                          <w:t>应收款项融资</w:t>
                        </w:r>
                      </w:p>
                    </w:sdtContent>
                  </w:sdt>
                </w:tc>
                <w:tc>
                  <w:tcPr>
                    <w:tcW w:w="1199" w:type="pct"/>
                    <w:tcBorders>
                      <w:top w:val="outset" w:sz="4" w:space="0" w:color="auto"/>
                      <w:left w:val="outset" w:sz="4" w:space="0" w:color="auto"/>
                      <w:bottom w:val="outset" w:sz="4" w:space="0" w:color="auto"/>
                      <w:right w:val="outset" w:sz="4" w:space="0" w:color="auto"/>
                    </w:tcBorders>
                  </w:tcPr>
                  <w:p w14:paraId="51A531EF" w14:textId="77777777" w:rsidR="00F066B5" w:rsidRPr="009635E0" w:rsidRDefault="00F066B5" w:rsidP="00180AE1">
                    <w:pPr>
                      <w:jc w:val="right"/>
                      <w:rPr>
                        <w:rFonts w:ascii="Times New Roman" w:hAnsi="Times New Roman" w:cs="Times New Roman"/>
                        <w:szCs w:val="21"/>
                      </w:rPr>
                    </w:pPr>
                    <w:r w:rsidRPr="009635E0">
                      <w:rPr>
                        <w:rStyle w:val="aff6"/>
                        <w:rFonts w:ascii="Times New Roman" w:hAnsi="Times New Roman" w:cs="Times New Roman"/>
                      </w:rPr>
                      <w:t>14,814,553.26</w:t>
                    </w:r>
                  </w:p>
                </w:tc>
                <w:tc>
                  <w:tcPr>
                    <w:tcW w:w="1018" w:type="pct"/>
                    <w:tcBorders>
                      <w:top w:val="outset" w:sz="4" w:space="0" w:color="auto"/>
                      <w:left w:val="outset" w:sz="4" w:space="0" w:color="auto"/>
                      <w:bottom w:val="outset" w:sz="4" w:space="0" w:color="auto"/>
                      <w:right w:val="outset" w:sz="4" w:space="0" w:color="auto"/>
                    </w:tcBorders>
                  </w:tcPr>
                  <w:p w14:paraId="49798C58" w14:textId="77777777" w:rsidR="00F066B5" w:rsidRPr="009635E0" w:rsidRDefault="00F066B5" w:rsidP="00180AE1">
                    <w:pPr>
                      <w:jc w:val="right"/>
                      <w:rPr>
                        <w:rFonts w:ascii="Times New Roman" w:hAnsi="Times New Roman" w:cs="Times New Roman"/>
                        <w:szCs w:val="21"/>
                      </w:rPr>
                    </w:pPr>
                    <w:r w:rsidRPr="009635E0">
                      <w:rPr>
                        <w:rStyle w:val="aff6"/>
                        <w:rFonts w:ascii="Times New Roman" w:hAnsi="Times New Roman" w:cs="Times New Roman"/>
                      </w:rPr>
                      <w:t>14,814,553.26</w:t>
                    </w:r>
                  </w:p>
                </w:tc>
                <w:tc>
                  <w:tcPr>
                    <w:tcW w:w="1179" w:type="pct"/>
                    <w:tcBorders>
                      <w:top w:val="outset" w:sz="4" w:space="0" w:color="auto"/>
                      <w:left w:val="outset" w:sz="4" w:space="0" w:color="auto"/>
                      <w:bottom w:val="outset" w:sz="4" w:space="0" w:color="auto"/>
                      <w:right w:val="outset" w:sz="4" w:space="0" w:color="auto"/>
                    </w:tcBorders>
                    <w:vAlign w:val="center"/>
                  </w:tcPr>
                  <w:p w14:paraId="5709E2BC" w14:textId="77777777" w:rsidR="00F066B5" w:rsidRPr="009635E0" w:rsidRDefault="00F066B5" w:rsidP="00180AE1">
                    <w:pPr>
                      <w:jc w:val="right"/>
                      <w:rPr>
                        <w:rFonts w:ascii="Times New Roman" w:hAnsi="Times New Roman" w:cs="Times New Roman"/>
                        <w:szCs w:val="21"/>
                      </w:rPr>
                    </w:pPr>
                    <w:r>
                      <w:t>-</w:t>
                    </w:r>
                  </w:p>
                </w:tc>
              </w:tr>
              <w:tr w:rsidR="00F066B5" w14:paraId="58BAE320" w14:textId="77777777" w:rsidTr="00180AE1">
                <w:sdt>
                  <w:sdtPr>
                    <w:tag w:val="_PLD_075402e44a9d4fec8c80849345f9a7ff"/>
                    <w:id w:val="29294363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26DD9E2" w14:textId="77777777" w:rsidR="00F066B5" w:rsidRDefault="00F066B5" w:rsidP="00180AE1">
                        <w:pPr>
                          <w:ind w:firstLineChars="100" w:firstLine="210"/>
                          <w:rPr>
                            <w:szCs w:val="21"/>
                          </w:rPr>
                        </w:pPr>
                        <w:r>
                          <w:rPr>
                            <w:rFonts w:hint="eastAsia"/>
                            <w:szCs w:val="21"/>
                          </w:rPr>
                          <w:t>预付款项</w:t>
                        </w:r>
                      </w:p>
                    </w:tc>
                  </w:sdtContent>
                </w:sdt>
                <w:tc>
                  <w:tcPr>
                    <w:tcW w:w="1199" w:type="pct"/>
                    <w:tcBorders>
                      <w:top w:val="outset" w:sz="4" w:space="0" w:color="auto"/>
                      <w:left w:val="outset" w:sz="4" w:space="0" w:color="auto"/>
                      <w:bottom w:val="outset" w:sz="4" w:space="0" w:color="auto"/>
                      <w:right w:val="outset" w:sz="4" w:space="0" w:color="auto"/>
                    </w:tcBorders>
                  </w:tcPr>
                  <w:p w14:paraId="5B4C9854"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40,277,351.86</w:t>
                    </w:r>
                  </w:p>
                </w:tc>
                <w:tc>
                  <w:tcPr>
                    <w:tcW w:w="1018" w:type="pct"/>
                    <w:tcBorders>
                      <w:top w:val="outset" w:sz="4" w:space="0" w:color="auto"/>
                      <w:left w:val="outset" w:sz="4" w:space="0" w:color="auto"/>
                      <w:bottom w:val="outset" w:sz="4" w:space="0" w:color="auto"/>
                      <w:right w:val="outset" w:sz="4" w:space="0" w:color="auto"/>
                    </w:tcBorders>
                  </w:tcPr>
                  <w:p w14:paraId="247CB791"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40,277,351.86</w:t>
                    </w:r>
                  </w:p>
                </w:tc>
                <w:tc>
                  <w:tcPr>
                    <w:tcW w:w="1179" w:type="pct"/>
                    <w:tcBorders>
                      <w:top w:val="outset" w:sz="4" w:space="0" w:color="auto"/>
                      <w:left w:val="outset" w:sz="4" w:space="0" w:color="auto"/>
                      <w:bottom w:val="outset" w:sz="4" w:space="0" w:color="auto"/>
                      <w:right w:val="outset" w:sz="4" w:space="0" w:color="auto"/>
                    </w:tcBorders>
                    <w:vAlign w:val="center"/>
                  </w:tcPr>
                  <w:p w14:paraId="5F9B027A" w14:textId="77777777" w:rsidR="00F066B5" w:rsidRPr="009635E0" w:rsidRDefault="00F066B5" w:rsidP="00180AE1">
                    <w:pPr>
                      <w:jc w:val="right"/>
                      <w:rPr>
                        <w:rFonts w:ascii="Times New Roman" w:hAnsi="Times New Roman" w:cs="Times New Roman"/>
                        <w:szCs w:val="21"/>
                      </w:rPr>
                    </w:pPr>
                    <w:r>
                      <w:t>-</w:t>
                    </w:r>
                  </w:p>
                </w:tc>
              </w:tr>
              <w:tr w:rsidR="00F066B5" w14:paraId="160C3143" w14:textId="77777777" w:rsidTr="00180AE1">
                <w:sdt>
                  <w:sdtPr>
                    <w:tag w:val="_PLD_c2d0a7a6a8e64d7e876eef520833ed71"/>
                    <w:id w:val="21471405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4A8368B" w14:textId="77777777" w:rsidR="00F066B5" w:rsidRDefault="00F066B5" w:rsidP="00180AE1">
                        <w:pPr>
                          <w:ind w:firstLineChars="100" w:firstLine="210"/>
                          <w:rPr>
                            <w:szCs w:val="21"/>
                          </w:rPr>
                        </w:pPr>
                        <w:r>
                          <w:rPr>
                            <w:rFonts w:hint="eastAsia"/>
                            <w:szCs w:val="21"/>
                          </w:rPr>
                          <w:t>其他应收款</w:t>
                        </w:r>
                      </w:p>
                    </w:tc>
                  </w:sdtContent>
                </w:sdt>
                <w:tc>
                  <w:tcPr>
                    <w:tcW w:w="1199" w:type="pct"/>
                    <w:tcBorders>
                      <w:top w:val="outset" w:sz="4" w:space="0" w:color="auto"/>
                      <w:left w:val="outset" w:sz="4" w:space="0" w:color="auto"/>
                      <w:bottom w:val="outset" w:sz="4" w:space="0" w:color="auto"/>
                      <w:right w:val="outset" w:sz="4" w:space="0" w:color="auto"/>
                    </w:tcBorders>
                  </w:tcPr>
                  <w:p w14:paraId="144125E6"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240,171,330.15</w:t>
                    </w:r>
                  </w:p>
                </w:tc>
                <w:tc>
                  <w:tcPr>
                    <w:tcW w:w="1018" w:type="pct"/>
                    <w:tcBorders>
                      <w:top w:val="outset" w:sz="4" w:space="0" w:color="auto"/>
                      <w:left w:val="outset" w:sz="4" w:space="0" w:color="auto"/>
                      <w:bottom w:val="outset" w:sz="4" w:space="0" w:color="auto"/>
                      <w:right w:val="outset" w:sz="4" w:space="0" w:color="auto"/>
                    </w:tcBorders>
                  </w:tcPr>
                  <w:p w14:paraId="2257B343"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240,171,330.15</w:t>
                    </w:r>
                  </w:p>
                </w:tc>
                <w:tc>
                  <w:tcPr>
                    <w:tcW w:w="1179" w:type="pct"/>
                    <w:tcBorders>
                      <w:top w:val="outset" w:sz="4" w:space="0" w:color="auto"/>
                      <w:left w:val="outset" w:sz="4" w:space="0" w:color="auto"/>
                      <w:bottom w:val="outset" w:sz="4" w:space="0" w:color="auto"/>
                      <w:right w:val="outset" w:sz="4" w:space="0" w:color="auto"/>
                    </w:tcBorders>
                    <w:vAlign w:val="center"/>
                  </w:tcPr>
                  <w:p w14:paraId="1984C87D" w14:textId="77777777" w:rsidR="00F066B5" w:rsidRPr="009635E0" w:rsidRDefault="00F066B5" w:rsidP="00180AE1">
                    <w:pPr>
                      <w:jc w:val="right"/>
                      <w:rPr>
                        <w:rFonts w:ascii="Times New Roman" w:hAnsi="Times New Roman" w:cs="Times New Roman"/>
                        <w:szCs w:val="21"/>
                      </w:rPr>
                    </w:pPr>
                    <w:r>
                      <w:t>-</w:t>
                    </w:r>
                  </w:p>
                </w:tc>
              </w:tr>
              <w:tr w:rsidR="00F066B5" w14:paraId="5388421D" w14:textId="77777777" w:rsidTr="00180AE1">
                <w:sdt>
                  <w:sdtPr>
                    <w:tag w:val="_PLD_f4aedbe1c37746bd94298a5fa1ce694d"/>
                    <w:id w:val="197410206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CCAA69D" w14:textId="77777777" w:rsidR="00F066B5" w:rsidRDefault="00F066B5" w:rsidP="00180AE1">
                        <w:pPr>
                          <w:ind w:firstLineChars="100" w:firstLine="210"/>
                          <w:rPr>
                            <w:szCs w:val="21"/>
                          </w:rPr>
                        </w:pPr>
                        <w:r>
                          <w:rPr>
                            <w:rFonts w:hint="eastAsia"/>
                          </w:rPr>
                          <w:t>其中：</w:t>
                        </w:r>
                        <w:r>
                          <w:rPr>
                            <w:rFonts w:hint="eastAsia"/>
                            <w:szCs w:val="21"/>
                          </w:rPr>
                          <w:t>应收利息</w:t>
                        </w:r>
                      </w:p>
                    </w:tc>
                  </w:sdtContent>
                </w:sdt>
                <w:tc>
                  <w:tcPr>
                    <w:tcW w:w="1199" w:type="pct"/>
                    <w:tcBorders>
                      <w:top w:val="outset" w:sz="4" w:space="0" w:color="auto"/>
                      <w:left w:val="outset" w:sz="4" w:space="0" w:color="auto"/>
                      <w:bottom w:val="outset" w:sz="4" w:space="0" w:color="auto"/>
                      <w:right w:val="outset" w:sz="4" w:space="0" w:color="auto"/>
                    </w:tcBorders>
                  </w:tcPr>
                  <w:p w14:paraId="3566B59E"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21,705.54</w:t>
                    </w:r>
                  </w:p>
                </w:tc>
                <w:tc>
                  <w:tcPr>
                    <w:tcW w:w="1018" w:type="pct"/>
                    <w:tcBorders>
                      <w:top w:val="outset" w:sz="4" w:space="0" w:color="auto"/>
                      <w:left w:val="outset" w:sz="4" w:space="0" w:color="auto"/>
                      <w:bottom w:val="outset" w:sz="4" w:space="0" w:color="auto"/>
                      <w:right w:val="outset" w:sz="4" w:space="0" w:color="auto"/>
                    </w:tcBorders>
                  </w:tcPr>
                  <w:p w14:paraId="40524D7C"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21,705.54</w:t>
                    </w:r>
                  </w:p>
                </w:tc>
                <w:tc>
                  <w:tcPr>
                    <w:tcW w:w="1179" w:type="pct"/>
                    <w:tcBorders>
                      <w:top w:val="outset" w:sz="4" w:space="0" w:color="auto"/>
                      <w:left w:val="outset" w:sz="4" w:space="0" w:color="auto"/>
                      <w:bottom w:val="outset" w:sz="4" w:space="0" w:color="auto"/>
                      <w:right w:val="outset" w:sz="4" w:space="0" w:color="auto"/>
                    </w:tcBorders>
                    <w:vAlign w:val="center"/>
                  </w:tcPr>
                  <w:p w14:paraId="307354C8" w14:textId="77777777" w:rsidR="00F066B5" w:rsidRPr="009635E0" w:rsidRDefault="00F066B5" w:rsidP="00180AE1">
                    <w:pPr>
                      <w:jc w:val="right"/>
                      <w:rPr>
                        <w:rFonts w:ascii="Times New Roman" w:hAnsi="Times New Roman" w:cs="Times New Roman"/>
                        <w:szCs w:val="21"/>
                      </w:rPr>
                    </w:pPr>
                    <w:r>
                      <w:t>-</w:t>
                    </w:r>
                  </w:p>
                </w:tc>
              </w:tr>
              <w:tr w:rsidR="00F066B5" w14:paraId="6EC43606" w14:textId="77777777" w:rsidTr="00180AE1">
                <w:sdt>
                  <w:sdtPr>
                    <w:tag w:val="_PLD_52de14b1293c4f25af2be3d116cf9e85"/>
                    <w:id w:val="891152660"/>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D5D3AFD" w14:textId="77777777" w:rsidR="00F066B5" w:rsidRDefault="00F066B5" w:rsidP="00180AE1">
                        <w:pPr>
                          <w:ind w:firstLineChars="400" w:firstLine="840"/>
                          <w:rPr>
                            <w:szCs w:val="21"/>
                          </w:rPr>
                        </w:pPr>
                        <w:r>
                          <w:rPr>
                            <w:rFonts w:hint="eastAsia"/>
                            <w:szCs w:val="21"/>
                          </w:rPr>
                          <w:t>应收股利</w:t>
                        </w:r>
                      </w:p>
                    </w:tc>
                  </w:sdtContent>
                </w:sdt>
                <w:tc>
                  <w:tcPr>
                    <w:tcW w:w="1199" w:type="pct"/>
                    <w:tcBorders>
                      <w:top w:val="outset" w:sz="4" w:space="0" w:color="auto"/>
                      <w:left w:val="outset" w:sz="4" w:space="0" w:color="auto"/>
                      <w:bottom w:val="outset" w:sz="4" w:space="0" w:color="auto"/>
                      <w:right w:val="outset" w:sz="4" w:space="0" w:color="auto"/>
                    </w:tcBorders>
                    <w:vAlign w:val="center"/>
                  </w:tcPr>
                  <w:p w14:paraId="6CACB753" w14:textId="77777777" w:rsidR="00F066B5" w:rsidRPr="009635E0" w:rsidRDefault="00F066B5" w:rsidP="00180AE1">
                    <w:pPr>
                      <w:jc w:val="right"/>
                      <w:rPr>
                        <w:rFonts w:ascii="Times New Roman" w:hAnsi="Times New Roman" w:cs="Times New Roman"/>
                        <w:szCs w:val="21"/>
                      </w:rPr>
                    </w:pPr>
                    <w:r>
                      <w:t>-</w:t>
                    </w:r>
                  </w:p>
                </w:tc>
                <w:tc>
                  <w:tcPr>
                    <w:tcW w:w="1018" w:type="pct"/>
                    <w:tcBorders>
                      <w:top w:val="outset" w:sz="4" w:space="0" w:color="auto"/>
                      <w:left w:val="outset" w:sz="4" w:space="0" w:color="auto"/>
                      <w:bottom w:val="outset" w:sz="4" w:space="0" w:color="auto"/>
                      <w:right w:val="outset" w:sz="4" w:space="0" w:color="auto"/>
                    </w:tcBorders>
                    <w:vAlign w:val="center"/>
                  </w:tcPr>
                  <w:p w14:paraId="3901ECEE" w14:textId="77777777" w:rsidR="00F066B5" w:rsidRPr="009635E0" w:rsidRDefault="00F066B5" w:rsidP="00180AE1">
                    <w:pPr>
                      <w:jc w:val="right"/>
                      <w:rPr>
                        <w:rFonts w:ascii="Times New Roman" w:hAnsi="Times New Roman" w:cs="Times New Roman"/>
                        <w:szCs w:val="21"/>
                      </w:rPr>
                    </w:pPr>
                    <w:r>
                      <w:t>-</w:t>
                    </w:r>
                  </w:p>
                </w:tc>
                <w:tc>
                  <w:tcPr>
                    <w:tcW w:w="1179" w:type="pct"/>
                    <w:tcBorders>
                      <w:top w:val="outset" w:sz="4" w:space="0" w:color="auto"/>
                      <w:left w:val="outset" w:sz="4" w:space="0" w:color="auto"/>
                      <w:bottom w:val="outset" w:sz="4" w:space="0" w:color="auto"/>
                      <w:right w:val="outset" w:sz="4" w:space="0" w:color="auto"/>
                    </w:tcBorders>
                    <w:vAlign w:val="center"/>
                  </w:tcPr>
                  <w:p w14:paraId="19EB3104" w14:textId="77777777" w:rsidR="00F066B5" w:rsidRPr="009635E0" w:rsidRDefault="00F066B5" w:rsidP="00180AE1">
                    <w:pPr>
                      <w:jc w:val="right"/>
                      <w:rPr>
                        <w:rFonts w:ascii="Times New Roman" w:hAnsi="Times New Roman" w:cs="Times New Roman"/>
                        <w:szCs w:val="21"/>
                      </w:rPr>
                    </w:pPr>
                    <w:r>
                      <w:t>-</w:t>
                    </w:r>
                  </w:p>
                </w:tc>
              </w:tr>
              <w:tr w:rsidR="00F066B5" w14:paraId="79157A59" w14:textId="77777777" w:rsidTr="00180AE1">
                <w:sdt>
                  <w:sdtPr>
                    <w:tag w:val="_PLD_c7b0b124530948fbb30e06a409fd5565"/>
                    <w:id w:val="-140921761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85980A2" w14:textId="77777777" w:rsidR="00F066B5" w:rsidRDefault="00F066B5" w:rsidP="00180AE1">
                        <w:pPr>
                          <w:ind w:firstLineChars="100" w:firstLine="210"/>
                          <w:rPr>
                            <w:szCs w:val="21"/>
                          </w:rPr>
                        </w:pPr>
                        <w:r>
                          <w:rPr>
                            <w:rFonts w:hint="eastAsia"/>
                            <w:szCs w:val="21"/>
                          </w:rPr>
                          <w:t>存货</w:t>
                        </w:r>
                      </w:p>
                    </w:tc>
                  </w:sdtContent>
                </w:sdt>
                <w:tc>
                  <w:tcPr>
                    <w:tcW w:w="1199" w:type="pct"/>
                    <w:tcBorders>
                      <w:top w:val="outset" w:sz="4" w:space="0" w:color="auto"/>
                      <w:left w:val="outset" w:sz="4" w:space="0" w:color="auto"/>
                      <w:bottom w:val="outset" w:sz="4" w:space="0" w:color="auto"/>
                      <w:right w:val="outset" w:sz="4" w:space="0" w:color="auto"/>
                    </w:tcBorders>
                  </w:tcPr>
                  <w:p w14:paraId="1CA8BBD1"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78,828,142.87</w:t>
                    </w:r>
                  </w:p>
                </w:tc>
                <w:tc>
                  <w:tcPr>
                    <w:tcW w:w="1018" w:type="pct"/>
                    <w:tcBorders>
                      <w:top w:val="outset" w:sz="4" w:space="0" w:color="auto"/>
                      <w:left w:val="outset" w:sz="4" w:space="0" w:color="auto"/>
                      <w:bottom w:val="outset" w:sz="4" w:space="0" w:color="auto"/>
                      <w:right w:val="outset" w:sz="4" w:space="0" w:color="auto"/>
                    </w:tcBorders>
                  </w:tcPr>
                  <w:p w14:paraId="103A093C"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78,828,142.87</w:t>
                    </w:r>
                  </w:p>
                </w:tc>
                <w:tc>
                  <w:tcPr>
                    <w:tcW w:w="1179" w:type="pct"/>
                    <w:tcBorders>
                      <w:top w:val="outset" w:sz="4" w:space="0" w:color="auto"/>
                      <w:left w:val="outset" w:sz="4" w:space="0" w:color="auto"/>
                      <w:bottom w:val="outset" w:sz="4" w:space="0" w:color="auto"/>
                      <w:right w:val="outset" w:sz="4" w:space="0" w:color="auto"/>
                    </w:tcBorders>
                    <w:vAlign w:val="center"/>
                  </w:tcPr>
                  <w:p w14:paraId="1D810124" w14:textId="77777777" w:rsidR="00F066B5" w:rsidRPr="009635E0" w:rsidRDefault="00F066B5" w:rsidP="00180AE1">
                    <w:pPr>
                      <w:jc w:val="right"/>
                      <w:rPr>
                        <w:rFonts w:ascii="Times New Roman" w:hAnsi="Times New Roman" w:cs="Times New Roman"/>
                        <w:szCs w:val="21"/>
                      </w:rPr>
                    </w:pPr>
                    <w:r>
                      <w:t>-</w:t>
                    </w:r>
                  </w:p>
                </w:tc>
              </w:tr>
              <w:tr w:rsidR="00F066B5" w14:paraId="4D3B6BE2" w14:textId="77777777" w:rsidTr="00180AE1">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161e7eb66949c8ae57a598e14e7c20"/>
                      <w:id w:val="1569926505"/>
                      <w:lock w:val="sdtLocked"/>
                    </w:sdtPr>
                    <w:sdtEndPr/>
                    <w:sdtContent>
                      <w:p w14:paraId="480391FB" w14:textId="77777777" w:rsidR="00F066B5" w:rsidRDefault="00F066B5" w:rsidP="00180AE1">
                        <w:pPr>
                          <w:ind w:firstLineChars="100" w:firstLine="210"/>
                        </w:pPr>
                        <w:r>
                          <w:rPr>
                            <w:rFonts w:hint="eastAsia"/>
                          </w:rPr>
                          <w:t>合同资产</w:t>
                        </w:r>
                      </w:p>
                    </w:sdtContent>
                  </w:sdt>
                </w:tc>
                <w:tc>
                  <w:tcPr>
                    <w:tcW w:w="1199" w:type="pct"/>
                    <w:tcBorders>
                      <w:top w:val="outset" w:sz="4" w:space="0" w:color="auto"/>
                      <w:left w:val="outset" w:sz="4" w:space="0" w:color="auto"/>
                      <w:bottom w:val="outset" w:sz="4" w:space="0" w:color="auto"/>
                      <w:right w:val="outset" w:sz="4" w:space="0" w:color="auto"/>
                    </w:tcBorders>
                  </w:tcPr>
                  <w:p w14:paraId="4C042885"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108,258,900.20</w:t>
                    </w:r>
                  </w:p>
                </w:tc>
                <w:tc>
                  <w:tcPr>
                    <w:tcW w:w="1018" w:type="pct"/>
                    <w:tcBorders>
                      <w:top w:val="outset" w:sz="4" w:space="0" w:color="auto"/>
                      <w:left w:val="outset" w:sz="4" w:space="0" w:color="auto"/>
                      <w:bottom w:val="outset" w:sz="4" w:space="0" w:color="auto"/>
                      <w:right w:val="outset" w:sz="4" w:space="0" w:color="auto"/>
                    </w:tcBorders>
                  </w:tcPr>
                  <w:p w14:paraId="56934417"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108,258,900.20</w:t>
                    </w:r>
                  </w:p>
                </w:tc>
                <w:tc>
                  <w:tcPr>
                    <w:tcW w:w="1179" w:type="pct"/>
                    <w:tcBorders>
                      <w:top w:val="outset" w:sz="4" w:space="0" w:color="auto"/>
                      <w:left w:val="outset" w:sz="4" w:space="0" w:color="auto"/>
                      <w:bottom w:val="outset" w:sz="4" w:space="0" w:color="auto"/>
                      <w:right w:val="outset" w:sz="4" w:space="0" w:color="auto"/>
                    </w:tcBorders>
                    <w:vAlign w:val="center"/>
                  </w:tcPr>
                  <w:p w14:paraId="6AA81506" w14:textId="77777777" w:rsidR="00F066B5" w:rsidRPr="009635E0" w:rsidRDefault="00F066B5" w:rsidP="00180AE1">
                    <w:pPr>
                      <w:jc w:val="right"/>
                      <w:rPr>
                        <w:rFonts w:ascii="Times New Roman" w:hAnsi="Times New Roman" w:cs="Times New Roman"/>
                        <w:szCs w:val="21"/>
                      </w:rPr>
                    </w:pPr>
                    <w:r>
                      <w:t>-</w:t>
                    </w:r>
                  </w:p>
                </w:tc>
              </w:tr>
              <w:tr w:rsidR="00F066B5" w14:paraId="0D732BDA" w14:textId="77777777" w:rsidTr="00180AE1">
                <w:sdt>
                  <w:sdtPr>
                    <w:tag w:val="_PLD_1f0292fdc6a84de4bb5b1513e1206a77"/>
                    <w:id w:val="-204381746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BA69BBC" w14:textId="77777777" w:rsidR="00F066B5" w:rsidRDefault="00F066B5" w:rsidP="00180AE1">
                        <w:pPr>
                          <w:ind w:firstLineChars="100" w:firstLine="210"/>
                          <w:rPr>
                            <w:szCs w:val="21"/>
                          </w:rPr>
                        </w:pPr>
                        <w:r>
                          <w:rPr>
                            <w:rFonts w:hint="eastAsia"/>
                            <w:szCs w:val="21"/>
                          </w:rPr>
                          <w:t>其他流动资产</w:t>
                        </w:r>
                      </w:p>
                    </w:tc>
                  </w:sdtContent>
                </w:sdt>
                <w:tc>
                  <w:tcPr>
                    <w:tcW w:w="1199" w:type="pct"/>
                    <w:tcBorders>
                      <w:top w:val="outset" w:sz="4" w:space="0" w:color="auto"/>
                      <w:left w:val="outset" w:sz="4" w:space="0" w:color="auto"/>
                      <w:bottom w:val="outset" w:sz="4" w:space="0" w:color="auto"/>
                      <w:right w:val="outset" w:sz="4" w:space="0" w:color="auto"/>
                    </w:tcBorders>
                  </w:tcPr>
                  <w:p w14:paraId="41B164F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12,805,831.04</w:t>
                    </w:r>
                  </w:p>
                </w:tc>
                <w:tc>
                  <w:tcPr>
                    <w:tcW w:w="1018" w:type="pct"/>
                    <w:tcBorders>
                      <w:top w:val="outset" w:sz="4" w:space="0" w:color="auto"/>
                      <w:left w:val="outset" w:sz="4" w:space="0" w:color="auto"/>
                      <w:bottom w:val="outset" w:sz="4" w:space="0" w:color="auto"/>
                      <w:right w:val="outset" w:sz="4" w:space="0" w:color="auto"/>
                    </w:tcBorders>
                  </w:tcPr>
                  <w:p w14:paraId="4D7A7640"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12,805,831.04</w:t>
                    </w:r>
                  </w:p>
                </w:tc>
                <w:tc>
                  <w:tcPr>
                    <w:tcW w:w="1179" w:type="pct"/>
                    <w:tcBorders>
                      <w:top w:val="outset" w:sz="4" w:space="0" w:color="auto"/>
                      <w:left w:val="outset" w:sz="4" w:space="0" w:color="auto"/>
                      <w:bottom w:val="outset" w:sz="4" w:space="0" w:color="auto"/>
                      <w:right w:val="outset" w:sz="4" w:space="0" w:color="auto"/>
                    </w:tcBorders>
                    <w:vAlign w:val="center"/>
                  </w:tcPr>
                  <w:p w14:paraId="6E174306" w14:textId="77777777" w:rsidR="00F066B5" w:rsidRPr="009635E0" w:rsidRDefault="00F066B5" w:rsidP="00180AE1">
                    <w:pPr>
                      <w:jc w:val="right"/>
                      <w:rPr>
                        <w:rFonts w:ascii="Times New Roman" w:hAnsi="Times New Roman" w:cs="Times New Roman"/>
                        <w:szCs w:val="21"/>
                      </w:rPr>
                    </w:pPr>
                    <w:r>
                      <w:t>-</w:t>
                    </w:r>
                  </w:p>
                </w:tc>
              </w:tr>
              <w:tr w:rsidR="00F066B5" w14:paraId="65E36FFE" w14:textId="77777777" w:rsidTr="00180AE1">
                <w:sdt>
                  <w:sdtPr>
                    <w:tag w:val="_PLD_18bb3148590e45af9975783b03139934"/>
                    <w:id w:val="-195300816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666089D" w14:textId="77777777" w:rsidR="00F066B5" w:rsidRDefault="00F066B5" w:rsidP="00180AE1">
                        <w:pPr>
                          <w:ind w:firstLineChars="200" w:firstLine="420"/>
                          <w:rPr>
                            <w:szCs w:val="21"/>
                          </w:rPr>
                        </w:pPr>
                        <w:r>
                          <w:rPr>
                            <w:rFonts w:hint="eastAsia"/>
                            <w:szCs w:val="21"/>
                          </w:rPr>
                          <w:t>流动资产合计</w:t>
                        </w:r>
                      </w:p>
                    </w:tc>
                  </w:sdtContent>
                </w:sdt>
                <w:tc>
                  <w:tcPr>
                    <w:tcW w:w="1199" w:type="pct"/>
                    <w:tcBorders>
                      <w:top w:val="outset" w:sz="4" w:space="0" w:color="auto"/>
                      <w:left w:val="outset" w:sz="4" w:space="0" w:color="auto"/>
                      <w:bottom w:val="outset" w:sz="4" w:space="0" w:color="auto"/>
                      <w:right w:val="outset" w:sz="4" w:space="0" w:color="auto"/>
                    </w:tcBorders>
                  </w:tcPr>
                  <w:p w14:paraId="63652E46"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1,625,555,775.30</w:t>
                    </w:r>
                  </w:p>
                </w:tc>
                <w:tc>
                  <w:tcPr>
                    <w:tcW w:w="1018" w:type="pct"/>
                    <w:tcBorders>
                      <w:top w:val="outset" w:sz="4" w:space="0" w:color="auto"/>
                      <w:left w:val="outset" w:sz="4" w:space="0" w:color="auto"/>
                      <w:bottom w:val="outset" w:sz="4" w:space="0" w:color="auto"/>
                      <w:right w:val="outset" w:sz="4" w:space="0" w:color="auto"/>
                    </w:tcBorders>
                  </w:tcPr>
                  <w:p w14:paraId="3BAD18F5"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1,625,555,775.30</w:t>
                    </w:r>
                  </w:p>
                </w:tc>
                <w:tc>
                  <w:tcPr>
                    <w:tcW w:w="1179" w:type="pct"/>
                    <w:tcBorders>
                      <w:top w:val="outset" w:sz="4" w:space="0" w:color="auto"/>
                      <w:left w:val="outset" w:sz="4" w:space="0" w:color="auto"/>
                      <w:bottom w:val="outset" w:sz="4" w:space="0" w:color="auto"/>
                      <w:right w:val="outset" w:sz="4" w:space="0" w:color="auto"/>
                    </w:tcBorders>
                    <w:vAlign w:val="center"/>
                  </w:tcPr>
                  <w:p w14:paraId="7AA34D8F" w14:textId="77777777" w:rsidR="00F066B5" w:rsidRPr="009635E0" w:rsidRDefault="00F066B5" w:rsidP="00180AE1">
                    <w:pPr>
                      <w:jc w:val="right"/>
                      <w:rPr>
                        <w:rFonts w:ascii="Times New Roman" w:hAnsi="Times New Roman" w:cs="Times New Roman"/>
                        <w:szCs w:val="21"/>
                      </w:rPr>
                    </w:pPr>
                    <w:r>
                      <w:t>-</w:t>
                    </w:r>
                  </w:p>
                </w:tc>
              </w:tr>
              <w:tr w:rsidR="00F066B5" w14:paraId="46190477" w14:textId="77777777" w:rsidTr="00180AE1">
                <w:sdt>
                  <w:sdtPr>
                    <w:rPr>
                      <w:rFonts w:ascii="Times New Roman" w:hAnsi="Times New Roman" w:cs="Times New Roman"/>
                    </w:rPr>
                    <w:tag w:val="_PLD_32045b1e965f45488a253d2d0cb1dd0d"/>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14C45A7" w14:textId="77777777" w:rsidR="00F066B5" w:rsidRPr="009635E0" w:rsidRDefault="00F066B5" w:rsidP="00180AE1">
                        <w:pPr>
                          <w:rPr>
                            <w:rFonts w:ascii="Times New Roman" w:hAnsi="Times New Roman" w:cs="Times New Roman"/>
                            <w:color w:val="008000"/>
                            <w:szCs w:val="21"/>
                          </w:rPr>
                        </w:pPr>
                        <w:r w:rsidRPr="009635E0">
                          <w:rPr>
                            <w:rFonts w:ascii="Times New Roman" w:hAnsi="Times New Roman" w:cs="Times New Roman"/>
                            <w:b/>
                            <w:bCs/>
                            <w:szCs w:val="21"/>
                          </w:rPr>
                          <w:t>非流动资产：</w:t>
                        </w:r>
                      </w:p>
                    </w:tc>
                  </w:sdtContent>
                </w:sdt>
              </w:tr>
              <w:tr w:rsidR="00F066B5" w14:paraId="493E018E" w14:textId="77777777" w:rsidTr="00180AE1">
                <w:sdt>
                  <w:sdtPr>
                    <w:tag w:val="_PLD_977fb30cb6c9428e94fad6ae22cf3201"/>
                    <w:id w:val="-69314875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8CD192E" w14:textId="77777777" w:rsidR="00F066B5" w:rsidRDefault="00F066B5" w:rsidP="00180AE1">
                        <w:pPr>
                          <w:ind w:firstLineChars="100" w:firstLine="210"/>
                          <w:rPr>
                            <w:szCs w:val="21"/>
                          </w:rPr>
                        </w:pPr>
                        <w:r>
                          <w:rPr>
                            <w:rFonts w:hint="eastAsia"/>
                            <w:szCs w:val="21"/>
                          </w:rPr>
                          <w:t>长期股权投资</w:t>
                        </w:r>
                      </w:p>
                    </w:tc>
                  </w:sdtContent>
                </w:sdt>
                <w:tc>
                  <w:tcPr>
                    <w:tcW w:w="1199" w:type="pct"/>
                    <w:tcBorders>
                      <w:top w:val="outset" w:sz="4" w:space="0" w:color="auto"/>
                      <w:left w:val="outset" w:sz="4" w:space="0" w:color="auto"/>
                      <w:bottom w:val="outset" w:sz="4" w:space="0" w:color="auto"/>
                      <w:right w:val="outset" w:sz="4" w:space="0" w:color="auto"/>
                    </w:tcBorders>
                  </w:tcPr>
                  <w:p w14:paraId="7F4BCC47"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1,332,587,735.41</w:t>
                    </w:r>
                  </w:p>
                </w:tc>
                <w:tc>
                  <w:tcPr>
                    <w:tcW w:w="1018" w:type="pct"/>
                    <w:tcBorders>
                      <w:top w:val="outset" w:sz="4" w:space="0" w:color="auto"/>
                      <w:left w:val="outset" w:sz="4" w:space="0" w:color="auto"/>
                      <w:bottom w:val="outset" w:sz="4" w:space="0" w:color="auto"/>
                      <w:right w:val="outset" w:sz="4" w:space="0" w:color="auto"/>
                    </w:tcBorders>
                  </w:tcPr>
                  <w:p w14:paraId="19E8C671"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1,332,587,735.41</w:t>
                    </w:r>
                  </w:p>
                </w:tc>
                <w:tc>
                  <w:tcPr>
                    <w:tcW w:w="1179" w:type="pct"/>
                    <w:tcBorders>
                      <w:top w:val="outset" w:sz="4" w:space="0" w:color="auto"/>
                      <w:left w:val="outset" w:sz="4" w:space="0" w:color="auto"/>
                      <w:bottom w:val="outset" w:sz="4" w:space="0" w:color="auto"/>
                      <w:right w:val="outset" w:sz="4" w:space="0" w:color="auto"/>
                    </w:tcBorders>
                    <w:vAlign w:val="center"/>
                  </w:tcPr>
                  <w:p w14:paraId="1211A044" w14:textId="77777777" w:rsidR="00F066B5" w:rsidRPr="009635E0" w:rsidRDefault="00F066B5" w:rsidP="00180AE1">
                    <w:pPr>
                      <w:jc w:val="right"/>
                      <w:rPr>
                        <w:rFonts w:ascii="Times New Roman" w:hAnsi="Times New Roman" w:cs="Times New Roman"/>
                        <w:szCs w:val="21"/>
                      </w:rPr>
                    </w:pPr>
                    <w:r>
                      <w:t>-</w:t>
                    </w:r>
                  </w:p>
                </w:tc>
              </w:tr>
              <w:tr w:rsidR="00F066B5" w14:paraId="32AD49A6" w14:textId="77777777" w:rsidTr="00180AE1">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a4799edfb2488aa60a2aa44ca44c75"/>
                      <w:id w:val="-122234291"/>
                      <w:lock w:val="sdtLocked"/>
                    </w:sdtPr>
                    <w:sdtEndPr/>
                    <w:sdtContent>
                      <w:p w14:paraId="6ACE8EE8" w14:textId="77777777" w:rsidR="00F066B5" w:rsidRDefault="00F066B5" w:rsidP="00180AE1">
                        <w:pPr>
                          <w:ind w:firstLineChars="100" w:firstLine="210"/>
                        </w:pPr>
                        <w:r>
                          <w:rPr>
                            <w:rFonts w:hint="eastAsia"/>
                          </w:rPr>
                          <w:t>其他权益工具投资</w:t>
                        </w:r>
                      </w:p>
                    </w:sdtContent>
                  </w:sdt>
                </w:tc>
                <w:tc>
                  <w:tcPr>
                    <w:tcW w:w="1199" w:type="pct"/>
                    <w:tcBorders>
                      <w:top w:val="outset" w:sz="4" w:space="0" w:color="auto"/>
                      <w:left w:val="outset" w:sz="4" w:space="0" w:color="auto"/>
                      <w:bottom w:val="outset" w:sz="4" w:space="0" w:color="auto"/>
                      <w:right w:val="outset" w:sz="4" w:space="0" w:color="auto"/>
                    </w:tcBorders>
                  </w:tcPr>
                  <w:p w14:paraId="114D50D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10,000,000.00</w:t>
                    </w:r>
                  </w:p>
                </w:tc>
                <w:tc>
                  <w:tcPr>
                    <w:tcW w:w="1018" w:type="pct"/>
                    <w:tcBorders>
                      <w:top w:val="outset" w:sz="4" w:space="0" w:color="auto"/>
                      <w:left w:val="outset" w:sz="4" w:space="0" w:color="auto"/>
                      <w:bottom w:val="outset" w:sz="4" w:space="0" w:color="auto"/>
                      <w:right w:val="outset" w:sz="4" w:space="0" w:color="auto"/>
                    </w:tcBorders>
                  </w:tcPr>
                  <w:p w14:paraId="5E22498D"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10,000,000.00</w:t>
                    </w:r>
                  </w:p>
                </w:tc>
                <w:tc>
                  <w:tcPr>
                    <w:tcW w:w="1179" w:type="pct"/>
                    <w:tcBorders>
                      <w:top w:val="outset" w:sz="4" w:space="0" w:color="auto"/>
                      <w:left w:val="outset" w:sz="4" w:space="0" w:color="auto"/>
                      <w:bottom w:val="outset" w:sz="4" w:space="0" w:color="auto"/>
                      <w:right w:val="outset" w:sz="4" w:space="0" w:color="auto"/>
                    </w:tcBorders>
                    <w:vAlign w:val="center"/>
                  </w:tcPr>
                  <w:p w14:paraId="646C8814" w14:textId="77777777" w:rsidR="00F066B5" w:rsidRPr="009635E0" w:rsidRDefault="00F066B5" w:rsidP="00180AE1">
                    <w:pPr>
                      <w:jc w:val="right"/>
                      <w:rPr>
                        <w:rFonts w:ascii="Times New Roman" w:hAnsi="Times New Roman" w:cs="Times New Roman"/>
                        <w:szCs w:val="21"/>
                      </w:rPr>
                    </w:pPr>
                    <w:r>
                      <w:t>-</w:t>
                    </w:r>
                  </w:p>
                </w:tc>
              </w:tr>
              <w:tr w:rsidR="00F066B5" w14:paraId="5C74DA55" w14:textId="77777777" w:rsidTr="00180AE1">
                <w:sdt>
                  <w:sdtPr>
                    <w:tag w:val="_PLD_923eb7718b5b46499e26c674a192c4ff"/>
                    <w:id w:val="-99980775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CEF2BBD" w14:textId="77777777" w:rsidR="00F066B5" w:rsidRDefault="00F066B5" w:rsidP="00180AE1">
                        <w:pPr>
                          <w:ind w:firstLineChars="100" w:firstLine="210"/>
                          <w:rPr>
                            <w:szCs w:val="21"/>
                          </w:rPr>
                        </w:pPr>
                        <w:r>
                          <w:rPr>
                            <w:rFonts w:hint="eastAsia"/>
                            <w:szCs w:val="21"/>
                          </w:rPr>
                          <w:t>投资性房地产</w:t>
                        </w:r>
                      </w:p>
                    </w:tc>
                  </w:sdtContent>
                </w:sdt>
                <w:tc>
                  <w:tcPr>
                    <w:tcW w:w="1199" w:type="pct"/>
                    <w:tcBorders>
                      <w:top w:val="outset" w:sz="4" w:space="0" w:color="auto"/>
                      <w:left w:val="outset" w:sz="4" w:space="0" w:color="auto"/>
                      <w:bottom w:val="outset" w:sz="4" w:space="0" w:color="auto"/>
                      <w:right w:val="outset" w:sz="4" w:space="0" w:color="auto"/>
                    </w:tcBorders>
                  </w:tcPr>
                  <w:p w14:paraId="3E6DC19C"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18,538,942.78</w:t>
                    </w:r>
                  </w:p>
                </w:tc>
                <w:tc>
                  <w:tcPr>
                    <w:tcW w:w="1018" w:type="pct"/>
                    <w:tcBorders>
                      <w:top w:val="outset" w:sz="4" w:space="0" w:color="auto"/>
                      <w:left w:val="outset" w:sz="4" w:space="0" w:color="auto"/>
                      <w:bottom w:val="outset" w:sz="4" w:space="0" w:color="auto"/>
                      <w:right w:val="outset" w:sz="4" w:space="0" w:color="auto"/>
                    </w:tcBorders>
                  </w:tcPr>
                  <w:p w14:paraId="13A9503F"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18,538,942.78</w:t>
                    </w:r>
                  </w:p>
                </w:tc>
                <w:tc>
                  <w:tcPr>
                    <w:tcW w:w="1179" w:type="pct"/>
                    <w:tcBorders>
                      <w:top w:val="outset" w:sz="4" w:space="0" w:color="auto"/>
                      <w:left w:val="outset" w:sz="4" w:space="0" w:color="auto"/>
                      <w:bottom w:val="outset" w:sz="4" w:space="0" w:color="auto"/>
                      <w:right w:val="outset" w:sz="4" w:space="0" w:color="auto"/>
                    </w:tcBorders>
                    <w:vAlign w:val="center"/>
                  </w:tcPr>
                  <w:p w14:paraId="61783ACE" w14:textId="77777777" w:rsidR="00F066B5" w:rsidRPr="009635E0" w:rsidRDefault="00F066B5" w:rsidP="00180AE1">
                    <w:pPr>
                      <w:jc w:val="right"/>
                      <w:rPr>
                        <w:rFonts w:ascii="Times New Roman" w:hAnsi="Times New Roman" w:cs="Times New Roman"/>
                        <w:szCs w:val="21"/>
                      </w:rPr>
                    </w:pPr>
                    <w:r>
                      <w:t>-</w:t>
                    </w:r>
                  </w:p>
                </w:tc>
              </w:tr>
              <w:tr w:rsidR="00F066B5" w14:paraId="0465429D" w14:textId="77777777" w:rsidTr="00180AE1">
                <w:sdt>
                  <w:sdtPr>
                    <w:tag w:val="_PLD_f782e0f6f8eb4d55b6200e2b80225924"/>
                    <w:id w:val="171731956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9E8E57E" w14:textId="77777777" w:rsidR="00F066B5" w:rsidRDefault="00F066B5" w:rsidP="00180AE1">
                        <w:pPr>
                          <w:ind w:firstLineChars="100" w:firstLine="210"/>
                          <w:rPr>
                            <w:szCs w:val="21"/>
                          </w:rPr>
                        </w:pPr>
                        <w:r>
                          <w:rPr>
                            <w:rFonts w:hint="eastAsia"/>
                            <w:szCs w:val="21"/>
                          </w:rPr>
                          <w:t>固定资产</w:t>
                        </w:r>
                      </w:p>
                    </w:tc>
                  </w:sdtContent>
                </w:sdt>
                <w:tc>
                  <w:tcPr>
                    <w:tcW w:w="1199" w:type="pct"/>
                    <w:tcBorders>
                      <w:top w:val="outset" w:sz="4" w:space="0" w:color="auto"/>
                      <w:left w:val="outset" w:sz="4" w:space="0" w:color="auto"/>
                      <w:bottom w:val="outset" w:sz="4" w:space="0" w:color="auto"/>
                      <w:right w:val="outset" w:sz="4" w:space="0" w:color="auto"/>
                    </w:tcBorders>
                  </w:tcPr>
                  <w:p w14:paraId="46B8DADB"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121,815,780.17</w:t>
                    </w:r>
                  </w:p>
                </w:tc>
                <w:tc>
                  <w:tcPr>
                    <w:tcW w:w="1018" w:type="pct"/>
                    <w:tcBorders>
                      <w:top w:val="outset" w:sz="4" w:space="0" w:color="auto"/>
                      <w:left w:val="outset" w:sz="4" w:space="0" w:color="auto"/>
                      <w:bottom w:val="outset" w:sz="4" w:space="0" w:color="auto"/>
                      <w:right w:val="outset" w:sz="4" w:space="0" w:color="auto"/>
                    </w:tcBorders>
                  </w:tcPr>
                  <w:p w14:paraId="3CB0D35C"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121,815,780.17</w:t>
                    </w:r>
                  </w:p>
                </w:tc>
                <w:tc>
                  <w:tcPr>
                    <w:tcW w:w="1179" w:type="pct"/>
                    <w:tcBorders>
                      <w:top w:val="outset" w:sz="4" w:space="0" w:color="auto"/>
                      <w:left w:val="outset" w:sz="4" w:space="0" w:color="auto"/>
                      <w:bottom w:val="outset" w:sz="4" w:space="0" w:color="auto"/>
                      <w:right w:val="outset" w:sz="4" w:space="0" w:color="auto"/>
                    </w:tcBorders>
                    <w:vAlign w:val="center"/>
                  </w:tcPr>
                  <w:p w14:paraId="66A9350E" w14:textId="77777777" w:rsidR="00F066B5" w:rsidRPr="009635E0" w:rsidRDefault="00F066B5" w:rsidP="00180AE1">
                    <w:pPr>
                      <w:jc w:val="right"/>
                      <w:rPr>
                        <w:rFonts w:ascii="Times New Roman" w:hAnsi="Times New Roman" w:cs="Times New Roman"/>
                        <w:szCs w:val="21"/>
                      </w:rPr>
                    </w:pPr>
                    <w:r>
                      <w:t>-</w:t>
                    </w:r>
                  </w:p>
                </w:tc>
              </w:tr>
              <w:tr w:rsidR="00F066B5" w14:paraId="27904D27" w14:textId="77777777" w:rsidTr="00180AE1">
                <w:sdt>
                  <w:sdtPr>
                    <w:tag w:val="_PLD_9888fe85522948d98e1ac835c1f1dd6c"/>
                    <w:id w:val="-142927603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BB9436C" w14:textId="77777777" w:rsidR="00F066B5" w:rsidRDefault="00F066B5" w:rsidP="00180AE1">
                        <w:pPr>
                          <w:ind w:firstLineChars="100" w:firstLine="210"/>
                          <w:rPr>
                            <w:szCs w:val="21"/>
                          </w:rPr>
                        </w:pPr>
                        <w:r>
                          <w:rPr>
                            <w:rFonts w:hint="eastAsia"/>
                            <w:szCs w:val="21"/>
                          </w:rPr>
                          <w:t>在建工程</w:t>
                        </w:r>
                      </w:p>
                    </w:tc>
                  </w:sdtContent>
                </w:sdt>
                <w:tc>
                  <w:tcPr>
                    <w:tcW w:w="1199" w:type="pct"/>
                    <w:tcBorders>
                      <w:top w:val="outset" w:sz="4" w:space="0" w:color="auto"/>
                      <w:left w:val="outset" w:sz="4" w:space="0" w:color="auto"/>
                      <w:bottom w:val="outset" w:sz="4" w:space="0" w:color="auto"/>
                      <w:right w:val="outset" w:sz="4" w:space="0" w:color="auto"/>
                    </w:tcBorders>
                  </w:tcPr>
                  <w:p w14:paraId="4D5C5D86"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447,965.07</w:t>
                    </w:r>
                  </w:p>
                </w:tc>
                <w:tc>
                  <w:tcPr>
                    <w:tcW w:w="1018" w:type="pct"/>
                    <w:tcBorders>
                      <w:top w:val="outset" w:sz="4" w:space="0" w:color="auto"/>
                      <w:left w:val="outset" w:sz="4" w:space="0" w:color="auto"/>
                      <w:bottom w:val="outset" w:sz="4" w:space="0" w:color="auto"/>
                      <w:right w:val="outset" w:sz="4" w:space="0" w:color="auto"/>
                    </w:tcBorders>
                  </w:tcPr>
                  <w:p w14:paraId="6B7CCEF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447,965.07</w:t>
                    </w:r>
                  </w:p>
                </w:tc>
                <w:tc>
                  <w:tcPr>
                    <w:tcW w:w="1179" w:type="pct"/>
                    <w:tcBorders>
                      <w:top w:val="outset" w:sz="4" w:space="0" w:color="auto"/>
                      <w:left w:val="outset" w:sz="4" w:space="0" w:color="auto"/>
                      <w:bottom w:val="outset" w:sz="4" w:space="0" w:color="auto"/>
                      <w:right w:val="outset" w:sz="4" w:space="0" w:color="auto"/>
                    </w:tcBorders>
                    <w:vAlign w:val="center"/>
                  </w:tcPr>
                  <w:p w14:paraId="2E1CF283" w14:textId="77777777" w:rsidR="00F066B5" w:rsidRPr="009635E0" w:rsidRDefault="00F066B5" w:rsidP="00180AE1">
                    <w:pPr>
                      <w:jc w:val="right"/>
                      <w:rPr>
                        <w:rFonts w:ascii="Times New Roman" w:hAnsi="Times New Roman" w:cs="Times New Roman"/>
                        <w:szCs w:val="21"/>
                      </w:rPr>
                    </w:pPr>
                    <w:r>
                      <w:t>-</w:t>
                    </w:r>
                  </w:p>
                </w:tc>
              </w:tr>
              <w:tr w:rsidR="00F066B5" w14:paraId="45DDF628" w14:textId="77777777" w:rsidTr="00180AE1">
                <w:sdt>
                  <w:sdtPr>
                    <w:tag w:val="_PLD_d3dfcf3e9c1e4ba1a222b98847f77185"/>
                    <w:id w:val="-114064637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5ECA888" w14:textId="77777777" w:rsidR="00F066B5" w:rsidRDefault="00F066B5" w:rsidP="00180AE1">
                        <w:pPr>
                          <w:ind w:firstLineChars="100" w:firstLine="210"/>
                          <w:rPr>
                            <w:szCs w:val="21"/>
                          </w:rPr>
                        </w:pPr>
                        <w:r>
                          <w:rPr>
                            <w:rFonts w:hint="eastAsia"/>
                            <w:szCs w:val="21"/>
                          </w:rPr>
                          <w:t>无形资产</w:t>
                        </w:r>
                      </w:p>
                    </w:tc>
                  </w:sdtContent>
                </w:sdt>
                <w:tc>
                  <w:tcPr>
                    <w:tcW w:w="1199" w:type="pct"/>
                    <w:tcBorders>
                      <w:top w:val="outset" w:sz="4" w:space="0" w:color="auto"/>
                      <w:left w:val="outset" w:sz="4" w:space="0" w:color="auto"/>
                      <w:bottom w:val="outset" w:sz="4" w:space="0" w:color="auto"/>
                      <w:right w:val="outset" w:sz="4" w:space="0" w:color="auto"/>
                    </w:tcBorders>
                  </w:tcPr>
                  <w:p w14:paraId="430A61AB"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44,692,883.55</w:t>
                    </w:r>
                  </w:p>
                </w:tc>
                <w:tc>
                  <w:tcPr>
                    <w:tcW w:w="1018" w:type="pct"/>
                    <w:tcBorders>
                      <w:top w:val="outset" w:sz="4" w:space="0" w:color="auto"/>
                      <w:left w:val="outset" w:sz="4" w:space="0" w:color="auto"/>
                      <w:bottom w:val="outset" w:sz="4" w:space="0" w:color="auto"/>
                      <w:right w:val="outset" w:sz="4" w:space="0" w:color="auto"/>
                    </w:tcBorders>
                  </w:tcPr>
                  <w:p w14:paraId="0051A50E"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44,692,883.55</w:t>
                    </w:r>
                  </w:p>
                </w:tc>
                <w:tc>
                  <w:tcPr>
                    <w:tcW w:w="1179" w:type="pct"/>
                    <w:tcBorders>
                      <w:top w:val="outset" w:sz="4" w:space="0" w:color="auto"/>
                      <w:left w:val="outset" w:sz="4" w:space="0" w:color="auto"/>
                      <w:bottom w:val="outset" w:sz="4" w:space="0" w:color="auto"/>
                      <w:right w:val="outset" w:sz="4" w:space="0" w:color="auto"/>
                    </w:tcBorders>
                    <w:vAlign w:val="center"/>
                  </w:tcPr>
                  <w:p w14:paraId="5735CBF2" w14:textId="77777777" w:rsidR="00F066B5" w:rsidRPr="009635E0" w:rsidRDefault="00F066B5" w:rsidP="00180AE1">
                    <w:pPr>
                      <w:jc w:val="right"/>
                      <w:rPr>
                        <w:rFonts w:ascii="Times New Roman" w:hAnsi="Times New Roman" w:cs="Times New Roman"/>
                        <w:szCs w:val="21"/>
                      </w:rPr>
                    </w:pPr>
                    <w:r>
                      <w:t>-</w:t>
                    </w:r>
                  </w:p>
                </w:tc>
              </w:tr>
              <w:tr w:rsidR="00F066B5" w14:paraId="5E1C0FAE" w14:textId="77777777" w:rsidTr="00180AE1">
                <w:sdt>
                  <w:sdtPr>
                    <w:tag w:val="_PLD_53d257ee3505443db4987c29f2554910"/>
                    <w:id w:val="-38826181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F392C54" w14:textId="77777777" w:rsidR="00F066B5" w:rsidRDefault="00F066B5" w:rsidP="00180AE1">
                        <w:pPr>
                          <w:ind w:firstLineChars="100" w:firstLine="210"/>
                          <w:rPr>
                            <w:szCs w:val="21"/>
                          </w:rPr>
                        </w:pPr>
                        <w:r>
                          <w:rPr>
                            <w:rFonts w:hint="eastAsia"/>
                            <w:szCs w:val="21"/>
                          </w:rPr>
                          <w:t>递延所得税资产</w:t>
                        </w:r>
                      </w:p>
                    </w:tc>
                  </w:sdtContent>
                </w:sdt>
                <w:tc>
                  <w:tcPr>
                    <w:tcW w:w="1199" w:type="pct"/>
                    <w:tcBorders>
                      <w:top w:val="outset" w:sz="4" w:space="0" w:color="auto"/>
                      <w:left w:val="outset" w:sz="4" w:space="0" w:color="auto"/>
                      <w:bottom w:val="outset" w:sz="4" w:space="0" w:color="auto"/>
                      <w:right w:val="outset" w:sz="4" w:space="0" w:color="auto"/>
                    </w:tcBorders>
                  </w:tcPr>
                  <w:p w14:paraId="7F667D8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31,149,519.27</w:t>
                    </w:r>
                  </w:p>
                </w:tc>
                <w:tc>
                  <w:tcPr>
                    <w:tcW w:w="1018" w:type="pct"/>
                    <w:tcBorders>
                      <w:top w:val="outset" w:sz="4" w:space="0" w:color="auto"/>
                      <w:left w:val="outset" w:sz="4" w:space="0" w:color="auto"/>
                      <w:bottom w:val="outset" w:sz="4" w:space="0" w:color="auto"/>
                      <w:right w:val="outset" w:sz="4" w:space="0" w:color="auto"/>
                    </w:tcBorders>
                  </w:tcPr>
                  <w:p w14:paraId="19E9F31E"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31,149,519.27</w:t>
                    </w:r>
                  </w:p>
                </w:tc>
                <w:tc>
                  <w:tcPr>
                    <w:tcW w:w="1179" w:type="pct"/>
                    <w:tcBorders>
                      <w:top w:val="outset" w:sz="4" w:space="0" w:color="auto"/>
                      <w:left w:val="outset" w:sz="4" w:space="0" w:color="auto"/>
                      <w:bottom w:val="outset" w:sz="4" w:space="0" w:color="auto"/>
                      <w:right w:val="outset" w:sz="4" w:space="0" w:color="auto"/>
                    </w:tcBorders>
                    <w:vAlign w:val="center"/>
                  </w:tcPr>
                  <w:p w14:paraId="3F20885C" w14:textId="77777777" w:rsidR="00F066B5" w:rsidRPr="009635E0" w:rsidRDefault="00F066B5" w:rsidP="00180AE1">
                    <w:pPr>
                      <w:jc w:val="right"/>
                      <w:rPr>
                        <w:rFonts w:ascii="Times New Roman" w:hAnsi="Times New Roman" w:cs="Times New Roman"/>
                        <w:szCs w:val="21"/>
                      </w:rPr>
                    </w:pPr>
                    <w:r>
                      <w:t>-</w:t>
                    </w:r>
                  </w:p>
                </w:tc>
              </w:tr>
              <w:tr w:rsidR="00F066B5" w14:paraId="6FB30182" w14:textId="77777777" w:rsidTr="00180AE1">
                <w:sdt>
                  <w:sdtPr>
                    <w:tag w:val="_PLD_919069c92934428fbcfd69549ecd9bfe"/>
                    <w:id w:val="-138394496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5927361" w14:textId="77777777" w:rsidR="00F066B5" w:rsidRDefault="00F066B5" w:rsidP="00180AE1">
                        <w:pPr>
                          <w:ind w:firstLineChars="100" w:firstLine="210"/>
                          <w:rPr>
                            <w:szCs w:val="21"/>
                          </w:rPr>
                        </w:pPr>
                        <w:r>
                          <w:rPr>
                            <w:rFonts w:hint="eastAsia"/>
                            <w:szCs w:val="21"/>
                          </w:rPr>
                          <w:t>其他非流动资产</w:t>
                        </w:r>
                      </w:p>
                    </w:tc>
                  </w:sdtContent>
                </w:sdt>
                <w:tc>
                  <w:tcPr>
                    <w:tcW w:w="1199" w:type="pct"/>
                    <w:tcBorders>
                      <w:top w:val="outset" w:sz="4" w:space="0" w:color="auto"/>
                      <w:left w:val="outset" w:sz="4" w:space="0" w:color="auto"/>
                      <w:bottom w:val="outset" w:sz="4" w:space="0" w:color="auto"/>
                      <w:right w:val="outset" w:sz="4" w:space="0" w:color="auto"/>
                    </w:tcBorders>
                  </w:tcPr>
                  <w:p w14:paraId="0E61430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39,812,686.37</w:t>
                    </w:r>
                  </w:p>
                </w:tc>
                <w:tc>
                  <w:tcPr>
                    <w:tcW w:w="1018" w:type="pct"/>
                    <w:tcBorders>
                      <w:top w:val="outset" w:sz="4" w:space="0" w:color="auto"/>
                      <w:left w:val="outset" w:sz="4" w:space="0" w:color="auto"/>
                      <w:bottom w:val="outset" w:sz="4" w:space="0" w:color="auto"/>
                      <w:right w:val="outset" w:sz="4" w:space="0" w:color="auto"/>
                    </w:tcBorders>
                  </w:tcPr>
                  <w:p w14:paraId="445547DF"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39,812,686.37</w:t>
                    </w:r>
                  </w:p>
                </w:tc>
                <w:tc>
                  <w:tcPr>
                    <w:tcW w:w="1179" w:type="pct"/>
                    <w:tcBorders>
                      <w:top w:val="outset" w:sz="4" w:space="0" w:color="auto"/>
                      <w:left w:val="outset" w:sz="4" w:space="0" w:color="auto"/>
                      <w:bottom w:val="outset" w:sz="4" w:space="0" w:color="auto"/>
                      <w:right w:val="outset" w:sz="4" w:space="0" w:color="auto"/>
                    </w:tcBorders>
                    <w:vAlign w:val="center"/>
                  </w:tcPr>
                  <w:p w14:paraId="16B3182C" w14:textId="77777777" w:rsidR="00F066B5" w:rsidRPr="009635E0" w:rsidRDefault="00F066B5" w:rsidP="00180AE1">
                    <w:pPr>
                      <w:jc w:val="right"/>
                      <w:rPr>
                        <w:rFonts w:ascii="Times New Roman" w:hAnsi="Times New Roman" w:cs="Times New Roman"/>
                        <w:szCs w:val="21"/>
                      </w:rPr>
                    </w:pPr>
                    <w:r>
                      <w:t>-</w:t>
                    </w:r>
                  </w:p>
                </w:tc>
              </w:tr>
              <w:tr w:rsidR="00F066B5" w14:paraId="327205C1" w14:textId="77777777" w:rsidTr="00180AE1">
                <w:sdt>
                  <w:sdtPr>
                    <w:tag w:val="_PLD_f24ecc71dadc469a9a36c98fcc2789eb"/>
                    <w:id w:val="-1644418917"/>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14DDAE7" w14:textId="77777777" w:rsidR="00F066B5" w:rsidRDefault="00F066B5" w:rsidP="00180AE1">
                        <w:pPr>
                          <w:ind w:firstLineChars="200" w:firstLine="420"/>
                          <w:rPr>
                            <w:szCs w:val="21"/>
                          </w:rPr>
                        </w:pPr>
                        <w:r>
                          <w:rPr>
                            <w:rFonts w:hint="eastAsia"/>
                            <w:szCs w:val="21"/>
                          </w:rPr>
                          <w:t>非流动资产合计</w:t>
                        </w:r>
                      </w:p>
                    </w:tc>
                  </w:sdtContent>
                </w:sdt>
                <w:tc>
                  <w:tcPr>
                    <w:tcW w:w="1199" w:type="pct"/>
                    <w:tcBorders>
                      <w:top w:val="outset" w:sz="4" w:space="0" w:color="auto"/>
                      <w:left w:val="outset" w:sz="4" w:space="0" w:color="auto"/>
                      <w:bottom w:val="outset" w:sz="4" w:space="0" w:color="auto"/>
                      <w:right w:val="outset" w:sz="4" w:space="0" w:color="auto"/>
                    </w:tcBorders>
                  </w:tcPr>
                  <w:p w14:paraId="62D3A15D"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1,599,045,512.62</w:t>
                    </w:r>
                  </w:p>
                </w:tc>
                <w:tc>
                  <w:tcPr>
                    <w:tcW w:w="1018" w:type="pct"/>
                    <w:tcBorders>
                      <w:top w:val="outset" w:sz="4" w:space="0" w:color="auto"/>
                      <w:left w:val="outset" w:sz="4" w:space="0" w:color="auto"/>
                      <w:bottom w:val="outset" w:sz="4" w:space="0" w:color="auto"/>
                      <w:right w:val="outset" w:sz="4" w:space="0" w:color="auto"/>
                    </w:tcBorders>
                  </w:tcPr>
                  <w:p w14:paraId="6BE257A1"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1,599,045,512.62</w:t>
                    </w:r>
                  </w:p>
                </w:tc>
                <w:tc>
                  <w:tcPr>
                    <w:tcW w:w="1179" w:type="pct"/>
                    <w:tcBorders>
                      <w:top w:val="outset" w:sz="4" w:space="0" w:color="auto"/>
                      <w:left w:val="outset" w:sz="4" w:space="0" w:color="auto"/>
                      <w:bottom w:val="outset" w:sz="4" w:space="0" w:color="auto"/>
                      <w:right w:val="outset" w:sz="4" w:space="0" w:color="auto"/>
                    </w:tcBorders>
                    <w:vAlign w:val="center"/>
                  </w:tcPr>
                  <w:p w14:paraId="6548BC70" w14:textId="77777777" w:rsidR="00F066B5" w:rsidRPr="009635E0" w:rsidRDefault="00F066B5" w:rsidP="00180AE1">
                    <w:pPr>
                      <w:jc w:val="right"/>
                      <w:rPr>
                        <w:rFonts w:ascii="Times New Roman" w:hAnsi="Times New Roman" w:cs="Times New Roman"/>
                        <w:szCs w:val="21"/>
                      </w:rPr>
                    </w:pPr>
                    <w:r>
                      <w:t>-</w:t>
                    </w:r>
                  </w:p>
                </w:tc>
              </w:tr>
              <w:tr w:rsidR="00F066B5" w14:paraId="4E97F0FB" w14:textId="77777777" w:rsidTr="00180AE1">
                <w:sdt>
                  <w:sdtPr>
                    <w:tag w:val="_PLD_51977f8ffa3f40279adeb2efeb9bc455"/>
                    <w:id w:val="-212367606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B539A9F" w14:textId="77777777" w:rsidR="00F066B5" w:rsidRDefault="00F066B5" w:rsidP="00180AE1">
                        <w:pPr>
                          <w:ind w:firstLineChars="300" w:firstLine="630"/>
                          <w:rPr>
                            <w:szCs w:val="21"/>
                          </w:rPr>
                        </w:pPr>
                        <w:r>
                          <w:rPr>
                            <w:rFonts w:hint="eastAsia"/>
                            <w:szCs w:val="21"/>
                          </w:rPr>
                          <w:t>资产总计</w:t>
                        </w:r>
                      </w:p>
                    </w:tc>
                  </w:sdtContent>
                </w:sdt>
                <w:tc>
                  <w:tcPr>
                    <w:tcW w:w="1199" w:type="pct"/>
                    <w:tcBorders>
                      <w:top w:val="outset" w:sz="4" w:space="0" w:color="auto"/>
                      <w:left w:val="outset" w:sz="4" w:space="0" w:color="auto"/>
                      <w:bottom w:val="outset" w:sz="4" w:space="0" w:color="auto"/>
                      <w:right w:val="outset" w:sz="4" w:space="0" w:color="auto"/>
                    </w:tcBorders>
                  </w:tcPr>
                  <w:p w14:paraId="315FB9FA"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3,224,601,287.92</w:t>
                    </w:r>
                  </w:p>
                </w:tc>
                <w:tc>
                  <w:tcPr>
                    <w:tcW w:w="1018" w:type="pct"/>
                    <w:tcBorders>
                      <w:top w:val="outset" w:sz="4" w:space="0" w:color="auto"/>
                      <w:left w:val="outset" w:sz="4" w:space="0" w:color="auto"/>
                      <w:bottom w:val="outset" w:sz="4" w:space="0" w:color="auto"/>
                      <w:right w:val="outset" w:sz="4" w:space="0" w:color="auto"/>
                    </w:tcBorders>
                  </w:tcPr>
                  <w:p w14:paraId="406E7B1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3,224,601,287.92</w:t>
                    </w:r>
                  </w:p>
                </w:tc>
                <w:tc>
                  <w:tcPr>
                    <w:tcW w:w="1179" w:type="pct"/>
                    <w:tcBorders>
                      <w:top w:val="outset" w:sz="4" w:space="0" w:color="auto"/>
                      <w:left w:val="outset" w:sz="4" w:space="0" w:color="auto"/>
                      <w:bottom w:val="outset" w:sz="4" w:space="0" w:color="auto"/>
                      <w:right w:val="outset" w:sz="4" w:space="0" w:color="auto"/>
                    </w:tcBorders>
                    <w:vAlign w:val="center"/>
                  </w:tcPr>
                  <w:p w14:paraId="6975284D" w14:textId="77777777" w:rsidR="00F066B5" w:rsidRPr="009635E0" w:rsidRDefault="00F066B5" w:rsidP="00180AE1">
                    <w:pPr>
                      <w:jc w:val="right"/>
                      <w:rPr>
                        <w:rFonts w:ascii="Times New Roman" w:hAnsi="Times New Roman" w:cs="Times New Roman"/>
                        <w:szCs w:val="21"/>
                      </w:rPr>
                    </w:pPr>
                    <w:r>
                      <w:t>-</w:t>
                    </w:r>
                  </w:p>
                </w:tc>
              </w:tr>
              <w:tr w:rsidR="00F066B5" w14:paraId="6D5FCDA4" w14:textId="77777777" w:rsidTr="00180AE1">
                <w:sdt>
                  <w:sdtPr>
                    <w:rPr>
                      <w:rFonts w:ascii="Times New Roman" w:hAnsi="Times New Roman" w:cs="Times New Roman"/>
                    </w:rPr>
                    <w:tag w:val="_PLD_db8d96c989354c3296a1eda26de6ec79"/>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604B350" w14:textId="77777777" w:rsidR="00F066B5" w:rsidRPr="009635E0" w:rsidRDefault="00F066B5" w:rsidP="00180AE1">
                        <w:pPr>
                          <w:rPr>
                            <w:rFonts w:ascii="Times New Roman" w:hAnsi="Times New Roman" w:cs="Times New Roman"/>
                            <w:color w:val="008000"/>
                            <w:szCs w:val="21"/>
                          </w:rPr>
                        </w:pPr>
                        <w:r w:rsidRPr="009635E0">
                          <w:rPr>
                            <w:rFonts w:ascii="Times New Roman" w:hAnsi="Times New Roman" w:cs="Times New Roman"/>
                            <w:b/>
                            <w:bCs/>
                            <w:szCs w:val="21"/>
                          </w:rPr>
                          <w:t>流动负债：</w:t>
                        </w:r>
                      </w:p>
                    </w:tc>
                  </w:sdtContent>
                </w:sdt>
              </w:tr>
              <w:tr w:rsidR="00F066B5" w14:paraId="24B1A15E" w14:textId="77777777" w:rsidTr="00180AE1">
                <w:sdt>
                  <w:sdtPr>
                    <w:tag w:val="_PLD_3e2e2cae5fe54175954842f21e380792"/>
                    <w:id w:val="-181632430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F60F4A8" w14:textId="77777777" w:rsidR="00F066B5" w:rsidRDefault="00F066B5" w:rsidP="00180AE1">
                        <w:pPr>
                          <w:ind w:firstLineChars="100" w:firstLine="210"/>
                          <w:rPr>
                            <w:szCs w:val="21"/>
                          </w:rPr>
                        </w:pPr>
                        <w:r>
                          <w:rPr>
                            <w:rFonts w:hint="eastAsia"/>
                            <w:szCs w:val="21"/>
                          </w:rPr>
                          <w:t>短期借款</w:t>
                        </w:r>
                      </w:p>
                    </w:tc>
                  </w:sdtContent>
                </w:sdt>
                <w:tc>
                  <w:tcPr>
                    <w:tcW w:w="1199" w:type="pct"/>
                    <w:tcBorders>
                      <w:top w:val="outset" w:sz="4" w:space="0" w:color="auto"/>
                      <w:left w:val="outset" w:sz="4" w:space="0" w:color="auto"/>
                      <w:bottom w:val="outset" w:sz="4" w:space="0" w:color="auto"/>
                      <w:right w:val="outset" w:sz="4" w:space="0" w:color="auto"/>
                    </w:tcBorders>
                  </w:tcPr>
                  <w:p w14:paraId="1596900D"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141,738,960.59</w:t>
                    </w:r>
                  </w:p>
                </w:tc>
                <w:tc>
                  <w:tcPr>
                    <w:tcW w:w="1018" w:type="pct"/>
                    <w:tcBorders>
                      <w:top w:val="outset" w:sz="4" w:space="0" w:color="auto"/>
                      <w:left w:val="outset" w:sz="4" w:space="0" w:color="auto"/>
                      <w:bottom w:val="outset" w:sz="4" w:space="0" w:color="auto"/>
                      <w:right w:val="outset" w:sz="4" w:space="0" w:color="auto"/>
                    </w:tcBorders>
                  </w:tcPr>
                  <w:p w14:paraId="4C20ECFB"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141,738,960.59</w:t>
                    </w:r>
                  </w:p>
                </w:tc>
                <w:tc>
                  <w:tcPr>
                    <w:tcW w:w="1179" w:type="pct"/>
                    <w:tcBorders>
                      <w:top w:val="outset" w:sz="4" w:space="0" w:color="auto"/>
                      <w:left w:val="outset" w:sz="4" w:space="0" w:color="auto"/>
                      <w:bottom w:val="outset" w:sz="4" w:space="0" w:color="auto"/>
                      <w:right w:val="outset" w:sz="4" w:space="0" w:color="auto"/>
                    </w:tcBorders>
                    <w:vAlign w:val="center"/>
                  </w:tcPr>
                  <w:p w14:paraId="2630441C" w14:textId="77777777" w:rsidR="00F066B5" w:rsidRPr="009635E0" w:rsidRDefault="00F066B5" w:rsidP="00180AE1">
                    <w:pPr>
                      <w:jc w:val="right"/>
                      <w:rPr>
                        <w:rFonts w:ascii="Times New Roman" w:hAnsi="Times New Roman" w:cs="Times New Roman"/>
                        <w:szCs w:val="21"/>
                      </w:rPr>
                    </w:pPr>
                    <w:r>
                      <w:t>-</w:t>
                    </w:r>
                  </w:p>
                </w:tc>
              </w:tr>
              <w:tr w:rsidR="00F066B5" w14:paraId="78961E0A" w14:textId="77777777" w:rsidTr="00180AE1">
                <w:sdt>
                  <w:sdtPr>
                    <w:tag w:val="_PLD_120db261af8f49df8aaf60cf2fb46c78"/>
                    <w:id w:val="145706740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D8859A8" w14:textId="77777777" w:rsidR="00F066B5" w:rsidRDefault="00F066B5" w:rsidP="00180AE1">
                        <w:pPr>
                          <w:ind w:firstLineChars="100" w:firstLine="210"/>
                        </w:pPr>
                        <w:r>
                          <w:rPr>
                            <w:rFonts w:hint="eastAsia"/>
                          </w:rPr>
                          <w:t>应付账款</w:t>
                        </w:r>
                      </w:p>
                    </w:tc>
                  </w:sdtContent>
                </w:sdt>
                <w:tc>
                  <w:tcPr>
                    <w:tcW w:w="1199" w:type="pct"/>
                    <w:tcBorders>
                      <w:top w:val="outset" w:sz="4" w:space="0" w:color="auto"/>
                      <w:left w:val="outset" w:sz="4" w:space="0" w:color="auto"/>
                      <w:bottom w:val="outset" w:sz="4" w:space="0" w:color="auto"/>
                      <w:right w:val="outset" w:sz="4" w:space="0" w:color="auto"/>
                    </w:tcBorders>
                  </w:tcPr>
                  <w:p w14:paraId="02E458F4" w14:textId="77777777" w:rsidR="00F066B5" w:rsidRPr="009635E0" w:rsidRDefault="00F066B5" w:rsidP="00180AE1">
                    <w:pPr>
                      <w:jc w:val="right"/>
                      <w:rPr>
                        <w:rFonts w:ascii="Times New Roman" w:hAnsi="Times New Roman" w:cs="Times New Roman"/>
                        <w:szCs w:val="21"/>
                      </w:rPr>
                    </w:pPr>
                    <w:r w:rsidRPr="009635E0">
                      <w:rPr>
                        <w:rStyle w:val="aff6"/>
                        <w:rFonts w:ascii="Times New Roman" w:hAnsi="Times New Roman" w:cs="Times New Roman"/>
                      </w:rPr>
                      <w:t>157,810,613.68</w:t>
                    </w:r>
                  </w:p>
                </w:tc>
                <w:tc>
                  <w:tcPr>
                    <w:tcW w:w="1018" w:type="pct"/>
                    <w:tcBorders>
                      <w:top w:val="outset" w:sz="4" w:space="0" w:color="auto"/>
                      <w:left w:val="outset" w:sz="4" w:space="0" w:color="auto"/>
                      <w:bottom w:val="outset" w:sz="4" w:space="0" w:color="auto"/>
                      <w:right w:val="outset" w:sz="4" w:space="0" w:color="auto"/>
                    </w:tcBorders>
                  </w:tcPr>
                  <w:p w14:paraId="0D3530BB" w14:textId="77777777" w:rsidR="00F066B5" w:rsidRPr="009635E0" w:rsidRDefault="00F066B5" w:rsidP="00180AE1">
                    <w:pPr>
                      <w:jc w:val="right"/>
                      <w:rPr>
                        <w:rFonts w:ascii="Times New Roman" w:hAnsi="Times New Roman" w:cs="Times New Roman"/>
                        <w:szCs w:val="21"/>
                      </w:rPr>
                    </w:pPr>
                    <w:r w:rsidRPr="009635E0">
                      <w:rPr>
                        <w:rStyle w:val="aff6"/>
                        <w:rFonts w:ascii="Times New Roman" w:hAnsi="Times New Roman" w:cs="Times New Roman"/>
                      </w:rPr>
                      <w:t>157,810,613.68</w:t>
                    </w:r>
                  </w:p>
                </w:tc>
                <w:tc>
                  <w:tcPr>
                    <w:tcW w:w="1179" w:type="pct"/>
                    <w:tcBorders>
                      <w:top w:val="outset" w:sz="4" w:space="0" w:color="auto"/>
                      <w:left w:val="outset" w:sz="4" w:space="0" w:color="auto"/>
                      <w:bottom w:val="outset" w:sz="4" w:space="0" w:color="auto"/>
                      <w:right w:val="outset" w:sz="4" w:space="0" w:color="auto"/>
                    </w:tcBorders>
                    <w:vAlign w:val="center"/>
                  </w:tcPr>
                  <w:p w14:paraId="4C9B303B" w14:textId="77777777" w:rsidR="00F066B5" w:rsidRPr="009635E0" w:rsidRDefault="00F066B5" w:rsidP="00180AE1">
                    <w:pPr>
                      <w:jc w:val="right"/>
                      <w:rPr>
                        <w:rFonts w:ascii="Times New Roman" w:hAnsi="Times New Roman" w:cs="Times New Roman"/>
                        <w:szCs w:val="21"/>
                      </w:rPr>
                    </w:pPr>
                    <w:r>
                      <w:t>-</w:t>
                    </w:r>
                  </w:p>
                </w:tc>
              </w:tr>
              <w:tr w:rsidR="00F066B5" w14:paraId="32F7E4A7" w14:textId="77777777" w:rsidTr="00180AE1">
                <w:tc>
                  <w:tcPr>
                    <w:tcW w:w="16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561f0d0a0a34a85828d80c58f692fff"/>
                      <w:id w:val="-1117990423"/>
                      <w:lock w:val="sdtLocked"/>
                    </w:sdtPr>
                    <w:sdtEndPr/>
                    <w:sdtContent>
                      <w:p w14:paraId="320B55A7" w14:textId="77777777" w:rsidR="00F066B5" w:rsidRDefault="00F066B5" w:rsidP="00180AE1">
                        <w:pPr>
                          <w:ind w:firstLineChars="100" w:firstLine="210"/>
                        </w:pPr>
                        <w:r>
                          <w:rPr>
                            <w:rFonts w:hint="eastAsia"/>
                          </w:rPr>
                          <w:t>合同负债</w:t>
                        </w:r>
                      </w:p>
                    </w:sdtContent>
                  </w:sdt>
                </w:tc>
                <w:tc>
                  <w:tcPr>
                    <w:tcW w:w="1199" w:type="pct"/>
                    <w:tcBorders>
                      <w:top w:val="outset" w:sz="4" w:space="0" w:color="auto"/>
                      <w:left w:val="outset" w:sz="4" w:space="0" w:color="auto"/>
                      <w:bottom w:val="outset" w:sz="4" w:space="0" w:color="auto"/>
                      <w:right w:val="outset" w:sz="4" w:space="0" w:color="auto"/>
                    </w:tcBorders>
                  </w:tcPr>
                  <w:p w14:paraId="77E1B06C"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7,453,325.28</w:t>
                    </w:r>
                  </w:p>
                </w:tc>
                <w:tc>
                  <w:tcPr>
                    <w:tcW w:w="1018" w:type="pct"/>
                    <w:tcBorders>
                      <w:top w:val="outset" w:sz="4" w:space="0" w:color="auto"/>
                      <w:left w:val="outset" w:sz="4" w:space="0" w:color="auto"/>
                      <w:bottom w:val="outset" w:sz="4" w:space="0" w:color="auto"/>
                      <w:right w:val="outset" w:sz="4" w:space="0" w:color="auto"/>
                    </w:tcBorders>
                  </w:tcPr>
                  <w:p w14:paraId="283A0763"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7,453,325.28</w:t>
                    </w:r>
                  </w:p>
                </w:tc>
                <w:tc>
                  <w:tcPr>
                    <w:tcW w:w="1179" w:type="pct"/>
                    <w:tcBorders>
                      <w:top w:val="outset" w:sz="4" w:space="0" w:color="auto"/>
                      <w:left w:val="outset" w:sz="4" w:space="0" w:color="auto"/>
                      <w:bottom w:val="outset" w:sz="4" w:space="0" w:color="auto"/>
                      <w:right w:val="outset" w:sz="4" w:space="0" w:color="auto"/>
                    </w:tcBorders>
                    <w:vAlign w:val="center"/>
                  </w:tcPr>
                  <w:p w14:paraId="553A2706" w14:textId="77777777" w:rsidR="00F066B5" w:rsidRPr="009635E0" w:rsidRDefault="00F066B5" w:rsidP="00180AE1">
                    <w:pPr>
                      <w:jc w:val="right"/>
                      <w:rPr>
                        <w:rFonts w:ascii="Times New Roman" w:hAnsi="Times New Roman" w:cs="Times New Roman"/>
                        <w:szCs w:val="21"/>
                      </w:rPr>
                    </w:pPr>
                    <w:r>
                      <w:t>-</w:t>
                    </w:r>
                  </w:p>
                </w:tc>
              </w:tr>
              <w:tr w:rsidR="00F066B5" w14:paraId="15E9FD97" w14:textId="77777777" w:rsidTr="00180AE1">
                <w:sdt>
                  <w:sdtPr>
                    <w:tag w:val="_PLD_fe577d9706c54cc5a0e6f7a4f5604308"/>
                    <w:id w:val="176243670"/>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B0B9B7B" w14:textId="77777777" w:rsidR="00F066B5" w:rsidRDefault="00F066B5" w:rsidP="00180AE1">
                        <w:pPr>
                          <w:ind w:firstLineChars="100" w:firstLine="210"/>
                          <w:rPr>
                            <w:szCs w:val="21"/>
                          </w:rPr>
                        </w:pPr>
                        <w:r>
                          <w:rPr>
                            <w:rFonts w:hint="eastAsia"/>
                            <w:szCs w:val="21"/>
                          </w:rPr>
                          <w:t>应付职工薪酬</w:t>
                        </w:r>
                      </w:p>
                    </w:tc>
                  </w:sdtContent>
                </w:sdt>
                <w:tc>
                  <w:tcPr>
                    <w:tcW w:w="1199" w:type="pct"/>
                    <w:tcBorders>
                      <w:top w:val="outset" w:sz="4" w:space="0" w:color="auto"/>
                      <w:left w:val="outset" w:sz="4" w:space="0" w:color="auto"/>
                      <w:bottom w:val="outset" w:sz="4" w:space="0" w:color="auto"/>
                      <w:right w:val="outset" w:sz="4" w:space="0" w:color="auto"/>
                    </w:tcBorders>
                  </w:tcPr>
                  <w:p w14:paraId="37589C1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11,462,412.58</w:t>
                    </w:r>
                  </w:p>
                </w:tc>
                <w:tc>
                  <w:tcPr>
                    <w:tcW w:w="1018" w:type="pct"/>
                    <w:tcBorders>
                      <w:top w:val="outset" w:sz="4" w:space="0" w:color="auto"/>
                      <w:left w:val="outset" w:sz="4" w:space="0" w:color="auto"/>
                      <w:bottom w:val="outset" w:sz="4" w:space="0" w:color="auto"/>
                      <w:right w:val="outset" w:sz="4" w:space="0" w:color="auto"/>
                    </w:tcBorders>
                  </w:tcPr>
                  <w:p w14:paraId="5D691976"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11,462,412.58</w:t>
                    </w:r>
                  </w:p>
                </w:tc>
                <w:tc>
                  <w:tcPr>
                    <w:tcW w:w="1179" w:type="pct"/>
                    <w:tcBorders>
                      <w:top w:val="outset" w:sz="4" w:space="0" w:color="auto"/>
                      <w:left w:val="outset" w:sz="4" w:space="0" w:color="auto"/>
                      <w:bottom w:val="outset" w:sz="4" w:space="0" w:color="auto"/>
                      <w:right w:val="outset" w:sz="4" w:space="0" w:color="auto"/>
                    </w:tcBorders>
                    <w:vAlign w:val="center"/>
                  </w:tcPr>
                  <w:p w14:paraId="2402AE6B" w14:textId="77777777" w:rsidR="00F066B5" w:rsidRPr="009635E0" w:rsidRDefault="00F066B5" w:rsidP="00180AE1">
                    <w:pPr>
                      <w:jc w:val="right"/>
                      <w:rPr>
                        <w:rFonts w:ascii="Times New Roman" w:hAnsi="Times New Roman" w:cs="Times New Roman"/>
                        <w:szCs w:val="21"/>
                      </w:rPr>
                    </w:pPr>
                    <w:r>
                      <w:t>-</w:t>
                    </w:r>
                  </w:p>
                </w:tc>
              </w:tr>
              <w:tr w:rsidR="00F066B5" w14:paraId="3259A11C" w14:textId="77777777" w:rsidTr="00180AE1">
                <w:sdt>
                  <w:sdtPr>
                    <w:tag w:val="_PLD_51b9a6704bb24333afd79a9e810f3762"/>
                    <w:id w:val="184629226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CB23E9B" w14:textId="77777777" w:rsidR="00F066B5" w:rsidRDefault="00F066B5" w:rsidP="00180AE1">
                        <w:pPr>
                          <w:ind w:firstLineChars="100" w:firstLine="210"/>
                          <w:rPr>
                            <w:szCs w:val="21"/>
                          </w:rPr>
                        </w:pPr>
                        <w:r>
                          <w:rPr>
                            <w:rFonts w:hint="eastAsia"/>
                            <w:szCs w:val="21"/>
                          </w:rPr>
                          <w:t>应交税费</w:t>
                        </w:r>
                      </w:p>
                    </w:tc>
                  </w:sdtContent>
                </w:sdt>
                <w:tc>
                  <w:tcPr>
                    <w:tcW w:w="1199" w:type="pct"/>
                    <w:tcBorders>
                      <w:top w:val="outset" w:sz="4" w:space="0" w:color="auto"/>
                      <w:left w:val="outset" w:sz="4" w:space="0" w:color="auto"/>
                      <w:bottom w:val="outset" w:sz="4" w:space="0" w:color="auto"/>
                      <w:right w:val="outset" w:sz="4" w:space="0" w:color="auto"/>
                    </w:tcBorders>
                  </w:tcPr>
                  <w:p w14:paraId="6D18955A"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710,105.46</w:t>
                    </w:r>
                  </w:p>
                </w:tc>
                <w:tc>
                  <w:tcPr>
                    <w:tcW w:w="1018" w:type="pct"/>
                    <w:tcBorders>
                      <w:top w:val="outset" w:sz="4" w:space="0" w:color="auto"/>
                      <w:left w:val="outset" w:sz="4" w:space="0" w:color="auto"/>
                      <w:bottom w:val="outset" w:sz="4" w:space="0" w:color="auto"/>
                      <w:right w:val="outset" w:sz="4" w:space="0" w:color="auto"/>
                    </w:tcBorders>
                  </w:tcPr>
                  <w:p w14:paraId="63267DC0"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710,105.46</w:t>
                    </w:r>
                  </w:p>
                </w:tc>
                <w:tc>
                  <w:tcPr>
                    <w:tcW w:w="1179" w:type="pct"/>
                    <w:tcBorders>
                      <w:top w:val="outset" w:sz="4" w:space="0" w:color="auto"/>
                      <w:left w:val="outset" w:sz="4" w:space="0" w:color="auto"/>
                      <w:bottom w:val="outset" w:sz="4" w:space="0" w:color="auto"/>
                      <w:right w:val="outset" w:sz="4" w:space="0" w:color="auto"/>
                    </w:tcBorders>
                    <w:vAlign w:val="center"/>
                  </w:tcPr>
                  <w:p w14:paraId="56B329DB" w14:textId="77777777" w:rsidR="00F066B5" w:rsidRPr="009635E0" w:rsidRDefault="00F066B5" w:rsidP="00180AE1">
                    <w:pPr>
                      <w:jc w:val="right"/>
                      <w:rPr>
                        <w:rFonts w:ascii="Times New Roman" w:hAnsi="Times New Roman" w:cs="Times New Roman"/>
                        <w:szCs w:val="21"/>
                      </w:rPr>
                    </w:pPr>
                    <w:r>
                      <w:t>-</w:t>
                    </w:r>
                  </w:p>
                </w:tc>
              </w:tr>
              <w:tr w:rsidR="00F066B5" w14:paraId="5CB9D3B8" w14:textId="77777777" w:rsidTr="00180AE1">
                <w:sdt>
                  <w:sdtPr>
                    <w:tag w:val="_PLD_6c899088837047b59f06e1ea234d6e77"/>
                    <w:id w:val="-69616073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3866DE3" w14:textId="77777777" w:rsidR="00F066B5" w:rsidRDefault="00F066B5" w:rsidP="00180AE1">
                        <w:pPr>
                          <w:ind w:firstLineChars="100" w:firstLine="210"/>
                          <w:rPr>
                            <w:szCs w:val="21"/>
                          </w:rPr>
                        </w:pPr>
                        <w:r>
                          <w:rPr>
                            <w:rFonts w:hint="eastAsia"/>
                            <w:szCs w:val="21"/>
                          </w:rPr>
                          <w:t>其他应付款</w:t>
                        </w:r>
                      </w:p>
                    </w:tc>
                  </w:sdtContent>
                </w:sdt>
                <w:tc>
                  <w:tcPr>
                    <w:tcW w:w="1199" w:type="pct"/>
                    <w:tcBorders>
                      <w:top w:val="outset" w:sz="4" w:space="0" w:color="auto"/>
                      <w:left w:val="outset" w:sz="4" w:space="0" w:color="auto"/>
                      <w:bottom w:val="outset" w:sz="4" w:space="0" w:color="auto"/>
                      <w:right w:val="outset" w:sz="4" w:space="0" w:color="auto"/>
                    </w:tcBorders>
                  </w:tcPr>
                  <w:p w14:paraId="47327894"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15,321,804.70</w:t>
                    </w:r>
                  </w:p>
                </w:tc>
                <w:tc>
                  <w:tcPr>
                    <w:tcW w:w="1018" w:type="pct"/>
                    <w:tcBorders>
                      <w:top w:val="outset" w:sz="4" w:space="0" w:color="auto"/>
                      <w:left w:val="outset" w:sz="4" w:space="0" w:color="auto"/>
                      <w:bottom w:val="outset" w:sz="4" w:space="0" w:color="auto"/>
                      <w:right w:val="outset" w:sz="4" w:space="0" w:color="auto"/>
                    </w:tcBorders>
                  </w:tcPr>
                  <w:p w14:paraId="76489ACE"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15,321,804.70</w:t>
                    </w:r>
                  </w:p>
                </w:tc>
                <w:tc>
                  <w:tcPr>
                    <w:tcW w:w="1179" w:type="pct"/>
                    <w:tcBorders>
                      <w:top w:val="outset" w:sz="4" w:space="0" w:color="auto"/>
                      <w:left w:val="outset" w:sz="4" w:space="0" w:color="auto"/>
                      <w:bottom w:val="outset" w:sz="4" w:space="0" w:color="auto"/>
                      <w:right w:val="outset" w:sz="4" w:space="0" w:color="auto"/>
                    </w:tcBorders>
                    <w:vAlign w:val="center"/>
                  </w:tcPr>
                  <w:p w14:paraId="5A67D742" w14:textId="77777777" w:rsidR="00F066B5" w:rsidRPr="009635E0" w:rsidRDefault="00F066B5" w:rsidP="00180AE1">
                    <w:pPr>
                      <w:jc w:val="right"/>
                      <w:rPr>
                        <w:rFonts w:ascii="Times New Roman" w:hAnsi="Times New Roman" w:cs="Times New Roman"/>
                        <w:szCs w:val="21"/>
                      </w:rPr>
                    </w:pPr>
                    <w:r>
                      <w:t>-</w:t>
                    </w:r>
                  </w:p>
                </w:tc>
              </w:tr>
              <w:tr w:rsidR="00F066B5" w14:paraId="648764EE" w14:textId="77777777" w:rsidTr="00180AE1">
                <w:sdt>
                  <w:sdtPr>
                    <w:tag w:val="_PLD_32cf39725ac848019b8f693468e6c1df"/>
                    <w:id w:val="143424155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FFC2464" w14:textId="77777777" w:rsidR="00F066B5" w:rsidRDefault="00F066B5" w:rsidP="00180AE1">
                        <w:pPr>
                          <w:ind w:firstLineChars="100" w:firstLine="210"/>
                          <w:rPr>
                            <w:szCs w:val="21"/>
                          </w:rPr>
                        </w:pPr>
                        <w:r>
                          <w:rPr>
                            <w:rFonts w:hint="eastAsia"/>
                          </w:rPr>
                          <w:t>其中：</w:t>
                        </w:r>
                        <w:r>
                          <w:rPr>
                            <w:rFonts w:hint="eastAsia"/>
                            <w:szCs w:val="21"/>
                          </w:rPr>
                          <w:t>应付利息</w:t>
                        </w:r>
                      </w:p>
                    </w:tc>
                  </w:sdtContent>
                </w:sdt>
                <w:tc>
                  <w:tcPr>
                    <w:tcW w:w="1199" w:type="pct"/>
                    <w:tcBorders>
                      <w:top w:val="outset" w:sz="4" w:space="0" w:color="auto"/>
                      <w:left w:val="outset" w:sz="4" w:space="0" w:color="auto"/>
                      <w:bottom w:val="outset" w:sz="4" w:space="0" w:color="auto"/>
                      <w:right w:val="outset" w:sz="4" w:space="0" w:color="auto"/>
                    </w:tcBorders>
                    <w:vAlign w:val="center"/>
                  </w:tcPr>
                  <w:p w14:paraId="670CF568" w14:textId="77777777" w:rsidR="00F066B5" w:rsidRPr="009635E0" w:rsidRDefault="00F066B5" w:rsidP="00180AE1">
                    <w:pPr>
                      <w:jc w:val="right"/>
                      <w:rPr>
                        <w:rFonts w:ascii="Times New Roman" w:hAnsi="Times New Roman" w:cs="Times New Roman"/>
                        <w:szCs w:val="21"/>
                      </w:rPr>
                    </w:pPr>
                    <w:r>
                      <w:t>-</w:t>
                    </w:r>
                  </w:p>
                </w:tc>
                <w:tc>
                  <w:tcPr>
                    <w:tcW w:w="1018" w:type="pct"/>
                    <w:tcBorders>
                      <w:top w:val="outset" w:sz="4" w:space="0" w:color="auto"/>
                      <w:left w:val="outset" w:sz="4" w:space="0" w:color="auto"/>
                      <w:bottom w:val="outset" w:sz="4" w:space="0" w:color="auto"/>
                      <w:right w:val="outset" w:sz="4" w:space="0" w:color="auto"/>
                    </w:tcBorders>
                    <w:vAlign w:val="center"/>
                  </w:tcPr>
                  <w:p w14:paraId="772F71E4" w14:textId="77777777" w:rsidR="00F066B5" w:rsidRPr="009635E0" w:rsidRDefault="00F066B5" w:rsidP="00180AE1">
                    <w:pPr>
                      <w:jc w:val="right"/>
                      <w:rPr>
                        <w:rFonts w:ascii="Times New Roman" w:hAnsi="Times New Roman" w:cs="Times New Roman"/>
                        <w:szCs w:val="21"/>
                      </w:rPr>
                    </w:pPr>
                    <w:r>
                      <w:t>-</w:t>
                    </w:r>
                  </w:p>
                </w:tc>
                <w:tc>
                  <w:tcPr>
                    <w:tcW w:w="1179" w:type="pct"/>
                    <w:tcBorders>
                      <w:top w:val="outset" w:sz="4" w:space="0" w:color="auto"/>
                      <w:left w:val="outset" w:sz="4" w:space="0" w:color="auto"/>
                      <w:bottom w:val="outset" w:sz="4" w:space="0" w:color="auto"/>
                      <w:right w:val="outset" w:sz="4" w:space="0" w:color="auto"/>
                    </w:tcBorders>
                    <w:vAlign w:val="center"/>
                  </w:tcPr>
                  <w:p w14:paraId="7231333B" w14:textId="77777777" w:rsidR="00F066B5" w:rsidRPr="009635E0" w:rsidRDefault="00F066B5" w:rsidP="00180AE1">
                    <w:pPr>
                      <w:jc w:val="right"/>
                      <w:rPr>
                        <w:rFonts w:ascii="Times New Roman" w:hAnsi="Times New Roman" w:cs="Times New Roman"/>
                        <w:szCs w:val="21"/>
                      </w:rPr>
                    </w:pPr>
                    <w:r>
                      <w:t>-</w:t>
                    </w:r>
                  </w:p>
                </w:tc>
              </w:tr>
              <w:tr w:rsidR="00F066B5" w14:paraId="5627116A" w14:textId="77777777" w:rsidTr="00180AE1">
                <w:sdt>
                  <w:sdtPr>
                    <w:tag w:val="_PLD_d6b3a45e82e14416b52097ea23c99d71"/>
                    <w:id w:val="1431696215"/>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937DA19" w14:textId="77777777" w:rsidR="00F066B5" w:rsidRDefault="00F066B5" w:rsidP="00180AE1">
                        <w:pPr>
                          <w:ind w:firstLineChars="400" w:firstLine="840"/>
                          <w:rPr>
                            <w:szCs w:val="21"/>
                          </w:rPr>
                        </w:pPr>
                        <w:r>
                          <w:rPr>
                            <w:rFonts w:hint="eastAsia"/>
                            <w:szCs w:val="21"/>
                          </w:rPr>
                          <w:t>应付股利</w:t>
                        </w:r>
                      </w:p>
                    </w:tc>
                  </w:sdtContent>
                </w:sdt>
                <w:tc>
                  <w:tcPr>
                    <w:tcW w:w="1199" w:type="pct"/>
                    <w:tcBorders>
                      <w:top w:val="outset" w:sz="4" w:space="0" w:color="auto"/>
                      <w:left w:val="outset" w:sz="4" w:space="0" w:color="auto"/>
                      <w:bottom w:val="outset" w:sz="4" w:space="0" w:color="auto"/>
                      <w:right w:val="outset" w:sz="4" w:space="0" w:color="auto"/>
                    </w:tcBorders>
                    <w:vAlign w:val="center"/>
                  </w:tcPr>
                  <w:p w14:paraId="2EB6D08B" w14:textId="77777777" w:rsidR="00F066B5" w:rsidRPr="009635E0" w:rsidRDefault="00F066B5" w:rsidP="00180AE1">
                    <w:pPr>
                      <w:jc w:val="right"/>
                      <w:rPr>
                        <w:rFonts w:ascii="Times New Roman" w:hAnsi="Times New Roman" w:cs="Times New Roman"/>
                        <w:szCs w:val="21"/>
                      </w:rPr>
                    </w:pPr>
                    <w:r>
                      <w:t>-</w:t>
                    </w:r>
                  </w:p>
                </w:tc>
                <w:tc>
                  <w:tcPr>
                    <w:tcW w:w="1018" w:type="pct"/>
                    <w:tcBorders>
                      <w:top w:val="outset" w:sz="4" w:space="0" w:color="auto"/>
                      <w:left w:val="outset" w:sz="4" w:space="0" w:color="auto"/>
                      <w:bottom w:val="outset" w:sz="4" w:space="0" w:color="auto"/>
                      <w:right w:val="outset" w:sz="4" w:space="0" w:color="auto"/>
                    </w:tcBorders>
                    <w:vAlign w:val="center"/>
                  </w:tcPr>
                  <w:p w14:paraId="366B27B5" w14:textId="77777777" w:rsidR="00F066B5" w:rsidRPr="009635E0" w:rsidRDefault="00F066B5" w:rsidP="00180AE1">
                    <w:pPr>
                      <w:jc w:val="right"/>
                      <w:rPr>
                        <w:rFonts w:ascii="Times New Roman" w:hAnsi="Times New Roman" w:cs="Times New Roman"/>
                        <w:szCs w:val="21"/>
                      </w:rPr>
                    </w:pPr>
                    <w:r>
                      <w:t>-</w:t>
                    </w:r>
                  </w:p>
                </w:tc>
                <w:tc>
                  <w:tcPr>
                    <w:tcW w:w="1179" w:type="pct"/>
                    <w:tcBorders>
                      <w:top w:val="outset" w:sz="4" w:space="0" w:color="auto"/>
                      <w:left w:val="outset" w:sz="4" w:space="0" w:color="auto"/>
                      <w:bottom w:val="outset" w:sz="4" w:space="0" w:color="auto"/>
                      <w:right w:val="outset" w:sz="4" w:space="0" w:color="auto"/>
                    </w:tcBorders>
                    <w:vAlign w:val="center"/>
                  </w:tcPr>
                  <w:p w14:paraId="47DF21F8" w14:textId="77777777" w:rsidR="00F066B5" w:rsidRPr="009635E0" w:rsidRDefault="00F066B5" w:rsidP="00180AE1">
                    <w:pPr>
                      <w:jc w:val="right"/>
                      <w:rPr>
                        <w:rFonts w:ascii="Times New Roman" w:hAnsi="Times New Roman" w:cs="Times New Roman"/>
                        <w:szCs w:val="21"/>
                      </w:rPr>
                    </w:pPr>
                    <w:r>
                      <w:t>-</w:t>
                    </w:r>
                  </w:p>
                </w:tc>
              </w:tr>
              <w:tr w:rsidR="00F066B5" w14:paraId="4D7AD5AF" w14:textId="77777777" w:rsidTr="00180AE1">
                <w:sdt>
                  <w:sdtPr>
                    <w:tag w:val="_PLD_57f107b54d7347ddb70cc3541d45fd9a"/>
                    <w:id w:val="-100466953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33D4060C" w14:textId="77777777" w:rsidR="00F066B5" w:rsidRDefault="00F066B5" w:rsidP="00180AE1">
                        <w:pPr>
                          <w:ind w:firstLineChars="100" w:firstLine="210"/>
                          <w:rPr>
                            <w:szCs w:val="21"/>
                          </w:rPr>
                        </w:pPr>
                        <w:r>
                          <w:rPr>
                            <w:rFonts w:hint="eastAsia"/>
                            <w:szCs w:val="21"/>
                          </w:rPr>
                          <w:t>一年内到期的非流动负债</w:t>
                        </w:r>
                      </w:p>
                    </w:tc>
                  </w:sdtContent>
                </w:sdt>
                <w:tc>
                  <w:tcPr>
                    <w:tcW w:w="1199" w:type="pct"/>
                    <w:tcBorders>
                      <w:top w:val="outset" w:sz="4" w:space="0" w:color="auto"/>
                      <w:left w:val="outset" w:sz="4" w:space="0" w:color="auto"/>
                      <w:bottom w:val="outset" w:sz="4" w:space="0" w:color="auto"/>
                      <w:right w:val="outset" w:sz="4" w:space="0" w:color="auto"/>
                    </w:tcBorders>
                  </w:tcPr>
                  <w:p w14:paraId="67F8BB7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59,442,338.54</w:t>
                    </w:r>
                  </w:p>
                </w:tc>
                <w:tc>
                  <w:tcPr>
                    <w:tcW w:w="1018" w:type="pct"/>
                    <w:tcBorders>
                      <w:top w:val="outset" w:sz="4" w:space="0" w:color="auto"/>
                      <w:left w:val="outset" w:sz="4" w:space="0" w:color="auto"/>
                      <w:bottom w:val="outset" w:sz="4" w:space="0" w:color="auto"/>
                      <w:right w:val="outset" w:sz="4" w:space="0" w:color="auto"/>
                    </w:tcBorders>
                  </w:tcPr>
                  <w:p w14:paraId="4C3CE4E0"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59,442,338.54</w:t>
                    </w:r>
                  </w:p>
                </w:tc>
                <w:tc>
                  <w:tcPr>
                    <w:tcW w:w="1179" w:type="pct"/>
                    <w:tcBorders>
                      <w:top w:val="outset" w:sz="4" w:space="0" w:color="auto"/>
                      <w:left w:val="outset" w:sz="4" w:space="0" w:color="auto"/>
                      <w:bottom w:val="outset" w:sz="4" w:space="0" w:color="auto"/>
                      <w:right w:val="outset" w:sz="4" w:space="0" w:color="auto"/>
                    </w:tcBorders>
                    <w:vAlign w:val="center"/>
                  </w:tcPr>
                  <w:p w14:paraId="57254FFF" w14:textId="77777777" w:rsidR="00F066B5" w:rsidRPr="009635E0" w:rsidRDefault="00F066B5" w:rsidP="00180AE1">
                    <w:pPr>
                      <w:jc w:val="right"/>
                      <w:rPr>
                        <w:rFonts w:ascii="Times New Roman" w:hAnsi="Times New Roman" w:cs="Times New Roman"/>
                        <w:szCs w:val="21"/>
                      </w:rPr>
                    </w:pPr>
                    <w:r>
                      <w:t>-</w:t>
                    </w:r>
                  </w:p>
                </w:tc>
              </w:tr>
              <w:tr w:rsidR="00F066B5" w14:paraId="4F8E0737" w14:textId="77777777" w:rsidTr="00180AE1">
                <w:sdt>
                  <w:sdtPr>
                    <w:tag w:val="_PLD_cfb10e5f20a24287a1f812e4f551eb22"/>
                    <w:id w:val="-73500882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C647190" w14:textId="77777777" w:rsidR="00F066B5" w:rsidRDefault="00F066B5" w:rsidP="00180AE1">
                        <w:pPr>
                          <w:ind w:firstLineChars="100" w:firstLine="210"/>
                          <w:rPr>
                            <w:szCs w:val="21"/>
                          </w:rPr>
                        </w:pPr>
                        <w:r>
                          <w:rPr>
                            <w:rFonts w:hint="eastAsia"/>
                            <w:szCs w:val="21"/>
                          </w:rPr>
                          <w:t>其他流动负债</w:t>
                        </w:r>
                      </w:p>
                    </w:tc>
                  </w:sdtContent>
                </w:sdt>
                <w:tc>
                  <w:tcPr>
                    <w:tcW w:w="1199" w:type="pct"/>
                    <w:tcBorders>
                      <w:top w:val="outset" w:sz="4" w:space="0" w:color="auto"/>
                      <w:left w:val="outset" w:sz="4" w:space="0" w:color="auto"/>
                      <w:bottom w:val="outset" w:sz="4" w:space="0" w:color="auto"/>
                      <w:right w:val="outset" w:sz="4" w:space="0" w:color="auto"/>
                    </w:tcBorders>
                  </w:tcPr>
                  <w:p w14:paraId="34659D1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443,495.83</w:t>
                    </w:r>
                  </w:p>
                </w:tc>
                <w:tc>
                  <w:tcPr>
                    <w:tcW w:w="1018" w:type="pct"/>
                    <w:tcBorders>
                      <w:top w:val="outset" w:sz="4" w:space="0" w:color="auto"/>
                      <w:left w:val="outset" w:sz="4" w:space="0" w:color="auto"/>
                      <w:bottom w:val="outset" w:sz="4" w:space="0" w:color="auto"/>
                      <w:right w:val="outset" w:sz="4" w:space="0" w:color="auto"/>
                    </w:tcBorders>
                  </w:tcPr>
                  <w:p w14:paraId="39487E4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443,495.83</w:t>
                    </w:r>
                  </w:p>
                </w:tc>
                <w:tc>
                  <w:tcPr>
                    <w:tcW w:w="1179" w:type="pct"/>
                    <w:tcBorders>
                      <w:top w:val="outset" w:sz="4" w:space="0" w:color="auto"/>
                      <w:left w:val="outset" w:sz="4" w:space="0" w:color="auto"/>
                      <w:bottom w:val="outset" w:sz="4" w:space="0" w:color="auto"/>
                      <w:right w:val="outset" w:sz="4" w:space="0" w:color="auto"/>
                    </w:tcBorders>
                    <w:vAlign w:val="center"/>
                  </w:tcPr>
                  <w:p w14:paraId="2D2069F8" w14:textId="77777777" w:rsidR="00F066B5" w:rsidRPr="009635E0" w:rsidRDefault="00F066B5" w:rsidP="00180AE1">
                    <w:pPr>
                      <w:jc w:val="right"/>
                      <w:rPr>
                        <w:rFonts w:ascii="Times New Roman" w:hAnsi="Times New Roman" w:cs="Times New Roman"/>
                        <w:szCs w:val="21"/>
                      </w:rPr>
                    </w:pPr>
                    <w:r>
                      <w:t>-</w:t>
                    </w:r>
                  </w:p>
                </w:tc>
              </w:tr>
              <w:tr w:rsidR="00F066B5" w14:paraId="27B7C25F" w14:textId="77777777" w:rsidTr="00180AE1">
                <w:sdt>
                  <w:sdtPr>
                    <w:tag w:val="_PLD_bf4cf672283f4e4d98b659444f70f237"/>
                    <w:id w:val="-938133762"/>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6B7A4B2" w14:textId="77777777" w:rsidR="00F066B5" w:rsidRDefault="00F066B5" w:rsidP="00180AE1">
                        <w:pPr>
                          <w:ind w:firstLineChars="200" w:firstLine="420"/>
                          <w:rPr>
                            <w:szCs w:val="21"/>
                          </w:rPr>
                        </w:pPr>
                        <w:r>
                          <w:rPr>
                            <w:rFonts w:hint="eastAsia"/>
                            <w:szCs w:val="21"/>
                          </w:rPr>
                          <w:t>流动负债合计</w:t>
                        </w:r>
                      </w:p>
                    </w:tc>
                  </w:sdtContent>
                </w:sdt>
                <w:tc>
                  <w:tcPr>
                    <w:tcW w:w="1199" w:type="pct"/>
                    <w:tcBorders>
                      <w:top w:val="outset" w:sz="4" w:space="0" w:color="auto"/>
                      <w:left w:val="outset" w:sz="4" w:space="0" w:color="auto"/>
                      <w:bottom w:val="outset" w:sz="4" w:space="0" w:color="auto"/>
                      <w:right w:val="outset" w:sz="4" w:space="0" w:color="auto"/>
                    </w:tcBorders>
                    <w:vAlign w:val="center"/>
                  </w:tcPr>
                  <w:p w14:paraId="1E3600BB"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394,383,056.66</w:t>
                    </w:r>
                  </w:p>
                </w:tc>
                <w:tc>
                  <w:tcPr>
                    <w:tcW w:w="1018" w:type="pct"/>
                    <w:tcBorders>
                      <w:top w:val="outset" w:sz="4" w:space="0" w:color="auto"/>
                      <w:left w:val="outset" w:sz="4" w:space="0" w:color="auto"/>
                      <w:bottom w:val="outset" w:sz="4" w:space="0" w:color="auto"/>
                      <w:right w:val="outset" w:sz="4" w:space="0" w:color="auto"/>
                    </w:tcBorders>
                  </w:tcPr>
                  <w:p w14:paraId="18C6C507"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394,383,056.66</w:t>
                    </w:r>
                  </w:p>
                </w:tc>
                <w:tc>
                  <w:tcPr>
                    <w:tcW w:w="1179" w:type="pct"/>
                    <w:tcBorders>
                      <w:top w:val="outset" w:sz="4" w:space="0" w:color="auto"/>
                      <w:left w:val="outset" w:sz="4" w:space="0" w:color="auto"/>
                      <w:bottom w:val="outset" w:sz="4" w:space="0" w:color="auto"/>
                      <w:right w:val="outset" w:sz="4" w:space="0" w:color="auto"/>
                    </w:tcBorders>
                    <w:vAlign w:val="center"/>
                  </w:tcPr>
                  <w:p w14:paraId="1C814EC6" w14:textId="77777777" w:rsidR="00F066B5" w:rsidRPr="009635E0" w:rsidRDefault="00F066B5" w:rsidP="00180AE1">
                    <w:pPr>
                      <w:jc w:val="right"/>
                      <w:rPr>
                        <w:rFonts w:ascii="Times New Roman" w:hAnsi="Times New Roman" w:cs="Times New Roman"/>
                        <w:szCs w:val="21"/>
                      </w:rPr>
                    </w:pPr>
                    <w:r>
                      <w:t>-</w:t>
                    </w:r>
                  </w:p>
                </w:tc>
              </w:tr>
              <w:tr w:rsidR="00F066B5" w14:paraId="0C2D529E" w14:textId="77777777" w:rsidTr="00180AE1">
                <w:sdt>
                  <w:sdtPr>
                    <w:rPr>
                      <w:rFonts w:ascii="Times New Roman" w:hAnsi="Times New Roman" w:cs="Times New Roman"/>
                    </w:rPr>
                    <w:tag w:val="_PLD_52a22ef7fccb4e379a79ea67a62aaba0"/>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FA87214" w14:textId="77777777" w:rsidR="00F066B5" w:rsidRPr="009635E0" w:rsidRDefault="00F066B5" w:rsidP="00180AE1">
                        <w:pPr>
                          <w:rPr>
                            <w:rFonts w:ascii="Times New Roman" w:hAnsi="Times New Roman" w:cs="Times New Roman"/>
                            <w:color w:val="008000"/>
                            <w:szCs w:val="21"/>
                          </w:rPr>
                        </w:pPr>
                        <w:r w:rsidRPr="009635E0">
                          <w:rPr>
                            <w:rFonts w:ascii="Times New Roman" w:hAnsi="Times New Roman" w:cs="Times New Roman"/>
                            <w:b/>
                            <w:bCs/>
                            <w:szCs w:val="21"/>
                          </w:rPr>
                          <w:t>非流动负债：</w:t>
                        </w:r>
                      </w:p>
                    </w:tc>
                  </w:sdtContent>
                </w:sdt>
              </w:tr>
              <w:tr w:rsidR="00F066B5" w14:paraId="629502A2" w14:textId="77777777" w:rsidTr="00180AE1">
                <w:sdt>
                  <w:sdtPr>
                    <w:tag w:val="_PLD_1b50d6aca4f848b0a201012e1a56c5df"/>
                    <w:id w:val="-171841780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1C739B6" w14:textId="77777777" w:rsidR="00F066B5" w:rsidRDefault="00F066B5" w:rsidP="00180AE1">
                        <w:pPr>
                          <w:ind w:firstLineChars="100" w:firstLine="210"/>
                          <w:rPr>
                            <w:szCs w:val="21"/>
                          </w:rPr>
                        </w:pPr>
                        <w:r>
                          <w:rPr>
                            <w:rFonts w:hint="eastAsia"/>
                            <w:szCs w:val="21"/>
                          </w:rPr>
                          <w:t>长期借款</w:t>
                        </w:r>
                      </w:p>
                    </w:tc>
                  </w:sdtContent>
                </w:sdt>
                <w:tc>
                  <w:tcPr>
                    <w:tcW w:w="1199" w:type="pct"/>
                    <w:tcBorders>
                      <w:top w:val="outset" w:sz="4" w:space="0" w:color="auto"/>
                      <w:left w:val="outset" w:sz="4" w:space="0" w:color="auto"/>
                      <w:bottom w:val="outset" w:sz="4" w:space="0" w:color="auto"/>
                      <w:right w:val="outset" w:sz="4" w:space="0" w:color="auto"/>
                    </w:tcBorders>
                  </w:tcPr>
                  <w:p w14:paraId="12FDCB7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113,576,234.35</w:t>
                    </w:r>
                  </w:p>
                </w:tc>
                <w:tc>
                  <w:tcPr>
                    <w:tcW w:w="1018" w:type="pct"/>
                    <w:tcBorders>
                      <w:top w:val="outset" w:sz="4" w:space="0" w:color="auto"/>
                      <w:left w:val="outset" w:sz="4" w:space="0" w:color="auto"/>
                      <w:bottom w:val="outset" w:sz="4" w:space="0" w:color="auto"/>
                      <w:right w:val="outset" w:sz="4" w:space="0" w:color="auto"/>
                    </w:tcBorders>
                  </w:tcPr>
                  <w:p w14:paraId="2D727D1A"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113,576,234.35</w:t>
                    </w:r>
                  </w:p>
                </w:tc>
                <w:tc>
                  <w:tcPr>
                    <w:tcW w:w="1179" w:type="pct"/>
                    <w:tcBorders>
                      <w:top w:val="outset" w:sz="4" w:space="0" w:color="auto"/>
                      <w:left w:val="outset" w:sz="4" w:space="0" w:color="auto"/>
                      <w:bottom w:val="outset" w:sz="4" w:space="0" w:color="auto"/>
                      <w:right w:val="outset" w:sz="4" w:space="0" w:color="auto"/>
                    </w:tcBorders>
                    <w:vAlign w:val="center"/>
                  </w:tcPr>
                  <w:p w14:paraId="1C361A20" w14:textId="77777777" w:rsidR="00F066B5" w:rsidRPr="009635E0" w:rsidRDefault="00F066B5" w:rsidP="00180AE1">
                    <w:pPr>
                      <w:jc w:val="right"/>
                      <w:rPr>
                        <w:rFonts w:ascii="Times New Roman" w:hAnsi="Times New Roman" w:cs="Times New Roman"/>
                        <w:szCs w:val="21"/>
                      </w:rPr>
                    </w:pPr>
                    <w:r>
                      <w:t>-</w:t>
                    </w:r>
                  </w:p>
                </w:tc>
              </w:tr>
              <w:tr w:rsidR="00F066B5" w14:paraId="29736A2F" w14:textId="77777777" w:rsidTr="00180AE1">
                <w:sdt>
                  <w:sdtPr>
                    <w:tag w:val="_PLD_ef8f7fa162d14efa8d47e7f05d101e03"/>
                    <w:id w:val="-937835318"/>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0992E5DC" w14:textId="77777777" w:rsidR="00F066B5" w:rsidRDefault="00F066B5" w:rsidP="00180AE1">
                        <w:pPr>
                          <w:ind w:firstLineChars="100" w:firstLine="210"/>
                          <w:rPr>
                            <w:szCs w:val="21"/>
                          </w:rPr>
                        </w:pPr>
                        <w:r>
                          <w:rPr>
                            <w:rFonts w:hint="eastAsia"/>
                            <w:szCs w:val="21"/>
                          </w:rPr>
                          <w:t>预计负债</w:t>
                        </w:r>
                      </w:p>
                    </w:tc>
                  </w:sdtContent>
                </w:sdt>
                <w:tc>
                  <w:tcPr>
                    <w:tcW w:w="1199" w:type="pct"/>
                    <w:tcBorders>
                      <w:top w:val="outset" w:sz="4" w:space="0" w:color="auto"/>
                      <w:left w:val="outset" w:sz="4" w:space="0" w:color="auto"/>
                      <w:bottom w:val="outset" w:sz="4" w:space="0" w:color="auto"/>
                      <w:right w:val="outset" w:sz="4" w:space="0" w:color="auto"/>
                    </w:tcBorders>
                  </w:tcPr>
                  <w:p w14:paraId="6388D6B4"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2,029,222.12</w:t>
                    </w:r>
                  </w:p>
                </w:tc>
                <w:tc>
                  <w:tcPr>
                    <w:tcW w:w="1018" w:type="pct"/>
                    <w:tcBorders>
                      <w:top w:val="outset" w:sz="4" w:space="0" w:color="auto"/>
                      <w:left w:val="outset" w:sz="4" w:space="0" w:color="auto"/>
                      <w:bottom w:val="outset" w:sz="4" w:space="0" w:color="auto"/>
                      <w:right w:val="outset" w:sz="4" w:space="0" w:color="auto"/>
                    </w:tcBorders>
                  </w:tcPr>
                  <w:p w14:paraId="13A1908F"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2,029,222.12</w:t>
                    </w:r>
                  </w:p>
                </w:tc>
                <w:tc>
                  <w:tcPr>
                    <w:tcW w:w="1179" w:type="pct"/>
                    <w:tcBorders>
                      <w:top w:val="outset" w:sz="4" w:space="0" w:color="auto"/>
                      <w:left w:val="outset" w:sz="4" w:space="0" w:color="auto"/>
                      <w:bottom w:val="outset" w:sz="4" w:space="0" w:color="auto"/>
                      <w:right w:val="outset" w:sz="4" w:space="0" w:color="auto"/>
                    </w:tcBorders>
                    <w:vAlign w:val="center"/>
                  </w:tcPr>
                  <w:p w14:paraId="38337745" w14:textId="77777777" w:rsidR="00F066B5" w:rsidRPr="009635E0" w:rsidRDefault="00F066B5" w:rsidP="00180AE1">
                    <w:pPr>
                      <w:jc w:val="right"/>
                      <w:rPr>
                        <w:rFonts w:ascii="Times New Roman" w:hAnsi="Times New Roman" w:cs="Times New Roman"/>
                        <w:szCs w:val="21"/>
                      </w:rPr>
                    </w:pPr>
                    <w:r>
                      <w:t>-</w:t>
                    </w:r>
                  </w:p>
                </w:tc>
              </w:tr>
              <w:tr w:rsidR="00F066B5" w14:paraId="3EF537F0" w14:textId="77777777" w:rsidTr="00180AE1">
                <w:sdt>
                  <w:sdtPr>
                    <w:tag w:val="_PLD_120d7a5cbf854260b2b6e8f758bd1a73"/>
                    <w:id w:val="-1429728134"/>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BBD57ED" w14:textId="77777777" w:rsidR="00F066B5" w:rsidRDefault="00F066B5" w:rsidP="00180AE1">
                        <w:pPr>
                          <w:ind w:firstLineChars="100" w:firstLine="210"/>
                          <w:rPr>
                            <w:szCs w:val="21"/>
                          </w:rPr>
                        </w:pPr>
                        <w:r>
                          <w:rPr>
                            <w:rFonts w:hint="eastAsia"/>
                            <w:szCs w:val="21"/>
                          </w:rPr>
                          <w:t>递延收益</w:t>
                        </w:r>
                      </w:p>
                    </w:tc>
                  </w:sdtContent>
                </w:sdt>
                <w:tc>
                  <w:tcPr>
                    <w:tcW w:w="1199" w:type="pct"/>
                    <w:tcBorders>
                      <w:top w:val="outset" w:sz="4" w:space="0" w:color="auto"/>
                      <w:left w:val="outset" w:sz="4" w:space="0" w:color="auto"/>
                      <w:bottom w:val="outset" w:sz="4" w:space="0" w:color="auto"/>
                      <w:right w:val="outset" w:sz="4" w:space="0" w:color="auto"/>
                    </w:tcBorders>
                  </w:tcPr>
                  <w:p w14:paraId="39E30A8C"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44,420,844.34</w:t>
                    </w:r>
                  </w:p>
                </w:tc>
                <w:tc>
                  <w:tcPr>
                    <w:tcW w:w="1018" w:type="pct"/>
                    <w:tcBorders>
                      <w:top w:val="outset" w:sz="4" w:space="0" w:color="auto"/>
                      <w:left w:val="outset" w:sz="4" w:space="0" w:color="auto"/>
                      <w:bottom w:val="outset" w:sz="4" w:space="0" w:color="auto"/>
                      <w:right w:val="outset" w:sz="4" w:space="0" w:color="auto"/>
                    </w:tcBorders>
                  </w:tcPr>
                  <w:p w14:paraId="56186277"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44,420,844.34</w:t>
                    </w:r>
                  </w:p>
                </w:tc>
                <w:tc>
                  <w:tcPr>
                    <w:tcW w:w="1179" w:type="pct"/>
                    <w:tcBorders>
                      <w:top w:val="outset" w:sz="4" w:space="0" w:color="auto"/>
                      <w:left w:val="outset" w:sz="4" w:space="0" w:color="auto"/>
                      <w:bottom w:val="outset" w:sz="4" w:space="0" w:color="auto"/>
                      <w:right w:val="outset" w:sz="4" w:space="0" w:color="auto"/>
                    </w:tcBorders>
                    <w:vAlign w:val="center"/>
                  </w:tcPr>
                  <w:p w14:paraId="0086659F" w14:textId="77777777" w:rsidR="00F066B5" w:rsidRPr="009635E0" w:rsidRDefault="00F066B5" w:rsidP="00180AE1">
                    <w:pPr>
                      <w:jc w:val="right"/>
                      <w:rPr>
                        <w:rFonts w:ascii="Times New Roman" w:hAnsi="Times New Roman" w:cs="Times New Roman"/>
                        <w:szCs w:val="21"/>
                      </w:rPr>
                    </w:pPr>
                    <w:r>
                      <w:t>-</w:t>
                    </w:r>
                  </w:p>
                </w:tc>
              </w:tr>
              <w:tr w:rsidR="00F066B5" w14:paraId="4926B4E0" w14:textId="77777777" w:rsidTr="00180AE1">
                <w:sdt>
                  <w:sdtPr>
                    <w:tag w:val="_PLD_d6cf4310ed7c45cbb6be75b34ac02fd6"/>
                    <w:id w:val="129648633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606FCE59" w14:textId="77777777" w:rsidR="00F066B5" w:rsidRDefault="00F066B5" w:rsidP="00180AE1">
                        <w:pPr>
                          <w:ind w:firstLineChars="100" w:firstLine="210"/>
                          <w:rPr>
                            <w:szCs w:val="21"/>
                          </w:rPr>
                        </w:pPr>
                        <w:r>
                          <w:rPr>
                            <w:rFonts w:hint="eastAsia"/>
                            <w:szCs w:val="21"/>
                          </w:rPr>
                          <w:t>递延所得税负债</w:t>
                        </w:r>
                      </w:p>
                    </w:tc>
                  </w:sdtContent>
                </w:sdt>
                <w:tc>
                  <w:tcPr>
                    <w:tcW w:w="1199" w:type="pct"/>
                    <w:tcBorders>
                      <w:top w:val="outset" w:sz="4" w:space="0" w:color="auto"/>
                      <w:left w:val="outset" w:sz="4" w:space="0" w:color="auto"/>
                      <w:bottom w:val="outset" w:sz="4" w:space="0" w:color="auto"/>
                      <w:right w:val="outset" w:sz="4" w:space="0" w:color="auto"/>
                    </w:tcBorders>
                  </w:tcPr>
                  <w:p w14:paraId="3C4C21AC"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13,549,500.00</w:t>
                    </w:r>
                  </w:p>
                </w:tc>
                <w:tc>
                  <w:tcPr>
                    <w:tcW w:w="1018" w:type="pct"/>
                    <w:tcBorders>
                      <w:top w:val="outset" w:sz="4" w:space="0" w:color="auto"/>
                      <w:left w:val="outset" w:sz="4" w:space="0" w:color="auto"/>
                      <w:bottom w:val="outset" w:sz="4" w:space="0" w:color="auto"/>
                      <w:right w:val="outset" w:sz="4" w:space="0" w:color="auto"/>
                    </w:tcBorders>
                  </w:tcPr>
                  <w:p w14:paraId="4FB48831"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13,549,500.00</w:t>
                    </w:r>
                  </w:p>
                </w:tc>
                <w:tc>
                  <w:tcPr>
                    <w:tcW w:w="1179" w:type="pct"/>
                    <w:tcBorders>
                      <w:top w:val="outset" w:sz="4" w:space="0" w:color="auto"/>
                      <w:left w:val="outset" w:sz="4" w:space="0" w:color="auto"/>
                      <w:bottom w:val="outset" w:sz="4" w:space="0" w:color="auto"/>
                      <w:right w:val="outset" w:sz="4" w:space="0" w:color="auto"/>
                    </w:tcBorders>
                    <w:vAlign w:val="center"/>
                  </w:tcPr>
                  <w:p w14:paraId="5BD9AF4B" w14:textId="77777777" w:rsidR="00F066B5" w:rsidRPr="009635E0" w:rsidRDefault="00F066B5" w:rsidP="00180AE1">
                    <w:pPr>
                      <w:jc w:val="right"/>
                      <w:rPr>
                        <w:rFonts w:ascii="Times New Roman" w:hAnsi="Times New Roman" w:cs="Times New Roman"/>
                        <w:szCs w:val="21"/>
                      </w:rPr>
                    </w:pPr>
                    <w:r>
                      <w:t>-</w:t>
                    </w:r>
                  </w:p>
                </w:tc>
              </w:tr>
              <w:tr w:rsidR="00F066B5" w14:paraId="2694850A" w14:textId="77777777" w:rsidTr="00180AE1">
                <w:sdt>
                  <w:sdtPr>
                    <w:tag w:val="_PLD_6b9286d59f434dc3883cb7d8d6f992fb"/>
                    <w:id w:val="167930773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5F31EAE9" w14:textId="77777777" w:rsidR="00F066B5" w:rsidRDefault="00F066B5" w:rsidP="00180AE1">
                        <w:pPr>
                          <w:ind w:firstLineChars="200" w:firstLine="420"/>
                          <w:rPr>
                            <w:szCs w:val="21"/>
                          </w:rPr>
                        </w:pPr>
                        <w:r>
                          <w:rPr>
                            <w:rFonts w:hint="eastAsia"/>
                            <w:szCs w:val="21"/>
                          </w:rPr>
                          <w:t>非流动负债合计</w:t>
                        </w:r>
                      </w:p>
                    </w:tc>
                  </w:sdtContent>
                </w:sdt>
                <w:tc>
                  <w:tcPr>
                    <w:tcW w:w="1199" w:type="pct"/>
                    <w:tcBorders>
                      <w:top w:val="outset" w:sz="4" w:space="0" w:color="auto"/>
                      <w:left w:val="outset" w:sz="4" w:space="0" w:color="auto"/>
                      <w:bottom w:val="outset" w:sz="4" w:space="0" w:color="auto"/>
                      <w:right w:val="outset" w:sz="4" w:space="0" w:color="auto"/>
                    </w:tcBorders>
                  </w:tcPr>
                  <w:p w14:paraId="190DE761"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173,575,800.81</w:t>
                    </w:r>
                  </w:p>
                </w:tc>
                <w:tc>
                  <w:tcPr>
                    <w:tcW w:w="1018" w:type="pct"/>
                    <w:tcBorders>
                      <w:top w:val="outset" w:sz="4" w:space="0" w:color="auto"/>
                      <w:left w:val="outset" w:sz="4" w:space="0" w:color="auto"/>
                      <w:bottom w:val="outset" w:sz="4" w:space="0" w:color="auto"/>
                      <w:right w:val="outset" w:sz="4" w:space="0" w:color="auto"/>
                    </w:tcBorders>
                  </w:tcPr>
                  <w:p w14:paraId="45723BF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173,575,800.81</w:t>
                    </w:r>
                  </w:p>
                </w:tc>
                <w:tc>
                  <w:tcPr>
                    <w:tcW w:w="1179" w:type="pct"/>
                    <w:tcBorders>
                      <w:top w:val="outset" w:sz="4" w:space="0" w:color="auto"/>
                      <w:left w:val="outset" w:sz="4" w:space="0" w:color="auto"/>
                      <w:bottom w:val="outset" w:sz="4" w:space="0" w:color="auto"/>
                      <w:right w:val="outset" w:sz="4" w:space="0" w:color="auto"/>
                    </w:tcBorders>
                    <w:vAlign w:val="center"/>
                  </w:tcPr>
                  <w:p w14:paraId="4A72863C" w14:textId="77777777" w:rsidR="00F066B5" w:rsidRPr="009635E0" w:rsidRDefault="00F066B5" w:rsidP="00180AE1">
                    <w:pPr>
                      <w:jc w:val="right"/>
                      <w:rPr>
                        <w:rFonts w:ascii="Times New Roman" w:hAnsi="Times New Roman" w:cs="Times New Roman"/>
                        <w:szCs w:val="21"/>
                      </w:rPr>
                    </w:pPr>
                    <w:r>
                      <w:t>-</w:t>
                    </w:r>
                  </w:p>
                </w:tc>
              </w:tr>
              <w:tr w:rsidR="00F066B5" w14:paraId="1B9749A8" w14:textId="77777777" w:rsidTr="00180AE1">
                <w:sdt>
                  <w:sdtPr>
                    <w:tag w:val="_PLD_9966b1afdeb54842a8fceb3cacd3ccf5"/>
                    <w:id w:val="498925196"/>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2AC090EC" w14:textId="77777777" w:rsidR="00F066B5" w:rsidRDefault="00F066B5" w:rsidP="00180AE1">
                        <w:pPr>
                          <w:ind w:firstLineChars="300" w:firstLine="630"/>
                          <w:rPr>
                            <w:szCs w:val="21"/>
                          </w:rPr>
                        </w:pPr>
                        <w:r>
                          <w:rPr>
                            <w:rFonts w:hint="eastAsia"/>
                            <w:szCs w:val="21"/>
                          </w:rPr>
                          <w:t>负债合计</w:t>
                        </w:r>
                      </w:p>
                    </w:tc>
                  </w:sdtContent>
                </w:sdt>
                <w:tc>
                  <w:tcPr>
                    <w:tcW w:w="1199" w:type="pct"/>
                    <w:tcBorders>
                      <w:top w:val="outset" w:sz="4" w:space="0" w:color="auto"/>
                      <w:left w:val="outset" w:sz="4" w:space="0" w:color="auto"/>
                      <w:bottom w:val="outset" w:sz="4" w:space="0" w:color="auto"/>
                      <w:right w:val="outset" w:sz="4" w:space="0" w:color="auto"/>
                    </w:tcBorders>
                  </w:tcPr>
                  <w:p w14:paraId="388481BB"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567,958,857.47</w:t>
                    </w:r>
                  </w:p>
                </w:tc>
                <w:tc>
                  <w:tcPr>
                    <w:tcW w:w="1018" w:type="pct"/>
                    <w:tcBorders>
                      <w:top w:val="outset" w:sz="4" w:space="0" w:color="auto"/>
                      <w:left w:val="outset" w:sz="4" w:space="0" w:color="auto"/>
                      <w:bottom w:val="outset" w:sz="4" w:space="0" w:color="auto"/>
                      <w:right w:val="outset" w:sz="4" w:space="0" w:color="auto"/>
                    </w:tcBorders>
                  </w:tcPr>
                  <w:p w14:paraId="4E71AE29"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567,958,857.47</w:t>
                    </w:r>
                  </w:p>
                </w:tc>
                <w:tc>
                  <w:tcPr>
                    <w:tcW w:w="1179" w:type="pct"/>
                    <w:tcBorders>
                      <w:top w:val="outset" w:sz="4" w:space="0" w:color="auto"/>
                      <w:left w:val="outset" w:sz="4" w:space="0" w:color="auto"/>
                      <w:bottom w:val="outset" w:sz="4" w:space="0" w:color="auto"/>
                      <w:right w:val="outset" w:sz="4" w:space="0" w:color="auto"/>
                    </w:tcBorders>
                    <w:vAlign w:val="center"/>
                  </w:tcPr>
                  <w:p w14:paraId="7A3342D1" w14:textId="77777777" w:rsidR="00F066B5" w:rsidRPr="009635E0" w:rsidRDefault="00F066B5" w:rsidP="00180AE1">
                    <w:pPr>
                      <w:jc w:val="right"/>
                      <w:rPr>
                        <w:rFonts w:ascii="Times New Roman" w:hAnsi="Times New Roman" w:cs="Times New Roman"/>
                        <w:szCs w:val="21"/>
                      </w:rPr>
                    </w:pPr>
                    <w:r>
                      <w:t>-</w:t>
                    </w:r>
                  </w:p>
                </w:tc>
              </w:tr>
              <w:tr w:rsidR="00F066B5" w14:paraId="6D64C922" w14:textId="77777777" w:rsidTr="00180AE1">
                <w:sdt>
                  <w:sdtPr>
                    <w:rPr>
                      <w:rFonts w:ascii="Times New Roman" w:hAnsi="Times New Roman" w:cs="Times New Roman"/>
                    </w:rPr>
                    <w:tag w:val="_PLD_27af5114b1374bfaa5ee117b52b2dea6"/>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5F18415" w14:textId="77777777" w:rsidR="00F066B5" w:rsidRPr="009635E0" w:rsidRDefault="00F066B5" w:rsidP="00180AE1">
                        <w:pPr>
                          <w:rPr>
                            <w:rFonts w:ascii="Times New Roman" w:hAnsi="Times New Roman" w:cs="Times New Roman"/>
                            <w:color w:val="008000"/>
                            <w:szCs w:val="21"/>
                          </w:rPr>
                        </w:pPr>
                        <w:r w:rsidRPr="009635E0">
                          <w:rPr>
                            <w:rFonts w:ascii="Times New Roman" w:hAnsi="Times New Roman" w:cs="Times New Roman"/>
                            <w:b/>
                            <w:bCs/>
                            <w:szCs w:val="21"/>
                          </w:rPr>
                          <w:t>所有者权益（或股东权益）：</w:t>
                        </w:r>
                      </w:p>
                    </w:tc>
                  </w:sdtContent>
                </w:sdt>
              </w:tr>
              <w:tr w:rsidR="00F066B5" w14:paraId="73C82129" w14:textId="77777777" w:rsidTr="00180AE1">
                <w:sdt>
                  <w:sdtPr>
                    <w:tag w:val="_PLD_8d70171a419341f09876bd7007078e61"/>
                    <w:id w:val="1028217483"/>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4E84FD56" w14:textId="77777777" w:rsidR="00F066B5" w:rsidRDefault="00F066B5" w:rsidP="00180AE1">
                        <w:pPr>
                          <w:ind w:firstLineChars="100" w:firstLine="210"/>
                          <w:rPr>
                            <w:szCs w:val="21"/>
                          </w:rPr>
                        </w:pPr>
                        <w:r>
                          <w:rPr>
                            <w:rFonts w:hint="eastAsia"/>
                            <w:szCs w:val="21"/>
                          </w:rPr>
                          <w:t>实收资本（或股本）</w:t>
                        </w:r>
                      </w:p>
                    </w:tc>
                  </w:sdtContent>
                </w:sdt>
                <w:tc>
                  <w:tcPr>
                    <w:tcW w:w="1199" w:type="pct"/>
                    <w:tcBorders>
                      <w:top w:val="outset" w:sz="4" w:space="0" w:color="auto"/>
                      <w:left w:val="outset" w:sz="4" w:space="0" w:color="auto"/>
                      <w:bottom w:val="outset" w:sz="4" w:space="0" w:color="auto"/>
                      <w:right w:val="outset" w:sz="4" w:space="0" w:color="auto"/>
                    </w:tcBorders>
                  </w:tcPr>
                  <w:p w14:paraId="5EF799F1"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521,780,000.00</w:t>
                    </w:r>
                  </w:p>
                </w:tc>
                <w:tc>
                  <w:tcPr>
                    <w:tcW w:w="1018" w:type="pct"/>
                    <w:tcBorders>
                      <w:top w:val="outset" w:sz="4" w:space="0" w:color="auto"/>
                      <w:left w:val="outset" w:sz="4" w:space="0" w:color="auto"/>
                      <w:bottom w:val="outset" w:sz="4" w:space="0" w:color="auto"/>
                      <w:right w:val="outset" w:sz="4" w:space="0" w:color="auto"/>
                    </w:tcBorders>
                  </w:tcPr>
                  <w:p w14:paraId="5BD99A40"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521,780,000.00</w:t>
                    </w:r>
                  </w:p>
                </w:tc>
                <w:tc>
                  <w:tcPr>
                    <w:tcW w:w="1179" w:type="pct"/>
                    <w:tcBorders>
                      <w:top w:val="outset" w:sz="4" w:space="0" w:color="auto"/>
                      <w:left w:val="outset" w:sz="4" w:space="0" w:color="auto"/>
                      <w:bottom w:val="outset" w:sz="4" w:space="0" w:color="auto"/>
                      <w:right w:val="outset" w:sz="4" w:space="0" w:color="auto"/>
                    </w:tcBorders>
                    <w:vAlign w:val="center"/>
                  </w:tcPr>
                  <w:p w14:paraId="45FF7213" w14:textId="77777777" w:rsidR="00F066B5" w:rsidRPr="009635E0" w:rsidRDefault="00F066B5" w:rsidP="00180AE1">
                    <w:pPr>
                      <w:jc w:val="right"/>
                      <w:rPr>
                        <w:rFonts w:ascii="Times New Roman" w:hAnsi="Times New Roman" w:cs="Times New Roman"/>
                        <w:szCs w:val="21"/>
                      </w:rPr>
                    </w:pPr>
                    <w:r>
                      <w:t>-</w:t>
                    </w:r>
                  </w:p>
                </w:tc>
              </w:tr>
              <w:tr w:rsidR="00F066B5" w14:paraId="0171951F" w14:textId="77777777" w:rsidTr="00180AE1">
                <w:sdt>
                  <w:sdtPr>
                    <w:tag w:val="_PLD_834b3ab77c824936875be7024902ea58"/>
                    <w:id w:val="-1287734050"/>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E542316" w14:textId="77777777" w:rsidR="00F066B5" w:rsidRDefault="00F066B5" w:rsidP="00180AE1">
                        <w:pPr>
                          <w:ind w:firstLineChars="100" w:firstLine="210"/>
                          <w:rPr>
                            <w:szCs w:val="21"/>
                          </w:rPr>
                        </w:pPr>
                        <w:r>
                          <w:rPr>
                            <w:rFonts w:hint="eastAsia"/>
                            <w:szCs w:val="21"/>
                          </w:rPr>
                          <w:t>资本公积</w:t>
                        </w:r>
                      </w:p>
                    </w:tc>
                  </w:sdtContent>
                </w:sdt>
                <w:tc>
                  <w:tcPr>
                    <w:tcW w:w="1199" w:type="pct"/>
                    <w:tcBorders>
                      <w:top w:val="outset" w:sz="4" w:space="0" w:color="auto"/>
                      <w:left w:val="outset" w:sz="4" w:space="0" w:color="auto"/>
                      <w:bottom w:val="outset" w:sz="4" w:space="0" w:color="auto"/>
                      <w:right w:val="outset" w:sz="4" w:space="0" w:color="auto"/>
                    </w:tcBorders>
                  </w:tcPr>
                  <w:p w14:paraId="7CD2FD3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2,053,523,093.12</w:t>
                    </w:r>
                  </w:p>
                </w:tc>
                <w:tc>
                  <w:tcPr>
                    <w:tcW w:w="1018" w:type="pct"/>
                    <w:tcBorders>
                      <w:top w:val="outset" w:sz="4" w:space="0" w:color="auto"/>
                      <w:left w:val="outset" w:sz="4" w:space="0" w:color="auto"/>
                      <w:bottom w:val="outset" w:sz="4" w:space="0" w:color="auto"/>
                      <w:right w:val="outset" w:sz="4" w:space="0" w:color="auto"/>
                    </w:tcBorders>
                  </w:tcPr>
                  <w:p w14:paraId="4548714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2,053,523,093.12</w:t>
                    </w:r>
                  </w:p>
                </w:tc>
                <w:tc>
                  <w:tcPr>
                    <w:tcW w:w="1179" w:type="pct"/>
                    <w:tcBorders>
                      <w:top w:val="outset" w:sz="4" w:space="0" w:color="auto"/>
                      <w:left w:val="outset" w:sz="4" w:space="0" w:color="auto"/>
                      <w:bottom w:val="outset" w:sz="4" w:space="0" w:color="auto"/>
                      <w:right w:val="outset" w:sz="4" w:space="0" w:color="auto"/>
                    </w:tcBorders>
                    <w:vAlign w:val="center"/>
                  </w:tcPr>
                  <w:p w14:paraId="072DC1D4" w14:textId="77777777" w:rsidR="00F066B5" w:rsidRPr="009635E0" w:rsidRDefault="00F066B5" w:rsidP="00180AE1">
                    <w:pPr>
                      <w:jc w:val="right"/>
                      <w:rPr>
                        <w:rFonts w:ascii="Times New Roman" w:hAnsi="Times New Roman" w:cs="Times New Roman"/>
                        <w:szCs w:val="21"/>
                      </w:rPr>
                    </w:pPr>
                    <w:r>
                      <w:t>-</w:t>
                    </w:r>
                  </w:p>
                </w:tc>
              </w:tr>
              <w:tr w:rsidR="00F066B5" w14:paraId="4B7CF2FB" w14:textId="77777777" w:rsidTr="00180AE1">
                <w:sdt>
                  <w:sdtPr>
                    <w:tag w:val="_PLD_dd11efa46b0146de89d9167f31cbb19b"/>
                    <w:id w:val="-752901450"/>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6AF0D7F" w14:textId="77777777" w:rsidR="00F066B5" w:rsidRDefault="00F066B5" w:rsidP="00180AE1">
                        <w:pPr>
                          <w:ind w:firstLineChars="100" w:firstLine="210"/>
                          <w:rPr>
                            <w:szCs w:val="21"/>
                          </w:rPr>
                        </w:pPr>
                        <w:r>
                          <w:rPr>
                            <w:rFonts w:hint="eastAsia"/>
                            <w:szCs w:val="21"/>
                          </w:rPr>
                          <w:t>盈余公积</w:t>
                        </w:r>
                      </w:p>
                    </w:tc>
                  </w:sdtContent>
                </w:sdt>
                <w:tc>
                  <w:tcPr>
                    <w:tcW w:w="1199" w:type="pct"/>
                    <w:tcBorders>
                      <w:top w:val="outset" w:sz="4" w:space="0" w:color="auto"/>
                      <w:left w:val="outset" w:sz="4" w:space="0" w:color="auto"/>
                      <w:bottom w:val="outset" w:sz="4" w:space="0" w:color="auto"/>
                      <w:right w:val="outset" w:sz="4" w:space="0" w:color="auto"/>
                    </w:tcBorders>
                  </w:tcPr>
                  <w:p w14:paraId="54A5895E"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10,122,906.55</w:t>
                    </w:r>
                  </w:p>
                </w:tc>
                <w:tc>
                  <w:tcPr>
                    <w:tcW w:w="1018" w:type="pct"/>
                    <w:tcBorders>
                      <w:top w:val="outset" w:sz="4" w:space="0" w:color="auto"/>
                      <w:left w:val="outset" w:sz="4" w:space="0" w:color="auto"/>
                      <w:bottom w:val="outset" w:sz="4" w:space="0" w:color="auto"/>
                      <w:right w:val="outset" w:sz="4" w:space="0" w:color="auto"/>
                    </w:tcBorders>
                  </w:tcPr>
                  <w:p w14:paraId="6D93B8E2"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10,122,906.55</w:t>
                    </w:r>
                  </w:p>
                </w:tc>
                <w:tc>
                  <w:tcPr>
                    <w:tcW w:w="1179" w:type="pct"/>
                    <w:tcBorders>
                      <w:top w:val="outset" w:sz="4" w:space="0" w:color="auto"/>
                      <w:left w:val="outset" w:sz="4" w:space="0" w:color="auto"/>
                      <w:bottom w:val="outset" w:sz="4" w:space="0" w:color="auto"/>
                      <w:right w:val="outset" w:sz="4" w:space="0" w:color="auto"/>
                    </w:tcBorders>
                    <w:vAlign w:val="center"/>
                  </w:tcPr>
                  <w:p w14:paraId="572898DB" w14:textId="77777777" w:rsidR="00F066B5" w:rsidRPr="009635E0" w:rsidRDefault="00F066B5" w:rsidP="00180AE1">
                    <w:pPr>
                      <w:jc w:val="right"/>
                      <w:rPr>
                        <w:rFonts w:ascii="Times New Roman" w:hAnsi="Times New Roman" w:cs="Times New Roman"/>
                        <w:szCs w:val="21"/>
                      </w:rPr>
                    </w:pPr>
                    <w:r>
                      <w:t>-</w:t>
                    </w:r>
                  </w:p>
                </w:tc>
              </w:tr>
              <w:tr w:rsidR="00F066B5" w14:paraId="3F63BEF9" w14:textId="77777777" w:rsidTr="00180AE1">
                <w:sdt>
                  <w:sdtPr>
                    <w:tag w:val="_PLD_d86bc5971158404eb1d42b4de33e2728"/>
                    <w:id w:val="162141021"/>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38276D4" w14:textId="77777777" w:rsidR="00F066B5" w:rsidRDefault="00F066B5" w:rsidP="00180AE1">
                        <w:pPr>
                          <w:ind w:firstLineChars="100" w:firstLine="210"/>
                          <w:rPr>
                            <w:szCs w:val="21"/>
                          </w:rPr>
                        </w:pPr>
                        <w:r>
                          <w:rPr>
                            <w:rFonts w:hint="eastAsia"/>
                            <w:szCs w:val="21"/>
                          </w:rPr>
                          <w:t>未分配利润</w:t>
                        </w:r>
                      </w:p>
                    </w:tc>
                  </w:sdtContent>
                </w:sdt>
                <w:tc>
                  <w:tcPr>
                    <w:tcW w:w="1199" w:type="pct"/>
                    <w:tcBorders>
                      <w:top w:val="outset" w:sz="4" w:space="0" w:color="auto"/>
                      <w:left w:val="outset" w:sz="4" w:space="0" w:color="auto"/>
                      <w:bottom w:val="outset" w:sz="4" w:space="0" w:color="auto"/>
                      <w:right w:val="outset" w:sz="4" w:space="0" w:color="auto"/>
                    </w:tcBorders>
                  </w:tcPr>
                  <w:p w14:paraId="0F156F39"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71,216,430.78</w:t>
                    </w:r>
                  </w:p>
                </w:tc>
                <w:tc>
                  <w:tcPr>
                    <w:tcW w:w="1018" w:type="pct"/>
                    <w:tcBorders>
                      <w:top w:val="outset" w:sz="4" w:space="0" w:color="auto"/>
                      <w:left w:val="outset" w:sz="4" w:space="0" w:color="auto"/>
                      <w:bottom w:val="outset" w:sz="4" w:space="0" w:color="auto"/>
                      <w:right w:val="outset" w:sz="4" w:space="0" w:color="auto"/>
                    </w:tcBorders>
                  </w:tcPr>
                  <w:p w14:paraId="445886C5"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71,216,430.78</w:t>
                    </w:r>
                  </w:p>
                </w:tc>
                <w:tc>
                  <w:tcPr>
                    <w:tcW w:w="1179" w:type="pct"/>
                    <w:tcBorders>
                      <w:top w:val="outset" w:sz="4" w:space="0" w:color="auto"/>
                      <w:left w:val="outset" w:sz="4" w:space="0" w:color="auto"/>
                      <w:bottom w:val="outset" w:sz="4" w:space="0" w:color="auto"/>
                      <w:right w:val="outset" w:sz="4" w:space="0" w:color="auto"/>
                    </w:tcBorders>
                    <w:vAlign w:val="center"/>
                  </w:tcPr>
                  <w:p w14:paraId="1336FBBA" w14:textId="77777777" w:rsidR="00F066B5" w:rsidRPr="009635E0" w:rsidRDefault="00F066B5" w:rsidP="00180AE1">
                    <w:pPr>
                      <w:jc w:val="right"/>
                      <w:rPr>
                        <w:rFonts w:ascii="Times New Roman" w:hAnsi="Times New Roman" w:cs="Times New Roman"/>
                        <w:szCs w:val="21"/>
                      </w:rPr>
                    </w:pPr>
                    <w:r>
                      <w:t>-</w:t>
                    </w:r>
                  </w:p>
                </w:tc>
              </w:tr>
              <w:tr w:rsidR="00F066B5" w14:paraId="26FEB31A" w14:textId="77777777" w:rsidTr="00180AE1">
                <w:sdt>
                  <w:sdtPr>
                    <w:tag w:val="_PLD_c20899a0afbc45fb9f96c375ae861870"/>
                    <w:id w:val="1522895110"/>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70A23D55" w14:textId="77777777" w:rsidR="00F066B5" w:rsidRDefault="00F066B5" w:rsidP="00180AE1">
                        <w:pPr>
                          <w:ind w:firstLineChars="200" w:firstLine="420"/>
                          <w:rPr>
                            <w:szCs w:val="21"/>
                          </w:rPr>
                        </w:pPr>
                        <w:r>
                          <w:rPr>
                            <w:rFonts w:hint="eastAsia"/>
                            <w:szCs w:val="21"/>
                          </w:rPr>
                          <w:t>所有者权益（或股东权益）合计</w:t>
                        </w:r>
                      </w:p>
                    </w:tc>
                  </w:sdtContent>
                </w:sdt>
                <w:tc>
                  <w:tcPr>
                    <w:tcW w:w="1199" w:type="pct"/>
                    <w:tcBorders>
                      <w:top w:val="outset" w:sz="4" w:space="0" w:color="auto"/>
                      <w:left w:val="outset" w:sz="4" w:space="0" w:color="auto"/>
                      <w:bottom w:val="outset" w:sz="4" w:space="0" w:color="auto"/>
                      <w:right w:val="outset" w:sz="4" w:space="0" w:color="auto"/>
                    </w:tcBorders>
                  </w:tcPr>
                  <w:p w14:paraId="1B17CEC8"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2,656,642,430.45</w:t>
                    </w:r>
                  </w:p>
                </w:tc>
                <w:tc>
                  <w:tcPr>
                    <w:tcW w:w="1018" w:type="pct"/>
                    <w:tcBorders>
                      <w:top w:val="outset" w:sz="4" w:space="0" w:color="auto"/>
                      <w:left w:val="outset" w:sz="4" w:space="0" w:color="auto"/>
                      <w:bottom w:val="outset" w:sz="4" w:space="0" w:color="auto"/>
                      <w:right w:val="outset" w:sz="4" w:space="0" w:color="auto"/>
                    </w:tcBorders>
                  </w:tcPr>
                  <w:p w14:paraId="7B648D85"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2,656,642,430.45</w:t>
                    </w:r>
                  </w:p>
                </w:tc>
                <w:tc>
                  <w:tcPr>
                    <w:tcW w:w="1179" w:type="pct"/>
                    <w:tcBorders>
                      <w:top w:val="outset" w:sz="4" w:space="0" w:color="auto"/>
                      <w:left w:val="outset" w:sz="4" w:space="0" w:color="auto"/>
                      <w:bottom w:val="outset" w:sz="4" w:space="0" w:color="auto"/>
                      <w:right w:val="outset" w:sz="4" w:space="0" w:color="auto"/>
                    </w:tcBorders>
                    <w:vAlign w:val="center"/>
                  </w:tcPr>
                  <w:p w14:paraId="5B96105D" w14:textId="77777777" w:rsidR="00F066B5" w:rsidRPr="009635E0" w:rsidRDefault="00F066B5" w:rsidP="00180AE1">
                    <w:pPr>
                      <w:jc w:val="right"/>
                      <w:rPr>
                        <w:rFonts w:ascii="Times New Roman" w:hAnsi="Times New Roman" w:cs="Times New Roman"/>
                        <w:szCs w:val="21"/>
                      </w:rPr>
                    </w:pPr>
                    <w:r>
                      <w:t>-</w:t>
                    </w:r>
                  </w:p>
                </w:tc>
              </w:tr>
              <w:tr w:rsidR="00F066B5" w14:paraId="22728A53" w14:textId="77777777" w:rsidTr="00180AE1">
                <w:sdt>
                  <w:sdtPr>
                    <w:tag w:val="_PLD_db11ece6f92844b48c8e943a030153d9"/>
                    <w:id w:val="2033075050"/>
                    <w:lock w:val="sdtLocked"/>
                  </w:sdtPr>
                  <w:sdtEndPr/>
                  <w:sdtContent>
                    <w:tc>
                      <w:tcPr>
                        <w:tcW w:w="1604" w:type="pct"/>
                        <w:tcBorders>
                          <w:top w:val="outset" w:sz="4" w:space="0" w:color="auto"/>
                          <w:left w:val="outset" w:sz="4" w:space="0" w:color="auto"/>
                          <w:bottom w:val="outset" w:sz="4" w:space="0" w:color="auto"/>
                          <w:right w:val="outset" w:sz="4" w:space="0" w:color="auto"/>
                        </w:tcBorders>
                        <w:vAlign w:val="center"/>
                      </w:tcPr>
                      <w:p w14:paraId="1429B4D4" w14:textId="77777777" w:rsidR="00F066B5" w:rsidRDefault="00F066B5" w:rsidP="00180AE1">
                        <w:pPr>
                          <w:ind w:firstLineChars="300" w:firstLine="630"/>
                          <w:rPr>
                            <w:szCs w:val="21"/>
                          </w:rPr>
                        </w:pPr>
                        <w:r>
                          <w:rPr>
                            <w:rFonts w:hint="eastAsia"/>
                            <w:szCs w:val="21"/>
                          </w:rPr>
                          <w:t>负债和所有者权益（或股东权益）总计</w:t>
                        </w:r>
                      </w:p>
                    </w:tc>
                  </w:sdtContent>
                </w:sdt>
                <w:tc>
                  <w:tcPr>
                    <w:tcW w:w="1199" w:type="pct"/>
                    <w:tcBorders>
                      <w:top w:val="outset" w:sz="4" w:space="0" w:color="auto"/>
                      <w:left w:val="outset" w:sz="4" w:space="0" w:color="auto"/>
                      <w:bottom w:val="outset" w:sz="4" w:space="0" w:color="auto"/>
                      <w:right w:val="outset" w:sz="4" w:space="0" w:color="auto"/>
                    </w:tcBorders>
                  </w:tcPr>
                  <w:p w14:paraId="1F0AEE54"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rPr>
                      <w:t>3,224,601,287.92</w:t>
                    </w:r>
                  </w:p>
                </w:tc>
                <w:tc>
                  <w:tcPr>
                    <w:tcW w:w="1018" w:type="pct"/>
                    <w:tcBorders>
                      <w:top w:val="outset" w:sz="4" w:space="0" w:color="auto"/>
                      <w:left w:val="outset" w:sz="4" w:space="0" w:color="auto"/>
                      <w:bottom w:val="outset" w:sz="4" w:space="0" w:color="auto"/>
                      <w:right w:val="outset" w:sz="4" w:space="0" w:color="auto"/>
                    </w:tcBorders>
                  </w:tcPr>
                  <w:p w14:paraId="0165C0AB" w14:textId="77777777" w:rsidR="00F066B5" w:rsidRPr="009635E0" w:rsidRDefault="00F066B5" w:rsidP="00180AE1">
                    <w:pPr>
                      <w:jc w:val="right"/>
                      <w:rPr>
                        <w:rFonts w:ascii="Times New Roman" w:hAnsi="Times New Roman" w:cs="Times New Roman"/>
                        <w:szCs w:val="21"/>
                      </w:rPr>
                    </w:pPr>
                    <w:r w:rsidRPr="009635E0">
                      <w:rPr>
                        <w:rFonts w:ascii="Times New Roman" w:hAnsi="Times New Roman" w:cs="Times New Roman"/>
                        <w:szCs w:val="21"/>
                      </w:rPr>
                      <w:t>3,224,601,287.92</w:t>
                    </w:r>
                  </w:p>
                </w:tc>
                <w:tc>
                  <w:tcPr>
                    <w:tcW w:w="1179" w:type="pct"/>
                    <w:tcBorders>
                      <w:top w:val="outset" w:sz="4" w:space="0" w:color="auto"/>
                      <w:left w:val="outset" w:sz="4" w:space="0" w:color="auto"/>
                      <w:bottom w:val="outset" w:sz="4" w:space="0" w:color="auto"/>
                      <w:right w:val="outset" w:sz="4" w:space="0" w:color="auto"/>
                    </w:tcBorders>
                    <w:vAlign w:val="center"/>
                  </w:tcPr>
                  <w:p w14:paraId="379D23C8" w14:textId="77777777" w:rsidR="00F066B5" w:rsidRPr="009635E0" w:rsidRDefault="00F066B5" w:rsidP="00180AE1">
                    <w:pPr>
                      <w:jc w:val="right"/>
                      <w:rPr>
                        <w:rFonts w:ascii="Times New Roman" w:hAnsi="Times New Roman" w:cs="Times New Roman"/>
                        <w:szCs w:val="21"/>
                      </w:rPr>
                    </w:pPr>
                    <w:r>
                      <w:t>-</w:t>
                    </w:r>
                  </w:p>
                </w:tc>
              </w:tr>
            </w:tbl>
            <w:p w14:paraId="1F3148DA" w14:textId="77777777" w:rsidR="00F066B5" w:rsidRDefault="00F066B5"/>
            <w:p w14:paraId="47DCD4DF" w14:textId="77777777" w:rsidR="009635E0" w:rsidRDefault="009635E0">
              <w:pPr>
                <w:rPr>
                  <w:szCs w:val="21"/>
                </w:rPr>
              </w:pPr>
              <w:r>
                <w:rPr>
                  <w:rFonts w:hint="eastAsia"/>
                  <w:szCs w:val="21"/>
                </w:rPr>
                <w:t>各项目调整情况的说明：</w:t>
              </w:r>
            </w:p>
            <w:sdt>
              <w:sdtPr>
                <w:alias w:val="是否适用：母公司资产负债表各项目调整情况的说明[双击切换]"/>
                <w:tag w:val="_GBC_4da43801742d47a3ad02db54d198c963"/>
                <w:id w:val="-1772314139"/>
                <w:lock w:val="sdtLocked"/>
              </w:sdtPr>
              <w:sdtEndPr/>
              <w:sdtContent>
                <w:p w14:paraId="792E8E0C" w14:textId="54701FB6" w:rsidR="009635E0" w:rsidRDefault="009635E0" w:rsidP="009635E0">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0A0C53E1" w14:textId="77777777" w:rsidR="009635E0" w:rsidRDefault="00045EC6">
              <w:pPr>
                <w:rPr>
                  <w:szCs w:val="21"/>
                </w:rPr>
              </w:pPr>
            </w:p>
          </w:sdtContent>
        </w:sdt>
        <w:p w14:paraId="4F8D822B" w14:textId="15FA9969" w:rsidR="00D21C1F" w:rsidRPr="00B80D4F" w:rsidRDefault="00045EC6" w:rsidP="00F447F3">
          <w:pPr>
            <w:rPr>
              <w:rFonts w:ascii="Times New Roman" w:hAnsi="Times New Roman" w:cs="Times New Roman"/>
            </w:rPr>
          </w:pPr>
        </w:p>
      </w:sdtContent>
    </w:sdt>
    <w:bookmarkEnd w:id="165" w:displacedByCustomXml="next"/>
    <w:bookmarkStart w:id="166" w:name="_Hlk10466171" w:displacedByCustomXml="next"/>
    <w:sdt>
      <w:sdtPr>
        <w:rPr>
          <w:rFonts w:ascii="宋体" w:eastAsia="宋体" w:hAnsi="宋体" w:cs="宋体" w:hint="eastAsia"/>
          <w:b w:val="0"/>
          <w:bCs w:val="0"/>
          <w:kern w:val="0"/>
          <w:szCs w:val="21"/>
        </w:rPr>
        <w:alias w:val="模块:首次执行新金融工具准则、新租赁准则追溯调整前期比较数据的说明"/>
        <w:tag w:val="_SEC_a98b82c2763d4798bed73cd0b4fbc809"/>
        <w:id w:val="189808145"/>
        <w:lock w:val="sdtLocked"/>
        <w:placeholder>
          <w:docPart w:val="GBC22222222222222222222222222222"/>
        </w:placeholder>
      </w:sdtPr>
      <w:sdtEndPr>
        <w:rPr>
          <w:rFonts w:hint="default"/>
        </w:rPr>
      </w:sdtEndPr>
      <w:sdtContent>
        <w:p w14:paraId="02C7834B" w14:textId="77777777" w:rsidR="00D21C1F" w:rsidRDefault="00A42880">
          <w:pPr>
            <w:pStyle w:val="93"/>
            <w:numPr>
              <w:ilvl w:val="3"/>
              <w:numId w:val="93"/>
            </w:numPr>
            <w:ind w:left="426" w:hanging="426"/>
            <w:rPr>
              <w:rFonts w:ascii="宋体" w:hAnsi="宋体"/>
              <w:szCs w:val="21"/>
            </w:rPr>
          </w:pPr>
          <w:r>
            <w:rPr>
              <w:rFonts w:ascii="Times New Roman" w:hAnsi="Times New Roman" w:hint="eastAsia"/>
              <w:szCs w:val="21"/>
            </w:rPr>
            <w:t>2021</w:t>
          </w:r>
          <w:r>
            <w:rPr>
              <w:rFonts w:ascii="宋体" w:hAnsi="宋体" w:hint="eastAsia"/>
              <w:szCs w:val="21"/>
            </w:rPr>
            <w:t>年</w:t>
          </w:r>
          <w:r>
            <w:rPr>
              <w:rFonts w:ascii="宋体" w:hAnsi="宋体" w:hint="eastAsia"/>
            </w:rPr>
            <w:t>起首次执行新租赁准则追溯调整前期比较数据的说</w:t>
          </w:r>
          <w:r>
            <w:rPr>
              <w:rFonts w:ascii="宋体" w:hAnsi="宋体"/>
            </w:rPr>
            <w:t>明</w:t>
          </w:r>
        </w:p>
        <w:sdt>
          <w:sdtPr>
            <w:rPr>
              <w:szCs w:val="21"/>
            </w:rPr>
            <w:alias w:val="是否适用：首次执行新会计准则调整前期比较数据的说明[双击切换]"/>
            <w:tag w:val="_GBC_ceaa7ba89e47473da347779a7dc5e772"/>
            <w:id w:val="1325783722"/>
            <w:lock w:val="sdtLocked"/>
            <w:placeholder>
              <w:docPart w:val="GBC22222222222222222222222222222"/>
            </w:placeholder>
          </w:sdtPr>
          <w:sdtEndPr/>
          <w:sdtContent>
            <w:p w14:paraId="3B04754A"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CF40806" w14:textId="2703E4BA" w:rsidR="00D21C1F" w:rsidRDefault="00045EC6">
          <w:pPr>
            <w:rPr>
              <w:szCs w:val="21"/>
            </w:rPr>
          </w:pPr>
        </w:p>
      </w:sdtContent>
    </w:sdt>
    <w:bookmarkEnd w:id="166" w:displacedByCustomXml="prev"/>
    <w:sdt>
      <w:sdtPr>
        <w:rPr>
          <w:rFonts w:ascii="宋体" w:eastAsia="宋体" w:hAnsi="宋体" w:cstheme="minorBidi" w:hint="eastAsia"/>
          <w:b w:val="0"/>
          <w:bCs w:val="0"/>
          <w:kern w:val="0"/>
          <w:szCs w:val="22"/>
        </w:rPr>
        <w:alias w:val="模块:其他"/>
        <w:tag w:val="_GBC_f9189f2c315949f484bded540173f7a8"/>
        <w:id w:val="1968313508"/>
        <w:lock w:val="sdtLocked"/>
        <w:placeholder>
          <w:docPart w:val="GBC22222222222222222222222222222"/>
        </w:placeholder>
      </w:sdtPr>
      <w:sdtEndPr>
        <w:rPr>
          <w:rFonts w:cs="Times New Roman"/>
          <w:szCs w:val="21"/>
        </w:rPr>
      </w:sdtEndPr>
      <w:sdtContent>
        <w:p w14:paraId="68E4D0A1" w14:textId="77777777" w:rsidR="00D21C1F" w:rsidRDefault="00A42880">
          <w:pPr>
            <w:pStyle w:val="94"/>
            <w:numPr>
              <w:ilvl w:val="0"/>
              <w:numId w:val="45"/>
            </w:numPr>
            <w:rPr>
              <w:rFonts w:ascii="宋体" w:hAnsi="宋体"/>
            </w:rPr>
          </w:pPr>
          <w:r>
            <w:rPr>
              <w:rFonts w:ascii="宋体" w:hAnsi="宋体" w:hint="eastAsia"/>
            </w:rPr>
            <w:t>其他</w:t>
          </w:r>
        </w:p>
        <w:sdt>
          <w:sdtPr>
            <w:rPr>
              <w:rFonts w:hint="eastAsia"/>
              <w:szCs w:val="21"/>
            </w:rPr>
            <w:alias w:val="是否适用：公司主要会计政策、会计估计和前期差错的其他说明[双击切换]"/>
            <w:tag w:val="_GBC_6deb29735f384e0d9a2b017d4265a493"/>
            <w:id w:val="1970628924"/>
            <w:lock w:val="sdtLocked"/>
            <w:placeholder>
              <w:docPart w:val="GBC22222222222222222222222222222"/>
            </w:placeholder>
          </w:sdtPr>
          <w:sdtEndPr/>
          <w:sdtContent>
            <w:p w14:paraId="2D249378"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F3A3A68" w14:textId="77777777" w:rsidR="00D21C1F" w:rsidRDefault="00045EC6">
          <w:pPr>
            <w:rPr>
              <w:szCs w:val="21"/>
            </w:rPr>
          </w:pPr>
        </w:p>
      </w:sdtContent>
    </w:sdt>
    <w:p w14:paraId="27DFA37D" w14:textId="77777777" w:rsidR="00D21C1F" w:rsidRDefault="00A42880">
      <w:pPr>
        <w:pStyle w:val="2CharCharChar"/>
        <w:numPr>
          <w:ilvl w:val="0"/>
          <w:numId w:val="42"/>
        </w:numPr>
      </w:pPr>
      <w:r>
        <w:rPr>
          <w:rFonts w:hint="eastAsia"/>
        </w:rPr>
        <w:t>税项</w:t>
      </w:r>
    </w:p>
    <w:sdt>
      <w:sdtPr>
        <w:rPr>
          <w:rFonts w:ascii="宋体" w:eastAsia="宋体" w:hAnsi="宋体" w:cs="宋体"/>
          <w:b w:val="0"/>
          <w:bCs w:val="0"/>
          <w:kern w:val="0"/>
          <w:szCs w:val="22"/>
        </w:rPr>
        <w:alias w:val="模块:主要税种及税率"/>
        <w:tag w:val="_GBC_21c965fa52af49a9865023fb4e05671a"/>
        <w:id w:val="-40445588"/>
        <w:lock w:val="sdtLocked"/>
        <w:placeholder>
          <w:docPart w:val="GBC22222222222222222222222222222"/>
        </w:placeholder>
      </w:sdtPr>
      <w:sdtEndPr>
        <w:rPr>
          <w:rFonts w:cs="Times New Roman"/>
          <w:kern w:val="2"/>
          <w:szCs w:val="21"/>
        </w:rPr>
      </w:sdtEndPr>
      <w:sdtContent>
        <w:p w14:paraId="498FC80E" w14:textId="77777777" w:rsidR="00D21C1F" w:rsidRDefault="00A42880">
          <w:pPr>
            <w:pStyle w:val="94"/>
            <w:numPr>
              <w:ilvl w:val="0"/>
              <w:numId w:val="94"/>
            </w:numPr>
            <w:tabs>
              <w:tab w:val="left" w:pos="546"/>
            </w:tabs>
            <w:rPr>
              <w:rFonts w:ascii="宋体" w:hAnsi="宋体"/>
            </w:rPr>
          </w:pPr>
          <w:r>
            <w:rPr>
              <w:rFonts w:ascii="宋体" w:hAnsi="宋体"/>
            </w:rPr>
            <w:t>主要税种及税率</w:t>
          </w:r>
        </w:p>
        <w:p w14:paraId="2BFA8C2A" w14:textId="77777777" w:rsidR="00D21C1F" w:rsidRDefault="00A42880">
          <w:pPr>
            <w:pStyle w:val="97"/>
          </w:pPr>
          <w:r>
            <w:rPr>
              <w:rFonts w:hint="eastAsia"/>
            </w:rPr>
            <w:t>主要税种及税率情况</w:t>
          </w:r>
        </w:p>
        <w:sdt>
          <w:sdtPr>
            <w:alias w:val="是否适用：主要税种及税率情况 [双击切换]"/>
            <w:tag w:val="_GBC_fd47fa4fd9aa499c8903795268a25582"/>
            <w:id w:val="709145751"/>
            <w:lock w:val="sdtLocked"/>
            <w:placeholder>
              <w:docPart w:val="GBC22222222222222222222222222222"/>
            </w:placeholder>
          </w:sdtPr>
          <w:sdtEndPr/>
          <w:sdtContent>
            <w:p w14:paraId="45E0013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D21C1F" w14:paraId="6187F1D8" w14:textId="77777777">
            <w:sdt>
              <w:sdtPr>
                <w:rPr>
                  <w:kern w:val="2"/>
                  <w:szCs w:val="21"/>
                </w:rPr>
                <w:tag w:val="_PLD_e7d49d0412b143bf84fec865b918065a"/>
                <w:id w:val="1704594798"/>
                <w:lock w:val="sdtLocked"/>
              </w:sdtPr>
              <w:sdtEndPr>
                <w:rPr>
                  <w:kern w:val="0"/>
                  <w:szCs w:val="24"/>
                </w:rPr>
              </w:sdtEndPr>
              <w:sdtContent>
                <w:tc>
                  <w:tcPr>
                    <w:tcW w:w="1537" w:type="pct"/>
                    <w:vAlign w:val="center"/>
                  </w:tcPr>
                  <w:p w14:paraId="3D9CAD7F" w14:textId="77777777" w:rsidR="00D21C1F" w:rsidRDefault="00A42880">
                    <w:pPr>
                      <w:jc w:val="center"/>
                      <w:rPr>
                        <w:szCs w:val="21"/>
                      </w:rPr>
                    </w:pPr>
                    <w:r>
                      <w:rPr>
                        <w:szCs w:val="21"/>
                      </w:rPr>
                      <w:t>税种</w:t>
                    </w:r>
                  </w:p>
                </w:tc>
              </w:sdtContent>
            </w:sdt>
            <w:sdt>
              <w:sdtPr>
                <w:tag w:val="_PLD_e42202809983483baa812ed26e1b27a2"/>
                <w:id w:val="2090809460"/>
                <w:lock w:val="sdtLocked"/>
              </w:sdtPr>
              <w:sdtEndPr/>
              <w:sdtContent>
                <w:tc>
                  <w:tcPr>
                    <w:tcW w:w="1738" w:type="pct"/>
                    <w:vAlign w:val="center"/>
                  </w:tcPr>
                  <w:p w14:paraId="3EB8B249" w14:textId="77777777" w:rsidR="00D21C1F" w:rsidRDefault="00A42880">
                    <w:pPr>
                      <w:jc w:val="center"/>
                      <w:rPr>
                        <w:szCs w:val="21"/>
                      </w:rPr>
                    </w:pPr>
                    <w:r>
                      <w:rPr>
                        <w:szCs w:val="21"/>
                      </w:rPr>
                      <w:t>计税依据</w:t>
                    </w:r>
                  </w:p>
                </w:tc>
              </w:sdtContent>
            </w:sdt>
            <w:sdt>
              <w:sdtPr>
                <w:tag w:val="_PLD_0cebc7a4c62844c6b35146cd64cd4277"/>
                <w:id w:val="102848538"/>
                <w:lock w:val="sdtLocked"/>
              </w:sdtPr>
              <w:sdtEndPr/>
              <w:sdtContent>
                <w:tc>
                  <w:tcPr>
                    <w:tcW w:w="1725" w:type="pct"/>
                    <w:vAlign w:val="center"/>
                  </w:tcPr>
                  <w:p w14:paraId="4E9C697E" w14:textId="77777777" w:rsidR="00D21C1F" w:rsidRDefault="00A42880">
                    <w:pPr>
                      <w:jc w:val="center"/>
                      <w:rPr>
                        <w:szCs w:val="21"/>
                      </w:rPr>
                    </w:pPr>
                    <w:r>
                      <w:rPr>
                        <w:szCs w:val="21"/>
                      </w:rPr>
                      <w:t>税率</w:t>
                    </w:r>
                  </w:p>
                </w:tc>
              </w:sdtContent>
            </w:sdt>
          </w:tr>
          <w:sdt>
            <w:sdtPr>
              <w:rPr>
                <w:kern w:val="2"/>
                <w:szCs w:val="21"/>
              </w:rPr>
              <w:alias w:val="其他主要税种及税率"/>
              <w:tag w:val="_GBC_b4f10406bc8741879c7bff390b72f9b9"/>
              <w:id w:val="1057361392"/>
              <w:lock w:val="sdtLocked"/>
            </w:sdtPr>
            <w:sdtEndPr/>
            <w:sdtContent>
              <w:tr w:rsidR="00D21C1F" w14:paraId="7A4358E4" w14:textId="77777777">
                <w:tc>
                  <w:tcPr>
                    <w:tcW w:w="1537" w:type="pct"/>
                  </w:tcPr>
                  <w:p w14:paraId="3755DAF7" w14:textId="77777777" w:rsidR="00D21C1F" w:rsidRDefault="00A42880">
                    <w:pPr>
                      <w:rPr>
                        <w:szCs w:val="21"/>
                      </w:rPr>
                    </w:pPr>
                    <w:r>
                      <w:t>国内公司</w:t>
                    </w:r>
                  </w:p>
                </w:tc>
                <w:tc>
                  <w:tcPr>
                    <w:tcW w:w="1738" w:type="pct"/>
                  </w:tcPr>
                  <w:p w14:paraId="73BDF3FE" w14:textId="77777777" w:rsidR="00D21C1F" w:rsidRDefault="00D21C1F">
                    <w:pPr>
                      <w:rPr>
                        <w:szCs w:val="21"/>
                      </w:rPr>
                    </w:pPr>
                  </w:p>
                </w:tc>
                <w:tc>
                  <w:tcPr>
                    <w:tcW w:w="1725" w:type="pct"/>
                  </w:tcPr>
                  <w:p w14:paraId="5946554D" w14:textId="77777777" w:rsidR="00D21C1F" w:rsidRDefault="00D21C1F">
                    <w:pPr>
                      <w:rPr>
                        <w:szCs w:val="21"/>
                      </w:rPr>
                    </w:pPr>
                  </w:p>
                </w:tc>
              </w:tr>
            </w:sdtContent>
          </w:sdt>
          <w:sdt>
            <w:sdtPr>
              <w:rPr>
                <w:kern w:val="2"/>
                <w:szCs w:val="21"/>
              </w:rPr>
              <w:alias w:val="其他主要税种及税率"/>
              <w:tag w:val="_GBC_b4f10406bc8741879c7bff390b72f9b9"/>
              <w:id w:val="-1428853"/>
              <w:lock w:val="sdtLocked"/>
            </w:sdtPr>
            <w:sdtEndPr>
              <w:rPr>
                <w:rFonts w:ascii="Times New Roman" w:hAnsi="Times New Roman" w:cs="Times New Roman"/>
              </w:rPr>
            </w:sdtEndPr>
            <w:sdtContent>
              <w:tr w:rsidR="00D21C1F" w14:paraId="50DD772F" w14:textId="77777777">
                <w:tc>
                  <w:tcPr>
                    <w:tcW w:w="1537" w:type="pct"/>
                  </w:tcPr>
                  <w:p w14:paraId="04B60E94" w14:textId="77777777" w:rsidR="00D21C1F" w:rsidRDefault="00A42880">
                    <w:pPr>
                      <w:rPr>
                        <w:szCs w:val="21"/>
                      </w:rPr>
                    </w:pPr>
                    <w:r>
                      <w:t>增值税</w:t>
                    </w:r>
                  </w:p>
                </w:tc>
                <w:tc>
                  <w:tcPr>
                    <w:tcW w:w="1738" w:type="pct"/>
                  </w:tcPr>
                  <w:p w14:paraId="5759FF08" w14:textId="77777777" w:rsidR="00D21C1F" w:rsidRDefault="00A42880">
                    <w:pPr>
                      <w:rPr>
                        <w:szCs w:val="21"/>
                      </w:rPr>
                    </w:pPr>
                    <w:r>
                      <w:t>应税销售额</w:t>
                    </w:r>
                  </w:p>
                </w:tc>
                <w:tc>
                  <w:tcPr>
                    <w:tcW w:w="1725" w:type="pct"/>
                  </w:tcPr>
                  <w:p w14:paraId="3299C9BF" w14:textId="77777777" w:rsidR="00D21C1F" w:rsidRDefault="00A42880">
                    <w:pPr>
                      <w:rPr>
                        <w:rFonts w:ascii="Times New Roman" w:hAnsi="Times New Roman" w:cs="Times New Roman"/>
                        <w:szCs w:val="21"/>
                      </w:rPr>
                    </w:pPr>
                    <w:r>
                      <w:rPr>
                        <w:rFonts w:ascii="Times New Roman" w:hAnsi="Times New Roman" w:cs="Times New Roman"/>
                      </w:rPr>
                      <w:t>13%</w:t>
                    </w:r>
                    <w:r>
                      <w:rPr>
                        <w:rFonts w:ascii="Times New Roman" w:hAnsi="Times New Roman" w:cs="Times New Roman"/>
                      </w:rPr>
                      <w:t>、</w:t>
                    </w:r>
                    <w:r>
                      <w:rPr>
                        <w:rFonts w:ascii="Times New Roman" w:hAnsi="Times New Roman" w:cs="Times New Roman"/>
                      </w:rPr>
                      <w:t>6%</w:t>
                    </w:r>
                  </w:p>
                </w:tc>
              </w:tr>
            </w:sdtContent>
          </w:sdt>
          <w:sdt>
            <w:sdtPr>
              <w:rPr>
                <w:kern w:val="2"/>
                <w:szCs w:val="21"/>
              </w:rPr>
              <w:alias w:val="其他主要税种及税率"/>
              <w:tag w:val="_GBC_b4f10406bc8741879c7bff390b72f9b9"/>
              <w:id w:val="1164053851"/>
              <w:lock w:val="sdtLocked"/>
            </w:sdtPr>
            <w:sdtEndPr>
              <w:rPr>
                <w:rFonts w:ascii="Times New Roman" w:hAnsi="Times New Roman" w:cs="Times New Roman"/>
              </w:rPr>
            </w:sdtEndPr>
            <w:sdtContent>
              <w:tr w:rsidR="00D21C1F" w14:paraId="28229D5E" w14:textId="77777777">
                <w:tc>
                  <w:tcPr>
                    <w:tcW w:w="1537" w:type="pct"/>
                  </w:tcPr>
                  <w:p w14:paraId="5B3214E6" w14:textId="77777777" w:rsidR="00D21C1F" w:rsidRDefault="00A42880">
                    <w:pPr>
                      <w:rPr>
                        <w:szCs w:val="21"/>
                      </w:rPr>
                    </w:pPr>
                    <w:r>
                      <w:t>城市维护建设税</w:t>
                    </w:r>
                  </w:p>
                </w:tc>
                <w:tc>
                  <w:tcPr>
                    <w:tcW w:w="1738" w:type="pct"/>
                  </w:tcPr>
                  <w:p w14:paraId="2B5898B1" w14:textId="77777777" w:rsidR="00D21C1F" w:rsidRDefault="00A42880">
                    <w:pPr>
                      <w:rPr>
                        <w:szCs w:val="21"/>
                      </w:rPr>
                    </w:pPr>
                    <w:r>
                      <w:t>应纳流转税额</w:t>
                    </w:r>
                  </w:p>
                </w:tc>
                <w:tc>
                  <w:tcPr>
                    <w:tcW w:w="1725" w:type="pct"/>
                  </w:tcPr>
                  <w:p w14:paraId="00E68FAD" w14:textId="77777777" w:rsidR="00D21C1F" w:rsidRDefault="00A42880">
                    <w:pPr>
                      <w:rPr>
                        <w:rFonts w:ascii="Times New Roman" w:hAnsi="Times New Roman" w:cs="Times New Roman"/>
                        <w:szCs w:val="21"/>
                      </w:rPr>
                    </w:pPr>
                    <w:r>
                      <w:rPr>
                        <w:rFonts w:ascii="Times New Roman" w:hAnsi="Times New Roman" w:cs="Times New Roman"/>
                      </w:rPr>
                      <w:t>7%</w:t>
                    </w:r>
                  </w:p>
                </w:tc>
              </w:tr>
            </w:sdtContent>
          </w:sdt>
          <w:sdt>
            <w:sdtPr>
              <w:rPr>
                <w:kern w:val="2"/>
                <w:szCs w:val="21"/>
              </w:rPr>
              <w:alias w:val="其他主要税种及税率"/>
              <w:tag w:val="_GBC_b4f10406bc8741879c7bff390b72f9b9"/>
              <w:id w:val="-1453699856"/>
              <w:lock w:val="sdtLocked"/>
            </w:sdtPr>
            <w:sdtEndPr>
              <w:rPr>
                <w:rFonts w:ascii="Times New Roman" w:hAnsi="Times New Roman" w:cs="Times New Roman"/>
              </w:rPr>
            </w:sdtEndPr>
            <w:sdtContent>
              <w:tr w:rsidR="00D21C1F" w14:paraId="411FA40F" w14:textId="77777777">
                <w:tc>
                  <w:tcPr>
                    <w:tcW w:w="1537" w:type="pct"/>
                  </w:tcPr>
                  <w:p w14:paraId="52FBD77F" w14:textId="77777777" w:rsidR="00D21C1F" w:rsidRDefault="00A42880">
                    <w:pPr>
                      <w:rPr>
                        <w:szCs w:val="21"/>
                      </w:rPr>
                    </w:pPr>
                    <w:r>
                      <w:t>教育费附加</w:t>
                    </w:r>
                  </w:p>
                </w:tc>
                <w:tc>
                  <w:tcPr>
                    <w:tcW w:w="1738" w:type="pct"/>
                  </w:tcPr>
                  <w:p w14:paraId="2286F8E5" w14:textId="77777777" w:rsidR="00D21C1F" w:rsidRDefault="00A42880">
                    <w:pPr>
                      <w:rPr>
                        <w:szCs w:val="21"/>
                      </w:rPr>
                    </w:pPr>
                    <w:r>
                      <w:t>应纳流转税额</w:t>
                    </w:r>
                  </w:p>
                </w:tc>
                <w:tc>
                  <w:tcPr>
                    <w:tcW w:w="1725" w:type="pct"/>
                  </w:tcPr>
                  <w:p w14:paraId="2F072B94" w14:textId="77777777" w:rsidR="00D21C1F" w:rsidRDefault="00A42880">
                    <w:pPr>
                      <w:rPr>
                        <w:rFonts w:ascii="Times New Roman" w:hAnsi="Times New Roman" w:cs="Times New Roman"/>
                        <w:szCs w:val="21"/>
                      </w:rPr>
                    </w:pPr>
                    <w:r>
                      <w:rPr>
                        <w:rFonts w:ascii="Times New Roman" w:hAnsi="Times New Roman" w:cs="Times New Roman"/>
                      </w:rPr>
                      <w:t>3%</w:t>
                    </w:r>
                  </w:p>
                </w:tc>
              </w:tr>
            </w:sdtContent>
          </w:sdt>
          <w:sdt>
            <w:sdtPr>
              <w:rPr>
                <w:kern w:val="2"/>
                <w:szCs w:val="21"/>
              </w:rPr>
              <w:alias w:val="其他主要税种及税率"/>
              <w:tag w:val="_GBC_b4f10406bc8741879c7bff390b72f9b9"/>
              <w:id w:val="-209645383"/>
              <w:lock w:val="sdtLocked"/>
            </w:sdtPr>
            <w:sdtEndPr>
              <w:rPr>
                <w:rFonts w:ascii="Times New Roman" w:hAnsi="Times New Roman" w:cs="Times New Roman"/>
              </w:rPr>
            </w:sdtEndPr>
            <w:sdtContent>
              <w:tr w:rsidR="00D21C1F" w14:paraId="4EB9F591" w14:textId="77777777">
                <w:tc>
                  <w:tcPr>
                    <w:tcW w:w="1537" w:type="pct"/>
                  </w:tcPr>
                  <w:p w14:paraId="75E59E60" w14:textId="77777777" w:rsidR="00D21C1F" w:rsidRDefault="00A42880">
                    <w:pPr>
                      <w:rPr>
                        <w:szCs w:val="21"/>
                      </w:rPr>
                    </w:pPr>
                    <w:r>
                      <w:t>地方教育附加</w:t>
                    </w:r>
                  </w:p>
                </w:tc>
                <w:tc>
                  <w:tcPr>
                    <w:tcW w:w="1738" w:type="pct"/>
                  </w:tcPr>
                  <w:p w14:paraId="04F9BB4B" w14:textId="77777777" w:rsidR="00D21C1F" w:rsidRDefault="00A42880">
                    <w:pPr>
                      <w:rPr>
                        <w:szCs w:val="21"/>
                      </w:rPr>
                    </w:pPr>
                    <w:r>
                      <w:t>应纳流转税额</w:t>
                    </w:r>
                  </w:p>
                </w:tc>
                <w:tc>
                  <w:tcPr>
                    <w:tcW w:w="1725" w:type="pct"/>
                  </w:tcPr>
                  <w:p w14:paraId="7B92EDCE" w14:textId="77777777" w:rsidR="00D21C1F" w:rsidRDefault="00A42880">
                    <w:pPr>
                      <w:rPr>
                        <w:rFonts w:ascii="Times New Roman" w:hAnsi="Times New Roman" w:cs="Times New Roman"/>
                        <w:szCs w:val="21"/>
                      </w:rPr>
                    </w:pPr>
                    <w:r>
                      <w:rPr>
                        <w:rFonts w:ascii="Times New Roman" w:hAnsi="Times New Roman" w:cs="Times New Roman"/>
                      </w:rPr>
                      <w:t>2%</w:t>
                    </w:r>
                  </w:p>
                </w:tc>
              </w:tr>
            </w:sdtContent>
          </w:sdt>
          <w:sdt>
            <w:sdtPr>
              <w:rPr>
                <w:kern w:val="2"/>
                <w:szCs w:val="21"/>
              </w:rPr>
              <w:alias w:val="其他主要税种及税率"/>
              <w:tag w:val="_GBC_b4f10406bc8741879c7bff390b72f9b9"/>
              <w:id w:val="-718046473"/>
              <w:lock w:val="sdtLocked"/>
            </w:sdtPr>
            <w:sdtEndPr>
              <w:rPr>
                <w:rFonts w:ascii="Times New Roman" w:hAnsi="Times New Roman" w:cs="Times New Roman"/>
              </w:rPr>
            </w:sdtEndPr>
            <w:sdtContent>
              <w:tr w:rsidR="00D21C1F" w14:paraId="5B10B22A" w14:textId="77777777">
                <w:tc>
                  <w:tcPr>
                    <w:tcW w:w="1537" w:type="pct"/>
                  </w:tcPr>
                  <w:p w14:paraId="4F0E8DB9" w14:textId="77777777" w:rsidR="00D21C1F" w:rsidRDefault="00A42880">
                    <w:pPr>
                      <w:rPr>
                        <w:szCs w:val="21"/>
                      </w:rPr>
                    </w:pPr>
                    <w:r>
                      <w:t>企业所得税</w:t>
                    </w:r>
                  </w:p>
                </w:tc>
                <w:tc>
                  <w:tcPr>
                    <w:tcW w:w="1738" w:type="pct"/>
                  </w:tcPr>
                  <w:p w14:paraId="7C5FC812" w14:textId="77777777" w:rsidR="00D21C1F" w:rsidRDefault="00A42880">
                    <w:pPr>
                      <w:rPr>
                        <w:szCs w:val="21"/>
                      </w:rPr>
                    </w:pPr>
                    <w:r>
                      <w:t>应纳税所得额</w:t>
                    </w:r>
                  </w:p>
                </w:tc>
                <w:tc>
                  <w:tcPr>
                    <w:tcW w:w="1725" w:type="pct"/>
                  </w:tcPr>
                  <w:p w14:paraId="018B60E4" w14:textId="77777777" w:rsidR="00D21C1F" w:rsidRDefault="00A42880">
                    <w:pPr>
                      <w:rPr>
                        <w:rFonts w:ascii="Times New Roman" w:hAnsi="Times New Roman" w:cs="Times New Roman"/>
                        <w:szCs w:val="21"/>
                      </w:rPr>
                    </w:pPr>
                    <w:r>
                      <w:rPr>
                        <w:rFonts w:ascii="Times New Roman" w:hAnsi="Times New Roman" w:cs="Times New Roman"/>
                      </w:rPr>
                      <w:t>25%</w:t>
                    </w:r>
                  </w:p>
                </w:tc>
              </w:tr>
            </w:sdtContent>
          </w:sdt>
          <w:sdt>
            <w:sdtPr>
              <w:rPr>
                <w:kern w:val="2"/>
                <w:szCs w:val="21"/>
              </w:rPr>
              <w:alias w:val="其他主要税种及税率"/>
              <w:tag w:val="_GBC_b4f10406bc8741879c7bff390b72f9b9"/>
              <w:id w:val="-1370832438"/>
              <w:lock w:val="sdtLocked"/>
            </w:sdtPr>
            <w:sdtEndPr>
              <w:rPr>
                <w:rFonts w:ascii="Times New Roman" w:hAnsi="Times New Roman" w:cs="Times New Roman"/>
              </w:rPr>
            </w:sdtEndPr>
            <w:sdtContent>
              <w:tr w:rsidR="00D21C1F" w14:paraId="2C9E0DF3" w14:textId="77777777">
                <w:tc>
                  <w:tcPr>
                    <w:tcW w:w="1537" w:type="pct"/>
                  </w:tcPr>
                  <w:p w14:paraId="2A8FDCF6" w14:textId="77777777" w:rsidR="00D21C1F" w:rsidRDefault="00A42880">
                    <w:pPr>
                      <w:rPr>
                        <w:szCs w:val="21"/>
                      </w:rPr>
                    </w:pPr>
                    <w:r>
                      <w:rPr>
                        <w:rFonts w:ascii="Times New Roman" w:hAnsi="Times New Roman"/>
                      </w:rPr>
                      <w:t>CMA</w:t>
                    </w:r>
                    <w:r>
                      <w:t>、</w:t>
                    </w:r>
                    <w:r>
                      <w:rPr>
                        <w:rFonts w:ascii="Times New Roman" w:hAnsi="Times New Roman"/>
                      </w:rPr>
                      <w:t>EVOLUT</w:t>
                    </w:r>
                    <w:r>
                      <w:t>、</w:t>
                    </w:r>
                    <w:r>
                      <w:rPr>
                        <w:rFonts w:ascii="Times New Roman" w:hAnsi="Times New Roman"/>
                      </w:rPr>
                      <w:t>Efort Systems</w:t>
                    </w:r>
                    <w:r>
                      <w:t>、</w:t>
                    </w:r>
                    <w:r>
                      <w:rPr>
                        <w:rFonts w:ascii="Times New Roman" w:hAnsi="Times New Roman"/>
                      </w:rPr>
                      <w:t>WFC</w:t>
                    </w:r>
                    <w:r>
                      <w:t>、</w:t>
                    </w:r>
                    <w:r>
                      <w:rPr>
                        <w:rFonts w:ascii="Times New Roman" w:hAnsi="Times New Roman"/>
                      </w:rPr>
                      <w:t>OLCI</w:t>
                    </w:r>
                    <w:r>
                      <w:t>、</w:t>
                    </w:r>
                    <w:r>
                      <w:rPr>
                        <w:rFonts w:ascii="Times New Roman" w:hAnsi="Times New Roman"/>
                      </w:rPr>
                      <w:t>Efort Europe</w:t>
                    </w:r>
                  </w:p>
                </w:tc>
                <w:tc>
                  <w:tcPr>
                    <w:tcW w:w="1738" w:type="pct"/>
                  </w:tcPr>
                  <w:p w14:paraId="6C1C974A" w14:textId="77777777" w:rsidR="00D21C1F" w:rsidRDefault="00D21C1F">
                    <w:pPr>
                      <w:rPr>
                        <w:szCs w:val="21"/>
                      </w:rPr>
                    </w:pPr>
                  </w:p>
                </w:tc>
                <w:tc>
                  <w:tcPr>
                    <w:tcW w:w="1725" w:type="pct"/>
                  </w:tcPr>
                  <w:p w14:paraId="1FE4EE7E" w14:textId="77777777" w:rsidR="00D21C1F" w:rsidRDefault="00D21C1F">
                    <w:pPr>
                      <w:rPr>
                        <w:rFonts w:ascii="Times New Roman" w:hAnsi="Times New Roman" w:cs="Times New Roman"/>
                        <w:szCs w:val="21"/>
                      </w:rPr>
                    </w:pPr>
                  </w:p>
                </w:tc>
              </w:tr>
            </w:sdtContent>
          </w:sdt>
          <w:sdt>
            <w:sdtPr>
              <w:rPr>
                <w:kern w:val="2"/>
                <w:szCs w:val="21"/>
              </w:rPr>
              <w:alias w:val="其他主要税种及税率"/>
              <w:tag w:val="_GBC_b4f10406bc8741879c7bff390b72f9b9"/>
              <w:id w:val="-1160466742"/>
              <w:lock w:val="sdtLocked"/>
            </w:sdtPr>
            <w:sdtEndPr>
              <w:rPr>
                <w:rFonts w:ascii="Times New Roman" w:hAnsi="Times New Roman" w:cs="Times New Roman"/>
              </w:rPr>
            </w:sdtEndPr>
            <w:sdtContent>
              <w:tr w:rsidR="00D21C1F" w14:paraId="1A80873C" w14:textId="77777777">
                <w:tc>
                  <w:tcPr>
                    <w:tcW w:w="1537" w:type="pct"/>
                  </w:tcPr>
                  <w:p w14:paraId="4689E344" w14:textId="77777777" w:rsidR="00D21C1F" w:rsidRDefault="00A42880">
                    <w:pPr>
                      <w:rPr>
                        <w:szCs w:val="21"/>
                      </w:rPr>
                    </w:pPr>
                    <w:r>
                      <w:t>增值税</w:t>
                    </w:r>
                  </w:p>
                </w:tc>
                <w:tc>
                  <w:tcPr>
                    <w:tcW w:w="1738" w:type="pct"/>
                  </w:tcPr>
                  <w:p w14:paraId="32E08630" w14:textId="77777777" w:rsidR="00D21C1F" w:rsidRDefault="00A42880">
                    <w:pPr>
                      <w:rPr>
                        <w:szCs w:val="21"/>
                      </w:rPr>
                    </w:pPr>
                    <w:r>
                      <w:t>应税销售额</w:t>
                    </w:r>
                  </w:p>
                </w:tc>
                <w:tc>
                  <w:tcPr>
                    <w:tcW w:w="1725" w:type="pct"/>
                  </w:tcPr>
                  <w:p w14:paraId="6A88BB26" w14:textId="77777777" w:rsidR="00D21C1F" w:rsidRDefault="00A42880">
                    <w:pPr>
                      <w:rPr>
                        <w:rFonts w:ascii="Times New Roman" w:hAnsi="Times New Roman" w:cs="Times New Roman"/>
                        <w:szCs w:val="21"/>
                      </w:rPr>
                    </w:pPr>
                    <w:r>
                      <w:rPr>
                        <w:rFonts w:ascii="Times New Roman" w:hAnsi="Times New Roman" w:cs="Times New Roman"/>
                      </w:rPr>
                      <w:t>22%</w:t>
                    </w:r>
                  </w:p>
                </w:tc>
              </w:tr>
            </w:sdtContent>
          </w:sdt>
          <w:sdt>
            <w:sdtPr>
              <w:rPr>
                <w:kern w:val="2"/>
                <w:szCs w:val="21"/>
              </w:rPr>
              <w:alias w:val="其他主要税种及税率"/>
              <w:tag w:val="_GBC_b4f10406bc8741879c7bff390b72f9b9"/>
              <w:id w:val="-828212082"/>
              <w:lock w:val="sdtLocked"/>
            </w:sdtPr>
            <w:sdtEndPr>
              <w:rPr>
                <w:rFonts w:ascii="Times New Roman" w:hAnsi="Times New Roman" w:cs="Times New Roman"/>
              </w:rPr>
            </w:sdtEndPr>
            <w:sdtContent>
              <w:tr w:rsidR="00D21C1F" w14:paraId="6D3E2865" w14:textId="77777777">
                <w:tc>
                  <w:tcPr>
                    <w:tcW w:w="1537" w:type="pct"/>
                  </w:tcPr>
                  <w:p w14:paraId="4FD0C7E3" w14:textId="77777777" w:rsidR="00D21C1F" w:rsidRDefault="00A42880">
                    <w:pPr>
                      <w:rPr>
                        <w:szCs w:val="21"/>
                      </w:rPr>
                    </w:pPr>
                    <w:r>
                      <w:t>企业所得税</w:t>
                    </w:r>
                  </w:p>
                </w:tc>
                <w:tc>
                  <w:tcPr>
                    <w:tcW w:w="1738" w:type="pct"/>
                  </w:tcPr>
                  <w:p w14:paraId="1791270F" w14:textId="77777777" w:rsidR="00D21C1F" w:rsidRDefault="00A42880">
                    <w:pPr>
                      <w:rPr>
                        <w:szCs w:val="21"/>
                      </w:rPr>
                    </w:pPr>
                    <w:r>
                      <w:t>应纳税所得额</w:t>
                    </w:r>
                  </w:p>
                </w:tc>
                <w:tc>
                  <w:tcPr>
                    <w:tcW w:w="1725" w:type="pct"/>
                  </w:tcPr>
                  <w:p w14:paraId="36942AE3" w14:textId="77777777" w:rsidR="00D21C1F" w:rsidRDefault="00A42880">
                    <w:pPr>
                      <w:rPr>
                        <w:rFonts w:ascii="Times New Roman" w:hAnsi="Times New Roman" w:cs="Times New Roman"/>
                        <w:szCs w:val="21"/>
                      </w:rPr>
                    </w:pPr>
                    <w:r>
                      <w:rPr>
                        <w:rFonts w:ascii="Times New Roman" w:hAnsi="Times New Roman" w:cs="Times New Roman"/>
                      </w:rPr>
                      <w:t>24%</w:t>
                    </w:r>
                  </w:p>
                </w:tc>
              </w:tr>
            </w:sdtContent>
          </w:sdt>
          <w:sdt>
            <w:sdtPr>
              <w:rPr>
                <w:kern w:val="2"/>
                <w:szCs w:val="21"/>
              </w:rPr>
              <w:alias w:val="其他主要税种及税率"/>
              <w:tag w:val="_GBC_b4f10406bc8741879c7bff390b72f9b9"/>
              <w:id w:val="-1034498092"/>
              <w:lock w:val="sdtLocked"/>
            </w:sdtPr>
            <w:sdtEndPr>
              <w:rPr>
                <w:rFonts w:ascii="Times New Roman" w:hAnsi="Times New Roman" w:cs="Times New Roman"/>
              </w:rPr>
            </w:sdtEndPr>
            <w:sdtContent>
              <w:tr w:rsidR="00D21C1F" w14:paraId="7833C002" w14:textId="77777777">
                <w:tc>
                  <w:tcPr>
                    <w:tcW w:w="1537" w:type="pct"/>
                  </w:tcPr>
                  <w:p w14:paraId="04A0940B" w14:textId="77777777" w:rsidR="00D21C1F" w:rsidRDefault="00A42880">
                    <w:pPr>
                      <w:rPr>
                        <w:szCs w:val="21"/>
                      </w:rPr>
                    </w:pPr>
                    <w:r>
                      <w:t>工商业地税</w:t>
                    </w:r>
                  </w:p>
                </w:tc>
                <w:tc>
                  <w:tcPr>
                    <w:tcW w:w="1738" w:type="pct"/>
                  </w:tcPr>
                  <w:p w14:paraId="1F5C2C76" w14:textId="77777777" w:rsidR="00D21C1F" w:rsidRDefault="00A42880">
                    <w:pPr>
                      <w:rPr>
                        <w:szCs w:val="21"/>
                      </w:rPr>
                    </w:pPr>
                    <w:r>
                      <w:t>应纳税所得额</w:t>
                    </w:r>
                  </w:p>
                </w:tc>
                <w:tc>
                  <w:tcPr>
                    <w:tcW w:w="1725" w:type="pct"/>
                  </w:tcPr>
                  <w:p w14:paraId="2E2262C4" w14:textId="77777777" w:rsidR="00D21C1F" w:rsidRDefault="00A42880">
                    <w:pPr>
                      <w:rPr>
                        <w:rFonts w:ascii="Times New Roman" w:hAnsi="Times New Roman" w:cs="Times New Roman"/>
                        <w:szCs w:val="21"/>
                      </w:rPr>
                    </w:pPr>
                    <w:r>
                      <w:rPr>
                        <w:rFonts w:ascii="Times New Roman" w:hAnsi="Times New Roman" w:cs="Times New Roman"/>
                      </w:rPr>
                      <w:t>3.9%</w:t>
                    </w:r>
                    <w:r>
                      <w:rPr>
                        <w:rFonts w:ascii="Times New Roman" w:hAnsi="Times New Roman" w:cs="Times New Roman"/>
                      </w:rPr>
                      <w:t>、</w:t>
                    </w:r>
                    <w:r>
                      <w:rPr>
                        <w:rFonts w:ascii="Times New Roman" w:hAnsi="Times New Roman" w:cs="Times New Roman"/>
                      </w:rPr>
                      <w:t>2.98%</w:t>
                    </w:r>
                  </w:p>
                </w:tc>
              </w:tr>
            </w:sdtContent>
          </w:sdt>
          <w:sdt>
            <w:sdtPr>
              <w:rPr>
                <w:kern w:val="2"/>
                <w:szCs w:val="21"/>
              </w:rPr>
              <w:alias w:val="其他主要税种及税率"/>
              <w:tag w:val="_GBC_b4f10406bc8741879c7bff390b72f9b9"/>
              <w:id w:val="1494690987"/>
              <w:lock w:val="sdtLocked"/>
            </w:sdtPr>
            <w:sdtEndPr>
              <w:rPr>
                <w:rFonts w:ascii="Times New Roman" w:hAnsi="Times New Roman" w:cs="Times New Roman"/>
              </w:rPr>
            </w:sdtEndPr>
            <w:sdtContent>
              <w:tr w:rsidR="00D21C1F" w14:paraId="77DA37D2" w14:textId="77777777">
                <w:tc>
                  <w:tcPr>
                    <w:tcW w:w="1537" w:type="pct"/>
                  </w:tcPr>
                  <w:p w14:paraId="7459FF84" w14:textId="77777777" w:rsidR="00D21C1F" w:rsidRDefault="00A42880">
                    <w:pPr>
                      <w:rPr>
                        <w:szCs w:val="21"/>
                      </w:rPr>
                    </w:pPr>
                    <w:r>
                      <w:rPr>
                        <w:rFonts w:ascii="Times New Roman" w:hAnsi="Times New Roman"/>
                      </w:rPr>
                      <w:t>CMAGmbH</w:t>
                    </w:r>
                  </w:p>
                </w:tc>
                <w:tc>
                  <w:tcPr>
                    <w:tcW w:w="1738" w:type="pct"/>
                  </w:tcPr>
                  <w:p w14:paraId="3BAC4F48" w14:textId="77777777" w:rsidR="00D21C1F" w:rsidRDefault="00D21C1F">
                    <w:pPr>
                      <w:rPr>
                        <w:szCs w:val="21"/>
                      </w:rPr>
                    </w:pPr>
                  </w:p>
                </w:tc>
                <w:tc>
                  <w:tcPr>
                    <w:tcW w:w="1725" w:type="pct"/>
                  </w:tcPr>
                  <w:p w14:paraId="5C6A5F63" w14:textId="77777777" w:rsidR="00D21C1F" w:rsidRDefault="00D21C1F">
                    <w:pPr>
                      <w:rPr>
                        <w:rFonts w:ascii="Times New Roman" w:hAnsi="Times New Roman" w:cs="Times New Roman"/>
                        <w:szCs w:val="21"/>
                      </w:rPr>
                    </w:pPr>
                  </w:p>
                </w:tc>
              </w:tr>
            </w:sdtContent>
          </w:sdt>
          <w:sdt>
            <w:sdtPr>
              <w:rPr>
                <w:kern w:val="2"/>
                <w:szCs w:val="21"/>
              </w:rPr>
              <w:alias w:val="其他主要税种及税率"/>
              <w:tag w:val="_GBC_b4f10406bc8741879c7bff390b72f9b9"/>
              <w:id w:val="-171344810"/>
              <w:lock w:val="sdtLocked"/>
            </w:sdtPr>
            <w:sdtEndPr>
              <w:rPr>
                <w:rFonts w:ascii="Times New Roman" w:hAnsi="Times New Roman" w:cs="Times New Roman"/>
              </w:rPr>
            </w:sdtEndPr>
            <w:sdtContent>
              <w:tr w:rsidR="00D21C1F" w14:paraId="7F07727D" w14:textId="77777777">
                <w:tc>
                  <w:tcPr>
                    <w:tcW w:w="1537" w:type="pct"/>
                  </w:tcPr>
                  <w:p w14:paraId="099C71D9" w14:textId="77777777" w:rsidR="00D21C1F" w:rsidRDefault="00A42880">
                    <w:pPr>
                      <w:rPr>
                        <w:szCs w:val="21"/>
                      </w:rPr>
                    </w:pPr>
                    <w:r>
                      <w:t>增值税</w:t>
                    </w:r>
                  </w:p>
                </w:tc>
                <w:tc>
                  <w:tcPr>
                    <w:tcW w:w="1738" w:type="pct"/>
                  </w:tcPr>
                  <w:p w14:paraId="51C83D5D" w14:textId="77777777" w:rsidR="00D21C1F" w:rsidRDefault="00A42880">
                    <w:pPr>
                      <w:rPr>
                        <w:szCs w:val="21"/>
                      </w:rPr>
                    </w:pPr>
                    <w:r>
                      <w:t>应税销售额</w:t>
                    </w:r>
                  </w:p>
                </w:tc>
                <w:tc>
                  <w:tcPr>
                    <w:tcW w:w="1725" w:type="pct"/>
                  </w:tcPr>
                  <w:p w14:paraId="09E70715" w14:textId="77777777" w:rsidR="00D21C1F" w:rsidRDefault="00A42880">
                    <w:pPr>
                      <w:rPr>
                        <w:rFonts w:ascii="Times New Roman" w:hAnsi="Times New Roman" w:cs="Times New Roman"/>
                        <w:szCs w:val="21"/>
                      </w:rPr>
                    </w:pPr>
                    <w:r>
                      <w:rPr>
                        <w:rFonts w:ascii="Times New Roman" w:hAnsi="Times New Roman" w:cs="Times New Roman"/>
                      </w:rPr>
                      <w:t>19%</w:t>
                    </w:r>
                  </w:p>
                </w:tc>
              </w:tr>
            </w:sdtContent>
          </w:sdt>
          <w:sdt>
            <w:sdtPr>
              <w:rPr>
                <w:kern w:val="2"/>
                <w:szCs w:val="21"/>
              </w:rPr>
              <w:alias w:val="其他主要税种及税率"/>
              <w:tag w:val="_GBC_b4f10406bc8741879c7bff390b72f9b9"/>
              <w:id w:val="1299035412"/>
              <w:lock w:val="sdtLocked"/>
            </w:sdtPr>
            <w:sdtEndPr>
              <w:rPr>
                <w:rFonts w:ascii="Times New Roman" w:hAnsi="Times New Roman" w:cs="Times New Roman"/>
              </w:rPr>
            </w:sdtEndPr>
            <w:sdtContent>
              <w:tr w:rsidR="00D21C1F" w14:paraId="3CB24085" w14:textId="77777777">
                <w:tc>
                  <w:tcPr>
                    <w:tcW w:w="1537" w:type="pct"/>
                  </w:tcPr>
                  <w:p w14:paraId="5BC018A6" w14:textId="77777777" w:rsidR="00D21C1F" w:rsidRDefault="00A42880">
                    <w:pPr>
                      <w:rPr>
                        <w:szCs w:val="21"/>
                      </w:rPr>
                    </w:pPr>
                    <w:r>
                      <w:t>企业所得税</w:t>
                    </w:r>
                  </w:p>
                </w:tc>
                <w:tc>
                  <w:tcPr>
                    <w:tcW w:w="1738" w:type="pct"/>
                  </w:tcPr>
                  <w:p w14:paraId="737E803A" w14:textId="77777777" w:rsidR="00D21C1F" w:rsidRDefault="00A42880">
                    <w:pPr>
                      <w:rPr>
                        <w:szCs w:val="21"/>
                      </w:rPr>
                    </w:pPr>
                    <w:r>
                      <w:t>应纳税所得额</w:t>
                    </w:r>
                  </w:p>
                </w:tc>
                <w:tc>
                  <w:tcPr>
                    <w:tcW w:w="1725" w:type="pct"/>
                  </w:tcPr>
                  <w:p w14:paraId="570A2ECD" w14:textId="77777777" w:rsidR="00D21C1F" w:rsidRDefault="00A42880">
                    <w:pPr>
                      <w:rPr>
                        <w:rFonts w:ascii="Times New Roman" w:hAnsi="Times New Roman" w:cs="Times New Roman"/>
                        <w:szCs w:val="21"/>
                      </w:rPr>
                    </w:pPr>
                    <w:r>
                      <w:rPr>
                        <w:rFonts w:ascii="Times New Roman" w:hAnsi="Times New Roman" w:cs="Times New Roman"/>
                      </w:rPr>
                      <w:t>15%</w:t>
                    </w:r>
                  </w:p>
                </w:tc>
              </w:tr>
            </w:sdtContent>
          </w:sdt>
          <w:sdt>
            <w:sdtPr>
              <w:rPr>
                <w:kern w:val="2"/>
                <w:szCs w:val="21"/>
              </w:rPr>
              <w:alias w:val="其他主要税种及税率"/>
              <w:tag w:val="_GBC_b4f10406bc8741879c7bff390b72f9b9"/>
              <w:id w:val="875271437"/>
              <w:lock w:val="sdtLocked"/>
            </w:sdtPr>
            <w:sdtEndPr>
              <w:rPr>
                <w:rFonts w:ascii="Times New Roman" w:hAnsi="Times New Roman" w:cs="Times New Roman"/>
              </w:rPr>
            </w:sdtEndPr>
            <w:sdtContent>
              <w:tr w:rsidR="00D21C1F" w14:paraId="69A209A2" w14:textId="77777777">
                <w:tc>
                  <w:tcPr>
                    <w:tcW w:w="1537" w:type="pct"/>
                  </w:tcPr>
                  <w:p w14:paraId="1D620430" w14:textId="77777777" w:rsidR="00D21C1F" w:rsidRDefault="00A42880">
                    <w:pPr>
                      <w:rPr>
                        <w:szCs w:val="21"/>
                      </w:rPr>
                    </w:pPr>
                    <w:r>
                      <w:rPr>
                        <w:rFonts w:ascii="Times New Roman" w:hAnsi="Times New Roman"/>
                      </w:rPr>
                      <w:t>Autorobot</w:t>
                    </w:r>
                  </w:p>
                </w:tc>
                <w:tc>
                  <w:tcPr>
                    <w:tcW w:w="1738" w:type="pct"/>
                  </w:tcPr>
                  <w:p w14:paraId="54475F0E" w14:textId="77777777" w:rsidR="00D21C1F" w:rsidRDefault="00D21C1F">
                    <w:pPr>
                      <w:rPr>
                        <w:szCs w:val="21"/>
                      </w:rPr>
                    </w:pPr>
                  </w:p>
                </w:tc>
                <w:tc>
                  <w:tcPr>
                    <w:tcW w:w="1725" w:type="pct"/>
                  </w:tcPr>
                  <w:p w14:paraId="51169013" w14:textId="77777777" w:rsidR="00D21C1F" w:rsidRDefault="00D21C1F">
                    <w:pPr>
                      <w:rPr>
                        <w:rFonts w:ascii="Times New Roman" w:hAnsi="Times New Roman" w:cs="Times New Roman"/>
                        <w:szCs w:val="21"/>
                      </w:rPr>
                    </w:pPr>
                  </w:p>
                </w:tc>
              </w:tr>
            </w:sdtContent>
          </w:sdt>
          <w:sdt>
            <w:sdtPr>
              <w:rPr>
                <w:kern w:val="2"/>
                <w:szCs w:val="21"/>
              </w:rPr>
              <w:alias w:val="其他主要税种及税率"/>
              <w:tag w:val="_GBC_b4f10406bc8741879c7bff390b72f9b9"/>
              <w:id w:val="2097127159"/>
              <w:lock w:val="sdtLocked"/>
            </w:sdtPr>
            <w:sdtEndPr>
              <w:rPr>
                <w:rFonts w:ascii="Times New Roman" w:hAnsi="Times New Roman" w:cs="Times New Roman"/>
              </w:rPr>
            </w:sdtEndPr>
            <w:sdtContent>
              <w:tr w:rsidR="00D21C1F" w14:paraId="754063C2" w14:textId="77777777">
                <w:tc>
                  <w:tcPr>
                    <w:tcW w:w="1537" w:type="pct"/>
                  </w:tcPr>
                  <w:p w14:paraId="085878CD" w14:textId="77777777" w:rsidR="00D21C1F" w:rsidRDefault="00A42880">
                    <w:pPr>
                      <w:rPr>
                        <w:szCs w:val="21"/>
                      </w:rPr>
                    </w:pPr>
                    <w:r>
                      <w:t>增值税</w:t>
                    </w:r>
                  </w:p>
                </w:tc>
                <w:tc>
                  <w:tcPr>
                    <w:tcW w:w="1738" w:type="pct"/>
                  </w:tcPr>
                  <w:p w14:paraId="451F07FF" w14:textId="77777777" w:rsidR="00D21C1F" w:rsidRDefault="00A42880">
                    <w:pPr>
                      <w:rPr>
                        <w:szCs w:val="21"/>
                      </w:rPr>
                    </w:pPr>
                    <w:r>
                      <w:t>应税销售额</w:t>
                    </w:r>
                  </w:p>
                </w:tc>
                <w:tc>
                  <w:tcPr>
                    <w:tcW w:w="1725" w:type="pct"/>
                  </w:tcPr>
                  <w:p w14:paraId="52828BF7" w14:textId="77777777" w:rsidR="00D21C1F" w:rsidRDefault="00A42880">
                    <w:pPr>
                      <w:rPr>
                        <w:rFonts w:ascii="Times New Roman" w:hAnsi="Times New Roman" w:cs="Times New Roman"/>
                        <w:szCs w:val="21"/>
                      </w:rPr>
                    </w:pPr>
                    <w:r>
                      <w:rPr>
                        <w:rFonts w:ascii="Times New Roman" w:hAnsi="Times New Roman" w:cs="Times New Roman"/>
                      </w:rPr>
                      <w:t>23%</w:t>
                    </w:r>
                  </w:p>
                </w:tc>
              </w:tr>
            </w:sdtContent>
          </w:sdt>
          <w:sdt>
            <w:sdtPr>
              <w:rPr>
                <w:kern w:val="2"/>
                <w:szCs w:val="21"/>
              </w:rPr>
              <w:alias w:val="其他主要税种及税率"/>
              <w:tag w:val="_GBC_b4f10406bc8741879c7bff390b72f9b9"/>
              <w:id w:val="-991018183"/>
              <w:lock w:val="sdtLocked"/>
            </w:sdtPr>
            <w:sdtEndPr>
              <w:rPr>
                <w:rFonts w:ascii="Times New Roman" w:hAnsi="Times New Roman" w:cs="Times New Roman"/>
              </w:rPr>
            </w:sdtEndPr>
            <w:sdtContent>
              <w:tr w:rsidR="00D21C1F" w14:paraId="233C371A" w14:textId="77777777">
                <w:tc>
                  <w:tcPr>
                    <w:tcW w:w="1537" w:type="pct"/>
                  </w:tcPr>
                  <w:p w14:paraId="4240124C" w14:textId="77777777" w:rsidR="00D21C1F" w:rsidRDefault="00A42880">
                    <w:pPr>
                      <w:rPr>
                        <w:szCs w:val="21"/>
                      </w:rPr>
                    </w:pPr>
                    <w:r>
                      <w:t>企业所得税</w:t>
                    </w:r>
                  </w:p>
                </w:tc>
                <w:tc>
                  <w:tcPr>
                    <w:tcW w:w="1738" w:type="pct"/>
                  </w:tcPr>
                  <w:p w14:paraId="2F0ABB29" w14:textId="77777777" w:rsidR="00D21C1F" w:rsidRDefault="00A42880">
                    <w:pPr>
                      <w:rPr>
                        <w:szCs w:val="21"/>
                      </w:rPr>
                    </w:pPr>
                    <w:r>
                      <w:t>应纳税所得额</w:t>
                    </w:r>
                  </w:p>
                </w:tc>
                <w:tc>
                  <w:tcPr>
                    <w:tcW w:w="1725" w:type="pct"/>
                  </w:tcPr>
                  <w:p w14:paraId="49BAEDA9" w14:textId="77777777" w:rsidR="00D21C1F" w:rsidRDefault="00A42880">
                    <w:pPr>
                      <w:rPr>
                        <w:rFonts w:ascii="Times New Roman" w:hAnsi="Times New Roman" w:cs="Times New Roman"/>
                        <w:szCs w:val="21"/>
                      </w:rPr>
                    </w:pPr>
                    <w:r>
                      <w:rPr>
                        <w:rFonts w:ascii="Times New Roman" w:hAnsi="Times New Roman" w:cs="Times New Roman"/>
                      </w:rPr>
                      <w:t>19%</w:t>
                    </w:r>
                  </w:p>
                </w:tc>
              </w:tr>
            </w:sdtContent>
          </w:sdt>
          <w:sdt>
            <w:sdtPr>
              <w:rPr>
                <w:kern w:val="2"/>
                <w:szCs w:val="21"/>
              </w:rPr>
              <w:alias w:val="其他主要税种及税率"/>
              <w:tag w:val="_GBC_b4f10406bc8741879c7bff390b72f9b9"/>
              <w:id w:val="945806761"/>
              <w:lock w:val="sdtLocked"/>
            </w:sdtPr>
            <w:sdtEndPr>
              <w:rPr>
                <w:rFonts w:ascii="Times New Roman" w:hAnsi="Times New Roman" w:cs="Times New Roman"/>
              </w:rPr>
            </w:sdtEndPr>
            <w:sdtContent>
              <w:tr w:rsidR="00D21C1F" w14:paraId="6F61D924" w14:textId="77777777">
                <w:tc>
                  <w:tcPr>
                    <w:tcW w:w="1537" w:type="pct"/>
                  </w:tcPr>
                  <w:p w14:paraId="581A9797" w14:textId="77777777" w:rsidR="00D21C1F" w:rsidRDefault="00A42880">
                    <w:pPr>
                      <w:rPr>
                        <w:szCs w:val="21"/>
                      </w:rPr>
                    </w:pPr>
                    <w:r>
                      <w:rPr>
                        <w:rFonts w:ascii="Times New Roman" w:hAnsi="Times New Roman"/>
                      </w:rPr>
                      <w:t>GME</w:t>
                    </w:r>
                    <w:r>
                      <w:t>、</w:t>
                    </w:r>
                    <w:r>
                      <w:rPr>
                        <w:rFonts w:ascii="Times New Roman" w:hAnsi="Times New Roman"/>
                      </w:rPr>
                      <w:t>ECG</w:t>
                    </w:r>
                  </w:p>
                </w:tc>
                <w:tc>
                  <w:tcPr>
                    <w:tcW w:w="1738" w:type="pct"/>
                  </w:tcPr>
                  <w:p w14:paraId="0F367013" w14:textId="77777777" w:rsidR="00D21C1F" w:rsidRDefault="00D21C1F">
                    <w:pPr>
                      <w:rPr>
                        <w:szCs w:val="21"/>
                      </w:rPr>
                    </w:pPr>
                  </w:p>
                </w:tc>
                <w:tc>
                  <w:tcPr>
                    <w:tcW w:w="1725" w:type="pct"/>
                  </w:tcPr>
                  <w:p w14:paraId="367631D0" w14:textId="77777777" w:rsidR="00D21C1F" w:rsidRDefault="00D21C1F">
                    <w:pPr>
                      <w:rPr>
                        <w:rFonts w:ascii="Times New Roman" w:hAnsi="Times New Roman" w:cs="Times New Roman"/>
                        <w:szCs w:val="21"/>
                      </w:rPr>
                    </w:pPr>
                  </w:p>
                </w:tc>
              </w:tr>
            </w:sdtContent>
          </w:sdt>
          <w:sdt>
            <w:sdtPr>
              <w:rPr>
                <w:kern w:val="2"/>
                <w:szCs w:val="21"/>
              </w:rPr>
              <w:alias w:val="其他主要税种及税率"/>
              <w:tag w:val="_GBC_b4f10406bc8741879c7bff390b72f9b9"/>
              <w:id w:val="183724050"/>
              <w:lock w:val="sdtLocked"/>
            </w:sdtPr>
            <w:sdtEndPr>
              <w:rPr>
                <w:rFonts w:ascii="Times New Roman" w:hAnsi="Times New Roman" w:cs="Times New Roman"/>
              </w:rPr>
            </w:sdtEndPr>
            <w:sdtContent>
              <w:tr w:rsidR="00D21C1F" w14:paraId="67C43CFF" w14:textId="77777777">
                <w:tc>
                  <w:tcPr>
                    <w:tcW w:w="1537" w:type="pct"/>
                  </w:tcPr>
                  <w:p w14:paraId="17D43F74" w14:textId="77777777" w:rsidR="00D21C1F" w:rsidRDefault="00A42880">
                    <w:pPr>
                      <w:rPr>
                        <w:szCs w:val="21"/>
                      </w:rPr>
                    </w:pPr>
                    <w:r>
                      <w:t>增值税（</w:t>
                    </w:r>
                    <w:r>
                      <w:rPr>
                        <w:rFonts w:ascii="Times New Roman" w:hAnsi="Times New Roman"/>
                      </w:rPr>
                      <w:t>ICMS</w:t>
                    </w:r>
                    <w:r>
                      <w:t>州税）</w:t>
                    </w:r>
                  </w:p>
                </w:tc>
                <w:tc>
                  <w:tcPr>
                    <w:tcW w:w="1738" w:type="pct"/>
                  </w:tcPr>
                  <w:p w14:paraId="449304E8" w14:textId="77777777" w:rsidR="00D21C1F" w:rsidRDefault="00A42880">
                    <w:pPr>
                      <w:rPr>
                        <w:szCs w:val="21"/>
                      </w:rPr>
                    </w:pPr>
                    <w:r>
                      <w:t>应税销售额</w:t>
                    </w:r>
                  </w:p>
                </w:tc>
                <w:tc>
                  <w:tcPr>
                    <w:tcW w:w="1725" w:type="pct"/>
                  </w:tcPr>
                  <w:p w14:paraId="573001DC" w14:textId="77777777" w:rsidR="00D21C1F" w:rsidRDefault="00A42880">
                    <w:pPr>
                      <w:rPr>
                        <w:rFonts w:ascii="Times New Roman" w:hAnsi="Times New Roman" w:cs="Times New Roman"/>
                        <w:szCs w:val="21"/>
                      </w:rPr>
                    </w:pPr>
                    <w:r>
                      <w:rPr>
                        <w:rFonts w:ascii="Times New Roman" w:hAnsi="Times New Roman" w:cs="Times New Roman"/>
                      </w:rPr>
                      <w:t>18%</w:t>
                    </w:r>
                    <w:r>
                      <w:rPr>
                        <w:rFonts w:ascii="Times New Roman" w:hAnsi="Times New Roman" w:cs="Times New Roman"/>
                      </w:rPr>
                      <w:t>、</w:t>
                    </w:r>
                    <w:r>
                      <w:rPr>
                        <w:rFonts w:ascii="Times New Roman" w:hAnsi="Times New Roman" w:cs="Times New Roman"/>
                      </w:rPr>
                      <w:t>7%</w:t>
                    </w:r>
                  </w:p>
                </w:tc>
              </w:tr>
            </w:sdtContent>
          </w:sdt>
          <w:sdt>
            <w:sdtPr>
              <w:rPr>
                <w:kern w:val="2"/>
                <w:szCs w:val="21"/>
              </w:rPr>
              <w:alias w:val="其他主要税种及税率"/>
              <w:tag w:val="_GBC_b4f10406bc8741879c7bff390b72f9b9"/>
              <w:id w:val="-722522137"/>
              <w:lock w:val="sdtLocked"/>
            </w:sdtPr>
            <w:sdtEndPr>
              <w:rPr>
                <w:rFonts w:ascii="Times New Roman" w:hAnsi="Times New Roman" w:cs="Times New Roman"/>
              </w:rPr>
            </w:sdtEndPr>
            <w:sdtContent>
              <w:tr w:rsidR="00D21C1F" w14:paraId="3391A8E1" w14:textId="77777777">
                <w:tc>
                  <w:tcPr>
                    <w:tcW w:w="1537" w:type="pct"/>
                  </w:tcPr>
                  <w:p w14:paraId="6E64E7F0" w14:textId="77777777" w:rsidR="00D21C1F" w:rsidRDefault="00A42880">
                    <w:pPr>
                      <w:rPr>
                        <w:szCs w:val="21"/>
                      </w:rPr>
                    </w:pPr>
                    <w:r>
                      <w:t>增值税（</w:t>
                    </w:r>
                    <w:r>
                      <w:rPr>
                        <w:rFonts w:ascii="Times New Roman" w:hAnsi="Times New Roman"/>
                      </w:rPr>
                      <w:t>IPI</w:t>
                    </w:r>
                    <w:r>
                      <w:t>联邦税）</w:t>
                    </w:r>
                  </w:p>
                </w:tc>
                <w:tc>
                  <w:tcPr>
                    <w:tcW w:w="1738" w:type="pct"/>
                  </w:tcPr>
                  <w:p w14:paraId="3022D235" w14:textId="77777777" w:rsidR="00D21C1F" w:rsidRDefault="00A42880">
                    <w:pPr>
                      <w:rPr>
                        <w:szCs w:val="21"/>
                      </w:rPr>
                    </w:pPr>
                    <w:r>
                      <w:t>应税销售额</w:t>
                    </w:r>
                  </w:p>
                </w:tc>
                <w:tc>
                  <w:tcPr>
                    <w:tcW w:w="1725" w:type="pct"/>
                  </w:tcPr>
                  <w:p w14:paraId="42E70402" w14:textId="77777777" w:rsidR="00D21C1F" w:rsidRDefault="00A42880">
                    <w:pPr>
                      <w:rPr>
                        <w:rFonts w:ascii="Times New Roman" w:hAnsi="Times New Roman" w:cs="Times New Roman"/>
                        <w:szCs w:val="21"/>
                      </w:rPr>
                    </w:pPr>
                    <w:r>
                      <w:rPr>
                        <w:rFonts w:ascii="Times New Roman" w:hAnsi="Times New Roman" w:cs="Times New Roman"/>
                      </w:rPr>
                      <w:t>15%</w:t>
                    </w:r>
                    <w:r>
                      <w:rPr>
                        <w:rFonts w:ascii="Times New Roman" w:hAnsi="Times New Roman" w:cs="Times New Roman"/>
                      </w:rPr>
                      <w:t>、</w:t>
                    </w:r>
                    <w:r>
                      <w:rPr>
                        <w:rFonts w:ascii="Times New Roman" w:hAnsi="Times New Roman" w:cs="Times New Roman"/>
                      </w:rPr>
                      <w:t>5%</w:t>
                    </w:r>
                  </w:p>
                </w:tc>
              </w:tr>
            </w:sdtContent>
          </w:sdt>
          <w:sdt>
            <w:sdtPr>
              <w:rPr>
                <w:kern w:val="2"/>
                <w:szCs w:val="21"/>
              </w:rPr>
              <w:alias w:val="其他主要税种及税率"/>
              <w:tag w:val="_GBC_b4f10406bc8741879c7bff390b72f9b9"/>
              <w:id w:val="282155737"/>
              <w:lock w:val="sdtLocked"/>
            </w:sdtPr>
            <w:sdtEndPr>
              <w:rPr>
                <w:rFonts w:ascii="Times New Roman" w:hAnsi="Times New Roman" w:cs="Times New Roman"/>
              </w:rPr>
            </w:sdtEndPr>
            <w:sdtContent>
              <w:tr w:rsidR="00D21C1F" w14:paraId="7404858D" w14:textId="77777777">
                <w:tc>
                  <w:tcPr>
                    <w:tcW w:w="1537" w:type="pct"/>
                  </w:tcPr>
                  <w:p w14:paraId="760885A5" w14:textId="77777777" w:rsidR="00D21C1F" w:rsidRDefault="00A42880">
                    <w:pPr>
                      <w:rPr>
                        <w:szCs w:val="21"/>
                      </w:rPr>
                    </w:pPr>
                    <w:r>
                      <w:t>企业所得税</w:t>
                    </w:r>
                    <w:r>
                      <w:rPr>
                        <w:rFonts w:ascii="Times New Roman" w:hAnsi="Times New Roman"/>
                      </w:rPr>
                      <w:t>IRPJ</w:t>
                    </w:r>
                  </w:p>
                </w:tc>
                <w:tc>
                  <w:tcPr>
                    <w:tcW w:w="1738" w:type="pct"/>
                  </w:tcPr>
                  <w:p w14:paraId="3FFBF6D7" w14:textId="77777777" w:rsidR="00D21C1F" w:rsidRDefault="00A42880">
                    <w:pPr>
                      <w:rPr>
                        <w:szCs w:val="21"/>
                      </w:rPr>
                    </w:pPr>
                    <w:r>
                      <w:t>应纳税所得额</w:t>
                    </w:r>
                  </w:p>
                </w:tc>
                <w:tc>
                  <w:tcPr>
                    <w:tcW w:w="1725" w:type="pct"/>
                  </w:tcPr>
                  <w:p w14:paraId="40395F29" w14:textId="77777777" w:rsidR="00D21C1F" w:rsidRDefault="00A42880">
                    <w:pPr>
                      <w:rPr>
                        <w:rFonts w:ascii="Times New Roman" w:hAnsi="Times New Roman" w:cs="Times New Roman"/>
                        <w:szCs w:val="21"/>
                      </w:rPr>
                    </w:pPr>
                    <w:r>
                      <w:rPr>
                        <w:rFonts w:ascii="Times New Roman" w:hAnsi="Times New Roman" w:cs="Times New Roman"/>
                      </w:rPr>
                      <w:t>25%</w:t>
                    </w:r>
                    <w:r>
                      <w:rPr>
                        <w:rFonts w:ascii="Times New Roman" w:hAnsi="Times New Roman" w:cs="Times New Roman"/>
                      </w:rPr>
                      <w:t>、</w:t>
                    </w:r>
                    <w:r>
                      <w:rPr>
                        <w:rFonts w:ascii="Times New Roman" w:hAnsi="Times New Roman" w:cs="Times New Roman"/>
                      </w:rPr>
                      <w:t>15%</w:t>
                    </w:r>
                  </w:p>
                </w:tc>
              </w:tr>
            </w:sdtContent>
          </w:sdt>
          <w:sdt>
            <w:sdtPr>
              <w:rPr>
                <w:kern w:val="2"/>
                <w:szCs w:val="21"/>
              </w:rPr>
              <w:alias w:val="其他主要税种及税率"/>
              <w:tag w:val="_GBC_b4f10406bc8741879c7bff390b72f9b9"/>
              <w:id w:val="-1695836018"/>
              <w:lock w:val="sdtLocked"/>
            </w:sdtPr>
            <w:sdtEndPr>
              <w:rPr>
                <w:rFonts w:ascii="Times New Roman" w:hAnsi="Times New Roman" w:cs="Times New Roman"/>
              </w:rPr>
            </w:sdtEndPr>
            <w:sdtContent>
              <w:tr w:rsidR="00D21C1F" w14:paraId="1E090EC4" w14:textId="77777777">
                <w:tc>
                  <w:tcPr>
                    <w:tcW w:w="1537" w:type="pct"/>
                  </w:tcPr>
                  <w:p w14:paraId="6C84745F" w14:textId="77777777" w:rsidR="00D21C1F" w:rsidRDefault="00A42880">
                    <w:pPr>
                      <w:rPr>
                        <w:szCs w:val="21"/>
                      </w:rPr>
                    </w:pPr>
                    <w:r>
                      <w:t>净利润社会贡献费</w:t>
                    </w:r>
                    <w:r>
                      <w:rPr>
                        <w:rFonts w:ascii="Times New Roman" w:hAnsi="Times New Roman"/>
                      </w:rPr>
                      <w:t>CSLL</w:t>
                    </w:r>
                  </w:p>
                </w:tc>
                <w:tc>
                  <w:tcPr>
                    <w:tcW w:w="1738" w:type="pct"/>
                  </w:tcPr>
                  <w:p w14:paraId="30714DFC" w14:textId="77777777" w:rsidR="00D21C1F" w:rsidRDefault="00A42880">
                    <w:pPr>
                      <w:rPr>
                        <w:szCs w:val="21"/>
                      </w:rPr>
                    </w:pPr>
                    <w:r>
                      <w:t>应纳税所得额</w:t>
                    </w:r>
                  </w:p>
                </w:tc>
                <w:tc>
                  <w:tcPr>
                    <w:tcW w:w="1725" w:type="pct"/>
                  </w:tcPr>
                  <w:p w14:paraId="05C97E90" w14:textId="77777777" w:rsidR="00D21C1F" w:rsidRDefault="00A42880">
                    <w:pPr>
                      <w:rPr>
                        <w:rFonts w:ascii="Times New Roman" w:hAnsi="Times New Roman" w:cs="Times New Roman"/>
                        <w:szCs w:val="21"/>
                      </w:rPr>
                    </w:pPr>
                    <w:r>
                      <w:rPr>
                        <w:rFonts w:ascii="Times New Roman" w:hAnsi="Times New Roman" w:cs="Times New Roman"/>
                      </w:rPr>
                      <w:t>9%</w:t>
                    </w:r>
                  </w:p>
                </w:tc>
              </w:tr>
            </w:sdtContent>
          </w:sdt>
          <w:sdt>
            <w:sdtPr>
              <w:rPr>
                <w:kern w:val="2"/>
                <w:szCs w:val="21"/>
              </w:rPr>
              <w:alias w:val="其他主要税种及税率"/>
              <w:tag w:val="_GBC_b4f10406bc8741879c7bff390b72f9b9"/>
              <w:id w:val="-609273344"/>
              <w:lock w:val="sdtLocked"/>
            </w:sdtPr>
            <w:sdtEndPr>
              <w:rPr>
                <w:rFonts w:ascii="Times New Roman" w:hAnsi="Times New Roman" w:cs="Times New Roman"/>
              </w:rPr>
            </w:sdtEndPr>
            <w:sdtContent>
              <w:tr w:rsidR="00D21C1F" w14:paraId="2EAFC67C" w14:textId="77777777">
                <w:tc>
                  <w:tcPr>
                    <w:tcW w:w="1537" w:type="pct"/>
                  </w:tcPr>
                  <w:p w14:paraId="5C882E5F" w14:textId="77777777" w:rsidR="00D21C1F" w:rsidRDefault="00A42880">
                    <w:pPr>
                      <w:rPr>
                        <w:szCs w:val="21"/>
                      </w:rPr>
                    </w:pPr>
                    <w:r>
                      <w:rPr>
                        <w:rFonts w:ascii="Times New Roman" w:hAnsi="Times New Roman"/>
                      </w:rPr>
                      <w:t>OLCI India</w:t>
                    </w:r>
                  </w:p>
                </w:tc>
                <w:tc>
                  <w:tcPr>
                    <w:tcW w:w="1738" w:type="pct"/>
                  </w:tcPr>
                  <w:p w14:paraId="6F67E30D" w14:textId="77777777" w:rsidR="00D21C1F" w:rsidRDefault="00D21C1F">
                    <w:pPr>
                      <w:rPr>
                        <w:szCs w:val="21"/>
                      </w:rPr>
                    </w:pPr>
                  </w:p>
                </w:tc>
                <w:tc>
                  <w:tcPr>
                    <w:tcW w:w="1725" w:type="pct"/>
                  </w:tcPr>
                  <w:p w14:paraId="7F7E632E" w14:textId="77777777" w:rsidR="00D21C1F" w:rsidRDefault="00D21C1F">
                    <w:pPr>
                      <w:rPr>
                        <w:rFonts w:ascii="Times New Roman" w:hAnsi="Times New Roman" w:cs="Times New Roman"/>
                        <w:szCs w:val="21"/>
                      </w:rPr>
                    </w:pPr>
                  </w:p>
                </w:tc>
              </w:tr>
            </w:sdtContent>
          </w:sdt>
          <w:sdt>
            <w:sdtPr>
              <w:rPr>
                <w:kern w:val="2"/>
                <w:szCs w:val="21"/>
              </w:rPr>
              <w:alias w:val="其他主要税种及税率"/>
              <w:tag w:val="_GBC_b4f10406bc8741879c7bff390b72f9b9"/>
              <w:id w:val="1885521054"/>
              <w:lock w:val="sdtLocked"/>
            </w:sdtPr>
            <w:sdtEndPr>
              <w:rPr>
                <w:rFonts w:ascii="Times New Roman" w:hAnsi="Times New Roman" w:cs="Times New Roman"/>
              </w:rPr>
            </w:sdtEndPr>
            <w:sdtContent>
              <w:tr w:rsidR="00D21C1F" w14:paraId="7D3DB367" w14:textId="77777777">
                <w:tc>
                  <w:tcPr>
                    <w:tcW w:w="1537" w:type="pct"/>
                  </w:tcPr>
                  <w:p w14:paraId="285E56BE" w14:textId="77777777" w:rsidR="00D21C1F" w:rsidRDefault="00A42880">
                    <w:pPr>
                      <w:rPr>
                        <w:szCs w:val="21"/>
                      </w:rPr>
                    </w:pPr>
                    <w:r>
                      <w:t>增值税</w:t>
                    </w:r>
                  </w:p>
                </w:tc>
                <w:tc>
                  <w:tcPr>
                    <w:tcW w:w="1738" w:type="pct"/>
                  </w:tcPr>
                  <w:p w14:paraId="46328CBE" w14:textId="77777777" w:rsidR="00D21C1F" w:rsidRDefault="00A42880">
                    <w:pPr>
                      <w:rPr>
                        <w:szCs w:val="21"/>
                      </w:rPr>
                    </w:pPr>
                    <w:r>
                      <w:t>应税销售额</w:t>
                    </w:r>
                  </w:p>
                </w:tc>
                <w:tc>
                  <w:tcPr>
                    <w:tcW w:w="1725" w:type="pct"/>
                  </w:tcPr>
                  <w:p w14:paraId="1C4E2713" w14:textId="77777777" w:rsidR="00D21C1F" w:rsidRDefault="00A42880">
                    <w:pPr>
                      <w:rPr>
                        <w:rFonts w:ascii="Times New Roman" w:hAnsi="Times New Roman" w:cs="Times New Roman"/>
                        <w:szCs w:val="21"/>
                      </w:rPr>
                    </w:pPr>
                    <w:r>
                      <w:rPr>
                        <w:rFonts w:ascii="Times New Roman" w:hAnsi="Times New Roman" w:cs="Times New Roman"/>
                      </w:rPr>
                      <w:t>28%</w:t>
                    </w:r>
                    <w:r>
                      <w:rPr>
                        <w:rFonts w:ascii="Times New Roman" w:hAnsi="Times New Roman" w:cs="Times New Roman"/>
                      </w:rPr>
                      <w:t>、</w:t>
                    </w:r>
                    <w:r>
                      <w:rPr>
                        <w:rFonts w:ascii="Times New Roman" w:hAnsi="Times New Roman" w:cs="Times New Roman"/>
                      </w:rPr>
                      <w:t>18%</w:t>
                    </w:r>
                  </w:p>
                </w:tc>
              </w:tr>
            </w:sdtContent>
          </w:sdt>
          <w:sdt>
            <w:sdtPr>
              <w:rPr>
                <w:kern w:val="2"/>
                <w:szCs w:val="21"/>
              </w:rPr>
              <w:alias w:val="其他主要税种及税率"/>
              <w:tag w:val="_GBC_b4f10406bc8741879c7bff390b72f9b9"/>
              <w:id w:val="1135214236"/>
              <w:lock w:val="sdtLocked"/>
            </w:sdtPr>
            <w:sdtEndPr>
              <w:rPr>
                <w:rFonts w:ascii="Times New Roman" w:hAnsi="Times New Roman" w:cs="Times New Roman"/>
              </w:rPr>
            </w:sdtEndPr>
            <w:sdtContent>
              <w:tr w:rsidR="00D21C1F" w14:paraId="7818DF38" w14:textId="77777777">
                <w:tc>
                  <w:tcPr>
                    <w:tcW w:w="1537" w:type="pct"/>
                  </w:tcPr>
                  <w:p w14:paraId="43187CC4" w14:textId="77777777" w:rsidR="00D21C1F" w:rsidRDefault="00A42880">
                    <w:pPr>
                      <w:rPr>
                        <w:szCs w:val="21"/>
                      </w:rPr>
                    </w:pPr>
                    <w:r>
                      <w:t>企业所得税</w:t>
                    </w:r>
                  </w:p>
                </w:tc>
                <w:tc>
                  <w:tcPr>
                    <w:tcW w:w="1738" w:type="pct"/>
                  </w:tcPr>
                  <w:p w14:paraId="1D7738E8" w14:textId="77777777" w:rsidR="00D21C1F" w:rsidRDefault="00A42880">
                    <w:pPr>
                      <w:rPr>
                        <w:szCs w:val="21"/>
                      </w:rPr>
                    </w:pPr>
                    <w:r>
                      <w:t>应纳税所得额</w:t>
                    </w:r>
                  </w:p>
                </w:tc>
                <w:tc>
                  <w:tcPr>
                    <w:tcW w:w="1725" w:type="pct"/>
                  </w:tcPr>
                  <w:p w14:paraId="01CEDD9F" w14:textId="77777777" w:rsidR="00D21C1F" w:rsidRDefault="00A42880">
                    <w:pPr>
                      <w:rPr>
                        <w:rFonts w:ascii="Times New Roman" w:hAnsi="Times New Roman" w:cs="Times New Roman"/>
                        <w:szCs w:val="21"/>
                      </w:rPr>
                    </w:pPr>
                    <w:r>
                      <w:rPr>
                        <w:rFonts w:ascii="Times New Roman" w:hAnsi="Times New Roman" w:cs="Times New Roman"/>
                      </w:rPr>
                      <w:t>30%</w:t>
                    </w:r>
                  </w:p>
                </w:tc>
              </w:tr>
            </w:sdtContent>
          </w:sdt>
          <w:sdt>
            <w:sdtPr>
              <w:rPr>
                <w:kern w:val="2"/>
                <w:szCs w:val="21"/>
              </w:rPr>
              <w:alias w:val="其他主要税种及税率"/>
              <w:tag w:val="_GBC_b4f10406bc8741879c7bff390b72f9b9"/>
              <w:id w:val="370349227"/>
              <w:lock w:val="sdtLocked"/>
            </w:sdtPr>
            <w:sdtEndPr>
              <w:rPr>
                <w:rFonts w:ascii="Times New Roman" w:hAnsi="Times New Roman" w:cs="Times New Roman"/>
              </w:rPr>
            </w:sdtEndPr>
            <w:sdtContent>
              <w:tr w:rsidR="00D21C1F" w14:paraId="60E1637E" w14:textId="77777777">
                <w:tc>
                  <w:tcPr>
                    <w:tcW w:w="1537" w:type="pct"/>
                  </w:tcPr>
                  <w:p w14:paraId="6D386BF7" w14:textId="77777777" w:rsidR="00D21C1F" w:rsidRDefault="00A42880">
                    <w:pPr>
                      <w:rPr>
                        <w:szCs w:val="21"/>
                      </w:rPr>
                    </w:pPr>
                    <w:r>
                      <w:rPr>
                        <w:rFonts w:ascii="Times New Roman" w:hAnsi="Times New Roman"/>
                      </w:rPr>
                      <w:t>Efort France</w:t>
                    </w:r>
                  </w:p>
                </w:tc>
                <w:tc>
                  <w:tcPr>
                    <w:tcW w:w="1738" w:type="pct"/>
                  </w:tcPr>
                  <w:p w14:paraId="2892E6FB" w14:textId="77777777" w:rsidR="00D21C1F" w:rsidRDefault="00D21C1F">
                    <w:pPr>
                      <w:rPr>
                        <w:szCs w:val="21"/>
                      </w:rPr>
                    </w:pPr>
                  </w:p>
                </w:tc>
                <w:tc>
                  <w:tcPr>
                    <w:tcW w:w="1725" w:type="pct"/>
                  </w:tcPr>
                  <w:p w14:paraId="26B3F597" w14:textId="77777777" w:rsidR="00D21C1F" w:rsidRDefault="00D21C1F">
                    <w:pPr>
                      <w:rPr>
                        <w:rFonts w:ascii="Times New Roman" w:hAnsi="Times New Roman" w:cs="Times New Roman"/>
                        <w:szCs w:val="21"/>
                      </w:rPr>
                    </w:pPr>
                  </w:p>
                </w:tc>
              </w:tr>
            </w:sdtContent>
          </w:sdt>
          <w:sdt>
            <w:sdtPr>
              <w:rPr>
                <w:kern w:val="2"/>
                <w:szCs w:val="21"/>
              </w:rPr>
              <w:alias w:val="其他主要税种及税率"/>
              <w:tag w:val="_GBC_b4f10406bc8741879c7bff390b72f9b9"/>
              <w:id w:val="926550328"/>
              <w:lock w:val="sdtLocked"/>
            </w:sdtPr>
            <w:sdtEndPr>
              <w:rPr>
                <w:rFonts w:ascii="Times New Roman" w:hAnsi="Times New Roman" w:cs="Times New Roman"/>
              </w:rPr>
            </w:sdtEndPr>
            <w:sdtContent>
              <w:tr w:rsidR="00D21C1F" w14:paraId="137F2CD6" w14:textId="77777777">
                <w:tc>
                  <w:tcPr>
                    <w:tcW w:w="1537" w:type="pct"/>
                  </w:tcPr>
                  <w:p w14:paraId="41B2B71C" w14:textId="77777777" w:rsidR="00D21C1F" w:rsidRDefault="00A42880">
                    <w:pPr>
                      <w:rPr>
                        <w:szCs w:val="21"/>
                      </w:rPr>
                    </w:pPr>
                    <w:r>
                      <w:t>增值税</w:t>
                    </w:r>
                  </w:p>
                </w:tc>
                <w:tc>
                  <w:tcPr>
                    <w:tcW w:w="1738" w:type="pct"/>
                  </w:tcPr>
                  <w:p w14:paraId="00277AF4" w14:textId="77777777" w:rsidR="00D21C1F" w:rsidRDefault="00A42880">
                    <w:pPr>
                      <w:rPr>
                        <w:szCs w:val="21"/>
                      </w:rPr>
                    </w:pPr>
                    <w:r>
                      <w:t>应税销售额</w:t>
                    </w:r>
                  </w:p>
                </w:tc>
                <w:tc>
                  <w:tcPr>
                    <w:tcW w:w="1725" w:type="pct"/>
                  </w:tcPr>
                  <w:p w14:paraId="05A48496" w14:textId="77777777" w:rsidR="00D21C1F" w:rsidRDefault="00A42880">
                    <w:pPr>
                      <w:rPr>
                        <w:rFonts w:ascii="Times New Roman" w:hAnsi="Times New Roman" w:cs="Times New Roman"/>
                        <w:szCs w:val="21"/>
                      </w:rPr>
                    </w:pPr>
                    <w:r>
                      <w:rPr>
                        <w:rFonts w:ascii="Times New Roman" w:hAnsi="Times New Roman" w:cs="Times New Roman"/>
                      </w:rPr>
                      <w:t>20%</w:t>
                    </w:r>
                  </w:p>
                </w:tc>
              </w:tr>
            </w:sdtContent>
          </w:sdt>
          <w:sdt>
            <w:sdtPr>
              <w:rPr>
                <w:kern w:val="2"/>
                <w:szCs w:val="21"/>
              </w:rPr>
              <w:alias w:val="其他主要税种及税率"/>
              <w:tag w:val="_GBC_b4f10406bc8741879c7bff390b72f9b9"/>
              <w:id w:val="-93325903"/>
              <w:lock w:val="sdtLocked"/>
            </w:sdtPr>
            <w:sdtEndPr>
              <w:rPr>
                <w:rFonts w:ascii="Times New Roman" w:hAnsi="Times New Roman" w:cs="Times New Roman"/>
              </w:rPr>
            </w:sdtEndPr>
            <w:sdtContent>
              <w:tr w:rsidR="00D21C1F" w14:paraId="279D3FF3" w14:textId="77777777">
                <w:tc>
                  <w:tcPr>
                    <w:tcW w:w="1537" w:type="pct"/>
                  </w:tcPr>
                  <w:p w14:paraId="10E7D464" w14:textId="77777777" w:rsidR="00D21C1F" w:rsidRDefault="00A42880">
                    <w:pPr>
                      <w:rPr>
                        <w:szCs w:val="21"/>
                      </w:rPr>
                    </w:pPr>
                    <w:r>
                      <w:t>企业所得税</w:t>
                    </w:r>
                  </w:p>
                </w:tc>
                <w:tc>
                  <w:tcPr>
                    <w:tcW w:w="1738" w:type="pct"/>
                  </w:tcPr>
                  <w:p w14:paraId="28CBA7EE" w14:textId="77777777" w:rsidR="00D21C1F" w:rsidRDefault="00A42880">
                    <w:pPr>
                      <w:rPr>
                        <w:szCs w:val="21"/>
                      </w:rPr>
                    </w:pPr>
                    <w:r>
                      <w:t>应纳税所得额</w:t>
                    </w:r>
                  </w:p>
                </w:tc>
                <w:tc>
                  <w:tcPr>
                    <w:tcW w:w="1725" w:type="pct"/>
                  </w:tcPr>
                  <w:p w14:paraId="27F61C02" w14:textId="77777777" w:rsidR="00D21C1F" w:rsidRDefault="00A42880">
                    <w:pPr>
                      <w:rPr>
                        <w:rFonts w:ascii="Times New Roman" w:hAnsi="Times New Roman" w:cs="Times New Roman"/>
                        <w:szCs w:val="21"/>
                      </w:rPr>
                    </w:pPr>
                    <w:r>
                      <w:rPr>
                        <w:rFonts w:ascii="Times New Roman" w:hAnsi="Times New Roman" w:cs="Times New Roman"/>
                      </w:rPr>
                      <w:t>28%</w:t>
                    </w:r>
                  </w:p>
                </w:tc>
              </w:tr>
            </w:sdtContent>
          </w:sdt>
        </w:tbl>
        <w:p w14:paraId="56AB067C" w14:textId="77777777" w:rsidR="00D21C1F" w:rsidRDefault="00D21C1F">
          <w:pPr>
            <w:rPr>
              <w:szCs w:val="21"/>
            </w:rPr>
          </w:pPr>
        </w:p>
        <w:p w14:paraId="7A24A3E3" w14:textId="77777777" w:rsidR="00D21C1F" w:rsidRDefault="00A42880">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352959628"/>
            <w:lock w:val="sdtLocked"/>
            <w:placeholder>
              <w:docPart w:val="GBC22222222222222222222222222222"/>
            </w:placeholder>
          </w:sdtPr>
          <w:sdtEndPr/>
          <w:sdtContent>
            <w:p w14:paraId="6AB04614"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b w:val="0"/>
          <w:bCs w:val="0"/>
          <w:kern w:val="0"/>
          <w:sz w:val="24"/>
          <w:szCs w:val="22"/>
        </w:rPr>
        <w:alias w:val="模块:税收优惠及批文"/>
        <w:tag w:val="_GBC_8efa381cc976417f9135f0c744d05452"/>
        <w:id w:val="469175611"/>
        <w:lock w:val="sdtLocked"/>
        <w:placeholder>
          <w:docPart w:val="GBC22222222222222222222222222222"/>
        </w:placeholder>
      </w:sdtPr>
      <w:sdtEndPr>
        <w:rPr>
          <w:rFonts w:cs="Times New Roman" w:hint="eastAsia"/>
          <w:kern w:val="2"/>
          <w:sz w:val="21"/>
          <w:szCs w:val="21"/>
        </w:rPr>
      </w:sdtEndPr>
      <w:sdtContent>
        <w:p w14:paraId="077D6EF8" w14:textId="77777777" w:rsidR="00D21C1F" w:rsidRDefault="00A42880">
          <w:pPr>
            <w:pStyle w:val="94"/>
            <w:numPr>
              <w:ilvl w:val="0"/>
              <w:numId w:val="94"/>
            </w:numPr>
            <w:tabs>
              <w:tab w:val="left" w:pos="546"/>
            </w:tabs>
            <w:rPr>
              <w:rFonts w:ascii="宋体" w:hAnsi="宋体"/>
            </w:rPr>
          </w:pPr>
          <w:r>
            <w:rPr>
              <w:rFonts w:ascii="宋体" w:hAnsi="宋体"/>
            </w:rPr>
            <w:t>税收优惠</w:t>
          </w:r>
        </w:p>
        <w:sdt>
          <w:sdtPr>
            <w:rPr>
              <w:rFonts w:hint="eastAsia"/>
              <w:szCs w:val="21"/>
            </w:rPr>
            <w:alias w:val="是否适用：税收优惠[双击切换]"/>
            <w:tag w:val="_GBC_f8eb23e7a2e74e448e4eb46519d87bd6"/>
            <w:id w:val="1621795474"/>
            <w:lock w:val="sdtLocked"/>
            <w:placeholder>
              <w:docPart w:val="GBC22222222222222222222222222222"/>
            </w:placeholder>
          </w:sdtPr>
          <w:sdtEndPr/>
          <w:sdtContent>
            <w:p w14:paraId="7216E3A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优惠税赋及批文"/>
            <w:tag w:val="_GBC_3bbdacdaa3ba421fb8a81b9bda047bb4"/>
            <w:id w:val="341818197"/>
            <w:lock w:val="sdtLocked"/>
            <w:placeholder>
              <w:docPart w:val="GBC22222222222222222222222222222"/>
            </w:placeholder>
          </w:sdtPr>
          <w:sdtEndPr/>
          <w:sdtContent>
            <w:p w14:paraId="73295DE7" w14:textId="77777777" w:rsidR="00D21C1F" w:rsidRDefault="00A42880">
              <w:pPr>
                <w:pStyle w:val="120"/>
                <w:autoSpaceDE w:val="0"/>
                <w:autoSpaceDN w:val="0"/>
                <w:adjustRightInd w:val="0"/>
                <w:spacing w:line="360" w:lineRule="auto"/>
                <w:ind w:firstLineChars="200" w:firstLine="420"/>
                <w:jc w:val="both"/>
              </w:pPr>
              <w:r>
                <w:rPr>
                  <w:rFonts w:hint="eastAsia"/>
                </w:rPr>
                <w:t>根据安徽省科技厅、安徽省财政厅、安徽省税务局联合公布的《关于公布安徽省</w:t>
              </w:r>
              <w:r>
                <w:rPr>
                  <w:rFonts w:ascii="Times New Roman" w:hAnsi="Times New Roman" w:cs="宋体"/>
                </w:rPr>
                <w:t>2018</w:t>
              </w:r>
              <w:r>
                <w:rPr>
                  <w:rFonts w:hint="eastAsia"/>
                </w:rPr>
                <w:t>年第一批高新技术企业认定名单的通知》（科高[</w:t>
              </w:r>
              <w:r>
                <w:rPr>
                  <w:rFonts w:ascii="Times New Roman" w:hAnsi="Times New Roman" w:cs="宋体"/>
                </w:rPr>
                <w:t>2018</w:t>
              </w:r>
              <w:r>
                <w:rPr>
                  <w:rFonts w:hint="eastAsia"/>
                </w:rPr>
                <w:t>]</w:t>
              </w:r>
              <w:r>
                <w:rPr>
                  <w:rFonts w:ascii="Times New Roman" w:hAnsi="Times New Roman" w:cs="宋体"/>
                </w:rPr>
                <w:t>81</w:t>
              </w:r>
              <w:r>
                <w:rPr>
                  <w:rFonts w:hint="eastAsia"/>
                </w:rPr>
                <w:t>号），本公司被认定为安徽省</w:t>
              </w:r>
              <w:r>
                <w:rPr>
                  <w:rFonts w:ascii="Times New Roman" w:hAnsi="Times New Roman" w:cs="宋体"/>
                </w:rPr>
                <w:t>2018</w:t>
              </w:r>
              <w:r>
                <w:rPr>
                  <w:rFonts w:hint="eastAsia"/>
                </w:rPr>
                <w:t>年度第一批高新技术企业，并获发《高新技术企业证书》（证书编号：</w:t>
              </w:r>
              <w:r>
                <w:rPr>
                  <w:rFonts w:ascii="Times New Roman" w:hAnsi="Times New Roman" w:cs="宋体"/>
                </w:rPr>
                <w:t>GR201834000509</w:t>
              </w:r>
              <w:r>
                <w:rPr>
                  <w:rFonts w:hint="eastAsia"/>
                </w:rPr>
                <w:t>，有效期</w:t>
              </w:r>
              <w:r>
                <w:rPr>
                  <w:rFonts w:ascii="Times New Roman" w:hAnsi="Times New Roman" w:cs="宋体"/>
                </w:rPr>
                <w:t>3</w:t>
              </w:r>
              <w:r>
                <w:rPr>
                  <w:rFonts w:hint="eastAsia"/>
                </w:rPr>
                <w:t>年）。按照《企业所得税法》等相关法规规定，本公司自</w:t>
              </w:r>
              <w:r>
                <w:rPr>
                  <w:rFonts w:ascii="Times New Roman" w:hAnsi="Times New Roman" w:cs="宋体"/>
                </w:rPr>
                <w:t>2018</w:t>
              </w:r>
              <w:r>
                <w:rPr>
                  <w:rFonts w:hint="eastAsia"/>
                </w:rPr>
                <w:t>年</w:t>
              </w:r>
              <w:r>
                <w:rPr>
                  <w:rFonts w:ascii="Times New Roman" w:hAnsi="Times New Roman" w:cs="宋体"/>
                </w:rPr>
                <w:t>1</w:t>
              </w:r>
              <w:r>
                <w:rPr>
                  <w:rFonts w:hint="eastAsia"/>
                </w:rPr>
                <w:t>月</w:t>
              </w:r>
              <w:r>
                <w:rPr>
                  <w:rFonts w:ascii="Times New Roman" w:hAnsi="Times New Roman" w:cs="宋体"/>
                </w:rPr>
                <w:t>1</w:t>
              </w:r>
              <w:r>
                <w:rPr>
                  <w:rFonts w:hint="eastAsia"/>
                </w:rPr>
                <w:t>日至</w:t>
              </w:r>
              <w:r>
                <w:rPr>
                  <w:rFonts w:ascii="Times New Roman" w:hAnsi="Times New Roman" w:cs="宋体"/>
                </w:rPr>
                <w:t>2020</w:t>
              </w:r>
              <w:r>
                <w:rPr>
                  <w:rFonts w:hint="eastAsia"/>
                </w:rPr>
                <w:t>年</w:t>
              </w:r>
              <w:r>
                <w:rPr>
                  <w:rFonts w:ascii="Times New Roman" w:hAnsi="Times New Roman" w:cs="宋体"/>
                </w:rPr>
                <w:t>12</w:t>
              </w:r>
              <w:r>
                <w:rPr>
                  <w:rFonts w:hint="eastAsia"/>
                </w:rPr>
                <w:t>月</w:t>
              </w:r>
              <w:r>
                <w:rPr>
                  <w:rFonts w:ascii="Times New Roman" w:hAnsi="Times New Roman" w:cs="宋体"/>
                </w:rPr>
                <w:t>31</w:t>
              </w:r>
              <w:r>
                <w:rPr>
                  <w:rFonts w:hint="eastAsia"/>
                </w:rPr>
                <w:t>日三年内享受国家</w:t>
              </w:r>
              <w:r>
                <w:rPr>
                  <w:rFonts w:hint="eastAsia"/>
                </w:rPr>
                <w:lastRenderedPageBreak/>
                <w:t>高新技术企业</w:t>
              </w:r>
              <w:r>
                <w:rPr>
                  <w:rFonts w:ascii="Times New Roman" w:hAnsi="Times New Roman" w:cs="宋体"/>
                </w:rPr>
                <w:t>15</w:t>
              </w:r>
              <w:r>
                <w:rPr>
                  <w:rFonts w:hint="eastAsia"/>
                </w:rPr>
                <w:t>%的企业所得税优惠税率。本公司已经于2</w:t>
              </w:r>
              <w:r>
                <w:t>021</w:t>
              </w:r>
              <w:r>
                <w:rPr>
                  <w:rFonts w:hint="eastAsia"/>
                </w:rPr>
                <w:t>年</w:t>
              </w:r>
              <w:r>
                <w:rPr>
                  <w:rFonts w:ascii="Times New Roman" w:hAnsi="Times New Roman" w:hint="eastAsia"/>
                </w:rPr>
                <w:t>7</w:t>
              </w:r>
              <w:r>
                <w:rPr>
                  <w:rFonts w:hint="eastAsia"/>
                </w:rPr>
                <w:t>月份提交了</w:t>
              </w:r>
              <w:r>
                <w:rPr>
                  <w:rFonts w:ascii="Times New Roman" w:hAnsi="Times New Roman" w:hint="eastAsia"/>
                </w:rPr>
                <w:t>2</w:t>
              </w:r>
              <w:r>
                <w:rPr>
                  <w:rFonts w:ascii="Times New Roman" w:hAnsi="Times New Roman"/>
                </w:rPr>
                <w:t>021</w:t>
              </w:r>
              <w:r>
                <w:rPr>
                  <w:rFonts w:hint="eastAsia"/>
                </w:rPr>
                <w:t>年度高新技术企业认定的申请材料，预计于本年</w:t>
              </w:r>
              <w:r>
                <w:rPr>
                  <w:rFonts w:ascii="Times New Roman" w:hAnsi="Times New Roman" w:hint="eastAsia"/>
                </w:rPr>
                <w:t>1</w:t>
              </w:r>
              <w:r>
                <w:rPr>
                  <w:rFonts w:ascii="Times New Roman" w:hAnsi="Times New Roman"/>
                </w:rPr>
                <w:t>0</w:t>
              </w:r>
              <w:r>
                <w:rPr>
                  <w:rFonts w:hint="eastAsia"/>
                </w:rPr>
                <w:t>月份获得批复。</w:t>
              </w:r>
            </w:p>
            <w:p w14:paraId="15046314" w14:textId="77777777" w:rsidR="00D21C1F" w:rsidRDefault="00A42880">
              <w:pPr>
                <w:pStyle w:val="120"/>
                <w:autoSpaceDE w:val="0"/>
                <w:autoSpaceDN w:val="0"/>
                <w:adjustRightInd w:val="0"/>
                <w:spacing w:line="360" w:lineRule="auto"/>
                <w:ind w:firstLine="480"/>
                <w:jc w:val="both"/>
              </w:pPr>
              <w:r>
                <w:rPr>
                  <w:rFonts w:hint="eastAsia"/>
                </w:rPr>
                <w:t>根据安徽省科学技术厅、安徽省财政厅、国家税务总局安徽省税务局联合公布的《关于公布安徽省</w:t>
              </w:r>
              <w:r>
                <w:rPr>
                  <w:rFonts w:ascii="Times New Roman" w:hAnsi="Times New Roman" w:cs="宋体"/>
                </w:rPr>
                <w:t>2020</w:t>
              </w:r>
              <w:r>
                <w:rPr>
                  <w:rFonts w:hint="eastAsia"/>
                </w:rPr>
                <w:t>年第一批高新技术企业认定名单的通知》（皖科高[</w:t>
              </w:r>
              <w:r>
                <w:rPr>
                  <w:rFonts w:ascii="Times New Roman" w:hAnsi="Times New Roman" w:cs="宋体"/>
                </w:rPr>
                <w:t>2020</w:t>
              </w:r>
              <w:r>
                <w:rPr>
                  <w:rFonts w:hint="eastAsia"/>
                </w:rPr>
                <w:t>]</w:t>
              </w:r>
              <w:r>
                <w:rPr>
                  <w:rFonts w:ascii="Times New Roman" w:hAnsi="Times New Roman" w:cs="宋体"/>
                </w:rPr>
                <w:t>35</w:t>
              </w:r>
              <w:r>
                <w:rPr>
                  <w:rFonts w:hint="eastAsia"/>
                </w:rPr>
                <w:t>号），本公司芜湖希美埃被认定为安徽省</w:t>
              </w:r>
              <w:r>
                <w:rPr>
                  <w:rFonts w:ascii="Times New Roman" w:hAnsi="Times New Roman" w:cs="宋体"/>
                </w:rPr>
                <w:t>2020</w:t>
              </w:r>
              <w:r>
                <w:rPr>
                  <w:rFonts w:hint="eastAsia"/>
                </w:rPr>
                <w:t>年度第一批高新技术企业，并获发《高新技术企业证书》（证书编号：</w:t>
              </w:r>
              <w:r>
                <w:rPr>
                  <w:rFonts w:ascii="Times New Roman" w:hAnsi="Times New Roman" w:cs="宋体"/>
                </w:rPr>
                <w:t>GR202034000903</w:t>
              </w:r>
              <w:r>
                <w:rPr>
                  <w:rFonts w:hint="eastAsia"/>
                </w:rPr>
                <w:t>，有效期</w:t>
              </w:r>
              <w:r>
                <w:rPr>
                  <w:rFonts w:ascii="Times New Roman" w:hAnsi="Times New Roman" w:cs="宋体"/>
                </w:rPr>
                <w:t>3</w:t>
              </w:r>
              <w:r>
                <w:rPr>
                  <w:rFonts w:hint="eastAsia"/>
                </w:rPr>
                <w:t>年）。按照《企业所得税法》等相关法规规定，公司自</w:t>
              </w:r>
              <w:r>
                <w:rPr>
                  <w:rFonts w:ascii="Times New Roman" w:hAnsi="Times New Roman" w:cs="宋体"/>
                </w:rPr>
                <w:t>2020</w:t>
              </w:r>
              <w:r>
                <w:rPr>
                  <w:rFonts w:hint="eastAsia"/>
                </w:rPr>
                <w:t>年</w:t>
              </w:r>
              <w:r>
                <w:rPr>
                  <w:rFonts w:ascii="Times New Roman" w:hAnsi="Times New Roman" w:cs="宋体"/>
                </w:rPr>
                <w:t>1</w:t>
              </w:r>
              <w:r>
                <w:rPr>
                  <w:rFonts w:hint="eastAsia"/>
                </w:rPr>
                <w:t>月</w:t>
              </w:r>
              <w:r>
                <w:rPr>
                  <w:rFonts w:ascii="Times New Roman" w:hAnsi="Times New Roman" w:cs="宋体"/>
                </w:rPr>
                <w:t>1</w:t>
              </w:r>
              <w:r>
                <w:rPr>
                  <w:rFonts w:hint="eastAsia"/>
                </w:rPr>
                <w:t>日至</w:t>
              </w:r>
              <w:r>
                <w:rPr>
                  <w:rFonts w:ascii="Times New Roman" w:hAnsi="Times New Roman" w:cs="宋体"/>
                </w:rPr>
                <w:t>2022</w:t>
              </w:r>
              <w:r>
                <w:rPr>
                  <w:rFonts w:hint="eastAsia"/>
                </w:rPr>
                <w:t>年</w:t>
              </w:r>
              <w:r>
                <w:rPr>
                  <w:rFonts w:ascii="Times New Roman" w:hAnsi="Times New Roman" w:cs="宋体"/>
                </w:rPr>
                <w:t>12</w:t>
              </w:r>
              <w:r>
                <w:rPr>
                  <w:rFonts w:hint="eastAsia"/>
                </w:rPr>
                <w:t>月</w:t>
              </w:r>
              <w:r>
                <w:rPr>
                  <w:rFonts w:ascii="Times New Roman" w:hAnsi="Times New Roman" w:cs="宋体"/>
                </w:rPr>
                <w:t>31</w:t>
              </w:r>
              <w:r>
                <w:rPr>
                  <w:rFonts w:hint="eastAsia"/>
                </w:rPr>
                <w:t>日三年内享受国家高新技术企业</w:t>
              </w:r>
              <w:r>
                <w:rPr>
                  <w:rFonts w:ascii="Times New Roman" w:hAnsi="Times New Roman" w:cs="宋体"/>
                </w:rPr>
                <w:t>15</w:t>
              </w:r>
              <w:r>
                <w:rPr>
                  <w:rFonts w:hint="eastAsia"/>
                </w:rPr>
                <w:t>%的企业所得税优惠税率。</w:t>
              </w:r>
            </w:p>
            <w:p w14:paraId="6459A8FD" w14:textId="77777777" w:rsidR="00D21C1F" w:rsidRDefault="00A42880">
              <w:pPr>
                <w:pStyle w:val="120"/>
                <w:autoSpaceDE w:val="0"/>
                <w:autoSpaceDN w:val="0"/>
                <w:adjustRightInd w:val="0"/>
                <w:spacing w:line="360" w:lineRule="auto"/>
                <w:ind w:firstLine="480"/>
                <w:jc w:val="both"/>
              </w:pPr>
              <w:r>
                <w:rPr>
                  <w:rFonts w:hint="eastAsia"/>
                </w:rPr>
                <w:t>根据广东省科技厅、广东省财政厅、广东省税务局联合公布的《关于公布广东省</w:t>
              </w:r>
              <w:r>
                <w:rPr>
                  <w:rFonts w:ascii="Times New Roman" w:hAnsi="Times New Roman" w:cs="宋体"/>
                </w:rPr>
                <w:t>2018</w:t>
              </w:r>
              <w:r>
                <w:rPr>
                  <w:rFonts w:hint="eastAsia"/>
                </w:rPr>
                <w:t>年第一批高新技术企业认定名单的通知》，本公司子公司广东埃华路被认定为广东省</w:t>
              </w:r>
              <w:r>
                <w:rPr>
                  <w:rFonts w:ascii="Times New Roman" w:hAnsi="Times New Roman" w:cs="宋体"/>
                </w:rPr>
                <w:t>2018</w:t>
              </w:r>
              <w:r>
                <w:rPr>
                  <w:rFonts w:hint="eastAsia"/>
                </w:rPr>
                <w:t>年第一批高新技术企业，证书编号为</w:t>
              </w:r>
              <w:r>
                <w:rPr>
                  <w:rFonts w:ascii="Times New Roman" w:hAnsi="Times New Roman" w:cs="宋体"/>
                </w:rPr>
                <w:t>GR201844001662</w:t>
              </w:r>
              <w:r>
                <w:rPr>
                  <w:rFonts w:hint="eastAsia"/>
                </w:rPr>
                <w:t>，有效期</w:t>
              </w:r>
              <w:r>
                <w:rPr>
                  <w:rFonts w:ascii="Times New Roman" w:hAnsi="Times New Roman" w:cs="宋体"/>
                </w:rPr>
                <w:t>3</w:t>
              </w:r>
              <w:r>
                <w:rPr>
                  <w:rFonts w:hint="eastAsia"/>
                </w:rPr>
                <w:t>年。按照《企业所得税法》等相关法规规定，子公司广东埃华路自</w:t>
              </w:r>
              <w:r>
                <w:rPr>
                  <w:rFonts w:ascii="Times New Roman" w:hAnsi="Times New Roman" w:cs="宋体"/>
                </w:rPr>
                <w:t>2018</w:t>
              </w:r>
              <w:r>
                <w:rPr>
                  <w:rFonts w:hint="eastAsia"/>
                </w:rPr>
                <w:t>年</w:t>
              </w:r>
              <w:r>
                <w:rPr>
                  <w:rFonts w:ascii="Times New Roman" w:hAnsi="Times New Roman" w:cs="宋体"/>
                </w:rPr>
                <w:t>1</w:t>
              </w:r>
              <w:r>
                <w:rPr>
                  <w:rFonts w:hint="eastAsia"/>
                </w:rPr>
                <w:t>月</w:t>
              </w:r>
              <w:r>
                <w:rPr>
                  <w:rFonts w:ascii="Times New Roman" w:hAnsi="Times New Roman" w:cs="宋体"/>
                </w:rPr>
                <w:t>1</w:t>
              </w:r>
              <w:r>
                <w:rPr>
                  <w:rFonts w:hint="eastAsia"/>
                </w:rPr>
                <w:t>日至</w:t>
              </w:r>
              <w:r>
                <w:rPr>
                  <w:rFonts w:ascii="Times New Roman" w:hAnsi="Times New Roman" w:cs="宋体"/>
                </w:rPr>
                <w:t>2020</w:t>
              </w:r>
              <w:r>
                <w:rPr>
                  <w:rFonts w:hint="eastAsia"/>
                </w:rPr>
                <w:t>年</w:t>
              </w:r>
              <w:r>
                <w:rPr>
                  <w:rFonts w:ascii="Times New Roman" w:hAnsi="Times New Roman" w:cs="宋体"/>
                </w:rPr>
                <w:t>12</w:t>
              </w:r>
              <w:r>
                <w:rPr>
                  <w:rFonts w:hint="eastAsia"/>
                </w:rPr>
                <w:t>月</w:t>
              </w:r>
              <w:r>
                <w:rPr>
                  <w:rFonts w:ascii="Times New Roman" w:hAnsi="Times New Roman" w:cs="宋体"/>
                </w:rPr>
                <w:t>31</w:t>
              </w:r>
              <w:r>
                <w:rPr>
                  <w:rFonts w:hint="eastAsia"/>
                </w:rPr>
                <w:t>日起三年内享受国家高新技术企业</w:t>
              </w:r>
              <w:r>
                <w:rPr>
                  <w:rFonts w:ascii="Times New Roman" w:hAnsi="Times New Roman" w:cs="宋体"/>
                </w:rPr>
                <w:t>15</w:t>
              </w:r>
              <w:r>
                <w:rPr>
                  <w:rFonts w:hint="eastAsia"/>
                </w:rPr>
                <w:t>%的所得税税率优惠。子公司广东埃华路已经于2</w:t>
              </w:r>
              <w:r>
                <w:t>021</w:t>
              </w:r>
              <w:r>
                <w:rPr>
                  <w:rFonts w:hint="eastAsia"/>
                </w:rPr>
                <w:t>年</w:t>
              </w:r>
              <w:r>
                <w:rPr>
                  <w:rFonts w:ascii="Times New Roman" w:hAnsi="Times New Roman" w:hint="eastAsia"/>
                </w:rPr>
                <w:t>7</w:t>
              </w:r>
              <w:r>
                <w:rPr>
                  <w:rFonts w:hint="eastAsia"/>
                </w:rPr>
                <w:t>月份提交了</w:t>
              </w:r>
              <w:r>
                <w:rPr>
                  <w:rFonts w:ascii="Times New Roman" w:hAnsi="Times New Roman" w:hint="eastAsia"/>
                </w:rPr>
                <w:t>2</w:t>
              </w:r>
              <w:r>
                <w:rPr>
                  <w:rFonts w:ascii="Times New Roman" w:hAnsi="Times New Roman"/>
                </w:rPr>
                <w:t>021</w:t>
              </w:r>
              <w:r>
                <w:rPr>
                  <w:rFonts w:hint="eastAsia"/>
                </w:rPr>
                <w:t>年度高新高新技术企业认定的申请材料，预计于本年</w:t>
              </w:r>
              <w:r>
                <w:rPr>
                  <w:rFonts w:ascii="Times New Roman" w:hAnsi="Times New Roman" w:hint="eastAsia"/>
                </w:rPr>
                <w:t>1</w:t>
              </w:r>
              <w:r>
                <w:rPr>
                  <w:rFonts w:ascii="Times New Roman" w:hAnsi="Times New Roman"/>
                </w:rPr>
                <w:t>0</w:t>
              </w:r>
              <w:r>
                <w:rPr>
                  <w:rFonts w:hint="eastAsia"/>
                </w:rPr>
                <w:t>月份获得批复。</w:t>
              </w:r>
            </w:p>
            <w:p w14:paraId="5EB4F0FD" w14:textId="77777777" w:rsidR="00D21C1F" w:rsidRDefault="00A42880">
              <w:pPr>
                <w:pStyle w:val="120"/>
                <w:autoSpaceDE w:val="0"/>
                <w:autoSpaceDN w:val="0"/>
                <w:adjustRightInd w:val="0"/>
                <w:spacing w:line="360" w:lineRule="auto"/>
                <w:ind w:firstLineChars="200" w:firstLine="420"/>
                <w:jc w:val="both"/>
              </w:pPr>
              <w:r>
                <w:rPr>
                  <w:rFonts w:hint="eastAsia"/>
                </w:rPr>
                <w:t>根据安徽省科技厅、安徽省财政厅、安徽省税务局联合公布的《关于公布安徽省</w:t>
              </w:r>
              <w:r>
                <w:rPr>
                  <w:rFonts w:ascii="Times New Roman" w:hAnsi="Times New Roman" w:cs="宋体"/>
                </w:rPr>
                <w:t>2019</w:t>
              </w:r>
              <w:r>
                <w:rPr>
                  <w:rFonts w:hint="eastAsia"/>
                </w:rPr>
                <w:t>年第一批高新技术企业认定名单的通知》（皖科高[</w:t>
              </w:r>
              <w:r>
                <w:rPr>
                  <w:rFonts w:ascii="Times New Roman" w:hAnsi="Times New Roman" w:cs="宋体"/>
                </w:rPr>
                <w:t>2019</w:t>
              </w:r>
              <w:r>
                <w:rPr>
                  <w:rFonts w:hint="eastAsia"/>
                </w:rPr>
                <w:t>]</w:t>
              </w:r>
              <w:r>
                <w:rPr>
                  <w:rFonts w:ascii="Times New Roman" w:hAnsi="Times New Roman" w:cs="宋体"/>
                </w:rPr>
                <w:t>38</w:t>
              </w:r>
              <w:r>
                <w:rPr>
                  <w:rFonts w:hint="eastAsia"/>
                </w:rPr>
                <w:t>号），子公司芜湖埃华路被认定为安徽省</w:t>
              </w:r>
              <w:r>
                <w:rPr>
                  <w:rFonts w:ascii="Times New Roman" w:hAnsi="Times New Roman" w:cs="宋体"/>
                </w:rPr>
                <w:t>2019</w:t>
              </w:r>
              <w:r>
                <w:rPr>
                  <w:rFonts w:hint="eastAsia"/>
                </w:rPr>
                <w:t>年度第一批高新技术企业，并获发《高新技术企业证书》（证书编号：</w:t>
              </w:r>
              <w:r>
                <w:rPr>
                  <w:rFonts w:ascii="Times New Roman" w:hAnsi="Times New Roman" w:cs="宋体"/>
                </w:rPr>
                <w:t>GR201934000599</w:t>
              </w:r>
              <w:r>
                <w:rPr>
                  <w:rFonts w:hint="eastAsia"/>
                </w:rPr>
                <w:t>，有效期</w:t>
              </w:r>
              <w:r>
                <w:rPr>
                  <w:rFonts w:ascii="Times New Roman" w:hAnsi="Times New Roman" w:cs="宋体"/>
                </w:rPr>
                <w:t>3</w:t>
              </w:r>
              <w:r>
                <w:rPr>
                  <w:rFonts w:hint="eastAsia"/>
                </w:rPr>
                <w:t>年）。按照《企业所得税法》等相关法规规定，子公司芜湖埃华路自</w:t>
              </w:r>
              <w:r>
                <w:rPr>
                  <w:rFonts w:ascii="Times New Roman" w:hAnsi="Times New Roman" w:cs="宋体"/>
                </w:rPr>
                <w:t>2019</w:t>
              </w:r>
              <w:r>
                <w:rPr>
                  <w:rFonts w:hint="eastAsia"/>
                </w:rPr>
                <w:t>年</w:t>
              </w:r>
              <w:r>
                <w:rPr>
                  <w:rFonts w:ascii="Times New Roman" w:hAnsi="Times New Roman" w:cs="宋体"/>
                </w:rPr>
                <w:t>1</w:t>
              </w:r>
              <w:r>
                <w:rPr>
                  <w:rFonts w:hint="eastAsia"/>
                </w:rPr>
                <w:t>月</w:t>
              </w:r>
              <w:r>
                <w:rPr>
                  <w:rFonts w:ascii="Times New Roman" w:hAnsi="Times New Roman" w:cs="宋体"/>
                </w:rPr>
                <w:t>1</w:t>
              </w:r>
              <w:r>
                <w:rPr>
                  <w:rFonts w:hint="eastAsia"/>
                </w:rPr>
                <w:t>日至</w:t>
              </w:r>
              <w:r>
                <w:rPr>
                  <w:rFonts w:ascii="Times New Roman" w:hAnsi="Times New Roman" w:cs="宋体"/>
                </w:rPr>
                <w:t>2021</w:t>
              </w:r>
              <w:r>
                <w:rPr>
                  <w:rFonts w:hint="eastAsia"/>
                </w:rPr>
                <w:t>年</w:t>
              </w:r>
              <w:r>
                <w:rPr>
                  <w:rFonts w:ascii="Times New Roman" w:hAnsi="Times New Roman" w:cs="宋体"/>
                </w:rPr>
                <w:t>12</w:t>
              </w:r>
              <w:r>
                <w:rPr>
                  <w:rFonts w:hint="eastAsia"/>
                </w:rPr>
                <w:t>月</w:t>
              </w:r>
              <w:r>
                <w:rPr>
                  <w:rFonts w:ascii="Times New Roman" w:hAnsi="Times New Roman" w:cs="宋体"/>
                </w:rPr>
                <w:t>31</w:t>
              </w:r>
              <w:r>
                <w:rPr>
                  <w:rFonts w:hint="eastAsia"/>
                </w:rPr>
                <w:t>日三年内享受国家高新技术企业</w:t>
              </w:r>
              <w:r>
                <w:rPr>
                  <w:rFonts w:ascii="Times New Roman" w:hAnsi="Times New Roman" w:cs="宋体"/>
                </w:rPr>
                <w:t>15</w:t>
              </w:r>
              <w:r>
                <w:rPr>
                  <w:rFonts w:hint="eastAsia"/>
                </w:rPr>
                <w:t>%的企业所得税优惠税率。</w:t>
              </w:r>
            </w:p>
            <w:p w14:paraId="5E8DF625" w14:textId="77777777" w:rsidR="00D21C1F" w:rsidRDefault="00A42880">
              <w:pPr>
                <w:pStyle w:val="120"/>
                <w:spacing w:line="360" w:lineRule="auto"/>
                <w:ind w:firstLineChars="200" w:firstLine="420"/>
                <w:jc w:val="both"/>
              </w:pPr>
              <w:r>
                <w:rPr>
                  <w:rFonts w:hint="eastAsia"/>
                </w:rPr>
                <w:t>根据</w:t>
              </w:r>
              <w:r>
                <w:rPr>
                  <w:rFonts w:ascii="Times New Roman" w:hAnsi="Times New Roman" w:cs="宋体"/>
                </w:rPr>
                <w:t>2014</w:t>
              </w:r>
              <w:r>
                <w:rPr>
                  <w:rFonts w:hint="eastAsia"/>
                </w:rPr>
                <w:t>年</w:t>
              </w:r>
              <w:r>
                <w:rPr>
                  <w:rFonts w:ascii="Times New Roman" w:hAnsi="Times New Roman" w:cs="宋体"/>
                </w:rPr>
                <w:t>12</w:t>
              </w:r>
              <w:r>
                <w:rPr>
                  <w:rFonts w:hint="eastAsia"/>
                </w:rPr>
                <w:t>月</w:t>
              </w:r>
              <w:r>
                <w:rPr>
                  <w:rFonts w:ascii="Times New Roman" w:hAnsi="Times New Roman" w:cs="宋体"/>
                </w:rPr>
                <w:t>23</w:t>
              </w:r>
              <w:r>
                <w:rPr>
                  <w:rFonts w:hint="eastAsia"/>
                </w:rPr>
                <w:t>日颁布的意大利</w:t>
              </w:r>
              <w:r>
                <w:rPr>
                  <w:rFonts w:ascii="Times New Roman" w:hAnsi="Times New Roman" w:cs="宋体"/>
                </w:rPr>
                <w:t>2015</w:t>
              </w:r>
              <w:r>
                <w:rPr>
                  <w:rFonts w:hint="eastAsia"/>
                </w:rPr>
                <w:t>年财政稳定法案第</w:t>
              </w:r>
              <w:r>
                <w:rPr>
                  <w:rFonts w:ascii="Times New Roman" w:hAnsi="Times New Roman" w:cs="宋体"/>
                </w:rPr>
                <w:t>190</w:t>
              </w:r>
              <w:r>
                <w:rPr>
                  <w:rFonts w:hint="eastAsia"/>
                </w:rPr>
                <w:t>号《</w:t>
              </w:r>
              <w:r>
                <w:rPr>
                  <w:rFonts w:ascii="Times New Roman" w:hAnsi="Times New Roman" w:cs="宋体"/>
                </w:rPr>
                <w:t>Lawn</w:t>
              </w:r>
              <w:r>
                <w:rPr>
                  <w:rFonts w:hint="eastAsia"/>
                </w:rPr>
                <w:t>.</w:t>
              </w:r>
              <w:r>
                <w:rPr>
                  <w:rFonts w:ascii="Times New Roman" w:hAnsi="Times New Roman" w:cs="宋体"/>
                </w:rPr>
                <w:t>190 of 23 December</w:t>
              </w:r>
              <w:r>
                <w:rPr>
                  <w:rFonts w:hint="eastAsia"/>
                </w:rPr>
                <w:t>,</w:t>
              </w:r>
              <w:r>
                <w:rPr>
                  <w:rFonts w:ascii="Times New Roman" w:hAnsi="Times New Roman" w:cs="宋体"/>
                </w:rPr>
                <w:t>2014</w:t>
              </w:r>
              <w:r>
                <w:rPr>
                  <w:rFonts w:hint="eastAsia"/>
                </w:rPr>
                <w:t>》，对于符合条件的企业研发支出，享受最高可达</w:t>
              </w:r>
              <w:r>
                <w:rPr>
                  <w:rFonts w:ascii="Times New Roman" w:hAnsi="Times New Roman" w:cs="宋体"/>
                </w:rPr>
                <w:t>50</w:t>
              </w:r>
              <w:r>
                <w:rPr>
                  <w:rFonts w:hint="eastAsia"/>
                </w:rPr>
                <w:t>％税收抵免，本公司子公司</w:t>
              </w:r>
              <w:r>
                <w:rPr>
                  <w:rFonts w:ascii="Times New Roman" w:hAnsi="Times New Roman" w:cs="宋体"/>
                </w:rPr>
                <w:t>EVOLUT</w:t>
              </w:r>
              <w:r>
                <w:rPr>
                  <w:rFonts w:hint="eastAsia"/>
                </w:rPr>
                <w:t>、</w:t>
              </w:r>
              <w:r>
                <w:rPr>
                  <w:rFonts w:ascii="Times New Roman" w:hAnsi="Times New Roman" w:cs="Times New Roman"/>
                  <w:kern w:val="2"/>
                </w:rPr>
                <w:t>Efort Systems</w:t>
              </w:r>
              <w:r>
                <w:rPr>
                  <w:rFonts w:hint="eastAsia"/>
                </w:rPr>
                <w:t>、</w:t>
              </w:r>
              <w:r>
                <w:rPr>
                  <w:rFonts w:ascii="Times New Roman" w:hAnsi="Times New Roman" w:cs="宋体"/>
                </w:rPr>
                <w:t>OLCI</w:t>
              </w:r>
              <w:r>
                <w:rPr>
                  <w:rFonts w:hint="eastAsia"/>
                </w:rPr>
                <w:t>、</w:t>
              </w:r>
              <w:r>
                <w:rPr>
                  <w:rFonts w:ascii="Times New Roman" w:hAnsi="Times New Roman" w:cs="宋体"/>
                </w:rPr>
                <w:t>Efort Europe</w:t>
              </w:r>
              <w:r>
                <w:rPr>
                  <w:rFonts w:hint="eastAsia"/>
                </w:rPr>
                <w:t>享受该税收优惠政策。</w:t>
              </w:r>
            </w:p>
          </w:sdtContent>
        </w:sdt>
        <w:p w14:paraId="0728DA4A" w14:textId="77777777" w:rsidR="00D21C1F" w:rsidRDefault="00045EC6">
          <w:pPr>
            <w:rPr>
              <w:szCs w:val="21"/>
            </w:rPr>
          </w:pPr>
        </w:p>
      </w:sdtContent>
    </w:sdt>
    <w:sdt>
      <w:sdtPr>
        <w:rPr>
          <w:rFonts w:ascii="宋体" w:eastAsia="宋体" w:hAnsi="宋体" w:cs="宋体"/>
          <w:b w:val="0"/>
          <w:bCs w:val="0"/>
          <w:kern w:val="0"/>
          <w:sz w:val="24"/>
          <w:szCs w:val="22"/>
        </w:rPr>
        <w:alias w:val="模块:其他说明"/>
        <w:tag w:val="_GBC_9fdef48633e142f68e18dc5da08c2deb"/>
        <w:id w:val="-14073620"/>
        <w:lock w:val="sdtLocked"/>
        <w:placeholder>
          <w:docPart w:val="GBC22222222222222222222222222222"/>
        </w:placeholder>
      </w:sdtPr>
      <w:sdtEndPr>
        <w:rPr>
          <w:rFonts w:cs="Times New Roman" w:hint="eastAsia"/>
          <w:kern w:val="2"/>
          <w:sz w:val="21"/>
          <w:szCs w:val="21"/>
        </w:rPr>
      </w:sdtEndPr>
      <w:sdtContent>
        <w:p w14:paraId="454AEB20" w14:textId="77777777" w:rsidR="00D21C1F" w:rsidRDefault="00A42880">
          <w:pPr>
            <w:pStyle w:val="94"/>
            <w:numPr>
              <w:ilvl w:val="0"/>
              <w:numId w:val="94"/>
            </w:numPr>
            <w:tabs>
              <w:tab w:val="left" w:pos="546"/>
            </w:tabs>
            <w:rPr>
              <w:rFonts w:ascii="宋体" w:hAnsi="宋体"/>
            </w:rPr>
          </w:pPr>
          <w:r>
            <w:rPr>
              <w:rFonts w:ascii="宋体" w:hAnsi="宋体"/>
            </w:rPr>
            <w:t>其他</w:t>
          </w:r>
        </w:p>
        <w:sdt>
          <w:sdtPr>
            <w:rPr>
              <w:rFonts w:hint="eastAsia"/>
              <w:szCs w:val="21"/>
            </w:rPr>
            <w:alias w:val="是否适用：税项说明[双击切换]"/>
            <w:tag w:val="_GBC_566ef0a7141a4b2ca002ad8d0663c462"/>
            <w:id w:val="-897590089"/>
            <w:lock w:val="sdtLocked"/>
            <w:placeholder>
              <w:docPart w:val="GBC22222222222222222222222222222"/>
            </w:placeholder>
          </w:sdtPr>
          <w:sdtEndPr/>
          <w:sdtContent>
            <w:p w14:paraId="662B04D6"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税项说明"/>
            <w:tag w:val="_GBC_fd5463033ed2495089f9ea62c446326a"/>
            <w:id w:val="-876078991"/>
            <w:lock w:val="sdtLocked"/>
            <w:placeholder>
              <w:docPart w:val="GBC22222222222222222222222222222"/>
            </w:placeholder>
          </w:sdtPr>
          <w:sdtEndPr/>
          <w:sdtContent>
            <w:p w14:paraId="1B657A42" w14:textId="77777777" w:rsidR="00D21C1F" w:rsidRDefault="00A42880">
              <w:pPr>
                <w:rPr>
                  <w:rFonts w:ascii="Calibri" w:hAnsi="Calibri" w:cs="Calibri"/>
                  <w:szCs w:val="21"/>
                </w:rPr>
              </w:pPr>
              <w:r>
                <w:rPr>
                  <w:szCs w:val="21"/>
                </w:rPr>
                <w:t>其他税种按经营所在地有关规定计算缴纳</w:t>
              </w:r>
              <w:r>
                <w:rPr>
                  <w:rFonts w:ascii="Calibri" w:hAnsi="Calibri" w:cs="Calibri" w:hint="eastAsia"/>
                  <w:szCs w:val="21"/>
                </w:rPr>
                <w:t>。</w:t>
              </w:r>
            </w:p>
          </w:sdtContent>
        </w:sdt>
      </w:sdtContent>
    </w:sdt>
    <w:p w14:paraId="1F0FFAC3" w14:textId="77777777" w:rsidR="00D21C1F" w:rsidRDefault="00D21C1F">
      <w:pPr>
        <w:pStyle w:val="97"/>
      </w:pPr>
    </w:p>
    <w:p w14:paraId="4313DAF0" w14:textId="77777777" w:rsidR="00D21C1F" w:rsidRDefault="00A42880">
      <w:pPr>
        <w:pStyle w:val="2CharCharChar"/>
        <w:numPr>
          <w:ilvl w:val="0"/>
          <w:numId w:val="42"/>
        </w:numPr>
      </w:pPr>
      <w:r>
        <w:rPr>
          <w:rFonts w:hint="eastAsia"/>
        </w:rPr>
        <w:t>合并财务报表项目注释</w:t>
      </w:r>
    </w:p>
    <w:sdt>
      <w:sdtPr>
        <w:rPr>
          <w:rFonts w:ascii="宋体" w:eastAsia="宋体" w:hAnsi="宋体" w:cs="宋体" w:hint="eastAsia"/>
          <w:b w:val="0"/>
          <w:bCs w:val="0"/>
          <w:kern w:val="0"/>
          <w:szCs w:val="21"/>
        </w:rPr>
        <w:alias w:val="模块:货币资金"/>
        <w:tag w:val="_GBC_e001074b3db146e59ba240ad8dd14b68"/>
        <w:id w:val="-176120302"/>
        <w:lock w:val="sdtLocked"/>
        <w:placeholder>
          <w:docPart w:val="GBC22222222222222222222222222222"/>
        </w:placeholder>
      </w:sdtPr>
      <w:sdtEndPr/>
      <w:sdtContent>
        <w:p w14:paraId="6BC309B1" w14:textId="77777777" w:rsidR="00D21C1F" w:rsidRDefault="00A42880">
          <w:pPr>
            <w:pStyle w:val="94"/>
            <w:numPr>
              <w:ilvl w:val="0"/>
              <w:numId w:val="95"/>
            </w:numPr>
            <w:rPr>
              <w:rFonts w:ascii="宋体" w:hAnsi="宋体"/>
            </w:rPr>
          </w:pPr>
          <w:r>
            <w:rPr>
              <w:rFonts w:ascii="宋体" w:hAnsi="宋体" w:hint="eastAsia"/>
            </w:rPr>
            <w:t>货币资金</w:t>
          </w:r>
        </w:p>
        <w:sdt>
          <w:sdtPr>
            <w:rPr>
              <w:rFonts w:hint="eastAsia"/>
              <w:szCs w:val="21"/>
            </w:rPr>
            <w:alias w:val="是否适用：货币资金[双击切换]"/>
            <w:tag w:val="_GBC_919482f2d209490ca80fb081aed88b28"/>
            <w:id w:val="-130014434"/>
            <w:lock w:val="sdtLocked"/>
            <w:placeholder>
              <w:docPart w:val="GBC22222222222222222222222222222"/>
            </w:placeholder>
          </w:sdtPr>
          <w:sdtEndPr/>
          <w:sdtContent>
            <w:p w14:paraId="3457C9B5" w14:textId="77777777" w:rsidR="00D21C1F" w:rsidRDefault="00A4288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6E1E8B7" w14:textId="77777777" w:rsidR="00D21C1F" w:rsidRDefault="00A42880">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9525181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货币资金"/>
              <w:tag w:val="_GBC_6a1d907ad1af44b1a90a92ac03d51b34"/>
              <w:id w:val="-330372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6"/>
            <w:gridCol w:w="3291"/>
            <w:gridCol w:w="3316"/>
          </w:tblGrid>
          <w:tr w:rsidR="00D21C1F" w14:paraId="1BCEA90C" w14:textId="77777777">
            <w:trPr>
              <w:cantSplit/>
            </w:trPr>
            <w:sdt>
              <w:sdtPr>
                <w:tag w:val="_PLD_970744f8614f4547819947c8fa3cacc3"/>
                <w:id w:val="1704904106"/>
                <w:lock w:val="sdtLocked"/>
              </w:sdtPr>
              <w:sdtEndPr/>
              <w:sdtContent>
                <w:tc>
                  <w:tcPr>
                    <w:tcW w:w="1256" w:type="pct"/>
                    <w:shd w:val="clear" w:color="auto" w:fill="auto"/>
                    <w:vAlign w:val="center"/>
                  </w:tcPr>
                  <w:p w14:paraId="43A984A7" w14:textId="77777777" w:rsidR="00D21C1F" w:rsidRDefault="00A42880">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1985048294"/>
                <w:lock w:val="sdtLocked"/>
              </w:sdtPr>
              <w:sdtEndPr/>
              <w:sdtContent>
                <w:tc>
                  <w:tcPr>
                    <w:tcW w:w="1865" w:type="pct"/>
                    <w:shd w:val="clear" w:color="auto" w:fill="auto"/>
                    <w:vAlign w:val="center"/>
                  </w:tcPr>
                  <w:p w14:paraId="5952E225"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1073965840"/>
                <w:lock w:val="sdtLocked"/>
              </w:sdtPr>
              <w:sdtEndPr/>
              <w:sdtContent>
                <w:tc>
                  <w:tcPr>
                    <w:tcW w:w="1879" w:type="pct"/>
                    <w:shd w:val="clear" w:color="auto" w:fill="auto"/>
                    <w:vAlign w:val="center"/>
                  </w:tcPr>
                  <w:p w14:paraId="5BBA795C"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tr w:rsidR="00D21C1F" w14:paraId="31DE050E" w14:textId="77777777">
            <w:trPr>
              <w:cantSplit/>
            </w:trPr>
            <w:sdt>
              <w:sdtPr>
                <w:tag w:val="_PLD_e371e767a9e24245856168b9f4428678"/>
                <w:id w:val="734675171"/>
                <w:lock w:val="sdtLocked"/>
              </w:sdtPr>
              <w:sdtEndPr/>
              <w:sdtContent>
                <w:tc>
                  <w:tcPr>
                    <w:tcW w:w="1256" w:type="pct"/>
                    <w:shd w:val="clear" w:color="auto" w:fill="auto"/>
                  </w:tcPr>
                  <w:p w14:paraId="6237F70A" w14:textId="77777777" w:rsidR="00D21C1F" w:rsidRDefault="00A42880">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14:paraId="180D37FE"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202,452.61</w:t>
                </w:r>
              </w:p>
            </w:tc>
            <w:tc>
              <w:tcPr>
                <w:tcW w:w="1879" w:type="pct"/>
                <w:shd w:val="clear" w:color="auto" w:fill="auto"/>
                <w:vAlign w:val="center"/>
              </w:tcPr>
              <w:p w14:paraId="4E29BA54"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248,919.72</w:t>
                </w:r>
              </w:p>
            </w:tc>
          </w:tr>
          <w:tr w:rsidR="00D21C1F" w14:paraId="19052147" w14:textId="77777777">
            <w:trPr>
              <w:cantSplit/>
            </w:trPr>
            <w:sdt>
              <w:sdtPr>
                <w:tag w:val="_PLD_96be3b99d11b4eb5ac959cf1c015f1ae"/>
                <w:id w:val="-1439359980"/>
                <w:lock w:val="sdtLocked"/>
              </w:sdtPr>
              <w:sdtEndPr/>
              <w:sdtContent>
                <w:tc>
                  <w:tcPr>
                    <w:tcW w:w="1256" w:type="pct"/>
                    <w:shd w:val="clear" w:color="auto" w:fill="auto"/>
                  </w:tcPr>
                  <w:p w14:paraId="2D74AA13" w14:textId="77777777" w:rsidR="00D21C1F" w:rsidRDefault="00A42880">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14:paraId="6FAD7962"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449,594,211.06</w:t>
                </w:r>
              </w:p>
            </w:tc>
            <w:tc>
              <w:tcPr>
                <w:tcW w:w="1879" w:type="pct"/>
                <w:shd w:val="clear" w:color="auto" w:fill="auto"/>
                <w:vAlign w:val="center"/>
              </w:tcPr>
              <w:p w14:paraId="6D16A6AD"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284,136,835.81</w:t>
                </w:r>
              </w:p>
            </w:tc>
          </w:tr>
          <w:tr w:rsidR="00D21C1F" w14:paraId="63AC6865" w14:textId="77777777">
            <w:trPr>
              <w:cantSplit/>
            </w:trPr>
            <w:sdt>
              <w:sdtPr>
                <w:tag w:val="_PLD_58c172627e3243edb66fdbc1799a2f1e"/>
                <w:id w:val="1926224559"/>
                <w:lock w:val="sdtLocked"/>
              </w:sdtPr>
              <w:sdtEndPr/>
              <w:sdtContent>
                <w:tc>
                  <w:tcPr>
                    <w:tcW w:w="1256" w:type="pct"/>
                    <w:shd w:val="clear" w:color="auto" w:fill="auto"/>
                  </w:tcPr>
                  <w:p w14:paraId="74DA5FF4" w14:textId="77777777" w:rsidR="00D21C1F" w:rsidRDefault="00A42880">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14:paraId="78A0188F"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41,390,036.06</w:t>
                </w:r>
              </w:p>
            </w:tc>
            <w:tc>
              <w:tcPr>
                <w:tcW w:w="1879" w:type="pct"/>
                <w:shd w:val="clear" w:color="auto" w:fill="auto"/>
                <w:vAlign w:val="center"/>
              </w:tcPr>
              <w:p w14:paraId="30DB2F25"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51,602,812.97</w:t>
                </w:r>
              </w:p>
            </w:tc>
          </w:tr>
          <w:tr w:rsidR="00D21C1F" w14:paraId="54551F40" w14:textId="77777777">
            <w:trPr>
              <w:cantSplit/>
            </w:trPr>
            <w:sdt>
              <w:sdtPr>
                <w:tag w:val="_PLD_bfbd7d5ef1f8459e96b267d6ca7d50e2"/>
                <w:id w:val="-614127587"/>
                <w:lock w:val="sdtLocked"/>
              </w:sdtPr>
              <w:sdtEndPr/>
              <w:sdtContent>
                <w:tc>
                  <w:tcPr>
                    <w:tcW w:w="1256" w:type="pct"/>
                    <w:shd w:val="clear" w:color="auto" w:fill="auto"/>
                    <w:vAlign w:val="center"/>
                  </w:tcPr>
                  <w:p w14:paraId="682DCF3E" w14:textId="77777777" w:rsidR="00D21C1F" w:rsidRDefault="00A42880">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14:paraId="40747496"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491,186,699.73</w:t>
                </w:r>
              </w:p>
            </w:tc>
            <w:tc>
              <w:tcPr>
                <w:tcW w:w="1879" w:type="pct"/>
                <w:shd w:val="clear" w:color="auto" w:fill="auto"/>
                <w:vAlign w:val="center"/>
              </w:tcPr>
              <w:p w14:paraId="4EA96A05" w14:textId="77777777" w:rsidR="00D21C1F" w:rsidRPr="00F409B2" w:rsidRDefault="00A42880">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335,988,568.50</w:t>
                </w:r>
              </w:p>
            </w:tc>
          </w:tr>
          <w:tr w:rsidR="00D21C1F" w14:paraId="7F18DC90" w14:textId="77777777" w:rsidTr="006B1D7B">
            <w:trPr>
              <w:cantSplit/>
            </w:trPr>
            <w:sdt>
              <w:sdtPr>
                <w:tag w:val="_PLD_87df45e9697a4beb97831117be4c567a"/>
                <w:id w:val="878594349"/>
                <w:lock w:val="sdtLocked"/>
              </w:sdtPr>
              <w:sdtEndPr/>
              <w:sdtContent>
                <w:tc>
                  <w:tcPr>
                    <w:tcW w:w="1256" w:type="pct"/>
                    <w:shd w:val="clear" w:color="auto" w:fill="auto"/>
                  </w:tcPr>
                  <w:p w14:paraId="609CC77E" w14:textId="77777777" w:rsidR="00D21C1F" w:rsidRDefault="00A42880">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vAlign w:val="center"/>
              </w:tcPr>
              <w:p w14:paraId="799E2687" w14:textId="77777777" w:rsidR="00D21C1F" w:rsidRPr="00F409B2" w:rsidRDefault="00A42880" w:rsidP="006B1D7B">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141,789,225.11</w:t>
                </w:r>
              </w:p>
            </w:tc>
            <w:tc>
              <w:tcPr>
                <w:tcW w:w="1879" w:type="pct"/>
                <w:shd w:val="clear" w:color="auto" w:fill="auto"/>
                <w:vAlign w:val="center"/>
              </w:tcPr>
              <w:p w14:paraId="43390F9D" w14:textId="77777777" w:rsidR="00D21C1F" w:rsidRPr="00F409B2" w:rsidRDefault="00A42880" w:rsidP="006B1D7B">
                <w:pPr>
                  <w:autoSpaceDE w:val="0"/>
                  <w:autoSpaceDN w:val="0"/>
                  <w:adjustRightInd w:val="0"/>
                  <w:snapToGrid w:val="0"/>
                  <w:spacing w:line="240" w:lineRule="atLeast"/>
                  <w:jc w:val="right"/>
                  <w:rPr>
                    <w:rFonts w:ascii="Times New Roman" w:hAnsi="Times New Roman" w:cs="Times New Roman"/>
                    <w:szCs w:val="21"/>
                  </w:rPr>
                </w:pPr>
                <w:r w:rsidRPr="00F409B2">
                  <w:rPr>
                    <w:rFonts w:ascii="Times New Roman" w:hAnsi="Times New Roman" w:cs="Times New Roman"/>
                  </w:rPr>
                  <w:t>151,137,786.97</w:t>
                </w:r>
              </w:p>
            </w:tc>
          </w:tr>
        </w:tbl>
        <w:p w14:paraId="77D27B0B" w14:textId="77777777" w:rsidR="00D21C1F" w:rsidRDefault="00A42880">
          <w:pPr>
            <w:rPr>
              <w:szCs w:val="21"/>
            </w:rPr>
          </w:pPr>
          <w:r>
            <w:rPr>
              <w:rFonts w:hint="eastAsia"/>
              <w:szCs w:val="21"/>
            </w:rPr>
            <w:t>其他说明：</w:t>
          </w:r>
        </w:p>
        <w:p w14:paraId="60C74337" w14:textId="77777777" w:rsidR="00D21C1F" w:rsidRDefault="00045EC6">
          <w:pPr>
            <w:rPr>
              <w:szCs w:val="21"/>
            </w:rPr>
          </w:pPr>
          <w:sdt>
            <w:sdtPr>
              <w:rPr>
                <w:szCs w:val="21"/>
              </w:rPr>
              <w:alias w:val="货币资金的说明"/>
              <w:tag w:val="_GBC_672a863055084dfabbc1ba40f04a68b4"/>
              <w:id w:val="-1900897034"/>
              <w:lock w:val="sdtLocked"/>
              <w:placeholder>
                <w:docPart w:val="GBC22222222222222222222222222222"/>
              </w:placeholder>
            </w:sdtPr>
            <w:sdtEndPr/>
            <w:sdtContent>
              <w:r w:rsidR="00A42880">
                <w:rPr>
                  <w:rFonts w:hint="eastAsia"/>
                  <w:szCs w:val="21"/>
                </w:rPr>
                <w:t>无</w:t>
              </w:r>
            </w:sdtContent>
          </w:sdt>
        </w:p>
      </w:sdtContent>
    </w:sdt>
    <w:p w14:paraId="576A7650" w14:textId="77777777" w:rsidR="00D21C1F" w:rsidRDefault="00D21C1F">
      <w:pPr>
        <w:snapToGrid w:val="0"/>
        <w:spacing w:line="240" w:lineRule="atLeast"/>
        <w:ind w:left="1470" w:rightChars="12" w:right="25" w:hangingChars="700" w:hanging="1470"/>
        <w:rPr>
          <w:szCs w:val="21"/>
        </w:rPr>
      </w:pPr>
    </w:p>
    <w:bookmarkStart w:id="167" w:name="_Hlk10466498" w:displacedByCustomXml="next"/>
    <w:sdt>
      <w:sdtPr>
        <w:rPr>
          <w:rFonts w:ascii="宋体" w:eastAsia="宋体" w:hAnsi="宋体" w:cs="宋体" w:hint="eastAsia"/>
          <w:b w:val="0"/>
          <w:bCs w:val="0"/>
          <w:kern w:val="0"/>
          <w:szCs w:val="21"/>
        </w:rPr>
        <w:alias w:val="模块:交易性金融资产"/>
        <w:tag w:val="_SEC_01904024df9944b092034293cedff1b0"/>
        <w:id w:val="414905217"/>
        <w:lock w:val="sdtLocked"/>
        <w:placeholder>
          <w:docPart w:val="GBC22222222222222222222222222222"/>
        </w:placeholder>
      </w:sdtPr>
      <w:sdtEndPr>
        <w:rPr>
          <w:szCs w:val="24"/>
        </w:rPr>
      </w:sdtEndPr>
      <w:sdtContent>
        <w:p w14:paraId="2A49B308" w14:textId="77777777" w:rsidR="00D21C1F" w:rsidRDefault="00A42880">
          <w:pPr>
            <w:pStyle w:val="94"/>
            <w:numPr>
              <w:ilvl w:val="0"/>
              <w:numId w:val="95"/>
            </w:numPr>
            <w:rPr>
              <w:rFonts w:ascii="宋体" w:hAnsi="宋体"/>
              <w:szCs w:val="21"/>
            </w:rPr>
          </w:pPr>
          <w:r>
            <w:rPr>
              <w:rFonts w:ascii="宋体" w:hAnsi="宋体" w:hint="eastAsia"/>
              <w:szCs w:val="21"/>
            </w:rPr>
            <w:t>交易性金融资产</w:t>
          </w:r>
        </w:p>
        <w:sdt>
          <w:sdtPr>
            <w:alias w:val="是否适用：交易性金融资产[双击切换]"/>
            <w:tag w:val="_GBC_11d582474c724741b6bb067e7b29fffd"/>
            <w:id w:val="1781376610"/>
            <w:lock w:val="sdtLocked"/>
            <w:placeholder>
              <w:docPart w:val="GBC22222222222222222222222222222"/>
            </w:placeholder>
          </w:sdtPr>
          <w:sdtEndPr/>
          <w:sdtContent>
            <w:p w14:paraId="6865F6D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BAC9FB" w14:textId="77777777" w:rsidR="00D21C1F" w:rsidRDefault="00A42880">
          <w:pPr>
            <w:ind w:left="420" w:right="44"/>
            <w:jc w:val="right"/>
          </w:pPr>
          <w:r>
            <w:rPr>
              <w:rFonts w:hint="eastAsia"/>
            </w:rPr>
            <w:t>单位：</w:t>
          </w:r>
          <w:sdt>
            <w:sdtPr>
              <w:rPr>
                <w:rFonts w:hint="eastAsia"/>
              </w:rPr>
              <w:alias w:val="单位：财务附注：交易性金融资产"/>
              <w:tag w:val="_GBC_b2d7dc3f69444771a448a311594f8279"/>
              <w:id w:val="18508338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交易性金融资产"/>
              <w:tag w:val="_GBC_88b9006e3e174b8c8076810e5fb1dcc8"/>
              <w:id w:val="-1510129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D21C1F" w14:paraId="3AFD9EF2" w14:textId="77777777">
            <w:sdt>
              <w:sdtPr>
                <w:tag w:val="_PLD_180b3e7393aa4b579f23eb84c4a7f3d2"/>
                <w:id w:val="-530496286"/>
                <w:lock w:val="sdtLocked"/>
              </w:sdtPr>
              <w:sdtEndPr/>
              <w:sdtContent>
                <w:tc>
                  <w:tcPr>
                    <w:tcW w:w="2017" w:type="pct"/>
                    <w:shd w:val="clear" w:color="auto" w:fill="auto"/>
                    <w:vAlign w:val="center"/>
                  </w:tcPr>
                  <w:p w14:paraId="5AE3670B" w14:textId="77777777" w:rsidR="00D21C1F" w:rsidRDefault="00A42880">
                    <w:pPr>
                      <w:jc w:val="center"/>
                      <w:rPr>
                        <w:szCs w:val="21"/>
                      </w:rPr>
                    </w:pPr>
                    <w:r>
                      <w:rPr>
                        <w:rFonts w:hint="eastAsia"/>
                        <w:szCs w:val="21"/>
                      </w:rPr>
                      <w:t>项目</w:t>
                    </w:r>
                  </w:p>
                </w:tc>
              </w:sdtContent>
            </w:sdt>
            <w:sdt>
              <w:sdtPr>
                <w:tag w:val="_PLD_3c39d37503a349249c106423bdc13d7f"/>
                <w:id w:val="-499587856"/>
                <w:lock w:val="sdtLocked"/>
              </w:sdtPr>
              <w:sdtEndPr/>
              <w:sdtContent>
                <w:tc>
                  <w:tcPr>
                    <w:tcW w:w="1485" w:type="pct"/>
                    <w:shd w:val="clear" w:color="auto" w:fill="auto"/>
                    <w:vAlign w:val="center"/>
                  </w:tcPr>
                  <w:p w14:paraId="60F4E810"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d428152cd6a04122a794515fe299ca7f"/>
                <w:id w:val="610630608"/>
                <w:lock w:val="sdtLocked"/>
              </w:sdtPr>
              <w:sdtEndPr/>
              <w:sdtContent>
                <w:tc>
                  <w:tcPr>
                    <w:tcW w:w="1498" w:type="pct"/>
                    <w:shd w:val="clear" w:color="auto" w:fill="auto"/>
                    <w:vAlign w:val="center"/>
                  </w:tcPr>
                  <w:p w14:paraId="2E778A33"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tr w:rsidR="00D21C1F" w14:paraId="61BA116D" w14:textId="77777777" w:rsidTr="006B1D7B">
            <w:sdt>
              <w:sdtPr>
                <w:tag w:val="_PLD_43a852b8fe8245cfab7ad57443d101bd"/>
                <w:id w:val="942813808"/>
                <w:lock w:val="sdtLocked"/>
              </w:sdtPr>
              <w:sdtEndPr/>
              <w:sdtContent>
                <w:tc>
                  <w:tcPr>
                    <w:tcW w:w="2017" w:type="pct"/>
                    <w:shd w:val="clear" w:color="auto" w:fill="auto"/>
                  </w:tcPr>
                  <w:p w14:paraId="2EC76A47" w14:textId="77777777" w:rsidR="00D21C1F" w:rsidRDefault="00A42880">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vAlign w:val="center"/>
              </w:tcPr>
              <w:p w14:paraId="334500C2" w14:textId="77777777" w:rsidR="00D21C1F" w:rsidRPr="00F409B2" w:rsidRDefault="00A42880" w:rsidP="006B1D7B">
                <w:pPr>
                  <w:jc w:val="right"/>
                  <w:rPr>
                    <w:rFonts w:ascii="Times New Roman" w:hAnsi="Times New Roman" w:cs="Times New Roman"/>
                    <w:szCs w:val="21"/>
                  </w:rPr>
                </w:pPr>
                <w:r w:rsidRPr="00F409B2">
                  <w:rPr>
                    <w:rFonts w:ascii="Times New Roman" w:hAnsi="Times New Roman" w:cs="Times New Roman"/>
                  </w:rPr>
                  <w:t>437,294,586.35</w:t>
                </w:r>
              </w:p>
            </w:tc>
            <w:tc>
              <w:tcPr>
                <w:tcW w:w="1498" w:type="pct"/>
                <w:shd w:val="clear" w:color="auto" w:fill="auto"/>
                <w:vAlign w:val="center"/>
              </w:tcPr>
              <w:p w14:paraId="793AD995" w14:textId="77777777" w:rsidR="00D21C1F" w:rsidRPr="00F409B2" w:rsidRDefault="00A42880" w:rsidP="006B1D7B">
                <w:pPr>
                  <w:jc w:val="right"/>
                  <w:rPr>
                    <w:rFonts w:ascii="Times New Roman" w:hAnsi="Times New Roman" w:cs="Times New Roman"/>
                    <w:szCs w:val="21"/>
                  </w:rPr>
                </w:pPr>
                <w:r w:rsidRPr="00F409B2">
                  <w:rPr>
                    <w:rFonts w:ascii="Times New Roman" w:hAnsi="Times New Roman" w:cs="Times New Roman"/>
                  </w:rPr>
                  <w:t>697,088,958.27</w:t>
                </w:r>
              </w:p>
            </w:tc>
          </w:tr>
          <w:tr w:rsidR="00D21C1F" w14:paraId="172FCE7E" w14:textId="77777777">
            <w:sdt>
              <w:sdtPr>
                <w:rPr>
                  <w:rFonts w:ascii="Times New Roman" w:hAnsi="Times New Roman" w:cs="Times New Roman"/>
                </w:rPr>
                <w:tag w:val="_PLD_3c173ac5b41e4bf58ef2c9e0d063380f"/>
                <w:id w:val="1125591621"/>
                <w:lock w:val="sdtLocked"/>
              </w:sdtPr>
              <w:sdtEndPr/>
              <w:sdtContent>
                <w:tc>
                  <w:tcPr>
                    <w:tcW w:w="5000" w:type="pct"/>
                    <w:gridSpan w:val="3"/>
                    <w:shd w:val="clear" w:color="auto" w:fill="auto"/>
                  </w:tcPr>
                  <w:p w14:paraId="3A3B7CCE" w14:textId="77777777" w:rsidR="00D21C1F" w:rsidRPr="00F409B2" w:rsidRDefault="00A42880">
                    <w:pPr>
                      <w:rPr>
                        <w:rFonts w:ascii="Times New Roman" w:hAnsi="Times New Roman" w:cs="Times New Roman"/>
                        <w:szCs w:val="21"/>
                      </w:rPr>
                    </w:pPr>
                    <w:r w:rsidRPr="00F409B2">
                      <w:rPr>
                        <w:rFonts w:ascii="Times New Roman" w:hAnsi="Times New Roman" w:cs="Times New Roman"/>
                        <w:szCs w:val="21"/>
                      </w:rPr>
                      <w:t>其中：</w:t>
                    </w:r>
                  </w:p>
                </w:tc>
              </w:sdtContent>
            </w:sdt>
          </w:tr>
          <w:sdt>
            <w:sdtPr>
              <w:rPr>
                <w:szCs w:val="21"/>
              </w:rPr>
              <w:alias w:val="交易性金融资产中以公允价值计量且其变动计入当期损益的金融资产明细"/>
              <w:tag w:val="_TUP_341bdf9f88e5440c90904d1eb6d01724"/>
              <w:id w:val="-225295545"/>
              <w:lock w:val="sdtLocked"/>
            </w:sdtPr>
            <w:sdtEndPr>
              <w:rPr>
                <w:rFonts w:ascii="Times New Roman" w:hAnsi="Times New Roman" w:cs="Times New Roman"/>
              </w:rPr>
            </w:sdtEndPr>
            <w:sdtContent>
              <w:tr w:rsidR="00D21C1F" w14:paraId="4EE3B046" w14:textId="77777777">
                <w:tc>
                  <w:tcPr>
                    <w:tcW w:w="2017" w:type="pct"/>
                    <w:shd w:val="clear" w:color="auto" w:fill="auto"/>
                  </w:tcPr>
                  <w:p w14:paraId="20118195" w14:textId="77777777" w:rsidR="00D21C1F" w:rsidRDefault="00A42880">
                    <w:pPr>
                      <w:autoSpaceDE w:val="0"/>
                      <w:autoSpaceDN w:val="0"/>
                      <w:adjustRightInd w:val="0"/>
                      <w:ind w:firstLineChars="270" w:firstLine="567"/>
                      <w:rPr>
                        <w:szCs w:val="21"/>
                      </w:rPr>
                    </w:pPr>
                    <w:r>
                      <w:t>债务工具投资</w:t>
                    </w:r>
                  </w:p>
                </w:tc>
                <w:tc>
                  <w:tcPr>
                    <w:tcW w:w="1485" w:type="pct"/>
                    <w:shd w:val="clear" w:color="auto" w:fill="auto"/>
                  </w:tcPr>
                  <w:p w14:paraId="5AA4E16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802,191.40</w:t>
                    </w:r>
                  </w:p>
                </w:tc>
                <w:tc>
                  <w:tcPr>
                    <w:tcW w:w="1498" w:type="pct"/>
                    <w:shd w:val="clear" w:color="auto" w:fill="auto"/>
                  </w:tcPr>
                  <w:p w14:paraId="0267458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835,375.22</w:t>
                    </w:r>
                  </w:p>
                </w:tc>
              </w:tr>
            </w:sdtContent>
          </w:sdt>
          <w:sdt>
            <w:sdtPr>
              <w:rPr>
                <w:szCs w:val="21"/>
              </w:rPr>
              <w:alias w:val="交易性金融资产中以公允价值计量且其变动计入当期损益的金融资产明细"/>
              <w:tag w:val="_TUP_341bdf9f88e5440c90904d1eb6d01724"/>
              <w:id w:val="1338117934"/>
              <w:lock w:val="sdtLocked"/>
            </w:sdtPr>
            <w:sdtEndPr>
              <w:rPr>
                <w:rFonts w:ascii="Times New Roman" w:hAnsi="Times New Roman" w:cs="Times New Roman"/>
              </w:rPr>
            </w:sdtEndPr>
            <w:sdtContent>
              <w:tr w:rsidR="00D21C1F" w14:paraId="5A27012C" w14:textId="77777777">
                <w:tc>
                  <w:tcPr>
                    <w:tcW w:w="2017" w:type="pct"/>
                    <w:shd w:val="clear" w:color="auto" w:fill="auto"/>
                  </w:tcPr>
                  <w:p w14:paraId="0FEE51EA" w14:textId="77777777" w:rsidR="00D21C1F" w:rsidRDefault="00A42880">
                    <w:pPr>
                      <w:autoSpaceDE w:val="0"/>
                      <w:autoSpaceDN w:val="0"/>
                      <w:adjustRightInd w:val="0"/>
                      <w:ind w:firstLineChars="270" w:firstLine="567"/>
                      <w:rPr>
                        <w:szCs w:val="21"/>
                      </w:rPr>
                    </w:pPr>
                    <w:r>
                      <w:t>衍生金融资产</w:t>
                    </w:r>
                  </w:p>
                </w:tc>
                <w:tc>
                  <w:tcPr>
                    <w:tcW w:w="1485" w:type="pct"/>
                    <w:shd w:val="clear" w:color="auto" w:fill="auto"/>
                  </w:tcPr>
                  <w:p w14:paraId="44C9386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131,655.23</w:t>
                    </w:r>
                  </w:p>
                </w:tc>
                <w:tc>
                  <w:tcPr>
                    <w:tcW w:w="1498" w:type="pct"/>
                    <w:shd w:val="clear" w:color="auto" w:fill="auto"/>
                  </w:tcPr>
                  <w:p w14:paraId="7684A7D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10,216,568.33</w:t>
                    </w:r>
                  </w:p>
                </w:tc>
              </w:tr>
            </w:sdtContent>
          </w:sdt>
          <w:sdt>
            <w:sdtPr>
              <w:rPr>
                <w:szCs w:val="21"/>
              </w:rPr>
              <w:alias w:val="交易性金融资产中以公允价值计量且其变动计入当期损益的金融资产明细"/>
              <w:tag w:val="_TUP_341bdf9f88e5440c90904d1eb6d01724"/>
              <w:id w:val="-1430032534"/>
              <w:lock w:val="sdtLocked"/>
            </w:sdtPr>
            <w:sdtEndPr>
              <w:rPr>
                <w:rFonts w:ascii="Times New Roman" w:hAnsi="Times New Roman" w:cs="Times New Roman"/>
              </w:rPr>
            </w:sdtEndPr>
            <w:sdtContent>
              <w:tr w:rsidR="00D21C1F" w14:paraId="1FDAFBC5" w14:textId="77777777">
                <w:tc>
                  <w:tcPr>
                    <w:tcW w:w="2017" w:type="pct"/>
                    <w:shd w:val="clear" w:color="auto" w:fill="auto"/>
                  </w:tcPr>
                  <w:p w14:paraId="2564E5C1" w14:textId="77777777" w:rsidR="00D21C1F" w:rsidRDefault="00A42880">
                    <w:pPr>
                      <w:autoSpaceDE w:val="0"/>
                      <w:autoSpaceDN w:val="0"/>
                      <w:adjustRightInd w:val="0"/>
                      <w:ind w:firstLineChars="270" w:firstLine="567"/>
                      <w:rPr>
                        <w:szCs w:val="21"/>
                      </w:rPr>
                    </w:pPr>
                    <w:r>
                      <w:t>理财产品</w:t>
                    </w:r>
                  </w:p>
                </w:tc>
                <w:tc>
                  <w:tcPr>
                    <w:tcW w:w="1485" w:type="pct"/>
                    <w:shd w:val="clear" w:color="auto" w:fill="auto"/>
                  </w:tcPr>
                  <w:p w14:paraId="2ACEDEC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436,360,739.72</w:t>
                    </w:r>
                  </w:p>
                </w:tc>
                <w:tc>
                  <w:tcPr>
                    <w:tcW w:w="1498" w:type="pct"/>
                    <w:shd w:val="clear" w:color="auto" w:fill="auto"/>
                  </w:tcPr>
                  <w:p w14:paraId="5D444A15"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686,037,014.72</w:t>
                    </w:r>
                  </w:p>
                </w:tc>
              </w:tr>
            </w:sdtContent>
          </w:sdt>
          <w:tr w:rsidR="00D21C1F" w14:paraId="7444F42E" w14:textId="77777777">
            <w:sdt>
              <w:sdtPr>
                <w:tag w:val="_PLD_b70930027e2847d98ef556a409fe079a"/>
                <w:id w:val="-1805003568"/>
                <w:lock w:val="sdtLocked"/>
              </w:sdtPr>
              <w:sdtEndPr/>
              <w:sdtContent>
                <w:tc>
                  <w:tcPr>
                    <w:tcW w:w="2017" w:type="pct"/>
                    <w:shd w:val="clear" w:color="auto" w:fill="auto"/>
                    <w:vAlign w:val="center"/>
                  </w:tcPr>
                  <w:p w14:paraId="2EF97CE0" w14:textId="77777777" w:rsidR="00D21C1F" w:rsidRDefault="00A42880">
                    <w:pPr>
                      <w:jc w:val="center"/>
                      <w:rPr>
                        <w:szCs w:val="21"/>
                      </w:rPr>
                    </w:pPr>
                    <w:r>
                      <w:rPr>
                        <w:rFonts w:hint="eastAsia"/>
                        <w:szCs w:val="21"/>
                      </w:rPr>
                      <w:t>合计</w:t>
                    </w:r>
                  </w:p>
                </w:tc>
              </w:sdtContent>
            </w:sdt>
            <w:tc>
              <w:tcPr>
                <w:tcW w:w="1485" w:type="pct"/>
                <w:shd w:val="clear" w:color="auto" w:fill="auto"/>
                <w:vAlign w:val="center"/>
              </w:tcPr>
              <w:p w14:paraId="34385BB7"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437,294,586.35</w:t>
                </w:r>
              </w:p>
            </w:tc>
            <w:tc>
              <w:tcPr>
                <w:tcW w:w="1498" w:type="pct"/>
                <w:shd w:val="clear" w:color="auto" w:fill="auto"/>
                <w:vAlign w:val="center"/>
              </w:tcPr>
              <w:p w14:paraId="71235A1D"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697,088,958.27</w:t>
                </w:r>
              </w:p>
            </w:tc>
          </w:tr>
        </w:tbl>
        <w:p w14:paraId="14588D69" w14:textId="77777777" w:rsidR="00D21C1F" w:rsidRDefault="00A42880">
          <w:pPr>
            <w:pStyle w:val="97"/>
          </w:pPr>
          <w:r>
            <w:rPr>
              <w:rFonts w:hint="eastAsia"/>
            </w:rPr>
            <w:t>其他</w:t>
          </w:r>
          <w:r>
            <w:t>说明</w:t>
          </w:r>
          <w:r>
            <w:rPr>
              <w:rFonts w:hint="eastAsia"/>
            </w:rPr>
            <w:t>：</w:t>
          </w:r>
        </w:p>
        <w:sdt>
          <w:sdtPr>
            <w:alias w:val="是否适用：交易性金融资产的说明[双击切换]"/>
            <w:tag w:val="_GBC_b60651a640d94b5c8581bfe4f49d2891"/>
            <w:id w:val="-1733773159"/>
            <w:lock w:val="sdtLocked"/>
            <w:placeholder>
              <w:docPart w:val="GBC22222222222222222222222222222"/>
            </w:placeholder>
          </w:sdtPr>
          <w:sdtEndPr/>
          <w:sdtContent>
            <w:p w14:paraId="2435C2FF"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7"/>
    <w:p w14:paraId="3D867FE9" w14:textId="77777777" w:rsidR="00D21C1F" w:rsidRDefault="00D21C1F">
      <w:pPr>
        <w:snapToGrid w:val="0"/>
        <w:spacing w:line="240" w:lineRule="atLeast"/>
        <w:ind w:rightChars="12" w:right="25"/>
        <w:rPr>
          <w:szCs w:val="21"/>
        </w:rPr>
      </w:pPr>
    </w:p>
    <w:sdt>
      <w:sdtPr>
        <w:rPr>
          <w:rFonts w:ascii="宋体" w:eastAsia="宋体" w:hAnsi="宋体" w:cs="宋体" w:hint="eastAsia"/>
          <w:b w:val="0"/>
          <w:bCs w:val="0"/>
          <w:kern w:val="0"/>
          <w:szCs w:val="21"/>
        </w:rPr>
        <w:alias w:val="模块:衍生金融资产"/>
        <w:tag w:val="_GBC_bc314407a9a14c2f8b2b5368638e0a51"/>
        <w:id w:val="1216313082"/>
        <w:lock w:val="sdtLocked"/>
        <w:placeholder>
          <w:docPart w:val="GBC22222222222222222222222222222"/>
        </w:placeholder>
      </w:sdtPr>
      <w:sdtEndPr/>
      <w:sdtContent>
        <w:p w14:paraId="6BE5EE3A" w14:textId="77777777" w:rsidR="00D21C1F" w:rsidRDefault="00A42880">
          <w:pPr>
            <w:pStyle w:val="94"/>
            <w:numPr>
              <w:ilvl w:val="0"/>
              <w:numId w:val="95"/>
            </w:numPr>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31085477"/>
            <w:lock w:val="sdtLocked"/>
            <w:placeholder>
              <w:docPart w:val="GBC22222222222222222222222222222"/>
            </w:placeholder>
          </w:sdtPr>
          <w:sdtEndPr/>
          <w:sdtContent>
            <w:p w14:paraId="6EF1061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831365" w14:textId="77777777" w:rsidR="00D21C1F" w:rsidRDefault="00045EC6">
          <w:pPr>
            <w:snapToGrid w:val="0"/>
            <w:spacing w:line="240" w:lineRule="atLeast"/>
            <w:ind w:left="1470" w:rightChars="12" w:right="25" w:hangingChars="700" w:hanging="1470"/>
            <w:rPr>
              <w:szCs w:val="21"/>
            </w:rPr>
          </w:pPr>
        </w:p>
      </w:sdtContent>
    </w:sdt>
    <w:p w14:paraId="528BD358" w14:textId="77777777" w:rsidR="00D21C1F" w:rsidRDefault="00D21C1F">
      <w:pPr>
        <w:snapToGrid w:val="0"/>
        <w:spacing w:line="240" w:lineRule="atLeast"/>
        <w:ind w:rightChars="12" w:right="25"/>
        <w:rPr>
          <w:szCs w:val="21"/>
        </w:rPr>
      </w:pPr>
    </w:p>
    <w:p w14:paraId="5937C603" w14:textId="77777777" w:rsidR="00D21C1F" w:rsidRDefault="00A42880">
      <w:pPr>
        <w:pStyle w:val="94"/>
        <w:numPr>
          <w:ilvl w:val="0"/>
          <w:numId w:val="95"/>
        </w:numPr>
        <w:rPr>
          <w:rFonts w:ascii="宋体" w:hAnsi="宋体"/>
        </w:rPr>
      </w:pPr>
      <w:r>
        <w:rPr>
          <w:rFonts w:ascii="宋体" w:hAnsi="宋体" w:hint="eastAsia"/>
        </w:rPr>
        <w:t>应收票据</w:t>
      </w:r>
    </w:p>
    <w:sdt>
      <w:sdtPr>
        <w:rPr>
          <w:rFonts w:ascii="宋体" w:eastAsia="宋体" w:hAnsi="宋体" w:cs="宋体" w:hint="eastAsia"/>
          <w:b w:val="0"/>
          <w:bCs w:val="0"/>
          <w:kern w:val="0"/>
          <w:szCs w:val="22"/>
        </w:rPr>
        <w:alias w:val="模块:应收票据分类"/>
        <w:tag w:val="_GBC_c1ce1fc5bd0f42bca82cd02f3a6b623f"/>
        <w:id w:val="-1907603062"/>
        <w:lock w:val="sdtLocked"/>
        <w:placeholder>
          <w:docPart w:val="GBC22222222222222222222222222222"/>
        </w:placeholder>
      </w:sdtPr>
      <w:sdtEndPr>
        <w:rPr>
          <w:rFonts w:ascii="Times New Roman" w:hAnsi="Times New Roman" w:cs="Times New Roman" w:hint="default"/>
          <w:color w:val="008000"/>
          <w:kern w:val="2"/>
          <w:szCs w:val="24"/>
        </w:rPr>
      </w:sdtEndPr>
      <w:sdtContent>
        <w:p w14:paraId="4BB44245" w14:textId="77777777" w:rsidR="00D21C1F" w:rsidRDefault="00A42880">
          <w:pPr>
            <w:pStyle w:val="93"/>
            <w:numPr>
              <w:ilvl w:val="3"/>
              <w:numId w:val="96"/>
            </w:numPr>
            <w:rPr>
              <w:rFonts w:ascii="宋体" w:hAnsi="宋体"/>
            </w:rPr>
          </w:pPr>
          <w:r>
            <w:rPr>
              <w:rFonts w:ascii="宋体" w:hAnsi="宋体" w:hint="eastAsia"/>
            </w:rPr>
            <w:t>应收票据分类列示</w:t>
          </w:r>
        </w:p>
        <w:sdt>
          <w:sdtPr>
            <w:alias w:val="是否适用：应收票据分类列示[双击切换]"/>
            <w:tag w:val="_GBC_3c32a2809ab3476a93b88a8155fb0be8"/>
            <w:id w:val="-1506197995"/>
            <w:lock w:val="sdtLocked"/>
            <w:placeholder>
              <w:docPart w:val="GBC22222222222222222222222222222"/>
            </w:placeholder>
          </w:sdtPr>
          <w:sdtEndPr/>
          <w:sdtContent>
            <w:p w14:paraId="5D5F417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5F1107" w14:textId="77777777" w:rsidR="00D21C1F" w:rsidRDefault="00A42880">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130758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收票据分类"/>
              <w:tag w:val="_GBC_08bc82a26735413f8516c3d080579822"/>
              <w:id w:val="1868478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41"/>
            <w:gridCol w:w="3122"/>
            <w:gridCol w:w="2871"/>
          </w:tblGrid>
          <w:tr w:rsidR="00D21C1F" w14:paraId="63E5B89F" w14:textId="77777777">
            <w:trPr>
              <w:cantSplit/>
            </w:trPr>
            <w:sdt>
              <w:sdtPr>
                <w:tag w:val="_PLD_a48e9b652e5b48b08b05dc5f5dba5744"/>
                <w:id w:val="258263485"/>
                <w:lock w:val="sdtLocked"/>
              </w:sdtPr>
              <w:sdtEndPr/>
              <w:sdtContent>
                <w:tc>
                  <w:tcPr>
                    <w:tcW w:w="1646" w:type="pct"/>
                    <w:vAlign w:val="center"/>
                  </w:tcPr>
                  <w:p w14:paraId="1C1D061F" w14:textId="77777777" w:rsidR="00D21C1F" w:rsidRDefault="00A42880">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1283106932"/>
                <w:lock w:val="sdtLocked"/>
              </w:sdtPr>
              <w:sdtEndPr/>
              <w:sdtContent>
                <w:tc>
                  <w:tcPr>
                    <w:tcW w:w="1747" w:type="pct"/>
                    <w:vAlign w:val="center"/>
                  </w:tcPr>
                  <w:p w14:paraId="20809F2B"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377856006"/>
                <w:lock w:val="sdtLocked"/>
              </w:sdtPr>
              <w:sdtEndPr/>
              <w:sdtContent>
                <w:tc>
                  <w:tcPr>
                    <w:tcW w:w="1607" w:type="pct"/>
                    <w:vAlign w:val="center"/>
                  </w:tcPr>
                  <w:p w14:paraId="0166E82D"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tr w:rsidR="00D21C1F" w14:paraId="06927C12" w14:textId="77777777">
            <w:trPr>
              <w:cantSplit/>
            </w:trPr>
            <w:sdt>
              <w:sdtPr>
                <w:tag w:val="_PLD_eccbe8be962b4f1497dbb55db8b28215"/>
                <w:id w:val="1049031887"/>
                <w:lock w:val="sdtLocked"/>
              </w:sdtPr>
              <w:sdtEndPr/>
              <w:sdtContent>
                <w:tc>
                  <w:tcPr>
                    <w:tcW w:w="1646" w:type="pct"/>
                  </w:tcPr>
                  <w:p w14:paraId="7EE8A764" w14:textId="77777777" w:rsidR="00D21C1F" w:rsidRDefault="00A42880">
                    <w:pPr>
                      <w:autoSpaceDE w:val="0"/>
                      <w:autoSpaceDN w:val="0"/>
                      <w:adjustRightInd w:val="0"/>
                      <w:snapToGrid w:val="0"/>
                      <w:spacing w:line="240" w:lineRule="atLeast"/>
                      <w:rPr>
                        <w:szCs w:val="21"/>
                      </w:rPr>
                    </w:pPr>
                    <w:r>
                      <w:rPr>
                        <w:rFonts w:hint="eastAsia"/>
                        <w:szCs w:val="21"/>
                      </w:rPr>
                      <w:t>银行承兑票据</w:t>
                    </w:r>
                  </w:p>
                </w:tc>
              </w:sdtContent>
            </w:sdt>
            <w:tc>
              <w:tcPr>
                <w:tcW w:w="1747" w:type="pct"/>
                <w:vAlign w:val="center"/>
              </w:tcPr>
              <w:p w14:paraId="3E6AA7C1" w14:textId="77777777" w:rsidR="00D21C1F" w:rsidRPr="00F409B2" w:rsidRDefault="00A42880">
                <w:pPr>
                  <w:ind w:right="13"/>
                  <w:jc w:val="right"/>
                  <w:rPr>
                    <w:rFonts w:ascii="Times New Roman" w:hAnsi="Times New Roman" w:cs="Times New Roman"/>
                    <w:szCs w:val="21"/>
                  </w:rPr>
                </w:pPr>
                <w:r w:rsidRPr="00F409B2">
                  <w:rPr>
                    <w:rFonts w:ascii="Times New Roman" w:hAnsi="Times New Roman" w:cs="Times New Roman"/>
                  </w:rPr>
                  <w:t>53,379,679.45</w:t>
                </w:r>
              </w:p>
            </w:tc>
            <w:tc>
              <w:tcPr>
                <w:tcW w:w="1607" w:type="pct"/>
                <w:vAlign w:val="center"/>
              </w:tcPr>
              <w:p w14:paraId="1CB27DD8" w14:textId="77777777" w:rsidR="00D21C1F" w:rsidRPr="00F409B2" w:rsidRDefault="00A42880">
                <w:pPr>
                  <w:ind w:right="13"/>
                  <w:jc w:val="right"/>
                  <w:rPr>
                    <w:rFonts w:ascii="Times New Roman" w:hAnsi="Times New Roman" w:cs="Times New Roman"/>
                    <w:szCs w:val="21"/>
                  </w:rPr>
                </w:pPr>
                <w:r w:rsidRPr="00F409B2">
                  <w:rPr>
                    <w:rFonts w:ascii="Times New Roman" w:hAnsi="Times New Roman" w:cs="Times New Roman"/>
                  </w:rPr>
                  <w:t>46,294,479.87</w:t>
                </w:r>
              </w:p>
            </w:tc>
          </w:tr>
          <w:tr w:rsidR="00D21C1F" w14:paraId="580EAACD" w14:textId="77777777">
            <w:trPr>
              <w:cantSplit/>
            </w:trPr>
            <w:sdt>
              <w:sdtPr>
                <w:tag w:val="_PLD_6fc58c64e5c245528e438ae644ab059a"/>
                <w:id w:val="631835639"/>
                <w:lock w:val="sdtLocked"/>
              </w:sdtPr>
              <w:sdtEndPr/>
              <w:sdtContent>
                <w:tc>
                  <w:tcPr>
                    <w:tcW w:w="1646" w:type="pct"/>
                  </w:tcPr>
                  <w:p w14:paraId="3CAE85A6" w14:textId="77777777" w:rsidR="00D21C1F" w:rsidRDefault="00A42880">
                    <w:pPr>
                      <w:autoSpaceDE w:val="0"/>
                      <w:autoSpaceDN w:val="0"/>
                      <w:adjustRightInd w:val="0"/>
                      <w:snapToGrid w:val="0"/>
                      <w:spacing w:line="240" w:lineRule="atLeast"/>
                      <w:rPr>
                        <w:szCs w:val="21"/>
                      </w:rPr>
                    </w:pPr>
                    <w:r>
                      <w:rPr>
                        <w:rFonts w:hint="eastAsia"/>
                        <w:szCs w:val="21"/>
                      </w:rPr>
                      <w:t>商业承兑票据</w:t>
                    </w:r>
                  </w:p>
                </w:tc>
              </w:sdtContent>
            </w:sdt>
            <w:tc>
              <w:tcPr>
                <w:tcW w:w="1747" w:type="pct"/>
                <w:vAlign w:val="center"/>
              </w:tcPr>
              <w:p w14:paraId="0E49F33F" w14:textId="77777777" w:rsidR="00D21C1F" w:rsidRPr="00F409B2" w:rsidRDefault="00A42880">
                <w:pPr>
                  <w:ind w:right="13"/>
                  <w:jc w:val="right"/>
                  <w:rPr>
                    <w:rFonts w:ascii="Times New Roman" w:hAnsi="Times New Roman" w:cs="Times New Roman"/>
                    <w:szCs w:val="21"/>
                  </w:rPr>
                </w:pPr>
                <w:r w:rsidRPr="00F409B2">
                  <w:rPr>
                    <w:rFonts w:ascii="Times New Roman" w:hAnsi="Times New Roman" w:cs="Times New Roman"/>
                  </w:rPr>
                  <w:t>1,615,000.00</w:t>
                </w:r>
              </w:p>
            </w:tc>
            <w:tc>
              <w:tcPr>
                <w:tcW w:w="1607" w:type="pct"/>
                <w:vAlign w:val="center"/>
              </w:tcPr>
              <w:p w14:paraId="4605655E" w14:textId="77777777" w:rsidR="00D21C1F" w:rsidRPr="00F409B2" w:rsidRDefault="00A42880">
                <w:pPr>
                  <w:ind w:right="13"/>
                  <w:jc w:val="right"/>
                  <w:rPr>
                    <w:rFonts w:ascii="Times New Roman" w:hAnsi="Times New Roman" w:cs="Times New Roman"/>
                    <w:szCs w:val="21"/>
                  </w:rPr>
                </w:pPr>
                <w:r w:rsidRPr="00F409B2">
                  <w:rPr>
                    <w:rFonts w:ascii="Times New Roman" w:hAnsi="Times New Roman" w:cs="Times New Roman"/>
                  </w:rPr>
                  <w:t>2,471,520.00</w:t>
                </w:r>
              </w:p>
            </w:tc>
          </w:tr>
          <w:tr w:rsidR="00D21C1F" w14:paraId="2179BD97" w14:textId="77777777">
            <w:trPr>
              <w:cantSplit/>
            </w:trPr>
            <w:sdt>
              <w:sdtPr>
                <w:tag w:val="_PLD_27fe84ac868644fa846c5f158e59921c"/>
                <w:id w:val="1154794402"/>
                <w:lock w:val="sdtLocked"/>
              </w:sdtPr>
              <w:sdtEndPr/>
              <w:sdtContent>
                <w:tc>
                  <w:tcPr>
                    <w:tcW w:w="1646" w:type="pct"/>
                    <w:vAlign w:val="center"/>
                  </w:tcPr>
                  <w:p w14:paraId="45BB6AA4" w14:textId="77777777" w:rsidR="00D21C1F" w:rsidRDefault="00A42880">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vAlign w:val="center"/>
              </w:tcPr>
              <w:p w14:paraId="41F6EC3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54,994,679.45</w:t>
                </w:r>
              </w:p>
            </w:tc>
            <w:tc>
              <w:tcPr>
                <w:tcW w:w="1607" w:type="pct"/>
                <w:vAlign w:val="center"/>
              </w:tcPr>
              <w:p w14:paraId="38D0131B" w14:textId="77777777" w:rsidR="00D21C1F" w:rsidRPr="00F409B2" w:rsidRDefault="00A42880">
                <w:pPr>
                  <w:autoSpaceDE w:val="0"/>
                  <w:autoSpaceDN w:val="0"/>
                  <w:adjustRightInd w:val="0"/>
                  <w:jc w:val="right"/>
                  <w:rPr>
                    <w:rFonts w:ascii="Times New Roman" w:hAnsi="Times New Roman" w:cs="Times New Roman"/>
                    <w:szCs w:val="21"/>
                  </w:rPr>
                </w:pPr>
                <w:r w:rsidRPr="00F409B2">
                  <w:rPr>
                    <w:rFonts w:ascii="Times New Roman" w:hAnsi="Times New Roman" w:cs="Times New Roman"/>
                  </w:rPr>
                  <w:t>48,765,999.87</w:t>
                </w:r>
              </w:p>
            </w:tc>
          </w:tr>
        </w:tbl>
      </w:sdtContent>
    </w:sdt>
    <w:p w14:paraId="566B07F8" w14:textId="77777777" w:rsidR="00D21C1F" w:rsidRDefault="00D21C1F">
      <w:pPr>
        <w:snapToGrid w:val="0"/>
        <w:spacing w:line="240" w:lineRule="atLeast"/>
        <w:rPr>
          <w:szCs w:val="21"/>
        </w:rPr>
      </w:pPr>
    </w:p>
    <w:sdt>
      <w:sdtPr>
        <w:rPr>
          <w:rFonts w:ascii="宋体" w:eastAsia="宋体" w:hAnsi="宋体" w:cs="宋体" w:hint="eastAsia"/>
          <w:b w:val="0"/>
          <w:bCs w:val="0"/>
          <w:kern w:val="0"/>
          <w:szCs w:val="22"/>
        </w:rPr>
        <w:alias w:val="模块:期末公司已质押的应收票据情况"/>
        <w:tag w:val="_GBC_8fdb3f7098324d0d8b9f6e395abf9009"/>
        <w:id w:val="-305313001"/>
        <w:lock w:val="sdtLocked"/>
        <w:placeholder>
          <w:docPart w:val="GBC22222222222222222222222222222"/>
        </w:placeholder>
      </w:sdtPr>
      <w:sdtEndPr>
        <w:rPr>
          <w:rFonts w:cs="Times New Roman"/>
          <w:kern w:val="2"/>
          <w:szCs w:val="24"/>
        </w:rPr>
      </w:sdtEndPr>
      <w:sdtContent>
        <w:p w14:paraId="631DA52F" w14:textId="77777777" w:rsidR="00D21C1F" w:rsidRDefault="00A42880">
          <w:pPr>
            <w:pStyle w:val="93"/>
            <w:numPr>
              <w:ilvl w:val="3"/>
              <w:numId w:val="96"/>
            </w:numPr>
            <w:rPr>
              <w:rFonts w:ascii="宋体" w:hAnsi="宋体"/>
            </w:rPr>
          </w:pPr>
          <w:r>
            <w:rPr>
              <w:rFonts w:ascii="宋体" w:hAnsi="宋体"/>
            </w:rPr>
            <w:t>期末公司已</w:t>
          </w:r>
          <w:r>
            <w:rPr>
              <w:rFonts w:ascii="宋体" w:hAnsi="宋体" w:hint="eastAsia"/>
            </w:rPr>
            <w:t>质押</w:t>
          </w:r>
          <w:r>
            <w:rPr>
              <w:rFonts w:ascii="宋体" w:hAnsi="宋体"/>
            </w:rPr>
            <w:t>的应收票据</w:t>
          </w:r>
        </w:p>
        <w:sdt>
          <w:sdtPr>
            <w:alias w:val="是否适用：期末公司已质押的应收票据[双击切换]"/>
            <w:tag w:val="_GBC_3440ef2908e64e51a440106bfa389257"/>
            <w:id w:val="-1983922137"/>
            <w:lock w:val="sdtLocked"/>
            <w:placeholder>
              <w:docPart w:val="GBC22222222222222222222222222222"/>
            </w:placeholder>
          </w:sdtPr>
          <w:sdtEndPr/>
          <w:sdtContent>
            <w:p w14:paraId="0356F217"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2"/>
        </w:rPr>
        <w:alias w:val="模块:因出票人无力履约而将票据转为应收账款的票据，以及期末已背书未到期票据"/>
        <w:tag w:val="_GBC_d0a9833415574c7baa9ef176fea05ecf"/>
        <w:id w:val="1004631057"/>
        <w:lock w:val="sdtLocked"/>
        <w:placeholder>
          <w:docPart w:val="GBC22222222222222222222222222222"/>
        </w:placeholder>
      </w:sdtPr>
      <w:sdtEndPr>
        <w:rPr>
          <w:rFonts w:cs="Times New Roman"/>
          <w:kern w:val="2"/>
          <w:szCs w:val="24"/>
        </w:rPr>
      </w:sdtEndPr>
      <w:sdtContent>
        <w:p w14:paraId="3992130E" w14:textId="77777777" w:rsidR="00D21C1F" w:rsidRDefault="00A42880">
          <w:pPr>
            <w:pStyle w:val="93"/>
            <w:numPr>
              <w:ilvl w:val="3"/>
              <w:numId w:val="96"/>
            </w:numPr>
            <w:jc w:val="left"/>
            <w:rPr>
              <w:rFonts w:ascii="宋体" w:hAnsi="宋体"/>
            </w:rPr>
          </w:pPr>
          <w:r>
            <w:rPr>
              <w:rFonts w:ascii="宋体" w:hAnsi="宋体"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363026750"/>
            <w:lock w:val="sdtLocked"/>
            <w:placeholder>
              <w:docPart w:val="GBC22222222222222222222222222222"/>
            </w:placeholder>
          </w:sdtPr>
          <w:sdtEndPr/>
          <w:sdtContent>
            <w:p w14:paraId="33F1CA7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F20569" w14:textId="77777777" w:rsidR="00D21C1F" w:rsidRDefault="00A42880">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23942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期末公司已背书或贴现且在资产负债表日尚未到期的应收票据"/>
              <w:tag w:val="_GBC_394a26f35e05433d88a516241a51f5ba"/>
              <w:id w:val="416838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73"/>
            <w:gridCol w:w="3044"/>
          </w:tblGrid>
          <w:tr w:rsidR="00D21C1F" w14:paraId="1A18EAB1" w14:textId="77777777">
            <w:sdt>
              <w:sdtPr>
                <w:tag w:val="_PLD_7f8eb653a3a24ed29cc795bb9a08fb8e"/>
                <w:id w:val="1732510043"/>
                <w:lock w:val="sdtLocked"/>
              </w:sdtPr>
              <w:sdtEndPr/>
              <w:sdtContent>
                <w:tc>
                  <w:tcPr>
                    <w:tcW w:w="1590" w:type="pct"/>
                    <w:shd w:val="clear" w:color="auto" w:fill="auto"/>
                    <w:vAlign w:val="center"/>
                  </w:tcPr>
                  <w:p w14:paraId="28C66B7B" w14:textId="77777777" w:rsidR="00D21C1F" w:rsidRDefault="00A42880">
                    <w:pPr>
                      <w:jc w:val="center"/>
                      <w:rPr>
                        <w:szCs w:val="21"/>
                      </w:rPr>
                    </w:pPr>
                    <w:r>
                      <w:rPr>
                        <w:rFonts w:hint="eastAsia"/>
                        <w:szCs w:val="21"/>
                      </w:rPr>
                      <w:t>项目</w:t>
                    </w:r>
                  </w:p>
                </w:tc>
              </w:sdtContent>
            </w:sdt>
            <w:sdt>
              <w:sdtPr>
                <w:tag w:val="_PLD_96af9fcfe145402ea8d401a1f6c0d081"/>
                <w:id w:val="1210686199"/>
                <w:lock w:val="sdtLocked"/>
              </w:sdtPr>
              <w:sdtEndPr/>
              <w:sdtContent>
                <w:tc>
                  <w:tcPr>
                    <w:tcW w:w="1685" w:type="pct"/>
                    <w:shd w:val="clear" w:color="auto" w:fill="auto"/>
                    <w:vAlign w:val="center"/>
                  </w:tcPr>
                  <w:p w14:paraId="5F161B75" w14:textId="77777777" w:rsidR="00D21C1F" w:rsidRDefault="00A42880">
                    <w:pPr>
                      <w:jc w:val="center"/>
                      <w:rPr>
                        <w:szCs w:val="21"/>
                      </w:rPr>
                    </w:pPr>
                    <w:r>
                      <w:rPr>
                        <w:rFonts w:hint="eastAsia"/>
                        <w:szCs w:val="21"/>
                      </w:rPr>
                      <w:t>期末终止确认金额</w:t>
                    </w:r>
                  </w:p>
                </w:tc>
              </w:sdtContent>
            </w:sdt>
            <w:sdt>
              <w:sdtPr>
                <w:tag w:val="_PLD_2efea7e570304a7e9fb54f87b3247807"/>
                <w:id w:val="1225101268"/>
                <w:lock w:val="sdtLocked"/>
              </w:sdtPr>
              <w:sdtEndPr/>
              <w:sdtContent>
                <w:tc>
                  <w:tcPr>
                    <w:tcW w:w="1725" w:type="pct"/>
                    <w:shd w:val="clear" w:color="auto" w:fill="auto"/>
                    <w:vAlign w:val="center"/>
                  </w:tcPr>
                  <w:p w14:paraId="6E28462C" w14:textId="77777777" w:rsidR="00D21C1F" w:rsidRDefault="00A42880">
                    <w:pPr>
                      <w:jc w:val="center"/>
                      <w:rPr>
                        <w:szCs w:val="21"/>
                      </w:rPr>
                    </w:pPr>
                    <w:r>
                      <w:rPr>
                        <w:rFonts w:hint="eastAsia"/>
                        <w:szCs w:val="21"/>
                      </w:rPr>
                      <w:t>期末未终止确认金额</w:t>
                    </w:r>
                  </w:p>
                </w:tc>
              </w:sdtContent>
            </w:sdt>
          </w:tr>
          <w:tr w:rsidR="00D21C1F" w14:paraId="5DAAEB76" w14:textId="77777777">
            <w:sdt>
              <w:sdtPr>
                <w:tag w:val="_PLD_cac37b72ff744837a73dde57c7667850"/>
                <w:id w:val="197596746"/>
                <w:lock w:val="sdtLocked"/>
              </w:sdtPr>
              <w:sdtEndPr/>
              <w:sdtContent>
                <w:tc>
                  <w:tcPr>
                    <w:tcW w:w="1590" w:type="pct"/>
                    <w:shd w:val="clear" w:color="auto" w:fill="auto"/>
                  </w:tcPr>
                  <w:p w14:paraId="48F04092" w14:textId="77777777" w:rsidR="00D21C1F" w:rsidRDefault="00A42880">
                    <w:pPr>
                      <w:rPr>
                        <w:szCs w:val="21"/>
                      </w:rPr>
                    </w:pPr>
                    <w:r>
                      <w:rPr>
                        <w:rFonts w:hint="eastAsia"/>
                      </w:rPr>
                      <w:t>银行承兑票据</w:t>
                    </w:r>
                  </w:p>
                </w:tc>
              </w:sdtContent>
            </w:sdt>
            <w:tc>
              <w:tcPr>
                <w:tcW w:w="1685" w:type="pct"/>
                <w:shd w:val="clear" w:color="auto" w:fill="auto"/>
                <w:vAlign w:val="bottom"/>
              </w:tcPr>
              <w:p w14:paraId="43EA0AB0" w14:textId="77777777" w:rsidR="00D21C1F" w:rsidRPr="00F409B2" w:rsidRDefault="00A42880">
                <w:pPr>
                  <w:jc w:val="right"/>
                  <w:rPr>
                    <w:rFonts w:ascii="Times New Roman" w:eastAsiaTheme="majorEastAsia" w:hAnsi="Times New Roman" w:cs="Times New Roman"/>
                    <w:szCs w:val="21"/>
                  </w:rPr>
                </w:pPr>
                <w:r w:rsidRPr="00F409B2">
                  <w:rPr>
                    <w:rFonts w:ascii="Times New Roman" w:eastAsiaTheme="majorEastAsia" w:hAnsi="Times New Roman" w:cs="Times New Roman"/>
                  </w:rPr>
                  <w:t>33,163,322.80</w:t>
                </w:r>
              </w:p>
            </w:tc>
            <w:tc>
              <w:tcPr>
                <w:tcW w:w="1725" w:type="pct"/>
                <w:shd w:val="clear" w:color="auto" w:fill="auto"/>
                <w:vAlign w:val="bottom"/>
              </w:tcPr>
              <w:p w14:paraId="04A8E020" w14:textId="77777777" w:rsidR="00D21C1F" w:rsidRPr="00F409B2" w:rsidRDefault="00A42880">
                <w:pPr>
                  <w:jc w:val="right"/>
                  <w:rPr>
                    <w:rFonts w:ascii="Times New Roman" w:eastAsiaTheme="majorEastAsia" w:hAnsi="Times New Roman" w:cs="Times New Roman"/>
                    <w:szCs w:val="21"/>
                  </w:rPr>
                </w:pPr>
                <w:r w:rsidRPr="00F409B2">
                  <w:rPr>
                    <w:rFonts w:ascii="Times New Roman" w:eastAsiaTheme="majorEastAsia" w:hAnsi="Times New Roman" w:cs="Times New Roman"/>
                  </w:rPr>
                  <w:t>19,051,966.22</w:t>
                </w:r>
              </w:p>
            </w:tc>
          </w:tr>
          <w:tr w:rsidR="00D21C1F" w14:paraId="7E82C44F" w14:textId="77777777">
            <w:sdt>
              <w:sdtPr>
                <w:tag w:val="_PLD_57056e05394444c786935252d8a3c35e"/>
                <w:id w:val="1948588899"/>
                <w:lock w:val="sdtLocked"/>
              </w:sdtPr>
              <w:sdtEndPr/>
              <w:sdtContent>
                <w:tc>
                  <w:tcPr>
                    <w:tcW w:w="1590" w:type="pct"/>
                    <w:shd w:val="clear" w:color="auto" w:fill="auto"/>
                  </w:tcPr>
                  <w:p w14:paraId="011804C8" w14:textId="77777777" w:rsidR="00D21C1F" w:rsidRDefault="00A42880">
                    <w:pPr>
                      <w:pStyle w:val="97"/>
                    </w:pPr>
                    <w:r>
                      <w:rPr>
                        <w:rFonts w:hint="eastAsia"/>
                      </w:rPr>
                      <w:t>商业承兑票据</w:t>
                    </w:r>
                  </w:p>
                </w:tc>
              </w:sdtContent>
            </w:sdt>
            <w:tc>
              <w:tcPr>
                <w:tcW w:w="1685" w:type="pct"/>
                <w:shd w:val="clear" w:color="auto" w:fill="auto"/>
                <w:vAlign w:val="bottom"/>
              </w:tcPr>
              <w:p w14:paraId="117C2A40" w14:textId="77777777" w:rsidR="00D21C1F" w:rsidRPr="00F409B2" w:rsidRDefault="00A42880">
                <w:pPr>
                  <w:jc w:val="right"/>
                  <w:rPr>
                    <w:rFonts w:ascii="Times New Roman" w:eastAsiaTheme="majorEastAsia" w:hAnsi="Times New Roman" w:cs="Times New Roman"/>
                    <w:szCs w:val="21"/>
                  </w:rPr>
                </w:pPr>
                <w:r w:rsidRPr="00F409B2">
                  <w:rPr>
                    <w:rFonts w:ascii="Times New Roman" w:eastAsiaTheme="majorEastAsia" w:hAnsi="Times New Roman" w:cs="Times New Roman"/>
                  </w:rPr>
                  <w:t>-</w:t>
                </w:r>
              </w:p>
            </w:tc>
            <w:tc>
              <w:tcPr>
                <w:tcW w:w="1725" w:type="pct"/>
                <w:shd w:val="clear" w:color="auto" w:fill="auto"/>
                <w:vAlign w:val="bottom"/>
              </w:tcPr>
              <w:p w14:paraId="636D9890" w14:textId="77777777" w:rsidR="00D21C1F" w:rsidRPr="00F409B2" w:rsidRDefault="00A42880">
                <w:pPr>
                  <w:jc w:val="right"/>
                  <w:rPr>
                    <w:rFonts w:ascii="Times New Roman" w:eastAsiaTheme="majorEastAsia" w:hAnsi="Times New Roman" w:cs="Times New Roman"/>
                    <w:szCs w:val="21"/>
                  </w:rPr>
                </w:pPr>
                <w:r w:rsidRPr="00F409B2">
                  <w:rPr>
                    <w:rFonts w:ascii="Times New Roman" w:eastAsiaTheme="majorEastAsia" w:hAnsi="Times New Roman" w:cs="Times New Roman"/>
                  </w:rPr>
                  <w:t>-</w:t>
                </w:r>
              </w:p>
            </w:tc>
          </w:tr>
          <w:tr w:rsidR="00D21C1F" w14:paraId="0103CF1D" w14:textId="77777777">
            <w:sdt>
              <w:sdtPr>
                <w:tag w:val="_PLD_fe9a2327d66e4c329946796965b1c500"/>
                <w:id w:val="-303934481"/>
                <w:lock w:val="sdtLocked"/>
              </w:sdtPr>
              <w:sdtEndPr/>
              <w:sdtContent>
                <w:tc>
                  <w:tcPr>
                    <w:tcW w:w="1590" w:type="pct"/>
                    <w:shd w:val="clear" w:color="auto" w:fill="auto"/>
                    <w:vAlign w:val="center"/>
                  </w:tcPr>
                  <w:p w14:paraId="79B1F3BF" w14:textId="77777777" w:rsidR="00D21C1F" w:rsidRDefault="00A42880">
                    <w:pPr>
                      <w:jc w:val="center"/>
                    </w:pPr>
                    <w:r>
                      <w:rPr>
                        <w:rFonts w:hint="eastAsia"/>
                      </w:rPr>
                      <w:t>合计</w:t>
                    </w:r>
                  </w:p>
                </w:tc>
              </w:sdtContent>
            </w:sdt>
            <w:tc>
              <w:tcPr>
                <w:tcW w:w="1685" w:type="pct"/>
                <w:shd w:val="clear" w:color="auto" w:fill="auto"/>
                <w:vAlign w:val="bottom"/>
              </w:tcPr>
              <w:p w14:paraId="3AE0D9B4" w14:textId="77777777" w:rsidR="00D21C1F" w:rsidRPr="00F409B2" w:rsidRDefault="00A42880">
                <w:pPr>
                  <w:jc w:val="right"/>
                  <w:rPr>
                    <w:rFonts w:ascii="Times New Roman" w:eastAsiaTheme="majorEastAsia" w:hAnsi="Times New Roman" w:cs="Times New Roman"/>
                    <w:szCs w:val="21"/>
                  </w:rPr>
                </w:pPr>
                <w:r w:rsidRPr="00F409B2">
                  <w:rPr>
                    <w:rFonts w:ascii="Times New Roman" w:eastAsiaTheme="majorEastAsia" w:hAnsi="Times New Roman" w:cs="Times New Roman"/>
                  </w:rPr>
                  <w:t>33,163,322.80</w:t>
                </w:r>
              </w:p>
            </w:tc>
            <w:tc>
              <w:tcPr>
                <w:tcW w:w="1725" w:type="pct"/>
                <w:shd w:val="clear" w:color="auto" w:fill="auto"/>
                <w:vAlign w:val="bottom"/>
              </w:tcPr>
              <w:p w14:paraId="5F0C96D8" w14:textId="77777777" w:rsidR="00D21C1F" w:rsidRPr="00F409B2" w:rsidRDefault="00A42880">
                <w:pPr>
                  <w:jc w:val="right"/>
                  <w:rPr>
                    <w:rFonts w:ascii="Times New Roman" w:eastAsiaTheme="majorEastAsia" w:hAnsi="Times New Roman" w:cs="Times New Roman"/>
                    <w:szCs w:val="21"/>
                  </w:rPr>
                </w:pPr>
                <w:r w:rsidRPr="00F409B2">
                  <w:rPr>
                    <w:rFonts w:ascii="Times New Roman" w:eastAsiaTheme="majorEastAsia" w:hAnsi="Times New Roman" w:cs="Times New Roman"/>
                  </w:rPr>
                  <w:t>19,051,966.22</w:t>
                </w:r>
              </w:p>
            </w:tc>
          </w:tr>
        </w:tbl>
        <w:p w14:paraId="0A2D3B91" w14:textId="77777777" w:rsidR="00D21C1F" w:rsidRDefault="00045EC6">
          <w:pPr>
            <w:rPr>
              <w:rFonts w:cs="Times New Roman"/>
              <w:kern w:val="2"/>
            </w:rPr>
          </w:pPr>
        </w:p>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569653404"/>
        <w:lock w:val="sdtLocked"/>
        <w:placeholder>
          <w:docPart w:val="GBC22222222222222222222222222222"/>
        </w:placeholder>
      </w:sdtPr>
      <w:sdtEndPr/>
      <w:sdtContent>
        <w:p w14:paraId="0452EDB7" w14:textId="77777777" w:rsidR="00D21C1F" w:rsidRDefault="00A42880">
          <w:pPr>
            <w:pStyle w:val="93"/>
            <w:numPr>
              <w:ilvl w:val="3"/>
              <w:numId w:val="96"/>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164057505"/>
            <w:lock w:val="sdtLocked"/>
            <w:placeholder>
              <w:docPart w:val="GBC22222222222222222222222222222"/>
            </w:placeholder>
          </w:sdtPr>
          <w:sdtEndPr/>
          <w:sdtContent>
            <w:p w14:paraId="7C7641C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C5A17A" w14:textId="77777777" w:rsidR="00D21C1F" w:rsidRDefault="00A42880">
          <w:pPr>
            <w:jc w:val="right"/>
          </w:pPr>
          <w:r>
            <w:rPr>
              <w:rFonts w:hint="eastAsia"/>
            </w:rPr>
            <w:t>单位：</w:t>
          </w:r>
          <w:sdt>
            <w:sdtPr>
              <w:alias w:val="单位：财务附注：期末公司因出票人无力履约而将其转为应收账款的票据"/>
              <w:tag w:val="_GBC_c0780da99145482da7e28198808424ed"/>
              <w:id w:val="2142763420"/>
              <w:lock w:val="sdtLocked"/>
              <w:placeholder>
                <w:docPart w:val="CCD8449F4CD34BA392F57D411A502F28"/>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rPr>
              <w:rFonts w:hint="eastAsia"/>
            </w:rPr>
            <w:t xml:space="preserve">  币种：</w:t>
          </w:r>
          <w:sdt>
            <w:sdtPr>
              <w:rPr>
                <w:rFonts w:hint="eastAsia"/>
              </w:rPr>
              <w:alias w:val="币种：财务附注：期末公司因出票人无力履约而将其转为应收账款的票据"/>
              <w:tag w:val="_GBC_4fe14271ee834f8b95e122614cee36db"/>
              <w:id w:val="-9996856"/>
              <w:lock w:val="sdtLocked"/>
              <w:placeholder>
                <w:docPart w:val="CCD8449F4CD34BA392F57D411A502F2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157"/>
            <w:gridCol w:w="4666"/>
          </w:tblGrid>
          <w:tr w:rsidR="00D21C1F" w14:paraId="20D97086" w14:textId="77777777">
            <w:sdt>
              <w:sdtPr>
                <w:tag w:val="_PLD_54f324e4d1e84c468038b01803e63be4"/>
                <w:id w:val="-1043289590"/>
                <w:lock w:val="sdtLocked"/>
              </w:sdtPr>
              <w:sdtEndPr/>
              <w:sdtContent>
                <w:tc>
                  <w:tcPr>
                    <w:tcW w:w="2356" w:type="pct"/>
                    <w:tcBorders>
                      <w:top w:val="single" w:sz="4" w:space="0" w:color="auto"/>
                      <w:left w:val="single" w:sz="4" w:space="0" w:color="auto"/>
                      <w:bottom w:val="single" w:sz="6" w:space="0" w:color="auto"/>
                      <w:right w:val="single" w:sz="6" w:space="0" w:color="auto"/>
                    </w:tcBorders>
                    <w:shd w:val="clear" w:color="auto" w:fill="auto"/>
                    <w:vAlign w:val="center"/>
                  </w:tcPr>
                  <w:p w14:paraId="3BD0C06E" w14:textId="77777777" w:rsidR="00D21C1F" w:rsidRDefault="00A42880">
                    <w:pPr>
                      <w:jc w:val="center"/>
                      <w:rPr>
                        <w:szCs w:val="21"/>
                      </w:rPr>
                    </w:pPr>
                    <w:r>
                      <w:rPr>
                        <w:rFonts w:hint="eastAsia"/>
                        <w:szCs w:val="21"/>
                      </w:rPr>
                      <w:t>项目</w:t>
                    </w:r>
                  </w:p>
                </w:tc>
              </w:sdtContent>
            </w:sdt>
            <w:sdt>
              <w:sdtPr>
                <w:tag w:val="_PLD_a13dd5a67b5b414c9c8b199aa86fab78"/>
                <w:id w:val="-1839915852"/>
                <w:lock w:val="sdtLocked"/>
              </w:sdtPr>
              <w:sdtEndPr/>
              <w:sdtContent>
                <w:tc>
                  <w:tcPr>
                    <w:tcW w:w="2644" w:type="pct"/>
                    <w:tcBorders>
                      <w:top w:val="single" w:sz="4" w:space="0" w:color="auto"/>
                      <w:left w:val="single" w:sz="6" w:space="0" w:color="auto"/>
                      <w:bottom w:val="single" w:sz="6" w:space="0" w:color="auto"/>
                      <w:right w:val="single" w:sz="4" w:space="0" w:color="auto"/>
                    </w:tcBorders>
                    <w:shd w:val="clear" w:color="auto" w:fill="auto"/>
                    <w:vAlign w:val="center"/>
                  </w:tcPr>
                  <w:p w14:paraId="52730025" w14:textId="77777777" w:rsidR="00D21C1F" w:rsidRDefault="00A42880">
                    <w:pPr>
                      <w:jc w:val="center"/>
                      <w:rPr>
                        <w:szCs w:val="21"/>
                      </w:rPr>
                    </w:pPr>
                    <w:r>
                      <w:rPr>
                        <w:rFonts w:hint="eastAsia"/>
                      </w:rPr>
                      <w:t>期末转应收账款金额</w:t>
                    </w:r>
                  </w:p>
                </w:tc>
              </w:sdtContent>
            </w:sdt>
          </w:tr>
          <w:sdt>
            <w:sdtPr>
              <w:rPr>
                <w:rFonts w:hint="eastAsia"/>
              </w:rPr>
              <w:alias w:val="公司因出票人无力履约而将其转为应收账款的票据明细"/>
              <w:tag w:val="_GBC_a1174e172b994eef9507d0872f309232"/>
              <w:id w:val="-246270127"/>
              <w:lock w:val="sdtLocked"/>
              <w:placeholder>
                <w:docPart w:val="EAE753A0BF2E467289889F69A4F083FA"/>
              </w:placeholder>
            </w:sdtPr>
            <w:sdtEndPr>
              <w:rPr>
                <w:rFonts w:ascii="Times New Roman" w:hAnsi="Times New Roman" w:cs="Times New Roman" w:hint="default"/>
              </w:rPr>
            </w:sdtEndPr>
            <w:sdtContent>
              <w:tr w:rsidR="00D21C1F" w14:paraId="1A9B746D" w14:textId="77777777">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14:paraId="50BE796E" w14:textId="77777777" w:rsidR="00D21C1F" w:rsidRDefault="00A42880">
                    <w:r>
                      <w:rPr>
                        <w:rFonts w:hint="eastAsia"/>
                      </w:rPr>
                      <w:t>银行承兑汇票</w:t>
                    </w:r>
                  </w:p>
                </w:tc>
                <w:tc>
                  <w:tcPr>
                    <w:tcW w:w="2644" w:type="pct"/>
                    <w:tcBorders>
                      <w:top w:val="single" w:sz="6" w:space="0" w:color="auto"/>
                      <w:left w:val="single" w:sz="6" w:space="0" w:color="auto"/>
                      <w:bottom w:val="single" w:sz="4" w:space="0" w:color="auto"/>
                      <w:right w:val="single" w:sz="4" w:space="0" w:color="auto"/>
                    </w:tcBorders>
                    <w:shd w:val="clear" w:color="auto" w:fill="auto"/>
                  </w:tcPr>
                  <w:p w14:paraId="36454601" w14:textId="77777777" w:rsidR="00D21C1F" w:rsidRPr="00F409B2" w:rsidRDefault="00A42880">
                    <w:pPr>
                      <w:jc w:val="right"/>
                      <w:rPr>
                        <w:rFonts w:ascii="Times New Roman" w:hAnsi="Times New Roman" w:cs="Times New Roman"/>
                      </w:rPr>
                    </w:pPr>
                    <w:r w:rsidRPr="00F409B2">
                      <w:rPr>
                        <w:rFonts w:ascii="Times New Roman" w:hAnsi="Times New Roman" w:cs="Times New Roman"/>
                      </w:rPr>
                      <w:t>500,000.00</w:t>
                    </w:r>
                  </w:p>
                </w:tc>
              </w:tr>
            </w:sdtContent>
          </w:sdt>
          <w:tr w:rsidR="00D21C1F" w14:paraId="1FE90373" w14:textId="77777777">
            <w:sdt>
              <w:sdtPr>
                <w:tag w:val="_PLD_2933a38294f049a59ed88cdac7e6d231"/>
                <w:id w:val="-1499033933"/>
                <w:lock w:val="sdtLocked"/>
              </w:sdtPr>
              <w:sdtEndPr/>
              <w:sdtContent>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14:paraId="58CE27D4" w14:textId="77777777" w:rsidR="00D21C1F" w:rsidRDefault="00A42880">
                    <w:pPr>
                      <w:jc w:val="center"/>
                    </w:pPr>
                    <w:r>
                      <w:rPr>
                        <w:rFonts w:hint="eastAsia"/>
                      </w:rPr>
                      <w:t>合计</w:t>
                    </w:r>
                  </w:p>
                </w:tc>
              </w:sdtContent>
            </w:sdt>
            <w:tc>
              <w:tcPr>
                <w:tcW w:w="2644" w:type="pct"/>
                <w:tcBorders>
                  <w:top w:val="single" w:sz="6" w:space="0" w:color="auto"/>
                  <w:left w:val="single" w:sz="6" w:space="0" w:color="auto"/>
                  <w:bottom w:val="single" w:sz="4" w:space="0" w:color="auto"/>
                  <w:right w:val="single" w:sz="4" w:space="0" w:color="auto"/>
                </w:tcBorders>
                <w:shd w:val="clear" w:color="auto" w:fill="auto"/>
              </w:tcPr>
              <w:p w14:paraId="77DACCA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szCs w:val="21"/>
                  </w:rPr>
                  <w:t>500,000.00</w:t>
                </w:r>
              </w:p>
            </w:tc>
          </w:tr>
        </w:tbl>
        <w:p w14:paraId="493606DA" w14:textId="77777777" w:rsidR="00D21C1F" w:rsidRDefault="00A42880">
          <w:pPr>
            <w:spacing w:line="360" w:lineRule="auto"/>
            <w:ind w:firstLineChars="200" w:firstLine="420"/>
            <w:jc w:val="both"/>
          </w:pPr>
          <w:r>
            <w:rPr>
              <w:rFonts w:hint="eastAsia"/>
            </w:rPr>
            <w:lastRenderedPageBreak/>
            <w:t>该票据为本公司子公司江西希美埃通过背书转让获得，到期后承兑银行以出票人印鉴不符为由拒绝兑付。江西希美埃已经与票据前手客户协商，退回该票据，通过银行转账形式支付。</w:t>
          </w:r>
        </w:p>
        <w:p w14:paraId="38B1BC40" w14:textId="77777777" w:rsidR="00D21C1F" w:rsidRDefault="00045EC6">
          <w:pPr>
            <w:pStyle w:val="97"/>
          </w:pPr>
        </w:p>
      </w:sdtContent>
    </w:sdt>
    <w:p w14:paraId="158FC20A" w14:textId="77777777" w:rsidR="00D21C1F" w:rsidRDefault="00A42880">
      <w:pPr>
        <w:pStyle w:val="93"/>
        <w:numPr>
          <w:ilvl w:val="3"/>
          <w:numId w:val="96"/>
        </w:numPr>
        <w:jc w:val="left"/>
        <w:rPr>
          <w:rFonts w:ascii="宋体" w:hAnsi="宋体"/>
        </w:rPr>
      </w:pPr>
      <w:bookmarkStart w:id="168" w:name="_Hlk10466572"/>
      <w:r>
        <w:rPr>
          <w:rFonts w:ascii="宋体" w:hAnsi="宋体" w:hint="eastAsia"/>
        </w:rPr>
        <w:t>按坏账计提方法分类披露</w:t>
      </w:r>
    </w:p>
    <w:sdt>
      <w:sdtPr>
        <w:alias w:val="是否适用：应收票据按坏账计提方法分类披露[双击切换]"/>
        <w:tag w:val="_GBC_064ae6cf552d47d6abf4ad2b5c55d254"/>
        <w:id w:val="-1117291696"/>
        <w:lock w:val="sdtContentLocked"/>
        <w:placeholder>
          <w:docPart w:val="GBC22222222222222222222222222222"/>
        </w:placeholder>
      </w:sdtPr>
      <w:sdtEndPr/>
      <w:sdtContent>
        <w:p w14:paraId="4713A47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kern w:val="0"/>
          <w:szCs w:val="21"/>
        </w:rPr>
        <w:alias w:val="模块:按坏账计提方法分类披露"/>
        <w:tag w:val="_SEC_2dc3b0ce015a4b54a67e0a855abb57d7"/>
        <w:id w:val="-690677628"/>
        <w:lock w:val="sdtLocked"/>
        <w:placeholder>
          <w:docPart w:val="GBC22222222222222222222222222222"/>
        </w:placeholder>
      </w:sdtPr>
      <w:sdtEndPr>
        <w:rPr>
          <w:szCs w:val="24"/>
        </w:rPr>
      </w:sdtEndPr>
      <w:sdtContent>
        <w:p w14:paraId="579A4BB7" w14:textId="77777777" w:rsidR="00D21C1F" w:rsidRDefault="00A42880">
          <w:pPr>
            <w:pStyle w:val="67"/>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按坏账计提方法分类披露"/>
              <w:tag w:val="_GBC_1ddd4d416c8341618d49da8050568b3a"/>
              <w:id w:val="-1240102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应收票据按坏账计提方法分类披露"/>
              <w:tag w:val="_GBC_ee21347c53de4655b7421f9707c0f27c"/>
              <w:id w:val="-124698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1129"/>
            <w:gridCol w:w="1008"/>
            <w:gridCol w:w="519"/>
            <w:gridCol w:w="741"/>
            <w:gridCol w:w="644"/>
            <w:gridCol w:w="988"/>
            <w:gridCol w:w="1043"/>
            <w:gridCol w:w="512"/>
            <w:gridCol w:w="815"/>
            <w:gridCol w:w="378"/>
            <w:gridCol w:w="1046"/>
          </w:tblGrid>
          <w:tr w:rsidR="00D21C1F" w14:paraId="5CCBB9AF" w14:textId="77777777">
            <w:trPr>
              <w:cantSplit/>
              <w:trHeight w:val="259"/>
            </w:trPr>
            <w:sdt>
              <w:sdtPr>
                <w:tag w:val="_PLD_b41ab991b5cb44b284803f0e13680cca"/>
                <w:id w:val="1775428949"/>
                <w:lock w:val="sdtLocked"/>
              </w:sdtPr>
              <w:sdtEndPr/>
              <w:sdtContent>
                <w:tc>
                  <w:tcPr>
                    <w:tcW w:w="640" w:type="pct"/>
                    <w:vMerge w:val="restart"/>
                    <w:tcBorders>
                      <w:top w:val="single" w:sz="4" w:space="0" w:color="auto"/>
                      <w:left w:val="single" w:sz="4" w:space="0" w:color="auto"/>
                      <w:right w:val="single" w:sz="4" w:space="0" w:color="auto"/>
                    </w:tcBorders>
                    <w:vAlign w:val="center"/>
                  </w:tcPr>
                  <w:p w14:paraId="5557926E" w14:textId="77777777" w:rsidR="00D21C1F" w:rsidRDefault="00A42880">
                    <w:pPr>
                      <w:jc w:val="center"/>
                      <w:rPr>
                        <w:szCs w:val="21"/>
                      </w:rPr>
                    </w:pPr>
                    <w:r>
                      <w:rPr>
                        <w:rFonts w:hint="eastAsia"/>
                        <w:szCs w:val="21"/>
                      </w:rPr>
                      <w:t>类别</w:t>
                    </w:r>
                  </w:p>
                </w:tc>
              </w:sdtContent>
            </w:sdt>
            <w:sdt>
              <w:sdtPr>
                <w:tag w:val="_PLD_4250aa21af14465089e9a64950228223"/>
                <w:id w:val="1357155356"/>
                <w:lock w:val="sdtLocked"/>
              </w:sdtPr>
              <w:sdtEndPr/>
              <w:sdtContent>
                <w:tc>
                  <w:tcPr>
                    <w:tcW w:w="2210" w:type="pct"/>
                    <w:gridSpan w:val="5"/>
                    <w:tcBorders>
                      <w:top w:val="single" w:sz="4" w:space="0" w:color="auto"/>
                      <w:left w:val="single" w:sz="4" w:space="0" w:color="auto"/>
                      <w:right w:val="single" w:sz="4" w:space="0" w:color="auto"/>
                    </w:tcBorders>
                    <w:vAlign w:val="center"/>
                  </w:tcPr>
                  <w:p w14:paraId="1B9975D5"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fdd4dc84ac74beda0c7ce9ee8ac707c"/>
                <w:id w:val="2101673293"/>
                <w:lock w:val="sdtLocked"/>
              </w:sdtPr>
              <w:sdtEndPr/>
              <w:sdtContent>
                <w:tc>
                  <w:tcPr>
                    <w:tcW w:w="2150" w:type="pct"/>
                    <w:gridSpan w:val="5"/>
                    <w:tcBorders>
                      <w:top w:val="single" w:sz="4" w:space="0" w:color="auto"/>
                      <w:left w:val="single" w:sz="4" w:space="0" w:color="auto"/>
                      <w:right w:val="single" w:sz="4" w:space="0" w:color="auto"/>
                    </w:tcBorders>
                    <w:vAlign w:val="center"/>
                  </w:tcPr>
                  <w:p w14:paraId="694A271F"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tr w:rsidR="00D21C1F" w14:paraId="3B0CBD84" w14:textId="77777777">
            <w:trPr>
              <w:cantSplit/>
              <w:trHeight w:val="227"/>
            </w:trPr>
            <w:tc>
              <w:tcPr>
                <w:tcW w:w="640" w:type="pct"/>
                <w:vMerge/>
                <w:tcBorders>
                  <w:left w:val="single" w:sz="4" w:space="0" w:color="auto"/>
                  <w:right w:val="single" w:sz="4" w:space="0" w:color="auto"/>
                </w:tcBorders>
                <w:vAlign w:val="center"/>
              </w:tcPr>
              <w:p w14:paraId="0E9F5E39" w14:textId="77777777" w:rsidR="00D21C1F" w:rsidRDefault="00D21C1F">
                <w:pPr>
                  <w:rPr>
                    <w:szCs w:val="21"/>
                  </w:rPr>
                </w:pPr>
              </w:p>
            </w:tc>
            <w:sdt>
              <w:sdtPr>
                <w:tag w:val="_PLD_4d31e977a3b64420aab06ccefa58a768"/>
                <w:id w:val="-713734062"/>
                <w:lock w:val="sdtLocked"/>
              </w:sdtPr>
              <w:sdtEndPr/>
              <w:sdtContent>
                <w:tc>
                  <w:tcPr>
                    <w:tcW w:w="865" w:type="pct"/>
                    <w:gridSpan w:val="2"/>
                    <w:tcBorders>
                      <w:top w:val="single" w:sz="4" w:space="0" w:color="auto"/>
                      <w:left w:val="single" w:sz="4" w:space="0" w:color="auto"/>
                      <w:bottom w:val="single" w:sz="4" w:space="0" w:color="auto"/>
                      <w:right w:val="single" w:sz="4" w:space="0" w:color="auto"/>
                    </w:tcBorders>
                    <w:vAlign w:val="center"/>
                  </w:tcPr>
                  <w:p w14:paraId="12EE568D" w14:textId="77777777" w:rsidR="00D21C1F" w:rsidRDefault="00A42880">
                    <w:pPr>
                      <w:jc w:val="center"/>
                      <w:rPr>
                        <w:szCs w:val="21"/>
                      </w:rPr>
                    </w:pPr>
                    <w:r>
                      <w:rPr>
                        <w:rFonts w:hint="eastAsia"/>
                        <w:szCs w:val="21"/>
                      </w:rPr>
                      <w:t>账面余额</w:t>
                    </w:r>
                  </w:p>
                </w:tc>
              </w:sdtContent>
            </w:sdt>
            <w:sdt>
              <w:sdtPr>
                <w:tag w:val="_PLD_ce16034971f3433baf795de55c0fcc02"/>
                <w:id w:val="-1230380675"/>
                <w:lock w:val="sdtLocked"/>
              </w:sdtPr>
              <w:sdtEndPr/>
              <w:sdtContent>
                <w:tc>
                  <w:tcPr>
                    <w:tcW w:w="785" w:type="pct"/>
                    <w:gridSpan w:val="2"/>
                    <w:tcBorders>
                      <w:top w:val="single" w:sz="4" w:space="0" w:color="auto"/>
                      <w:left w:val="single" w:sz="4" w:space="0" w:color="auto"/>
                      <w:bottom w:val="single" w:sz="4" w:space="0" w:color="auto"/>
                      <w:right w:val="single" w:sz="4" w:space="0" w:color="auto"/>
                    </w:tcBorders>
                    <w:vAlign w:val="center"/>
                  </w:tcPr>
                  <w:p w14:paraId="5C7B0848" w14:textId="77777777" w:rsidR="00D21C1F" w:rsidRDefault="00A42880">
                    <w:pPr>
                      <w:jc w:val="center"/>
                      <w:rPr>
                        <w:szCs w:val="21"/>
                      </w:rPr>
                    </w:pPr>
                    <w:r>
                      <w:rPr>
                        <w:rFonts w:hint="eastAsia"/>
                        <w:szCs w:val="21"/>
                      </w:rPr>
                      <w:t>坏账准备</w:t>
                    </w:r>
                  </w:p>
                </w:tc>
              </w:sdtContent>
            </w:sdt>
            <w:sdt>
              <w:sdtPr>
                <w:tag w:val="_PLD_13676246dce14cd09ca054f6ed8baa70"/>
                <w:id w:val="-158462009"/>
                <w:lock w:val="sdtLocked"/>
              </w:sdtPr>
              <w:sdtEndPr/>
              <w:sdtContent>
                <w:tc>
                  <w:tcPr>
                    <w:tcW w:w="560" w:type="pct"/>
                    <w:vMerge w:val="restart"/>
                    <w:tcBorders>
                      <w:top w:val="single" w:sz="4" w:space="0" w:color="auto"/>
                      <w:left w:val="single" w:sz="4" w:space="0" w:color="auto"/>
                      <w:right w:val="single" w:sz="4" w:space="0" w:color="auto"/>
                    </w:tcBorders>
                    <w:vAlign w:val="center"/>
                  </w:tcPr>
                  <w:p w14:paraId="76F9A0AC" w14:textId="77777777" w:rsidR="00D21C1F" w:rsidRDefault="00A42880">
                    <w:pPr>
                      <w:jc w:val="center"/>
                      <w:rPr>
                        <w:szCs w:val="21"/>
                      </w:rPr>
                    </w:pPr>
                    <w:r>
                      <w:rPr>
                        <w:rFonts w:hint="eastAsia"/>
                        <w:szCs w:val="21"/>
                      </w:rPr>
                      <w:t>账面</w:t>
                    </w:r>
                  </w:p>
                  <w:p w14:paraId="6195E39D" w14:textId="77777777" w:rsidR="00D21C1F" w:rsidRDefault="00A42880">
                    <w:pPr>
                      <w:jc w:val="center"/>
                      <w:rPr>
                        <w:szCs w:val="21"/>
                      </w:rPr>
                    </w:pPr>
                    <w:r>
                      <w:rPr>
                        <w:rFonts w:hint="eastAsia"/>
                        <w:szCs w:val="21"/>
                      </w:rPr>
                      <w:t>价值</w:t>
                    </w:r>
                  </w:p>
                </w:tc>
              </w:sdtContent>
            </w:sdt>
            <w:sdt>
              <w:sdtPr>
                <w:tag w:val="_PLD_3f5cbfe2ccd14f7a9fa6413579511d78"/>
                <w:id w:val="2134905620"/>
                <w:lock w:val="sdtLocked"/>
              </w:sdtPr>
              <w:sdtEndPr/>
              <w:sdtContent>
                <w:tc>
                  <w:tcPr>
                    <w:tcW w:w="881" w:type="pct"/>
                    <w:gridSpan w:val="2"/>
                    <w:tcBorders>
                      <w:top w:val="single" w:sz="4" w:space="0" w:color="auto"/>
                      <w:left w:val="single" w:sz="4" w:space="0" w:color="auto"/>
                      <w:right w:val="single" w:sz="4" w:space="0" w:color="auto"/>
                    </w:tcBorders>
                    <w:vAlign w:val="center"/>
                  </w:tcPr>
                  <w:p w14:paraId="4E49E510" w14:textId="77777777" w:rsidR="00D21C1F" w:rsidRDefault="00A42880">
                    <w:pPr>
                      <w:jc w:val="center"/>
                      <w:rPr>
                        <w:szCs w:val="21"/>
                      </w:rPr>
                    </w:pPr>
                    <w:r>
                      <w:rPr>
                        <w:rFonts w:hint="eastAsia"/>
                        <w:szCs w:val="21"/>
                      </w:rPr>
                      <w:t>账面余额</w:t>
                    </w:r>
                  </w:p>
                </w:tc>
              </w:sdtContent>
            </w:sdt>
            <w:sdt>
              <w:sdtPr>
                <w:tag w:val="_PLD_063250a22f93425b948b3ffb834d8c5a"/>
                <w:id w:val="544178146"/>
                <w:lock w:val="sdtLocked"/>
              </w:sdtPr>
              <w:sdtEndPr/>
              <w:sdtContent>
                <w:tc>
                  <w:tcPr>
                    <w:tcW w:w="676" w:type="pct"/>
                    <w:gridSpan w:val="2"/>
                    <w:tcBorders>
                      <w:top w:val="single" w:sz="4" w:space="0" w:color="auto"/>
                      <w:left w:val="single" w:sz="4" w:space="0" w:color="auto"/>
                      <w:right w:val="single" w:sz="4" w:space="0" w:color="auto"/>
                    </w:tcBorders>
                    <w:vAlign w:val="center"/>
                  </w:tcPr>
                  <w:p w14:paraId="03E5674A" w14:textId="77777777" w:rsidR="00D21C1F" w:rsidRDefault="00A42880">
                    <w:pPr>
                      <w:jc w:val="center"/>
                      <w:rPr>
                        <w:szCs w:val="21"/>
                      </w:rPr>
                    </w:pPr>
                    <w:r>
                      <w:rPr>
                        <w:rFonts w:hint="eastAsia"/>
                        <w:szCs w:val="21"/>
                      </w:rPr>
                      <w:t>坏账准备</w:t>
                    </w:r>
                  </w:p>
                </w:tc>
              </w:sdtContent>
            </w:sdt>
            <w:sdt>
              <w:sdtPr>
                <w:tag w:val="_PLD_9932dde99a63463ab11a246a2b6129c8"/>
                <w:id w:val="1331022591"/>
                <w:lock w:val="sdtLocked"/>
              </w:sdtPr>
              <w:sdtEndPr/>
              <w:sdtContent>
                <w:tc>
                  <w:tcPr>
                    <w:tcW w:w="593" w:type="pct"/>
                    <w:vMerge w:val="restart"/>
                    <w:tcBorders>
                      <w:top w:val="single" w:sz="4" w:space="0" w:color="auto"/>
                      <w:left w:val="single" w:sz="4" w:space="0" w:color="auto"/>
                      <w:right w:val="single" w:sz="4" w:space="0" w:color="auto"/>
                    </w:tcBorders>
                    <w:vAlign w:val="center"/>
                  </w:tcPr>
                  <w:p w14:paraId="12B83882" w14:textId="77777777" w:rsidR="00D21C1F" w:rsidRDefault="00A42880">
                    <w:pPr>
                      <w:jc w:val="center"/>
                      <w:rPr>
                        <w:szCs w:val="21"/>
                      </w:rPr>
                    </w:pPr>
                    <w:r>
                      <w:rPr>
                        <w:rFonts w:hint="eastAsia"/>
                        <w:szCs w:val="21"/>
                      </w:rPr>
                      <w:t>账面</w:t>
                    </w:r>
                  </w:p>
                  <w:p w14:paraId="405C96AA" w14:textId="77777777" w:rsidR="00D21C1F" w:rsidRDefault="00A42880">
                    <w:pPr>
                      <w:jc w:val="center"/>
                      <w:rPr>
                        <w:szCs w:val="21"/>
                      </w:rPr>
                    </w:pPr>
                    <w:r>
                      <w:rPr>
                        <w:rFonts w:hint="eastAsia"/>
                        <w:szCs w:val="21"/>
                      </w:rPr>
                      <w:t>价值</w:t>
                    </w:r>
                  </w:p>
                </w:tc>
              </w:sdtContent>
            </w:sdt>
          </w:tr>
          <w:tr w:rsidR="00D21C1F" w14:paraId="7FED089D" w14:textId="77777777">
            <w:trPr>
              <w:cantSplit/>
              <w:trHeight w:val="375"/>
            </w:trPr>
            <w:tc>
              <w:tcPr>
                <w:tcW w:w="640" w:type="pct"/>
                <w:vMerge/>
                <w:tcBorders>
                  <w:left w:val="single" w:sz="4" w:space="0" w:color="auto"/>
                  <w:bottom w:val="single" w:sz="4" w:space="0" w:color="auto"/>
                  <w:right w:val="single" w:sz="4" w:space="0" w:color="auto"/>
                </w:tcBorders>
                <w:vAlign w:val="center"/>
              </w:tcPr>
              <w:p w14:paraId="72CF4EE9" w14:textId="77777777" w:rsidR="00D21C1F" w:rsidRDefault="00D21C1F">
                <w:pPr>
                  <w:rPr>
                    <w:szCs w:val="21"/>
                  </w:rPr>
                </w:pPr>
              </w:p>
            </w:tc>
            <w:sdt>
              <w:sdtPr>
                <w:tag w:val="_PLD_c0290ae623e744d38ca9b437c3a7f380"/>
                <w:id w:val="-126786020"/>
                <w:lock w:val="sdtLocked"/>
              </w:sdtPr>
              <w:sdtEndPr/>
              <w:sdtContent>
                <w:tc>
                  <w:tcPr>
                    <w:tcW w:w="571" w:type="pct"/>
                    <w:tcBorders>
                      <w:left w:val="single" w:sz="4" w:space="0" w:color="auto"/>
                      <w:bottom w:val="single" w:sz="4" w:space="0" w:color="auto"/>
                      <w:right w:val="single" w:sz="4" w:space="0" w:color="auto"/>
                    </w:tcBorders>
                    <w:vAlign w:val="center"/>
                  </w:tcPr>
                  <w:p w14:paraId="1613384F" w14:textId="77777777" w:rsidR="00D21C1F" w:rsidRDefault="00A42880">
                    <w:pPr>
                      <w:jc w:val="center"/>
                      <w:rPr>
                        <w:szCs w:val="21"/>
                      </w:rPr>
                    </w:pPr>
                    <w:r>
                      <w:rPr>
                        <w:rFonts w:hint="eastAsia"/>
                        <w:szCs w:val="21"/>
                      </w:rPr>
                      <w:t>金额</w:t>
                    </w:r>
                  </w:p>
                </w:tc>
              </w:sdtContent>
            </w:sdt>
            <w:sdt>
              <w:sdtPr>
                <w:tag w:val="_PLD_193b3b07b4e0498485bc12534ae975ec"/>
                <w:id w:val="-1566098947"/>
                <w:lock w:val="sdtLocked"/>
              </w:sdtPr>
              <w:sdtEndPr/>
              <w:sdtContent>
                <w:tc>
                  <w:tcPr>
                    <w:tcW w:w="294" w:type="pct"/>
                    <w:tcBorders>
                      <w:left w:val="single" w:sz="4" w:space="0" w:color="auto"/>
                      <w:bottom w:val="single" w:sz="4" w:space="0" w:color="auto"/>
                      <w:right w:val="single" w:sz="4" w:space="0" w:color="auto"/>
                    </w:tcBorders>
                    <w:vAlign w:val="center"/>
                  </w:tcPr>
                  <w:p w14:paraId="7A63E552" w14:textId="77777777" w:rsidR="00D21C1F" w:rsidRDefault="00A42880">
                    <w:pPr>
                      <w:jc w:val="center"/>
                      <w:rPr>
                        <w:szCs w:val="21"/>
                      </w:rPr>
                    </w:pPr>
                    <w:r>
                      <w:rPr>
                        <w:rFonts w:hint="eastAsia"/>
                        <w:szCs w:val="21"/>
                      </w:rPr>
                      <w:t>比例</w:t>
                    </w:r>
                    <w:r>
                      <w:rPr>
                        <w:szCs w:val="21"/>
                      </w:rPr>
                      <w:t>(%)</w:t>
                    </w:r>
                  </w:p>
                </w:tc>
              </w:sdtContent>
            </w:sdt>
            <w:sdt>
              <w:sdtPr>
                <w:tag w:val="_PLD_1f47ced2bea143d39f38cb11c0113cf4"/>
                <w:id w:val="-329750243"/>
                <w:lock w:val="sdtLocked"/>
              </w:sdtPr>
              <w:sdtEndPr/>
              <w:sdtContent>
                <w:tc>
                  <w:tcPr>
                    <w:tcW w:w="420" w:type="pct"/>
                    <w:tcBorders>
                      <w:left w:val="single" w:sz="4" w:space="0" w:color="auto"/>
                      <w:bottom w:val="single" w:sz="4" w:space="0" w:color="auto"/>
                      <w:right w:val="single" w:sz="4" w:space="0" w:color="auto"/>
                    </w:tcBorders>
                    <w:vAlign w:val="center"/>
                  </w:tcPr>
                  <w:p w14:paraId="65616496" w14:textId="77777777" w:rsidR="00D21C1F" w:rsidRDefault="00A42880">
                    <w:pPr>
                      <w:jc w:val="center"/>
                      <w:rPr>
                        <w:szCs w:val="21"/>
                      </w:rPr>
                    </w:pPr>
                    <w:r>
                      <w:rPr>
                        <w:rFonts w:hint="eastAsia"/>
                        <w:szCs w:val="21"/>
                      </w:rPr>
                      <w:t>金额</w:t>
                    </w:r>
                  </w:p>
                </w:tc>
              </w:sdtContent>
            </w:sdt>
            <w:sdt>
              <w:sdtPr>
                <w:tag w:val="_PLD_a23086fe0481444ab724c5dec4a5f19d"/>
                <w:id w:val="-535047244"/>
                <w:lock w:val="sdtLocked"/>
              </w:sdtPr>
              <w:sdtEndPr/>
              <w:sdtContent>
                <w:tc>
                  <w:tcPr>
                    <w:tcW w:w="365" w:type="pct"/>
                    <w:tcBorders>
                      <w:left w:val="single" w:sz="4" w:space="0" w:color="auto"/>
                      <w:bottom w:val="single" w:sz="4" w:space="0" w:color="auto"/>
                      <w:right w:val="single" w:sz="4" w:space="0" w:color="auto"/>
                    </w:tcBorders>
                    <w:vAlign w:val="center"/>
                  </w:tcPr>
                  <w:p w14:paraId="645CBA9D" w14:textId="77777777" w:rsidR="00D21C1F" w:rsidRDefault="00A42880">
                    <w:pPr>
                      <w:jc w:val="center"/>
                      <w:rPr>
                        <w:szCs w:val="21"/>
                      </w:rPr>
                    </w:pPr>
                    <w:r>
                      <w:rPr>
                        <w:rFonts w:hint="eastAsia"/>
                        <w:szCs w:val="21"/>
                      </w:rPr>
                      <w:t>计提比例</w:t>
                    </w:r>
                    <w:r>
                      <w:rPr>
                        <w:szCs w:val="21"/>
                      </w:rPr>
                      <w:t>(%)</w:t>
                    </w:r>
                  </w:p>
                </w:tc>
              </w:sdtContent>
            </w:sdt>
            <w:tc>
              <w:tcPr>
                <w:tcW w:w="560" w:type="pct"/>
                <w:vMerge/>
                <w:tcBorders>
                  <w:left w:val="single" w:sz="4" w:space="0" w:color="auto"/>
                  <w:bottom w:val="single" w:sz="4" w:space="0" w:color="auto"/>
                  <w:right w:val="single" w:sz="4" w:space="0" w:color="auto"/>
                </w:tcBorders>
                <w:vAlign w:val="center"/>
              </w:tcPr>
              <w:p w14:paraId="546FF6FF" w14:textId="77777777" w:rsidR="00D21C1F" w:rsidRDefault="00D21C1F">
                <w:pPr>
                  <w:jc w:val="center"/>
                  <w:rPr>
                    <w:szCs w:val="21"/>
                  </w:rPr>
                </w:pPr>
              </w:p>
            </w:tc>
            <w:sdt>
              <w:sdtPr>
                <w:tag w:val="_PLD_0ebe7a6ebddd49acb12d2e49fbaeb5ef"/>
                <w:id w:val="111173660"/>
                <w:lock w:val="sdtLocked"/>
              </w:sdtPr>
              <w:sdtEndPr/>
              <w:sdtContent>
                <w:tc>
                  <w:tcPr>
                    <w:tcW w:w="591" w:type="pct"/>
                    <w:tcBorders>
                      <w:left w:val="single" w:sz="4" w:space="0" w:color="auto"/>
                      <w:bottom w:val="single" w:sz="4" w:space="0" w:color="auto"/>
                      <w:right w:val="single" w:sz="4" w:space="0" w:color="auto"/>
                    </w:tcBorders>
                    <w:vAlign w:val="center"/>
                  </w:tcPr>
                  <w:p w14:paraId="666365EF" w14:textId="77777777" w:rsidR="00D21C1F" w:rsidRDefault="00A42880">
                    <w:pPr>
                      <w:jc w:val="center"/>
                      <w:rPr>
                        <w:szCs w:val="21"/>
                      </w:rPr>
                    </w:pPr>
                    <w:r>
                      <w:rPr>
                        <w:rFonts w:hint="eastAsia"/>
                        <w:szCs w:val="21"/>
                      </w:rPr>
                      <w:t>金额</w:t>
                    </w:r>
                  </w:p>
                </w:tc>
              </w:sdtContent>
            </w:sdt>
            <w:sdt>
              <w:sdtPr>
                <w:tag w:val="_PLD_f3083b688a88491aaa0236072ce160b8"/>
                <w:id w:val="1487200443"/>
                <w:lock w:val="sdtLocked"/>
              </w:sdtPr>
              <w:sdtEndPr/>
              <w:sdtContent>
                <w:tc>
                  <w:tcPr>
                    <w:tcW w:w="290" w:type="pct"/>
                    <w:tcBorders>
                      <w:left w:val="single" w:sz="4" w:space="0" w:color="auto"/>
                      <w:bottom w:val="single" w:sz="4" w:space="0" w:color="auto"/>
                      <w:right w:val="single" w:sz="4" w:space="0" w:color="auto"/>
                    </w:tcBorders>
                    <w:vAlign w:val="center"/>
                  </w:tcPr>
                  <w:p w14:paraId="0E4A5EBD" w14:textId="77777777" w:rsidR="00D21C1F" w:rsidRDefault="00A42880">
                    <w:pPr>
                      <w:jc w:val="center"/>
                      <w:rPr>
                        <w:szCs w:val="21"/>
                      </w:rPr>
                    </w:pPr>
                    <w:r>
                      <w:rPr>
                        <w:rFonts w:hint="eastAsia"/>
                        <w:szCs w:val="21"/>
                      </w:rPr>
                      <w:t>比例</w:t>
                    </w:r>
                    <w:r>
                      <w:rPr>
                        <w:szCs w:val="21"/>
                      </w:rPr>
                      <w:t>(%)</w:t>
                    </w:r>
                  </w:p>
                </w:tc>
              </w:sdtContent>
            </w:sdt>
            <w:sdt>
              <w:sdtPr>
                <w:tag w:val="_PLD_1cdb2a199b6d43678bae639c01b9d9cb"/>
                <w:id w:val="-655217302"/>
                <w:lock w:val="sdtLocked"/>
              </w:sdtPr>
              <w:sdtEndPr/>
              <w:sdtContent>
                <w:tc>
                  <w:tcPr>
                    <w:tcW w:w="462" w:type="pct"/>
                    <w:tcBorders>
                      <w:left w:val="single" w:sz="4" w:space="0" w:color="auto"/>
                      <w:bottom w:val="single" w:sz="4" w:space="0" w:color="auto"/>
                      <w:right w:val="single" w:sz="4" w:space="0" w:color="auto"/>
                    </w:tcBorders>
                    <w:vAlign w:val="center"/>
                  </w:tcPr>
                  <w:p w14:paraId="56213520" w14:textId="77777777" w:rsidR="00D21C1F" w:rsidRDefault="00A42880">
                    <w:pPr>
                      <w:jc w:val="center"/>
                      <w:rPr>
                        <w:szCs w:val="21"/>
                      </w:rPr>
                    </w:pPr>
                    <w:r>
                      <w:rPr>
                        <w:rFonts w:hint="eastAsia"/>
                        <w:szCs w:val="21"/>
                      </w:rPr>
                      <w:t>金额</w:t>
                    </w:r>
                  </w:p>
                </w:tc>
              </w:sdtContent>
            </w:sdt>
            <w:sdt>
              <w:sdtPr>
                <w:tag w:val="_PLD_ad76cc2b302a460a8cbeb5e98be19160"/>
                <w:id w:val="2137443624"/>
                <w:lock w:val="sdtLocked"/>
              </w:sdtPr>
              <w:sdtEndPr/>
              <w:sdtContent>
                <w:tc>
                  <w:tcPr>
                    <w:tcW w:w="214" w:type="pct"/>
                    <w:tcBorders>
                      <w:left w:val="single" w:sz="4" w:space="0" w:color="auto"/>
                      <w:bottom w:val="single" w:sz="4" w:space="0" w:color="auto"/>
                      <w:right w:val="single" w:sz="4" w:space="0" w:color="auto"/>
                    </w:tcBorders>
                    <w:vAlign w:val="center"/>
                  </w:tcPr>
                  <w:p w14:paraId="52FFFCDE" w14:textId="77777777" w:rsidR="00D21C1F" w:rsidRDefault="00A42880">
                    <w:pPr>
                      <w:jc w:val="center"/>
                      <w:rPr>
                        <w:szCs w:val="21"/>
                      </w:rPr>
                    </w:pPr>
                    <w:r>
                      <w:rPr>
                        <w:rFonts w:hint="eastAsia"/>
                        <w:szCs w:val="21"/>
                      </w:rPr>
                      <w:t>计提比例</w:t>
                    </w:r>
                    <w:r>
                      <w:rPr>
                        <w:szCs w:val="21"/>
                      </w:rPr>
                      <w:t>(%)</w:t>
                    </w:r>
                  </w:p>
                </w:tc>
              </w:sdtContent>
            </w:sdt>
            <w:tc>
              <w:tcPr>
                <w:tcW w:w="593" w:type="pct"/>
                <w:vMerge/>
                <w:tcBorders>
                  <w:left w:val="single" w:sz="4" w:space="0" w:color="auto"/>
                  <w:bottom w:val="single" w:sz="4" w:space="0" w:color="auto"/>
                  <w:right w:val="single" w:sz="4" w:space="0" w:color="auto"/>
                </w:tcBorders>
              </w:tcPr>
              <w:p w14:paraId="4194AE3C" w14:textId="77777777" w:rsidR="00D21C1F" w:rsidRDefault="00D21C1F">
                <w:pPr>
                  <w:jc w:val="center"/>
                  <w:rPr>
                    <w:szCs w:val="21"/>
                  </w:rPr>
                </w:pPr>
              </w:p>
            </w:tc>
          </w:tr>
          <w:tr w:rsidR="00D21C1F" w14:paraId="4402B4FD" w14:textId="77777777">
            <w:trPr>
              <w:cantSplit/>
            </w:trPr>
            <w:sdt>
              <w:sdtPr>
                <w:tag w:val="_PLD_3d5d84fd270044c49211439088db3d30"/>
                <w:id w:val="-398829385"/>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4370608D" w14:textId="77777777" w:rsidR="00D21C1F" w:rsidRDefault="00A42880">
                    <w:pPr>
                      <w:jc w:val="both"/>
                      <w:rPr>
                        <w:szCs w:val="21"/>
                      </w:rPr>
                    </w:pPr>
                    <w:r>
                      <w:rPr>
                        <w:rFonts w:hint="eastAsia"/>
                        <w:szCs w:val="21"/>
                      </w:rPr>
                      <w:t>按单项计提坏账准备</w:t>
                    </w:r>
                  </w:p>
                </w:tc>
              </w:sdtContent>
            </w:sdt>
            <w:tc>
              <w:tcPr>
                <w:tcW w:w="571" w:type="pct"/>
                <w:tcBorders>
                  <w:top w:val="single" w:sz="4" w:space="0" w:color="auto"/>
                  <w:left w:val="single" w:sz="4" w:space="0" w:color="auto"/>
                  <w:bottom w:val="single" w:sz="4" w:space="0" w:color="auto"/>
                  <w:right w:val="single" w:sz="4" w:space="0" w:color="auto"/>
                </w:tcBorders>
                <w:vAlign w:val="bottom"/>
              </w:tcPr>
              <w:p w14:paraId="4934E241"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294" w:type="pct"/>
                <w:tcBorders>
                  <w:top w:val="single" w:sz="4" w:space="0" w:color="auto"/>
                  <w:left w:val="single" w:sz="4" w:space="0" w:color="auto"/>
                  <w:bottom w:val="single" w:sz="4" w:space="0" w:color="auto"/>
                  <w:right w:val="single" w:sz="4" w:space="0" w:color="auto"/>
                </w:tcBorders>
                <w:vAlign w:val="bottom"/>
              </w:tcPr>
              <w:p w14:paraId="0CD8BA13"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420" w:type="pct"/>
                <w:tcBorders>
                  <w:top w:val="single" w:sz="4" w:space="0" w:color="auto"/>
                  <w:left w:val="single" w:sz="4" w:space="0" w:color="auto"/>
                  <w:bottom w:val="single" w:sz="4" w:space="0" w:color="auto"/>
                  <w:right w:val="single" w:sz="4" w:space="0" w:color="auto"/>
                </w:tcBorders>
                <w:vAlign w:val="bottom"/>
              </w:tcPr>
              <w:p w14:paraId="716711F0"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365" w:type="pct"/>
                <w:tcBorders>
                  <w:top w:val="single" w:sz="4" w:space="0" w:color="auto"/>
                  <w:left w:val="single" w:sz="4" w:space="0" w:color="auto"/>
                  <w:bottom w:val="single" w:sz="4" w:space="0" w:color="auto"/>
                  <w:right w:val="single" w:sz="4" w:space="0" w:color="auto"/>
                </w:tcBorders>
                <w:vAlign w:val="bottom"/>
              </w:tcPr>
              <w:p w14:paraId="1A281661"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560" w:type="pct"/>
                <w:tcBorders>
                  <w:top w:val="single" w:sz="4" w:space="0" w:color="auto"/>
                  <w:left w:val="single" w:sz="4" w:space="0" w:color="auto"/>
                  <w:bottom w:val="single" w:sz="4" w:space="0" w:color="auto"/>
                  <w:right w:val="single" w:sz="4" w:space="0" w:color="auto"/>
                </w:tcBorders>
                <w:vAlign w:val="bottom"/>
              </w:tcPr>
              <w:p w14:paraId="0EEF5A30"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591" w:type="pct"/>
                <w:tcBorders>
                  <w:top w:val="single" w:sz="4" w:space="0" w:color="auto"/>
                  <w:left w:val="single" w:sz="4" w:space="0" w:color="auto"/>
                  <w:bottom w:val="single" w:sz="4" w:space="0" w:color="auto"/>
                  <w:right w:val="single" w:sz="4" w:space="0" w:color="auto"/>
                </w:tcBorders>
                <w:vAlign w:val="bottom"/>
              </w:tcPr>
              <w:p w14:paraId="0F6399D7"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290" w:type="pct"/>
                <w:tcBorders>
                  <w:top w:val="single" w:sz="4" w:space="0" w:color="auto"/>
                  <w:left w:val="single" w:sz="4" w:space="0" w:color="auto"/>
                  <w:bottom w:val="single" w:sz="4" w:space="0" w:color="auto"/>
                  <w:right w:val="single" w:sz="4" w:space="0" w:color="auto"/>
                </w:tcBorders>
                <w:vAlign w:val="bottom"/>
              </w:tcPr>
              <w:p w14:paraId="7B117BA2"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462" w:type="pct"/>
                <w:tcBorders>
                  <w:top w:val="single" w:sz="4" w:space="0" w:color="auto"/>
                  <w:left w:val="single" w:sz="4" w:space="0" w:color="auto"/>
                  <w:bottom w:val="single" w:sz="4" w:space="0" w:color="auto"/>
                  <w:right w:val="single" w:sz="4" w:space="0" w:color="auto"/>
                </w:tcBorders>
                <w:vAlign w:val="bottom"/>
              </w:tcPr>
              <w:p w14:paraId="68C0EE56"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214" w:type="pct"/>
                <w:tcBorders>
                  <w:top w:val="single" w:sz="4" w:space="0" w:color="auto"/>
                  <w:left w:val="single" w:sz="4" w:space="0" w:color="auto"/>
                  <w:bottom w:val="single" w:sz="4" w:space="0" w:color="auto"/>
                  <w:right w:val="single" w:sz="4" w:space="0" w:color="auto"/>
                </w:tcBorders>
                <w:vAlign w:val="bottom"/>
              </w:tcPr>
              <w:p w14:paraId="4C843614"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593" w:type="pct"/>
                <w:tcBorders>
                  <w:top w:val="single" w:sz="4" w:space="0" w:color="auto"/>
                  <w:left w:val="single" w:sz="4" w:space="0" w:color="auto"/>
                  <w:bottom w:val="single" w:sz="4" w:space="0" w:color="auto"/>
                  <w:right w:val="single" w:sz="4" w:space="0" w:color="auto"/>
                </w:tcBorders>
                <w:vAlign w:val="bottom"/>
              </w:tcPr>
              <w:p w14:paraId="071B7922"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r>
          <w:tr w:rsidR="00D21C1F" w14:paraId="17A86BC4" w14:textId="77777777">
            <w:trPr>
              <w:cantSplit/>
            </w:trPr>
            <w:sdt>
              <w:sdtPr>
                <w:tag w:val="_PLD_dfe2f5d58ae444bc99da18392741ac94"/>
                <w:id w:val="-1105032508"/>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36E62B1F" w14:textId="77777777" w:rsidR="00D21C1F" w:rsidRDefault="00A42880">
                    <w:pPr>
                      <w:jc w:val="both"/>
                      <w:rPr>
                        <w:szCs w:val="21"/>
                      </w:rPr>
                    </w:pPr>
                    <w:r>
                      <w:rPr>
                        <w:rFonts w:hint="eastAsia"/>
                        <w:szCs w:val="21"/>
                      </w:rPr>
                      <w:t>按组合计提坏账准备</w:t>
                    </w:r>
                  </w:p>
                </w:tc>
              </w:sdtContent>
            </w:sdt>
            <w:tc>
              <w:tcPr>
                <w:tcW w:w="571" w:type="pct"/>
                <w:tcBorders>
                  <w:top w:val="single" w:sz="4" w:space="0" w:color="auto"/>
                  <w:left w:val="single" w:sz="4" w:space="0" w:color="auto"/>
                  <w:bottom w:val="single" w:sz="4" w:space="0" w:color="auto"/>
                  <w:right w:val="single" w:sz="4" w:space="0" w:color="auto"/>
                </w:tcBorders>
                <w:vAlign w:val="bottom"/>
              </w:tcPr>
              <w:p w14:paraId="37111C9A"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55,079,679.45</w:t>
                </w:r>
              </w:p>
            </w:tc>
            <w:tc>
              <w:tcPr>
                <w:tcW w:w="294" w:type="pct"/>
                <w:tcBorders>
                  <w:top w:val="single" w:sz="4" w:space="0" w:color="auto"/>
                  <w:left w:val="single" w:sz="4" w:space="0" w:color="auto"/>
                  <w:bottom w:val="single" w:sz="4" w:space="0" w:color="auto"/>
                  <w:right w:val="single" w:sz="4" w:space="0" w:color="auto"/>
                </w:tcBorders>
                <w:vAlign w:val="bottom"/>
              </w:tcPr>
              <w:p w14:paraId="26831FB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100.00</w:t>
                </w:r>
              </w:p>
            </w:tc>
            <w:tc>
              <w:tcPr>
                <w:tcW w:w="420" w:type="pct"/>
                <w:tcBorders>
                  <w:top w:val="single" w:sz="4" w:space="0" w:color="auto"/>
                  <w:left w:val="single" w:sz="4" w:space="0" w:color="auto"/>
                  <w:bottom w:val="single" w:sz="4" w:space="0" w:color="auto"/>
                  <w:right w:val="single" w:sz="4" w:space="0" w:color="auto"/>
                </w:tcBorders>
                <w:vAlign w:val="bottom"/>
              </w:tcPr>
              <w:p w14:paraId="0F641B7A"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85,000.00</w:t>
                </w:r>
              </w:p>
            </w:tc>
            <w:tc>
              <w:tcPr>
                <w:tcW w:w="365" w:type="pct"/>
                <w:tcBorders>
                  <w:top w:val="single" w:sz="4" w:space="0" w:color="auto"/>
                  <w:left w:val="single" w:sz="4" w:space="0" w:color="auto"/>
                  <w:bottom w:val="single" w:sz="4" w:space="0" w:color="auto"/>
                  <w:right w:val="single" w:sz="4" w:space="0" w:color="auto"/>
                </w:tcBorders>
                <w:vAlign w:val="bottom"/>
              </w:tcPr>
              <w:p w14:paraId="0E7EDE0E"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0.15</w:t>
                </w:r>
              </w:p>
            </w:tc>
            <w:tc>
              <w:tcPr>
                <w:tcW w:w="560" w:type="pct"/>
                <w:tcBorders>
                  <w:top w:val="single" w:sz="4" w:space="0" w:color="auto"/>
                  <w:left w:val="single" w:sz="4" w:space="0" w:color="auto"/>
                  <w:bottom w:val="single" w:sz="4" w:space="0" w:color="auto"/>
                  <w:right w:val="single" w:sz="4" w:space="0" w:color="auto"/>
                </w:tcBorders>
                <w:vAlign w:val="bottom"/>
              </w:tcPr>
              <w:p w14:paraId="3419848C"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54,994,679.45</w:t>
                </w:r>
              </w:p>
            </w:tc>
            <w:tc>
              <w:tcPr>
                <w:tcW w:w="591" w:type="pct"/>
                <w:tcBorders>
                  <w:top w:val="single" w:sz="4" w:space="0" w:color="auto"/>
                  <w:left w:val="single" w:sz="4" w:space="0" w:color="auto"/>
                  <w:bottom w:val="single" w:sz="4" w:space="0" w:color="auto"/>
                  <w:right w:val="single" w:sz="4" w:space="0" w:color="auto"/>
                </w:tcBorders>
                <w:vAlign w:val="bottom"/>
              </w:tcPr>
              <w:p w14:paraId="51FEB0F2"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48,896,079.87</w:t>
                </w:r>
              </w:p>
            </w:tc>
            <w:tc>
              <w:tcPr>
                <w:tcW w:w="290" w:type="pct"/>
                <w:tcBorders>
                  <w:top w:val="single" w:sz="4" w:space="0" w:color="auto"/>
                  <w:left w:val="single" w:sz="4" w:space="0" w:color="auto"/>
                  <w:bottom w:val="single" w:sz="4" w:space="0" w:color="auto"/>
                  <w:right w:val="single" w:sz="4" w:space="0" w:color="auto"/>
                </w:tcBorders>
                <w:vAlign w:val="bottom"/>
              </w:tcPr>
              <w:p w14:paraId="32D715B2"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100.00</w:t>
                </w:r>
              </w:p>
            </w:tc>
            <w:tc>
              <w:tcPr>
                <w:tcW w:w="462" w:type="pct"/>
                <w:tcBorders>
                  <w:top w:val="single" w:sz="4" w:space="0" w:color="auto"/>
                  <w:left w:val="single" w:sz="4" w:space="0" w:color="auto"/>
                  <w:bottom w:val="single" w:sz="4" w:space="0" w:color="auto"/>
                  <w:right w:val="single" w:sz="4" w:space="0" w:color="auto"/>
                </w:tcBorders>
                <w:vAlign w:val="bottom"/>
              </w:tcPr>
              <w:p w14:paraId="0068291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130,080.00</w:t>
                </w:r>
              </w:p>
            </w:tc>
            <w:tc>
              <w:tcPr>
                <w:tcW w:w="214" w:type="pct"/>
                <w:tcBorders>
                  <w:top w:val="single" w:sz="4" w:space="0" w:color="auto"/>
                  <w:left w:val="single" w:sz="4" w:space="0" w:color="auto"/>
                  <w:bottom w:val="single" w:sz="4" w:space="0" w:color="auto"/>
                  <w:right w:val="single" w:sz="4" w:space="0" w:color="auto"/>
                </w:tcBorders>
                <w:vAlign w:val="bottom"/>
              </w:tcPr>
              <w:p w14:paraId="36FCAED2"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0.27</w:t>
                </w:r>
              </w:p>
            </w:tc>
            <w:tc>
              <w:tcPr>
                <w:tcW w:w="593" w:type="pct"/>
                <w:tcBorders>
                  <w:top w:val="single" w:sz="4" w:space="0" w:color="auto"/>
                  <w:left w:val="single" w:sz="4" w:space="0" w:color="auto"/>
                  <w:bottom w:val="single" w:sz="4" w:space="0" w:color="auto"/>
                  <w:right w:val="single" w:sz="4" w:space="0" w:color="auto"/>
                </w:tcBorders>
                <w:vAlign w:val="bottom"/>
              </w:tcPr>
              <w:p w14:paraId="16CB7DDE"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48,765,999.87</w:t>
                </w:r>
              </w:p>
            </w:tc>
          </w:tr>
          <w:tr w:rsidR="00D21C1F" w14:paraId="7AAC2B78" w14:textId="77777777">
            <w:trPr>
              <w:cantSplit/>
            </w:trPr>
            <w:sdt>
              <w:sdtPr>
                <w:rPr>
                  <w:rFonts w:ascii="Times New Roman" w:hAnsi="Times New Roman" w:cs="Times New Roman"/>
                  <w:sz w:val="16"/>
                  <w:szCs w:val="16"/>
                </w:rPr>
                <w:tag w:val="_PLD_6921e0fe3b3b446d887af92fc2bcab4d"/>
                <w:id w:val="-255137077"/>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333B07EF" w14:textId="77777777" w:rsidR="00D21C1F" w:rsidRPr="00F409B2" w:rsidRDefault="00A42880">
                    <w:pPr>
                      <w:rPr>
                        <w:rFonts w:ascii="Times New Roman" w:hAnsi="Times New Roman" w:cs="Times New Roman"/>
                        <w:sz w:val="16"/>
                        <w:szCs w:val="16"/>
                      </w:rPr>
                    </w:pPr>
                    <w:r w:rsidRPr="00F409B2">
                      <w:rPr>
                        <w:rFonts w:ascii="Times New Roman" w:hAnsi="Times New Roman" w:cs="Times New Roman"/>
                        <w:sz w:val="16"/>
                        <w:szCs w:val="16"/>
                      </w:rPr>
                      <w:t>其中：</w:t>
                    </w:r>
                  </w:p>
                </w:tc>
              </w:sdtContent>
            </w:sdt>
          </w:tr>
          <w:sdt>
            <w:sdtPr>
              <w:rPr>
                <w:sz w:val="22"/>
                <w:szCs w:val="21"/>
              </w:rPr>
              <w:alias w:val="按组合计提坏账准备的应收票据明细"/>
              <w:tag w:val="_TUP_2457c54f966e408fa418bc1eed94e738"/>
              <w:id w:val="417612196"/>
              <w:lock w:val="sdtLocked"/>
            </w:sdtPr>
            <w:sdtEndPr>
              <w:rPr>
                <w:rFonts w:ascii="Times New Roman" w:hAnsi="Times New Roman" w:cs="Times New Roman"/>
                <w:sz w:val="16"/>
                <w:szCs w:val="16"/>
              </w:rPr>
            </w:sdtEndPr>
            <w:sdtContent>
              <w:tr w:rsidR="00D21C1F" w14:paraId="5A93B17D" w14:textId="77777777">
                <w:trPr>
                  <w:cantSplit/>
                </w:trPr>
                <w:sdt>
                  <w:sdtPr>
                    <w:rPr>
                      <w:sz w:val="22"/>
                      <w:szCs w:val="21"/>
                    </w:rPr>
                    <w:alias w:val="按组合计提坏账准备的应收票据明细-类别"/>
                    <w:tag w:val="_GBC_6d9e7457cc694a73a262b35683b9ab0e"/>
                    <w:id w:val="-818654360"/>
                    <w:lock w:val="sdtLocked"/>
                  </w:sdtPr>
                  <w:sdtEndPr>
                    <w:rPr>
                      <w:sz w:val="21"/>
                    </w:rPr>
                  </w:sdtEndPr>
                  <w:sdtContent>
                    <w:tc>
                      <w:tcPr>
                        <w:tcW w:w="640" w:type="pct"/>
                        <w:tcBorders>
                          <w:top w:val="single" w:sz="4" w:space="0" w:color="auto"/>
                          <w:left w:val="single" w:sz="4" w:space="0" w:color="auto"/>
                          <w:bottom w:val="single" w:sz="4" w:space="0" w:color="auto"/>
                          <w:right w:val="single" w:sz="4" w:space="0" w:color="auto"/>
                        </w:tcBorders>
                      </w:tcPr>
                      <w:p w14:paraId="3A0C9E05" w14:textId="77777777" w:rsidR="00D21C1F" w:rsidRDefault="00A42880">
                        <w:pPr>
                          <w:jc w:val="both"/>
                          <w:rPr>
                            <w:szCs w:val="21"/>
                          </w:rPr>
                        </w:pPr>
                        <w:r>
                          <w:rPr>
                            <w:rFonts w:hint="eastAsia"/>
                            <w:szCs w:val="21"/>
                          </w:rPr>
                          <w:t>组合</w:t>
                        </w:r>
                        <w:r>
                          <w:rPr>
                            <w:rFonts w:ascii="Times New Roman" w:hAnsi="Times New Roman"/>
                            <w:szCs w:val="21"/>
                          </w:rPr>
                          <w:t>1</w:t>
                        </w:r>
                      </w:p>
                    </w:tc>
                  </w:sdtContent>
                </w:sdt>
                <w:tc>
                  <w:tcPr>
                    <w:tcW w:w="571" w:type="pct"/>
                    <w:tcBorders>
                      <w:top w:val="single" w:sz="4" w:space="0" w:color="auto"/>
                      <w:left w:val="single" w:sz="4" w:space="0" w:color="auto"/>
                      <w:bottom w:val="single" w:sz="4" w:space="0" w:color="auto"/>
                      <w:right w:val="single" w:sz="4" w:space="0" w:color="auto"/>
                    </w:tcBorders>
                    <w:vAlign w:val="bottom"/>
                  </w:tcPr>
                  <w:p w14:paraId="1116F060"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1,700,000.00</w:t>
                    </w:r>
                  </w:p>
                </w:tc>
                <w:tc>
                  <w:tcPr>
                    <w:tcW w:w="294" w:type="pct"/>
                    <w:tcBorders>
                      <w:top w:val="single" w:sz="4" w:space="0" w:color="auto"/>
                      <w:left w:val="single" w:sz="4" w:space="0" w:color="auto"/>
                      <w:bottom w:val="single" w:sz="4" w:space="0" w:color="auto"/>
                      <w:right w:val="single" w:sz="4" w:space="0" w:color="auto"/>
                    </w:tcBorders>
                    <w:vAlign w:val="bottom"/>
                  </w:tcPr>
                  <w:p w14:paraId="38103C16"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3.09</w:t>
                    </w:r>
                  </w:p>
                </w:tc>
                <w:tc>
                  <w:tcPr>
                    <w:tcW w:w="420" w:type="pct"/>
                    <w:tcBorders>
                      <w:top w:val="single" w:sz="4" w:space="0" w:color="auto"/>
                      <w:left w:val="single" w:sz="4" w:space="0" w:color="auto"/>
                      <w:bottom w:val="single" w:sz="4" w:space="0" w:color="auto"/>
                      <w:right w:val="single" w:sz="4" w:space="0" w:color="auto"/>
                    </w:tcBorders>
                    <w:vAlign w:val="bottom"/>
                  </w:tcPr>
                  <w:p w14:paraId="61DDEE1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85,000.00</w:t>
                    </w:r>
                  </w:p>
                </w:tc>
                <w:tc>
                  <w:tcPr>
                    <w:tcW w:w="365" w:type="pct"/>
                    <w:tcBorders>
                      <w:top w:val="single" w:sz="4" w:space="0" w:color="auto"/>
                      <w:left w:val="single" w:sz="4" w:space="0" w:color="auto"/>
                      <w:bottom w:val="single" w:sz="4" w:space="0" w:color="auto"/>
                      <w:right w:val="single" w:sz="4" w:space="0" w:color="auto"/>
                    </w:tcBorders>
                    <w:vAlign w:val="bottom"/>
                  </w:tcPr>
                  <w:p w14:paraId="1A03908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5.00</w:t>
                    </w:r>
                  </w:p>
                </w:tc>
                <w:tc>
                  <w:tcPr>
                    <w:tcW w:w="560" w:type="pct"/>
                    <w:tcBorders>
                      <w:top w:val="single" w:sz="4" w:space="0" w:color="auto"/>
                      <w:left w:val="single" w:sz="4" w:space="0" w:color="auto"/>
                      <w:bottom w:val="single" w:sz="4" w:space="0" w:color="auto"/>
                      <w:right w:val="single" w:sz="4" w:space="0" w:color="auto"/>
                    </w:tcBorders>
                    <w:vAlign w:val="bottom"/>
                  </w:tcPr>
                  <w:p w14:paraId="15CBFF9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1,615,000.00</w:t>
                    </w:r>
                  </w:p>
                </w:tc>
                <w:tc>
                  <w:tcPr>
                    <w:tcW w:w="591" w:type="pct"/>
                    <w:tcBorders>
                      <w:top w:val="single" w:sz="4" w:space="0" w:color="auto"/>
                      <w:left w:val="single" w:sz="4" w:space="0" w:color="auto"/>
                      <w:bottom w:val="single" w:sz="4" w:space="0" w:color="auto"/>
                      <w:right w:val="single" w:sz="4" w:space="0" w:color="auto"/>
                    </w:tcBorders>
                    <w:vAlign w:val="bottom"/>
                  </w:tcPr>
                  <w:p w14:paraId="4E18B29F"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2,601,600.00</w:t>
                    </w:r>
                  </w:p>
                </w:tc>
                <w:tc>
                  <w:tcPr>
                    <w:tcW w:w="290" w:type="pct"/>
                    <w:tcBorders>
                      <w:top w:val="single" w:sz="4" w:space="0" w:color="auto"/>
                      <w:left w:val="single" w:sz="4" w:space="0" w:color="auto"/>
                      <w:bottom w:val="single" w:sz="4" w:space="0" w:color="auto"/>
                      <w:right w:val="single" w:sz="4" w:space="0" w:color="auto"/>
                    </w:tcBorders>
                    <w:vAlign w:val="bottom"/>
                  </w:tcPr>
                  <w:p w14:paraId="2489602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5.32</w:t>
                    </w:r>
                  </w:p>
                </w:tc>
                <w:tc>
                  <w:tcPr>
                    <w:tcW w:w="462" w:type="pct"/>
                    <w:tcBorders>
                      <w:top w:val="single" w:sz="4" w:space="0" w:color="auto"/>
                      <w:left w:val="single" w:sz="4" w:space="0" w:color="auto"/>
                      <w:bottom w:val="single" w:sz="4" w:space="0" w:color="auto"/>
                      <w:right w:val="single" w:sz="4" w:space="0" w:color="auto"/>
                    </w:tcBorders>
                    <w:vAlign w:val="bottom"/>
                  </w:tcPr>
                  <w:p w14:paraId="453A31E0"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130,080.00</w:t>
                    </w:r>
                  </w:p>
                </w:tc>
                <w:tc>
                  <w:tcPr>
                    <w:tcW w:w="214" w:type="pct"/>
                    <w:tcBorders>
                      <w:top w:val="single" w:sz="4" w:space="0" w:color="auto"/>
                      <w:left w:val="single" w:sz="4" w:space="0" w:color="auto"/>
                      <w:bottom w:val="single" w:sz="4" w:space="0" w:color="auto"/>
                      <w:right w:val="single" w:sz="4" w:space="0" w:color="auto"/>
                    </w:tcBorders>
                    <w:vAlign w:val="bottom"/>
                  </w:tcPr>
                  <w:p w14:paraId="64982E52"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5.00</w:t>
                    </w:r>
                  </w:p>
                </w:tc>
                <w:tc>
                  <w:tcPr>
                    <w:tcW w:w="593" w:type="pct"/>
                    <w:tcBorders>
                      <w:top w:val="single" w:sz="4" w:space="0" w:color="auto"/>
                      <w:left w:val="single" w:sz="4" w:space="0" w:color="auto"/>
                      <w:bottom w:val="single" w:sz="4" w:space="0" w:color="auto"/>
                      <w:right w:val="single" w:sz="4" w:space="0" w:color="auto"/>
                    </w:tcBorders>
                    <w:vAlign w:val="bottom"/>
                  </w:tcPr>
                  <w:p w14:paraId="3D35F8B9"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2,471,520.00</w:t>
                    </w:r>
                  </w:p>
                </w:tc>
              </w:tr>
            </w:sdtContent>
          </w:sdt>
          <w:sdt>
            <w:sdtPr>
              <w:rPr>
                <w:sz w:val="22"/>
                <w:szCs w:val="21"/>
              </w:rPr>
              <w:alias w:val="按组合计提坏账准备的应收票据明细"/>
              <w:tag w:val="_TUP_2457c54f966e408fa418bc1eed94e738"/>
              <w:id w:val="-248889484"/>
              <w:lock w:val="sdtLocked"/>
            </w:sdtPr>
            <w:sdtEndPr>
              <w:rPr>
                <w:rFonts w:ascii="Times New Roman" w:hAnsi="Times New Roman" w:cs="Times New Roman"/>
                <w:sz w:val="16"/>
                <w:szCs w:val="16"/>
              </w:rPr>
            </w:sdtEndPr>
            <w:sdtContent>
              <w:tr w:rsidR="00D21C1F" w14:paraId="783DB662" w14:textId="77777777">
                <w:trPr>
                  <w:cantSplit/>
                </w:trPr>
                <w:sdt>
                  <w:sdtPr>
                    <w:rPr>
                      <w:sz w:val="22"/>
                      <w:szCs w:val="21"/>
                    </w:rPr>
                    <w:alias w:val="按组合计提坏账准备的应收票据明细-类别"/>
                    <w:tag w:val="_GBC_6d9e7457cc694a73a262b35683b9ab0e"/>
                    <w:id w:val="-2115586090"/>
                    <w:lock w:val="sdtLocked"/>
                  </w:sdtPr>
                  <w:sdtEndPr>
                    <w:rPr>
                      <w:sz w:val="21"/>
                    </w:rPr>
                  </w:sdtEndPr>
                  <w:sdtContent>
                    <w:tc>
                      <w:tcPr>
                        <w:tcW w:w="640" w:type="pct"/>
                        <w:tcBorders>
                          <w:top w:val="single" w:sz="4" w:space="0" w:color="auto"/>
                          <w:left w:val="single" w:sz="4" w:space="0" w:color="auto"/>
                          <w:bottom w:val="single" w:sz="4" w:space="0" w:color="auto"/>
                          <w:right w:val="single" w:sz="4" w:space="0" w:color="auto"/>
                        </w:tcBorders>
                      </w:tcPr>
                      <w:p w14:paraId="6F0CF1E8" w14:textId="77777777" w:rsidR="00D21C1F" w:rsidRDefault="00A42880">
                        <w:pPr>
                          <w:jc w:val="both"/>
                          <w:rPr>
                            <w:szCs w:val="21"/>
                          </w:rPr>
                        </w:pPr>
                        <w:r>
                          <w:rPr>
                            <w:rFonts w:hint="eastAsia"/>
                            <w:szCs w:val="21"/>
                          </w:rPr>
                          <w:t>组合</w:t>
                        </w:r>
                        <w:r>
                          <w:rPr>
                            <w:rFonts w:ascii="Times New Roman" w:hAnsi="Times New Roman"/>
                            <w:szCs w:val="21"/>
                          </w:rPr>
                          <w:t>2</w:t>
                        </w:r>
                      </w:p>
                    </w:tc>
                  </w:sdtContent>
                </w:sdt>
                <w:tc>
                  <w:tcPr>
                    <w:tcW w:w="571" w:type="pct"/>
                    <w:tcBorders>
                      <w:top w:val="single" w:sz="4" w:space="0" w:color="auto"/>
                      <w:left w:val="single" w:sz="4" w:space="0" w:color="auto"/>
                      <w:bottom w:val="single" w:sz="4" w:space="0" w:color="auto"/>
                      <w:right w:val="single" w:sz="4" w:space="0" w:color="auto"/>
                    </w:tcBorders>
                    <w:vAlign w:val="bottom"/>
                  </w:tcPr>
                  <w:p w14:paraId="5EA947E4"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53,379,679.45</w:t>
                    </w:r>
                  </w:p>
                </w:tc>
                <w:tc>
                  <w:tcPr>
                    <w:tcW w:w="294" w:type="pct"/>
                    <w:tcBorders>
                      <w:top w:val="single" w:sz="4" w:space="0" w:color="auto"/>
                      <w:left w:val="single" w:sz="4" w:space="0" w:color="auto"/>
                      <w:bottom w:val="single" w:sz="4" w:space="0" w:color="auto"/>
                      <w:right w:val="single" w:sz="4" w:space="0" w:color="auto"/>
                    </w:tcBorders>
                    <w:vAlign w:val="bottom"/>
                  </w:tcPr>
                  <w:p w14:paraId="1F37E45A"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96.91</w:t>
                    </w:r>
                  </w:p>
                </w:tc>
                <w:tc>
                  <w:tcPr>
                    <w:tcW w:w="420" w:type="pct"/>
                    <w:tcBorders>
                      <w:top w:val="single" w:sz="4" w:space="0" w:color="auto"/>
                      <w:left w:val="single" w:sz="4" w:space="0" w:color="auto"/>
                      <w:bottom w:val="single" w:sz="4" w:space="0" w:color="auto"/>
                      <w:right w:val="single" w:sz="4" w:space="0" w:color="auto"/>
                    </w:tcBorders>
                    <w:vAlign w:val="bottom"/>
                  </w:tcPr>
                  <w:p w14:paraId="3E400119"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365" w:type="pct"/>
                    <w:tcBorders>
                      <w:top w:val="single" w:sz="4" w:space="0" w:color="auto"/>
                      <w:left w:val="single" w:sz="4" w:space="0" w:color="auto"/>
                      <w:bottom w:val="single" w:sz="4" w:space="0" w:color="auto"/>
                      <w:right w:val="single" w:sz="4" w:space="0" w:color="auto"/>
                    </w:tcBorders>
                    <w:vAlign w:val="bottom"/>
                  </w:tcPr>
                  <w:p w14:paraId="387702F6"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560" w:type="pct"/>
                    <w:tcBorders>
                      <w:top w:val="single" w:sz="4" w:space="0" w:color="auto"/>
                      <w:left w:val="single" w:sz="4" w:space="0" w:color="auto"/>
                      <w:bottom w:val="single" w:sz="4" w:space="0" w:color="auto"/>
                      <w:right w:val="single" w:sz="4" w:space="0" w:color="auto"/>
                    </w:tcBorders>
                    <w:vAlign w:val="bottom"/>
                  </w:tcPr>
                  <w:p w14:paraId="48B959E7"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53,379,679.45</w:t>
                    </w:r>
                  </w:p>
                </w:tc>
                <w:tc>
                  <w:tcPr>
                    <w:tcW w:w="591" w:type="pct"/>
                    <w:tcBorders>
                      <w:top w:val="single" w:sz="4" w:space="0" w:color="auto"/>
                      <w:left w:val="single" w:sz="4" w:space="0" w:color="auto"/>
                      <w:bottom w:val="single" w:sz="4" w:space="0" w:color="auto"/>
                      <w:right w:val="single" w:sz="4" w:space="0" w:color="auto"/>
                    </w:tcBorders>
                    <w:vAlign w:val="bottom"/>
                  </w:tcPr>
                  <w:p w14:paraId="09BAD826"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46,294,479.87</w:t>
                    </w:r>
                  </w:p>
                </w:tc>
                <w:tc>
                  <w:tcPr>
                    <w:tcW w:w="290" w:type="pct"/>
                    <w:tcBorders>
                      <w:top w:val="single" w:sz="4" w:space="0" w:color="auto"/>
                      <w:left w:val="single" w:sz="4" w:space="0" w:color="auto"/>
                      <w:bottom w:val="single" w:sz="4" w:space="0" w:color="auto"/>
                      <w:right w:val="single" w:sz="4" w:space="0" w:color="auto"/>
                    </w:tcBorders>
                    <w:vAlign w:val="bottom"/>
                  </w:tcPr>
                  <w:p w14:paraId="6002EC7D"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94.68</w:t>
                    </w:r>
                  </w:p>
                </w:tc>
                <w:tc>
                  <w:tcPr>
                    <w:tcW w:w="462" w:type="pct"/>
                    <w:tcBorders>
                      <w:top w:val="single" w:sz="4" w:space="0" w:color="auto"/>
                      <w:left w:val="single" w:sz="4" w:space="0" w:color="auto"/>
                      <w:bottom w:val="single" w:sz="4" w:space="0" w:color="auto"/>
                      <w:right w:val="single" w:sz="4" w:space="0" w:color="auto"/>
                    </w:tcBorders>
                    <w:vAlign w:val="bottom"/>
                  </w:tcPr>
                  <w:p w14:paraId="6B376A93"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214" w:type="pct"/>
                    <w:tcBorders>
                      <w:top w:val="single" w:sz="4" w:space="0" w:color="auto"/>
                      <w:left w:val="single" w:sz="4" w:space="0" w:color="auto"/>
                      <w:bottom w:val="single" w:sz="4" w:space="0" w:color="auto"/>
                      <w:right w:val="single" w:sz="4" w:space="0" w:color="auto"/>
                    </w:tcBorders>
                    <w:vAlign w:val="bottom"/>
                  </w:tcPr>
                  <w:p w14:paraId="48006A36"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593" w:type="pct"/>
                    <w:tcBorders>
                      <w:top w:val="single" w:sz="4" w:space="0" w:color="auto"/>
                      <w:left w:val="single" w:sz="4" w:space="0" w:color="auto"/>
                      <w:bottom w:val="single" w:sz="4" w:space="0" w:color="auto"/>
                      <w:right w:val="single" w:sz="4" w:space="0" w:color="auto"/>
                    </w:tcBorders>
                    <w:vAlign w:val="bottom"/>
                  </w:tcPr>
                  <w:p w14:paraId="52F7672B"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46,294,479.87</w:t>
                    </w:r>
                  </w:p>
                </w:tc>
              </w:tr>
            </w:sdtContent>
          </w:sdt>
          <w:tr w:rsidR="00D21C1F" w14:paraId="697DC72E" w14:textId="77777777">
            <w:trPr>
              <w:cantSplit/>
            </w:trPr>
            <w:sdt>
              <w:sdtPr>
                <w:tag w:val="_PLD_dd25c49780ba41c5a3c906e12139b00d"/>
                <w:id w:val="-1960561382"/>
                <w:lock w:val="sdtLocked"/>
              </w:sdtPr>
              <w:sdtEndPr/>
              <w:sdtContent>
                <w:tc>
                  <w:tcPr>
                    <w:tcW w:w="640" w:type="pct"/>
                    <w:tcBorders>
                      <w:top w:val="single" w:sz="4" w:space="0" w:color="auto"/>
                      <w:left w:val="single" w:sz="4" w:space="0" w:color="auto"/>
                      <w:bottom w:val="single" w:sz="4" w:space="0" w:color="auto"/>
                      <w:right w:val="single" w:sz="4" w:space="0" w:color="auto"/>
                    </w:tcBorders>
                    <w:vAlign w:val="center"/>
                  </w:tcPr>
                  <w:p w14:paraId="728ABEAA" w14:textId="77777777" w:rsidR="00D21C1F" w:rsidRDefault="00A42880">
                    <w:pPr>
                      <w:autoSpaceDE w:val="0"/>
                      <w:autoSpaceDN w:val="0"/>
                      <w:adjustRightInd w:val="0"/>
                      <w:jc w:val="center"/>
                      <w:rPr>
                        <w:szCs w:val="21"/>
                      </w:rPr>
                    </w:pPr>
                    <w:r>
                      <w:rPr>
                        <w:rFonts w:hint="eastAsia"/>
                        <w:szCs w:val="21"/>
                      </w:rPr>
                      <w:t>合计</w:t>
                    </w:r>
                  </w:p>
                </w:tc>
              </w:sdtContent>
            </w:sdt>
            <w:tc>
              <w:tcPr>
                <w:tcW w:w="571" w:type="pct"/>
                <w:tcBorders>
                  <w:top w:val="single" w:sz="4" w:space="0" w:color="auto"/>
                  <w:left w:val="single" w:sz="4" w:space="0" w:color="auto"/>
                  <w:bottom w:val="single" w:sz="4" w:space="0" w:color="auto"/>
                  <w:right w:val="single" w:sz="4" w:space="0" w:color="auto"/>
                </w:tcBorders>
                <w:vAlign w:val="bottom"/>
              </w:tcPr>
              <w:p w14:paraId="4FC183B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55,079,679.45</w:t>
                </w:r>
              </w:p>
            </w:tc>
            <w:tc>
              <w:tcPr>
                <w:tcW w:w="294" w:type="pct"/>
                <w:tcBorders>
                  <w:top w:val="single" w:sz="4" w:space="0" w:color="auto"/>
                  <w:left w:val="single" w:sz="4" w:space="0" w:color="auto"/>
                  <w:bottom w:val="single" w:sz="4" w:space="0" w:color="auto"/>
                  <w:right w:val="single" w:sz="4" w:space="0" w:color="auto"/>
                </w:tcBorders>
                <w:vAlign w:val="bottom"/>
              </w:tcPr>
              <w:p w14:paraId="4DE68BA6"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100.00</w:t>
                </w:r>
              </w:p>
            </w:tc>
            <w:tc>
              <w:tcPr>
                <w:tcW w:w="420" w:type="pct"/>
                <w:tcBorders>
                  <w:top w:val="single" w:sz="4" w:space="0" w:color="auto"/>
                  <w:left w:val="single" w:sz="4" w:space="0" w:color="auto"/>
                  <w:bottom w:val="single" w:sz="4" w:space="0" w:color="auto"/>
                  <w:right w:val="single" w:sz="4" w:space="0" w:color="auto"/>
                </w:tcBorders>
                <w:vAlign w:val="bottom"/>
              </w:tcPr>
              <w:p w14:paraId="2088316E"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85,000.00</w:t>
                </w:r>
              </w:p>
            </w:tc>
            <w:tc>
              <w:tcPr>
                <w:tcW w:w="365" w:type="pct"/>
                <w:tcBorders>
                  <w:top w:val="single" w:sz="4" w:space="0" w:color="auto"/>
                  <w:left w:val="single" w:sz="4" w:space="0" w:color="auto"/>
                  <w:bottom w:val="single" w:sz="4" w:space="0" w:color="auto"/>
                  <w:right w:val="single" w:sz="4" w:space="0" w:color="auto"/>
                </w:tcBorders>
                <w:vAlign w:val="bottom"/>
              </w:tcPr>
              <w:p w14:paraId="23DCFF70"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0.15</w:t>
                </w:r>
              </w:p>
            </w:tc>
            <w:tc>
              <w:tcPr>
                <w:tcW w:w="560" w:type="pct"/>
                <w:tcBorders>
                  <w:top w:val="single" w:sz="4" w:space="0" w:color="auto"/>
                  <w:left w:val="single" w:sz="4" w:space="0" w:color="auto"/>
                  <w:bottom w:val="single" w:sz="4" w:space="0" w:color="auto"/>
                  <w:right w:val="single" w:sz="4" w:space="0" w:color="auto"/>
                </w:tcBorders>
                <w:vAlign w:val="bottom"/>
              </w:tcPr>
              <w:p w14:paraId="7040212F"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54,994,679.45</w:t>
                </w:r>
              </w:p>
            </w:tc>
            <w:tc>
              <w:tcPr>
                <w:tcW w:w="591" w:type="pct"/>
                <w:tcBorders>
                  <w:top w:val="single" w:sz="4" w:space="0" w:color="auto"/>
                  <w:left w:val="single" w:sz="4" w:space="0" w:color="auto"/>
                  <w:bottom w:val="single" w:sz="4" w:space="0" w:color="auto"/>
                  <w:right w:val="single" w:sz="4" w:space="0" w:color="auto"/>
                </w:tcBorders>
                <w:vAlign w:val="bottom"/>
              </w:tcPr>
              <w:p w14:paraId="6745FC70"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48,896,079.87</w:t>
                </w:r>
              </w:p>
            </w:tc>
            <w:tc>
              <w:tcPr>
                <w:tcW w:w="290" w:type="pct"/>
                <w:tcBorders>
                  <w:top w:val="single" w:sz="4" w:space="0" w:color="auto"/>
                  <w:left w:val="single" w:sz="4" w:space="0" w:color="auto"/>
                  <w:bottom w:val="single" w:sz="4" w:space="0" w:color="auto"/>
                  <w:right w:val="single" w:sz="4" w:space="0" w:color="auto"/>
                </w:tcBorders>
                <w:vAlign w:val="bottom"/>
              </w:tcPr>
              <w:p w14:paraId="02F231FA"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w:t>
                </w:r>
              </w:p>
            </w:tc>
            <w:tc>
              <w:tcPr>
                <w:tcW w:w="462" w:type="pct"/>
                <w:tcBorders>
                  <w:top w:val="single" w:sz="4" w:space="0" w:color="auto"/>
                  <w:left w:val="single" w:sz="4" w:space="0" w:color="auto"/>
                  <w:bottom w:val="single" w:sz="4" w:space="0" w:color="auto"/>
                  <w:right w:val="single" w:sz="4" w:space="0" w:color="auto"/>
                </w:tcBorders>
                <w:vAlign w:val="bottom"/>
              </w:tcPr>
              <w:p w14:paraId="2073FCC5"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130,080.00</w:t>
                </w:r>
              </w:p>
            </w:tc>
            <w:tc>
              <w:tcPr>
                <w:tcW w:w="214" w:type="pct"/>
                <w:tcBorders>
                  <w:top w:val="single" w:sz="4" w:space="0" w:color="auto"/>
                  <w:left w:val="single" w:sz="4" w:space="0" w:color="auto"/>
                  <w:bottom w:val="single" w:sz="4" w:space="0" w:color="auto"/>
                  <w:right w:val="single" w:sz="4" w:space="0" w:color="auto"/>
                </w:tcBorders>
                <w:vAlign w:val="bottom"/>
              </w:tcPr>
              <w:p w14:paraId="1CB4C6D8" w14:textId="1990816B" w:rsidR="00D21C1F" w:rsidRPr="00F409B2" w:rsidRDefault="00D1674B">
                <w:pPr>
                  <w:jc w:val="right"/>
                  <w:rPr>
                    <w:rFonts w:ascii="Times New Roman" w:hAnsi="Times New Roman" w:cs="Times New Roman"/>
                    <w:sz w:val="16"/>
                    <w:szCs w:val="16"/>
                  </w:rPr>
                </w:pPr>
                <w:r>
                  <w:rPr>
                    <w:rFonts w:ascii="Times New Roman" w:hAnsi="Times New Roman" w:cs="Times New Roman"/>
                    <w:sz w:val="16"/>
                    <w:szCs w:val="16"/>
                  </w:rPr>
                  <w:t>0.27</w:t>
                </w:r>
              </w:p>
            </w:tc>
            <w:tc>
              <w:tcPr>
                <w:tcW w:w="593" w:type="pct"/>
                <w:tcBorders>
                  <w:top w:val="single" w:sz="4" w:space="0" w:color="auto"/>
                  <w:left w:val="single" w:sz="4" w:space="0" w:color="auto"/>
                  <w:bottom w:val="single" w:sz="4" w:space="0" w:color="auto"/>
                  <w:right w:val="single" w:sz="4" w:space="0" w:color="auto"/>
                </w:tcBorders>
                <w:vAlign w:val="bottom"/>
              </w:tcPr>
              <w:p w14:paraId="5E3D1C91" w14:textId="77777777" w:rsidR="00D21C1F" w:rsidRPr="00F409B2" w:rsidRDefault="00A42880">
                <w:pPr>
                  <w:jc w:val="right"/>
                  <w:rPr>
                    <w:rFonts w:ascii="Times New Roman" w:hAnsi="Times New Roman" w:cs="Times New Roman"/>
                    <w:sz w:val="16"/>
                    <w:szCs w:val="16"/>
                  </w:rPr>
                </w:pPr>
                <w:r w:rsidRPr="00F409B2">
                  <w:rPr>
                    <w:rFonts w:ascii="Times New Roman" w:hAnsi="Times New Roman" w:cs="Times New Roman"/>
                    <w:sz w:val="16"/>
                    <w:szCs w:val="16"/>
                  </w:rPr>
                  <w:t>48,765,999.87</w:t>
                </w:r>
              </w:p>
            </w:tc>
          </w:tr>
        </w:tbl>
        <w:p w14:paraId="194F2E1E" w14:textId="77777777" w:rsidR="00D21C1F" w:rsidRDefault="00045EC6">
          <w:pPr>
            <w:pStyle w:val="97"/>
          </w:pPr>
        </w:p>
      </w:sdtContent>
    </w:sdt>
    <w:bookmarkEnd w:id="168"/>
    <w:p w14:paraId="0DA8F8C9" w14:textId="77777777" w:rsidR="00D21C1F" w:rsidRDefault="00D21C1F">
      <w:pPr>
        <w:ind w:right="210"/>
      </w:pPr>
    </w:p>
    <w:bookmarkStart w:id="169" w:name="_Hlk10466593" w:displacedByCustomXml="next"/>
    <w:bookmarkStart w:id="170" w:name="_Hlk10466603" w:displacedByCustomXml="next"/>
    <w:bookmarkStart w:id="171" w:name="_Hlk533597423" w:displacedByCustomXml="next"/>
    <w:sdt>
      <w:sdtPr>
        <w:rPr>
          <w:rFonts w:eastAsia="宋体" w:hint="eastAsia"/>
        </w:rPr>
        <w:alias w:val="模块:按单项计提坏账准备："/>
        <w:tag w:val="_SEC_35f0dd53a3094420ab950eaf2d236098"/>
        <w:id w:val="563380950"/>
        <w:lock w:val="sdtLocked"/>
        <w:placeholder>
          <w:docPart w:val="GBC22222222222222222222222222222"/>
        </w:placeholder>
      </w:sdtPr>
      <w:sdtEndPr>
        <w:rPr>
          <w:rFonts w:hint="default"/>
        </w:rPr>
      </w:sdtEndPr>
      <w:sdtContent>
        <w:p w14:paraId="265D003A" w14:textId="77777777" w:rsidR="00D21C1F" w:rsidRDefault="00A42880">
          <w:pPr>
            <w:pStyle w:val="97"/>
          </w:pPr>
          <w:r>
            <w:rPr>
              <w:rFonts w:hint="eastAsia"/>
            </w:rPr>
            <w:t>按单项计提坏账准备：</w:t>
          </w:r>
          <w:bookmarkEnd w:id="169"/>
        </w:p>
        <w:sdt>
          <w:sdtPr>
            <w:rPr>
              <w:rFonts w:hint="eastAsia"/>
            </w:rPr>
            <w:alias w:val="是否适用：按单项计提坏账准备的应收票据详细情况[双击切换]"/>
            <w:tag w:val="_GBC_90335c20d2434e43b63dbeddbebca5f6"/>
            <w:id w:val="-588925616"/>
            <w:lock w:val="sdtLocked"/>
            <w:placeholder>
              <w:docPart w:val="GBC22222222222222222222222222222"/>
            </w:placeholder>
          </w:sdtPr>
          <w:sdtEndPr/>
          <w:sdtContent>
            <w:p w14:paraId="58DE764E"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96D61E1" w14:textId="77777777" w:rsidR="00D21C1F" w:rsidRDefault="00A42880">
      <w:pPr>
        <w:rPr>
          <w:rFonts w:cstheme="minorBidi"/>
          <w:bCs/>
          <w:szCs w:val="22"/>
        </w:rPr>
      </w:pPr>
      <w:bookmarkStart w:id="172" w:name="_Hlk10466625"/>
      <w:bookmarkStart w:id="173" w:name="_Hlk10466636"/>
      <w:bookmarkEnd w:id="171"/>
      <w:bookmarkEnd w:id="170"/>
      <w:r>
        <w:rPr>
          <w:rFonts w:cstheme="minorBidi" w:hint="eastAsia"/>
          <w:bCs/>
          <w:szCs w:val="22"/>
        </w:rPr>
        <w:t>按组合计提坏账准备：</w:t>
      </w:r>
      <w:bookmarkEnd w:id="172"/>
    </w:p>
    <w:sdt>
      <w:sdtPr>
        <w:rPr>
          <w:rFonts w:cstheme="minorBidi" w:hint="eastAsia"/>
          <w:bCs/>
          <w:szCs w:val="22"/>
        </w:rPr>
        <w:alias w:val="是否适用：按组合计提坏账准备的应收票据详细情况[双击切换]"/>
        <w:tag w:val="_GBC_2b00fe7228b14b11bdb374e735777f02"/>
        <w:id w:val="-1295450156"/>
        <w:lock w:val="sdtLocked"/>
        <w:placeholder>
          <w:docPart w:val="GBC22222222222222222222222222222"/>
        </w:placeholder>
      </w:sdtPr>
      <w:sdtEndPr/>
      <w:sdtContent>
        <w:p w14:paraId="2450E2E3" w14:textId="77777777" w:rsidR="00D21C1F" w:rsidRDefault="00A42880">
          <w:pPr>
            <w:rPr>
              <w:szCs w:val="21"/>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Start w:id="174" w:name="_Hlk533601037" w:displacedByCustomXml="next"/>
    <w:bookmarkEnd w:id="174" w:displacedByCustomXml="next"/>
    <w:bookmarkEnd w:id="173" w:displacedByCustomXml="next"/>
    <w:bookmarkStart w:id="175" w:name="_Hlk10466675" w:displacedByCustomXml="next"/>
    <w:bookmarkStart w:id="176" w:name="_Hlk10466685" w:displacedByCustomXml="next"/>
    <w:sdt>
      <w:sdtPr>
        <w:rPr>
          <w:rFonts w:cstheme="minorBidi" w:hint="eastAsia"/>
          <w:bCs/>
          <w:szCs w:val="22"/>
        </w:rPr>
        <w:alias w:val="模块:如按预期信用损失一般模型计提坏账准备，请参照其他应收款披露："/>
        <w:tag w:val="_SEC_23c2684d19314a4d9ea4159cf52284dd"/>
        <w:id w:val="-840856257"/>
        <w:lock w:val="sdtLocked"/>
        <w:placeholder>
          <w:docPart w:val="GBC22222222222222222222222222222"/>
        </w:placeholder>
      </w:sdtPr>
      <w:sdtEndPr>
        <w:rPr>
          <w:rFonts w:cs="宋体" w:hint="default"/>
          <w:bCs w:val="0"/>
          <w:szCs w:val="24"/>
        </w:rPr>
      </w:sdtEndPr>
      <w:sdtContent>
        <w:p w14:paraId="4E1CD264" w14:textId="77777777" w:rsidR="00D21C1F" w:rsidRDefault="00A42880">
          <w:pPr>
            <w:rPr>
              <w:rFonts w:cstheme="minorBidi"/>
              <w:bCs/>
              <w:szCs w:val="22"/>
            </w:rPr>
          </w:pPr>
          <w:r>
            <w:rPr>
              <w:rFonts w:cstheme="minorBidi" w:hint="eastAsia"/>
              <w:bCs/>
              <w:szCs w:val="22"/>
            </w:rPr>
            <w:t>如按预期信用损失一般模型计提坏账准备，请参照其他应收款披露：</w:t>
          </w:r>
          <w:bookmarkEnd w:id="175"/>
        </w:p>
        <w:sdt>
          <w:sdtPr>
            <w:rPr>
              <w:rFonts w:cstheme="minorBidi"/>
              <w:bCs/>
              <w:szCs w:val="22"/>
            </w:rPr>
            <w:alias w:val="是否适用：应收票据按预期信用损失一般模型计提坏账准备[双击切换]"/>
            <w:tag w:val="_GBC_6ee086a94a84425286b6afb613f0881f"/>
            <w:id w:val="-549148496"/>
            <w:lock w:val="sdtLocked"/>
            <w:placeholder>
              <w:docPart w:val="GBC22222222222222222222222222222"/>
            </w:placeholder>
          </w:sdtPr>
          <w:sdtEndPr/>
          <w:sdtContent>
            <w:p w14:paraId="42C01B72" w14:textId="77777777" w:rsidR="00D21C1F" w:rsidRDefault="00A42880">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Content>
    </w:sdt>
    <w:bookmarkEnd w:id="176" w:displacedByCustomXml="next"/>
    <w:bookmarkStart w:id="177" w:name="_Hlk10466806" w:displacedByCustomXml="next"/>
    <w:sdt>
      <w:sdtPr>
        <w:rPr>
          <w:rFonts w:ascii="宋体" w:eastAsia="宋体" w:hAnsi="宋体" w:cs="宋体" w:hint="eastAsia"/>
          <w:b w:val="0"/>
          <w:bCs w:val="0"/>
          <w:kern w:val="0"/>
          <w:szCs w:val="24"/>
        </w:rPr>
        <w:alias w:val="模块:坏账准备的情况"/>
        <w:tag w:val="_SEC_2937dc20348046e2a68416bd27ff1b82"/>
        <w:id w:val="-1477215909"/>
        <w:lock w:val="sdtLocked"/>
        <w:placeholder>
          <w:docPart w:val="GBC22222222222222222222222222222"/>
        </w:placeholder>
      </w:sdtPr>
      <w:sdtEndPr>
        <w:rPr>
          <w:rFonts w:hint="default"/>
        </w:rPr>
      </w:sdtEndPr>
      <w:sdtContent>
        <w:p w14:paraId="5EE9CB70" w14:textId="77777777" w:rsidR="00D21C1F" w:rsidRDefault="00A42880">
          <w:pPr>
            <w:pStyle w:val="93"/>
            <w:numPr>
              <w:ilvl w:val="3"/>
              <w:numId w:val="96"/>
            </w:numPr>
            <w:jc w:val="left"/>
            <w:rPr>
              <w:rFonts w:ascii="宋体" w:hAnsi="宋体"/>
            </w:rPr>
          </w:pPr>
          <w:r>
            <w:rPr>
              <w:rFonts w:ascii="宋体" w:hAnsi="宋体" w:hint="eastAsia"/>
            </w:rPr>
            <w:t>坏账准备的情况</w:t>
          </w:r>
        </w:p>
        <w:sdt>
          <w:sdtPr>
            <w:alias w:val="是否适用：应收票据坏账准备情况[双击切换]"/>
            <w:tag w:val="_GBC_065ad100e7534037877c628171a7ddc1"/>
            <w:id w:val="256560603"/>
            <w:lock w:val="sdtLocked"/>
            <w:placeholder>
              <w:docPart w:val="GBC22222222222222222222222222222"/>
            </w:placeholder>
          </w:sdtPr>
          <w:sdtEndPr/>
          <w:sdtContent>
            <w:p w14:paraId="4A2E7E86" w14:textId="77777777" w:rsidR="00D21C1F" w:rsidRDefault="00A42880">
              <w:pPr>
                <w:rPr>
                  <w:rFonts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7" w:displacedByCustomXml="next"/>
    <w:bookmarkStart w:id="178" w:name="_Hlk10466841" w:displacedByCustomXml="next"/>
    <w:bookmarkStart w:id="179" w:name="_Hlk10466853" w:displacedByCustomXml="next"/>
    <w:sdt>
      <w:sdtPr>
        <w:rPr>
          <w:rFonts w:ascii="宋体" w:eastAsia="宋体" w:hAnsi="宋体" w:cs="宋体" w:hint="eastAsia"/>
          <w:b w:val="0"/>
          <w:bCs w:val="0"/>
          <w:kern w:val="0"/>
          <w:szCs w:val="24"/>
        </w:rPr>
        <w:alias w:val="模块:本期实际核销的应收票据情况"/>
        <w:tag w:val="_SEC_d1d07f77bea54442a58602a5a3e94f42"/>
        <w:id w:val="1512723225"/>
        <w:lock w:val="sdtLocked"/>
        <w:placeholder>
          <w:docPart w:val="GBC22222222222222222222222222222"/>
        </w:placeholder>
      </w:sdtPr>
      <w:sdtEndPr>
        <w:rPr>
          <w:rFonts w:hint="default"/>
        </w:rPr>
      </w:sdtEndPr>
      <w:sdtContent>
        <w:p w14:paraId="74B8B7AA" w14:textId="77777777" w:rsidR="00D21C1F" w:rsidRDefault="00A42880">
          <w:pPr>
            <w:pStyle w:val="93"/>
            <w:numPr>
              <w:ilvl w:val="3"/>
              <w:numId w:val="96"/>
            </w:numPr>
            <w:jc w:val="left"/>
            <w:rPr>
              <w:rFonts w:ascii="宋体" w:hAnsi="宋体"/>
            </w:rPr>
          </w:pPr>
          <w:r>
            <w:rPr>
              <w:rFonts w:ascii="宋体" w:hAnsi="宋体" w:hint="eastAsia"/>
            </w:rPr>
            <w:t>本期实际核销的应收票据情况</w:t>
          </w:r>
          <w:bookmarkEnd w:id="178"/>
        </w:p>
        <w:sdt>
          <w:sdtPr>
            <w:alias w:val="是否适用：实际核销的应收票据[双击切换]"/>
            <w:tag w:val="_GBC_d0dcbb36ec68469bb29eac25b4a7af19"/>
            <w:id w:val="-130712203"/>
            <w:lock w:val="sdtLocked"/>
            <w:placeholder>
              <w:docPart w:val="GBC22222222222222222222222222222"/>
            </w:placeholder>
          </w:sdtPr>
          <w:sdtEndPr/>
          <w:sdtContent>
            <w:p w14:paraId="6D6ADE8E" w14:textId="77777777" w:rsidR="00D21C1F" w:rsidRDefault="00A42880">
              <w:pPr>
                <w:rPr>
                  <w:rFonts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9" w:displacedByCustomXml="next"/>
    <w:sdt>
      <w:sdtPr>
        <w:rPr>
          <w:rFonts w:cstheme="minorBidi" w:hint="eastAsia"/>
          <w:b/>
          <w:bCs/>
          <w:szCs w:val="22"/>
        </w:rPr>
        <w:alias w:val="模块:应收票据其他说明"/>
        <w:tag w:val="_GBC_c7095bafbab543a9bb9dcc587154df29"/>
        <w:id w:val="623204528"/>
        <w:lock w:val="sdtLocked"/>
        <w:placeholder>
          <w:docPart w:val="GBC22222222222222222222222222222"/>
        </w:placeholder>
      </w:sdtPr>
      <w:sdtEndPr>
        <w:rPr>
          <w:rFonts w:cs="Times New Roman" w:hint="default"/>
          <w:b w:val="0"/>
          <w:bCs w:val="0"/>
          <w:szCs w:val="24"/>
        </w:rPr>
      </w:sdtEndPr>
      <w:sdtContent>
        <w:p w14:paraId="37E8D9B5" w14:textId="77777777" w:rsidR="00D21C1F" w:rsidRDefault="00A42880">
          <w:pPr>
            <w:pStyle w:val="97"/>
          </w:pPr>
          <w:r>
            <w:rPr>
              <w:rFonts w:hint="eastAsia"/>
            </w:rPr>
            <w:t>其他说明：</w:t>
          </w:r>
        </w:p>
        <w:sdt>
          <w:sdtPr>
            <w:alias w:val="是否适用：应收票据的说明[双击切换]"/>
            <w:tag w:val="_GBC_704e24e70b65463883e10335ce93a1ac"/>
            <w:id w:val="1271121368"/>
            <w:lock w:val="sdtLocked"/>
            <w:placeholder>
              <w:docPart w:val="GBC22222222222222222222222222222"/>
            </w:placeholder>
          </w:sdtPr>
          <w:sdtEndPr/>
          <w:sdtContent>
            <w:p w14:paraId="7AF4D2C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应收票据的说明"/>
            <w:tag w:val="_GBC_2006e891d63d493bb79a98ee1650c6ff"/>
            <w:id w:val="1291479307"/>
            <w:lock w:val="sdtLocked"/>
            <w:placeholder>
              <w:docPart w:val="GBC22222222222222222222222222222"/>
            </w:placeholder>
          </w:sdtPr>
          <w:sdtEndPr/>
          <w:sdtContent>
            <w:p w14:paraId="1D4767A7" w14:textId="77777777" w:rsidR="00D21C1F" w:rsidRDefault="00A42880">
              <w:pPr>
                <w:pStyle w:val="6a"/>
                <w:adjustRightInd w:val="0"/>
                <w:spacing w:before="0" w:beforeAutospacing="0" w:after="0" w:line="360" w:lineRule="auto"/>
                <w:ind w:firstLineChars="200" w:firstLine="420"/>
              </w:pPr>
              <w:r>
                <w:rPr>
                  <w:rFonts w:ascii="宋体" w:hAnsi="宋体"/>
                </w:rPr>
                <w:t>公司应收票据包括银行承兑汇票和商业承兑汇票，其中银行承兑汇票的承兑人包括大型商业银行、上市股份制银行、其他商业银行及财务公司。公司依据谨慎性原则对银行承兑汇票的承兑人的信用等级进行了划分，分类为信用等级较高的包括中国工商银行、中国农业银行、中国银行、中国建设银行、交通银行、中国邮政储蓄银行六家大型商业银行，招商银行、浦发银行、中信银行、中国光大银行、华夏银行、中国民生银行、平安银行、兴业银行、浙商银行九家上市股份制银行。信用等级一般的包括上述银行之外的其他商业银行和财务公司</w:t>
              </w:r>
              <w:r>
                <w:rPr>
                  <w:rFonts w:ascii="宋体" w:hAnsi="宋体" w:hint="eastAsia"/>
                </w:rPr>
                <w:t>。</w:t>
              </w:r>
            </w:p>
            <w:p w14:paraId="5760243E" w14:textId="77777777" w:rsidR="00D21C1F" w:rsidRDefault="00A42880">
              <w:pPr>
                <w:pStyle w:val="97"/>
                <w:spacing w:line="360" w:lineRule="auto"/>
                <w:ind w:firstLineChars="200" w:firstLine="420"/>
                <w:jc w:val="both"/>
              </w:pPr>
              <w:r>
                <w:t>由于信用等级较高的商业银行承兑的银行承兑汇票到期不获支付的可能性较低，故本公司将已背书或贴现的由信用等级较高的商业银行承兑的银行承兑汇票予以终止确认。对于由信用等级</w:t>
              </w:r>
              <w:r>
                <w:lastRenderedPageBreak/>
                <w:t>一般的商业银行承兑的银行承兑汇票以及商业承兑汇票在背书或贴现时继续确认为应收票据，待票据到期后终止确认</w:t>
              </w:r>
              <w:r>
                <w:rPr>
                  <w:rFonts w:hint="eastAsia"/>
                </w:rPr>
                <w:t>。</w:t>
              </w:r>
            </w:p>
          </w:sdtContent>
        </w:sdt>
      </w:sdtContent>
    </w:sdt>
    <w:p w14:paraId="1E5B4FAB" w14:textId="77777777" w:rsidR="00D21C1F" w:rsidRDefault="00D21C1F">
      <w:pPr>
        <w:rPr>
          <w:szCs w:val="21"/>
        </w:rPr>
      </w:pPr>
    </w:p>
    <w:p w14:paraId="300C113D" w14:textId="77777777" w:rsidR="00D21C1F" w:rsidRDefault="00A42880">
      <w:pPr>
        <w:pStyle w:val="94"/>
        <w:numPr>
          <w:ilvl w:val="0"/>
          <w:numId w:val="95"/>
        </w:numPr>
        <w:rPr>
          <w:rFonts w:ascii="宋体" w:hAnsi="宋体"/>
        </w:rPr>
      </w:pPr>
      <w:r>
        <w:rPr>
          <w:rFonts w:ascii="宋体" w:hAnsi="宋体" w:hint="eastAsia"/>
        </w:rPr>
        <w:t>应收账款</w:t>
      </w:r>
    </w:p>
    <w:bookmarkStart w:id="180" w:name="_Hlk10467031" w:displacedByCustomXml="next"/>
    <w:sdt>
      <w:sdtPr>
        <w:rPr>
          <w:rFonts w:ascii="宋体" w:hAnsi="宋体" w:cs="宋体" w:hint="eastAsia"/>
          <w:b w:val="0"/>
          <w:bCs w:val="0"/>
          <w:kern w:val="0"/>
          <w:szCs w:val="24"/>
        </w:rPr>
        <w:alias w:val="模块:按账龄披露"/>
        <w:tag w:val="_SEC_18739d0c0efc4fe7a575a32263e5b38b"/>
        <w:id w:val="693422233"/>
        <w:lock w:val="sdtLocked"/>
        <w:placeholder>
          <w:docPart w:val="GBC22222222222222222222222222222"/>
        </w:placeholder>
      </w:sdtPr>
      <w:sdtEndPr>
        <w:rPr>
          <w:rFonts w:ascii="Cambria" w:hAnsi="Cambria" w:cs="Times New Roman" w:hint="default"/>
          <w:b/>
          <w:bCs/>
          <w:kern w:val="2"/>
          <w:szCs w:val="28"/>
        </w:rPr>
      </w:sdtEndPr>
      <w:sdtContent>
        <w:p w14:paraId="59FE1AE3" w14:textId="77777777" w:rsidR="00D21C1F" w:rsidRDefault="00A42880">
          <w:pPr>
            <w:pStyle w:val="93"/>
            <w:numPr>
              <w:ilvl w:val="3"/>
              <w:numId w:val="97"/>
            </w:numPr>
            <w:tabs>
              <w:tab w:val="left" w:pos="574"/>
            </w:tabs>
            <w:rPr>
              <w:rFonts w:ascii="宋体" w:hAnsi="宋体"/>
            </w:rPr>
          </w:pPr>
          <w:r>
            <w:rPr>
              <w:rFonts w:ascii="宋体" w:hAnsi="宋体" w:hint="eastAsia"/>
            </w:rPr>
            <w:t>按账龄披露</w:t>
          </w:r>
        </w:p>
        <w:sdt>
          <w:sdtPr>
            <w:rPr>
              <w:rFonts w:hint="eastAsia"/>
              <w:szCs w:val="21"/>
            </w:rPr>
            <w:alias w:val="是否适用：组合中，按账龄分析法计提坏账准备的应收账款[双击切换]"/>
            <w:tag w:val="_GBC_adacd9d7302a46dbb6fb745ac9a87bfe"/>
            <w:id w:val="-1574199920"/>
            <w:lock w:val="sdtLocked"/>
          </w:sdtPr>
          <w:sdtEndPr/>
          <w:sdtContent>
            <w:p w14:paraId="045A6C7B" w14:textId="77777777" w:rsidR="00D21C1F" w:rsidRDefault="00A42880">
              <w:pPr>
                <w:rPr>
                  <w:szCs w:val="21"/>
                </w:rPr>
              </w:pPr>
              <w:r>
                <w:rPr>
                  <w:rFonts w:hint="eastAsia"/>
                  <w:szCs w:val="21"/>
                </w:rPr>
                <w:fldChar w:fldCharType="begin"/>
              </w:r>
              <w:r>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14:paraId="1C006162" w14:textId="77777777" w:rsidR="00D21C1F" w:rsidRDefault="00A42880">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15645988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应收账款"/>
              <w:tag w:val="_GBC_23501c118c5d42ce875910cc5f1c5fe3"/>
              <w:id w:val="-15042747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295"/>
            <w:gridCol w:w="4528"/>
          </w:tblGrid>
          <w:tr w:rsidR="00D21C1F" w14:paraId="415B931F" w14:textId="77777777">
            <w:trPr>
              <w:cantSplit/>
            </w:trPr>
            <w:sdt>
              <w:sdtPr>
                <w:tag w:val="_PLD_cc8a2439cf1a40049647e9f82183f02a"/>
                <w:id w:val="988677431"/>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55A4B701" w14:textId="77777777" w:rsidR="00D21C1F" w:rsidRDefault="00A42880">
                    <w:pPr>
                      <w:jc w:val="center"/>
                      <w:rPr>
                        <w:szCs w:val="21"/>
                      </w:rPr>
                    </w:pPr>
                    <w:r>
                      <w:rPr>
                        <w:rFonts w:hint="eastAsia"/>
                        <w:szCs w:val="21"/>
                      </w:rPr>
                      <w:t>账龄</w:t>
                    </w:r>
                  </w:p>
                </w:tc>
              </w:sdtContent>
            </w:sdt>
            <w:sdt>
              <w:sdtPr>
                <w:tag w:val="_PLD_39df8c40c3b34bb795f3dd83e556c1cb"/>
                <w:id w:val="1536619218"/>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2B0D895E" w14:textId="77777777" w:rsidR="00D21C1F" w:rsidRDefault="00A42880">
                    <w:pPr>
                      <w:jc w:val="center"/>
                      <w:rPr>
                        <w:szCs w:val="21"/>
                      </w:rPr>
                    </w:pPr>
                    <w:r>
                      <w:rPr>
                        <w:rFonts w:hint="eastAsia"/>
                        <w:szCs w:val="21"/>
                      </w:rPr>
                      <w:t>期末账面余额</w:t>
                    </w:r>
                  </w:p>
                </w:tc>
              </w:sdtContent>
            </w:sdt>
          </w:tr>
          <w:tr w:rsidR="00D21C1F" w14:paraId="7826D0F7" w14:textId="77777777">
            <w:trPr>
              <w:cantSplit/>
            </w:trPr>
            <w:sdt>
              <w:sdtPr>
                <w:tag w:val="_PLD_c7d182c9cd3f494a90cf99c5a58ab86e"/>
                <w:id w:val="-797453777"/>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7127DA09" w14:textId="77777777" w:rsidR="00D21C1F" w:rsidRDefault="00A42880">
                    <w:pPr>
                      <w:rPr>
                        <w:szCs w:val="21"/>
                      </w:rPr>
                    </w:pPr>
                    <w:r>
                      <w:rPr>
                        <w:rFonts w:ascii="Times New Roman" w:hAnsi="Times New Roman" w:hint="eastAsia"/>
                        <w:szCs w:val="21"/>
                      </w:rPr>
                      <w:t>1</w:t>
                    </w:r>
                    <w:r>
                      <w:rPr>
                        <w:rFonts w:hint="eastAsia"/>
                        <w:szCs w:val="21"/>
                      </w:rPr>
                      <w:t>年以内小计</w:t>
                    </w:r>
                  </w:p>
                </w:tc>
              </w:sdtContent>
            </w:sdt>
            <w:tc>
              <w:tcPr>
                <w:tcW w:w="2566" w:type="pct"/>
                <w:tcBorders>
                  <w:top w:val="single" w:sz="4" w:space="0" w:color="auto"/>
                  <w:left w:val="single" w:sz="4" w:space="0" w:color="auto"/>
                  <w:bottom w:val="single" w:sz="4" w:space="0" w:color="auto"/>
                  <w:right w:val="single" w:sz="4" w:space="0" w:color="auto"/>
                </w:tcBorders>
                <w:vAlign w:val="bottom"/>
              </w:tcPr>
              <w:p w14:paraId="20E479F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358,057,287.10</w:t>
                </w:r>
              </w:p>
            </w:tc>
          </w:tr>
          <w:tr w:rsidR="00D21C1F" w14:paraId="66EF4F57" w14:textId="77777777">
            <w:trPr>
              <w:cantSplit/>
            </w:trPr>
            <w:sdt>
              <w:sdtPr>
                <w:tag w:val="_PLD_ddd035f081424c508ec3702ea96caece"/>
                <w:id w:val="-1416156826"/>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042B7956" w14:textId="77777777" w:rsidR="00D21C1F" w:rsidRDefault="00A42880">
                    <w:pPr>
                      <w:rPr>
                        <w:szCs w:val="21"/>
                      </w:rPr>
                    </w:pPr>
                    <w:r>
                      <w:rPr>
                        <w:rFonts w:ascii="Times New Roman" w:hAnsi="Times New Roman" w:hint="eastAsia"/>
                        <w:szCs w:val="21"/>
                      </w:rPr>
                      <w:t>1</w:t>
                    </w:r>
                    <w:r>
                      <w:rPr>
                        <w:rFonts w:hint="eastAsia"/>
                        <w:szCs w:val="21"/>
                      </w:rPr>
                      <w:t>至</w:t>
                    </w:r>
                    <w:r>
                      <w:rPr>
                        <w:rFonts w:ascii="Times New Roman" w:hAnsi="Times New Roman" w:hint="eastAsia"/>
                        <w:szCs w:val="21"/>
                      </w:rPr>
                      <w:t>2</w:t>
                    </w:r>
                    <w:r>
                      <w:rPr>
                        <w:rFonts w:hint="eastAsia"/>
                        <w:szCs w:val="21"/>
                      </w:rPr>
                      <w:t>年</w:t>
                    </w:r>
                  </w:p>
                </w:tc>
              </w:sdtContent>
            </w:sdt>
            <w:tc>
              <w:tcPr>
                <w:tcW w:w="2566" w:type="pct"/>
                <w:tcBorders>
                  <w:top w:val="single" w:sz="4" w:space="0" w:color="auto"/>
                  <w:left w:val="single" w:sz="4" w:space="0" w:color="auto"/>
                  <w:bottom w:val="single" w:sz="4" w:space="0" w:color="auto"/>
                  <w:right w:val="single" w:sz="4" w:space="0" w:color="auto"/>
                </w:tcBorders>
                <w:vAlign w:val="bottom"/>
              </w:tcPr>
              <w:p w14:paraId="12DA976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137,495,539.67</w:t>
                </w:r>
              </w:p>
            </w:tc>
          </w:tr>
          <w:tr w:rsidR="00D21C1F" w14:paraId="0FFAA57C" w14:textId="77777777">
            <w:trPr>
              <w:cantSplit/>
            </w:trPr>
            <w:sdt>
              <w:sdtPr>
                <w:tag w:val="_PLD_173769cdf4af409b9ed3b84a39f352b3"/>
                <w:id w:val="-2066177931"/>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05C39F4A" w14:textId="77777777" w:rsidR="00D21C1F" w:rsidRDefault="00A42880">
                    <w:pPr>
                      <w:rPr>
                        <w:szCs w:val="21"/>
                      </w:rPr>
                    </w:pPr>
                    <w:r>
                      <w:rPr>
                        <w:rFonts w:ascii="Times New Roman" w:hAnsi="Times New Roman" w:hint="eastAsia"/>
                        <w:szCs w:val="21"/>
                      </w:rPr>
                      <w:t>2</w:t>
                    </w:r>
                    <w:r>
                      <w:rPr>
                        <w:rFonts w:hint="eastAsia"/>
                        <w:szCs w:val="21"/>
                      </w:rPr>
                      <w:t>至</w:t>
                    </w:r>
                    <w:r>
                      <w:rPr>
                        <w:rFonts w:ascii="Times New Roman" w:hAnsi="Times New Roman" w:hint="eastAsia"/>
                        <w:szCs w:val="21"/>
                      </w:rPr>
                      <w:t>3</w:t>
                    </w:r>
                    <w:r>
                      <w:rPr>
                        <w:rFonts w:hint="eastAsia"/>
                        <w:szCs w:val="21"/>
                      </w:rPr>
                      <w:t>年</w:t>
                    </w:r>
                  </w:p>
                </w:tc>
              </w:sdtContent>
            </w:sdt>
            <w:tc>
              <w:tcPr>
                <w:tcW w:w="2566" w:type="pct"/>
                <w:tcBorders>
                  <w:top w:val="single" w:sz="4" w:space="0" w:color="auto"/>
                  <w:left w:val="single" w:sz="4" w:space="0" w:color="auto"/>
                  <w:bottom w:val="single" w:sz="4" w:space="0" w:color="auto"/>
                  <w:right w:val="single" w:sz="4" w:space="0" w:color="auto"/>
                </w:tcBorders>
                <w:vAlign w:val="bottom"/>
              </w:tcPr>
              <w:p w14:paraId="3CC295D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43,591,814.37</w:t>
                </w:r>
              </w:p>
            </w:tc>
          </w:tr>
          <w:tr w:rsidR="00D21C1F" w14:paraId="6888CB80" w14:textId="77777777">
            <w:trPr>
              <w:cantSplit/>
            </w:trPr>
            <w:sdt>
              <w:sdtPr>
                <w:tag w:val="_PLD_fd1f00d60b69467bbd45960ac76b73ab"/>
                <w:id w:val="-63339590"/>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1DAB33C1" w14:textId="77777777" w:rsidR="00D21C1F" w:rsidRDefault="00A42880">
                    <w:pPr>
                      <w:rPr>
                        <w:szCs w:val="21"/>
                      </w:rPr>
                    </w:pPr>
                    <w:r>
                      <w:rPr>
                        <w:rFonts w:ascii="Times New Roman" w:hAnsi="Times New Roman" w:hint="eastAsia"/>
                        <w:szCs w:val="21"/>
                      </w:rPr>
                      <w:t>3</w:t>
                    </w:r>
                    <w:r>
                      <w:rPr>
                        <w:rFonts w:hint="eastAsia"/>
                        <w:szCs w:val="21"/>
                      </w:rPr>
                      <w:t>至</w:t>
                    </w:r>
                    <w:r>
                      <w:rPr>
                        <w:rFonts w:ascii="Times New Roman" w:hAnsi="Times New Roman" w:hint="eastAsia"/>
                        <w:szCs w:val="21"/>
                      </w:rPr>
                      <w:t>4</w:t>
                    </w:r>
                    <w:r>
                      <w:rPr>
                        <w:rFonts w:hint="eastAsia"/>
                        <w:szCs w:val="21"/>
                      </w:rPr>
                      <w:t>年</w:t>
                    </w:r>
                  </w:p>
                </w:tc>
              </w:sdtContent>
            </w:sdt>
            <w:tc>
              <w:tcPr>
                <w:tcW w:w="2566" w:type="pct"/>
                <w:tcBorders>
                  <w:top w:val="single" w:sz="4" w:space="0" w:color="auto"/>
                  <w:left w:val="single" w:sz="4" w:space="0" w:color="auto"/>
                  <w:bottom w:val="single" w:sz="4" w:space="0" w:color="auto"/>
                  <w:right w:val="single" w:sz="4" w:space="0" w:color="auto"/>
                </w:tcBorders>
                <w:vAlign w:val="bottom"/>
              </w:tcPr>
              <w:p w14:paraId="4BED454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16,471,719.59</w:t>
                </w:r>
              </w:p>
            </w:tc>
          </w:tr>
          <w:tr w:rsidR="00D21C1F" w14:paraId="6B707E43" w14:textId="77777777">
            <w:trPr>
              <w:cantSplit/>
            </w:trPr>
            <w:sdt>
              <w:sdtPr>
                <w:tag w:val="_PLD_8db7bbb254fd40b486e26e8b3e40a316"/>
                <w:id w:val="-427347168"/>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62F3EB9A" w14:textId="77777777" w:rsidR="00D21C1F" w:rsidRDefault="00A42880">
                    <w:pPr>
                      <w:rPr>
                        <w:szCs w:val="21"/>
                      </w:rPr>
                    </w:pPr>
                    <w:r>
                      <w:rPr>
                        <w:rFonts w:ascii="Times New Roman" w:hAnsi="Times New Roman" w:hint="eastAsia"/>
                        <w:szCs w:val="21"/>
                      </w:rPr>
                      <w:t>4</w:t>
                    </w:r>
                    <w:r>
                      <w:rPr>
                        <w:rFonts w:hint="eastAsia"/>
                        <w:szCs w:val="21"/>
                      </w:rPr>
                      <w:t>至</w:t>
                    </w:r>
                    <w:r>
                      <w:rPr>
                        <w:rFonts w:ascii="Times New Roman" w:hAnsi="Times New Roman" w:hint="eastAsia"/>
                        <w:szCs w:val="21"/>
                      </w:rPr>
                      <w:t>5</w:t>
                    </w:r>
                    <w:r>
                      <w:rPr>
                        <w:rFonts w:hint="eastAsia"/>
                        <w:szCs w:val="21"/>
                      </w:rPr>
                      <w:t>年</w:t>
                    </w:r>
                  </w:p>
                </w:tc>
              </w:sdtContent>
            </w:sdt>
            <w:tc>
              <w:tcPr>
                <w:tcW w:w="2566" w:type="pct"/>
                <w:tcBorders>
                  <w:top w:val="single" w:sz="4" w:space="0" w:color="auto"/>
                  <w:left w:val="single" w:sz="4" w:space="0" w:color="auto"/>
                  <w:bottom w:val="single" w:sz="4" w:space="0" w:color="auto"/>
                  <w:right w:val="single" w:sz="4" w:space="0" w:color="auto"/>
                </w:tcBorders>
                <w:vAlign w:val="bottom"/>
              </w:tcPr>
              <w:p w14:paraId="42A267A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9,186,679.01</w:t>
                </w:r>
              </w:p>
            </w:tc>
          </w:tr>
          <w:tr w:rsidR="00D21C1F" w14:paraId="74E7E343" w14:textId="77777777">
            <w:trPr>
              <w:cantSplit/>
            </w:trPr>
            <w:sdt>
              <w:sdtPr>
                <w:tag w:val="_PLD_e4213ce4e1fb477baea80cfbb361b8a7"/>
                <w:id w:val="-1569643142"/>
                <w:lock w:val="sdtLocked"/>
              </w:sdtPr>
              <w:sdtEndPr/>
              <w:sdtContent>
                <w:tc>
                  <w:tcPr>
                    <w:tcW w:w="2434" w:type="pct"/>
                    <w:tcBorders>
                      <w:top w:val="single" w:sz="4" w:space="0" w:color="auto"/>
                      <w:left w:val="single" w:sz="4" w:space="0" w:color="auto"/>
                      <w:bottom w:val="single" w:sz="4" w:space="0" w:color="auto"/>
                      <w:right w:val="single" w:sz="4" w:space="0" w:color="auto"/>
                    </w:tcBorders>
                  </w:tcPr>
                  <w:p w14:paraId="55A8BA70" w14:textId="77777777" w:rsidR="00D21C1F" w:rsidRDefault="00A42880">
                    <w:pPr>
                      <w:rPr>
                        <w:szCs w:val="21"/>
                      </w:rPr>
                    </w:pPr>
                    <w:r>
                      <w:rPr>
                        <w:rFonts w:ascii="Times New Roman" w:hAnsi="Times New Roman" w:hint="eastAsia"/>
                        <w:szCs w:val="21"/>
                      </w:rPr>
                      <w:t>5</w:t>
                    </w:r>
                    <w:r>
                      <w:rPr>
                        <w:rFonts w:hint="eastAsia"/>
                        <w:szCs w:val="21"/>
                      </w:rPr>
                      <w:t>年以上</w:t>
                    </w:r>
                  </w:p>
                </w:tc>
              </w:sdtContent>
            </w:sdt>
            <w:tc>
              <w:tcPr>
                <w:tcW w:w="2566" w:type="pct"/>
                <w:tcBorders>
                  <w:top w:val="single" w:sz="4" w:space="0" w:color="auto"/>
                  <w:left w:val="single" w:sz="4" w:space="0" w:color="auto"/>
                  <w:bottom w:val="single" w:sz="4" w:space="0" w:color="auto"/>
                  <w:right w:val="single" w:sz="4" w:space="0" w:color="auto"/>
                </w:tcBorders>
                <w:vAlign w:val="bottom"/>
              </w:tcPr>
              <w:p w14:paraId="45053C5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68,001,253.87</w:t>
                </w:r>
              </w:p>
            </w:tc>
          </w:tr>
          <w:sdt>
            <w:sdtPr>
              <w:rPr>
                <w:rFonts w:eastAsia="宋体"/>
              </w:rPr>
              <w:alias w:val="按账龄分析法计提坏账准备的应收账款明细"/>
              <w:tag w:val="_TUP_49a65c8bff8745348a4a277e8da6df2e"/>
              <w:id w:val="-101582574"/>
              <w:lock w:val="sdtLocked"/>
            </w:sdtPr>
            <w:sdtEndPr>
              <w:rPr>
                <w:rFonts w:ascii="Times New Roman" w:hAnsi="Times New Roman" w:cs="Times New Roman"/>
                <w:szCs w:val="21"/>
              </w:rPr>
            </w:sdtEndPr>
            <w:sdtContent>
              <w:tr w:rsidR="00D21C1F" w14:paraId="3F70E03C" w14:textId="77777777">
                <w:trPr>
                  <w:cantSplit/>
                </w:trPr>
                <w:tc>
                  <w:tcPr>
                    <w:tcW w:w="2434" w:type="pct"/>
                    <w:tcBorders>
                      <w:top w:val="single" w:sz="4" w:space="0" w:color="auto"/>
                      <w:left w:val="single" w:sz="4" w:space="0" w:color="auto"/>
                      <w:bottom w:val="single" w:sz="4" w:space="0" w:color="auto"/>
                      <w:right w:val="single" w:sz="4" w:space="0" w:color="auto"/>
                    </w:tcBorders>
                  </w:tcPr>
                  <w:p w14:paraId="7F067A7F" w14:textId="2E01EDC5" w:rsidR="00D21C1F" w:rsidRDefault="00A42880">
                    <w:pPr>
                      <w:pStyle w:val="97"/>
                    </w:pPr>
                    <w:r>
                      <w:rPr>
                        <w:rFonts w:hint="eastAsia"/>
                      </w:rPr>
                      <w:t>减值准备</w:t>
                    </w:r>
                  </w:p>
                </w:tc>
                <w:tc>
                  <w:tcPr>
                    <w:tcW w:w="2566" w:type="pct"/>
                    <w:tcBorders>
                      <w:top w:val="single" w:sz="4" w:space="0" w:color="auto"/>
                      <w:left w:val="single" w:sz="4" w:space="0" w:color="auto"/>
                      <w:bottom w:val="single" w:sz="4" w:space="0" w:color="auto"/>
                      <w:right w:val="single" w:sz="4" w:space="0" w:color="auto"/>
                    </w:tcBorders>
                    <w:vAlign w:val="bottom"/>
                  </w:tcPr>
                  <w:p w14:paraId="36964F67"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-148,826,611.06</w:t>
                    </w:r>
                  </w:p>
                </w:tc>
              </w:tr>
            </w:sdtContent>
          </w:sdt>
          <w:tr w:rsidR="00D21C1F" w14:paraId="095E8D0F" w14:textId="77777777">
            <w:trPr>
              <w:cantSplit/>
            </w:trPr>
            <w:sdt>
              <w:sdtPr>
                <w:tag w:val="_PLD_a92bd573499a45f88eb09857cbe19e80"/>
                <w:id w:val="-1795980769"/>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68573204" w14:textId="77777777" w:rsidR="00D21C1F" w:rsidRDefault="00A42880">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vAlign w:val="bottom"/>
              </w:tcPr>
              <w:p w14:paraId="7426A395"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483,977,682.55</w:t>
                </w:r>
              </w:p>
            </w:tc>
          </w:tr>
        </w:tbl>
        <w:p w14:paraId="0B562ABB" w14:textId="77777777" w:rsidR="00D21C1F" w:rsidRDefault="00D21C1F">
          <w:pPr>
            <w:pStyle w:val="93"/>
            <w:tabs>
              <w:tab w:val="left" w:pos="574"/>
            </w:tabs>
            <w:sectPr w:rsidR="00D21C1F">
              <w:pgSz w:w="11906" w:h="16838"/>
              <w:pgMar w:top="1525" w:right="1276" w:bottom="1440" w:left="1797" w:header="856" w:footer="992" w:gutter="0"/>
              <w:cols w:space="425"/>
              <w:docGrid w:linePitch="312"/>
            </w:sectPr>
          </w:pPr>
        </w:p>
        <w:p w14:paraId="03B1F6D8" w14:textId="77777777" w:rsidR="00D21C1F" w:rsidRDefault="00045EC6">
          <w:pPr>
            <w:pStyle w:val="93"/>
            <w:tabs>
              <w:tab w:val="left" w:pos="574"/>
            </w:tabs>
          </w:pPr>
        </w:p>
      </w:sdtContent>
    </w:sdt>
    <w:p w14:paraId="5D5764B4" w14:textId="77777777" w:rsidR="00D21C1F" w:rsidRDefault="00A42880">
      <w:pPr>
        <w:pStyle w:val="93"/>
        <w:numPr>
          <w:ilvl w:val="3"/>
          <w:numId w:val="97"/>
        </w:numPr>
        <w:tabs>
          <w:tab w:val="left" w:pos="574"/>
        </w:tabs>
        <w:rPr>
          <w:rFonts w:ascii="宋体" w:hAnsi="宋体"/>
        </w:rPr>
      </w:pPr>
      <w:bookmarkStart w:id="181" w:name="_Hlk10467162"/>
      <w:bookmarkEnd w:id="180"/>
      <w:r>
        <w:rPr>
          <w:rFonts w:ascii="宋体" w:hAnsi="宋体" w:cstheme="minorBidi" w:hint="eastAsia"/>
          <w:bCs w:val="0"/>
          <w:kern w:val="0"/>
          <w:szCs w:val="22"/>
        </w:rPr>
        <w:t>按坏账计提方法分类披露</w:t>
      </w:r>
    </w:p>
    <w:sdt>
      <w:sdtPr>
        <w:alias w:val="是否适用：应收账款分类披露[双击切换]"/>
        <w:tag w:val="_GBC_fc55e6778e08412caa3e7b9e7a1a0f85"/>
        <w:id w:val="-311569959"/>
        <w:lock w:val="sdtContentLocked"/>
        <w:placeholder>
          <w:docPart w:val="GBC22222222222222222222222222222"/>
        </w:placeholder>
      </w:sdtPr>
      <w:sdtEndPr/>
      <w:sdtContent>
        <w:p w14:paraId="7CBF3BF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F6D1048" w14:textId="77777777" w:rsidR="00D21C1F" w:rsidRDefault="00A42880">
      <w:pPr>
        <w:pStyle w:val="67"/>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13874a7a2d5642bc9d06df2e53ad133f"/>
          <w:id w:val="-321131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szCs w:val="21"/>
        </w:rPr>
        <w:t xml:space="preserve"> </w:t>
      </w:r>
      <w:r>
        <w:rPr>
          <w:rFonts w:ascii="宋体" w:hAnsi="宋体" w:hint="eastAsia"/>
          <w:szCs w:val="21"/>
        </w:rPr>
        <w:t>币种：</w:t>
      </w:r>
      <w:sdt>
        <w:sdtPr>
          <w:rPr>
            <w:rFonts w:ascii="宋体" w:hAnsi="宋体" w:hint="eastAsia"/>
            <w:szCs w:val="21"/>
          </w:rPr>
          <w:alias w:val="币种：财务附注：应收账款按种类披露"/>
          <w:tag w:val="_GBC_a7c9ba83409d4f5ebb3a7b0903842485"/>
          <w:id w:val="1309366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978"/>
        <w:gridCol w:w="1312"/>
        <w:gridCol w:w="977"/>
        <w:gridCol w:w="1312"/>
        <w:gridCol w:w="1004"/>
        <w:gridCol w:w="1312"/>
        <w:gridCol w:w="1312"/>
        <w:gridCol w:w="1004"/>
        <w:gridCol w:w="1312"/>
        <w:gridCol w:w="1028"/>
        <w:gridCol w:w="1312"/>
      </w:tblGrid>
      <w:tr w:rsidR="00D21C1F" w14:paraId="3A2F4FEA" w14:textId="77777777">
        <w:trPr>
          <w:cantSplit/>
          <w:trHeight w:val="259"/>
        </w:trPr>
        <w:bookmarkStart w:id="182" w:name="_Hlk79917550" w:displacedByCustomXml="next"/>
        <w:sdt>
          <w:sdtPr>
            <w:tag w:val="_PLD_a2143754c0e847e9a8bbb40d4548066c"/>
            <w:id w:val="-811326923"/>
            <w:lock w:val="sdtLocked"/>
          </w:sdtPr>
          <w:sdtEndPr/>
          <w:sdtContent>
            <w:tc>
              <w:tcPr>
                <w:tcW w:w="776" w:type="pct"/>
                <w:vMerge w:val="restart"/>
                <w:tcBorders>
                  <w:top w:val="single" w:sz="4" w:space="0" w:color="auto"/>
                  <w:left w:val="single" w:sz="4" w:space="0" w:color="auto"/>
                  <w:right w:val="single" w:sz="4" w:space="0" w:color="auto"/>
                </w:tcBorders>
                <w:vAlign w:val="center"/>
              </w:tcPr>
              <w:p w14:paraId="26167CFD" w14:textId="77777777" w:rsidR="00D21C1F" w:rsidRDefault="00A42880">
                <w:pPr>
                  <w:jc w:val="center"/>
                  <w:rPr>
                    <w:szCs w:val="21"/>
                  </w:rPr>
                </w:pPr>
                <w:r>
                  <w:rPr>
                    <w:rFonts w:hint="eastAsia"/>
                    <w:szCs w:val="21"/>
                  </w:rPr>
                  <w:t>类别</w:t>
                </w:r>
              </w:p>
            </w:tc>
          </w:sdtContent>
        </w:sdt>
        <w:sdt>
          <w:sdtPr>
            <w:tag w:val="_PLD_25d42b68a0be4b6c9079bb6f0b9688f1"/>
            <w:id w:val="-1765759732"/>
            <w:lock w:val="sdtLocked"/>
          </w:sdtPr>
          <w:sdtEndPr/>
          <w:sdtContent>
            <w:tc>
              <w:tcPr>
                <w:tcW w:w="2086" w:type="pct"/>
                <w:gridSpan w:val="5"/>
                <w:tcBorders>
                  <w:top w:val="single" w:sz="4" w:space="0" w:color="auto"/>
                  <w:left w:val="single" w:sz="4" w:space="0" w:color="auto"/>
                  <w:right w:val="single" w:sz="4" w:space="0" w:color="auto"/>
                </w:tcBorders>
                <w:vAlign w:val="center"/>
              </w:tcPr>
              <w:p w14:paraId="47C5BFCA"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ebf4817a5864c42bb0897c8ddd0cd9c"/>
            <w:id w:val="276148168"/>
            <w:lock w:val="sdtLocked"/>
          </w:sdtPr>
          <w:sdtEndPr/>
          <w:sdtContent>
            <w:tc>
              <w:tcPr>
                <w:tcW w:w="2138" w:type="pct"/>
                <w:gridSpan w:val="5"/>
                <w:tcBorders>
                  <w:top w:val="single" w:sz="4" w:space="0" w:color="auto"/>
                  <w:left w:val="single" w:sz="4" w:space="0" w:color="auto"/>
                  <w:right w:val="single" w:sz="4" w:space="0" w:color="auto"/>
                </w:tcBorders>
                <w:vAlign w:val="center"/>
              </w:tcPr>
              <w:p w14:paraId="085B85F9"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tr w:rsidR="00D21C1F" w14:paraId="3610DA1A" w14:textId="77777777">
        <w:trPr>
          <w:cantSplit/>
          <w:trHeight w:val="227"/>
        </w:trPr>
        <w:tc>
          <w:tcPr>
            <w:tcW w:w="776" w:type="pct"/>
            <w:vMerge/>
            <w:tcBorders>
              <w:left w:val="single" w:sz="4" w:space="0" w:color="auto"/>
              <w:right w:val="single" w:sz="4" w:space="0" w:color="auto"/>
            </w:tcBorders>
            <w:vAlign w:val="center"/>
          </w:tcPr>
          <w:p w14:paraId="44198F29" w14:textId="77777777" w:rsidR="00D21C1F" w:rsidRDefault="00D21C1F">
            <w:pPr>
              <w:rPr>
                <w:szCs w:val="21"/>
              </w:rPr>
            </w:pPr>
          </w:p>
        </w:tc>
        <w:sdt>
          <w:sdtPr>
            <w:tag w:val="_PLD_fd64cffe158d4ef48a5ff569de778464"/>
            <w:id w:val="-452323566"/>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2395F8DB" w14:textId="77777777" w:rsidR="00D21C1F" w:rsidRDefault="00A42880">
                <w:pPr>
                  <w:jc w:val="center"/>
                  <w:rPr>
                    <w:szCs w:val="21"/>
                  </w:rPr>
                </w:pPr>
                <w:r>
                  <w:rPr>
                    <w:rFonts w:hint="eastAsia"/>
                    <w:szCs w:val="21"/>
                  </w:rPr>
                  <w:t>账面余额</w:t>
                </w:r>
              </w:p>
            </w:tc>
          </w:sdtContent>
        </w:sdt>
        <w:sdt>
          <w:sdtPr>
            <w:tag w:val="_PLD_f0f4adcb95c44cfa884ef7d853d6b134"/>
            <w:id w:val="1528287874"/>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4B789EAF" w14:textId="77777777" w:rsidR="00D21C1F" w:rsidRDefault="00A42880">
                <w:pPr>
                  <w:jc w:val="center"/>
                  <w:rPr>
                    <w:szCs w:val="21"/>
                  </w:rPr>
                </w:pPr>
                <w:r>
                  <w:rPr>
                    <w:rFonts w:hint="eastAsia"/>
                    <w:szCs w:val="21"/>
                  </w:rPr>
                  <w:t>坏账准备</w:t>
                </w:r>
              </w:p>
            </w:tc>
          </w:sdtContent>
        </w:sdt>
        <w:sdt>
          <w:sdtPr>
            <w:tag w:val="_PLD_4c122527ed0743b8905d9f19514f4328"/>
            <w:id w:val="474336109"/>
            <w:lock w:val="sdtLocked"/>
          </w:sdtPr>
          <w:sdtEndPr/>
          <w:sdtContent>
            <w:tc>
              <w:tcPr>
                <w:tcW w:w="413" w:type="pct"/>
                <w:vMerge w:val="restart"/>
                <w:tcBorders>
                  <w:top w:val="single" w:sz="4" w:space="0" w:color="auto"/>
                  <w:left w:val="single" w:sz="4" w:space="0" w:color="auto"/>
                  <w:right w:val="single" w:sz="4" w:space="0" w:color="auto"/>
                </w:tcBorders>
                <w:vAlign w:val="center"/>
              </w:tcPr>
              <w:p w14:paraId="6D6C7118" w14:textId="77777777" w:rsidR="00D21C1F" w:rsidRDefault="00A42880">
                <w:pPr>
                  <w:jc w:val="center"/>
                  <w:rPr>
                    <w:szCs w:val="21"/>
                  </w:rPr>
                </w:pPr>
                <w:r>
                  <w:rPr>
                    <w:rFonts w:hint="eastAsia"/>
                    <w:szCs w:val="21"/>
                  </w:rPr>
                  <w:t>账面</w:t>
                </w:r>
              </w:p>
              <w:p w14:paraId="743B9788" w14:textId="77777777" w:rsidR="00D21C1F" w:rsidRDefault="00A42880">
                <w:pPr>
                  <w:jc w:val="center"/>
                  <w:rPr>
                    <w:szCs w:val="21"/>
                  </w:rPr>
                </w:pPr>
                <w:r>
                  <w:rPr>
                    <w:rFonts w:hint="eastAsia"/>
                    <w:szCs w:val="21"/>
                  </w:rPr>
                  <w:t>价值</w:t>
                </w:r>
              </w:p>
            </w:tc>
          </w:sdtContent>
        </w:sdt>
        <w:sdt>
          <w:sdtPr>
            <w:tag w:val="_PLD_fa758d9eb4ae426faef8e328262241b4"/>
            <w:id w:val="-2021230151"/>
            <w:lock w:val="sdtLocked"/>
          </w:sdtPr>
          <w:sdtEndPr/>
          <w:sdtContent>
            <w:tc>
              <w:tcPr>
                <w:tcW w:w="861" w:type="pct"/>
                <w:gridSpan w:val="2"/>
                <w:tcBorders>
                  <w:top w:val="single" w:sz="4" w:space="0" w:color="auto"/>
                  <w:left w:val="single" w:sz="4" w:space="0" w:color="auto"/>
                  <w:right w:val="single" w:sz="4" w:space="0" w:color="auto"/>
                </w:tcBorders>
                <w:vAlign w:val="center"/>
              </w:tcPr>
              <w:p w14:paraId="2D313950" w14:textId="77777777" w:rsidR="00D21C1F" w:rsidRDefault="00A42880">
                <w:pPr>
                  <w:jc w:val="center"/>
                  <w:rPr>
                    <w:szCs w:val="21"/>
                  </w:rPr>
                </w:pPr>
                <w:r>
                  <w:rPr>
                    <w:rFonts w:hint="eastAsia"/>
                    <w:szCs w:val="21"/>
                  </w:rPr>
                  <w:t>账面余额</w:t>
                </w:r>
              </w:p>
            </w:tc>
          </w:sdtContent>
        </w:sdt>
        <w:sdt>
          <w:sdtPr>
            <w:tag w:val="_PLD_58080bac137d4831ab65bc2f8ca82429"/>
            <w:id w:val="266208777"/>
            <w:lock w:val="sdtLocked"/>
          </w:sdtPr>
          <w:sdtEndPr/>
          <w:sdtContent>
            <w:tc>
              <w:tcPr>
                <w:tcW w:w="866" w:type="pct"/>
                <w:gridSpan w:val="2"/>
                <w:tcBorders>
                  <w:top w:val="single" w:sz="4" w:space="0" w:color="auto"/>
                  <w:left w:val="single" w:sz="4" w:space="0" w:color="auto"/>
                  <w:right w:val="single" w:sz="4" w:space="0" w:color="auto"/>
                </w:tcBorders>
                <w:vAlign w:val="center"/>
              </w:tcPr>
              <w:p w14:paraId="5470841C" w14:textId="77777777" w:rsidR="00D21C1F" w:rsidRDefault="00A42880">
                <w:pPr>
                  <w:jc w:val="center"/>
                  <w:rPr>
                    <w:szCs w:val="21"/>
                  </w:rPr>
                </w:pPr>
                <w:r>
                  <w:rPr>
                    <w:rFonts w:hint="eastAsia"/>
                    <w:szCs w:val="21"/>
                  </w:rPr>
                  <w:t>坏账准备</w:t>
                </w:r>
              </w:p>
            </w:tc>
          </w:sdtContent>
        </w:sdt>
        <w:sdt>
          <w:sdtPr>
            <w:tag w:val="_PLD_c015e43e7b384b6ab9bf259155579fa4"/>
            <w:id w:val="-1079670982"/>
            <w:lock w:val="sdtLocked"/>
          </w:sdtPr>
          <w:sdtEndPr/>
          <w:sdtContent>
            <w:tc>
              <w:tcPr>
                <w:tcW w:w="411" w:type="pct"/>
                <w:vMerge w:val="restart"/>
                <w:tcBorders>
                  <w:top w:val="single" w:sz="4" w:space="0" w:color="auto"/>
                  <w:left w:val="single" w:sz="4" w:space="0" w:color="auto"/>
                  <w:right w:val="single" w:sz="4" w:space="0" w:color="auto"/>
                </w:tcBorders>
                <w:vAlign w:val="center"/>
              </w:tcPr>
              <w:p w14:paraId="7B88FC09" w14:textId="77777777" w:rsidR="00D21C1F" w:rsidRDefault="00A42880">
                <w:pPr>
                  <w:jc w:val="center"/>
                  <w:rPr>
                    <w:szCs w:val="21"/>
                  </w:rPr>
                </w:pPr>
                <w:r>
                  <w:rPr>
                    <w:rFonts w:hint="eastAsia"/>
                    <w:szCs w:val="21"/>
                  </w:rPr>
                  <w:t>账面</w:t>
                </w:r>
              </w:p>
              <w:p w14:paraId="5139EB9E" w14:textId="77777777" w:rsidR="00D21C1F" w:rsidRDefault="00A42880">
                <w:pPr>
                  <w:jc w:val="center"/>
                  <w:rPr>
                    <w:szCs w:val="21"/>
                  </w:rPr>
                </w:pPr>
                <w:r>
                  <w:rPr>
                    <w:rFonts w:hint="eastAsia"/>
                    <w:szCs w:val="21"/>
                  </w:rPr>
                  <w:t>价值</w:t>
                </w:r>
              </w:p>
            </w:tc>
          </w:sdtContent>
        </w:sdt>
      </w:tr>
      <w:tr w:rsidR="00D21C1F" w14:paraId="7D8F7DF6" w14:textId="77777777">
        <w:trPr>
          <w:cantSplit/>
          <w:trHeight w:val="375"/>
        </w:trPr>
        <w:tc>
          <w:tcPr>
            <w:tcW w:w="776" w:type="pct"/>
            <w:vMerge/>
            <w:tcBorders>
              <w:left w:val="single" w:sz="4" w:space="0" w:color="auto"/>
              <w:bottom w:val="single" w:sz="4" w:space="0" w:color="auto"/>
              <w:right w:val="single" w:sz="4" w:space="0" w:color="auto"/>
            </w:tcBorders>
            <w:vAlign w:val="center"/>
          </w:tcPr>
          <w:p w14:paraId="3F8BD8C8" w14:textId="77777777" w:rsidR="00D21C1F" w:rsidRDefault="00D21C1F">
            <w:pPr>
              <w:rPr>
                <w:szCs w:val="21"/>
              </w:rPr>
            </w:pPr>
          </w:p>
        </w:tc>
        <w:sdt>
          <w:sdtPr>
            <w:tag w:val="_PLD_2a622138bde346ccae812608989b472d"/>
            <w:id w:val="635920906"/>
            <w:lock w:val="sdtLocked"/>
          </w:sdtPr>
          <w:sdtEndPr/>
          <w:sdtContent>
            <w:tc>
              <w:tcPr>
                <w:tcW w:w="420" w:type="pct"/>
                <w:tcBorders>
                  <w:left w:val="single" w:sz="4" w:space="0" w:color="auto"/>
                  <w:bottom w:val="single" w:sz="4" w:space="0" w:color="auto"/>
                  <w:right w:val="single" w:sz="4" w:space="0" w:color="auto"/>
                </w:tcBorders>
                <w:vAlign w:val="center"/>
              </w:tcPr>
              <w:p w14:paraId="7308597A" w14:textId="77777777" w:rsidR="00D21C1F" w:rsidRDefault="00A42880">
                <w:pPr>
                  <w:jc w:val="center"/>
                  <w:rPr>
                    <w:szCs w:val="21"/>
                  </w:rPr>
                </w:pPr>
                <w:r>
                  <w:rPr>
                    <w:rFonts w:hint="eastAsia"/>
                    <w:szCs w:val="21"/>
                  </w:rPr>
                  <w:t>金额</w:t>
                </w:r>
              </w:p>
            </w:tc>
          </w:sdtContent>
        </w:sdt>
        <w:sdt>
          <w:sdtPr>
            <w:tag w:val="_PLD_abd0e3a320c240aeb85b1414af26aa00"/>
            <w:id w:val="-2111510057"/>
            <w:lock w:val="sdtLocked"/>
          </w:sdtPr>
          <w:sdtEndPr/>
          <w:sdtContent>
            <w:tc>
              <w:tcPr>
                <w:tcW w:w="415" w:type="pct"/>
                <w:tcBorders>
                  <w:left w:val="single" w:sz="4" w:space="0" w:color="auto"/>
                  <w:bottom w:val="single" w:sz="4" w:space="0" w:color="auto"/>
                  <w:right w:val="single" w:sz="4" w:space="0" w:color="auto"/>
                </w:tcBorders>
                <w:vAlign w:val="center"/>
              </w:tcPr>
              <w:p w14:paraId="225DA1F2" w14:textId="77777777" w:rsidR="00D21C1F" w:rsidRDefault="00A42880">
                <w:pPr>
                  <w:jc w:val="center"/>
                  <w:rPr>
                    <w:szCs w:val="21"/>
                  </w:rPr>
                </w:pPr>
                <w:r>
                  <w:rPr>
                    <w:rFonts w:hint="eastAsia"/>
                    <w:szCs w:val="21"/>
                  </w:rPr>
                  <w:t>比例</w:t>
                </w:r>
                <w:r>
                  <w:rPr>
                    <w:szCs w:val="21"/>
                  </w:rPr>
                  <w:t>(%)</w:t>
                </w:r>
              </w:p>
            </w:tc>
          </w:sdtContent>
        </w:sdt>
        <w:sdt>
          <w:sdtPr>
            <w:tag w:val="_PLD_d60468b4e5934fb9af3ebf3b3ca06a6b"/>
            <w:id w:val="1160575358"/>
            <w:lock w:val="sdtLocked"/>
          </w:sdtPr>
          <w:sdtEndPr/>
          <w:sdtContent>
            <w:tc>
              <w:tcPr>
                <w:tcW w:w="413" w:type="pct"/>
                <w:tcBorders>
                  <w:left w:val="single" w:sz="4" w:space="0" w:color="auto"/>
                  <w:bottom w:val="single" w:sz="4" w:space="0" w:color="auto"/>
                  <w:right w:val="single" w:sz="4" w:space="0" w:color="auto"/>
                </w:tcBorders>
                <w:vAlign w:val="center"/>
              </w:tcPr>
              <w:p w14:paraId="7D1A87DE" w14:textId="77777777" w:rsidR="00D21C1F" w:rsidRDefault="00A42880">
                <w:pPr>
                  <w:jc w:val="center"/>
                  <w:rPr>
                    <w:szCs w:val="21"/>
                  </w:rPr>
                </w:pPr>
                <w:r>
                  <w:rPr>
                    <w:rFonts w:hint="eastAsia"/>
                    <w:szCs w:val="21"/>
                  </w:rPr>
                  <w:t>金额</w:t>
                </w:r>
              </w:p>
            </w:tc>
          </w:sdtContent>
        </w:sdt>
        <w:sdt>
          <w:sdtPr>
            <w:tag w:val="_PLD_743ca215156149608b4d9149bc142cc3"/>
            <w:id w:val="-913766734"/>
            <w:lock w:val="sdtLocked"/>
          </w:sdtPr>
          <w:sdtEndPr/>
          <w:sdtContent>
            <w:tc>
              <w:tcPr>
                <w:tcW w:w="425" w:type="pct"/>
                <w:tcBorders>
                  <w:left w:val="single" w:sz="4" w:space="0" w:color="auto"/>
                  <w:bottom w:val="single" w:sz="4" w:space="0" w:color="auto"/>
                  <w:right w:val="single" w:sz="4" w:space="0" w:color="auto"/>
                </w:tcBorders>
                <w:vAlign w:val="center"/>
              </w:tcPr>
              <w:p w14:paraId="7DDB505F" w14:textId="77777777" w:rsidR="00D21C1F" w:rsidRDefault="00A42880">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14:paraId="61A74F1C" w14:textId="77777777" w:rsidR="00D21C1F" w:rsidRDefault="00D21C1F">
            <w:pPr>
              <w:jc w:val="center"/>
              <w:rPr>
                <w:szCs w:val="21"/>
              </w:rPr>
            </w:pPr>
          </w:p>
        </w:tc>
        <w:sdt>
          <w:sdtPr>
            <w:tag w:val="_PLD_88061469e7574f3d93ff9dc8f7c03e2d"/>
            <w:id w:val="567087624"/>
            <w:lock w:val="sdtLocked"/>
          </w:sdtPr>
          <w:sdtEndPr/>
          <w:sdtContent>
            <w:tc>
              <w:tcPr>
                <w:tcW w:w="436" w:type="pct"/>
                <w:tcBorders>
                  <w:left w:val="single" w:sz="4" w:space="0" w:color="auto"/>
                  <w:bottom w:val="single" w:sz="4" w:space="0" w:color="auto"/>
                  <w:right w:val="single" w:sz="4" w:space="0" w:color="auto"/>
                </w:tcBorders>
                <w:vAlign w:val="center"/>
              </w:tcPr>
              <w:p w14:paraId="6A92D616" w14:textId="77777777" w:rsidR="00D21C1F" w:rsidRDefault="00A42880">
                <w:pPr>
                  <w:jc w:val="center"/>
                  <w:rPr>
                    <w:szCs w:val="21"/>
                  </w:rPr>
                </w:pPr>
                <w:r>
                  <w:rPr>
                    <w:rFonts w:hint="eastAsia"/>
                    <w:szCs w:val="21"/>
                  </w:rPr>
                  <w:t>金额</w:t>
                </w:r>
              </w:p>
            </w:tc>
          </w:sdtContent>
        </w:sdt>
        <w:sdt>
          <w:sdtPr>
            <w:tag w:val="_PLD_c2b4bd19b5284f3481bdd6a3becafce0"/>
            <w:id w:val="219637345"/>
            <w:lock w:val="sdtLocked"/>
          </w:sdtPr>
          <w:sdtEndPr/>
          <w:sdtContent>
            <w:tc>
              <w:tcPr>
                <w:tcW w:w="425" w:type="pct"/>
                <w:tcBorders>
                  <w:left w:val="single" w:sz="4" w:space="0" w:color="auto"/>
                  <w:bottom w:val="single" w:sz="4" w:space="0" w:color="auto"/>
                  <w:right w:val="single" w:sz="4" w:space="0" w:color="auto"/>
                </w:tcBorders>
                <w:vAlign w:val="center"/>
              </w:tcPr>
              <w:p w14:paraId="1E2BFFEF" w14:textId="77777777" w:rsidR="00D21C1F" w:rsidRDefault="00A42880">
                <w:pPr>
                  <w:jc w:val="center"/>
                  <w:rPr>
                    <w:szCs w:val="21"/>
                  </w:rPr>
                </w:pPr>
                <w:r>
                  <w:rPr>
                    <w:rFonts w:hint="eastAsia"/>
                    <w:szCs w:val="21"/>
                  </w:rPr>
                  <w:t>比例</w:t>
                </w:r>
                <w:r>
                  <w:rPr>
                    <w:szCs w:val="21"/>
                  </w:rPr>
                  <w:t>(%)</w:t>
                </w:r>
              </w:p>
            </w:tc>
          </w:sdtContent>
        </w:sdt>
        <w:sdt>
          <w:sdtPr>
            <w:tag w:val="_PLD_c6874c65e4ac43019002d5903e4b46d6"/>
            <w:id w:val="-23949992"/>
            <w:lock w:val="sdtLocked"/>
          </w:sdtPr>
          <w:sdtEndPr/>
          <w:sdtContent>
            <w:tc>
              <w:tcPr>
                <w:tcW w:w="433" w:type="pct"/>
                <w:tcBorders>
                  <w:left w:val="single" w:sz="4" w:space="0" w:color="auto"/>
                  <w:bottom w:val="single" w:sz="4" w:space="0" w:color="auto"/>
                  <w:right w:val="single" w:sz="4" w:space="0" w:color="auto"/>
                </w:tcBorders>
                <w:vAlign w:val="center"/>
              </w:tcPr>
              <w:p w14:paraId="1906238E" w14:textId="77777777" w:rsidR="00D21C1F" w:rsidRDefault="00A42880">
                <w:pPr>
                  <w:jc w:val="center"/>
                  <w:rPr>
                    <w:szCs w:val="21"/>
                  </w:rPr>
                </w:pPr>
                <w:r>
                  <w:rPr>
                    <w:rFonts w:hint="eastAsia"/>
                    <w:szCs w:val="21"/>
                  </w:rPr>
                  <w:t>金额</w:t>
                </w:r>
              </w:p>
            </w:tc>
          </w:sdtContent>
        </w:sdt>
        <w:sdt>
          <w:sdtPr>
            <w:tag w:val="_PLD_0596fb5f4bb147b48d9ab2f32535e71f"/>
            <w:id w:val="-1247800096"/>
            <w:lock w:val="sdtLocked"/>
          </w:sdtPr>
          <w:sdtEndPr/>
          <w:sdtContent>
            <w:tc>
              <w:tcPr>
                <w:tcW w:w="433" w:type="pct"/>
                <w:tcBorders>
                  <w:left w:val="single" w:sz="4" w:space="0" w:color="auto"/>
                  <w:bottom w:val="single" w:sz="4" w:space="0" w:color="auto"/>
                  <w:right w:val="single" w:sz="4" w:space="0" w:color="auto"/>
                </w:tcBorders>
                <w:vAlign w:val="center"/>
              </w:tcPr>
              <w:p w14:paraId="1B8ECD1D" w14:textId="77777777" w:rsidR="00D21C1F" w:rsidRDefault="00A42880">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14:paraId="505F92CC" w14:textId="77777777" w:rsidR="00D21C1F" w:rsidRDefault="00D21C1F">
            <w:pPr>
              <w:jc w:val="center"/>
              <w:rPr>
                <w:szCs w:val="21"/>
              </w:rPr>
            </w:pPr>
          </w:p>
        </w:tc>
      </w:tr>
      <w:tr w:rsidR="00D21C1F" w14:paraId="17671BD5" w14:textId="77777777">
        <w:trPr>
          <w:cantSplit/>
        </w:trPr>
        <w:sdt>
          <w:sdtPr>
            <w:tag w:val="_PLD_6413454a316c4103ae8bebbae0f082c2"/>
            <w:id w:val="337349587"/>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4E04F1E" w14:textId="77777777" w:rsidR="00D21C1F" w:rsidRDefault="00A42880">
                <w:pPr>
                  <w:jc w:val="both"/>
                  <w:rPr>
                    <w:szCs w:val="21"/>
                  </w:rPr>
                </w:pPr>
                <w:r>
                  <w:rPr>
                    <w:rFonts w:hint="eastAsia"/>
                    <w:szCs w:val="21"/>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vAlign w:val="bottom"/>
          </w:tcPr>
          <w:p w14:paraId="2C47D20B"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114,068,944.64</w:t>
            </w:r>
          </w:p>
        </w:tc>
        <w:tc>
          <w:tcPr>
            <w:tcW w:w="415" w:type="pct"/>
            <w:tcBorders>
              <w:top w:val="single" w:sz="4" w:space="0" w:color="auto"/>
              <w:left w:val="single" w:sz="4" w:space="0" w:color="auto"/>
              <w:bottom w:val="single" w:sz="4" w:space="0" w:color="auto"/>
              <w:right w:val="single" w:sz="4" w:space="0" w:color="auto"/>
            </w:tcBorders>
            <w:vAlign w:val="bottom"/>
          </w:tcPr>
          <w:p w14:paraId="5A51C6E9"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18.03</w:t>
            </w:r>
          </w:p>
        </w:tc>
        <w:tc>
          <w:tcPr>
            <w:tcW w:w="413" w:type="pct"/>
            <w:tcBorders>
              <w:top w:val="single" w:sz="4" w:space="0" w:color="auto"/>
              <w:left w:val="single" w:sz="4" w:space="0" w:color="auto"/>
              <w:bottom w:val="single" w:sz="4" w:space="0" w:color="auto"/>
              <w:right w:val="single" w:sz="4" w:space="0" w:color="auto"/>
            </w:tcBorders>
            <w:vAlign w:val="bottom"/>
          </w:tcPr>
          <w:p w14:paraId="0E48CD76"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96,343,458.66</w:t>
            </w:r>
          </w:p>
        </w:tc>
        <w:tc>
          <w:tcPr>
            <w:tcW w:w="425" w:type="pct"/>
            <w:tcBorders>
              <w:top w:val="single" w:sz="4" w:space="0" w:color="auto"/>
              <w:left w:val="single" w:sz="4" w:space="0" w:color="auto"/>
              <w:bottom w:val="single" w:sz="4" w:space="0" w:color="auto"/>
              <w:right w:val="single" w:sz="4" w:space="0" w:color="auto"/>
            </w:tcBorders>
            <w:vAlign w:val="bottom"/>
          </w:tcPr>
          <w:p w14:paraId="19FEE22A"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84.46</w:t>
            </w:r>
          </w:p>
        </w:tc>
        <w:tc>
          <w:tcPr>
            <w:tcW w:w="413" w:type="pct"/>
            <w:tcBorders>
              <w:top w:val="single" w:sz="4" w:space="0" w:color="auto"/>
              <w:left w:val="single" w:sz="4" w:space="0" w:color="auto"/>
              <w:bottom w:val="single" w:sz="4" w:space="0" w:color="auto"/>
              <w:right w:val="single" w:sz="4" w:space="0" w:color="auto"/>
            </w:tcBorders>
            <w:vAlign w:val="bottom"/>
          </w:tcPr>
          <w:p w14:paraId="623724DF"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17,725,485.98</w:t>
            </w:r>
          </w:p>
        </w:tc>
        <w:tc>
          <w:tcPr>
            <w:tcW w:w="436" w:type="pct"/>
            <w:tcBorders>
              <w:top w:val="single" w:sz="4" w:space="0" w:color="auto"/>
              <w:left w:val="single" w:sz="4" w:space="0" w:color="auto"/>
              <w:bottom w:val="single" w:sz="4" w:space="0" w:color="auto"/>
              <w:right w:val="single" w:sz="4" w:space="0" w:color="auto"/>
            </w:tcBorders>
            <w:vAlign w:val="bottom"/>
          </w:tcPr>
          <w:p w14:paraId="788E6104"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114,676,839.90</w:t>
            </w:r>
          </w:p>
        </w:tc>
        <w:tc>
          <w:tcPr>
            <w:tcW w:w="425" w:type="pct"/>
            <w:tcBorders>
              <w:top w:val="single" w:sz="4" w:space="0" w:color="auto"/>
              <w:left w:val="single" w:sz="4" w:space="0" w:color="auto"/>
              <w:bottom w:val="single" w:sz="4" w:space="0" w:color="auto"/>
              <w:right w:val="single" w:sz="4" w:space="0" w:color="auto"/>
            </w:tcBorders>
            <w:vAlign w:val="bottom"/>
          </w:tcPr>
          <w:p w14:paraId="092CC6C6"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16.94</w:t>
            </w:r>
          </w:p>
        </w:tc>
        <w:tc>
          <w:tcPr>
            <w:tcW w:w="433" w:type="pct"/>
            <w:tcBorders>
              <w:top w:val="single" w:sz="4" w:space="0" w:color="auto"/>
              <w:left w:val="single" w:sz="4" w:space="0" w:color="auto"/>
              <w:bottom w:val="single" w:sz="4" w:space="0" w:color="auto"/>
              <w:right w:val="single" w:sz="4" w:space="0" w:color="auto"/>
            </w:tcBorders>
            <w:vAlign w:val="bottom"/>
          </w:tcPr>
          <w:p w14:paraId="15D25833"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98,864,725.15</w:t>
            </w:r>
          </w:p>
        </w:tc>
        <w:tc>
          <w:tcPr>
            <w:tcW w:w="433" w:type="pct"/>
            <w:tcBorders>
              <w:top w:val="single" w:sz="4" w:space="0" w:color="auto"/>
              <w:left w:val="single" w:sz="4" w:space="0" w:color="auto"/>
              <w:bottom w:val="single" w:sz="4" w:space="0" w:color="auto"/>
              <w:right w:val="single" w:sz="4" w:space="0" w:color="auto"/>
            </w:tcBorders>
            <w:vAlign w:val="bottom"/>
          </w:tcPr>
          <w:p w14:paraId="418E4DD5"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86.21</w:t>
            </w:r>
          </w:p>
        </w:tc>
        <w:tc>
          <w:tcPr>
            <w:tcW w:w="411" w:type="pct"/>
            <w:tcBorders>
              <w:top w:val="single" w:sz="4" w:space="0" w:color="auto"/>
              <w:left w:val="single" w:sz="4" w:space="0" w:color="auto"/>
              <w:bottom w:val="single" w:sz="4" w:space="0" w:color="auto"/>
              <w:right w:val="single" w:sz="4" w:space="0" w:color="auto"/>
            </w:tcBorders>
            <w:vAlign w:val="bottom"/>
          </w:tcPr>
          <w:p w14:paraId="0B4CABCA"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15,812,114.75</w:t>
            </w:r>
          </w:p>
        </w:tc>
      </w:tr>
      <w:tr w:rsidR="00D21C1F" w14:paraId="3A259C44" w14:textId="77777777">
        <w:trPr>
          <w:cantSplit/>
        </w:trPr>
        <w:sdt>
          <w:sdtPr>
            <w:tag w:val="_PLD_f288fc933fe84e6088cca1ff51abf9b8"/>
            <w:id w:val="-2094456964"/>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69A37DBD" w14:textId="77777777" w:rsidR="00D21C1F" w:rsidRDefault="00A42880">
                <w:pPr>
                  <w:jc w:val="both"/>
                  <w:rPr>
                    <w:szCs w:val="21"/>
                  </w:rPr>
                </w:pPr>
                <w:r>
                  <w:rPr>
                    <w:rFonts w:hint="eastAsia"/>
                    <w:szCs w:val="21"/>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vAlign w:val="bottom"/>
          </w:tcPr>
          <w:p w14:paraId="401BA0D0"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518,735,348.97</w:t>
            </w:r>
          </w:p>
        </w:tc>
        <w:tc>
          <w:tcPr>
            <w:tcW w:w="415" w:type="pct"/>
            <w:tcBorders>
              <w:top w:val="single" w:sz="4" w:space="0" w:color="auto"/>
              <w:left w:val="single" w:sz="4" w:space="0" w:color="auto"/>
              <w:bottom w:val="single" w:sz="4" w:space="0" w:color="auto"/>
              <w:right w:val="single" w:sz="4" w:space="0" w:color="auto"/>
            </w:tcBorders>
            <w:vAlign w:val="bottom"/>
          </w:tcPr>
          <w:p w14:paraId="7EF52DA4"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81.97</w:t>
            </w:r>
          </w:p>
        </w:tc>
        <w:tc>
          <w:tcPr>
            <w:tcW w:w="413" w:type="pct"/>
            <w:tcBorders>
              <w:top w:val="single" w:sz="4" w:space="0" w:color="auto"/>
              <w:left w:val="single" w:sz="4" w:space="0" w:color="auto"/>
              <w:bottom w:val="single" w:sz="4" w:space="0" w:color="auto"/>
              <w:right w:val="single" w:sz="4" w:space="0" w:color="auto"/>
            </w:tcBorders>
            <w:vAlign w:val="bottom"/>
          </w:tcPr>
          <w:p w14:paraId="1EE4E3DE"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52,483,152.40</w:t>
            </w:r>
          </w:p>
        </w:tc>
        <w:tc>
          <w:tcPr>
            <w:tcW w:w="425" w:type="pct"/>
            <w:tcBorders>
              <w:top w:val="single" w:sz="4" w:space="0" w:color="auto"/>
              <w:left w:val="single" w:sz="4" w:space="0" w:color="auto"/>
              <w:bottom w:val="single" w:sz="4" w:space="0" w:color="auto"/>
              <w:right w:val="single" w:sz="4" w:space="0" w:color="auto"/>
            </w:tcBorders>
            <w:vAlign w:val="bottom"/>
          </w:tcPr>
          <w:p w14:paraId="4E0675B8"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10.12</w:t>
            </w:r>
          </w:p>
        </w:tc>
        <w:tc>
          <w:tcPr>
            <w:tcW w:w="413" w:type="pct"/>
            <w:tcBorders>
              <w:top w:val="single" w:sz="4" w:space="0" w:color="auto"/>
              <w:left w:val="single" w:sz="4" w:space="0" w:color="auto"/>
              <w:bottom w:val="single" w:sz="4" w:space="0" w:color="auto"/>
              <w:right w:val="single" w:sz="4" w:space="0" w:color="auto"/>
            </w:tcBorders>
            <w:vAlign w:val="bottom"/>
          </w:tcPr>
          <w:p w14:paraId="68DEE4EA"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466,252,196.57</w:t>
            </w:r>
          </w:p>
        </w:tc>
        <w:tc>
          <w:tcPr>
            <w:tcW w:w="436" w:type="pct"/>
            <w:tcBorders>
              <w:top w:val="single" w:sz="4" w:space="0" w:color="auto"/>
              <w:left w:val="single" w:sz="4" w:space="0" w:color="auto"/>
              <w:bottom w:val="single" w:sz="4" w:space="0" w:color="auto"/>
              <w:right w:val="single" w:sz="4" w:space="0" w:color="auto"/>
            </w:tcBorders>
            <w:vAlign w:val="bottom"/>
          </w:tcPr>
          <w:p w14:paraId="4A00D360"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562,273,011.34</w:t>
            </w:r>
          </w:p>
        </w:tc>
        <w:tc>
          <w:tcPr>
            <w:tcW w:w="425" w:type="pct"/>
            <w:tcBorders>
              <w:top w:val="single" w:sz="4" w:space="0" w:color="auto"/>
              <w:left w:val="single" w:sz="4" w:space="0" w:color="auto"/>
              <w:bottom w:val="single" w:sz="4" w:space="0" w:color="auto"/>
              <w:right w:val="single" w:sz="4" w:space="0" w:color="auto"/>
            </w:tcBorders>
            <w:vAlign w:val="bottom"/>
          </w:tcPr>
          <w:p w14:paraId="1CB9F912"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83.06</w:t>
            </w:r>
          </w:p>
        </w:tc>
        <w:tc>
          <w:tcPr>
            <w:tcW w:w="433" w:type="pct"/>
            <w:tcBorders>
              <w:top w:val="single" w:sz="4" w:space="0" w:color="auto"/>
              <w:left w:val="single" w:sz="4" w:space="0" w:color="auto"/>
              <w:bottom w:val="single" w:sz="4" w:space="0" w:color="auto"/>
              <w:right w:val="single" w:sz="4" w:space="0" w:color="auto"/>
            </w:tcBorders>
            <w:vAlign w:val="bottom"/>
          </w:tcPr>
          <w:p w14:paraId="2594F04C"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51,184,473.33</w:t>
            </w:r>
          </w:p>
        </w:tc>
        <w:tc>
          <w:tcPr>
            <w:tcW w:w="433" w:type="pct"/>
            <w:tcBorders>
              <w:top w:val="single" w:sz="4" w:space="0" w:color="auto"/>
              <w:left w:val="single" w:sz="4" w:space="0" w:color="auto"/>
              <w:bottom w:val="single" w:sz="4" w:space="0" w:color="auto"/>
              <w:right w:val="single" w:sz="4" w:space="0" w:color="auto"/>
            </w:tcBorders>
            <w:vAlign w:val="bottom"/>
          </w:tcPr>
          <w:p w14:paraId="5DD35565"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9.10</w:t>
            </w:r>
          </w:p>
        </w:tc>
        <w:tc>
          <w:tcPr>
            <w:tcW w:w="411" w:type="pct"/>
            <w:tcBorders>
              <w:top w:val="single" w:sz="4" w:space="0" w:color="auto"/>
              <w:left w:val="single" w:sz="4" w:space="0" w:color="auto"/>
              <w:bottom w:val="single" w:sz="4" w:space="0" w:color="auto"/>
              <w:right w:val="single" w:sz="4" w:space="0" w:color="auto"/>
            </w:tcBorders>
            <w:vAlign w:val="bottom"/>
          </w:tcPr>
          <w:p w14:paraId="0F7FEFF7"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511,088,538.01</w:t>
            </w:r>
          </w:p>
        </w:tc>
      </w:tr>
      <w:tr w:rsidR="00D21C1F" w14:paraId="5307AF5F" w14:textId="77777777">
        <w:trPr>
          <w:cantSplit/>
        </w:trPr>
        <w:sdt>
          <w:sdtPr>
            <w:tag w:val="_PLD_435141e2dc244009953ee87401ee0c5d"/>
            <w:id w:val="880907942"/>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14:paraId="4FE8A5C2" w14:textId="77777777" w:rsidR="00D21C1F" w:rsidRDefault="00A42880">
                <w:pPr>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vAlign w:val="bottom"/>
          </w:tcPr>
          <w:p w14:paraId="2B2BE123"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632,804,293.61</w:t>
            </w:r>
          </w:p>
        </w:tc>
        <w:tc>
          <w:tcPr>
            <w:tcW w:w="415" w:type="pct"/>
            <w:tcBorders>
              <w:top w:val="single" w:sz="4" w:space="0" w:color="auto"/>
              <w:left w:val="single" w:sz="4" w:space="0" w:color="auto"/>
              <w:bottom w:val="single" w:sz="4" w:space="0" w:color="auto"/>
              <w:right w:val="single" w:sz="4" w:space="0" w:color="auto"/>
            </w:tcBorders>
            <w:vAlign w:val="bottom"/>
          </w:tcPr>
          <w:p w14:paraId="4D68D780"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100.00</w:t>
            </w:r>
          </w:p>
        </w:tc>
        <w:tc>
          <w:tcPr>
            <w:tcW w:w="413" w:type="pct"/>
            <w:tcBorders>
              <w:top w:val="single" w:sz="4" w:space="0" w:color="auto"/>
              <w:left w:val="single" w:sz="4" w:space="0" w:color="auto"/>
              <w:bottom w:val="single" w:sz="4" w:space="0" w:color="auto"/>
              <w:right w:val="single" w:sz="4" w:space="0" w:color="auto"/>
            </w:tcBorders>
            <w:vAlign w:val="bottom"/>
          </w:tcPr>
          <w:p w14:paraId="4A2036E5"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148,826,611.06</w:t>
            </w:r>
          </w:p>
        </w:tc>
        <w:tc>
          <w:tcPr>
            <w:tcW w:w="425" w:type="pct"/>
            <w:tcBorders>
              <w:top w:val="single" w:sz="4" w:space="0" w:color="auto"/>
              <w:left w:val="single" w:sz="4" w:space="0" w:color="auto"/>
              <w:bottom w:val="single" w:sz="4" w:space="0" w:color="auto"/>
              <w:right w:val="single" w:sz="4" w:space="0" w:color="auto"/>
            </w:tcBorders>
            <w:vAlign w:val="bottom"/>
          </w:tcPr>
          <w:p w14:paraId="50E6D086"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23.52</w:t>
            </w:r>
          </w:p>
        </w:tc>
        <w:tc>
          <w:tcPr>
            <w:tcW w:w="413" w:type="pct"/>
            <w:tcBorders>
              <w:top w:val="single" w:sz="4" w:space="0" w:color="auto"/>
              <w:left w:val="single" w:sz="4" w:space="0" w:color="auto"/>
              <w:bottom w:val="single" w:sz="4" w:space="0" w:color="auto"/>
              <w:right w:val="single" w:sz="4" w:space="0" w:color="auto"/>
            </w:tcBorders>
            <w:vAlign w:val="bottom"/>
          </w:tcPr>
          <w:p w14:paraId="41DA7CA5"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483,977,682.55</w:t>
            </w:r>
          </w:p>
        </w:tc>
        <w:tc>
          <w:tcPr>
            <w:tcW w:w="436" w:type="pct"/>
            <w:tcBorders>
              <w:top w:val="single" w:sz="4" w:space="0" w:color="auto"/>
              <w:left w:val="single" w:sz="4" w:space="0" w:color="auto"/>
              <w:bottom w:val="single" w:sz="4" w:space="0" w:color="auto"/>
              <w:right w:val="single" w:sz="4" w:space="0" w:color="auto"/>
            </w:tcBorders>
            <w:vAlign w:val="bottom"/>
          </w:tcPr>
          <w:p w14:paraId="75ECA938"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676,949,851.24</w:t>
            </w:r>
          </w:p>
        </w:tc>
        <w:tc>
          <w:tcPr>
            <w:tcW w:w="425" w:type="pct"/>
            <w:tcBorders>
              <w:top w:val="single" w:sz="4" w:space="0" w:color="auto"/>
              <w:left w:val="single" w:sz="4" w:space="0" w:color="auto"/>
              <w:bottom w:val="single" w:sz="4" w:space="0" w:color="auto"/>
              <w:right w:val="single" w:sz="4" w:space="0" w:color="auto"/>
            </w:tcBorders>
            <w:vAlign w:val="bottom"/>
          </w:tcPr>
          <w:p w14:paraId="1324BD09"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100.00</w:t>
            </w:r>
          </w:p>
        </w:tc>
        <w:tc>
          <w:tcPr>
            <w:tcW w:w="433" w:type="pct"/>
            <w:tcBorders>
              <w:top w:val="single" w:sz="4" w:space="0" w:color="auto"/>
              <w:left w:val="single" w:sz="4" w:space="0" w:color="auto"/>
              <w:bottom w:val="single" w:sz="4" w:space="0" w:color="auto"/>
              <w:right w:val="single" w:sz="4" w:space="0" w:color="auto"/>
            </w:tcBorders>
            <w:vAlign w:val="bottom"/>
          </w:tcPr>
          <w:p w14:paraId="0374C722"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150,049,198.48</w:t>
            </w:r>
          </w:p>
        </w:tc>
        <w:tc>
          <w:tcPr>
            <w:tcW w:w="433" w:type="pct"/>
            <w:tcBorders>
              <w:top w:val="single" w:sz="4" w:space="0" w:color="auto"/>
              <w:left w:val="single" w:sz="4" w:space="0" w:color="auto"/>
              <w:bottom w:val="single" w:sz="4" w:space="0" w:color="auto"/>
              <w:right w:val="single" w:sz="4" w:space="0" w:color="auto"/>
            </w:tcBorders>
            <w:vAlign w:val="bottom"/>
          </w:tcPr>
          <w:p w14:paraId="3208140E"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22.16</w:t>
            </w:r>
          </w:p>
        </w:tc>
        <w:tc>
          <w:tcPr>
            <w:tcW w:w="411" w:type="pct"/>
            <w:tcBorders>
              <w:top w:val="single" w:sz="4" w:space="0" w:color="auto"/>
              <w:left w:val="single" w:sz="4" w:space="0" w:color="auto"/>
              <w:bottom w:val="single" w:sz="4" w:space="0" w:color="auto"/>
              <w:right w:val="single" w:sz="4" w:space="0" w:color="auto"/>
            </w:tcBorders>
            <w:vAlign w:val="bottom"/>
          </w:tcPr>
          <w:p w14:paraId="7AF63978" w14:textId="77777777" w:rsidR="00D21C1F" w:rsidRPr="00F409B2" w:rsidRDefault="00A42880">
            <w:pPr>
              <w:jc w:val="right"/>
              <w:rPr>
                <w:rFonts w:ascii="Times New Roman" w:hAnsi="Times New Roman" w:cs="Times New Roman"/>
                <w:sz w:val="20"/>
                <w:szCs w:val="20"/>
              </w:rPr>
            </w:pPr>
            <w:r w:rsidRPr="00F409B2">
              <w:rPr>
                <w:rFonts w:ascii="Times New Roman" w:hAnsi="Times New Roman" w:cs="Times New Roman"/>
                <w:sz w:val="20"/>
                <w:szCs w:val="20"/>
              </w:rPr>
              <w:t>526,900,652.76</w:t>
            </w:r>
          </w:p>
        </w:tc>
      </w:tr>
      <w:bookmarkEnd w:id="181"/>
      <w:bookmarkEnd w:id="182"/>
    </w:tbl>
    <w:p w14:paraId="68DFB63C" w14:textId="77777777" w:rsidR="00D21C1F" w:rsidRDefault="00D21C1F">
      <w:pPr>
        <w:autoSpaceDE w:val="0"/>
        <w:autoSpaceDN w:val="0"/>
        <w:adjustRightInd w:val="0"/>
        <w:ind w:right="105"/>
        <w:rPr>
          <w:szCs w:val="21"/>
        </w:rPr>
        <w:sectPr w:rsidR="00D21C1F">
          <w:pgSz w:w="16838" w:h="11906" w:orient="landscape"/>
          <w:pgMar w:top="1797" w:right="1525" w:bottom="1276" w:left="1440" w:header="856" w:footer="992" w:gutter="0"/>
          <w:cols w:space="425"/>
          <w:docGrid w:linePitch="312"/>
        </w:sectPr>
      </w:pPr>
    </w:p>
    <w:bookmarkStart w:id="183" w:name="_Hlk10467187" w:displacedByCustomXml="next"/>
    <w:bookmarkStart w:id="184" w:name="_Hlk10467200" w:displacedByCustomXml="next"/>
    <w:sdt>
      <w:sdtPr>
        <w:rPr>
          <w:rFonts w:eastAsiaTheme="minorEastAsia" w:hint="eastAsia"/>
          <w:szCs w:val="21"/>
        </w:rPr>
        <w:alias w:val="模块:按单项计提坏账准备："/>
        <w:tag w:val="_SEC_498beef22f03474fa398c526ee8a934d"/>
        <w:id w:val="1870879845"/>
        <w:lock w:val="sdtLocked"/>
        <w:placeholder>
          <w:docPart w:val="GBC22222222222222222222222222222"/>
        </w:placeholder>
      </w:sdtPr>
      <w:sdtEndPr>
        <w:rPr>
          <w:rFonts w:hint="default"/>
          <w:szCs w:val="24"/>
        </w:rPr>
      </w:sdtEndPr>
      <w:sdtContent>
        <w:p w14:paraId="695F1D1F" w14:textId="77777777" w:rsidR="00D21C1F" w:rsidRDefault="00A42880">
          <w:pPr>
            <w:rPr>
              <w:szCs w:val="21"/>
            </w:rPr>
          </w:pPr>
          <w:r>
            <w:rPr>
              <w:rFonts w:hint="eastAsia"/>
              <w:szCs w:val="21"/>
            </w:rPr>
            <w:t>按单项计提坏账准备：</w:t>
          </w:r>
          <w:bookmarkEnd w:id="183"/>
        </w:p>
        <w:sdt>
          <w:sdtPr>
            <w:rPr>
              <w:rFonts w:hint="eastAsia"/>
            </w:rPr>
            <w:alias w:val="是否适用：按单项计提坏账准备的应收账款详细情况[双击切换]"/>
            <w:tag w:val="_GBC_e07c01cfb2fe4b05a2bb603b7f914946"/>
            <w:id w:val="761880617"/>
            <w:lock w:val="sdtLocked"/>
            <w:placeholder>
              <w:docPart w:val="GBC22222222222222222222222222222"/>
            </w:placeholder>
          </w:sdtPr>
          <w:sdtEndPr/>
          <w:sdtContent>
            <w:p w14:paraId="00ED1BB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4DBD3C" w14:textId="77777777" w:rsidR="00D21C1F" w:rsidRDefault="00A42880">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5737c621553040588c35a299b21bda52"/>
              <w:id w:val="18677953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按单项计提坏账准备的应收账款详细情况"/>
              <w:tag w:val="_GBC_b6cb9fb35a4a4033912355f7cb997afb"/>
              <w:id w:val="776059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657"/>
            <w:gridCol w:w="1659"/>
            <w:gridCol w:w="1516"/>
            <w:gridCol w:w="1945"/>
          </w:tblGrid>
          <w:tr w:rsidR="00D21C1F" w14:paraId="0AB008CA" w14:textId="77777777">
            <w:sdt>
              <w:sdtPr>
                <w:tag w:val="_PLD_886503527dee421ca2c31b493a41ab31"/>
                <w:id w:val="-686131005"/>
                <w:lock w:val="sdtLocked"/>
              </w:sdtPr>
              <w:sdtEndPr/>
              <w:sdtContent>
                <w:tc>
                  <w:tcPr>
                    <w:tcW w:w="1160" w:type="pct"/>
                    <w:vMerge w:val="restart"/>
                    <w:vAlign w:val="center"/>
                  </w:tcPr>
                  <w:p w14:paraId="78617AA4" w14:textId="77777777" w:rsidR="00D21C1F" w:rsidRDefault="00A42880">
                    <w:pPr>
                      <w:jc w:val="center"/>
                      <w:rPr>
                        <w:szCs w:val="21"/>
                      </w:rPr>
                    </w:pPr>
                    <w:r>
                      <w:rPr>
                        <w:rFonts w:hint="eastAsia"/>
                        <w:szCs w:val="21"/>
                      </w:rPr>
                      <w:t>名称</w:t>
                    </w:r>
                  </w:p>
                </w:tc>
              </w:sdtContent>
            </w:sdt>
            <w:sdt>
              <w:sdtPr>
                <w:tag w:val="_PLD_e08f6e696f224538a07af6226cb97b93"/>
                <w:id w:val="530689401"/>
                <w:lock w:val="sdtLocked"/>
              </w:sdtPr>
              <w:sdtEndPr/>
              <w:sdtContent>
                <w:tc>
                  <w:tcPr>
                    <w:tcW w:w="3840" w:type="pct"/>
                    <w:gridSpan w:val="4"/>
                    <w:vAlign w:val="center"/>
                  </w:tcPr>
                  <w:p w14:paraId="4EAAD4BC" w14:textId="77777777" w:rsidR="00D21C1F" w:rsidRDefault="00A42880">
                    <w:pPr>
                      <w:jc w:val="center"/>
                      <w:rPr>
                        <w:szCs w:val="21"/>
                      </w:rPr>
                    </w:pPr>
                    <w:r>
                      <w:rPr>
                        <w:rFonts w:hint="eastAsia"/>
                        <w:szCs w:val="21"/>
                      </w:rPr>
                      <w:t>期末余额</w:t>
                    </w:r>
                  </w:p>
                </w:tc>
              </w:sdtContent>
            </w:sdt>
          </w:tr>
          <w:tr w:rsidR="00D21C1F" w14:paraId="3FF9F2E2" w14:textId="77777777">
            <w:tc>
              <w:tcPr>
                <w:tcW w:w="1160" w:type="pct"/>
                <w:vMerge/>
              </w:tcPr>
              <w:p w14:paraId="1E4DF4B8" w14:textId="77777777" w:rsidR="00D21C1F" w:rsidRDefault="00D21C1F">
                <w:pPr>
                  <w:jc w:val="center"/>
                  <w:rPr>
                    <w:szCs w:val="21"/>
                  </w:rPr>
                </w:pPr>
              </w:p>
            </w:tc>
            <w:sdt>
              <w:sdtPr>
                <w:tag w:val="_PLD_464a1be46d05424da4883a8442e8eecd"/>
                <w:id w:val="1492900153"/>
                <w:lock w:val="sdtLocked"/>
              </w:sdtPr>
              <w:sdtEndPr/>
              <w:sdtContent>
                <w:tc>
                  <w:tcPr>
                    <w:tcW w:w="939" w:type="pct"/>
                    <w:vAlign w:val="center"/>
                  </w:tcPr>
                  <w:p w14:paraId="2FB1E753" w14:textId="77777777" w:rsidR="00D21C1F" w:rsidRDefault="00A42880">
                    <w:pPr>
                      <w:jc w:val="center"/>
                      <w:rPr>
                        <w:szCs w:val="21"/>
                      </w:rPr>
                    </w:pPr>
                    <w:r>
                      <w:rPr>
                        <w:rFonts w:hint="eastAsia"/>
                        <w:szCs w:val="21"/>
                      </w:rPr>
                      <w:t>账面余额</w:t>
                    </w:r>
                  </w:p>
                </w:tc>
              </w:sdtContent>
            </w:sdt>
            <w:sdt>
              <w:sdtPr>
                <w:tag w:val="_PLD_3d0d70541d9a48beb1c29f819592f107"/>
                <w:id w:val="-863595679"/>
                <w:lock w:val="sdtLocked"/>
              </w:sdtPr>
              <w:sdtEndPr/>
              <w:sdtContent>
                <w:tc>
                  <w:tcPr>
                    <w:tcW w:w="940" w:type="pct"/>
                    <w:vAlign w:val="center"/>
                  </w:tcPr>
                  <w:p w14:paraId="570422A2" w14:textId="77777777" w:rsidR="00D21C1F" w:rsidRDefault="00A42880">
                    <w:pPr>
                      <w:jc w:val="center"/>
                      <w:rPr>
                        <w:szCs w:val="21"/>
                      </w:rPr>
                    </w:pPr>
                    <w:r>
                      <w:rPr>
                        <w:rFonts w:hint="eastAsia"/>
                        <w:szCs w:val="21"/>
                      </w:rPr>
                      <w:t>坏账准备</w:t>
                    </w:r>
                  </w:p>
                </w:tc>
              </w:sdtContent>
            </w:sdt>
            <w:sdt>
              <w:sdtPr>
                <w:tag w:val="_PLD_76393245336e41aa891aec8c50271105"/>
                <w:id w:val="1417738818"/>
                <w:lock w:val="sdtLocked"/>
              </w:sdtPr>
              <w:sdtEndPr/>
              <w:sdtContent>
                <w:tc>
                  <w:tcPr>
                    <w:tcW w:w="859" w:type="pct"/>
                    <w:vAlign w:val="center"/>
                  </w:tcPr>
                  <w:p w14:paraId="54B185A1" w14:textId="77777777" w:rsidR="00D21C1F" w:rsidRDefault="00A42880">
                    <w:pPr>
                      <w:jc w:val="center"/>
                      <w:rPr>
                        <w:szCs w:val="21"/>
                      </w:rPr>
                    </w:pPr>
                    <w:r>
                      <w:rPr>
                        <w:szCs w:val="21"/>
                      </w:rPr>
                      <w:t>计提比例</w:t>
                    </w:r>
                    <w:r>
                      <w:rPr>
                        <w:rFonts w:hint="eastAsia"/>
                        <w:szCs w:val="21"/>
                      </w:rPr>
                      <w:t>（%）</w:t>
                    </w:r>
                  </w:p>
                </w:tc>
              </w:sdtContent>
            </w:sdt>
            <w:sdt>
              <w:sdtPr>
                <w:tag w:val="_PLD_950e8014be3245d1a45783884c32208d"/>
                <w:id w:val="692035124"/>
                <w:lock w:val="sdtLocked"/>
              </w:sdtPr>
              <w:sdtEndPr/>
              <w:sdtContent>
                <w:tc>
                  <w:tcPr>
                    <w:tcW w:w="1102" w:type="pct"/>
                    <w:vAlign w:val="center"/>
                  </w:tcPr>
                  <w:p w14:paraId="39605717" w14:textId="77777777" w:rsidR="00D21C1F" w:rsidRDefault="00A42880">
                    <w:pPr>
                      <w:jc w:val="center"/>
                      <w:rPr>
                        <w:szCs w:val="21"/>
                      </w:rPr>
                    </w:pPr>
                    <w:r>
                      <w:rPr>
                        <w:rFonts w:hint="eastAsia"/>
                        <w:szCs w:val="21"/>
                      </w:rPr>
                      <w:t>计提理由</w:t>
                    </w:r>
                  </w:p>
                </w:tc>
              </w:sdtContent>
            </w:sdt>
          </w:tr>
          <w:sdt>
            <w:sdtPr>
              <w:rPr>
                <w:rFonts w:ascii="Times New Roman" w:hAnsi="Times New Roman" w:cs="Times New Roman"/>
                <w:szCs w:val="21"/>
              </w:rPr>
              <w:alias w:val="按单项计提坏账准备的应收账款详细名称明细"/>
              <w:tag w:val="_TUP_669c106056fb4de3b5f357a932630dad"/>
              <w:id w:val="-2055072023"/>
              <w:lock w:val="sdtLocked"/>
            </w:sdtPr>
            <w:sdtEndPr/>
            <w:sdtContent>
              <w:tr w:rsidR="00D21C1F" w:rsidRPr="00F409B2" w14:paraId="6FFEA46D" w14:textId="77777777">
                <w:tc>
                  <w:tcPr>
                    <w:tcW w:w="1160" w:type="pct"/>
                  </w:tcPr>
                  <w:p w14:paraId="72E7A6A9"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w:t>
                    </w:r>
                  </w:p>
                </w:tc>
                <w:tc>
                  <w:tcPr>
                    <w:tcW w:w="939" w:type="pct"/>
                  </w:tcPr>
                  <w:p w14:paraId="3BF1841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23,623,756.83</w:t>
                    </w:r>
                  </w:p>
                </w:tc>
                <w:tc>
                  <w:tcPr>
                    <w:tcW w:w="940" w:type="pct"/>
                  </w:tcPr>
                  <w:p w14:paraId="3B64AF4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19,853,697.09</w:t>
                    </w:r>
                  </w:p>
                </w:tc>
                <w:tc>
                  <w:tcPr>
                    <w:tcW w:w="859" w:type="pct"/>
                  </w:tcPr>
                  <w:p w14:paraId="20A549F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84.04</w:t>
                    </w:r>
                  </w:p>
                </w:tc>
                <w:tc>
                  <w:tcPr>
                    <w:tcW w:w="1102" w:type="pct"/>
                  </w:tcPr>
                  <w:p w14:paraId="0012E598"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预计部分无法收回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207216345"/>
              <w:lock w:val="sdtLocked"/>
            </w:sdtPr>
            <w:sdtEndPr/>
            <w:sdtContent>
              <w:tr w:rsidR="00D21C1F" w:rsidRPr="00F409B2" w14:paraId="2CC9922C" w14:textId="77777777">
                <w:tc>
                  <w:tcPr>
                    <w:tcW w:w="1160" w:type="pct"/>
                  </w:tcPr>
                  <w:p w14:paraId="16F6C9E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2</w:t>
                    </w:r>
                  </w:p>
                </w:tc>
                <w:tc>
                  <w:tcPr>
                    <w:tcW w:w="939" w:type="pct"/>
                  </w:tcPr>
                  <w:p w14:paraId="14ABB3F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17,507,230.74</w:t>
                    </w:r>
                  </w:p>
                </w:tc>
                <w:tc>
                  <w:tcPr>
                    <w:tcW w:w="940" w:type="pct"/>
                  </w:tcPr>
                  <w:p w14:paraId="1A234AB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8,753,615.37</w:t>
                    </w:r>
                  </w:p>
                </w:tc>
                <w:tc>
                  <w:tcPr>
                    <w:tcW w:w="859" w:type="pct"/>
                  </w:tcPr>
                  <w:p w14:paraId="56F73037"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50</w:t>
                    </w:r>
                  </w:p>
                </w:tc>
                <w:tc>
                  <w:tcPr>
                    <w:tcW w:w="1102" w:type="pct"/>
                  </w:tcPr>
                  <w:p w14:paraId="64019BF9"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预计部分无法收回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16146536"/>
              <w:lock w:val="sdtLocked"/>
            </w:sdtPr>
            <w:sdtEndPr/>
            <w:sdtContent>
              <w:tr w:rsidR="00D21C1F" w:rsidRPr="00F409B2" w14:paraId="7175B3D1" w14:textId="77777777">
                <w:tc>
                  <w:tcPr>
                    <w:tcW w:w="1160" w:type="pct"/>
                  </w:tcPr>
                  <w:p w14:paraId="4BF97F58"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3</w:t>
                    </w:r>
                  </w:p>
                </w:tc>
                <w:tc>
                  <w:tcPr>
                    <w:tcW w:w="939" w:type="pct"/>
                  </w:tcPr>
                  <w:p w14:paraId="3D97393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11,152,522.48</w:t>
                    </w:r>
                  </w:p>
                </w:tc>
                <w:tc>
                  <w:tcPr>
                    <w:tcW w:w="940" w:type="pct"/>
                  </w:tcPr>
                  <w:p w14:paraId="6D7BFD67"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11,152,522.48</w:t>
                    </w:r>
                  </w:p>
                </w:tc>
                <w:tc>
                  <w:tcPr>
                    <w:tcW w:w="859" w:type="pct"/>
                  </w:tcPr>
                  <w:p w14:paraId="48B5384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6B3BD560"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049728934"/>
              <w:lock w:val="sdtLocked"/>
            </w:sdtPr>
            <w:sdtEndPr/>
            <w:sdtContent>
              <w:tr w:rsidR="00D21C1F" w:rsidRPr="00F409B2" w14:paraId="00DDE9DE" w14:textId="77777777">
                <w:tc>
                  <w:tcPr>
                    <w:tcW w:w="1160" w:type="pct"/>
                  </w:tcPr>
                  <w:p w14:paraId="4B804127"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4</w:t>
                    </w:r>
                  </w:p>
                </w:tc>
                <w:tc>
                  <w:tcPr>
                    <w:tcW w:w="939" w:type="pct"/>
                  </w:tcPr>
                  <w:p w14:paraId="1250421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6,610,132.00</w:t>
                    </w:r>
                  </w:p>
                </w:tc>
                <w:tc>
                  <w:tcPr>
                    <w:tcW w:w="940" w:type="pct"/>
                  </w:tcPr>
                  <w:p w14:paraId="2C0567A5"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6,610,132.00</w:t>
                    </w:r>
                  </w:p>
                </w:tc>
                <w:tc>
                  <w:tcPr>
                    <w:tcW w:w="859" w:type="pct"/>
                  </w:tcPr>
                  <w:p w14:paraId="6665EA4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6ED873C3"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447516646"/>
              <w:lock w:val="sdtLocked"/>
            </w:sdtPr>
            <w:sdtEndPr/>
            <w:sdtContent>
              <w:tr w:rsidR="00D21C1F" w:rsidRPr="00F409B2" w14:paraId="5C47DD66" w14:textId="77777777">
                <w:tc>
                  <w:tcPr>
                    <w:tcW w:w="1160" w:type="pct"/>
                  </w:tcPr>
                  <w:p w14:paraId="5C619E06"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5</w:t>
                    </w:r>
                  </w:p>
                </w:tc>
                <w:tc>
                  <w:tcPr>
                    <w:tcW w:w="939" w:type="pct"/>
                  </w:tcPr>
                  <w:p w14:paraId="27F824B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6,866,786.76</w:t>
                    </w:r>
                  </w:p>
                </w:tc>
                <w:tc>
                  <w:tcPr>
                    <w:tcW w:w="940" w:type="pct"/>
                  </w:tcPr>
                  <w:p w14:paraId="75A68D26"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6,866,786.76</w:t>
                    </w:r>
                  </w:p>
                </w:tc>
                <w:tc>
                  <w:tcPr>
                    <w:tcW w:w="859" w:type="pct"/>
                  </w:tcPr>
                  <w:p w14:paraId="1181DBE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3DDCD799"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754984414"/>
              <w:lock w:val="sdtLocked"/>
            </w:sdtPr>
            <w:sdtEndPr/>
            <w:sdtContent>
              <w:tr w:rsidR="00D21C1F" w:rsidRPr="00F409B2" w14:paraId="127D9A72" w14:textId="77777777">
                <w:tc>
                  <w:tcPr>
                    <w:tcW w:w="1160" w:type="pct"/>
                  </w:tcPr>
                  <w:p w14:paraId="4C05839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6</w:t>
                    </w:r>
                  </w:p>
                </w:tc>
                <w:tc>
                  <w:tcPr>
                    <w:tcW w:w="939" w:type="pct"/>
                  </w:tcPr>
                  <w:p w14:paraId="0A95590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3,804,669.00</w:t>
                    </w:r>
                  </w:p>
                </w:tc>
                <w:tc>
                  <w:tcPr>
                    <w:tcW w:w="940" w:type="pct"/>
                  </w:tcPr>
                  <w:p w14:paraId="1E840A2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3,804,669.00</w:t>
                    </w:r>
                  </w:p>
                </w:tc>
                <w:tc>
                  <w:tcPr>
                    <w:tcW w:w="859" w:type="pct"/>
                  </w:tcPr>
                  <w:p w14:paraId="4A853F26"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74D46041"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347318519"/>
              <w:lock w:val="sdtLocked"/>
            </w:sdtPr>
            <w:sdtEndPr/>
            <w:sdtContent>
              <w:tr w:rsidR="00D21C1F" w:rsidRPr="00F409B2" w14:paraId="08AB60AB" w14:textId="77777777">
                <w:tc>
                  <w:tcPr>
                    <w:tcW w:w="1160" w:type="pct"/>
                  </w:tcPr>
                  <w:p w14:paraId="779AD290"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7</w:t>
                    </w:r>
                  </w:p>
                </w:tc>
                <w:tc>
                  <w:tcPr>
                    <w:tcW w:w="939" w:type="pct"/>
                  </w:tcPr>
                  <w:p w14:paraId="098CE5A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3,741,642.16</w:t>
                    </w:r>
                  </w:p>
                </w:tc>
                <w:tc>
                  <w:tcPr>
                    <w:tcW w:w="940" w:type="pct"/>
                  </w:tcPr>
                  <w:p w14:paraId="7D52537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3,741,642.16</w:t>
                    </w:r>
                  </w:p>
                </w:tc>
                <w:tc>
                  <w:tcPr>
                    <w:tcW w:w="859" w:type="pct"/>
                  </w:tcPr>
                  <w:p w14:paraId="5A59C1DE"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406F4B5F"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294913927"/>
              <w:lock w:val="sdtLocked"/>
            </w:sdtPr>
            <w:sdtEndPr/>
            <w:sdtContent>
              <w:tr w:rsidR="00D21C1F" w:rsidRPr="00F409B2" w14:paraId="62E6D55B" w14:textId="77777777">
                <w:tc>
                  <w:tcPr>
                    <w:tcW w:w="1160" w:type="pct"/>
                  </w:tcPr>
                  <w:p w14:paraId="31A83BD7"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8</w:t>
                    </w:r>
                  </w:p>
                </w:tc>
                <w:tc>
                  <w:tcPr>
                    <w:tcW w:w="939" w:type="pct"/>
                  </w:tcPr>
                  <w:p w14:paraId="1E0C780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3,890,000.00</w:t>
                    </w:r>
                  </w:p>
                </w:tc>
                <w:tc>
                  <w:tcPr>
                    <w:tcW w:w="940" w:type="pct"/>
                  </w:tcPr>
                  <w:p w14:paraId="5F6584F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3,890,000.00</w:t>
                    </w:r>
                  </w:p>
                </w:tc>
                <w:tc>
                  <w:tcPr>
                    <w:tcW w:w="859" w:type="pct"/>
                  </w:tcPr>
                  <w:p w14:paraId="54AB3BE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48258833"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614122136"/>
              <w:lock w:val="sdtLocked"/>
            </w:sdtPr>
            <w:sdtEndPr/>
            <w:sdtContent>
              <w:tr w:rsidR="00D21C1F" w:rsidRPr="00F409B2" w14:paraId="62FB845D" w14:textId="77777777">
                <w:tc>
                  <w:tcPr>
                    <w:tcW w:w="1160" w:type="pct"/>
                  </w:tcPr>
                  <w:p w14:paraId="4C93F32D"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9</w:t>
                    </w:r>
                  </w:p>
                </w:tc>
                <w:tc>
                  <w:tcPr>
                    <w:tcW w:w="939" w:type="pct"/>
                  </w:tcPr>
                  <w:p w14:paraId="62E4ED7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3,590,493.04</w:t>
                    </w:r>
                  </w:p>
                </w:tc>
                <w:tc>
                  <w:tcPr>
                    <w:tcW w:w="940" w:type="pct"/>
                  </w:tcPr>
                  <w:p w14:paraId="03780D6A"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3,590,493.04</w:t>
                    </w:r>
                  </w:p>
                </w:tc>
                <w:tc>
                  <w:tcPr>
                    <w:tcW w:w="859" w:type="pct"/>
                  </w:tcPr>
                  <w:p w14:paraId="2FA73AAE"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3D82EE44"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924263342"/>
              <w:lock w:val="sdtLocked"/>
            </w:sdtPr>
            <w:sdtEndPr/>
            <w:sdtContent>
              <w:tr w:rsidR="00D21C1F" w:rsidRPr="00F409B2" w14:paraId="402CCDB3" w14:textId="77777777">
                <w:tc>
                  <w:tcPr>
                    <w:tcW w:w="1160" w:type="pct"/>
                  </w:tcPr>
                  <w:p w14:paraId="6611BF9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10</w:t>
                    </w:r>
                  </w:p>
                </w:tc>
                <w:tc>
                  <w:tcPr>
                    <w:tcW w:w="939" w:type="pct"/>
                  </w:tcPr>
                  <w:p w14:paraId="51EF316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3,551,024.40</w:t>
                    </w:r>
                  </w:p>
                </w:tc>
                <w:tc>
                  <w:tcPr>
                    <w:tcW w:w="940" w:type="pct"/>
                  </w:tcPr>
                  <w:p w14:paraId="604850A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3,551,024.40</w:t>
                    </w:r>
                  </w:p>
                </w:tc>
                <w:tc>
                  <w:tcPr>
                    <w:tcW w:w="859" w:type="pct"/>
                  </w:tcPr>
                  <w:p w14:paraId="514B14F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48715DEB"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291894898"/>
              <w:lock w:val="sdtLocked"/>
            </w:sdtPr>
            <w:sdtEndPr/>
            <w:sdtContent>
              <w:tr w:rsidR="00D21C1F" w:rsidRPr="00F409B2" w14:paraId="7D04DDB9" w14:textId="77777777">
                <w:tc>
                  <w:tcPr>
                    <w:tcW w:w="1160" w:type="pct"/>
                  </w:tcPr>
                  <w:p w14:paraId="11DC10E4"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11</w:t>
                    </w:r>
                  </w:p>
                </w:tc>
                <w:tc>
                  <w:tcPr>
                    <w:tcW w:w="939" w:type="pct"/>
                  </w:tcPr>
                  <w:p w14:paraId="4280AB8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4,340,560.10</w:t>
                    </w:r>
                  </w:p>
                </w:tc>
                <w:tc>
                  <w:tcPr>
                    <w:tcW w:w="940" w:type="pct"/>
                  </w:tcPr>
                  <w:p w14:paraId="5D415CCB"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1,302,168.03</w:t>
                    </w:r>
                  </w:p>
                </w:tc>
                <w:tc>
                  <w:tcPr>
                    <w:tcW w:w="859" w:type="pct"/>
                  </w:tcPr>
                  <w:p w14:paraId="2F91B02A"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30</w:t>
                    </w:r>
                  </w:p>
                </w:tc>
                <w:tc>
                  <w:tcPr>
                    <w:tcW w:w="1102" w:type="pct"/>
                  </w:tcPr>
                  <w:p w14:paraId="031FFBA0"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预计部分无法收回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845973891"/>
              <w:lock w:val="sdtLocked"/>
            </w:sdtPr>
            <w:sdtEndPr/>
            <w:sdtContent>
              <w:tr w:rsidR="00D21C1F" w:rsidRPr="00F409B2" w14:paraId="51A53BE2" w14:textId="77777777">
                <w:tc>
                  <w:tcPr>
                    <w:tcW w:w="1160" w:type="pct"/>
                  </w:tcPr>
                  <w:p w14:paraId="3EBAEFAE"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12</w:t>
                    </w:r>
                  </w:p>
                </w:tc>
                <w:tc>
                  <w:tcPr>
                    <w:tcW w:w="939" w:type="pct"/>
                  </w:tcPr>
                  <w:p w14:paraId="2489BF27"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4,326,837.61</w:t>
                    </w:r>
                  </w:p>
                </w:tc>
                <w:tc>
                  <w:tcPr>
                    <w:tcW w:w="940" w:type="pct"/>
                  </w:tcPr>
                  <w:p w14:paraId="537705F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2,163,418.81</w:t>
                    </w:r>
                  </w:p>
                </w:tc>
                <w:tc>
                  <w:tcPr>
                    <w:tcW w:w="859" w:type="pct"/>
                  </w:tcPr>
                  <w:p w14:paraId="182BF965"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50</w:t>
                    </w:r>
                  </w:p>
                </w:tc>
                <w:tc>
                  <w:tcPr>
                    <w:tcW w:w="1102" w:type="pct"/>
                  </w:tcPr>
                  <w:p w14:paraId="6A0B616B"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预计部分无法收回</w:t>
                    </w:r>
                  </w:p>
                </w:tc>
              </w:tr>
            </w:sdtContent>
          </w:sdt>
          <w:sdt>
            <w:sdtPr>
              <w:rPr>
                <w:rFonts w:ascii="Times New Roman" w:hAnsi="Times New Roman" w:cs="Times New Roman"/>
                <w:szCs w:val="21"/>
              </w:rPr>
              <w:alias w:val="按单项计提坏账准备的应收账款详细名称明细"/>
              <w:tag w:val="_TUP_669c106056fb4de3b5f357a932630dad"/>
              <w:id w:val="617034762"/>
              <w:lock w:val="sdtLocked"/>
            </w:sdtPr>
            <w:sdtEndPr/>
            <w:sdtContent>
              <w:tr w:rsidR="00D21C1F" w:rsidRPr="00F409B2" w14:paraId="16C21AF8" w14:textId="77777777">
                <w:tc>
                  <w:tcPr>
                    <w:tcW w:w="1160" w:type="pct"/>
                  </w:tcPr>
                  <w:p w14:paraId="4AF72A2A"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13</w:t>
                    </w:r>
                  </w:p>
                </w:tc>
                <w:tc>
                  <w:tcPr>
                    <w:tcW w:w="939" w:type="pct"/>
                  </w:tcPr>
                  <w:p w14:paraId="071957AA"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3,352,930.70</w:t>
                    </w:r>
                  </w:p>
                </w:tc>
                <w:tc>
                  <w:tcPr>
                    <w:tcW w:w="940" w:type="pct"/>
                  </w:tcPr>
                  <w:p w14:paraId="7244D66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3,352,930.70</w:t>
                    </w:r>
                  </w:p>
                </w:tc>
                <w:tc>
                  <w:tcPr>
                    <w:tcW w:w="859" w:type="pct"/>
                  </w:tcPr>
                  <w:p w14:paraId="55E1BF06"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506A3D65"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421251723"/>
              <w:lock w:val="sdtLocked"/>
            </w:sdtPr>
            <w:sdtEndPr/>
            <w:sdtContent>
              <w:tr w:rsidR="00D21C1F" w:rsidRPr="00F409B2" w14:paraId="26CAA683" w14:textId="77777777">
                <w:tc>
                  <w:tcPr>
                    <w:tcW w:w="1160" w:type="pct"/>
                  </w:tcPr>
                  <w:p w14:paraId="2F915650"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14</w:t>
                    </w:r>
                  </w:p>
                </w:tc>
                <w:tc>
                  <w:tcPr>
                    <w:tcW w:w="939" w:type="pct"/>
                  </w:tcPr>
                  <w:p w14:paraId="75A91A1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3,025,650.11</w:t>
                    </w:r>
                  </w:p>
                </w:tc>
                <w:tc>
                  <w:tcPr>
                    <w:tcW w:w="940" w:type="pct"/>
                  </w:tcPr>
                  <w:p w14:paraId="735A0AAA"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3,025,650.11</w:t>
                    </w:r>
                  </w:p>
                </w:tc>
                <w:tc>
                  <w:tcPr>
                    <w:tcW w:w="859" w:type="pct"/>
                  </w:tcPr>
                  <w:p w14:paraId="60580BC6"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2CC89A0D"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086762316"/>
              <w:lock w:val="sdtLocked"/>
            </w:sdtPr>
            <w:sdtEndPr/>
            <w:sdtContent>
              <w:tr w:rsidR="00D21C1F" w:rsidRPr="00F409B2" w14:paraId="1C3FB2BB" w14:textId="77777777">
                <w:tc>
                  <w:tcPr>
                    <w:tcW w:w="1160" w:type="pct"/>
                  </w:tcPr>
                  <w:p w14:paraId="4762B57F"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15</w:t>
                    </w:r>
                  </w:p>
                </w:tc>
                <w:tc>
                  <w:tcPr>
                    <w:tcW w:w="939" w:type="pct"/>
                  </w:tcPr>
                  <w:p w14:paraId="30D9B50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2,725,100.00</w:t>
                    </w:r>
                  </w:p>
                </w:tc>
                <w:tc>
                  <w:tcPr>
                    <w:tcW w:w="940" w:type="pct"/>
                  </w:tcPr>
                  <w:p w14:paraId="2B02E35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2,725,100.00</w:t>
                    </w:r>
                  </w:p>
                </w:tc>
                <w:tc>
                  <w:tcPr>
                    <w:tcW w:w="859" w:type="pct"/>
                  </w:tcPr>
                  <w:p w14:paraId="28D7C4D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78A63B59"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502324509"/>
              <w:lock w:val="sdtLocked"/>
            </w:sdtPr>
            <w:sdtEndPr/>
            <w:sdtContent>
              <w:tr w:rsidR="00D21C1F" w:rsidRPr="00F409B2" w14:paraId="5D613BDB" w14:textId="77777777">
                <w:tc>
                  <w:tcPr>
                    <w:tcW w:w="1160" w:type="pct"/>
                  </w:tcPr>
                  <w:p w14:paraId="52B86AE7"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16</w:t>
                    </w:r>
                  </w:p>
                </w:tc>
                <w:tc>
                  <w:tcPr>
                    <w:tcW w:w="939" w:type="pct"/>
                  </w:tcPr>
                  <w:p w14:paraId="07E9F7E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2,382,722.00</w:t>
                    </w:r>
                  </w:p>
                </w:tc>
                <w:tc>
                  <w:tcPr>
                    <w:tcW w:w="940" w:type="pct"/>
                  </w:tcPr>
                  <w:p w14:paraId="35D77C6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2,382,722.00</w:t>
                    </w:r>
                  </w:p>
                </w:tc>
                <w:tc>
                  <w:tcPr>
                    <w:tcW w:w="859" w:type="pct"/>
                  </w:tcPr>
                  <w:p w14:paraId="26CB88EE"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6950D751"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90365200"/>
              <w:lock w:val="sdtLocked"/>
            </w:sdtPr>
            <w:sdtEndPr/>
            <w:sdtContent>
              <w:tr w:rsidR="00D21C1F" w:rsidRPr="00F409B2" w14:paraId="58DA3041" w14:textId="77777777">
                <w:tc>
                  <w:tcPr>
                    <w:tcW w:w="1160" w:type="pct"/>
                  </w:tcPr>
                  <w:p w14:paraId="76421CF1"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17</w:t>
                    </w:r>
                  </w:p>
                </w:tc>
                <w:tc>
                  <w:tcPr>
                    <w:tcW w:w="939" w:type="pct"/>
                  </w:tcPr>
                  <w:p w14:paraId="615D485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2,250,900.00</w:t>
                    </w:r>
                  </w:p>
                </w:tc>
                <w:tc>
                  <w:tcPr>
                    <w:tcW w:w="940" w:type="pct"/>
                  </w:tcPr>
                  <w:p w14:paraId="52ACA53E"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2,250,900.00</w:t>
                    </w:r>
                  </w:p>
                </w:tc>
                <w:tc>
                  <w:tcPr>
                    <w:tcW w:w="859" w:type="pct"/>
                  </w:tcPr>
                  <w:p w14:paraId="444C167D"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36078085"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265514732"/>
              <w:lock w:val="sdtLocked"/>
            </w:sdtPr>
            <w:sdtEndPr/>
            <w:sdtContent>
              <w:tr w:rsidR="00D21C1F" w:rsidRPr="00F409B2" w14:paraId="1FF78CC6" w14:textId="77777777">
                <w:tc>
                  <w:tcPr>
                    <w:tcW w:w="1160" w:type="pct"/>
                  </w:tcPr>
                  <w:p w14:paraId="457A0175"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18</w:t>
                    </w:r>
                  </w:p>
                </w:tc>
                <w:tc>
                  <w:tcPr>
                    <w:tcW w:w="939" w:type="pct"/>
                  </w:tcPr>
                  <w:p w14:paraId="7496C92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2,068,956.63</w:t>
                    </w:r>
                  </w:p>
                </w:tc>
                <w:tc>
                  <w:tcPr>
                    <w:tcW w:w="940" w:type="pct"/>
                  </w:tcPr>
                  <w:p w14:paraId="57AFF3B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2,068,956.63</w:t>
                    </w:r>
                  </w:p>
                </w:tc>
                <w:tc>
                  <w:tcPr>
                    <w:tcW w:w="859" w:type="pct"/>
                  </w:tcPr>
                  <w:p w14:paraId="1424F0B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6833A2C0"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444919182"/>
              <w:lock w:val="sdtLocked"/>
            </w:sdtPr>
            <w:sdtEndPr/>
            <w:sdtContent>
              <w:tr w:rsidR="00D21C1F" w:rsidRPr="00F409B2" w14:paraId="75480FBC" w14:textId="77777777">
                <w:tc>
                  <w:tcPr>
                    <w:tcW w:w="1160" w:type="pct"/>
                  </w:tcPr>
                  <w:p w14:paraId="76E0466B"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19</w:t>
                    </w:r>
                  </w:p>
                </w:tc>
                <w:tc>
                  <w:tcPr>
                    <w:tcW w:w="939" w:type="pct"/>
                  </w:tcPr>
                  <w:p w14:paraId="14FA637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1,947,000.00</w:t>
                    </w:r>
                  </w:p>
                </w:tc>
                <w:tc>
                  <w:tcPr>
                    <w:tcW w:w="940" w:type="pct"/>
                  </w:tcPr>
                  <w:p w14:paraId="64C5C78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1,947,000.00</w:t>
                    </w:r>
                  </w:p>
                </w:tc>
                <w:tc>
                  <w:tcPr>
                    <w:tcW w:w="859" w:type="pct"/>
                  </w:tcPr>
                  <w:p w14:paraId="1284925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02EDBBBE"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646651363"/>
              <w:lock w:val="sdtLocked"/>
            </w:sdtPr>
            <w:sdtEndPr/>
            <w:sdtContent>
              <w:tr w:rsidR="00D21C1F" w:rsidRPr="00F409B2" w14:paraId="76DE25C6" w14:textId="77777777">
                <w:tc>
                  <w:tcPr>
                    <w:tcW w:w="1160" w:type="pct"/>
                  </w:tcPr>
                  <w:p w14:paraId="6890837A"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20</w:t>
                    </w:r>
                  </w:p>
                </w:tc>
                <w:tc>
                  <w:tcPr>
                    <w:tcW w:w="939" w:type="pct"/>
                  </w:tcPr>
                  <w:p w14:paraId="0B10CA8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1,045,522.78</w:t>
                    </w:r>
                  </w:p>
                </w:tc>
                <w:tc>
                  <w:tcPr>
                    <w:tcW w:w="940" w:type="pct"/>
                  </w:tcPr>
                  <w:p w14:paraId="1E370D9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1,045,522.78</w:t>
                    </w:r>
                  </w:p>
                </w:tc>
                <w:tc>
                  <w:tcPr>
                    <w:tcW w:w="859" w:type="pct"/>
                  </w:tcPr>
                  <w:p w14:paraId="411029B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241C907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878274907"/>
              <w:lock w:val="sdtLocked"/>
            </w:sdtPr>
            <w:sdtEndPr/>
            <w:sdtContent>
              <w:tr w:rsidR="00D21C1F" w:rsidRPr="00F409B2" w14:paraId="19637FD2" w14:textId="77777777">
                <w:tc>
                  <w:tcPr>
                    <w:tcW w:w="1160" w:type="pct"/>
                  </w:tcPr>
                  <w:p w14:paraId="435C1E4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21</w:t>
                    </w:r>
                  </w:p>
                </w:tc>
                <w:tc>
                  <w:tcPr>
                    <w:tcW w:w="939" w:type="pct"/>
                  </w:tcPr>
                  <w:p w14:paraId="4001913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647,577.72</w:t>
                    </w:r>
                  </w:p>
                </w:tc>
                <w:tc>
                  <w:tcPr>
                    <w:tcW w:w="940" w:type="pct"/>
                  </w:tcPr>
                  <w:p w14:paraId="172D7AA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647,577.72</w:t>
                    </w:r>
                  </w:p>
                </w:tc>
                <w:tc>
                  <w:tcPr>
                    <w:tcW w:w="859" w:type="pct"/>
                  </w:tcPr>
                  <w:p w14:paraId="46C7E416"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7D860465"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2056847835"/>
              <w:lock w:val="sdtLocked"/>
            </w:sdtPr>
            <w:sdtEndPr/>
            <w:sdtContent>
              <w:tr w:rsidR="00D21C1F" w:rsidRPr="00F409B2" w14:paraId="258EE7F2" w14:textId="77777777">
                <w:tc>
                  <w:tcPr>
                    <w:tcW w:w="1160" w:type="pct"/>
                  </w:tcPr>
                  <w:p w14:paraId="192B48C6"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客户</w:t>
                    </w:r>
                    <w:r w:rsidRPr="00F409B2">
                      <w:rPr>
                        <w:rFonts w:ascii="Times New Roman" w:hAnsi="Times New Roman" w:cs="Times New Roman"/>
                      </w:rPr>
                      <w:t>22</w:t>
                    </w:r>
                  </w:p>
                </w:tc>
                <w:tc>
                  <w:tcPr>
                    <w:tcW w:w="939" w:type="pct"/>
                  </w:tcPr>
                  <w:p w14:paraId="2C93913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543,924.12</w:t>
                    </w:r>
                  </w:p>
                </w:tc>
                <w:tc>
                  <w:tcPr>
                    <w:tcW w:w="940" w:type="pct"/>
                  </w:tcPr>
                  <w:p w14:paraId="3437018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543,924.12</w:t>
                    </w:r>
                  </w:p>
                </w:tc>
                <w:tc>
                  <w:tcPr>
                    <w:tcW w:w="859" w:type="pct"/>
                  </w:tcPr>
                  <w:p w14:paraId="3D41D535"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219D2B3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sdt>
            <w:sdtPr>
              <w:rPr>
                <w:rFonts w:ascii="Times New Roman" w:hAnsi="Times New Roman" w:cs="Times New Roman"/>
                <w:szCs w:val="21"/>
              </w:rPr>
              <w:alias w:val="按单项计提坏账准备的应收账款详细名称明细"/>
              <w:tag w:val="_TUP_669c106056fb4de3b5f357a932630dad"/>
              <w:id w:val="1087509753"/>
              <w:lock w:val="sdtLocked"/>
            </w:sdtPr>
            <w:sdtEndPr/>
            <w:sdtContent>
              <w:tr w:rsidR="00D21C1F" w:rsidRPr="00F409B2" w14:paraId="7BB4184B" w14:textId="77777777">
                <w:tc>
                  <w:tcPr>
                    <w:tcW w:w="1160" w:type="pct"/>
                  </w:tcPr>
                  <w:p w14:paraId="7664ED07"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其他</w:t>
                    </w:r>
                  </w:p>
                </w:tc>
                <w:tc>
                  <w:tcPr>
                    <w:tcW w:w="939" w:type="pct"/>
                  </w:tcPr>
                  <w:p w14:paraId="18E615A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1,073,005.46</w:t>
                    </w:r>
                  </w:p>
                </w:tc>
                <w:tc>
                  <w:tcPr>
                    <w:tcW w:w="940" w:type="pct"/>
                  </w:tcPr>
                  <w:p w14:paraId="4DD8DDDD"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1,073,005.46</w:t>
                    </w:r>
                  </w:p>
                </w:tc>
                <w:tc>
                  <w:tcPr>
                    <w:tcW w:w="859" w:type="pct"/>
                  </w:tcPr>
                  <w:p w14:paraId="13C4445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c>
                  <w:tcPr>
                    <w:tcW w:w="1102" w:type="pct"/>
                  </w:tcPr>
                  <w:p w14:paraId="6B7ED4BC"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预计无法收回</w:t>
                    </w:r>
                  </w:p>
                </w:tc>
              </w:tr>
            </w:sdtContent>
          </w:sdt>
          <w:tr w:rsidR="00D21C1F" w:rsidRPr="00F409B2" w14:paraId="15C62A3A" w14:textId="77777777">
            <w:sdt>
              <w:sdtPr>
                <w:rPr>
                  <w:rFonts w:ascii="Times New Roman" w:hAnsi="Times New Roman" w:cs="Times New Roman"/>
                </w:rPr>
                <w:tag w:val="_PLD_9ee856e0edf24e449ccd22d8f0f07348"/>
                <w:id w:val="-272086412"/>
                <w:lock w:val="sdtLocked"/>
              </w:sdtPr>
              <w:sdtEndPr/>
              <w:sdtContent>
                <w:tc>
                  <w:tcPr>
                    <w:tcW w:w="1160" w:type="pct"/>
                    <w:vAlign w:val="center"/>
                  </w:tcPr>
                  <w:p w14:paraId="4714F9F2" w14:textId="77777777" w:rsidR="00D21C1F" w:rsidRPr="00F409B2" w:rsidRDefault="00A42880">
                    <w:pPr>
                      <w:jc w:val="center"/>
                      <w:rPr>
                        <w:rFonts w:ascii="Times New Roman" w:hAnsi="Times New Roman" w:cs="Times New Roman"/>
                        <w:szCs w:val="21"/>
                      </w:rPr>
                    </w:pPr>
                    <w:r w:rsidRPr="00F409B2">
                      <w:rPr>
                        <w:rFonts w:ascii="Times New Roman" w:hAnsi="Times New Roman" w:cs="Times New Roman"/>
                        <w:szCs w:val="21"/>
                      </w:rPr>
                      <w:t>合计</w:t>
                    </w:r>
                  </w:p>
                </w:tc>
              </w:sdtContent>
            </w:sdt>
            <w:tc>
              <w:tcPr>
                <w:tcW w:w="939" w:type="pct"/>
                <w:vAlign w:val="center"/>
              </w:tcPr>
              <w:p w14:paraId="0AC586C5"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114,068,944.64</w:t>
                </w:r>
              </w:p>
            </w:tc>
            <w:tc>
              <w:tcPr>
                <w:tcW w:w="940" w:type="pct"/>
                <w:vAlign w:val="center"/>
              </w:tcPr>
              <w:p w14:paraId="56CFDC7A"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96,343,458.66</w:t>
                </w:r>
              </w:p>
            </w:tc>
            <w:tc>
              <w:tcPr>
                <w:tcW w:w="859" w:type="pct"/>
              </w:tcPr>
              <w:p w14:paraId="7F4A14E6"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szCs w:val="21"/>
                  </w:rPr>
                  <w:t>84.46</w:t>
                </w:r>
              </w:p>
            </w:tc>
            <w:tc>
              <w:tcPr>
                <w:tcW w:w="1102" w:type="pct"/>
                <w:vAlign w:val="center"/>
              </w:tcPr>
              <w:p w14:paraId="5810C0ED" w14:textId="77777777" w:rsidR="00D21C1F" w:rsidRPr="00F409B2" w:rsidRDefault="00A42880">
                <w:pPr>
                  <w:jc w:val="center"/>
                  <w:rPr>
                    <w:rFonts w:ascii="Times New Roman" w:hAnsi="Times New Roman" w:cs="Times New Roman"/>
                    <w:szCs w:val="21"/>
                  </w:rPr>
                </w:pPr>
                <w:r w:rsidRPr="00F409B2">
                  <w:rPr>
                    <w:rFonts w:ascii="Times New Roman" w:hAnsi="Times New Roman" w:cs="Times New Roman"/>
                    <w:szCs w:val="21"/>
                  </w:rPr>
                  <w:t>/</w:t>
                </w:r>
              </w:p>
            </w:tc>
          </w:tr>
        </w:tbl>
        <w:p w14:paraId="6E4EBCA6" w14:textId="77777777" w:rsidR="00D21C1F" w:rsidRPr="00F409B2" w:rsidRDefault="00A42880">
          <w:pPr>
            <w:rPr>
              <w:rFonts w:ascii="Times New Roman" w:hAnsi="Times New Roman" w:cs="Times New Roman"/>
              <w:szCs w:val="21"/>
            </w:rPr>
          </w:pPr>
          <w:r w:rsidRPr="00F409B2">
            <w:rPr>
              <w:rFonts w:ascii="Times New Roman" w:hAnsi="Times New Roman" w:cs="Times New Roman"/>
              <w:szCs w:val="21"/>
            </w:rPr>
            <w:t>按单项计提坏账准备的说明：</w:t>
          </w:r>
        </w:p>
        <w:sdt>
          <w:sdtPr>
            <w:rPr>
              <w:szCs w:val="21"/>
            </w:rPr>
            <w:alias w:val="是否适用：按单项计提坏账准备的应收账款说明[双击切换]"/>
            <w:tag w:val="_GBC_5058bdcf98524a1ba98e4618d094237d"/>
            <w:id w:val="-1474597876"/>
            <w:lock w:val="sdtLocked"/>
            <w:placeholder>
              <w:docPart w:val="GBC22222222222222222222222222222"/>
            </w:placeholder>
          </w:sdtPr>
          <w:sdtEndPr/>
          <w:sdtContent>
            <w:p w14:paraId="5DA81461"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422B29F" w14:textId="77777777" w:rsidR="00D21C1F" w:rsidRDefault="00045EC6">
          <w:pPr>
            <w:pStyle w:val="97"/>
          </w:pPr>
        </w:p>
      </w:sdtContent>
    </w:sdt>
    <w:p w14:paraId="122B2806" w14:textId="77777777" w:rsidR="00D21C1F" w:rsidRDefault="00A42880">
      <w:pPr>
        <w:pStyle w:val="97"/>
      </w:pPr>
      <w:bookmarkStart w:id="185" w:name="_Hlk10467225"/>
      <w:bookmarkEnd w:id="184"/>
      <w:r>
        <w:rPr>
          <w:rFonts w:hint="eastAsia"/>
        </w:rPr>
        <w:t>按组合计提坏账准备：</w:t>
      </w:r>
    </w:p>
    <w:sdt>
      <w:sdtPr>
        <w:rPr>
          <w:rFonts w:hint="eastAsia"/>
        </w:rPr>
        <w:alias w:val="是否适用：按组合计提坏账准备的应收账款详细情况[双击切换]"/>
        <w:tag w:val="_GBC_47a07baa9a4f4c5ea6de193ae7b87e74"/>
        <w:id w:val="-564562432"/>
        <w:lock w:val="sdtContentLocked"/>
        <w:placeholder>
          <w:docPart w:val="GBC22222222222222222222222222222"/>
        </w:placeholder>
      </w:sdtPr>
      <w:sdtEndPr/>
      <w:sdtContent>
        <w:p w14:paraId="1CAB32B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86" w:name="_Hlk533607573" w:displacedByCustomXml="next"/>
    <w:sdt>
      <w:sdtPr>
        <w:rPr>
          <w:rFonts w:hint="eastAsia"/>
          <w:szCs w:val="21"/>
        </w:rPr>
        <w:alias w:val="模块:组合计提项目"/>
        <w:tag w:val="_SEC_f085826b570e4937b558307522853cff"/>
        <w:id w:val="1236743334"/>
        <w:lock w:val="sdtLocked"/>
        <w:placeholder>
          <w:docPart w:val="GBC22222222222222222222222222222"/>
        </w:placeholder>
      </w:sdtPr>
      <w:sdtEndPr>
        <w:rPr>
          <w:rFonts w:hint="default"/>
        </w:rPr>
      </w:sdtEndPr>
      <w:sdtContent>
        <w:p w14:paraId="6EC65E37" w14:textId="77777777" w:rsidR="00D21C1F" w:rsidRDefault="00A42880">
          <w:pPr>
            <w:rPr>
              <w:szCs w:val="21"/>
            </w:rPr>
          </w:pPr>
          <w:r>
            <w:rPr>
              <w:rFonts w:hint="eastAsia"/>
              <w:szCs w:val="21"/>
            </w:rPr>
            <w:t>组合计提项目：</w:t>
          </w:r>
          <w:sdt>
            <w:sdtPr>
              <w:rPr>
                <w:rFonts w:cs="Times New Roman" w:hint="eastAsia"/>
                <w:szCs w:val="21"/>
              </w:rPr>
              <w:alias w:val="按组合计提坏账准备的应收账款明细-组合名称"/>
              <w:tag w:val="_GBC_fec033684b6e412cabcd0e0ea1c6cb96"/>
              <w:id w:val="1125272570"/>
              <w:lock w:val="sdtLocked"/>
              <w:placeholder>
                <w:docPart w:val="GBC22222222222222222222222222222"/>
              </w:placeholder>
              <w:comboBox/>
            </w:sdtPr>
            <w:sdtEndPr/>
            <w:sdtContent>
              <w:r>
                <w:rPr>
                  <w:rFonts w:cs="Times New Roman" w:hint="eastAsia"/>
                  <w:szCs w:val="21"/>
                </w:rPr>
                <w:t>信用风险特征组合</w:t>
              </w:r>
            </w:sdtContent>
          </w:sdt>
        </w:p>
        <w:p w14:paraId="4B1950DA" w14:textId="77777777" w:rsidR="00D21C1F" w:rsidRDefault="00A42880">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1418224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按组合计提坏账准备的应收账款详细情况"/>
              <w:tag w:val="_GBC_f0296899749441bf8c33f5882df60a71"/>
              <w:id w:val="1670449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D21C1F" w14:paraId="060B7E19" w14:textId="77777777">
            <w:sdt>
              <w:sdtPr>
                <w:tag w:val="_PLD_331ca2a43a5247699c45fd6309aee7fd"/>
                <w:id w:val="-972132840"/>
                <w:lock w:val="sdtLocked"/>
              </w:sdtPr>
              <w:sdtEndPr/>
              <w:sdtContent>
                <w:tc>
                  <w:tcPr>
                    <w:tcW w:w="1158" w:type="pct"/>
                    <w:vMerge w:val="restart"/>
                    <w:vAlign w:val="center"/>
                  </w:tcPr>
                  <w:p w14:paraId="253F9230" w14:textId="77777777" w:rsidR="00D21C1F" w:rsidRDefault="00A42880">
                    <w:pPr>
                      <w:jc w:val="center"/>
                      <w:rPr>
                        <w:szCs w:val="21"/>
                      </w:rPr>
                    </w:pPr>
                    <w:r>
                      <w:rPr>
                        <w:rFonts w:hint="eastAsia"/>
                        <w:szCs w:val="21"/>
                      </w:rPr>
                      <w:t>名称</w:t>
                    </w:r>
                  </w:p>
                </w:tc>
              </w:sdtContent>
            </w:sdt>
            <w:sdt>
              <w:sdtPr>
                <w:tag w:val="_PLD_271f4f470bff48e385b1a5d9080fde35"/>
                <w:id w:val="-702632959"/>
                <w:lock w:val="sdtLocked"/>
              </w:sdtPr>
              <w:sdtEndPr/>
              <w:sdtContent>
                <w:tc>
                  <w:tcPr>
                    <w:tcW w:w="3842" w:type="pct"/>
                    <w:gridSpan w:val="3"/>
                    <w:vAlign w:val="center"/>
                  </w:tcPr>
                  <w:p w14:paraId="12D810DC" w14:textId="77777777" w:rsidR="00D21C1F" w:rsidRDefault="00A42880">
                    <w:pPr>
                      <w:jc w:val="center"/>
                      <w:rPr>
                        <w:szCs w:val="21"/>
                      </w:rPr>
                    </w:pPr>
                    <w:r>
                      <w:rPr>
                        <w:rFonts w:hint="eastAsia"/>
                        <w:szCs w:val="21"/>
                      </w:rPr>
                      <w:t>期末余额</w:t>
                    </w:r>
                  </w:p>
                </w:tc>
              </w:sdtContent>
            </w:sdt>
          </w:tr>
          <w:tr w:rsidR="00D21C1F" w14:paraId="5BC3FB5D" w14:textId="77777777">
            <w:tc>
              <w:tcPr>
                <w:tcW w:w="1158" w:type="pct"/>
                <w:vMerge/>
              </w:tcPr>
              <w:p w14:paraId="01F14513" w14:textId="77777777" w:rsidR="00D21C1F" w:rsidRDefault="00D21C1F">
                <w:pPr>
                  <w:jc w:val="center"/>
                  <w:rPr>
                    <w:szCs w:val="21"/>
                  </w:rPr>
                </w:pPr>
              </w:p>
            </w:tc>
            <w:sdt>
              <w:sdtPr>
                <w:tag w:val="_PLD_e1c956de9b3b4544a5d0584eaaf6aea2"/>
                <w:id w:val="-210419321"/>
                <w:lock w:val="sdtLocked"/>
              </w:sdtPr>
              <w:sdtEndPr/>
              <w:sdtContent>
                <w:tc>
                  <w:tcPr>
                    <w:tcW w:w="1276" w:type="pct"/>
                    <w:vAlign w:val="center"/>
                  </w:tcPr>
                  <w:p w14:paraId="1FF3A207" w14:textId="77777777" w:rsidR="00D21C1F" w:rsidRDefault="00A42880">
                    <w:pPr>
                      <w:jc w:val="center"/>
                      <w:rPr>
                        <w:szCs w:val="21"/>
                      </w:rPr>
                    </w:pPr>
                    <w:r>
                      <w:rPr>
                        <w:rFonts w:hint="eastAsia"/>
                        <w:szCs w:val="21"/>
                      </w:rPr>
                      <w:t>应收账款</w:t>
                    </w:r>
                  </w:p>
                </w:tc>
              </w:sdtContent>
            </w:sdt>
            <w:sdt>
              <w:sdtPr>
                <w:tag w:val="_PLD_0098acb8b7f640f29f65a14017e23f02"/>
                <w:id w:val="817852844"/>
                <w:lock w:val="sdtLocked"/>
              </w:sdtPr>
              <w:sdtEndPr/>
              <w:sdtContent>
                <w:tc>
                  <w:tcPr>
                    <w:tcW w:w="1299" w:type="pct"/>
                    <w:vAlign w:val="center"/>
                  </w:tcPr>
                  <w:p w14:paraId="609B9BE5" w14:textId="77777777" w:rsidR="00D21C1F" w:rsidRDefault="00A42880">
                    <w:pPr>
                      <w:jc w:val="center"/>
                      <w:rPr>
                        <w:szCs w:val="21"/>
                      </w:rPr>
                    </w:pPr>
                    <w:r>
                      <w:rPr>
                        <w:rFonts w:hint="eastAsia"/>
                        <w:szCs w:val="21"/>
                      </w:rPr>
                      <w:t>坏账准备</w:t>
                    </w:r>
                  </w:p>
                </w:tc>
              </w:sdtContent>
            </w:sdt>
            <w:sdt>
              <w:sdtPr>
                <w:tag w:val="_PLD_290bbc3bde3c43c487996752ceb95160"/>
                <w:id w:val="1043397622"/>
                <w:lock w:val="sdtLocked"/>
              </w:sdtPr>
              <w:sdtEndPr/>
              <w:sdtContent>
                <w:tc>
                  <w:tcPr>
                    <w:tcW w:w="1267" w:type="pct"/>
                    <w:vAlign w:val="center"/>
                  </w:tcPr>
                  <w:p w14:paraId="4CB87742" w14:textId="77777777" w:rsidR="00D21C1F" w:rsidRDefault="00A42880">
                    <w:pPr>
                      <w:jc w:val="center"/>
                      <w:rPr>
                        <w:szCs w:val="21"/>
                      </w:rPr>
                    </w:pPr>
                    <w:r>
                      <w:rPr>
                        <w:szCs w:val="21"/>
                      </w:rPr>
                      <w:t>计提比例</w:t>
                    </w:r>
                    <w:r>
                      <w:rPr>
                        <w:rFonts w:hint="eastAsia"/>
                        <w:szCs w:val="21"/>
                      </w:rPr>
                      <w:t>（%）</w:t>
                    </w:r>
                  </w:p>
                </w:tc>
              </w:sdtContent>
            </w:sdt>
          </w:tr>
          <w:sdt>
            <w:sdtPr>
              <w:rPr>
                <w:rFonts w:ascii="Times New Roman" w:hAnsi="Times New Roman" w:cs="Times New Roman"/>
                <w:szCs w:val="21"/>
              </w:rPr>
              <w:alias w:val="按组合计提坏账准备的应收账款详细名称明细"/>
              <w:tag w:val="_TUP_787dccbb6b7545edb25916e256cf8697"/>
              <w:id w:val="-2006111372"/>
              <w:lock w:val="sdtLocked"/>
            </w:sdtPr>
            <w:sdtEndPr/>
            <w:sdtContent>
              <w:tr w:rsidR="00D21C1F" w14:paraId="092B6D0F" w14:textId="77777777">
                <w:tc>
                  <w:tcPr>
                    <w:tcW w:w="1158" w:type="pct"/>
                  </w:tcPr>
                  <w:p w14:paraId="088EF734"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1</w:t>
                    </w:r>
                    <w:r w:rsidRPr="00F409B2">
                      <w:rPr>
                        <w:rFonts w:ascii="Times New Roman" w:hAnsi="Times New Roman" w:cs="Times New Roman"/>
                      </w:rPr>
                      <w:t>年以内</w:t>
                    </w:r>
                  </w:p>
                </w:tc>
                <w:tc>
                  <w:tcPr>
                    <w:tcW w:w="1276" w:type="pct"/>
                  </w:tcPr>
                  <w:p w14:paraId="6FAE464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356,979,431.03</w:t>
                    </w:r>
                  </w:p>
                </w:tc>
                <w:tc>
                  <w:tcPr>
                    <w:tcW w:w="1299" w:type="pct"/>
                  </w:tcPr>
                  <w:p w14:paraId="0BCA069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17,875,077.99</w:t>
                    </w:r>
                  </w:p>
                </w:tc>
                <w:tc>
                  <w:tcPr>
                    <w:tcW w:w="1267" w:type="pct"/>
                  </w:tcPr>
                  <w:p w14:paraId="606B2305" w14:textId="1F4F8045" w:rsidR="00D21C1F" w:rsidRPr="00F409B2" w:rsidRDefault="00A42880">
                    <w:pPr>
                      <w:jc w:val="right"/>
                      <w:rPr>
                        <w:rFonts w:ascii="Times New Roman" w:hAnsi="Times New Roman" w:cs="Times New Roman"/>
                        <w:szCs w:val="21"/>
                      </w:rPr>
                    </w:pPr>
                    <w:r w:rsidRPr="00F409B2">
                      <w:rPr>
                        <w:rFonts w:ascii="Times New Roman" w:hAnsi="Times New Roman" w:cs="Times New Roman"/>
                      </w:rPr>
                      <w:t>5.0</w:t>
                    </w:r>
                  </w:p>
                </w:tc>
              </w:tr>
            </w:sdtContent>
          </w:sdt>
          <w:sdt>
            <w:sdtPr>
              <w:rPr>
                <w:rFonts w:ascii="Times New Roman" w:hAnsi="Times New Roman" w:cs="Times New Roman"/>
                <w:szCs w:val="21"/>
              </w:rPr>
              <w:alias w:val="按组合计提坏账准备的应收账款详细名称明细"/>
              <w:tag w:val="_TUP_787dccbb6b7545edb25916e256cf8697"/>
              <w:id w:val="1485275147"/>
              <w:lock w:val="sdtLocked"/>
            </w:sdtPr>
            <w:sdtEndPr/>
            <w:sdtContent>
              <w:tr w:rsidR="00D21C1F" w14:paraId="53460E13" w14:textId="77777777">
                <w:tc>
                  <w:tcPr>
                    <w:tcW w:w="1158" w:type="pct"/>
                  </w:tcPr>
                  <w:p w14:paraId="62037DB0"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1-2</w:t>
                    </w:r>
                    <w:r w:rsidRPr="00F409B2">
                      <w:rPr>
                        <w:rFonts w:ascii="Times New Roman" w:hAnsi="Times New Roman" w:cs="Times New Roman"/>
                      </w:rPr>
                      <w:t>年</w:t>
                    </w:r>
                  </w:p>
                </w:tc>
                <w:tc>
                  <w:tcPr>
                    <w:tcW w:w="1276" w:type="pct"/>
                  </w:tcPr>
                  <w:p w14:paraId="3AF9AD5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104,487,394.88</w:t>
                    </w:r>
                  </w:p>
                </w:tc>
                <w:tc>
                  <w:tcPr>
                    <w:tcW w:w="1299" w:type="pct"/>
                  </w:tcPr>
                  <w:p w14:paraId="177BCBB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10,448,739.50</w:t>
                    </w:r>
                  </w:p>
                </w:tc>
                <w:tc>
                  <w:tcPr>
                    <w:tcW w:w="1267" w:type="pct"/>
                  </w:tcPr>
                  <w:p w14:paraId="034398B5" w14:textId="47F899D4" w:rsidR="00D21C1F" w:rsidRPr="00F409B2" w:rsidRDefault="00A42880">
                    <w:pPr>
                      <w:jc w:val="right"/>
                      <w:rPr>
                        <w:rFonts w:ascii="Times New Roman" w:hAnsi="Times New Roman" w:cs="Times New Roman"/>
                        <w:szCs w:val="21"/>
                      </w:rPr>
                    </w:pPr>
                    <w:r w:rsidRPr="00F409B2">
                      <w:rPr>
                        <w:rFonts w:ascii="Times New Roman" w:hAnsi="Times New Roman" w:cs="Times New Roman"/>
                      </w:rPr>
                      <w:t>10.0</w:t>
                    </w:r>
                  </w:p>
                </w:tc>
              </w:tr>
            </w:sdtContent>
          </w:sdt>
          <w:sdt>
            <w:sdtPr>
              <w:rPr>
                <w:rFonts w:ascii="Times New Roman" w:hAnsi="Times New Roman" w:cs="Times New Roman"/>
                <w:szCs w:val="21"/>
              </w:rPr>
              <w:alias w:val="按组合计提坏账准备的应收账款详细名称明细"/>
              <w:tag w:val="_TUP_787dccbb6b7545edb25916e256cf8697"/>
              <w:id w:val="-1952235241"/>
              <w:lock w:val="sdtLocked"/>
            </w:sdtPr>
            <w:sdtEndPr/>
            <w:sdtContent>
              <w:tr w:rsidR="00D21C1F" w14:paraId="363FCB52" w14:textId="77777777">
                <w:tc>
                  <w:tcPr>
                    <w:tcW w:w="1158" w:type="pct"/>
                  </w:tcPr>
                  <w:p w14:paraId="4196E33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2-3</w:t>
                    </w:r>
                    <w:r w:rsidRPr="00F409B2">
                      <w:rPr>
                        <w:rFonts w:ascii="Times New Roman" w:hAnsi="Times New Roman" w:cs="Times New Roman"/>
                      </w:rPr>
                      <w:t>年</w:t>
                    </w:r>
                  </w:p>
                </w:tc>
                <w:tc>
                  <w:tcPr>
                    <w:tcW w:w="1276" w:type="pct"/>
                  </w:tcPr>
                  <w:p w14:paraId="5496BC0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36,533,240.55</w:t>
                    </w:r>
                  </w:p>
                </w:tc>
                <w:tc>
                  <w:tcPr>
                    <w:tcW w:w="1299" w:type="pct"/>
                  </w:tcPr>
                  <w:p w14:paraId="35B8EBC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10,959,972.17</w:t>
                    </w:r>
                  </w:p>
                </w:tc>
                <w:tc>
                  <w:tcPr>
                    <w:tcW w:w="1267" w:type="pct"/>
                  </w:tcPr>
                  <w:p w14:paraId="12392B53" w14:textId="27322DCA" w:rsidR="00D21C1F" w:rsidRPr="00F409B2" w:rsidRDefault="00A42880">
                    <w:pPr>
                      <w:jc w:val="right"/>
                      <w:rPr>
                        <w:rFonts w:ascii="Times New Roman" w:hAnsi="Times New Roman" w:cs="Times New Roman"/>
                        <w:szCs w:val="21"/>
                      </w:rPr>
                    </w:pPr>
                    <w:r w:rsidRPr="00F409B2">
                      <w:rPr>
                        <w:rFonts w:ascii="Times New Roman" w:hAnsi="Times New Roman" w:cs="Times New Roman"/>
                      </w:rPr>
                      <w:t>30.0</w:t>
                    </w:r>
                  </w:p>
                </w:tc>
              </w:tr>
            </w:sdtContent>
          </w:sdt>
          <w:sdt>
            <w:sdtPr>
              <w:rPr>
                <w:rFonts w:ascii="Times New Roman" w:hAnsi="Times New Roman" w:cs="Times New Roman"/>
                <w:szCs w:val="21"/>
              </w:rPr>
              <w:alias w:val="按组合计提坏账准备的应收账款详细名称明细"/>
              <w:tag w:val="_TUP_787dccbb6b7545edb25916e256cf8697"/>
              <w:id w:val="1955672117"/>
              <w:lock w:val="sdtLocked"/>
            </w:sdtPr>
            <w:sdtEndPr/>
            <w:sdtContent>
              <w:tr w:rsidR="00D21C1F" w14:paraId="6215B133" w14:textId="77777777">
                <w:tc>
                  <w:tcPr>
                    <w:tcW w:w="1158" w:type="pct"/>
                  </w:tcPr>
                  <w:p w14:paraId="4867DD28"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3-4</w:t>
                    </w:r>
                    <w:r w:rsidRPr="00F409B2">
                      <w:rPr>
                        <w:rFonts w:ascii="Times New Roman" w:hAnsi="Times New Roman" w:cs="Times New Roman"/>
                      </w:rPr>
                      <w:t>年</w:t>
                    </w:r>
                  </w:p>
                </w:tc>
                <w:tc>
                  <w:tcPr>
                    <w:tcW w:w="1276" w:type="pct"/>
                  </w:tcPr>
                  <w:p w14:paraId="539C359A"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11,219,282.39</w:t>
                    </w:r>
                  </w:p>
                </w:tc>
                <w:tc>
                  <w:tcPr>
                    <w:tcW w:w="1299" w:type="pct"/>
                  </w:tcPr>
                  <w:p w14:paraId="2AC1284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5,609,641.19</w:t>
                    </w:r>
                  </w:p>
                </w:tc>
                <w:tc>
                  <w:tcPr>
                    <w:tcW w:w="1267" w:type="pct"/>
                  </w:tcPr>
                  <w:p w14:paraId="4F3291F1" w14:textId="4B1354B5" w:rsidR="00D21C1F" w:rsidRPr="00F409B2" w:rsidRDefault="00A42880">
                    <w:pPr>
                      <w:jc w:val="right"/>
                      <w:rPr>
                        <w:rFonts w:ascii="Times New Roman" w:hAnsi="Times New Roman" w:cs="Times New Roman"/>
                        <w:szCs w:val="21"/>
                      </w:rPr>
                    </w:pPr>
                    <w:r w:rsidRPr="00F409B2">
                      <w:rPr>
                        <w:rFonts w:ascii="Times New Roman" w:hAnsi="Times New Roman" w:cs="Times New Roman"/>
                      </w:rPr>
                      <w:t>50.0</w:t>
                    </w:r>
                  </w:p>
                </w:tc>
              </w:tr>
            </w:sdtContent>
          </w:sdt>
          <w:sdt>
            <w:sdtPr>
              <w:rPr>
                <w:rFonts w:ascii="Times New Roman" w:hAnsi="Times New Roman" w:cs="Times New Roman"/>
                <w:szCs w:val="21"/>
              </w:rPr>
              <w:alias w:val="按组合计提坏账准备的应收账款详细名称明细"/>
              <w:tag w:val="_TUP_787dccbb6b7545edb25916e256cf8697"/>
              <w:id w:val="-1280642844"/>
              <w:lock w:val="sdtLocked"/>
            </w:sdtPr>
            <w:sdtEndPr/>
            <w:sdtContent>
              <w:tr w:rsidR="00D21C1F" w14:paraId="0C654696" w14:textId="77777777">
                <w:tc>
                  <w:tcPr>
                    <w:tcW w:w="1158" w:type="pct"/>
                  </w:tcPr>
                  <w:p w14:paraId="753BEBE2"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4-5</w:t>
                    </w:r>
                    <w:r w:rsidRPr="00F409B2">
                      <w:rPr>
                        <w:rFonts w:ascii="Times New Roman" w:hAnsi="Times New Roman" w:cs="Times New Roman"/>
                      </w:rPr>
                      <w:t>年</w:t>
                    </w:r>
                  </w:p>
                </w:tc>
                <w:tc>
                  <w:tcPr>
                    <w:tcW w:w="1276" w:type="pct"/>
                  </w:tcPr>
                  <w:p w14:paraId="16D52EB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6,420,928.37</w:t>
                    </w:r>
                  </w:p>
                </w:tc>
                <w:tc>
                  <w:tcPr>
                    <w:tcW w:w="1299" w:type="pct"/>
                  </w:tcPr>
                  <w:p w14:paraId="0B6D243B"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4,494,649.80</w:t>
                    </w:r>
                  </w:p>
                </w:tc>
                <w:tc>
                  <w:tcPr>
                    <w:tcW w:w="1267" w:type="pct"/>
                  </w:tcPr>
                  <w:p w14:paraId="75139C6F" w14:textId="3FA571AE" w:rsidR="00D21C1F" w:rsidRPr="00F409B2" w:rsidRDefault="00A42880">
                    <w:pPr>
                      <w:jc w:val="right"/>
                      <w:rPr>
                        <w:rFonts w:ascii="Times New Roman" w:hAnsi="Times New Roman" w:cs="Times New Roman"/>
                        <w:szCs w:val="21"/>
                      </w:rPr>
                    </w:pPr>
                    <w:r w:rsidRPr="00F409B2">
                      <w:rPr>
                        <w:rFonts w:ascii="Times New Roman" w:hAnsi="Times New Roman" w:cs="Times New Roman"/>
                      </w:rPr>
                      <w:t>70.0</w:t>
                    </w:r>
                  </w:p>
                </w:tc>
              </w:tr>
            </w:sdtContent>
          </w:sdt>
          <w:sdt>
            <w:sdtPr>
              <w:rPr>
                <w:rFonts w:ascii="Times New Roman" w:hAnsi="Times New Roman" w:cs="Times New Roman"/>
                <w:szCs w:val="21"/>
              </w:rPr>
              <w:alias w:val="按组合计提坏账准备的应收账款详细名称明细"/>
              <w:tag w:val="_TUP_787dccbb6b7545edb25916e256cf8697"/>
              <w:id w:val="-1170488021"/>
              <w:lock w:val="sdtLocked"/>
            </w:sdtPr>
            <w:sdtEndPr/>
            <w:sdtContent>
              <w:tr w:rsidR="00D21C1F" w14:paraId="6FDECF24" w14:textId="77777777">
                <w:tc>
                  <w:tcPr>
                    <w:tcW w:w="1158" w:type="pct"/>
                  </w:tcPr>
                  <w:p w14:paraId="2451B080" w14:textId="77777777" w:rsidR="00D21C1F" w:rsidRPr="00F409B2" w:rsidRDefault="00A42880">
                    <w:pPr>
                      <w:rPr>
                        <w:rFonts w:ascii="Times New Roman" w:hAnsi="Times New Roman" w:cs="Times New Roman"/>
                        <w:szCs w:val="21"/>
                      </w:rPr>
                    </w:pPr>
                    <w:r w:rsidRPr="00F409B2">
                      <w:rPr>
                        <w:rFonts w:ascii="Times New Roman" w:hAnsi="Times New Roman" w:cs="Times New Roman"/>
                      </w:rPr>
                      <w:t>5</w:t>
                    </w:r>
                    <w:r w:rsidRPr="00F409B2">
                      <w:rPr>
                        <w:rFonts w:ascii="Times New Roman" w:hAnsi="Times New Roman" w:cs="Times New Roman"/>
                      </w:rPr>
                      <w:t>年以上</w:t>
                    </w:r>
                  </w:p>
                </w:tc>
                <w:tc>
                  <w:tcPr>
                    <w:tcW w:w="1276" w:type="pct"/>
                  </w:tcPr>
                  <w:p w14:paraId="6CECE75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3,095,071.75</w:t>
                    </w:r>
                  </w:p>
                </w:tc>
                <w:tc>
                  <w:tcPr>
                    <w:tcW w:w="1299" w:type="pct"/>
                  </w:tcPr>
                  <w:p w14:paraId="577370A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3,095,071.75</w:t>
                    </w:r>
                  </w:p>
                </w:tc>
                <w:tc>
                  <w:tcPr>
                    <w:tcW w:w="1267" w:type="pct"/>
                  </w:tcPr>
                  <w:p w14:paraId="02B4DF15" w14:textId="4906F674" w:rsidR="00D21C1F" w:rsidRPr="00F409B2" w:rsidRDefault="00A42880">
                    <w:pPr>
                      <w:jc w:val="right"/>
                      <w:rPr>
                        <w:rFonts w:ascii="Times New Roman" w:hAnsi="Times New Roman" w:cs="Times New Roman"/>
                        <w:szCs w:val="21"/>
                      </w:rPr>
                    </w:pPr>
                    <w:r w:rsidRPr="00F409B2">
                      <w:rPr>
                        <w:rFonts w:ascii="Times New Roman" w:hAnsi="Times New Roman" w:cs="Times New Roman"/>
                      </w:rPr>
                      <w:t>100.0</w:t>
                    </w:r>
                  </w:p>
                </w:tc>
              </w:tr>
            </w:sdtContent>
          </w:sdt>
          <w:tr w:rsidR="00D21C1F" w14:paraId="151A452E" w14:textId="77777777">
            <w:sdt>
              <w:sdtPr>
                <w:rPr>
                  <w:rFonts w:ascii="Times New Roman" w:hAnsi="Times New Roman" w:cs="Times New Roman"/>
                </w:rPr>
                <w:tag w:val="_PLD_9a3bf225ae544565ad2cb49381fcaca1"/>
                <w:id w:val="1489206236"/>
                <w:lock w:val="sdtLocked"/>
              </w:sdtPr>
              <w:sdtEndPr/>
              <w:sdtContent>
                <w:tc>
                  <w:tcPr>
                    <w:tcW w:w="1158" w:type="pct"/>
                    <w:vAlign w:val="center"/>
                  </w:tcPr>
                  <w:p w14:paraId="51BD7FDB" w14:textId="77777777" w:rsidR="00D21C1F" w:rsidRPr="00F409B2" w:rsidRDefault="00A42880">
                    <w:pPr>
                      <w:jc w:val="center"/>
                      <w:rPr>
                        <w:rFonts w:ascii="Times New Roman" w:hAnsi="Times New Roman" w:cs="Times New Roman"/>
                        <w:szCs w:val="21"/>
                      </w:rPr>
                    </w:pPr>
                    <w:r w:rsidRPr="00F409B2">
                      <w:rPr>
                        <w:rFonts w:ascii="Times New Roman" w:hAnsi="Times New Roman" w:cs="Times New Roman"/>
                        <w:szCs w:val="21"/>
                      </w:rPr>
                      <w:t>合计</w:t>
                    </w:r>
                  </w:p>
                </w:tc>
              </w:sdtContent>
            </w:sdt>
            <w:tc>
              <w:tcPr>
                <w:tcW w:w="1276" w:type="pct"/>
                <w:vAlign w:val="center"/>
              </w:tcPr>
              <w:p w14:paraId="6DDED4FD"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518,735,348.97</w:t>
                </w:r>
              </w:p>
            </w:tc>
            <w:tc>
              <w:tcPr>
                <w:tcW w:w="1299" w:type="pct"/>
                <w:vAlign w:val="center"/>
              </w:tcPr>
              <w:p w14:paraId="189DE55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52,483,152.40</w:t>
                </w:r>
              </w:p>
            </w:tc>
            <w:tc>
              <w:tcPr>
                <w:tcW w:w="1267" w:type="pct"/>
                <w:vAlign w:val="center"/>
              </w:tcPr>
              <w:p w14:paraId="7C744F7C" w14:textId="2B299C9B" w:rsidR="00D21C1F" w:rsidRPr="00F409B2" w:rsidRDefault="00A42880">
                <w:pPr>
                  <w:jc w:val="right"/>
                  <w:rPr>
                    <w:rFonts w:ascii="Times New Roman" w:hAnsi="Times New Roman" w:cs="Times New Roman"/>
                    <w:szCs w:val="21"/>
                  </w:rPr>
                </w:pPr>
                <w:r w:rsidRPr="00F409B2">
                  <w:rPr>
                    <w:rFonts w:ascii="Times New Roman" w:hAnsi="Times New Roman" w:cs="Times New Roman"/>
                  </w:rPr>
                  <w:t>10.1</w:t>
                </w:r>
              </w:p>
            </w:tc>
          </w:tr>
        </w:tbl>
        <w:p w14:paraId="2BDCB660" w14:textId="77777777" w:rsidR="00D21C1F" w:rsidRDefault="00A42880">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5948247"/>
            <w:lock w:val="sdtLocked"/>
            <w:placeholder>
              <w:docPart w:val="GBC22222222222222222222222222222"/>
            </w:placeholder>
          </w:sdtPr>
          <w:sdtEndPr/>
          <w:sdtContent>
            <w:p w14:paraId="4D4D515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85"/>
    <w:bookmarkEnd w:id="186"/>
    <w:p w14:paraId="2A36A052" w14:textId="77777777" w:rsidR="00D21C1F" w:rsidRDefault="00D21C1F">
      <w:pPr>
        <w:pStyle w:val="97"/>
      </w:pPr>
    </w:p>
    <w:bookmarkStart w:id="187" w:name="_Hlk10467269" w:displacedByCustomXml="next"/>
    <w:bookmarkStart w:id="188" w:name="_Hlk10467279" w:displacedByCustomXml="next"/>
    <w:sdt>
      <w:sdtPr>
        <w:rPr>
          <w:rFonts w:hint="eastAsia"/>
        </w:rPr>
        <w:alias w:val="模块:如按预期信用损失一般模型计提坏账准备，请参照其他应收款披露："/>
        <w:tag w:val="_SEC_a585c426a16c4a73a2145ded2280b59a"/>
        <w:id w:val="-198624286"/>
        <w:lock w:val="sdtLocked"/>
        <w:placeholder>
          <w:docPart w:val="GBC22222222222222222222222222222"/>
        </w:placeholder>
      </w:sdtPr>
      <w:sdtEndPr>
        <w:rPr>
          <w:rFonts w:hint="default"/>
        </w:rPr>
      </w:sdtEndPr>
      <w:sdtContent>
        <w:p w14:paraId="0CB12D3A" w14:textId="77777777" w:rsidR="00D21C1F" w:rsidRDefault="00A42880">
          <w:pPr>
            <w:pStyle w:val="97"/>
          </w:pPr>
          <w:r>
            <w:rPr>
              <w:rFonts w:hint="eastAsia"/>
            </w:rPr>
            <w:t>如按预期信用损失一般模型计提坏账准备，请参照其他应收款披露：</w:t>
          </w:r>
          <w:bookmarkEnd w:id="187"/>
        </w:p>
        <w:sdt>
          <w:sdtPr>
            <w:alias w:val="是否适用：应收账款按一般预计信用损失模型计提坏账[双击切换]"/>
            <w:tag w:val="_GBC_dbecd76100814214abd6f7c10d1dd2fa"/>
            <w:id w:val="519744239"/>
            <w:lock w:val="sdtLocked"/>
            <w:placeholder>
              <w:docPart w:val="GBC22222222222222222222222222222"/>
            </w:placeholder>
          </w:sdtPr>
          <w:sdtEndPr/>
          <w:sdtContent>
            <w:p w14:paraId="0420CFD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D1D5F9" w14:textId="77777777" w:rsidR="00D21C1F" w:rsidRDefault="00045EC6">
          <w:pPr>
            <w:pStyle w:val="97"/>
          </w:pPr>
        </w:p>
      </w:sdtContent>
    </w:sdt>
    <w:bookmarkEnd w:id="188" w:displacedByCustomXml="next"/>
    <w:bookmarkStart w:id="189" w:name="_Hlk10467433" w:displacedByCustomXml="next"/>
    <w:sdt>
      <w:sdtPr>
        <w:rPr>
          <w:rFonts w:ascii="宋体" w:hAnsi="宋体" w:cs="宋体" w:hint="eastAsia"/>
          <w:b w:val="0"/>
          <w:bCs w:val="0"/>
          <w:kern w:val="0"/>
          <w:szCs w:val="21"/>
        </w:rPr>
        <w:alias w:val="模块:坏账准备的情况"/>
        <w:tag w:val="_SEC_585de72ff9a04d78b96f9dd88a2090f9"/>
        <w:id w:val="-97411574"/>
        <w:lock w:val="sdtLocked"/>
        <w:placeholder>
          <w:docPart w:val="GBC22222222222222222222222222222"/>
        </w:placeholder>
      </w:sdtPr>
      <w:sdtEndPr>
        <w:rPr>
          <w:rFonts w:hint="default"/>
          <w:szCs w:val="24"/>
        </w:rPr>
      </w:sdtEndPr>
      <w:sdtContent>
        <w:p w14:paraId="020AA91F" w14:textId="77777777" w:rsidR="00D21C1F" w:rsidRDefault="00A42880">
          <w:pPr>
            <w:pStyle w:val="93"/>
            <w:numPr>
              <w:ilvl w:val="3"/>
              <w:numId w:val="97"/>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1823340063"/>
            <w:lock w:val="sdtLocked"/>
            <w:placeholder>
              <w:docPart w:val="GBC22222222222222222222222222222"/>
            </w:placeholder>
          </w:sdtPr>
          <w:sdtEndPr/>
          <w:sdtContent>
            <w:p w14:paraId="6E06C0E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2287E8" w14:textId="77777777" w:rsidR="00D21C1F" w:rsidRDefault="00A42880">
          <w:pPr>
            <w:pStyle w:val="97"/>
          </w:pPr>
          <w:r>
            <w:rPr>
              <w:rFonts w:hint="eastAsia"/>
            </w:rPr>
            <w:t>其中本期坏账准备收回或转回金额重要的：</w:t>
          </w:r>
        </w:p>
        <w:sdt>
          <w:sdtPr>
            <w:alias w:val="是否适用：其中本期坏账准备收回或转回金额重要的[双击切换]"/>
            <w:tag w:val="_GBC_362288b01950422da8198293b517eeb5"/>
            <w:id w:val="1300117666"/>
            <w:lock w:val="sdtLocked"/>
            <w:placeholder>
              <w:docPart w:val="GBC22222222222222222222222222222"/>
            </w:placeholder>
          </w:sdtPr>
          <w:sdtEndPr/>
          <w:sdtContent>
            <w:p w14:paraId="0BC485C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9"/>
    <w:p w14:paraId="0D4C18FB" w14:textId="77777777" w:rsidR="00D21C1F" w:rsidRDefault="00D21C1F">
      <w:pPr>
        <w:pStyle w:val="97"/>
      </w:pPr>
    </w:p>
    <w:sdt>
      <w:sdtPr>
        <w:rPr>
          <w:rFonts w:ascii="宋体" w:hAnsi="宋体" w:cs="宋体" w:hint="eastAsia"/>
          <w:b w:val="0"/>
          <w:bCs w:val="0"/>
          <w:kern w:val="0"/>
          <w:szCs w:val="24"/>
        </w:rPr>
        <w:alias w:val="模块:本报告期实际核销的应收账款情况"/>
        <w:tag w:val="_GBC_af8ceb97930d4d7391d4823a068c824b"/>
        <w:id w:val="838741199"/>
        <w:lock w:val="sdtLocked"/>
        <w:placeholder>
          <w:docPart w:val="GBC22222222222222222222222222222"/>
        </w:placeholder>
      </w:sdtPr>
      <w:sdtEndPr>
        <w:rPr>
          <w:rFonts w:hint="default"/>
        </w:rPr>
      </w:sdtEndPr>
      <w:sdtContent>
        <w:p w14:paraId="3B66FCD2" w14:textId="77777777" w:rsidR="00D21C1F" w:rsidRDefault="00A42880">
          <w:pPr>
            <w:pStyle w:val="93"/>
            <w:numPr>
              <w:ilvl w:val="3"/>
              <w:numId w:val="97"/>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1119648667"/>
            <w:lock w:val="sdtLocked"/>
            <w:placeholder>
              <w:docPart w:val="GBC22222222222222222222222222222"/>
            </w:placeholder>
          </w:sdtPr>
          <w:sdtEndPr/>
          <w:sdtContent>
            <w:p w14:paraId="78FDE17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EC0C3D7" w14:textId="77777777" w:rsidR="00D21C1F" w:rsidRDefault="00D21C1F">
      <w:pPr>
        <w:pStyle w:val="97"/>
      </w:pPr>
    </w:p>
    <w:sdt>
      <w:sdtPr>
        <w:rPr>
          <w:rFonts w:ascii="宋体" w:hAnsi="宋体" w:cs="宋体" w:hint="eastAsia"/>
          <w:b w:val="0"/>
          <w:bCs w:val="0"/>
          <w:kern w:val="0"/>
          <w:szCs w:val="24"/>
        </w:rPr>
        <w:alias w:val="模块:按欠款方归集的期末余额前五名的应收账款情况："/>
        <w:tag w:val="_GBC_e8adf46f2d204834ad681ac980eff4f7"/>
        <w:id w:val="-1681273823"/>
        <w:lock w:val="sdtLocked"/>
        <w:placeholder>
          <w:docPart w:val="GBC22222222222222222222222222222"/>
        </w:placeholder>
      </w:sdtPr>
      <w:sdtEndPr/>
      <w:sdtContent>
        <w:p w14:paraId="0425EEF1" w14:textId="77777777" w:rsidR="00D21C1F" w:rsidRDefault="00A42880">
          <w:pPr>
            <w:pStyle w:val="93"/>
            <w:numPr>
              <w:ilvl w:val="3"/>
              <w:numId w:val="97"/>
            </w:numPr>
            <w:tabs>
              <w:tab w:val="left" w:pos="574"/>
            </w:tabs>
            <w:rPr>
              <w:rFonts w:ascii="宋体" w:hAnsi="宋体"/>
            </w:rPr>
          </w:pPr>
          <w:r>
            <w:rPr>
              <w:rFonts w:ascii="宋体" w:hAnsi="宋体"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1585268667"/>
            <w:lock w:val="sdtLocked"/>
            <w:placeholder>
              <w:docPart w:val="GBC22222222222222222222222222222"/>
            </w:placeholder>
          </w:sdtPr>
          <w:sdtEndPr/>
          <w:sdtContent>
            <w:p w14:paraId="3E4C533E" w14:textId="77777777" w:rsidR="00D21C1F" w:rsidRDefault="00A4288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eastAsiaTheme="minorEastAsia"/>
              <w:szCs w:val="21"/>
            </w:rPr>
            <w:alias w:val="按欠款方归集的期末余额前五名的应收账款情况的说明"/>
            <w:tag w:val="_GBC_064b41eb9e58440dace7a84b96b840f2"/>
            <w:id w:val="678777234"/>
            <w:lock w:val="sdtLocked"/>
            <w:placeholder>
              <w:docPart w:val="GBC22222222222222222222222222222"/>
            </w:placeholder>
          </w:sdtPr>
          <w:sdtEndPr>
            <w:rPr>
              <w:szCs w:val="24"/>
            </w:rPr>
          </w:sdtEndPr>
          <w:sdtContent>
            <w:p w14:paraId="11223423" w14:textId="77777777" w:rsidR="00D21C1F" w:rsidRDefault="00D21C1F">
              <w:pPr>
                <w:snapToGrid w:val="0"/>
                <w:spacing w:line="240" w:lineRule="atLeast"/>
                <w:rPr>
                  <w:szCs w:val="21"/>
                </w:rPr>
              </w:pPr>
            </w:p>
            <w:tbl>
              <w:tblPr>
                <w:tblStyle w:val="g3"/>
                <w:tblW w:w="0" w:type="auto"/>
                <w:tblInd w:w="0" w:type="dxa"/>
                <w:tblLook w:val="04A0" w:firstRow="1" w:lastRow="0" w:firstColumn="1" w:lastColumn="0" w:noHBand="0" w:noVBand="1"/>
              </w:tblPr>
              <w:tblGrid>
                <w:gridCol w:w="2182"/>
                <w:gridCol w:w="2225"/>
                <w:gridCol w:w="2194"/>
                <w:gridCol w:w="2222"/>
              </w:tblGrid>
              <w:tr w:rsidR="00D21C1F" w14:paraId="13D5012F" w14:textId="77777777">
                <w:tc>
                  <w:tcPr>
                    <w:tcW w:w="2262" w:type="dxa"/>
                  </w:tcPr>
                  <w:p w14:paraId="6836E88C" w14:textId="77777777" w:rsidR="00D21C1F" w:rsidRDefault="00A42880">
                    <w:pPr>
                      <w:snapToGrid w:val="0"/>
                      <w:spacing w:line="240" w:lineRule="atLeast"/>
                      <w:rPr>
                        <w:szCs w:val="21"/>
                      </w:rPr>
                    </w:pPr>
                    <w:r>
                      <w:t>单位名称</w:t>
                    </w:r>
                  </w:p>
                </w:tc>
                <w:tc>
                  <w:tcPr>
                    <w:tcW w:w="2262" w:type="dxa"/>
                  </w:tcPr>
                  <w:p w14:paraId="1D8427CA" w14:textId="77777777" w:rsidR="00D21C1F" w:rsidRDefault="00A42880">
                    <w:pPr>
                      <w:snapToGrid w:val="0"/>
                      <w:spacing w:line="240" w:lineRule="atLeast"/>
                      <w:rPr>
                        <w:szCs w:val="21"/>
                      </w:rPr>
                    </w:pPr>
                    <w:r>
                      <w:t>金额</w:t>
                    </w:r>
                  </w:p>
                </w:tc>
                <w:tc>
                  <w:tcPr>
                    <w:tcW w:w="2262" w:type="dxa"/>
                  </w:tcPr>
                  <w:p w14:paraId="71F73D8E" w14:textId="77777777" w:rsidR="00D21C1F" w:rsidRDefault="00A42880">
                    <w:pPr>
                      <w:snapToGrid w:val="0"/>
                      <w:spacing w:line="240" w:lineRule="atLeast"/>
                      <w:rPr>
                        <w:szCs w:val="21"/>
                      </w:rPr>
                    </w:pPr>
                    <w:r>
                      <w:t>占应收账款余额合计数的比例（%）</w:t>
                    </w:r>
                  </w:p>
                </w:tc>
                <w:tc>
                  <w:tcPr>
                    <w:tcW w:w="2263" w:type="dxa"/>
                  </w:tcPr>
                  <w:p w14:paraId="3501743C" w14:textId="77777777" w:rsidR="00D21C1F" w:rsidRDefault="00A42880">
                    <w:pPr>
                      <w:snapToGrid w:val="0"/>
                      <w:spacing w:line="240" w:lineRule="atLeast"/>
                      <w:rPr>
                        <w:szCs w:val="21"/>
                      </w:rPr>
                    </w:pPr>
                    <w:r>
                      <w:t>坏账准备</w:t>
                    </w:r>
                    <w:r>
                      <w:rPr>
                        <w:rFonts w:hint="eastAsia"/>
                      </w:rPr>
                      <w:t>余额</w:t>
                    </w:r>
                  </w:p>
                </w:tc>
              </w:tr>
              <w:tr w:rsidR="00D21C1F" w14:paraId="69F73FBE" w14:textId="77777777">
                <w:tc>
                  <w:tcPr>
                    <w:tcW w:w="2262" w:type="dxa"/>
                  </w:tcPr>
                  <w:p w14:paraId="6D9B2450" w14:textId="77777777" w:rsidR="00D21C1F" w:rsidRDefault="00A42880">
                    <w:pPr>
                      <w:snapToGrid w:val="0"/>
                      <w:spacing w:line="240" w:lineRule="atLeast"/>
                      <w:rPr>
                        <w:szCs w:val="21"/>
                      </w:rPr>
                    </w:pPr>
                    <w:r>
                      <w:t>第一名</w:t>
                    </w:r>
                  </w:p>
                </w:tc>
                <w:tc>
                  <w:tcPr>
                    <w:tcW w:w="2262" w:type="dxa"/>
                    <w:vAlign w:val="bottom"/>
                  </w:tcPr>
                  <w:p w14:paraId="73CD12C3"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104,890,567.47</w:t>
                    </w:r>
                  </w:p>
                </w:tc>
                <w:tc>
                  <w:tcPr>
                    <w:tcW w:w="2262" w:type="dxa"/>
                    <w:vAlign w:val="bottom"/>
                  </w:tcPr>
                  <w:p w14:paraId="1D55ACDE"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16.58</w:t>
                    </w:r>
                  </w:p>
                </w:tc>
                <w:tc>
                  <w:tcPr>
                    <w:tcW w:w="2263" w:type="dxa"/>
                    <w:vAlign w:val="bottom"/>
                  </w:tcPr>
                  <w:p w14:paraId="7AD57505"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7,623,708.90</w:t>
                    </w:r>
                  </w:p>
                </w:tc>
              </w:tr>
              <w:tr w:rsidR="00D21C1F" w14:paraId="3FE00FF6" w14:textId="77777777">
                <w:tc>
                  <w:tcPr>
                    <w:tcW w:w="2262" w:type="dxa"/>
                  </w:tcPr>
                  <w:p w14:paraId="4D5550D6" w14:textId="77777777" w:rsidR="00D21C1F" w:rsidRDefault="00A42880">
                    <w:pPr>
                      <w:snapToGrid w:val="0"/>
                      <w:spacing w:line="240" w:lineRule="atLeast"/>
                      <w:rPr>
                        <w:szCs w:val="21"/>
                      </w:rPr>
                    </w:pPr>
                    <w:r>
                      <w:t>第二名</w:t>
                    </w:r>
                  </w:p>
                </w:tc>
                <w:tc>
                  <w:tcPr>
                    <w:tcW w:w="2262" w:type="dxa"/>
                    <w:vAlign w:val="bottom"/>
                  </w:tcPr>
                  <w:p w14:paraId="5D0B0266"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40,000,000.00</w:t>
                    </w:r>
                  </w:p>
                </w:tc>
                <w:tc>
                  <w:tcPr>
                    <w:tcW w:w="2262" w:type="dxa"/>
                    <w:vAlign w:val="bottom"/>
                  </w:tcPr>
                  <w:p w14:paraId="0A67E909"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6.32</w:t>
                    </w:r>
                  </w:p>
                </w:tc>
                <w:tc>
                  <w:tcPr>
                    <w:tcW w:w="2263" w:type="dxa"/>
                    <w:vAlign w:val="bottom"/>
                  </w:tcPr>
                  <w:p w14:paraId="4F63B9E9"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2,000,000.00</w:t>
                    </w:r>
                  </w:p>
                </w:tc>
              </w:tr>
              <w:tr w:rsidR="00D21C1F" w14:paraId="610B64BB" w14:textId="77777777">
                <w:tc>
                  <w:tcPr>
                    <w:tcW w:w="2262" w:type="dxa"/>
                  </w:tcPr>
                  <w:p w14:paraId="11D134ED" w14:textId="77777777" w:rsidR="00D21C1F" w:rsidRDefault="00A42880">
                    <w:pPr>
                      <w:snapToGrid w:val="0"/>
                      <w:spacing w:line="240" w:lineRule="atLeast"/>
                      <w:rPr>
                        <w:szCs w:val="21"/>
                      </w:rPr>
                    </w:pPr>
                    <w:r>
                      <w:t>第三名</w:t>
                    </w:r>
                  </w:p>
                </w:tc>
                <w:tc>
                  <w:tcPr>
                    <w:tcW w:w="2262" w:type="dxa"/>
                    <w:vAlign w:val="bottom"/>
                  </w:tcPr>
                  <w:p w14:paraId="21E8126F"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23,623,756.83</w:t>
                    </w:r>
                  </w:p>
                </w:tc>
                <w:tc>
                  <w:tcPr>
                    <w:tcW w:w="2262" w:type="dxa"/>
                    <w:vAlign w:val="bottom"/>
                  </w:tcPr>
                  <w:p w14:paraId="5F17F7DA"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3.73</w:t>
                    </w:r>
                  </w:p>
                </w:tc>
                <w:tc>
                  <w:tcPr>
                    <w:tcW w:w="2263" w:type="dxa"/>
                    <w:vAlign w:val="bottom"/>
                  </w:tcPr>
                  <w:p w14:paraId="358C43A2"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19,853,697.09</w:t>
                    </w:r>
                  </w:p>
                </w:tc>
              </w:tr>
              <w:tr w:rsidR="00D21C1F" w14:paraId="5F1DA089" w14:textId="77777777">
                <w:tc>
                  <w:tcPr>
                    <w:tcW w:w="2262" w:type="dxa"/>
                  </w:tcPr>
                  <w:p w14:paraId="0D2453B2" w14:textId="77777777" w:rsidR="00D21C1F" w:rsidRDefault="00A42880">
                    <w:pPr>
                      <w:snapToGrid w:val="0"/>
                      <w:spacing w:line="240" w:lineRule="atLeast"/>
                      <w:rPr>
                        <w:szCs w:val="21"/>
                      </w:rPr>
                    </w:pPr>
                    <w:r>
                      <w:t>第四名</w:t>
                    </w:r>
                  </w:p>
                </w:tc>
                <w:tc>
                  <w:tcPr>
                    <w:tcW w:w="2262" w:type="dxa"/>
                    <w:vAlign w:val="bottom"/>
                  </w:tcPr>
                  <w:p w14:paraId="45AB8D82"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20,241,038.00</w:t>
                    </w:r>
                  </w:p>
                </w:tc>
                <w:tc>
                  <w:tcPr>
                    <w:tcW w:w="2262" w:type="dxa"/>
                    <w:vAlign w:val="bottom"/>
                  </w:tcPr>
                  <w:p w14:paraId="616096C1"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3.20</w:t>
                    </w:r>
                  </w:p>
                </w:tc>
                <w:tc>
                  <w:tcPr>
                    <w:tcW w:w="2263" w:type="dxa"/>
                    <w:vAlign w:val="bottom"/>
                  </w:tcPr>
                  <w:p w14:paraId="518464D8"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1,791,403.90</w:t>
                    </w:r>
                  </w:p>
                </w:tc>
              </w:tr>
              <w:tr w:rsidR="00D21C1F" w14:paraId="674D6EE1" w14:textId="77777777">
                <w:tc>
                  <w:tcPr>
                    <w:tcW w:w="2262" w:type="dxa"/>
                  </w:tcPr>
                  <w:p w14:paraId="0EA4A175" w14:textId="77777777" w:rsidR="00D21C1F" w:rsidRDefault="00A42880">
                    <w:pPr>
                      <w:snapToGrid w:val="0"/>
                      <w:spacing w:line="240" w:lineRule="atLeast"/>
                      <w:rPr>
                        <w:szCs w:val="21"/>
                      </w:rPr>
                    </w:pPr>
                    <w:r>
                      <w:t>第五名</w:t>
                    </w:r>
                  </w:p>
                </w:tc>
                <w:tc>
                  <w:tcPr>
                    <w:tcW w:w="2262" w:type="dxa"/>
                    <w:vAlign w:val="bottom"/>
                  </w:tcPr>
                  <w:p w14:paraId="5CD2B861"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17,507,230.74</w:t>
                    </w:r>
                  </w:p>
                </w:tc>
                <w:tc>
                  <w:tcPr>
                    <w:tcW w:w="2262" w:type="dxa"/>
                    <w:vAlign w:val="bottom"/>
                  </w:tcPr>
                  <w:p w14:paraId="1AF847E5"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2.77</w:t>
                    </w:r>
                  </w:p>
                </w:tc>
                <w:tc>
                  <w:tcPr>
                    <w:tcW w:w="2263" w:type="dxa"/>
                    <w:vAlign w:val="bottom"/>
                  </w:tcPr>
                  <w:p w14:paraId="41EAC9D3"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8,753,615.37</w:t>
                    </w:r>
                  </w:p>
                </w:tc>
              </w:tr>
              <w:tr w:rsidR="00D21C1F" w14:paraId="0C00B3E7" w14:textId="77777777">
                <w:tc>
                  <w:tcPr>
                    <w:tcW w:w="2262" w:type="dxa"/>
                  </w:tcPr>
                  <w:p w14:paraId="20A395AB" w14:textId="77777777" w:rsidR="00D21C1F" w:rsidRDefault="00A42880">
                    <w:pPr>
                      <w:snapToGrid w:val="0"/>
                      <w:spacing w:line="240" w:lineRule="atLeast"/>
                      <w:rPr>
                        <w:szCs w:val="21"/>
                      </w:rPr>
                    </w:pPr>
                    <w:r>
                      <w:t>合计</w:t>
                    </w:r>
                  </w:p>
                </w:tc>
                <w:tc>
                  <w:tcPr>
                    <w:tcW w:w="2262" w:type="dxa"/>
                    <w:vAlign w:val="bottom"/>
                  </w:tcPr>
                  <w:p w14:paraId="3EB17220"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206,262,593.04</w:t>
                    </w:r>
                  </w:p>
                </w:tc>
                <w:tc>
                  <w:tcPr>
                    <w:tcW w:w="2262" w:type="dxa"/>
                    <w:vAlign w:val="bottom"/>
                  </w:tcPr>
                  <w:p w14:paraId="38740786"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32.60</w:t>
                    </w:r>
                  </w:p>
                </w:tc>
                <w:tc>
                  <w:tcPr>
                    <w:tcW w:w="2263" w:type="dxa"/>
                    <w:vAlign w:val="bottom"/>
                  </w:tcPr>
                  <w:p w14:paraId="5651679C"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40,022,425.26</w:t>
                    </w:r>
                  </w:p>
                </w:tc>
              </w:tr>
            </w:tbl>
            <w:p w14:paraId="12024B6F" w14:textId="77777777" w:rsidR="00D21C1F" w:rsidRDefault="00045EC6">
              <w:pPr>
                <w:pStyle w:val="97"/>
              </w:pPr>
            </w:p>
          </w:sdtContent>
        </w:sdt>
      </w:sdtContent>
    </w:sdt>
    <w:p w14:paraId="7D14A2BC" w14:textId="77777777" w:rsidR="00D21C1F" w:rsidRDefault="00D21C1F">
      <w:pPr>
        <w:snapToGrid w:val="0"/>
        <w:spacing w:line="240" w:lineRule="atLeast"/>
        <w:ind w:leftChars="-50" w:left="-105"/>
        <w:rPr>
          <w:szCs w:val="21"/>
        </w:rPr>
      </w:pPr>
    </w:p>
    <w:sdt>
      <w:sdtPr>
        <w:rPr>
          <w:rFonts w:ascii="宋体" w:eastAsia="宋体" w:hAnsi="宋体" w:cs="宋体" w:hint="eastAsia"/>
          <w:b w:val="0"/>
          <w:bCs w:val="0"/>
          <w:kern w:val="0"/>
          <w:szCs w:val="24"/>
        </w:rPr>
        <w:alias w:val="模块:因金融资产转移而终止确认的应收账款"/>
        <w:tag w:val="_GBC_79d1ccfd87f84b4ab10a992730026aa0"/>
        <w:id w:val="-1489695570"/>
        <w:lock w:val="sdtLocked"/>
        <w:placeholder>
          <w:docPart w:val="GBC22222222222222222222222222222"/>
        </w:placeholder>
      </w:sdtPr>
      <w:sdtEndPr/>
      <w:sdtContent>
        <w:p w14:paraId="1BB3F618" w14:textId="77777777" w:rsidR="00D21C1F" w:rsidRDefault="00A42880">
          <w:pPr>
            <w:pStyle w:val="93"/>
            <w:numPr>
              <w:ilvl w:val="3"/>
              <w:numId w:val="97"/>
            </w:numPr>
            <w:tabs>
              <w:tab w:val="left" w:pos="574"/>
            </w:tabs>
            <w:rPr>
              <w:rFonts w:ascii="宋体" w:hAnsi="宋体"/>
              <w:kern w:val="0"/>
            </w:rPr>
          </w:pPr>
          <w:r>
            <w:rPr>
              <w:rFonts w:ascii="宋体" w:hAnsi="宋体" w:hint="eastAsia"/>
              <w:kern w:val="0"/>
            </w:rPr>
            <w:t>因</w:t>
          </w:r>
          <w:r>
            <w:rPr>
              <w:rFonts w:ascii="宋体" w:hAnsi="宋体" w:hint="eastAsia"/>
            </w:rPr>
            <w:t>金融资产</w:t>
          </w:r>
          <w:r>
            <w:rPr>
              <w:rFonts w:ascii="宋体" w:hAnsi="宋体" w:hint="eastAsia"/>
              <w:kern w:val="0"/>
            </w:rPr>
            <w:t>转移而终止确认的应收账款</w:t>
          </w:r>
        </w:p>
        <w:sdt>
          <w:sdtPr>
            <w:rPr>
              <w:rFonts w:hint="eastAsia"/>
              <w:szCs w:val="21"/>
            </w:rPr>
            <w:alias w:val="是否适用：因金融资产转移而终止确认的应收账款[双击切换]"/>
            <w:tag w:val="_GBC_49c226ad97e8410fb7b074c9336b510a"/>
            <w:id w:val="1770504743"/>
            <w:lock w:val="sdtLocked"/>
            <w:placeholder>
              <w:docPart w:val="GBC22222222222222222222222222222"/>
            </w:placeholder>
          </w:sdtPr>
          <w:sdtEndPr/>
          <w:sdtContent>
            <w:p w14:paraId="61F4AA7E" w14:textId="77777777" w:rsidR="00D21C1F" w:rsidRDefault="00A4288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3D9153" w14:textId="77777777" w:rsidR="00D21C1F" w:rsidRDefault="00045EC6">
          <w:pPr>
            <w:snapToGrid w:val="0"/>
            <w:spacing w:line="240" w:lineRule="atLeast"/>
          </w:pPr>
        </w:p>
      </w:sdtContent>
    </w:sdt>
    <w:sdt>
      <w:sdtPr>
        <w:rPr>
          <w:rFonts w:ascii="宋体" w:eastAsia="宋体" w:hAnsi="宋体" w:cs="宋体" w:hint="eastAsia"/>
          <w:b w:val="0"/>
          <w:bCs w:val="0"/>
          <w:kern w:val="0"/>
          <w:szCs w:val="24"/>
        </w:rPr>
        <w:alias w:val="模块:转移应收账款且继续涉入的，分项列示继续涉入形成的资产、负债的金额"/>
        <w:tag w:val="_GBC_d3d5d3b413a24c269f804c6a3e3f1c06"/>
        <w:id w:val="-1712175804"/>
        <w:lock w:val="sdtLocked"/>
        <w:placeholder>
          <w:docPart w:val="GBC22222222222222222222222222222"/>
        </w:placeholder>
      </w:sdtPr>
      <w:sdtEndPr/>
      <w:sdtContent>
        <w:p w14:paraId="0EFCBFB3" w14:textId="77777777" w:rsidR="00D21C1F" w:rsidRDefault="00A42880">
          <w:pPr>
            <w:pStyle w:val="93"/>
            <w:numPr>
              <w:ilvl w:val="3"/>
              <w:numId w:val="97"/>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转移应收账款且继续涉入形成的资产、负债金额[双击切换]"/>
            <w:tag w:val="_GBC_8916c4a80e024e80ab488fe678c14970"/>
            <w:id w:val="-1058937980"/>
            <w:lock w:val="sdtLocked"/>
            <w:placeholder>
              <w:docPart w:val="GBC22222222222222222222222222222"/>
            </w:placeholder>
          </w:sdtPr>
          <w:sdtEndPr/>
          <w:sdtContent>
            <w:p w14:paraId="1152DF65" w14:textId="77777777" w:rsidR="00D21C1F" w:rsidRDefault="00A4288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350D400" w14:textId="77777777" w:rsidR="00D21C1F" w:rsidRDefault="00D21C1F">
      <w:pPr>
        <w:snapToGrid w:val="0"/>
        <w:spacing w:line="240" w:lineRule="atLeast"/>
        <w:ind w:leftChars="-50" w:left="-105"/>
      </w:pPr>
    </w:p>
    <w:sdt>
      <w:sdtPr>
        <w:rPr>
          <w:rFonts w:hint="eastAsia"/>
          <w:b/>
          <w:bCs/>
        </w:rPr>
        <w:alias w:val="模块:应收账款其他说明"/>
        <w:tag w:val="_GBC_2f38c172c62a46cfa73776efdf952fad"/>
        <w:id w:val="448436019"/>
        <w:lock w:val="sdtLocked"/>
        <w:placeholder>
          <w:docPart w:val="GBC22222222222222222222222222222"/>
        </w:placeholder>
      </w:sdtPr>
      <w:sdtEndPr>
        <w:rPr>
          <w:rFonts w:hint="default"/>
          <w:b w:val="0"/>
          <w:bCs w:val="0"/>
        </w:rPr>
      </w:sdtEndPr>
      <w:sdtContent>
        <w:p w14:paraId="3EE1C138" w14:textId="77777777" w:rsidR="00D21C1F" w:rsidRDefault="00A42880">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972355556"/>
            <w:lock w:val="sdtLocked"/>
            <w:placeholder>
              <w:docPart w:val="GBC22222222222222222222222222222"/>
            </w:placeholder>
          </w:sdtPr>
          <w:sdtEndPr/>
          <w:sdtContent>
            <w:p w14:paraId="75BE442D" w14:textId="77777777" w:rsidR="00D21C1F" w:rsidRDefault="00A4288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F4A7374" w14:textId="77777777" w:rsidR="00D21C1F" w:rsidRDefault="00D21C1F">
      <w:pPr>
        <w:rPr>
          <w:szCs w:val="21"/>
        </w:rPr>
      </w:pPr>
    </w:p>
    <w:sdt>
      <w:sdtPr>
        <w:rPr>
          <w:rFonts w:ascii="宋体" w:eastAsia="宋体" w:hAnsi="宋体" w:cs="宋体" w:hint="eastAsia"/>
          <w:b w:val="0"/>
          <w:bCs w:val="0"/>
          <w:kern w:val="0"/>
          <w:szCs w:val="21"/>
        </w:rPr>
        <w:alias w:val="模块:应收款项融资"/>
        <w:tag w:val="_SEC_99a20d0771254b5596c992bd0fe179a3"/>
        <w:id w:val="2126417082"/>
        <w:lock w:val="sdtLocked"/>
        <w:placeholder>
          <w:docPart w:val="GBC22222222222222222222222222222"/>
        </w:placeholder>
      </w:sdtPr>
      <w:sdtEndPr/>
      <w:sdtContent>
        <w:p w14:paraId="063BDB6C" w14:textId="77777777" w:rsidR="00D21C1F" w:rsidRDefault="00A42880">
          <w:pPr>
            <w:pStyle w:val="94"/>
            <w:numPr>
              <w:ilvl w:val="0"/>
              <w:numId w:val="95"/>
            </w:numPr>
            <w:rPr>
              <w:rFonts w:ascii="宋体" w:hAnsi="宋体"/>
              <w:szCs w:val="21"/>
            </w:rPr>
          </w:pPr>
          <w:r>
            <w:rPr>
              <w:rFonts w:ascii="宋体" w:hAnsi="宋体" w:hint="eastAsia"/>
              <w:szCs w:val="21"/>
            </w:rPr>
            <w:t>应收款项融资</w:t>
          </w:r>
        </w:p>
        <w:sdt>
          <w:sdtPr>
            <w:rPr>
              <w:szCs w:val="21"/>
            </w:rPr>
            <w:alias w:val="是否适用：应收款项融资[双击切换]"/>
            <w:tag w:val="_GBC_b66c8e5d6d6f4ccf9bd0ebfd1f5495e4"/>
            <w:id w:val="-314410079"/>
            <w:lock w:val="sdtLocked"/>
            <w:placeholder>
              <w:docPart w:val="GBC22222222222222222222222222222"/>
            </w:placeholder>
          </w:sdtPr>
          <w:sdtEndPr/>
          <w:sdtContent>
            <w:p w14:paraId="415D6D24"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30CCAE" w14:textId="77777777" w:rsidR="00D21C1F" w:rsidRDefault="00A42880">
          <w:pPr>
            <w:ind w:left="420" w:right="-98"/>
            <w:jc w:val="right"/>
          </w:pPr>
          <w:r>
            <w:rPr>
              <w:rFonts w:hint="eastAsia"/>
            </w:rPr>
            <w:t>单位：</w:t>
          </w:r>
          <w:sdt>
            <w:sdtPr>
              <w:rPr>
                <w:rFonts w:hint="eastAsia"/>
              </w:rPr>
              <w:alias w:val="单位：应收款项融资"/>
              <w:tag w:val="_GBC_5bc18c9963914ad7b56c2f244f484146"/>
              <w:id w:val="938330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币种：</w:t>
          </w:r>
          <w:sdt>
            <w:sdtPr>
              <w:rPr>
                <w:rFonts w:hint="eastAsia"/>
              </w:rPr>
              <w:alias w:val="币种：应收款项融资"/>
              <w:tag w:val="_GBC_c66a156107084de19a91dcaaa76213c1"/>
              <w:id w:val="-1191546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64"/>
            <w:gridCol w:w="2825"/>
            <w:gridCol w:w="2834"/>
          </w:tblGrid>
          <w:tr w:rsidR="00D21C1F" w14:paraId="3FB5F134" w14:textId="77777777">
            <w:bookmarkStart w:id="190" w:name="_Hlk13057555" w:displacedByCustomXml="next"/>
            <w:bookmarkStart w:id="191" w:name="_Hlk12969247" w:displacedByCustomXml="next"/>
            <w:sdt>
              <w:sdtPr>
                <w:tag w:val="_PLD_82a62891b4b649e48fb460890f28ac36"/>
                <w:id w:val="488456338"/>
                <w:lock w:val="sdtLocked"/>
              </w:sdtPr>
              <w:sdtEndPr/>
              <w:sdtContent>
                <w:tc>
                  <w:tcPr>
                    <w:tcW w:w="1793" w:type="pct"/>
                    <w:shd w:val="clear" w:color="auto" w:fill="auto"/>
                    <w:vAlign w:val="center"/>
                  </w:tcPr>
                  <w:p w14:paraId="4328F771" w14:textId="77777777" w:rsidR="00D21C1F" w:rsidRDefault="00A42880">
                    <w:pPr>
                      <w:jc w:val="center"/>
                      <w:rPr>
                        <w:szCs w:val="21"/>
                      </w:rPr>
                    </w:pPr>
                    <w:r>
                      <w:rPr>
                        <w:rFonts w:hint="eastAsia"/>
                        <w:szCs w:val="21"/>
                      </w:rPr>
                      <w:t>项目</w:t>
                    </w:r>
                  </w:p>
                </w:tc>
              </w:sdtContent>
            </w:sdt>
            <w:sdt>
              <w:sdtPr>
                <w:tag w:val="_PLD_0b8617b6950f47bfae07e4496fdde27e"/>
                <w:id w:val="1906952555"/>
                <w:lock w:val="sdtLocked"/>
              </w:sdtPr>
              <w:sdtEndPr/>
              <w:sdtContent>
                <w:tc>
                  <w:tcPr>
                    <w:tcW w:w="1601" w:type="pct"/>
                    <w:tcBorders>
                      <w:bottom w:val="single" w:sz="6" w:space="0" w:color="auto"/>
                    </w:tcBorders>
                    <w:shd w:val="clear" w:color="auto" w:fill="auto"/>
                    <w:vAlign w:val="center"/>
                  </w:tcPr>
                  <w:p w14:paraId="15A987CA"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c85f1c835d84ebaa8ca21e687181951"/>
                <w:id w:val="2042935681"/>
                <w:lock w:val="sdtLocked"/>
              </w:sdtPr>
              <w:sdtEndPr/>
              <w:sdtContent>
                <w:tc>
                  <w:tcPr>
                    <w:tcW w:w="1606" w:type="pct"/>
                    <w:shd w:val="clear" w:color="auto" w:fill="auto"/>
                    <w:vAlign w:val="center"/>
                  </w:tcPr>
                  <w:p w14:paraId="23CB0CC7"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a9787d82372c4ec599a760ae032aaf1f"/>
              <w:id w:val="-320971452"/>
              <w:lock w:val="sdtLocked"/>
            </w:sdtPr>
            <w:sdtEndPr>
              <w:rPr>
                <w:rFonts w:ascii="Times New Roman" w:hAnsi="Times New Roman" w:cs="Times New Roman"/>
              </w:rPr>
            </w:sdtEndPr>
            <w:sdtContent>
              <w:tr w:rsidR="00D21C1F" w14:paraId="3A35318B" w14:textId="77777777">
                <w:tc>
                  <w:tcPr>
                    <w:tcW w:w="1793" w:type="pct"/>
                    <w:shd w:val="clear" w:color="auto" w:fill="auto"/>
                  </w:tcPr>
                  <w:p w14:paraId="41F33999" w14:textId="77777777" w:rsidR="00D21C1F" w:rsidRDefault="00A42880">
                    <w:pPr>
                      <w:autoSpaceDE w:val="0"/>
                      <w:autoSpaceDN w:val="0"/>
                      <w:adjustRightInd w:val="0"/>
                      <w:rPr>
                        <w:szCs w:val="21"/>
                      </w:rPr>
                    </w:pPr>
                    <w:r>
                      <w:t>银行承兑汇票</w:t>
                    </w:r>
                  </w:p>
                </w:tc>
                <w:tc>
                  <w:tcPr>
                    <w:tcW w:w="1601" w:type="pct"/>
                    <w:tcBorders>
                      <w:top w:val="single" w:sz="6" w:space="0" w:color="auto"/>
                      <w:bottom w:val="single" w:sz="6" w:space="0" w:color="auto"/>
                    </w:tcBorders>
                    <w:shd w:val="clear" w:color="auto" w:fill="auto"/>
                  </w:tcPr>
                  <w:p w14:paraId="2AF57707"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33,311,267.79</w:t>
                    </w:r>
                  </w:p>
                </w:tc>
                <w:tc>
                  <w:tcPr>
                    <w:tcW w:w="1606" w:type="pct"/>
                    <w:shd w:val="clear" w:color="auto" w:fill="auto"/>
                  </w:tcPr>
                  <w:p w14:paraId="25E4163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18,052,511.60</w:t>
                    </w:r>
                  </w:p>
                </w:tc>
              </w:tr>
            </w:sdtContent>
          </w:sdt>
          <w:tr w:rsidR="00D21C1F" w14:paraId="6929E3D2" w14:textId="77777777">
            <w:sdt>
              <w:sdtPr>
                <w:tag w:val="_PLD_5299295b2978439ba42b441350bea704"/>
                <w:id w:val="1076635653"/>
                <w:lock w:val="sdtLocked"/>
              </w:sdtPr>
              <w:sdtEndPr/>
              <w:sdtContent>
                <w:tc>
                  <w:tcPr>
                    <w:tcW w:w="1793" w:type="pct"/>
                    <w:shd w:val="clear" w:color="auto" w:fill="auto"/>
                    <w:vAlign w:val="center"/>
                  </w:tcPr>
                  <w:p w14:paraId="25BA7B1D" w14:textId="77777777" w:rsidR="00D21C1F" w:rsidRDefault="00A42880">
                    <w:pPr>
                      <w:jc w:val="center"/>
                      <w:rPr>
                        <w:szCs w:val="21"/>
                      </w:rPr>
                    </w:pPr>
                    <w:r>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14:paraId="7E11C44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33,311,267.79</w:t>
                </w:r>
              </w:p>
            </w:tc>
            <w:tc>
              <w:tcPr>
                <w:tcW w:w="1606" w:type="pct"/>
                <w:shd w:val="clear" w:color="auto" w:fill="auto"/>
                <w:vAlign w:val="center"/>
              </w:tcPr>
              <w:p w14:paraId="0AA4A3BB"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18,052,511.60</w:t>
                </w:r>
              </w:p>
            </w:tc>
          </w:tr>
        </w:tbl>
        <w:p w14:paraId="0715D38C" w14:textId="77777777" w:rsidR="00D21C1F" w:rsidRDefault="00D21C1F">
          <w:pPr>
            <w:pStyle w:val="97"/>
          </w:pPr>
        </w:p>
        <w:p w14:paraId="6B6156AE" w14:textId="77777777" w:rsidR="00D21C1F" w:rsidRDefault="00A42880">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33fc9f304d4f4155ac67028bc1814e26"/>
            <w:id w:val="-1771465152"/>
            <w:lock w:val="sdtLocked"/>
            <w:placeholder>
              <w:docPart w:val="GBC22222222222222222222222222222"/>
            </w:placeholder>
          </w:sdtPr>
          <w:sdtEndPr/>
          <w:sdtContent>
            <w:p w14:paraId="1047539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90"/>
        <w:p w14:paraId="1B5E7D6F" w14:textId="77777777" w:rsidR="00D21C1F" w:rsidRDefault="00D21C1F">
          <w:pPr>
            <w:pStyle w:val="97"/>
          </w:pPr>
        </w:p>
        <w:p w14:paraId="12FEB9EF" w14:textId="77777777" w:rsidR="00D21C1F" w:rsidRDefault="00A42880">
          <w:pPr>
            <w:pStyle w:val="97"/>
          </w:pPr>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5a80268d2f0f436786b31f6c461deb07"/>
            <w:id w:val="-2049216251"/>
            <w:lock w:val="sdtLocked"/>
            <w:placeholder>
              <w:docPart w:val="GBC22222222222222222222222222222"/>
            </w:placeholder>
          </w:sdtPr>
          <w:sdtEndPr/>
          <w:sdtContent>
            <w:p w14:paraId="512FB88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91"/>
        <w:p w14:paraId="2EC7D1F0" w14:textId="77777777" w:rsidR="00D21C1F" w:rsidRDefault="00D21C1F">
          <w:pPr>
            <w:pStyle w:val="97"/>
          </w:pPr>
        </w:p>
        <w:p w14:paraId="42CDC06D" w14:textId="77777777" w:rsidR="00D21C1F" w:rsidRDefault="00A42880">
          <w:pPr>
            <w:pStyle w:val="97"/>
          </w:pPr>
          <w:r>
            <w:rPr>
              <w:rFonts w:hint="eastAsia"/>
            </w:rPr>
            <w:t>其他</w:t>
          </w:r>
          <w:r>
            <w:t>说明</w:t>
          </w:r>
          <w:r>
            <w:rPr>
              <w:rFonts w:hint="eastAsia"/>
            </w:rPr>
            <w:t>：</w:t>
          </w:r>
        </w:p>
        <w:bookmarkStart w:id="192" w:name="_Hlk13057390" w:displacedByCustomXml="next"/>
        <w:sdt>
          <w:sdtPr>
            <w:rPr>
              <w:rFonts w:hint="eastAsia"/>
            </w:rPr>
            <w:alias w:val="是否适用：应收款项融资其他说明[双击切换]"/>
            <w:tag w:val="_GBC_79059c75c4ff4f698741d135a33f5c70"/>
            <w:id w:val="948586002"/>
            <w:lock w:val="sdtLocked"/>
            <w:placeholder>
              <w:docPart w:val="GBC22222222222222222222222222222"/>
            </w:placeholder>
          </w:sdtPr>
          <w:sdtEndPr/>
          <w:sdtContent>
            <w:p w14:paraId="6A5BE013"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2"/>
    <w:p w14:paraId="61B027DF" w14:textId="77777777" w:rsidR="00D21C1F" w:rsidRDefault="00D21C1F">
      <w:pPr>
        <w:rPr>
          <w:szCs w:val="21"/>
        </w:rPr>
      </w:pPr>
    </w:p>
    <w:p w14:paraId="3DF6703A" w14:textId="77777777" w:rsidR="00D21C1F" w:rsidRDefault="00A42880">
      <w:pPr>
        <w:pStyle w:val="94"/>
        <w:numPr>
          <w:ilvl w:val="0"/>
          <w:numId w:val="95"/>
        </w:numPr>
        <w:rPr>
          <w:rFonts w:ascii="宋体" w:hAnsi="宋体"/>
        </w:rPr>
      </w:pPr>
      <w:r>
        <w:rPr>
          <w:rFonts w:ascii="宋体" w:hAnsi="宋体" w:hint="eastAsia"/>
        </w:rPr>
        <w:t>预付款项</w:t>
      </w:r>
    </w:p>
    <w:sdt>
      <w:sdtPr>
        <w:rPr>
          <w:rFonts w:ascii="宋体" w:eastAsia="宋体" w:hAnsi="宋体" w:cs="宋体" w:hint="eastAsia"/>
          <w:b w:val="0"/>
          <w:bCs w:val="0"/>
          <w:kern w:val="0"/>
          <w:szCs w:val="22"/>
        </w:rPr>
        <w:alias w:val="模块:预付款项按账龄列示"/>
        <w:tag w:val="_GBC_4c02994d3bd04bacba6592630552e576"/>
        <w:id w:val="-1984223706"/>
        <w:lock w:val="sdtLocked"/>
        <w:placeholder>
          <w:docPart w:val="GBC22222222222222222222222222222"/>
        </w:placeholder>
      </w:sdtPr>
      <w:sdtEndPr>
        <w:rPr>
          <w:rFonts w:hint="default"/>
          <w:szCs w:val="24"/>
        </w:rPr>
      </w:sdtEndPr>
      <w:sdtContent>
        <w:p w14:paraId="323C2F39" w14:textId="77777777" w:rsidR="00D21C1F" w:rsidRDefault="00A42880">
          <w:pPr>
            <w:pStyle w:val="93"/>
            <w:numPr>
              <w:ilvl w:val="0"/>
              <w:numId w:val="98"/>
            </w:numPr>
            <w:tabs>
              <w:tab w:val="left" w:pos="616"/>
            </w:tabs>
            <w:rPr>
              <w:rFonts w:ascii="宋体" w:hAnsi="宋体"/>
            </w:rPr>
          </w:pPr>
          <w:r>
            <w:rPr>
              <w:rFonts w:ascii="宋体" w:hAnsi="宋体" w:hint="eastAsia"/>
            </w:rPr>
            <w:t>预付款项按账龄列示</w:t>
          </w:r>
        </w:p>
        <w:sdt>
          <w:sdtPr>
            <w:alias w:val="是否适用：预付款项按账龄列示[双击切换]"/>
            <w:tag w:val="_GBC_af3b3e24767e48f7a70a5cfa609407a2"/>
            <w:id w:val="143168014"/>
            <w:lock w:val="sdtLocked"/>
            <w:placeholder>
              <w:docPart w:val="GBC22222222222222222222222222222"/>
            </w:placeholder>
          </w:sdtPr>
          <w:sdtEndPr/>
          <w:sdtContent>
            <w:p w14:paraId="49EC627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8B4BE0" w14:textId="77777777" w:rsidR="00D21C1F" w:rsidRDefault="00A42880">
          <w:pPr>
            <w:jc w:val="right"/>
            <w:rPr>
              <w:b/>
              <w:szCs w:val="21"/>
            </w:rPr>
          </w:pPr>
          <w:r>
            <w:rPr>
              <w:rFonts w:hint="eastAsia"/>
              <w:szCs w:val="21"/>
            </w:rPr>
            <w:t>单位：</w:t>
          </w:r>
          <w:sdt>
            <w:sdtPr>
              <w:rPr>
                <w:rFonts w:hint="eastAsia"/>
                <w:szCs w:val="21"/>
              </w:rPr>
              <w:alias w:val="单位：财务附注：预付账款账龄"/>
              <w:tag w:val="_GBC_9eb28bbf7d374cdf965c7e133b610fb3"/>
              <w:id w:val="2054039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预付账款账龄"/>
              <w:tag w:val="_GBC_d491347f74764df5af3312ad7a0a92e5"/>
              <w:id w:val="2133362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9"/>
            <w:gridCol w:w="1876"/>
            <w:gridCol w:w="1862"/>
            <w:gridCol w:w="1860"/>
            <w:gridCol w:w="1876"/>
          </w:tblGrid>
          <w:tr w:rsidR="00D21C1F" w14:paraId="49FA010E" w14:textId="77777777">
            <w:trPr>
              <w:cantSplit/>
              <w:trHeight w:val="237"/>
            </w:trPr>
            <w:sdt>
              <w:sdtPr>
                <w:tag w:val="_PLD_159a64f22a4a4b1ab31846b4d6034c4c"/>
                <w:id w:val="258263075"/>
                <w:lock w:val="sdtLocked"/>
              </w:sdtPr>
              <w:sdtEndPr/>
              <w:sdtContent>
                <w:tc>
                  <w:tcPr>
                    <w:tcW w:w="765" w:type="pct"/>
                    <w:vMerge w:val="restart"/>
                    <w:vAlign w:val="center"/>
                  </w:tcPr>
                  <w:p w14:paraId="56EA8A85" w14:textId="77777777" w:rsidR="00D21C1F" w:rsidRDefault="00A42880">
                    <w:pPr>
                      <w:jc w:val="center"/>
                      <w:rPr>
                        <w:szCs w:val="21"/>
                      </w:rPr>
                    </w:pPr>
                    <w:r>
                      <w:rPr>
                        <w:rFonts w:hint="eastAsia"/>
                        <w:szCs w:val="21"/>
                      </w:rPr>
                      <w:t>账龄</w:t>
                    </w:r>
                  </w:p>
                </w:tc>
              </w:sdtContent>
            </w:sdt>
            <w:sdt>
              <w:sdtPr>
                <w:tag w:val="_PLD_6ca82cba92a649d08c6ceb86dd951ef3"/>
                <w:id w:val="1390921526"/>
                <w:lock w:val="sdtLocked"/>
              </w:sdtPr>
              <w:sdtEndPr/>
              <w:sdtContent>
                <w:tc>
                  <w:tcPr>
                    <w:tcW w:w="2118" w:type="pct"/>
                    <w:gridSpan w:val="2"/>
                    <w:vAlign w:val="center"/>
                  </w:tcPr>
                  <w:p w14:paraId="7ED0E85B" w14:textId="77777777" w:rsidR="00D21C1F" w:rsidRDefault="00A42880">
                    <w:pPr>
                      <w:jc w:val="center"/>
                      <w:rPr>
                        <w:szCs w:val="21"/>
                      </w:rPr>
                    </w:pPr>
                    <w:r>
                      <w:rPr>
                        <w:rFonts w:hint="eastAsia"/>
                        <w:szCs w:val="21"/>
                      </w:rPr>
                      <w:t>期末余额</w:t>
                    </w:r>
                  </w:p>
                </w:tc>
              </w:sdtContent>
            </w:sdt>
            <w:sdt>
              <w:sdtPr>
                <w:tag w:val="_PLD_365dab2f8fd246d79543ed0d2e6dcab7"/>
                <w:id w:val="-933972397"/>
                <w:lock w:val="sdtLocked"/>
              </w:sdtPr>
              <w:sdtEndPr/>
              <w:sdtContent>
                <w:tc>
                  <w:tcPr>
                    <w:tcW w:w="2117" w:type="pct"/>
                    <w:gridSpan w:val="2"/>
                    <w:vAlign w:val="center"/>
                  </w:tcPr>
                  <w:p w14:paraId="2F6ED54F" w14:textId="77777777" w:rsidR="00D21C1F" w:rsidRDefault="00A42880">
                    <w:pPr>
                      <w:jc w:val="center"/>
                      <w:rPr>
                        <w:szCs w:val="21"/>
                      </w:rPr>
                    </w:pPr>
                    <w:r>
                      <w:rPr>
                        <w:rFonts w:hint="eastAsia"/>
                        <w:szCs w:val="21"/>
                      </w:rPr>
                      <w:t>期初余额</w:t>
                    </w:r>
                  </w:p>
                </w:tc>
              </w:sdtContent>
            </w:sdt>
          </w:tr>
          <w:tr w:rsidR="00D21C1F" w14:paraId="625BBCBD" w14:textId="77777777">
            <w:trPr>
              <w:cantSplit/>
            </w:trPr>
            <w:tc>
              <w:tcPr>
                <w:tcW w:w="765" w:type="pct"/>
                <w:vMerge/>
              </w:tcPr>
              <w:p w14:paraId="17074942" w14:textId="77777777" w:rsidR="00D21C1F" w:rsidRDefault="00D21C1F">
                <w:pPr>
                  <w:rPr>
                    <w:szCs w:val="21"/>
                  </w:rPr>
                </w:pPr>
              </w:p>
            </w:tc>
            <w:sdt>
              <w:sdtPr>
                <w:tag w:val="_PLD_a9d7b721cfa446e9ae31149380da5970"/>
                <w:id w:val="-140969607"/>
                <w:lock w:val="sdtLocked"/>
              </w:sdtPr>
              <w:sdtEndPr/>
              <w:sdtContent>
                <w:tc>
                  <w:tcPr>
                    <w:tcW w:w="1063" w:type="pct"/>
                    <w:vAlign w:val="center"/>
                  </w:tcPr>
                  <w:p w14:paraId="0D923448" w14:textId="77777777" w:rsidR="00D21C1F" w:rsidRDefault="00A42880">
                    <w:pPr>
                      <w:jc w:val="center"/>
                      <w:rPr>
                        <w:szCs w:val="21"/>
                      </w:rPr>
                    </w:pPr>
                    <w:r>
                      <w:rPr>
                        <w:rFonts w:hint="eastAsia"/>
                        <w:szCs w:val="21"/>
                      </w:rPr>
                      <w:t>金额</w:t>
                    </w:r>
                  </w:p>
                </w:tc>
              </w:sdtContent>
            </w:sdt>
            <w:sdt>
              <w:sdtPr>
                <w:tag w:val="_PLD_2d8b8f523dcd4c95815b7c8fd528129d"/>
                <w:id w:val="135083301"/>
                <w:lock w:val="sdtLocked"/>
              </w:sdtPr>
              <w:sdtEndPr/>
              <w:sdtContent>
                <w:tc>
                  <w:tcPr>
                    <w:tcW w:w="1055" w:type="pct"/>
                    <w:vAlign w:val="center"/>
                  </w:tcPr>
                  <w:p w14:paraId="3CEC76B0" w14:textId="77777777" w:rsidR="00D21C1F" w:rsidRDefault="00A42880">
                    <w:pPr>
                      <w:jc w:val="center"/>
                      <w:rPr>
                        <w:szCs w:val="21"/>
                      </w:rPr>
                    </w:pPr>
                    <w:r>
                      <w:rPr>
                        <w:rFonts w:hint="eastAsia"/>
                        <w:szCs w:val="21"/>
                      </w:rPr>
                      <w:t>比例</w:t>
                    </w:r>
                    <w:r>
                      <w:rPr>
                        <w:szCs w:val="21"/>
                      </w:rPr>
                      <w:t>(%)</w:t>
                    </w:r>
                  </w:p>
                </w:tc>
              </w:sdtContent>
            </w:sdt>
            <w:sdt>
              <w:sdtPr>
                <w:tag w:val="_PLD_f01816a56b3f4ec1a7d603d3ac318eb1"/>
                <w:id w:val="435872556"/>
                <w:lock w:val="sdtLocked"/>
              </w:sdtPr>
              <w:sdtEndPr/>
              <w:sdtContent>
                <w:tc>
                  <w:tcPr>
                    <w:tcW w:w="1054" w:type="pct"/>
                    <w:vAlign w:val="center"/>
                  </w:tcPr>
                  <w:p w14:paraId="5692112F" w14:textId="77777777" w:rsidR="00D21C1F" w:rsidRDefault="00A42880">
                    <w:pPr>
                      <w:jc w:val="center"/>
                      <w:rPr>
                        <w:szCs w:val="21"/>
                      </w:rPr>
                    </w:pPr>
                    <w:r>
                      <w:rPr>
                        <w:rFonts w:hint="eastAsia"/>
                        <w:szCs w:val="21"/>
                      </w:rPr>
                      <w:t>金额</w:t>
                    </w:r>
                  </w:p>
                </w:tc>
              </w:sdtContent>
            </w:sdt>
            <w:sdt>
              <w:sdtPr>
                <w:tag w:val="_PLD_55adcab5f9be4d24b3d0faaf5403e89a"/>
                <w:id w:val="-2020144467"/>
                <w:lock w:val="sdtLocked"/>
              </w:sdtPr>
              <w:sdtEndPr/>
              <w:sdtContent>
                <w:tc>
                  <w:tcPr>
                    <w:tcW w:w="1063" w:type="pct"/>
                    <w:vAlign w:val="center"/>
                  </w:tcPr>
                  <w:p w14:paraId="3CAA0A59" w14:textId="77777777" w:rsidR="00D21C1F" w:rsidRDefault="00A42880">
                    <w:pPr>
                      <w:jc w:val="center"/>
                      <w:rPr>
                        <w:szCs w:val="21"/>
                      </w:rPr>
                    </w:pPr>
                    <w:r>
                      <w:rPr>
                        <w:rFonts w:hint="eastAsia"/>
                        <w:szCs w:val="21"/>
                      </w:rPr>
                      <w:t>比例</w:t>
                    </w:r>
                    <w:r>
                      <w:rPr>
                        <w:szCs w:val="21"/>
                      </w:rPr>
                      <w:t>(%)</w:t>
                    </w:r>
                  </w:p>
                </w:tc>
              </w:sdtContent>
            </w:sdt>
          </w:tr>
          <w:tr w:rsidR="00D21C1F" w14:paraId="2487F2A6" w14:textId="77777777">
            <w:trPr>
              <w:cantSplit/>
            </w:trPr>
            <w:sdt>
              <w:sdtPr>
                <w:tag w:val="_PLD_26543d5743964e32ae30d0d46bd6131c"/>
                <w:id w:val="-943451371"/>
                <w:lock w:val="sdtLocked"/>
              </w:sdtPr>
              <w:sdtEndPr/>
              <w:sdtContent>
                <w:tc>
                  <w:tcPr>
                    <w:tcW w:w="765" w:type="pct"/>
                  </w:tcPr>
                  <w:p w14:paraId="746498A4" w14:textId="77777777" w:rsidR="00D21C1F" w:rsidRDefault="00A42880">
                    <w:pPr>
                      <w:rPr>
                        <w:szCs w:val="21"/>
                      </w:rPr>
                    </w:pPr>
                    <w:r>
                      <w:rPr>
                        <w:rFonts w:ascii="Times New Roman" w:hAnsi="Times New Roman" w:hint="eastAsia"/>
                        <w:szCs w:val="21"/>
                      </w:rPr>
                      <w:t>1</w:t>
                    </w:r>
                    <w:r>
                      <w:rPr>
                        <w:rFonts w:hint="eastAsia"/>
                        <w:szCs w:val="21"/>
                      </w:rPr>
                      <w:t>年以内</w:t>
                    </w:r>
                  </w:p>
                </w:tc>
              </w:sdtContent>
            </w:sdt>
            <w:tc>
              <w:tcPr>
                <w:tcW w:w="1063" w:type="pct"/>
                <w:vAlign w:val="center"/>
              </w:tcPr>
              <w:p w14:paraId="5240C0B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65,923,421.64</w:t>
                </w:r>
              </w:p>
            </w:tc>
            <w:tc>
              <w:tcPr>
                <w:tcW w:w="1055" w:type="pct"/>
                <w:vAlign w:val="center"/>
              </w:tcPr>
              <w:p w14:paraId="192D1C8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98.85</w:t>
                </w:r>
              </w:p>
            </w:tc>
            <w:tc>
              <w:tcPr>
                <w:tcW w:w="1054" w:type="pct"/>
                <w:vAlign w:val="center"/>
              </w:tcPr>
              <w:p w14:paraId="72ACDCF4"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53,790,524.42</w:t>
                </w:r>
              </w:p>
            </w:tc>
            <w:tc>
              <w:tcPr>
                <w:tcW w:w="1063" w:type="pct"/>
                <w:vAlign w:val="center"/>
              </w:tcPr>
              <w:p w14:paraId="6CA58263"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94.90</w:t>
                </w:r>
              </w:p>
            </w:tc>
          </w:tr>
          <w:tr w:rsidR="00D21C1F" w14:paraId="4F0D127F" w14:textId="77777777">
            <w:trPr>
              <w:cantSplit/>
            </w:trPr>
            <w:sdt>
              <w:sdtPr>
                <w:tag w:val="_PLD_fa162d7579db4acd997484df51e51de6"/>
                <w:id w:val="1601296122"/>
                <w:lock w:val="sdtLocked"/>
              </w:sdtPr>
              <w:sdtEndPr/>
              <w:sdtContent>
                <w:tc>
                  <w:tcPr>
                    <w:tcW w:w="765" w:type="pct"/>
                  </w:tcPr>
                  <w:p w14:paraId="0E748653" w14:textId="77777777" w:rsidR="00D21C1F" w:rsidRDefault="00A42880">
                    <w:pPr>
                      <w:rPr>
                        <w:szCs w:val="21"/>
                      </w:rPr>
                    </w:pPr>
                    <w:r>
                      <w:rPr>
                        <w:rFonts w:ascii="Times New Roman" w:hAnsi="Times New Roman" w:hint="eastAsia"/>
                        <w:szCs w:val="21"/>
                      </w:rPr>
                      <w:t>1</w:t>
                    </w:r>
                    <w:r>
                      <w:rPr>
                        <w:rFonts w:hint="eastAsia"/>
                        <w:szCs w:val="21"/>
                      </w:rPr>
                      <w:t>至</w:t>
                    </w:r>
                    <w:r>
                      <w:rPr>
                        <w:rFonts w:ascii="Times New Roman" w:hAnsi="Times New Roman" w:hint="eastAsia"/>
                        <w:szCs w:val="21"/>
                      </w:rPr>
                      <w:t>2</w:t>
                    </w:r>
                    <w:r>
                      <w:rPr>
                        <w:rFonts w:hint="eastAsia"/>
                        <w:szCs w:val="21"/>
                      </w:rPr>
                      <w:t>年</w:t>
                    </w:r>
                  </w:p>
                </w:tc>
              </w:sdtContent>
            </w:sdt>
            <w:tc>
              <w:tcPr>
                <w:tcW w:w="1063" w:type="pct"/>
                <w:vAlign w:val="center"/>
              </w:tcPr>
              <w:p w14:paraId="2751E496"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764,884.27</w:t>
                </w:r>
              </w:p>
            </w:tc>
            <w:tc>
              <w:tcPr>
                <w:tcW w:w="1055" w:type="pct"/>
                <w:vAlign w:val="center"/>
              </w:tcPr>
              <w:p w14:paraId="0BBB1E7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1.15</w:t>
                </w:r>
              </w:p>
            </w:tc>
            <w:tc>
              <w:tcPr>
                <w:tcW w:w="1054" w:type="pct"/>
                <w:vAlign w:val="center"/>
              </w:tcPr>
              <w:p w14:paraId="248BA7A0"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2,778,327.32</w:t>
                </w:r>
              </w:p>
            </w:tc>
            <w:tc>
              <w:tcPr>
                <w:tcW w:w="1063" w:type="pct"/>
                <w:vAlign w:val="center"/>
              </w:tcPr>
              <w:p w14:paraId="1CAA5F0C"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4.90</w:t>
                </w:r>
              </w:p>
            </w:tc>
          </w:tr>
          <w:tr w:rsidR="00D21C1F" w14:paraId="73850F6C" w14:textId="77777777">
            <w:trPr>
              <w:cantSplit/>
            </w:trPr>
            <w:sdt>
              <w:sdtPr>
                <w:tag w:val="_PLD_43897a3965694d6691fcba6be58bfd88"/>
                <w:id w:val="-1340539780"/>
                <w:lock w:val="sdtLocked"/>
              </w:sdtPr>
              <w:sdtEndPr/>
              <w:sdtContent>
                <w:tc>
                  <w:tcPr>
                    <w:tcW w:w="765" w:type="pct"/>
                  </w:tcPr>
                  <w:p w14:paraId="438B6263" w14:textId="77777777" w:rsidR="00D21C1F" w:rsidRDefault="00A42880">
                    <w:pPr>
                      <w:rPr>
                        <w:szCs w:val="21"/>
                      </w:rPr>
                    </w:pPr>
                    <w:r>
                      <w:rPr>
                        <w:rFonts w:ascii="Times New Roman" w:hAnsi="Times New Roman" w:hint="eastAsia"/>
                        <w:szCs w:val="21"/>
                      </w:rPr>
                      <w:t>2</w:t>
                    </w:r>
                    <w:r>
                      <w:rPr>
                        <w:rFonts w:hint="eastAsia"/>
                        <w:szCs w:val="21"/>
                      </w:rPr>
                      <w:t>至</w:t>
                    </w:r>
                    <w:r>
                      <w:rPr>
                        <w:rFonts w:ascii="Times New Roman" w:hAnsi="Times New Roman" w:hint="eastAsia"/>
                        <w:szCs w:val="21"/>
                      </w:rPr>
                      <w:t>3</w:t>
                    </w:r>
                    <w:r>
                      <w:rPr>
                        <w:rFonts w:hint="eastAsia"/>
                        <w:szCs w:val="21"/>
                      </w:rPr>
                      <w:t>年</w:t>
                    </w:r>
                  </w:p>
                </w:tc>
              </w:sdtContent>
            </w:sdt>
            <w:tc>
              <w:tcPr>
                <w:tcW w:w="1063" w:type="pct"/>
                <w:vAlign w:val="center"/>
              </w:tcPr>
              <w:p w14:paraId="554A380B"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szCs w:val="21"/>
                  </w:rPr>
                  <w:t>-</w:t>
                </w:r>
              </w:p>
            </w:tc>
            <w:tc>
              <w:tcPr>
                <w:tcW w:w="1055" w:type="pct"/>
                <w:vAlign w:val="center"/>
              </w:tcPr>
              <w:p w14:paraId="1B54F429"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w:t>
                </w:r>
              </w:p>
            </w:tc>
            <w:tc>
              <w:tcPr>
                <w:tcW w:w="1054" w:type="pct"/>
                <w:vAlign w:val="center"/>
              </w:tcPr>
              <w:p w14:paraId="25278D8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115,235.72</w:t>
                </w:r>
              </w:p>
            </w:tc>
            <w:tc>
              <w:tcPr>
                <w:tcW w:w="1063" w:type="pct"/>
                <w:vAlign w:val="center"/>
              </w:tcPr>
              <w:p w14:paraId="796D5C9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0.20</w:t>
                </w:r>
              </w:p>
            </w:tc>
          </w:tr>
          <w:tr w:rsidR="00D21C1F" w14:paraId="3D5E110E" w14:textId="77777777">
            <w:trPr>
              <w:cantSplit/>
            </w:trPr>
            <w:sdt>
              <w:sdtPr>
                <w:tag w:val="_PLD_773a38e1adc44faa97354ca876a6da1b"/>
                <w:id w:val="-1689046404"/>
                <w:lock w:val="sdtLocked"/>
              </w:sdtPr>
              <w:sdtEndPr/>
              <w:sdtContent>
                <w:tc>
                  <w:tcPr>
                    <w:tcW w:w="765" w:type="pct"/>
                  </w:tcPr>
                  <w:p w14:paraId="52ADA00A" w14:textId="77777777" w:rsidR="00D21C1F" w:rsidRDefault="00A42880">
                    <w:pPr>
                      <w:jc w:val="center"/>
                      <w:rPr>
                        <w:szCs w:val="21"/>
                      </w:rPr>
                    </w:pPr>
                    <w:r>
                      <w:rPr>
                        <w:rFonts w:hint="eastAsia"/>
                        <w:szCs w:val="21"/>
                      </w:rPr>
                      <w:t>合计</w:t>
                    </w:r>
                  </w:p>
                </w:tc>
              </w:sdtContent>
            </w:sdt>
            <w:tc>
              <w:tcPr>
                <w:tcW w:w="1063" w:type="pct"/>
                <w:vAlign w:val="center"/>
              </w:tcPr>
              <w:p w14:paraId="69E17892"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66,688,305.91</w:t>
                </w:r>
              </w:p>
            </w:tc>
            <w:tc>
              <w:tcPr>
                <w:tcW w:w="1055" w:type="pct"/>
                <w:vAlign w:val="center"/>
              </w:tcPr>
              <w:p w14:paraId="09DB6A2F"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100.00</w:t>
                </w:r>
              </w:p>
            </w:tc>
            <w:tc>
              <w:tcPr>
                <w:tcW w:w="1054" w:type="pct"/>
                <w:vAlign w:val="center"/>
              </w:tcPr>
              <w:p w14:paraId="41854B31"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56,684,087.46</w:t>
                </w:r>
              </w:p>
            </w:tc>
            <w:tc>
              <w:tcPr>
                <w:tcW w:w="1063" w:type="pct"/>
                <w:vAlign w:val="center"/>
              </w:tcPr>
              <w:p w14:paraId="31A26088" w14:textId="77777777" w:rsidR="00D21C1F" w:rsidRPr="00F409B2" w:rsidRDefault="00A42880">
                <w:pPr>
                  <w:jc w:val="right"/>
                  <w:rPr>
                    <w:rFonts w:ascii="Times New Roman" w:hAnsi="Times New Roman" w:cs="Times New Roman"/>
                    <w:szCs w:val="21"/>
                  </w:rPr>
                </w:pPr>
                <w:r w:rsidRPr="00F409B2">
                  <w:rPr>
                    <w:rFonts w:ascii="Times New Roman" w:hAnsi="Times New Roman" w:cs="Times New Roman"/>
                  </w:rPr>
                  <w:t>100.00</w:t>
                </w:r>
              </w:p>
            </w:tc>
          </w:tr>
        </w:tbl>
        <w:p w14:paraId="5CC12325" w14:textId="77777777" w:rsidR="00D21C1F" w:rsidRDefault="00A42880">
          <w:pPr>
            <w:rPr>
              <w:szCs w:val="21"/>
            </w:rPr>
          </w:pPr>
          <w:r>
            <w:rPr>
              <w:rFonts w:hint="eastAsia"/>
              <w:szCs w:val="21"/>
            </w:rPr>
            <w:t>账龄超过</w:t>
          </w:r>
          <w:r>
            <w:rPr>
              <w:rFonts w:ascii="Times New Roman" w:hAnsi="Times New Roman" w:hint="eastAsia"/>
              <w:szCs w:val="21"/>
            </w:rPr>
            <w:t>1</w:t>
          </w:r>
          <w:r>
            <w:rPr>
              <w:rFonts w:hint="eastAsia"/>
              <w:szCs w:val="21"/>
            </w:rPr>
            <w:t>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413751931"/>
            <w:lock w:val="sdtLocked"/>
            <w:placeholder>
              <w:docPart w:val="GBC22222222222222222222222222222"/>
            </w:placeholder>
          </w:sdtPr>
          <w:sdtEndPr/>
          <w:sdtContent>
            <w:p w14:paraId="786E3335" w14:textId="77777777" w:rsidR="00D21C1F" w:rsidRDefault="00A42880">
              <w:pPr>
                <w:snapToGrid w:val="0"/>
                <w:spacing w:line="240" w:lineRule="atLeast"/>
                <w:rPr>
                  <w:szCs w:val="21"/>
                </w:rPr>
              </w:pPr>
              <w:r>
                <w:rPr>
                  <w:rFonts w:hint="eastAsia"/>
                  <w:szCs w:val="21"/>
                </w:rPr>
                <w:t>无</w:t>
              </w:r>
            </w:p>
          </w:sdtContent>
        </w:sdt>
      </w:sdtContent>
    </w:sdt>
    <w:p w14:paraId="36AF6041" w14:textId="77777777" w:rsidR="00D21C1F" w:rsidRDefault="00D21C1F">
      <w:pPr>
        <w:rPr>
          <w:szCs w:val="21"/>
        </w:rPr>
      </w:pPr>
    </w:p>
    <w:sdt>
      <w:sdtPr>
        <w:rPr>
          <w:rFonts w:ascii="宋体" w:hAnsi="宋体" w:cs="宋体" w:hint="eastAsia"/>
          <w:b w:val="0"/>
          <w:bCs w:val="0"/>
          <w:kern w:val="0"/>
          <w:szCs w:val="24"/>
        </w:rPr>
        <w:alias w:val="模块:预付款项金额前五名单位情况"/>
        <w:tag w:val="_GBC_2c5fba8651a04a6d88c0c9fc33310c57"/>
        <w:id w:val="-1828820276"/>
        <w:lock w:val="sdtLocked"/>
        <w:placeholder>
          <w:docPart w:val="GBC22222222222222222222222222222"/>
        </w:placeholder>
      </w:sdtPr>
      <w:sdtEndPr/>
      <w:sdtContent>
        <w:p w14:paraId="010C7BF4" w14:textId="77777777" w:rsidR="00D21C1F" w:rsidRDefault="00A42880">
          <w:pPr>
            <w:pStyle w:val="93"/>
            <w:numPr>
              <w:ilvl w:val="0"/>
              <w:numId w:val="98"/>
            </w:numPr>
            <w:tabs>
              <w:tab w:val="left" w:pos="616"/>
            </w:tabs>
            <w:snapToGrid w:val="0"/>
            <w:spacing w:line="240" w:lineRule="atLeast"/>
            <w:jc w:val="left"/>
            <w:rPr>
              <w:rFonts w:ascii="宋体" w:hAnsi="宋体"/>
              <w:szCs w:val="21"/>
            </w:rPr>
          </w:pPr>
          <w:r>
            <w:rPr>
              <w:rFonts w:ascii="宋体" w:hAnsi="宋体"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679971747"/>
            <w:lock w:val="sdtLocked"/>
            <w:placeholder>
              <w:docPart w:val="GBC22222222222222222222222222222"/>
            </w:placeholder>
          </w:sdtPr>
          <w:sdtEndPr/>
          <w:sdtContent>
            <w:p w14:paraId="56FBE70D" w14:textId="77777777" w:rsidR="00D21C1F" w:rsidRDefault="00A4288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eastAsiaTheme="minorEastAsia"/>
              <w:szCs w:val="21"/>
            </w:rPr>
            <w:alias w:val="按预付对象归集的期末余额前五名的预付款情况的说明"/>
            <w:tag w:val="_GBC_e2f1aa285f174786838e4fcd54656fec"/>
            <w:id w:val="1844115456"/>
            <w:lock w:val="sdtLocked"/>
            <w:placeholder>
              <w:docPart w:val="GBC22222222222222222222222222222"/>
            </w:placeholder>
          </w:sdtPr>
          <w:sdtEndPr>
            <w:rPr>
              <w:szCs w:val="24"/>
            </w:rPr>
          </w:sdtEndPr>
          <w:sdtContent>
            <w:p w14:paraId="18DBCC65" w14:textId="77777777" w:rsidR="00D21C1F" w:rsidRDefault="00D21C1F">
              <w:pPr>
                <w:snapToGrid w:val="0"/>
                <w:spacing w:line="240" w:lineRule="atLeast"/>
                <w:rPr>
                  <w:szCs w:val="21"/>
                </w:rPr>
              </w:pPr>
            </w:p>
            <w:tbl>
              <w:tblPr>
                <w:tblStyle w:val="g3"/>
                <w:tblW w:w="0" w:type="auto"/>
                <w:tblInd w:w="0" w:type="dxa"/>
                <w:tblLook w:val="04A0" w:firstRow="1" w:lastRow="0" w:firstColumn="1" w:lastColumn="0" w:noHBand="0" w:noVBand="1"/>
              </w:tblPr>
              <w:tblGrid>
                <w:gridCol w:w="2927"/>
                <w:gridCol w:w="2959"/>
                <w:gridCol w:w="2937"/>
              </w:tblGrid>
              <w:tr w:rsidR="00D21C1F" w14:paraId="37D5EADD" w14:textId="77777777">
                <w:tc>
                  <w:tcPr>
                    <w:tcW w:w="3016" w:type="dxa"/>
                  </w:tcPr>
                  <w:p w14:paraId="433D087F" w14:textId="77777777" w:rsidR="00D21C1F" w:rsidRDefault="00A42880">
                    <w:pPr>
                      <w:snapToGrid w:val="0"/>
                      <w:spacing w:line="240" w:lineRule="atLeast"/>
                      <w:rPr>
                        <w:szCs w:val="21"/>
                      </w:rPr>
                    </w:pPr>
                    <w:r>
                      <w:t>单位名称</w:t>
                    </w:r>
                  </w:p>
                </w:tc>
                <w:tc>
                  <w:tcPr>
                    <w:tcW w:w="3016" w:type="dxa"/>
                  </w:tcPr>
                  <w:p w14:paraId="177BC6C2" w14:textId="77777777" w:rsidR="00D21C1F" w:rsidRDefault="00A42880">
                    <w:pPr>
                      <w:snapToGrid w:val="0"/>
                      <w:spacing w:line="240" w:lineRule="atLeast"/>
                      <w:rPr>
                        <w:szCs w:val="21"/>
                      </w:rPr>
                    </w:pPr>
                    <w:r>
                      <w:rPr>
                        <w:rFonts w:hint="eastAsia"/>
                        <w:szCs w:val="21"/>
                      </w:rPr>
                      <w:t>期末余额（元）</w:t>
                    </w:r>
                    <w:r>
                      <w:rPr>
                        <w:szCs w:val="21"/>
                      </w:rPr>
                      <w:tab/>
                    </w:r>
                  </w:p>
                </w:tc>
                <w:tc>
                  <w:tcPr>
                    <w:tcW w:w="3016" w:type="dxa"/>
                  </w:tcPr>
                  <w:p w14:paraId="0284B30F" w14:textId="77777777" w:rsidR="00D21C1F" w:rsidRDefault="00A42880">
                    <w:pPr>
                      <w:snapToGrid w:val="0"/>
                      <w:spacing w:line="240" w:lineRule="atLeast"/>
                      <w:rPr>
                        <w:szCs w:val="21"/>
                      </w:rPr>
                    </w:pPr>
                    <w:r>
                      <w:rPr>
                        <w:rFonts w:hint="eastAsia"/>
                        <w:szCs w:val="21"/>
                      </w:rPr>
                      <w:t>占预付款项期末余额合计数的比例（</w:t>
                    </w:r>
                    <w:r>
                      <w:rPr>
                        <w:szCs w:val="21"/>
                      </w:rPr>
                      <w:t>%）</w:t>
                    </w:r>
                  </w:p>
                </w:tc>
              </w:tr>
              <w:tr w:rsidR="00D21C1F" w14:paraId="43DB9774" w14:textId="77777777">
                <w:tc>
                  <w:tcPr>
                    <w:tcW w:w="3016" w:type="dxa"/>
                  </w:tcPr>
                  <w:p w14:paraId="24A004C5" w14:textId="77777777" w:rsidR="00D21C1F" w:rsidRDefault="00A42880">
                    <w:pPr>
                      <w:snapToGrid w:val="0"/>
                      <w:spacing w:line="240" w:lineRule="atLeast"/>
                      <w:rPr>
                        <w:szCs w:val="21"/>
                      </w:rPr>
                    </w:pPr>
                    <w:r>
                      <w:t>第一名</w:t>
                    </w:r>
                  </w:p>
                </w:tc>
                <w:tc>
                  <w:tcPr>
                    <w:tcW w:w="3016" w:type="dxa"/>
                    <w:vAlign w:val="bottom"/>
                  </w:tcPr>
                  <w:p w14:paraId="29E3B3F0"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9,956,839.42</w:t>
                    </w:r>
                  </w:p>
                </w:tc>
                <w:tc>
                  <w:tcPr>
                    <w:tcW w:w="3016" w:type="dxa"/>
                    <w:vAlign w:val="bottom"/>
                  </w:tcPr>
                  <w:p w14:paraId="1F7AC4C6"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14.93</w:t>
                    </w:r>
                  </w:p>
                </w:tc>
              </w:tr>
              <w:tr w:rsidR="00D21C1F" w14:paraId="25D3ECAE" w14:textId="77777777">
                <w:tc>
                  <w:tcPr>
                    <w:tcW w:w="3016" w:type="dxa"/>
                  </w:tcPr>
                  <w:p w14:paraId="5A4E0778" w14:textId="77777777" w:rsidR="00D21C1F" w:rsidRDefault="00A42880">
                    <w:pPr>
                      <w:snapToGrid w:val="0"/>
                      <w:spacing w:line="240" w:lineRule="atLeast"/>
                      <w:rPr>
                        <w:szCs w:val="21"/>
                      </w:rPr>
                    </w:pPr>
                    <w:r>
                      <w:t>第二名</w:t>
                    </w:r>
                  </w:p>
                </w:tc>
                <w:tc>
                  <w:tcPr>
                    <w:tcW w:w="3016" w:type="dxa"/>
                    <w:vAlign w:val="bottom"/>
                  </w:tcPr>
                  <w:p w14:paraId="7E81679F"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6,460,385.85</w:t>
                    </w:r>
                  </w:p>
                </w:tc>
                <w:tc>
                  <w:tcPr>
                    <w:tcW w:w="3016" w:type="dxa"/>
                    <w:vAlign w:val="bottom"/>
                  </w:tcPr>
                  <w:p w14:paraId="45714795"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9.69</w:t>
                    </w:r>
                  </w:p>
                </w:tc>
              </w:tr>
              <w:tr w:rsidR="00D21C1F" w14:paraId="678460A6" w14:textId="77777777">
                <w:tc>
                  <w:tcPr>
                    <w:tcW w:w="3016" w:type="dxa"/>
                  </w:tcPr>
                  <w:p w14:paraId="4E2BA8F9" w14:textId="77777777" w:rsidR="00D21C1F" w:rsidRDefault="00A42880">
                    <w:pPr>
                      <w:snapToGrid w:val="0"/>
                      <w:spacing w:line="240" w:lineRule="atLeast"/>
                      <w:rPr>
                        <w:szCs w:val="21"/>
                      </w:rPr>
                    </w:pPr>
                    <w:r>
                      <w:t>第三名</w:t>
                    </w:r>
                  </w:p>
                </w:tc>
                <w:tc>
                  <w:tcPr>
                    <w:tcW w:w="3016" w:type="dxa"/>
                    <w:vAlign w:val="bottom"/>
                  </w:tcPr>
                  <w:p w14:paraId="7BFE4985"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4,388,580.11</w:t>
                    </w:r>
                  </w:p>
                </w:tc>
                <w:tc>
                  <w:tcPr>
                    <w:tcW w:w="3016" w:type="dxa"/>
                    <w:vAlign w:val="bottom"/>
                  </w:tcPr>
                  <w:p w14:paraId="65577730"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6.58</w:t>
                    </w:r>
                  </w:p>
                </w:tc>
              </w:tr>
              <w:tr w:rsidR="00D21C1F" w14:paraId="0D20618D" w14:textId="77777777">
                <w:tc>
                  <w:tcPr>
                    <w:tcW w:w="3016" w:type="dxa"/>
                  </w:tcPr>
                  <w:p w14:paraId="5C7CB5F1" w14:textId="77777777" w:rsidR="00D21C1F" w:rsidRDefault="00A42880">
                    <w:pPr>
                      <w:snapToGrid w:val="0"/>
                      <w:spacing w:line="240" w:lineRule="atLeast"/>
                      <w:rPr>
                        <w:szCs w:val="21"/>
                      </w:rPr>
                    </w:pPr>
                    <w:r>
                      <w:t>第四名</w:t>
                    </w:r>
                  </w:p>
                </w:tc>
                <w:tc>
                  <w:tcPr>
                    <w:tcW w:w="3016" w:type="dxa"/>
                    <w:vAlign w:val="bottom"/>
                  </w:tcPr>
                  <w:p w14:paraId="375CBF22"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2,271,188.96</w:t>
                    </w:r>
                  </w:p>
                </w:tc>
                <w:tc>
                  <w:tcPr>
                    <w:tcW w:w="3016" w:type="dxa"/>
                    <w:vAlign w:val="bottom"/>
                  </w:tcPr>
                  <w:p w14:paraId="7C1D5A5B"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3.41</w:t>
                    </w:r>
                  </w:p>
                </w:tc>
              </w:tr>
              <w:tr w:rsidR="00D21C1F" w14:paraId="2E3E281E" w14:textId="77777777">
                <w:tc>
                  <w:tcPr>
                    <w:tcW w:w="3016" w:type="dxa"/>
                  </w:tcPr>
                  <w:p w14:paraId="2E4B27E1" w14:textId="77777777" w:rsidR="00D21C1F" w:rsidRDefault="00A42880">
                    <w:pPr>
                      <w:snapToGrid w:val="0"/>
                      <w:spacing w:line="240" w:lineRule="atLeast"/>
                      <w:rPr>
                        <w:szCs w:val="21"/>
                      </w:rPr>
                    </w:pPr>
                    <w:r>
                      <w:t>第五名</w:t>
                    </w:r>
                  </w:p>
                </w:tc>
                <w:tc>
                  <w:tcPr>
                    <w:tcW w:w="3016" w:type="dxa"/>
                    <w:vAlign w:val="bottom"/>
                  </w:tcPr>
                  <w:p w14:paraId="1445AB6C"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1,176,498.68</w:t>
                    </w:r>
                  </w:p>
                </w:tc>
                <w:tc>
                  <w:tcPr>
                    <w:tcW w:w="3016" w:type="dxa"/>
                    <w:vAlign w:val="bottom"/>
                  </w:tcPr>
                  <w:p w14:paraId="4FCE090D"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1.76</w:t>
                    </w:r>
                  </w:p>
                </w:tc>
              </w:tr>
              <w:tr w:rsidR="00D21C1F" w14:paraId="1F2ECF55" w14:textId="77777777">
                <w:tc>
                  <w:tcPr>
                    <w:tcW w:w="3016" w:type="dxa"/>
                  </w:tcPr>
                  <w:p w14:paraId="2195CC0F" w14:textId="77777777" w:rsidR="00D21C1F" w:rsidRDefault="00A42880">
                    <w:pPr>
                      <w:snapToGrid w:val="0"/>
                      <w:spacing w:line="240" w:lineRule="atLeast"/>
                      <w:rPr>
                        <w:szCs w:val="21"/>
                      </w:rPr>
                    </w:pPr>
                    <w:r>
                      <w:t>合计</w:t>
                    </w:r>
                  </w:p>
                </w:tc>
                <w:tc>
                  <w:tcPr>
                    <w:tcW w:w="3016" w:type="dxa"/>
                    <w:vAlign w:val="bottom"/>
                  </w:tcPr>
                  <w:p w14:paraId="0AC22808"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24,253,493.02</w:t>
                    </w:r>
                  </w:p>
                </w:tc>
                <w:tc>
                  <w:tcPr>
                    <w:tcW w:w="3016" w:type="dxa"/>
                    <w:vAlign w:val="bottom"/>
                  </w:tcPr>
                  <w:p w14:paraId="55866072" w14:textId="77777777" w:rsidR="00D21C1F" w:rsidRPr="00F409B2" w:rsidRDefault="00A42880">
                    <w:pPr>
                      <w:snapToGrid w:val="0"/>
                      <w:spacing w:line="240" w:lineRule="atLeast"/>
                      <w:jc w:val="right"/>
                      <w:rPr>
                        <w:rFonts w:ascii="Times New Roman" w:hAnsi="Times New Roman" w:cs="Times New Roman"/>
                        <w:szCs w:val="21"/>
                      </w:rPr>
                    </w:pPr>
                    <w:r w:rsidRPr="00F409B2">
                      <w:rPr>
                        <w:rFonts w:ascii="Times New Roman" w:hAnsi="Times New Roman" w:cs="Times New Roman"/>
                      </w:rPr>
                      <w:t>36.37</w:t>
                    </w:r>
                  </w:p>
                </w:tc>
              </w:tr>
            </w:tbl>
            <w:p w14:paraId="61D4A227" w14:textId="77777777" w:rsidR="00D21C1F" w:rsidRDefault="00045EC6">
              <w:pPr>
                <w:pStyle w:val="97"/>
              </w:pPr>
            </w:p>
          </w:sdtContent>
        </w:sdt>
      </w:sdtContent>
    </w:sdt>
    <w:sdt>
      <w:sdtPr>
        <w:rPr>
          <w:rFonts w:eastAsia="宋体" w:hint="eastAsia"/>
          <w:b/>
          <w:bCs/>
        </w:rPr>
        <w:alias w:val="模块:预付款项的说明"/>
        <w:tag w:val="_GBC_ee9bedfa5e5340c9b02fb474f1a1fc26"/>
        <w:id w:val="1660889243"/>
        <w:lock w:val="sdtLocked"/>
        <w:placeholder>
          <w:docPart w:val="GBC22222222222222222222222222222"/>
        </w:placeholder>
      </w:sdtPr>
      <w:sdtEndPr>
        <w:rPr>
          <w:rFonts w:hint="default"/>
          <w:b w:val="0"/>
          <w:bCs w:val="0"/>
        </w:rPr>
      </w:sdtEndPr>
      <w:sdtContent>
        <w:p w14:paraId="355DADCD" w14:textId="77777777" w:rsidR="00D21C1F" w:rsidRDefault="00A42880">
          <w:pPr>
            <w:pStyle w:val="97"/>
          </w:pPr>
          <w:r>
            <w:rPr>
              <w:rFonts w:hint="eastAsia"/>
            </w:rPr>
            <w:t>其他说明</w:t>
          </w:r>
        </w:p>
        <w:sdt>
          <w:sdtPr>
            <w:alias w:val="是否适用：预付帐款的说明[双击切换]"/>
            <w:tag w:val="_GBC_c712ee6483d44c77b1f563e552689c6d"/>
            <w:id w:val="-1844155847"/>
            <w:lock w:val="sdtLocked"/>
            <w:placeholder>
              <w:docPart w:val="GBC22222222222222222222222222222"/>
            </w:placeholder>
          </w:sdtPr>
          <w:sdtEndPr/>
          <w:sdtContent>
            <w:p w14:paraId="65E16012"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22F8123" w14:textId="77777777" w:rsidR="00D21C1F" w:rsidRDefault="00D21C1F">
      <w:pPr>
        <w:rPr>
          <w:szCs w:val="21"/>
        </w:rPr>
      </w:pPr>
    </w:p>
    <w:p w14:paraId="4379D316" w14:textId="77777777" w:rsidR="00D21C1F" w:rsidRDefault="00A42880">
      <w:pPr>
        <w:pStyle w:val="94"/>
        <w:numPr>
          <w:ilvl w:val="0"/>
          <w:numId w:val="95"/>
        </w:numPr>
        <w:rPr>
          <w:rFonts w:ascii="宋体" w:hAnsi="宋体"/>
        </w:rPr>
      </w:pPr>
      <w:r>
        <w:rPr>
          <w:rFonts w:ascii="宋体" w:hAnsi="宋体" w:hint="eastAsia"/>
        </w:rPr>
        <w:t>其他应收款</w:t>
      </w:r>
    </w:p>
    <w:bookmarkStart w:id="193" w:name="_Hlk10467611" w:displacedByCustomXml="next"/>
    <w:sdt>
      <w:sdtPr>
        <w:rPr>
          <w:rFonts w:ascii="宋体" w:hAnsi="宋体" w:cs="宋体" w:hint="eastAsia"/>
          <w:b w:val="0"/>
          <w:bCs w:val="0"/>
          <w:kern w:val="0"/>
          <w:szCs w:val="24"/>
        </w:rPr>
        <w:alias w:val="模块:分类列示"/>
        <w:tag w:val="_SEC_440b8bdb86984dd89d750fdd7845fe71"/>
        <w:id w:val="1743827146"/>
        <w:lock w:val="sdtLocked"/>
        <w:placeholder>
          <w:docPart w:val="GBC22222222222222222222222222222"/>
        </w:placeholder>
      </w:sdtPr>
      <w:sdtEndPr>
        <w:rPr>
          <w:rFonts w:hint="default"/>
        </w:rPr>
      </w:sdtEndPr>
      <w:sdtContent>
        <w:p w14:paraId="33A3D5C0" w14:textId="77777777" w:rsidR="00D21C1F" w:rsidRDefault="00A42880">
          <w:pPr>
            <w:pStyle w:val="93"/>
            <w:rPr>
              <w:rFonts w:ascii="宋体" w:hAnsi="宋体"/>
            </w:rPr>
          </w:pPr>
          <w:r>
            <w:rPr>
              <w:rFonts w:ascii="宋体" w:hAnsi="宋体" w:hint="eastAsia"/>
            </w:rPr>
            <w:t>项目列示</w:t>
          </w:r>
        </w:p>
        <w:sdt>
          <w:sdtPr>
            <w:alias w:val="是否适用：其他应收款分类列示[双击切换]"/>
            <w:tag w:val="_GBC_23e3e9ad53624abaaa00fc7f7c24842a"/>
            <w:id w:val="355705841"/>
            <w:lock w:val="sdtLocked"/>
            <w:placeholder>
              <w:docPart w:val="GBC22222222222222222222222222222"/>
            </w:placeholder>
          </w:sdtPr>
          <w:sdtEndPr/>
          <w:sdtContent>
            <w:p w14:paraId="2F4BE9A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4FDA1B" w14:textId="77777777" w:rsidR="00D21C1F" w:rsidRDefault="00A42880">
          <w:pPr>
            <w:jc w:val="right"/>
            <w:rPr>
              <w:szCs w:val="21"/>
            </w:rPr>
          </w:pPr>
          <w:r>
            <w:rPr>
              <w:rFonts w:hint="eastAsia"/>
              <w:szCs w:val="21"/>
            </w:rPr>
            <w:t>单位：</w:t>
          </w:r>
          <w:sdt>
            <w:sdtPr>
              <w:rPr>
                <w:rFonts w:hint="eastAsia"/>
                <w:szCs w:val="21"/>
              </w:rPr>
              <w:alias w:val="单位：其他应收款分类列示"/>
              <w:tag w:val="_GBC_b73f89c776a341249ed520fe726b4db9"/>
              <w:id w:val="-954247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其他应收款分类列示"/>
              <w:tag w:val="_GBC_a23554f2403346ea97b8fb1ef551ebe4"/>
              <w:id w:val="670919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5"/>
            <w:gridCol w:w="2862"/>
            <w:gridCol w:w="2846"/>
          </w:tblGrid>
          <w:tr w:rsidR="00D21C1F" w14:paraId="2A8D6B6E" w14:textId="77777777">
            <w:trPr>
              <w:cantSplit/>
            </w:trPr>
            <w:sdt>
              <w:sdtPr>
                <w:tag w:val="_PLD_3b049b9a7f344665a70a23c402afbda5"/>
                <w:id w:val="1429310657"/>
                <w:lock w:val="sdtLocked"/>
              </w:sdtPr>
              <w:sdtEndPr/>
              <w:sdtContent>
                <w:tc>
                  <w:tcPr>
                    <w:tcW w:w="1765" w:type="pct"/>
                    <w:vAlign w:val="center"/>
                  </w:tcPr>
                  <w:p w14:paraId="286EEBE4" w14:textId="77777777" w:rsidR="00D21C1F" w:rsidRDefault="00A42880">
                    <w:pPr>
                      <w:jc w:val="center"/>
                      <w:rPr>
                        <w:szCs w:val="21"/>
                      </w:rPr>
                    </w:pPr>
                    <w:r>
                      <w:rPr>
                        <w:rFonts w:hint="eastAsia"/>
                        <w:szCs w:val="21"/>
                      </w:rPr>
                      <w:t>项目</w:t>
                    </w:r>
                  </w:p>
                </w:tc>
              </w:sdtContent>
            </w:sdt>
            <w:sdt>
              <w:sdtPr>
                <w:tag w:val="_PLD_550a4ba0fb444ea69297bd36780a7618"/>
                <w:id w:val="928012385"/>
                <w:lock w:val="sdtLocked"/>
              </w:sdtPr>
              <w:sdtEndPr/>
              <w:sdtContent>
                <w:tc>
                  <w:tcPr>
                    <w:tcW w:w="1622" w:type="pct"/>
                    <w:vAlign w:val="center"/>
                  </w:tcPr>
                  <w:p w14:paraId="425C5881" w14:textId="77777777" w:rsidR="00D21C1F" w:rsidRDefault="00A42880">
                    <w:pPr>
                      <w:jc w:val="center"/>
                      <w:rPr>
                        <w:szCs w:val="21"/>
                      </w:rPr>
                    </w:pPr>
                    <w:r>
                      <w:rPr>
                        <w:rFonts w:hint="eastAsia"/>
                        <w:szCs w:val="21"/>
                      </w:rPr>
                      <w:t>期末余额</w:t>
                    </w:r>
                  </w:p>
                </w:tc>
              </w:sdtContent>
            </w:sdt>
            <w:sdt>
              <w:sdtPr>
                <w:tag w:val="_PLD_d58c3f70487c440b99a9f440a2d57d1e"/>
                <w:id w:val="-444931585"/>
                <w:lock w:val="sdtLocked"/>
              </w:sdtPr>
              <w:sdtEndPr/>
              <w:sdtContent>
                <w:tc>
                  <w:tcPr>
                    <w:tcW w:w="1613" w:type="pct"/>
                    <w:vAlign w:val="center"/>
                  </w:tcPr>
                  <w:p w14:paraId="6BBC1C0F" w14:textId="77777777" w:rsidR="00D21C1F" w:rsidRDefault="00A42880">
                    <w:pPr>
                      <w:jc w:val="center"/>
                      <w:rPr>
                        <w:szCs w:val="21"/>
                      </w:rPr>
                    </w:pPr>
                    <w:r>
                      <w:rPr>
                        <w:rFonts w:hint="eastAsia"/>
                        <w:szCs w:val="21"/>
                      </w:rPr>
                      <w:t>期初余额</w:t>
                    </w:r>
                  </w:p>
                </w:tc>
              </w:sdtContent>
            </w:sdt>
          </w:tr>
          <w:tr w:rsidR="00D21C1F" w14:paraId="2096DD02" w14:textId="77777777">
            <w:trPr>
              <w:cantSplit/>
            </w:trPr>
            <w:sdt>
              <w:sdtPr>
                <w:tag w:val="_PLD_6a77c21d56bf4de7bfea2b3078ae9e86"/>
                <w:id w:val="1646009914"/>
                <w:lock w:val="sdtLocked"/>
              </w:sdtPr>
              <w:sdtEndPr/>
              <w:sdtContent>
                <w:tc>
                  <w:tcPr>
                    <w:tcW w:w="1765" w:type="pct"/>
                  </w:tcPr>
                  <w:p w14:paraId="0E5F17BB" w14:textId="77777777" w:rsidR="00D21C1F" w:rsidRDefault="00A42880">
                    <w:pPr>
                      <w:ind w:right="5"/>
                      <w:rPr>
                        <w:szCs w:val="21"/>
                      </w:rPr>
                    </w:pPr>
                    <w:r>
                      <w:rPr>
                        <w:rFonts w:hint="eastAsia"/>
                        <w:szCs w:val="21"/>
                      </w:rPr>
                      <w:t>应收利息</w:t>
                    </w:r>
                  </w:p>
                </w:tc>
              </w:sdtContent>
            </w:sdt>
            <w:tc>
              <w:tcPr>
                <w:tcW w:w="1622" w:type="pct"/>
                <w:vAlign w:val="center"/>
              </w:tcPr>
              <w:p w14:paraId="711E2052" w14:textId="77777777" w:rsidR="00D21C1F" w:rsidRPr="00440C19" w:rsidRDefault="00A42880">
                <w:pPr>
                  <w:ind w:right="5"/>
                  <w:jc w:val="right"/>
                  <w:rPr>
                    <w:rFonts w:ascii="Times New Roman" w:hAnsi="Times New Roman" w:cs="Times New Roman"/>
                    <w:szCs w:val="21"/>
                  </w:rPr>
                </w:pPr>
                <w:r w:rsidRPr="00440C19">
                  <w:rPr>
                    <w:rFonts w:ascii="Times New Roman" w:hAnsi="Times New Roman" w:cs="Times New Roman"/>
                  </w:rPr>
                  <w:t>151,823.15</w:t>
                </w:r>
              </w:p>
            </w:tc>
            <w:tc>
              <w:tcPr>
                <w:tcW w:w="1613" w:type="pct"/>
                <w:vAlign w:val="center"/>
              </w:tcPr>
              <w:p w14:paraId="2BCADD41" w14:textId="77777777" w:rsidR="00D21C1F" w:rsidRPr="00440C19" w:rsidRDefault="00A42880">
                <w:pPr>
                  <w:ind w:right="5"/>
                  <w:jc w:val="right"/>
                  <w:rPr>
                    <w:rFonts w:ascii="Times New Roman" w:hAnsi="Times New Roman" w:cs="Times New Roman"/>
                    <w:szCs w:val="21"/>
                  </w:rPr>
                </w:pPr>
                <w:r w:rsidRPr="00440C19">
                  <w:rPr>
                    <w:rFonts w:ascii="Times New Roman" w:hAnsi="Times New Roman" w:cs="Times New Roman"/>
                  </w:rPr>
                  <w:t>21,705.54</w:t>
                </w:r>
              </w:p>
            </w:tc>
          </w:tr>
          <w:tr w:rsidR="00D21C1F" w14:paraId="6769866D" w14:textId="77777777">
            <w:trPr>
              <w:cantSplit/>
            </w:trPr>
            <w:sdt>
              <w:sdtPr>
                <w:tag w:val="_PLD_fadacacf8b7d4e10a081b5eae54fea6b"/>
                <w:id w:val="-447165089"/>
                <w:lock w:val="sdtLocked"/>
              </w:sdtPr>
              <w:sdtEndPr/>
              <w:sdtContent>
                <w:tc>
                  <w:tcPr>
                    <w:tcW w:w="1765" w:type="pct"/>
                  </w:tcPr>
                  <w:p w14:paraId="56A959C3" w14:textId="77777777" w:rsidR="00D21C1F" w:rsidRDefault="00A42880">
                    <w:pPr>
                      <w:ind w:right="5"/>
                      <w:rPr>
                        <w:szCs w:val="21"/>
                      </w:rPr>
                    </w:pPr>
                    <w:r>
                      <w:rPr>
                        <w:rFonts w:hint="eastAsia"/>
                        <w:szCs w:val="21"/>
                      </w:rPr>
                      <w:t>其他应收款</w:t>
                    </w:r>
                  </w:p>
                </w:tc>
              </w:sdtContent>
            </w:sdt>
            <w:tc>
              <w:tcPr>
                <w:tcW w:w="1622" w:type="pct"/>
                <w:vAlign w:val="center"/>
              </w:tcPr>
              <w:p w14:paraId="39E564FB" w14:textId="77777777" w:rsidR="00D21C1F" w:rsidRPr="00440C19" w:rsidRDefault="00A42880">
                <w:pPr>
                  <w:ind w:right="5"/>
                  <w:jc w:val="right"/>
                  <w:rPr>
                    <w:rFonts w:ascii="Times New Roman" w:hAnsi="Times New Roman" w:cs="Times New Roman"/>
                    <w:szCs w:val="21"/>
                  </w:rPr>
                </w:pPr>
                <w:r w:rsidRPr="00440C19">
                  <w:rPr>
                    <w:rFonts w:ascii="Times New Roman" w:hAnsi="Times New Roman" w:cs="Times New Roman"/>
                  </w:rPr>
                  <w:t>29,220,349.04</w:t>
                </w:r>
              </w:p>
            </w:tc>
            <w:tc>
              <w:tcPr>
                <w:tcW w:w="1613" w:type="pct"/>
                <w:vAlign w:val="center"/>
              </w:tcPr>
              <w:p w14:paraId="305FD48A" w14:textId="77777777" w:rsidR="00D21C1F" w:rsidRPr="00440C19" w:rsidRDefault="00A42880">
                <w:pPr>
                  <w:ind w:right="5"/>
                  <w:jc w:val="right"/>
                  <w:rPr>
                    <w:rFonts w:ascii="Times New Roman" w:hAnsi="Times New Roman" w:cs="Times New Roman"/>
                    <w:szCs w:val="21"/>
                  </w:rPr>
                </w:pPr>
                <w:r w:rsidRPr="00440C19">
                  <w:rPr>
                    <w:rFonts w:ascii="Times New Roman" w:hAnsi="Times New Roman" w:cs="Times New Roman"/>
                  </w:rPr>
                  <w:t>34,400,952.37</w:t>
                </w:r>
              </w:p>
            </w:tc>
          </w:tr>
          <w:tr w:rsidR="00D21C1F" w14:paraId="6DF282AD" w14:textId="77777777">
            <w:trPr>
              <w:cantSplit/>
            </w:trPr>
            <w:sdt>
              <w:sdtPr>
                <w:tag w:val="_PLD_7fcd8f78599a4d76a92c6bed7b01aa27"/>
                <w:id w:val="348919859"/>
                <w:lock w:val="sdtLocked"/>
              </w:sdtPr>
              <w:sdtEndPr/>
              <w:sdtContent>
                <w:tc>
                  <w:tcPr>
                    <w:tcW w:w="1765" w:type="pct"/>
                  </w:tcPr>
                  <w:p w14:paraId="5656EAB3" w14:textId="77777777" w:rsidR="00D21C1F" w:rsidRDefault="00A42880">
                    <w:pPr>
                      <w:autoSpaceDE w:val="0"/>
                      <w:autoSpaceDN w:val="0"/>
                      <w:adjustRightInd w:val="0"/>
                      <w:jc w:val="center"/>
                      <w:rPr>
                        <w:szCs w:val="21"/>
                      </w:rPr>
                    </w:pPr>
                    <w:r>
                      <w:rPr>
                        <w:rFonts w:hint="eastAsia"/>
                        <w:szCs w:val="21"/>
                      </w:rPr>
                      <w:t>合计</w:t>
                    </w:r>
                  </w:p>
                </w:tc>
              </w:sdtContent>
            </w:sdt>
            <w:tc>
              <w:tcPr>
                <w:tcW w:w="1622" w:type="pct"/>
                <w:vAlign w:val="center"/>
              </w:tcPr>
              <w:p w14:paraId="5F76AC78" w14:textId="77777777" w:rsidR="00D21C1F" w:rsidRPr="00440C19" w:rsidRDefault="00A42880">
                <w:pPr>
                  <w:jc w:val="right"/>
                  <w:rPr>
                    <w:rFonts w:ascii="Times New Roman" w:hAnsi="Times New Roman" w:cs="Times New Roman"/>
                    <w:szCs w:val="21"/>
                  </w:rPr>
                </w:pPr>
                <w:r w:rsidRPr="00440C19">
                  <w:rPr>
                    <w:rFonts w:ascii="Times New Roman" w:hAnsi="Times New Roman" w:cs="Times New Roman"/>
                  </w:rPr>
                  <w:t>29,372,172.19</w:t>
                </w:r>
              </w:p>
            </w:tc>
            <w:tc>
              <w:tcPr>
                <w:tcW w:w="1613" w:type="pct"/>
                <w:vAlign w:val="center"/>
              </w:tcPr>
              <w:p w14:paraId="66C35075" w14:textId="77777777" w:rsidR="00D21C1F" w:rsidRPr="00440C19" w:rsidRDefault="00A42880">
                <w:pPr>
                  <w:jc w:val="right"/>
                  <w:rPr>
                    <w:rFonts w:ascii="Times New Roman" w:hAnsi="Times New Roman" w:cs="Times New Roman"/>
                    <w:szCs w:val="21"/>
                  </w:rPr>
                </w:pPr>
                <w:r w:rsidRPr="00440C19">
                  <w:rPr>
                    <w:rFonts w:ascii="Times New Roman" w:hAnsi="Times New Roman" w:cs="Times New Roman"/>
                  </w:rPr>
                  <w:t>34,422,657.91</w:t>
                </w:r>
              </w:p>
            </w:tc>
          </w:tr>
        </w:tbl>
        <w:p w14:paraId="0B8C0F73" w14:textId="77777777" w:rsidR="00D21C1F" w:rsidRDefault="00A42880">
          <w:pPr>
            <w:rPr>
              <w:szCs w:val="21"/>
            </w:rPr>
          </w:pPr>
          <w:bookmarkStart w:id="194" w:name="_Hlk532906097"/>
          <w:r>
            <w:rPr>
              <w:rFonts w:hint="eastAsia"/>
              <w:szCs w:val="21"/>
            </w:rPr>
            <w:t>其他说明：</w:t>
          </w:r>
          <w:bookmarkEnd w:id="194"/>
        </w:p>
        <w:sdt>
          <w:sdtPr>
            <w:rPr>
              <w:szCs w:val="21"/>
            </w:rPr>
            <w:alias w:val="是否适用：其他应收款分类列示其他说明[双击切换]"/>
            <w:tag w:val="_GBC_73a4089b33094d13b0ea7c9bf8cfb58f"/>
            <w:id w:val="-1501801782"/>
            <w:lock w:val="sdtLocked"/>
            <w:placeholder>
              <w:docPart w:val="GBC22222222222222222222222222222"/>
            </w:placeholder>
          </w:sdtPr>
          <w:sdtEndPr/>
          <w:sdtContent>
            <w:p w14:paraId="1739782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C28386" w14:textId="77777777" w:rsidR="00D21C1F" w:rsidRDefault="00045EC6">
          <w:pPr>
            <w:pStyle w:val="97"/>
          </w:pPr>
        </w:p>
      </w:sdtContent>
    </w:sdt>
    <w:bookmarkEnd w:id="193" w:displacedByCustomXml="next"/>
    <w:sdt>
      <w:sdtPr>
        <w:rPr>
          <w:rFonts w:ascii="宋体" w:eastAsia="宋体" w:hAnsi="宋体" w:cs="宋体" w:hint="eastAsia"/>
          <w:b w:val="0"/>
          <w:bCs w:val="0"/>
          <w:kern w:val="0"/>
          <w:szCs w:val="22"/>
        </w:rPr>
        <w:alias w:val="模块:应收利息"/>
        <w:tag w:val="_GBC_6620e2366b444b3fb9e784e1bb6a87fd"/>
        <w:id w:val="1928540293"/>
        <w:lock w:val="sdtLocked"/>
        <w:placeholder>
          <w:docPart w:val="GBC22222222222222222222222222222"/>
        </w:placeholder>
      </w:sdtPr>
      <w:sdtEndPr>
        <w:rPr>
          <w:rFonts w:cs="Times New Roman"/>
          <w:kern w:val="2"/>
          <w:szCs w:val="24"/>
        </w:rPr>
      </w:sdtEndPr>
      <w:sdtContent>
        <w:p w14:paraId="4B3C76FB" w14:textId="77777777" w:rsidR="00D21C1F" w:rsidRDefault="00A42880">
          <w:pPr>
            <w:pStyle w:val="93"/>
            <w:tabs>
              <w:tab w:val="left" w:pos="546"/>
            </w:tabs>
            <w:rPr>
              <w:rFonts w:ascii="宋体" w:hAnsi="宋体"/>
            </w:rPr>
          </w:pPr>
          <w:r>
            <w:rPr>
              <w:rFonts w:ascii="宋体" w:hAnsi="宋体" w:cs="宋体" w:hint="eastAsia"/>
              <w:bCs w:val="0"/>
              <w:kern w:val="0"/>
              <w:szCs w:val="22"/>
            </w:rPr>
            <w:t>应收利息</w:t>
          </w:r>
        </w:p>
        <w:p w14:paraId="69AD6A13" w14:textId="77777777" w:rsidR="00D21C1F" w:rsidRDefault="00A42880">
          <w:pPr>
            <w:pStyle w:val="93"/>
            <w:numPr>
              <w:ilvl w:val="3"/>
              <w:numId w:val="99"/>
            </w:numPr>
            <w:tabs>
              <w:tab w:val="left" w:pos="546"/>
            </w:tabs>
            <w:rPr>
              <w:rFonts w:ascii="宋体" w:hAnsi="宋体"/>
            </w:rPr>
          </w:pPr>
          <w:r>
            <w:rPr>
              <w:rFonts w:ascii="宋体" w:hAnsi="宋体" w:hint="eastAsia"/>
            </w:rPr>
            <w:t>应收利息分类</w:t>
          </w:r>
        </w:p>
        <w:sdt>
          <w:sdtPr>
            <w:alias w:val="是否适用：应收利息分类[双击切换]"/>
            <w:tag w:val="_GBC_86f9e9a81d7d4e07ae6873a88ddf6cc7"/>
            <w:id w:val="-1948004447"/>
            <w:lock w:val="sdtLocked"/>
            <w:placeholder>
              <w:docPart w:val="GBC22222222222222222222222222222"/>
            </w:placeholder>
          </w:sdtPr>
          <w:sdtEndPr/>
          <w:sdtContent>
            <w:p w14:paraId="3CCB548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75F7DC" w14:textId="77777777" w:rsidR="00D21C1F" w:rsidRDefault="00A42880">
          <w:pPr>
            <w:jc w:val="right"/>
          </w:pPr>
          <w:r>
            <w:rPr>
              <w:rFonts w:hint="eastAsia"/>
            </w:rPr>
            <w:t>单位：</w:t>
          </w:r>
          <w:sdt>
            <w:sdtPr>
              <w:rPr>
                <w:rFonts w:hint="eastAsia"/>
              </w:rPr>
              <w:alias w:val="单位：财务附注：应收利息"/>
              <w:tag w:val="_GBC_81846eacbc9946ddbec2bf905b374235"/>
              <w:id w:val="-95564783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收利息"/>
              <w:tag w:val="_GBC_54a3d4a928194383b5465e034945e1cc"/>
              <w:id w:val="-9698965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56"/>
            <w:gridCol w:w="3025"/>
            <w:gridCol w:w="3042"/>
          </w:tblGrid>
          <w:tr w:rsidR="00D21C1F" w14:paraId="60BA213B" w14:textId="77777777">
            <w:sdt>
              <w:sdtPr>
                <w:tag w:val="_PLD_d85221ba8492478e88a450d14d1130bb"/>
                <w:id w:val="895708497"/>
                <w:lock w:val="sdtLocked"/>
              </w:sdtPr>
              <w:sdtEndPr/>
              <w:sdtContent>
                <w:tc>
                  <w:tcPr>
                    <w:tcW w:w="1562" w:type="pct"/>
                  </w:tcPr>
                  <w:p w14:paraId="4BB29DB2" w14:textId="77777777" w:rsidR="00D21C1F" w:rsidRDefault="00A42880">
                    <w:pPr>
                      <w:autoSpaceDE w:val="0"/>
                      <w:autoSpaceDN w:val="0"/>
                      <w:adjustRightInd w:val="0"/>
                      <w:snapToGrid w:val="0"/>
                      <w:spacing w:line="240" w:lineRule="atLeast"/>
                      <w:jc w:val="center"/>
                      <w:rPr>
                        <w:szCs w:val="21"/>
                      </w:rPr>
                    </w:pPr>
                    <w:r>
                      <w:rPr>
                        <w:rFonts w:hint="eastAsia"/>
                        <w:szCs w:val="21"/>
                      </w:rPr>
                      <w:t>项目</w:t>
                    </w:r>
                  </w:p>
                </w:tc>
              </w:sdtContent>
            </w:sdt>
            <w:sdt>
              <w:sdtPr>
                <w:tag w:val="_PLD_7bbe528e96ef48d6be1d6728953af334"/>
                <w:id w:val="425160219"/>
                <w:lock w:val="sdtLocked"/>
              </w:sdtPr>
              <w:sdtEndPr/>
              <w:sdtContent>
                <w:tc>
                  <w:tcPr>
                    <w:tcW w:w="1714" w:type="pct"/>
                  </w:tcPr>
                  <w:p w14:paraId="1E588949"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6cbc7c171bd4286ad1e7578ffc41372"/>
                <w:id w:val="1480884057"/>
                <w:lock w:val="sdtLocked"/>
              </w:sdtPr>
              <w:sdtEndPr/>
              <w:sdtContent>
                <w:tc>
                  <w:tcPr>
                    <w:tcW w:w="1724" w:type="pct"/>
                  </w:tcPr>
                  <w:p w14:paraId="45978445"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sdt>
            <w:sdtPr>
              <w:rPr>
                <w:rFonts w:asciiTheme="minorHAnsi" w:eastAsia="宋体" w:hAnsiTheme="minorHAnsi" w:cs="宋体" w:hint="eastAsia"/>
                <w:sz w:val="22"/>
                <w:szCs w:val="22"/>
              </w:rPr>
              <w:alias w:val="应收利息明细"/>
              <w:tag w:val="_GBC_6559a149b13647de85819b99395240fb"/>
              <w:id w:val="-648679127"/>
              <w:lock w:val="sdtLocked"/>
            </w:sdtPr>
            <w:sdtEndPr>
              <w:rPr>
                <w:rFonts w:ascii="Times New Roman" w:hAnsi="Times New Roman" w:cs="Times New Roman" w:hint="default"/>
                <w:sz w:val="21"/>
                <w:szCs w:val="24"/>
              </w:rPr>
            </w:sdtEndPr>
            <w:sdtContent>
              <w:tr w:rsidR="00D21C1F" w14:paraId="095C8F07" w14:textId="77777777">
                <w:tc>
                  <w:tcPr>
                    <w:tcW w:w="1562" w:type="pct"/>
                  </w:tcPr>
                  <w:p w14:paraId="5F99D04A" w14:textId="77777777" w:rsidR="00D21C1F" w:rsidRDefault="00A42880">
                    <w:pPr>
                      <w:pStyle w:val="120"/>
                    </w:pPr>
                    <w:r>
                      <w:rPr>
                        <w:rFonts w:hint="eastAsia"/>
                      </w:rPr>
                      <w:t>预付投资款利息</w:t>
                    </w:r>
                  </w:p>
                </w:tc>
                <w:tc>
                  <w:tcPr>
                    <w:tcW w:w="1714" w:type="pct"/>
                  </w:tcPr>
                  <w:p w14:paraId="2AD88A64" w14:textId="77777777" w:rsidR="00D21C1F" w:rsidRPr="00440C19" w:rsidRDefault="00A42880">
                    <w:pPr>
                      <w:ind w:rightChars="50" w:right="105"/>
                      <w:jc w:val="right"/>
                      <w:rPr>
                        <w:rFonts w:ascii="Times New Roman" w:hAnsi="Times New Roman" w:cs="Times New Roman"/>
                        <w:szCs w:val="21"/>
                      </w:rPr>
                    </w:pPr>
                    <w:r w:rsidRPr="00440C19">
                      <w:rPr>
                        <w:rFonts w:ascii="Times New Roman" w:hAnsi="Times New Roman" w:cs="Times New Roman"/>
                      </w:rPr>
                      <w:t>151,823.15</w:t>
                    </w:r>
                  </w:p>
                </w:tc>
                <w:tc>
                  <w:tcPr>
                    <w:tcW w:w="1724" w:type="pct"/>
                  </w:tcPr>
                  <w:p w14:paraId="5041DA32" w14:textId="77777777" w:rsidR="00D21C1F" w:rsidRPr="00440C19" w:rsidRDefault="00A42880">
                    <w:pPr>
                      <w:ind w:rightChars="50" w:right="105"/>
                      <w:jc w:val="right"/>
                      <w:rPr>
                        <w:rFonts w:ascii="Times New Roman" w:hAnsi="Times New Roman" w:cs="Times New Roman"/>
                        <w:szCs w:val="21"/>
                      </w:rPr>
                    </w:pPr>
                    <w:r w:rsidRPr="00440C19">
                      <w:rPr>
                        <w:rFonts w:ascii="Times New Roman" w:hAnsi="Times New Roman" w:cs="Times New Roman"/>
                      </w:rPr>
                      <w:t>21,705.54</w:t>
                    </w:r>
                  </w:p>
                </w:tc>
              </w:tr>
            </w:sdtContent>
          </w:sdt>
          <w:tr w:rsidR="00D21C1F" w14:paraId="151FBE3D" w14:textId="77777777">
            <w:sdt>
              <w:sdtPr>
                <w:tag w:val="_PLD_04fe1c3dc87c434280704eb31ff818d1"/>
                <w:id w:val="625198506"/>
                <w:lock w:val="sdtLocked"/>
              </w:sdtPr>
              <w:sdtEndPr/>
              <w:sdtContent>
                <w:tc>
                  <w:tcPr>
                    <w:tcW w:w="1562" w:type="pct"/>
                  </w:tcPr>
                  <w:p w14:paraId="3EE7B15F" w14:textId="77777777" w:rsidR="00D21C1F" w:rsidRDefault="00A42880">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vAlign w:val="center"/>
              </w:tcPr>
              <w:p w14:paraId="598C5B55" w14:textId="77777777" w:rsidR="00D21C1F" w:rsidRPr="00440C19" w:rsidRDefault="00A42880">
                <w:pPr>
                  <w:ind w:rightChars="50" w:right="105"/>
                  <w:jc w:val="right"/>
                  <w:rPr>
                    <w:rFonts w:ascii="Times New Roman" w:hAnsi="Times New Roman" w:cs="Times New Roman"/>
                    <w:szCs w:val="21"/>
                  </w:rPr>
                </w:pPr>
                <w:r w:rsidRPr="00440C19">
                  <w:rPr>
                    <w:rFonts w:ascii="Times New Roman" w:hAnsi="Times New Roman" w:cs="Times New Roman"/>
                  </w:rPr>
                  <w:t>151,823.15</w:t>
                </w:r>
              </w:p>
            </w:tc>
            <w:tc>
              <w:tcPr>
                <w:tcW w:w="1724" w:type="pct"/>
                <w:vAlign w:val="center"/>
              </w:tcPr>
              <w:p w14:paraId="7898B334" w14:textId="77777777" w:rsidR="00D21C1F" w:rsidRPr="00440C19" w:rsidRDefault="00A42880">
                <w:pPr>
                  <w:ind w:rightChars="50" w:right="105"/>
                  <w:jc w:val="right"/>
                  <w:rPr>
                    <w:rFonts w:ascii="Times New Roman" w:hAnsi="Times New Roman" w:cs="Times New Roman"/>
                    <w:szCs w:val="21"/>
                  </w:rPr>
                </w:pPr>
                <w:r w:rsidRPr="00440C19">
                  <w:rPr>
                    <w:rFonts w:ascii="Times New Roman" w:hAnsi="Times New Roman" w:cs="Times New Roman"/>
                  </w:rPr>
                  <w:t>21,705.54</w:t>
                </w:r>
              </w:p>
            </w:tc>
          </w:tr>
        </w:tbl>
        <w:p w14:paraId="7DD1F6CF" w14:textId="77777777" w:rsidR="00D21C1F" w:rsidRDefault="00045EC6">
          <w:pPr>
            <w:rPr>
              <w:szCs w:val="21"/>
            </w:rPr>
          </w:pPr>
        </w:p>
      </w:sdtContent>
    </w:sdt>
    <w:sdt>
      <w:sdtPr>
        <w:rPr>
          <w:rFonts w:ascii="宋体" w:hAnsi="宋体" w:cs="宋体" w:hint="eastAsia"/>
          <w:b w:val="0"/>
          <w:bCs w:val="0"/>
          <w:kern w:val="0"/>
          <w:szCs w:val="24"/>
        </w:rPr>
        <w:alias w:val="模块:逾期利息"/>
        <w:tag w:val="_GBC_bcfcff19f55a43f988e9223dca0728dc"/>
        <w:id w:val="1808972584"/>
        <w:lock w:val="sdtLocked"/>
        <w:placeholder>
          <w:docPart w:val="GBC22222222222222222222222222222"/>
        </w:placeholder>
      </w:sdtPr>
      <w:sdtEndPr/>
      <w:sdtContent>
        <w:p w14:paraId="7AF65C6E" w14:textId="77777777" w:rsidR="00D21C1F" w:rsidRDefault="00A42880">
          <w:pPr>
            <w:pStyle w:val="93"/>
            <w:numPr>
              <w:ilvl w:val="3"/>
              <w:numId w:val="99"/>
            </w:numPr>
            <w:tabs>
              <w:tab w:val="left" w:pos="546"/>
            </w:tabs>
            <w:rPr>
              <w:rFonts w:ascii="宋体" w:hAnsi="宋体"/>
            </w:rPr>
          </w:pPr>
          <w:r>
            <w:rPr>
              <w:rFonts w:ascii="宋体" w:hAnsi="宋体" w:hint="eastAsia"/>
            </w:rPr>
            <w:t>重要逾期利息</w:t>
          </w:r>
        </w:p>
        <w:sdt>
          <w:sdtPr>
            <w:alias w:val="是否适用：重要逾期利息[双击切换]"/>
            <w:tag w:val="_GBC_4554f307ef2241a583829b74df8ef0c3"/>
            <w:id w:val="-1276091928"/>
            <w:lock w:val="sdtLocked"/>
            <w:placeholder>
              <w:docPart w:val="GBC22222222222222222222222222222"/>
            </w:placeholder>
          </w:sdtPr>
          <w:sdtEndPr/>
          <w:sdtContent>
            <w:p w14:paraId="5844E44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95" w:name="_Hlk10468247" w:displacedByCustomXml="next"/>
    <w:sdt>
      <w:sdtPr>
        <w:rPr>
          <w:rFonts w:ascii="宋体" w:eastAsia="宋体" w:hAnsi="宋体" w:cs="宋体" w:hint="eastAsia"/>
          <w:b w:val="0"/>
          <w:bCs w:val="0"/>
          <w:kern w:val="0"/>
          <w:szCs w:val="21"/>
        </w:rPr>
        <w:alias w:val="模块:坏账准备计提情况"/>
        <w:tag w:val="_SEC_61c56552057346dd98026d659f25d3ef"/>
        <w:id w:val="-1335379160"/>
        <w:lock w:val="sdtLocked"/>
        <w:placeholder>
          <w:docPart w:val="GBC22222222222222222222222222222"/>
        </w:placeholder>
      </w:sdtPr>
      <w:sdtEndPr/>
      <w:sdtContent>
        <w:p w14:paraId="65F5EBBA" w14:textId="77777777" w:rsidR="00D21C1F" w:rsidRDefault="00A42880">
          <w:pPr>
            <w:pStyle w:val="93"/>
            <w:numPr>
              <w:ilvl w:val="3"/>
              <w:numId w:val="99"/>
            </w:numPr>
            <w:tabs>
              <w:tab w:val="left" w:pos="546"/>
            </w:tabs>
            <w:rPr>
              <w:rFonts w:ascii="宋体" w:hAnsi="宋体"/>
              <w:szCs w:val="21"/>
            </w:rPr>
          </w:pPr>
          <w:r>
            <w:rPr>
              <w:rFonts w:ascii="宋体" w:hAnsi="宋体" w:hint="eastAsia"/>
              <w:szCs w:val="21"/>
            </w:rPr>
            <w:t>坏账准备计提情况</w:t>
          </w:r>
        </w:p>
        <w:sdt>
          <w:sdtPr>
            <w:rPr>
              <w:szCs w:val="21"/>
            </w:rPr>
            <w:alias w:val="是否适用：应收利息坏账准备调节表[双击切换]"/>
            <w:tag w:val="_GBC_2081adab30854417bcfae25caae8c9f9"/>
            <w:id w:val="1341501990"/>
            <w:lock w:val="sdtLocked"/>
            <w:placeholder>
              <w:docPart w:val="GBC22222222222222222222222222222"/>
            </w:placeholder>
          </w:sdtPr>
          <w:sdtEndPr/>
          <w:sdtContent>
            <w:p w14:paraId="2661356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95" w:displacedByCustomXml="next"/>
    <w:sdt>
      <w:sdtPr>
        <w:rPr>
          <w:rFonts w:eastAsia="宋体" w:hint="eastAsia"/>
          <w:b/>
          <w:bCs/>
        </w:rPr>
        <w:alias w:val="模块:应收利息的说明"/>
        <w:tag w:val="_GBC_0dc3bcd06a754f79952657ba82acdc9f"/>
        <w:id w:val="762882063"/>
        <w:lock w:val="sdtLocked"/>
        <w:placeholder>
          <w:docPart w:val="GBC22222222222222222222222222222"/>
        </w:placeholder>
      </w:sdtPr>
      <w:sdtEndPr>
        <w:rPr>
          <w:rFonts w:hint="default"/>
          <w:b w:val="0"/>
          <w:bCs w:val="0"/>
          <w:szCs w:val="21"/>
        </w:rPr>
      </w:sdtEndPr>
      <w:sdtContent>
        <w:p w14:paraId="7A4AB3C4" w14:textId="77777777" w:rsidR="00D21C1F" w:rsidRDefault="00A42880">
          <w:pPr>
            <w:pStyle w:val="97"/>
          </w:pPr>
          <w:r>
            <w:rPr>
              <w:rFonts w:hint="eastAsia"/>
            </w:rPr>
            <w:t>其他说明：</w:t>
          </w:r>
        </w:p>
        <w:sdt>
          <w:sdtPr>
            <w:alias w:val="是否适用：应收利息的说明[双击切换]"/>
            <w:tag w:val="_GBC_9fcbab94f58048baace4761ca17ae925"/>
            <w:id w:val="1522584527"/>
            <w:lock w:val="sdtLocked"/>
            <w:placeholder>
              <w:docPart w:val="GBC22222222222222222222222222222"/>
            </w:placeholder>
          </w:sdtPr>
          <w:sdtEndPr/>
          <w:sdtContent>
            <w:p w14:paraId="1EDF5001"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80CFC1E" w14:textId="77777777" w:rsidR="00D21C1F" w:rsidRDefault="00A42880">
      <w:pPr>
        <w:pStyle w:val="93"/>
        <w:rPr>
          <w:rFonts w:ascii="宋体" w:hAnsi="宋体"/>
        </w:rPr>
      </w:pPr>
      <w:r>
        <w:rPr>
          <w:rFonts w:ascii="宋体" w:hAnsi="宋体" w:hint="eastAsia"/>
        </w:rPr>
        <w:t>应收股利</w:t>
      </w:r>
    </w:p>
    <w:sdt>
      <w:sdtPr>
        <w:rPr>
          <w:rFonts w:ascii="宋体" w:eastAsia="宋体" w:hAnsi="宋体" w:cstheme="minorBidi" w:hint="eastAsia"/>
          <w:b w:val="0"/>
          <w:bCs w:val="0"/>
          <w:kern w:val="0"/>
          <w:szCs w:val="22"/>
        </w:rPr>
        <w:alias w:val="模块:应收股利"/>
        <w:tag w:val="_GBC_94a22362634d47499fd45a0a5577c49b"/>
        <w:id w:val="2070304380"/>
        <w:lock w:val="sdtLocked"/>
        <w:placeholder>
          <w:docPart w:val="GBC22222222222222222222222222222"/>
        </w:placeholder>
      </w:sdtPr>
      <w:sdtEndPr>
        <w:rPr>
          <w:rFonts w:cs="Times New Roman"/>
          <w:szCs w:val="24"/>
        </w:rPr>
      </w:sdtEndPr>
      <w:sdtContent>
        <w:p w14:paraId="25310F39" w14:textId="77777777" w:rsidR="00D21C1F" w:rsidRDefault="00A42880">
          <w:pPr>
            <w:pStyle w:val="93"/>
            <w:numPr>
              <w:ilvl w:val="3"/>
              <w:numId w:val="100"/>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1646733875"/>
            <w:lock w:val="sdtLocked"/>
            <w:placeholder>
              <w:docPart w:val="GBC22222222222222222222222222222"/>
            </w:placeholder>
          </w:sdtPr>
          <w:sdtEndPr/>
          <w:sdtContent>
            <w:p w14:paraId="6621CF27"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2"/>
        </w:rPr>
        <w:alias w:val="模块:应收股利"/>
        <w:tag w:val="_GBC_aafe0f2583ac4a35a029d834ee52b5de"/>
        <w:id w:val="2069678515"/>
        <w:lock w:val="sdtLocked"/>
        <w:placeholder>
          <w:docPart w:val="GBC22222222222222222222222222222"/>
        </w:placeholder>
      </w:sdtPr>
      <w:sdtEndPr>
        <w:rPr>
          <w:rFonts w:cs="Times New Roman"/>
          <w:szCs w:val="24"/>
        </w:rPr>
      </w:sdtEndPr>
      <w:sdtContent>
        <w:p w14:paraId="3A14F604" w14:textId="77777777" w:rsidR="00D21C1F" w:rsidRDefault="00A42880">
          <w:pPr>
            <w:pStyle w:val="93"/>
            <w:numPr>
              <w:ilvl w:val="3"/>
              <w:numId w:val="100"/>
            </w:numPr>
            <w:tabs>
              <w:tab w:val="left" w:pos="560"/>
            </w:tabs>
            <w:rPr>
              <w:rFonts w:ascii="宋体" w:hAnsi="宋体"/>
            </w:rPr>
          </w:pPr>
          <w:r>
            <w:rPr>
              <w:rFonts w:ascii="宋体" w:hAnsi="宋体" w:hint="eastAsia"/>
            </w:rPr>
            <w:t>重要的账龄超过</w:t>
          </w:r>
          <w:r>
            <w:rPr>
              <w:rFonts w:ascii="Times New Roman" w:hAnsi="Times New Roman" w:hint="eastAsia"/>
            </w:rPr>
            <w:t>1</w:t>
          </w:r>
          <w:r>
            <w:rPr>
              <w:rFonts w:ascii="宋体" w:hAnsi="宋体" w:hint="eastAsia"/>
            </w:rPr>
            <w:t>年的应收股利</w:t>
          </w:r>
        </w:p>
        <w:p w14:paraId="512ED20A" w14:textId="77777777" w:rsidR="00D21C1F" w:rsidRDefault="00045EC6">
          <w:pPr>
            <w:rPr>
              <w:rFonts w:cs="Times New Roman"/>
            </w:rPr>
          </w:pPr>
          <w:sdt>
            <w:sdtPr>
              <w:rPr>
                <w:rFonts w:hint="eastAsia"/>
                <w:szCs w:val="21"/>
              </w:rPr>
              <w:alias w:val="是否适用：重要的账龄超过1年的应收股利[双击切换]"/>
              <w:tag w:val="_GBC_9aa7ef4a3c0c40638901a5b7f6224231"/>
              <w:id w:val="938495113"/>
              <w:lock w:val="sdtLocked"/>
              <w:placeholder>
                <w:docPart w:val="GBC22222222222222222222222222222"/>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sdtContent>
    </w:sdt>
    <w:bookmarkStart w:id="196" w:name="_Hlk10468610" w:displacedByCustomXml="next"/>
    <w:sdt>
      <w:sdtPr>
        <w:rPr>
          <w:rFonts w:ascii="宋体" w:eastAsia="宋体" w:hAnsi="宋体" w:cs="宋体" w:hint="eastAsia"/>
          <w:b w:val="0"/>
          <w:bCs w:val="0"/>
          <w:kern w:val="0"/>
          <w:szCs w:val="24"/>
        </w:rPr>
        <w:alias w:val="模块:坏账准备计提情况"/>
        <w:tag w:val="_SEC_cce3905839dc4d6ea19cf81ee0af7e4b"/>
        <w:id w:val="1604070510"/>
        <w:lock w:val="sdtLocked"/>
        <w:placeholder>
          <w:docPart w:val="GBC22222222222222222222222222222"/>
        </w:placeholder>
      </w:sdtPr>
      <w:sdtEndPr>
        <w:rPr>
          <w:rFonts w:hint="default"/>
        </w:rPr>
      </w:sdtEndPr>
      <w:sdtContent>
        <w:p w14:paraId="0C3CBAA1" w14:textId="77777777" w:rsidR="00D21C1F" w:rsidRDefault="00A42880">
          <w:pPr>
            <w:pStyle w:val="93"/>
            <w:numPr>
              <w:ilvl w:val="3"/>
              <w:numId w:val="100"/>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748780784"/>
            <w:lock w:val="sdtLocked"/>
            <w:placeholder>
              <w:docPart w:val="GBC22222222222222222222222222222"/>
            </w:placeholder>
          </w:sdtPr>
          <w:sdtEndPr/>
          <w:sdtContent>
            <w:p w14:paraId="10D062AC"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6" w:displacedByCustomXml="next"/>
    <w:sdt>
      <w:sdtPr>
        <w:rPr>
          <w:rFonts w:hint="eastAsia"/>
          <w:szCs w:val="21"/>
        </w:rPr>
        <w:alias w:val="模块:应收股利的说明"/>
        <w:tag w:val="_GBC_3543035ac1594f0aaa966ebb907a6f0d"/>
        <w:id w:val="1515805795"/>
        <w:lock w:val="sdtLocked"/>
        <w:placeholder>
          <w:docPart w:val="GBC22222222222222222222222222222"/>
        </w:placeholder>
      </w:sdtPr>
      <w:sdtEndPr>
        <w:rPr>
          <w:rFonts w:hint="default"/>
        </w:rPr>
      </w:sdtEndPr>
      <w:sdtContent>
        <w:p w14:paraId="25660C18" w14:textId="77777777" w:rsidR="00D21C1F" w:rsidRDefault="00A42880">
          <w:pPr>
            <w:rPr>
              <w:szCs w:val="21"/>
            </w:rPr>
          </w:pPr>
          <w:r>
            <w:rPr>
              <w:rFonts w:hint="eastAsia"/>
              <w:szCs w:val="21"/>
            </w:rPr>
            <w:t>其他说明：</w:t>
          </w:r>
        </w:p>
        <w:sdt>
          <w:sdtPr>
            <w:rPr>
              <w:szCs w:val="21"/>
            </w:rPr>
            <w:alias w:val="是否适用：应收股利的说明[双击切换]"/>
            <w:tag w:val="_GBC_108dd924d7ca4fa78961046db5cd354e"/>
            <w:id w:val="-652451545"/>
            <w:lock w:val="sdtLocked"/>
            <w:placeholder>
              <w:docPart w:val="GBC22222222222222222222222222222"/>
            </w:placeholder>
          </w:sdtPr>
          <w:sdtEndPr/>
          <w:sdtContent>
            <w:p w14:paraId="56EAC39E"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75F6882" w14:textId="77777777" w:rsidR="00D21C1F" w:rsidRDefault="00D21C1F">
      <w:pPr>
        <w:snapToGrid w:val="0"/>
        <w:spacing w:line="240" w:lineRule="atLeast"/>
        <w:ind w:rightChars="12" w:right="25"/>
        <w:rPr>
          <w:color w:val="FF0000"/>
          <w:szCs w:val="21"/>
        </w:rPr>
      </w:pPr>
    </w:p>
    <w:p w14:paraId="7238EA1D" w14:textId="77777777" w:rsidR="00D21C1F" w:rsidRDefault="00A42880">
      <w:pPr>
        <w:pStyle w:val="93"/>
        <w:rPr>
          <w:rFonts w:ascii="宋体" w:hAnsi="宋体"/>
        </w:rPr>
      </w:pPr>
      <w:r>
        <w:rPr>
          <w:rFonts w:ascii="宋体" w:hAnsi="宋体" w:hint="eastAsia"/>
        </w:rPr>
        <w:t>其他应收款</w:t>
      </w:r>
    </w:p>
    <w:bookmarkStart w:id="197" w:name="_Hlk10469252" w:displacedByCustomXml="next"/>
    <w:sdt>
      <w:sdtPr>
        <w:rPr>
          <w:rFonts w:ascii="宋体" w:eastAsia="宋体" w:hAnsi="宋体" w:cs="宋体" w:hint="eastAsia"/>
          <w:b w:val="0"/>
          <w:bCs w:val="0"/>
          <w:kern w:val="0"/>
          <w:szCs w:val="21"/>
        </w:rPr>
        <w:alias w:val="模块:组合中，按账龄分析法计提坏账准备的其他应收账款："/>
        <w:tag w:val="_GBC_84907f0c47bb4c62b91a81382adfc126"/>
        <w:id w:val="500396554"/>
        <w:lock w:val="sdtLocked"/>
        <w:placeholder>
          <w:docPart w:val="GBC22222222222222222222222222222"/>
        </w:placeholder>
      </w:sdtPr>
      <w:sdtEndPr>
        <w:rPr>
          <w:rFonts w:hint="default"/>
        </w:rPr>
      </w:sdtEndPr>
      <w:sdtContent>
        <w:p w14:paraId="0C7A3ECB" w14:textId="77777777" w:rsidR="00D21C1F" w:rsidRDefault="00A42880">
          <w:pPr>
            <w:pStyle w:val="93"/>
            <w:numPr>
              <w:ilvl w:val="3"/>
              <w:numId w:val="100"/>
            </w:numPr>
            <w:tabs>
              <w:tab w:val="left" w:pos="560"/>
            </w:tabs>
            <w:rPr>
              <w:rFonts w:ascii="宋体" w:hAnsi="宋体"/>
              <w:szCs w:val="21"/>
            </w:rPr>
          </w:pPr>
          <w:r>
            <w:rPr>
              <w:rFonts w:ascii="宋体" w:hAnsi="宋体" w:hint="eastAsia"/>
              <w:szCs w:val="21"/>
            </w:rPr>
            <w:t>按账龄披露</w:t>
          </w:r>
        </w:p>
        <w:sdt>
          <w:sdtPr>
            <w:rPr>
              <w:rFonts w:hint="eastAsia"/>
              <w:szCs w:val="21"/>
            </w:rPr>
            <w:alias w:val="是否适用：组合中，按账龄分析法计提坏账准备的其他应收账款[双击切换]"/>
            <w:tag w:val="_GBC_14503383cb9a4c528e4dc8ae4e2b1c29"/>
            <w:id w:val="-1613812106"/>
            <w:lock w:val="sdtLocked"/>
            <w:placeholder>
              <w:docPart w:val="GBC22222222222222222222222222222"/>
            </w:placeholder>
          </w:sdtPr>
          <w:sdtEndPr/>
          <w:sdtContent>
            <w:p w14:paraId="48C7A6B8" w14:textId="77777777" w:rsidR="00D21C1F" w:rsidRDefault="00A42880">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E53CACB" w14:textId="77777777" w:rsidR="00D21C1F" w:rsidRDefault="00A42880">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191443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58c31c61f2a5441db0ca086544f32ce2"/>
              <w:id w:val="-970672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96"/>
            <w:gridCol w:w="4327"/>
          </w:tblGrid>
          <w:tr w:rsidR="00D21C1F" w14:paraId="7EFCF49C" w14:textId="77777777">
            <w:trPr>
              <w:cantSplit/>
            </w:trPr>
            <w:sdt>
              <w:sdtPr>
                <w:tag w:val="_PLD_6b0994a4e2bf4d64b8bfa8195d1acb6c"/>
                <w:id w:val="-106430433"/>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5F97A170" w14:textId="77777777" w:rsidR="00D21C1F" w:rsidRDefault="00A42880">
                    <w:pPr>
                      <w:jc w:val="center"/>
                      <w:rPr>
                        <w:szCs w:val="21"/>
                      </w:rPr>
                    </w:pPr>
                    <w:r>
                      <w:rPr>
                        <w:rFonts w:hint="eastAsia"/>
                        <w:szCs w:val="21"/>
                      </w:rPr>
                      <w:t>账龄</w:t>
                    </w:r>
                  </w:p>
                </w:tc>
              </w:sdtContent>
            </w:sdt>
            <w:sdt>
              <w:sdtPr>
                <w:tag w:val="_PLD_432b76b66b924b46b150a8c34f250ad2"/>
                <w:id w:val="-201099390"/>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14:paraId="571941C5" w14:textId="77777777" w:rsidR="00D21C1F" w:rsidRDefault="00A42880">
                    <w:pPr>
                      <w:jc w:val="center"/>
                      <w:rPr>
                        <w:szCs w:val="21"/>
                      </w:rPr>
                    </w:pPr>
                    <w:r>
                      <w:rPr>
                        <w:rFonts w:hint="eastAsia"/>
                        <w:szCs w:val="21"/>
                      </w:rPr>
                      <w:t>期末账面余额</w:t>
                    </w:r>
                  </w:p>
                </w:tc>
              </w:sdtContent>
            </w:sdt>
          </w:tr>
          <w:tr w:rsidR="00D21C1F" w14:paraId="090C944A" w14:textId="77777777">
            <w:trPr>
              <w:cantSplit/>
            </w:trPr>
            <w:sdt>
              <w:sdtPr>
                <w:rPr>
                  <w:rFonts w:ascii="Times New Roman" w:hAnsi="Times New Roman" w:cs="Times New Roman"/>
                </w:rPr>
                <w:tag w:val="_PLD_117c27ae49f24df483b32b6cd9c22857"/>
                <w:id w:val="501085753"/>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494100E7" w14:textId="77777777" w:rsidR="00D21C1F" w:rsidRPr="00F447CE" w:rsidRDefault="00A42880">
                    <w:pPr>
                      <w:rPr>
                        <w:rFonts w:ascii="Times New Roman" w:hAnsi="Times New Roman" w:cs="Times New Roman"/>
                        <w:szCs w:val="21"/>
                      </w:rPr>
                    </w:pPr>
                    <w:r w:rsidRPr="00F447CE">
                      <w:rPr>
                        <w:rFonts w:ascii="Times New Roman" w:hAnsi="Times New Roman" w:cs="Times New Roman"/>
                        <w:szCs w:val="21"/>
                      </w:rPr>
                      <w:t>1</w:t>
                    </w:r>
                    <w:r w:rsidRPr="00F447CE">
                      <w:rPr>
                        <w:rFonts w:ascii="Times New Roman" w:hAnsi="Times New Roman" w:cs="Times New Roman"/>
                        <w:szCs w:val="21"/>
                      </w:rPr>
                      <w:t>年以内小计</w:t>
                    </w:r>
                  </w:p>
                </w:tc>
              </w:sdtContent>
            </w:sdt>
            <w:tc>
              <w:tcPr>
                <w:tcW w:w="2452" w:type="pct"/>
                <w:tcBorders>
                  <w:top w:val="single" w:sz="4" w:space="0" w:color="auto"/>
                  <w:left w:val="single" w:sz="4" w:space="0" w:color="auto"/>
                  <w:bottom w:val="single" w:sz="4" w:space="0" w:color="auto"/>
                  <w:right w:val="single" w:sz="4" w:space="0" w:color="auto"/>
                </w:tcBorders>
              </w:tcPr>
              <w:p w14:paraId="5DCC7E0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26,048,100.12</w:t>
                </w:r>
              </w:p>
            </w:tc>
          </w:tr>
          <w:tr w:rsidR="00D21C1F" w14:paraId="2E77CD14" w14:textId="77777777">
            <w:trPr>
              <w:cantSplit/>
            </w:trPr>
            <w:sdt>
              <w:sdtPr>
                <w:rPr>
                  <w:rFonts w:ascii="Times New Roman" w:hAnsi="Times New Roman" w:cs="Times New Roman"/>
                </w:rPr>
                <w:tag w:val="_PLD_eec5fc3899b34bb8ac2c023bb178201d"/>
                <w:id w:val="1328863049"/>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42A18D03" w14:textId="77777777" w:rsidR="00D21C1F" w:rsidRPr="00F447CE" w:rsidRDefault="00A42880">
                    <w:pPr>
                      <w:rPr>
                        <w:rFonts w:ascii="Times New Roman" w:hAnsi="Times New Roman" w:cs="Times New Roman"/>
                        <w:szCs w:val="21"/>
                      </w:rPr>
                    </w:pPr>
                    <w:r w:rsidRPr="00F447CE">
                      <w:rPr>
                        <w:rFonts w:ascii="Times New Roman" w:hAnsi="Times New Roman" w:cs="Times New Roman"/>
                        <w:szCs w:val="21"/>
                      </w:rPr>
                      <w:t>1</w:t>
                    </w:r>
                    <w:r w:rsidRPr="00F447CE">
                      <w:rPr>
                        <w:rFonts w:ascii="Times New Roman" w:hAnsi="Times New Roman" w:cs="Times New Roman"/>
                        <w:szCs w:val="21"/>
                      </w:rPr>
                      <w:t>至</w:t>
                    </w:r>
                    <w:r w:rsidRPr="00F447CE">
                      <w:rPr>
                        <w:rFonts w:ascii="Times New Roman" w:hAnsi="Times New Roman" w:cs="Times New Roman"/>
                        <w:szCs w:val="21"/>
                      </w:rPr>
                      <w:t>2</w:t>
                    </w:r>
                    <w:r w:rsidRPr="00F447CE">
                      <w:rPr>
                        <w:rFonts w:ascii="Times New Roman" w:hAnsi="Times New Roman" w:cs="Times New Roman"/>
                        <w:szCs w:val="21"/>
                      </w:rPr>
                      <w:t>年</w:t>
                    </w:r>
                  </w:p>
                </w:tc>
              </w:sdtContent>
            </w:sdt>
            <w:tc>
              <w:tcPr>
                <w:tcW w:w="2452" w:type="pct"/>
                <w:tcBorders>
                  <w:top w:val="single" w:sz="4" w:space="0" w:color="auto"/>
                  <w:left w:val="single" w:sz="4" w:space="0" w:color="auto"/>
                  <w:bottom w:val="single" w:sz="4" w:space="0" w:color="auto"/>
                  <w:right w:val="single" w:sz="4" w:space="0" w:color="auto"/>
                </w:tcBorders>
              </w:tcPr>
              <w:p w14:paraId="4AAB736C"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3,935,953.58</w:t>
                </w:r>
              </w:p>
            </w:tc>
          </w:tr>
          <w:tr w:rsidR="00D21C1F" w14:paraId="38CF9BDD" w14:textId="77777777">
            <w:trPr>
              <w:cantSplit/>
            </w:trPr>
            <w:sdt>
              <w:sdtPr>
                <w:rPr>
                  <w:rFonts w:ascii="Times New Roman" w:hAnsi="Times New Roman" w:cs="Times New Roman"/>
                </w:rPr>
                <w:tag w:val="_PLD_4147aa219b3044cb87cadcbf20a7f278"/>
                <w:id w:val="1926292582"/>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45033FBF" w14:textId="77777777" w:rsidR="00D21C1F" w:rsidRPr="00F447CE" w:rsidRDefault="00A42880">
                    <w:pPr>
                      <w:rPr>
                        <w:rFonts w:ascii="Times New Roman" w:hAnsi="Times New Roman" w:cs="Times New Roman"/>
                        <w:szCs w:val="21"/>
                      </w:rPr>
                    </w:pPr>
                    <w:r w:rsidRPr="00F447CE">
                      <w:rPr>
                        <w:rFonts w:ascii="Times New Roman" w:hAnsi="Times New Roman" w:cs="Times New Roman"/>
                        <w:szCs w:val="21"/>
                      </w:rPr>
                      <w:t>2</w:t>
                    </w:r>
                    <w:r w:rsidRPr="00F447CE">
                      <w:rPr>
                        <w:rFonts w:ascii="Times New Roman" w:hAnsi="Times New Roman" w:cs="Times New Roman"/>
                        <w:szCs w:val="21"/>
                      </w:rPr>
                      <w:t>至</w:t>
                    </w:r>
                    <w:r w:rsidRPr="00F447CE">
                      <w:rPr>
                        <w:rFonts w:ascii="Times New Roman" w:hAnsi="Times New Roman" w:cs="Times New Roman"/>
                        <w:szCs w:val="21"/>
                      </w:rPr>
                      <w:t>3</w:t>
                    </w:r>
                    <w:r w:rsidRPr="00F447CE">
                      <w:rPr>
                        <w:rFonts w:ascii="Times New Roman" w:hAnsi="Times New Roman" w:cs="Times New Roman"/>
                        <w:szCs w:val="21"/>
                      </w:rPr>
                      <w:t>年</w:t>
                    </w:r>
                  </w:p>
                </w:tc>
              </w:sdtContent>
            </w:sdt>
            <w:tc>
              <w:tcPr>
                <w:tcW w:w="2452" w:type="pct"/>
                <w:tcBorders>
                  <w:top w:val="single" w:sz="4" w:space="0" w:color="auto"/>
                  <w:left w:val="single" w:sz="4" w:space="0" w:color="auto"/>
                  <w:bottom w:val="single" w:sz="4" w:space="0" w:color="auto"/>
                  <w:right w:val="single" w:sz="4" w:space="0" w:color="auto"/>
                </w:tcBorders>
              </w:tcPr>
              <w:p w14:paraId="28B1672B"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1,534,033.35</w:t>
                </w:r>
              </w:p>
            </w:tc>
          </w:tr>
          <w:tr w:rsidR="00D21C1F" w14:paraId="1136C3ED" w14:textId="77777777">
            <w:trPr>
              <w:cantSplit/>
            </w:trPr>
            <w:sdt>
              <w:sdtPr>
                <w:rPr>
                  <w:rFonts w:ascii="Times New Roman" w:hAnsi="Times New Roman" w:cs="Times New Roman"/>
                </w:rPr>
                <w:tag w:val="_PLD_66cf044e27544e89bd84871740a65504"/>
                <w:id w:val="1977564029"/>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0F9B2C74" w14:textId="77777777" w:rsidR="00D21C1F" w:rsidRPr="00F447CE" w:rsidRDefault="00A42880">
                    <w:pPr>
                      <w:rPr>
                        <w:rFonts w:ascii="Times New Roman" w:hAnsi="Times New Roman" w:cs="Times New Roman"/>
                        <w:szCs w:val="21"/>
                      </w:rPr>
                    </w:pPr>
                    <w:r w:rsidRPr="00F447CE">
                      <w:rPr>
                        <w:rFonts w:ascii="Times New Roman" w:hAnsi="Times New Roman" w:cs="Times New Roman"/>
                        <w:szCs w:val="21"/>
                      </w:rPr>
                      <w:t>3</w:t>
                    </w:r>
                    <w:r w:rsidRPr="00F447CE">
                      <w:rPr>
                        <w:rFonts w:ascii="Times New Roman" w:hAnsi="Times New Roman" w:cs="Times New Roman"/>
                        <w:szCs w:val="21"/>
                      </w:rPr>
                      <w:t>至</w:t>
                    </w:r>
                    <w:r w:rsidRPr="00F447CE">
                      <w:rPr>
                        <w:rFonts w:ascii="Times New Roman" w:hAnsi="Times New Roman" w:cs="Times New Roman"/>
                        <w:szCs w:val="21"/>
                      </w:rPr>
                      <w:t>4</w:t>
                    </w:r>
                    <w:r w:rsidRPr="00F447CE">
                      <w:rPr>
                        <w:rFonts w:ascii="Times New Roman" w:hAnsi="Times New Roman" w:cs="Times New Roman"/>
                        <w:szCs w:val="21"/>
                      </w:rPr>
                      <w:t>年</w:t>
                    </w:r>
                  </w:p>
                </w:tc>
              </w:sdtContent>
            </w:sdt>
            <w:tc>
              <w:tcPr>
                <w:tcW w:w="2452" w:type="pct"/>
                <w:tcBorders>
                  <w:top w:val="single" w:sz="4" w:space="0" w:color="auto"/>
                  <w:left w:val="single" w:sz="4" w:space="0" w:color="auto"/>
                  <w:bottom w:val="single" w:sz="4" w:space="0" w:color="auto"/>
                  <w:right w:val="single" w:sz="4" w:space="0" w:color="auto"/>
                </w:tcBorders>
              </w:tcPr>
              <w:p w14:paraId="4F051656"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3,941,440.16</w:t>
                </w:r>
              </w:p>
            </w:tc>
          </w:tr>
          <w:tr w:rsidR="00D21C1F" w14:paraId="21E34304" w14:textId="77777777">
            <w:trPr>
              <w:cantSplit/>
            </w:trPr>
            <w:sdt>
              <w:sdtPr>
                <w:rPr>
                  <w:rFonts w:ascii="Times New Roman" w:hAnsi="Times New Roman" w:cs="Times New Roman"/>
                </w:rPr>
                <w:tag w:val="_PLD_9c7f07cb7cf1435b8f2137c3fdbbf981"/>
                <w:id w:val="1886211260"/>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7D071709" w14:textId="77777777" w:rsidR="00D21C1F" w:rsidRPr="00F447CE" w:rsidRDefault="00A42880">
                    <w:pPr>
                      <w:rPr>
                        <w:rFonts w:ascii="Times New Roman" w:hAnsi="Times New Roman" w:cs="Times New Roman"/>
                        <w:szCs w:val="21"/>
                      </w:rPr>
                    </w:pPr>
                    <w:r w:rsidRPr="00F447CE">
                      <w:rPr>
                        <w:rFonts w:ascii="Times New Roman" w:hAnsi="Times New Roman" w:cs="Times New Roman"/>
                        <w:szCs w:val="21"/>
                      </w:rPr>
                      <w:t>4</w:t>
                    </w:r>
                    <w:r w:rsidRPr="00F447CE">
                      <w:rPr>
                        <w:rFonts w:ascii="Times New Roman" w:hAnsi="Times New Roman" w:cs="Times New Roman"/>
                        <w:szCs w:val="21"/>
                      </w:rPr>
                      <w:t>至</w:t>
                    </w:r>
                    <w:r w:rsidRPr="00F447CE">
                      <w:rPr>
                        <w:rFonts w:ascii="Times New Roman" w:hAnsi="Times New Roman" w:cs="Times New Roman"/>
                        <w:szCs w:val="21"/>
                      </w:rPr>
                      <w:t>5</w:t>
                    </w:r>
                    <w:r w:rsidRPr="00F447CE">
                      <w:rPr>
                        <w:rFonts w:ascii="Times New Roman" w:hAnsi="Times New Roman" w:cs="Times New Roman"/>
                        <w:szCs w:val="21"/>
                      </w:rPr>
                      <w:t>年</w:t>
                    </w:r>
                  </w:p>
                </w:tc>
              </w:sdtContent>
            </w:sdt>
            <w:tc>
              <w:tcPr>
                <w:tcW w:w="2452" w:type="pct"/>
                <w:tcBorders>
                  <w:top w:val="single" w:sz="4" w:space="0" w:color="auto"/>
                  <w:left w:val="single" w:sz="4" w:space="0" w:color="auto"/>
                  <w:bottom w:val="single" w:sz="4" w:space="0" w:color="auto"/>
                  <w:right w:val="single" w:sz="4" w:space="0" w:color="auto"/>
                </w:tcBorders>
              </w:tcPr>
              <w:p w14:paraId="140BC077"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316,859.16</w:t>
                </w:r>
              </w:p>
            </w:tc>
          </w:tr>
          <w:tr w:rsidR="00D21C1F" w14:paraId="7EF23FB9" w14:textId="77777777">
            <w:trPr>
              <w:cantSplit/>
            </w:trPr>
            <w:sdt>
              <w:sdtPr>
                <w:rPr>
                  <w:rFonts w:ascii="Times New Roman" w:hAnsi="Times New Roman" w:cs="Times New Roman"/>
                </w:rPr>
                <w:tag w:val="_PLD_aec7ac0213fc4614a98de6a3c736e280"/>
                <w:id w:val="619498339"/>
                <w:lock w:val="sdtLocked"/>
              </w:sdtPr>
              <w:sdtEndPr/>
              <w:sdtContent>
                <w:tc>
                  <w:tcPr>
                    <w:tcW w:w="2548" w:type="pct"/>
                    <w:tcBorders>
                      <w:top w:val="single" w:sz="4" w:space="0" w:color="auto"/>
                      <w:left w:val="single" w:sz="4" w:space="0" w:color="auto"/>
                      <w:bottom w:val="single" w:sz="4" w:space="0" w:color="auto"/>
                      <w:right w:val="single" w:sz="4" w:space="0" w:color="auto"/>
                    </w:tcBorders>
                  </w:tcPr>
                  <w:p w14:paraId="268EA342" w14:textId="77777777" w:rsidR="00D21C1F" w:rsidRPr="00F447CE" w:rsidRDefault="00A42880">
                    <w:pPr>
                      <w:rPr>
                        <w:rFonts w:ascii="Times New Roman" w:hAnsi="Times New Roman" w:cs="Times New Roman"/>
                        <w:szCs w:val="21"/>
                      </w:rPr>
                    </w:pPr>
                    <w:r w:rsidRPr="00F447CE">
                      <w:rPr>
                        <w:rFonts w:ascii="Times New Roman" w:hAnsi="Times New Roman" w:cs="Times New Roman"/>
                        <w:szCs w:val="21"/>
                      </w:rPr>
                      <w:t>5</w:t>
                    </w:r>
                    <w:r w:rsidRPr="00F447CE">
                      <w:rPr>
                        <w:rFonts w:ascii="Times New Roman" w:hAnsi="Times New Roman" w:cs="Times New Roman"/>
                        <w:szCs w:val="21"/>
                      </w:rPr>
                      <w:t>年以上</w:t>
                    </w:r>
                  </w:p>
                </w:tc>
              </w:sdtContent>
            </w:sdt>
            <w:tc>
              <w:tcPr>
                <w:tcW w:w="2452" w:type="pct"/>
                <w:tcBorders>
                  <w:top w:val="single" w:sz="4" w:space="0" w:color="auto"/>
                  <w:left w:val="single" w:sz="4" w:space="0" w:color="auto"/>
                  <w:bottom w:val="single" w:sz="4" w:space="0" w:color="auto"/>
                  <w:right w:val="single" w:sz="4" w:space="0" w:color="auto"/>
                </w:tcBorders>
              </w:tcPr>
              <w:p w14:paraId="4919D44C"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30,000.00</w:t>
                </w:r>
              </w:p>
            </w:tc>
          </w:tr>
          <w:sdt>
            <w:sdtPr>
              <w:rPr>
                <w:rFonts w:ascii="Times New Roman" w:eastAsia="宋体" w:hAnsi="Times New Roman" w:cs="Times New Roman"/>
              </w:rPr>
              <w:alias w:val="按账龄分析法计提坏账准备的其他应收款明细"/>
              <w:tag w:val="_TUP_34db76909f7244b09a55d5c12098c281"/>
              <w:id w:val="148331638"/>
              <w:lock w:val="sdtLocked"/>
            </w:sdtPr>
            <w:sdtEndPr>
              <w:rPr>
                <w:szCs w:val="21"/>
              </w:rPr>
            </w:sdtEndPr>
            <w:sdtContent>
              <w:tr w:rsidR="00D21C1F" w14:paraId="1DFB060E" w14:textId="77777777">
                <w:trPr>
                  <w:cantSplit/>
                </w:trPr>
                <w:tc>
                  <w:tcPr>
                    <w:tcW w:w="2548" w:type="pct"/>
                    <w:tcBorders>
                      <w:top w:val="single" w:sz="4" w:space="0" w:color="auto"/>
                      <w:left w:val="single" w:sz="4" w:space="0" w:color="auto"/>
                      <w:bottom w:val="single" w:sz="4" w:space="0" w:color="auto"/>
                      <w:right w:val="single" w:sz="4" w:space="0" w:color="auto"/>
                    </w:tcBorders>
                  </w:tcPr>
                  <w:p w14:paraId="2E838D6D" w14:textId="1AF10547" w:rsidR="00D21C1F" w:rsidRPr="00F447CE" w:rsidRDefault="00A42880">
                    <w:pPr>
                      <w:pStyle w:val="97"/>
                      <w:rPr>
                        <w:rFonts w:ascii="Times New Roman" w:hAnsi="Times New Roman" w:cs="Times New Roman"/>
                      </w:rPr>
                    </w:pPr>
                    <w:r w:rsidRPr="00F447CE">
                      <w:rPr>
                        <w:rFonts w:ascii="Times New Roman" w:hAnsi="Times New Roman" w:cs="Times New Roman"/>
                      </w:rPr>
                      <w:t>坏账准备</w:t>
                    </w:r>
                  </w:p>
                </w:tc>
                <w:tc>
                  <w:tcPr>
                    <w:tcW w:w="2452" w:type="pct"/>
                    <w:tcBorders>
                      <w:top w:val="single" w:sz="4" w:space="0" w:color="auto"/>
                      <w:left w:val="single" w:sz="4" w:space="0" w:color="auto"/>
                      <w:bottom w:val="single" w:sz="4" w:space="0" w:color="auto"/>
                      <w:right w:val="single" w:sz="4" w:space="0" w:color="auto"/>
                    </w:tcBorders>
                  </w:tcPr>
                  <w:p w14:paraId="07D553C3"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-6,586,037.33</w:t>
                    </w:r>
                  </w:p>
                </w:tc>
              </w:tr>
            </w:sdtContent>
          </w:sdt>
          <w:tr w:rsidR="00D21C1F" w14:paraId="032B704C" w14:textId="77777777">
            <w:trPr>
              <w:cantSplit/>
            </w:trPr>
            <w:sdt>
              <w:sdtPr>
                <w:rPr>
                  <w:rFonts w:ascii="Times New Roman" w:hAnsi="Times New Roman" w:cs="Times New Roman"/>
                </w:rPr>
                <w:tag w:val="_PLD_f4ca1e5588694bda99031e0a5f40083e"/>
                <w:id w:val="-2097088141"/>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422412FD" w14:textId="77777777" w:rsidR="00D21C1F" w:rsidRPr="00F447CE" w:rsidRDefault="00A42880">
                    <w:pPr>
                      <w:jc w:val="center"/>
                      <w:rPr>
                        <w:rFonts w:ascii="Times New Roman" w:hAnsi="Times New Roman" w:cs="Times New Roman"/>
                        <w:szCs w:val="21"/>
                      </w:rPr>
                    </w:pPr>
                    <w:r w:rsidRPr="00F447CE">
                      <w:rPr>
                        <w:rFonts w:ascii="Times New Roman" w:hAnsi="Times New Roman" w:cs="Times New Roman"/>
                        <w:szCs w:val="21"/>
                      </w:rPr>
                      <w:t>合计</w:t>
                    </w:r>
                  </w:p>
                </w:tc>
              </w:sdtContent>
            </w:sdt>
            <w:tc>
              <w:tcPr>
                <w:tcW w:w="2452" w:type="pct"/>
                <w:tcBorders>
                  <w:top w:val="single" w:sz="4" w:space="0" w:color="auto"/>
                  <w:left w:val="single" w:sz="4" w:space="0" w:color="auto"/>
                  <w:bottom w:val="single" w:sz="4" w:space="0" w:color="auto"/>
                  <w:right w:val="single" w:sz="4" w:space="0" w:color="auto"/>
                </w:tcBorders>
              </w:tcPr>
              <w:p w14:paraId="7CF94DD2"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29,220,349.04</w:t>
                </w:r>
              </w:p>
            </w:tc>
          </w:tr>
        </w:tbl>
        <w:p w14:paraId="347FC297" w14:textId="77777777" w:rsidR="00D21C1F" w:rsidRDefault="00045EC6">
          <w:pPr>
            <w:rPr>
              <w:szCs w:val="21"/>
            </w:rPr>
          </w:pPr>
        </w:p>
      </w:sdtContent>
    </w:sdt>
    <w:bookmarkEnd w:id="197" w:displacedByCustomXml="next"/>
    <w:sdt>
      <w:sdtPr>
        <w:rPr>
          <w:rFonts w:ascii="宋体" w:hAnsi="宋体" w:cs="宋体" w:hint="eastAsia"/>
          <w:b w:val="0"/>
          <w:bCs w:val="0"/>
          <w:kern w:val="0"/>
          <w:szCs w:val="24"/>
        </w:rPr>
        <w:alias w:val="模块:其他应收款按款项性质分类情况"/>
        <w:tag w:val="_GBC_84d520d656b8446b87c909f5ff2b545d"/>
        <w:id w:val="-1542816516"/>
        <w:lock w:val="sdtLocked"/>
        <w:placeholder>
          <w:docPart w:val="GBC22222222222222222222222222222"/>
        </w:placeholder>
      </w:sdtPr>
      <w:sdtEndPr>
        <w:rPr>
          <w:rFonts w:hint="default"/>
        </w:rPr>
      </w:sdtEndPr>
      <w:sdtContent>
        <w:p w14:paraId="2458F06E" w14:textId="77777777" w:rsidR="00D21C1F" w:rsidRDefault="00A42880">
          <w:pPr>
            <w:pStyle w:val="93"/>
            <w:numPr>
              <w:ilvl w:val="3"/>
              <w:numId w:val="100"/>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991990588"/>
            <w:lock w:val="sdtLocked"/>
            <w:placeholder>
              <w:docPart w:val="GBC22222222222222222222222222222"/>
            </w:placeholder>
          </w:sdtPr>
          <w:sdtEndPr/>
          <w:sdtContent>
            <w:p w14:paraId="030C60B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E6FB2A" w14:textId="77777777" w:rsidR="00D21C1F" w:rsidRDefault="00A42880">
          <w:pPr>
            <w:jc w:val="right"/>
          </w:pPr>
          <w:r>
            <w:rPr>
              <w:rFonts w:hint="eastAsia"/>
            </w:rPr>
            <w:t>单位：</w:t>
          </w:r>
          <w:sdt>
            <w:sdtPr>
              <w:rPr>
                <w:rFonts w:hint="eastAsia"/>
              </w:rPr>
              <w:alias w:val="单位：财务附注：其他应收款按款项性质分类情况"/>
              <w:tag w:val="_GBC_9a3af1171f5640cd83ea2c41e0145167"/>
              <w:id w:val="-895661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应收款按款项性质分类情况"/>
              <w:tag w:val="_GBC_0d096e7260294092a6e9a8405d01bc70"/>
              <w:id w:val="-151517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D21C1F" w14:paraId="13798C49" w14:textId="77777777">
            <w:sdt>
              <w:sdtPr>
                <w:tag w:val="_PLD_1e66a0098cd34ad6a335156852121360"/>
                <w:id w:val="1353076501"/>
                <w:lock w:val="sdtLocked"/>
              </w:sdtPr>
              <w:sdtEndPr/>
              <w:sdtContent>
                <w:tc>
                  <w:tcPr>
                    <w:tcW w:w="1700" w:type="pct"/>
                    <w:shd w:val="clear" w:color="auto" w:fill="auto"/>
                    <w:vAlign w:val="center"/>
                  </w:tcPr>
                  <w:p w14:paraId="143E33F5" w14:textId="77777777" w:rsidR="00D21C1F" w:rsidRDefault="00A42880">
                    <w:pPr>
                      <w:jc w:val="center"/>
                    </w:pPr>
                    <w:r>
                      <w:rPr>
                        <w:rFonts w:hint="eastAsia"/>
                      </w:rPr>
                      <w:t>款项性质</w:t>
                    </w:r>
                  </w:p>
                </w:tc>
              </w:sdtContent>
            </w:sdt>
            <w:sdt>
              <w:sdtPr>
                <w:tag w:val="_PLD_51fee06f6d3944a9bbc7bac249ed63b6"/>
                <w:id w:val="536247863"/>
                <w:lock w:val="sdtLocked"/>
              </w:sdtPr>
              <w:sdtEndPr/>
              <w:sdtContent>
                <w:tc>
                  <w:tcPr>
                    <w:tcW w:w="1647" w:type="pct"/>
                    <w:shd w:val="clear" w:color="auto" w:fill="auto"/>
                    <w:vAlign w:val="center"/>
                  </w:tcPr>
                  <w:p w14:paraId="315C033B" w14:textId="77777777" w:rsidR="00D21C1F" w:rsidRDefault="00A42880">
                    <w:pPr>
                      <w:jc w:val="center"/>
                    </w:pPr>
                    <w:r>
                      <w:rPr>
                        <w:rFonts w:hint="eastAsia"/>
                      </w:rPr>
                      <w:t>期末账面余额</w:t>
                    </w:r>
                  </w:p>
                </w:tc>
              </w:sdtContent>
            </w:sdt>
            <w:sdt>
              <w:sdtPr>
                <w:tag w:val="_PLD_0297dadecff24ff8926a98d0267a917b"/>
                <w:id w:val="1744840116"/>
                <w:lock w:val="sdtLocked"/>
              </w:sdtPr>
              <w:sdtEndPr/>
              <w:sdtContent>
                <w:tc>
                  <w:tcPr>
                    <w:tcW w:w="1653" w:type="pct"/>
                    <w:shd w:val="clear" w:color="auto" w:fill="auto"/>
                    <w:vAlign w:val="center"/>
                  </w:tcPr>
                  <w:p w14:paraId="31F4B2BB" w14:textId="77777777" w:rsidR="00D21C1F" w:rsidRDefault="00A42880">
                    <w:pPr>
                      <w:jc w:val="center"/>
                    </w:pPr>
                    <w:r>
                      <w:rPr>
                        <w:rFonts w:hint="eastAsia"/>
                      </w:rPr>
                      <w:t>期初账面余额</w:t>
                    </w:r>
                  </w:p>
                </w:tc>
              </w:sdtContent>
            </w:sdt>
          </w:tr>
          <w:sdt>
            <w:sdtPr>
              <w:rPr>
                <w:rFonts w:asciiTheme="minorHAnsi" w:eastAsia="宋体" w:hAnsiTheme="minorHAnsi" w:cstheme="minorBidi" w:hint="eastAsia"/>
                <w:sz w:val="22"/>
                <w:szCs w:val="22"/>
              </w:rPr>
              <w:alias w:val="其他应收款按款项性质分类情况明细"/>
              <w:tag w:val="_GBC_936b797bf5094f7da8db3da3acd1de8c"/>
              <w:id w:val="-962493772"/>
              <w:lock w:val="sdtLocked"/>
            </w:sdtPr>
            <w:sdtEndPr>
              <w:rPr>
                <w:rFonts w:ascii="Times New Roman" w:hAnsi="Times New Roman" w:cs="Times New Roman" w:hint="default"/>
                <w:sz w:val="21"/>
                <w:szCs w:val="24"/>
              </w:rPr>
            </w:sdtEndPr>
            <w:sdtContent>
              <w:tr w:rsidR="00D21C1F" w14:paraId="76CA1224" w14:textId="77777777">
                <w:tc>
                  <w:tcPr>
                    <w:tcW w:w="1700" w:type="pct"/>
                    <w:shd w:val="clear" w:color="auto" w:fill="auto"/>
                  </w:tcPr>
                  <w:p w14:paraId="39078E45" w14:textId="77777777" w:rsidR="00D21C1F" w:rsidRDefault="00A42880">
                    <w:pPr>
                      <w:pStyle w:val="97"/>
                    </w:pPr>
                    <w:r>
                      <w:t>保证金及押金</w:t>
                    </w:r>
                  </w:p>
                </w:tc>
                <w:tc>
                  <w:tcPr>
                    <w:tcW w:w="1647" w:type="pct"/>
                    <w:shd w:val="clear" w:color="auto" w:fill="auto"/>
                    <w:vAlign w:val="center"/>
                  </w:tcPr>
                  <w:p w14:paraId="71E9C2AB"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14,669,134.34</w:t>
                    </w:r>
                  </w:p>
                </w:tc>
                <w:tc>
                  <w:tcPr>
                    <w:tcW w:w="1653" w:type="pct"/>
                    <w:shd w:val="clear" w:color="auto" w:fill="auto"/>
                  </w:tcPr>
                  <w:p w14:paraId="2FDE1B4C"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14,016,529.25</w:t>
                    </w:r>
                  </w:p>
                </w:tc>
              </w:tr>
            </w:sdtContent>
          </w:sdt>
          <w:sdt>
            <w:sdtPr>
              <w:rPr>
                <w:rFonts w:asciiTheme="minorHAnsi" w:eastAsia="宋体" w:hAnsiTheme="minorHAnsi" w:cstheme="minorBidi" w:hint="eastAsia"/>
                <w:sz w:val="22"/>
                <w:szCs w:val="22"/>
              </w:rPr>
              <w:alias w:val="其他应收款按款项性质分类情况明细"/>
              <w:tag w:val="_GBC_936b797bf5094f7da8db3da3acd1de8c"/>
              <w:id w:val="-1856563173"/>
              <w:lock w:val="sdtLocked"/>
            </w:sdtPr>
            <w:sdtEndPr>
              <w:rPr>
                <w:rFonts w:ascii="Times New Roman" w:hAnsi="Times New Roman" w:cs="Times New Roman" w:hint="default"/>
                <w:sz w:val="21"/>
                <w:szCs w:val="24"/>
              </w:rPr>
            </w:sdtEndPr>
            <w:sdtContent>
              <w:tr w:rsidR="00D21C1F" w14:paraId="4A778169" w14:textId="77777777">
                <w:tc>
                  <w:tcPr>
                    <w:tcW w:w="1700" w:type="pct"/>
                    <w:shd w:val="clear" w:color="auto" w:fill="auto"/>
                  </w:tcPr>
                  <w:p w14:paraId="4126DF9F" w14:textId="77777777" w:rsidR="00D21C1F" w:rsidRDefault="00A42880">
                    <w:pPr>
                      <w:pStyle w:val="97"/>
                    </w:pPr>
                    <w:r>
                      <w:t>往来款</w:t>
                    </w:r>
                  </w:p>
                </w:tc>
                <w:tc>
                  <w:tcPr>
                    <w:tcW w:w="1647" w:type="pct"/>
                    <w:shd w:val="clear" w:color="auto" w:fill="auto"/>
                    <w:vAlign w:val="center"/>
                  </w:tcPr>
                  <w:p w14:paraId="0B5DAA03"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8,943,919.15</w:t>
                    </w:r>
                  </w:p>
                </w:tc>
                <w:tc>
                  <w:tcPr>
                    <w:tcW w:w="1653" w:type="pct"/>
                    <w:shd w:val="clear" w:color="auto" w:fill="auto"/>
                  </w:tcPr>
                  <w:p w14:paraId="234FE100"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3,911,799.50</w:t>
                    </w:r>
                  </w:p>
                </w:tc>
              </w:tr>
            </w:sdtContent>
          </w:sdt>
          <w:sdt>
            <w:sdtPr>
              <w:rPr>
                <w:rFonts w:asciiTheme="minorHAnsi" w:eastAsia="宋体" w:hAnsiTheme="minorHAnsi" w:cstheme="minorBidi" w:hint="eastAsia"/>
                <w:sz w:val="22"/>
                <w:szCs w:val="22"/>
              </w:rPr>
              <w:alias w:val="其他应收款按款项性质分类情况明细"/>
              <w:tag w:val="_GBC_936b797bf5094f7da8db3da3acd1de8c"/>
              <w:id w:val="152035424"/>
              <w:lock w:val="sdtLocked"/>
            </w:sdtPr>
            <w:sdtEndPr>
              <w:rPr>
                <w:rFonts w:ascii="Times New Roman" w:hAnsi="Times New Roman" w:cs="Times New Roman" w:hint="default"/>
                <w:sz w:val="21"/>
                <w:szCs w:val="24"/>
              </w:rPr>
            </w:sdtEndPr>
            <w:sdtContent>
              <w:tr w:rsidR="00D21C1F" w14:paraId="105659B2" w14:textId="77777777">
                <w:tc>
                  <w:tcPr>
                    <w:tcW w:w="1700" w:type="pct"/>
                    <w:shd w:val="clear" w:color="auto" w:fill="auto"/>
                  </w:tcPr>
                  <w:p w14:paraId="65AC6CC3" w14:textId="77777777" w:rsidR="00D21C1F" w:rsidRDefault="00A42880">
                    <w:pPr>
                      <w:pStyle w:val="97"/>
                    </w:pPr>
                    <w:r>
                      <w:t>备用金</w:t>
                    </w:r>
                  </w:p>
                </w:tc>
                <w:tc>
                  <w:tcPr>
                    <w:tcW w:w="1647" w:type="pct"/>
                    <w:shd w:val="clear" w:color="auto" w:fill="auto"/>
                    <w:vAlign w:val="center"/>
                  </w:tcPr>
                  <w:p w14:paraId="22D569F4"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2,248,770.36</w:t>
                    </w:r>
                  </w:p>
                </w:tc>
                <w:tc>
                  <w:tcPr>
                    <w:tcW w:w="1653" w:type="pct"/>
                    <w:shd w:val="clear" w:color="auto" w:fill="auto"/>
                  </w:tcPr>
                  <w:p w14:paraId="704E8BCE"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2,581,047.25</w:t>
                    </w:r>
                  </w:p>
                </w:tc>
              </w:tr>
            </w:sdtContent>
          </w:sdt>
          <w:sdt>
            <w:sdtPr>
              <w:rPr>
                <w:rFonts w:asciiTheme="minorHAnsi" w:eastAsia="宋体" w:hAnsiTheme="minorHAnsi" w:cstheme="minorBidi" w:hint="eastAsia"/>
                <w:sz w:val="22"/>
                <w:szCs w:val="22"/>
              </w:rPr>
              <w:alias w:val="其他应收款按款项性质分类情况明细"/>
              <w:tag w:val="_GBC_936b797bf5094f7da8db3da3acd1de8c"/>
              <w:id w:val="920915305"/>
              <w:lock w:val="sdtLocked"/>
            </w:sdtPr>
            <w:sdtEndPr>
              <w:rPr>
                <w:rFonts w:ascii="Times New Roman" w:hAnsi="Times New Roman" w:cs="Times New Roman" w:hint="default"/>
                <w:sz w:val="21"/>
                <w:szCs w:val="24"/>
              </w:rPr>
            </w:sdtEndPr>
            <w:sdtContent>
              <w:tr w:rsidR="00D21C1F" w14:paraId="6FC89FA9" w14:textId="77777777">
                <w:tc>
                  <w:tcPr>
                    <w:tcW w:w="1700" w:type="pct"/>
                    <w:shd w:val="clear" w:color="auto" w:fill="auto"/>
                  </w:tcPr>
                  <w:p w14:paraId="5BBBBEE1" w14:textId="77777777" w:rsidR="00D21C1F" w:rsidRDefault="00A42880">
                    <w:pPr>
                      <w:pStyle w:val="97"/>
                    </w:pPr>
                    <w:r>
                      <w:t>政府补助款</w:t>
                    </w:r>
                  </w:p>
                </w:tc>
                <w:tc>
                  <w:tcPr>
                    <w:tcW w:w="1647" w:type="pct"/>
                    <w:shd w:val="clear" w:color="auto" w:fill="auto"/>
                    <w:vAlign w:val="center"/>
                  </w:tcPr>
                  <w:p w14:paraId="4C96A6F0"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5,945,175.00</w:t>
                    </w:r>
                  </w:p>
                </w:tc>
                <w:tc>
                  <w:tcPr>
                    <w:tcW w:w="1653" w:type="pct"/>
                    <w:shd w:val="clear" w:color="auto" w:fill="auto"/>
                  </w:tcPr>
                  <w:p w14:paraId="4A8F1FED"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15,838,675.00</w:t>
                    </w:r>
                  </w:p>
                </w:tc>
              </w:tr>
            </w:sdtContent>
          </w:sdt>
          <w:sdt>
            <w:sdtPr>
              <w:rPr>
                <w:rFonts w:asciiTheme="minorHAnsi" w:eastAsia="宋体" w:hAnsiTheme="minorHAnsi" w:cstheme="minorBidi" w:hint="eastAsia"/>
                <w:sz w:val="22"/>
                <w:szCs w:val="22"/>
              </w:rPr>
              <w:alias w:val="其他应收款按款项性质分类情况明细"/>
              <w:tag w:val="_GBC_936b797bf5094f7da8db3da3acd1de8c"/>
              <w:id w:val="-1068577455"/>
              <w:lock w:val="sdtLocked"/>
            </w:sdtPr>
            <w:sdtEndPr>
              <w:rPr>
                <w:rFonts w:ascii="Times New Roman" w:hAnsi="Times New Roman" w:cs="Times New Roman" w:hint="default"/>
                <w:sz w:val="21"/>
                <w:szCs w:val="24"/>
              </w:rPr>
            </w:sdtEndPr>
            <w:sdtContent>
              <w:tr w:rsidR="00D21C1F" w14:paraId="2F7B3F20" w14:textId="77777777">
                <w:tc>
                  <w:tcPr>
                    <w:tcW w:w="1700" w:type="pct"/>
                    <w:shd w:val="clear" w:color="auto" w:fill="auto"/>
                  </w:tcPr>
                  <w:p w14:paraId="7EA20B0E" w14:textId="77777777" w:rsidR="00D21C1F" w:rsidRDefault="00A42880">
                    <w:pPr>
                      <w:pStyle w:val="97"/>
                    </w:pPr>
                    <w:r>
                      <w:t>其他</w:t>
                    </w:r>
                  </w:p>
                </w:tc>
                <w:tc>
                  <w:tcPr>
                    <w:tcW w:w="1647" w:type="pct"/>
                    <w:shd w:val="clear" w:color="auto" w:fill="auto"/>
                    <w:vAlign w:val="center"/>
                  </w:tcPr>
                  <w:p w14:paraId="298F113F"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3,999,387.52</w:t>
                    </w:r>
                  </w:p>
                </w:tc>
                <w:tc>
                  <w:tcPr>
                    <w:tcW w:w="1653" w:type="pct"/>
                    <w:shd w:val="clear" w:color="auto" w:fill="auto"/>
                  </w:tcPr>
                  <w:p w14:paraId="70956CC9"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4,531,048.38</w:t>
                    </w:r>
                  </w:p>
                </w:tc>
              </w:tr>
            </w:sdtContent>
          </w:sdt>
          <w:tr w:rsidR="00D21C1F" w14:paraId="2BC23BDC" w14:textId="77777777">
            <w:sdt>
              <w:sdtPr>
                <w:tag w:val="_PLD_99d40156f33b4b6398b236a0f6461a23"/>
                <w:id w:val="-192922370"/>
                <w:lock w:val="sdtLocked"/>
              </w:sdtPr>
              <w:sdtEndPr/>
              <w:sdtContent>
                <w:tc>
                  <w:tcPr>
                    <w:tcW w:w="1700" w:type="pct"/>
                    <w:shd w:val="clear" w:color="auto" w:fill="auto"/>
                  </w:tcPr>
                  <w:p w14:paraId="26317BE1" w14:textId="77777777" w:rsidR="00D21C1F" w:rsidRDefault="00A42880">
                    <w:pPr>
                      <w:jc w:val="center"/>
                    </w:pPr>
                    <w:r>
                      <w:t>合计</w:t>
                    </w:r>
                  </w:p>
                </w:tc>
              </w:sdtContent>
            </w:sdt>
            <w:tc>
              <w:tcPr>
                <w:tcW w:w="1647" w:type="pct"/>
                <w:shd w:val="clear" w:color="auto" w:fill="auto"/>
                <w:vAlign w:val="center"/>
              </w:tcPr>
              <w:p w14:paraId="536A24A1"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35,806,386.37</w:t>
                </w:r>
              </w:p>
            </w:tc>
            <w:tc>
              <w:tcPr>
                <w:tcW w:w="1653" w:type="pct"/>
                <w:shd w:val="clear" w:color="auto" w:fill="auto"/>
                <w:vAlign w:val="center"/>
              </w:tcPr>
              <w:p w14:paraId="2A0C0FAD" w14:textId="77777777" w:rsidR="00D21C1F" w:rsidRPr="00F447CE" w:rsidRDefault="00A42880">
                <w:pPr>
                  <w:jc w:val="right"/>
                  <w:rPr>
                    <w:rFonts w:ascii="Times New Roman" w:hAnsi="Times New Roman" w:cs="Times New Roman"/>
                  </w:rPr>
                </w:pPr>
                <w:r w:rsidRPr="00F447CE">
                  <w:rPr>
                    <w:rFonts w:ascii="Times New Roman" w:hAnsi="Times New Roman" w:cs="Times New Roman"/>
                  </w:rPr>
                  <w:t>40,879,099.38</w:t>
                </w:r>
              </w:p>
            </w:tc>
          </w:tr>
        </w:tbl>
        <w:p w14:paraId="557F42DC" w14:textId="77777777" w:rsidR="00D21C1F" w:rsidRDefault="00045EC6">
          <w:pPr>
            <w:pStyle w:val="97"/>
          </w:pPr>
        </w:p>
      </w:sdtContent>
    </w:sdt>
    <w:bookmarkStart w:id="198" w:name="_Hlk10469799" w:displacedByCustomXml="next"/>
    <w:sdt>
      <w:sdtPr>
        <w:rPr>
          <w:rFonts w:ascii="宋体" w:hAnsi="宋体" w:cs="宋体" w:hint="eastAsia"/>
          <w:b w:val="0"/>
          <w:bCs w:val="0"/>
          <w:kern w:val="0"/>
          <w:szCs w:val="24"/>
        </w:rPr>
        <w:alias w:val="模块:坏账准备计提情况"/>
        <w:tag w:val="_SEC_5ff83398df8949c88f89340b5b0e52f6"/>
        <w:id w:val="-1611743702"/>
        <w:lock w:val="sdtLocked"/>
        <w:placeholder>
          <w:docPart w:val="GBC22222222222222222222222222222"/>
        </w:placeholder>
      </w:sdtPr>
      <w:sdtEndPr>
        <w:rPr>
          <w:rFonts w:hint="default"/>
        </w:rPr>
      </w:sdtEndPr>
      <w:sdtContent>
        <w:p w14:paraId="0E34C6E5" w14:textId="77777777" w:rsidR="00D21C1F" w:rsidRDefault="00A42880">
          <w:pPr>
            <w:pStyle w:val="93"/>
            <w:numPr>
              <w:ilvl w:val="3"/>
              <w:numId w:val="100"/>
            </w:numPr>
            <w:tabs>
              <w:tab w:val="left" w:pos="560"/>
            </w:tabs>
            <w:rPr>
              <w:rFonts w:ascii="宋体" w:hAnsi="宋体"/>
            </w:rPr>
          </w:pPr>
          <w:r>
            <w:rPr>
              <w:rFonts w:ascii="宋体" w:hAnsi="宋体" w:hint="eastAsia"/>
            </w:rPr>
            <w:t>坏账准备计提情况</w:t>
          </w:r>
        </w:p>
        <w:sdt>
          <w:sdtPr>
            <w:rPr>
              <w:szCs w:val="21"/>
            </w:rPr>
            <w:alias w:val="是否适用：其他应收款坏账准备调节表[双击切换]"/>
            <w:tag w:val="_GBC_29d0c5a1588a4f6589b1f8148c9ef180"/>
            <w:id w:val="554518953"/>
            <w:lock w:val="sdtLocked"/>
            <w:placeholder>
              <w:docPart w:val="GBC22222222222222222222222222222"/>
            </w:placeholder>
          </w:sdtPr>
          <w:sdtEndPr/>
          <w:sdtContent>
            <w:p w14:paraId="19BEF1EC"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539D16" w14:textId="77777777" w:rsidR="00D21C1F" w:rsidRDefault="00A42880">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c65b82e3cfaf4fde8d75eac8c9a6e9f9"/>
              <w:id w:val="890776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其他应收款坏账准备调节表"/>
              <w:tag w:val="_GBC_08cd78a434cc441cbfff10030c5a8719"/>
              <w:id w:val="11255739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701"/>
            <w:gridCol w:w="1613"/>
            <w:gridCol w:w="1765"/>
            <w:gridCol w:w="1765"/>
          </w:tblGrid>
          <w:tr w:rsidR="00D21C1F" w14:paraId="2D601947" w14:textId="77777777">
            <w:sdt>
              <w:sdtPr>
                <w:rPr>
                  <w:rFonts w:ascii="宋体" w:eastAsia="宋体" w:hAnsi="宋体"/>
                </w:rPr>
                <w:tag w:val="_PLD_0df16deeb9614db49d9aa88a31229d9a"/>
                <w:id w:val="575249675"/>
                <w:lock w:val="sdtLocked"/>
              </w:sdtPr>
              <w:sdtEndPr/>
              <w:sdtContent>
                <w:tc>
                  <w:tcPr>
                    <w:tcW w:w="1122" w:type="pct"/>
                    <w:vMerge w:val="restart"/>
                    <w:vAlign w:val="center"/>
                  </w:tcPr>
                  <w:p w14:paraId="1BBE313B"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159976511"/>
                <w:lock w:val="sdtLocked"/>
              </w:sdtPr>
              <w:sdtEndPr/>
              <w:sdtContent>
                <w:tc>
                  <w:tcPr>
                    <w:tcW w:w="964" w:type="pct"/>
                    <w:vAlign w:val="center"/>
                  </w:tcPr>
                  <w:p w14:paraId="6A736EE9"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674151492"/>
                <w:lock w:val="sdtLocked"/>
              </w:sdtPr>
              <w:sdtEndPr/>
              <w:sdtContent>
                <w:tc>
                  <w:tcPr>
                    <w:tcW w:w="914" w:type="pct"/>
                    <w:vAlign w:val="center"/>
                  </w:tcPr>
                  <w:p w14:paraId="6972CF9C"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246800348"/>
                <w:lock w:val="sdtLocked"/>
              </w:sdtPr>
              <w:sdtEndPr/>
              <w:sdtContent>
                <w:tc>
                  <w:tcPr>
                    <w:tcW w:w="1000" w:type="pct"/>
                    <w:vAlign w:val="center"/>
                  </w:tcPr>
                  <w:p w14:paraId="7493943F"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1184859325"/>
                <w:lock w:val="sdtLocked"/>
              </w:sdtPr>
              <w:sdtEndPr/>
              <w:sdtContent>
                <w:tc>
                  <w:tcPr>
                    <w:tcW w:w="1000" w:type="pct"/>
                    <w:vMerge w:val="restart"/>
                    <w:vAlign w:val="center"/>
                  </w:tcPr>
                  <w:p w14:paraId="5CAB2966"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D21C1F" w14:paraId="4167E150" w14:textId="77777777">
            <w:tc>
              <w:tcPr>
                <w:tcW w:w="1122" w:type="pct"/>
                <w:vMerge/>
                <w:vAlign w:val="center"/>
              </w:tcPr>
              <w:p w14:paraId="5AB68FDC" w14:textId="77777777" w:rsidR="00D21C1F" w:rsidRDefault="00D21C1F">
                <w:pPr>
                  <w:jc w:val="center"/>
                  <w:rPr>
                    <w:color w:val="008000"/>
                    <w:szCs w:val="21"/>
                  </w:rPr>
                </w:pPr>
              </w:p>
            </w:tc>
            <w:sdt>
              <w:sdtPr>
                <w:rPr>
                  <w:rFonts w:ascii="宋体" w:eastAsia="宋体" w:hAnsi="宋体"/>
                </w:rPr>
                <w:tag w:val="_PLD_08f8b6a1fd974f0d8ae0c04f27849740"/>
                <w:id w:val="-1747339379"/>
                <w:lock w:val="sdtLocked"/>
              </w:sdtPr>
              <w:sdtEndPr/>
              <w:sdtContent>
                <w:tc>
                  <w:tcPr>
                    <w:tcW w:w="964" w:type="pct"/>
                    <w:vAlign w:val="center"/>
                  </w:tcPr>
                  <w:p w14:paraId="28B9C74F"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w:t>
                    </w:r>
                    <w:r>
                      <w:rPr>
                        <w:rFonts w:ascii="Times New Roman" w:eastAsia="宋体" w:hAnsi="Times New Roman" w:cs="宋体" w:hint="eastAsia"/>
                        <w:sz w:val="21"/>
                        <w:szCs w:val="21"/>
                        <w:lang w:eastAsia="zh-CN"/>
                      </w:rPr>
                      <w:t>12</w:t>
                    </w:r>
                    <w:r>
                      <w:rPr>
                        <w:rFonts w:ascii="宋体" w:eastAsia="宋体" w:hAnsi="宋体" w:cs="宋体" w:hint="eastAsia"/>
                        <w:sz w:val="21"/>
                        <w:szCs w:val="21"/>
                        <w:lang w:eastAsia="zh-CN"/>
                      </w:rPr>
                      <w:t>个月预期信用损失</w:t>
                    </w:r>
                  </w:p>
                </w:tc>
              </w:sdtContent>
            </w:sdt>
            <w:sdt>
              <w:sdtPr>
                <w:rPr>
                  <w:rFonts w:ascii="宋体" w:eastAsia="宋体" w:hAnsi="宋体"/>
                </w:rPr>
                <w:tag w:val="_PLD_c85cfe8f6d6a4ab0af13d30e76cd7800"/>
                <w:id w:val="303054969"/>
                <w:lock w:val="sdtLocked"/>
              </w:sdtPr>
              <w:sdtEndPr/>
              <w:sdtContent>
                <w:tc>
                  <w:tcPr>
                    <w:tcW w:w="914" w:type="pct"/>
                    <w:vAlign w:val="center"/>
                  </w:tcPr>
                  <w:p w14:paraId="7A1FFA1D"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1444453276"/>
                <w:lock w:val="sdtLocked"/>
              </w:sdtPr>
              <w:sdtEndPr/>
              <w:sdtContent>
                <w:tc>
                  <w:tcPr>
                    <w:tcW w:w="1000" w:type="pct"/>
                    <w:vAlign w:val="center"/>
                  </w:tcPr>
                  <w:p w14:paraId="37CB1143"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1000" w:type="pct"/>
                <w:vMerge/>
              </w:tcPr>
              <w:p w14:paraId="04621262" w14:textId="77777777" w:rsidR="00D21C1F" w:rsidRDefault="00D21C1F">
                <w:pPr>
                  <w:jc w:val="center"/>
                  <w:rPr>
                    <w:color w:val="008000"/>
                    <w:szCs w:val="21"/>
                  </w:rPr>
                </w:pPr>
              </w:p>
            </w:tc>
          </w:tr>
          <w:tr w:rsidR="00D21C1F" w14:paraId="1F4396F4" w14:textId="77777777">
            <w:sdt>
              <w:sdtPr>
                <w:rPr>
                  <w:rFonts w:ascii="宋体" w:eastAsia="宋体" w:hAnsi="宋体"/>
                </w:rPr>
                <w:tag w:val="_PLD_2d320061b2c04b43aa4ffcb4160cc3e9"/>
                <w:id w:val="-1442529891"/>
                <w:lock w:val="sdtLocked"/>
              </w:sdtPr>
              <w:sdtEndPr/>
              <w:sdtContent>
                <w:tc>
                  <w:tcPr>
                    <w:tcW w:w="1122" w:type="pct"/>
                    <w:vAlign w:val="center"/>
                  </w:tcPr>
                  <w:p w14:paraId="493B9E3E" w14:textId="77777777" w:rsidR="00D21C1F" w:rsidRDefault="00A42880">
                    <w:pPr>
                      <w:pStyle w:val="130"/>
                      <w:spacing w:after="0" w:line="240" w:lineRule="auto"/>
                      <w:jc w:val="both"/>
                      <w:rPr>
                        <w:rFonts w:ascii="宋体" w:eastAsia="宋体" w:hAnsi="宋体" w:cs="宋体"/>
                        <w:sz w:val="21"/>
                        <w:szCs w:val="21"/>
                        <w:lang w:eastAsia="zh-CN"/>
                      </w:rPr>
                    </w:pPr>
                    <w:r>
                      <w:rPr>
                        <w:rFonts w:ascii="Times New Roman" w:eastAsia="宋体" w:hAnsi="Times New Roman" w:cs="宋体"/>
                        <w:sz w:val="21"/>
                        <w:szCs w:val="21"/>
                        <w:lang w:eastAsia="zh-CN"/>
                      </w:rPr>
                      <w:t>2021</w:t>
                    </w:r>
                    <w:r>
                      <w:rPr>
                        <w:rFonts w:ascii="宋体" w:eastAsia="宋体" w:hAnsi="宋体" w:cs="宋体"/>
                        <w:sz w:val="21"/>
                        <w:szCs w:val="21"/>
                        <w:lang w:eastAsia="zh-CN"/>
                      </w:rPr>
                      <w:t>年</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月</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日余额</w:t>
                    </w:r>
                  </w:p>
                </w:tc>
              </w:sdtContent>
            </w:sdt>
            <w:tc>
              <w:tcPr>
                <w:tcW w:w="964" w:type="pct"/>
                <w:vAlign w:val="bottom"/>
              </w:tcPr>
              <w:p w14:paraId="0F3284BF"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2,882,206.09</w:t>
                </w:r>
              </w:p>
            </w:tc>
            <w:tc>
              <w:tcPr>
                <w:tcW w:w="914" w:type="pct"/>
                <w:vAlign w:val="bottom"/>
              </w:tcPr>
              <w:p w14:paraId="201B4D29"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1000" w:type="pct"/>
                <w:vAlign w:val="bottom"/>
              </w:tcPr>
              <w:p w14:paraId="526BD318"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3,595,940.92</w:t>
                </w:r>
              </w:p>
            </w:tc>
            <w:tc>
              <w:tcPr>
                <w:tcW w:w="1000" w:type="pct"/>
                <w:vAlign w:val="bottom"/>
              </w:tcPr>
              <w:p w14:paraId="0D8E1836"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6,478,147.01</w:t>
                </w:r>
              </w:p>
            </w:tc>
          </w:tr>
          <w:tr w:rsidR="00D21C1F" w14:paraId="3E79DEED" w14:textId="77777777">
            <w:sdt>
              <w:sdtPr>
                <w:rPr>
                  <w:rFonts w:ascii="宋体" w:eastAsia="宋体" w:hAnsi="宋体"/>
                </w:rPr>
                <w:tag w:val="_PLD_87947ae743a54051a279d9db76e17d3e"/>
                <w:id w:val="-1985384420"/>
                <w:lock w:val="sdtLocked"/>
              </w:sdtPr>
              <w:sdtEndPr/>
              <w:sdtContent>
                <w:tc>
                  <w:tcPr>
                    <w:tcW w:w="1122" w:type="pct"/>
                    <w:vAlign w:val="center"/>
                  </w:tcPr>
                  <w:p w14:paraId="7F02BF1E" w14:textId="77777777" w:rsidR="00D21C1F" w:rsidRDefault="00A42880">
                    <w:pPr>
                      <w:pStyle w:val="130"/>
                      <w:spacing w:after="0" w:line="240" w:lineRule="auto"/>
                      <w:jc w:val="both"/>
                      <w:rPr>
                        <w:rFonts w:ascii="宋体" w:eastAsia="宋体" w:hAnsi="宋体" w:cs="宋体"/>
                        <w:sz w:val="21"/>
                        <w:szCs w:val="21"/>
                        <w:lang w:eastAsia="zh-CN"/>
                      </w:rPr>
                    </w:pPr>
                    <w:r>
                      <w:rPr>
                        <w:rFonts w:ascii="Times New Roman" w:eastAsia="宋体" w:hAnsi="Times New Roman" w:cs="宋体" w:hint="eastAsia"/>
                        <w:sz w:val="21"/>
                        <w:szCs w:val="21"/>
                        <w:lang w:eastAsia="zh-CN"/>
                      </w:rPr>
                      <w:t>2021</w:t>
                    </w:r>
                    <w:r>
                      <w:rPr>
                        <w:rFonts w:ascii="宋体" w:eastAsia="宋体" w:hAnsi="宋体" w:cs="宋体" w:hint="eastAsia"/>
                        <w:sz w:val="21"/>
                        <w:szCs w:val="21"/>
                        <w:lang w:eastAsia="zh-CN"/>
                      </w:rPr>
                      <w:t>年</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月</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日余额在本期</w:t>
                    </w:r>
                  </w:p>
                </w:tc>
              </w:sdtContent>
            </w:sdt>
            <w:tc>
              <w:tcPr>
                <w:tcW w:w="964" w:type="pct"/>
                <w:vAlign w:val="bottom"/>
              </w:tcPr>
              <w:p w14:paraId="276ACFBF" w14:textId="77777777" w:rsidR="00D21C1F" w:rsidRPr="00F447CE" w:rsidRDefault="00D21C1F">
                <w:pPr>
                  <w:jc w:val="right"/>
                  <w:rPr>
                    <w:rFonts w:ascii="Times New Roman" w:hAnsi="Times New Roman" w:cs="Times New Roman"/>
                    <w:szCs w:val="21"/>
                  </w:rPr>
                </w:pPr>
              </w:p>
            </w:tc>
            <w:tc>
              <w:tcPr>
                <w:tcW w:w="914" w:type="pct"/>
                <w:vAlign w:val="bottom"/>
              </w:tcPr>
              <w:p w14:paraId="47B090F4" w14:textId="77777777" w:rsidR="00D21C1F" w:rsidRPr="00F447CE" w:rsidRDefault="00D21C1F">
                <w:pPr>
                  <w:jc w:val="right"/>
                  <w:rPr>
                    <w:rFonts w:ascii="Times New Roman" w:hAnsi="Times New Roman" w:cs="Times New Roman"/>
                    <w:szCs w:val="21"/>
                  </w:rPr>
                </w:pPr>
              </w:p>
            </w:tc>
            <w:tc>
              <w:tcPr>
                <w:tcW w:w="1000" w:type="pct"/>
                <w:vAlign w:val="bottom"/>
              </w:tcPr>
              <w:p w14:paraId="5BB5ADD1" w14:textId="77777777" w:rsidR="00D21C1F" w:rsidRPr="00F447CE" w:rsidRDefault="00D21C1F">
                <w:pPr>
                  <w:jc w:val="right"/>
                  <w:rPr>
                    <w:rFonts w:ascii="Times New Roman" w:hAnsi="Times New Roman" w:cs="Times New Roman"/>
                    <w:szCs w:val="21"/>
                  </w:rPr>
                </w:pPr>
              </w:p>
            </w:tc>
            <w:tc>
              <w:tcPr>
                <w:tcW w:w="1000" w:type="pct"/>
                <w:vAlign w:val="bottom"/>
              </w:tcPr>
              <w:p w14:paraId="63DA0836" w14:textId="77777777" w:rsidR="00D21C1F" w:rsidRPr="00F447CE" w:rsidRDefault="00D21C1F">
                <w:pPr>
                  <w:jc w:val="right"/>
                  <w:rPr>
                    <w:rFonts w:ascii="Times New Roman" w:hAnsi="Times New Roman" w:cs="Times New Roman"/>
                    <w:szCs w:val="21"/>
                  </w:rPr>
                </w:pPr>
              </w:p>
            </w:tc>
          </w:tr>
          <w:tr w:rsidR="00D21C1F" w14:paraId="151C2006" w14:textId="77777777">
            <w:sdt>
              <w:sdtPr>
                <w:rPr>
                  <w:rFonts w:ascii="宋体" w:eastAsia="宋体" w:hAnsi="宋体"/>
                </w:rPr>
                <w:tag w:val="_PLD_038143b9e2e34542b73dcfc1430d95cc"/>
                <w:id w:val="736818570"/>
                <w:lock w:val="sdtLocked"/>
              </w:sdtPr>
              <w:sdtEndPr/>
              <w:sdtContent>
                <w:tc>
                  <w:tcPr>
                    <w:tcW w:w="1122" w:type="pct"/>
                    <w:vAlign w:val="center"/>
                  </w:tcPr>
                  <w:p w14:paraId="646A05BC"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64" w:type="pct"/>
                <w:vAlign w:val="bottom"/>
              </w:tcPr>
              <w:p w14:paraId="526ADCC1" w14:textId="77777777" w:rsidR="00D21C1F" w:rsidRPr="00F447CE" w:rsidRDefault="00D21C1F">
                <w:pPr>
                  <w:jc w:val="right"/>
                  <w:rPr>
                    <w:rFonts w:ascii="Times New Roman" w:hAnsi="Times New Roman" w:cs="Times New Roman"/>
                    <w:szCs w:val="21"/>
                  </w:rPr>
                </w:pPr>
              </w:p>
            </w:tc>
            <w:tc>
              <w:tcPr>
                <w:tcW w:w="914" w:type="pct"/>
                <w:vAlign w:val="bottom"/>
              </w:tcPr>
              <w:p w14:paraId="68A3C1AF" w14:textId="77777777" w:rsidR="00D21C1F" w:rsidRPr="00F447CE" w:rsidRDefault="00D21C1F">
                <w:pPr>
                  <w:jc w:val="right"/>
                  <w:rPr>
                    <w:rFonts w:ascii="Times New Roman" w:hAnsi="Times New Roman" w:cs="Times New Roman"/>
                    <w:szCs w:val="21"/>
                  </w:rPr>
                </w:pPr>
              </w:p>
            </w:tc>
            <w:tc>
              <w:tcPr>
                <w:tcW w:w="1000" w:type="pct"/>
                <w:vAlign w:val="bottom"/>
              </w:tcPr>
              <w:p w14:paraId="6D4A5427" w14:textId="77777777" w:rsidR="00D21C1F" w:rsidRPr="00F447CE" w:rsidRDefault="00D21C1F">
                <w:pPr>
                  <w:jc w:val="right"/>
                  <w:rPr>
                    <w:rFonts w:ascii="Times New Roman" w:hAnsi="Times New Roman" w:cs="Times New Roman"/>
                    <w:szCs w:val="21"/>
                  </w:rPr>
                </w:pPr>
              </w:p>
            </w:tc>
            <w:tc>
              <w:tcPr>
                <w:tcW w:w="1000" w:type="pct"/>
                <w:vAlign w:val="bottom"/>
              </w:tcPr>
              <w:p w14:paraId="578B467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r>
          <w:tr w:rsidR="00D21C1F" w14:paraId="50DFE502" w14:textId="77777777">
            <w:sdt>
              <w:sdtPr>
                <w:rPr>
                  <w:rFonts w:ascii="宋体" w:eastAsia="宋体" w:hAnsi="宋体"/>
                </w:rPr>
                <w:tag w:val="_PLD_a76d00fce3fe4d29be0ddd475d30b2c0"/>
                <w:id w:val="662428625"/>
                <w:lock w:val="sdtLocked"/>
              </w:sdtPr>
              <w:sdtEndPr/>
              <w:sdtContent>
                <w:tc>
                  <w:tcPr>
                    <w:tcW w:w="1122" w:type="pct"/>
                    <w:vAlign w:val="center"/>
                  </w:tcPr>
                  <w:p w14:paraId="73054E42"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64" w:type="pct"/>
                <w:vAlign w:val="bottom"/>
              </w:tcPr>
              <w:p w14:paraId="2D983024" w14:textId="77777777" w:rsidR="00D21C1F" w:rsidRPr="00F447CE" w:rsidRDefault="00D21C1F">
                <w:pPr>
                  <w:jc w:val="right"/>
                  <w:rPr>
                    <w:rFonts w:ascii="Times New Roman" w:hAnsi="Times New Roman" w:cs="Times New Roman"/>
                    <w:szCs w:val="21"/>
                  </w:rPr>
                </w:pPr>
              </w:p>
            </w:tc>
            <w:tc>
              <w:tcPr>
                <w:tcW w:w="914" w:type="pct"/>
                <w:vAlign w:val="bottom"/>
              </w:tcPr>
              <w:p w14:paraId="427B99CA" w14:textId="77777777" w:rsidR="00D21C1F" w:rsidRPr="00F447CE" w:rsidRDefault="00D21C1F">
                <w:pPr>
                  <w:jc w:val="right"/>
                  <w:rPr>
                    <w:rFonts w:ascii="Times New Roman" w:hAnsi="Times New Roman" w:cs="Times New Roman"/>
                    <w:szCs w:val="21"/>
                  </w:rPr>
                </w:pPr>
              </w:p>
            </w:tc>
            <w:tc>
              <w:tcPr>
                <w:tcW w:w="1000" w:type="pct"/>
                <w:vAlign w:val="bottom"/>
              </w:tcPr>
              <w:p w14:paraId="1AC7A384" w14:textId="77777777" w:rsidR="00D21C1F" w:rsidRPr="00F447CE" w:rsidRDefault="00D21C1F">
                <w:pPr>
                  <w:jc w:val="right"/>
                  <w:rPr>
                    <w:rFonts w:ascii="Times New Roman" w:hAnsi="Times New Roman" w:cs="Times New Roman"/>
                    <w:szCs w:val="21"/>
                  </w:rPr>
                </w:pPr>
              </w:p>
            </w:tc>
            <w:tc>
              <w:tcPr>
                <w:tcW w:w="1000" w:type="pct"/>
                <w:vAlign w:val="bottom"/>
              </w:tcPr>
              <w:p w14:paraId="77D8BD37"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r>
          <w:tr w:rsidR="00D21C1F" w14:paraId="2C648D2C" w14:textId="77777777">
            <w:sdt>
              <w:sdtPr>
                <w:rPr>
                  <w:rFonts w:ascii="宋体" w:eastAsia="宋体" w:hAnsi="宋体"/>
                </w:rPr>
                <w:tag w:val="_PLD_7f587129b9194265b30ab5ac06c73ae1"/>
                <w:id w:val="1371258097"/>
                <w:lock w:val="sdtLocked"/>
              </w:sdtPr>
              <w:sdtEndPr/>
              <w:sdtContent>
                <w:tc>
                  <w:tcPr>
                    <w:tcW w:w="1122" w:type="pct"/>
                    <w:vAlign w:val="center"/>
                  </w:tcPr>
                  <w:p w14:paraId="38616BA6"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64" w:type="pct"/>
                <w:vAlign w:val="bottom"/>
              </w:tcPr>
              <w:p w14:paraId="0C6B84B1" w14:textId="77777777" w:rsidR="00D21C1F" w:rsidRPr="00F447CE" w:rsidRDefault="00D21C1F">
                <w:pPr>
                  <w:jc w:val="right"/>
                  <w:rPr>
                    <w:rFonts w:ascii="Times New Roman" w:hAnsi="Times New Roman" w:cs="Times New Roman"/>
                    <w:szCs w:val="21"/>
                  </w:rPr>
                </w:pPr>
              </w:p>
            </w:tc>
            <w:tc>
              <w:tcPr>
                <w:tcW w:w="914" w:type="pct"/>
                <w:vAlign w:val="bottom"/>
              </w:tcPr>
              <w:p w14:paraId="13CE356C" w14:textId="77777777" w:rsidR="00D21C1F" w:rsidRPr="00F447CE" w:rsidRDefault="00D21C1F">
                <w:pPr>
                  <w:jc w:val="right"/>
                  <w:rPr>
                    <w:rFonts w:ascii="Times New Roman" w:hAnsi="Times New Roman" w:cs="Times New Roman"/>
                    <w:szCs w:val="21"/>
                  </w:rPr>
                </w:pPr>
              </w:p>
            </w:tc>
            <w:tc>
              <w:tcPr>
                <w:tcW w:w="1000" w:type="pct"/>
                <w:vAlign w:val="bottom"/>
              </w:tcPr>
              <w:p w14:paraId="68E42FC5" w14:textId="77777777" w:rsidR="00D21C1F" w:rsidRPr="00F447CE" w:rsidRDefault="00D21C1F">
                <w:pPr>
                  <w:jc w:val="right"/>
                  <w:rPr>
                    <w:rFonts w:ascii="Times New Roman" w:hAnsi="Times New Roman" w:cs="Times New Roman"/>
                    <w:szCs w:val="21"/>
                  </w:rPr>
                </w:pPr>
              </w:p>
            </w:tc>
            <w:tc>
              <w:tcPr>
                <w:tcW w:w="1000" w:type="pct"/>
                <w:vAlign w:val="bottom"/>
              </w:tcPr>
              <w:p w14:paraId="150999F8"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r>
          <w:tr w:rsidR="00D21C1F" w14:paraId="2A594F56" w14:textId="77777777">
            <w:sdt>
              <w:sdtPr>
                <w:rPr>
                  <w:rFonts w:ascii="宋体" w:eastAsia="宋体" w:hAnsi="宋体"/>
                </w:rPr>
                <w:tag w:val="_PLD_7b7c467e47354ee5a30772a2b1c39114"/>
                <w:id w:val="-764616698"/>
                <w:lock w:val="sdtLocked"/>
              </w:sdtPr>
              <w:sdtEndPr/>
              <w:sdtContent>
                <w:tc>
                  <w:tcPr>
                    <w:tcW w:w="1122" w:type="pct"/>
                    <w:vAlign w:val="center"/>
                  </w:tcPr>
                  <w:p w14:paraId="28888ECD"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64" w:type="pct"/>
                <w:vAlign w:val="bottom"/>
              </w:tcPr>
              <w:p w14:paraId="19DB22B2" w14:textId="77777777" w:rsidR="00D21C1F" w:rsidRPr="00F447CE" w:rsidRDefault="00D21C1F">
                <w:pPr>
                  <w:jc w:val="right"/>
                  <w:rPr>
                    <w:rFonts w:ascii="Times New Roman" w:hAnsi="Times New Roman" w:cs="Times New Roman"/>
                    <w:szCs w:val="21"/>
                  </w:rPr>
                </w:pPr>
              </w:p>
            </w:tc>
            <w:tc>
              <w:tcPr>
                <w:tcW w:w="914" w:type="pct"/>
                <w:vAlign w:val="bottom"/>
              </w:tcPr>
              <w:p w14:paraId="06CEC070" w14:textId="77777777" w:rsidR="00D21C1F" w:rsidRPr="00F447CE" w:rsidRDefault="00D21C1F">
                <w:pPr>
                  <w:jc w:val="right"/>
                  <w:rPr>
                    <w:rFonts w:ascii="Times New Roman" w:hAnsi="Times New Roman" w:cs="Times New Roman"/>
                    <w:szCs w:val="21"/>
                  </w:rPr>
                </w:pPr>
              </w:p>
            </w:tc>
            <w:tc>
              <w:tcPr>
                <w:tcW w:w="1000" w:type="pct"/>
                <w:vAlign w:val="bottom"/>
              </w:tcPr>
              <w:p w14:paraId="44B93DE3" w14:textId="77777777" w:rsidR="00D21C1F" w:rsidRPr="00F447CE" w:rsidRDefault="00D21C1F">
                <w:pPr>
                  <w:jc w:val="right"/>
                  <w:rPr>
                    <w:rFonts w:ascii="Times New Roman" w:hAnsi="Times New Roman" w:cs="Times New Roman"/>
                    <w:szCs w:val="21"/>
                  </w:rPr>
                </w:pPr>
              </w:p>
            </w:tc>
            <w:tc>
              <w:tcPr>
                <w:tcW w:w="1000" w:type="pct"/>
                <w:vAlign w:val="bottom"/>
              </w:tcPr>
              <w:p w14:paraId="118805F5"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r>
          <w:tr w:rsidR="00D21C1F" w14:paraId="223FB031" w14:textId="77777777">
            <w:sdt>
              <w:sdtPr>
                <w:rPr>
                  <w:rFonts w:ascii="宋体" w:eastAsia="宋体" w:hAnsi="宋体"/>
                </w:rPr>
                <w:tag w:val="_PLD_539b03f459c4452c8b986b7b696cbc3f"/>
                <w:id w:val="-1229072322"/>
                <w:lock w:val="sdtLocked"/>
              </w:sdtPr>
              <w:sdtEndPr/>
              <w:sdtContent>
                <w:tc>
                  <w:tcPr>
                    <w:tcW w:w="1122" w:type="pct"/>
                    <w:vAlign w:val="center"/>
                  </w:tcPr>
                  <w:p w14:paraId="3F456D16"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64" w:type="pct"/>
                <w:vAlign w:val="bottom"/>
              </w:tcPr>
              <w:p w14:paraId="6576AC79"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199,015.53</w:t>
                </w:r>
              </w:p>
            </w:tc>
            <w:tc>
              <w:tcPr>
                <w:tcW w:w="914" w:type="pct"/>
                <w:vAlign w:val="bottom"/>
              </w:tcPr>
              <w:p w14:paraId="14C382BD" w14:textId="77777777" w:rsidR="00D21C1F" w:rsidRPr="00F447CE" w:rsidRDefault="00D21C1F">
                <w:pPr>
                  <w:jc w:val="right"/>
                  <w:rPr>
                    <w:rFonts w:ascii="Times New Roman" w:hAnsi="Times New Roman" w:cs="Times New Roman"/>
                    <w:szCs w:val="21"/>
                  </w:rPr>
                </w:pPr>
              </w:p>
            </w:tc>
            <w:tc>
              <w:tcPr>
                <w:tcW w:w="1000" w:type="pct"/>
                <w:vAlign w:val="bottom"/>
              </w:tcPr>
              <w:p w14:paraId="2B7B4BE7" w14:textId="77777777" w:rsidR="00D21C1F" w:rsidRPr="00F447CE" w:rsidRDefault="00D21C1F">
                <w:pPr>
                  <w:jc w:val="right"/>
                  <w:rPr>
                    <w:rFonts w:ascii="Times New Roman" w:hAnsi="Times New Roman" w:cs="Times New Roman"/>
                    <w:szCs w:val="21"/>
                  </w:rPr>
                </w:pPr>
              </w:p>
            </w:tc>
            <w:tc>
              <w:tcPr>
                <w:tcW w:w="1000" w:type="pct"/>
                <w:vAlign w:val="bottom"/>
              </w:tcPr>
              <w:p w14:paraId="341B9C15"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199,015.53</w:t>
                </w:r>
              </w:p>
            </w:tc>
          </w:tr>
          <w:tr w:rsidR="00D21C1F" w14:paraId="739F12B4" w14:textId="77777777">
            <w:tc>
              <w:tcPr>
                <w:tcW w:w="1122" w:type="pct"/>
                <w:vAlign w:val="center"/>
              </w:tcPr>
              <w:sdt>
                <w:sdtPr>
                  <w:rPr>
                    <w:rFonts w:ascii="宋体" w:eastAsia="宋体" w:hAnsi="宋体" w:hint="eastAsia"/>
                    <w:sz w:val="21"/>
                    <w:szCs w:val="21"/>
                    <w:lang w:eastAsia="zh-CN"/>
                  </w:rPr>
                  <w:tag w:val="_PLD_ddcd4306bc5c4cc89da3fd6a733c0801"/>
                  <w:id w:val="667601360"/>
                  <w:lock w:val="sdtLocked"/>
                </w:sdtPr>
                <w:sdtEndPr/>
                <w:sdtContent>
                  <w:p w14:paraId="0057041F" w14:textId="77777777" w:rsidR="00D21C1F" w:rsidRDefault="00A42880">
                    <w:pPr>
                      <w:pStyle w:val="130"/>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964" w:type="pct"/>
                <w:vAlign w:val="bottom"/>
              </w:tcPr>
              <w:p w14:paraId="2545D535" w14:textId="77777777" w:rsidR="00D21C1F" w:rsidRPr="00F447CE" w:rsidRDefault="00D21C1F">
                <w:pPr>
                  <w:jc w:val="right"/>
                  <w:rPr>
                    <w:rFonts w:ascii="Times New Roman" w:hAnsi="Times New Roman" w:cs="Times New Roman"/>
                    <w:szCs w:val="21"/>
                  </w:rPr>
                </w:pPr>
              </w:p>
            </w:tc>
            <w:tc>
              <w:tcPr>
                <w:tcW w:w="914" w:type="pct"/>
                <w:vAlign w:val="bottom"/>
              </w:tcPr>
              <w:p w14:paraId="031111B9" w14:textId="77777777" w:rsidR="00D21C1F" w:rsidRPr="00F447CE" w:rsidRDefault="00D21C1F">
                <w:pPr>
                  <w:jc w:val="right"/>
                  <w:rPr>
                    <w:rFonts w:ascii="Times New Roman" w:hAnsi="Times New Roman" w:cs="Times New Roman"/>
                    <w:szCs w:val="21"/>
                  </w:rPr>
                </w:pPr>
              </w:p>
            </w:tc>
            <w:tc>
              <w:tcPr>
                <w:tcW w:w="1000" w:type="pct"/>
                <w:vAlign w:val="bottom"/>
              </w:tcPr>
              <w:p w14:paraId="40E1A24D" w14:textId="77777777" w:rsidR="00D21C1F" w:rsidRPr="00F447CE" w:rsidRDefault="00D21C1F">
                <w:pPr>
                  <w:jc w:val="right"/>
                  <w:rPr>
                    <w:rFonts w:ascii="Times New Roman" w:hAnsi="Times New Roman" w:cs="Times New Roman"/>
                    <w:szCs w:val="21"/>
                  </w:rPr>
                </w:pPr>
              </w:p>
            </w:tc>
            <w:tc>
              <w:tcPr>
                <w:tcW w:w="1000" w:type="pct"/>
                <w:vAlign w:val="bottom"/>
              </w:tcPr>
              <w:p w14:paraId="2B1C3161"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r>
          <w:tr w:rsidR="00D21C1F" w14:paraId="4D514C42" w14:textId="77777777">
            <w:sdt>
              <w:sdtPr>
                <w:rPr>
                  <w:rFonts w:ascii="宋体" w:eastAsia="宋体" w:hAnsi="宋体"/>
                </w:rPr>
                <w:tag w:val="_PLD_1c4657ced479496a86e3dc375f285889"/>
                <w:id w:val="-1787490725"/>
                <w:lock w:val="sdtLocked"/>
              </w:sdtPr>
              <w:sdtEndPr/>
              <w:sdtContent>
                <w:tc>
                  <w:tcPr>
                    <w:tcW w:w="1122" w:type="pct"/>
                    <w:vAlign w:val="center"/>
                  </w:tcPr>
                  <w:p w14:paraId="389D73A2"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64" w:type="pct"/>
                <w:vAlign w:val="bottom"/>
              </w:tcPr>
              <w:p w14:paraId="0B69EB97" w14:textId="77777777" w:rsidR="00D21C1F" w:rsidRPr="00F447CE" w:rsidRDefault="00D21C1F">
                <w:pPr>
                  <w:jc w:val="right"/>
                  <w:rPr>
                    <w:rFonts w:ascii="Times New Roman" w:hAnsi="Times New Roman" w:cs="Times New Roman"/>
                    <w:szCs w:val="21"/>
                  </w:rPr>
                </w:pPr>
              </w:p>
            </w:tc>
            <w:tc>
              <w:tcPr>
                <w:tcW w:w="914" w:type="pct"/>
                <w:vAlign w:val="bottom"/>
              </w:tcPr>
              <w:p w14:paraId="797FBC3F" w14:textId="77777777" w:rsidR="00D21C1F" w:rsidRPr="00F447CE" w:rsidRDefault="00D21C1F">
                <w:pPr>
                  <w:jc w:val="right"/>
                  <w:rPr>
                    <w:rFonts w:ascii="Times New Roman" w:hAnsi="Times New Roman" w:cs="Times New Roman"/>
                    <w:szCs w:val="21"/>
                  </w:rPr>
                </w:pPr>
              </w:p>
            </w:tc>
            <w:tc>
              <w:tcPr>
                <w:tcW w:w="1000" w:type="pct"/>
                <w:vAlign w:val="bottom"/>
              </w:tcPr>
              <w:p w14:paraId="3465A629" w14:textId="77777777" w:rsidR="00D21C1F" w:rsidRPr="00F447CE" w:rsidRDefault="00D21C1F">
                <w:pPr>
                  <w:jc w:val="right"/>
                  <w:rPr>
                    <w:rFonts w:ascii="Times New Roman" w:hAnsi="Times New Roman" w:cs="Times New Roman"/>
                    <w:szCs w:val="21"/>
                  </w:rPr>
                </w:pPr>
              </w:p>
            </w:tc>
            <w:tc>
              <w:tcPr>
                <w:tcW w:w="1000" w:type="pct"/>
                <w:vAlign w:val="bottom"/>
              </w:tcPr>
              <w:p w14:paraId="3AA454A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r>
          <w:tr w:rsidR="00D21C1F" w14:paraId="6B9616AD" w14:textId="77777777">
            <w:tc>
              <w:tcPr>
                <w:tcW w:w="1122" w:type="pct"/>
                <w:vAlign w:val="center"/>
              </w:tcPr>
              <w:sdt>
                <w:sdtPr>
                  <w:rPr>
                    <w:rFonts w:ascii="宋体" w:eastAsia="宋体" w:hAnsi="宋体" w:hint="eastAsia"/>
                    <w:sz w:val="21"/>
                    <w:szCs w:val="21"/>
                    <w:lang w:eastAsia="zh-CN"/>
                  </w:rPr>
                  <w:tag w:val="_PLD_8a1f66e013df42ccbcaccfe3645b25ea"/>
                  <w:id w:val="151572122"/>
                  <w:lock w:val="sdtLocked"/>
                </w:sdtPr>
                <w:sdtEndPr/>
                <w:sdtContent>
                  <w:p w14:paraId="42E770E5" w14:textId="77777777" w:rsidR="00D21C1F" w:rsidRDefault="00A42880">
                    <w:pPr>
                      <w:pStyle w:val="130"/>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964" w:type="pct"/>
                <w:vAlign w:val="bottom"/>
              </w:tcPr>
              <w:p w14:paraId="43E2D0C4" w14:textId="77777777" w:rsidR="00D21C1F" w:rsidRPr="00F447CE" w:rsidRDefault="00D21C1F">
                <w:pPr>
                  <w:jc w:val="right"/>
                  <w:rPr>
                    <w:rFonts w:ascii="Times New Roman" w:hAnsi="Times New Roman" w:cs="Times New Roman"/>
                    <w:szCs w:val="21"/>
                  </w:rPr>
                </w:pPr>
              </w:p>
            </w:tc>
            <w:tc>
              <w:tcPr>
                <w:tcW w:w="914" w:type="pct"/>
                <w:vAlign w:val="bottom"/>
              </w:tcPr>
              <w:p w14:paraId="6F6FC54B" w14:textId="77777777" w:rsidR="00D21C1F" w:rsidRPr="00F447CE" w:rsidRDefault="00D21C1F">
                <w:pPr>
                  <w:jc w:val="right"/>
                  <w:rPr>
                    <w:rFonts w:ascii="Times New Roman" w:hAnsi="Times New Roman" w:cs="Times New Roman"/>
                    <w:szCs w:val="21"/>
                  </w:rPr>
                </w:pPr>
              </w:p>
            </w:tc>
            <w:tc>
              <w:tcPr>
                <w:tcW w:w="1000" w:type="pct"/>
                <w:vAlign w:val="bottom"/>
              </w:tcPr>
              <w:p w14:paraId="2DF0C323" w14:textId="77777777" w:rsidR="00D21C1F" w:rsidRPr="00F447CE" w:rsidRDefault="00D21C1F">
                <w:pPr>
                  <w:jc w:val="right"/>
                  <w:rPr>
                    <w:rFonts w:ascii="Times New Roman" w:hAnsi="Times New Roman" w:cs="Times New Roman"/>
                    <w:szCs w:val="21"/>
                  </w:rPr>
                </w:pPr>
              </w:p>
            </w:tc>
            <w:tc>
              <w:tcPr>
                <w:tcW w:w="1000" w:type="pct"/>
                <w:vAlign w:val="bottom"/>
              </w:tcPr>
              <w:p w14:paraId="087AD6FB"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r>
          <w:tr w:rsidR="00D21C1F" w14:paraId="4D10A8BD" w14:textId="77777777">
            <w:sdt>
              <w:sdtPr>
                <w:rPr>
                  <w:rFonts w:ascii="宋体" w:eastAsia="宋体" w:hAnsi="宋体"/>
                </w:rPr>
                <w:tag w:val="_PLD_80203c10cb0c468dbd7a48669ddd0f63"/>
                <w:id w:val="1337182869"/>
                <w:lock w:val="sdtLocked"/>
              </w:sdtPr>
              <w:sdtEndPr/>
              <w:sdtContent>
                <w:tc>
                  <w:tcPr>
                    <w:tcW w:w="1122" w:type="pct"/>
                    <w:vAlign w:val="center"/>
                  </w:tcPr>
                  <w:p w14:paraId="77F0CD3A"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64" w:type="pct"/>
                <w:vAlign w:val="bottom"/>
              </w:tcPr>
              <w:p w14:paraId="6BFE16F0" w14:textId="77777777" w:rsidR="00D21C1F" w:rsidRPr="00F447CE" w:rsidRDefault="00D21C1F">
                <w:pPr>
                  <w:jc w:val="right"/>
                  <w:rPr>
                    <w:rFonts w:ascii="Times New Roman" w:hAnsi="Times New Roman" w:cs="Times New Roman"/>
                    <w:szCs w:val="21"/>
                  </w:rPr>
                </w:pPr>
              </w:p>
            </w:tc>
            <w:tc>
              <w:tcPr>
                <w:tcW w:w="914" w:type="pct"/>
                <w:vAlign w:val="bottom"/>
              </w:tcPr>
              <w:p w14:paraId="0DC2F28C" w14:textId="77777777" w:rsidR="00D21C1F" w:rsidRPr="00F447CE" w:rsidRDefault="00D21C1F">
                <w:pPr>
                  <w:jc w:val="right"/>
                  <w:rPr>
                    <w:rFonts w:ascii="Times New Roman" w:hAnsi="Times New Roman" w:cs="Times New Roman"/>
                    <w:szCs w:val="21"/>
                  </w:rPr>
                </w:pPr>
              </w:p>
            </w:tc>
            <w:tc>
              <w:tcPr>
                <w:tcW w:w="1000" w:type="pct"/>
                <w:vAlign w:val="bottom"/>
              </w:tcPr>
              <w:p w14:paraId="0ADF93FE"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-91,125.21</w:t>
                </w:r>
              </w:p>
            </w:tc>
            <w:tc>
              <w:tcPr>
                <w:tcW w:w="1000" w:type="pct"/>
                <w:vAlign w:val="bottom"/>
              </w:tcPr>
              <w:p w14:paraId="3E3D346A"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-91,125.21</w:t>
                </w:r>
              </w:p>
            </w:tc>
          </w:tr>
          <w:tr w:rsidR="00D21C1F" w14:paraId="480C123C" w14:textId="77777777">
            <w:sdt>
              <w:sdtPr>
                <w:rPr>
                  <w:rFonts w:ascii="宋体" w:eastAsia="宋体" w:hAnsi="宋体"/>
                </w:rPr>
                <w:tag w:val="_PLD_bb669c94f1734a70be90735195c143c3"/>
                <w:id w:val="574791358"/>
                <w:lock w:val="sdtLocked"/>
              </w:sdtPr>
              <w:sdtEndPr/>
              <w:sdtContent>
                <w:tc>
                  <w:tcPr>
                    <w:tcW w:w="1122" w:type="pct"/>
                    <w:vAlign w:val="center"/>
                  </w:tcPr>
                  <w:p w14:paraId="13263986" w14:textId="77777777" w:rsidR="00D21C1F" w:rsidRDefault="00A42880">
                    <w:pPr>
                      <w:pStyle w:val="130"/>
                      <w:spacing w:after="0" w:line="240" w:lineRule="auto"/>
                      <w:rPr>
                        <w:rFonts w:ascii="宋体" w:eastAsia="宋体" w:hAnsi="宋体" w:cs="宋体"/>
                        <w:sz w:val="21"/>
                        <w:szCs w:val="21"/>
                        <w:lang w:eastAsia="zh-CN"/>
                      </w:rPr>
                    </w:pPr>
                    <w:r>
                      <w:rPr>
                        <w:rFonts w:ascii="Times New Roman" w:eastAsia="宋体" w:hAnsi="Times New Roman" w:cs="宋体"/>
                        <w:sz w:val="21"/>
                        <w:szCs w:val="21"/>
                        <w:lang w:eastAsia="zh-CN"/>
                      </w:rPr>
                      <w:t>2021</w:t>
                    </w:r>
                    <w:r>
                      <w:rPr>
                        <w:rFonts w:ascii="宋体" w:eastAsia="宋体" w:hAnsi="宋体" w:cs="宋体"/>
                        <w:sz w:val="21"/>
                        <w:szCs w:val="21"/>
                        <w:lang w:eastAsia="zh-CN"/>
                      </w:rPr>
                      <w:t>年</w:t>
                    </w:r>
                    <w:r>
                      <w:rPr>
                        <w:rFonts w:ascii="Times New Roman" w:eastAsia="宋体" w:hAnsi="Times New Roman" w:cs="宋体"/>
                        <w:sz w:val="21"/>
                        <w:szCs w:val="21"/>
                        <w:lang w:eastAsia="zh-CN"/>
                      </w:rPr>
                      <w:t>6</w:t>
                    </w:r>
                    <w:r>
                      <w:rPr>
                        <w:rFonts w:ascii="宋体" w:eastAsia="宋体" w:hAnsi="宋体" w:cs="宋体"/>
                        <w:sz w:val="21"/>
                        <w:szCs w:val="21"/>
                        <w:lang w:eastAsia="zh-CN"/>
                      </w:rPr>
                      <w:t>月</w:t>
                    </w:r>
                    <w:r>
                      <w:rPr>
                        <w:rFonts w:ascii="Times New Roman" w:eastAsia="宋体" w:hAnsi="Times New Roman" w:cs="宋体"/>
                        <w:sz w:val="21"/>
                        <w:szCs w:val="21"/>
                        <w:lang w:eastAsia="zh-CN"/>
                      </w:rPr>
                      <w:t>30</w:t>
                    </w:r>
                    <w:r>
                      <w:rPr>
                        <w:rFonts w:ascii="宋体" w:eastAsia="宋体" w:hAnsi="宋体" w:cs="宋体"/>
                        <w:sz w:val="21"/>
                        <w:szCs w:val="21"/>
                        <w:lang w:eastAsia="zh-CN"/>
                      </w:rPr>
                      <w:t>日</w:t>
                    </w:r>
                    <w:r>
                      <w:rPr>
                        <w:rFonts w:ascii="宋体" w:eastAsia="宋体" w:hAnsi="宋体" w:cs="宋体" w:hint="eastAsia"/>
                        <w:sz w:val="21"/>
                        <w:szCs w:val="21"/>
                        <w:lang w:eastAsia="zh-CN"/>
                      </w:rPr>
                      <w:t>余额</w:t>
                    </w:r>
                  </w:p>
                </w:tc>
              </w:sdtContent>
            </w:sdt>
            <w:tc>
              <w:tcPr>
                <w:tcW w:w="964" w:type="pct"/>
                <w:vAlign w:val="bottom"/>
              </w:tcPr>
              <w:p w14:paraId="3C797B82"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3,081,221.62</w:t>
                </w:r>
              </w:p>
            </w:tc>
            <w:tc>
              <w:tcPr>
                <w:tcW w:w="914" w:type="pct"/>
                <w:vAlign w:val="bottom"/>
              </w:tcPr>
              <w:p w14:paraId="1B83FC0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c>
              <w:tcPr>
                <w:tcW w:w="1000" w:type="pct"/>
                <w:vAlign w:val="bottom"/>
              </w:tcPr>
              <w:p w14:paraId="31693FB0"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3,504,815.71</w:t>
                </w:r>
              </w:p>
            </w:tc>
            <w:tc>
              <w:tcPr>
                <w:tcW w:w="1000" w:type="pct"/>
                <w:vAlign w:val="bottom"/>
              </w:tcPr>
              <w:p w14:paraId="2DBD08EC"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6,586,037.33</w:t>
                </w:r>
              </w:p>
            </w:tc>
          </w:tr>
        </w:tbl>
        <w:p w14:paraId="12247319" w14:textId="77777777" w:rsidR="00D21C1F" w:rsidRDefault="00D21C1F">
          <w:pPr>
            <w:pStyle w:val="97"/>
          </w:pPr>
        </w:p>
        <w:p w14:paraId="1B603DC2" w14:textId="77777777" w:rsidR="00D21C1F" w:rsidRDefault="00A42880">
          <w:pPr>
            <w:pStyle w:val="38"/>
            <w:rPr>
              <w:rFonts w:ascii="宋体" w:hAnsi="宋体"/>
            </w:rPr>
          </w:pPr>
          <w:r>
            <w:rPr>
              <w:rFonts w:ascii="宋体" w:hAnsi="宋体"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878904111"/>
            <w:lock w:val="sdtLocked"/>
            <w:placeholder>
              <w:docPart w:val="GBC22222222222222222222222222222"/>
            </w:placeholder>
          </w:sdtPr>
          <w:sdtEndPr/>
          <w:sdtContent>
            <w:p w14:paraId="562DED6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F87B07" w14:textId="77777777" w:rsidR="00D21C1F" w:rsidRDefault="00D21C1F">
          <w:pPr>
            <w:pStyle w:val="97"/>
          </w:pPr>
        </w:p>
        <w:p w14:paraId="69949EBF" w14:textId="77777777" w:rsidR="00D21C1F" w:rsidRDefault="00A42880">
          <w:pPr>
            <w:pStyle w:val="97"/>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1785078552"/>
            <w:lock w:val="sdtLocked"/>
            <w:placeholder>
              <w:docPart w:val="GBC22222222222222222222222222222"/>
            </w:placeholder>
          </w:sdtPr>
          <w:sdtEndPr/>
          <w:sdtContent>
            <w:p w14:paraId="059AF21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46E527" w14:textId="77777777" w:rsidR="00D21C1F" w:rsidRDefault="00045EC6">
          <w:pPr>
            <w:pStyle w:val="97"/>
          </w:pPr>
        </w:p>
      </w:sdtContent>
    </w:sdt>
    <w:bookmarkEnd w:id="198" w:displacedByCustomXml="next"/>
    <w:bookmarkStart w:id="199" w:name="_Hlk10469877" w:displacedByCustomXml="next"/>
    <w:sdt>
      <w:sdtPr>
        <w:rPr>
          <w:rFonts w:ascii="宋体" w:hAnsi="宋体" w:cs="宋体" w:hint="eastAsia"/>
          <w:b w:val="0"/>
          <w:bCs w:val="0"/>
          <w:kern w:val="0"/>
          <w:szCs w:val="24"/>
        </w:rPr>
        <w:alias w:val="模块:坏账准备的情况"/>
        <w:tag w:val="_SEC_93dacca8700c43aaba11477ef4689aa6"/>
        <w:id w:val="1888687203"/>
        <w:lock w:val="sdtLocked"/>
        <w:placeholder>
          <w:docPart w:val="GBC22222222222222222222222222222"/>
        </w:placeholder>
      </w:sdtPr>
      <w:sdtEndPr/>
      <w:sdtContent>
        <w:p w14:paraId="4ED1DFDC" w14:textId="77777777" w:rsidR="00D21C1F" w:rsidRDefault="00A42880">
          <w:pPr>
            <w:pStyle w:val="93"/>
            <w:numPr>
              <w:ilvl w:val="3"/>
              <w:numId w:val="100"/>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1154520736"/>
            <w:lock w:val="sdtLocked"/>
            <w:placeholder>
              <w:docPart w:val="GBC22222222222222222222222222222"/>
            </w:placeholder>
          </w:sdtPr>
          <w:sdtEndPr/>
          <w:sdtContent>
            <w:p w14:paraId="6485DAD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28E408" w14:textId="77777777" w:rsidR="00D21C1F" w:rsidRDefault="00A42880">
          <w:pPr>
            <w:pStyle w:val="97"/>
          </w:pPr>
          <w:r>
            <w:rPr>
              <w:rFonts w:hint="eastAsia"/>
            </w:rPr>
            <w:t>其中本期坏账准备转回或收回金额重要的：</w:t>
          </w:r>
        </w:p>
        <w:sdt>
          <w:sdtPr>
            <w:alias w:val="是否适用：其中本期其他应收账款坏账准备收回或转回金额重要的[双击切换]"/>
            <w:tag w:val="_GBC_766264a4e81b4ae6885d7f965ebbcd08"/>
            <w:id w:val="-385413245"/>
            <w:lock w:val="sdtLocked"/>
            <w:placeholder>
              <w:docPart w:val="GBC22222222222222222222222222222"/>
            </w:placeholder>
          </w:sdtPr>
          <w:sdtEndPr/>
          <w:sdtContent>
            <w:p w14:paraId="01C11221" w14:textId="77777777" w:rsidR="00D21C1F" w:rsidRDefault="00A42880">
              <w:pPr>
                <w:pStyle w:val="97"/>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9" w:displacedByCustomXml="next"/>
    <w:sdt>
      <w:sdtPr>
        <w:rPr>
          <w:rFonts w:ascii="宋体" w:hAnsi="宋体" w:cs="宋体" w:hint="eastAsia"/>
          <w:b w:val="0"/>
          <w:bCs w:val="0"/>
          <w:kern w:val="0"/>
          <w:szCs w:val="24"/>
        </w:rPr>
        <w:alias w:val="模块:本报告期实际核销的其他应收款情况"/>
        <w:tag w:val="_GBC_ca12851378c64f09a5335b8a527df46f"/>
        <w:id w:val="-325745718"/>
        <w:lock w:val="sdtLocked"/>
        <w:placeholder>
          <w:docPart w:val="GBC22222222222222222222222222222"/>
        </w:placeholder>
      </w:sdtPr>
      <w:sdtEndPr/>
      <w:sdtContent>
        <w:p w14:paraId="66E11BFB" w14:textId="77777777" w:rsidR="00D21C1F" w:rsidRDefault="00A42880">
          <w:pPr>
            <w:pStyle w:val="93"/>
            <w:numPr>
              <w:ilvl w:val="3"/>
              <w:numId w:val="100"/>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1841267930"/>
            <w:lock w:val="sdtLocked"/>
            <w:placeholder>
              <w:docPart w:val="GBC22222222222222222222222222222"/>
            </w:placeholder>
          </w:sdtPr>
          <w:sdtEndPr/>
          <w:sdtContent>
            <w:p w14:paraId="64FB5B87"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F337BE" w14:textId="77777777" w:rsidR="00D21C1F" w:rsidRDefault="00045EC6">
          <w:pPr>
            <w:pStyle w:val="97"/>
          </w:pPr>
        </w:p>
      </w:sdtContent>
    </w:sdt>
    <w:sdt>
      <w:sdtPr>
        <w:rPr>
          <w:rFonts w:ascii="宋体" w:eastAsia="宋体" w:hAnsi="宋体" w:cs="宋体" w:hint="eastAsia"/>
          <w:b w:val="0"/>
          <w:bCs w:val="0"/>
          <w:kern w:val="0"/>
          <w:szCs w:val="24"/>
        </w:rPr>
        <w:alias w:val="模块:按欠款方归集的期末余额其中前五名的其他应收款单位情况"/>
        <w:tag w:val="_GBC_a83a3fc7866445d68738701d3998ac0b"/>
        <w:id w:val="-1847016272"/>
        <w:lock w:val="sdtLocked"/>
        <w:placeholder>
          <w:docPart w:val="GBC22222222222222222222222222222"/>
        </w:placeholder>
      </w:sdtPr>
      <w:sdtEndPr>
        <w:rPr>
          <w:rFonts w:hint="default"/>
        </w:rPr>
      </w:sdtEndPr>
      <w:sdtContent>
        <w:p w14:paraId="22AE2481" w14:textId="77777777" w:rsidR="00D21C1F" w:rsidRDefault="00A42880">
          <w:pPr>
            <w:pStyle w:val="93"/>
            <w:numPr>
              <w:ilvl w:val="3"/>
              <w:numId w:val="100"/>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823707527"/>
            <w:lock w:val="sdtLocked"/>
            <w:placeholder>
              <w:docPart w:val="GBC22222222222222222222222222222"/>
            </w:placeholder>
          </w:sdtPr>
          <w:sdtEndPr/>
          <w:sdtContent>
            <w:p w14:paraId="0DBB305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3A84BF" w14:textId="77777777" w:rsidR="00D21C1F" w:rsidRDefault="00A42880">
          <w:pPr>
            <w:jc w:val="right"/>
          </w:pPr>
          <w:r>
            <w:rPr>
              <w:rFonts w:hint="eastAsia"/>
            </w:rPr>
            <w:t>单位：</w:t>
          </w:r>
          <w:sdt>
            <w:sdtPr>
              <w:rPr>
                <w:rFonts w:hint="eastAsia"/>
              </w:rPr>
              <w:alias w:val="单位财务附注：其他应收账款前五名欠款情况"/>
              <w:tag w:val="_GBC_1f85b3036b0644cbaf6c33311b7f159d"/>
              <w:id w:val="-263233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其他应收账款前五名欠款情况"/>
              <w:tag w:val="_GBC_bc5cf48306144a92af62fef51b293c5a"/>
              <w:id w:val="359629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469"/>
            <w:gridCol w:w="1289"/>
            <w:gridCol w:w="1500"/>
            <w:gridCol w:w="1263"/>
            <w:gridCol w:w="1694"/>
            <w:gridCol w:w="1608"/>
          </w:tblGrid>
          <w:tr w:rsidR="00D21C1F" w14:paraId="398CF5F6" w14:textId="77777777">
            <w:trPr>
              <w:cantSplit/>
            </w:trPr>
            <w:sdt>
              <w:sdtPr>
                <w:tag w:val="_PLD_6d371f7abd044db6abe05c7f74810d89"/>
                <w:id w:val="-1041054682"/>
                <w:lock w:val="sdtLocked"/>
              </w:sdtPr>
              <w:sdtEndPr/>
              <w:sdtContent>
                <w:tc>
                  <w:tcPr>
                    <w:tcW w:w="832" w:type="pct"/>
                    <w:vAlign w:val="center"/>
                  </w:tcPr>
                  <w:p w14:paraId="1D0378FE" w14:textId="77777777" w:rsidR="00D21C1F" w:rsidRDefault="00A42880">
                    <w:pPr>
                      <w:ind w:right="105"/>
                      <w:jc w:val="center"/>
                      <w:rPr>
                        <w:szCs w:val="21"/>
                      </w:rPr>
                    </w:pPr>
                    <w:r>
                      <w:rPr>
                        <w:rFonts w:hint="eastAsia"/>
                        <w:szCs w:val="21"/>
                      </w:rPr>
                      <w:t>单位名称</w:t>
                    </w:r>
                  </w:p>
                </w:tc>
              </w:sdtContent>
            </w:sdt>
            <w:sdt>
              <w:sdtPr>
                <w:tag w:val="_PLD_538171446ab849ca976672ecf5055c60"/>
                <w:id w:val="1297956740"/>
                <w:lock w:val="sdtLocked"/>
              </w:sdtPr>
              <w:sdtEndPr/>
              <w:sdtContent>
                <w:tc>
                  <w:tcPr>
                    <w:tcW w:w="730" w:type="pct"/>
                    <w:vAlign w:val="center"/>
                  </w:tcPr>
                  <w:p w14:paraId="29456771" w14:textId="77777777" w:rsidR="00D21C1F" w:rsidRDefault="00A42880">
                    <w:pPr>
                      <w:ind w:right="73"/>
                      <w:jc w:val="center"/>
                      <w:rPr>
                        <w:szCs w:val="21"/>
                      </w:rPr>
                    </w:pPr>
                    <w:r>
                      <w:rPr>
                        <w:rFonts w:hint="eastAsia"/>
                        <w:szCs w:val="21"/>
                      </w:rPr>
                      <w:t>款项的性质</w:t>
                    </w:r>
                  </w:p>
                </w:tc>
              </w:sdtContent>
            </w:sdt>
            <w:sdt>
              <w:sdtPr>
                <w:tag w:val="_PLD_9561b3d624ee40c28568fb322a981ebc"/>
                <w:id w:val="240844895"/>
                <w:lock w:val="sdtLocked"/>
              </w:sdtPr>
              <w:sdtEndPr/>
              <w:sdtContent>
                <w:tc>
                  <w:tcPr>
                    <w:tcW w:w="850" w:type="pct"/>
                    <w:vAlign w:val="center"/>
                  </w:tcPr>
                  <w:p w14:paraId="669E123F" w14:textId="77777777" w:rsidR="00D21C1F" w:rsidRDefault="00A42880">
                    <w:pPr>
                      <w:ind w:right="73"/>
                      <w:jc w:val="center"/>
                      <w:rPr>
                        <w:szCs w:val="21"/>
                      </w:rPr>
                    </w:pPr>
                    <w:r>
                      <w:rPr>
                        <w:rFonts w:hint="eastAsia"/>
                        <w:szCs w:val="21"/>
                      </w:rPr>
                      <w:t>期末余额</w:t>
                    </w:r>
                  </w:p>
                </w:tc>
              </w:sdtContent>
            </w:sdt>
            <w:sdt>
              <w:sdtPr>
                <w:tag w:val="_PLD_a97392b37d5d4c709a23cfdece48161b"/>
                <w:id w:val="-1835595444"/>
                <w:lock w:val="sdtLocked"/>
              </w:sdtPr>
              <w:sdtEndPr/>
              <w:sdtContent>
                <w:tc>
                  <w:tcPr>
                    <w:tcW w:w="716" w:type="pct"/>
                    <w:vAlign w:val="center"/>
                  </w:tcPr>
                  <w:p w14:paraId="592EDD91" w14:textId="77777777" w:rsidR="00D21C1F" w:rsidRDefault="00A42880">
                    <w:pPr>
                      <w:ind w:right="73"/>
                      <w:jc w:val="center"/>
                      <w:rPr>
                        <w:szCs w:val="21"/>
                      </w:rPr>
                    </w:pPr>
                    <w:r>
                      <w:rPr>
                        <w:rFonts w:hint="eastAsia"/>
                        <w:szCs w:val="21"/>
                      </w:rPr>
                      <w:t>账龄</w:t>
                    </w:r>
                  </w:p>
                </w:tc>
              </w:sdtContent>
            </w:sdt>
            <w:sdt>
              <w:sdtPr>
                <w:tag w:val="_PLD_e2774c827e314521821234a0e399c2c1"/>
                <w:id w:val="-131789581"/>
                <w:lock w:val="sdtLocked"/>
              </w:sdtPr>
              <w:sdtEndPr/>
              <w:sdtContent>
                <w:tc>
                  <w:tcPr>
                    <w:tcW w:w="960" w:type="pct"/>
                    <w:vAlign w:val="center"/>
                  </w:tcPr>
                  <w:p w14:paraId="75F6E5FB" w14:textId="77777777" w:rsidR="00D21C1F" w:rsidRDefault="00A42880">
                    <w:pPr>
                      <w:jc w:val="center"/>
                      <w:rPr>
                        <w:szCs w:val="21"/>
                      </w:rPr>
                    </w:pPr>
                    <w:r>
                      <w:rPr>
                        <w:rFonts w:hint="eastAsia"/>
                        <w:szCs w:val="21"/>
                      </w:rPr>
                      <w:t>占其他应收款期末余额合计数的比例(</w:t>
                    </w:r>
                    <w:r>
                      <w:rPr>
                        <w:szCs w:val="21"/>
                      </w:rPr>
                      <w:t>%)</w:t>
                    </w:r>
                  </w:p>
                </w:tc>
              </w:sdtContent>
            </w:sdt>
            <w:sdt>
              <w:sdtPr>
                <w:tag w:val="_PLD_ac7ac1a39d1a46eb9269fc6979d54f6f"/>
                <w:id w:val="394483069"/>
                <w:lock w:val="sdtLocked"/>
              </w:sdtPr>
              <w:sdtEndPr/>
              <w:sdtContent>
                <w:tc>
                  <w:tcPr>
                    <w:tcW w:w="911" w:type="pct"/>
                    <w:vAlign w:val="center"/>
                  </w:tcPr>
                  <w:p w14:paraId="1BE1B404" w14:textId="77777777" w:rsidR="00D21C1F" w:rsidRDefault="00A42880">
                    <w:pPr>
                      <w:jc w:val="center"/>
                      <w:rPr>
                        <w:szCs w:val="21"/>
                      </w:rPr>
                    </w:pPr>
                    <w:r>
                      <w:rPr>
                        <w:rFonts w:hint="eastAsia"/>
                        <w:szCs w:val="21"/>
                      </w:rPr>
                      <w:t>坏账准备</w:t>
                    </w:r>
                  </w:p>
                  <w:p w14:paraId="3CC3AB3C" w14:textId="77777777" w:rsidR="00D21C1F" w:rsidRDefault="00A42880">
                    <w:pPr>
                      <w:jc w:val="center"/>
                      <w:rPr>
                        <w:szCs w:val="21"/>
                      </w:rPr>
                    </w:pPr>
                    <w:r>
                      <w:rPr>
                        <w:rFonts w:hint="eastAsia"/>
                        <w:szCs w:val="21"/>
                      </w:rPr>
                      <w:t>期末余额</w:t>
                    </w:r>
                  </w:p>
                </w:tc>
              </w:sdtContent>
            </w:sdt>
          </w:tr>
          <w:sdt>
            <w:sdtPr>
              <w:rPr>
                <w:rFonts w:hint="eastAsia"/>
                <w:sz w:val="22"/>
                <w:szCs w:val="21"/>
              </w:rPr>
              <w:alias w:val="其他应收款欠款户"/>
              <w:tag w:val="_GBC_a3b4ad6ea89146a79c37c3807ef7a6fd"/>
              <w:id w:val="-186139748"/>
              <w:lock w:val="sdtLocked"/>
              <w:placeholder>
                <w:docPart w:val="105BC744046645F4A0DECA43F36AE0DE"/>
              </w:placeholder>
            </w:sdtPr>
            <w:sdtEndPr>
              <w:rPr>
                <w:rFonts w:ascii="Times New Roman" w:hAnsi="Times New Roman" w:cs="Times New Roman" w:hint="default"/>
              </w:rPr>
            </w:sdtEndPr>
            <w:sdtContent>
              <w:tr w:rsidR="00D21C1F" w14:paraId="5B8FA178" w14:textId="77777777">
                <w:trPr>
                  <w:cantSplit/>
                </w:trPr>
                <w:tc>
                  <w:tcPr>
                    <w:tcW w:w="832" w:type="pct"/>
                  </w:tcPr>
                  <w:p w14:paraId="6FC4BE0C" w14:textId="77777777" w:rsidR="00D21C1F" w:rsidRDefault="00A42880">
                    <w:pPr>
                      <w:ind w:right="105"/>
                      <w:rPr>
                        <w:szCs w:val="21"/>
                      </w:rPr>
                    </w:pPr>
                    <w:r>
                      <w:t>第一名</w:t>
                    </w:r>
                  </w:p>
                </w:tc>
                <w:tc>
                  <w:tcPr>
                    <w:tcW w:w="730" w:type="pct"/>
                  </w:tcPr>
                  <w:p w14:paraId="69BBD0D6" w14:textId="77777777" w:rsidR="00D21C1F" w:rsidRDefault="00A42880">
                    <w:pPr>
                      <w:ind w:right="73"/>
                      <w:rPr>
                        <w:szCs w:val="21"/>
                      </w:rPr>
                    </w:pPr>
                    <w:r>
                      <w:t>政府补助 </w:t>
                    </w:r>
                  </w:p>
                </w:tc>
                <w:tc>
                  <w:tcPr>
                    <w:tcW w:w="850" w:type="pct"/>
                    <w:vAlign w:val="bottom"/>
                  </w:tcPr>
                  <w:p w14:paraId="654792F5" w14:textId="77777777" w:rsidR="00D21C1F" w:rsidRPr="00F447CE" w:rsidRDefault="00A42880">
                    <w:pPr>
                      <w:ind w:right="73"/>
                      <w:jc w:val="right"/>
                      <w:rPr>
                        <w:rFonts w:ascii="Times New Roman" w:hAnsi="Times New Roman" w:cs="Times New Roman"/>
                        <w:szCs w:val="21"/>
                      </w:rPr>
                    </w:pPr>
                    <w:r w:rsidRPr="00F447CE">
                      <w:rPr>
                        <w:rFonts w:ascii="Times New Roman" w:hAnsi="Times New Roman" w:cs="Times New Roman"/>
                      </w:rPr>
                      <w:t>5,945,175.00</w:t>
                    </w:r>
                  </w:p>
                </w:tc>
                <w:tc>
                  <w:tcPr>
                    <w:tcW w:w="716" w:type="pct"/>
                  </w:tcPr>
                  <w:p w14:paraId="05DDAC74" w14:textId="77777777" w:rsidR="00D21C1F" w:rsidRPr="00F447CE" w:rsidRDefault="00A42880">
                    <w:pPr>
                      <w:ind w:right="73"/>
                      <w:rPr>
                        <w:rFonts w:ascii="Times New Roman" w:hAnsi="Times New Roman" w:cs="Times New Roman"/>
                        <w:szCs w:val="21"/>
                      </w:rPr>
                    </w:pPr>
                    <w:r w:rsidRPr="00F447CE">
                      <w:rPr>
                        <w:rFonts w:ascii="Times New Roman" w:hAnsi="Times New Roman" w:cs="Times New Roman"/>
                      </w:rPr>
                      <w:t>1</w:t>
                    </w:r>
                    <w:r w:rsidRPr="00F447CE">
                      <w:rPr>
                        <w:rFonts w:ascii="Times New Roman" w:hAnsi="Times New Roman" w:cs="Times New Roman"/>
                      </w:rPr>
                      <w:t>年以内</w:t>
                    </w:r>
                  </w:p>
                </w:tc>
                <w:tc>
                  <w:tcPr>
                    <w:tcW w:w="960" w:type="pct"/>
                    <w:vAlign w:val="bottom"/>
                  </w:tcPr>
                  <w:p w14:paraId="242DA3C0"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16.60</w:t>
                    </w:r>
                  </w:p>
                </w:tc>
                <w:tc>
                  <w:tcPr>
                    <w:tcW w:w="911" w:type="pct"/>
                    <w:vAlign w:val="bottom"/>
                  </w:tcPr>
                  <w:p w14:paraId="05EFCCC7"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297,258.75</w:t>
                    </w:r>
                  </w:p>
                </w:tc>
              </w:tr>
            </w:sdtContent>
          </w:sdt>
          <w:sdt>
            <w:sdtPr>
              <w:rPr>
                <w:rFonts w:hint="eastAsia"/>
                <w:sz w:val="22"/>
                <w:szCs w:val="21"/>
              </w:rPr>
              <w:alias w:val="其他应收款欠款户"/>
              <w:tag w:val="_GBC_a3b4ad6ea89146a79c37c3807ef7a6fd"/>
              <w:id w:val="-1392954111"/>
              <w:lock w:val="sdtLocked"/>
              <w:placeholder>
                <w:docPart w:val="319281D018D54F84B1521313D0717732"/>
              </w:placeholder>
            </w:sdtPr>
            <w:sdtEndPr>
              <w:rPr>
                <w:rFonts w:ascii="Times New Roman" w:hAnsi="Times New Roman" w:cs="Times New Roman" w:hint="default"/>
              </w:rPr>
            </w:sdtEndPr>
            <w:sdtContent>
              <w:tr w:rsidR="00D21C1F" w14:paraId="72E589F2" w14:textId="77777777">
                <w:trPr>
                  <w:cantSplit/>
                </w:trPr>
                <w:tc>
                  <w:tcPr>
                    <w:tcW w:w="832" w:type="pct"/>
                  </w:tcPr>
                  <w:p w14:paraId="303254C2" w14:textId="77777777" w:rsidR="00D21C1F" w:rsidRDefault="00A42880">
                    <w:pPr>
                      <w:ind w:right="105"/>
                      <w:rPr>
                        <w:szCs w:val="21"/>
                      </w:rPr>
                    </w:pPr>
                    <w:r>
                      <w:t>第二名</w:t>
                    </w:r>
                  </w:p>
                </w:tc>
                <w:tc>
                  <w:tcPr>
                    <w:tcW w:w="730" w:type="pct"/>
                  </w:tcPr>
                  <w:p w14:paraId="15EA59FD" w14:textId="77777777" w:rsidR="00D21C1F" w:rsidRDefault="00A42880">
                    <w:pPr>
                      <w:ind w:right="73"/>
                      <w:rPr>
                        <w:szCs w:val="21"/>
                      </w:rPr>
                    </w:pPr>
                    <w:r>
                      <w:t>保证金 </w:t>
                    </w:r>
                  </w:p>
                </w:tc>
                <w:tc>
                  <w:tcPr>
                    <w:tcW w:w="850" w:type="pct"/>
                    <w:vAlign w:val="bottom"/>
                  </w:tcPr>
                  <w:p w14:paraId="5A8B0BA3" w14:textId="77777777" w:rsidR="00D21C1F" w:rsidRPr="00F447CE" w:rsidRDefault="00A42880">
                    <w:pPr>
                      <w:ind w:right="73"/>
                      <w:jc w:val="right"/>
                      <w:rPr>
                        <w:rFonts w:ascii="Times New Roman" w:hAnsi="Times New Roman" w:cs="Times New Roman"/>
                        <w:szCs w:val="21"/>
                      </w:rPr>
                    </w:pPr>
                    <w:r w:rsidRPr="00F447CE">
                      <w:rPr>
                        <w:rFonts w:ascii="Times New Roman" w:hAnsi="Times New Roman" w:cs="Times New Roman"/>
                      </w:rPr>
                      <w:t>2,350,000.00</w:t>
                    </w:r>
                  </w:p>
                </w:tc>
                <w:tc>
                  <w:tcPr>
                    <w:tcW w:w="716" w:type="pct"/>
                  </w:tcPr>
                  <w:p w14:paraId="234A460E" w14:textId="77777777" w:rsidR="00D21C1F" w:rsidRPr="00F447CE" w:rsidRDefault="00A42880">
                    <w:pPr>
                      <w:ind w:right="73"/>
                      <w:rPr>
                        <w:rFonts w:ascii="Times New Roman" w:hAnsi="Times New Roman" w:cs="Times New Roman"/>
                        <w:szCs w:val="21"/>
                      </w:rPr>
                    </w:pPr>
                    <w:r w:rsidRPr="00F447CE">
                      <w:rPr>
                        <w:rFonts w:ascii="Times New Roman" w:hAnsi="Times New Roman" w:cs="Times New Roman"/>
                      </w:rPr>
                      <w:t>2</w:t>
                    </w:r>
                    <w:r w:rsidRPr="00F447CE">
                      <w:rPr>
                        <w:rFonts w:ascii="Times New Roman" w:hAnsi="Times New Roman" w:cs="Times New Roman"/>
                      </w:rPr>
                      <w:t>年以内</w:t>
                    </w:r>
                  </w:p>
                </w:tc>
                <w:tc>
                  <w:tcPr>
                    <w:tcW w:w="960" w:type="pct"/>
                    <w:vAlign w:val="bottom"/>
                  </w:tcPr>
                  <w:p w14:paraId="736E58C1"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6.56</w:t>
                    </w:r>
                  </w:p>
                </w:tc>
                <w:tc>
                  <w:tcPr>
                    <w:tcW w:w="911" w:type="pct"/>
                    <w:vAlign w:val="bottom"/>
                  </w:tcPr>
                  <w:p w14:paraId="6B4FE3D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142,500.00</w:t>
                    </w:r>
                  </w:p>
                </w:tc>
              </w:tr>
            </w:sdtContent>
          </w:sdt>
          <w:sdt>
            <w:sdtPr>
              <w:rPr>
                <w:rFonts w:hint="eastAsia"/>
                <w:sz w:val="22"/>
                <w:szCs w:val="21"/>
              </w:rPr>
              <w:alias w:val="其他应收款欠款户"/>
              <w:tag w:val="_GBC_a3b4ad6ea89146a79c37c3807ef7a6fd"/>
              <w:id w:val="-1271399305"/>
              <w:lock w:val="sdtLocked"/>
              <w:placeholder>
                <w:docPart w:val="319281D018D54F84B1521313D0717732"/>
              </w:placeholder>
            </w:sdtPr>
            <w:sdtEndPr>
              <w:rPr>
                <w:rFonts w:ascii="Times New Roman" w:hAnsi="Times New Roman" w:cs="Times New Roman" w:hint="default"/>
              </w:rPr>
            </w:sdtEndPr>
            <w:sdtContent>
              <w:tr w:rsidR="00D21C1F" w14:paraId="0614D7F0" w14:textId="77777777">
                <w:trPr>
                  <w:cantSplit/>
                </w:trPr>
                <w:tc>
                  <w:tcPr>
                    <w:tcW w:w="832" w:type="pct"/>
                  </w:tcPr>
                  <w:p w14:paraId="6AEA0212" w14:textId="77777777" w:rsidR="00D21C1F" w:rsidRDefault="00A42880">
                    <w:pPr>
                      <w:ind w:right="105"/>
                      <w:rPr>
                        <w:szCs w:val="21"/>
                      </w:rPr>
                    </w:pPr>
                    <w:r>
                      <w:t>第三名</w:t>
                    </w:r>
                  </w:p>
                </w:tc>
                <w:tc>
                  <w:tcPr>
                    <w:tcW w:w="730" w:type="pct"/>
                  </w:tcPr>
                  <w:p w14:paraId="2E5E61CE" w14:textId="77777777" w:rsidR="00D21C1F" w:rsidRDefault="00A42880">
                    <w:pPr>
                      <w:ind w:right="73"/>
                      <w:rPr>
                        <w:szCs w:val="21"/>
                      </w:rPr>
                    </w:pPr>
                    <w:r>
                      <w:t>保证金 </w:t>
                    </w:r>
                  </w:p>
                </w:tc>
                <w:tc>
                  <w:tcPr>
                    <w:tcW w:w="850" w:type="pct"/>
                    <w:vAlign w:val="bottom"/>
                  </w:tcPr>
                  <w:p w14:paraId="75DAD9A6" w14:textId="77777777" w:rsidR="00D21C1F" w:rsidRPr="00F447CE" w:rsidRDefault="00A42880">
                    <w:pPr>
                      <w:ind w:right="73"/>
                      <w:jc w:val="right"/>
                      <w:rPr>
                        <w:rFonts w:ascii="Times New Roman" w:hAnsi="Times New Roman" w:cs="Times New Roman"/>
                        <w:szCs w:val="21"/>
                      </w:rPr>
                    </w:pPr>
                    <w:r w:rsidRPr="00F447CE">
                      <w:rPr>
                        <w:rFonts w:ascii="Times New Roman" w:hAnsi="Times New Roman" w:cs="Times New Roman"/>
                      </w:rPr>
                      <w:t>1,665,000.00</w:t>
                    </w:r>
                  </w:p>
                </w:tc>
                <w:tc>
                  <w:tcPr>
                    <w:tcW w:w="716" w:type="pct"/>
                  </w:tcPr>
                  <w:p w14:paraId="67DCAFE3" w14:textId="77777777" w:rsidR="00D21C1F" w:rsidRPr="00F447CE" w:rsidRDefault="00A42880">
                    <w:pPr>
                      <w:ind w:right="73"/>
                      <w:rPr>
                        <w:rFonts w:ascii="Times New Roman" w:hAnsi="Times New Roman" w:cs="Times New Roman"/>
                        <w:szCs w:val="21"/>
                      </w:rPr>
                    </w:pPr>
                    <w:r w:rsidRPr="00F447CE">
                      <w:rPr>
                        <w:rFonts w:ascii="Times New Roman" w:hAnsi="Times New Roman" w:cs="Times New Roman"/>
                      </w:rPr>
                      <w:t>3-4</w:t>
                    </w:r>
                    <w:r w:rsidRPr="00F447CE">
                      <w:rPr>
                        <w:rFonts w:ascii="Times New Roman" w:hAnsi="Times New Roman" w:cs="Times New Roman"/>
                      </w:rPr>
                      <w:t>年</w:t>
                    </w:r>
                  </w:p>
                </w:tc>
                <w:tc>
                  <w:tcPr>
                    <w:tcW w:w="960" w:type="pct"/>
                    <w:vAlign w:val="bottom"/>
                  </w:tcPr>
                  <w:p w14:paraId="1854779A"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4.65</w:t>
                    </w:r>
                  </w:p>
                </w:tc>
                <w:tc>
                  <w:tcPr>
                    <w:tcW w:w="911" w:type="pct"/>
                    <w:vAlign w:val="bottom"/>
                  </w:tcPr>
                  <w:p w14:paraId="7B7D0424"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832,500.00</w:t>
                    </w:r>
                  </w:p>
                </w:tc>
              </w:tr>
            </w:sdtContent>
          </w:sdt>
          <w:sdt>
            <w:sdtPr>
              <w:rPr>
                <w:rFonts w:hint="eastAsia"/>
                <w:sz w:val="22"/>
                <w:szCs w:val="21"/>
              </w:rPr>
              <w:alias w:val="其他应收款欠款户"/>
              <w:tag w:val="_GBC_a3b4ad6ea89146a79c37c3807ef7a6fd"/>
              <w:id w:val="-538502223"/>
              <w:lock w:val="sdtLocked"/>
              <w:placeholder>
                <w:docPart w:val="319281D018D54F84B1521313D0717732"/>
              </w:placeholder>
            </w:sdtPr>
            <w:sdtEndPr>
              <w:rPr>
                <w:rFonts w:ascii="Times New Roman" w:hAnsi="Times New Roman" w:cs="Times New Roman" w:hint="default"/>
              </w:rPr>
            </w:sdtEndPr>
            <w:sdtContent>
              <w:tr w:rsidR="00D21C1F" w14:paraId="28ADCFDA" w14:textId="77777777">
                <w:trPr>
                  <w:cantSplit/>
                </w:trPr>
                <w:tc>
                  <w:tcPr>
                    <w:tcW w:w="832" w:type="pct"/>
                  </w:tcPr>
                  <w:p w14:paraId="68ACB33B" w14:textId="77777777" w:rsidR="00D21C1F" w:rsidRDefault="00A42880">
                    <w:pPr>
                      <w:ind w:right="105"/>
                      <w:rPr>
                        <w:szCs w:val="21"/>
                      </w:rPr>
                    </w:pPr>
                    <w:r>
                      <w:t>第四名</w:t>
                    </w:r>
                  </w:p>
                </w:tc>
                <w:tc>
                  <w:tcPr>
                    <w:tcW w:w="730" w:type="pct"/>
                  </w:tcPr>
                  <w:p w14:paraId="4464BC3E" w14:textId="77777777" w:rsidR="00D21C1F" w:rsidRDefault="00A42880">
                    <w:pPr>
                      <w:ind w:right="73"/>
                      <w:rPr>
                        <w:szCs w:val="21"/>
                      </w:rPr>
                    </w:pPr>
                    <w:r>
                      <w:t>保证金 </w:t>
                    </w:r>
                  </w:p>
                </w:tc>
                <w:tc>
                  <w:tcPr>
                    <w:tcW w:w="850" w:type="pct"/>
                    <w:vAlign w:val="bottom"/>
                  </w:tcPr>
                  <w:p w14:paraId="6796803F" w14:textId="77777777" w:rsidR="00D21C1F" w:rsidRPr="00F447CE" w:rsidRDefault="00A42880">
                    <w:pPr>
                      <w:ind w:right="73"/>
                      <w:jc w:val="right"/>
                      <w:rPr>
                        <w:rFonts w:ascii="Times New Roman" w:hAnsi="Times New Roman" w:cs="Times New Roman"/>
                        <w:szCs w:val="21"/>
                      </w:rPr>
                    </w:pPr>
                    <w:r w:rsidRPr="00F447CE">
                      <w:rPr>
                        <w:rFonts w:ascii="Times New Roman" w:hAnsi="Times New Roman" w:cs="Times New Roman"/>
                      </w:rPr>
                      <w:t>1,573,000.00</w:t>
                    </w:r>
                  </w:p>
                </w:tc>
                <w:tc>
                  <w:tcPr>
                    <w:tcW w:w="716" w:type="pct"/>
                  </w:tcPr>
                  <w:p w14:paraId="13C2D60B" w14:textId="77777777" w:rsidR="00D21C1F" w:rsidRPr="00F447CE" w:rsidRDefault="00A42880">
                    <w:pPr>
                      <w:ind w:right="73"/>
                      <w:rPr>
                        <w:rFonts w:ascii="Times New Roman" w:hAnsi="Times New Roman" w:cs="Times New Roman"/>
                        <w:szCs w:val="21"/>
                      </w:rPr>
                    </w:pPr>
                    <w:r w:rsidRPr="00F447CE">
                      <w:rPr>
                        <w:rFonts w:ascii="Times New Roman" w:hAnsi="Times New Roman" w:cs="Times New Roman"/>
                      </w:rPr>
                      <w:t>1</w:t>
                    </w:r>
                    <w:r w:rsidRPr="00F447CE">
                      <w:rPr>
                        <w:rFonts w:ascii="Times New Roman" w:hAnsi="Times New Roman" w:cs="Times New Roman"/>
                      </w:rPr>
                      <w:t>年以内</w:t>
                    </w:r>
                  </w:p>
                </w:tc>
                <w:tc>
                  <w:tcPr>
                    <w:tcW w:w="960" w:type="pct"/>
                    <w:vAlign w:val="bottom"/>
                  </w:tcPr>
                  <w:p w14:paraId="349A1FB7"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4.39</w:t>
                    </w:r>
                  </w:p>
                </w:tc>
                <w:tc>
                  <w:tcPr>
                    <w:tcW w:w="911" w:type="pct"/>
                    <w:vAlign w:val="bottom"/>
                  </w:tcPr>
                  <w:p w14:paraId="17BF8068"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78,650.00</w:t>
                    </w:r>
                  </w:p>
                </w:tc>
              </w:tr>
            </w:sdtContent>
          </w:sdt>
          <w:sdt>
            <w:sdtPr>
              <w:rPr>
                <w:rFonts w:hint="eastAsia"/>
                <w:sz w:val="22"/>
                <w:szCs w:val="21"/>
              </w:rPr>
              <w:alias w:val="其他应收款欠款户"/>
              <w:tag w:val="_GBC_a3b4ad6ea89146a79c37c3807ef7a6fd"/>
              <w:id w:val="-1572809369"/>
              <w:lock w:val="sdtLocked"/>
              <w:placeholder>
                <w:docPart w:val="105BC744046645F4A0DECA43F36AE0DE"/>
              </w:placeholder>
            </w:sdtPr>
            <w:sdtEndPr>
              <w:rPr>
                <w:rFonts w:ascii="Times New Roman" w:hAnsi="Times New Roman" w:cs="Times New Roman" w:hint="default"/>
              </w:rPr>
            </w:sdtEndPr>
            <w:sdtContent>
              <w:tr w:rsidR="00D21C1F" w14:paraId="5522C95D" w14:textId="77777777">
                <w:trPr>
                  <w:cantSplit/>
                </w:trPr>
                <w:tc>
                  <w:tcPr>
                    <w:tcW w:w="832" w:type="pct"/>
                  </w:tcPr>
                  <w:p w14:paraId="2F0BAF45" w14:textId="77777777" w:rsidR="00D21C1F" w:rsidRDefault="00A42880">
                    <w:pPr>
                      <w:ind w:right="105"/>
                      <w:rPr>
                        <w:szCs w:val="21"/>
                      </w:rPr>
                    </w:pPr>
                    <w:r>
                      <w:t>第五名</w:t>
                    </w:r>
                  </w:p>
                </w:tc>
                <w:tc>
                  <w:tcPr>
                    <w:tcW w:w="730" w:type="pct"/>
                  </w:tcPr>
                  <w:p w14:paraId="6E4FB212" w14:textId="77777777" w:rsidR="00D21C1F" w:rsidRDefault="00A42880">
                    <w:pPr>
                      <w:ind w:right="73"/>
                      <w:rPr>
                        <w:szCs w:val="21"/>
                      </w:rPr>
                    </w:pPr>
                    <w:r>
                      <w:t>保证金 </w:t>
                    </w:r>
                  </w:p>
                </w:tc>
                <w:tc>
                  <w:tcPr>
                    <w:tcW w:w="850" w:type="pct"/>
                    <w:vAlign w:val="bottom"/>
                  </w:tcPr>
                  <w:p w14:paraId="026F4BBD" w14:textId="77777777" w:rsidR="00D21C1F" w:rsidRPr="00F447CE" w:rsidRDefault="00A42880">
                    <w:pPr>
                      <w:ind w:right="73"/>
                      <w:jc w:val="right"/>
                      <w:rPr>
                        <w:rFonts w:ascii="Times New Roman" w:hAnsi="Times New Roman" w:cs="Times New Roman"/>
                        <w:szCs w:val="21"/>
                      </w:rPr>
                    </w:pPr>
                    <w:r w:rsidRPr="00F447CE">
                      <w:rPr>
                        <w:rFonts w:ascii="Times New Roman" w:hAnsi="Times New Roman" w:cs="Times New Roman"/>
                      </w:rPr>
                      <w:t>975,850.00</w:t>
                    </w:r>
                  </w:p>
                </w:tc>
                <w:tc>
                  <w:tcPr>
                    <w:tcW w:w="716" w:type="pct"/>
                  </w:tcPr>
                  <w:p w14:paraId="02B9340E" w14:textId="77777777" w:rsidR="00D21C1F" w:rsidRPr="00F447CE" w:rsidRDefault="00A42880">
                    <w:pPr>
                      <w:ind w:right="73"/>
                      <w:rPr>
                        <w:rFonts w:ascii="Times New Roman" w:hAnsi="Times New Roman" w:cs="Times New Roman"/>
                        <w:szCs w:val="21"/>
                      </w:rPr>
                    </w:pPr>
                    <w:r w:rsidRPr="00F447CE">
                      <w:rPr>
                        <w:rFonts w:ascii="Times New Roman" w:hAnsi="Times New Roman" w:cs="Times New Roman"/>
                      </w:rPr>
                      <w:t>1</w:t>
                    </w:r>
                    <w:r w:rsidRPr="00F447CE">
                      <w:rPr>
                        <w:rFonts w:ascii="Times New Roman" w:hAnsi="Times New Roman" w:cs="Times New Roman"/>
                      </w:rPr>
                      <w:t>年以内</w:t>
                    </w:r>
                  </w:p>
                </w:tc>
                <w:tc>
                  <w:tcPr>
                    <w:tcW w:w="960" w:type="pct"/>
                    <w:vAlign w:val="bottom"/>
                  </w:tcPr>
                  <w:p w14:paraId="160EBEE1"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2.73</w:t>
                    </w:r>
                  </w:p>
                </w:tc>
                <w:tc>
                  <w:tcPr>
                    <w:tcW w:w="911" w:type="pct"/>
                    <w:vAlign w:val="bottom"/>
                  </w:tcPr>
                  <w:p w14:paraId="4EBD7448"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48,792.50</w:t>
                    </w:r>
                  </w:p>
                </w:tc>
              </w:tr>
            </w:sdtContent>
          </w:sdt>
          <w:tr w:rsidR="00D21C1F" w14:paraId="031B2A23" w14:textId="77777777">
            <w:trPr>
              <w:cantSplit/>
            </w:trPr>
            <w:sdt>
              <w:sdtPr>
                <w:tag w:val="_PLD_f229cb1d3424499a96c618f3911226c3"/>
                <w:id w:val="1272431654"/>
                <w:lock w:val="sdtLocked"/>
              </w:sdtPr>
              <w:sdtEndPr/>
              <w:sdtContent>
                <w:tc>
                  <w:tcPr>
                    <w:tcW w:w="832" w:type="pct"/>
                  </w:tcPr>
                  <w:p w14:paraId="3293C8EE" w14:textId="77777777" w:rsidR="00D21C1F" w:rsidRDefault="00A42880">
                    <w:pPr>
                      <w:ind w:right="105"/>
                      <w:jc w:val="center"/>
                      <w:rPr>
                        <w:szCs w:val="21"/>
                      </w:rPr>
                    </w:pPr>
                    <w:r>
                      <w:rPr>
                        <w:rFonts w:hint="eastAsia"/>
                        <w:szCs w:val="21"/>
                      </w:rPr>
                      <w:t>合计</w:t>
                    </w:r>
                  </w:p>
                </w:tc>
              </w:sdtContent>
            </w:sdt>
            <w:tc>
              <w:tcPr>
                <w:tcW w:w="730" w:type="pct"/>
              </w:tcPr>
              <w:p w14:paraId="6A902BA0" w14:textId="77777777" w:rsidR="00D21C1F" w:rsidRDefault="00A42880">
                <w:pPr>
                  <w:ind w:right="73"/>
                  <w:jc w:val="center"/>
                  <w:rPr>
                    <w:szCs w:val="21"/>
                  </w:rPr>
                </w:pPr>
                <w:r>
                  <w:rPr>
                    <w:szCs w:val="21"/>
                  </w:rPr>
                  <w:t>/</w:t>
                </w:r>
              </w:p>
            </w:tc>
            <w:tc>
              <w:tcPr>
                <w:tcW w:w="850" w:type="pct"/>
                <w:vAlign w:val="bottom"/>
              </w:tcPr>
              <w:p w14:paraId="37E678CF" w14:textId="77777777" w:rsidR="00D21C1F" w:rsidRPr="00F447CE" w:rsidRDefault="00A42880">
                <w:pPr>
                  <w:ind w:right="73"/>
                  <w:jc w:val="right"/>
                  <w:rPr>
                    <w:rFonts w:ascii="Times New Roman" w:hAnsi="Times New Roman" w:cs="Times New Roman"/>
                    <w:szCs w:val="21"/>
                  </w:rPr>
                </w:pPr>
                <w:r w:rsidRPr="00F447CE">
                  <w:rPr>
                    <w:rFonts w:ascii="Times New Roman" w:hAnsi="Times New Roman" w:cs="Times New Roman"/>
                    <w:szCs w:val="21"/>
                  </w:rPr>
                  <w:t>12,509,025.00</w:t>
                </w:r>
              </w:p>
            </w:tc>
            <w:tc>
              <w:tcPr>
                <w:tcW w:w="716" w:type="pct"/>
              </w:tcPr>
              <w:p w14:paraId="1FB57551" w14:textId="77777777" w:rsidR="00D21C1F" w:rsidRPr="00F447CE" w:rsidRDefault="00A42880">
                <w:pPr>
                  <w:ind w:right="73"/>
                  <w:jc w:val="center"/>
                  <w:rPr>
                    <w:rFonts w:ascii="Times New Roman" w:hAnsi="Times New Roman" w:cs="Times New Roman"/>
                    <w:szCs w:val="21"/>
                  </w:rPr>
                </w:pPr>
                <w:r w:rsidRPr="00F447CE">
                  <w:rPr>
                    <w:rFonts w:ascii="Times New Roman" w:hAnsi="Times New Roman" w:cs="Times New Roman"/>
                    <w:szCs w:val="21"/>
                  </w:rPr>
                  <w:t>/</w:t>
                </w:r>
              </w:p>
            </w:tc>
            <w:tc>
              <w:tcPr>
                <w:tcW w:w="960" w:type="pct"/>
                <w:vAlign w:val="bottom"/>
              </w:tcPr>
              <w:p w14:paraId="0F626F48"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34.93</w:t>
                </w:r>
              </w:p>
            </w:tc>
            <w:tc>
              <w:tcPr>
                <w:tcW w:w="911" w:type="pct"/>
                <w:vAlign w:val="bottom"/>
              </w:tcPr>
              <w:p w14:paraId="4E53E23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1,399,701.25</w:t>
                </w:r>
              </w:p>
            </w:tc>
          </w:tr>
        </w:tbl>
        <w:p w14:paraId="442C2A60" w14:textId="77777777" w:rsidR="00D21C1F" w:rsidRDefault="00045EC6">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GBC_0b136aef44064ce4880a47aef5cda04d"/>
        <w:id w:val="-800843315"/>
        <w:lock w:val="sdtLocked"/>
        <w:placeholder>
          <w:docPart w:val="GBC22222222222222222222222222222"/>
        </w:placeholder>
      </w:sdtPr>
      <w:sdtEndPr/>
      <w:sdtContent>
        <w:p w14:paraId="6D627E6A" w14:textId="77777777" w:rsidR="00D21C1F" w:rsidRDefault="00A42880">
          <w:pPr>
            <w:pStyle w:val="93"/>
            <w:numPr>
              <w:ilvl w:val="3"/>
              <w:numId w:val="100"/>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36664064"/>
            <w:lock w:val="sdtLocked"/>
            <w:placeholder>
              <w:docPart w:val="GBC22222222222222222222222222222"/>
            </w:placeholder>
          </w:sdtPr>
          <w:sdtEndPr/>
          <w:sdtContent>
            <w:p w14:paraId="76989BA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98F65E" w14:textId="77777777" w:rsidR="00D21C1F" w:rsidRDefault="00A42880">
          <w:pPr>
            <w:snapToGrid w:val="0"/>
            <w:spacing w:line="240" w:lineRule="atLeast"/>
            <w:jc w:val="right"/>
          </w:pPr>
          <w:r>
            <w:rPr>
              <w:rFonts w:hint="eastAsia"/>
            </w:rPr>
            <w:t>单位：</w:t>
          </w:r>
          <w:sdt>
            <w:sdtPr>
              <w:rPr>
                <w:rFonts w:hint="eastAsia"/>
              </w:rPr>
              <w:alias w:val="单位：财务附注：按应收金额确认的政府补助"/>
              <w:tag w:val="_GBC_3f6163fdb83c41fdbcb61740b37285b9"/>
              <w:id w:val="-1530490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按应收金额确认的政府补助"/>
              <w:tag w:val="_GBC_ab0316ed53e54fc4b1b6aeb63dff3b18"/>
              <w:id w:val="-1997869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5"/>
            <w:gridCol w:w="1558"/>
            <w:gridCol w:w="1135"/>
            <w:gridCol w:w="3725"/>
          </w:tblGrid>
          <w:tr w:rsidR="00D21C1F" w14:paraId="7059A8D9" w14:textId="77777777">
            <w:sdt>
              <w:sdtPr>
                <w:tag w:val="_PLD_e66e6eeece1d43718d4689f5c739778d"/>
                <w:id w:val="-182511051"/>
                <w:lock w:val="sdtLocked"/>
              </w:sdtPr>
              <w:sdtEndPr/>
              <w:sdtContent>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223048BF" w14:textId="77777777" w:rsidR="00D21C1F" w:rsidRDefault="00A42880">
                    <w:pPr>
                      <w:jc w:val="center"/>
                    </w:pPr>
                    <w:r>
                      <w:rPr>
                        <w:rFonts w:hint="eastAsia"/>
                      </w:rPr>
                      <w:t>单位名称</w:t>
                    </w:r>
                  </w:p>
                </w:tc>
              </w:sdtContent>
            </w:sdt>
            <w:sdt>
              <w:sdtPr>
                <w:tag w:val="_PLD_7b40da60580d4bed8a4193729c2f6111"/>
                <w:id w:val="-1654977559"/>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1637DA3" w14:textId="77777777" w:rsidR="00D21C1F" w:rsidRDefault="00A42880">
                    <w:pPr>
                      <w:jc w:val="center"/>
                    </w:pPr>
                    <w:r>
                      <w:rPr>
                        <w:rFonts w:hint="eastAsia"/>
                      </w:rPr>
                      <w:t>政府补助项目名称</w:t>
                    </w:r>
                  </w:p>
                </w:tc>
              </w:sdtContent>
            </w:sdt>
            <w:sdt>
              <w:sdtPr>
                <w:tag w:val="_PLD_d4837fa97d31422c92a669c29ea2350c"/>
                <w:id w:val="1129968680"/>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50D79D2C" w14:textId="77777777" w:rsidR="00D21C1F" w:rsidRDefault="00A42880">
                    <w:pPr>
                      <w:jc w:val="center"/>
                    </w:pPr>
                    <w:r>
                      <w:rPr>
                        <w:rFonts w:hint="eastAsia"/>
                      </w:rPr>
                      <w:t>期末余额</w:t>
                    </w:r>
                  </w:p>
                </w:tc>
              </w:sdtContent>
            </w:sdt>
            <w:sdt>
              <w:sdtPr>
                <w:tag w:val="_PLD_c38cd161794f48e682ab33036b813244"/>
                <w:id w:val="145255151"/>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AB57B58" w14:textId="77777777" w:rsidR="00D21C1F" w:rsidRDefault="00A42880">
                    <w:pPr>
                      <w:jc w:val="center"/>
                    </w:pPr>
                    <w:r>
                      <w:rPr>
                        <w:rFonts w:hint="eastAsia"/>
                      </w:rPr>
                      <w:t>期末账龄</w:t>
                    </w:r>
                  </w:p>
                </w:tc>
              </w:sdtContent>
            </w:sdt>
            <w:sdt>
              <w:sdtPr>
                <w:tag w:val="_PLD_30f56f4ba8e54377843ab193e665845f"/>
                <w:id w:val="-1090927412"/>
                <w:lock w:val="sdtLocked"/>
              </w:sdtPr>
              <w:sdtEndPr/>
              <w:sdtContent>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14:paraId="1F49E16C" w14:textId="77777777" w:rsidR="00D21C1F" w:rsidRDefault="00A42880">
                    <w:pPr>
                      <w:jc w:val="center"/>
                    </w:pPr>
                    <w:r>
                      <w:rPr>
                        <w:rFonts w:hint="eastAsia"/>
                      </w:rPr>
                      <w:t>预计收取的时间、金额及依据</w:t>
                    </w:r>
                  </w:p>
                </w:tc>
              </w:sdtContent>
            </w:sdt>
          </w:tr>
          <w:sdt>
            <w:sdtPr>
              <w:alias w:val="按应收金额确认的政府补助明细"/>
              <w:tag w:val="_GBC_fc3af1b6e8d74e55bf16d00e09567416"/>
              <w:id w:val="627821435"/>
              <w:lock w:val="sdtLocked"/>
              <w:placeholder>
                <w:docPart w:val="47A2014400584F0B82BB6E31AB31940C"/>
              </w:placeholder>
            </w:sdtPr>
            <w:sdtEndPr>
              <w:rPr>
                <w:rFonts w:ascii="Times New Roman" w:hAnsi="Times New Roman" w:cs="Times New Roman"/>
              </w:rPr>
            </w:sdtEndPr>
            <w:sdtContent>
              <w:tr w:rsidR="00D21C1F" w14:paraId="7C55E7CA" w14:textId="77777777">
                <w:tc>
                  <w:tcPr>
                    <w:tcW w:w="720" w:type="pct"/>
                    <w:tcBorders>
                      <w:top w:val="single" w:sz="4" w:space="0" w:color="auto"/>
                      <w:left w:val="single" w:sz="4" w:space="0" w:color="auto"/>
                      <w:bottom w:val="single" w:sz="4" w:space="0" w:color="auto"/>
                      <w:right w:val="single" w:sz="4" w:space="0" w:color="auto"/>
                    </w:tcBorders>
                    <w:shd w:val="clear" w:color="auto" w:fill="auto"/>
                  </w:tcPr>
                  <w:p w14:paraId="3AAF8B03" w14:textId="77777777" w:rsidR="00D21C1F" w:rsidRDefault="00A42880">
                    <w:pPr>
                      <w:pStyle w:val="97"/>
                      <w:jc w:val="both"/>
                    </w:pPr>
                    <w:r>
                      <w:t>芜湖市鸠江区经济和信息化局</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B74C76E" w14:textId="77777777" w:rsidR="00D21C1F" w:rsidRDefault="00A42880">
                    <w:pPr>
                      <w:pStyle w:val="97"/>
                      <w:jc w:val="both"/>
                    </w:pPr>
                    <w:r>
                      <w:t>机器人推广应用补贴</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4A13C2E4" w14:textId="77777777" w:rsidR="00D21C1F" w:rsidRPr="00F447CE" w:rsidRDefault="00A42880">
                    <w:pPr>
                      <w:jc w:val="both"/>
                      <w:rPr>
                        <w:rFonts w:ascii="Times New Roman" w:hAnsi="Times New Roman" w:cs="Times New Roman"/>
                      </w:rPr>
                    </w:pPr>
                    <w:r w:rsidRPr="00F447CE">
                      <w:rPr>
                        <w:rFonts w:ascii="Times New Roman" w:hAnsi="Times New Roman" w:cs="Times New Roman"/>
                      </w:rPr>
                      <w:t>5,945,175.00</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3288F73" w14:textId="77777777" w:rsidR="00D21C1F" w:rsidRPr="00F447CE" w:rsidRDefault="00A42880">
                    <w:pPr>
                      <w:pStyle w:val="97"/>
                      <w:jc w:val="both"/>
                      <w:rPr>
                        <w:rFonts w:ascii="Times New Roman" w:hAnsi="Times New Roman" w:cs="Times New Roman"/>
                      </w:rPr>
                    </w:pPr>
                    <w:r w:rsidRPr="00F447CE">
                      <w:rPr>
                        <w:rFonts w:ascii="Times New Roman" w:hAnsi="Times New Roman" w:cs="Times New Roman"/>
                      </w:rPr>
                      <w:t>1</w:t>
                    </w:r>
                    <w:r w:rsidRPr="00F447CE">
                      <w:rPr>
                        <w:rFonts w:ascii="Times New Roman" w:hAnsi="Times New Roman" w:cs="Times New Roman"/>
                      </w:rPr>
                      <w:t>年以内</w:t>
                    </w:r>
                  </w:p>
                </w:tc>
                <w:tc>
                  <w:tcPr>
                    <w:tcW w:w="2111" w:type="pct"/>
                    <w:tcBorders>
                      <w:top w:val="single" w:sz="4" w:space="0" w:color="auto"/>
                      <w:left w:val="single" w:sz="4" w:space="0" w:color="auto"/>
                      <w:bottom w:val="single" w:sz="4" w:space="0" w:color="auto"/>
                      <w:right w:val="single" w:sz="4" w:space="0" w:color="auto"/>
                    </w:tcBorders>
                    <w:shd w:val="clear" w:color="auto" w:fill="auto"/>
                  </w:tcPr>
                  <w:p w14:paraId="76141AD2" w14:textId="77777777" w:rsidR="00D21C1F" w:rsidRPr="00F447CE" w:rsidRDefault="00A42880">
                    <w:pPr>
                      <w:pStyle w:val="97"/>
                      <w:jc w:val="both"/>
                      <w:rPr>
                        <w:rFonts w:ascii="Times New Roman" w:hAnsi="Times New Roman" w:cs="Times New Roman"/>
                      </w:rPr>
                    </w:pPr>
                    <w:r w:rsidRPr="00F447CE">
                      <w:rPr>
                        <w:rFonts w:ascii="Times New Roman" w:hAnsi="Times New Roman" w:cs="Times New Roman"/>
                      </w:rPr>
                      <w:t>公司预计于</w:t>
                    </w:r>
                    <w:r w:rsidRPr="00F447CE">
                      <w:rPr>
                        <w:rFonts w:ascii="Times New Roman" w:hAnsi="Times New Roman" w:cs="Times New Roman"/>
                      </w:rPr>
                      <w:t>2021</w:t>
                    </w:r>
                    <w:r w:rsidRPr="00F447CE">
                      <w:rPr>
                        <w:rFonts w:ascii="Times New Roman" w:hAnsi="Times New Roman" w:cs="Times New Roman"/>
                      </w:rPr>
                      <w:t>年度收取</w:t>
                    </w:r>
                    <w:r w:rsidRPr="00F447CE">
                      <w:rPr>
                        <w:rFonts w:ascii="Times New Roman" w:hAnsi="Times New Roman" w:cs="Times New Roman"/>
                      </w:rPr>
                      <w:t>5,945,175.00</w:t>
                    </w:r>
                    <w:r w:rsidRPr="00F447CE">
                      <w:rPr>
                        <w:rFonts w:ascii="Times New Roman" w:hAnsi="Times New Roman" w:cs="Times New Roman"/>
                      </w:rPr>
                      <w:t>元；依据文件：《关于埃夫特智能装备有限公司申请兑现</w:t>
                    </w:r>
                    <w:r w:rsidRPr="00F447CE">
                      <w:rPr>
                        <w:rFonts w:ascii="Times New Roman" w:hAnsi="Times New Roman" w:cs="Times New Roman"/>
                      </w:rPr>
                      <w:t>“</w:t>
                    </w:r>
                    <w:r w:rsidRPr="00F447CE">
                      <w:rPr>
                        <w:rFonts w:ascii="Times New Roman" w:hAnsi="Times New Roman" w:cs="Times New Roman"/>
                      </w:rPr>
                      <w:t>市机器人推广应用补贴</w:t>
                    </w:r>
                    <w:r w:rsidRPr="00F447CE">
                      <w:rPr>
                        <w:rFonts w:ascii="Times New Roman" w:hAnsi="Times New Roman" w:cs="Times New Roman"/>
                      </w:rPr>
                      <w:t>”</w:t>
                    </w:r>
                    <w:r w:rsidRPr="00F447CE">
                      <w:rPr>
                        <w:rFonts w:ascii="Times New Roman" w:hAnsi="Times New Roman" w:cs="Times New Roman"/>
                      </w:rPr>
                      <w:t>的情况说明》和《关于希美埃（芜湖）机器人技术有限公司申请兑现</w:t>
                    </w:r>
                    <w:r w:rsidRPr="00F447CE">
                      <w:rPr>
                        <w:rFonts w:ascii="Times New Roman" w:hAnsi="Times New Roman" w:cs="Times New Roman"/>
                      </w:rPr>
                      <w:t>“</w:t>
                    </w:r>
                    <w:r w:rsidRPr="00F447CE">
                      <w:rPr>
                        <w:rFonts w:ascii="Times New Roman" w:hAnsi="Times New Roman" w:cs="Times New Roman"/>
                      </w:rPr>
                      <w:t>市机器人推广应用补贴</w:t>
                    </w:r>
                    <w:r w:rsidRPr="00F447CE">
                      <w:rPr>
                        <w:rFonts w:ascii="Times New Roman" w:hAnsi="Times New Roman" w:cs="Times New Roman"/>
                      </w:rPr>
                      <w:t>”</w:t>
                    </w:r>
                    <w:r w:rsidRPr="00F447CE">
                      <w:rPr>
                        <w:rFonts w:ascii="Times New Roman" w:hAnsi="Times New Roman" w:cs="Times New Roman"/>
                      </w:rPr>
                      <w:t>的情况说明》</w:t>
                    </w:r>
                  </w:p>
                </w:tc>
              </w:tr>
            </w:sdtContent>
          </w:sdt>
        </w:tbl>
        <w:p w14:paraId="06AA3A2E" w14:textId="77777777" w:rsidR="00D21C1F" w:rsidRDefault="00A42880">
          <w:pPr>
            <w:snapToGrid w:val="0"/>
            <w:spacing w:line="240" w:lineRule="atLeast"/>
          </w:pPr>
          <w:r>
            <w:rPr>
              <w:rFonts w:hint="eastAsia"/>
            </w:rPr>
            <w:t>其他说明：</w:t>
          </w:r>
        </w:p>
        <w:sdt>
          <w:sdtPr>
            <w:alias w:val="涉及政府补助的应收款项说明"/>
            <w:tag w:val="_GBC_6dc1096f9fea43cdbbbb10ba5780581d"/>
            <w:id w:val="835495258"/>
            <w:lock w:val="sdtLocked"/>
            <w:placeholder>
              <w:docPart w:val="GBC22222222222222222222222222222"/>
            </w:placeholder>
          </w:sdtPr>
          <w:sdtEndPr/>
          <w:sdtContent>
            <w:p w14:paraId="4B86ABAF" w14:textId="77777777" w:rsidR="00D21C1F" w:rsidRDefault="00A42880">
              <w:pPr>
                <w:snapToGrid w:val="0"/>
                <w:spacing w:line="240" w:lineRule="atLeast"/>
              </w:pPr>
              <w:r>
                <w:rPr>
                  <w:rFonts w:hint="eastAsia"/>
                </w:rPr>
                <w:t>无</w:t>
              </w:r>
            </w:p>
          </w:sdtContent>
        </w:sdt>
        <w:p w14:paraId="08754287" w14:textId="77777777" w:rsidR="00D21C1F" w:rsidRDefault="00045EC6">
          <w:pPr>
            <w:snapToGrid w:val="0"/>
            <w:spacing w:line="240" w:lineRule="atLeast"/>
          </w:pPr>
        </w:p>
      </w:sdtContent>
    </w:sdt>
    <w:sdt>
      <w:sdtPr>
        <w:rPr>
          <w:rFonts w:ascii="宋体" w:eastAsia="宋体" w:hAnsi="宋体" w:cs="宋体"/>
          <w:b w:val="0"/>
          <w:bCs w:val="0"/>
          <w:kern w:val="0"/>
          <w:szCs w:val="24"/>
        </w:rPr>
        <w:alias w:val="模块:因金融资产转移而终止确认的其他应收款"/>
        <w:tag w:val="_GBC_73268e67b3d94deab59672a03d2cbd2a"/>
        <w:id w:val="267355907"/>
        <w:lock w:val="sdtLocked"/>
        <w:placeholder>
          <w:docPart w:val="GBC22222222222222222222222222222"/>
        </w:placeholder>
      </w:sdtPr>
      <w:sdtEndPr/>
      <w:sdtContent>
        <w:p w14:paraId="1585E261" w14:textId="77777777" w:rsidR="00D21C1F" w:rsidRDefault="00A42880">
          <w:pPr>
            <w:pStyle w:val="93"/>
            <w:numPr>
              <w:ilvl w:val="3"/>
              <w:numId w:val="100"/>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szCs w:val="21"/>
            </w:rPr>
            <w:alias w:val="是否适用：因金融资产转移而终止确认的其他应收款[双击切换]"/>
            <w:tag w:val="_GBC_0451c8b8783146d3a8ab851341e7f35b"/>
            <w:id w:val="491462136"/>
            <w:lock w:val="sdtLocked"/>
            <w:placeholder>
              <w:docPart w:val="GBC22222222222222222222222222222"/>
            </w:placeholder>
          </w:sdtPr>
          <w:sdtEndPr/>
          <w:sdtContent>
            <w:p w14:paraId="4C4A5298" w14:textId="77777777" w:rsidR="00D21C1F" w:rsidRDefault="00A42880">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A4F6344" w14:textId="77777777" w:rsidR="00D21C1F" w:rsidRDefault="00D21C1F">
      <w:pPr>
        <w:rPr>
          <w:szCs w:val="21"/>
        </w:rPr>
      </w:pPr>
    </w:p>
    <w:sdt>
      <w:sdtPr>
        <w:rPr>
          <w:rFonts w:ascii="宋体" w:eastAsia="宋体" w:hAnsi="宋体" w:cs="宋体" w:hint="eastAsia"/>
          <w:b w:val="0"/>
          <w:bCs w:val="0"/>
          <w:kern w:val="0"/>
          <w:szCs w:val="24"/>
        </w:rPr>
        <w:alias w:val="模块:转移其他应收款且继续涉入形成的资产、负债金额的说明"/>
        <w:tag w:val="_GBC_05496beed0c54ab3b5c0e91297ee374e"/>
        <w:id w:val="-578748307"/>
        <w:lock w:val="sdtLocked"/>
        <w:placeholder>
          <w:docPart w:val="GBC22222222222222222222222222222"/>
        </w:placeholder>
      </w:sdtPr>
      <w:sdtEndPr/>
      <w:sdtContent>
        <w:p w14:paraId="329FFD92" w14:textId="77777777" w:rsidR="00D21C1F" w:rsidRDefault="00A42880">
          <w:pPr>
            <w:pStyle w:val="93"/>
            <w:numPr>
              <w:ilvl w:val="3"/>
              <w:numId w:val="100"/>
            </w:numPr>
            <w:tabs>
              <w:tab w:val="left" w:pos="560"/>
            </w:tabs>
            <w:rPr>
              <w:rFonts w:ascii="宋体" w:hAnsi="宋体"/>
              <w:kern w:val="0"/>
            </w:rPr>
          </w:pPr>
          <w:r>
            <w:rPr>
              <w:rFonts w:ascii="宋体" w:hAnsi="宋体"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826902889"/>
            <w:lock w:val="sdtLocked"/>
            <w:placeholder>
              <w:docPart w:val="GBC22222222222222222222222222222"/>
            </w:placeholder>
          </w:sdtPr>
          <w:sdtEndPr/>
          <w:sdtContent>
            <w:p w14:paraId="3ECFAA06"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FBA75CE" w14:textId="77777777" w:rsidR="00D21C1F" w:rsidRDefault="00D21C1F">
      <w:pPr>
        <w:rPr>
          <w:szCs w:val="21"/>
        </w:rPr>
      </w:pPr>
    </w:p>
    <w:sdt>
      <w:sdtPr>
        <w:rPr>
          <w:rFonts w:eastAsia="宋体" w:hint="eastAsia"/>
          <w:b/>
          <w:bCs/>
        </w:rPr>
        <w:alias w:val="模块:其他应收款其他说明"/>
        <w:tag w:val="_GBC_de4246046d754793a6a2db96dd5bb245"/>
        <w:id w:val="-1443768163"/>
        <w:lock w:val="sdtLocked"/>
        <w:placeholder>
          <w:docPart w:val="GBC22222222222222222222222222222"/>
        </w:placeholder>
      </w:sdtPr>
      <w:sdtEndPr>
        <w:rPr>
          <w:b w:val="0"/>
          <w:bCs w:val="0"/>
        </w:rPr>
      </w:sdtEndPr>
      <w:sdtContent>
        <w:p w14:paraId="6F464091" w14:textId="77777777" w:rsidR="00D21C1F" w:rsidRDefault="00A42880">
          <w:pPr>
            <w:pStyle w:val="97"/>
          </w:pPr>
          <w:r>
            <w:rPr>
              <w:rFonts w:hint="eastAsia"/>
            </w:rPr>
            <w:t>其他</w:t>
          </w:r>
          <w:r>
            <w:t>说明：</w:t>
          </w:r>
        </w:p>
        <w:sdt>
          <w:sdtPr>
            <w:alias w:val="是否适用：其他应收款的其他说明[双击切换]"/>
            <w:tag w:val="_GBC_55d570440c184744bd13a4938ba488d1"/>
            <w:id w:val="-1858500449"/>
            <w:lock w:val="sdtLocked"/>
            <w:placeholder>
              <w:docPart w:val="GBC22222222222222222222222222222"/>
            </w:placeholder>
          </w:sdtPr>
          <w:sdtEndPr/>
          <w:sdtContent>
            <w:p w14:paraId="7527E79E"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6ED9CCD" w14:textId="77777777" w:rsidR="00D21C1F" w:rsidRDefault="00D21C1F">
      <w:pPr>
        <w:rPr>
          <w:szCs w:val="21"/>
        </w:rPr>
        <w:sectPr w:rsidR="00D21C1F">
          <w:pgSz w:w="11906" w:h="16838"/>
          <w:pgMar w:top="1525" w:right="1276" w:bottom="1440" w:left="1797" w:header="856" w:footer="992" w:gutter="0"/>
          <w:cols w:space="425"/>
          <w:docGrid w:linePitch="312"/>
        </w:sectPr>
      </w:pPr>
    </w:p>
    <w:p w14:paraId="34A51673" w14:textId="77777777" w:rsidR="00D21C1F" w:rsidRDefault="00A42880">
      <w:pPr>
        <w:pStyle w:val="94"/>
        <w:numPr>
          <w:ilvl w:val="0"/>
          <w:numId w:val="95"/>
        </w:numPr>
        <w:rPr>
          <w:rFonts w:ascii="宋体" w:hAnsi="宋体"/>
        </w:rPr>
      </w:pPr>
      <w:r>
        <w:rPr>
          <w:rFonts w:ascii="宋体" w:hAnsi="宋体" w:hint="eastAsia"/>
        </w:rPr>
        <w:lastRenderedPageBreak/>
        <w:t>存货</w:t>
      </w:r>
    </w:p>
    <w:bookmarkStart w:id="200" w:name="_Hlk10470159" w:displacedByCustomXml="next"/>
    <w:sdt>
      <w:sdtPr>
        <w:rPr>
          <w:rFonts w:ascii="宋体" w:eastAsia="宋体" w:hAnsi="宋体" w:cs="宋体" w:hint="eastAsia"/>
          <w:b w:val="0"/>
          <w:bCs w:val="0"/>
          <w:kern w:val="0"/>
          <w:szCs w:val="22"/>
        </w:rPr>
        <w:alias w:val="模块:存货分类 "/>
        <w:tag w:val="_GBC_1953ea50f68542df9fa36d84b994cf17"/>
        <w:id w:val="-1108431586"/>
        <w:lock w:val="sdtLocked"/>
        <w:placeholder>
          <w:docPart w:val="GBC22222222222222222222222222222"/>
        </w:placeholder>
      </w:sdtPr>
      <w:sdtEndPr>
        <w:rPr>
          <w:szCs w:val="21"/>
        </w:rPr>
      </w:sdtEndPr>
      <w:sdtContent>
        <w:p w14:paraId="3C5B1989" w14:textId="77777777" w:rsidR="00D21C1F" w:rsidRDefault="00A42880">
          <w:pPr>
            <w:pStyle w:val="93"/>
            <w:numPr>
              <w:ilvl w:val="0"/>
              <w:numId w:val="101"/>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1470017930"/>
            <w:lock w:val="sdtLocked"/>
            <w:placeholder>
              <w:docPart w:val="GBC22222222222222222222222222222"/>
            </w:placeholder>
          </w:sdtPr>
          <w:sdtEndPr/>
          <w:sdtContent>
            <w:p w14:paraId="0DEF7BD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6F474B" w14:textId="77777777" w:rsidR="00D21C1F" w:rsidRDefault="00A42880">
          <w:pPr>
            <w:jc w:val="right"/>
            <w:rPr>
              <w:szCs w:val="21"/>
            </w:rPr>
          </w:pPr>
          <w:r>
            <w:rPr>
              <w:rFonts w:hint="eastAsia"/>
              <w:szCs w:val="21"/>
            </w:rPr>
            <w:t>单位：</w:t>
          </w:r>
          <w:sdt>
            <w:sdtPr>
              <w:rPr>
                <w:rFonts w:hint="eastAsia"/>
                <w:szCs w:val="21"/>
              </w:rPr>
              <w:alias w:val="单位：财务附注：存货分类"/>
              <w:tag w:val="_GBC_cc6e1ec3be0141cbb25cf999a897b29b"/>
              <w:id w:val="18359512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存货分类"/>
              <w:tag w:val="_GBC_d85b2ad6790d4fa2ace1d773934cd4b3"/>
              <w:id w:val="358009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981"/>
            <w:gridCol w:w="1980"/>
            <w:gridCol w:w="1980"/>
            <w:gridCol w:w="1982"/>
            <w:gridCol w:w="1980"/>
            <w:gridCol w:w="1980"/>
            <w:gridCol w:w="1980"/>
          </w:tblGrid>
          <w:tr w:rsidR="00D21C1F" w14:paraId="25259EE1" w14:textId="77777777">
            <w:trPr>
              <w:cantSplit/>
            </w:trPr>
            <w:sdt>
              <w:sdtPr>
                <w:tag w:val="_PLD_48d855cd658044389f8d1cbe0016be78"/>
                <w:id w:val="2021275259"/>
                <w:lock w:val="sdtLocked"/>
              </w:sdtPr>
              <w:sdtEndPr/>
              <w:sdtContent>
                <w:tc>
                  <w:tcPr>
                    <w:tcW w:w="714" w:type="pct"/>
                    <w:vMerge w:val="restart"/>
                    <w:vAlign w:val="center"/>
                  </w:tcPr>
                  <w:p w14:paraId="430ECDB4" w14:textId="77777777" w:rsidR="00D21C1F" w:rsidRDefault="00A42880">
                    <w:pPr>
                      <w:jc w:val="center"/>
                      <w:rPr>
                        <w:szCs w:val="21"/>
                      </w:rPr>
                    </w:pPr>
                    <w:r>
                      <w:rPr>
                        <w:rFonts w:hint="eastAsia"/>
                        <w:szCs w:val="21"/>
                      </w:rPr>
                      <w:t>项目</w:t>
                    </w:r>
                  </w:p>
                </w:tc>
              </w:sdtContent>
            </w:sdt>
            <w:sdt>
              <w:sdtPr>
                <w:tag w:val="_PLD_586606f595aa4fff8214f9b6209260b6"/>
                <w:id w:val="1812597184"/>
                <w:lock w:val="sdtLocked"/>
              </w:sdtPr>
              <w:sdtEndPr/>
              <w:sdtContent>
                <w:tc>
                  <w:tcPr>
                    <w:tcW w:w="2143" w:type="pct"/>
                    <w:gridSpan w:val="3"/>
                    <w:vAlign w:val="center"/>
                  </w:tcPr>
                  <w:p w14:paraId="29F65AD8" w14:textId="77777777" w:rsidR="00D21C1F" w:rsidRDefault="00A42880">
                    <w:pPr>
                      <w:jc w:val="center"/>
                      <w:rPr>
                        <w:szCs w:val="21"/>
                      </w:rPr>
                    </w:pPr>
                    <w:r>
                      <w:rPr>
                        <w:rFonts w:hint="eastAsia"/>
                        <w:szCs w:val="21"/>
                      </w:rPr>
                      <w:t>期末余额</w:t>
                    </w:r>
                  </w:p>
                </w:tc>
              </w:sdtContent>
            </w:sdt>
            <w:sdt>
              <w:sdtPr>
                <w:tag w:val="_PLD_a1bbc97888494137a790328386c2b9d8"/>
                <w:id w:val="1511948465"/>
                <w:lock w:val="sdtLocked"/>
              </w:sdtPr>
              <w:sdtEndPr/>
              <w:sdtContent>
                <w:tc>
                  <w:tcPr>
                    <w:tcW w:w="2142" w:type="pct"/>
                    <w:gridSpan w:val="3"/>
                    <w:vAlign w:val="center"/>
                  </w:tcPr>
                  <w:p w14:paraId="6B07CBE2" w14:textId="77777777" w:rsidR="00D21C1F" w:rsidRDefault="00A42880">
                    <w:pPr>
                      <w:jc w:val="center"/>
                      <w:rPr>
                        <w:szCs w:val="21"/>
                      </w:rPr>
                    </w:pPr>
                    <w:r>
                      <w:rPr>
                        <w:rFonts w:hint="eastAsia"/>
                        <w:szCs w:val="21"/>
                      </w:rPr>
                      <w:t>期初余额</w:t>
                    </w:r>
                  </w:p>
                </w:tc>
              </w:sdtContent>
            </w:sdt>
          </w:tr>
          <w:tr w:rsidR="00D21C1F" w14:paraId="29295C3C" w14:textId="77777777">
            <w:trPr>
              <w:cantSplit/>
            </w:trPr>
            <w:tc>
              <w:tcPr>
                <w:tcW w:w="714" w:type="pct"/>
                <w:vMerge/>
              </w:tcPr>
              <w:p w14:paraId="2F4CE84B" w14:textId="77777777" w:rsidR="00D21C1F" w:rsidRDefault="00D21C1F">
                <w:pPr>
                  <w:ind w:right="5"/>
                  <w:jc w:val="center"/>
                  <w:rPr>
                    <w:szCs w:val="21"/>
                  </w:rPr>
                </w:pPr>
              </w:p>
            </w:tc>
            <w:sdt>
              <w:sdtPr>
                <w:tag w:val="_PLD_60368d835c2843d99b5061f4c84f8d8e"/>
                <w:id w:val="1387996835"/>
                <w:lock w:val="sdtLocked"/>
              </w:sdtPr>
              <w:sdtEndPr/>
              <w:sdtContent>
                <w:tc>
                  <w:tcPr>
                    <w:tcW w:w="714" w:type="pct"/>
                    <w:vAlign w:val="center"/>
                  </w:tcPr>
                  <w:p w14:paraId="347854D2" w14:textId="77777777" w:rsidR="00D21C1F" w:rsidRDefault="00A42880">
                    <w:pPr>
                      <w:ind w:right="5"/>
                      <w:jc w:val="center"/>
                      <w:rPr>
                        <w:szCs w:val="21"/>
                      </w:rPr>
                    </w:pPr>
                    <w:r>
                      <w:rPr>
                        <w:rFonts w:hint="eastAsia"/>
                        <w:szCs w:val="21"/>
                      </w:rPr>
                      <w:t>账面余额</w:t>
                    </w:r>
                  </w:p>
                </w:tc>
              </w:sdtContent>
            </w:sdt>
            <w:tc>
              <w:tcPr>
                <w:tcW w:w="714" w:type="pct"/>
                <w:vAlign w:val="center"/>
              </w:tcPr>
              <w:p w14:paraId="075AD263" w14:textId="77777777" w:rsidR="00D21C1F" w:rsidRDefault="00045EC6">
                <w:pPr>
                  <w:ind w:right="5"/>
                  <w:jc w:val="center"/>
                  <w:rPr>
                    <w:szCs w:val="21"/>
                  </w:rPr>
                </w:pPr>
                <w:sdt>
                  <w:sdtPr>
                    <w:tag w:val="_PLD_b5c53ce2a5004db988af9e72594f6b6a"/>
                    <w:id w:val="-1930653812"/>
                    <w:lock w:val="sdtLocked"/>
                  </w:sdtPr>
                  <w:sdtEndPr/>
                  <w:sdtContent>
                    <w:r w:rsidR="00A42880">
                      <w:rPr>
                        <w:rFonts w:hint="eastAsia"/>
                      </w:rPr>
                      <w:t>存货跌价准备</w:t>
                    </w:r>
                    <w:r w:rsidR="00A42880">
                      <w:t>/</w:t>
                    </w:r>
                    <w:r w:rsidR="00A42880">
                      <w:rPr>
                        <w:szCs w:val="21"/>
                      </w:rPr>
                      <w:t>合同履约成本减值准备</w:t>
                    </w:r>
                  </w:sdtContent>
                </w:sdt>
              </w:p>
            </w:tc>
            <w:sdt>
              <w:sdtPr>
                <w:tag w:val="_PLD_f2691cf723784fbcbc9a900f61c6e250"/>
                <w:id w:val="1530069260"/>
                <w:lock w:val="sdtLocked"/>
              </w:sdtPr>
              <w:sdtEndPr/>
              <w:sdtContent>
                <w:tc>
                  <w:tcPr>
                    <w:tcW w:w="714" w:type="pct"/>
                    <w:vAlign w:val="center"/>
                  </w:tcPr>
                  <w:p w14:paraId="4245C820" w14:textId="77777777" w:rsidR="00D21C1F" w:rsidRDefault="00A42880">
                    <w:pPr>
                      <w:ind w:right="5"/>
                      <w:jc w:val="center"/>
                      <w:rPr>
                        <w:szCs w:val="21"/>
                      </w:rPr>
                    </w:pPr>
                    <w:r>
                      <w:rPr>
                        <w:rFonts w:hint="eastAsia"/>
                        <w:szCs w:val="21"/>
                      </w:rPr>
                      <w:t>账面价值</w:t>
                    </w:r>
                  </w:p>
                </w:tc>
              </w:sdtContent>
            </w:sdt>
            <w:sdt>
              <w:sdtPr>
                <w:tag w:val="_PLD_df34ec94af0b441bab962cb42fe65b1a"/>
                <w:id w:val="2002078987"/>
                <w:lock w:val="sdtLocked"/>
              </w:sdtPr>
              <w:sdtEndPr/>
              <w:sdtContent>
                <w:tc>
                  <w:tcPr>
                    <w:tcW w:w="714" w:type="pct"/>
                    <w:vAlign w:val="center"/>
                  </w:tcPr>
                  <w:p w14:paraId="0A1B5B41" w14:textId="77777777" w:rsidR="00D21C1F" w:rsidRDefault="00A42880">
                    <w:pPr>
                      <w:ind w:right="5"/>
                      <w:jc w:val="center"/>
                      <w:rPr>
                        <w:szCs w:val="21"/>
                      </w:rPr>
                    </w:pPr>
                    <w:r>
                      <w:rPr>
                        <w:rFonts w:hint="eastAsia"/>
                        <w:szCs w:val="21"/>
                      </w:rPr>
                      <w:t>账面余额</w:t>
                    </w:r>
                  </w:p>
                </w:tc>
              </w:sdtContent>
            </w:sdt>
            <w:tc>
              <w:tcPr>
                <w:tcW w:w="714" w:type="pct"/>
                <w:vAlign w:val="center"/>
              </w:tcPr>
              <w:p w14:paraId="5688881B" w14:textId="77777777" w:rsidR="00D21C1F" w:rsidRDefault="00045EC6">
                <w:pPr>
                  <w:ind w:right="5"/>
                  <w:jc w:val="center"/>
                  <w:rPr>
                    <w:szCs w:val="21"/>
                  </w:rPr>
                </w:pPr>
                <w:sdt>
                  <w:sdtPr>
                    <w:tag w:val="_PLD_7a42c47b54924b47b9e161d8fd9fb840"/>
                    <w:id w:val="-384642367"/>
                    <w:lock w:val="sdtLocked"/>
                  </w:sdtPr>
                  <w:sdtEndPr/>
                  <w:sdtContent>
                    <w:r w:rsidR="00A42880">
                      <w:rPr>
                        <w:rFonts w:hint="eastAsia"/>
                      </w:rPr>
                      <w:t>存货跌价准备</w:t>
                    </w:r>
                    <w:r w:rsidR="00A42880">
                      <w:t>/</w:t>
                    </w:r>
                    <w:r w:rsidR="00A42880">
                      <w:rPr>
                        <w:szCs w:val="21"/>
                      </w:rPr>
                      <w:t>合同履约成本减值准备</w:t>
                    </w:r>
                  </w:sdtContent>
                </w:sdt>
              </w:p>
            </w:tc>
            <w:sdt>
              <w:sdtPr>
                <w:tag w:val="_PLD_0db3a7f82db34583bb111dc2a8e88f8c"/>
                <w:id w:val="-1448384430"/>
                <w:lock w:val="sdtLocked"/>
              </w:sdtPr>
              <w:sdtEndPr/>
              <w:sdtContent>
                <w:tc>
                  <w:tcPr>
                    <w:tcW w:w="714" w:type="pct"/>
                    <w:vAlign w:val="center"/>
                  </w:tcPr>
                  <w:p w14:paraId="4EDA5630" w14:textId="77777777" w:rsidR="00D21C1F" w:rsidRDefault="00A42880">
                    <w:pPr>
                      <w:ind w:right="5"/>
                      <w:jc w:val="center"/>
                      <w:rPr>
                        <w:szCs w:val="21"/>
                      </w:rPr>
                    </w:pPr>
                    <w:r>
                      <w:rPr>
                        <w:rFonts w:hint="eastAsia"/>
                        <w:szCs w:val="21"/>
                      </w:rPr>
                      <w:t>账面价值</w:t>
                    </w:r>
                  </w:p>
                </w:tc>
              </w:sdtContent>
            </w:sdt>
          </w:tr>
          <w:tr w:rsidR="00D21C1F" w14:paraId="4D53DCED" w14:textId="77777777">
            <w:trPr>
              <w:cantSplit/>
            </w:trPr>
            <w:sdt>
              <w:sdtPr>
                <w:tag w:val="_PLD_fca11404c29f48d0b5900b11850092d7"/>
                <w:id w:val="1745682601"/>
                <w:lock w:val="sdtLocked"/>
              </w:sdtPr>
              <w:sdtEndPr/>
              <w:sdtContent>
                <w:tc>
                  <w:tcPr>
                    <w:tcW w:w="714" w:type="pct"/>
                  </w:tcPr>
                  <w:p w14:paraId="32C439BF" w14:textId="77777777" w:rsidR="00D21C1F" w:rsidRDefault="00A42880">
                    <w:pPr>
                      <w:ind w:right="5"/>
                      <w:rPr>
                        <w:szCs w:val="21"/>
                      </w:rPr>
                    </w:pPr>
                    <w:r>
                      <w:rPr>
                        <w:rFonts w:hint="eastAsia"/>
                        <w:szCs w:val="21"/>
                      </w:rPr>
                      <w:t>原材料</w:t>
                    </w:r>
                  </w:p>
                </w:tc>
              </w:sdtContent>
            </w:sdt>
            <w:tc>
              <w:tcPr>
                <w:tcW w:w="714" w:type="pct"/>
                <w:vAlign w:val="center"/>
              </w:tcPr>
              <w:p w14:paraId="2CE826F6"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203,364,457.90</w:t>
                </w:r>
              </w:p>
            </w:tc>
            <w:tc>
              <w:tcPr>
                <w:tcW w:w="714" w:type="pct"/>
                <w:vAlign w:val="center"/>
              </w:tcPr>
              <w:p w14:paraId="612B6549"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20,832,547.84</w:t>
                </w:r>
              </w:p>
            </w:tc>
            <w:tc>
              <w:tcPr>
                <w:tcW w:w="714" w:type="pct"/>
                <w:vAlign w:val="center"/>
              </w:tcPr>
              <w:p w14:paraId="58D98B04"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182,531,910.06</w:t>
                </w:r>
              </w:p>
            </w:tc>
            <w:tc>
              <w:tcPr>
                <w:tcW w:w="714" w:type="pct"/>
                <w:vAlign w:val="center"/>
              </w:tcPr>
              <w:p w14:paraId="2CB70F11"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128,525,746.65</w:t>
                </w:r>
              </w:p>
            </w:tc>
            <w:tc>
              <w:tcPr>
                <w:tcW w:w="714" w:type="pct"/>
                <w:vAlign w:val="center"/>
              </w:tcPr>
              <w:p w14:paraId="05C9C743"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19,708,733.54</w:t>
                </w:r>
              </w:p>
            </w:tc>
            <w:tc>
              <w:tcPr>
                <w:tcW w:w="714" w:type="pct"/>
                <w:vAlign w:val="center"/>
              </w:tcPr>
              <w:p w14:paraId="28EDFEC7"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108,817,013.11</w:t>
                </w:r>
              </w:p>
            </w:tc>
          </w:tr>
          <w:tr w:rsidR="00D21C1F" w14:paraId="4B2FDA98" w14:textId="77777777">
            <w:trPr>
              <w:cantSplit/>
            </w:trPr>
            <w:sdt>
              <w:sdtPr>
                <w:tag w:val="_PLD_fd1bed46838a4d5189ec9ce131230221"/>
                <w:id w:val="-1412999353"/>
                <w:lock w:val="sdtLocked"/>
              </w:sdtPr>
              <w:sdtEndPr/>
              <w:sdtContent>
                <w:tc>
                  <w:tcPr>
                    <w:tcW w:w="714" w:type="pct"/>
                  </w:tcPr>
                  <w:p w14:paraId="254F58A0" w14:textId="77777777" w:rsidR="00D21C1F" w:rsidRDefault="00A42880">
                    <w:pPr>
                      <w:ind w:right="5"/>
                      <w:rPr>
                        <w:szCs w:val="21"/>
                      </w:rPr>
                    </w:pPr>
                    <w:r>
                      <w:rPr>
                        <w:rFonts w:hint="eastAsia"/>
                        <w:szCs w:val="21"/>
                      </w:rPr>
                      <w:t>在产品</w:t>
                    </w:r>
                  </w:p>
                </w:tc>
              </w:sdtContent>
            </w:sdt>
            <w:tc>
              <w:tcPr>
                <w:tcW w:w="714" w:type="pct"/>
                <w:vAlign w:val="center"/>
              </w:tcPr>
              <w:p w14:paraId="7007B482"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9,614,066.48</w:t>
                </w:r>
              </w:p>
            </w:tc>
            <w:tc>
              <w:tcPr>
                <w:tcW w:w="714" w:type="pct"/>
                <w:vAlign w:val="center"/>
              </w:tcPr>
              <w:p w14:paraId="72A4DCE1"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w:t>
                </w:r>
              </w:p>
            </w:tc>
            <w:tc>
              <w:tcPr>
                <w:tcW w:w="714" w:type="pct"/>
                <w:vAlign w:val="center"/>
              </w:tcPr>
              <w:p w14:paraId="39BA951B"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9,614,066.48</w:t>
                </w:r>
              </w:p>
            </w:tc>
            <w:tc>
              <w:tcPr>
                <w:tcW w:w="714" w:type="pct"/>
                <w:vAlign w:val="center"/>
              </w:tcPr>
              <w:p w14:paraId="45F6FFE7"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13,400,317.34</w:t>
                </w:r>
              </w:p>
            </w:tc>
            <w:tc>
              <w:tcPr>
                <w:tcW w:w="714" w:type="pct"/>
                <w:vAlign w:val="center"/>
              </w:tcPr>
              <w:p w14:paraId="2FC42B9E"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w:t>
                </w:r>
              </w:p>
            </w:tc>
            <w:tc>
              <w:tcPr>
                <w:tcW w:w="714" w:type="pct"/>
                <w:vAlign w:val="center"/>
              </w:tcPr>
              <w:p w14:paraId="13CA190E"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13,400,317.34</w:t>
                </w:r>
              </w:p>
            </w:tc>
          </w:tr>
          <w:tr w:rsidR="00D21C1F" w14:paraId="1EC9A4CB" w14:textId="77777777">
            <w:trPr>
              <w:cantSplit/>
            </w:trPr>
            <w:sdt>
              <w:sdtPr>
                <w:tag w:val="_PLD_f3ef3aac74534d258da438463abf925d"/>
                <w:id w:val="-1859807373"/>
                <w:lock w:val="sdtLocked"/>
              </w:sdtPr>
              <w:sdtEndPr/>
              <w:sdtContent>
                <w:tc>
                  <w:tcPr>
                    <w:tcW w:w="714" w:type="pct"/>
                  </w:tcPr>
                  <w:p w14:paraId="05E1CF04" w14:textId="77777777" w:rsidR="00D21C1F" w:rsidRDefault="00A42880">
                    <w:pPr>
                      <w:ind w:right="5"/>
                      <w:rPr>
                        <w:szCs w:val="21"/>
                      </w:rPr>
                    </w:pPr>
                    <w:r>
                      <w:rPr>
                        <w:rFonts w:hint="eastAsia"/>
                        <w:szCs w:val="21"/>
                      </w:rPr>
                      <w:t>库存商品</w:t>
                    </w:r>
                  </w:p>
                </w:tc>
              </w:sdtContent>
            </w:sdt>
            <w:tc>
              <w:tcPr>
                <w:tcW w:w="714" w:type="pct"/>
                <w:vAlign w:val="center"/>
              </w:tcPr>
              <w:p w14:paraId="42CF7F1B"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43,562,417.54</w:t>
                </w:r>
              </w:p>
            </w:tc>
            <w:tc>
              <w:tcPr>
                <w:tcW w:w="714" w:type="pct"/>
                <w:vAlign w:val="center"/>
              </w:tcPr>
              <w:p w14:paraId="2D4C008F"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900,967.90</w:t>
                </w:r>
              </w:p>
            </w:tc>
            <w:tc>
              <w:tcPr>
                <w:tcW w:w="714" w:type="pct"/>
                <w:vAlign w:val="center"/>
              </w:tcPr>
              <w:p w14:paraId="57BE27F1"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42,661,449.64</w:t>
                </w:r>
              </w:p>
            </w:tc>
            <w:tc>
              <w:tcPr>
                <w:tcW w:w="714" w:type="pct"/>
                <w:vAlign w:val="center"/>
              </w:tcPr>
              <w:p w14:paraId="350F3905"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39,501,168.83</w:t>
                </w:r>
              </w:p>
            </w:tc>
            <w:tc>
              <w:tcPr>
                <w:tcW w:w="714" w:type="pct"/>
                <w:vAlign w:val="center"/>
              </w:tcPr>
              <w:p w14:paraId="240B40F2"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794,883.87</w:t>
                </w:r>
              </w:p>
            </w:tc>
            <w:tc>
              <w:tcPr>
                <w:tcW w:w="714" w:type="pct"/>
                <w:vAlign w:val="center"/>
              </w:tcPr>
              <w:p w14:paraId="5EC74C5E"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38,706,284.96</w:t>
                </w:r>
              </w:p>
            </w:tc>
          </w:tr>
          <w:tr w:rsidR="00D21C1F" w14:paraId="26FB659F" w14:textId="77777777">
            <w:trPr>
              <w:cantSplit/>
            </w:trPr>
            <w:sdt>
              <w:sdtPr>
                <w:tag w:val="_PLD_3e735f5b7a3a46db9876dca2e24f8162"/>
                <w:id w:val="-2048130304"/>
                <w:lock w:val="sdtLocked"/>
              </w:sdtPr>
              <w:sdtEndPr/>
              <w:sdtContent>
                <w:tc>
                  <w:tcPr>
                    <w:tcW w:w="714" w:type="pct"/>
                  </w:tcPr>
                  <w:p w14:paraId="38C3AFC7" w14:textId="77777777" w:rsidR="00D21C1F" w:rsidRDefault="00A42880">
                    <w:pPr>
                      <w:autoSpaceDE w:val="0"/>
                      <w:autoSpaceDN w:val="0"/>
                      <w:adjustRightInd w:val="0"/>
                      <w:rPr>
                        <w:szCs w:val="21"/>
                      </w:rPr>
                    </w:pPr>
                    <w:r>
                      <w:rPr>
                        <w:rFonts w:hint="eastAsia"/>
                        <w:szCs w:val="21"/>
                      </w:rPr>
                      <w:t>周转材料</w:t>
                    </w:r>
                  </w:p>
                </w:tc>
              </w:sdtContent>
            </w:sdt>
            <w:tc>
              <w:tcPr>
                <w:tcW w:w="714" w:type="pct"/>
                <w:vAlign w:val="center"/>
              </w:tcPr>
              <w:p w14:paraId="463B2954"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1,598,855.90</w:t>
                </w:r>
              </w:p>
            </w:tc>
            <w:tc>
              <w:tcPr>
                <w:tcW w:w="714" w:type="pct"/>
                <w:vAlign w:val="center"/>
              </w:tcPr>
              <w:p w14:paraId="66AD52A8"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w:t>
                </w:r>
              </w:p>
            </w:tc>
            <w:tc>
              <w:tcPr>
                <w:tcW w:w="714" w:type="pct"/>
                <w:vAlign w:val="center"/>
              </w:tcPr>
              <w:p w14:paraId="2248DA63"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szCs w:val="21"/>
                  </w:rPr>
                  <w:t>1,598,855.90</w:t>
                </w:r>
              </w:p>
            </w:tc>
            <w:tc>
              <w:tcPr>
                <w:tcW w:w="714" w:type="pct"/>
                <w:vAlign w:val="center"/>
              </w:tcPr>
              <w:p w14:paraId="5FEEDC42"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1,411,357.88</w:t>
                </w:r>
              </w:p>
            </w:tc>
            <w:tc>
              <w:tcPr>
                <w:tcW w:w="714" w:type="pct"/>
                <w:vAlign w:val="center"/>
              </w:tcPr>
              <w:p w14:paraId="6984B713"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w:t>
                </w:r>
              </w:p>
            </w:tc>
            <w:tc>
              <w:tcPr>
                <w:tcW w:w="714" w:type="pct"/>
                <w:vAlign w:val="center"/>
              </w:tcPr>
              <w:p w14:paraId="237051B6"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1,411,357.88</w:t>
                </w:r>
              </w:p>
            </w:tc>
          </w:tr>
          <w:tr w:rsidR="00D21C1F" w14:paraId="6D77B603" w14:textId="77777777">
            <w:trPr>
              <w:cantSplit/>
            </w:trPr>
            <w:sdt>
              <w:sdtPr>
                <w:tag w:val="_PLD_c7f765ab16d04ed0965df8d114b73cb6"/>
                <w:id w:val="1395862144"/>
                <w:lock w:val="sdtLocked"/>
              </w:sdtPr>
              <w:sdtEndPr/>
              <w:sdtContent>
                <w:tc>
                  <w:tcPr>
                    <w:tcW w:w="714" w:type="pct"/>
                  </w:tcPr>
                  <w:p w14:paraId="15764893" w14:textId="77777777" w:rsidR="00D21C1F" w:rsidRDefault="00A42880">
                    <w:pPr>
                      <w:ind w:right="5"/>
                      <w:jc w:val="center"/>
                      <w:rPr>
                        <w:szCs w:val="21"/>
                      </w:rPr>
                    </w:pPr>
                    <w:r>
                      <w:rPr>
                        <w:rFonts w:hint="eastAsia"/>
                        <w:szCs w:val="21"/>
                      </w:rPr>
                      <w:t>合计</w:t>
                    </w:r>
                  </w:p>
                </w:tc>
              </w:sdtContent>
            </w:sdt>
            <w:tc>
              <w:tcPr>
                <w:tcW w:w="714" w:type="pct"/>
                <w:vAlign w:val="center"/>
              </w:tcPr>
              <w:p w14:paraId="75CAF1A3"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258,139,797.82</w:t>
                </w:r>
              </w:p>
            </w:tc>
            <w:tc>
              <w:tcPr>
                <w:tcW w:w="714" w:type="pct"/>
                <w:vAlign w:val="center"/>
              </w:tcPr>
              <w:p w14:paraId="05A4E9F0"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21,733,515.74</w:t>
                </w:r>
              </w:p>
            </w:tc>
            <w:tc>
              <w:tcPr>
                <w:tcW w:w="714" w:type="pct"/>
                <w:vAlign w:val="center"/>
              </w:tcPr>
              <w:p w14:paraId="22AF4912"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236,406,282.08</w:t>
                </w:r>
              </w:p>
            </w:tc>
            <w:tc>
              <w:tcPr>
                <w:tcW w:w="714" w:type="pct"/>
                <w:vAlign w:val="center"/>
              </w:tcPr>
              <w:p w14:paraId="399309D0"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182,838,590.70</w:t>
                </w:r>
              </w:p>
            </w:tc>
            <w:tc>
              <w:tcPr>
                <w:tcW w:w="714" w:type="pct"/>
                <w:vAlign w:val="center"/>
              </w:tcPr>
              <w:p w14:paraId="58EC34F9"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20,503,617.41</w:t>
                </w:r>
              </w:p>
            </w:tc>
            <w:tc>
              <w:tcPr>
                <w:tcW w:w="714" w:type="pct"/>
                <w:vAlign w:val="center"/>
              </w:tcPr>
              <w:p w14:paraId="78B90813"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szCs w:val="21"/>
                  </w:rPr>
                  <w:t>162,334,973.29</w:t>
                </w:r>
              </w:p>
            </w:tc>
          </w:tr>
        </w:tbl>
        <w:p w14:paraId="248E8DB3" w14:textId="77777777" w:rsidR="00D21C1F" w:rsidRDefault="00045EC6">
          <w:pPr>
            <w:rPr>
              <w:szCs w:val="21"/>
            </w:rPr>
          </w:pPr>
        </w:p>
      </w:sdtContent>
    </w:sdt>
    <w:bookmarkEnd w:id="200" w:displacedByCustomXml="next"/>
    <w:bookmarkStart w:id="201" w:name="_Hlk10470459" w:displacedByCustomXml="next"/>
    <w:sdt>
      <w:sdtPr>
        <w:rPr>
          <w:rFonts w:ascii="宋体" w:hAnsi="宋体" w:cs="宋体" w:hint="eastAsia"/>
          <w:b w:val="0"/>
          <w:bCs w:val="0"/>
          <w:kern w:val="0"/>
          <w:szCs w:val="24"/>
        </w:rPr>
        <w:alias w:val="模块:存货跌价准备"/>
        <w:tag w:val="_GBC_d00b46c41ac84794bd1f7b10e97923a0"/>
        <w:id w:val="-1047533969"/>
        <w:lock w:val="sdtLocked"/>
        <w:placeholder>
          <w:docPart w:val="GBC22222222222222222222222222222"/>
        </w:placeholder>
      </w:sdtPr>
      <w:sdtEndPr/>
      <w:sdtContent>
        <w:p w14:paraId="0BDEC234" w14:textId="77777777" w:rsidR="00D21C1F" w:rsidRDefault="00A42880">
          <w:pPr>
            <w:pStyle w:val="93"/>
            <w:numPr>
              <w:ilvl w:val="0"/>
              <w:numId w:val="101"/>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878401524"/>
            <w:lock w:val="sdtLocked"/>
            <w:placeholder>
              <w:docPart w:val="GBC22222222222222222222222222222"/>
            </w:placeholder>
          </w:sdtPr>
          <w:sdtEndPr/>
          <w:sdtContent>
            <w:p w14:paraId="7BCD04E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410A3A" w14:textId="77777777" w:rsidR="00D21C1F" w:rsidRDefault="00A42880">
          <w:pPr>
            <w:jc w:val="right"/>
            <w:rPr>
              <w:szCs w:val="21"/>
            </w:rPr>
          </w:pPr>
          <w:r>
            <w:rPr>
              <w:rFonts w:hint="eastAsia"/>
              <w:szCs w:val="21"/>
            </w:rPr>
            <w:t>单位：</w:t>
          </w:r>
          <w:sdt>
            <w:sdtPr>
              <w:rPr>
                <w:rFonts w:hint="eastAsia"/>
                <w:szCs w:val="21"/>
              </w:rPr>
              <w:alias w:val="单位：存货跌价准备"/>
              <w:tag w:val="_GBC_42225a9505da4f598594afea08f9738b"/>
              <w:id w:val="72795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存货跌价准备"/>
              <w:tag w:val="_GBC_4de434e29d00482b8b3175d1e7874ff2"/>
              <w:id w:val="-1601476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388"/>
            <w:gridCol w:w="2391"/>
            <w:gridCol w:w="1347"/>
            <w:gridCol w:w="1941"/>
            <w:gridCol w:w="1245"/>
            <w:gridCol w:w="2429"/>
          </w:tblGrid>
          <w:tr w:rsidR="00D21C1F" w14:paraId="36DBDE73" w14:textId="77777777">
            <w:trPr>
              <w:trHeight w:val="238"/>
            </w:trPr>
            <w:sdt>
              <w:sdtPr>
                <w:tag w:val="_PLD_08d27e088675483b81e6b09cfaf565b8"/>
                <w:id w:val="-1983840086"/>
                <w:lock w:val="sdtLocked"/>
              </w:sdtPr>
              <w:sdtEndPr/>
              <w:sdtContent>
                <w:tc>
                  <w:tcPr>
                    <w:tcW w:w="765" w:type="pct"/>
                    <w:vMerge w:val="restart"/>
                    <w:tcBorders>
                      <w:top w:val="single" w:sz="4" w:space="0" w:color="auto"/>
                      <w:left w:val="single" w:sz="4" w:space="0" w:color="auto"/>
                      <w:bottom w:val="single" w:sz="4" w:space="0" w:color="auto"/>
                      <w:right w:val="single" w:sz="4" w:space="0" w:color="auto"/>
                    </w:tcBorders>
                    <w:vAlign w:val="center"/>
                  </w:tcPr>
                  <w:p w14:paraId="7132087E" w14:textId="77777777" w:rsidR="00D21C1F" w:rsidRDefault="00A42880">
                    <w:pPr>
                      <w:jc w:val="center"/>
                      <w:rPr>
                        <w:szCs w:val="21"/>
                      </w:rPr>
                    </w:pPr>
                    <w:r>
                      <w:rPr>
                        <w:rFonts w:hint="eastAsia"/>
                        <w:szCs w:val="21"/>
                      </w:rPr>
                      <w:t>项目</w:t>
                    </w:r>
                  </w:p>
                </w:tc>
              </w:sdtContent>
            </w:sdt>
            <w:sdt>
              <w:sdtPr>
                <w:tag w:val="_PLD_631ae60526c9437f842913d632c47f24"/>
                <w:id w:val="-1084287589"/>
                <w:lock w:val="sdtLocked"/>
              </w:sdtPr>
              <w:sdtEndPr/>
              <w:sdtContent>
                <w:tc>
                  <w:tcPr>
                    <w:tcW w:w="861" w:type="pct"/>
                    <w:vMerge w:val="restart"/>
                    <w:tcBorders>
                      <w:top w:val="single" w:sz="4" w:space="0" w:color="auto"/>
                      <w:left w:val="single" w:sz="4" w:space="0" w:color="auto"/>
                      <w:bottom w:val="single" w:sz="4" w:space="0" w:color="auto"/>
                      <w:right w:val="single" w:sz="4" w:space="0" w:color="auto"/>
                    </w:tcBorders>
                    <w:vAlign w:val="center"/>
                  </w:tcPr>
                  <w:p w14:paraId="277CB72C" w14:textId="77777777" w:rsidR="00D21C1F" w:rsidRDefault="00A42880">
                    <w:pPr>
                      <w:jc w:val="center"/>
                      <w:rPr>
                        <w:szCs w:val="21"/>
                      </w:rPr>
                    </w:pPr>
                    <w:r>
                      <w:rPr>
                        <w:rFonts w:hint="eastAsia"/>
                        <w:szCs w:val="21"/>
                      </w:rPr>
                      <w:t>期初余额</w:t>
                    </w:r>
                  </w:p>
                </w:tc>
              </w:sdtContent>
            </w:sdt>
            <w:sdt>
              <w:sdtPr>
                <w:tag w:val="_PLD_bc39054479074b8ab34cb8519780a5f1"/>
                <w:id w:val="722799396"/>
                <w:lock w:val="sdtLocked"/>
              </w:sdtPr>
              <w:sdtEndPr/>
              <w:sdtContent>
                <w:tc>
                  <w:tcPr>
                    <w:tcW w:w="1348" w:type="pct"/>
                    <w:gridSpan w:val="2"/>
                    <w:tcBorders>
                      <w:top w:val="single" w:sz="4" w:space="0" w:color="auto"/>
                      <w:left w:val="single" w:sz="4" w:space="0" w:color="auto"/>
                      <w:right w:val="single" w:sz="4" w:space="0" w:color="auto"/>
                    </w:tcBorders>
                    <w:vAlign w:val="center"/>
                  </w:tcPr>
                  <w:p w14:paraId="768BE507" w14:textId="77777777" w:rsidR="00D21C1F" w:rsidRDefault="00A42880">
                    <w:pPr>
                      <w:jc w:val="center"/>
                      <w:rPr>
                        <w:szCs w:val="21"/>
                      </w:rPr>
                    </w:pPr>
                    <w:r>
                      <w:rPr>
                        <w:rFonts w:hint="eastAsia"/>
                        <w:szCs w:val="21"/>
                      </w:rPr>
                      <w:t>本期增加金额</w:t>
                    </w:r>
                  </w:p>
                </w:tc>
              </w:sdtContent>
            </w:sdt>
            <w:sdt>
              <w:sdtPr>
                <w:tag w:val="_PLD_a4a235b43e524c0c98a604df05693747"/>
                <w:id w:val="-1067251340"/>
                <w:lock w:val="sdtLocked"/>
              </w:sdtPr>
              <w:sdtEndPr/>
              <w:sdtContent>
                <w:tc>
                  <w:tcPr>
                    <w:tcW w:w="1149" w:type="pct"/>
                    <w:gridSpan w:val="2"/>
                    <w:tcBorders>
                      <w:top w:val="single" w:sz="4" w:space="0" w:color="auto"/>
                      <w:left w:val="single" w:sz="4" w:space="0" w:color="auto"/>
                      <w:right w:val="single" w:sz="4" w:space="0" w:color="auto"/>
                    </w:tcBorders>
                    <w:vAlign w:val="center"/>
                  </w:tcPr>
                  <w:p w14:paraId="6FDE39C6" w14:textId="77777777" w:rsidR="00D21C1F" w:rsidRDefault="00A42880">
                    <w:pPr>
                      <w:jc w:val="center"/>
                      <w:rPr>
                        <w:szCs w:val="21"/>
                      </w:rPr>
                    </w:pPr>
                    <w:r>
                      <w:rPr>
                        <w:rFonts w:hint="eastAsia"/>
                        <w:szCs w:val="21"/>
                      </w:rPr>
                      <w:t>本期减少金额</w:t>
                    </w:r>
                  </w:p>
                </w:tc>
              </w:sdtContent>
            </w:sdt>
            <w:sdt>
              <w:sdtPr>
                <w:tag w:val="_PLD_fcea706dd57f438c8205de888401e160"/>
                <w:id w:val="-98111503"/>
                <w:lock w:val="sdtLocked"/>
              </w:sdtPr>
              <w:sdtEndPr/>
              <w:sdtContent>
                <w:tc>
                  <w:tcPr>
                    <w:tcW w:w="876" w:type="pct"/>
                    <w:vMerge w:val="restart"/>
                    <w:tcBorders>
                      <w:top w:val="single" w:sz="4" w:space="0" w:color="auto"/>
                      <w:left w:val="single" w:sz="4" w:space="0" w:color="auto"/>
                      <w:bottom w:val="single" w:sz="4" w:space="0" w:color="auto"/>
                      <w:right w:val="single" w:sz="4" w:space="0" w:color="auto"/>
                    </w:tcBorders>
                    <w:vAlign w:val="center"/>
                  </w:tcPr>
                  <w:p w14:paraId="3B5B4110" w14:textId="77777777" w:rsidR="00D21C1F" w:rsidRDefault="00A42880">
                    <w:pPr>
                      <w:jc w:val="center"/>
                      <w:rPr>
                        <w:szCs w:val="21"/>
                      </w:rPr>
                    </w:pPr>
                    <w:r>
                      <w:rPr>
                        <w:rFonts w:hint="eastAsia"/>
                        <w:szCs w:val="21"/>
                      </w:rPr>
                      <w:t>期末余额</w:t>
                    </w:r>
                  </w:p>
                </w:tc>
              </w:sdtContent>
            </w:sdt>
          </w:tr>
          <w:tr w:rsidR="00D21C1F" w14:paraId="2841FC9A" w14:textId="77777777">
            <w:trPr>
              <w:trHeight w:val="301"/>
            </w:trPr>
            <w:tc>
              <w:tcPr>
                <w:tcW w:w="765" w:type="pct"/>
                <w:vMerge/>
                <w:tcBorders>
                  <w:top w:val="single" w:sz="4" w:space="0" w:color="auto"/>
                  <w:left w:val="single" w:sz="4" w:space="0" w:color="auto"/>
                  <w:bottom w:val="single" w:sz="4" w:space="0" w:color="auto"/>
                  <w:right w:val="single" w:sz="4" w:space="0" w:color="auto"/>
                </w:tcBorders>
              </w:tcPr>
              <w:p w14:paraId="2BF1C13D" w14:textId="77777777" w:rsidR="00D21C1F" w:rsidRDefault="00D21C1F">
                <w:pPr>
                  <w:jc w:val="center"/>
                  <w:rPr>
                    <w:szCs w:val="21"/>
                  </w:rPr>
                </w:pPr>
              </w:p>
            </w:tc>
            <w:tc>
              <w:tcPr>
                <w:tcW w:w="861" w:type="pct"/>
                <w:vMerge/>
                <w:tcBorders>
                  <w:top w:val="single" w:sz="4" w:space="0" w:color="auto"/>
                  <w:left w:val="single" w:sz="4" w:space="0" w:color="auto"/>
                  <w:bottom w:val="single" w:sz="4" w:space="0" w:color="auto"/>
                  <w:right w:val="single" w:sz="4" w:space="0" w:color="auto"/>
                </w:tcBorders>
              </w:tcPr>
              <w:p w14:paraId="748F045E" w14:textId="77777777" w:rsidR="00D21C1F" w:rsidRDefault="00D21C1F">
                <w:pPr>
                  <w:jc w:val="center"/>
                  <w:rPr>
                    <w:szCs w:val="21"/>
                  </w:rPr>
                </w:pPr>
              </w:p>
            </w:tc>
            <w:sdt>
              <w:sdtPr>
                <w:tag w:val="_PLD_9355443eafab4f4a862c075a55d7e279"/>
                <w:id w:val="1407415466"/>
                <w:lock w:val="sdtLocked"/>
              </w:sdtPr>
              <w:sdtEndPr/>
              <w:sdtContent>
                <w:tc>
                  <w:tcPr>
                    <w:tcW w:w="862" w:type="pct"/>
                    <w:tcBorders>
                      <w:left w:val="single" w:sz="4" w:space="0" w:color="auto"/>
                      <w:bottom w:val="single" w:sz="4" w:space="0" w:color="auto"/>
                      <w:right w:val="single" w:sz="4" w:space="0" w:color="auto"/>
                    </w:tcBorders>
                    <w:vAlign w:val="center"/>
                  </w:tcPr>
                  <w:p w14:paraId="2DA787BB" w14:textId="77777777" w:rsidR="00D21C1F" w:rsidRDefault="00A42880">
                    <w:pPr>
                      <w:jc w:val="center"/>
                      <w:rPr>
                        <w:szCs w:val="21"/>
                      </w:rPr>
                    </w:pPr>
                    <w:r>
                      <w:rPr>
                        <w:rFonts w:hint="eastAsia"/>
                        <w:szCs w:val="21"/>
                      </w:rPr>
                      <w:t>计提</w:t>
                    </w:r>
                  </w:p>
                </w:tc>
              </w:sdtContent>
            </w:sdt>
            <w:sdt>
              <w:sdtPr>
                <w:tag w:val="_PLD_e67cdd42c79245c980edb6a9d839ecd0"/>
                <w:id w:val="122661821"/>
                <w:lock w:val="sdtLocked"/>
              </w:sdtPr>
              <w:sdtEndPr/>
              <w:sdtContent>
                <w:tc>
                  <w:tcPr>
                    <w:tcW w:w="486" w:type="pct"/>
                    <w:tcBorders>
                      <w:left w:val="single" w:sz="4" w:space="0" w:color="auto"/>
                      <w:bottom w:val="single" w:sz="4" w:space="0" w:color="auto"/>
                      <w:right w:val="single" w:sz="4" w:space="0" w:color="auto"/>
                    </w:tcBorders>
                    <w:vAlign w:val="center"/>
                  </w:tcPr>
                  <w:p w14:paraId="0F0ED4E6" w14:textId="77777777" w:rsidR="00D21C1F" w:rsidRDefault="00A42880">
                    <w:pPr>
                      <w:jc w:val="center"/>
                      <w:rPr>
                        <w:szCs w:val="21"/>
                      </w:rPr>
                    </w:pPr>
                    <w:r>
                      <w:rPr>
                        <w:rFonts w:hint="eastAsia"/>
                        <w:szCs w:val="21"/>
                      </w:rPr>
                      <w:t>其他</w:t>
                    </w:r>
                  </w:p>
                </w:tc>
              </w:sdtContent>
            </w:sdt>
            <w:sdt>
              <w:sdtPr>
                <w:tag w:val="_PLD_d2a5b409858c40b5a77dea8d7f7c8500"/>
                <w:id w:val="-518770098"/>
                <w:lock w:val="sdtLocked"/>
              </w:sdtPr>
              <w:sdtEndPr/>
              <w:sdtContent>
                <w:tc>
                  <w:tcPr>
                    <w:tcW w:w="700" w:type="pct"/>
                    <w:tcBorders>
                      <w:top w:val="single" w:sz="4" w:space="0" w:color="auto"/>
                      <w:left w:val="single" w:sz="4" w:space="0" w:color="auto"/>
                      <w:bottom w:val="single" w:sz="4" w:space="0" w:color="auto"/>
                      <w:right w:val="single" w:sz="4" w:space="0" w:color="auto"/>
                    </w:tcBorders>
                    <w:vAlign w:val="center"/>
                  </w:tcPr>
                  <w:p w14:paraId="470A255D" w14:textId="77777777" w:rsidR="00D21C1F" w:rsidRDefault="00A42880">
                    <w:pPr>
                      <w:jc w:val="center"/>
                      <w:rPr>
                        <w:szCs w:val="21"/>
                      </w:rPr>
                    </w:pPr>
                    <w:r>
                      <w:rPr>
                        <w:rFonts w:hint="eastAsia"/>
                        <w:szCs w:val="21"/>
                      </w:rPr>
                      <w:t>转回或转销</w:t>
                    </w:r>
                  </w:p>
                </w:tc>
              </w:sdtContent>
            </w:sdt>
            <w:sdt>
              <w:sdtPr>
                <w:tag w:val="_PLD_a0a39eeb19a049d18a777b0dc41ab25e"/>
                <w:id w:val="642542981"/>
                <w:lock w:val="sdtLocked"/>
              </w:sdtPr>
              <w:sdtEndPr/>
              <w:sdtContent>
                <w:tc>
                  <w:tcPr>
                    <w:tcW w:w="449" w:type="pct"/>
                    <w:tcBorders>
                      <w:top w:val="single" w:sz="4" w:space="0" w:color="auto"/>
                      <w:left w:val="single" w:sz="4" w:space="0" w:color="auto"/>
                      <w:bottom w:val="single" w:sz="4" w:space="0" w:color="auto"/>
                      <w:right w:val="single" w:sz="4" w:space="0" w:color="auto"/>
                    </w:tcBorders>
                    <w:vAlign w:val="center"/>
                  </w:tcPr>
                  <w:p w14:paraId="6B484842" w14:textId="77777777" w:rsidR="00D21C1F" w:rsidRDefault="00A42880">
                    <w:pPr>
                      <w:jc w:val="center"/>
                      <w:rPr>
                        <w:szCs w:val="21"/>
                      </w:rPr>
                    </w:pPr>
                    <w:r>
                      <w:rPr>
                        <w:rFonts w:hint="eastAsia"/>
                        <w:szCs w:val="21"/>
                      </w:rPr>
                      <w:t>其他</w:t>
                    </w:r>
                  </w:p>
                </w:tc>
              </w:sdtContent>
            </w:sdt>
            <w:tc>
              <w:tcPr>
                <w:tcW w:w="876" w:type="pct"/>
                <w:vMerge/>
                <w:tcBorders>
                  <w:top w:val="single" w:sz="4" w:space="0" w:color="auto"/>
                  <w:left w:val="single" w:sz="4" w:space="0" w:color="auto"/>
                  <w:bottom w:val="single" w:sz="4" w:space="0" w:color="auto"/>
                  <w:right w:val="single" w:sz="4" w:space="0" w:color="auto"/>
                </w:tcBorders>
                <w:vAlign w:val="center"/>
              </w:tcPr>
              <w:p w14:paraId="4F090642" w14:textId="77777777" w:rsidR="00D21C1F" w:rsidRDefault="00D21C1F">
                <w:pPr>
                  <w:jc w:val="center"/>
                  <w:rPr>
                    <w:szCs w:val="21"/>
                  </w:rPr>
                </w:pPr>
              </w:p>
            </w:tc>
          </w:tr>
          <w:tr w:rsidR="00D21C1F" w14:paraId="7A6A7D93" w14:textId="77777777">
            <w:trPr>
              <w:trHeight w:val="20"/>
            </w:trPr>
            <w:sdt>
              <w:sdtPr>
                <w:tag w:val="_PLD_c1481e0b38784604952d1b8f75adf1fa"/>
                <w:id w:val="-283968426"/>
                <w:lock w:val="sdtLocked"/>
              </w:sdtPr>
              <w:sdtEndPr/>
              <w:sdtContent>
                <w:tc>
                  <w:tcPr>
                    <w:tcW w:w="765" w:type="pct"/>
                    <w:tcBorders>
                      <w:top w:val="single" w:sz="4" w:space="0" w:color="auto"/>
                      <w:left w:val="single" w:sz="4" w:space="0" w:color="auto"/>
                      <w:bottom w:val="single" w:sz="4" w:space="0" w:color="auto"/>
                      <w:right w:val="single" w:sz="4" w:space="0" w:color="auto"/>
                    </w:tcBorders>
                  </w:tcPr>
                  <w:p w14:paraId="068465A2" w14:textId="77777777" w:rsidR="00D21C1F" w:rsidRDefault="00A42880">
                    <w:pPr>
                      <w:rPr>
                        <w:szCs w:val="21"/>
                      </w:rPr>
                    </w:pPr>
                    <w:r>
                      <w:rPr>
                        <w:rFonts w:hint="eastAsia"/>
                        <w:szCs w:val="21"/>
                      </w:rPr>
                      <w:t>原材料</w:t>
                    </w:r>
                  </w:p>
                </w:tc>
              </w:sdtContent>
            </w:sdt>
            <w:tc>
              <w:tcPr>
                <w:tcW w:w="861" w:type="pct"/>
                <w:tcBorders>
                  <w:top w:val="single" w:sz="4" w:space="0" w:color="auto"/>
                  <w:left w:val="single" w:sz="4" w:space="0" w:color="auto"/>
                  <w:bottom w:val="single" w:sz="4" w:space="0" w:color="auto"/>
                  <w:right w:val="single" w:sz="4" w:space="0" w:color="auto"/>
                </w:tcBorders>
                <w:vAlign w:val="center"/>
              </w:tcPr>
              <w:p w14:paraId="203BA87B"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19,708,733.54</w:t>
                </w:r>
              </w:p>
            </w:tc>
            <w:tc>
              <w:tcPr>
                <w:tcW w:w="862" w:type="pct"/>
                <w:tcBorders>
                  <w:top w:val="single" w:sz="4" w:space="0" w:color="auto"/>
                  <w:left w:val="single" w:sz="4" w:space="0" w:color="auto"/>
                  <w:bottom w:val="single" w:sz="4" w:space="0" w:color="auto"/>
                  <w:right w:val="single" w:sz="4" w:space="0" w:color="auto"/>
                </w:tcBorders>
                <w:vAlign w:val="center"/>
              </w:tcPr>
              <w:p w14:paraId="2BBB4C1A"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1,832,222.62</w:t>
                </w:r>
              </w:p>
            </w:tc>
            <w:tc>
              <w:tcPr>
                <w:tcW w:w="486" w:type="pct"/>
                <w:tcBorders>
                  <w:top w:val="single" w:sz="4" w:space="0" w:color="auto"/>
                  <w:left w:val="single" w:sz="4" w:space="0" w:color="auto"/>
                  <w:bottom w:val="single" w:sz="4" w:space="0" w:color="auto"/>
                  <w:right w:val="single" w:sz="4" w:space="0" w:color="auto"/>
                </w:tcBorders>
                <w:vAlign w:val="center"/>
              </w:tcPr>
              <w:p w14:paraId="4B635DFB"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700" w:type="pct"/>
                <w:tcBorders>
                  <w:top w:val="single" w:sz="4" w:space="0" w:color="auto"/>
                  <w:left w:val="single" w:sz="4" w:space="0" w:color="auto"/>
                  <w:bottom w:val="single" w:sz="4" w:space="0" w:color="auto"/>
                  <w:right w:val="single" w:sz="4" w:space="0" w:color="auto"/>
                </w:tcBorders>
                <w:vAlign w:val="center"/>
              </w:tcPr>
              <w:p w14:paraId="3E194C89"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708,408.32</w:t>
                </w:r>
              </w:p>
            </w:tc>
            <w:tc>
              <w:tcPr>
                <w:tcW w:w="449" w:type="pct"/>
                <w:tcBorders>
                  <w:top w:val="single" w:sz="4" w:space="0" w:color="auto"/>
                  <w:left w:val="single" w:sz="4" w:space="0" w:color="auto"/>
                  <w:bottom w:val="single" w:sz="4" w:space="0" w:color="auto"/>
                  <w:right w:val="single" w:sz="4" w:space="0" w:color="auto"/>
                </w:tcBorders>
                <w:vAlign w:val="center"/>
              </w:tcPr>
              <w:p w14:paraId="6B9A0240"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876" w:type="pct"/>
                <w:tcBorders>
                  <w:top w:val="single" w:sz="4" w:space="0" w:color="auto"/>
                  <w:left w:val="single" w:sz="4" w:space="0" w:color="auto"/>
                  <w:bottom w:val="single" w:sz="4" w:space="0" w:color="auto"/>
                  <w:right w:val="single" w:sz="4" w:space="0" w:color="auto"/>
                </w:tcBorders>
                <w:vAlign w:val="center"/>
              </w:tcPr>
              <w:p w14:paraId="0E555354"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20,832,547.84</w:t>
                </w:r>
              </w:p>
            </w:tc>
          </w:tr>
          <w:tr w:rsidR="00D21C1F" w14:paraId="37C07283" w14:textId="77777777">
            <w:trPr>
              <w:trHeight w:val="20"/>
            </w:trPr>
            <w:sdt>
              <w:sdtPr>
                <w:tag w:val="_PLD_2d5756cc0cf342bb9a74d89236e6d498"/>
                <w:id w:val="-434364027"/>
                <w:lock w:val="sdtLocked"/>
              </w:sdtPr>
              <w:sdtEndPr/>
              <w:sdtContent>
                <w:tc>
                  <w:tcPr>
                    <w:tcW w:w="765" w:type="pct"/>
                    <w:tcBorders>
                      <w:top w:val="single" w:sz="4" w:space="0" w:color="auto"/>
                      <w:left w:val="single" w:sz="4" w:space="0" w:color="auto"/>
                      <w:bottom w:val="single" w:sz="4" w:space="0" w:color="auto"/>
                      <w:right w:val="single" w:sz="4" w:space="0" w:color="auto"/>
                    </w:tcBorders>
                  </w:tcPr>
                  <w:p w14:paraId="62607C37" w14:textId="77777777" w:rsidR="00D21C1F" w:rsidRDefault="00A42880">
                    <w:pPr>
                      <w:rPr>
                        <w:szCs w:val="21"/>
                      </w:rPr>
                    </w:pPr>
                    <w:r>
                      <w:rPr>
                        <w:rFonts w:hint="eastAsia"/>
                        <w:szCs w:val="21"/>
                      </w:rPr>
                      <w:t>库存商品</w:t>
                    </w:r>
                  </w:p>
                </w:tc>
              </w:sdtContent>
            </w:sdt>
            <w:tc>
              <w:tcPr>
                <w:tcW w:w="861" w:type="pct"/>
                <w:tcBorders>
                  <w:top w:val="single" w:sz="4" w:space="0" w:color="auto"/>
                  <w:left w:val="single" w:sz="4" w:space="0" w:color="auto"/>
                  <w:bottom w:val="single" w:sz="4" w:space="0" w:color="auto"/>
                  <w:right w:val="single" w:sz="4" w:space="0" w:color="auto"/>
                </w:tcBorders>
                <w:vAlign w:val="center"/>
              </w:tcPr>
              <w:p w14:paraId="2A8A4816"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794,883.87</w:t>
                </w:r>
              </w:p>
            </w:tc>
            <w:tc>
              <w:tcPr>
                <w:tcW w:w="862" w:type="pct"/>
                <w:tcBorders>
                  <w:top w:val="single" w:sz="4" w:space="0" w:color="auto"/>
                  <w:left w:val="single" w:sz="4" w:space="0" w:color="auto"/>
                  <w:bottom w:val="single" w:sz="4" w:space="0" w:color="auto"/>
                  <w:right w:val="single" w:sz="4" w:space="0" w:color="auto"/>
                </w:tcBorders>
                <w:vAlign w:val="center"/>
              </w:tcPr>
              <w:p w14:paraId="15FC425F"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106,084.03</w:t>
                </w:r>
              </w:p>
            </w:tc>
            <w:tc>
              <w:tcPr>
                <w:tcW w:w="486" w:type="pct"/>
                <w:tcBorders>
                  <w:top w:val="single" w:sz="4" w:space="0" w:color="auto"/>
                  <w:left w:val="single" w:sz="4" w:space="0" w:color="auto"/>
                  <w:bottom w:val="single" w:sz="4" w:space="0" w:color="auto"/>
                  <w:right w:val="single" w:sz="4" w:space="0" w:color="auto"/>
                </w:tcBorders>
                <w:vAlign w:val="center"/>
              </w:tcPr>
              <w:p w14:paraId="098AE9D7"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700" w:type="pct"/>
                <w:tcBorders>
                  <w:top w:val="single" w:sz="4" w:space="0" w:color="auto"/>
                  <w:left w:val="single" w:sz="4" w:space="0" w:color="auto"/>
                  <w:bottom w:val="single" w:sz="4" w:space="0" w:color="auto"/>
                  <w:right w:val="single" w:sz="4" w:space="0" w:color="auto"/>
                </w:tcBorders>
                <w:vAlign w:val="center"/>
              </w:tcPr>
              <w:p w14:paraId="3139A0D8"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449" w:type="pct"/>
                <w:tcBorders>
                  <w:left w:val="single" w:sz="4" w:space="0" w:color="auto"/>
                  <w:right w:val="single" w:sz="4" w:space="0" w:color="auto"/>
                </w:tcBorders>
                <w:vAlign w:val="center"/>
              </w:tcPr>
              <w:p w14:paraId="0ADC39BE"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876" w:type="pct"/>
                <w:tcBorders>
                  <w:top w:val="single" w:sz="4" w:space="0" w:color="auto"/>
                  <w:left w:val="single" w:sz="4" w:space="0" w:color="auto"/>
                  <w:bottom w:val="single" w:sz="4" w:space="0" w:color="auto"/>
                  <w:right w:val="single" w:sz="4" w:space="0" w:color="auto"/>
                </w:tcBorders>
                <w:vAlign w:val="center"/>
              </w:tcPr>
              <w:p w14:paraId="3D9FD523"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900,967.90</w:t>
                </w:r>
              </w:p>
            </w:tc>
          </w:tr>
          <w:tr w:rsidR="00D21C1F" w14:paraId="242DF2F0" w14:textId="77777777">
            <w:trPr>
              <w:trHeight w:val="20"/>
            </w:trPr>
            <w:sdt>
              <w:sdtPr>
                <w:tag w:val="_PLD_cb1768e916f04c1d8cc6e1efb4624f54"/>
                <w:id w:val="739824762"/>
                <w:lock w:val="sdtLocked"/>
              </w:sdtPr>
              <w:sdtEndPr/>
              <w:sdtContent>
                <w:tc>
                  <w:tcPr>
                    <w:tcW w:w="765" w:type="pct"/>
                    <w:tcBorders>
                      <w:top w:val="single" w:sz="4" w:space="0" w:color="auto"/>
                      <w:left w:val="single" w:sz="4" w:space="0" w:color="auto"/>
                      <w:bottom w:val="single" w:sz="4" w:space="0" w:color="auto"/>
                      <w:right w:val="single" w:sz="4" w:space="0" w:color="auto"/>
                    </w:tcBorders>
                  </w:tcPr>
                  <w:p w14:paraId="6CF5DA69" w14:textId="77777777" w:rsidR="00D21C1F" w:rsidRDefault="00A42880">
                    <w:pPr>
                      <w:jc w:val="center"/>
                      <w:rPr>
                        <w:szCs w:val="21"/>
                      </w:rPr>
                    </w:pPr>
                    <w:r>
                      <w:rPr>
                        <w:rFonts w:hint="eastAsia"/>
                        <w:szCs w:val="21"/>
                      </w:rPr>
                      <w:t>合计</w:t>
                    </w:r>
                  </w:p>
                </w:tc>
              </w:sdtContent>
            </w:sdt>
            <w:tc>
              <w:tcPr>
                <w:tcW w:w="861" w:type="pct"/>
                <w:tcBorders>
                  <w:top w:val="single" w:sz="4" w:space="0" w:color="auto"/>
                  <w:left w:val="single" w:sz="4" w:space="0" w:color="auto"/>
                  <w:bottom w:val="single" w:sz="4" w:space="0" w:color="auto"/>
                  <w:right w:val="single" w:sz="4" w:space="0" w:color="auto"/>
                </w:tcBorders>
                <w:vAlign w:val="center"/>
              </w:tcPr>
              <w:p w14:paraId="2EC8F1A5"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20,503,617.41</w:t>
                </w:r>
              </w:p>
            </w:tc>
            <w:tc>
              <w:tcPr>
                <w:tcW w:w="862" w:type="pct"/>
                <w:tcBorders>
                  <w:top w:val="single" w:sz="4" w:space="0" w:color="auto"/>
                  <w:left w:val="single" w:sz="4" w:space="0" w:color="auto"/>
                  <w:bottom w:val="single" w:sz="4" w:space="0" w:color="auto"/>
                  <w:right w:val="single" w:sz="4" w:space="0" w:color="auto"/>
                </w:tcBorders>
                <w:vAlign w:val="center"/>
              </w:tcPr>
              <w:p w14:paraId="6DEB1863"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1,938,306.65</w:t>
                </w:r>
              </w:p>
            </w:tc>
            <w:tc>
              <w:tcPr>
                <w:tcW w:w="486" w:type="pct"/>
                <w:tcBorders>
                  <w:top w:val="single" w:sz="4" w:space="0" w:color="auto"/>
                  <w:left w:val="single" w:sz="4" w:space="0" w:color="auto"/>
                  <w:bottom w:val="single" w:sz="4" w:space="0" w:color="auto"/>
                  <w:right w:val="single" w:sz="4" w:space="0" w:color="auto"/>
                </w:tcBorders>
                <w:vAlign w:val="center"/>
              </w:tcPr>
              <w:p w14:paraId="6F1378CF"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700" w:type="pct"/>
                <w:tcBorders>
                  <w:top w:val="single" w:sz="4" w:space="0" w:color="auto"/>
                  <w:left w:val="single" w:sz="4" w:space="0" w:color="auto"/>
                  <w:bottom w:val="single" w:sz="4" w:space="0" w:color="auto"/>
                  <w:right w:val="single" w:sz="4" w:space="0" w:color="auto"/>
                </w:tcBorders>
                <w:vAlign w:val="center"/>
              </w:tcPr>
              <w:p w14:paraId="590E9E4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708,408.32</w:t>
                </w:r>
              </w:p>
            </w:tc>
            <w:tc>
              <w:tcPr>
                <w:tcW w:w="449" w:type="pct"/>
                <w:tcBorders>
                  <w:left w:val="single" w:sz="4" w:space="0" w:color="auto"/>
                  <w:bottom w:val="single" w:sz="4" w:space="0" w:color="auto"/>
                  <w:right w:val="single" w:sz="4" w:space="0" w:color="auto"/>
                </w:tcBorders>
                <w:vAlign w:val="center"/>
              </w:tcPr>
              <w:p w14:paraId="20DBC89D" w14:textId="77777777" w:rsidR="00D21C1F" w:rsidRPr="00F447CE" w:rsidRDefault="00A42880">
                <w:pPr>
                  <w:jc w:val="right"/>
                  <w:rPr>
                    <w:rFonts w:ascii="Times New Roman" w:hAnsi="Times New Roman" w:cs="Times New Roman"/>
                    <w:szCs w:val="21"/>
                  </w:rPr>
                </w:pPr>
                <w:r w:rsidRPr="00F447CE">
                  <w:rPr>
                    <w:rFonts w:ascii="Times New Roman" w:hAnsi="Times New Roman" w:cs="Times New Roman"/>
                  </w:rPr>
                  <w:t>-</w:t>
                </w:r>
              </w:p>
            </w:tc>
            <w:tc>
              <w:tcPr>
                <w:tcW w:w="876" w:type="pct"/>
                <w:tcBorders>
                  <w:top w:val="single" w:sz="4" w:space="0" w:color="auto"/>
                  <w:left w:val="single" w:sz="4" w:space="0" w:color="auto"/>
                  <w:bottom w:val="single" w:sz="4" w:space="0" w:color="auto"/>
                  <w:right w:val="single" w:sz="4" w:space="0" w:color="auto"/>
                </w:tcBorders>
                <w:vAlign w:val="center"/>
              </w:tcPr>
              <w:p w14:paraId="2AAC044E" w14:textId="77777777" w:rsidR="00D21C1F" w:rsidRPr="00F447CE" w:rsidRDefault="00A42880">
                <w:pPr>
                  <w:ind w:right="5"/>
                  <w:jc w:val="right"/>
                  <w:rPr>
                    <w:rFonts w:ascii="Times New Roman" w:hAnsi="Times New Roman" w:cs="Times New Roman"/>
                    <w:szCs w:val="21"/>
                  </w:rPr>
                </w:pPr>
                <w:r w:rsidRPr="00F447CE">
                  <w:rPr>
                    <w:rFonts w:ascii="Times New Roman" w:hAnsi="Times New Roman" w:cs="Times New Roman"/>
                  </w:rPr>
                  <w:t>21,733,515.74</w:t>
                </w:r>
              </w:p>
            </w:tc>
          </w:tr>
        </w:tbl>
        <w:p w14:paraId="11CDA96C" w14:textId="77777777" w:rsidR="00D21C1F" w:rsidRDefault="00045EC6">
          <w:pPr>
            <w:pStyle w:val="97"/>
          </w:pPr>
        </w:p>
      </w:sdtContent>
    </w:sdt>
    <w:bookmarkEnd w:id="201" w:displacedByCustomXml="next"/>
    <w:sdt>
      <w:sdtPr>
        <w:rPr>
          <w:rFonts w:ascii="宋体" w:hAnsi="宋体" w:cs="宋体" w:hint="eastAsia"/>
          <w:b w:val="0"/>
          <w:bCs w:val="0"/>
          <w:kern w:val="0"/>
          <w:szCs w:val="24"/>
        </w:rPr>
        <w:alias w:val="模块:存货期末余额含有借款费用资本化金额的说明："/>
        <w:tag w:val="_GBC_dc559aaf0bf0428386e2f7f2cdeb43ec"/>
        <w:id w:val="1518812402"/>
        <w:lock w:val="sdtLocked"/>
        <w:placeholder>
          <w:docPart w:val="GBC22222222222222222222222222222"/>
        </w:placeholder>
      </w:sdtPr>
      <w:sdtEndPr/>
      <w:sdtContent>
        <w:p w14:paraId="19E94B9C" w14:textId="77777777" w:rsidR="00D21C1F" w:rsidRDefault="00A42880">
          <w:pPr>
            <w:pStyle w:val="93"/>
            <w:numPr>
              <w:ilvl w:val="0"/>
              <w:numId w:val="101"/>
            </w:numPr>
            <w:tabs>
              <w:tab w:val="left" w:pos="630"/>
            </w:tabs>
            <w:rPr>
              <w:rFonts w:ascii="宋体" w:hAnsi="宋体"/>
            </w:rPr>
          </w:pPr>
          <w:r>
            <w:rPr>
              <w:rFonts w:ascii="宋体" w:hAnsi="宋体"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430112825"/>
            <w:lock w:val="sdtLocked"/>
            <w:placeholder>
              <w:docPart w:val="GBC22222222222222222222222222222"/>
            </w:placeholder>
          </w:sdtPr>
          <w:sdtEndPr/>
          <w:sdtContent>
            <w:p w14:paraId="26065C1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2"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1577237489"/>
        <w:lock w:val="sdtLocked"/>
        <w:placeholder>
          <w:docPart w:val="GBC22222222222222222222222222222"/>
        </w:placeholder>
      </w:sdtPr>
      <w:sdtEndPr>
        <w:rPr>
          <w:rFonts w:hint="default"/>
        </w:rPr>
      </w:sdtEndPr>
      <w:sdtContent>
        <w:p w14:paraId="5D06BB16" w14:textId="77777777" w:rsidR="00D21C1F" w:rsidRDefault="00A42880">
          <w:pPr>
            <w:pStyle w:val="93"/>
            <w:numPr>
              <w:ilvl w:val="0"/>
              <w:numId w:val="101"/>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1882206125"/>
            <w:lock w:val="sdtLocked"/>
            <w:placeholder>
              <w:docPart w:val="GBC22222222222222222222222222222"/>
            </w:placeholder>
          </w:sdtPr>
          <w:sdtEndPr/>
          <w:sdtContent>
            <w:p w14:paraId="66441CB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2" w:displacedByCustomXml="next"/>
    <w:sdt>
      <w:sdtPr>
        <w:rPr>
          <w:rFonts w:eastAsiaTheme="minorEastAsia" w:hint="eastAsia"/>
          <w:szCs w:val="21"/>
        </w:rPr>
        <w:alias w:val="模块:存货的其他说明"/>
        <w:tag w:val="_SEC_96c2195df56b4f3eb6049f39e6923486"/>
        <w:id w:val="660354195"/>
        <w:lock w:val="sdtLocked"/>
        <w:placeholder>
          <w:docPart w:val="GBC22222222222222222222222222222"/>
        </w:placeholder>
      </w:sdtPr>
      <w:sdtEndPr>
        <w:rPr>
          <w:rFonts w:hint="default"/>
          <w:szCs w:val="24"/>
        </w:rPr>
      </w:sdtEndPr>
      <w:sdtContent>
        <w:p w14:paraId="5E0DD378" w14:textId="77777777" w:rsidR="00D21C1F" w:rsidRDefault="00A42880">
          <w:pPr>
            <w:rPr>
              <w:szCs w:val="21"/>
            </w:rPr>
          </w:pPr>
          <w:r>
            <w:rPr>
              <w:rFonts w:hint="eastAsia"/>
              <w:szCs w:val="21"/>
            </w:rPr>
            <w:t>其他说明：</w:t>
          </w:r>
        </w:p>
        <w:sdt>
          <w:sdtPr>
            <w:rPr>
              <w:szCs w:val="21"/>
            </w:rPr>
            <w:alias w:val="是否适用：存货的其他说明[双击切换]"/>
            <w:tag w:val="_GBC_bd31680428a448ecb64fdd4cbab90a42"/>
            <w:id w:val="2105299510"/>
            <w:lock w:val="sdtLocked"/>
            <w:placeholder>
              <w:docPart w:val="GBC22222222222222222222222222222"/>
            </w:placeholder>
          </w:sdtPr>
          <w:sdtEndPr/>
          <w:sdtContent>
            <w:p w14:paraId="537697A2"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7A3F10E" w14:textId="77777777" w:rsidR="00D21C1F" w:rsidRDefault="00D21C1F">
      <w:pPr>
        <w:pStyle w:val="97"/>
      </w:pPr>
    </w:p>
    <w:bookmarkStart w:id="203" w:name="_Hlk10470760" w:displacedByCustomXml="next"/>
    <w:sdt>
      <w:sdtPr>
        <w:rPr>
          <w:rFonts w:ascii="宋体" w:hAnsi="宋体" w:cs="宋体" w:hint="eastAsia"/>
          <w:b w:val="0"/>
          <w:bCs w:val="0"/>
          <w:kern w:val="0"/>
          <w:szCs w:val="24"/>
        </w:rPr>
        <w:alias w:val="模块:合同资产"/>
        <w:tag w:val="_SEC_9eb3b6c88c0a41f7a3f6a2f43946f06c"/>
        <w:id w:val="1242914675"/>
        <w:lock w:val="sdtLocked"/>
        <w:placeholder>
          <w:docPart w:val="GBC22222222222222222222222222222"/>
        </w:placeholder>
      </w:sdtPr>
      <w:sdtEndPr/>
      <w:sdtContent>
        <w:p w14:paraId="37635956" w14:textId="77777777" w:rsidR="00D21C1F" w:rsidRDefault="00A42880">
          <w:pPr>
            <w:pStyle w:val="94"/>
            <w:numPr>
              <w:ilvl w:val="0"/>
              <w:numId w:val="95"/>
            </w:numPr>
            <w:tabs>
              <w:tab w:val="left" w:pos="504"/>
            </w:tabs>
            <w:rPr>
              <w:rFonts w:ascii="宋体" w:hAnsi="宋体"/>
            </w:rPr>
          </w:pPr>
          <w:r>
            <w:rPr>
              <w:rFonts w:ascii="宋体" w:hAnsi="宋体" w:hint="eastAsia"/>
            </w:rPr>
            <w:t>合同资产</w:t>
          </w:r>
        </w:p>
        <w:p w14:paraId="79671B5E" w14:textId="77777777" w:rsidR="00D21C1F" w:rsidRDefault="00A42880">
          <w:pPr>
            <w:pStyle w:val="93"/>
            <w:numPr>
              <w:ilvl w:val="3"/>
              <w:numId w:val="102"/>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1294637082"/>
            <w:lock w:val="sdtLocked"/>
            <w:placeholder>
              <w:docPart w:val="GBC22222222222222222222222222222"/>
            </w:placeholder>
          </w:sdtPr>
          <w:sdtEndPr/>
          <w:sdtContent>
            <w:p w14:paraId="0391F14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E18AF5" w14:textId="77777777" w:rsidR="00D21C1F" w:rsidRDefault="00A42880">
          <w:pPr>
            <w:ind w:left="360"/>
            <w:jc w:val="right"/>
          </w:pPr>
          <w:r>
            <w:rPr>
              <w:rFonts w:hint="eastAsia"/>
            </w:rPr>
            <w:t>单位：</w:t>
          </w:r>
          <w:sdt>
            <w:sdtPr>
              <w:rPr>
                <w:rFonts w:hint="eastAsia"/>
              </w:rPr>
              <w:alias w:val="单位：合同资产情况"/>
              <w:tag w:val="_GBC_ae95a10d4d37477595fca3e1b67967c8"/>
              <w:id w:val="-2128839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合同资产情况"/>
              <w:tag w:val="_GBC_9ad5c0ca85dc4cdba1c71ffd880f6171"/>
              <w:id w:val="-7550542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981"/>
            <w:gridCol w:w="1980"/>
            <w:gridCol w:w="1980"/>
            <w:gridCol w:w="1982"/>
            <w:gridCol w:w="1980"/>
            <w:gridCol w:w="1980"/>
            <w:gridCol w:w="1980"/>
          </w:tblGrid>
          <w:tr w:rsidR="00D21C1F" w14:paraId="11CC9E31" w14:textId="77777777">
            <w:trPr>
              <w:cantSplit/>
            </w:trPr>
            <w:sdt>
              <w:sdtPr>
                <w:tag w:val="_PLD_698ecdbdbc3c49ab9876e78d87fab014"/>
                <w:id w:val="1761489680"/>
                <w:lock w:val="sdtLocked"/>
              </w:sdtPr>
              <w:sdtEndPr/>
              <w:sdtContent>
                <w:tc>
                  <w:tcPr>
                    <w:tcW w:w="714" w:type="pct"/>
                    <w:vMerge w:val="restart"/>
                    <w:vAlign w:val="center"/>
                  </w:tcPr>
                  <w:p w14:paraId="379C96E5" w14:textId="77777777" w:rsidR="00D21C1F" w:rsidRDefault="00A42880">
                    <w:pPr>
                      <w:jc w:val="center"/>
                      <w:rPr>
                        <w:szCs w:val="21"/>
                      </w:rPr>
                    </w:pPr>
                    <w:r>
                      <w:rPr>
                        <w:rFonts w:hint="eastAsia"/>
                        <w:szCs w:val="21"/>
                      </w:rPr>
                      <w:t>项目</w:t>
                    </w:r>
                  </w:p>
                </w:tc>
              </w:sdtContent>
            </w:sdt>
            <w:sdt>
              <w:sdtPr>
                <w:tag w:val="_PLD_93e08670e7824605b175142b67b4620d"/>
                <w:id w:val="934471443"/>
                <w:lock w:val="sdtLocked"/>
              </w:sdtPr>
              <w:sdtEndPr/>
              <w:sdtContent>
                <w:tc>
                  <w:tcPr>
                    <w:tcW w:w="2143" w:type="pct"/>
                    <w:gridSpan w:val="3"/>
                    <w:vAlign w:val="center"/>
                  </w:tcPr>
                  <w:p w14:paraId="0D55AA62" w14:textId="77777777" w:rsidR="00D21C1F" w:rsidRDefault="00A42880">
                    <w:pPr>
                      <w:autoSpaceDE w:val="0"/>
                      <w:autoSpaceDN w:val="0"/>
                      <w:adjustRightInd w:val="0"/>
                      <w:snapToGrid w:val="0"/>
                      <w:spacing w:line="240" w:lineRule="atLeast"/>
                      <w:ind w:leftChars="171" w:left="359"/>
                      <w:jc w:val="center"/>
                      <w:rPr>
                        <w:szCs w:val="21"/>
                      </w:rPr>
                    </w:pPr>
                    <w:r>
                      <w:rPr>
                        <w:rFonts w:hint="eastAsia"/>
                        <w:szCs w:val="21"/>
                      </w:rPr>
                      <w:t>期末余额</w:t>
                    </w:r>
                  </w:p>
                </w:tc>
              </w:sdtContent>
            </w:sdt>
            <w:sdt>
              <w:sdtPr>
                <w:tag w:val="_PLD_6d2d3313cee04f6dbf64e6ebda20a177"/>
                <w:id w:val="711396846"/>
                <w:lock w:val="sdtLocked"/>
              </w:sdtPr>
              <w:sdtEndPr/>
              <w:sdtContent>
                <w:tc>
                  <w:tcPr>
                    <w:tcW w:w="2142" w:type="pct"/>
                    <w:gridSpan w:val="3"/>
                    <w:vAlign w:val="center"/>
                  </w:tcPr>
                  <w:p w14:paraId="2A762740" w14:textId="77777777" w:rsidR="00D21C1F" w:rsidRDefault="00A42880">
                    <w:pPr>
                      <w:autoSpaceDE w:val="0"/>
                      <w:autoSpaceDN w:val="0"/>
                      <w:adjustRightInd w:val="0"/>
                      <w:snapToGrid w:val="0"/>
                      <w:spacing w:line="240" w:lineRule="atLeast"/>
                      <w:ind w:leftChars="171" w:left="359"/>
                      <w:jc w:val="center"/>
                      <w:rPr>
                        <w:szCs w:val="21"/>
                      </w:rPr>
                    </w:pPr>
                    <w:r>
                      <w:rPr>
                        <w:rFonts w:hint="eastAsia"/>
                        <w:szCs w:val="21"/>
                      </w:rPr>
                      <w:t>期初余额</w:t>
                    </w:r>
                  </w:p>
                </w:tc>
              </w:sdtContent>
            </w:sdt>
          </w:tr>
          <w:tr w:rsidR="00D21C1F" w14:paraId="31412607" w14:textId="77777777">
            <w:trPr>
              <w:cantSplit/>
            </w:trPr>
            <w:tc>
              <w:tcPr>
                <w:tcW w:w="714" w:type="pct"/>
                <w:vMerge/>
              </w:tcPr>
              <w:p w14:paraId="71DD6C67" w14:textId="77777777" w:rsidR="00D21C1F" w:rsidRDefault="00D21C1F">
                <w:pPr>
                  <w:ind w:right="5"/>
                  <w:jc w:val="center"/>
                  <w:rPr>
                    <w:szCs w:val="21"/>
                  </w:rPr>
                </w:pPr>
              </w:p>
            </w:tc>
            <w:sdt>
              <w:sdtPr>
                <w:tag w:val="_PLD_4ba78f03bce84447ab0eb03bd654beec"/>
                <w:id w:val="-1289506790"/>
                <w:lock w:val="sdtLocked"/>
              </w:sdtPr>
              <w:sdtEndPr/>
              <w:sdtContent>
                <w:tc>
                  <w:tcPr>
                    <w:tcW w:w="714" w:type="pct"/>
                    <w:vAlign w:val="center"/>
                  </w:tcPr>
                  <w:p w14:paraId="5694AADF" w14:textId="77777777" w:rsidR="00D21C1F" w:rsidRDefault="00A42880">
                    <w:pPr>
                      <w:ind w:right="5"/>
                      <w:jc w:val="center"/>
                      <w:rPr>
                        <w:szCs w:val="21"/>
                      </w:rPr>
                    </w:pPr>
                    <w:r>
                      <w:rPr>
                        <w:rFonts w:hint="eastAsia"/>
                        <w:szCs w:val="21"/>
                      </w:rPr>
                      <w:t>账面余额</w:t>
                    </w:r>
                  </w:p>
                </w:tc>
              </w:sdtContent>
            </w:sdt>
            <w:sdt>
              <w:sdtPr>
                <w:tag w:val="_PLD_480e356787b640d5a3d68d85462a53f5"/>
                <w:id w:val="857925767"/>
                <w:lock w:val="sdtLocked"/>
              </w:sdtPr>
              <w:sdtEndPr/>
              <w:sdtContent>
                <w:tc>
                  <w:tcPr>
                    <w:tcW w:w="714" w:type="pct"/>
                    <w:vAlign w:val="center"/>
                  </w:tcPr>
                  <w:p w14:paraId="206C05CE" w14:textId="77777777" w:rsidR="00D21C1F" w:rsidRDefault="00A42880">
                    <w:pPr>
                      <w:ind w:right="5"/>
                      <w:jc w:val="center"/>
                      <w:rPr>
                        <w:szCs w:val="21"/>
                      </w:rPr>
                    </w:pPr>
                    <w:r>
                      <w:rPr>
                        <w:rFonts w:hint="eastAsia"/>
                        <w:szCs w:val="21"/>
                      </w:rPr>
                      <w:t>减值准备</w:t>
                    </w:r>
                  </w:p>
                </w:tc>
              </w:sdtContent>
            </w:sdt>
            <w:sdt>
              <w:sdtPr>
                <w:tag w:val="_PLD_0b755ec608f14ee8adbc9ef8eaed6809"/>
                <w:id w:val="21755027"/>
                <w:lock w:val="sdtLocked"/>
              </w:sdtPr>
              <w:sdtEndPr/>
              <w:sdtContent>
                <w:tc>
                  <w:tcPr>
                    <w:tcW w:w="714" w:type="pct"/>
                    <w:vAlign w:val="center"/>
                  </w:tcPr>
                  <w:p w14:paraId="6B276CAD" w14:textId="77777777" w:rsidR="00D21C1F" w:rsidRDefault="00A42880">
                    <w:pPr>
                      <w:ind w:right="5"/>
                      <w:jc w:val="center"/>
                      <w:rPr>
                        <w:szCs w:val="21"/>
                      </w:rPr>
                    </w:pPr>
                    <w:r>
                      <w:rPr>
                        <w:rFonts w:hint="eastAsia"/>
                        <w:szCs w:val="21"/>
                      </w:rPr>
                      <w:t>账面价值</w:t>
                    </w:r>
                  </w:p>
                </w:tc>
              </w:sdtContent>
            </w:sdt>
            <w:sdt>
              <w:sdtPr>
                <w:tag w:val="_PLD_4016b640b4a44e87984d3ef911c92d35"/>
                <w:id w:val="591123307"/>
                <w:lock w:val="sdtLocked"/>
              </w:sdtPr>
              <w:sdtEndPr/>
              <w:sdtContent>
                <w:tc>
                  <w:tcPr>
                    <w:tcW w:w="714" w:type="pct"/>
                    <w:vAlign w:val="center"/>
                  </w:tcPr>
                  <w:p w14:paraId="62811591" w14:textId="77777777" w:rsidR="00D21C1F" w:rsidRDefault="00A42880">
                    <w:pPr>
                      <w:ind w:right="5"/>
                      <w:jc w:val="center"/>
                      <w:rPr>
                        <w:szCs w:val="21"/>
                      </w:rPr>
                    </w:pPr>
                    <w:r>
                      <w:rPr>
                        <w:rFonts w:hint="eastAsia"/>
                        <w:szCs w:val="21"/>
                      </w:rPr>
                      <w:t>账面余额</w:t>
                    </w:r>
                  </w:p>
                </w:tc>
              </w:sdtContent>
            </w:sdt>
            <w:sdt>
              <w:sdtPr>
                <w:tag w:val="_PLD_6186b1493bd84df6a9ea9798c63928ef"/>
                <w:id w:val="399338930"/>
                <w:lock w:val="sdtLocked"/>
              </w:sdtPr>
              <w:sdtEndPr/>
              <w:sdtContent>
                <w:tc>
                  <w:tcPr>
                    <w:tcW w:w="714" w:type="pct"/>
                    <w:vAlign w:val="center"/>
                  </w:tcPr>
                  <w:p w14:paraId="0D254B19" w14:textId="77777777" w:rsidR="00D21C1F" w:rsidRDefault="00A42880">
                    <w:pPr>
                      <w:ind w:right="5"/>
                      <w:jc w:val="center"/>
                      <w:rPr>
                        <w:szCs w:val="21"/>
                      </w:rPr>
                    </w:pPr>
                    <w:r>
                      <w:rPr>
                        <w:rFonts w:hint="eastAsia"/>
                        <w:szCs w:val="21"/>
                      </w:rPr>
                      <w:t>减值准备</w:t>
                    </w:r>
                  </w:p>
                </w:tc>
              </w:sdtContent>
            </w:sdt>
            <w:sdt>
              <w:sdtPr>
                <w:tag w:val="_PLD_b2a17afa2830418baf67c06b4b9af324"/>
                <w:id w:val="-1540041876"/>
                <w:lock w:val="sdtLocked"/>
              </w:sdtPr>
              <w:sdtEndPr/>
              <w:sdtContent>
                <w:tc>
                  <w:tcPr>
                    <w:tcW w:w="714" w:type="pct"/>
                    <w:vAlign w:val="center"/>
                  </w:tcPr>
                  <w:p w14:paraId="6ABEB560" w14:textId="77777777" w:rsidR="00D21C1F" w:rsidRDefault="00A42880">
                    <w:pPr>
                      <w:ind w:right="5"/>
                      <w:jc w:val="center"/>
                      <w:rPr>
                        <w:szCs w:val="21"/>
                      </w:rPr>
                    </w:pPr>
                    <w:r>
                      <w:rPr>
                        <w:rFonts w:hint="eastAsia"/>
                        <w:szCs w:val="21"/>
                      </w:rPr>
                      <w:t>账面价值</w:t>
                    </w:r>
                  </w:p>
                </w:tc>
              </w:sdtContent>
            </w:sdt>
          </w:tr>
          <w:sdt>
            <w:sdtPr>
              <w:rPr>
                <w:szCs w:val="21"/>
              </w:rPr>
              <w:alias w:val="合同资产情况明细"/>
              <w:tag w:val="_TUP_8abc62664d0844998470a01940c375aa"/>
              <w:id w:val="1277446727"/>
              <w:lock w:val="sdtLocked"/>
            </w:sdtPr>
            <w:sdtEndPr>
              <w:rPr>
                <w:rFonts w:ascii="Times New Roman" w:hAnsi="Times New Roman" w:cs="Times New Roman"/>
              </w:rPr>
            </w:sdtEndPr>
            <w:sdtContent>
              <w:tr w:rsidR="00D21C1F" w14:paraId="4ED6ABBF" w14:textId="77777777" w:rsidTr="00F447CE">
                <w:trPr>
                  <w:cantSplit/>
                </w:trPr>
                <w:tc>
                  <w:tcPr>
                    <w:tcW w:w="714" w:type="pct"/>
                  </w:tcPr>
                  <w:p w14:paraId="2B5CA194" w14:textId="77777777" w:rsidR="00D21C1F" w:rsidRDefault="00A42880">
                    <w:pPr>
                      <w:autoSpaceDE w:val="0"/>
                      <w:autoSpaceDN w:val="0"/>
                      <w:adjustRightInd w:val="0"/>
                      <w:rPr>
                        <w:szCs w:val="21"/>
                      </w:rPr>
                    </w:pPr>
                    <w:r>
                      <w:t>已完工未结算资产</w:t>
                    </w:r>
                  </w:p>
                </w:tc>
                <w:tc>
                  <w:tcPr>
                    <w:tcW w:w="714" w:type="pct"/>
                    <w:shd w:val="clear" w:color="auto" w:fill="auto"/>
                    <w:vAlign w:val="center"/>
                  </w:tcPr>
                  <w:p w14:paraId="1BAF65BD"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372,756,146.30</w:t>
                    </w:r>
                  </w:p>
                </w:tc>
                <w:tc>
                  <w:tcPr>
                    <w:tcW w:w="714" w:type="pct"/>
                    <w:shd w:val="clear" w:color="auto" w:fill="auto"/>
                    <w:vAlign w:val="center"/>
                  </w:tcPr>
                  <w:p w14:paraId="32DEB544"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33,172,158.66</w:t>
                    </w:r>
                  </w:p>
                </w:tc>
                <w:tc>
                  <w:tcPr>
                    <w:tcW w:w="714" w:type="pct"/>
                    <w:shd w:val="clear" w:color="auto" w:fill="auto"/>
                    <w:vAlign w:val="center"/>
                  </w:tcPr>
                  <w:p w14:paraId="24DCAE9F"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339,583,987.64</w:t>
                    </w:r>
                  </w:p>
                </w:tc>
                <w:tc>
                  <w:tcPr>
                    <w:tcW w:w="714" w:type="pct"/>
                    <w:vAlign w:val="center"/>
                  </w:tcPr>
                  <w:p w14:paraId="4123D717"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338,300,151.20</w:t>
                    </w:r>
                  </w:p>
                </w:tc>
                <w:tc>
                  <w:tcPr>
                    <w:tcW w:w="714" w:type="pct"/>
                    <w:vAlign w:val="center"/>
                  </w:tcPr>
                  <w:p w14:paraId="16FF5238"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26,588,478.63</w:t>
                    </w:r>
                  </w:p>
                </w:tc>
                <w:tc>
                  <w:tcPr>
                    <w:tcW w:w="714" w:type="pct"/>
                    <w:vAlign w:val="center"/>
                  </w:tcPr>
                  <w:p w14:paraId="5C01DF0C"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311,711,672.57</w:t>
                    </w:r>
                  </w:p>
                </w:tc>
              </w:tr>
            </w:sdtContent>
          </w:sdt>
          <w:sdt>
            <w:sdtPr>
              <w:rPr>
                <w:szCs w:val="21"/>
              </w:rPr>
              <w:alias w:val="合同资产情况明细"/>
              <w:tag w:val="_TUP_8abc62664d0844998470a01940c375aa"/>
              <w:id w:val="-364603217"/>
              <w:lock w:val="sdtLocked"/>
            </w:sdtPr>
            <w:sdtEndPr>
              <w:rPr>
                <w:rFonts w:ascii="Times New Roman" w:hAnsi="Times New Roman" w:cs="Times New Roman"/>
              </w:rPr>
            </w:sdtEndPr>
            <w:sdtContent>
              <w:tr w:rsidR="00D21C1F" w14:paraId="5DDFBAA0" w14:textId="77777777" w:rsidTr="00F447CE">
                <w:trPr>
                  <w:cantSplit/>
                </w:trPr>
                <w:tc>
                  <w:tcPr>
                    <w:tcW w:w="714" w:type="pct"/>
                  </w:tcPr>
                  <w:p w14:paraId="1C8796CE" w14:textId="77777777" w:rsidR="00D21C1F" w:rsidRDefault="00A42880">
                    <w:pPr>
                      <w:autoSpaceDE w:val="0"/>
                      <w:autoSpaceDN w:val="0"/>
                      <w:adjustRightInd w:val="0"/>
                      <w:rPr>
                        <w:szCs w:val="21"/>
                      </w:rPr>
                    </w:pPr>
                    <w:r>
                      <w:t>未到期的质保金</w:t>
                    </w:r>
                  </w:p>
                </w:tc>
                <w:tc>
                  <w:tcPr>
                    <w:tcW w:w="714" w:type="pct"/>
                    <w:shd w:val="clear" w:color="auto" w:fill="auto"/>
                    <w:vAlign w:val="center"/>
                  </w:tcPr>
                  <w:p w14:paraId="18B11D34"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9,386,059.99</w:t>
                    </w:r>
                  </w:p>
                </w:tc>
                <w:tc>
                  <w:tcPr>
                    <w:tcW w:w="714" w:type="pct"/>
                    <w:shd w:val="clear" w:color="auto" w:fill="auto"/>
                    <w:vAlign w:val="center"/>
                  </w:tcPr>
                  <w:p w14:paraId="5DBA087D"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1,158,593.48</w:t>
                    </w:r>
                  </w:p>
                </w:tc>
                <w:tc>
                  <w:tcPr>
                    <w:tcW w:w="714" w:type="pct"/>
                    <w:shd w:val="clear" w:color="auto" w:fill="auto"/>
                    <w:vAlign w:val="center"/>
                  </w:tcPr>
                  <w:p w14:paraId="44E490E1"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8,227,466.51</w:t>
                    </w:r>
                  </w:p>
                </w:tc>
                <w:tc>
                  <w:tcPr>
                    <w:tcW w:w="714" w:type="pct"/>
                    <w:vAlign w:val="center"/>
                  </w:tcPr>
                  <w:p w14:paraId="0F96F00B"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14,741,632.22</w:t>
                    </w:r>
                  </w:p>
                </w:tc>
                <w:tc>
                  <w:tcPr>
                    <w:tcW w:w="714" w:type="pct"/>
                    <w:vAlign w:val="center"/>
                  </w:tcPr>
                  <w:p w14:paraId="2C83837B"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2,806,467.76</w:t>
                    </w:r>
                  </w:p>
                </w:tc>
                <w:tc>
                  <w:tcPr>
                    <w:tcW w:w="714" w:type="pct"/>
                    <w:vAlign w:val="center"/>
                  </w:tcPr>
                  <w:p w14:paraId="4C57C2F9"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11,935,164.46</w:t>
                    </w:r>
                  </w:p>
                </w:tc>
              </w:tr>
            </w:sdtContent>
          </w:sdt>
          <w:sdt>
            <w:sdtPr>
              <w:rPr>
                <w:szCs w:val="21"/>
              </w:rPr>
              <w:alias w:val="合同资产情况明细"/>
              <w:tag w:val="_TUP_8abc62664d0844998470a01940c375aa"/>
              <w:id w:val="-496497019"/>
              <w:lock w:val="sdtLocked"/>
            </w:sdtPr>
            <w:sdtEndPr>
              <w:rPr>
                <w:rFonts w:ascii="Times New Roman" w:hAnsi="Times New Roman" w:cs="Times New Roman"/>
              </w:rPr>
            </w:sdtEndPr>
            <w:sdtContent>
              <w:tr w:rsidR="00D21C1F" w14:paraId="2146FAE2" w14:textId="77777777" w:rsidTr="00F447CE">
                <w:trPr>
                  <w:cantSplit/>
                </w:trPr>
                <w:tc>
                  <w:tcPr>
                    <w:tcW w:w="714" w:type="pct"/>
                  </w:tcPr>
                  <w:p w14:paraId="6B0762BD" w14:textId="71AAAEB2" w:rsidR="00D21C1F" w:rsidRDefault="00A42880">
                    <w:pPr>
                      <w:autoSpaceDE w:val="0"/>
                      <w:autoSpaceDN w:val="0"/>
                      <w:adjustRightInd w:val="0"/>
                      <w:rPr>
                        <w:szCs w:val="21"/>
                      </w:rPr>
                    </w:pPr>
                    <w:r>
                      <w:t>列示于其他非流动资产的合同资产</w:t>
                    </w:r>
                  </w:p>
                </w:tc>
                <w:tc>
                  <w:tcPr>
                    <w:tcW w:w="714" w:type="pct"/>
                    <w:vAlign w:val="center"/>
                  </w:tcPr>
                  <w:p w14:paraId="1563EBF7"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-39,483,111.60</w:t>
                    </w:r>
                  </w:p>
                </w:tc>
                <w:tc>
                  <w:tcPr>
                    <w:tcW w:w="714" w:type="pct"/>
                    <w:vAlign w:val="center"/>
                  </w:tcPr>
                  <w:p w14:paraId="35602D96"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-12,323,883.97</w:t>
                    </w:r>
                  </w:p>
                </w:tc>
                <w:tc>
                  <w:tcPr>
                    <w:tcW w:w="714" w:type="pct"/>
                    <w:vAlign w:val="center"/>
                  </w:tcPr>
                  <w:p w14:paraId="45C19893" w14:textId="77777777" w:rsidR="00D21C1F" w:rsidRPr="00F447CE" w:rsidRDefault="00A42880" w:rsidP="00F447CE">
                    <w:pPr>
                      <w:jc w:val="right"/>
                      <w:rPr>
                        <w:rFonts w:ascii="Times New Roman" w:hAnsi="Times New Roman" w:cs="Times New Roman"/>
                        <w:szCs w:val="21"/>
                      </w:rPr>
                    </w:pPr>
                    <w:r w:rsidRPr="00F447CE">
                      <w:rPr>
                        <w:rFonts w:ascii="Times New Roman" w:hAnsi="Times New Roman" w:cs="Times New Roman"/>
                      </w:rPr>
                      <w:t>-27,159,227.63</w:t>
                    </w:r>
                  </w:p>
                </w:tc>
                <w:tc>
                  <w:tcPr>
                    <w:tcW w:w="714" w:type="pct"/>
                    <w:vAlign w:val="center"/>
                  </w:tcPr>
                  <w:p w14:paraId="2F072B60"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-45,212,335.25</w:t>
                    </w:r>
                  </w:p>
                </w:tc>
                <w:tc>
                  <w:tcPr>
                    <w:tcW w:w="714" w:type="pct"/>
                    <w:vAlign w:val="center"/>
                  </w:tcPr>
                  <w:p w14:paraId="4117D1E6"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-11,474,577.40</w:t>
                    </w:r>
                  </w:p>
                </w:tc>
                <w:tc>
                  <w:tcPr>
                    <w:tcW w:w="714" w:type="pct"/>
                    <w:vAlign w:val="center"/>
                  </w:tcPr>
                  <w:p w14:paraId="49DC3E18"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-33,737,757.85</w:t>
                    </w:r>
                  </w:p>
                </w:tc>
              </w:tr>
            </w:sdtContent>
          </w:sdt>
          <w:tr w:rsidR="00D21C1F" w14:paraId="71FD6976" w14:textId="77777777" w:rsidTr="00F447CE">
            <w:trPr>
              <w:cantSplit/>
            </w:trPr>
            <w:sdt>
              <w:sdtPr>
                <w:tag w:val="_PLD_baafd76ab8ac4e758fa5ce7949fcef74"/>
                <w:id w:val="1017352149"/>
                <w:lock w:val="sdtLocked"/>
              </w:sdtPr>
              <w:sdtEndPr/>
              <w:sdtContent>
                <w:tc>
                  <w:tcPr>
                    <w:tcW w:w="714" w:type="pct"/>
                  </w:tcPr>
                  <w:p w14:paraId="3B13739D" w14:textId="77777777" w:rsidR="00D21C1F" w:rsidRDefault="00A42880">
                    <w:pPr>
                      <w:ind w:right="5"/>
                      <w:jc w:val="center"/>
                      <w:rPr>
                        <w:szCs w:val="21"/>
                      </w:rPr>
                    </w:pPr>
                    <w:r>
                      <w:rPr>
                        <w:rFonts w:hint="eastAsia"/>
                        <w:szCs w:val="21"/>
                      </w:rPr>
                      <w:t>合计</w:t>
                    </w:r>
                  </w:p>
                </w:tc>
              </w:sdtContent>
            </w:sdt>
            <w:tc>
              <w:tcPr>
                <w:tcW w:w="714" w:type="pct"/>
                <w:vAlign w:val="center"/>
              </w:tcPr>
              <w:p w14:paraId="74471AC2"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342,659,094.69</w:t>
                </w:r>
              </w:p>
            </w:tc>
            <w:tc>
              <w:tcPr>
                <w:tcW w:w="714" w:type="pct"/>
                <w:vAlign w:val="center"/>
              </w:tcPr>
              <w:p w14:paraId="66DA84AD"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22,006,868.17</w:t>
                </w:r>
              </w:p>
            </w:tc>
            <w:tc>
              <w:tcPr>
                <w:tcW w:w="714" w:type="pct"/>
                <w:vAlign w:val="center"/>
              </w:tcPr>
              <w:p w14:paraId="6820D8F5"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320,652,226.52</w:t>
                </w:r>
              </w:p>
            </w:tc>
            <w:tc>
              <w:tcPr>
                <w:tcW w:w="714" w:type="pct"/>
                <w:vAlign w:val="center"/>
              </w:tcPr>
              <w:p w14:paraId="4F300F5C"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307,829,448.17</w:t>
                </w:r>
              </w:p>
            </w:tc>
            <w:tc>
              <w:tcPr>
                <w:tcW w:w="714" w:type="pct"/>
                <w:vAlign w:val="center"/>
              </w:tcPr>
              <w:p w14:paraId="01CA2CE5"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17,920,368.99</w:t>
                </w:r>
              </w:p>
            </w:tc>
            <w:tc>
              <w:tcPr>
                <w:tcW w:w="714" w:type="pct"/>
                <w:vAlign w:val="center"/>
              </w:tcPr>
              <w:p w14:paraId="4428F2F5" w14:textId="77777777" w:rsidR="00D21C1F" w:rsidRPr="00F447CE" w:rsidRDefault="00A42880" w:rsidP="00F447CE">
                <w:pPr>
                  <w:ind w:right="5"/>
                  <w:jc w:val="right"/>
                  <w:rPr>
                    <w:rFonts w:ascii="Times New Roman" w:hAnsi="Times New Roman" w:cs="Times New Roman"/>
                    <w:szCs w:val="21"/>
                  </w:rPr>
                </w:pPr>
                <w:r w:rsidRPr="00F447CE">
                  <w:rPr>
                    <w:rFonts w:ascii="Times New Roman" w:hAnsi="Times New Roman" w:cs="Times New Roman"/>
                  </w:rPr>
                  <w:t>289,909,079.18</w:t>
                </w:r>
              </w:p>
            </w:tc>
          </w:tr>
        </w:tbl>
        <w:p w14:paraId="21C3B726" w14:textId="77777777" w:rsidR="00D21C1F" w:rsidRDefault="00045EC6">
          <w:pPr>
            <w:pStyle w:val="97"/>
          </w:pPr>
        </w:p>
      </w:sdtContent>
    </w:sdt>
    <w:bookmarkEnd w:id="203" w:displacedByCustomXml="next"/>
    <w:bookmarkStart w:id="204" w:name="_Hlk10470932" w:displacedByCustomXml="next"/>
    <w:bookmarkStart w:id="205"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309517841"/>
        <w:lock w:val="sdtLocked"/>
        <w:placeholder>
          <w:docPart w:val="GBC22222222222222222222222222222"/>
        </w:placeholder>
      </w:sdtPr>
      <w:sdtEndPr>
        <w:rPr>
          <w:rFonts w:hint="default"/>
        </w:rPr>
      </w:sdtEndPr>
      <w:sdtContent>
        <w:p w14:paraId="6C55FA34" w14:textId="77777777" w:rsidR="00D21C1F" w:rsidRDefault="00A42880">
          <w:pPr>
            <w:pStyle w:val="93"/>
            <w:numPr>
              <w:ilvl w:val="3"/>
              <w:numId w:val="102"/>
            </w:numPr>
            <w:ind w:left="426" w:hanging="426"/>
            <w:rPr>
              <w:rFonts w:ascii="宋体" w:hAnsi="宋体"/>
            </w:rPr>
          </w:pPr>
          <w:r>
            <w:rPr>
              <w:rFonts w:ascii="宋体" w:hAnsi="宋体" w:hint="eastAsia"/>
            </w:rPr>
            <w:t>报告期内账面价值发生重大变动的金额和原因</w:t>
          </w:r>
          <w:bookmarkEnd w:id="204"/>
        </w:p>
        <w:sdt>
          <w:sdtPr>
            <w:rPr>
              <w:szCs w:val="21"/>
            </w:rPr>
            <w:alias w:val="是否适用：合同资产账面价值发生重大变动[双击切换]"/>
            <w:tag w:val="_GBC_4cdeacc1c4f24682b8d7fe35b510e9c1"/>
            <w:id w:val="521975340"/>
            <w:lock w:val="sdtLocked"/>
            <w:placeholder>
              <w:docPart w:val="GBC22222222222222222222222222222"/>
            </w:placeholder>
          </w:sdtPr>
          <w:sdtEndPr/>
          <w:sdtContent>
            <w:p w14:paraId="396C8F15"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5" w:displacedByCustomXml="next"/>
    <w:bookmarkStart w:id="206" w:name="_Hlk10470956" w:displacedByCustomXml="next"/>
    <w:bookmarkStart w:id="207"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1283853976"/>
        <w:lock w:val="sdtLocked"/>
        <w:placeholder>
          <w:docPart w:val="GBC22222222222222222222222222222"/>
        </w:placeholder>
      </w:sdtPr>
      <w:sdtEndPr>
        <w:rPr>
          <w:rFonts w:hint="default"/>
          <w:szCs w:val="24"/>
        </w:rPr>
      </w:sdtEndPr>
      <w:sdtContent>
        <w:p w14:paraId="14B9EB94" w14:textId="77777777" w:rsidR="00D21C1F" w:rsidRDefault="00A42880">
          <w:pPr>
            <w:pStyle w:val="93"/>
            <w:numPr>
              <w:ilvl w:val="3"/>
              <w:numId w:val="102"/>
            </w:numPr>
            <w:ind w:left="426" w:hanging="426"/>
            <w:rPr>
              <w:rFonts w:ascii="宋体" w:hAnsi="宋体"/>
              <w:szCs w:val="21"/>
            </w:rPr>
          </w:pPr>
          <w:r>
            <w:rPr>
              <w:rFonts w:ascii="宋体" w:hAnsi="宋体" w:hint="eastAsia"/>
              <w:szCs w:val="21"/>
            </w:rPr>
            <w:t>本期合同资产计提减值准备情况</w:t>
          </w:r>
          <w:bookmarkEnd w:id="206"/>
        </w:p>
        <w:sdt>
          <w:sdtPr>
            <w:rPr>
              <w:szCs w:val="21"/>
            </w:rPr>
            <w:alias w:val="是否适用：合同资产减值准备[双击切换]"/>
            <w:tag w:val="_GBC_47f239b7a5d442b0a0a358017de09567"/>
            <w:id w:val="-1858809424"/>
            <w:lock w:val="sdtLocked"/>
            <w:placeholder>
              <w:docPart w:val="GBC22222222222222222222222222222"/>
            </w:placeholder>
          </w:sdtPr>
          <w:sdtEndPr/>
          <w:sdtContent>
            <w:p w14:paraId="3B8F432A" w14:textId="77777777" w:rsidR="00D21C1F" w:rsidRDefault="00A42880">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107728" w14:textId="77777777" w:rsidR="00D21C1F" w:rsidRDefault="00A42880">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cb0a5fd213594e6085dcf2c758153bde"/>
              <w:id w:val="-1216509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合同资产减值准备"/>
              <w:tag w:val="_GBC_72bcdf5dde024866bb55295ec36c16b7"/>
              <w:id w:val="-835146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2603"/>
            <w:gridCol w:w="2545"/>
            <w:gridCol w:w="2562"/>
            <w:gridCol w:w="2689"/>
          </w:tblGrid>
          <w:tr w:rsidR="00D21C1F" w14:paraId="626B1ABE" w14:textId="77777777">
            <w:sdt>
              <w:sdtPr>
                <w:tag w:val="_PLD_ed703552e81a409b97024b7e4168cd95"/>
                <w:id w:val="-1502576791"/>
                <w:lock w:val="sdtLocked"/>
              </w:sdtPr>
              <w:sdtEndPr/>
              <w:sdtContent>
                <w:tc>
                  <w:tcPr>
                    <w:tcW w:w="1249" w:type="pct"/>
                    <w:shd w:val="clear" w:color="auto" w:fill="auto"/>
                    <w:vAlign w:val="center"/>
                  </w:tcPr>
                  <w:p w14:paraId="4CB7E54A" w14:textId="77777777" w:rsidR="00D21C1F" w:rsidRDefault="00A42880">
                    <w:pPr>
                      <w:jc w:val="center"/>
                      <w:rPr>
                        <w:szCs w:val="21"/>
                      </w:rPr>
                    </w:pPr>
                    <w:r>
                      <w:rPr>
                        <w:rFonts w:hint="eastAsia"/>
                        <w:szCs w:val="21"/>
                      </w:rPr>
                      <w:t>项目</w:t>
                    </w:r>
                  </w:p>
                </w:tc>
              </w:sdtContent>
            </w:sdt>
            <w:sdt>
              <w:sdtPr>
                <w:tag w:val="_PLD_12846361f4fc4229a079e531ce33c7bd"/>
                <w:id w:val="1311440228"/>
                <w:lock w:val="sdtLocked"/>
              </w:sdtPr>
              <w:sdtEndPr/>
              <w:sdtContent>
                <w:tc>
                  <w:tcPr>
                    <w:tcW w:w="939" w:type="pct"/>
                    <w:shd w:val="clear" w:color="auto" w:fill="auto"/>
                    <w:vAlign w:val="center"/>
                  </w:tcPr>
                  <w:p w14:paraId="45E424B9" w14:textId="77777777" w:rsidR="00D21C1F" w:rsidRDefault="00A42880">
                    <w:pPr>
                      <w:jc w:val="center"/>
                      <w:rPr>
                        <w:szCs w:val="21"/>
                      </w:rPr>
                    </w:pPr>
                    <w:r>
                      <w:rPr>
                        <w:rFonts w:hint="eastAsia"/>
                        <w:szCs w:val="21"/>
                      </w:rPr>
                      <w:t>本期计提</w:t>
                    </w:r>
                  </w:p>
                </w:tc>
              </w:sdtContent>
            </w:sdt>
            <w:sdt>
              <w:sdtPr>
                <w:tag w:val="_PLD_ec2082583d0a475c869e5f5a70898003"/>
                <w:id w:val="1610089437"/>
                <w:lock w:val="sdtLocked"/>
              </w:sdtPr>
              <w:sdtEndPr/>
              <w:sdtContent>
                <w:tc>
                  <w:tcPr>
                    <w:tcW w:w="918" w:type="pct"/>
                    <w:shd w:val="clear" w:color="auto" w:fill="auto"/>
                  </w:tcPr>
                  <w:p w14:paraId="5C6199B5" w14:textId="77777777" w:rsidR="00D21C1F" w:rsidRDefault="00A42880">
                    <w:pPr>
                      <w:jc w:val="center"/>
                      <w:rPr>
                        <w:szCs w:val="21"/>
                      </w:rPr>
                    </w:pPr>
                    <w:r>
                      <w:rPr>
                        <w:rFonts w:hint="eastAsia"/>
                        <w:szCs w:val="21"/>
                      </w:rPr>
                      <w:t>本期转回</w:t>
                    </w:r>
                  </w:p>
                </w:tc>
              </w:sdtContent>
            </w:sdt>
            <w:sdt>
              <w:sdtPr>
                <w:tag w:val="_PLD_e4a95a433a3045abb3f0ca11d787adda"/>
                <w:id w:val="-2047133535"/>
                <w:lock w:val="sdtLocked"/>
              </w:sdtPr>
              <w:sdtEndPr/>
              <w:sdtContent>
                <w:tc>
                  <w:tcPr>
                    <w:tcW w:w="924" w:type="pct"/>
                    <w:shd w:val="clear" w:color="auto" w:fill="auto"/>
                  </w:tcPr>
                  <w:p w14:paraId="2752A00E" w14:textId="77777777" w:rsidR="00D21C1F" w:rsidRDefault="00A42880">
                    <w:pPr>
                      <w:jc w:val="center"/>
                      <w:rPr>
                        <w:szCs w:val="21"/>
                      </w:rPr>
                    </w:pPr>
                    <w:r>
                      <w:rPr>
                        <w:rFonts w:hint="eastAsia"/>
                        <w:szCs w:val="21"/>
                      </w:rPr>
                      <w:t>本期转销/核销</w:t>
                    </w:r>
                  </w:p>
                </w:tc>
              </w:sdtContent>
            </w:sdt>
            <w:sdt>
              <w:sdtPr>
                <w:tag w:val="_PLD_6dd3b321b7f345639798fc3eaf268492"/>
                <w:id w:val="-732391171"/>
                <w:lock w:val="sdtLocked"/>
              </w:sdtPr>
              <w:sdtEndPr/>
              <w:sdtContent>
                <w:tc>
                  <w:tcPr>
                    <w:tcW w:w="970" w:type="pct"/>
                    <w:shd w:val="clear" w:color="auto" w:fill="auto"/>
                    <w:vAlign w:val="center"/>
                  </w:tcPr>
                  <w:p w14:paraId="27D2F0C2" w14:textId="77777777" w:rsidR="00D21C1F" w:rsidRDefault="00A42880">
                    <w:pPr>
                      <w:jc w:val="center"/>
                      <w:rPr>
                        <w:szCs w:val="21"/>
                      </w:rPr>
                    </w:pPr>
                    <w:r>
                      <w:rPr>
                        <w:rFonts w:hint="eastAsia"/>
                        <w:szCs w:val="21"/>
                      </w:rPr>
                      <w:t>原因</w:t>
                    </w:r>
                  </w:p>
                </w:tc>
              </w:sdtContent>
            </w:sdt>
          </w:tr>
          <w:sdt>
            <w:sdtPr>
              <w:rPr>
                <w:rFonts w:eastAsiaTheme="minorEastAsia"/>
              </w:rPr>
              <w:alias w:val="合同资产减值准备明细"/>
              <w:tag w:val="_TUP_faa2ef98c3d24377a44ef4f5c90c8f56"/>
              <w:id w:val="-1936665667"/>
              <w:lock w:val="sdtLocked"/>
              <w:placeholder>
                <w:docPart w:val="GBC11111111111111111111111111111"/>
              </w:placeholder>
            </w:sdtPr>
            <w:sdtEndPr/>
            <w:sdtContent>
              <w:tr w:rsidR="00D21C1F" w14:paraId="78ABD8E9" w14:textId="77777777">
                <w:trPr>
                  <w:trHeight w:val="80"/>
                </w:trPr>
                <w:tc>
                  <w:tcPr>
                    <w:tcW w:w="1249" w:type="pct"/>
                    <w:shd w:val="clear" w:color="auto" w:fill="auto"/>
                  </w:tcPr>
                  <w:p w14:paraId="41EDC3D0" w14:textId="77777777" w:rsidR="00D21C1F" w:rsidRDefault="00A42880">
                    <w:pPr>
                      <w:rPr>
                        <w:rFonts w:ascii="Calibri" w:hAnsi="Calibri" w:cs="Calibri"/>
                        <w:szCs w:val="21"/>
                      </w:rPr>
                    </w:pPr>
                    <w:r>
                      <w:rPr>
                        <w:sz w:val="18"/>
                        <w:szCs w:val="18"/>
                      </w:rPr>
                      <w:t>合同资产减值准备</w:t>
                    </w:r>
                  </w:p>
                </w:tc>
                <w:tc>
                  <w:tcPr>
                    <w:tcW w:w="939" w:type="pct"/>
                    <w:shd w:val="clear" w:color="auto" w:fill="auto"/>
                  </w:tcPr>
                  <w:p w14:paraId="597DE5C4" w14:textId="77777777" w:rsidR="00D21C1F" w:rsidRPr="00F25143" w:rsidRDefault="00A42880">
                    <w:pPr>
                      <w:jc w:val="right"/>
                      <w:rPr>
                        <w:rFonts w:ascii="Times New Roman" w:hAnsi="Times New Roman" w:cs="Times New Roman"/>
                      </w:rPr>
                    </w:pPr>
                    <w:r w:rsidRPr="00F25143">
                      <w:rPr>
                        <w:rFonts w:ascii="Times New Roman" w:hAnsi="Times New Roman" w:cs="Times New Roman"/>
                      </w:rPr>
                      <w:t>4,935,805.75</w:t>
                    </w:r>
                  </w:p>
                </w:tc>
                <w:tc>
                  <w:tcPr>
                    <w:tcW w:w="918" w:type="pct"/>
                    <w:shd w:val="clear" w:color="auto" w:fill="auto"/>
                  </w:tcPr>
                  <w:p w14:paraId="4DE47CEC" w14:textId="77777777" w:rsidR="00D21C1F" w:rsidRDefault="00A42880">
                    <w:pPr>
                      <w:jc w:val="right"/>
                    </w:pPr>
                    <w:r>
                      <w:t>-</w:t>
                    </w:r>
                  </w:p>
                </w:tc>
                <w:tc>
                  <w:tcPr>
                    <w:tcW w:w="924" w:type="pct"/>
                    <w:shd w:val="clear" w:color="auto" w:fill="auto"/>
                  </w:tcPr>
                  <w:p w14:paraId="51995914" w14:textId="77777777" w:rsidR="00D21C1F" w:rsidRDefault="00A42880">
                    <w:pPr>
                      <w:jc w:val="right"/>
                    </w:pPr>
                    <w:r>
                      <w:t>-</w:t>
                    </w:r>
                  </w:p>
                </w:tc>
                <w:tc>
                  <w:tcPr>
                    <w:tcW w:w="970" w:type="pct"/>
                    <w:shd w:val="clear" w:color="auto" w:fill="auto"/>
                  </w:tcPr>
                  <w:p w14:paraId="02FB2AF6" w14:textId="77777777" w:rsidR="00D21C1F" w:rsidRDefault="00A42880">
                    <w:pPr>
                      <w:pStyle w:val="97"/>
                    </w:pPr>
                    <w:r>
                      <w:rPr>
                        <w:rFonts w:hint="eastAsia"/>
                      </w:rPr>
                      <w:t>不适用</w:t>
                    </w:r>
                  </w:p>
                </w:tc>
              </w:tr>
            </w:sdtContent>
          </w:sdt>
          <w:tr w:rsidR="00D21C1F" w14:paraId="21E18256" w14:textId="77777777">
            <w:sdt>
              <w:sdtPr>
                <w:tag w:val="_PLD_6ae9e9d3205844dc97746ca84ec6bb42"/>
                <w:id w:val="1362171800"/>
                <w:lock w:val="sdtLocked"/>
              </w:sdtPr>
              <w:sdtEndPr/>
              <w:sdtContent>
                <w:tc>
                  <w:tcPr>
                    <w:tcW w:w="1249" w:type="pct"/>
                    <w:shd w:val="clear" w:color="auto" w:fill="auto"/>
                    <w:vAlign w:val="center"/>
                  </w:tcPr>
                  <w:p w14:paraId="73AD4FAA" w14:textId="77777777" w:rsidR="00D21C1F" w:rsidRDefault="00A42880">
                    <w:pPr>
                      <w:snapToGrid w:val="0"/>
                      <w:ind w:leftChars="-51" w:left="-107"/>
                      <w:jc w:val="center"/>
                      <w:rPr>
                        <w:szCs w:val="21"/>
                      </w:rPr>
                    </w:pPr>
                    <w:r>
                      <w:rPr>
                        <w:rFonts w:hint="eastAsia"/>
                        <w:szCs w:val="21"/>
                      </w:rPr>
                      <w:t>合计</w:t>
                    </w:r>
                  </w:p>
                </w:tc>
              </w:sdtContent>
            </w:sdt>
            <w:tc>
              <w:tcPr>
                <w:tcW w:w="939" w:type="pct"/>
                <w:shd w:val="clear" w:color="auto" w:fill="auto"/>
                <w:vAlign w:val="center"/>
              </w:tcPr>
              <w:p w14:paraId="5AD6289D" w14:textId="77777777" w:rsidR="00D21C1F" w:rsidRPr="00F25143" w:rsidRDefault="00A42880">
                <w:pPr>
                  <w:jc w:val="right"/>
                  <w:rPr>
                    <w:rFonts w:ascii="Times New Roman" w:hAnsi="Times New Roman" w:cs="Times New Roman"/>
                  </w:rPr>
                </w:pPr>
                <w:r w:rsidRPr="00F25143">
                  <w:rPr>
                    <w:rFonts w:ascii="Times New Roman" w:hAnsi="Times New Roman" w:cs="Times New Roman"/>
                  </w:rPr>
                  <w:t>4,935,805.75</w:t>
                </w:r>
              </w:p>
            </w:tc>
            <w:tc>
              <w:tcPr>
                <w:tcW w:w="918" w:type="pct"/>
                <w:shd w:val="clear" w:color="auto" w:fill="auto"/>
                <w:vAlign w:val="center"/>
              </w:tcPr>
              <w:p w14:paraId="64E0F29D" w14:textId="77777777" w:rsidR="00D21C1F" w:rsidRDefault="00A42880">
                <w:pPr>
                  <w:jc w:val="right"/>
                </w:pPr>
                <w:r>
                  <w:t>-</w:t>
                </w:r>
              </w:p>
            </w:tc>
            <w:tc>
              <w:tcPr>
                <w:tcW w:w="924" w:type="pct"/>
                <w:shd w:val="clear" w:color="auto" w:fill="auto"/>
                <w:vAlign w:val="center"/>
              </w:tcPr>
              <w:p w14:paraId="24C85A3D" w14:textId="77777777" w:rsidR="00D21C1F" w:rsidRDefault="00A42880">
                <w:pPr>
                  <w:jc w:val="right"/>
                </w:pPr>
                <w:r>
                  <w:t>-</w:t>
                </w:r>
              </w:p>
            </w:tc>
            <w:tc>
              <w:tcPr>
                <w:tcW w:w="970" w:type="pct"/>
                <w:shd w:val="clear" w:color="auto" w:fill="auto"/>
              </w:tcPr>
              <w:p w14:paraId="353A8A89" w14:textId="77777777" w:rsidR="00D21C1F" w:rsidRDefault="00A42880">
                <w:pPr>
                  <w:snapToGrid w:val="0"/>
                  <w:jc w:val="center"/>
                  <w:rPr>
                    <w:szCs w:val="21"/>
                  </w:rPr>
                </w:pPr>
                <w:r>
                  <w:rPr>
                    <w:rFonts w:hint="eastAsia"/>
                    <w:szCs w:val="21"/>
                  </w:rPr>
                  <w:t>/</w:t>
                </w:r>
              </w:p>
            </w:tc>
          </w:tr>
        </w:tbl>
        <w:p w14:paraId="6351EB8A" w14:textId="77777777" w:rsidR="00D21C1F" w:rsidRDefault="00D21C1F">
          <w:pPr>
            <w:autoSpaceDE w:val="0"/>
            <w:autoSpaceDN w:val="0"/>
            <w:adjustRightInd w:val="0"/>
            <w:ind w:rightChars="50" w:right="105"/>
            <w:rPr>
              <w:szCs w:val="21"/>
            </w:rPr>
          </w:pPr>
        </w:p>
        <w:p w14:paraId="58C60637" w14:textId="77777777" w:rsidR="00D21C1F" w:rsidRDefault="00A42880">
          <w:pPr>
            <w:autoSpaceDE w:val="0"/>
            <w:autoSpaceDN w:val="0"/>
            <w:adjustRightInd w:val="0"/>
            <w:ind w:rightChars="50" w:right="105"/>
            <w:rPr>
              <w:szCs w:val="21"/>
            </w:rPr>
          </w:pPr>
          <w:r>
            <w:rPr>
              <w:rFonts w:hint="eastAsia"/>
              <w:szCs w:val="21"/>
            </w:rPr>
            <w:t>如按预期信用损失一般模型计提坏账准备，请参照其他应收款披露：</w:t>
          </w:r>
        </w:p>
        <w:p w14:paraId="3FE95A33" w14:textId="77777777" w:rsidR="00D21C1F" w:rsidRDefault="00045EC6">
          <w:pPr>
            <w:autoSpaceDE w:val="0"/>
            <w:autoSpaceDN w:val="0"/>
            <w:adjustRightInd w:val="0"/>
            <w:ind w:rightChars="50" w:right="105"/>
            <w:rPr>
              <w:szCs w:val="21"/>
            </w:rPr>
          </w:pPr>
          <w:sdt>
            <w:sdtPr>
              <w:rPr>
                <w:szCs w:val="21"/>
              </w:rPr>
              <w:alias w:val="是否适用：合同资产按一般预计信用损失模型计提坏账[双击切换]"/>
              <w:tag w:val="_GBC_8fdd7a56e6f14d8d81f89e702e67dcdf"/>
              <w:id w:val="2039695199"/>
              <w:lock w:val="sdtLocked"/>
              <w:placeholder>
                <w:docPart w:val="GBC22222222222222222222222222222"/>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p w14:paraId="763637C8" w14:textId="77777777" w:rsidR="00D21C1F" w:rsidRDefault="00045EC6">
          <w:pPr>
            <w:pStyle w:val="97"/>
          </w:pPr>
        </w:p>
      </w:sdtContent>
    </w:sdt>
    <w:bookmarkEnd w:id="207" w:displacedByCustomXml="next"/>
    <w:bookmarkStart w:id="208" w:name="_Hlk10471002" w:displacedByCustomXml="next"/>
    <w:bookmarkStart w:id="209" w:name="_Hlk10471011" w:displacedByCustomXml="next"/>
    <w:sdt>
      <w:sdtPr>
        <w:rPr>
          <w:rFonts w:eastAsiaTheme="minorEastAsia" w:hint="eastAsia"/>
          <w:szCs w:val="21"/>
        </w:rPr>
        <w:alias w:val="模块:其他说明："/>
        <w:tag w:val="_SEC_5b10981ad765434eb8d30a4d75bff071"/>
        <w:id w:val="-1209802122"/>
        <w:lock w:val="sdtLocked"/>
        <w:placeholder>
          <w:docPart w:val="GBC22222222222222222222222222222"/>
        </w:placeholder>
      </w:sdtPr>
      <w:sdtEndPr>
        <w:rPr>
          <w:rFonts w:hint="default"/>
          <w:szCs w:val="24"/>
        </w:rPr>
      </w:sdtEndPr>
      <w:sdtContent>
        <w:p w14:paraId="1906EB05" w14:textId="77777777" w:rsidR="00D21C1F" w:rsidRDefault="00A42880">
          <w:pPr>
            <w:rPr>
              <w:szCs w:val="21"/>
            </w:rPr>
          </w:pPr>
          <w:r>
            <w:rPr>
              <w:rFonts w:hint="eastAsia"/>
              <w:szCs w:val="21"/>
            </w:rPr>
            <w:t>其他说明：</w:t>
          </w:r>
          <w:bookmarkEnd w:id="208"/>
        </w:p>
        <w:sdt>
          <w:sdtPr>
            <w:rPr>
              <w:szCs w:val="21"/>
            </w:rPr>
            <w:alias w:val="是否适用：合同资产其他说明[双击切换]"/>
            <w:tag w:val="_GBC_06cd3c0f93454d76bd0c7e20322e8a49"/>
            <w:id w:val="523911430"/>
            <w:lock w:val="sdtLocked"/>
            <w:placeholder>
              <w:docPart w:val="GBC22222222222222222222222222222"/>
            </w:placeholder>
          </w:sdtPr>
          <w:sdtEndPr/>
          <w:sdtContent>
            <w:p w14:paraId="3972DFEE"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9"/>
    <w:p w14:paraId="07058162" w14:textId="77777777" w:rsidR="00D21C1F" w:rsidRDefault="00D21C1F">
      <w:pPr>
        <w:sectPr w:rsidR="00D21C1F">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4"/>
        </w:rPr>
        <w:alias w:val="模块:划分为持有待售的资产"/>
        <w:tag w:val="_GBC_b8017c342539428893a6ec198dd061b3"/>
        <w:id w:val="-1803302113"/>
        <w:lock w:val="sdtLocked"/>
        <w:placeholder>
          <w:docPart w:val="GBC22222222222222222222222222222"/>
        </w:placeholder>
      </w:sdtPr>
      <w:sdtEndPr>
        <w:rPr>
          <w:rFonts w:hint="default"/>
          <w:szCs w:val="21"/>
        </w:rPr>
      </w:sdtEndPr>
      <w:sdtContent>
        <w:p w14:paraId="794150DC" w14:textId="77777777" w:rsidR="00D21C1F" w:rsidRDefault="00A42880">
          <w:pPr>
            <w:pStyle w:val="94"/>
            <w:numPr>
              <w:ilvl w:val="0"/>
              <w:numId w:val="95"/>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780224900"/>
            <w:lock w:val="sdtLocked"/>
            <w:placeholder>
              <w:docPart w:val="GBC22222222222222222222222222222"/>
            </w:placeholder>
          </w:sdtPr>
          <w:sdtEndPr/>
          <w:sdtContent>
            <w:p w14:paraId="51CB0927" w14:textId="2F308492" w:rsidR="00D21C1F" w:rsidRDefault="00A42880" w:rsidP="00180AE1">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10" w:name="_Hlk10471081" w:displacedByCustomXml="next"/>
    <w:sdt>
      <w:sdtPr>
        <w:rPr>
          <w:rFonts w:ascii="宋体" w:eastAsia="宋体" w:hAnsi="宋体" w:cs="宋体" w:hint="eastAsia"/>
          <w:b w:val="0"/>
          <w:bCs w:val="0"/>
          <w:kern w:val="0"/>
          <w:szCs w:val="24"/>
        </w:rPr>
        <w:alias w:val="模块:一年内到期的非流动资产"/>
        <w:tag w:val="_GBC_73afc3711ce24918b57d8c069abaf5c5"/>
        <w:id w:val="-1573275552"/>
        <w:lock w:val="sdtLocked"/>
        <w:placeholder>
          <w:docPart w:val="GBC22222222222222222222222222222"/>
        </w:placeholder>
      </w:sdtPr>
      <w:sdtEndPr>
        <w:rPr>
          <w:rFonts w:eastAsiaTheme="minorEastAsia"/>
        </w:rPr>
      </w:sdtEndPr>
      <w:sdtContent>
        <w:p w14:paraId="752AF176" w14:textId="77777777" w:rsidR="00D21C1F" w:rsidRDefault="00A42880">
          <w:pPr>
            <w:pStyle w:val="94"/>
            <w:numPr>
              <w:ilvl w:val="0"/>
              <w:numId w:val="95"/>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1146123168"/>
            <w:lock w:val="sdtLocked"/>
            <w:placeholder>
              <w:docPart w:val="GBC22222222222222222222222222222"/>
            </w:placeholder>
          </w:sdtPr>
          <w:sdtEndPr/>
          <w:sdtContent>
            <w:p w14:paraId="6B946FA2" w14:textId="62924504" w:rsidR="00D21C1F" w:rsidRDefault="00A42880" w:rsidP="00180AE1">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0" w:displacedByCustomXml="prev"/>
    <w:bookmarkStart w:id="211" w:name="_Hlk10471163" w:displacedByCustomXml="next"/>
    <w:sdt>
      <w:sdtPr>
        <w:rPr>
          <w:rFonts w:ascii="宋体" w:hAnsi="宋体" w:cs="宋体" w:hint="eastAsia"/>
          <w:b w:val="0"/>
          <w:bCs w:val="0"/>
          <w:kern w:val="0"/>
          <w:szCs w:val="24"/>
        </w:rPr>
        <w:alias w:val="模块:其他流动资产"/>
        <w:tag w:val="_GBC_e29fd29bee934fc3ab8325cf3625b905"/>
        <w:id w:val="1260334808"/>
        <w:lock w:val="sdtLocked"/>
        <w:placeholder>
          <w:docPart w:val="GBC22222222222222222222222222222"/>
        </w:placeholder>
      </w:sdtPr>
      <w:sdtEndPr/>
      <w:sdtContent>
        <w:p w14:paraId="388B8407" w14:textId="77777777" w:rsidR="00D21C1F" w:rsidRDefault="00A42880">
          <w:pPr>
            <w:pStyle w:val="94"/>
            <w:numPr>
              <w:ilvl w:val="0"/>
              <w:numId w:val="95"/>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1793507801"/>
            <w:lock w:val="sdtLocked"/>
            <w:placeholder>
              <w:docPart w:val="GBC22222222222222222222222222222"/>
            </w:placeholder>
          </w:sdtPr>
          <w:sdtEndPr/>
          <w:sdtContent>
            <w:p w14:paraId="5B54CE6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7EC7F7" w14:textId="77777777" w:rsidR="00D21C1F" w:rsidRDefault="00A42880">
          <w:pPr>
            <w:jc w:val="right"/>
          </w:pPr>
          <w:r>
            <w:rPr>
              <w:rFonts w:hint="eastAsia"/>
            </w:rPr>
            <w:t>单位：</w:t>
          </w:r>
          <w:sdt>
            <w:sdtPr>
              <w:rPr>
                <w:rFonts w:hint="eastAsia"/>
              </w:rPr>
              <w:alias w:val="单位：其他流动资产"/>
              <w:tag w:val="_GBC_d0c62fc75d164678ad203d9ddb106538"/>
              <w:id w:val="-12289969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其他流动资产"/>
              <w:tag w:val="_GBC_9196143d56d24a9ea7f7e31ce8a09024"/>
              <w:id w:val="-8056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D21C1F" w14:paraId="4BFC48C6" w14:textId="77777777">
            <w:sdt>
              <w:sdtPr>
                <w:tag w:val="_PLD_15bbfc7d41df4300abcae2e424cc6572"/>
                <w:id w:val="-262695351"/>
                <w:lock w:val="sdtLocked"/>
              </w:sdtPr>
              <w:sdtEndPr/>
              <w:sdtContent>
                <w:tc>
                  <w:tcPr>
                    <w:tcW w:w="1816" w:type="pct"/>
                    <w:shd w:val="clear" w:color="auto" w:fill="auto"/>
                    <w:vAlign w:val="center"/>
                  </w:tcPr>
                  <w:p w14:paraId="1DCA2F51" w14:textId="77777777" w:rsidR="00D21C1F" w:rsidRDefault="00A42880">
                    <w:pPr>
                      <w:jc w:val="center"/>
                      <w:rPr>
                        <w:szCs w:val="21"/>
                      </w:rPr>
                    </w:pPr>
                    <w:r>
                      <w:rPr>
                        <w:rFonts w:hint="eastAsia"/>
                        <w:szCs w:val="21"/>
                      </w:rPr>
                      <w:t>项目</w:t>
                    </w:r>
                  </w:p>
                </w:tc>
              </w:sdtContent>
            </w:sdt>
            <w:sdt>
              <w:sdtPr>
                <w:tag w:val="_PLD_d2a222194eae4e958db2401139170ea2"/>
                <w:id w:val="-1090002089"/>
                <w:lock w:val="sdtLocked"/>
              </w:sdtPr>
              <w:sdtEndPr/>
              <w:sdtContent>
                <w:tc>
                  <w:tcPr>
                    <w:tcW w:w="1612" w:type="pct"/>
                    <w:shd w:val="clear" w:color="auto" w:fill="auto"/>
                    <w:vAlign w:val="center"/>
                  </w:tcPr>
                  <w:p w14:paraId="7085EF12" w14:textId="77777777" w:rsidR="00D21C1F" w:rsidRDefault="00A42880">
                    <w:pPr>
                      <w:jc w:val="center"/>
                      <w:rPr>
                        <w:szCs w:val="21"/>
                      </w:rPr>
                    </w:pPr>
                    <w:r>
                      <w:rPr>
                        <w:rFonts w:hint="eastAsia"/>
                        <w:szCs w:val="21"/>
                      </w:rPr>
                      <w:t>期末余额</w:t>
                    </w:r>
                  </w:p>
                </w:tc>
              </w:sdtContent>
            </w:sdt>
            <w:sdt>
              <w:sdtPr>
                <w:tag w:val="_PLD_0f3815799e9d4216b9506517d8e9b90c"/>
                <w:id w:val="-443534116"/>
                <w:lock w:val="sdtLocked"/>
              </w:sdtPr>
              <w:sdtEndPr/>
              <w:sdtContent>
                <w:tc>
                  <w:tcPr>
                    <w:tcW w:w="1572" w:type="pct"/>
                    <w:shd w:val="clear" w:color="auto" w:fill="auto"/>
                    <w:vAlign w:val="center"/>
                  </w:tcPr>
                  <w:p w14:paraId="5D316BAA" w14:textId="77777777" w:rsidR="00D21C1F" w:rsidRDefault="00A42880">
                    <w:pPr>
                      <w:jc w:val="center"/>
                      <w:rPr>
                        <w:szCs w:val="21"/>
                      </w:rPr>
                    </w:pPr>
                    <w:r>
                      <w:rPr>
                        <w:rFonts w:hint="eastAsia"/>
                        <w:szCs w:val="21"/>
                      </w:rPr>
                      <w:t>期初余额</w:t>
                    </w:r>
                  </w:p>
                </w:tc>
              </w:sdtContent>
            </w:sdt>
          </w:tr>
          <w:sdt>
            <w:sdtPr>
              <w:rPr>
                <w:rFonts w:hint="eastAsia"/>
                <w:szCs w:val="21"/>
              </w:rPr>
              <w:alias w:val="其他流动资产明细"/>
              <w:tag w:val="_TUP_0bae324e6bd3444492796087e454ca12"/>
              <w:id w:val="513498381"/>
              <w:lock w:val="sdtLocked"/>
            </w:sdtPr>
            <w:sdtEndPr>
              <w:rPr>
                <w:rFonts w:ascii="Times New Roman" w:hAnsi="Times New Roman" w:cs="Times New Roman" w:hint="default"/>
              </w:rPr>
            </w:sdtEndPr>
            <w:sdtContent>
              <w:tr w:rsidR="00D21C1F" w14:paraId="432E31D5" w14:textId="77777777">
                <w:tc>
                  <w:tcPr>
                    <w:tcW w:w="1816" w:type="pct"/>
                    <w:shd w:val="clear" w:color="auto" w:fill="auto"/>
                  </w:tcPr>
                  <w:p w14:paraId="2880C2FA" w14:textId="77777777" w:rsidR="00D21C1F" w:rsidRDefault="00A42880">
                    <w:pPr>
                      <w:snapToGrid w:val="0"/>
                      <w:ind w:leftChars="-51" w:left="-107"/>
                      <w:rPr>
                        <w:szCs w:val="21"/>
                      </w:rPr>
                    </w:pPr>
                    <w:r>
                      <w:t>待抵扣进项税</w:t>
                    </w:r>
                  </w:p>
                </w:tc>
                <w:tc>
                  <w:tcPr>
                    <w:tcW w:w="1612" w:type="pct"/>
                    <w:shd w:val="clear" w:color="auto" w:fill="auto"/>
                  </w:tcPr>
                  <w:p w14:paraId="6EC4ABA3"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71,429,149.07</w:t>
                    </w:r>
                  </w:p>
                </w:tc>
                <w:tc>
                  <w:tcPr>
                    <w:tcW w:w="1572" w:type="pct"/>
                    <w:shd w:val="clear" w:color="auto" w:fill="auto"/>
                  </w:tcPr>
                  <w:p w14:paraId="09F97C9C"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54,641,405.10</w:t>
                    </w:r>
                  </w:p>
                </w:tc>
              </w:tr>
            </w:sdtContent>
          </w:sdt>
          <w:sdt>
            <w:sdtPr>
              <w:rPr>
                <w:rFonts w:hint="eastAsia"/>
                <w:szCs w:val="21"/>
              </w:rPr>
              <w:alias w:val="其他流动资产明细"/>
              <w:tag w:val="_TUP_0bae324e6bd3444492796087e454ca12"/>
              <w:id w:val="81421747"/>
              <w:lock w:val="sdtLocked"/>
            </w:sdtPr>
            <w:sdtEndPr>
              <w:rPr>
                <w:rFonts w:ascii="Times New Roman" w:hAnsi="Times New Roman" w:cs="Times New Roman" w:hint="default"/>
              </w:rPr>
            </w:sdtEndPr>
            <w:sdtContent>
              <w:tr w:rsidR="00D21C1F" w14:paraId="4BF262CE" w14:textId="77777777">
                <w:tc>
                  <w:tcPr>
                    <w:tcW w:w="1816" w:type="pct"/>
                    <w:shd w:val="clear" w:color="auto" w:fill="auto"/>
                  </w:tcPr>
                  <w:p w14:paraId="5E3A84F4" w14:textId="77777777" w:rsidR="00D21C1F" w:rsidRDefault="00A42880">
                    <w:pPr>
                      <w:snapToGrid w:val="0"/>
                      <w:ind w:leftChars="-51" w:left="-107"/>
                      <w:rPr>
                        <w:szCs w:val="21"/>
                      </w:rPr>
                    </w:pPr>
                    <w:r>
                      <w:t>待抵扣所得税</w:t>
                    </w:r>
                  </w:p>
                </w:tc>
                <w:tc>
                  <w:tcPr>
                    <w:tcW w:w="1612" w:type="pct"/>
                    <w:shd w:val="clear" w:color="auto" w:fill="auto"/>
                  </w:tcPr>
                  <w:p w14:paraId="060B76E9"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6,392,175.12</w:t>
                    </w:r>
                  </w:p>
                </w:tc>
                <w:tc>
                  <w:tcPr>
                    <w:tcW w:w="1572" w:type="pct"/>
                    <w:shd w:val="clear" w:color="auto" w:fill="auto"/>
                  </w:tcPr>
                  <w:p w14:paraId="00DD7C33"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12,276,228.89</w:t>
                    </w:r>
                  </w:p>
                </w:tc>
              </w:tr>
            </w:sdtContent>
          </w:sdt>
          <w:sdt>
            <w:sdtPr>
              <w:rPr>
                <w:rFonts w:hint="eastAsia"/>
                <w:szCs w:val="21"/>
              </w:rPr>
              <w:alias w:val="其他流动资产明细"/>
              <w:tag w:val="_TUP_0bae324e6bd3444492796087e454ca12"/>
              <w:id w:val="-744571078"/>
              <w:lock w:val="sdtLocked"/>
            </w:sdtPr>
            <w:sdtEndPr>
              <w:rPr>
                <w:rFonts w:ascii="Times New Roman" w:hAnsi="Times New Roman" w:cs="Times New Roman" w:hint="default"/>
              </w:rPr>
            </w:sdtEndPr>
            <w:sdtContent>
              <w:tr w:rsidR="00D21C1F" w14:paraId="3E1C2DE2" w14:textId="77777777">
                <w:tc>
                  <w:tcPr>
                    <w:tcW w:w="1816" w:type="pct"/>
                    <w:shd w:val="clear" w:color="auto" w:fill="auto"/>
                  </w:tcPr>
                  <w:p w14:paraId="2CC54E1B" w14:textId="77777777" w:rsidR="00D21C1F" w:rsidRDefault="00A42880">
                    <w:pPr>
                      <w:snapToGrid w:val="0"/>
                      <w:ind w:leftChars="-51" w:left="-107"/>
                      <w:rPr>
                        <w:szCs w:val="21"/>
                      </w:rPr>
                    </w:pPr>
                    <w:r>
                      <w:t>待抵扣其他税费</w:t>
                    </w:r>
                  </w:p>
                </w:tc>
                <w:tc>
                  <w:tcPr>
                    <w:tcW w:w="1612" w:type="pct"/>
                    <w:shd w:val="clear" w:color="auto" w:fill="auto"/>
                  </w:tcPr>
                  <w:p w14:paraId="28523BE0"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1,403,826.73</w:t>
                    </w:r>
                  </w:p>
                </w:tc>
                <w:tc>
                  <w:tcPr>
                    <w:tcW w:w="1572" w:type="pct"/>
                    <w:shd w:val="clear" w:color="auto" w:fill="auto"/>
                  </w:tcPr>
                  <w:p w14:paraId="75CFC096"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1,076,122.67</w:t>
                    </w:r>
                  </w:p>
                </w:tc>
              </w:tr>
            </w:sdtContent>
          </w:sdt>
          <w:tr w:rsidR="00D21C1F" w14:paraId="22CDFBEC" w14:textId="77777777">
            <w:sdt>
              <w:sdtPr>
                <w:tag w:val="_PLD_b6c346d1d68d4f27847794dad182ef24"/>
                <w:id w:val="1832481607"/>
                <w:lock w:val="sdtLocked"/>
              </w:sdtPr>
              <w:sdtEndPr/>
              <w:sdtContent>
                <w:tc>
                  <w:tcPr>
                    <w:tcW w:w="1816" w:type="pct"/>
                    <w:shd w:val="clear" w:color="auto" w:fill="auto"/>
                    <w:vAlign w:val="center"/>
                  </w:tcPr>
                  <w:p w14:paraId="5A190673" w14:textId="77777777" w:rsidR="00D21C1F" w:rsidRDefault="00A42880">
                    <w:pPr>
                      <w:snapToGrid w:val="0"/>
                      <w:ind w:leftChars="-51" w:left="-107"/>
                      <w:jc w:val="center"/>
                      <w:rPr>
                        <w:szCs w:val="21"/>
                      </w:rPr>
                    </w:pPr>
                    <w:r>
                      <w:rPr>
                        <w:rFonts w:hint="eastAsia"/>
                        <w:szCs w:val="21"/>
                      </w:rPr>
                      <w:t>合计</w:t>
                    </w:r>
                  </w:p>
                </w:tc>
              </w:sdtContent>
            </w:sdt>
            <w:tc>
              <w:tcPr>
                <w:tcW w:w="1612" w:type="pct"/>
                <w:shd w:val="clear" w:color="auto" w:fill="auto"/>
                <w:vAlign w:val="center"/>
              </w:tcPr>
              <w:p w14:paraId="0D195155"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79,225,150.92</w:t>
                </w:r>
              </w:p>
            </w:tc>
            <w:tc>
              <w:tcPr>
                <w:tcW w:w="1572" w:type="pct"/>
                <w:shd w:val="clear" w:color="auto" w:fill="auto"/>
                <w:vAlign w:val="center"/>
              </w:tcPr>
              <w:p w14:paraId="1F51DE68" w14:textId="77777777" w:rsidR="00D21C1F" w:rsidRPr="00961C40" w:rsidRDefault="00A42880">
                <w:pPr>
                  <w:snapToGrid w:val="0"/>
                  <w:jc w:val="right"/>
                  <w:rPr>
                    <w:rFonts w:ascii="Times New Roman" w:hAnsi="Times New Roman" w:cs="Times New Roman"/>
                    <w:szCs w:val="21"/>
                  </w:rPr>
                </w:pPr>
                <w:r w:rsidRPr="00961C40">
                  <w:rPr>
                    <w:rFonts w:ascii="Times New Roman" w:hAnsi="Times New Roman" w:cs="Times New Roman"/>
                  </w:rPr>
                  <w:t>67,993,756.66</w:t>
                </w:r>
              </w:p>
            </w:tc>
          </w:tr>
        </w:tbl>
        <w:p w14:paraId="534652CB" w14:textId="77777777" w:rsidR="00D21C1F" w:rsidRDefault="00A42880">
          <w:pPr>
            <w:pStyle w:val="97"/>
          </w:pPr>
          <w:r>
            <w:rPr>
              <w:rFonts w:hint="eastAsia"/>
            </w:rPr>
            <w:t>其他说明：</w:t>
          </w:r>
        </w:p>
        <w:sdt>
          <w:sdtPr>
            <w:rPr>
              <w:rFonts w:hint="eastAsia"/>
            </w:rPr>
            <w:alias w:val="其他流动资产说明"/>
            <w:tag w:val="_GBC_7955e529151148f394eed0e26977270b"/>
            <w:id w:val="-1290661153"/>
            <w:lock w:val="sdtLocked"/>
            <w:placeholder>
              <w:docPart w:val="GBC22222222222222222222222222222"/>
            </w:placeholder>
          </w:sdtPr>
          <w:sdtEndPr/>
          <w:sdtContent>
            <w:p w14:paraId="4BE30937" w14:textId="77777777" w:rsidR="00D21C1F" w:rsidRDefault="00A42880">
              <w:pPr>
                <w:pStyle w:val="97"/>
              </w:pPr>
              <w:r>
                <w:rPr>
                  <w:rFonts w:hint="eastAsia"/>
                </w:rPr>
                <w:t>无</w:t>
              </w:r>
            </w:p>
          </w:sdtContent>
        </w:sdt>
      </w:sdtContent>
    </w:sdt>
    <w:bookmarkEnd w:id="211"/>
    <w:p w14:paraId="5FE56A28" w14:textId="77777777" w:rsidR="00D21C1F" w:rsidRDefault="00D21C1F">
      <w:pPr>
        <w:ind w:right="210"/>
      </w:pPr>
    </w:p>
    <w:bookmarkStart w:id="212" w:name="_Hlk10471390" w:displacedByCustomXml="next"/>
    <w:sdt>
      <w:sdtPr>
        <w:rPr>
          <w:rFonts w:ascii="宋体" w:hAnsi="宋体" w:cs="宋体" w:hint="eastAsia"/>
          <w:b w:val="0"/>
          <w:bCs w:val="0"/>
          <w:kern w:val="0"/>
          <w:szCs w:val="24"/>
        </w:rPr>
        <w:alias w:val="模块:债权投资债权投资情况"/>
        <w:tag w:val="_SEC_949cb4eb7a744418a5a5c6266b7029c9"/>
        <w:id w:val="-1276709568"/>
        <w:lock w:val="sdtLocked"/>
        <w:placeholder>
          <w:docPart w:val="GBC22222222222222222222222222222"/>
        </w:placeholder>
      </w:sdtPr>
      <w:sdtEndPr>
        <w:rPr>
          <w:rFonts w:hint="default"/>
        </w:rPr>
      </w:sdtEndPr>
      <w:sdtContent>
        <w:p w14:paraId="7F265EF0" w14:textId="77777777" w:rsidR="00D21C1F" w:rsidRDefault="00A42880">
          <w:pPr>
            <w:pStyle w:val="94"/>
            <w:numPr>
              <w:ilvl w:val="0"/>
              <w:numId w:val="95"/>
            </w:numPr>
            <w:tabs>
              <w:tab w:val="left" w:pos="504"/>
            </w:tabs>
            <w:rPr>
              <w:rFonts w:ascii="宋体" w:hAnsi="宋体"/>
            </w:rPr>
          </w:pPr>
          <w:r>
            <w:rPr>
              <w:rFonts w:ascii="宋体" w:hAnsi="宋体" w:hint="eastAsia"/>
            </w:rPr>
            <w:t>债权投资</w:t>
          </w:r>
        </w:p>
        <w:p w14:paraId="7E15184B" w14:textId="77777777" w:rsidR="00D21C1F" w:rsidRDefault="00A42880">
          <w:pPr>
            <w:pStyle w:val="93"/>
            <w:numPr>
              <w:ilvl w:val="3"/>
              <w:numId w:val="103"/>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1411185595"/>
            <w:lock w:val="sdtLocked"/>
            <w:placeholder>
              <w:docPart w:val="GBC22222222222222222222222222222"/>
            </w:placeholder>
          </w:sdtPr>
          <w:sdtEndPr/>
          <w:sdtContent>
            <w:p w14:paraId="0A51DFD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2" w:displacedByCustomXml="next"/>
    <w:bookmarkStart w:id="213" w:name="_Hlk10471440" w:displacedByCustomXml="next"/>
    <w:bookmarkStart w:id="214" w:name="_Hlk10471450" w:displacedByCustomXml="next"/>
    <w:sdt>
      <w:sdtPr>
        <w:rPr>
          <w:rFonts w:ascii="宋体" w:hAnsi="宋体" w:cs="宋体" w:hint="eastAsia"/>
          <w:b w:val="0"/>
          <w:bCs w:val="0"/>
          <w:kern w:val="0"/>
          <w:szCs w:val="24"/>
        </w:rPr>
        <w:alias w:val="模块:期末重要的债权投资"/>
        <w:tag w:val="_SEC_b1d789cc522341caa1c75b1a7b84351c"/>
        <w:id w:val="-438915769"/>
        <w:lock w:val="sdtLocked"/>
        <w:placeholder>
          <w:docPart w:val="GBC22222222222222222222222222222"/>
        </w:placeholder>
      </w:sdtPr>
      <w:sdtEndPr>
        <w:rPr>
          <w:rFonts w:hint="default"/>
        </w:rPr>
      </w:sdtEndPr>
      <w:sdtContent>
        <w:p w14:paraId="020633C6" w14:textId="77777777" w:rsidR="00D21C1F" w:rsidRDefault="00A42880">
          <w:pPr>
            <w:pStyle w:val="93"/>
            <w:numPr>
              <w:ilvl w:val="3"/>
              <w:numId w:val="103"/>
            </w:numPr>
            <w:ind w:left="426" w:hanging="426"/>
            <w:rPr>
              <w:rFonts w:ascii="宋体" w:hAnsi="宋体"/>
            </w:rPr>
          </w:pPr>
          <w:r>
            <w:rPr>
              <w:rFonts w:ascii="宋体" w:hAnsi="宋体" w:hint="eastAsia"/>
            </w:rPr>
            <w:t>期末重要的债权投资</w:t>
          </w:r>
          <w:bookmarkEnd w:id="213"/>
        </w:p>
        <w:sdt>
          <w:sdtPr>
            <w:alias w:val="是否适用：重要的债权投资[双击切换]"/>
            <w:tag w:val="_GBC_0ff84ccc1d234704b93c4e33c0d575ce"/>
            <w:id w:val="-138653833"/>
            <w:lock w:val="sdtLocked"/>
            <w:placeholder>
              <w:docPart w:val="GBC22222222222222222222222222222"/>
            </w:placeholder>
          </w:sdtPr>
          <w:sdtEndPr/>
          <w:sdtContent>
            <w:p w14:paraId="42FCEA8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4" w:displacedByCustomXml="next"/>
    <w:bookmarkStart w:id="215" w:name="_Hlk10471472" w:displacedByCustomXml="next"/>
    <w:bookmarkStart w:id="216" w:name="_Hlk10471485" w:displacedByCustomXml="next"/>
    <w:sdt>
      <w:sdtPr>
        <w:rPr>
          <w:rFonts w:ascii="宋体" w:eastAsia="宋体" w:hAnsi="宋体" w:cs="宋体" w:hint="eastAsia"/>
          <w:b w:val="0"/>
          <w:bCs w:val="0"/>
          <w:kern w:val="0"/>
          <w:szCs w:val="24"/>
        </w:rPr>
        <w:alias w:val="模块:减值准备计提情况"/>
        <w:tag w:val="_SEC_bff86b17d4774a4a9f8a3329635b5429"/>
        <w:id w:val="-384096859"/>
        <w:lock w:val="sdtLocked"/>
        <w:placeholder>
          <w:docPart w:val="GBC22222222222222222222222222222"/>
        </w:placeholder>
      </w:sdtPr>
      <w:sdtEndPr>
        <w:rPr>
          <w:rFonts w:hint="default"/>
        </w:rPr>
      </w:sdtEndPr>
      <w:sdtContent>
        <w:p w14:paraId="7BBE0E57" w14:textId="77777777" w:rsidR="00D21C1F" w:rsidRDefault="00A42880">
          <w:pPr>
            <w:pStyle w:val="93"/>
            <w:numPr>
              <w:ilvl w:val="3"/>
              <w:numId w:val="103"/>
            </w:numPr>
            <w:ind w:left="426" w:hanging="426"/>
            <w:rPr>
              <w:rFonts w:ascii="宋体" w:hAnsi="宋体"/>
            </w:rPr>
          </w:pPr>
          <w:r>
            <w:rPr>
              <w:rFonts w:ascii="宋体" w:hAnsi="宋体" w:cs="宋体" w:hint="eastAsia"/>
              <w:bCs w:val="0"/>
              <w:kern w:val="0"/>
              <w:szCs w:val="24"/>
            </w:rPr>
            <w:t>减值准备计提情况</w:t>
          </w:r>
          <w:bookmarkEnd w:id="215"/>
        </w:p>
        <w:sdt>
          <w:sdtPr>
            <w:alias w:val="是否适用：债权投资减值准备调节表[双击切换]"/>
            <w:tag w:val="_GBC_415a5cd43ad14136b13ac09b150da06f"/>
            <w:id w:val="-729848343"/>
            <w:lock w:val="sdtLocked"/>
            <w:placeholder>
              <w:docPart w:val="GBC22222222222222222222222222222"/>
            </w:placeholder>
          </w:sdtPr>
          <w:sdtEndPr/>
          <w:sdtContent>
            <w:p w14:paraId="4539138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AEAF28" w14:textId="77777777" w:rsidR="00D21C1F" w:rsidRDefault="00045EC6">
          <w:pPr>
            <w:ind w:right="210"/>
          </w:pPr>
        </w:p>
      </w:sdtContent>
    </w:sdt>
    <w:bookmarkEnd w:id="216" w:displacedByCustomXml="next"/>
    <w:bookmarkStart w:id="217" w:name="_Hlk10471652" w:displacedByCustomXml="next"/>
    <w:sdt>
      <w:sdtPr>
        <w:rPr>
          <w:rFonts w:ascii="宋体" w:eastAsia="宋体" w:hAnsi="宋体" w:cs="宋体" w:hint="eastAsia"/>
          <w:b w:val="0"/>
          <w:bCs w:val="0"/>
          <w:kern w:val="0"/>
          <w:szCs w:val="21"/>
        </w:rPr>
        <w:alias w:val="模块:其他债权投资"/>
        <w:tag w:val="_SEC_1af1e8e9eab94f10811b4e7aa91aa24d"/>
        <w:id w:val="289788917"/>
        <w:lock w:val="sdtLocked"/>
        <w:placeholder>
          <w:docPart w:val="GBC22222222222222222222222222222"/>
        </w:placeholder>
      </w:sdtPr>
      <w:sdtEndPr>
        <w:rPr>
          <w:szCs w:val="24"/>
        </w:rPr>
      </w:sdtEndPr>
      <w:sdtContent>
        <w:p w14:paraId="7D826333"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其他债权投资</w:t>
          </w:r>
        </w:p>
        <w:p w14:paraId="0E249B49" w14:textId="77777777" w:rsidR="00D21C1F" w:rsidRDefault="00A42880">
          <w:pPr>
            <w:pStyle w:val="93"/>
            <w:numPr>
              <w:ilvl w:val="3"/>
              <w:numId w:val="104"/>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1918515229"/>
            <w:lock w:val="sdtLocked"/>
            <w:placeholder>
              <w:docPart w:val="GBC22222222222222222222222222222"/>
            </w:placeholder>
          </w:sdtPr>
          <w:sdtEndPr/>
          <w:sdtContent>
            <w:p w14:paraId="2D65E775" w14:textId="77777777" w:rsidR="00D21C1F" w:rsidRDefault="00A42880">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7" w:displacedByCustomXml="next"/>
    <w:bookmarkStart w:id="218" w:name="_Hlk10471670" w:displacedByCustomXml="next"/>
    <w:bookmarkStart w:id="219" w:name="_Hlk10471680" w:displacedByCustomXml="next"/>
    <w:sdt>
      <w:sdtPr>
        <w:rPr>
          <w:rFonts w:ascii="宋体" w:eastAsia="宋体" w:hAnsi="宋体" w:cs="宋体" w:hint="eastAsia"/>
          <w:b w:val="0"/>
          <w:bCs w:val="0"/>
          <w:kern w:val="0"/>
          <w:szCs w:val="24"/>
        </w:rPr>
        <w:alias w:val="模块:期末重要的其他债权投资"/>
        <w:tag w:val="_SEC_052112d020944ec8b923dd106b2a0cbf"/>
        <w:id w:val="-471144095"/>
        <w:lock w:val="sdtLocked"/>
        <w:placeholder>
          <w:docPart w:val="GBC22222222222222222222222222222"/>
        </w:placeholder>
      </w:sdtPr>
      <w:sdtEndPr>
        <w:rPr>
          <w:rFonts w:hint="default"/>
          <w:szCs w:val="21"/>
        </w:rPr>
      </w:sdtEndPr>
      <w:sdtContent>
        <w:p w14:paraId="396D463A" w14:textId="77777777" w:rsidR="00D21C1F" w:rsidRDefault="00A42880">
          <w:pPr>
            <w:pStyle w:val="93"/>
            <w:numPr>
              <w:ilvl w:val="3"/>
              <w:numId w:val="104"/>
            </w:numPr>
            <w:ind w:left="426" w:hanging="426"/>
            <w:rPr>
              <w:rFonts w:ascii="宋体" w:hAnsi="宋体"/>
            </w:rPr>
          </w:pPr>
          <w:r>
            <w:rPr>
              <w:rFonts w:ascii="宋体" w:hAnsi="宋体" w:hint="eastAsia"/>
            </w:rPr>
            <w:t>期末重要的其他债权投资</w:t>
          </w:r>
          <w:bookmarkEnd w:id="218"/>
        </w:p>
        <w:sdt>
          <w:sdtPr>
            <w:alias w:val="是否适用：重要的其他债权投资[双击切换]"/>
            <w:tag w:val="_GBC_e8808db892544b1ead740cddc4156455"/>
            <w:id w:val="-1132792299"/>
            <w:lock w:val="sdtLocked"/>
            <w:placeholder>
              <w:docPart w:val="GBC22222222222222222222222222222"/>
            </w:placeholder>
          </w:sdtPr>
          <w:sdtEndPr/>
          <w:sdtContent>
            <w:p w14:paraId="302BE6EE" w14:textId="77777777" w:rsidR="00D21C1F" w:rsidRDefault="00A42880">
              <w:pPr>
                <w:ind w:right="210"/>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19" w:displacedByCustomXml="next"/>
    <w:bookmarkStart w:id="220" w:name="_Hlk10471703" w:displacedByCustomXml="next"/>
    <w:bookmarkStart w:id="221" w:name="_Hlk10471716" w:displacedByCustomXml="next"/>
    <w:sdt>
      <w:sdtPr>
        <w:rPr>
          <w:rFonts w:ascii="宋体" w:hAnsi="宋体" w:cs="宋体" w:hint="eastAsia"/>
          <w:b w:val="0"/>
          <w:bCs w:val="0"/>
          <w:kern w:val="0"/>
          <w:szCs w:val="24"/>
        </w:rPr>
        <w:alias w:val="模块:减值准备计提情况"/>
        <w:tag w:val="_SEC_a18c2d8250c64daf904816a57fe286bd"/>
        <w:id w:val="-57246168"/>
        <w:lock w:val="sdtLocked"/>
        <w:placeholder>
          <w:docPart w:val="GBC22222222222222222222222222222"/>
        </w:placeholder>
      </w:sdtPr>
      <w:sdtEndPr>
        <w:rPr>
          <w:rFonts w:hint="default"/>
          <w:szCs w:val="21"/>
        </w:rPr>
      </w:sdtEndPr>
      <w:sdtContent>
        <w:p w14:paraId="1F46F35B" w14:textId="77777777" w:rsidR="00D21C1F" w:rsidRDefault="00A42880">
          <w:pPr>
            <w:pStyle w:val="93"/>
            <w:numPr>
              <w:ilvl w:val="3"/>
              <w:numId w:val="104"/>
            </w:numPr>
            <w:ind w:left="426" w:hanging="426"/>
            <w:rPr>
              <w:rFonts w:ascii="宋体" w:hAnsi="宋体"/>
            </w:rPr>
          </w:pPr>
          <w:r>
            <w:rPr>
              <w:rFonts w:ascii="宋体" w:hAnsi="宋体" w:cs="宋体" w:hint="eastAsia"/>
              <w:bCs w:val="0"/>
              <w:kern w:val="0"/>
              <w:szCs w:val="24"/>
            </w:rPr>
            <w:t>减值准备计提情况</w:t>
          </w:r>
          <w:bookmarkEnd w:id="220"/>
        </w:p>
        <w:sdt>
          <w:sdtPr>
            <w:alias w:val="是否适用：其他债权投资减值准备调节表[双击切换]"/>
            <w:tag w:val="_GBC_038e4a0a4815442e91a9309c128001c1"/>
            <w:id w:val="-1481386864"/>
            <w:lock w:val="sdtLocked"/>
            <w:placeholder>
              <w:docPart w:val="GBC22222222222222222222222222222"/>
            </w:placeholder>
          </w:sdtPr>
          <w:sdtEndPr/>
          <w:sdtContent>
            <w:p w14:paraId="7FF2BB0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1" w:displacedByCustomXml="next"/>
    <w:bookmarkStart w:id="222" w:name="_Hlk533848097" w:displacedByCustomXml="next"/>
    <w:bookmarkStart w:id="223" w:name="_Hlk10471761" w:displacedByCustomXml="next"/>
    <w:sdt>
      <w:sdtPr>
        <w:rPr>
          <w:rFonts w:hint="eastAsia"/>
        </w:rPr>
        <w:alias w:val="模块:其他说明："/>
        <w:tag w:val="_SEC_a6d7d62dd24747a08e0a132cf37e100c"/>
        <w:id w:val="382136738"/>
        <w:lock w:val="sdtLocked"/>
        <w:placeholder>
          <w:docPart w:val="GBC22222222222222222222222222222"/>
        </w:placeholder>
      </w:sdtPr>
      <w:sdtEndPr>
        <w:rPr>
          <w:rFonts w:hint="default"/>
          <w:szCs w:val="21"/>
        </w:rPr>
      </w:sdtEndPr>
      <w:sdtContent>
        <w:p w14:paraId="1DFEEF7D" w14:textId="77777777" w:rsidR="00D21C1F" w:rsidRDefault="00A42880">
          <w:pPr>
            <w:pStyle w:val="97"/>
          </w:pPr>
          <w:r>
            <w:rPr>
              <w:rFonts w:hint="eastAsia"/>
            </w:rPr>
            <w:t>其他说明：</w:t>
          </w:r>
          <w:bookmarkEnd w:id="222"/>
        </w:p>
        <w:sdt>
          <w:sdtPr>
            <w:alias w:val="是否适用：其他债权投资其他说明[双击切换]"/>
            <w:tag w:val="_GBC_e37f3e78626b4cd0ad52d68ae2fcdecb"/>
            <w:id w:val="399950284"/>
            <w:lock w:val="sdtLocked"/>
            <w:placeholder>
              <w:docPart w:val="GBC22222222222222222222222222222"/>
            </w:placeholder>
          </w:sdtPr>
          <w:sdtEndPr/>
          <w:sdtContent>
            <w:p w14:paraId="58365B5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3"/>
    <w:p w14:paraId="385BC72B" w14:textId="77777777" w:rsidR="00D21C1F" w:rsidRDefault="00D21C1F">
      <w:pPr>
        <w:rPr>
          <w:szCs w:val="21"/>
        </w:rPr>
      </w:pPr>
    </w:p>
    <w:p w14:paraId="33F481EE"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GBC_2642a454002a499399e1b643b91ef1ad"/>
        <w:id w:val="516740562"/>
        <w:lock w:val="sdtLocked"/>
        <w:placeholder>
          <w:docPart w:val="GBC22222222222222222222222222222"/>
        </w:placeholder>
      </w:sdtPr>
      <w:sdtEndPr>
        <w:rPr>
          <w:rFonts w:hint="default"/>
          <w:color w:val="FF0000"/>
          <w:szCs w:val="21"/>
        </w:rPr>
      </w:sdtEndPr>
      <w:sdtContent>
        <w:p w14:paraId="462961F9" w14:textId="77777777" w:rsidR="00D21C1F" w:rsidRDefault="00A42880">
          <w:pPr>
            <w:pStyle w:val="93"/>
            <w:numPr>
              <w:ilvl w:val="0"/>
              <w:numId w:val="105"/>
            </w:numPr>
            <w:rPr>
              <w:rFonts w:ascii="宋体" w:hAnsi="宋体"/>
            </w:rPr>
          </w:pPr>
          <w:r>
            <w:rPr>
              <w:rFonts w:ascii="宋体" w:hAnsi="宋体" w:hint="eastAsia"/>
            </w:rPr>
            <w:t>长期应收款情况</w:t>
          </w:r>
        </w:p>
        <w:sdt>
          <w:sdtPr>
            <w:alias w:val="是否适用：长期应收款情况[双击切换]"/>
            <w:tag w:val="_GBC_03ba5a75d6d541f4a60fba2b18c9d548"/>
            <w:id w:val="1135613199"/>
            <w:lock w:val="sdtLocked"/>
            <w:placeholder>
              <w:docPart w:val="GBC22222222222222222222222222222"/>
            </w:placeholder>
          </w:sdtPr>
          <w:sdtEndPr/>
          <w:sdtContent>
            <w:p w14:paraId="3CA0777B" w14:textId="77777777" w:rsidR="00D21C1F" w:rsidRDefault="00A42880">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24" w:name="_Hlk10471933" w:displacedByCustomXml="next"/>
    <w:sdt>
      <w:sdtPr>
        <w:rPr>
          <w:rFonts w:ascii="宋体" w:eastAsia="宋体" w:hAnsi="宋体" w:cs="宋体" w:hint="eastAsia"/>
          <w:b w:val="0"/>
          <w:bCs w:val="0"/>
          <w:color w:val="FF0000"/>
          <w:kern w:val="0"/>
          <w:szCs w:val="21"/>
        </w:rPr>
        <w:alias w:val="模块:坏账准备计提情况"/>
        <w:tag w:val="_SEC_a0520f64d4bd49e5a3638a0386a233ee"/>
        <w:id w:val="1447883917"/>
        <w:lock w:val="sdtLocked"/>
        <w:placeholder>
          <w:docPart w:val="GBC22222222222222222222222222222"/>
        </w:placeholder>
      </w:sdtPr>
      <w:sdtEndPr>
        <w:rPr>
          <w:rFonts w:hint="default"/>
        </w:rPr>
      </w:sdtEndPr>
      <w:sdtContent>
        <w:p w14:paraId="73148458" w14:textId="77777777" w:rsidR="00D21C1F" w:rsidRDefault="00A42880">
          <w:pPr>
            <w:pStyle w:val="93"/>
            <w:numPr>
              <w:ilvl w:val="0"/>
              <w:numId w:val="105"/>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977351661"/>
            <w:lock w:val="sdtLocked"/>
            <w:placeholder>
              <w:docPart w:val="GBC22222222222222222222222222222"/>
            </w:placeholder>
          </w:sdtPr>
          <w:sdtEndPr/>
          <w:sdtContent>
            <w:p w14:paraId="75261BED"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4" w:displacedByCustomXml="next"/>
    <w:sdt>
      <w:sdtPr>
        <w:rPr>
          <w:rFonts w:ascii="宋体" w:eastAsia="宋体" w:hAnsi="宋体" w:cs="宋体" w:hint="eastAsia"/>
          <w:b w:val="0"/>
          <w:bCs w:val="0"/>
          <w:kern w:val="0"/>
          <w:szCs w:val="21"/>
        </w:rPr>
        <w:alias w:val="模块:因金融资产转移而终止确认的长期应收款"/>
        <w:tag w:val="_GBC_928896eb74ab465199673a59201d4a8b"/>
        <w:id w:val="996067164"/>
        <w:lock w:val="sdtLocked"/>
        <w:placeholder>
          <w:docPart w:val="GBC22222222222222222222222222222"/>
        </w:placeholder>
      </w:sdtPr>
      <w:sdtEndPr/>
      <w:sdtContent>
        <w:p w14:paraId="520A4BF5" w14:textId="77777777" w:rsidR="00D21C1F" w:rsidRDefault="00A42880">
          <w:pPr>
            <w:pStyle w:val="93"/>
            <w:numPr>
              <w:ilvl w:val="0"/>
              <w:numId w:val="105"/>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szCs w:val="21"/>
            </w:rPr>
            <w:alias w:val="是否适用：因金融资产转移而终止确认的长期应收款[双击切换]"/>
            <w:tag w:val="_GBC_f7aab2a321ef4781ad1595366bc02c5e"/>
            <w:id w:val="614953242"/>
            <w:lock w:val="sdtLocked"/>
            <w:placeholder>
              <w:docPart w:val="GBC22222222222222222222222222222"/>
            </w:placeholder>
          </w:sdtPr>
          <w:sdtEndPr/>
          <w:sdtContent>
            <w:p w14:paraId="7010CF64"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长期应收款且继续涉入形成的资产、负债金额"/>
        <w:tag w:val="_GBC_711f6e05c2eb42e595d774bdf837f823"/>
        <w:id w:val="608707876"/>
        <w:lock w:val="sdtLocked"/>
        <w:placeholder>
          <w:docPart w:val="GBC22222222222222222222222222222"/>
        </w:placeholder>
      </w:sdtPr>
      <w:sdtEndPr/>
      <w:sdtContent>
        <w:p w14:paraId="4FF123EA" w14:textId="77777777" w:rsidR="00D21C1F" w:rsidRDefault="00A42880">
          <w:pPr>
            <w:pStyle w:val="93"/>
            <w:numPr>
              <w:ilvl w:val="0"/>
              <w:numId w:val="105"/>
            </w:numPr>
            <w:rPr>
              <w:rFonts w:ascii="宋体" w:hAnsi="宋体"/>
            </w:rPr>
          </w:pPr>
          <w:r>
            <w:rPr>
              <w:rFonts w:ascii="宋体" w:hAnsi="宋体"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1948813628"/>
            <w:lock w:val="sdtLocked"/>
            <w:placeholder>
              <w:docPart w:val="GBC22222222222222222222222222222"/>
            </w:placeholder>
          </w:sdtPr>
          <w:sdtEndPr/>
          <w:sdtContent>
            <w:p w14:paraId="70FBBA1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长期应收款的其他说明"/>
        <w:tag w:val="_GBC_2a6246644ca84dfdb1b5ecc95ea5c0c2"/>
        <w:id w:val="-553471958"/>
        <w:lock w:val="sdtLocked"/>
        <w:placeholder>
          <w:docPart w:val="GBC22222222222222222222222222222"/>
        </w:placeholder>
      </w:sdtPr>
      <w:sdtEndPr/>
      <w:sdtContent>
        <w:p w14:paraId="0420299B" w14:textId="77777777" w:rsidR="00D21C1F" w:rsidRDefault="00A42880">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727033839"/>
            <w:lock w:val="sdtLocked"/>
            <w:placeholder>
              <w:docPart w:val="GBC22222222222222222222222222222"/>
            </w:placeholder>
          </w:sdtPr>
          <w:sdtEndPr/>
          <w:sdtContent>
            <w:p w14:paraId="60E8D9FA"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FFF2E46" w14:textId="77777777" w:rsidR="00D21C1F" w:rsidRDefault="00D21C1F">
      <w:pPr>
        <w:rPr>
          <w:szCs w:val="21"/>
        </w:rPr>
        <w:sectPr w:rsidR="00D21C1F">
          <w:pgSz w:w="11906" w:h="16838"/>
          <w:pgMar w:top="1525" w:right="1276" w:bottom="1440" w:left="1797" w:header="856" w:footer="992" w:gutter="0"/>
          <w:cols w:space="425"/>
          <w:docGrid w:linePitch="312"/>
        </w:sectPr>
      </w:pPr>
    </w:p>
    <w:p w14:paraId="5B9F2731" w14:textId="77777777" w:rsidR="00D21C1F" w:rsidRDefault="00D21C1F">
      <w:pPr>
        <w:rPr>
          <w:szCs w:val="21"/>
        </w:rPr>
      </w:pPr>
    </w:p>
    <w:p w14:paraId="03AF74FF"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长期股权投资</w:t>
      </w:r>
    </w:p>
    <w:p w14:paraId="7D280737" w14:textId="77777777" w:rsidR="00D21C1F" w:rsidRDefault="00045EC6">
      <w:pPr>
        <w:pStyle w:val="97"/>
      </w:pPr>
      <w:sdt>
        <w:sdtPr>
          <w:rPr>
            <w:rFonts w:hint="eastAsia"/>
          </w:rPr>
          <w:alias w:val="是否适用：长期股权投资[双击切换]"/>
          <w:tag w:val="_GBC_bafa2cb2262c4c4ebc4eed8f4e4a81c6"/>
          <w:id w:val="-1840301676"/>
          <w:lock w:val="sdtContentLocked"/>
          <w:placeholder>
            <w:docPart w:val="GBC22222222222222222222222222222"/>
          </w:placeholder>
        </w:sdtPr>
        <w:sdtEndPr/>
        <w:sdtContent>
          <w:r w:rsidR="00A42880">
            <w:fldChar w:fldCharType="begin"/>
          </w:r>
          <w:r w:rsidR="00A42880">
            <w:instrText xml:space="preserve"> 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sdt>
      <w:sdtPr>
        <w:rPr>
          <w:rFonts w:hint="eastAsia"/>
          <w:szCs w:val="21"/>
        </w:rPr>
        <w:alias w:val="模块:长期股权投资"/>
        <w:tag w:val="_GBC_e68906ccea2845f1856fe89f4de6c229"/>
        <w:id w:val="-90015484"/>
        <w:lock w:val="sdtLocked"/>
        <w:placeholder>
          <w:docPart w:val="GBC22222222222222222222222222222"/>
        </w:placeholder>
      </w:sdtPr>
      <w:sdtEndPr/>
      <w:sdtContent>
        <w:p w14:paraId="03A9CC1C" w14:textId="77777777" w:rsidR="00D21C1F" w:rsidRDefault="00A42880">
          <w:pPr>
            <w:jc w:val="right"/>
            <w:rPr>
              <w:szCs w:val="21"/>
            </w:rPr>
          </w:pPr>
          <w:r>
            <w:rPr>
              <w:rFonts w:hint="eastAsia"/>
              <w:szCs w:val="21"/>
            </w:rPr>
            <w:t>单位：</w:t>
          </w:r>
          <w:sdt>
            <w:sdtPr>
              <w:rPr>
                <w:rFonts w:hint="eastAsia"/>
                <w:szCs w:val="21"/>
              </w:rPr>
              <w:alias w:val="单位：财务附注：长期股权投资"/>
              <w:tag w:val="_GBC_63e30834d38e49658bec9056bc38e4e2"/>
              <w:id w:val="668533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长期股权投资"/>
              <w:tag w:val="_GBC_f72bca6b250e484887289a819bc62e7d"/>
              <w:id w:val="-1515151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323"/>
            <w:gridCol w:w="1164"/>
            <w:gridCol w:w="746"/>
            <w:gridCol w:w="1486"/>
            <w:gridCol w:w="1115"/>
            <w:gridCol w:w="1115"/>
            <w:gridCol w:w="1536"/>
            <w:gridCol w:w="976"/>
            <w:gridCol w:w="693"/>
            <w:gridCol w:w="1259"/>
            <w:gridCol w:w="1065"/>
          </w:tblGrid>
          <w:tr w:rsidR="00D21C1F" w14:paraId="6C2F4EF1" w14:textId="77777777">
            <w:sdt>
              <w:sdtPr>
                <w:tag w:val="_PLD_f83b8af388eb4b51ac2d014806d1cf64"/>
                <w:id w:val="931626443"/>
                <w:lock w:val="sdtLocked"/>
              </w:sdtPr>
              <w:sdtEndPr/>
              <w:sdtContent>
                <w:tc>
                  <w:tcPr>
                    <w:tcW w:w="500" w:type="pct"/>
                    <w:vMerge w:val="restart"/>
                    <w:tcBorders>
                      <w:top w:val="single" w:sz="4" w:space="0" w:color="auto"/>
                      <w:left w:val="single" w:sz="4" w:space="0" w:color="auto"/>
                      <w:right w:val="single" w:sz="4" w:space="0" w:color="auto"/>
                    </w:tcBorders>
                    <w:shd w:val="clear" w:color="auto" w:fill="auto"/>
                    <w:vAlign w:val="center"/>
                  </w:tcPr>
                  <w:p w14:paraId="2407FCDB" w14:textId="77777777" w:rsidR="00D21C1F" w:rsidRDefault="00A42880">
                    <w:pPr>
                      <w:jc w:val="center"/>
                      <w:rPr>
                        <w:szCs w:val="21"/>
                      </w:rPr>
                    </w:pPr>
                    <w:r>
                      <w:rPr>
                        <w:rFonts w:hint="eastAsia"/>
                        <w:szCs w:val="21"/>
                      </w:rPr>
                      <w:t>被投资单位</w:t>
                    </w:r>
                  </w:p>
                </w:tc>
              </w:sdtContent>
            </w:sdt>
            <w:sdt>
              <w:sdtPr>
                <w:tag w:val="_PLD_13e6a1fe1f124ad387aad52d77f70942"/>
                <w:id w:val="913889278"/>
                <w:lock w:val="sdtLocked"/>
              </w:sdtPr>
              <w:sdtEndPr/>
              <w:sdtContent>
                <w:tc>
                  <w:tcPr>
                    <w:tcW w:w="477" w:type="pct"/>
                    <w:vMerge w:val="restart"/>
                    <w:tcBorders>
                      <w:top w:val="single" w:sz="4" w:space="0" w:color="auto"/>
                      <w:left w:val="single" w:sz="4" w:space="0" w:color="auto"/>
                      <w:right w:val="single" w:sz="4" w:space="0" w:color="auto"/>
                    </w:tcBorders>
                    <w:shd w:val="clear" w:color="auto" w:fill="auto"/>
                    <w:vAlign w:val="center"/>
                  </w:tcPr>
                  <w:p w14:paraId="617C1740" w14:textId="77777777" w:rsidR="00D21C1F" w:rsidRDefault="00A42880">
                    <w:pPr>
                      <w:jc w:val="center"/>
                      <w:rPr>
                        <w:szCs w:val="21"/>
                      </w:rPr>
                    </w:pPr>
                    <w:r>
                      <w:rPr>
                        <w:rFonts w:hint="eastAsia"/>
                        <w:szCs w:val="21"/>
                      </w:rPr>
                      <w:t>期初</w:t>
                    </w:r>
                  </w:p>
                  <w:p w14:paraId="7094ED34" w14:textId="77777777" w:rsidR="00D21C1F" w:rsidRDefault="00A42880">
                    <w:pPr>
                      <w:jc w:val="center"/>
                      <w:rPr>
                        <w:szCs w:val="21"/>
                      </w:rPr>
                    </w:pPr>
                    <w:r>
                      <w:rPr>
                        <w:rFonts w:hint="eastAsia"/>
                        <w:szCs w:val="21"/>
                      </w:rPr>
                      <w:t>余额</w:t>
                    </w:r>
                  </w:p>
                </w:tc>
              </w:sdtContent>
            </w:sdt>
            <w:sdt>
              <w:sdtPr>
                <w:tag w:val="_PLD_26fdf8bbc93c4727b9e370d1fdd1f305"/>
                <w:id w:val="-2073950899"/>
                <w:lock w:val="sdtLocked"/>
              </w:sdtPr>
              <w:sdtEndPr/>
              <w:sdtContent>
                <w:tc>
                  <w:tcPr>
                    <w:tcW w:w="318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C5CE6DE" w14:textId="77777777" w:rsidR="00D21C1F" w:rsidRDefault="00A42880">
                    <w:pPr>
                      <w:jc w:val="center"/>
                      <w:rPr>
                        <w:szCs w:val="21"/>
                      </w:rPr>
                    </w:pPr>
                    <w:r>
                      <w:rPr>
                        <w:rFonts w:hint="eastAsia"/>
                        <w:szCs w:val="21"/>
                      </w:rPr>
                      <w:t>本期增减变动</w:t>
                    </w:r>
                  </w:p>
                </w:tc>
              </w:sdtContent>
            </w:sdt>
            <w:sdt>
              <w:sdtPr>
                <w:tag w:val="_PLD_26f512d0941441d6b65bf5cb83112461"/>
                <w:id w:val="-1446460194"/>
                <w:lock w:val="sdtLocked"/>
              </w:sdtPr>
              <w:sdtEndPr/>
              <w:sdtContent>
                <w:tc>
                  <w:tcPr>
                    <w:tcW w:w="454" w:type="pct"/>
                    <w:vMerge w:val="restart"/>
                    <w:tcBorders>
                      <w:top w:val="single" w:sz="4" w:space="0" w:color="auto"/>
                      <w:left w:val="single" w:sz="4" w:space="0" w:color="auto"/>
                      <w:right w:val="single" w:sz="4" w:space="0" w:color="auto"/>
                    </w:tcBorders>
                    <w:shd w:val="clear" w:color="auto" w:fill="auto"/>
                    <w:vAlign w:val="center"/>
                  </w:tcPr>
                  <w:p w14:paraId="3311999B" w14:textId="77777777" w:rsidR="00D21C1F" w:rsidRDefault="00A42880">
                    <w:pPr>
                      <w:jc w:val="center"/>
                      <w:rPr>
                        <w:szCs w:val="21"/>
                      </w:rPr>
                    </w:pPr>
                    <w:r>
                      <w:rPr>
                        <w:rFonts w:hint="eastAsia"/>
                        <w:szCs w:val="21"/>
                      </w:rPr>
                      <w:t>期末</w:t>
                    </w:r>
                  </w:p>
                  <w:p w14:paraId="453EA9AC" w14:textId="77777777" w:rsidR="00D21C1F" w:rsidRDefault="00A42880">
                    <w:pPr>
                      <w:jc w:val="center"/>
                      <w:rPr>
                        <w:szCs w:val="21"/>
                      </w:rPr>
                    </w:pPr>
                    <w:r>
                      <w:rPr>
                        <w:rFonts w:hint="eastAsia"/>
                        <w:szCs w:val="21"/>
                      </w:rPr>
                      <w:t>余额</w:t>
                    </w:r>
                  </w:p>
                </w:tc>
              </w:sdtContent>
            </w:sdt>
            <w:sdt>
              <w:sdtPr>
                <w:tag w:val="_PLD_0a22719961ad439599d68ae073360e65"/>
                <w:id w:val="-497041112"/>
                <w:lock w:val="sdtLocked"/>
              </w:sdtPr>
              <w:sdtEndPr/>
              <w:sdtContent>
                <w:tc>
                  <w:tcPr>
                    <w:tcW w:w="384" w:type="pct"/>
                    <w:vMerge w:val="restart"/>
                    <w:tcBorders>
                      <w:top w:val="single" w:sz="4" w:space="0" w:color="auto"/>
                      <w:left w:val="single" w:sz="4" w:space="0" w:color="auto"/>
                      <w:right w:val="single" w:sz="4" w:space="0" w:color="auto"/>
                    </w:tcBorders>
                    <w:shd w:val="clear" w:color="auto" w:fill="auto"/>
                    <w:vAlign w:val="center"/>
                  </w:tcPr>
                  <w:p w14:paraId="10000793" w14:textId="77777777" w:rsidR="00D21C1F" w:rsidRDefault="00A42880">
                    <w:pPr>
                      <w:jc w:val="center"/>
                      <w:rPr>
                        <w:szCs w:val="21"/>
                      </w:rPr>
                    </w:pPr>
                    <w:r>
                      <w:rPr>
                        <w:rFonts w:hint="eastAsia"/>
                        <w:szCs w:val="21"/>
                      </w:rPr>
                      <w:t>减值准备期末余额</w:t>
                    </w:r>
                  </w:p>
                </w:tc>
              </w:sdtContent>
            </w:sdt>
          </w:tr>
          <w:tr w:rsidR="00D21C1F" w14:paraId="7FDDB124" w14:textId="77777777">
            <w:tc>
              <w:tcPr>
                <w:tcW w:w="500" w:type="pct"/>
                <w:vMerge/>
                <w:tcBorders>
                  <w:left w:val="single" w:sz="4" w:space="0" w:color="auto"/>
                  <w:bottom w:val="single" w:sz="4" w:space="0" w:color="auto"/>
                  <w:right w:val="single" w:sz="4" w:space="0" w:color="auto"/>
                </w:tcBorders>
                <w:shd w:val="clear" w:color="auto" w:fill="auto"/>
              </w:tcPr>
              <w:p w14:paraId="6DF46AC2" w14:textId="77777777" w:rsidR="00D21C1F" w:rsidRDefault="00D21C1F">
                <w:pPr>
                  <w:jc w:val="center"/>
                  <w:rPr>
                    <w:szCs w:val="21"/>
                  </w:rPr>
                </w:pPr>
              </w:p>
            </w:tc>
            <w:tc>
              <w:tcPr>
                <w:tcW w:w="477" w:type="pct"/>
                <w:vMerge/>
                <w:tcBorders>
                  <w:left w:val="single" w:sz="4" w:space="0" w:color="auto"/>
                  <w:bottom w:val="single" w:sz="4" w:space="0" w:color="auto"/>
                  <w:right w:val="single" w:sz="4" w:space="0" w:color="auto"/>
                </w:tcBorders>
                <w:shd w:val="clear" w:color="auto" w:fill="auto"/>
              </w:tcPr>
              <w:p w14:paraId="54B09461" w14:textId="77777777" w:rsidR="00D21C1F" w:rsidRDefault="00D21C1F">
                <w:pPr>
                  <w:jc w:val="center"/>
                  <w:rPr>
                    <w:szCs w:val="21"/>
                  </w:rPr>
                </w:pPr>
              </w:p>
            </w:tc>
            <w:sdt>
              <w:sdtPr>
                <w:tag w:val="_PLD_51f40272a3ff4bacb9c71b19b5796e3e"/>
                <w:id w:val="1906097580"/>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539297A" w14:textId="77777777" w:rsidR="00D21C1F" w:rsidRDefault="00A42880">
                    <w:pPr>
                      <w:jc w:val="center"/>
                      <w:rPr>
                        <w:szCs w:val="21"/>
                      </w:rPr>
                    </w:pPr>
                    <w:r>
                      <w:rPr>
                        <w:rFonts w:hint="eastAsia"/>
                        <w:szCs w:val="21"/>
                      </w:rPr>
                      <w:t>追加投资</w:t>
                    </w:r>
                  </w:p>
                </w:tc>
              </w:sdtContent>
            </w:sdt>
            <w:sdt>
              <w:sdtPr>
                <w:tag w:val="_PLD_e5464032b3a04113a9cc54a32d8ba16e"/>
                <w:id w:val="-832914847"/>
                <w:lock w:val="sdtLocked"/>
              </w:sdtPr>
              <w:sdtEndPr/>
              <w:sdtContent>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CF8F7CC" w14:textId="77777777" w:rsidR="00D21C1F" w:rsidRDefault="00A42880">
                    <w:pPr>
                      <w:jc w:val="center"/>
                      <w:rPr>
                        <w:szCs w:val="21"/>
                      </w:rPr>
                    </w:pPr>
                    <w:r>
                      <w:rPr>
                        <w:rFonts w:hint="eastAsia"/>
                        <w:szCs w:val="21"/>
                      </w:rPr>
                      <w:t>减少投资</w:t>
                    </w:r>
                  </w:p>
                </w:tc>
              </w:sdtContent>
            </w:sdt>
            <w:sdt>
              <w:sdtPr>
                <w:tag w:val="_PLD_3e93bb423e264a59a4ee73dd513ac7a0"/>
                <w:id w:val="2013254891"/>
                <w:lock w:val="sdtLocked"/>
              </w:sdtPr>
              <w:sdtEndPr/>
              <w:sdtContent>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6473C15" w14:textId="77777777" w:rsidR="00D21C1F" w:rsidRDefault="00A42880">
                    <w:pPr>
                      <w:jc w:val="center"/>
                      <w:rPr>
                        <w:szCs w:val="21"/>
                      </w:rPr>
                    </w:pPr>
                    <w:r>
                      <w:rPr>
                        <w:rFonts w:hint="eastAsia"/>
                        <w:szCs w:val="21"/>
                      </w:rPr>
                      <w:t>权益法下确认的投资损益</w:t>
                    </w:r>
                  </w:p>
                </w:tc>
              </w:sdtContent>
            </w:sdt>
            <w:sdt>
              <w:sdtPr>
                <w:tag w:val="_PLD_6d1d63a827674a6d9b4fd3b0738ccb44"/>
                <w:id w:val="-1269309111"/>
                <w:lock w:val="sdtLocked"/>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5D8A57A" w14:textId="77777777" w:rsidR="00D21C1F" w:rsidRDefault="00A42880">
                    <w:pPr>
                      <w:jc w:val="center"/>
                      <w:rPr>
                        <w:szCs w:val="21"/>
                      </w:rPr>
                    </w:pPr>
                    <w:r>
                      <w:rPr>
                        <w:rFonts w:hint="eastAsia"/>
                        <w:szCs w:val="21"/>
                      </w:rPr>
                      <w:t>其他综合收益调整</w:t>
                    </w:r>
                  </w:p>
                </w:tc>
              </w:sdtContent>
            </w:sdt>
            <w:sdt>
              <w:sdtPr>
                <w:tag w:val="_PLD_2e31e12a1218445b9271cd0b2b46dfb3"/>
                <w:id w:val="403884028"/>
                <w:lock w:val="sdtLocked"/>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3512DD6" w14:textId="77777777" w:rsidR="00D21C1F" w:rsidRDefault="00A42880">
                    <w:pPr>
                      <w:jc w:val="center"/>
                      <w:rPr>
                        <w:szCs w:val="21"/>
                      </w:rPr>
                    </w:pPr>
                    <w:r>
                      <w:rPr>
                        <w:rFonts w:hint="eastAsia"/>
                        <w:szCs w:val="21"/>
                      </w:rPr>
                      <w:t>其他权益变动</w:t>
                    </w:r>
                  </w:p>
                </w:tc>
              </w:sdtContent>
            </w:sdt>
            <w:sdt>
              <w:sdtPr>
                <w:tag w:val="_PLD_35f9510bcc234f63a5879448c48131ac"/>
                <w:id w:val="2127971044"/>
                <w:lock w:val="sdtLocked"/>
              </w:sdtPr>
              <w:sdtEndPr/>
              <w:sdtConten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C582F9A" w14:textId="77777777" w:rsidR="00D21C1F" w:rsidRDefault="00A42880">
                    <w:pPr>
                      <w:jc w:val="center"/>
                      <w:rPr>
                        <w:szCs w:val="21"/>
                      </w:rPr>
                    </w:pPr>
                    <w:r>
                      <w:rPr>
                        <w:rFonts w:hint="eastAsia"/>
                        <w:szCs w:val="21"/>
                      </w:rPr>
                      <w:t>宣告发放现金股利或利润</w:t>
                    </w:r>
                  </w:p>
                </w:tc>
              </w:sdtContent>
            </w:sdt>
            <w:sdt>
              <w:sdtPr>
                <w:tag w:val="_PLD_ad3c3bd2b468443aab93d8cfe4bded11"/>
                <w:id w:val="1952125657"/>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E26FE03" w14:textId="77777777" w:rsidR="00D21C1F" w:rsidRDefault="00A42880">
                    <w:pPr>
                      <w:jc w:val="center"/>
                      <w:rPr>
                        <w:szCs w:val="21"/>
                      </w:rPr>
                    </w:pPr>
                    <w:r>
                      <w:rPr>
                        <w:rFonts w:hint="eastAsia"/>
                        <w:szCs w:val="21"/>
                      </w:rPr>
                      <w:t>计提减值准备</w:t>
                    </w:r>
                  </w:p>
                </w:tc>
              </w:sdtContent>
            </w:sdt>
            <w:sdt>
              <w:sdtPr>
                <w:tag w:val="_PLD_1bf39451058c4b3c8ec7b49241e56e40"/>
                <w:id w:val="1476026517"/>
                <w:lock w:val="sdtLocked"/>
              </w:sdtPr>
              <w:sdtEndPr/>
              <w:sdtContent>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48EB957A" w14:textId="77777777" w:rsidR="00D21C1F" w:rsidRDefault="00A42880">
                    <w:pPr>
                      <w:jc w:val="center"/>
                      <w:rPr>
                        <w:szCs w:val="21"/>
                      </w:rPr>
                    </w:pPr>
                    <w:r>
                      <w:rPr>
                        <w:rFonts w:hint="eastAsia"/>
                        <w:szCs w:val="21"/>
                      </w:rPr>
                      <w:t>其他</w:t>
                    </w:r>
                  </w:p>
                </w:tc>
              </w:sdtContent>
            </w:sdt>
            <w:tc>
              <w:tcPr>
                <w:tcW w:w="454" w:type="pct"/>
                <w:vMerge/>
                <w:tcBorders>
                  <w:left w:val="single" w:sz="4" w:space="0" w:color="auto"/>
                  <w:bottom w:val="single" w:sz="4" w:space="0" w:color="auto"/>
                  <w:right w:val="single" w:sz="4" w:space="0" w:color="auto"/>
                </w:tcBorders>
                <w:shd w:val="clear" w:color="auto" w:fill="auto"/>
                <w:vAlign w:val="center"/>
              </w:tcPr>
              <w:p w14:paraId="10D241BD" w14:textId="77777777" w:rsidR="00D21C1F" w:rsidRDefault="00D21C1F">
                <w:pPr>
                  <w:jc w:val="center"/>
                  <w:rPr>
                    <w:szCs w:val="21"/>
                  </w:rPr>
                </w:pPr>
              </w:p>
            </w:tc>
            <w:tc>
              <w:tcPr>
                <w:tcW w:w="384" w:type="pct"/>
                <w:vMerge/>
                <w:tcBorders>
                  <w:left w:val="single" w:sz="4" w:space="0" w:color="auto"/>
                  <w:bottom w:val="single" w:sz="4" w:space="0" w:color="auto"/>
                  <w:right w:val="single" w:sz="4" w:space="0" w:color="auto"/>
                </w:tcBorders>
                <w:shd w:val="clear" w:color="auto" w:fill="auto"/>
                <w:vAlign w:val="center"/>
              </w:tcPr>
              <w:p w14:paraId="6D30B005" w14:textId="77777777" w:rsidR="00D21C1F" w:rsidRDefault="00D21C1F">
                <w:pPr>
                  <w:jc w:val="center"/>
                  <w:rPr>
                    <w:szCs w:val="21"/>
                  </w:rPr>
                </w:pPr>
              </w:p>
            </w:tc>
          </w:tr>
          <w:tr w:rsidR="00D21C1F" w14:paraId="1E55BDA9" w14:textId="77777777">
            <w:sdt>
              <w:sdtPr>
                <w:tag w:val="_PLD_a4cee4ce080742218169c5adba891f8b"/>
                <w:id w:val="-1779709443"/>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76E19FB2" w14:textId="77777777" w:rsidR="00D21C1F" w:rsidRDefault="00A42880">
                    <w:pPr>
                      <w:jc w:val="both"/>
                      <w:rPr>
                        <w:szCs w:val="21"/>
                      </w:rPr>
                    </w:pPr>
                    <w:r>
                      <w:rPr>
                        <w:rFonts w:hint="eastAsia"/>
                        <w:szCs w:val="21"/>
                      </w:rPr>
                      <w:t>一、合营企业</w:t>
                    </w:r>
                  </w:p>
                </w:tc>
              </w:sdtContent>
            </w:sdt>
            <w:tc>
              <w:tcPr>
                <w:tcW w:w="477" w:type="pct"/>
                <w:tcBorders>
                  <w:top w:val="single" w:sz="4" w:space="0" w:color="auto"/>
                  <w:left w:val="single" w:sz="4" w:space="0" w:color="auto"/>
                  <w:bottom w:val="single" w:sz="4" w:space="0" w:color="auto"/>
                  <w:right w:val="single" w:sz="4" w:space="0" w:color="auto"/>
                </w:tcBorders>
                <w:shd w:val="clear" w:color="auto" w:fill="auto"/>
              </w:tcPr>
              <w:p w14:paraId="48B865FA" w14:textId="77777777" w:rsidR="00D21C1F" w:rsidRDefault="00D21C1F">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652CFA77" w14:textId="77777777" w:rsidR="00D21C1F" w:rsidRDefault="00D21C1F">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14:paraId="09918E7C" w14:textId="77777777" w:rsidR="00D21C1F" w:rsidRDefault="00D21C1F">
                <w:pPr>
                  <w:jc w:val="right"/>
                  <w:rPr>
                    <w:szCs w:val="21"/>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3013EA10" w14:textId="77777777" w:rsidR="00D21C1F" w:rsidRDefault="00D21C1F">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7073870" w14:textId="77777777" w:rsidR="00D21C1F" w:rsidRDefault="00D21C1F">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B0CE53F" w14:textId="77777777" w:rsidR="00D21C1F" w:rsidRDefault="00D21C1F">
                <w:pPr>
                  <w:jc w:val="right"/>
                  <w:rPr>
                    <w:szCs w:val="21"/>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78C38371" w14:textId="77777777" w:rsidR="00D21C1F" w:rsidRDefault="00D21C1F">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7F9672EB" w14:textId="77777777" w:rsidR="00D21C1F" w:rsidRDefault="00D21C1F">
                <w:pPr>
                  <w:jc w:val="right"/>
                  <w:rPr>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tcPr>
              <w:p w14:paraId="49C39EBA" w14:textId="77777777" w:rsidR="00D21C1F" w:rsidRDefault="00D21C1F">
                <w:pPr>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70AD1B10" w14:textId="77777777" w:rsidR="00D21C1F" w:rsidRDefault="00D21C1F">
                <w:pPr>
                  <w:jc w:val="right"/>
                  <w:rPr>
                    <w:szCs w:val="2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BF41851" w14:textId="77777777" w:rsidR="00D21C1F" w:rsidRDefault="00D21C1F">
                <w:pPr>
                  <w:jc w:val="right"/>
                  <w:rPr>
                    <w:szCs w:val="21"/>
                  </w:rPr>
                </w:pPr>
              </w:p>
            </w:tc>
          </w:tr>
          <w:tr w:rsidR="00D21C1F" w14:paraId="502FFA82" w14:textId="77777777">
            <w:sdt>
              <w:sdtPr>
                <w:tag w:val="_PLD_a1bc1a1af5744195bb75f57f610f28b4"/>
                <w:id w:val="1757708369"/>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5A59B4E4" w14:textId="77777777" w:rsidR="00D21C1F" w:rsidRDefault="00A42880">
                    <w:pPr>
                      <w:jc w:val="both"/>
                      <w:rPr>
                        <w:szCs w:val="21"/>
                      </w:rPr>
                    </w:pPr>
                    <w:r>
                      <w:rPr>
                        <w:rFonts w:hint="eastAsia"/>
                        <w:szCs w:val="21"/>
                      </w:rPr>
                      <w:t>二、联营企业</w:t>
                    </w:r>
                  </w:p>
                </w:tc>
              </w:sdtContent>
            </w:sdt>
            <w:tc>
              <w:tcPr>
                <w:tcW w:w="477" w:type="pct"/>
                <w:tcBorders>
                  <w:top w:val="single" w:sz="4" w:space="0" w:color="auto"/>
                  <w:left w:val="single" w:sz="4" w:space="0" w:color="auto"/>
                  <w:bottom w:val="single" w:sz="4" w:space="0" w:color="auto"/>
                  <w:right w:val="single" w:sz="4" w:space="0" w:color="auto"/>
                </w:tcBorders>
                <w:shd w:val="clear" w:color="auto" w:fill="auto"/>
              </w:tcPr>
              <w:p w14:paraId="3E7D6705" w14:textId="77777777" w:rsidR="00D21C1F" w:rsidRDefault="00D21C1F">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6BE5FCA3" w14:textId="77777777" w:rsidR="00D21C1F" w:rsidRDefault="00D21C1F">
                <w:pPr>
                  <w:jc w:val="right"/>
                  <w:rPr>
                    <w:szCs w:val="21"/>
                  </w:rPr>
                </w:pPr>
              </w:p>
            </w:tc>
            <w:tc>
              <w:tcPr>
                <w:tcW w:w="269" w:type="pct"/>
                <w:tcBorders>
                  <w:top w:val="single" w:sz="4" w:space="0" w:color="auto"/>
                  <w:left w:val="single" w:sz="4" w:space="0" w:color="auto"/>
                  <w:bottom w:val="single" w:sz="4" w:space="0" w:color="auto"/>
                  <w:right w:val="single" w:sz="4" w:space="0" w:color="auto"/>
                </w:tcBorders>
                <w:shd w:val="clear" w:color="auto" w:fill="auto"/>
              </w:tcPr>
              <w:p w14:paraId="7119E08A" w14:textId="77777777" w:rsidR="00D21C1F" w:rsidRDefault="00D21C1F">
                <w:pPr>
                  <w:jc w:val="right"/>
                  <w:rPr>
                    <w:szCs w:val="21"/>
                  </w:rPr>
                </w:pP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8C7FA8F" w14:textId="77777777" w:rsidR="00D21C1F" w:rsidRDefault="00D21C1F">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AE3ED21" w14:textId="77777777" w:rsidR="00D21C1F" w:rsidRDefault="00D21C1F">
                <w:pPr>
                  <w:jc w:val="right"/>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150CF923" w14:textId="77777777" w:rsidR="00D21C1F" w:rsidRDefault="00D21C1F">
                <w:pPr>
                  <w:jc w:val="right"/>
                  <w:rPr>
                    <w:szCs w:val="21"/>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2DBE67CB" w14:textId="77777777" w:rsidR="00D21C1F" w:rsidRDefault="00D21C1F">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7CA0936F" w14:textId="77777777" w:rsidR="00D21C1F" w:rsidRDefault="00D21C1F">
                <w:pPr>
                  <w:jc w:val="right"/>
                  <w:rPr>
                    <w:szCs w:val="21"/>
                  </w:rPr>
                </w:pPr>
              </w:p>
            </w:tc>
            <w:tc>
              <w:tcPr>
                <w:tcW w:w="250" w:type="pct"/>
                <w:tcBorders>
                  <w:top w:val="single" w:sz="4" w:space="0" w:color="auto"/>
                  <w:left w:val="single" w:sz="4" w:space="0" w:color="auto"/>
                  <w:bottom w:val="single" w:sz="4" w:space="0" w:color="auto"/>
                  <w:right w:val="single" w:sz="4" w:space="0" w:color="auto"/>
                </w:tcBorders>
                <w:shd w:val="clear" w:color="auto" w:fill="auto"/>
              </w:tcPr>
              <w:p w14:paraId="37450E79" w14:textId="77777777" w:rsidR="00D21C1F" w:rsidRDefault="00D21C1F">
                <w:pPr>
                  <w:jc w:val="right"/>
                  <w:rPr>
                    <w:szCs w:val="21"/>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14:paraId="6F490940" w14:textId="77777777" w:rsidR="00D21C1F" w:rsidRDefault="00D21C1F">
                <w:pPr>
                  <w:jc w:val="right"/>
                  <w:rPr>
                    <w:szCs w:val="21"/>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5FF4DF86" w14:textId="77777777" w:rsidR="00D21C1F" w:rsidRDefault="00D21C1F">
                <w:pPr>
                  <w:jc w:val="right"/>
                  <w:rPr>
                    <w:szCs w:val="21"/>
                  </w:rPr>
                </w:pPr>
              </w:p>
            </w:tc>
          </w:tr>
          <w:sdt>
            <w:sdtPr>
              <w:rPr>
                <w:rFonts w:hint="eastAsia"/>
                <w:szCs w:val="21"/>
              </w:rPr>
              <w:alias w:val="联营企业投资信息明细"/>
              <w:tag w:val="_GBC_49d1b98c49c34c26a2c4d55f0c1fdb21"/>
              <w:id w:val="-316183995"/>
              <w:lock w:val="sdtLocked"/>
            </w:sdtPr>
            <w:sdtEndPr>
              <w:rPr>
                <w:rFonts w:ascii="Times New Roman" w:hAnsi="Times New Roman" w:cs="Times New Roman" w:hint="default"/>
                <w:sz w:val="18"/>
                <w:szCs w:val="18"/>
              </w:rPr>
            </w:sdtEndPr>
            <w:sdtContent>
              <w:tr w:rsidR="00961C40" w14:paraId="5D441FA0" w14:textId="77777777" w:rsidTr="00961C40">
                <w:tc>
                  <w:tcPr>
                    <w:tcW w:w="500" w:type="pct"/>
                    <w:tcBorders>
                      <w:top w:val="single" w:sz="4" w:space="0" w:color="auto"/>
                      <w:left w:val="single" w:sz="4" w:space="0" w:color="auto"/>
                      <w:bottom w:val="single" w:sz="4" w:space="0" w:color="auto"/>
                      <w:right w:val="single" w:sz="4" w:space="0" w:color="auto"/>
                    </w:tcBorders>
                    <w:shd w:val="clear" w:color="auto" w:fill="auto"/>
                  </w:tcPr>
                  <w:p w14:paraId="5BAA3D78" w14:textId="77777777" w:rsidR="00961C40" w:rsidRDefault="00961C40" w:rsidP="00961C40">
                    <w:pPr>
                      <w:jc w:val="both"/>
                      <w:rPr>
                        <w:szCs w:val="21"/>
                      </w:rPr>
                    </w:pPr>
                    <w:r>
                      <w:rPr>
                        <w:rFonts w:ascii="Times New Roman" w:hAnsi="Times New Roman"/>
                      </w:rPr>
                      <w:t>Robox S</w:t>
                    </w:r>
                    <w:r>
                      <w:t>.</w:t>
                    </w:r>
                    <w:r>
                      <w:rPr>
                        <w:rFonts w:ascii="Times New Roman" w:hAnsi="Times New Roman"/>
                      </w:rPr>
                      <w:t>p</w:t>
                    </w:r>
                    <w:r>
                      <w:t>.</w:t>
                    </w:r>
                    <w:r>
                      <w:rPr>
                        <w:rFonts w:ascii="Times New Roman" w:hAnsi="Times New Roman"/>
                      </w:rPr>
                      <w:t>A.</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D05022E"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40,358,975.23</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34317388" w14:textId="765CE38C"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6829F38F" w14:textId="5E29646C"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C7195E8"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1,379,197.00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C90C0C5" w14:textId="5EB28326"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8401716" w14:textId="15638E99"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4DC298CF" w14:textId="5ACDF63C"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D6D13BE" w14:textId="772AAA84"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1C9B31FF" w14:textId="74DFAEC5"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8D9D28A"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41,738,172.23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76EB5E0"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r>
            </w:sdtContent>
          </w:sdt>
          <w:sdt>
            <w:sdtPr>
              <w:rPr>
                <w:rFonts w:hint="eastAsia"/>
                <w:szCs w:val="21"/>
              </w:rPr>
              <w:alias w:val="联营企业投资信息明细"/>
              <w:tag w:val="_GBC_49d1b98c49c34c26a2c4d55f0c1fdb21"/>
              <w:id w:val="615416617"/>
              <w:lock w:val="sdtLocked"/>
            </w:sdtPr>
            <w:sdtEndPr>
              <w:rPr>
                <w:rFonts w:ascii="Times New Roman" w:hAnsi="Times New Roman" w:cs="Times New Roman" w:hint="default"/>
                <w:sz w:val="18"/>
                <w:szCs w:val="18"/>
              </w:rPr>
            </w:sdtEndPr>
            <w:sdtContent>
              <w:tr w:rsidR="00961C40" w14:paraId="01EA93D9" w14:textId="77777777" w:rsidTr="00961C40">
                <w:tc>
                  <w:tcPr>
                    <w:tcW w:w="500" w:type="pct"/>
                    <w:tcBorders>
                      <w:top w:val="single" w:sz="4" w:space="0" w:color="auto"/>
                      <w:left w:val="single" w:sz="4" w:space="0" w:color="auto"/>
                      <w:bottom w:val="single" w:sz="4" w:space="0" w:color="auto"/>
                      <w:right w:val="single" w:sz="4" w:space="0" w:color="auto"/>
                    </w:tcBorders>
                    <w:shd w:val="clear" w:color="auto" w:fill="auto"/>
                  </w:tcPr>
                  <w:p w14:paraId="197E2162" w14:textId="77777777" w:rsidR="00961C40" w:rsidRDefault="00961C40" w:rsidP="00961C40">
                    <w:pPr>
                      <w:jc w:val="both"/>
                      <w:rPr>
                        <w:szCs w:val="21"/>
                      </w:rPr>
                    </w:pPr>
                    <w:r>
                      <w:t>芜湖奥一精机有限公司</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6D3616E"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3,228,995.56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64D6E9C" w14:textId="64925DE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2399329C" w14:textId="74FE6696"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7375FA4"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585,358.19</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25CEFAB" w14:textId="015E2FFC"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2634BD6" w14:textId="276231F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6612CFB" w14:textId="2A6C3770"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90763A9" w14:textId="3ADC7BFF"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2B87395D" w14:textId="4440B0AE"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DB07F12"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3,814,353.75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707D105"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r>
            </w:sdtContent>
          </w:sdt>
          <w:sdt>
            <w:sdtPr>
              <w:rPr>
                <w:rFonts w:hint="eastAsia"/>
                <w:szCs w:val="21"/>
              </w:rPr>
              <w:alias w:val="联营企业投资信息明细"/>
              <w:tag w:val="_GBC_49d1b98c49c34c26a2c4d55f0c1fdb21"/>
              <w:id w:val="708924283"/>
              <w:lock w:val="sdtLocked"/>
            </w:sdtPr>
            <w:sdtEndPr>
              <w:rPr>
                <w:rFonts w:ascii="Times New Roman" w:hAnsi="Times New Roman" w:cs="Times New Roman" w:hint="default"/>
                <w:sz w:val="18"/>
                <w:szCs w:val="18"/>
              </w:rPr>
            </w:sdtEndPr>
            <w:sdtContent>
              <w:tr w:rsidR="00961C40" w14:paraId="565BF2E8" w14:textId="77777777" w:rsidTr="00961C40">
                <w:tc>
                  <w:tcPr>
                    <w:tcW w:w="500" w:type="pct"/>
                    <w:tcBorders>
                      <w:top w:val="single" w:sz="4" w:space="0" w:color="auto"/>
                      <w:left w:val="single" w:sz="4" w:space="0" w:color="auto"/>
                      <w:bottom w:val="single" w:sz="4" w:space="0" w:color="auto"/>
                      <w:right w:val="single" w:sz="4" w:space="0" w:color="auto"/>
                    </w:tcBorders>
                    <w:shd w:val="clear" w:color="auto" w:fill="auto"/>
                  </w:tcPr>
                  <w:p w14:paraId="1F369605" w14:textId="77777777" w:rsidR="00961C40" w:rsidRDefault="00961C40" w:rsidP="00961C40">
                    <w:pPr>
                      <w:jc w:val="both"/>
                      <w:rPr>
                        <w:szCs w:val="21"/>
                      </w:rPr>
                    </w:pPr>
                    <w:r>
                      <w:t>安徽瑞埃工业机器人研究院有限公司</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C25FB6A"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82AC177" w14:textId="0B59770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B4CAF4D" w14:textId="39AE349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7EDD1E0" w14:textId="36671F1A"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9993AFF" w14:textId="0CBAD3D2"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678FA17" w14:textId="7D23A06A"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A1F19B4" w14:textId="14977CC9"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629BD98" w14:textId="378DAACC"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6A5B5AB1" w14:textId="00C6D975"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DB31669"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A6F9960"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r>
            </w:sdtContent>
          </w:sdt>
          <w:sdt>
            <w:sdtPr>
              <w:rPr>
                <w:rFonts w:hint="eastAsia"/>
                <w:szCs w:val="21"/>
              </w:rPr>
              <w:alias w:val="联营企业投资信息明细"/>
              <w:tag w:val="_GBC_49d1b98c49c34c26a2c4d55f0c1fdb21"/>
              <w:id w:val="-488701394"/>
              <w:lock w:val="sdtLocked"/>
            </w:sdtPr>
            <w:sdtEndPr>
              <w:rPr>
                <w:rFonts w:ascii="Times New Roman" w:hAnsi="Times New Roman" w:cs="Times New Roman" w:hint="default"/>
                <w:sz w:val="18"/>
                <w:szCs w:val="18"/>
              </w:rPr>
            </w:sdtEndPr>
            <w:sdtContent>
              <w:tr w:rsidR="00961C40" w14:paraId="583C19C7" w14:textId="77777777" w:rsidTr="00961C40">
                <w:tc>
                  <w:tcPr>
                    <w:tcW w:w="500" w:type="pct"/>
                    <w:tcBorders>
                      <w:top w:val="single" w:sz="4" w:space="0" w:color="auto"/>
                      <w:left w:val="single" w:sz="4" w:space="0" w:color="auto"/>
                      <w:bottom w:val="single" w:sz="4" w:space="0" w:color="auto"/>
                      <w:right w:val="single" w:sz="4" w:space="0" w:color="auto"/>
                    </w:tcBorders>
                    <w:shd w:val="clear" w:color="auto" w:fill="auto"/>
                  </w:tcPr>
                  <w:p w14:paraId="208291DD" w14:textId="77777777" w:rsidR="00961C40" w:rsidRDefault="00961C40" w:rsidP="00961C40">
                    <w:pPr>
                      <w:jc w:val="both"/>
                      <w:rPr>
                        <w:szCs w:val="21"/>
                      </w:rPr>
                    </w:pPr>
                    <w:r>
                      <w:t>安徽工布智造工业科技有限公司</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C228E1F"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4B315FF" w14:textId="023801EB"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55FD691" w14:textId="6B2462BE"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8B746FB" w14:textId="2D20EC68"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A2AB78A" w14:textId="631A21F4"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3D0175A"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126,254.56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11CB906" w14:textId="129AEE3C"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5F31981" w14:textId="50DE20AF"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0A2673A9" w14:textId="6791139A"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02FCF60"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126,254.56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5333319"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r>
            </w:sdtContent>
          </w:sdt>
          <w:sdt>
            <w:sdtPr>
              <w:rPr>
                <w:rFonts w:hint="eastAsia"/>
                <w:szCs w:val="21"/>
              </w:rPr>
              <w:alias w:val="联营企业投资信息明细"/>
              <w:tag w:val="_GBC_49d1b98c49c34c26a2c4d55f0c1fdb21"/>
              <w:id w:val="-469742172"/>
              <w:lock w:val="sdtLocked"/>
            </w:sdtPr>
            <w:sdtEndPr>
              <w:rPr>
                <w:rFonts w:ascii="Times New Roman" w:hAnsi="Times New Roman" w:cs="Times New Roman" w:hint="default"/>
                <w:sz w:val="18"/>
                <w:szCs w:val="18"/>
              </w:rPr>
            </w:sdtEndPr>
            <w:sdtContent>
              <w:tr w:rsidR="00961C40" w14:paraId="737BCB25" w14:textId="77777777" w:rsidTr="00961C40">
                <w:tc>
                  <w:tcPr>
                    <w:tcW w:w="500" w:type="pct"/>
                    <w:tcBorders>
                      <w:top w:val="single" w:sz="4" w:space="0" w:color="auto"/>
                      <w:left w:val="single" w:sz="4" w:space="0" w:color="auto"/>
                      <w:bottom w:val="single" w:sz="4" w:space="0" w:color="auto"/>
                      <w:right w:val="single" w:sz="4" w:space="0" w:color="auto"/>
                    </w:tcBorders>
                    <w:shd w:val="clear" w:color="auto" w:fill="auto"/>
                  </w:tcPr>
                  <w:p w14:paraId="14B5CB66" w14:textId="77777777" w:rsidR="00961C40" w:rsidRDefault="00961C40" w:rsidP="00961C40">
                    <w:pPr>
                      <w:jc w:val="both"/>
                      <w:rPr>
                        <w:szCs w:val="21"/>
                      </w:rPr>
                    </w:pPr>
                    <w:r>
                      <w:t>江西汇有美智能涂装科技有限公司</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D48D54F"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702,088.00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0E2BF598"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4,500,000.00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47797D0B" w14:textId="6DECF45A"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ABEEB03"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-974,559.47</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94A87AA" w14:textId="7C95751D"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B4359BA" w14:textId="77777777" w:rsidR="00961C40" w:rsidRPr="00961C40" w:rsidRDefault="00961C40" w:rsidP="00961C40">
                    <w:pPr>
                      <w:jc w:val="right"/>
                      <w:rPr>
                        <w:rFonts w:ascii="Times New Roman" w:hAnsi="Times New Roman" w:cs="Times New Roman"/>
                        <w:sz w:val="18"/>
                        <w:szCs w:val="18"/>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1D60DA9" w14:textId="5CB224A6"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BD6E51D" w14:textId="7498CBD6"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1E203F69" w14:textId="43A9DA55"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62D699F"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4,227,528.53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739E7BB"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r>
            </w:sdtContent>
          </w:sdt>
          <w:tr w:rsidR="00961C40" w14:paraId="4D9810BD" w14:textId="77777777" w:rsidTr="00961C40">
            <w:sdt>
              <w:sdtPr>
                <w:tag w:val="_PLD_b7a0008e0bed45f5924ac82e7bbf0d7c"/>
                <w:id w:val="-695922434"/>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6F2D3EF4" w14:textId="77777777" w:rsidR="00961C40" w:rsidRDefault="00961C40" w:rsidP="00961C40">
                    <w:pPr>
                      <w:jc w:val="both"/>
                      <w:rPr>
                        <w:szCs w:val="21"/>
                      </w:rPr>
                    </w:pPr>
                    <w:r>
                      <w:rPr>
                        <w:rFonts w:hint="eastAsia"/>
                        <w:szCs w:val="21"/>
                      </w:rPr>
                      <w:t>小计</w:t>
                    </w:r>
                  </w:p>
                </w:tc>
              </w:sdtContent>
            </w:sdt>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5D501DD"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44,290,058.79</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7B5526D"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4,500,000.00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122802F5"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4061EF0"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989,995.72</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9DD9DEE"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6006489"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126,254.56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381DDB00" w14:textId="3934DEA1"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C6752CF" w14:textId="24D0D105"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52E0B7CC" w14:textId="6629B695"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1F7FCD5"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49,906,309.07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1AB242F"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r>
          <w:tr w:rsidR="00961C40" w14:paraId="511E5514" w14:textId="77777777" w:rsidTr="00961C40">
            <w:sdt>
              <w:sdtPr>
                <w:tag w:val="_PLD_4650622d02e74721a67ca767c0e407f2"/>
                <w:id w:val="890242392"/>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DC711A1" w14:textId="77777777" w:rsidR="00961C40" w:rsidRDefault="00961C40" w:rsidP="00961C40">
                    <w:pPr>
                      <w:jc w:val="center"/>
                      <w:rPr>
                        <w:szCs w:val="21"/>
                      </w:rPr>
                    </w:pPr>
                    <w:r>
                      <w:rPr>
                        <w:rFonts w:hint="eastAsia"/>
                        <w:szCs w:val="21"/>
                      </w:rPr>
                      <w:t>合计</w:t>
                    </w:r>
                  </w:p>
                </w:tc>
              </w:sdtContent>
            </w:sdt>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8FC27B4"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44,290,058.79</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3C8BF28B"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4,500,000.00</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FE48347"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C8D3141"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989,995.72</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FA76B1F"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4C55C4D"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126,254.56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272E038" w14:textId="3C4D96A9"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C10B3E9" w14:textId="79EF8574"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57D2DD3E" w14:textId="694E6BCF"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rPr>
                  <w:t>-</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F7E6711"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49,906,309.07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F44E552" w14:textId="77777777" w:rsidR="00961C40" w:rsidRPr="00961C40" w:rsidRDefault="00961C40" w:rsidP="00961C40">
                <w:pPr>
                  <w:jc w:val="right"/>
                  <w:rPr>
                    <w:rFonts w:ascii="Times New Roman" w:hAnsi="Times New Roman" w:cs="Times New Roman"/>
                    <w:sz w:val="18"/>
                    <w:szCs w:val="18"/>
                  </w:rPr>
                </w:pPr>
                <w:r w:rsidRPr="00961C40">
                  <w:rPr>
                    <w:rFonts w:ascii="Times New Roman" w:hAnsi="Times New Roman" w:cs="Times New Roman"/>
                    <w:sz w:val="18"/>
                    <w:szCs w:val="18"/>
                  </w:rPr>
                  <w:t>-</w:t>
                </w:r>
              </w:p>
            </w:tc>
          </w:tr>
        </w:tbl>
        <w:p w14:paraId="13B2B563" w14:textId="77777777" w:rsidR="00D21C1F" w:rsidRDefault="00A42880">
          <w:pPr>
            <w:snapToGrid w:val="0"/>
            <w:spacing w:line="240" w:lineRule="atLeast"/>
            <w:rPr>
              <w:szCs w:val="21"/>
            </w:rPr>
          </w:pPr>
          <w:r>
            <w:rPr>
              <w:rFonts w:hint="eastAsia"/>
              <w:szCs w:val="21"/>
            </w:rPr>
            <w:t>其他说明</w:t>
          </w:r>
        </w:p>
        <w:sdt>
          <w:sdtPr>
            <w:rPr>
              <w:rFonts w:hint="eastAsia"/>
              <w:szCs w:val="21"/>
            </w:rPr>
            <w:tag w:val="_GBC_ccc3d8feeab24d0e8e4139f2a19cfa7c"/>
            <w:id w:val="-1423245301"/>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1559439359"/>
                <w:lock w:val="sdtLocked"/>
                <w:placeholder>
                  <w:docPart w:val="GBC22222222222222222222222222222"/>
                </w:placeholder>
              </w:sdtPr>
              <w:sdtEndPr/>
              <w:sdtContent>
                <w:p w14:paraId="49E557A1" w14:textId="77777777" w:rsidR="00D21C1F" w:rsidRDefault="00A42880">
                  <w:pPr>
                    <w:snapToGrid w:val="0"/>
                    <w:spacing w:line="240" w:lineRule="atLeast"/>
                    <w:rPr>
                      <w:szCs w:val="21"/>
                    </w:rPr>
                  </w:pPr>
                  <w:r>
                    <w:rPr>
                      <w:rFonts w:hint="eastAsia"/>
                      <w:szCs w:val="21"/>
                    </w:rPr>
                    <w:t>无</w:t>
                  </w:r>
                </w:p>
              </w:sdtContent>
            </w:sdt>
          </w:sdtContent>
        </w:sdt>
      </w:sdtContent>
    </w:sdt>
    <w:p w14:paraId="7E5F8BF5" w14:textId="77777777" w:rsidR="00D21C1F" w:rsidRDefault="00D21C1F">
      <w:pPr>
        <w:rPr>
          <w:szCs w:val="21"/>
        </w:rPr>
        <w:sectPr w:rsidR="00D21C1F">
          <w:pgSz w:w="16838" w:h="11906" w:orient="landscape"/>
          <w:pgMar w:top="1797" w:right="1525" w:bottom="1276" w:left="1440" w:header="856" w:footer="992" w:gutter="0"/>
          <w:cols w:space="425"/>
          <w:docGrid w:linePitch="312"/>
        </w:sectPr>
      </w:pPr>
    </w:p>
    <w:bookmarkStart w:id="225" w:name="_Hlk10472053" w:displacedByCustomXml="next"/>
    <w:sdt>
      <w:sdtPr>
        <w:rPr>
          <w:rFonts w:ascii="宋体" w:hAnsi="宋体" w:cs="宋体" w:hint="eastAsia"/>
          <w:b w:val="0"/>
          <w:bCs w:val="0"/>
          <w:kern w:val="0"/>
          <w:szCs w:val="21"/>
        </w:rPr>
        <w:alias w:val="模块:其他权益工具投资"/>
        <w:tag w:val="_SEC_a252a6b12c694a478cd66b63ece88d66"/>
        <w:id w:val="965781252"/>
        <w:lock w:val="sdtLocked"/>
        <w:placeholder>
          <w:docPart w:val="GBC22222222222222222222222222222"/>
        </w:placeholder>
      </w:sdtPr>
      <w:sdtEndPr>
        <w:rPr>
          <w:szCs w:val="24"/>
        </w:rPr>
      </w:sdtEndPr>
      <w:sdtContent>
        <w:p w14:paraId="3289395B"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其他权益工具投资</w:t>
          </w:r>
        </w:p>
        <w:p w14:paraId="556A1B91" w14:textId="77777777" w:rsidR="00D21C1F" w:rsidRDefault="00A42880">
          <w:pPr>
            <w:pStyle w:val="93"/>
            <w:numPr>
              <w:ilvl w:val="3"/>
              <w:numId w:val="106"/>
            </w:numPr>
            <w:ind w:left="426" w:hanging="426"/>
            <w:rPr>
              <w:rFonts w:ascii="宋体" w:hAnsi="宋体"/>
            </w:rPr>
          </w:pPr>
          <w:bookmarkStart w:id="226" w:name="_Hlk532994936"/>
          <w:r>
            <w:rPr>
              <w:rFonts w:ascii="宋体" w:hAnsi="宋体" w:hint="eastAsia"/>
            </w:rPr>
            <w:t>其他权益工具投资情况</w:t>
          </w:r>
        </w:p>
        <w:sdt>
          <w:sdtPr>
            <w:alias w:val="是否适用：其他权益工具投资情况[双击切换]"/>
            <w:tag w:val="_GBC_d175ecfe27dc4b7592725426a352847c"/>
            <w:id w:val="-367998665"/>
            <w:lock w:val="sdtLocked"/>
            <w:placeholder>
              <w:docPart w:val="GBC22222222222222222222222222222"/>
            </w:placeholder>
          </w:sdtPr>
          <w:sdtEndPr/>
          <w:sdtContent>
            <w:p w14:paraId="62B07CC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7AF450B" w14:textId="77777777" w:rsidR="00D21C1F" w:rsidRDefault="00A42880">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5ba15972ed8942bcb12a0deb317c278c"/>
              <w:id w:val="-14459850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其他权益工具投资情况"/>
              <w:tag w:val="_GBC_8191cbe84b2c4761b07741ed60e5a890"/>
              <w:id w:val="-3434741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D21C1F" w14:paraId="3A1319AE" w14:textId="77777777">
            <w:bookmarkEnd w:id="226" w:displacedByCustomXml="next"/>
            <w:sdt>
              <w:sdtPr>
                <w:tag w:val="_PLD_07475a7ed00c4147abad11fc989c691b"/>
                <w:id w:val="2011641449"/>
                <w:lock w:val="sdtLocked"/>
              </w:sdtPr>
              <w:sdtEndPr/>
              <w:sdtContent>
                <w:tc>
                  <w:tcPr>
                    <w:tcW w:w="2017" w:type="pct"/>
                    <w:shd w:val="clear" w:color="auto" w:fill="auto"/>
                    <w:vAlign w:val="center"/>
                  </w:tcPr>
                  <w:p w14:paraId="09F888AC" w14:textId="77777777" w:rsidR="00D21C1F" w:rsidRDefault="00A42880">
                    <w:pPr>
                      <w:jc w:val="center"/>
                      <w:rPr>
                        <w:szCs w:val="21"/>
                      </w:rPr>
                    </w:pPr>
                    <w:r>
                      <w:rPr>
                        <w:rFonts w:hint="eastAsia"/>
                        <w:szCs w:val="21"/>
                      </w:rPr>
                      <w:t>项目</w:t>
                    </w:r>
                  </w:p>
                </w:tc>
              </w:sdtContent>
            </w:sdt>
            <w:sdt>
              <w:sdtPr>
                <w:tag w:val="_PLD_d7f2f3494b3446d8ae4631f63b2c7e8e"/>
                <w:id w:val="-1191222289"/>
                <w:lock w:val="sdtLocked"/>
              </w:sdtPr>
              <w:sdtEndPr/>
              <w:sdtContent>
                <w:tc>
                  <w:tcPr>
                    <w:tcW w:w="1485" w:type="pct"/>
                    <w:tcBorders>
                      <w:bottom w:val="single" w:sz="6" w:space="0" w:color="auto"/>
                    </w:tcBorders>
                    <w:shd w:val="clear" w:color="auto" w:fill="auto"/>
                    <w:vAlign w:val="center"/>
                  </w:tcPr>
                  <w:p w14:paraId="1E9FE183"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f4168295fb3439f8426e5fe728b845b"/>
                <w:id w:val="440813598"/>
                <w:lock w:val="sdtLocked"/>
              </w:sdtPr>
              <w:sdtEndPr/>
              <w:sdtContent>
                <w:tc>
                  <w:tcPr>
                    <w:tcW w:w="1498" w:type="pct"/>
                    <w:shd w:val="clear" w:color="auto" w:fill="auto"/>
                    <w:vAlign w:val="center"/>
                  </w:tcPr>
                  <w:p w14:paraId="769B2CD0"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sdt>
            <w:sdtPr>
              <w:rPr>
                <w:rFonts w:asciiTheme="minorHAnsi" w:eastAsia="宋体" w:hAnsiTheme="minorHAnsi" w:cs="宋体"/>
                <w:sz w:val="22"/>
                <w:szCs w:val="22"/>
              </w:rPr>
              <w:alias w:val="其他权益工具投资明细"/>
              <w:tag w:val="_TUP_6afa3e8ae24c4d689dd00c7fc35b2c46"/>
              <w:id w:val="134617711"/>
              <w:lock w:val="sdtLocked"/>
            </w:sdtPr>
            <w:sdtEndPr>
              <w:rPr>
                <w:rFonts w:ascii="Times New Roman" w:hAnsi="Times New Roman" w:cs="Times New Roman"/>
                <w:sz w:val="21"/>
                <w:szCs w:val="24"/>
              </w:rPr>
            </w:sdtEndPr>
            <w:sdtContent>
              <w:tr w:rsidR="00D21C1F" w14:paraId="1EA5C88C" w14:textId="77777777">
                <w:tc>
                  <w:tcPr>
                    <w:tcW w:w="2017" w:type="pct"/>
                    <w:shd w:val="clear" w:color="auto" w:fill="auto"/>
                    <w:vAlign w:val="center"/>
                  </w:tcPr>
                  <w:p w14:paraId="09CCF444" w14:textId="77777777" w:rsidR="00D21C1F" w:rsidRDefault="00A42880">
                    <w:pPr>
                      <w:pStyle w:val="120"/>
                    </w:pPr>
                    <w:r>
                      <w:rPr>
                        <w:rFonts w:hint="eastAsia"/>
                      </w:rPr>
                      <w:t>非上市权益工具投资</w:t>
                    </w:r>
                  </w:p>
                </w:tc>
                <w:tc>
                  <w:tcPr>
                    <w:tcW w:w="1485" w:type="pct"/>
                    <w:tcBorders>
                      <w:top w:val="single" w:sz="6" w:space="0" w:color="auto"/>
                      <w:bottom w:val="single" w:sz="6" w:space="0" w:color="auto"/>
                    </w:tcBorders>
                    <w:shd w:val="clear" w:color="auto" w:fill="auto"/>
                  </w:tcPr>
                  <w:p w14:paraId="16C39631" w14:textId="77777777" w:rsidR="00D21C1F" w:rsidRPr="00225ADE" w:rsidRDefault="00A42880">
                    <w:pPr>
                      <w:jc w:val="right"/>
                      <w:rPr>
                        <w:rFonts w:ascii="Times New Roman" w:hAnsi="Times New Roman" w:cs="Times New Roman"/>
                        <w:szCs w:val="21"/>
                      </w:rPr>
                    </w:pPr>
                    <w:r w:rsidRPr="00225ADE">
                      <w:rPr>
                        <w:rFonts w:ascii="Times New Roman" w:hAnsi="Times New Roman" w:cs="Times New Roman"/>
                      </w:rPr>
                      <w:t>12,500,000.00</w:t>
                    </w:r>
                  </w:p>
                </w:tc>
                <w:tc>
                  <w:tcPr>
                    <w:tcW w:w="1498" w:type="pct"/>
                    <w:shd w:val="clear" w:color="auto" w:fill="auto"/>
                  </w:tcPr>
                  <w:p w14:paraId="6865A632" w14:textId="77777777" w:rsidR="00D21C1F" w:rsidRPr="00225ADE" w:rsidRDefault="00A42880">
                    <w:pPr>
                      <w:jc w:val="right"/>
                      <w:rPr>
                        <w:rFonts w:ascii="Times New Roman" w:hAnsi="Times New Roman" w:cs="Times New Roman"/>
                        <w:szCs w:val="21"/>
                      </w:rPr>
                    </w:pPr>
                    <w:r w:rsidRPr="00225ADE">
                      <w:rPr>
                        <w:rFonts w:ascii="Times New Roman" w:hAnsi="Times New Roman" w:cs="Times New Roman"/>
                      </w:rPr>
                      <w:t>10,000,000.00</w:t>
                    </w:r>
                  </w:p>
                </w:tc>
              </w:tr>
            </w:sdtContent>
          </w:sdt>
          <w:tr w:rsidR="00D21C1F" w14:paraId="139F11A0" w14:textId="77777777">
            <w:sdt>
              <w:sdtPr>
                <w:tag w:val="_PLD_1e61ba0c2e3c4f1891477e6427f0532c"/>
                <w:id w:val="1645538752"/>
                <w:lock w:val="sdtLocked"/>
              </w:sdtPr>
              <w:sdtEndPr/>
              <w:sdtContent>
                <w:tc>
                  <w:tcPr>
                    <w:tcW w:w="2017" w:type="pct"/>
                    <w:shd w:val="clear" w:color="auto" w:fill="auto"/>
                    <w:vAlign w:val="center"/>
                  </w:tcPr>
                  <w:p w14:paraId="590B6A6A" w14:textId="77777777" w:rsidR="00D21C1F" w:rsidRDefault="00A42880">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14:paraId="25FE5042" w14:textId="77777777" w:rsidR="00D21C1F" w:rsidRPr="00225ADE" w:rsidRDefault="00A42880">
                <w:pPr>
                  <w:jc w:val="right"/>
                  <w:rPr>
                    <w:rFonts w:ascii="Times New Roman" w:hAnsi="Times New Roman" w:cs="Times New Roman"/>
                    <w:szCs w:val="21"/>
                  </w:rPr>
                </w:pPr>
                <w:r w:rsidRPr="00225ADE">
                  <w:rPr>
                    <w:rFonts w:ascii="Times New Roman" w:hAnsi="Times New Roman" w:cs="Times New Roman"/>
                  </w:rPr>
                  <w:t>12,500,000.00</w:t>
                </w:r>
              </w:p>
            </w:tc>
            <w:tc>
              <w:tcPr>
                <w:tcW w:w="1498" w:type="pct"/>
                <w:shd w:val="clear" w:color="auto" w:fill="auto"/>
                <w:vAlign w:val="center"/>
              </w:tcPr>
              <w:p w14:paraId="2859AF19" w14:textId="77777777" w:rsidR="00D21C1F" w:rsidRPr="00225ADE" w:rsidRDefault="00A42880">
                <w:pPr>
                  <w:jc w:val="right"/>
                  <w:rPr>
                    <w:rFonts w:ascii="Times New Roman" w:hAnsi="Times New Roman" w:cs="Times New Roman"/>
                    <w:szCs w:val="21"/>
                  </w:rPr>
                </w:pPr>
                <w:r w:rsidRPr="00225ADE">
                  <w:rPr>
                    <w:rFonts w:ascii="Times New Roman" w:hAnsi="Times New Roman" w:cs="Times New Roman"/>
                  </w:rPr>
                  <w:t>10,000,000.00</w:t>
                </w:r>
              </w:p>
            </w:tc>
          </w:tr>
        </w:tbl>
        <w:p w14:paraId="5873DBCC" w14:textId="77777777" w:rsidR="00D21C1F" w:rsidRDefault="00045EC6">
          <w:pPr>
            <w:pStyle w:val="97"/>
          </w:pPr>
        </w:p>
      </w:sdtContent>
    </w:sdt>
    <w:bookmarkEnd w:id="225" w:displacedByCustomXml="next"/>
    <w:bookmarkStart w:id="227" w:name="_Hlk10472075" w:displacedByCustomXml="next"/>
    <w:bookmarkStart w:id="228" w:name="_Hlk10472085" w:displacedByCustomXml="next"/>
    <w:sdt>
      <w:sdtPr>
        <w:rPr>
          <w:rFonts w:ascii="宋体" w:eastAsia="宋体" w:hAnsi="宋体" w:cs="宋体" w:hint="eastAsia"/>
          <w:b w:val="0"/>
          <w:bCs w:val="0"/>
          <w:kern w:val="0"/>
          <w:szCs w:val="24"/>
        </w:rPr>
        <w:alias w:val="模块:非交易性权益工具投资的情况"/>
        <w:tag w:val="_SEC_cfe1ba6c98894c1f8f64c41c9a5b8180"/>
        <w:id w:val="-1585914322"/>
        <w:lock w:val="sdtLocked"/>
        <w:placeholder>
          <w:docPart w:val="GBC22222222222222222222222222222"/>
        </w:placeholder>
      </w:sdtPr>
      <w:sdtEndPr>
        <w:rPr>
          <w:rFonts w:hint="default"/>
          <w:szCs w:val="21"/>
        </w:rPr>
      </w:sdtEndPr>
      <w:sdtContent>
        <w:p w14:paraId="6FC4158C" w14:textId="77777777" w:rsidR="00D21C1F" w:rsidRDefault="00A42880">
          <w:pPr>
            <w:pStyle w:val="93"/>
            <w:numPr>
              <w:ilvl w:val="3"/>
              <w:numId w:val="106"/>
            </w:numPr>
            <w:ind w:left="426" w:hanging="426"/>
            <w:rPr>
              <w:rFonts w:ascii="宋体" w:hAnsi="宋体"/>
            </w:rPr>
          </w:pPr>
          <w:r>
            <w:rPr>
              <w:rFonts w:ascii="宋体" w:hAnsi="宋体" w:hint="eastAsia"/>
            </w:rPr>
            <w:t>非交易性权益工具投资的情况</w:t>
          </w:r>
          <w:bookmarkEnd w:id="227"/>
        </w:p>
        <w:sdt>
          <w:sdtPr>
            <w:alias w:val="是否适用：非交易性权益工具投资情况[双击切换]"/>
            <w:tag w:val="_GBC_5bc286b941b942a6afabd12760854b2c"/>
            <w:id w:val="-1569183238"/>
            <w:lock w:val="sdtLocked"/>
            <w:placeholder>
              <w:docPart w:val="GBC22222222222222222222222222222"/>
            </w:placeholder>
          </w:sdtPr>
          <w:sdtEndPr/>
          <w:sdtContent>
            <w:p w14:paraId="507B800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EBD3EE" w14:textId="77777777" w:rsidR="00D21C1F" w:rsidRDefault="00A42880">
          <w:pPr>
            <w:jc w:val="right"/>
          </w:pPr>
          <w:r>
            <w:rPr>
              <w:rFonts w:hint="eastAsia"/>
            </w:rPr>
            <w:t>单位：</w:t>
          </w:r>
          <w:sdt>
            <w:sdtPr>
              <w:rPr>
                <w:rFonts w:hint="eastAsia"/>
              </w:rPr>
              <w:alias w:val="单位：非交易性权益工具投资情况"/>
              <w:tag w:val="_GBC_24a73daa93104b4ea19d564a3c3c97e1"/>
              <w:id w:val="-159370811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非交易性权益工具投资情况"/>
              <w:tag w:val="_GBC_aa2f55d9b37b492197f09a2900567cae"/>
              <w:id w:val="7925575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829"/>
            <w:gridCol w:w="690"/>
            <w:gridCol w:w="690"/>
            <w:gridCol w:w="1124"/>
            <w:gridCol w:w="1242"/>
            <w:gridCol w:w="1239"/>
          </w:tblGrid>
          <w:tr w:rsidR="00D21C1F" w14:paraId="37669F09" w14:textId="77777777">
            <w:sdt>
              <w:sdtPr>
                <w:tag w:val="_PLD_d06d252659634d18b7d4e58918fb73e5"/>
                <w:id w:val="-702486002"/>
                <w:lock w:val="sdtLocked"/>
              </w:sdtPr>
              <w:sdtEndPr/>
              <w:sdtContent>
                <w:tc>
                  <w:tcPr>
                    <w:tcW w:w="1705" w:type="pct"/>
                    <w:vAlign w:val="center"/>
                  </w:tcPr>
                  <w:p w14:paraId="6E2E1232" w14:textId="77777777" w:rsidR="00D21C1F" w:rsidRDefault="00A42880">
                    <w:pPr>
                      <w:jc w:val="center"/>
                      <w:rPr>
                        <w:szCs w:val="21"/>
                      </w:rPr>
                    </w:pPr>
                    <w:r>
                      <w:rPr>
                        <w:rFonts w:hint="eastAsia"/>
                        <w:szCs w:val="21"/>
                      </w:rPr>
                      <w:t>项目</w:t>
                    </w:r>
                  </w:p>
                </w:tc>
              </w:sdtContent>
            </w:sdt>
            <w:sdt>
              <w:sdtPr>
                <w:tag w:val="_PLD_e52742bf0c554cc1b48c5d5adef8e252"/>
                <w:id w:val="-2046813109"/>
                <w:lock w:val="sdtLocked"/>
              </w:sdtPr>
              <w:sdtEndPr/>
              <w:sdtContent>
                <w:tc>
                  <w:tcPr>
                    <w:tcW w:w="470" w:type="pct"/>
                    <w:vAlign w:val="center"/>
                  </w:tcPr>
                  <w:p w14:paraId="787D05F7" w14:textId="77777777" w:rsidR="00D21C1F" w:rsidRDefault="00A42880">
                    <w:pPr>
                      <w:jc w:val="center"/>
                      <w:rPr>
                        <w:szCs w:val="21"/>
                      </w:rPr>
                    </w:pPr>
                    <w:r>
                      <w:rPr>
                        <w:rFonts w:hint="eastAsia"/>
                        <w:szCs w:val="21"/>
                      </w:rPr>
                      <w:t>本期确认的股利收入</w:t>
                    </w:r>
                  </w:p>
                </w:tc>
              </w:sdtContent>
            </w:sdt>
            <w:sdt>
              <w:sdtPr>
                <w:tag w:val="_PLD_f2bab6835cbb4dca9c54431b8410da07"/>
                <w:id w:val="-1144352519"/>
                <w:lock w:val="sdtLocked"/>
              </w:sdtPr>
              <w:sdtEndPr/>
              <w:sdtContent>
                <w:tc>
                  <w:tcPr>
                    <w:tcW w:w="391" w:type="pct"/>
                    <w:vAlign w:val="center"/>
                  </w:tcPr>
                  <w:p w14:paraId="6F5AD408" w14:textId="77777777" w:rsidR="00D21C1F" w:rsidRDefault="00A42880">
                    <w:pPr>
                      <w:jc w:val="center"/>
                      <w:rPr>
                        <w:szCs w:val="21"/>
                      </w:rPr>
                    </w:pPr>
                    <w:r>
                      <w:rPr>
                        <w:rFonts w:hint="eastAsia"/>
                        <w:szCs w:val="21"/>
                      </w:rPr>
                      <w:t>累计利得</w:t>
                    </w:r>
                  </w:p>
                </w:tc>
              </w:sdtContent>
            </w:sdt>
            <w:sdt>
              <w:sdtPr>
                <w:tag w:val="_PLD_dcdff2fae0984174afb9659423a57ce5"/>
                <w:id w:val="123437769"/>
                <w:lock w:val="sdtLocked"/>
              </w:sdtPr>
              <w:sdtEndPr/>
              <w:sdtContent>
                <w:tc>
                  <w:tcPr>
                    <w:tcW w:w="391" w:type="pct"/>
                    <w:vAlign w:val="center"/>
                  </w:tcPr>
                  <w:p w14:paraId="0A852820" w14:textId="77777777" w:rsidR="00D21C1F" w:rsidRDefault="00A42880">
                    <w:pPr>
                      <w:jc w:val="center"/>
                      <w:rPr>
                        <w:szCs w:val="21"/>
                      </w:rPr>
                    </w:pPr>
                    <w:r>
                      <w:rPr>
                        <w:rFonts w:hint="eastAsia"/>
                        <w:szCs w:val="21"/>
                      </w:rPr>
                      <w:t>累计损失</w:t>
                    </w:r>
                  </w:p>
                </w:tc>
              </w:sdtContent>
            </w:sdt>
            <w:sdt>
              <w:sdtPr>
                <w:tag w:val="_PLD_cd4f58ef44f64eaeada88bb43d9c1bca"/>
                <w:id w:val="-1273168759"/>
                <w:lock w:val="sdtLocked"/>
              </w:sdtPr>
              <w:sdtEndPr/>
              <w:sdtContent>
                <w:tc>
                  <w:tcPr>
                    <w:tcW w:w="637" w:type="pct"/>
                    <w:vAlign w:val="center"/>
                  </w:tcPr>
                  <w:p w14:paraId="316118C9" w14:textId="77777777" w:rsidR="00D21C1F" w:rsidRDefault="00A42880">
                    <w:pPr>
                      <w:jc w:val="center"/>
                      <w:rPr>
                        <w:szCs w:val="21"/>
                      </w:rPr>
                    </w:pPr>
                    <w:r>
                      <w:rPr>
                        <w:rFonts w:hint="eastAsia"/>
                        <w:szCs w:val="21"/>
                      </w:rPr>
                      <w:t>其他综合收益转入留存收益的金额</w:t>
                    </w:r>
                  </w:p>
                </w:tc>
              </w:sdtContent>
            </w:sdt>
            <w:sdt>
              <w:sdtPr>
                <w:tag w:val="_PLD_b92292a7b8f443118e623cbc170be8a4"/>
                <w:id w:val="2111158557"/>
                <w:lock w:val="sdtLocked"/>
              </w:sdtPr>
              <w:sdtEndPr/>
              <w:sdtContent>
                <w:tc>
                  <w:tcPr>
                    <w:tcW w:w="704" w:type="pct"/>
                  </w:tcPr>
                  <w:p w14:paraId="7500A398" w14:textId="77777777" w:rsidR="00D21C1F" w:rsidRDefault="00A42880">
                    <w:pPr>
                      <w:jc w:val="center"/>
                    </w:pPr>
                    <w:r>
                      <w:rPr>
                        <w:rFonts w:hint="eastAsia"/>
                      </w:rPr>
                      <w:t>指定为以公允价值计量且其变动计入其他综合收益的原因</w:t>
                    </w:r>
                  </w:p>
                </w:tc>
              </w:sdtContent>
            </w:sdt>
            <w:sdt>
              <w:sdtPr>
                <w:tag w:val="_PLD_db388ca434e6444ab28298438291ce2a"/>
                <w:id w:val="-247503971"/>
                <w:lock w:val="sdtLocked"/>
              </w:sdtPr>
              <w:sdtEndPr/>
              <w:sdtContent>
                <w:tc>
                  <w:tcPr>
                    <w:tcW w:w="702" w:type="pct"/>
                    <w:vAlign w:val="center"/>
                  </w:tcPr>
                  <w:p w14:paraId="3490F07C" w14:textId="77777777" w:rsidR="00D21C1F" w:rsidRDefault="00A42880">
                    <w:pPr>
                      <w:jc w:val="center"/>
                      <w:rPr>
                        <w:szCs w:val="21"/>
                      </w:rPr>
                    </w:pPr>
                    <w:r>
                      <w:rPr>
                        <w:rFonts w:hint="eastAsia"/>
                      </w:rPr>
                      <w:t>其他综合收益转入留存收益的原因</w:t>
                    </w:r>
                  </w:p>
                </w:tc>
              </w:sdtContent>
            </w:sdt>
          </w:tr>
          <w:sdt>
            <w:sdtPr>
              <w:rPr>
                <w:szCs w:val="21"/>
              </w:rPr>
              <w:alias w:val="非交易性权益工具投资明细"/>
              <w:tag w:val="_TUP_14a75d39b9664231aa6975a07b0c79b1"/>
              <w:id w:val="-879159827"/>
              <w:lock w:val="sdtLocked"/>
            </w:sdtPr>
            <w:sdtEndPr/>
            <w:sdtContent>
              <w:tr w:rsidR="00D21C1F" w14:paraId="15501F0F" w14:textId="77777777">
                <w:tc>
                  <w:tcPr>
                    <w:tcW w:w="1705" w:type="pct"/>
                  </w:tcPr>
                  <w:p w14:paraId="76EFFBE0" w14:textId="77777777" w:rsidR="00D21C1F" w:rsidRDefault="00A42880">
                    <w:pPr>
                      <w:rPr>
                        <w:szCs w:val="21"/>
                      </w:rPr>
                    </w:pPr>
                    <w:r>
                      <w:t>沈阳智能机器人国家研究院有限公司</w:t>
                    </w:r>
                  </w:p>
                </w:tc>
                <w:tc>
                  <w:tcPr>
                    <w:tcW w:w="470" w:type="pct"/>
                  </w:tcPr>
                  <w:p w14:paraId="6F9EB7E2" w14:textId="77777777" w:rsidR="00D21C1F" w:rsidRDefault="00A42880">
                    <w:pPr>
                      <w:jc w:val="right"/>
                      <w:rPr>
                        <w:szCs w:val="21"/>
                      </w:rPr>
                    </w:pPr>
                    <w:r>
                      <w:t>-</w:t>
                    </w:r>
                  </w:p>
                </w:tc>
                <w:tc>
                  <w:tcPr>
                    <w:tcW w:w="391" w:type="pct"/>
                  </w:tcPr>
                  <w:p w14:paraId="37014E84" w14:textId="77777777" w:rsidR="00D21C1F" w:rsidRDefault="00A42880">
                    <w:pPr>
                      <w:jc w:val="right"/>
                      <w:rPr>
                        <w:szCs w:val="21"/>
                      </w:rPr>
                    </w:pPr>
                    <w:r>
                      <w:t>-</w:t>
                    </w:r>
                  </w:p>
                </w:tc>
                <w:tc>
                  <w:tcPr>
                    <w:tcW w:w="391" w:type="pct"/>
                  </w:tcPr>
                  <w:p w14:paraId="482DE9B5" w14:textId="77777777" w:rsidR="00D21C1F" w:rsidRDefault="00A42880">
                    <w:pPr>
                      <w:jc w:val="right"/>
                      <w:rPr>
                        <w:szCs w:val="21"/>
                      </w:rPr>
                    </w:pPr>
                    <w:r>
                      <w:t>-</w:t>
                    </w:r>
                  </w:p>
                </w:tc>
                <w:tc>
                  <w:tcPr>
                    <w:tcW w:w="637" w:type="pct"/>
                  </w:tcPr>
                  <w:p w14:paraId="246B90BC" w14:textId="77777777" w:rsidR="00D21C1F" w:rsidRDefault="00A42880">
                    <w:pPr>
                      <w:jc w:val="right"/>
                      <w:rPr>
                        <w:szCs w:val="21"/>
                      </w:rPr>
                    </w:pPr>
                    <w:r>
                      <w:t>-</w:t>
                    </w:r>
                  </w:p>
                </w:tc>
                <w:tc>
                  <w:tcPr>
                    <w:tcW w:w="704" w:type="pct"/>
                  </w:tcPr>
                  <w:p w14:paraId="4D9C36D1" w14:textId="77777777" w:rsidR="00D21C1F" w:rsidRDefault="00A42880">
                    <w:pPr>
                      <w:rPr>
                        <w:szCs w:val="21"/>
                      </w:rPr>
                    </w:pPr>
                    <w:r>
                      <w:t>非交易性</w:t>
                    </w:r>
                  </w:p>
                </w:tc>
                <w:tc>
                  <w:tcPr>
                    <w:tcW w:w="702" w:type="pct"/>
                  </w:tcPr>
                  <w:p w14:paraId="7CEFC471" w14:textId="77777777" w:rsidR="00D21C1F" w:rsidRDefault="00A42880">
                    <w:pPr>
                      <w:rPr>
                        <w:szCs w:val="21"/>
                      </w:rPr>
                    </w:pPr>
                    <w:r>
                      <w:t>不适用</w:t>
                    </w:r>
                  </w:p>
                </w:tc>
              </w:tr>
            </w:sdtContent>
          </w:sdt>
          <w:sdt>
            <w:sdtPr>
              <w:rPr>
                <w:szCs w:val="21"/>
              </w:rPr>
              <w:alias w:val="非交易性权益工具投资明细"/>
              <w:tag w:val="_TUP_14a75d39b9664231aa6975a07b0c79b1"/>
              <w:id w:val="1589511047"/>
              <w:lock w:val="sdtLocked"/>
            </w:sdtPr>
            <w:sdtEndPr/>
            <w:sdtContent>
              <w:tr w:rsidR="00D21C1F" w14:paraId="78CC9A6F" w14:textId="77777777">
                <w:tc>
                  <w:tcPr>
                    <w:tcW w:w="1705" w:type="pct"/>
                  </w:tcPr>
                  <w:p w14:paraId="3DC44D9A" w14:textId="77777777" w:rsidR="00D21C1F" w:rsidRDefault="00A42880">
                    <w:pPr>
                      <w:rPr>
                        <w:szCs w:val="21"/>
                      </w:rPr>
                    </w:pPr>
                    <w:r>
                      <w:rPr>
                        <w:rFonts w:hint="eastAsia"/>
                        <w:szCs w:val="21"/>
                      </w:rPr>
                      <w:t>安徽海螺中南智能机器人有限责任公司</w:t>
                    </w:r>
                  </w:p>
                </w:tc>
                <w:tc>
                  <w:tcPr>
                    <w:tcW w:w="470" w:type="pct"/>
                  </w:tcPr>
                  <w:p w14:paraId="2EE1EDE7" w14:textId="77777777" w:rsidR="00D21C1F" w:rsidRDefault="00A42880">
                    <w:pPr>
                      <w:jc w:val="right"/>
                      <w:rPr>
                        <w:szCs w:val="21"/>
                      </w:rPr>
                    </w:pPr>
                    <w:r>
                      <w:t>-</w:t>
                    </w:r>
                  </w:p>
                </w:tc>
                <w:tc>
                  <w:tcPr>
                    <w:tcW w:w="391" w:type="pct"/>
                  </w:tcPr>
                  <w:p w14:paraId="2C709268" w14:textId="77777777" w:rsidR="00D21C1F" w:rsidRDefault="00A42880">
                    <w:pPr>
                      <w:jc w:val="right"/>
                      <w:rPr>
                        <w:szCs w:val="21"/>
                      </w:rPr>
                    </w:pPr>
                    <w:r>
                      <w:t>-</w:t>
                    </w:r>
                  </w:p>
                </w:tc>
                <w:tc>
                  <w:tcPr>
                    <w:tcW w:w="391" w:type="pct"/>
                  </w:tcPr>
                  <w:p w14:paraId="75AD714D" w14:textId="77777777" w:rsidR="00D21C1F" w:rsidRDefault="00A42880">
                    <w:pPr>
                      <w:jc w:val="right"/>
                      <w:rPr>
                        <w:szCs w:val="21"/>
                      </w:rPr>
                    </w:pPr>
                    <w:r>
                      <w:t>-</w:t>
                    </w:r>
                  </w:p>
                </w:tc>
                <w:tc>
                  <w:tcPr>
                    <w:tcW w:w="637" w:type="pct"/>
                  </w:tcPr>
                  <w:p w14:paraId="19E088CB" w14:textId="77777777" w:rsidR="00D21C1F" w:rsidRDefault="00A42880">
                    <w:pPr>
                      <w:jc w:val="right"/>
                      <w:rPr>
                        <w:szCs w:val="21"/>
                      </w:rPr>
                    </w:pPr>
                    <w:r>
                      <w:t>-</w:t>
                    </w:r>
                  </w:p>
                </w:tc>
                <w:tc>
                  <w:tcPr>
                    <w:tcW w:w="704" w:type="pct"/>
                  </w:tcPr>
                  <w:p w14:paraId="55EC83ED" w14:textId="77777777" w:rsidR="00D21C1F" w:rsidRDefault="00A42880">
                    <w:pPr>
                      <w:rPr>
                        <w:szCs w:val="21"/>
                      </w:rPr>
                    </w:pPr>
                    <w:r>
                      <w:t>非交易性</w:t>
                    </w:r>
                  </w:p>
                </w:tc>
                <w:tc>
                  <w:tcPr>
                    <w:tcW w:w="702" w:type="pct"/>
                  </w:tcPr>
                  <w:p w14:paraId="6D8DED11" w14:textId="77777777" w:rsidR="00D21C1F" w:rsidRDefault="00A42880">
                    <w:pPr>
                      <w:rPr>
                        <w:szCs w:val="21"/>
                      </w:rPr>
                    </w:pPr>
                    <w:r>
                      <w:t>不适用</w:t>
                    </w:r>
                  </w:p>
                </w:tc>
              </w:tr>
            </w:sdtContent>
          </w:sdt>
        </w:tbl>
        <w:p w14:paraId="5C4D9EDD" w14:textId="77777777" w:rsidR="00D21C1F" w:rsidRDefault="00045EC6">
          <w:pPr>
            <w:rPr>
              <w:szCs w:val="21"/>
            </w:rPr>
          </w:pPr>
        </w:p>
      </w:sdtContent>
    </w:sdt>
    <w:bookmarkEnd w:id="228" w:displacedByCustomXml="next"/>
    <w:bookmarkStart w:id="229" w:name="_Hlk10472110" w:displacedByCustomXml="next"/>
    <w:bookmarkStart w:id="230" w:name="_Hlk10472118" w:displacedByCustomXml="next"/>
    <w:sdt>
      <w:sdtPr>
        <w:rPr>
          <w:rFonts w:eastAsia="宋体" w:hint="eastAsia"/>
        </w:rPr>
        <w:alias w:val="模块:其他说明："/>
        <w:tag w:val="_SEC_e3d4d5136ad847a0a66a1c4edca28c29"/>
        <w:id w:val="-1717504684"/>
        <w:lock w:val="sdtLocked"/>
        <w:placeholder>
          <w:docPart w:val="GBC22222222222222222222222222222"/>
        </w:placeholder>
      </w:sdtPr>
      <w:sdtEndPr>
        <w:rPr>
          <w:rFonts w:hint="default"/>
          <w:szCs w:val="21"/>
        </w:rPr>
      </w:sdtEndPr>
      <w:sdtContent>
        <w:p w14:paraId="28D47EF2" w14:textId="77777777" w:rsidR="00D21C1F" w:rsidRDefault="00A42880">
          <w:pPr>
            <w:pStyle w:val="97"/>
          </w:pPr>
          <w:r>
            <w:rPr>
              <w:rFonts w:hint="eastAsia"/>
            </w:rPr>
            <w:t>其他</w:t>
          </w:r>
          <w:r>
            <w:t>说明</w:t>
          </w:r>
          <w:r>
            <w:rPr>
              <w:rFonts w:hint="eastAsia"/>
            </w:rPr>
            <w:t>：</w:t>
          </w:r>
          <w:bookmarkEnd w:id="229"/>
        </w:p>
        <w:sdt>
          <w:sdtPr>
            <w:alias w:val="是否适用：其他权益工具投资其他说明[双击切换]"/>
            <w:tag w:val="_GBC_9bd79d8d324a4f4c984344781e18ee35"/>
            <w:id w:val="-441226273"/>
            <w:lock w:val="sdtLocked"/>
            <w:placeholder>
              <w:docPart w:val="GBC22222222222222222222222222222"/>
            </w:placeholder>
          </w:sdtPr>
          <w:sdtEndPr/>
          <w:sdtContent>
            <w:p w14:paraId="7B16CAA6"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0"/>
    <w:p w14:paraId="3469401C" w14:textId="77777777" w:rsidR="00D21C1F" w:rsidRDefault="00D21C1F">
      <w:pPr>
        <w:rPr>
          <w:szCs w:val="21"/>
        </w:rPr>
      </w:pPr>
    </w:p>
    <w:bookmarkStart w:id="231" w:name="_Hlk10472259" w:displacedByCustomXml="next"/>
    <w:sdt>
      <w:sdtPr>
        <w:rPr>
          <w:rFonts w:ascii="宋体" w:eastAsia="宋体" w:hAnsi="宋体" w:cs="宋体" w:hint="eastAsia"/>
          <w:b w:val="0"/>
          <w:bCs w:val="0"/>
          <w:kern w:val="0"/>
          <w:szCs w:val="21"/>
        </w:rPr>
        <w:alias w:val="模块:其他非流动金融资产"/>
        <w:tag w:val="_SEC_6895bb6903584ff780f3500311ed1560"/>
        <w:id w:val="-305169339"/>
        <w:lock w:val="sdtLocked"/>
        <w:placeholder>
          <w:docPart w:val="GBC22222222222222222222222222222"/>
        </w:placeholder>
      </w:sdtPr>
      <w:sdtEndPr>
        <w:rPr>
          <w:szCs w:val="24"/>
        </w:rPr>
      </w:sdtEndPr>
      <w:sdtContent>
        <w:p w14:paraId="44CD4B1D"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175472774"/>
            <w:lock w:val="sdtLocked"/>
            <w:placeholder>
              <w:docPart w:val="GBC22222222222222222222222222222"/>
            </w:placeholder>
          </w:sdtPr>
          <w:sdtEndPr/>
          <w:sdtContent>
            <w:p w14:paraId="12C76251"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1"/>
    <w:p w14:paraId="06137B8C"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投资性房地产</w:t>
      </w:r>
    </w:p>
    <w:p w14:paraId="34774D3A" w14:textId="77777777" w:rsidR="00D21C1F" w:rsidRDefault="00A42880">
      <w:pPr>
        <w:pStyle w:val="97"/>
      </w:pPr>
      <w:r>
        <w:t>投资性房地产</w:t>
      </w:r>
      <w:r>
        <w:rPr>
          <w:rFonts w:hint="eastAsia"/>
        </w:rPr>
        <w:t>计量模式</w:t>
      </w:r>
    </w:p>
    <w:sdt>
      <w:sdtPr>
        <w:rPr>
          <w:rFonts w:hint="eastAsia"/>
          <w:b/>
          <w:bCs/>
          <w:szCs w:val="21"/>
        </w:rPr>
        <w:alias w:val="选项模块:不适用"/>
        <w:tag w:val="_GBC_3910517a603f4979b551ec278644d4e0"/>
        <w:id w:val="-547988082"/>
        <w:placeholder>
          <w:docPart w:val="GBC22222222222222222222222222222"/>
        </w:placeholder>
      </w:sdtPr>
      <w:sdtEndPr>
        <w:rPr>
          <w:b w:val="0"/>
          <w:bCs w:val="0"/>
          <w:szCs w:val="24"/>
        </w:rPr>
      </w:sdtEndPr>
      <w:sdtContent>
        <w:p w14:paraId="5FDA79B8" w14:textId="77777777" w:rsidR="00D21C1F" w:rsidRDefault="00A42880">
          <w:pPr>
            <w:ind w:right="283"/>
            <w:rPr>
              <w:szCs w:val="21"/>
            </w:rPr>
          </w:pPr>
          <w:r>
            <w:rPr>
              <w:rFonts w:hint="eastAsia"/>
              <w:szCs w:val="21"/>
            </w:rPr>
            <w:t>不</w:t>
          </w:r>
          <w:sdt>
            <w:sdtPr>
              <w:rPr>
                <w:rFonts w:hint="eastAsia"/>
                <w:szCs w:val="21"/>
              </w:rPr>
              <w:tag w:val="_PLD_b96b9a0d652c42729d37043ca500e287"/>
              <w:id w:val="922457440"/>
              <w:lock w:val="sdtLocked"/>
              <w:placeholder>
                <w:docPart w:val="87794A301E73492C8E1FA48B1E2139E0"/>
              </w:placeholder>
            </w:sdtPr>
            <w:sdtEndPr/>
            <w:sdtContent>
              <w:r>
                <w:rPr>
                  <w:rFonts w:hint="eastAsia"/>
                  <w:szCs w:val="21"/>
                </w:rPr>
                <w:t>适</w:t>
              </w:r>
            </w:sdtContent>
          </w:sdt>
          <w:r>
            <w:rPr>
              <w:rFonts w:hint="eastAsia"/>
              <w:szCs w:val="21"/>
            </w:rPr>
            <w:t>用</w:t>
          </w:r>
        </w:p>
        <w:p w14:paraId="5B7C64E7" w14:textId="77777777" w:rsidR="00D21C1F" w:rsidRDefault="00045EC6"/>
      </w:sdtContent>
    </w:sdt>
    <w:p w14:paraId="4E37E2AF"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固定资产</w:t>
      </w:r>
    </w:p>
    <w:bookmarkStart w:id="232" w:name="_Hlk10472369" w:displacedByCustomXml="next"/>
    <w:sdt>
      <w:sdtPr>
        <w:rPr>
          <w:rFonts w:ascii="宋体" w:eastAsia="宋体" w:hAnsi="宋体" w:cs="宋体" w:hint="eastAsia"/>
          <w:b w:val="0"/>
          <w:bCs w:val="0"/>
          <w:kern w:val="0"/>
          <w:szCs w:val="24"/>
        </w:rPr>
        <w:alias w:val="模块:固定资产项目列示"/>
        <w:tag w:val="_SEC_d216074d2ae442239dbb6f5f9b7a5d89"/>
        <w:id w:val="654102624"/>
        <w:lock w:val="sdtLocked"/>
        <w:placeholder>
          <w:docPart w:val="GBC22222222222222222222222222222"/>
        </w:placeholder>
      </w:sdtPr>
      <w:sdtEndPr>
        <w:rPr>
          <w:rFonts w:hint="default"/>
          <w:szCs w:val="21"/>
        </w:rPr>
      </w:sdtEndPr>
      <w:sdtContent>
        <w:p w14:paraId="51003B93" w14:textId="77777777" w:rsidR="00D21C1F" w:rsidRDefault="00A42880">
          <w:pPr>
            <w:pStyle w:val="93"/>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1641232304"/>
            <w:lock w:val="sdtLocked"/>
            <w:placeholder>
              <w:docPart w:val="GBC22222222222222222222222222222"/>
            </w:placeholder>
          </w:sdtPr>
          <w:sdtEndPr/>
          <w:sdtContent>
            <w:p w14:paraId="10FA54B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91A46F" w14:textId="77777777" w:rsidR="00D21C1F" w:rsidRDefault="00A42880">
          <w:pPr>
            <w:jc w:val="right"/>
            <w:rPr>
              <w:szCs w:val="21"/>
            </w:rPr>
          </w:pPr>
          <w:r>
            <w:rPr>
              <w:rFonts w:hint="eastAsia"/>
              <w:szCs w:val="21"/>
            </w:rPr>
            <w:t>单位：</w:t>
          </w:r>
          <w:sdt>
            <w:sdtPr>
              <w:rPr>
                <w:rFonts w:hint="eastAsia"/>
                <w:szCs w:val="21"/>
              </w:rPr>
              <w:alias w:val="单位：固定资产分类列示"/>
              <w:tag w:val="_GBC_1ddbfde119544f109a3b12a48ffde12d"/>
              <w:id w:val="-11990781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固定资产分类列示"/>
              <w:tag w:val="_GBC_fcb83ec59024431d9f3167f55c1ae7c0"/>
              <w:id w:val="-761444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D21C1F" w14:paraId="1667DEAF" w14:textId="77777777">
            <w:sdt>
              <w:sdtPr>
                <w:tag w:val="_PLD_8242dd3761084b5fa8943b910dbdbe45"/>
                <w:id w:val="562374724"/>
                <w:lock w:val="sdtLocked"/>
              </w:sdtPr>
              <w:sdtEndPr/>
              <w:sdtContent>
                <w:tc>
                  <w:tcPr>
                    <w:tcW w:w="1828" w:type="pct"/>
                    <w:shd w:val="clear" w:color="auto" w:fill="auto"/>
                    <w:vAlign w:val="center"/>
                  </w:tcPr>
                  <w:p w14:paraId="645E24FE" w14:textId="77777777" w:rsidR="00D21C1F" w:rsidRDefault="00A4288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13435292"/>
                <w:lock w:val="sdtLocked"/>
              </w:sdtPr>
              <w:sdtEndPr/>
              <w:sdtContent>
                <w:tc>
                  <w:tcPr>
                    <w:tcW w:w="1582" w:type="pct"/>
                    <w:shd w:val="clear" w:color="auto" w:fill="auto"/>
                    <w:vAlign w:val="center"/>
                  </w:tcPr>
                  <w:p w14:paraId="0ABE090E" w14:textId="77777777" w:rsidR="00D21C1F" w:rsidRDefault="00A42880">
                    <w:pPr>
                      <w:jc w:val="center"/>
                      <w:rPr>
                        <w:szCs w:val="21"/>
                      </w:rPr>
                    </w:pPr>
                    <w:r>
                      <w:rPr>
                        <w:rFonts w:hint="eastAsia"/>
                        <w:szCs w:val="21"/>
                      </w:rPr>
                      <w:t>期末余额</w:t>
                    </w:r>
                  </w:p>
                </w:tc>
              </w:sdtContent>
            </w:sdt>
            <w:sdt>
              <w:sdtPr>
                <w:tag w:val="_PLD_ca4fd9ec8b6a43259f78c36475f04e58"/>
                <w:id w:val="251093538"/>
                <w:lock w:val="sdtLocked"/>
              </w:sdtPr>
              <w:sdtEndPr/>
              <w:sdtContent>
                <w:tc>
                  <w:tcPr>
                    <w:tcW w:w="1590" w:type="pct"/>
                    <w:shd w:val="clear" w:color="auto" w:fill="auto"/>
                    <w:vAlign w:val="center"/>
                  </w:tcPr>
                  <w:p w14:paraId="376E1D54" w14:textId="77777777" w:rsidR="00D21C1F" w:rsidRDefault="00A42880">
                    <w:pPr>
                      <w:jc w:val="center"/>
                      <w:rPr>
                        <w:szCs w:val="21"/>
                      </w:rPr>
                    </w:pPr>
                    <w:r>
                      <w:rPr>
                        <w:rFonts w:hint="eastAsia"/>
                        <w:szCs w:val="21"/>
                      </w:rPr>
                      <w:t>期初余额</w:t>
                    </w:r>
                  </w:p>
                </w:tc>
              </w:sdtContent>
            </w:sdt>
          </w:tr>
          <w:tr w:rsidR="00D21C1F" w14:paraId="69BEFFA0" w14:textId="77777777">
            <w:sdt>
              <w:sdtPr>
                <w:tag w:val="_PLD_722c53058dad410fa612baf9cbff9bc1"/>
                <w:id w:val="480972712"/>
                <w:lock w:val="sdtLocked"/>
              </w:sdtPr>
              <w:sdtEndPr/>
              <w:sdtContent>
                <w:tc>
                  <w:tcPr>
                    <w:tcW w:w="1828" w:type="pct"/>
                    <w:shd w:val="clear" w:color="auto" w:fill="auto"/>
                  </w:tcPr>
                  <w:p w14:paraId="29D697C6" w14:textId="77777777" w:rsidR="00D21C1F" w:rsidRDefault="00A42880">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14:paraId="28894340" w14:textId="77777777" w:rsidR="00D21C1F" w:rsidRPr="00225ADE"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225ADE">
                  <w:rPr>
                    <w:rFonts w:ascii="Times New Roman" w:hAnsi="Times New Roman" w:cs="Times New Roman"/>
                  </w:rPr>
                  <w:t>267,827,087.29</w:t>
                </w:r>
              </w:p>
            </w:tc>
            <w:tc>
              <w:tcPr>
                <w:tcW w:w="1590" w:type="pct"/>
                <w:shd w:val="clear" w:color="auto" w:fill="auto"/>
                <w:vAlign w:val="center"/>
              </w:tcPr>
              <w:p w14:paraId="34E5AA32" w14:textId="77777777" w:rsidR="00D21C1F" w:rsidRPr="00225ADE"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225ADE">
                  <w:rPr>
                    <w:rFonts w:ascii="Times New Roman" w:hAnsi="Times New Roman" w:cs="Times New Roman"/>
                  </w:rPr>
                  <w:t>279,101,262.68</w:t>
                </w:r>
              </w:p>
            </w:tc>
          </w:tr>
          <w:tr w:rsidR="00D21C1F" w14:paraId="1446CEA1" w14:textId="77777777">
            <w:sdt>
              <w:sdtPr>
                <w:tag w:val="_PLD_2f47b0a195064c638089bc384523b564"/>
                <w:id w:val="-546756243"/>
                <w:lock w:val="sdtLocked"/>
              </w:sdtPr>
              <w:sdtEndPr/>
              <w:sdtContent>
                <w:tc>
                  <w:tcPr>
                    <w:tcW w:w="1828" w:type="pct"/>
                    <w:shd w:val="clear" w:color="auto" w:fill="auto"/>
                  </w:tcPr>
                  <w:p w14:paraId="5F61978E" w14:textId="77777777" w:rsidR="00D21C1F" w:rsidRDefault="00A42880">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14:paraId="3E001B25" w14:textId="77777777" w:rsidR="00D21C1F" w:rsidRPr="00225ADE"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225ADE">
                  <w:rPr>
                    <w:rFonts w:ascii="Times New Roman" w:hAnsi="Times New Roman" w:cs="Times New Roman"/>
                    <w:szCs w:val="21"/>
                  </w:rPr>
                  <w:t>-</w:t>
                </w:r>
              </w:p>
            </w:tc>
            <w:tc>
              <w:tcPr>
                <w:tcW w:w="1590" w:type="pct"/>
                <w:shd w:val="clear" w:color="auto" w:fill="auto"/>
              </w:tcPr>
              <w:p w14:paraId="251E3E3F" w14:textId="77777777" w:rsidR="00D21C1F" w:rsidRPr="00225ADE"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225ADE">
                  <w:rPr>
                    <w:rFonts w:ascii="Times New Roman" w:hAnsi="Times New Roman" w:cs="Times New Roman"/>
                    <w:szCs w:val="21"/>
                  </w:rPr>
                  <w:t>-</w:t>
                </w:r>
              </w:p>
            </w:tc>
          </w:tr>
          <w:tr w:rsidR="00D21C1F" w14:paraId="56CADE16" w14:textId="77777777">
            <w:sdt>
              <w:sdtPr>
                <w:tag w:val="_PLD_c4125b2326324bf0b90cbe28b521a568"/>
                <w:id w:val="-1671089803"/>
                <w:lock w:val="sdtLocked"/>
              </w:sdtPr>
              <w:sdtEndPr/>
              <w:sdtContent>
                <w:tc>
                  <w:tcPr>
                    <w:tcW w:w="1828" w:type="pct"/>
                    <w:shd w:val="clear" w:color="auto" w:fill="auto"/>
                    <w:vAlign w:val="center"/>
                  </w:tcPr>
                  <w:p w14:paraId="7B71C4DC" w14:textId="77777777" w:rsidR="00D21C1F" w:rsidRDefault="00A42880">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14:paraId="569A2BF9" w14:textId="77777777" w:rsidR="00D21C1F" w:rsidRPr="00225ADE"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225ADE">
                  <w:rPr>
                    <w:rFonts w:ascii="Times New Roman" w:hAnsi="Times New Roman" w:cs="Times New Roman"/>
                  </w:rPr>
                  <w:t>267,827,087.29</w:t>
                </w:r>
              </w:p>
            </w:tc>
            <w:tc>
              <w:tcPr>
                <w:tcW w:w="1590" w:type="pct"/>
                <w:shd w:val="clear" w:color="auto" w:fill="auto"/>
                <w:vAlign w:val="center"/>
              </w:tcPr>
              <w:p w14:paraId="7395D9A1" w14:textId="77777777" w:rsidR="00D21C1F" w:rsidRPr="00225ADE"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225ADE">
                  <w:rPr>
                    <w:rFonts w:ascii="Times New Roman" w:hAnsi="Times New Roman" w:cs="Times New Roman"/>
                  </w:rPr>
                  <w:t>279,101,262.68</w:t>
                </w:r>
              </w:p>
            </w:tc>
          </w:tr>
        </w:tbl>
        <w:p w14:paraId="3FB6E1B6" w14:textId="77777777" w:rsidR="00D21C1F" w:rsidRDefault="00A42880">
          <w:pPr>
            <w:pStyle w:val="97"/>
          </w:pPr>
          <w:bookmarkStart w:id="233" w:name="_Hlk10472389"/>
          <w:bookmarkStart w:id="234" w:name="_Hlk10472397"/>
          <w:bookmarkEnd w:id="232"/>
          <w:r>
            <w:rPr>
              <w:rFonts w:hint="eastAsia"/>
              <w:szCs w:val="21"/>
            </w:rPr>
            <w:t>其他说明：</w:t>
          </w:r>
          <w:bookmarkEnd w:id="233"/>
        </w:p>
        <w:p w14:paraId="65FDD649" w14:textId="77777777" w:rsidR="00D21C1F" w:rsidRDefault="00045EC6">
          <w:pPr>
            <w:rPr>
              <w:szCs w:val="21"/>
            </w:rPr>
          </w:pPr>
          <w:sdt>
            <w:sdtPr>
              <w:rPr>
                <w:szCs w:val="21"/>
              </w:rPr>
              <w:alias w:val="固定资产分类列示其他说明"/>
              <w:tag w:val="_GBC_9028bab58a12485bb8ef4d316280f591"/>
              <w:id w:val="-1803068113"/>
              <w:lock w:val="sdtLocked"/>
              <w:placeholder>
                <w:docPart w:val="GBC22222222222222222222222222222"/>
              </w:placeholder>
            </w:sdtPr>
            <w:sdtEndPr/>
            <w:sdtContent>
              <w:r w:rsidR="00A42880">
                <w:rPr>
                  <w:rFonts w:hint="eastAsia"/>
                  <w:szCs w:val="21"/>
                </w:rPr>
                <w:t>无</w:t>
              </w:r>
            </w:sdtContent>
          </w:sdt>
        </w:p>
      </w:sdtContent>
    </w:sdt>
    <w:bookmarkEnd w:id="234"/>
    <w:p w14:paraId="5612A02F" w14:textId="77777777" w:rsidR="00D21C1F" w:rsidRDefault="00D21C1F">
      <w:pPr>
        <w:pStyle w:val="93"/>
        <w:tabs>
          <w:tab w:val="left" w:pos="588"/>
        </w:tabs>
        <w:rPr>
          <w:rFonts w:ascii="宋体" w:hAnsi="宋体"/>
        </w:rPr>
        <w:sectPr w:rsidR="00D21C1F">
          <w:pgSz w:w="11906" w:h="16838"/>
          <w:pgMar w:top="1525" w:right="1276" w:bottom="1440" w:left="1797" w:header="856" w:footer="992" w:gutter="0"/>
          <w:cols w:space="425"/>
          <w:docGrid w:linePitch="312"/>
        </w:sectPr>
      </w:pPr>
    </w:p>
    <w:p w14:paraId="239819F8" w14:textId="77777777" w:rsidR="00D21C1F" w:rsidRDefault="00A42880">
      <w:pPr>
        <w:pStyle w:val="93"/>
        <w:tabs>
          <w:tab w:val="left" w:pos="588"/>
        </w:tabs>
        <w:rPr>
          <w:rFonts w:ascii="宋体" w:hAnsi="宋体"/>
        </w:rPr>
      </w:pPr>
      <w:r>
        <w:rPr>
          <w:rFonts w:ascii="宋体" w:hAnsi="宋体" w:hint="eastAsia"/>
        </w:rPr>
        <w:lastRenderedPageBreak/>
        <w:t>固定资产</w:t>
      </w:r>
    </w:p>
    <w:sdt>
      <w:sdtPr>
        <w:rPr>
          <w:rFonts w:ascii="宋体" w:eastAsia="宋体" w:hAnsi="宋体" w:cs="宋体" w:hint="eastAsia"/>
          <w:b w:val="0"/>
          <w:bCs w:val="0"/>
          <w:kern w:val="0"/>
          <w:szCs w:val="21"/>
        </w:rPr>
        <w:alias w:val="模块:固定资产情况"/>
        <w:tag w:val="_GBC_6b764c2f9af049ba98fb55c66fe083a9"/>
        <w:id w:val="1135983007"/>
        <w:lock w:val="sdtLocked"/>
        <w:placeholder>
          <w:docPart w:val="GBC22222222222222222222222222222"/>
        </w:placeholder>
      </w:sdtPr>
      <w:sdtEndPr>
        <w:rPr>
          <w:rFonts w:cstheme="minorBidi"/>
          <w:kern w:val="2"/>
        </w:rPr>
      </w:sdtEndPr>
      <w:sdtContent>
        <w:p w14:paraId="1D291257" w14:textId="77777777" w:rsidR="00D21C1F" w:rsidRDefault="00A42880">
          <w:pPr>
            <w:pStyle w:val="93"/>
            <w:numPr>
              <w:ilvl w:val="0"/>
              <w:numId w:val="10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728489055"/>
            <w:lock w:val="sdtLocked"/>
            <w:placeholder>
              <w:docPart w:val="GBC22222222222222222222222222222"/>
            </w:placeholder>
          </w:sdtPr>
          <w:sdtEndPr/>
          <w:sdtContent>
            <w:p w14:paraId="4BB165E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9E2D25" w14:textId="77777777" w:rsidR="00D21C1F" w:rsidRDefault="00A42880">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27076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固定资产情况"/>
              <w:tag w:val="_GBC_c5ecae448dd948eca54add973afbe77b"/>
              <w:id w:val="5371703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981"/>
            <w:gridCol w:w="1981"/>
            <w:gridCol w:w="1981"/>
            <w:gridCol w:w="1980"/>
            <w:gridCol w:w="1980"/>
            <w:gridCol w:w="1980"/>
            <w:gridCol w:w="1980"/>
          </w:tblGrid>
          <w:tr w:rsidR="00D21C1F" w14:paraId="05DD41A0" w14:textId="77777777">
            <w:sdt>
              <w:sdtPr>
                <w:tag w:val="_PLD_1741958de41447b7ac4cbd15ce893c6c"/>
                <w:id w:val="-2030090153"/>
                <w:lock w:val="sdtLocked"/>
              </w:sdtPr>
              <w:sdtEndPr/>
              <w:sdtContent>
                <w:tc>
                  <w:tcPr>
                    <w:tcW w:w="714" w:type="pct"/>
                    <w:shd w:val="clear" w:color="auto" w:fill="auto"/>
                    <w:vAlign w:val="center"/>
                  </w:tcPr>
                  <w:p w14:paraId="2236DE6D" w14:textId="77777777" w:rsidR="00D21C1F" w:rsidRDefault="00A42880">
                    <w:pPr>
                      <w:jc w:val="center"/>
                    </w:pPr>
                    <w:r>
                      <w:rPr>
                        <w:rFonts w:hint="eastAsia"/>
                      </w:rPr>
                      <w:t>项目</w:t>
                    </w:r>
                  </w:p>
                </w:tc>
              </w:sdtContent>
            </w:sdt>
            <w:sdt>
              <w:sdtPr>
                <w:rPr>
                  <w:rFonts w:hint="eastAsia"/>
                </w:rPr>
                <w:alias w:val="固定资产情况明细-项目名称"/>
                <w:tag w:val="_GBC_936a8499167f477aab1a2942b2fdbdaf"/>
                <w:id w:val="1973249943"/>
                <w:lock w:val="sdtLocked"/>
                <w:text/>
              </w:sdtPr>
              <w:sdtEndPr/>
              <w:sdtContent>
                <w:tc>
                  <w:tcPr>
                    <w:tcW w:w="714" w:type="pct"/>
                    <w:shd w:val="clear" w:color="auto" w:fill="auto"/>
                    <w:vAlign w:val="center"/>
                  </w:tcPr>
                  <w:p w14:paraId="2DFFCA59" w14:textId="77777777" w:rsidR="00D21C1F" w:rsidRDefault="00A42880">
                    <w:pPr>
                      <w:jc w:val="center"/>
                    </w:pPr>
                    <w:r>
                      <w:rPr>
                        <w:rFonts w:hint="eastAsia"/>
                      </w:rPr>
                      <w:t>房屋及建筑物</w:t>
                    </w:r>
                  </w:p>
                </w:tc>
              </w:sdtContent>
            </w:sdt>
            <w:sdt>
              <w:sdtPr>
                <w:rPr>
                  <w:rFonts w:hint="eastAsia"/>
                </w:rPr>
                <w:alias w:val="固定资产情况明细-项目名称"/>
                <w:tag w:val="_GBC_936a8499167f477aab1a2942b2fdbdaf"/>
                <w:id w:val="1632594073"/>
                <w:lock w:val="sdtLocked"/>
                <w:text/>
              </w:sdtPr>
              <w:sdtEndPr/>
              <w:sdtContent>
                <w:tc>
                  <w:tcPr>
                    <w:tcW w:w="714" w:type="pct"/>
                    <w:shd w:val="clear" w:color="auto" w:fill="auto"/>
                    <w:vAlign w:val="center"/>
                  </w:tcPr>
                  <w:p w14:paraId="49028E80" w14:textId="77777777" w:rsidR="00D21C1F" w:rsidRDefault="00A42880">
                    <w:pPr>
                      <w:jc w:val="center"/>
                    </w:pPr>
                    <w:r>
                      <w:rPr>
                        <w:rFonts w:hint="eastAsia"/>
                      </w:rPr>
                      <w:t>机器设备</w:t>
                    </w:r>
                  </w:p>
                </w:tc>
              </w:sdtContent>
            </w:sdt>
            <w:sdt>
              <w:sdtPr>
                <w:rPr>
                  <w:rFonts w:hint="eastAsia"/>
                </w:rPr>
                <w:alias w:val="固定资产情况明细-项目名称"/>
                <w:tag w:val="_GBC_936a8499167f477aab1a2942b2fdbdaf"/>
                <w:id w:val="-18008966"/>
                <w:lock w:val="sdtLocked"/>
                <w:text/>
              </w:sdtPr>
              <w:sdtEndPr/>
              <w:sdtContent>
                <w:tc>
                  <w:tcPr>
                    <w:tcW w:w="714" w:type="pct"/>
                    <w:shd w:val="clear" w:color="auto" w:fill="auto"/>
                    <w:vAlign w:val="center"/>
                  </w:tcPr>
                  <w:p w14:paraId="022199FF" w14:textId="77777777" w:rsidR="00D21C1F" w:rsidRDefault="00A42880">
                    <w:pPr>
                      <w:jc w:val="center"/>
                    </w:pPr>
                    <w:r>
                      <w:rPr>
                        <w:rFonts w:hint="eastAsia"/>
                      </w:rPr>
                      <w:t>运输工具</w:t>
                    </w:r>
                  </w:p>
                </w:tc>
              </w:sdtContent>
            </w:sdt>
            <w:sdt>
              <w:sdtPr>
                <w:rPr>
                  <w:rFonts w:cs="Calibri" w:hint="eastAsia"/>
                  <w:kern w:val="2"/>
                  <w:szCs w:val="21"/>
                </w:rPr>
                <w:alias w:val="固定资产情况明细-项目名称"/>
                <w:tag w:val="_GBC_936a8499167f477aab1a2942b2fdbdaf"/>
                <w:id w:val="2050725282"/>
                <w:lock w:val="sdtLocked"/>
                <w:text/>
              </w:sdtPr>
              <w:sdtEndPr/>
              <w:sdtContent>
                <w:tc>
                  <w:tcPr>
                    <w:tcW w:w="714" w:type="pct"/>
                    <w:shd w:val="clear" w:color="auto" w:fill="auto"/>
                    <w:vAlign w:val="center"/>
                  </w:tcPr>
                  <w:p w14:paraId="5E1D88C7" w14:textId="77777777" w:rsidR="00D21C1F" w:rsidRDefault="00A42880">
                    <w:pPr>
                      <w:jc w:val="center"/>
                    </w:pPr>
                    <w:r>
                      <w:rPr>
                        <w:rFonts w:cs="Calibri" w:hint="eastAsia"/>
                        <w:kern w:val="2"/>
                        <w:szCs w:val="21"/>
                      </w:rPr>
                      <w:t>办公及其他设备</w:t>
                    </w:r>
                  </w:p>
                </w:tc>
              </w:sdtContent>
            </w:sdt>
            <w:sdt>
              <w:sdtPr>
                <w:rPr>
                  <w:rFonts w:hint="eastAsia"/>
                </w:rPr>
                <w:alias w:val="固定资产情况明细-项目名称"/>
                <w:tag w:val="_GBC_936a8499167f477aab1a2942b2fdbdaf"/>
                <w:id w:val="-1097779211"/>
                <w:lock w:val="sdtLocked"/>
                <w:text/>
              </w:sdtPr>
              <w:sdtEndPr/>
              <w:sdtContent>
                <w:tc>
                  <w:tcPr>
                    <w:tcW w:w="714" w:type="pct"/>
                    <w:shd w:val="clear" w:color="auto" w:fill="auto"/>
                    <w:vAlign w:val="center"/>
                  </w:tcPr>
                  <w:p w14:paraId="2E151C87" w14:textId="77777777" w:rsidR="00D21C1F" w:rsidRDefault="00A42880">
                    <w:pPr>
                      <w:jc w:val="center"/>
                    </w:pPr>
                    <w:r>
                      <w:rPr>
                        <w:rFonts w:hint="eastAsia"/>
                      </w:rPr>
                      <w:t>土地</w:t>
                    </w:r>
                  </w:p>
                </w:tc>
              </w:sdtContent>
            </w:sdt>
            <w:sdt>
              <w:sdtPr>
                <w:tag w:val="_PLD_0b635f975b4949dbb798f88c3dcf1d8d"/>
                <w:id w:val="-105966658"/>
                <w:lock w:val="sdtLocked"/>
              </w:sdtPr>
              <w:sdtEndPr/>
              <w:sdtContent>
                <w:tc>
                  <w:tcPr>
                    <w:tcW w:w="714" w:type="pct"/>
                    <w:shd w:val="clear" w:color="auto" w:fill="auto"/>
                    <w:vAlign w:val="center"/>
                  </w:tcPr>
                  <w:p w14:paraId="7AF4368A" w14:textId="77777777" w:rsidR="00D21C1F" w:rsidRDefault="00A42880">
                    <w:pPr>
                      <w:jc w:val="center"/>
                    </w:pPr>
                    <w:r>
                      <w:rPr>
                        <w:rFonts w:hint="eastAsia"/>
                      </w:rPr>
                      <w:t>合计</w:t>
                    </w:r>
                  </w:p>
                </w:tc>
              </w:sdtContent>
            </w:sdt>
          </w:tr>
          <w:tr w:rsidR="00D21C1F" w14:paraId="2EA1F97F" w14:textId="77777777">
            <w:sdt>
              <w:sdtPr>
                <w:tag w:val="_PLD_e1d4e79d72fd45cc925f8729ecef795c"/>
                <w:id w:val="-1693071624"/>
                <w:lock w:val="sdtLocked"/>
              </w:sdtPr>
              <w:sdtEndPr/>
              <w:sdtContent>
                <w:tc>
                  <w:tcPr>
                    <w:tcW w:w="714" w:type="pct"/>
                    <w:shd w:val="clear" w:color="auto" w:fill="auto"/>
                  </w:tcPr>
                  <w:p w14:paraId="142B4369" w14:textId="77777777" w:rsidR="00D21C1F" w:rsidRDefault="00A42880">
                    <w:pPr>
                      <w:pStyle w:val="97"/>
                    </w:pPr>
                    <w:r>
                      <w:rPr>
                        <w:rFonts w:hint="eastAsia"/>
                      </w:rPr>
                      <w:t>一、账面原值：</w:t>
                    </w:r>
                  </w:p>
                </w:tc>
              </w:sdtContent>
            </w:sdt>
            <w:tc>
              <w:tcPr>
                <w:tcW w:w="714" w:type="pct"/>
                <w:shd w:val="clear" w:color="auto" w:fill="auto"/>
                <w:vAlign w:val="center"/>
              </w:tcPr>
              <w:p w14:paraId="5AC5D408" w14:textId="77777777" w:rsidR="00D21C1F" w:rsidRDefault="00D21C1F">
                <w:pPr>
                  <w:jc w:val="center"/>
                </w:pPr>
              </w:p>
            </w:tc>
            <w:tc>
              <w:tcPr>
                <w:tcW w:w="714" w:type="pct"/>
                <w:shd w:val="clear" w:color="auto" w:fill="auto"/>
                <w:vAlign w:val="center"/>
              </w:tcPr>
              <w:p w14:paraId="72641C48" w14:textId="77777777" w:rsidR="00D21C1F" w:rsidRDefault="00D21C1F">
                <w:pPr>
                  <w:jc w:val="center"/>
                </w:pPr>
              </w:p>
            </w:tc>
            <w:tc>
              <w:tcPr>
                <w:tcW w:w="714" w:type="pct"/>
                <w:shd w:val="clear" w:color="auto" w:fill="auto"/>
                <w:vAlign w:val="center"/>
              </w:tcPr>
              <w:p w14:paraId="059DED25" w14:textId="77777777" w:rsidR="00D21C1F" w:rsidRDefault="00D21C1F">
                <w:pPr>
                  <w:jc w:val="center"/>
                </w:pPr>
              </w:p>
            </w:tc>
            <w:tc>
              <w:tcPr>
                <w:tcW w:w="714" w:type="pct"/>
                <w:shd w:val="clear" w:color="auto" w:fill="auto"/>
                <w:vAlign w:val="center"/>
              </w:tcPr>
              <w:p w14:paraId="169F6901" w14:textId="77777777" w:rsidR="00D21C1F" w:rsidRDefault="00D21C1F">
                <w:pPr>
                  <w:jc w:val="center"/>
                </w:pPr>
              </w:p>
            </w:tc>
            <w:tc>
              <w:tcPr>
                <w:tcW w:w="714" w:type="pct"/>
                <w:shd w:val="clear" w:color="auto" w:fill="auto"/>
                <w:vAlign w:val="center"/>
              </w:tcPr>
              <w:p w14:paraId="7C8C068E" w14:textId="77777777" w:rsidR="00D21C1F" w:rsidRDefault="00D21C1F">
                <w:pPr>
                  <w:jc w:val="center"/>
                </w:pPr>
              </w:p>
            </w:tc>
            <w:tc>
              <w:tcPr>
                <w:tcW w:w="714" w:type="pct"/>
                <w:shd w:val="clear" w:color="auto" w:fill="auto"/>
                <w:vAlign w:val="center"/>
              </w:tcPr>
              <w:p w14:paraId="22E46275" w14:textId="77777777" w:rsidR="00D21C1F" w:rsidRDefault="00D21C1F">
                <w:pPr>
                  <w:jc w:val="center"/>
                </w:pPr>
              </w:p>
            </w:tc>
          </w:tr>
          <w:tr w:rsidR="00D21C1F" w14:paraId="36EEEBA7" w14:textId="77777777" w:rsidTr="00225ADE">
            <w:sdt>
              <w:sdtPr>
                <w:tag w:val="_PLD_76089fd0a4a0479c8c1f36c514cb7ecd"/>
                <w:id w:val="-1910217201"/>
                <w:lock w:val="sdtLocked"/>
              </w:sdtPr>
              <w:sdtEndPr/>
              <w:sdtContent>
                <w:tc>
                  <w:tcPr>
                    <w:tcW w:w="714" w:type="pct"/>
                    <w:shd w:val="clear" w:color="auto" w:fill="auto"/>
                  </w:tcPr>
                  <w:p w14:paraId="16ED528F" w14:textId="77777777" w:rsidR="00D21C1F" w:rsidRDefault="00A42880">
                    <w:pPr>
                      <w:ind w:firstLineChars="200" w:firstLine="420"/>
                    </w:pPr>
                    <w:r>
                      <w:rPr>
                        <w:rFonts w:ascii="Times New Roman" w:hAnsi="Times New Roman"/>
                      </w:rPr>
                      <w:t>1</w:t>
                    </w:r>
                    <w:r>
                      <w:t>.</w:t>
                    </w:r>
                    <w:r>
                      <w:rPr>
                        <w:rFonts w:hint="eastAsia"/>
                      </w:rPr>
                      <w:t>期初余额</w:t>
                    </w:r>
                  </w:p>
                </w:tc>
              </w:sdtContent>
            </w:sdt>
            <w:tc>
              <w:tcPr>
                <w:tcW w:w="714" w:type="pct"/>
                <w:shd w:val="clear" w:color="auto" w:fill="auto"/>
                <w:vAlign w:val="center"/>
              </w:tcPr>
              <w:p w14:paraId="2984EE2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196,822,774.78</w:t>
                </w:r>
              </w:p>
            </w:tc>
            <w:tc>
              <w:tcPr>
                <w:tcW w:w="714" w:type="pct"/>
                <w:shd w:val="clear" w:color="auto" w:fill="auto"/>
                <w:vAlign w:val="center"/>
              </w:tcPr>
              <w:p w14:paraId="6BB0019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162,126,698.12</w:t>
                </w:r>
              </w:p>
            </w:tc>
            <w:tc>
              <w:tcPr>
                <w:tcW w:w="714" w:type="pct"/>
                <w:shd w:val="clear" w:color="auto" w:fill="auto"/>
                <w:vAlign w:val="center"/>
              </w:tcPr>
              <w:p w14:paraId="5A3AC28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13,860,884.41</w:t>
                </w:r>
              </w:p>
            </w:tc>
            <w:tc>
              <w:tcPr>
                <w:tcW w:w="714" w:type="pct"/>
                <w:shd w:val="clear" w:color="auto" w:fill="auto"/>
                <w:vAlign w:val="center"/>
              </w:tcPr>
              <w:p w14:paraId="1B45441B"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38,139,016.69</w:t>
                </w:r>
              </w:p>
            </w:tc>
            <w:tc>
              <w:tcPr>
                <w:tcW w:w="714" w:type="pct"/>
                <w:shd w:val="clear" w:color="auto" w:fill="auto"/>
                <w:vAlign w:val="center"/>
              </w:tcPr>
              <w:p w14:paraId="4B5286D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38,424,320.74</w:t>
                </w:r>
              </w:p>
            </w:tc>
            <w:tc>
              <w:tcPr>
                <w:tcW w:w="714" w:type="pct"/>
                <w:shd w:val="clear" w:color="auto" w:fill="auto"/>
                <w:vAlign w:val="center"/>
              </w:tcPr>
              <w:p w14:paraId="380BC77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449,373,694.74</w:t>
                </w:r>
              </w:p>
            </w:tc>
          </w:tr>
          <w:tr w:rsidR="00D21C1F" w14:paraId="253574C0" w14:textId="77777777" w:rsidTr="00225ADE">
            <w:sdt>
              <w:sdtPr>
                <w:tag w:val="_PLD_ee436c0e086043f0a5f400c99fbf0df9"/>
                <w:id w:val="-1570955719"/>
                <w:lock w:val="sdtLocked"/>
              </w:sdtPr>
              <w:sdtEndPr/>
              <w:sdtContent>
                <w:tc>
                  <w:tcPr>
                    <w:tcW w:w="714" w:type="pct"/>
                    <w:shd w:val="clear" w:color="auto" w:fill="auto"/>
                  </w:tcPr>
                  <w:p w14:paraId="06D348F4" w14:textId="77777777" w:rsidR="00D21C1F" w:rsidRDefault="00A42880">
                    <w:pPr>
                      <w:ind w:firstLineChars="200" w:firstLine="420"/>
                    </w:pPr>
                    <w:r>
                      <w:rPr>
                        <w:rFonts w:ascii="Times New Roman" w:hAnsi="Times New Roman"/>
                      </w:rPr>
                      <w:t>2</w:t>
                    </w:r>
                    <w:r>
                      <w:t>.</w:t>
                    </w:r>
                    <w:r>
                      <w:rPr>
                        <w:rFonts w:hint="eastAsia"/>
                      </w:rPr>
                      <w:t>本期增加金额</w:t>
                    </w:r>
                  </w:p>
                </w:tc>
              </w:sdtContent>
            </w:sdt>
            <w:tc>
              <w:tcPr>
                <w:tcW w:w="714" w:type="pct"/>
                <w:shd w:val="clear" w:color="auto" w:fill="auto"/>
                <w:vAlign w:val="center"/>
              </w:tcPr>
              <w:p w14:paraId="72A25F9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782,450.92</w:t>
                </w:r>
              </w:p>
            </w:tc>
            <w:tc>
              <w:tcPr>
                <w:tcW w:w="714" w:type="pct"/>
                <w:shd w:val="clear" w:color="auto" w:fill="auto"/>
                <w:vAlign w:val="center"/>
              </w:tcPr>
              <w:p w14:paraId="5A3A822B"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-603,521.97</w:t>
                </w:r>
              </w:p>
            </w:tc>
            <w:tc>
              <w:tcPr>
                <w:tcW w:w="714" w:type="pct"/>
                <w:shd w:val="clear" w:color="auto" w:fill="auto"/>
                <w:vAlign w:val="center"/>
              </w:tcPr>
              <w:p w14:paraId="11A082C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121,742.09</w:t>
                </w:r>
              </w:p>
            </w:tc>
            <w:tc>
              <w:tcPr>
                <w:tcW w:w="714" w:type="pct"/>
                <w:shd w:val="clear" w:color="auto" w:fill="auto"/>
                <w:vAlign w:val="center"/>
              </w:tcPr>
              <w:p w14:paraId="55C5563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1,486,253.21</w:t>
                </w:r>
              </w:p>
            </w:tc>
            <w:tc>
              <w:tcPr>
                <w:tcW w:w="714" w:type="pct"/>
                <w:shd w:val="clear" w:color="auto" w:fill="auto"/>
                <w:vAlign w:val="center"/>
              </w:tcPr>
              <w:p w14:paraId="0E889076"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-452,410.70</w:t>
                </w:r>
              </w:p>
            </w:tc>
            <w:tc>
              <w:tcPr>
                <w:tcW w:w="714" w:type="pct"/>
                <w:shd w:val="clear" w:color="auto" w:fill="auto"/>
                <w:vAlign w:val="center"/>
              </w:tcPr>
              <w:p w14:paraId="281ABF9B"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1,334,513.55</w:t>
                </w:r>
              </w:p>
            </w:tc>
          </w:tr>
          <w:tr w:rsidR="00D21C1F" w14:paraId="6BCC09CA" w14:textId="77777777" w:rsidTr="00225ADE">
            <w:sdt>
              <w:sdtPr>
                <w:tag w:val="_PLD_52f208e0e9cd4154b48b25225e9d4e33"/>
                <w:id w:val="-1361353390"/>
                <w:lock w:val="sdtLocked"/>
              </w:sdtPr>
              <w:sdtEndPr/>
              <w:sdtContent>
                <w:tc>
                  <w:tcPr>
                    <w:tcW w:w="714" w:type="pct"/>
                    <w:shd w:val="clear" w:color="auto" w:fill="auto"/>
                  </w:tcPr>
                  <w:p w14:paraId="0ECCC29E" w14:textId="77777777" w:rsidR="00D21C1F" w:rsidRDefault="00A42880">
                    <w:pPr>
                      <w:ind w:firstLineChars="300" w:firstLine="630"/>
                    </w:pPr>
                    <w:r>
                      <w:rPr>
                        <w:rFonts w:hint="eastAsia"/>
                      </w:rPr>
                      <w:t>（</w:t>
                    </w:r>
                    <w:r>
                      <w:rPr>
                        <w:rFonts w:ascii="Times New Roman" w:hAnsi="Times New Roman" w:hint="eastAsia"/>
                      </w:rPr>
                      <w:t>1</w:t>
                    </w:r>
                    <w:r>
                      <w:rPr>
                        <w:rFonts w:hint="eastAsia"/>
                      </w:rPr>
                      <w:t>）购置</w:t>
                    </w:r>
                  </w:p>
                </w:tc>
              </w:sdtContent>
            </w:sdt>
            <w:tc>
              <w:tcPr>
                <w:tcW w:w="714" w:type="pct"/>
                <w:shd w:val="clear" w:color="auto" w:fill="auto"/>
                <w:vAlign w:val="center"/>
              </w:tcPr>
              <w:p w14:paraId="6052EB3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46,117.20</w:t>
                </w:r>
              </w:p>
            </w:tc>
            <w:tc>
              <w:tcPr>
                <w:tcW w:w="714" w:type="pct"/>
                <w:shd w:val="clear" w:color="auto" w:fill="auto"/>
                <w:vAlign w:val="center"/>
              </w:tcPr>
              <w:p w14:paraId="681638D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1,326,250.49</w:t>
                </w:r>
              </w:p>
            </w:tc>
            <w:tc>
              <w:tcPr>
                <w:tcW w:w="714" w:type="pct"/>
                <w:shd w:val="clear" w:color="auto" w:fill="auto"/>
                <w:vAlign w:val="center"/>
              </w:tcPr>
              <w:p w14:paraId="378FF2E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655,972.84</w:t>
                </w:r>
              </w:p>
            </w:tc>
            <w:tc>
              <w:tcPr>
                <w:tcW w:w="714" w:type="pct"/>
                <w:shd w:val="clear" w:color="auto" w:fill="auto"/>
                <w:vAlign w:val="center"/>
              </w:tcPr>
              <w:p w14:paraId="2866CE2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1,963,894.18</w:t>
                </w:r>
              </w:p>
            </w:tc>
            <w:tc>
              <w:tcPr>
                <w:tcW w:w="714" w:type="pct"/>
                <w:shd w:val="clear" w:color="auto" w:fill="auto"/>
                <w:vAlign w:val="center"/>
              </w:tcPr>
              <w:p w14:paraId="0B00860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2E220FF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3,992,234.71</w:t>
                </w:r>
              </w:p>
            </w:tc>
          </w:tr>
          <w:tr w:rsidR="00D21C1F" w14:paraId="2CDCFCA8" w14:textId="77777777" w:rsidTr="00225ADE">
            <w:sdt>
              <w:sdtPr>
                <w:tag w:val="_PLD_c449c35eb24a41ae87b7fabcc7ac49f2"/>
                <w:id w:val="1715456482"/>
                <w:lock w:val="sdtLocked"/>
              </w:sdtPr>
              <w:sdtEndPr/>
              <w:sdtContent>
                <w:tc>
                  <w:tcPr>
                    <w:tcW w:w="714" w:type="pct"/>
                    <w:shd w:val="clear" w:color="auto" w:fill="auto"/>
                  </w:tcPr>
                  <w:p w14:paraId="0DA08305" w14:textId="77777777" w:rsidR="00D21C1F" w:rsidRDefault="00A42880">
                    <w:pPr>
                      <w:ind w:firstLineChars="300" w:firstLine="630"/>
                    </w:pPr>
                    <w:r>
                      <w:rPr>
                        <w:rFonts w:hint="eastAsia"/>
                      </w:rPr>
                      <w:t>（</w:t>
                    </w:r>
                    <w:r>
                      <w:rPr>
                        <w:rFonts w:ascii="Times New Roman" w:hAnsi="Times New Roman" w:hint="eastAsia"/>
                      </w:rPr>
                      <w:t>2</w:t>
                    </w:r>
                    <w:r>
                      <w:rPr>
                        <w:rFonts w:hint="eastAsia"/>
                      </w:rPr>
                      <w:t>）在建工程转入</w:t>
                    </w:r>
                  </w:p>
                </w:tc>
              </w:sdtContent>
            </w:sdt>
            <w:tc>
              <w:tcPr>
                <w:tcW w:w="714" w:type="pct"/>
                <w:shd w:val="clear" w:color="auto" w:fill="auto"/>
                <w:vAlign w:val="center"/>
              </w:tcPr>
              <w:p w14:paraId="61CF1B6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2,286,471.63</w:t>
                </w:r>
              </w:p>
            </w:tc>
            <w:tc>
              <w:tcPr>
                <w:tcW w:w="714" w:type="pct"/>
                <w:shd w:val="clear" w:color="auto" w:fill="auto"/>
                <w:vAlign w:val="center"/>
              </w:tcPr>
              <w:p w14:paraId="615A136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188,091.59</w:t>
                </w:r>
              </w:p>
            </w:tc>
            <w:tc>
              <w:tcPr>
                <w:tcW w:w="714" w:type="pct"/>
                <w:shd w:val="clear" w:color="auto" w:fill="auto"/>
                <w:vAlign w:val="center"/>
              </w:tcPr>
              <w:p w14:paraId="57A84FD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6F0B754B"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259FB31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7AA5272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2,474,563.22</w:t>
                </w:r>
              </w:p>
            </w:tc>
          </w:tr>
          <w:tr w:rsidR="00D21C1F" w14:paraId="0961945B" w14:textId="77777777" w:rsidTr="00225ADE">
            <w:sdt>
              <w:sdtPr>
                <w:alias w:val="固定资产账面原值增加项目名称"/>
                <w:tag w:val="_GBC_4d32d042060b4c8aa7f965b96f5580a8"/>
                <w:id w:val="1012107064"/>
                <w:lock w:val="sdtLocked"/>
              </w:sdtPr>
              <w:sdtEndPr/>
              <w:sdtContent>
                <w:tc>
                  <w:tcPr>
                    <w:tcW w:w="714" w:type="pct"/>
                    <w:shd w:val="clear" w:color="auto" w:fill="auto"/>
                  </w:tcPr>
                  <w:p w14:paraId="34D59711" w14:textId="77777777" w:rsidR="00D21C1F" w:rsidRDefault="00A42880">
                    <w:pPr>
                      <w:ind w:firstLineChars="300" w:firstLine="630"/>
                    </w:pPr>
                    <w:r>
                      <w:rPr>
                        <w:rFonts w:hint="eastAsia"/>
                      </w:rPr>
                      <w:t>（</w:t>
                    </w:r>
                    <w:r>
                      <w:rPr>
                        <w:rFonts w:ascii="Times New Roman" w:hAnsi="Times New Roman"/>
                      </w:rPr>
                      <w:t>3</w:t>
                    </w:r>
                    <w:r>
                      <w:t>）</w:t>
                    </w:r>
                    <w:r>
                      <w:rPr>
                        <w:rFonts w:hint="eastAsia"/>
                      </w:rPr>
                      <w:t>汇率变动的影响</w:t>
                    </w:r>
                  </w:p>
                </w:tc>
              </w:sdtContent>
            </w:sdt>
            <w:sdt>
              <w:sdtPr>
                <w:rPr>
                  <w:rFonts w:ascii="Times New Roman" w:hAnsi="Times New Roman" w:cs="Times New Roman"/>
                </w:rPr>
                <w:alias w:val="固定资产账面原值增加项目金额"/>
                <w:tag w:val="_GBC_c2ca665b86c0425dba69c4867b84d3f4"/>
                <w:id w:val="-644972220"/>
                <w:lock w:val="sdtLocked"/>
              </w:sdtPr>
              <w:sdtEndPr/>
              <w:sdtContent>
                <w:tc>
                  <w:tcPr>
                    <w:tcW w:w="714" w:type="pct"/>
                    <w:shd w:val="clear" w:color="auto" w:fill="auto"/>
                    <w:vAlign w:val="center"/>
                  </w:tcPr>
                  <w:p w14:paraId="01113F7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-1,550,137.91</w:t>
                    </w:r>
                  </w:p>
                </w:tc>
              </w:sdtContent>
            </w:sdt>
            <w:sdt>
              <w:sdtPr>
                <w:rPr>
                  <w:rFonts w:ascii="Times New Roman" w:hAnsi="Times New Roman" w:cs="Times New Roman"/>
                </w:rPr>
                <w:alias w:val="固定资产账面原值增加项目金额"/>
                <w:tag w:val="_GBC_c2ca665b86c0425dba69c4867b84d3f4"/>
                <w:id w:val="2008014695"/>
                <w:lock w:val="sdtLocked"/>
              </w:sdtPr>
              <w:sdtEndPr/>
              <w:sdtContent>
                <w:tc>
                  <w:tcPr>
                    <w:tcW w:w="714" w:type="pct"/>
                    <w:shd w:val="clear" w:color="auto" w:fill="auto"/>
                    <w:vAlign w:val="center"/>
                  </w:tcPr>
                  <w:p w14:paraId="0DBBAAD8"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-2,117,864.05</w:t>
                    </w:r>
                  </w:p>
                </w:tc>
              </w:sdtContent>
            </w:sdt>
            <w:sdt>
              <w:sdtPr>
                <w:rPr>
                  <w:rFonts w:ascii="Times New Roman" w:hAnsi="Times New Roman" w:cs="Times New Roman"/>
                </w:rPr>
                <w:alias w:val="固定资产账面原值增加项目金额"/>
                <w:tag w:val="_GBC_c2ca665b86c0425dba69c4867b84d3f4"/>
                <w:id w:val="-882251839"/>
                <w:lock w:val="sdtLocked"/>
              </w:sdtPr>
              <w:sdtEndPr/>
              <w:sdtContent>
                <w:tc>
                  <w:tcPr>
                    <w:tcW w:w="714" w:type="pct"/>
                    <w:shd w:val="clear" w:color="auto" w:fill="auto"/>
                    <w:vAlign w:val="center"/>
                  </w:tcPr>
                  <w:p w14:paraId="7395DD4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-534,230.75</w:t>
                    </w:r>
                  </w:p>
                </w:tc>
              </w:sdtContent>
            </w:sdt>
            <w:sdt>
              <w:sdtPr>
                <w:rPr>
                  <w:rFonts w:ascii="Times New Roman" w:hAnsi="Times New Roman" w:cs="Times New Roman"/>
                </w:rPr>
                <w:alias w:val="固定资产账面原值增加项目金额"/>
                <w:tag w:val="_GBC_c2ca665b86c0425dba69c4867b84d3f4"/>
                <w:id w:val="1305277020"/>
                <w:lock w:val="sdtLocked"/>
              </w:sdtPr>
              <w:sdtEndPr/>
              <w:sdtContent>
                <w:tc>
                  <w:tcPr>
                    <w:tcW w:w="714" w:type="pct"/>
                    <w:shd w:val="clear" w:color="auto" w:fill="auto"/>
                    <w:vAlign w:val="center"/>
                  </w:tcPr>
                  <w:p w14:paraId="575817E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-477,640.97</w:t>
                    </w:r>
                  </w:p>
                </w:tc>
              </w:sdtContent>
            </w:sdt>
            <w:sdt>
              <w:sdtPr>
                <w:rPr>
                  <w:rFonts w:ascii="Times New Roman" w:hAnsi="Times New Roman" w:cs="Times New Roman"/>
                </w:rPr>
                <w:alias w:val="固定资产账面原值增加项目金额"/>
                <w:tag w:val="_GBC_c2ca665b86c0425dba69c4867b84d3f4"/>
                <w:id w:val="835269980"/>
                <w:lock w:val="sdtLocked"/>
              </w:sdtPr>
              <w:sdtEndPr/>
              <w:sdtContent>
                <w:tc>
                  <w:tcPr>
                    <w:tcW w:w="714" w:type="pct"/>
                    <w:shd w:val="clear" w:color="auto" w:fill="auto"/>
                    <w:vAlign w:val="center"/>
                  </w:tcPr>
                  <w:p w14:paraId="699A907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-452,410.70</w:t>
                    </w:r>
                  </w:p>
                </w:tc>
              </w:sdtContent>
            </w:sdt>
            <w:sdt>
              <w:sdtPr>
                <w:rPr>
                  <w:rFonts w:ascii="Times New Roman" w:hAnsi="Times New Roman" w:cs="Times New Roman"/>
                </w:rPr>
                <w:alias w:val="固定资产账面原值增加项目合计金额"/>
                <w:tag w:val="_GBC_001e75f32bd54007926becb1d5aa914d"/>
                <w:id w:val="1355385399"/>
                <w:lock w:val="sdtLocked"/>
              </w:sdtPr>
              <w:sdtEndPr/>
              <w:sdtContent>
                <w:tc>
                  <w:tcPr>
                    <w:tcW w:w="714" w:type="pct"/>
                    <w:shd w:val="clear" w:color="auto" w:fill="auto"/>
                    <w:vAlign w:val="center"/>
                  </w:tcPr>
                  <w:p w14:paraId="69A566B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-5,132,284.38</w:t>
                    </w:r>
                  </w:p>
                </w:tc>
              </w:sdtContent>
            </w:sdt>
          </w:tr>
          <w:tr w:rsidR="00D21C1F" w14:paraId="013B78DE" w14:textId="77777777" w:rsidTr="00225ADE">
            <w:sdt>
              <w:sdtPr>
                <w:tag w:val="_PLD_dfb162daa7694866a1c4e80fabb81d52"/>
                <w:id w:val="1782370158"/>
                <w:lock w:val="sdtLocked"/>
              </w:sdtPr>
              <w:sdtEndPr/>
              <w:sdtContent>
                <w:tc>
                  <w:tcPr>
                    <w:tcW w:w="714" w:type="pct"/>
                    <w:shd w:val="clear" w:color="auto" w:fill="auto"/>
                  </w:tcPr>
                  <w:p w14:paraId="7F852ACA" w14:textId="77777777" w:rsidR="00D21C1F" w:rsidRDefault="00A42880">
                    <w:pPr>
                      <w:ind w:firstLineChars="250" w:firstLine="525"/>
                    </w:pPr>
                    <w:r>
                      <w:rPr>
                        <w:rFonts w:ascii="Times New Roman" w:hAnsi="Times New Roman" w:hint="eastAsia"/>
                      </w:rPr>
                      <w:t>3</w:t>
                    </w:r>
                    <w:r>
                      <w:rPr>
                        <w:rFonts w:hint="eastAsia"/>
                      </w:rPr>
                      <w:t>.本期减少金额</w:t>
                    </w:r>
                  </w:p>
                </w:tc>
              </w:sdtContent>
            </w:sdt>
            <w:tc>
              <w:tcPr>
                <w:tcW w:w="714" w:type="pct"/>
                <w:shd w:val="clear" w:color="auto" w:fill="auto"/>
                <w:vAlign w:val="center"/>
              </w:tcPr>
              <w:p w14:paraId="32C78F6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129,795.42</w:t>
                </w:r>
              </w:p>
            </w:tc>
            <w:tc>
              <w:tcPr>
                <w:tcW w:w="714" w:type="pct"/>
                <w:shd w:val="clear" w:color="auto" w:fill="auto"/>
                <w:vAlign w:val="center"/>
              </w:tcPr>
              <w:p w14:paraId="2CD449C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2,427,078.75</w:t>
                </w:r>
              </w:p>
            </w:tc>
            <w:tc>
              <w:tcPr>
                <w:tcW w:w="714" w:type="pct"/>
                <w:shd w:val="clear" w:color="auto" w:fill="auto"/>
                <w:vAlign w:val="center"/>
              </w:tcPr>
              <w:p w14:paraId="671FA42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2,217,224.27</w:t>
                </w:r>
              </w:p>
            </w:tc>
            <w:tc>
              <w:tcPr>
                <w:tcW w:w="714" w:type="pct"/>
                <w:shd w:val="clear" w:color="auto" w:fill="auto"/>
                <w:vAlign w:val="center"/>
              </w:tcPr>
              <w:p w14:paraId="43E9108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3,051,701.42</w:t>
                </w:r>
              </w:p>
            </w:tc>
            <w:tc>
              <w:tcPr>
                <w:tcW w:w="714" w:type="pct"/>
                <w:shd w:val="clear" w:color="auto" w:fill="auto"/>
                <w:vAlign w:val="center"/>
              </w:tcPr>
              <w:p w14:paraId="5F2B28B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15C6A88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7,825,799.86</w:t>
                </w:r>
              </w:p>
            </w:tc>
          </w:tr>
          <w:tr w:rsidR="00D21C1F" w14:paraId="488EB342" w14:textId="77777777" w:rsidTr="00225ADE">
            <w:sdt>
              <w:sdtPr>
                <w:tag w:val="_PLD_fee37578c2514ed28988969e830aeae7"/>
                <w:id w:val="368955670"/>
                <w:lock w:val="sdtLocked"/>
              </w:sdtPr>
              <w:sdtEndPr/>
              <w:sdtContent>
                <w:tc>
                  <w:tcPr>
                    <w:tcW w:w="714" w:type="pct"/>
                    <w:shd w:val="clear" w:color="auto" w:fill="auto"/>
                  </w:tcPr>
                  <w:p w14:paraId="619896DE" w14:textId="77777777" w:rsidR="00D21C1F" w:rsidRDefault="00A42880">
                    <w:pPr>
                      <w:ind w:firstLineChars="300" w:firstLine="630"/>
                    </w:pPr>
                    <w:r>
                      <w:rPr>
                        <w:rFonts w:hint="eastAsia"/>
                      </w:rPr>
                      <w:t>（</w:t>
                    </w:r>
                    <w:r>
                      <w:rPr>
                        <w:rFonts w:ascii="Times New Roman" w:hAnsi="Times New Roman" w:hint="eastAsia"/>
                      </w:rPr>
                      <w:t>1</w:t>
                    </w:r>
                    <w:r>
                      <w:rPr>
                        <w:rFonts w:hint="eastAsia"/>
                      </w:rPr>
                      <w:t>）处置或报废</w:t>
                    </w:r>
                  </w:p>
                </w:tc>
              </w:sdtContent>
            </w:sdt>
            <w:tc>
              <w:tcPr>
                <w:tcW w:w="714" w:type="pct"/>
                <w:shd w:val="clear" w:color="auto" w:fill="auto"/>
                <w:vAlign w:val="center"/>
              </w:tcPr>
              <w:p w14:paraId="35E0A1A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129,795.42</w:t>
                </w:r>
              </w:p>
            </w:tc>
            <w:tc>
              <w:tcPr>
                <w:tcW w:w="714" w:type="pct"/>
                <w:shd w:val="clear" w:color="auto" w:fill="auto"/>
                <w:vAlign w:val="center"/>
              </w:tcPr>
              <w:p w14:paraId="05A69BA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2,427,078.75</w:t>
                </w:r>
              </w:p>
            </w:tc>
            <w:tc>
              <w:tcPr>
                <w:tcW w:w="714" w:type="pct"/>
                <w:shd w:val="clear" w:color="auto" w:fill="auto"/>
                <w:vAlign w:val="center"/>
              </w:tcPr>
              <w:p w14:paraId="63AD0AA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2,217,224.27</w:t>
                </w:r>
              </w:p>
            </w:tc>
            <w:tc>
              <w:tcPr>
                <w:tcW w:w="714" w:type="pct"/>
                <w:shd w:val="clear" w:color="auto" w:fill="auto"/>
                <w:vAlign w:val="center"/>
              </w:tcPr>
              <w:p w14:paraId="007FD94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3,051,701.42</w:t>
                </w:r>
              </w:p>
            </w:tc>
            <w:tc>
              <w:tcPr>
                <w:tcW w:w="714" w:type="pct"/>
                <w:shd w:val="clear" w:color="auto" w:fill="auto"/>
                <w:vAlign w:val="center"/>
              </w:tcPr>
              <w:p w14:paraId="43C0573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44DF60BB"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7,825,799.86</w:t>
                </w:r>
              </w:p>
            </w:tc>
          </w:tr>
          <w:tr w:rsidR="00D21C1F" w14:paraId="42DC87B6" w14:textId="77777777" w:rsidTr="00225ADE">
            <w:sdt>
              <w:sdtPr>
                <w:rPr>
                  <w:rFonts w:hint="eastAsia"/>
                </w:rPr>
                <w:alias w:val="固定资产账面原值减少项目名称"/>
                <w:tag w:val="_GBC_2f4e09d586974d5099e26de2e9f2268e"/>
                <w:id w:val="-1683822397"/>
                <w:lock w:val="sdtLocked"/>
                <w:showingPlcHdr/>
              </w:sdtPr>
              <w:sdtEndPr/>
              <w:sdtContent>
                <w:tc>
                  <w:tcPr>
                    <w:tcW w:w="714" w:type="pct"/>
                    <w:shd w:val="clear" w:color="auto" w:fill="auto"/>
                    <w:vAlign w:val="center"/>
                  </w:tcPr>
                  <w:p w14:paraId="257FD633" w14:textId="77777777" w:rsidR="00D21C1F" w:rsidRDefault="00A42880">
                    <w:pPr>
                      <w:ind w:firstLineChars="300" w:firstLine="630"/>
                    </w:pPr>
                    <w:r>
                      <w:t xml:space="preserve">     </w:t>
                    </w:r>
                  </w:p>
                </w:tc>
              </w:sdtContent>
            </w:sdt>
            <w:sdt>
              <w:sdtPr>
                <w:rPr>
                  <w:rFonts w:ascii="Times New Roman" w:hAnsi="Times New Roman" w:cs="Times New Roman"/>
                </w:rPr>
                <w:alias w:val="固定资产账面原值减少项目金额"/>
                <w:tag w:val="_GBC_86b298d954344511b012e84c48d4404f"/>
                <w:id w:val="-337007878"/>
                <w:lock w:val="sdtLocked"/>
                <w:showingPlcHdr/>
              </w:sdtPr>
              <w:sdtEndPr/>
              <w:sdtContent>
                <w:tc>
                  <w:tcPr>
                    <w:tcW w:w="714" w:type="pct"/>
                    <w:shd w:val="clear" w:color="auto" w:fill="auto"/>
                    <w:vAlign w:val="center"/>
                  </w:tcPr>
                  <w:p w14:paraId="34493998"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账面原值减少项目金额"/>
                <w:tag w:val="_GBC_86b298d954344511b012e84c48d4404f"/>
                <w:id w:val="-1446689130"/>
                <w:lock w:val="sdtLocked"/>
                <w:showingPlcHdr/>
              </w:sdtPr>
              <w:sdtEndPr/>
              <w:sdtContent>
                <w:tc>
                  <w:tcPr>
                    <w:tcW w:w="714" w:type="pct"/>
                    <w:shd w:val="clear" w:color="auto" w:fill="auto"/>
                    <w:vAlign w:val="center"/>
                  </w:tcPr>
                  <w:p w14:paraId="7833589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账面原值减少项目金额"/>
                <w:tag w:val="_GBC_86b298d954344511b012e84c48d4404f"/>
                <w:id w:val="770903657"/>
                <w:lock w:val="sdtLocked"/>
                <w:showingPlcHdr/>
              </w:sdtPr>
              <w:sdtEndPr/>
              <w:sdtContent>
                <w:tc>
                  <w:tcPr>
                    <w:tcW w:w="714" w:type="pct"/>
                    <w:shd w:val="clear" w:color="auto" w:fill="auto"/>
                    <w:vAlign w:val="center"/>
                  </w:tcPr>
                  <w:p w14:paraId="64DB0AB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账面原值减少项目金额"/>
                <w:tag w:val="_GBC_86b298d954344511b012e84c48d4404f"/>
                <w:id w:val="712317594"/>
                <w:lock w:val="sdtLocked"/>
                <w:showingPlcHdr/>
              </w:sdtPr>
              <w:sdtEndPr/>
              <w:sdtContent>
                <w:tc>
                  <w:tcPr>
                    <w:tcW w:w="714" w:type="pct"/>
                    <w:shd w:val="clear" w:color="auto" w:fill="auto"/>
                    <w:vAlign w:val="center"/>
                  </w:tcPr>
                  <w:p w14:paraId="423741EF"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账面原值减少项目金额"/>
                <w:tag w:val="_GBC_86b298d954344511b012e84c48d4404f"/>
                <w:id w:val="1233507452"/>
                <w:lock w:val="sdtLocked"/>
                <w:showingPlcHdr/>
              </w:sdtPr>
              <w:sdtEndPr/>
              <w:sdtContent>
                <w:tc>
                  <w:tcPr>
                    <w:tcW w:w="714" w:type="pct"/>
                    <w:shd w:val="clear" w:color="auto" w:fill="auto"/>
                    <w:vAlign w:val="center"/>
                  </w:tcPr>
                  <w:p w14:paraId="5CE948C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账面原值减少项目合计金额"/>
                <w:tag w:val="_GBC_b75b8542395b4972ad2d3a1ea5c4c1d9"/>
                <w:id w:val="-216743960"/>
                <w:lock w:val="sdtLocked"/>
                <w:showingPlcHdr/>
              </w:sdtPr>
              <w:sdtEndPr/>
              <w:sdtContent>
                <w:tc>
                  <w:tcPr>
                    <w:tcW w:w="714" w:type="pct"/>
                    <w:shd w:val="clear" w:color="auto" w:fill="auto"/>
                    <w:vAlign w:val="center"/>
                  </w:tcPr>
                  <w:p w14:paraId="7C9A347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tr>
          <w:tr w:rsidR="00D21C1F" w14:paraId="4CEDFBE5" w14:textId="77777777" w:rsidTr="00225ADE">
            <w:sdt>
              <w:sdtPr>
                <w:rPr>
                  <w:rFonts w:hint="eastAsia"/>
                </w:rPr>
                <w:alias w:val="固定资产账面原值减少项目名称"/>
                <w:tag w:val="_GBC_2f4e09d586974d5099e26de2e9f2268e"/>
                <w:id w:val="-2096233034"/>
                <w:lock w:val="sdtLocked"/>
                <w:showingPlcHdr/>
              </w:sdtPr>
              <w:sdtEndPr/>
              <w:sdtContent>
                <w:tc>
                  <w:tcPr>
                    <w:tcW w:w="714" w:type="pct"/>
                    <w:shd w:val="clear" w:color="auto" w:fill="auto"/>
                    <w:vAlign w:val="center"/>
                  </w:tcPr>
                  <w:p w14:paraId="214F24F7" w14:textId="77777777" w:rsidR="00D21C1F" w:rsidRDefault="00A42880">
                    <w:pPr>
                      <w:ind w:firstLineChars="300" w:firstLine="630"/>
                    </w:pPr>
                    <w:r>
                      <w:t xml:space="preserve">     </w:t>
                    </w:r>
                  </w:p>
                </w:tc>
              </w:sdtContent>
            </w:sdt>
            <w:sdt>
              <w:sdtPr>
                <w:rPr>
                  <w:rFonts w:ascii="Times New Roman" w:hAnsi="Times New Roman" w:cs="Times New Roman"/>
                </w:rPr>
                <w:alias w:val="固定资产账面原值减少项目金额"/>
                <w:tag w:val="_GBC_86b298d954344511b012e84c48d4404f"/>
                <w:id w:val="1494143160"/>
                <w:lock w:val="sdtLocked"/>
                <w:showingPlcHdr/>
              </w:sdtPr>
              <w:sdtEndPr/>
              <w:sdtContent>
                <w:tc>
                  <w:tcPr>
                    <w:tcW w:w="714" w:type="pct"/>
                    <w:shd w:val="clear" w:color="auto" w:fill="auto"/>
                    <w:vAlign w:val="center"/>
                  </w:tcPr>
                  <w:p w14:paraId="7449D50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账面原值减少项目金额"/>
                <w:tag w:val="_GBC_86b298d954344511b012e84c48d4404f"/>
                <w:id w:val="2107763717"/>
                <w:lock w:val="sdtLocked"/>
                <w:showingPlcHdr/>
              </w:sdtPr>
              <w:sdtEndPr/>
              <w:sdtContent>
                <w:tc>
                  <w:tcPr>
                    <w:tcW w:w="714" w:type="pct"/>
                    <w:shd w:val="clear" w:color="auto" w:fill="auto"/>
                    <w:vAlign w:val="center"/>
                  </w:tcPr>
                  <w:p w14:paraId="4F7E10FC"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账面原值减少项目金额"/>
                <w:tag w:val="_GBC_86b298d954344511b012e84c48d4404f"/>
                <w:id w:val="-245117250"/>
                <w:lock w:val="sdtLocked"/>
                <w:showingPlcHdr/>
              </w:sdtPr>
              <w:sdtEndPr/>
              <w:sdtContent>
                <w:tc>
                  <w:tcPr>
                    <w:tcW w:w="714" w:type="pct"/>
                    <w:shd w:val="clear" w:color="auto" w:fill="auto"/>
                    <w:vAlign w:val="center"/>
                  </w:tcPr>
                  <w:p w14:paraId="325E6A3D"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账面原值减少项目金额"/>
                <w:tag w:val="_GBC_86b298d954344511b012e84c48d4404f"/>
                <w:id w:val="-1039042307"/>
                <w:lock w:val="sdtLocked"/>
                <w:showingPlcHdr/>
              </w:sdtPr>
              <w:sdtEndPr/>
              <w:sdtContent>
                <w:tc>
                  <w:tcPr>
                    <w:tcW w:w="714" w:type="pct"/>
                    <w:shd w:val="clear" w:color="auto" w:fill="auto"/>
                    <w:vAlign w:val="center"/>
                  </w:tcPr>
                  <w:p w14:paraId="6B1E8611"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账面原值减少项目金额"/>
                <w:tag w:val="_GBC_86b298d954344511b012e84c48d4404f"/>
                <w:id w:val="-408928692"/>
                <w:lock w:val="sdtLocked"/>
                <w:showingPlcHdr/>
              </w:sdtPr>
              <w:sdtEndPr/>
              <w:sdtContent>
                <w:tc>
                  <w:tcPr>
                    <w:tcW w:w="714" w:type="pct"/>
                    <w:shd w:val="clear" w:color="auto" w:fill="auto"/>
                    <w:vAlign w:val="center"/>
                  </w:tcPr>
                  <w:p w14:paraId="0D0A2733"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账面原值减少项目合计金额"/>
                <w:tag w:val="_GBC_b75b8542395b4972ad2d3a1ea5c4c1d9"/>
                <w:id w:val="1169754889"/>
                <w:lock w:val="sdtLocked"/>
                <w:showingPlcHdr/>
              </w:sdtPr>
              <w:sdtEndPr/>
              <w:sdtContent>
                <w:tc>
                  <w:tcPr>
                    <w:tcW w:w="714" w:type="pct"/>
                    <w:shd w:val="clear" w:color="auto" w:fill="auto"/>
                    <w:vAlign w:val="center"/>
                  </w:tcPr>
                  <w:p w14:paraId="598E8E1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tr>
          <w:tr w:rsidR="00D21C1F" w14:paraId="5C5A1A86" w14:textId="77777777" w:rsidTr="00225ADE">
            <w:sdt>
              <w:sdtPr>
                <w:tag w:val="_PLD_249206a916954d19ba9495bb5be5eb90"/>
                <w:id w:val="-1853107108"/>
                <w:lock w:val="sdtLocked"/>
              </w:sdtPr>
              <w:sdtEndPr/>
              <w:sdtContent>
                <w:tc>
                  <w:tcPr>
                    <w:tcW w:w="714" w:type="pct"/>
                    <w:shd w:val="clear" w:color="auto" w:fill="auto"/>
                  </w:tcPr>
                  <w:p w14:paraId="60E55D7A" w14:textId="77777777" w:rsidR="00D21C1F" w:rsidRDefault="00A42880">
                    <w:pPr>
                      <w:ind w:firstLineChars="200" w:firstLine="420"/>
                    </w:pPr>
                    <w:r>
                      <w:rPr>
                        <w:rFonts w:ascii="Times New Roman" w:hAnsi="Times New Roman" w:hint="eastAsia"/>
                      </w:rPr>
                      <w:t>4</w:t>
                    </w:r>
                    <w:r>
                      <w:rPr>
                        <w:rFonts w:hint="eastAsia"/>
                      </w:rPr>
                      <w:t>.期末余额</w:t>
                    </w:r>
                  </w:p>
                </w:tc>
              </w:sdtContent>
            </w:sdt>
            <w:tc>
              <w:tcPr>
                <w:tcW w:w="714" w:type="pct"/>
                <w:shd w:val="clear" w:color="auto" w:fill="auto"/>
                <w:vAlign w:val="center"/>
              </w:tcPr>
              <w:p w14:paraId="5A3FF0A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197,475,430.28</w:t>
                </w:r>
              </w:p>
            </w:tc>
            <w:tc>
              <w:tcPr>
                <w:tcW w:w="714" w:type="pct"/>
                <w:shd w:val="clear" w:color="auto" w:fill="auto"/>
                <w:vAlign w:val="center"/>
              </w:tcPr>
              <w:p w14:paraId="61FF2C2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159,096,097.40</w:t>
                </w:r>
              </w:p>
            </w:tc>
            <w:tc>
              <w:tcPr>
                <w:tcW w:w="714" w:type="pct"/>
                <w:shd w:val="clear" w:color="auto" w:fill="auto"/>
                <w:vAlign w:val="center"/>
              </w:tcPr>
              <w:p w14:paraId="154CA716"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11,765,402.23</w:t>
                </w:r>
              </w:p>
            </w:tc>
            <w:tc>
              <w:tcPr>
                <w:tcW w:w="714" w:type="pct"/>
                <w:shd w:val="clear" w:color="auto" w:fill="auto"/>
                <w:vAlign w:val="center"/>
              </w:tcPr>
              <w:p w14:paraId="38B2BA3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36,573,568.48</w:t>
                </w:r>
              </w:p>
            </w:tc>
            <w:tc>
              <w:tcPr>
                <w:tcW w:w="714" w:type="pct"/>
                <w:shd w:val="clear" w:color="auto" w:fill="auto"/>
                <w:vAlign w:val="center"/>
              </w:tcPr>
              <w:p w14:paraId="3B9E341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37,971,910.04</w:t>
                </w:r>
              </w:p>
            </w:tc>
            <w:tc>
              <w:tcPr>
                <w:tcW w:w="714" w:type="pct"/>
                <w:shd w:val="clear" w:color="auto" w:fill="auto"/>
                <w:vAlign w:val="center"/>
              </w:tcPr>
              <w:p w14:paraId="3F41DA2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442,882,408.43</w:t>
                </w:r>
              </w:p>
            </w:tc>
          </w:tr>
          <w:tr w:rsidR="00D21C1F" w14:paraId="4E7E1352" w14:textId="77777777" w:rsidTr="00225ADE">
            <w:sdt>
              <w:sdtPr>
                <w:tag w:val="_PLD_3b9a984e6e834331844252acd1c6a321"/>
                <w:id w:val="653420982"/>
                <w:lock w:val="sdtLocked"/>
              </w:sdtPr>
              <w:sdtEndPr/>
              <w:sdtContent>
                <w:tc>
                  <w:tcPr>
                    <w:tcW w:w="714" w:type="pct"/>
                    <w:shd w:val="clear" w:color="auto" w:fill="auto"/>
                  </w:tcPr>
                  <w:p w14:paraId="07B86E29" w14:textId="77777777" w:rsidR="00D21C1F" w:rsidRDefault="00A42880">
                    <w:pPr>
                      <w:pStyle w:val="97"/>
                    </w:pPr>
                    <w:r>
                      <w:rPr>
                        <w:rFonts w:hint="eastAsia"/>
                      </w:rPr>
                      <w:t>二、累计折旧</w:t>
                    </w:r>
                  </w:p>
                </w:tc>
              </w:sdtContent>
            </w:sdt>
            <w:tc>
              <w:tcPr>
                <w:tcW w:w="714" w:type="pct"/>
                <w:shd w:val="clear" w:color="auto" w:fill="auto"/>
                <w:vAlign w:val="center"/>
              </w:tcPr>
              <w:p w14:paraId="4966C873"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0724CE67"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2A0F0B1A"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1E29BB70"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42088D1B"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5D1A2158" w14:textId="77777777" w:rsidR="00D21C1F" w:rsidRPr="00225ADE" w:rsidRDefault="00D21C1F" w:rsidP="00225ADE">
                <w:pPr>
                  <w:jc w:val="right"/>
                  <w:rPr>
                    <w:rFonts w:ascii="Times New Roman" w:hAnsi="Times New Roman" w:cs="Times New Roman"/>
                  </w:rPr>
                </w:pPr>
              </w:p>
            </w:tc>
          </w:tr>
          <w:tr w:rsidR="00D21C1F" w14:paraId="749C9CD8" w14:textId="77777777" w:rsidTr="00225ADE">
            <w:sdt>
              <w:sdtPr>
                <w:tag w:val="_PLD_f4ae2b083a314e62b85f562d3dbe5c24"/>
                <w:id w:val="-699463130"/>
                <w:lock w:val="sdtLocked"/>
              </w:sdtPr>
              <w:sdtEndPr/>
              <w:sdtContent>
                <w:tc>
                  <w:tcPr>
                    <w:tcW w:w="714" w:type="pct"/>
                    <w:shd w:val="clear" w:color="auto" w:fill="auto"/>
                  </w:tcPr>
                  <w:p w14:paraId="55B80F46" w14:textId="77777777" w:rsidR="00D21C1F" w:rsidRDefault="00A42880">
                    <w:pPr>
                      <w:ind w:firstLineChars="200" w:firstLine="420"/>
                    </w:pPr>
                    <w:r>
                      <w:rPr>
                        <w:rFonts w:ascii="Times New Roman" w:hAnsi="Times New Roman"/>
                      </w:rPr>
                      <w:t>1</w:t>
                    </w:r>
                    <w:r>
                      <w:t>.</w:t>
                    </w:r>
                    <w:r>
                      <w:rPr>
                        <w:rFonts w:hint="eastAsia"/>
                      </w:rPr>
                      <w:t>期初余额</w:t>
                    </w:r>
                  </w:p>
                </w:tc>
              </w:sdtContent>
            </w:sdt>
            <w:tc>
              <w:tcPr>
                <w:tcW w:w="714" w:type="pct"/>
                <w:shd w:val="clear" w:color="auto" w:fill="auto"/>
                <w:vAlign w:val="center"/>
              </w:tcPr>
              <w:p w14:paraId="112ECC2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30,695,147.46</w:t>
                </w:r>
              </w:p>
            </w:tc>
            <w:tc>
              <w:tcPr>
                <w:tcW w:w="714" w:type="pct"/>
                <w:shd w:val="clear" w:color="auto" w:fill="auto"/>
                <w:vAlign w:val="center"/>
              </w:tcPr>
              <w:p w14:paraId="4B5A678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95,979,582.93</w:t>
                </w:r>
              </w:p>
            </w:tc>
            <w:tc>
              <w:tcPr>
                <w:tcW w:w="714" w:type="pct"/>
                <w:shd w:val="clear" w:color="auto" w:fill="auto"/>
                <w:vAlign w:val="center"/>
              </w:tcPr>
              <w:p w14:paraId="6641A55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9,720,927.93</w:t>
                </w:r>
              </w:p>
            </w:tc>
            <w:tc>
              <w:tcPr>
                <w:tcW w:w="714" w:type="pct"/>
                <w:shd w:val="clear" w:color="auto" w:fill="auto"/>
                <w:vAlign w:val="center"/>
              </w:tcPr>
              <w:p w14:paraId="7F6FEC0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25,879,121.23</w:t>
                </w:r>
              </w:p>
            </w:tc>
            <w:tc>
              <w:tcPr>
                <w:tcW w:w="714" w:type="pct"/>
                <w:shd w:val="clear" w:color="auto" w:fill="auto"/>
                <w:vAlign w:val="center"/>
              </w:tcPr>
              <w:p w14:paraId="03BE3C4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214,036.32</w:t>
                </w:r>
              </w:p>
            </w:tc>
            <w:tc>
              <w:tcPr>
                <w:tcW w:w="714" w:type="pct"/>
                <w:shd w:val="clear" w:color="auto" w:fill="auto"/>
                <w:vAlign w:val="center"/>
              </w:tcPr>
              <w:p w14:paraId="341A6B8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162,488,815.87</w:t>
                </w:r>
              </w:p>
            </w:tc>
          </w:tr>
          <w:tr w:rsidR="00D21C1F" w14:paraId="18909408" w14:textId="77777777" w:rsidTr="00225ADE">
            <w:sdt>
              <w:sdtPr>
                <w:tag w:val="_PLD_5f15b887e02c4ec6b52b0f15c4e97c9c"/>
                <w:id w:val="-1419252998"/>
                <w:lock w:val="sdtLocked"/>
              </w:sdtPr>
              <w:sdtEndPr/>
              <w:sdtContent>
                <w:tc>
                  <w:tcPr>
                    <w:tcW w:w="714" w:type="pct"/>
                    <w:shd w:val="clear" w:color="auto" w:fill="auto"/>
                  </w:tcPr>
                  <w:p w14:paraId="3739F325" w14:textId="77777777" w:rsidR="00D21C1F" w:rsidRDefault="00A42880">
                    <w:pPr>
                      <w:ind w:firstLineChars="200" w:firstLine="420"/>
                    </w:pPr>
                    <w:r>
                      <w:rPr>
                        <w:rFonts w:ascii="Times New Roman" w:hAnsi="Times New Roman"/>
                      </w:rPr>
                      <w:t>2</w:t>
                    </w:r>
                    <w:r>
                      <w:t>.</w:t>
                    </w:r>
                    <w:r>
                      <w:rPr>
                        <w:rFonts w:hint="eastAsia"/>
                      </w:rPr>
                      <w:t>本期增加金额</w:t>
                    </w:r>
                  </w:p>
                </w:tc>
              </w:sdtContent>
            </w:sdt>
            <w:tc>
              <w:tcPr>
                <w:tcW w:w="714" w:type="pct"/>
                <w:shd w:val="clear" w:color="auto" w:fill="auto"/>
                <w:vAlign w:val="center"/>
              </w:tcPr>
              <w:p w14:paraId="4531A2D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3,289,701.57</w:t>
                </w:r>
              </w:p>
            </w:tc>
            <w:tc>
              <w:tcPr>
                <w:tcW w:w="714" w:type="pct"/>
                <w:shd w:val="clear" w:color="auto" w:fill="auto"/>
                <w:vAlign w:val="center"/>
              </w:tcPr>
              <w:p w14:paraId="1C40E82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3,421,930.65</w:t>
                </w:r>
              </w:p>
            </w:tc>
            <w:tc>
              <w:tcPr>
                <w:tcW w:w="714" w:type="pct"/>
                <w:shd w:val="clear" w:color="auto" w:fill="auto"/>
                <w:vAlign w:val="center"/>
              </w:tcPr>
              <w:p w14:paraId="0115DB3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331,580.30</w:t>
                </w:r>
              </w:p>
            </w:tc>
            <w:tc>
              <w:tcPr>
                <w:tcW w:w="714" w:type="pct"/>
                <w:shd w:val="clear" w:color="auto" w:fill="auto"/>
                <w:vAlign w:val="center"/>
              </w:tcPr>
              <w:p w14:paraId="3E865F7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1,295,326.53</w:t>
                </w:r>
              </w:p>
            </w:tc>
            <w:tc>
              <w:tcPr>
                <w:tcW w:w="714" w:type="pct"/>
                <w:shd w:val="clear" w:color="auto" w:fill="auto"/>
                <w:vAlign w:val="center"/>
              </w:tcPr>
              <w:p w14:paraId="4408ECF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30,007.99</w:t>
                </w:r>
              </w:p>
            </w:tc>
            <w:tc>
              <w:tcPr>
                <w:tcW w:w="714" w:type="pct"/>
                <w:shd w:val="clear" w:color="auto" w:fill="auto"/>
                <w:vAlign w:val="center"/>
              </w:tcPr>
              <w:p w14:paraId="257870E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8,368,547.04</w:t>
                </w:r>
              </w:p>
            </w:tc>
          </w:tr>
          <w:tr w:rsidR="00D21C1F" w14:paraId="6E7BEC79" w14:textId="77777777" w:rsidTr="00225ADE">
            <w:sdt>
              <w:sdtPr>
                <w:tag w:val="_PLD_8957ada504474bfcb99282b7912be7e4"/>
                <w:id w:val="-661622883"/>
                <w:lock w:val="sdtLocked"/>
              </w:sdtPr>
              <w:sdtEndPr/>
              <w:sdtContent>
                <w:tc>
                  <w:tcPr>
                    <w:tcW w:w="714" w:type="pct"/>
                    <w:shd w:val="clear" w:color="auto" w:fill="auto"/>
                  </w:tcPr>
                  <w:p w14:paraId="7D8BB445" w14:textId="77777777" w:rsidR="00D21C1F" w:rsidRDefault="00A42880">
                    <w:pPr>
                      <w:ind w:firstLineChars="300" w:firstLine="630"/>
                    </w:pPr>
                    <w:r>
                      <w:rPr>
                        <w:rFonts w:hint="eastAsia"/>
                      </w:rPr>
                      <w:t>（</w:t>
                    </w:r>
                    <w:r>
                      <w:rPr>
                        <w:rFonts w:ascii="Times New Roman" w:hAnsi="Times New Roman" w:hint="eastAsia"/>
                      </w:rPr>
                      <w:t>1</w:t>
                    </w:r>
                    <w:r>
                      <w:rPr>
                        <w:rFonts w:hint="eastAsia"/>
                      </w:rPr>
                      <w:t>）计提</w:t>
                    </w:r>
                  </w:p>
                </w:tc>
              </w:sdtContent>
            </w:sdt>
            <w:tc>
              <w:tcPr>
                <w:tcW w:w="714" w:type="pct"/>
                <w:shd w:val="clear" w:color="auto" w:fill="auto"/>
                <w:vAlign w:val="center"/>
              </w:tcPr>
              <w:p w14:paraId="738FB23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3,724,788.36</w:t>
                </w:r>
              </w:p>
            </w:tc>
            <w:tc>
              <w:tcPr>
                <w:tcW w:w="714" w:type="pct"/>
                <w:shd w:val="clear" w:color="auto" w:fill="auto"/>
                <w:vAlign w:val="center"/>
              </w:tcPr>
              <w:p w14:paraId="6AB4478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4,307,885.53</w:t>
                </w:r>
              </w:p>
            </w:tc>
            <w:tc>
              <w:tcPr>
                <w:tcW w:w="714" w:type="pct"/>
                <w:shd w:val="clear" w:color="auto" w:fill="auto"/>
                <w:vAlign w:val="center"/>
              </w:tcPr>
              <w:p w14:paraId="21293A1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604,805.08</w:t>
                </w:r>
              </w:p>
            </w:tc>
            <w:tc>
              <w:tcPr>
                <w:tcW w:w="714" w:type="pct"/>
                <w:shd w:val="clear" w:color="auto" w:fill="auto"/>
                <w:vAlign w:val="center"/>
              </w:tcPr>
              <w:p w14:paraId="45A6971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2,009,328.32</w:t>
                </w:r>
              </w:p>
            </w:tc>
            <w:tc>
              <w:tcPr>
                <w:tcW w:w="714" w:type="pct"/>
                <w:shd w:val="clear" w:color="auto" w:fill="auto"/>
                <w:vAlign w:val="center"/>
              </w:tcPr>
              <w:p w14:paraId="22FE33A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33,260.20</w:t>
                </w:r>
              </w:p>
            </w:tc>
            <w:tc>
              <w:tcPr>
                <w:tcW w:w="714" w:type="pct"/>
                <w:shd w:val="clear" w:color="auto" w:fill="auto"/>
                <w:vAlign w:val="center"/>
              </w:tcPr>
              <w:p w14:paraId="0D115F26"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10,680,067.49</w:t>
                </w:r>
              </w:p>
            </w:tc>
          </w:tr>
          <w:tr w:rsidR="00D21C1F" w14:paraId="39785EB2" w14:textId="77777777" w:rsidTr="00225ADE">
            <w:sdt>
              <w:sdtPr>
                <w:rPr>
                  <w:rFonts w:hint="eastAsia"/>
                </w:rPr>
                <w:alias w:val="固定资产累计折旧增加项目名称"/>
                <w:tag w:val="_GBC_0965865fe56240ca9467fb856bda8c28"/>
                <w:id w:val="645777482"/>
                <w:lock w:val="sdtLocked"/>
              </w:sdtPr>
              <w:sdtEndPr/>
              <w:sdtContent>
                <w:tc>
                  <w:tcPr>
                    <w:tcW w:w="714" w:type="pct"/>
                    <w:shd w:val="clear" w:color="auto" w:fill="auto"/>
                  </w:tcPr>
                  <w:p w14:paraId="232BDC97" w14:textId="77777777" w:rsidR="00D21C1F" w:rsidRDefault="00A42880">
                    <w:pPr>
                      <w:ind w:firstLineChars="300" w:firstLine="630"/>
                    </w:pPr>
                    <w:r>
                      <w:rPr>
                        <w:rFonts w:hint="eastAsia"/>
                      </w:rPr>
                      <w:t>（</w:t>
                    </w:r>
                    <w:r>
                      <w:rPr>
                        <w:rFonts w:ascii="Times New Roman" w:hAnsi="Times New Roman"/>
                      </w:rPr>
                      <w:t>2</w:t>
                    </w:r>
                    <w:r>
                      <w:t>）</w:t>
                    </w:r>
                    <w:r>
                      <w:rPr>
                        <w:rFonts w:hint="eastAsia"/>
                      </w:rPr>
                      <w:t>汇率变动的影响</w:t>
                    </w:r>
                  </w:p>
                </w:tc>
              </w:sdtContent>
            </w:sdt>
            <w:sdt>
              <w:sdtPr>
                <w:rPr>
                  <w:rFonts w:ascii="Times New Roman" w:hAnsi="Times New Roman" w:cs="Times New Roman"/>
                </w:rPr>
                <w:alias w:val="固定资产累计折旧增加项目金额"/>
                <w:tag w:val="_GBC_4f471bfa60bb4fd284527a4bd35a106e"/>
                <w:id w:val="578180782"/>
                <w:lock w:val="sdtLocked"/>
              </w:sdtPr>
              <w:sdtEndPr/>
              <w:sdtContent>
                <w:tc>
                  <w:tcPr>
                    <w:tcW w:w="714" w:type="pct"/>
                    <w:shd w:val="clear" w:color="auto" w:fill="auto"/>
                    <w:vAlign w:val="center"/>
                  </w:tcPr>
                  <w:p w14:paraId="64BA3F6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-435,086.79</w:t>
                    </w:r>
                  </w:p>
                </w:tc>
              </w:sdtContent>
            </w:sdt>
            <w:sdt>
              <w:sdtPr>
                <w:rPr>
                  <w:rFonts w:ascii="Times New Roman" w:hAnsi="Times New Roman" w:cs="Times New Roman"/>
                </w:rPr>
                <w:alias w:val="固定资产累计折旧增加项目金额"/>
                <w:tag w:val="_GBC_4f471bfa60bb4fd284527a4bd35a106e"/>
                <w:id w:val="-1303080105"/>
                <w:lock w:val="sdtLocked"/>
              </w:sdtPr>
              <w:sdtEndPr/>
              <w:sdtContent>
                <w:tc>
                  <w:tcPr>
                    <w:tcW w:w="714" w:type="pct"/>
                    <w:shd w:val="clear" w:color="auto" w:fill="auto"/>
                    <w:vAlign w:val="center"/>
                  </w:tcPr>
                  <w:p w14:paraId="5820501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-885,954.88</w:t>
                    </w:r>
                  </w:p>
                </w:tc>
              </w:sdtContent>
            </w:sdt>
            <w:sdt>
              <w:sdtPr>
                <w:rPr>
                  <w:rFonts w:ascii="Times New Roman" w:hAnsi="Times New Roman" w:cs="Times New Roman"/>
                </w:rPr>
                <w:alias w:val="固定资产累计折旧增加项目金额"/>
                <w:tag w:val="_GBC_4f471bfa60bb4fd284527a4bd35a106e"/>
                <w:id w:val="-1000652085"/>
                <w:lock w:val="sdtLocked"/>
              </w:sdtPr>
              <w:sdtEndPr/>
              <w:sdtContent>
                <w:tc>
                  <w:tcPr>
                    <w:tcW w:w="714" w:type="pct"/>
                    <w:shd w:val="clear" w:color="auto" w:fill="auto"/>
                    <w:vAlign w:val="center"/>
                  </w:tcPr>
                  <w:p w14:paraId="6AADD9E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-273,224.78</w:t>
                    </w:r>
                  </w:p>
                </w:tc>
              </w:sdtContent>
            </w:sdt>
            <w:sdt>
              <w:sdtPr>
                <w:rPr>
                  <w:rFonts w:ascii="Times New Roman" w:hAnsi="Times New Roman" w:cs="Times New Roman"/>
                </w:rPr>
                <w:alias w:val="固定资产累计折旧增加项目金额"/>
                <w:tag w:val="_GBC_4f471bfa60bb4fd284527a4bd35a106e"/>
                <w:id w:val="-1353247932"/>
                <w:lock w:val="sdtLocked"/>
              </w:sdtPr>
              <w:sdtEndPr/>
              <w:sdtContent>
                <w:tc>
                  <w:tcPr>
                    <w:tcW w:w="714" w:type="pct"/>
                    <w:shd w:val="clear" w:color="auto" w:fill="auto"/>
                    <w:vAlign w:val="center"/>
                  </w:tcPr>
                  <w:p w14:paraId="2A8E22D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-714,001.79</w:t>
                    </w:r>
                  </w:p>
                </w:tc>
              </w:sdtContent>
            </w:sdt>
            <w:sdt>
              <w:sdtPr>
                <w:rPr>
                  <w:rFonts w:ascii="Times New Roman" w:hAnsi="Times New Roman" w:cs="Times New Roman"/>
                </w:rPr>
                <w:alias w:val="固定资产累计折旧增加项目金额"/>
                <w:tag w:val="_GBC_4f471bfa60bb4fd284527a4bd35a106e"/>
                <w:id w:val="1372651368"/>
                <w:lock w:val="sdtLocked"/>
              </w:sdtPr>
              <w:sdtEndPr/>
              <w:sdtContent>
                <w:tc>
                  <w:tcPr>
                    <w:tcW w:w="714" w:type="pct"/>
                    <w:shd w:val="clear" w:color="auto" w:fill="auto"/>
                    <w:vAlign w:val="center"/>
                  </w:tcPr>
                  <w:p w14:paraId="29DAEEAB"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-3,252.21</w:t>
                    </w:r>
                  </w:p>
                </w:tc>
              </w:sdtContent>
            </w:sdt>
            <w:sdt>
              <w:sdtPr>
                <w:rPr>
                  <w:rFonts w:ascii="Times New Roman" w:hAnsi="Times New Roman" w:cs="Times New Roman"/>
                </w:rPr>
                <w:alias w:val="固定资产累计折旧增加项目合计金额"/>
                <w:tag w:val="_GBC_de0f633422eb40198165dd44928b321c"/>
                <w:id w:val="-1687199481"/>
                <w:lock w:val="sdtLocked"/>
              </w:sdtPr>
              <w:sdtEndPr/>
              <w:sdtContent>
                <w:tc>
                  <w:tcPr>
                    <w:tcW w:w="714" w:type="pct"/>
                    <w:shd w:val="clear" w:color="auto" w:fill="auto"/>
                    <w:vAlign w:val="center"/>
                  </w:tcPr>
                  <w:p w14:paraId="4F02CCD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-2,311,520.45</w:t>
                    </w:r>
                  </w:p>
                </w:tc>
              </w:sdtContent>
            </w:sdt>
          </w:tr>
          <w:tr w:rsidR="00D21C1F" w14:paraId="6AB08382" w14:textId="77777777" w:rsidTr="00225ADE">
            <w:sdt>
              <w:sdtPr>
                <w:rPr>
                  <w:rFonts w:hint="eastAsia"/>
                </w:rPr>
                <w:alias w:val="固定资产累计折旧增加项目名称"/>
                <w:tag w:val="_GBC_0965865fe56240ca9467fb856bda8c28"/>
                <w:id w:val="-1408144304"/>
                <w:lock w:val="sdtLocked"/>
                <w:showingPlcHdr/>
              </w:sdtPr>
              <w:sdtEndPr/>
              <w:sdtContent>
                <w:tc>
                  <w:tcPr>
                    <w:tcW w:w="714" w:type="pct"/>
                    <w:shd w:val="clear" w:color="auto" w:fill="auto"/>
                  </w:tcPr>
                  <w:p w14:paraId="59D5944D" w14:textId="77777777" w:rsidR="00D21C1F" w:rsidRDefault="00A42880">
                    <w:pPr>
                      <w:ind w:firstLineChars="300" w:firstLine="630"/>
                    </w:pPr>
                    <w:r>
                      <w:t xml:space="preserve">     </w:t>
                    </w:r>
                  </w:p>
                </w:tc>
              </w:sdtContent>
            </w:sdt>
            <w:sdt>
              <w:sdtPr>
                <w:rPr>
                  <w:rFonts w:ascii="Times New Roman" w:hAnsi="Times New Roman" w:cs="Times New Roman"/>
                </w:rPr>
                <w:alias w:val="固定资产累计折旧增加项目金额"/>
                <w:tag w:val="_GBC_4f471bfa60bb4fd284527a4bd35a106e"/>
                <w:id w:val="-1859884932"/>
                <w:lock w:val="sdtLocked"/>
                <w:showingPlcHdr/>
              </w:sdtPr>
              <w:sdtEndPr/>
              <w:sdtContent>
                <w:tc>
                  <w:tcPr>
                    <w:tcW w:w="714" w:type="pct"/>
                    <w:shd w:val="clear" w:color="auto" w:fill="auto"/>
                    <w:vAlign w:val="center"/>
                  </w:tcPr>
                  <w:p w14:paraId="71A72C4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累计折旧增加项目金额"/>
                <w:tag w:val="_GBC_4f471bfa60bb4fd284527a4bd35a106e"/>
                <w:id w:val="-979994067"/>
                <w:lock w:val="sdtLocked"/>
                <w:showingPlcHdr/>
              </w:sdtPr>
              <w:sdtEndPr/>
              <w:sdtContent>
                <w:tc>
                  <w:tcPr>
                    <w:tcW w:w="714" w:type="pct"/>
                    <w:shd w:val="clear" w:color="auto" w:fill="auto"/>
                    <w:vAlign w:val="center"/>
                  </w:tcPr>
                  <w:p w14:paraId="355BA07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累计折旧增加项目金额"/>
                <w:tag w:val="_GBC_4f471bfa60bb4fd284527a4bd35a106e"/>
                <w:id w:val="2069066782"/>
                <w:lock w:val="sdtLocked"/>
                <w:showingPlcHdr/>
              </w:sdtPr>
              <w:sdtEndPr/>
              <w:sdtContent>
                <w:tc>
                  <w:tcPr>
                    <w:tcW w:w="714" w:type="pct"/>
                    <w:shd w:val="clear" w:color="auto" w:fill="auto"/>
                    <w:vAlign w:val="center"/>
                  </w:tcPr>
                  <w:p w14:paraId="172830C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累计折旧增加项目金额"/>
                <w:tag w:val="_GBC_4f471bfa60bb4fd284527a4bd35a106e"/>
                <w:id w:val="-1504232"/>
                <w:lock w:val="sdtLocked"/>
                <w:showingPlcHdr/>
              </w:sdtPr>
              <w:sdtEndPr/>
              <w:sdtContent>
                <w:tc>
                  <w:tcPr>
                    <w:tcW w:w="714" w:type="pct"/>
                    <w:shd w:val="clear" w:color="auto" w:fill="auto"/>
                    <w:vAlign w:val="center"/>
                  </w:tcPr>
                  <w:p w14:paraId="7BE40E91"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累计折旧增加项目金额"/>
                <w:tag w:val="_GBC_4f471bfa60bb4fd284527a4bd35a106e"/>
                <w:id w:val="770822193"/>
                <w:lock w:val="sdtLocked"/>
                <w:showingPlcHdr/>
              </w:sdtPr>
              <w:sdtEndPr/>
              <w:sdtContent>
                <w:tc>
                  <w:tcPr>
                    <w:tcW w:w="714" w:type="pct"/>
                    <w:shd w:val="clear" w:color="auto" w:fill="auto"/>
                    <w:vAlign w:val="center"/>
                  </w:tcPr>
                  <w:p w14:paraId="770FCD6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累计折旧增加项目合计金额"/>
                <w:tag w:val="_GBC_de0f633422eb40198165dd44928b321c"/>
                <w:id w:val="1503387559"/>
                <w:lock w:val="sdtLocked"/>
                <w:showingPlcHdr/>
              </w:sdtPr>
              <w:sdtEndPr/>
              <w:sdtContent>
                <w:tc>
                  <w:tcPr>
                    <w:tcW w:w="714" w:type="pct"/>
                    <w:shd w:val="clear" w:color="auto" w:fill="auto"/>
                    <w:vAlign w:val="center"/>
                  </w:tcPr>
                  <w:p w14:paraId="3448DF6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tr>
          <w:tr w:rsidR="00D21C1F" w14:paraId="42FC3E1D" w14:textId="77777777" w:rsidTr="00225ADE">
            <w:sdt>
              <w:sdtPr>
                <w:rPr>
                  <w:rFonts w:hint="eastAsia"/>
                </w:rPr>
                <w:alias w:val="固定资产累计折旧增加项目名称"/>
                <w:tag w:val="_GBC_0965865fe56240ca9467fb856bda8c28"/>
                <w:id w:val="1991825290"/>
                <w:lock w:val="sdtLocked"/>
                <w:showingPlcHdr/>
              </w:sdtPr>
              <w:sdtEndPr/>
              <w:sdtContent>
                <w:tc>
                  <w:tcPr>
                    <w:tcW w:w="714" w:type="pct"/>
                    <w:shd w:val="clear" w:color="auto" w:fill="auto"/>
                  </w:tcPr>
                  <w:p w14:paraId="10B1F86F" w14:textId="77777777" w:rsidR="00D21C1F" w:rsidRDefault="00A42880">
                    <w:pPr>
                      <w:ind w:firstLineChars="300" w:firstLine="630"/>
                    </w:pPr>
                    <w:r>
                      <w:t xml:space="preserve">     </w:t>
                    </w:r>
                  </w:p>
                </w:tc>
              </w:sdtContent>
            </w:sdt>
            <w:sdt>
              <w:sdtPr>
                <w:rPr>
                  <w:rFonts w:ascii="Times New Roman" w:hAnsi="Times New Roman" w:cs="Times New Roman"/>
                </w:rPr>
                <w:alias w:val="固定资产累计折旧增加项目金额"/>
                <w:tag w:val="_GBC_4f471bfa60bb4fd284527a4bd35a106e"/>
                <w:id w:val="929239872"/>
                <w:lock w:val="sdtLocked"/>
                <w:showingPlcHdr/>
              </w:sdtPr>
              <w:sdtEndPr/>
              <w:sdtContent>
                <w:tc>
                  <w:tcPr>
                    <w:tcW w:w="714" w:type="pct"/>
                    <w:shd w:val="clear" w:color="auto" w:fill="auto"/>
                    <w:vAlign w:val="center"/>
                  </w:tcPr>
                  <w:p w14:paraId="1694648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sdt>
              <w:sdtPr>
                <w:rPr>
                  <w:rFonts w:ascii="Times New Roman" w:hAnsi="Times New Roman" w:cs="Times New Roman"/>
                </w:rPr>
                <w:alias w:val="固定资产累计折旧增加项目金额"/>
                <w:tag w:val="_GBC_4f471bfa60bb4fd284527a4bd35a106e"/>
                <w:id w:val="-789117535"/>
                <w:lock w:val="sdtLocked"/>
                <w:showingPlcHdr/>
              </w:sdtPr>
              <w:sdtEndPr/>
              <w:sdtContent>
                <w:tc>
                  <w:tcPr>
                    <w:tcW w:w="714" w:type="pct"/>
                    <w:shd w:val="clear" w:color="auto" w:fill="auto"/>
                    <w:vAlign w:val="center"/>
                  </w:tcPr>
                  <w:p w14:paraId="55E0B32E"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累计折旧增加项目金额"/>
                <w:tag w:val="_GBC_4f471bfa60bb4fd284527a4bd35a106e"/>
                <w:id w:val="1223942857"/>
                <w:lock w:val="sdtLocked"/>
                <w:showingPlcHdr/>
              </w:sdtPr>
              <w:sdtEndPr/>
              <w:sdtContent>
                <w:tc>
                  <w:tcPr>
                    <w:tcW w:w="714" w:type="pct"/>
                    <w:shd w:val="clear" w:color="auto" w:fill="auto"/>
                    <w:vAlign w:val="center"/>
                  </w:tcPr>
                  <w:p w14:paraId="2846D164"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累计折旧增加项目金额"/>
                <w:tag w:val="_GBC_4f471bfa60bb4fd284527a4bd35a106e"/>
                <w:id w:val="-1280255460"/>
                <w:lock w:val="sdtLocked"/>
                <w:showingPlcHdr/>
              </w:sdtPr>
              <w:sdtEndPr/>
              <w:sdtContent>
                <w:tc>
                  <w:tcPr>
                    <w:tcW w:w="714" w:type="pct"/>
                    <w:shd w:val="clear" w:color="auto" w:fill="auto"/>
                    <w:vAlign w:val="center"/>
                  </w:tcPr>
                  <w:p w14:paraId="3FDBAF76"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累计折旧增加项目金额"/>
                <w:tag w:val="_GBC_4f471bfa60bb4fd284527a4bd35a106e"/>
                <w:id w:val="-688063474"/>
                <w:lock w:val="sdtLocked"/>
                <w:showingPlcHdr/>
              </w:sdtPr>
              <w:sdtEndPr/>
              <w:sdtContent>
                <w:tc>
                  <w:tcPr>
                    <w:tcW w:w="714" w:type="pct"/>
                    <w:shd w:val="clear" w:color="auto" w:fill="auto"/>
                    <w:vAlign w:val="center"/>
                  </w:tcPr>
                  <w:p w14:paraId="69E71C4E" w14:textId="77777777" w:rsidR="00D21C1F" w:rsidRPr="00225ADE" w:rsidRDefault="00D21C1F" w:rsidP="00225ADE">
                    <w:pPr>
                      <w:jc w:val="right"/>
                      <w:rPr>
                        <w:rFonts w:ascii="Times New Roman" w:hAnsi="Times New Roman" w:cs="Times New Roman"/>
                      </w:rPr>
                    </w:pPr>
                  </w:p>
                </w:tc>
              </w:sdtContent>
            </w:sdt>
            <w:sdt>
              <w:sdtPr>
                <w:rPr>
                  <w:rFonts w:ascii="Times New Roman" w:hAnsi="Times New Roman" w:cs="Times New Roman"/>
                </w:rPr>
                <w:alias w:val="固定资产累计折旧增加项目合计金额"/>
                <w:tag w:val="_GBC_de0f633422eb40198165dd44928b321c"/>
                <w:id w:val="334049230"/>
                <w:lock w:val="sdtLocked"/>
                <w:showingPlcHdr/>
              </w:sdtPr>
              <w:sdtEndPr/>
              <w:sdtContent>
                <w:tc>
                  <w:tcPr>
                    <w:tcW w:w="714" w:type="pct"/>
                    <w:shd w:val="clear" w:color="auto" w:fill="auto"/>
                    <w:vAlign w:val="center"/>
                  </w:tcPr>
                  <w:p w14:paraId="6235BF6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 xml:space="preserve">     </w:t>
                    </w:r>
                  </w:p>
                </w:tc>
              </w:sdtContent>
            </w:sdt>
          </w:tr>
          <w:tr w:rsidR="00D21C1F" w14:paraId="3BCD3F20" w14:textId="77777777" w:rsidTr="00225ADE">
            <w:sdt>
              <w:sdtPr>
                <w:tag w:val="_PLD_ec9558ad6e194439bc7519617b9fda17"/>
                <w:id w:val="828408207"/>
                <w:lock w:val="sdtLocked"/>
              </w:sdtPr>
              <w:sdtEndPr/>
              <w:sdtContent>
                <w:tc>
                  <w:tcPr>
                    <w:tcW w:w="714" w:type="pct"/>
                    <w:shd w:val="clear" w:color="auto" w:fill="auto"/>
                  </w:tcPr>
                  <w:p w14:paraId="61E7AFC1" w14:textId="77777777" w:rsidR="00D21C1F" w:rsidRDefault="00A42880">
                    <w:pPr>
                      <w:ind w:firstLineChars="200" w:firstLine="420"/>
                    </w:pPr>
                    <w:r>
                      <w:rPr>
                        <w:rFonts w:ascii="Times New Roman" w:hAnsi="Times New Roman" w:hint="eastAsia"/>
                      </w:rPr>
                      <w:t>3</w:t>
                    </w:r>
                    <w:r>
                      <w:rPr>
                        <w:rFonts w:hint="eastAsia"/>
                      </w:rPr>
                      <w:t>.本期减少金额</w:t>
                    </w:r>
                  </w:p>
                </w:tc>
              </w:sdtContent>
            </w:sdt>
            <w:tc>
              <w:tcPr>
                <w:tcW w:w="714" w:type="pct"/>
                <w:shd w:val="clear" w:color="auto" w:fill="auto"/>
                <w:vAlign w:val="center"/>
              </w:tcPr>
              <w:p w14:paraId="104E7B6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-3,908.90</w:t>
                </w:r>
              </w:p>
            </w:tc>
            <w:tc>
              <w:tcPr>
                <w:tcW w:w="714" w:type="pct"/>
                <w:shd w:val="clear" w:color="auto" w:fill="auto"/>
                <w:vAlign w:val="center"/>
              </w:tcPr>
              <w:p w14:paraId="2DE19ED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1,128,254.24</w:t>
                </w:r>
              </w:p>
            </w:tc>
            <w:tc>
              <w:tcPr>
                <w:tcW w:w="714" w:type="pct"/>
                <w:shd w:val="clear" w:color="auto" w:fill="auto"/>
                <w:vAlign w:val="center"/>
              </w:tcPr>
              <w:p w14:paraId="4396CE28"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2,010,247.50</w:t>
                </w:r>
              </w:p>
            </w:tc>
            <w:tc>
              <w:tcPr>
                <w:tcW w:w="714" w:type="pct"/>
                <w:shd w:val="clear" w:color="auto" w:fill="auto"/>
                <w:vAlign w:val="center"/>
              </w:tcPr>
              <w:p w14:paraId="0B6FB5A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450,771.81</w:t>
                </w:r>
              </w:p>
            </w:tc>
            <w:tc>
              <w:tcPr>
                <w:tcW w:w="714" w:type="pct"/>
                <w:shd w:val="clear" w:color="auto" w:fill="auto"/>
                <w:vAlign w:val="center"/>
              </w:tcPr>
              <w:p w14:paraId="579817A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00CFB7D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3,585,364.65</w:t>
                </w:r>
              </w:p>
            </w:tc>
          </w:tr>
          <w:tr w:rsidR="00D21C1F" w14:paraId="5564E80B" w14:textId="77777777" w:rsidTr="00225ADE">
            <w:sdt>
              <w:sdtPr>
                <w:tag w:val="_PLD_5ee3d83bd53d480fa0f8ca39eef2375d"/>
                <w:id w:val="-1338298030"/>
                <w:lock w:val="sdtLocked"/>
              </w:sdtPr>
              <w:sdtEndPr/>
              <w:sdtContent>
                <w:tc>
                  <w:tcPr>
                    <w:tcW w:w="714" w:type="pct"/>
                    <w:shd w:val="clear" w:color="auto" w:fill="auto"/>
                  </w:tcPr>
                  <w:p w14:paraId="4BFB7E0D" w14:textId="77777777" w:rsidR="00D21C1F" w:rsidRDefault="00A42880">
                    <w:pPr>
                      <w:ind w:firstLineChars="300" w:firstLine="630"/>
                    </w:pPr>
                    <w:r>
                      <w:rPr>
                        <w:rFonts w:hint="eastAsia"/>
                      </w:rPr>
                      <w:t>（</w:t>
                    </w:r>
                    <w:r>
                      <w:rPr>
                        <w:rFonts w:ascii="Times New Roman" w:hAnsi="Times New Roman" w:hint="eastAsia"/>
                      </w:rPr>
                      <w:t>1</w:t>
                    </w:r>
                    <w:r>
                      <w:rPr>
                        <w:rFonts w:hint="eastAsia"/>
                      </w:rPr>
                      <w:t>）处置或报废</w:t>
                    </w:r>
                  </w:p>
                </w:tc>
              </w:sdtContent>
            </w:sdt>
            <w:tc>
              <w:tcPr>
                <w:tcW w:w="714" w:type="pct"/>
                <w:shd w:val="clear" w:color="auto" w:fill="auto"/>
                <w:vAlign w:val="center"/>
              </w:tcPr>
              <w:p w14:paraId="0A1F8C5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-3,908.90</w:t>
                </w:r>
              </w:p>
            </w:tc>
            <w:tc>
              <w:tcPr>
                <w:tcW w:w="714" w:type="pct"/>
                <w:shd w:val="clear" w:color="auto" w:fill="auto"/>
                <w:vAlign w:val="center"/>
              </w:tcPr>
              <w:p w14:paraId="7757DAB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1,128,254.24</w:t>
                </w:r>
              </w:p>
            </w:tc>
            <w:tc>
              <w:tcPr>
                <w:tcW w:w="714" w:type="pct"/>
                <w:shd w:val="clear" w:color="auto" w:fill="auto"/>
                <w:vAlign w:val="center"/>
              </w:tcPr>
              <w:p w14:paraId="006E9B0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2,010,247.50</w:t>
                </w:r>
              </w:p>
            </w:tc>
            <w:tc>
              <w:tcPr>
                <w:tcW w:w="714" w:type="pct"/>
                <w:shd w:val="clear" w:color="auto" w:fill="auto"/>
                <w:vAlign w:val="center"/>
              </w:tcPr>
              <w:p w14:paraId="2E3D97B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450,771.81</w:t>
                </w:r>
              </w:p>
            </w:tc>
            <w:tc>
              <w:tcPr>
                <w:tcW w:w="714" w:type="pct"/>
                <w:shd w:val="clear" w:color="auto" w:fill="auto"/>
                <w:vAlign w:val="center"/>
              </w:tcPr>
              <w:p w14:paraId="0BF2D26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7D7D925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3,585,364.65</w:t>
                </w:r>
              </w:p>
            </w:tc>
          </w:tr>
          <w:tr w:rsidR="00D21C1F" w14:paraId="6A53CF4D" w14:textId="77777777" w:rsidTr="00225ADE">
            <w:sdt>
              <w:sdtPr>
                <w:tag w:val="_PLD_6eaa2035e58e4e21885400a2e0bb3a60"/>
                <w:id w:val="-2071418456"/>
                <w:lock w:val="sdtLocked"/>
              </w:sdtPr>
              <w:sdtEndPr/>
              <w:sdtContent>
                <w:tc>
                  <w:tcPr>
                    <w:tcW w:w="714" w:type="pct"/>
                    <w:shd w:val="clear" w:color="auto" w:fill="auto"/>
                  </w:tcPr>
                  <w:p w14:paraId="1B26BF98" w14:textId="77777777" w:rsidR="00D21C1F" w:rsidRDefault="00A42880">
                    <w:pPr>
                      <w:ind w:firstLineChars="200" w:firstLine="420"/>
                    </w:pPr>
                    <w:r>
                      <w:rPr>
                        <w:rFonts w:ascii="Times New Roman" w:hAnsi="Times New Roman" w:hint="eastAsia"/>
                      </w:rPr>
                      <w:t>4</w:t>
                    </w:r>
                    <w:r>
                      <w:rPr>
                        <w:rFonts w:hint="eastAsia"/>
                      </w:rPr>
                      <w:t>.期末余额</w:t>
                    </w:r>
                  </w:p>
                </w:tc>
              </w:sdtContent>
            </w:sdt>
            <w:tc>
              <w:tcPr>
                <w:tcW w:w="714" w:type="pct"/>
                <w:shd w:val="clear" w:color="auto" w:fill="auto"/>
                <w:vAlign w:val="center"/>
              </w:tcPr>
              <w:p w14:paraId="3890FCA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33,988,757.93</w:t>
                </w:r>
              </w:p>
            </w:tc>
            <w:tc>
              <w:tcPr>
                <w:tcW w:w="714" w:type="pct"/>
                <w:shd w:val="clear" w:color="auto" w:fill="auto"/>
                <w:vAlign w:val="center"/>
              </w:tcPr>
              <w:p w14:paraId="2D38F1E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98,273,259.34</w:t>
                </w:r>
              </w:p>
            </w:tc>
            <w:tc>
              <w:tcPr>
                <w:tcW w:w="714" w:type="pct"/>
                <w:shd w:val="clear" w:color="auto" w:fill="auto"/>
                <w:vAlign w:val="center"/>
              </w:tcPr>
              <w:p w14:paraId="7CA5DC7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8,042,260.73</w:t>
                </w:r>
              </w:p>
            </w:tc>
            <w:tc>
              <w:tcPr>
                <w:tcW w:w="714" w:type="pct"/>
                <w:shd w:val="clear" w:color="auto" w:fill="auto"/>
                <w:vAlign w:val="center"/>
              </w:tcPr>
              <w:p w14:paraId="020803D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26,723,675.95</w:t>
                </w:r>
              </w:p>
            </w:tc>
            <w:tc>
              <w:tcPr>
                <w:tcW w:w="714" w:type="pct"/>
                <w:shd w:val="clear" w:color="auto" w:fill="auto"/>
                <w:vAlign w:val="center"/>
              </w:tcPr>
              <w:p w14:paraId="08875E7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244,044.31</w:t>
                </w:r>
              </w:p>
            </w:tc>
            <w:tc>
              <w:tcPr>
                <w:tcW w:w="714" w:type="pct"/>
                <w:shd w:val="clear" w:color="auto" w:fill="auto"/>
                <w:vAlign w:val="center"/>
              </w:tcPr>
              <w:p w14:paraId="4C40BB0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167,271,998.26</w:t>
                </w:r>
              </w:p>
            </w:tc>
          </w:tr>
          <w:tr w:rsidR="00D21C1F" w14:paraId="514A73DD" w14:textId="77777777" w:rsidTr="00225ADE">
            <w:sdt>
              <w:sdtPr>
                <w:tag w:val="_PLD_662c84047b6d41648e46d047cc9b134a"/>
                <w:id w:val="59603615"/>
                <w:lock w:val="sdtLocked"/>
              </w:sdtPr>
              <w:sdtEndPr/>
              <w:sdtContent>
                <w:tc>
                  <w:tcPr>
                    <w:tcW w:w="714" w:type="pct"/>
                    <w:shd w:val="clear" w:color="auto" w:fill="auto"/>
                  </w:tcPr>
                  <w:p w14:paraId="2C44B0BD" w14:textId="77777777" w:rsidR="00D21C1F" w:rsidRDefault="00A42880">
                    <w:pPr>
                      <w:pStyle w:val="97"/>
                    </w:pPr>
                    <w:r>
                      <w:rPr>
                        <w:rFonts w:hint="eastAsia"/>
                      </w:rPr>
                      <w:t>三、减值准备</w:t>
                    </w:r>
                  </w:p>
                </w:tc>
              </w:sdtContent>
            </w:sdt>
            <w:tc>
              <w:tcPr>
                <w:tcW w:w="714" w:type="pct"/>
                <w:shd w:val="clear" w:color="auto" w:fill="auto"/>
                <w:vAlign w:val="center"/>
              </w:tcPr>
              <w:p w14:paraId="623D0E7C"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5B61A45B"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4BEB13D2"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14643430"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6332C132"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2D2A7800" w14:textId="77777777" w:rsidR="00D21C1F" w:rsidRPr="00225ADE" w:rsidRDefault="00D21C1F" w:rsidP="00225ADE">
                <w:pPr>
                  <w:jc w:val="right"/>
                  <w:rPr>
                    <w:rFonts w:ascii="Times New Roman" w:hAnsi="Times New Roman" w:cs="Times New Roman"/>
                  </w:rPr>
                </w:pPr>
              </w:p>
            </w:tc>
          </w:tr>
          <w:tr w:rsidR="00D21C1F" w14:paraId="7ABB6B11" w14:textId="77777777" w:rsidTr="00225ADE">
            <w:sdt>
              <w:sdtPr>
                <w:tag w:val="_PLD_ca34fab5808d492588c9f9773f2bb656"/>
                <w:id w:val="2060978442"/>
                <w:lock w:val="sdtLocked"/>
              </w:sdtPr>
              <w:sdtEndPr/>
              <w:sdtContent>
                <w:tc>
                  <w:tcPr>
                    <w:tcW w:w="714" w:type="pct"/>
                    <w:shd w:val="clear" w:color="auto" w:fill="auto"/>
                  </w:tcPr>
                  <w:p w14:paraId="304BB349" w14:textId="77777777" w:rsidR="00D21C1F" w:rsidRDefault="00A42880">
                    <w:pPr>
                      <w:ind w:firstLineChars="200" w:firstLine="420"/>
                    </w:pPr>
                    <w:r>
                      <w:rPr>
                        <w:rFonts w:ascii="Times New Roman" w:hAnsi="Times New Roman"/>
                      </w:rPr>
                      <w:t>1</w:t>
                    </w:r>
                    <w:r>
                      <w:t>.</w:t>
                    </w:r>
                    <w:r>
                      <w:rPr>
                        <w:rFonts w:hint="eastAsia"/>
                      </w:rPr>
                      <w:t>期初余额</w:t>
                    </w:r>
                  </w:p>
                </w:tc>
              </w:sdtContent>
            </w:sdt>
            <w:tc>
              <w:tcPr>
                <w:tcW w:w="714" w:type="pct"/>
                <w:shd w:val="clear" w:color="auto" w:fill="auto"/>
                <w:vAlign w:val="center"/>
              </w:tcPr>
              <w:p w14:paraId="6329D4B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244,436.99</w:t>
                </w:r>
              </w:p>
            </w:tc>
            <w:tc>
              <w:tcPr>
                <w:tcW w:w="714" w:type="pct"/>
                <w:shd w:val="clear" w:color="auto" w:fill="auto"/>
                <w:vAlign w:val="center"/>
              </w:tcPr>
              <w:p w14:paraId="56D2E246"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7,488,937.26</w:t>
                </w:r>
              </w:p>
            </w:tc>
            <w:tc>
              <w:tcPr>
                <w:tcW w:w="714" w:type="pct"/>
                <w:shd w:val="clear" w:color="auto" w:fill="auto"/>
                <w:vAlign w:val="center"/>
              </w:tcPr>
              <w:p w14:paraId="733F772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64CC4B8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50,241.94</w:t>
                </w:r>
              </w:p>
            </w:tc>
            <w:tc>
              <w:tcPr>
                <w:tcW w:w="714" w:type="pct"/>
                <w:shd w:val="clear" w:color="auto" w:fill="auto"/>
                <w:vAlign w:val="center"/>
              </w:tcPr>
              <w:p w14:paraId="0C7A1A7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4356F9D6"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7,783,616.19</w:t>
                </w:r>
              </w:p>
            </w:tc>
          </w:tr>
          <w:tr w:rsidR="00D21C1F" w14:paraId="1206AC7F" w14:textId="77777777" w:rsidTr="00225ADE">
            <w:sdt>
              <w:sdtPr>
                <w:tag w:val="_PLD_558d8ea305db4595a0aa4db4612e68ec"/>
                <w:id w:val="385159771"/>
                <w:lock w:val="sdtLocked"/>
              </w:sdtPr>
              <w:sdtEndPr/>
              <w:sdtContent>
                <w:tc>
                  <w:tcPr>
                    <w:tcW w:w="714" w:type="pct"/>
                    <w:shd w:val="clear" w:color="auto" w:fill="auto"/>
                  </w:tcPr>
                  <w:p w14:paraId="030773B3" w14:textId="77777777" w:rsidR="00D21C1F" w:rsidRDefault="00A42880">
                    <w:pPr>
                      <w:ind w:firstLineChars="200" w:firstLine="420"/>
                    </w:pPr>
                    <w:r>
                      <w:rPr>
                        <w:rFonts w:ascii="Times New Roman" w:hAnsi="Times New Roman"/>
                      </w:rPr>
                      <w:t>2</w:t>
                    </w:r>
                    <w:r>
                      <w:t>.</w:t>
                    </w:r>
                    <w:r>
                      <w:rPr>
                        <w:rFonts w:hint="eastAsia"/>
                      </w:rPr>
                      <w:t>本期增加金额</w:t>
                    </w:r>
                  </w:p>
                </w:tc>
              </w:sdtContent>
            </w:sdt>
            <w:tc>
              <w:tcPr>
                <w:tcW w:w="714" w:type="pct"/>
                <w:shd w:val="clear" w:color="auto" w:fill="auto"/>
                <w:vAlign w:val="center"/>
              </w:tcPr>
              <w:p w14:paraId="4FEE4BB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9,343.77</w:t>
                </w:r>
              </w:p>
            </w:tc>
            <w:tc>
              <w:tcPr>
                <w:tcW w:w="714" w:type="pct"/>
                <w:shd w:val="clear" w:color="auto" w:fill="auto"/>
                <w:vAlign w:val="center"/>
              </w:tcPr>
              <w:p w14:paraId="03DB22A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265,391.02</w:t>
                </w:r>
              </w:p>
            </w:tc>
            <w:tc>
              <w:tcPr>
                <w:tcW w:w="714" w:type="pct"/>
                <w:shd w:val="clear" w:color="auto" w:fill="auto"/>
                <w:vAlign w:val="center"/>
              </w:tcPr>
              <w:p w14:paraId="08CCCDCA"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33FF7A8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1,920.54</w:t>
                </w:r>
              </w:p>
            </w:tc>
            <w:tc>
              <w:tcPr>
                <w:tcW w:w="714" w:type="pct"/>
                <w:shd w:val="clear" w:color="auto" w:fill="auto"/>
                <w:vAlign w:val="center"/>
              </w:tcPr>
              <w:p w14:paraId="6B0D479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778059EC"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276,655.33</w:t>
                </w:r>
              </w:p>
            </w:tc>
          </w:tr>
          <w:tr w:rsidR="00D21C1F" w14:paraId="531EE814" w14:textId="77777777" w:rsidTr="00225ADE">
            <w:sdt>
              <w:sdtPr>
                <w:tag w:val="_PLD_433ae6be63a842f9b3c972bb56b0616a"/>
                <w:id w:val="2077856447"/>
                <w:lock w:val="sdtLocked"/>
              </w:sdtPr>
              <w:sdtEndPr/>
              <w:sdtContent>
                <w:tc>
                  <w:tcPr>
                    <w:tcW w:w="714" w:type="pct"/>
                    <w:shd w:val="clear" w:color="auto" w:fill="auto"/>
                  </w:tcPr>
                  <w:p w14:paraId="25143E0F" w14:textId="77777777" w:rsidR="00D21C1F" w:rsidRDefault="00A42880">
                    <w:pPr>
                      <w:ind w:firstLineChars="300" w:firstLine="630"/>
                    </w:pPr>
                    <w:r>
                      <w:rPr>
                        <w:rFonts w:hint="eastAsia"/>
                      </w:rPr>
                      <w:t>（</w:t>
                    </w:r>
                    <w:r>
                      <w:rPr>
                        <w:rFonts w:ascii="Times New Roman" w:hAnsi="Times New Roman" w:hint="eastAsia"/>
                      </w:rPr>
                      <w:t>1</w:t>
                    </w:r>
                    <w:r>
                      <w:rPr>
                        <w:rFonts w:hint="eastAsia"/>
                      </w:rPr>
                      <w:t>）计提</w:t>
                    </w:r>
                  </w:p>
                </w:tc>
              </w:sdtContent>
            </w:sdt>
            <w:tc>
              <w:tcPr>
                <w:tcW w:w="714" w:type="pct"/>
                <w:shd w:val="clear" w:color="auto" w:fill="auto"/>
                <w:vAlign w:val="center"/>
              </w:tcPr>
              <w:p w14:paraId="149D8897"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7A8DB2BD"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290EEB1B"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3C5E3AC2"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0600F70D"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6E1267A4" w14:textId="77777777" w:rsidR="00D21C1F" w:rsidRPr="00225ADE" w:rsidRDefault="00D21C1F" w:rsidP="00225ADE">
                <w:pPr>
                  <w:jc w:val="right"/>
                  <w:rPr>
                    <w:rFonts w:ascii="Times New Roman" w:hAnsi="Times New Roman" w:cs="Times New Roman"/>
                  </w:rPr>
                </w:pPr>
              </w:p>
            </w:tc>
          </w:tr>
          <w:tr w:rsidR="00D21C1F" w14:paraId="57B69AFB" w14:textId="77777777" w:rsidTr="00225ADE">
            <w:sdt>
              <w:sdtPr>
                <w:rPr>
                  <w:rFonts w:hint="eastAsia"/>
                </w:rPr>
                <w:alias w:val="固定资产减值准备增加项目名称"/>
                <w:tag w:val="_GBC_cd4874649a714a85b3aaac58f235f408"/>
                <w:id w:val="161901049"/>
                <w:lock w:val="sdtLocked"/>
              </w:sdtPr>
              <w:sdtEndPr/>
              <w:sdtContent>
                <w:tc>
                  <w:tcPr>
                    <w:tcW w:w="714" w:type="pct"/>
                    <w:shd w:val="clear" w:color="auto" w:fill="auto"/>
                  </w:tcPr>
                  <w:p w14:paraId="63BA1783" w14:textId="77777777" w:rsidR="00D21C1F" w:rsidRDefault="00A42880">
                    <w:pPr>
                      <w:ind w:firstLineChars="300" w:firstLine="630"/>
                    </w:pPr>
                    <w:r>
                      <w:rPr>
                        <w:rFonts w:hint="eastAsia"/>
                      </w:rPr>
                      <w:t>（</w:t>
                    </w:r>
                    <w:r>
                      <w:rPr>
                        <w:rFonts w:ascii="Times New Roman" w:hAnsi="Times New Roman" w:hint="eastAsia"/>
                      </w:rPr>
                      <w:t>2</w:t>
                    </w:r>
                    <w:r>
                      <w:t>）</w:t>
                    </w:r>
                    <w:r>
                      <w:rPr>
                        <w:rFonts w:hint="eastAsia"/>
                      </w:rPr>
                      <w:t>汇率变动的影响</w:t>
                    </w:r>
                  </w:p>
                </w:tc>
              </w:sdtContent>
            </w:sdt>
            <w:sdt>
              <w:sdtPr>
                <w:rPr>
                  <w:rFonts w:ascii="Times New Roman" w:hAnsi="Times New Roman" w:cs="Times New Roman"/>
                </w:rPr>
                <w:alias w:val="固定资产减值准备增加项目金额"/>
                <w:tag w:val="_GBC_f55c18250a6d4260aa1a4fc716b81fe1"/>
                <w:id w:val="-513917999"/>
                <w:lock w:val="sdtLocked"/>
              </w:sdtPr>
              <w:sdtEndPr/>
              <w:sdtContent>
                <w:tc>
                  <w:tcPr>
                    <w:tcW w:w="714" w:type="pct"/>
                    <w:shd w:val="clear" w:color="auto" w:fill="auto"/>
                    <w:vAlign w:val="center"/>
                  </w:tcPr>
                  <w:p w14:paraId="7524EB08"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9,343.77</w:t>
                    </w:r>
                  </w:p>
                </w:tc>
              </w:sdtContent>
            </w:sdt>
            <w:sdt>
              <w:sdtPr>
                <w:rPr>
                  <w:rFonts w:ascii="Times New Roman" w:hAnsi="Times New Roman" w:cs="Times New Roman"/>
                </w:rPr>
                <w:alias w:val="固定资产减值准备增加项目金额"/>
                <w:tag w:val="_GBC_f55c18250a6d4260aa1a4fc716b81fe1"/>
                <w:id w:val="84508796"/>
                <w:lock w:val="sdtLocked"/>
              </w:sdtPr>
              <w:sdtEndPr/>
              <w:sdtContent>
                <w:tc>
                  <w:tcPr>
                    <w:tcW w:w="714" w:type="pct"/>
                    <w:shd w:val="clear" w:color="auto" w:fill="auto"/>
                    <w:vAlign w:val="center"/>
                  </w:tcPr>
                  <w:p w14:paraId="2459881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265,391.02</w:t>
                    </w:r>
                  </w:p>
                </w:tc>
              </w:sdtContent>
            </w:sdt>
            <w:sdt>
              <w:sdtPr>
                <w:rPr>
                  <w:rFonts w:ascii="Times New Roman" w:hAnsi="Times New Roman" w:cs="Times New Roman"/>
                </w:rPr>
                <w:alias w:val="固定资产减值准备增加项目金额"/>
                <w:tag w:val="_GBC_f55c18250a6d4260aa1a4fc716b81fe1"/>
                <w:id w:val="2137128420"/>
                <w:lock w:val="sdtLocked"/>
              </w:sdtPr>
              <w:sdtEndPr/>
              <w:sdtContent>
                <w:tc>
                  <w:tcPr>
                    <w:tcW w:w="714" w:type="pct"/>
                    <w:shd w:val="clear" w:color="auto" w:fill="auto"/>
                    <w:vAlign w:val="center"/>
                  </w:tcPr>
                  <w:p w14:paraId="19C5DF40" w14:textId="64EFDAAA" w:rsidR="00D21C1F" w:rsidRPr="00225ADE" w:rsidRDefault="00225ADE" w:rsidP="00225ADE">
                    <w:pPr>
                      <w:jc w:val="right"/>
                      <w:rPr>
                        <w:rFonts w:ascii="Times New Roman" w:hAnsi="Times New Roman" w:cs="Times New Roman"/>
                      </w:rPr>
                    </w:pPr>
                    <w:r>
                      <w:rPr>
                        <w:rFonts w:ascii="Times New Roman" w:hAnsi="Times New Roman" w:cs="Times New Roman"/>
                      </w:rPr>
                      <w:t>-</w:t>
                    </w:r>
                  </w:p>
                </w:tc>
              </w:sdtContent>
            </w:sdt>
            <w:sdt>
              <w:sdtPr>
                <w:rPr>
                  <w:rFonts w:ascii="Times New Roman" w:hAnsi="Times New Roman" w:cs="Times New Roman"/>
                </w:rPr>
                <w:alias w:val="固定资产减值准备增加项目金额"/>
                <w:tag w:val="_GBC_f55c18250a6d4260aa1a4fc716b81fe1"/>
                <w:id w:val="2130045084"/>
                <w:lock w:val="sdtLocked"/>
              </w:sdtPr>
              <w:sdtEndPr/>
              <w:sdtContent>
                <w:tc>
                  <w:tcPr>
                    <w:tcW w:w="714" w:type="pct"/>
                    <w:shd w:val="clear" w:color="auto" w:fill="auto"/>
                    <w:vAlign w:val="center"/>
                  </w:tcPr>
                  <w:p w14:paraId="5712636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1,920.54</w:t>
                    </w:r>
                  </w:p>
                </w:tc>
              </w:sdtContent>
            </w:sdt>
            <w:sdt>
              <w:sdtPr>
                <w:rPr>
                  <w:rFonts w:ascii="Times New Roman" w:hAnsi="Times New Roman" w:cs="Times New Roman"/>
                </w:rPr>
                <w:alias w:val="固定资产减值准备增加项目金额"/>
                <w:tag w:val="_GBC_f55c18250a6d4260aa1a4fc716b81fe1"/>
                <w:id w:val="525832353"/>
                <w:lock w:val="sdtLocked"/>
              </w:sdtPr>
              <w:sdtEndPr/>
              <w:sdtContent>
                <w:tc>
                  <w:tcPr>
                    <w:tcW w:w="714" w:type="pct"/>
                    <w:shd w:val="clear" w:color="auto" w:fill="auto"/>
                    <w:vAlign w:val="center"/>
                  </w:tcPr>
                  <w:p w14:paraId="777B64DD" w14:textId="711635B6" w:rsidR="00D21C1F" w:rsidRPr="00225ADE" w:rsidRDefault="00225ADE" w:rsidP="00225ADE">
                    <w:pPr>
                      <w:jc w:val="right"/>
                      <w:rPr>
                        <w:rFonts w:ascii="Times New Roman" w:hAnsi="Times New Roman" w:cs="Times New Roman"/>
                      </w:rPr>
                    </w:pPr>
                    <w:r>
                      <w:rPr>
                        <w:rFonts w:ascii="Times New Roman" w:hAnsi="Times New Roman" w:cs="Times New Roman"/>
                      </w:rPr>
                      <w:t>-</w:t>
                    </w:r>
                  </w:p>
                </w:tc>
              </w:sdtContent>
            </w:sdt>
            <w:sdt>
              <w:sdtPr>
                <w:rPr>
                  <w:rFonts w:ascii="Times New Roman" w:hAnsi="Times New Roman" w:cs="Times New Roman"/>
                </w:rPr>
                <w:alias w:val="固定资产减值准备增加项目合计金额"/>
                <w:tag w:val="_GBC_88047d8723a840e3b605e1a8a9eb2480"/>
                <w:id w:val="-937672448"/>
                <w:lock w:val="sdtLocked"/>
              </w:sdtPr>
              <w:sdtEndPr/>
              <w:sdtContent>
                <w:tc>
                  <w:tcPr>
                    <w:tcW w:w="714" w:type="pct"/>
                    <w:shd w:val="clear" w:color="auto" w:fill="auto"/>
                    <w:vAlign w:val="center"/>
                  </w:tcPr>
                  <w:p w14:paraId="53D9705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276,655.33</w:t>
                    </w:r>
                  </w:p>
                </w:tc>
              </w:sdtContent>
            </w:sdt>
          </w:tr>
          <w:tr w:rsidR="00D21C1F" w14:paraId="7A381584" w14:textId="77777777" w:rsidTr="00225ADE">
            <w:sdt>
              <w:sdtPr>
                <w:tag w:val="_PLD_9f06e7f0e71e4a3aa190d3fcd09490fc"/>
                <w:id w:val="-1315868541"/>
                <w:lock w:val="sdtLocked"/>
              </w:sdtPr>
              <w:sdtEndPr/>
              <w:sdtContent>
                <w:tc>
                  <w:tcPr>
                    <w:tcW w:w="714" w:type="pct"/>
                    <w:shd w:val="clear" w:color="auto" w:fill="auto"/>
                  </w:tcPr>
                  <w:p w14:paraId="13647AEF" w14:textId="77777777" w:rsidR="00D21C1F" w:rsidRDefault="00A42880">
                    <w:pPr>
                      <w:ind w:firstLineChars="200" w:firstLine="420"/>
                    </w:pPr>
                    <w:r>
                      <w:rPr>
                        <w:rFonts w:ascii="Times New Roman" w:hAnsi="Times New Roman" w:hint="eastAsia"/>
                      </w:rPr>
                      <w:t>3</w:t>
                    </w:r>
                    <w:r>
                      <w:rPr>
                        <w:rFonts w:hint="eastAsia"/>
                      </w:rPr>
                      <w:t>.本期减少金额</w:t>
                    </w:r>
                  </w:p>
                </w:tc>
              </w:sdtContent>
            </w:sdt>
            <w:tc>
              <w:tcPr>
                <w:tcW w:w="714" w:type="pct"/>
                <w:shd w:val="clear" w:color="auto" w:fill="auto"/>
                <w:vAlign w:val="center"/>
              </w:tcPr>
              <w:p w14:paraId="10CCDDF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1E6B4C7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276,948.64</w:t>
                </w:r>
              </w:p>
            </w:tc>
            <w:tc>
              <w:tcPr>
                <w:tcW w:w="714" w:type="pct"/>
                <w:shd w:val="clear" w:color="auto" w:fill="auto"/>
                <w:vAlign w:val="center"/>
              </w:tcPr>
              <w:p w14:paraId="1560D92E"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3F7887C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0DFE0E3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66738EB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276,948.64</w:t>
                </w:r>
              </w:p>
            </w:tc>
          </w:tr>
          <w:tr w:rsidR="00D21C1F" w14:paraId="5DF42F3A" w14:textId="77777777" w:rsidTr="00225ADE">
            <w:sdt>
              <w:sdtPr>
                <w:tag w:val="_PLD_27997f63b30343a4a13f2ee412af0eba"/>
                <w:id w:val="-1668856360"/>
                <w:lock w:val="sdtLocked"/>
              </w:sdtPr>
              <w:sdtEndPr/>
              <w:sdtContent>
                <w:tc>
                  <w:tcPr>
                    <w:tcW w:w="714" w:type="pct"/>
                    <w:shd w:val="clear" w:color="auto" w:fill="auto"/>
                  </w:tcPr>
                  <w:p w14:paraId="549E6AE1" w14:textId="77777777" w:rsidR="00D21C1F" w:rsidRDefault="00A42880">
                    <w:pPr>
                      <w:ind w:firstLineChars="300" w:firstLine="630"/>
                    </w:pPr>
                    <w:r>
                      <w:rPr>
                        <w:rFonts w:hint="eastAsia"/>
                      </w:rPr>
                      <w:t>（</w:t>
                    </w:r>
                    <w:r>
                      <w:rPr>
                        <w:rFonts w:ascii="Times New Roman" w:hAnsi="Times New Roman" w:hint="eastAsia"/>
                      </w:rPr>
                      <w:t>1</w:t>
                    </w:r>
                    <w:r>
                      <w:rPr>
                        <w:rFonts w:hint="eastAsia"/>
                      </w:rPr>
                      <w:t>）处置或报废</w:t>
                    </w:r>
                  </w:p>
                </w:tc>
              </w:sdtContent>
            </w:sdt>
            <w:tc>
              <w:tcPr>
                <w:tcW w:w="714" w:type="pct"/>
                <w:shd w:val="clear" w:color="auto" w:fill="auto"/>
                <w:vAlign w:val="center"/>
              </w:tcPr>
              <w:p w14:paraId="5C77126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5F08E88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276,948.64</w:t>
                </w:r>
              </w:p>
            </w:tc>
            <w:tc>
              <w:tcPr>
                <w:tcW w:w="714" w:type="pct"/>
                <w:shd w:val="clear" w:color="auto" w:fill="auto"/>
                <w:vAlign w:val="center"/>
              </w:tcPr>
              <w:p w14:paraId="73CC91D3"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0A033A4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38DE609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462D968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276,948.64</w:t>
                </w:r>
              </w:p>
            </w:tc>
          </w:tr>
          <w:tr w:rsidR="00D21C1F" w14:paraId="0520385B" w14:textId="77777777" w:rsidTr="00225ADE">
            <w:sdt>
              <w:sdtPr>
                <w:tag w:val="_PLD_a3e5577c50494e858eeb7a95a5b17653"/>
                <w:id w:val="463239025"/>
                <w:lock w:val="sdtLocked"/>
              </w:sdtPr>
              <w:sdtEndPr/>
              <w:sdtContent>
                <w:tc>
                  <w:tcPr>
                    <w:tcW w:w="714" w:type="pct"/>
                    <w:shd w:val="clear" w:color="auto" w:fill="auto"/>
                  </w:tcPr>
                  <w:p w14:paraId="7BC4A5C6" w14:textId="77777777" w:rsidR="00D21C1F" w:rsidRDefault="00A42880">
                    <w:pPr>
                      <w:ind w:firstLineChars="200" w:firstLine="420"/>
                    </w:pPr>
                    <w:r>
                      <w:rPr>
                        <w:rFonts w:ascii="Times New Roman" w:hAnsi="Times New Roman" w:hint="eastAsia"/>
                      </w:rPr>
                      <w:t>4</w:t>
                    </w:r>
                    <w:r>
                      <w:rPr>
                        <w:rFonts w:hint="eastAsia"/>
                      </w:rPr>
                      <w:t>.期末余额</w:t>
                    </w:r>
                  </w:p>
                </w:tc>
              </w:sdtContent>
            </w:sdt>
            <w:tc>
              <w:tcPr>
                <w:tcW w:w="714" w:type="pct"/>
                <w:shd w:val="clear" w:color="auto" w:fill="auto"/>
                <w:vAlign w:val="center"/>
              </w:tcPr>
              <w:p w14:paraId="421897B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253,780.76</w:t>
                </w:r>
              </w:p>
            </w:tc>
            <w:tc>
              <w:tcPr>
                <w:tcW w:w="714" w:type="pct"/>
                <w:shd w:val="clear" w:color="auto" w:fill="auto"/>
                <w:vAlign w:val="center"/>
              </w:tcPr>
              <w:p w14:paraId="4481FC6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7,477,379.64</w:t>
                </w:r>
              </w:p>
            </w:tc>
            <w:tc>
              <w:tcPr>
                <w:tcW w:w="714" w:type="pct"/>
                <w:shd w:val="clear" w:color="auto" w:fill="auto"/>
                <w:vAlign w:val="center"/>
              </w:tcPr>
              <w:p w14:paraId="49BD1E50"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7740B88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52,162.48</w:t>
                </w:r>
              </w:p>
            </w:tc>
            <w:tc>
              <w:tcPr>
                <w:tcW w:w="714" w:type="pct"/>
                <w:shd w:val="clear" w:color="auto" w:fill="auto"/>
                <w:vAlign w:val="center"/>
              </w:tcPr>
              <w:p w14:paraId="08F50318"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w:t>
                </w:r>
              </w:p>
            </w:tc>
            <w:tc>
              <w:tcPr>
                <w:tcW w:w="714" w:type="pct"/>
                <w:shd w:val="clear" w:color="auto" w:fill="auto"/>
                <w:vAlign w:val="center"/>
              </w:tcPr>
              <w:p w14:paraId="3A846B96"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7,783,322.88</w:t>
                </w:r>
              </w:p>
            </w:tc>
          </w:tr>
          <w:tr w:rsidR="00D21C1F" w14:paraId="5D18C0B4" w14:textId="77777777" w:rsidTr="00225ADE">
            <w:sdt>
              <w:sdtPr>
                <w:tag w:val="_PLD_bea29c32f5204124a483fa6e274ca7df"/>
                <w:id w:val="-1773083287"/>
                <w:lock w:val="sdtLocked"/>
              </w:sdtPr>
              <w:sdtEndPr/>
              <w:sdtContent>
                <w:tc>
                  <w:tcPr>
                    <w:tcW w:w="714" w:type="pct"/>
                    <w:shd w:val="clear" w:color="auto" w:fill="auto"/>
                  </w:tcPr>
                  <w:p w14:paraId="401EACE3" w14:textId="77777777" w:rsidR="00D21C1F" w:rsidRDefault="00A42880">
                    <w:pPr>
                      <w:pStyle w:val="97"/>
                    </w:pPr>
                    <w:r>
                      <w:rPr>
                        <w:rFonts w:hint="eastAsia"/>
                      </w:rPr>
                      <w:t>四、账面价值</w:t>
                    </w:r>
                  </w:p>
                </w:tc>
              </w:sdtContent>
            </w:sdt>
            <w:tc>
              <w:tcPr>
                <w:tcW w:w="714" w:type="pct"/>
                <w:shd w:val="clear" w:color="auto" w:fill="auto"/>
                <w:vAlign w:val="center"/>
              </w:tcPr>
              <w:p w14:paraId="73DB5249"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3FF0A1D9"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0D7DC7E5"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2D6A494D"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618ACFC9" w14:textId="77777777" w:rsidR="00D21C1F" w:rsidRPr="00225ADE" w:rsidRDefault="00D21C1F" w:rsidP="00225ADE">
                <w:pPr>
                  <w:jc w:val="right"/>
                  <w:rPr>
                    <w:rFonts w:ascii="Times New Roman" w:hAnsi="Times New Roman" w:cs="Times New Roman"/>
                  </w:rPr>
                </w:pPr>
              </w:p>
            </w:tc>
            <w:tc>
              <w:tcPr>
                <w:tcW w:w="714" w:type="pct"/>
                <w:shd w:val="clear" w:color="auto" w:fill="auto"/>
                <w:vAlign w:val="center"/>
              </w:tcPr>
              <w:p w14:paraId="2552306E" w14:textId="77777777" w:rsidR="00D21C1F" w:rsidRPr="00225ADE" w:rsidRDefault="00D21C1F" w:rsidP="00225ADE">
                <w:pPr>
                  <w:jc w:val="right"/>
                  <w:rPr>
                    <w:rFonts w:ascii="Times New Roman" w:hAnsi="Times New Roman" w:cs="Times New Roman"/>
                  </w:rPr>
                </w:pPr>
              </w:p>
            </w:tc>
          </w:tr>
          <w:tr w:rsidR="00D21C1F" w14:paraId="74A05D59" w14:textId="77777777" w:rsidTr="00225ADE">
            <w:sdt>
              <w:sdtPr>
                <w:tag w:val="_PLD_0cb15efd736e4fb48f835ee67e79495e"/>
                <w:id w:val="1524447160"/>
                <w:lock w:val="sdtLocked"/>
              </w:sdtPr>
              <w:sdtEndPr/>
              <w:sdtContent>
                <w:tc>
                  <w:tcPr>
                    <w:tcW w:w="714" w:type="pct"/>
                    <w:shd w:val="clear" w:color="auto" w:fill="auto"/>
                  </w:tcPr>
                  <w:p w14:paraId="19A5A3F1" w14:textId="77777777" w:rsidR="00D21C1F" w:rsidRDefault="00A42880">
                    <w:pPr>
                      <w:ind w:firstLineChars="200" w:firstLine="420"/>
                    </w:pPr>
                    <w:r>
                      <w:rPr>
                        <w:rFonts w:ascii="Times New Roman" w:hAnsi="Times New Roman" w:hint="eastAsia"/>
                      </w:rPr>
                      <w:t>1</w:t>
                    </w:r>
                    <w:r>
                      <w:rPr>
                        <w:rFonts w:hint="eastAsia"/>
                      </w:rPr>
                      <w:t>.期末账面价值</w:t>
                    </w:r>
                  </w:p>
                </w:tc>
              </w:sdtContent>
            </w:sdt>
            <w:tc>
              <w:tcPr>
                <w:tcW w:w="714" w:type="pct"/>
                <w:shd w:val="clear" w:color="auto" w:fill="auto"/>
                <w:vAlign w:val="center"/>
              </w:tcPr>
              <w:p w14:paraId="028F1345"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163,232,891.59</w:t>
                </w:r>
              </w:p>
            </w:tc>
            <w:tc>
              <w:tcPr>
                <w:tcW w:w="714" w:type="pct"/>
                <w:shd w:val="clear" w:color="auto" w:fill="auto"/>
                <w:vAlign w:val="center"/>
              </w:tcPr>
              <w:p w14:paraId="45E2F2D1"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53,345,458.42</w:t>
                </w:r>
              </w:p>
            </w:tc>
            <w:tc>
              <w:tcPr>
                <w:tcW w:w="714" w:type="pct"/>
                <w:shd w:val="clear" w:color="auto" w:fill="auto"/>
                <w:vAlign w:val="center"/>
              </w:tcPr>
              <w:p w14:paraId="2E8A10F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3,723,141.50</w:t>
                </w:r>
              </w:p>
            </w:tc>
            <w:tc>
              <w:tcPr>
                <w:tcW w:w="714" w:type="pct"/>
                <w:shd w:val="clear" w:color="auto" w:fill="auto"/>
                <w:vAlign w:val="center"/>
              </w:tcPr>
              <w:p w14:paraId="01B9F12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9,797,730.05</w:t>
                </w:r>
              </w:p>
            </w:tc>
            <w:tc>
              <w:tcPr>
                <w:tcW w:w="714" w:type="pct"/>
                <w:shd w:val="clear" w:color="auto" w:fill="auto"/>
                <w:vAlign w:val="center"/>
              </w:tcPr>
              <w:p w14:paraId="5565570F"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37,727,865.73</w:t>
                </w:r>
              </w:p>
            </w:tc>
            <w:tc>
              <w:tcPr>
                <w:tcW w:w="714" w:type="pct"/>
                <w:shd w:val="clear" w:color="auto" w:fill="auto"/>
                <w:vAlign w:val="center"/>
              </w:tcPr>
              <w:p w14:paraId="2BC9B7E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267,827,087.29</w:t>
                </w:r>
              </w:p>
            </w:tc>
          </w:tr>
          <w:tr w:rsidR="00D21C1F" w14:paraId="33F33790" w14:textId="77777777" w:rsidTr="00225ADE">
            <w:sdt>
              <w:sdtPr>
                <w:tag w:val="_PLD_0a70238af5ae41dda386e3180cb5ac13"/>
                <w:id w:val="-823817996"/>
                <w:lock w:val="sdtLocked"/>
              </w:sdtPr>
              <w:sdtEndPr/>
              <w:sdtContent>
                <w:tc>
                  <w:tcPr>
                    <w:tcW w:w="714" w:type="pct"/>
                    <w:shd w:val="clear" w:color="auto" w:fill="auto"/>
                  </w:tcPr>
                  <w:p w14:paraId="472A1006" w14:textId="77777777" w:rsidR="00D21C1F" w:rsidRDefault="00A42880">
                    <w:pPr>
                      <w:ind w:firstLineChars="200" w:firstLine="420"/>
                    </w:pPr>
                    <w:r>
                      <w:rPr>
                        <w:rFonts w:ascii="Times New Roman" w:hAnsi="Times New Roman" w:hint="eastAsia"/>
                      </w:rPr>
                      <w:t>2</w:t>
                    </w:r>
                    <w:r>
                      <w:rPr>
                        <w:rFonts w:hint="eastAsia"/>
                      </w:rPr>
                      <w:t>.期初账面价值</w:t>
                    </w:r>
                  </w:p>
                </w:tc>
              </w:sdtContent>
            </w:sdt>
            <w:tc>
              <w:tcPr>
                <w:tcW w:w="714" w:type="pct"/>
                <w:shd w:val="clear" w:color="auto" w:fill="auto"/>
                <w:vAlign w:val="center"/>
              </w:tcPr>
              <w:p w14:paraId="33B59737"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165,883,190.33</w:t>
                </w:r>
              </w:p>
            </w:tc>
            <w:tc>
              <w:tcPr>
                <w:tcW w:w="714" w:type="pct"/>
                <w:shd w:val="clear" w:color="auto" w:fill="auto"/>
                <w:vAlign w:val="center"/>
              </w:tcPr>
              <w:p w14:paraId="5876D512"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58,658,177.93</w:t>
                </w:r>
              </w:p>
            </w:tc>
            <w:tc>
              <w:tcPr>
                <w:tcW w:w="714" w:type="pct"/>
                <w:shd w:val="clear" w:color="auto" w:fill="auto"/>
                <w:vAlign w:val="center"/>
              </w:tcPr>
              <w:p w14:paraId="61D9074D"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4,139,956.48</w:t>
                </w:r>
              </w:p>
            </w:tc>
            <w:tc>
              <w:tcPr>
                <w:tcW w:w="714" w:type="pct"/>
                <w:shd w:val="clear" w:color="auto" w:fill="auto"/>
                <w:vAlign w:val="center"/>
              </w:tcPr>
              <w:p w14:paraId="5DFA0729"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12,209,653.52</w:t>
                </w:r>
              </w:p>
            </w:tc>
            <w:tc>
              <w:tcPr>
                <w:tcW w:w="714" w:type="pct"/>
                <w:shd w:val="clear" w:color="auto" w:fill="auto"/>
                <w:vAlign w:val="center"/>
              </w:tcPr>
              <w:p w14:paraId="5BF1A934"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38,210,284.42</w:t>
                </w:r>
              </w:p>
            </w:tc>
            <w:tc>
              <w:tcPr>
                <w:tcW w:w="714" w:type="pct"/>
                <w:shd w:val="clear" w:color="auto" w:fill="auto"/>
                <w:vAlign w:val="center"/>
              </w:tcPr>
              <w:p w14:paraId="60F50CA6" w14:textId="77777777" w:rsidR="00D21C1F" w:rsidRPr="00225ADE" w:rsidRDefault="00A42880" w:rsidP="00225ADE">
                <w:pPr>
                  <w:jc w:val="right"/>
                  <w:rPr>
                    <w:rFonts w:ascii="Times New Roman" w:hAnsi="Times New Roman" w:cs="Times New Roman"/>
                  </w:rPr>
                </w:pPr>
                <w:r w:rsidRPr="00225ADE">
                  <w:rPr>
                    <w:rFonts w:ascii="Times New Roman" w:hAnsi="Times New Roman" w:cs="Times New Roman"/>
                  </w:rPr>
                  <w:t>279,101,262.68</w:t>
                </w:r>
              </w:p>
            </w:tc>
          </w:tr>
        </w:tbl>
        <w:p w14:paraId="14A76170" w14:textId="77777777" w:rsidR="00D21C1F" w:rsidRDefault="00D21C1F">
          <w:pPr>
            <w:rPr>
              <w:szCs w:val="21"/>
            </w:rPr>
            <w:sectPr w:rsidR="00D21C1F">
              <w:pgSz w:w="16838" w:h="11906" w:orient="landscape"/>
              <w:pgMar w:top="1797" w:right="1525" w:bottom="1276" w:left="1440" w:header="856" w:footer="992" w:gutter="0"/>
              <w:cols w:space="425"/>
              <w:docGrid w:linePitch="312"/>
            </w:sectPr>
          </w:pPr>
        </w:p>
        <w:p w14:paraId="7451BC28" w14:textId="77777777" w:rsidR="00D21C1F" w:rsidRDefault="00045EC6">
          <w:pPr>
            <w:rPr>
              <w:szCs w:val="21"/>
            </w:rPr>
          </w:pPr>
        </w:p>
      </w:sdtContent>
    </w:sdt>
    <w:sdt>
      <w:sdtPr>
        <w:rPr>
          <w:rFonts w:ascii="宋体" w:eastAsia="宋体" w:hAnsi="宋体" w:cs="宋体" w:hint="eastAsia"/>
          <w:b w:val="0"/>
          <w:bCs w:val="0"/>
          <w:kern w:val="0"/>
          <w:szCs w:val="21"/>
        </w:rPr>
        <w:alias w:val="模块:暂时闲置的固定资产情况"/>
        <w:tag w:val="_GBC_77e89169b7ab4fccae8cff3d8a125711"/>
        <w:id w:val="1390765653"/>
        <w:lock w:val="sdtLocked"/>
        <w:placeholder>
          <w:docPart w:val="GBC22222222222222222222222222222"/>
        </w:placeholder>
      </w:sdtPr>
      <w:sdtEndPr>
        <w:rPr>
          <w:rFonts w:hint="default"/>
          <w:szCs w:val="24"/>
        </w:rPr>
      </w:sdtEndPr>
      <w:sdtContent>
        <w:p w14:paraId="7EAC4CC1" w14:textId="77777777" w:rsidR="00D21C1F" w:rsidRDefault="00A42880">
          <w:pPr>
            <w:pStyle w:val="93"/>
            <w:numPr>
              <w:ilvl w:val="0"/>
              <w:numId w:val="10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1688250774"/>
            <w:lock w:val="sdtLocked"/>
            <w:placeholder>
              <w:docPart w:val="GBC22222222222222222222222222222"/>
            </w:placeholder>
          </w:sdtPr>
          <w:sdtEndPr/>
          <w:sdtContent>
            <w:p w14:paraId="33097CA1"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DFEF15A" w14:textId="77777777" w:rsidR="00D21C1F" w:rsidRDefault="00D21C1F">
      <w:pPr>
        <w:rPr>
          <w:szCs w:val="21"/>
        </w:rPr>
      </w:pPr>
    </w:p>
    <w:sdt>
      <w:sdtPr>
        <w:rPr>
          <w:rFonts w:ascii="宋体" w:eastAsia="宋体" w:hAnsi="宋体" w:cs="宋体" w:hint="eastAsia"/>
          <w:b w:val="0"/>
          <w:bCs w:val="0"/>
          <w:kern w:val="0"/>
          <w:szCs w:val="21"/>
        </w:rPr>
        <w:alias w:val="模块:通过融资租赁租入的固定资产情况"/>
        <w:tag w:val="_GBC_f8dc7bf0df9345f6a1581560999dd4d8"/>
        <w:id w:val="2135666535"/>
        <w:lock w:val="sdtLocked"/>
        <w:placeholder>
          <w:docPart w:val="GBC22222222222222222222222222222"/>
        </w:placeholder>
      </w:sdtPr>
      <w:sdtEndPr>
        <w:rPr>
          <w:rFonts w:hint="default"/>
          <w:szCs w:val="24"/>
        </w:rPr>
      </w:sdtEndPr>
      <w:sdtContent>
        <w:p w14:paraId="087DBA67" w14:textId="77777777" w:rsidR="00D21C1F" w:rsidRDefault="00A42880">
          <w:pPr>
            <w:pStyle w:val="93"/>
            <w:numPr>
              <w:ilvl w:val="0"/>
              <w:numId w:val="10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650171893"/>
            <w:lock w:val="sdtLocked"/>
            <w:placeholder>
              <w:docPart w:val="GBC22222222222222222222222222222"/>
            </w:placeholder>
          </w:sdtPr>
          <w:sdtEndPr/>
          <w:sdtContent>
            <w:p w14:paraId="5A64B771" w14:textId="77777777" w:rsidR="00D21C1F" w:rsidRDefault="00A42880">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4DE4277" w14:textId="77777777" w:rsidR="00D21C1F" w:rsidRDefault="00D21C1F">
      <w:pPr>
        <w:rPr>
          <w:szCs w:val="21"/>
        </w:rPr>
      </w:pPr>
    </w:p>
    <w:sdt>
      <w:sdtPr>
        <w:rPr>
          <w:rFonts w:ascii="宋体" w:eastAsia="宋体" w:hAnsi="宋体" w:cs="宋体" w:hint="eastAsia"/>
          <w:b w:val="0"/>
          <w:bCs w:val="0"/>
          <w:kern w:val="0"/>
          <w:szCs w:val="21"/>
        </w:rPr>
        <w:alias w:val="模块:通过经营租赁租出的固定资产"/>
        <w:tag w:val="_GBC_06e38c241c8a43a99fdd68c92888bab1"/>
        <w:id w:val="-1077285235"/>
        <w:lock w:val="sdtLocked"/>
        <w:placeholder>
          <w:docPart w:val="GBC22222222222222222222222222222"/>
        </w:placeholder>
      </w:sdtPr>
      <w:sdtEndPr>
        <w:rPr>
          <w:rFonts w:hint="default"/>
          <w:color w:val="FF0000"/>
        </w:rPr>
      </w:sdtEndPr>
      <w:sdtContent>
        <w:p w14:paraId="3DA8B5F5" w14:textId="77777777" w:rsidR="00D21C1F" w:rsidRDefault="00A42880">
          <w:pPr>
            <w:pStyle w:val="93"/>
            <w:numPr>
              <w:ilvl w:val="0"/>
              <w:numId w:val="10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1666120409"/>
            <w:lock w:val="sdtLocked"/>
            <w:placeholder>
              <w:docPart w:val="GBC22222222222222222222222222222"/>
            </w:placeholder>
          </w:sdtPr>
          <w:sdtEndPr/>
          <w:sdtContent>
            <w:p w14:paraId="0C5952F8" w14:textId="77777777" w:rsidR="00D21C1F" w:rsidRDefault="00A42880">
              <w:pPr>
                <w:rPr>
                  <w:color w:val="FF0000"/>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35" w:name="_Hlk79589541" w:displacedByCustomXml="next"/>
    <w:bookmarkEnd w:id="235" w:displacedByCustomXml="next"/>
    <w:sdt>
      <w:sdtPr>
        <w:rPr>
          <w:rFonts w:ascii="宋体" w:eastAsia="宋体" w:hAnsi="宋体" w:cs="宋体" w:hint="eastAsia"/>
          <w:b w:val="0"/>
          <w:bCs w:val="0"/>
          <w:kern w:val="0"/>
          <w:szCs w:val="21"/>
        </w:rPr>
        <w:alias w:val="模块:未办妥产权证书的固定资产情况"/>
        <w:tag w:val="_GBC_5b357259936442c38f67f17b533c7085"/>
        <w:id w:val="1499844713"/>
        <w:lock w:val="sdtLocked"/>
        <w:placeholder>
          <w:docPart w:val="GBC22222222222222222222222222222"/>
        </w:placeholder>
      </w:sdtPr>
      <w:sdtEndPr>
        <w:rPr>
          <w:rFonts w:ascii="Times New Roman" w:hAnsi="Times New Roman" w:cs="Times New Roman" w:hint="default"/>
        </w:rPr>
      </w:sdtEndPr>
      <w:sdtContent>
        <w:p w14:paraId="59D0BB33" w14:textId="77777777" w:rsidR="00D21C1F" w:rsidRDefault="00A42880">
          <w:pPr>
            <w:pStyle w:val="93"/>
            <w:numPr>
              <w:ilvl w:val="0"/>
              <w:numId w:val="10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27904581"/>
            <w:lock w:val="sdtLocked"/>
            <w:placeholder>
              <w:docPart w:val="GBC22222222222222222222222222222"/>
            </w:placeholder>
          </w:sdtPr>
          <w:sdtEndPr/>
          <w:sdtContent>
            <w:p w14:paraId="37AA7BD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5D47DD" w14:textId="77777777" w:rsidR="00D21C1F" w:rsidRDefault="00A42880">
          <w:pPr>
            <w:jc w:val="right"/>
          </w:pPr>
          <w:r>
            <w:rPr>
              <w:rFonts w:hint="eastAsia"/>
            </w:rPr>
            <w:t>单位:</w:t>
          </w:r>
          <w:sdt>
            <w:sdtPr>
              <w:rPr>
                <w:rFonts w:hint="eastAsia"/>
              </w:rPr>
              <w:alias w:val="单位：财务附注：未办妥产权证书的固定资产情况"/>
              <w:tag w:val="_GBC_b7780eb99c5c47be9731dc6ebe1dea77"/>
              <w:id w:val="-9465406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未办妥产权证书的固定资产情况"/>
              <w:tag w:val="_GBC_07d37ddbabe745a3b375a7706f9047dc"/>
              <w:id w:val="-607038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966"/>
            <w:gridCol w:w="2982"/>
          </w:tblGrid>
          <w:tr w:rsidR="00D21C1F" w14:paraId="57738DD7" w14:textId="77777777">
            <w:sdt>
              <w:sdtPr>
                <w:tag w:val="_PLD_1347e8d2222c4d13aa7c3569cd05e439"/>
                <w:id w:val="466473181"/>
                <w:lock w:val="sdtLocked"/>
              </w:sdtPr>
              <w:sdtEndPr/>
              <w:sdtContent>
                <w:tc>
                  <w:tcPr>
                    <w:tcW w:w="1629" w:type="pct"/>
                    <w:vAlign w:val="center"/>
                  </w:tcPr>
                  <w:p w14:paraId="6F9AA693" w14:textId="77777777" w:rsidR="00D21C1F" w:rsidRDefault="00A42880">
                    <w:pPr>
                      <w:jc w:val="center"/>
                      <w:rPr>
                        <w:szCs w:val="21"/>
                      </w:rPr>
                    </w:pPr>
                    <w:r>
                      <w:rPr>
                        <w:rFonts w:hint="eastAsia"/>
                        <w:szCs w:val="21"/>
                      </w:rPr>
                      <w:t>项目</w:t>
                    </w:r>
                  </w:p>
                </w:tc>
              </w:sdtContent>
            </w:sdt>
            <w:sdt>
              <w:sdtPr>
                <w:tag w:val="_PLD_e14c4b6f9d874d4c86e835843a896497"/>
                <w:id w:val="413661921"/>
                <w:lock w:val="sdtLocked"/>
              </w:sdtPr>
              <w:sdtEndPr/>
              <w:sdtContent>
                <w:tc>
                  <w:tcPr>
                    <w:tcW w:w="1681" w:type="pct"/>
                    <w:vAlign w:val="center"/>
                  </w:tcPr>
                  <w:p w14:paraId="1AF54593" w14:textId="77777777" w:rsidR="00D21C1F" w:rsidRDefault="00A42880">
                    <w:pPr>
                      <w:jc w:val="center"/>
                      <w:rPr>
                        <w:szCs w:val="21"/>
                      </w:rPr>
                    </w:pPr>
                    <w:r>
                      <w:rPr>
                        <w:rFonts w:hint="eastAsia"/>
                        <w:szCs w:val="21"/>
                      </w:rPr>
                      <w:t>账面价值</w:t>
                    </w:r>
                  </w:p>
                </w:tc>
              </w:sdtContent>
            </w:sdt>
            <w:sdt>
              <w:sdtPr>
                <w:tag w:val="_PLD_0735ea1c6b5c4a2395fde5f63b614530"/>
                <w:id w:val="-25256169"/>
                <w:lock w:val="sdtLocked"/>
              </w:sdtPr>
              <w:sdtEndPr/>
              <w:sdtContent>
                <w:tc>
                  <w:tcPr>
                    <w:tcW w:w="1690" w:type="pct"/>
                    <w:vAlign w:val="center"/>
                  </w:tcPr>
                  <w:p w14:paraId="4E7AC8BB" w14:textId="77777777" w:rsidR="00D21C1F" w:rsidRDefault="00A42880">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1814251473"/>
              <w:lock w:val="sdtLocked"/>
              <w:placeholder>
                <w:docPart w:val="GBC11111111111111111111111111111"/>
              </w:placeholder>
            </w:sdtPr>
            <w:sdtEndPr>
              <w:rPr>
                <w:rFonts w:ascii="Times New Roman" w:hAnsi="Times New Roman" w:cs="Times New Roman" w:hint="default"/>
              </w:rPr>
            </w:sdtEndPr>
            <w:sdtContent>
              <w:tr w:rsidR="00D21C1F" w14:paraId="05EAF63D" w14:textId="77777777">
                <w:tc>
                  <w:tcPr>
                    <w:tcW w:w="1629" w:type="pct"/>
                  </w:tcPr>
                  <w:p w14:paraId="07155E21" w14:textId="77777777" w:rsidR="00D21C1F" w:rsidRDefault="00A42880">
                    <w:pPr>
                      <w:rPr>
                        <w:szCs w:val="21"/>
                      </w:rPr>
                    </w:pPr>
                    <w:r>
                      <w:rPr>
                        <w:rFonts w:hint="eastAsia"/>
                        <w:szCs w:val="21"/>
                      </w:rPr>
                      <w:t>埃夫特二期厂房</w:t>
                    </w:r>
                  </w:p>
                </w:tc>
                <w:tc>
                  <w:tcPr>
                    <w:tcW w:w="1681" w:type="pct"/>
                  </w:tcPr>
                  <w:p w14:paraId="59C8D67A" w14:textId="77777777" w:rsidR="00D21C1F" w:rsidRPr="00334F00" w:rsidRDefault="00A42880">
                    <w:pPr>
                      <w:jc w:val="right"/>
                      <w:rPr>
                        <w:rFonts w:ascii="Times New Roman" w:hAnsi="Times New Roman" w:cs="Times New Roman"/>
                        <w:szCs w:val="21"/>
                      </w:rPr>
                    </w:pPr>
                    <w:r w:rsidRPr="00334F00">
                      <w:rPr>
                        <w:rFonts w:ascii="Times New Roman" w:hAnsi="Times New Roman" w:cs="Times New Roman"/>
                        <w:szCs w:val="21"/>
                      </w:rPr>
                      <w:t>22,946,367.83</w:t>
                    </w:r>
                  </w:p>
                </w:tc>
                <w:tc>
                  <w:tcPr>
                    <w:tcW w:w="1690" w:type="pct"/>
                  </w:tcPr>
                  <w:p w14:paraId="08D8F2E5" w14:textId="77777777" w:rsidR="00D21C1F" w:rsidRPr="00334F00" w:rsidRDefault="00A42880">
                    <w:pPr>
                      <w:rPr>
                        <w:rFonts w:ascii="Times New Roman" w:hAnsi="Times New Roman" w:cs="Times New Roman"/>
                        <w:szCs w:val="21"/>
                      </w:rPr>
                    </w:pPr>
                    <w:r w:rsidRPr="00334F00">
                      <w:rPr>
                        <w:rFonts w:ascii="Times New Roman" w:hAnsi="Times New Roman" w:cs="Times New Roman"/>
                        <w:szCs w:val="21"/>
                      </w:rPr>
                      <w:t>正在办理</w:t>
                    </w:r>
                  </w:p>
                </w:tc>
              </w:tr>
            </w:sdtContent>
          </w:sdt>
        </w:tbl>
      </w:sdtContent>
    </w:sdt>
    <w:sdt>
      <w:sdtPr>
        <w:rPr>
          <w:rFonts w:hint="eastAsia"/>
          <w:szCs w:val="21"/>
        </w:rPr>
        <w:alias w:val="模块:固定资产说明"/>
        <w:tag w:val="_GBC_c93a179f84504ae59ee71556bc9afb64"/>
        <w:id w:val="-1688123022"/>
        <w:lock w:val="sdtLocked"/>
        <w:placeholder>
          <w:docPart w:val="GBC22222222222222222222222222222"/>
        </w:placeholder>
      </w:sdtPr>
      <w:sdtEndPr>
        <w:rPr>
          <w:rFonts w:hint="default"/>
        </w:rPr>
      </w:sdtEndPr>
      <w:sdtContent>
        <w:p w14:paraId="21F53ABC" w14:textId="77777777" w:rsidR="00D21C1F" w:rsidRDefault="00A42880">
          <w:pPr>
            <w:rPr>
              <w:szCs w:val="21"/>
            </w:rPr>
          </w:pPr>
          <w:r>
            <w:rPr>
              <w:rFonts w:hint="eastAsia"/>
              <w:szCs w:val="21"/>
            </w:rPr>
            <w:t>其他说明：</w:t>
          </w:r>
        </w:p>
        <w:sdt>
          <w:sdtPr>
            <w:rPr>
              <w:szCs w:val="21"/>
            </w:rPr>
            <w:alias w:val="是否适用：固定资产的说明[双击切换]"/>
            <w:tag w:val="_GBC_e2fd7087594d4949ada40807334de5fb"/>
            <w:id w:val="-948083119"/>
            <w:lock w:val="sdtLocked"/>
            <w:placeholder>
              <w:docPart w:val="GBC22222222222222222222222222222"/>
            </w:placeholder>
          </w:sdtPr>
          <w:sdtEndPr/>
          <w:sdtContent>
            <w:p w14:paraId="57DAF717"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固定资产清理"/>
        <w:tag w:val="_GBC_0de4677cdcb54eaa8c2b2afa938f1054"/>
        <w:id w:val="1637217682"/>
        <w:lock w:val="sdtLocked"/>
        <w:placeholder>
          <w:docPart w:val="GBC22222222222222222222222222222"/>
        </w:placeholder>
      </w:sdtPr>
      <w:sdtEndPr>
        <w:rPr>
          <w:rFonts w:eastAsiaTheme="minorEastAsia"/>
          <w:szCs w:val="21"/>
        </w:rPr>
      </w:sdtEndPr>
      <w:sdtContent>
        <w:p w14:paraId="0646216C" w14:textId="77777777" w:rsidR="00D21C1F" w:rsidRDefault="00A42880">
          <w:pPr>
            <w:pStyle w:val="93"/>
            <w:rPr>
              <w:rFonts w:ascii="宋体" w:hAnsi="宋体"/>
            </w:rPr>
          </w:pPr>
          <w:r>
            <w:rPr>
              <w:rFonts w:ascii="宋体" w:hAnsi="宋体" w:hint="eastAsia"/>
            </w:rPr>
            <w:t>固定资产清理</w:t>
          </w:r>
        </w:p>
        <w:sdt>
          <w:sdtPr>
            <w:alias w:val="是否适用：固定资产清理[双击切换]"/>
            <w:tag w:val="_GBC_d005d220fbda4cd2a58ced6d0d7a1404"/>
            <w:id w:val="-21473700"/>
            <w:lock w:val="sdtLocked"/>
            <w:placeholder>
              <w:docPart w:val="GBC22222222222222222222222222222"/>
            </w:placeholder>
          </w:sdtPr>
          <w:sdtEndPr/>
          <w:sdtContent>
            <w:p w14:paraId="4B7CED9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2B2E2DE" w14:textId="77777777" w:rsidR="00D21C1F" w:rsidRDefault="00D21C1F">
      <w:pPr>
        <w:rPr>
          <w:szCs w:val="21"/>
        </w:rPr>
      </w:pPr>
    </w:p>
    <w:p w14:paraId="73B6168B"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在建工程</w:t>
      </w:r>
    </w:p>
    <w:bookmarkStart w:id="236" w:name="_Hlk10472757" w:displacedByCustomXml="next"/>
    <w:sdt>
      <w:sdtPr>
        <w:rPr>
          <w:rFonts w:ascii="宋体" w:eastAsia="宋体" w:hAnsi="宋体" w:cs="宋体" w:hint="eastAsia"/>
          <w:b w:val="0"/>
          <w:bCs w:val="0"/>
          <w:kern w:val="0"/>
          <w:szCs w:val="24"/>
        </w:rPr>
        <w:alias w:val="模块:在建工程项目列示"/>
        <w:tag w:val="_SEC_5259769a5b954eaaa39f8ab4268be07c"/>
        <w:id w:val="181406032"/>
        <w:lock w:val="sdtLocked"/>
        <w:placeholder>
          <w:docPart w:val="GBC22222222222222222222222222222"/>
        </w:placeholder>
      </w:sdtPr>
      <w:sdtEndPr>
        <w:rPr>
          <w:rFonts w:hint="default"/>
          <w:szCs w:val="21"/>
        </w:rPr>
      </w:sdtEndPr>
      <w:sdtContent>
        <w:p w14:paraId="2B8BBFAB" w14:textId="77777777" w:rsidR="00D21C1F" w:rsidRDefault="00A42880">
          <w:pPr>
            <w:pStyle w:val="93"/>
            <w:rPr>
              <w:rFonts w:ascii="宋体" w:hAnsi="宋体"/>
            </w:rPr>
          </w:pPr>
          <w:r>
            <w:rPr>
              <w:rFonts w:ascii="宋体" w:hAnsi="宋体" w:hint="eastAsia"/>
            </w:rPr>
            <w:t>项目列示</w:t>
          </w:r>
        </w:p>
        <w:sdt>
          <w:sdtPr>
            <w:alias w:val="是否适用：在建工程分类列示[双击切换]"/>
            <w:tag w:val="_GBC_bcbd4315343844fc923825dd150041e5"/>
            <w:id w:val="1356228817"/>
            <w:lock w:val="sdtLocked"/>
            <w:placeholder>
              <w:docPart w:val="GBC22222222222222222222222222222"/>
            </w:placeholder>
          </w:sdtPr>
          <w:sdtEndPr/>
          <w:sdtContent>
            <w:p w14:paraId="2B44CFA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DDF210" w14:textId="77777777" w:rsidR="00D21C1F" w:rsidRDefault="00A42880">
          <w:pPr>
            <w:jc w:val="right"/>
            <w:rPr>
              <w:szCs w:val="21"/>
            </w:rPr>
          </w:pPr>
          <w:r>
            <w:rPr>
              <w:rFonts w:hint="eastAsia"/>
              <w:szCs w:val="21"/>
            </w:rPr>
            <w:t>单位：</w:t>
          </w:r>
          <w:sdt>
            <w:sdtPr>
              <w:rPr>
                <w:rFonts w:hint="eastAsia"/>
                <w:szCs w:val="21"/>
              </w:rPr>
              <w:alias w:val="单位：在建工程分类列示"/>
              <w:tag w:val="_GBC_9df8e16a6fb54a76b384d11e7a6dd52d"/>
              <w:id w:val="1900394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在建工程分类列示"/>
              <w:tag w:val="_GBC_17b0bdb7b5f24e599fcea2e90510306a"/>
              <w:id w:val="6977393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D21C1F" w14:paraId="4C7AA766" w14:textId="77777777">
            <w:trPr>
              <w:cantSplit/>
            </w:trPr>
            <w:sdt>
              <w:sdtPr>
                <w:tag w:val="_PLD_3a34a6496ee4454093b17b19ba9b805d"/>
                <w:id w:val="-1263062041"/>
                <w:lock w:val="sdtLocked"/>
              </w:sdtPr>
              <w:sdtEndPr/>
              <w:sdtContent>
                <w:tc>
                  <w:tcPr>
                    <w:tcW w:w="1764" w:type="pct"/>
                    <w:vAlign w:val="center"/>
                  </w:tcPr>
                  <w:p w14:paraId="229C077D" w14:textId="77777777" w:rsidR="00D21C1F" w:rsidRDefault="00A42880">
                    <w:pPr>
                      <w:jc w:val="center"/>
                      <w:rPr>
                        <w:szCs w:val="21"/>
                      </w:rPr>
                    </w:pPr>
                    <w:r>
                      <w:rPr>
                        <w:rFonts w:hint="eastAsia"/>
                        <w:szCs w:val="21"/>
                      </w:rPr>
                      <w:t>项目</w:t>
                    </w:r>
                  </w:p>
                </w:tc>
              </w:sdtContent>
            </w:sdt>
            <w:sdt>
              <w:sdtPr>
                <w:tag w:val="_PLD_88973d2835334cdbb31181ad26b55912"/>
                <w:id w:val="-2017446534"/>
                <w:lock w:val="sdtLocked"/>
              </w:sdtPr>
              <w:sdtEndPr/>
              <w:sdtContent>
                <w:tc>
                  <w:tcPr>
                    <w:tcW w:w="1622" w:type="pct"/>
                    <w:vAlign w:val="center"/>
                  </w:tcPr>
                  <w:p w14:paraId="56D7F850" w14:textId="77777777" w:rsidR="00D21C1F" w:rsidRDefault="00A42880">
                    <w:pPr>
                      <w:jc w:val="center"/>
                      <w:rPr>
                        <w:szCs w:val="21"/>
                      </w:rPr>
                    </w:pPr>
                    <w:r>
                      <w:rPr>
                        <w:rFonts w:hint="eastAsia"/>
                        <w:szCs w:val="21"/>
                      </w:rPr>
                      <w:t>期末余额</w:t>
                    </w:r>
                  </w:p>
                </w:tc>
              </w:sdtContent>
            </w:sdt>
            <w:sdt>
              <w:sdtPr>
                <w:tag w:val="_PLD_55f5bd8851c54b7897a165bee2df0273"/>
                <w:id w:val="-436293298"/>
                <w:lock w:val="sdtLocked"/>
              </w:sdtPr>
              <w:sdtEndPr/>
              <w:sdtContent>
                <w:tc>
                  <w:tcPr>
                    <w:tcW w:w="1614" w:type="pct"/>
                    <w:vAlign w:val="center"/>
                  </w:tcPr>
                  <w:p w14:paraId="365DEDDA" w14:textId="77777777" w:rsidR="00D21C1F" w:rsidRDefault="00A42880">
                    <w:pPr>
                      <w:jc w:val="center"/>
                      <w:rPr>
                        <w:szCs w:val="21"/>
                      </w:rPr>
                    </w:pPr>
                    <w:r>
                      <w:rPr>
                        <w:rFonts w:hint="eastAsia"/>
                        <w:szCs w:val="21"/>
                      </w:rPr>
                      <w:t>期初余额</w:t>
                    </w:r>
                  </w:p>
                </w:tc>
              </w:sdtContent>
            </w:sdt>
          </w:tr>
          <w:tr w:rsidR="00D21C1F" w14:paraId="402E1C2C" w14:textId="77777777">
            <w:trPr>
              <w:cantSplit/>
            </w:trPr>
            <w:sdt>
              <w:sdtPr>
                <w:tag w:val="_PLD_65bb35f19246484caedfd539dfade78d"/>
                <w:id w:val="1436791159"/>
                <w:lock w:val="sdtLocked"/>
              </w:sdtPr>
              <w:sdtEndPr/>
              <w:sdtContent>
                <w:tc>
                  <w:tcPr>
                    <w:tcW w:w="1764" w:type="pct"/>
                  </w:tcPr>
                  <w:p w14:paraId="1874E0C7" w14:textId="77777777" w:rsidR="00D21C1F" w:rsidRDefault="00A42880">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vAlign w:val="center"/>
              </w:tcPr>
              <w:p w14:paraId="56DFFB46" w14:textId="77777777" w:rsidR="00D21C1F" w:rsidRPr="00B70530" w:rsidRDefault="00A42880">
                <w:pPr>
                  <w:ind w:right="5"/>
                  <w:jc w:val="right"/>
                  <w:rPr>
                    <w:rFonts w:ascii="Times New Roman" w:hAnsi="Times New Roman" w:cs="Times New Roman"/>
                    <w:szCs w:val="21"/>
                  </w:rPr>
                </w:pPr>
                <w:r w:rsidRPr="00B70530">
                  <w:rPr>
                    <w:rFonts w:ascii="Times New Roman" w:hAnsi="Times New Roman" w:cs="Times New Roman"/>
                  </w:rPr>
                  <w:t>4,233,928.02</w:t>
                </w:r>
              </w:p>
            </w:tc>
            <w:tc>
              <w:tcPr>
                <w:tcW w:w="1614" w:type="pct"/>
                <w:vAlign w:val="center"/>
              </w:tcPr>
              <w:p w14:paraId="69B7831F" w14:textId="77777777" w:rsidR="00D21C1F" w:rsidRPr="00B70530" w:rsidRDefault="00A42880">
                <w:pPr>
                  <w:ind w:right="5"/>
                  <w:jc w:val="right"/>
                  <w:rPr>
                    <w:rFonts w:ascii="Times New Roman" w:hAnsi="Times New Roman" w:cs="Times New Roman"/>
                    <w:szCs w:val="21"/>
                  </w:rPr>
                </w:pPr>
                <w:r w:rsidRPr="00B70530">
                  <w:rPr>
                    <w:rFonts w:ascii="Times New Roman" w:hAnsi="Times New Roman" w:cs="Times New Roman"/>
                  </w:rPr>
                  <w:t>1,566,154.69</w:t>
                </w:r>
              </w:p>
            </w:tc>
          </w:tr>
          <w:tr w:rsidR="00D21C1F" w14:paraId="69FCF4D0" w14:textId="77777777">
            <w:trPr>
              <w:cantSplit/>
            </w:trPr>
            <w:sdt>
              <w:sdtPr>
                <w:tag w:val="_PLD_6651d8420b62461b941e53c23e48454e"/>
                <w:id w:val="-2101563362"/>
                <w:lock w:val="sdtLocked"/>
              </w:sdtPr>
              <w:sdtEndPr/>
              <w:sdtContent>
                <w:tc>
                  <w:tcPr>
                    <w:tcW w:w="1764" w:type="pct"/>
                  </w:tcPr>
                  <w:p w14:paraId="43FB8AA4" w14:textId="77777777" w:rsidR="00D21C1F" w:rsidRDefault="00A42880">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vAlign w:val="center"/>
              </w:tcPr>
              <w:p w14:paraId="24029A6F" w14:textId="77777777" w:rsidR="00D21C1F" w:rsidRPr="00B70530" w:rsidRDefault="00A42880">
                <w:pPr>
                  <w:ind w:right="5"/>
                  <w:jc w:val="right"/>
                  <w:rPr>
                    <w:rFonts w:ascii="Times New Roman" w:hAnsi="Times New Roman" w:cs="Times New Roman"/>
                    <w:szCs w:val="21"/>
                  </w:rPr>
                </w:pPr>
                <w:r w:rsidRPr="00B70530">
                  <w:rPr>
                    <w:rFonts w:ascii="Times New Roman" w:hAnsi="Times New Roman" w:cs="Times New Roman"/>
                  </w:rPr>
                  <w:t>-</w:t>
                </w:r>
              </w:p>
            </w:tc>
            <w:tc>
              <w:tcPr>
                <w:tcW w:w="1614" w:type="pct"/>
                <w:vAlign w:val="center"/>
              </w:tcPr>
              <w:p w14:paraId="12EB5A89" w14:textId="77777777" w:rsidR="00D21C1F" w:rsidRPr="00B70530" w:rsidRDefault="00A42880">
                <w:pPr>
                  <w:ind w:right="5"/>
                  <w:jc w:val="right"/>
                  <w:rPr>
                    <w:rFonts w:ascii="Times New Roman" w:hAnsi="Times New Roman" w:cs="Times New Roman"/>
                    <w:szCs w:val="21"/>
                  </w:rPr>
                </w:pPr>
                <w:r w:rsidRPr="00B70530">
                  <w:rPr>
                    <w:rFonts w:ascii="Times New Roman" w:hAnsi="Times New Roman" w:cs="Times New Roman"/>
                  </w:rPr>
                  <w:t>-</w:t>
                </w:r>
              </w:p>
            </w:tc>
          </w:tr>
          <w:tr w:rsidR="00D21C1F" w14:paraId="381B5067" w14:textId="77777777">
            <w:trPr>
              <w:cantSplit/>
            </w:trPr>
            <w:sdt>
              <w:sdtPr>
                <w:tag w:val="_PLD_e1778e13b3024450b5ac627563f1ed3a"/>
                <w:id w:val="-780645675"/>
                <w:lock w:val="sdtLocked"/>
              </w:sdtPr>
              <w:sdtEndPr/>
              <w:sdtContent>
                <w:tc>
                  <w:tcPr>
                    <w:tcW w:w="1764" w:type="pct"/>
                    <w:vAlign w:val="center"/>
                  </w:tcPr>
                  <w:p w14:paraId="2848AE80" w14:textId="77777777" w:rsidR="00D21C1F" w:rsidRDefault="00A42880">
                    <w:pPr>
                      <w:autoSpaceDE w:val="0"/>
                      <w:autoSpaceDN w:val="0"/>
                      <w:adjustRightInd w:val="0"/>
                      <w:jc w:val="center"/>
                      <w:rPr>
                        <w:szCs w:val="21"/>
                      </w:rPr>
                    </w:pPr>
                    <w:r>
                      <w:rPr>
                        <w:rFonts w:hint="eastAsia"/>
                        <w:szCs w:val="21"/>
                      </w:rPr>
                      <w:t>合计</w:t>
                    </w:r>
                  </w:p>
                </w:tc>
              </w:sdtContent>
            </w:sdt>
            <w:tc>
              <w:tcPr>
                <w:tcW w:w="1622" w:type="pct"/>
                <w:vAlign w:val="center"/>
              </w:tcPr>
              <w:p w14:paraId="075B1D4D" w14:textId="77777777" w:rsidR="00D21C1F" w:rsidRPr="00B70530" w:rsidRDefault="00A42880">
                <w:pPr>
                  <w:jc w:val="right"/>
                  <w:rPr>
                    <w:rFonts w:ascii="Times New Roman" w:hAnsi="Times New Roman" w:cs="Times New Roman"/>
                    <w:szCs w:val="21"/>
                  </w:rPr>
                </w:pPr>
                <w:r w:rsidRPr="00B70530">
                  <w:rPr>
                    <w:rFonts w:ascii="Times New Roman" w:hAnsi="Times New Roman" w:cs="Times New Roman"/>
                  </w:rPr>
                  <w:t>4,233,928.02</w:t>
                </w:r>
              </w:p>
            </w:tc>
            <w:tc>
              <w:tcPr>
                <w:tcW w:w="1614" w:type="pct"/>
                <w:vAlign w:val="center"/>
              </w:tcPr>
              <w:p w14:paraId="4D7FBA4F" w14:textId="77777777" w:rsidR="00D21C1F" w:rsidRPr="00B70530" w:rsidRDefault="00A42880">
                <w:pPr>
                  <w:ind w:right="5"/>
                  <w:jc w:val="right"/>
                  <w:rPr>
                    <w:rFonts w:ascii="Times New Roman" w:hAnsi="Times New Roman" w:cs="Times New Roman"/>
                    <w:szCs w:val="21"/>
                  </w:rPr>
                </w:pPr>
                <w:r w:rsidRPr="00B70530">
                  <w:rPr>
                    <w:rFonts w:ascii="Times New Roman" w:hAnsi="Times New Roman" w:cs="Times New Roman"/>
                  </w:rPr>
                  <w:t>1,566,154.69</w:t>
                </w:r>
              </w:p>
            </w:tc>
          </w:tr>
        </w:tbl>
        <w:p w14:paraId="0AE841E2" w14:textId="77777777" w:rsidR="00D21C1F" w:rsidRDefault="00A42880">
          <w:pPr>
            <w:rPr>
              <w:szCs w:val="21"/>
            </w:rPr>
          </w:pPr>
          <w:bookmarkStart w:id="237" w:name="_Hlk10472837"/>
          <w:bookmarkStart w:id="238" w:name="_Hlk10472848"/>
          <w:bookmarkEnd w:id="236"/>
          <w:r>
            <w:rPr>
              <w:rFonts w:hint="eastAsia"/>
              <w:szCs w:val="21"/>
            </w:rPr>
            <w:t>其他说明：</w:t>
          </w:r>
          <w:bookmarkEnd w:id="237"/>
        </w:p>
        <w:p w14:paraId="0B343300" w14:textId="77777777" w:rsidR="00D21C1F" w:rsidRDefault="00045EC6">
          <w:pPr>
            <w:rPr>
              <w:szCs w:val="21"/>
            </w:rPr>
          </w:pPr>
          <w:sdt>
            <w:sdtPr>
              <w:rPr>
                <w:szCs w:val="21"/>
              </w:rPr>
              <w:alias w:val="在建工程分类列示其他说明"/>
              <w:tag w:val="_GBC_ebe1a06b82914095a2c469c32c78af71"/>
              <w:id w:val="386154659"/>
              <w:lock w:val="sdtLocked"/>
              <w:placeholder>
                <w:docPart w:val="GBC22222222222222222222222222222"/>
              </w:placeholder>
            </w:sdtPr>
            <w:sdtEndPr/>
            <w:sdtContent>
              <w:r w:rsidR="00A42880">
                <w:rPr>
                  <w:rFonts w:hint="eastAsia"/>
                  <w:szCs w:val="21"/>
                </w:rPr>
                <w:t>无</w:t>
              </w:r>
            </w:sdtContent>
          </w:sdt>
        </w:p>
      </w:sdtContent>
    </w:sdt>
    <w:bookmarkEnd w:id="238"/>
    <w:p w14:paraId="6C954DCE" w14:textId="77777777" w:rsidR="00D21C1F" w:rsidRDefault="00A42880">
      <w:pPr>
        <w:pStyle w:val="93"/>
        <w:rPr>
          <w:rFonts w:ascii="宋体" w:hAnsi="宋体"/>
        </w:rPr>
      </w:pPr>
      <w:r>
        <w:rPr>
          <w:rFonts w:ascii="宋体" w:hAnsi="宋体" w:hint="eastAsia"/>
        </w:rPr>
        <w:t>在建工程</w:t>
      </w:r>
    </w:p>
    <w:sdt>
      <w:sdtPr>
        <w:rPr>
          <w:rFonts w:ascii="宋体" w:hAnsi="宋体" w:cs="宋体" w:hint="eastAsia"/>
          <w:b w:val="0"/>
          <w:bCs w:val="0"/>
          <w:kern w:val="0"/>
          <w:szCs w:val="21"/>
        </w:rPr>
        <w:alias w:val="模块:在建工程情况"/>
        <w:tag w:val="_GBC_88cd7483eb15414d84d17f5cc1a4bf78"/>
        <w:id w:val="-584849338"/>
        <w:lock w:val="sdtLocked"/>
        <w:placeholder>
          <w:docPart w:val="GBC22222222222222222222222222222"/>
        </w:placeholder>
      </w:sdtPr>
      <w:sdtEndPr>
        <w:rPr>
          <w:szCs w:val="24"/>
        </w:rPr>
      </w:sdtEndPr>
      <w:sdtContent>
        <w:p w14:paraId="36D6CAA1" w14:textId="77777777" w:rsidR="00D21C1F" w:rsidRDefault="00A42880">
          <w:pPr>
            <w:pStyle w:val="93"/>
            <w:numPr>
              <w:ilvl w:val="0"/>
              <w:numId w:val="10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2000336973"/>
            <w:lock w:val="sdtLocked"/>
            <w:placeholder>
              <w:docPart w:val="GBC22222222222222222222222222222"/>
            </w:placeholder>
          </w:sdtPr>
          <w:sdtEndPr/>
          <w:sdtContent>
            <w:p w14:paraId="6928407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3D844C" w14:textId="77777777" w:rsidR="00D21C1F" w:rsidRDefault="00A42880">
          <w:pPr>
            <w:jc w:val="right"/>
            <w:rPr>
              <w:szCs w:val="21"/>
            </w:rPr>
          </w:pPr>
          <w:r>
            <w:rPr>
              <w:rFonts w:hint="eastAsia"/>
              <w:szCs w:val="21"/>
            </w:rPr>
            <w:t>单位：</w:t>
          </w:r>
          <w:sdt>
            <w:sdtPr>
              <w:rPr>
                <w:rFonts w:hint="eastAsia"/>
                <w:szCs w:val="21"/>
              </w:rPr>
              <w:alias w:val="单位：财务附注：在建工程"/>
              <w:tag w:val="_GBC_d20598ce3f5b4d21a9055de674936a9a"/>
              <w:id w:val="-1578445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在建工程"/>
              <w:tag w:val="_GBC_9e96d736daa247dd96af144329fff105"/>
              <w:id w:val="282237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624"/>
            <w:gridCol w:w="1415"/>
            <w:gridCol w:w="866"/>
            <w:gridCol w:w="1385"/>
            <w:gridCol w:w="1311"/>
            <w:gridCol w:w="911"/>
            <w:gridCol w:w="1311"/>
          </w:tblGrid>
          <w:tr w:rsidR="00D21C1F" w14:paraId="3C05E593" w14:textId="77777777">
            <w:trPr>
              <w:cantSplit/>
            </w:trPr>
            <w:sdt>
              <w:sdtPr>
                <w:tag w:val="_PLD_27b31695edfd49cb9cafa333777d18c3"/>
                <w:id w:val="-388655239"/>
                <w:lock w:val="sdtLocked"/>
              </w:sdtPr>
              <w:sdtEndPr/>
              <w:sdtContent>
                <w:tc>
                  <w:tcPr>
                    <w:tcW w:w="920" w:type="pct"/>
                    <w:vMerge w:val="restart"/>
                    <w:vAlign w:val="center"/>
                  </w:tcPr>
                  <w:p w14:paraId="7B092F7F" w14:textId="77777777" w:rsidR="00D21C1F" w:rsidRDefault="00A42880">
                    <w:pPr>
                      <w:jc w:val="center"/>
                      <w:rPr>
                        <w:szCs w:val="21"/>
                      </w:rPr>
                    </w:pPr>
                    <w:r>
                      <w:rPr>
                        <w:rFonts w:hint="eastAsia"/>
                        <w:szCs w:val="21"/>
                      </w:rPr>
                      <w:t>项目</w:t>
                    </w:r>
                  </w:p>
                </w:tc>
              </w:sdtContent>
            </w:sdt>
            <w:sdt>
              <w:sdtPr>
                <w:tag w:val="_PLD_a5273bde7b2f4c6c8fbe3ea2d7a7eb84"/>
                <w:id w:val="1854768175"/>
                <w:lock w:val="sdtLocked"/>
              </w:sdtPr>
              <w:sdtEndPr/>
              <w:sdtContent>
                <w:tc>
                  <w:tcPr>
                    <w:tcW w:w="2078" w:type="pct"/>
                    <w:gridSpan w:val="3"/>
                    <w:vAlign w:val="center"/>
                  </w:tcPr>
                  <w:p w14:paraId="2A701DD0" w14:textId="77777777" w:rsidR="00D21C1F" w:rsidRDefault="00A42880">
                    <w:pPr>
                      <w:jc w:val="center"/>
                      <w:rPr>
                        <w:szCs w:val="21"/>
                      </w:rPr>
                    </w:pPr>
                    <w:r>
                      <w:rPr>
                        <w:rFonts w:hint="eastAsia"/>
                        <w:szCs w:val="21"/>
                      </w:rPr>
                      <w:t>期末余额</w:t>
                    </w:r>
                  </w:p>
                </w:tc>
              </w:sdtContent>
            </w:sdt>
            <w:sdt>
              <w:sdtPr>
                <w:tag w:val="_PLD_ac57490b080449c8b91be5a872e19f79"/>
                <w:id w:val="1438412504"/>
                <w:lock w:val="sdtLocked"/>
              </w:sdtPr>
              <w:sdtEndPr/>
              <w:sdtContent>
                <w:tc>
                  <w:tcPr>
                    <w:tcW w:w="2002" w:type="pct"/>
                    <w:gridSpan w:val="3"/>
                    <w:vAlign w:val="center"/>
                  </w:tcPr>
                  <w:p w14:paraId="2A348603" w14:textId="77777777" w:rsidR="00D21C1F" w:rsidRDefault="00A42880">
                    <w:pPr>
                      <w:jc w:val="center"/>
                      <w:rPr>
                        <w:szCs w:val="21"/>
                      </w:rPr>
                    </w:pPr>
                    <w:r>
                      <w:rPr>
                        <w:rFonts w:hint="eastAsia"/>
                        <w:szCs w:val="21"/>
                      </w:rPr>
                      <w:t>期初余额</w:t>
                    </w:r>
                  </w:p>
                </w:tc>
              </w:sdtContent>
            </w:sdt>
          </w:tr>
          <w:tr w:rsidR="00D21C1F" w14:paraId="32C5B74C" w14:textId="77777777">
            <w:trPr>
              <w:cantSplit/>
            </w:trPr>
            <w:tc>
              <w:tcPr>
                <w:tcW w:w="920" w:type="pct"/>
                <w:vMerge/>
                <w:vAlign w:val="center"/>
              </w:tcPr>
              <w:p w14:paraId="494512FE" w14:textId="77777777" w:rsidR="00D21C1F" w:rsidRDefault="00D21C1F">
                <w:pPr>
                  <w:tabs>
                    <w:tab w:val="left" w:pos="420"/>
                  </w:tabs>
                  <w:ind w:left="420" w:hanging="420"/>
                  <w:jc w:val="center"/>
                  <w:rPr>
                    <w:szCs w:val="21"/>
                  </w:rPr>
                </w:pPr>
              </w:p>
            </w:tc>
            <w:sdt>
              <w:sdtPr>
                <w:tag w:val="_PLD_1d60491359e245e7bc54655c8c8c15fd"/>
                <w:id w:val="-1583979502"/>
                <w:lock w:val="sdtLocked"/>
              </w:sdtPr>
              <w:sdtEndPr/>
              <w:sdtContent>
                <w:tc>
                  <w:tcPr>
                    <w:tcW w:w="802" w:type="pct"/>
                    <w:vAlign w:val="center"/>
                  </w:tcPr>
                  <w:p w14:paraId="79F664E6" w14:textId="77777777" w:rsidR="00D21C1F" w:rsidRDefault="00A42880">
                    <w:pPr>
                      <w:tabs>
                        <w:tab w:val="left" w:pos="420"/>
                      </w:tabs>
                      <w:ind w:left="420" w:hanging="420"/>
                      <w:jc w:val="center"/>
                      <w:rPr>
                        <w:szCs w:val="21"/>
                      </w:rPr>
                    </w:pPr>
                    <w:r>
                      <w:rPr>
                        <w:rFonts w:hint="eastAsia"/>
                        <w:szCs w:val="21"/>
                      </w:rPr>
                      <w:t>账面余额</w:t>
                    </w:r>
                  </w:p>
                </w:tc>
              </w:sdtContent>
            </w:sdt>
            <w:sdt>
              <w:sdtPr>
                <w:rPr>
                  <w:rFonts w:ascii="宋体" w:hAnsi="宋体"/>
                </w:rPr>
                <w:tag w:val="_PLD_d5d8fa5186d44c82b146ad7151830389"/>
                <w:id w:val="1796323955"/>
                <w:lock w:val="sdtLocked"/>
              </w:sdtPr>
              <w:sdtEndPr/>
              <w:sdtContent>
                <w:tc>
                  <w:tcPr>
                    <w:tcW w:w="491" w:type="pct"/>
                    <w:vAlign w:val="center"/>
                  </w:tcPr>
                  <w:p w14:paraId="7C89C875" w14:textId="77777777" w:rsidR="00D21C1F" w:rsidRDefault="00A42880">
                    <w:pPr>
                      <w:pStyle w:val="80"/>
                      <w:rPr>
                        <w:rFonts w:ascii="宋体" w:hAnsi="宋体"/>
                      </w:rPr>
                    </w:pPr>
                    <w:r>
                      <w:rPr>
                        <w:rFonts w:ascii="宋体" w:hAnsi="宋体" w:hint="eastAsia"/>
                      </w:rPr>
                      <w:t>减值准备</w:t>
                    </w:r>
                  </w:p>
                </w:tc>
              </w:sdtContent>
            </w:sdt>
            <w:sdt>
              <w:sdtPr>
                <w:rPr>
                  <w:rFonts w:ascii="宋体" w:hAnsi="宋体"/>
                </w:rPr>
                <w:tag w:val="_PLD_49aa1c2d25814b789479d76afb6fc844"/>
                <w:id w:val="798029857"/>
                <w:lock w:val="sdtLocked"/>
              </w:sdtPr>
              <w:sdtEndPr/>
              <w:sdtContent>
                <w:tc>
                  <w:tcPr>
                    <w:tcW w:w="784" w:type="pct"/>
                    <w:vAlign w:val="center"/>
                  </w:tcPr>
                  <w:p w14:paraId="4CDC28EA" w14:textId="77777777" w:rsidR="00D21C1F" w:rsidRDefault="00A42880">
                    <w:pPr>
                      <w:pStyle w:val="80"/>
                      <w:rPr>
                        <w:rFonts w:ascii="宋体" w:hAnsi="宋体"/>
                      </w:rPr>
                    </w:pPr>
                    <w:r>
                      <w:rPr>
                        <w:rFonts w:ascii="宋体" w:hAnsi="宋体" w:hint="eastAsia"/>
                      </w:rPr>
                      <w:t>账面价值</w:t>
                    </w:r>
                  </w:p>
                </w:tc>
              </w:sdtContent>
            </w:sdt>
            <w:sdt>
              <w:sdtPr>
                <w:tag w:val="_PLD_4bba2db5e5a549ecafbf4e94a7af2e35"/>
                <w:id w:val="1859160373"/>
                <w:lock w:val="sdtLocked"/>
              </w:sdtPr>
              <w:sdtEndPr/>
              <w:sdtContent>
                <w:tc>
                  <w:tcPr>
                    <w:tcW w:w="743" w:type="pct"/>
                    <w:vAlign w:val="center"/>
                  </w:tcPr>
                  <w:p w14:paraId="351A6EF4" w14:textId="77777777" w:rsidR="00D21C1F" w:rsidRDefault="00A42880">
                    <w:pPr>
                      <w:tabs>
                        <w:tab w:val="left" w:pos="420"/>
                      </w:tabs>
                      <w:ind w:left="420" w:hanging="420"/>
                      <w:jc w:val="center"/>
                      <w:rPr>
                        <w:szCs w:val="21"/>
                      </w:rPr>
                    </w:pPr>
                    <w:r>
                      <w:rPr>
                        <w:rFonts w:hint="eastAsia"/>
                        <w:szCs w:val="21"/>
                      </w:rPr>
                      <w:t>账面余额</w:t>
                    </w:r>
                  </w:p>
                </w:tc>
              </w:sdtContent>
            </w:sdt>
            <w:sdt>
              <w:sdtPr>
                <w:rPr>
                  <w:rFonts w:ascii="宋体" w:hAnsi="宋体"/>
                </w:rPr>
                <w:tag w:val="_PLD_e054d8cd1e1b4672ae08a495b587bdce"/>
                <w:id w:val="228653498"/>
                <w:lock w:val="sdtLocked"/>
              </w:sdtPr>
              <w:sdtEndPr/>
              <w:sdtContent>
                <w:tc>
                  <w:tcPr>
                    <w:tcW w:w="516" w:type="pct"/>
                    <w:vAlign w:val="center"/>
                  </w:tcPr>
                  <w:p w14:paraId="521F473A" w14:textId="77777777" w:rsidR="00D21C1F" w:rsidRDefault="00A42880">
                    <w:pPr>
                      <w:pStyle w:val="80"/>
                      <w:rPr>
                        <w:rFonts w:ascii="宋体" w:hAnsi="宋体"/>
                      </w:rPr>
                    </w:pPr>
                    <w:r>
                      <w:rPr>
                        <w:rFonts w:ascii="宋体" w:hAnsi="宋体" w:hint="eastAsia"/>
                      </w:rPr>
                      <w:t>减值准备</w:t>
                    </w:r>
                  </w:p>
                </w:tc>
              </w:sdtContent>
            </w:sdt>
            <w:sdt>
              <w:sdtPr>
                <w:rPr>
                  <w:rFonts w:ascii="宋体" w:hAnsi="宋体"/>
                </w:rPr>
                <w:tag w:val="_PLD_bd3055c2713a44fa9cbd3fd973d34c6a"/>
                <w:id w:val="-725677331"/>
                <w:lock w:val="sdtLocked"/>
              </w:sdtPr>
              <w:sdtEndPr/>
              <w:sdtContent>
                <w:tc>
                  <w:tcPr>
                    <w:tcW w:w="743" w:type="pct"/>
                    <w:vAlign w:val="center"/>
                  </w:tcPr>
                  <w:p w14:paraId="14FC6BF1" w14:textId="77777777" w:rsidR="00D21C1F" w:rsidRDefault="00A42880">
                    <w:pPr>
                      <w:pStyle w:val="80"/>
                      <w:rPr>
                        <w:rFonts w:ascii="宋体" w:hAnsi="宋体"/>
                      </w:rPr>
                    </w:pPr>
                    <w:r>
                      <w:rPr>
                        <w:rFonts w:ascii="宋体" w:hAnsi="宋体" w:hint="eastAsia"/>
                      </w:rPr>
                      <w:t>账面价值</w:t>
                    </w:r>
                  </w:p>
                </w:tc>
              </w:sdtContent>
            </w:sdt>
          </w:tr>
          <w:sdt>
            <w:sdtPr>
              <w:rPr>
                <w:szCs w:val="21"/>
              </w:rPr>
              <w:alias w:val="在建工程情况明细"/>
              <w:tag w:val="_GBC_5f073fecf2ff4f9ba33e687f80450c77"/>
              <w:id w:val="1677838966"/>
              <w:lock w:val="sdtLocked"/>
            </w:sdtPr>
            <w:sdtEndPr>
              <w:rPr>
                <w:rFonts w:ascii="Times New Roman" w:hAnsi="Times New Roman" w:cs="Times New Roman"/>
              </w:rPr>
            </w:sdtEndPr>
            <w:sdtContent>
              <w:tr w:rsidR="00D21C1F" w14:paraId="6F867337" w14:textId="77777777" w:rsidTr="00B70530">
                <w:trPr>
                  <w:cantSplit/>
                </w:trPr>
                <w:tc>
                  <w:tcPr>
                    <w:tcW w:w="920" w:type="pct"/>
                  </w:tcPr>
                  <w:p w14:paraId="6615A1AB" w14:textId="77777777" w:rsidR="00D21C1F" w:rsidRDefault="00A42880">
                    <w:pPr>
                      <w:rPr>
                        <w:szCs w:val="21"/>
                      </w:rPr>
                    </w:pPr>
                    <w:r>
                      <w:rPr>
                        <w:rFonts w:ascii="Times New Roman" w:hAnsi="Times New Roman"/>
                      </w:rPr>
                      <w:t>CMA</w:t>
                    </w:r>
                    <w:r>
                      <w:t>房屋建筑物更新改造</w:t>
                    </w:r>
                  </w:p>
                </w:tc>
                <w:tc>
                  <w:tcPr>
                    <w:tcW w:w="802" w:type="pct"/>
                    <w:vAlign w:val="center"/>
                  </w:tcPr>
                  <w:p w14:paraId="66E80CC3" w14:textId="77777777" w:rsidR="00D21C1F" w:rsidRPr="00B70530" w:rsidRDefault="00A42880" w:rsidP="00B70530">
                    <w:pPr>
                      <w:ind w:right="105"/>
                      <w:jc w:val="right"/>
                      <w:rPr>
                        <w:rFonts w:ascii="Times New Roman" w:hAnsi="Times New Roman" w:cs="Times New Roman"/>
                        <w:szCs w:val="21"/>
                      </w:rPr>
                    </w:pPr>
                    <w:r w:rsidRPr="00B70530">
                      <w:rPr>
                        <w:rFonts w:ascii="Times New Roman" w:hAnsi="Times New Roman" w:cs="Times New Roman"/>
                        <w:szCs w:val="21"/>
                      </w:rPr>
                      <w:t>1,070,981.81</w:t>
                    </w:r>
                  </w:p>
                </w:tc>
                <w:tc>
                  <w:tcPr>
                    <w:tcW w:w="491" w:type="pct"/>
                    <w:vAlign w:val="center"/>
                  </w:tcPr>
                  <w:p w14:paraId="6F3E8767"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w:t>
                    </w:r>
                  </w:p>
                </w:tc>
                <w:tc>
                  <w:tcPr>
                    <w:tcW w:w="784" w:type="pct"/>
                    <w:vAlign w:val="center"/>
                  </w:tcPr>
                  <w:p w14:paraId="4CDD7034"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rPr>
                      <w:t>1,070,981.81</w:t>
                    </w:r>
                  </w:p>
                </w:tc>
                <w:tc>
                  <w:tcPr>
                    <w:tcW w:w="743" w:type="pct"/>
                    <w:vAlign w:val="center"/>
                  </w:tcPr>
                  <w:p w14:paraId="66266968"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1,118,189.62</w:t>
                    </w:r>
                  </w:p>
                </w:tc>
                <w:tc>
                  <w:tcPr>
                    <w:tcW w:w="516" w:type="pct"/>
                    <w:vAlign w:val="center"/>
                  </w:tcPr>
                  <w:p w14:paraId="6AA6B7E9"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w:t>
                    </w:r>
                  </w:p>
                </w:tc>
                <w:tc>
                  <w:tcPr>
                    <w:tcW w:w="743" w:type="pct"/>
                    <w:vAlign w:val="center"/>
                  </w:tcPr>
                  <w:p w14:paraId="18EA4C86"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1,118,189.62</w:t>
                    </w:r>
                  </w:p>
                </w:tc>
              </w:tr>
            </w:sdtContent>
          </w:sdt>
          <w:sdt>
            <w:sdtPr>
              <w:rPr>
                <w:szCs w:val="21"/>
              </w:rPr>
              <w:alias w:val="在建工程情况明细"/>
              <w:tag w:val="_GBC_5f073fecf2ff4f9ba33e687f80450c77"/>
              <w:id w:val="-1966883308"/>
              <w:lock w:val="sdtLocked"/>
            </w:sdtPr>
            <w:sdtEndPr>
              <w:rPr>
                <w:rFonts w:ascii="Times New Roman" w:hAnsi="Times New Roman" w:cs="Times New Roman"/>
              </w:rPr>
            </w:sdtEndPr>
            <w:sdtContent>
              <w:tr w:rsidR="00D21C1F" w14:paraId="3BFEAF19" w14:textId="77777777" w:rsidTr="00B70530">
                <w:trPr>
                  <w:cantSplit/>
                </w:trPr>
                <w:tc>
                  <w:tcPr>
                    <w:tcW w:w="920" w:type="pct"/>
                  </w:tcPr>
                  <w:p w14:paraId="13FEEA36" w14:textId="77777777" w:rsidR="00D21C1F" w:rsidRDefault="00A42880">
                    <w:pPr>
                      <w:rPr>
                        <w:szCs w:val="21"/>
                      </w:rPr>
                    </w:pPr>
                    <w:r>
                      <w:rPr>
                        <w:rFonts w:ascii="Times New Roman" w:hAnsi="Times New Roman"/>
                      </w:rPr>
                      <w:t>EC2</w:t>
                    </w:r>
                    <w:r>
                      <w:t>-</w:t>
                    </w:r>
                    <w:r>
                      <w:rPr>
                        <w:rFonts w:ascii="Times New Roman" w:hAnsi="Times New Roman"/>
                      </w:rPr>
                      <w:t>X</w:t>
                    </w:r>
                    <w:r>
                      <w:t>检测设备</w:t>
                    </w:r>
                    <w:r>
                      <w:rPr>
                        <w:rFonts w:hint="eastAsia"/>
                      </w:rPr>
                      <w:t>安装调试</w:t>
                    </w:r>
                    <w:r>
                      <w:t>项目</w:t>
                    </w:r>
                  </w:p>
                </w:tc>
                <w:tc>
                  <w:tcPr>
                    <w:tcW w:w="802" w:type="pct"/>
                    <w:vAlign w:val="center"/>
                  </w:tcPr>
                  <w:p w14:paraId="356BDC61" w14:textId="77777777" w:rsidR="00D21C1F" w:rsidRPr="00B70530" w:rsidRDefault="00A42880" w:rsidP="00B70530">
                    <w:pPr>
                      <w:ind w:right="105"/>
                      <w:jc w:val="right"/>
                      <w:rPr>
                        <w:rFonts w:ascii="Times New Roman" w:hAnsi="Times New Roman" w:cs="Times New Roman"/>
                        <w:szCs w:val="21"/>
                      </w:rPr>
                    </w:pPr>
                    <w:r w:rsidRPr="00B70530">
                      <w:rPr>
                        <w:rFonts w:ascii="Times New Roman" w:hAnsi="Times New Roman" w:cs="Times New Roman"/>
                      </w:rPr>
                      <w:t>1,284,049.69</w:t>
                    </w:r>
                  </w:p>
                </w:tc>
                <w:tc>
                  <w:tcPr>
                    <w:tcW w:w="491" w:type="pct"/>
                    <w:vAlign w:val="center"/>
                  </w:tcPr>
                  <w:p w14:paraId="05F24903"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w:t>
                    </w:r>
                  </w:p>
                </w:tc>
                <w:tc>
                  <w:tcPr>
                    <w:tcW w:w="784" w:type="pct"/>
                    <w:vAlign w:val="center"/>
                  </w:tcPr>
                  <w:p w14:paraId="3AE7AE6A"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rPr>
                      <w:t>1,284,049.69</w:t>
                    </w:r>
                  </w:p>
                </w:tc>
                <w:tc>
                  <w:tcPr>
                    <w:tcW w:w="743" w:type="pct"/>
                    <w:vAlign w:val="center"/>
                  </w:tcPr>
                  <w:p w14:paraId="651AE66E"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w:t>
                    </w:r>
                  </w:p>
                </w:tc>
                <w:tc>
                  <w:tcPr>
                    <w:tcW w:w="516" w:type="pct"/>
                    <w:vAlign w:val="center"/>
                  </w:tcPr>
                  <w:p w14:paraId="54070691"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w:t>
                    </w:r>
                  </w:p>
                </w:tc>
                <w:tc>
                  <w:tcPr>
                    <w:tcW w:w="743" w:type="pct"/>
                    <w:vAlign w:val="center"/>
                  </w:tcPr>
                  <w:p w14:paraId="2C93C524"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w:t>
                    </w:r>
                  </w:p>
                </w:tc>
              </w:tr>
            </w:sdtContent>
          </w:sdt>
          <w:sdt>
            <w:sdtPr>
              <w:rPr>
                <w:szCs w:val="21"/>
              </w:rPr>
              <w:alias w:val="在建工程情况明细"/>
              <w:tag w:val="_GBC_5f073fecf2ff4f9ba33e687f80450c77"/>
              <w:id w:val="1830176200"/>
              <w:lock w:val="sdtLocked"/>
            </w:sdtPr>
            <w:sdtEndPr>
              <w:rPr>
                <w:rFonts w:ascii="Times New Roman" w:hAnsi="Times New Roman" w:cs="Times New Roman"/>
              </w:rPr>
            </w:sdtEndPr>
            <w:sdtContent>
              <w:tr w:rsidR="00D21C1F" w14:paraId="377BA3C5" w14:textId="77777777" w:rsidTr="00B70530">
                <w:trPr>
                  <w:cantSplit/>
                </w:trPr>
                <w:tc>
                  <w:tcPr>
                    <w:tcW w:w="920" w:type="pct"/>
                  </w:tcPr>
                  <w:p w14:paraId="349034B0" w14:textId="77777777" w:rsidR="00D21C1F" w:rsidRDefault="00A42880">
                    <w:pPr>
                      <w:rPr>
                        <w:szCs w:val="21"/>
                      </w:rPr>
                    </w:pPr>
                    <w:r>
                      <w:t>其他待安装设备项目</w:t>
                    </w:r>
                  </w:p>
                </w:tc>
                <w:tc>
                  <w:tcPr>
                    <w:tcW w:w="802" w:type="pct"/>
                    <w:vAlign w:val="center"/>
                  </w:tcPr>
                  <w:p w14:paraId="1B421F47" w14:textId="77777777" w:rsidR="00D21C1F" w:rsidRPr="00B70530" w:rsidRDefault="00A42880" w:rsidP="00B70530">
                    <w:pPr>
                      <w:ind w:right="105"/>
                      <w:jc w:val="right"/>
                      <w:rPr>
                        <w:rFonts w:ascii="Times New Roman" w:hAnsi="Times New Roman" w:cs="Times New Roman"/>
                        <w:szCs w:val="21"/>
                      </w:rPr>
                    </w:pPr>
                    <w:r w:rsidRPr="00B70530">
                      <w:rPr>
                        <w:rFonts w:ascii="Times New Roman" w:hAnsi="Times New Roman" w:cs="Times New Roman"/>
                        <w:szCs w:val="21"/>
                      </w:rPr>
                      <w:t>1,878,896.52</w:t>
                    </w:r>
                  </w:p>
                </w:tc>
                <w:tc>
                  <w:tcPr>
                    <w:tcW w:w="491" w:type="pct"/>
                    <w:vAlign w:val="center"/>
                  </w:tcPr>
                  <w:p w14:paraId="52B6AA61"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w:t>
                    </w:r>
                  </w:p>
                </w:tc>
                <w:tc>
                  <w:tcPr>
                    <w:tcW w:w="784" w:type="pct"/>
                    <w:vAlign w:val="center"/>
                  </w:tcPr>
                  <w:p w14:paraId="44B31EEF"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rPr>
                      <w:t>1,878,896.52</w:t>
                    </w:r>
                  </w:p>
                </w:tc>
                <w:tc>
                  <w:tcPr>
                    <w:tcW w:w="743" w:type="pct"/>
                    <w:vAlign w:val="center"/>
                  </w:tcPr>
                  <w:p w14:paraId="26B68C8B"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447,965.07</w:t>
                    </w:r>
                  </w:p>
                </w:tc>
                <w:tc>
                  <w:tcPr>
                    <w:tcW w:w="516" w:type="pct"/>
                    <w:vAlign w:val="center"/>
                  </w:tcPr>
                  <w:p w14:paraId="443A828B"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w:t>
                    </w:r>
                  </w:p>
                </w:tc>
                <w:tc>
                  <w:tcPr>
                    <w:tcW w:w="743" w:type="pct"/>
                    <w:vAlign w:val="center"/>
                  </w:tcPr>
                  <w:p w14:paraId="13AEE45E"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rPr>
                      <w:t>447,965.07</w:t>
                    </w:r>
                  </w:p>
                </w:tc>
              </w:tr>
            </w:sdtContent>
          </w:sdt>
          <w:tr w:rsidR="00D21C1F" w14:paraId="1D75D1AD" w14:textId="77777777" w:rsidTr="00B70530">
            <w:trPr>
              <w:cantSplit/>
            </w:trPr>
            <w:sdt>
              <w:sdtPr>
                <w:tag w:val="_PLD_fb8a9351bc5144ab907a84376899a536"/>
                <w:id w:val="1769043754"/>
                <w:lock w:val="sdtLocked"/>
              </w:sdtPr>
              <w:sdtEndPr/>
              <w:sdtContent>
                <w:tc>
                  <w:tcPr>
                    <w:tcW w:w="920" w:type="pct"/>
                    <w:vAlign w:val="center"/>
                  </w:tcPr>
                  <w:p w14:paraId="1D468A32" w14:textId="77777777" w:rsidR="00D21C1F" w:rsidRDefault="00A42880">
                    <w:pPr>
                      <w:jc w:val="center"/>
                      <w:rPr>
                        <w:szCs w:val="21"/>
                      </w:rPr>
                    </w:pPr>
                    <w:r>
                      <w:rPr>
                        <w:rFonts w:hint="eastAsia"/>
                        <w:szCs w:val="21"/>
                      </w:rPr>
                      <w:t>合计</w:t>
                    </w:r>
                  </w:p>
                </w:tc>
              </w:sdtContent>
            </w:sdt>
            <w:tc>
              <w:tcPr>
                <w:tcW w:w="802" w:type="pct"/>
                <w:vAlign w:val="center"/>
              </w:tcPr>
              <w:p w14:paraId="36305A89" w14:textId="77777777" w:rsidR="00D21C1F" w:rsidRPr="00B70530" w:rsidRDefault="00A42880" w:rsidP="00B70530">
                <w:pPr>
                  <w:jc w:val="right"/>
                  <w:rPr>
                    <w:rFonts w:ascii="Times New Roman" w:hAnsi="Times New Roman" w:cs="Times New Roman"/>
                  </w:rPr>
                </w:pPr>
                <w:r w:rsidRPr="00B70530">
                  <w:rPr>
                    <w:rFonts w:ascii="Times New Roman" w:hAnsi="Times New Roman" w:cs="Times New Roman"/>
                  </w:rPr>
                  <w:t>4,233,928.02</w:t>
                </w:r>
              </w:p>
            </w:tc>
            <w:tc>
              <w:tcPr>
                <w:tcW w:w="491" w:type="pct"/>
                <w:vAlign w:val="center"/>
              </w:tcPr>
              <w:p w14:paraId="780E0059" w14:textId="77777777" w:rsidR="00D21C1F" w:rsidRPr="00B70530" w:rsidRDefault="00A42880" w:rsidP="00B70530">
                <w:pPr>
                  <w:jc w:val="right"/>
                  <w:rPr>
                    <w:rFonts w:ascii="Times New Roman" w:hAnsi="Times New Roman" w:cs="Times New Roman"/>
                  </w:rPr>
                </w:pPr>
                <w:r w:rsidRPr="00B70530">
                  <w:rPr>
                    <w:rFonts w:ascii="Times New Roman" w:hAnsi="Times New Roman" w:cs="Times New Roman"/>
                  </w:rPr>
                  <w:t>-</w:t>
                </w:r>
              </w:p>
            </w:tc>
            <w:tc>
              <w:tcPr>
                <w:tcW w:w="784" w:type="pct"/>
                <w:vAlign w:val="center"/>
              </w:tcPr>
              <w:p w14:paraId="4C305A94" w14:textId="77777777" w:rsidR="00D21C1F" w:rsidRPr="00B70530" w:rsidRDefault="00A42880" w:rsidP="00B70530">
                <w:pPr>
                  <w:jc w:val="right"/>
                  <w:rPr>
                    <w:rFonts w:ascii="Times New Roman" w:hAnsi="Times New Roman" w:cs="Times New Roman"/>
                  </w:rPr>
                </w:pPr>
                <w:r w:rsidRPr="00B70530">
                  <w:rPr>
                    <w:rFonts w:ascii="Times New Roman" w:hAnsi="Times New Roman" w:cs="Times New Roman"/>
                  </w:rPr>
                  <w:t>4,233,928.02</w:t>
                </w:r>
              </w:p>
            </w:tc>
            <w:tc>
              <w:tcPr>
                <w:tcW w:w="743" w:type="pct"/>
                <w:vAlign w:val="center"/>
              </w:tcPr>
              <w:p w14:paraId="760FD088" w14:textId="77777777" w:rsidR="00D21C1F" w:rsidRPr="00B70530" w:rsidRDefault="00A42880" w:rsidP="00B70530">
                <w:pPr>
                  <w:jc w:val="right"/>
                  <w:rPr>
                    <w:rFonts w:ascii="Times New Roman" w:hAnsi="Times New Roman" w:cs="Times New Roman"/>
                  </w:rPr>
                </w:pPr>
                <w:r w:rsidRPr="00B70530">
                  <w:rPr>
                    <w:rFonts w:ascii="Times New Roman" w:hAnsi="Times New Roman" w:cs="Times New Roman"/>
                  </w:rPr>
                  <w:t>1,566,154.69</w:t>
                </w:r>
              </w:p>
            </w:tc>
            <w:tc>
              <w:tcPr>
                <w:tcW w:w="516" w:type="pct"/>
                <w:vAlign w:val="center"/>
              </w:tcPr>
              <w:p w14:paraId="57BFD968" w14:textId="77777777" w:rsidR="00D21C1F" w:rsidRPr="00B70530" w:rsidRDefault="00A42880" w:rsidP="00B70530">
                <w:pPr>
                  <w:jc w:val="right"/>
                  <w:rPr>
                    <w:rFonts w:ascii="Times New Roman" w:hAnsi="Times New Roman" w:cs="Times New Roman"/>
                  </w:rPr>
                </w:pPr>
                <w:r w:rsidRPr="00B70530">
                  <w:rPr>
                    <w:rFonts w:ascii="Times New Roman" w:hAnsi="Times New Roman" w:cs="Times New Roman"/>
                  </w:rPr>
                  <w:t>-</w:t>
                </w:r>
              </w:p>
            </w:tc>
            <w:tc>
              <w:tcPr>
                <w:tcW w:w="743" w:type="pct"/>
                <w:vAlign w:val="center"/>
              </w:tcPr>
              <w:p w14:paraId="7604491D" w14:textId="77777777" w:rsidR="00D21C1F" w:rsidRPr="00B70530" w:rsidRDefault="00A42880" w:rsidP="00B70530">
                <w:pPr>
                  <w:jc w:val="right"/>
                  <w:rPr>
                    <w:rFonts w:ascii="Times New Roman" w:hAnsi="Times New Roman" w:cs="Times New Roman"/>
                  </w:rPr>
                </w:pPr>
                <w:r w:rsidRPr="00B70530">
                  <w:rPr>
                    <w:rFonts w:ascii="Times New Roman" w:hAnsi="Times New Roman" w:cs="Times New Roman"/>
                  </w:rPr>
                  <w:t>1,566,154.69</w:t>
                </w:r>
              </w:p>
            </w:tc>
          </w:tr>
        </w:tbl>
        <w:p w14:paraId="4BF9A24E" w14:textId="77777777" w:rsidR="00D21C1F" w:rsidRDefault="00045EC6">
          <w:pPr>
            <w:pStyle w:val="97"/>
          </w:pPr>
        </w:p>
      </w:sdtContent>
    </w:sdt>
    <w:p w14:paraId="42D4569D" w14:textId="77777777" w:rsidR="00D21C1F" w:rsidRDefault="00D21C1F">
      <w:pPr>
        <w:snapToGrid w:val="0"/>
        <w:spacing w:line="240" w:lineRule="atLeast"/>
        <w:ind w:rightChars="-416" w:right="-874"/>
        <w:rPr>
          <w:szCs w:val="21"/>
        </w:rPr>
        <w:sectPr w:rsidR="00D21C1F">
          <w:pgSz w:w="11906" w:h="16838"/>
          <w:pgMar w:top="1525" w:right="1276" w:bottom="1440" w:left="1797" w:header="856" w:footer="992" w:gutter="0"/>
          <w:cols w:space="425"/>
          <w:docGrid w:linePitch="312"/>
        </w:sectPr>
      </w:pPr>
    </w:p>
    <w:p w14:paraId="670B9B6D" w14:textId="77777777" w:rsidR="00D21C1F" w:rsidRDefault="00D21C1F">
      <w:pPr>
        <w:snapToGrid w:val="0"/>
        <w:spacing w:line="240" w:lineRule="atLeast"/>
        <w:ind w:rightChars="-416" w:right="-874"/>
        <w:rPr>
          <w:szCs w:val="21"/>
        </w:rPr>
      </w:pPr>
    </w:p>
    <w:sdt>
      <w:sdtPr>
        <w:rPr>
          <w:rFonts w:ascii="宋体" w:eastAsia="宋体" w:hAnsi="宋体" w:cs="宋体" w:hint="eastAsia"/>
          <w:b w:val="0"/>
          <w:bCs w:val="0"/>
          <w:kern w:val="0"/>
          <w:szCs w:val="21"/>
        </w:rPr>
        <w:alias w:val="模块:重大在建工程项目变动情况"/>
        <w:tag w:val="_GBC_b1eb75f465d7494995f17407201cfca9"/>
        <w:id w:val="1530995838"/>
        <w:lock w:val="sdtLocked"/>
        <w:placeholder>
          <w:docPart w:val="GBC22222222222222222222222222222"/>
        </w:placeholder>
      </w:sdtPr>
      <w:sdtEndPr>
        <w:rPr>
          <w:rFonts w:cstheme="minorBidi" w:hint="default"/>
        </w:rPr>
      </w:sdtEndPr>
      <w:sdtContent>
        <w:p w14:paraId="43568EFF" w14:textId="77777777" w:rsidR="00D21C1F" w:rsidRDefault="00A42880">
          <w:pPr>
            <w:pStyle w:val="93"/>
            <w:numPr>
              <w:ilvl w:val="0"/>
              <w:numId w:val="10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1044025094"/>
            <w:lock w:val="sdtLocked"/>
            <w:placeholder>
              <w:docPart w:val="GBC22222222222222222222222222222"/>
            </w:placeholder>
          </w:sdtPr>
          <w:sdtEndPr/>
          <w:sdtContent>
            <w:p w14:paraId="6AB8A3C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6FECA6" w14:textId="77777777" w:rsidR="00D21C1F" w:rsidRDefault="00A42880">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616333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在建工程项目变动情况"/>
              <w:tag w:val="_GBC_6fab639954e742c1bd6f75b3c51ecaf8"/>
              <w:id w:val="42261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097"/>
            <w:gridCol w:w="1270"/>
            <w:gridCol w:w="1291"/>
            <w:gridCol w:w="1367"/>
            <w:gridCol w:w="943"/>
            <w:gridCol w:w="979"/>
            <w:gridCol w:w="1292"/>
            <w:gridCol w:w="912"/>
            <w:gridCol w:w="943"/>
            <w:gridCol w:w="946"/>
            <w:gridCol w:w="929"/>
            <w:gridCol w:w="962"/>
            <w:gridCol w:w="932"/>
          </w:tblGrid>
          <w:tr w:rsidR="00D21C1F" w14:paraId="52028C58" w14:textId="77777777">
            <w:trPr>
              <w:cantSplit/>
            </w:trPr>
            <w:sdt>
              <w:sdtPr>
                <w:tag w:val="_PLD_911d5911af294d4f9d2b6b16b5f6c08b"/>
                <w:id w:val="-1467890770"/>
                <w:lock w:val="sdtLocked"/>
              </w:sdtPr>
              <w:sdtEndPr/>
              <w:sdtContent>
                <w:tc>
                  <w:tcPr>
                    <w:tcW w:w="404" w:type="pct"/>
                    <w:shd w:val="clear" w:color="auto" w:fill="auto"/>
                    <w:vAlign w:val="center"/>
                  </w:tcPr>
                  <w:p w14:paraId="08D6709A" w14:textId="77777777" w:rsidR="00D21C1F" w:rsidRDefault="00A42880">
                    <w:pPr>
                      <w:ind w:right="105"/>
                      <w:jc w:val="center"/>
                      <w:rPr>
                        <w:szCs w:val="21"/>
                      </w:rPr>
                    </w:pPr>
                    <w:r>
                      <w:rPr>
                        <w:rFonts w:hint="eastAsia"/>
                        <w:szCs w:val="21"/>
                      </w:rPr>
                      <w:t>项目名称</w:t>
                    </w:r>
                  </w:p>
                </w:tc>
              </w:sdtContent>
            </w:sdt>
            <w:sdt>
              <w:sdtPr>
                <w:tag w:val="_PLD_667404be40294d63b853abf58a9d185f"/>
                <w:id w:val="1139310802"/>
                <w:lock w:val="sdtLocked"/>
              </w:sdtPr>
              <w:sdtEndPr/>
              <w:sdtContent>
                <w:tc>
                  <w:tcPr>
                    <w:tcW w:w="361" w:type="pct"/>
                    <w:shd w:val="clear" w:color="auto" w:fill="auto"/>
                    <w:vAlign w:val="center"/>
                  </w:tcPr>
                  <w:p w14:paraId="25AA84AF" w14:textId="77777777" w:rsidR="00D21C1F" w:rsidRDefault="00A42880">
                    <w:pPr>
                      <w:ind w:right="105"/>
                      <w:jc w:val="center"/>
                      <w:rPr>
                        <w:szCs w:val="21"/>
                      </w:rPr>
                    </w:pPr>
                    <w:r>
                      <w:rPr>
                        <w:rFonts w:hint="eastAsia"/>
                        <w:szCs w:val="21"/>
                      </w:rPr>
                      <w:t>预算数</w:t>
                    </w:r>
                  </w:p>
                </w:tc>
              </w:sdtContent>
            </w:sdt>
            <w:sdt>
              <w:sdtPr>
                <w:tag w:val="_PLD_25c75ebdcb434964b5f5e8b512151b0b"/>
                <w:id w:val="1146546728"/>
                <w:lock w:val="sdtLocked"/>
              </w:sdtPr>
              <w:sdtEndPr/>
              <w:sdtContent>
                <w:tc>
                  <w:tcPr>
                    <w:tcW w:w="474" w:type="pct"/>
                    <w:shd w:val="clear" w:color="auto" w:fill="auto"/>
                    <w:vAlign w:val="center"/>
                  </w:tcPr>
                  <w:p w14:paraId="19B10505" w14:textId="77777777" w:rsidR="00D21C1F" w:rsidRDefault="00A42880">
                    <w:pPr>
                      <w:ind w:right="105"/>
                      <w:jc w:val="center"/>
                      <w:rPr>
                        <w:szCs w:val="21"/>
                      </w:rPr>
                    </w:pPr>
                    <w:r>
                      <w:rPr>
                        <w:rFonts w:hint="eastAsia"/>
                        <w:szCs w:val="21"/>
                      </w:rPr>
                      <w:t>期初</w:t>
                    </w:r>
                  </w:p>
                  <w:p w14:paraId="371A4352" w14:textId="77777777" w:rsidR="00D21C1F" w:rsidRDefault="00A42880">
                    <w:pPr>
                      <w:ind w:right="105"/>
                      <w:jc w:val="center"/>
                      <w:rPr>
                        <w:szCs w:val="21"/>
                      </w:rPr>
                    </w:pPr>
                    <w:r>
                      <w:rPr>
                        <w:rFonts w:hint="eastAsia"/>
                        <w:szCs w:val="21"/>
                      </w:rPr>
                      <w:t>余额</w:t>
                    </w:r>
                  </w:p>
                </w:tc>
              </w:sdtContent>
            </w:sdt>
            <w:sdt>
              <w:sdtPr>
                <w:tag w:val="_PLD_0117182ae7e24536a0996423ddcfa5f0"/>
                <w:id w:val="1906177409"/>
                <w:lock w:val="sdtLocked"/>
              </w:sdtPr>
              <w:sdtEndPr/>
              <w:sdtContent>
                <w:tc>
                  <w:tcPr>
                    <w:tcW w:w="501" w:type="pct"/>
                    <w:shd w:val="clear" w:color="auto" w:fill="auto"/>
                    <w:vAlign w:val="center"/>
                  </w:tcPr>
                  <w:p w14:paraId="0595649A" w14:textId="77777777" w:rsidR="00D21C1F" w:rsidRDefault="00A42880">
                    <w:pPr>
                      <w:ind w:right="105"/>
                      <w:jc w:val="center"/>
                      <w:rPr>
                        <w:szCs w:val="21"/>
                      </w:rPr>
                    </w:pPr>
                    <w:r>
                      <w:rPr>
                        <w:rFonts w:hint="eastAsia"/>
                        <w:szCs w:val="21"/>
                      </w:rPr>
                      <w:t>本期增加金额</w:t>
                    </w:r>
                  </w:p>
                </w:tc>
              </w:sdtContent>
            </w:sdt>
            <w:sdt>
              <w:sdtPr>
                <w:tag w:val="_PLD_6db4feaec90f4eeeb4ed5fb04d298657"/>
                <w:id w:val="-1160775632"/>
                <w:lock w:val="sdtLocked"/>
              </w:sdtPr>
              <w:sdtEndPr/>
              <w:sdtContent>
                <w:tc>
                  <w:tcPr>
                    <w:tcW w:w="348" w:type="pct"/>
                    <w:shd w:val="clear" w:color="auto" w:fill="auto"/>
                    <w:vAlign w:val="center"/>
                  </w:tcPr>
                  <w:p w14:paraId="4F412A2E" w14:textId="77777777" w:rsidR="00D21C1F" w:rsidRDefault="00A42880">
                    <w:pPr>
                      <w:ind w:right="73"/>
                      <w:jc w:val="center"/>
                      <w:rPr>
                        <w:szCs w:val="21"/>
                      </w:rPr>
                    </w:pPr>
                    <w:r>
                      <w:rPr>
                        <w:rFonts w:hint="eastAsia"/>
                        <w:szCs w:val="21"/>
                      </w:rPr>
                      <w:t>本期转入固定资产金额</w:t>
                    </w:r>
                  </w:p>
                </w:tc>
              </w:sdtContent>
            </w:sdt>
            <w:sdt>
              <w:sdtPr>
                <w:tag w:val="_PLD_1fe85c3ed6f84f6f85209149a9931055"/>
                <w:id w:val="-1246874619"/>
                <w:lock w:val="sdtLocked"/>
              </w:sdtPr>
              <w:sdtEndPr/>
              <w:sdtContent>
                <w:tc>
                  <w:tcPr>
                    <w:tcW w:w="361" w:type="pct"/>
                    <w:shd w:val="clear" w:color="auto" w:fill="auto"/>
                    <w:vAlign w:val="center"/>
                  </w:tcPr>
                  <w:p w14:paraId="11FC166F" w14:textId="77777777" w:rsidR="00D21C1F" w:rsidRDefault="00A42880">
                    <w:pPr>
                      <w:ind w:right="73"/>
                      <w:jc w:val="center"/>
                      <w:rPr>
                        <w:szCs w:val="21"/>
                      </w:rPr>
                    </w:pPr>
                    <w:r>
                      <w:rPr>
                        <w:rFonts w:hint="eastAsia"/>
                        <w:szCs w:val="21"/>
                      </w:rPr>
                      <w:t>本期其他减少金额</w:t>
                    </w:r>
                  </w:p>
                </w:tc>
              </w:sdtContent>
            </w:sdt>
            <w:sdt>
              <w:sdtPr>
                <w:tag w:val="_PLD_7954fe4b89f644d29865af249dfe8c3f"/>
                <w:id w:val="-442386582"/>
                <w:lock w:val="sdtLocked"/>
              </w:sdtPr>
              <w:sdtEndPr/>
              <w:sdtContent>
                <w:tc>
                  <w:tcPr>
                    <w:tcW w:w="474" w:type="pct"/>
                    <w:vAlign w:val="center"/>
                  </w:tcPr>
                  <w:p w14:paraId="0EF54D22" w14:textId="77777777" w:rsidR="00D21C1F" w:rsidRDefault="00A42880">
                    <w:pPr>
                      <w:jc w:val="center"/>
                      <w:rPr>
                        <w:szCs w:val="21"/>
                      </w:rPr>
                    </w:pPr>
                    <w:r>
                      <w:rPr>
                        <w:rFonts w:hint="eastAsia"/>
                        <w:szCs w:val="21"/>
                      </w:rPr>
                      <w:t>期末</w:t>
                    </w:r>
                  </w:p>
                  <w:p w14:paraId="739CDCA7" w14:textId="77777777" w:rsidR="00D21C1F" w:rsidRDefault="00A42880">
                    <w:pPr>
                      <w:jc w:val="center"/>
                      <w:rPr>
                        <w:szCs w:val="21"/>
                      </w:rPr>
                    </w:pPr>
                    <w:r>
                      <w:rPr>
                        <w:rFonts w:hint="eastAsia"/>
                        <w:szCs w:val="21"/>
                      </w:rPr>
                      <w:t>余额</w:t>
                    </w:r>
                  </w:p>
                </w:tc>
              </w:sdtContent>
            </w:sdt>
            <w:sdt>
              <w:sdtPr>
                <w:tag w:val="_PLD_d9aa12b28eda4362b90372032218ea1a"/>
                <w:id w:val="-1310016884"/>
                <w:lock w:val="sdtLocked"/>
              </w:sdtPr>
              <w:sdtEndPr/>
              <w:sdtContent>
                <w:tc>
                  <w:tcPr>
                    <w:tcW w:w="337" w:type="pct"/>
                    <w:shd w:val="clear" w:color="auto" w:fill="auto"/>
                    <w:vAlign w:val="center"/>
                  </w:tcPr>
                  <w:p w14:paraId="63C9E18F" w14:textId="77777777" w:rsidR="00D21C1F" w:rsidRDefault="00A42880">
                    <w:pPr>
                      <w:jc w:val="center"/>
                      <w:rPr>
                        <w:szCs w:val="21"/>
                      </w:rPr>
                    </w:pPr>
                    <w:r>
                      <w:rPr>
                        <w:rFonts w:hint="eastAsia"/>
                        <w:szCs w:val="21"/>
                      </w:rPr>
                      <w:t>工程累计投入占预算比例(%)</w:t>
                    </w:r>
                  </w:p>
                </w:tc>
              </w:sdtContent>
            </w:sdt>
            <w:sdt>
              <w:sdtPr>
                <w:tag w:val="_PLD_9e610c25eba14177abc9b359511cb935"/>
                <w:id w:val="85888480"/>
                <w:lock w:val="sdtLocked"/>
              </w:sdtPr>
              <w:sdtEndPr/>
              <w:sdtContent>
                <w:tc>
                  <w:tcPr>
                    <w:tcW w:w="348" w:type="pct"/>
                    <w:shd w:val="clear" w:color="auto" w:fill="auto"/>
                    <w:vAlign w:val="center"/>
                  </w:tcPr>
                  <w:p w14:paraId="52DF248F" w14:textId="77777777" w:rsidR="00D21C1F" w:rsidRDefault="00A42880">
                    <w:pPr>
                      <w:jc w:val="center"/>
                      <w:rPr>
                        <w:szCs w:val="21"/>
                      </w:rPr>
                    </w:pPr>
                    <w:r>
                      <w:rPr>
                        <w:rFonts w:hint="eastAsia"/>
                        <w:szCs w:val="21"/>
                      </w:rPr>
                      <w:t>工程进度</w:t>
                    </w:r>
                  </w:p>
                </w:tc>
              </w:sdtContent>
            </w:sdt>
            <w:sdt>
              <w:sdtPr>
                <w:tag w:val="_PLD_e89a95ddf6ab4a6abe2d40f64c95699a"/>
                <w:id w:val="918445448"/>
                <w:lock w:val="sdtLocked"/>
              </w:sdtPr>
              <w:sdtEndPr/>
              <w:sdtContent>
                <w:tc>
                  <w:tcPr>
                    <w:tcW w:w="349" w:type="pct"/>
                    <w:shd w:val="clear" w:color="auto" w:fill="auto"/>
                    <w:vAlign w:val="center"/>
                  </w:tcPr>
                  <w:p w14:paraId="558A5438" w14:textId="77777777" w:rsidR="00D21C1F" w:rsidRDefault="00A42880">
                    <w:pPr>
                      <w:jc w:val="center"/>
                      <w:rPr>
                        <w:szCs w:val="21"/>
                      </w:rPr>
                    </w:pPr>
                    <w:r>
                      <w:rPr>
                        <w:rFonts w:hint="eastAsia"/>
                        <w:szCs w:val="21"/>
                      </w:rPr>
                      <w:t>利息资本化累计金额</w:t>
                    </w:r>
                  </w:p>
                </w:tc>
              </w:sdtContent>
            </w:sdt>
            <w:sdt>
              <w:sdtPr>
                <w:tag w:val="_PLD_211048c05b944d8f9bfd1d37edfd2f6d"/>
                <w:id w:val="2031223221"/>
                <w:lock w:val="sdtLocked"/>
              </w:sdtPr>
              <w:sdtEndPr/>
              <w:sdtContent>
                <w:tc>
                  <w:tcPr>
                    <w:tcW w:w="343" w:type="pct"/>
                    <w:shd w:val="clear" w:color="auto" w:fill="auto"/>
                    <w:vAlign w:val="center"/>
                  </w:tcPr>
                  <w:p w14:paraId="36CDD31E" w14:textId="77777777" w:rsidR="00D21C1F" w:rsidRDefault="00A42880">
                    <w:pPr>
                      <w:jc w:val="center"/>
                      <w:rPr>
                        <w:szCs w:val="21"/>
                      </w:rPr>
                    </w:pPr>
                    <w:r>
                      <w:rPr>
                        <w:rFonts w:hint="eastAsia"/>
                        <w:szCs w:val="21"/>
                      </w:rPr>
                      <w:t>其中：本期利息资本化金额</w:t>
                    </w:r>
                  </w:p>
                </w:tc>
              </w:sdtContent>
            </w:sdt>
            <w:sdt>
              <w:sdtPr>
                <w:tag w:val="_PLD_2cbfddfcd5e6493ba68633d99551c05f"/>
                <w:id w:val="-782964435"/>
                <w:lock w:val="sdtLocked"/>
              </w:sdtPr>
              <w:sdtEndPr/>
              <w:sdtContent>
                <w:tc>
                  <w:tcPr>
                    <w:tcW w:w="355" w:type="pct"/>
                    <w:shd w:val="clear" w:color="auto" w:fill="auto"/>
                    <w:vAlign w:val="center"/>
                  </w:tcPr>
                  <w:p w14:paraId="1128F986" w14:textId="77777777" w:rsidR="00D21C1F" w:rsidRDefault="00A42880">
                    <w:pPr>
                      <w:jc w:val="center"/>
                      <w:rPr>
                        <w:szCs w:val="21"/>
                      </w:rPr>
                    </w:pPr>
                    <w:r>
                      <w:rPr>
                        <w:rFonts w:hint="eastAsia"/>
                        <w:szCs w:val="21"/>
                      </w:rPr>
                      <w:t>本期利息资本化率(%)</w:t>
                    </w:r>
                  </w:p>
                </w:tc>
              </w:sdtContent>
            </w:sdt>
            <w:sdt>
              <w:sdtPr>
                <w:tag w:val="_PLD_39440674746d4382a4f99328187752a9"/>
                <w:id w:val="-853961604"/>
                <w:lock w:val="sdtLocked"/>
              </w:sdtPr>
              <w:sdtEndPr/>
              <w:sdtContent>
                <w:tc>
                  <w:tcPr>
                    <w:tcW w:w="344" w:type="pct"/>
                    <w:shd w:val="clear" w:color="auto" w:fill="auto"/>
                    <w:vAlign w:val="center"/>
                  </w:tcPr>
                  <w:p w14:paraId="6BF93210" w14:textId="77777777" w:rsidR="00D21C1F" w:rsidRDefault="00A42880">
                    <w:pPr>
                      <w:jc w:val="center"/>
                      <w:rPr>
                        <w:szCs w:val="21"/>
                      </w:rPr>
                    </w:pPr>
                    <w:r>
                      <w:rPr>
                        <w:rFonts w:hint="eastAsia"/>
                        <w:szCs w:val="21"/>
                      </w:rPr>
                      <w:t>资金来源</w:t>
                    </w:r>
                  </w:p>
                </w:tc>
              </w:sdtContent>
            </w:sdt>
          </w:tr>
          <w:sdt>
            <w:sdtPr>
              <w:rPr>
                <w:rFonts w:hint="eastAsia"/>
                <w:szCs w:val="21"/>
              </w:rPr>
              <w:alias w:val="在建工程明细"/>
              <w:tag w:val="_GBC_b84d9018f52b45beabeca7c2371cdc18"/>
              <w:id w:val="-996880636"/>
              <w:lock w:val="sdtLocked"/>
            </w:sdtPr>
            <w:sdtEndPr>
              <w:rPr>
                <w:rFonts w:ascii="Times New Roman" w:hAnsi="Times New Roman" w:cs="Times New Roman" w:hint="default"/>
              </w:rPr>
            </w:sdtEndPr>
            <w:sdtContent>
              <w:tr w:rsidR="00D21C1F" w14:paraId="101FFCDD" w14:textId="77777777" w:rsidTr="00B70530">
                <w:trPr>
                  <w:cantSplit/>
                </w:trPr>
                <w:tc>
                  <w:tcPr>
                    <w:tcW w:w="404" w:type="pct"/>
                    <w:shd w:val="clear" w:color="auto" w:fill="auto"/>
                  </w:tcPr>
                  <w:p w14:paraId="46CEE19D" w14:textId="77777777" w:rsidR="00D21C1F" w:rsidRDefault="00A42880">
                    <w:pPr>
                      <w:ind w:right="105"/>
                      <w:rPr>
                        <w:szCs w:val="21"/>
                      </w:rPr>
                    </w:pPr>
                    <w:r>
                      <w:rPr>
                        <w:rFonts w:ascii="Times New Roman" w:hAnsi="Times New Roman"/>
                      </w:rPr>
                      <w:t>CMA</w:t>
                    </w:r>
                    <w:r>
                      <w:t>房屋建筑物更新改造</w:t>
                    </w:r>
                  </w:p>
                </w:tc>
                <w:tc>
                  <w:tcPr>
                    <w:tcW w:w="361" w:type="pct"/>
                    <w:shd w:val="clear" w:color="auto" w:fill="auto"/>
                    <w:vAlign w:val="center"/>
                  </w:tcPr>
                  <w:p w14:paraId="09B20F1E" w14:textId="7E4331BE" w:rsidR="00D21C1F" w:rsidRPr="00B70530" w:rsidRDefault="00A42880" w:rsidP="00B70530">
                    <w:pPr>
                      <w:pStyle w:val="120"/>
                      <w:jc w:val="right"/>
                      <w:rPr>
                        <w:rFonts w:ascii="Times New Roman" w:hAnsi="Times New Roman" w:cs="Times New Roman"/>
                      </w:rPr>
                    </w:pPr>
                    <w:r w:rsidRPr="00B70530">
                      <w:rPr>
                        <w:rFonts w:ascii="Times New Roman" w:hAnsi="Times New Roman" w:cs="Times New Roman"/>
                      </w:rPr>
                      <w:t>1,32</w:t>
                    </w:r>
                    <w:r w:rsidR="001D0792" w:rsidRPr="00B70530">
                      <w:rPr>
                        <w:rFonts w:ascii="Times New Roman" w:hAnsi="Times New Roman" w:cs="Times New Roman"/>
                      </w:rPr>
                      <w:t>5</w:t>
                    </w:r>
                    <w:r w:rsidRPr="00B70530">
                      <w:rPr>
                        <w:rFonts w:ascii="Times New Roman" w:hAnsi="Times New Roman" w:cs="Times New Roman"/>
                      </w:rPr>
                      <w:t>,0</w:t>
                    </w:r>
                    <w:r w:rsidR="001D0792" w:rsidRPr="00B70530">
                      <w:rPr>
                        <w:rFonts w:ascii="Times New Roman" w:hAnsi="Times New Roman" w:cs="Times New Roman"/>
                      </w:rPr>
                      <w:t>0</w:t>
                    </w:r>
                    <w:r w:rsidRPr="00B70530">
                      <w:rPr>
                        <w:rFonts w:ascii="Times New Roman" w:hAnsi="Times New Roman" w:cs="Times New Roman"/>
                      </w:rPr>
                      <w:t>0.00</w:t>
                    </w:r>
                  </w:p>
                </w:tc>
                <w:tc>
                  <w:tcPr>
                    <w:tcW w:w="474" w:type="pct"/>
                    <w:shd w:val="clear" w:color="auto" w:fill="auto"/>
                    <w:vAlign w:val="center"/>
                  </w:tcPr>
                  <w:p w14:paraId="0EFAA587"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1,118,189.62</w:t>
                    </w:r>
                  </w:p>
                </w:tc>
                <w:tc>
                  <w:tcPr>
                    <w:tcW w:w="501" w:type="pct"/>
                    <w:shd w:val="clear" w:color="auto" w:fill="auto"/>
                    <w:vAlign w:val="center"/>
                  </w:tcPr>
                  <w:p w14:paraId="40ACE54A"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w:t>
                    </w:r>
                  </w:p>
                </w:tc>
                <w:tc>
                  <w:tcPr>
                    <w:tcW w:w="348" w:type="pct"/>
                    <w:shd w:val="clear" w:color="auto" w:fill="auto"/>
                    <w:vAlign w:val="center"/>
                  </w:tcPr>
                  <w:p w14:paraId="43E51908"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w:t>
                    </w:r>
                  </w:p>
                </w:tc>
                <w:tc>
                  <w:tcPr>
                    <w:tcW w:w="361" w:type="pct"/>
                    <w:shd w:val="clear" w:color="auto" w:fill="auto"/>
                    <w:vAlign w:val="center"/>
                  </w:tcPr>
                  <w:p w14:paraId="46FE16E1"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47,207.81</w:t>
                    </w:r>
                  </w:p>
                </w:tc>
                <w:tc>
                  <w:tcPr>
                    <w:tcW w:w="474" w:type="pct"/>
                    <w:vAlign w:val="center"/>
                  </w:tcPr>
                  <w:p w14:paraId="1CC0A0D0"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1,070,981.81</w:t>
                    </w:r>
                  </w:p>
                </w:tc>
                <w:tc>
                  <w:tcPr>
                    <w:tcW w:w="337" w:type="pct"/>
                    <w:shd w:val="clear" w:color="auto" w:fill="auto"/>
                    <w:vAlign w:val="center"/>
                  </w:tcPr>
                  <w:p w14:paraId="24E614B2"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84.39</w:t>
                    </w:r>
                  </w:p>
                </w:tc>
                <w:tc>
                  <w:tcPr>
                    <w:tcW w:w="348" w:type="pct"/>
                    <w:shd w:val="clear" w:color="auto" w:fill="auto"/>
                    <w:vAlign w:val="center"/>
                  </w:tcPr>
                  <w:p w14:paraId="29B4AEEE"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85.00</w:t>
                    </w:r>
                  </w:p>
                </w:tc>
                <w:tc>
                  <w:tcPr>
                    <w:tcW w:w="349" w:type="pct"/>
                    <w:shd w:val="clear" w:color="auto" w:fill="auto"/>
                    <w:vAlign w:val="center"/>
                  </w:tcPr>
                  <w:p w14:paraId="13A7B821"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43" w:type="pct"/>
                    <w:shd w:val="clear" w:color="auto" w:fill="auto"/>
                    <w:vAlign w:val="center"/>
                  </w:tcPr>
                  <w:p w14:paraId="244F9166"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55" w:type="pct"/>
                    <w:shd w:val="clear" w:color="auto" w:fill="auto"/>
                    <w:vAlign w:val="center"/>
                  </w:tcPr>
                  <w:p w14:paraId="1B89AD81"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44" w:type="pct"/>
                    <w:shd w:val="clear" w:color="auto" w:fill="auto"/>
                    <w:vAlign w:val="center"/>
                  </w:tcPr>
                  <w:p w14:paraId="0BD1F13A"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自筹</w:t>
                    </w:r>
                  </w:p>
                </w:tc>
              </w:tr>
            </w:sdtContent>
          </w:sdt>
          <w:sdt>
            <w:sdtPr>
              <w:rPr>
                <w:rFonts w:hint="eastAsia"/>
                <w:szCs w:val="21"/>
              </w:rPr>
              <w:alias w:val="在建工程明细"/>
              <w:tag w:val="_GBC_b84d9018f52b45beabeca7c2371cdc18"/>
              <w:id w:val="577408280"/>
              <w:lock w:val="sdtLocked"/>
            </w:sdtPr>
            <w:sdtEndPr>
              <w:rPr>
                <w:rFonts w:ascii="Times New Roman" w:hAnsi="Times New Roman" w:cs="Times New Roman" w:hint="default"/>
              </w:rPr>
            </w:sdtEndPr>
            <w:sdtContent>
              <w:tr w:rsidR="00D21C1F" w14:paraId="4FD3D67D" w14:textId="77777777" w:rsidTr="00B70530">
                <w:trPr>
                  <w:cantSplit/>
                </w:trPr>
                <w:tc>
                  <w:tcPr>
                    <w:tcW w:w="404" w:type="pct"/>
                    <w:shd w:val="clear" w:color="auto" w:fill="auto"/>
                  </w:tcPr>
                  <w:p w14:paraId="36346601" w14:textId="77777777" w:rsidR="00D21C1F" w:rsidRDefault="00A42880">
                    <w:pPr>
                      <w:ind w:right="105"/>
                      <w:rPr>
                        <w:szCs w:val="21"/>
                      </w:rPr>
                    </w:pPr>
                    <w:r>
                      <w:rPr>
                        <w:rFonts w:ascii="Times New Roman" w:hAnsi="Times New Roman"/>
                      </w:rPr>
                      <w:t>EC2</w:t>
                    </w:r>
                    <w:r>
                      <w:t>-</w:t>
                    </w:r>
                    <w:r>
                      <w:rPr>
                        <w:rFonts w:ascii="Times New Roman" w:hAnsi="Times New Roman"/>
                      </w:rPr>
                      <w:t>X</w:t>
                    </w:r>
                    <w:r>
                      <w:t>检测设备安装调试项目</w:t>
                    </w:r>
                  </w:p>
                </w:tc>
                <w:tc>
                  <w:tcPr>
                    <w:tcW w:w="361" w:type="pct"/>
                    <w:shd w:val="clear" w:color="auto" w:fill="auto"/>
                    <w:vAlign w:val="center"/>
                  </w:tcPr>
                  <w:p w14:paraId="133A054A" w14:textId="77777777" w:rsidR="00D21C1F" w:rsidRPr="00B70530" w:rsidRDefault="00A42880" w:rsidP="00B70530">
                    <w:pPr>
                      <w:ind w:right="105"/>
                      <w:jc w:val="right"/>
                      <w:rPr>
                        <w:rFonts w:ascii="Times New Roman" w:hAnsi="Times New Roman" w:cs="Times New Roman"/>
                        <w:szCs w:val="21"/>
                      </w:rPr>
                    </w:pPr>
                    <w:r w:rsidRPr="00B70530">
                      <w:rPr>
                        <w:rFonts w:ascii="Times New Roman" w:hAnsi="Times New Roman" w:cs="Times New Roman"/>
                        <w:szCs w:val="21"/>
                      </w:rPr>
                      <w:t>1,650,000.00</w:t>
                    </w:r>
                  </w:p>
                </w:tc>
                <w:tc>
                  <w:tcPr>
                    <w:tcW w:w="474" w:type="pct"/>
                    <w:shd w:val="clear" w:color="auto" w:fill="auto"/>
                    <w:vAlign w:val="center"/>
                  </w:tcPr>
                  <w:p w14:paraId="33E9A1F4"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501" w:type="pct"/>
                    <w:shd w:val="clear" w:color="auto" w:fill="auto"/>
                    <w:vAlign w:val="center"/>
                  </w:tcPr>
                  <w:p w14:paraId="24F6DEB7"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1,284,049.69</w:t>
                    </w:r>
                  </w:p>
                </w:tc>
                <w:tc>
                  <w:tcPr>
                    <w:tcW w:w="348" w:type="pct"/>
                    <w:shd w:val="clear" w:color="auto" w:fill="auto"/>
                    <w:vAlign w:val="center"/>
                  </w:tcPr>
                  <w:p w14:paraId="2DCADA7D"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w:t>
                    </w:r>
                  </w:p>
                </w:tc>
                <w:tc>
                  <w:tcPr>
                    <w:tcW w:w="361" w:type="pct"/>
                    <w:shd w:val="clear" w:color="auto" w:fill="auto"/>
                    <w:vAlign w:val="center"/>
                  </w:tcPr>
                  <w:p w14:paraId="5A2CB63D"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474" w:type="pct"/>
                    <w:shd w:val="clear" w:color="auto" w:fill="auto"/>
                    <w:vAlign w:val="center"/>
                  </w:tcPr>
                  <w:p w14:paraId="00583148"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1,284,049.69</w:t>
                    </w:r>
                  </w:p>
                </w:tc>
                <w:tc>
                  <w:tcPr>
                    <w:tcW w:w="337" w:type="pct"/>
                    <w:shd w:val="clear" w:color="auto" w:fill="auto"/>
                    <w:vAlign w:val="center"/>
                  </w:tcPr>
                  <w:p w14:paraId="526758F1"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77.82</w:t>
                    </w:r>
                  </w:p>
                </w:tc>
                <w:tc>
                  <w:tcPr>
                    <w:tcW w:w="348" w:type="pct"/>
                    <w:shd w:val="clear" w:color="auto" w:fill="auto"/>
                    <w:vAlign w:val="center"/>
                  </w:tcPr>
                  <w:p w14:paraId="61CC01D2"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80.00</w:t>
                    </w:r>
                  </w:p>
                </w:tc>
                <w:tc>
                  <w:tcPr>
                    <w:tcW w:w="349" w:type="pct"/>
                    <w:shd w:val="clear" w:color="auto" w:fill="auto"/>
                    <w:vAlign w:val="center"/>
                  </w:tcPr>
                  <w:p w14:paraId="6A6ECF92"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43" w:type="pct"/>
                    <w:shd w:val="clear" w:color="auto" w:fill="auto"/>
                    <w:vAlign w:val="center"/>
                  </w:tcPr>
                  <w:p w14:paraId="381DFEAA"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55" w:type="pct"/>
                    <w:shd w:val="clear" w:color="auto" w:fill="auto"/>
                    <w:vAlign w:val="center"/>
                  </w:tcPr>
                  <w:p w14:paraId="71BF8570"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44" w:type="pct"/>
                    <w:shd w:val="clear" w:color="auto" w:fill="auto"/>
                    <w:vAlign w:val="center"/>
                  </w:tcPr>
                  <w:p w14:paraId="5B6F170B"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募集资金</w:t>
                    </w:r>
                  </w:p>
                </w:tc>
              </w:tr>
            </w:sdtContent>
          </w:sdt>
          <w:tr w:rsidR="00D21C1F" w14:paraId="348F521B" w14:textId="77777777" w:rsidTr="00B70530">
            <w:trPr>
              <w:cantSplit/>
            </w:trPr>
            <w:sdt>
              <w:sdtPr>
                <w:tag w:val="_PLD_942a3001646f41f087960bab251b2bbb"/>
                <w:id w:val="495696373"/>
                <w:lock w:val="sdtLocked"/>
              </w:sdtPr>
              <w:sdtEndPr/>
              <w:sdtContent>
                <w:tc>
                  <w:tcPr>
                    <w:tcW w:w="404" w:type="pct"/>
                    <w:shd w:val="clear" w:color="auto" w:fill="auto"/>
                    <w:vAlign w:val="center"/>
                  </w:tcPr>
                  <w:p w14:paraId="0CD85CEB" w14:textId="77777777" w:rsidR="00D21C1F" w:rsidRDefault="00A42880">
                    <w:pPr>
                      <w:ind w:right="105"/>
                      <w:jc w:val="center"/>
                      <w:rPr>
                        <w:szCs w:val="21"/>
                      </w:rPr>
                    </w:pPr>
                    <w:r>
                      <w:rPr>
                        <w:rFonts w:hint="eastAsia"/>
                        <w:szCs w:val="21"/>
                      </w:rPr>
                      <w:t>合计</w:t>
                    </w:r>
                  </w:p>
                </w:tc>
              </w:sdtContent>
            </w:sdt>
            <w:tc>
              <w:tcPr>
                <w:tcW w:w="361" w:type="pct"/>
                <w:shd w:val="clear" w:color="auto" w:fill="auto"/>
                <w:vAlign w:val="center"/>
              </w:tcPr>
              <w:p w14:paraId="63715F3D" w14:textId="6EE2C660" w:rsidR="00D21C1F" w:rsidRPr="00B70530" w:rsidRDefault="00A42880" w:rsidP="00B70530">
                <w:pPr>
                  <w:ind w:right="105"/>
                  <w:jc w:val="right"/>
                  <w:rPr>
                    <w:rFonts w:ascii="Times New Roman" w:hAnsi="Times New Roman" w:cs="Times New Roman"/>
                    <w:szCs w:val="21"/>
                  </w:rPr>
                </w:pPr>
                <w:r w:rsidRPr="00B70530">
                  <w:rPr>
                    <w:rFonts w:ascii="Times New Roman" w:hAnsi="Times New Roman" w:cs="Times New Roman"/>
                    <w:szCs w:val="21"/>
                  </w:rPr>
                  <w:t>2,97</w:t>
                </w:r>
                <w:r w:rsidR="006277F1" w:rsidRPr="00B70530">
                  <w:rPr>
                    <w:rFonts w:ascii="Times New Roman" w:hAnsi="Times New Roman" w:cs="Times New Roman"/>
                    <w:szCs w:val="21"/>
                  </w:rPr>
                  <w:t>5</w:t>
                </w:r>
                <w:r w:rsidRPr="00B70530">
                  <w:rPr>
                    <w:rFonts w:ascii="Times New Roman" w:hAnsi="Times New Roman" w:cs="Times New Roman"/>
                    <w:szCs w:val="21"/>
                  </w:rPr>
                  <w:t>,0</w:t>
                </w:r>
                <w:r w:rsidR="006277F1" w:rsidRPr="00B70530">
                  <w:rPr>
                    <w:rFonts w:ascii="Times New Roman" w:hAnsi="Times New Roman" w:cs="Times New Roman"/>
                    <w:szCs w:val="21"/>
                  </w:rPr>
                  <w:t>0</w:t>
                </w:r>
                <w:r w:rsidRPr="00B70530">
                  <w:rPr>
                    <w:rFonts w:ascii="Times New Roman" w:hAnsi="Times New Roman" w:cs="Times New Roman"/>
                    <w:szCs w:val="21"/>
                  </w:rPr>
                  <w:t>0.00</w:t>
                </w:r>
              </w:p>
            </w:tc>
            <w:tc>
              <w:tcPr>
                <w:tcW w:w="474" w:type="pct"/>
                <w:shd w:val="clear" w:color="auto" w:fill="auto"/>
                <w:vAlign w:val="center"/>
              </w:tcPr>
              <w:p w14:paraId="0F5F8606"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1,118,189.62</w:t>
                </w:r>
              </w:p>
            </w:tc>
            <w:tc>
              <w:tcPr>
                <w:tcW w:w="501" w:type="pct"/>
                <w:shd w:val="clear" w:color="auto" w:fill="auto"/>
                <w:vAlign w:val="center"/>
              </w:tcPr>
              <w:p w14:paraId="5EA54601"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1,284,049.69</w:t>
                </w:r>
              </w:p>
            </w:tc>
            <w:tc>
              <w:tcPr>
                <w:tcW w:w="348" w:type="pct"/>
                <w:shd w:val="clear" w:color="auto" w:fill="auto"/>
                <w:vAlign w:val="center"/>
              </w:tcPr>
              <w:p w14:paraId="057B8C8D" w14:textId="77777777" w:rsidR="00D21C1F" w:rsidRPr="00B70530" w:rsidRDefault="00A42880" w:rsidP="00B70530">
                <w:pPr>
                  <w:ind w:right="73"/>
                  <w:jc w:val="right"/>
                  <w:rPr>
                    <w:rFonts w:ascii="Times New Roman" w:hAnsi="Times New Roman" w:cs="Times New Roman"/>
                    <w:szCs w:val="21"/>
                  </w:rPr>
                </w:pPr>
                <w:r w:rsidRPr="00B70530">
                  <w:rPr>
                    <w:rFonts w:ascii="Times New Roman" w:hAnsi="Times New Roman" w:cs="Times New Roman"/>
                    <w:szCs w:val="21"/>
                  </w:rPr>
                  <w:t>-</w:t>
                </w:r>
              </w:p>
            </w:tc>
            <w:tc>
              <w:tcPr>
                <w:tcW w:w="361" w:type="pct"/>
                <w:shd w:val="clear" w:color="auto" w:fill="auto"/>
                <w:vAlign w:val="center"/>
              </w:tcPr>
              <w:p w14:paraId="6FCBBE2F"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47,207.81</w:t>
                </w:r>
              </w:p>
            </w:tc>
            <w:tc>
              <w:tcPr>
                <w:tcW w:w="474" w:type="pct"/>
                <w:vAlign w:val="center"/>
              </w:tcPr>
              <w:p w14:paraId="764BFD6B"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2,355,031.50</w:t>
                </w:r>
              </w:p>
            </w:tc>
            <w:tc>
              <w:tcPr>
                <w:tcW w:w="337" w:type="pct"/>
                <w:shd w:val="clear" w:color="auto" w:fill="auto"/>
                <w:vAlign w:val="center"/>
              </w:tcPr>
              <w:p w14:paraId="5C45E4E2" w14:textId="77777777" w:rsidR="00D21C1F" w:rsidRPr="00B70530" w:rsidRDefault="00A42880" w:rsidP="00B70530">
                <w:pPr>
                  <w:ind w:right="174"/>
                  <w:jc w:val="right"/>
                  <w:rPr>
                    <w:rFonts w:ascii="Times New Roman" w:hAnsi="Times New Roman" w:cs="Times New Roman"/>
                    <w:szCs w:val="21"/>
                  </w:rPr>
                </w:pPr>
                <w:r w:rsidRPr="00B70530">
                  <w:rPr>
                    <w:rFonts w:ascii="Times New Roman" w:hAnsi="Times New Roman" w:cs="Times New Roman"/>
                    <w:szCs w:val="21"/>
                  </w:rPr>
                  <w:t>/</w:t>
                </w:r>
              </w:p>
            </w:tc>
            <w:tc>
              <w:tcPr>
                <w:tcW w:w="348" w:type="pct"/>
                <w:shd w:val="clear" w:color="auto" w:fill="auto"/>
                <w:vAlign w:val="center"/>
              </w:tcPr>
              <w:p w14:paraId="006AAB6A" w14:textId="77777777" w:rsidR="00D21C1F" w:rsidRPr="00B70530" w:rsidRDefault="00A42880" w:rsidP="00B70530">
                <w:pPr>
                  <w:ind w:right="174"/>
                  <w:jc w:val="right"/>
                  <w:rPr>
                    <w:rFonts w:ascii="Times New Roman" w:hAnsi="Times New Roman" w:cs="Times New Roman"/>
                    <w:szCs w:val="21"/>
                  </w:rPr>
                </w:pPr>
                <w:r w:rsidRPr="00B70530">
                  <w:rPr>
                    <w:rFonts w:ascii="Times New Roman" w:hAnsi="Times New Roman" w:cs="Times New Roman"/>
                    <w:szCs w:val="21"/>
                  </w:rPr>
                  <w:t>/</w:t>
                </w:r>
              </w:p>
            </w:tc>
            <w:tc>
              <w:tcPr>
                <w:tcW w:w="349" w:type="pct"/>
                <w:shd w:val="clear" w:color="auto" w:fill="auto"/>
                <w:vAlign w:val="center"/>
              </w:tcPr>
              <w:p w14:paraId="173EB7E9"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43" w:type="pct"/>
                <w:shd w:val="clear" w:color="auto" w:fill="auto"/>
                <w:vAlign w:val="center"/>
              </w:tcPr>
              <w:p w14:paraId="5C22142D" w14:textId="77777777" w:rsidR="00D21C1F" w:rsidRPr="00B70530" w:rsidRDefault="00A42880" w:rsidP="00B70530">
                <w:pPr>
                  <w:jc w:val="right"/>
                  <w:rPr>
                    <w:rFonts w:ascii="Times New Roman" w:hAnsi="Times New Roman" w:cs="Times New Roman"/>
                    <w:szCs w:val="21"/>
                  </w:rPr>
                </w:pPr>
                <w:r w:rsidRPr="00B70530">
                  <w:rPr>
                    <w:rFonts w:ascii="Times New Roman" w:hAnsi="Times New Roman" w:cs="Times New Roman"/>
                    <w:szCs w:val="21"/>
                  </w:rPr>
                  <w:t>/</w:t>
                </w:r>
              </w:p>
            </w:tc>
            <w:tc>
              <w:tcPr>
                <w:tcW w:w="355" w:type="pct"/>
                <w:shd w:val="clear" w:color="auto" w:fill="auto"/>
                <w:vAlign w:val="center"/>
              </w:tcPr>
              <w:p w14:paraId="226CDFF9" w14:textId="77777777" w:rsidR="00D21C1F" w:rsidRPr="00B70530" w:rsidRDefault="00A42880" w:rsidP="00B70530">
                <w:pPr>
                  <w:ind w:right="174"/>
                  <w:jc w:val="right"/>
                  <w:rPr>
                    <w:rFonts w:ascii="Times New Roman" w:hAnsi="Times New Roman" w:cs="Times New Roman"/>
                    <w:szCs w:val="21"/>
                  </w:rPr>
                </w:pPr>
                <w:r w:rsidRPr="00B70530">
                  <w:rPr>
                    <w:rFonts w:ascii="Times New Roman" w:hAnsi="Times New Roman" w:cs="Times New Roman"/>
                    <w:szCs w:val="21"/>
                  </w:rPr>
                  <w:t>/</w:t>
                </w:r>
              </w:p>
            </w:tc>
            <w:tc>
              <w:tcPr>
                <w:tcW w:w="344" w:type="pct"/>
                <w:shd w:val="clear" w:color="auto" w:fill="auto"/>
                <w:vAlign w:val="center"/>
              </w:tcPr>
              <w:p w14:paraId="45D9188A" w14:textId="77777777" w:rsidR="00D21C1F" w:rsidRPr="00B70530" w:rsidRDefault="00A42880" w:rsidP="00B70530">
                <w:pPr>
                  <w:ind w:right="174"/>
                  <w:jc w:val="right"/>
                  <w:rPr>
                    <w:rFonts w:ascii="Times New Roman" w:hAnsi="Times New Roman" w:cs="Times New Roman"/>
                    <w:szCs w:val="21"/>
                  </w:rPr>
                </w:pPr>
                <w:r w:rsidRPr="00B70530">
                  <w:rPr>
                    <w:rFonts w:ascii="Times New Roman" w:hAnsi="Times New Roman" w:cs="Times New Roman"/>
                    <w:szCs w:val="21"/>
                  </w:rPr>
                  <w:t>/</w:t>
                </w:r>
              </w:p>
            </w:tc>
          </w:tr>
        </w:tbl>
        <w:p w14:paraId="794DA5D4" w14:textId="77777777" w:rsidR="00D21C1F" w:rsidRDefault="00D21C1F">
          <w:pPr>
            <w:snapToGrid w:val="0"/>
            <w:spacing w:line="240" w:lineRule="atLeast"/>
            <w:rPr>
              <w:szCs w:val="21"/>
            </w:rPr>
            <w:sectPr w:rsidR="00D21C1F">
              <w:pgSz w:w="16838" w:h="11906" w:orient="landscape"/>
              <w:pgMar w:top="1797" w:right="1525" w:bottom="1276" w:left="1440" w:header="856" w:footer="992" w:gutter="0"/>
              <w:cols w:space="425"/>
              <w:docGrid w:linePitch="312"/>
            </w:sectPr>
          </w:pPr>
        </w:p>
        <w:p w14:paraId="32DFB5EB" w14:textId="77777777" w:rsidR="00D21C1F" w:rsidRDefault="00045EC6">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188913092"/>
        <w:lock w:val="sdtLocked"/>
        <w:placeholder>
          <w:docPart w:val="GBC22222222222222222222222222222"/>
        </w:placeholder>
      </w:sdtPr>
      <w:sdtEndPr>
        <w:rPr>
          <w:rFonts w:cstheme="minorBidi"/>
          <w:kern w:val="2"/>
          <w:szCs w:val="22"/>
        </w:rPr>
      </w:sdtEndPr>
      <w:sdtContent>
        <w:p w14:paraId="4B52D49C" w14:textId="77777777" w:rsidR="00D21C1F" w:rsidRDefault="00A42880">
          <w:pPr>
            <w:pStyle w:val="93"/>
            <w:numPr>
              <w:ilvl w:val="0"/>
              <w:numId w:val="10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829177251"/>
            <w:lock w:val="sdtLocked"/>
            <w:placeholder>
              <w:docPart w:val="GBC22222222222222222222222222222"/>
            </w:placeholder>
          </w:sdtPr>
          <w:sdtEndPr/>
          <w:sdtContent>
            <w:p w14:paraId="43B32F2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884836471"/>
        <w:lock w:val="sdtLocked"/>
        <w:placeholder>
          <w:docPart w:val="GBC22222222222222222222222222222"/>
        </w:placeholder>
      </w:sdtPr>
      <w:sdtEndPr>
        <w:rPr>
          <w:rFonts w:hint="default"/>
        </w:rPr>
      </w:sdtEndPr>
      <w:sdtContent>
        <w:p w14:paraId="4C24B3C6" w14:textId="77777777" w:rsidR="00D21C1F" w:rsidRDefault="00A42880">
          <w:pPr>
            <w:rPr>
              <w:szCs w:val="21"/>
            </w:rPr>
          </w:pPr>
          <w:r>
            <w:rPr>
              <w:rFonts w:hint="eastAsia"/>
              <w:szCs w:val="21"/>
            </w:rPr>
            <w:t>其他说明</w:t>
          </w:r>
        </w:p>
        <w:sdt>
          <w:sdtPr>
            <w:rPr>
              <w:szCs w:val="21"/>
            </w:rPr>
            <w:alias w:val="是否适用：在建工程的说明[双击切换]"/>
            <w:tag w:val="_GBC_c0ffdfbb304348758da855627ba6d858"/>
            <w:id w:val="-850339431"/>
            <w:lock w:val="sdtLocked"/>
            <w:placeholder>
              <w:docPart w:val="GBC22222222222222222222222222222"/>
            </w:placeholder>
          </w:sdtPr>
          <w:sdtEndPr/>
          <w:sdtContent>
            <w:p w14:paraId="37118D25"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239" w:name="_Hlk11683481" w:displacedByCustomXml="next"/>
    <w:sdt>
      <w:sdtPr>
        <w:rPr>
          <w:rFonts w:ascii="宋体" w:hAnsi="宋体" w:cstheme="minorBidi" w:hint="eastAsia"/>
          <w:b w:val="0"/>
          <w:bCs w:val="0"/>
          <w:kern w:val="0"/>
          <w:szCs w:val="24"/>
        </w:rPr>
        <w:alias w:val="模块:工程物资"/>
        <w:tag w:val="_GBC_12c2ea8f308b49c7b5e2baae867f1ec7"/>
        <w:id w:val="1059975707"/>
        <w:lock w:val="sdtLocked"/>
        <w:placeholder>
          <w:docPart w:val="GBC22222222222222222222222222222"/>
        </w:placeholder>
      </w:sdtPr>
      <w:sdtEndPr>
        <w:rPr>
          <w:rFonts w:hint="default"/>
          <w:szCs w:val="21"/>
        </w:rPr>
      </w:sdtEndPr>
      <w:sdtContent>
        <w:p w14:paraId="37609298" w14:textId="77777777" w:rsidR="00D21C1F" w:rsidRDefault="00A42880">
          <w:pPr>
            <w:pStyle w:val="93"/>
            <w:rPr>
              <w:rFonts w:ascii="宋体" w:hAnsi="宋体"/>
            </w:rPr>
          </w:pPr>
          <w:r>
            <w:rPr>
              <w:rFonts w:ascii="宋体" w:hAnsi="宋体" w:hint="eastAsia"/>
            </w:rPr>
            <w:t>工程物资</w:t>
          </w:r>
        </w:p>
        <w:sdt>
          <w:sdtPr>
            <w:alias w:val="是否适用：工程物资[双击切换]"/>
            <w:tag w:val="_GBC_0d711628566c4b08b883151766986b20"/>
            <w:id w:val="-1698535336"/>
            <w:lock w:val="sdtLocked"/>
            <w:placeholder>
              <w:docPart w:val="GBC22222222222222222222222222222"/>
            </w:placeholder>
          </w:sdtPr>
          <w:sdtEndPr/>
          <w:sdtContent>
            <w:p w14:paraId="0EE4960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9"/>
    <w:p w14:paraId="725B7475" w14:textId="77777777" w:rsidR="00D21C1F" w:rsidRDefault="00D21C1F">
      <w:pPr>
        <w:rPr>
          <w:szCs w:val="21"/>
        </w:rPr>
      </w:pPr>
    </w:p>
    <w:p w14:paraId="398FB360"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1"/>
        </w:rPr>
        <w:alias w:val="模块:采用成成本计量模式的生产性生物资产"/>
        <w:tag w:val="_GBC_e4aea5da03534f61818766a33b5ada09"/>
        <w:id w:val="1743145220"/>
        <w:lock w:val="sdtLocked"/>
        <w:placeholder>
          <w:docPart w:val="GBC22222222222222222222222222222"/>
        </w:placeholder>
      </w:sdtPr>
      <w:sdtEndPr>
        <w:rPr>
          <w:rFonts w:hint="default"/>
          <w:kern w:val="2"/>
        </w:rPr>
      </w:sdtEndPr>
      <w:sdtContent>
        <w:p w14:paraId="58E141EA" w14:textId="77777777" w:rsidR="00D21C1F" w:rsidRDefault="00A42880">
          <w:pPr>
            <w:pStyle w:val="93"/>
            <w:numPr>
              <w:ilvl w:val="0"/>
              <w:numId w:val="10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472244833"/>
            <w:lock w:val="sdtLocked"/>
            <w:placeholder>
              <w:docPart w:val="GBC22222222222222222222222222222"/>
            </w:placeholder>
          </w:sdtPr>
          <w:sdtEndPr/>
          <w:sdtContent>
            <w:p w14:paraId="54AA9841" w14:textId="77777777" w:rsidR="00D21C1F" w:rsidRDefault="00A42880">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621887563"/>
        <w:lock w:val="sdtLocked"/>
        <w:placeholder>
          <w:docPart w:val="GBC22222222222222222222222222222"/>
        </w:placeholder>
      </w:sdtPr>
      <w:sdtEndPr>
        <w:rPr>
          <w:kern w:val="2"/>
          <w:szCs w:val="22"/>
        </w:rPr>
      </w:sdtEndPr>
      <w:sdtContent>
        <w:p w14:paraId="2F9FE52F" w14:textId="77777777" w:rsidR="00D21C1F" w:rsidRDefault="00A42880">
          <w:pPr>
            <w:pStyle w:val="93"/>
            <w:numPr>
              <w:ilvl w:val="0"/>
              <w:numId w:val="10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979343775"/>
            <w:lock w:val="sdtLocked"/>
            <w:placeholder>
              <w:docPart w:val="GBC22222222222222222222222222222"/>
            </w:placeholder>
          </w:sdtPr>
          <w:sdtEndPr/>
          <w:sdtContent>
            <w:p w14:paraId="2428014F"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666134180"/>
        <w:lock w:val="sdtLocked"/>
        <w:placeholder>
          <w:docPart w:val="GBC22222222222222222222222222222"/>
        </w:placeholder>
      </w:sdtPr>
      <w:sdtEndPr>
        <w:rPr>
          <w:rFonts w:hint="default"/>
        </w:rPr>
      </w:sdtEndPr>
      <w:sdtContent>
        <w:p w14:paraId="2DC7073F" w14:textId="77777777" w:rsidR="00D21C1F" w:rsidRDefault="00A42880">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050766690"/>
            <w:lock w:val="sdtLocked"/>
            <w:placeholder>
              <w:docPart w:val="GBC22222222222222222222222222222"/>
            </w:placeholder>
          </w:sdtPr>
          <w:sdtEndPr/>
          <w:sdtContent>
            <w:p w14:paraId="476DC3AB" w14:textId="77777777" w:rsidR="00D21C1F" w:rsidRDefault="00A42880">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8F85169" w14:textId="77777777" w:rsidR="00D21C1F" w:rsidRDefault="00D21C1F">
      <w:pPr>
        <w:rPr>
          <w:szCs w:val="21"/>
        </w:rPr>
      </w:pPr>
    </w:p>
    <w:sdt>
      <w:sdtPr>
        <w:rPr>
          <w:rFonts w:ascii="宋体" w:hAnsi="宋体" w:cs="宋体" w:hint="eastAsia"/>
          <w:b w:val="0"/>
          <w:bCs w:val="0"/>
          <w:kern w:val="0"/>
          <w:szCs w:val="21"/>
        </w:rPr>
        <w:alias w:val="模块:油气资产"/>
        <w:tag w:val="_GBC_fe60430654f541aab1da59bd08202085"/>
        <w:id w:val="1910877849"/>
        <w:lock w:val="sdtLocked"/>
        <w:placeholder>
          <w:docPart w:val="GBC22222222222222222222222222222"/>
        </w:placeholder>
      </w:sdtPr>
      <w:sdtEndPr>
        <w:rPr>
          <w:rFonts w:cstheme="minorBidi" w:hint="default"/>
          <w:kern w:val="2"/>
        </w:rPr>
      </w:sdtEndPr>
      <w:sdtContent>
        <w:p w14:paraId="4957FE43"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291056833"/>
            <w:lock w:val="sdtLocked"/>
            <w:placeholder>
              <w:docPart w:val="GBC22222222222222222222222222222"/>
            </w:placeholder>
          </w:sdtPr>
          <w:sdtEndPr/>
          <w:sdtContent>
            <w:p w14:paraId="4FC2375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8D2E19F" w14:textId="77777777" w:rsidR="00D21C1F" w:rsidRDefault="00D21C1F">
      <w:pPr>
        <w:rPr>
          <w:szCs w:val="21"/>
        </w:rPr>
      </w:pPr>
    </w:p>
    <w:sdt>
      <w:sdtPr>
        <w:rPr>
          <w:rFonts w:ascii="Times New Roman" w:hAnsi="Times New Roman" w:cs="宋体"/>
          <w:b w:val="0"/>
          <w:bCs w:val="0"/>
          <w:kern w:val="0"/>
          <w:szCs w:val="21"/>
        </w:rPr>
        <w:alias w:val="模块:使用权资产"/>
        <w:tag w:val="_SEC_42126bf96c7241e38ff33aae0d98dae2"/>
        <w:id w:val="-1839146550"/>
        <w:lock w:val="sdtLocked"/>
        <w:placeholder>
          <w:docPart w:val="GBC22222222222222222222222222222"/>
        </w:placeholder>
      </w:sdtPr>
      <w:sdtEndPr>
        <w:rPr>
          <w:szCs w:val="24"/>
        </w:rPr>
      </w:sdtEndPr>
      <w:sdtContent>
        <w:p w14:paraId="7D266DBF" w14:textId="77777777" w:rsidR="00D21C1F" w:rsidRPr="00016686" w:rsidRDefault="00A42880">
          <w:pPr>
            <w:pStyle w:val="94"/>
            <w:numPr>
              <w:ilvl w:val="0"/>
              <w:numId w:val="95"/>
            </w:numPr>
            <w:tabs>
              <w:tab w:val="left" w:pos="504"/>
            </w:tabs>
            <w:rPr>
              <w:rFonts w:ascii="Times New Roman" w:hAnsi="Times New Roman"/>
              <w:szCs w:val="21"/>
            </w:rPr>
          </w:pPr>
          <w:r w:rsidRPr="00016686">
            <w:rPr>
              <w:rFonts w:ascii="Times New Roman" w:hAnsi="Times New Roman"/>
              <w:szCs w:val="21"/>
            </w:rPr>
            <w:t>使用权资产</w:t>
          </w:r>
        </w:p>
        <w:bookmarkStart w:id="240" w:name="_Hlk11679747" w:displacedByCustomXml="next"/>
        <w:sdt>
          <w:sdtPr>
            <w:rPr>
              <w:rFonts w:ascii="Times New Roman" w:hAnsi="Times New Roman" w:cs="Times New Roman"/>
            </w:rPr>
            <w:alias w:val="是否适用：使用权资产[双击切换]"/>
            <w:tag w:val="_GBC_3ac132175b304712af4889ae3914ef7d"/>
            <w:id w:val="1950748228"/>
            <w:lock w:val="sdtLocked"/>
            <w:placeholder>
              <w:docPart w:val="GBC22222222222222222222222222222"/>
            </w:placeholder>
          </w:sdtPr>
          <w:sdtEndPr/>
          <w:sdtContent>
            <w:p w14:paraId="464D222F" w14:textId="77777777" w:rsidR="00D21C1F" w:rsidRPr="00016686" w:rsidRDefault="00A42880">
              <w:pPr>
                <w:pStyle w:val="97"/>
                <w:rPr>
                  <w:rFonts w:ascii="Times New Roman" w:hAnsi="Times New Roman" w:cs="Times New Roman"/>
                </w:rPr>
              </w:pPr>
              <w:r w:rsidRPr="00016686">
                <w:rPr>
                  <w:rFonts w:ascii="Times New Roman" w:hAnsi="Times New Roman" w:cs="Times New Roman"/>
                </w:rPr>
                <w:fldChar w:fldCharType="begin"/>
              </w:r>
              <w:r w:rsidRPr="00016686">
                <w:rPr>
                  <w:rFonts w:ascii="Times New Roman" w:hAnsi="Times New Roman" w:cs="Times New Roman"/>
                </w:rPr>
                <w:instrText xml:space="preserve"> MACROBUTTON  SnrToggleCheckbox √</w:instrText>
              </w:r>
              <w:r w:rsidRPr="00016686">
                <w:rPr>
                  <w:rFonts w:ascii="Times New Roman" w:hAnsi="Times New Roman" w:cs="Times New Roman"/>
                </w:rPr>
                <w:instrText>适用</w:instrText>
              </w:r>
              <w:r w:rsidRPr="00016686">
                <w:rPr>
                  <w:rFonts w:ascii="Times New Roman" w:hAnsi="Times New Roman" w:cs="Times New Roman"/>
                </w:rPr>
                <w:instrText xml:space="preserve"> </w:instrText>
              </w:r>
              <w:r w:rsidRPr="00016686">
                <w:rPr>
                  <w:rFonts w:ascii="Times New Roman" w:hAnsi="Times New Roman" w:cs="Times New Roman"/>
                </w:rPr>
                <w:fldChar w:fldCharType="end"/>
              </w:r>
              <w:r w:rsidRPr="00016686">
                <w:rPr>
                  <w:rFonts w:ascii="Times New Roman" w:hAnsi="Times New Roman" w:cs="Times New Roman"/>
                </w:rPr>
                <w:fldChar w:fldCharType="begin"/>
              </w:r>
              <w:r w:rsidRPr="00016686">
                <w:rPr>
                  <w:rFonts w:ascii="Times New Roman" w:hAnsi="Times New Roman" w:cs="Times New Roman"/>
                </w:rPr>
                <w:instrText xml:space="preserve"> MACROBUTTON  SnrToggleCheckbox □</w:instrText>
              </w:r>
              <w:r w:rsidRPr="00016686">
                <w:rPr>
                  <w:rFonts w:ascii="Times New Roman" w:hAnsi="Times New Roman" w:cs="Times New Roman"/>
                </w:rPr>
                <w:instrText>不适用</w:instrText>
              </w:r>
              <w:r w:rsidRPr="00016686">
                <w:rPr>
                  <w:rFonts w:ascii="Times New Roman" w:hAnsi="Times New Roman" w:cs="Times New Roman"/>
                </w:rPr>
                <w:instrText xml:space="preserve"> </w:instrText>
              </w:r>
              <w:r w:rsidRPr="00016686">
                <w:rPr>
                  <w:rFonts w:ascii="Times New Roman" w:hAnsi="Times New Roman" w:cs="Times New Roman"/>
                </w:rPr>
                <w:fldChar w:fldCharType="end"/>
              </w:r>
            </w:p>
          </w:sdtContent>
        </w:sdt>
        <w:p w14:paraId="18255133" w14:textId="77777777" w:rsidR="00D21C1F" w:rsidRPr="00016686" w:rsidRDefault="00A42880">
          <w:pPr>
            <w:autoSpaceDE w:val="0"/>
            <w:autoSpaceDN w:val="0"/>
            <w:adjustRightInd w:val="0"/>
            <w:jc w:val="right"/>
            <w:rPr>
              <w:rFonts w:ascii="Times New Roman" w:hAnsi="Times New Roman" w:cs="Times New Roman"/>
              <w:szCs w:val="21"/>
            </w:rPr>
          </w:pPr>
          <w:r w:rsidRPr="00016686">
            <w:rPr>
              <w:rFonts w:ascii="Times New Roman" w:hAnsi="Times New Roman" w:cs="Times New Roman"/>
              <w:szCs w:val="21"/>
            </w:rPr>
            <w:t>单位：</w:t>
          </w:r>
          <w:sdt>
            <w:sdtPr>
              <w:rPr>
                <w:rFonts w:ascii="Times New Roman" w:hAnsi="Times New Roman" w:cs="Times New Roman"/>
                <w:szCs w:val="21"/>
              </w:rPr>
              <w:alias w:val="单位：使用权资产"/>
              <w:tag w:val="_GBC_126de13c7c92490d95bdebd7efe2d59b"/>
              <w:id w:val="-19352755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016686">
                <w:rPr>
                  <w:rFonts w:ascii="Times New Roman" w:hAnsi="Times New Roman" w:cs="Times New Roman"/>
                  <w:szCs w:val="21"/>
                </w:rPr>
                <w:t>元</w:t>
              </w:r>
            </w:sdtContent>
          </w:sdt>
          <w:r w:rsidRPr="00016686">
            <w:rPr>
              <w:rFonts w:ascii="Times New Roman" w:hAnsi="Times New Roman" w:cs="Times New Roman"/>
              <w:szCs w:val="21"/>
            </w:rPr>
            <w:t>币种：</w:t>
          </w:r>
          <w:sdt>
            <w:sdtPr>
              <w:rPr>
                <w:rFonts w:ascii="Times New Roman" w:hAnsi="Times New Roman" w:cs="Times New Roman"/>
                <w:szCs w:val="21"/>
              </w:rPr>
              <w:alias w:val="币种：使用权资产"/>
              <w:tag w:val="_GBC_bb9e8b7096ab49fc95311a6c81431e95"/>
              <w:id w:val="89209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016686">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54"/>
            <w:gridCol w:w="2855"/>
          </w:tblGrid>
          <w:tr w:rsidR="00016686" w:rsidRPr="00016686" w14:paraId="514EC1E2" w14:textId="77777777" w:rsidTr="00D07E51">
            <w:trPr>
              <w:trHeight w:val="284"/>
            </w:trPr>
            <w:sdt>
              <w:sdtPr>
                <w:rPr>
                  <w:rFonts w:ascii="Times New Roman" w:hAnsi="Times New Roman" w:cs="Times New Roman"/>
                </w:rPr>
                <w:tag w:val="_PLD_e7cc7a86c52f4dc596615cce534e6d6a"/>
                <w:id w:val="-285738550"/>
                <w:lock w:val="sdtLocked"/>
              </w:sdtPr>
              <w:sdtEndPr/>
              <w:sdtContent>
                <w:tc>
                  <w:tcPr>
                    <w:tcW w:w="1878" w:type="pct"/>
                    <w:shd w:val="clear" w:color="auto" w:fill="auto"/>
                    <w:vAlign w:val="center"/>
                  </w:tcPr>
                  <w:p w14:paraId="448F11C8" w14:textId="77777777" w:rsidR="00016686" w:rsidRPr="00016686" w:rsidRDefault="00016686" w:rsidP="00D07E51">
                    <w:pPr>
                      <w:spacing w:line="240" w:lineRule="atLeast"/>
                      <w:jc w:val="center"/>
                      <w:rPr>
                        <w:rFonts w:ascii="Times New Roman" w:hAnsi="Times New Roman" w:cs="Times New Roman"/>
                        <w:szCs w:val="21"/>
                      </w:rPr>
                    </w:pPr>
                    <w:r w:rsidRPr="00016686">
                      <w:rPr>
                        <w:rFonts w:ascii="Times New Roman" w:hAnsi="Times New Roman" w:cs="Times New Roman"/>
                        <w:szCs w:val="21"/>
                      </w:rPr>
                      <w:t>项目</w:t>
                    </w:r>
                  </w:p>
                </w:tc>
              </w:sdtContent>
            </w:sdt>
            <w:sdt>
              <w:sdtPr>
                <w:rPr>
                  <w:rFonts w:ascii="Times New Roman" w:hAnsi="Times New Roman" w:cs="Times New Roman"/>
                  <w:szCs w:val="21"/>
                </w:rPr>
                <w:alias w:val="使用权资产明细-项目"/>
                <w:tag w:val="_GBC_ea9ffc7b81304e04ad88fe7fcccf7ec1"/>
                <w:id w:val="546114607"/>
                <w:lock w:val="sdtLocked"/>
              </w:sdtPr>
              <w:sdtEndPr/>
              <w:sdtContent>
                <w:tc>
                  <w:tcPr>
                    <w:tcW w:w="1504" w:type="pct"/>
                    <w:shd w:val="clear" w:color="auto" w:fill="auto"/>
                    <w:vAlign w:val="center"/>
                  </w:tcPr>
                  <w:p w14:paraId="3FA9F920" w14:textId="77777777" w:rsidR="00016686" w:rsidRPr="00016686" w:rsidRDefault="00016686" w:rsidP="00D07E51">
                    <w:pPr>
                      <w:spacing w:line="240" w:lineRule="atLeast"/>
                      <w:jc w:val="center"/>
                      <w:rPr>
                        <w:rFonts w:ascii="Times New Roman" w:hAnsi="Times New Roman" w:cs="Times New Roman"/>
                        <w:szCs w:val="21"/>
                      </w:rPr>
                    </w:pPr>
                    <w:r w:rsidRPr="00016686">
                      <w:rPr>
                        <w:rFonts w:ascii="Times New Roman" w:hAnsi="Times New Roman" w:cs="Times New Roman"/>
                        <w:szCs w:val="21"/>
                      </w:rPr>
                      <w:t>房屋及建筑物</w:t>
                    </w:r>
                  </w:p>
                </w:tc>
              </w:sdtContent>
            </w:sdt>
            <w:sdt>
              <w:sdtPr>
                <w:rPr>
                  <w:rFonts w:ascii="Times New Roman" w:hAnsi="Times New Roman" w:cs="Times New Roman"/>
                </w:rPr>
                <w:tag w:val="_PLD_8404013d36434d0f94f9d2e0e06379db"/>
                <w:id w:val="-1068880677"/>
                <w:lock w:val="sdtLocked"/>
              </w:sdtPr>
              <w:sdtEndPr/>
              <w:sdtContent>
                <w:tc>
                  <w:tcPr>
                    <w:tcW w:w="1618" w:type="pct"/>
                    <w:shd w:val="clear" w:color="auto" w:fill="auto"/>
                    <w:vAlign w:val="center"/>
                  </w:tcPr>
                  <w:p w14:paraId="76C727CC" w14:textId="77777777" w:rsidR="00016686" w:rsidRPr="00016686" w:rsidRDefault="00016686" w:rsidP="00D07E51">
                    <w:pPr>
                      <w:spacing w:line="240" w:lineRule="atLeast"/>
                      <w:jc w:val="center"/>
                      <w:rPr>
                        <w:rFonts w:ascii="Times New Roman" w:hAnsi="Times New Roman" w:cs="Times New Roman"/>
                        <w:szCs w:val="21"/>
                      </w:rPr>
                    </w:pPr>
                    <w:r w:rsidRPr="00016686">
                      <w:rPr>
                        <w:rFonts w:ascii="Times New Roman" w:hAnsi="Times New Roman" w:cs="Times New Roman"/>
                        <w:szCs w:val="21"/>
                      </w:rPr>
                      <w:t>合计</w:t>
                    </w:r>
                  </w:p>
                </w:tc>
              </w:sdtContent>
            </w:sdt>
          </w:tr>
          <w:tr w:rsidR="00016686" w:rsidRPr="00016686" w14:paraId="161B5E86" w14:textId="77777777" w:rsidTr="00D07E51">
            <w:trPr>
              <w:trHeight w:val="284"/>
            </w:trPr>
            <w:sdt>
              <w:sdtPr>
                <w:rPr>
                  <w:rFonts w:ascii="Times New Roman" w:hAnsi="Times New Roman" w:cs="Times New Roman"/>
                </w:rPr>
                <w:tag w:val="_PLD_8a1172a4974b4db489d9ace1c9b06ff9"/>
                <w:id w:val="749934509"/>
                <w:lock w:val="sdtLocked"/>
              </w:sdtPr>
              <w:sdtEndPr/>
              <w:sdtContent>
                <w:tc>
                  <w:tcPr>
                    <w:tcW w:w="1878" w:type="pct"/>
                    <w:shd w:val="clear" w:color="auto" w:fill="auto"/>
                    <w:vAlign w:val="center"/>
                  </w:tcPr>
                  <w:p w14:paraId="5570CFD8" w14:textId="77777777" w:rsidR="00016686" w:rsidRPr="00016686" w:rsidRDefault="00016686" w:rsidP="00D07E51">
                    <w:pPr>
                      <w:spacing w:line="240" w:lineRule="atLeast"/>
                      <w:rPr>
                        <w:rFonts w:ascii="Times New Roman" w:hAnsi="Times New Roman" w:cs="Times New Roman"/>
                        <w:szCs w:val="21"/>
                      </w:rPr>
                    </w:pPr>
                    <w:r w:rsidRPr="00016686">
                      <w:rPr>
                        <w:rFonts w:ascii="Times New Roman" w:hAnsi="Times New Roman" w:cs="Times New Roman"/>
                        <w:szCs w:val="21"/>
                      </w:rPr>
                      <w:t>一、账面原值</w:t>
                    </w:r>
                  </w:p>
                </w:tc>
              </w:sdtContent>
            </w:sdt>
            <w:tc>
              <w:tcPr>
                <w:tcW w:w="1504" w:type="pct"/>
                <w:shd w:val="clear" w:color="auto" w:fill="auto"/>
              </w:tcPr>
              <w:p w14:paraId="63E27C04" w14:textId="77777777" w:rsidR="00016686" w:rsidRPr="00016686" w:rsidRDefault="00016686" w:rsidP="00D07E51">
                <w:pPr>
                  <w:spacing w:line="240" w:lineRule="atLeast"/>
                  <w:ind w:firstLineChars="200" w:firstLine="420"/>
                  <w:jc w:val="right"/>
                  <w:rPr>
                    <w:rFonts w:ascii="Times New Roman" w:hAnsi="Times New Roman" w:cs="Times New Roman"/>
                    <w:szCs w:val="21"/>
                  </w:rPr>
                </w:pPr>
              </w:p>
            </w:tc>
            <w:tc>
              <w:tcPr>
                <w:tcW w:w="1618" w:type="pct"/>
                <w:shd w:val="clear" w:color="auto" w:fill="auto"/>
              </w:tcPr>
              <w:p w14:paraId="02BC8A89" w14:textId="77777777" w:rsidR="00016686" w:rsidRPr="00016686" w:rsidRDefault="00016686" w:rsidP="00D07E51">
                <w:pPr>
                  <w:spacing w:line="240" w:lineRule="atLeast"/>
                  <w:jc w:val="right"/>
                  <w:rPr>
                    <w:rFonts w:ascii="Times New Roman" w:hAnsi="Times New Roman" w:cs="Times New Roman"/>
                    <w:szCs w:val="21"/>
                  </w:rPr>
                </w:pPr>
              </w:p>
            </w:tc>
          </w:tr>
          <w:tr w:rsidR="00016686" w:rsidRPr="00016686" w14:paraId="0DAF11D7" w14:textId="77777777" w:rsidTr="00D07E51">
            <w:trPr>
              <w:trHeight w:val="284"/>
            </w:trPr>
            <w:sdt>
              <w:sdtPr>
                <w:rPr>
                  <w:rFonts w:ascii="Times New Roman" w:hAnsi="Times New Roman" w:cs="Times New Roman"/>
                </w:rPr>
                <w:tag w:val="_PLD_1bcbd6f040864936993405929e8f3c87"/>
                <w:id w:val="-1644883135"/>
                <w:lock w:val="sdtLocked"/>
              </w:sdtPr>
              <w:sdtEndPr/>
              <w:sdtContent>
                <w:tc>
                  <w:tcPr>
                    <w:tcW w:w="1878" w:type="pct"/>
                    <w:shd w:val="clear" w:color="auto" w:fill="auto"/>
                    <w:vAlign w:val="center"/>
                  </w:tcPr>
                  <w:p w14:paraId="3305E95D" w14:textId="77777777" w:rsidR="00016686" w:rsidRPr="00016686" w:rsidRDefault="00016686" w:rsidP="00D07E51">
                    <w:pPr>
                      <w:spacing w:line="240" w:lineRule="atLeast"/>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期初余额</w:t>
                    </w:r>
                  </w:p>
                </w:tc>
              </w:sdtContent>
            </w:sdt>
            <w:sdt>
              <w:sdtPr>
                <w:rPr>
                  <w:rFonts w:ascii="Times New Roman" w:hAnsi="Times New Roman" w:cs="Times New Roman"/>
                  <w:szCs w:val="21"/>
                </w:rPr>
                <w:alias w:val="使用权资产明细-账面原值"/>
                <w:tag w:val="_GBC_6079549d75e44c4794dbbc33e1c33ad8"/>
                <w:id w:val="-394740724"/>
                <w:lock w:val="sdtLocked"/>
              </w:sdtPr>
              <w:sdtEndPr/>
              <w:sdtContent>
                <w:tc>
                  <w:tcPr>
                    <w:tcW w:w="1504" w:type="pct"/>
                    <w:shd w:val="clear" w:color="auto" w:fill="auto"/>
                  </w:tcPr>
                  <w:p w14:paraId="04D6657D" w14:textId="77777777" w:rsidR="00016686" w:rsidRPr="00016686" w:rsidRDefault="00016686" w:rsidP="00D07E51">
                    <w:pPr>
                      <w:spacing w:line="240" w:lineRule="atLeast"/>
                      <w:ind w:firstLineChars="200" w:firstLine="420"/>
                      <w:jc w:val="right"/>
                      <w:rPr>
                        <w:rFonts w:ascii="Times New Roman" w:hAnsi="Times New Roman" w:cs="Times New Roman"/>
                        <w:szCs w:val="21"/>
                      </w:rPr>
                    </w:pPr>
                    <w:r w:rsidRPr="00016686">
                      <w:rPr>
                        <w:rFonts w:ascii="Times New Roman" w:hAnsi="Times New Roman" w:cs="Times New Roman"/>
                        <w:szCs w:val="21"/>
                      </w:rPr>
                      <w:t>55,404,440.63</w:t>
                    </w:r>
                  </w:p>
                </w:tc>
              </w:sdtContent>
            </w:sdt>
            <w:sdt>
              <w:sdtPr>
                <w:rPr>
                  <w:rFonts w:ascii="Times New Roman" w:hAnsi="Times New Roman" w:cs="Times New Roman"/>
                  <w:szCs w:val="21"/>
                </w:rPr>
                <w:alias w:val="使用权资产账面原值"/>
                <w:tag w:val="_GBC_1a35fa4b8971434894a45baaca257b56"/>
                <w:id w:val="1806049734"/>
                <w:lock w:val="sdtLocked"/>
              </w:sdtPr>
              <w:sdtEndPr/>
              <w:sdtContent>
                <w:tc>
                  <w:tcPr>
                    <w:tcW w:w="1618" w:type="pct"/>
                    <w:shd w:val="clear" w:color="auto" w:fill="auto"/>
                  </w:tcPr>
                  <w:p w14:paraId="30001193"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55,404,440.63</w:t>
                    </w:r>
                  </w:p>
                </w:tc>
              </w:sdtContent>
            </w:sdt>
          </w:tr>
          <w:tr w:rsidR="00016686" w:rsidRPr="00016686" w14:paraId="2FE24307" w14:textId="77777777" w:rsidTr="00D07E51">
            <w:trPr>
              <w:trHeight w:val="284"/>
            </w:trPr>
            <w:sdt>
              <w:sdtPr>
                <w:rPr>
                  <w:rFonts w:ascii="Times New Roman" w:hAnsi="Times New Roman" w:cs="Times New Roman"/>
                </w:rPr>
                <w:tag w:val="_PLD_cb8705faa0dd4f71889eeb93b843f45e"/>
                <w:id w:val="-171800861"/>
                <w:lock w:val="sdtLocked"/>
              </w:sdtPr>
              <w:sdtEndPr/>
              <w:sdtContent>
                <w:tc>
                  <w:tcPr>
                    <w:tcW w:w="1878" w:type="pct"/>
                    <w:shd w:val="clear" w:color="auto" w:fill="auto"/>
                    <w:vAlign w:val="center"/>
                  </w:tcPr>
                  <w:p w14:paraId="104C2BFE"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本期增加金额</w:t>
                    </w:r>
                  </w:p>
                </w:tc>
              </w:sdtContent>
            </w:sdt>
            <w:sdt>
              <w:sdtPr>
                <w:rPr>
                  <w:rFonts w:ascii="Times New Roman" w:hAnsi="Times New Roman" w:cs="Times New Roman"/>
                  <w:szCs w:val="21"/>
                </w:rPr>
                <w:alias w:val="使用权资产明细-账面原值增加"/>
                <w:tag w:val="_GBC_038693f88fd04c6e945c2a70721938c5"/>
                <w:id w:val="331885127"/>
                <w:lock w:val="sdtLocked"/>
              </w:sdtPr>
              <w:sdtEndPr/>
              <w:sdtContent>
                <w:tc>
                  <w:tcPr>
                    <w:tcW w:w="1504" w:type="pct"/>
                    <w:shd w:val="clear" w:color="auto" w:fill="auto"/>
                  </w:tcPr>
                  <w:p w14:paraId="55405C4E"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58,351.55</w:t>
                    </w:r>
                  </w:p>
                </w:tc>
              </w:sdtContent>
            </w:sdt>
            <w:sdt>
              <w:sdtPr>
                <w:rPr>
                  <w:rFonts w:ascii="Times New Roman" w:hAnsi="Times New Roman" w:cs="Times New Roman"/>
                  <w:szCs w:val="21"/>
                </w:rPr>
                <w:alias w:val="使用权资产账面原值增加"/>
                <w:tag w:val="_GBC_8000655ddf3b4066924ff13958ca8787"/>
                <w:id w:val="864641529"/>
                <w:lock w:val="sdtLocked"/>
              </w:sdtPr>
              <w:sdtEndPr/>
              <w:sdtContent>
                <w:tc>
                  <w:tcPr>
                    <w:tcW w:w="1618" w:type="pct"/>
                    <w:shd w:val="clear" w:color="auto" w:fill="auto"/>
                  </w:tcPr>
                  <w:p w14:paraId="2121FC8C"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58,351.55</w:t>
                    </w:r>
                  </w:p>
                </w:tc>
              </w:sdtContent>
            </w:sdt>
          </w:tr>
          <w:tr w:rsidR="00016686" w:rsidRPr="00016686" w14:paraId="44201FB6" w14:textId="77777777" w:rsidTr="00D07E51">
            <w:trPr>
              <w:trHeight w:val="284"/>
            </w:trPr>
            <w:sdt>
              <w:sdtPr>
                <w:rPr>
                  <w:rFonts w:ascii="Times New Roman" w:hAnsi="Times New Roman" w:cs="Times New Roman"/>
                  <w:szCs w:val="21"/>
                </w:rPr>
                <w:alias w:val="使用权资产账面原值增加项目名称"/>
                <w:tag w:val="_GBC_1a6d831f9b1b40bfbbec3afae5f4701e"/>
                <w:id w:val="-568198947"/>
                <w:lock w:val="sdtLocked"/>
              </w:sdtPr>
              <w:sdtEndPr/>
              <w:sdtContent>
                <w:tc>
                  <w:tcPr>
                    <w:tcW w:w="1878" w:type="pct"/>
                    <w:shd w:val="clear" w:color="auto" w:fill="auto"/>
                  </w:tcPr>
                  <w:p w14:paraId="163237EA" w14:textId="77777777" w:rsidR="00016686" w:rsidRPr="00016686" w:rsidRDefault="00016686" w:rsidP="00D07E51">
                    <w:pPr>
                      <w:spacing w:line="240" w:lineRule="atLeast"/>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汇率变动的影响</w:t>
                    </w:r>
                  </w:p>
                </w:tc>
              </w:sdtContent>
            </w:sdt>
            <w:sdt>
              <w:sdtPr>
                <w:rPr>
                  <w:rFonts w:ascii="Times New Roman" w:hAnsi="Times New Roman" w:cs="Times New Roman"/>
                  <w:szCs w:val="21"/>
                </w:rPr>
                <w:alias w:val="使用权资产账面原值增加项目金额"/>
                <w:tag w:val="_GBC_fea54c9079f8401280ded64a3f37ad3c"/>
                <w:id w:val="-1780789868"/>
                <w:lock w:val="sdtLocked"/>
              </w:sdtPr>
              <w:sdtEndPr/>
              <w:sdtContent>
                <w:tc>
                  <w:tcPr>
                    <w:tcW w:w="1504" w:type="pct"/>
                    <w:shd w:val="clear" w:color="auto" w:fill="auto"/>
                  </w:tcPr>
                  <w:p w14:paraId="1F97D3B7"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58,351.55</w:t>
                    </w:r>
                  </w:p>
                </w:tc>
              </w:sdtContent>
            </w:sdt>
            <w:sdt>
              <w:sdtPr>
                <w:rPr>
                  <w:rFonts w:ascii="Times New Roman" w:hAnsi="Times New Roman" w:cs="Times New Roman"/>
                  <w:szCs w:val="21"/>
                </w:rPr>
                <w:alias w:val="使用权资产账面原值增加项目合计金额"/>
                <w:tag w:val="_GBC_a28fe7f9c36c4f208081a5dd677ef6b7"/>
                <w:id w:val="1814836839"/>
                <w:lock w:val="sdtLocked"/>
              </w:sdtPr>
              <w:sdtEndPr/>
              <w:sdtContent>
                <w:tc>
                  <w:tcPr>
                    <w:tcW w:w="1618" w:type="pct"/>
                    <w:shd w:val="clear" w:color="auto" w:fill="auto"/>
                  </w:tcPr>
                  <w:p w14:paraId="1EA1E6CE"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58,351.55</w:t>
                    </w:r>
                  </w:p>
                </w:tc>
              </w:sdtContent>
            </w:sdt>
          </w:tr>
          <w:tr w:rsidR="00016686" w:rsidRPr="00016686" w14:paraId="2888250F" w14:textId="77777777" w:rsidTr="00D07E51">
            <w:trPr>
              <w:trHeight w:val="284"/>
            </w:trPr>
            <w:sdt>
              <w:sdtPr>
                <w:rPr>
                  <w:rFonts w:ascii="Times New Roman" w:hAnsi="Times New Roman" w:cs="Times New Roman"/>
                </w:rPr>
                <w:tag w:val="_PLD_5a836262bcb54f0aa73023d39e87cb70"/>
                <w:id w:val="1797095902"/>
                <w:lock w:val="sdtLocked"/>
              </w:sdtPr>
              <w:sdtEndPr/>
              <w:sdtContent>
                <w:tc>
                  <w:tcPr>
                    <w:tcW w:w="1878" w:type="pct"/>
                    <w:shd w:val="clear" w:color="auto" w:fill="auto"/>
                    <w:vAlign w:val="center"/>
                  </w:tcPr>
                  <w:p w14:paraId="1F6D6FC5"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3.</w:t>
                    </w:r>
                    <w:r w:rsidRPr="00016686">
                      <w:rPr>
                        <w:rFonts w:ascii="Times New Roman" w:hAnsi="Times New Roman" w:cs="Times New Roman"/>
                        <w:szCs w:val="21"/>
                      </w:rPr>
                      <w:t>本期减少金额</w:t>
                    </w:r>
                  </w:p>
                </w:tc>
              </w:sdtContent>
            </w:sdt>
            <w:sdt>
              <w:sdtPr>
                <w:rPr>
                  <w:rFonts w:ascii="Times New Roman" w:hAnsi="Times New Roman" w:cs="Times New Roman"/>
                  <w:szCs w:val="21"/>
                </w:rPr>
                <w:alias w:val="使用权资产明细-账面原值减少"/>
                <w:tag w:val="_GBC_ad311ac7cd944c41ab0869eebfbbc2a9"/>
                <w:id w:val="-1936592883"/>
                <w:lock w:val="sdtLocked"/>
                <w:showingPlcHdr/>
              </w:sdtPr>
              <w:sdtEndPr/>
              <w:sdtContent>
                <w:tc>
                  <w:tcPr>
                    <w:tcW w:w="1504" w:type="pct"/>
                    <w:shd w:val="clear" w:color="auto" w:fill="auto"/>
                  </w:tcPr>
                  <w:p w14:paraId="4465AC90"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使用权资产账面原值减少"/>
                <w:tag w:val="_GBC_0f36d990434d47bd9f1a709a0a597c10"/>
                <w:id w:val="-1706861957"/>
                <w:lock w:val="sdtLocked"/>
                <w:showingPlcHdr/>
              </w:sdtPr>
              <w:sdtEndPr/>
              <w:sdtContent>
                <w:tc>
                  <w:tcPr>
                    <w:tcW w:w="1618" w:type="pct"/>
                    <w:shd w:val="clear" w:color="auto" w:fill="auto"/>
                  </w:tcPr>
                  <w:p w14:paraId="0B99DB8B"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016686" w:rsidRPr="00016686" w14:paraId="0A6B685C" w14:textId="77777777" w:rsidTr="00D07E51">
            <w:trPr>
              <w:trHeight w:val="284"/>
            </w:trPr>
            <w:sdt>
              <w:sdtPr>
                <w:rPr>
                  <w:rFonts w:ascii="Times New Roman" w:hAnsi="Times New Roman" w:cs="Times New Roman"/>
                </w:rPr>
                <w:tag w:val="_PLD_d2ddd00acda84b158c10aa57a3b88766"/>
                <w:id w:val="-2001877607"/>
                <w:lock w:val="sdtLocked"/>
              </w:sdtPr>
              <w:sdtEndPr/>
              <w:sdtContent>
                <w:tc>
                  <w:tcPr>
                    <w:tcW w:w="1878" w:type="pct"/>
                    <w:shd w:val="clear" w:color="auto" w:fill="auto"/>
                    <w:vAlign w:val="center"/>
                  </w:tcPr>
                  <w:p w14:paraId="0A0287D2"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4.</w:t>
                    </w:r>
                    <w:r w:rsidRPr="00016686">
                      <w:rPr>
                        <w:rFonts w:ascii="Times New Roman" w:hAnsi="Times New Roman" w:cs="Times New Roman"/>
                        <w:szCs w:val="21"/>
                      </w:rPr>
                      <w:t>期末余额</w:t>
                    </w:r>
                  </w:p>
                </w:tc>
              </w:sdtContent>
            </w:sdt>
            <w:sdt>
              <w:sdtPr>
                <w:rPr>
                  <w:rFonts w:ascii="Times New Roman" w:hAnsi="Times New Roman" w:cs="Times New Roman"/>
                  <w:szCs w:val="21"/>
                </w:rPr>
                <w:alias w:val="使用权资产明细-账面原值"/>
                <w:tag w:val="_GBC_6a038554bb4d4aa789f64c8ccc710b07"/>
                <w:id w:val="-346643113"/>
                <w:lock w:val="sdtLocked"/>
              </w:sdtPr>
              <w:sdtEndPr/>
              <w:sdtContent>
                <w:tc>
                  <w:tcPr>
                    <w:tcW w:w="1504" w:type="pct"/>
                    <w:shd w:val="clear" w:color="auto" w:fill="auto"/>
                  </w:tcPr>
                  <w:p w14:paraId="1E212ED3"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55,462,792.18</w:t>
                    </w:r>
                  </w:p>
                </w:tc>
              </w:sdtContent>
            </w:sdt>
            <w:sdt>
              <w:sdtPr>
                <w:rPr>
                  <w:rFonts w:ascii="Times New Roman" w:hAnsi="Times New Roman" w:cs="Times New Roman"/>
                  <w:szCs w:val="21"/>
                </w:rPr>
                <w:alias w:val="使用权资产账面原值"/>
                <w:tag w:val="_GBC_007c0f31392649b696a0d5d1c1e6a108"/>
                <w:id w:val="1815210232"/>
                <w:lock w:val="sdtLocked"/>
              </w:sdtPr>
              <w:sdtEndPr/>
              <w:sdtContent>
                <w:tc>
                  <w:tcPr>
                    <w:tcW w:w="1618" w:type="pct"/>
                    <w:shd w:val="clear" w:color="auto" w:fill="auto"/>
                  </w:tcPr>
                  <w:p w14:paraId="7A0E1C95"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55,462,792.18</w:t>
                    </w:r>
                  </w:p>
                </w:tc>
              </w:sdtContent>
            </w:sdt>
          </w:tr>
          <w:tr w:rsidR="00016686" w:rsidRPr="00016686" w14:paraId="4A19614B" w14:textId="77777777" w:rsidTr="00D07E51">
            <w:trPr>
              <w:trHeight w:val="284"/>
            </w:trPr>
            <w:sdt>
              <w:sdtPr>
                <w:rPr>
                  <w:rFonts w:ascii="Times New Roman" w:hAnsi="Times New Roman" w:cs="Times New Roman"/>
                </w:rPr>
                <w:tag w:val="_PLD_c5fd254e7ed54ab8b2346f3d57a1cc54"/>
                <w:id w:val="-590627199"/>
                <w:lock w:val="sdtLocked"/>
              </w:sdtPr>
              <w:sdtEndPr/>
              <w:sdtContent>
                <w:tc>
                  <w:tcPr>
                    <w:tcW w:w="1878" w:type="pct"/>
                    <w:shd w:val="clear" w:color="auto" w:fill="auto"/>
                    <w:vAlign w:val="center"/>
                  </w:tcPr>
                  <w:p w14:paraId="558F3802" w14:textId="77777777" w:rsidR="00016686" w:rsidRPr="00016686" w:rsidRDefault="00016686" w:rsidP="00D07E51">
                    <w:pPr>
                      <w:spacing w:line="240" w:lineRule="atLeast"/>
                      <w:rPr>
                        <w:rFonts w:ascii="Times New Roman" w:hAnsi="Times New Roman" w:cs="Times New Roman"/>
                        <w:szCs w:val="21"/>
                      </w:rPr>
                    </w:pPr>
                    <w:r w:rsidRPr="00016686">
                      <w:rPr>
                        <w:rFonts w:ascii="Times New Roman" w:hAnsi="Times New Roman" w:cs="Times New Roman"/>
                        <w:szCs w:val="21"/>
                      </w:rPr>
                      <w:t>二、累计折旧</w:t>
                    </w:r>
                  </w:p>
                </w:tc>
              </w:sdtContent>
            </w:sdt>
            <w:tc>
              <w:tcPr>
                <w:tcW w:w="1504" w:type="pct"/>
                <w:shd w:val="clear" w:color="auto" w:fill="auto"/>
              </w:tcPr>
              <w:p w14:paraId="72649378" w14:textId="77777777" w:rsidR="00016686" w:rsidRPr="00016686" w:rsidRDefault="00016686" w:rsidP="00D07E51">
                <w:pPr>
                  <w:spacing w:line="240" w:lineRule="atLeast"/>
                  <w:jc w:val="right"/>
                  <w:rPr>
                    <w:rFonts w:ascii="Times New Roman" w:hAnsi="Times New Roman" w:cs="Times New Roman"/>
                    <w:szCs w:val="21"/>
                  </w:rPr>
                </w:pPr>
              </w:p>
            </w:tc>
            <w:tc>
              <w:tcPr>
                <w:tcW w:w="1618" w:type="pct"/>
                <w:shd w:val="clear" w:color="auto" w:fill="auto"/>
              </w:tcPr>
              <w:p w14:paraId="177A4E45" w14:textId="77777777" w:rsidR="00016686" w:rsidRPr="00016686" w:rsidRDefault="00016686" w:rsidP="00D07E51">
                <w:pPr>
                  <w:spacing w:line="240" w:lineRule="atLeast"/>
                  <w:jc w:val="right"/>
                  <w:rPr>
                    <w:rFonts w:ascii="Times New Roman" w:hAnsi="Times New Roman" w:cs="Times New Roman"/>
                    <w:szCs w:val="21"/>
                  </w:rPr>
                </w:pPr>
              </w:p>
            </w:tc>
          </w:tr>
          <w:tr w:rsidR="00016686" w:rsidRPr="00016686" w14:paraId="760C76DE" w14:textId="77777777" w:rsidTr="00D07E51">
            <w:trPr>
              <w:trHeight w:val="284"/>
            </w:trPr>
            <w:sdt>
              <w:sdtPr>
                <w:rPr>
                  <w:rFonts w:ascii="Times New Roman" w:hAnsi="Times New Roman" w:cs="Times New Roman"/>
                </w:rPr>
                <w:tag w:val="_PLD_9d84a55f4f2440dda7ca9f05e3bee994"/>
                <w:id w:val="-1212726433"/>
                <w:lock w:val="sdtLocked"/>
              </w:sdtPr>
              <w:sdtEndPr/>
              <w:sdtContent>
                <w:tc>
                  <w:tcPr>
                    <w:tcW w:w="1878" w:type="pct"/>
                    <w:shd w:val="clear" w:color="auto" w:fill="auto"/>
                    <w:vAlign w:val="center"/>
                  </w:tcPr>
                  <w:p w14:paraId="4AB644E0"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期初余额</w:t>
                    </w:r>
                  </w:p>
                </w:tc>
              </w:sdtContent>
            </w:sdt>
            <w:sdt>
              <w:sdtPr>
                <w:rPr>
                  <w:rFonts w:ascii="Times New Roman" w:hAnsi="Times New Roman" w:cs="Times New Roman"/>
                  <w:szCs w:val="21"/>
                </w:rPr>
                <w:alias w:val="使用权资产明细-累计折旧"/>
                <w:tag w:val="_GBC_5c668c183c4043a5aade63b6e2f10e53"/>
                <w:id w:val="-171177275"/>
                <w:lock w:val="sdtLocked"/>
              </w:sdtPr>
              <w:sdtEndPr/>
              <w:sdtContent>
                <w:tc>
                  <w:tcPr>
                    <w:tcW w:w="1504" w:type="pct"/>
                    <w:shd w:val="clear" w:color="auto" w:fill="auto"/>
                  </w:tcPr>
                  <w:p w14:paraId="4D7D1BEB"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累计折旧"/>
                <w:tag w:val="_GBC_5c5976dca1a94e139da6fac64c954c50"/>
                <w:id w:val="1921055514"/>
                <w:lock w:val="sdtLocked"/>
              </w:sdtPr>
              <w:sdtEndPr/>
              <w:sdtContent>
                <w:tc>
                  <w:tcPr>
                    <w:tcW w:w="1618" w:type="pct"/>
                    <w:shd w:val="clear" w:color="auto" w:fill="auto"/>
                  </w:tcPr>
                  <w:p w14:paraId="53A4D857"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4A69BDD2" w14:textId="77777777" w:rsidTr="00D07E51">
            <w:trPr>
              <w:trHeight w:val="284"/>
            </w:trPr>
            <w:sdt>
              <w:sdtPr>
                <w:rPr>
                  <w:rFonts w:ascii="Times New Roman" w:hAnsi="Times New Roman" w:cs="Times New Roman"/>
                </w:rPr>
                <w:tag w:val="_PLD_217b7f3bca984b1e9148b657f60c578a"/>
                <w:id w:val="-2085055412"/>
                <w:lock w:val="sdtLocked"/>
              </w:sdtPr>
              <w:sdtEndPr/>
              <w:sdtContent>
                <w:tc>
                  <w:tcPr>
                    <w:tcW w:w="1878" w:type="pct"/>
                    <w:shd w:val="clear" w:color="auto" w:fill="auto"/>
                    <w:vAlign w:val="center"/>
                  </w:tcPr>
                  <w:p w14:paraId="573906C0"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本期增加金额</w:t>
                    </w:r>
                  </w:p>
                </w:tc>
              </w:sdtContent>
            </w:sdt>
            <w:sdt>
              <w:sdtPr>
                <w:rPr>
                  <w:rFonts w:ascii="Times New Roman" w:hAnsi="Times New Roman" w:cs="Times New Roman"/>
                  <w:szCs w:val="21"/>
                </w:rPr>
                <w:alias w:val="使用权资产明细-累计折旧增加"/>
                <w:tag w:val="_GBC_30e838b31a2344d0acb83c67997b16d1"/>
                <w:id w:val="2024969849"/>
                <w:lock w:val="sdtLocked"/>
              </w:sdtPr>
              <w:sdtEndPr/>
              <w:sdtContent>
                <w:tc>
                  <w:tcPr>
                    <w:tcW w:w="1504" w:type="pct"/>
                    <w:shd w:val="clear" w:color="auto" w:fill="auto"/>
                  </w:tcPr>
                  <w:p w14:paraId="41C4E75D"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4,988,906.20</w:t>
                    </w:r>
                  </w:p>
                </w:tc>
              </w:sdtContent>
            </w:sdt>
            <w:sdt>
              <w:sdtPr>
                <w:rPr>
                  <w:rFonts w:ascii="Times New Roman" w:hAnsi="Times New Roman" w:cs="Times New Roman"/>
                  <w:szCs w:val="21"/>
                </w:rPr>
                <w:alias w:val="使用权资产累计折旧增加"/>
                <w:tag w:val="_GBC_04fdf39eca0f40e2abbf616fa83850c0"/>
                <w:id w:val="296043957"/>
                <w:lock w:val="sdtLocked"/>
              </w:sdtPr>
              <w:sdtEndPr/>
              <w:sdtContent>
                <w:tc>
                  <w:tcPr>
                    <w:tcW w:w="1618" w:type="pct"/>
                    <w:shd w:val="clear" w:color="auto" w:fill="auto"/>
                  </w:tcPr>
                  <w:p w14:paraId="39ECBF0A"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4,988,906.20</w:t>
                    </w:r>
                  </w:p>
                </w:tc>
              </w:sdtContent>
            </w:sdt>
          </w:tr>
          <w:tr w:rsidR="00016686" w:rsidRPr="00016686" w14:paraId="066B0121" w14:textId="77777777" w:rsidTr="00D07E51">
            <w:trPr>
              <w:trHeight w:val="284"/>
            </w:trPr>
            <w:sdt>
              <w:sdtPr>
                <w:rPr>
                  <w:rFonts w:ascii="Times New Roman" w:hAnsi="Times New Roman" w:cs="Times New Roman"/>
                </w:rPr>
                <w:tag w:val="_PLD_c5cff13f53f547b2b4c43791a1454f16"/>
                <w:id w:val="1927527053"/>
                <w:lock w:val="sdtLocked"/>
              </w:sdtPr>
              <w:sdtEndPr/>
              <w:sdtContent>
                <w:tc>
                  <w:tcPr>
                    <w:tcW w:w="1878" w:type="pct"/>
                    <w:shd w:val="clear" w:color="auto" w:fill="auto"/>
                    <w:vAlign w:val="center"/>
                  </w:tcPr>
                  <w:p w14:paraId="55A3FD4D" w14:textId="77777777" w:rsidR="00016686" w:rsidRPr="00016686" w:rsidRDefault="00016686" w:rsidP="00D07E51">
                    <w:pPr>
                      <w:spacing w:line="240" w:lineRule="atLeast"/>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计提</w:t>
                    </w:r>
                  </w:p>
                </w:tc>
              </w:sdtContent>
            </w:sdt>
            <w:sdt>
              <w:sdtPr>
                <w:rPr>
                  <w:rFonts w:ascii="Times New Roman" w:hAnsi="Times New Roman" w:cs="Times New Roman"/>
                  <w:szCs w:val="21"/>
                </w:rPr>
                <w:alias w:val="使用权资产明细-计提导致的累计折旧增加"/>
                <w:tag w:val="_GBC_eca0c64a8da54245b08a966a6139eee7"/>
                <w:id w:val="212317426"/>
                <w:lock w:val="sdtLocked"/>
              </w:sdtPr>
              <w:sdtEndPr/>
              <w:sdtContent>
                <w:tc>
                  <w:tcPr>
                    <w:tcW w:w="1504" w:type="pct"/>
                    <w:shd w:val="clear" w:color="auto" w:fill="auto"/>
                  </w:tcPr>
                  <w:p w14:paraId="0F394EEA"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4,878,466.42</w:t>
                    </w:r>
                  </w:p>
                </w:tc>
              </w:sdtContent>
            </w:sdt>
            <w:sdt>
              <w:sdtPr>
                <w:rPr>
                  <w:rFonts w:ascii="Times New Roman" w:hAnsi="Times New Roman" w:cs="Times New Roman"/>
                  <w:szCs w:val="21"/>
                </w:rPr>
                <w:alias w:val="使用权资产计提导致的累计折旧增加"/>
                <w:tag w:val="_GBC_99e847bff39043dfad6af7a482c70a79"/>
                <w:id w:val="270594811"/>
                <w:lock w:val="sdtLocked"/>
              </w:sdtPr>
              <w:sdtEndPr/>
              <w:sdtContent>
                <w:tc>
                  <w:tcPr>
                    <w:tcW w:w="1618" w:type="pct"/>
                    <w:shd w:val="clear" w:color="auto" w:fill="auto"/>
                  </w:tcPr>
                  <w:p w14:paraId="2495159D"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4,878,466.42</w:t>
                    </w:r>
                  </w:p>
                </w:tc>
              </w:sdtContent>
            </w:sdt>
          </w:tr>
          <w:tr w:rsidR="00016686" w:rsidRPr="00016686" w14:paraId="55298CE2" w14:textId="77777777" w:rsidTr="00D07E51">
            <w:trPr>
              <w:trHeight w:val="284"/>
            </w:trPr>
            <w:sdt>
              <w:sdtPr>
                <w:rPr>
                  <w:rFonts w:ascii="Times New Roman" w:hAnsi="Times New Roman" w:cs="Times New Roman"/>
                  <w:szCs w:val="21"/>
                </w:rPr>
                <w:alias w:val="使用权资产累计摊销增加项目名称"/>
                <w:tag w:val="_GBC_ad0a9abd74b14da4af63396afd0be609"/>
                <w:id w:val="-210882960"/>
                <w:lock w:val="sdtLocked"/>
              </w:sdtPr>
              <w:sdtEndPr/>
              <w:sdtContent>
                <w:tc>
                  <w:tcPr>
                    <w:tcW w:w="1878" w:type="pct"/>
                    <w:shd w:val="clear" w:color="auto" w:fill="auto"/>
                  </w:tcPr>
                  <w:p w14:paraId="52170157" w14:textId="77777777" w:rsidR="00016686" w:rsidRPr="00016686" w:rsidRDefault="00016686" w:rsidP="00D07E51">
                    <w:pPr>
                      <w:spacing w:line="240" w:lineRule="atLeast"/>
                      <w:ind w:firstLineChars="300" w:firstLine="63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汇率变动的影响</w:t>
                    </w:r>
                  </w:p>
                </w:tc>
              </w:sdtContent>
            </w:sdt>
            <w:sdt>
              <w:sdtPr>
                <w:rPr>
                  <w:rFonts w:ascii="Times New Roman" w:hAnsi="Times New Roman" w:cs="Times New Roman"/>
                  <w:szCs w:val="21"/>
                </w:rPr>
                <w:alias w:val="使用权资产累计摊销增加项目金额"/>
                <w:tag w:val="_GBC_574ca06ad2e24c269140cbae3c525b8e"/>
                <w:id w:val="-583299969"/>
                <w:lock w:val="sdtLocked"/>
              </w:sdtPr>
              <w:sdtEndPr/>
              <w:sdtContent>
                <w:tc>
                  <w:tcPr>
                    <w:tcW w:w="1504" w:type="pct"/>
                    <w:shd w:val="clear" w:color="auto" w:fill="auto"/>
                  </w:tcPr>
                  <w:p w14:paraId="579B42D7"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110,439.78</w:t>
                    </w:r>
                  </w:p>
                </w:tc>
              </w:sdtContent>
            </w:sdt>
            <w:sdt>
              <w:sdtPr>
                <w:rPr>
                  <w:rFonts w:ascii="Times New Roman" w:hAnsi="Times New Roman" w:cs="Times New Roman"/>
                  <w:szCs w:val="21"/>
                </w:rPr>
                <w:alias w:val="使用权资产累计摊销增加项目合计金额"/>
                <w:tag w:val="_GBC_0b7d750bc62949549bb49a286ef62b71"/>
                <w:id w:val="806052603"/>
                <w:lock w:val="sdtLocked"/>
              </w:sdtPr>
              <w:sdtEndPr/>
              <w:sdtContent>
                <w:tc>
                  <w:tcPr>
                    <w:tcW w:w="1618" w:type="pct"/>
                    <w:shd w:val="clear" w:color="auto" w:fill="auto"/>
                  </w:tcPr>
                  <w:p w14:paraId="7A6022F2"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110,439.78</w:t>
                    </w:r>
                  </w:p>
                </w:tc>
              </w:sdtContent>
            </w:sdt>
          </w:tr>
          <w:tr w:rsidR="00016686" w:rsidRPr="00016686" w14:paraId="17774887" w14:textId="77777777" w:rsidTr="00D07E51">
            <w:trPr>
              <w:trHeight w:val="284"/>
            </w:trPr>
            <w:sdt>
              <w:sdtPr>
                <w:rPr>
                  <w:rFonts w:ascii="Times New Roman" w:hAnsi="Times New Roman" w:cs="Times New Roman"/>
                </w:rPr>
                <w:tag w:val="_PLD_74a88ffcb94e429ba842908a6c9f7dea"/>
                <w:id w:val="-2017218614"/>
                <w:lock w:val="sdtLocked"/>
              </w:sdtPr>
              <w:sdtEndPr/>
              <w:sdtContent>
                <w:tc>
                  <w:tcPr>
                    <w:tcW w:w="1878" w:type="pct"/>
                    <w:shd w:val="clear" w:color="auto" w:fill="auto"/>
                    <w:vAlign w:val="center"/>
                  </w:tcPr>
                  <w:p w14:paraId="360E9464"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3.</w:t>
                    </w:r>
                    <w:r w:rsidRPr="00016686">
                      <w:rPr>
                        <w:rFonts w:ascii="Times New Roman" w:hAnsi="Times New Roman" w:cs="Times New Roman"/>
                        <w:szCs w:val="21"/>
                      </w:rPr>
                      <w:t>本期减少金额</w:t>
                    </w:r>
                  </w:p>
                </w:tc>
              </w:sdtContent>
            </w:sdt>
            <w:sdt>
              <w:sdtPr>
                <w:rPr>
                  <w:rFonts w:ascii="Times New Roman" w:hAnsi="Times New Roman" w:cs="Times New Roman"/>
                  <w:szCs w:val="21"/>
                </w:rPr>
                <w:alias w:val="使用权资产明细-累计折旧减少"/>
                <w:tag w:val="_GBC_fb6b3d96d26e4d50a9282198926a5a46"/>
                <w:id w:val="1212693654"/>
                <w:lock w:val="sdtLocked"/>
                <w:showingPlcHdr/>
              </w:sdtPr>
              <w:sdtEndPr/>
              <w:sdtContent>
                <w:tc>
                  <w:tcPr>
                    <w:tcW w:w="1504" w:type="pct"/>
                    <w:shd w:val="clear" w:color="auto" w:fill="auto"/>
                  </w:tcPr>
                  <w:p w14:paraId="685F9572"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使用权资产累计折旧减少"/>
                <w:tag w:val="_GBC_182c07412ff64d06a77c86487db48ffa"/>
                <w:id w:val="-1892811538"/>
                <w:lock w:val="sdtLocked"/>
              </w:sdtPr>
              <w:sdtEndPr/>
              <w:sdtContent>
                <w:tc>
                  <w:tcPr>
                    <w:tcW w:w="1618" w:type="pct"/>
                    <w:shd w:val="clear" w:color="auto" w:fill="auto"/>
                  </w:tcPr>
                  <w:p w14:paraId="35F51D71" w14:textId="77777777" w:rsidR="00016686" w:rsidRPr="00016686" w:rsidRDefault="00016686" w:rsidP="00D07E51">
                    <w:pPr>
                      <w:spacing w:line="240" w:lineRule="atLeast"/>
                      <w:jc w:val="right"/>
                      <w:rPr>
                        <w:rFonts w:ascii="Times New Roman" w:hAnsi="Times New Roman" w:cs="Times New Roman"/>
                        <w:szCs w:val="21"/>
                      </w:rPr>
                    </w:pPr>
                  </w:p>
                </w:tc>
              </w:sdtContent>
            </w:sdt>
          </w:tr>
          <w:tr w:rsidR="00016686" w:rsidRPr="00016686" w14:paraId="1CA7BCB7" w14:textId="77777777" w:rsidTr="00D07E51">
            <w:trPr>
              <w:trHeight w:val="284"/>
            </w:trPr>
            <w:sdt>
              <w:sdtPr>
                <w:rPr>
                  <w:rFonts w:ascii="Times New Roman" w:hAnsi="Times New Roman" w:cs="Times New Roman"/>
                </w:rPr>
                <w:tag w:val="_PLD_9d1f18a4d0d64b789c36d13861afaa48"/>
                <w:id w:val="-1701623624"/>
                <w:lock w:val="sdtLocked"/>
              </w:sdtPr>
              <w:sdtEndPr/>
              <w:sdtContent>
                <w:tc>
                  <w:tcPr>
                    <w:tcW w:w="1878" w:type="pct"/>
                    <w:shd w:val="clear" w:color="auto" w:fill="auto"/>
                    <w:vAlign w:val="center"/>
                  </w:tcPr>
                  <w:p w14:paraId="562619AA" w14:textId="77777777" w:rsidR="00016686" w:rsidRPr="00016686" w:rsidRDefault="00016686" w:rsidP="00D07E51">
                    <w:pPr>
                      <w:spacing w:line="240" w:lineRule="atLeast"/>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处置</w:t>
                    </w:r>
                  </w:p>
                </w:tc>
              </w:sdtContent>
            </w:sdt>
            <w:sdt>
              <w:sdtPr>
                <w:rPr>
                  <w:rFonts w:ascii="Times New Roman" w:hAnsi="Times New Roman" w:cs="Times New Roman"/>
                  <w:szCs w:val="21"/>
                </w:rPr>
                <w:alias w:val="使用权资产明细-处置导致的累计折旧减少"/>
                <w:tag w:val="_GBC_0f8695aa2415494c89174c1fee60af1d"/>
                <w:id w:val="129067526"/>
                <w:lock w:val="sdtLocked"/>
              </w:sdtPr>
              <w:sdtEndPr/>
              <w:sdtContent>
                <w:tc>
                  <w:tcPr>
                    <w:tcW w:w="1504" w:type="pct"/>
                    <w:shd w:val="clear" w:color="auto" w:fill="auto"/>
                  </w:tcPr>
                  <w:p w14:paraId="0EB3788F"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处置导致的累计折旧减少"/>
                <w:tag w:val="_GBC_c527122e6a23425f84c18b75a8c11bdd"/>
                <w:id w:val="-1351562832"/>
                <w:lock w:val="sdtLocked"/>
              </w:sdtPr>
              <w:sdtEndPr/>
              <w:sdtContent>
                <w:tc>
                  <w:tcPr>
                    <w:tcW w:w="1618" w:type="pct"/>
                    <w:shd w:val="clear" w:color="auto" w:fill="auto"/>
                  </w:tcPr>
                  <w:p w14:paraId="1624CBB6"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0C157017" w14:textId="77777777" w:rsidTr="00D07E51">
            <w:trPr>
              <w:trHeight w:val="284"/>
            </w:trPr>
            <w:sdt>
              <w:sdtPr>
                <w:rPr>
                  <w:rFonts w:ascii="Times New Roman" w:hAnsi="Times New Roman" w:cs="Times New Roman"/>
                </w:rPr>
                <w:tag w:val="_PLD_7acfb13844c6472295c20fd22554cb75"/>
                <w:id w:val="-1121529334"/>
                <w:lock w:val="sdtLocked"/>
              </w:sdtPr>
              <w:sdtEndPr/>
              <w:sdtContent>
                <w:tc>
                  <w:tcPr>
                    <w:tcW w:w="1878" w:type="pct"/>
                    <w:shd w:val="clear" w:color="auto" w:fill="auto"/>
                    <w:vAlign w:val="center"/>
                  </w:tcPr>
                  <w:p w14:paraId="69FF89C7"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4.</w:t>
                    </w:r>
                    <w:r w:rsidRPr="00016686">
                      <w:rPr>
                        <w:rFonts w:ascii="Times New Roman" w:hAnsi="Times New Roman" w:cs="Times New Roman"/>
                        <w:szCs w:val="21"/>
                      </w:rPr>
                      <w:t>期末余额</w:t>
                    </w:r>
                  </w:p>
                </w:tc>
              </w:sdtContent>
            </w:sdt>
            <w:sdt>
              <w:sdtPr>
                <w:rPr>
                  <w:rFonts w:ascii="Times New Roman" w:hAnsi="Times New Roman" w:cs="Times New Roman"/>
                  <w:szCs w:val="21"/>
                </w:rPr>
                <w:alias w:val="使用权资产明细-累计折旧"/>
                <w:tag w:val="_GBC_710540a263bf464f92e9c57efeb7876e"/>
                <w:id w:val="738365835"/>
                <w:lock w:val="sdtLocked"/>
              </w:sdtPr>
              <w:sdtEndPr/>
              <w:sdtContent>
                <w:tc>
                  <w:tcPr>
                    <w:tcW w:w="1504" w:type="pct"/>
                    <w:shd w:val="clear" w:color="auto" w:fill="auto"/>
                  </w:tcPr>
                  <w:p w14:paraId="0B557435"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4,988,906.20</w:t>
                    </w:r>
                  </w:p>
                </w:tc>
              </w:sdtContent>
            </w:sdt>
            <w:sdt>
              <w:sdtPr>
                <w:rPr>
                  <w:rFonts w:ascii="Times New Roman" w:hAnsi="Times New Roman" w:cs="Times New Roman"/>
                  <w:szCs w:val="21"/>
                </w:rPr>
                <w:alias w:val="使用权资产累计折旧"/>
                <w:tag w:val="_GBC_99b7e0aec39c48708e812ece4f57f7df"/>
                <w:id w:val="-762452686"/>
                <w:lock w:val="sdtLocked"/>
              </w:sdtPr>
              <w:sdtEndPr/>
              <w:sdtContent>
                <w:tc>
                  <w:tcPr>
                    <w:tcW w:w="1618" w:type="pct"/>
                    <w:shd w:val="clear" w:color="auto" w:fill="auto"/>
                  </w:tcPr>
                  <w:p w14:paraId="6857D1B8"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4,988,906.20</w:t>
                    </w:r>
                  </w:p>
                </w:tc>
              </w:sdtContent>
            </w:sdt>
          </w:tr>
          <w:tr w:rsidR="00016686" w:rsidRPr="00016686" w14:paraId="48137AE6" w14:textId="77777777" w:rsidTr="00D07E51">
            <w:trPr>
              <w:trHeight w:val="284"/>
            </w:trPr>
            <w:sdt>
              <w:sdtPr>
                <w:rPr>
                  <w:rFonts w:ascii="Times New Roman" w:hAnsi="Times New Roman" w:cs="Times New Roman"/>
                </w:rPr>
                <w:tag w:val="_PLD_977579b288954e92aacbdc72b4e58579"/>
                <w:id w:val="-1233007593"/>
                <w:lock w:val="sdtLocked"/>
              </w:sdtPr>
              <w:sdtEndPr/>
              <w:sdtContent>
                <w:tc>
                  <w:tcPr>
                    <w:tcW w:w="1878" w:type="pct"/>
                    <w:shd w:val="clear" w:color="auto" w:fill="auto"/>
                    <w:vAlign w:val="center"/>
                  </w:tcPr>
                  <w:p w14:paraId="2D79D994" w14:textId="77777777" w:rsidR="00016686" w:rsidRPr="00016686" w:rsidRDefault="00016686" w:rsidP="00D07E51">
                    <w:pPr>
                      <w:spacing w:line="240" w:lineRule="atLeast"/>
                      <w:rPr>
                        <w:rFonts w:ascii="Times New Roman" w:hAnsi="Times New Roman" w:cs="Times New Roman"/>
                        <w:szCs w:val="21"/>
                      </w:rPr>
                    </w:pPr>
                    <w:r w:rsidRPr="00016686">
                      <w:rPr>
                        <w:rFonts w:ascii="Times New Roman" w:hAnsi="Times New Roman" w:cs="Times New Roman"/>
                        <w:szCs w:val="21"/>
                      </w:rPr>
                      <w:t>三、减值准备</w:t>
                    </w:r>
                  </w:p>
                </w:tc>
              </w:sdtContent>
            </w:sdt>
            <w:tc>
              <w:tcPr>
                <w:tcW w:w="1504" w:type="pct"/>
                <w:shd w:val="clear" w:color="auto" w:fill="auto"/>
              </w:tcPr>
              <w:p w14:paraId="369CD796" w14:textId="77777777" w:rsidR="00016686" w:rsidRPr="00016686" w:rsidRDefault="00016686" w:rsidP="00D07E51">
                <w:pPr>
                  <w:spacing w:line="240" w:lineRule="atLeast"/>
                  <w:jc w:val="right"/>
                  <w:rPr>
                    <w:rFonts w:ascii="Times New Roman" w:hAnsi="Times New Roman" w:cs="Times New Roman"/>
                    <w:szCs w:val="21"/>
                  </w:rPr>
                </w:pPr>
              </w:p>
            </w:tc>
            <w:tc>
              <w:tcPr>
                <w:tcW w:w="1618" w:type="pct"/>
                <w:shd w:val="clear" w:color="auto" w:fill="auto"/>
              </w:tcPr>
              <w:p w14:paraId="3A0760A5" w14:textId="77777777" w:rsidR="00016686" w:rsidRPr="00016686" w:rsidRDefault="00016686" w:rsidP="00D07E51">
                <w:pPr>
                  <w:spacing w:line="240" w:lineRule="atLeast"/>
                  <w:jc w:val="right"/>
                  <w:rPr>
                    <w:rFonts w:ascii="Times New Roman" w:hAnsi="Times New Roman" w:cs="Times New Roman"/>
                    <w:szCs w:val="21"/>
                  </w:rPr>
                </w:pPr>
              </w:p>
            </w:tc>
          </w:tr>
          <w:tr w:rsidR="00016686" w:rsidRPr="00016686" w14:paraId="5E7B391B" w14:textId="77777777" w:rsidTr="00D07E51">
            <w:trPr>
              <w:trHeight w:val="284"/>
            </w:trPr>
            <w:sdt>
              <w:sdtPr>
                <w:rPr>
                  <w:rFonts w:ascii="Times New Roman" w:hAnsi="Times New Roman" w:cs="Times New Roman"/>
                </w:rPr>
                <w:tag w:val="_PLD_451a3431a02f424d82ced950a4aa62d1"/>
                <w:id w:val="-463112897"/>
                <w:lock w:val="sdtLocked"/>
              </w:sdtPr>
              <w:sdtEndPr/>
              <w:sdtContent>
                <w:tc>
                  <w:tcPr>
                    <w:tcW w:w="1878" w:type="pct"/>
                    <w:shd w:val="clear" w:color="auto" w:fill="auto"/>
                    <w:vAlign w:val="center"/>
                  </w:tcPr>
                  <w:p w14:paraId="2E5EA50B"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期初余额</w:t>
                    </w:r>
                  </w:p>
                </w:tc>
              </w:sdtContent>
            </w:sdt>
            <w:sdt>
              <w:sdtPr>
                <w:rPr>
                  <w:rFonts w:ascii="Times New Roman" w:hAnsi="Times New Roman" w:cs="Times New Roman"/>
                  <w:szCs w:val="21"/>
                </w:rPr>
                <w:alias w:val="使用权资产明细-减值准备"/>
                <w:tag w:val="_GBC_27e6e6a665bc4f7cb75fdccfac703399"/>
                <w:id w:val="1139543955"/>
                <w:lock w:val="sdtLocked"/>
              </w:sdtPr>
              <w:sdtEndPr/>
              <w:sdtContent>
                <w:tc>
                  <w:tcPr>
                    <w:tcW w:w="1504" w:type="pct"/>
                    <w:shd w:val="clear" w:color="auto" w:fill="auto"/>
                  </w:tcPr>
                  <w:p w14:paraId="7FEE6884"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减值准备"/>
                <w:tag w:val="_GBC_c069caa344d649e8bf37ff39e190f387"/>
                <w:id w:val="-702931323"/>
                <w:lock w:val="sdtLocked"/>
              </w:sdtPr>
              <w:sdtEndPr/>
              <w:sdtContent>
                <w:tc>
                  <w:tcPr>
                    <w:tcW w:w="1618" w:type="pct"/>
                    <w:shd w:val="clear" w:color="auto" w:fill="auto"/>
                  </w:tcPr>
                  <w:p w14:paraId="782C81C4"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38E5C392" w14:textId="77777777" w:rsidTr="00D07E51">
            <w:trPr>
              <w:trHeight w:val="284"/>
            </w:trPr>
            <w:sdt>
              <w:sdtPr>
                <w:rPr>
                  <w:rFonts w:ascii="Times New Roman" w:hAnsi="Times New Roman" w:cs="Times New Roman"/>
                </w:rPr>
                <w:tag w:val="_PLD_47a737a9b30f4d8da4048f1415893c19"/>
                <w:id w:val="765349735"/>
                <w:lock w:val="sdtLocked"/>
              </w:sdtPr>
              <w:sdtEndPr/>
              <w:sdtContent>
                <w:tc>
                  <w:tcPr>
                    <w:tcW w:w="1878" w:type="pct"/>
                    <w:shd w:val="clear" w:color="auto" w:fill="auto"/>
                    <w:vAlign w:val="center"/>
                  </w:tcPr>
                  <w:p w14:paraId="384AB938"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本期增加金额</w:t>
                    </w:r>
                  </w:p>
                </w:tc>
              </w:sdtContent>
            </w:sdt>
            <w:sdt>
              <w:sdtPr>
                <w:rPr>
                  <w:rFonts w:ascii="Times New Roman" w:hAnsi="Times New Roman" w:cs="Times New Roman"/>
                  <w:szCs w:val="21"/>
                </w:rPr>
                <w:alias w:val="使用权资产明细-减值准备增加"/>
                <w:tag w:val="_GBC_f1f8b2d4952a4850be8769576373251c"/>
                <w:id w:val="1762797102"/>
                <w:lock w:val="sdtLocked"/>
              </w:sdtPr>
              <w:sdtEndPr/>
              <w:sdtContent>
                <w:tc>
                  <w:tcPr>
                    <w:tcW w:w="1504" w:type="pct"/>
                    <w:shd w:val="clear" w:color="auto" w:fill="auto"/>
                  </w:tcPr>
                  <w:p w14:paraId="25B06F37"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减值准备增加"/>
                <w:tag w:val="_GBC_cf1909d3485d4a3787a1dbcefa412814"/>
                <w:id w:val="-16086639"/>
                <w:lock w:val="sdtLocked"/>
              </w:sdtPr>
              <w:sdtEndPr/>
              <w:sdtContent>
                <w:tc>
                  <w:tcPr>
                    <w:tcW w:w="1618" w:type="pct"/>
                    <w:shd w:val="clear" w:color="auto" w:fill="auto"/>
                  </w:tcPr>
                  <w:p w14:paraId="7CA74A99"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07C3AFA7" w14:textId="77777777" w:rsidTr="00D07E51">
            <w:trPr>
              <w:trHeight w:val="284"/>
            </w:trPr>
            <w:sdt>
              <w:sdtPr>
                <w:rPr>
                  <w:rFonts w:ascii="Times New Roman" w:hAnsi="Times New Roman" w:cs="Times New Roman"/>
                </w:rPr>
                <w:tag w:val="_PLD_26be3676b9774a9b8396fa4fa9f17098"/>
                <w:id w:val="-527489540"/>
                <w:lock w:val="sdtLocked"/>
              </w:sdtPr>
              <w:sdtEndPr/>
              <w:sdtContent>
                <w:tc>
                  <w:tcPr>
                    <w:tcW w:w="1878" w:type="pct"/>
                    <w:shd w:val="clear" w:color="auto" w:fill="auto"/>
                    <w:vAlign w:val="center"/>
                  </w:tcPr>
                  <w:p w14:paraId="618C98C5" w14:textId="77777777" w:rsidR="00016686" w:rsidRPr="00016686" w:rsidRDefault="00016686" w:rsidP="00D07E51">
                    <w:pPr>
                      <w:spacing w:line="240" w:lineRule="atLeast"/>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计提</w:t>
                    </w:r>
                  </w:p>
                </w:tc>
              </w:sdtContent>
            </w:sdt>
            <w:sdt>
              <w:sdtPr>
                <w:rPr>
                  <w:rFonts w:ascii="Times New Roman" w:hAnsi="Times New Roman" w:cs="Times New Roman"/>
                  <w:szCs w:val="21"/>
                </w:rPr>
                <w:alias w:val="使用权资产明细-计提导致的减值准备增加"/>
                <w:tag w:val="_GBC_5d4a64a97dc94c19805438da8c6ab478"/>
                <w:id w:val="-2120672149"/>
                <w:lock w:val="sdtLocked"/>
              </w:sdtPr>
              <w:sdtEndPr/>
              <w:sdtContent>
                <w:tc>
                  <w:tcPr>
                    <w:tcW w:w="1504" w:type="pct"/>
                    <w:shd w:val="clear" w:color="auto" w:fill="auto"/>
                  </w:tcPr>
                  <w:p w14:paraId="69CDAA83"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计提导致的减值准备增加"/>
                <w:tag w:val="_GBC_283120a8dc6944b9a690320018e1c280"/>
                <w:id w:val="-2014068072"/>
                <w:lock w:val="sdtLocked"/>
              </w:sdtPr>
              <w:sdtEndPr/>
              <w:sdtContent>
                <w:tc>
                  <w:tcPr>
                    <w:tcW w:w="1618" w:type="pct"/>
                    <w:shd w:val="clear" w:color="auto" w:fill="auto"/>
                  </w:tcPr>
                  <w:p w14:paraId="1213417A"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2EA47888" w14:textId="77777777" w:rsidTr="00D07E51">
            <w:trPr>
              <w:trHeight w:val="284"/>
            </w:trPr>
            <w:sdt>
              <w:sdtPr>
                <w:rPr>
                  <w:rFonts w:ascii="Times New Roman" w:hAnsi="Times New Roman" w:cs="Times New Roman"/>
                </w:rPr>
                <w:tag w:val="_PLD_fd8e2e2eb1c94e01bbb88fa8f1e8d273"/>
                <w:id w:val="-1490009653"/>
                <w:lock w:val="sdtLocked"/>
              </w:sdtPr>
              <w:sdtEndPr/>
              <w:sdtContent>
                <w:tc>
                  <w:tcPr>
                    <w:tcW w:w="1878" w:type="pct"/>
                    <w:shd w:val="clear" w:color="auto" w:fill="auto"/>
                    <w:vAlign w:val="center"/>
                  </w:tcPr>
                  <w:p w14:paraId="79365455"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3.</w:t>
                    </w:r>
                    <w:r w:rsidRPr="00016686">
                      <w:rPr>
                        <w:rFonts w:ascii="Times New Roman" w:hAnsi="Times New Roman" w:cs="Times New Roman"/>
                        <w:szCs w:val="21"/>
                      </w:rPr>
                      <w:t>本期减少金额</w:t>
                    </w:r>
                  </w:p>
                </w:tc>
              </w:sdtContent>
            </w:sdt>
            <w:sdt>
              <w:sdtPr>
                <w:rPr>
                  <w:rFonts w:ascii="Times New Roman" w:hAnsi="Times New Roman" w:cs="Times New Roman"/>
                  <w:szCs w:val="21"/>
                </w:rPr>
                <w:alias w:val="使用权资产明细-减值准备减少"/>
                <w:tag w:val="_GBC_b575c68addb54ddb8041c85aa9e131d6"/>
                <w:id w:val="1539084415"/>
                <w:lock w:val="sdtLocked"/>
              </w:sdtPr>
              <w:sdtEndPr/>
              <w:sdtContent>
                <w:tc>
                  <w:tcPr>
                    <w:tcW w:w="1504" w:type="pct"/>
                    <w:shd w:val="clear" w:color="auto" w:fill="auto"/>
                  </w:tcPr>
                  <w:p w14:paraId="344E49B3"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减值准备减少"/>
                <w:tag w:val="_GBC_8508e68e7521428db971997c1ccf68f1"/>
                <w:id w:val="-1528165060"/>
                <w:lock w:val="sdtLocked"/>
              </w:sdtPr>
              <w:sdtEndPr/>
              <w:sdtContent>
                <w:tc>
                  <w:tcPr>
                    <w:tcW w:w="1618" w:type="pct"/>
                    <w:shd w:val="clear" w:color="auto" w:fill="auto"/>
                  </w:tcPr>
                  <w:p w14:paraId="3A6E2594"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43604AF2" w14:textId="77777777" w:rsidTr="00D07E51">
            <w:trPr>
              <w:trHeight w:val="284"/>
            </w:trPr>
            <w:sdt>
              <w:sdtPr>
                <w:rPr>
                  <w:rFonts w:ascii="Times New Roman" w:hAnsi="Times New Roman" w:cs="Times New Roman"/>
                </w:rPr>
                <w:tag w:val="_PLD_039436c52bad480cb82e28e945ac6011"/>
                <w:id w:val="44953868"/>
                <w:lock w:val="sdtLocked"/>
              </w:sdtPr>
              <w:sdtEndPr/>
              <w:sdtContent>
                <w:tc>
                  <w:tcPr>
                    <w:tcW w:w="1878" w:type="pct"/>
                    <w:shd w:val="clear" w:color="auto" w:fill="auto"/>
                    <w:vAlign w:val="center"/>
                  </w:tcPr>
                  <w:p w14:paraId="76B0C41B" w14:textId="77777777" w:rsidR="00016686" w:rsidRPr="00016686" w:rsidRDefault="00016686" w:rsidP="00D07E51">
                    <w:pPr>
                      <w:spacing w:line="240" w:lineRule="atLeast"/>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处置</w:t>
                    </w:r>
                  </w:p>
                </w:tc>
              </w:sdtContent>
            </w:sdt>
            <w:sdt>
              <w:sdtPr>
                <w:rPr>
                  <w:rFonts w:ascii="Times New Roman" w:hAnsi="Times New Roman" w:cs="Times New Roman"/>
                  <w:szCs w:val="21"/>
                </w:rPr>
                <w:alias w:val="使用权资产明细-处置导致的减值准备减少"/>
                <w:tag w:val="_GBC_fc379f4f5e874264a0b7917e8e5f7b8f"/>
                <w:id w:val="-988707371"/>
                <w:lock w:val="sdtLocked"/>
              </w:sdtPr>
              <w:sdtEndPr/>
              <w:sdtContent>
                <w:tc>
                  <w:tcPr>
                    <w:tcW w:w="1504" w:type="pct"/>
                    <w:shd w:val="clear" w:color="auto" w:fill="auto"/>
                  </w:tcPr>
                  <w:p w14:paraId="766043AE"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处置导致的减值准备减少"/>
                <w:tag w:val="_GBC_b12f4ebe26a3412bb18711415fec7659"/>
                <w:id w:val="-1596779572"/>
                <w:lock w:val="sdtLocked"/>
              </w:sdtPr>
              <w:sdtEndPr/>
              <w:sdtContent>
                <w:tc>
                  <w:tcPr>
                    <w:tcW w:w="1618" w:type="pct"/>
                    <w:shd w:val="clear" w:color="auto" w:fill="auto"/>
                  </w:tcPr>
                  <w:p w14:paraId="66115E6C"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2A64577A" w14:textId="77777777" w:rsidTr="00D07E51">
            <w:trPr>
              <w:trHeight w:val="284"/>
            </w:trPr>
            <w:sdt>
              <w:sdtPr>
                <w:rPr>
                  <w:rFonts w:ascii="Times New Roman" w:hAnsi="Times New Roman" w:cs="Times New Roman"/>
                </w:rPr>
                <w:tag w:val="_PLD_3170291c2496403c8098c91bdd6cebcd"/>
                <w:id w:val="-1116905742"/>
                <w:lock w:val="sdtLocked"/>
              </w:sdtPr>
              <w:sdtEndPr/>
              <w:sdtContent>
                <w:tc>
                  <w:tcPr>
                    <w:tcW w:w="1878" w:type="pct"/>
                    <w:shd w:val="clear" w:color="auto" w:fill="auto"/>
                    <w:vAlign w:val="center"/>
                  </w:tcPr>
                  <w:p w14:paraId="60280D77" w14:textId="77777777" w:rsidR="00016686" w:rsidRPr="00016686" w:rsidRDefault="00016686" w:rsidP="00D07E51">
                    <w:pPr>
                      <w:spacing w:line="240" w:lineRule="atLeast"/>
                      <w:ind w:firstLineChars="200" w:firstLine="420"/>
                      <w:rPr>
                        <w:rFonts w:ascii="Times New Roman" w:hAnsi="Times New Roman" w:cs="Times New Roman"/>
                        <w:szCs w:val="21"/>
                      </w:rPr>
                    </w:pPr>
                    <w:r w:rsidRPr="00016686">
                      <w:rPr>
                        <w:rFonts w:ascii="Times New Roman" w:hAnsi="Times New Roman" w:cs="Times New Roman"/>
                        <w:szCs w:val="21"/>
                      </w:rPr>
                      <w:t>4.</w:t>
                    </w:r>
                    <w:r w:rsidRPr="00016686">
                      <w:rPr>
                        <w:rFonts w:ascii="Times New Roman" w:hAnsi="Times New Roman" w:cs="Times New Roman"/>
                        <w:szCs w:val="21"/>
                      </w:rPr>
                      <w:t>期末余额</w:t>
                    </w:r>
                  </w:p>
                </w:tc>
              </w:sdtContent>
            </w:sdt>
            <w:sdt>
              <w:sdtPr>
                <w:rPr>
                  <w:rFonts w:ascii="Times New Roman" w:hAnsi="Times New Roman" w:cs="Times New Roman"/>
                  <w:szCs w:val="21"/>
                </w:rPr>
                <w:alias w:val="使用权资产明细-减值准备"/>
                <w:tag w:val="_GBC_d0d02d2ebed7413da2c65b876a24d32c"/>
                <w:id w:val="-1173958292"/>
                <w:lock w:val="sdtLocked"/>
              </w:sdtPr>
              <w:sdtEndPr/>
              <w:sdtContent>
                <w:tc>
                  <w:tcPr>
                    <w:tcW w:w="1504" w:type="pct"/>
                    <w:shd w:val="clear" w:color="auto" w:fill="auto"/>
                  </w:tcPr>
                  <w:p w14:paraId="7B99691D"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使用权资产减值准备"/>
                <w:tag w:val="_GBC_41ce3320f4f948c69e0325d66e1fc514"/>
                <w:id w:val="-1808082565"/>
                <w:lock w:val="sdtLocked"/>
              </w:sdtPr>
              <w:sdtEndPr/>
              <w:sdtContent>
                <w:tc>
                  <w:tcPr>
                    <w:tcW w:w="1618" w:type="pct"/>
                    <w:shd w:val="clear" w:color="auto" w:fill="auto"/>
                  </w:tcPr>
                  <w:p w14:paraId="47628A66"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w:t>
                    </w:r>
                  </w:p>
                </w:tc>
              </w:sdtContent>
            </w:sdt>
          </w:tr>
          <w:tr w:rsidR="00016686" w:rsidRPr="00016686" w14:paraId="06D9542B" w14:textId="77777777" w:rsidTr="00D07E51">
            <w:trPr>
              <w:trHeight w:val="284"/>
            </w:trPr>
            <w:sdt>
              <w:sdtPr>
                <w:rPr>
                  <w:rFonts w:ascii="Times New Roman" w:hAnsi="Times New Roman" w:cs="Times New Roman"/>
                </w:rPr>
                <w:tag w:val="_PLD_a609076f16da4fedb37d9fc1d72dfd8f"/>
                <w:id w:val="-1413079091"/>
                <w:lock w:val="sdtLocked"/>
              </w:sdtPr>
              <w:sdtEndPr/>
              <w:sdtContent>
                <w:tc>
                  <w:tcPr>
                    <w:tcW w:w="1878" w:type="pct"/>
                    <w:shd w:val="clear" w:color="auto" w:fill="auto"/>
                    <w:vAlign w:val="center"/>
                  </w:tcPr>
                  <w:p w14:paraId="667CB6CA" w14:textId="77777777" w:rsidR="00016686" w:rsidRPr="00016686" w:rsidRDefault="00016686" w:rsidP="00D07E51">
                    <w:pPr>
                      <w:spacing w:line="240" w:lineRule="atLeast"/>
                      <w:rPr>
                        <w:rFonts w:ascii="Times New Roman" w:hAnsi="Times New Roman" w:cs="Times New Roman"/>
                        <w:szCs w:val="21"/>
                      </w:rPr>
                    </w:pPr>
                    <w:r w:rsidRPr="00016686">
                      <w:rPr>
                        <w:rFonts w:ascii="Times New Roman" w:hAnsi="Times New Roman" w:cs="Times New Roman"/>
                        <w:szCs w:val="21"/>
                      </w:rPr>
                      <w:t>四、账面价值</w:t>
                    </w:r>
                  </w:p>
                </w:tc>
              </w:sdtContent>
            </w:sdt>
            <w:tc>
              <w:tcPr>
                <w:tcW w:w="1504" w:type="pct"/>
                <w:shd w:val="clear" w:color="auto" w:fill="auto"/>
              </w:tcPr>
              <w:p w14:paraId="597D4A8F" w14:textId="77777777" w:rsidR="00016686" w:rsidRPr="00016686" w:rsidRDefault="00016686" w:rsidP="00D07E51">
                <w:pPr>
                  <w:spacing w:line="240" w:lineRule="atLeast"/>
                  <w:jc w:val="right"/>
                  <w:rPr>
                    <w:rFonts w:ascii="Times New Roman" w:hAnsi="Times New Roman" w:cs="Times New Roman"/>
                    <w:szCs w:val="21"/>
                  </w:rPr>
                </w:pPr>
              </w:p>
            </w:tc>
            <w:tc>
              <w:tcPr>
                <w:tcW w:w="1618" w:type="pct"/>
                <w:shd w:val="clear" w:color="auto" w:fill="auto"/>
              </w:tcPr>
              <w:p w14:paraId="36A22E5C" w14:textId="77777777" w:rsidR="00016686" w:rsidRPr="00016686" w:rsidRDefault="00016686" w:rsidP="00D07E51">
                <w:pPr>
                  <w:spacing w:line="240" w:lineRule="atLeast"/>
                  <w:jc w:val="right"/>
                  <w:rPr>
                    <w:rFonts w:ascii="Times New Roman" w:hAnsi="Times New Roman" w:cs="Times New Roman"/>
                    <w:szCs w:val="21"/>
                  </w:rPr>
                </w:pPr>
              </w:p>
            </w:tc>
          </w:tr>
          <w:tr w:rsidR="00016686" w:rsidRPr="00016686" w14:paraId="79D6EE4D" w14:textId="77777777" w:rsidTr="00D07E51">
            <w:trPr>
              <w:trHeight w:val="284"/>
            </w:trPr>
            <w:sdt>
              <w:sdtPr>
                <w:rPr>
                  <w:rFonts w:ascii="Times New Roman" w:hAnsi="Times New Roman" w:cs="Times New Roman"/>
                </w:rPr>
                <w:tag w:val="_PLD_4674f60ab7b34201a998a840d9d08d8a"/>
                <w:id w:val="1494139461"/>
                <w:lock w:val="sdtLocked"/>
              </w:sdtPr>
              <w:sdtEndPr/>
              <w:sdtContent>
                <w:tc>
                  <w:tcPr>
                    <w:tcW w:w="1878" w:type="pct"/>
                    <w:shd w:val="clear" w:color="auto" w:fill="auto"/>
                    <w:vAlign w:val="center"/>
                  </w:tcPr>
                  <w:p w14:paraId="5A7EB9CE" w14:textId="77777777" w:rsidR="00016686" w:rsidRPr="00016686" w:rsidRDefault="00016686" w:rsidP="00D07E51">
                    <w:pPr>
                      <w:spacing w:line="240" w:lineRule="atLeast"/>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期末账面价值</w:t>
                    </w:r>
                  </w:p>
                </w:tc>
              </w:sdtContent>
            </w:sdt>
            <w:sdt>
              <w:sdtPr>
                <w:rPr>
                  <w:rFonts w:ascii="Times New Roman" w:hAnsi="Times New Roman" w:cs="Times New Roman"/>
                  <w:szCs w:val="21"/>
                </w:rPr>
                <w:alias w:val="使用权资产明细-账面价值"/>
                <w:tag w:val="_GBC_2bb664ccfd7e4285b84d8fb7955354cb"/>
                <w:id w:val="1077630933"/>
                <w:lock w:val="sdtLocked"/>
              </w:sdtPr>
              <w:sdtEndPr/>
              <w:sdtContent>
                <w:tc>
                  <w:tcPr>
                    <w:tcW w:w="1504" w:type="pct"/>
                    <w:shd w:val="clear" w:color="auto" w:fill="auto"/>
                  </w:tcPr>
                  <w:p w14:paraId="4AAAF8EA"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50,473,885.98</w:t>
                    </w:r>
                  </w:p>
                </w:tc>
              </w:sdtContent>
            </w:sdt>
            <w:sdt>
              <w:sdtPr>
                <w:rPr>
                  <w:rFonts w:ascii="Times New Roman" w:hAnsi="Times New Roman" w:cs="Times New Roman"/>
                  <w:szCs w:val="21"/>
                </w:rPr>
                <w:alias w:val="使用权资产"/>
                <w:tag w:val="_GBC_edf5285955b448ed844183547d426f66"/>
                <w:id w:val="-378017529"/>
                <w:lock w:val="sdtLocked"/>
              </w:sdtPr>
              <w:sdtEndPr/>
              <w:sdtContent>
                <w:tc>
                  <w:tcPr>
                    <w:tcW w:w="1618" w:type="pct"/>
                    <w:shd w:val="clear" w:color="auto" w:fill="auto"/>
                  </w:tcPr>
                  <w:p w14:paraId="1C1C0420"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50,473,885.98</w:t>
                    </w:r>
                  </w:p>
                </w:tc>
              </w:sdtContent>
            </w:sdt>
          </w:tr>
          <w:tr w:rsidR="00016686" w:rsidRPr="00016686" w14:paraId="29373918" w14:textId="77777777" w:rsidTr="00D07E51">
            <w:trPr>
              <w:trHeight w:val="284"/>
            </w:trPr>
            <w:sdt>
              <w:sdtPr>
                <w:rPr>
                  <w:rFonts w:ascii="Times New Roman" w:hAnsi="Times New Roman" w:cs="Times New Roman"/>
                </w:rPr>
                <w:tag w:val="_PLD_a7e06de99a79495a885da295fe9ce70c"/>
                <w:id w:val="468479362"/>
                <w:lock w:val="sdtLocked"/>
              </w:sdtPr>
              <w:sdtEndPr/>
              <w:sdtContent>
                <w:tc>
                  <w:tcPr>
                    <w:tcW w:w="1878" w:type="pct"/>
                    <w:shd w:val="clear" w:color="auto" w:fill="auto"/>
                    <w:vAlign w:val="center"/>
                  </w:tcPr>
                  <w:p w14:paraId="45810665" w14:textId="77777777" w:rsidR="00016686" w:rsidRPr="00016686" w:rsidRDefault="00016686" w:rsidP="00D07E51">
                    <w:pPr>
                      <w:spacing w:line="240" w:lineRule="atLeast"/>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期初账面价值</w:t>
                    </w:r>
                  </w:p>
                </w:tc>
              </w:sdtContent>
            </w:sdt>
            <w:sdt>
              <w:sdtPr>
                <w:rPr>
                  <w:rFonts w:ascii="Times New Roman" w:hAnsi="Times New Roman" w:cs="Times New Roman"/>
                  <w:szCs w:val="21"/>
                </w:rPr>
                <w:alias w:val="使用权资产明细-账面价值"/>
                <w:tag w:val="_GBC_fb48ddba17ca41f48409ce6b3fc26277"/>
                <w:id w:val="2051957880"/>
                <w:lock w:val="sdtLocked"/>
              </w:sdtPr>
              <w:sdtEndPr/>
              <w:sdtContent>
                <w:tc>
                  <w:tcPr>
                    <w:tcW w:w="1504" w:type="pct"/>
                    <w:shd w:val="clear" w:color="auto" w:fill="auto"/>
                  </w:tcPr>
                  <w:p w14:paraId="01DF2570"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55,404,440.63</w:t>
                    </w:r>
                  </w:p>
                </w:tc>
              </w:sdtContent>
            </w:sdt>
            <w:sdt>
              <w:sdtPr>
                <w:rPr>
                  <w:rFonts w:ascii="Times New Roman" w:hAnsi="Times New Roman" w:cs="Times New Roman"/>
                  <w:szCs w:val="21"/>
                </w:rPr>
                <w:alias w:val="使用权资产"/>
                <w:tag w:val="_GBC_c5f95837b99940e9bff8f606a3972d0a"/>
                <w:id w:val="-1202387558"/>
                <w:lock w:val="sdtLocked"/>
              </w:sdtPr>
              <w:sdtEndPr/>
              <w:sdtContent>
                <w:tc>
                  <w:tcPr>
                    <w:tcW w:w="1618" w:type="pct"/>
                    <w:shd w:val="clear" w:color="auto" w:fill="auto"/>
                  </w:tcPr>
                  <w:p w14:paraId="68ABFDDF" w14:textId="77777777" w:rsidR="00016686" w:rsidRPr="00016686" w:rsidRDefault="00016686" w:rsidP="00D07E51">
                    <w:pPr>
                      <w:spacing w:line="240" w:lineRule="atLeast"/>
                      <w:jc w:val="right"/>
                      <w:rPr>
                        <w:rFonts w:ascii="Times New Roman" w:hAnsi="Times New Roman" w:cs="Times New Roman"/>
                        <w:szCs w:val="21"/>
                      </w:rPr>
                    </w:pPr>
                    <w:r w:rsidRPr="00016686">
                      <w:rPr>
                        <w:rFonts w:ascii="Times New Roman" w:hAnsi="Times New Roman" w:cs="Times New Roman"/>
                        <w:szCs w:val="21"/>
                      </w:rPr>
                      <w:t>55,404,440.63</w:t>
                    </w:r>
                  </w:p>
                </w:tc>
              </w:sdtContent>
            </w:sdt>
          </w:tr>
        </w:tbl>
        <w:p w14:paraId="31952A45" w14:textId="77777777" w:rsidR="00D21C1F" w:rsidRPr="00016686" w:rsidRDefault="00A42880">
          <w:pPr>
            <w:autoSpaceDE w:val="0"/>
            <w:autoSpaceDN w:val="0"/>
            <w:adjustRightInd w:val="0"/>
            <w:rPr>
              <w:rFonts w:ascii="Times New Roman" w:hAnsi="Times New Roman" w:cs="Times New Roman"/>
              <w:szCs w:val="21"/>
            </w:rPr>
          </w:pPr>
          <w:r w:rsidRPr="00016686">
            <w:rPr>
              <w:rFonts w:ascii="Times New Roman" w:hAnsi="Times New Roman" w:cs="Times New Roman"/>
              <w:szCs w:val="21"/>
            </w:rPr>
            <w:t>其他说明：</w:t>
          </w:r>
        </w:p>
        <w:sdt>
          <w:sdtPr>
            <w:rPr>
              <w:rFonts w:ascii="Times New Roman" w:hAnsi="Times New Roman" w:cs="Times New Roman"/>
            </w:rPr>
            <w:alias w:val="使用权资产其他说明"/>
            <w:tag w:val="_GBC_59e827e1177d4b7b8daf26999a9ca64a"/>
            <w:id w:val="-514374526"/>
            <w:lock w:val="sdtLocked"/>
            <w:placeholder>
              <w:docPart w:val="GBC22222222222222222222222222222"/>
            </w:placeholder>
          </w:sdtPr>
          <w:sdtEndPr/>
          <w:sdtContent>
            <w:p w14:paraId="428354A2" w14:textId="77777777" w:rsidR="00D21C1F" w:rsidRDefault="00A42880">
              <w:pPr>
                <w:pStyle w:val="97"/>
              </w:pPr>
              <w:r w:rsidRPr="00016686">
                <w:rPr>
                  <w:rFonts w:ascii="Times New Roman" w:hAnsi="Times New Roman" w:cs="Times New Roman"/>
                </w:rPr>
                <w:t>无</w:t>
              </w:r>
            </w:p>
          </w:sdtContent>
        </w:sdt>
      </w:sdtContent>
    </w:sdt>
    <w:bookmarkEnd w:id="240"/>
    <w:p w14:paraId="4352B433" w14:textId="77777777" w:rsidR="00D21C1F" w:rsidRDefault="00D21C1F">
      <w:pPr>
        <w:rPr>
          <w:szCs w:val="21"/>
        </w:rPr>
        <w:sectPr w:rsidR="00D21C1F">
          <w:pgSz w:w="11906" w:h="16838"/>
          <w:pgMar w:top="1525" w:right="1276" w:bottom="1440" w:left="1797" w:header="856" w:footer="992" w:gutter="0"/>
          <w:cols w:space="425"/>
          <w:docGrid w:linePitch="312"/>
        </w:sectPr>
      </w:pPr>
    </w:p>
    <w:p w14:paraId="56D7F133" w14:textId="77777777" w:rsidR="00D21C1F" w:rsidRDefault="00D21C1F">
      <w:pPr>
        <w:rPr>
          <w:szCs w:val="21"/>
        </w:rPr>
      </w:pPr>
    </w:p>
    <w:p w14:paraId="354D2837"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无形资产</w:t>
      </w:r>
    </w:p>
    <w:p w14:paraId="6C0C9507" w14:textId="77777777" w:rsidR="00D21C1F" w:rsidRDefault="00A42880">
      <w:pPr>
        <w:pStyle w:val="93"/>
        <w:numPr>
          <w:ilvl w:val="0"/>
          <w:numId w:val="110"/>
        </w:numPr>
        <w:tabs>
          <w:tab w:val="left" w:pos="602"/>
        </w:tabs>
        <w:rPr>
          <w:rFonts w:ascii="宋体" w:hAnsi="宋体"/>
          <w:szCs w:val="21"/>
        </w:rPr>
      </w:pPr>
      <w:r>
        <w:rPr>
          <w:rFonts w:ascii="宋体" w:hAnsi="宋体" w:hint="eastAsia"/>
          <w:szCs w:val="21"/>
        </w:rPr>
        <w:t>无形资产情况</w:t>
      </w:r>
    </w:p>
    <w:p w14:paraId="39BE1F96" w14:textId="77777777" w:rsidR="00D21C1F" w:rsidRDefault="00045EC6">
      <w:pPr>
        <w:pStyle w:val="97"/>
      </w:pPr>
      <w:sdt>
        <w:sdtPr>
          <w:rPr>
            <w:rFonts w:hint="eastAsia"/>
          </w:rPr>
          <w:alias w:val="是否适用：无形资产情况[双击切换]"/>
          <w:tag w:val="_GBC_0882d05501f84259b91efc5f2eae98cf"/>
          <w:id w:val="-1926799997"/>
          <w:lock w:val="sdtContentLocked"/>
          <w:placeholder>
            <w:docPart w:val="GBC22222222222222222222222222222"/>
          </w:placeholder>
        </w:sdtPr>
        <w:sdtEndPr/>
        <w:sdtContent>
          <w:r w:rsidR="00A42880">
            <w:fldChar w:fldCharType="begin"/>
          </w:r>
          <w:r w:rsidR="00A42880">
            <w:instrText xml:space="preserve"> 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sdt>
      <w:sdtPr>
        <w:rPr>
          <w:rFonts w:ascii="Times New Roman" w:hAnsi="Times New Roman" w:cs="Times New Roman"/>
          <w:b/>
          <w:bCs/>
          <w:szCs w:val="21"/>
        </w:rPr>
        <w:alias w:val="模块:无形资产情况"/>
        <w:tag w:val="_GBC_799ffdb131784d33a2db94a85018c927"/>
        <w:id w:val="-1947842878"/>
        <w:lock w:val="sdtLocked"/>
        <w:placeholder>
          <w:docPart w:val="GBC22222222222222222222222222222"/>
        </w:placeholder>
      </w:sdtPr>
      <w:sdtEndPr>
        <w:rPr>
          <w:b w:val="0"/>
          <w:bCs w:val="0"/>
        </w:rPr>
      </w:sdtEndPr>
      <w:sdtContent>
        <w:p w14:paraId="4DCE82A7" w14:textId="77777777" w:rsidR="00D21C1F" w:rsidRPr="00016686" w:rsidRDefault="00A42880">
          <w:pPr>
            <w:snapToGrid w:val="0"/>
            <w:spacing w:line="240" w:lineRule="atLeast"/>
            <w:jc w:val="right"/>
            <w:rPr>
              <w:rFonts w:ascii="Times New Roman" w:hAnsi="Times New Roman" w:cs="Times New Roman"/>
              <w:szCs w:val="21"/>
            </w:rPr>
          </w:pPr>
          <w:r w:rsidRPr="00016686">
            <w:rPr>
              <w:rFonts w:ascii="Times New Roman" w:hAnsi="Times New Roman" w:cs="Times New Roman"/>
              <w:szCs w:val="21"/>
            </w:rPr>
            <w:t>单位：</w:t>
          </w:r>
          <w:sdt>
            <w:sdtPr>
              <w:rPr>
                <w:rFonts w:ascii="Times New Roman" w:hAnsi="Times New Roman" w:cs="Times New Roman"/>
                <w:szCs w:val="21"/>
              </w:rPr>
              <w:alias w:val="单位：财务附注：无形资产情况"/>
              <w:tag w:val="_GBC_e04514c8858e489490302ba7c2e1448a"/>
              <w:id w:val="-767384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016686">
                <w:rPr>
                  <w:rFonts w:ascii="Times New Roman" w:hAnsi="Times New Roman" w:cs="Times New Roman"/>
                  <w:szCs w:val="21"/>
                </w:rPr>
                <w:t>元</w:t>
              </w:r>
            </w:sdtContent>
          </w:sdt>
          <w:r w:rsidRPr="00016686">
            <w:rPr>
              <w:rFonts w:ascii="Times New Roman" w:hAnsi="Times New Roman" w:cs="Times New Roman"/>
              <w:szCs w:val="21"/>
            </w:rPr>
            <w:t>币种：</w:t>
          </w:r>
          <w:sdt>
            <w:sdtPr>
              <w:rPr>
                <w:rFonts w:ascii="Times New Roman" w:hAnsi="Times New Roman" w:cs="Times New Roman"/>
                <w:szCs w:val="21"/>
              </w:rPr>
              <w:alias w:val="币种：财务附注：无形资产情况"/>
              <w:tag w:val="_GBC_5ac7324577934f838e3655199c980c1c"/>
              <w:id w:val="1337427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016686">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1"/>
            <w:gridCol w:w="1981"/>
            <w:gridCol w:w="1980"/>
            <w:gridCol w:w="1980"/>
            <w:gridCol w:w="1980"/>
            <w:gridCol w:w="1980"/>
          </w:tblGrid>
          <w:tr w:rsidR="00D21C1F" w:rsidRPr="00016686" w14:paraId="500FC88D" w14:textId="77777777">
            <w:trPr>
              <w:trHeight w:val="284"/>
            </w:trPr>
            <w:sdt>
              <w:sdtPr>
                <w:rPr>
                  <w:rFonts w:ascii="Times New Roman" w:hAnsi="Times New Roman" w:cs="Times New Roman"/>
                </w:rPr>
                <w:tag w:val="_PLD_16e062da10ef4301a1526b8633f88a31"/>
                <w:id w:val="-86301994"/>
                <w:lock w:val="sdtLocked"/>
              </w:sdtPr>
              <w:sdtEndPr/>
              <w:sdtContent>
                <w:tc>
                  <w:tcPr>
                    <w:tcW w:w="714" w:type="pct"/>
                    <w:shd w:val="clear" w:color="auto" w:fill="auto"/>
                    <w:vAlign w:val="center"/>
                  </w:tcPr>
                  <w:p w14:paraId="06770D40" w14:textId="77777777" w:rsidR="00D21C1F" w:rsidRPr="00016686" w:rsidRDefault="00A42880">
                    <w:pPr>
                      <w:jc w:val="center"/>
                      <w:rPr>
                        <w:rFonts w:ascii="Times New Roman" w:hAnsi="Times New Roman" w:cs="Times New Roman"/>
                        <w:szCs w:val="21"/>
                      </w:rPr>
                    </w:pPr>
                    <w:r w:rsidRPr="00016686">
                      <w:rPr>
                        <w:rFonts w:ascii="Times New Roman" w:hAnsi="Times New Roman" w:cs="Times New Roman"/>
                        <w:szCs w:val="21"/>
                      </w:rPr>
                      <w:t>项目</w:t>
                    </w:r>
                  </w:p>
                </w:tc>
              </w:sdtContent>
            </w:sdt>
            <w:sdt>
              <w:sdtPr>
                <w:rPr>
                  <w:rFonts w:ascii="Times New Roman" w:hAnsi="Times New Roman" w:cs="Times New Roman"/>
                </w:rPr>
                <w:tag w:val="_PLD_8b465b50cb10415c8931fdb66ee29ca3"/>
                <w:id w:val="-1019308277"/>
                <w:lock w:val="sdtLocked"/>
              </w:sdtPr>
              <w:sdtEndPr/>
              <w:sdtContent>
                <w:tc>
                  <w:tcPr>
                    <w:tcW w:w="714" w:type="pct"/>
                    <w:shd w:val="clear" w:color="auto" w:fill="auto"/>
                    <w:vAlign w:val="center"/>
                  </w:tcPr>
                  <w:p w14:paraId="2043F5CB" w14:textId="77777777" w:rsidR="00D21C1F" w:rsidRPr="00016686" w:rsidRDefault="00A42880">
                    <w:pPr>
                      <w:jc w:val="center"/>
                      <w:rPr>
                        <w:rFonts w:ascii="Times New Roman" w:hAnsi="Times New Roman" w:cs="Times New Roman"/>
                        <w:szCs w:val="21"/>
                      </w:rPr>
                    </w:pPr>
                    <w:r w:rsidRPr="00016686">
                      <w:rPr>
                        <w:rFonts w:ascii="Times New Roman" w:hAnsi="Times New Roman" w:cs="Times New Roman"/>
                        <w:szCs w:val="21"/>
                      </w:rPr>
                      <w:t>土地使用权</w:t>
                    </w:r>
                  </w:p>
                </w:tc>
              </w:sdtContent>
            </w:sdt>
            <w:sdt>
              <w:sdtPr>
                <w:rPr>
                  <w:rFonts w:ascii="Times New Roman" w:hAnsi="Times New Roman" w:cs="Times New Roman"/>
                </w:rPr>
                <w:tag w:val="_PLD_55a0c34977f7438f8a4e60b2ec43e654"/>
                <w:id w:val="-507142179"/>
                <w:lock w:val="sdtLocked"/>
              </w:sdtPr>
              <w:sdtEndPr/>
              <w:sdtContent>
                <w:tc>
                  <w:tcPr>
                    <w:tcW w:w="714" w:type="pct"/>
                    <w:shd w:val="clear" w:color="auto" w:fill="auto"/>
                    <w:vAlign w:val="center"/>
                  </w:tcPr>
                  <w:p w14:paraId="6A39204B" w14:textId="77777777" w:rsidR="00D21C1F" w:rsidRPr="00016686" w:rsidRDefault="00A42880">
                    <w:pPr>
                      <w:jc w:val="center"/>
                      <w:rPr>
                        <w:rFonts w:ascii="Times New Roman" w:hAnsi="Times New Roman" w:cs="Times New Roman"/>
                        <w:szCs w:val="21"/>
                      </w:rPr>
                    </w:pPr>
                    <w:r w:rsidRPr="00016686">
                      <w:rPr>
                        <w:rFonts w:ascii="Times New Roman" w:hAnsi="Times New Roman" w:cs="Times New Roman"/>
                        <w:szCs w:val="21"/>
                      </w:rPr>
                      <w:t>专利权</w:t>
                    </w:r>
                  </w:p>
                </w:tc>
              </w:sdtContent>
            </w:sdt>
            <w:sdt>
              <w:sdtPr>
                <w:rPr>
                  <w:rFonts w:ascii="Times New Roman" w:hAnsi="Times New Roman" w:cs="Times New Roman"/>
                </w:rPr>
                <w:tag w:val="_PLD_624f8e9465f646f5a305cf5fc59a830c"/>
                <w:id w:val="1157874985"/>
                <w:lock w:val="sdtLocked"/>
              </w:sdtPr>
              <w:sdtEndPr/>
              <w:sdtContent>
                <w:tc>
                  <w:tcPr>
                    <w:tcW w:w="714" w:type="pct"/>
                    <w:shd w:val="clear" w:color="auto" w:fill="auto"/>
                    <w:vAlign w:val="center"/>
                  </w:tcPr>
                  <w:p w14:paraId="2C98DC40" w14:textId="77777777" w:rsidR="00D21C1F" w:rsidRPr="00016686" w:rsidRDefault="00A42880">
                    <w:pPr>
                      <w:jc w:val="center"/>
                      <w:rPr>
                        <w:rFonts w:ascii="Times New Roman" w:hAnsi="Times New Roman" w:cs="Times New Roman"/>
                        <w:szCs w:val="21"/>
                      </w:rPr>
                    </w:pPr>
                    <w:r w:rsidRPr="00016686">
                      <w:rPr>
                        <w:rFonts w:ascii="Times New Roman" w:hAnsi="Times New Roman" w:cs="Times New Roman"/>
                        <w:szCs w:val="21"/>
                      </w:rPr>
                      <w:t>非专利技术</w:t>
                    </w:r>
                  </w:p>
                </w:tc>
              </w:sdtContent>
            </w:sdt>
            <w:sdt>
              <w:sdtPr>
                <w:rPr>
                  <w:rFonts w:ascii="Times New Roman" w:hAnsi="Times New Roman" w:cs="Times New Roman"/>
                  <w:szCs w:val="21"/>
                </w:rPr>
                <w:alias w:val="无形资产明细－项目"/>
                <w:tag w:val="_GBC_ee2531f58c0a420e83919cd1efe46139"/>
                <w:id w:val="376748921"/>
                <w:lock w:val="sdtLocked"/>
              </w:sdtPr>
              <w:sdtEndPr/>
              <w:sdtContent>
                <w:tc>
                  <w:tcPr>
                    <w:tcW w:w="714" w:type="pct"/>
                    <w:shd w:val="clear" w:color="auto" w:fill="auto"/>
                    <w:vAlign w:val="center"/>
                  </w:tcPr>
                  <w:p w14:paraId="7F465884" w14:textId="77777777" w:rsidR="00D21C1F" w:rsidRPr="00016686" w:rsidRDefault="00A42880">
                    <w:pPr>
                      <w:jc w:val="center"/>
                      <w:rPr>
                        <w:rFonts w:ascii="Times New Roman" w:hAnsi="Times New Roman" w:cs="Times New Roman"/>
                        <w:szCs w:val="21"/>
                      </w:rPr>
                    </w:pPr>
                    <w:r w:rsidRPr="00016686">
                      <w:rPr>
                        <w:rFonts w:ascii="Times New Roman" w:hAnsi="Times New Roman" w:cs="Times New Roman"/>
                        <w:szCs w:val="21"/>
                      </w:rPr>
                      <w:t>软件及其他</w:t>
                    </w:r>
                  </w:p>
                </w:tc>
              </w:sdtContent>
            </w:sdt>
            <w:sdt>
              <w:sdtPr>
                <w:rPr>
                  <w:rFonts w:ascii="Times New Roman" w:hAnsi="Times New Roman" w:cs="Times New Roman"/>
                  <w:szCs w:val="21"/>
                </w:rPr>
                <w:alias w:val="无形资产明细－项目"/>
                <w:tag w:val="_GBC_ee2531f58c0a420e83919cd1efe46139"/>
                <w:id w:val="1969246425"/>
                <w:lock w:val="sdtLocked"/>
              </w:sdtPr>
              <w:sdtEndPr/>
              <w:sdtContent>
                <w:tc>
                  <w:tcPr>
                    <w:tcW w:w="714" w:type="pct"/>
                    <w:shd w:val="clear" w:color="auto" w:fill="auto"/>
                    <w:vAlign w:val="center"/>
                  </w:tcPr>
                  <w:p w14:paraId="48BEB4EA" w14:textId="77777777" w:rsidR="00D21C1F" w:rsidRPr="00016686" w:rsidRDefault="00A42880">
                    <w:pPr>
                      <w:jc w:val="center"/>
                      <w:rPr>
                        <w:rFonts w:ascii="Times New Roman" w:hAnsi="Times New Roman" w:cs="Times New Roman"/>
                        <w:szCs w:val="21"/>
                      </w:rPr>
                    </w:pPr>
                    <w:r w:rsidRPr="00016686">
                      <w:rPr>
                        <w:rFonts w:ascii="Times New Roman" w:hAnsi="Times New Roman" w:cs="Times New Roman"/>
                        <w:szCs w:val="21"/>
                      </w:rPr>
                      <w:t>客户关系</w:t>
                    </w:r>
                  </w:p>
                </w:tc>
              </w:sdtContent>
            </w:sdt>
            <w:sdt>
              <w:sdtPr>
                <w:rPr>
                  <w:rFonts w:ascii="Times New Roman" w:hAnsi="Times New Roman" w:cs="Times New Roman"/>
                </w:rPr>
                <w:tag w:val="_PLD_57620ddc57e34012a99d49f2280a99e2"/>
                <w:id w:val="-484548846"/>
                <w:lock w:val="sdtLocked"/>
              </w:sdtPr>
              <w:sdtEndPr/>
              <w:sdtContent>
                <w:tc>
                  <w:tcPr>
                    <w:tcW w:w="714" w:type="pct"/>
                    <w:shd w:val="clear" w:color="auto" w:fill="auto"/>
                    <w:vAlign w:val="center"/>
                  </w:tcPr>
                  <w:p w14:paraId="572F63AD" w14:textId="77777777" w:rsidR="00D21C1F" w:rsidRPr="00016686" w:rsidRDefault="00A42880">
                    <w:pPr>
                      <w:jc w:val="center"/>
                      <w:rPr>
                        <w:rFonts w:ascii="Times New Roman" w:hAnsi="Times New Roman" w:cs="Times New Roman"/>
                        <w:szCs w:val="21"/>
                      </w:rPr>
                    </w:pPr>
                    <w:r w:rsidRPr="00016686">
                      <w:rPr>
                        <w:rFonts w:ascii="Times New Roman" w:hAnsi="Times New Roman" w:cs="Times New Roman"/>
                        <w:szCs w:val="21"/>
                      </w:rPr>
                      <w:t>合计</w:t>
                    </w:r>
                  </w:p>
                </w:tc>
              </w:sdtContent>
            </w:sdt>
          </w:tr>
          <w:tr w:rsidR="00D21C1F" w:rsidRPr="00016686" w14:paraId="1ECBB8CD" w14:textId="77777777">
            <w:trPr>
              <w:trHeight w:val="284"/>
            </w:trPr>
            <w:sdt>
              <w:sdtPr>
                <w:rPr>
                  <w:rFonts w:ascii="Times New Roman" w:hAnsi="Times New Roman" w:cs="Times New Roman"/>
                </w:rPr>
                <w:tag w:val="_PLD_97ce5956782c457c89e9607c943b01d4"/>
                <w:id w:val="-1979990875"/>
                <w:lock w:val="sdtLocked"/>
              </w:sdtPr>
              <w:sdtEndPr/>
              <w:sdtContent>
                <w:tc>
                  <w:tcPr>
                    <w:tcW w:w="714" w:type="pct"/>
                    <w:shd w:val="clear" w:color="auto" w:fill="auto"/>
                    <w:vAlign w:val="center"/>
                  </w:tcPr>
                  <w:p w14:paraId="088DA7DC"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一、账面原值</w:t>
                    </w:r>
                  </w:p>
                </w:tc>
              </w:sdtContent>
            </w:sdt>
            <w:tc>
              <w:tcPr>
                <w:tcW w:w="714" w:type="pct"/>
                <w:shd w:val="clear" w:color="auto" w:fill="auto"/>
              </w:tcPr>
              <w:p w14:paraId="3D6D6635" w14:textId="77777777" w:rsidR="00D21C1F" w:rsidRPr="00016686" w:rsidRDefault="00D21C1F">
                <w:pPr>
                  <w:rPr>
                    <w:rFonts w:ascii="Times New Roman" w:hAnsi="Times New Roman" w:cs="Times New Roman"/>
                    <w:szCs w:val="21"/>
                  </w:rPr>
                </w:pPr>
              </w:p>
            </w:tc>
            <w:tc>
              <w:tcPr>
                <w:tcW w:w="714" w:type="pct"/>
                <w:shd w:val="clear" w:color="auto" w:fill="auto"/>
              </w:tcPr>
              <w:p w14:paraId="28F6DD71" w14:textId="77777777" w:rsidR="00D21C1F" w:rsidRPr="00016686" w:rsidRDefault="00D21C1F">
                <w:pPr>
                  <w:rPr>
                    <w:rFonts w:ascii="Times New Roman" w:hAnsi="Times New Roman" w:cs="Times New Roman"/>
                    <w:szCs w:val="21"/>
                  </w:rPr>
                </w:pPr>
              </w:p>
            </w:tc>
            <w:tc>
              <w:tcPr>
                <w:tcW w:w="714" w:type="pct"/>
                <w:shd w:val="clear" w:color="auto" w:fill="auto"/>
              </w:tcPr>
              <w:p w14:paraId="2199F7E4" w14:textId="77777777" w:rsidR="00D21C1F" w:rsidRPr="00016686" w:rsidRDefault="00D21C1F">
                <w:pPr>
                  <w:rPr>
                    <w:rFonts w:ascii="Times New Roman" w:hAnsi="Times New Roman" w:cs="Times New Roman"/>
                    <w:szCs w:val="21"/>
                  </w:rPr>
                </w:pPr>
              </w:p>
            </w:tc>
            <w:tc>
              <w:tcPr>
                <w:tcW w:w="714" w:type="pct"/>
                <w:shd w:val="clear" w:color="auto" w:fill="auto"/>
              </w:tcPr>
              <w:p w14:paraId="2AC7B661" w14:textId="77777777" w:rsidR="00D21C1F" w:rsidRPr="00016686" w:rsidRDefault="00D21C1F">
                <w:pPr>
                  <w:rPr>
                    <w:rFonts w:ascii="Times New Roman" w:hAnsi="Times New Roman" w:cs="Times New Roman"/>
                    <w:szCs w:val="21"/>
                  </w:rPr>
                </w:pPr>
              </w:p>
            </w:tc>
            <w:tc>
              <w:tcPr>
                <w:tcW w:w="714" w:type="pct"/>
                <w:shd w:val="clear" w:color="auto" w:fill="auto"/>
              </w:tcPr>
              <w:p w14:paraId="4AAC64D4" w14:textId="77777777" w:rsidR="00D21C1F" w:rsidRPr="00016686" w:rsidRDefault="00D21C1F">
                <w:pPr>
                  <w:rPr>
                    <w:rFonts w:ascii="Times New Roman" w:hAnsi="Times New Roman" w:cs="Times New Roman"/>
                    <w:szCs w:val="21"/>
                  </w:rPr>
                </w:pPr>
              </w:p>
            </w:tc>
            <w:tc>
              <w:tcPr>
                <w:tcW w:w="714" w:type="pct"/>
                <w:shd w:val="clear" w:color="auto" w:fill="auto"/>
              </w:tcPr>
              <w:p w14:paraId="52A4FEB1" w14:textId="77777777" w:rsidR="00D21C1F" w:rsidRPr="00016686" w:rsidRDefault="00D21C1F">
                <w:pPr>
                  <w:rPr>
                    <w:rFonts w:ascii="Times New Roman" w:hAnsi="Times New Roman" w:cs="Times New Roman"/>
                    <w:szCs w:val="21"/>
                  </w:rPr>
                </w:pPr>
              </w:p>
            </w:tc>
          </w:tr>
          <w:tr w:rsidR="00D21C1F" w:rsidRPr="00016686" w14:paraId="712C24B9" w14:textId="77777777" w:rsidTr="00016686">
            <w:trPr>
              <w:trHeight w:val="284"/>
            </w:trPr>
            <w:sdt>
              <w:sdtPr>
                <w:rPr>
                  <w:rFonts w:ascii="Times New Roman" w:hAnsi="Times New Roman" w:cs="Times New Roman"/>
                </w:rPr>
                <w:tag w:val="_PLD_3ece69191bc64684a4f52dc219040125"/>
                <w:id w:val="1512098080"/>
                <w:lock w:val="sdtLocked"/>
              </w:sdtPr>
              <w:sdtEndPr/>
              <w:sdtContent>
                <w:tc>
                  <w:tcPr>
                    <w:tcW w:w="714" w:type="pct"/>
                    <w:shd w:val="clear" w:color="auto" w:fill="auto"/>
                    <w:vAlign w:val="center"/>
                  </w:tcPr>
                  <w:p w14:paraId="087D448D"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期初余额</w:t>
                    </w:r>
                  </w:p>
                </w:tc>
              </w:sdtContent>
            </w:sdt>
            <w:tc>
              <w:tcPr>
                <w:tcW w:w="714" w:type="pct"/>
                <w:shd w:val="clear" w:color="auto" w:fill="auto"/>
                <w:vAlign w:val="center"/>
              </w:tcPr>
              <w:p w14:paraId="48BB91EA"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34,585,077.20</w:t>
                </w:r>
              </w:p>
            </w:tc>
            <w:tc>
              <w:tcPr>
                <w:tcW w:w="714" w:type="pct"/>
                <w:shd w:val="clear" w:color="auto" w:fill="auto"/>
                <w:vAlign w:val="center"/>
              </w:tcPr>
              <w:p w14:paraId="5ED99CCA"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34,003,526.28</w:t>
                </w:r>
              </w:p>
            </w:tc>
            <w:tc>
              <w:tcPr>
                <w:tcW w:w="714" w:type="pct"/>
                <w:shd w:val="clear" w:color="auto" w:fill="auto"/>
                <w:vAlign w:val="center"/>
              </w:tcPr>
              <w:p w14:paraId="5D60E8F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57,878,886.13</w:t>
                </w:r>
              </w:p>
            </w:tc>
            <w:tc>
              <w:tcPr>
                <w:tcW w:w="714" w:type="pct"/>
                <w:shd w:val="clear" w:color="auto" w:fill="auto"/>
                <w:vAlign w:val="center"/>
              </w:tcPr>
              <w:p w14:paraId="69D64809"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64,552,409.03</w:t>
                </w:r>
              </w:p>
            </w:tc>
            <w:tc>
              <w:tcPr>
                <w:tcW w:w="714" w:type="pct"/>
                <w:shd w:val="clear" w:color="auto" w:fill="auto"/>
                <w:vAlign w:val="center"/>
              </w:tcPr>
              <w:p w14:paraId="5C96683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232,481,094.74</w:t>
                </w:r>
              </w:p>
            </w:tc>
            <w:tc>
              <w:tcPr>
                <w:tcW w:w="714" w:type="pct"/>
                <w:shd w:val="clear" w:color="auto" w:fill="auto"/>
                <w:vAlign w:val="center"/>
              </w:tcPr>
              <w:p w14:paraId="11291C3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423,500,993.38</w:t>
                </w:r>
              </w:p>
            </w:tc>
          </w:tr>
          <w:tr w:rsidR="00D21C1F" w:rsidRPr="00016686" w14:paraId="7298D58C" w14:textId="77777777" w:rsidTr="00016686">
            <w:trPr>
              <w:trHeight w:val="284"/>
            </w:trPr>
            <w:sdt>
              <w:sdtPr>
                <w:rPr>
                  <w:rFonts w:ascii="Times New Roman" w:hAnsi="Times New Roman" w:cs="Times New Roman"/>
                </w:rPr>
                <w:tag w:val="_PLD_619b832ec5e340dc899fb93538a5459d"/>
                <w:id w:val="674696700"/>
                <w:lock w:val="sdtLocked"/>
              </w:sdtPr>
              <w:sdtEndPr/>
              <w:sdtContent>
                <w:tc>
                  <w:tcPr>
                    <w:tcW w:w="714" w:type="pct"/>
                    <w:shd w:val="clear" w:color="auto" w:fill="auto"/>
                    <w:vAlign w:val="center"/>
                  </w:tcPr>
                  <w:p w14:paraId="4589B6A2"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本期增加金额</w:t>
                    </w:r>
                  </w:p>
                </w:tc>
              </w:sdtContent>
            </w:sdt>
            <w:tc>
              <w:tcPr>
                <w:tcW w:w="714" w:type="pct"/>
                <w:shd w:val="clear" w:color="auto" w:fill="auto"/>
                <w:vAlign w:val="center"/>
              </w:tcPr>
              <w:p w14:paraId="4F302E3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06697A6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-1,262,278.08</w:t>
                </w:r>
              </w:p>
            </w:tc>
            <w:tc>
              <w:tcPr>
                <w:tcW w:w="714" w:type="pct"/>
                <w:shd w:val="clear" w:color="auto" w:fill="auto"/>
                <w:vAlign w:val="center"/>
              </w:tcPr>
              <w:p w14:paraId="178A72E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-3,355,037.91</w:t>
                </w:r>
              </w:p>
            </w:tc>
            <w:tc>
              <w:tcPr>
                <w:tcW w:w="714" w:type="pct"/>
                <w:shd w:val="clear" w:color="auto" w:fill="auto"/>
                <w:vAlign w:val="center"/>
              </w:tcPr>
              <w:p w14:paraId="3566D07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1,084,197.39</w:t>
                </w:r>
              </w:p>
            </w:tc>
            <w:tc>
              <w:tcPr>
                <w:tcW w:w="714" w:type="pct"/>
                <w:shd w:val="clear" w:color="auto" w:fill="auto"/>
                <w:vAlign w:val="center"/>
              </w:tcPr>
              <w:p w14:paraId="44579F0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-9,814,902.80</w:t>
                </w:r>
              </w:p>
            </w:tc>
            <w:tc>
              <w:tcPr>
                <w:tcW w:w="714" w:type="pct"/>
                <w:shd w:val="clear" w:color="auto" w:fill="auto"/>
                <w:vAlign w:val="center"/>
              </w:tcPr>
              <w:p w14:paraId="707C7B7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-13,348,021.40</w:t>
                </w:r>
              </w:p>
            </w:tc>
          </w:tr>
          <w:tr w:rsidR="00D21C1F" w:rsidRPr="00016686" w14:paraId="737F4A15" w14:textId="77777777" w:rsidTr="00016686">
            <w:trPr>
              <w:trHeight w:val="284"/>
            </w:trPr>
            <w:sdt>
              <w:sdtPr>
                <w:rPr>
                  <w:rFonts w:ascii="Times New Roman" w:hAnsi="Times New Roman" w:cs="Times New Roman"/>
                </w:rPr>
                <w:tag w:val="_PLD_90ef4a07fa3c4f969161b700396d9ac5"/>
                <w:id w:val="-1000189700"/>
                <w:lock w:val="sdtLocked"/>
              </w:sdtPr>
              <w:sdtEndPr/>
              <w:sdtContent>
                <w:tc>
                  <w:tcPr>
                    <w:tcW w:w="714" w:type="pct"/>
                    <w:shd w:val="clear" w:color="auto" w:fill="auto"/>
                    <w:vAlign w:val="center"/>
                  </w:tcPr>
                  <w:p w14:paraId="6C4555EA"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购置</w:t>
                    </w:r>
                  </w:p>
                </w:tc>
              </w:sdtContent>
            </w:sdt>
            <w:tc>
              <w:tcPr>
                <w:tcW w:w="714" w:type="pct"/>
                <w:shd w:val="clear" w:color="auto" w:fill="auto"/>
                <w:vAlign w:val="center"/>
              </w:tcPr>
              <w:p w14:paraId="3AFDEE2A"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3AA69A59"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247C210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490CA599"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2,024,671.47</w:t>
                </w:r>
              </w:p>
            </w:tc>
            <w:tc>
              <w:tcPr>
                <w:tcW w:w="714" w:type="pct"/>
                <w:shd w:val="clear" w:color="auto" w:fill="auto"/>
                <w:vAlign w:val="center"/>
              </w:tcPr>
              <w:p w14:paraId="0539A91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1017936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2,024,671.47</w:t>
                </w:r>
              </w:p>
            </w:tc>
          </w:tr>
          <w:tr w:rsidR="00D21C1F" w:rsidRPr="00016686" w14:paraId="5EDB2FEF" w14:textId="77777777" w:rsidTr="00016686">
            <w:trPr>
              <w:trHeight w:val="284"/>
            </w:trPr>
            <w:sdt>
              <w:sdtPr>
                <w:rPr>
                  <w:rFonts w:ascii="Times New Roman" w:hAnsi="Times New Roman" w:cs="Times New Roman"/>
                  <w:szCs w:val="21"/>
                </w:rPr>
                <w:alias w:val="无形资产账面原值增加项目名称"/>
                <w:tag w:val="_GBC_23146e7638324faaa7da0b428a22d186"/>
                <w:id w:val="946892089"/>
                <w:lock w:val="sdtLocked"/>
              </w:sdtPr>
              <w:sdtEndPr/>
              <w:sdtContent>
                <w:tc>
                  <w:tcPr>
                    <w:tcW w:w="714" w:type="pct"/>
                    <w:shd w:val="clear" w:color="auto" w:fill="auto"/>
                  </w:tcPr>
                  <w:p w14:paraId="7549FC24"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汇率变动的影响</w:t>
                    </w:r>
                  </w:p>
                </w:tc>
              </w:sdtContent>
            </w:sdt>
            <w:sdt>
              <w:sdtPr>
                <w:rPr>
                  <w:rFonts w:ascii="Times New Roman" w:hAnsi="Times New Roman" w:cs="Times New Roman"/>
                  <w:szCs w:val="21"/>
                </w:rPr>
                <w:alias w:val="无形资产土地使用权账面原值增加项目金额"/>
                <w:tag w:val="_GBC_68b1c1634d8b430b8d2430ed0a1d6a19"/>
                <w:id w:val="-1987316855"/>
                <w:lock w:val="sdtLocked"/>
                <w:showingPlcHdr/>
              </w:sdtPr>
              <w:sdtEndPr/>
              <w:sdtContent>
                <w:tc>
                  <w:tcPr>
                    <w:tcW w:w="714" w:type="pct"/>
                    <w:shd w:val="clear" w:color="auto" w:fill="auto"/>
                    <w:vAlign w:val="center"/>
                  </w:tcPr>
                  <w:p w14:paraId="325ADC4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权账面原值增加项目金额"/>
                <w:tag w:val="_GBC_b5f009ab3fd1422a997d83f901d96e2e"/>
                <w:id w:val="1012340763"/>
                <w:lock w:val="sdtLocked"/>
              </w:sdtPr>
              <w:sdtEndPr/>
              <w:sdtContent>
                <w:tc>
                  <w:tcPr>
                    <w:tcW w:w="714" w:type="pct"/>
                    <w:shd w:val="clear" w:color="auto" w:fill="auto"/>
                    <w:vAlign w:val="center"/>
                  </w:tcPr>
                  <w:p w14:paraId="62C24D1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-1,262,278.08</w:t>
                    </w:r>
                  </w:p>
                </w:tc>
              </w:sdtContent>
            </w:sdt>
            <w:sdt>
              <w:sdtPr>
                <w:rPr>
                  <w:rFonts w:ascii="Times New Roman" w:hAnsi="Times New Roman" w:cs="Times New Roman"/>
                  <w:szCs w:val="21"/>
                </w:rPr>
                <w:alias w:val="无形资产非专利技术账面原值增加项目金额"/>
                <w:tag w:val="_GBC_993f412620f445e88bd61968f7459ec9"/>
                <w:id w:val="242150954"/>
                <w:lock w:val="sdtLocked"/>
              </w:sdtPr>
              <w:sdtEndPr/>
              <w:sdtContent>
                <w:tc>
                  <w:tcPr>
                    <w:tcW w:w="714" w:type="pct"/>
                    <w:shd w:val="clear" w:color="auto" w:fill="auto"/>
                    <w:vAlign w:val="center"/>
                  </w:tcPr>
                  <w:p w14:paraId="531534E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-3,355,037.91</w:t>
                    </w:r>
                  </w:p>
                </w:tc>
              </w:sdtContent>
            </w:sdt>
            <w:sdt>
              <w:sdtPr>
                <w:rPr>
                  <w:rFonts w:ascii="Times New Roman" w:hAnsi="Times New Roman" w:cs="Times New Roman"/>
                  <w:szCs w:val="21"/>
                </w:rPr>
                <w:alias w:val="无形资产账面原值增加项目金额"/>
                <w:tag w:val="_GBC_0c66eaa614d14da0b0b87a56942737ed"/>
                <w:id w:val="568156888"/>
                <w:lock w:val="sdtLocked"/>
              </w:sdtPr>
              <w:sdtEndPr/>
              <w:sdtContent>
                <w:tc>
                  <w:tcPr>
                    <w:tcW w:w="714" w:type="pct"/>
                    <w:shd w:val="clear" w:color="auto" w:fill="auto"/>
                    <w:vAlign w:val="center"/>
                  </w:tcPr>
                  <w:p w14:paraId="6F9AE31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-940,474.08</w:t>
                    </w:r>
                  </w:p>
                </w:tc>
              </w:sdtContent>
            </w:sdt>
            <w:sdt>
              <w:sdtPr>
                <w:rPr>
                  <w:rFonts w:ascii="Times New Roman" w:hAnsi="Times New Roman" w:cs="Times New Roman"/>
                  <w:szCs w:val="21"/>
                </w:rPr>
                <w:alias w:val="无形资产账面原值增加项目金额"/>
                <w:tag w:val="_GBC_0c66eaa614d14da0b0b87a56942737ed"/>
                <w:id w:val="1190179958"/>
                <w:lock w:val="sdtLocked"/>
              </w:sdtPr>
              <w:sdtEndPr/>
              <w:sdtContent>
                <w:tc>
                  <w:tcPr>
                    <w:tcW w:w="714" w:type="pct"/>
                    <w:shd w:val="clear" w:color="auto" w:fill="auto"/>
                    <w:vAlign w:val="center"/>
                  </w:tcPr>
                  <w:p w14:paraId="2408035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-9,814,902.80</w:t>
                    </w:r>
                  </w:p>
                </w:tc>
              </w:sdtContent>
            </w:sdt>
            <w:sdt>
              <w:sdtPr>
                <w:rPr>
                  <w:rFonts w:ascii="Times New Roman" w:hAnsi="Times New Roman" w:cs="Times New Roman"/>
                  <w:szCs w:val="21"/>
                </w:rPr>
                <w:alias w:val="无形资产账面原值增加项目合计金额"/>
                <w:tag w:val="_GBC_29ad01d7f03a4139909a42289d945b78"/>
                <w:id w:val="-2051139042"/>
                <w:lock w:val="sdtLocked"/>
              </w:sdtPr>
              <w:sdtEndPr/>
              <w:sdtContent>
                <w:tc>
                  <w:tcPr>
                    <w:tcW w:w="714" w:type="pct"/>
                    <w:shd w:val="clear" w:color="auto" w:fill="auto"/>
                    <w:vAlign w:val="center"/>
                  </w:tcPr>
                  <w:p w14:paraId="6275DE3A"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-15,372,692.87</w:t>
                    </w:r>
                  </w:p>
                </w:tc>
              </w:sdtContent>
            </w:sdt>
          </w:tr>
          <w:tr w:rsidR="00D21C1F" w:rsidRPr="00016686" w14:paraId="090B13FF" w14:textId="77777777" w:rsidTr="00016686">
            <w:trPr>
              <w:trHeight w:val="284"/>
            </w:trPr>
            <w:sdt>
              <w:sdtPr>
                <w:rPr>
                  <w:rFonts w:ascii="Times New Roman" w:hAnsi="Times New Roman" w:cs="Times New Roman"/>
                  <w:szCs w:val="21"/>
                </w:rPr>
                <w:alias w:val="无形资产账面原值增加项目名称"/>
                <w:tag w:val="_GBC_23146e7638324faaa7da0b428a22d186"/>
                <w:id w:val="1150567145"/>
                <w:lock w:val="sdtLocked"/>
                <w:showingPlcHdr/>
              </w:sdtPr>
              <w:sdtEndPr/>
              <w:sdtContent>
                <w:tc>
                  <w:tcPr>
                    <w:tcW w:w="714" w:type="pct"/>
                    <w:shd w:val="clear" w:color="auto" w:fill="auto"/>
                  </w:tcPr>
                  <w:p w14:paraId="19CACE00"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土地使用权账面原值增加项目金额"/>
                <w:tag w:val="_GBC_68b1c1634d8b430b8d2430ed0a1d6a19"/>
                <w:id w:val="643545303"/>
                <w:lock w:val="sdtLocked"/>
                <w:showingPlcHdr/>
              </w:sdtPr>
              <w:sdtEndPr/>
              <w:sdtContent>
                <w:tc>
                  <w:tcPr>
                    <w:tcW w:w="714" w:type="pct"/>
                    <w:shd w:val="clear" w:color="auto" w:fill="auto"/>
                    <w:vAlign w:val="center"/>
                  </w:tcPr>
                  <w:p w14:paraId="144D983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权账面原值增加项目金额"/>
                <w:tag w:val="_GBC_b5f009ab3fd1422a997d83f901d96e2e"/>
                <w:id w:val="-2137482788"/>
                <w:lock w:val="sdtLocked"/>
                <w:showingPlcHdr/>
              </w:sdtPr>
              <w:sdtEndPr/>
              <w:sdtContent>
                <w:tc>
                  <w:tcPr>
                    <w:tcW w:w="714" w:type="pct"/>
                    <w:shd w:val="clear" w:color="auto" w:fill="auto"/>
                    <w:vAlign w:val="center"/>
                  </w:tcPr>
                  <w:p w14:paraId="7FD6258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非专利技术账面原值增加项目金额"/>
                <w:tag w:val="_GBC_993f412620f445e88bd61968f7459ec9"/>
                <w:id w:val="-546992458"/>
                <w:lock w:val="sdtLocked"/>
                <w:showingPlcHdr/>
              </w:sdtPr>
              <w:sdtEndPr/>
              <w:sdtContent>
                <w:tc>
                  <w:tcPr>
                    <w:tcW w:w="714" w:type="pct"/>
                    <w:shd w:val="clear" w:color="auto" w:fill="auto"/>
                    <w:vAlign w:val="center"/>
                  </w:tcPr>
                  <w:p w14:paraId="556A0C1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账面原值增加项目金额"/>
                <w:tag w:val="_GBC_0c66eaa614d14da0b0b87a56942737ed"/>
                <w:id w:val="808211048"/>
                <w:lock w:val="sdtLocked"/>
                <w:showingPlcHdr/>
              </w:sdtPr>
              <w:sdtEndPr/>
              <w:sdtContent>
                <w:tc>
                  <w:tcPr>
                    <w:tcW w:w="714" w:type="pct"/>
                    <w:shd w:val="clear" w:color="auto" w:fill="auto"/>
                    <w:vAlign w:val="center"/>
                  </w:tcPr>
                  <w:p w14:paraId="605FF313" w14:textId="77777777" w:rsidR="00D21C1F" w:rsidRPr="00016686" w:rsidRDefault="00D21C1F" w:rsidP="00016686">
                    <w:pPr>
                      <w:jc w:val="right"/>
                      <w:rPr>
                        <w:rFonts w:ascii="Times New Roman" w:hAnsi="Times New Roman" w:cs="Times New Roman"/>
                        <w:szCs w:val="21"/>
                      </w:rPr>
                    </w:pPr>
                  </w:p>
                </w:tc>
              </w:sdtContent>
            </w:sdt>
            <w:sdt>
              <w:sdtPr>
                <w:rPr>
                  <w:rFonts w:ascii="Times New Roman" w:hAnsi="Times New Roman" w:cs="Times New Roman"/>
                  <w:szCs w:val="21"/>
                </w:rPr>
                <w:alias w:val="无形资产账面原值增加项目金额"/>
                <w:tag w:val="_GBC_0c66eaa614d14da0b0b87a56942737ed"/>
                <w:id w:val="-1536189901"/>
                <w:lock w:val="sdtLocked"/>
                <w:showingPlcHdr/>
              </w:sdtPr>
              <w:sdtEndPr/>
              <w:sdtContent>
                <w:tc>
                  <w:tcPr>
                    <w:tcW w:w="714" w:type="pct"/>
                    <w:shd w:val="clear" w:color="auto" w:fill="auto"/>
                    <w:vAlign w:val="center"/>
                  </w:tcPr>
                  <w:p w14:paraId="5BFD1CBB"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账面原值增加项目合计金额"/>
                <w:tag w:val="_GBC_29ad01d7f03a4139909a42289d945b78"/>
                <w:id w:val="-458499907"/>
                <w:lock w:val="sdtLocked"/>
                <w:showingPlcHdr/>
              </w:sdtPr>
              <w:sdtEndPr/>
              <w:sdtContent>
                <w:tc>
                  <w:tcPr>
                    <w:tcW w:w="714" w:type="pct"/>
                    <w:shd w:val="clear" w:color="auto" w:fill="auto"/>
                    <w:vAlign w:val="center"/>
                  </w:tcPr>
                  <w:p w14:paraId="1844234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D21C1F" w:rsidRPr="00016686" w14:paraId="4E8C60A9" w14:textId="77777777" w:rsidTr="00016686">
            <w:trPr>
              <w:trHeight w:val="284"/>
            </w:trPr>
            <w:sdt>
              <w:sdtPr>
                <w:rPr>
                  <w:rFonts w:ascii="Times New Roman" w:hAnsi="Times New Roman" w:cs="Times New Roman"/>
                </w:rPr>
                <w:tag w:val="_PLD_e2ff397d9d9a4a48baa098333a2effda"/>
                <w:id w:val="586658297"/>
                <w:lock w:val="sdtLocked"/>
              </w:sdtPr>
              <w:sdtEndPr/>
              <w:sdtContent>
                <w:tc>
                  <w:tcPr>
                    <w:tcW w:w="714" w:type="pct"/>
                    <w:shd w:val="clear" w:color="auto" w:fill="auto"/>
                    <w:vAlign w:val="center"/>
                  </w:tcPr>
                  <w:p w14:paraId="090ADB02"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3.</w:t>
                    </w:r>
                    <w:r w:rsidRPr="00016686">
                      <w:rPr>
                        <w:rFonts w:ascii="Times New Roman" w:hAnsi="Times New Roman" w:cs="Times New Roman"/>
                        <w:szCs w:val="21"/>
                      </w:rPr>
                      <w:t>本期减少金额</w:t>
                    </w:r>
                  </w:p>
                </w:tc>
              </w:sdtContent>
            </w:sdt>
            <w:tc>
              <w:tcPr>
                <w:tcW w:w="714" w:type="pct"/>
                <w:shd w:val="clear" w:color="auto" w:fill="auto"/>
                <w:vAlign w:val="center"/>
              </w:tcPr>
              <w:p w14:paraId="00808624"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DA6BF36"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610253EE"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15ACA8C"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031924B8"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76A261BC" w14:textId="77777777" w:rsidR="00D21C1F" w:rsidRPr="00016686" w:rsidRDefault="00D21C1F" w:rsidP="00016686">
                <w:pPr>
                  <w:jc w:val="right"/>
                  <w:rPr>
                    <w:rFonts w:ascii="Times New Roman" w:hAnsi="Times New Roman" w:cs="Times New Roman"/>
                    <w:szCs w:val="21"/>
                  </w:rPr>
                </w:pPr>
              </w:p>
            </w:tc>
          </w:tr>
          <w:tr w:rsidR="00D21C1F" w:rsidRPr="00016686" w14:paraId="54A416FC" w14:textId="77777777" w:rsidTr="00016686">
            <w:trPr>
              <w:trHeight w:val="284"/>
            </w:trPr>
            <w:sdt>
              <w:sdtPr>
                <w:rPr>
                  <w:rFonts w:ascii="Times New Roman" w:hAnsi="Times New Roman" w:cs="Times New Roman"/>
                </w:rPr>
                <w:tag w:val="_PLD_01039cac859c46279f030f4ef8891ef8"/>
                <w:id w:val="-66571434"/>
                <w:lock w:val="sdtLocked"/>
              </w:sdtPr>
              <w:sdtEndPr/>
              <w:sdtContent>
                <w:tc>
                  <w:tcPr>
                    <w:tcW w:w="714" w:type="pct"/>
                    <w:shd w:val="clear" w:color="auto" w:fill="auto"/>
                    <w:vAlign w:val="center"/>
                  </w:tcPr>
                  <w:p w14:paraId="7A650B6F"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处置</w:t>
                    </w:r>
                  </w:p>
                </w:tc>
              </w:sdtContent>
            </w:sdt>
            <w:tc>
              <w:tcPr>
                <w:tcW w:w="714" w:type="pct"/>
                <w:shd w:val="clear" w:color="auto" w:fill="auto"/>
                <w:vAlign w:val="center"/>
              </w:tcPr>
              <w:p w14:paraId="11748B93"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F1B4FC2"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15CF98A6"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81FE39B"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A6BA034"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6DEDBE22" w14:textId="77777777" w:rsidR="00D21C1F" w:rsidRPr="00016686" w:rsidRDefault="00D21C1F" w:rsidP="00016686">
                <w:pPr>
                  <w:jc w:val="right"/>
                  <w:rPr>
                    <w:rFonts w:ascii="Times New Roman" w:hAnsi="Times New Roman" w:cs="Times New Roman"/>
                    <w:szCs w:val="21"/>
                  </w:rPr>
                </w:pPr>
              </w:p>
            </w:tc>
          </w:tr>
          <w:tr w:rsidR="00D21C1F" w:rsidRPr="00016686" w14:paraId="6DE07BFE" w14:textId="77777777" w:rsidTr="00016686">
            <w:trPr>
              <w:trHeight w:val="284"/>
            </w:trPr>
            <w:sdt>
              <w:sdtPr>
                <w:rPr>
                  <w:rFonts w:ascii="Times New Roman" w:hAnsi="Times New Roman" w:cs="Times New Roman"/>
                  <w:szCs w:val="21"/>
                </w:rPr>
                <w:alias w:val="无形资产账面原值减少项目名称"/>
                <w:tag w:val="_GBC_75be63f1efb54632be12885a949e8472"/>
                <w:id w:val="-1196842798"/>
                <w:lock w:val="sdtLocked"/>
                <w:showingPlcHdr/>
              </w:sdtPr>
              <w:sdtEndPr/>
              <w:sdtContent>
                <w:tc>
                  <w:tcPr>
                    <w:tcW w:w="714" w:type="pct"/>
                    <w:shd w:val="clear" w:color="auto" w:fill="auto"/>
                  </w:tcPr>
                  <w:p w14:paraId="3612AC78"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土地使用权账面原值减少项目金额"/>
                <w:tag w:val="_GBC_5791b9cc56d34ed3a6b1bb5619046fd4"/>
                <w:id w:val="168989073"/>
                <w:lock w:val="sdtLocked"/>
                <w:showingPlcHdr/>
              </w:sdtPr>
              <w:sdtEndPr/>
              <w:sdtContent>
                <w:tc>
                  <w:tcPr>
                    <w:tcW w:w="714" w:type="pct"/>
                    <w:shd w:val="clear" w:color="auto" w:fill="auto"/>
                    <w:vAlign w:val="center"/>
                  </w:tcPr>
                  <w:p w14:paraId="056F592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权账面原值减少项目金额"/>
                <w:tag w:val="_GBC_a187b12be46c4986a6845dc33026b70e"/>
                <w:id w:val="-902910406"/>
                <w:lock w:val="sdtLocked"/>
                <w:showingPlcHdr/>
              </w:sdtPr>
              <w:sdtEndPr/>
              <w:sdtContent>
                <w:tc>
                  <w:tcPr>
                    <w:tcW w:w="714" w:type="pct"/>
                    <w:shd w:val="clear" w:color="auto" w:fill="auto"/>
                    <w:vAlign w:val="center"/>
                  </w:tcPr>
                  <w:p w14:paraId="1BBBF3A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非专利技术账面原值减少项目金额"/>
                <w:tag w:val="_GBC_3d6177bde73241c09725cc86b9009958"/>
                <w:id w:val="1206147701"/>
                <w:lock w:val="sdtLocked"/>
                <w:showingPlcHdr/>
              </w:sdtPr>
              <w:sdtEndPr/>
              <w:sdtContent>
                <w:tc>
                  <w:tcPr>
                    <w:tcW w:w="714" w:type="pct"/>
                    <w:shd w:val="clear" w:color="auto" w:fill="auto"/>
                    <w:vAlign w:val="center"/>
                  </w:tcPr>
                  <w:p w14:paraId="14800AC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账面原值减少项目金额"/>
                <w:tag w:val="_GBC_6bbb19b31f594798a9421218462f8883"/>
                <w:id w:val="-1989003278"/>
                <w:lock w:val="sdtLocked"/>
                <w:showingPlcHdr/>
              </w:sdtPr>
              <w:sdtEndPr/>
              <w:sdtContent>
                <w:tc>
                  <w:tcPr>
                    <w:tcW w:w="714" w:type="pct"/>
                    <w:shd w:val="clear" w:color="auto" w:fill="auto"/>
                    <w:vAlign w:val="center"/>
                  </w:tcPr>
                  <w:p w14:paraId="0F29CFA8" w14:textId="77777777" w:rsidR="00D21C1F" w:rsidRPr="00016686" w:rsidRDefault="00D21C1F" w:rsidP="00016686">
                    <w:pPr>
                      <w:jc w:val="right"/>
                      <w:rPr>
                        <w:rFonts w:ascii="Times New Roman" w:hAnsi="Times New Roman" w:cs="Times New Roman"/>
                        <w:szCs w:val="21"/>
                      </w:rPr>
                    </w:pPr>
                  </w:p>
                </w:tc>
              </w:sdtContent>
            </w:sdt>
            <w:sdt>
              <w:sdtPr>
                <w:rPr>
                  <w:rFonts w:ascii="Times New Roman" w:hAnsi="Times New Roman" w:cs="Times New Roman"/>
                  <w:szCs w:val="21"/>
                </w:rPr>
                <w:alias w:val="无形资产账面原值减少项目金额"/>
                <w:tag w:val="_GBC_6bbb19b31f594798a9421218462f8883"/>
                <w:id w:val="-2108109490"/>
                <w:lock w:val="sdtLocked"/>
                <w:showingPlcHdr/>
              </w:sdtPr>
              <w:sdtEndPr/>
              <w:sdtContent>
                <w:tc>
                  <w:tcPr>
                    <w:tcW w:w="714" w:type="pct"/>
                    <w:shd w:val="clear" w:color="auto" w:fill="auto"/>
                    <w:vAlign w:val="center"/>
                  </w:tcPr>
                  <w:p w14:paraId="52101A5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账面原值减少项目合计金额"/>
                <w:tag w:val="_GBC_333bceb4bfb942ca90170e359bb81b89"/>
                <w:id w:val="-1989394469"/>
                <w:lock w:val="sdtLocked"/>
                <w:showingPlcHdr/>
              </w:sdtPr>
              <w:sdtEndPr/>
              <w:sdtContent>
                <w:tc>
                  <w:tcPr>
                    <w:tcW w:w="714" w:type="pct"/>
                    <w:shd w:val="clear" w:color="auto" w:fill="auto"/>
                    <w:vAlign w:val="center"/>
                  </w:tcPr>
                  <w:p w14:paraId="4ECEC82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D21C1F" w:rsidRPr="00016686" w14:paraId="354514DF" w14:textId="77777777" w:rsidTr="00016686">
            <w:trPr>
              <w:trHeight w:val="284"/>
            </w:trPr>
            <w:sdt>
              <w:sdtPr>
                <w:rPr>
                  <w:rFonts w:ascii="Times New Roman" w:hAnsi="Times New Roman" w:cs="Times New Roman"/>
                </w:rPr>
                <w:tag w:val="_PLD_4f7e6faa1a2a40ff9644db9d2bcd8070"/>
                <w:id w:val="131058761"/>
                <w:lock w:val="sdtLocked"/>
              </w:sdtPr>
              <w:sdtEndPr/>
              <w:sdtContent>
                <w:tc>
                  <w:tcPr>
                    <w:tcW w:w="714" w:type="pct"/>
                    <w:shd w:val="clear" w:color="auto" w:fill="auto"/>
                    <w:vAlign w:val="center"/>
                  </w:tcPr>
                  <w:p w14:paraId="5801AF97"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4.</w:t>
                    </w:r>
                    <w:r w:rsidRPr="00016686">
                      <w:rPr>
                        <w:rFonts w:ascii="Times New Roman" w:hAnsi="Times New Roman" w:cs="Times New Roman"/>
                        <w:szCs w:val="21"/>
                      </w:rPr>
                      <w:t>期末余额</w:t>
                    </w:r>
                  </w:p>
                </w:tc>
              </w:sdtContent>
            </w:sdt>
            <w:tc>
              <w:tcPr>
                <w:tcW w:w="714" w:type="pct"/>
                <w:shd w:val="clear" w:color="auto" w:fill="auto"/>
                <w:vAlign w:val="center"/>
              </w:tcPr>
              <w:p w14:paraId="53BA187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34,585,077.20</w:t>
                </w:r>
              </w:p>
            </w:tc>
            <w:tc>
              <w:tcPr>
                <w:tcW w:w="714" w:type="pct"/>
                <w:shd w:val="clear" w:color="auto" w:fill="auto"/>
                <w:vAlign w:val="center"/>
              </w:tcPr>
              <w:p w14:paraId="254A24B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32,741,248.20</w:t>
                </w:r>
              </w:p>
            </w:tc>
            <w:tc>
              <w:tcPr>
                <w:tcW w:w="714" w:type="pct"/>
                <w:shd w:val="clear" w:color="auto" w:fill="auto"/>
                <w:vAlign w:val="center"/>
              </w:tcPr>
              <w:p w14:paraId="286F47E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54,523,848.22</w:t>
                </w:r>
              </w:p>
            </w:tc>
            <w:tc>
              <w:tcPr>
                <w:tcW w:w="714" w:type="pct"/>
                <w:shd w:val="clear" w:color="auto" w:fill="auto"/>
                <w:vAlign w:val="center"/>
              </w:tcPr>
              <w:p w14:paraId="5025AD4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65,636,606.42</w:t>
                </w:r>
              </w:p>
            </w:tc>
            <w:tc>
              <w:tcPr>
                <w:tcW w:w="714" w:type="pct"/>
                <w:shd w:val="clear" w:color="auto" w:fill="auto"/>
                <w:vAlign w:val="center"/>
              </w:tcPr>
              <w:p w14:paraId="5075402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222,666,191.94</w:t>
                </w:r>
              </w:p>
            </w:tc>
            <w:tc>
              <w:tcPr>
                <w:tcW w:w="714" w:type="pct"/>
                <w:shd w:val="clear" w:color="auto" w:fill="auto"/>
                <w:vAlign w:val="center"/>
              </w:tcPr>
              <w:p w14:paraId="3D2AFD52"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410,152,971.98</w:t>
                </w:r>
              </w:p>
            </w:tc>
          </w:tr>
          <w:tr w:rsidR="00D21C1F" w:rsidRPr="00016686" w14:paraId="0C062B50" w14:textId="77777777" w:rsidTr="00016686">
            <w:trPr>
              <w:trHeight w:val="284"/>
            </w:trPr>
            <w:sdt>
              <w:sdtPr>
                <w:rPr>
                  <w:rFonts w:ascii="Times New Roman" w:hAnsi="Times New Roman" w:cs="Times New Roman"/>
                </w:rPr>
                <w:tag w:val="_PLD_3d92ef615d3b41e5abb58e018e2db72b"/>
                <w:id w:val="2134128676"/>
                <w:lock w:val="sdtLocked"/>
              </w:sdtPr>
              <w:sdtEndPr/>
              <w:sdtContent>
                <w:tc>
                  <w:tcPr>
                    <w:tcW w:w="714" w:type="pct"/>
                    <w:shd w:val="clear" w:color="auto" w:fill="auto"/>
                    <w:vAlign w:val="center"/>
                  </w:tcPr>
                  <w:p w14:paraId="363E7FEF"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二、累计摊销</w:t>
                    </w:r>
                  </w:p>
                </w:tc>
              </w:sdtContent>
            </w:sdt>
            <w:tc>
              <w:tcPr>
                <w:tcW w:w="714" w:type="pct"/>
                <w:shd w:val="clear" w:color="auto" w:fill="auto"/>
                <w:vAlign w:val="center"/>
              </w:tcPr>
              <w:p w14:paraId="16BED443"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1E1B90D"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B84EFBB"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75EDA1C3"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863A4F6"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61BC333A" w14:textId="77777777" w:rsidR="00D21C1F" w:rsidRPr="00016686" w:rsidRDefault="00D21C1F" w:rsidP="00016686">
                <w:pPr>
                  <w:jc w:val="right"/>
                  <w:rPr>
                    <w:rFonts w:ascii="Times New Roman" w:hAnsi="Times New Roman" w:cs="Times New Roman"/>
                    <w:szCs w:val="21"/>
                  </w:rPr>
                </w:pPr>
              </w:p>
            </w:tc>
          </w:tr>
          <w:tr w:rsidR="00D21C1F" w:rsidRPr="00016686" w14:paraId="50FDED6C" w14:textId="77777777" w:rsidTr="00016686">
            <w:trPr>
              <w:trHeight w:val="284"/>
            </w:trPr>
            <w:sdt>
              <w:sdtPr>
                <w:rPr>
                  <w:rFonts w:ascii="Times New Roman" w:hAnsi="Times New Roman" w:cs="Times New Roman"/>
                </w:rPr>
                <w:tag w:val="_PLD_193e5febfa90446ca630ebb42ca96e06"/>
                <w:id w:val="15209535"/>
                <w:lock w:val="sdtLocked"/>
              </w:sdtPr>
              <w:sdtEndPr/>
              <w:sdtContent>
                <w:tc>
                  <w:tcPr>
                    <w:tcW w:w="714" w:type="pct"/>
                    <w:shd w:val="clear" w:color="auto" w:fill="auto"/>
                    <w:vAlign w:val="center"/>
                  </w:tcPr>
                  <w:p w14:paraId="63B85D79"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期初余额</w:t>
                    </w:r>
                  </w:p>
                </w:tc>
              </w:sdtContent>
            </w:sdt>
            <w:tc>
              <w:tcPr>
                <w:tcW w:w="714" w:type="pct"/>
                <w:shd w:val="clear" w:color="auto" w:fill="auto"/>
                <w:vAlign w:val="center"/>
              </w:tcPr>
              <w:p w14:paraId="32E6DAC0"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3,103,538.17</w:t>
                </w:r>
              </w:p>
            </w:tc>
            <w:tc>
              <w:tcPr>
                <w:tcW w:w="714" w:type="pct"/>
                <w:shd w:val="clear" w:color="auto" w:fill="auto"/>
                <w:vAlign w:val="center"/>
              </w:tcPr>
              <w:p w14:paraId="5D62D1E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23,477,080.27</w:t>
                </w:r>
              </w:p>
            </w:tc>
            <w:tc>
              <w:tcPr>
                <w:tcW w:w="714" w:type="pct"/>
                <w:shd w:val="clear" w:color="auto" w:fill="auto"/>
                <w:vAlign w:val="center"/>
              </w:tcPr>
              <w:p w14:paraId="331ADF0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19,637,076.93</w:t>
                </w:r>
              </w:p>
            </w:tc>
            <w:tc>
              <w:tcPr>
                <w:tcW w:w="714" w:type="pct"/>
                <w:shd w:val="clear" w:color="auto" w:fill="auto"/>
                <w:vAlign w:val="center"/>
              </w:tcPr>
              <w:p w14:paraId="28EA3EF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48,169,669.20</w:t>
                </w:r>
              </w:p>
            </w:tc>
            <w:tc>
              <w:tcPr>
                <w:tcW w:w="714" w:type="pct"/>
                <w:shd w:val="clear" w:color="auto" w:fill="auto"/>
                <w:vAlign w:val="center"/>
              </w:tcPr>
              <w:p w14:paraId="3D7F8C5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44,867,194.71</w:t>
                </w:r>
              </w:p>
            </w:tc>
            <w:tc>
              <w:tcPr>
                <w:tcW w:w="714" w:type="pct"/>
                <w:shd w:val="clear" w:color="auto" w:fill="auto"/>
                <w:vAlign w:val="center"/>
              </w:tcPr>
              <w:p w14:paraId="6138897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139,254,559.28</w:t>
                </w:r>
              </w:p>
            </w:tc>
          </w:tr>
          <w:tr w:rsidR="00D21C1F" w:rsidRPr="00016686" w14:paraId="1429E120" w14:textId="77777777" w:rsidTr="00016686">
            <w:trPr>
              <w:trHeight w:val="284"/>
            </w:trPr>
            <w:sdt>
              <w:sdtPr>
                <w:rPr>
                  <w:rFonts w:ascii="Times New Roman" w:hAnsi="Times New Roman" w:cs="Times New Roman"/>
                </w:rPr>
                <w:tag w:val="_PLD_1002de94b721483c99b3b05a42a37601"/>
                <w:id w:val="236061133"/>
                <w:lock w:val="sdtLocked"/>
              </w:sdtPr>
              <w:sdtEndPr/>
              <w:sdtContent>
                <w:tc>
                  <w:tcPr>
                    <w:tcW w:w="714" w:type="pct"/>
                    <w:shd w:val="clear" w:color="auto" w:fill="auto"/>
                    <w:vAlign w:val="center"/>
                  </w:tcPr>
                  <w:p w14:paraId="388A309C"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本期增加金额</w:t>
                    </w:r>
                  </w:p>
                </w:tc>
              </w:sdtContent>
            </w:sdt>
            <w:tc>
              <w:tcPr>
                <w:tcW w:w="714" w:type="pct"/>
                <w:shd w:val="clear" w:color="auto" w:fill="auto"/>
                <w:vAlign w:val="center"/>
              </w:tcPr>
              <w:p w14:paraId="2877AB7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345,849.33</w:t>
                </w:r>
              </w:p>
            </w:tc>
            <w:tc>
              <w:tcPr>
                <w:tcW w:w="714" w:type="pct"/>
                <w:shd w:val="clear" w:color="auto" w:fill="auto"/>
                <w:vAlign w:val="center"/>
              </w:tcPr>
              <w:p w14:paraId="11FA939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-1,848,279.69</w:t>
                </w:r>
              </w:p>
            </w:tc>
            <w:tc>
              <w:tcPr>
                <w:tcW w:w="714" w:type="pct"/>
                <w:shd w:val="clear" w:color="auto" w:fill="auto"/>
                <w:vAlign w:val="center"/>
              </w:tcPr>
              <w:p w14:paraId="54FC854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3,926,602.43</w:t>
                </w:r>
              </w:p>
            </w:tc>
            <w:tc>
              <w:tcPr>
                <w:tcW w:w="714" w:type="pct"/>
                <w:shd w:val="clear" w:color="auto" w:fill="auto"/>
                <w:vAlign w:val="center"/>
              </w:tcPr>
              <w:p w14:paraId="7692FACB"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1,868,186.63</w:t>
                </w:r>
              </w:p>
            </w:tc>
            <w:tc>
              <w:tcPr>
                <w:tcW w:w="714" w:type="pct"/>
                <w:shd w:val="clear" w:color="auto" w:fill="auto"/>
                <w:vAlign w:val="center"/>
              </w:tcPr>
              <w:p w14:paraId="7FAC287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3,633,230.76</w:t>
                </w:r>
              </w:p>
            </w:tc>
            <w:tc>
              <w:tcPr>
                <w:tcW w:w="714" w:type="pct"/>
                <w:shd w:val="clear" w:color="auto" w:fill="auto"/>
                <w:vAlign w:val="center"/>
              </w:tcPr>
              <w:p w14:paraId="0A986A12"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7,925,589.46</w:t>
                </w:r>
              </w:p>
            </w:tc>
          </w:tr>
          <w:tr w:rsidR="00D21C1F" w:rsidRPr="00016686" w14:paraId="38B758D3" w14:textId="77777777" w:rsidTr="00016686">
            <w:trPr>
              <w:trHeight w:val="284"/>
            </w:trPr>
            <w:sdt>
              <w:sdtPr>
                <w:rPr>
                  <w:rFonts w:ascii="Times New Roman" w:hAnsi="Times New Roman" w:cs="Times New Roman"/>
                </w:rPr>
                <w:tag w:val="_PLD_8a3c7c560c054537b4caae539fe46c59"/>
                <w:id w:val="1595819778"/>
                <w:lock w:val="sdtLocked"/>
              </w:sdtPr>
              <w:sdtEndPr/>
              <w:sdtContent>
                <w:tc>
                  <w:tcPr>
                    <w:tcW w:w="714" w:type="pct"/>
                    <w:shd w:val="clear" w:color="auto" w:fill="auto"/>
                    <w:vAlign w:val="center"/>
                  </w:tcPr>
                  <w:p w14:paraId="25AE3F06"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w:t>
                    </w:r>
                    <w:r w:rsidRPr="00016686">
                      <w:rPr>
                        <w:rFonts w:ascii="Times New Roman" w:hAnsi="Times New Roman" w:cs="Times New Roman"/>
                        <w:szCs w:val="21"/>
                      </w:rPr>
                      <w:t>1</w:t>
                    </w:r>
                    <w:r w:rsidRPr="00016686">
                      <w:rPr>
                        <w:rFonts w:ascii="Times New Roman" w:hAnsi="Times New Roman" w:cs="Times New Roman"/>
                        <w:szCs w:val="21"/>
                      </w:rPr>
                      <w:t>）计提</w:t>
                    </w:r>
                  </w:p>
                </w:tc>
              </w:sdtContent>
            </w:sdt>
            <w:tc>
              <w:tcPr>
                <w:tcW w:w="714" w:type="pct"/>
                <w:shd w:val="clear" w:color="auto" w:fill="auto"/>
                <w:vAlign w:val="center"/>
              </w:tcPr>
              <w:p w14:paraId="28B49E1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345,849.33</w:t>
                </w:r>
              </w:p>
            </w:tc>
            <w:tc>
              <w:tcPr>
                <w:tcW w:w="714" w:type="pct"/>
                <w:shd w:val="clear" w:color="auto" w:fill="auto"/>
                <w:vAlign w:val="center"/>
              </w:tcPr>
              <w:p w14:paraId="3421110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-1,070,134.95</w:t>
                </w:r>
              </w:p>
            </w:tc>
            <w:tc>
              <w:tcPr>
                <w:tcW w:w="714" w:type="pct"/>
                <w:shd w:val="clear" w:color="auto" w:fill="auto"/>
                <w:vAlign w:val="center"/>
              </w:tcPr>
              <w:p w14:paraId="7396F00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4,899,109.16</w:t>
                </w:r>
              </w:p>
            </w:tc>
            <w:tc>
              <w:tcPr>
                <w:tcW w:w="714" w:type="pct"/>
                <w:shd w:val="clear" w:color="auto" w:fill="auto"/>
                <w:vAlign w:val="center"/>
              </w:tcPr>
              <w:p w14:paraId="0082A552"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3,191,369.85</w:t>
                </w:r>
              </w:p>
            </w:tc>
            <w:tc>
              <w:tcPr>
                <w:tcW w:w="714" w:type="pct"/>
                <w:shd w:val="clear" w:color="auto" w:fill="auto"/>
                <w:vAlign w:val="center"/>
              </w:tcPr>
              <w:p w14:paraId="2F0CE29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5,843,808.63</w:t>
                </w:r>
              </w:p>
            </w:tc>
            <w:tc>
              <w:tcPr>
                <w:tcW w:w="714" w:type="pct"/>
                <w:shd w:val="clear" w:color="auto" w:fill="auto"/>
                <w:vAlign w:val="center"/>
              </w:tcPr>
              <w:p w14:paraId="1C5D0C8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13,210,002.02</w:t>
                </w:r>
              </w:p>
            </w:tc>
          </w:tr>
          <w:tr w:rsidR="00D21C1F" w:rsidRPr="00016686" w14:paraId="0013F9EC" w14:textId="77777777" w:rsidTr="00016686">
            <w:trPr>
              <w:trHeight w:val="284"/>
            </w:trPr>
            <w:sdt>
              <w:sdtPr>
                <w:rPr>
                  <w:rFonts w:ascii="Times New Roman" w:hAnsi="Times New Roman" w:cs="Times New Roman"/>
                  <w:szCs w:val="21"/>
                </w:rPr>
                <w:alias w:val="无形资产累计摊销增加项目名称"/>
                <w:tag w:val="_GBC_4c50300c8d7948e29642049bd51cde3e"/>
                <w:id w:val="1640996693"/>
                <w:lock w:val="sdtLocked"/>
              </w:sdtPr>
              <w:sdtEndPr/>
              <w:sdtContent>
                <w:tc>
                  <w:tcPr>
                    <w:tcW w:w="714" w:type="pct"/>
                    <w:shd w:val="clear" w:color="auto" w:fill="auto"/>
                  </w:tcPr>
                  <w:p w14:paraId="6CD75F71"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汇率变动的影响</w:t>
                    </w:r>
                  </w:p>
                </w:tc>
              </w:sdtContent>
            </w:sdt>
            <w:sdt>
              <w:sdtPr>
                <w:rPr>
                  <w:rFonts w:ascii="Times New Roman" w:hAnsi="Times New Roman" w:cs="Times New Roman"/>
                  <w:szCs w:val="21"/>
                </w:rPr>
                <w:alias w:val="无形资产土地使用权累计摊销增加项目金额"/>
                <w:tag w:val="_GBC_6f3b78a39f1f45348d4b4dcd0d2b0569"/>
                <w:id w:val="-435134394"/>
                <w:lock w:val="sdtLocked"/>
                <w:showingPlcHdr/>
              </w:sdtPr>
              <w:sdtEndPr/>
              <w:sdtContent>
                <w:tc>
                  <w:tcPr>
                    <w:tcW w:w="714" w:type="pct"/>
                    <w:shd w:val="clear" w:color="auto" w:fill="auto"/>
                    <w:vAlign w:val="center"/>
                  </w:tcPr>
                  <w:p w14:paraId="1D7570D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技术累计摊销增加项目金额"/>
                <w:tag w:val="_GBC_5324450a41a94517b586eb91c729ea6d"/>
                <w:id w:val="-1012996825"/>
                <w:lock w:val="sdtLocked"/>
              </w:sdtPr>
              <w:sdtEndPr/>
              <w:sdtContent>
                <w:tc>
                  <w:tcPr>
                    <w:tcW w:w="714" w:type="pct"/>
                    <w:shd w:val="clear" w:color="auto" w:fill="auto"/>
                    <w:vAlign w:val="center"/>
                  </w:tcPr>
                  <w:p w14:paraId="3D765BB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-778,144.74</w:t>
                    </w:r>
                  </w:p>
                </w:tc>
              </w:sdtContent>
            </w:sdt>
            <w:sdt>
              <w:sdtPr>
                <w:rPr>
                  <w:rFonts w:ascii="Times New Roman" w:hAnsi="Times New Roman" w:cs="Times New Roman"/>
                  <w:szCs w:val="21"/>
                </w:rPr>
                <w:alias w:val="无形资产非专利技术累计摊销增加项目金额"/>
                <w:tag w:val="_GBC_4a761a5ccfea4b0dac40e38b69d5d86f"/>
                <w:id w:val="1900934802"/>
                <w:lock w:val="sdtLocked"/>
              </w:sdtPr>
              <w:sdtEndPr/>
              <w:sdtContent>
                <w:tc>
                  <w:tcPr>
                    <w:tcW w:w="714" w:type="pct"/>
                    <w:shd w:val="clear" w:color="auto" w:fill="auto"/>
                    <w:vAlign w:val="center"/>
                  </w:tcPr>
                  <w:p w14:paraId="00AA62F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-972,506.73</w:t>
                    </w:r>
                  </w:p>
                </w:tc>
              </w:sdtContent>
            </w:sdt>
            <w:sdt>
              <w:sdtPr>
                <w:rPr>
                  <w:rFonts w:ascii="Times New Roman" w:hAnsi="Times New Roman" w:cs="Times New Roman"/>
                  <w:szCs w:val="21"/>
                </w:rPr>
                <w:alias w:val="无形资产累计摊销增加项目金额"/>
                <w:tag w:val="_GBC_be793f363ede4d81a059f7c3f73d8e7c"/>
                <w:id w:val="-1485776800"/>
                <w:lock w:val="sdtLocked"/>
              </w:sdtPr>
              <w:sdtEndPr/>
              <w:sdtContent>
                <w:tc>
                  <w:tcPr>
                    <w:tcW w:w="714" w:type="pct"/>
                    <w:shd w:val="clear" w:color="auto" w:fill="auto"/>
                    <w:vAlign w:val="center"/>
                  </w:tcPr>
                  <w:p w14:paraId="23A44B0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-1,323,183.22</w:t>
                    </w:r>
                  </w:p>
                </w:tc>
              </w:sdtContent>
            </w:sdt>
            <w:sdt>
              <w:sdtPr>
                <w:rPr>
                  <w:rFonts w:ascii="Times New Roman" w:hAnsi="Times New Roman" w:cs="Times New Roman"/>
                  <w:szCs w:val="21"/>
                </w:rPr>
                <w:alias w:val="无形资产累计摊销增加项目金额"/>
                <w:tag w:val="_GBC_be793f363ede4d81a059f7c3f73d8e7c"/>
                <w:id w:val="905263927"/>
                <w:lock w:val="sdtLocked"/>
              </w:sdtPr>
              <w:sdtEndPr/>
              <w:sdtContent>
                <w:tc>
                  <w:tcPr>
                    <w:tcW w:w="714" w:type="pct"/>
                    <w:shd w:val="clear" w:color="auto" w:fill="auto"/>
                    <w:vAlign w:val="center"/>
                  </w:tcPr>
                  <w:p w14:paraId="70DEC0C0"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-2,210,577.87</w:t>
                    </w:r>
                  </w:p>
                </w:tc>
              </w:sdtContent>
            </w:sdt>
            <w:sdt>
              <w:sdtPr>
                <w:rPr>
                  <w:rFonts w:ascii="Times New Roman" w:hAnsi="Times New Roman" w:cs="Times New Roman"/>
                  <w:szCs w:val="21"/>
                </w:rPr>
                <w:alias w:val="无形资产累计摊销增加项目合计金额"/>
                <w:tag w:val="_GBC_2786960157f34a39a4cf247d142f7392"/>
                <w:id w:val="87274812"/>
                <w:lock w:val="sdtLocked"/>
              </w:sdtPr>
              <w:sdtEndPr/>
              <w:sdtContent>
                <w:tc>
                  <w:tcPr>
                    <w:tcW w:w="714" w:type="pct"/>
                    <w:shd w:val="clear" w:color="auto" w:fill="auto"/>
                    <w:vAlign w:val="center"/>
                  </w:tcPr>
                  <w:p w14:paraId="2C958B7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-5,284,412.56</w:t>
                    </w:r>
                  </w:p>
                </w:tc>
              </w:sdtContent>
            </w:sdt>
          </w:tr>
          <w:tr w:rsidR="00D21C1F" w:rsidRPr="00016686" w14:paraId="00711651" w14:textId="77777777" w:rsidTr="00016686">
            <w:trPr>
              <w:trHeight w:val="284"/>
            </w:trPr>
            <w:sdt>
              <w:sdtPr>
                <w:rPr>
                  <w:rFonts w:ascii="Times New Roman" w:hAnsi="Times New Roman" w:cs="Times New Roman"/>
                  <w:szCs w:val="21"/>
                </w:rPr>
                <w:alias w:val="无形资产累计摊销增加项目名称"/>
                <w:tag w:val="_GBC_4c50300c8d7948e29642049bd51cde3e"/>
                <w:id w:val="586343569"/>
                <w:lock w:val="sdtLocked"/>
                <w:showingPlcHdr/>
              </w:sdtPr>
              <w:sdtEndPr/>
              <w:sdtContent>
                <w:tc>
                  <w:tcPr>
                    <w:tcW w:w="714" w:type="pct"/>
                    <w:shd w:val="clear" w:color="auto" w:fill="auto"/>
                  </w:tcPr>
                  <w:p w14:paraId="19679439"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土地使用权累计摊销增加项目金额"/>
                <w:tag w:val="_GBC_6f3b78a39f1f45348d4b4dcd0d2b0569"/>
                <w:id w:val="-106816911"/>
                <w:lock w:val="sdtLocked"/>
                <w:showingPlcHdr/>
              </w:sdtPr>
              <w:sdtEndPr/>
              <w:sdtContent>
                <w:tc>
                  <w:tcPr>
                    <w:tcW w:w="714" w:type="pct"/>
                    <w:shd w:val="clear" w:color="auto" w:fill="auto"/>
                    <w:vAlign w:val="center"/>
                  </w:tcPr>
                  <w:p w14:paraId="35AE1F1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技术累计摊销增加项目金额"/>
                <w:tag w:val="_GBC_5324450a41a94517b586eb91c729ea6d"/>
                <w:id w:val="-1461652134"/>
                <w:lock w:val="sdtLocked"/>
                <w:showingPlcHdr/>
              </w:sdtPr>
              <w:sdtEndPr/>
              <w:sdtContent>
                <w:tc>
                  <w:tcPr>
                    <w:tcW w:w="714" w:type="pct"/>
                    <w:shd w:val="clear" w:color="auto" w:fill="auto"/>
                    <w:vAlign w:val="center"/>
                  </w:tcPr>
                  <w:p w14:paraId="73EC327B"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非专利技术累计摊销增加项目金额"/>
                <w:tag w:val="_GBC_4a761a5ccfea4b0dac40e38b69d5d86f"/>
                <w:id w:val="-518543827"/>
                <w:lock w:val="sdtLocked"/>
                <w:showingPlcHdr/>
              </w:sdtPr>
              <w:sdtEndPr/>
              <w:sdtContent>
                <w:tc>
                  <w:tcPr>
                    <w:tcW w:w="714" w:type="pct"/>
                    <w:shd w:val="clear" w:color="auto" w:fill="auto"/>
                    <w:vAlign w:val="center"/>
                  </w:tcPr>
                  <w:p w14:paraId="475980F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累计摊销增加项目金额"/>
                <w:tag w:val="_GBC_be793f363ede4d81a059f7c3f73d8e7c"/>
                <w:id w:val="2015096301"/>
                <w:lock w:val="sdtLocked"/>
                <w:showingPlcHdr/>
              </w:sdtPr>
              <w:sdtEndPr/>
              <w:sdtContent>
                <w:tc>
                  <w:tcPr>
                    <w:tcW w:w="714" w:type="pct"/>
                    <w:shd w:val="clear" w:color="auto" w:fill="auto"/>
                    <w:vAlign w:val="center"/>
                  </w:tcPr>
                  <w:p w14:paraId="4FB61764" w14:textId="77777777" w:rsidR="00D21C1F" w:rsidRPr="00016686" w:rsidRDefault="00D21C1F" w:rsidP="00016686">
                    <w:pPr>
                      <w:jc w:val="right"/>
                      <w:rPr>
                        <w:rFonts w:ascii="Times New Roman" w:hAnsi="Times New Roman" w:cs="Times New Roman"/>
                        <w:szCs w:val="21"/>
                      </w:rPr>
                    </w:pPr>
                  </w:p>
                </w:tc>
              </w:sdtContent>
            </w:sdt>
            <w:sdt>
              <w:sdtPr>
                <w:rPr>
                  <w:rFonts w:ascii="Times New Roman" w:hAnsi="Times New Roman" w:cs="Times New Roman"/>
                  <w:szCs w:val="21"/>
                </w:rPr>
                <w:alias w:val="无形资产累计摊销增加项目金额"/>
                <w:tag w:val="_GBC_be793f363ede4d81a059f7c3f73d8e7c"/>
                <w:id w:val="-73670913"/>
                <w:lock w:val="sdtLocked"/>
                <w:showingPlcHdr/>
              </w:sdtPr>
              <w:sdtEndPr/>
              <w:sdtContent>
                <w:tc>
                  <w:tcPr>
                    <w:tcW w:w="714" w:type="pct"/>
                    <w:shd w:val="clear" w:color="auto" w:fill="auto"/>
                    <w:vAlign w:val="center"/>
                  </w:tcPr>
                  <w:p w14:paraId="17AC3AF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累计摊销增加项目合计金额"/>
                <w:tag w:val="_GBC_2786960157f34a39a4cf247d142f7392"/>
                <w:id w:val="1067304138"/>
                <w:lock w:val="sdtLocked"/>
                <w:showingPlcHdr/>
              </w:sdtPr>
              <w:sdtEndPr/>
              <w:sdtContent>
                <w:tc>
                  <w:tcPr>
                    <w:tcW w:w="714" w:type="pct"/>
                    <w:shd w:val="clear" w:color="auto" w:fill="auto"/>
                    <w:vAlign w:val="center"/>
                  </w:tcPr>
                  <w:p w14:paraId="455F9F5A"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D21C1F" w:rsidRPr="00016686" w14:paraId="6F651BD7" w14:textId="77777777" w:rsidTr="00016686">
            <w:trPr>
              <w:trHeight w:val="284"/>
            </w:trPr>
            <w:sdt>
              <w:sdtPr>
                <w:rPr>
                  <w:rFonts w:ascii="Times New Roman" w:hAnsi="Times New Roman" w:cs="Times New Roman"/>
                </w:rPr>
                <w:tag w:val="_PLD_915cb31bb4224f868e630c1166a0d717"/>
                <w:id w:val="-808316519"/>
                <w:lock w:val="sdtLocked"/>
              </w:sdtPr>
              <w:sdtEndPr/>
              <w:sdtContent>
                <w:tc>
                  <w:tcPr>
                    <w:tcW w:w="714" w:type="pct"/>
                    <w:shd w:val="clear" w:color="auto" w:fill="auto"/>
                    <w:vAlign w:val="center"/>
                  </w:tcPr>
                  <w:p w14:paraId="0D71D401"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3.</w:t>
                    </w:r>
                    <w:r w:rsidRPr="00016686">
                      <w:rPr>
                        <w:rFonts w:ascii="Times New Roman" w:hAnsi="Times New Roman" w:cs="Times New Roman"/>
                        <w:szCs w:val="21"/>
                      </w:rPr>
                      <w:t>本期减少金额</w:t>
                    </w:r>
                  </w:p>
                </w:tc>
              </w:sdtContent>
            </w:sdt>
            <w:tc>
              <w:tcPr>
                <w:tcW w:w="714" w:type="pct"/>
                <w:shd w:val="clear" w:color="auto" w:fill="auto"/>
                <w:vAlign w:val="center"/>
              </w:tcPr>
              <w:p w14:paraId="62DEF524"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1E6F5610"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04555DE"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6EFBE602"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0B3DC0D"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1F0DCC58" w14:textId="77777777" w:rsidR="00D21C1F" w:rsidRPr="00016686" w:rsidRDefault="00D21C1F" w:rsidP="00016686">
                <w:pPr>
                  <w:jc w:val="right"/>
                  <w:rPr>
                    <w:rFonts w:ascii="Times New Roman" w:hAnsi="Times New Roman" w:cs="Times New Roman"/>
                    <w:szCs w:val="21"/>
                  </w:rPr>
                </w:pPr>
              </w:p>
            </w:tc>
          </w:tr>
          <w:tr w:rsidR="00D21C1F" w:rsidRPr="00016686" w14:paraId="5D597085" w14:textId="77777777" w:rsidTr="00016686">
            <w:trPr>
              <w:trHeight w:val="284"/>
            </w:trPr>
            <w:sdt>
              <w:sdtPr>
                <w:rPr>
                  <w:rFonts w:ascii="Times New Roman" w:hAnsi="Times New Roman" w:cs="Times New Roman"/>
                </w:rPr>
                <w:tag w:val="_PLD_0d3cdfa6a81e4a8ab3796288b6ac246d"/>
                <w:id w:val="2008482422"/>
                <w:lock w:val="sdtLocked"/>
              </w:sdtPr>
              <w:sdtEndPr/>
              <w:sdtContent>
                <w:tc>
                  <w:tcPr>
                    <w:tcW w:w="714" w:type="pct"/>
                    <w:shd w:val="clear" w:color="auto" w:fill="auto"/>
                    <w:vAlign w:val="center"/>
                  </w:tcPr>
                  <w:p w14:paraId="14E9F913"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处置</w:t>
                    </w:r>
                  </w:p>
                </w:tc>
              </w:sdtContent>
            </w:sdt>
            <w:tc>
              <w:tcPr>
                <w:tcW w:w="714" w:type="pct"/>
                <w:shd w:val="clear" w:color="auto" w:fill="auto"/>
                <w:vAlign w:val="center"/>
              </w:tcPr>
              <w:p w14:paraId="6F050C04"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2FAAE58C"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4A34FB82"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6DA18749"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68CFEC49"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0BA89499" w14:textId="77777777" w:rsidR="00D21C1F" w:rsidRPr="00016686" w:rsidRDefault="00D21C1F" w:rsidP="00016686">
                <w:pPr>
                  <w:jc w:val="right"/>
                  <w:rPr>
                    <w:rFonts w:ascii="Times New Roman" w:hAnsi="Times New Roman" w:cs="Times New Roman"/>
                    <w:szCs w:val="21"/>
                  </w:rPr>
                </w:pPr>
              </w:p>
            </w:tc>
          </w:tr>
          <w:tr w:rsidR="00D21C1F" w:rsidRPr="00016686" w14:paraId="13445201" w14:textId="77777777" w:rsidTr="00016686">
            <w:trPr>
              <w:trHeight w:val="284"/>
            </w:trPr>
            <w:sdt>
              <w:sdtPr>
                <w:rPr>
                  <w:rFonts w:ascii="Times New Roman" w:hAnsi="Times New Roman" w:cs="Times New Roman"/>
                  <w:szCs w:val="21"/>
                </w:rPr>
                <w:alias w:val="无形资产累计摊销减少项目名称"/>
                <w:tag w:val="_GBC_8d1d573ce9514131bd88f011a71031e5"/>
                <w:id w:val="-1195920889"/>
                <w:lock w:val="sdtLocked"/>
                <w:showingPlcHdr/>
              </w:sdtPr>
              <w:sdtEndPr/>
              <w:sdtContent>
                <w:tc>
                  <w:tcPr>
                    <w:tcW w:w="714" w:type="pct"/>
                    <w:shd w:val="clear" w:color="auto" w:fill="auto"/>
                  </w:tcPr>
                  <w:p w14:paraId="4B3E8E55"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土地使用权累计摊销减少项目金额"/>
                <w:tag w:val="_GBC_987ef0db30024afcb4aface24a92b120"/>
                <w:id w:val="605856833"/>
                <w:lock w:val="sdtLocked"/>
                <w:showingPlcHdr/>
              </w:sdtPr>
              <w:sdtEndPr/>
              <w:sdtContent>
                <w:tc>
                  <w:tcPr>
                    <w:tcW w:w="714" w:type="pct"/>
                    <w:shd w:val="clear" w:color="auto" w:fill="auto"/>
                    <w:vAlign w:val="center"/>
                  </w:tcPr>
                  <w:p w14:paraId="39E741E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技术累计摊销减少项目金额"/>
                <w:tag w:val="_GBC_78c34a803d9e49378c074a1e28eb4c3a"/>
                <w:id w:val="-1361974706"/>
                <w:lock w:val="sdtLocked"/>
                <w:showingPlcHdr/>
              </w:sdtPr>
              <w:sdtEndPr/>
              <w:sdtContent>
                <w:tc>
                  <w:tcPr>
                    <w:tcW w:w="714" w:type="pct"/>
                    <w:shd w:val="clear" w:color="auto" w:fill="auto"/>
                    <w:vAlign w:val="center"/>
                  </w:tcPr>
                  <w:p w14:paraId="77D8DBEA"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非专利技术累计摊销减少项目金额"/>
                <w:tag w:val="_GBC_2382de0ed7df4e29a7e6cf61e594373f"/>
                <w:id w:val="583258217"/>
                <w:lock w:val="sdtLocked"/>
                <w:showingPlcHdr/>
              </w:sdtPr>
              <w:sdtEndPr/>
              <w:sdtContent>
                <w:tc>
                  <w:tcPr>
                    <w:tcW w:w="714" w:type="pct"/>
                    <w:shd w:val="clear" w:color="auto" w:fill="auto"/>
                    <w:vAlign w:val="center"/>
                  </w:tcPr>
                  <w:p w14:paraId="5579906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累计摊销减少项目金额"/>
                <w:tag w:val="_GBC_d780250aa2144176a5374f9330f1e913"/>
                <w:id w:val="-1431421616"/>
                <w:lock w:val="sdtLocked"/>
                <w:showingPlcHdr/>
              </w:sdtPr>
              <w:sdtEndPr/>
              <w:sdtContent>
                <w:tc>
                  <w:tcPr>
                    <w:tcW w:w="714" w:type="pct"/>
                    <w:shd w:val="clear" w:color="auto" w:fill="auto"/>
                    <w:vAlign w:val="center"/>
                  </w:tcPr>
                  <w:p w14:paraId="33A58494" w14:textId="77777777" w:rsidR="00D21C1F" w:rsidRPr="00016686" w:rsidRDefault="00D21C1F" w:rsidP="00016686">
                    <w:pPr>
                      <w:jc w:val="right"/>
                      <w:rPr>
                        <w:rFonts w:ascii="Times New Roman" w:hAnsi="Times New Roman" w:cs="Times New Roman"/>
                        <w:szCs w:val="21"/>
                      </w:rPr>
                    </w:pPr>
                  </w:p>
                </w:tc>
              </w:sdtContent>
            </w:sdt>
            <w:sdt>
              <w:sdtPr>
                <w:rPr>
                  <w:rFonts w:ascii="Times New Roman" w:hAnsi="Times New Roman" w:cs="Times New Roman"/>
                  <w:szCs w:val="21"/>
                </w:rPr>
                <w:alias w:val="无形资产累计摊销减少项目金额"/>
                <w:tag w:val="_GBC_d780250aa2144176a5374f9330f1e913"/>
                <w:id w:val="1834957333"/>
                <w:lock w:val="sdtLocked"/>
                <w:showingPlcHdr/>
              </w:sdtPr>
              <w:sdtEndPr/>
              <w:sdtContent>
                <w:tc>
                  <w:tcPr>
                    <w:tcW w:w="714" w:type="pct"/>
                    <w:shd w:val="clear" w:color="auto" w:fill="auto"/>
                    <w:vAlign w:val="center"/>
                  </w:tcPr>
                  <w:p w14:paraId="6FDBEE5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累计摊销减少项目合计金额"/>
                <w:tag w:val="_GBC_ce3de533f641438f96cdd26f528b12f9"/>
                <w:id w:val="-1890484888"/>
                <w:lock w:val="sdtLocked"/>
                <w:showingPlcHdr/>
              </w:sdtPr>
              <w:sdtEndPr/>
              <w:sdtContent>
                <w:tc>
                  <w:tcPr>
                    <w:tcW w:w="714" w:type="pct"/>
                    <w:shd w:val="clear" w:color="auto" w:fill="auto"/>
                    <w:vAlign w:val="center"/>
                  </w:tcPr>
                  <w:p w14:paraId="635371D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D21C1F" w:rsidRPr="00016686" w14:paraId="3C98D9FE" w14:textId="77777777" w:rsidTr="00016686">
            <w:trPr>
              <w:trHeight w:val="284"/>
            </w:trPr>
            <w:sdt>
              <w:sdtPr>
                <w:rPr>
                  <w:rFonts w:ascii="Times New Roman" w:hAnsi="Times New Roman" w:cs="Times New Roman"/>
                  <w:szCs w:val="21"/>
                </w:rPr>
                <w:alias w:val="无形资产累计摊销减少项目名称"/>
                <w:tag w:val="_GBC_8d1d573ce9514131bd88f011a71031e5"/>
                <w:id w:val="1639387794"/>
                <w:lock w:val="sdtLocked"/>
                <w:showingPlcHdr/>
              </w:sdtPr>
              <w:sdtEndPr/>
              <w:sdtContent>
                <w:tc>
                  <w:tcPr>
                    <w:tcW w:w="714" w:type="pct"/>
                    <w:shd w:val="clear" w:color="auto" w:fill="auto"/>
                  </w:tcPr>
                  <w:p w14:paraId="3F0AA99C"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土地使用权累计摊销减少项目金额"/>
                <w:tag w:val="_GBC_987ef0db30024afcb4aface24a92b120"/>
                <w:id w:val="-1312552193"/>
                <w:lock w:val="sdtLocked"/>
                <w:showingPlcHdr/>
              </w:sdtPr>
              <w:sdtEndPr/>
              <w:sdtContent>
                <w:tc>
                  <w:tcPr>
                    <w:tcW w:w="714" w:type="pct"/>
                    <w:shd w:val="clear" w:color="auto" w:fill="auto"/>
                    <w:vAlign w:val="center"/>
                  </w:tcPr>
                  <w:p w14:paraId="171996D2"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技术累计摊销减少项目金额"/>
                <w:tag w:val="_GBC_78c34a803d9e49378c074a1e28eb4c3a"/>
                <w:id w:val="767821497"/>
                <w:lock w:val="sdtLocked"/>
                <w:showingPlcHdr/>
              </w:sdtPr>
              <w:sdtEndPr/>
              <w:sdtContent>
                <w:tc>
                  <w:tcPr>
                    <w:tcW w:w="714" w:type="pct"/>
                    <w:shd w:val="clear" w:color="auto" w:fill="auto"/>
                    <w:vAlign w:val="center"/>
                  </w:tcPr>
                  <w:p w14:paraId="4BBBC54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非专利技术累计摊销减少项目金额"/>
                <w:tag w:val="_GBC_2382de0ed7df4e29a7e6cf61e594373f"/>
                <w:id w:val="682475213"/>
                <w:lock w:val="sdtLocked"/>
                <w:showingPlcHdr/>
              </w:sdtPr>
              <w:sdtEndPr/>
              <w:sdtContent>
                <w:tc>
                  <w:tcPr>
                    <w:tcW w:w="714" w:type="pct"/>
                    <w:shd w:val="clear" w:color="auto" w:fill="auto"/>
                    <w:vAlign w:val="center"/>
                  </w:tcPr>
                  <w:p w14:paraId="7D8B8669"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累计摊销减少项目金额"/>
                <w:tag w:val="_GBC_d780250aa2144176a5374f9330f1e913"/>
                <w:id w:val="410819132"/>
                <w:lock w:val="sdtLocked"/>
                <w:showingPlcHdr/>
              </w:sdtPr>
              <w:sdtEndPr/>
              <w:sdtContent>
                <w:tc>
                  <w:tcPr>
                    <w:tcW w:w="714" w:type="pct"/>
                    <w:shd w:val="clear" w:color="auto" w:fill="auto"/>
                    <w:vAlign w:val="center"/>
                  </w:tcPr>
                  <w:p w14:paraId="6CB059A3" w14:textId="77777777" w:rsidR="00D21C1F" w:rsidRPr="00016686" w:rsidRDefault="00D21C1F" w:rsidP="00016686">
                    <w:pPr>
                      <w:jc w:val="right"/>
                      <w:rPr>
                        <w:rFonts w:ascii="Times New Roman" w:hAnsi="Times New Roman" w:cs="Times New Roman"/>
                        <w:szCs w:val="21"/>
                      </w:rPr>
                    </w:pPr>
                  </w:p>
                </w:tc>
              </w:sdtContent>
            </w:sdt>
            <w:sdt>
              <w:sdtPr>
                <w:rPr>
                  <w:rFonts w:ascii="Times New Roman" w:hAnsi="Times New Roman" w:cs="Times New Roman"/>
                  <w:szCs w:val="21"/>
                </w:rPr>
                <w:alias w:val="无形资产累计摊销减少项目金额"/>
                <w:tag w:val="_GBC_d780250aa2144176a5374f9330f1e913"/>
                <w:id w:val="1190646334"/>
                <w:lock w:val="sdtLocked"/>
                <w:showingPlcHdr/>
              </w:sdtPr>
              <w:sdtEndPr/>
              <w:sdtContent>
                <w:tc>
                  <w:tcPr>
                    <w:tcW w:w="714" w:type="pct"/>
                    <w:shd w:val="clear" w:color="auto" w:fill="auto"/>
                    <w:vAlign w:val="center"/>
                  </w:tcPr>
                  <w:p w14:paraId="446BA6D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累计摊销减少项目合计金额"/>
                <w:tag w:val="_GBC_ce3de533f641438f96cdd26f528b12f9"/>
                <w:id w:val="-240870087"/>
                <w:lock w:val="sdtLocked"/>
                <w:showingPlcHdr/>
              </w:sdtPr>
              <w:sdtEndPr/>
              <w:sdtContent>
                <w:tc>
                  <w:tcPr>
                    <w:tcW w:w="714" w:type="pct"/>
                    <w:shd w:val="clear" w:color="auto" w:fill="auto"/>
                    <w:vAlign w:val="center"/>
                  </w:tcPr>
                  <w:p w14:paraId="70EC843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D21C1F" w:rsidRPr="00016686" w14:paraId="0314CDCA" w14:textId="77777777" w:rsidTr="00016686">
            <w:trPr>
              <w:trHeight w:val="284"/>
            </w:trPr>
            <w:sdt>
              <w:sdtPr>
                <w:rPr>
                  <w:rFonts w:ascii="Times New Roman" w:hAnsi="Times New Roman" w:cs="Times New Roman"/>
                </w:rPr>
                <w:tag w:val="_PLD_6b52e77de021464b99b9a2d55cb6dc5b"/>
                <w:id w:val="95218596"/>
                <w:lock w:val="sdtLocked"/>
              </w:sdtPr>
              <w:sdtEndPr/>
              <w:sdtContent>
                <w:tc>
                  <w:tcPr>
                    <w:tcW w:w="714" w:type="pct"/>
                    <w:shd w:val="clear" w:color="auto" w:fill="auto"/>
                    <w:vAlign w:val="center"/>
                  </w:tcPr>
                  <w:p w14:paraId="4EEFBF1D"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4.</w:t>
                    </w:r>
                    <w:r w:rsidRPr="00016686">
                      <w:rPr>
                        <w:rFonts w:ascii="Times New Roman" w:hAnsi="Times New Roman" w:cs="Times New Roman"/>
                        <w:szCs w:val="21"/>
                      </w:rPr>
                      <w:t>期末余额</w:t>
                    </w:r>
                  </w:p>
                </w:tc>
              </w:sdtContent>
            </w:sdt>
            <w:tc>
              <w:tcPr>
                <w:tcW w:w="714" w:type="pct"/>
                <w:shd w:val="clear" w:color="auto" w:fill="auto"/>
                <w:vAlign w:val="center"/>
              </w:tcPr>
              <w:p w14:paraId="5E838D3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3,449,387.50</w:t>
                </w:r>
              </w:p>
            </w:tc>
            <w:tc>
              <w:tcPr>
                <w:tcW w:w="714" w:type="pct"/>
                <w:shd w:val="clear" w:color="auto" w:fill="auto"/>
                <w:vAlign w:val="center"/>
              </w:tcPr>
              <w:p w14:paraId="77CD03A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21,628,800.58</w:t>
                </w:r>
              </w:p>
            </w:tc>
            <w:tc>
              <w:tcPr>
                <w:tcW w:w="714" w:type="pct"/>
                <w:shd w:val="clear" w:color="auto" w:fill="auto"/>
                <w:vAlign w:val="center"/>
              </w:tcPr>
              <w:p w14:paraId="0F119F2B"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23,563,679.36</w:t>
                </w:r>
              </w:p>
            </w:tc>
            <w:tc>
              <w:tcPr>
                <w:tcW w:w="714" w:type="pct"/>
                <w:shd w:val="clear" w:color="auto" w:fill="auto"/>
                <w:vAlign w:val="center"/>
              </w:tcPr>
              <w:p w14:paraId="32140060"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50,037,855.83</w:t>
                </w:r>
              </w:p>
            </w:tc>
            <w:tc>
              <w:tcPr>
                <w:tcW w:w="714" w:type="pct"/>
                <w:shd w:val="clear" w:color="auto" w:fill="auto"/>
                <w:vAlign w:val="center"/>
              </w:tcPr>
              <w:p w14:paraId="445F2EDA"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48,500,425.47</w:t>
                </w:r>
              </w:p>
            </w:tc>
            <w:tc>
              <w:tcPr>
                <w:tcW w:w="714" w:type="pct"/>
                <w:shd w:val="clear" w:color="auto" w:fill="auto"/>
                <w:vAlign w:val="center"/>
              </w:tcPr>
              <w:p w14:paraId="1295421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147,180,148.74</w:t>
                </w:r>
              </w:p>
            </w:tc>
          </w:tr>
          <w:tr w:rsidR="00D21C1F" w:rsidRPr="00016686" w14:paraId="2A83D10A" w14:textId="77777777" w:rsidTr="00016686">
            <w:trPr>
              <w:trHeight w:val="284"/>
            </w:trPr>
            <w:sdt>
              <w:sdtPr>
                <w:rPr>
                  <w:rFonts w:ascii="Times New Roman" w:hAnsi="Times New Roman" w:cs="Times New Roman"/>
                </w:rPr>
                <w:tag w:val="_PLD_100d3bc56cc142c1b30c3998528f8af2"/>
                <w:id w:val="1323008539"/>
                <w:lock w:val="sdtLocked"/>
              </w:sdtPr>
              <w:sdtEndPr/>
              <w:sdtContent>
                <w:tc>
                  <w:tcPr>
                    <w:tcW w:w="714" w:type="pct"/>
                    <w:shd w:val="clear" w:color="auto" w:fill="auto"/>
                    <w:vAlign w:val="center"/>
                  </w:tcPr>
                  <w:p w14:paraId="50276DA9"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三、减值准备</w:t>
                    </w:r>
                  </w:p>
                </w:tc>
              </w:sdtContent>
            </w:sdt>
            <w:tc>
              <w:tcPr>
                <w:tcW w:w="714" w:type="pct"/>
                <w:shd w:val="clear" w:color="auto" w:fill="auto"/>
                <w:vAlign w:val="center"/>
              </w:tcPr>
              <w:p w14:paraId="13A6DDD7"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03994BBD"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2AFB41D7"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0419A715"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672B792A"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09D4245E" w14:textId="77777777" w:rsidR="00D21C1F" w:rsidRPr="00016686" w:rsidRDefault="00D21C1F" w:rsidP="00016686">
                <w:pPr>
                  <w:jc w:val="right"/>
                  <w:rPr>
                    <w:rFonts w:ascii="Times New Roman" w:hAnsi="Times New Roman" w:cs="Times New Roman"/>
                    <w:szCs w:val="21"/>
                  </w:rPr>
                </w:pPr>
              </w:p>
            </w:tc>
          </w:tr>
          <w:tr w:rsidR="00D21C1F" w:rsidRPr="00016686" w14:paraId="5DA15803" w14:textId="77777777" w:rsidTr="00016686">
            <w:trPr>
              <w:trHeight w:val="284"/>
            </w:trPr>
            <w:sdt>
              <w:sdtPr>
                <w:rPr>
                  <w:rFonts w:ascii="Times New Roman" w:hAnsi="Times New Roman" w:cs="Times New Roman"/>
                </w:rPr>
                <w:tag w:val="_PLD_420f955ca82e4f579c5533e44e7054ff"/>
                <w:id w:val="-1499499184"/>
                <w:lock w:val="sdtLocked"/>
              </w:sdtPr>
              <w:sdtEndPr/>
              <w:sdtContent>
                <w:tc>
                  <w:tcPr>
                    <w:tcW w:w="714" w:type="pct"/>
                    <w:shd w:val="clear" w:color="auto" w:fill="auto"/>
                    <w:vAlign w:val="center"/>
                  </w:tcPr>
                  <w:p w14:paraId="1DF72A87"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期初余额</w:t>
                    </w:r>
                  </w:p>
                </w:tc>
              </w:sdtContent>
            </w:sdt>
            <w:tc>
              <w:tcPr>
                <w:tcW w:w="714" w:type="pct"/>
                <w:shd w:val="clear" w:color="auto" w:fill="auto"/>
                <w:vAlign w:val="center"/>
              </w:tcPr>
              <w:p w14:paraId="2E2731D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w:t>
                </w:r>
              </w:p>
            </w:tc>
            <w:tc>
              <w:tcPr>
                <w:tcW w:w="714" w:type="pct"/>
                <w:shd w:val="clear" w:color="auto" w:fill="auto"/>
                <w:vAlign w:val="center"/>
              </w:tcPr>
              <w:p w14:paraId="30B0EDA9"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w:t>
                </w:r>
              </w:p>
            </w:tc>
            <w:tc>
              <w:tcPr>
                <w:tcW w:w="714" w:type="pct"/>
                <w:shd w:val="clear" w:color="auto" w:fill="auto"/>
                <w:vAlign w:val="center"/>
              </w:tcPr>
              <w:p w14:paraId="0E9A485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w:t>
                </w:r>
              </w:p>
            </w:tc>
            <w:tc>
              <w:tcPr>
                <w:tcW w:w="714" w:type="pct"/>
                <w:shd w:val="clear" w:color="auto" w:fill="auto"/>
                <w:vAlign w:val="center"/>
              </w:tcPr>
              <w:p w14:paraId="4FD5B9D9"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w:t>
                </w:r>
              </w:p>
            </w:tc>
            <w:tc>
              <w:tcPr>
                <w:tcW w:w="714" w:type="pct"/>
                <w:shd w:val="clear" w:color="auto" w:fill="auto"/>
                <w:vAlign w:val="center"/>
              </w:tcPr>
              <w:p w14:paraId="554792E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24,631,699.32</w:t>
                </w:r>
              </w:p>
            </w:tc>
            <w:tc>
              <w:tcPr>
                <w:tcW w:w="714" w:type="pct"/>
                <w:shd w:val="clear" w:color="auto" w:fill="auto"/>
                <w:vAlign w:val="center"/>
              </w:tcPr>
              <w:p w14:paraId="35DC4073"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24,631,699.32</w:t>
                </w:r>
              </w:p>
            </w:tc>
          </w:tr>
          <w:tr w:rsidR="00D21C1F" w:rsidRPr="00016686" w14:paraId="6249A652" w14:textId="77777777" w:rsidTr="00016686">
            <w:trPr>
              <w:trHeight w:val="284"/>
            </w:trPr>
            <w:sdt>
              <w:sdtPr>
                <w:rPr>
                  <w:rFonts w:ascii="Times New Roman" w:hAnsi="Times New Roman" w:cs="Times New Roman"/>
                </w:rPr>
                <w:tag w:val="_PLD_7efb2ccf9b504b529547ebac5b8ce675"/>
                <w:id w:val="-552920750"/>
                <w:lock w:val="sdtLocked"/>
              </w:sdtPr>
              <w:sdtEndPr/>
              <w:sdtContent>
                <w:tc>
                  <w:tcPr>
                    <w:tcW w:w="714" w:type="pct"/>
                    <w:shd w:val="clear" w:color="auto" w:fill="auto"/>
                    <w:vAlign w:val="center"/>
                  </w:tcPr>
                  <w:p w14:paraId="11BA5BEF"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本期增加金额</w:t>
                    </w:r>
                  </w:p>
                </w:tc>
              </w:sdtContent>
            </w:sdt>
            <w:tc>
              <w:tcPr>
                <w:tcW w:w="714" w:type="pct"/>
                <w:shd w:val="clear" w:color="auto" w:fill="auto"/>
                <w:vAlign w:val="center"/>
              </w:tcPr>
              <w:p w14:paraId="3565A86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17FB5E2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2158B280"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62C49D4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2BD2C99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-1,039,902.77</w:t>
                </w:r>
              </w:p>
            </w:tc>
            <w:tc>
              <w:tcPr>
                <w:tcW w:w="714" w:type="pct"/>
                <w:shd w:val="clear" w:color="auto" w:fill="auto"/>
                <w:vAlign w:val="center"/>
              </w:tcPr>
              <w:p w14:paraId="508D92E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-1,039,902.77</w:t>
                </w:r>
              </w:p>
            </w:tc>
          </w:tr>
          <w:tr w:rsidR="00D21C1F" w:rsidRPr="00016686" w14:paraId="4F491CC6" w14:textId="77777777" w:rsidTr="00016686">
            <w:trPr>
              <w:trHeight w:val="284"/>
            </w:trPr>
            <w:sdt>
              <w:sdtPr>
                <w:rPr>
                  <w:rFonts w:ascii="Times New Roman" w:hAnsi="Times New Roman" w:cs="Times New Roman"/>
                </w:rPr>
                <w:tag w:val="_PLD_c13e2ead7b5f41d0891abcff97ced932"/>
                <w:id w:val="-1728989895"/>
                <w:lock w:val="sdtLocked"/>
              </w:sdtPr>
              <w:sdtEndPr/>
              <w:sdtContent>
                <w:tc>
                  <w:tcPr>
                    <w:tcW w:w="714" w:type="pct"/>
                    <w:shd w:val="clear" w:color="auto" w:fill="auto"/>
                    <w:vAlign w:val="center"/>
                  </w:tcPr>
                  <w:p w14:paraId="3E7E820A"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w:t>
                    </w:r>
                    <w:r w:rsidRPr="00016686">
                      <w:rPr>
                        <w:rFonts w:ascii="Times New Roman" w:hAnsi="Times New Roman" w:cs="Times New Roman"/>
                        <w:szCs w:val="21"/>
                      </w:rPr>
                      <w:t>1</w:t>
                    </w:r>
                    <w:r w:rsidRPr="00016686">
                      <w:rPr>
                        <w:rFonts w:ascii="Times New Roman" w:hAnsi="Times New Roman" w:cs="Times New Roman"/>
                        <w:szCs w:val="21"/>
                      </w:rPr>
                      <w:t>）计提</w:t>
                    </w:r>
                  </w:p>
                </w:tc>
              </w:sdtContent>
            </w:sdt>
            <w:tc>
              <w:tcPr>
                <w:tcW w:w="714" w:type="pct"/>
                <w:shd w:val="clear" w:color="auto" w:fill="auto"/>
                <w:vAlign w:val="center"/>
              </w:tcPr>
              <w:p w14:paraId="164F82D7"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035B3758"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D66D826"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4D7F17F3"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1FC69F91"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21E452CC" w14:textId="77777777" w:rsidR="00D21C1F" w:rsidRPr="00016686" w:rsidRDefault="00D21C1F" w:rsidP="00016686">
                <w:pPr>
                  <w:jc w:val="right"/>
                  <w:rPr>
                    <w:rFonts w:ascii="Times New Roman" w:hAnsi="Times New Roman" w:cs="Times New Roman"/>
                    <w:szCs w:val="21"/>
                  </w:rPr>
                </w:pPr>
              </w:p>
            </w:tc>
          </w:tr>
          <w:tr w:rsidR="00D21C1F" w:rsidRPr="00016686" w14:paraId="45281E2E" w14:textId="77777777" w:rsidTr="00016686">
            <w:trPr>
              <w:trHeight w:val="284"/>
            </w:trPr>
            <w:sdt>
              <w:sdtPr>
                <w:rPr>
                  <w:rFonts w:ascii="Times New Roman" w:hAnsi="Times New Roman" w:cs="Times New Roman"/>
                  <w:szCs w:val="21"/>
                </w:rPr>
                <w:alias w:val="无形资产减值准备增加项目名称"/>
                <w:tag w:val="_GBC_a07f98d210fd4636be10f5bfad0425cc"/>
                <w:id w:val="-1152915093"/>
                <w:lock w:val="sdtLocked"/>
              </w:sdtPr>
              <w:sdtEndPr/>
              <w:sdtContent>
                <w:tc>
                  <w:tcPr>
                    <w:tcW w:w="714" w:type="pct"/>
                    <w:shd w:val="clear" w:color="auto" w:fill="auto"/>
                  </w:tcPr>
                  <w:p w14:paraId="42E1A867"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汇率变动的影响</w:t>
                    </w:r>
                  </w:p>
                </w:tc>
              </w:sdtContent>
            </w:sdt>
            <w:sdt>
              <w:sdtPr>
                <w:rPr>
                  <w:rFonts w:ascii="Times New Roman" w:hAnsi="Times New Roman" w:cs="Times New Roman"/>
                  <w:szCs w:val="21"/>
                </w:rPr>
                <w:alias w:val="无形资产土地使用权减值准备增加项目金额"/>
                <w:tag w:val="_GBC_12b871fdd57041608a822a4b7df86aab"/>
                <w:id w:val="443198648"/>
                <w:lock w:val="sdtLocked"/>
                <w:showingPlcHdr/>
              </w:sdtPr>
              <w:sdtEndPr/>
              <w:sdtContent>
                <w:tc>
                  <w:tcPr>
                    <w:tcW w:w="714" w:type="pct"/>
                    <w:shd w:val="clear" w:color="auto" w:fill="auto"/>
                    <w:vAlign w:val="center"/>
                  </w:tcPr>
                  <w:p w14:paraId="6606546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权减值准备增加项目金额"/>
                <w:tag w:val="_GBC_67beba23fec84cc8bdab0a5541f34763"/>
                <w:id w:val="2118720705"/>
                <w:lock w:val="sdtLocked"/>
              </w:sdtPr>
              <w:sdtEndPr/>
              <w:sdtContent>
                <w:tc>
                  <w:tcPr>
                    <w:tcW w:w="714" w:type="pct"/>
                    <w:shd w:val="clear" w:color="auto" w:fill="auto"/>
                    <w:vAlign w:val="center"/>
                  </w:tcPr>
                  <w:p w14:paraId="1BE0DD3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无形资产非专利技术减值准备增加项目金额"/>
                <w:tag w:val="_GBC_be68ae2985d7460081ee248b41918fc0"/>
                <w:id w:val="1585655480"/>
                <w:lock w:val="sdtLocked"/>
              </w:sdtPr>
              <w:sdtEndPr/>
              <w:sdtContent>
                <w:tc>
                  <w:tcPr>
                    <w:tcW w:w="714" w:type="pct"/>
                    <w:shd w:val="clear" w:color="auto" w:fill="auto"/>
                    <w:vAlign w:val="center"/>
                  </w:tcPr>
                  <w:p w14:paraId="1C93731B"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无形资产减值准备增加项目金额"/>
                <w:tag w:val="_GBC_63b957dd4ae94826a33c2bd5cab283a2"/>
                <w:id w:val="-1574737737"/>
                <w:lock w:val="sdtLocked"/>
              </w:sdtPr>
              <w:sdtEndPr/>
              <w:sdtContent>
                <w:tc>
                  <w:tcPr>
                    <w:tcW w:w="714" w:type="pct"/>
                    <w:shd w:val="clear" w:color="auto" w:fill="auto"/>
                    <w:vAlign w:val="center"/>
                  </w:tcPr>
                  <w:p w14:paraId="5FB38A6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w:t>
                    </w:r>
                  </w:p>
                </w:tc>
              </w:sdtContent>
            </w:sdt>
            <w:sdt>
              <w:sdtPr>
                <w:rPr>
                  <w:rFonts w:ascii="Times New Roman" w:hAnsi="Times New Roman" w:cs="Times New Roman"/>
                  <w:szCs w:val="21"/>
                </w:rPr>
                <w:alias w:val="无形资产减值准备增加项目金额"/>
                <w:tag w:val="_GBC_63b957dd4ae94826a33c2bd5cab283a2"/>
                <w:id w:val="-1979915361"/>
                <w:lock w:val="sdtLocked"/>
              </w:sdtPr>
              <w:sdtEndPr/>
              <w:sdtContent>
                <w:tc>
                  <w:tcPr>
                    <w:tcW w:w="714" w:type="pct"/>
                    <w:shd w:val="clear" w:color="auto" w:fill="auto"/>
                    <w:vAlign w:val="center"/>
                  </w:tcPr>
                  <w:p w14:paraId="05D18915"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-1,039,902.77</w:t>
                    </w:r>
                  </w:p>
                </w:tc>
              </w:sdtContent>
            </w:sdt>
            <w:sdt>
              <w:sdtPr>
                <w:rPr>
                  <w:rFonts w:ascii="Times New Roman" w:hAnsi="Times New Roman" w:cs="Times New Roman"/>
                  <w:szCs w:val="21"/>
                </w:rPr>
                <w:alias w:val="无形资产减值准备增加项目合计金额"/>
                <w:tag w:val="_GBC_d898031c95ba4f18aa304513f88d8510"/>
                <w:id w:val="-1466348055"/>
                <w:lock w:val="sdtLocked"/>
              </w:sdtPr>
              <w:sdtEndPr/>
              <w:sdtContent>
                <w:tc>
                  <w:tcPr>
                    <w:tcW w:w="714" w:type="pct"/>
                    <w:shd w:val="clear" w:color="auto" w:fill="auto"/>
                    <w:vAlign w:val="center"/>
                  </w:tcPr>
                  <w:p w14:paraId="5284A12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-1,039,902.77</w:t>
                    </w:r>
                  </w:p>
                </w:tc>
              </w:sdtContent>
            </w:sdt>
          </w:tr>
          <w:tr w:rsidR="00D21C1F" w:rsidRPr="00016686" w14:paraId="575C4F5A" w14:textId="77777777" w:rsidTr="00016686">
            <w:trPr>
              <w:trHeight w:val="284"/>
            </w:trPr>
            <w:sdt>
              <w:sdtPr>
                <w:rPr>
                  <w:rFonts w:ascii="Times New Roman" w:hAnsi="Times New Roman" w:cs="Times New Roman"/>
                  <w:szCs w:val="21"/>
                </w:rPr>
                <w:alias w:val="无形资产减值准备增加项目名称"/>
                <w:tag w:val="_GBC_a07f98d210fd4636be10f5bfad0425cc"/>
                <w:id w:val="1147946204"/>
                <w:lock w:val="sdtLocked"/>
                <w:showingPlcHdr/>
              </w:sdtPr>
              <w:sdtEndPr/>
              <w:sdtContent>
                <w:tc>
                  <w:tcPr>
                    <w:tcW w:w="714" w:type="pct"/>
                    <w:shd w:val="clear" w:color="auto" w:fill="auto"/>
                  </w:tcPr>
                  <w:p w14:paraId="2F1A9497"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土地使用权减值准备增加项目金额"/>
                <w:tag w:val="_GBC_12b871fdd57041608a822a4b7df86aab"/>
                <w:id w:val="152657350"/>
                <w:lock w:val="sdtLocked"/>
                <w:showingPlcHdr/>
              </w:sdtPr>
              <w:sdtEndPr/>
              <w:sdtContent>
                <w:tc>
                  <w:tcPr>
                    <w:tcW w:w="714" w:type="pct"/>
                    <w:shd w:val="clear" w:color="auto" w:fill="auto"/>
                    <w:vAlign w:val="center"/>
                  </w:tcPr>
                  <w:p w14:paraId="29C3427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权减值准备增加项目金额"/>
                <w:tag w:val="_GBC_67beba23fec84cc8bdab0a5541f34763"/>
                <w:id w:val="-625461787"/>
                <w:lock w:val="sdtLocked"/>
                <w:showingPlcHdr/>
              </w:sdtPr>
              <w:sdtEndPr/>
              <w:sdtContent>
                <w:tc>
                  <w:tcPr>
                    <w:tcW w:w="714" w:type="pct"/>
                    <w:shd w:val="clear" w:color="auto" w:fill="auto"/>
                    <w:vAlign w:val="center"/>
                  </w:tcPr>
                  <w:p w14:paraId="42D8BDD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非专利技术减值准备增加项目金额"/>
                <w:tag w:val="_GBC_be68ae2985d7460081ee248b41918fc0"/>
                <w:id w:val="-373003957"/>
                <w:lock w:val="sdtLocked"/>
                <w:showingPlcHdr/>
              </w:sdtPr>
              <w:sdtEndPr/>
              <w:sdtContent>
                <w:tc>
                  <w:tcPr>
                    <w:tcW w:w="714" w:type="pct"/>
                    <w:shd w:val="clear" w:color="auto" w:fill="auto"/>
                    <w:vAlign w:val="center"/>
                  </w:tcPr>
                  <w:p w14:paraId="0FF8DF2B"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减值准备增加项目金额"/>
                <w:tag w:val="_GBC_63b957dd4ae94826a33c2bd5cab283a2"/>
                <w:id w:val="-1380012269"/>
                <w:lock w:val="sdtLocked"/>
                <w:showingPlcHdr/>
              </w:sdtPr>
              <w:sdtEndPr/>
              <w:sdtContent>
                <w:tc>
                  <w:tcPr>
                    <w:tcW w:w="714" w:type="pct"/>
                    <w:shd w:val="clear" w:color="auto" w:fill="auto"/>
                    <w:vAlign w:val="center"/>
                  </w:tcPr>
                  <w:p w14:paraId="59962F37" w14:textId="77777777" w:rsidR="00D21C1F" w:rsidRPr="00016686" w:rsidRDefault="00D21C1F" w:rsidP="00016686">
                    <w:pPr>
                      <w:jc w:val="right"/>
                      <w:rPr>
                        <w:rFonts w:ascii="Times New Roman" w:hAnsi="Times New Roman" w:cs="Times New Roman"/>
                        <w:szCs w:val="21"/>
                      </w:rPr>
                    </w:pPr>
                  </w:p>
                </w:tc>
              </w:sdtContent>
            </w:sdt>
            <w:sdt>
              <w:sdtPr>
                <w:rPr>
                  <w:rFonts w:ascii="Times New Roman" w:hAnsi="Times New Roman" w:cs="Times New Roman"/>
                  <w:szCs w:val="21"/>
                </w:rPr>
                <w:alias w:val="无形资产减值准备增加项目金额"/>
                <w:tag w:val="_GBC_63b957dd4ae94826a33c2bd5cab283a2"/>
                <w:id w:val="-806702065"/>
                <w:lock w:val="sdtLocked"/>
                <w:showingPlcHdr/>
              </w:sdtPr>
              <w:sdtEndPr/>
              <w:sdtContent>
                <w:tc>
                  <w:tcPr>
                    <w:tcW w:w="714" w:type="pct"/>
                    <w:shd w:val="clear" w:color="auto" w:fill="auto"/>
                    <w:vAlign w:val="center"/>
                  </w:tcPr>
                  <w:p w14:paraId="719E2C7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减值准备增加项目合计金额"/>
                <w:tag w:val="_GBC_d898031c95ba4f18aa304513f88d8510"/>
                <w:id w:val="317391161"/>
                <w:lock w:val="sdtLocked"/>
                <w:showingPlcHdr/>
              </w:sdtPr>
              <w:sdtEndPr/>
              <w:sdtContent>
                <w:tc>
                  <w:tcPr>
                    <w:tcW w:w="714" w:type="pct"/>
                    <w:shd w:val="clear" w:color="auto" w:fill="auto"/>
                    <w:vAlign w:val="center"/>
                  </w:tcPr>
                  <w:p w14:paraId="5C1CC91D"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D21C1F" w:rsidRPr="00016686" w14:paraId="5ED18AC1" w14:textId="77777777" w:rsidTr="00016686">
            <w:trPr>
              <w:trHeight w:val="284"/>
            </w:trPr>
            <w:sdt>
              <w:sdtPr>
                <w:rPr>
                  <w:rFonts w:ascii="Times New Roman" w:hAnsi="Times New Roman" w:cs="Times New Roman"/>
                </w:rPr>
                <w:tag w:val="_PLD_80ddaa0f1cfd432483c808ea875d3645"/>
                <w:id w:val="1027686957"/>
                <w:lock w:val="sdtLocked"/>
              </w:sdtPr>
              <w:sdtEndPr/>
              <w:sdtContent>
                <w:tc>
                  <w:tcPr>
                    <w:tcW w:w="714" w:type="pct"/>
                    <w:shd w:val="clear" w:color="auto" w:fill="auto"/>
                    <w:vAlign w:val="center"/>
                  </w:tcPr>
                  <w:p w14:paraId="0B5D062B"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3.</w:t>
                    </w:r>
                    <w:r w:rsidRPr="00016686">
                      <w:rPr>
                        <w:rFonts w:ascii="Times New Roman" w:hAnsi="Times New Roman" w:cs="Times New Roman"/>
                        <w:szCs w:val="21"/>
                      </w:rPr>
                      <w:t>本期减少金额</w:t>
                    </w:r>
                  </w:p>
                </w:tc>
              </w:sdtContent>
            </w:sdt>
            <w:tc>
              <w:tcPr>
                <w:tcW w:w="714" w:type="pct"/>
                <w:shd w:val="clear" w:color="auto" w:fill="auto"/>
                <w:vAlign w:val="center"/>
              </w:tcPr>
              <w:p w14:paraId="0AC24444"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9C1915C"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71F25A26"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79795AF0"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FA2A232"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D353F7D" w14:textId="77777777" w:rsidR="00D21C1F" w:rsidRPr="00016686" w:rsidRDefault="00D21C1F" w:rsidP="00016686">
                <w:pPr>
                  <w:jc w:val="right"/>
                  <w:rPr>
                    <w:rFonts w:ascii="Times New Roman" w:hAnsi="Times New Roman" w:cs="Times New Roman"/>
                    <w:szCs w:val="21"/>
                  </w:rPr>
                </w:pPr>
              </w:p>
            </w:tc>
          </w:tr>
          <w:tr w:rsidR="00D21C1F" w:rsidRPr="00016686" w14:paraId="5D1F1CBD" w14:textId="77777777" w:rsidTr="00016686">
            <w:trPr>
              <w:trHeight w:val="284"/>
            </w:trPr>
            <w:sdt>
              <w:sdtPr>
                <w:rPr>
                  <w:rFonts w:ascii="Times New Roman" w:hAnsi="Times New Roman" w:cs="Times New Roman"/>
                </w:rPr>
                <w:tag w:val="_PLD_2737286ed2dd4f3f95206ad01cd11070"/>
                <w:id w:val="206299073"/>
                <w:lock w:val="sdtLocked"/>
              </w:sdtPr>
              <w:sdtEndPr/>
              <w:sdtContent>
                <w:tc>
                  <w:tcPr>
                    <w:tcW w:w="714" w:type="pct"/>
                    <w:shd w:val="clear" w:color="auto" w:fill="auto"/>
                    <w:vAlign w:val="center"/>
                  </w:tcPr>
                  <w:p w14:paraId="27C500FB"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处置</w:t>
                    </w:r>
                  </w:p>
                </w:tc>
              </w:sdtContent>
            </w:sdt>
            <w:tc>
              <w:tcPr>
                <w:tcW w:w="714" w:type="pct"/>
                <w:shd w:val="clear" w:color="auto" w:fill="auto"/>
                <w:vAlign w:val="center"/>
              </w:tcPr>
              <w:p w14:paraId="4BC3621E"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2197F6F0"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DE90717"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4FC1D625"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5A412CA5"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115AA2AA" w14:textId="77777777" w:rsidR="00D21C1F" w:rsidRPr="00016686" w:rsidRDefault="00D21C1F" w:rsidP="00016686">
                <w:pPr>
                  <w:jc w:val="right"/>
                  <w:rPr>
                    <w:rFonts w:ascii="Times New Roman" w:hAnsi="Times New Roman" w:cs="Times New Roman"/>
                    <w:szCs w:val="21"/>
                  </w:rPr>
                </w:pPr>
              </w:p>
            </w:tc>
          </w:tr>
          <w:tr w:rsidR="00D21C1F" w:rsidRPr="00016686" w14:paraId="44AA9123" w14:textId="77777777" w:rsidTr="00016686">
            <w:trPr>
              <w:trHeight w:val="284"/>
            </w:trPr>
            <w:sdt>
              <w:sdtPr>
                <w:rPr>
                  <w:rFonts w:ascii="Times New Roman" w:hAnsi="Times New Roman" w:cs="Times New Roman"/>
                  <w:szCs w:val="21"/>
                </w:rPr>
                <w:alias w:val="无形资产减值准备减少项目名称"/>
                <w:tag w:val="_GBC_8272bbfdd02345b8ad44a88b8a41de10"/>
                <w:id w:val="1595050750"/>
                <w:lock w:val="sdtLocked"/>
                <w:showingPlcHdr/>
              </w:sdtPr>
              <w:sdtEndPr/>
              <w:sdtContent>
                <w:tc>
                  <w:tcPr>
                    <w:tcW w:w="714" w:type="pct"/>
                    <w:shd w:val="clear" w:color="auto" w:fill="auto"/>
                  </w:tcPr>
                  <w:p w14:paraId="0D9E555B" w14:textId="77777777" w:rsidR="00D21C1F" w:rsidRPr="00016686" w:rsidRDefault="00A42880">
                    <w:pPr>
                      <w:ind w:firstLineChars="300" w:firstLine="630"/>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土地使用权减值准备减少项目金额"/>
                <w:tag w:val="_GBC_8b708dfdfdc84533925e407c20772767"/>
                <w:id w:val="-1755891608"/>
                <w:lock w:val="sdtLocked"/>
                <w:showingPlcHdr/>
              </w:sdtPr>
              <w:sdtEndPr/>
              <w:sdtContent>
                <w:tc>
                  <w:tcPr>
                    <w:tcW w:w="714" w:type="pct"/>
                    <w:shd w:val="clear" w:color="auto" w:fill="auto"/>
                    <w:vAlign w:val="center"/>
                  </w:tcPr>
                  <w:p w14:paraId="0E3D3D9B"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专利权减值准备减少项目金额"/>
                <w:tag w:val="_GBC_3a32133737c54fadbe7b669399eade67"/>
                <w:id w:val="1244148694"/>
                <w:lock w:val="sdtLocked"/>
                <w:showingPlcHdr/>
              </w:sdtPr>
              <w:sdtEndPr/>
              <w:sdtContent>
                <w:tc>
                  <w:tcPr>
                    <w:tcW w:w="714" w:type="pct"/>
                    <w:shd w:val="clear" w:color="auto" w:fill="auto"/>
                    <w:vAlign w:val="center"/>
                  </w:tcPr>
                  <w:p w14:paraId="5E7129F7"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非专利技术减值准备减少项目金额"/>
                <w:tag w:val="_GBC_622a25c623bd4d4597996470399d3fec"/>
                <w:id w:val="-271475640"/>
                <w:lock w:val="sdtLocked"/>
                <w:showingPlcHdr/>
              </w:sdtPr>
              <w:sdtEndPr/>
              <w:sdtContent>
                <w:tc>
                  <w:tcPr>
                    <w:tcW w:w="714" w:type="pct"/>
                    <w:shd w:val="clear" w:color="auto" w:fill="auto"/>
                    <w:vAlign w:val="center"/>
                  </w:tcPr>
                  <w:p w14:paraId="3663CD9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减值准备减少项目金额"/>
                <w:tag w:val="_GBC_ecce1bc844c84420aded1f54f86b612a"/>
                <w:id w:val="-817116979"/>
                <w:lock w:val="sdtLocked"/>
                <w:showingPlcHdr/>
              </w:sdtPr>
              <w:sdtEndPr/>
              <w:sdtContent>
                <w:tc>
                  <w:tcPr>
                    <w:tcW w:w="714" w:type="pct"/>
                    <w:shd w:val="clear" w:color="auto" w:fill="auto"/>
                    <w:vAlign w:val="center"/>
                  </w:tcPr>
                  <w:p w14:paraId="2DD2B9B4" w14:textId="77777777" w:rsidR="00D21C1F" w:rsidRPr="00016686" w:rsidRDefault="00D21C1F" w:rsidP="00016686">
                    <w:pPr>
                      <w:jc w:val="right"/>
                      <w:rPr>
                        <w:rFonts w:ascii="Times New Roman" w:hAnsi="Times New Roman" w:cs="Times New Roman"/>
                        <w:szCs w:val="21"/>
                      </w:rPr>
                    </w:pPr>
                  </w:p>
                </w:tc>
              </w:sdtContent>
            </w:sdt>
            <w:sdt>
              <w:sdtPr>
                <w:rPr>
                  <w:rFonts w:ascii="Times New Roman" w:hAnsi="Times New Roman" w:cs="Times New Roman"/>
                  <w:szCs w:val="21"/>
                </w:rPr>
                <w:alias w:val="无形资产减值准备减少项目金额"/>
                <w:tag w:val="_GBC_ecce1bc844c84420aded1f54f86b612a"/>
                <w:id w:val="-981308426"/>
                <w:lock w:val="sdtLocked"/>
                <w:showingPlcHdr/>
              </w:sdtPr>
              <w:sdtEndPr/>
              <w:sdtContent>
                <w:tc>
                  <w:tcPr>
                    <w:tcW w:w="714" w:type="pct"/>
                    <w:shd w:val="clear" w:color="auto" w:fill="auto"/>
                    <w:vAlign w:val="center"/>
                  </w:tcPr>
                  <w:p w14:paraId="082AE970"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sdt>
              <w:sdtPr>
                <w:rPr>
                  <w:rFonts w:ascii="Times New Roman" w:hAnsi="Times New Roman" w:cs="Times New Roman"/>
                  <w:szCs w:val="21"/>
                </w:rPr>
                <w:alias w:val="无形资产减值准备减少项目合计金额"/>
                <w:tag w:val="_GBC_af92ed28d10c4c6ea5a7119a7ab5bcd4"/>
                <w:id w:val="428704199"/>
                <w:lock w:val="sdtLocked"/>
                <w:showingPlcHdr/>
              </w:sdtPr>
              <w:sdtEndPr/>
              <w:sdtContent>
                <w:tc>
                  <w:tcPr>
                    <w:tcW w:w="714" w:type="pct"/>
                    <w:shd w:val="clear" w:color="auto" w:fill="auto"/>
                    <w:vAlign w:val="center"/>
                  </w:tcPr>
                  <w:p w14:paraId="714A264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szCs w:val="21"/>
                      </w:rPr>
                      <w:t xml:space="preserve">     </w:t>
                    </w:r>
                  </w:p>
                </w:tc>
              </w:sdtContent>
            </w:sdt>
          </w:tr>
          <w:tr w:rsidR="00D21C1F" w:rsidRPr="00016686" w14:paraId="45D1205C" w14:textId="77777777" w:rsidTr="00016686">
            <w:trPr>
              <w:trHeight w:val="284"/>
            </w:trPr>
            <w:sdt>
              <w:sdtPr>
                <w:rPr>
                  <w:rFonts w:ascii="Times New Roman" w:hAnsi="Times New Roman" w:cs="Times New Roman"/>
                </w:rPr>
                <w:tag w:val="_PLD_4a919606beac465fb30f547b86305b00"/>
                <w:id w:val="-10459207"/>
                <w:lock w:val="sdtLocked"/>
              </w:sdtPr>
              <w:sdtEndPr/>
              <w:sdtContent>
                <w:tc>
                  <w:tcPr>
                    <w:tcW w:w="714" w:type="pct"/>
                    <w:shd w:val="clear" w:color="auto" w:fill="auto"/>
                    <w:vAlign w:val="center"/>
                  </w:tcPr>
                  <w:p w14:paraId="5E8EB990" w14:textId="77777777" w:rsidR="00D21C1F" w:rsidRPr="00016686" w:rsidRDefault="00A42880">
                    <w:pPr>
                      <w:ind w:firstLineChars="200" w:firstLine="420"/>
                      <w:rPr>
                        <w:rFonts w:ascii="Times New Roman" w:hAnsi="Times New Roman" w:cs="Times New Roman"/>
                        <w:szCs w:val="21"/>
                      </w:rPr>
                    </w:pPr>
                    <w:r w:rsidRPr="00016686">
                      <w:rPr>
                        <w:rFonts w:ascii="Times New Roman" w:hAnsi="Times New Roman" w:cs="Times New Roman"/>
                        <w:szCs w:val="21"/>
                      </w:rPr>
                      <w:t>4.</w:t>
                    </w:r>
                    <w:r w:rsidRPr="00016686">
                      <w:rPr>
                        <w:rFonts w:ascii="Times New Roman" w:hAnsi="Times New Roman" w:cs="Times New Roman"/>
                        <w:szCs w:val="21"/>
                      </w:rPr>
                      <w:t>期末余额</w:t>
                    </w:r>
                  </w:p>
                </w:tc>
              </w:sdtContent>
            </w:sdt>
            <w:tc>
              <w:tcPr>
                <w:tcW w:w="714" w:type="pct"/>
                <w:shd w:val="clear" w:color="auto" w:fill="auto"/>
                <w:vAlign w:val="center"/>
              </w:tcPr>
              <w:p w14:paraId="2471BEF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3AB750D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25A5E6E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68991E9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w:t>
                </w:r>
              </w:p>
            </w:tc>
            <w:tc>
              <w:tcPr>
                <w:tcW w:w="714" w:type="pct"/>
                <w:shd w:val="clear" w:color="auto" w:fill="auto"/>
                <w:vAlign w:val="center"/>
              </w:tcPr>
              <w:p w14:paraId="5537506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23,591,796.55</w:t>
                </w:r>
              </w:p>
            </w:tc>
            <w:tc>
              <w:tcPr>
                <w:tcW w:w="714" w:type="pct"/>
                <w:shd w:val="clear" w:color="auto" w:fill="auto"/>
                <w:vAlign w:val="center"/>
              </w:tcPr>
              <w:p w14:paraId="46159A66"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23,591,796.55</w:t>
                </w:r>
              </w:p>
            </w:tc>
          </w:tr>
          <w:tr w:rsidR="00D21C1F" w:rsidRPr="00016686" w14:paraId="447B0E00" w14:textId="77777777" w:rsidTr="00016686">
            <w:trPr>
              <w:trHeight w:val="284"/>
            </w:trPr>
            <w:sdt>
              <w:sdtPr>
                <w:rPr>
                  <w:rFonts w:ascii="Times New Roman" w:hAnsi="Times New Roman" w:cs="Times New Roman"/>
                </w:rPr>
                <w:tag w:val="_PLD_77aceef1b70d43c0846f7e8f529b7784"/>
                <w:id w:val="-2031567517"/>
                <w:lock w:val="sdtLocked"/>
              </w:sdtPr>
              <w:sdtEndPr/>
              <w:sdtContent>
                <w:tc>
                  <w:tcPr>
                    <w:tcW w:w="714" w:type="pct"/>
                    <w:shd w:val="clear" w:color="auto" w:fill="auto"/>
                    <w:vAlign w:val="center"/>
                  </w:tcPr>
                  <w:p w14:paraId="02D33315"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四、账面价值</w:t>
                    </w:r>
                  </w:p>
                </w:tc>
              </w:sdtContent>
            </w:sdt>
            <w:tc>
              <w:tcPr>
                <w:tcW w:w="714" w:type="pct"/>
                <w:shd w:val="clear" w:color="auto" w:fill="auto"/>
                <w:vAlign w:val="center"/>
              </w:tcPr>
              <w:p w14:paraId="7B5B4EF1"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78F07B18"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3CAF4F1D"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2C7AEE11"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030BD68D" w14:textId="77777777" w:rsidR="00D21C1F" w:rsidRPr="00016686" w:rsidRDefault="00D21C1F" w:rsidP="00016686">
                <w:pPr>
                  <w:jc w:val="right"/>
                  <w:rPr>
                    <w:rFonts w:ascii="Times New Roman" w:hAnsi="Times New Roman" w:cs="Times New Roman"/>
                    <w:szCs w:val="21"/>
                  </w:rPr>
                </w:pPr>
              </w:p>
            </w:tc>
            <w:tc>
              <w:tcPr>
                <w:tcW w:w="714" w:type="pct"/>
                <w:shd w:val="clear" w:color="auto" w:fill="auto"/>
                <w:vAlign w:val="center"/>
              </w:tcPr>
              <w:p w14:paraId="78328090" w14:textId="77777777" w:rsidR="00D21C1F" w:rsidRPr="00016686" w:rsidRDefault="00D21C1F" w:rsidP="00016686">
                <w:pPr>
                  <w:jc w:val="right"/>
                  <w:rPr>
                    <w:rFonts w:ascii="Times New Roman" w:hAnsi="Times New Roman" w:cs="Times New Roman"/>
                    <w:szCs w:val="21"/>
                  </w:rPr>
                </w:pPr>
              </w:p>
            </w:tc>
          </w:tr>
          <w:tr w:rsidR="00D21C1F" w:rsidRPr="00016686" w14:paraId="6C39492E" w14:textId="77777777" w:rsidTr="00016686">
            <w:trPr>
              <w:trHeight w:val="284"/>
            </w:trPr>
            <w:sdt>
              <w:sdtPr>
                <w:rPr>
                  <w:rFonts w:ascii="Times New Roman" w:hAnsi="Times New Roman" w:cs="Times New Roman"/>
                </w:rPr>
                <w:tag w:val="_PLD_7b3cabd4024540c8bf9dc83469ecf7d4"/>
                <w:id w:val="-232552668"/>
                <w:lock w:val="sdtLocked"/>
              </w:sdtPr>
              <w:sdtEndPr/>
              <w:sdtContent>
                <w:tc>
                  <w:tcPr>
                    <w:tcW w:w="714" w:type="pct"/>
                    <w:shd w:val="clear" w:color="auto" w:fill="auto"/>
                    <w:vAlign w:val="center"/>
                  </w:tcPr>
                  <w:p w14:paraId="3FD4DFF4"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1.</w:t>
                    </w:r>
                    <w:r w:rsidRPr="00016686">
                      <w:rPr>
                        <w:rFonts w:ascii="Times New Roman" w:hAnsi="Times New Roman" w:cs="Times New Roman"/>
                        <w:szCs w:val="21"/>
                      </w:rPr>
                      <w:t>期末账面价值</w:t>
                    </w:r>
                  </w:p>
                </w:tc>
              </w:sdtContent>
            </w:sdt>
            <w:tc>
              <w:tcPr>
                <w:tcW w:w="714" w:type="pct"/>
                <w:shd w:val="clear" w:color="auto" w:fill="auto"/>
                <w:vAlign w:val="center"/>
              </w:tcPr>
              <w:p w14:paraId="64A0783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31,135,689.70</w:t>
                </w:r>
              </w:p>
            </w:tc>
            <w:tc>
              <w:tcPr>
                <w:tcW w:w="714" w:type="pct"/>
                <w:shd w:val="clear" w:color="auto" w:fill="auto"/>
                <w:vAlign w:val="center"/>
              </w:tcPr>
              <w:p w14:paraId="7B2FE6DC"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11,112,447.62</w:t>
                </w:r>
              </w:p>
            </w:tc>
            <w:tc>
              <w:tcPr>
                <w:tcW w:w="714" w:type="pct"/>
                <w:shd w:val="clear" w:color="auto" w:fill="auto"/>
                <w:vAlign w:val="center"/>
              </w:tcPr>
              <w:p w14:paraId="77B877C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30,960,168.86</w:t>
                </w:r>
              </w:p>
            </w:tc>
            <w:tc>
              <w:tcPr>
                <w:tcW w:w="714" w:type="pct"/>
                <w:shd w:val="clear" w:color="auto" w:fill="auto"/>
                <w:vAlign w:val="center"/>
              </w:tcPr>
              <w:p w14:paraId="7AD943FF"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15,598,750.59</w:t>
                </w:r>
              </w:p>
            </w:tc>
            <w:tc>
              <w:tcPr>
                <w:tcW w:w="714" w:type="pct"/>
                <w:shd w:val="clear" w:color="auto" w:fill="auto"/>
                <w:vAlign w:val="center"/>
              </w:tcPr>
              <w:p w14:paraId="7C127AF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150,573,969.92</w:t>
                </w:r>
              </w:p>
            </w:tc>
            <w:tc>
              <w:tcPr>
                <w:tcW w:w="714" w:type="pct"/>
                <w:shd w:val="clear" w:color="auto" w:fill="auto"/>
                <w:vAlign w:val="center"/>
              </w:tcPr>
              <w:p w14:paraId="6C03E37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239,381,026.69</w:t>
                </w:r>
              </w:p>
            </w:tc>
          </w:tr>
          <w:tr w:rsidR="00D21C1F" w:rsidRPr="00016686" w14:paraId="680B9B7D" w14:textId="77777777" w:rsidTr="00016686">
            <w:trPr>
              <w:trHeight w:val="284"/>
            </w:trPr>
            <w:sdt>
              <w:sdtPr>
                <w:rPr>
                  <w:rFonts w:ascii="Times New Roman" w:hAnsi="Times New Roman" w:cs="Times New Roman"/>
                </w:rPr>
                <w:tag w:val="_PLD_04cb9e53cf0d4d8b83570453ac161e64"/>
                <w:id w:val="-1056006477"/>
                <w:lock w:val="sdtLocked"/>
              </w:sdtPr>
              <w:sdtEndPr/>
              <w:sdtContent>
                <w:tc>
                  <w:tcPr>
                    <w:tcW w:w="714" w:type="pct"/>
                    <w:shd w:val="clear" w:color="auto" w:fill="auto"/>
                    <w:vAlign w:val="center"/>
                  </w:tcPr>
                  <w:p w14:paraId="6CB94F89" w14:textId="77777777" w:rsidR="00D21C1F" w:rsidRPr="00016686" w:rsidRDefault="00A42880">
                    <w:pPr>
                      <w:rPr>
                        <w:rFonts w:ascii="Times New Roman" w:hAnsi="Times New Roman" w:cs="Times New Roman"/>
                        <w:szCs w:val="21"/>
                      </w:rPr>
                    </w:pPr>
                    <w:r w:rsidRPr="00016686">
                      <w:rPr>
                        <w:rFonts w:ascii="Times New Roman" w:hAnsi="Times New Roman" w:cs="Times New Roman"/>
                        <w:szCs w:val="21"/>
                      </w:rPr>
                      <w:t>2.</w:t>
                    </w:r>
                    <w:r w:rsidRPr="00016686">
                      <w:rPr>
                        <w:rFonts w:ascii="Times New Roman" w:hAnsi="Times New Roman" w:cs="Times New Roman"/>
                        <w:szCs w:val="21"/>
                      </w:rPr>
                      <w:t>期初账面价值</w:t>
                    </w:r>
                  </w:p>
                </w:tc>
              </w:sdtContent>
            </w:sdt>
            <w:tc>
              <w:tcPr>
                <w:tcW w:w="714" w:type="pct"/>
                <w:shd w:val="clear" w:color="auto" w:fill="auto"/>
                <w:vAlign w:val="center"/>
              </w:tcPr>
              <w:p w14:paraId="1C2D354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31,481,539.03</w:t>
                </w:r>
              </w:p>
            </w:tc>
            <w:tc>
              <w:tcPr>
                <w:tcW w:w="714" w:type="pct"/>
                <w:shd w:val="clear" w:color="auto" w:fill="auto"/>
                <w:vAlign w:val="center"/>
              </w:tcPr>
              <w:p w14:paraId="0D61BE09"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10,526,446.01</w:t>
                </w:r>
              </w:p>
            </w:tc>
            <w:tc>
              <w:tcPr>
                <w:tcW w:w="714" w:type="pct"/>
                <w:shd w:val="clear" w:color="auto" w:fill="auto"/>
                <w:vAlign w:val="center"/>
              </w:tcPr>
              <w:p w14:paraId="79C41F8E"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38,241,809.20</w:t>
                </w:r>
              </w:p>
            </w:tc>
            <w:tc>
              <w:tcPr>
                <w:tcW w:w="714" w:type="pct"/>
                <w:shd w:val="clear" w:color="auto" w:fill="auto"/>
                <w:vAlign w:val="center"/>
              </w:tcPr>
              <w:p w14:paraId="73FB84F1"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16,382,739.83</w:t>
                </w:r>
              </w:p>
            </w:tc>
            <w:tc>
              <w:tcPr>
                <w:tcW w:w="714" w:type="pct"/>
                <w:shd w:val="clear" w:color="auto" w:fill="auto"/>
                <w:vAlign w:val="center"/>
              </w:tcPr>
              <w:p w14:paraId="13280338"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162,982,200.71</w:t>
                </w:r>
              </w:p>
            </w:tc>
            <w:tc>
              <w:tcPr>
                <w:tcW w:w="714" w:type="pct"/>
                <w:shd w:val="clear" w:color="auto" w:fill="auto"/>
                <w:vAlign w:val="center"/>
              </w:tcPr>
              <w:p w14:paraId="011043F4" w14:textId="77777777" w:rsidR="00D21C1F" w:rsidRPr="00016686" w:rsidRDefault="00A42880" w:rsidP="00016686">
                <w:pPr>
                  <w:jc w:val="right"/>
                  <w:rPr>
                    <w:rFonts w:ascii="Times New Roman" w:hAnsi="Times New Roman" w:cs="Times New Roman"/>
                    <w:szCs w:val="21"/>
                  </w:rPr>
                </w:pPr>
                <w:r w:rsidRPr="00016686">
                  <w:rPr>
                    <w:rFonts w:ascii="Times New Roman" w:hAnsi="Times New Roman" w:cs="Times New Roman"/>
                  </w:rPr>
                  <w:t>259,614,734.78</w:t>
                </w:r>
              </w:p>
            </w:tc>
          </w:tr>
        </w:tbl>
        <w:p w14:paraId="2058FEED" w14:textId="77777777" w:rsidR="00D21C1F" w:rsidRPr="00016686" w:rsidRDefault="00A42880">
          <w:pPr>
            <w:snapToGrid w:val="0"/>
            <w:spacing w:line="240" w:lineRule="atLeast"/>
            <w:rPr>
              <w:rFonts w:ascii="Times New Roman" w:hAnsi="Times New Roman" w:cs="Times New Roman"/>
              <w:szCs w:val="21"/>
            </w:rPr>
          </w:pPr>
          <w:r w:rsidRPr="00016686">
            <w:rPr>
              <w:rFonts w:ascii="Times New Roman" w:hAnsi="Times New Roman" w:cs="Times New Roman"/>
              <w:szCs w:val="21"/>
            </w:rPr>
            <w:t>本期末通过公司内部研发形成的无形资产占无形资产余额的比例</w:t>
          </w:r>
          <w:sdt>
            <w:sdtPr>
              <w:rPr>
                <w:rFonts w:ascii="Times New Roman" w:hAnsi="Times New Roman" w:cs="Times New Roman"/>
                <w:szCs w:val="21"/>
              </w:rPr>
              <w:alias w:val="通过公司内部研发形成的无形资产占无形资产账面价值的比例"/>
              <w:tag w:val="_GBC_4eb0f3140a674bd1899e2bd836d51bbb"/>
              <w:id w:val="-1719197218"/>
              <w:lock w:val="sdtLocked"/>
              <w:placeholder>
                <w:docPart w:val="GBC22222222222222222222222222222"/>
              </w:placeholder>
            </w:sdtPr>
            <w:sdtEndPr/>
            <w:sdtContent>
              <w:r w:rsidRPr="00016686">
                <w:rPr>
                  <w:rFonts w:ascii="Times New Roman" w:hAnsi="Times New Roman" w:cs="Times New Roman"/>
                  <w:szCs w:val="21"/>
                </w:rPr>
                <w:t>0</w:t>
              </w:r>
            </w:sdtContent>
          </w:sdt>
          <w:r w:rsidRPr="00016686">
            <w:rPr>
              <w:rFonts w:ascii="Times New Roman" w:hAnsi="Times New Roman" w:cs="Times New Roman"/>
              <w:szCs w:val="21"/>
            </w:rPr>
            <w:t>%</w:t>
          </w:r>
        </w:p>
        <w:p w14:paraId="11389A59" w14:textId="77777777" w:rsidR="00D21C1F" w:rsidRDefault="00045EC6">
          <w:pPr>
            <w:snapToGrid w:val="0"/>
            <w:spacing w:line="240" w:lineRule="atLeast"/>
            <w:rPr>
              <w:szCs w:val="21"/>
            </w:rPr>
          </w:pPr>
        </w:p>
      </w:sdtContent>
    </w:sdt>
    <w:sdt>
      <w:sdtPr>
        <w:rPr>
          <w:rFonts w:ascii="宋体" w:eastAsia="宋体" w:hAnsi="宋体" w:cs="宋体" w:hint="eastAsia"/>
          <w:b w:val="0"/>
          <w:bCs w:val="0"/>
          <w:kern w:val="0"/>
          <w:szCs w:val="21"/>
        </w:rPr>
        <w:alias w:val="模块:未办妥产权证书的土地使用权情况："/>
        <w:tag w:val="_GBC_0daf5d1e7172402ab885ca5e5b78a389"/>
        <w:id w:val="-108198279"/>
        <w:lock w:val="sdtLocked"/>
        <w:placeholder>
          <w:docPart w:val="GBC22222222222222222222222222222"/>
        </w:placeholder>
      </w:sdtPr>
      <w:sdtEndPr/>
      <w:sdtContent>
        <w:p w14:paraId="4386106A" w14:textId="77777777" w:rsidR="00D21C1F" w:rsidRDefault="00A42880">
          <w:pPr>
            <w:pStyle w:val="93"/>
            <w:numPr>
              <w:ilvl w:val="0"/>
              <w:numId w:val="110"/>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995331236"/>
            <w:lock w:val="sdtLocked"/>
            <w:placeholder>
              <w:docPart w:val="GBC22222222222222222222222222222"/>
            </w:placeholder>
          </w:sdtPr>
          <w:sdtEndPr/>
          <w:sdtContent>
            <w:p w14:paraId="0930824F"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szCs w:val="21"/>
        </w:rPr>
        <w:alias w:val="模块:无形资产说明"/>
        <w:tag w:val="_GBC_c2d02a8bb1274cb1bf0330030cc64229"/>
        <w:id w:val="-1627301128"/>
        <w:lock w:val="sdtLocked"/>
        <w:placeholder>
          <w:docPart w:val="GBC22222222222222222222222222222"/>
        </w:placeholder>
      </w:sdtPr>
      <w:sdtEndPr/>
      <w:sdtContent>
        <w:p w14:paraId="2503D556" w14:textId="77777777" w:rsidR="00D21C1F" w:rsidRDefault="00A42880">
          <w:pPr>
            <w:rPr>
              <w:szCs w:val="21"/>
            </w:rPr>
          </w:pPr>
          <w:r>
            <w:rPr>
              <w:rFonts w:hint="eastAsia"/>
              <w:szCs w:val="21"/>
            </w:rPr>
            <w:t>其他说明：</w:t>
          </w:r>
        </w:p>
        <w:sdt>
          <w:sdtPr>
            <w:rPr>
              <w:szCs w:val="21"/>
            </w:rPr>
            <w:alias w:val="是否适用：无形资产的说明[双击切换]"/>
            <w:tag w:val="_GBC_dc3c687f3c2c457e9024304c14129458"/>
            <w:id w:val="-1445541958"/>
            <w:lock w:val="sdtLocked"/>
            <w:placeholder>
              <w:docPart w:val="GBC22222222222222222222222222222"/>
            </w:placeholder>
          </w:sdtPr>
          <w:sdtEndPr/>
          <w:sdtContent>
            <w:p w14:paraId="1F1C0668"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2E862C" w14:textId="77777777" w:rsidR="00D21C1F" w:rsidRDefault="00D21C1F">
          <w:pPr>
            <w:snapToGrid w:val="0"/>
            <w:spacing w:line="240" w:lineRule="atLeast"/>
            <w:rPr>
              <w:szCs w:val="21"/>
            </w:rPr>
            <w:sectPr w:rsidR="00D21C1F">
              <w:pgSz w:w="16838" w:h="11906" w:orient="landscape"/>
              <w:pgMar w:top="1797" w:right="1525" w:bottom="1276" w:left="1440" w:header="856" w:footer="992" w:gutter="0"/>
              <w:cols w:space="425"/>
              <w:docGrid w:linePitch="312"/>
            </w:sectPr>
          </w:pPr>
        </w:p>
        <w:p w14:paraId="40DDF6EA" w14:textId="77777777" w:rsidR="00D21C1F" w:rsidRDefault="00045EC6">
          <w:pPr>
            <w:snapToGrid w:val="0"/>
            <w:spacing w:line="240" w:lineRule="atLeast"/>
            <w:rPr>
              <w:szCs w:val="21"/>
            </w:rPr>
          </w:pPr>
        </w:p>
      </w:sdtContent>
    </w:sdt>
    <w:sdt>
      <w:sdtPr>
        <w:rPr>
          <w:rFonts w:ascii="宋体" w:eastAsia="宋体" w:hAnsi="宋体" w:cs="宋体" w:hint="eastAsia"/>
          <w:b w:val="0"/>
          <w:bCs w:val="0"/>
          <w:kern w:val="0"/>
          <w:szCs w:val="21"/>
        </w:rPr>
        <w:alias w:val="模块:公司开发项目支出"/>
        <w:tag w:val="_GBC_41dea900f659431692960536981b1d8d"/>
        <w:id w:val="1846127042"/>
        <w:lock w:val="sdtLocked"/>
        <w:placeholder>
          <w:docPart w:val="GBC22222222222222222222222222222"/>
        </w:placeholder>
      </w:sdtPr>
      <w:sdtEndPr>
        <w:rPr>
          <w:rFonts w:cstheme="minorBidi" w:hint="default"/>
          <w:kern w:val="2"/>
        </w:rPr>
      </w:sdtEndPr>
      <w:sdtContent>
        <w:p w14:paraId="1E5639F0" w14:textId="77777777" w:rsidR="00D21C1F" w:rsidRDefault="00A42880">
          <w:pPr>
            <w:pStyle w:val="94"/>
            <w:numPr>
              <w:ilvl w:val="0"/>
              <w:numId w:val="95"/>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685800034"/>
            <w:lock w:val="sdtLocked"/>
            <w:placeholder>
              <w:docPart w:val="GBC22222222222222222222222222222"/>
            </w:placeholder>
          </w:sdtPr>
          <w:sdtEndPr/>
          <w:sdtContent>
            <w:p w14:paraId="6CF9783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86A403" w14:textId="77777777" w:rsidR="00D21C1F" w:rsidRDefault="00045EC6">
          <w:pPr>
            <w:snapToGrid w:val="0"/>
            <w:spacing w:line="240" w:lineRule="atLeast"/>
            <w:rPr>
              <w:szCs w:val="21"/>
            </w:rPr>
          </w:pPr>
        </w:p>
      </w:sdtContent>
    </w:sdt>
    <w:p w14:paraId="7D4ED7A2"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商誉</w:t>
      </w:r>
    </w:p>
    <w:sdt>
      <w:sdtPr>
        <w:rPr>
          <w:rFonts w:ascii="Times New Roman" w:hAnsi="Times New Roman" w:cs="宋体"/>
          <w:b w:val="0"/>
          <w:bCs w:val="0"/>
          <w:kern w:val="0"/>
          <w:szCs w:val="24"/>
        </w:rPr>
        <w:alias w:val="模块:商誉账面原值"/>
        <w:tag w:val="_SEC_0d13253f4b004ecdaea8960cfb92cf26"/>
        <w:id w:val="-1381859823"/>
        <w:lock w:val="sdtLocked"/>
        <w:placeholder>
          <w:docPart w:val="GBC22222222222222222222222222222"/>
        </w:placeholder>
      </w:sdtPr>
      <w:sdtEndPr/>
      <w:sdtContent>
        <w:p w14:paraId="54B36C2B" w14:textId="77777777" w:rsidR="00D21C1F" w:rsidRPr="00016686" w:rsidRDefault="00A42880">
          <w:pPr>
            <w:pStyle w:val="93"/>
            <w:numPr>
              <w:ilvl w:val="0"/>
              <w:numId w:val="111"/>
            </w:numPr>
            <w:tabs>
              <w:tab w:val="left" w:pos="588"/>
            </w:tabs>
            <w:rPr>
              <w:rFonts w:ascii="Times New Roman" w:hAnsi="Times New Roman"/>
            </w:rPr>
          </w:pPr>
          <w:r w:rsidRPr="00016686">
            <w:rPr>
              <w:rFonts w:ascii="Times New Roman" w:hAnsi="Times New Roman"/>
            </w:rPr>
            <w:t>商誉账面原值</w:t>
          </w:r>
        </w:p>
        <w:sdt>
          <w:sdtPr>
            <w:rPr>
              <w:rFonts w:ascii="Times New Roman" w:hAnsi="Times New Roman" w:cs="Times New Roman"/>
            </w:rPr>
            <w:alias w:val="是否适用：商誉账面原值[双击切换]"/>
            <w:tag w:val="_GBC_e2a869d440cf4b7f9f592f3e22cea85d"/>
            <w:id w:val="-436985921"/>
            <w:lock w:val="sdtLocked"/>
            <w:placeholder>
              <w:docPart w:val="GBC22222222222222222222222222222"/>
            </w:placeholder>
          </w:sdtPr>
          <w:sdtEndPr/>
          <w:sdtContent>
            <w:p w14:paraId="02499374" w14:textId="77777777" w:rsidR="00D21C1F" w:rsidRPr="00016686" w:rsidRDefault="00A42880">
              <w:pPr>
                <w:pStyle w:val="97"/>
                <w:rPr>
                  <w:rFonts w:ascii="Times New Roman" w:hAnsi="Times New Roman" w:cs="Times New Roman"/>
                </w:rPr>
              </w:pPr>
              <w:r w:rsidRPr="00016686">
                <w:rPr>
                  <w:rFonts w:ascii="Times New Roman" w:hAnsi="Times New Roman" w:cs="Times New Roman"/>
                </w:rPr>
                <w:fldChar w:fldCharType="begin"/>
              </w:r>
              <w:r w:rsidRPr="00016686">
                <w:rPr>
                  <w:rFonts w:ascii="Times New Roman" w:hAnsi="Times New Roman" w:cs="Times New Roman"/>
                </w:rPr>
                <w:instrText xml:space="preserve"> MACROBUTTON  SnrToggleCheckbox √</w:instrText>
              </w:r>
              <w:r w:rsidRPr="00016686">
                <w:rPr>
                  <w:rFonts w:ascii="Times New Roman" w:hAnsi="Times New Roman" w:cs="Times New Roman"/>
                </w:rPr>
                <w:instrText>适用</w:instrText>
              </w:r>
              <w:r w:rsidRPr="00016686">
                <w:rPr>
                  <w:rFonts w:ascii="Times New Roman" w:hAnsi="Times New Roman" w:cs="Times New Roman"/>
                </w:rPr>
                <w:instrText xml:space="preserve"> </w:instrText>
              </w:r>
              <w:r w:rsidRPr="00016686">
                <w:rPr>
                  <w:rFonts w:ascii="Times New Roman" w:hAnsi="Times New Roman" w:cs="Times New Roman"/>
                </w:rPr>
                <w:fldChar w:fldCharType="end"/>
              </w:r>
              <w:r w:rsidRPr="00016686">
                <w:rPr>
                  <w:rFonts w:ascii="Times New Roman" w:hAnsi="Times New Roman" w:cs="Times New Roman"/>
                </w:rPr>
                <w:fldChar w:fldCharType="begin"/>
              </w:r>
              <w:r w:rsidRPr="00016686">
                <w:rPr>
                  <w:rFonts w:ascii="Times New Roman" w:hAnsi="Times New Roman" w:cs="Times New Roman"/>
                </w:rPr>
                <w:instrText xml:space="preserve"> MACROBUTTON  SnrToggleCheckbox □</w:instrText>
              </w:r>
              <w:r w:rsidRPr="00016686">
                <w:rPr>
                  <w:rFonts w:ascii="Times New Roman" w:hAnsi="Times New Roman" w:cs="Times New Roman"/>
                </w:rPr>
                <w:instrText>不适用</w:instrText>
              </w:r>
              <w:r w:rsidRPr="00016686">
                <w:rPr>
                  <w:rFonts w:ascii="Times New Roman" w:hAnsi="Times New Roman" w:cs="Times New Roman"/>
                </w:rPr>
                <w:instrText xml:space="preserve"> </w:instrText>
              </w:r>
              <w:r w:rsidRPr="00016686">
                <w:rPr>
                  <w:rFonts w:ascii="Times New Roman" w:hAnsi="Times New Roman" w:cs="Times New Roman"/>
                </w:rPr>
                <w:fldChar w:fldCharType="end"/>
              </w:r>
            </w:p>
          </w:sdtContent>
        </w:sdt>
        <w:p w14:paraId="5BAA76D8" w14:textId="77777777" w:rsidR="00D21C1F" w:rsidRPr="00016686" w:rsidRDefault="00A42880">
          <w:pPr>
            <w:jc w:val="right"/>
            <w:rPr>
              <w:rFonts w:ascii="Times New Roman" w:hAnsi="Times New Roman" w:cs="Times New Roman"/>
              <w:szCs w:val="21"/>
            </w:rPr>
          </w:pPr>
          <w:r w:rsidRPr="00016686">
            <w:rPr>
              <w:rFonts w:ascii="Times New Roman" w:hAnsi="Times New Roman" w:cs="Times New Roman"/>
              <w:szCs w:val="21"/>
            </w:rPr>
            <w:t>单位：</w:t>
          </w:r>
          <w:sdt>
            <w:sdtPr>
              <w:rPr>
                <w:rFonts w:ascii="Times New Roman" w:hAnsi="Times New Roman" w:cs="Times New Roman"/>
                <w:szCs w:val="21"/>
              </w:rPr>
              <w:alias w:val="单位：财务附注：商誉"/>
              <w:tag w:val="_GBC_4797b6084eb24fe79f24d181640f3283"/>
              <w:id w:val="11261267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016686">
                <w:rPr>
                  <w:rFonts w:ascii="Times New Roman" w:hAnsi="Times New Roman" w:cs="Times New Roman"/>
                  <w:szCs w:val="21"/>
                </w:rPr>
                <w:t>元</w:t>
              </w:r>
            </w:sdtContent>
          </w:sdt>
          <w:r w:rsidRPr="00016686">
            <w:rPr>
              <w:rFonts w:ascii="Times New Roman" w:hAnsi="Times New Roman" w:cs="Times New Roman"/>
              <w:szCs w:val="21"/>
            </w:rPr>
            <w:t>币种：</w:t>
          </w:r>
          <w:sdt>
            <w:sdtPr>
              <w:rPr>
                <w:rFonts w:ascii="Times New Roman" w:hAnsi="Times New Roman" w:cs="Times New Roman"/>
                <w:szCs w:val="21"/>
              </w:rPr>
              <w:alias w:val="币种：财务附注：商誉"/>
              <w:tag w:val="_GBC_7cd9149d9bea4da8974b80b14b1c0e44"/>
              <w:id w:val="1330173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016686">
                <w:rPr>
                  <w:rFonts w:ascii="Times New Roman" w:hAnsi="Times New Roman" w:cs="Times New Roman"/>
                  <w:szCs w:val="21"/>
                </w:rPr>
                <w:t>人民币</w:t>
              </w:r>
            </w:sdtContent>
          </w:sdt>
        </w:p>
        <w:tbl>
          <w:tblPr>
            <w:tblStyle w:val="88"/>
            <w:tblW w:w="505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750"/>
            <w:gridCol w:w="967"/>
            <w:gridCol w:w="971"/>
            <w:gridCol w:w="553"/>
            <w:gridCol w:w="1660"/>
            <w:gridCol w:w="1765"/>
          </w:tblGrid>
          <w:tr w:rsidR="00D21C1F" w:rsidRPr="00016686" w14:paraId="3876EDF0" w14:textId="77777777">
            <w:trPr>
              <w:trHeight w:val="284"/>
              <w:jc w:val="center"/>
            </w:trPr>
            <w:sdt>
              <w:sdtPr>
                <w:rPr>
                  <w:rFonts w:ascii="Times New Roman" w:hAnsi="Times New Roman" w:cs="Times New Roman"/>
                </w:rPr>
                <w:tag w:val="_PLD_b248be5460bf4bb299c4579815256238"/>
                <w:id w:val="-1873374874"/>
                <w:lock w:val="sdtLocked"/>
              </w:sdtPr>
              <w:sdtEndPr/>
              <w:sdtContent>
                <w:tc>
                  <w:tcPr>
                    <w:tcW w:w="705" w:type="pct"/>
                    <w:vMerge w:val="restart"/>
                    <w:shd w:val="clear" w:color="auto" w:fill="auto"/>
                    <w:vAlign w:val="center"/>
                  </w:tcPr>
                  <w:p w14:paraId="359E3508"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被投资单位名称或形成商誉的事项</w:t>
                    </w:r>
                  </w:p>
                </w:tc>
              </w:sdtContent>
            </w:sdt>
            <w:sdt>
              <w:sdtPr>
                <w:rPr>
                  <w:rFonts w:ascii="Times New Roman" w:hAnsi="Times New Roman" w:cs="Times New Roman"/>
                </w:rPr>
                <w:tag w:val="_PLD_a25f69a57b624da887f74ab27a20ba0b"/>
                <w:id w:val="1514568302"/>
                <w:lock w:val="sdtLocked"/>
              </w:sdtPr>
              <w:sdtEndPr/>
              <w:sdtContent>
                <w:tc>
                  <w:tcPr>
                    <w:tcW w:w="980" w:type="pct"/>
                    <w:vMerge w:val="restart"/>
                    <w:shd w:val="clear" w:color="auto" w:fill="auto"/>
                    <w:vAlign w:val="center"/>
                  </w:tcPr>
                  <w:p w14:paraId="1165485B"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期初余额</w:t>
                    </w:r>
                  </w:p>
                </w:tc>
              </w:sdtContent>
            </w:sdt>
            <w:sdt>
              <w:sdtPr>
                <w:rPr>
                  <w:rFonts w:ascii="Times New Roman" w:hAnsi="Times New Roman" w:cs="Times New Roman"/>
                </w:rPr>
                <w:tag w:val="_PLD_c348d952dc8b438289897d2014b7d310"/>
                <w:id w:val="830639101"/>
                <w:lock w:val="sdtLocked"/>
              </w:sdtPr>
              <w:sdtEndPr/>
              <w:sdtContent>
                <w:tc>
                  <w:tcPr>
                    <w:tcW w:w="1086" w:type="pct"/>
                    <w:gridSpan w:val="2"/>
                    <w:shd w:val="clear" w:color="auto" w:fill="auto"/>
                    <w:vAlign w:val="center"/>
                  </w:tcPr>
                  <w:p w14:paraId="7595735E"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本期增加</w:t>
                    </w:r>
                  </w:p>
                </w:tc>
              </w:sdtContent>
            </w:sdt>
            <w:sdt>
              <w:sdtPr>
                <w:rPr>
                  <w:rFonts w:ascii="Times New Roman" w:hAnsi="Times New Roman" w:cs="Times New Roman"/>
                </w:rPr>
                <w:tag w:val="_PLD_5560c6ea7650430a8c304ee861d4bc25"/>
                <w:id w:val="-1059859457"/>
                <w:lock w:val="sdtLocked"/>
              </w:sdtPr>
              <w:sdtEndPr/>
              <w:sdtContent>
                <w:tc>
                  <w:tcPr>
                    <w:tcW w:w="1240" w:type="pct"/>
                    <w:gridSpan w:val="2"/>
                    <w:shd w:val="clear" w:color="auto" w:fill="auto"/>
                    <w:vAlign w:val="center"/>
                  </w:tcPr>
                  <w:p w14:paraId="0177D2B7"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本期减少</w:t>
                    </w:r>
                  </w:p>
                </w:tc>
              </w:sdtContent>
            </w:sdt>
            <w:sdt>
              <w:sdtPr>
                <w:rPr>
                  <w:rFonts w:ascii="Times New Roman" w:hAnsi="Times New Roman" w:cs="Times New Roman"/>
                </w:rPr>
                <w:tag w:val="_PLD_075635973edd4d94a997d2ed78e56d8b"/>
                <w:id w:val="1080867941"/>
                <w:lock w:val="sdtLocked"/>
              </w:sdtPr>
              <w:sdtEndPr/>
              <w:sdtContent>
                <w:tc>
                  <w:tcPr>
                    <w:tcW w:w="990" w:type="pct"/>
                    <w:vMerge w:val="restart"/>
                    <w:shd w:val="clear" w:color="auto" w:fill="auto"/>
                    <w:vAlign w:val="center"/>
                  </w:tcPr>
                  <w:p w14:paraId="6CDB69CE"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期末余额</w:t>
                    </w:r>
                  </w:p>
                </w:tc>
              </w:sdtContent>
            </w:sdt>
          </w:tr>
          <w:tr w:rsidR="00D21C1F" w:rsidRPr="00016686" w14:paraId="7C6E6066" w14:textId="77777777">
            <w:trPr>
              <w:trHeight w:val="535"/>
              <w:jc w:val="center"/>
            </w:trPr>
            <w:tc>
              <w:tcPr>
                <w:tcW w:w="705" w:type="pct"/>
                <w:vMerge/>
                <w:shd w:val="clear" w:color="auto" w:fill="auto"/>
              </w:tcPr>
              <w:p w14:paraId="4592D6FF" w14:textId="77777777" w:rsidR="00D21C1F" w:rsidRPr="00016686" w:rsidRDefault="00D21C1F">
                <w:pPr>
                  <w:autoSpaceDE w:val="0"/>
                  <w:autoSpaceDN w:val="0"/>
                  <w:adjustRightInd w:val="0"/>
                  <w:snapToGrid w:val="0"/>
                  <w:jc w:val="center"/>
                  <w:rPr>
                    <w:rFonts w:ascii="Times New Roman" w:hAnsi="Times New Roman" w:cs="Times New Roman"/>
                    <w:szCs w:val="21"/>
                  </w:rPr>
                </w:pPr>
              </w:p>
            </w:tc>
            <w:tc>
              <w:tcPr>
                <w:tcW w:w="980" w:type="pct"/>
                <w:vMerge/>
                <w:shd w:val="clear" w:color="auto" w:fill="auto"/>
              </w:tcPr>
              <w:p w14:paraId="2D4EC111" w14:textId="77777777" w:rsidR="00D21C1F" w:rsidRPr="00016686" w:rsidRDefault="00D21C1F">
                <w:pPr>
                  <w:autoSpaceDE w:val="0"/>
                  <w:autoSpaceDN w:val="0"/>
                  <w:adjustRightInd w:val="0"/>
                  <w:snapToGrid w:val="0"/>
                  <w:jc w:val="center"/>
                  <w:rPr>
                    <w:rFonts w:ascii="Times New Roman" w:hAnsi="Times New Roman" w:cs="Times New Roman"/>
                    <w:szCs w:val="21"/>
                  </w:rPr>
                </w:pPr>
              </w:p>
            </w:tc>
            <w:sdt>
              <w:sdtPr>
                <w:rPr>
                  <w:rFonts w:ascii="Times New Roman" w:hAnsi="Times New Roman" w:cs="Times New Roman"/>
                </w:rPr>
                <w:tag w:val="_PLD_1553ab7e041e4cd0bdd59c30d303dc84"/>
                <w:id w:val="-868757649"/>
                <w:lock w:val="sdtLocked"/>
              </w:sdtPr>
              <w:sdtEndPr/>
              <w:sdtContent>
                <w:tc>
                  <w:tcPr>
                    <w:tcW w:w="542" w:type="pct"/>
                    <w:shd w:val="clear" w:color="auto" w:fill="auto"/>
                    <w:vAlign w:val="center"/>
                  </w:tcPr>
                  <w:p w14:paraId="41516724"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企业合并形成的</w:t>
                    </w:r>
                  </w:p>
                </w:tc>
              </w:sdtContent>
            </w:sdt>
            <w:sdt>
              <w:sdtPr>
                <w:rPr>
                  <w:rFonts w:ascii="Times New Roman" w:hAnsi="Times New Roman" w:cs="Times New Roman"/>
                  <w:szCs w:val="21"/>
                </w:rPr>
                <w:alias w:val="商誉账面原值本期增加额项目名称"/>
                <w:tag w:val="_GBC_c14b754516e24efd9115d33500cd04df"/>
                <w:id w:val="1241138158"/>
                <w:lock w:val="sdtLocked"/>
              </w:sdtPr>
              <w:sdtEndPr/>
              <w:sdtContent>
                <w:tc>
                  <w:tcPr>
                    <w:tcW w:w="544" w:type="pct"/>
                    <w:shd w:val="clear" w:color="auto" w:fill="auto"/>
                    <w:vAlign w:val="center"/>
                  </w:tcPr>
                  <w:p w14:paraId="6AEEB23B"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汇率变动的影响</w:t>
                    </w:r>
                  </w:p>
                </w:tc>
              </w:sdtContent>
            </w:sdt>
            <w:sdt>
              <w:sdtPr>
                <w:rPr>
                  <w:rFonts w:ascii="Times New Roman" w:hAnsi="Times New Roman" w:cs="Times New Roman"/>
                </w:rPr>
                <w:tag w:val="_PLD_52f6eef41a0247f195c94af6823a4b67"/>
                <w:id w:val="1287777183"/>
                <w:lock w:val="sdtLocked"/>
              </w:sdtPr>
              <w:sdtEndPr/>
              <w:sdtContent>
                <w:tc>
                  <w:tcPr>
                    <w:tcW w:w="310" w:type="pct"/>
                    <w:shd w:val="clear" w:color="auto" w:fill="auto"/>
                    <w:vAlign w:val="center"/>
                  </w:tcPr>
                  <w:p w14:paraId="62387FB0"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处置</w:t>
                    </w:r>
                  </w:p>
                </w:tc>
              </w:sdtContent>
            </w:sdt>
            <w:sdt>
              <w:sdtPr>
                <w:rPr>
                  <w:rFonts w:ascii="Times New Roman" w:hAnsi="Times New Roman" w:cs="Times New Roman"/>
                  <w:szCs w:val="21"/>
                </w:rPr>
                <w:alias w:val="商誉账面原值本期减少额项目名称"/>
                <w:tag w:val="_GBC_5ba36aaca8144cb8979636970f4c6ae3"/>
                <w:id w:val="-1468575126"/>
                <w:lock w:val="sdtLocked"/>
              </w:sdtPr>
              <w:sdtEndPr/>
              <w:sdtContent>
                <w:tc>
                  <w:tcPr>
                    <w:tcW w:w="929" w:type="pct"/>
                    <w:shd w:val="clear" w:color="auto" w:fill="auto"/>
                    <w:vAlign w:val="center"/>
                  </w:tcPr>
                  <w:p w14:paraId="2C875F53"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汇率变动的影响</w:t>
                    </w:r>
                  </w:p>
                </w:tc>
              </w:sdtContent>
            </w:sdt>
            <w:tc>
              <w:tcPr>
                <w:tcW w:w="990" w:type="pct"/>
                <w:vMerge/>
                <w:shd w:val="clear" w:color="auto" w:fill="auto"/>
              </w:tcPr>
              <w:p w14:paraId="6060CB91" w14:textId="77777777" w:rsidR="00D21C1F" w:rsidRPr="00016686" w:rsidRDefault="00D21C1F">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明细"/>
              <w:tag w:val="_GBC_916c5c3712e44d7db6b8c9e16bcf5865"/>
              <w:id w:val="300045414"/>
              <w:lock w:val="sdtLocked"/>
            </w:sdtPr>
            <w:sdtEndPr/>
            <w:sdtContent>
              <w:tr w:rsidR="00D21C1F" w:rsidRPr="00016686" w14:paraId="092B1280" w14:textId="77777777">
                <w:trPr>
                  <w:trHeight w:val="338"/>
                  <w:jc w:val="center"/>
                </w:trPr>
                <w:tc>
                  <w:tcPr>
                    <w:tcW w:w="705" w:type="pct"/>
                    <w:shd w:val="clear" w:color="auto" w:fill="auto"/>
                  </w:tcPr>
                  <w:p w14:paraId="31752A62" w14:textId="77777777" w:rsidR="00D21C1F" w:rsidRPr="00016686" w:rsidRDefault="00A42880">
                    <w:pPr>
                      <w:autoSpaceDE w:val="0"/>
                      <w:autoSpaceDN w:val="0"/>
                      <w:adjustRightInd w:val="0"/>
                      <w:snapToGrid w:val="0"/>
                      <w:jc w:val="both"/>
                      <w:rPr>
                        <w:rFonts w:ascii="Times New Roman" w:hAnsi="Times New Roman" w:cs="Times New Roman"/>
                        <w:szCs w:val="21"/>
                      </w:rPr>
                    </w:pPr>
                    <w:r w:rsidRPr="00016686">
                      <w:rPr>
                        <w:rFonts w:ascii="Times New Roman" w:hAnsi="Times New Roman" w:cs="Times New Roman"/>
                      </w:rPr>
                      <w:t>CMA</w:t>
                    </w:r>
                  </w:p>
                </w:tc>
                <w:tc>
                  <w:tcPr>
                    <w:tcW w:w="980" w:type="pct"/>
                    <w:shd w:val="clear" w:color="auto" w:fill="auto"/>
                    <w:vAlign w:val="bottom"/>
                  </w:tcPr>
                  <w:p w14:paraId="76E7B8DB"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13,364,221.79</w:t>
                    </w:r>
                  </w:p>
                </w:tc>
                <w:tc>
                  <w:tcPr>
                    <w:tcW w:w="542" w:type="pct"/>
                    <w:shd w:val="clear" w:color="auto" w:fill="auto"/>
                    <w:vAlign w:val="bottom"/>
                  </w:tcPr>
                  <w:p w14:paraId="32AB9FCC"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szCs w:val="21"/>
                      </w:rPr>
                      <w:t>-</w:t>
                    </w:r>
                  </w:p>
                </w:tc>
                <w:tc>
                  <w:tcPr>
                    <w:tcW w:w="544" w:type="pct"/>
                    <w:shd w:val="clear" w:color="auto" w:fill="auto"/>
                    <w:vAlign w:val="bottom"/>
                  </w:tcPr>
                  <w:p w14:paraId="7D1E20DC"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szCs w:val="21"/>
                      </w:rPr>
                      <w:t>-</w:t>
                    </w:r>
                  </w:p>
                </w:tc>
                <w:tc>
                  <w:tcPr>
                    <w:tcW w:w="310" w:type="pct"/>
                    <w:shd w:val="clear" w:color="auto" w:fill="auto"/>
                    <w:vAlign w:val="bottom"/>
                  </w:tcPr>
                  <w:p w14:paraId="07DF8A44"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szCs w:val="21"/>
                      </w:rPr>
                      <w:t>-</w:t>
                    </w:r>
                  </w:p>
                </w:tc>
                <w:tc>
                  <w:tcPr>
                    <w:tcW w:w="929" w:type="pct"/>
                    <w:shd w:val="clear" w:color="auto" w:fill="auto"/>
                    <w:vAlign w:val="bottom"/>
                  </w:tcPr>
                  <w:p w14:paraId="25C80D60"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315,857.50</w:t>
                    </w:r>
                  </w:p>
                </w:tc>
                <w:tc>
                  <w:tcPr>
                    <w:tcW w:w="990" w:type="pct"/>
                    <w:shd w:val="clear" w:color="auto" w:fill="auto"/>
                    <w:vAlign w:val="bottom"/>
                  </w:tcPr>
                  <w:p w14:paraId="06B5D7F9"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13,048,364.29</w:t>
                    </w:r>
                  </w:p>
                </w:tc>
              </w:tr>
            </w:sdtContent>
          </w:sdt>
          <w:sdt>
            <w:sdtPr>
              <w:rPr>
                <w:rFonts w:ascii="Times New Roman" w:hAnsi="Times New Roman" w:cs="Times New Roman"/>
                <w:szCs w:val="21"/>
              </w:rPr>
              <w:alias w:val="商誉明细"/>
              <w:tag w:val="_GBC_916c5c3712e44d7db6b8c9e16bcf5865"/>
              <w:id w:val="771669102"/>
              <w:lock w:val="sdtLocked"/>
            </w:sdtPr>
            <w:sdtEndPr/>
            <w:sdtContent>
              <w:tr w:rsidR="00D21C1F" w:rsidRPr="00016686" w14:paraId="7A1CDE4A" w14:textId="77777777">
                <w:trPr>
                  <w:trHeight w:val="338"/>
                  <w:jc w:val="center"/>
                </w:trPr>
                <w:tc>
                  <w:tcPr>
                    <w:tcW w:w="705" w:type="pct"/>
                    <w:shd w:val="clear" w:color="auto" w:fill="auto"/>
                  </w:tcPr>
                  <w:p w14:paraId="54715DF7" w14:textId="77777777" w:rsidR="00D21C1F" w:rsidRPr="00016686" w:rsidRDefault="00A42880">
                    <w:pPr>
                      <w:autoSpaceDE w:val="0"/>
                      <w:autoSpaceDN w:val="0"/>
                      <w:adjustRightInd w:val="0"/>
                      <w:snapToGrid w:val="0"/>
                      <w:jc w:val="both"/>
                      <w:rPr>
                        <w:rFonts w:ascii="Times New Roman" w:hAnsi="Times New Roman" w:cs="Times New Roman"/>
                        <w:szCs w:val="21"/>
                      </w:rPr>
                    </w:pPr>
                    <w:r w:rsidRPr="00016686">
                      <w:rPr>
                        <w:rFonts w:ascii="Times New Roman" w:hAnsi="Times New Roman" w:cs="Times New Roman"/>
                      </w:rPr>
                      <w:t>EVOLUT</w:t>
                    </w:r>
                  </w:p>
                </w:tc>
                <w:tc>
                  <w:tcPr>
                    <w:tcW w:w="980" w:type="pct"/>
                    <w:shd w:val="clear" w:color="auto" w:fill="auto"/>
                    <w:vAlign w:val="bottom"/>
                  </w:tcPr>
                  <w:p w14:paraId="1C2E9FAE"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62,529,816.53</w:t>
                    </w:r>
                  </w:p>
                </w:tc>
                <w:tc>
                  <w:tcPr>
                    <w:tcW w:w="542" w:type="pct"/>
                    <w:shd w:val="clear" w:color="auto" w:fill="auto"/>
                    <w:vAlign w:val="bottom"/>
                  </w:tcPr>
                  <w:p w14:paraId="43B08C9C"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544" w:type="pct"/>
                    <w:shd w:val="clear" w:color="auto" w:fill="auto"/>
                    <w:vAlign w:val="bottom"/>
                  </w:tcPr>
                  <w:p w14:paraId="670F1190"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310" w:type="pct"/>
                    <w:shd w:val="clear" w:color="auto" w:fill="auto"/>
                    <w:vAlign w:val="bottom"/>
                  </w:tcPr>
                  <w:p w14:paraId="4821B9CC"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929" w:type="pct"/>
                    <w:shd w:val="clear" w:color="auto" w:fill="auto"/>
                    <w:vAlign w:val="bottom"/>
                  </w:tcPr>
                  <w:p w14:paraId="50E1A3F2"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2,631,711.72</w:t>
                    </w:r>
                  </w:p>
                </w:tc>
                <w:tc>
                  <w:tcPr>
                    <w:tcW w:w="990" w:type="pct"/>
                    <w:shd w:val="clear" w:color="auto" w:fill="auto"/>
                    <w:vAlign w:val="bottom"/>
                  </w:tcPr>
                  <w:p w14:paraId="7B5B56C6"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59,898,104.81</w:t>
                    </w:r>
                  </w:p>
                </w:tc>
              </w:tr>
            </w:sdtContent>
          </w:sdt>
          <w:sdt>
            <w:sdtPr>
              <w:rPr>
                <w:rFonts w:ascii="Times New Roman" w:hAnsi="Times New Roman" w:cs="Times New Roman"/>
                <w:szCs w:val="21"/>
              </w:rPr>
              <w:alias w:val="商誉明细"/>
              <w:tag w:val="_GBC_916c5c3712e44d7db6b8c9e16bcf5865"/>
              <w:id w:val="549194382"/>
              <w:lock w:val="sdtLocked"/>
            </w:sdtPr>
            <w:sdtEndPr/>
            <w:sdtContent>
              <w:tr w:rsidR="00D21C1F" w:rsidRPr="00016686" w14:paraId="60674CD3" w14:textId="77777777">
                <w:trPr>
                  <w:trHeight w:val="338"/>
                  <w:jc w:val="center"/>
                </w:trPr>
                <w:tc>
                  <w:tcPr>
                    <w:tcW w:w="705" w:type="pct"/>
                    <w:shd w:val="clear" w:color="auto" w:fill="auto"/>
                  </w:tcPr>
                  <w:p w14:paraId="4088C088" w14:textId="77777777" w:rsidR="00D21C1F" w:rsidRPr="00016686" w:rsidRDefault="00A42880">
                    <w:pPr>
                      <w:autoSpaceDE w:val="0"/>
                      <w:autoSpaceDN w:val="0"/>
                      <w:adjustRightInd w:val="0"/>
                      <w:snapToGrid w:val="0"/>
                      <w:jc w:val="both"/>
                      <w:rPr>
                        <w:rFonts w:ascii="Times New Roman" w:hAnsi="Times New Roman" w:cs="Times New Roman"/>
                        <w:szCs w:val="21"/>
                      </w:rPr>
                    </w:pPr>
                    <w:r w:rsidRPr="00016686">
                      <w:rPr>
                        <w:rFonts w:ascii="Times New Roman" w:hAnsi="Times New Roman" w:cs="Times New Roman"/>
                      </w:rPr>
                      <w:t>WFC</w:t>
                    </w:r>
                  </w:p>
                </w:tc>
                <w:tc>
                  <w:tcPr>
                    <w:tcW w:w="980" w:type="pct"/>
                    <w:shd w:val="clear" w:color="auto" w:fill="auto"/>
                    <w:vAlign w:val="bottom"/>
                  </w:tcPr>
                  <w:p w14:paraId="594F00CA"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374,669,686.85</w:t>
                    </w:r>
                  </w:p>
                </w:tc>
                <w:tc>
                  <w:tcPr>
                    <w:tcW w:w="542" w:type="pct"/>
                    <w:shd w:val="clear" w:color="auto" w:fill="auto"/>
                    <w:vAlign w:val="bottom"/>
                  </w:tcPr>
                  <w:p w14:paraId="46DE27FD"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544" w:type="pct"/>
                    <w:shd w:val="clear" w:color="auto" w:fill="auto"/>
                    <w:vAlign w:val="bottom"/>
                  </w:tcPr>
                  <w:p w14:paraId="53B0F03F"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310" w:type="pct"/>
                    <w:shd w:val="clear" w:color="auto" w:fill="auto"/>
                    <w:vAlign w:val="bottom"/>
                  </w:tcPr>
                  <w:p w14:paraId="45FD8AD6"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929" w:type="pct"/>
                    <w:shd w:val="clear" w:color="auto" w:fill="auto"/>
                    <w:vAlign w:val="bottom"/>
                  </w:tcPr>
                  <w:p w14:paraId="2AC40770"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24,407,973.41</w:t>
                    </w:r>
                  </w:p>
                </w:tc>
                <w:tc>
                  <w:tcPr>
                    <w:tcW w:w="990" w:type="pct"/>
                    <w:shd w:val="clear" w:color="auto" w:fill="auto"/>
                    <w:vAlign w:val="bottom"/>
                  </w:tcPr>
                  <w:p w14:paraId="3D5E2968"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350,261,713.44</w:t>
                    </w:r>
                  </w:p>
                </w:tc>
              </w:tr>
            </w:sdtContent>
          </w:sdt>
          <w:tr w:rsidR="00D21C1F" w:rsidRPr="00016686" w14:paraId="50CF84A6" w14:textId="77777777">
            <w:trPr>
              <w:trHeight w:val="296"/>
              <w:jc w:val="center"/>
            </w:trPr>
            <w:sdt>
              <w:sdtPr>
                <w:rPr>
                  <w:rFonts w:ascii="Times New Roman" w:hAnsi="Times New Roman" w:cs="Times New Roman"/>
                </w:rPr>
                <w:tag w:val="_PLD_e45c45262afc495e90b6033bd7a17ec4"/>
                <w:id w:val="1007868750"/>
                <w:lock w:val="sdtLocked"/>
              </w:sdtPr>
              <w:sdtEndPr/>
              <w:sdtContent>
                <w:tc>
                  <w:tcPr>
                    <w:tcW w:w="705" w:type="pct"/>
                    <w:shd w:val="clear" w:color="auto" w:fill="auto"/>
                    <w:vAlign w:val="center"/>
                  </w:tcPr>
                  <w:p w14:paraId="75FB36E1" w14:textId="77777777" w:rsidR="00D21C1F" w:rsidRPr="00016686" w:rsidRDefault="00A42880">
                    <w:pPr>
                      <w:autoSpaceDE w:val="0"/>
                      <w:autoSpaceDN w:val="0"/>
                      <w:adjustRightInd w:val="0"/>
                      <w:snapToGrid w:val="0"/>
                      <w:jc w:val="center"/>
                      <w:rPr>
                        <w:rFonts w:ascii="Times New Roman" w:hAnsi="Times New Roman" w:cs="Times New Roman"/>
                        <w:szCs w:val="21"/>
                        <w:u w:val="double"/>
                      </w:rPr>
                    </w:pPr>
                    <w:r w:rsidRPr="00016686">
                      <w:rPr>
                        <w:rFonts w:ascii="Times New Roman" w:hAnsi="Times New Roman" w:cs="Times New Roman"/>
                        <w:szCs w:val="21"/>
                      </w:rPr>
                      <w:t>合计</w:t>
                    </w:r>
                  </w:p>
                </w:tc>
              </w:sdtContent>
            </w:sdt>
            <w:tc>
              <w:tcPr>
                <w:tcW w:w="980" w:type="pct"/>
                <w:shd w:val="clear" w:color="auto" w:fill="auto"/>
                <w:vAlign w:val="bottom"/>
              </w:tcPr>
              <w:p w14:paraId="41755C16"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450,563,725.17</w:t>
                </w:r>
              </w:p>
            </w:tc>
            <w:tc>
              <w:tcPr>
                <w:tcW w:w="542" w:type="pct"/>
                <w:shd w:val="clear" w:color="auto" w:fill="auto"/>
                <w:vAlign w:val="bottom"/>
              </w:tcPr>
              <w:p w14:paraId="4E5A85B1"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w:t>
                </w:r>
              </w:p>
            </w:tc>
            <w:tc>
              <w:tcPr>
                <w:tcW w:w="544" w:type="pct"/>
                <w:shd w:val="clear" w:color="auto" w:fill="auto"/>
                <w:vAlign w:val="bottom"/>
              </w:tcPr>
              <w:p w14:paraId="01C7BF01"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w:t>
                </w:r>
              </w:p>
            </w:tc>
            <w:tc>
              <w:tcPr>
                <w:tcW w:w="310" w:type="pct"/>
                <w:shd w:val="clear" w:color="auto" w:fill="auto"/>
                <w:vAlign w:val="bottom"/>
              </w:tcPr>
              <w:p w14:paraId="66F74BD3"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w:t>
                </w:r>
              </w:p>
            </w:tc>
            <w:tc>
              <w:tcPr>
                <w:tcW w:w="929" w:type="pct"/>
                <w:shd w:val="clear" w:color="auto" w:fill="auto"/>
                <w:vAlign w:val="bottom"/>
              </w:tcPr>
              <w:p w14:paraId="3824BBEA"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27,355,542.63</w:t>
                </w:r>
              </w:p>
            </w:tc>
            <w:tc>
              <w:tcPr>
                <w:tcW w:w="990" w:type="pct"/>
                <w:shd w:val="clear" w:color="auto" w:fill="auto"/>
                <w:vAlign w:val="bottom"/>
              </w:tcPr>
              <w:p w14:paraId="7449DDD1"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423,208,182.54</w:t>
                </w:r>
              </w:p>
            </w:tc>
          </w:tr>
        </w:tbl>
        <w:p w14:paraId="4420B988" w14:textId="77777777" w:rsidR="00D21C1F" w:rsidRDefault="00045EC6">
          <w:pPr>
            <w:pStyle w:val="97"/>
          </w:pPr>
        </w:p>
      </w:sdtContent>
    </w:sdt>
    <w:sdt>
      <w:sdtPr>
        <w:rPr>
          <w:rFonts w:ascii="Times New Roman" w:hAnsi="Times New Roman" w:cs="宋体"/>
          <w:b w:val="0"/>
          <w:bCs w:val="0"/>
          <w:kern w:val="0"/>
          <w:szCs w:val="24"/>
        </w:rPr>
        <w:alias w:val="模块:商誉减值准备"/>
        <w:tag w:val="_SEC_6fe538077d4746d4ba51a5610b4bd03b"/>
        <w:id w:val="1848676394"/>
        <w:lock w:val="sdtLocked"/>
        <w:placeholder>
          <w:docPart w:val="GBC22222222222222222222222222222"/>
        </w:placeholder>
      </w:sdtPr>
      <w:sdtEndPr/>
      <w:sdtContent>
        <w:p w14:paraId="367A7F75" w14:textId="77777777" w:rsidR="00D21C1F" w:rsidRPr="00016686" w:rsidRDefault="00A42880">
          <w:pPr>
            <w:pStyle w:val="93"/>
            <w:numPr>
              <w:ilvl w:val="0"/>
              <w:numId w:val="111"/>
            </w:numPr>
            <w:tabs>
              <w:tab w:val="left" w:pos="588"/>
            </w:tabs>
            <w:rPr>
              <w:rFonts w:ascii="Times New Roman" w:hAnsi="Times New Roman"/>
            </w:rPr>
          </w:pPr>
          <w:r w:rsidRPr="00016686">
            <w:rPr>
              <w:rFonts w:ascii="Times New Roman" w:hAnsi="Times New Roman"/>
            </w:rPr>
            <w:t>商誉减值准备</w:t>
          </w:r>
        </w:p>
        <w:sdt>
          <w:sdtPr>
            <w:rPr>
              <w:rFonts w:ascii="Times New Roman" w:hAnsi="Times New Roman" w:cs="Times New Roman"/>
            </w:rPr>
            <w:alias w:val="是否适用：商誉减值准备[双击切换]"/>
            <w:tag w:val="_GBC_743c9a20b5c043668f28664eb36decf8"/>
            <w:id w:val="-1524083990"/>
            <w:lock w:val="sdtLocked"/>
            <w:placeholder>
              <w:docPart w:val="GBC22222222222222222222222222222"/>
            </w:placeholder>
          </w:sdtPr>
          <w:sdtEndPr/>
          <w:sdtContent>
            <w:p w14:paraId="1478784F" w14:textId="77777777" w:rsidR="00D21C1F" w:rsidRPr="00016686" w:rsidRDefault="00A42880">
              <w:pPr>
                <w:pStyle w:val="97"/>
                <w:rPr>
                  <w:rFonts w:ascii="Times New Roman" w:hAnsi="Times New Roman" w:cs="Times New Roman"/>
                </w:rPr>
              </w:pPr>
              <w:r w:rsidRPr="00016686">
                <w:rPr>
                  <w:rFonts w:ascii="Times New Roman" w:hAnsi="Times New Roman" w:cs="Times New Roman"/>
                </w:rPr>
                <w:fldChar w:fldCharType="begin"/>
              </w:r>
              <w:r w:rsidRPr="00016686">
                <w:rPr>
                  <w:rFonts w:ascii="Times New Roman" w:hAnsi="Times New Roman" w:cs="Times New Roman"/>
                </w:rPr>
                <w:instrText xml:space="preserve"> MACROBUTTON  SnrToggleCheckbox √</w:instrText>
              </w:r>
              <w:r w:rsidRPr="00016686">
                <w:rPr>
                  <w:rFonts w:ascii="Times New Roman" w:hAnsi="Times New Roman" w:cs="Times New Roman"/>
                </w:rPr>
                <w:instrText>适用</w:instrText>
              </w:r>
              <w:r w:rsidRPr="00016686">
                <w:rPr>
                  <w:rFonts w:ascii="Times New Roman" w:hAnsi="Times New Roman" w:cs="Times New Roman"/>
                </w:rPr>
                <w:instrText xml:space="preserve"> </w:instrText>
              </w:r>
              <w:r w:rsidRPr="00016686">
                <w:rPr>
                  <w:rFonts w:ascii="Times New Roman" w:hAnsi="Times New Roman" w:cs="Times New Roman"/>
                </w:rPr>
                <w:fldChar w:fldCharType="end"/>
              </w:r>
              <w:r w:rsidRPr="00016686">
                <w:rPr>
                  <w:rFonts w:ascii="Times New Roman" w:hAnsi="Times New Roman" w:cs="Times New Roman"/>
                </w:rPr>
                <w:fldChar w:fldCharType="begin"/>
              </w:r>
              <w:r w:rsidRPr="00016686">
                <w:rPr>
                  <w:rFonts w:ascii="Times New Roman" w:hAnsi="Times New Roman" w:cs="Times New Roman"/>
                </w:rPr>
                <w:instrText xml:space="preserve"> MACROBUTTON  SnrToggleCheckbox □</w:instrText>
              </w:r>
              <w:r w:rsidRPr="00016686">
                <w:rPr>
                  <w:rFonts w:ascii="Times New Roman" w:hAnsi="Times New Roman" w:cs="Times New Roman"/>
                </w:rPr>
                <w:instrText>不适用</w:instrText>
              </w:r>
              <w:r w:rsidRPr="00016686">
                <w:rPr>
                  <w:rFonts w:ascii="Times New Roman" w:hAnsi="Times New Roman" w:cs="Times New Roman"/>
                </w:rPr>
                <w:instrText xml:space="preserve"> </w:instrText>
              </w:r>
              <w:r w:rsidRPr="00016686">
                <w:rPr>
                  <w:rFonts w:ascii="Times New Roman" w:hAnsi="Times New Roman" w:cs="Times New Roman"/>
                </w:rPr>
                <w:fldChar w:fldCharType="end"/>
              </w:r>
            </w:p>
          </w:sdtContent>
        </w:sdt>
        <w:p w14:paraId="6CAC2924"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单位</w:t>
          </w:r>
          <w:r w:rsidRPr="00016686">
            <w:rPr>
              <w:rFonts w:ascii="Times New Roman" w:hAnsi="Times New Roman" w:cs="Times New Roman"/>
            </w:rPr>
            <w:t>:</w:t>
          </w:r>
          <w:sdt>
            <w:sdtPr>
              <w:rPr>
                <w:rFonts w:ascii="Times New Roman" w:hAnsi="Times New Roman" w:cs="Times New Roman"/>
              </w:rPr>
              <w:alias w:val="单位：财务附注：商誉减值准备"/>
              <w:tag w:val="_GBC_81f58baed09c46a3bf97830ea3adfd98"/>
              <w:id w:val="7086842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016686">
                <w:rPr>
                  <w:rFonts w:ascii="Times New Roman" w:hAnsi="Times New Roman" w:cs="Times New Roman"/>
                </w:rPr>
                <w:t>元</w:t>
              </w:r>
            </w:sdtContent>
          </w:sdt>
          <w:r w:rsidRPr="00016686">
            <w:rPr>
              <w:rFonts w:ascii="Times New Roman" w:hAnsi="Times New Roman" w:cs="Times New Roman"/>
            </w:rPr>
            <w:t>币种</w:t>
          </w:r>
          <w:r w:rsidRPr="00016686">
            <w:rPr>
              <w:rFonts w:ascii="Times New Roman" w:hAnsi="Times New Roman" w:cs="Times New Roman"/>
            </w:rPr>
            <w:t>:</w:t>
          </w:r>
          <w:sdt>
            <w:sdtPr>
              <w:rPr>
                <w:rFonts w:ascii="Times New Roman" w:hAnsi="Times New Roman" w:cs="Times New Roman"/>
              </w:rPr>
              <w:alias w:val="币种：财务附注：商誉减值准备"/>
              <w:tag w:val="_GBC_67c9edd209fb4492bdb662edf79314f5"/>
              <w:id w:val="-12813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016686">
                <w:rPr>
                  <w:rFonts w:ascii="Times New Roman" w:hAnsi="Times New Roman" w:cs="Times New Roman"/>
                </w:rPr>
                <w:t>人民币</w:t>
              </w:r>
            </w:sdtContent>
          </w:sdt>
        </w:p>
        <w:tbl>
          <w:tblPr>
            <w:tblStyle w:val="88"/>
            <w:tblW w:w="505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749"/>
            <w:gridCol w:w="1000"/>
            <w:gridCol w:w="953"/>
            <w:gridCol w:w="544"/>
            <w:gridCol w:w="1669"/>
            <w:gridCol w:w="1746"/>
          </w:tblGrid>
          <w:tr w:rsidR="00D21C1F" w:rsidRPr="00016686" w14:paraId="7EF2945F" w14:textId="77777777">
            <w:trPr>
              <w:trHeight w:val="255"/>
              <w:jc w:val="center"/>
            </w:trPr>
            <w:sdt>
              <w:sdtPr>
                <w:rPr>
                  <w:rFonts w:ascii="Times New Roman" w:hAnsi="Times New Roman" w:cs="Times New Roman"/>
                </w:rPr>
                <w:tag w:val="_PLD_d1a517071536478f9f7187c625e93763"/>
                <w:id w:val="1465078481"/>
                <w:lock w:val="sdtLocked"/>
              </w:sdtPr>
              <w:sdtEndPr/>
              <w:sdtContent>
                <w:tc>
                  <w:tcPr>
                    <w:tcW w:w="708" w:type="pct"/>
                    <w:vMerge w:val="restart"/>
                    <w:shd w:val="clear" w:color="auto" w:fill="auto"/>
                    <w:vAlign w:val="center"/>
                  </w:tcPr>
                  <w:p w14:paraId="23B33DFF"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被投资单位名称或形成商誉的事项</w:t>
                    </w:r>
                  </w:p>
                </w:tc>
              </w:sdtContent>
            </w:sdt>
            <w:sdt>
              <w:sdtPr>
                <w:rPr>
                  <w:rFonts w:ascii="Times New Roman" w:hAnsi="Times New Roman" w:cs="Times New Roman"/>
                </w:rPr>
                <w:tag w:val="_PLD_a1ccc5eef6a041ffadb4dd09605c43f5"/>
                <w:id w:val="1658029951"/>
                <w:lock w:val="sdtLocked"/>
              </w:sdtPr>
              <w:sdtEndPr/>
              <w:sdtContent>
                <w:tc>
                  <w:tcPr>
                    <w:tcW w:w="980" w:type="pct"/>
                    <w:vMerge w:val="restart"/>
                    <w:shd w:val="clear" w:color="auto" w:fill="auto"/>
                    <w:vAlign w:val="center"/>
                  </w:tcPr>
                  <w:p w14:paraId="2E5E131D"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期初余额</w:t>
                    </w:r>
                  </w:p>
                </w:tc>
              </w:sdtContent>
            </w:sdt>
            <w:sdt>
              <w:sdtPr>
                <w:rPr>
                  <w:rFonts w:ascii="Times New Roman" w:hAnsi="Times New Roman" w:cs="Times New Roman"/>
                </w:rPr>
                <w:tag w:val="_PLD_3dc4c2fbed8640a6acf5f19dd5073967"/>
                <w:id w:val="1764573964"/>
                <w:lock w:val="sdtLocked"/>
              </w:sdtPr>
              <w:sdtEndPr/>
              <w:sdtContent>
                <w:tc>
                  <w:tcPr>
                    <w:tcW w:w="1093" w:type="pct"/>
                    <w:gridSpan w:val="2"/>
                    <w:shd w:val="clear" w:color="auto" w:fill="auto"/>
                    <w:vAlign w:val="center"/>
                  </w:tcPr>
                  <w:p w14:paraId="6A101134"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本期增加</w:t>
                    </w:r>
                  </w:p>
                </w:tc>
              </w:sdtContent>
            </w:sdt>
            <w:sdt>
              <w:sdtPr>
                <w:rPr>
                  <w:rFonts w:ascii="Times New Roman" w:hAnsi="Times New Roman" w:cs="Times New Roman"/>
                </w:rPr>
                <w:tag w:val="_PLD_36789e440c5d4e70969760ec1adf11d6"/>
                <w:id w:val="1897627726"/>
                <w:lock w:val="sdtLocked"/>
              </w:sdtPr>
              <w:sdtEndPr/>
              <w:sdtContent>
                <w:tc>
                  <w:tcPr>
                    <w:tcW w:w="1240" w:type="pct"/>
                    <w:gridSpan w:val="2"/>
                    <w:shd w:val="clear" w:color="auto" w:fill="auto"/>
                    <w:vAlign w:val="center"/>
                  </w:tcPr>
                  <w:p w14:paraId="0570F7A6"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本期减少</w:t>
                    </w:r>
                  </w:p>
                </w:tc>
              </w:sdtContent>
            </w:sdt>
            <w:sdt>
              <w:sdtPr>
                <w:rPr>
                  <w:rFonts w:ascii="Times New Roman" w:hAnsi="Times New Roman" w:cs="Times New Roman"/>
                </w:rPr>
                <w:tag w:val="_PLD_b4bf3be5aa6c45bea85b5ae1c027be47"/>
                <w:id w:val="-1898200586"/>
                <w:lock w:val="sdtLocked"/>
              </w:sdtPr>
              <w:sdtEndPr/>
              <w:sdtContent>
                <w:tc>
                  <w:tcPr>
                    <w:tcW w:w="979" w:type="pct"/>
                    <w:vMerge w:val="restart"/>
                    <w:shd w:val="clear" w:color="auto" w:fill="auto"/>
                    <w:vAlign w:val="center"/>
                  </w:tcPr>
                  <w:p w14:paraId="59D9432A"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期末余额</w:t>
                    </w:r>
                  </w:p>
                </w:tc>
              </w:sdtContent>
            </w:sdt>
          </w:tr>
          <w:tr w:rsidR="00D21C1F" w:rsidRPr="00016686" w14:paraId="54AD3EF4" w14:textId="77777777">
            <w:trPr>
              <w:trHeight w:val="296"/>
              <w:jc w:val="center"/>
            </w:trPr>
            <w:tc>
              <w:tcPr>
                <w:tcW w:w="708" w:type="pct"/>
                <w:vMerge/>
                <w:shd w:val="clear" w:color="auto" w:fill="auto"/>
              </w:tcPr>
              <w:p w14:paraId="3B32F2DA" w14:textId="77777777" w:rsidR="00D21C1F" w:rsidRPr="00016686" w:rsidRDefault="00D21C1F">
                <w:pPr>
                  <w:autoSpaceDE w:val="0"/>
                  <w:autoSpaceDN w:val="0"/>
                  <w:adjustRightInd w:val="0"/>
                  <w:snapToGrid w:val="0"/>
                  <w:rPr>
                    <w:rFonts w:ascii="Times New Roman" w:hAnsi="Times New Roman" w:cs="Times New Roman"/>
                    <w:szCs w:val="21"/>
                  </w:rPr>
                </w:pPr>
              </w:p>
            </w:tc>
            <w:tc>
              <w:tcPr>
                <w:tcW w:w="980" w:type="pct"/>
                <w:vMerge/>
                <w:shd w:val="clear" w:color="auto" w:fill="auto"/>
                <w:vAlign w:val="center"/>
              </w:tcPr>
              <w:p w14:paraId="2C9B763B" w14:textId="77777777" w:rsidR="00D21C1F" w:rsidRPr="00016686" w:rsidRDefault="00D21C1F">
                <w:pPr>
                  <w:autoSpaceDE w:val="0"/>
                  <w:autoSpaceDN w:val="0"/>
                  <w:adjustRightInd w:val="0"/>
                  <w:snapToGrid w:val="0"/>
                  <w:jc w:val="right"/>
                  <w:rPr>
                    <w:rFonts w:ascii="Times New Roman" w:hAnsi="Times New Roman" w:cs="Times New Roman"/>
                    <w:szCs w:val="21"/>
                  </w:rPr>
                </w:pPr>
              </w:p>
            </w:tc>
            <w:sdt>
              <w:sdtPr>
                <w:rPr>
                  <w:rFonts w:ascii="Times New Roman" w:hAnsi="Times New Roman" w:cs="Times New Roman"/>
                </w:rPr>
                <w:tag w:val="_PLD_fe6ebe6f95b64eeabc2aef23beee858c"/>
                <w:id w:val="1919365003"/>
                <w:lock w:val="sdtLocked"/>
              </w:sdtPr>
              <w:sdtEndPr/>
              <w:sdtContent>
                <w:tc>
                  <w:tcPr>
                    <w:tcW w:w="560" w:type="pct"/>
                    <w:shd w:val="clear" w:color="auto" w:fill="auto"/>
                    <w:vAlign w:val="center"/>
                  </w:tcPr>
                  <w:p w14:paraId="63137186"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计提</w:t>
                    </w:r>
                  </w:p>
                </w:tc>
              </w:sdtContent>
            </w:sdt>
            <w:sdt>
              <w:sdtPr>
                <w:rPr>
                  <w:rFonts w:ascii="Times New Roman" w:hAnsi="Times New Roman" w:cs="Times New Roman"/>
                  <w:szCs w:val="21"/>
                </w:rPr>
                <w:alias w:val="商誉减值准备本期增加额项目名称"/>
                <w:tag w:val="_GBC_65d86954675d4b4f82e4fbc3d21ace02"/>
                <w:id w:val="631754862"/>
                <w:lock w:val="sdtLocked"/>
              </w:sdtPr>
              <w:sdtEndPr/>
              <w:sdtContent>
                <w:tc>
                  <w:tcPr>
                    <w:tcW w:w="534" w:type="pct"/>
                    <w:shd w:val="clear" w:color="auto" w:fill="auto"/>
                    <w:vAlign w:val="center"/>
                  </w:tcPr>
                  <w:p w14:paraId="7BF71571"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汇率变动的影响</w:t>
                    </w:r>
                  </w:p>
                </w:tc>
              </w:sdtContent>
            </w:sdt>
            <w:sdt>
              <w:sdtPr>
                <w:rPr>
                  <w:rFonts w:ascii="Times New Roman" w:hAnsi="Times New Roman" w:cs="Times New Roman"/>
                </w:rPr>
                <w:tag w:val="_PLD_aaaa2d8a1fae404e9bab86b79225c7e3"/>
                <w:id w:val="-2115815402"/>
                <w:lock w:val="sdtLocked"/>
              </w:sdtPr>
              <w:sdtEndPr/>
              <w:sdtContent>
                <w:tc>
                  <w:tcPr>
                    <w:tcW w:w="305" w:type="pct"/>
                    <w:shd w:val="clear" w:color="auto" w:fill="auto"/>
                    <w:vAlign w:val="center"/>
                  </w:tcPr>
                  <w:p w14:paraId="50FE823E"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处置</w:t>
                    </w:r>
                  </w:p>
                </w:tc>
              </w:sdtContent>
            </w:sdt>
            <w:sdt>
              <w:sdtPr>
                <w:rPr>
                  <w:rFonts w:ascii="Times New Roman" w:hAnsi="Times New Roman" w:cs="Times New Roman"/>
                  <w:szCs w:val="21"/>
                </w:rPr>
                <w:alias w:val="商誉减值准备本期减少额项目名称"/>
                <w:tag w:val="_GBC_aa48e25b6e1f4be9b1276fe009dabf0e"/>
                <w:id w:val="-491098120"/>
                <w:lock w:val="sdtLocked"/>
              </w:sdtPr>
              <w:sdtEndPr/>
              <w:sdtContent>
                <w:tc>
                  <w:tcPr>
                    <w:tcW w:w="934" w:type="pct"/>
                    <w:shd w:val="clear" w:color="auto" w:fill="auto"/>
                    <w:vAlign w:val="center"/>
                  </w:tcPr>
                  <w:p w14:paraId="4ED75778" w14:textId="77777777" w:rsidR="00D21C1F" w:rsidRPr="00016686" w:rsidRDefault="00A42880">
                    <w:pPr>
                      <w:autoSpaceDE w:val="0"/>
                      <w:autoSpaceDN w:val="0"/>
                      <w:adjustRightInd w:val="0"/>
                      <w:snapToGrid w:val="0"/>
                      <w:jc w:val="center"/>
                      <w:rPr>
                        <w:rFonts w:ascii="Times New Roman" w:hAnsi="Times New Roman" w:cs="Times New Roman"/>
                        <w:szCs w:val="21"/>
                      </w:rPr>
                    </w:pPr>
                    <w:r w:rsidRPr="00016686">
                      <w:rPr>
                        <w:rFonts w:ascii="Times New Roman" w:hAnsi="Times New Roman" w:cs="Times New Roman"/>
                        <w:szCs w:val="21"/>
                      </w:rPr>
                      <w:t>汇率变动的影响</w:t>
                    </w:r>
                  </w:p>
                </w:tc>
              </w:sdtContent>
            </w:sdt>
            <w:tc>
              <w:tcPr>
                <w:tcW w:w="979" w:type="pct"/>
                <w:vMerge/>
                <w:shd w:val="clear" w:color="auto" w:fill="auto"/>
              </w:tcPr>
              <w:p w14:paraId="3643735B" w14:textId="77777777" w:rsidR="00D21C1F" w:rsidRPr="00016686" w:rsidRDefault="00D21C1F">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减值准备明细"/>
              <w:tag w:val="_GBC_98340a952ec045d0bd3e053903c6a9f6"/>
              <w:id w:val="-720135927"/>
              <w:lock w:val="sdtLocked"/>
            </w:sdtPr>
            <w:sdtEndPr/>
            <w:sdtContent>
              <w:tr w:rsidR="00D21C1F" w:rsidRPr="00016686" w14:paraId="1A90F828" w14:textId="77777777">
                <w:trPr>
                  <w:trHeight w:val="323"/>
                  <w:jc w:val="center"/>
                </w:trPr>
                <w:tc>
                  <w:tcPr>
                    <w:tcW w:w="708" w:type="pct"/>
                    <w:shd w:val="clear" w:color="auto" w:fill="auto"/>
                  </w:tcPr>
                  <w:p w14:paraId="1554E8C4" w14:textId="77777777" w:rsidR="00D21C1F" w:rsidRPr="00016686" w:rsidRDefault="00A42880">
                    <w:pPr>
                      <w:autoSpaceDE w:val="0"/>
                      <w:autoSpaceDN w:val="0"/>
                      <w:adjustRightInd w:val="0"/>
                      <w:snapToGrid w:val="0"/>
                      <w:rPr>
                        <w:rFonts w:ascii="Times New Roman" w:hAnsi="Times New Roman" w:cs="Times New Roman"/>
                        <w:szCs w:val="21"/>
                      </w:rPr>
                    </w:pPr>
                    <w:r w:rsidRPr="00016686">
                      <w:rPr>
                        <w:rFonts w:ascii="Times New Roman" w:hAnsi="Times New Roman" w:cs="Times New Roman"/>
                      </w:rPr>
                      <w:t>EVOLUT</w:t>
                    </w:r>
                  </w:p>
                </w:tc>
                <w:tc>
                  <w:tcPr>
                    <w:tcW w:w="980" w:type="pct"/>
                    <w:shd w:val="clear" w:color="auto" w:fill="auto"/>
                    <w:vAlign w:val="bottom"/>
                  </w:tcPr>
                  <w:p w14:paraId="75725DAC"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61,160,417.69</w:t>
                    </w:r>
                  </w:p>
                </w:tc>
                <w:tc>
                  <w:tcPr>
                    <w:tcW w:w="560" w:type="pct"/>
                    <w:shd w:val="clear" w:color="auto" w:fill="auto"/>
                    <w:vAlign w:val="bottom"/>
                  </w:tcPr>
                  <w:p w14:paraId="3F8091B6"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534" w:type="pct"/>
                    <w:shd w:val="clear" w:color="auto" w:fill="auto"/>
                    <w:vAlign w:val="bottom"/>
                  </w:tcPr>
                  <w:p w14:paraId="4262C144"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305" w:type="pct"/>
                    <w:shd w:val="clear" w:color="auto" w:fill="auto"/>
                    <w:vAlign w:val="bottom"/>
                  </w:tcPr>
                  <w:p w14:paraId="619D38D9"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934" w:type="pct"/>
                    <w:shd w:val="clear" w:color="auto" w:fill="auto"/>
                    <w:vAlign w:val="bottom"/>
                  </w:tcPr>
                  <w:p w14:paraId="679AD34B"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2,584,402.39</w:t>
                    </w:r>
                  </w:p>
                </w:tc>
                <w:tc>
                  <w:tcPr>
                    <w:tcW w:w="979" w:type="pct"/>
                    <w:shd w:val="clear" w:color="auto" w:fill="auto"/>
                    <w:vAlign w:val="bottom"/>
                  </w:tcPr>
                  <w:p w14:paraId="39A8C4C1"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58,576,015.30</w:t>
                    </w:r>
                  </w:p>
                </w:tc>
              </w:tr>
            </w:sdtContent>
          </w:sdt>
          <w:sdt>
            <w:sdtPr>
              <w:rPr>
                <w:rFonts w:ascii="Times New Roman" w:hAnsi="Times New Roman" w:cs="Times New Roman"/>
                <w:szCs w:val="21"/>
              </w:rPr>
              <w:alias w:val="商誉减值准备明细"/>
              <w:tag w:val="_GBC_98340a952ec045d0bd3e053903c6a9f6"/>
              <w:id w:val="1139385817"/>
              <w:lock w:val="sdtLocked"/>
            </w:sdtPr>
            <w:sdtEndPr/>
            <w:sdtContent>
              <w:tr w:rsidR="00D21C1F" w:rsidRPr="00016686" w14:paraId="1F3F2B9A" w14:textId="77777777">
                <w:trPr>
                  <w:trHeight w:val="323"/>
                  <w:jc w:val="center"/>
                </w:trPr>
                <w:tc>
                  <w:tcPr>
                    <w:tcW w:w="708" w:type="pct"/>
                    <w:shd w:val="clear" w:color="auto" w:fill="auto"/>
                  </w:tcPr>
                  <w:p w14:paraId="468CDA6B" w14:textId="77777777" w:rsidR="00D21C1F" w:rsidRPr="00016686" w:rsidRDefault="00A42880">
                    <w:pPr>
                      <w:autoSpaceDE w:val="0"/>
                      <w:autoSpaceDN w:val="0"/>
                      <w:adjustRightInd w:val="0"/>
                      <w:snapToGrid w:val="0"/>
                      <w:rPr>
                        <w:rFonts w:ascii="Times New Roman" w:hAnsi="Times New Roman" w:cs="Times New Roman"/>
                        <w:szCs w:val="21"/>
                      </w:rPr>
                    </w:pPr>
                    <w:r w:rsidRPr="00016686">
                      <w:rPr>
                        <w:rFonts w:ascii="Times New Roman" w:hAnsi="Times New Roman" w:cs="Times New Roman"/>
                      </w:rPr>
                      <w:t>WFC</w:t>
                    </w:r>
                  </w:p>
                </w:tc>
                <w:tc>
                  <w:tcPr>
                    <w:tcW w:w="980" w:type="pct"/>
                    <w:shd w:val="clear" w:color="auto" w:fill="auto"/>
                    <w:vAlign w:val="bottom"/>
                  </w:tcPr>
                  <w:p w14:paraId="24A40414"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82,680,121.03</w:t>
                    </w:r>
                  </w:p>
                </w:tc>
                <w:tc>
                  <w:tcPr>
                    <w:tcW w:w="560" w:type="pct"/>
                    <w:shd w:val="clear" w:color="auto" w:fill="auto"/>
                    <w:vAlign w:val="bottom"/>
                  </w:tcPr>
                  <w:p w14:paraId="433D3880"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534" w:type="pct"/>
                    <w:shd w:val="clear" w:color="auto" w:fill="auto"/>
                    <w:vAlign w:val="bottom"/>
                  </w:tcPr>
                  <w:p w14:paraId="1EAD5A0C"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305" w:type="pct"/>
                    <w:shd w:val="clear" w:color="auto" w:fill="auto"/>
                    <w:vAlign w:val="bottom"/>
                  </w:tcPr>
                  <w:p w14:paraId="7B644623"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w:t>
                    </w:r>
                  </w:p>
                </w:tc>
                <w:tc>
                  <w:tcPr>
                    <w:tcW w:w="934" w:type="pct"/>
                    <w:shd w:val="clear" w:color="auto" w:fill="auto"/>
                    <w:vAlign w:val="bottom"/>
                  </w:tcPr>
                  <w:p w14:paraId="50E3AD5E"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11,936,664.12</w:t>
                    </w:r>
                  </w:p>
                </w:tc>
                <w:tc>
                  <w:tcPr>
                    <w:tcW w:w="979" w:type="pct"/>
                    <w:shd w:val="clear" w:color="auto" w:fill="auto"/>
                    <w:vAlign w:val="bottom"/>
                  </w:tcPr>
                  <w:p w14:paraId="497EC457" w14:textId="77777777" w:rsidR="00D21C1F" w:rsidRPr="00016686" w:rsidRDefault="00A42880">
                    <w:pPr>
                      <w:autoSpaceDE w:val="0"/>
                      <w:autoSpaceDN w:val="0"/>
                      <w:adjustRightInd w:val="0"/>
                      <w:snapToGrid w:val="0"/>
                      <w:jc w:val="right"/>
                      <w:rPr>
                        <w:rFonts w:ascii="Times New Roman" w:hAnsi="Times New Roman" w:cs="Times New Roman"/>
                        <w:szCs w:val="21"/>
                      </w:rPr>
                    </w:pPr>
                    <w:r w:rsidRPr="00016686">
                      <w:rPr>
                        <w:rFonts w:ascii="Times New Roman" w:hAnsi="Times New Roman" w:cs="Times New Roman"/>
                      </w:rPr>
                      <w:t>70,743,456.91</w:t>
                    </w:r>
                  </w:p>
                </w:tc>
              </w:tr>
            </w:sdtContent>
          </w:sdt>
          <w:tr w:rsidR="00D21C1F" w:rsidRPr="00016686" w14:paraId="5EC02ABC" w14:textId="77777777">
            <w:trPr>
              <w:trHeight w:val="282"/>
              <w:jc w:val="center"/>
            </w:trPr>
            <w:sdt>
              <w:sdtPr>
                <w:rPr>
                  <w:rFonts w:ascii="Times New Roman" w:hAnsi="Times New Roman" w:cs="Times New Roman"/>
                </w:rPr>
                <w:tag w:val="_PLD_8723cba7d5f5468da42c45507923f6de"/>
                <w:id w:val="-789131735"/>
                <w:lock w:val="sdtLocked"/>
              </w:sdtPr>
              <w:sdtEndPr/>
              <w:sdtContent>
                <w:tc>
                  <w:tcPr>
                    <w:tcW w:w="708" w:type="pct"/>
                    <w:shd w:val="clear" w:color="auto" w:fill="auto"/>
                    <w:vAlign w:val="center"/>
                  </w:tcPr>
                  <w:p w14:paraId="55787F4C" w14:textId="77777777" w:rsidR="00D21C1F" w:rsidRPr="00016686" w:rsidRDefault="00A42880">
                    <w:pPr>
                      <w:autoSpaceDE w:val="0"/>
                      <w:autoSpaceDN w:val="0"/>
                      <w:adjustRightInd w:val="0"/>
                      <w:snapToGrid w:val="0"/>
                      <w:jc w:val="center"/>
                      <w:rPr>
                        <w:rFonts w:ascii="Times New Roman" w:hAnsi="Times New Roman" w:cs="Times New Roman"/>
                        <w:szCs w:val="21"/>
                        <w:u w:val="double"/>
                      </w:rPr>
                    </w:pPr>
                    <w:r w:rsidRPr="00016686">
                      <w:rPr>
                        <w:rFonts w:ascii="Times New Roman" w:hAnsi="Times New Roman" w:cs="Times New Roman"/>
                        <w:szCs w:val="21"/>
                      </w:rPr>
                      <w:t>合计</w:t>
                    </w:r>
                  </w:p>
                </w:tc>
              </w:sdtContent>
            </w:sdt>
            <w:tc>
              <w:tcPr>
                <w:tcW w:w="980" w:type="pct"/>
                <w:shd w:val="clear" w:color="auto" w:fill="auto"/>
                <w:vAlign w:val="bottom"/>
              </w:tcPr>
              <w:p w14:paraId="0AB863F9"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143,840,538.72</w:t>
                </w:r>
              </w:p>
            </w:tc>
            <w:tc>
              <w:tcPr>
                <w:tcW w:w="560" w:type="pct"/>
                <w:shd w:val="clear" w:color="auto" w:fill="auto"/>
                <w:vAlign w:val="bottom"/>
              </w:tcPr>
              <w:p w14:paraId="5EE0075F"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w:t>
                </w:r>
              </w:p>
            </w:tc>
            <w:tc>
              <w:tcPr>
                <w:tcW w:w="534" w:type="pct"/>
                <w:shd w:val="clear" w:color="auto" w:fill="auto"/>
                <w:vAlign w:val="bottom"/>
              </w:tcPr>
              <w:p w14:paraId="53879F07"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w:t>
                </w:r>
              </w:p>
            </w:tc>
            <w:tc>
              <w:tcPr>
                <w:tcW w:w="305" w:type="pct"/>
                <w:shd w:val="clear" w:color="auto" w:fill="auto"/>
                <w:vAlign w:val="bottom"/>
              </w:tcPr>
              <w:p w14:paraId="14ECAF61"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w:t>
                </w:r>
              </w:p>
            </w:tc>
            <w:tc>
              <w:tcPr>
                <w:tcW w:w="934" w:type="pct"/>
                <w:shd w:val="clear" w:color="auto" w:fill="auto"/>
                <w:vAlign w:val="bottom"/>
              </w:tcPr>
              <w:p w14:paraId="5710DBED"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14,521,066.51</w:t>
                </w:r>
              </w:p>
            </w:tc>
            <w:tc>
              <w:tcPr>
                <w:tcW w:w="979" w:type="pct"/>
                <w:shd w:val="clear" w:color="auto" w:fill="auto"/>
                <w:vAlign w:val="bottom"/>
              </w:tcPr>
              <w:p w14:paraId="3CD1FC13" w14:textId="77777777" w:rsidR="00D21C1F" w:rsidRPr="00016686" w:rsidRDefault="00A42880">
                <w:pPr>
                  <w:jc w:val="right"/>
                  <w:rPr>
                    <w:rFonts w:ascii="Times New Roman" w:hAnsi="Times New Roman" w:cs="Times New Roman"/>
                  </w:rPr>
                </w:pPr>
                <w:r w:rsidRPr="00016686">
                  <w:rPr>
                    <w:rFonts w:ascii="Times New Roman" w:hAnsi="Times New Roman" w:cs="Times New Roman"/>
                  </w:rPr>
                  <w:t>129,319,472.21</w:t>
                </w:r>
              </w:p>
            </w:tc>
          </w:tr>
        </w:tbl>
        <w:p w14:paraId="0D34533B" w14:textId="77777777" w:rsidR="00D21C1F" w:rsidRDefault="00045EC6">
          <w:pPr>
            <w:pStyle w:val="97"/>
          </w:pPr>
        </w:p>
      </w:sdtContent>
    </w:sdt>
    <w:p w14:paraId="2B69A53F" w14:textId="77777777" w:rsidR="00D21C1F" w:rsidRDefault="00D21C1F">
      <w:pPr>
        <w:pStyle w:val="97"/>
      </w:pPr>
    </w:p>
    <w:bookmarkStart w:id="241" w:name="_Hlk10535081" w:displacedByCustomXml="next"/>
    <w:bookmarkStart w:id="242"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45805067"/>
        <w:lock w:val="sdtLocked"/>
        <w:placeholder>
          <w:docPart w:val="GBC22222222222222222222222222222"/>
        </w:placeholder>
      </w:sdtPr>
      <w:sdtEndPr>
        <w:rPr>
          <w:rFonts w:hint="default"/>
        </w:rPr>
      </w:sdtEndPr>
      <w:sdtContent>
        <w:p w14:paraId="0EF53F2D" w14:textId="77777777" w:rsidR="00D21C1F" w:rsidRDefault="00A42880">
          <w:pPr>
            <w:pStyle w:val="93"/>
            <w:numPr>
              <w:ilvl w:val="0"/>
              <w:numId w:val="111"/>
            </w:numPr>
            <w:tabs>
              <w:tab w:val="left" w:pos="588"/>
            </w:tabs>
            <w:rPr>
              <w:rFonts w:ascii="宋体" w:hAnsi="宋体"/>
            </w:rPr>
          </w:pPr>
          <w:r>
            <w:rPr>
              <w:rFonts w:ascii="宋体" w:hAnsi="宋体" w:hint="eastAsia"/>
            </w:rPr>
            <w:t>商誉所在资产组或资产组组合的相关信息</w:t>
          </w:r>
          <w:bookmarkEnd w:id="241"/>
        </w:p>
        <w:sdt>
          <w:sdtPr>
            <w:alias w:val="是否适用：商誉所在资产组或资产组组合的相关信息[双击切换]"/>
            <w:tag w:val="_GBC_a40a76b7512a45b79930a13f56d19c6d"/>
            <w:id w:val="-311865129"/>
            <w:lock w:val="sdtLocked"/>
            <w:placeholder>
              <w:docPart w:val="GBC22222222222222222222222222222"/>
            </w:placeholder>
          </w:sdtPr>
          <w:sdtEndPr/>
          <w:sdtContent>
            <w:p w14:paraId="71855A4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商誉所在资产组或资产组组合的相关信息"/>
            <w:tag w:val="_GBC_1ac8119b0b2242f092f3a42ca82cb1af"/>
            <w:id w:val="-1712728016"/>
            <w:lock w:val="sdtLocked"/>
            <w:placeholder>
              <w:docPart w:val="GBC22222222222222222222222222222"/>
            </w:placeholder>
          </w:sdtPr>
          <w:sdtEndPr/>
          <w:sdtContent>
            <w:p w14:paraId="23E5CAE3" w14:textId="77777777" w:rsidR="00D21C1F" w:rsidRDefault="00A42880">
              <w:pPr>
                <w:pStyle w:val="120"/>
                <w:spacing w:beforeLines="50" w:before="120" w:line="360" w:lineRule="auto"/>
                <w:ind w:left="480"/>
              </w:pPr>
              <w:r>
                <w:rPr>
                  <w:rFonts w:hint="eastAsia"/>
                </w:rPr>
                <w:t>①</w:t>
              </w:r>
              <w:r>
                <w:rPr>
                  <w:rFonts w:ascii="Times New Roman" w:hAnsi="Times New Roman" w:cs="宋体"/>
                </w:rPr>
                <w:t>CMA</w:t>
              </w:r>
            </w:p>
            <w:p w14:paraId="41A51FA3" w14:textId="77777777" w:rsidR="00D21C1F" w:rsidRDefault="00A42880">
              <w:pPr>
                <w:pStyle w:val="120"/>
                <w:spacing w:beforeLines="50" w:before="120" w:line="360" w:lineRule="auto"/>
                <w:ind w:firstLineChars="200" w:firstLine="420"/>
              </w:pPr>
              <w:r>
                <w:rPr>
                  <w:rFonts w:hint="eastAsia"/>
                </w:rPr>
                <w:t>资产组认定：公司以存在商誉的</w:t>
              </w:r>
              <w:r>
                <w:rPr>
                  <w:rFonts w:ascii="Times New Roman" w:hAnsi="Times New Roman" w:cs="宋体"/>
                </w:rPr>
                <w:t>CMA</w:t>
              </w:r>
              <w:r>
                <w:rPr>
                  <w:rFonts w:hint="eastAsia"/>
                </w:rPr>
                <w:t>作为资产组组合进行商誉减值测试。年末商誉所在资产组与收购日形成商誉时所确定的资产组一致，其构成未发生变化。</w:t>
              </w:r>
            </w:p>
            <w:p w14:paraId="76BB7A64" w14:textId="77777777" w:rsidR="00D21C1F" w:rsidRDefault="00A42880">
              <w:pPr>
                <w:pStyle w:val="120"/>
                <w:spacing w:beforeLines="50" w:before="120" w:line="360" w:lineRule="auto"/>
                <w:ind w:left="480"/>
              </w:pPr>
              <w:r>
                <w:rPr>
                  <w:rFonts w:hint="eastAsia"/>
                </w:rPr>
                <w:t>②</w:t>
              </w:r>
              <w:r>
                <w:rPr>
                  <w:rFonts w:ascii="Times New Roman" w:hAnsi="Times New Roman" w:cs="宋体"/>
                </w:rPr>
                <w:t>EVOLUT</w:t>
              </w:r>
            </w:p>
            <w:p w14:paraId="115347CA" w14:textId="77777777" w:rsidR="00D21C1F" w:rsidRDefault="00A42880">
              <w:pPr>
                <w:pStyle w:val="120"/>
                <w:spacing w:beforeLines="50" w:before="120" w:line="360" w:lineRule="auto"/>
                <w:ind w:firstLineChars="200" w:firstLine="420"/>
              </w:pPr>
              <w:r>
                <w:rPr>
                  <w:rFonts w:hint="eastAsia"/>
                </w:rPr>
                <w:t>资产组认定：公司以存在商誉的</w:t>
              </w:r>
              <w:r>
                <w:rPr>
                  <w:rFonts w:ascii="Times New Roman" w:hAnsi="Times New Roman" w:cs="宋体"/>
                </w:rPr>
                <w:t>EVOLUT</w:t>
              </w:r>
              <w:r>
                <w:rPr>
                  <w:rFonts w:hint="eastAsia"/>
                </w:rPr>
                <w:t>作为资产组组合进行商誉减值测试。年末商誉所在资产组与收购日形成商誉时所确定的资产组一致，其构成未发生变化。</w:t>
              </w:r>
            </w:p>
            <w:p w14:paraId="42F5D4CB" w14:textId="77777777" w:rsidR="00D21C1F" w:rsidRDefault="00A42880">
              <w:pPr>
                <w:pStyle w:val="120"/>
                <w:spacing w:beforeLines="50" w:before="120" w:line="360" w:lineRule="auto"/>
                <w:ind w:left="480"/>
              </w:pPr>
              <w:r>
                <w:rPr>
                  <w:rFonts w:hint="eastAsia"/>
                </w:rPr>
                <w:t>③</w:t>
              </w:r>
              <w:r>
                <w:rPr>
                  <w:rFonts w:ascii="Times New Roman" w:hAnsi="Times New Roman" w:cs="宋体"/>
                </w:rPr>
                <w:t>WFC</w:t>
              </w:r>
            </w:p>
            <w:p w14:paraId="6BF1435D" w14:textId="77777777" w:rsidR="00D21C1F" w:rsidRDefault="00A42880">
              <w:pPr>
                <w:pStyle w:val="120"/>
                <w:spacing w:beforeLines="50" w:before="120" w:line="360" w:lineRule="auto"/>
                <w:ind w:firstLineChars="200" w:firstLine="420"/>
              </w:pPr>
              <w:r>
                <w:rPr>
                  <w:rFonts w:hint="eastAsia"/>
                </w:rPr>
                <w:t>资产组认定：公司以存在商誉的</w:t>
              </w:r>
              <w:r>
                <w:rPr>
                  <w:rFonts w:ascii="Times New Roman" w:hAnsi="Times New Roman" w:cs="宋体"/>
                </w:rPr>
                <w:t>WFC</w:t>
              </w:r>
              <w:r>
                <w:rPr>
                  <w:rFonts w:hint="eastAsia"/>
                </w:rPr>
                <w:t>作为资产组组合进行商誉减值测试。年末商誉所在资产组与收购日形成商誉时所确定的资产组一致，其构成未发生变化。</w:t>
              </w:r>
            </w:p>
          </w:sdtContent>
        </w:sdt>
        <w:p w14:paraId="21B23BE6" w14:textId="77777777" w:rsidR="00D21C1F" w:rsidRDefault="00045EC6">
          <w:pPr>
            <w:pStyle w:val="97"/>
          </w:pPr>
        </w:p>
      </w:sdtContent>
    </w:sdt>
    <w:bookmarkEnd w:id="242" w:displacedByCustomXml="next"/>
    <w:sdt>
      <w:sdtPr>
        <w:rPr>
          <w:rFonts w:ascii="宋体" w:eastAsia="宋体" w:hAnsi="宋体" w:cs="宋体" w:hint="eastAsia"/>
          <w:b w:val="0"/>
          <w:bCs w:val="0"/>
          <w:kern w:val="0"/>
          <w:szCs w:val="24"/>
        </w:rPr>
        <w:alias w:val="模块:说明商誉减值测试过程、关键参数（例如预计未来现金流量现值时的..."/>
        <w:tag w:val="_SEC_6b753aafd7bf484f982e228cd4c0dde3"/>
        <w:id w:val="-1835757815"/>
        <w:lock w:val="sdtLocked"/>
        <w:placeholder>
          <w:docPart w:val="GBC22222222222222222222222222222"/>
        </w:placeholder>
      </w:sdtPr>
      <w:sdtEndPr>
        <w:rPr>
          <w:rFonts w:hint="default"/>
          <w:szCs w:val="21"/>
        </w:rPr>
      </w:sdtEndPr>
      <w:sdtContent>
        <w:p w14:paraId="4DB0BCCC" w14:textId="77777777" w:rsidR="00D21C1F" w:rsidRDefault="00A42880">
          <w:pPr>
            <w:pStyle w:val="93"/>
            <w:numPr>
              <w:ilvl w:val="0"/>
              <w:numId w:val="111"/>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891794566"/>
            <w:lock w:val="sdtLocked"/>
            <w:placeholder>
              <w:docPart w:val="GBC22222222222222222222222222222"/>
            </w:placeholder>
          </w:sdtPr>
          <w:sdtEndPr/>
          <w:sdtContent>
            <w:p w14:paraId="1047BA93"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ACD526D" w14:textId="77777777" w:rsidR="00D21C1F" w:rsidRDefault="00D21C1F">
      <w:pPr>
        <w:rPr>
          <w:szCs w:val="21"/>
        </w:rPr>
      </w:pPr>
    </w:p>
    <w:bookmarkStart w:id="243" w:name="_Hlk10535249" w:displacedByCustomXml="next"/>
    <w:bookmarkStart w:id="244" w:name="_Hlk10535258" w:displacedByCustomXml="next"/>
    <w:sdt>
      <w:sdtPr>
        <w:rPr>
          <w:rFonts w:ascii="宋体" w:eastAsia="宋体" w:hAnsi="宋体" w:cs="宋体" w:hint="eastAsia"/>
          <w:b w:val="0"/>
          <w:bCs w:val="0"/>
          <w:kern w:val="0"/>
          <w:szCs w:val="21"/>
        </w:rPr>
        <w:alias w:val="模块:商誉减值测试的影响"/>
        <w:tag w:val="_SEC_fd017e302f8c4189978aac3dc8581f09"/>
        <w:id w:val="1970943476"/>
        <w:lock w:val="sdtLocked"/>
        <w:placeholder>
          <w:docPart w:val="GBC22222222222222222222222222222"/>
        </w:placeholder>
      </w:sdtPr>
      <w:sdtEndPr>
        <w:rPr>
          <w:rFonts w:hint="default"/>
        </w:rPr>
      </w:sdtEndPr>
      <w:sdtContent>
        <w:p w14:paraId="21DFDBD8" w14:textId="77777777" w:rsidR="00D21C1F" w:rsidRDefault="00A42880">
          <w:pPr>
            <w:pStyle w:val="93"/>
            <w:numPr>
              <w:ilvl w:val="0"/>
              <w:numId w:val="111"/>
            </w:numPr>
            <w:tabs>
              <w:tab w:val="left" w:pos="588"/>
            </w:tabs>
            <w:ind w:left="567" w:hanging="567"/>
            <w:rPr>
              <w:rFonts w:ascii="宋体" w:hAnsi="宋体"/>
              <w:szCs w:val="21"/>
            </w:rPr>
          </w:pPr>
          <w:r>
            <w:rPr>
              <w:rFonts w:ascii="宋体" w:hAnsi="宋体" w:hint="eastAsia"/>
              <w:szCs w:val="21"/>
            </w:rPr>
            <w:t>商誉减值测试的影响</w:t>
          </w:r>
          <w:bookmarkEnd w:id="243"/>
        </w:p>
        <w:sdt>
          <w:sdtPr>
            <w:rPr>
              <w:szCs w:val="21"/>
            </w:rPr>
            <w:alias w:val="是否适用：商誉减值测试的影响[双击切换]"/>
            <w:tag w:val="_GBC_24d2ea865aff4dda9d4cd3c8b1eb71cc"/>
            <w:id w:val="-1187747558"/>
            <w:lock w:val="sdtLocked"/>
            <w:placeholder>
              <w:docPart w:val="GBC22222222222222222222222222222"/>
            </w:placeholder>
          </w:sdtPr>
          <w:sdtEndPr/>
          <w:sdtContent>
            <w:p w14:paraId="2401A272"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44"/>
    <w:p w14:paraId="6DC1B2FF" w14:textId="77777777" w:rsidR="00D21C1F" w:rsidRDefault="00D21C1F">
      <w:pPr>
        <w:rPr>
          <w:szCs w:val="21"/>
        </w:rPr>
      </w:pPr>
    </w:p>
    <w:sdt>
      <w:sdtPr>
        <w:rPr>
          <w:rFonts w:eastAsia="宋体" w:hint="eastAsia"/>
        </w:rPr>
        <w:alias w:val="模块:其他说明"/>
        <w:tag w:val="_SEC_fd9f0a21b0c44e29ba84ddb7842fe32a"/>
        <w:id w:val="1945649733"/>
        <w:lock w:val="sdtLocked"/>
        <w:placeholder>
          <w:docPart w:val="GBC22222222222222222222222222222"/>
        </w:placeholder>
      </w:sdtPr>
      <w:sdtEndPr>
        <w:rPr>
          <w:rFonts w:hint="default"/>
          <w:szCs w:val="21"/>
        </w:rPr>
      </w:sdtEndPr>
      <w:sdtContent>
        <w:p w14:paraId="3AFCDAB2" w14:textId="77777777" w:rsidR="00D21C1F" w:rsidRDefault="00A42880">
          <w:pPr>
            <w:pStyle w:val="97"/>
          </w:pPr>
          <w:r>
            <w:rPr>
              <w:rFonts w:hint="eastAsia"/>
            </w:rPr>
            <w:t>其他说明：</w:t>
          </w:r>
        </w:p>
        <w:sdt>
          <w:sdtPr>
            <w:alias w:val="是否适用：商誉其他需要说明的事项[双击切换]"/>
            <w:tag w:val="_GBC_6b2c2377a4a6486b9a4ba845bd2192f6"/>
            <w:id w:val="313842082"/>
            <w:lock w:val="sdtLocked"/>
            <w:placeholder>
              <w:docPart w:val="GBC22222222222222222222222222222"/>
            </w:placeholder>
          </w:sdtPr>
          <w:sdtEndPr/>
          <w:sdtContent>
            <w:p w14:paraId="115EB476"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93DC584" w14:textId="77777777" w:rsidR="00D21C1F" w:rsidRDefault="00D21C1F">
      <w:pPr>
        <w:snapToGrid w:val="0"/>
        <w:spacing w:line="240" w:lineRule="atLeast"/>
        <w:rPr>
          <w:szCs w:val="21"/>
        </w:rPr>
      </w:pPr>
    </w:p>
    <w:sdt>
      <w:sdtPr>
        <w:rPr>
          <w:rFonts w:ascii="Times New Roman" w:eastAsia="宋体" w:hAnsi="Times New Roman" w:cs="宋体"/>
          <w:b w:val="0"/>
          <w:bCs w:val="0"/>
          <w:kern w:val="0"/>
          <w:szCs w:val="21"/>
        </w:rPr>
        <w:alias w:val="模块:长期待摊费用"/>
        <w:tag w:val="_GBC_c7f901dce89846cbbbab6c51c3213a6f"/>
        <w:id w:val="-1318652458"/>
        <w:lock w:val="sdtLocked"/>
        <w:placeholder>
          <w:docPart w:val="GBC22222222222222222222222222222"/>
        </w:placeholder>
      </w:sdtPr>
      <w:sdtEndPr>
        <w:rPr>
          <w:kern w:val="2"/>
        </w:rPr>
      </w:sdtEndPr>
      <w:sdtContent>
        <w:p w14:paraId="51CF5110" w14:textId="77777777" w:rsidR="00D21C1F" w:rsidRPr="0058263C" w:rsidRDefault="00A42880">
          <w:pPr>
            <w:pStyle w:val="94"/>
            <w:numPr>
              <w:ilvl w:val="0"/>
              <w:numId w:val="95"/>
            </w:numPr>
            <w:tabs>
              <w:tab w:val="left" w:pos="504"/>
            </w:tabs>
            <w:rPr>
              <w:rFonts w:ascii="Times New Roman" w:hAnsi="Times New Roman"/>
              <w:szCs w:val="21"/>
            </w:rPr>
          </w:pPr>
          <w:r w:rsidRPr="0058263C">
            <w:rPr>
              <w:rFonts w:ascii="Times New Roman" w:hAnsi="Times New Roman"/>
              <w:szCs w:val="21"/>
            </w:rPr>
            <w:t>长期待摊费用</w:t>
          </w:r>
        </w:p>
        <w:sdt>
          <w:sdtPr>
            <w:rPr>
              <w:rFonts w:ascii="Times New Roman" w:hAnsi="Times New Roman" w:cs="Times New Roman"/>
            </w:rPr>
            <w:alias w:val="是否适用：长期待摊费用[双击切换]"/>
            <w:tag w:val="_GBC_9bec8f9516c84b19bae2fb8a7292063f"/>
            <w:id w:val="-1518542323"/>
            <w:lock w:val="sdtLocked"/>
            <w:placeholder>
              <w:docPart w:val="GBC22222222222222222222222222222"/>
            </w:placeholder>
          </w:sdtPr>
          <w:sdtEndPr/>
          <w:sdtContent>
            <w:p w14:paraId="1965B33F"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不适用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p>
          </w:sdtContent>
        </w:sdt>
        <w:p w14:paraId="6D9A48F5"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szCs w:val="21"/>
            </w:rPr>
            <w:t>单位：</w:t>
          </w:r>
          <w:sdt>
            <w:sdtPr>
              <w:rPr>
                <w:rFonts w:ascii="Times New Roman" w:hAnsi="Times New Roman" w:cs="Times New Roman"/>
                <w:szCs w:val="21"/>
              </w:rPr>
              <w:alias w:val="单位：财务附注：长期待摊费用"/>
              <w:tag w:val="_GBC_aa74f67aac374e54a7768a8434ab0c08"/>
              <w:id w:val="1971091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8263C">
                <w:rPr>
                  <w:rFonts w:ascii="Times New Roman" w:hAnsi="Times New Roman" w:cs="Times New Roman"/>
                  <w:szCs w:val="21"/>
                </w:rPr>
                <w:t>元</w:t>
              </w:r>
            </w:sdtContent>
          </w:sdt>
          <w:r w:rsidRPr="0058263C">
            <w:rPr>
              <w:rFonts w:ascii="Times New Roman" w:hAnsi="Times New Roman" w:cs="Times New Roman"/>
              <w:szCs w:val="21"/>
            </w:rPr>
            <w:t>币种：</w:t>
          </w:r>
          <w:sdt>
            <w:sdtPr>
              <w:rPr>
                <w:rFonts w:ascii="Times New Roman" w:hAnsi="Times New Roman" w:cs="Times New Roman"/>
                <w:szCs w:val="21"/>
              </w:rPr>
              <w:alias w:val="币种：财务附注：长期待摊费用"/>
              <w:tag w:val="_GBC_767b9b701cf8425c9d588b0398c42e90"/>
              <w:id w:val="-1119676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58263C">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59"/>
            <w:gridCol w:w="1459"/>
            <w:gridCol w:w="1459"/>
            <w:gridCol w:w="1482"/>
            <w:gridCol w:w="1551"/>
          </w:tblGrid>
          <w:tr w:rsidR="00D21C1F" w:rsidRPr="0058263C" w14:paraId="180D8292" w14:textId="77777777">
            <w:sdt>
              <w:sdtPr>
                <w:rPr>
                  <w:rFonts w:ascii="Times New Roman" w:hAnsi="Times New Roman" w:cs="Times New Roman"/>
                </w:rPr>
                <w:tag w:val="_PLD_20e665ce568e49a5aa1c687384d611b3"/>
                <w:id w:val="1679224639"/>
                <w:lock w:val="sdtLocked"/>
              </w:sdtPr>
              <w:sdtEndPr/>
              <w:sdtContent>
                <w:tc>
                  <w:tcPr>
                    <w:tcW w:w="800" w:type="pct"/>
                    <w:shd w:val="clear" w:color="auto" w:fill="auto"/>
                    <w:vAlign w:val="center"/>
                  </w:tcPr>
                  <w:p w14:paraId="52EDCD5F"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项目</w:t>
                    </w:r>
                  </w:p>
                </w:tc>
              </w:sdtContent>
            </w:sdt>
            <w:sdt>
              <w:sdtPr>
                <w:rPr>
                  <w:rFonts w:ascii="Times New Roman" w:hAnsi="Times New Roman" w:cs="Times New Roman"/>
                </w:rPr>
                <w:tag w:val="_PLD_e3597a5d560b48d59d41cd3dc72b1a3a"/>
                <w:id w:val="-1554391666"/>
                <w:lock w:val="sdtLocked"/>
              </w:sdtPr>
              <w:sdtEndPr/>
              <w:sdtContent>
                <w:tc>
                  <w:tcPr>
                    <w:tcW w:w="827" w:type="pct"/>
                    <w:shd w:val="clear" w:color="auto" w:fill="auto"/>
                    <w:vAlign w:val="center"/>
                  </w:tcPr>
                  <w:p w14:paraId="07ECA4C9"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期初余额</w:t>
                    </w:r>
                  </w:p>
                </w:tc>
              </w:sdtContent>
            </w:sdt>
            <w:sdt>
              <w:sdtPr>
                <w:rPr>
                  <w:rFonts w:ascii="Times New Roman" w:hAnsi="Times New Roman" w:cs="Times New Roman"/>
                </w:rPr>
                <w:tag w:val="_PLD_2edffaf8b24b489e97f2d4a6a5ec5711"/>
                <w:id w:val="-19936035"/>
                <w:lock w:val="sdtLocked"/>
              </w:sdtPr>
              <w:sdtEndPr/>
              <w:sdtContent>
                <w:tc>
                  <w:tcPr>
                    <w:tcW w:w="827" w:type="pct"/>
                    <w:shd w:val="clear" w:color="auto" w:fill="auto"/>
                    <w:vAlign w:val="center"/>
                  </w:tcPr>
                  <w:p w14:paraId="1C7A5C62"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本期增加金额</w:t>
                    </w:r>
                  </w:p>
                </w:tc>
              </w:sdtContent>
            </w:sdt>
            <w:sdt>
              <w:sdtPr>
                <w:rPr>
                  <w:rFonts w:ascii="Times New Roman" w:hAnsi="Times New Roman" w:cs="Times New Roman"/>
                </w:rPr>
                <w:tag w:val="_PLD_f6bc6a07519e4f6cab5889776aa0ecbd"/>
                <w:id w:val="-1313857088"/>
                <w:lock w:val="sdtLocked"/>
              </w:sdtPr>
              <w:sdtEndPr/>
              <w:sdtContent>
                <w:tc>
                  <w:tcPr>
                    <w:tcW w:w="827" w:type="pct"/>
                    <w:shd w:val="clear" w:color="auto" w:fill="auto"/>
                    <w:vAlign w:val="center"/>
                  </w:tcPr>
                  <w:p w14:paraId="1D36D945"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本期摊销金额</w:t>
                    </w:r>
                  </w:p>
                </w:tc>
              </w:sdtContent>
            </w:sdt>
            <w:sdt>
              <w:sdtPr>
                <w:rPr>
                  <w:rFonts w:ascii="Times New Roman" w:hAnsi="Times New Roman" w:cs="Times New Roman"/>
                </w:rPr>
                <w:tag w:val="_PLD_f987bb682c974016898d37b474ce35c6"/>
                <w:id w:val="485369939"/>
                <w:lock w:val="sdtLocked"/>
              </w:sdtPr>
              <w:sdtEndPr/>
              <w:sdtContent>
                <w:tc>
                  <w:tcPr>
                    <w:tcW w:w="840" w:type="pct"/>
                    <w:shd w:val="clear" w:color="auto" w:fill="auto"/>
                    <w:vAlign w:val="center"/>
                  </w:tcPr>
                  <w:p w14:paraId="5C39F259"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其他减少金额</w:t>
                    </w:r>
                  </w:p>
                </w:tc>
              </w:sdtContent>
            </w:sdt>
            <w:sdt>
              <w:sdtPr>
                <w:rPr>
                  <w:rFonts w:ascii="Times New Roman" w:hAnsi="Times New Roman" w:cs="Times New Roman"/>
                </w:rPr>
                <w:tag w:val="_PLD_dab738986fbc4bd7b942faf77cb39605"/>
                <w:id w:val="894399622"/>
                <w:lock w:val="sdtLocked"/>
              </w:sdtPr>
              <w:sdtEndPr/>
              <w:sdtContent>
                <w:tc>
                  <w:tcPr>
                    <w:tcW w:w="879" w:type="pct"/>
                    <w:shd w:val="clear" w:color="auto" w:fill="auto"/>
                    <w:vAlign w:val="center"/>
                  </w:tcPr>
                  <w:p w14:paraId="361328B5"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期末余额</w:t>
                    </w:r>
                  </w:p>
                </w:tc>
              </w:sdtContent>
            </w:sdt>
          </w:tr>
          <w:sdt>
            <w:sdtPr>
              <w:rPr>
                <w:rFonts w:ascii="Times New Roman" w:hAnsi="Times New Roman" w:cs="Times New Roman"/>
                <w:szCs w:val="21"/>
              </w:rPr>
              <w:alias w:val="长期待摊费用明细"/>
              <w:tag w:val="_GBC_68b20aeabd8c4ce8bf5df712206206af"/>
              <w:id w:val="-1576654038"/>
              <w:lock w:val="sdtLocked"/>
            </w:sdtPr>
            <w:sdtEndPr/>
            <w:sdtContent>
              <w:tr w:rsidR="00D21C1F" w:rsidRPr="0058263C" w14:paraId="636838F7" w14:textId="77777777">
                <w:tc>
                  <w:tcPr>
                    <w:tcW w:w="800" w:type="pct"/>
                    <w:shd w:val="clear" w:color="auto" w:fill="auto"/>
                  </w:tcPr>
                  <w:p w14:paraId="5956D435"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厂房办公室装修款</w:t>
                    </w:r>
                  </w:p>
                </w:tc>
                <w:tc>
                  <w:tcPr>
                    <w:tcW w:w="827" w:type="pct"/>
                    <w:shd w:val="clear" w:color="auto" w:fill="auto"/>
                    <w:vAlign w:val="center"/>
                  </w:tcPr>
                  <w:p w14:paraId="7317E5CB"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597,822.32</w:t>
                    </w:r>
                  </w:p>
                </w:tc>
                <w:tc>
                  <w:tcPr>
                    <w:tcW w:w="827" w:type="pct"/>
                    <w:shd w:val="clear" w:color="auto" w:fill="auto"/>
                    <w:vAlign w:val="center"/>
                  </w:tcPr>
                  <w:p w14:paraId="76D79634"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w:t>
                    </w:r>
                  </w:p>
                </w:tc>
                <w:tc>
                  <w:tcPr>
                    <w:tcW w:w="827" w:type="pct"/>
                    <w:shd w:val="clear" w:color="auto" w:fill="auto"/>
                    <w:vAlign w:val="center"/>
                  </w:tcPr>
                  <w:p w14:paraId="47AA33AA"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60,892.94</w:t>
                    </w:r>
                  </w:p>
                </w:tc>
                <w:tc>
                  <w:tcPr>
                    <w:tcW w:w="840" w:type="pct"/>
                    <w:shd w:val="clear" w:color="auto" w:fill="auto"/>
                    <w:vAlign w:val="center"/>
                  </w:tcPr>
                  <w:p w14:paraId="678CD473"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7,096.56</w:t>
                    </w:r>
                  </w:p>
                </w:tc>
                <w:tc>
                  <w:tcPr>
                    <w:tcW w:w="879" w:type="pct"/>
                    <w:shd w:val="clear" w:color="auto" w:fill="auto"/>
                  </w:tcPr>
                  <w:p w14:paraId="20BF3BDC"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szCs w:val="21"/>
                      </w:rPr>
                      <w:t>529,832.82</w:t>
                    </w:r>
                  </w:p>
                </w:tc>
              </w:tr>
            </w:sdtContent>
          </w:sdt>
          <w:sdt>
            <w:sdtPr>
              <w:rPr>
                <w:rFonts w:ascii="Times New Roman" w:hAnsi="Times New Roman" w:cs="Times New Roman"/>
                <w:szCs w:val="21"/>
              </w:rPr>
              <w:alias w:val="长期待摊费用明细"/>
              <w:tag w:val="_GBC_68b20aeabd8c4ce8bf5df712206206af"/>
              <w:id w:val="1019052494"/>
              <w:lock w:val="sdtLocked"/>
            </w:sdtPr>
            <w:sdtEndPr/>
            <w:sdtContent>
              <w:tr w:rsidR="00D21C1F" w:rsidRPr="0058263C" w14:paraId="4B9B6A66" w14:textId="77777777">
                <w:tc>
                  <w:tcPr>
                    <w:tcW w:w="800" w:type="pct"/>
                    <w:shd w:val="clear" w:color="auto" w:fill="auto"/>
                  </w:tcPr>
                  <w:p w14:paraId="305E57F6"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其他待摊款</w:t>
                    </w:r>
                  </w:p>
                </w:tc>
                <w:tc>
                  <w:tcPr>
                    <w:tcW w:w="827" w:type="pct"/>
                    <w:shd w:val="clear" w:color="auto" w:fill="auto"/>
                    <w:vAlign w:val="center"/>
                  </w:tcPr>
                  <w:p w14:paraId="2E61585A"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369,173.57</w:t>
                    </w:r>
                  </w:p>
                </w:tc>
                <w:tc>
                  <w:tcPr>
                    <w:tcW w:w="827" w:type="pct"/>
                    <w:shd w:val="clear" w:color="auto" w:fill="auto"/>
                    <w:vAlign w:val="center"/>
                  </w:tcPr>
                  <w:p w14:paraId="67874252"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12,516.86</w:t>
                    </w:r>
                  </w:p>
                </w:tc>
                <w:tc>
                  <w:tcPr>
                    <w:tcW w:w="827" w:type="pct"/>
                    <w:shd w:val="clear" w:color="auto" w:fill="auto"/>
                    <w:vAlign w:val="center"/>
                  </w:tcPr>
                  <w:p w14:paraId="4B082485"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213,638.25</w:t>
                    </w:r>
                  </w:p>
                </w:tc>
                <w:tc>
                  <w:tcPr>
                    <w:tcW w:w="840" w:type="pct"/>
                    <w:shd w:val="clear" w:color="auto" w:fill="auto"/>
                    <w:vAlign w:val="center"/>
                  </w:tcPr>
                  <w:p w14:paraId="126DEF44"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12,743.07</w:t>
                    </w:r>
                  </w:p>
                </w:tc>
                <w:tc>
                  <w:tcPr>
                    <w:tcW w:w="879" w:type="pct"/>
                    <w:shd w:val="clear" w:color="auto" w:fill="auto"/>
                  </w:tcPr>
                  <w:p w14:paraId="1E80BB3A"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szCs w:val="21"/>
                      </w:rPr>
                      <w:t>155,309.11</w:t>
                    </w:r>
                  </w:p>
                </w:tc>
              </w:tr>
            </w:sdtContent>
          </w:sdt>
          <w:tr w:rsidR="00D21C1F" w:rsidRPr="0058263C" w14:paraId="1C234170" w14:textId="77777777">
            <w:sdt>
              <w:sdtPr>
                <w:rPr>
                  <w:rFonts w:ascii="Times New Roman" w:hAnsi="Times New Roman" w:cs="Times New Roman"/>
                </w:rPr>
                <w:tag w:val="_PLD_bd1d6a8046344014824f3cd45e5475be"/>
                <w:id w:val="306749456"/>
                <w:lock w:val="sdtLocked"/>
              </w:sdtPr>
              <w:sdtEndPr/>
              <w:sdtContent>
                <w:tc>
                  <w:tcPr>
                    <w:tcW w:w="800" w:type="pct"/>
                    <w:shd w:val="clear" w:color="auto" w:fill="auto"/>
                    <w:vAlign w:val="center"/>
                  </w:tcPr>
                  <w:p w14:paraId="244DAC17"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合计</w:t>
                    </w:r>
                  </w:p>
                </w:tc>
              </w:sdtContent>
            </w:sdt>
            <w:tc>
              <w:tcPr>
                <w:tcW w:w="827" w:type="pct"/>
                <w:shd w:val="clear" w:color="auto" w:fill="auto"/>
                <w:vAlign w:val="center"/>
              </w:tcPr>
              <w:p w14:paraId="52CFAA72"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966,995.89</w:t>
                </w:r>
              </w:p>
            </w:tc>
            <w:tc>
              <w:tcPr>
                <w:tcW w:w="827" w:type="pct"/>
                <w:shd w:val="clear" w:color="auto" w:fill="auto"/>
                <w:vAlign w:val="center"/>
              </w:tcPr>
              <w:p w14:paraId="03CACB2F"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12,516.86</w:t>
                </w:r>
              </w:p>
            </w:tc>
            <w:tc>
              <w:tcPr>
                <w:tcW w:w="827" w:type="pct"/>
                <w:shd w:val="clear" w:color="auto" w:fill="auto"/>
                <w:vAlign w:val="center"/>
              </w:tcPr>
              <w:p w14:paraId="15E16F8B"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274,531.19</w:t>
                </w:r>
              </w:p>
            </w:tc>
            <w:tc>
              <w:tcPr>
                <w:tcW w:w="840" w:type="pct"/>
                <w:shd w:val="clear" w:color="auto" w:fill="auto"/>
                <w:vAlign w:val="center"/>
              </w:tcPr>
              <w:p w14:paraId="0480D415"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19,839.63</w:t>
                </w:r>
              </w:p>
            </w:tc>
            <w:tc>
              <w:tcPr>
                <w:tcW w:w="879" w:type="pct"/>
                <w:shd w:val="clear" w:color="auto" w:fill="auto"/>
              </w:tcPr>
              <w:p w14:paraId="5D54E006"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szCs w:val="21"/>
                  </w:rPr>
                  <w:t>685,141.93</w:t>
                </w:r>
              </w:p>
            </w:tc>
          </w:tr>
        </w:tbl>
        <w:p w14:paraId="0F9237D0" w14:textId="77777777" w:rsidR="00D21C1F" w:rsidRPr="0058263C" w:rsidRDefault="00A42880">
          <w:pPr>
            <w:rPr>
              <w:rFonts w:ascii="Times New Roman" w:hAnsi="Times New Roman" w:cs="Times New Roman"/>
              <w:szCs w:val="21"/>
            </w:rPr>
          </w:pPr>
          <w:r w:rsidRPr="0058263C">
            <w:rPr>
              <w:rFonts w:ascii="Times New Roman" w:hAnsi="Times New Roman" w:cs="Times New Roman"/>
              <w:szCs w:val="21"/>
            </w:rPr>
            <w:t>其他说明：</w:t>
          </w:r>
        </w:p>
        <w:sdt>
          <w:sdtPr>
            <w:rPr>
              <w:rFonts w:ascii="Times New Roman" w:hAnsi="Times New Roman" w:cs="Times New Roman"/>
              <w:szCs w:val="21"/>
            </w:rPr>
            <w:alias w:val="长期待摊费用的说明"/>
            <w:tag w:val="_GBC_5b31c466b60f433faaa37d443fae74be"/>
            <w:id w:val="-174805810"/>
            <w:lock w:val="sdtLocked"/>
            <w:placeholder>
              <w:docPart w:val="GBC22222222222222222222222222222"/>
            </w:placeholder>
          </w:sdtPr>
          <w:sdtEndPr/>
          <w:sdtContent>
            <w:p w14:paraId="7773DD08" w14:textId="77777777" w:rsidR="00D21C1F" w:rsidRDefault="00A42880">
              <w:pPr>
                <w:rPr>
                  <w:szCs w:val="21"/>
                </w:rPr>
              </w:pPr>
              <w:r w:rsidRPr="0058263C">
                <w:rPr>
                  <w:rFonts w:ascii="Times New Roman" w:hAnsi="Times New Roman" w:cs="Times New Roman"/>
                  <w:szCs w:val="21"/>
                </w:rPr>
                <w:t>无</w:t>
              </w:r>
            </w:p>
          </w:sdtContent>
        </w:sdt>
      </w:sdtContent>
    </w:sdt>
    <w:p w14:paraId="32F37E22" w14:textId="77777777" w:rsidR="00D21C1F" w:rsidRDefault="00D21C1F">
      <w:pPr>
        <w:rPr>
          <w:szCs w:val="21"/>
        </w:rPr>
      </w:pPr>
    </w:p>
    <w:sdt>
      <w:sdtPr>
        <w:rPr>
          <w:rFonts w:ascii="Times New Roman" w:hAnsi="Times New Roman" w:cs="宋体"/>
          <w:b w:val="0"/>
          <w:bCs w:val="0"/>
          <w:kern w:val="0"/>
          <w:szCs w:val="21"/>
        </w:rPr>
        <w:alias w:val="模块:未经抵销的递延所得税资产"/>
        <w:tag w:val="_SEC_24cb6110bf5143448478343c289c754e"/>
        <w:id w:val="-950702625"/>
        <w:lock w:val="sdtLocked"/>
        <w:placeholder>
          <w:docPart w:val="GBC22222222222222222222222222222"/>
        </w:placeholder>
      </w:sdtPr>
      <w:sdtEndPr>
        <w:rPr>
          <w:szCs w:val="24"/>
        </w:rPr>
      </w:sdtEndPr>
      <w:sdtContent>
        <w:p w14:paraId="423AAC81" w14:textId="77777777" w:rsidR="00D21C1F" w:rsidRPr="0058263C" w:rsidRDefault="00A42880">
          <w:pPr>
            <w:pStyle w:val="94"/>
            <w:numPr>
              <w:ilvl w:val="0"/>
              <w:numId w:val="95"/>
            </w:numPr>
            <w:tabs>
              <w:tab w:val="left" w:pos="504"/>
            </w:tabs>
            <w:rPr>
              <w:rFonts w:ascii="Times New Roman" w:hAnsi="Times New Roman"/>
              <w:szCs w:val="21"/>
            </w:rPr>
          </w:pPr>
          <w:r w:rsidRPr="0058263C">
            <w:rPr>
              <w:rFonts w:ascii="Times New Roman" w:hAnsi="Times New Roman"/>
              <w:szCs w:val="21"/>
            </w:rPr>
            <w:t>递延所得税资产</w:t>
          </w:r>
          <w:r w:rsidRPr="0058263C">
            <w:rPr>
              <w:rFonts w:ascii="Times New Roman" w:hAnsi="Times New Roman"/>
              <w:szCs w:val="21"/>
            </w:rPr>
            <w:t>/</w:t>
          </w:r>
          <w:r w:rsidRPr="0058263C">
            <w:rPr>
              <w:rFonts w:ascii="Times New Roman" w:hAnsi="Times New Roman"/>
              <w:szCs w:val="21"/>
            </w:rPr>
            <w:t>递延所得税负债</w:t>
          </w:r>
        </w:p>
        <w:p w14:paraId="5FF895A5" w14:textId="77777777" w:rsidR="00D21C1F" w:rsidRPr="0058263C" w:rsidRDefault="00A42880">
          <w:pPr>
            <w:pStyle w:val="93"/>
            <w:numPr>
              <w:ilvl w:val="0"/>
              <w:numId w:val="112"/>
            </w:numPr>
            <w:tabs>
              <w:tab w:val="left" w:pos="588"/>
              <w:tab w:val="left" w:pos="616"/>
            </w:tabs>
            <w:rPr>
              <w:rFonts w:ascii="Times New Roman" w:hAnsi="Times New Roman"/>
            </w:rPr>
          </w:pPr>
          <w:bookmarkStart w:id="245" w:name="_Toc215903151"/>
          <w:r w:rsidRPr="0058263C">
            <w:rPr>
              <w:rFonts w:ascii="Times New Roman" w:hAnsi="Times New Roman"/>
            </w:rPr>
            <w:t>未经抵销的递延所得税资产</w:t>
          </w:r>
        </w:p>
        <w:sdt>
          <w:sdtPr>
            <w:rPr>
              <w:rFonts w:ascii="Times New Roman" w:hAnsi="Times New Roman" w:cs="Times New Roman"/>
            </w:rPr>
            <w:alias w:val="是否适用：未经抵销的递延所得税资产[双击切换]"/>
            <w:tag w:val="_GBC_fc6e77974a404dc3bef5fc386ae4e1e7"/>
            <w:id w:val="2077627897"/>
            <w:lock w:val="sdtLocked"/>
            <w:placeholder>
              <w:docPart w:val="GBC22222222222222222222222222222"/>
            </w:placeholder>
          </w:sdtPr>
          <w:sdtEndPr/>
          <w:sdtContent>
            <w:p w14:paraId="5E91D167"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不适用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p>
          </w:sdtContent>
        </w:sdt>
        <w:p w14:paraId="1B1B3CEE"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szCs w:val="21"/>
            </w:rPr>
            <w:t>单位：</w:t>
          </w:r>
          <w:sdt>
            <w:sdtPr>
              <w:rPr>
                <w:rFonts w:ascii="Times New Roman" w:hAnsi="Times New Roman" w:cs="Times New Roman"/>
                <w:szCs w:val="21"/>
              </w:rPr>
              <w:alias w:val="单位：财务附注：已确认的递延所得税资产和递延所得税负债"/>
              <w:tag w:val="_GBC_7be724d3c6f14974914db7d02bb734f9"/>
              <w:id w:val="7813918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8263C">
                <w:rPr>
                  <w:rFonts w:ascii="Times New Roman" w:hAnsi="Times New Roman" w:cs="Times New Roman"/>
                  <w:szCs w:val="21"/>
                </w:rPr>
                <w:t>元</w:t>
              </w:r>
            </w:sdtContent>
          </w:sdt>
          <w:r w:rsidRPr="0058263C">
            <w:rPr>
              <w:rFonts w:ascii="Times New Roman" w:hAnsi="Times New Roman" w:cs="Times New Roman"/>
              <w:szCs w:val="21"/>
            </w:rPr>
            <w:t>币种：</w:t>
          </w:r>
          <w:bookmarkEnd w:id="245"/>
          <w:sdt>
            <w:sdtPr>
              <w:rPr>
                <w:rFonts w:ascii="Times New Roman" w:hAnsi="Times New Roman" w:cs="Times New Roman"/>
                <w:szCs w:val="21"/>
              </w:rPr>
              <w:alias w:val="币种：财务附注：已确认的递延所得税资产和递延所得税负债"/>
              <w:tag w:val="_GBC_a48237f045494aa9a0ea8c2cb35b1c0f"/>
              <w:id w:val="-671328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58263C">
                <w:rPr>
                  <w:rFonts w:ascii="Times New Roman" w:hAnsi="Times New Roman" w:cs="Times New Roman"/>
                  <w:szCs w:val="21"/>
                </w:rPr>
                <w:t>人民币</w:t>
              </w:r>
            </w:sdtContent>
          </w:sdt>
        </w:p>
        <w:tbl>
          <w:tblPr>
            <w:tblStyle w:val="88"/>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43"/>
            <w:gridCol w:w="1645"/>
            <w:gridCol w:w="1643"/>
            <w:gridCol w:w="1645"/>
          </w:tblGrid>
          <w:tr w:rsidR="00D21C1F" w:rsidRPr="0058263C" w14:paraId="1B90C82A" w14:textId="77777777">
            <w:trPr>
              <w:trHeight w:val="285"/>
            </w:trPr>
            <w:sdt>
              <w:sdtPr>
                <w:rPr>
                  <w:rFonts w:ascii="Times New Roman" w:hAnsi="Times New Roman" w:cs="Times New Roman"/>
                </w:rPr>
                <w:tag w:val="_PLD_e45101b3a01946f19f22657bb959574e"/>
                <w:id w:val="-1866282382"/>
                <w:lock w:val="sdtLocked"/>
              </w:sdtPr>
              <w:sdtEndPr/>
              <w:sdtContent>
                <w:tc>
                  <w:tcPr>
                    <w:tcW w:w="1274" w:type="pct"/>
                    <w:vMerge w:val="restart"/>
                    <w:shd w:val="clear" w:color="auto" w:fill="auto"/>
                    <w:vAlign w:val="center"/>
                  </w:tcPr>
                  <w:p w14:paraId="7EFD2823"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项目</w:t>
                    </w:r>
                  </w:p>
                </w:tc>
              </w:sdtContent>
            </w:sdt>
            <w:sdt>
              <w:sdtPr>
                <w:rPr>
                  <w:rFonts w:ascii="Times New Roman" w:hAnsi="Times New Roman" w:cs="Times New Roman"/>
                </w:rPr>
                <w:tag w:val="_PLD_dd892ffecd234c819059bf10f71b1910"/>
                <w:id w:val="-729996739"/>
                <w:lock w:val="sdtLocked"/>
              </w:sdtPr>
              <w:sdtEndPr/>
              <w:sdtContent>
                <w:tc>
                  <w:tcPr>
                    <w:tcW w:w="1863" w:type="pct"/>
                    <w:gridSpan w:val="2"/>
                    <w:shd w:val="clear" w:color="auto" w:fill="auto"/>
                    <w:vAlign w:val="center"/>
                  </w:tcPr>
                  <w:p w14:paraId="50F9B0F6"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期末余额</w:t>
                    </w:r>
                  </w:p>
                </w:tc>
              </w:sdtContent>
            </w:sdt>
            <w:sdt>
              <w:sdtPr>
                <w:rPr>
                  <w:rFonts w:ascii="Times New Roman" w:hAnsi="Times New Roman" w:cs="Times New Roman"/>
                </w:rPr>
                <w:tag w:val="_PLD_be855fcb002344d6ae2c74083e90b1c1"/>
                <w:id w:val="-654070965"/>
                <w:lock w:val="sdtLocked"/>
              </w:sdtPr>
              <w:sdtEndPr/>
              <w:sdtContent>
                <w:tc>
                  <w:tcPr>
                    <w:tcW w:w="1863" w:type="pct"/>
                    <w:gridSpan w:val="2"/>
                    <w:shd w:val="clear" w:color="auto" w:fill="auto"/>
                    <w:vAlign w:val="center"/>
                  </w:tcPr>
                  <w:p w14:paraId="1606BD17"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期初余额</w:t>
                    </w:r>
                  </w:p>
                </w:tc>
              </w:sdtContent>
            </w:sdt>
          </w:tr>
          <w:tr w:rsidR="00D21C1F" w:rsidRPr="0058263C" w14:paraId="2D61AC73" w14:textId="77777777">
            <w:trPr>
              <w:trHeight w:val="285"/>
            </w:trPr>
            <w:tc>
              <w:tcPr>
                <w:tcW w:w="1274" w:type="pct"/>
                <w:vMerge/>
                <w:shd w:val="clear" w:color="auto" w:fill="auto"/>
                <w:vAlign w:val="center"/>
              </w:tcPr>
              <w:p w14:paraId="1C5BBE90" w14:textId="77777777" w:rsidR="00D21C1F" w:rsidRPr="0058263C" w:rsidRDefault="00D21C1F">
                <w:pPr>
                  <w:jc w:val="center"/>
                  <w:rPr>
                    <w:rFonts w:ascii="Times New Roman" w:hAnsi="Times New Roman" w:cs="Times New Roman"/>
                    <w:b/>
                    <w:szCs w:val="21"/>
                  </w:rPr>
                </w:pPr>
              </w:p>
            </w:tc>
            <w:sdt>
              <w:sdtPr>
                <w:rPr>
                  <w:rFonts w:ascii="Times New Roman" w:hAnsi="Times New Roman" w:cs="Times New Roman"/>
                </w:rPr>
                <w:tag w:val="_PLD_c82eb64547054aa39a1b7bfe7c532e2e"/>
                <w:id w:val="-853349021"/>
                <w:lock w:val="sdtLocked"/>
              </w:sdtPr>
              <w:sdtEndPr/>
              <w:sdtContent>
                <w:tc>
                  <w:tcPr>
                    <w:tcW w:w="931" w:type="pct"/>
                    <w:shd w:val="clear" w:color="auto" w:fill="auto"/>
                    <w:vAlign w:val="center"/>
                  </w:tcPr>
                  <w:p w14:paraId="06AA62D9"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可抵扣暂时性差异</w:t>
                    </w:r>
                  </w:p>
                </w:tc>
              </w:sdtContent>
            </w:sdt>
            <w:sdt>
              <w:sdtPr>
                <w:rPr>
                  <w:rFonts w:ascii="Times New Roman" w:hAnsi="Times New Roman" w:cs="Times New Roman"/>
                </w:rPr>
                <w:tag w:val="_PLD_ad2e47975c52486d8bfc7fec079252de"/>
                <w:id w:val="1275439172"/>
                <w:lock w:val="sdtLocked"/>
              </w:sdtPr>
              <w:sdtEndPr/>
              <w:sdtContent>
                <w:tc>
                  <w:tcPr>
                    <w:tcW w:w="931" w:type="pct"/>
                    <w:shd w:val="clear" w:color="auto" w:fill="auto"/>
                    <w:vAlign w:val="center"/>
                  </w:tcPr>
                  <w:p w14:paraId="519ECBB7"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递延所得税</w:t>
                    </w:r>
                  </w:p>
                  <w:p w14:paraId="53F9FDC0"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资产</w:t>
                    </w:r>
                  </w:p>
                </w:tc>
              </w:sdtContent>
            </w:sdt>
            <w:sdt>
              <w:sdtPr>
                <w:rPr>
                  <w:rFonts w:ascii="Times New Roman" w:hAnsi="Times New Roman" w:cs="Times New Roman"/>
                </w:rPr>
                <w:tag w:val="_PLD_0e0e7aabb5f8432ea9da8b4066b2e897"/>
                <w:id w:val="-1730985199"/>
                <w:lock w:val="sdtLocked"/>
              </w:sdtPr>
              <w:sdtEndPr/>
              <w:sdtContent>
                <w:tc>
                  <w:tcPr>
                    <w:tcW w:w="931" w:type="pct"/>
                    <w:shd w:val="clear" w:color="auto" w:fill="auto"/>
                    <w:vAlign w:val="center"/>
                  </w:tcPr>
                  <w:p w14:paraId="38889986"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可抵扣暂时性差异</w:t>
                    </w:r>
                  </w:p>
                </w:tc>
              </w:sdtContent>
            </w:sdt>
            <w:sdt>
              <w:sdtPr>
                <w:rPr>
                  <w:rFonts w:ascii="Times New Roman" w:hAnsi="Times New Roman" w:cs="Times New Roman"/>
                </w:rPr>
                <w:tag w:val="_PLD_34147e3346eb4b24b314e0dadaab6983"/>
                <w:id w:val="1067995164"/>
                <w:lock w:val="sdtLocked"/>
              </w:sdtPr>
              <w:sdtEndPr/>
              <w:sdtContent>
                <w:tc>
                  <w:tcPr>
                    <w:tcW w:w="931" w:type="pct"/>
                    <w:shd w:val="clear" w:color="auto" w:fill="auto"/>
                    <w:vAlign w:val="center"/>
                  </w:tcPr>
                  <w:p w14:paraId="6B767D4C"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递延所得税</w:t>
                    </w:r>
                  </w:p>
                  <w:p w14:paraId="3BB1C1B9"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资产</w:t>
                    </w:r>
                  </w:p>
                </w:tc>
              </w:sdtContent>
            </w:sdt>
          </w:tr>
          <w:sdt>
            <w:sdtPr>
              <w:rPr>
                <w:rFonts w:ascii="Times New Roman" w:hAnsi="Times New Roman" w:cs="Times New Roman"/>
                <w:szCs w:val="21"/>
              </w:rPr>
              <w:alias w:val="递延所得税资产明细"/>
              <w:tag w:val="_GBC_78d44848a87d4473a54948d3e2adbb46"/>
              <w:id w:val="-1554533395"/>
              <w:lock w:val="sdtLocked"/>
            </w:sdtPr>
            <w:sdtEndPr/>
            <w:sdtContent>
              <w:tr w:rsidR="00D21C1F" w:rsidRPr="0058263C" w14:paraId="6BBEF200" w14:textId="77777777">
                <w:trPr>
                  <w:trHeight w:val="285"/>
                </w:trPr>
                <w:tc>
                  <w:tcPr>
                    <w:tcW w:w="1274" w:type="pct"/>
                    <w:shd w:val="clear" w:color="auto" w:fill="auto"/>
                    <w:vAlign w:val="center"/>
                  </w:tcPr>
                  <w:p w14:paraId="1721943E"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可抵扣亏损</w:t>
                    </w:r>
                  </w:p>
                </w:tc>
                <w:tc>
                  <w:tcPr>
                    <w:tcW w:w="931" w:type="pct"/>
                    <w:shd w:val="clear" w:color="auto" w:fill="auto"/>
                    <w:vAlign w:val="center"/>
                  </w:tcPr>
                  <w:p w14:paraId="7E40C78A"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274,269,800.34</w:t>
                    </w:r>
                  </w:p>
                </w:tc>
                <w:tc>
                  <w:tcPr>
                    <w:tcW w:w="931" w:type="pct"/>
                    <w:shd w:val="clear" w:color="auto" w:fill="auto"/>
                    <w:vAlign w:val="center"/>
                  </w:tcPr>
                  <w:p w14:paraId="1634021B"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64,252,678.63</w:t>
                    </w:r>
                  </w:p>
                </w:tc>
                <w:tc>
                  <w:tcPr>
                    <w:tcW w:w="931" w:type="pct"/>
                    <w:shd w:val="clear" w:color="auto" w:fill="auto"/>
                  </w:tcPr>
                  <w:p w14:paraId="64417AC8"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234,070,544.11</w:t>
                    </w:r>
                  </w:p>
                </w:tc>
                <w:tc>
                  <w:tcPr>
                    <w:tcW w:w="931" w:type="pct"/>
                    <w:shd w:val="clear" w:color="auto" w:fill="auto"/>
                  </w:tcPr>
                  <w:p w14:paraId="3F10349B"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57,537,095.43</w:t>
                    </w:r>
                  </w:p>
                </w:tc>
              </w:tr>
            </w:sdtContent>
          </w:sdt>
          <w:sdt>
            <w:sdtPr>
              <w:rPr>
                <w:rFonts w:ascii="Times New Roman" w:hAnsi="Times New Roman" w:cs="Times New Roman"/>
                <w:szCs w:val="21"/>
              </w:rPr>
              <w:alias w:val="递延所得税资产明细"/>
              <w:tag w:val="_GBC_78d44848a87d4473a54948d3e2adbb46"/>
              <w:id w:val="-330913626"/>
              <w:lock w:val="sdtLocked"/>
            </w:sdtPr>
            <w:sdtEndPr/>
            <w:sdtContent>
              <w:tr w:rsidR="00D21C1F" w:rsidRPr="0058263C" w14:paraId="7EBD6B38" w14:textId="77777777">
                <w:trPr>
                  <w:trHeight w:val="285"/>
                </w:trPr>
                <w:tc>
                  <w:tcPr>
                    <w:tcW w:w="1274" w:type="pct"/>
                    <w:shd w:val="clear" w:color="auto" w:fill="auto"/>
                    <w:vAlign w:val="center"/>
                  </w:tcPr>
                  <w:p w14:paraId="1756E616"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信用减值准备</w:t>
                    </w:r>
                  </w:p>
                </w:tc>
                <w:tc>
                  <w:tcPr>
                    <w:tcW w:w="931" w:type="pct"/>
                    <w:shd w:val="clear" w:color="auto" w:fill="auto"/>
                    <w:vAlign w:val="center"/>
                  </w:tcPr>
                  <w:p w14:paraId="7BC585AC"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142,893,235.94</w:t>
                    </w:r>
                  </w:p>
                </w:tc>
                <w:tc>
                  <w:tcPr>
                    <w:tcW w:w="931" w:type="pct"/>
                    <w:shd w:val="clear" w:color="auto" w:fill="auto"/>
                    <w:vAlign w:val="center"/>
                  </w:tcPr>
                  <w:p w14:paraId="63A613B7"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33,749,140.33</w:t>
                    </w:r>
                  </w:p>
                </w:tc>
                <w:tc>
                  <w:tcPr>
                    <w:tcW w:w="931" w:type="pct"/>
                    <w:shd w:val="clear" w:color="auto" w:fill="auto"/>
                  </w:tcPr>
                  <w:p w14:paraId="754F339C"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151,958,835.96</w:t>
                    </w:r>
                  </w:p>
                </w:tc>
                <w:tc>
                  <w:tcPr>
                    <w:tcW w:w="931" w:type="pct"/>
                    <w:shd w:val="clear" w:color="auto" w:fill="auto"/>
                  </w:tcPr>
                  <w:p w14:paraId="7A7BE998"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31,177,130.32</w:t>
                    </w:r>
                  </w:p>
                </w:tc>
              </w:tr>
            </w:sdtContent>
          </w:sdt>
          <w:sdt>
            <w:sdtPr>
              <w:rPr>
                <w:rFonts w:ascii="Times New Roman" w:hAnsi="Times New Roman" w:cs="Times New Roman"/>
                <w:szCs w:val="21"/>
              </w:rPr>
              <w:alias w:val="递延所得税资产明细"/>
              <w:tag w:val="_GBC_78d44848a87d4473a54948d3e2adbb46"/>
              <w:id w:val="1382519143"/>
              <w:lock w:val="sdtLocked"/>
            </w:sdtPr>
            <w:sdtEndPr/>
            <w:sdtContent>
              <w:tr w:rsidR="00D21C1F" w:rsidRPr="0058263C" w14:paraId="76445677" w14:textId="77777777">
                <w:trPr>
                  <w:trHeight w:val="285"/>
                </w:trPr>
                <w:tc>
                  <w:tcPr>
                    <w:tcW w:w="1274" w:type="pct"/>
                    <w:shd w:val="clear" w:color="auto" w:fill="auto"/>
                    <w:vAlign w:val="center"/>
                  </w:tcPr>
                  <w:p w14:paraId="43C73F0D"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不可税前列支的负债</w:t>
                    </w:r>
                  </w:p>
                </w:tc>
                <w:tc>
                  <w:tcPr>
                    <w:tcW w:w="931" w:type="pct"/>
                    <w:shd w:val="clear" w:color="auto" w:fill="auto"/>
                    <w:vAlign w:val="center"/>
                  </w:tcPr>
                  <w:p w14:paraId="4DCAAB5D"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115,576,791.67</w:t>
                    </w:r>
                  </w:p>
                </w:tc>
                <w:tc>
                  <w:tcPr>
                    <w:tcW w:w="931" w:type="pct"/>
                    <w:shd w:val="clear" w:color="auto" w:fill="auto"/>
                    <w:vAlign w:val="center"/>
                  </w:tcPr>
                  <w:p w14:paraId="731D0039"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25,335,508.25</w:t>
                    </w:r>
                  </w:p>
                </w:tc>
                <w:tc>
                  <w:tcPr>
                    <w:tcW w:w="931" w:type="pct"/>
                    <w:shd w:val="clear" w:color="auto" w:fill="auto"/>
                    <w:vAlign w:val="center"/>
                  </w:tcPr>
                  <w:p w14:paraId="3A9E8B0F"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91,104,577.86</w:t>
                    </w:r>
                  </w:p>
                </w:tc>
                <w:tc>
                  <w:tcPr>
                    <w:tcW w:w="931" w:type="pct"/>
                    <w:shd w:val="clear" w:color="auto" w:fill="auto"/>
                    <w:vAlign w:val="center"/>
                  </w:tcPr>
                  <w:p w14:paraId="6F499E21"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17,380,820.99</w:t>
                    </w:r>
                  </w:p>
                </w:tc>
              </w:tr>
            </w:sdtContent>
          </w:sdt>
          <w:sdt>
            <w:sdtPr>
              <w:rPr>
                <w:rFonts w:ascii="Times New Roman" w:hAnsi="Times New Roman" w:cs="Times New Roman"/>
                <w:szCs w:val="21"/>
              </w:rPr>
              <w:alias w:val="递延所得税资产明细"/>
              <w:tag w:val="_GBC_78d44848a87d4473a54948d3e2adbb46"/>
              <w:id w:val="-1959633130"/>
              <w:lock w:val="sdtLocked"/>
            </w:sdtPr>
            <w:sdtEndPr/>
            <w:sdtContent>
              <w:tr w:rsidR="00D21C1F" w:rsidRPr="0058263C" w14:paraId="71ECDCA0" w14:textId="77777777">
                <w:trPr>
                  <w:trHeight w:val="285"/>
                </w:trPr>
                <w:tc>
                  <w:tcPr>
                    <w:tcW w:w="1274" w:type="pct"/>
                    <w:shd w:val="clear" w:color="auto" w:fill="auto"/>
                    <w:vAlign w:val="center"/>
                  </w:tcPr>
                  <w:p w14:paraId="36B60473"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资产减值准备</w:t>
                    </w:r>
                  </w:p>
                </w:tc>
                <w:tc>
                  <w:tcPr>
                    <w:tcW w:w="931" w:type="pct"/>
                    <w:shd w:val="clear" w:color="auto" w:fill="auto"/>
                    <w:vAlign w:val="center"/>
                  </w:tcPr>
                  <w:p w14:paraId="7FD574EF"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52,093,561.66</w:t>
                    </w:r>
                  </w:p>
                </w:tc>
                <w:tc>
                  <w:tcPr>
                    <w:tcW w:w="931" w:type="pct"/>
                    <w:shd w:val="clear" w:color="auto" w:fill="auto"/>
                    <w:vAlign w:val="center"/>
                  </w:tcPr>
                  <w:p w14:paraId="3AF3E7C4"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9,748,348.36</w:t>
                    </w:r>
                  </w:p>
                </w:tc>
                <w:tc>
                  <w:tcPr>
                    <w:tcW w:w="931" w:type="pct"/>
                    <w:shd w:val="clear" w:color="auto" w:fill="auto"/>
                  </w:tcPr>
                  <w:p w14:paraId="3A0F1642"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56,767,091.62</w:t>
                    </w:r>
                  </w:p>
                </w:tc>
                <w:tc>
                  <w:tcPr>
                    <w:tcW w:w="931" w:type="pct"/>
                    <w:shd w:val="clear" w:color="auto" w:fill="auto"/>
                  </w:tcPr>
                  <w:p w14:paraId="6FD5A376"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11,783,464.71</w:t>
                    </w:r>
                  </w:p>
                </w:tc>
              </w:tr>
            </w:sdtContent>
          </w:sdt>
          <w:sdt>
            <w:sdtPr>
              <w:rPr>
                <w:rFonts w:ascii="Times New Roman" w:hAnsi="Times New Roman" w:cs="Times New Roman"/>
                <w:szCs w:val="21"/>
              </w:rPr>
              <w:alias w:val="递延所得税资产明细"/>
              <w:tag w:val="_GBC_78d44848a87d4473a54948d3e2adbb46"/>
              <w:id w:val="592674760"/>
              <w:lock w:val="sdtLocked"/>
            </w:sdtPr>
            <w:sdtEndPr/>
            <w:sdtContent>
              <w:tr w:rsidR="00D21C1F" w:rsidRPr="0058263C" w14:paraId="611186B0" w14:textId="77777777">
                <w:trPr>
                  <w:trHeight w:val="285"/>
                </w:trPr>
                <w:tc>
                  <w:tcPr>
                    <w:tcW w:w="1274" w:type="pct"/>
                    <w:shd w:val="clear" w:color="auto" w:fill="auto"/>
                    <w:vAlign w:val="center"/>
                  </w:tcPr>
                  <w:p w14:paraId="26D8E295"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研发费用影响</w:t>
                    </w:r>
                  </w:p>
                </w:tc>
                <w:tc>
                  <w:tcPr>
                    <w:tcW w:w="931" w:type="pct"/>
                    <w:shd w:val="clear" w:color="auto" w:fill="auto"/>
                    <w:vAlign w:val="center"/>
                  </w:tcPr>
                  <w:p w14:paraId="69793CBA"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7,321,756.98</w:t>
                    </w:r>
                  </w:p>
                </w:tc>
                <w:tc>
                  <w:tcPr>
                    <w:tcW w:w="931" w:type="pct"/>
                    <w:shd w:val="clear" w:color="auto" w:fill="auto"/>
                    <w:vAlign w:val="center"/>
                  </w:tcPr>
                  <w:p w14:paraId="6B1B9A2A"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1,913,523.61</w:t>
                    </w:r>
                  </w:p>
                </w:tc>
                <w:tc>
                  <w:tcPr>
                    <w:tcW w:w="931" w:type="pct"/>
                    <w:shd w:val="clear" w:color="auto" w:fill="auto"/>
                  </w:tcPr>
                  <w:p w14:paraId="1CF61AFF"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21,144,797.87</w:t>
                    </w:r>
                  </w:p>
                </w:tc>
                <w:tc>
                  <w:tcPr>
                    <w:tcW w:w="931" w:type="pct"/>
                    <w:shd w:val="clear" w:color="auto" w:fill="auto"/>
                  </w:tcPr>
                  <w:p w14:paraId="2876651B"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5,899,398.61</w:t>
                    </w:r>
                  </w:p>
                </w:tc>
              </w:tr>
            </w:sdtContent>
          </w:sdt>
          <w:sdt>
            <w:sdtPr>
              <w:rPr>
                <w:rFonts w:ascii="Times New Roman" w:hAnsi="Times New Roman" w:cs="Times New Roman"/>
                <w:szCs w:val="21"/>
              </w:rPr>
              <w:alias w:val="递延所得税资产明细"/>
              <w:tag w:val="_GBC_78d44848a87d4473a54948d3e2adbb46"/>
              <w:id w:val="1818678829"/>
              <w:lock w:val="sdtLocked"/>
            </w:sdtPr>
            <w:sdtEndPr/>
            <w:sdtContent>
              <w:tr w:rsidR="00D21C1F" w:rsidRPr="0058263C" w14:paraId="03322774" w14:textId="77777777">
                <w:trPr>
                  <w:trHeight w:val="285"/>
                </w:trPr>
                <w:tc>
                  <w:tcPr>
                    <w:tcW w:w="1274" w:type="pct"/>
                    <w:shd w:val="clear" w:color="auto" w:fill="auto"/>
                    <w:vAlign w:val="center"/>
                  </w:tcPr>
                  <w:p w14:paraId="7868EB85"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收入暂时性差异</w:t>
                    </w:r>
                  </w:p>
                </w:tc>
                <w:tc>
                  <w:tcPr>
                    <w:tcW w:w="931" w:type="pct"/>
                    <w:shd w:val="clear" w:color="auto" w:fill="auto"/>
                    <w:vAlign w:val="center"/>
                  </w:tcPr>
                  <w:p w14:paraId="6C20487F"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w:t>
                    </w:r>
                  </w:p>
                </w:tc>
                <w:tc>
                  <w:tcPr>
                    <w:tcW w:w="931" w:type="pct"/>
                    <w:shd w:val="clear" w:color="auto" w:fill="auto"/>
                    <w:vAlign w:val="center"/>
                  </w:tcPr>
                  <w:p w14:paraId="2D8A21A8"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w:t>
                    </w:r>
                  </w:p>
                </w:tc>
                <w:tc>
                  <w:tcPr>
                    <w:tcW w:w="931" w:type="pct"/>
                    <w:shd w:val="clear" w:color="auto" w:fill="auto"/>
                    <w:vAlign w:val="center"/>
                  </w:tcPr>
                  <w:p w14:paraId="2739E4B4"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6,595,991.48</w:t>
                    </w:r>
                  </w:p>
                </w:tc>
                <w:tc>
                  <w:tcPr>
                    <w:tcW w:w="931" w:type="pct"/>
                    <w:shd w:val="clear" w:color="auto" w:fill="auto"/>
                    <w:vAlign w:val="center"/>
                  </w:tcPr>
                  <w:p w14:paraId="7307897B"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2,242,637.10</w:t>
                    </w:r>
                  </w:p>
                </w:tc>
              </w:tr>
            </w:sdtContent>
          </w:sdt>
          <w:sdt>
            <w:sdtPr>
              <w:rPr>
                <w:rFonts w:ascii="Times New Roman" w:hAnsi="Times New Roman" w:cs="Times New Roman"/>
                <w:szCs w:val="21"/>
              </w:rPr>
              <w:alias w:val="递延所得税资产明细"/>
              <w:tag w:val="_GBC_78d44848a87d4473a54948d3e2adbb46"/>
              <w:id w:val="-192993517"/>
              <w:lock w:val="sdtLocked"/>
            </w:sdtPr>
            <w:sdtEndPr/>
            <w:sdtContent>
              <w:tr w:rsidR="00D21C1F" w:rsidRPr="0058263C" w14:paraId="0C4760EF" w14:textId="77777777">
                <w:trPr>
                  <w:trHeight w:val="285"/>
                </w:trPr>
                <w:tc>
                  <w:tcPr>
                    <w:tcW w:w="1274" w:type="pct"/>
                    <w:shd w:val="clear" w:color="auto" w:fill="auto"/>
                    <w:vAlign w:val="center"/>
                  </w:tcPr>
                  <w:p w14:paraId="362032AE"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内部交易未实现利润</w:t>
                    </w:r>
                  </w:p>
                </w:tc>
                <w:tc>
                  <w:tcPr>
                    <w:tcW w:w="931" w:type="pct"/>
                    <w:shd w:val="clear" w:color="auto" w:fill="auto"/>
                    <w:vAlign w:val="center"/>
                  </w:tcPr>
                  <w:p w14:paraId="0C451721"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2,627,162.77</w:t>
                    </w:r>
                  </w:p>
                </w:tc>
                <w:tc>
                  <w:tcPr>
                    <w:tcW w:w="931" w:type="pct"/>
                    <w:shd w:val="clear" w:color="auto" w:fill="auto"/>
                    <w:vAlign w:val="center"/>
                  </w:tcPr>
                  <w:p w14:paraId="51951644"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525,432.55</w:t>
                    </w:r>
                  </w:p>
                </w:tc>
                <w:tc>
                  <w:tcPr>
                    <w:tcW w:w="931" w:type="pct"/>
                    <w:shd w:val="clear" w:color="auto" w:fill="auto"/>
                    <w:vAlign w:val="center"/>
                  </w:tcPr>
                  <w:p w14:paraId="5F842144"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4,110,562.99</w:t>
                    </w:r>
                  </w:p>
                </w:tc>
                <w:tc>
                  <w:tcPr>
                    <w:tcW w:w="931" w:type="pct"/>
                    <w:shd w:val="clear" w:color="auto" w:fill="auto"/>
                    <w:vAlign w:val="center"/>
                  </w:tcPr>
                  <w:p w14:paraId="6AFD237D"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rPr>
                      <w:t>892,909.51</w:t>
                    </w:r>
                  </w:p>
                </w:tc>
              </w:tr>
            </w:sdtContent>
          </w:sdt>
          <w:tr w:rsidR="00D21C1F" w:rsidRPr="0058263C" w14:paraId="64C2E808" w14:textId="77777777">
            <w:trPr>
              <w:trHeight w:val="285"/>
            </w:trPr>
            <w:sdt>
              <w:sdtPr>
                <w:rPr>
                  <w:rFonts w:ascii="Times New Roman" w:hAnsi="Times New Roman" w:cs="Times New Roman"/>
                </w:rPr>
                <w:tag w:val="_PLD_aff9781bbd7249709be440b59752c5c2"/>
                <w:id w:val="1295255629"/>
                <w:lock w:val="sdtLocked"/>
              </w:sdtPr>
              <w:sdtEndPr/>
              <w:sdtContent>
                <w:tc>
                  <w:tcPr>
                    <w:tcW w:w="1274" w:type="pct"/>
                    <w:shd w:val="clear" w:color="auto" w:fill="auto"/>
                    <w:vAlign w:val="center"/>
                  </w:tcPr>
                  <w:p w14:paraId="295E614E"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合计</w:t>
                    </w:r>
                  </w:p>
                </w:tc>
              </w:sdtContent>
            </w:sdt>
            <w:tc>
              <w:tcPr>
                <w:tcW w:w="931" w:type="pct"/>
                <w:shd w:val="clear" w:color="auto" w:fill="auto"/>
                <w:vAlign w:val="center"/>
              </w:tcPr>
              <w:p w14:paraId="24C7B4D2"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t>594,782,309.36</w:t>
                </w:r>
              </w:p>
            </w:tc>
            <w:tc>
              <w:tcPr>
                <w:tcW w:w="931" w:type="pct"/>
                <w:shd w:val="clear" w:color="auto" w:fill="auto"/>
                <w:vAlign w:val="center"/>
              </w:tcPr>
              <w:p w14:paraId="1C709AB5"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t>135,524,631.73</w:t>
                </w:r>
              </w:p>
            </w:tc>
            <w:tc>
              <w:tcPr>
                <w:tcW w:w="931" w:type="pct"/>
                <w:shd w:val="clear" w:color="auto" w:fill="auto"/>
              </w:tcPr>
              <w:p w14:paraId="26EBD0FF"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t>565,752,401.89</w:t>
                </w:r>
              </w:p>
            </w:tc>
            <w:tc>
              <w:tcPr>
                <w:tcW w:w="931" w:type="pct"/>
                <w:shd w:val="clear" w:color="auto" w:fill="auto"/>
              </w:tcPr>
              <w:p w14:paraId="3FBD85CD"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t>126,913,456.67</w:t>
                </w:r>
              </w:p>
            </w:tc>
          </w:tr>
        </w:tbl>
        <w:p w14:paraId="244C5D97" w14:textId="77777777" w:rsidR="00D21C1F" w:rsidRDefault="00045EC6">
          <w:pPr>
            <w:pStyle w:val="97"/>
          </w:pPr>
        </w:p>
      </w:sdtContent>
    </w:sdt>
    <w:bookmarkStart w:id="246" w:name="_Hlk11160621" w:displacedByCustomXml="next"/>
    <w:sdt>
      <w:sdtPr>
        <w:rPr>
          <w:rFonts w:ascii="Times New Roman" w:hAnsi="Times New Roman" w:cs="宋体"/>
          <w:b w:val="0"/>
          <w:bCs w:val="0"/>
          <w:kern w:val="0"/>
          <w:szCs w:val="24"/>
        </w:rPr>
        <w:alias w:val="模块:未经抵销的递延所得税负债"/>
        <w:tag w:val="_SEC_022eb52f9e1542cbb5aaa5a287b8ee2a"/>
        <w:id w:val="-483393353"/>
        <w:lock w:val="sdtLocked"/>
        <w:placeholder>
          <w:docPart w:val="GBC22222222222222222222222222222"/>
        </w:placeholder>
      </w:sdtPr>
      <w:sdtEndPr/>
      <w:sdtContent>
        <w:p w14:paraId="20AF25CD" w14:textId="77777777" w:rsidR="00D21C1F" w:rsidRPr="0058263C" w:rsidRDefault="00A42880">
          <w:pPr>
            <w:pStyle w:val="93"/>
            <w:numPr>
              <w:ilvl w:val="0"/>
              <w:numId w:val="112"/>
            </w:numPr>
            <w:tabs>
              <w:tab w:val="left" w:pos="588"/>
              <w:tab w:val="left" w:pos="616"/>
            </w:tabs>
            <w:rPr>
              <w:rFonts w:ascii="Times New Roman" w:hAnsi="Times New Roman"/>
            </w:rPr>
          </w:pPr>
          <w:r w:rsidRPr="0058263C">
            <w:rPr>
              <w:rFonts w:ascii="Times New Roman" w:hAnsi="Times New Roman"/>
            </w:rPr>
            <w:t>未经抵销的递延所得税负债</w:t>
          </w:r>
        </w:p>
        <w:sdt>
          <w:sdtPr>
            <w:rPr>
              <w:rFonts w:ascii="Times New Roman" w:hAnsi="Times New Roman" w:cs="Times New Roman"/>
            </w:rPr>
            <w:alias w:val="是否适用：未经抵销的递延所得税负债[双击切换]"/>
            <w:tag w:val="_GBC_e9cf2825b61d4a9ca57e90c2ed017173"/>
            <w:id w:val="1397545283"/>
            <w:lock w:val="sdtLocked"/>
            <w:placeholder>
              <w:docPart w:val="GBC22222222222222222222222222222"/>
            </w:placeholder>
          </w:sdtPr>
          <w:sdtEndPr/>
          <w:sdtContent>
            <w:p w14:paraId="7A49E8EF"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不适用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p>
          </w:sdtContent>
        </w:sdt>
        <w:p w14:paraId="007A1343" w14:textId="77777777" w:rsidR="00D21C1F" w:rsidRPr="0058263C" w:rsidRDefault="00A42880">
          <w:pPr>
            <w:jc w:val="right"/>
            <w:rPr>
              <w:rFonts w:ascii="Times New Roman" w:hAnsi="Times New Roman" w:cs="Times New Roman"/>
            </w:rPr>
          </w:pPr>
          <w:r w:rsidRPr="0058263C">
            <w:rPr>
              <w:rFonts w:ascii="Times New Roman" w:hAnsi="Times New Roman" w:cs="Times New Roman"/>
            </w:rPr>
            <w:t>单位：</w:t>
          </w:r>
          <w:sdt>
            <w:sdtPr>
              <w:rPr>
                <w:rFonts w:ascii="Times New Roman" w:hAnsi="Times New Roman" w:cs="Times New Roman"/>
              </w:rPr>
              <w:alias w:val="单位：财务附注：未经抵销的递延所得税负债"/>
              <w:tag w:val="_GBC_7fa4a7048e284eb79ceb0dee5165516f"/>
              <w:id w:val="10865020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8263C">
                <w:rPr>
                  <w:rFonts w:ascii="Times New Roman" w:hAnsi="Times New Roman" w:cs="Times New Roman"/>
                </w:rPr>
                <w:t>元</w:t>
              </w:r>
            </w:sdtContent>
          </w:sdt>
          <w:r w:rsidRPr="0058263C">
            <w:rPr>
              <w:rFonts w:ascii="Times New Roman" w:hAnsi="Times New Roman" w:cs="Times New Roman"/>
            </w:rPr>
            <w:t>币种：</w:t>
          </w:r>
          <w:sdt>
            <w:sdtPr>
              <w:rPr>
                <w:rFonts w:ascii="Times New Roman" w:hAnsi="Times New Roman" w:cs="Times New Roman"/>
              </w:rPr>
              <w:alias w:val="币种：财务附注：未经抵销的递延所得税负债"/>
              <w:tag w:val="_GBC_85beae3a7d624858bfe37a33da15472b"/>
              <w:id w:val="-1354336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58263C">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645"/>
            <w:gridCol w:w="1611"/>
            <w:gridCol w:w="1645"/>
            <w:gridCol w:w="1620"/>
          </w:tblGrid>
          <w:tr w:rsidR="00D21C1F" w:rsidRPr="0058263C" w14:paraId="7A6433C4" w14:textId="77777777">
            <w:trPr>
              <w:trHeight w:val="285"/>
            </w:trPr>
            <w:sdt>
              <w:sdtPr>
                <w:rPr>
                  <w:rFonts w:ascii="Times New Roman" w:hAnsi="Times New Roman" w:cs="Times New Roman"/>
                </w:rPr>
                <w:tag w:val="_PLD_66ef6111bb2d4b3792b581d6ff38c8d2"/>
                <w:id w:val="-1151127487"/>
                <w:lock w:val="sdtLocked"/>
              </w:sdtPr>
              <w:sdtEndPr/>
              <w:sdtContent>
                <w:tc>
                  <w:tcPr>
                    <w:tcW w:w="1305" w:type="pct"/>
                    <w:vMerge w:val="restart"/>
                    <w:shd w:val="clear" w:color="auto" w:fill="auto"/>
                    <w:vAlign w:val="center"/>
                  </w:tcPr>
                  <w:p w14:paraId="66419D52"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项目</w:t>
                    </w:r>
                  </w:p>
                </w:tc>
              </w:sdtContent>
            </w:sdt>
            <w:sdt>
              <w:sdtPr>
                <w:rPr>
                  <w:rFonts w:ascii="Times New Roman" w:hAnsi="Times New Roman" w:cs="Times New Roman"/>
                </w:rPr>
                <w:tag w:val="_PLD_b850d4f63866495f80e69799c9ea1b37"/>
                <w:id w:val="-1975744176"/>
                <w:lock w:val="sdtLocked"/>
              </w:sdtPr>
              <w:sdtEndPr/>
              <w:sdtContent>
                <w:tc>
                  <w:tcPr>
                    <w:tcW w:w="1845" w:type="pct"/>
                    <w:gridSpan w:val="2"/>
                    <w:shd w:val="clear" w:color="auto" w:fill="auto"/>
                    <w:vAlign w:val="center"/>
                  </w:tcPr>
                  <w:p w14:paraId="7E3D4487"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期末余额</w:t>
                    </w:r>
                  </w:p>
                </w:tc>
              </w:sdtContent>
            </w:sdt>
            <w:sdt>
              <w:sdtPr>
                <w:rPr>
                  <w:rFonts w:ascii="Times New Roman" w:hAnsi="Times New Roman" w:cs="Times New Roman"/>
                </w:rPr>
                <w:tag w:val="_PLD_951c3eee882c4aaa862f620814f6ce4e"/>
                <w:id w:val="591121831"/>
                <w:lock w:val="sdtLocked"/>
              </w:sdtPr>
              <w:sdtEndPr/>
              <w:sdtContent>
                <w:tc>
                  <w:tcPr>
                    <w:tcW w:w="1850" w:type="pct"/>
                    <w:gridSpan w:val="2"/>
                    <w:shd w:val="clear" w:color="auto" w:fill="auto"/>
                    <w:vAlign w:val="center"/>
                  </w:tcPr>
                  <w:p w14:paraId="0F7AF05F"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期初余额</w:t>
                    </w:r>
                  </w:p>
                </w:tc>
              </w:sdtContent>
            </w:sdt>
          </w:tr>
          <w:tr w:rsidR="00D21C1F" w:rsidRPr="0058263C" w14:paraId="02521862" w14:textId="77777777">
            <w:trPr>
              <w:trHeight w:val="285"/>
            </w:trPr>
            <w:tc>
              <w:tcPr>
                <w:tcW w:w="1305" w:type="pct"/>
                <w:vMerge/>
                <w:shd w:val="clear" w:color="auto" w:fill="auto"/>
                <w:vAlign w:val="center"/>
              </w:tcPr>
              <w:p w14:paraId="7122DC70" w14:textId="77777777" w:rsidR="00D21C1F" w:rsidRPr="0058263C" w:rsidRDefault="00D21C1F">
                <w:pPr>
                  <w:jc w:val="center"/>
                  <w:rPr>
                    <w:rFonts w:ascii="Times New Roman" w:hAnsi="Times New Roman" w:cs="Times New Roman"/>
                    <w:b/>
                    <w:szCs w:val="21"/>
                  </w:rPr>
                </w:pPr>
              </w:p>
            </w:tc>
            <w:sdt>
              <w:sdtPr>
                <w:rPr>
                  <w:rFonts w:ascii="Times New Roman" w:hAnsi="Times New Roman" w:cs="Times New Roman"/>
                </w:rPr>
                <w:tag w:val="_PLD_f33e3c528ff14a2bac81ec99970641f6"/>
                <w:id w:val="-301235987"/>
                <w:lock w:val="sdtLocked"/>
              </w:sdtPr>
              <w:sdtEndPr/>
              <w:sdtContent>
                <w:tc>
                  <w:tcPr>
                    <w:tcW w:w="932" w:type="pct"/>
                    <w:shd w:val="clear" w:color="auto" w:fill="auto"/>
                    <w:vAlign w:val="center"/>
                  </w:tcPr>
                  <w:p w14:paraId="616FA6CD"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应纳税暂时性差异</w:t>
                    </w:r>
                  </w:p>
                </w:tc>
              </w:sdtContent>
            </w:sdt>
            <w:sdt>
              <w:sdtPr>
                <w:rPr>
                  <w:rFonts w:ascii="Times New Roman" w:hAnsi="Times New Roman" w:cs="Times New Roman"/>
                </w:rPr>
                <w:tag w:val="_PLD_0cb734f9904e4a57a5107d601b9b38d1"/>
                <w:id w:val="1414212095"/>
                <w:lock w:val="sdtLocked"/>
              </w:sdtPr>
              <w:sdtEndPr/>
              <w:sdtContent>
                <w:tc>
                  <w:tcPr>
                    <w:tcW w:w="913" w:type="pct"/>
                    <w:shd w:val="clear" w:color="auto" w:fill="auto"/>
                    <w:vAlign w:val="center"/>
                  </w:tcPr>
                  <w:p w14:paraId="135EF8E4"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递延所得税</w:t>
                    </w:r>
                  </w:p>
                  <w:p w14:paraId="3D7F0451"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负债</w:t>
                    </w:r>
                  </w:p>
                </w:tc>
              </w:sdtContent>
            </w:sdt>
            <w:sdt>
              <w:sdtPr>
                <w:rPr>
                  <w:rFonts w:ascii="Times New Roman" w:hAnsi="Times New Roman" w:cs="Times New Roman"/>
                </w:rPr>
                <w:tag w:val="_PLD_ddf3980c66a840e782386c14bb078052"/>
                <w:id w:val="1885060267"/>
                <w:lock w:val="sdtLocked"/>
              </w:sdtPr>
              <w:sdtEndPr/>
              <w:sdtContent>
                <w:tc>
                  <w:tcPr>
                    <w:tcW w:w="932" w:type="pct"/>
                    <w:shd w:val="clear" w:color="auto" w:fill="auto"/>
                    <w:vAlign w:val="center"/>
                  </w:tcPr>
                  <w:p w14:paraId="4CD567D3"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应纳税暂时性差异</w:t>
                    </w:r>
                  </w:p>
                </w:tc>
              </w:sdtContent>
            </w:sdt>
            <w:sdt>
              <w:sdtPr>
                <w:rPr>
                  <w:rFonts w:ascii="Times New Roman" w:hAnsi="Times New Roman" w:cs="Times New Roman"/>
                </w:rPr>
                <w:tag w:val="_PLD_590dc17e8304449fbff47c3b3cd45eb5"/>
                <w:id w:val="1576165954"/>
                <w:lock w:val="sdtLocked"/>
              </w:sdtPr>
              <w:sdtEndPr/>
              <w:sdtContent>
                <w:tc>
                  <w:tcPr>
                    <w:tcW w:w="918" w:type="pct"/>
                    <w:shd w:val="clear" w:color="auto" w:fill="auto"/>
                    <w:vAlign w:val="center"/>
                  </w:tcPr>
                  <w:p w14:paraId="31FCDFAC"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递延所得税</w:t>
                    </w:r>
                  </w:p>
                  <w:p w14:paraId="4D1D910A"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负债</w:t>
                    </w:r>
                  </w:p>
                </w:tc>
              </w:sdtContent>
            </w:sdt>
          </w:tr>
          <w:tr w:rsidR="00D21C1F" w:rsidRPr="0058263C" w14:paraId="30D88D3A" w14:textId="77777777" w:rsidTr="0058263C">
            <w:trPr>
              <w:trHeight w:val="285"/>
            </w:trPr>
            <w:sdt>
              <w:sdtPr>
                <w:rPr>
                  <w:rFonts w:ascii="Times New Roman" w:hAnsi="Times New Roman" w:cs="Times New Roman"/>
                </w:rPr>
                <w:tag w:val="_PLD_82ac8bb49f704e4d94c96a530da54377"/>
                <w:id w:val="-901984712"/>
                <w:lock w:val="sdtLocked"/>
              </w:sdtPr>
              <w:sdtEndPr/>
              <w:sdtContent>
                <w:tc>
                  <w:tcPr>
                    <w:tcW w:w="1305" w:type="pct"/>
                    <w:shd w:val="clear" w:color="auto" w:fill="auto"/>
                  </w:tcPr>
                  <w:p w14:paraId="227E22B9" w14:textId="77777777" w:rsidR="00D21C1F" w:rsidRPr="0058263C" w:rsidRDefault="00A42880">
                    <w:pPr>
                      <w:rPr>
                        <w:rFonts w:ascii="Times New Roman" w:hAnsi="Times New Roman" w:cs="Times New Roman"/>
                        <w:szCs w:val="21"/>
                      </w:rPr>
                    </w:pPr>
                    <w:r w:rsidRPr="0058263C">
                      <w:rPr>
                        <w:rFonts w:ascii="Times New Roman" w:hAnsi="Times New Roman" w:cs="Times New Roman"/>
                        <w:szCs w:val="21"/>
                      </w:rPr>
                      <w:t>非同一控制企业合并资产评估增值</w:t>
                    </w:r>
                  </w:p>
                </w:tc>
              </w:sdtContent>
            </w:sdt>
            <w:tc>
              <w:tcPr>
                <w:tcW w:w="932" w:type="pct"/>
                <w:shd w:val="clear" w:color="auto" w:fill="auto"/>
                <w:vAlign w:val="center"/>
              </w:tcPr>
              <w:p w14:paraId="5C06D2BF"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264,411,151.83</w:t>
                </w:r>
              </w:p>
            </w:tc>
            <w:tc>
              <w:tcPr>
                <w:tcW w:w="913" w:type="pct"/>
                <w:shd w:val="clear" w:color="auto" w:fill="auto"/>
                <w:vAlign w:val="center"/>
              </w:tcPr>
              <w:p w14:paraId="0CCFDB6E"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66,254,405.41</w:t>
                </w:r>
              </w:p>
            </w:tc>
            <w:tc>
              <w:tcPr>
                <w:tcW w:w="932" w:type="pct"/>
                <w:shd w:val="clear" w:color="auto" w:fill="auto"/>
                <w:vAlign w:val="center"/>
              </w:tcPr>
              <w:p w14:paraId="1D21CFF9"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288,848,560.93</w:t>
                </w:r>
              </w:p>
            </w:tc>
            <w:tc>
              <w:tcPr>
                <w:tcW w:w="918" w:type="pct"/>
                <w:shd w:val="clear" w:color="auto" w:fill="auto"/>
                <w:vAlign w:val="center"/>
              </w:tcPr>
              <w:p w14:paraId="35344219"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72,895,743.09</w:t>
                </w:r>
              </w:p>
            </w:tc>
          </w:tr>
          <w:sdt>
            <w:sdtPr>
              <w:rPr>
                <w:rFonts w:ascii="Times New Roman" w:hAnsi="Times New Roman" w:cs="Times New Roman"/>
                <w:szCs w:val="21"/>
              </w:rPr>
              <w:alias w:val="递延所得税负债明细"/>
              <w:tag w:val="_GBC_b1614c80d1bd478fbd0f56aa84238e04"/>
              <w:id w:val="-1863743406"/>
              <w:lock w:val="sdtLocked"/>
            </w:sdtPr>
            <w:sdtEndPr/>
            <w:sdtContent>
              <w:tr w:rsidR="00D21C1F" w:rsidRPr="0058263C" w14:paraId="461865C2" w14:textId="77777777" w:rsidTr="0058263C">
                <w:trPr>
                  <w:trHeight w:val="285"/>
                </w:trPr>
                <w:tc>
                  <w:tcPr>
                    <w:tcW w:w="1305" w:type="pct"/>
                    <w:shd w:val="clear" w:color="auto" w:fill="auto"/>
                    <w:vAlign w:val="center"/>
                  </w:tcPr>
                  <w:p w14:paraId="7EAEC33B"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收入暂时性差异</w:t>
                    </w:r>
                  </w:p>
                </w:tc>
                <w:tc>
                  <w:tcPr>
                    <w:tcW w:w="932" w:type="pct"/>
                    <w:shd w:val="clear" w:color="auto" w:fill="auto"/>
                    <w:vAlign w:val="center"/>
                  </w:tcPr>
                  <w:p w14:paraId="1184B47C"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10,515,192.86</w:t>
                    </w:r>
                  </w:p>
                </w:tc>
                <w:tc>
                  <w:tcPr>
                    <w:tcW w:w="913" w:type="pct"/>
                    <w:shd w:val="clear" w:color="auto" w:fill="auto"/>
                    <w:vAlign w:val="center"/>
                  </w:tcPr>
                  <w:p w14:paraId="2B0CAAE0"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2,014,637.19</w:t>
                    </w:r>
                  </w:p>
                </w:tc>
                <w:tc>
                  <w:tcPr>
                    <w:tcW w:w="932" w:type="pct"/>
                    <w:shd w:val="clear" w:color="auto" w:fill="auto"/>
                    <w:vAlign w:val="center"/>
                  </w:tcPr>
                  <w:p w14:paraId="20042533"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14,531,840.72</w:t>
                    </w:r>
                  </w:p>
                </w:tc>
                <w:tc>
                  <w:tcPr>
                    <w:tcW w:w="918" w:type="pct"/>
                    <w:shd w:val="clear" w:color="auto" w:fill="auto"/>
                    <w:vAlign w:val="center"/>
                  </w:tcPr>
                  <w:p w14:paraId="5A13D67D"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2,780,710.22</w:t>
                    </w:r>
                  </w:p>
                </w:tc>
              </w:tr>
            </w:sdtContent>
          </w:sdt>
          <w:sdt>
            <w:sdtPr>
              <w:rPr>
                <w:rFonts w:ascii="Times New Roman" w:hAnsi="Times New Roman" w:cs="Times New Roman"/>
                <w:szCs w:val="21"/>
              </w:rPr>
              <w:alias w:val="递延所得税负债明细"/>
              <w:tag w:val="_GBC_b1614c80d1bd478fbd0f56aa84238e04"/>
              <w:id w:val="186270024"/>
              <w:lock w:val="sdtLocked"/>
            </w:sdtPr>
            <w:sdtEndPr>
              <w:rPr>
                <w:szCs w:val="24"/>
              </w:rPr>
            </w:sdtEndPr>
            <w:sdtContent>
              <w:tr w:rsidR="00D21C1F" w:rsidRPr="0058263C" w14:paraId="491CA6A6" w14:textId="77777777" w:rsidTr="0058263C">
                <w:trPr>
                  <w:trHeight w:val="285"/>
                </w:trPr>
                <w:tc>
                  <w:tcPr>
                    <w:tcW w:w="1305" w:type="pct"/>
                    <w:shd w:val="clear" w:color="auto" w:fill="auto"/>
                    <w:vAlign w:val="center"/>
                  </w:tcPr>
                  <w:p w14:paraId="31048FFB"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商誉税法与会计摊销差异影响</w:t>
                    </w:r>
                  </w:p>
                </w:tc>
                <w:tc>
                  <w:tcPr>
                    <w:tcW w:w="932" w:type="pct"/>
                    <w:shd w:val="clear" w:color="auto" w:fill="auto"/>
                    <w:vAlign w:val="center"/>
                  </w:tcPr>
                  <w:p w14:paraId="1714551F"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1,518,365.84</w:t>
                    </w:r>
                  </w:p>
                </w:tc>
                <w:tc>
                  <w:tcPr>
                    <w:tcW w:w="913" w:type="pct"/>
                    <w:shd w:val="clear" w:color="auto" w:fill="auto"/>
                    <w:vAlign w:val="center"/>
                  </w:tcPr>
                  <w:p w14:paraId="02123DF0"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288,489.53</w:t>
                    </w:r>
                  </w:p>
                </w:tc>
                <w:tc>
                  <w:tcPr>
                    <w:tcW w:w="932" w:type="pct"/>
                    <w:shd w:val="clear" w:color="auto" w:fill="auto"/>
                    <w:vAlign w:val="center"/>
                  </w:tcPr>
                  <w:p w14:paraId="10DED218"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1,340,546.80</w:t>
                    </w:r>
                  </w:p>
                </w:tc>
                <w:tc>
                  <w:tcPr>
                    <w:tcW w:w="918" w:type="pct"/>
                    <w:shd w:val="clear" w:color="auto" w:fill="auto"/>
                    <w:vAlign w:val="center"/>
                  </w:tcPr>
                  <w:p w14:paraId="4F2E9526"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254,703.89</w:t>
                    </w:r>
                  </w:p>
                </w:tc>
              </w:tr>
            </w:sdtContent>
          </w:sdt>
          <w:sdt>
            <w:sdtPr>
              <w:rPr>
                <w:rFonts w:ascii="Times New Roman" w:hAnsi="Times New Roman" w:cs="Times New Roman"/>
                <w:szCs w:val="21"/>
              </w:rPr>
              <w:alias w:val="递延所得税负债明细"/>
              <w:tag w:val="_GBC_b1614c80d1bd478fbd0f56aa84238e04"/>
              <w:id w:val="-1424109697"/>
              <w:lock w:val="sdtLocked"/>
            </w:sdtPr>
            <w:sdtEndPr>
              <w:rPr>
                <w:szCs w:val="24"/>
              </w:rPr>
            </w:sdtEndPr>
            <w:sdtContent>
              <w:tr w:rsidR="00D21C1F" w:rsidRPr="0058263C" w14:paraId="44B5A219" w14:textId="77777777" w:rsidTr="0058263C">
                <w:trPr>
                  <w:trHeight w:val="285"/>
                </w:trPr>
                <w:tc>
                  <w:tcPr>
                    <w:tcW w:w="1305" w:type="pct"/>
                    <w:shd w:val="clear" w:color="auto" w:fill="auto"/>
                    <w:vAlign w:val="center"/>
                  </w:tcPr>
                  <w:p w14:paraId="6B3211F5"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固定资产折旧会计及税法差异</w:t>
                    </w:r>
                  </w:p>
                </w:tc>
                <w:tc>
                  <w:tcPr>
                    <w:tcW w:w="932" w:type="pct"/>
                    <w:shd w:val="clear" w:color="auto" w:fill="auto"/>
                    <w:vAlign w:val="center"/>
                  </w:tcPr>
                  <w:p w14:paraId="7AE7D42B"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3,429,301.27</w:t>
                    </w:r>
                  </w:p>
                </w:tc>
                <w:tc>
                  <w:tcPr>
                    <w:tcW w:w="913" w:type="pct"/>
                    <w:shd w:val="clear" w:color="auto" w:fill="auto"/>
                    <w:vAlign w:val="center"/>
                  </w:tcPr>
                  <w:p w14:paraId="2AC372AE"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943,057.83</w:t>
                    </w:r>
                  </w:p>
                </w:tc>
                <w:tc>
                  <w:tcPr>
                    <w:tcW w:w="932" w:type="pct"/>
                    <w:shd w:val="clear" w:color="auto" w:fill="auto"/>
                    <w:vAlign w:val="center"/>
                  </w:tcPr>
                  <w:p w14:paraId="271336D5"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2,605,352.73</w:t>
                    </w:r>
                  </w:p>
                </w:tc>
                <w:tc>
                  <w:tcPr>
                    <w:tcW w:w="918" w:type="pct"/>
                    <w:shd w:val="clear" w:color="auto" w:fill="auto"/>
                    <w:vAlign w:val="center"/>
                  </w:tcPr>
                  <w:p w14:paraId="272B5702"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716,472.00</w:t>
                    </w:r>
                  </w:p>
                </w:tc>
              </w:tr>
            </w:sdtContent>
          </w:sdt>
          <w:sdt>
            <w:sdtPr>
              <w:rPr>
                <w:rFonts w:ascii="Times New Roman" w:hAnsi="Times New Roman" w:cs="Times New Roman"/>
                <w:szCs w:val="21"/>
              </w:rPr>
              <w:alias w:val="递延所得税负债明细"/>
              <w:tag w:val="_GBC_b1614c80d1bd478fbd0f56aa84238e04"/>
              <w:id w:val="-1689211270"/>
              <w:lock w:val="sdtLocked"/>
            </w:sdtPr>
            <w:sdtEndPr>
              <w:rPr>
                <w:szCs w:val="24"/>
              </w:rPr>
            </w:sdtEndPr>
            <w:sdtContent>
              <w:tr w:rsidR="00D21C1F" w:rsidRPr="0058263C" w14:paraId="3D227E89" w14:textId="77777777" w:rsidTr="0058263C">
                <w:trPr>
                  <w:trHeight w:val="285"/>
                </w:trPr>
                <w:tc>
                  <w:tcPr>
                    <w:tcW w:w="1305" w:type="pct"/>
                    <w:shd w:val="clear" w:color="auto" w:fill="auto"/>
                    <w:vAlign w:val="center"/>
                  </w:tcPr>
                  <w:p w14:paraId="07185FAB"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未实现汇兑损益</w:t>
                    </w:r>
                  </w:p>
                </w:tc>
                <w:tc>
                  <w:tcPr>
                    <w:tcW w:w="932" w:type="pct"/>
                    <w:shd w:val="clear" w:color="auto" w:fill="auto"/>
                    <w:vAlign w:val="center"/>
                  </w:tcPr>
                  <w:p w14:paraId="4D1ADAA4"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758,339.78</w:t>
                    </w:r>
                  </w:p>
                </w:tc>
                <w:tc>
                  <w:tcPr>
                    <w:tcW w:w="913" w:type="pct"/>
                    <w:shd w:val="clear" w:color="auto" w:fill="auto"/>
                    <w:vAlign w:val="center"/>
                  </w:tcPr>
                  <w:p w14:paraId="1A42B646"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144,084.58</w:t>
                    </w:r>
                  </w:p>
                </w:tc>
                <w:tc>
                  <w:tcPr>
                    <w:tcW w:w="932" w:type="pct"/>
                    <w:shd w:val="clear" w:color="auto" w:fill="auto"/>
                    <w:vAlign w:val="center"/>
                  </w:tcPr>
                  <w:p w14:paraId="0C57561A"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4,457,565.54</w:t>
                    </w:r>
                  </w:p>
                </w:tc>
                <w:tc>
                  <w:tcPr>
                    <w:tcW w:w="918" w:type="pct"/>
                    <w:shd w:val="clear" w:color="auto" w:fill="auto"/>
                    <w:vAlign w:val="center"/>
                  </w:tcPr>
                  <w:p w14:paraId="0D8EDF8B"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846,937.45</w:t>
                    </w:r>
                  </w:p>
                </w:tc>
              </w:tr>
            </w:sdtContent>
          </w:sdt>
          <w:sdt>
            <w:sdtPr>
              <w:rPr>
                <w:rFonts w:ascii="Times New Roman" w:hAnsi="Times New Roman" w:cs="Times New Roman"/>
                <w:szCs w:val="21"/>
              </w:rPr>
              <w:alias w:val="递延所得税负债明细"/>
              <w:tag w:val="_GBC_b1614c80d1bd478fbd0f56aa84238e04"/>
              <w:id w:val="-279193695"/>
              <w:lock w:val="sdtLocked"/>
            </w:sdtPr>
            <w:sdtEndPr>
              <w:rPr>
                <w:szCs w:val="24"/>
              </w:rPr>
            </w:sdtEndPr>
            <w:sdtContent>
              <w:tr w:rsidR="00D21C1F" w:rsidRPr="0058263C" w14:paraId="0851A121" w14:textId="77777777" w:rsidTr="0058263C">
                <w:trPr>
                  <w:trHeight w:val="285"/>
                </w:trPr>
                <w:tc>
                  <w:tcPr>
                    <w:tcW w:w="1305" w:type="pct"/>
                    <w:shd w:val="clear" w:color="auto" w:fill="auto"/>
                    <w:vAlign w:val="center"/>
                  </w:tcPr>
                  <w:p w14:paraId="6F5D1998"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未实现内部交易</w:t>
                    </w:r>
                  </w:p>
                </w:tc>
                <w:tc>
                  <w:tcPr>
                    <w:tcW w:w="932" w:type="pct"/>
                    <w:shd w:val="clear" w:color="auto" w:fill="auto"/>
                    <w:vAlign w:val="center"/>
                  </w:tcPr>
                  <w:p w14:paraId="61ABD587"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937,315.56</w:t>
                    </w:r>
                  </w:p>
                </w:tc>
                <w:tc>
                  <w:tcPr>
                    <w:tcW w:w="913" w:type="pct"/>
                    <w:shd w:val="clear" w:color="auto" w:fill="auto"/>
                    <w:vAlign w:val="center"/>
                  </w:tcPr>
                  <w:p w14:paraId="182B78E2"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224,375.79</w:t>
                    </w:r>
                  </w:p>
                </w:tc>
                <w:tc>
                  <w:tcPr>
                    <w:tcW w:w="932" w:type="pct"/>
                    <w:shd w:val="clear" w:color="auto" w:fill="auto"/>
                    <w:vAlign w:val="center"/>
                  </w:tcPr>
                  <w:p w14:paraId="56C92B99"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793,235.37</w:t>
                    </w:r>
                  </w:p>
                </w:tc>
                <w:tc>
                  <w:tcPr>
                    <w:tcW w:w="918" w:type="pct"/>
                    <w:shd w:val="clear" w:color="auto" w:fill="auto"/>
                    <w:vAlign w:val="center"/>
                  </w:tcPr>
                  <w:p w14:paraId="7E9A80F1"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245,123.06</w:t>
                    </w:r>
                  </w:p>
                </w:tc>
              </w:tr>
            </w:sdtContent>
          </w:sdt>
          <w:sdt>
            <w:sdtPr>
              <w:rPr>
                <w:rFonts w:ascii="Times New Roman" w:hAnsi="Times New Roman" w:cs="Times New Roman"/>
                <w:szCs w:val="21"/>
              </w:rPr>
              <w:alias w:val="递延所得税负债明细"/>
              <w:tag w:val="_GBC_b1614c80d1bd478fbd0f56aa84238e04"/>
              <w:id w:val="-1309005807"/>
              <w:lock w:val="sdtLocked"/>
            </w:sdtPr>
            <w:sdtEndPr/>
            <w:sdtContent>
              <w:tr w:rsidR="00D21C1F" w:rsidRPr="0058263C" w14:paraId="1E2970F0" w14:textId="77777777" w:rsidTr="0058263C">
                <w:trPr>
                  <w:trHeight w:val="285"/>
                </w:trPr>
                <w:tc>
                  <w:tcPr>
                    <w:tcW w:w="1305" w:type="pct"/>
                    <w:shd w:val="clear" w:color="auto" w:fill="auto"/>
                    <w:vAlign w:val="center"/>
                  </w:tcPr>
                  <w:p w14:paraId="3E9F20F7"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公允价值变动</w:t>
                    </w:r>
                  </w:p>
                </w:tc>
                <w:tc>
                  <w:tcPr>
                    <w:tcW w:w="932" w:type="pct"/>
                    <w:shd w:val="clear" w:color="auto" w:fill="auto"/>
                    <w:vAlign w:val="center"/>
                  </w:tcPr>
                  <w:p w14:paraId="79C0837C"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80,250,000.00</w:t>
                    </w:r>
                  </w:p>
                </w:tc>
                <w:tc>
                  <w:tcPr>
                    <w:tcW w:w="913" w:type="pct"/>
                    <w:shd w:val="clear" w:color="auto" w:fill="auto"/>
                    <w:vAlign w:val="center"/>
                  </w:tcPr>
                  <w:p w14:paraId="6981317E"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12,037,500.00</w:t>
                    </w:r>
                  </w:p>
                </w:tc>
                <w:tc>
                  <w:tcPr>
                    <w:tcW w:w="932" w:type="pct"/>
                    <w:shd w:val="clear" w:color="auto" w:fill="auto"/>
                    <w:vAlign w:val="center"/>
                  </w:tcPr>
                  <w:p w14:paraId="1C549BF2"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90,330,000.00</w:t>
                    </w:r>
                  </w:p>
                </w:tc>
                <w:tc>
                  <w:tcPr>
                    <w:tcW w:w="918" w:type="pct"/>
                    <w:shd w:val="clear" w:color="auto" w:fill="auto"/>
                    <w:vAlign w:val="center"/>
                  </w:tcPr>
                  <w:p w14:paraId="74EF5F57" w14:textId="77777777" w:rsidR="00D21C1F" w:rsidRPr="0058263C" w:rsidRDefault="00A42880" w:rsidP="0058263C">
                    <w:pPr>
                      <w:jc w:val="right"/>
                      <w:rPr>
                        <w:rFonts w:ascii="Times New Roman" w:hAnsi="Times New Roman" w:cs="Times New Roman"/>
                        <w:szCs w:val="21"/>
                      </w:rPr>
                    </w:pPr>
                    <w:r w:rsidRPr="0058263C">
                      <w:rPr>
                        <w:rFonts w:ascii="Times New Roman" w:hAnsi="Times New Roman" w:cs="Times New Roman"/>
                      </w:rPr>
                      <w:t>13,549,500.00</w:t>
                    </w:r>
                  </w:p>
                </w:tc>
              </w:tr>
            </w:sdtContent>
          </w:sdt>
          <w:tr w:rsidR="00D21C1F" w:rsidRPr="0058263C" w14:paraId="6A1401E8" w14:textId="77777777" w:rsidTr="0058263C">
            <w:trPr>
              <w:trHeight w:val="285"/>
            </w:trPr>
            <w:sdt>
              <w:sdtPr>
                <w:rPr>
                  <w:rFonts w:ascii="Times New Roman" w:hAnsi="Times New Roman" w:cs="Times New Roman"/>
                </w:rPr>
                <w:tag w:val="_PLD_382351978b994852b2d36dbea92fd0cc"/>
                <w:id w:val="1612627372"/>
                <w:lock w:val="sdtLocked"/>
              </w:sdtPr>
              <w:sdtEndPr/>
              <w:sdtContent>
                <w:tc>
                  <w:tcPr>
                    <w:tcW w:w="1305" w:type="pct"/>
                    <w:shd w:val="clear" w:color="auto" w:fill="auto"/>
                    <w:vAlign w:val="center"/>
                  </w:tcPr>
                  <w:p w14:paraId="36DE630E"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合计</w:t>
                    </w:r>
                  </w:p>
                </w:tc>
              </w:sdtContent>
            </w:sdt>
            <w:tc>
              <w:tcPr>
                <w:tcW w:w="932" w:type="pct"/>
                <w:shd w:val="clear" w:color="auto" w:fill="auto"/>
                <w:vAlign w:val="center"/>
              </w:tcPr>
              <w:p w14:paraId="0C8AEEF3"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361,819,667.14</w:t>
                </w:r>
              </w:p>
            </w:tc>
            <w:tc>
              <w:tcPr>
                <w:tcW w:w="913" w:type="pct"/>
                <w:shd w:val="clear" w:color="auto" w:fill="auto"/>
                <w:vAlign w:val="center"/>
              </w:tcPr>
              <w:p w14:paraId="48FD921B"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81,906,550.33</w:t>
                </w:r>
              </w:p>
            </w:tc>
            <w:tc>
              <w:tcPr>
                <w:tcW w:w="932" w:type="pct"/>
                <w:shd w:val="clear" w:color="auto" w:fill="auto"/>
                <w:vAlign w:val="center"/>
              </w:tcPr>
              <w:p w14:paraId="42DAE7A1"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402,907,102.09</w:t>
                </w:r>
              </w:p>
            </w:tc>
            <w:tc>
              <w:tcPr>
                <w:tcW w:w="918" w:type="pct"/>
                <w:shd w:val="clear" w:color="auto" w:fill="auto"/>
                <w:vAlign w:val="center"/>
              </w:tcPr>
              <w:p w14:paraId="62F4F2D0" w14:textId="77777777" w:rsidR="00D21C1F" w:rsidRPr="0058263C" w:rsidRDefault="00A42880" w:rsidP="0058263C">
                <w:pPr>
                  <w:jc w:val="right"/>
                  <w:rPr>
                    <w:rFonts w:ascii="Times New Roman" w:hAnsi="Times New Roman" w:cs="Times New Roman"/>
                  </w:rPr>
                </w:pPr>
                <w:r w:rsidRPr="0058263C">
                  <w:rPr>
                    <w:rFonts w:ascii="Times New Roman" w:hAnsi="Times New Roman" w:cs="Times New Roman"/>
                  </w:rPr>
                  <w:t>91,289,189.71</w:t>
                </w:r>
              </w:p>
            </w:tc>
          </w:tr>
        </w:tbl>
        <w:p w14:paraId="1C9A1426" w14:textId="77777777" w:rsidR="00D21C1F" w:rsidRDefault="00045EC6">
          <w:pPr>
            <w:pStyle w:val="97"/>
          </w:pPr>
        </w:p>
      </w:sdtContent>
    </w:sdt>
    <w:bookmarkEnd w:id="246" w:displacedByCustomXml="next"/>
    <w:bookmarkStart w:id="247"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208034677"/>
        <w:lock w:val="sdtLocked"/>
        <w:placeholder>
          <w:docPart w:val="GBC22222222222222222222222222222"/>
        </w:placeholder>
      </w:sdtPr>
      <w:sdtEndPr>
        <w:rPr>
          <w:rFonts w:hint="default"/>
        </w:rPr>
      </w:sdtEndPr>
      <w:sdtContent>
        <w:p w14:paraId="5E03BABD" w14:textId="77777777" w:rsidR="00D21C1F" w:rsidRDefault="00A42880">
          <w:pPr>
            <w:pStyle w:val="93"/>
            <w:numPr>
              <w:ilvl w:val="0"/>
              <w:numId w:val="112"/>
            </w:numPr>
            <w:tabs>
              <w:tab w:val="left" w:pos="588"/>
              <w:tab w:val="left" w:pos="616"/>
            </w:tabs>
            <w:rPr>
              <w:rFonts w:ascii="宋体" w:hAnsi="宋体"/>
            </w:rPr>
          </w:pPr>
          <w:r>
            <w:rPr>
              <w:rFonts w:ascii="宋体" w:hAnsi="宋体" w:hint="eastAsia"/>
            </w:rPr>
            <w:t>以抵销后净额列示的递延所得税资产或负债</w:t>
          </w:r>
        </w:p>
        <w:sdt>
          <w:sdtPr>
            <w:alias w:val="是否适用：以抵销后净额列示的递延所得税资产或负债[双击切换]"/>
            <w:tag w:val="_GBC_d6419a9d2dc94127a5f6aea72cb2a94d"/>
            <w:id w:val="-1250725388"/>
            <w:lock w:val="sdtLocked"/>
            <w:placeholder>
              <w:docPart w:val="GBC22222222222222222222222222222"/>
            </w:placeholder>
          </w:sdtPr>
          <w:sdtEndPr/>
          <w:sdtContent>
            <w:p w14:paraId="501FC2B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47"/>
    <w:p w14:paraId="6D7CFEED" w14:textId="77777777" w:rsidR="00D21C1F" w:rsidRDefault="00D21C1F">
      <w:pPr>
        <w:ind w:right="113"/>
        <w:rPr>
          <w:szCs w:val="21"/>
        </w:rPr>
      </w:pPr>
    </w:p>
    <w:bookmarkStart w:id="248" w:name="_Hlk11160660" w:displacedByCustomXml="next"/>
    <w:sdt>
      <w:sdtPr>
        <w:rPr>
          <w:rFonts w:ascii="Times New Roman" w:eastAsia="宋体" w:hAnsi="Times New Roman" w:cs="宋体"/>
          <w:b w:val="0"/>
          <w:bCs w:val="0"/>
          <w:kern w:val="0"/>
          <w:szCs w:val="21"/>
        </w:rPr>
        <w:alias w:val="模块:未确认递延所得税资产明细"/>
        <w:tag w:val="_SEC_858c4743950048c4949e354ac068e8af"/>
        <w:id w:val="-1374385270"/>
        <w:lock w:val="sdtLocked"/>
        <w:placeholder>
          <w:docPart w:val="GBC22222222222222222222222222222"/>
        </w:placeholder>
      </w:sdtPr>
      <w:sdtEndPr>
        <w:rPr>
          <w:szCs w:val="24"/>
        </w:rPr>
      </w:sdtEndPr>
      <w:sdtContent>
        <w:p w14:paraId="6F4CC940" w14:textId="77777777" w:rsidR="00D21C1F" w:rsidRPr="0058263C" w:rsidRDefault="00A42880">
          <w:pPr>
            <w:pStyle w:val="93"/>
            <w:numPr>
              <w:ilvl w:val="0"/>
              <w:numId w:val="112"/>
            </w:numPr>
            <w:tabs>
              <w:tab w:val="left" w:pos="588"/>
              <w:tab w:val="left" w:pos="616"/>
            </w:tabs>
            <w:rPr>
              <w:rFonts w:ascii="Times New Roman" w:hAnsi="Times New Roman"/>
              <w:szCs w:val="21"/>
            </w:rPr>
          </w:pPr>
          <w:r w:rsidRPr="0058263C">
            <w:rPr>
              <w:rFonts w:ascii="Times New Roman" w:hAnsi="Times New Roman"/>
              <w:szCs w:val="21"/>
            </w:rPr>
            <w:t>未确认递延</w:t>
          </w:r>
          <w:r w:rsidRPr="0058263C">
            <w:rPr>
              <w:rFonts w:ascii="Times New Roman" w:hAnsi="Times New Roman"/>
            </w:rPr>
            <w:t>所得税</w:t>
          </w:r>
          <w:r w:rsidRPr="0058263C">
            <w:rPr>
              <w:rFonts w:ascii="Times New Roman" w:hAnsi="Times New Roman"/>
              <w:szCs w:val="21"/>
            </w:rPr>
            <w:t>资产明细</w:t>
          </w:r>
        </w:p>
        <w:sdt>
          <w:sdtPr>
            <w:rPr>
              <w:rFonts w:ascii="Times New Roman" w:hAnsi="Times New Roman" w:cs="Times New Roman"/>
            </w:rPr>
            <w:alias w:val="是否适用：未确认递延所得税资产明细[双击切换]"/>
            <w:tag w:val="_GBC_f210878b05204277b5f70ed9ae786ea7"/>
            <w:id w:val="-584758149"/>
            <w:lock w:val="sdtLocked"/>
            <w:placeholder>
              <w:docPart w:val="GBC22222222222222222222222222222"/>
            </w:placeholder>
          </w:sdtPr>
          <w:sdtEndPr/>
          <w:sdtContent>
            <w:p w14:paraId="6FD17F87"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不适用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p>
          </w:sdtContent>
        </w:sdt>
        <w:p w14:paraId="531651CE"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szCs w:val="21"/>
            </w:rPr>
            <w:t>单位：</w:t>
          </w:r>
          <w:sdt>
            <w:sdtPr>
              <w:rPr>
                <w:rFonts w:ascii="Times New Roman" w:hAnsi="Times New Roman" w:cs="Times New Roman"/>
                <w:szCs w:val="21"/>
              </w:rPr>
              <w:alias w:val="单位：财务附注：未确认递延所得税资产明细"/>
              <w:tag w:val="_GBC_ce13c0c07be34b60aa76bbbf1260928d"/>
              <w:id w:val="148728358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58263C">
                <w:rPr>
                  <w:rFonts w:ascii="Times New Roman" w:hAnsi="Times New Roman" w:cs="Times New Roman"/>
                  <w:szCs w:val="21"/>
                </w:rPr>
                <w:t>元</w:t>
              </w:r>
            </w:sdtContent>
          </w:sdt>
          <w:r w:rsidRPr="0058263C">
            <w:rPr>
              <w:rFonts w:ascii="Times New Roman" w:hAnsi="Times New Roman" w:cs="Times New Roman"/>
              <w:szCs w:val="21"/>
            </w:rPr>
            <w:t>币种：</w:t>
          </w:r>
          <w:sdt>
            <w:sdtPr>
              <w:rPr>
                <w:rFonts w:ascii="Times New Roman" w:hAnsi="Times New Roman" w:cs="Times New Roman"/>
                <w:szCs w:val="21"/>
              </w:rPr>
              <w:alias w:val="币种：财务附注：未确认递延所得税资产明细"/>
              <w:tag w:val="_GBC_8f1c08c0092d44718e258d0b64b7bf6f"/>
              <w:id w:val="12715877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58263C">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3005"/>
            <w:gridCol w:w="3002"/>
          </w:tblGrid>
          <w:tr w:rsidR="00D21C1F" w:rsidRPr="0058263C" w14:paraId="7BE34214" w14:textId="77777777">
            <w:trPr>
              <w:trHeight w:val="285"/>
            </w:trPr>
            <w:sdt>
              <w:sdtPr>
                <w:rPr>
                  <w:rFonts w:ascii="Times New Roman" w:hAnsi="Times New Roman" w:cs="Times New Roman"/>
                </w:rPr>
                <w:tag w:val="_PLD_bfd226eac09b4e2fb1cc66684c879c9b"/>
                <w:id w:val="-323350470"/>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1A4D3E1B"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项目</w:t>
                    </w:r>
                  </w:p>
                </w:tc>
              </w:sdtContent>
            </w:sdt>
            <w:sdt>
              <w:sdtPr>
                <w:rPr>
                  <w:rFonts w:ascii="Times New Roman" w:hAnsi="Times New Roman" w:cs="Times New Roman"/>
                </w:rPr>
                <w:tag w:val="_PLD_bba7988c74a34dcf950349beb6df1c0b"/>
                <w:id w:val="-678032386"/>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2054455D"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期末余额</w:t>
                    </w:r>
                  </w:p>
                </w:tc>
              </w:sdtContent>
            </w:sdt>
            <w:sdt>
              <w:sdtPr>
                <w:rPr>
                  <w:rFonts w:ascii="Times New Roman" w:hAnsi="Times New Roman" w:cs="Times New Roman"/>
                </w:rPr>
                <w:tag w:val="_PLD_36004da9855d4469bf16ab328077f444"/>
                <w:id w:val="1819841149"/>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5BF5B310"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期初余额</w:t>
                    </w:r>
                  </w:p>
                </w:tc>
              </w:sdtContent>
            </w:sdt>
          </w:tr>
          <w:tr w:rsidR="00D21C1F" w:rsidRPr="0058263C" w14:paraId="60A1466B" w14:textId="77777777">
            <w:trPr>
              <w:trHeight w:val="285"/>
            </w:trPr>
            <w:sdt>
              <w:sdtPr>
                <w:rPr>
                  <w:rFonts w:ascii="Times New Roman" w:hAnsi="Times New Roman" w:cs="Times New Roman"/>
                </w:rPr>
                <w:tag w:val="_PLD_381c26214cb146ecba0c66da7cccbb9b"/>
                <w:id w:val="445508856"/>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586AEE3A" w14:textId="77777777" w:rsidR="00D21C1F" w:rsidRPr="0058263C" w:rsidRDefault="00A42880">
                    <w:pPr>
                      <w:rPr>
                        <w:rFonts w:ascii="Times New Roman" w:hAnsi="Times New Roman" w:cs="Times New Roman"/>
                        <w:szCs w:val="21"/>
                      </w:rPr>
                    </w:pPr>
                    <w:r w:rsidRPr="0058263C">
                      <w:rPr>
                        <w:rFonts w:ascii="Times New Roman" w:hAnsi="Times New Roman" w:cs="Times New Roman"/>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14:paraId="194215BE" w14:textId="77777777" w:rsidR="00D21C1F" w:rsidRPr="0058263C" w:rsidRDefault="00D21C1F">
                <w:pPr>
                  <w:jc w:val="right"/>
                  <w:rPr>
                    <w:rFonts w:ascii="Times New Roman" w:hAnsi="Times New Roman" w:cs="Times New Roman"/>
                    <w:szCs w:val="21"/>
                  </w:rPr>
                </w:pPr>
              </w:p>
            </w:tc>
            <w:tc>
              <w:tcPr>
                <w:tcW w:w="1701" w:type="pct"/>
                <w:tcBorders>
                  <w:top w:val="single" w:sz="4" w:space="0" w:color="auto"/>
                  <w:left w:val="single" w:sz="4" w:space="0" w:color="auto"/>
                  <w:bottom w:val="single" w:sz="4" w:space="0" w:color="auto"/>
                  <w:right w:val="single" w:sz="4" w:space="0" w:color="auto"/>
                </w:tcBorders>
              </w:tcPr>
              <w:p w14:paraId="1748D85E" w14:textId="77777777" w:rsidR="00D21C1F" w:rsidRPr="0058263C" w:rsidRDefault="00D21C1F">
                <w:pPr>
                  <w:jc w:val="right"/>
                  <w:rPr>
                    <w:rFonts w:ascii="Times New Roman" w:hAnsi="Times New Roman" w:cs="Times New Roman"/>
                    <w:szCs w:val="21"/>
                  </w:rPr>
                </w:pPr>
              </w:p>
            </w:tc>
          </w:tr>
          <w:tr w:rsidR="00D21C1F" w:rsidRPr="0058263C" w14:paraId="119819F1" w14:textId="77777777">
            <w:trPr>
              <w:trHeight w:val="285"/>
            </w:trPr>
            <w:sdt>
              <w:sdtPr>
                <w:rPr>
                  <w:rFonts w:ascii="Times New Roman" w:hAnsi="Times New Roman" w:cs="Times New Roman"/>
                </w:rPr>
                <w:tag w:val="_PLD_7d61d57f3afe461287d338be31b7f128"/>
                <w:id w:val="1350368839"/>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26176086" w14:textId="77777777" w:rsidR="00D21C1F" w:rsidRPr="0058263C" w:rsidRDefault="00A42880">
                    <w:pPr>
                      <w:rPr>
                        <w:rFonts w:ascii="Times New Roman" w:hAnsi="Times New Roman" w:cs="Times New Roman"/>
                        <w:szCs w:val="21"/>
                      </w:rPr>
                    </w:pPr>
                    <w:r w:rsidRPr="0058263C">
                      <w:rPr>
                        <w:rFonts w:ascii="Times New Roman" w:hAnsi="Times New Roman" w:cs="Times New Roman"/>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69DEAC80"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142,170,388.59</w:t>
                </w:r>
              </w:p>
            </w:tc>
            <w:tc>
              <w:tcPr>
                <w:tcW w:w="1701" w:type="pct"/>
                <w:tcBorders>
                  <w:top w:val="single" w:sz="4" w:space="0" w:color="auto"/>
                  <w:left w:val="single" w:sz="4" w:space="0" w:color="auto"/>
                  <w:bottom w:val="single" w:sz="4" w:space="0" w:color="auto"/>
                  <w:right w:val="single" w:sz="4" w:space="0" w:color="auto"/>
                </w:tcBorders>
              </w:tcPr>
              <w:p w14:paraId="1E8C90B4"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122,564,961.85</w:t>
                </w:r>
              </w:p>
            </w:tc>
          </w:tr>
          <w:sdt>
            <w:sdtPr>
              <w:rPr>
                <w:rFonts w:ascii="Times New Roman" w:hAnsi="Times New Roman" w:cs="Times New Roman"/>
                <w:szCs w:val="21"/>
              </w:rPr>
              <w:alias w:val="未确认递延所得税资产明细"/>
              <w:tag w:val="_GBC_dececa13e6ec42e9a7b6dc670fa5ccbb"/>
              <w:id w:val="1482731519"/>
              <w:lock w:val="sdtLocked"/>
            </w:sdtPr>
            <w:sdtEndPr/>
            <w:sdtContent>
              <w:tr w:rsidR="00D21C1F" w:rsidRPr="0058263C" w14:paraId="0AAD7D1D" w14:textId="77777777">
                <w:trPr>
                  <w:trHeight w:val="285"/>
                </w:trPr>
                <w:tc>
                  <w:tcPr>
                    <w:tcW w:w="1596" w:type="pct"/>
                    <w:tcBorders>
                      <w:top w:val="single" w:sz="4" w:space="0" w:color="auto"/>
                      <w:left w:val="single" w:sz="4" w:space="0" w:color="auto"/>
                      <w:bottom w:val="single" w:sz="4" w:space="0" w:color="auto"/>
                      <w:right w:val="single" w:sz="4" w:space="0" w:color="auto"/>
                    </w:tcBorders>
                  </w:tcPr>
                  <w:p w14:paraId="1327F025"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信用减值准备</w:t>
                    </w:r>
                  </w:p>
                </w:tc>
                <w:tc>
                  <w:tcPr>
                    <w:tcW w:w="1703" w:type="pct"/>
                    <w:tcBorders>
                      <w:top w:val="single" w:sz="4" w:space="0" w:color="auto"/>
                      <w:left w:val="single" w:sz="4" w:space="0" w:color="auto"/>
                      <w:bottom w:val="single" w:sz="4" w:space="0" w:color="auto"/>
                      <w:right w:val="single" w:sz="4" w:space="0" w:color="auto"/>
                    </w:tcBorders>
                    <w:vAlign w:val="center"/>
                  </w:tcPr>
                  <w:p w14:paraId="7E347AC1"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6,159,441.25</w:t>
                    </w:r>
                  </w:p>
                </w:tc>
                <w:tc>
                  <w:tcPr>
                    <w:tcW w:w="1701" w:type="pct"/>
                    <w:tcBorders>
                      <w:top w:val="single" w:sz="4" w:space="0" w:color="auto"/>
                      <w:left w:val="single" w:sz="4" w:space="0" w:color="auto"/>
                      <w:bottom w:val="single" w:sz="4" w:space="0" w:color="auto"/>
                      <w:right w:val="single" w:sz="4" w:space="0" w:color="auto"/>
                    </w:tcBorders>
                  </w:tcPr>
                  <w:p w14:paraId="3E562A9C"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4,698,589.53</w:t>
                    </w:r>
                  </w:p>
                </w:tc>
              </w:tr>
            </w:sdtContent>
          </w:sdt>
          <w:sdt>
            <w:sdtPr>
              <w:rPr>
                <w:rFonts w:ascii="Times New Roman" w:hAnsi="Times New Roman" w:cs="Times New Roman"/>
                <w:szCs w:val="21"/>
              </w:rPr>
              <w:alias w:val="未确认递延所得税资产明细"/>
              <w:tag w:val="_GBC_dececa13e6ec42e9a7b6dc670fa5ccbb"/>
              <w:id w:val="584496564"/>
              <w:lock w:val="sdtLocked"/>
            </w:sdtPr>
            <w:sdtEndPr/>
            <w:sdtContent>
              <w:tr w:rsidR="00D21C1F" w:rsidRPr="0058263C" w14:paraId="73F66599" w14:textId="77777777">
                <w:trPr>
                  <w:trHeight w:val="285"/>
                </w:trPr>
                <w:tc>
                  <w:tcPr>
                    <w:tcW w:w="1596" w:type="pct"/>
                    <w:tcBorders>
                      <w:top w:val="single" w:sz="4" w:space="0" w:color="auto"/>
                      <w:left w:val="single" w:sz="4" w:space="0" w:color="auto"/>
                      <w:bottom w:val="single" w:sz="4" w:space="0" w:color="auto"/>
                      <w:right w:val="single" w:sz="4" w:space="0" w:color="auto"/>
                    </w:tcBorders>
                  </w:tcPr>
                  <w:p w14:paraId="3CA57E3A"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资产减值准备</w:t>
                    </w:r>
                  </w:p>
                </w:tc>
                <w:tc>
                  <w:tcPr>
                    <w:tcW w:w="1703" w:type="pct"/>
                    <w:tcBorders>
                      <w:top w:val="single" w:sz="4" w:space="0" w:color="auto"/>
                      <w:left w:val="single" w:sz="4" w:space="0" w:color="auto"/>
                      <w:bottom w:val="single" w:sz="4" w:space="0" w:color="auto"/>
                      <w:right w:val="single" w:sz="4" w:space="0" w:color="auto"/>
                    </w:tcBorders>
                    <w:vAlign w:val="center"/>
                  </w:tcPr>
                  <w:p w14:paraId="33E855DB"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1,986,084.00</w:t>
                    </w:r>
                  </w:p>
                </w:tc>
                <w:tc>
                  <w:tcPr>
                    <w:tcW w:w="1701" w:type="pct"/>
                    <w:tcBorders>
                      <w:top w:val="single" w:sz="4" w:space="0" w:color="auto"/>
                      <w:left w:val="single" w:sz="4" w:space="0" w:color="auto"/>
                      <w:bottom w:val="single" w:sz="4" w:space="0" w:color="auto"/>
                      <w:right w:val="single" w:sz="4" w:space="0" w:color="auto"/>
                    </w:tcBorders>
                  </w:tcPr>
                  <w:p w14:paraId="733283C7"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3,709,020.87</w:t>
                    </w:r>
                  </w:p>
                </w:tc>
              </w:tr>
            </w:sdtContent>
          </w:sdt>
          <w:sdt>
            <w:sdtPr>
              <w:rPr>
                <w:rFonts w:ascii="Times New Roman" w:hAnsi="Times New Roman" w:cs="Times New Roman"/>
                <w:szCs w:val="21"/>
              </w:rPr>
              <w:alias w:val="未确认递延所得税资产明细"/>
              <w:tag w:val="_GBC_dececa13e6ec42e9a7b6dc670fa5ccbb"/>
              <w:id w:val="714320820"/>
              <w:lock w:val="sdtLocked"/>
            </w:sdtPr>
            <w:sdtEndPr/>
            <w:sdtContent>
              <w:tr w:rsidR="00D21C1F" w:rsidRPr="0058263C" w14:paraId="61398349" w14:textId="77777777">
                <w:trPr>
                  <w:trHeight w:val="285"/>
                </w:trPr>
                <w:tc>
                  <w:tcPr>
                    <w:tcW w:w="1596" w:type="pct"/>
                    <w:tcBorders>
                      <w:top w:val="single" w:sz="4" w:space="0" w:color="auto"/>
                      <w:left w:val="single" w:sz="4" w:space="0" w:color="auto"/>
                      <w:bottom w:val="single" w:sz="4" w:space="0" w:color="auto"/>
                      <w:right w:val="single" w:sz="4" w:space="0" w:color="auto"/>
                    </w:tcBorders>
                  </w:tcPr>
                  <w:p w14:paraId="4EA4859C"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不可税前列支的负债</w:t>
                    </w:r>
                  </w:p>
                </w:tc>
                <w:tc>
                  <w:tcPr>
                    <w:tcW w:w="1703" w:type="pct"/>
                    <w:tcBorders>
                      <w:top w:val="single" w:sz="4" w:space="0" w:color="auto"/>
                      <w:left w:val="single" w:sz="4" w:space="0" w:color="auto"/>
                      <w:bottom w:val="single" w:sz="4" w:space="0" w:color="auto"/>
                      <w:right w:val="single" w:sz="4" w:space="0" w:color="auto"/>
                    </w:tcBorders>
                    <w:vAlign w:val="center"/>
                  </w:tcPr>
                  <w:p w14:paraId="18A68239"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2,030,400.00</w:t>
                    </w:r>
                  </w:p>
                </w:tc>
                <w:tc>
                  <w:tcPr>
                    <w:tcW w:w="1701" w:type="pct"/>
                    <w:tcBorders>
                      <w:top w:val="single" w:sz="4" w:space="0" w:color="auto"/>
                      <w:left w:val="single" w:sz="4" w:space="0" w:color="auto"/>
                      <w:bottom w:val="single" w:sz="4" w:space="0" w:color="auto"/>
                      <w:right w:val="single" w:sz="4" w:space="0" w:color="auto"/>
                    </w:tcBorders>
                  </w:tcPr>
                  <w:p w14:paraId="46DE824C"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2,803,425.03</w:t>
                    </w:r>
                  </w:p>
                </w:tc>
              </w:tr>
            </w:sdtContent>
          </w:sdt>
          <w:tr w:rsidR="00D21C1F" w:rsidRPr="0058263C" w14:paraId="2675E4C2" w14:textId="77777777">
            <w:trPr>
              <w:trHeight w:val="285"/>
            </w:trPr>
            <w:sdt>
              <w:sdtPr>
                <w:rPr>
                  <w:rFonts w:ascii="Times New Roman" w:hAnsi="Times New Roman" w:cs="Times New Roman"/>
                </w:rPr>
                <w:tag w:val="_PLD_a867b83c897e41619f1515baeb2b55ff"/>
                <w:id w:val="2065208357"/>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766E7403"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14:paraId="066597E5"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szCs w:val="21"/>
                  </w:rPr>
                  <w:t>152,346,313.84</w:t>
                </w:r>
              </w:p>
            </w:tc>
            <w:tc>
              <w:tcPr>
                <w:tcW w:w="1701" w:type="pct"/>
                <w:tcBorders>
                  <w:top w:val="single" w:sz="4" w:space="0" w:color="auto"/>
                  <w:left w:val="single" w:sz="4" w:space="0" w:color="auto"/>
                  <w:bottom w:val="single" w:sz="4" w:space="0" w:color="auto"/>
                  <w:right w:val="single" w:sz="4" w:space="0" w:color="auto"/>
                </w:tcBorders>
              </w:tcPr>
              <w:p w14:paraId="0280E8F6"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133,775,997.28</w:t>
                </w:r>
              </w:p>
            </w:tc>
          </w:tr>
        </w:tbl>
        <w:p w14:paraId="13D5B395" w14:textId="77777777" w:rsidR="00D21C1F" w:rsidRDefault="00045EC6">
          <w:pPr>
            <w:rPr>
              <w:szCs w:val="21"/>
            </w:rPr>
          </w:pPr>
        </w:p>
      </w:sdtContent>
    </w:sdt>
    <w:bookmarkEnd w:id="248" w:displacedByCustomXml="next"/>
    <w:bookmarkStart w:id="249" w:name="_Hlk11160672" w:displacedByCustomXml="next"/>
    <w:sdt>
      <w:sdtPr>
        <w:rPr>
          <w:rFonts w:ascii="Times New Roman" w:hAnsi="Times New Roman" w:cs="宋体"/>
          <w:b w:val="0"/>
          <w:bCs w:val="0"/>
          <w:kern w:val="0"/>
          <w:szCs w:val="21"/>
        </w:rPr>
        <w:alias w:val="模块:未确认递延所得税资产的可抵扣亏损将于以下年度到期"/>
        <w:tag w:val="_SEC_a5f2b329395b406fa4b30b710f4a81e0"/>
        <w:id w:val="-329288545"/>
        <w:lock w:val="sdtLocked"/>
        <w:placeholder>
          <w:docPart w:val="GBC22222222222222222222222222222"/>
        </w:placeholder>
      </w:sdtPr>
      <w:sdtEndPr>
        <w:rPr>
          <w:szCs w:val="24"/>
        </w:rPr>
      </w:sdtEndPr>
      <w:sdtContent>
        <w:p w14:paraId="08572217" w14:textId="77777777" w:rsidR="00D21C1F" w:rsidRPr="0058263C" w:rsidRDefault="00A42880">
          <w:pPr>
            <w:pStyle w:val="93"/>
            <w:numPr>
              <w:ilvl w:val="0"/>
              <w:numId w:val="112"/>
            </w:numPr>
            <w:tabs>
              <w:tab w:val="left" w:pos="588"/>
              <w:tab w:val="left" w:pos="616"/>
            </w:tabs>
            <w:rPr>
              <w:rFonts w:ascii="Times New Roman" w:hAnsi="Times New Roman"/>
              <w:szCs w:val="21"/>
            </w:rPr>
          </w:pPr>
          <w:r w:rsidRPr="0058263C">
            <w:rPr>
              <w:rFonts w:ascii="Times New Roman" w:hAnsi="Times New Roman"/>
              <w:szCs w:val="21"/>
            </w:rPr>
            <w:t>未确认递延所得税资产的可抵扣亏损将于以下年度到期</w:t>
          </w:r>
        </w:p>
        <w:sdt>
          <w:sdtPr>
            <w:rPr>
              <w:rFonts w:ascii="Times New Roman" w:hAnsi="Times New Roman" w:cs="Times New Roman"/>
            </w:rPr>
            <w:alias w:val="是否适用：未确认递延所得税资产的可抵扣亏损将于以下年度到期[双击切换]"/>
            <w:tag w:val="_GBC_10d31911cedc4147b90ab71d35742bf4"/>
            <w:id w:val="-2067094042"/>
            <w:lock w:val="sdtLocked"/>
            <w:placeholder>
              <w:docPart w:val="GBC22222222222222222222222222222"/>
            </w:placeholder>
          </w:sdtPr>
          <w:sdtEndPr/>
          <w:sdtContent>
            <w:p w14:paraId="11C3805C"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不适用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p>
          </w:sdtContent>
        </w:sdt>
        <w:p w14:paraId="141FFF26" w14:textId="77777777" w:rsidR="00D21C1F" w:rsidRPr="0058263C" w:rsidRDefault="00A42880">
          <w:pPr>
            <w:ind w:right="57"/>
            <w:jc w:val="right"/>
            <w:rPr>
              <w:rFonts w:ascii="Times New Roman" w:hAnsi="Times New Roman" w:cs="Times New Roman"/>
              <w:szCs w:val="21"/>
            </w:rPr>
          </w:pPr>
          <w:r w:rsidRPr="0058263C">
            <w:rPr>
              <w:rFonts w:ascii="Times New Roman" w:hAnsi="Times New Roman" w:cs="Times New Roman"/>
              <w:szCs w:val="21"/>
            </w:rPr>
            <w:t>单位：</w:t>
          </w:r>
          <w:sdt>
            <w:sdtPr>
              <w:rPr>
                <w:rFonts w:ascii="Times New Roman" w:hAnsi="Times New Roman" w:cs="Times New Roman"/>
                <w:szCs w:val="21"/>
              </w:rPr>
              <w:alias w:val="单位：财务附注：未确认递延所得税资产的可抵扣亏损将于以下年度到期"/>
              <w:tag w:val="_GBC_e5ae9be2f02b49aa93ff11e0e7a11cca"/>
              <w:id w:val="-1164780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8263C">
                <w:rPr>
                  <w:rFonts w:ascii="Times New Roman" w:hAnsi="Times New Roman" w:cs="Times New Roman"/>
                  <w:szCs w:val="21"/>
                </w:rPr>
                <w:t>元</w:t>
              </w:r>
            </w:sdtContent>
          </w:sdt>
          <w:r w:rsidRPr="0058263C">
            <w:rPr>
              <w:rFonts w:ascii="Times New Roman" w:hAnsi="Times New Roman" w:cs="Times New Roman"/>
              <w:szCs w:val="21"/>
            </w:rPr>
            <w:t>币种：</w:t>
          </w:r>
          <w:sdt>
            <w:sdtPr>
              <w:rPr>
                <w:rFonts w:ascii="Times New Roman" w:hAnsi="Times New Roman" w:cs="Times New Roman"/>
                <w:szCs w:val="21"/>
              </w:rPr>
              <w:alias w:val="币种：财务附注：未确认递延所得税资产的可抵扣亏损将于以下年度到期"/>
              <w:tag w:val="_GBC_83b0fc2196304484aa53ef2b9e2e191a"/>
              <w:id w:val="4006497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58263C">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229"/>
            <w:gridCol w:w="2266"/>
            <w:gridCol w:w="2296"/>
          </w:tblGrid>
          <w:tr w:rsidR="00D21C1F" w:rsidRPr="0058263C" w14:paraId="4301D521" w14:textId="77777777">
            <w:trPr>
              <w:trHeight w:val="285"/>
            </w:trPr>
            <w:sdt>
              <w:sdtPr>
                <w:rPr>
                  <w:rFonts w:ascii="Times New Roman" w:hAnsi="Times New Roman" w:cs="Times New Roman"/>
                </w:rPr>
                <w:tag w:val="_PLD_710a470de2b84ef593de891faad46b6b"/>
                <w:id w:val="-1344864531"/>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2A8C1159"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年份</w:t>
                    </w:r>
                  </w:p>
                </w:tc>
              </w:sdtContent>
            </w:sdt>
            <w:sdt>
              <w:sdtPr>
                <w:rPr>
                  <w:rFonts w:ascii="Times New Roman" w:hAnsi="Times New Roman" w:cs="Times New Roman"/>
                </w:rPr>
                <w:tag w:val="_PLD_a6335ab4fba14ab8946b823c64f03503"/>
                <w:id w:val="675464391"/>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5A82542E"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期末金额</w:t>
                    </w:r>
                  </w:p>
                </w:tc>
              </w:sdtContent>
            </w:sdt>
            <w:sdt>
              <w:sdtPr>
                <w:rPr>
                  <w:rFonts w:ascii="Times New Roman" w:hAnsi="Times New Roman" w:cs="Times New Roman"/>
                </w:rPr>
                <w:tag w:val="_PLD_7582e6645cec4513a5606c104f2d83f1"/>
                <w:id w:val="1870800697"/>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54E4422D"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期初金额</w:t>
                    </w:r>
                  </w:p>
                </w:tc>
              </w:sdtContent>
            </w:sdt>
            <w:sdt>
              <w:sdtPr>
                <w:rPr>
                  <w:rFonts w:ascii="Times New Roman" w:hAnsi="Times New Roman" w:cs="Times New Roman"/>
                </w:rPr>
                <w:tag w:val="_PLD_1a030fe5a0564bed845b9b81b2eda8b8"/>
                <w:id w:val="1108851477"/>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53CB8D8A"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备注</w:t>
                    </w:r>
                  </w:p>
                </w:tc>
              </w:sdtContent>
            </w:sdt>
          </w:tr>
          <w:sdt>
            <w:sdtPr>
              <w:rPr>
                <w:rFonts w:ascii="Times New Roman" w:hAnsi="Times New Roman" w:cs="Times New Roman"/>
                <w:szCs w:val="21"/>
              </w:rPr>
              <w:alias w:val="未确认递延所得税资产的可抵扣亏损到期明细"/>
              <w:tag w:val="_GBC_a44a3a947eba4ff199b2b5473e07ff8b"/>
              <w:id w:val="2093728486"/>
              <w:lock w:val="sdtLocked"/>
            </w:sdtPr>
            <w:sdtEndPr/>
            <w:sdtContent>
              <w:tr w:rsidR="00D21C1F" w:rsidRPr="0058263C" w14:paraId="2567A53B" w14:textId="77777777">
                <w:trPr>
                  <w:trHeight w:val="285"/>
                </w:trPr>
                <w:tc>
                  <w:tcPr>
                    <w:tcW w:w="1152" w:type="pct"/>
                    <w:tcBorders>
                      <w:top w:val="single" w:sz="4" w:space="0" w:color="auto"/>
                      <w:left w:val="single" w:sz="4" w:space="0" w:color="auto"/>
                      <w:bottom w:val="single" w:sz="4" w:space="0" w:color="auto"/>
                      <w:right w:val="single" w:sz="4" w:space="0" w:color="auto"/>
                    </w:tcBorders>
                  </w:tcPr>
                  <w:p w14:paraId="385A1F57"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2022</w:t>
                    </w:r>
                    <w:r w:rsidRPr="0058263C">
                      <w:rPr>
                        <w:rFonts w:ascii="Times New Roman" w:hAnsi="Times New Roman" w:cs="Times New Roman"/>
                      </w:rPr>
                      <w:t>年度</w:t>
                    </w:r>
                  </w:p>
                </w:tc>
                <w:tc>
                  <w:tcPr>
                    <w:tcW w:w="1263" w:type="pct"/>
                    <w:tcBorders>
                      <w:top w:val="single" w:sz="4" w:space="0" w:color="auto"/>
                      <w:left w:val="single" w:sz="4" w:space="0" w:color="auto"/>
                      <w:bottom w:val="single" w:sz="4" w:space="0" w:color="auto"/>
                      <w:right w:val="single" w:sz="4" w:space="0" w:color="auto"/>
                    </w:tcBorders>
                  </w:tcPr>
                  <w:p w14:paraId="747129F7"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4,943,726.78</w:t>
                    </w:r>
                  </w:p>
                </w:tc>
                <w:tc>
                  <w:tcPr>
                    <w:tcW w:w="1284" w:type="pct"/>
                    <w:tcBorders>
                      <w:top w:val="single" w:sz="4" w:space="0" w:color="auto"/>
                      <w:left w:val="single" w:sz="4" w:space="0" w:color="auto"/>
                      <w:bottom w:val="single" w:sz="4" w:space="0" w:color="auto"/>
                      <w:right w:val="single" w:sz="4" w:space="0" w:color="auto"/>
                    </w:tcBorders>
                  </w:tcPr>
                  <w:p w14:paraId="3463CF02"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4,943,726.78</w:t>
                    </w:r>
                  </w:p>
                </w:tc>
                <w:tc>
                  <w:tcPr>
                    <w:tcW w:w="1301" w:type="pct"/>
                    <w:tcBorders>
                      <w:top w:val="single" w:sz="4" w:space="0" w:color="auto"/>
                      <w:left w:val="single" w:sz="4" w:space="0" w:color="auto"/>
                      <w:bottom w:val="single" w:sz="4" w:space="0" w:color="auto"/>
                      <w:right w:val="single" w:sz="4" w:space="0" w:color="auto"/>
                    </w:tcBorders>
                  </w:tcPr>
                  <w:p w14:paraId="74095751" w14:textId="77777777" w:rsidR="00D21C1F" w:rsidRPr="0058263C" w:rsidRDefault="00D21C1F">
                    <w:pPr>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GBC_a44a3a947eba4ff199b2b5473e07ff8b"/>
              <w:id w:val="1580798522"/>
              <w:lock w:val="sdtLocked"/>
            </w:sdtPr>
            <w:sdtEndPr/>
            <w:sdtContent>
              <w:tr w:rsidR="00D21C1F" w:rsidRPr="0058263C" w14:paraId="416912C6" w14:textId="77777777">
                <w:trPr>
                  <w:trHeight w:val="285"/>
                </w:trPr>
                <w:tc>
                  <w:tcPr>
                    <w:tcW w:w="1152" w:type="pct"/>
                    <w:tcBorders>
                      <w:top w:val="single" w:sz="4" w:space="0" w:color="auto"/>
                      <w:left w:val="single" w:sz="4" w:space="0" w:color="auto"/>
                      <w:bottom w:val="single" w:sz="4" w:space="0" w:color="auto"/>
                      <w:right w:val="single" w:sz="4" w:space="0" w:color="auto"/>
                    </w:tcBorders>
                  </w:tcPr>
                  <w:p w14:paraId="143A8401"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2023</w:t>
                    </w:r>
                    <w:r w:rsidRPr="0058263C">
                      <w:rPr>
                        <w:rFonts w:ascii="Times New Roman" w:hAnsi="Times New Roman" w:cs="Times New Roman"/>
                      </w:rPr>
                      <w:t>年度</w:t>
                    </w:r>
                  </w:p>
                </w:tc>
                <w:tc>
                  <w:tcPr>
                    <w:tcW w:w="1263" w:type="pct"/>
                    <w:tcBorders>
                      <w:top w:val="single" w:sz="4" w:space="0" w:color="auto"/>
                      <w:left w:val="single" w:sz="4" w:space="0" w:color="auto"/>
                      <w:bottom w:val="single" w:sz="4" w:space="0" w:color="auto"/>
                      <w:right w:val="single" w:sz="4" w:space="0" w:color="auto"/>
                    </w:tcBorders>
                  </w:tcPr>
                  <w:p w14:paraId="23E6DD5A"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17,539,188.98</w:t>
                    </w:r>
                  </w:p>
                </w:tc>
                <w:tc>
                  <w:tcPr>
                    <w:tcW w:w="1284" w:type="pct"/>
                    <w:tcBorders>
                      <w:top w:val="single" w:sz="4" w:space="0" w:color="auto"/>
                      <w:left w:val="single" w:sz="4" w:space="0" w:color="auto"/>
                      <w:bottom w:val="single" w:sz="4" w:space="0" w:color="auto"/>
                      <w:right w:val="single" w:sz="4" w:space="0" w:color="auto"/>
                    </w:tcBorders>
                  </w:tcPr>
                  <w:p w14:paraId="6AC68801"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17,539,188.98</w:t>
                    </w:r>
                  </w:p>
                </w:tc>
                <w:tc>
                  <w:tcPr>
                    <w:tcW w:w="1301" w:type="pct"/>
                    <w:tcBorders>
                      <w:top w:val="single" w:sz="4" w:space="0" w:color="auto"/>
                      <w:left w:val="single" w:sz="4" w:space="0" w:color="auto"/>
                      <w:bottom w:val="single" w:sz="4" w:space="0" w:color="auto"/>
                      <w:right w:val="single" w:sz="4" w:space="0" w:color="auto"/>
                    </w:tcBorders>
                  </w:tcPr>
                  <w:p w14:paraId="5D5C850C" w14:textId="77777777" w:rsidR="00D21C1F" w:rsidRPr="0058263C" w:rsidRDefault="00D21C1F">
                    <w:pPr>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GBC_a44a3a947eba4ff199b2b5473e07ff8b"/>
              <w:id w:val="-1853259473"/>
              <w:lock w:val="sdtLocked"/>
            </w:sdtPr>
            <w:sdtEndPr/>
            <w:sdtContent>
              <w:tr w:rsidR="00D21C1F" w:rsidRPr="0058263C" w14:paraId="7A02DAAD" w14:textId="77777777">
                <w:trPr>
                  <w:trHeight w:val="285"/>
                </w:trPr>
                <w:tc>
                  <w:tcPr>
                    <w:tcW w:w="1152" w:type="pct"/>
                    <w:tcBorders>
                      <w:top w:val="single" w:sz="4" w:space="0" w:color="auto"/>
                      <w:left w:val="single" w:sz="4" w:space="0" w:color="auto"/>
                      <w:bottom w:val="single" w:sz="4" w:space="0" w:color="auto"/>
                      <w:right w:val="single" w:sz="4" w:space="0" w:color="auto"/>
                    </w:tcBorders>
                  </w:tcPr>
                  <w:p w14:paraId="7702019B"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2024</w:t>
                    </w:r>
                    <w:r w:rsidRPr="0058263C">
                      <w:rPr>
                        <w:rFonts w:ascii="Times New Roman" w:hAnsi="Times New Roman" w:cs="Times New Roman"/>
                      </w:rPr>
                      <w:t>年度</w:t>
                    </w:r>
                  </w:p>
                </w:tc>
                <w:tc>
                  <w:tcPr>
                    <w:tcW w:w="1263" w:type="pct"/>
                    <w:tcBorders>
                      <w:top w:val="single" w:sz="4" w:space="0" w:color="auto"/>
                      <w:left w:val="single" w:sz="4" w:space="0" w:color="auto"/>
                      <w:bottom w:val="single" w:sz="4" w:space="0" w:color="auto"/>
                      <w:right w:val="single" w:sz="4" w:space="0" w:color="auto"/>
                    </w:tcBorders>
                  </w:tcPr>
                  <w:p w14:paraId="230482AF"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17,244,414.32</w:t>
                    </w:r>
                  </w:p>
                </w:tc>
                <w:tc>
                  <w:tcPr>
                    <w:tcW w:w="1284" w:type="pct"/>
                    <w:tcBorders>
                      <w:top w:val="single" w:sz="4" w:space="0" w:color="auto"/>
                      <w:left w:val="single" w:sz="4" w:space="0" w:color="auto"/>
                      <w:bottom w:val="single" w:sz="4" w:space="0" w:color="auto"/>
                      <w:right w:val="single" w:sz="4" w:space="0" w:color="auto"/>
                    </w:tcBorders>
                  </w:tcPr>
                  <w:p w14:paraId="7F163249"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17,244,414.32</w:t>
                    </w:r>
                  </w:p>
                </w:tc>
                <w:tc>
                  <w:tcPr>
                    <w:tcW w:w="1301" w:type="pct"/>
                    <w:tcBorders>
                      <w:top w:val="single" w:sz="4" w:space="0" w:color="auto"/>
                      <w:left w:val="single" w:sz="4" w:space="0" w:color="auto"/>
                      <w:bottom w:val="single" w:sz="4" w:space="0" w:color="auto"/>
                      <w:right w:val="single" w:sz="4" w:space="0" w:color="auto"/>
                    </w:tcBorders>
                  </w:tcPr>
                  <w:p w14:paraId="11941C00" w14:textId="77777777" w:rsidR="00D21C1F" w:rsidRPr="0058263C" w:rsidRDefault="00D21C1F">
                    <w:pPr>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GBC_a44a3a947eba4ff199b2b5473e07ff8b"/>
              <w:id w:val="1053733584"/>
              <w:lock w:val="sdtLocked"/>
            </w:sdtPr>
            <w:sdtEndPr/>
            <w:sdtContent>
              <w:tr w:rsidR="00D21C1F" w:rsidRPr="0058263C" w14:paraId="3A165758" w14:textId="77777777">
                <w:trPr>
                  <w:trHeight w:val="285"/>
                </w:trPr>
                <w:tc>
                  <w:tcPr>
                    <w:tcW w:w="1152" w:type="pct"/>
                    <w:tcBorders>
                      <w:top w:val="single" w:sz="4" w:space="0" w:color="auto"/>
                      <w:left w:val="single" w:sz="4" w:space="0" w:color="auto"/>
                      <w:bottom w:val="single" w:sz="4" w:space="0" w:color="auto"/>
                      <w:right w:val="single" w:sz="4" w:space="0" w:color="auto"/>
                    </w:tcBorders>
                  </w:tcPr>
                  <w:p w14:paraId="5A8C2545"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2025</w:t>
                    </w:r>
                    <w:r w:rsidRPr="0058263C">
                      <w:rPr>
                        <w:rFonts w:ascii="Times New Roman" w:hAnsi="Times New Roman" w:cs="Times New Roman"/>
                      </w:rPr>
                      <w:t>年度</w:t>
                    </w:r>
                  </w:p>
                </w:tc>
                <w:tc>
                  <w:tcPr>
                    <w:tcW w:w="1263" w:type="pct"/>
                    <w:tcBorders>
                      <w:top w:val="single" w:sz="4" w:space="0" w:color="auto"/>
                      <w:left w:val="single" w:sz="4" w:space="0" w:color="auto"/>
                      <w:bottom w:val="single" w:sz="4" w:space="0" w:color="auto"/>
                      <w:right w:val="single" w:sz="4" w:space="0" w:color="auto"/>
                    </w:tcBorders>
                  </w:tcPr>
                  <w:p w14:paraId="4D7E9CCF"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24,775,980.93</w:t>
                    </w:r>
                  </w:p>
                </w:tc>
                <w:tc>
                  <w:tcPr>
                    <w:tcW w:w="1284" w:type="pct"/>
                    <w:tcBorders>
                      <w:top w:val="single" w:sz="4" w:space="0" w:color="auto"/>
                      <w:left w:val="single" w:sz="4" w:space="0" w:color="auto"/>
                      <w:bottom w:val="single" w:sz="4" w:space="0" w:color="auto"/>
                      <w:right w:val="single" w:sz="4" w:space="0" w:color="auto"/>
                    </w:tcBorders>
                  </w:tcPr>
                  <w:p w14:paraId="0D529BC0"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24,775,980.93</w:t>
                    </w:r>
                  </w:p>
                </w:tc>
                <w:tc>
                  <w:tcPr>
                    <w:tcW w:w="1301" w:type="pct"/>
                    <w:tcBorders>
                      <w:top w:val="single" w:sz="4" w:space="0" w:color="auto"/>
                      <w:left w:val="single" w:sz="4" w:space="0" w:color="auto"/>
                      <w:bottom w:val="single" w:sz="4" w:space="0" w:color="auto"/>
                      <w:right w:val="single" w:sz="4" w:space="0" w:color="auto"/>
                    </w:tcBorders>
                  </w:tcPr>
                  <w:p w14:paraId="352DD377" w14:textId="77777777" w:rsidR="00D21C1F" w:rsidRPr="0058263C" w:rsidRDefault="00D21C1F">
                    <w:pPr>
                      <w:rPr>
                        <w:rFonts w:ascii="Times New Roman" w:hAnsi="Times New Roman" w:cs="Times New Roman"/>
                        <w:szCs w:val="21"/>
                      </w:rPr>
                    </w:pPr>
                  </w:p>
                </w:tc>
              </w:tr>
            </w:sdtContent>
          </w:sdt>
          <w:sdt>
            <w:sdtPr>
              <w:rPr>
                <w:rFonts w:ascii="Times New Roman" w:hAnsi="Times New Roman" w:cs="Times New Roman"/>
                <w:szCs w:val="21"/>
              </w:rPr>
              <w:alias w:val="未确认递延所得税资产的可抵扣亏损到期明细"/>
              <w:tag w:val="_GBC_a44a3a947eba4ff199b2b5473e07ff8b"/>
              <w:id w:val="783075907"/>
              <w:lock w:val="sdtLocked"/>
            </w:sdtPr>
            <w:sdtEndPr/>
            <w:sdtContent>
              <w:tr w:rsidR="00D21C1F" w:rsidRPr="0058263C" w14:paraId="6C454D13" w14:textId="77777777">
                <w:trPr>
                  <w:trHeight w:val="285"/>
                </w:trPr>
                <w:tc>
                  <w:tcPr>
                    <w:tcW w:w="1152" w:type="pct"/>
                    <w:tcBorders>
                      <w:top w:val="single" w:sz="4" w:space="0" w:color="auto"/>
                      <w:left w:val="single" w:sz="4" w:space="0" w:color="auto"/>
                      <w:bottom w:val="single" w:sz="4" w:space="0" w:color="auto"/>
                      <w:right w:val="single" w:sz="4" w:space="0" w:color="auto"/>
                    </w:tcBorders>
                  </w:tcPr>
                  <w:p w14:paraId="0621A004" w14:textId="77777777" w:rsidR="00D21C1F" w:rsidRPr="0058263C" w:rsidRDefault="00A42880">
                    <w:pPr>
                      <w:rPr>
                        <w:rFonts w:ascii="Times New Roman" w:hAnsi="Times New Roman" w:cs="Times New Roman"/>
                        <w:szCs w:val="21"/>
                      </w:rPr>
                    </w:pPr>
                    <w:r w:rsidRPr="0058263C">
                      <w:rPr>
                        <w:rFonts w:ascii="Times New Roman" w:hAnsi="Times New Roman" w:cs="Times New Roman"/>
                      </w:rPr>
                      <w:t>2026</w:t>
                    </w:r>
                    <w:r w:rsidRPr="0058263C">
                      <w:rPr>
                        <w:rFonts w:ascii="Times New Roman" w:hAnsi="Times New Roman" w:cs="Times New Roman"/>
                      </w:rPr>
                      <w:t>年度及以后</w:t>
                    </w:r>
                  </w:p>
                </w:tc>
                <w:tc>
                  <w:tcPr>
                    <w:tcW w:w="1263" w:type="pct"/>
                    <w:tcBorders>
                      <w:top w:val="single" w:sz="4" w:space="0" w:color="auto"/>
                      <w:left w:val="single" w:sz="4" w:space="0" w:color="auto"/>
                      <w:bottom w:val="single" w:sz="4" w:space="0" w:color="auto"/>
                      <w:right w:val="single" w:sz="4" w:space="0" w:color="auto"/>
                    </w:tcBorders>
                    <w:vAlign w:val="center"/>
                  </w:tcPr>
                  <w:p w14:paraId="53047326"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77,667,077.58</w:t>
                    </w:r>
                  </w:p>
                </w:tc>
                <w:tc>
                  <w:tcPr>
                    <w:tcW w:w="1284" w:type="pct"/>
                    <w:tcBorders>
                      <w:top w:val="single" w:sz="4" w:space="0" w:color="auto"/>
                      <w:left w:val="single" w:sz="4" w:space="0" w:color="auto"/>
                      <w:bottom w:val="single" w:sz="4" w:space="0" w:color="auto"/>
                      <w:right w:val="single" w:sz="4" w:space="0" w:color="auto"/>
                    </w:tcBorders>
                    <w:vAlign w:val="center"/>
                  </w:tcPr>
                  <w:p w14:paraId="6CC24D65"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58,061,650.84</w:t>
                    </w:r>
                  </w:p>
                </w:tc>
                <w:tc>
                  <w:tcPr>
                    <w:tcW w:w="1301" w:type="pct"/>
                    <w:tcBorders>
                      <w:top w:val="single" w:sz="4" w:space="0" w:color="auto"/>
                      <w:left w:val="single" w:sz="4" w:space="0" w:color="auto"/>
                      <w:bottom w:val="single" w:sz="4" w:space="0" w:color="auto"/>
                      <w:right w:val="single" w:sz="4" w:space="0" w:color="auto"/>
                    </w:tcBorders>
                  </w:tcPr>
                  <w:p w14:paraId="75201EAA" w14:textId="77777777" w:rsidR="00D21C1F" w:rsidRPr="0058263C" w:rsidRDefault="00D21C1F">
                    <w:pPr>
                      <w:rPr>
                        <w:rFonts w:ascii="Times New Roman" w:hAnsi="Times New Roman" w:cs="Times New Roman"/>
                        <w:szCs w:val="21"/>
                      </w:rPr>
                    </w:pPr>
                  </w:p>
                </w:tc>
              </w:tr>
            </w:sdtContent>
          </w:sdt>
          <w:tr w:rsidR="00D21C1F" w:rsidRPr="0058263C" w14:paraId="0085BEFA" w14:textId="77777777">
            <w:trPr>
              <w:trHeight w:val="285"/>
            </w:trPr>
            <w:sdt>
              <w:sdtPr>
                <w:rPr>
                  <w:rFonts w:ascii="Times New Roman" w:hAnsi="Times New Roman" w:cs="Times New Roman"/>
                </w:rPr>
                <w:tag w:val="_PLD_46168047d07447b6bd845849845604bb"/>
                <w:id w:val="388073493"/>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14:paraId="39AAD2B4"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14:paraId="69622685"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142,170,388.59</w:t>
                </w:r>
              </w:p>
            </w:tc>
            <w:tc>
              <w:tcPr>
                <w:tcW w:w="1284" w:type="pct"/>
                <w:tcBorders>
                  <w:top w:val="single" w:sz="4" w:space="0" w:color="auto"/>
                  <w:left w:val="single" w:sz="4" w:space="0" w:color="auto"/>
                  <w:bottom w:val="single" w:sz="4" w:space="0" w:color="auto"/>
                  <w:right w:val="single" w:sz="4" w:space="0" w:color="auto"/>
                </w:tcBorders>
                <w:vAlign w:val="center"/>
              </w:tcPr>
              <w:p w14:paraId="756CA211" w14:textId="77777777" w:rsidR="00D21C1F" w:rsidRPr="0058263C" w:rsidRDefault="00A42880">
                <w:pPr>
                  <w:jc w:val="right"/>
                  <w:rPr>
                    <w:rFonts w:ascii="Times New Roman" w:hAnsi="Times New Roman" w:cs="Times New Roman"/>
                    <w:szCs w:val="21"/>
                  </w:rPr>
                </w:pPr>
                <w:r w:rsidRPr="0058263C">
                  <w:rPr>
                    <w:rFonts w:ascii="Times New Roman" w:hAnsi="Times New Roman" w:cs="Times New Roman"/>
                  </w:rPr>
                  <w:t>122,564,961.85</w:t>
                </w:r>
              </w:p>
            </w:tc>
            <w:tc>
              <w:tcPr>
                <w:tcW w:w="1301" w:type="pct"/>
                <w:tcBorders>
                  <w:top w:val="single" w:sz="4" w:space="0" w:color="auto"/>
                  <w:left w:val="single" w:sz="4" w:space="0" w:color="auto"/>
                  <w:bottom w:val="single" w:sz="4" w:space="0" w:color="auto"/>
                  <w:right w:val="single" w:sz="4" w:space="0" w:color="auto"/>
                </w:tcBorders>
              </w:tcPr>
              <w:p w14:paraId="639259A3" w14:textId="77777777" w:rsidR="00D21C1F" w:rsidRPr="0058263C" w:rsidRDefault="00A42880">
                <w:pPr>
                  <w:jc w:val="center"/>
                  <w:rPr>
                    <w:rFonts w:ascii="Times New Roman" w:hAnsi="Times New Roman" w:cs="Times New Roman"/>
                    <w:szCs w:val="21"/>
                  </w:rPr>
                </w:pPr>
                <w:r w:rsidRPr="0058263C">
                  <w:rPr>
                    <w:rFonts w:ascii="Times New Roman" w:hAnsi="Times New Roman" w:cs="Times New Roman"/>
                    <w:szCs w:val="21"/>
                  </w:rPr>
                  <w:t>/</w:t>
                </w:r>
              </w:p>
            </w:tc>
          </w:tr>
        </w:tbl>
        <w:p w14:paraId="25FC1A7E" w14:textId="77777777" w:rsidR="00D21C1F" w:rsidRDefault="00045EC6">
          <w:pPr>
            <w:pStyle w:val="97"/>
          </w:pPr>
        </w:p>
      </w:sdtContent>
    </w:sdt>
    <w:bookmarkEnd w:id="249" w:displacedByCustomXml="next"/>
    <w:sdt>
      <w:sdtPr>
        <w:rPr>
          <w:rFonts w:hint="eastAsia"/>
          <w:szCs w:val="21"/>
        </w:rPr>
        <w:alias w:val="模块:递延所得税资产和递延所得税负债的说明"/>
        <w:tag w:val="_GBC_057749240d604d9ab0db94f6e505935f"/>
        <w:id w:val="-2026081544"/>
        <w:lock w:val="sdtLocked"/>
        <w:placeholder>
          <w:docPart w:val="GBC22222222222222222222222222222"/>
        </w:placeholder>
      </w:sdtPr>
      <w:sdtEndPr>
        <w:rPr>
          <w:rFonts w:hint="default"/>
        </w:rPr>
      </w:sdtEndPr>
      <w:sdtContent>
        <w:p w14:paraId="53912AEA" w14:textId="77777777" w:rsidR="00D21C1F" w:rsidRDefault="00A42880">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619409522"/>
            <w:lock w:val="sdtLocked"/>
            <w:placeholder>
              <w:docPart w:val="GBC22222222222222222222222222222"/>
            </w:placeholder>
          </w:sdtPr>
          <w:sdtEndPr/>
          <w:sdtContent>
            <w:p w14:paraId="032841DE"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A739E31" w14:textId="77777777" w:rsidR="00D21C1F" w:rsidRDefault="00D21C1F">
      <w:pPr>
        <w:rPr>
          <w:szCs w:val="21"/>
        </w:rPr>
      </w:pPr>
    </w:p>
    <w:bookmarkStart w:id="250" w:name="_Hlk10535308" w:displacedByCustomXml="next"/>
    <w:sdt>
      <w:sdtPr>
        <w:rPr>
          <w:rFonts w:ascii="Times New Roman" w:eastAsia="宋体" w:hAnsi="Times New Roman" w:cs="宋体"/>
          <w:b w:val="0"/>
          <w:bCs w:val="0"/>
          <w:kern w:val="0"/>
          <w:szCs w:val="21"/>
        </w:rPr>
        <w:alias w:val="模块:其他非流动资产"/>
        <w:tag w:val="_GBC_b8db472f168c433c9cdb46a39ab78b50"/>
        <w:id w:val="-1767992912"/>
        <w:lock w:val="sdtLocked"/>
        <w:placeholder>
          <w:docPart w:val="GBC22222222222222222222222222222"/>
        </w:placeholder>
      </w:sdtPr>
      <w:sdtEndPr/>
      <w:sdtContent>
        <w:p w14:paraId="00888EA8" w14:textId="77777777" w:rsidR="00D21C1F" w:rsidRPr="0058263C" w:rsidRDefault="00A42880">
          <w:pPr>
            <w:pStyle w:val="94"/>
            <w:numPr>
              <w:ilvl w:val="0"/>
              <w:numId w:val="95"/>
            </w:numPr>
            <w:tabs>
              <w:tab w:val="left" w:pos="504"/>
            </w:tabs>
            <w:rPr>
              <w:rFonts w:ascii="Times New Roman" w:hAnsi="Times New Roman"/>
              <w:szCs w:val="21"/>
            </w:rPr>
          </w:pPr>
          <w:r w:rsidRPr="0058263C">
            <w:rPr>
              <w:rFonts w:ascii="Times New Roman" w:hAnsi="Times New Roman"/>
              <w:szCs w:val="21"/>
            </w:rPr>
            <w:t>其他非流动资产</w:t>
          </w:r>
        </w:p>
        <w:sdt>
          <w:sdtPr>
            <w:rPr>
              <w:rFonts w:ascii="Times New Roman" w:hAnsi="Times New Roman" w:cs="Times New Roman"/>
            </w:rPr>
            <w:alias w:val="是否适用：其他非流动资产[双击切换]"/>
            <w:tag w:val="_GBC_227882aeaa9b4aa98d6af8bcac2af7a5"/>
            <w:id w:val="-418100017"/>
            <w:lock w:val="sdtLocked"/>
            <w:placeholder>
              <w:docPart w:val="GBC22222222222222222222222222222"/>
            </w:placeholder>
          </w:sdtPr>
          <w:sdtEndPr/>
          <w:sdtContent>
            <w:p w14:paraId="11D566C6" w14:textId="77777777" w:rsidR="00D21C1F" w:rsidRPr="0058263C" w:rsidRDefault="00A42880">
              <w:pPr>
                <w:pStyle w:val="97"/>
                <w:rPr>
                  <w:rFonts w:ascii="Times New Roman" w:hAnsi="Times New Roman" w:cs="Times New Roman"/>
                </w:rPr>
              </w:pP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r w:rsidRPr="0058263C">
                <w:rPr>
                  <w:rFonts w:ascii="Times New Roman" w:hAnsi="Times New Roman" w:cs="Times New Roman"/>
                </w:rPr>
                <w:fldChar w:fldCharType="begin"/>
              </w:r>
              <w:r w:rsidRPr="0058263C">
                <w:rPr>
                  <w:rFonts w:ascii="Times New Roman" w:hAnsi="Times New Roman" w:cs="Times New Roman"/>
                </w:rPr>
                <w:instrText xml:space="preserve"> MACROBUTTON  SnrToggleCheckbox □</w:instrText>
              </w:r>
              <w:r w:rsidRPr="0058263C">
                <w:rPr>
                  <w:rFonts w:ascii="Times New Roman" w:hAnsi="Times New Roman" w:cs="Times New Roman"/>
                </w:rPr>
                <w:instrText>不适用</w:instrText>
              </w:r>
              <w:r w:rsidRPr="0058263C">
                <w:rPr>
                  <w:rFonts w:ascii="Times New Roman" w:hAnsi="Times New Roman" w:cs="Times New Roman"/>
                </w:rPr>
                <w:instrText xml:space="preserve"> </w:instrText>
              </w:r>
              <w:r w:rsidRPr="0058263C">
                <w:rPr>
                  <w:rFonts w:ascii="Times New Roman" w:hAnsi="Times New Roman" w:cs="Times New Roman"/>
                </w:rPr>
                <w:fldChar w:fldCharType="end"/>
              </w:r>
            </w:p>
          </w:sdtContent>
        </w:sdt>
        <w:p w14:paraId="42D4860F" w14:textId="77777777" w:rsidR="00D21C1F" w:rsidRPr="0058263C" w:rsidRDefault="00A42880">
          <w:pPr>
            <w:jc w:val="right"/>
            <w:rPr>
              <w:rFonts w:ascii="Times New Roman" w:hAnsi="Times New Roman" w:cs="Times New Roman"/>
            </w:rPr>
          </w:pPr>
          <w:r w:rsidRPr="0058263C">
            <w:rPr>
              <w:rFonts w:ascii="Times New Roman" w:hAnsi="Times New Roman" w:cs="Times New Roman"/>
            </w:rPr>
            <w:t>单位：</w:t>
          </w:r>
          <w:sdt>
            <w:sdtPr>
              <w:rPr>
                <w:rFonts w:ascii="Times New Roman" w:hAnsi="Times New Roman" w:cs="Times New Roman"/>
              </w:rPr>
              <w:alias w:val="单位：财务附注：其他非流动资产"/>
              <w:tag w:val="_GBC_5fd172528c7e4c4c8619b250ae90cdb4"/>
              <w:id w:val="100309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8263C">
                <w:rPr>
                  <w:rFonts w:ascii="Times New Roman" w:hAnsi="Times New Roman" w:cs="Times New Roman"/>
                </w:rPr>
                <w:t>元</w:t>
              </w:r>
            </w:sdtContent>
          </w:sdt>
          <w:r w:rsidRPr="0058263C">
            <w:rPr>
              <w:rFonts w:ascii="Times New Roman" w:hAnsi="Times New Roman" w:cs="Times New Roman"/>
            </w:rPr>
            <w:t>币种：</w:t>
          </w:r>
          <w:sdt>
            <w:sdtPr>
              <w:rPr>
                <w:rFonts w:ascii="Times New Roman" w:hAnsi="Times New Roman" w:cs="Times New Roman"/>
              </w:rPr>
              <w:alias w:val="币种：财务附注：其他非流动资产"/>
              <w:tag w:val="_GBC_4cd5c26035ba4f7384dee597c98f0cb6"/>
              <w:id w:val="-1633861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58263C">
                <w:rPr>
                  <w:rFonts w:ascii="Times New Roman" w:hAnsi="Times New Roman" w:cs="Times New Roman"/>
                </w:rPr>
                <w:t>人民币</w:t>
              </w:r>
            </w:sdtContent>
          </w:sdt>
        </w:p>
        <w:tbl>
          <w:tblPr>
            <w:tblStyle w:val="88"/>
            <w:tblW w:w="550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9"/>
            <w:gridCol w:w="1388"/>
            <w:gridCol w:w="1388"/>
            <w:gridCol w:w="1390"/>
            <w:gridCol w:w="1388"/>
            <w:gridCol w:w="1388"/>
            <w:gridCol w:w="1390"/>
          </w:tblGrid>
          <w:tr w:rsidR="00D21C1F" w:rsidRPr="0058263C" w14:paraId="3EE64CD1" w14:textId="77777777">
            <w:sdt>
              <w:sdtPr>
                <w:rPr>
                  <w:rFonts w:ascii="Times New Roman" w:hAnsi="Times New Roman" w:cs="Times New Roman"/>
                </w:rPr>
                <w:tag w:val="_PLD_a0072e7adb6c49bb95cec91e0b7ec491"/>
                <w:id w:val="-1584216784"/>
                <w:lock w:val="sdtLocked"/>
              </w:sdtPr>
              <w:sdtEndPr/>
              <w:sdtContent>
                <w:tc>
                  <w:tcPr>
                    <w:tcW w:w="714" w:type="pct"/>
                    <w:vMerge w:val="restart"/>
                    <w:shd w:val="clear" w:color="auto" w:fill="auto"/>
                    <w:vAlign w:val="center"/>
                  </w:tcPr>
                  <w:p w14:paraId="6E27C167"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项目</w:t>
                    </w:r>
                  </w:p>
                </w:tc>
              </w:sdtContent>
            </w:sdt>
            <w:sdt>
              <w:sdtPr>
                <w:rPr>
                  <w:rFonts w:ascii="Times New Roman" w:hAnsi="Times New Roman" w:cs="Times New Roman"/>
                </w:rPr>
                <w:tag w:val="_PLD_9557fd4b49c84b3db8c9ae69c7346562"/>
                <w:id w:val="623667728"/>
                <w:lock w:val="sdtLocked"/>
              </w:sdtPr>
              <w:sdtEndPr/>
              <w:sdtContent>
                <w:tc>
                  <w:tcPr>
                    <w:tcW w:w="2143" w:type="pct"/>
                    <w:gridSpan w:val="3"/>
                    <w:vAlign w:val="center"/>
                  </w:tcPr>
                  <w:p w14:paraId="06338DC0"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期末余额</w:t>
                    </w:r>
                  </w:p>
                </w:tc>
              </w:sdtContent>
            </w:sdt>
            <w:sdt>
              <w:sdtPr>
                <w:rPr>
                  <w:rFonts w:ascii="Times New Roman" w:hAnsi="Times New Roman" w:cs="Times New Roman"/>
                </w:rPr>
                <w:tag w:val="_PLD_dad73a13c6c344aaa0bec642175f96c3"/>
                <w:id w:val="1029378538"/>
                <w:lock w:val="sdtLocked"/>
              </w:sdtPr>
              <w:sdtEndPr/>
              <w:sdtContent>
                <w:tc>
                  <w:tcPr>
                    <w:tcW w:w="2143" w:type="pct"/>
                    <w:gridSpan w:val="3"/>
                    <w:vAlign w:val="center"/>
                  </w:tcPr>
                  <w:p w14:paraId="02D19FA6"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期初余额</w:t>
                    </w:r>
                  </w:p>
                </w:tc>
              </w:sdtContent>
            </w:sdt>
          </w:tr>
          <w:tr w:rsidR="00D21C1F" w:rsidRPr="0058263C" w14:paraId="2B4724AA" w14:textId="77777777">
            <w:tc>
              <w:tcPr>
                <w:tcW w:w="714" w:type="pct"/>
                <w:vMerge/>
                <w:shd w:val="clear" w:color="auto" w:fill="auto"/>
                <w:vAlign w:val="center"/>
              </w:tcPr>
              <w:p w14:paraId="241DB988" w14:textId="77777777" w:rsidR="00D21C1F" w:rsidRPr="0058263C" w:rsidRDefault="00D21C1F">
                <w:pPr>
                  <w:jc w:val="center"/>
                  <w:rPr>
                    <w:rFonts w:ascii="Times New Roman" w:hAnsi="Times New Roman" w:cs="Times New Roman"/>
                  </w:rPr>
                </w:pPr>
              </w:p>
            </w:tc>
            <w:tc>
              <w:tcPr>
                <w:tcW w:w="714" w:type="pct"/>
                <w:vAlign w:val="center"/>
              </w:tcPr>
              <w:sdt>
                <w:sdtPr>
                  <w:rPr>
                    <w:rFonts w:ascii="Times New Roman" w:hAnsi="Times New Roman" w:cs="Times New Roman"/>
                    <w:szCs w:val="21"/>
                  </w:rPr>
                  <w:tag w:val="_PLD_93d316b5ed8d45ea95cfce051b0f999d"/>
                  <w:id w:val="2096367618"/>
                  <w:lock w:val="sdtLocked"/>
                </w:sdtPr>
                <w:sdtEndPr/>
                <w:sdtContent>
                  <w:p w14:paraId="23636B74" w14:textId="77777777" w:rsidR="00D21C1F" w:rsidRPr="0058263C" w:rsidRDefault="00A42880">
                    <w:pPr>
                      <w:jc w:val="center"/>
                      <w:rPr>
                        <w:rFonts w:ascii="Times New Roman" w:hAnsi="Times New Roman" w:cs="Times New Roman"/>
                      </w:rPr>
                    </w:pPr>
                    <w:r w:rsidRPr="0058263C">
                      <w:rPr>
                        <w:rFonts w:ascii="Times New Roman" w:hAnsi="Times New Roman" w:cs="Times New Roman"/>
                        <w:szCs w:val="21"/>
                      </w:rPr>
                      <w:t>账面余额</w:t>
                    </w:r>
                  </w:p>
                </w:sdtContent>
              </w:sdt>
            </w:tc>
            <w:tc>
              <w:tcPr>
                <w:tcW w:w="714" w:type="pct"/>
                <w:vAlign w:val="center"/>
              </w:tcPr>
              <w:sdt>
                <w:sdtPr>
                  <w:rPr>
                    <w:rFonts w:ascii="Times New Roman" w:hAnsi="Times New Roman" w:cs="Times New Roman"/>
                  </w:rPr>
                  <w:tag w:val="_PLD_ce9573e9b47f4859912e77c530974f87"/>
                  <w:id w:val="-1906836898"/>
                  <w:lock w:val="sdtLocked"/>
                </w:sdtPr>
                <w:sdtEndPr/>
                <w:sdtContent>
                  <w:p w14:paraId="381DFAD6"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减值准备</w:t>
                    </w:r>
                  </w:p>
                </w:sdtContent>
              </w:sdt>
            </w:tc>
            <w:tc>
              <w:tcPr>
                <w:tcW w:w="714" w:type="pct"/>
                <w:shd w:val="clear" w:color="auto" w:fill="auto"/>
                <w:vAlign w:val="center"/>
              </w:tcPr>
              <w:sdt>
                <w:sdtPr>
                  <w:rPr>
                    <w:rFonts w:ascii="Times New Roman" w:hAnsi="Times New Roman" w:cs="Times New Roman"/>
                  </w:rPr>
                  <w:tag w:val="_PLD_4b72c2cb7df84a3a9384f2eaa1acaf3a"/>
                  <w:id w:val="1667745937"/>
                  <w:lock w:val="sdtLocked"/>
                </w:sdtPr>
                <w:sdtEndPr/>
                <w:sdtContent>
                  <w:p w14:paraId="712CB855"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账面价值</w:t>
                    </w:r>
                  </w:p>
                </w:sdtContent>
              </w:sdt>
            </w:tc>
            <w:tc>
              <w:tcPr>
                <w:tcW w:w="714" w:type="pct"/>
                <w:vAlign w:val="center"/>
              </w:tcPr>
              <w:sdt>
                <w:sdtPr>
                  <w:rPr>
                    <w:rFonts w:ascii="Times New Roman" w:hAnsi="Times New Roman" w:cs="Times New Roman"/>
                  </w:rPr>
                  <w:tag w:val="_PLD_31abd03025c54702bba8f28fbcd435be"/>
                  <w:id w:val="-638497309"/>
                  <w:lock w:val="sdtLocked"/>
                </w:sdtPr>
                <w:sdtEndPr/>
                <w:sdtContent>
                  <w:p w14:paraId="5BA897DA"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账面余额</w:t>
                    </w:r>
                  </w:p>
                </w:sdtContent>
              </w:sdt>
            </w:tc>
            <w:tc>
              <w:tcPr>
                <w:tcW w:w="714" w:type="pct"/>
                <w:vAlign w:val="center"/>
              </w:tcPr>
              <w:sdt>
                <w:sdtPr>
                  <w:rPr>
                    <w:rFonts w:ascii="Times New Roman" w:hAnsi="Times New Roman" w:cs="Times New Roman"/>
                  </w:rPr>
                  <w:tag w:val="_PLD_5650816a035d4b9d999e9f87d1506d3b"/>
                  <w:id w:val="1345601782"/>
                  <w:lock w:val="sdtLocked"/>
                </w:sdtPr>
                <w:sdtEndPr/>
                <w:sdtContent>
                  <w:p w14:paraId="6DD67383"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减值准备</w:t>
                    </w:r>
                  </w:p>
                </w:sdtContent>
              </w:sdt>
            </w:tc>
            <w:tc>
              <w:tcPr>
                <w:tcW w:w="714" w:type="pct"/>
                <w:shd w:val="clear" w:color="auto" w:fill="auto"/>
                <w:vAlign w:val="center"/>
              </w:tcPr>
              <w:sdt>
                <w:sdtPr>
                  <w:rPr>
                    <w:rFonts w:ascii="Times New Roman" w:hAnsi="Times New Roman" w:cs="Times New Roman"/>
                  </w:rPr>
                  <w:tag w:val="_PLD_76b67d2d1c1543c0b22ec33e5ae8e28a"/>
                  <w:id w:val="1590812081"/>
                  <w:lock w:val="sdtLocked"/>
                </w:sdtPr>
                <w:sdtEndPr/>
                <w:sdtContent>
                  <w:p w14:paraId="571A6951"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账面价值</w:t>
                    </w:r>
                  </w:p>
                </w:sdtContent>
              </w:sdt>
            </w:tc>
          </w:tr>
          <w:sdt>
            <w:sdtPr>
              <w:rPr>
                <w:rFonts w:ascii="Times New Roman" w:hAnsi="Times New Roman" w:cs="Times New Roman"/>
              </w:rPr>
              <w:alias w:val="其他长期资产明细"/>
              <w:tag w:val="_TUP_d1338bd1e5ff437489b690d48cf84797"/>
              <w:id w:val="775914753"/>
              <w:lock w:val="sdtLocked"/>
            </w:sdtPr>
            <w:sdtEndPr>
              <w:rPr>
                <w:sz w:val="18"/>
                <w:szCs w:val="18"/>
              </w:rPr>
            </w:sdtEndPr>
            <w:sdtContent>
              <w:tr w:rsidR="00D21C1F" w:rsidRPr="0058263C" w14:paraId="507598F8" w14:textId="77777777">
                <w:tc>
                  <w:tcPr>
                    <w:tcW w:w="714" w:type="pct"/>
                    <w:shd w:val="clear" w:color="auto" w:fill="auto"/>
                    <w:vAlign w:val="center"/>
                  </w:tcPr>
                  <w:p w14:paraId="6356583C" w14:textId="77777777" w:rsidR="00D21C1F" w:rsidRPr="0058263C" w:rsidRDefault="00A42880">
                    <w:pPr>
                      <w:jc w:val="both"/>
                      <w:rPr>
                        <w:rFonts w:ascii="Times New Roman" w:hAnsi="Times New Roman" w:cs="Times New Roman"/>
                      </w:rPr>
                    </w:pPr>
                    <w:r w:rsidRPr="0058263C">
                      <w:rPr>
                        <w:rFonts w:ascii="Times New Roman" w:hAnsi="Times New Roman" w:cs="Times New Roman"/>
                      </w:rPr>
                      <w:t>预付投资款</w:t>
                    </w:r>
                  </w:p>
                </w:tc>
                <w:tc>
                  <w:tcPr>
                    <w:tcW w:w="714" w:type="pct"/>
                    <w:vAlign w:val="center"/>
                  </w:tcPr>
                  <w:p w14:paraId="0283E4C5"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17,278,049.00</w:t>
                    </w:r>
                  </w:p>
                </w:tc>
                <w:tc>
                  <w:tcPr>
                    <w:tcW w:w="714" w:type="pct"/>
                    <w:vAlign w:val="center"/>
                  </w:tcPr>
                  <w:p w14:paraId="18EC0D6B"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w:t>
                    </w:r>
                  </w:p>
                </w:tc>
                <w:tc>
                  <w:tcPr>
                    <w:tcW w:w="714" w:type="pct"/>
                    <w:shd w:val="clear" w:color="auto" w:fill="auto"/>
                    <w:vAlign w:val="bottom"/>
                  </w:tcPr>
                  <w:p w14:paraId="32CB9006" w14:textId="77777777" w:rsidR="00D21C1F" w:rsidRPr="0058263C" w:rsidRDefault="00A42880">
                    <w:pPr>
                      <w:jc w:val="right"/>
                      <w:rPr>
                        <w:rFonts w:ascii="Times New Roman" w:hAnsi="Times New Roman" w:cs="Times New Roman"/>
                        <w:sz w:val="18"/>
                        <w:szCs w:val="20"/>
                      </w:rPr>
                    </w:pPr>
                    <w:r w:rsidRPr="0058263C">
                      <w:rPr>
                        <w:rFonts w:ascii="Times New Roman" w:hAnsi="Times New Roman" w:cs="Times New Roman"/>
                        <w:sz w:val="18"/>
                        <w:szCs w:val="20"/>
                      </w:rPr>
                      <w:t>17,278,049.00</w:t>
                    </w:r>
                  </w:p>
                </w:tc>
                <w:tc>
                  <w:tcPr>
                    <w:tcW w:w="714" w:type="pct"/>
                    <w:vAlign w:val="center"/>
                  </w:tcPr>
                  <w:p w14:paraId="466111F7"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6,278,049.00</w:t>
                    </w:r>
                  </w:p>
                </w:tc>
                <w:tc>
                  <w:tcPr>
                    <w:tcW w:w="714" w:type="pct"/>
                    <w:vAlign w:val="center"/>
                  </w:tcPr>
                  <w:p w14:paraId="14FB1E21"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w:t>
                    </w:r>
                  </w:p>
                </w:tc>
                <w:tc>
                  <w:tcPr>
                    <w:tcW w:w="714" w:type="pct"/>
                    <w:shd w:val="clear" w:color="auto" w:fill="auto"/>
                    <w:vAlign w:val="center"/>
                  </w:tcPr>
                  <w:p w14:paraId="00BF92F6"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6,278,049.00</w:t>
                    </w:r>
                  </w:p>
                </w:tc>
              </w:tr>
            </w:sdtContent>
          </w:sdt>
          <w:sdt>
            <w:sdtPr>
              <w:rPr>
                <w:rFonts w:ascii="Times New Roman" w:hAnsi="Times New Roman" w:cs="Times New Roman"/>
              </w:rPr>
              <w:alias w:val="其他长期资产明细"/>
              <w:tag w:val="_TUP_d1338bd1e5ff437489b690d48cf84797"/>
              <w:id w:val="-793365437"/>
              <w:lock w:val="sdtLocked"/>
            </w:sdtPr>
            <w:sdtEndPr>
              <w:rPr>
                <w:sz w:val="18"/>
                <w:szCs w:val="18"/>
              </w:rPr>
            </w:sdtEndPr>
            <w:sdtContent>
              <w:tr w:rsidR="00D21C1F" w:rsidRPr="0058263C" w14:paraId="4AA0A0BC" w14:textId="77777777">
                <w:tc>
                  <w:tcPr>
                    <w:tcW w:w="714" w:type="pct"/>
                    <w:shd w:val="clear" w:color="auto" w:fill="auto"/>
                    <w:vAlign w:val="center"/>
                  </w:tcPr>
                  <w:p w14:paraId="4A7A4560" w14:textId="77777777" w:rsidR="00D21C1F" w:rsidRPr="0058263C" w:rsidRDefault="00A42880">
                    <w:pPr>
                      <w:jc w:val="both"/>
                      <w:rPr>
                        <w:rFonts w:ascii="Times New Roman" w:hAnsi="Times New Roman" w:cs="Times New Roman"/>
                      </w:rPr>
                    </w:pPr>
                    <w:r w:rsidRPr="0058263C">
                      <w:rPr>
                        <w:rFonts w:ascii="Times New Roman" w:hAnsi="Times New Roman" w:cs="Times New Roman"/>
                      </w:rPr>
                      <w:t>合同资产</w:t>
                    </w:r>
                  </w:p>
                </w:tc>
                <w:tc>
                  <w:tcPr>
                    <w:tcW w:w="714" w:type="pct"/>
                    <w:vAlign w:val="center"/>
                  </w:tcPr>
                  <w:p w14:paraId="4FC44CAA"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39,483,111.60</w:t>
                    </w:r>
                  </w:p>
                </w:tc>
                <w:tc>
                  <w:tcPr>
                    <w:tcW w:w="714" w:type="pct"/>
                    <w:vAlign w:val="center"/>
                  </w:tcPr>
                  <w:p w14:paraId="38BDF8F7"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12,323,883.97</w:t>
                    </w:r>
                  </w:p>
                </w:tc>
                <w:tc>
                  <w:tcPr>
                    <w:tcW w:w="714" w:type="pct"/>
                    <w:shd w:val="clear" w:color="auto" w:fill="auto"/>
                    <w:vAlign w:val="bottom"/>
                  </w:tcPr>
                  <w:p w14:paraId="6B04E216" w14:textId="77777777" w:rsidR="00D21C1F" w:rsidRPr="0058263C" w:rsidRDefault="00A42880">
                    <w:pPr>
                      <w:jc w:val="right"/>
                      <w:rPr>
                        <w:rFonts w:ascii="Times New Roman" w:hAnsi="Times New Roman" w:cs="Times New Roman"/>
                        <w:sz w:val="18"/>
                        <w:szCs w:val="20"/>
                      </w:rPr>
                    </w:pPr>
                    <w:r w:rsidRPr="0058263C">
                      <w:rPr>
                        <w:rFonts w:ascii="Times New Roman" w:hAnsi="Times New Roman" w:cs="Times New Roman"/>
                        <w:sz w:val="18"/>
                        <w:szCs w:val="20"/>
                      </w:rPr>
                      <w:t>27,159,227.63</w:t>
                    </w:r>
                  </w:p>
                </w:tc>
                <w:tc>
                  <w:tcPr>
                    <w:tcW w:w="714" w:type="pct"/>
                    <w:vAlign w:val="center"/>
                  </w:tcPr>
                  <w:p w14:paraId="35625556"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45,212,335.25</w:t>
                    </w:r>
                  </w:p>
                </w:tc>
                <w:tc>
                  <w:tcPr>
                    <w:tcW w:w="714" w:type="pct"/>
                    <w:vAlign w:val="center"/>
                  </w:tcPr>
                  <w:p w14:paraId="18709B16"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11,474,577.40</w:t>
                    </w:r>
                  </w:p>
                </w:tc>
                <w:tc>
                  <w:tcPr>
                    <w:tcW w:w="714" w:type="pct"/>
                    <w:shd w:val="clear" w:color="auto" w:fill="auto"/>
                    <w:vAlign w:val="center"/>
                  </w:tcPr>
                  <w:p w14:paraId="32FA627A"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33,737,757.85</w:t>
                    </w:r>
                  </w:p>
                </w:tc>
              </w:tr>
            </w:sdtContent>
          </w:sdt>
          <w:tr w:rsidR="00D21C1F" w:rsidRPr="0058263C" w14:paraId="08542835" w14:textId="77777777">
            <w:sdt>
              <w:sdtPr>
                <w:rPr>
                  <w:rFonts w:ascii="Times New Roman" w:hAnsi="Times New Roman" w:cs="Times New Roman"/>
                </w:rPr>
                <w:tag w:val="_PLD_baa34d661ffd46a3a68ebd63193a4444"/>
                <w:id w:val="944974461"/>
                <w:lock w:val="sdtLocked"/>
              </w:sdtPr>
              <w:sdtEndPr/>
              <w:sdtContent>
                <w:tc>
                  <w:tcPr>
                    <w:tcW w:w="714" w:type="pct"/>
                    <w:shd w:val="clear" w:color="auto" w:fill="auto"/>
                    <w:vAlign w:val="center"/>
                  </w:tcPr>
                  <w:p w14:paraId="0F4331E7" w14:textId="77777777" w:rsidR="00D21C1F" w:rsidRPr="0058263C" w:rsidRDefault="00A42880">
                    <w:pPr>
                      <w:jc w:val="center"/>
                      <w:rPr>
                        <w:rFonts w:ascii="Times New Roman" w:hAnsi="Times New Roman" w:cs="Times New Roman"/>
                      </w:rPr>
                    </w:pPr>
                    <w:r w:rsidRPr="0058263C">
                      <w:rPr>
                        <w:rFonts w:ascii="Times New Roman" w:hAnsi="Times New Roman" w:cs="Times New Roman"/>
                      </w:rPr>
                      <w:t>合计</w:t>
                    </w:r>
                  </w:p>
                </w:tc>
              </w:sdtContent>
            </w:sdt>
            <w:tc>
              <w:tcPr>
                <w:tcW w:w="714" w:type="pct"/>
                <w:vAlign w:val="center"/>
              </w:tcPr>
              <w:p w14:paraId="1FDE2A16"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56,761,160.60</w:t>
                </w:r>
              </w:p>
            </w:tc>
            <w:tc>
              <w:tcPr>
                <w:tcW w:w="714" w:type="pct"/>
                <w:vAlign w:val="center"/>
              </w:tcPr>
              <w:p w14:paraId="29014631"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12,323,883.97</w:t>
                </w:r>
              </w:p>
            </w:tc>
            <w:tc>
              <w:tcPr>
                <w:tcW w:w="714" w:type="pct"/>
                <w:shd w:val="clear" w:color="auto" w:fill="auto"/>
                <w:vAlign w:val="center"/>
              </w:tcPr>
              <w:p w14:paraId="30EE821F"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44,437,276.63</w:t>
                </w:r>
              </w:p>
            </w:tc>
            <w:tc>
              <w:tcPr>
                <w:tcW w:w="714" w:type="pct"/>
                <w:vAlign w:val="center"/>
              </w:tcPr>
              <w:p w14:paraId="49029B34"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51,490,384.25</w:t>
                </w:r>
              </w:p>
            </w:tc>
            <w:tc>
              <w:tcPr>
                <w:tcW w:w="714" w:type="pct"/>
                <w:vAlign w:val="center"/>
              </w:tcPr>
              <w:p w14:paraId="0408FFB9"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11,474,577.40</w:t>
                </w:r>
              </w:p>
            </w:tc>
            <w:tc>
              <w:tcPr>
                <w:tcW w:w="714" w:type="pct"/>
                <w:shd w:val="clear" w:color="auto" w:fill="auto"/>
                <w:vAlign w:val="center"/>
              </w:tcPr>
              <w:p w14:paraId="684709E9" w14:textId="77777777" w:rsidR="00D21C1F" w:rsidRPr="0058263C" w:rsidRDefault="00A42880">
                <w:pPr>
                  <w:jc w:val="right"/>
                  <w:rPr>
                    <w:rFonts w:ascii="Times New Roman" w:hAnsi="Times New Roman" w:cs="Times New Roman"/>
                    <w:sz w:val="18"/>
                    <w:szCs w:val="18"/>
                  </w:rPr>
                </w:pPr>
                <w:r w:rsidRPr="0058263C">
                  <w:rPr>
                    <w:rFonts w:ascii="Times New Roman" w:hAnsi="Times New Roman" w:cs="Times New Roman"/>
                    <w:sz w:val="18"/>
                    <w:szCs w:val="18"/>
                  </w:rPr>
                  <w:t>40,015,806.85</w:t>
                </w:r>
              </w:p>
            </w:tc>
          </w:tr>
        </w:tbl>
        <w:p w14:paraId="1F9736B3" w14:textId="77777777" w:rsidR="00D21C1F" w:rsidRPr="0058263C" w:rsidRDefault="00A42880">
          <w:pPr>
            <w:rPr>
              <w:rFonts w:ascii="Times New Roman" w:hAnsi="Times New Roman" w:cs="Times New Roman"/>
              <w:szCs w:val="21"/>
            </w:rPr>
          </w:pPr>
          <w:r w:rsidRPr="0058263C">
            <w:rPr>
              <w:rFonts w:ascii="Times New Roman" w:hAnsi="Times New Roman" w:cs="Times New Roman"/>
              <w:szCs w:val="21"/>
            </w:rPr>
            <w:t>其他说明：</w:t>
          </w:r>
        </w:p>
        <w:p w14:paraId="071A2269" w14:textId="77777777" w:rsidR="00D21C1F" w:rsidRPr="0058263C" w:rsidRDefault="00045EC6">
          <w:pPr>
            <w:rPr>
              <w:rFonts w:ascii="Times New Roman" w:hAnsi="Times New Roman" w:cs="Times New Roman"/>
              <w:szCs w:val="21"/>
            </w:rPr>
          </w:pPr>
          <w:sdt>
            <w:sdtPr>
              <w:rPr>
                <w:rFonts w:ascii="Times New Roman" w:hAnsi="Times New Roman" w:cs="Times New Roman"/>
                <w:szCs w:val="21"/>
              </w:rPr>
              <w:alias w:val="其他长期资产的说明"/>
              <w:tag w:val="_GBC_c90d49970b64411f909938927f41ebe5"/>
              <w:id w:val="973325632"/>
              <w:lock w:val="sdtLocked"/>
              <w:placeholder>
                <w:docPart w:val="GBC22222222222222222222222222222"/>
              </w:placeholder>
            </w:sdtPr>
            <w:sdtEndPr/>
            <w:sdtContent>
              <w:r w:rsidR="00A42880" w:rsidRPr="0058263C">
                <w:rPr>
                  <w:rFonts w:ascii="Times New Roman" w:hAnsi="Times New Roman" w:cs="Times New Roman"/>
                  <w:szCs w:val="21"/>
                </w:rPr>
                <w:t>无</w:t>
              </w:r>
            </w:sdtContent>
          </w:sdt>
        </w:p>
      </w:sdtContent>
    </w:sdt>
    <w:bookmarkEnd w:id="250"/>
    <w:p w14:paraId="10A6BE29" w14:textId="77777777" w:rsidR="00D21C1F" w:rsidRDefault="00D21C1F">
      <w:pPr>
        <w:rPr>
          <w:szCs w:val="21"/>
        </w:rPr>
      </w:pPr>
    </w:p>
    <w:p w14:paraId="67D9DE38"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短期借款</w:t>
      </w:r>
    </w:p>
    <w:sdt>
      <w:sdtPr>
        <w:rPr>
          <w:rFonts w:ascii="Times New Roman" w:eastAsia="宋体" w:hAnsi="Times New Roman" w:cs="宋体"/>
          <w:b w:val="0"/>
          <w:bCs w:val="0"/>
          <w:kern w:val="0"/>
          <w:szCs w:val="21"/>
        </w:rPr>
        <w:alias w:val="模块:短期借款分类"/>
        <w:tag w:val="_GBC_7bd2428d8b3140c1a80e7a88bb928c1f"/>
        <w:id w:val="-1531332122"/>
        <w:lock w:val="sdtLocked"/>
        <w:placeholder>
          <w:docPart w:val="GBC22222222222222222222222222222"/>
        </w:placeholder>
      </w:sdtPr>
      <w:sdtEndPr>
        <w:rPr>
          <w:color w:val="000000" w:themeColor="text1"/>
          <w:kern w:val="2"/>
        </w:rPr>
      </w:sdtEndPr>
      <w:sdtContent>
        <w:p w14:paraId="2C2EF472" w14:textId="77777777" w:rsidR="00D21C1F" w:rsidRPr="00EB7A55" w:rsidRDefault="00A42880">
          <w:pPr>
            <w:pStyle w:val="93"/>
            <w:numPr>
              <w:ilvl w:val="0"/>
              <w:numId w:val="113"/>
            </w:numPr>
            <w:tabs>
              <w:tab w:val="left" w:pos="630"/>
            </w:tabs>
            <w:rPr>
              <w:rFonts w:ascii="Times New Roman" w:hAnsi="Times New Roman"/>
              <w:szCs w:val="21"/>
            </w:rPr>
          </w:pPr>
          <w:r w:rsidRPr="00EB7A55">
            <w:rPr>
              <w:rFonts w:ascii="Times New Roman" w:hAnsi="Times New Roman"/>
              <w:szCs w:val="21"/>
            </w:rPr>
            <w:t>短期借款分类</w:t>
          </w:r>
        </w:p>
        <w:sdt>
          <w:sdtPr>
            <w:rPr>
              <w:rFonts w:ascii="Times New Roman" w:hAnsi="Times New Roman" w:cs="Times New Roman"/>
            </w:rPr>
            <w:alias w:val="是否适用：短期借款分类[双击切换]"/>
            <w:tag w:val="_GBC_1074387a68b64f6b9270b522de53ad85"/>
            <w:id w:val="1814062091"/>
            <w:lock w:val="sdtLocked"/>
            <w:placeholder>
              <w:docPart w:val="GBC22222222222222222222222222222"/>
            </w:placeholder>
          </w:sdtPr>
          <w:sdtEndPr/>
          <w:sdtContent>
            <w:p w14:paraId="206474AF"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不适用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p>
          </w:sdtContent>
        </w:sdt>
        <w:p w14:paraId="48DD2B0D"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szCs w:val="21"/>
            </w:rPr>
            <w:t>单位：</w:t>
          </w:r>
          <w:sdt>
            <w:sdtPr>
              <w:rPr>
                <w:rFonts w:ascii="Times New Roman" w:hAnsi="Times New Roman" w:cs="Times New Roman"/>
                <w:szCs w:val="21"/>
              </w:rPr>
              <w:alias w:val="单位：财务附注：短期借款分类"/>
              <w:tag w:val="_GBC_f3353209b65c4921b63143340e11aac9"/>
              <w:id w:val="16005188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B7A55">
                <w:rPr>
                  <w:rFonts w:ascii="Times New Roman" w:hAnsi="Times New Roman" w:cs="Times New Roman"/>
                  <w:szCs w:val="21"/>
                </w:rPr>
                <w:t>元</w:t>
              </w:r>
            </w:sdtContent>
          </w:sdt>
          <w:r w:rsidRPr="00EB7A55">
            <w:rPr>
              <w:rFonts w:ascii="Times New Roman" w:hAnsi="Times New Roman" w:cs="Times New Roman"/>
              <w:szCs w:val="21"/>
            </w:rPr>
            <w:t>币种：</w:t>
          </w:r>
          <w:sdt>
            <w:sdtPr>
              <w:rPr>
                <w:rFonts w:ascii="Times New Roman" w:hAnsi="Times New Roman" w:cs="Times New Roman"/>
                <w:szCs w:val="21"/>
              </w:rPr>
              <w:alias w:val="币种：财务附注：短期借款分类"/>
              <w:tag w:val="_GBC_b3a1802faad14eae96cfab316b25f639"/>
              <w:id w:val="-818963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EB7A55">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8"/>
            <w:gridCol w:w="2979"/>
            <w:gridCol w:w="2996"/>
          </w:tblGrid>
          <w:tr w:rsidR="00D21C1F" w:rsidRPr="00EB7A55" w14:paraId="6ACF625A" w14:textId="77777777">
            <w:trPr>
              <w:cantSplit/>
            </w:trPr>
            <w:sdt>
              <w:sdtPr>
                <w:rPr>
                  <w:rFonts w:ascii="Times New Roman" w:hAnsi="Times New Roman" w:cs="Times New Roman"/>
                </w:rPr>
                <w:tag w:val="_PLD_3476605067da474199aa03dc83e3d88c"/>
                <w:id w:val="-836774400"/>
                <w:lock w:val="sdtLocked"/>
              </w:sdtPr>
              <w:sdtEndPr/>
              <w:sdtContent>
                <w:tc>
                  <w:tcPr>
                    <w:tcW w:w="1614" w:type="pct"/>
                    <w:vAlign w:val="center"/>
                  </w:tcPr>
                  <w:p w14:paraId="67C96484" w14:textId="77777777" w:rsidR="00D21C1F" w:rsidRPr="00EB7A55" w:rsidRDefault="00A42880">
                    <w:pPr>
                      <w:autoSpaceDE w:val="0"/>
                      <w:autoSpaceDN w:val="0"/>
                      <w:adjustRightInd w:val="0"/>
                      <w:snapToGrid w:val="0"/>
                      <w:spacing w:line="240" w:lineRule="atLeast"/>
                      <w:jc w:val="center"/>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项目</w:t>
                    </w:r>
                  </w:p>
                </w:tc>
              </w:sdtContent>
            </w:sdt>
            <w:sdt>
              <w:sdtPr>
                <w:rPr>
                  <w:rFonts w:ascii="Times New Roman" w:hAnsi="Times New Roman" w:cs="Times New Roman"/>
                </w:rPr>
                <w:tag w:val="_PLD_ccd6dc2751cc421e8a2f26f78a44b4c5"/>
                <w:id w:val="705137641"/>
                <w:lock w:val="sdtLocked"/>
              </w:sdtPr>
              <w:sdtEndPr/>
              <w:sdtContent>
                <w:tc>
                  <w:tcPr>
                    <w:tcW w:w="1688" w:type="pct"/>
                    <w:vAlign w:val="center"/>
                  </w:tcPr>
                  <w:p w14:paraId="34221124" w14:textId="77777777" w:rsidR="00D21C1F" w:rsidRPr="00EB7A55" w:rsidRDefault="00A42880">
                    <w:pPr>
                      <w:jc w:val="center"/>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期末余额</w:t>
                    </w:r>
                  </w:p>
                </w:tc>
              </w:sdtContent>
            </w:sdt>
            <w:sdt>
              <w:sdtPr>
                <w:rPr>
                  <w:rFonts w:ascii="Times New Roman" w:hAnsi="Times New Roman" w:cs="Times New Roman"/>
                </w:rPr>
                <w:tag w:val="_PLD_c16f582c583d4324abc605c4bc563081"/>
                <w:id w:val="-788965832"/>
                <w:lock w:val="sdtLocked"/>
              </w:sdtPr>
              <w:sdtEndPr/>
              <w:sdtContent>
                <w:tc>
                  <w:tcPr>
                    <w:tcW w:w="1698" w:type="pct"/>
                    <w:vAlign w:val="center"/>
                  </w:tcPr>
                  <w:p w14:paraId="19F86F37" w14:textId="77777777" w:rsidR="00D21C1F" w:rsidRPr="00EB7A55" w:rsidRDefault="00A42880">
                    <w:pPr>
                      <w:jc w:val="center"/>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期初余额</w:t>
                    </w:r>
                  </w:p>
                </w:tc>
              </w:sdtContent>
            </w:sdt>
          </w:tr>
          <w:tr w:rsidR="00D21C1F" w:rsidRPr="00EB7A55" w14:paraId="3C2C5B56" w14:textId="77777777">
            <w:trPr>
              <w:cantSplit/>
              <w:trHeight w:val="237"/>
            </w:trPr>
            <w:sdt>
              <w:sdtPr>
                <w:rPr>
                  <w:rFonts w:ascii="Times New Roman" w:hAnsi="Times New Roman" w:cs="Times New Roman"/>
                </w:rPr>
                <w:tag w:val="_PLD_ac3f684241c3446d8157cc100dc691d8"/>
                <w:id w:val="-265541437"/>
                <w:lock w:val="sdtLocked"/>
              </w:sdtPr>
              <w:sdtEndPr/>
              <w:sdtContent>
                <w:tc>
                  <w:tcPr>
                    <w:tcW w:w="1614" w:type="pct"/>
                    <w:shd w:val="clear" w:color="auto" w:fill="auto"/>
                  </w:tcPr>
                  <w:p w14:paraId="30FCFA93" w14:textId="77777777" w:rsidR="00D21C1F" w:rsidRPr="00EB7A55" w:rsidRDefault="00A42880">
                    <w:pPr>
                      <w:autoSpaceDE w:val="0"/>
                      <w:autoSpaceDN w:val="0"/>
                      <w:adjustRightInd w:val="0"/>
                      <w:snapToGrid w:val="0"/>
                      <w:spacing w:line="240" w:lineRule="atLeast"/>
                      <w:jc w:val="both"/>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信用借款</w:t>
                    </w:r>
                  </w:p>
                </w:tc>
              </w:sdtContent>
            </w:sdt>
            <w:tc>
              <w:tcPr>
                <w:tcW w:w="1688" w:type="pct"/>
                <w:shd w:val="clear" w:color="auto" w:fill="auto"/>
                <w:vAlign w:val="center"/>
              </w:tcPr>
              <w:p w14:paraId="7425B82F"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319,547,141.92</w:t>
                </w:r>
              </w:p>
            </w:tc>
            <w:tc>
              <w:tcPr>
                <w:tcW w:w="1698" w:type="pct"/>
                <w:shd w:val="clear" w:color="auto" w:fill="auto"/>
              </w:tcPr>
              <w:p w14:paraId="6617DAA8"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210,339,423.95</w:t>
                </w:r>
              </w:p>
            </w:tc>
          </w:tr>
          <w:tr w:rsidR="00D21C1F" w:rsidRPr="00EB7A55" w14:paraId="67B3737E" w14:textId="77777777">
            <w:trPr>
              <w:cantSplit/>
            </w:trPr>
            <w:sdt>
              <w:sdtPr>
                <w:rPr>
                  <w:rFonts w:ascii="Times New Roman" w:hAnsi="Times New Roman" w:cs="Times New Roman"/>
                </w:rPr>
                <w:tag w:val="_PLD_683943eeaad3404fa9922b66239868d3"/>
                <w:id w:val="79872163"/>
                <w:lock w:val="sdtLocked"/>
              </w:sdtPr>
              <w:sdtEndPr/>
              <w:sdtContent>
                <w:tc>
                  <w:tcPr>
                    <w:tcW w:w="1614" w:type="pct"/>
                    <w:shd w:val="clear" w:color="auto" w:fill="auto"/>
                  </w:tcPr>
                  <w:p w14:paraId="0CB8D932" w14:textId="77777777" w:rsidR="00D21C1F" w:rsidRPr="00EB7A55" w:rsidRDefault="00A42880">
                    <w:pPr>
                      <w:autoSpaceDE w:val="0"/>
                      <w:autoSpaceDN w:val="0"/>
                      <w:adjustRightInd w:val="0"/>
                      <w:snapToGrid w:val="0"/>
                      <w:spacing w:line="240" w:lineRule="atLeast"/>
                      <w:jc w:val="both"/>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保证借款</w:t>
                    </w:r>
                  </w:p>
                </w:tc>
              </w:sdtContent>
            </w:sdt>
            <w:tc>
              <w:tcPr>
                <w:tcW w:w="1688" w:type="pct"/>
                <w:shd w:val="clear" w:color="auto" w:fill="auto"/>
                <w:vAlign w:val="center"/>
              </w:tcPr>
              <w:p w14:paraId="2A711CAC"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10,497,292.39</w:t>
                </w:r>
              </w:p>
            </w:tc>
            <w:tc>
              <w:tcPr>
                <w:tcW w:w="1698" w:type="pct"/>
                <w:shd w:val="clear" w:color="auto" w:fill="auto"/>
              </w:tcPr>
              <w:p w14:paraId="5065AD3A"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36,954,554.28</w:t>
                </w:r>
              </w:p>
            </w:tc>
          </w:tr>
          <w:tr w:rsidR="00D21C1F" w:rsidRPr="00EB7A55" w14:paraId="234A9BAC" w14:textId="77777777">
            <w:trPr>
              <w:cantSplit/>
            </w:trPr>
            <w:sdt>
              <w:sdtPr>
                <w:rPr>
                  <w:rFonts w:ascii="Times New Roman" w:hAnsi="Times New Roman" w:cs="Times New Roman"/>
                </w:rPr>
                <w:tag w:val="_PLD_0e8c36451cb04874b50771df2ac75104"/>
                <w:id w:val="-1857959194"/>
                <w:lock w:val="sdtLocked"/>
              </w:sdtPr>
              <w:sdtEndPr/>
              <w:sdtContent>
                <w:tc>
                  <w:tcPr>
                    <w:tcW w:w="1614" w:type="pct"/>
                    <w:shd w:val="clear" w:color="auto" w:fill="auto"/>
                  </w:tcPr>
                  <w:p w14:paraId="6A62986A" w14:textId="77777777" w:rsidR="00D21C1F" w:rsidRPr="00EB7A55" w:rsidRDefault="00A42880">
                    <w:pPr>
                      <w:autoSpaceDE w:val="0"/>
                      <w:autoSpaceDN w:val="0"/>
                      <w:adjustRightInd w:val="0"/>
                      <w:snapToGrid w:val="0"/>
                      <w:spacing w:line="240" w:lineRule="atLeast"/>
                      <w:jc w:val="both"/>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质押借款</w:t>
                    </w:r>
                  </w:p>
                </w:tc>
              </w:sdtContent>
            </w:sdt>
            <w:tc>
              <w:tcPr>
                <w:tcW w:w="1688" w:type="pct"/>
                <w:shd w:val="clear" w:color="auto" w:fill="auto"/>
                <w:vAlign w:val="center"/>
              </w:tcPr>
              <w:p w14:paraId="637E0D12"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8,400,000.00</w:t>
                </w:r>
              </w:p>
            </w:tc>
            <w:tc>
              <w:tcPr>
                <w:tcW w:w="1698" w:type="pct"/>
                <w:shd w:val="clear" w:color="auto" w:fill="auto"/>
              </w:tcPr>
              <w:p w14:paraId="75C86153"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8,608,000.00</w:t>
                </w:r>
              </w:p>
            </w:tc>
          </w:tr>
          <w:sdt>
            <w:sdtPr>
              <w:rPr>
                <w:rFonts w:ascii="Times New Roman" w:hAnsi="Times New Roman" w:cs="Times New Roman"/>
                <w:szCs w:val="21"/>
              </w:rPr>
              <w:alias w:val="其他短期借款"/>
              <w:tag w:val="_GBC_3776cbdd3bc741b1b701033ef7f4c80d"/>
              <w:id w:val="1100991351"/>
              <w:lock w:val="sdtLocked"/>
            </w:sdtPr>
            <w:sdtEndPr/>
            <w:sdtContent>
              <w:tr w:rsidR="00D21C1F" w:rsidRPr="00EB7A55" w14:paraId="43F1467F" w14:textId="77777777">
                <w:trPr>
                  <w:cantSplit/>
                </w:trPr>
                <w:tc>
                  <w:tcPr>
                    <w:tcW w:w="1614" w:type="pct"/>
                    <w:shd w:val="clear" w:color="auto" w:fill="auto"/>
                  </w:tcPr>
                  <w:p w14:paraId="0042EC55" w14:textId="77777777" w:rsidR="00D21C1F" w:rsidRPr="00EB7A55" w:rsidRDefault="00A42880">
                    <w:pPr>
                      <w:autoSpaceDE w:val="0"/>
                      <w:autoSpaceDN w:val="0"/>
                      <w:adjustRightInd w:val="0"/>
                      <w:snapToGrid w:val="0"/>
                      <w:spacing w:line="240" w:lineRule="atLeast"/>
                      <w:rPr>
                        <w:rFonts w:ascii="Times New Roman" w:hAnsi="Times New Roman" w:cs="Times New Roman"/>
                        <w:szCs w:val="21"/>
                      </w:rPr>
                    </w:pPr>
                    <w:r w:rsidRPr="00EB7A55">
                      <w:rPr>
                        <w:rFonts w:ascii="Times New Roman" w:hAnsi="Times New Roman" w:cs="Times New Roman"/>
                        <w:szCs w:val="21"/>
                      </w:rPr>
                      <w:t>短期借款利息</w:t>
                    </w:r>
                  </w:p>
                </w:tc>
                <w:tc>
                  <w:tcPr>
                    <w:tcW w:w="1688" w:type="pct"/>
                    <w:shd w:val="clear" w:color="auto" w:fill="auto"/>
                  </w:tcPr>
                  <w:p w14:paraId="22711A00"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szCs w:val="21"/>
                      </w:rPr>
                      <w:t>1,211,072.46</w:t>
                    </w:r>
                  </w:p>
                </w:tc>
                <w:tc>
                  <w:tcPr>
                    <w:tcW w:w="1698" w:type="pct"/>
                  </w:tcPr>
                  <w:p w14:paraId="67FF306A"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472,756.65</w:t>
                    </w:r>
                  </w:p>
                </w:tc>
              </w:tr>
            </w:sdtContent>
          </w:sdt>
          <w:tr w:rsidR="00D21C1F" w:rsidRPr="00EB7A55" w14:paraId="39F6EE23" w14:textId="77777777">
            <w:trPr>
              <w:cantSplit/>
            </w:trPr>
            <w:sdt>
              <w:sdtPr>
                <w:rPr>
                  <w:rFonts w:ascii="Times New Roman" w:hAnsi="Times New Roman" w:cs="Times New Roman"/>
                </w:rPr>
                <w:tag w:val="_PLD_d743f636779d41b799b60f4fd4a017df"/>
                <w:id w:val="144015261"/>
                <w:lock w:val="sdtLocked"/>
              </w:sdtPr>
              <w:sdtEndPr/>
              <w:sdtContent>
                <w:tc>
                  <w:tcPr>
                    <w:tcW w:w="1614" w:type="pct"/>
                    <w:vAlign w:val="center"/>
                  </w:tcPr>
                  <w:p w14:paraId="1A2A56DF" w14:textId="77777777" w:rsidR="00D21C1F" w:rsidRPr="00EB7A55" w:rsidRDefault="00A42880">
                    <w:pPr>
                      <w:autoSpaceDE w:val="0"/>
                      <w:autoSpaceDN w:val="0"/>
                      <w:adjustRightInd w:val="0"/>
                      <w:snapToGrid w:val="0"/>
                      <w:spacing w:line="240" w:lineRule="atLeast"/>
                      <w:jc w:val="center"/>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合计</w:t>
                    </w:r>
                  </w:p>
                </w:tc>
              </w:sdtContent>
            </w:sdt>
            <w:tc>
              <w:tcPr>
                <w:tcW w:w="1688" w:type="pct"/>
              </w:tcPr>
              <w:p w14:paraId="65536F98"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szCs w:val="21"/>
                  </w:rPr>
                  <w:t>339,655,506.77</w:t>
                </w:r>
              </w:p>
            </w:tc>
            <w:tc>
              <w:tcPr>
                <w:tcW w:w="1698" w:type="pct"/>
              </w:tcPr>
              <w:p w14:paraId="4CECF81A" w14:textId="77777777" w:rsidR="00D21C1F" w:rsidRPr="00EB7A55" w:rsidRDefault="00A42880">
                <w:pPr>
                  <w:autoSpaceDE w:val="0"/>
                  <w:autoSpaceDN w:val="0"/>
                  <w:adjustRightInd w:val="0"/>
                  <w:snapToGrid w:val="0"/>
                  <w:spacing w:line="240" w:lineRule="atLeast"/>
                  <w:ind w:right="180"/>
                  <w:jc w:val="right"/>
                  <w:rPr>
                    <w:rFonts w:ascii="Times New Roman" w:hAnsi="Times New Roman" w:cs="Times New Roman"/>
                    <w:szCs w:val="21"/>
                  </w:rPr>
                </w:pPr>
                <w:r w:rsidRPr="00EB7A55">
                  <w:rPr>
                    <w:rFonts w:ascii="Times New Roman" w:hAnsi="Times New Roman" w:cs="Times New Roman"/>
                  </w:rPr>
                  <w:t>256,374,734.88</w:t>
                </w:r>
              </w:p>
            </w:tc>
          </w:tr>
        </w:tbl>
        <w:p w14:paraId="511A95BF" w14:textId="77777777" w:rsidR="00D21C1F" w:rsidRPr="00EB7A55" w:rsidRDefault="00A42880">
          <w:pPr>
            <w:snapToGrid w:val="0"/>
            <w:spacing w:line="240" w:lineRule="atLeast"/>
            <w:rPr>
              <w:rFonts w:ascii="Times New Roman" w:hAnsi="Times New Roman" w:cs="Times New Roman"/>
              <w:color w:val="000000" w:themeColor="text1"/>
              <w:szCs w:val="21"/>
            </w:rPr>
          </w:pPr>
          <w:r w:rsidRPr="00EB7A55">
            <w:rPr>
              <w:rFonts w:ascii="Times New Roman" w:hAnsi="Times New Roman" w:cs="Times New Roman"/>
              <w:color w:val="000000" w:themeColor="text1"/>
              <w:szCs w:val="21"/>
            </w:rPr>
            <w:t>短期借款分类的说明：</w:t>
          </w:r>
        </w:p>
        <w:sdt>
          <w:sdtPr>
            <w:rPr>
              <w:rFonts w:ascii="Times New Roman" w:hAnsi="Times New Roman" w:cs="Times New Roman"/>
              <w:szCs w:val="21"/>
            </w:rPr>
            <w:alias w:val="短期借款分类的说明"/>
            <w:tag w:val="_GBC_fc19e133dd4f4dbdb9d583e76175b714"/>
            <w:id w:val="52514331"/>
            <w:lock w:val="sdtLocked"/>
            <w:placeholder>
              <w:docPart w:val="GBC22222222222222222222222222222"/>
            </w:placeholder>
          </w:sdtPr>
          <w:sdtEndPr/>
          <w:sdtContent>
            <w:p w14:paraId="03EFA2D9" w14:textId="77777777" w:rsidR="00D21C1F" w:rsidRDefault="00A42880">
              <w:pPr>
                <w:snapToGrid w:val="0"/>
                <w:spacing w:line="240" w:lineRule="atLeast"/>
                <w:rPr>
                  <w:color w:val="000000" w:themeColor="text1"/>
                  <w:szCs w:val="21"/>
                </w:rPr>
              </w:pPr>
              <w:r w:rsidRPr="00EB7A55">
                <w:rPr>
                  <w:rFonts w:ascii="Times New Roman" w:hAnsi="Times New Roman" w:cs="Times New Roman"/>
                  <w:szCs w:val="21"/>
                </w:rPr>
                <w:t>无</w:t>
              </w:r>
            </w:p>
          </w:sdtContent>
        </w:sdt>
      </w:sdtContent>
    </w:sdt>
    <w:sdt>
      <w:sdtPr>
        <w:rPr>
          <w:rFonts w:ascii="宋体" w:eastAsia="宋体" w:hAnsi="宋体" w:cs="宋体" w:hint="eastAsia"/>
          <w:b w:val="0"/>
          <w:bCs w:val="0"/>
          <w:kern w:val="0"/>
          <w:szCs w:val="21"/>
        </w:rPr>
        <w:alias w:val="模块:已到期未偿还的短期借款情况"/>
        <w:tag w:val="_GBC_ed2a6c31b7cf49cda098dbe4c44cf674"/>
        <w:id w:val="712466707"/>
        <w:lock w:val="sdtLocked"/>
        <w:placeholder>
          <w:docPart w:val="GBC22222222222222222222222222222"/>
        </w:placeholder>
      </w:sdtPr>
      <w:sdtEndPr>
        <w:rPr>
          <w:rFonts w:cstheme="minorBidi" w:hint="default"/>
          <w:color w:val="000000" w:themeColor="text1"/>
          <w:kern w:val="2"/>
        </w:rPr>
      </w:sdtEndPr>
      <w:sdtContent>
        <w:p w14:paraId="1B4705DF" w14:textId="77777777" w:rsidR="00D21C1F" w:rsidRDefault="00A42880">
          <w:pPr>
            <w:pStyle w:val="93"/>
            <w:numPr>
              <w:ilvl w:val="0"/>
              <w:numId w:val="113"/>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373201721"/>
            <w:lock w:val="sdtLocked"/>
            <w:placeholder>
              <w:docPart w:val="GBC22222222222222222222222222222"/>
            </w:placeholder>
          </w:sdtPr>
          <w:sdtEndPr/>
          <w:sdtContent>
            <w:p w14:paraId="0EB907D8"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076737558"/>
        <w:lock w:val="sdtLocked"/>
        <w:placeholder>
          <w:docPart w:val="GBC22222222222222222222222222222"/>
        </w:placeholder>
      </w:sdtPr>
      <w:sdtEndPr/>
      <w:sdtContent>
        <w:p w14:paraId="6B6E960C" w14:textId="77777777" w:rsidR="00D21C1F" w:rsidRDefault="00A42880">
          <w:pPr>
            <w:rPr>
              <w:szCs w:val="21"/>
            </w:rPr>
          </w:pPr>
          <w:r>
            <w:rPr>
              <w:rFonts w:hint="eastAsia"/>
              <w:szCs w:val="21"/>
            </w:rPr>
            <w:t>其他说明：</w:t>
          </w:r>
        </w:p>
        <w:sdt>
          <w:sdtPr>
            <w:rPr>
              <w:szCs w:val="21"/>
            </w:rPr>
            <w:alias w:val="是否适用：短期借款的说明[双击切换]"/>
            <w:tag w:val="_GBC_663e3ee6df014147bb9c7daa18ccb062"/>
            <w:id w:val="1851440122"/>
            <w:lock w:val="sdtLocked"/>
            <w:placeholder>
              <w:docPart w:val="GBC22222222222222222222222222222"/>
            </w:placeholder>
          </w:sdtPr>
          <w:sdtEndPr/>
          <w:sdtContent>
            <w:p w14:paraId="0C7F4D7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ACC6318" w14:textId="77777777" w:rsidR="00D21C1F" w:rsidRDefault="00D21C1F">
      <w:pPr>
        <w:rPr>
          <w:szCs w:val="21"/>
        </w:rPr>
      </w:pPr>
    </w:p>
    <w:bookmarkStart w:id="251" w:name="_Hlk10535388" w:displacedByCustomXml="next"/>
    <w:sdt>
      <w:sdtPr>
        <w:rPr>
          <w:rFonts w:ascii="宋体" w:hAnsi="宋体" w:cs="宋体" w:hint="eastAsia"/>
          <w:b w:val="0"/>
          <w:bCs w:val="0"/>
          <w:kern w:val="0"/>
          <w:szCs w:val="21"/>
        </w:rPr>
        <w:alias w:val="模块:交易性金融负债"/>
        <w:tag w:val="_SEC_354c17e0a096493bbae36dd9bb3f3774"/>
        <w:id w:val="392711624"/>
        <w:lock w:val="sdtLocked"/>
        <w:placeholder>
          <w:docPart w:val="GBC22222222222222222222222222222"/>
        </w:placeholder>
      </w:sdtPr>
      <w:sdtEndPr>
        <w:rPr>
          <w:rFonts w:hint="default"/>
        </w:rPr>
      </w:sdtEndPr>
      <w:sdtContent>
        <w:p w14:paraId="5E024969"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交易性金融负债</w:t>
          </w:r>
        </w:p>
        <w:sdt>
          <w:sdtPr>
            <w:rPr>
              <w:szCs w:val="21"/>
            </w:rPr>
            <w:alias w:val="是否适用：交易性金融负债[双击切换]"/>
            <w:tag w:val="_GBC_ed513d792f1f4a5f8256d125428aafdf"/>
            <w:id w:val="-525799628"/>
            <w:lock w:val="sdtLocked"/>
            <w:placeholder>
              <w:docPart w:val="GBC22222222222222222222222222222"/>
            </w:placeholder>
          </w:sdtPr>
          <w:sdtEndPr/>
          <w:sdtContent>
            <w:p w14:paraId="18C73C1B"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1"/>
    <w:p w14:paraId="2E598E0F" w14:textId="77777777" w:rsidR="00D21C1F" w:rsidRDefault="00D21C1F">
      <w:pPr>
        <w:rPr>
          <w:szCs w:val="21"/>
        </w:rPr>
      </w:pPr>
    </w:p>
    <w:sdt>
      <w:sdtPr>
        <w:rPr>
          <w:rFonts w:ascii="宋体" w:hAnsi="宋体" w:cs="宋体" w:hint="eastAsia"/>
          <w:b w:val="0"/>
          <w:bCs w:val="0"/>
          <w:kern w:val="0"/>
          <w:szCs w:val="21"/>
        </w:rPr>
        <w:alias w:val="模块:衍生金融负债"/>
        <w:tag w:val="_GBC_c6a901495ec44a7798e3a75ddb5e06bf"/>
        <w:id w:val="-834597794"/>
        <w:lock w:val="sdtLocked"/>
        <w:placeholder>
          <w:docPart w:val="GBC22222222222222222222222222222"/>
        </w:placeholder>
      </w:sdtPr>
      <w:sdtEndPr/>
      <w:sdtContent>
        <w:p w14:paraId="3CAB9C68"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rPr>
              <w:szCs w:val="21"/>
            </w:rPr>
            <w:alias w:val="是否适用：衍生金融负债[双击切换]"/>
            <w:tag w:val="_GBC_3a60c0d3d0534eba80b93475b0a6411f"/>
            <w:id w:val="1149094600"/>
            <w:lock w:val="sdtLocked"/>
            <w:placeholder>
              <w:docPart w:val="GBC22222222222222222222222222222"/>
            </w:placeholder>
          </w:sdtPr>
          <w:sdtEndPr/>
          <w:sdtContent>
            <w:p w14:paraId="1E9C1C26"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5F09387" w14:textId="77777777" w:rsidR="00D21C1F" w:rsidRDefault="00D21C1F">
      <w:pPr>
        <w:rPr>
          <w:szCs w:val="21"/>
        </w:rPr>
      </w:pPr>
    </w:p>
    <w:p w14:paraId="595884F2" w14:textId="77777777" w:rsidR="00D21C1F" w:rsidRDefault="00A42880">
      <w:pPr>
        <w:pStyle w:val="94"/>
        <w:numPr>
          <w:ilvl w:val="0"/>
          <w:numId w:val="95"/>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1386792736"/>
        <w:lock w:val="sdtContentLocked"/>
        <w:placeholder>
          <w:docPart w:val="GBC22222222222222222222222222222"/>
        </w:placeholder>
      </w:sdtPr>
      <w:sdtEndPr/>
      <w:sdtContent>
        <w:p w14:paraId="33F12F2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单位：元币种：人民币种类期末余额期初余额商业承兑汇票..."/>
        <w:tag w:val="_SEC_a4b116c3ef20487f88d23464626b8bb5"/>
        <w:id w:val="-1664625677"/>
        <w:lock w:val="sdtLocked"/>
        <w:placeholder>
          <w:docPart w:val="GBC22222222222222222222222222222"/>
        </w:placeholder>
      </w:sdtPr>
      <w:sdtEndPr>
        <w:rPr>
          <w:szCs w:val="21"/>
        </w:rPr>
      </w:sdtEndPr>
      <w:sdtContent>
        <w:p w14:paraId="46A9B817" w14:textId="77777777" w:rsidR="00D21C1F" w:rsidRDefault="00A42880">
          <w:pPr>
            <w:jc w:val="right"/>
          </w:pPr>
          <w:r>
            <w:rPr>
              <w:rFonts w:hint="eastAsia"/>
            </w:rPr>
            <w:t>单位：</w:t>
          </w:r>
          <w:sdt>
            <w:sdtPr>
              <w:rPr>
                <w:rFonts w:hint="eastAsia"/>
              </w:rPr>
              <w:alias w:val="单位：财务附注：应付票据"/>
              <w:tag w:val="_GBC_db69c246a0d14735805df636930e34ba"/>
              <w:id w:val="8862974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付票据"/>
              <w:tag w:val="_GBC_f734b21fc72c43feb20eaf84762dfd7f"/>
              <w:id w:val="245613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291"/>
            <w:gridCol w:w="3310"/>
            <w:gridCol w:w="3216"/>
          </w:tblGrid>
          <w:tr w:rsidR="00D21C1F" w14:paraId="6B579401" w14:textId="77777777">
            <w:trPr>
              <w:cantSplit/>
            </w:trPr>
            <w:sdt>
              <w:sdtPr>
                <w:tag w:val="_PLD_faa4f5cfe5ae4b0a9c786ca922191e7e"/>
                <w:id w:val="-1371302305"/>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78081F8C" w14:textId="77777777" w:rsidR="00D21C1F" w:rsidRDefault="00A42880">
                    <w:pPr>
                      <w:autoSpaceDE w:val="0"/>
                      <w:autoSpaceDN w:val="0"/>
                      <w:adjustRightInd w:val="0"/>
                      <w:snapToGrid w:val="0"/>
                      <w:spacing w:line="240" w:lineRule="atLeast"/>
                      <w:jc w:val="center"/>
                      <w:rPr>
                        <w:szCs w:val="21"/>
                      </w:rPr>
                    </w:pPr>
                    <w:r>
                      <w:rPr>
                        <w:rFonts w:hint="eastAsia"/>
                        <w:szCs w:val="21"/>
                      </w:rPr>
                      <w:t>种类</w:t>
                    </w:r>
                  </w:p>
                </w:tc>
              </w:sdtContent>
            </w:sdt>
            <w:sdt>
              <w:sdtPr>
                <w:tag w:val="_PLD_b51f0f25994640289becfaca28eb1d5c"/>
                <w:id w:val="623054624"/>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6AAF2BDA"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96d96c1a15e479289fa9e0699e2822e"/>
                <w:id w:val="-2089375603"/>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5D323CE9"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tr w:rsidR="00D21C1F" w14:paraId="11411C2B" w14:textId="77777777">
            <w:trPr>
              <w:cantSplit/>
            </w:trPr>
            <w:sdt>
              <w:sdtPr>
                <w:tag w:val="_PLD_a78177bc2f9c4e819670fb289b9d6192"/>
                <w:id w:val="-2042120836"/>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19D5D0A5" w14:textId="77777777" w:rsidR="00D21C1F" w:rsidRDefault="00A42880">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3AB1FB2C" w14:textId="77777777" w:rsidR="00D21C1F" w:rsidRPr="00EB7A55" w:rsidRDefault="00A42880">
                <w:pPr>
                  <w:ind w:right="13"/>
                  <w:jc w:val="right"/>
                  <w:rPr>
                    <w:rFonts w:ascii="Times New Roman" w:hAnsi="Times New Roman" w:cs="Times New Roman"/>
                    <w:szCs w:val="21"/>
                  </w:rPr>
                </w:pPr>
                <w:r w:rsidRPr="00EB7A55">
                  <w:rPr>
                    <w:rFonts w:ascii="Times New Roman" w:hAnsi="Times New Roman" w:cs="Times New Roman"/>
                    <w:szCs w:val="21"/>
                  </w:rPr>
                  <w:t>1,905,787.50</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58FD876C"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szCs w:val="21"/>
                  </w:rPr>
                  <w:t>-</w:t>
                </w:r>
              </w:p>
            </w:tc>
          </w:tr>
          <w:tr w:rsidR="00D21C1F" w14:paraId="05443311" w14:textId="77777777">
            <w:trPr>
              <w:cantSplit/>
            </w:trPr>
            <w:sdt>
              <w:sdtPr>
                <w:tag w:val="_PLD_91c7e1de96284cd2994cfcf7c0e798dc"/>
                <w:id w:val="-110750800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9E2609C" w14:textId="77777777" w:rsidR="00D21C1F" w:rsidRDefault="00A42880">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14:paraId="4CA102FC"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1,905,787.50</w:t>
                </w:r>
              </w:p>
            </w:tc>
            <w:tc>
              <w:tcPr>
                <w:tcW w:w="1824" w:type="pct"/>
                <w:tcBorders>
                  <w:top w:val="single" w:sz="6" w:space="0" w:color="auto"/>
                  <w:left w:val="single" w:sz="6" w:space="0" w:color="auto"/>
                  <w:bottom w:val="single" w:sz="6" w:space="0" w:color="auto"/>
                  <w:right w:val="single" w:sz="6" w:space="0" w:color="auto"/>
                </w:tcBorders>
                <w:vAlign w:val="center"/>
              </w:tcPr>
              <w:p w14:paraId="57FC4DDE"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w:t>
                </w:r>
              </w:p>
            </w:tc>
          </w:tr>
        </w:tbl>
        <w:p w14:paraId="2467B87E" w14:textId="77777777" w:rsidR="00D21C1F" w:rsidRDefault="00A42880">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c9651441e218453780f22db83f133e6a"/>
              <w:id w:val="-276949802"/>
              <w:lock w:val="sdtLocked"/>
              <w:placeholder>
                <w:docPart w:val="GBC22222222222222222222222222222"/>
              </w:placeholder>
            </w:sdtPr>
            <w:sdtEndPr/>
            <w:sdtContent>
              <w:r>
                <w:rPr>
                  <w:rFonts w:ascii="Times New Roman" w:hAnsi="Times New Roman"/>
                  <w:szCs w:val="21"/>
                </w:rPr>
                <w:t>0</w:t>
              </w:r>
            </w:sdtContent>
          </w:sdt>
          <w:r>
            <w:rPr>
              <w:rFonts w:hint="eastAsia"/>
              <w:szCs w:val="21"/>
            </w:rPr>
            <w:t>元。</w:t>
          </w:r>
        </w:p>
      </w:sdtContent>
    </w:sdt>
    <w:p w14:paraId="3A1D7EC8" w14:textId="77777777" w:rsidR="00D21C1F" w:rsidRDefault="00D21C1F">
      <w:pPr>
        <w:rPr>
          <w:szCs w:val="21"/>
        </w:rPr>
      </w:pPr>
    </w:p>
    <w:p w14:paraId="1895A3AA" w14:textId="77777777" w:rsidR="00D21C1F" w:rsidRDefault="00A42880">
      <w:pPr>
        <w:pStyle w:val="94"/>
        <w:numPr>
          <w:ilvl w:val="0"/>
          <w:numId w:val="95"/>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097326516"/>
        <w:lock w:val="sdtLocked"/>
        <w:placeholder>
          <w:docPart w:val="GBC22222222222222222222222222222"/>
        </w:placeholder>
      </w:sdtPr>
      <w:sdtEndPr>
        <w:rPr>
          <w:szCs w:val="24"/>
        </w:rPr>
      </w:sdtEndPr>
      <w:sdtContent>
        <w:p w14:paraId="3FB45E8A" w14:textId="77777777" w:rsidR="00D21C1F" w:rsidRDefault="00A42880">
          <w:pPr>
            <w:pStyle w:val="93"/>
            <w:numPr>
              <w:ilvl w:val="0"/>
              <w:numId w:val="11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057300985"/>
            <w:lock w:val="sdtLocked"/>
            <w:placeholder>
              <w:docPart w:val="GBC22222222222222222222222222222"/>
            </w:placeholder>
          </w:sdtPr>
          <w:sdtEndPr/>
          <w:sdtContent>
            <w:p w14:paraId="059BAD4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541C4B" w14:textId="77777777" w:rsidR="00D21C1F" w:rsidRDefault="00A42880">
          <w:pPr>
            <w:jc w:val="right"/>
            <w:rPr>
              <w:szCs w:val="21"/>
            </w:rPr>
          </w:pPr>
          <w:r>
            <w:rPr>
              <w:rFonts w:hint="eastAsia"/>
              <w:szCs w:val="21"/>
            </w:rPr>
            <w:t>单位：</w:t>
          </w:r>
          <w:sdt>
            <w:sdtPr>
              <w:rPr>
                <w:rFonts w:hint="eastAsia"/>
                <w:szCs w:val="21"/>
              </w:rPr>
              <w:alias w:val="单位：财务附注：应付账款情况"/>
              <w:tag w:val="_GBC_53c05e3ea1bb4f08bbe5cf204a0947b9"/>
              <w:id w:val="-16741875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应付账款情况"/>
              <w:tag w:val="_GBC_e10cb0a664ca4400817c8a2bcf9247fc"/>
              <w:id w:val="-15041119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D21C1F" w14:paraId="4EE7663C" w14:textId="77777777">
            <w:sdt>
              <w:sdtPr>
                <w:tag w:val="_PLD_7dae27caeee34d74add24cd985083c75"/>
                <w:id w:val="618425142"/>
                <w:lock w:val="sdtLocked"/>
              </w:sdtPr>
              <w:sdtEndPr/>
              <w:sdtContent>
                <w:tc>
                  <w:tcPr>
                    <w:tcW w:w="1570" w:type="pct"/>
                    <w:shd w:val="clear" w:color="auto" w:fill="auto"/>
                  </w:tcPr>
                  <w:p w14:paraId="75CE415C" w14:textId="77777777" w:rsidR="00D21C1F" w:rsidRDefault="00A42880">
                    <w:pPr>
                      <w:jc w:val="center"/>
                      <w:rPr>
                        <w:szCs w:val="21"/>
                      </w:rPr>
                    </w:pPr>
                    <w:r>
                      <w:rPr>
                        <w:rFonts w:hint="eastAsia"/>
                        <w:szCs w:val="21"/>
                      </w:rPr>
                      <w:t>项目</w:t>
                    </w:r>
                  </w:p>
                </w:tc>
              </w:sdtContent>
            </w:sdt>
            <w:sdt>
              <w:sdtPr>
                <w:tag w:val="_PLD_136ba417561e421ea02da8004fdf8b33"/>
                <w:id w:val="1424527985"/>
                <w:lock w:val="sdtLocked"/>
              </w:sdtPr>
              <w:sdtEndPr/>
              <w:sdtContent>
                <w:tc>
                  <w:tcPr>
                    <w:tcW w:w="1584" w:type="pct"/>
                    <w:shd w:val="clear" w:color="auto" w:fill="auto"/>
                  </w:tcPr>
                  <w:p w14:paraId="04AE57A4" w14:textId="77777777" w:rsidR="00D21C1F" w:rsidRDefault="00A42880">
                    <w:pPr>
                      <w:jc w:val="center"/>
                      <w:rPr>
                        <w:szCs w:val="21"/>
                      </w:rPr>
                    </w:pPr>
                    <w:r>
                      <w:rPr>
                        <w:rFonts w:hint="eastAsia"/>
                        <w:szCs w:val="21"/>
                      </w:rPr>
                      <w:t>期末余额</w:t>
                    </w:r>
                  </w:p>
                </w:tc>
              </w:sdtContent>
            </w:sdt>
            <w:sdt>
              <w:sdtPr>
                <w:tag w:val="_PLD_bc4b311c1ee54bd48b7b2ba2ab79c364"/>
                <w:id w:val="1777905444"/>
                <w:lock w:val="sdtLocked"/>
              </w:sdtPr>
              <w:sdtEndPr/>
              <w:sdtContent>
                <w:tc>
                  <w:tcPr>
                    <w:tcW w:w="1846" w:type="pct"/>
                    <w:shd w:val="clear" w:color="auto" w:fill="auto"/>
                  </w:tcPr>
                  <w:p w14:paraId="2F64F3BD" w14:textId="77777777" w:rsidR="00D21C1F" w:rsidRDefault="00A42880">
                    <w:pPr>
                      <w:jc w:val="center"/>
                      <w:rPr>
                        <w:szCs w:val="21"/>
                      </w:rPr>
                    </w:pPr>
                    <w:r>
                      <w:rPr>
                        <w:rFonts w:hint="eastAsia"/>
                        <w:szCs w:val="21"/>
                      </w:rPr>
                      <w:t>期初余额</w:t>
                    </w:r>
                  </w:p>
                </w:tc>
              </w:sdtContent>
            </w:sdt>
          </w:tr>
          <w:sdt>
            <w:sdtPr>
              <w:rPr>
                <w:rFonts w:hint="eastAsia"/>
                <w:szCs w:val="21"/>
              </w:rPr>
              <w:alias w:val="应付账款情况明细"/>
              <w:tag w:val="_GBC_6a9eb940fbe64774bcca168078c6adaa"/>
              <w:id w:val="1274832037"/>
              <w:lock w:val="sdtLocked"/>
            </w:sdtPr>
            <w:sdtEndPr>
              <w:rPr>
                <w:rFonts w:ascii="Times New Roman" w:hAnsi="Times New Roman" w:cs="Times New Roman" w:hint="default"/>
              </w:rPr>
            </w:sdtEndPr>
            <w:sdtContent>
              <w:tr w:rsidR="00D21C1F" w14:paraId="458D31E3" w14:textId="77777777">
                <w:tc>
                  <w:tcPr>
                    <w:tcW w:w="1570" w:type="pct"/>
                    <w:shd w:val="clear" w:color="auto" w:fill="auto"/>
                  </w:tcPr>
                  <w:p w14:paraId="1E49FE11" w14:textId="77777777" w:rsidR="00D21C1F" w:rsidRDefault="00A42880">
                    <w:pPr>
                      <w:rPr>
                        <w:szCs w:val="21"/>
                      </w:rPr>
                    </w:pPr>
                    <w:r>
                      <w:t>应付货款</w:t>
                    </w:r>
                  </w:p>
                </w:tc>
                <w:tc>
                  <w:tcPr>
                    <w:tcW w:w="1584" w:type="pct"/>
                    <w:shd w:val="clear" w:color="auto" w:fill="auto"/>
                  </w:tcPr>
                  <w:p w14:paraId="17A485BB"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270,171,204.81</w:t>
                    </w:r>
                  </w:p>
                </w:tc>
                <w:tc>
                  <w:tcPr>
                    <w:tcW w:w="1846" w:type="pct"/>
                    <w:shd w:val="clear" w:color="auto" w:fill="auto"/>
                  </w:tcPr>
                  <w:p w14:paraId="1DAB0937"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247,350,467.52</w:t>
                    </w:r>
                  </w:p>
                </w:tc>
              </w:tr>
            </w:sdtContent>
          </w:sdt>
          <w:sdt>
            <w:sdtPr>
              <w:rPr>
                <w:rFonts w:hint="eastAsia"/>
                <w:szCs w:val="21"/>
              </w:rPr>
              <w:alias w:val="应付账款情况明细"/>
              <w:tag w:val="_GBC_6a9eb940fbe64774bcca168078c6adaa"/>
              <w:id w:val="1882971707"/>
              <w:lock w:val="sdtLocked"/>
            </w:sdtPr>
            <w:sdtEndPr>
              <w:rPr>
                <w:rFonts w:ascii="Times New Roman" w:hAnsi="Times New Roman" w:cs="Times New Roman" w:hint="default"/>
              </w:rPr>
            </w:sdtEndPr>
            <w:sdtContent>
              <w:tr w:rsidR="00D21C1F" w14:paraId="265385B6" w14:textId="77777777">
                <w:tc>
                  <w:tcPr>
                    <w:tcW w:w="1570" w:type="pct"/>
                    <w:shd w:val="clear" w:color="auto" w:fill="auto"/>
                  </w:tcPr>
                  <w:p w14:paraId="54BFA010" w14:textId="77777777" w:rsidR="00D21C1F" w:rsidRDefault="00A42880">
                    <w:pPr>
                      <w:rPr>
                        <w:szCs w:val="21"/>
                      </w:rPr>
                    </w:pPr>
                    <w:r>
                      <w:t>应付工程及设备款</w:t>
                    </w:r>
                  </w:p>
                </w:tc>
                <w:tc>
                  <w:tcPr>
                    <w:tcW w:w="1584" w:type="pct"/>
                    <w:shd w:val="clear" w:color="auto" w:fill="auto"/>
                  </w:tcPr>
                  <w:p w14:paraId="566C7468"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15,737,033.50</w:t>
                    </w:r>
                  </w:p>
                </w:tc>
                <w:tc>
                  <w:tcPr>
                    <w:tcW w:w="1846" w:type="pct"/>
                    <w:shd w:val="clear" w:color="auto" w:fill="auto"/>
                  </w:tcPr>
                  <w:p w14:paraId="19BA9785"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18,851,290.15</w:t>
                    </w:r>
                  </w:p>
                </w:tc>
              </w:tr>
            </w:sdtContent>
          </w:sdt>
          <w:sdt>
            <w:sdtPr>
              <w:rPr>
                <w:rFonts w:hint="eastAsia"/>
                <w:szCs w:val="21"/>
              </w:rPr>
              <w:alias w:val="应付账款情况明细"/>
              <w:tag w:val="_GBC_6a9eb940fbe64774bcca168078c6adaa"/>
              <w:id w:val="-609968314"/>
              <w:lock w:val="sdtLocked"/>
            </w:sdtPr>
            <w:sdtEndPr>
              <w:rPr>
                <w:rFonts w:ascii="Times New Roman" w:hAnsi="Times New Roman" w:cs="Times New Roman" w:hint="default"/>
              </w:rPr>
            </w:sdtEndPr>
            <w:sdtContent>
              <w:tr w:rsidR="00D21C1F" w14:paraId="1D56FA57" w14:textId="77777777">
                <w:tc>
                  <w:tcPr>
                    <w:tcW w:w="1570" w:type="pct"/>
                    <w:shd w:val="clear" w:color="auto" w:fill="auto"/>
                  </w:tcPr>
                  <w:p w14:paraId="6D3D5A07" w14:textId="77777777" w:rsidR="00D21C1F" w:rsidRDefault="00A42880">
                    <w:pPr>
                      <w:rPr>
                        <w:szCs w:val="21"/>
                      </w:rPr>
                    </w:pPr>
                    <w:r>
                      <w:t>应付服务费</w:t>
                    </w:r>
                  </w:p>
                </w:tc>
                <w:tc>
                  <w:tcPr>
                    <w:tcW w:w="1584" w:type="pct"/>
                    <w:shd w:val="clear" w:color="auto" w:fill="auto"/>
                  </w:tcPr>
                  <w:p w14:paraId="65B3A03F"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11,124,686.57</w:t>
                    </w:r>
                  </w:p>
                </w:tc>
                <w:tc>
                  <w:tcPr>
                    <w:tcW w:w="1846" w:type="pct"/>
                    <w:shd w:val="clear" w:color="auto" w:fill="auto"/>
                  </w:tcPr>
                  <w:p w14:paraId="37178BB2"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10,117,579.59</w:t>
                    </w:r>
                  </w:p>
                </w:tc>
              </w:tr>
            </w:sdtContent>
          </w:sdt>
          <w:sdt>
            <w:sdtPr>
              <w:rPr>
                <w:rFonts w:hint="eastAsia"/>
                <w:szCs w:val="21"/>
              </w:rPr>
              <w:alias w:val="应付账款情况明细"/>
              <w:tag w:val="_GBC_6a9eb940fbe64774bcca168078c6adaa"/>
              <w:id w:val="-1336609845"/>
              <w:lock w:val="sdtLocked"/>
            </w:sdtPr>
            <w:sdtEndPr>
              <w:rPr>
                <w:rFonts w:ascii="Times New Roman" w:hAnsi="Times New Roman" w:cs="Times New Roman" w:hint="default"/>
              </w:rPr>
            </w:sdtEndPr>
            <w:sdtContent>
              <w:tr w:rsidR="00D21C1F" w14:paraId="44995A09" w14:textId="77777777">
                <w:tc>
                  <w:tcPr>
                    <w:tcW w:w="1570" w:type="pct"/>
                    <w:shd w:val="clear" w:color="auto" w:fill="auto"/>
                  </w:tcPr>
                  <w:p w14:paraId="2CCEAACE" w14:textId="77777777" w:rsidR="00D21C1F" w:rsidRDefault="00A42880">
                    <w:pPr>
                      <w:rPr>
                        <w:szCs w:val="21"/>
                      </w:rPr>
                    </w:pPr>
                    <w:r>
                      <w:t>应付运费及其他</w:t>
                    </w:r>
                  </w:p>
                </w:tc>
                <w:tc>
                  <w:tcPr>
                    <w:tcW w:w="1584" w:type="pct"/>
                    <w:shd w:val="clear" w:color="auto" w:fill="auto"/>
                  </w:tcPr>
                  <w:p w14:paraId="0F7B7A74"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19,082,677.61</w:t>
                    </w:r>
                  </w:p>
                </w:tc>
                <w:tc>
                  <w:tcPr>
                    <w:tcW w:w="1846" w:type="pct"/>
                    <w:shd w:val="clear" w:color="auto" w:fill="auto"/>
                  </w:tcPr>
                  <w:p w14:paraId="0F1570E9"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6,614,608.38</w:t>
                    </w:r>
                  </w:p>
                </w:tc>
              </w:tr>
            </w:sdtContent>
          </w:sdt>
          <w:tr w:rsidR="00D21C1F" w14:paraId="293152AE" w14:textId="77777777">
            <w:sdt>
              <w:sdtPr>
                <w:tag w:val="_PLD_b82b4cb1d4fa4c8fb75bed463f2da31b"/>
                <w:id w:val="844980855"/>
                <w:lock w:val="sdtLocked"/>
              </w:sdtPr>
              <w:sdtEndPr/>
              <w:sdtContent>
                <w:tc>
                  <w:tcPr>
                    <w:tcW w:w="1570" w:type="pct"/>
                    <w:shd w:val="clear" w:color="auto" w:fill="auto"/>
                  </w:tcPr>
                  <w:p w14:paraId="4A1FD85F" w14:textId="77777777" w:rsidR="00D21C1F" w:rsidRDefault="00A42880">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bottom"/>
              </w:tcPr>
              <w:p w14:paraId="42BC8AD4" w14:textId="77777777" w:rsidR="00D21C1F" w:rsidRPr="00EB7A55" w:rsidRDefault="00A42880">
                <w:pPr>
                  <w:jc w:val="right"/>
                  <w:rPr>
                    <w:rFonts w:ascii="Times New Roman" w:hAnsi="Times New Roman" w:cs="Times New Roman"/>
                  </w:rPr>
                </w:pPr>
                <w:r w:rsidRPr="00EB7A55">
                  <w:rPr>
                    <w:rFonts w:ascii="Times New Roman" w:hAnsi="Times New Roman" w:cs="Times New Roman"/>
                  </w:rPr>
                  <w:t>316,115,602.49</w:t>
                </w:r>
              </w:p>
            </w:tc>
            <w:tc>
              <w:tcPr>
                <w:tcW w:w="1846" w:type="pct"/>
                <w:shd w:val="clear" w:color="auto" w:fill="auto"/>
                <w:vAlign w:val="bottom"/>
              </w:tcPr>
              <w:p w14:paraId="5626CA72" w14:textId="77777777" w:rsidR="00D21C1F" w:rsidRPr="00EB7A55" w:rsidRDefault="00A42880">
                <w:pPr>
                  <w:jc w:val="right"/>
                  <w:rPr>
                    <w:rFonts w:ascii="Times New Roman" w:hAnsi="Times New Roman" w:cs="Times New Roman"/>
                  </w:rPr>
                </w:pPr>
                <w:r w:rsidRPr="00EB7A55">
                  <w:rPr>
                    <w:rFonts w:ascii="Times New Roman" w:hAnsi="Times New Roman" w:cs="Times New Roman"/>
                  </w:rPr>
                  <w:t>282,933,945.64</w:t>
                </w:r>
              </w:p>
            </w:tc>
          </w:tr>
        </w:tbl>
        <w:p w14:paraId="643D99D3" w14:textId="77777777" w:rsidR="00D21C1F" w:rsidRDefault="00045EC6">
          <w:pPr>
            <w:pStyle w:val="97"/>
          </w:pPr>
        </w:p>
      </w:sdtContent>
    </w:sdt>
    <w:sdt>
      <w:sdtPr>
        <w:rPr>
          <w:rFonts w:ascii="宋体" w:hAnsi="宋体" w:cstheme="minorBidi" w:hint="eastAsia"/>
          <w:b w:val="0"/>
          <w:bCs w:val="0"/>
          <w:kern w:val="0"/>
          <w:szCs w:val="22"/>
        </w:rPr>
        <w:alias w:val="模块:重要的账龄超过1年的应付账款单位：元币种：人民币项目期末..."/>
        <w:tag w:val="_GBC_5fffbd1416eb408d959645d37f190cf5"/>
        <w:id w:val="798189955"/>
        <w:lock w:val="sdtLocked"/>
        <w:placeholder>
          <w:docPart w:val="GBC22222222222222222222222222222"/>
        </w:placeholder>
      </w:sdtPr>
      <w:sdtEndPr>
        <w:rPr>
          <w:kern w:val="2"/>
        </w:rPr>
      </w:sdtEndPr>
      <w:sdtContent>
        <w:p w14:paraId="2A4331D5" w14:textId="77777777" w:rsidR="00D21C1F" w:rsidRDefault="00A42880">
          <w:pPr>
            <w:pStyle w:val="93"/>
            <w:numPr>
              <w:ilvl w:val="0"/>
              <w:numId w:val="114"/>
            </w:numPr>
            <w:tabs>
              <w:tab w:val="left" w:pos="588"/>
            </w:tabs>
            <w:rPr>
              <w:rFonts w:ascii="宋体" w:hAnsi="宋体"/>
              <w:kern w:val="0"/>
            </w:rPr>
          </w:pPr>
          <w:r>
            <w:rPr>
              <w:rFonts w:ascii="宋体" w:hAnsi="宋体" w:hint="eastAsia"/>
              <w:kern w:val="0"/>
            </w:rPr>
            <w:t>账龄超过</w:t>
          </w:r>
          <w:r>
            <w:rPr>
              <w:rFonts w:ascii="Times New Roman" w:hAnsi="Times New Roman"/>
              <w:kern w:val="0"/>
            </w:rPr>
            <w:t>1</w:t>
          </w:r>
          <w:r>
            <w:rPr>
              <w:rFonts w:ascii="宋体" w:hAnsi="宋体"/>
              <w:kern w:val="0"/>
            </w:rPr>
            <w:t>年的重要应付账款</w:t>
          </w:r>
        </w:p>
        <w:sdt>
          <w:sdtPr>
            <w:alias w:val="是否适用：账龄超过1年的重要应付账款[双击切换]"/>
            <w:tag w:val="_GBC_02c6e7ed8ae149e8a09f5b80217deb89"/>
            <w:id w:val="1393227207"/>
            <w:lock w:val="sdtLocked"/>
            <w:placeholder>
              <w:docPart w:val="GBC22222222222222222222222222222"/>
            </w:placeholder>
          </w:sdtPr>
          <w:sdtEndPr/>
          <w:sdtContent>
            <w:p w14:paraId="6EDB8DB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应付账款的其他说明"/>
        <w:tag w:val="_GBC_aecd44efc3ea456b9149dd662d0a5085"/>
        <w:id w:val="588041950"/>
        <w:lock w:val="sdtLocked"/>
        <w:placeholder>
          <w:docPart w:val="GBC22222222222222222222222222222"/>
        </w:placeholder>
      </w:sdtPr>
      <w:sdtEndPr>
        <w:rPr>
          <w:rFonts w:cstheme="minorBidi" w:hint="default"/>
          <w:b w:val="0"/>
          <w:bCs w:val="0"/>
          <w:kern w:val="2"/>
          <w:szCs w:val="21"/>
        </w:rPr>
      </w:sdtEndPr>
      <w:sdtContent>
        <w:p w14:paraId="77D8C7C6" w14:textId="77777777" w:rsidR="00D21C1F" w:rsidRDefault="00A42880">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570243289"/>
            <w:lock w:val="sdtLocked"/>
            <w:placeholder>
              <w:docPart w:val="GBC22222222222222222222222222222"/>
            </w:placeholder>
          </w:sdtPr>
          <w:sdtEndPr/>
          <w:sdtContent>
            <w:p w14:paraId="5274E18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8FDCA58" w14:textId="77777777" w:rsidR="00D21C1F" w:rsidRDefault="00D21C1F">
      <w:pPr>
        <w:snapToGrid w:val="0"/>
        <w:spacing w:line="240" w:lineRule="atLeast"/>
        <w:rPr>
          <w:szCs w:val="21"/>
        </w:rPr>
      </w:pPr>
    </w:p>
    <w:p w14:paraId="6B486FED"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1"/>
        </w:rPr>
        <w:alias w:val="模块:预收账款情况"/>
        <w:tag w:val="_GBC_d7dac18f0444439d83469555857c3195"/>
        <w:id w:val="-932595132"/>
        <w:lock w:val="sdtLocked"/>
        <w:placeholder>
          <w:docPart w:val="GBC22222222222222222222222222222"/>
        </w:placeholder>
      </w:sdtPr>
      <w:sdtEndPr>
        <w:rPr>
          <w:rFonts w:hint="default"/>
          <w:szCs w:val="24"/>
        </w:rPr>
      </w:sdtEndPr>
      <w:sdtContent>
        <w:p w14:paraId="54FACEC2" w14:textId="77777777" w:rsidR="00D21C1F" w:rsidRDefault="00A42880">
          <w:pPr>
            <w:pStyle w:val="93"/>
            <w:numPr>
              <w:ilvl w:val="0"/>
              <w:numId w:val="115"/>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2115205560"/>
            <w:lock w:val="sdtLocked"/>
            <w:placeholder>
              <w:docPart w:val="GBC22222222222222222222222222222"/>
            </w:placeholder>
          </w:sdtPr>
          <w:sdtEndPr/>
          <w:sdtContent>
            <w:p w14:paraId="34DAC577"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GBC_59300802f7ac43e3ab1ce4a570fb0267"/>
        <w:id w:val="535390537"/>
        <w:lock w:val="sdtLocked"/>
        <w:placeholder>
          <w:docPart w:val="GBC22222222222222222222222222222"/>
        </w:placeholder>
      </w:sdtPr>
      <w:sdtEndPr/>
      <w:sdtContent>
        <w:p w14:paraId="47D629AA" w14:textId="77777777" w:rsidR="00D21C1F" w:rsidRDefault="00A42880">
          <w:pPr>
            <w:pStyle w:val="93"/>
            <w:numPr>
              <w:ilvl w:val="0"/>
              <w:numId w:val="115"/>
            </w:numPr>
            <w:rPr>
              <w:rFonts w:ascii="宋体" w:hAnsi="宋体"/>
              <w:kern w:val="0"/>
            </w:rPr>
          </w:pPr>
          <w:r>
            <w:rPr>
              <w:rFonts w:ascii="宋体" w:hAnsi="宋体" w:hint="eastAsia"/>
              <w:kern w:val="0"/>
            </w:rPr>
            <w:t>账龄超过</w:t>
          </w:r>
          <w:r>
            <w:rPr>
              <w:rFonts w:ascii="Times New Roman" w:hAnsi="Times New Roman"/>
              <w:kern w:val="0"/>
            </w:rPr>
            <w:t>1</w:t>
          </w:r>
          <w:r>
            <w:rPr>
              <w:rFonts w:ascii="宋体" w:hAnsi="宋体"/>
              <w:kern w:val="0"/>
            </w:rPr>
            <w:t>年的重要预收款项</w:t>
          </w:r>
        </w:p>
        <w:sdt>
          <w:sdtPr>
            <w:alias w:val="是否适用：账龄超过1年的重要预收款项[双击切换]"/>
            <w:tag w:val="_GBC_ae7ea5bab4b04b2cb170af5020f86302"/>
            <w:id w:val="520591791"/>
            <w:lock w:val="sdtLocked"/>
            <w:placeholder>
              <w:docPart w:val="GBC22222222222222222222222222222"/>
            </w:placeholder>
          </w:sdtPr>
          <w:sdtEndPr/>
          <w:sdtContent>
            <w:p w14:paraId="7E094AE0" w14:textId="77777777" w:rsidR="00D21C1F" w:rsidRDefault="00A42880">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eastAsia="宋体" w:hint="eastAsia"/>
          <w:b/>
          <w:bCs/>
        </w:rPr>
        <w:alias w:val="模块:账龄超过1年的大额预收款项情况的说明"/>
        <w:tag w:val="_GBC_3b693e8055374a80821823cdad74f225"/>
        <w:id w:val="-1851633904"/>
        <w:lock w:val="sdtLocked"/>
        <w:placeholder>
          <w:docPart w:val="GBC22222222222222222222222222222"/>
        </w:placeholder>
      </w:sdtPr>
      <w:sdtEndPr>
        <w:rPr>
          <w:rFonts w:cstheme="minorBidi" w:hint="default"/>
          <w:b w:val="0"/>
          <w:bCs w:val="0"/>
          <w:color w:val="000000" w:themeColor="text1"/>
          <w:kern w:val="2"/>
          <w:szCs w:val="21"/>
        </w:rPr>
      </w:sdtEndPr>
      <w:sdtContent>
        <w:p w14:paraId="458A77B3" w14:textId="77777777" w:rsidR="00D21C1F" w:rsidRDefault="00A42880">
          <w:pPr>
            <w:pStyle w:val="97"/>
          </w:pPr>
          <w:r>
            <w:rPr>
              <w:rFonts w:hint="eastAsia"/>
            </w:rPr>
            <w:t>其他说明：</w:t>
          </w:r>
        </w:p>
        <w:sdt>
          <w:sdtPr>
            <w:alias w:val="是否适用：预收账款的其他说明[双击切换]"/>
            <w:tag w:val="_GBC_f473b6b28a104ffc812e6da4cf5177e5"/>
            <w:id w:val="1968317174"/>
            <w:lock w:val="sdtLocked"/>
            <w:placeholder>
              <w:docPart w:val="GBC22222222222222222222222222222"/>
            </w:placeholder>
          </w:sdtPr>
          <w:sdtEndPr/>
          <w:sdtContent>
            <w:p w14:paraId="6C1EDF79"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7700FCD" w14:textId="77777777" w:rsidR="00D21C1F" w:rsidRDefault="00D21C1F">
      <w:pPr>
        <w:rPr>
          <w:szCs w:val="21"/>
        </w:rPr>
      </w:pPr>
    </w:p>
    <w:bookmarkStart w:id="252" w:name="_Hlk10535609" w:displacedByCustomXml="next"/>
    <w:sdt>
      <w:sdtPr>
        <w:rPr>
          <w:rFonts w:ascii="Times New Roman" w:eastAsia="宋体" w:hAnsi="Times New Roman" w:cs="宋体"/>
          <w:b w:val="0"/>
          <w:bCs w:val="0"/>
          <w:kern w:val="0"/>
          <w:szCs w:val="21"/>
        </w:rPr>
        <w:alias w:val="模块:合同负债"/>
        <w:tag w:val="_SEC_c98a59ac0d184ea5b3b590c23bf7ff8d"/>
        <w:id w:val="-317114319"/>
        <w:lock w:val="sdtLocked"/>
        <w:placeholder>
          <w:docPart w:val="GBC22222222222222222222222222222"/>
        </w:placeholder>
      </w:sdtPr>
      <w:sdtEndPr/>
      <w:sdtContent>
        <w:p w14:paraId="211B2C94" w14:textId="77777777" w:rsidR="00D21C1F" w:rsidRPr="00EB7A55" w:rsidRDefault="00A42880">
          <w:pPr>
            <w:pStyle w:val="94"/>
            <w:numPr>
              <w:ilvl w:val="0"/>
              <w:numId w:val="95"/>
            </w:numPr>
            <w:tabs>
              <w:tab w:val="left" w:pos="504"/>
            </w:tabs>
            <w:rPr>
              <w:rFonts w:ascii="Times New Roman" w:hAnsi="Times New Roman"/>
              <w:szCs w:val="21"/>
            </w:rPr>
          </w:pPr>
          <w:r w:rsidRPr="00EB7A55">
            <w:rPr>
              <w:rFonts w:ascii="Times New Roman" w:hAnsi="Times New Roman"/>
              <w:szCs w:val="21"/>
            </w:rPr>
            <w:t>合同负债</w:t>
          </w:r>
        </w:p>
        <w:p w14:paraId="2A89DC0B" w14:textId="77777777" w:rsidR="00D21C1F" w:rsidRPr="00EB7A55" w:rsidRDefault="00A42880">
          <w:pPr>
            <w:pStyle w:val="93"/>
            <w:numPr>
              <w:ilvl w:val="0"/>
              <w:numId w:val="116"/>
            </w:numPr>
            <w:rPr>
              <w:rFonts w:ascii="Times New Roman" w:hAnsi="Times New Roman"/>
            </w:rPr>
          </w:pPr>
          <w:r w:rsidRPr="00EB7A55">
            <w:rPr>
              <w:rFonts w:ascii="Times New Roman" w:hAnsi="Times New Roman"/>
            </w:rPr>
            <w:t>合同负债情况</w:t>
          </w:r>
        </w:p>
        <w:sdt>
          <w:sdtPr>
            <w:rPr>
              <w:rFonts w:ascii="Times New Roman" w:hAnsi="Times New Roman" w:cs="Times New Roman"/>
            </w:rPr>
            <w:alias w:val="是否适用：合同负债情况[双击切换]"/>
            <w:tag w:val="_GBC_2b6238a8ea00438eab947f83a5f6451d"/>
            <w:id w:val="1994212486"/>
            <w:lock w:val="sdtLocked"/>
            <w:placeholder>
              <w:docPart w:val="GBC22222222222222222222222222222"/>
            </w:placeholder>
          </w:sdtPr>
          <w:sdtEndPr/>
          <w:sdtContent>
            <w:p w14:paraId="05CB6745"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不适用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p>
          </w:sdtContent>
        </w:sdt>
        <w:p w14:paraId="67456A4D" w14:textId="77777777" w:rsidR="00D21C1F" w:rsidRPr="00EB7A55" w:rsidRDefault="00A42880">
          <w:pPr>
            <w:ind w:left="360"/>
            <w:jc w:val="right"/>
            <w:rPr>
              <w:rFonts w:ascii="Times New Roman" w:hAnsi="Times New Roman" w:cs="Times New Roman"/>
            </w:rPr>
          </w:pPr>
          <w:r w:rsidRPr="00EB7A55">
            <w:rPr>
              <w:rFonts w:ascii="Times New Roman" w:hAnsi="Times New Roman" w:cs="Times New Roman"/>
            </w:rPr>
            <w:t>单位：</w:t>
          </w:r>
          <w:sdt>
            <w:sdtPr>
              <w:rPr>
                <w:rFonts w:ascii="Times New Roman" w:hAnsi="Times New Roman" w:cs="Times New Roman"/>
              </w:rPr>
              <w:alias w:val="单位：合同负债情况"/>
              <w:tag w:val="_GBC_0024c0ddc3514b009e8166b63dc10ae9"/>
              <w:id w:val="56237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B7A55">
                <w:rPr>
                  <w:rFonts w:ascii="Times New Roman" w:hAnsi="Times New Roman" w:cs="Times New Roman"/>
                </w:rPr>
                <w:t>元</w:t>
              </w:r>
            </w:sdtContent>
          </w:sdt>
          <w:r w:rsidRPr="00EB7A55">
            <w:rPr>
              <w:rFonts w:ascii="Times New Roman" w:hAnsi="Times New Roman" w:cs="Times New Roman"/>
            </w:rPr>
            <w:t>币种：</w:t>
          </w:r>
          <w:sdt>
            <w:sdtPr>
              <w:rPr>
                <w:rFonts w:ascii="Times New Roman" w:hAnsi="Times New Roman" w:cs="Times New Roman"/>
              </w:rPr>
              <w:alias w:val="币种：合同负债情况"/>
              <w:tag w:val="_GBC_154d9411b9764a4f8e1412d0a22c8375"/>
              <w:id w:val="-1168700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EB7A55">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D21C1F" w:rsidRPr="00EB7A55" w14:paraId="7EF8E0C5" w14:textId="77777777">
            <w:sdt>
              <w:sdtPr>
                <w:rPr>
                  <w:rFonts w:ascii="Times New Roman" w:hAnsi="Times New Roman" w:cs="Times New Roman"/>
                </w:rPr>
                <w:tag w:val="_PLD_c5e783ac966e416184ff57e436f98be2"/>
                <w:id w:val="1139383870"/>
                <w:lock w:val="sdtLocked"/>
              </w:sdtPr>
              <w:sdtEndPr/>
              <w:sdtContent>
                <w:tc>
                  <w:tcPr>
                    <w:tcW w:w="1601" w:type="pct"/>
                    <w:shd w:val="clear" w:color="auto" w:fill="auto"/>
                  </w:tcPr>
                  <w:p w14:paraId="6D0BFA90" w14:textId="77777777" w:rsidR="00D21C1F" w:rsidRPr="00EB7A55" w:rsidRDefault="00A42880">
                    <w:pPr>
                      <w:jc w:val="center"/>
                      <w:rPr>
                        <w:rFonts w:ascii="Times New Roman" w:hAnsi="Times New Roman" w:cs="Times New Roman"/>
                        <w:szCs w:val="21"/>
                      </w:rPr>
                    </w:pPr>
                    <w:r w:rsidRPr="00EB7A55">
                      <w:rPr>
                        <w:rFonts w:ascii="Times New Roman" w:hAnsi="Times New Roman" w:cs="Times New Roman"/>
                        <w:szCs w:val="21"/>
                      </w:rPr>
                      <w:t>项目</w:t>
                    </w:r>
                  </w:p>
                </w:tc>
              </w:sdtContent>
            </w:sdt>
            <w:sdt>
              <w:sdtPr>
                <w:rPr>
                  <w:rFonts w:ascii="Times New Roman" w:hAnsi="Times New Roman" w:cs="Times New Roman"/>
                </w:rPr>
                <w:tag w:val="_PLD_a4f8a9567271447e9f7bc01f59c6eed6"/>
                <w:id w:val="567548366"/>
                <w:lock w:val="sdtLocked"/>
              </w:sdtPr>
              <w:sdtEndPr/>
              <w:sdtContent>
                <w:tc>
                  <w:tcPr>
                    <w:tcW w:w="1701" w:type="pct"/>
                    <w:shd w:val="clear" w:color="auto" w:fill="auto"/>
                    <w:vAlign w:val="center"/>
                  </w:tcPr>
                  <w:p w14:paraId="7F986A68" w14:textId="77777777" w:rsidR="00D21C1F" w:rsidRPr="00EB7A55" w:rsidRDefault="00A42880">
                    <w:pPr>
                      <w:autoSpaceDE w:val="0"/>
                      <w:autoSpaceDN w:val="0"/>
                      <w:adjustRightInd w:val="0"/>
                      <w:snapToGrid w:val="0"/>
                      <w:spacing w:line="240" w:lineRule="atLeast"/>
                      <w:jc w:val="center"/>
                      <w:rPr>
                        <w:rFonts w:ascii="Times New Roman" w:hAnsi="Times New Roman" w:cs="Times New Roman"/>
                        <w:szCs w:val="21"/>
                      </w:rPr>
                    </w:pPr>
                    <w:r w:rsidRPr="00EB7A55">
                      <w:rPr>
                        <w:rFonts w:ascii="Times New Roman" w:hAnsi="Times New Roman" w:cs="Times New Roman"/>
                        <w:szCs w:val="21"/>
                      </w:rPr>
                      <w:t>期末余额</w:t>
                    </w:r>
                  </w:p>
                </w:tc>
              </w:sdtContent>
            </w:sdt>
            <w:sdt>
              <w:sdtPr>
                <w:rPr>
                  <w:rFonts w:ascii="Times New Roman" w:hAnsi="Times New Roman" w:cs="Times New Roman"/>
                </w:rPr>
                <w:tag w:val="_PLD_b8f751ec83834a96b0e87c862d2ae80b"/>
                <w:id w:val="1202434237"/>
                <w:lock w:val="sdtLocked"/>
              </w:sdtPr>
              <w:sdtEndPr/>
              <w:sdtContent>
                <w:tc>
                  <w:tcPr>
                    <w:tcW w:w="1698" w:type="pct"/>
                    <w:shd w:val="clear" w:color="auto" w:fill="auto"/>
                    <w:vAlign w:val="center"/>
                  </w:tcPr>
                  <w:p w14:paraId="153720FA" w14:textId="77777777" w:rsidR="00D21C1F" w:rsidRPr="00EB7A55" w:rsidRDefault="00A42880">
                    <w:pPr>
                      <w:autoSpaceDE w:val="0"/>
                      <w:autoSpaceDN w:val="0"/>
                      <w:adjustRightInd w:val="0"/>
                      <w:snapToGrid w:val="0"/>
                      <w:spacing w:line="240" w:lineRule="atLeast"/>
                      <w:jc w:val="center"/>
                      <w:rPr>
                        <w:rFonts w:ascii="Times New Roman" w:hAnsi="Times New Roman" w:cs="Times New Roman"/>
                        <w:szCs w:val="21"/>
                      </w:rPr>
                    </w:pPr>
                    <w:r w:rsidRPr="00EB7A55">
                      <w:rPr>
                        <w:rFonts w:ascii="Times New Roman" w:hAnsi="Times New Roman" w:cs="Times New Roman"/>
                        <w:szCs w:val="21"/>
                      </w:rPr>
                      <w:t>期初余额</w:t>
                    </w:r>
                  </w:p>
                </w:tc>
              </w:sdtContent>
            </w:sdt>
          </w:tr>
          <w:sdt>
            <w:sdtPr>
              <w:rPr>
                <w:rFonts w:ascii="Times New Roman" w:hAnsi="Times New Roman" w:cs="Times New Roman"/>
                <w:color w:val="000000"/>
                <w:szCs w:val="21"/>
              </w:rPr>
              <w:alias w:val="合同负债明细"/>
              <w:tag w:val="_TUP_d1c7a7f050fb40619e0f52b844ab99a2"/>
              <w:id w:val="-1800906327"/>
              <w:lock w:val="sdtLocked"/>
            </w:sdtPr>
            <w:sdtEndPr/>
            <w:sdtContent>
              <w:tr w:rsidR="00D21C1F" w:rsidRPr="00EB7A55" w14:paraId="135F413A" w14:textId="77777777">
                <w:tc>
                  <w:tcPr>
                    <w:tcW w:w="1601" w:type="pct"/>
                    <w:shd w:val="clear" w:color="auto" w:fill="auto"/>
                  </w:tcPr>
                  <w:p w14:paraId="2CD3F07C" w14:textId="77777777" w:rsidR="00D21C1F" w:rsidRPr="00EB7A55" w:rsidRDefault="00A42880">
                    <w:pPr>
                      <w:rPr>
                        <w:rFonts w:ascii="Times New Roman" w:hAnsi="Times New Roman" w:cs="Times New Roman"/>
                        <w:szCs w:val="21"/>
                      </w:rPr>
                    </w:pPr>
                    <w:r w:rsidRPr="00EB7A55">
                      <w:rPr>
                        <w:rFonts w:ascii="Times New Roman" w:hAnsi="Times New Roman" w:cs="Times New Roman"/>
                      </w:rPr>
                      <w:t>预收商品款</w:t>
                    </w:r>
                  </w:p>
                </w:tc>
                <w:tc>
                  <w:tcPr>
                    <w:tcW w:w="1701" w:type="pct"/>
                    <w:shd w:val="clear" w:color="auto" w:fill="auto"/>
                  </w:tcPr>
                  <w:p w14:paraId="59BD95E5"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5,871,659.94</w:t>
                    </w:r>
                  </w:p>
                </w:tc>
                <w:tc>
                  <w:tcPr>
                    <w:tcW w:w="1698" w:type="pct"/>
                    <w:shd w:val="clear" w:color="auto" w:fill="auto"/>
                  </w:tcPr>
                  <w:p w14:paraId="592C4BA8"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20,583,285.91</w:t>
                    </w:r>
                  </w:p>
                </w:tc>
              </w:tr>
            </w:sdtContent>
          </w:sdt>
          <w:sdt>
            <w:sdtPr>
              <w:rPr>
                <w:rFonts w:ascii="Times New Roman" w:hAnsi="Times New Roman" w:cs="Times New Roman"/>
                <w:color w:val="000000"/>
                <w:szCs w:val="21"/>
              </w:rPr>
              <w:alias w:val="合同负债明细"/>
              <w:tag w:val="_TUP_d1c7a7f050fb40619e0f52b844ab99a2"/>
              <w:id w:val="-2356836"/>
              <w:lock w:val="sdtLocked"/>
            </w:sdtPr>
            <w:sdtEndPr/>
            <w:sdtContent>
              <w:tr w:rsidR="00D21C1F" w:rsidRPr="00EB7A55" w14:paraId="3EA4E9E1" w14:textId="77777777">
                <w:tc>
                  <w:tcPr>
                    <w:tcW w:w="1601" w:type="pct"/>
                    <w:shd w:val="clear" w:color="auto" w:fill="auto"/>
                  </w:tcPr>
                  <w:p w14:paraId="485615B4" w14:textId="77777777" w:rsidR="00D21C1F" w:rsidRPr="00EB7A55" w:rsidRDefault="00A42880">
                    <w:pPr>
                      <w:rPr>
                        <w:rFonts w:ascii="Times New Roman" w:hAnsi="Times New Roman" w:cs="Times New Roman"/>
                        <w:szCs w:val="21"/>
                      </w:rPr>
                    </w:pPr>
                    <w:r w:rsidRPr="00EB7A55">
                      <w:rPr>
                        <w:rFonts w:ascii="Times New Roman" w:hAnsi="Times New Roman" w:cs="Times New Roman"/>
                      </w:rPr>
                      <w:t>已结算未完工款</w:t>
                    </w:r>
                  </w:p>
                </w:tc>
                <w:tc>
                  <w:tcPr>
                    <w:tcW w:w="1701" w:type="pct"/>
                    <w:shd w:val="clear" w:color="auto" w:fill="auto"/>
                  </w:tcPr>
                  <w:p w14:paraId="298B66BF"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52,564,837.71</w:t>
                    </w:r>
                  </w:p>
                </w:tc>
                <w:tc>
                  <w:tcPr>
                    <w:tcW w:w="1698" w:type="pct"/>
                    <w:shd w:val="clear" w:color="auto" w:fill="auto"/>
                  </w:tcPr>
                  <w:p w14:paraId="63F16462"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58,688,608.33</w:t>
                    </w:r>
                  </w:p>
                </w:tc>
              </w:tr>
            </w:sdtContent>
          </w:sdt>
          <w:tr w:rsidR="00D21C1F" w:rsidRPr="00EB7A55" w14:paraId="64F13634" w14:textId="77777777">
            <w:sdt>
              <w:sdtPr>
                <w:rPr>
                  <w:rFonts w:ascii="Times New Roman" w:hAnsi="Times New Roman" w:cs="Times New Roman"/>
                </w:rPr>
                <w:tag w:val="_PLD_749720f346f74db784b99fec9408ed39"/>
                <w:id w:val="-154842786"/>
                <w:lock w:val="sdtLocked"/>
              </w:sdtPr>
              <w:sdtEndPr/>
              <w:sdtContent>
                <w:tc>
                  <w:tcPr>
                    <w:tcW w:w="1601" w:type="pct"/>
                    <w:shd w:val="clear" w:color="auto" w:fill="auto"/>
                  </w:tcPr>
                  <w:p w14:paraId="57AD3441" w14:textId="77777777" w:rsidR="00D21C1F" w:rsidRPr="00EB7A55" w:rsidRDefault="00A42880">
                    <w:pPr>
                      <w:jc w:val="center"/>
                      <w:rPr>
                        <w:rFonts w:ascii="Times New Roman" w:hAnsi="Times New Roman" w:cs="Times New Roman"/>
                        <w:color w:val="000000"/>
                        <w:szCs w:val="21"/>
                      </w:rPr>
                    </w:pPr>
                    <w:r w:rsidRPr="00EB7A55">
                      <w:rPr>
                        <w:rFonts w:ascii="Times New Roman" w:hAnsi="Times New Roman" w:cs="Times New Roman"/>
                        <w:color w:val="000000"/>
                        <w:szCs w:val="21"/>
                      </w:rPr>
                      <w:t>合计</w:t>
                    </w:r>
                  </w:p>
                </w:tc>
              </w:sdtContent>
            </w:sdt>
            <w:tc>
              <w:tcPr>
                <w:tcW w:w="1701" w:type="pct"/>
                <w:shd w:val="clear" w:color="auto" w:fill="auto"/>
                <w:vAlign w:val="center"/>
              </w:tcPr>
              <w:p w14:paraId="2ABA8173"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58,436,497.65</w:t>
                </w:r>
              </w:p>
            </w:tc>
            <w:tc>
              <w:tcPr>
                <w:tcW w:w="1698" w:type="pct"/>
                <w:shd w:val="clear" w:color="auto" w:fill="auto"/>
                <w:vAlign w:val="center"/>
              </w:tcPr>
              <w:p w14:paraId="5004D877"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rPr>
                  <w:t>79,271,894.24</w:t>
                </w:r>
              </w:p>
            </w:tc>
          </w:tr>
        </w:tbl>
        <w:p w14:paraId="14B95517" w14:textId="77777777" w:rsidR="00D21C1F" w:rsidRPr="00EB7A55" w:rsidRDefault="00045EC6">
          <w:pPr>
            <w:rPr>
              <w:rFonts w:ascii="Times New Roman" w:hAnsi="Times New Roman" w:cs="Times New Roman"/>
              <w:szCs w:val="21"/>
            </w:rPr>
          </w:pPr>
        </w:p>
      </w:sdtContent>
    </w:sdt>
    <w:bookmarkEnd w:id="252" w:displacedByCustomXml="next"/>
    <w:bookmarkStart w:id="253" w:name="_Hlk10535674" w:displacedByCustomXml="next"/>
    <w:sdt>
      <w:sdtPr>
        <w:rPr>
          <w:rFonts w:ascii="宋体" w:eastAsia="宋体" w:hAnsi="宋体" w:cs="宋体" w:hint="eastAsia"/>
          <w:b w:val="0"/>
          <w:bCs w:val="0"/>
          <w:kern w:val="0"/>
          <w:szCs w:val="21"/>
        </w:rPr>
        <w:alias w:val="模块:报告期内账面价值发生重大变动的金额和原因"/>
        <w:tag w:val="_SEC_c824c488dbc74824b379bb9187c7bdf0"/>
        <w:id w:val="150107565"/>
        <w:lock w:val="sdtLocked"/>
        <w:placeholder>
          <w:docPart w:val="GBC22222222222222222222222222222"/>
        </w:placeholder>
      </w:sdtPr>
      <w:sdtEndPr>
        <w:rPr>
          <w:rFonts w:hint="default"/>
        </w:rPr>
      </w:sdtEndPr>
      <w:sdtContent>
        <w:p w14:paraId="250211EC" w14:textId="77777777" w:rsidR="00D21C1F" w:rsidRDefault="00A42880">
          <w:pPr>
            <w:pStyle w:val="93"/>
            <w:numPr>
              <w:ilvl w:val="0"/>
              <w:numId w:val="116"/>
            </w:numPr>
            <w:rPr>
              <w:rFonts w:ascii="宋体" w:hAnsi="宋体"/>
              <w:szCs w:val="21"/>
            </w:rPr>
          </w:pPr>
          <w:r>
            <w:rPr>
              <w:rFonts w:ascii="宋体" w:hAnsi="宋体" w:hint="eastAsia"/>
              <w:szCs w:val="21"/>
            </w:rPr>
            <w:t>报告期内账面价值发生重大变动的金额和原因</w:t>
          </w:r>
        </w:p>
        <w:sdt>
          <w:sdtPr>
            <w:rPr>
              <w:szCs w:val="21"/>
            </w:rPr>
            <w:alias w:val="是否适用：合同负债账面价值发生重大变动[双击切换]"/>
            <w:tag w:val="_GBC_18d9cdd7095d4bda8f22860c58746248"/>
            <w:id w:val="22376982"/>
            <w:lock w:val="sdtLocked"/>
            <w:placeholder>
              <w:docPart w:val="GBC22222222222222222222222222222"/>
            </w:placeholder>
          </w:sdtPr>
          <w:sdtEndPr/>
          <w:sdtContent>
            <w:p w14:paraId="5B7657E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3" w:displacedByCustomXml="next"/>
    <w:bookmarkStart w:id="254" w:name="_Hlk10535687" w:displacedByCustomXml="next"/>
    <w:bookmarkStart w:id="255" w:name="_Hlk10535696" w:displacedByCustomXml="next"/>
    <w:sdt>
      <w:sdtPr>
        <w:rPr>
          <w:rFonts w:eastAsiaTheme="minorEastAsia" w:hint="eastAsia"/>
          <w:szCs w:val="21"/>
        </w:rPr>
        <w:alias w:val="模块:其他说明："/>
        <w:tag w:val="_SEC_1910d69cccc04d3fb0422784d0b1dd58"/>
        <w:id w:val="904802978"/>
        <w:lock w:val="sdtLocked"/>
        <w:placeholder>
          <w:docPart w:val="GBC22222222222222222222222222222"/>
        </w:placeholder>
      </w:sdtPr>
      <w:sdtEndPr>
        <w:rPr>
          <w:rFonts w:hint="default"/>
        </w:rPr>
      </w:sdtEndPr>
      <w:sdtContent>
        <w:p w14:paraId="661762EE" w14:textId="77777777" w:rsidR="00D21C1F" w:rsidRDefault="00A42880">
          <w:pPr>
            <w:rPr>
              <w:szCs w:val="21"/>
            </w:rPr>
          </w:pPr>
          <w:r>
            <w:rPr>
              <w:rFonts w:hint="eastAsia"/>
              <w:szCs w:val="21"/>
            </w:rPr>
            <w:t>其他说明：</w:t>
          </w:r>
          <w:bookmarkEnd w:id="254"/>
        </w:p>
        <w:sdt>
          <w:sdtPr>
            <w:rPr>
              <w:szCs w:val="21"/>
            </w:rPr>
            <w:alias w:val="是否适用：合同负债其他说明[双击切换]"/>
            <w:tag w:val="_GBC_f73cf097b72042508657c656d4dc0c08"/>
            <w:id w:val="-1075039839"/>
            <w:lock w:val="sdtLocked"/>
            <w:placeholder>
              <w:docPart w:val="GBC22222222222222222222222222222"/>
            </w:placeholder>
          </w:sdtPr>
          <w:sdtEndPr/>
          <w:sdtContent>
            <w:p w14:paraId="2A3B23C5"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5"/>
    <w:p w14:paraId="39D81834" w14:textId="77777777" w:rsidR="00D21C1F" w:rsidRDefault="00D21C1F">
      <w:pPr>
        <w:rPr>
          <w:szCs w:val="21"/>
        </w:rPr>
      </w:pPr>
    </w:p>
    <w:p w14:paraId="3225625A"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应付职工薪酬</w:t>
      </w:r>
    </w:p>
    <w:sdt>
      <w:sdtPr>
        <w:rPr>
          <w:rFonts w:ascii="Times New Roman" w:hAnsi="Times New Roman" w:cs="宋体"/>
          <w:b w:val="0"/>
          <w:bCs w:val="0"/>
          <w:kern w:val="0"/>
          <w:szCs w:val="24"/>
        </w:rPr>
        <w:alias w:val="模块:应付职工薪酬列示："/>
        <w:tag w:val="_GBC_fa609950067149f1a5c0a6c3ba353431"/>
        <w:id w:val="-392347120"/>
        <w:lock w:val="sdtLocked"/>
        <w:placeholder>
          <w:docPart w:val="GBC22222222222222222222222222222"/>
        </w:placeholder>
      </w:sdtPr>
      <w:sdtEndPr/>
      <w:sdtContent>
        <w:p w14:paraId="5F3AD9E8" w14:textId="77777777" w:rsidR="00D21C1F" w:rsidRPr="00EB7A55" w:rsidRDefault="00A42880">
          <w:pPr>
            <w:pStyle w:val="93"/>
            <w:numPr>
              <w:ilvl w:val="0"/>
              <w:numId w:val="117"/>
            </w:numPr>
            <w:rPr>
              <w:rFonts w:ascii="Times New Roman" w:hAnsi="Times New Roman"/>
            </w:rPr>
          </w:pPr>
          <w:r w:rsidRPr="00EB7A55">
            <w:rPr>
              <w:rFonts w:ascii="Times New Roman" w:hAnsi="Times New Roman"/>
            </w:rPr>
            <w:t>应付职工薪酬列示</w:t>
          </w:r>
        </w:p>
        <w:sdt>
          <w:sdtPr>
            <w:rPr>
              <w:rFonts w:ascii="Times New Roman" w:hAnsi="Times New Roman" w:cs="Times New Roman"/>
            </w:rPr>
            <w:alias w:val="是否适用：应付职工薪酬列示[双击切换]"/>
            <w:tag w:val="_GBC_88faccc480a843dca589c1af0d3fee37"/>
            <w:id w:val="-747656557"/>
            <w:lock w:val="sdtLocked"/>
            <w:placeholder>
              <w:docPart w:val="GBC22222222222222222222222222222"/>
            </w:placeholder>
          </w:sdtPr>
          <w:sdtEndPr/>
          <w:sdtContent>
            <w:p w14:paraId="6FC6707F"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不适用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p>
          </w:sdtContent>
        </w:sdt>
        <w:p w14:paraId="2AD6A276" w14:textId="77777777" w:rsidR="00D21C1F" w:rsidRPr="00EB7A55" w:rsidRDefault="00A42880">
          <w:pPr>
            <w:jc w:val="right"/>
            <w:rPr>
              <w:rFonts w:ascii="Times New Roman" w:hAnsi="Times New Roman" w:cs="Times New Roman"/>
            </w:rPr>
          </w:pPr>
          <w:r w:rsidRPr="00EB7A55">
            <w:rPr>
              <w:rFonts w:ascii="Times New Roman" w:hAnsi="Times New Roman" w:cs="Times New Roman"/>
            </w:rPr>
            <w:t>单位：</w:t>
          </w:r>
          <w:sdt>
            <w:sdtPr>
              <w:rPr>
                <w:rFonts w:ascii="Times New Roman" w:hAnsi="Times New Roman" w:cs="Times New Roman"/>
              </w:rPr>
              <w:alias w:val="单位：财务附注：应付职工薪酬"/>
              <w:tag w:val="_GBC_5c4cdcd7cd924c4ca8e87f806bc459b0"/>
              <w:id w:val="7161665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B7A55">
                <w:rPr>
                  <w:rFonts w:ascii="Times New Roman" w:hAnsi="Times New Roman" w:cs="Times New Roman"/>
                </w:rPr>
                <w:t>元</w:t>
              </w:r>
            </w:sdtContent>
          </w:sdt>
          <w:r w:rsidRPr="00EB7A55">
            <w:rPr>
              <w:rFonts w:ascii="Times New Roman" w:hAnsi="Times New Roman" w:cs="Times New Roman"/>
            </w:rPr>
            <w:t>币种：</w:t>
          </w:r>
          <w:sdt>
            <w:sdtPr>
              <w:rPr>
                <w:rFonts w:ascii="Times New Roman" w:hAnsi="Times New Roman" w:cs="Times New Roman"/>
              </w:rPr>
              <w:alias w:val="币种：财务附注：应付职工薪酬"/>
              <w:tag w:val="_GBC_1b7f0fd0ca54470ca12f1037c092be9a"/>
              <w:id w:val="4508215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EB7A55">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570"/>
            <w:gridCol w:w="1567"/>
            <w:gridCol w:w="1570"/>
            <w:gridCol w:w="1578"/>
          </w:tblGrid>
          <w:tr w:rsidR="00D21C1F" w:rsidRPr="00EB7A55" w14:paraId="3CC63870" w14:textId="77777777">
            <w:sdt>
              <w:sdtPr>
                <w:rPr>
                  <w:rFonts w:ascii="Times New Roman" w:hAnsi="Times New Roman" w:cs="Times New Roman"/>
                </w:rPr>
                <w:tag w:val="_PLD_481bea2acb8f49ac9b4cfc92cd4a426e"/>
                <w:id w:val="256189744"/>
                <w:lock w:val="sdtLocked"/>
              </w:sdtPr>
              <w:sdtEndPr/>
              <w:sdtContent>
                <w:tc>
                  <w:tcPr>
                    <w:tcW w:w="1438" w:type="pct"/>
                    <w:shd w:val="clear" w:color="auto" w:fill="auto"/>
                    <w:vAlign w:val="center"/>
                  </w:tcPr>
                  <w:p w14:paraId="0723591F"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项目</w:t>
                    </w:r>
                  </w:p>
                </w:tc>
              </w:sdtContent>
            </w:sdt>
            <w:sdt>
              <w:sdtPr>
                <w:rPr>
                  <w:rFonts w:ascii="Times New Roman" w:hAnsi="Times New Roman" w:cs="Times New Roman"/>
                </w:rPr>
                <w:tag w:val="_PLD_ff27c0f5bcb94d9b932762b91edf2ff1"/>
                <w:id w:val="-558166102"/>
                <w:lock w:val="sdtLocked"/>
              </w:sdtPr>
              <w:sdtEndPr/>
              <w:sdtContent>
                <w:tc>
                  <w:tcPr>
                    <w:tcW w:w="890" w:type="pct"/>
                    <w:shd w:val="clear" w:color="auto" w:fill="auto"/>
                    <w:vAlign w:val="center"/>
                  </w:tcPr>
                  <w:p w14:paraId="721E9BFA"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期初余额</w:t>
                    </w:r>
                  </w:p>
                </w:tc>
              </w:sdtContent>
            </w:sdt>
            <w:sdt>
              <w:sdtPr>
                <w:rPr>
                  <w:rFonts w:ascii="Times New Roman" w:hAnsi="Times New Roman" w:cs="Times New Roman"/>
                </w:rPr>
                <w:tag w:val="_PLD_7274636f27ae4e048ade60bfddaa8164"/>
                <w:id w:val="726646472"/>
                <w:lock w:val="sdtLocked"/>
              </w:sdtPr>
              <w:sdtEndPr/>
              <w:sdtContent>
                <w:tc>
                  <w:tcPr>
                    <w:tcW w:w="888" w:type="pct"/>
                    <w:shd w:val="clear" w:color="auto" w:fill="auto"/>
                    <w:vAlign w:val="center"/>
                  </w:tcPr>
                  <w:p w14:paraId="1B52BBFC"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本期增加</w:t>
                    </w:r>
                  </w:p>
                </w:tc>
              </w:sdtContent>
            </w:sdt>
            <w:sdt>
              <w:sdtPr>
                <w:rPr>
                  <w:rFonts w:ascii="Times New Roman" w:hAnsi="Times New Roman" w:cs="Times New Roman"/>
                </w:rPr>
                <w:tag w:val="_PLD_07ae572963de436aa2308d649a28c23b"/>
                <w:id w:val="1556897021"/>
                <w:lock w:val="sdtLocked"/>
              </w:sdtPr>
              <w:sdtEndPr/>
              <w:sdtContent>
                <w:tc>
                  <w:tcPr>
                    <w:tcW w:w="890" w:type="pct"/>
                    <w:shd w:val="clear" w:color="auto" w:fill="auto"/>
                    <w:vAlign w:val="center"/>
                  </w:tcPr>
                  <w:p w14:paraId="50027741"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本期减少</w:t>
                    </w:r>
                  </w:p>
                </w:tc>
              </w:sdtContent>
            </w:sdt>
            <w:sdt>
              <w:sdtPr>
                <w:rPr>
                  <w:rFonts w:ascii="Times New Roman" w:hAnsi="Times New Roman" w:cs="Times New Roman"/>
                </w:rPr>
                <w:tag w:val="_PLD_27069329d7654e34bc45ca7dee532204"/>
                <w:id w:val="-1663383332"/>
                <w:lock w:val="sdtLocked"/>
              </w:sdtPr>
              <w:sdtEndPr/>
              <w:sdtContent>
                <w:tc>
                  <w:tcPr>
                    <w:tcW w:w="894" w:type="pct"/>
                    <w:shd w:val="clear" w:color="auto" w:fill="auto"/>
                    <w:vAlign w:val="center"/>
                  </w:tcPr>
                  <w:p w14:paraId="09A5E81C"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期末余额</w:t>
                    </w:r>
                  </w:p>
                </w:tc>
              </w:sdtContent>
            </w:sdt>
          </w:tr>
          <w:tr w:rsidR="00D21C1F" w:rsidRPr="00EB7A55" w14:paraId="5B2E73B2" w14:textId="77777777" w:rsidTr="00EB7A55">
            <w:sdt>
              <w:sdtPr>
                <w:rPr>
                  <w:rFonts w:ascii="Times New Roman" w:hAnsi="Times New Roman" w:cs="Times New Roman"/>
                </w:rPr>
                <w:tag w:val="_PLD_8272d2e82a6f45a197d65c1251ac79c7"/>
                <w:id w:val="441346258"/>
                <w:lock w:val="sdtLocked"/>
              </w:sdtPr>
              <w:sdtEndPr/>
              <w:sdtContent>
                <w:tc>
                  <w:tcPr>
                    <w:tcW w:w="1438" w:type="pct"/>
                    <w:shd w:val="clear" w:color="auto" w:fill="auto"/>
                  </w:tcPr>
                  <w:p w14:paraId="1B6FF85B"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t>一、短期薪酬</w:t>
                    </w:r>
                  </w:p>
                </w:tc>
              </w:sdtContent>
            </w:sdt>
            <w:tc>
              <w:tcPr>
                <w:tcW w:w="890" w:type="pct"/>
                <w:shd w:val="clear" w:color="auto" w:fill="auto"/>
                <w:vAlign w:val="center"/>
              </w:tcPr>
              <w:p w14:paraId="31978277"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47,638,525.83</w:t>
                </w:r>
              </w:p>
            </w:tc>
            <w:tc>
              <w:tcPr>
                <w:tcW w:w="888" w:type="pct"/>
                <w:shd w:val="clear" w:color="auto" w:fill="auto"/>
                <w:vAlign w:val="center"/>
              </w:tcPr>
              <w:p w14:paraId="1C74ED0B" w14:textId="77777777" w:rsidR="00D21C1F" w:rsidRPr="00EB7A55" w:rsidRDefault="00A42880" w:rsidP="00EB7A55">
                <w:pPr>
                  <w:jc w:val="right"/>
                  <w:rPr>
                    <w:rFonts w:ascii="Times New Roman" w:hAnsi="Times New Roman" w:cs="Times New Roman"/>
                    <w:sz w:val="19"/>
                    <w:szCs w:val="19"/>
                    <w:highlight w:val="yellow"/>
                  </w:rPr>
                </w:pPr>
                <w:r w:rsidRPr="00EB7A55">
                  <w:rPr>
                    <w:rFonts w:ascii="Times New Roman" w:hAnsi="Times New Roman" w:cs="Times New Roman"/>
                    <w:sz w:val="19"/>
                    <w:szCs w:val="19"/>
                  </w:rPr>
                  <w:t>157,291,212.81</w:t>
                </w:r>
              </w:p>
            </w:tc>
            <w:tc>
              <w:tcPr>
                <w:tcW w:w="890" w:type="pct"/>
                <w:shd w:val="clear" w:color="auto" w:fill="auto"/>
                <w:vAlign w:val="center"/>
              </w:tcPr>
              <w:p w14:paraId="4CB6825B" w14:textId="77777777" w:rsidR="00D21C1F" w:rsidRPr="00EB7A55" w:rsidRDefault="00A42880" w:rsidP="00EB7A55">
                <w:pPr>
                  <w:jc w:val="right"/>
                  <w:rPr>
                    <w:rFonts w:ascii="Times New Roman" w:hAnsi="Times New Roman" w:cs="Times New Roman"/>
                    <w:sz w:val="19"/>
                    <w:szCs w:val="19"/>
                    <w:highlight w:val="yellow"/>
                  </w:rPr>
                </w:pPr>
                <w:r w:rsidRPr="00EB7A55">
                  <w:rPr>
                    <w:rFonts w:ascii="Times New Roman" w:hAnsi="Times New Roman" w:cs="Times New Roman"/>
                    <w:sz w:val="19"/>
                    <w:szCs w:val="19"/>
                  </w:rPr>
                  <w:t>154,135,889.83</w:t>
                </w:r>
              </w:p>
            </w:tc>
            <w:tc>
              <w:tcPr>
                <w:tcW w:w="894" w:type="pct"/>
                <w:shd w:val="clear" w:color="auto" w:fill="auto"/>
                <w:vAlign w:val="center"/>
              </w:tcPr>
              <w:p w14:paraId="10B3C237"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50,793,848.81</w:t>
                </w:r>
              </w:p>
            </w:tc>
          </w:tr>
          <w:tr w:rsidR="00D21C1F" w:rsidRPr="00EB7A55" w14:paraId="3D5E27AA" w14:textId="77777777" w:rsidTr="00EB7A55">
            <w:sdt>
              <w:sdtPr>
                <w:rPr>
                  <w:rFonts w:ascii="Times New Roman" w:hAnsi="Times New Roman" w:cs="Times New Roman"/>
                </w:rPr>
                <w:tag w:val="_PLD_e3c7b981b4f64fe3993a41cabeb3d888"/>
                <w:id w:val="-1928717781"/>
                <w:lock w:val="sdtLocked"/>
              </w:sdtPr>
              <w:sdtEndPr/>
              <w:sdtContent>
                <w:tc>
                  <w:tcPr>
                    <w:tcW w:w="1438" w:type="pct"/>
                    <w:shd w:val="clear" w:color="auto" w:fill="auto"/>
                  </w:tcPr>
                  <w:p w14:paraId="20196AF4"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t>二、离职后福利</w:t>
                    </w:r>
                    <w:r w:rsidRPr="00EB7A55">
                      <w:rPr>
                        <w:rFonts w:ascii="Times New Roman" w:hAnsi="Times New Roman" w:cs="Times New Roman"/>
                      </w:rPr>
                      <w:t>-</w:t>
                    </w:r>
                    <w:r w:rsidRPr="00EB7A55">
                      <w:rPr>
                        <w:rFonts w:ascii="Times New Roman" w:hAnsi="Times New Roman" w:cs="Times New Roman"/>
                      </w:rPr>
                      <w:t>设定提存计划</w:t>
                    </w:r>
                  </w:p>
                </w:tc>
              </w:sdtContent>
            </w:sdt>
            <w:tc>
              <w:tcPr>
                <w:tcW w:w="890" w:type="pct"/>
                <w:shd w:val="clear" w:color="auto" w:fill="auto"/>
                <w:vAlign w:val="center"/>
              </w:tcPr>
              <w:p w14:paraId="0A28CCB7"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18,546,430.48</w:t>
                </w:r>
              </w:p>
            </w:tc>
            <w:tc>
              <w:tcPr>
                <w:tcW w:w="888" w:type="pct"/>
                <w:shd w:val="clear" w:color="auto" w:fill="auto"/>
                <w:vAlign w:val="center"/>
              </w:tcPr>
              <w:p w14:paraId="5A423330"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19,805,922.10</w:t>
                </w:r>
              </w:p>
            </w:tc>
            <w:tc>
              <w:tcPr>
                <w:tcW w:w="890" w:type="pct"/>
                <w:shd w:val="clear" w:color="auto" w:fill="auto"/>
                <w:vAlign w:val="center"/>
              </w:tcPr>
              <w:p w14:paraId="38B2A6CF"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20,916,951.42</w:t>
                </w:r>
              </w:p>
            </w:tc>
            <w:tc>
              <w:tcPr>
                <w:tcW w:w="894" w:type="pct"/>
                <w:shd w:val="clear" w:color="auto" w:fill="auto"/>
                <w:vAlign w:val="center"/>
              </w:tcPr>
              <w:p w14:paraId="38B61C08"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17,435,401.16</w:t>
                </w:r>
              </w:p>
            </w:tc>
          </w:tr>
          <w:tr w:rsidR="00D21C1F" w:rsidRPr="00EB7A55" w14:paraId="48E47F8D" w14:textId="77777777" w:rsidTr="00EB7A55">
            <w:sdt>
              <w:sdtPr>
                <w:rPr>
                  <w:rFonts w:ascii="Times New Roman" w:hAnsi="Times New Roman" w:cs="Times New Roman"/>
                </w:rPr>
                <w:tag w:val="_PLD_d615e4da2a4948e5994fcc5682898c56"/>
                <w:id w:val="1043408592"/>
                <w:lock w:val="sdtLocked"/>
              </w:sdtPr>
              <w:sdtEndPr/>
              <w:sdtContent>
                <w:tc>
                  <w:tcPr>
                    <w:tcW w:w="1438" w:type="pct"/>
                    <w:shd w:val="clear" w:color="auto" w:fill="auto"/>
                  </w:tcPr>
                  <w:p w14:paraId="6024668B"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t>三、辞退福利</w:t>
                    </w:r>
                  </w:p>
                </w:tc>
              </w:sdtContent>
            </w:sdt>
            <w:tc>
              <w:tcPr>
                <w:tcW w:w="890" w:type="pct"/>
                <w:shd w:val="clear" w:color="auto" w:fill="auto"/>
                <w:vAlign w:val="center"/>
              </w:tcPr>
              <w:p w14:paraId="6F7ECEC4"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311,971.46</w:t>
                </w:r>
              </w:p>
            </w:tc>
            <w:tc>
              <w:tcPr>
                <w:tcW w:w="888" w:type="pct"/>
                <w:shd w:val="clear" w:color="auto" w:fill="auto"/>
                <w:vAlign w:val="center"/>
              </w:tcPr>
              <w:p w14:paraId="6ECF2119"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367,246.83</w:t>
                </w:r>
              </w:p>
            </w:tc>
            <w:tc>
              <w:tcPr>
                <w:tcW w:w="890" w:type="pct"/>
                <w:shd w:val="clear" w:color="auto" w:fill="auto"/>
                <w:vAlign w:val="center"/>
              </w:tcPr>
              <w:p w14:paraId="1B35AB81"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244,671.34</w:t>
                </w:r>
              </w:p>
            </w:tc>
            <w:tc>
              <w:tcPr>
                <w:tcW w:w="894" w:type="pct"/>
                <w:shd w:val="clear" w:color="auto" w:fill="auto"/>
                <w:vAlign w:val="center"/>
              </w:tcPr>
              <w:p w14:paraId="75012B3B"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434,546.95</w:t>
                </w:r>
              </w:p>
            </w:tc>
          </w:tr>
          <w:tr w:rsidR="00D21C1F" w:rsidRPr="00EB7A55" w14:paraId="57E06493" w14:textId="77777777" w:rsidTr="00EB7A55">
            <w:sdt>
              <w:sdtPr>
                <w:rPr>
                  <w:rFonts w:ascii="Times New Roman" w:hAnsi="Times New Roman" w:cs="Times New Roman"/>
                </w:rPr>
                <w:tag w:val="_PLD_f85ecebc2b9f455eb675b5c3c3edb84c"/>
                <w:id w:val="1432082025"/>
                <w:lock w:val="sdtLocked"/>
              </w:sdtPr>
              <w:sdtEndPr/>
              <w:sdtContent>
                <w:tc>
                  <w:tcPr>
                    <w:tcW w:w="1438" w:type="pct"/>
                    <w:shd w:val="clear" w:color="auto" w:fill="auto"/>
                  </w:tcPr>
                  <w:p w14:paraId="00FE2DA7"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t>四、一年内到期的其他福利</w:t>
                    </w:r>
                  </w:p>
                </w:tc>
              </w:sdtContent>
            </w:sdt>
            <w:tc>
              <w:tcPr>
                <w:tcW w:w="890" w:type="pct"/>
                <w:shd w:val="clear" w:color="auto" w:fill="auto"/>
                <w:vAlign w:val="center"/>
              </w:tcPr>
              <w:p w14:paraId="322A0296" w14:textId="4E7EE9C5" w:rsidR="00D21C1F" w:rsidRPr="00EB7A55" w:rsidRDefault="00EB7A55" w:rsidP="00EB7A55">
                <w:pPr>
                  <w:jc w:val="right"/>
                  <w:rPr>
                    <w:rFonts w:ascii="Times New Roman" w:hAnsi="Times New Roman" w:cs="Times New Roman"/>
                    <w:sz w:val="19"/>
                    <w:szCs w:val="19"/>
                  </w:rPr>
                </w:pPr>
                <w:r>
                  <w:rPr>
                    <w:rFonts w:ascii="Times New Roman" w:hAnsi="Times New Roman" w:cs="Times New Roman"/>
                    <w:sz w:val="19"/>
                    <w:szCs w:val="19"/>
                  </w:rPr>
                  <w:t>-</w:t>
                </w:r>
              </w:p>
            </w:tc>
            <w:tc>
              <w:tcPr>
                <w:tcW w:w="888" w:type="pct"/>
                <w:shd w:val="clear" w:color="auto" w:fill="auto"/>
                <w:vAlign w:val="center"/>
              </w:tcPr>
              <w:p w14:paraId="10B200B3" w14:textId="75DB1590" w:rsidR="00D21C1F" w:rsidRPr="00EB7A55" w:rsidRDefault="00EB7A55" w:rsidP="00EB7A55">
                <w:pPr>
                  <w:jc w:val="right"/>
                  <w:rPr>
                    <w:rFonts w:ascii="Times New Roman" w:hAnsi="Times New Roman" w:cs="Times New Roman"/>
                    <w:sz w:val="19"/>
                    <w:szCs w:val="19"/>
                  </w:rPr>
                </w:pPr>
                <w:r>
                  <w:rPr>
                    <w:rFonts w:ascii="Times New Roman" w:hAnsi="Times New Roman" w:cs="Times New Roman"/>
                    <w:sz w:val="19"/>
                    <w:szCs w:val="19"/>
                  </w:rPr>
                  <w:t>-</w:t>
                </w:r>
              </w:p>
            </w:tc>
            <w:tc>
              <w:tcPr>
                <w:tcW w:w="890" w:type="pct"/>
                <w:shd w:val="clear" w:color="auto" w:fill="auto"/>
                <w:vAlign w:val="center"/>
              </w:tcPr>
              <w:p w14:paraId="17D18798" w14:textId="70D71DD6" w:rsidR="00D21C1F" w:rsidRPr="00EB7A55" w:rsidRDefault="00EB7A55" w:rsidP="00EB7A55">
                <w:pPr>
                  <w:jc w:val="right"/>
                  <w:rPr>
                    <w:rFonts w:ascii="Times New Roman" w:hAnsi="Times New Roman" w:cs="Times New Roman"/>
                    <w:sz w:val="19"/>
                    <w:szCs w:val="19"/>
                  </w:rPr>
                </w:pPr>
                <w:r>
                  <w:rPr>
                    <w:rFonts w:ascii="Times New Roman" w:hAnsi="Times New Roman" w:cs="Times New Roman"/>
                    <w:sz w:val="19"/>
                    <w:szCs w:val="19"/>
                  </w:rPr>
                  <w:t>-</w:t>
                </w:r>
              </w:p>
            </w:tc>
            <w:tc>
              <w:tcPr>
                <w:tcW w:w="894" w:type="pct"/>
                <w:shd w:val="clear" w:color="auto" w:fill="auto"/>
                <w:vAlign w:val="center"/>
              </w:tcPr>
              <w:p w14:paraId="5C4B82A9" w14:textId="07A08392" w:rsidR="00D21C1F" w:rsidRPr="00EB7A55" w:rsidRDefault="00EB7A55" w:rsidP="00EB7A55">
                <w:pPr>
                  <w:jc w:val="right"/>
                  <w:rPr>
                    <w:rFonts w:ascii="Times New Roman" w:hAnsi="Times New Roman" w:cs="Times New Roman"/>
                    <w:sz w:val="19"/>
                    <w:szCs w:val="19"/>
                  </w:rPr>
                </w:pPr>
                <w:r>
                  <w:rPr>
                    <w:rFonts w:ascii="Times New Roman" w:hAnsi="Times New Roman" w:cs="Times New Roman"/>
                    <w:sz w:val="19"/>
                    <w:szCs w:val="19"/>
                  </w:rPr>
                  <w:t>-</w:t>
                </w:r>
              </w:p>
            </w:tc>
          </w:tr>
          <w:tr w:rsidR="00D21C1F" w:rsidRPr="00EB7A55" w14:paraId="5136162B" w14:textId="77777777" w:rsidTr="00EB7A55">
            <w:sdt>
              <w:sdtPr>
                <w:rPr>
                  <w:rFonts w:ascii="Times New Roman" w:hAnsi="Times New Roman" w:cs="Times New Roman"/>
                </w:rPr>
                <w:tag w:val="_PLD_5ce2e7ac546346f4a7bec33299c89503"/>
                <w:id w:val="-163085875"/>
                <w:lock w:val="sdtLocked"/>
              </w:sdtPr>
              <w:sdtEndPr/>
              <w:sdtContent>
                <w:tc>
                  <w:tcPr>
                    <w:tcW w:w="1438" w:type="pct"/>
                    <w:shd w:val="clear" w:color="auto" w:fill="auto"/>
                    <w:vAlign w:val="center"/>
                  </w:tcPr>
                  <w:p w14:paraId="567F2F05"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合计</w:t>
                    </w:r>
                  </w:p>
                </w:tc>
              </w:sdtContent>
            </w:sdt>
            <w:tc>
              <w:tcPr>
                <w:tcW w:w="890" w:type="pct"/>
                <w:shd w:val="clear" w:color="auto" w:fill="auto"/>
                <w:vAlign w:val="center"/>
              </w:tcPr>
              <w:p w14:paraId="683BC7ED"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66,496,927.77</w:t>
                </w:r>
              </w:p>
            </w:tc>
            <w:tc>
              <w:tcPr>
                <w:tcW w:w="888" w:type="pct"/>
                <w:shd w:val="clear" w:color="auto" w:fill="auto"/>
                <w:vAlign w:val="center"/>
              </w:tcPr>
              <w:p w14:paraId="5871CBA1"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177,464,381.74</w:t>
                </w:r>
              </w:p>
            </w:tc>
            <w:tc>
              <w:tcPr>
                <w:tcW w:w="890" w:type="pct"/>
                <w:shd w:val="clear" w:color="auto" w:fill="auto"/>
                <w:vAlign w:val="center"/>
              </w:tcPr>
              <w:p w14:paraId="209DB4FC"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175,297,512.59</w:t>
                </w:r>
              </w:p>
            </w:tc>
            <w:tc>
              <w:tcPr>
                <w:tcW w:w="894" w:type="pct"/>
                <w:shd w:val="clear" w:color="auto" w:fill="auto"/>
                <w:vAlign w:val="center"/>
              </w:tcPr>
              <w:p w14:paraId="5D34E4B0"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68,663,796.92</w:t>
                </w:r>
              </w:p>
            </w:tc>
          </w:tr>
        </w:tbl>
        <w:p w14:paraId="22FD4E7B" w14:textId="77777777" w:rsidR="00D21C1F" w:rsidRDefault="00045EC6">
          <w:pPr>
            <w:pStyle w:val="97"/>
          </w:pPr>
        </w:p>
      </w:sdtContent>
    </w:sdt>
    <w:sdt>
      <w:sdtPr>
        <w:rPr>
          <w:rFonts w:ascii="Times New Roman" w:eastAsia="宋体" w:hAnsi="Times New Roman" w:cs="宋体"/>
          <w:b w:val="0"/>
          <w:bCs w:val="0"/>
          <w:kern w:val="0"/>
          <w:szCs w:val="24"/>
        </w:rPr>
        <w:alias w:val="模块:短期薪酬列示"/>
        <w:tag w:val="_GBC_8889528627cf49dfa80ba4d972a53405"/>
        <w:id w:val="-2035028018"/>
        <w:lock w:val="sdtLocked"/>
        <w:placeholder>
          <w:docPart w:val="GBC22222222222222222222222222222"/>
        </w:placeholder>
      </w:sdtPr>
      <w:sdtEndPr>
        <w:rPr>
          <w:szCs w:val="21"/>
        </w:rPr>
      </w:sdtEndPr>
      <w:sdtContent>
        <w:p w14:paraId="6AB89CDF" w14:textId="77777777" w:rsidR="00D21C1F" w:rsidRPr="00EB7A55" w:rsidRDefault="00A42880">
          <w:pPr>
            <w:pStyle w:val="93"/>
            <w:numPr>
              <w:ilvl w:val="0"/>
              <w:numId w:val="117"/>
            </w:numPr>
            <w:rPr>
              <w:rFonts w:ascii="Times New Roman" w:hAnsi="Times New Roman"/>
            </w:rPr>
          </w:pPr>
          <w:r w:rsidRPr="00EB7A55">
            <w:rPr>
              <w:rFonts w:ascii="Times New Roman" w:hAnsi="Times New Roman"/>
            </w:rPr>
            <w:t>短期薪酬列示</w:t>
          </w:r>
        </w:p>
        <w:sdt>
          <w:sdtPr>
            <w:rPr>
              <w:rFonts w:ascii="Times New Roman" w:hAnsi="Times New Roman" w:cs="Times New Roman"/>
            </w:rPr>
            <w:alias w:val="是否适用：短期薪酬列示[双击切换]"/>
            <w:tag w:val="_GBC_fe9cc4ffdf524f4695448b31c76167ce"/>
            <w:id w:val="-1177813585"/>
            <w:lock w:val="sdtLocked"/>
            <w:placeholder>
              <w:docPart w:val="GBC22222222222222222222222222222"/>
            </w:placeholder>
          </w:sdtPr>
          <w:sdtEndPr/>
          <w:sdtContent>
            <w:p w14:paraId="47670F32" w14:textId="77777777" w:rsidR="00D21C1F" w:rsidRPr="00EB7A55" w:rsidRDefault="00A42880">
              <w:pPr>
                <w:pStyle w:val="97"/>
                <w:rPr>
                  <w:rFonts w:ascii="Times New Roman" w:hAnsi="Times New Roman" w:cs="Times New Roman"/>
                </w:rPr>
              </w:pP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r w:rsidRPr="00EB7A55">
                <w:rPr>
                  <w:rFonts w:ascii="Times New Roman" w:hAnsi="Times New Roman" w:cs="Times New Roman"/>
                </w:rPr>
                <w:fldChar w:fldCharType="begin"/>
              </w:r>
              <w:r w:rsidRPr="00EB7A55">
                <w:rPr>
                  <w:rFonts w:ascii="Times New Roman" w:hAnsi="Times New Roman" w:cs="Times New Roman"/>
                </w:rPr>
                <w:instrText xml:space="preserve"> MACROBUTTON  SnrToggleCheckbox □</w:instrText>
              </w:r>
              <w:r w:rsidRPr="00EB7A55">
                <w:rPr>
                  <w:rFonts w:ascii="Times New Roman" w:hAnsi="Times New Roman" w:cs="Times New Roman"/>
                </w:rPr>
                <w:instrText>不适用</w:instrText>
              </w:r>
              <w:r w:rsidRPr="00EB7A55">
                <w:rPr>
                  <w:rFonts w:ascii="Times New Roman" w:hAnsi="Times New Roman" w:cs="Times New Roman"/>
                </w:rPr>
                <w:instrText xml:space="preserve"> </w:instrText>
              </w:r>
              <w:r w:rsidRPr="00EB7A55">
                <w:rPr>
                  <w:rFonts w:ascii="Times New Roman" w:hAnsi="Times New Roman" w:cs="Times New Roman"/>
                </w:rPr>
                <w:fldChar w:fldCharType="end"/>
              </w:r>
            </w:p>
          </w:sdtContent>
        </w:sdt>
        <w:p w14:paraId="57BED87D" w14:textId="77777777" w:rsidR="00D21C1F" w:rsidRPr="00EB7A55" w:rsidRDefault="00A42880">
          <w:pPr>
            <w:jc w:val="right"/>
            <w:rPr>
              <w:rFonts w:ascii="Times New Roman" w:hAnsi="Times New Roman" w:cs="Times New Roman"/>
              <w:szCs w:val="21"/>
            </w:rPr>
          </w:pPr>
          <w:r w:rsidRPr="00EB7A55">
            <w:rPr>
              <w:rFonts w:ascii="Times New Roman" w:hAnsi="Times New Roman" w:cs="Times New Roman"/>
              <w:szCs w:val="21"/>
            </w:rPr>
            <w:t>单位：</w:t>
          </w:r>
          <w:sdt>
            <w:sdtPr>
              <w:rPr>
                <w:rFonts w:ascii="Times New Roman" w:hAnsi="Times New Roman" w:cs="Times New Roman"/>
                <w:szCs w:val="21"/>
              </w:rPr>
              <w:alias w:val="单位：财务附注：短期薪酬"/>
              <w:tag w:val="_GBC_f5a2a934147944d68f11ca2bcce4d80f"/>
              <w:id w:val="-20275606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B7A55">
                <w:rPr>
                  <w:rFonts w:ascii="Times New Roman" w:hAnsi="Times New Roman" w:cs="Times New Roman"/>
                  <w:szCs w:val="21"/>
                </w:rPr>
                <w:t>元</w:t>
              </w:r>
            </w:sdtContent>
          </w:sdt>
          <w:r w:rsidRPr="00EB7A55">
            <w:rPr>
              <w:rFonts w:ascii="Times New Roman" w:hAnsi="Times New Roman" w:cs="Times New Roman"/>
              <w:szCs w:val="21"/>
            </w:rPr>
            <w:t>币种</w:t>
          </w:r>
          <w:r w:rsidRPr="00EB7A55">
            <w:rPr>
              <w:rFonts w:ascii="Times New Roman" w:hAnsi="Times New Roman" w:cs="Times New Roman"/>
              <w:szCs w:val="21"/>
            </w:rPr>
            <w:t>:</w:t>
          </w:r>
          <w:sdt>
            <w:sdtPr>
              <w:rPr>
                <w:rFonts w:ascii="Times New Roman" w:hAnsi="Times New Roman" w:cs="Times New Roman"/>
                <w:szCs w:val="21"/>
              </w:rPr>
              <w:alias w:val="币种：财务附注：短期薪酬"/>
              <w:tag w:val="_GBC_ded097d86a7d48b8a8b1d9689a73bd5d"/>
              <w:id w:val="1262187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EB7A55">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1572"/>
            <w:gridCol w:w="1555"/>
            <w:gridCol w:w="1569"/>
            <w:gridCol w:w="1579"/>
          </w:tblGrid>
          <w:tr w:rsidR="00D21C1F" w:rsidRPr="00EB7A55" w14:paraId="1081C726" w14:textId="77777777">
            <w:sdt>
              <w:sdtPr>
                <w:rPr>
                  <w:rFonts w:ascii="Times New Roman" w:hAnsi="Times New Roman" w:cs="Times New Roman"/>
                </w:rPr>
                <w:tag w:val="_PLD_7b5378bc64e24511ae79d643c80f9c98"/>
                <w:id w:val="-1175180222"/>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14:paraId="4F841FC1" w14:textId="77777777" w:rsidR="00D21C1F" w:rsidRPr="00EB7A55" w:rsidRDefault="00A42880">
                    <w:pPr>
                      <w:autoSpaceDE w:val="0"/>
                      <w:autoSpaceDN w:val="0"/>
                      <w:adjustRightInd w:val="0"/>
                      <w:jc w:val="center"/>
                      <w:rPr>
                        <w:rFonts w:ascii="Times New Roman" w:hAnsi="Times New Roman" w:cs="Times New Roman"/>
                        <w:szCs w:val="21"/>
                      </w:rPr>
                    </w:pPr>
                    <w:r w:rsidRPr="00EB7A55">
                      <w:rPr>
                        <w:rFonts w:ascii="Times New Roman" w:hAnsi="Times New Roman" w:cs="Times New Roman"/>
                        <w:szCs w:val="21"/>
                      </w:rPr>
                      <w:t>项目</w:t>
                    </w:r>
                  </w:p>
                </w:tc>
              </w:sdtContent>
            </w:sdt>
            <w:sdt>
              <w:sdtPr>
                <w:rPr>
                  <w:rFonts w:ascii="Times New Roman" w:hAnsi="Times New Roman" w:cs="Times New Roman"/>
                </w:rPr>
                <w:tag w:val="_PLD_0144fa4bad154236aa75e1dcc0a89e56"/>
                <w:id w:val="827247601"/>
                <w:lock w:val="sdtLocked"/>
              </w:sdtPr>
              <w:sdtEndPr/>
              <w:sdtContent>
                <w:tc>
                  <w:tcPr>
                    <w:tcW w:w="891" w:type="pct"/>
                    <w:tcBorders>
                      <w:top w:val="single" w:sz="4" w:space="0" w:color="auto"/>
                      <w:left w:val="single" w:sz="4" w:space="0" w:color="auto"/>
                      <w:bottom w:val="single" w:sz="4" w:space="0" w:color="auto"/>
                      <w:right w:val="single" w:sz="4" w:space="0" w:color="auto"/>
                    </w:tcBorders>
                    <w:vAlign w:val="center"/>
                  </w:tcPr>
                  <w:p w14:paraId="1AC321FB" w14:textId="77777777" w:rsidR="00D21C1F" w:rsidRPr="00EB7A55" w:rsidRDefault="00A42880">
                    <w:pPr>
                      <w:autoSpaceDE w:val="0"/>
                      <w:autoSpaceDN w:val="0"/>
                      <w:adjustRightInd w:val="0"/>
                      <w:jc w:val="center"/>
                      <w:rPr>
                        <w:rFonts w:ascii="Times New Roman" w:hAnsi="Times New Roman" w:cs="Times New Roman"/>
                        <w:szCs w:val="21"/>
                      </w:rPr>
                    </w:pPr>
                    <w:r w:rsidRPr="00EB7A55">
                      <w:rPr>
                        <w:rFonts w:ascii="Times New Roman" w:hAnsi="Times New Roman" w:cs="Times New Roman"/>
                        <w:szCs w:val="21"/>
                      </w:rPr>
                      <w:t>期初余额</w:t>
                    </w:r>
                  </w:p>
                </w:tc>
              </w:sdtContent>
            </w:sdt>
            <w:sdt>
              <w:sdtPr>
                <w:rPr>
                  <w:rFonts w:ascii="Times New Roman" w:hAnsi="Times New Roman" w:cs="Times New Roman"/>
                </w:rPr>
                <w:tag w:val="_PLD_2d15a4a9e10b4386a7ed67bc2137e04a"/>
                <w:id w:val="1397861517"/>
                <w:lock w:val="sdtLocked"/>
              </w:sdtPr>
              <w:sdtEndPr/>
              <w:sdtContent>
                <w:tc>
                  <w:tcPr>
                    <w:tcW w:w="881" w:type="pct"/>
                    <w:tcBorders>
                      <w:top w:val="single" w:sz="4" w:space="0" w:color="auto"/>
                      <w:left w:val="single" w:sz="4" w:space="0" w:color="auto"/>
                      <w:bottom w:val="single" w:sz="4" w:space="0" w:color="auto"/>
                      <w:right w:val="single" w:sz="4" w:space="0" w:color="auto"/>
                    </w:tcBorders>
                    <w:vAlign w:val="center"/>
                  </w:tcPr>
                  <w:p w14:paraId="4AFB5F1E"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本期增加</w:t>
                    </w:r>
                  </w:p>
                </w:tc>
              </w:sdtContent>
            </w:sdt>
            <w:sdt>
              <w:sdtPr>
                <w:rPr>
                  <w:rFonts w:ascii="Times New Roman" w:hAnsi="Times New Roman" w:cs="Times New Roman"/>
                </w:rPr>
                <w:tag w:val="_PLD_12a2bbefe0874cde83fdb77f4a4158a1"/>
                <w:id w:val="131221659"/>
                <w:lock w:val="sdtLocked"/>
              </w:sdtPr>
              <w:sdtEndPr/>
              <w:sdtContent>
                <w:tc>
                  <w:tcPr>
                    <w:tcW w:w="889" w:type="pct"/>
                    <w:tcBorders>
                      <w:top w:val="single" w:sz="4" w:space="0" w:color="auto"/>
                      <w:left w:val="single" w:sz="4" w:space="0" w:color="auto"/>
                      <w:bottom w:val="single" w:sz="4" w:space="0" w:color="auto"/>
                      <w:right w:val="single" w:sz="4" w:space="0" w:color="auto"/>
                    </w:tcBorders>
                    <w:vAlign w:val="center"/>
                  </w:tcPr>
                  <w:p w14:paraId="287CDFEF" w14:textId="77777777" w:rsidR="00D21C1F" w:rsidRPr="00EB7A55" w:rsidRDefault="00A42880">
                    <w:pPr>
                      <w:jc w:val="center"/>
                      <w:rPr>
                        <w:rFonts w:ascii="Times New Roman" w:hAnsi="Times New Roman" w:cs="Times New Roman"/>
                      </w:rPr>
                    </w:pPr>
                    <w:r w:rsidRPr="00EB7A55">
                      <w:rPr>
                        <w:rFonts w:ascii="Times New Roman" w:hAnsi="Times New Roman" w:cs="Times New Roman"/>
                      </w:rPr>
                      <w:t>本期减少</w:t>
                    </w:r>
                  </w:p>
                </w:tc>
              </w:sdtContent>
            </w:sdt>
            <w:sdt>
              <w:sdtPr>
                <w:rPr>
                  <w:rFonts w:ascii="Times New Roman" w:hAnsi="Times New Roman" w:cs="Times New Roman"/>
                </w:rPr>
                <w:tag w:val="_PLD_190d6bcbbde148ffb48f230c6d9d7186"/>
                <w:id w:val="-1326041089"/>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59A7AC17" w14:textId="77777777" w:rsidR="00D21C1F" w:rsidRPr="00EB7A55" w:rsidRDefault="00A42880">
                    <w:pPr>
                      <w:autoSpaceDE w:val="0"/>
                      <w:autoSpaceDN w:val="0"/>
                      <w:adjustRightInd w:val="0"/>
                      <w:jc w:val="center"/>
                      <w:rPr>
                        <w:rFonts w:ascii="Times New Roman" w:hAnsi="Times New Roman" w:cs="Times New Roman"/>
                        <w:szCs w:val="21"/>
                      </w:rPr>
                    </w:pPr>
                    <w:r w:rsidRPr="00EB7A55">
                      <w:rPr>
                        <w:rFonts w:ascii="Times New Roman" w:hAnsi="Times New Roman" w:cs="Times New Roman"/>
                        <w:szCs w:val="21"/>
                      </w:rPr>
                      <w:t>期末余额</w:t>
                    </w:r>
                  </w:p>
                </w:tc>
              </w:sdtContent>
            </w:sdt>
          </w:tr>
          <w:tr w:rsidR="00D21C1F" w:rsidRPr="00EB7A55" w14:paraId="368C86C0" w14:textId="77777777" w:rsidTr="00EB7A55">
            <w:sdt>
              <w:sdtPr>
                <w:rPr>
                  <w:rFonts w:ascii="Times New Roman" w:hAnsi="Times New Roman" w:cs="Times New Roman"/>
                </w:rPr>
                <w:tag w:val="_PLD_b24db0ed8285493c9b46db6af314618d"/>
                <w:id w:val="1889685041"/>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5DC1B9A5" w14:textId="77777777" w:rsidR="00D21C1F" w:rsidRPr="00EB7A55" w:rsidRDefault="00A42880">
                    <w:pPr>
                      <w:autoSpaceDE w:val="0"/>
                      <w:autoSpaceDN w:val="0"/>
                      <w:adjustRightInd w:val="0"/>
                      <w:rPr>
                        <w:rFonts w:ascii="Times New Roman" w:hAnsi="Times New Roman" w:cs="Times New Roman"/>
                        <w:szCs w:val="21"/>
                      </w:rPr>
                    </w:pPr>
                    <w:r w:rsidRPr="00EB7A55">
                      <w:rPr>
                        <w:rFonts w:ascii="Times New Roman" w:hAnsi="Times New Roman" w:cs="Times New Roman"/>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6BFBDBA9"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41,884,031.79</w:t>
                </w:r>
              </w:p>
            </w:tc>
            <w:tc>
              <w:tcPr>
                <w:tcW w:w="881" w:type="pct"/>
                <w:tcBorders>
                  <w:top w:val="single" w:sz="4" w:space="0" w:color="auto"/>
                  <w:left w:val="single" w:sz="4" w:space="0" w:color="auto"/>
                  <w:bottom w:val="single" w:sz="4" w:space="0" w:color="auto"/>
                  <w:right w:val="single" w:sz="4" w:space="0" w:color="auto"/>
                </w:tcBorders>
                <w:vAlign w:val="center"/>
              </w:tcPr>
              <w:p w14:paraId="3826D1BD"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136,782,720.28</w:t>
                </w:r>
              </w:p>
            </w:tc>
            <w:tc>
              <w:tcPr>
                <w:tcW w:w="889" w:type="pct"/>
                <w:tcBorders>
                  <w:top w:val="single" w:sz="4" w:space="0" w:color="auto"/>
                  <w:left w:val="single" w:sz="4" w:space="0" w:color="auto"/>
                  <w:bottom w:val="single" w:sz="4" w:space="0" w:color="auto"/>
                  <w:right w:val="single" w:sz="4" w:space="0" w:color="auto"/>
                </w:tcBorders>
                <w:vAlign w:val="center"/>
              </w:tcPr>
              <w:p w14:paraId="44491681"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135,759,935.27</w:t>
                </w:r>
              </w:p>
            </w:tc>
            <w:tc>
              <w:tcPr>
                <w:tcW w:w="895" w:type="pct"/>
                <w:tcBorders>
                  <w:top w:val="single" w:sz="4" w:space="0" w:color="auto"/>
                  <w:left w:val="single" w:sz="4" w:space="0" w:color="auto"/>
                  <w:bottom w:val="single" w:sz="4" w:space="0" w:color="auto"/>
                  <w:right w:val="single" w:sz="4" w:space="0" w:color="auto"/>
                </w:tcBorders>
                <w:vAlign w:val="center"/>
              </w:tcPr>
              <w:p w14:paraId="42F11A58"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42,906,816.80</w:t>
                </w:r>
              </w:p>
            </w:tc>
          </w:tr>
          <w:tr w:rsidR="00D21C1F" w:rsidRPr="00EB7A55" w14:paraId="1C83E603" w14:textId="77777777" w:rsidTr="00EB7A55">
            <w:sdt>
              <w:sdtPr>
                <w:rPr>
                  <w:rFonts w:ascii="Times New Roman" w:hAnsi="Times New Roman" w:cs="Times New Roman"/>
                </w:rPr>
                <w:tag w:val="_PLD_f557df41d0484816863da6fa2f5bb6e0"/>
                <w:id w:val="-221069040"/>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481A32FD" w14:textId="77777777" w:rsidR="00D21C1F" w:rsidRPr="00EB7A55" w:rsidRDefault="00A42880">
                    <w:pPr>
                      <w:autoSpaceDE w:val="0"/>
                      <w:autoSpaceDN w:val="0"/>
                      <w:adjustRightInd w:val="0"/>
                      <w:rPr>
                        <w:rFonts w:ascii="Times New Roman" w:hAnsi="Times New Roman" w:cs="Times New Roman"/>
                        <w:szCs w:val="21"/>
                      </w:rPr>
                    </w:pPr>
                    <w:r w:rsidRPr="00EB7A55">
                      <w:rPr>
                        <w:rFonts w:ascii="Times New Roman" w:hAnsi="Times New Roman" w:cs="Times New Roman"/>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3022F970"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w:t>
                </w:r>
              </w:p>
            </w:tc>
            <w:tc>
              <w:tcPr>
                <w:tcW w:w="881" w:type="pct"/>
                <w:tcBorders>
                  <w:top w:val="single" w:sz="4" w:space="0" w:color="auto"/>
                  <w:left w:val="single" w:sz="4" w:space="0" w:color="auto"/>
                  <w:bottom w:val="single" w:sz="4" w:space="0" w:color="auto"/>
                  <w:right w:val="single" w:sz="4" w:space="0" w:color="auto"/>
                </w:tcBorders>
                <w:vAlign w:val="center"/>
              </w:tcPr>
              <w:p w14:paraId="48C81C3F"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6,840,125.44</w:t>
                </w:r>
              </w:p>
            </w:tc>
            <w:tc>
              <w:tcPr>
                <w:tcW w:w="889" w:type="pct"/>
                <w:tcBorders>
                  <w:top w:val="single" w:sz="4" w:space="0" w:color="auto"/>
                  <w:left w:val="single" w:sz="4" w:space="0" w:color="auto"/>
                  <w:bottom w:val="single" w:sz="4" w:space="0" w:color="auto"/>
                  <w:right w:val="single" w:sz="4" w:space="0" w:color="auto"/>
                </w:tcBorders>
                <w:vAlign w:val="center"/>
              </w:tcPr>
              <w:p w14:paraId="3FF07F91"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5,904,513.40</w:t>
                </w:r>
              </w:p>
            </w:tc>
            <w:tc>
              <w:tcPr>
                <w:tcW w:w="895" w:type="pct"/>
                <w:tcBorders>
                  <w:top w:val="single" w:sz="4" w:space="0" w:color="auto"/>
                  <w:left w:val="single" w:sz="4" w:space="0" w:color="auto"/>
                  <w:bottom w:val="single" w:sz="4" w:space="0" w:color="auto"/>
                  <w:right w:val="single" w:sz="4" w:space="0" w:color="auto"/>
                </w:tcBorders>
                <w:vAlign w:val="center"/>
              </w:tcPr>
              <w:p w14:paraId="085ABFFC"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935,612.04</w:t>
                </w:r>
              </w:p>
            </w:tc>
          </w:tr>
          <w:tr w:rsidR="00D21C1F" w:rsidRPr="00EB7A55" w14:paraId="0FF12B7E" w14:textId="77777777" w:rsidTr="00EB7A55">
            <w:sdt>
              <w:sdtPr>
                <w:rPr>
                  <w:rFonts w:ascii="Times New Roman" w:hAnsi="Times New Roman" w:cs="Times New Roman"/>
                </w:rPr>
                <w:tag w:val="_PLD_dbac61dc87104ba08157258eaf632c94"/>
                <w:id w:val="-504277413"/>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B1BD52A" w14:textId="77777777" w:rsidR="00D21C1F" w:rsidRPr="00EB7A55" w:rsidRDefault="00A42880">
                    <w:pPr>
                      <w:autoSpaceDE w:val="0"/>
                      <w:autoSpaceDN w:val="0"/>
                      <w:adjustRightInd w:val="0"/>
                      <w:rPr>
                        <w:rFonts w:ascii="Times New Roman" w:hAnsi="Times New Roman" w:cs="Times New Roman"/>
                        <w:szCs w:val="21"/>
                      </w:rPr>
                    </w:pPr>
                    <w:r w:rsidRPr="00EB7A55">
                      <w:rPr>
                        <w:rFonts w:ascii="Times New Roman" w:hAnsi="Times New Roman" w:cs="Times New Roman"/>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45CD5817"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2,021,999.35</w:t>
                </w:r>
              </w:p>
            </w:tc>
            <w:tc>
              <w:tcPr>
                <w:tcW w:w="881" w:type="pct"/>
                <w:tcBorders>
                  <w:top w:val="single" w:sz="4" w:space="0" w:color="auto"/>
                  <w:left w:val="single" w:sz="4" w:space="0" w:color="auto"/>
                  <w:bottom w:val="single" w:sz="4" w:space="0" w:color="auto"/>
                  <w:right w:val="single" w:sz="4" w:space="0" w:color="auto"/>
                </w:tcBorders>
                <w:vAlign w:val="center"/>
              </w:tcPr>
              <w:p w14:paraId="71B94E28"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9,591,888.20</w:t>
                </w:r>
              </w:p>
            </w:tc>
            <w:tc>
              <w:tcPr>
                <w:tcW w:w="889" w:type="pct"/>
                <w:tcBorders>
                  <w:top w:val="single" w:sz="4" w:space="0" w:color="auto"/>
                  <w:left w:val="single" w:sz="4" w:space="0" w:color="auto"/>
                  <w:bottom w:val="single" w:sz="4" w:space="0" w:color="auto"/>
                  <w:right w:val="single" w:sz="4" w:space="0" w:color="auto"/>
                </w:tcBorders>
                <w:vAlign w:val="center"/>
              </w:tcPr>
              <w:p w14:paraId="6CF852A2"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9,245,992.32</w:t>
                </w:r>
              </w:p>
            </w:tc>
            <w:tc>
              <w:tcPr>
                <w:tcW w:w="895" w:type="pct"/>
                <w:tcBorders>
                  <w:top w:val="single" w:sz="4" w:space="0" w:color="auto"/>
                  <w:left w:val="single" w:sz="4" w:space="0" w:color="auto"/>
                  <w:bottom w:val="single" w:sz="4" w:space="0" w:color="auto"/>
                  <w:right w:val="single" w:sz="4" w:space="0" w:color="auto"/>
                </w:tcBorders>
                <w:vAlign w:val="center"/>
              </w:tcPr>
              <w:p w14:paraId="0D8705AB"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2,367,895.23</w:t>
                </w:r>
              </w:p>
            </w:tc>
          </w:tr>
          <w:tr w:rsidR="00D21C1F" w:rsidRPr="00EB7A55" w14:paraId="530DF965" w14:textId="77777777" w:rsidTr="00EB7A55">
            <w:sdt>
              <w:sdtPr>
                <w:rPr>
                  <w:rFonts w:ascii="Times New Roman" w:hAnsi="Times New Roman" w:cs="Times New Roman"/>
                </w:rPr>
                <w:tag w:val="_PLD_1ae6ec180f494dc4bdbe2a71caadcf9d"/>
                <w:id w:val="685181478"/>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321E475B" w14:textId="77777777" w:rsidR="00D21C1F" w:rsidRPr="00EB7A55" w:rsidRDefault="00A42880">
                    <w:pPr>
                      <w:rPr>
                        <w:rFonts w:ascii="Times New Roman" w:hAnsi="Times New Roman" w:cs="Times New Roman"/>
                        <w:color w:val="008000"/>
                        <w:szCs w:val="21"/>
                      </w:rPr>
                    </w:pPr>
                    <w:r w:rsidRPr="00EB7A55">
                      <w:rPr>
                        <w:rFonts w:ascii="Times New Roman" w:hAnsi="Times New Roman" w:cs="Times New Roman"/>
                        <w:szCs w:val="21"/>
                      </w:rPr>
                      <w:t>其中：医疗保险费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4EA44BF1"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714,253.02</w:t>
                </w:r>
              </w:p>
            </w:tc>
            <w:tc>
              <w:tcPr>
                <w:tcW w:w="881" w:type="pct"/>
                <w:tcBorders>
                  <w:top w:val="single" w:sz="4" w:space="0" w:color="auto"/>
                  <w:left w:val="single" w:sz="4" w:space="0" w:color="auto"/>
                  <w:bottom w:val="single" w:sz="4" w:space="0" w:color="auto"/>
                  <w:right w:val="single" w:sz="4" w:space="0" w:color="auto"/>
                </w:tcBorders>
                <w:vAlign w:val="center"/>
              </w:tcPr>
              <w:p w14:paraId="10024D3F"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7,930,318.83</w:t>
                </w:r>
              </w:p>
            </w:tc>
            <w:tc>
              <w:tcPr>
                <w:tcW w:w="889" w:type="pct"/>
                <w:tcBorders>
                  <w:top w:val="single" w:sz="4" w:space="0" w:color="auto"/>
                  <w:left w:val="single" w:sz="4" w:space="0" w:color="auto"/>
                  <w:bottom w:val="single" w:sz="4" w:space="0" w:color="auto"/>
                  <w:right w:val="single" w:sz="4" w:space="0" w:color="auto"/>
                </w:tcBorders>
                <w:vAlign w:val="center"/>
              </w:tcPr>
              <w:p w14:paraId="435A248E"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8,490,157.29</w:t>
                </w:r>
              </w:p>
            </w:tc>
            <w:tc>
              <w:tcPr>
                <w:tcW w:w="895" w:type="pct"/>
                <w:tcBorders>
                  <w:top w:val="single" w:sz="4" w:space="0" w:color="auto"/>
                  <w:left w:val="single" w:sz="4" w:space="0" w:color="auto"/>
                  <w:bottom w:val="single" w:sz="4" w:space="0" w:color="auto"/>
                  <w:right w:val="single" w:sz="4" w:space="0" w:color="auto"/>
                </w:tcBorders>
                <w:vAlign w:val="center"/>
              </w:tcPr>
              <w:p w14:paraId="74393E0A"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154,414.56</w:t>
                </w:r>
              </w:p>
            </w:tc>
          </w:tr>
          <w:tr w:rsidR="00D21C1F" w:rsidRPr="00EB7A55" w14:paraId="24558D74" w14:textId="77777777" w:rsidTr="00EB7A55">
            <w:sdt>
              <w:sdtPr>
                <w:rPr>
                  <w:rFonts w:ascii="Times New Roman" w:hAnsi="Times New Roman" w:cs="Times New Roman"/>
                </w:rPr>
                <w:tag w:val="_PLD_a5396281963e4191a16040ecc2da4b44"/>
                <w:id w:val="-1676414284"/>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5A2589F5" w14:textId="77777777" w:rsidR="00D21C1F" w:rsidRPr="00EB7A55" w:rsidRDefault="00A42880">
                    <w:pPr>
                      <w:ind w:firstLineChars="300" w:firstLine="630"/>
                      <w:rPr>
                        <w:rFonts w:ascii="Times New Roman" w:hAnsi="Times New Roman" w:cs="Times New Roman"/>
                        <w:szCs w:val="21"/>
                      </w:rPr>
                    </w:pPr>
                    <w:r w:rsidRPr="00EB7A55">
                      <w:rPr>
                        <w:rFonts w:ascii="Times New Roman" w:hAnsi="Times New Roman" w:cs="Times New Roman"/>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6D2A55EA"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1,307,505.00</w:t>
                </w:r>
              </w:p>
            </w:tc>
            <w:tc>
              <w:tcPr>
                <w:tcW w:w="881" w:type="pct"/>
                <w:tcBorders>
                  <w:top w:val="single" w:sz="4" w:space="0" w:color="auto"/>
                  <w:left w:val="single" w:sz="4" w:space="0" w:color="auto"/>
                  <w:bottom w:val="single" w:sz="4" w:space="0" w:color="auto"/>
                  <w:right w:val="single" w:sz="4" w:space="0" w:color="auto"/>
                </w:tcBorders>
                <w:vAlign w:val="center"/>
              </w:tcPr>
              <w:p w14:paraId="0C2EF104"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1,457,482.06</w:t>
                </w:r>
              </w:p>
            </w:tc>
            <w:tc>
              <w:tcPr>
                <w:tcW w:w="889" w:type="pct"/>
                <w:tcBorders>
                  <w:top w:val="single" w:sz="4" w:space="0" w:color="auto"/>
                  <w:left w:val="single" w:sz="4" w:space="0" w:color="auto"/>
                  <w:bottom w:val="single" w:sz="4" w:space="0" w:color="auto"/>
                  <w:right w:val="single" w:sz="4" w:space="0" w:color="auto"/>
                </w:tcBorders>
                <w:vAlign w:val="center"/>
              </w:tcPr>
              <w:p w14:paraId="7FE0D56E"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594,045.36</w:t>
                </w:r>
              </w:p>
            </w:tc>
            <w:tc>
              <w:tcPr>
                <w:tcW w:w="895" w:type="pct"/>
                <w:tcBorders>
                  <w:top w:val="single" w:sz="4" w:space="0" w:color="auto"/>
                  <w:left w:val="single" w:sz="4" w:space="0" w:color="auto"/>
                  <w:bottom w:val="single" w:sz="4" w:space="0" w:color="auto"/>
                  <w:right w:val="single" w:sz="4" w:space="0" w:color="auto"/>
                </w:tcBorders>
                <w:vAlign w:val="center"/>
              </w:tcPr>
              <w:p w14:paraId="6F68D8E4"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2,170,941.70</w:t>
                </w:r>
              </w:p>
            </w:tc>
          </w:tr>
          <w:tr w:rsidR="00D21C1F" w:rsidRPr="00EB7A55" w14:paraId="18F4B3AB" w14:textId="77777777" w:rsidTr="00EB7A55">
            <w:sdt>
              <w:sdtPr>
                <w:rPr>
                  <w:rFonts w:ascii="Times New Roman" w:hAnsi="Times New Roman" w:cs="Times New Roman"/>
                </w:rPr>
                <w:tag w:val="_PLD_804a3b1683d741ebb83bd99deed156d6"/>
                <w:id w:val="1467320429"/>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12060E7" w14:textId="77777777" w:rsidR="00D21C1F" w:rsidRPr="00EB7A55" w:rsidRDefault="00A42880">
                    <w:pPr>
                      <w:ind w:firstLineChars="300" w:firstLine="630"/>
                      <w:rPr>
                        <w:rFonts w:ascii="Times New Roman" w:hAnsi="Times New Roman" w:cs="Times New Roman"/>
                        <w:szCs w:val="21"/>
                      </w:rPr>
                    </w:pPr>
                    <w:r w:rsidRPr="00EB7A55">
                      <w:rPr>
                        <w:rFonts w:ascii="Times New Roman" w:hAnsi="Times New Roman" w:cs="Times New Roman"/>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52323584"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241.33</w:t>
                </w:r>
              </w:p>
            </w:tc>
            <w:tc>
              <w:tcPr>
                <w:tcW w:w="881" w:type="pct"/>
                <w:tcBorders>
                  <w:top w:val="single" w:sz="4" w:space="0" w:color="auto"/>
                  <w:left w:val="single" w:sz="4" w:space="0" w:color="auto"/>
                  <w:bottom w:val="single" w:sz="4" w:space="0" w:color="auto"/>
                  <w:right w:val="single" w:sz="4" w:space="0" w:color="auto"/>
                </w:tcBorders>
                <w:vAlign w:val="center"/>
              </w:tcPr>
              <w:p w14:paraId="6B3BDA40"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204,087.31</w:t>
                </w:r>
              </w:p>
            </w:tc>
            <w:tc>
              <w:tcPr>
                <w:tcW w:w="889" w:type="pct"/>
                <w:tcBorders>
                  <w:top w:val="single" w:sz="4" w:space="0" w:color="auto"/>
                  <w:left w:val="single" w:sz="4" w:space="0" w:color="auto"/>
                  <w:bottom w:val="single" w:sz="4" w:space="0" w:color="auto"/>
                  <w:right w:val="single" w:sz="4" w:space="0" w:color="auto"/>
                </w:tcBorders>
                <w:vAlign w:val="center"/>
              </w:tcPr>
              <w:p w14:paraId="7230B19F"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161,789.67</w:t>
                </w:r>
              </w:p>
            </w:tc>
            <w:tc>
              <w:tcPr>
                <w:tcW w:w="895" w:type="pct"/>
                <w:tcBorders>
                  <w:top w:val="single" w:sz="4" w:space="0" w:color="auto"/>
                  <w:left w:val="single" w:sz="4" w:space="0" w:color="auto"/>
                  <w:bottom w:val="single" w:sz="4" w:space="0" w:color="auto"/>
                  <w:right w:val="single" w:sz="4" w:space="0" w:color="auto"/>
                </w:tcBorders>
                <w:vAlign w:val="center"/>
              </w:tcPr>
              <w:p w14:paraId="511B2203"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42,538.97</w:t>
                </w:r>
              </w:p>
            </w:tc>
          </w:tr>
          <w:tr w:rsidR="00D21C1F" w:rsidRPr="00EB7A55" w14:paraId="725909FC" w14:textId="77777777" w:rsidTr="00EB7A55">
            <w:sdt>
              <w:sdtPr>
                <w:rPr>
                  <w:rFonts w:ascii="Times New Roman" w:hAnsi="Times New Roman" w:cs="Times New Roman"/>
                </w:rPr>
                <w:tag w:val="_PLD_7cd8935ff2544a81820fdc14f7afe2b7"/>
                <w:id w:val="215933638"/>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7E9D7425" w14:textId="77777777" w:rsidR="00D21C1F" w:rsidRPr="00EB7A55" w:rsidRDefault="00A42880">
                    <w:pPr>
                      <w:autoSpaceDE w:val="0"/>
                      <w:autoSpaceDN w:val="0"/>
                      <w:adjustRightInd w:val="0"/>
                      <w:rPr>
                        <w:rFonts w:ascii="Times New Roman" w:hAnsi="Times New Roman" w:cs="Times New Roman"/>
                        <w:szCs w:val="21"/>
                      </w:rPr>
                    </w:pPr>
                    <w:r w:rsidRPr="00EB7A55">
                      <w:rPr>
                        <w:rFonts w:ascii="Times New Roman" w:hAnsi="Times New Roman" w:cs="Times New Roman"/>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797DA527"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27,751.07</w:t>
                </w:r>
              </w:p>
            </w:tc>
            <w:tc>
              <w:tcPr>
                <w:tcW w:w="881" w:type="pct"/>
                <w:tcBorders>
                  <w:top w:val="single" w:sz="4" w:space="0" w:color="auto"/>
                  <w:left w:val="single" w:sz="4" w:space="0" w:color="auto"/>
                  <w:bottom w:val="single" w:sz="4" w:space="0" w:color="auto"/>
                  <w:right w:val="single" w:sz="4" w:space="0" w:color="auto"/>
                </w:tcBorders>
                <w:vAlign w:val="center"/>
              </w:tcPr>
              <w:p w14:paraId="6435B0CB"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2,814,950.33</w:t>
                </w:r>
              </w:p>
            </w:tc>
            <w:tc>
              <w:tcPr>
                <w:tcW w:w="889" w:type="pct"/>
                <w:tcBorders>
                  <w:top w:val="single" w:sz="4" w:space="0" w:color="auto"/>
                  <w:left w:val="single" w:sz="4" w:space="0" w:color="auto"/>
                  <w:bottom w:val="single" w:sz="4" w:space="0" w:color="auto"/>
                  <w:right w:val="single" w:sz="4" w:space="0" w:color="auto"/>
                </w:tcBorders>
                <w:vAlign w:val="center"/>
              </w:tcPr>
              <w:p w14:paraId="7ACC3DAD"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2,832,558.53</w:t>
                </w:r>
              </w:p>
            </w:tc>
            <w:tc>
              <w:tcPr>
                <w:tcW w:w="895" w:type="pct"/>
                <w:tcBorders>
                  <w:top w:val="single" w:sz="4" w:space="0" w:color="auto"/>
                  <w:left w:val="single" w:sz="4" w:space="0" w:color="auto"/>
                  <w:bottom w:val="single" w:sz="4" w:space="0" w:color="auto"/>
                  <w:right w:val="single" w:sz="4" w:space="0" w:color="auto"/>
                </w:tcBorders>
                <w:vAlign w:val="center"/>
              </w:tcPr>
              <w:p w14:paraId="0866FF33"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10,142.87</w:t>
                </w:r>
              </w:p>
            </w:tc>
          </w:tr>
          <w:tr w:rsidR="00D21C1F" w:rsidRPr="00EB7A55" w14:paraId="0B7128FA" w14:textId="77777777" w:rsidTr="00EB7A55">
            <w:sdt>
              <w:sdtPr>
                <w:rPr>
                  <w:rFonts w:ascii="Times New Roman" w:hAnsi="Times New Roman" w:cs="Times New Roman"/>
                </w:rPr>
                <w:tag w:val="_PLD_9a4d3040fb464e23a007dcea5588dfc0"/>
                <w:id w:val="800199675"/>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5CE10D2B" w14:textId="77777777" w:rsidR="00D21C1F" w:rsidRPr="00EB7A55" w:rsidRDefault="00A42880">
                    <w:pPr>
                      <w:autoSpaceDE w:val="0"/>
                      <w:autoSpaceDN w:val="0"/>
                      <w:adjustRightInd w:val="0"/>
                      <w:rPr>
                        <w:rFonts w:ascii="Times New Roman" w:hAnsi="Times New Roman" w:cs="Times New Roman"/>
                        <w:szCs w:val="21"/>
                      </w:rPr>
                    </w:pPr>
                    <w:r w:rsidRPr="00EB7A55">
                      <w:rPr>
                        <w:rFonts w:ascii="Times New Roman" w:hAnsi="Times New Roman" w:cs="Times New Roman"/>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40C317F1"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685,994.78</w:t>
                </w:r>
              </w:p>
            </w:tc>
            <w:tc>
              <w:tcPr>
                <w:tcW w:w="881" w:type="pct"/>
                <w:tcBorders>
                  <w:top w:val="single" w:sz="4" w:space="0" w:color="auto"/>
                  <w:left w:val="single" w:sz="4" w:space="0" w:color="auto"/>
                  <w:bottom w:val="single" w:sz="4" w:space="0" w:color="auto"/>
                  <w:right w:val="single" w:sz="4" w:space="0" w:color="auto"/>
                </w:tcBorders>
                <w:vAlign w:val="center"/>
              </w:tcPr>
              <w:p w14:paraId="177A52EB"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970,257.56</w:t>
                </w:r>
              </w:p>
            </w:tc>
            <w:tc>
              <w:tcPr>
                <w:tcW w:w="889" w:type="pct"/>
                <w:tcBorders>
                  <w:top w:val="single" w:sz="4" w:space="0" w:color="auto"/>
                  <w:left w:val="single" w:sz="4" w:space="0" w:color="auto"/>
                  <w:bottom w:val="single" w:sz="4" w:space="0" w:color="auto"/>
                  <w:right w:val="single" w:sz="4" w:space="0" w:color="auto"/>
                </w:tcBorders>
                <w:vAlign w:val="center"/>
              </w:tcPr>
              <w:p w14:paraId="4ACBB718"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93,126.27</w:t>
                </w:r>
              </w:p>
            </w:tc>
            <w:tc>
              <w:tcPr>
                <w:tcW w:w="895" w:type="pct"/>
                <w:tcBorders>
                  <w:top w:val="single" w:sz="4" w:space="0" w:color="auto"/>
                  <w:left w:val="single" w:sz="4" w:space="0" w:color="auto"/>
                  <w:bottom w:val="single" w:sz="4" w:space="0" w:color="auto"/>
                  <w:right w:val="single" w:sz="4" w:space="0" w:color="auto"/>
                </w:tcBorders>
                <w:vAlign w:val="center"/>
              </w:tcPr>
              <w:p w14:paraId="043BF6A1"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1,563,126.07</w:t>
                </w:r>
              </w:p>
            </w:tc>
          </w:tr>
          <w:tr w:rsidR="00D21C1F" w:rsidRPr="00EB7A55" w14:paraId="5A1286D5" w14:textId="77777777" w:rsidTr="00EB7A55">
            <w:sdt>
              <w:sdtPr>
                <w:rPr>
                  <w:rFonts w:ascii="Times New Roman" w:hAnsi="Times New Roman" w:cs="Times New Roman"/>
                </w:rPr>
                <w:tag w:val="_PLD_bc842d3a1ac64d43805380b3757b59de"/>
                <w:id w:val="-782102384"/>
                <w:lock w:val="sdtLocked"/>
              </w:sdtPr>
              <w:sdtEndPr/>
              <w:sdtContent>
                <w:tc>
                  <w:tcPr>
                    <w:tcW w:w="1444" w:type="pct"/>
                    <w:tcBorders>
                      <w:top w:val="single" w:sz="4" w:space="0" w:color="auto"/>
                      <w:left w:val="single" w:sz="4" w:space="0" w:color="auto"/>
                      <w:bottom w:val="single" w:sz="4" w:space="0" w:color="auto"/>
                      <w:right w:val="single" w:sz="4" w:space="0" w:color="auto"/>
                    </w:tcBorders>
                  </w:tcPr>
                  <w:p w14:paraId="0F3DB1ED" w14:textId="77777777" w:rsidR="00D21C1F" w:rsidRPr="00EB7A55" w:rsidRDefault="00A42880">
                    <w:pPr>
                      <w:autoSpaceDE w:val="0"/>
                      <w:autoSpaceDN w:val="0"/>
                      <w:adjustRightInd w:val="0"/>
                      <w:rPr>
                        <w:rFonts w:ascii="Times New Roman" w:hAnsi="Times New Roman" w:cs="Times New Roman"/>
                        <w:szCs w:val="21"/>
                      </w:rPr>
                    </w:pPr>
                    <w:r w:rsidRPr="00EB7A55">
                      <w:rPr>
                        <w:rFonts w:ascii="Times New Roman" w:hAnsi="Times New Roman" w:cs="Times New Roman"/>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4CDF7FED"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3,018,748.84</w:t>
                </w:r>
              </w:p>
            </w:tc>
            <w:tc>
              <w:tcPr>
                <w:tcW w:w="881" w:type="pct"/>
                <w:tcBorders>
                  <w:top w:val="single" w:sz="4" w:space="0" w:color="auto"/>
                  <w:left w:val="single" w:sz="4" w:space="0" w:color="auto"/>
                  <w:bottom w:val="single" w:sz="4" w:space="0" w:color="auto"/>
                  <w:right w:val="single" w:sz="4" w:space="0" w:color="auto"/>
                </w:tcBorders>
                <w:vAlign w:val="center"/>
              </w:tcPr>
              <w:p w14:paraId="353B9518"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291,271.00</w:t>
                </w:r>
              </w:p>
            </w:tc>
            <w:tc>
              <w:tcPr>
                <w:tcW w:w="889" w:type="pct"/>
                <w:tcBorders>
                  <w:top w:val="single" w:sz="4" w:space="0" w:color="auto"/>
                  <w:left w:val="single" w:sz="4" w:space="0" w:color="auto"/>
                  <w:bottom w:val="single" w:sz="4" w:space="0" w:color="auto"/>
                  <w:right w:val="single" w:sz="4" w:space="0" w:color="auto"/>
                </w:tcBorders>
                <w:vAlign w:val="center"/>
              </w:tcPr>
              <w:p w14:paraId="49D38612"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299,764.04</w:t>
                </w:r>
              </w:p>
            </w:tc>
            <w:tc>
              <w:tcPr>
                <w:tcW w:w="895" w:type="pct"/>
                <w:tcBorders>
                  <w:top w:val="single" w:sz="4" w:space="0" w:color="auto"/>
                  <w:left w:val="single" w:sz="4" w:space="0" w:color="auto"/>
                  <w:bottom w:val="single" w:sz="4" w:space="0" w:color="auto"/>
                  <w:right w:val="single" w:sz="4" w:space="0" w:color="auto"/>
                </w:tcBorders>
                <w:vAlign w:val="center"/>
              </w:tcPr>
              <w:p w14:paraId="52CB3DE6"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3,010,255.80</w:t>
                </w:r>
              </w:p>
            </w:tc>
          </w:tr>
          <w:tr w:rsidR="00D21C1F" w:rsidRPr="00EB7A55" w14:paraId="398D7988" w14:textId="77777777" w:rsidTr="00EB7A55">
            <w:sdt>
              <w:sdtPr>
                <w:rPr>
                  <w:rFonts w:ascii="Times New Roman" w:hAnsi="Times New Roman" w:cs="Times New Roman"/>
                </w:rPr>
                <w:tag w:val="_PLD_9abbed23473c4b4bb51ec9b7d667e31c"/>
                <w:id w:val="2091496380"/>
                <w:lock w:val="sdtLocked"/>
              </w:sdtPr>
              <w:sdtEndPr/>
              <w:sdtContent>
                <w:tc>
                  <w:tcPr>
                    <w:tcW w:w="1444" w:type="pct"/>
                    <w:tcBorders>
                      <w:top w:val="single" w:sz="4" w:space="0" w:color="auto"/>
                      <w:left w:val="single" w:sz="4" w:space="0" w:color="auto"/>
                      <w:bottom w:val="single" w:sz="4" w:space="0" w:color="auto"/>
                      <w:right w:val="single" w:sz="4" w:space="0" w:color="auto"/>
                    </w:tcBorders>
                    <w:vAlign w:val="center"/>
                  </w:tcPr>
                  <w:p w14:paraId="13CB70E6" w14:textId="77777777" w:rsidR="00D21C1F" w:rsidRPr="00EB7A55" w:rsidRDefault="00A42880">
                    <w:pPr>
                      <w:autoSpaceDE w:val="0"/>
                      <w:autoSpaceDN w:val="0"/>
                      <w:adjustRightInd w:val="0"/>
                      <w:jc w:val="center"/>
                      <w:rPr>
                        <w:rFonts w:ascii="Times New Roman" w:hAnsi="Times New Roman" w:cs="Times New Roman"/>
                        <w:szCs w:val="21"/>
                      </w:rPr>
                    </w:pPr>
                    <w:r w:rsidRPr="00EB7A55">
                      <w:rPr>
                        <w:rFonts w:ascii="Times New Roman" w:hAnsi="Times New Roman" w:cs="Times New Roman"/>
                        <w:szCs w:val="21"/>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14:paraId="7EB6E105"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47,638,525.83</w:t>
                </w:r>
              </w:p>
            </w:tc>
            <w:tc>
              <w:tcPr>
                <w:tcW w:w="881" w:type="pct"/>
                <w:tcBorders>
                  <w:top w:val="single" w:sz="4" w:space="0" w:color="auto"/>
                  <w:left w:val="single" w:sz="4" w:space="0" w:color="auto"/>
                  <w:bottom w:val="single" w:sz="4" w:space="0" w:color="auto"/>
                  <w:right w:val="single" w:sz="4" w:space="0" w:color="auto"/>
                </w:tcBorders>
                <w:vAlign w:val="center"/>
              </w:tcPr>
              <w:p w14:paraId="48E3893B"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157,291,212.81</w:t>
                </w:r>
              </w:p>
            </w:tc>
            <w:tc>
              <w:tcPr>
                <w:tcW w:w="889" w:type="pct"/>
                <w:tcBorders>
                  <w:top w:val="single" w:sz="4" w:space="0" w:color="auto"/>
                  <w:left w:val="single" w:sz="4" w:space="0" w:color="auto"/>
                  <w:bottom w:val="single" w:sz="4" w:space="0" w:color="auto"/>
                  <w:right w:val="single" w:sz="4" w:space="0" w:color="auto"/>
                </w:tcBorders>
                <w:vAlign w:val="center"/>
              </w:tcPr>
              <w:p w14:paraId="5C14858E"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154,135,889.83</w:t>
                </w:r>
              </w:p>
            </w:tc>
            <w:tc>
              <w:tcPr>
                <w:tcW w:w="895" w:type="pct"/>
                <w:tcBorders>
                  <w:top w:val="single" w:sz="4" w:space="0" w:color="auto"/>
                  <w:left w:val="single" w:sz="4" w:space="0" w:color="auto"/>
                  <w:bottom w:val="single" w:sz="4" w:space="0" w:color="auto"/>
                  <w:right w:val="single" w:sz="4" w:space="0" w:color="auto"/>
                </w:tcBorders>
                <w:vAlign w:val="center"/>
              </w:tcPr>
              <w:p w14:paraId="1A5492B9"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50,793,848.81</w:t>
                </w:r>
              </w:p>
            </w:tc>
          </w:tr>
        </w:tbl>
        <w:p w14:paraId="037C2456" w14:textId="77777777" w:rsidR="00D21C1F" w:rsidRDefault="00045EC6">
          <w:pPr>
            <w:rPr>
              <w:color w:val="000000" w:themeColor="text1"/>
              <w:szCs w:val="21"/>
            </w:rPr>
          </w:pPr>
        </w:p>
      </w:sdtContent>
    </w:sdt>
    <w:sdt>
      <w:sdtPr>
        <w:rPr>
          <w:rFonts w:ascii="宋体" w:eastAsia="宋体" w:hAnsi="宋体" w:cs="宋体" w:hint="eastAsia"/>
          <w:b w:val="0"/>
          <w:bCs w:val="0"/>
          <w:kern w:val="0"/>
          <w:szCs w:val="21"/>
        </w:rPr>
        <w:alias w:val="模块:设定提存计划列示"/>
        <w:tag w:val="_GBC_b98ebc9fce454755bd30d763bee0283a"/>
        <w:id w:val="-686986707"/>
        <w:lock w:val="sdtLocked"/>
        <w:placeholder>
          <w:docPart w:val="GBC22222222222222222222222222222"/>
        </w:placeholder>
      </w:sdtPr>
      <w:sdtEndPr/>
      <w:sdtContent>
        <w:p w14:paraId="4C8AA71F" w14:textId="77777777" w:rsidR="00D21C1F" w:rsidRDefault="00A42880">
          <w:pPr>
            <w:pStyle w:val="93"/>
            <w:numPr>
              <w:ilvl w:val="0"/>
              <w:numId w:val="117"/>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712780420"/>
            <w:lock w:val="sdtLocked"/>
            <w:placeholder>
              <w:docPart w:val="GBC22222222222222222222222222222"/>
            </w:placeholder>
          </w:sdtPr>
          <w:sdtEndPr/>
          <w:sdtContent>
            <w:p w14:paraId="7E3A2CB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D29498" w14:textId="77777777" w:rsidR="00D21C1F" w:rsidRDefault="00A42880">
          <w:pPr>
            <w:jc w:val="right"/>
          </w:pPr>
          <w:r>
            <w:rPr>
              <w:rFonts w:hint="eastAsia"/>
            </w:rPr>
            <w:t>单位：</w:t>
          </w:r>
          <w:sdt>
            <w:sdtPr>
              <w:rPr>
                <w:rFonts w:hint="eastAsia"/>
              </w:rPr>
              <w:alias w:val="单位：财务附注：设定提存计划列示"/>
              <w:tag w:val="_GBC_744d8f829e6040c78616ef1951ef7e59"/>
              <w:id w:val="17821502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设定提存计划列示"/>
              <w:tag w:val="_GBC_433e4a4ae9d648a2973673cbec959f23"/>
              <w:id w:val="50294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582"/>
            <w:gridCol w:w="1568"/>
            <w:gridCol w:w="1596"/>
            <w:gridCol w:w="1552"/>
          </w:tblGrid>
          <w:tr w:rsidR="00D21C1F" w14:paraId="6A3E8EC0" w14:textId="77777777">
            <w:sdt>
              <w:sdtPr>
                <w:tag w:val="_PLD_f8a9011ca6bd4cc895a50279da6547e9"/>
                <w:id w:val="560446997"/>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619B4789" w14:textId="77777777" w:rsidR="00D21C1F" w:rsidRDefault="00A42880">
                    <w:pPr>
                      <w:jc w:val="center"/>
                    </w:pPr>
                    <w:r>
                      <w:rPr>
                        <w:rFonts w:hint="eastAsia"/>
                      </w:rPr>
                      <w:t>项目</w:t>
                    </w:r>
                  </w:p>
                </w:tc>
              </w:sdtContent>
            </w:sdt>
            <w:sdt>
              <w:sdtPr>
                <w:tag w:val="_PLD_db9ecea0e08e4c1bb5fe2474183a8480"/>
                <w:id w:val="-1640106699"/>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1D143514" w14:textId="77777777" w:rsidR="00D21C1F" w:rsidRDefault="00A42880">
                    <w:pPr>
                      <w:jc w:val="center"/>
                    </w:pPr>
                    <w:r>
                      <w:rPr>
                        <w:rFonts w:hint="eastAsia"/>
                      </w:rPr>
                      <w:t>期初余额</w:t>
                    </w:r>
                  </w:p>
                </w:tc>
              </w:sdtContent>
            </w:sdt>
            <w:sdt>
              <w:sdtPr>
                <w:tag w:val="_PLD_11b6b53867b44c92b19ef791cad0c8c4"/>
                <w:id w:val="1916658036"/>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2B44FFBB" w14:textId="77777777" w:rsidR="00D21C1F" w:rsidRDefault="00A42880">
                    <w:pPr>
                      <w:jc w:val="center"/>
                    </w:pPr>
                    <w:r>
                      <w:rPr>
                        <w:rFonts w:hint="eastAsia"/>
                      </w:rPr>
                      <w:t>本期增加</w:t>
                    </w:r>
                  </w:p>
                </w:tc>
              </w:sdtContent>
            </w:sdt>
            <w:sdt>
              <w:sdtPr>
                <w:tag w:val="_PLD_c2cbd009dd4248ceb9040da5fc326084"/>
                <w:id w:val="-1778480180"/>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11137D02" w14:textId="77777777" w:rsidR="00D21C1F" w:rsidRDefault="00A42880">
                    <w:pPr>
                      <w:jc w:val="center"/>
                    </w:pPr>
                    <w:r>
                      <w:rPr>
                        <w:rFonts w:hint="eastAsia"/>
                      </w:rPr>
                      <w:t>本期减少</w:t>
                    </w:r>
                  </w:p>
                </w:tc>
              </w:sdtContent>
            </w:sdt>
            <w:sdt>
              <w:sdtPr>
                <w:tag w:val="_PLD_0ded00fbf217420ebfe8ace86c12086d"/>
                <w:id w:val="1670900591"/>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33AF6190" w14:textId="77777777" w:rsidR="00D21C1F" w:rsidRDefault="00A42880">
                    <w:pPr>
                      <w:jc w:val="center"/>
                    </w:pPr>
                    <w:r>
                      <w:rPr>
                        <w:rFonts w:hint="eastAsia"/>
                      </w:rPr>
                      <w:t>期末余额</w:t>
                    </w:r>
                  </w:p>
                </w:tc>
              </w:sdtContent>
            </w:sdt>
          </w:tr>
          <w:tr w:rsidR="00D21C1F" w14:paraId="452494EC" w14:textId="77777777" w:rsidTr="00EB7A55">
            <w:sdt>
              <w:sdtPr>
                <w:tag w:val="_PLD_b93c5842361145079010296748b2acbc"/>
                <w:id w:val="2084099880"/>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14:paraId="7CF759DA" w14:textId="77777777" w:rsidR="00D21C1F" w:rsidRDefault="00A42880">
                    <w:pPr>
                      <w:pStyle w:val="97"/>
                    </w:pPr>
                    <w:r>
                      <w:rPr>
                        <w:rFonts w:ascii="Times New Roman" w:hAnsi="Times New Roman" w:hint="eastAsia"/>
                      </w:rPr>
                      <w:t>1</w:t>
                    </w:r>
                    <w:r>
                      <w:rPr>
                        <w:rFonts w:hint="eastAsia"/>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383EF4EF"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18,415,377.89</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62474EA9"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19,484,322.24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4A1A16E"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20,577,304.45</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7BAD25A"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17,322,395.68</w:t>
                </w:r>
              </w:p>
            </w:tc>
          </w:tr>
          <w:tr w:rsidR="00D21C1F" w14:paraId="3C72ADC2" w14:textId="77777777" w:rsidTr="00EB7A55">
            <w:sdt>
              <w:sdtPr>
                <w:tag w:val="_PLD_909a72476f78427892237821bb7d583f"/>
                <w:id w:val="-2134785287"/>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14:paraId="2771ED7D" w14:textId="77777777" w:rsidR="00D21C1F" w:rsidRDefault="00A42880">
                    <w:pPr>
                      <w:pStyle w:val="97"/>
                    </w:pPr>
                    <w:r>
                      <w:rPr>
                        <w:rFonts w:ascii="Times New Roman" w:hAnsi="Times New Roman" w:hint="eastAsia"/>
                      </w:rPr>
                      <w:t>2</w:t>
                    </w:r>
                    <w:r>
                      <w:rPr>
                        <w:rFonts w:hint="eastAsia"/>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58B0A063"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131,052.59</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0B05D6DA"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321,599.86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7A101759"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339,646.97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65CAD56"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113,005.48</w:t>
                </w:r>
              </w:p>
            </w:tc>
          </w:tr>
          <w:tr w:rsidR="00D21C1F" w14:paraId="4F7AF11B" w14:textId="77777777" w:rsidTr="00EB7A55">
            <w:sdt>
              <w:sdtPr>
                <w:tag w:val="_PLD_f2bb08099d4d4b2a96054f71c4e23a24"/>
                <w:id w:val="1046790632"/>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tcPr>
                  <w:p w14:paraId="1680CC70" w14:textId="77777777" w:rsidR="00D21C1F" w:rsidRDefault="00A42880">
                    <w:pPr>
                      <w:pStyle w:val="97"/>
                    </w:pPr>
                    <w:r>
                      <w:rPr>
                        <w:rFonts w:ascii="Times New Roman" w:hAnsi="Times New Roman" w:hint="eastAsia"/>
                      </w:rPr>
                      <w:t>3</w:t>
                    </w:r>
                    <w:r>
                      <w:rPr>
                        <w:rFonts w:hint="eastAsia"/>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662F99CF" w14:textId="77777777" w:rsidR="00D21C1F" w:rsidRPr="00EB7A55" w:rsidRDefault="00D21C1F" w:rsidP="00EB7A55">
                <w:pPr>
                  <w:jc w:val="right"/>
                  <w:rPr>
                    <w:rFonts w:ascii="Times New Roman" w:hAnsi="Times New Roman" w:cs="Times New Roman"/>
                    <w:sz w:val="19"/>
                    <w:szCs w:val="19"/>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B2C9216" w14:textId="77777777" w:rsidR="00D21C1F" w:rsidRPr="00EB7A55" w:rsidRDefault="00D21C1F" w:rsidP="00EB7A55">
                <w:pPr>
                  <w:jc w:val="right"/>
                  <w:rPr>
                    <w:rFonts w:ascii="Times New Roman" w:hAnsi="Times New Roman" w:cs="Times New Roman"/>
                    <w:sz w:val="19"/>
                    <w:szCs w:val="19"/>
                  </w:rPr>
                </w:pP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7ED2173" w14:textId="77777777" w:rsidR="00D21C1F" w:rsidRPr="00EB7A55" w:rsidRDefault="00D21C1F" w:rsidP="00EB7A55">
                <w:pPr>
                  <w:jc w:val="right"/>
                  <w:rPr>
                    <w:rFonts w:ascii="Times New Roman" w:hAnsi="Times New Roman" w:cs="Times New Roman"/>
                    <w:sz w:val="19"/>
                    <w:szCs w:val="19"/>
                  </w:rPr>
                </w:pP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F28E8E2" w14:textId="77777777" w:rsidR="00D21C1F" w:rsidRPr="00EB7A55" w:rsidRDefault="00D21C1F" w:rsidP="00EB7A55">
                <w:pPr>
                  <w:jc w:val="right"/>
                  <w:rPr>
                    <w:rFonts w:ascii="Times New Roman" w:hAnsi="Times New Roman" w:cs="Times New Roman"/>
                    <w:sz w:val="19"/>
                    <w:szCs w:val="19"/>
                  </w:rPr>
                </w:pPr>
              </w:p>
            </w:tc>
          </w:tr>
          <w:tr w:rsidR="00D21C1F" w14:paraId="0D7F0C22" w14:textId="77777777" w:rsidTr="00EB7A55">
            <w:sdt>
              <w:sdtPr>
                <w:tag w:val="_PLD_258ec0cea28b41718457ba73ff6955af"/>
                <w:id w:val="1209231291"/>
                <w:lock w:val="sdtLocked"/>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3A806BD4" w14:textId="77777777" w:rsidR="00D21C1F" w:rsidRDefault="00A42880">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6BB587BE"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18,546,430.48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E257B29"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19,805,922.10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EF2A68A"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20,916,951.42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DEBE362" w14:textId="77777777" w:rsidR="00D21C1F" w:rsidRPr="00EB7A55" w:rsidRDefault="00A42880" w:rsidP="00EB7A55">
                <w:pPr>
                  <w:jc w:val="right"/>
                  <w:rPr>
                    <w:rFonts w:ascii="Times New Roman" w:hAnsi="Times New Roman" w:cs="Times New Roman"/>
                    <w:sz w:val="19"/>
                    <w:szCs w:val="19"/>
                  </w:rPr>
                </w:pPr>
                <w:r w:rsidRPr="00EB7A55">
                  <w:rPr>
                    <w:rFonts w:ascii="Times New Roman" w:hAnsi="Times New Roman" w:cs="Times New Roman"/>
                    <w:sz w:val="19"/>
                    <w:szCs w:val="19"/>
                  </w:rPr>
                  <w:t>17,435,401.16</w:t>
                </w:r>
              </w:p>
            </w:tc>
          </w:tr>
        </w:tbl>
        <w:p w14:paraId="5E012C9F" w14:textId="77777777" w:rsidR="00D21C1F" w:rsidRDefault="00045EC6">
          <w:pPr>
            <w:autoSpaceDE w:val="0"/>
            <w:autoSpaceDN w:val="0"/>
            <w:adjustRightInd w:val="0"/>
            <w:rPr>
              <w:szCs w:val="21"/>
            </w:rPr>
          </w:pPr>
        </w:p>
      </w:sdtContent>
    </w:sdt>
    <w:sdt>
      <w:sdtPr>
        <w:rPr>
          <w:rFonts w:hint="eastAsia"/>
          <w:szCs w:val="21"/>
        </w:rPr>
        <w:alias w:val="模块:应付职工薪酬说明"/>
        <w:tag w:val="_GBC_9173eff793e04226ba65f69088a27313"/>
        <w:id w:val="464317839"/>
        <w:lock w:val="sdtLocked"/>
        <w:placeholder>
          <w:docPart w:val="GBC22222222222222222222222222222"/>
        </w:placeholder>
      </w:sdtPr>
      <w:sdtEndPr/>
      <w:sdtContent>
        <w:p w14:paraId="6E19B968" w14:textId="77777777" w:rsidR="00D21C1F" w:rsidRDefault="00A42880">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1782717654"/>
            <w:lock w:val="sdtLocked"/>
            <w:placeholder>
              <w:docPart w:val="GBC22222222222222222222222222222"/>
            </w:placeholder>
          </w:sdtPr>
          <w:sdtEndPr/>
          <w:sdtContent>
            <w:p w14:paraId="6BEACF54" w14:textId="77777777" w:rsidR="00D21C1F" w:rsidRDefault="00A42880">
              <w:pPr>
                <w:autoSpaceDE w:val="0"/>
                <w:autoSpaceDN w:val="0"/>
                <w:adjustRightIn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A20AFCB" w14:textId="77777777" w:rsidR="00D21C1F" w:rsidRDefault="00D21C1F">
      <w:pPr>
        <w:autoSpaceDE w:val="0"/>
        <w:autoSpaceDN w:val="0"/>
        <w:adjustRightInd w:val="0"/>
        <w:rPr>
          <w:szCs w:val="21"/>
        </w:rPr>
      </w:pPr>
    </w:p>
    <w:sdt>
      <w:sdtPr>
        <w:rPr>
          <w:rFonts w:ascii="Times New Roman" w:eastAsia="宋体" w:hAnsi="Times New Roman" w:cs="宋体"/>
          <w:b w:val="0"/>
          <w:bCs w:val="0"/>
          <w:kern w:val="0"/>
          <w:szCs w:val="21"/>
        </w:rPr>
        <w:alias w:val="模块:应交税费"/>
        <w:tag w:val="_GBC_50fc9ef51868432e98c401f69097dfc6"/>
        <w:id w:val="-85916540"/>
        <w:lock w:val="sdtLocked"/>
        <w:placeholder>
          <w:docPart w:val="GBC22222222222222222222222222222"/>
        </w:placeholder>
      </w:sdtPr>
      <w:sdtEndPr>
        <w:rPr>
          <w:color w:val="000000" w:themeColor="text1"/>
          <w:kern w:val="2"/>
        </w:rPr>
      </w:sdtEndPr>
      <w:sdtContent>
        <w:p w14:paraId="4304D656" w14:textId="77777777" w:rsidR="00D21C1F" w:rsidRPr="007E67C2" w:rsidRDefault="00A42880">
          <w:pPr>
            <w:pStyle w:val="94"/>
            <w:numPr>
              <w:ilvl w:val="0"/>
              <w:numId w:val="95"/>
            </w:numPr>
            <w:tabs>
              <w:tab w:val="left" w:pos="504"/>
            </w:tabs>
            <w:rPr>
              <w:rFonts w:ascii="Times New Roman" w:hAnsi="Times New Roman"/>
              <w:szCs w:val="21"/>
            </w:rPr>
          </w:pPr>
          <w:r w:rsidRPr="007E67C2">
            <w:rPr>
              <w:rFonts w:ascii="Times New Roman" w:hAnsi="Times New Roman"/>
              <w:szCs w:val="21"/>
            </w:rPr>
            <w:t>应交税费</w:t>
          </w:r>
        </w:p>
        <w:sdt>
          <w:sdtPr>
            <w:rPr>
              <w:rFonts w:ascii="Times New Roman" w:hAnsi="Times New Roman" w:cs="Times New Roman"/>
            </w:rPr>
            <w:alias w:val="是否适用：应交税费[双击切换]"/>
            <w:tag w:val="_GBC_e7e2664720b9408384c5d3cd6d97c132"/>
            <w:id w:val="-29116235"/>
            <w:lock w:val="sdtLocked"/>
            <w:placeholder>
              <w:docPart w:val="GBC22222222222222222222222222222"/>
            </w:placeholder>
          </w:sdtPr>
          <w:sdtEndPr/>
          <w:sdtContent>
            <w:p w14:paraId="2B9F880C"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不适用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p>
          </w:sdtContent>
        </w:sdt>
        <w:p w14:paraId="2232EFEE"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单位：</w:t>
          </w:r>
          <w:sdt>
            <w:sdtPr>
              <w:rPr>
                <w:rFonts w:ascii="Times New Roman" w:hAnsi="Times New Roman" w:cs="Times New Roman"/>
                <w:szCs w:val="21"/>
              </w:rPr>
              <w:alias w:val="单位：财务附注：应交税费"/>
              <w:tag w:val="_GBC_a6162c9f021640929018406be611b834"/>
              <w:id w:val="1702201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67C2">
                <w:rPr>
                  <w:rFonts w:ascii="Times New Roman" w:hAnsi="Times New Roman" w:cs="Times New Roman"/>
                  <w:szCs w:val="21"/>
                </w:rPr>
                <w:t>元</w:t>
              </w:r>
            </w:sdtContent>
          </w:sdt>
          <w:r w:rsidRPr="007E67C2">
            <w:rPr>
              <w:rFonts w:ascii="Times New Roman" w:hAnsi="Times New Roman" w:cs="Times New Roman"/>
              <w:szCs w:val="21"/>
            </w:rPr>
            <w:t>币种：</w:t>
          </w:r>
          <w:sdt>
            <w:sdtPr>
              <w:rPr>
                <w:rFonts w:ascii="Times New Roman" w:hAnsi="Times New Roman" w:cs="Times New Roman"/>
                <w:szCs w:val="21"/>
              </w:rPr>
              <w:alias w:val="币种：财务附注：应交税费"/>
              <w:tag w:val="_GBC_d787fa1c70604797889c69c4c364e711"/>
              <w:id w:val="-877314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56"/>
            <w:gridCol w:w="2931"/>
            <w:gridCol w:w="2936"/>
          </w:tblGrid>
          <w:tr w:rsidR="00D21C1F" w:rsidRPr="007E67C2" w14:paraId="48C58A43" w14:textId="77777777">
            <w:trPr>
              <w:cantSplit/>
            </w:trPr>
            <w:sdt>
              <w:sdtPr>
                <w:rPr>
                  <w:rFonts w:ascii="Times New Roman" w:hAnsi="Times New Roman" w:cs="Times New Roman"/>
                </w:rPr>
                <w:tag w:val="_PLD_ab0019be2d10489d885d15626d85168f"/>
                <w:id w:val="-1542739296"/>
                <w:lock w:val="sdtLocked"/>
              </w:sdtPr>
              <w:sdtEndPr/>
              <w:sdtContent>
                <w:tc>
                  <w:tcPr>
                    <w:tcW w:w="1675" w:type="pct"/>
                    <w:vAlign w:val="center"/>
                  </w:tcPr>
                  <w:p w14:paraId="172B4073" w14:textId="77777777" w:rsidR="00D21C1F" w:rsidRPr="007E67C2" w:rsidRDefault="00A42880">
                    <w:pPr>
                      <w:ind w:right="105"/>
                      <w:jc w:val="center"/>
                      <w:rPr>
                        <w:rFonts w:ascii="Times New Roman" w:hAnsi="Times New Roman" w:cs="Times New Roman"/>
                        <w:szCs w:val="21"/>
                      </w:rPr>
                    </w:pPr>
                    <w:r w:rsidRPr="007E67C2">
                      <w:rPr>
                        <w:rFonts w:ascii="Times New Roman" w:hAnsi="Times New Roman" w:cs="Times New Roman"/>
                        <w:szCs w:val="21"/>
                      </w:rPr>
                      <w:t>项目</w:t>
                    </w:r>
                  </w:p>
                </w:tc>
              </w:sdtContent>
            </w:sdt>
            <w:sdt>
              <w:sdtPr>
                <w:rPr>
                  <w:rFonts w:ascii="Times New Roman" w:hAnsi="Times New Roman" w:cs="Times New Roman"/>
                </w:rPr>
                <w:tag w:val="_PLD_4d086e8f4e004ee3aa116a5d10a7ecbd"/>
                <w:id w:val="537556338"/>
                <w:lock w:val="sdtLocked"/>
              </w:sdtPr>
              <w:sdtEndPr/>
              <w:sdtContent>
                <w:tc>
                  <w:tcPr>
                    <w:tcW w:w="1661" w:type="pct"/>
                    <w:vAlign w:val="center"/>
                  </w:tcPr>
                  <w:p w14:paraId="71543E16"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期末余额</w:t>
                    </w:r>
                  </w:p>
                </w:tc>
              </w:sdtContent>
            </w:sdt>
            <w:sdt>
              <w:sdtPr>
                <w:rPr>
                  <w:rFonts w:ascii="Times New Roman" w:hAnsi="Times New Roman" w:cs="Times New Roman"/>
                </w:rPr>
                <w:tag w:val="_PLD_8b866f731e474c6ebfb67cd903ab95c8"/>
                <w:id w:val="-332295278"/>
                <w:lock w:val="sdtLocked"/>
              </w:sdtPr>
              <w:sdtEndPr/>
              <w:sdtContent>
                <w:tc>
                  <w:tcPr>
                    <w:tcW w:w="1664" w:type="pct"/>
                    <w:vAlign w:val="center"/>
                  </w:tcPr>
                  <w:p w14:paraId="47DEC8AE"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期初余额</w:t>
                    </w:r>
                  </w:p>
                </w:tc>
              </w:sdtContent>
            </w:sdt>
          </w:tr>
          <w:tr w:rsidR="00D21C1F" w:rsidRPr="007E67C2" w14:paraId="2E42142D" w14:textId="77777777">
            <w:trPr>
              <w:cantSplit/>
            </w:trPr>
            <w:sdt>
              <w:sdtPr>
                <w:rPr>
                  <w:rFonts w:ascii="Times New Roman" w:hAnsi="Times New Roman" w:cs="Times New Roman"/>
                </w:rPr>
                <w:tag w:val="_PLD_25992e1feab349b78cb44e1cc32b16bd"/>
                <w:id w:val="-1654049353"/>
                <w:lock w:val="sdtLocked"/>
              </w:sdtPr>
              <w:sdtEndPr/>
              <w:sdtContent>
                <w:tc>
                  <w:tcPr>
                    <w:tcW w:w="1675" w:type="pct"/>
                    <w:shd w:val="clear" w:color="auto" w:fill="auto"/>
                  </w:tcPr>
                  <w:p w14:paraId="5D55F804"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szCs w:val="21"/>
                      </w:rPr>
                      <w:t>增值税</w:t>
                    </w:r>
                  </w:p>
                </w:tc>
              </w:sdtContent>
            </w:sdt>
            <w:tc>
              <w:tcPr>
                <w:tcW w:w="1661" w:type="pct"/>
                <w:shd w:val="clear" w:color="auto" w:fill="auto"/>
                <w:vAlign w:val="bottom"/>
              </w:tcPr>
              <w:p w14:paraId="46189CD3"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2,665,067.70</w:t>
                </w:r>
              </w:p>
            </w:tc>
            <w:tc>
              <w:tcPr>
                <w:tcW w:w="1664" w:type="pct"/>
                <w:shd w:val="clear" w:color="auto" w:fill="auto"/>
                <w:vAlign w:val="bottom"/>
              </w:tcPr>
              <w:p w14:paraId="39452FA8"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10,702,719.05</w:t>
                </w:r>
              </w:p>
            </w:tc>
          </w:tr>
          <w:tr w:rsidR="00D21C1F" w:rsidRPr="007E67C2" w14:paraId="185436B7" w14:textId="77777777">
            <w:trPr>
              <w:cantSplit/>
            </w:trPr>
            <w:sdt>
              <w:sdtPr>
                <w:rPr>
                  <w:rFonts w:ascii="Times New Roman" w:hAnsi="Times New Roman" w:cs="Times New Roman"/>
                </w:rPr>
                <w:tag w:val="_PLD_7034b2e69b80422baeee1441e6830886"/>
                <w:id w:val="168525802"/>
                <w:lock w:val="sdtLocked"/>
              </w:sdtPr>
              <w:sdtEndPr/>
              <w:sdtContent>
                <w:tc>
                  <w:tcPr>
                    <w:tcW w:w="1675" w:type="pct"/>
                    <w:shd w:val="clear" w:color="auto" w:fill="auto"/>
                  </w:tcPr>
                  <w:p w14:paraId="380CDB83"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szCs w:val="21"/>
                      </w:rPr>
                      <w:t>个人所得税</w:t>
                    </w:r>
                  </w:p>
                </w:tc>
              </w:sdtContent>
            </w:sdt>
            <w:tc>
              <w:tcPr>
                <w:tcW w:w="1661" w:type="pct"/>
                <w:shd w:val="clear" w:color="auto" w:fill="auto"/>
                <w:vAlign w:val="bottom"/>
              </w:tcPr>
              <w:p w14:paraId="604E1046"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10,017,728.69</w:t>
                </w:r>
              </w:p>
            </w:tc>
            <w:tc>
              <w:tcPr>
                <w:tcW w:w="1664" w:type="pct"/>
                <w:shd w:val="clear" w:color="auto" w:fill="auto"/>
                <w:vAlign w:val="bottom"/>
              </w:tcPr>
              <w:p w14:paraId="2DD3258C"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11,276,428.48</w:t>
                </w:r>
              </w:p>
            </w:tc>
          </w:tr>
          <w:tr w:rsidR="00D21C1F" w:rsidRPr="007E67C2" w14:paraId="0F66D8FC" w14:textId="77777777">
            <w:trPr>
              <w:cantSplit/>
            </w:trPr>
            <w:sdt>
              <w:sdtPr>
                <w:rPr>
                  <w:rFonts w:ascii="Times New Roman" w:hAnsi="Times New Roman" w:cs="Times New Roman"/>
                </w:rPr>
                <w:tag w:val="_PLD_6069f9b576594e2eaf73c76c1080318c"/>
                <w:id w:val="-1553230586"/>
                <w:lock w:val="sdtLocked"/>
              </w:sdtPr>
              <w:sdtEndPr/>
              <w:sdtContent>
                <w:tc>
                  <w:tcPr>
                    <w:tcW w:w="1675" w:type="pct"/>
                    <w:shd w:val="clear" w:color="auto" w:fill="auto"/>
                  </w:tcPr>
                  <w:p w14:paraId="71C3CF90"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szCs w:val="21"/>
                      </w:rPr>
                      <w:t>企业所得税</w:t>
                    </w:r>
                  </w:p>
                </w:tc>
              </w:sdtContent>
            </w:sdt>
            <w:tc>
              <w:tcPr>
                <w:tcW w:w="1661" w:type="pct"/>
                <w:shd w:val="clear" w:color="auto" w:fill="auto"/>
                <w:vAlign w:val="bottom"/>
              </w:tcPr>
              <w:p w14:paraId="7FFEB348"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szCs w:val="21"/>
                  </w:rPr>
                  <w:t>-</w:t>
                </w:r>
              </w:p>
            </w:tc>
            <w:tc>
              <w:tcPr>
                <w:tcW w:w="1664" w:type="pct"/>
                <w:shd w:val="clear" w:color="auto" w:fill="auto"/>
                <w:vAlign w:val="bottom"/>
              </w:tcPr>
              <w:p w14:paraId="6930C79E"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3,422,168.25</w:t>
                </w:r>
              </w:p>
            </w:tc>
          </w:tr>
          <w:sdt>
            <w:sdtPr>
              <w:rPr>
                <w:rFonts w:ascii="Times New Roman" w:hAnsi="Times New Roman" w:cs="Times New Roman"/>
                <w:szCs w:val="21"/>
              </w:rPr>
              <w:alias w:val="应交税金明细"/>
              <w:tag w:val="_GBC_0480c028aa8b4cf2885f8f1d9b64c155"/>
              <w:id w:val="1511718194"/>
              <w:lock w:val="sdtLocked"/>
            </w:sdtPr>
            <w:sdtEndPr/>
            <w:sdtContent>
              <w:tr w:rsidR="00D21C1F" w:rsidRPr="007E67C2" w14:paraId="048B1495" w14:textId="77777777">
                <w:trPr>
                  <w:cantSplit/>
                </w:trPr>
                <w:tc>
                  <w:tcPr>
                    <w:tcW w:w="1675" w:type="pct"/>
                  </w:tcPr>
                  <w:p w14:paraId="779EF431"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房产税</w:t>
                    </w:r>
                  </w:p>
                </w:tc>
                <w:tc>
                  <w:tcPr>
                    <w:tcW w:w="1661" w:type="pct"/>
                    <w:vAlign w:val="bottom"/>
                  </w:tcPr>
                  <w:p w14:paraId="280AE1EE"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313,378.11</w:t>
                    </w:r>
                  </w:p>
                </w:tc>
                <w:tc>
                  <w:tcPr>
                    <w:tcW w:w="1664" w:type="pct"/>
                    <w:vAlign w:val="bottom"/>
                  </w:tcPr>
                  <w:p w14:paraId="448A311E"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135,064.39</w:t>
                    </w:r>
                  </w:p>
                </w:tc>
              </w:tr>
            </w:sdtContent>
          </w:sdt>
          <w:sdt>
            <w:sdtPr>
              <w:rPr>
                <w:rFonts w:ascii="Times New Roman" w:hAnsi="Times New Roman" w:cs="Times New Roman"/>
                <w:szCs w:val="21"/>
              </w:rPr>
              <w:alias w:val="应交税金明细"/>
              <w:tag w:val="_GBC_0480c028aa8b4cf2885f8f1d9b64c155"/>
              <w:id w:val="-891653472"/>
              <w:lock w:val="sdtLocked"/>
            </w:sdtPr>
            <w:sdtEndPr/>
            <w:sdtContent>
              <w:tr w:rsidR="00D21C1F" w:rsidRPr="007E67C2" w14:paraId="325C8180" w14:textId="77777777">
                <w:trPr>
                  <w:cantSplit/>
                </w:trPr>
                <w:tc>
                  <w:tcPr>
                    <w:tcW w:w="1675" w:type="pct"/>
                  </w:tcPr>
                  <w:p w14:paraId="66A152F2"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土地使用税</w:t>
                    </w:r>
                  </w:p>
                </w:tc>
                <w:tc>
                  <w:tcPr>
                    <w:tcW w:w="1661" w:type="pct"/>
                    <w:vAlign w:val="bottom"/>
                  </w:tcPr>
                  <w:p w14:paraId="55F7FE4E"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183,510.00</w:t>
                    </w:r>
                  </w:p>
                </w:tc>
                <w:tc>
                  <w:tcPr>
                    <w:tcW w:w="1664" w:type="pct"/>
                    <w:vAlign w:val="bottom"/>
                  </w:tcPr>
                  <w:p w14:paraId="25E3E1DC"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61,481.85</w:t>
                    </w:r>
                  </w:p>
                </w:tc>
              </w:tr>
            </w:sdtContent>
          </w:sdt>
          <w:sdt>
            <w:sdtPr>
              <w:rPr>
                <w:rFonts w:ascii="Times New Roman" w:hAnsi="Times New Roman" w:cs="Times New Roman"/>
                <w:szCs w:val="21"/>
              </w:rPr>
              <w:alias w:val="应交税金明细"/>
              <w:tag w:val="_GBC_0480c028aa8b4cf2885f8f1d9b64c155"/>
              <w:id w:val="-1236629039"/>
              <w:lock w:val="sdtLocked"/>
            </w:sdtPr>
            <w:sdtEndPr/>
            <w:sdtContent>
              <w:tr w:rsidR="00D21C1F" w:rsidRPr="007E67C2" w14:paraId="68006895" w14:textId="77777777">
                <w:trPr>
                  <w:cantSplit/>
                </w:trPr>
                <w:tc>
                  <w:tcPr>
                    <w:tcW w:w="1675" w:type="pct"/>
                  </w:tcPr>
                  <w:p w14:paraId="21E0D768"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代扣代缴企业所得税</w:t>
                    </w:r>
                  </w:p>
                </w:tc>
                <w:tc>
                  <w:tcPr>
                    <w:tcW w:w="1661" w:type="pct"/>
                    <w:vAlign w:val="bottom"/>
                  </w:tcPr>
                  <w:p w14:paraId="49B46455"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1,602,864.00</w:t>
                    </w:r>
                  </w:p>
                </w:tc>
                <w:tc>
                  <w:tcPr>
                    <w:tcW w:w="1664" w:type="pct"/>
                    <w:vAlign w:val="bottom"/>
                  </w:tcPr>
                  <w:p w14:paraId="2879E985"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888,200.10</w:t>
                    </w:r>
                  </w:p>
                </w:tc>
              </w:tr>
            </w:sdtContent>
          </w:sdt>
          <w:tr w:rsidR="00D21C1F" w:rsidRPr="007E67C2" w14:paraId="194532D9" w14:textId="77777777">
            <w:trPr>
              <w:cantSplit/>
            </w:trPr>
            <w:sdt>
              <w:sdtPr>
                <w:rPr>
                  <w:rFonts w:ascii="Times New Roman" w:hAnsi="Times New Roman" w:cs="Times New Roman"/>
                </w:rPr>
                <w:tag w:val="_PLD_76c030e64d064b19abe68ec0d74ffc7b"/>
                <w:id w:val="-2012755724"/>
                <w:lock w:val="sdtLocked"/>
              </w:sdtPr>
              <w:sdtEndPr/>
              <w:sdtContent>
                <w:tc>
                  <w:tcPr>
                    <w:tcW w:w="1675" w:type="pct"/>
                    <w:shd w:val="clear" w:color="auto" w:fill="auto"/>
                  </w:tcPr>
                  <w:p w14:paraId="72B91117"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szCs w:val="21"/>
                      </w:rPr>
                      <w:t>城市维护建设税</w:t>
                    </w:r>
                  </w:p>
                </w:tc>
              </w:sdtContent>
            </w:sdt>
            <w:tc>
              <w:tcPr>
                <w:tcW w:w="1661" w:type="pct"/>
                <w:shd w:val="clear" w:color="auto" w:fill="auto"/>
                <w:vAlign w:val="bottom"/>
              </w:tcPr>
              <w:p w14:paraId="40D18DF3"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28,216.72</w:t>
                </w:r>
              </w:p>
            </w:tc>
            <w:tc>
              <w:tcPr>
                <w:tcW w:w="1664" w:type="pct"/>
                <w:shd w:val="clear" w:color="auto" w:fill="auto"/>
                <w:vAlign w:val="bottom"/>
              </w:tcPr>
              <w:p w14:paraId="423F8103"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118,560.30</w:t>
                </w:r>
              </w:p>
            </w:tc>
          </w:tr>
          <w:sdt>
            <w:sdtPr>
              <w:rPr>
                <w:rFonts w:ascii="Times New Roman" w:hAnsi="Times New Roman" w:cs="Times New Roman"/>
                <w:szCs w:val="21"/>
              </w:rPr>
              <w:alias w:val="应交税金明细"/>
              <w:tag w:val="_GBC_0480c028aa8b4cf2885f8f1d9b64c155"/>
              <w:id w:val="-1678415387"/>
              <w:lock w:val="sdtLocked"/>
            </w:sdtPr>
            <w:sdtEndPr/>
            <w:sdtContent>
              <w:tr w:rsidR="00D21C1F" w:rsidRPr="007E67C2" w14:paraId="2F2E68FD" w14:textId="77777777">
                <w:trPr>
                  <w:cantSplit/>
                </w:trPr>
                <w:tc>
                  <w:tcPr>
                    <w:tcW w:w="1675" w:type="pct"/>
                  </w:tcPr>
                  <w:p w14:paraId="0EBC71BF"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地方水利基金</w:t>
                    </w:r>
                  </w:p>
                </w:tc>
                <w:tc>
                  <w:tcPr>
                    <w:tcW w:w="1661" w:type="pct"/>
                    <w:vAlign w:val="bottom"/>
                  </w:tcPr>
                  <w:p w14:paraId="6E6467BA"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50,185.07</w:t>
                    </w:r>
                  </w:p>
                </w:tc>
                <w:tc>
                  <w:tcPr>
                    <w:tcW w:w="1664" w:type="pct"/>
                    <w:vAlign w:val="bottom"/>
                  </w:tcPr>
                  <w:p w14:paraId="1CEC4561"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45,368.78</w:t>
                    </w:r>
                  </w:p>
                </w:tc>
              </w:tr>
            </w:sdtContent>
          </w:sdt>
          <w:sdt>
            <w:sdtPr>
              <w:rPr>
                <w:rFonts w:ascii="Times New Roman" w:hAnsi="Times New Roman" w:cs="Times New Roman"/>
                <w:szCs w:val="21"/>
              </w:rPr>
              <w:alias w:val="应交税金明细"/>
              <w:tag w:val="_GBC_0480c028aa8b4cf2885f8f1d9b64c155"/>
              <w:id w:val="-748045876"/>
              <w:lock w:val="sdtLocked"/>
            </w:sdtPr>
            <w:sdtEndPr/>
            <w:sdtContent>
              <w:tr w:rsidR="00D21C1F" w:rsidRPr="007E67C2" w14:paraId="6D789C6A" w14:textId="77777777">
                <w:trPr>
                  <w:cantSplit/>
                </w:trPr>
                <w:tc>
                  <w:tcPr>
                    <w:tcW w:w="1675" w:type="pct"/>
                  </w:tcPr>
                  <w:p w14:paraId="227E8814"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印花税</w:t>
                    </w:r>
                  </w:p>
                </w:tc>
                <w:tc>
                  <w:tcPr>
                    <w:tcW w:w="1661" w:type="pct"/>
                    <w:vAlign w:val="bottom"/>
                  </w:tcPr>
                  <w:p w14:paraId="6B373CC2"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59,860.49</w:t>
                    </w:r>
                  </w:p>
                </w:tc>
                <w:tc>
                  <w:tcPr>
                    <w:tcW w:w="1664" w:type="pct"/>
                    <w:vAlign w:val="bottom"/>
                  </w:tcPr>
                  <w:p w14:paraId="4122C1FB"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24,268.30</w:t>
                    </w:r>
                  </w:p>
                </w:tc>
              </w:tr>
            </w:sdtContent>
          </w:sdt>
          <w:sdt>
            <w:sdtPr>
              <w:rPr>
                <w:rFonts w:ascii="Times New Roman" w:hAnsi="Times New Roman" w:cs="Times New Roman"/>
                <w:szCs w:val="21"/>
              </w:rPr>
              <w:alias w:val="应交税金明细"/>
              <w:tag w:val="_GBC_0480c028aa8b4cf2885f8f1d9b64c155"/>
              <w:id w:val="850379751"/>
              <w:lock w:val="sdtLocked"/>
            </w:sdtPr>
            <w:sdtEndPr/>
            <w:sdtContent>
              <w:tr w:rsidR="00D21C1F" w:rsidRPr="007E67C2" w14:paraId="59FE9EB4" w14:textId="77777777">
                <w:trPr>
                  <w:cantSplit/>
                </w:trPr>
                <w:tc>
                  <w:tcPr>
                    <w:tcW w:w="1675" w:type="pct"/>
                  </w:tcPr>
                  <w:p w14:paraId="47156D5E"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教育费附加</w:t>
                    </w:r>
                  </w:p>
                </w:tc>
                <w:tc>
                  <w:tcPr>
                    <w:tcW w:w="1661" w:type="pct"/>
                    <w:vAlign w:val="bottom"/>
                  </w:tcPr>
                  <w:p w14:paraId="1C11877E"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12,092.88</w:t>
                    </w:r>
                  </w:p>
                </w:tc>
                <w:tc>
                  <w:tcPr>
                    <w:tcW w:w="1664" w:type="pct"/>
                    <w:vAlign w:val="bottom"/>
                  </w:tcPr>
                  <w:p w14:paraId="6787A62B"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47,668.04</w:t>
                    </w:r>
                  </w:p>
                </w:tc>
              </w:tr>
            </w:sdtContent>
          </w:sdt>
          <w:sdt>
            <w:sdtPr>
              <w:rPr>
                <w:rFonts w:ascii="Times New Roman" w:hAnsi="Times New Roman" w:cs="Times New Roman"/>
                <w:szCs w:val="21"/>
              </w:rPr>
              <w:alias w:val="应交税金明细"/>
              <w:tag w:val="_GBC_0480c028aa8b4cf2885f8f1d9b64c155"/>
              <w:id w:val="-508063811"/>
              <w:lock w:val="sdtLocked"/>
            </w:sdtPr>
            <w:sdtEndPr/>
            <w:sdtContent>
              <w:tr w:rsidR="00D21C1F" w:rsidRPr="007E67C2" w14:paraId="52A8F5DD" w14:textId="77777777">
                <w:trPr>
                  <w:cantSplit/>
                </w:trPr>
                <w:tc>
                  <w:tcPr>
                    <w:tcW w:w="1675" w:type="pct"/>
                  </w:tcPr>
                  <w:p w14:paraId="181B4C7D"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地方教育附加</w:t>
                    </w:r>
                  </w:p>
                </w:tc>
                <w:tc>
                  <w:tcPr>
                    <w:tcW w:w="1661" w:type="pct"/>
                    <w:vAlign w:val="bottom"/>
                  </w:tcPr>
                  <w:p w14:paraId="6A521CDE"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8,061.92</w:t>
                    </w:r>
                  </w:p>
                </w:tc>
                <w:tc>
                  <w:tcPr>
                    <w:tcW w:w="1664" w:type="pct"/>
                    <w:vAlign w:val="bottom"/>
                  </w:tcPr>
                  <w:p w14:paraId="6B2A5919"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37,017.89</w:t>
                    </w:r>
                  </w:p>
                </w:tc>
              </w:tr>
            </w:sdtContent>
          </w:sdt>
          <w:sdt>
            <w:sdtPr>
              <w:rPr>
                <w:rFonts w:ascii="Times New Roman" w:hAnsi="Times New Roman" w:cs="Times New Roman"/>
                <w:szCs w:val="21"/>
              </w:rPr>
              <w:alias w:val="应交税金明细"/>
              <w:tag w:val="_GBC_0480c028aa8b4cf2885f8f1d9b64c155"/>
              <w:id w:val="-1303005219"/>
              <w:lock w:val="sdtLocked"/>
            </w:sdtPr>
            <w:sdtEndPr/>
            <w:sdtContent>
              <w:tr w:rsidR="00D21C1F" w:rsidRPr="007E67C2" w14:paraId="295DFDB0" w14:textId="77777777">
                <w:trPr>
                  <w:cantSplit/>
                </w:trPr>
                <w:tc>
                  <w:tcPr>
                    <w:tcW w:w="1675" w:type="pct"/>
                  </w:tcPr>
                  <w:p w14:paraId="36ECFAC6" w14:textId="77777777" w:rsidR="00D21C1F" w:rsidRPr="007E67C2" w:rsidRDefault="00A42880">
                    <w:pPr>
                      <w:ind w:right="105"/>
                      <w:rPr>
                        <w:rFonts w:ascii="Times New Roman" w:hAnsi="Times New Roman" w:cs="Times New Roman"/>
                        <w:szCs w:val="21"/>
                      </w:rPr>
                    </w:pPr>
                    <w:r w:rsidRPr="007E67C2">
                      <w:rPr>
                        <w:rFonts w:ascii="Times New Roman" w:hAnsi="Times New Roman" w:cs="Times New Roman"/>
                      </w:rPr>
                      <w:t>其他</w:t>
                    </w:r>
                  </w:p>
                </w:tc>
                <w:tc>
                  <w:tcPr>
                    <w:tcW w:w="1661" w:type="pct"/>
                    <w:vAlign w:val="bottom"/>
                  </w:tcPr>
                  <w:p w14:paraId="3C5D4F74"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36,710.34</w:t>
                    </w:r>
                  </w:p>
                </w:tc>
                <w:tc>
                  <w:tcPr>
                    <w:tcW w:w="1664" w:type="pct"/>
                    <w:vAlign w:val="bottom"/>
                  </w:tcPr>
                  <w:p w14:paraId="62BDE097"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37,098.76</w:t>
                    </w:r>
                  </w:p>
                </w:tc>
              </w:tr>
            </w:sdtContent>
          </w:sdt>
          <w:tr w:rsidR="00D21C1F" w:rsidRPr="007E67C2" w14:paraId="1F9A5957" w14:textId="77777777">
            <w:trPr>
              <w:cantSplit/>
            </w:trPr>
            <w:sdt>
              <w:sdtPr>
                <w:rPr>
                  <w:rFonts w:ascii="Times New Roman" w:hAnsi="Times New Roman" w:cs="Times New Roman"/>
                </w:rPr>
                <w:tag w:val="_PLD_ad567219cf614829af1a2928b1fa259b"/>
                <w:id w:val="-261142217"/>
                <w:lock w:val="sdtLocked"/>
              </w:sdtPr>
              <w:sdtEndPr/>
              <w:sdtContent>
                <w:tc>
                  <w:tcPr>
                    <w:tcW w:w="1675" w:type="pct"/>
                    <w:vAlign w:val="center"/>
                  </w:tcPr>
                  <w:p w14:paraId="15DA13F2" w14:textId="77777777" w:rsidR="00D21C1F" w:rsidRPr="007E67C2" w:rsidRDefault="00A42880">
                    <w:pPr>
                      <w:ind w:right="105"/>
                      <w:jc w:val="center"/>
                      <w:rPr>
                        <w:rFonts w:ascii="Times New Roman" w:hAnsi="Times New Roman" w:cs="Times New Roman"/>
                        <w:szCs w:val="21"/>
                      </w:rPr>
                    </w:pPr>
                    <w:r w:rsidRPr="007E67C2">
                      <w:rPr>
                        <w:rFonts w:ascii="Times New Roman" w:hAnsi="Times New Roman" w:cs="Times New Roman"/>
                        <w:szCs w:val="21"/>
                      </w:rPr>
                      <w:t>合计</w:t>
                    </w:r>
                  </w:p>
                </w:tc>
              </w:sdtContent>
            </w:sdt>
            <w:tc>
              <w:tcPr>
                <w:tcW w:w="1661" w:type="pct"/>
                <w:vAlign w:val="bottom"/>
              </w:tcPr>
              <w:p w14:paraId="6A3BD792" w14:textId="77777777" w:rsidR="00D21C1F" w:rsidRPr="007E67C2" w:rsidRDefault="00A42880">
                <w:pPr>
                  <w:ind w:right="73"/>
                  <w:jc w:val="right"/>
                  <w:rPr>
                    <w:rFonts w:ascii="Times New Roman" w:hAnsi="Times New Roman" w:cs="Times New Roman"/>
                    <w:szCs w:val="21"/>
                  </w:rPr>
                </w:pPr>
                <w:r w:rsidRPr="007E67C2">
                  <w:rPr>
                    <w:rFonts w:ascii="Times New Roman" w:hAnsi="Times New Roman" w:cs="Times New Roman"/>
                  </w:rPr>
                  <w:t>14,977,675.92</w:t>
                </w:r>
              </w:p>
            </w:tc>
            <w:tc>
              <w:tcPr>
                <w:tcW w:w="1664" w:type="pct"/>
                <w:vAlign w:val="bottom"/>
              </w:tcPr>
              <w:p w14:paraId="14C9DFC6"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26,796,044.19</w:t>
                </w:r>
              </w:p>
            </w:tc>
          </w:tr>
        </w:tbl>
        <w:p w14:paraId="7F623119" w14:textId="77777777" w:rsidR="00D21C1F" w:rsidRPr="007E67C2" w:rsidRDefault="00A42880">
          <w:pPr>
            <w:rPr>
              <w:rFonts w:ascii="Times New Roman" w:hAnsi="Times New Roman" w:cs="Times New Roman"/>
              <w:szCs w:val="21"/>
            </w:rPr>
          </w:pPr>
          <w:r w:rsidRPr="007E67C2">
            <w:rPr>
              <w:rFonts w:ascii="Times New Roman" w:hAnsi="Times New Roman" w:cs="Times New Roman"/>
              <w:szCs w:val="21"/>
            </w:rPr>
            <w:t>其他说明：</w:t>
          </w:r>
        </w:p>
        <w:sdt>
          <w:sdtPr>
            <w:rPr>
              <w:rFonts w:ascii="Times New Roman" w:hAnsi="Times New Roman" w:cs="Times New Roman"/>
              <w:szCs w:val="21"/>
            </w:rPr>
            <w:alias w:val="应交税金的说明"/>
            <w:tag w:val="_GBC_fb59f8f9de2d41c3aaf0dc3b0970dd91"/>
            <w:id w:val="456928347"/>
            <w:lock w:val="sdtLocked"/>
            <w:placeholder>
              <w:docPart w:val="GBC22222222222222222222222222222"/>
            </w:placeholder>
          </w:sdtPr>
          <w:sdtEndPr/>
          <w:sdtContent>
            <w:p w14:paraId="75028BC2" w14:textId="77777777" w:rsidR="00D21C1F" w:rsidRDefault="00A42880">
              <w:pPr>
                <w:rPr>
                  <w:szCs w:val="21"/>
                </w:rPr>
              </w:pPr>
              <w:r w:rsidRPr="007E67C2">
                <w:rPr>
                  <w:rFonts w:ascii="Times New Roman" w:hAnsi="Times New Roman" w:cs="Times New Roman"/>
                  <w:szCs w:val="21"/>
                </w:rPr>
                <w:t>无</w:t>
              </w:r>
            </w:p>
          </w:sdtContent>
        </w:sdt>
      </w:sdtContent>
    </w:sdt>
    <w:p w14:paraId="7DB87F18" w14:textId="77777777" w:rsidR="00D21C1F" w:rsidRDefault="00D21C1F">
      <w:pPr>
        <w:rPr>
          <w:szCs w:val="21"/>
        </w:rPr>
      </w:pPr>
    </w:p>
    <w:p w14:paraId="29F0B208"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其他应付款</w:t>
      </w:r>
    </w:p>
    <w:bookmarkStart w:id="256" w:name="_Hlk10535943" w:displacedByCustomXml="next"/>
    <w:sdt>
      <w:sdtPr>
        <w:rPr>
          <w:rFonts w:ascii="Times New Roman" w:hAnsi="Times New Roman" w:cs="宋体"/>
          <w:b w:val="0"/>
          <w:bCs w:val="0"/>
          <w:kern w:val="0"/>
          <w:szCs w:val="24"/>
        </w:rPr>
        <w:alias w:val="模块:项目列示"/>
        <w:tag w:val="_SEC_d4a31631d4c141d39fd547efdfcde484"/>
        <w:id w:val="1022670419"/>
        <w:lock w:val="sdtLocked"/>
        <w:placeholder>
          <w:docPart w:val="GBC22222222222222222222222222222"/>
        </w:placeholder>
      </w:sdtPr>
      <w:sdtEndPr/>
      <w:sdtContent>
        <w:p w14:paraId="11EAAF8E" w14:textId="77777777" w:rsidR="00D21C1F" w:rsidRPr="007E67C2" w:rsidRDefault="00A42880">
          <w:pPr>
            <w:pStyle w:val="93"/>
            <w:rPr>
              <w:rFonts w:ascii="Times New Roman" w:hAnsi="Times New Roman"/>
            </w:rPr>
          </w:pPr>
          <w:r w:rsidRPr="007E67C2">
            <w:rPr>
              <w:rFonts w:ascii="Times New Roman" w:hAnsi="Times New Roman"/>
            </w:rPr>
            <w:t>项目列示</w:t>
          </w:r>
        </w:p>
        <w:sdt>
          <w:sdtPr>
            <w:rPr>
              <w:rFonts w:ascii="Times New Roman" w:hAnsi="Times New Roman" w:cs="Times New Roman"/>
            </w:rPr>
            <w:alias w:val="是否适用：其他应付款分类列示[双击切换]"/>
            <w:tag w:val="_GBC_8136b8c1140049519ac46075abed3220"/>
            <w:id w:val="-2107804732"/>
            <w:lock w:val="sdtLocked"/>
            <w:placeholder>
              <w:docPart w:val="GBC22222222222222222222222222222"/>
            </w:placeholder>
          </w:sdtPr>
          <w:sdtEndPr/>
          <w:sdtContent>
            <w:p w14:paraId="735D9B79"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不适用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p>
          </w:sdtContent>
        </w:sdt>
        <w:p w14:paraId="69225655"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单位：</w:t>
          </w:r>
          <w:sdt>
            <w:sdtPr>
              <w:rPr>
                <w:rFonts w:ascii="Times New Roman" w:hAnsi="Times New Roman" w:cs="Times New Roman"/>
                <w:szCs w:val="21"/>
              </w:rPr>
              <w:alias w:val="单位：其他应付款分类列示"/>
              <w:tag w:val="_GBC_f725af1ac18e4ea28ff0b171fd9076b1"/>
              <w:id w:val="-19091480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67C2">
                <w:rPr>
                  <w:rFonts w:ascii="Times New Roman" w:hAnsi="Times New Roman" w:cs="Times New Roman"/>
                  <w:szCs w:val="21"/>
                </w:rPr>
                <w:t>元</w:t>
              </w:r>
            </w:sdtContent>
          </w:sdt>
          <w:r w:rsidRPr="007E67C2">
            <w:rPr>
              <w:rFonts w:ascii="Times New Roman" w:hAnsi="Times New Roman" w:cs="Times New Roman"/>
              <w:szCs w:val="21"/>
            </w:rPr>
            <w:t>币种：</w:t>
          </w:r>
          <w:sdt>
            <w:sdtPr>
              <w:rPr>
                <w:rFonts w:ascii="Times New Roman" w:hAnsi="Times New Roman" w:cs="Times New Roman"/>
                <w:szCs w:val="21"/>
              </w:rPr>
              <w:alias w:val="币种：其他应付款分类列示"/>
              <w:tag w:val="_GBC_9e26b8e601ae4c3b9b2f73c2946bed3c"/>
              <w:id w:val="-145981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D21C1F" w:rsidRPr="007E67C2" w14:paraId="20F95246" w14:textId="77777777">
            <w:sdt>
              <w:sdtPr>
                <w:rPr>
                  <w:rFonts w:ascii="Times New Roman" w:hAnsi="Times New Roman" w:cs="Times New Roman"/>
                </w:rPr>
                <w:tag w:val="_PLD_d301d6d0c6f244d3b16ca7922fb1eae1"/>
                <w:id w:val="-1396345981"/>
                <w:lock w:val="sdtLocked"/>
              </w:sdtPr>
              <w:sdtEndPr/>
              <w:sdtContent>
                <w:tc>
                  <w:tcPr>
                    <w:tcW w:w="1828" w:type="pct"/>
                    <w:shd w:val="clear" w:color="auto" w:fill="auto"/>
                    <w:vAlign w:val="center"/>
                  </w:tcPr>
                  <w:p w14:paraId="6556F1F0" w14:textId="77777777" w:rsidR="00D21C1F" w:rsidRPr="007E67C2" w:rsidRDefault="00A42880">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7E67C2">
                      <w:rPr>
                        <w:rFonts w:ascii="Times New Roman" w:hAnsi="Times New Roman" w:cs="Times New Roman"/>
                        <w:szCs w:val="21"/>
                      </w:rPr>
                      <w:t>项目</w:t>
                    </w:r>
                  </w:p>
                </w:tc>
              </w:sdtContent>
            </w:sdt>
            <w:sdt>
              <w:sdtPr>
                <w:rPr>
                  <w:rFonts w:ascii="Times New Roman" w:hAnsi="Times New Roman" w:cs="Times New Roman"/>
                </w:rPr>
                <w:tag w:val="_PLD_14a27299981b44e8a51ddedd6261c7cb"/>
                <w:id w:val="-1335304302"/>
                <w:lock w:val="sdtLocked"/>
              </w:sdtPr>
              <w:sdtEndPr/>
              <w:sdtContent>
                <w:tc>
                  <w:tcPr>
                    <w:tcW w:w="1582" w:type="pct"/>
                    <w:shd w:val="clear" w:color="auto" w:fill="auto"/>
                    <w:vAlign w:val="center"/>
                  </w:tcPr>
                  <w:p w14:paraId="538C7614"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期末余额</w:t>
                    </w:r>
                  </w:p>
                </w:tc>
              </w:sdtContent>
            </w:sdt>
            <w:sdt>
              <w:sdtPr>
                <w:rPr>
                  <w:rFonts w:ascii="Times New Roman" w:hAnsi="Times New Roman" w:cs="Times New Roman"/>
                </w:rPr>
                <w:tag w:val="_PLD_3ada436da03540938e5f25706fc839ab"/>
                <w:id w:val="1230966998"/>
                <w:lock w:val="sdtLocked"/>
              </w:sdtPr>
              <w:sdtEndPr/>
              <w:sdtContent>
                <w:tc>
                  <w:tcPr>
                    <w:tcW w:w="1590" w:type="pct"/>
                    <w:shd w:val="clear" w:color="auto" w:fill="auto"/>
                    <w:vAlign w:val="center"/>
                  </w:tcPr>
                  <w:p w14:paraId="4E9ABAB3"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期初余额</w:t>
                    </w:r>
                  </w:p>
                </w:tc>
              </w:sdtContent>
            </w:sdt>
          </w:tr>
          <w:tr w:rsidR="00D21C1F" w:rsidRPr="007E67C2" w14:paraId="2395D883" w14:textId="77777777">
            <w:sdt>
              <w:sdtPr>
                <w:rPr>
                  <w:rFonts w:ascii="Times New Roman" w:hAnsi="Times New Roman" w:cs="Times New Roman"/>
                </w:rPr>
                <w:tag w:val="_PLD_d66a9d37a92f4ab8ae47e30c7542c8f2"/>
                <w:id w:val="774678852"/>
                <w:lock w:val="sdtLocked"/>
              </w:sdtPr>
              <w:sdtEndPr/>
              <w:sdtContent>
                <w:tc>
                  <w:tcPr>
                    <w:tcW w:w="1828" w:type="pct"/>
                    <w:shd w:val="clear" w:color="auto" w:fill="auto"/>
                  </w:tcPr>
                  <w:p w14:paraId="17D61AD4" w14:textId="77777777" w:rsidR="00D21C1F" w:rsidRPr="007E67C2" w:rsidRDefault="00A42880">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7E67C2">
                      <w:rPr>
                        <w:rFonts w:ascii="Times New Roman" w:hAnsi="Times New Roman" w:cs="Times New Roman"/>
                        <w:szCs w:val="21"/>
                      </w:rPr>
                      <w:t>应付利息</w:t>
                    </w:r>
                  </w:p>
                </w:tc>
              </w:sdtContent>
            </w:sdt>
            <w:tc>
              <w:tcPr>
                <w:tcW w:w="1582" w:type="pct"/>
                <w:shd w:val="clear" w:color="auto" w:fill="auto"/>
                <w:vAlign w:val="center"/>
              </w:tcPr>
              <w:p w14:paraId="0BCFF0DD"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w:t>
                </w:r>
              </w:p>
            </w:tc>
            <w:tc>
              <w:tcPr>
                <w:tcW w:w="1590" w:type="pct"/>
                <w:shd w:val="clear" w:color="auto" w:fill="auto"/>
                <w:vAlign w:val="center"/>
              </w:tcPr>
              <w:p w14:paraId="43580A74"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w:t>
                </w:r>
              </w:p>
            </w:tc>
          </w:tr>
          <w:tr w:rsidR="00D21C1F" w:rsidRPr="007E67C2" w14:paraId="5B011BC1" w14:textId="77777777">
            <w:sdt>
              <w:sdtPr>
                <w:rPr>
                  <w:rFonts w:ascii="Times New Roman" w:hAnsi="Times New Roman" w:cs="Times New Roman"/>
                </w:rPr>
                <w:tag w:val="_PLD_f7c963c0ee7f4ae9a9ee01376e1c10a3"/>
                <w:id w:val="98460257"/>
                <w:lock w:val="sdtLocked"/>
              </w:sdtPr>
              <w:sdtEndPr/>
              <w:sdtContent>
                <w:tc>
                  <w:tcPr>
                    <w:tcW w:w="1828" w:type="pct"/>
                    <w:shd w:val="clear" w:color="auto" w:fill="auto"/>
                  </w:tcPr>
                  <w:p w14:paraId="469FE14C" w14:textId="77777777" w:rsidR="00D21C1F" w:rsidRPr="007E67C2" w:rsidRDefault="00A42880">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7E67C2">
                      <w:rPr>
                        <w:rFonts w:ascii="Times New Roman" w:hAnsi="Times New Roman" w:cs="Times New Roman"/>
                        <w:szCs w:val="21"/>
                      </w:rPr>
                      <w:t>应付股利</w:t>
                    </w:r>
                  </w:p>
                </w:tc>
              </w:sdtContent>
            </w:sdt>
            <w:tc>
              <w:tcPr>
                <w:tcW w:w="1582" w:type="pct"/>
                <w:shd w:val="clear" w:color="auto" w:fill="auto"/>
                <w:vAlign w:val="center"/>
              </w:tcPr>
              <w:p w14:paraId="7E92F3ED"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w:t>
                </w:r>
              </w:p>
            </w:tc>
            <w:tc>
              <w:tcPr>
                <w:tcW w:w="1590" w:type="pct"/>
                <w:shd w:val="clear" w:color="auto" w:fill="auto"/>
                <w:vAlign w:val="center"/>
              </w:tcPr>
              <w:p w14:paraId="66A4CAB3"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w:t>
                </w:r>
              </w:p>
            </w:tc>
          </w:tr>
          <w:tr w:rsidR="00D21C1F" w:rsidRPr="007E67C2" w14:paraId="67FD7768" w14:textId="77777777">
            <w:sdt>
              <w:sdtPr>
                <w:rPr>
                  <w:rFonts w:ascii="Times New Roman" w:hAnsi="Times New Roman" w:cs="Times New Roman"/>
                </w:rPr>
                <w:tag w:val="_PLD_bef380fd911e4f2a9e651243d4593795"/>
                <w:id w:val="-1983150173"/>
                <w:lock w:val="sdtLocked"/>
              </w:sdtPr>
              <w:sdtEndPr/>
              <w:sdtContent>
                <w:tc>
                  <w:tcPr>
                    <w:tcW w:w="1828" w:type="pct"/>
                    <w:shd w:val="clear" w:color="auto" w:fill="auto"/>
                  </w:tcPr>
                  <w:p w14:paraId="54929613" w14:textId="77777777" w:rsidR="00D21C1F" w:rsidRPr="007E67C2" w:rsidRDefault="00A42880">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7E67C2">
                      <w:rPr>
                        <w:rFonts w:ascii="Times New Roman" w:hAnsi="Times New Roman" w:cs="Times New Roman"/>
                        <w:szCs w:val="21"/>
                      </w:rPr>
                      <w:t>其他应付款</w:t>
                    </w:r>
                  </w:p>
                </w:tc>
              </w:sdtContent>
            </w:sdt>
            <w:tc>
              <w:tcPr>
                <w:tcW w:w="1582" w:type="pct"/>
                <w:shd w:val="clear" w:color="auto" w:fill="auto"/>
                <w:vAlign w:val="center"/>
              </w:tcPr>
              <w:p w14:paraId="16944460"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33,622,484.96</w:t>
                </w:r>
              </w:p>
            </w:tc>
            <w:tc>
              <w:tcPr>
                <w:tcW w:w="1590" w:type="pct"/>
                <w:shd w:val="clear" w:color="auto" w:fill="auto"/>
                <w:vAlign w:val="center"/>
              </w:tcPr>
              <w:p w14:paraId="510FD8D0"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36,133,469.42</w:t>
                </w:r>
              </w:p>
            </w:tc>
          </w:tr>
          <w:tr w:rsidR="00D21C1F" w:rsidRPr="007E67C2" w14:paraId="79D8EA45" w14:textId="77777777">
            <w:sdt>
              <w:sdtPr>
                <w:rPr>
                  <w:rFonts w:ascii="Times New Roman" w:hAnsi="Times New Roman" w:cs="Times New Roman"/>
                </w:rPr>
                <w:tag w:val="_PLD_90dc33535197444a8eb7c8a4e477d9b7"/>
                <w:id w:val="-447395283"/>
                <w:lock w:val="sdtLocked"/>
              </w:sdtPr>
              <w:sdtEndPr/>
              <w:sdtContent>
                <w:tc>
                  <w:tcPr>
                    <w:tcW w:w="1828" w:type="pct"/>
                    <w:shd w:val="clear" w:color="auto" w:fill="auto"/>
                  </w:tcPr>
                  <w:p w14:paraId="01DAB471" w14:textId="77777777" w:rsidR="00D21C1F" w:rsidRPr="007E67C2" w:rsidRDefault="00A42880">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7E67C2">
                      <w:rPr>
                        <w:rFonts w:ascii="Times New Roman" w:hAnsi="Times New Roman" w:cs="Times New Roman"/>
                        <w:szCs w:val="21"/>
                      </w:rPr>
                      <w:t>合计</w:t>
                    </w:r>
                  </w:p>
                </w:tc>
              </w:sdtContent>
            </w:sdt>
            <w:tc>
              <w:tcPr>
                <w:tcW w:w="1582" w:type="pct"/>
                <w:shd w:val="clear" w:color="auto" w:fill="auto"/>
                <w:vAlign w:val="center"/>
              </w:tcPr>
              <w:p w14:paraId="3E48F67E"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33,622,484.96</w:t>
                </w:r>
              </w:p>
            </w:tc>
            <w:tc>
              <w:tcPr>
                <w:tcW w:w="1590" w:type="pct"/>
                <w:shd w:val="clear" w:color="auto" w:fill="auto"/>
                <w:vAlign w:val="center"/>
              </w:tcPr>
              <w:p w14:paraId="10251665" w14:textId="77777777" w:rsidR="00D21C1F" w:rsidRPr="007E67C2" w:rsidRDefault="00A42880">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7E67C2">
                  <w:rPr>
                    <w:rFonts w:ascii="Times New Roman" w:hAnsi="Times New Roman" w:cs="Times New Roman"/>
                  </w:rPr>
                  <w:t>36,133,469.42</w:t>
                </w:r>
              </w:p>
            </w:tc>
          </w:tr>
        </w:tbl>
        <w:p w14:paraId="11A04125" w14:textId="77777777" w:rsidR="00D21C1F" w:rsidRPr="007E67C2" w:rsidRDefault="00A42880">
          <w:pPr>
            <w:rPr>
              <w:rFonts w:ascii="Times New Roman" w:hAnsi="Times New Roman" w:cs="Times New Roman"/>
              <w:szCs w:val="21"/>
            </w:rPr>
          </w:pPr>
          <w:r w:rsidRPr="007E67C2">
            <w:rPr>
              <w:rFonts w:ascii="Times New Roman" w:hAnsi="Times New Roman" w:cs="Times New Roman"/>
              <w:szCs w:val="21"/>
            </w:rPr>
            <w:t>其他说明：</w:t>
          </w:r>
        </w:p>
        <w:p w14:paraId="4BEFE775" w14:textId="77777777" w:rsidR="00D21C1F" w:rsidRDefault="00045EC6">
          <w:pPr>
            <w:pStyle w:val="97"/>
          </w:pPr>
          <w:sdt>
            <w:sdtPr>
              <w:rPr>
                <w:rFonts w:ascii="Times New Roman" w:hAnsi="Times New Roman" w:cs="Times New Roman"/>
              </w:rPr>
              <w:alias w:val="其他应付款分类列示其他说明"/>
              <w:tag w:val="_GBC_8fa93aac828f4ed1ab8ba954856081f1"/>
              <w:id w:val="3873170"/>
              <w:lock w:val="sdtLocked"/>
              <w:placeholder>
                <w:docPart w:val="GBC22222222222222222222222222222"/>
              </w:placeholder>
            </w:sdtPr>
            <w:sdtEndPr/>
            <w:sdtContent>
              <w:r w:rsidR="00A42880" w:rsidRPr="007E67C2">
                <w:rPr>
                  <w:rFonts w:ascii="Times New Roman" w:hAnsi="Times New Roman" w:cs="Times New Roman"/>
                </w:rPr>
                <w:t>无</w:t>
              </w:r>
            </w:sdtContent>
          </w:sdt>
        </w:p>
      </w:sdtContent>
    </w:sdt>
    <w:bookmarkEnd w:id="256" w:displacedByCustomXml="next"/>
    <w:bookmarkStart w:id="257" w:name="_Hlk10536047" w:displacedByCustomXml="next"/>
    <w:sdt>
      <w:sdtPr>
        <w:rPr>
          <w:rFonts w:ascii="宋体" w:eastAsia="宋体" w:hAnsi="宋体" w:cs="宋体" w:hint="eastAsia"/>
          <w:b w:val="0"/>
          <w:bCs w:val="0"/>
          <w:kern w:val="0"/>
          <w:szCs w:val="24"/>
        </w:rPr>
        <w:alias w:val="模块:应付利息"/>
        <w:tag w:val="_SEC_60feb8ef6f7c4655a263f50d12c222d8"/>
        <w:id w:val="1947349039"/>
        <w:lock w:val="sdtLocked"/>
        <w:placeholder>
          <w:docPart w:val="GBC22222222222222222222222222222"/>
        </w:placeholder>
      </w:sdtPr>
      <w:sdtEndPr/>
      <w:sdtContent>
        <w:p w14:paraId="4D8F4420" w14:textId="77777777" w:rsidR="00D21C1F" w:rsidRDefault="00A42880">
          <w:pPr>
            <w:pStyle w:val="93"/>
            <w:rPr>
              <w:rFonts w:ascii="宋体" w:hAnsi="宋体"/>
            </w:rPr>
          </w:pPr>
          <w:r>
            <w:rPr>
              <w:rFonts w:ascii="宋体" w:hAnsi="宋体" w:hint="eastAsia"/>
            </w:rPr>
            <w:t>应付利息</w:t>
          </w:r>
        </w:p>
        <w:sdt>
          <w:sdtPr>
            <w:alias w:val="是否适用：应付利息[双击切换]"/>
            <w:tag w:val="_GBC_9058c1c6b0a94f6a8c531ec2dbd35706"/>
            <w:id w:val="-2753166"/>
            <w:lock w:val="sdtLocked"/>
            <w:placeholder>
              <w:docPart w:val="GBC22222222222222222222222222222"/>
            </w:placeholder>
          </w:sdtPr>
          <w:sdtEndPr/>
          <w:sdtContent>
            <w:p w14:paraId="0C356A8D" w14:textId="77777777" w:rsidR="00D21C1F" w:rsidRDefault="00A4288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7" w:displacedByCustomXml="next"/>
    <w:bookmarkStart w:id="258" w:name="_Hlk10536068" w:displacedByCustomXml="next"/>
    <w:bookmarkStart w:id="259" w:name="_Hlk10536082" w:displacedByCustomXml="next"/>
    <w:sdt>
      <w:sdtPr>
        <w:rPr>
          <w:rFonts w:ascii="宋体" w:hAnsi="宋体" w:cs="宋体" w:hint="eastAsia"/>
          <w:b w:val="0"/>
          <w:bCs w:val="0"/>
          <w:kern w:val="0"/>
          <w:szCs w:val="24"/>
        </w:rPr>
        <w:alias w:val="模块:应付股利"/>
        <w:tag w:val="_SEC_454db7ed64ca40e48e42eb6c38ae54ca"/>
        <w:id w:val="-1777779515"/>
        <w:lock w:val="sdtLocked"/>
        <w:placeholder>
          <w:docPart w:val="GBC22222222222222222222222222222"/>
        </w:placeholder>
      </w:sdtPr>
      <w:sdtEndPr>
        <w:rPr>
          <w:rFonts w:hint="default"/>
          <w:szCs w:val="21"/>
        </w:rPr>
      </w:sdtEndPr>
      <w:sdtContent>
        <w:p w14:paraId="78455E6A" w14:textId="77777777" w:rsidR="00D21C1F" w:rsidRDefault="00A42880">
          <w:pPr>
            <w:pStyle w:val="93"/>
            <w:rPr>
              <w:rFonts w:ascii="宋体" w:hAnsi="宋体"/>
            </w:rPr>
          </w:pPr>
          <w:r>
            <w:rPr>
              <w:rFonts w:ascii="宋体" w:hAnsi="宋体" w:hint="eastAsia"/>
            </w:rPr>
            <w:t>应付股利</w:t>
          </w:r>
          <w:bookmarkEnd w:id="258"/>
        </w:p>
        <w:sdt>
          <w:sdtPr>
            <w:alias w:val="是否适用：应付股利[双击切换]"/>
            <w:tag w:val="_GBC_09dc75ba10d44acfb18b03320a40e4c5"/>
            <w:id w:val="-882640469"/>
            <w:lock w:val="sdtLocked"/>
            <w:placeholder>
              <w:docPart w:val="GBC22222222222222222222222222222"/>
            </w:placeholder>
          </w:sdtPr>
          <w:sdtEndPr/>
          <w:sdtContent>
            <w:p w14:paraId="1843F562" w14:textId="77777777" w:rsidR="00D21C1F" w:rsidRDefault="00A42880">
              <w:pPr>
                <w:pStyle w:val="97"/>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9"/>
    <w:p w14:paraId="0229613C" w14:textId="77777777" w:rsidR="00D21C1F" w:rsidRDefault="00D21C1F">
      <w:pPr>
        <w:rPr>
          <w:szCs w:val="21"/>
        </w:rPr>
      </w:pPr>
    </w:p>
    <w:p w14:paraId="0883E9DB" w14:textId="77777777" w:rsidR="00D21C1F" w:rsidRDefault="00A42880">
      <w:pPr>
        <w:pStyle w:val="93"/>
        <w:rPr>
          <w:rFonts w:ascii="宋体" w:hAnsi="宋体"/>
        </w:rPr>
      </w:pPr>
      <w:bookmarkStart w:id="260" w:name="_Hlk10536163"/>
      <w:r>
        <w:rPr>
          <w:rFonts w:ascii="宋体" w:hAnsi="宋体" w:hint="eastAsia"/>
        </w:rPr>
        <w:t>其他应付款</w:t>
      </w:r>
    </w:p>
    <w:sdt>
      <w:sdtPr>
        <w:rPr>
          <w:rFonts w:ascii="Times New Roman" w:hAnsi="Times New Roman" w:cs="宋体"/>
          <w:b w:val="0"/>
          <w:bCs w:val="0"/>
          <w:kern w:val="0"/>
          <w:szCs w:val="24"/>
        </w:rPr>
        <w:alias w:val="模块:按款项性质列示其他应付款"/>
        <w:tag w:val="_SEC_df361e68406f49208d47d08674984872"/>
        <w:id w:val="1343751468"/>
        <w:lock w:val="sdtLocked"/>
        <w:placeholder>
          <w:docPart w:val="GBC22222222222222222222222222222"/>
        </w:placeholder>
      </w:sdtPr>
      <w:sdtEndPr/>
      <w:sdtContent>
        <w:p w14:paraId="47AF2CBC" w14:textId="77777777" w:rsidR="00D21C1F" w:rsidRPr="007E67C2" w:rsidRDefault="00A42880">
          <w:pPr>
            <w:pStyle w:val="93"/>
            <w:numPr>
              <w:ilvl w:val="3"/>
              <w:numId w:val="118"/>
            </w:numPr>
            <w:rPr>
              <w:rFonts w:ascii="Times New Roman" w:hAnsi="Times New Roman"/>
            </w:rPr>
          </w:pPr>
          <w:r w:rsidRPr="007E67C2">
            <w:rPr>
              <w:rFonts w:ascii="Times New Roman" w:hAnsi="Times New Roman"/>
            </w:rPr>
            <w:t>按款项性质列示其他应付款</w:t>
          </w:r>
        </w:p>
        <w:sdt>
          <w:sdtPr>
            <w:rPr>
              <w:rFonts w:ascii="Times New Roman" w:hAnsi="Times New Roman" w:cs="Times New Roman"/>
            </w:rPr>
            <w:alias w:val="是否适用：按款项性质列示其他应付款[双击切换]"/>
            <w:tag w:val="_GBC_a099ebd596de4984814ff6b49af92e86"/>
            <w:id w:val="-1644965995"/>
            <w:lock w:val="sdtLocked"/>
            <w:placeholder>
              <w:docPart w:val="GBC22222222222222222222222222222"/>
            </w:placeholder>
          </w:sdtPr>
          <w:sdtEndPr/>
          <w:sdtContent>
            <w:p w14:paraId="2653FF48"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fldChar w:fldCharType="begin"/>
              </w:r>
              <w:r w:rsidRPr="007E67C2">
                <w:rPr>
                  <w:rFonts w:ascii="Times New Roman" w:hAnsi="Times New Roman" w:cs="Times New Roman"/>
                </w:rPr>
                <w:instrText>MACROBUTTON  SnrToggleCheckbox √</w:instrText>
              </w:r>
              <w:r w:rsidRPr="007E67C2">
                <w:rPr>
                  <w:rFonts w:ascii="Times New Roman" w:hAnsi="Times New Roman" w:cs="Times New Roman"/>
                </w:rPr>
                <w:instrText>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不适用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p>
          </w:sdtContent>
        </w:sdt>
        <w:p w14:paraId="7F753349"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单位：</w:t>
          </w:r>
          <w:sdt>
            <w:sdtPr>
              <w:rPr>
                <w:rFonts w:ascii="Times New Roman" w:hAnsi="Times New Roman" w:cs="Times New Roman"/>
                <w:szCs w:val="21"/>
              </w:rPr>
              <w:alias w:val="单位：财务附注：其他应付款情况"/>
              <w:tag w:val="_GBC_781a05c0c742470b88557fa8878adf9c"/>
              <w:id w:val="-39361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67C2">
                <w:rPr>
                  <w:rFonts w:ascii="Times New Roman" w:hAnsi="Times New Roman" w:cs="Times New Roman"/>
                  <w:szCs w:val="21"/>
                </w:rPr>
                <w:t>元</w:t>
              </w:r>
            </w:sdtContent>
          </w:sdt>
          <w:r w:rsidRPr="007E67C2">
            <w:rPr>
              <w:rFonts w:ascii="Times New Roman" w:hAnsi="Times New Roman" w:cs="Times New Roman"/>
              <w:szCs w:val="21"/>
            </w:rPr>
            <w:t>币种：</w:t>
          </w:r>
          <w:sdt>
            <w:sdtPr>
              <w:rPr>
                <w:rFonts w:ascii="Times New Roman" w:hAnsi="Times New Roman" w:cs="Times New Roman"/>
                <w:szCs w:val="21"/>
              </w:rPr>
              <w:alias w:val="币种：财务附注：其他应付款情况"/>
              <w:tag w:val="_GBC_19bba6af93f1445cbfdc13ddfb71a0ea"/>
              <w:id w:val="-1944072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4"/>
            <w:gridCol w:w="3049"/>
          </w:tblGrid>
          <w:tr w:rsidR="00D21C1F" w:rsidRPr="007E67C2" w14:paraId="450D05BA" w14:textId="77777777">
            <w:sdt>
              <w:sdtPr>
                <w:rPr>
                  <w:rFonts w:ascii="Times New Roman" w:hAnsi="Times New Roman" w:cs="Times New Roman"/>
                </w:rPr>
                <w:tag w:val="_PLD_3991c4118c8d4069811e5f758978143f"/>
                <w:id w:val="515346510"/>
                <w:lock w:val="sdtLocked"/>
              </w:sdtPr>
              <w:sdtEndPr/>
              <w:sdtContent>
                <w:tc>
                  <w:tcPr>
                    <w:tcW w:w="1615" w:type="pct"/>
                    <w:shd w:val="clear" w:color="auto" w:fill="auto"/>
                  </w:tcPr>
                  <w:p w14:paraId="4E3D7852"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项目</w:t>
                    </w:r>
                  </w:p>
                </w:tc>
              </w:sdtContent>
            </w:sdt>
            <w:sdt>
              <w:sdtPr>
                <w:rPr>
                  <w:rFonts w:ascii="Times New Roman" w:hAnsi="Times New Roman" w:cs="Times New Roman"/>
                </w:rPr>
                <w:tag w:val="_PLD_c1bcea3523f040f08da3a1bd0d135ad5"/>
                <w:id w:val="1667665786"/>
                <w:lock w:val="sdtLocked"/>
              </w:sdtPr>
              <w:sdtEndPr/>
              <w:sdtContent>
                <w:tc>
                  <w:tcPr>
                    <w:tcW w:w="1657" w:type="pct"/>
                    <w:shd w:val="clear" w:color="auto" w:fill="auto"/>
                  </w:tcPr>
                  <w:p w14:paraId="273DC4EC"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期末余额</w:t>
                    </w:r>
                  </w:p>
                </w:tc>
              </w:sdtContent>
            </w:sdt>
            <w:sdt>
              <w:sdtPr>
                <w:rPr>
                  <w:rFonts w:ascii="Times New Roman" w:hAnsi="Times New Roman" w:cs="Times New Roman"/>
                </w:rPr>
                <w:tag w:val="_PLD_b89663858245498c995c58e2bab384aa"/>
                <w:id w:val="-1825497764"/>
                <w:lock w:val="sdtLocked"/>
              </w:sdtPr>
              <w:sdtEndPr/>
              <w:sdtContent>
                <w:tc>
                  <w:tcPr>
                    <w:tcW w:w="1728" w:type="pct"/>
                    <w:shd w:val="clear" w:color="auto" w:fill="auto"/>
                  </w:tcPr>
                  <w:p w14:paraId="07B85121"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期初余额</w:t>
                    </w:r>
                  </w:p>
                </w:tc>
              </w:sdtContent>
            </w:sdt>
          </w:tr>
          <w:sdt>
            <w:sdtPr>
              <w:rPr>
                <w:rFonts w:ascii="Times New Roman" w:hAnsi="Times New Roman" w:cs="Times New Roman"/>
                <w:szCs w:val="21"/>
              </w:rPr>
              <w:alias w:val="其他应付款情况明细"/>
              <w:tag w:val="_TUP_d68cb62e22fc4f99ab4d25c145efcd43"/>
              <w:id w:val="-1569420248"/>
              <w:lock w:val="sdtLocked"/>
            </w:sdtPr>
            <w:sdtEndPr/>
            <w:sdtContent>
              <w:tr w:rsidR="00D21C1F" w:rsidRPr="007E67C2" w14:paraId="0DFF3E20" w14:textId="77777777">
                <w:tc>
                  <w:tcPr>
                    <w:tcW w:w="1615" w:type="pct"/>
                    <w:shd w:val="clear" w:color="auto" w:fill="auto"/>
                  </w:tcPr>
                  <w:p w14:paraId="1FA186E4" w14:textId="77777777" w:rsidR="00D21C1F" w:rsidRPr="007E67C2" w:rsidRDefault="00A42880">
                    <w:pPr>
                      <w:rPr>
                        <w:rFonts w:ascii="Times New Roman" w:hAnsi="Times New Roman" w:cs="Times New Roman"/>
                        <w:szCs w:val="21"/>
                      </w:rPr>
                    </w:pPr>
                    <w:r w:rsidRPr="007E67C2">
                      <w:rPr>
                        <w:rFonts w:ascii="Times New Roman" w:hAnsi="Times New Roman" w:cs="Times New Roman"/>
                      </w:rPr>
                      <w:t>往来款</w:t>
                    </w:r>
                  </w:p>
                </w:tc>
                <w:tc>
                  <w:tcPr>
                    <w:tcW w:w="1657" w:type="pct"/>
                    <w:shd w:val="clear" w:color="auto" w:fill="auto"/>
                    <w:vAlign w:val="bottom"/>
                  </w:tcPr>
                  <w:p w14:paraId="12C095E6"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26,676,137.05</w:t>
                    </w:r>
                  </w:p>
                </w:tc>
                <w:tc>
                  <w:tcPr>
                    <w:tcW w:w="1728" w:type="pct"/>
                    <w:shd w:val="clear" w:color="auto" w:fill="auto"/>
                    <w:vAlign w:val="bottom"/>
                  </w:tcPr>
                  <w:p w14:paraId="01434D75"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31,581,684.62</w:t>
                    </w:r>
                  </w:p>
                </w:tc>
              </w:tr>
            </w:sdtContent>
          </w:sdt>
          <w:sdt>
            <w:sdtPr>
              <w:rPr>
                <w:rFonts w:ascii="Times New Roman" w:hAnsi="Times New Roman" w:cs="Times New Roman"/>
                <w:szCs w:val="21"/>
              </w:rPr>
              <w:alias w:val="其他应付款情况明细"/>
              <w:tag w:val="_TUP_d68cb62e22fc4f99ab4d25c145efcd43"/>
              <w:id w:val="860096332"/>
              <w:lock w:val="sdtLocked"/>
            </w:sdtPr>
            <w:sdtEndPr/>
            <w:sdtContent>
              <w:tr w:rsidR="00D21C1F" w:rsidRPr="007E67C2" w14:paraId="28BEADD0" w14:textId="77777777">
                <w:tc>
                  <w:tcPr>
                    <w:tcW w:w="1615" w:type="pct"/>
                    <w:shd w:val="clear" w:color="auto" w:fill="auto"/>
                  </w:tcPr>
                  <w:p w14:paraId="13FF0315" w14:textId="77777777" w:rsidR="00D21C1F" w:rsidRPr="007E67C2" w:rsidRDefault="00A42880">
                    <w:pPr>
                      <w:rPr>
                        <w:rFonts w:ascii="Times New Roman" w:hAnsi="Times New Roman" w:cs="Times New Roman"/>
                        <w:szCs w:val="21"/>
                      </w:rPr>
                    </w:pPr>
                    <w:r w:rsidRPr="007E67C2">
                      <w:rPr>
                        <w:rFonts w:ascii="Times New Roman" w:hAnsi="Times New Roman" w:cs="Times New Roman"/>
                      </w:rPr>
                      <w:t>押金</w:t>
                    </w:r>
                  </w:p>
                </w:tc>
                <w:tc>
                  <w:tcPr>
                    <w:tcW w:w="1657" w:type="pct"/>
                    <w:shd w:val="clear" w:color="auto" w:fill="auto"/>
                    <w:vAlign w:val="bottom"/>
                  </w:tcPr>
                  <w:p w14:paraId="3925F71C"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2,263,975.28</w:t>
                    </w:r>
                  </w:p>
                </w:tc>
                <w:tc>
                  <w:tcPr>
                    <w:tcW w:w="1728" w:type="pct"/>
                    <w:shd w:val="clear" w:color="auto" w:fill="auto"/>
                    <w:vAlign w:val="bottom"/>
                  </w:tcPr>
                  <w:p w14:paraId="0085D165"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1,392,298.86</w:t>
                    </w:r>
                  </w:p>
                </w:tc>
              </w:tr>
            </w:sdtContent>
          </w:sdt>
          <w:sdt>
            <w:sdtPr>
              <w:rPr>
                <w:rFonts w:ascii="Times New Roman" w:hAnsi="Times New Roman" w:cs="Times New Roman"/>
                <w:szCs w:val="21"/>
              </w:rPr>
              <w:alias w:val="其他应付款情况明细"/>
              <w:tag w:val="_TUP_d68cb62e22fc4f99ab4d25c145efcd43"/>
              <w:id w:val="1197891586"/>
              <w:lock w:val="sdtLocked"/>
            </w:sdtPr>
            <w:sdtEndPr/>
            <w:sdtContent>
              <w:tr w:rsidR="00D21C1F" w:rsidRPr="007E67C2" w14:paraId="659F3BEB" w14:textId="77777777">
                <w:tc>
                  <w:tcPr>
                    <w:tcW w:w="1615" w:type="pct"/>
                    <w:shd w:val="clear" w:color="auto" w:fill="auto"/>
                  </w:tcPr>
                  <w:p w14:paraId="361EDF27" w14:textId="77777777" w:rsidR="00D21C1F" w:rsidRPr="007E67C2" w:rsidRDefault="00A42880">
                    <w:pPr>
                      <w:rPr>
                        <w:rFonts w:ascii="Times New Roman" w:hAnsi="Times New Roman" w:cs="Times New Roman"/>
                        <w:szCs w:val="21"/>
                      </w:rPr>
                    </w:pPr>
                    <w:r w:rsidRPr="007E67C2">
                      <w:rPr>
                        <w:rFonts w:ascii="Times New Roman" w:hAnsi="Times New Roman" w:cs="Times New Roman"/>
                      </w:rPr>
                      <w:t>保证金</w:t>
                    </w:r>
                  </w:p>
                </w:tc>
                <w:tc>
                  <w:tcPr>
                    <w:tcW w:w="1657" w:type="pct"/>
                    <w:shd w:val="clear" w:color="auto" w:fill="auto"/>
                    <w:vAlign w:val="bottom"/>
                  </w:tcPr>
                  <w:p w14:paraId="5963B14C"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1,260,729.54</w:t>
                    </w:r>
                  </w:p>
                </w:tc>
                <w:tc>
                  <w:tcPr>
                    <w:tcW w:w="1728" w:type="pct"/>
                    <w:shd w:val="clear" w:color="auto" w:fill="auto"/>
                    <w:vAlign w:val="bottom"/>
                  </w:tcPr>
                  <w:p w14:paraId="609595C3"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331,358.00</w:t>
                    </w:r>
                  </w:p>
                </w:tc>
              </w:tr>
            </w:sdtContent>
          </w:sdt>
          <w:sdt>
            <w:sdtPr>
              <w:rPr>
                <w:rFonts w:ascii="Times New Roman" w:hAnsi="Times New Roman" w:cs="Times New Roman"/>
                <w:szCs w:val="21"/>
              </w:rPr>
              <w:alias w:val="其他应付款情况明细"/>
              <w:tag w:val="_TUP_d68cb62e22fc4f99ab4d25c145efcd43"/>
              <w:id w:val="1918202489"/>
              <w:lock w:val="sdtLocked"/>
            </w:sdtPr>
            <w:sdtEndPr/>
            <w:sdtContent>
              <w:tr w:rsidR="00D21C1F" w:rsidRPr="007E67C2" w14:paraId="1AF50C59" w14:textId="77777777">
                <w:tc>
                  <w:tcPr>
                    <w:tcW w:w="1615" w:type="pct"/>
                    <w:shd w:val="clear" w:color="auto" w:fill="auto"/>
                  </w:tcPr>
                  <w:p w14:paraId="28CA9DA9" w14:textId="77777777" w:rsidR="00D21C1F" w:rsidRPr="007E67C2" w:rsidRDefault="00A42880">
                    <w:pPr>
                      <w:rPr>
                        <w:rFonts w:ascii="Times New Roman" w:hAnsi="Times New Roman" w:cs="Times New Roman"/>
                        <w:szCs w:val="21"/>
                      </w:rPr>
                    </w:pPr>
                    <w:r w:rsidRPr="007E67C2">
                      <w:rPr>
                        <w:rFonts w:ascii="Times New Roman" w:hAnsi="Times New Roman" w:cs="Times New Roman"/>
                      </w:rPr>
                      <w:t>其他</w:t>
                    </w:r>
                  </w:p>
                </w:tc>
                <w:tc>
                  <w:tcPr>
                    <w:tcW w:w="1657" w:type="pct"/>
                    <w:shd w:val="clear" w:color="auto" w:fill="auto"/>
                    <w:vAlign w:val="bottom"/>
                  </w:tcPr>
                  <w:p w14:paraId="000F1678"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3,421,643.09</w:t>
                    </w:r>
                  </w:p>
                </w:tc>
                <w:tc>
                  <w:tcPr>
                    <w:tcW w:w="1728" w:type="pct"/>
                    <w:shd w:val="clear" w:color="auto" w:fill="auto"/>
                    <w:vAlign w:val="bottom"/>
                  </w:tcPr>
                  <w:p w14:paraId="5DDDA44D"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2,828,127.94</w:t>
                    </w:r>
                  </w:p>
                </w:tc>
              </w:tr>
            </w:sdtContent>
          </w:sdt>
          <w:tr w:rsidR="00D21C1F" w:rsidRPr="007E67C2" w14:paraId="046ED786" w14:textId="77777777">
            <w:sdt>
              <w:sdtPr>
                <w:rPr>
                  <w:rFonts w:ascii="Times New Roman" w:hAnsi="Times New Roman" w:cs="Times New Roman"/>
                </w:rPr>
                <w:tag w:val="_PLD_dc1df66b4e6549929c6b91b265854e4c"/>
                <w:id w:val="-213353866"/>
                <w:lock w:val="sdtLocked"/>
              </w:sdtPr>
              <w:sdtEndPr/>
              <w:sdtContent>
                <w:tc>
                  <w:tcPr>
                    <w:tcW w:w="1615" w:type="pct"/>
                    <w:shd w:val="clear" w:color="auto" w:fill="auto"/>
                  </w:tcPr>
                  <w:p w14:paraId="45E76270" w14:textId="77777777" w:rsidR="00D21C1F" w:rsidRPr="007E67C2" w:rsidRDefault="00A42880">
                    <w:pPr>
                      <w:jc w:val="center"/>
                      <w:rPr>
                        <w:rFonts w:ascii="Times New Roman" w:hAnsi="Times New Roman" w:cs="Times New Roman"/>
                        <w:color w:val="000000" w:themeColor="text1"/>
                        <w:szCs w:val="21"/>
                      </w:rPr>
                    </w:pPr>
                    <w:r w:rsidRPr="007E67C2">
                      <w:rPr>
                        <w:rFonts w:ascii="Times New Roman" w:hAnsi="Times New Roman" w:cs="Times New Roman"/>
                        <w:color w:val="000000" w:themeColor="text1"/>
                        <w:szCs w:val="21"/>
                      </w:rPr>
                      <w:t>合计</w:t>
                    </w:r>
                  </w:p>
                </w:tc>
              </w:sdtContent>
            </w:sdt>
            <w:tc>
              <w:tcPr>
                <w:tcW w:w="1657" w:type="pct"/>
                <w:shd w:val="clear" w:color="auto" w:fill="auto"/>
                <w:vAlign w:val="bottom"/>
              </w:tcPr>
              <w:p w14:paraId="58B82DB1"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33,622,484.96</w:t>
                </w:r>
              </w:p>
            </w:tc>
            <w:tc>
              <w:tcPr>
                <w:tcW w:w="1728" w:type="pct"/>
                <w:shd w:val="clear" w:color="auto" w:fill="auto"/>
                <w:vAlign w:val="bottom"/>
              </w:tcPr>
              <w:p w14:paraId="2CBDB253"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36,133,469.42</w:t>
                </w:r>
              </w:p>
            </w:tc>
          </w:tr>
        </w:tbl>
        <w:p w14:paraId="2B4EDA17" w14:textId="77777777" w:rsidR="00D21C1F" w:rsidRPr="007E67C2" w:rsidRDefault="00045EC6">
          <w:pPr>
            <w:pStyle w:val="97"/>
            <w:rPr>
              <w:rFonts w:ascii="Times New Roman" w:hAnsi="Times New Roman" w:cs="Times New Roman"/>
            </w:rPr>
          </w:pPr>
        </w:p>
      </w:sdtContent>
    </w:sdt>
    <w:sdt>
      <w:sdtPr>
        <w:rPr>
          <w:rFonts w:ascii="宋体" w:hAnsi="宋体" w:cs="宋体" w:hint="eastAsia"/>
          <w:b w:val="0"/>
          <w:bCs w:val="0"/>
          <w:kern w:val="0"/>
          <w:szCs w:val="24"/>
        </w:rPr>
        <w:alias w:val="模块:账龄超过1年的重要其他应付款"/>
        <w:tag w:val="_SEC_83408720712d4902a68e6c9ddd4c67ae"/>
        <w:id w:val="539713080"/>
        <w:lock w:val="sdtLocked"/>
        <w:placeholder>
          <w:docPart w:val="GBC22222222222222222222222222222"/>
        </w:placeholder>
      </w:sdtPr>
      <w:sdtEndPr>
        <w:rPr>
          <w:rFonts w:hint="default"/>
        </w:rPr>
      </w:sdtEndPr>
      <w:sdtContent>
        <w:p w14:paraId="0B1176DB" w14:textId="77777777" w:rsidR="00D21C1F" w:rsidRDefault="00A42880">
          <w:pPr>
            <w:pStyle w:val="93"/>
            <w:numPr>
              <w:ilvl w:val="3"/>
              <w:numId w:val="118"/>
            </w:numPr>
            <w:rPr>
              <w:rFonts w:ascii="宋体" w:hAnsi="宋体"/>
            </w:rPr>
          </w:pPr>
          <w:r>
            <w:rPr>
              <w:rFonts w:ascii="宋体" w:hAnsi="宋体" w:hint="eastAsia"/>
            </w:rPr>
            <w:t>账龄超过</w:t>
          </w:r>
          <w:r>
            <w:rPr>
              <w:rFonts w:ascii="Times New Roman" w:hAnsi="Times New Roman"/>
            </w:rPr>
            <w:t>1</w:t>
          </w:r>
          <w:r>
            <w:rPr>
              <w:rFonts w:ascii="宋体" w:hAnsi="宋体"/>
            </w:rPr>
            <w:t>年的重要其他应付款</w:t>
          </w:r>
        </w:p>
        <w:p w14:paraId="38096283" w14:textId="77777777" w:rsidR="00D21C1F" w:rsidRDefault="00045EC6">
          <w:pPr>
            <w:pStyle w:val="97"/>
          </w:pPr>
          <w:sdt>
            <w:sdtPr>
              <w:alias w:val="是否适用：账龄超过1年的重要其他应付款[双击切换]"/>
              <w:tag w:val="_GBC_484cd63ee8b54a41978c822ae4ec5689"/>
              <w:id w:val="-1047834132"/>
              <w:lock w:val="sdtLocked"/>
              <w:placeholder>
                <w:docPart w:val="GBC22222222222222222222222222222"/>
              </w:placeholder>
            </w:sdtPr>
            <w:sdtEndPr/>
            <w:sdtContent>
              <w:r w:rsidR="00A42880">
                <w:fldChar w:fldCharType="begin"/>
              </w:r>
              <w:r w:rsidR="00A42880">
                <w:instrText xml:space="preserve">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sdtContent>
    </w:sdt>
    <w:sdt>
      <w:sdtPr>
        <w:rPr>
          <w:rFonts w:eastAsia="宋体" w:hint="eastAsia"/>
        </w:rPr>
        <w:alias w:val="模块:其他说明"/>
        <w:tag w:val="_SEC_b03fcb02b4b747249703cbc2e0a127fd"/>
        <w:id w:val="1704675523"/>
        <w:lock w:val="sdtLocked"/>
        <w:placeholder>
          <w:docPart w:val="GBC22222222222222222222222222222"/>
        </w:placeholder>
      </w:sdtPr>
      <w:sdtEndPr>
        <w:rPr>
          <w:rFonts w:hint="default"/>
          <w:szCs w:val="21"/>
        </w:rPr>
      </w:sdtEndPr>
      <w:sdtContent>
        <w:p w14:paraId="5B1502D8" w14:textId="77777777" w:rsidR="00D21C1F" w:rsidRDefault="00A42880">
          <w:pPr>
            <w:pStyle w:val="97"/>
          </w:pPr>
          <w:r>
            <w:rPr>
              <w:rFonts w:hint="eastAsia"/>
            </w:rPr>
            <w:t>其他说明：</w:t>
          </w:r>
        </w:p>
        <w:sdt>
          <w:sdtPr>
            <w:alias w:val="是否适用：其他应付款的其他说明[双击切换]"/>
            <w:tag w:val="_GBC_c968ec386e144657884a6b5b483acbfd"/>
            <w:id w:val="-258597848"/>
            <w:lock w:val="sdtLocked"/>
            <w:placeholder>
              <w:docPart w:val="GBC22222222222222222222222222222"/>
            </w:placeholder>
          </w:sdtPr>
          <w:sdtEndPr/>
          <w:sdtContent>
            <w:p w14:paraId="501B0EB4" w14:textId="77777777" w:rsidR="00D21C1F" w:rsidRDefault="00A4288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0"/>
    <w:p w14:paraId="3910015B" w14:textId="77777777" w:rsidR="00D21C1F" w:rsidRDefault="00D21C1F">
      <w:pPr>
        <w:rPr>
          <w:szCs w:val="21"/>
        </w:rPr>
      </w:pPr>
    </w:p>
    <w:sdt>
      <w:sdtPr>
        <w:rPr>
          <w:rFonts w:ascii="宋体" w:hAnsi="宋体" w:cs="宋体" w:hint="eastAsia"/>
          <w:b w:val="0"/>
          <w:bCs w:val="0"/>
          <w:kern w:val="0"/>
          <w:szCs w:val="21"/>
        </w:rPr>
        <w:alias w:val="模块:划分为持有待售的负债"/>
        <w:tag w:val="_GBC_b863defdccbc448695ee82953f3da273"/>
        <w:id w:val="-1039277204"/>
        <w:lock w:val="sdtLocked"/>
        <w:placeholder>
          <w:docPart w:val="GBC22222222222222222222222222222"/>
        </w:placeholder>
      </w:sdtPr>
      <w:sdtEndPr/>
      <w:sdtContent>
        <w:p w14:paraId="3610E477"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955558679"/>
            <w:lock w:val="sdtLocked"/>
            <w:placeholder>
              <w:docPart w:val="GBC22222222222222222222222222222"/>
            </w:placeholder>
          </w:sdtPr>
          <w:sdtEndPr/>
          <w:sdtContent>
            <w:p w14:paraId="41196BF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750C30C" w14:textId="77777777" w:rsidR="00D21C1F" w:rsidRDefault="00D21C1F">
      <w:pPr>
        <w:rPr>
          <w:szCs w:val="21"/>
        </w:rPr>
      </w:pPr>
    </w:p>
    <w:sdt>
      <w:sdtPr>
        <w:rPr>
          <w:rFonts w:ascii="Times New Roman" w:hAnsi="Times New Roman" w:cs="宋体"/>
          <w:b w:val="0"/>
          <w:bCs w:val="0"/>
          <w:kern w:val="0"/>
          <w:szCs w:val="21"/>
        </w:rPr>
        <w:alias w:val="模块:1年内到期的非流动负债"/>
        <w:tag w:val="_GBC_d5b7f9c02d494f85b85a36713895b9f8"/>
        <w:id w:val="284317546"/>
        <w:lock w:val="sdtLocked"/>
        <w:placeholder>
          <w:docPart w:val="GBC22222222222222222222222222222"/>
        </w:placeholder>
      </w:sdtPr>
      <w:sdtEndPr/>
      <w:sdtContent>
        <w:p w14:paraId="405759AF" w14:textId="77777777" w:rsidR="00D21C1F" w:rsidRPr="007E67C2" w:rsidRDefault="00A42880">
          <w:pPr>
            <w:pStyle w:val="94"/>
            <w:numPr>
              <w:ilvl w:val="0"/>
              <w:numId w:val="95"/>
            </w:numPr>
            <w:tabs>
              <w:tab w:val="left" w:pos="504"/>
            </w:tabs>
            <w:rPr>
              <w:rFonts w:ascii="Times New Roman" w:hAnsi="Times New Roman"/>
              <w:szCs w:val="21"/>
            </w:rPr>
          </w:pPr>
          <w:r w:rsidRPr="007E67C2">
            <w:rPr>
              <w:rFonts w:ascii="Times New Roman" w:hAnsi="Times New Roman"/>
              <w:szCs w:val="21"/>
            </w:rPr>
            <w:t>1</w:t>
          </w:r>
          <w:r w:rsidRPr="007E67C2">
            <w:rPr>
              <w:rFonts w:ascii="Times New Roman" w:hAnsi="Times New Roman"/>
              <w:szCs w:val="21"/>
            </w:rPr>
            <w:t>年内到期的非流动负债</w:t>
          </w:r>
        </w:p>
        <w:sdt>
          <w:sdtPr>
            <w:rPr>
              <w:rFonts w:ascii="Times New Roman" w:hAnsi="Times New Roman" w:cs="Times New Roman"/>
            </w:rPr>
            <w:alias w:val="是否适用：1年内到期的非流动负债[双击切换]"/>
            <w:tag w:val="_GBC_9b606bc3f0cf4f77be9b0f299d212c73"/>
            <w:id w:val="304281092"/>
            <w:lock w:val="sdtLocked"/>
            <w:placeholder>
              <w:docPart w:val="GBC22222222222222222222222222222"/>
            </w:placeholder>
          </w:sdtPr>
          <w:sdtEndPr/>
          <w:sdtContent>
            <w:p w14:paraId="72185C7F"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不适用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p>
          </w:sdtContent>
        </w:sdt>
        <w:p w14:paraId="2BA170BE"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单位：</w:t>
          </w:r>
          <w:sdt>
            <w:sdtPr>
              <w:rPr>
                <w:rFonts w:ascii="Times New Roman" w:hAnsi="Times New Roman" w:cs="Times New Roman"/>
                <w:szCs w:val="21"/>
              </w:rPr>
              <w:alias w:val="单位：1年内到期的非流动负债情况"/>
              <w:tag w:val="_GBC_7bad01766fa0485ea9c16109704ff32e"/>
              <w:id w:val="172232804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7E67C2">
                <w:rPr>
                  <w:rFonts w:ascii="Times New Roman" w:hAnsi="Times New Roman" w:cs="Times New Roman"/>
                  <w:szCs w:val="21"/>
                </w:rPr>
                <w:t>元</w:t>
              </w:r>
            </w:sdtContent>
          </w:sdt>
          <w:r w:rsidRPr="007E67C2">
            <w:rPr>
              <w:rFonts w:ascii="Times New Roman" w:hAnsi="Times New Roman" w:cs="Times New Roman"/>
              <w:szCs w:val="21"/>
            </w:rPr>
            <w:t>币种：</w:t>
          </w:r>
          <w:sdt>
            <w:sdtPr>
              <w:rPr>
                <w:rFonts w:ascii="Times New Roman" w:hAnsi="Times New Roman" w:cs="Times New Roman"/>
                <w:szCs w:val="21"/>
              </w:rPr>
              <w:alias w:val="币种：1年内到期的非流动负债情况"/>
              <w:tag w:val="_GBC_25aa805434d340a6ade79870522c9640"/>
              <w:id w:val="-5108301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D21C1F" w:rsidRPr="007E67C2" w14:paraId="587CF8F5" w14:textId="77777777">
            <w:sdt>
              <w:sdtPr>
                <w:rPr>
                  <w:rFonts w:ascii="Times New Roman" w:hAnsi="Times New Roman" w:cs="Times New Roman"/>
                </w:rPr>
                <w:tag w:val="_PLD_bf2815b84ebe4a1e94909ee96ec31ac1"/>
                <w:id w:val="1351685637"/>
                <w:lock w:val="sdtLocked"/>
              </w:sdtPr>
              <w:sdtEndPr/>
              <w:sdtContent>
                <w:tc>
                  <w:tcPr>
                    <w:tcW w:w="1607" w:type="pct"/>
                    <w:shd w:val="clear" w:color="auto" w:fill="auto"/>
                  </w:tcPr>
                  <w:p w14:paraId="6B6F058F"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项目</w:t>
                    </w:r>
                  </w:p>
                </w:tc>
              </w:sdtContent>
            </w:sdt>
            <w:sdt>
              <w:sdtPr>
                <w:rPr>
                  <w:rFonts w:ascii="Times New Roman" w:hAnsi="Times New Roman" w:cs="Times New Roman"/>
                </w:rPr>
                <w:tag w:val="_PLD_db7abcf611bc4296ad7bd9c8177202e0"/>
                <w:id w:val="87897148"/>
                <w:lock w:val="sdtLocked"/>
              </w:sdtPr>
              <w:sdtEndPr/>
              <w:sdtContent>
                <w:tc>
                  <w:tcPr>
                    <w:tcW w:w="1678" w:type="pct"/>
                    <w:shd w:val="clear" w:color="auto" w:fill="auto"/>
                  </w:tcPr>
                  <w:p w14:paraId="1D35254E"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期末余额</w:t>
                    </w:r>
                  </w:p>
                </w:tc>
              </w:sdtContent>
            </w:sdt>
            <w:sdt>
              <w:sdtPr>
                <w:rPr>
                  <w:rFonts w:ascii="Times New Roman" w:hAnsi="Times New Roman" w:cs="Times New Roman"/>
                </w:rPr>
                <w:tag w:val="_PLD_371959274ef4493ca1fe426c930e0bf2"/>
                <w:id w:val="889303744"/>
                <w:lock w:val="sdtLocked"/>
              </w:sdtPr>
              <w:sdtEndPr/>
              <w:sdtContent>
                <w:tc>
                  <w:tcPr>
                    <w:tcW w:w="1715" w:type="pct"/>
                    <w:shd w:val="clear" w:color="auto" w:fill="auto"/>
                  </w:tcPr>
                  <w:p w14:paraId="1AE4D99C"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期初余额</w:t>
                    </w:r>
                  </w:p>
                </w:tc>
              </w:sdtContent>
            </w:sdt>
          </w:tr>
          <w:tr w:rsidR="00D21C1F" w:rsidRPr="007E67C2" w14:paraId="5E6E7394" w14:textId="77777777">
            <w:sdt>
              <w:sdtPr>
                <w:rPr>
                  <w:rFonts w:ascii="Times New Roman" w:hAnsi="Times New Roman" w:cs="Times New Roman"/>
                </w:rPr>
                <w:tag w:val="_PLD_d604ff944003432285ae67c4dffb978f"/>
                <w:id w:val="-510681581"/>
                <w:lock w:val="sdtLocked"/>
              </w:sdtPr>
              <w:sdtEndPr/>
              <w:sdtContent>
                <w:tc>
                  <w:tcPr>
                    <w:tcW w:w="1607" w:type="pct"/>
                    <w:shd w:val="clear" w:color="auto" w:fill="auto"/>
                  </w:tcPr>
                  <w:p w14:paraId="4D67AD30" w14:textId="77777777" w:rsidR="00D21C1F" w:rsidRPr="007E67C2" w:rsidRDefault="00A42880">
                    <w:pPr>
                      <w:rPr>
                        <w:rFonts w:ascii="Times New Roman" w:hAnsi="Times New Roman" w:cs="Times New Roman"/>
                        <w:szCs w:val="21"/>
                      </w:rPr>
                    </w:pPr>
                    <w:r w:rsidRPr="007E67C2">
                      <w:rPr>
                        <w:rFonts w:ascii="Times New Roman" w:hAnsi="Times New Roman" w:cs="Times New Roman"/>
                        <w:szCs w:val="21"/>
                      </w:rPr>
                      <w:t>1</w:t>
                    </w:r>
                    <w:r w:rsidRPr="007E67C2">
                      <w:rPr>
                        <w:rFonts w:ascii="Times New Roman" w:hAnsi="Times New Roman" w:cs="Times New Roman"/>
                        <w:szCs w:val="21"/>
                      </w:rPr>
                      <w:t>年内到期的长期借款</w:t>
                    </w:r>
                  </w:p>
                </w:tc>
              </w:sdtContent>
            </w:sdt>
            <w:tc>
              <w:tcPr>
                <w:tcW w:w="1678" w:type="pct"/>
                <w:shd w:val="clear" w:color="auto" w:fill="auto"/>
                <w:vAlign w:val="center"/>
              </w:tcPr>
              <w:p w14:paraId="1D6BF0A4"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59,692,391.69</w:t>
                </w:r>
              </w:p>
            </w:tc>
            <w:tc>
              <w:tcPr>
                <w:tcW w:w="1715" w:type="pct"/>
                <w:shd w:val="clear" w:color="auto" w:fill="auto"/>
                <w:vAlign w:val="center"/>
              </w:tcPr>
              <w:p w14:paraId="50FB9420"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85,492,836.82</w:t>
                </w:r>
              </w:p>
            </w:tc>
          </w:tr>
          <w:sdt>
            <w:sdtPr>
              <w:rPr>
                <w:rFonts w:ascii="Times New Roman" w:hAnsi="Times New Roman" w:cs="Times New Roman"/>
                <w:szCs w:val="21"/>
              </w:rPr>
              <w:alias w:val="1年内到期的非流动负债明细"/>
              <w:tag w:val="_GBC_dc4153fe5748430b8292d10d4e47eebf"/>
              <w:id w:val="-1758051552"/>
              <w:lock w:val="sdtLocked"/>
            </w:sdtPr>
            <w:sdtEndPr>
              <w:rPr>
                <w:color w:val="000000" w:themeColor="text1"/>
              </w:rPr>
            </w:sdtEndPr>
            <w:sdtContent>
              <w:tr w:rsidR="00D21C1F" w:rsidRPr="007E67C2" w14:paraId="3618DCAA" w14:textId="77777777">
                <w:tc>
                  <w:tcPr>
                    <w:tcW w:w="1607" w:type="pct"/>
                    <w:shd w:val="clear" w:color="auto" w:fill="auto"/>
                  </w:tcPr>
                  <w:p w14:paraId="4E54DA71" w14:textId="77777777" w:rsidR="00D21C1F" w:rsidRPr="007E67C2" w:rsidRDefault="00A42880">
                    <w:pPr>
                      <w:rPr>
                        <w:rFonts w:ascii="Times New Roman" w:hAnsi="Times New Roman" w:cs="Times New Roman"/>
                        <w:szCs w:val="21"/>
                      </w:rPr>
                    </w:pPr>
                    <w:r w:rsidRPr="007E67C2">
                      <w:rPr>
                        <w:rFonts w:ascii="Times New Roman" w:hAnsi="Times New Roman" w:cs="Times New Roman"/>
                        <w:szCs w:val="21"/>
                      </w:rPr>
                      <w:t>一年内到期的长期借款利息</w:t>
                    </w:r>
                  </w:p>
                </w:tc>
                <w:tc>
                  <w:tcPr>
                    <w:tcW w:w="1678" w:type="pct"/>
                    <w:shd w:val="clear" w:color="auto" w:fill="auto"/>
                    <w:vAlign w:val="center"/>
                  </w:tcPr>
                  <w:p w14:paraId="284D0D8C"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298,461.96</w:t>
                    </w:r>
                  </w:p>
                </w:tc>
                <w:tc>
                  <w:tcPr>
                    <w:tcW w:w="1715" w:type="pct"/>
                    <w:shd w:val="clear" w:color="auto" w:fill="auto"/>
                  </w:tcPr>
                  <w:p w14:paraId="2F0D8E4D"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398,982.01</w:t>
                    </w:r>
                  </w:p>
                </w:tc>
              </w:tr>
            </w:sdtContent>
          </w:sdt>
          <w:tr w:rsidR="00D21C1F" w:rsidRPr="007E67C2" w14:paraId="66D3AEF8" w14:textId="77777777">
            <w:tc>
              <w:tcPr>
                <w:tcW w:w="1607" w:type="pct"/>
                <w:shd w:val="clear" w:color="auto" w:fill="auto"/>
              </w:tcPr>
              <w:sdt>
                <w:sdtPr>
                  <w:rPr>
                    <w:rFonts w:ascii="Times New Roman" w:hAnsi="Times New Roman" w:cs="Times New Roman"/>
                  </w:rPr>
                  <w:tag w:val="_PLD_da928b33f6eb40d197d7afd28664c8f8"/>
                  <w:id w:val="2130036565"/>
                  <w:lock w:val="sdtLocked"/>
                </w:sdtPr>
                <w:sdtEndPr/>
                <w:sdtContent>
                  <w:p w14:paraId="72D6448A"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t>1</w:t>
                    </w:r>
                    <w:r w:rsidRPr="007E67C2">
                      <w:rPr>
                        <w:rFonts w:ascii="Times New Roman" w:hAnsi="Times New Roman" w:cs="Times New Roman"/>
                      </w:rPr>
                      <w:t>年内到期的租赁负债</w:t>
                    </w:r>
                  </w:p>
                </w:sdtContent>
              </w:sdt>
            </w:tc>
            <w:tc>
              <w:tcPr>
                <w:tcW w:w="1678" w:type="pct"/>
                <w:shd w:val="clear" w:color="auto" w:fill="auto"/>
                <w:vAlign w:val="center"/>
              </w:tcPr>
              <w:p w14:paraId="211059B8"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8,707,801.47</w:t>
                </w:r>
              </w:p>
            </w:tc>
            <w:tc>
              <w:tcPr>
                <w:tcW w:w="1715" w:type="pct"/>
                <w:shd w:val="clear" w:color="auto" w:fill="auto"/>
                <w:vAlign w:val="center"/>
              </w:tcPr>
              <w:p w14:paraId="0B4EBDCA"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8,958,624.26</w:t>
                </w:r>
              </w:p>
            </w:tc>
          </w:tr>
          <w:tr w:rsidR="00D21C1F" w:rsidRPr="007E67C2" w14:paraId="0AAE30E3" w14:textId="77777777">
            <w:sdt>
              <w:sdtPr>
                <w:rPr>
                  <w:rFonts w:ascii="Times New Roman" w:hAnsi="Times New Roman" w:cs="Times New Roman"/>
                </w:rPr>
                <w:tag w:val="_PLD_f9405fec461a4b079f93c72be0490bbf"/>
                <w:id w:val="1683155167"/>
                <w:lock w:val="sdtLocked"/>
              </w:sdtPr>
              <w:sdtEndPr/>
              <w:sdtContent>
                <w:tc>
                  <w:tcPr>
                    <w:tcW w:w="1607" w:type="pct"/>
                    <w:shd w:val="clear" w:color="auto" w:fill="auto"/>
                  </w:tcPr>
                  <w:p w14:paraId="61EC4FF6"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合计</w:t>
                    </w:r>
                  </w:p>
                </w:tc>
              </w:sdtContent>
            </w:sdt>
            <w:tc>
              <w:tcPr>
                <w:tcW w:w="1678" w:type="pct"/>
                <w:shd w:val="clear" w:color="auto" w:fill="auto"/>
                <w:vAlign w:val="center"/>
              </w:tcPr>
              <w:p w14:paraId="41C47179"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68,698,655.12</w:t>
                </w:r>
              </w:p>
            </w:tc>
            <w:tc>
              <w:tcPr>
                <w:tcW w:w="1715" w:type="pct"/>
                <w:shd w:val="clear" w:color="auto" w:fill="auto"/>
                <w:vAlign w:val="center"/>
              </w:tcPr>
              <w:p w14:paraId="28421862"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94,850,443.09</w:t>
                </w:r>
              </w:p>
            </w:tc>
          </w:tr>
        </w:tbl>
        <w:p w14:paraId="57961A4D" w14:textId="77777777" w:rsidR="00D21C1F" w:rsidRPr="007E67C2" w:rsidRDefault="00A42880">
          <w:pPr>
            <w:rPr>
              <w:rFonts w:ascii="Times New Roman" w:hAnsi="Times New Roman" w:cs="Times New Roman"/>
              <w:szCs w:val="21"/>
            </w:rPr>
          </w:pPr>
          <w:r w:rsidRPr="007E67C2">
            <w:rPr>
              <w:rFonts w:ascii="Times New Roman" w:hAnsi="Times New Roman" w:cs="Times New Roman"/>
              <w:szCs w:val="21"/>
            </w:rPr>
            <w:t>其他说明：</w:t>
          </w:r>
        </w:p>
        <w:sdt>
          <w:sdtPr>
            <w:rPr>
              <w:rFonts w:ascii="Times New Roman" w:hAnsi="Times New Roman" w:cs="Times New Roman"/>
              <w:szCs w:val="21"/>
            </w:rPr>
            <w:alias w:val="1年内到期的非流动负债说明"/>
            <w:tag w:val="_GBC_ae2cc1bff1994660ac9e57279493bfe6"/>
            <w:id w:val="348225724"/>
            <w:lock w:val="sdtLocked"/>
          </w:sdtPr>
          <w:sdtEndPr/>
          <w:sdtContent>
            <w:p w14:paraId="347BF1C3" w14:textId="77777777" w:rsidR="00D21C1F" w:rsidRPr="007E67C2" w:rsidRDefault="00A42880">
              <w:pPr>
                <w:pStyle w:val="97"/>
                <w:rPr>
                  <w:rFonts w:ascii="Times New Roman" w:hAnsi="Times New Roman" w:cs="Times New Roman"/>
                </w:rPr>
              </w:pPr>
              <w:r w:rsidRPr="007E67C2">
                <w:rPr>
                  <w:rFonts w:ascii="Times New Roman" w:hAnsi="Times New Roman" w:cs="Times New Roman"/>
                  <w:szCs w:val="21"/>
                </w:rPr>
                <w:t>无</w:t>
              </w:r>
            </w:p>
            <w:p w14:paraId="11F68E00" w14:textId="77777777" w:rsidR="00D21C1F" w:rsidRDefault="00045EC6">
              <w:pPr>
                <w:pStyle w:val="97"/>
              </w:pPr>
            </w:p>
          </w:sdtContent>
        </w:sdt>
      </w:sdtContent>
    </w:sdt>
    <w:p w14:paraId="3AB24668"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其他流动负债</w:t>
      </w:r>
      <w:bookmarkStart w:id="261" w:name="_Hlk10536328"/>
    </w:p>
    <w:sdt>
      <w:sdtPr>
        <w:rPr>
          <w:rFonts w:hint="eastAsia"/>
          <w:szCs w:val="21"/>
        </w:rPr>
        <w:alias w:val="是否适用：其他流动负债情况 [双击切换]"/>
        <w:tag w:val="_GBC_80907e3e53c44260b850f42646eb3d63"/>
        <w:id w:val="-694237351"/>
        <w:lock w:val="sdtContentLocked"/>
        <w:placeholder>
          <w:docPart w:val="GBC22222222222222222222222222222"/>
        </w:placeholder>
      </w:sdtPr>
      <w:sdtEndPr/>
      <w:sdtContent>
        <w:p w14:paraId="6443C44B"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eastAsiaTheme="minorEastAsia" w:hAnsi="Times New Roman" w:cs="Times New Roman"/>
          <w:szCs w:val="21"/>
        </w:rPr>
        <w:alias w:val="模块:其他流动负债"/>
        <w:tag w:val="_SEC_56be6eded8da4d0d9ac5c3624a91cdc6"/>
        <w:id w:val="-1573808306"/>
        <w:lock w:val="sdtLocked"/>
        <w:placeholder>
          <w:docPart w:val="GBC22222222222222222222222222222"/>
        </w:placeholder>
      </w:sdtPr>
      <w:sdtEndPr>
        <w:rPr>
          <w:szCs w:val="24"/>
        </w:rPr>
      </w:sdtEndPr>
      <w:sdtContent>
        <w:p w14:paraId="16CE5A26"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单位：</w:t>
          </w:r>
          <w:sdt>
            <w:sdtPr>
              <w:rPr>
                <w:rFonts w:ascii="Times New Roman" w:hAnsi="Times New Roman" w:cs="Times New Roman"/>
                <w:szCs w:val="21"/>
              </w:rPr>
              <w:alias w:val="单位：财务附注：其他流动负债"/>
              <w:tag w:val="_GBC_6d31349460124941a4929421727aab0e"/>
              <w:id w:val="-995718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67C2">
                <w:rPr>
                  <w:rFonts w:ascii="Times New Roman" w:hAnsi="Times New Roman" w:cs="Times New Roman"/>
                  <w:szCs w:val="21"/>
                </w:rPr>
                <w:t>元</w:t>
              </w:r>
            </w:sdtContent>
          </w:sdt>
          <w:r w:rsidRPr="007E67C2">
            <w:rPr>
              <w:rFonts w:ascii="Times New Roman" w:hAnsi="Times New Roman" w:cs="Times New Roman"/>
              <w:szCs w:val="21"/>
            </w:rPr>
            <w:t>币种：</w:t>
          </w:r>
          <w:sdt>
            <w:sdtPr>
              <w:rPr>
                <w:rFonts w:ascii="Times New Roman" w:hAnsi="Times New Roman" w:cs="Times New Roman"/>
                <w:szCs w:val="21"/>
              </w:rPr>
              <w:alias w:val="币种：财务附注：其他流动负债"/>
              <w:tag w:val="_GBC_7d8c93066ac541859a45d371953d3cdc"/>
              <w:id w:val="-10028876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szCs w:val="21"/>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3040"/>
            <w:gridCol w:w="3051"/>
          </w:tblGrid>
          <w:tr w:rsidR="00D21C1F" w:rsidRPr="007E67C2" w14:paraId="70FE8ED3" w14:textId="77777777">
            <w:trPr>
              <w:jc w:val="center"/>
            </w:trPr>
            <w:sdt>
              <w:sdtPr>
                <w:rPr>
                  <w:rFonts w:ascii="Times New Roman" w:hAnsi="Times New Roman" w:cs="Times New Roman"/>
                </w:rPr>
                <w:tag w:val="_PLD_8fb682e3d6ad4a60b648ec38137fbf9d"/>
                <w:id w:val="1500616232"/>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056522AC" w14:textId="77777777" w:rsidR="00D21C1F" w:rsidRPr="007E67C2" w:rsidRDefault="00A42880">
                    <w:pPr>
                      <w:tabs>
                        <w:tab w:val="right" w:pos="3690"/>
                        <w:tab w:val="right" w:pos="5130"/>
                        <w:tab w:val="right" w:pos="6030"/>
                        <w:tab w:val="right" w:pos="7650"/>
                        <w:tab w:val="right" w:pos="9270"/>
                      </w:tabs>
                      <w:snapToGrid w:val="0"/>
                      <w:ind w:leftChars="-52" w:left="-109"/>
                      <w:jc w:val="center"/>
                      <w:rPr>
                        <w:rFonts w:ascii="Times New Roman" w:hAnsi="Times New Roman" w:cs="Times New Roman"/>
                        <w:szCs w:val="21"/>
                      </w:rPr>
                    </w:pPr>
                    <w:r w:rsidRPr="007E67C2">
                      <w:rPr>
                        <w:rFonts w:ascii="Times New Roman" w:hAnsi="Times New Roman" w:cs="Times New Roman"/>
                        <w:szCs w:val="21"/>
                      </w:rPr>
                      <w:t>项目</w:t>
                    </w:r>
                  </w:p>
                </w:tc>
              </w:sdtContent>
            </w:sdt>
            <w:sdt>
              <w:sdtPr>
                <w:rPr>
                  <w:rFonts w:ascii="Times New Roman" w:hAnsi="Times New Roman" w:cs="Times New Roman"/>
                </w:rPr>
                <w:tag w:val="_PLD_0c0b762dc58f486f9f736b7ace21e9a0"/>
                <w:id w:val="-568733866"/>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13EFE32C" w14:textId="77777777" w:rsidR="00D21C1F" w:rsidRPr="007E67C2" w:rsidRDefault="00A42880">
                    <w:pPr>
                      <w:adjustRightInd w:val="0"/>
                      <w:snapToGrid w:val="0"/>
                      <w:jc w:val="center"/>
                      <w:rPr>
                        <w:rFonts w:ascii="Times New Roman" w:hAnsi="Times New Roman" w:cs="Times New Roman"/>
                        <w:szCs w:val="21"/>
                      </w:rPr>
                    </w:pPr>
                    <w:r w:rsidRPr="007E67C2">
                      <w:rPr>
                        <w:rFonts w:ascii="Times New Roman" w:hAnsi="Times New Roman" w:cs="Times New Roman"/>
                        <w:szCs w:val="21"/>
                      </w:rPr>
                      <w:t>期末余额</w:t>
                    </w:r>
                  </w:p>
                </w:tc>
              </w:sdtContent>
            </w:sdt>
            <w:sdt>
              <w:sdtPr>
                <w:rPr>
                  <w:rFonts w:ascii="Times New Roman" w:hAnsi="Times New Roman" w:cs="Times New Roman"/>
                </w:rPr>
                <w:tag w:val="_PLD_942d693f41424f82b813e282a8210643"/>
                <w:id w:val="-1901135035"/>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74EADBC8" w14:textId="77777777" w:rsidR="00D21C1F" w:rsidRPr="007E67C2" w:rsidRDefault="00A42880">
                    <w:pPr>
                      <w:adjustRightInd w:val="0"/>
                      <w:snapToGrid w:val="0"/>
                      <w:jc w:val="center"/>
                      <w:rPr>
                        <w:rFonts w:ascii="Times New Roman" w:hAnsi="Times New Roman" w:cs="Times New Roman"/>
                        <w:szCs w:val="21"/>
                      </w:rPr>
                    </w:pPr>
                    <w:r w:rsidRPr="007E67C2">
                      <w:rPr>
                        <w:rFonts w:ascii="Times New Roman" w:hAnsi="Times New Roman" w:cs="Times New Roman"/>
                        <w:szCs w:val="21"/>
                      </w:rPr>
                      <w:t>期初余额</w:t>
                    </w:r>
                  </w:p>
                </w:tc>
              </w:sdtContent>
            </w:sdt>
          </w:tr>
          <w:sdt>
            <w:sdtPr>
              <w:rPr>
                <w:rFonts w:ascii="Times New Roman" w:hAnsi="Times New Roman" w:cs="Times New Roman"/>
                <w:szCs w:val="21"/>
              </w:rPr>
              <w:alias w:val="其他流动负债明细"/>
              <w:tag w:val="_GBC_6ad57a8cdfbd4161b9e29fe9e473fce8"/>
              <w:id w:val="-420254760"/>
              <w:lock w:val="sdtLocked"/>
            </w:sdtPr>
            <w:sdtEndPr/>
            <w:sdtContent>
              <w:tr w:rsidR="00D21C1F" w:rsidRPr="007E67C2" w14:paraId="29024463"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70BA2890" w14:textId="77777777" w:rsidR="00D21C1F" w:rsidRPr="007E67C2" w:rsidRDefault="00A42880">
                    <w:pPr>
                      <w:rPr>
                        <w:rFonts w:ascii="Times New Roman" w:hAnsi="Times New Roman" w:cs="Times New Roman"/>
                        <w:szCs w:val="21"/>
                      </w:rPr>
                    </w:pPr>
                    <w:r w:rsidRPr="007E67C2">
                      <w:rPr>
                        <w:rFonts w:ascii="Times New Roman" w:hAnsi="Times New Roman" w:cs="Times New Roman"/>
                        <w:szCs w:val="21"/>
                      </w:rPr>
                      <w:t>待转销项税额</w:t>
                    </w:r>
                  </w:p>
                </w:tc>
                <w:tc>
                  <w:tcPr>
                    <w:tcW w:w="1723" w:type="pct"/>
                    <w:tcBorders>
                      <w:top w:val="single" w:sz="4" w:space="0" w:color="auto"/>
                      <w:left w:val="single" w:sz="4" w:space="0" w:color="auto"/>
                      <w:bottom w:val="single" w:sz="4" w:space="0" w:color="auto"/>
                      <w:right w:val="single" w:sz="4" w:space="0" w:color="auto"/>
                    </w:tcBorders>
                    <w:vAlign w:val="bottom"/>
                  </w:tcPr>
                  <w:p w14:paraId="30B31C84"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2,704,261.45</w:t>
                    </w:r>
                  </w:p>
                </w:tc>
                <w:tc>
                  <w:tcPr>
                    <w:tcW w:w="1729" w:type="pct"/>
                    <w:tcBorders>
                      <w:top w:val="single" w:sz="4" w:space="0" w:color="auto"/>
                      <w:left w:val="single" w:sz="4" w:space="0" w:color="auto"/>
                      <w:bottom w:val="single" w:sz="4" w:space="0" w:color="auto"/>
                      <w:right w:val="single" w:sz="4" w:space="0" w:color="auto"/>
                    </w:tcBorders>
                    <w:vAlign w:val="bottom"/>
                  </w:tcPr>
                  <w:p w14:paraId="6259C5B3"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1,631,528.71</w:t>
                    </w:r>
                  </w:p>
                </w:tc>
              </w:tr>
            </w:sdtContent>
          </w:sdt>
          <w:tr w:rsidR="00D21C1F" w:rsidRPr="007E67C2" w14:paraId="3D76540B" w14:textId="77777777">
            <w:trPr>
              <w:jc w:val="center"/>
            </w:trPr>
            <w:sdt>
              <w:sdtPr>
                <w:rPr>
                  <w:rFonts w:ascii="Times New Roman" w:hAnsi="Times New Roman" w:cs="Times New Roman"/>
                </w:rPr>
                <w:tag w:val="_PLD_3835b041db764a298b09897ff76b9cf1"/>
                <w:id w:val="-1802383402"/>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57065411"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bottom"/>
              </w:tcPr>
              <w:p w14:paraId="28D402AB"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2,704,261.45</w:t>
                </w:r>
              </w:p>
            </w:tc>
            <w:tc>
              <w:tcPr>
                <w:tcW w:w="1729" w:type="pct"/>
                <w:tcBorders>
                  <w:top w:val="single" w:sz="4" w:space="0" w:color="auto"/>
                  <w:left w:val="single" w:sz="4" w:space="0" w:color="auto"/>
                  <w:bottom w:val="single" w:sz="4" w:space="0" w:color="auto"/>
                  <w:right w:val="single" w:sz="4" w:space="0" w:color="auto"/>
                </w:tcBorders>
                <w:vAlign w:val="bottom"/>
              </w:tcPr>
              <w:p w14:paraId="68772293"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1,631,528.71</w:t>
                </w:r>
              </w:p>
            </w:tc>
          </w:tr>
        </w:tbl>
        <w:p w14:paraId="7F830063" w14:textId="77777777" w:rsidR="00D21C1F" w:rsidRPr="007E67C2" w:rsidRDefault="00045EC6">
          <w:pPr>
            <w:pStyle w:val="97"/>
            <w:rPr>
              <w:rFonts w:ascii="Times New Roman" w:hAnsi="Times New Roman" w:cs="Times New Roman"/>
            </w:rPr>
          </w:pPr>
        </w:p>
      </w:sdtContent>
    </w:sdt>
    <w:bookmarkEnd w:id="261" w:displacedByCustomXml="next"/>
    <w:sdt>
      <w:sdtPr>
        <w:rPr>
          <w:rFonts w:eastAsia="宋体" w:hint="eastAsia"/>
          <w:bCs/>
          <w:szCs w:val="22"/>
        </w:rPr>
        <w:alias w:val="模块:短期应付债券的增减变动"/>
        <w:tag w:val="_GBC_4577b030bbab4faa991328e6acd5a589"/>
        <w:id w:val="-1168236752"/>
        <w:lock w:val="sdtLocked"/>
        <w:placeholder>
          <w:docPart w:val="GBC22222222222222222222222222222"/>
        </w:placeholder>
      </w:sdtPr>
      <w:sdtEndPr>
        <w:rPr>
          <w:rFonts w:cstheme="minorBidi" w:hint="default"/>
          <w:bCs w:val="0"/>
          <w:color w:val="000000" w:themeColor="text1"/>
          <w:kern w:val="2"/>
          <w:szCs w:val="21"/>
        </w:rPr>
      </w:sdtEndPr>
      <w:sdtContent>
        <w:p w14:paraId="5FB2C05D" w14:textId="77777777" w:rsidR="00D21C1F" w:rsidRDefault="00A42880">
          <w:pPr>
            <w:pStyle w:val="97"/>
          </w:pPr>
          <w:r>
            <w:rPr>
              <w:rFonts w:hint="eastAsia"/>
            </w:rPr>
            <w:t>短期</w:t>
          </w:r>
          <w:r>
            <w:t>应付债券的增减变动</w:t>
          </w:r>
          <w:r>
            <w:rPr>
              <w:rFonts w:hint="eastAsia"/>
            </w:rPr>
            <w:t>：</w:t>
          </w:r>
        </w:p>
        <w:sdt>
          <w:sdtPr>
            <w:alias w:val="是否适用：短期应付债券的增减变动[双击切换]"/>
            <w:tag w:val="_GBC_82d0c6ce58744d20918b6a0221dbac6b"/>
            <w:id w:val="-314573952"/>
            <w:lock w:val="sdtLocked"/>
            <w:placeholder>
              <w:docPart w:val="GBC22222222222222222222222222222"/>
            </w:placeholder>
          </w:sdtPr>
          <w:sdtEndPr/>
          <w:sdtContent>
            <w:p w14:paraId="678A86ED"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1501043173"/>
        <w:lock w:val="sdtLocked"/>
        <w:placeholder>
          <w:docPart w:val="GBC22222222222222222222222222222"/>
        </w:placeholder>
      </w:sdtPr>
      <w:sdtEndPr>
        <w:rPr>
          <w:rFonts w:hint="default"/>
          <w:color w:val="000000" w:themeColor="text1"/>
        </w:rPr>
      </w:sdtEndPr>
      <w:sdtContent>
        <w:p w14:paraId="48671574" w14:textId="77777777" w:rsidR="00D21C1F" w:rsidRDefault="00A42880">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1094548705"/>
            <w:lock w:val="sdtLocked"/>
            <w:placeholder>
              <w:docPart w:val="GBC22222222222222222222222222222"/>
            </w:placeholder>
          </w:sdtPr>
          <w:sdtEndPr/>
          <w:sdtContent>
            <w:p w14:paraId="35AED770" w14:textId="77777777" w:rsidR="00D21C1F" w:rsidRDefault="00A4288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F8BA46E" w14:textId="77777777" w:rsidR="00D21C1F" w:rsidRDefault="00D21C1F">
      <w:pPr>
        <w:rPr>
          <w:szCs w:val="21"/>
        </w:rPr>
      </w:pPr>
    </w:p>
    <w:p w14:paraId="7B2FC109"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长期借款</w:t>
      </w:r>
    </w:p>
    <w:sdt>
      <w:sdtPr>
        <w:rPr>
          <w:rFonts w:ascii="Times New Roman" w:eastAsia="宋体" w:hAnsi="Times New Roman" w:cs="宋体"/>
          <w:b w:val="0"/>
          <w:bCs w:val="0"/>
          <w:kern w:val="0"/>
          <w:szCs w:val="22"/>
        </w:rPr>
        <w:alias w:val="模块:长期借款分类 "/>
        <w:tag w:val="_GBC_8b6acb9acc4745f09cf8ff1a98787eb9"/>
        <w:id w:val="1423683557"/>
        <w:lock w:val="sdtLocked"/>
        <w:placeholder>
          <w:docPart w:val="GBC22222222222222222222222222222"/>
        </w:placeholder>
      </w:sdtPr>
      <w:sdtEndPr>
        <w:rPr>
          <w:color w:val="000000" w:themeColor="text1"/>
          <w:kern w:val="2"/>
          <w:szCs w:val="21"/>
        </w:rPr>
      </w:sdtEndPr>
      <w:sdtContent>
        <w:p w14:paraId="720D757F" w14:textId="77777777" w:rsidR="00D21C1F" w:rsidRPr="007E67C2" w:rsidRDefault="00A42880">
          <w:pPr>
            <w:pStyle w:val="93"/>
            <w:numPr>
              <w:ilvl w:val="0"/>
              <w:numId w:val="119"/>
            </w:numPr>
            <w:tabs>
              <w:tab w:val="left" w:pos="630"/>
            </w:tabs>
            <w:ind w:left="420"/>
            <w:rPr>
              <w:rFonts w:ascii="Times New Roman" w:hAnsi="Times New Roman"/>
              <w:szCs w:val="21"/>
            </w:rPr>
          </w:pPr>
          <w:r w:rsidRPr="007E67C2">
            <w:rPr>
              <w:rFonts w:ascii="Times New Roman" w:hAnsi="Times New Roman"/>
              <w:szCs w:val="21"/>
            </w:rPr>
            <w:t>长期借款分类</w:t>
          </w:r>
        </w:p>
        <w:sdt>
          <w:sdtPr>
            <w:rPr>
              <w:rFonts w:ascii="Times New Roman" w:hAnsi="Times New Roman" w:cs="Times New Roman"/>
            </w:rPr>
            <w:alias w:val="是否适用：长期借款分类[双击切换]"/>
            <w:tag w:val="_GBC_6ef43a5268e7491db189883a31952469"/>
            <w:id w:val="17823359"/>
            <w:lock w:val="sdtLocked"/>
            <w:placeholder>
              <w:docPart w:val="GBC22222222222222222222222222222"/>
            </w:placeholder>
          </w:sdtPr>
          <w:sdtEndPr/>
          <w:sdtContent>
            <w:p w14:paraId="09617377"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不适用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p>
          </w:sdtContent>
        </w:sdt>
        <w:p w14:paraId="7A97461D"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单位：</w:t>
          </w:r>
          <w:sdt>
            <w:sdtPr>
              <w:rPr>
                <w:rFonts w:ascii="Times New Roman" w:hAnsi="Times New Roman" w:cs="Times New Roman"/>
                <w:szCs w:val="21"/>
              </w:rPr>
              <w:alias w:val="单位：财务附注：长期借款分类"/>
              <w:tag w:val="_GBC_146f044f7fd14a45bf9247f0af389a14"/>
              <w:id w:val="-781418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67C2">
                <w:rPr>
                  <w:rFonts w:ascii="Times New Roman" w:hAnsi="Times New Roman" w:cs="Times New Roman"/>
                  <w:szCs w:val="21"/>
                </w:rPr>
                <w:t>元</w:t>
              </w:r>
            </w:sdtContent>
          </w:sdt>
          <w:r w:rsidRPr="007E67C2">
            <w:rPr>
              <w:rFonts w:ascii="Times New Roman" w:hAnsi="Times New Roman" w:cs="Times New Roman"/>
              <w:szCs w:val="21"/>
            </w:rPr>
            <w:t>币种：</w:t>
          </w:r>
          <w:sdt>
            <w:sdtPr>
              <w:rPr>
                <w:rFonts w:ascii="Times New Roman" w:hAnsi="Times New Roman" w:cs="Times New Roman"/>
                <w:szCs w:val="21"/>
              </w:rPr>
              <w:alias w:val="币种：财务附注：长期借款分类"/>
              <w:tag w:val="_GBC_7570ad6f1fd04c3d939be649ce4cfc30"/>
              <w:id w:val="7219438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5"/>
            <w:gridCol w:w="2975"/>
            <w:gridCol w:w="2873"/>
          </w:tblGrid>
          <w:tr w:rsidR="00D21C1F" w:rsidRPr="007E67C2" w14:paraId="6C2F5904" w14:textId="77777777">
            <w:trPr>
              <w:cantSplit/>
            </w:trPr>
            <w:sdt>
              <w:sdtPr>
                <w:rPr>
                  <w:rFonts w:ascii="Times New Roman" w:hAnsi="Times New Roman" w:cs="Times New Roman"/>
                </w:rPr>
                <w:tag w:val="_PLD_3ee60507a6384334b819485e73faa1f4"/>
                <w:id w:val="123892822"/>
                <w:lock w:val="sdtLocked"/>
              </w:sdtPr>
              <w:sdtEndPr/>
              <w:sdtContent>
                <w:tc>
                  <w:tcPr>
                    <w:tcW w:w="1686" w:type="pct"/>
                  </w:tcPr>
                  <w:p w14:paraId="1869B4FB" w14:textId="77777777" w:rsidR="00D21C1F" w:rsidRPr="007E67C2" w:rsidRDefault="00A42880">
                    <w:pPr>
                      <w:autoSpaceDE w:val="0"/>
                      <w:autoSpaceDN w:val="0"/>
                      <w:adjustRightInd w:val="0"/>
                      <w:snapToGrid w:val="0"/>
                      <w:jc w:val="center"/>
                      <w:rPr>
                        <w:rFonts w:ascii="Times New Roman" w:hAnsi="Times New Roman" w:cs="Times New Roman"/>
                        <w:szCs w:val="21"/>
                      </w:rPr>
                    </w:pPr>
                    <w:r w:rsidRPr="007E67C2">
                      <w:rPr>
                        <w:rFonts w:ascii="Times New Roman" w:hAnsi="Times New Roman" w:cs="Times New Roman"/>
                        <w:szCs w:val="21"/>
                      </w:rPr>
                      <w:t>项目</w:t>
                    </w:r>
                  </w:p>
                </w:tc>
              </w:sdtContent>
            </w:sdt>
            <w:sdt>
              <w:sdtPr>
                <w:rPr>
                  <w:rFonts w:ascii="Times New Roman" w:hAnsi="Times New Roman" w:cs="Times New Roman"/>
                </w:rPr>
                <w:tag w:val="_PLD_d2a4fabfb296457384b1523a60233642"/>
                <w:id w:val="1395164320"/>
                <w:lock w:val="sdtLocked"/>
              </w:sdtPr>
              <w:sdtEndPr/>
              <w:sdtContent>
                <w:tc>
                  <w:tcPr>
                    <w:tcW w:w="1686" w:type="pct"/>
                  </w:tcPr>
                  <w:p w14:paraId="2A50D122"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期末余额</w:t>
                    </w:r>
                  </w:p>
                </w:tc>
              </w:sdtContent>
            </w:sdt>
            <w:sdt>
              <w:sdtPr>
                <w:rPr>
                  <w:rFonts w:ascii="Times New Roman" w:hAnsi="Times New Roman" w:cs="Times New Roman"/>
                </w:rPr>
                <w:tag w:val="_PLD_aab598d4b37f4953a2ee9b7475cb43e6"/>
                <w:id w:val="1041254160"/>
                <w:lock w:val="sdtLocked"/>
              </w:sdtPr>
              <w:sdtEndPr/>
              <w:sdtContent>
                <w:tc>
                  <w:tcPr>
                    <w:tcW w:w="1628" w:type="pct"/>
                  </w:tcPr>
                  <w:p w14:paraId="7973D7EB"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期初余额</w:t>
                    </w:r>
                  </w:p>
                </w:tc>
              </w:sdtContent>
            </w:sdt>
          </w:tr>
          <w:tr w:rsidR="00D21C1F" w:rsidRPr="007E67C2" w14:paraId="0CADD169" w14:textId="77777777">
            <w:trPr>
              <w:cantSplit/>
            </w:trPr>
            <w:sdt>
              <w:sdtPr>
                <w:rPr>
                  <w:rFonts w:ascii="Times New Roman" w:hAnsi="Times New Roman" w:cs="Times New Roman"/>
                </w:rPr>
                <w:tag w:val="_PLD_2312ba41d50b4809827a433abcf13e0a"/>
                <w:id w:val="2094280296"/>
                <w:lock w:val="sdtLocked"/>
              </w:sdtPr>
              <w:sdtEndPr/>
              <w:sdtContent>
                <w:tc>
                  <w:tcPr>
                    <w:tcW w:w="1686" w:type="pct"/>
                    <w:shd w:val="clear" w:color="auto" w:fill="auto"/>
                  </w:tcPr>
                  <w:p w14:paraId="6F76D806" w14:textId="77777777" w:rsidR="00D21C1F" w:rsidRPr="007E67C2" w:rsidRDefault="00A42880">
                    <w:pPr>
                      <w:autoSpaceDE w:val="0"/>
                      <w:autoSpaceDN w:val="0"/>
                      <w:adjustRightInd w:val="0"/>
                      <w:snapToGrid w:val="0"/>
                      <w:jc w:val="both"/>
                      <w:rPr>
                        <w:rFonts w:ascii="Times New Roman" w:hAnsi="Times New Roman" w:cs="Times New Roman"/>
                        <w:szCs w:val="21"/>
                      </w:rPr>
                    </w:pPr>
                    <w:r w:rsidRPr="007E67C2">
                      <w:rPr>
                        <w:rFonts w:ascii="Times New Roman" w:hAnsi="Times New Roman" w:cs="Times New Roman"/>
                        <w:szCs w:val="21"/>
                      </w:rPr>
                      <w:t>信用借款</w:t>
                    </w:r>
                  </w:p>
                </w:tc>
              </w:sdtContent>
            </w:sdt>
            <w:tc>
              <w:tcPr>
                <w:tcW w:w="1686" w:type="pct"/>
                <w:shd w:val="clear" w:color="auto" w:fill="auto"/>
                <w:vAlign w:val="center"/>
              </w:tcPr>
              <w:p w14:paraId="3D4A5BD6" w14:textId="77777777" w:rsidR="00D21C1F" w:rsidRPr="007E67C2" w:rsidRDefault="00A42880">
                <w:pPr>
                  <w:autoSpaceDE w:val="0"/>
                  <w:autoSpaceDN w:val="0"/>
                  <w:adjustRightInd w:val="0"/>
                  <w:snapToGrid w:val="0"/>
                  <w:ind w:right="180"/>
                  <w:jc w:val="right"/>
                  <w:rPr>
                    <w:rFonts w:ascii="Times New Roman" w:hAnsi="Times New Roman" w:cs="Times New Roman"/>
                    <w:szCs w:val="21"/>
                  </w:rPr>
                </w:pPr>
                <w:r w:rsidRPr="007E67C2">
                  <w:rPr>
                    <w:rFonts w:ascii="Times New Roman" w:hAnsi="Times New Roman" w:cs="Times New Roman"/>
                  </w:rPr>
                  <w:t>112,082,274.12</w:t>
                </w:r>
              </w:p>
            </w:tc>
            <w:tc>
              <w:tcPr>
                <w:tcW w:w="1628" w:type="pct"/>
                <w:shd w:val="clear" w:color="auto" w:fill="auto"/>
                <w:vAlign w:val="center"/>
              </w:tcPr>
              <w:p w14:paraId="68B1EBBE"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142,257,816.92</w:t>
                </w:r>
              </w:p>
            </w:tc>
          </w:tr>
          <w:tr w:rsidR="00D21C1F" w:rsidRPr="007E67C2" w14:paraId="2554B47A" w14:textId="77777777">
            <w:trPr>
              <w:cantSplit/>
            </w:trPr>
            <w:sdt>
              <w:sdtPr>
                <w:rPr>
                  <w:rFonts w:ascii="Times New Roman" w:hAnsi="Times New Roman" w:cs="Times New Roman"/>
                </w:rPr>
                <w:tag w:val="_PLD_0b1001d1355e4c59a134f674ebe8204e"/>
                <w:id w:val="-1553227184"/>
                <w:lock w:val="sdtLocked"/>
              </w:sdtPr>
              <w:sdtEndPr/>
              <w:sdtContent>
                <w:tc>
                  <w:tcPr>
                    <w:tcW w:w="1686" w:type="pct"/>
                    <w:shd w:val="clear" w:color="auto" w:fill="auto"/>
                  </w:tcPr>
                  <w:p w14:paraId="03476684" w14:textId="77777777" w:rsidR="00D21C1F" w:rsidRPr="007E67C2" w:rsidRDefault="00A42880">
                    <w:pPr>
                      <w:autoSpaceDE w:val="0"/>
                      <w:autoSpaceDN w:val="0"/>
                      <w:adjustRightInd w:val="0"/>
                      <w:snapToGrid w:val="0"/>
                      <w:jc w:val="both"/>
                      <w:rPr>
                        <w:rFonts w:ascii="Times New Roman" w:hAnsi="Times New Roman" w:cs="Times New Roman"/>
                        <w:szCs w:val="21"/>
                      </w:rPr>
                    </w:pPr>
                    <w:r w:rsidRPr="007E67C2">
                      <w:rPr>
                        <w:rFonts w:ascii="Times New Roman" w:hAnsi="Times New Roman" w:cs="Times New Roman"/>
                        <w:szCs w:val="21"/>
                      </w:rPr>
                      <w:t>抵押借款</w:t>
                    </w:r>
                  </w:p>
                </w:tc>
              </w:sdtContent>
            </w:sdt>
            <w:tc>
              <w:tcPr>
                <w:tcW w:w="1686" w:type="pct"/>
                <w:shd w:val="clear" w:color="auto" w:fill="auto"/>
                <w:vAlign w:val="center"/>
              </w:tcPr>
              <w:p w14:paraId="6534805C" w14:textId="77777777" w:rsidR="00D21C1F" w:rsidRPr="007E67C2" w:rsidRDefault="00A42880">
                <w:pPr>
                  <w:autoSpaceDE w:val="0"/>
                  <w:autoSpaceDN w:val="0"/>
                  <w:adjustRightInd w:val="0"/>
                  <w:snapToGrid w:val="0"/>
                  <w:ind w:right="180"/>
                  <w:jc w:val="right"/>
                  <w:rPr>
                    <w:rFonts w:ascii="Times New Roman" w:hAnsi="Times New Roman" w:cs="Times New Roman"/>
                    <w:szCs w:val="21"/>
                  </w:rPr>
                </w:pPr>
                <w:r w:rsidRPr="007E67C2">
                  <w:rPr>
                    <w:rFonts w:ascii="Times New Roman" w:hAnsi="Times New Roman" w:cs="Times New Roman"/>
                  </w:rPr>
                  <w:t>27,381,691.35</w:t>
                </w:r>
              </w:p>
            </w:tc>
            <w:tc>
              <w:tcPr>
                <w:tcW w:w="1628" w:type="pct"/>
                <w:shd w:val="clear" w:color="auto" w:fill="auto"/>
                <w:vAlign w:val="center"/>
              </w:tcPr>
              <w:p w14:paraId="2A2D4249"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11,631,561.32</w:t>
                </w:r>
              </w:p>
            </w:tc>
          </w:tr>
          <w:sdt>
            <w:sdtPr>
              <w:rPr>
                <w:rFonts w:ascii="Times New Roman" w:hAnsi="Times New Roman" w:cs="Times New Roman"/>
                <w:szCs w:val="21"/>
              </w:rPr>
              <w:alias w:val="其他长期借款"/>
              <w:tag w:val="_GBC_85f6347d2f774278af8459ee853b41e0"/>
              <w:id w:val="1064534667"/>
              <w:lock w:val="sdtLocked"/>
            </w:sdtPr>
            <w:sdtEndPr/>
            <w:sdtContent>
              <w:tr w:rsidR="00D21C1F" w:rsidRPr="007E67C2" w14:paraId="11D74795" w14:textId="77777777">
                <w:trPr>
                  <w:cantSplit/>
                </w:trPr>
                <w:tc>
                  <w:tcPr>
                    <w:tcW w:w="1686" w:type="pct"/>
                  </w:tcPr>
                  <w:p w14:paraId="3D9C6A83" w14:textId="77777777" w:rsidR="00D21C1F" w:rsidRPr="007E67C2" w:rsidRDefault="00A42880">
                    <w:pPr>
                      <w:autoSpaceDE w:val="0"/>
                      <w:autoSpaceDN w:val="0"/>
                      <w:adjustRightInd w:val="0"/>
                      <w:snapToGrid w:val="0"/>
                      <w:rPr>
                        <w:rFonts w:ascii="Times New Roman" w:hAnsi="Times New Roman" w:cs="Times New Roman"/>
                        <w:szCs w:val="21"/>
                      </w:rPr>
                    </w:pPr>
                    <w:r w:rsidRPr="007E67C2">
                      <w:rPr>
                        <w:rFonts w:ascii="Times New Roman" w:hAnsi="Times New Roman" w:cs="Times New Roman"/>
                      </w:rPr>
                      <w:t>长期借款利息</w:t>
                    </w:r>
                  </w:p>
                </w:tc>
                <w:tc>
                  <w:tcPr>
                    <w:tcW w:w="1686" w:type="pct"/>
                    <w:shd w:val="clear" w:color="auto" w:fill="auto"/>
                  </w:tcPr>
                  <w:p w14:paraId="34AEF44A" w14:textId="77777777" w:rsidR="00D21C1F" w:rsidRPr="007E67C2" w:rsidRDefault="00A42880">
                    <w:pPr>
                      <w:autoSpaceDE w:val="0"/>
                      <w:autoSpaceDN w:val="0"/>
                      <w:adjustRightInd w:val="0"/>
                      <w:snapToGrid w:val="0"/>
                      <w:ind w:right="180"/>
                      <w:jc w:val="right"/>
                      <w:rPr>
                        <w:rFonts w:ascii="Times New Roman" w:hAnsi="Times New Roman" w:cs="Times New Roman"/>
                        <w:szCs w:val="21"/>
                      </w:rPr>
                    </w:pPr>
                    <w:r w:rsidRPr="007E67C2">
                      <w:rPr>
                        <w:rFonts w:ascii="Times New Roman" w:hAnsi="Times New Roman" w:cs="Times New Roman"/>
                      </w:rPr>
                      <w:t>575,218.14</w:t>
                    </w:r>
                  </w:p>
                </w:tc>
                <w:tc>
                  <w:tcPr>
                    <w:tcW w:w="1628" w:type="pct"/>
                  </w:tcPr>
                  <w:p w14:paraId="36DE8669"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806,382.37</w:t>
                    </w:r>
                  </w:p>
                </w:tc>
              </w:tr>
            </w:sdtContent>
          </w:sdt>
          <w:tr w:rsidR="00D21C1F" w:rsidRPr="007E67C2" w14:paraId="29159525" w14:textId="77777777">
            <w:trPr>
              <w:cantSplit/>
            </w:trPr>
            <w:sdt>
              <w:sdtPr>
                <w:rPr>
                  <w:rFonts w:ascii="Times New Roman" w:hAnsi="Times New Roman" w:cs="Times New Roman"/>
                </w:rPr>
                <w:tag w:val="_PLD_f7e631a83103405986891624f37b155a"/>
                <w:id w:val="1590806368"/>
                <w:lock w:val="sdtLocked"/>
              </w:sdtPr>
              <w:sdtEndPr/>
              <w:sdtContent>
                <w:tc>
                  <w:tcPr>
                    <w:tcW w:w="1686" w:type="pct"/>
                    <w:vAlign w:val="center"/>
                  </w:tcPr>
                  <w:p w14:paraId="0AE1E604" w14:textId="77777777" w:rsidR="00D21C1F" w:rsidRPr="007E67C2" w:rsidRDefault="00A42880">
                    <w:pPr>
                      <w:autoSpaceDE w:val="0"/>
                      <w:autoSpaceDN w:val="0"/>
                      <w:adjustRightInd w:val="0"/>
                      <w:snapToGrid w:val="0"/>
                      <w:jc w:val="center"/>
                      <w:rPr>
                        <w:rFonts w:ascii="Times New Roman" w:hAnsi="Times New Roman" w:cs="Times New Roman"/>
                        <w:szCs w:val="21"/>
                      </w:rPr>
                    </w:pPr>
                    <w:r w:rsidRPr="007E67C2">
                      <w:rPr>
                        <w:rFonts w:ascii="Times New Roman" w:hAnsi="Times New Roman" w:cs="Times New Roman"/>
                        <w:szCs w:val="21"/>
                      </w:rPr>
                      <w:t>合计</w:t>
                    </w:r>
                  </w:p>
                </w:tc>
              </w:sdtContent>
            </w:sdt>
            <w:tc>
              <w:tcPr>
                <w:tcW w:w="1686" w:type="pct"/>
                <w:vAlign w:val="center"/>
              </w:tcPr>
              <w:p w14:paraId="1741D47D" w14:textId="77777777" w:rsidR="00D21C1F" w:rsidRPr="007E67C2" w:rsidRDefault="00A42880">
                <w:pPr>
                  <w:autoSpaceDE w:val="0"/>
                  <w:autoSpaceDN w:val="0"/>
                  <w:adjustRightInd w:val="0"/>
                  <w:snapToGrid w:val="0"/>
                  <w:ind w:right="180"/>
                  <w:jc w:val="right"/>
                  <w:rPr>
                    <w:rFonts w:ascii="Times New Roman" w:hAnsi="Times New Roman" w:cs="Times New Roman"/>
                    <w:szCs w:val="21"/>
                  </w:rPr>
                </w:pPr>
                <w:r w:rsidRPr="007E67C2">
                  <w:rPr>
                    <w:rFonts w:ascii="Times New Roman" w:hAnsi="Times New Roman" w:cs="Times New Roman"/>
                  </w:rPr>
                  <w:t>140,039,183.61</w:t>
                </w:r>
              </w:p>
            </w:tc>
            <w:tc>
              <w:tcPr>
                <w:tcW w:w="1628" w:type="pct"/>
                <w:vAlign w:val="center"/>
              </w:tcPr>
              <w:p w14:paraId="53817941"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154,695,760.61</w:t>
                </w:r>
              </w:p>
            </w:tc>
          </w:tr>
        </w:tbl>
        <w:p w14:paraId="3C0780D0" w14:textId="77777777" w:rsidR="00D21C1F" w:rsidRPr="007E67C2" w:rsidRDefault="00A42880">
          <w:pPr>
            <w:snapToGrid w:val="0"/>
            <w:spacing w:before="60" w:after="60" w:line="240" w:lineRule="atLeast"/>
            <w:rPr>
              <w:rFonts w:ascii="Times New Roman" w:hAnsi="Times New Roman" w:cs="Times New Roman"/>
              <w:szCs w:val="21"/>
            </w:rPr>
          </w:pPr>
          <w:r w:rsidRPr="007E67C2">
            <w:rPr>
              <w:rFonts w:ascii="Times New Roman" w:hAnsi="Times New Roman" w:cs="Times New Roman"/>
              <w:szCs w:val="21"/>
            </w:rPr>
            <w:t>长期借款分类的说明：</w:t>
          </w:r>
        </w:p>
        <w:sdt>
          <w:sdtPr>
            <w:rPr>
              <w:rFonts w:ascii="Times New Roman" w:hAnsi="Times New Roman" w:cs="Times New Roman"/>
              <w:szCs w:val="21"/>
            </w:rPr>
            <w:alias w:val="长期借款分类的说明"/>
            <w:tag w:val="_GBC_c93626a5eade42f48eca926da85f3afb"/>
            <w:id w:val="144253565"/>
            <w:lock w:val="sdtLocked"/>
            <w:placeholder>
              <w:docPart w:val="GBC22222222222222222222222222222"/>
            </w:placeholder>
          </w:sdtPr>
          <w:sdtEndPr/>
          <w:sdtContent>
            <w:p w14:paraId="06E57346" w14:textId="77777777" w:rsidR="00D21C1F" w:rsidRDefault="00A42880">
              <w:pPr>
                <w:snapToGrid w:val="0"/>
                <w:rPr>
                  <w:rFonts w:cstheme="minorBidi"/>
                  <w:color w:val="000000" w:themeColor="text1"/>
                  <w:kern w:val="2"/>
                  <w:szCs w:val="21"/>
                </w:rPr>
              </w:pPr>
              <w:r w:rsidRPr="007E67C2">
                <w:rPr>
                  <w:rFonts w:ascii="Times New Roman" w:hAnsi="Times New Roman" w:cs="Times New Roman"/>
                  <w:szCs w:val="21"/>
                </w:rPr>
                <w:t>无</w:t>
              </w:r>
            </w:p>
          </w:sdtContent>
        </w:sdt>
      </w:sdtContent>
    </w:sdt>
    <w:sdt>
      <w:sdtPr>
        <w:rPr>
          <w:rFonts w:eastAsiaTheme="minorEastAsia" w:cs="Times New Roman" w:hint="eastAsia"/>
          <w:color w:val="000000" w:themeColor="text1"/>
          <w:szCs w:val="21"/>
        </w:rPr>
        <w:alias w:val="模块:长期借款的说明"/>
        <w:tag w:val="_GBC_7195bfed3c6d4a6fb2b17f01aa73f311"/>
        <w:id w:val="-1336991774"/>
        <w:lock w:val="sdtLocked"/>
        <w:placeholder>
          <w:docPart w:val="GBC22222222222222222222222222222"/>
        </w:placeholder>
      </w:sdtPr>
      <w:sdtEndPr>
        <w:rPr>
          <w:rFonts w:hint="default"/>
          <w:color w:val="auto"/>
        </w:rPr>
      </w:sdtEndPr>
      <w:sdtContent>
        <w:p w14:paraId="2B83F163" w14:textId="77777777" w:rsidR="00D21C1F" w:rsidRDefault="00A42880">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933249337"/>
            <w:lock w:val="sdtLocked"/>
            <w:placeholder>
              <w:docPart w:val="GBC22222222222222222222222222222"/>
            </w:placeholder>
          </w:sdtPr>
          <w:sdtEndPr/>
          <w:sdtContent>
            <w:p w14:paraId="7FD03C33" w14:textId="77777777" w:rsidR="00D21C1F" w:rsidRDefault="00A42880">
              <w:pPr>
                <w:snapToGrid w:val="0"/>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alias w:val="长期借款的说明"/>
            <w:tag w:val="_GBC_05c1a5b23bdb44ee812f7f625a395fd0"/>
            <w:id w:val="-2085757416"/>
            <w:lock w:val="sdtLocked"/>
          </w:sdtPr>
          <w:sdtEndPr/>
          <w:sdtContent>
            <w:p w14:paraId="72A27D8A" w14:textId="77777777" w:rsidR="00D21C1F" w:rsidRDefault="00A42880">
              <w:pPr>
                <w:pStyle w:val="120"/>
                <w:snapToGrid w:val="0"/>
              </w:pPr>
              <w:r>
                <w:rPr>
                  <w:rFonts w:hint="eastAsia"/>
                </w:rPr>
                <w:t>抵押借款情况详见本附注七 8</w:t>
              </w:r>
              <w:r>
                <w:t>1</w:t>
              </w:r>
              <w:r>
                <w:rPr>
                  <w:rFonts w:hint="eastAsia"/>
                </w:rPr>
                <w:t>、所有权或使用权受到限制的资产。</w:t>
              </w:r>
            </w:p>
          </w:sdtContent>
        </w:sdt>
      </w:sdtContent>
    </w:sdt>
    <w:p w14:paraId="5EB711A4" w14:textId="77777777" w:rsidR="00D21C1F" w:rsidRDefault="00D21C1F">
      <w:pPr>
        <w:rPr>
          <w:szCs w:val="21"/>
        </w:rPr>
      </w:pPr>
    </w:p>
    <w:p w14:paraId="302C99D2"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1028247624"/>
        <w:lock w:val="sdtLocked"/>
        <w:placeholder>
          <w:docPart w:val="GBC22222222222222222222222222222"/>
        </w:placeholder>
      </w:sdtPr>
      <w:sdtEndPr/>
      <w:sdtContent>
        <w:p w14:paraId="3A15CD94" w14:textId="77777777" w:rsidR="00D21C1F" w:rsidRDefault="00A42880">
          <w:pPr>
            <w:pStyle w:val="93"/>
            <w:numPr>
              <w:ilvl w:val="0"/>
              <w:numId w:val="120"/>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1923683122"/>
            <w:lock w:val="sdtLocked"/>
            <w:placeholder>
              <w:docPart w:val="GBC22222222222222222222222222222"/>
            </w:placeholder>
          </w:sdtPr>
          <w:sdtEndPr/>
          <w:sdtContent>
            <w:p w14:paraId="717C7AC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theme="minorBidi"/>
          <w:b w:val="0"/>
          <w:bCs w:val="0"/>
          <w:kern w:val="0"/>
          <w:szCs w:val="22"/>
        </w:rPr>
        <w:alias w:val="模块:应付债券的增减变动"/>
        <w:tag w:val="_GBC_93c3424329ce41edbb49a50ffbdbc9d7"/>
        <w:id w:val="2020733451"/>
        <w:lock w:val="sdtLocked"/>
        <w:placeholder>
          <w:docPart w:val="GBC22222222222222222222222222222"/>
        </w:placeholder>
      </w:sdtPr>
      <w:sdtEndPr>
        <w:rPr>
          <w:rFonts w:hint="eastAsia"/>
          <w:b/>
          <w:bCs/>
          <w:color w:val="000000" w:themeColor="text1"/>
          <w:szCs w:val="21"/>
        </w:rPr>
      </w:sdtEndPr>
      <w:sdtContent>
        <w:p w14:paraId="4F7E5611" w14:textId="77777777" w:rsidR="00D21C1F" w:rsidRDefault="00A42880">
          <w:pPr>
            <w:pStyle w:val="93"/>
            <w:numPr>
              <w:ilvl w:val="0"/>
              <w:numId w:val="120"/>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419496523"/>
            <w:lock w:val="sdtLocked"/>
            <w:placeholder>
              <w:docPart w:val="GBC22222222222222222222222222222"/>
            </w:placeholder>
          </w:sdtPr>
          <w:sdtEndPr/>
          <w:sdtContent>
            <w:p w14:paraId="3CB8B21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62" w:name="OLE_LINK16" w:displacedByCustomXml="next"/>
    <w:bookmarkStart w:id="263" w:name="OLE_LINK18" w:displacedByCustomXml="next"/>
    <w:sdt>
      <w:sdtPr>
        <w:rPr>
          <w:rFonts w:ascii="宋体" w:eastAsia="宋体" w:hAnsi="宋体" w:cs="宋体" w:hint="eastAsia"/>
          <w:b w:val="0"/>
          <w:bCs w:val="0"/>
          <w:kern w:val="0"/>
          <w:szCs w:val="21"/>
        </w:rPr>
        <w:alias w:val="模块:可转换公司债券的转股条件、转股时间说明："/>
        <w:tag w:val="_GBC_235b19ac1003437586dbfe1a48116b09"/>
        <w:id w:val="-2123061793"/>
        <w:lock w:val="sdtLocked"/>
        <w:placeholder>
          <w:docPart w:val="GBC22222222222222222222222222222"/>
        </w:placeholder>
      </w:sdtPr>
      <w:sdtEndPr/>
      <w:sdtContent>
        <w:p w14:paraId="149566D1" w14:textId="77777777" w:rsidR="00D21C1F" w:rsidRDefault="00A42880">
          <w:pPr>
            <w:pStyle w:val="93"/>
            <w:numPr>
              <w:ilvl w:val="0"/>
              <w:numId w:val="120"/>
            </w:numPr>
            <w:tabs>
              <w:tab w:val="left" w:pos="672"/>
            </w:tabs>
            <w:rPr>
              <w:rFonts w:ascii="宋体" w:hAnsi="宋体"/>
              <w:szCs w:val="21"/>
            </w:rPr>
          </w:pPr>
          <w:r>
            <w:rPr>
              <w:rFonts w:ascii="宋体" w:hAnsi="宋体" w:hint="eastAsia"/>
              <w:szCs w:val="21"/>
            </w:rPr>
            <w:t>可转换公司债券的转股条件、转股时间说明</w:t>
          </w:r>
        </w:p>
        <w:sdt>
          <w:sdtPr>
            <w:alias w:val="是否适用：可转换公司债券的转股条件、转股时间说明[双击切换]"/>
            <w:tag w:val="_GBC_bdbcbf7db2194e929d8f2f4945774241"/>
            <w:id w:val="137853385"/>
            <w:lock w:val="sdtLocked"/>
            <w:placeholder>
              <w:docPart w:val="GBC22222222222222222222222222222"/>
            </w:placeholder>
          </w:sdtPr>
          <w:sdtEndPr/>
          <w:sdtContent>
            <w:p w14:paraId="42960B76"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2" w:displacedByCustomXml="next"/>
    <w:bookmarkEnd w:id="263" w:displacedByCustomXml="next"/>
    <w:sdt>
      <w:sdtPr>
        <w:rPr>
          <w:rFonts w:ascii="宋体" w:eastAsia="宋体" w:hAnsi="宋体" w:cs="宋体" w:hint="eastAsia"/>
          <w:b w:val="0"/>
          <w:bCs w:val="0"/>
          <w:kern w:val="0"/>
          <w:szCs w:val="21"/>
        </w:rPr>
        <w:alias w:val="模块:划分为金融负债的其他金融工具说明"/>
        <w:tag w:val="_GBC_d031ed2380884bb4aa3cb2efb2740308"/>
        <w:id w:val="1579857766"/>
        <w:lock w:val="sdtLocked"/>
        <w:placeholder>
          <w:docPart w:val="GBC22222222222222222222222222222"/>
        </w:placeholder>
      </w:sdtPr>
      <w:sdtEndPr>
        <w:rPr>
          <w:rFonts w:hint="default"/>
        </w:rPr>
      </w:sdtEndPr>
      <w:sdtContent>
        <w:p w14:paraId="114275CD" w14:textId="77777777" w:rsidR="00D21C1F" w:rsidRDefault="00A42880">
          <w:pPr>
            <w:pStyle w:val="93"/>
            <w:numPr>
              <w:ilvl w:val="0"/>
              <w:numId w:val="120"/>
            </w:numPr>
            <w:tabs>
              <w:tab w:val="left" w:pos="672"/>
            </w:tabs>
            <w:rPr>
              <w:rFonts w:ascii="宋体" w:hAnsi="宋体"/>
              <w:szCs w:val="21"/>
            </w:rPr>
          </w:pPr>
          <w:r>
            <w:rPr>
              <w:rFonts w:ascii="宋体" w:hAnsi="宋体" w:hint="eastAsia"/>
              <w:szCs w:val="21"/>
            </w:rPr>
            <w:t>划分为金融负债的其他金融工具说明</w:t>
          </w:r>
        </w:p>
        <w:p w14:paraId="3DADFB56" w14:textId="77777777" w:rsidR="00D21C1F" w:rsidRDefault="00A42880">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836998943"/>
            <w:lock w:val="sdtLocked"/>
            <w:placeholder>
              <w:docPart w:val="GBC22222222222222222222222222222"/>
            </w:placeholder>
          </w:sdtPr>
          <w:sdtEndPr/>
          <w:sdtContent>
            <w:p w14:paraId="568FDF1E"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86F69AC" w14:textId="77777777" w:rsidR="00D21C1F" w:rsidRDefault="00A42880">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924495039"/>
            <w:lock w:val="sdtLocked"/>
            <w:placeholder>
              <w:docPart w:val="GBC22222222222222222222222222222"/>
            </w:placeholder>
          </w:sdtPr>
          <w:sdtEndPr/>
          <w:sdtContent>
            <w:p w14:paraId="1535DB48"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E2A0CEE" w14:textId="77777777" w:rsidR="00D21C1F" w:rsidRDefault="00A42880">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739525100"/>
            <w:lock w:val="sdtLocked"/>
            <w:placeholder>
              <w:docPart w:val="GBC22222222222222222222222222222"/>
            </w:placeholder>
          </w:sdtPr>
          <w:sdtEndPr/>
          <w:sdtContent>
            <w:p w14:paraId="3E3EF402" w14:textId="77777777" w:rsidR="00D21C1F" w:rsidRDefault="00A4288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GBC_32fb23173d7a4a4fa8cb056982254a59"/>
        <w:id w:val="456002739"/>
        <w:lock w:val="sdtLocked"/>
        <w:placeholder>
          <w:docPart w:val="GBC22222222222222222222222222222"/>
        </w:placeholder>
      </w:sdtPr>
      <w:sdtEndPr/>
      <w:sdtContent>
        <w:p w14:paraId="1023B9A3" w14:textId="77777777" w:rsidR="00D21C1F" w:rsidRDefault="00A42880">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741449352"/>
            <w:lock w:val="sdtLocked"/>
            <w:placeholder>
              <w:docPart w:val="GBC22222222222222222222222222222"/>
            </w:placeholder>
          </w:sdtPr>
          <w:sdtEndPr/>
          <w:sdtContent>
            <w:p w14:paraId="45954B93" w14:textId="77777777" w:rsidR="00D21C1F" w:rsidRDefault="00A4288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B812A6F" w14:textId="77777777" w:rsidR="00D21C1F" w:rsidRDefault="00D21C1F">
      <w:pPr>
        <w:rPr>
          <w:szCs w:val="21"/>
        </w:rPr>
      </w:pPr>
    </w:p>
    <w:sdt>
      <w:sdtPr>
        <w:rPr>
          <w:rFonts w:ascii="Times New Roman" w:hAnsi="Times New Roman" w:cs="宋体"/>
          <w:b w:val="0"/>
          <w:bCs w:val="0"/>
          <w:kern w:val="0"/>
          <w:szCs w:val="21"/>
        </w:rPr>
        <w:alias w:val="模块:租赁负债"/>
        <w:tag w:val="_SEC_6bd3f432494344eb8aaf6d133dbbfdc8"/>
        <w:id w:val="-1359506553"/>
        <w:lock w:val="sdtLocked"/>
        <w:placeholder>
          <w:docPart w:val="GBC22222222222222222222222222222"/>
        </w:placeholder>
      </w:sdtPr>
      <w:sdtEndPr/>
      <w:sdtContent>
        <w:p w14:paraId="7545AA9B" w14:textId="77777777" w:rsidR="00D21C1F" w:rsidRPr="007E67C2" w:rsidRDefault="00A42880">
          <w:pPr>
            <w:pStyle w:val="94"/>
            <w:numPr>
              <w:ilvl w:val="0"/>
              <w:numId w:val="95"/>
            </w:numPr>
            <w:tabs>
              <w:tab w:val="left" w:pos="504"/>
            </w:tabs>
            <w:rPr>
              <w:rFonts w:ascii="Times New Roman" w:hAnsi="Times New Roman"/>
              <w:szCs w:val="21"/>
            </w:rPr>
          </w:pPr>
          <w:r w:rsidRPr="007E67C2">
            <w:rPr>
              <w:rFonts w:ascii="Times New Roman" w:hAnsi="Times New Roman"/>
              <w:szCs w:val="21"/>
            </w:rPr>
            <w:t>租赁负债</w:t>
          </w:r>
        </w:p>
        <w:sdt>
          <w:sdtPr>
            <w:rPr>
              <w:rFonts w:ascii="Times New Roman" w:hAnsi="Times New Roman" w:cs="Times New Roman"/>
              <w:szCs w:val="21"/>
            </w:rPr>
            <w:alias w:val="是否适用：租赁负债[双击切换]"/>
            <w:tag w:val="_GBC_cec9aedf0aa8427d9bd5dbf17e698298"/>
            <w:id w:val="1854833783"/>
            <w:lock w:val="sdtLocked"/>
            <w:placeholder>
              <w:docPart w:val="GBC22222222222222222222222222222"/>
            </w:placeholder>
          </w:sdtPr>
          <w:sdtEndPr/>
          <w:sdtContent>
            <w:p w14:paraId="0CAEE4B0" w14:textId="77777777" w:rsidR="00D21C1F" w:rsidRPr="007E67C2" w:rsidRDefault="00A42880">
              <w:pPr>
                <w:rPr>
                  <w:rFonts w:ascii="Times New Roman" w:hAnsi="Times New Roman" w:cs="Times New Roman"/>
                  <w:szCs w:val="21"/>
                </w:rPr>
              </w:pPr>
              <w:r w:rsidRPr="007E67C2">
                <w:rPr>
                  <w:rFonts w:ascii="Times New Roman" w:hAnsi="Times New Roman" w:cs="Times New Roman"/>
                  <w:szCs w:val="21"/>
                </w:rPr>
                <w:fldChar w:fldCharType="begin"/>
              </w:r>
              <w:r w:rsidRPr="007E67C2">
                <w:rPr>
                  <w:rFonts w:ascii="Times New Roman" w:hAnsi="Times New Roman" w:cs="Times New Roman"/>
                  <w:szCs w:val="21"/>
                </w:rPr>
                <w:instrText xml:space="preserve"> MACROBUTTON  SnrToggleCheckbox √</w:instrText>
              </w:r>
              <w:r w:rsidRPr="007E67C2">
                <w:rPr>
                  <w:rFonts w:ascii="Times New Roman" w:hAnsi="Times New Roman" w:cs="Times New Roman"/>
                  <w:szCs w:val="21"/>
                </w:rPr>
                <w:instrText>适用</w:instrText>
              </w:r>
              <w:r w:rsidRPr="007E67C2">
                <w:rPr>
                  <w:rFonts w:ascii="Times New Roman" w:hAnsi="Times New Roman" w:cs="Times New Roman"/>
                  <w:szCs w:val="21"/>
                </w:rPr>
                <w:instrText xml:space="preserve"> </w:instrText>
              </w:r>
              <w:r w:rsidRPr="007E67C2">
                <w:rPr>
                  <w:rFonts w:ascii="Times New Roman" w:hAnsi="Times New Roman" w:cs="Times New Roman"/>
                  <w:szCs w:val="21"/>
                </w:rPr>
                <w:fldChar w:fldCharType="end"/>
              </w:r>
              <w:r w:rsidRPr="007E67C2">
                <w:rPr>
                  <w:rFonts w:ascii="Times New Roman" w:hAnsi="Times New Roman" w:cs="Times New Roman"/>
                  <w:szCs w:val="21"/>
                </w:rPr>
                <w:fldChar w:fldCharType="begin"/>
              </w:r>
              <w:r w:rsidRPr="007E67C2">
                <w:rPr>
                  <w:rFonts w:ascii="Times New Roman" w:hAnsi="Times New Roman" w:cs="Times New Roman"/>
                  <w:szCs w:val="21"/>
                </w:rPr>
                <w:instrText xml:space="preserve"> MACROBUTTON  SnrToggleCheckbox □</w:instrText>
              </w:r>
              <w:r w:rsidRPr="007E67C2">
                <w:rPr>
                  <w:rFonts w:ascii="Times New Roman" w:hAnsi="Times New Roman" w:cs="Times New Roman"/>
                  <w:szCs w:val="21"/>
                </w:rPr>
                <w:instrText>不适用</w:instrText>
              </w:r>
              <w:r w:rsidRPr="007E67C2">
                <w:rPr>
                  <w:rFonts w:ascii="Times New Roman" w:hAnsi="Times New Roman" w:cs="Times New Roman"/>
                  <w:szCs w:val="21"/>
                </w:rPr>
                <w:instrText xml:space="preserve"> </w:instrText>
              </w:r>
              <w:r w:rsidRPr="007E67C2">
                <w:rPr>
                  <w:rFonts w:ascii="Times New Roman" w:hAnsi="Times New Roman" w:cs="Times New Roman"/>
                  <w:szCs w:val="21"/>
                </w:rPr>
                <w:fldChar w:fldCharType="end"/>
              </w:r>
            </w:p>
          </w:sdtContent>
        </w:sdt>
        <w:p w14:paraId="2C87E877"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单位：</w:t>
          </w:r>
          <w:sdt>
            <w:sdtPr>
              <w:rPr>
                <w:rFonts w:ascii="Times New Roman" w:hAnsi="Times New Roman" w:cs="Times New Roman"/>
                <w:szCs w:val="21"/>
              </w:rPr>
              <w:alias w:val="单位：租赁负债"/>
              <w:tag w:val="_GBC_3f1d18295bfb4156905ee3935811bc9f"/>
              <w:id w:val="8859957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E67C2">
                <w:rPr>
                  <w:rFonts w:ascii="Times New Roman" w:hAnsi="Times New Roman" w:cs="Times New Roman"/>
                  <w:szCs w:val="21"/>
                </w:rPr>
                <w:t>元</w:t>
              </w:r>
            </w:sdtContent>
          </w:sdt>
          <w:r w:rsidRPr="007E67C2">
            <w:rPr>
              <w:rFonts w:ascii="Times New Roman" w:hAnsi="Times New Roman" w:cs="Times New Roman"/>
              <w:szCs w:val="21"/>
            </w:rPr>
            <w:t>币种：</w:t>
          </w:r>
          <w:sdt>
            <w:sdtPr>
              <w:rPr>
                <w:rFonts w:ascii="Times New Roman" w:hAnsi="Times New Roman" w:cs="Times New Roman"/>
                <w:szCs w:val="21"/>
              </w:rPr>
              <w:alias w:val="币种：租赁负债"/>
              <w:tag w:val="_GBC_1ce63c76adb74c2f8d53dbdb5d73a87c"/>
              <w:id w:val="-708649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25"/>
            <w:gridCol w:w="2848"/>
            <w:gridCol w:w="2850"/>
          </w:tblGrid>
          <w:tr w:rsidR="00D21C1F" w:rsidRPr="007E67C2" w14:paraId="18728947" w14:textId="77777777">
            <w:trPr>
              <w:cantSplit/>
              <w:trHeight w:val="307"/>
            </w:trPr>
            <w:sdt>
              <w:sdtPr>
                <w:rPr>
                  <w:rFonts w:ascii="Times New Roman" w:hAnsi="Times New Roman" w:cs="Times New Roman"/>
                </w:rPr>
                <w:tag w:val="_PLD_27afd78cc4b04fa19a7adaa593b83cc4"/>
                <w:id w:val="1007106844"/>
                <w:lock w:val="sdtLocked"/>
              </w:sdtPr>
              <w:sdtEndPr/>
              <w:sdtContent>
                <w:tc>
                  <w:tcPr>
                    <w:tcW w:w="1771" w:type="pct"/>
                    <w:shd w:val="clear" w:color="auto" w:fill="auto"/>
                    <w:vAlign w:val="center"/>
                  </w:tcPr>
                  <w:p w14:paraId="74EDDD5E"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项目</w:t>
                    </w:r>
                  </w:p>
                </w:tc>
              </w:sdtContent>
            </w:sdt>
            <w:sdt>
              <w:sdtPr>
                <w:rPr>
                  <w:rFonts w:ascii="Times New Roman" w:hAnsi="Times New Roman" w:cs="Times New Roman"/>
                </w:rPr>
                <w:tag w:val="_PLD_473fbb207ad34f58a8a0f0451332e555"/>
                <w:id w:val="-82845097"/>
                <w:lock w:val="sdtLocked"/>
              </w:sdtPr>
              <w:sdtEndPr/>
              <w:sdtContent>
                <w:tc>
                  <w:tcPr>
                    <w:tcW w:w="1614" w:type="pct"/>
                    <w:shd w:val="clear" w:color="auto" w:fill="auto"/>
                    <w:vAlign w:val="center"/>
                  </w:tcPr>
                  <w:p w14:paraId="64524B91"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期末余额</w:t>
                    </w:r>
                  </w:p>
                </w:tc>
              </w:sdtContent>
            </w:sdt>
            <w:sdt>
              <w:sdtPr>
                <w:rPr>
                  <w:rFonts w:ascii="Times New Roman" w:hAnsi="Times New Roman" w:cs="Times New Roman"/>
                </w:rPr>
                <w:tag w:val="_PLD_81cf17ce1aff4bad8deb2792f3b6570d"/>
                <w:id w:val="-1597638690"/>
                <w:lock w:val="sdtLocked"/>
              </w:sdtPr>
              <w:sdtEndPr/>
              <w:sdtContent>
                <w:tc>
                  <w:tcPr>
                    <w:tcW w:w="1615" w:type="pct"/>
                    <w:shd w:val="clear" w:color="auto" w:fill="auto"/>
                    <w:vAlign w:val="center"/>
                  </w:tcPr>
                  <w:p w14:paraId="4429F396"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期初余额</w:t>
                    </w:r>
                  </w:p>
                </w:tc>
              </w:sdtContent>
            </w:sdt>
          </w:tr>
          <w:sdt>
            <w:sdtPr>
              <w:rPr>
                <w:rFonts w:ascii="Times New Roman" w:hAnsi="Times New Roman" w:cs="Times New Roman"/>
                <w:szCs w:val="21"/>
              </w:rPr>
              <w:alias w:val="租赁负债明细"/>
              <w:tag w:val="_TUP_4f6c01aec10540a980fbed5fbec5a5f6"/>
              <w:id w:val="1642380245"/>
              <w:lock w:val="sdtLocked"/>
            </w:sdtPr>
            <w:sdtEndPr/>
            <w:sdtContent>
              <w:tr w:rsidR="00D21C1F" w:rsidRPr="007E67C2" w14:paraId="0219922B" w14:textId="77777777">
                <w:trPr>
                  <w:cantSplit/>
                  <w:trHeight w:val="186"/>
                </w:trPr>
                <w:tc>
                  <w:tcPr>
                    <w:tcW w:w="1771" w:type="pct"/>
                  </w:tcPr>
                  <w:p w14:paraId="7D091CB7" w14:textId="77777777" w:rsidR="00D21C1F" w:rsidRPr="007E67C2" w:rsidRDefault="00A42880">
                    <w:pPr>
                      <w:rPr>
                        <w:rFonts w:ascii="Times New Roman" w:hAnsi="Times New Roman" w:cs="Times New Roman"/>
                        <w:szCs w:val="21"/>
                      </w:rPr>
                    </w:pPr>
                    <w:r w:rsidRPr="007E67C2">
                      <w:rPr>
                        <w:rFonts w:ascii="Times New Roman" w:hAnsi="Times New Roman" w:cs="Times New Roman"/>
                      </w:rPr>
                      <w:t>租赁负债</w:t>
                    </w:r>
                  </w:p>
                </w:tc>
                <w:tc>
                  <w:tcPr>
                    <w:tcW w:w="1614" w:type="pct"/>
                  </w:tcPr>
                  <w:p w14:paraId="619F93F6"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51,001,798.57</w:t>
                    </w:r>
                  </w:p>
                </w:tc>
                <w:tc>
                  <w:tcPr>
                    <w:tcW w:w="1615" w:type="pct"/>
                  </w:tcPr>
                  <w:p w14:paraId="41FC2B65"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57,818,783.34</w:t>
                    </w:r>
                  </w:p>
                </w:tc>
              </w:tr>
            </w:sdtContent>
          </w:sdt>
          <w:sdt>
            <w:sdtPr>
              <w:rPr>
                <w:rFonts w:ascii="Times New Roman" w:hAnsi="Times New Roman" w:cs="Times New Roman"/>
                <w:szCs w:val="21"/>
              </w:rPr>
              <w:alias w:val="租赁负债明细"/>
              <w:tag w:val="_TUP_4f6c01aec10540a980fbed5fbec5a5f6"/>
              <w:id w:val="844978133"/>
              <w:lock w:val="sdtLocked"/>
            </w:sdtPr>
            <w:sdtEndPr/>
            <w:sdtContent>
              <w:tr w:rsidR="00D21C1F" w:rsidRPr="007E67C2" w14:paraId="60B94FE6" w14:textId="77777777">
                <w:trPr>
                  <w:cantSplit/>
                  <w:trHeight w:val="186"/>
                </w:trPr>
                <w:tc>
                  <w:tcPr>
                    <w:tcW w:w="1771" w:type="pct"/>
                  </w:tcPr>
                  <w:p w14:paraId="2A09323F" w14:textId="3A7953DC" w:rsidR="00D21C1F" w:rsidRPr="007E67C2" w:rsidRDefault="00A42880">
                    <w:pPr>
                      <w:rPr>
                        <w:rFonts w:ascii="Times New Roman" w:hAnsi="Times New Roman" w:cs="Times New Roman"/>
                        <w:szCs w:val="21"/>
                      </w:rPr>
                    </w:pPr>
                    <w:r w:rsidRPr="007E67C2">
                      <w:rPr>
                        <w:rFonts w:ascii="Times New Roman" w:hAnsi="Times New Roman" w:cs="Times New Roman"/>
                      </w:rPr>
                      <w:t>一年内到期的非流动负债</w:t>
                    </w:r>
                  </w:p>
                </w:tc>
                <w:tc>
                  <w:tcPr>
                    <w:tcW w:w="1614" w:type="pct"/>
                  </w:tcPr>
                  <w:p w14:paraId="3DD95E53"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-8,707,801.47</w:t>
                    </w:r>
                  </w:p>
                </w:tc>
                <w:tc>
                  <w:tcPr>
                    <w:tcW w:w="1615" w:type="pct"/>
                  </w:tcPr>
                  <w:p w14:paraId="570472EA"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-8,958,624.26</w:t>
                    </w:r>
                  </w:p>
                </w:tc>
              </w:tr>
            </w:sdtContent>
          </w:sdt>
          <w:tr w:rsidR="00D21C1F" w:rsidRPr="007E67C2" w14:paraId="52EE5C81" w14:textId="77777777">
            <w:trPr>
              <w:cantSplit/>
              <w:trHeight w:val="186"/>
            </w:trPr>
            <w:sdt>
              <w:sdtPr>
                <w:rPr>
                  <w:rFonts w:ascii="Times New Roman" w:hAnsi="Times New Roman" w:cs="Times New Roman"/>
                </w:rPr>
                <w:tag w:val="_PLD_807a786371564fa194bf829b6d063d21"/>
                <w:id w:val="-595554719"/>
                <w:lock w:val="sdtLocked"/>
              </w:sdtPr>
              <w:sdtEndPr/>
              <w:sdtContent>
                <w:tc>
                  <w:tcPr>
                    <w:tcW w:w="1771" w:type="pct"/>
                  </w:tcPr>
                  <w:p w14:paraId="403B230A" w14:textId="77777777" w:rsidR="00D21C1F" w:rsidRPr="007E67C2" w:rsidRDefault="00A42880">
                    <w:pPr>
                      <w:jc w:val="center"/>
                      <w:rPr>
                        <w:rFonts w:ascii="Times New Roman" w:hAnsi="Times New Roman" w:cs="Times New Roman"/>
                        <w:szCs w:val="21"/>
                      </w:rPr>
                    </w:pPr>
                    <w:r w:rsidRPr="007E67C2">
                      <w:rPr>
                        <w:rFonts w:ascii="Times New Roman" w:hAnsi="Times New Roman" w:cs="Times New Roman"/>
                        <w:szCs w:val="21"/>
                      </w:rPr>
                      <w:t>合计</w:t>
                    </w:r>
                  </w:p>
                </w:tc>
              </w:sdtContent>
            </w:sdt>
            <w:tc>
              <w:tcPr>
                <w:tcW w:w="1614" w:type="pct"/>
              </w:tcPr>
              <w:p w14:paraId="37BC1378"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szCs w:val="21"/>
                  </w:rPr>
                  <w:t>42,293,997.10</w:t>
                </w:r>
              </w:p>
            </w:tc>
            <w:tc>
              <w:tcPr>
                <w:tcW w:w="1615" w:type="pct"/>
              </w:tcPr>
              <w:p w14:paraId="4543BE75" w14:textId="77777777" w:rsidR="00D21C1F" w:rsidRPr="007E67C2" w:rsidRDefault="00A42880">
                <w:pPr>
                  <w:jc w:val="right"/>
                  <w:rPr>
                    <w:rFonts w:ascii="Times New Roman" w:hAnsi="Times New Roman" w:cs="Times New Roman"/>
                    <w:szCs w:val="21"/>
                  </w:rPr>
                </w:pPr>
                <w:r w:rsidRPr="007E67C2">
                  <w:rPr>
                    <w:rFonts w:ascii="Times New Roman" w:hAnsi="Times New Roman" w:cs="Times New Roman"/>
                  </w:rPr>
                  <w:t>48,860,159.08</w:t>
                </w:r>
              </w:p>
            </w:tc>
          </w:tr>
        </w:tbl>
        <w:p w14:paraId="1D5F9E14" w14:textId="77777777" w:rsidR="00D21C1F" w:rsidRPr="007E67C2" w:rsidRDefault="00A42880">
          <w:pPr>
            <w:snapToGrid w:val="0"/>
            <w:spacing w:before="60" w:after="60" w:line="240" w:lineRule="atLeast"/>
            <w:rPr>
              <w:rFonts w:ascii="Times New Roman" w:hAnsi="Times New Roman" w:cs="Times New Roman"/>
              <w:szCs w:val="21"/>
            </w:rPr>
          </w:pPr>
          <w:r w:rsidRPr="007E67C2">
            <w:rPr>
              <w:rFonts w:ascii="Times New Roman" w:hAnsi="Times New Roman" w:cs="Times New Roman"/>
              <w:szCs w:val="21"/>
            </w:rPr>
            <w:t>其他说明：</w:t>
          </w:r>
        </w:p>
        <w:sdt>
          <w:sdtPr>
            <w:rPr>
              <w:rFonts w:ascii="Times New Roman" w:hAnsi="Times New Roman" w:cs="Times New Roman"/>
            </w:rPr>
            <w:alias w:val="租赁负债其他说明"/>
            <w:tag w:val="_GBC_cbaaaf9b0adf45f6a0dd93d6de03a6ea"/>
            <w:id w:val="-2082753917"/>
            <w:lock w:val="sdtLocked"/>
            <w:placeholder>
              <w:docPart w:val="GBC22222222222222222222222222222"/>
            </w:placeholder>
          </w:sdtPr>
          <w:sdtEndPr/>
          <w:sdtContent>
            <w:p w14:paraId="7840173D" w14:textId="77777777" w:rsidR="00D21C1F" w:rsidRDefault="00A42880">
              <w:pPr>
                <w:pStyle w:val="97"/>
              </w:pPr>
              <w:r w:rsidRPr="007E67C2">
                <w:rPr>
                  <w:rFonts w:ascii="Times New Roman" w:hAnsi="Times New Roman" w:cs="Times New Roman"/>
                </w:rPr>
                <w:t>无</w:t>
              </w:r>
            </w:p>
          </w:sdtContent>
        </w:sdt>
      </w:sdtContent>
    </w:sdt>
    <w:p w14:paraId="4DC88548" w14:textId="77777777" w:rsidR="00D21C1F" w:rsidRDefault="00D21C1F">
      <w:pPr>
        <w:rPr>
          <w:szCs w:val="21"/>
        </w:rPr>
      </w:pPr>
    </w:p>
    <w:p w14:paraId="20ADFA64"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长期应付款</w:t>
      </w:r>
    </w:p>
    <w:bookmarkStart w:id="264" w:name="_Hlk10536746" w:displacedByCustomXml="next"/>
    <w:sdt>
      <w:sdtPr>
        <w:rPr>
          <w:rFonts w:ascii="宋体" w:eastAsia="宋体" w:hAnsi="宋体" w:cs="宋体" w:hint="eastAsia"/>
          <w:b w:val="0"/>
          <w:bCs w:val="0"/>
          <w:kern w:val="0"/>
          <w:szCs w:val="24"/>
        </w:rPr>
        <w:alias w:val="模块:项目列示"/>
        <w:tag w:val="_SEC_c0e96ee0f49e415f98873dfb1c798446"/>
        <w:id w:val="373900197"/>
        <w:lock w:val="sdtLocked"/>
        <w:placeholder>
          <w:docPart w:val="GBC22222222222222222222222222222"/>
        </w:placeholder>
      </w:sdtPr>
      <w:sdtEndPr/>
      <w:sdtContent>
        <w:p w14:paraId="4D6BA2FF" w14:textId="77777777" w:rsidR="00D21C1F" w:rsidRDefault="00A42880">
          <w:pPr>
            <w:pStyle w:val="93"/>
            <w:rPr>
              <w:rFonts w:ascii="宋体" w:hAnsi="宋体"/>
            </w:rPr>
          </w:pPr>
          <w:r>
            <w:rPr>
              <w:rFonts w:ascii="宋体" w:hAnsi="宋体" w:hint="eastAsia"/>
            </w:rPr>
            <w:t>项目列示</w:t>
          </w:r>
        </w:p>
        <w:sdt>
          <w:sdtPr>
            <w:alias w:val="是否适用：长期应付款分类列示[双击切换]"/>
            <w:tag w:val="_GBC_dc1496c33e4a4cabb259020dbf46be93"/>
            <w:id w:val="-131949614"/>
            <w:lock w:val="sdtLocked"/>
            <w:placeholder>
              <w:docPart w:val="GBC22222222222222222222222222222"/>
            </w:placeholder>
          </w:sdtPr>
          <w:sdtEndPr/>
          <w:sdtContent>
            <w:p w14:paraId="3558F438"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4" w:displacedByCustomXml="next"/>
    <w:bookmarkStart w:id="265" w:name="_Hlk10536806" w:displacedByCustomXml="next"/>
    <w:bookmarkStart w:id="266" w:name="_Hlk10536877" w:displacedByCustomXml="next"/>
    <w:sdt>
      <w:sdtPr>
        <w:rPr>
          <w:rFonts w:ascii="宋体" w:eastAsia="宋体" w:hAnsi="宋体" w:cs="宋体" w:hint="eastAsia"/>
          <w:b w:val="0"/>
          <w:bCs w:val="0"/>
          <w:kern w:val="0"/>
          <w:szCs w:val="24"/>
        </w:rPr>
        <w:alias w:val="模块:长期应付款"/>
        <w:tag w:val="_SEC_1ac73daea3484386b92787e79e677fbb"/>
        <w:id w:val="1858079242"/>
        <w:lock w:val="sdtLocked"/>
        <w:placeholder>
          <w:docPart w:val="GBC22222222222222222222222222222"/>
        </w:placeholder>
      </w:sdtPr>
      <w:sdtEndPr>
        <w:rPr>
          <w:rFonts w:hint="default"/>
        </w:rPr>
      </w:sdtEndPr>
      <w:sdtContent>
        <w:p w14:paraId="309DCB2E" w14:textId="77777777" w:rsidR="00D21C1F" w:rsidRDefault="00A42880">
          <w:pPr>
            <w:pStyle w:val="93"/>
            <w:ind w:left="360" w:hanging="360"/>
            <w:rPr>
              <w:rFonts w:ascii="宋体" w:hAnsi="宋体"/>
            </w:rPr>
          </w:pPr>
          <w:r>
            <w:rPr>
              <w:rFonts w:ascii="宋体" w:hAnsi="宋体" w:hint="eastAsia"/>
            </w:rPr>
            <w:t>长期应付款</w:t>
          </w:r>
          <w:bookmarkEnd w:id="265"/>
        </w:p>
        <w:sdt>
          <w:sdtPr>
            <w:alias w:val="是否适用：按款项性质列示长期应付款[双击切换]"/>
            <w:tag w:val="_GBC_a9fa9a5286484f4bb853b1eff824e621"/>
            <w:id w:val="1875193066"/>
            <w:lock w:val="sdtLocked"/>
            <w:placeholder>
              <w:docPart w:val="GBC22222222222222222222222222222"/>
            </w:placeholder>
          </w:sdtPr>
          <w:sdtEndPr/>
          <w:sdtContent>
            <w:p w14:paraId="30887E73" w14:textId="77777777" w:rsidR="00D21C1F" w:rsidRDefault="00A4288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6" w:displacedByCustomXml="next"/>
    <w:sdt>
      <w:sdtPr>
        <w:rPr>
          <w:rFonts w:ascii="宋体" w:hAnsi="宋体" w:cs="宋体" w:hint="eastAsia"/>
          <w:b w:val="0"/>
          <w:bCs w:val="0"/>
          <w:kern w:val="0"/>
          <w:szCs w:val="24"/>
        </w:rPr>
        <w:alias w:val="模块:专项应付款"/>
        <w:tag w:val="_GBC_6847689be8c1493eb5db4e6dbab0fdbe"/>
        <w:id w:val="2139454484"/>
        <w:lock w:val="sdtLocked"/>
        <w:placeholder>
          <w:docPart w:val="GBC22222222222222222222222222222"/>
        </w:placeholder>
      </w:sdtPr>
      <w:sdtEndPr>
        <w:rPr>
          <w:rFonts w:cstheme="minorBidi" w:hint="default"/>
          <w:color w:val="000000" w:themeColor="text1"/>
          <w:kern w:val="2"/>
          <w:szCs w:val="21"/>
        </w:rPr>
      </w:sdtEndPr>
      <w:sdtContent>
        <w:p w14:paraId="7F67DA57" w14:textId="77777777" w:rsidR="00D21C1F" w:rsidRDefault="00A42880">
          <w:pPr>
            <w:pStyle w:val="93"/>
            <w:rPr>
              <w:rFonts w:ascii="宋体" w:hAnsi="宋体"/>
            </w:rPr>
          </w:pPr>
          <w:r>
            <w:rPr>
              <w:rFonts w:ascii="宋体" w:hAnsi="宋体" w:hint="eastAsia"/>
            </w:rPr>
            <w:t>专项应付款</w:t>
          </w:r>
        </w:p>
        <w:sdt>
          <w:sdtPr>
            <w:alias w:val="是否适用：专项应付款[双击切换]"/>
            <w:tag w:val="_GBC_f70a824e87784429a75fa648d7634cf8"/>
            <w:id w:val="1676527319"/>
            <w:lock w:val="sdtLocked"/>
            <w:placeholder>
              <w:docPart w:val="GBC22222222222222222222222222222"/>
            </w:placeholder>
          </w:sdtPr>
          <w:sdtEndPr/>
          <w:sdtContent>
            <w:p w14:paraId="4E30304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9B899DD" w14:textId="77777777" w:rsidR="00D21C1F" w:rsidRDefault="00D21C1F">
      <w:pPr>
        <w:rPr>
          <w:szCs w:val="21"/>
        </w:rPr>
      </w:pPr>
    </w:p>
    <w:p w14:paraId="29F3821D"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长期应付职工薪酬</w:t>
      </w:r>
    </w:p>
    <w:sdt>
      <w:sdtPr>
        <w:alias w:val="是否适用：长期应付职工薪酬[双击切换]"/>
        <w:tag w:val="_GBC_077559b601814bb38f16734f98e8c045"/>
        <w:id w:val="1649395567"/>
        <w:lock w:val="sdtLocked"/>
        <w:placeholder>
          <w:docPart w:val="GBC22222222222222222222222222222"/>
        </w:placeholder>
      </w:sdtPr>
      <w:sdtEndPr/>
      <w:sdtContent>
        <w:p w14:paraId="7DD3494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宋体"/>
          <w:b w:val="0"/>
          <w:bCs w:val="0"/>
          <w:kern w:val="0"/>
          <w:szCs w:val="24"/>
        </w:rPr>
        <w:alias w:val="模块:长期应付职工薪酬"/>
        <w:tag w:val="_GBC_8af4eec42fcd4a7a8402661c45277cf7"/>
        <w:id w:val="-1290660044"/>
        <w:lock w:val="sdtLocked"/>
        <w:placeholder>
          <w:docPart w:val="GBC22222222222222222222222222222"/>
        </w:placeholder>
      </w:sdtPr>
      <w:sdtEndPr/>
      <w:sdtContent>
        <w:p w14:paraId="2DB02D13" w14:textId="77777777" w:rsidR="00D21C1F" w:rsidRPr="007E67C2" w:rsidRDefault="00A42880">
          <w:pPr>
            <w:pStyle w:val="93"/>
            <w:numPr>
              <w:ilvl w:val="0"/>
              <w:numId w:val="121"/>
            </w:numPr>
            <w:rPr>
              <w:rFonts w:ascii="Times New Roman" w:hAnsi="Times New Roman"/>
            </w:rPr>
          </w:pPr>
          <w:r w:rsidRPr="007E67C2">
            <w:rPr>
              <w:rFonts w:ascii="Times New Roman" w:hAnsi="Times New Roman"/>
            </w:rPr>
            <w:t>长期应付职工薪酬表</w:t>
          </w:r>
        </w:p>
        <w:sdt>
          <w:sdtPr>
            <w:rPr>
              <w:rFonts w:ascii="Times New Roman" w:hAnsi="Times New Roman" w:cs="Times New Roman"/>
            </w:rPr>
            <w:alias w:val="是否适用：长期应付职工薪酬表[双击切换]"/>
            <w:tag w:val="_GBC_7391cd215aaf4a7595c44b639646aa7a"/>
            <w:id w:val="1198663037"/>
            <w:lock w:val="sdtLocked"/>
            <w:placeholder>
              <w:docPart w:val="GBC22222222222222222222222222222"/>
            </w:placeholder>
          </w:sdtPr>
          <w:sdtEndPr/>
          <w:sdtContent>
            <w:p w14:paraId="5ABDEF91"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r w:rsidRPr="007E67C2">
                <w:rPr>
                  <w:rFonts w:ascii="Times New Roman" w:hAnsi="Times New Roman" w:cs="Times New Roman"/>
                </w:rPr>
                <w:fldChar w:fldCharType="begin"/>
              </w:r>
              <w:r w:rsidRPr="007E67C2">
                <w:rPr>
                  <w:rFonts w:ascii="Times New Roman" w:hAnsi="Times New Roman" w:cs="Times New Roman"/>
                </w:rPr>
                <w:instrText xml:space="preserve"> MACROBUTTON  SnrToggleCheckbox □</w:instrText>
              </w:r>
              <w:r w:rsidRPr="007E67C2">
                <w:rPr>
                  <w:rFonts w:ascii="Times New Roman" w:hAnsi="Times New Roman" w:cs="Times New Roman"/>
                </w:rPr>
                <w:instrText>不适用</w:instrText>
              </w:r>
              <w:r w:rsidRPr="007E67C2">
                <w:rPr>
                  <w:rFonts w:ascii="Times New Roman" w:hAnsi="Times New Roman" w:cs="Times New Roman"/>
                </w:rPr>
                <w:instrText xml:space="preserve"> </w:instrText>
              </w:r>
              <w:r w:rsidRPr="007E67C2">
                <w:rPr>
                  <w:rFonts w:ascii="Times New Roman" w:hAnsi="Times New Roman" w:cs="Times New Roman"/>
                </w:rPr>
                <w:fldChar w:fldCharType="end"/>
              </w:r>
            </w:p>
          </w:sdtContent>
        </w:sdt>
        <w:p w14:paraId="439C7A52"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单位：</w:t>
          </w:r>
          <w:sdt>
            <w:sdtPr>
              <w:rPr>
                <w:rFonts w:ascii="Times New Roman" w:hAnsi="Times New Roman" w:cs="Times New Roman"/>
              </w:rPr>
              <w:alias w:val="单位：财务附注：长期应付职工薪酬"/>
              <w:tag w:val="_GBC_9da16ecedc40480a9563f61db11afc75"/>
              <w:id w:val="17488416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E67C2">
                <w:rPr>
                  <w:rFonts w:ascii="Times New Roman" w:hAnsi="Times New Roman" w:cs="Times New Roman"/>
                </w:rPr>
                <w:t>元</w:t>
              </w:r>
            </w:sdtContent>
          </w:sdt>
          <w:r w:rsidRPr="007E67C2">
            <w:rPr>
              <w:rFonts w:ascii="Times New Roman" w:hAnsi="Times New Roman" w:cs="Times New Roman"/>
            </w:rPr>
            <w:t>币种：</w:t>
          </w:r>
          <w:sdt>
            <w:sdtPr>
              <w:rPr>
                <w:rFonts w:ascii="Times New Roman" w:hAnsi="Times New Roman" w:cs="Times New Roman"/>
              </w:rPr>
              <w:alias w:val="币种：财务附注：长期应付职工薪酬"/>
              <w:tag w:val="_GBC_4b18e9847cbc49689b57ca163e3c5f6f"/>
              <w:id w:val="5097171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7E67C2">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564"/>
            <w:gridCol w:w="2693"/>
          </w:tblGrid>
          <w:tr w:rsidR="00D21C1F" w:rsidRPr="007E67C2" w14:paraId="52DE1715" w14:textId="77777777">
            <w:sdt>
              <w:sdtPr>
                <w:rPr>
                  <w:rFonts w:ascii="Times New Roman" w:hAnsi="Times New Roman" w:cs="Times New Roman"/>
                </w:rPr>
                <w:tag w:val="_PLD_cd74fa482412415587e08c0e74b1531a"/>
                <w:id w:val="1924057349"/>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650D842A" w14:textId="77777777" w:rsidR="00D21C1F" w:rsidRPr="007E67C2" w:rsidRDefault="00A42880">
                    <w:pPr>
                      <w:jc w:val="center"/>
                      <w:rPr>
                        <w:rFonts w:ascii="Times New Roman" w:hAnsi="Times New Roman" w:cs="Times New Roman"/>
                      </w:rPr>
                    </w:pPr>
                    <w:r w:rsidRPr="007E67C2">
                      <w:rPr>
                        <w:rFonts w:ascii="Times New Roman" w:hAnsi="Times New Roman" w:cs="Times New Roman"/>
                      </w:rPr>
                      <w:t>项目</w:t>
                    </w:r>
                  </w:p>
                </w:tc>
              </w:sdtContent>
            </w:sdt>
            <w:sdt>
              <w:sdtPr>
                <w:rPr>
                  <w:rFonts w:ascii="Times New Roman" w:hAnsi="Times New Roman" w:cs="Times New Roman"/>
                </w:rPr>
                <w:tag w:val="_PLD_d4b575d8eb6648c09575eeeca2ce8fae"/>
                <w:id w:val="1041863191"/>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52941A12" w14:textId="77777777" w:rsidR="00D21C1F" w:rsidRPr="007E67C2" w:rsidRDefault="00A42880">
                    <w:pPr>
                      <w:jc w:val="center"/>
                      <w:rPr>
                        <w:rFonts w:ascii="Times New Roman" w:hAnsi="Times New Roman" w:cs="Times New Roman"/>
                      </w:rPr>
                    </w:pPr>
                    <w:r w:rsidRPr="007E67C2">
                      <w:rPr>
                        <w:rFonts w:ascii="Times New Roman" w:hAnsi="Times New Roman" w:cs="Times New Roman"/>
                      </w:rPr>
                      <w:t>期末余额</w:t>
                    </w:r>
                  </w:p>
                </w:tc>
              </w:sdtContent>
            </w:sdt>
            <w:sdt>
              <w:sdtPr>
                <w:rPr>
                  <w:rFonts w:ascii="Times New Roman" w:hAnsi="Times New Roman" w:cs="Times New Roman"/>
                </w:rPr>
                <w:tag w:val="_PLD_686b97eea8314637bed99bbd2be9e3af"/>
                <w:id w:val="-317882545"/>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16B90413" w14:textId="77777777" w:rsidR="00D21C1F" w:rsidRPr="007E67C2" w:rsidRDefault="00A42880">
                    <w:pPr>
                      <w:jc w:val="center"/>
                      <w:rPr>
                        <w:rFonts w:ascii="Times New Roman" w:hAnsi="Times New Roman" w:cs="Times New Roman"/>
                      </w:rPr>
                    </w:pPr>
                    <w:r w:rsidRPr="007E67C2">
                      <w:rPr>
                        <w:rFonts w:ascii="Times New Roman" w:hAnsi="Times New Roman" w:cs="Times New Roman"/>
                      </w:rPr>
                      <w:t>期初余额</w:t>
                    </w:r>
                  </w:p>
                </w:tc>
              </w:sdtContent>
            </w:sdt>
          </w:tr>
          <w:tr w:rsidR="00D21C1F" w:rsidRPr="007E67C2" w14:paraId="46B88DC5" w14:textId="77777777">
            <w:sdt>
              <w:sdtPr>
                <w:rPr>
                  <w:rFonts w:ascii="Times New Roman" w:hAnsi="Times New Roman" w:cs="Times New Roman"/>
                </w:rPr>
                <w:tag w:val="_PLD_bdc3d864f9914ace9337d47a53645c11"/>
                <w:id w:val="1464622160"/>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2D2853BA"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t>一、离职后福利</w:t>
                    </w:r>
                    <w:r w:rsidRPr="007E67C2">
                      <w:rPr>
                        <w:rFonts w:ascii="Times New Roman" w:hAnsi="Times New Roman" w:cs="Times New Roman"/>
                      </w:rPr>
                      <w:t>-</w:t>
                    </w:r>
                    <w:r w:rsidRPr="007E67C2">
                      <w:rPr>
                        <w:rFonts w:ascii="Times New Roman" w:hAnsi="Times New Roman" w:cs="Times New Roman"/>
                      </w:rPr>
                      <w:t>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vAlign w:val="center"/>
              </w:tcPr>
              <w:p w14:paraId="7F20CAE7"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49,846,178.22</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2814F2EF"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52,731,859.39</w:t>
                </w:r>
              </w:p>
            </w:tc>
          </w:tr>
          <w:tr w:rsidR="00D21C1F" w:rsidRPr="007E67C2" w14:paraId="1948AD8B" w14:textId="77777777">
            <w:sdt>
              <w:sdtPr>
                <w:rPr>
                  <w:rFonts w:ascii="Times New Roman" w:hAnsi="Times New Roman" w:cs="Times New Roman"/>
                </w:rPr>
                <w:tag w:val="_PLD_fa41c48347a64d5a92c101ae2e85bac0"/>
                <w:id w:val="-1041982574"/>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31239B54"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vAlign w:val="center"/>
              </w:tcPr>
              <w:p w14:paraId="3E0ABA69"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3C9E2044"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w:t>
                </w:r>
              </w:p>
            </w:tc>
          </w:tr>
          <w:tr w:rsidR="00D21C1F" w:rsidRPr="007E67C2" w14:paraId="29471DF1" w14:textId="77777777">
            <w:sdt>
              <w:sdtPr>
                <w:rPr>
                  <w:rFonts w:ascii="Times New Roman" w:hAnsi="Times New Roman" w:cs="Times New Roman"/>
                </w:rPr>
                <w:tag w:val="_PLD_ce9866eefc4148f6ac089213063a2b94"/>
                <w:id w:val="-1748725129"/>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143662FF" w14:textId="77777777" w:rsidR="00D21C1F" w:rsidRPr="007E67C2" w:rsidRDefault="00A42880">
                    <w:pPr>
                      <w:pStyle w:val="97"/>
                      <w:rPr>
                        <w:rFonts w:ascii="Times New Roman" w:hAnsi="Times New Roman" w:cs="Times New Roman"/>
                      </w:rPr>
                    </w:pPr>
                    <w:r w:rsidRPr="007E67C2">
                      <w:rPr>
                        <w:rFonts w:ascii="Times New Roman" w:hAnsi="Times New Roman" w:cs="Times New Roman"/>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14:paraId="05809EA4"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252B06D"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w:t>
                </w:r>
              </w:p>
            </w:tc>
          </w:tr>
          <w:tr w:rsidR="00D21C1F" w:rsidRPr="007E67C2" w14:paraId="127A35C2" w14:textId="77777777">
            <w:sdt>
              <w:sdtPr>
                <w:rPr>
                  <w:rFonts w:ascii="Times New Roman" w:hAnsi="Times New Roman" w:cs="Times New Roman"/>
                </w:rPr>
                <w:tag w:val="_PLD_9ad91a051a134d5b8b48745d2fe3ca24"/>
                <w:id w:val="772590840"/>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28545FF3" w14:textId="77777777" w:rsidR="00D21C1F" w:rsidRPr="007E67C2" w:rsidRDefault="00A42880">
                    <w:pPr>
                      <w:jc w:val="center"/>
                      <w:rPr>
                        <w:rFonts w:ascii="Times New Roman" w:hAnsi="Times New Roman" w:cs="Times New Roman"/>
                      </w:rPr>
                    </w:pPr>
                    <w:r w:rsidRPr="007E67C2">
                      <w:rPr>
                        <w:rFonts w:ascii="Times New Roman" w:hAnsi="Times New Roman" w:cs="Times New Roman"/>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14:paraId="47F1A5FF"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49,846,178.22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1C7A14BC" w14:textId="77777777" w:rsidR="00D21C1F" w:rsidRPr="007E67C2" w:rsidRDefault="00A42880">
                <w:pPr>
                  <w:jc w:val="right"/>
                  <w:rPr>
                    <w:rFonts w:ascii="Times New Roman" w:hAnsi="Times New Roman" w:cs="Times New Roman"/>
                  </w:rPr>
                </w:pPr>
                <w:r w:rsidRPr="007E67C2">
                  <w:rPr>
                    <w:rFonts w:ascii="Times New Roman" w:hAnsi="Times New Roman" w:cs="Times New Roman"/>
                  </w:rPr>
                  <w:t>52,731,859.39</w:t>
                </w:r>
              </w:p>
            </w:tc>
          </w:tr>
        </w:tbl>
        <w:p w14:paraId="756D158F" w14:textId="77777777" w:rsidR="00D21C1F" w:rsidRDefault="00045EC6">
          <w:pPr>
            <w:pStyle w:val="97"/>
          </w:pPr>
        </w:p>
      </w:sdtContent>
    </w:sdt>
    <w:sdt>
      <w:sdtPr>
        <w:rPr>
          <w:rFonts w:ascii="Times New Roman" w:eastAsia="宋体" w:hAnsi="Times New Roman" w:cs="宋体"/>
          <w:b w:val="0"/>
          <w:bCs w:val="0"/>
          <w:kern w:val="0"/>
          <w:szCs w:val="21"/>
        </w:rPr>
        <w:alias w:val="模块:设定受益计划变动情况"/>
        <w:tag w:val="_GBC_afdd9211c159429fa2d6540cc92dda04"/>
        <w:id w:val="1996687686"/>
        <w:lock w:val="sdtLocked"/>
        <w:placeholder>
          <w:docPart w:val="GBC22222222222222222222222222222"/>
        </w:placeholder>
      </w:sdtPr>
      <w:sdtEndPr/>
      <w:sdtContent>
        <w:p w14:paraId="74E11717" w14:textId="77777777" w:rsidR="00D21C1F" w:rsidRPr="0026714A" w:rsidRDefault="00A42880">
          <w:pPr>
            <w:pStyle w:val="93"/>
            <w:numPr>
              <w:ilvl w:val="0"/>
              <w:numId w:val="121"/>
            </w:numPr>
            <w:rPr>
              <w:rFonts w:ascii="Times New Roman" w:hAnsi="Times New Roman"/>
              <w:szCs w:val="21"/>
            </w:rPr>
          </w:pPr>
          <w:r w:rsidRPr="0026714A">
            <w:rPr>
              <w:rFonts w:ascii="Times New Roman" w:hAnsi="Times New Roman"/>
              <w:szCs w:val="21"/>
            </w:rPr>
            <w:t>设定受益计划变动情况</w:t>
          </w:r>
        </w:p>
        <w:p w14:paraId="7A3FCF34"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设定受益计划义务现值：</w:t>
          </w:r>
        </w:p>
        <w:sdt>
          <w:sdtPr>
            <w:rPr>
              <w:rFonts w:ascii="Times New Roman" w:hAnsi="Times New Roman" w:cs="Times New Roman"/>
            </w:rPr>
            <w:alias w:val="是否适用：设定受益计划义务现值[双击切换]"/>
            <w:tag w:val="_GBC_c4bc86b406e44d69b9ab0374bad05246"/>
            <w:id w:val="1970396614"/>
            <w:lock w:val="sdtLocked"/>
            <w:placeholder>
              <w:docPart w:val="GBC22222222222222222222222222222"/>
            </w:placeholder>
          </w:sdtPr>
          <w:sdtEndPr/>
          <w:sdtContent>
            <w:p w14:paraId="7CFCF5D9"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不适用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p>
          </w:sdtContent>
        </w:sdt>
        <w:p w14:paraId="0F707EB2"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单位：</w:t>
          </w:r>
          <w:sdt>
            <w:sdtPr>
              <w:rPr>
                <w:rFonts w:ascii="Times New Roman" w:hAnsi="Times New Roman" w:cs="Times New Roman"/>
              </w:rPr>
              <w:alias w:val="单位：财务附注：设定受益计划义务现值"/>
              <w:tag w:val="_GBC_b0c9e6ca28a2421c9518371c2be78bd5"/>
              <w:id w:val="15995985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6714A">
                <w:rPr>
                  <w:rFonts w:ascii="Times New Roman" w:hAnsi="Times New Roman" w:cs="Times New Roman"/>
                </w:rPr>
                <w:t>元</w:t>
              </w:r>
            </w:sdtContent>
          </w:sdt>
          <w:r w:rsidRPr="0026714A">
            <w:rPr>
              <w:rFonts w:ascii="Times New Roman" w:hAnsi="Times New Roman" w:cs="Times New Roman"/>
            </w:rPr>
            <w:t>币种：</w:t>
          </w:r>
          <w:sdt>
            <w:sdtPr>
              <w:rPr>
                <w:rFonts w:ascii="Times New Roman" w:hAnsi="Times New Roman" w:cs="Times New Roman"/>
              </w:rPr>
              <w:alias w:val="币种：财务附注：设定受益计划义务现值"/>
              <w:tag w:val="_GBC_7f65fb2b67b845e9afe96325d0d11808"/>
              <w:id w:val="-3597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26714A">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715"/>
            <w:gridCol w:w="2711"/>
          </w:tblGrid>
          <w:tr w:rsidR="00D21C1F" w:rsidRPr="0026714A" w14:paraId="1879392A" w14:textId="77777777">
            <w:sdt>
              <w:sdtPr>
                <w:rPr>
                  <w:rFonts w:ascii="Times New Roman" w:hAnsi="Times New Roman" w:cs="Times New Roman"/>
                </w:rPr>
                <w:tag w:val="_PLD_84c74226f1574a22ae5617c1cc5d2a1e"/>
                <w:id w:val="-1835523247"/>
                <w:lock w:val="sdtLocked"/>
              </w:sdtPr>
              <w:sdtEndPr/>
              <w:sdtContent>
                <w:tc>
                  <w:tcPr>
                    <w:tcW w:w="1924" w:type="pct"/>
                    <w:tcBorders>
                      <w:left w:val="single" w:sz="6" w:space="0" w:color="auto"/>
                      <w:bottom w:val="single" w:sz="6" w:space="0" w:color="auto"/>
                      <w:right w:val="single" w:sz="6" w:space="0" w:color="auto"/>
                    </w:tcBorders>
                    <w:shd w:val="clear" w:color="auto" w:fill="auto"/>
                    <w:vAlign w:val="center"/>
                  </w:tcPr>
                  <w:p w14:paraId="69B925B0" w14:textId="77777777" w:rsidR="00D21C1F" w:rsidRPr="0026714A" w:rsidRDefault="00A42880">
                    <w:pPr>
                      <w:jc w:val="center"/>
                      <w:rPr>
                        <w:rFonts w:ascii="Times New Roman" w:hAnsi="Times New Roman" w:cs="Times New Roman"/>
                      </w:rPr>
                    </w:pPr>
                    <w:r w:rsidRPr="0026714A">
                      <w:rPr>
                        <w:rFonts w:ascii="Times New Roman" w:hAnsi="Times New Roman" w:cs="Times New Roman"/>
                      </w:rPr>
                      <w:t>项目</w:t>
                    </w:r>
                  </w:p>
                </w:tc>
              </w:sdtContent>
            </w:sdt>
            <w:sdt>
              <w:sdtPr>
                <w:rPr>
                  <w:rFonts w:ascii="Times New Roman" w:hAnsi="Times New Roman" w:cs="Times New Roman"/>
                </w:rPr>
                <w:tag w:val="_PLD_6fe51f04c3fe45b7b35326132992646b"/>
                <w:id w:val="443895828"/>
                <w:lock w:val="sdtLocked"/>
              </w:sdtPr>
              <w:sdtEnd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14:paraId="7EE7C586" w14:textId="77777777" w:rsidR="00D21C1F" w:rsidRPr="0026714A" w:rsidRDefault="00A42880">
                    <w:pPr>
                      <w:jc w:val="center"/>
                      <w:rPr>
                        <w:rFonts w:ascii="Times New Roman" w:hAnsi="Times New Roman" w:cs="Times New Roman"/>
                      </w:rPr>
                    </w:pPr>
                    <w:r w:rsidRPr="0026714A">
                      <w:rPr>
                        <w:rFonts w:ascii="Times New Roman" w:hAnsi="Times New Roman" w:cs="Times New Roman"/>
                      </w:rPr>
                      <w:t>本期发生额</w:t>
                    </w:r>
                  </w:p>
                </w:tc>
              </w:sdtContent>
            </w:sdt>
            <w:sdt>
              <w:sdtPr>
                <w:rPr>
                  <w:rFonts w:ascii="Times New Roman" w:hAnsi="Times New Roman" w:cs="Times New Roman"/>
                </w:rPr>
                <w:tag w:val="_PLD_6fe47bc6584f4f9eb937a9db9062e226"/>
                <w:id w:val="1697662607"/>
                <w:lock w:val="sdtLocked"/>
              </w:sdtPr>
              <w:sdtEnd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14:paraId="1C9197CC" w14:textId="77777777" w:rsidR="00D21C1F" w:rsidRPr="0026714A" w:rsidRDefault="00A42880">
                    <w:pPr>
                      <w:jc w:val="center"/>
                      <w:rPr>
                        <w:rFonts w:ascii="Times New Roman" w:hAnsi="Times New Roman" w:cs="Times New Roman"/>
                      </w:rPr>
                    </w:pPr>
                    <w:r w:rsidRPr="0026714A">
                      <w:rPr>
                        <w:rFonts w:ascii="Times New Roman" w:hAnsi="Times New Roman" w:cs="Times New Roman"/>
                      </w:rPr>
                      <w:t>上期发生额</w:t>
                    </w:r>
                  </w:p>
                </w:tc>
              </w:sdtContent>
            </w:sdt>
          </w:tr>
          <w:tr w:rsidR="00D21C1F" w:rsidRPr="0026714A" w14:paraId="432B1410" w14:textId="77777777">
            <w:sdt>
              <w:sdtPr>
                <w:rPr>
                  <w:rFonts w:ascii="Times New Roman" w:hAnsi="Times New Roman" w:cs="Times New Roman"/>
                </w:rPr>
                <w:tag w:val="_PLD_6a962937a21d464a8d71bfbe0424670e"/>
                <w:id w:val="1073465310"/>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14:paraId="7D92C1BE"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一、期初余额</w:t>
                    </w:r>
                  </w:p>
                </w:tc>
              </w:sdtContent>
            </w:sd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14:paraId="021F8CCA"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52,731,859.39</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14:paraId="0F68D11E"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48,526,875.05</w:t>
                </w:r>
              </w:p>
            </w:tc>
          </w:tr>
          <w:tr w:rsidR="00D21C1F" w:rsidRPr="0026714A" w14:paraId="77CDB19A" w14:textId="77777777">
            <w:sdt>
              <w:sdtPr>
                <w:rPr>
                  <w:rFonts w:ascii="Times New Roman" w:hAnsi="Times New Roman" w:cs="Times New Roman"/>
                </w:rPr>
                <w:tag w:val="_PLD_391694c54b6f44458ef39a8b33707c29"/>
                <w:id w:val="105010743"/>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66AD8213"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二、计入当期损益的设定受益成本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2964120F"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5,436,563.85</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7F15864A"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6,514,592.10</w:t>
                </w:r>
              </w:p>
            </w:tc>
          </w:tr>
          <w:tr w:rsidR="00D21C1F" w:rsidRPr="0026714A" w14:paraId="2D960DD1" w14:textId="77777777">
            <w:sdt>
              <w:sdtPr>
                <w:rPr>
                  <w:rFonts w:ascii="Times New Roman" w:hAnsi="Times New Roman" w:cs="Times New Roman"/>
                </w:rPr>
                <w:tag w:val="_PLD_1321571e94834eea82d242dbd1ffce8e"/>
                <w:id w:val="-983541458"/>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2923505E"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1.</w:t>
                    </w:r>
                    <w:r w:rsidRPr="0026714A">
                      <w:rPr>
                        <w:rFonts w:ascii="Times New Roman" w:hAnsi="Times New Roman" w:cs="Times New Roman"/>
                      </w:rPr>
                      <w:t>当期服务成本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4ACEDD85"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5,436,563.85</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7D151A12"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6,514,592.10</w:t>
                </w:r>
              </w:p>
            </w:tc>
          </w:tr>
          <w:tr w:rsidR="0026714A" w:rsidRPr="0026714A" w14:paraId="1E7BA11C" w14:textId="77777777" w:rsidTr="00D07E51">
            <w:sdt>
              <w:sdtPr>
                <w:rPr>
                  <w:rFonts w:ascii="Times New Roman" w:hAnsi="Times New Roman" w:cs="Times New Roman"/>
                </w:rPr>
                <w:tag w:val="_PLD_33835dbae78f4139aa449bf2c3c3b8d3"/>
                <w:id w:val="-1717106668"/>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709CC657" w14:textId="77777777" w:rsidR="0026714A" w:rsidRPr="0026714A" w:rsidRDefault="0026714A" w:rsidP="0026714A">
                    <w:pPr>
                      <w:pStyle w:val="97"/>
                      <w:rPr>
                        <w:rFonts w:ascii="Times New Roman" w:hAnsi="Times New Roman" w:cs="Times New Roman"/>
                      </w:rPr>
                    </w:pPr>
                    <w:r w:rsidRPr="0026714A">
                      <w:rPr>
                        <w:rFonts w:ascii="Times New Roman" w:hAnsi="Times New Roman" w:cs="Times New Roman"/>
                      </w:rPr>
                      <w:t>2.</w:t>
                    </w:r>
                    <w:r w:rsidRPr="0026714A">
                      <w:rPr>
                        <w:rFonts w:ascii="Times New Roman" w:hAnsi="Times New Roman" w:cs="Times New Roman"/>
                      </w:rPr>
                      <w:t>过去服务成本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4971F962" w14:textId="1719355D" w:rsidR="0026714A" w:rsidRPr="0026714A" w:rsidRDefault="0026714A" w:rsidP="0026714A">
                <w:pPr>
                  <w:jc w:val="right"/>
                  <w:rPr>
                    <w:rFonts w:ascii="Times New Roman" w:hAnsi="Times New Roman" w:cs="Times New Roman"/>
                  </w:rPr>
                </w:pPr>
                <w:r w:rsidRPr="0026714A">
                  <w:rPr>
                    <w:rFonts w:ascii="Times New Roman" w:hAnsi="Times New Roman" w:cs="Times New Roman"/>
                  </w:rPr>
                  <w:t>-</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3478EF28" w14:textId="3D20E0E4" w:rsidR="0026714A" w:rsidRPr="0026714A" w:rsidRDefault="0026714A" w:rsidP="0026714A">
                <w:pPr>
                  <w:jc w:val="right"/>
                  <w:rPr>
                    <w:rFonts w:ascii="Times New Roman" w:hAnsi="Times New Roman" w:cs="Times New Roman"/>
                  </w:rPr>
                </w:pPr>
                <w:r w:rsidRPr="0026714A">
                  <w:rPr>
                    <w:rFonts w:ascii="Times New Roman" w:hAnsi="Times New Roman" w:cs="Times New Roman"/>
                  </w:rPr>
                  <w:t>-</w:t>
                </w:r>
              </w:p>
            </w:tc>
          </w:tr>
          <w:tr w:rsidR="0026714A" w:rsidRPr="0026714A" w14:paraId="3C8B2EB4" w14:textId="77777777" w:rsidTr="00D07E51">
            <w:sdt>
              <w:sdtPr>
                <w:rPr>
                  <w:rFonts w:ascii="Times New Roman" w:hAnsi="Times New Roman" w:cs="Times New Roman"/>
                </w:rPr>
                <w:tag w:val="_PLD_fff0c1ee7da7435091d0797d53046881"/>
                <w:id w:val="1069620928"/>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07E05EE8" w14:textId="77777777" w:rsidR="0026714A" w:rsidRPr="0026714A" w:rsidRDefault="0026714A" w:rsidP="0026714A">
                    <w:pPr>
                      <w:pStyle w:val="97"/>
                      <w:rPr>
                        <w:rFonts w:ascii="Times New Roman" w:hAnsi="Times New Roman" w:cs="Times New Roman"/>
                      </w:rPr>
                    </w:pPr>
                    <w:r w:rsidRPr="0026714A">
                      <w:rPr>
                        <w:rFonts w:ascii="Times New Roman" w:hAnsi="Times New Roman" w:cs="Times New Roman"/>
                      </w:rPr>
                      <w:t>3.</w:t>
                    </w:r>
                    <w:r w:rsidRPr="0026714A">
                      <w:rPr>
                        <w:rFonts w:ascii="Times New Roman" w:hAnsi="Times New Roman" w:cs="Times New Roman"/>
                      </w:rPr>
                      <w:t>结算利得（损失以</w:t>
                    </w:r>
                    <w:r w:rsidRPr="0026714A">
                      <w:rPr>
                        <w:rFonts w:ascii="Times New Roman" w:hAnsi="Times New Roman" w:cs="Times New Roman"/>
                      </w:rPr>
                      <w:t>“</w:t>
                    </w:r>
                    <w:r w:rsidRPr="0026714A">
                      <w:rPr>
                        <w:rFonts w:ascii="Times New Roman" w:hAnsi="Times New Roman" w:cs="Times New Roman"/>
                      </w:rPr>
                      <w:t>－</w:t>
                    </w:r>
                    <w:r w:rsidRPr="0026714A">
                      <w:rPr>
                        <w:rFonts w:ascii="Times New Roman" w:hAnsi="Times New Roman" w:cs="Times New Roman"/>
                      </w:rPr>
                      <w:t>”</w:t>
                    </w:r>
                    <w:r w:rsidRPr="0026714A">
                      <w:rPr>
                        <w:rFonts w:ascii="Times New Roman" w:hAnsi="Times New Roman" w:cs="Times New Roman"/>
                      </w:rPr>
                      <w:t>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45A59271" w14:textId="316055D5" w:rsidR="0026714A" w:rsidRPr="0026714A" w:rsidRDefault="0026714A" w:rsidP="0026714A">
                <w:pPr>
                  <w:jc w:val="right"/>
                  <w:rPr>
                    <w:rFonts w:ascii="Times New Roman" w:hAnsi="Times New Roman" w:cs="Times New Roman"/>
                  </w:rPr>
                </w:pPr>
                <w:r w:rsidRPr="0026714A">
                  <w:rPr>
                    <w:rFonts w:ascii="Times New Roman" w:hAnsi="Times New Roman" w:cs="Times New Roman"/>
                  </w:rPr>
                  <w:t>-</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7BEFE0AC" w14:textId="57C99F66" w:rsidR="0026714A" w:rsidRPr="0026714A" w:rsidRDefault="0026714A" w:rsidP="0026714A">
                <w:pPr>
                  <w:jc w:val="right"/>
                  <w:rPr>
                    <w:rFonts w:ascii="Times New Roman" w:hAnsi="Times New Roman" w:cs="Times New Roman"/>
                  </w:rPr>
                </w:pPr>
                <w:r w:rsidRPr="0026714A">
                  <w:rPr>
                    <w:rFonts w:ascii="Times New Roman" w:hAnsi="Times New Roman" w:cs="Times New Roman"/>
                  </w:rPr>
                  <w:t>-</w:t>
                </w:r>
              </w:p>
            </w:tc>
          </w:tr>
          <w:tr w:rsidR="0026714A" w:rsidRPr="0026714A" w14:paraId="0452595A" w14:textId="77777777" w:rsidTr="00D07E51">
            <w:sdt>
              <w:sdtPr>
                <w:rPr>
                  <w:rFonts w:ascii="Times New Roman" w:hAnsi="Times New Roman" w:cs="Times New Roman"/>
                </w:rPr>
                <w:tag w:val="_PLD_6fd0a80267714436833bd7083e5853ee"/>
                <w:id w:val="67010124"/>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428B91EC" w14:textId="77777777" w:rsidR="0026714A" w:rsidRPr="0026714A" w:rsidRDefault="0026714A" w:rsidP="0026714A">
                    <w:pPr>
                      <w:pStyle w:val="97"/>
                      <w:rPr>
                        <w:rFonts w:ascii="Times New Roman" w:hAnsi="Times New Roman" w:cs="Times New Roman"/>
                      </w:rPr>
                    </w:pPr>
                    <w:r w:rsidRPr="0026714A">
                      <w:rPr>
                        <w:rFonts w:ascii="Times New Roman" w:hAnsi="Times New Roman" w:cs="Times New Roman"/>
                      </w:rPr>
                      <w:t>4</w:t>
                    </w:r>
                    <w:r w:rsidRPr="0026714A">
                      <w:rPr>
                        <w:rFonts w:ascii="Times New Roman" w:hAnsi="Times New Roman" w:cs="Times New Roman"/>
                      </w:rPr>
                      <w:t>、利息净额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7F69DF1A" w14:textId="6CF4EFC8" w:rsidR="0026714A" w:rsidRPr="0026714A" w:rsidRDefault="0026714A" w:rsidP="0026714A">
                <w:pPr>
                  <w:jc w:val="right"/>
                  <w:rPr>
                    <w:rFonts w:ascii="Times New Roman" w:hAnsi="Times New Roman" w:cs="Times New Roman"/>
                  </w:rPr>
                </w:pPr>
                <w:r w:rsidRPr="0026714A">
                  <w:rPr>
                    <w:rFonts w:ascii="Times New Roman" w:hAnsi="Times New Roman" w:cs="Times New Roman"/>
                  </w:rPr>
                  <w:t>-</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1BA0D684" w14:textId="0B9FC2CC" w:rsidR="0026714A" w:rsidRPr="0026714A" w:rsidRDefault="0026714A" w:rsidP="0026714A">
                <w:pPr>
                  <w:jc w:val="right"/>
                  <w:rPr>
                    <w:rFonts w:ascii="Times New Roman" w:hAnsi="Times New Roman" w:cs="Times New Roman"/>
                  </w:rPr>
                </w:pPr>
                <w:r w:rsidRPr="0026714A">
                  <w:rPr>
                    <w:rFonts w:ascii="Times New Roman" w:hAnsi="Times New Roman" w:cs="Times New Roman"/>
                  </w:rPr>
                  <w:t>-</w:t>
                </w:r>
              </w:p>
            </w:tc>
          </w:tr>
          <w:tr w:rsidR="00D21C1F" w:rsidRPr="0026714A" w14:paraId="78F6D6D7" w14:textId="77777777">
            <w:sdt>
              <w:sdtPr>
                <w:rPr>
                  <w:rFonts w:ascii="Times New Roman" w:hAnsi="Times New Roman" w:cs="Times New Roman"/>
                </w:rPr>
                <w:tag w:val="_PLD_83f071c9dd794c1fb00470b92c79bef6"/>
                <w:id w:val="2117705803"/>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663A8B8A"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三、计入其他综合收益的设定收益成本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6F080FA9"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-864,082.97</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234DC121"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966,775.41</w:t>
                </w:r>
              </w:p>
            </w:tc>
          </w:tr>
          <w:tr w:rsidR="00D21C1F" w:rsidRPr="0026714A" w14:paraId="43D89B00" w14:textId="77777777">
            <w:sdt>
              <w:sdtPr>
                <w:rPr>
                  <w:rFonts w:ascii="Times New Roman" w:hAnsi="Times New Roman" w:cs="Times New Roman"/>
                </w:rPr>
                <w:tag w:val="_PLD_0f6e179974d34980adeb9d782e7681d9"/>
                <w:id w:val="-1012376322"/>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309CFDBA"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1.</w:t>
                    </w:r>
                    <w:r w:rsidRPr="0026714A">
                      <w:rPr>
                        <w:rFonts w:ascii="Times New Roman" w:hAnsi="Times New Roman" w:cs="Times New Roman"/>
                      </w:rPr>
                      <w:t>精算利得（损失以</w:t>
                    </w:r>
                    <w:r w:rsidRPr="0026714A">
                      <w:rPr>
                        <w:rFonts w:ascii="Times New Roman" w:hAnsi="Times New Roman" w:cs="Times New Roman"/>
                      </w:rPr>
                      <w:t>“</w:t>
                    </w:r>
                    <w:r w:rsidRPr="0026714A">
                      <w:rPr>
                        <w:rFonts w:ascii="Times New Roman" w:hAnsi="Times New Roman" w:cs="Times New Roman"/>
                      </w:rPr>
                      <w:t>－</w:t>
                    </w:r>
                    <w:r w:rsidRPr="0026714A">
                      <w:rPr>
                        <w:rFonts w:ascii="Times New Roman" w:hAnsi="Times New Roman" w:cs="Times New Roman"/>
                      </w:rPr>
                      <w:t>”</w:t>
                    </w:r>
                    <w:r w:rsidRPr="0026714A">
                      <w:rPr>
                        <w:rFonts w:ascii="Times New Roman" w:hAnsi="Times New Roman" w:cs="Times New Roman"/>
                      </w:rPr>
                      <w:t>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11BE99B9"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-864,082.97</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581BF6D1"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966,775.41</w:t>
                </w:r>
              </w:p>
            </w:tc>
          </w:tr>
          <w:sdt>
            <w:sdtPr>
              <w:rPr>
                <w:rFonts w:ascii="Times New Roman" w:eastAsia="宋体" w:hAnsi="Times New Roman" w:cs="Times New Roman"/>
              </w:rPr>
              <w:alias w:val="设定受益计划义务现值-计入其他综合收益的设定收益成本明细"/>
              <w:tag w:val="_GBC_67c47024df97426aa5b7c5bd281f18d8"/>
              <w:id w:val="-804700077"/>
              <w:lock w:val="sdtLocked"/>
            </w:sdtPr>
            <w:sdtEndPr/>
            <w:sdtContent>
              <w:tr w:rsidR="00D21C1F" w:rsidRPr="0026714A" w14:paraId="128C2296"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67BF1821" w14:textId="77777777" w:rsidR="00D21C1F" w:rsidRPr="0026714A" w:rsidRDefault="00D21C1F">
                    <w:pPr>
                      <w:pStyle w:val="97"/>
                      <w:rPr>
                        <w:rFonts w:ascii="Times New Roman" w:hAnsi="Times New Roman" w:cs="Times New Roman"/>
                      </w:rPr>
                    </w:pP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290D8E9E" w14:textId="77777777" w:rsidR="00D21C1F" w:rsidRPr="0026714A" w:rsidRDefault="00D21C1F">
                    <w:pPr>
                      <w:jc w:val="right"/>
                      <w:rPr>
                        <w:rFonts w:ascii="Times New Roman" w:hAnsi="Times New Roman" w:cs="Times New Roman"/>
                      </w:rPr>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08251B11" w14:textId="77777777" w:rsidR="00D21C1F" w:rsidRPr="0026714A" w:rsidRDefault="00D21C1F">
                    <w:pPr>
                      <w:jc w:val="right"/>
                      <w:rPr>
                        <w:rFonts w:ascii="Times New Roman" w:hAnsi="Times New Roman" w:cs="Times New Roman"/>
                      </w:rPr>
                    </w:pPr>
                  </w:p>
                </w:tc>
              </w:tr>
            </w:sdtContent>
          </w:sdt>
          <w:tr w:rsidR="00D21C1F" w:rsidRPr="0026714A" w14:paraId="52113E31" w14:textId="77777777">
            <w:sdt>
              <w:sdtPr>
                <w:rPr>
                  <w:rFonts w:ascii="Times New Roman" w:hAnsi="Times New Roman" w:cs="Times New Roman"/>
                </w:rPr>
                <w:tag w:val="_PLD_c729a872b31940918796b9ddc8b3d264"/>
                <w:id w:val="1477263197"/>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25178BF1"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四、其他变动</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13605FEA"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-7,458,162.05</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734C52CB"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-3,276,383.17</w:t>
                </w:r>
              </w:p>
            </w:tc>
          </w:tr>
          <w:tr w:rsidR="00D21C1F" w:rsidRPr="0026714A" w14:paraId="695EF9E0" w14:textId="77777777">
            <w:sdt>
              <w:sdtPr>
                <w:rPr>
                  <w:rFonts w:ascii="Times New Roman" w:hAnsi="Times New Roman" w:cs="Times New Roman"/>
                </w:rPr>
                <w:tag w:val="_PLD_b62cb34fbb5f49ada8114d2fa0b2744b"/>
                <w:id w:val="-1522698307"/>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7A8BAECC"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1.</w:t>
                    </w:r>
                    <w:r w:rsidRPr="0026714A">
                      <w:rPr>
                        <w:rFonts w:ascii="Times New Roman" w:hAnsi="Times New Roman" w:cs="Times New Roman"/>
                      </w:rPr>
                      <w:t>结算时支付的对价</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5BBDAF82"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-1,222,761.18</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1703018B"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w:t>
                </w:r>
              </w:p>
            </w:tc>
          </w:tr>
          <w:tr w:rsidR="00D21C1F" w:rsidRPr="0026714A" w14:paraId="01D824F0" w14:textId="77777777">
            <w:sdt>
              <w:sdtPr>
                <w:rPr>
                  <w:rFonts w:ascii="Times New Roman" w:hAnsi="Times New Roman" w:cs="Times New Roman"/>
                </w:rPr>
                <w:tag w:val="_PLD_21f834174727463abc6e4576bb81dace"/>
                <w:id w:val="-404914331"/>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7BA4F20B"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2.</w:t>
                    </w:r>
                    <w:r w:rsidRPr="0026714A">
                      <w:rPr>
                        <w:rFonts w:ascii="Times New Roman" w:hAnsi="Times New Roman" w:cs="Times New Roman"/>
                      </w:rPr>
                      <w:t>已支付的福利</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01E690E0"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-4,644,161.40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0550A50A"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-4,680,790.42</w:t>
                </w:r>
              </w:p>
            </w:tc>
          </w:tr>
          <w:sdt>
            <w:sdtPr>
              <w:rPr>
                <w:rFonts w:ascii="Times New Roman" w:eastAsia="宋体" w:hAnsi="Times New Roman" w:cs="Times New Roman"/>
              </w:rPr>
              <w:alias w:val="设定受益计划义务现值-其他变动明细"/>
              <w:tag w:val="_GBC_9822ec4b942b4732922c8717e4230169"/>
              <w:id w:val="-1447615395"/>
              <w:lock w:val="sdtLocked"/>
            </w:sdtPr>
            <w:sdtEndPr/>
            <w:sdtContent>
              <w:tr w:rsidR="00D21C1F" w:rsidRPr="0026714A" w14:paraId="3A47C71F" w14:textId="77777777">
                <w:tc>
                  <w:tcPr>
                    <w:tcW w:w="1924" w:type="pct"/>
                    <w:tcBorders>
                      <w:top w:val="single" w:sz="4" w:space="0" w:color="auto"/>
                      <w:left w:val="single" w:sz="4" w:space="0" w:color="auto"/>
                      <w:bottom w:val="single" w:sz="6" w:space="0" w:color="auto"/>
                      <w:right w:val="single" w:sz="6" w:space="0" w:color="auto"/>
                    </w:tcBorders>
                    <w:shd w:val="clear" w:color="auto" w:fill="auto"/>
                  </w:tcPr>
                  <w:p w14:paraId="5C0DCD6A"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3.</w:t>
                    </w:r>
                    <w:r w:rsidRPr="0026714A">
                      <w:rPr>
                        <w:rFonts w:ascii="Times New Roman" w:hAnsi="Times New Roman" w:cs="Times New Roman"/>
                      </w:rPr>
                      <w:t>外币报表折算差额</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188E3BF9"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-1,591,239.47</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239F8897"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1,404,407.25</w:t>
                    </w:r>
                  </w:p>
                </w:tc>
              </w:tr>
            </w:sdtContent>
          </w:sdt>
          <w:tr w:rsidR="00D21C1F" w:rsidRPr="0026714A" w14:paraId="79474818" w14:textId="77777777">
            <w:sdt>
              <w:sdtPr>
                <w:rPr>
                  <w:rFonts w:ascii="Times New Roman" w:hAnsi="Times New Roman" w:cs="Times New Roman"/>
                </w:rPr>
                <w:tag w:val="_PLD_5e3f7fa86b304b8eb90c329578680944"/>
                <w:id w:val="1698277176"/>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tcPr>
                  <w:p w14:paraId="6EAEC7ED"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五、期末余额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4238BCDE"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49,846,178.22</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15B26E89"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52,731,859.39</w:t>
                </w:r>
              </w:p>
            </w:tc>
          </w:tr>
        </w:tbl>
        <w:p w14:paraId="3EA5C81D" w14:textId="77777777" w:rsidR="00D21C1F" w:rsidRPr="0026714A" w:rsidRDefault="00D21C1F">
          <w:pPr>
            <w:pStyle w:val="97"/>
            <w:rPr>
              <w:rFonts w:ascii="Times New Roman" w:hAnsi="Times New Roman" w:cs="Times New Roman"/>
            </w:rPr>
          </w:pPr>
        </w:p>
        <w:p w14:paraId="78FAE310" w14:textId="77777777" w:rsidR="00D21C1F" w:rsidRPr="0026714A" w:rsidRDefault="00A42880">
          <w:pPr>
            <w:rPr>
              <w:rFonts w:ascii="Times New Roman" w:hAnsi="Times New Roman" w:cs="Times New Roman"/>
              <w:szCs w:val="21"/>
            </w:rPr>
          </w:pPr>
          <w:r w:rsidRPr="0026714A">
            <w:rPr>
              <w:rFonts w:ascii="Times New Roman" w:hAnsi="Times New Roman" w:cs="Times New Roman"/>
              <w:szCs w:val="21"/>
            </w:rPr>
            <w:t>计划资产：</w:t>
          </w:r>
        </w:p>
        <w:sdt>
          <w:sdtPr>
            <w:rPr>
              <w:rFonts w:ascii="Times New Roman" w:hAnsi="Times New Roman" w:cs="Times New Roman"/>
              <w:szCs w:val="21"/>
            </w:rPr>
            <w:alias w:val="是否适用：设定受益计划变动情况_计划资产[双击切换]"/>
            <w:tag w:val="_GBC_c2b590ce2cf24711a0d840605c251bba"/>
            <w:id w:val="1892764375"/>
            <w:lock w:val="sdtLocked"/>
            <w:placeholder>
              <w:docPart w:val="GBC22222222222222222222222222222"/>
            </w:placeholder>
          </w:sdtPr>
          <w:sdtEndPr/>
          <w:sdtContent>
            <w:p w14:paraId="4BE5D78B" w14:textId="77777777" w:rsidR="00D21C1F" w:rsidRPr="0026714A" w:rsidRDefault="00A42880">
              <w:pPr>
                <w:pStyle w:val="97"/>
                <w:rPr>
                  <w:rFonts w:ascii="Times New Roman" w:hAnsi="Times New Roman" w:cs="Times New Roman"/>
                </w:rPr>
              </w:pPr>
              <w:r w:rsidRPr="0026714A">
                <w:rPr>
                  <w:rFonts w:ascii="Times New Roman" w:hAnsi="Times New Roman" w:cs="Times New Roman"/>
                  <w:szCs w:val="21"/>
                </w:rPr>
                <w:fldChar w:fldCharType="begin"/>
              </w:r>
              <w:r w:rsidRPr="0026714A">
                <w:rPr>
                  <w:rFonts w:ascii="Times New Roman" w:hAnsi="Times New Roman" w:cs="Times New Roman"/>
                  <w:szCs w:val="21"/>
                </w:rPr>
                <w:instrText xml:space="preserve"> MACROBUTTON  SnrToggleCheckbox □</w:instrText>
              </w:r>
              <w:r w:rsidRPr="0026714A">
                <w:rPr>
                  <w:rFonts w:ascii="Times New Roman" w:hAnsi="Times New Roman" w:cs="Times New Roman"/>
                  <w:szCs w:val="21"/>
                </w:rPr>
                <w:instrText>适用</w:instrText>
              </w:r>
              <w:r w:rsidRPr="0026714A">
                <w:rPr>
                  <w:rFonts w:ascii="Times New Roman" w:hAnsi="Times New Roman" w:cs="Times New Roman"/>
                  <w:szCs w:val="21"/>
                </w:rPr>
                <w:instrText xml:space="preserve"> </w:instrText>
              </w:r>
              <w:r w:rsidRPr="0026714A">
                <w:rPr>
                  <w:rFonts w:ascii="Times New Roman" w:hAnsi="Times New Roman" w:cs="Times New Roman"/>
                  <w:szCs w:val="21"/>
                </w:rPr>
                <w:fldChar w:fldCharType="end"/>
              </w:r>
              <w:r w:rsidRPr="0026714A">
                <w:rPr>
                  <w:rFonts w:ascii="Times New Roman" w:hAnsi="Times New Roman" w:cs="Times New Roman"/>
                  <w:szCs w:val="21"/>
                </w:rPr>
                <w:fldChar w:fldCharType="begin"/>
              </w:r>
              <w:r w:rsidRPr="0026714A">
                <w:rPr>
                  <w:rFonts w:ascii="Times New Roman" w:hAnsi="Times New Roman" w:cs="Times New Roman"/>
                  <w:szCs w:val="21"/>
                </w:rPr>
                <w:instrText xml:space="preserve"> MACROBUTTON  SnrToggleCheckbox √</w:instrText>
              </w:r>
              <w:r w:rsidRPr="0026714A">
                <w:rPr>
                  <w:rFonts w:ascii="Times New Roman" w:hAnsi="Times New Roman" w:cs="Times New Roman"/>
                  <w:szCs w:val="21"/>
                </w:rPr>
                <w:instrText>不适用</w:instrText>
              </w:r>
              <w:r w:rsidRPr="0026714A">
                <w:rPr>
                  <w:rFonts w:ascii="Times New Roman" w:hAnsi="Times New Roman" w:cs="Times New Roman"/>
                  <w:szCs w:val="21"/>
                </w:rPr>
                <w:instrText xml:space="preserve"> </w:instrText>
              </w:r>
              <w:r w:rsidRPr="0026714A">
                <w:rPr>
                  <w:rFonts w:ascii="Times New Roman" w:hAnsi="Times New Roman" w:cs="Times New Roman"/>
                  <w:szCs w:val="21"/>
                </w:rPr>
                <w:fldChar w:fldCharType="end"/>
              </w:r>
            </w:p>
          </w:sdtContent>
        </w:sdt>
        <w:p w14:paraId="4B8ADDB7"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设定受益计划净负债（净资产）</w:t>
          </w:r>
        </w:p>
        <w:sdt>
          <w:sdtPr>
            <w:rPr>
              <w:rFonts w:ascii="Times New Roman" w:hAnsi="Times New Roman" w:cs="Times New Roman"/>
            </w:rPr>
            <w:alias w:val="是否适用：设定受益计划变动情况_设定受益计划净负债[双击切换]"/>
            <w:tag w:val="_GBC_c9a00f9cf02f40478b9c06d7ded58e74"/>
            <w:id w:val="1766109294"/>
            <w:lock w:val="sdtLocked"/>
            <w:placeholder>
              <w:docPart w:val="GBC22222222222222222222222222222"/>
            </w:placeholder>
          </w:sdtPr>
          <w:sdtEndPr/>
          <w:sdtContent>
            <w:p w14:paraId="296896BD"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不适用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p>
          </w:sdtContent>
        </w:sdt>
        <w:p w14:paraId="2C6BA1A9"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单位：</w:t>
          </w:r>
          <w:sdt>
            <w:sdtPr>
              <w:rPr>
                <w:rFonts w:ascii="Times New Roman" w:hAnsi="Times New Roman" w:cs="Times New Roman"/>
              </w:rPr>
              <w:alias w:val="单位：财务附注：设定受益计划净负债"/>
              <w:tag w:val="_GBC_54fbb7ef15b042f89b56d20b667a2060"/>
              <w:id w:val="-10496767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6714A">
                <w:rPr>
                  <w:rFonts w:ascii="Times New Roman" w:hAnsi="Times New Roman" w:cs="Times New Roman"/>
                </w:rPr>
                <w:t>元</w:t>
              </w:r>
            </w:sdtContent>
          </w:sdt>
          <w:r w:rsidRPr="0026714A">
            <w:rPr>
              <w:rFonts w:ascii="Times New Roman" w:hAnsi="Times New Roman" w:cs="Times New Roman"/>
            </w:rPr>
            <w:t>币种：</w:t>
          </w:r>
          <w:sdt>
            <w:sdtPr>
              <w:rPr>
                <w:rFonts w:ascii="Times New Roman" w:hAnsi="Times New Roman" w:cs="Times New Roman"/>
              </w:rPr>
              <w:alias w:val="币种：财务附注：设定受益计划净负债"/>
              <w:tag w:val="_GBC_2d5d717f2c854d76a0297479a4e0a843"/>
              <w:id w:val="18973168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26714A">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702"/>
            <w:gridCol w:w="2701"/>
          </w:tblGrid>
          <w:tr w:rsidR="00D21C1F" w:rsidRPr="0026714A" w14:paraId="37B0BBA8" w14:textId="77777777">
            <w:sdt>
              <w:sdtPr>
                <w:rPr>
                  <w:rFonts w:ascii="Times New Roman" w:hAnsi="Times New Roman" w:cs="Times New Roman"/>
                </w:rPr>
                <w:tag w:val="_PLD_61ac687fac4043bda02be8394aecf94d"/>
                <w:id w:val="1983501874"/>
                <w:lock w:val="sdtLocked"/>
              </w:sdtPr>
              <w:sdtEndPr/>
              <w:sdtContent>
                <w:tc>
                  <w:tcPr>
                    <w:tcW w:w="1937" w:type="pct"/>
                    <w:tcBorders>
                      <w:left w:val="single" w:sz="6" w:space="0" w:color="auto"/>
                      <w:bottom w:val="single" w:sz="6" w:space="0" w:color="auto"/>
                      <w:right w:val="single" w:sz="6" w:space="0" w:color="auto"/>
                    </w:tcBorders>
                    <w:shd w:val="clear" w:color="auto" w:fill="auto"/>
                    <w:vAlign w:val="center"/>
                  </w:tcPr>
                  <w:p w14:paraId="3825916F" w14:textId="77777777" w:rsidR="00D21C1F" w:rsidRPr="0026714A" w:rsidRDefault="00A42880">
                    <w:pPr>
                      <w:jc w:val="center"/>
                      <w:rPr>
                        <w:rFonts w:ascii="Times New Roman" w:hAnsi="Times New Roman" w:cs="Times New Roman"/>
                      </w:rPr>
                    </w:pPr>
                    <w:r w:rsidRPr="0026714A">
                      <w:rPr>
                        <w:rFonts w:ascii="Times New Roman" w:hAnsi="Times New Roman" w:cs="Times New Roman"/>
                      </w:rPr>
                      <w:t>项目</w:t>
                    </w:r>
                  </w:p>
                </w:tc>
              </w:sdtContent>
            </w:sdt>
            <w:sdt>
              <w:sdtPr>
                <w:rPr>
                  <w:rFonts w:ascii="Times New Roman" w:hAnsi="Times New Roman" w:cs="Times New Roman"/>
                </w:rPr>
                <w:tag w:val="_PLD_d4b13d12aa5c4ca19b6be5bdcebb5d2b"/>
                <w:id w:val="-1435440773"/>
                <w:lock w:val="sdtLocked"/>
              </w:sdtPr>
              <w:sdtEnd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14491C47" w14:textId="77777777" w:rsidR="00D21C1F" w:rsidRPr="0026714A" w:rsidRDefault="00A42880">
                    <w:pPr>
                      <w:jc w:val="center"/>
                      <w:rPr>
                        <w:rFonts w:ascii="Times New Roman" w:hAnsi="Times New Roman" w:cs="Times New Roman"/>
                      </w:rPr>
                    </w:pPr>
                    <w:r w:rsidRPr="0026714A">
                      <w:rPr>
                        <w:rFonts w:ascii="Times New Roman" w:hAnsi="Times New Roman" w:cs="Times New Roman"/>
                      </w:rPr>
                      <w:t>本期发生额</w:t>
                    </w:r>
                  </w:p>
                </w:tc>
              </w:sdtContent>
            </w:sdt>
            <w:sdt>
              <w:sdtPr>
                <w:rPr>
                  <w:rFonts w:ascii="Times New Roman" w:hAnsi="Times New Roman" w:cs="Times New Roman"/>
                </w:rPr>
                <w:tag w:val="_PLD_0512a503d7614b0594f8c1afa3ea96b1"/>
                <w:id w:val="1934783368"/>
                <w:lock w:val="sdtLocked"/>
              </w:sdtPr>
              <w:sdtEnd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53CE982C" w14:textId="77777777" w:rsidR="00D21C1F" w:rsidRPr="0026714A" w:rsidRDefault="00A42880">
                    <w:pPr>
                      <w:jc w:val="center"/>
                      <w:rPr>
                        <w:rFonts w:ascii="Times New Roman" w:hAnsi="Times New Roman" w:cs="Times New Roman"/>
                      </w:rPr>
                    </w:pPr>
                    <w:r w:rsidRPr="0026714A">
                      <w:rPr>
                        <w:rFonts w:ascii="Times New Roman" w:hAnsi="Times New Roman" w:cs="Times New Roman"/>
                      </w:rPr>
                      <w:t>上期发生额</w:t>
                    </w:r>
                  </w:p>
                </w:tc>
              </w:sdtContent>
            </w:sdt>
          </w:tr>
          <w:tr w:rsidR="00D21C1F" w:rsidRPr="0026714A" w14:paraId="414B12C8" w14:textId="77777777">
            <w:sdt>
              <w:sdtPr>
                <w:rPr>
                  <w:rFonts w:ascii="Times New Roman" w:hAnsi="Times New Roman" w:cs="Times New Roman"/>
                </w:rPr>
                <w:tag w:val="_PLD_13ab00000a374a44beda4a3cdc90def7"/>
                <w:id w:val="1881047580"/>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vAlign w:val="center"/>
                  </w:tcPr>
                  <w:p w14:paraId="121BF68C"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一、期初余额</w:t>
                    </w:r>
                  </w:p>
                </w:tc>
              </w:sdtContent>
            </w:sd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55CE1C85"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52,731,859.39</w:t>
                </w:r>
              </w:p>
            </w:tc>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5F28F4FA"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48,526,875.05</w:t>
                </w:r>
              </w:p>
            </w:tc>
          </w:tr>
          <w:tr w:rsidR="00D21C1F" w:rsidRPr="0026714A" w14:paraId="412B1DF4" w14:textId="77777777">
            <w:sdt>
              <w:sdtPr>
                <w:rPr>
                  <w:rFonts w:ascii="Times New Roman" w:hAnsi="Times New Roman" w:cs="Times New Roman"/>
                </w:rPr>
                <w:tag w:val="_PLD_e11e10f9c7ab4595ad3a9ed8cae1dd8c"/>
                <w:id w:val="-684976073"/>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tcPr>
                  <w:p w14:paraId="781C5513"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二、计入当期损益的设定受益成本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71F8B29C"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5,436,563.85</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6CE8FC7C"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6,514,592.10</w:t>
                </w:r>
              </w:p>
            </w:tc>
          </w:tr>
          <w:tr w:rsidR="00D21C1F" w:rsidRPr="0026714A" w14:paraId="56927FFD" w14:textId="77777777">
            <w:sdt>
              <w:sdtPr>
                <w:rPr>
                  <w:rFonts w:ascii="Times New Roman" w:hAnsi="Times New Roman" w:cs="Times New Roman"/>
                </w:rPr>
                <w:tag w:val="_PLD_739df71bdc8643a58d9597c01d63f131"/>
                <w:id w:val="1014264296"/>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tcPr>
                  <w:p w14:paraId="2E28EBB0"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三、计入其他综合收益的设定收益成本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72E694CD"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-864,082.97</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12E782D2"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966,775.41</w:t>
                </w:r>
              </w:p>
            </w:tc>
          </w:tr>
          <w:tr w:rsidR="00D21C1F" w:rsidRPr="0026714A" w14:paraId="3F31B2DD" w14:textId="77777777">
            <w:sdt>
              <w:sdtPr>
                <w:rPr>
                  <w:rFonts w:ascii="Times New Roman" w:hAnsi="Times New Roman" w:cs="Times New Roman"/>
                </w:rPr>
                <w:tag w:val="_PLD_306d25d71297462192a74d9e1e9a6900"/>
                <w:id w:val="744680555"/>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tcPr>
                  <w:p w14:paraId="4D44F49C"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四、其他变动</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6968ED7F"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-7,458,162.05</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796BFF65"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-3,276,383.17</w:t>
                </w:r>
              </w:p>
            </w:tc>
          </w:tr>
          <w:tr w:rsidR="00D21C1F" w:rsidRPr="0026714A" w14:paraId="556CA222" w14:textId="77777777">
            <w:sdt>
              <w:sdtPr>
                <w:rPr>
                  <w:rFonts w:ascii="Times New Roman" w:hAnsi="Times New Roman" w:cs="Times New Roman"/>
                </w:rPr>
                <w:tag w:val="_PLD_27a294264bfe47ec8f16ebbbb9d266ed"/>
                <w:id w:val="955605784"/>
                <w:lock w:val="sdtLocked"/>
              </w:sdtPr>
              <w:sdtEndPr/>
              <w:sdtContent>
                <w:tc>
                  <w:tcPr>
                    <w:tcW w:w="1937" w:type="pct"/>
                    <w:tcBorders>
                      <w:top w:val="single" w:sz="6" w:space="0" w:color="auto"/>
                      <w:left w:val="single" w:sz="6" w:space="0" w:color="auto"/>
                      <w:bottom w:val="single" w:sz="6" w:space="0" w:color="auto"/>
                      <w:right w:val="single" w:sz="6" w:space="0" w:color="auto"/>
                    </w:tcBorders>
                    <w:shd w:val="clear" w:color="auto" w:fill="auto"/>
                  </w:tcPr>
                  <w:p w14:paraId="70A794C9"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t>五、期末余额</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6803CE51"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49,846,178.22</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750ED775" w14:textId="77777777" w:rsidR="00D21C1F" w:rsidRPr="0026714A" w:rsidRDefault="00A42880">
                <w:pPr>
                  <w:jc w:val="right"/>
                  <w:rPr>
                    <w:rFonts w:ascii="Times New Roman" w:hAnsi="Times New Roman" w:cs="Times New Roman"/>
                  </w:rPr>
                </w:pPr>
                <w:r w:rsidRPr="0026714A">
                  <w:rPr>
                    <w:rFonts w:ascii="Times New Roman" w:hAnsi="Times New Roman" w:cs="Times New Roman"/>
                  </w:rPr>
                  <w:t>52,731,859.39</w:t>
                </w:r>
              </w:p>
            </w:tc>
          </w:tr>
        </w:tbl>
        <w:p w14:paraId="4394CB4B" w14:textId="77777777" w:rsidR="00D21C1F" w:rsidRPr="0026714A" w:rsidRDefault="00D21C1F">
          <w:pPr>
            <w:rPr>
              <w:rFonts w:ascii="Times New Roman" w:hAnsi="Times New Roman" w:cs="Times New Roman"/>
              <w:szCs w:val="21"/>
            </w:rPr>
          </w:pPr>
        </w:p>
        <w:p w14:paraId="3E47C706" w14:textId="77777777" w:rsidR="00D21C1F" w:rsidRPr="0026714A" w:rsidRDefault="00A42880">
          <w:pPr>
            <w:rPr>
              <w:rFonts w:ascii="Times New Roman" w:hAnsi="Times New Roman" w:cs="Times New Roman"/>
              <w:szCs w:val="21"/>
            </w:rPr>
          </w:pPr>
          <w:r w:rsidRPr="0026714A">
            <w:rPr>
              <w:rFonts w:ascii="Times New Roman" w:hAnsi="Times New Roman" w:cs="Times New Roman"/>
              <w:szCs w:val="21"/>
            </w:rPr>
            <w:t>设定受益计划的内容及与之相关风险、对公司未来现金流量、时间和不确定性的影响说明：</w:t>
          </w:r>
        </w:p>
        <w:sdt>
          <w:sdtPr>
            <w:rPr>
              <w:rFonts w:ascii="Times New Roman" w:hAnsi="Times New Roman" w:cs="Times New Roman"/>
              <w:szCs w:val="21"/>
            </w:rPr>
            <w:alias w:val="是否适用：设定受益计划的内容及与之相关风险、对公司未来现金流量、时间和不确定性的影响说明[双击切换]"/>
            <w:tag w:val="_GBC_2e34365c15bf476d97ccb2c983bcb127"/>
            <w:id w:val="-471980096"/>
            <w:lock w:val="sdtLocked"/>
            <w:placeholder>
              <w:docPart w:val="GBC22222222222222222222222222222"/>
            </w:placeholder>
          </w:sdtPr>
          <w:sdtEndPr/>
          <w:sdtContent>
            <w:p w14:paraId="62AB15A8" w14:textId="77777777" w:rsidR="00D21C1F" w:rsidRPr="0026714A" w:rsidRDefault="00A42880">
              <w:pPr>
                <w:rPr>
                  <w:rFonts w:ascii="Times New Roman" w:hAnsi="Times New Roman" w:cs="Times New Roman"/>
                  <w:szCs w:val="21"/>
                </w:rPr>
              </w:pPr>
              <w:r w:rsidRPr="0026714A">
                <w:rPr>
                  <w:rFonts w:ascii="Times New Roman" w:hAnsi="Times New Roman" w:cs="Times New Roman"/>
                  <w:szCs w:val="21"/>
                </w:rPr>
                <w:fldChar w:fldCharType="begin"/>
              </w:r>
              <w:r w:rsidRPr="0026714A">
                <w:rPr>
                  <w:rFonts w:ascii="Times New Roman" w:hAnsi="Times New Roman" w:cs="Times New Roman"/>
                  <w:szCs w:val="21"/>
                </w:rPr>
                <w:instrText xml:space="preserve"> MACROBUTTON  SnrToggleCheckbox √</w:instrText>
              </w:r>
              <w:r w:rsidRPr="0026714A">
                <w:rPr>
                  <w:rFonts w:ascii="Times New Roman" w:hAnsi="Times New Roman" w:cs="Times New Roman"/>
                  <w:szCs w:val="21"/>
                </w:rPr>
                <w:instrText>适用</w:instrText>
              </w:r>
              <w:r w:rsidRPr="0026714A">
                <w:rPr>
                  <w:rFonts w:ascii="Times New Roman" w:hAnsi="Times New Roman" w:cs="Times New Roman"/>
                  <w:szCs w:val="21"/>
                </w:rPr>
                <w:instrText xml:space="preserve"> </w:instrText>
              </w:r>
              <w:r w:rsidRPr="0026714A">
                <w:rPr>
                  <w:rFonts w:ascii="Times New Roman" w:hAnsi="Times New Roman" w:cs="Times New Roman"/>
                  <w:szCs w:val="21"/>
                </w:rPr>
                <w:fldChar w:fldCharType="end"/>
              </w:r>
              <w:r w:rsidRPr="0026714A">
                <w:rPr>
                  <w:rFonts w:ascii="Times New Roman" w:hAnsi="Times New Roman" w:cs="Times New Roman"/>
                  <w:szCs w:val="21"/>
                </w:rPr>
                <w:fldChar w:fldCharType="begin"/>
              </w:r>
              <w:r w:rsidRPr="0026714A">
                <w:rPr>
                  <w:rFonts w:ascii="Times New Roman" w:hAnsi="Times New Roman" w:cs="Times New Roman"/>
                  <w:szCs w:val="21"/>
                </w:rPr>
                <w:instrText xml:space="preserve"> MACROBUTTON  SnrToggleCheckbox □</w:instrText>
              </w:r>
              <w:r w:rsidRPr="0026714A">
                <w:rPr>
                  <w:rFonts w:ascii="Times New Roman" w:hAnsi="Times New Roman" w:cs="Times New Roman"/>
                  <w:szCs w:val="21"/>
                </w:rPr>
                <w:instrText>不适用</w:instrText>
              </w:r>
              <w:r w:rsidRPr="0026714A">
                <w:rPr>
                  <w:rFonts w:ascii="Times New Roman" w:hAnsi="Times New Roman" w:cs="Times New Roman"/>
                  <w:szCs w:val="21"/>
                </w:rPr>
                <w:instrText xml:space="preserve"> </w:instrText>
              </w:r>
              <w:r w:rsidRPr="0026714A">
                <w:rPr>
                  <w:rFonts w:ascii="Times New Roman" w:hAnsi="Times New Roman" w:cs="Times New Roman"/>
                  <w:szCs w:val="21"/>
                </w:rPr>
                <w:fldChar w:fldCharType="end"/>
              </w:r>
            </w:p>
          </w:sdtContent>
        </w:sdt>
        <w:sdt>
          <w:sdtPr>
            <w:rPr>
              <w:rFonts w:ascii="Times New Roman" w:hAnsi="Times New Roman" w:cs="Times New Roman"/>
            </w:rPr>
            <w:alias w:val="设定受益计划的内容及与之相关风险、对公司未来现金流量、时间和不确定性的影响说明"/>
            <w:tag w:val="_GBC_f8515160622040f69e1004dae9dd0f07"/>
            <w:id w:val="1096054792"/>
            <w:lock w:val="sdtLocked"/>
            <w:placeholder>
              <w:docPart w:val="GBC22222222222222222222222222222"/>
            </w:placeholder>
          </w:sdtPr>
          <w:sdtEndPr/>
          <w:sdtContent>
            <w:p w14:paraId="586ABE1F" w14:textId="77777777" w:rsidR="00D21C1F" w:rsidRPr="0026714A" w:rsidRDefault="00A42880">
              <w:pPr>
                <w:pStyle w:val="120"/>
                <w:spacing w:beforeLines="50" w:before="120" w:line="360" w:lineRule="auto"/>
                <w:ind w:firstLineChars="200" w:firstLine="420"/>
                <w:jc w:val="both"/>
                <w:rPr>
                  <w:rFonts w:ascii="Times New Roman" w:hAnsi="Times New Roman" w:cs="Times New Roman"/>
                </w:rPr>
              </w:pPr>
              <w:r w:rsidRPr="0026714A">
                <w:rPr>
                  <w:rFonts w:ascii="Times New Roman" w:hAnsi="Times New Roman" w:cs="Times New Roman"/>
                </w:rPr>
                <w:t>根据意大利的有关法规设立退职金制度</w:t>
              </w:r>
              <w:r w:rsidRPr="0026714A">
                <w:rPr>
                  <w:rFonts w:ascii="Times New Roman" w:hAnsi="Times New Roman" w:cs="Times New Roman"/>
                </w:rPr>
                <w:t>(Trattamentodi Fine Rapporto</w:t>
              </w:r>
              <w:r w:rsidRPr="0026714A">
                <w:rPr>
                  <w:rFonts w:ascii="Times New Roman" w:hAnsi="Times New Roman" w:cs="Times New Roman"/>
                </w:rPr>
                <w:t>，简称</w:t>
              </w:r>
              <w:r w:rsidRPr="0026714A">
                <w:rPr>
                  <w:rFonts w:ascii="Times New Roman" w:hAnsi="Times New Roman" w:cs="Times New Roman"/>
                </w:rPr>
                <w:t>TFR</w:t>
              </w:r>
              <w:r w:rsidRPr="0026714A">
                <w:rPr>
                  <w:rFonts w:ascii="Times New Roman" w:hAnsi="Times New Roman" w:cs="Times New Roman"/>
                </w:rPr>
                <w:t>，即职工离职补偿金），意大利子公司需要根据每个员工的就业期限和应税基薪对每一个员工计提退职金，并于员工离职或被解雇时支付给员工。这项计划以通货膨胀率预计未来现金流出，以折现率确定其现值。</w:t>
              </w:r>
            </w:p>
            <w:p w14:paraId="120CA147" w14:textId="77777777" w:rsidR="00D21C1F" w:rsidRPr="0026714A" w:rsidRDefault="00A42880">
              <w:pPr>
                <w:pStyle w:val="120"/>
                <w:spacing w:line="360" w:lineRule="auto"/>
                <w:ind w:firstLineChars="200" w:firstLine="420"/>
                <w:jc w:val="both"/>
                <w:rPr>
                  <w:rFonts w:ascii="Times New Roman" w:hAnsi="Times New Roman" w:cs="Times New Roman"/>
                </w:rPr>
              </w:pPr>
              <w:r w:rsidRPr="0026714A">
                <w:rPr>
                  <w:rFonts w:ascii="Times New Roman" w:hAnsi="Times New Roman" w:cs="Times New Roman"/>
                </w:rPr>
                <w:t>上述设定受益计划使意大利子公司面临精算风险，这些风险主要包括利率风险和通货膨胀风险。利率的降低将导致设定受益计划义务现值的增加。此外设定受益计划义务现值与计划未来的支付标准相关，而支付标准根据通货膨胀率确定。因此，通货膨胀率的上升也会导致计划负债的增加。</w:t>
              </w:r>
            </w:p>
          </w:sdtContent>
        </w:sdt>
        <w:p w14:paraId="0993D77F" w14:textId="77777777" w:rsidR="00D21C1F" w:rsidRPr="0026714A" w:rsidRDefault="00D21C1F">
          <w:pPr>
            <w:rPr>
              <w:rFonts w:ascii="Times New Roman" w:hAnsi="Times New Roman" w:cs="Times New Roman"/>
              <w:szCs w:val="21"/>
            </w:rPr>
          </w:pPr>
        </w:p>
        <w:p w14:paraId="07BEC72E" w14:textId="77777777" w:rsidR="00D21C1F" w:rsidRPr="0026714A" w:rsidRDefault="00A42880">
          <w:pPr>
            <w:rPr>
              <w:rFonts w:ascii="Times New Roman" w:hAnsi="Times New Roman" w:cs="Times New Roman"/>
              <w:szCs w:val="21"/>
            </w:rPr>
          </w:pPr>
          <w:r w:rsidRPr="0026714A">
            <w:rPr>
              <w:rFonts w:ascii="Times New Roman" w:hAnsi="Times New Roman" w:cs="Times New Roman"/>
              <w:szCs w:val="21"/>
            </w:rPr>
            <w:t>设定受益计划重大精算假设及敏感性分析结果说明</w:t>
          </w:r>
        </w:p>
        <w:sdt>
          <w:sdtPr>
            <w:rPr>
              <w:rFonts w:ascii="Times New Roman" w:hAnsi="Times New Roman" w:cs="Times New Roman"/>
              <w:szCs w:val="21"/>
            </w:rPr>
            <w:alias w:val="是否适用：设定受益计划重大精算假设及敏感性分析结果说明[双击切换]"/>
            <w:tag w:val="_GBC_ca3d6135d7d142dba45a1fa5a5c4591a"/>
            <w:id w:val="841278846"/>
            <w:lock w:val="sdtLocked"/>
            <w:placeholder>
              <w:docPart w:val="GBC22222222222222222222222222222"/>
            </w:placeholder>
          </w:sdtPr>
          <w:sdtEndPr/>
          <w:sdtContent>
            <w:p w14:paraId="3CEBF159" w14:textId="77777777" w:rsidR="00D21C1F" w:rsidRDefault="00A42880">
              <w:pPr>
                <w:rPr>
                  <w:szCs w:val="21"/>
                </w:rPr>
              </w:pPr>
              <w:r w:rsidRPr="0026714A">
                <w:rPr>
                  <w:rFonts w:ascii="Times New Roman" w:hAnsi="Times New Roman" w:cs="Times New Roman"/>
                  <w:szCs w:val="21"/>
                </w:rPr>
                <w:fldChar w:fldCharType="begin"/>
              </w:r>
              <w:r w:rsidRPr="0026714A">
                <w:rPr>
                  <w:rFonts w:ascii="Times New Roman" w:hAnsi="Times New Roman" w:cs="Times New Roman"/>
                  <w:szCs w:val="21"/>
                </w:rPr>
                <w:instrText xml:space="preserve"> MACROBUTTON  SnrToggleCheckbox □</w:instrText>
              </w:r>
              <w:r w:rsidRPr="0026714A">
                <w:rPr>
                  <w:rFonts w:ascii="Times New Roman" w:hAnsi="Times New Roman" w:cs="Times New Roman"/>
                  <w:szCs w:val="21"/>
                </w:rPr>
                <w:instrText>适用</w:instrText>
              </w:r>
              <w:r w:rsidRPr="0026714A">
                <w:rPr>
                  <w:rFonts w:ascii="Times New Roman" w:hAnsi="Times New Roman" w:cs="Times New Roman"/>
                  <w:szCs w:val="21"/>
                </w:rPr>
                <w:instrText xml:space="preserve"> </w:instrText>
              </w:r>
              <w:r w:rsidRPr="0026714A">
                <w:rPr>
                  <w:rFonts w:ascii="Times New Roman" w:hAnsi="Times New Roman" w:cs="Times New Roman"/>
                  <w:szCs w:val="21"/>
                </w:rPr>
                <w:fldChar w:fldCharType="end"/>
              </w:r>
              <w:r w:rsidRPr="0026714A">
                <w:rPr>
                  <w:rFonts w:ascii="Times New Roman" w:hAnsi="Times New Roman" w:cs="Times New Roman"/>
                  <w:szCs w:val="21"/>
                </w:rPr>
                <w:fldChar w:fldCharType="begin"/>
              </w:r>
              <w:r w:rsidRPr="0026714A">
                <w:rPr>
                  <w:rFonts w:ascii="Times New Roman" w:hAnsi="Times New Roman" w:cs="Times New Roman"/>
                  <w:szCs w:val="21"/>
                </w:rPr>
                <w:instrText xml:space="preserve"> MACROBUTTON  SnrToggleCheckbox √</w:instrText>
              </w:r>
              <w:r w:rsidRPr="0026714A">
                <w:rPr>
                  <w:rFonts w:ascii="Times New Roman" w:hAnsi="Times New Roman" w:cs="Times New Roman"/>
                  <w:szCs w:val="21"/>
                </w:rPr>
                <w:instrText>不适用</w:instrText>
              </w:r>
              <w:r w:rsidRPr="0026714A">
                <w:rPr>
                  <w:rFonts w:ascii="Times New Roman" w:hAnsi="Times New Roman" w:cs="Times New Roman"/>
                  <w:szCs w:val="21"/>
                </w:rPr>
                <w:instrText xml:space="preserve"> </w:instrText>
              </w:r>
              <w:r w:rsidRPr="0026714A">
                <w:rPr>
                  <w:rFonts w:ascii="Times New Roman" w:hAnsi="Times New Roman" w:cs="Times New Roman"/>
                  <w:szCs w:val="21"/>
                </w:rPr>
                <w:fldChar w:fldCharType="end"/>
              </w:r>
            </w:p>
          </w:sdtContent>
        </w:sdt>
      </w:sdtContent>
    </w:sdt>
    <w:sdt>
      <w:sdtPr>
        <w:rPr>
          <w:szCs w:val="21"/>
        </w:rPr>
        <w:alias w:val="模块:长期应付职工薪酬的其他说明"/>
        <w:tag w:val="_GBC_9d7ebc39babc43788a550e83deca7fdc"/>
        <w:id w:val="-536584406"/>
        <w:lock w:val="sdtLocked"/>
        <w:placeholder>
          <w:docPart w:val="GBC22222222222222222222222222222"/>
        </w:placeholder>
      </w:sdtPr>
      <w:sdtEndPr/>
      <w:sdtContent>
        <w:p w14:paraId="4296C1AB" w14:textId="77777777" w:rsidR="00D21C1F" w:rsidRDefault="00A42880">
          <w:pPr>
            <w:rPr>
              <w:szCs w:val="21"/>
            </w:rPr>
          </w:pPr>
          <w:r>
            <w:rPr>
              <w:rFonts w:hint="eastAsia"/>
              <w:szCs w:val="21"/>
            </w:rPr>
            <w:t>其他说明：</w:t>
          </w:r>
        </w:p>
        <w:sdt>
          <w:sdtPr>
            <w:rPr>
              <w:szCs w:val="21"/>
            </w:rPr>
            <w:alias w:val="是否适用：长期应付职工薪酬的其他说明[双击切换]"/>
            <w:tag w:val="_GBC_9621d9da5c12475c9b0ae742a1372566"/>
            <w:id w:val="85351965"/>
            <w:lock w:val="sdtLocked"/>
            <w:placeholder>
              <w:docPart w:val="GBC22222222222222222222222222222"/>
            </w:placeholder>
          </w:sdtPr>
          <w:sdtEndPr/>
          <w:sdtContent>
            <w:p w14:paraId="2C908AE6"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02D61DC" w14:textId="77777777" w:rsidR="00D21C1F" w:rsidRDefault="00D21C1F">
      <w:pPr>
        <w:rPr>
          <w:szCs w:val="21"/>
        </w:rPr>
      </w:pPr>
    </w:p>
    <w:bookmarkStart w:id="267" w:name="_Hlk10537141" w:displacedByCustomXml="next"/>
    <w:sdt>
      <w:sdtPr>
        <w:rPr>
          <w:rFonts w:ascii="Times New Roman" w:eastAsia="宋体" w:hAnsi="Times New Roman" w:cs="宋体"/>
          <w:b w:val="0"/>
          <w:bCs w:val="0"/>
          <w:kern w:val="0"/>
          <w:szCs w:val="21"/>
        </w:rPr>
        <w:alias w:val="模块:预计负债"/>
        <w:tag w:val="_GBC_6b41f75046264d5392c8786bf4fd2da4"/>
        <w:id w:val="1421520449"/>
        <w:lock w:val="sdtLocked"/>
        <w:placeholder>
          <w:docPart w:val="GBC22222222222222222222222222222"/>
        </w:placeholder>
      </w:sdtPr>
      <w:sdtEndPr>
        <w:rPr>
          <w:kern w:val="2"/>
        </w:rPr>
      </w:sdtEndPr>
      <w:sdtContent>
        <w:p w14:paraId="281019A1" w14:textId="77777777" w:rsidR="00D21C1F" w:rsidRPr="0026714A" w:rsidRDefault="00A42880">
          <w:pPr>
            <w:pStyle w:val="94"/>
            <w:numPr>
              <w:ilvl w:val="0"/>
              <w:numId w:val="95"/>
            </w:numPr>
            <w:tabs>
              <w:tab w:val="left" w:pos="504"/>
            </w:tabs>
            <w:rPr>
              <w:rFonts w:ascii="Times New Roman" w:hAnsi="Times New Roman"/>
              <w:szCs w:val="21"/>
            </w:rPr>
          </w:pPr>
          <w:r w:rsidRPr="0026714A">
            <w:rPr>
              <w:rFonts w:ascii="Times New Roman" w:hAnsi="Times New Roman"/>
              <w:szCs w:val="21"/>
            </w:rPr>
            <w:t>预计负债</w:t>
          </w:r>
        </w:p>
        <w:sdt>
          <w:sdtPr>
            <w:rPr>
              <w:rFonts w:ascii="Times New Roman" w:hAnsi="Times New Roman" w:cs="Times New Roman"/>
            </w:rPr>
            <w:alias w:val="是否适用：预计负债[双击切换]"/>
            <w:tag w:val="_GBC_1687da235caf410f866f00240cee7fdb"/>
            <w:id w:val="932623565"/>
            <w:lock w:val="sdtLocked"/>
            <w:placeholder>
              <w:docPart w:val="GBC22222222222222222222222222222"/>
            </w:placeholder>
          </w:sdtPr>
          <w:sdtEndPr/>
          <w:sdtContent>
            <w:p w14:paraId="0CB3EDC3"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不适用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p>
          </w:sdtContent>
        </w:sdt>
        <w:p w14:paraId="6DB5151F"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单位：</w:t>
          </w:r>
          <w:sdt>
            <w:sdtPr>
              <w:rPr>
                <w:rFonts w:ascii="Times New Roman" w:hAnsi="Times New Roman" w:cs="Times New Roman"/>
                <w:szCs w:val="21"/>
              </w:rPr>
              <w:alias w:val="单位：财务附注：预计负债"/>
              <w:tag w:val="_GBC_cb4f52bf31e64f4c951a1d03c8737c2c"/>
              <w:id w:val="20989788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6714A">
                <w:rPr>
                  <w:rFonts w:ascii="Times New Roman" w:hAnsi="Times New Roman" w:cs="Times New Roman"/>
                  <w:szCs w:val="21"/>
                </w:rPr>
                <w:t>元</w:t>
              </w:r>
            </w:sdtContent>
          </w:sdt>
          <w:r w:rsidRPr="0026714A">
            <w:rPr>
              <w:rFonts w:ascii="Times New Roman" w:hAnsi="Times New Roman" w:cs="Times New Roman"/>
              <w:szCs w:val="21"/>
            </w:rPr>
            <w:t>币种：</w:t>
          </w:r>
          <w:sdt>
            <w:sdtPr>
              <w:rPr>
                <w:rFonts w:ascii="Times New Roman" w:hAnsi="Times New Roman" w:cs="Times New Roman"/>
                <w:szCs w:val="21"/>
              </w:rPr>
              <w:alias w:val="币种：财务附注：预计负债"/>
              <w:tag w:val="_GBC_c1e0a0d54ae34f37b10682c1542f4496"/>
              <w:id w:val="770360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26714A">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205"/>
            <w:gridCol w:w="2206"/>
            <w:gridCol w:w="2206"/>
            <w:gridCol w:w="2206"/>
          </w:tblGrid>
          <w:tr w:rsidR="00D21C1F" w:rsidRPr="0026714A" w14:paraId="3B7CD275" w14:textId="77777777">
            <w:trPr>
              <w:cantSplit/>
            </w:trPr>
            <w:sdt>
              <w:sdtPr>
                <w:rPr>
                  <w:rFonts w:ascii="Times New Roman" w:hAnsi="Times New Roman" w:cs="Times New Roman"/>
                </w:rPr>
                <w:tag w:val="_PLD_fc927e21b7894351850a5341390e71f1"/>
                <w:id w:val="637922176"/>
                <w:lock w:val="sdtLocked"/>
              </w:sdtPr>
              <w:sdtEndPr/>
              <w:sdtContent>
                <w:tc>
                  <w:tcPr>
                    <w:tcW w:w="1250" w:type="pct"/>
                    <w:vAlign w:val="center"/>
                  </w:tcPr>
                  <w:p w14:paraId="56F84ACF" w14:textId="77777777" w:rsidR="00D21C1F" w:rsidRPr="0026714A" w:rsidRDefault="00A42880">
                    <w:pPr>
                      <w:ind w:right="105"/>
                      <w:jc w:val="center"/>
                      <w:rPr>
                        <w:rFonts w:ascii="Times New Roman" w:hAnsi="Times New Roman" w:cs="Times New Roman"/>
                        <w:szCs w:val="21"/>
                      </w:rPr>
                    </w:pPr>
                    <w:r w:rsidRPr="0026714A">
                      <w:rPr>
                        <w:rFonts w:ascii="Times New Roman" w:hAnsi="Times New Roman" w:cs="Times New Roman"/>
                        <w:szCs w:val="21"/>
                      </w:rPr>
                      <w:t>项目</w:t>
                    </w:r>
                  </w:p>
                </w:tc>
              </w:sdtContent>
            </w:sdt>
            <w:sdt>
              <w:sdtPr>
                <w:rPr>
                  <w:rFonts w:ascii="Times New Roman" w:hAnsi="Times New Roman" w:cs="Times New Roman"/>
                </w:rPr>
                <w:tag w:val="_PLD_6f816d98e70940cfbbbbb868b0aeb358"/>
                <w:id w:val="-413937938"/>
                <w:lock w:val="sdtLocked"/>
              </w:sdtPr>
              <w:sdtEndPr/>
              <w:sdtContent>
                <w:tc>
                  <w:tcPr>
                    <w:tcW w:w="1250" w:type="pct"/>
                  </w:tcPr>
                  <w:p w14:paraId="0E5ACD7B"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期初余额</w:t>
                    </w:r>
                  </w:p>
                </w:tc>
              </w:sdtContent>
            </w:sdt>
            <w:sdt>
              <w:sdtPr>
                <w:rPr>
                  <w:rFonts w:ascii="Times New Roman" w:hAnsi="Times New Roman" w:cs="Times New Roman"/>
                </w:rPr>
                <w:tag w:val="_PLD_5448bfd35d2348cfac66de5cdfbc78a4"/>
                <w:id w:val="-605499736"/>
                <w:lock w:val="sdtLocked"/>
              </w:sdtPr>
              <w:sdtEndPr/>
              <w:sdtContent>
                <w:tc>
                  <w:tcPr>
                    <w:tcW w:w="1250" w:type="pct"/>
                  </w:tcPr>
                  <w:p w14:paraId="4C8998D6"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期末余额</w:t>
                    </w:r>
                  </w:p>
                </w:tc>
              </w:sdtContent>
            </w:sdt>
            <w:sdt>
              <w:sdtPr>
                <w:rPr>
                  <w:rFonts w:ascii="Times New Roman" w:hAnsi="Times New Roman" w:cs="Times New Roman"/>
                </w:rPr>
                <w:tag w:val="_PLD_987f713faa85401c883cbd6dd67e70b8"/>
                <w:id w:val="1984194638"/>
                <w:lock w:val="sdtLocked"/>
              </w:sdtPr>
              <w:sdtEndPr/>
              <w:sdtContent>
                <w:tc>
                  <w:tcPr>
                    <w:tcW w:w="1250" w:type="pct"/>
                  </w:tcPr>
                  <w:p w14:paraId="55B92993"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形成原因</w:t>
                    </w:r>
                  </w:p>
                </w:tc>
              </w:sdtContent>
            </w:sdt>
          </w:tr>
          <w:tr w:rsidR="00D21C1F" w:rsidRPr="0026714A" w14:paraId="26B87E07" w14:textId="77777777">
            <w:trPr>
              <w:cantSplit/>
            </w:trPr>
            <w:sdt>
              <w:sdtPr>
                <w:rPr>
                  <w:rFonts w:ascii="Times New Roman" w:hAnsi="Times New Roman" w:cs="Times New Roman"/>
                </w:rPr>
                <w:tag w:val="_PLD_81fc69a2cce74d41b4a3275d0b854217"/>
                <w:id w:val="-852412744"/>
                <w:lock w:val="sdtLocked"/>
              </w:sdtPr>
              <w:sdtEndPr/>
              <w:sdtContent>
                <w:tc>
                  <w:tcPr>
                    <w:tcW w:w="1250" w:type="pct"/>
                    <w:shd w:val="clear" w:color="auto" w:fill="auto"/>
                    <w:vAlign w:val="center"/>
                  </w:tcPr>
                  <w:p w14:paraId="3EA2951E" w14:textId="77777777" w:rsidR="00D21C1F" w:rsidRPr="0026714A" w:rsidRDefault="00A42880">
                    <w:pPr>
                      <w:ind w:right="105"/>
                      <w:rPr>
                        <w:rFonts w:ascii="Times New Roman" w:hAnsi="Times New Roman" w:cs="Times New Roman"/>
                        <w:szCs w:val="21"/>
                      </w:rPr>
                    </w:pPr>
                    <w:r w:rsidRPr="0026714A">
                      <w:rPr>
                        <w:rFonts w:ascii="Times New Roman" w:hAnsi="Times New Roman" w:cs="Times New Roman"/>
                        <w:szCs w:val="21"/>
                      </w:rPr>
                      <w:t>未决诉讼</w:t>
                    </w:r>
                  </w:p>
                </w:tc>
              </w:sdtContent>
            </w:sdt>
            <w:tc>
              <w:tcPr>
                <w:tcW w:w="1250" w:type="pct"/>
              </w:tcPr>
              <w:p w14:paraId="7E3F65BA"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1,903,464.52</w:t>
                </w:r>
              </w:p>
            </w:tc>
            <w:tc>
              <w:tcPr>
                <w:tcW w:w="1250" w:type="pct"/>
              </w:tcPr>
              <w:p w14:paraId="612E9BDC"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1,712,765.39</w:t>
                </w:r>
              </w:p>
            </w:tc>
            <w:tc>
              <w:tcPr>
                <w:tcW w:w="1250" w:type="pct"/>
                <w:vAlign w:val="bottom"/>
              </w:tcPr>
              <w:p w14:paraId="541E3A89" w14:textId="77777777" w:rsidR="00D21C1F" w:rsidRPr="0026714A" w:rsidRDefault="00A42880">
                <w:pPr>
                  <w:ind w:right="73"/>
                  <w:jc w:val="center"/>
                  <w:rPr>
                    <w:rFonts w:ascii="Times New Roman" w:hAnsi="Times New Roman" w:cs="Times New Roman"/>
                    <w:szCs w:val="21"/>
                  </w:rPr>
                </w:pPr>
                <w:r w:rsidRPr="0026714A">
                  <w:rPr>
                    <w:rFonts w:ascii="Times New Roman" w:hAnsi="Times New Roman" w:cs="Times New Roman"/>
                    <w:szCs w:val="21"/>
                  </w:rPr>
                  <w:t>/</w:t>
                </w:r>
              </w:p>
            </w:tc>
          </w:tr>
          <w:tr w:rsidR="00D21C1F" w:rsidRPr="0026714A" w14:paraId="2A93E06C" w14:textId="77777777">
            <w:trPr>
              <w:cantSplit/>
            </w:trPr>
            <w:sdt>
              <w:sdtPr>
                <w:rPr>
                  <w:rFonts w:ascii="Times New Roman" w:hAnsi="Times New Roman" w:cs="Times New Roman"/>
                </w:rPr>
                <w:tag w:val="_PLD_48494f857e0740f6a4114136294a97a7"/>
                <w:id w:val="-2044435807"/>
                <w:lock w:val="sdtLocked"/>
              </w:sdtPr>
              <w:sdtEndPr/>
              <w:sdtContent>
                <w:tc>
                  <w:tcPr>
                    <w:tcW w:w="1250" w:type="pct"/>
                    <w:shd w:val="clear" w:color="auto" w:fill="auto"/>
                    <w:vAlign w:val="center"/>
                  </w:tcPr>
                  <w:p w14:paraId="0EC7875F" w14:textId="77777777" w:rsidR="00D21C1F" w:rsidRPr="0026714A" w:rsidRDefault="00A42880">
                    <w:pPr>
                      <w:ind w:right="105"/>
                      <w:rPr>
                        <w:rFonts w:ascii="Times New Roman" w:hAnsi="Times New Roman" w:cs="Times New Roman"/>
                        <w:szCs w:val="21"/>
                      </w:rPr>
                    </w:pPr>
                    <w:r w:rsidRPr="0026714A">
                      <w:rPr>
                        <w:rFonts w:ascii="Times New Roman" w:hAnsi="Times New Roman" w:cs="Times New Roman"/>
                        <w:szCs w:val="21"/>
                      </w:rPr>
                      <w:t>产品质量保证</w:t>
                    </w:r>
                  </w:p>
                </w:tc>
              </w:sdtContent>
            </w:sdt>
            <w:tc>
              <w:tcPr>
                <w:tcW w:w="1250" w:type="pct"/>
                <w:vAlign w:val="center"/>
              </w:tcPr>
              <w:p w14:paraId="17A0FD2A"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5,007,783.30</w:t>
                </w:r>
              </w:p>
            </w:tc>
            <w:tc>
              <w:tcPr>
                <w:tcW w:w="1250" w:type="pct"/>
                <w:vAlign w:val="center"/>
              </w:tcPr>
              <w:p w14:paraId="161CE9D6"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5,451,187.12</w:t>
                </w:r>
              </w:p>
            </w:tc>
            <w:tc>
              <w:tcPr>
                <w:tcW w:w="1250" w:type="pct"/>
                <w:vAlign w:val="bottom"/>
              </w:tcPr>
              <w:p w14:paraId="6E436558" w14:textId="77777777" w:rsidR="00D21C1F" w:rsidRPr="0026714A" w:rsidRDefault="00A42880">
                <w:pPr>
                  <w:ind w:right="73"/>
                  <w:jc w:val="center"/>
                  <w:rPr>
                    <w:rFonts w:ascii="Times New Roman" w:hAnsi="Times New Roman" w:cs="Times New Roman"/>
                    <w:szCs w:val="21"/>
                  </w:rPr>
                </w:pPr>
                <w:r w:rsidRPr="0026714A">
                  <w:rPr>
                    <w:rFonts w:ascii="Times New Roman" w:hAnsi="Times New Roman" w:cs="Times New Roman"/>
                    <w:szCs w:val="21"/>
                  </w:rPr>
                  <w:t>/</w:t>
                </w:r>
              </w:p>
            </w:tc>
          </w:tr>
          <w:tr w:rsidR="00D21C1F" w:rsidRPr="0026714A" w14:paraId="4C2CD4EA" w14:textId="77777777">
            <w:trPr>
              <w:cantSplit/>
            </w:trPr>
            <w:sdt>
              <w:sdtPr>
                <w:rPr>
                  <w:rFonts w:ascii="Times New Roman" w:hAnsi="Times New Roman" w:cs="Times New Roman"/>
                </w:rPr>
                <w:tag w:val="_PLD_ae406fbfbb59463e918f766883c4e3a3"/>
                <w:id w:val="566609957"/>
                <w:lock w:val="sdtLocked"/>
              </w:sdtPr>
              <w:sdtEndPr/>
              <w:sdtContent>
                <w:tc>
                  <w:tcPr>
                    <w:tcW w:w="1250" w:type="pct"/>
                    <w:shd w:val="clear" w:color="auto" w:fill="auto"/>
                  </w:tcPr>
                  <w:p w14:paraId="06156807" w14:textId="77777777" w:rsidR="00D21C1F" w:rsidRPr="0026714A" w:rsidRDefault="00A42880">
                    <w:pPr>
                      <w:ind w:right="105"/>
                      <w:rPr>
                        <w:rFonts w:ascii="Times New Roman" w:hAnsi="Times New Roman" w:cs="Times New Roman"/>
                        <w:szCs w:val="21"/>
                      </w:rPr>
                    </w:pPr>
                    <w:r w:rsidRPr="0026714A">
                      <w:rPr>
                        <w:rFonts w:ascii="Times New Roman" w:hAnsi="Times New Roman" w:cs="Times New Roman"/>
                        <w:szCs w:val="21"/>
                      </w:rPr>
                      <w:t>待执行的亏损合同</w:t>
                    </w:r>
                  </w:p>
                </w:tc>
              </w:sdtContent>
            </w:sdt>
            <w:tc>
              <w:tcPr>
                <w:tcW w:w="1250" w:type="pct"/>
                <w:vAlign w:val="center"/>
              </w:tcPr>
              <w:p w14:paraId="7E449162"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860,440.26</w:t>
                </w:r>
              </w:p>
            </w:tc>
            <w:tc>
              <w:tcPr>
                <w:tcW w:w="1250" w:type="pct"/>
                <w:vAlign w:val="center"/>
              </w:tcPr>
              <w:p w14:paraId="278A4953"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373,850.15</w:t>
                </w:r>
              </w:p>
            </w:tc>
            <w:tc>
              <w:tcPr>
                <w:tcW w:w="1250" w:type="pct"/>
                <w:vAlign w:val="bottom"/>
              </w:tcPr>
              <w:p w14:paraId="7F2BBE34"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w:t>
                </w:r>
              </w:p>
            </w:tc>
          </w:tr>
          <w:tr w:rsidR="00D21C1F" w:rsidRPr="0026714A" w14:paraId="58E4FEF8" w14:textId="77777777">
            <w:trPr>
              <w:cantSplit/>
            </w:trPr>
            <w:sdt>
              <w:sdtPr>
                <w:rPr>
                  <w:rFonts w:ascii="Times New Roman" w:hAnsi="Times New Roman" w:cs="Times New Roman"/>
                </w:rPr>
                <w:tag w:val="_PLD_b9cf5ec4363246d39880d8a9118c7375"/>
                <w:id w:val="-1399193066"/>
                <w:lock w:val="sdtLocked"/>
              </w:sdtPr>
              <w:sdtEndPr/>
              <w:sdtContent>
                <w:tc>
                  <w:tcPr>
                    <w:tcW w:w="1250" w:type="pct"/>
                    <w:vAlign w:val="center"/>
                  </w:tcPr>
                  <w:p w14:paraId="6EF0F0F1" w14:textId="77777777" w:rsidR="00D21C1F" w:rsidRPr="0026714A" w:rsidRDefault="00A42880">
                    <w:pPr>
                      <w:ind w:right="105"/>
                      <w:jc w:val="center"/>
                      <w:rPr>
                        <w:rFonts w:ascii="Times New Roman" w:hAnsi="Times New Roman" w:cs="Times New Roman"/>
                        <w:szCs w:val="21"/>
                      </w:rPr>
                    </w:pPr>
                    <w:r w:rsidRPr="0026714A">
                      <w:rPr>
                        <w:rFonts w:ascii="Times New Roman" w:hAnsi="Times New Roman" w:cs="Times New Roman"/>
                        <w:szCs w:val="21"/>
                      </w:rPr>
                      <w:t>合计</w:t>
                    </w:r>
                  </w:p>
                </w:tc>
              </w:sdtContent>
            </w:sdt>
            <w:tc>
              <w:tcPr>
                <w:tcW w:w="1250" w:type="pct"/>
                <w:vAlign w:val="center"/>
              </w:tcPr>
              <w:p w14:paraId="2C5848E2"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7,771,688.08</w:t>
                </w:r>
              </w:p>
            </w:tc>
            <w:tc>
              <w:tcPr>
                <w:tcW w:w="1250" w:type="pct"/>
                <w:vAlign w:val="center"/>
              </w:tcPr>
              <w:p w14:paraId="51F0DF57"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7,537,802.66</w:t>
                </w:r>
              </w:p>
            </w:tc>
            <w:tc>
              <w:tcPr>
                <w:tcW w:w="1250" w:type="pct"/>
                <w:vAlign w:val="bottom"/>
              </w:tcPr>
              <w:p w14:paraId="20B4F342" w14:textId="77777777" w:rsidR="00D21C1F" w:rsidRPr="0026714A" w:rsidRDefault="00A42880">
                <w:pPr>
                  <w:jc w:val="center"/>
                  <w:rPr>
                    <w:rFonts w:ascii="Times New Roman" w:hAnsi="Times New Roman" w:cs="Times New Roman"/>
                    <w:color w:val="000000" w:themeColor="text1"/>
                    <w:szCs w:val="21"/>
                  </w:rPr>
                </w:pPr>
                <w:r w:rsidRPr="0026714A">
                  <w:rPr>
                    <w:rFonts w:ascii="Times New Roman" w:hAnsi="Times New Roman" w:cs="Times New Roman"/>
                    <w:color w:val="000000" w:themeColor="text1"/>
                    <w:szCs w:val="21"/>
                  </w:rPr>
                  <w:t>/</w:t>
                </w:r>
              </w:p>
            </w:tc>
          </w:tr>
        </w:tbl>
        <w:p w14:paraId="641661AF" w14:textId="77777777" w:rsidR="00D21C1F" w:rsidRPr="0026714A" w:rsidRDefault="00A42880">
          <w:pPr>
            <w:snapToGrid w:val="0"/>
            <w:spacing w:before="60" w:after="60"/>
            <w:rPr>
              <w:rFonts w:ascii="Times New Roman" w:hAnsi="Times New Roman" w:cs="Times New Roman"/>
              <w:szCs w:val="21"/>
            </w:rPr>
          </w:pPr>
          <w:r w:rsidRPr="0026714A">
            <w:rPr>
              <w:rFonts w:ascii="Times New Roman" w:hAnsi="Times New Roman" w:cs="Times New Roman"/>
              <w:szCs w:val="21"/>
            </w:rPr>
            <w:t>其他说明，包括重要预计负债的相关重要假设、估计说明：</w:t>
          </w:r>
        </w:p>
        <w:sdt>
          <w:sdtPr>
            <w:rPr>
              <w:rFonts w:ascii="Times New Roman" w:hAnsi="Times New Roman" w:cs="Times New Roman"/>
              <w:szCs w:val="21"/>
            </w:rPr>
            <w:alias w:val="预计负债的说明"/>
            <w:tag w:val="_GBC_d674f22c00c1425092bd34d8a8834fad"/>
            <w:id w:val="1241824541"/>
            <w:lock w:val="sdtLocked"/>
            <w:placeholder>
              <w:docPart w:val="GBC22222222222222222222222222222"/>
            </w:placeholder>
          </w:sdtPr>
          <w:sdtEndPr/>
          <w:sdtContent>
            <w:p w14:paraId="49AE5E80" w14:textId="77777777" w:rsidR="00D21C1F" w:rsidRDefault="00A42880">
              <w:pPr>
                <w:autoSpaceDE w:val="0"/>
                <w:autoSpaceDN w:val="0"/>
                <w:adjustRightInd w:val="0"/>
                <w:rPr>
                  <w:szCs w:val="21"/>
                </w:rPr>
              </w:pPr>
              <w:r w:rsidRPr="0026714A">
                <w:rPr>
                  <w:rFonts w:ascii="Times New Roman" w:hAnsi="Times New Roman" w:cs="Times New Roman"/>
                  <w:szCs w:val="21"/>
                </w:rPr>
                <w:t>无</w:t>
              </w:r>
            </w:p>
          </w:sdtContent>
        </w:sdt>
      </w:sdtContent>
    </w:sdt>
    <w:bookmarkEnd w:id="267"/>
    <w:p w14:paraId="416C2BDE" w14:textId="77777777" w:rsidR="00D21C1F" w:rsidRDefault="00D21C1F">
      <w:pPr>
        <w:rPr>
          <w:szCs w:val="21"/>
        </w:rPr>
        <w:sectPr w:rsidR="00D21C1F">
          <w:pgSz w:w="11906" w:h="16838"/>
          <w:pgMar w:top="1525" w:right="1276" w:bottom="1440" w:left="1797" w:header="856" w:footer="992" w:gutter="0"/>
          <w:cols w:space="425"/>
          <w:docGrid w:linePitch="312"/>
        </w:sectPr>
      </w:pPr>
    </w:p>
    <w:p w14:paraId="6DDBB58B" w14:textId="77777777" w:rsidR="00D21C1F" w:rsidRDefault="00D21C1F">
      <w:pPr>
        <w:rPr>
          <w:szCs w:val="21"/>
        </w:rPr>
      </w:pPr>
    </w:p>
    <w:p w14:paraId="20D083CB"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递延收益</w:t>
      </w:r>
    </w:p>
    <w:sdt>
      <w:sdtPr>
        <w:rPr>
          <w:rFonts w:ascii="Times New Roman" w:eastAsia="宋体" w:hAnsi="Times New Roman" w:cs="宋体"/>
          <w:kern w:val="0"/>
          <w:szCs w:val="21"/>
        </w:rPr>
        <w:alias w:val="模块:递延收益"/>
        <w:tag w:val="_GBC_8d74a4d69f6940c3968ca9c4cf2a1b4c"/>
        <w:id w:val="-832529397"/>
        <w:lock w:val="sdtLocked"/>
        <w:placeholder>
          <w:docPart w:val="GBC22222222222222222222222222222"/>
        </w:placeholder>
      </w:sdtPr>
      <w:sdtEndPr/>
      <w:sdtContent>
        <w:p w14:paraId="7A5CC49B" w14:textId="77777777" w:rsidR="00D21C1F" w:rsidRPr="0026714A" w:rsidRDefault="00A42880">
          <w:pPr>
            <w:pStyle w:val="67"/>
            <w:ind w:firstLineChars="0" w:firstLine="0"/>
            <w:jc w:val="left"/>
            <w:rPr>
              <w:rFonts w:ascii="Times New Roman" w:hAnsi="Times New Roman"/>
              <w:kern w:val="0"/>
              <w:szCs w:val="21"/>
            </w:rPr>
          </w:pPr>
          <w:r w:rsidRPr="0026714A">
            <w:rPr>
              <w:rFonts w:ascii="Times New Roman" w:hAnsi="Times New Roman"/>
              <w:kern w:val="0"/>
              <w:szCs w:val="21"/>
            </w:rPr>
            <w:t>递延收益情况</w:t>
          </w:r>
        </w:p>
        <w:sdt>
          <w:sdtPr>
            <w:rPr>
              <w:rFonts w:ascii="Times New Roman" w:hAnsi="Times New Roman"/>
              <w:kern w:val="0"/>
              <w:szCs w:val="21"/>
            </w:rPr>
            <w:alias w:val="是否适用：递延收益情况 [双击切换]"/>
            <w:tag w:val="_GBC_2c1393684e764245824b2390014e92f1"/>
            <w:id w:val="1625192079"/>
            <w:lock w:val="sdtLocked"/>
            <w:placeholder>
              <w:docPart w:val="GBC22222222222222222222222222222"/>
            </w:placeholder>
          </w:sdtPr>
          <w:sdtEndPr/>
          <w:sdtContent>
            <w:p w14:paraId="53EF618C" w14:textId="77777777" w:rsidR="00D21C1F" w:rsidRPr="0026714A" w:rsidRDefault="00A42880">
              <w:pPr>
                <w:pStyle w:val="67"/>
                <w:ind w:firstLineChars="0" w:firstLine="0"/>
                <w:jc w:val="left"/>
                <w:rPr>
                  <w:rFonts w:ascii="Times New Roman" w:hAnsi="Times New Roman"/>
                  <w:kern w:val="0"/>
                  <w:szCs w:val="21"/>
                </w:rPr>
              </w:pPr>
              <w:r w:rsidRPr="0026714A">
                <w:rPr>
                  <w:rFonts w:ascii="Times New Roman" w:hAnsi="Times New Roman"/>
                  <w:kern w:val="0"/>
                  <w:szCs w:val="21"/>
                </w:rPr>
                <w:fldChar w:fldCharType="begin"/>
              </w:r>
              <w:r w:rsidRPr="0026714A">
                <w:rPr>
                  <w:rFonts w:ascii="Times New Roman" w:hAnsi="Times New Roman"/>
                  <w:kern w:val="0"/>
                  <w:szCs w:val="21"/>
                </w:rPr>
                <w:instrText xml:space="preserve"> MACROBUTTON  SnrToggleCheckbox √</w:instrText>
              </w:r>
              <w:r w:rsidRPr="0026714A">
                <w:rPr>
                  <w:rFonts w:ascii="Times New Roman" w:hAnsi="Times New Roman"/>
                  <w:kern w:val="0"/>
                  <w:szCs w:val="21"/>
                </w:rPr>
                <w:instrText>适用</w:instrText>
              </w:r>
              <w:r w:rsidRPr="0026714A">
                <w:rPr>
                  <w:rFonts w:ascii="Times New Roman" w:hAnsi="Times New Roman"/>
                  <w:kern w:val="0"/>
                  <w:szCs w:val="21"/>
                </w:rPr>
                <w:instrText xml:space="preserve"> </w:instrText>
              </w:r>
              <w:r w:rsidRPr="0026714A">
                <w:rPr>
                  <w:rFonts w:ascii="Times New Roman" w:hAnsi="Times New Roman"/>
                  <w:kern w:val="0"/>
                  <w:szCs w:val="21"/>
                </w:rPr>
                <w:fldChar w:fldCharType="end"/>
              </w:r>
              <w:r w:rsidRPr="0026714A">
                <w:rPr>
                  <w:rFonts w:ascii="Times New Roman" w:hAnsi="Times New Roman"/>
                  <w:kern w:val="0"/>
                  <w:szCs w:val="21"/>
                </w:rPr>
                <w:fldChar w:fldCharType="begin"/>
              </w:r>
              <w:r w:rsidRPr="0026714A">
                <w:rPr>
                  <w:rFonts w:ascii="Times New Roman" w:hAnsi="Times New Roman"/>
                  <w:kern w:val="0"/>
                  <w:szCs w:val="21"/>
                </w:rPr>
                <w:instrText xml:space="preserve"> MACROBUTTON  SnrToggleCheckbox □</w:instrText>
              </w:r>
              <w:r w:rsidRPr="0026714A">
                <w:rPr>
                  <w:rFonts w:ascii="Times New Roman" w:hAnsi="Times New Roman"/>
                  <w:kern w:val="0"/>
                  <w:szCs w:val="21"/>
                </w:rPr>
                <w:instrText>不适用</w:instrText>
              </w:r>
              <w:r w:rsidRPr="0026714A">
                <w:rPr>
                  <w:rFonts w:ascii="Times New Roman" w:hAnsi="Times New Roman"/>
                  <w:kern w:val="0"/>
                  <w:szCs w:val="21"/>
                </w:rPr>
                <w:instrText xml:space="preserve"> </w:instrText>
              </w:r>
              <w:r w:rsidRPr="0026714A">
                <w:rPr>
                  <w:rFonts w:ascii="Times New Roman" w:hAnsi="Times New Roman"/>
                  <w:kern w:val="0"/>
                  <w:szCs w:val="21"/>
                </w:rPr>
                <w:fldChar w:fldCharType="end"/>
              </w:r>
            </w:p>
          </w:sdtContent>
        </w:sdt>
        <w:p w14:paraId="217E1FC9" w14:textId="77777777" w:rsidR="00D21C1F" w:rsidRPr="0026714A" w:rsidRDefault="00A42880">
          <w:pPr>
            <w:pStyle w:val="67"/>
            <w:ind w:firstLineChars="0" w:firstLine="0"/>
            <w:jc w:val="right"/>
            <w:rPr>
              <w:rFonts w:ascii="Times New Roman" w:hAnsi="Times New Roman"/>
              <w:szCs w:val="21"/>
            </w:rPr>
          </w:pPr>
          <w:r w:rsidRPr="0026714A">
            <w:rPr>
              <w:rFonts w:ascii="Times New Roman" w:hAnsi="Times New Roman"/>
              <w:szCs w:val="21"/>
            </w:rPr>
            <w:t>单位：</w:t>
          </w:r>
          <w:sdt>
            <w:sdtPr>
              <w:rPr>
                <w:rFonts w:ascii="Times New Roman" w:hAnsi="Times New Roman"/>
                <w:szCs w:val="21"/>
              </w:rPr>
              <w:alias w:val="单位：财务附注：递延收益"/>
              <w:tag w:val="_GBC_cf9505178ef64cd8b1a42757a7aaf77d"/>
              <w:id w:val="-1375150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6714A">
                <w:rPr>
                  <w:rFonts w:ascii="Times New Roman" w:hAnsi="Times New Roman"/>
                  <w:szCs w:val="21"/>
                </w:rPr>
                <w:t>元</w:t>
              </w:r>
            </w:sdtContent>
          </w:sdt>
          <w:r w:rsidRPr="0026714A">
            <w:rPr>
              <w:rFonts w:ascii="Times New Roman" w:hAnsi="Times New Roman"/>
              <w:szCs w:val="21"/>
            </w:rPr>
            <w:t>币种</w:t>
          </w:r>
          <w:sdt>
            <w:sdtPr>
              <w:rPr>
                <w:rFonts w:ascii="Times New Roman" w:hAnsi="Times New Roman"/>
                <w:szCs w:val="21"/>
              </w:rPr>
              <w:alias w:val="币种：财务附注：递延收益"/>
              <w:tag w:val="_GBC_b7ba9c3d835b413e83140a438bc5c413"/>
              <w:id w:val="9926087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26714A">
                <w:rPr>
                  <w:rFonts w:ascii="Times New Roman" w:hAnsi="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339"/>
            <w:gridCol w:w="2249"/>
            <w:gridCol w:w="2271"/>
            <w:gridCol w:w="2246"/>
            <w:gridCol w:w="2315"/>
            <w:gridCol w:w="2443"/>
          </w:tblGrid>
          <w:tr w:rsidR="00D21C1F" w:rsidRPr="0026714A" w14:paraId="2B61B301" w14:textId="77777777">
            <w:trPr>
              <w:cantSplit/>
              <w:trHeight w:val="335"/>
            </w:trPr>
            <w:sdt>
              <w:sdtPr>
                <w:rPr>
                  <w:rFonts w:ascii="Times New Roman" w:hAnsi="Times New Roman" w:cs="Times New Roman"/>
                </w:rPr>
                <w:tag w:val="_PLD_eeb45564af314089916105a5217e0ff6"/>
                <w:id w:val="-93780250"/>
                <w:lock w:val="sdtLocked"/>
              </w:sdtPr>
              <w:sdtEndPr/>
              <w:sdtContent>
                <w:tc>
                  <w:tcPr>
                    <w:tcW w:w="844" w:type="pct"/>
                    <w:shd w:val="clear" w:color="auto" w:fill="auto"/>
                    <w:vAlign w:val="center"/>
                  </w:tcPr>
                  <w:p w14:paraId="7E963962"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项目</w:t>
                    </w:r>
                  </w:p>
                </w:tc>
              </w:sdtContent>
            </w:sdt>
            <w:sdt>
              <w:sdtPr>
                <w:rPr>
                  <w:rFonts w:ascii="Times New Roman" w:hAnsi="Times New Roman" w:cs="Times New Roman"/>
                </w:rPr>
                <w:tag w:val="_PLD_e0613743f99d4af58a75406a4e2ba5a1"/>
                <w:id w:val="-357817271"/>
                <w:lock w:val="sdtLocked"/>
              </w:sdtPr>
              <w:sdtEndPr/>
              <w:sdtContent>
                <w:tc>
                  <w:tcPr>
                    <w:tcW w:w="811" w:type="pct"/>
                    <w:shd w:val="clear" w:color="auto" w:fill="auto"/>
                    <w:vAlign w:val="center"/>
                  </w:tcPr>
                  <w:p w14:paraId="64245CDC"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期初余额</w:t>
                    </w:r>
                  </w:p>
                </w:tc>
              </w:sdtContent>
            </w:sdt>
            <w:sdt>
              <w:sdtPr>
                <w:rPr>
                  <w:rFonts w:ascii="Times New Roman" w:hAnsi="Times New Roman" w:cs="Times New Roman"/>
                </w:rPr>
                <w:tag w:val="_PLD_a27f928ad4574fe594e5f995d7a37059"/>
                <w:id w:val="1178924598"/>
                <w:lock w:val="sdtLocked"/>
              </w:sdtPr>
              <w:sdtEndPr/>
              <w:sdtContent>
                <w:tc>
                  <w:tcPr>
                    <w:tcW w:w="819" w:type="pct"/>
                    <w:shd w:val="clear" w:color="auto" w:fill="auto"/>
                    <w:vAlign w:val="center"/>
                  </w:tcPr>
                  <w:p w14:paraId="620B524A"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本期增加</w:t>
                    </w:r>
                  </w:p>
                </w:tc>
              </w:sdtContent>
            </w:sdt>
            <w:sdt>
              <w:sdtPr>
                <w:rPr>
                  <w:rFonts w:ascii="Times New Roman" w:hAnsi="Times New Roman" w:cs="Times New Roman"/>
                </w:rPr>
                <w:tag w:val="_PLD_ed95bef3663d40fb90dd15d113f7f2c1"/>
                <w:id w:val="-428971236"/>
                <w:lock w:val="sdtLocked"/>
              </w:sdtPr>
              <w:sdtEndPr/>
              <w:sdtContent>
                <w:tc>
                  <w:tcPr>
                    <w:tcW w:w="810" w:type="pct"/>
                    <w:shd w:val="clear" w:color="auto" w:fill="auto"/>
                    <w:vAlign w:val="center"/>
                  </w:tcPr>
                  <w:p w14:paraId="6760D013"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本期减少</w:t>
                    </w:r>
                  </w:p>
                </w:tc>
              </w:sdtContent>
            </w:sdt>
            <w:bookmarkStart w:id="268" w:name="OLE_LINK67" w:displacedByCustomXml="next"/>
            <w:bookmarkStart w:id="269" w:name="OLE_LINK66" w:displacedByCustomXml="next"/>
            <w:sdt>
              <w:sdtPr>
                <w:rPr>
                  <w:rFonts w:ascii="Times New Roman" w:hAnsi="Times New Roman" w:cs="Times New Roman"/>
                </w:rPr>
                <w:tag w:val="_PLD_367cd0591009413e93857494eaf8170a"/>
                <w:id w:val="1890764863"/>
                <w:lock w:val="sdtLocked"/>
              </w:sdtPr>
              <w:sdtEndPr/>
              <w:sdtContent>
                <w:tc>
                  <w:tcPr>
                    <w:tcW w:w="835" w:type="pct"/>
                    <w:shd w:val="clear" w:color="auto" w:fill="auto"/>
                    <w:vAlign w:val="center"/>
                  </w:tcPr>
                  <w:p w14:paraId="081B5806"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期末余额</w:t>
                    </w:r>
                  </w:p>
                </w:tc>
              </w:sdtContent>
            </w:sdt>
            <w:bookmarkEnd w:id="268" w:displacedByCustomXml="next"/>
            <w:bookmarkEnd w:id="269" w:displacedByCustomXml="next"/>
            <w:sdt>
              <w:sdtPr>
                <w:rPr>
                  <w:rFonts w:ascii="Times New Roman" w:hAnsi="Times New Roman" w:cs="Times New Roman"/>
                </w:rPr>
                <w:tag w:val="_PLD_d61ffc61194047d79611cccd8488aece"/>
                <w:id w:val="1882048058"/>
                <w:lock w:val="sdtLocked"/>
              </w:sdtPr>
              <w:sdtEndPr/>
              <w:sdtContent>
                <w:tc>
                  <w:tcPr>
                    <w:tcW w:w="881" w:type="pct"/>
                    <w:shd w:val="clear" w:color="auto" w:fill="auto"/>
                    <w:vAlign w:val="center"/>
                  </w:tcPr>
                  <w:p w14:paraId="1C0C9FF8"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形成原因</w:t>
                    </w:r>
                  </w:p>
                </w:tc>
              </w:sdtContent>
            </w:sdt>
          </w:tr>
          <w:tr w:rsidR="00D21C1F" w:rsidRPr="0026714A" w14:paraId="558F9277" w14:textId="77777777">
            <w:trPr>
              <w:cantSplit/>
            </w:trPr>
            <w:sdt>
              <w:sdtPr>
                <w:rPr>
                  <w:rFonts w:ascii="Times New Roman" w:hAnsi="Times New Roman" w:cs="Times New Roman"/>
                </w:rPr>
                <w:tag w:val="_PLD_c4ae7ac076814abda447ee2261fb9baa"/>
                <w:id w:val="343146642"/>
                <w:lock w:val="sdtLocked"/>
              </w:sdtPr>
              <w:sdtEndPr/>
              <w:sdtContent>
                <w:tc>
                  <w:tcPr>
                    <w:tcW w:w="844" w:type="pct"/>
                    <w:shd w:val="clear" w:color="auto" w:fill="auto"/>
                    <w:vAlign w:val="center"/>
                  </w:tcPr>
                  <w:p w14:paraId="5E1CF2E5" w14:textId="77777777" w:rsidR="00D21C1F" w:rsidRPr="0026714A" w:rsidRDefault="00A42880">
                    <w:pPr>
                      <w:rPr>
                        <w:rFonts w:ascii="Times New Roman" w:hAnsi="Times New Roman" w:cs="Times New Roman"/>
                        <w:szCs w:val="21"/>
                      </w:rPr>
                    </w:pPr>
                    <w:r w:rsidRPr="0026714A">
                      <w:rPr>
                        <w:rFonts w:ascii="Times New Roman" w:hAnsi="Times New Roman" w:cs="Times New Roman"/>
                        <w:szCs w:val="21"/>
                      </w:rPr>
                      <w:t>政府补助</w:t>
                    </w:r>
                  </w:p>
                </w:tc>
              </w:sdtContent>
            </w:sdt>
            <w:tc>
              <w:tcPr>
                <w:tcW w:w="811" w:type="pct"/>
                <w:shd w:val="clear" w:color="auto" w:fill="auto"/>
                <w:vAlign w:val="center"/>
              </w:tcPr>
              <w:p w14:paraId="179F2A9D"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46,407,644.34</w:t>
                </w:r>
              </w:p>
            </w:tc>
            <w:tc>
              <w:tcPr>
                <w:tcW w:w="819" w:type="pct"/>
                <w:shd w:val="clear" w:color="auto" w:fill="auto"/>
              </w:tcPr>
              <w:p w14:paraId="50328055"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 xml:space="preserve">8,098,279.31 </w:t>
                </w:r>
              </w:p>
            </w:tc>
            <w:tc>
              <w:tcPr>
                <w:tcW w:w="810" w:type="pct"/>
                <w:shd w:val="clear" w:color="auto" w:fill="auto"/>
              </w:tcPr>
              <w:p w14:paraId="3C7218AB"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 xml:space="preserve">1,700,782.98 </w:t>
                </w:r>
              </w:p>
            </w:tc>
            <w:tc>
              <w:tcPr>
                <w:tcW w:w="835" w:type="pct"/>
                <w:shd w:val="clear" w:color="auto" w:fill="auto"/>
                <w:vAlign w:val="center"/>
              </w:tcPr>
              <w:p w14:paraId="00291F28"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52,805,140.67</w:t>
                </w:r>
              </w:p>
            </w:tc>
            <w:tc>
              <w:tcPr>
                <w:tcW w:w="881" w:type="pct"/>
                <w:shd w:val="clear" w:color="auto" w:fill="auto"/>
              </w:tcPr>
              <w:p w14:paraId="449CFC80" w14:textId="5948CC7A" w:rsidR="00D21C1F" w:rsidRPr="0026714A" w:rsidRDefault="00A42880">
                <w:pPr>
                  <w:rPr>
                    <w:rFonts w:ascii="Times New Roman" w:hAnsi="Times New Roman" w:cs="Times New Roman"/>
                    <w:szCs w:val="21"/>
                  </w:rPr>
                </w:pPr>
                <w:r w:rsidRPr="0026714A">
                  <w:rPr>
                    <w:rFonts w:ascii="Times New Roman" w:hAnsi="Times New Roman" w:cs="Times New Roman"/>
                    <w:szCs w:val="21"/>
                  </w:rPr>
                  <w:t>收到</w:t>
                </w:r>
                <w:r w:rsidR="00D1674B">
                  <w:rPr>
                    <w:rFonts w:ascii="Times New Roman" w:hAnsi="Times New Roman" w:cs="Times New Roman" w:hint="eastAsia"/>
                    <w:szCs w:val="21"/>
                  </w:rPr>
                  <w:t>政府</w:t>
                </w:r>
                <w:r w:rsidRPr="0026714A">
                  <w:rPr>
                    <w:rFonts w:ascii="Times New Roman" w:hAnsi="Times New Roman" w:cs="Times New Roman"/>
                    <w:szCs w:val="21"/>
                  </w:rPr>
                  <w:t>财政拨款</w:t>
                </w:r>
              </w:p>
            </w:tc>
          </w:tr>
          <w:tr w:rsidR="00D21C1F" w:rsidRPr="0026714A" w14:paraId="43094BFE" w14:textId="77777777">
            <w:trPr>
              <w:cantSplit/>
            </w:trPr>
            <w:sdt>
              <w:sdtPr>
                <w:rPr>
                  <w:rFonts w:ascii="Times New Roman" w:hAnsi="Times New Roman" w:cs="Times New Roman"/>
                </w:rPr>
                <w:tag w:val="_PLD_dc5eff4e97a943cb9b913ed360e42749"/>
                <w:id w:val="1010645854"/>
                <w:lock w:val="sdtLocked"/>
              </w:sdtPr>
              <w:sdtEndPr/>
              <w:sdtContent>
                <w:tc>
                  <w:tcPr>
                    <w:tcW w:w="844" w:type="pct"/>
                    <w:shd w:val="clear" w:color="auto" w:fill="auto"/>
                    <w:vAlign w:val="center"/>
                  </w:tcPr>
                  <w:p w14:paraId="7FF2D0E5"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合计</w:t>
                    </w:r>
                  </w:p>
                </w:tc>
              </w:sdtContent>
            </w:sdt>
            <w:tc>
              <w:tcPr>
                <w:tcW w:w="811" w:type="pct"/>
                <w:shd w:val="clear" w:color="auto" w:fill="auto"/>
                <w:vAlign w:val="center"/>
              </w:tcPr>
              <w:p w14:paraId="2144D016"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46,407,644.34</w:t>
                </w:r>
              </w:p>
            </w:tc>
            <w:tc>
              <w:tcPr>
                <w:tcW w:w="819" w:type="pct"/>
                <w:shd w:val="clear" w:color="auto" w:fill="auto"/>
              </w:tcPr>
              <w:p w14:paraId="67EFAF3C"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 xml:space="preserve">8,098,279.31 </w:t>
                </w:r>
              </w:p>
            </w:tc>
            <w:tc>
              <w:tcPr>
                <w:tcW w:w="810" w:type="pct"/>
                <w:shd w:val="clear" w:color="auto" w:fill="auto"/>
              </w:tcPr>
              <w:p w14:paraId="7122896E"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 xml:space="preserve">1,700,782.98 </w:t>
                </w:r>
              </w:p>
            </w:tc>
            <w:tc>
              <w:tcPr>
                <w:tcW w:w="835" w:type="pct"/>
                <w:shd w:val="clear" w:color="auto" w:fill="auto"/>
                <w:vAlign w:val="center"/>
              </w:tcPr>
              <w:p w14:paraId="54FF2BBC"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rPr>
                  <w:t>52,805,140.67</w:t>
                </w:r>
              </w:p>
            </w:tc>
            <w:tc>
              <w:tcPr>
                <w:tcW w:w="881" w:type="pct"/>
                <w:shd w:val="clear" w:color="auto" w:fill="auto"/>
              </w:tcPr>
              <w:p w14:paraId="5C3D9EFE"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w:t>
                </w:r>
              </w:p>
            </w:tc>
          </w:tr>
        </w:tbl>
      </w:sdtContent>
    </w:sdt>
    <w:p w14:paraId="56B52152" w14:textId="77777777" w:rsidR="00D21C1F" w:rsidRDefault="00D21C1F">
      <w:pPr>
        <w:rPr>
          <w:szCs w:val="21"/>
        </w:rPr>
      </w:pPr>
    </w:p>
    <w:bookmarkStart w:id="270" w:name="_Hlk10537331" w:displacedByCustomXml="next"/>
    <w:sdt>
      <w:sdtPr>
        <w:rPr>
          <w:rFonts w:eastAsiaTheme="minorEastAsia" w:hint="eastAsia"/>
          <w:szCs w:val="21"/>
        </w:rPr>
        <w:alias w:val="模块:涉及政府补助的负债项目"/>
        <w:tag w:val="_GBC_e1594f7b2d3e4b13b3e32c6cde5b210a"/>
        <w:id w:val="-2130394784"/>
        <w:lock w:val="sdtLocked"/>
        <w:placeholder>
          <w:docPart w:val="GBC22222222222222222222222222222"/>
        </w:placeholder>
      </w:sdtPr>
      <w:sdtEndPr>
        <w:rPr>
          <w:szCs w:val="24"/>
        </w:rPr>
      </w:sdtEndPr>
      <w:sdtContent>
        <w:p w14:paraId="7DCC1CA7" w14:textId="77777777" w:rsidR="00D21C1F" w:rsidRDefault="00A42880">
          <w:pPr>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1223285373"/>
            <w:lock w:val="sdtLocked"/>
            <w:placeholder>
              <w:docPart w:val="GBC22222222222222222222222222222"/>
            </w:placeholder>
          </w:sdtPr>
          <w:sdtEndPr/>
          <w:sdtContent>
            <w:p w14:paraId="1A743904"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7BC1C27" w14:textId="77777777" w:rsidR="00D21C1F" w:rsidRDefault="00A42880">
          <w:pPr>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483194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涉及政府补助的负债项目"/>
              <w:tag w:val="_GBC_f798b0de29de4c7da52adfc6a422901f"/>
              <w:id w:val="-1071955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25"/>
            <w:gridCol w:w="1572"/>
            <w:gridCol w:w="1811"/>
            <w:gridCol w:w="1966"/>
            <w:gridCol w:w="1666"/>
            <w:gridCol w:w="1666"/>
            <w:gridCol w:w="1533"/>
            <w:gridCol w:w="2024"/>
          </w:tblGrid>
          <w:tr w:rsidR="00D21C1F" w14:paraId="4A2617D9" w14:textId="77777777">
            <w:trPr>
              <w:jc w:val="center"/>
            </w:trPr>
            <w:sdt>
              <w:sdtPr>
                <w:tag w:val="_PLD_1bd0a5248adb4713bfd06318a3648ceb"/>
                <w:id w:val="-44304990"/>
                <w:lock w:val="sdtLocked"/>
              </w:sdtPr>
              <w:sdtEndPr/>
              <w:sdtContent>
                <w:tc>
                  <w:tcPr>
                    <w:tcW w:w="586" w:type="pct"/>
                    <w:tcBorders>
                      <w:top w:val="single" w:sz="4" w:space="0" w:color="auto"/>
                      <w:left w:val="single" w:sz="4" w:space="0" w:color="auto"/>
                      <w:bottom w:val="single" w:sz="4" w:space="0" w:color="auto"/>
                      <w:right w:val="single" w:sz="4" w:space="0" w:color="auto"/>
                    </w:tcBorders>
                    <w:vAlign w:val="center"/>
                  </w:tcPr>
                  <w:p w14:paraId="0690EBDF" w14:textId="77777777" w:rsidR="00D21C1F" w:rsidRDefault="00A42880">
                    <w:pPr>
                      <w:jc w:val="center"/>
                      <w:rPr>
                        <w:szCs w:val="21"/>
                      </w:rPr>
                    </w:pPr>
                    <w:r>
                      <w:rPr>
                        <w:szCs w:val="21"/>
                      </w:rPr>
                      <w:t>负债项目</w:t>
                    </w:r>
                  </w:p>
                </w:tc>
              </w:sdtContent>
            </w:sdt>
            <w:sdt>
              <w:sdtPr>
                <w:tag w:val="_PLD_11c88b40e8554a8db9e52728554ced53"/>
                <w:id w:val="-1383016228"/>
                <w:lock w:val="sdtLocked"/>
              </w:sdtPr>
              <w:sdtEndPr/>
              <w:sdtContent>
                <w:tc>
                  <w:tcPr>
                    <w:tcW w:w="567" w:type="pct"/>
                    <w:tcBorders>
                      <w:top w:val="single" w:sz="4" w:space="0" w:color="auto"/>
                      <w:left w:val="single" w:sz="4" w:space="0" w:color="auto"/>
                      <w:bottom w:val="single" w:sz="4" w:space="0" w:color="auto"/>
                      <w:right w:val="single" w:sz="4" w:space="0" w:color="auto"/>
                    </w:tcBorders>
                    <w:vAlign w:val="center"/>
                  </w:tcPr>
                  <w:p w14:paraId="00B58C7A" w14:textId="77777777" w:rsidR="00D21C1F" w:rsidRDefault="00A42880">
                    <w:pPr>
                      <w:jc w:val="center"/>
                      <w:rPr>
                        <w:szCs w:val="21"/>
                      </w:rPr>
                    </w:pPr>
                    <w:r>
                      <w:rPr>
                        <w:szCs w:val="21"/>
                      </w:rPr>
                      <w:t>期初余额</w:t>
                    </w:r>
                  </w:p>
                </w:tc>
              </w:sdtContent>
            </w:sdt>
            <w:sdt>
              <w:sdtPr>
                <w:tag w:val="_PLD_7b99be0925d1402da7bf5455be12c194"/>
                <w:id w:val="-614588755"/>
                <w:lock w:val="sdtLocked"/>
              </w:sdtPr>
              <w:sdtEndPr/>
              <w:sdtContent>
                <w:tc>
                  <w:tcPr>
                    <w:tcW w:w="653" w:type="pct"/>
                    <w:tcBorders>
                      <w:top w:val="single" w:sz="4" w:space="0" w:color="auto"/>
                      <w:left w:val="single" w:sz="4" w:space="0" w:color="auto"/>
                      <w:bottom w:val="single" w:sz="4" w:space="0" w:color="auto"/>
                      <w:right w:val="single" w:sz="4" w:space="0" w:color="auto"/>
                    </w:tcBorders>
                    <w:vAlign w:val="center"/>
                  </w:tcPr>
                  <w:p w14:paraId="4FDADC37" w14:textId="77777777" w:rsidR="00D21C1F" w:rsidRDefault="00A42880">
                    <w:pPr>
                      <w:jc w:val="center"/>
                      <w:rPr>
                        <w:szCs w:val="21"/>
                      </w:rPr>
                    </w:pPr>
                    <w:r>
                      <w:rPr>
                        <w:szCs w:val="21"/>
                      </w:rPr>
                      <w:t>本期新增补助金额</w:t>
                    </w:r>
                  </w:p>
                </w:tc>
              </w:sdtContent>
            </w:sdt>
            <w:sdt>
              <w:sdtPr>
                <w:tag w:val="_PLD_d945d90b68594904a9453791791d4ffa"/>
                <w:id w:val="311914449"/>
                <w:lock w:val="sdtLocked"/>
              </w:sdtPr>
              <w:sdtEndPr/>
              <w:sdtContent>
                <w:tc>
                  <w:tcPr>
                    <w:tcW w:w="709" w:type="pct"/>
                    <w:tcBorders>
                      <w:top w:val="single" w:sz="4" w:space="0" w:color="auto"/>
                      <w:left w:val="single" w:sz="4" w:space="0" w:color="auto"/>
                      <w:bottom w:val="single" w:sz="4" w:space="0" w:color="auto"/>
                      <w:right w:val="single" w:sz="4" w:space="0" w:color="auto"/>
                    </w:tcBorders>
                    <w:vAlign w:val="center"/>
                  </w:tcPr>
                  <w:p w14:paraId="1A3F1728" w14:textId="77777777" w:rsidR="00D21C1F" w:rsidRDefault="00A42880">
                    <w:pPr>
                      <w:jc w:val="center"/>
                      <w:rPr>
                        <w:szCs w:val="21"/>
                      </w:rPr>
                    </w:pPr>
                    <w:r>
                      <w:rPr>
                        <w:szCs w:val="21"/>
                      </w:rPr>
                      <w:t>本期计入营业外收入金额</w:t>
                    </w:r>
                  </w:p>
                </w:tc>
              </w:sdtContent>
            </w:sdt>
            <w:tc>
              <w:tcPr>
                <w:tcW w:w="601"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ac6886b89ddd4b75abc97b3f03668943"/>
                  <w:id w:val="-105040957"/>
                  <w:lock w:val="sdtLocked"/>
                </w:sdtPr>
                <w:sdtEndPr/>
                <w:sdtContent>
                  <w:p w14:paraId="01680B10" w14:textId="77777777" w:rsidR="00D21C1F" w:rsidRDefault="00A42880">
                    <w:pPr>
                      <w:jc w:val="center"/>
                    </w:pPr>
                    <w:r>
                      <w:rPr>
                        <w:rFonts w:hint="eastAsia"/>
                      </w:rPr>
                      <w:t>本期计入其他收益金额</w:t>
                    </w:r>
                  </w:p>
                </w:sdtContent>
              </w:sdt>
            </w:tc>
            <w:sdt>
              <w:sdtPr>
                <w:tag w:val="_PLD_822d9fedb3374c6199e425909b88c066"/>
                <w:id w:val="166535779"/>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14:paraId="0F7D1AC4" w14:textId="77777777" w:rsidR="00D21C1F" w:rsidRDefault="00A42880">
                    <w:pPr>
                      <w:jc w:val="center"/>
                      <w:rPr>
                        <w:szCs w:val="21"/>
                      </w:rPr>
                    </w:pPr>
                    <w:r>
                      <w:rPr>
                        <w:szCs w:val="21"/>
                      </w:rPr>
                      <w:t>其他变动</w:t>
                    </w:r>
                  </w:p>
                </w:tc>
              </w:sdtContent>
            </w:sdt>
            <w:sdt>
              <w:sdtPr>
                <w:tag w:val="_PLD_1a96043f63c146309b6472d84b4d7aa6"/>
                <w:id w:val="2002381618"/>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4D787C4A" w14:textId="77777777" w:rsidR="00D21C1F" w:rsidRDefault="00A42880">
                    <w:pPr>
                      <w:jc w:val="center"/>
                      <w:rPr>
                        <w:szCs w:val="21"/>
                      </w:rPr>
                    </w:pPr>
                    <w:r>
                      <w:rPr>
                        <w:szCs w:val="21"/>
                      </w:rPr>
                      <w:t>期末余额</w:t>
                    </w:r>
                  </w:p>
                </w:tc>
              </w:sdtContent>
            </w:sdt>
            <w:sdt>
              <w:sdtPr>
                <w:tag w:val="_PLD_b9b21d1fe20343d597f3219a3532324a"/>
                <w:id w:val="1168453610"/>
                <w:lock w:val="sdtLocked"/>
              </w:sdtPr>
              <w:sdtEndPr/>
              <w:sdtContent>
                <w:tc>
                  <w:tcPr>
                    <w:tcW w:w="730" w:type="pct"/>
                    <w:tcBorders>
                      <w:top w:val="single" w:sz="4" w:space="0" w:color="auto"/>
                      <w:left w:val="single" w:sz="4" w:space="0" w:color="auto"/>
                      <w:bottom w:val="single" w:sz="4" w:space="0" w:color="auto"/>
                      <w:right w:val="single" w:sz="4" w:space="0" w:color="auto"/>
                    </w:tcBorders>
                    <w:vAlign w:val="center"/>
                  </w:tcPr>
                  <w:p w14:paraId="2244F2DF" w14:textId="77777777" w:rsidR="00D21C1F" w:rsidRDefault="00A42880">
                    <w:pPr>
                      <w:jc w:val="center"/>
                      <w:rPr>
                        <w:szCs w:val="21"/>
                      </w:rPr>
                    </w:pPr>
                    <w:r>
                      <w:rPr>
                        <w:szCs w:val="21"/>
                      </w:rPr>
                      <w:t>与资产相关/与收益相关</w:t>
                    </w:r>
                  </w:p>
                </w:tc>
              </w:sdtContent>
            </w:sdt>
          </w:tr>
          <w:sdt>
            <w:sdtPr>
              <w:rPr>
                <w:szCs w:val="21"/>
              </w:rPr>
              <w:alias w:val="涉及政府补助的负债项目明细"/>
              <w:tag w:val="_GBC_57fa178d03fa46a3befea9bbb3ebc131"/>
              <w:id w:val="2126961698"/>
              <w:lock w:val="sdtLocked"/>
            </w:sdtPr>
            <w:sdtEndPr/>
            <w:sdtContent>
              <w:tr w:rsidR="00D21C1F" w14:paraId="1B6942F4"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326DBA92" w14:textId="77777777" w:rsidR="00D21C1F" w:rsidRDefault="00A42880">
                    <w:pPr>
                      <w:rPr>
                        <w:szCs w:val="21"/>
                      </w:rPr>
                    </w:pPr>
                    <w:r>
                      <w:rPr>
                        <w:rFonts w:ascii="Times New Roman" w:hAnsi="Times New Roman"/>
                      </w:rPr>
                      <w:t>Y100016005</w:t>
                    </w:r>
                  </w:p>
                </w:tc>
                <w:tc>
                  <w:tcPr>
                    <w:tcW w:w="567" w:type="pct"/>
                    <w:tcBorders>
                      <w:top w:val="single" w:sz="4" w:space="0" w:color="auto"/>
                      <w:left w:val="single" w:sz="4" w:space="0" w:color="auto"/>
                      <w:bottom w:val="single" w:sz="4" w:space="0" w:color="auto"/>
                      <w:right w:val="single" w:sz="4" w:space="0" w:color="auto"/>
                    </w:tcBorders>
                    <w:vAlign w:val="center"/>
                  </w:tcPr>
                  <w:p w14:paraId="369B4B9B" w14:textId="77777777" w:rsidR="00D21C1F" w:rsidRDefault="00A42880">
                    <w:pPr>
                      <w:jc w:val="right"/>
                      <w:rPr>
                        <w:szCs w:val="21"/>
                      </w:rPr>
                    </w:pPr>
                    <w:r>
                      <w:rPr>
                        <w:rFonts w:ascii="Times New Roman" w:hAnsi="Times New Roman"/>
                      </w:rPr>
                      <w:t>12</w:t>
                    </w:r>
                    <w:r>
                      <w:t>,</w:t>
                    </w:r>
                    <w:r>
                      <w:rPr>
                        <w:rFonts w:ascii="Times New Roman" w:hAnsi="Times New Roman"/>
                      </w:rPr>
                      <w:t>996</w:t>
                    </w:r>
                    <w:r>
                      <w:t>,</w:t>
                    </w:r>
                    <w:r>
                      <w:rPr>
                        <w:rFonts w:ascii="Times New Roman" w:hAnsi="Times New Roman"/>
                      </w:rPr>
                      <w:t>946</w:t>
                    </w:r>
                    <w:r>
                      <w:t>.</w:t>
                    </w:r>
                    <w:r>
                      <w:rPr>
                        <w:rFonts w:ascii="Times New Roman" w:hAnsi="Times New Roman"/>
                      </w:rPr>
                      <w:t>58</w:t>
                    </w:r>
                  </w:p>
                </w:tc>
                <w:tc>
                  <w:tcPr>
                    <w:tcW w:w="653" w:type="pct"/>
                    <w:tcBorders>
                      <w:top w:val="single" w:sz="4" w:space="0" w:color="auto"/>
                      <w:left w:val="single" w:sz="4" w:space="0" w:color="auto"/>
                      <w:bottom w:val="single" w:sz="4" w:space="0" w:color="auto"/>
                      <w:right w:val="single" w:sz="4" w:space="0" w:color="auto"/>
                    </w:tcBorders>
                    <w:vAlign w:val="center"/>
                  </w:tcPr>
                  <w:p w14:paraId="7EB0479B"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4BB7FE6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CA7308C" w14:textId="77777777" w:rsidR="00D21C1F" w:rsidRDefault="00A42880">
                    <w:pPr>
                      <w:jc w:val="right"/>
                      <w:rPr>
                        <w:szCs w:val="21"/>
                      </w:rPr>
                    </w:pPr>
                    <w:r>
                      <w:rPr>
                        <w:rFonts w:ascii="Times New Roman" w:hAnsi="Times New Roman"/>
                      </w:rPr>
                      <w:t>1</w:t>
                    </w:r>
                    <w:r>
                      <w:t>,</w:t>
                    </w:r>
                    <w:r>
                      <w:rPr>
                        <w:rFonts w:ascii="Times New Roman" w:hAnsi="Times New Roman"/>
                      </w:rPr>
                      <w:t>166</w:t>
                    </w:r>
                    <w:r>
                      <w:t>,</w:t>
                    </w:r>
                    <w:r>
                      <w:rPr>
                        <w:rFonts w:ascii="Times New Roman" w:hAnsi="Times New Roman"/>
                      </w:rPr>
                      <w:t>283</w:t>
                    </w:r>
                    <w:r>
                      <w:t>.</w:t>
                    </w:r>
                    <w:r>
                      <w:rPr>
                        <w:rFonts w:ascii="Times New Roman" w:hAnsi="Times New Roman"/>
                      </w:rPr>
                      <w:t>00</w:t>
                    </w:r>
                  </w:p>
                </w:tc>
                <w:tc>
                  <w:tcPr>
                    <w:tcW w:w="601" w:type="pct"/>
                    <w:tcBorders>
                      <w:top w:val="single" w:sz="4" w:space="0" w:color="auto"/>
                      <w:left w:val="single" w:sz="4" w:space="0" w:color="auto"/>
                      <w:bottom w:val="single" w:sz="4" w:space="0" w:color="auto"/>
                      <w:right w:val="single" w:sz="4" w:space="0" w:color="auto"/>
                    </w:tcBorders>
                    <w:vAlign w:val="center"/>
                  </w:tcPr>
                  <w:p w14:paraId="64FE4C1D"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0ABAEC0D" w14:textId="77777777" w:rsidR="00D21C1F" w:rsidRDefault="00A42880">
                    <w:pPr>
                      <w:jc w:val="right"/>
                      <w:rPr>
                        <w:szCs w:val="21"/>
                      </w:rPr>
                    </w:pPr>
                    <w:r>
                      <w:rPr>
                        <w:rFonts w:ascii="Times New Roman" w:hAnsi="Times New Roman"/>
                      </w:rPr>
                      <w:t>11</w:t>
                    </w:r>
                    <w:r>
                      <w:t>,</w:t>
                    </w:r>
                    <w:r>
                      <w:rPr>
                        <w:rFonts w:ascii="Times New Roman" w:hAnsi="Times New Roman"/>
                      </w:rPr>
                      <w:t>830</w:t>
                    </w:r>
                    <w:r>
                      <w:t>,</w:t>
                    </w:r>
                    <w:r>
                      <w:rPr>
                        <w:rFonts w:ascii="Times New Roman" w:hAnsi="Times New Roman"/>
                      </w:rPr>
                      <w:t>663</w:t>
                    </w:r>
                    <w:r>
                      <w:t>.</w:t>
                    </w:r>
                    <w:r>
                      <w:rPr>
                        <w:rFonts w:ascii="Times New Roman" w:hAnsi="Times New Roman"/>
                      </w:rPr>
                      <w:t>58</w:t>
                    </w:r>
                  </w:p>
                </w:tc>
                <w:tc>
                  <w:tcPr>
                    <w:tcW w:w="730" w:type="pct"/>
                    <w:tcBorders>
                      <w:top w:val="single" w:sz="4" w:space="0" w:color="auto"/>
                      <w:left w:val="single" w:sz="4" w:space="0" w:color="auto"/>
                      <w:bottom w:val="single" w:sz="4" w:space="0" w:color="auto"/>
                      <w:right w:val="single" w:sz="4" w:space="0" w:color="auto"/>
                    </w:tcBorders>
                  </w:tcPr>
                  <w:p w14:paraId="3FFE5756" w14:textId="77777777" w:rsidR="00D21C1F" w:rsidRDefault="00A42880">
                    <w:pPr>
                      <w:rPr>
                        <w:szCs w:val="21"/>
                      </w:rPr>
                    </w:pPr>
                    <w:r>
                      <w:t>与资产相关</w:t>
                    </w:r>
                  </w:p>
                </w:tc>
              </w:tr>
            </w:sdtContent>
          </w:sdt>
          <w:sdt>
            <w:sdtPr>
              <w:rPr>
                <w:szCs w:val="21"/>
              </w:rPr>
              <w:alias w:val="涉及政府补助的负债项目明细"/>
              <w:tag w:val="_GBC_57fa178d03fa46a3befea9bbb3ebc131"/>
              <w:id w:val="1585339327"/>
              <w:lock w:val="sdtLocked"/>
            </w:sdtPr>
            <w:sdtEndPr/>
            <w:sdtContent>
              <w:tr w:rsidR="00D21C1F" w14:paraId="226290DE"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303A53C6" w14:textId="77777777" w:rsidR="00D21C1F" w:rsidRDefault="00A42880">
                    <w:pPr>
                      <w:rPr>
                        <w:szCs w:val="21"/>
                      </w:rPr>
                    </w:pPr>
                    <w:r>
                      <w:rPr>
                        <w:rFonts w:ascii="Times New Roman" w:hAnsi="Times New Roman"/>
                      </w:rPr>
                      <w:t>B100017002</w:t>
                    </w:r>
                  </w:p>
                </w:tc>
                <w:tc>
                  <w:tcPr>
                    <w:tcW w:w="567" w:type="pct"/>
                    <w:tcBorders>
                      <w:top w:val="single" w:sz="4" w:space="0" w:color="auto"/>
                      <w:left w:val="single" w:sz="4" w:space="0" w:color="auto"/>
                      <w:bottom w:val="single" w:sz="4" w:space="0" w:color="auto"/>
                      <w:right w:val="single" w:sz="4" w:space="0" w:color="auto"/>
                    </w:tcBorders>
                    <w:vAlign w:val="center"/>
                  </w:tcPr>
                  <w:p w14:paraId="48AC9132" w14:textId="77777777" w:rsidR="00D21C1F" w:rsidRDefault="00A42880">
                    <w:pPr>
                      <w:jc w:val="right"/>
                      <w:rPr>
                        <w:szCs w:val="21"/>
                      </w:rPr>
                    </w:pPr>
                    <w:r>
                      <w:rPr>
                        <w:rFonts w:ascii="Times New Roman" w:hAnsi="Times New Roman"/>
                      </w:rPr>
                      <w:t>6</w:t>
                    </w:r>
                    <w:r>
                      <w:t>,</w:t>
                    </w:r>
                    <w:r>
                      <w:rPr>
                        <w:rFonts w:ascii="Times New Roman" w:hAnsi="Times New Roman"/>
                      </w:rPr>
                      <w:t>868</w:t>
                    </w:r>
                    <w:r>
                      <w:t>,</w:t>
                    </w:r>
                    <w:r>
                      <w:rPr>
                        <w:rFonts w:ascii="Times New Roman" w:hAnsi="Times New Roman"/>
                      </w:rPr>
                      <w:t>700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1F4B02D5"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1BB86CCA"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0D3238D5"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5ABB06BD"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53FE65D0" w14:textId="77777777" w:rsidR="00D21C1F" w:rsidRDefault="00A42880">
                    <w:pPr>
                      <w:jc w:val="right"/>
                      <w:rPr>
                        <w:szCs w:val="21"/>
                      </w:rPr>
                    </w:pPr>
                    <w:r>
                      <w:rPr>
                        <w:rFonts w:ascii="Times New Roman" w:hAnsi="Times New Roman"/>
                      </w:rPr>
                      <w:t>6</w:t>
                    </w:r>
                    <w:r>
                      <w:t>,</w:t>
                    </w:r>
                    <w:r>
                      <w:rPr>
                        <w:rFonts w:ascii="Times New Roman" w:hAnsi="Times New Roman"/>
                      </w:rPr>
                      <w:t>868</w:t>
                    </w:r>
                    <w:r>
                      <w:t>,</w:t>
                    </w:r>
                    <w:r>
                      <w:rPr>
                        <w:rFonts w:ascii="Times New Roman" w:hAnsi="Times New Roman"/>
                      </w:rPr>
                      <w:t>700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6194BEA4" w14:textId="77777777" w:rsidR="00D21C1F" w:rsidRDefault="00A42880">
                    <w:pPr>
                      <w:rPr>
                        <w:szCs w:val="21"/>
                      </w:rPr>
                    </w:pPr>
                    <w:r>
                      <w:t>与资产相关</w:t>
                    </w:r>
                  </w:p>
                </w:tc>
              </w:tr>
            </w:sdtContent>
          </w:sdt>
          <w:sdt>
            <w:sdtPr>
              <w:rPr>
                <w:szCs w:val="21"/>
              </w:rPr>
              <w:alias w:val="涉及政府补助的负债项目明细"/>
              <w:tag w:val="_GBC_57fa178d03fa46a3befea9bbb3ebc131"/>
              <w:id w:val="-76132933"/>
              <w:lock w:val="sdtLocked"/>
            </w:sdtPr>
            <w:sdtEndPr/>
            <w:sdtContent>
              <w:tr w:rsidR="00D21C1F" w14:paraId="44E0650A"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3A5C4EB8" w14:textId="77777777" w:rsidR="00D21C1F" w:rsidRDefault="00A42880">
                    <w:pPr>
                      <w:rPr>
                        <w:szCs w:val="21"/>
                      </w:rPr>
                    </w:pPr>
                    <w:r>
                      <w:rPr>
                        <w:rFonts w:ascii="Times New Roman" w:hAnsi="Times New Roman"/>
                      </w:rPr>
                      <w:t>Y100019013</w:t>
                    </w:r>
                  </w:p>
                </w:tc>
                <w:tc>
                  <w:tcPr>
                    <w:tcW w:w="567" w:type="pct"/>
                    <w:tcBorders>
                      <w:top w:val="single" w:sz="4" w:space="0" w:color="auto"/>
                      <w:left w:val="single" w:sz="4" w:space="0" w:color="auto"/>
                      <w:bottom w:val="single" w:sz="4" w:space="0" w:color="auto"/>
                      <w:right w:val="single" w:sz="4" w:space="0" w:color="auto"/>
                    </w:tcBorders>
                    <w:vAlign w:val="center"/>
                  </w:tcPr>
                  <w:p w14:paraId="0244B9EC" w14:textId="77777777" w:rsidR="00D21C1F" w:rsidRDefault="00A42880">
                    <w:pPr>
                      <w:jc w:val="right"/>
                      <w:rPr>
                        <w:szCs w:val="21"/>
                      </w:rPr>
                    </w:pPr>
                    <w:r>
                      <w:rPr>
                        <w:rFonts w:ascii="Times New Roman" w:hAnsi="Times New Roman"/>
                      </w:rPr>
                      <w:t>6</w:t>
                    </w:r>
                    <w:r>
                      <w:t>,</w:t>
                    </w:r>
                    <w:r>
                      <w:rPr>
                        <w:rFonts w:ascii="Times New Roman" w:hAnsi="Times New Roman"/>
                      </w:rPr>
                      <w:t>400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219D3461"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26EF3613"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1FA304C"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361BB2B2"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5FA31D65" w14:textId="77777777" w:rsidR="00D21C1F" w:rsidRDefault="00A42880">
                    <w:pPr>
                      <w:jc w:val="right"/>
                      <w:rPr>
                        <w:szCs w:val="21"/>
                      </w:rPr>
                    </w:pPr>
                    <w:r>
                      <w:rPr>
                        <w:rFonts w:ascii="Times New Roman" w:hAnsi="Times New Roman"/>
                      </w:rPr>
                      <w:t>6</w:t>
                    </w:r>
                    <w:r>
                      <w:t>,</w:t>
                    </w:r>
                    <w:r>
                      <w:rPr>
                        <w:rFonts w:ascii="Times New Roman" w:hAnsi="Times New Roman"/>
                      </w:rPr>
                      <w:t>400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0FAB9784"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725409781"/>
              <w:lock w:val="sdtLocked"/>
            </w:sdtPr>
            <w:sdtEndPr/>
            <w:sdtContent>
              <w:tr w:rsidR="00D21C1F" w14:paraId="5DECE94B"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6F911269" w14:textId="77777777" w:rsidR="00D21C1F" w:rsidRDefault="00A42880">
                    <w:pPr>
                      <w:rPr>
                        <w:szCs w:val="21"/>
                      </w:rPr>
                    </w:pPr>
                    <w:r>
                      <w:rPr>
                        <w:rFonts w:ascii="Times New Roman" w:hAnsi="Times New Roman"/>
                      </w:rPr>
                      <w:t>Y100011006</w:t>
                    </w:r>
                  </w:p>
                </w:tc>
                <w:tc>
                  <w:tcPr>
                    <w:tcW w:w="567" w:type="pct"/>
                    <w:tcBorders>
                      <w:top w:val="single" w:sz="4" w:space="0" w:color="auto"/>
                      <w:left w:val="single" w:sz="4" w:space="0" w:color="auto"/>
                      <w:bottom w:val="single" w:sz="4" w:space="0" w:color="auto"/>
                      <w:right w:val="single" w:sz="4" w:space="0" w:color="auto"/>
                    </w:tcBorders>
                    <w:vAlign w:val="center"/>
                  </w:tcPr>
                  <w:p w14:paraId="2B7C47EC" w14:textId="77777777" w:rsidR="00D21C1F" w:rsidRDefault="00A42880">
                    <w:pPr>
                      <w:jc w:val="right"/>
                      <w:rPr>
                        <w:szCs w:val="21"/>
                      </w:rPr>
                    </w:pPr>
                    <w:r>
                      <w:rPr>
                        <w:rFonts w:ascii="Times New Roman" w:hAnsi="Times New Roman"/>
                      </w:rPr>
                      <w:t>2</w:t>
                    </w:r>
                    <w:r>
                      <w:t>,</w:t>
                    </w:r>
                    <w:r>
                      <w:rPr>
                        <w:rFonts w:ascii="Times New Roman" w:hAnsi="Times New Roman"/>
                      </w:rPr>
                      <w:t>669</w:t>
                    </w:r>
                    <w:r>
                      <w:t>,</w:t>
                    </w:r>
                    <w:r>
                      <w:rPr>
                        <w:rFonts w:ascii="Times New Roman" w:hAnsi="Times New Roman"/>
                      </w:rPr>
                      <w:t>145</w:t>
                    </w:r>
                    <w:r>
                      <w:t>.</w:t>
                    </w:r>
                    <w:r>
                      <w:rPr>
                        <w:rFonts w:ascii="Times New Roman" w:hAnsi="Times New Roman"/>
                      </w:rPr>
                      <w:t>50</w:t>
                    </w:r>
                  </w:p>
                </w:tc>
                <w:tc>
                  <w:tcPr>
                    <w:tcW w:w="653" w:type="pct"/>
                    <w:tcBorders>
                      <w:top w:val="single" w:sz="4" w:space="0" w:color="auto"/>
                      <w:left w:val="single" w:sz="4" w:space="0" w:color="auto"/>
                      <w:bottom w:val="single" w:sz="4" w:space="0" w:color="auto"/>
                      <w:right w:val="single" w:sz="4" w:space="0" w:color="auto"/>
                    </w:tcBorders>
                    <w:vAlign w:val="center"/>
                  </w:tcPr>
                  <w:p w14:paraId="59DFF349"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7F852D7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332DB799" w14:textId="77777777" w:rsidR="00D21C1F" w:rsidRDefault="00A42880">
                    <w:pPr>
                      <w:jc w:val="right"/>
                      <w:rPr>
                        <w:szCs w:val="21"/>
                      </w:rPr>
                    </w:pPr>
                    <w:r>
                      <w:rPr>
                        <w:rFonts w:ascii="Times New Roman" w:hAnsi="Times New Roman"/>
                      </w:rPr>
                      <w:t>364</w:t>
                    </w:r>
                    <w:r>
                      <w:t>,</w:t>
                    </w:r>
                    <w:r>
                      <w:rPr>
                        <w:rFonts w:ascii="Times New Roman" w:hAnsi="Times New Roman"/>
                      </w:rPr>
                      <w:t>999</w:t>
                    </w:r>
                    <w:r>
                      <w:t>.</w:t>
                    </w:r>
                    <w:r>
                      <w:rPr>
                        <w:rFonts w:ascii="Times New Roman" w:hAnsi="Times New Roman"/>
                      </w:rPr>
                      <w:t>98</w:t>
                    </w:r>
                  </w:p>
                </w:tc>
                <w:tc>
                  <w:tcPr>
                    <w:tcW w:w="601" w:type="pct"/>
                    <w:tcBorders>
                      <w:top w:val="single" w:sz="4" w:space="0" w:color="auto"/>
                      <w:left w:val="single" w:sz="4" w:space="0" w:color="auto"/>
                      <w:bottom w:val="single" w:sz="4" w:space="0" w:color="auto"/>
                      <w:right w:val="single" w:sz="4" w:space="0" w:color="auto"/>
                    </w:tcBorders>
                    <w:vAlign w:val="center"/>
                  </w:tcPr>
                  <w:p w14:paraId="7BE9372E"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3CF6CE4E" w14:textId="77777777" w:rsidR="00D21C1F" w:rsidRDefault="00A42880">
                    <w:pPr>
                      <w:jc w:val="right"/>
                      <w:rPr>
                        <w:szCs w:val="21"/>
                      </w:rPr>
                    </w:pPr>
                    <w:r>
                      <w:rPr>
                        <w:rFonts w:ascii="Times New Roman" w:hAnsi="Times New Roman"/>
                      </w:rPr>
                      <w:t>2</w:t>
                    </w:r>
                    <w:r>
                      <w:t>,</w:t>
                    </w:r>
                    <w:r>
                      <w:rPr>
                        <w:rFonts w:ascii="Times New Roman" w:hAnsi="Times New Roman"/>
                      </w:rPr>
                      <w:t>304</w:t>
                    </w:r>
                    <w:r>
                      <w:t>,</w:t>
                    </w:r>
                    <w:r>
                      <w:rPr>
                        <w:rFonts w:ascii="Times New Roman" w:hAnsi="Times New Roman"/>
                      </w:rPr>
                      <w:t>145</w:t>
                    </w:r>
                    <w:r>
                      <w:t>.</w:t>
                    </w:r>
                    <w:r>
                      <w:rPr>
                        <w:rFonts w:ascii="Times New Roman" w:hAnsi="Times New Roman"/>
                      </w:rPr>
                      <w:t>52</w:t>
                    </w:r>
                  </w:p>
                </w:tc>
                <w:tc>
                  <w:tcPr>
                    <w:tcW w:w="730" w:type="pct"/>
                    <w:tcBorders>
                      <w:top w:val="single" w:sz="4" w:space="0" w:color="auto"/>
                      <w:left w:val="single" w:sz="4" w:space="0" w:color="auto"/>
                      <w:bottom w:val="single" w:sz="4" w:space="0" w:color="auto"/>
                      <w:right w:val="single" w:sz="4" w:space="0" w:color="auto"/>
                    </w:tcBorders>
                  </w:tcPr>
                  <w:p w14:paraId="63556412" w14:textId="77777777" w:rsidR="00D21C1F" w:rsidRDefault="00A42880">
                    <w:pPr>
                      <w:rPr>
                        <w:szCs w:val="21"/>
                      </w:rPr>
                    </w:pPr>
                    <w:r>
                      <w:t>与资产相关</w:t>
                    </w:r>
                  </w:p>
                </w:tc>
              </w:tr>
            </w:sdtContent>
          </w:sdt>
          <w:sdt>
            <w:sdtPr>
              <w:rPr>
                <w:szCs w:val="21"/>
              </w:rPr>
              <w:alias w:val="涉及政府补助的负债项目明细"/>
              <w:tag w:val="_GBC_57fa178d03fa46a3befea9bbb3ebc131"/>
              <w:id w:val="-2127769221"/>
              <w:lock w:val="sdtLocked"/>
            </w:sdtPr>
            <w:sdtEndPr/>
            <w:sdtContent>
              <w:tr w:rsidR="00D21C1F" w14:paraId="6118889C"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64BECB85" w14:textId="77777777" w:rsidR="00D21C1F" w:rsidRDefault="00A42880">
                    <w:pPr>
                      <w:rPr>
                        <w:szCs w:val="21"/>
                      </w:rPr>
                    </w:pPr>
                    <w:r>
                      <w:rPr>
                        <w:rFonts w:ascii="Times New Roman" w:hAnsi="Times New Roman"/>
                      </w:rPr>
                      <w:t>Y100018004</w:t>
                    </w:r>
                  </w:p>
                </w:tc>
                <w:tc>
                  <w:tcPr>
                    <w:tcW w:w="567" w:type="pct"/>
                    <w:tcBorders>
                      <w:top w:val="single" w:sz="4" w:space="0" w:color="auto"/>
                      <w:left w:val="single" w:sz="4" w:space="0" w:color="auto"/>
                      <w:bottom w:val="single" w:sz="4" w:space="0" w:color="auto"/>
                      <w:right w:val="single" w:sz="4" w:space="0" w:color="auto"/>
                    </w:tcBorders>
                    <w:vAlign w:val="center"/>
                  </w:tcPr>
                  <w:p w14:paraId="06928F07" w14:textId="77777777" w:rsidR="00D21C1F" w:rsidRDefault="00A42880">
                    <w:pPr>
                      <w:jc w:val="right"/>
                      <w:rPr>
                        <w:szCs w:val="21"/>
                      </w:rPr>
                    </w:pPr>
                    <w:r>
                      <w:rPr>
                        <w:rFonts w:ascii="Times New Roman" w:hAnsi="Times New Roman"/>
                      </w:rPr>
                      <w:t>1</w:t>
                    </w:r>
                    <w:r>
                      <w:t>,</w:t>
                    </w:r>
                    <w:r>
                      <w:rPr>
                        <w:rFonts w:ascii="Times New Roman" w:hAnsi="Times New Roman"/>
                      </w:rPr>
                      <w:t>565</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3F85ADA0"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0662A1CE"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10E604AD"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34E1419"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565E636" w14:textId="77777777" w:rsidR="00D21C1F" w:rsidRDefault="00A42880">
                    <w:pPr>
                      <w:jc w:val="right"/>
                      <w:rPr>
                        <w:szCs w:val="21"/>
                      </w:rPr>
                    </w:pPr>
                    <w:r>
                      <w:rPr>
                        <w:rFonts w:ascii="Times New Roman" w:hAnsi="Times New Roman"/>
                      </w:rPr>
                      <w:t>1</w:t>
                    </w:r>
                    <w:r>
                      <w:t>,</w:t>
                    </w:r>
                    <w:r>
                      <w:rPr>
                        <w:rFonts w:ascii="Times New Roman" w:hAnsi="Times New Roman"/>
                      </w:rPr>
                      <w:t>565</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713D8B5E"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217968658"/>
              <w:lock w:val="sdtLocked"/>
            </w:sdtPr>
            <w:sdtEndPr/>
            <w:sdtContent>
              <w:tr w:rsidR="00D21C1F" w14:paraId="7DD65D48"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053DC56E" w14:textId="77777777" w:rsidR="00D21C1F" w:rsidRDefault="00A42880">
                    <w:pPr>
                      <w:rPr>
                        <w:szCs w:val="21"/>
                      </w:rPr>
                    </w:pPr>
                    <w:r>
                      <w:rPr>
                        <w:rFonts w:ascii="Times New Roman" w:hAnsi="Times New Roman"/>
                      </w:rPr>
                      <w:t>Y100019015</w:t>
                    </w:r>
                  </w:p>
                </w:tc>
                <w:tc>
                  <w:tcPr>
                    <w:tcW w:w="567" w:type="pct"/>
                    <w:tcBorders>
                      <w:top w:val="single" w:sz="4" w:space="0" w:color="auto"/>
                      <w:left w:val="single" w:sz="4" w:space="0" w:color="auto"/>
                      <w:bottom w:val="single" w:sz="4" w:space="0" w:color="auto"/>
                      <w:right w:val="single" w:sz="4" w:space="0" w:color="auto"/>
                    </w:tcBorders>
                    <w:vAlign w:val="center"/>
                  </w:tcPr>
                  <w:p w14:paraId="2DCBD0FF" w14:textId="77777777" w:rsidR="00D21C1F" w:rsidRDefault="00A42880">
                    <w:pPr>
                      <w:jc w:val="right"/>
                      <w:rPr>
                        <w:szCs w:val="21"/>
                      </w:rPr>
                    </w:pPr>
                    <w:r>
                      <w:rPr>
                        <w:rFonts w:ascii="Times New Roman" w:hAnsi="Times New Roman"/>
                      </w:rPr>
                      <w:t>1</w:t>
                    </w:r>
                    <w:r>
                      <w:t>,</w:t>
                    </w:r>
                    <w:r>
                      <w:rPr>
                        <w:rFonts w:ascii="Times New Roman" w:hAnsi="Times New Roman"/>
                      </w:rPr>
                      <w:t>351</w:t>
                    </w:r>
                    <w:r>
                      <w:t>,</w:t>
                    </w:r>
                    <w:r>
                      <w:rPr>
                        <w:rFonts w:ascii="Times New Roman" w:hAnsi="Times New Roman"/>
                      </w:rPr>
                      <w:t>400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7F1D9DC6" w14:textId="77777777" w:rsidR="00D21C1F" w:rsidRDefault="00A42880">
                    <w:pPr>
                      <w:jc w:val="right"/>
                      <w:rPr>
                        <w:szCs w:val="21"/>
                      </w:rPr>
                    </w:pPr>
                    <w:r>
                      <w:rPr>
                        <w:rFonts w:ascii="Times New Roman" w:hAnsi="Times New Roman"/>
                      </w:rPr>
                      <w:t>78</w:t>
                    </w:r>
                    <w:r>
                      <w:t>,</w:t>
                    </w:r>
                    <w:r>
                      <w:rPr>
                        <w:rFonts w:ascii="Times New Roman" w:hAnsi="Times New Roman"/>
                      </w:rPr>
                      <w:t>600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center"/>
                  </w:tcPr>
                  <w:p w14:paraId="2E3ABEA6"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1EB0BAC0"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7CF9266C"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7D43F2CB" w14:textId="77777777" w:rsidR="00D21C1F" w:rsidRDefault="00A42880">
                    <w:pPr>
                      <w:jc w:val="right"/>
                      <w:rPr>
                        <w:szCs w:val="21"/>
                      </w:rPr>
                    </w:pPr>
                    <w:r>
                      <w:rPr>
                        <w:rFonts w:ascii="Times New Roman" w:hAnsi="Times New Roman"/>
                      </w:rPr>
                      <w:t>1</w:t>
                    </w:r>
                    <w:r>
                      <w:t>,</w:t>
                    </w:r>
                    <w:r>
                      <w:rPr>
                        <w:rFonts w:ascii="Times New Roman" w:hAnsi="Times New Roman"/>
                      </w:rPr>
                      <w:t>430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32C655CD"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213242949"/>
              <w:lock w:val="sdtLocked"/>
            </w:sdtPr>
            <w:sdtEndPr/>
            <w:sdtContent>
              <w:tr w:rsidR="00D21C1F" w14:paraId="064F65F9"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3C57BC2" w14:textId="77777777" w:rsidR="00D21C1F" w:rsidRDefault="00A42880">
                    <w:pPr>
                      <w:rPr>
                        <w:szCs w:val="21"/>
                      </w:rPr>
                    </w:pPr>
                    <w:r>
                      <w:rPr>
                        <w:rFonts w:ascii="Times New Roman" w:hAnsi="Times New Roman"/>
                      </w:rPr>
                      <w:t>Y100019004</w:t>
                    </w:r>
                  </w:p>
                </w:tc>
                <w:tc>
                  <w:tcPr>
                    <w:tcW w:w="567" w:type="pct"/>
                    <w:tcBorders>
                      <w:top w:val="single" w:sz="4" w:space="0" w:color="auto"/>
                      <w:left w:val="single" w:sz="4" w:space="0" w:color="auto"/>
                      <w:bottom w:val="single" w:sz="4" w:space="0" w:color="auto"/>
                      <w:right w:val="single" w:sz="4" w:space="0" w:color="auto"/>
                    </w:tcBorders>
                    <w:vAlign w:val="center"/>
                  </w:tcPr>
                  <w:p w14:paraId="6A298AD4" w14:textId="77777777" w:rsidR="00D21C1F" w:rsidRDefault="00A42880">
                    <w:pPr>
                      <w:jc w:val="right"/>
                      <w:rPr>
                        <w:szCs w:val="21"/>
                      </w:rPr>
                    </w:pPr>
                    <w:r>
                      <w:rPr>
                        <w:rFonts w:ascii="Times New Roman" w:hAnsi="Times New Roman"/>
                      </w:rPr>
                      <w:t>1</w:t>
                    </w:r>
                    <w:r>
                      <w:t>,</w:t>
                    </w:r>
                    <w:r>
                      <w:rPr>
                        <w:rFonts w:ascii="Times New Roman" w:hAnsi="Times New Roman"/>
                      </w:rPr>
                      <w:t>251</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56BFE08C" w14:textId="77777777" w:rsidR="00D21C1F" w:rsidRDefault="00A42880">
                    <w:pPr>
                      <w:jc w:val="right"/>
                      <w:rPr>
                        <w:szCs w:val="21"/>
                      </w:rPr>
                    </w:pPr>
                    <w:r>
                      <w:rPr>
                        <w:rFonts w:ascii="Times New Roman" w:hAnsi="Times New Roman"/>
                      </w:rPr>
                      <w:t>319</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center"/>
                  </w:tcPr>
                  <w:p w14:paraId="1A164C87"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4829F92"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02309DA7"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1E1CBB94" w14:textId="77777777" w:rsidR="00D21C1F" w:rsidRDefault="00A42880">
                    <w:pPr>
                      <w:jc w:val="right"/>
                      <w:rPr>
                        <w:szCs w:val="21"/>
                      </w:rPr>
                    </w:pPr>
                    <w:r>
                      <w:rPr>
                        <w:rFonts w:ascii="Times New Roman" w:hAnsi="Times New Roman"/>
                      </w:rPr>
                      <w:t>1</w:t>
                    </w:r>
                    <w:r>
                      <w:t>,</w:t>
                    </w:r>
                    <w:r>
                      <w:rPr>
                        <w:rFonts w:ascii="Times New Roman" w:hAnsi="Times New Roman"/>
                      </w:rPr>
                      <w:t>570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4F54E12D"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742335769"/>
              <w:lock w:val="sdtLocked"/>
            </w:sdtPr>
            <w:sdtEndPr/>
            <w:sdtContent>
              <w:tr w:rsidR="00D21C1F" w14:paraId="7AD2579A"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F07C724" w14:textId="77777777" w:rsidR="00D21C1F" w:rsidRDefault="00A42880">
                    <w:pPr>
                      <w:rPr>
                        <w:szCs w:val="21"/>
                      </w:rPr>
                    </w:pPr>
                    <w:r>
                      <w:rPr>
                        <w:rFonts w:ascii="Times New Roman" w:hAnsi="Times New Roman"/>
                      </w:rPr>
                      <w:t>Y100018005</w:t>
                    </w:r>
                  </w:p>
                </w:tc>
                <w:tc>
                  <w:tcPr>
                    <w:tcW w:w="567" w:type="pct"/>
                    <w:tcBorders>
                      <w:top w:val="single" w:sz="4" w:space="0" w:color="auto"/>
                      <w:left w:val="single" w:sz="4" w:space="0" w:color="auto"/>
                      <w:bottom w:val="single" w:sz="4" w:space="0" w:color="auto"/>
                      <w:right w:val="single" w:sz="4" w:space="0" w:color="auto"/>
                    </w:tcBorders>
                    <w:vAlign w:val="center"/>
                  </w:tcPr>
                  <w:p w14:paraId="586F8712" w14:textId="77777777" w:rsidR="00D21C1F" w:rsidRDefault="00A42880">
                    <w:pPr>
                      <w:jc w:val="right"/>
                      <w:rPr>
                        <w:szCs w:val="21"/>
                      </w:rPr>
                    </w:pPr>
                    <w:r>
                      <w:rPr>
                        <w:rFonts w:ascii="Times New Roman" w:hAnsi="Times New Roman"/>
                      </w:rPr>
                      <w:t>1</w:t>
                    </w:r>
                    <w:r>
                      <w:t>,</w:t>
                    </w:r>
                    <w:r>
                      <w:rPr>
                        <w:rFonts w:ascii="Times New Roman" w:hAnsi="Times New Roman"/>
                      </w:rPr>
                      <w:t>166</w:t>
                    </w:r>
                    <w:r>
                      <w:t>,</w:t>
                    </w:r>
                    <w:r>
                      <w:rPr>
                        <w:rFonts w:ascii="Times New Roman" w:hAnsi="Times New Roman"/>
                      </w:rPr>
                      <w:t>400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499D92F5" w14:textId="77777777" w:rsidR="00D21C1F" w:rsidRDefault="00A42880">
                    <w:pPr>
                      <w:jc w:val="right"/>
                      <w:rPr>
                        <w:szCs w:val="21"/>
                      </w:rPr>
                    </w:pPr>
                    <w:r>
                      <w:rPr>
                        <w:rFonts w:ascii="Times New Roman" w:hAnsi="Times New Roman"/>
                      </w:rPr>
                      <w:t>133</w:t>
                    </w:r>
                    <w:r>
                      <w:t>,</w:t>
                    </w:r>
                    <w:r>
                      <w:rPr>
                        <w:rFonts w:ascii="Times New Roman" w:hAnsi="Times New Roman"/>
                      </w:rPr>
                      <w:t>600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center"/>
                  </w:tcPr>
                  <w:p w14:paraId="3D1B9D8A"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7779D7C"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72E17C87"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F73491E" w14:textId="77777777" w:rsidR="00D21C1F" w:rsidRDefault="00A42880">
                    <w:pPr>
                      <w:jc w:val="right"/>
                      <w:rPr>
                        <w:szCs w:val="21"/>
                      </w:rPr>
                    </w:pPr>
                    <w:r>
                      <w:rPr>
                        <w:rFonts w:ascii="Times New Roman" w:hAnsi="Times New Roman"/>
                      </w:rPr>
                      <w:t>1</w:t>
                    </w:r>
                    <w:r>
                      <w:t>,</w:t>
                    </w:r>
                    <w:r>
                      <w:rPr>
                        <w:rFonts w:ascii="Times New Roman" w:hAnsi="Times New Roman"/>
                      </w:rPr>
                      <w:t>300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14C8EA54"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139533409"/>
              <w:lock w:val="sdtLocked"/>
            </w:sdtPr>
            <w:sdtEndPr/>
            <w:sdtContent>
              <w:tr w:rsidR="00D21C1F" w14:paraId="073C2744"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7277ACE6" w14:textId="77777777" w:rsidR="00D21C1F" w:rsidRDefault="00A42880">
                    <w:pPr>
                      <w:rPr>
                        <w:szCs w:val="21"/>
                      </w:rPr>
                    </w:pPr>
                    <w:r>
                      <w:rPr>
                        <w:rFonts w:ascii="Times New Roman" w:hAnsi="Times New Roman"/>
                      </w:rPr>
                      <w:t>Y100019003</w:t>
                    </w:r>
                  </w:p>
                </w:tc>
                <w:tc>
                  <w:tcPr>
                    <w:tcW w:w="567" w:type="pct"/>
                    <w:tcBorders>
                      <w:top w:val="single" w:sz="4" w:space="0" w:color="auto"/>
                      <w:left w:val="single" w:sz="4" w:space="0" w:color="auto"/>
                      <w:bottom w:val="single" w:sz="4" w:space="0" w:color="auto"/>
                      <w:right w:val="single" w:sz="4" w:space="0" w:color="auto"/>
                    </w:tcBorders>
                    <w:vAlign w:val="center"/>
                  </w:tcPr>
                  <w:p w14:paraId="7430DA6E" w14:textId="77777777" w:rsidR="00D21C1F" w:rsidRDefault="00A42880">
                    <w:pPr>
                      <w:jc w:val="right"/>
                      <w:rPr>
                        <w:szCs w:val="21"/>
                      </w:rPr>
                    </w:pPr>
                    <w:r>
                      <w:rPr>
                        <w:rFonts w:ascii="Times New Roman" w:hAnsi="Times New Roman"/>
                      </w:rPr>
                      <w:t>1</w:t>
                    </w:r>
                    <w:r>
                      <w:t>,</w:t>
                    </w:r>
                    <w:r>
                      <w:rPr>
                        <w:rFonts w:ascii="Times New Roman" w:hAnsi="Times New Roman"/>
                      </w:rPr>
                      <w:t>059</w:t>
                    </w:r>
                    <w:r>
                      <w:t>,</w:t>
                    </w:r>
                    <w:r>
                      <w:rPr>
                        <w:rFonts w:ascii="Times New Roman" w:hAnsi="Times New Roman"/>
                      </w:rPr>
                      <w:t>400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113896F0"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43033B19"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DFEF39D"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8D4BD74"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474E8E0" w14:textId="77777777" w:rsidR="00D21C1F" w:rsidRDefault="00A42880">
                    <w:pPr>
                      <w:jc w:val="right"/>
                      <w:rPr>
                        <w:szCs w:val="21"/>
                      </w:rPr>
                    </w:pPr>
                    <w:r>
                      <w:rPr>
                        <w:rFonts w:ascii="Times New Roman" w:hAnsi="Times New Roman"/>
                      </w:rPr>
                      <w:t>1</w:t>
                    </w:r>
                    <w:r>
                      <w:t>,</w:t>
                    </w:r>
                    <w:r>
                      <w:rPr>
                        <w:rFonts w:ascii="Times New Roman" w:hAnsi="Times New Roman"/>
                      </w:rPr>
                      <w:t>059</w:t>
                    </w:r>
                    <w:r>
                      <w:t>,</w:t>
                    </w:r>
                    <w:r>
                      <w:rPr>
                        <w:rFonts w:ascii="Times New Roman" w:hAnsi="Times New Roman"/>
                      </w:rPr>
                      <w:t>400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5416BC21"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981226900"/>
              <w:lock w:val="sdtLocked"/>
            </w:sdtPr>
            <w:sdtEndPr/>
            <w:sdtContent>
              <w:tr w:rsidR="00D21C1F" w14:paraId="46DCCB04"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9BB170C" w14:textId="77777777" w:rsidR="00D21C1F" w:rsidRDefault="00A42880">
                    <w:pPr>
                      <w:rPr>
                        <w:szCs w:val="21"/>
                      </w:rPr>
                    </w:pPr>
                    <w:r>
                      <w:rPr>
                        <w:rFonts w:ascii="Times New Roman" w:hAnsi="Times New Roman"/>
                      </w:rPr>
                      <w:t>Y100018001</w:t>
                    </w:r>
                  </w:p>
                </w:tc>
                <w:tc>
                  <w:tcPr>
                    <w:tcW w:w="567" w:type="pct"/>
                    <w:tcBorders>
                      <w:top w:val="single" w:sz="4" w:space="0" w:color="auto"/>
                      <w:left w:val="single" w:sz="4" w:space="0" w:color="auto"/>
                      <w:bottom w:val="single" w:sz="4" w:space="0" w:color="auto"/>
                      <w:right w:val="single" w:sz="4" w:space="0" w:color="auto"/>
                    </w:tcBorders>
                    <w:vAlign w:val="center"/>
                  </w:tcPr>
                  <w:p w14:paraId="096FFBCF" w14:textId="77777777" w:rsidR="00D21C1F" w:rsidRDefault="00A42880">
                    <w:pPr>
                      <w:jc w:val="right"/>
                      <w:rPr>
                        <w:szCs w:val="21"/>
                      </w:rPr>
                    </w:pPr>
                    <w:r>
                      <w:rPr>
                        <w:rFonts w:ascii="Times New Roman" w:hAnsi="Times New Roman"/>
                      </w:rPr>
                      <w:t>1</w:t>
                    </w:r>
                    <w:r>
                      <w:t>,</w:t>
                    </w:r>
                    <w:r>
                      <w:rPr>
                        <w:rFonts w:ascii="Times New Roman" w:hAnsi="Times New Roman"/>
                      </w:rPr>
                      <w:t>000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281BDC83"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4FE75CCA"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79DF8AFE"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0FE43BC5"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1D5B408" w14:textId="77777777" w:rsidR="00D21C1F" w:rsidRDefault="00A42880">
                    <w:pPr>
                      <w:jc w:val="right"/>
                      <w:rPr>
                        <w:szCs w:val="21"/>
                      </w:rPr>
                    </w:pPr>
                    <w:r>
                      <w:rPr>
                        <w:rFonts w:ascii="Times New Roman" w:hAnsi="Times New Roman"/>
                      </w:rPr>
                      <w:t>1</w:t>
                    </w:r>
                    <w:r>
                      <w:t>,</w:t>
                    </w:r>
                    <w:r>
                      <w:rPr>
                        <w:rFonts w:ascii="Times New Roman" w:hAnsi="Times New Roman"/>
                      </w:rPr>
                      <w:t>000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3E686AFA"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62030505"/>
              <w:lock w:val="sdtLocked"/>
            </w:sdtPr>
            <w:sdtEndPr/>
            <w:sdtContent>
              <w:tr w:rsidR="00D21C1F" w14:paraId="4F15E812"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1F653C43" w14:textId="77777777" w:rsidR="00D21C1F" w:rsidRDefault="00A42880">
                    <w:pPr>
                      <w:rPr>
                        <w:szCs w:val="21"/>
                      </w:rPr>
                    </w:pPr>
                    <w:r>
                      <w:rPr>
                        <w:rFonts w:ascii="Times New Roman" w:hAnsi="Times New Roman"/>
                      </w:rPr>
                      <w:t>Y100019016</w:t>
                    </w:r>
                  </w:p>
                </w:tc>
                <w:tc>
                  <w:tcPr>
                    <w:tcW w:w="567" w:type="pct"/>
                    <w:tcBorders>
                      <w:top w:val="single" w:sz="4" w:space="0" w:color="auto"/>
                      <w:left w:val="single" w:sz="4" w:space="0" w:color="auto"/>
                      <w:bottom w:val="single" w:sz="4" w:space="0" w:color="auto"/>
                      <w:right w:val="single" w:sz="4" w:space="0" w:color="auto"/>
                    </w:tcBorders>
                    <w:vAlign w:val="center"/>
                  </w:tcPr>
                  <w:p w14:paraId="09C587B9" w14:textId="77777777" w:rsidR="00D21C1F" w:rsidRDefault="00A42880">
                    <w:pPr>
                      <w:jc w:val="right"/>
                      <w:rPr>
                        <w:szCs w:val="21"/>
                      </w:rPr>
                    </w:pPr>
                    <w:r>
                      <w:rPr>
                        <w:rFonts w:ascii="Times New Roman" w:hAnsi="Times New Roman"/>
                      </w:rPr>
                      <w:t>1</w:t>
                    </w:r>
                    <w:r>
                      <w:t>,</w:t>
                    </w:r>
                    <w:r>
                      <w:rPr>
                        <w:rFonts w:ascii="Times New Roman" w:hAnsi="Times New Roman"/>
                      </w:rPr>
                      <w:t>000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79F46C37" w14:textId="77777777" w:rsidR="00D21C1F" w:rsidRDefault="00A42880">
                    <w:pPr>
                      <w:jc w:val="right"/>
                      <w:rPr>
                        <w:szCs w:val="21"/>
                      </w:rPr>
                    </w:pPr>
                    <w:r>
                      <w:rPr>
                        <w:rFonts w:ascii="Times New Roman" w:hAnsi="Times New Roman"/>
                      </w:rPr>
                      <w:t>480</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center"/>
                  </w:tcPr>
                  <w:p w14:paraId="30E87A09"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19E6F1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16183ADE"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3A972001" w14:textId="77777777" w:rsidR="00D21C1F" w:rsidRDefault="00A42880">
                    <w:pPr>
                      <w:jc w:val="right"/>
                      <w:rPr>
                        <w:szCs w:val="21"/>
                      </w:rPr>
                    </w:pPr>
                    <w:r>
                      <w:rPr>
                        <w:rFonts w:ascii="Times New Roman" w:hAnsi="Times New Roman"/>
                      </w:rPr>
                      <w:t>1</w:t>
                    </w:r>
                    <w:r>
                      <w:t>,</w:t>
                    </w:r>
                    <w:r>
                      <w:rPr>
                        <w:rFonts w:ascii="Times New Roman" w:hAnsi="Times New Roman"/>
                      </w:rPr>
                      <w:t>480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52B39988"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962418341"/>
              <w:lock w:val="sdtLocked"/>
            </w:sdtPr>
            <w:sdtEndPr/>
            <w:sdtContent>
              <w:tr w:rsidR="00D21C1F" w14:paraId="73676A9E"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1674E970" w14:textId="77777777" w:rsidR="00D21C1F" w:rsidRDefault="00A42880">
                    <w:pPr>
                      <w:rPr>
                        <w:szCs w:val="21"/>
                      </w:rPr>
                    </w:pPr>
                    <w:r>
                      <w:rPr>
                        <w:rFonts w:ascii="Times New Roman" w:hAnsi="Times New Roman"/>
                      </w:rPr>
                      <w:t>Y200018001</w:t>
                    </w:r>
                  </w:p>
                </w:tc>
                <w:tc>
                  <w:tcPr>
                    <w:tcW w:w="567" w:type="pct"/>
                    <w:tcBorders>
                      <w:top w:val="single" w:sz="4" w:space="0" w:color="auto"/>
                      <w:left w:val="single" w:sz="4" w:space="0" w:color="auto"/>
                      <w:bottom w:val="single" w:sz="4" w:space="0" w:color="auto"/>
                      <w:right w:val="single" w:sz="4" w:space="0" w:color="auto"/>
                    </w:tcBorders>
                    <w:vAlign w:val="center"/>
                  </w:tcPr>
                  <w:p w14:paraId="1E2C1A92" w14:textId="77777777" w:rsidR="00D21C1F" w:rsidRDefault="00A42880">
                    <w:pPr>
                      <w:jc w:val="right"/>
                      <w:rPr>
                        <w:szCs w:val="21"/>
                      </w:rPr>
                    </w:pPr>
                    <w:r>
                      <w:rPr>
                        <w:rFonts w:ascii="Times New Roman" w:hAnsi="Times New Roman"/>
                      </w:rPr>
                      <w:t>778</w:t>
                    </w:r>
                    <w:r>
                      <w:t>,</w:t>
                    </w:r>
                    <w:r>
                      <w:rPr>
                        <w:rFonts w:ascii="Times New Roman" w:hAnsi="Times New Roman"/>
                      </w:rPr>
                      <w:t>500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1D042550"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43183279"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12551F95"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6A93F83"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05F68120" w14:textId="77777777" w:rsidR="00D21C1F" w:rsidRDefault="00A42880">
                    <w:pPr>
                      <w:jc w:val="right"/>
                      <w:rPr>
                        <w:szCs w:val="21"/>
                      </w:rPr>
                    </w:pPr>
                    <w:r>
                      <w:rPr>
                        <w:rFonts w:ascii="Times New Roman" w:hAnsi="Times New Roman"/>
                      </w:rPr>
                      <w:t>778</w:t>
                    </w:r>
                    <w:r>
                      <w:t>,</w:t>
                    </w:r>
                    <w:r>
                      <w:rPr>
                        <w:rFonts w:ascii="Times New Roman" w:hAnsi="Times New Roman"/>
                      </w:rPr>
                      <w:t>500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5CC457C1"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2051956374"/>
              <w:lock w:val="sdtLocked"/>
            </w:sdtPr>
            <w:sdtEndPr/>
            <w:sdtContent>
              <w:tr w:rsidR="00D21C1F" w14:paraId="7A8A31C5"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617211A1" w14:textId="77777777" w:rsidR="00D21C1F" w:rsidRDefault="00A42880">
                    <w:pPr>
                      <w:rPr>
                        <w:szCs w:val="21"/>
                      </w:rPr>
                    </w:pPr>
                    <w:r>
                      <w:rPr>
                        <w:rFonts w:ascii="Times New Roman" w:hAnsi="Times New Roman"/>
                      </w:rPr>
                      <w:t>Y100018006</w:t>
                    </w:r>
                  </w:p>
                </w:tc>
                <w:tc>
                  <w:tcPr>
                    <w:tcW w:w="567" w:type="pct"/>
                    <w:tcBorders>
                      <w:top w:val="single" w:sz="4" w:space="0" w:color="auto"/>
                      <w:left w:val="single" w:sz="4" w:space="0" w:color="auto"/>
                      <w:bottom w:val="single" w:sz="4" w:space="0" w:color="auto"/>
                      <w:right w:val="single" w:sz="4" w:space="0" w:color="auto"/>
                    </w:tcBorders>
                    <w:vAlign w:val="center"/>
                  </w:tcPr>
                  <w:p w14:paraId="701B2C6B" w14:textId="77777777" w:rsidR="00D21C1F" w:rsidRDefault="00A42880">
                    <w:pPr>
                      <w:jc w:val="right"/>
                      <w:rPr>
                        <w:szCs w:val="21"/>
                      </w:rPr>
                    </w:pPr>
                    <w:r>
                      <w:rPr>
                        <w:rFonts w:ascii="Times New Roman" w:hAnsi="Times New Roman"/>
                      </w:rPr>
                      <w:t>705</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5D840A64"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2D8F928B"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77F5ADC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27183F27"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683B73E3" w14:textId="77777777" w:rsidR="00D21C1F" w:rsidRDefault="00A42880">
                    <w:pPr>
                      <w:jc w:val="right"/>
                      <w:rPr>
                        <w:szCs w:val="21"/>
                      </w:rPr>
                    </w:pPr>
                    <w:r>
                      <w:rPr>
                        <w:rFonts w:ascii="Times New Roman" w:hAnsi="Times New Roman"/>
                      </w:rPr>
                      <w:t>705</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4BD9B88F"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41584997"/>
              <w:lock w:val="sdtLocked"/>
            </w:sdtPr>
            <w:sdtEndPr/>
            <w:sdtContent>
              <w:tr w:rsidR="00D21C1F" w14:paraId="69CCD640"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2A43B05" w14:textId="77777777" w:rsidR="00D21C1F" w:rsidRDefault="00A42880">
                    <w:pPr>
                      <w:rPr>
                        <w:szCs w:val="21"/>
                      </w:rPr>
                    </w:pPr>
                    <w:r>
                      <w:rPr>
                        <w:rFonts w:ascii="Times New Roman" w:hAnsi="Times New Roman"/>
                      </w:rPr>
                      <w:t>Y100019009</w:t>
                    </w:r>
                  </w:p>
                </w:tc>
                <w:tc>
                  <w:tcPr>
                    <w:tcW w:w="567" w:type="pct"/>
                    <w:tcBorders>
                      <w:top w:val="single" w:sz="4" w:space="0" w:color="auto"/>
                      <w:left w:val="single" w:sz="4" w:space="0" w:color="auto"/>
                      <w:bottom w:val="single" w:sz="4" w:space="0" w:color="auto"/>
                      <w:right w:val="single" w:sz="4" w:space="0" w:color="auto"/>
                    </w:tcBorders>
                    <w:vAlign w:val="center"/>
                  </w:tcPr>
                  <w:p w14:paraId="1178EA63" w14:textId="77777777" w:rsidR="00D21C1F" w:rsidRDefault="00A42880">
                    <w:pPr>
                      <w:jc w:val="right"/>
                      <w:rPr>
                        <w:szCs w:val="21"/>
                      </w:rPr>
                    </w:pPr>
                    <w:r>
                      <w:rPr>
                        <w:rFonts w:ascii="Times New Roman" w:hAnsi="Times New Roman"/>
                      </w:rPr>
                      <w:t>673</w:t>
                    </w:r>
                    <w:r>
                      <w:t>,</w:t>
                    </w:r>
                    <w:r>
                      <w:rPr>
                        <w:rFonts w:ascii="Times New Roman" w:hAnsi="Times New Roman"/>
                      </w:rPr>
                      <w:t>800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66C49AF3"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1F7944F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0A5714F8"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9CC16C8"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3592C256" w14:textId="77777777" w:rsidR="00D21C1F" w:rsidRDefault="00A42880">
                    <w:pPr>
                      <w:jc w:val="right"/>
                      <w:rPr>
                        <w:szCs w:val="21"/>
                      </w:rPr>
                    </w:pPr>
                    <w:r>
                      <w:rPr>
                        <w:rFonts w:ascii="Times New Roman" w:hAnsi="Times New Roman"/>
                      </w:rPr>
                      <w:t>673</w:t>
                    </w:r>
                    <w:r>
                      <w:t>,</w:t>
                    </w:r>
                    <w:r>
                      <w:rPr>
                        <w:rFonts w:ascii="Times New Roman" w:hAnsi="Times New Roman"/>
                      </w:rPr>
                      <w:t>800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5A362240"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149591404"/>
              <w:lock w:val="sdtLocked"/>
            </w:sdtPr>
            <w:sdtEndPr/>
            <w:sdtContent>
              <w:tr w:rsidR="00D21C1F" w14:paraId="6F07AA0C"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72444FC1" w14:textId="77777777" w:rsidR="00D21C1F" w:rsidRDefault="00A42880">
                    <w:pPr>
                      <w:rPr>
                        <w:szCs w:val="21"/>
                      </w:rPr>
                    </w:pPr>
                    <w:r>
                      <w:rPr>
                        <w:rFonts w:ascii="Times New Roman" w:hAnsi="Times New Roman"/>
                      </w:rPr>
                      <w:t>Y100019018</w:t>
                    </w:r>
                  </w:p>
                </w:tc>
                <w:tc>
                  <w:tcPr>
                    <w:tcW w:w="567" w:type="pct"/>
                    <w:tcBorders>
                      <w:top w:val="single" w:sz="4" w:space="0" w:color="auto"/>
                      <w:left w:val="single" w:sz="4" w:space="0" w:color="auto"/>
                      <w:bottom w:val="single" w:sz="4" w:space="0" w:color="auto"/>
                      <w:right w:val="single" w:sz="4" w:space="0" w:color="auto"/>
                    </w:tcBorders>
                    <w:vAlign w:val="center"/>
                  </w:tcPr>
                  <w:p w14:paraId="41B49EA4" w14:textId="77777777" w:rsidR="00D21C1F" w:rsidRDefault="00A42880">
                    <w:pPr>
                      <w:jc w:val="right"/>
                      <w:rPr>
                        <w:szCs w:val="21"/>
                      </w:rPr>
                    </w:pPr>
                    <w:r>
                      <w:rPr>
                        <w:rFonts w:ascii="Times New Roman" w:hAnsi="Times New Roman"/>
                      </w:rPr>
                      <w:t>648</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4936D969" w14:textId="77777777" w:rsidR="00D21C1F" w:rsidRDefault="00A42880">
                    <w:pPr>
                      <w:jc w:val="right"/>
                      <w:rPr>
                        <w:szCs w:val="21"/>
                      </w:rPr>
                    </w:pPr>
                    <w:r>
                      <w:rPr>
                        <w:rFonts w:ascii="Times New Roman" w:hAnsi="Times New Roman"/>
                      </w:rPr>
                      <w:t>648</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center"/>
                  </w:tcPr>
                  <w:p w14:paraId="583F7732"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15CCA22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67504E9"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324A4393" w14:textId="77777777" w:rsidR="00D21C1F" w:rsidRDefault="00A42880">
                    <w:pPr>
                      <w:jc w:val="right"/>
                      <w:rPr>
                        <w:szCs w:val="21"/>
                      </w:rPr>
                    </w:pPr>
                    <w:r>
                      <w:rPr>
                        <w:rFonts w:ascii="Times New Roman" w:hAnsi="Times New Roman"/>
                      </w:rPr>
                      <w:t>1</w:t>
                    </w:r>
                    <w:r>
                      <w:t>,</w:t>
                    </w:r>
                    <w:r>
                      <w:rPr>
                        <w:rFonts w:ascii="Times New Roman" w:hAnsi="Times New Roman"/>
                      </w:rPr>
                      <w:t>296</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660F2B94"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644582624"/>
              <w:lock w:val="sdtLocked"/>
            </w:sdtPr>
            <w:sdtEndPr/>
            <w:sdtContent>
              <w:tr w:rsidR="00D21C1F" w14:paraId="0134340C"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14139409" w14:textId="77777777" w:rsidR="00D21C1F" w:rsidRDefault="00A42880">
                    <w:pPr>
                      <w:rPr>
                        <w:szCs w:val="21"/>
                      </w:rPr>
                    </w:pPr>
                    <w:r>
                      <w:rPr>
                        <w:rFonts w:ascii="Times New Roman" w:hAnsi="Times New Roman"/>
                      </w:rPr>
                      <w:t>Y100019021</w:t>
                    </w:r>
                  </w:p>
                </w:tc>
                <w:tc>
                  <w:tcPr>
                    <w:tcW w:w="567" w:type="pct"/>
                    <w:tcBorders>
                      <w:top w:val="single" w:sz="4" w:space="0" w:color="auto"/>
                      <w:left w:val="single" w:sz="4" w:space="0" w:color="auto"/>
                      <w:bottom w:val="single" w:sz="4" w:space="0" w:color="auto"/>
                      <w:right w:val="single" w:sz="4" w:space="0" w:color="auto"/>
                    </w:tcBorders>
                    <w:vAlign w:val="center"/>
                  </w:tcPr>
                  <w:p w14:paraId="4E22D28B" w14:textId="77777777" w:rsidR="00D21C1F" w:rsidRDefault="00A42880">
                    <w:pPr>
                      <w:jc w:val="right"/>
                      <w:rPr>
                        <w:szCs w:val="21"/>
                      </w:rPr>
                    </w:pPr>
                    <w:r>
                      <w:rPr>
                        <w:rFonts w:ascii="Times New Roman" w:hAnsi="Times New Roman"/>
                      </w:rPr>
                      <w:t>619</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28F3FDF5"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33626337"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0850C32"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6B31C47C"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6F4BBF95" w14:textId="77777777" w:rsidR="00D21C1F" w:rsidRDefault="00A42880">
                    <w:pPr>
                      <w:jc w:val="right"/>
                      <w:rPr>
                        <w:szCs w:val="21"/>
                      </w:rPr>
                    </w:pPr>
                    <w:r>
                      <w:rPr>
                        <w:rFonts w:ascii="Times New Roman" w:hAnsi="Times New Roman"/>
                      </w:rPr>
                      <w:t>619</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48019EC1"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2089678190"/>
              <w:lock w:val="sdtLocked"/>
            </w:sdtPr>
            <w:sdtEndPr/>
            <w:sdtContent>
              <w:tr w:rsidR="00D21C1F" w14:paraId="1D4DC5CC"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4ABD7358" w14:textId="77777777" w:rsidR="00D21C1F" w:rsidRDefault="00A42880">
                    <w:pPr>
                      <w:rPr>
                        <w:szCs w:val="21"/>
                      </w:rPr>
                    </w:pPr>
                    <w:r>
                      <w:rPr>
                        <w:rFonts w:ascii="Times New Roman" w:hAnsi="Times New Roman"/>
                      </w:rPr>
                      <w:t>Y100019008</w:t>
                    </w:r>
                  </w:p>
                </w:tc>
                <w:tc>
                  <w:tcPr>
                    <w:tcW w:w="567" w:type="pct"/>
                    <w:tcBorders>
                      <w:top w:val="single" w:sz="4" w:space="0" w:color="auto"/>
                      <w:left w:val="single" w:sz="4" w:space="0" w:color="auto"/>
                      <w:bottom w:val="single" w:sz="4" w:space="0" w:color="auto"/>
                      <w:right w:val="single" w:sz="4" w:space="0" w:color="auto"/>
                    </w:tcBorders>
                    <w:vAlign w:val="center"/>
                  </w:tcPr>
                  <w:p w14:paraId="60FEDFA5" w14:textId="77777777" w:rsidR="00D21C1F" w:rsidRDefault="00A42880">
                    <w:pPr>
                      <w:jc w:val="right"/>
                      <w:rPr>
                        <w:szCs w:val="21"/>
                      </w:rPr>
                    </w:pPr>
                    <w:r>
                      <w:rPr>
                        <w:rFonts w:ascii="Times New Roman" w:hAnsi="Times New Roman"/>
                      </w:rPr>
                      <w:t>560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2CD698BB"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3FAE04F7"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12015911"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58C292C7"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3B85BF93" w14:textId="77777777" w:rsidR="00D21C1F" w:rsidRDefault="00A42880">
                    <w:pPr>
                      <w:jc w:val="right"/>
                      <w:rPr>
                        <w:szCs w:val="21"/>
                      </w:rPr>
                    </w:pPr>
                    <w:r>
                      <w:rPr>
                        <w:rFonts w:ascii="Times New Roman" w:hAnsi="Times New Roman"/>
                      </w:rPr>
                      <w:t>560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151337BB"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605803616"/>
              <w:lock w:val="sdtLocked"/>
            </w:sdtPr>
            <w:sdtEndPr/>
            <w:sdtContent>
              <w:tr w:rsidR="00D21C1F" w14:paraId="04811C8A"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4BA9D3D0" w14:textId="77777777" w:rsidR="00D21C1F" w:rsidRDefault="00A42880">
                    <w:pPr>
                      <w:rPr>
                        <w:szCs w:val="21"/>
                      </w:rPr>
                    </w:pPr>
                    <w:r>
                      <w:rPr>
                        <w:rFonts w:ascii="Times New Roman" w:hAnsi="Times New Roman"/>
                      </w:rPr>
                      <w:t>Y100019020</w:t>
                    </w:r>
                  </w:p>
                </w:tc>
                <w:tc>
                  <w:tcPr>
                    <w:tcW w:w="567" w:type="pct"/>
                    <w:tcBorders>
                      <w:top w:val="single" w:sz="4" w:space="0" w:color="auto"/>
                      <w:left w:val="single" w:sz="4" w:space="0" w:color="auto"/>
                      <w:bottom w:val="single" w:sz="4" w:space="0" w:color="auto"/>
                      <w:right w:val="single" w:sz="4" w:space="0" w:color="auto"/>
                    </w:tcBorders>
                    <w:vAlign w:val="center"/>
                  </w:tcPr>
                  <w:p w14:paraId="4D2FAEF3" w14:textId="77777777" w:rsidR="00D21C1F" w:rsidRDefault="00A42880">
                    <w:pPr>
                      <w:jc w:val="right"/>
                      <w:rPr>
                        <w:szCs w:val="21"/>
                      </w:rPr>
                    </w:pPr>
                    <w:r>
                      <w:rPr>
                        <w:rFonts w:ascii="Times New Roman" w:hAnsi="Times New Roman"/>
                      </w:rPr>
                      <w:t>556</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395778B2" w14:textId="77777777" w:rsidR="00D21C1F" w:rsidRDefault="00A42880">
                    <w:pPr>
                      <w:jc w:val="right"/>
                      <w:rPr>
                        <w:szCs w:val="21"/>
                      </w:rPr>
                    </w:pPr>
                    <w:r>
                      <w:rPr>
                        <w:rFonts w:ascii="Times New Roman" w:hAnsi="Times New Roman"/>
                      </w:rPr>
                      <w:t>556</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center"/>
                  </w:tcPr>
                  <w:p w14:paraId="6BBE0506"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73D3B881"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1C5A1A7C"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7B6D6FF" w14:textId="77777777" w:rsidR="00D21C1F" w:rsidRDefault="00A42880">
                    <w:pPr>
                      <w:jc w:val="right"/>
                      <w:rPr>
                        <w:szCs w:val="21"/>
                      </w:rPr>
                    </w:pPr>
                    <w:r>
                      <w:rPr>
                        <w:rFonts w:ascii="Times New Roman" w:hAnsi="Times New Roman"/>
                      </w:rPr>
                      <w:t>1</w:t>
                    </w:r>
                    <w:r>
                      <w:t>,</w:t>
                    </w:r>
                    <w:r>
                      <w:rPr>
                        <w:rFonts w:ascii="Times New Roman" w:hAnsi="Times New Roman"/>
                      </w:rPr>
                      <w:t>112</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4C62C735"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441386731"/>
              <w:lock w:val="sdtLocked"/>
            </w:sdtPr>
            <w:sdtEndPr/>
            <w:sdtContent>
              <w:tr w:rsidR="00D21C1F" w14:paraId="6F28CF05"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68309D44" w14:textId="77777777" w:rsidR="00D21C1F" w:rsidRDefault="00A42880">
                    <w:pPr>
                      <w:rPr>
                        <w:szCs w:val="21"/>
                      </w:rPr>
                    </w:pPr>
                    <w:r>
                      <w:rPr>
                        <w:rFonts w:ascii="Times New Roman" w:hAnsi="Times New Roman"/>
                      </w:rPr>
                      <w:t>Y100019002</w:t>
                    </w:r>
                  </w:p>
                </w:tc>
                <w:tc>
                  <w:tcPr>
                    <w:tcW w:w="567" w:type="pct"/>
                    <w:tcBorders>
                      <w:top w:val="single" w:sz="4" w:space="0" w:color="auto"/>
                      <w:left w:val="single" w:sz="4" w:space="0" w:color="auto"/>
                      <w:bottom w:val="single" w:sz="4" w:space="0" w:color="auto"/>
                      <w:right w:val="single" w:sz="4" w:space="0" w:color="auto"/>
                    </w:tcBorders>
                    <w:vAlign w:val="center"/>
                  </w:tcPr>
                  <w:p w14:paraId="2C0E3051" w14:textId="77777777" w:rsidR="00D21C1F" w:rsidRDefault="00A42880">
                    <w:pPr>
                      <w:jc w:val="right"/>
                      <w:rPr>
                        <w:szCs w:val="21"/>
                      </w:rPr>
                    </w:pPr>
                    <w:r>
                      <w:rPr>
                        <w:rFonts w:ascii="Times New Roman" w:hAnsi="Times New Roman"/>
                      </w:rPr>
                      <w:t>534</w:t>
                    </w:r>
                    <w:r>
                      <w:t>,</w:t>
                    </w:r>
                    <w:r>
                      <w:rPr>
                        <w:rFonts w:ascii="Times New Roman" w:hAnsi="Times New Roman"/>
                      </w:rPr>
                      <w:t>600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37605B82" w14:textId="77777777" w:rsidR="00D21C1F" w:rsidRDefault="00A42880">
                    <w:pPr>
                      <w:jc w:val="right"/>
                      <w:rPr>
                        <w:szCs w:val="21"/>
                      </w:rPr>
                    </w:pPr>
                    <w:r>
                      <w:rPr>
                        <w:rFonts w:ascii="Times New Roman" w:hAnsi="Times New Roman"/>
                      </w:rPr>
                      <w:t>1</w:t>
                    </w:r>
                    <w:r>
                      <w:t>,</w:t>
                    </w:r>
                    <w:r>
                      <w:rPr>
                        <w:rFonts w:ascii="Times New Roman" w:hAnsi="Times New Roman"/>
                      </w:rPr>
                      <w:t>694</w:t>
                    </w:r>
                    <w:r>
                      <w:t>,</w:t>
                    </w:r>
                    <w:r>
                      <w:rPr>
                        <w:rFonts w:ascii="Times New Roman" w:hAnsi="Times New Roman"/>
                      </w:rPr>
                      <w:t>179</w:t>
                    </w:r>
                    <w:r>
                      <w:t>.</w:t>
                    </w:r>
                    <w:r>
                      <w:rPr>
                        <w:rFonts w:ascii="Times New Roman" w:hAnsi="Times New Roman"/>
                      </w:rPr>
                      <w:t>31</w:t>
                    </w:r>
                  </w:p>
                </w:tc>
                <w:tc>
                  <w:tcPr>
                    <w:tcW w:w="709" w:type="pct"/>
                    <w:tcBorders>
                      <w:top w:val="single" w:sz="4" w:space="0" w:color="auto"/>
                      <w:left w:val="single" w:sz="4" w:space="0" w:color="auto"/>
                      <w:bottom w:val="single" w:sz="4" w:space="0" w:color="auto"/>
                      <w:right w:val="single" w:sz="4" w:space="0" w:color="auto"/>
                    </w:tcBorders>
                    <w:vAlign w:val="center"/>
                  </w:tcPr>
                  <w:p w14:paraId="06A35A07"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3C1832D"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71D23DDF"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299C7CC3" w14:textId="77777777" w:rsidR="00D21C1F" w:rsidRDefault="00A42880">
                    <w:pPr>
                      <w:jc w:val="right"/>
                      <w:rPr>
                        <w:szCs w:val="21"/>
                      </w:rPr>
                    </w:pPr>
                    <w:r>
                      <w:rPr>
                        <w:rFonts w:ascii="Times New Roman" w:hAnsi="Times New Roman"/>
                      </w:rPr>
                      <w:t>2</w:t>
                    </w:r>
                    <w:r>
                      <w:t>,</w:t>
                    </w:r>
                    <w:r>
                      <w:rPr>
                        <w:rFonts w:ascii="Times New Roman" w:hAnsi="Times New Roman"/>
                      </w:rPr>
                      <w:t>228</w:t>
                    </w:r>
                    <w:r>
                      <w:t>,</w:t>
                    </w:r>
                    <w:r>
                      <w:rPr>
                        <w:rFonts w:ascii="Times New Roman" w:hAnsi="Times New Roman"/>
                      </w:rPr>
                      <w:t>779</w:t>
                    </w:r>
                    <w:r>
                      <w:t>.</w:t>
                    </w:r>
                    <w:r>
                      <w:rPr>
                        <w:rFonts w:ascii="Times New Roman" w:hAnsi="Times New Roman"/>
                      </w:rPr>
                      <w:t>31</w:t>
                    </w:r>
                  </w:p>
                </w:tc>
                <w:tc>
                  <w:tcPr>
                    <w:tcW w:w="730" w:type="pct"/>
                    <w:tcBorders>
                      <w:top w:val="single" w:sz="4" w:space="0" w:color="auto"/>
                      <w:left w:val="single" w:sz="4" w:space="0" w:color="auto"/>
                      <w:bottom w:val="single" w:sz="4" w:space="0" w:color="auto"/>
                      <w:right w:val="single" w:sz="4" w:space="0" w:color="auto"/>
                    </w:tcBorders>
                  </w:tcPr>
                  <w:p w14:paraId="736B1C47"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73071183"/>
              <w:lock w:val="sdtLocked"/>
            </w:sdtPr>
            <w:sdtEndPr/>
            <w:sdtContent>
              <w:tr w:rsidR="00D21C1F" w14:paraId="170139E6"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0B9ADD25" w14:textId="77777777" w:rsidR="00D21C1F" w:rsidRDefault="00A42880">
                    <w:pPr>
                      <w:rPr>
                        <w:szCs w:val="21"/>
                      </w:rPr>
                    </w:pPr>
                    <w:r>
                      <w:rPr>
                        <w:rFonts w:ascii="Times New Roman" w:hAnsi="Times New Roman"/>
                      </w:rPr>
                      <w:t>Y100019010</w:t>
                    </w:r>
                  </w:p>
                </w:tc>
                <w:tc>
                  <w:tcPr>
                    <w:tcW w:w="567" w:type="pct"/>
                    <w:tcBorders>
                      <w:top w:val="single" w:sz="4" w:space="0" w:color="auto"/>
                      <w:left w:val="single" w:sz="4" w:space="0" w:color="auto"/>
                      <w:bottom w:val="single" w:sz="4" w:space="0" w:color="auto"/>
                      <w:right w:val="single" w:sz="4" w:space="0" w:color="auto"/>
                    </w:tcBorders>
                    <w:vAlign w:val="center"/>
                  </w:tcPr>
                  <w:p w14:paraId="4F227E53" w14:textId="77777777" w:rsidR="00D21C1F" w:rsidRDefault="00A42880">
                    <w:pPr>
                      <w:jc w:val="right"/>
                      <w:rPr>
                        <w:szCs w:val="21"/>
                      </w:rPr>
                    </w:pPr>
                    <w:r>
                      <w:rPr>
                        <w:rFonts w:ascii="Times New Roman" w:hAnsi="Times New Roman"/>
                      </w:rPr>
                      <w:t>500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79552498"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5269D161"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0926150"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AAC0331"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403536E" w14:textId="77777777" w:rsidR="00D21C1F" w:rsidRDefault="00A42880">
                    <w:pPr>
                      <w:jc w:val="right"/>
                      <w:rPr>
                        <w:szCs w:val="21"/>
                      </w:rPr>
                    </w:pPr>
                    <w:r>
                      <w:rPr>
                        <w:rFonts w:ascii="Times New Roman" w:hAnsi="Times New Roman"/>
                      </w:rPr>
                      <w:t>500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4EA47AA0"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003508845"/>
              <w:lock w:val="sdtLocked"/>
            </w:sdtPr>
            <w:sdtEndPr/>
            <w:sdtContent>
              <w:tr w:rsidR="00D21C1F" w14:paraId="0BE559ED"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516E401" w14:textId="77777777" w:rsidR="00D21C1F" w:rsidRDefault="00A42880">
                    <w:pPr>
                      <w:rPr>
                        <w:szCs w:val="21"/>
                      </w:rPr>
                    </w:pPr>
                    <w:r>
                      <w:rPr>
                        <w:rFonts w:ascii="Times New Roman" w:hAnsi="Times New Roman"/>
                      </w:rPr>
                      <w:t>Y100018003</w:t>
                    </w:r>
                  </w:p>
                </w:tc>
                <w:tc>
                  <w:tcPr>
                    <w:tcW w:w="567" w:type="pct"/>
                    <w:tcBorders>
                      <w:top w:val="single" w:sz="4" w:space="0" w:color="auto"/>
                      <w:left w:val="single" w:sz="4" w:space="0" w:color="auto"/>
                      <w:bottom w:val="single" w:sz="4" w:space="0" w:color="auto"/>
                      <w:right w:val="single" w:sz="4" w:space="0" w:color="auto"/>
                    </w:tcBorders>
                    <w:vAlign w:val="center"/>
                  </w:tcPr>
                  <w:p w14:paraId="7A35BDB8" w14:textId="77777777" w:rsidR="00D21C1F" w:rsidRDefault="00A42880">
                    <w:pPr>
                      <w:jc w:val="right"/>
                      <w:rPr>
                        <w:szCs w:val="21"/>
                      </w:rPr>
                    </w:pPr>
                    <w:r>
                      <w:rPr>
                        <w:rFonts w:ascii="Times New Roman" w:hAnsi="Times New Roman"/>
                      </w:rPr>
                      <w:t>444</w:t>
                    </w:r>
                    <w:r>
                      <w:t>,</w:t>
                    </w:r>
                    <w:r>
                      <w:rPr>
                        <w:rFonts w:ascii="Times New Roman" w:hAnsi="Times New Roman"/>
                      </w:rPr>
                      <w:t>100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7ABC475B"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240A76A8"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076C39A"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273ACA1B"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15683B83" w14:textId="77777777" w:rsidR="00D21C1F" w:rsidRDefault="00A42880">
                    <w:pPr>
                      <w:jc w:val="right"/>
                      <w:rPr>
                        <w:szCs w:val="21"/>
                      </w:rPr>
                    </w:pPr>
                    <w:r>
                      <w:rPr>
                        <w:rFonts w:ascii="Times New Roman" w:hAnsi="Times New Roman"/>
                      </w:rPr>
                      <w:t>444</w:t>
                    </w:r>
                    <w:r>
                      <w:t>,</w:t>
                    </w:r>
                    <w:r>
                      <w:rPr>
                        <w:rFonts w:ascii="Times New Roman" w:hAnsi="Times New Roman"/>
                      </w:rPr>
                      <w:t>100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5ABFD1ED"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995913076"/>
              <w:lock w:val="sdtLocked"/>
            </w:sdtPr>
            <w:sdtEndPr/>
            <w:sdtContent>
              <w:tr w:rsidR="00D21C1F" w14:paraId="7CB1CAF8"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78B790FE" w14:textId="77777777" w:rsidR="00D21C1F" w:rsidRDefault="00A42880">
                    <w:pPr>
                      <w:rPr>
                        <w:szCs w:val="21"/>
                      </w:rPr>
                    </w:pPr>
                    <w:r>
                      <w:rPr>
                        <w:rFonts w:ascii="Times New Roman" w:hAnsi="Times New Roman"/>
                      </w:rPr>
                      <w:t>B100019001</w:t>
                    </w:r>
                  </w:p>
                </w:tc>
                <w:tc>
                  <w:tcPr>
                    <w:tcW w:w="567" w:type="pct"/>
                    <w:tcBorders>
                      <w:top w:val="single" w:sz="4" w:space="0" w:color="auto"/>
                      <w:left w:val="single" w:sz="4" w:space="0" w:color="auto"/>
                      <w:bottom w:val="single" w:sz="4" w:space="0" w:color="auto"/>
                      <w:right w:val="single" w:sz="4" w:space="0" w:color="auto"/>
                    </w:tcBorders>
                    <w:vAlign w:val="center"/>
                  </w:tcPr>
                  <w:p w14:paraId="35424D72" w14:textId="77777777" w:rsidR="00D21C1F" w:rsidRDefault="00A42880">
                    <w:pPr>
                      <w:jc w:val="right"/>
                      <w:rPr>
                        <w:szCs w:val="21"/>
                      </w:rPr>
                    </w:pPr>
                    <w:r>
                      <w:rPr>
                        <w:rFonts w:ascii="Times New Roman" w:hAnsi="Times New Roman"/>
                      </w:rPr>
                      <w:t>416</w:t>
                    </w:r>
                    <w:r>
                      <w:t>,</w:t>
                    </w:r>
                    <w:r>
                      <w:rPr>
                        <w:rFonts w:ascii="Times New Roman" w:hAnsi="Times New Roman"/>
                      </w:rPr>
                      <w:t>883</w:t>
                    </w:r>
                    <w:r>
                      <w:t>.</w:t>
                    </w:r>
                    <w:r>
                      <w:rPr>
                        <w:rFonts w:ascii="Times New Roman" w:hAnsi="Times New Roman"/>
                      </w:rPr>
                      <w:t>28</w:t>
                    </w:r>
                  </w:p>
                </w:tc>
                <w:tc>
                  <w:tcPr>
                    <w:tcW w:w="653" w:type="pct"/>
                    <w:tcBorders>
                      <w:top w:val="single" w:sz="4" w:space="0" w:color="auto"/>
                      <w:left w:val="single" w:sz="4" w:space="0" w:color="auto"/>
                      <w:bottom w:val="single" w:sz="4" w:space="0" w:color="auto"/>
                      <w:right w:val="single" w:sz="4" w:space="0" w:color="auto"/>
                    </w:tcBorders>
                    <w:vAlign w:val="center"/>
                  </w:tcPr>
                  <w:p w14:paraId="4BA1DAEA"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1B582E4F"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20F54460" w14:textId="77777777" w:rsidR="00D21C1F" w:rsidRDefault="00A42880">
                    <w:pPr>
                      <w:jc w:val="right"/>
                      <w:rPr>
                        <w:szCs w:val="21"/>
                      </w:rPr>
                    </w:pPr>
                    <w:r>
                      <w:rPr>
                        <w:rFonts w:ascii="Times New Roman" w:hAnsi="Times New Roman"/>
                      </w:rPr>
                      <w:t>89</w:t>
                    </w:r>
                    <w:r>
                      <w:t>,</w:t>
                    </w:r>
                    <w:r>
                      <w:rPr>
                        <w:rFonts w:ascii="Times New Roman" w:hAnsi="Times New Roman"/>
                      </w:rPr>
                      <w:t>500</w:t>
                    </w:r>
                    <w:r>
                      <w:t>.</w:t>
                    </w:r>
                    <w:r>
                      <w:rPr>
                        <w:rFonts w:ascii="Times New Roman" w:hAnsi="Times New Roman"/>
                      </w:rPr>
                      <w:t>02</w:t>
                    </w:r>
                  </w:p>
                </w:tc>
                <w:tc>
                  <w:tcPr>
                    <w:tcW w:w="601" w:type="pct"/>
                    <w:tcBorders>
                      <w:top w:val="single" w:sz="4" w:space="0" w:color="auto"/>
                      <w:left w:val="single" w:sz="4" w:space="0" w:color="auto"/>
                      <w:bottom w:val="single" w:sz="4" w:space="0" w:color="auto"/>
                      <w:right w:val="single" w:sz="4" w:space="0" w:color="auto"/>
                    </w:tcBorders>
                    <w:vAlign w:val="center"/>
                  </w:tcPr>
                  <w:p w14:paraId="7C4CC8C6"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28BF5316" w14:textId="77777777" w:rsidR="00D21C1F" w:rsidRDefault="00A42880">
                    <w:pPr>
                      <w:jc w:val="right"/>
                      <w:rPr>
                        <w:szCs w:val="21"/>
                      </w:rPr>
                    </w:pPr>
                    <w:r>
                      <w:rPr>
                        <w:rFonts w:ascii="Times New Roman" w:hAnsi="Times New Roman"/>
                      </w:rPr>
                      <w:t>327</w:t>
                    </w:r>
                    <w:r>
                      <w:t>,</w:t>
                    </w:r>
                    <w:r>
                      <w:rPr>
                        <w:rFonts w:ascii="Times New Roman" w:hAnsi="Times New Roman"/>
                      </w:rPr>
                      <w:t>383</w:t>
                    </w:r>
                    <w:r>
                      <w:t>.</w:t>
                    </w:r>
                    <w:r>
                      <w:rPr>
                        <w:rFonts w:ascii="Times New Roman" w:hAnsi="Times New Roman"/>
                      </w:rPr>
                      <w:t>26</w:t>
                    </w:r>
                  </w:p>
                </w:tc>
                <w:tc>
                  <w:tcPr>
                    <w:tcW w:w="730" w:type="pct"/>
                    <w:tcBorders>
                      <w:top w:val="single" w:sz="4" w:space="0" w:color="auto"/>
                      <w:left w:val="single" w:sz="4" w:space="0" w:color="auto"/>
                      <w:bottom w:val="single" w:sz="4" w:space="0" w:color="auto"/>
                      <w:right w:val="single" w:sz="4" w:space="0" w:color="auto"/>
                    </w:tcBorders>
                  </w:tcPr>
                  <w:p w14:paraId="4EE32FE9" w14:textId="77777777" w:rsidR="00D21C1F" w:rsidRDefault="00A42880">
                    <w:pPr>
                      <w:rPr>
                        <w:szCs w:val="21"/>
                      </w:rPr>
                    </w:pPr>
                    <w:r>
                      <w:t>与资产相关</w:t>
                    </w:r>
                  </w:p>
                </w:tc>
              </w:tr>
            </w:sdtContent>
          </w:sdt>
          <w:sdt>
            <w:sdtPr>
              <w:rPr>
                <w:szCs w:val="21"/>
              </w:rPr>
              <w:alias w:val="涉及政府补助的负债项目明细"/>
              <w:tag w:val="_GBC_57fa178d03fa46a3befea9bbb3ebc131"/>
              <w:id w:val="-1077668192"/>
              <w:lock w:val="sdtLocked"/>
            </w:sdtPr>
            <w:sdtEndPr/>
            <w:sdtContent>
              <w:tr w:rsidR="00D21C1F" w14:paraId="11884D20"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4BC47751" w14:textId="77777777" w:rsidR="00D21C1F" w:rsidRDefault="00A42880">
                    <w:pPr>
                      <w:rPr>
                        <w:szCs w:val="21"/>
                      </w:rPr>
                    </w:pPr>
                    <w:r>
                      <w:rPr>
                        <w:rFonts w:ascii="Times New Roman" w:hAnsi="Times New Roman"/>
                      </w:rPr>
                      <w:t>Y200019001</w:t>
                    </w:r>
                  </w:p>
                </w:tc>
                <w:tc>
                  <w:tcPr>
                    <w:tcW w:w="567" w:type="pct"/>
                    <w:tcBorders>
                      <w:top w:val="single" w:sz="4" w:space="0" w:color="auto"/>
                      <w:left w:val="single" w:sz="4" w:space="0" w:color="auto"/>
                      <w:bottom w:val="single" w:sz="4" w:space="0" w:color="auto"/>
                      <w:right w:val="single" w:sz="4" w:space="0" w:color="auto"/>
                    </w:tcBorders>
                    <w:vAlign w:val="center"/>
                  </w:tcPr>
                  <w:p w14:paraId="4B223591" w14:textId="77777777" w:rsidR="00D21C1F" w:rsidRDefault="00A42880">
                    <w:pPr>
                      <w:jc w:val="right"/>
                      <w:rPr>
                        <w:szCs w:val="21"/>
                      </w:rPr>
                    </w:pPr>
                    <w:r>
                      <w:rPr>
                        <w:rFonts w:ascii="Times New Roman" w:hAnsi="Times New Roman"/>
                      </w:rPr>
                      <w:t>403</w:t>
                    </w:r>
                    <w:r>
                      <w:t>,</w:t>
                    </w:r>
                    <w:r>
                      <w:rPr>
                        <w:rFonts w:ascii="Times New Roman" w:hAnsi="Times New Roman"/>
                      </w:rPr>
                      <w:t>400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7A6DDF07"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64120A33"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231E2DB5"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57CC30CD"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F78FD37" w14:textId="77777777" w:rsidR="00D21C1F" w:rsidRDefault="00A42880">
                    <w:pPr>
                      <w:jc w:val="right"/>
                      <w:rPr>
                        <w:szCs w:val="21"/>
                      </w:rPr>
                    </w:pPr>
                    <w:r>
                      <w:rPr>
                        <w:rFonts w:ascii="Times New Roman" w:hAnsi="Times New Roman"/>
                      </w:rPr>
                      <w:t>403</w:t>
                    </w:r>
                    <w:r>
                      <w:t>,</w:t>
                    </w:r>
                    <w:r>
                      <w:rPr>
                        <w:rFonts w:ascii="Times New Roman" w:hAnsi="Times New Roman"/>
                      </w:rPr>
                      <w:t>400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6F971187"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236974041"/>
              <w:lock w:val="sdtLocked"/>
            </w:sdtPr>
            <w:sdtEndPr/>
            <w:sdtContent>
              <w:tr w:rsidR="00D21C1F" w14:paraId="50216549"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35037973" w14:textId="77777777" w:rsidR="00D21C1F" w:rsidRDefault="00A42880">
                    <w:pPr>
                      <w:rPr>
                        <w:szCs w:val="21"/>
                      </w:rPr>
                    </w:pPr>
                    <w:r>
                      <w:rPr>
                        <w:rFonts w:ascii="Times New Roman" w:hAnsi="Times New Roman"/>
                      </w:rPr>
                      <w:t>Y200018003</w:t>
                    </w:r>
                  </w:p>
                </w:tc>
                <w:tc>
                  <w:tcPr>
                    <w:tcW w:w="567" w:type="pct"/>
                    <w:tcBorders>
                      <w:top w:val="single" w:sz="4" w:space="0" w:color="auto"/>
                      <w:left w:val="single" w:sz="4" w:space="0" w:color="auto"/>
                      <w:bottom w:val="single" w:sz="4" w:space="0" w:color="auto"/>
                      <w:right w:val="single" w:sz="4" w:space="0" w:color="auto"/>
                    </w:tcBorders>
                    <w:vAlign w:val="center"/>
                  </w:tcPr>
                  <w:p w14:paraId="61570CCA" w14:textId="77777777" w:rsidR="00D21C1F" w:rsidRDefault="00A42880">
                    <w:pPr>
                      <w:jc w:val="right"/>
                      <w:rPr>
                        <w:szCs w:val="21"/>
                      </w:rPr>
                    </w:pPr>
                    <w:r>
                      <w:rPr>
                        <w:rFonts w:ascii="Times New Roman" w:hAnsi="Times New Roman"/>
                      </w:rPr>
                      <w:t>400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63927D51"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05DE87C3"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50AF691"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50A1F164"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6FB66590" w14:textId="77777777" w:rsidR="00D21C1F" w:rsidRDefault="00A42880">
                    <w:pPr>
                      <w:jc w:val="right"/>
                      <w:rPr>
                        <w:szCs w:val="21"/>
                      </w:rPr>
                    </w:pPr>
                    <w:r>
                      <w:rPr>
                        <w:rFonts w:ascii="Times New Roman" w:hAnsi="Times New Roman"/>
                      </w:rPr>
                      <w:t>400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43633628"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416524357"/>
              <w:lock w:val="sdtLocked"/>
            </w:sdtPr>
            <w:sdtEndPr/>
            <w:sdtContent>
              <w:tr w:rsidR="00D21C1F" w14:paraId="47E90D13"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C3789AC" w14:textId="77777777" w:rsidR="00D21C1F" w:rsidRDefault="00A42880">
                    <w:pPr>
                      <w:rPr>
                        <w:szCs w:val="21"/>
                      </w:rPr>
                    </w:pPr>
                    <w:r>
                      <w:rPr>
                        <w:rFonts w:ascii="Times New Roman" w:hAnsi="Times New Roman"/>
                      </w:rPr>
                      <w:t>Y100018002</w:t>
                    </w:r>
                  </w:p>
                </w:tc>
                <w:tc>
                  <w:tcPr>
                    <w:tcW w:w="567" w:type="pct"/>
                    <w:tcBorders>
                      <w:top w:val="single" w:sz="4" w:space="0" w:color="auto"/>
                      <w:left w:val="single" w:sz="4" w:space="0" w:color="auto"/>
                      <w:bottom w:val="single" w:sz="4" w:space="0" w:color="auto"/>
                      <w:right w:val="single" w:sz="4" w:space="0" w:color="auto"/>
                    </w:tcBorders>
                    <w:vAlign w:val="center"/>
                  </w:tcPr>
                  <w:p w14:paraId="69A95164" w14:textId="77777777" w:rsidR="00D21C1F" w:rsidRDefault="00A42880">
                    <w:pPr>
                      <w:jc w:val="right"/>
                      <w:rPr>
                        <w:szCs w:val="21"/>
                      </w:rPr>
                    </w:pPr>
                    <w:r>
                      <w:rPr>
                        <w:rFonts w:ascii="Times New Roman" w:hAnsi="Times New Roman"/>
                      </w:rPr>
                      <w:t>354</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center"/>
                  </w:tcPr>
                  <w:p w14:paraId="1FA4553A"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7E665B1F"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37C2B849"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4424A475"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4CC5F179" w14:textId="77777777" w:rsidR="00D21C1F" w:rsidRDefault="00A42880">
                    <w:pPr>
                      <w:jc w:val="right"/>
                      <w:rPr>
                        <w:szCs w:val="21"/>
                      </w:rPr>
                    </w:pPr>
                    <w:r>
                      <w:rPr>
                        <w:rFonts w:ascii="Times New Roman" w:hAnsi="Times New Roman"/>
                      </w:rPr>
                      <w:t>354</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60CD880C"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136785322"/>
              <w:lock w:val="sdtLocked"/>
            </w:sdtPr>
            <w:sdtEndPr/>
            <w:sdtContent>
              <w:tr w:rsidR="00D21C1F" w14:paraId="65953D3E"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52A76E23" w14:textId="77777777" w:rsidR="00D21C1F" w:rsidRDefault="00A42880">
                    <w:pPr>
                      <w:rPr>
                        <w:szCs w:val="21"/>
                      </w:rPr>
                    </w:pPr>
                    <w:r>
                      <w:rPr>
                        <w:rFonts w:ascii="Times New Roman" w:hAnsi="Times New Roman"/>
                      </w:rPr>
                      <w:t>Y100011004</w:t>
                    </w:r>
                  </w:p>
                </w:tc>
                <w:tc>
                  <w:tcPr>
                    <w:tcW w:w="567" w:type="pct"/>
                    <w:tcBorders>
                      <w:top w:val="single" w:sz="4" w:space="0" w:color="auto"/>
                      <w:left w:val="single" w:sz="4" w:space="0" w:color="auto"/>
                      <w:bottom w:val="single" w:sz="4" w:space="0" w:color="auto"/>
                      <w:right w:val="single" w:sz="4" w:space="0" w:color="auto"/>
                    </w:tcBorders>
                    <w:vAlign w:val="center"/>
                  </w:tcPr>
                  <w:p w14:paraId="7C39258E" w14:textId="77777777" w:rsidR="00D21C1F" w:rsidRDefault="00A42880">
                    <w:pPr>
                      <w:jc w:val="right"/>
                      <w:rPr>
                        <w:szCs w:val="21"/>
                      </w:rPr>
                    </w:pPr>
                    <w:r>
                      <w:rPr>
                        <w:rFonts w:ascii="Times New Roman" w:hAnsi="Times New Roman"/>
                      </w:rPr>
                      <w:t>303</w:t>
                    </w:r>
                    <w:r>
                      <w:t>,</w:t>
                    </w:r>
                    <w:r>
                      <w:rPr>
                        <w:rFonts w:ascii="Times New Roman" w:hAnsi="Times New Roman"/>
                      </w:rPr>
                      <w:t>268</w:t>
                    </w:r>
                    <w:r>
                      <w:t>.</w:t>
                    </w:r>
                    <w:r>
                      <w:rPr>
                        <w:rFonts w:ascii="Times New Roman" w:hAnsi="Times New Roman"/>
                      </w:rPr>
                      <w:t>98</w:t>
                    </w:r>
                  </w:p>
                </w:tc>
                <w:tc>
                  <w:tcPr>
                    <w:tcW w:w="653" w:type="pct"/>
                    <w:tcBorders>
                      <w:top w:val="single" w:sz="4" w:space="0" w:color="auto"/>
                      <w:left w:val="single" w:sz="4" w:space="0" w:color="auto"/>
                      <w:bottom w:val="single" w:sz="4" w:space="0" w:color="auto"/>
                      <w:right w:val="single" w:sz="4" w:space="0" w:color="auto"/>
                    </w:tcBorders>
                    <w:vAlign w:val="center"/>
                  </w:tcPr>
                  <w:p w14:paraId="3762A78E"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center"/>
                  </w:tcPr>
                  <w:p w14:paraId="5EC2CCDF"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center"/>
                  </w:tcPr>
                  <w:p w14:paraId="723A827E" w14:textId="77777777" w:rsidR="00D21C1F" w:rsidRDefault="00A42880">
                    <w:pPr>
                      <w:jc w:val="right"/>
                      <w:rPr>
                        <w:szCs w:val="21"/>
                      </w:rPr>
                    </w:pPr>
                    <w:r>
                      <w:rPr>
                        <w:rFonts w:ascii="Times New Roman" w:hAnsi="Times New Roman"/>
                      </w:rPr>
                      <w:t>79</w:t>
                    </w:r>
                    <w:r>
                      <w:t>,</w:t>
                    </w:r>
                    <w:r>
                      <w:rPr>
                        <w:rFonts w:ascii="Times New Roman" w:hAnsi="Times New Roman"/>
                      </w:rPr>
                      <w:t>999</w:t>
                    </w:r>
                    <w:r>
                      <w:t>.</w:t>
                    </w:r>
                    <w:r>
                      <w:rPr>
                        <w:rFonts w:ascii="Times New Roman" w:hAnsi="Times New Roman"/>
                      </w:rPr>
                      <w:t>98</w:t>
                    </w:r>
                  </w:p>
                </w:tc>
                <w:tc>
                  <w:tcPr>
                    <w:tcW w:w="601" w:type="pct"/>
                    <w:tcBorders>
                      <w:top w:val="single" w:sz="4" w:space="0" w:color="auto"/>
                      <w:left w:val="single" w:sz="4" w:space="0" w:color="auto"/>
                      <w:bottom w:val="single" w:sz="4" w:space="0" w:color="auto"/>
                      <w:right w:val="single" w:sz="4" w:space="0" w:color="auto"/>
                    </w:tcBorders>
                    <w:vAlign w:val="center"/>
                  </w:tcPr>
                  <w:p w14:paraId="49AD02CD"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center"/>
                  </w:tcPr>
                  <w:p w14:paraId="0D514306" w14:textId="77777777" w:rsidR="00D21C1F" w:rsidRDefault="00A42880">
                    <w:pPr>
                      <w:jc w:val="right"/>
                      <w:rPr>
                        <w:szCs w:val="21"/>
                      </w:rPr>
                    </w:pPr>
                    <w:r>
                      <w:rPr>
                        <w:rFonts w:ascii="Times New Roman" w:hAnsi="Times New Roman"/>
                      </w:rPr>
                      <w:t>223</w:t>
                    </w:r>
                    <w:r>
                      <w:t>,</w:t>
                    </w:r>
                    <w:r>
                      <w:rPr>
                        <w:rFonts w:ascii="Times New Roman" w:hAnsi="Times New Roman"/>
                      </w:rPr>
                      <w:t>269</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0184FAC6" w14:textId="77777777" w:rsidR="00D21C1F" w:rsidRDefault="00A42880">
                    <w:pPr>
                      <w:rPr>
                        <w:szCs w:val="21"/>
                      </w:rPr>
                    </w:pPr>
                    <w:r>
                      <w:t>与资产相关</w:t>
                    </w:r>
                  </w:p>
                </w:tc>
              </w:tr>
            </w:sdtContent>
          </w:sdt>
          <w:sdt>
            <w:sdtPr>
              <w:rPr>
                <w:szCs w:val="21"/>
              </w:rPr>
              <w:alias w:val="涉及政府补助的负债项目明细"/>
              <w:tag w:val="_GBC_57fa178d03fa46a3befea9bbb3ebc131"/>
              <w:id w:val="446056943"/>
              <w:lock w:val="sdtLocked"/>
            </w:sdtPr>
            <w:sdtEndPr/>
            <w:sdtContent>
              <w:tr w:rsidR="00D21C1F" w14:paraId="30CBC0CF"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95B6006" w14:textId="77777777" w:rsidR="00D21C1F" w:rsidRDefault="00A42880">
                    <w:pPr>
                      <w:rPr>
                        <w:szCs w:val="21"/>
                      </w:rPr>
                    </w:pPr>
                    <w:r>
                      <w:rPr>
                        <w:rFonts w:ascii="Times New Roman" w:hAnsi="Times New Roman"/>
                      </w:rPr>
                      <w:t>Y100019006</w:t>
                    </w:r>
                  </w:p>
                </w:tc>
                <w:tc>
                  <w:tcPr>
                    <w:tcW w:w="567" w:type="pct"/>
                    <w:tcBorders>
                      <w:top w:val="single" w:sz="4" w:space="0" w:color="auto"/>
                      <w:left w:val="single" w:sz="4" w:space="0" w:color="auto"/>
                      <w:bottom w:val="single" w:sz="4" w:space="0" w:color="auto"/>
                      <w:right w:val="single" w:sz="4" w:space="0" w:color="auto"/>
                    </w:tcBorders>
                    <w:vAlign w:val="bottom"/>
                  </w:tcPr>
                  <w:p w14:paraId="317F85B8" w14:textId="77777777" w:rsidR="00D21C1F" w:rsidRDefault="00A42880">
                    <w:pPr>
                      <w:jc w:val="right"/>
                      <w:rPr>
                        <w:szCs w:val="21"/>
                      </w:rPr>
                    </w:pPr>
                    <w:r>
                      <w:rPr>
                        <w:rFonts w:ascii="Times New Roman" w:hAnsi="Times New Roman"/>
                      </w:rPr>
                      <w:t>270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0439BEE3" w14:textId="77777777" w:rsidR="00D21C1F" w:rsidRDefault="00A42880">
                    <w:pPr>
                      <w:jc w:val="right"/>
                      <w:rPr>
                        <w:szCs w:val="21"/>
                      </w:rPr>
                    </w:pPr>
                    <w:r>
                      <w:rPr>
                        <w:rFonts w:ascii="Times New Roman" w:hAnsi="Times New Roman"/>
                      </w:rPr>
                      <w:t>180</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bottom"/>
                  </w:tcPr>
                  <w:p w14:paraId="365CB22E"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1D2C4C87"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4780AB43"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2E370979" w14:textId="77777777" w:rsidR="00D21C1F" w:rsidRDefault="00A42880">
                    <w:pPr>
                      <w:jc w:val="right"/>
                      <w:rPr>
                        <w:szCs w:val="21"/>
                      </w:rPr>
                    </w:pPr>
                    <w:r>
                      <w:rPr>
                        <w:rFonts w:ascii="Times New Roman" w:hAnsi="Times New Roman"/>
                      </w:rPr>
                      <w:t>450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10734286"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417090929"/>
              <w:lock w:val="sdtLocked"/>
            </w:sdtPr>
            <w:sdtEndPr/>
            <w:sdtContent>
              <w:tr w:rsidR="00D21C1F" w14:paraId="65F40789"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13B08C89" w14:textId="77777777" w:rsidR="00D21C1F" w:rsidRDefault="00A42880">
                    <w:pPr>
                      <w:rPr>
                        <w:szCs w:val="21"/>
                      </w:rPr>
                    </w:pPr>
                    <w:r>
                      <w:rPr>
                        <w:rFonts w:ascii="Times New Roman" w:hAnsi="Times New Roman"/>
                      </w:rPr>
                      <w:t>Y100019019</w:t>
                    </w:r>
                  </w:p>
                </w:tc>
                <w:tc>
                  <w:tcPr>
                    <w:tcW w:w="567" w:type="pct"/>
                    <w:tcBorders>
                      <w:top w:val="single" w:sz="4" w:space="0" w:color="auto"/>
                      <w:left w:val="single" w:sz="4" w:space="0" w:color="auto"/>
                      <w:bottom w:val="single" w:sz="4" w:space="0" w:color="auto"/>
                      <w:right w:val="single" w:sz="4" w:space="0" w:color="auto"/>
                    </w:tcBorders>
                    <w:vAlign w:val="bottom"/>
                  </w:tcPr>
                  <w:p w14:paraId="770C143F" w14:textId="77777777" w:rsidR="00D21C1F" w:rsidRDefault="00A42880">
                    <w:pPr>
                      <w:jc w:val="right"/>
                      <w:rPr>
                        <w:szCs w:val="21"/>
                      </w:rPr>
                    </w:pPr>
                    <w:r>
                      <w:rPr>
                        <w:rFonts w:ascii="Times New Roman" w:hAnsi="Times New Roman"/>
                      </w:rPr>
                      <w:t>250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2571A2BC"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bottom"/>
                  </w:tcPr>
                  <w:p w14:paraId="137CC4DD"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34991F76"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7158CF26"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770FEA79" w14:textId="77777777" w:rsidR="00D21C1F" w:rsidRDefault="00A42880">
                    <w:pPr>
                      <w:jc w:val="right"/>
                      <w:rPr>
                        <w:szCs w:val="21"/>
                      </w:rPr>
                    </w:pPr>
                    <w:r>
                      <w:rPr>
                        <w:rFonts w:ascii="Times New Roman" w:hAnsi="Times New Roman"/>
                      </w:rPr>
                      <w:t>250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38A325F5"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434869514"/>
              <w:lock w:val="sdtLocked"/>
            </w:sdtPr>
            <w:sdtEndPr/>
            <w:sdtContent>
              <w:tr w:rsidR="00D21C1F" w14:paraId="0AE43ABE"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5DD2034F" w14:textId="77777777" w:rsidR="00D21C1F" w:rsidRDefault="00A42880">
                    <w:pPr>
                      <w:rPr>
                        <w:szCs w:val="21"/>
                      </w:rPr>
                    </w:pPr>
                    <w:r>
                      <w:rPr>
                        <w:rFonts w:ascii="Times New Roman" w:hAnsi="Times New Roman"/>
                      </w:rPr>
                      <w:t>Y100019017</w:t>
                    </w:r>
                  </w:p>
                </w:tc>
                <w:tc>
                  <w:tcPr>
                    <w:tcW w:w="567" w:type="pct"/>
                    <w:tcBorders>
                      <w:top w:val="single" w:sz="4" w:space="0" w:color="auto"/>
                      <w:left w:val="single" w:sz="4" w:space="0" w:color="auto"/>
                      <w:bottom w:val="single" w:sz="4" w:space="0" w:color="auto"/>
                      <w:right w:val="single" w:sz="4" w:space="0" w:color="auto"/>
                    </w:tcBorders>
                    <w:vAlign w:val="bottom"/>
                  </w:tcPr>
                  <w:p w14:paraId="5CD5E728" w14:textId="77777777" w:rsidR="00D21C1F" w:rsidRDefault="00A42880">
                    <w:pPr>
                      <w:jc w:val="right"/>
                      <w:rPr>
                        <w:szCs w:val="21"/>
                      </w:rPr>
                    </w:pPr>
                    <w:r>
                      <w:rPr>
                        <w:rFonts w:ascii="Times New Roman" w:hAnsi="Times New Roman"/>
                      </w:rPr>
                      <w:t>208</w:t>
                    </w:r>
                    <w:r>
                      <w:t>,</w:t>
                    </w:r>
                    <w:r>
                      <w:rPr>
                        <w:rFonts w:ascii="Times New Roman" w:hAnsi="Times New Roman"/>
                      </w:rPr>
                      <w:t>200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1511D43B"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bottom"/>
                  </w:tcPr>
                  <w:p w14:paraId="6807A815"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08C826DE"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0187C215"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502D5248" w14:textId="77777777" w:rsidR="00D21C1F" w:rsidRDefault="00A42880">
                    <w:pPr>
                      <w:jc w:val="right"/>
                      <w:rPr>
                        <w:szCs w:val="21"/>
                      </w:rPr>
                    </w:pPr>
                    <w:r>
                      <w:rPr>
                        <w:rFonts w:ascii="Times New Roman" w:hAnsi="Times New Roman"/>
                      </w:rPr>
                      <w:t>208</w:t>
                    </w:r>
                    <w:r>
                      <w:t>,</w:t>
                    </w:r>
                    <w:r>
                      <w:rPr>
                        <w:rFonts w:ascii="Times New Roman" w:hAnsi="Times New Roman"/>
                      </w:rPr>
                      <w:t>200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75BA65E7"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275149972"/>
              <w:lock w:val="sdtLocked"/>
            </w:sdtPr>
            <w:sdtEndPr/>
            <w:sdtContent>
              <w:tr w:rsidR="00D21C1F" w14:paraId="1CA9B1DC"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70AE4D2F" w14:textId="77777777" w:rsidR="00D21C1F" w:rsidRDefault="00A42880">
                    <w:pPr>
                      <w:rPr>
                        <w:szCs w:val="21"/>
                      </w:rPr>
                    </w:pPr>
                    <w:r>
                      <w:rPr>
                        <w:rFonts w:ascii="Times New Roman" w:hAnsi="Times New Roman"/>
                      </w:rPr>
                      <w:t>Y300019001</w:t>
                    </w:r>
                  </w:p>
                </w:tc>
                <w:tc>
                  <w:tcPr>
                    <w:tcW w:w="567" w:type="pct"/>
                    <w:tcBorders>
                      <w:top w:val="single" w:sz="4" w:space="0" w:color="auto"/>
                      <w:left w:val="single" w:sz="4" w:space="0" w:color="auto"/>
                      <w:bottom w:val="single" w:sz="4" w:space="0" w:color="auto"/>
                      <w:right w:val="single" w:sz="4" w:space="0" w:color="auto"/>
                    </w:tcBorders>
                    <w:vAlign w:val="bottom"/>
                  </w:tcPr>
                  <w:p w14:paraId="69D3ECD2" w14:textId="77777777" w:rsidR="00D21C1F" w:rsidRDefault="00A42880">
                    <w:pPr>
                      <w:jc w:val="right"/>
                      <w:rPr>
                        <w:szCs w:val="21"/>
                      </w:rPr>
                    </w:pPr>
                    <w:r>
                      <w:rPr>
                        <w:rFonts w:ascii="Times New Roman" w:hAnsi="Times New Roman"/>
                      </w:rPr>
                      <w:t>172</w:t>
                    </w:r>
                    <w:r>
                      <w:t>,</w:t>
                    </w:r>
                    <w:r>
                      <w:rPr>
                        <w:rFonts w:ascii="Times New Roman" w:hAnsi="Times New Roman"/>
                      </w:rPr>
                      <w:t>400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02313219" w14:textId="77777777" w:rsidR="00D21C1F" w:rsidRDefault="00A42880">
                    <w:pPr>
                      <w:jc w:val="right"/>
                      <w:rPr>
                        <w:szCs w:val="21"/>
                      </w:rPr>
                    </w:pPr>
                    <w:r>
                      <w:rPr>
                        <w:rFonts w:ascii="Times New Roman" w:hAnsi="Times New Roman"/>
                      </w:rPr>
                      <w:t>43</w:t>
                    </w:r>
                    <w:r>
                      <w:t>,</w:t>
                    </w:r>
                    <w:r>
                      <w:rPr>
                        <w:rFonts w:ascii="Times New Roman" w:hAnsi="Times New Roman"/>
                      </w:rPr>
                      <w:t>600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bottom"/>
                  </w:tcPr>
                  <w:p w14:paraId="345B9B96"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396C8D4E"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1475C294"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04B6680F" w14:textId="77777777" w:rsidR="00D21C1F" w:rsidRDefault="00A42880">
                    <w:pPr>
                      <w:jc w:val="right"/>
                      <w:rPr>
                        <w:szCs w:val="21"/>
                      </w:rPr>
                    </w:pPr>
                    <w:r>
                      <w:rPr>
                        <w:rFonts w:ascii="Times New Roman" w:hAnsi="Times New Roman"/>
                      </w:rPr>
                      <w:t>216</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64C2B514"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597705847"/>
              <w:lock w:val="sdtLocked"/>
            </w:sdtPr>
            <w:sdtEndPr/>
            <w:sdtContent>
              <w:tr w:rsidR="00D21C1F" w14:paraId="7E03CE90"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3519067C" w14:textId="77777777" w:rsidR="00D21C1F" w:rsidRDefault="00A42880">
                    <w:pPr>
                      <w:rPr>
                        <w:szCs w:val="21"/>
                      </w:rPr>
                    </w:pPr>
                    <w:r>
                      <w:rPr>
                        <w:rFonts w:ascii="Times New Roman" w:hAnsi="Times New Roman"/>
                      </w:rPr>
                      <w:t>Y100019002</w:t>
                    </w:r>
                  </w:p>
                </w:tc>
                <w:tc>
                  <w:tcPr>
                    <w:tcW w:w="567" w:type="pct"/>
                    <w:tcBorders>
                      <w:top w:val="single" w:sz="4" w:space="0" w:color="auto"/>
                      <w:left w:val="single" w:sz="4" w:space="0" w:color="auto"/>
                      <w:bottom w:val="single" w:sz="4" w:space="0" w:color="auto"/>
                      <w:right w:val="single" w:sz="4" w:space="0" w:color="auto"/>
                    </w:tcBorders>
                    <w:vAlign w:val="bottom"/>
                  </w:tcPr>
                  <w:p w14:paraId="1C1A9A6A" w14:textId="77777777" w:rsidR="00D21C1F" w:rsidRDefault="00A42880">
                    <w:pPr>
                      <w:jc w:val="right"/>
                      <w:rPr>
                        <w:szCs w:val="21"/>
                      </w:rPr>
                    </w:pPr>
                    <w:r>
                      <w:rPr>
                        <w:rFonts w:ascii="Times New Roman" w:hAnsi="Times New Roman"/>
                      </w:rPr>
                      <w:t>92</w:t>
                    </w:r>
                    <w:r>
                      <w:t>,</w:t>
                    </w:r>
                    <w:r>
                      <w:rPr>
                        <w:rFonts w:ascii="Times New Roman" w:hAnsi="Times New Roman"/>
                      </w:rPr>
                      <w:t>500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43A2A668" w14:textId="77777777" w:rsidR="00D21C1F" w:rsidRDefault="00A42880">
                    <w:pPr>
                      <w:jc w:val="right"/>
                      <w:rPr>
                        <w:szCs w:val="21"/>
                      </w:rPr>
                    </w:pPr>
                    <w:r>
                      <w:rPr>
                        <w:rFonts w:ascii="Times New Roman" w:hAnsi="Times New Roman"/>
                      </w:rPr>
                      <w:t>255</w:t>
                    </w:r>
                    <w:r>
                      <w:t>,</w:t>
                    </w:r>
                    <w:r>
                      <w:rPr>
                        <w:rFonts w:ascii="Times New Roman" w:hAnsi="Times New Roman"/>
                      </w:rPr>
                      <w:t>300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bottom"/>
                  </w:tcPr>
                  <w:p w14:paraId="51D6ABB6"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33864D58" w14:textId="77777777" w:rsidR="00D21C1F" w:rsidRDefault="00A42880">
                    <w:pPr>
                      <w:jc w:val="right"/>
                      <w:rPr>
                        <w:szCs w:val="21"/>
                      </w:rPr>
                    </w:pPr>
                    <w:r>
                      <w:rPr>
                        <w:rFonts w:ascii="Times New Roman" w:hAnsi="Times New Roman"/>
                      </w:rPr>
                      <w:t>-</w:t>
                    </w:r>
                  </w:p>
                </w:tc>
                <w:tc>
                  <w:tcPr>
                    <w:tcW w:w="601" w:type="pct"/>
                    <w:tcBorders>
                      <w:top w:val="single" w:sz="4" w:space="0" w:color="auto"/>
                      <w:left w:val="single" w:sz="4" w:space="0" w:color="auto"/>
                      <w:bottom w:val="single" w:sz="4" w:space="0" w:color="auto"/>
                      <w:right w:val="single" w:sz="4" w:space="0" w:color="auto"/>
                    </w:tcBorders>
                    <w:vAlign w:val="bottom"/>
                  </w:tcPr>
                  <w:p w14:paraId="4251F5D8"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5D51473E" w14:textId="77777777" w:rsidR="00D21C1F" w:rsidRDefault="00A42880">
                    <w:pPr>
                      <w:jc w:val="right"/>
                      <w:rPr>
                        <w:szCs w:val="21"/>
                      </w:rPr>
                    </w:pPr>
                    <w:r>
                      <w:rPr>
                        <w:rFonts w:ascii="Times New Roman" w:hAnsi="Times New Roman"/>
                      </w:rPr>
                      <w:t>347,800.00</w:t>
                    </w:r>
                  </w:p>
                </w:tc>
                <w:tc>
                  <w:tcPr>
                    <w:tcW w:w="730" w:type="pct"/>
                    <w:tcBorders>
                      <w:top w:val="single" w:sz="4" w:space="0" w:color="auto"/>
                      <w:left w:val="single" w:sz="4" w:space="0" w:color="auto"/>
                      <w:bottom w:val="single" w:sz="4" w:space="0" w:color="auto"/>
                      <w:right w:val="single" w:sz="4" w:space="0" w:color="auto"/>
                    </w:tcBorders>
                  </w:tcPr>
                  <w:p w14:paraId="12270552"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898661567"/>
              <w:lock w:val="sdtLocked"/>
            </w:sdtPr>
            <w:sdtEndPr/>
            <w:sdtContent>
              <w:tr w:rsidR="00D21C1F" w14:paraId="4D01B7C8"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731857DB" w14:textId="77777777" w:rsidR="00D21C1F" w:rsidRDefault="00A42880">
                    <w:pPr>
                      <w:rPr>
                        <w:szCs w:val="21"/>
                      </w:rPr>
                    </w:pPr>
                    <w:r>
                      <w:rPr>
                        <w:rFonts w:ascii="Times New Roman" w:hAnsi="Times New Roman"/>
                      </w:rPr>
                      <w:t>Y300018001</w:t>
                    </w:r>
                  </w:p>
                </w:tc>
                <w:tc>
                  <w:tcPr>
                    <w:tcW w:w="567" w:type="pct"/>
                    <w:tcBorders>
                      <w:top w:val="single" w:sz="4" w:space="0" w:color="auto"/>
                      <w:left w:val="single" w:sz="4" w:space="0" w:color="auto"/>
                      <w:bottom w:val="single" w:sz="4" w:space="0" w:color="auto"/>
                      <w:right w:val="single" w:sz="4" w:space="0" w:color="auto"/>
                    </w:tcBorders>
                    <w:vAlign w:val="bottom"/>
                  </w:tcPr>
                  <w:p w14:paraId="07EF5BFB" w14:textId="77777777" w:rsidR="00D21C1F" w:rsidRDefault="00A42880">
                    <w:pPr>
                      <w:jc w:val="right"/>
                      <w:rPr>
                        <w:szCs w:val="21"/>
                      </w:rPr>
                    </w:pPr>
                    <w:r>
                      <w:rPr>
                        <w:rFonts w:ascii="Times New Roman" w:hAnsi="Times New Roman"/>
                      </w:rPr>
                      <w:t>90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04A8638F"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bottom"/>
                  </w:tcPr>
                  <w:p w14:paraId="4B002157"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5F0BEFE1"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67FE6C71"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269325DC" w14:textId="77777777" w:rsidR="00D21C1F" w:rsidRDefault="00A42880">
                    <w:pPr>
                      <w:jc w:val="right"/>
                      <w:rPr>
                        <w:szCs w:val="21"/>
                      </w:rPr>
                    </w:pPr>
                    <w:r>
                      <w:rPr>
                        <w:rFonts w:ascii="Times New Roman" w:hAnsi="Times New Roman"/>
                      </w:rPr>
                      <w:t>90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76203798"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668055558"/>
              <w:lock w:val="sdtLocked"/>
            </w:sdtPr>
            <w:sdtEndPr/>
            <w:sdtContent>
              <w:tr w:rsidR="00D21C1F" w14:paraId="3F7FDDB3"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55F44D58" w14:textId="77777777" w:rsidR="00D21C1F" w:rsidRDefault="00A42880">
                    <w:pPr>
                      <w:rPr>
                        <w:szCs w:val="21"/>
                      </w:rPr>
                    </w:pPr>
                    <w:r>
                      <w:rPr>
                        <w:rFonts w:ascii="Times New Roman" w:hAnsi="Times New Roman"/>
                      </w:rPr>
                      <w:t>Y500020001</w:t>
                    </w:r>
                  </w:p>
                </w:tc>
                <w:tc>
                  <w:tcPr>
                    <w:tcW w:w="567" w:type="pct"/>
                    <w:tcBorders>
                      <w:top w:val="single" w:sz="4" w:space="0" w:color="auto"/>
                      <w:left w:val="single" w:sz="4" w:space="0" w:color="auto"/>
                      <w:bottom w:val="single" w:sz="4" w:space="0" w:color="auto"/>
                      <w:right w:val="single" w:sz="4" w:space="0" w:color="auto"/>
                    </w:tcBorders>
                    <w:vAlign w:val="bottom"/>
                  </w:tcPr>
                  <w:p w14:paraId="18481312" w14:textId="77777777" w:rsidR="00D21C1F" w:rsidRDefault="00A42880">
                    <w:pPr>
                      <w:jc w:val="right"/>
                      <w:rPr>
                        <w:szCs w:val="21"/>
                      </w:rPr>
                    </w:pPr>
                    <w:r>
                      <w:rPr>
                        <w:rFonts w:ascii="Times New Roman" w:hAnsi="Times New Roman"/>
                      </w:rPr>
                      <w:t>50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201054CF" w14:textId="77777777" w:rsidR="00D21C1F" w:rsidRDefault="00A42880">
                    <w:pPr>
                      <w:jc w:val="right"/>
                      <w:rPr>
                        <w:szCs w:val="21"/>
                      </w:rPr>
                    </w:pPr>
                    <w:r>
                      <w:t>-</w:t>
                    </w:r>
                  </w:p>
                </w:tc>
                <w:tc>
                  <w:tcPr>
                    <w:tcW w:w="709" w:type="pct"/>
                    <w:tcBorders>
                      <w:top w:val="single" w:sz="4" w:space="0" w:color="auto"/>
                      <w:left w:val="single" w:sz="4" w:space="0" w:color="auto"/>
                      <w:bottom w:val="single" w:sz="4" w:space="0" w:color="auto"/>
                      <w:right w:val="single" w:sz="4" w:space="0" w:color="auto"/>
                    </w:tcBorders>
                    <w:vAlign w:val="bottom"/>
                  </w:tcPr>
                  <w:p w14:paraId="2D9256AD"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6213FDA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33F671C4"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10774958" w14:textId="77777777" w:rsidR="00D21C1F" w:rsidRDefault="00A42880">
                    <w:pPr>
                      <w:jc w:val="right"/>
                      <w:rPr>
                        <w:szCs w:val="21"/>
                      </w:rPr>
                    </w:pPr>
                    <w:r>
                      <w:rPr>
                        <w:rFonts w:ascii="Times New Roman" w:hAnsi="Times New Roman"/>
                      </w:rPr>
                      <w:t>50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4B455FFA"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960143323"/>
              <w:lock w:val="sdtLocked"/>
            </w:sdtPr>
            <w:sdtEndPr/>
            <w:sdtContent>
              <w:tr w:rsidR="00D21C1F" w14:paraId="0D5C5925"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768FABD" w14:textId="77777777" w:rsidR="00D21C1F" w:rsidRDefault="00A42880">
                    <w:pPr>
                      <w:rPr>
                        <w:szCs w:val="21"/>
                      </w:rPr>
                    </w:pPr>
                    <w:r>
                      <w:rPr>
                        <w:rFonts w:ascii="Times New Roman" w:hAnsi="Times New Roman"/>
                      </w:rPr>
                      <w:t>Y302018001</w:t>
                    </w:r>
                  </w:p>
                </w:tc>
                <w:tc>
                  <w:tcPr>
                    <w:tcW w:w="567" w:type="pct"/>
                    <w:tcBorders>
                      <w:top w:val="single" w:sz="4" w:space="0" w:color="auto"/>
                      <w:left w:val="single" w:sz="4" w:space="0" w:color="auto"/>
                      <w:bottom w:val="single" w:sz="4" w:space="0" w:color="auto"/>
                      <w:right w:val="single" w:sz="4" w:space="0" w:color="auto"/>
                    </w:tcBorders>
                    <w:vAlign w:val="bottom"/>
                  </w:tcPr>
                  <w:p w14:paraId="0167EEEB" w14:textId="77777777" w:rsidR="00D21C1F" w:rsidRDefault="00A42880">
                    <w:pPr>
                      <w:jc w:val="right"/>
                      <w:rPr>
                        <w:szCs w:val="21"/>
                      </w:rPr>
                    </w:pPr>
                    <w:r>
                      <w:rPr>
                        <w:rFonts w:ascii="Times New Roman" w:hAnsi="Times New Roman"/>
                      </w:rPr>
                      <w:t>50</w:t>
                    </w:r>
                    <w:r>
                      <w:t>,</w:t>
                    </w:r>
                    <w:r>
                      <w:rPr>
                        <w:rFonts w:ascii="Times New Roman" w:hAnsi="Times New Roman"/>
                      </w:rPr>
                      <w:t>000</w:t>
                    </w:r>
                    <w:r>
                      <w:t>.</w:t>
                    </w:r>
                    <w:r>
                      <w:rPr>
                        <w:rFonts w:ascii="Times New Roman" w:hAnsi="Times New Roman"/>
                      </w:rPr>
                      <w:t>00</w:t>
                    </w:r>
                  </w:p>
                </w:tc>
                <w:tc>
                  <w:tcPr>
                    <w:tcW w:w="653" w:type="pct"/>
                    <w:tcBorders>
                      <w:top w:val="single" w:sz="4" w:space="0" w:color="auto"/>
                      <w:left w:val="single" w:sz="4" w:space="0" w:color="auto"/>
                      <w:bottom w:val="single" w:sz="4" w:space="0" w:color="auto"/>
                      <w:right w:val="single" w:sz="4" w:space="0" w:color="auto"/>
                    </w:tcBorders>
                    <w:vAlign w:val="bottom"/>
                  </w:tcPr>
                  <w:p w14:paraId="0B456113" w14:textId="77777777" w:rsidR="00D21C1F" w:rsidRDefault="00A42880">
                    <w:pPr>
                      <w:jc w:val="right"/>
                      <w:rPr>
                        <w:szCs w:val="21"/>
                      </w:rPr>
                    </w:pPr>
                    <w:r>
                      <w:rPr>
                        <w:rFonts w:ascii="Times New Roman" w:hAnsi="Times New Roman"/>
                      </w:rPr>
                      <w:t>140</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bottom"/>
                  </w:tcPr>
                  <w:p w14:paraId="7FA9D61D"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3188156D" w14:textId="77777777" w:rsidR="00D21C1F" w:rsidRDefault="00A42880">
                    <w:pPr>
                      <w:jc w:val="right"/>
                      <w:rPr>
                        <w:szCs w:val="21"/>
                      </w:rPr>
                    </w:pPr>
                    <w:r>
                      <w:rPr>
                        <w:rFonts w:ascii="Times New Roman" w:hAnsi="Times New Roman"/>
                      </w:rPr>
                      <w:t>-</w:t>
                    </w:r>
                  </w:p>
                </w:tc>
                <w:tc>
                  <w:tcPr>
                    <w:tcW w:w="601" w:type="pct"/>
                    <w:tcBorders>
                      <w:top w:val="single" w:sz="4" w:space="0" w:color="auto"/>
                      <w:left w:val="single" w:sz="4" w:space="0" w:color="auto"/>
                      <w:bottom w:val="single" w:sz="4" w:space="0" w:color="auto"/>
                      <w:right w:val="single" w:sz="4" w:space="0" w:color="auto"/>
                    </w:tcBorders>
                    <w:vAlign w:val="bottom"/>
                  </w:tcPr>
                  <w:p w14:paraId="4CAAD4A2"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50AC231E" w14:textId="77777777" w:rsidR="00D21C1F" w:rsidRDefault="00A42880">
                    <w:pPr>
                      <w:jc w:val="right"/>
                      <w:rPr>
                        <w:szCs w:val="21"/>
                      </w:rPr>
                    </w:pPr>
                    <w:r>
                      <w:rPr>
                        <w:rFonts w:ascii="Times New Roman" w:hAnsi="Times New Roman"/>
                      </w:rPr>
                      <w:t>190,000.00</w:t>
                    </w:r>
                  </w:p>
                </w:tc>
                <w:tc>
                  <w:tcPr>
                    <w:tcW w:w="730" w:type="pct"/>
                    <w:tcBorders>
                      <w:top w:val="single" w:sz="4" w:space="0" w:color="auto"/>
                      <w:left w:val="single" w:sz="4" w:space="0" w:color="auto"/>
                      <w:bottom w:val="single" w:sz="4" w:space="0" w:color="auto"/>
                      <w:right w:val="single" w:sz="4" w:space="0" w:color="auto"/>
                    </w:tcBorders>
                  </w:tcPr>
                  <w:p w14:paraId="76CC0EAF" w14:textId="77777777" w:rsidR="00D21C1F" w:rsidRDefault="00A42880">
                    <w:pPr>
                      <w:rPr>
                        <w:szCs w:val="21"/>
                      </w:rPr>
                    </w:pPr>
                    <w:r>
                      <w:t>与收益相关</w:t>
                    </w:r>
                  </w:p>
                </w:tc>
              </w:tr>
            </w:sdtContent>
          </w:sdt>
          <w:sdt>
            <w:sdtPr>
              <w:rPr>
                <w:szCs w:val="21"/>
              </w:rPr>
              <w:alias w:val="涉及政府补助的负债项目明细"/>
              <w:tag w:val="_GBC_57fa178d03fa46a3befea9bbb3ebc131"/>
              <w:id w:val="1605069558"/>
              <w:lock w:val="sdtLocked"/>
            </w:sdtPr>
            <w:sdtEndPr/>
            <w:sdtContent>
              <w:tr w:rsidR="00D21C1F" w14:paraId="1AFB987A"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AD4A6CD" w14:textId="77777777" w:rsidR="00D21C1F" w:rsidRDefault="00A42880">
                    <w:pPr>
                      <w:rPr>
                        <w:szCs w:val="21"/>
                      </w:rPr>
                    </w:pPr>
                    <w:r>
                      <w:rPr>
                        <w:rFonts w:ascii="Times New Roman" w:hAnsi="Times New Roman"/>
                      </w:rPr>
                      <w:t>Y100021001</w:t>
                    </w:r>
                  </w:p>
                </w:tc>
                <w:tc>
                  <w:tcPr>
                    <w:tcW w:w="567" w:type="pct"/>
                    <w:tcBorders>
                      <w:top w:val="single" w:sz="4" w:space="0" w:color="auto"/>
                      <w:left w:val="single" w:sz="4" w:space="0" w:color="auto"/>
                      <w:bottom w:val="single" w:sz="4" w:space="0" w:color="auto"/>
                      <w:right w:val="single" w:sz="4" w:space="0" w:color="auto"/>
                    </w:tcBorders>
                    <w:vAlign w:val="bottom"/>
                  </w:tcPr>
                  <w:p w14:paraId="3B0FCF74" w14:textId="77777777" w:rsidR="00D21C1F" w:rsidRDefault="00A42880">
                    <w:pPr>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vAlign w:val="bottom"/>
                  </w:tcPr>
                  <w:p w14:paraId="68966BD5" w14:textId="77777777" w:rsidR="00D21C1F" w:rsidRDefault="00A42880">
                    <w:pPr>
                      <w:jc w:val="right"/>
                      <w:rPr>
                        <w:szCs w:val="21"/>
                      </w:rPr>
                    </w:pPr>
                    <w:r>
                      <w:rPr>
                        <w:rFonts w:ascii="Times New Roman" w:hAnsi="Times New Roman"/>
                      </w:rPr>
                      <w:t>1</w:t>
                    </w:r>
                    <w:r>
                      <w:t>,</w:t>
                    </w:r>
                    <w:r>
                      <w:rPr>
                        <w:rFonts w:ascii="Times New Roman" w:hAnsi="Times New Roman"/>
                      </w:rPr>
                      <w:t>570</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bottom"/>
                  </w:tcPr>
                  <w:p w14:paraId="6DB3AA49"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20989F8B"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1A2D5610"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584B70FD" w14:textId="77777777" w:rsidR="00D21C1F" w:rsidRDefault="00A42880">
                    <w:pPr>
                      <w:jc w:val="right"/>
                      <w:rPr>
                        <w:szCs w:val="21"/>
                      </w:rPr>
                    </w:pPr>
                    <w:r>
                      <w:rPr>
                        <w:rFonts w:ascii="Times New Roman" w:hAnsi="Times New Roman"/>
                      </w:rPr>
                      <w:t>1</w:t>
                    </w:r>
                    <w:r>
                      <w:t>,</w:t>
                    </w:r>
                    <w:r>
                      <w:rPr>
                        <w:rFonts w:ascii="Times New Roman" w:hAnsi="Times New Roman"/>
                      </w:rPr>
                      <w:t>570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613A7732" w14:textId="77777777" w:rsidR="00D21C1F" w:rsidRDefault="00A42880">
                    <w:pPr>
                      <w:rPr>
                        <w:szCs w:val="21"/>
                      </w:rPr>
                    </w:pPr>
                    <w:r>
                      <w:t>与资产相关</w:t>
                    </w:r>
                  </w:p>
                </w:tc>
              </w:tr>
            </w:sdtContent>
          </w:sdt>
          <w:sdt>
            <w:sdtPr>
              <w:rPr>
                <w:szCs w:val="21"/>
              </w:rPr>
              <w:alias w:val="涉及政府补助的负债项目明细"/>
              <w:tag w:val="_GBC_57fa178d03fa46a3befea9bbb3ebc131"/>
              <w:id w:val="-1381324010"/>
              <w:lock w:val="sdtLocked"/>
            </w:sdtPr>
            <w:sdtEndPr/>
            <w:sdtContent>
              <w:tr w:rsidR="00D21C1F" w14:paraId="3EB8E2BD" w14:textId="77777777">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41153598" w14:textId="77777777" w:rsidR="00D21C1F" w:rsidRDefault="00A42880">
                    <w:pPr>
                      <w:rPr>
                        <w:szCs w:val="21"/>
                      </w:rPr>
                    </w:pPr>
                    <w:r>
                      <w:rPr>
                        <w:rFonts w:ascii="Times New Roman" w:hAnsi="Times New Roman"/>
                      </w:rPr>
                      <w:t>Y100021002</w:t>
                    </w:r>
                  </w:p>
                </w:tc>
                <w:tc>
                  <w:tcPr>
                    <w:tcW w:w="567" w:type="pct"/>
                    <w:tcBorders>
                      <w:top w:val="single" w:sz="4" w:space="0" w:color="auto"/>
                      <w:left w:val="single" w:sz="4" w:space="0" w:color="auto"/>
                      <w:bottom w:val="single" w:sz="4" w:space="0" w:color="auto"/>
                      <w:right w:val="single" w:sz="4" w:space="0" w:color="auto"/>
                    </w:tcBorders>
                    <w:vAlign w:val="bottom"/>
                  </w:tcPr>
                  <w:p w14:paraId="65B5E7AD" w14:textId="77777777" w:rsidR="00D21C1F" w:rsidRDefault="00A42880">
                    <w:pPr>
                      <w:jc w:val="right"/>
                      <w:rPr>
                        <w:szCs w:val="21"/>
                      </w:rPr>
                    </w:pPr>
                    <w:r>
                      <w:t>-</w:t>
                    </w:r>
                  </w:p>
                </w:tc>
                <w:tc>
                  <w:tcPr>
                    <w:tcW w:w="653" w:type="pct"/>
                    <w:tcBorders>
                      <w:top w:val="single" w:sz="4" w:space="0" w:color="auto"/>
                      <w:left w:val="single" w:sz="4" w:space="0" w:color="auto"/>
                      <w:bottom w:val="single" w:sz="4" w:space="0" w:color="auto"/>
                      <w:right w:val="single" w:sz="4" w:space="0" w:color="auto"/>
                    </w:tcBorders>
                    <w:vAlign w:val="bottom"/>
                  </w:tcPr>
                  <w:p w14:paraId="0E85C16D" w14:textId="77777777" w:rsidR="00D21C1F" w:rsidRDefault="00A42880">
                    <w:pPr>
                      <w:jc w:val="right"/>
                      <w:rPr>
                        <w:szCs w:val="21"/>
                      </w:rPr>
                    </w:pPr>
                    <w:r>
                      <w:rPr>
                        <w:rFonts w:ascii="Times New Roman" w:hAnsi="Times New Roman"/>
                      </w:rPr>
                      <w:t>2</w:t>
                    </w:r>
                    <w:r>
                      <w:t>,</w:t>
                    </w:r>
                    <w:r>
                      <w:rPr>
                        <w:rFonts w:ascii="Times New Roman" w:hAnsi="Times New Roman"/>
                      </w:rPr>
                      <w:t>000</w:t>
                    </w:r>
                    <w:r>
                      <w:t>,</w:t>
                    </w:r>
                    <w:r>
                      <w:rPr>
                        <w:rFonts w:ascii="Times New Roman" w:hAnsi="Times New Roman"/>
                      </w:rPr>
                      <w:t>000</w:t>
                    </w:r>
                    <w:r>
                      <w:t>.</w:t>
                    </w:r>
                    <w:r>
                      <w:rPr>
                        <w:rFonts w:ascii="Times New Roman" w:hAnsi="Times New Roman"/>
                      </w:rPr>
                      <w:t>00</w:t>
                    </w:r>
                  </w:p>
                </w:tc>
                <w:tc>
                  <w:tcPr>
                    <w:tcW w:w="709" w:type="pct"/>
                    <w:tcBorders>
                      <w:top w:val="single" w:sz="4" w:space="0" w:color="auto"/>
                      <w:left w:val="single" w:sz="4" w:space="0" w:color="auto"/>
                      <w:bottom w:val="single" w:sz="4" w:space="0" w:color="auto"/>
                      <w:right w:val="single" w:sz="4" w:space="0" w:color="auto"/>
                    </w:tcBorders>
                    <w:vAlign w:val="bottom"/>
                  </w:tcPr>
                  <w:p w14:paraId="3C5A2374"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690EDD19" w14:textId="77777777" w:rsidR="00D21C1F" w:rsidRDefault="00A42880">
                    <w:pPr>
                      <w:jc w:val="right"/>
                      <w:rPr>
                        <w:szCs w:val="21"/>
                      </w:rPr>
                    </w:pPr>
                    <w:r>
                      <w:t>-</w:t>
                    </w:r>
                  </w:p>
                </w:tc>
                <w:tc>
                  <w:tcPr>
                    <w:tcW w:w="601" w:type="pct"/>
                    <w:tcBorders>
                      <w:top w:val="single" w:sz="4" w:space="0" w:color="auto"/>
                      <w:left w:val="single" w:sz="4" w:space="0" w:color="auto"/>
                      <w:bottom w:val="single" w:sz="4" w:space="0" w:color="auto"/>
                      <w:right w:val="single" w:sz="4" w:space="0" w:color="auto"/>
                    </w:tcBorders>
                    <w:vAlign w:val="bottom"/>
                  </w:tcPr>
                  <w:p w14:paraId="7A44FE9E" w14:textId="77777777" w:rsidR="00D21C1F" w:rsidRDefault="00A42880">
                    <w:pPr>
                      <w:jc w:val="right"/>
                      <w:rPr>
                        <w:szCs w:val="21"/>
                      </w:rPr>
                    </w:pPr>
                    <w:r>
                      <w:t>-</w:t>
                    </w:r>
                  </w:p>
                </w:tc>
                <w:tc>
                  <w:tcPr>
                    <w:tcW w:w="553" w:type="pct"/>
                    <w:tcBorders>
                      <w:top w:val="single" w:sz="4" w:space="0" w:color="auto"/>
                      <w:left w:val="single" w:sz="4" w:space="0" w:color="auto"/>
                      <w:bottom w:val="single" w:sz="4" w:space="0" w:color="auto"/>
                      <w:right w:val="single" w:sz="4" w:space="0" w:color="auto"/>
                    </w:tcBorders>
                    <w:vAlign w:val="bottom"/>
                  </w:tcPr>
                  <w:p w14:paraId="43E8DAE0" w14:textId="77777777" w:rsidR="00D21C1F" w:rsidRDefault="00A42880">
                    <w:pPr>
                      <w:jc w:val="right"/>
                      <w:rPr>
                        <w:szCs w:val="21"/>
                      </w:rPr>
                    </w:pPr>
                    <w:r>
                      <w:rPr>
                        <w:rFonts w:ascii="Times New Roman" w:hAnsi="Times New Roman"/>
                      </w:rPr>
                      <w:t>2</w:t>
                    </w:r>
                    <w:r>
                      <w:t>,</w:t>
                    </w:r>
                    <w:r>
                      <w:rPr>
                        <w:rFonts w:ascii="Times New Roman" w:hAnsi="Times New Roman"/>
                      </w:rPr>
                      <w:t>000</w:t>
                    </w:r>
                    <w:r>
                      <w:t>,</w:t>
                    </w:r>
                    <w:r>
                      <w:rPr>
                        <w:rFonts w:ascii="Times New Roman" w:hAnsi="Times New Roman"/>
                      </w:rPr>
                      <w:t>000</w:t>
                    </w:r>
                    <w:r>
                      <w:t>.</w:t>
                    </w:r>
                    <w:r>
                      <w:rPr>
                        <w:rFonts w:ascii="Times New Roman" w:hAnsi="Times New Roman"/>
                      </w:rPr>
                      <w:t>00</w:t>
                    </w:r>
                  </w:p>
                </w:tc>
                <w:tc>
                  <w:tcPr>
                    <w:tcW w:w="730" w:type="pct"/>
                    <w:tcBorders>
                      <w:top w:val="single" w:sz="4" w:space="0" w:color="auto"/>
                      <w:left w:val="single" w:sz="4" w:space="0" w:color="auto"/>
                      <w:bottom w:val="single" w:sz="4" w:space="0" w:color="auto"/>
                      <w:right w:val="single" w:sz="4" w:space="0" w:color="auto"/>
                    </w:tcBorders>
                  </w:tcPr>
                  <w:p w14:paraId="5721975E" w14:textId="77777777" w:rsidR="00D21C1F" w:rsidRDefault="00A42880">
                    <w:pPr>
                      <w:rPr>
                        <w:szCs w:val="21"/>
                      </w:rPr>
                    </w:pPr>
                    <w:r>
                      <w:t>与收益相关</w:t>
                    </w:r>
                  </w:p>
                </w:tc>
              </w:tr>
            </w:sdtContent>
          </w:sdt>
        </w:tbl>
        <w:p w14:paraId="55DF5496" w14:textId="77777777" w:rsidR="00D21C1F" w:rsidRDefault="00045EC6">
          <w:pPr>
            <w:pStyle w:val="97"/>
          </w:pPr>
        </w:p>
      </w:sdtContent>
    </w:sdt>
    <w:bookmarkEnd w:id="270" w:displacedByCustomXml="next"/>
    <w:bookmarkStart w:id="271" w:name="OLE_LINK84" w:displacedByCustomXml="next"/>
    <w:bookmarkStart w:id="272" w:name="OLE_LINK85" w:displacedByCustomXml="next"/>
    <w:sdt>
      <w:sdtPr>
        <w:rPr>
          <w:rFonts w:hint="eastAsia"/>
          <w:szCs w:val="21"/>
        </w:rPr>
        <w:alias w:val="模块:递延收益其他说明"/>
        <w:tag w:val="_GBC_3e5bdbca1c524ed19d397da3dfaf83a9"/>
        <w:id w:val="-890727705"/>
        <w:lock w:val="sdtLocked"/>
        <w:placeholder>
          <w:docPart w:val="GBC22222222222222222222222222222"/>
        </w:placeholder>
      </w:sdtPr>
      <w:sdtEndPr>
        <w:rPr>
          <w:rFonts w:hint="default"/>
        </w:rPr>
      </w:sdtEndPr>
      <w:sdtContent>
        <w:p w14:paraId="73BCD5DB" w14:textId="77777777" w:rsidR="00D21C1F" w:rsidRDefault="00A42880">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504361356"/>
            <w:lock w:val="sdtLocked"/>
            <w:placeholder>
              <w:docPart w:val="GBC22222222222222222222222222222"/>
            </w:placeholder>
          </w:sdtPr>
          <w:sdtEndPr/>
          <w:sdtContent>
            <w:p w14:paraId="2E652AD2" w14:textId="77777777" w:rsidR="00D21C1F" w:rsidRDefault="00A4288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72"/>
    <w:bookmarkEnd w:id="271"/>
    <w:p w14:paraId="7A28824B" w14:textId="77777777" w:rsidR="00D21C1F" w:rsidRDefault="00D21C1F">
      <w:pPr>
        <w:snapToGrid w:val="0"/>
        <w:spacing w:line="240" w:lineRule="atLeast"/>
        <w:rPr>
          <w:szCs w:val="21"/>
        </w:rPr>
        <w:sectPr w:rsidR="00D21C1F">
          <w:pgSz w:w="16838" w:h="11906" w:orient="landscape"/>
          <w:pgMar w:top="1797" w:right="1525" w:bottom="1276" w:left="1440" w:header="856" w:footer="992" w:gutter="0"/>
          <w:cols w:space="425"/>
          <w:docGrid w:linePitch="312"/>
        </w:sectPr>
      </w:pPr>
    </w:p>
    <w:bookmarkStart w:id="273" w:name="_Hlk10537430" w:displacedByCustomXml="next"/>
    <w:sdt>
      <w:sdtPr>
        <w:rPr>
          <w:rFonts w:ascii="宋体" w:hAnsi="宋体" w:cs="宋体" w:hint="eastAsia"/>
          <w:b w:val="0"/>
          <w:bCs w:val="0"/>
          <w:kern w:val="0"/>
          <w:szCs w:val="21"/>
        </w:rPr>
        <w:alias w:val="模块:其他非流动负债"/>
        <w:tag w:val="_GBC_ebdcd37ba77540d78079b1e51c20b6ce"/>
        <w:id w:val="-891043788"/>
        <w:lock w:val="sdtLocked"/>
        <w:placeholder>
          <w:docPart w:val="GBC22222222222222222222222222222"/>
        </w:placeholder>
      </w:sdtPr>
      <w:sdtEndPr>
        <w:rPr>
          <w:rFonts w:cstheme="minorBidi" w:hint="default"/>
          <w:color w:val="000000" w:themeColor="text1"/>
          <w:kern w:val="2"/>
        </w:rPr>
      </w:sdtEndPr>
      <w:sdtContent>
        <w:p w14:paraId="7F1B6670"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740406460"/>
            <w:lock w:val="sdtLocked"/>
            <w:placeholder>
              <w:docPart w:val="GBC22222222222222222222222222222"/>
            </w:placeholder>
          </w:sdtPr>
          <w:sdtEndPr/>
          <w:sdtContent>
            <w:p w14:paraId="5935C5C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73"/>
    <w:p w14:paraId="7EF2580F" w14:textId="77777777" w:rsidR="00D21C1F" w:rsidRDefault="00D21C1F">
      <w:pPr>
        <w:rPr>
          <w:szCs w:val="21"/>
        </w:rPr>
      </w:pPr>
    </w:p>
    <w:sdt>
      <w:sdtPr>
        <w:rPr>
          <w:rFonts w:ascii="Times New Roman" w:eastAsia="宋体" w:hAnsi="Times New Roman" w:cs="宋体"/>
          <w:b w:val="0"/>
          <w:bCs w:val="0"/>
          <w:kern w:val="0"/>
          <w:szCs w:val="21"/>
        </w:rPr>
        <w:alias w:val="模块:股本"/>
        <w:tag w:val="_GBC_7f4b2f9bba854132af4bbd6504a10383"/>
        <w:id w:val="948978140"/>
        <w:lock w:val="sdtLocked"/>
        <w:placeholder>
          <w:docPart w:val="GBC22222222222222222222222222222"/>
        </w:placeholder>
      </w:sdtPr>
      <w:sdtEndPr>
        <w:rPr>
          <w:color w:val="000000" w:themeColor="text1"/>
        </w:rPr>
      </w:sdtEndPr>
      <w:sdtContent>
        <w:p w14:paraId="32292AB1" w14:textId="77777777" w:rsidR="00D21C1F" w:rsidRPr="0026714A" w:rsidRDefault="00A42880">
          <w:pPr>
            <w:pStyle w:val="94"/>
            <w:numPr>
              <w:ilvl w:val="0"/>
              <w:numId w:val="95"/>
            </w:numPr>
            <w:tabs>
              <w:tab w:val="left" w:pos="504"/>
            </w:tabs>
            <w:rPr>
              <w:rFonts w:ascii="Times New Roman" w:hAnsi="Times New Roman"/>
              <w:szCs w:val="21"/>
            </w:rPr>
          </w:pPr>
          <w:r w:rsidRPr="0026714A">
            <w:rPr>
              <w:rFonts w:ascii="Times New Roman" w:hAnsi="Times New Roman"/>
              <w:szCs w:val="21"/>
            </w:rPr>
            <w:t>股本</w:t>
          </w:r>
        </w:p>
        <w:sdt>
          <w:sdtPr>
            <w:rPr>
              <w:rFonts w:ascii="Times New Roman" w:hAnsi="Times New Roman" w:cs="Times New Roman"/>
            </w:rPr>
            <w:alias w:val="是否适用：股本[双击切换]"/>
            <w:tag w:val="_GBC_a88b08589cbb4302b29839808faa8a3b"/>
            <w:id w:val="-253440775"/>
            <w:lock w:val="sdtLocked"/>
            <w:placeholder>
              <w:docPart w:val="GBC22222222222222222222222222222"/>
            </w:placeholder>
          </w:sdtPr>
          <w:sdtEndPr/>
          <w:sdtContent>
            <w:p w14:paraId="705789DC" w14:textId="77777777" w:rsidR="00D21C1F" w:rsidRPr="0026714A" w:rsidRDefault="00A42880">
              <w:pPr>
                <w:pStyle w:val="97"/>
                <w:rPr>
                  <w:rFonts w:ascii="Times New Roman" w:hAnsi="Times New Roman" w:cs="Times New Roman"/>
                </w:rPr>
              </w:pP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r w:rsidRPr="0026714A">
                <w:rPr>
                  <w:rFonts w:ascii="Times New Roman" w:hAnsi="Times New Roman" w:cs="Times New Roman"/>
                </w:rPr>
                <w:fldChar w:fldCharType="begin"/>
              </w:r>
              <w:r w:rsidRPr="0026714A">
                <w:rPr>
                  <w:rFonts w:ascii="Times New Roman" w:hAnsi="Times New Roman" w:cs="Times New Roman"/>
                </w:rPr>
                <w:instrText xml:space="preserve"> MACROBUTTON  SnrToggleCheckbox □</w:instrText>
              </w:r>
              <w:r w:rsidRPr="0026714A">
                <w:rPr>
                  <w:rFonts w:ascii="Times New Roman" w:hAnsi="Times New Roman" w:cs="Times New Roman"/>
                </w:rPr>
                <w:instrText>不适用</w:instrText>
              </w:r>
              <w:r w:rsidRPr="0026714A">
                <w:rPr>
                  <w:rFonts w:ascii="Times New Roman" w:hAnsi="Times New Roman" w:cs="Times New Roman"/>
                </w:rPr>
                <w:instrText xml:space="preserve"> </w:instrText>
              </w:r>
              <w:r w:rsidRPr="0026714A">
                <w:rPr>
                  <w:rFonts w:ascii="Times New Roman" w:hAnsi="Times New Roman" w:cs="Times New Roman"/>
                </w:rPr>
                <w:fldChar w:fldCharType="end"/>
              </w:r>
            </w:p>
          </w:sdtContent>
        </w:sdt>
        <w:p w14:paraId="6950BAA6"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单位：</w:t>
          </w:r>
          <w:sdt>
            <w:sdtPr>
              <w:rPr>
                <w:rFonts w:ascii="Times New Roman" w:hAnsi="Times New Roman" w:cs="Times New Roman"/>
                <w:szCs w:val="21"/>
              </w:rPr>
              <w:alias w:val="单位：财务附注：股本"/>
              <w:tag w:val="_GBC_cf915ea45a234de2a2455824dedc3c82"/>
              <w:id w:val="-6862806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6714A">
                <w:rPr>
                  <w:rFonts w:ascii="Times New Roman" w:hAnsi="Times New Roman" w:cs="Times New Roman"/>
                  <w:szCs w:val="21"/>
                </w:rPr>
                <w:t>元</w:t>
              </w:r>
            </w:sdtContent>
          </w:sdt>
          <w:r w:rsidRPr="0026714A">
            <w:rPr>
              <w:rFonts w:ascii="Times New Roman" w:hAnsi="Times New Roman" w:cs="Times New Roman"/>
              <w:szCs w:val="21"/>
            </w:rPr>
            <w:t>币种：</w:t>
          </w:r>
          <w:sdt>
            <w:sdtPr>
              <w:rPr>
                <w:rFonts w:ascii="Times New Roman" w:hAnsi="Times New Roman" w:cs="Times New Roman"/>
                <w:szCs w:val="21"/>
              </w:rPr>
              <w:alias w:val="币种：财务附注：股本"/>
              <w:tag w:val="_GBC_2dcc7ff328cf480296bdddce64b88cf1"/>
              <w:id w:val="-4025354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26714A">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657"/>
            <w:gridCol w:w="967"/>
            <w:gridCol w:w="690"/>
            <w:gridCol w:w="1105"/>
            <w:gridCol w:w="828"/>
            <w:gridCol w:w="720"/>
            <w:gridCol w:w="1645"/>
          </w:tblGrid>
          <w:tr w:rsidR="00D21C1F" w:rsidRPr="0026714A" w14:paraId="0BD19A75" w14:textId="77777777">
            <w:trPr>
              <w:cantSplit/>
              <w:trHeight w:val="270"/>
            </w:trPr>
            <w:tc>
              <w:tcPr>
                <w:tcW w:w="686" w:type="pct"/>
                <w:vMerge w:val="restart"/>
                <w:tcBorders>
                  <w:top w:val="single" w:sz="4" w:space="0" w:color="auto"/>
                  <w:left w:val="single" w:sz="4" w:space="0" w:color="auto"/>
                  <w:bottom w:val="single" w:sz="4" w:space="0" w:color="auto"/>
                  <w:right w:val="single" w:sz="4" w:space="0" w:color="auto"/>
                </w:tcBorders>
              </w:tcPr>
              <w:p w14:paraId="59156AB7" w14:textId="77777777" w:rsidR="00D21C1F" w:rsidRPr="0026714A" w:rsidRDefault="00D21C1F">
                <w:pPr>
                  <w:jc w:val="center"/>
                  <w:rPr>
                    <w:rFonts w:ascii="Times New Roman" w:hAnsi="Times New Roman" w:cs="Times New Roman"/>
                    <w:szCs w:val="21"/>
                  </w:rPr>
                </w:pPr>
              </w:p>
            </w:tc>
            <w:sdt>
              <w:sdtPr>
                <w:rPr>
                  <w:rFonts w:ascii="Times New Roman" w:hAnsi="Times New Roman" w:cs="Times New Roman"/>
                </w:rPr>
                <w:tag w:val="_PLD_7ad9a0911e364e48bc565dc3ed809692"/>
                <w:id w:val="-1276021145"/>
                <w:lock w:val="sdtLocked"/>
              </w:sdtPr>
              <w:sdtEndPr/>
              <w:sdtContent>
                <w:tc>
                  <w:tcPr>
                    <w:tcW w:w="939" w:type="pct"/>
                    <w:vMerge w:val="restart"/>
                    <w:tcBorders>
                      <w:top w:val="single" w:sz="4" w:space="0" w:color="auto"/>
                      <w:left w:val="single" w:sz="4" w:space="0" w:color="auto"/>
                      <w:right w:val="single" w:sz="4" w:space="0" w:color="auto"/>
                    </w:tcBorders>
                    <w:vAlign w:val="center"/>
                  </w:tcPr>
                  <w:p w14:paraId="25ABC45A"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期初余额</w:t>
                    </w:r>
                  </w:p>
                </w:tc>
              </w:sdtContent>
            </w:sdt>
            <w:sdt>
              <w:sdtPr>
                <w:rPr>
                  <w:rFonts w:ascii="Times New Roman" w:hAnsi="Times New Roman" w:cs="Times New Roman"/>
                </w:rPr>
                <w:tag w:val="_PLD_33945fdb28e344edaa7d118a9aa07d7d"/>
                <w:id w:val="-1776083048"/>
                <w:lock w:val="sdtLocked"/>
              </w:sdtPr>
              <w:sdtEndPr/>
              <w:sdtContent>
                <w:tc>
                  <w:tcPr>
                    <w:tcW w:w="2442" w:type="pct"/>
                    <w:gridSpan w:val="5"/>
                    <w:tcBorders>
                      <w:top w:val="single" w:sz="4" w:space="0" w:color="auto"/>
                      <w:left w:val="single" w:sz="4" w:space="0" w:color="auto"/>
                      <w:bottom w:val="single" w:sz="4" w:space="0" w:color="auto"/>
                      <w:right w:val="single" w:sz="4" w:space="0" w:color="auto"/>
                    </w:tcBorders>
                    <w:vAlign w:val="center"/>
                  </w:tcPr>
                  <w:p w14:paraId="49986A51"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本次变动增减（</w:t>
                    </w:r>
                    <w:r w:rsidRPr="0026714A">
                      <w:rPr>
                        <w:rFonts w:ascii="Times New Roman" w:hAnsi="Times New Roman" w:cs="Times New Roman"/>
                        <w:szCs w:val="21"/>
                      </w:rPr>
                      <w:t>+</w:t>
                    </w:r>
                    <w:r w:rsidRPr="0026714A">
                      <w:rPr>
                        <w:rFonts w:ascii="Times New Roman" w:hAnsi="Times New Roman" w:cs="Times New Roman"/>
                        <w:szCs w:val="21"/>
                      </w:rPr>
                      <w:t>、一）</w:t>
                    </w:r>
                  </w:p>
                </w:tc>
              </w:sdtContent>
            </w:sdt>
            <w:sdt>
              <w:sdtPr>
                <w:rPr>
                  <w:rFonts w:ascii="Times New Roman" w:hAnsi="Times New Roman" w:cs="Times New Roman"/>
                </w:rPr>
                <w:tag w:val="_PLD_a0390714e323429ab6e793f9a610df70"/>
                <w:id w:val="1476490276"/>
                <w:lock w:val="sdtLocked"/>
              </w:sdtPr>
              <w:sdtEndPr/>
              <w:sdtContent>
                <w:tc>
                  <w:tcPr>
                    <w:tcW w:w="932" w:type="pct"/>
                    <w:vMerge w:val="restart"/>
                    <w:tcBorders>
                      <w:top w:val="single" w:sz="4" w:space="0" w:color="auto"/>
                      <w:left w:val="single" w:sz="4" w:space="0" w:color="auto"/>
                      <w:right w:val="single" w:sz="4" w:space="0" w:color="auto"/>
                    </w:tcBorders>
                    <w:vAlign w:val="center"/>
                  </w:tcPr>
                  <w:p w14:paraId="7733730C"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期末余额</w:t>
                    </w:r>
                  </w:p>
                </w:tc>
              </w:sdtContent>
            </w:sdt>
          </w:tr>
          <w:tr w:rsidR="00D21C1F" w:rsidRPr="0026714A" w14:paraId="2E45887E" w14:textId="77777777">
            <w:trPr>
              <w:cantSplit/>
              <w:trHeight w:val="312"/>
            </w:trPr>
            <w:tc>
              <w:tcPr>
                <w:tcW w:w="686" w:type="pct"/>
                <w:vMerge/>
                <w:tcBorders>
                  <w:top w:val="single" w:sz="4" w:space="0" w:color="auto"/>
                  <w:left w:val="single" w:sz="4" w:space="0" w:color="auto"/>
                  <w:bottom w:val="single" w:sz="4" w:space="0" w:color="auto"/>
                  <w:right w:val="single" w:sz="4" w:space="0" w:color="auto"/>
                </w:tcBorders>
              </w:tcPr>
              <w:p w14:paraId="031F412A" w14:textId="77777777" w:rsidR="00D21C1F" w:rsidRPr="0026714A" w:rsidRDefault="00D21C1F">
                <w:pPr>
                  <w:rPr>
                    <w:rFonts w:ascii="Times New Roman" w:hAnsi="Times New Roman" w:cs="Times New Roman"/>
                    <w:szCs w:val="21"/>
                  </w:rPr>
                </w:pPr>
              </w:p>
            </w:tc>
            <w:tc>
              <w:tcPr>
                <w:tcW w:w="939" w:type="pct"/>
                <w:vMerge/>
                <w:tcBorders>
                  <w:left w:val="single" w:sz="4" w:space="0" w:color="auto"/>
                  <w:bottom w:val="single" w:sz="4" w:space="0" w:color="auto"/>
                  <w:right w:val="single" w:sz="4" w:space="0" w:color="auto"/>
                </w:tcBorders>
              </w:tcPr>
              <w:p w14:paraId="6113A6BF" w14:textId="77777777" w:rsidR="00D21C1F" w:rsidRPr="0026714A" w:rsidRDefault="00D21C1F">
                <w:pPr>
                  <w:ind w:leftChars="-119" w:left="-250" w:firstLineChars="119" w:firstLine="250"/>
                  <w:rPr>
                    <w:rFonts w:ascii="Times New Roman" w:hAnsi="Times New Roman" w:cs="Times New Roman"/>
                    <w:szCs w:val="21"/>
                  </w:rPr>
                </w:pPr>
              </w:p>
            </w:tc>
            <w:sdt>
              <w:sdtPr>
                <w:rPr>
                  <w:rFonts w:ascii="Times New Roman" w:hAnsi="Times New Roman" w:cs="Times New Roman"/>
                </w:rPr>
                <w:tag w:val="_PLD_fe0b182c33854e5bb51d2d2a3cd1dd7f"/>
                <w:id w:val="-385418572"/>
                <w:lock w:val="sdtLocked"/>
              </w:sdtPr>
              <w:sdtEndPr/>
              <w:sdtContent>
                <w:tc>
                  <w:tcPr>
                    <w:tcW w:w="548" w:type="pct"/>
                    <w:tcBorders>
                      <w:top w:val="single" w:sz="4" w:space="0" w:color="auto"/>
                      <w:left w:val="single" w:sz="4" w:space="0" w:color="auto"/>
                      <w:bottom w:val="single" w:sz="4" w:space="0" w:color="auto"/>
                      <w:right w:val="single" w:sz="4" w:space="0" w:color="auto"/>
                    </w:tcBorders>
                    <w:vAlign w:val="center"/>
                  </w:tcPr>
                  <w:p w14:paraId="49F0D9F6"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发行</w:t>
                    </w:r>
                  </w:p>
                  <w:p w14:paraId="37E6846A"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新股</w:t>
                    </w:r>
                  </w:p>
                </w:tc>
              </w:sdtContent>
            </w:sdt>
            <w:sdt>
              <w:sdtPr>
                <w:rPr>
                  <w:rFonts w:ascii="Times New Roman" w:hAnsi="Times New Roman" w:cs="Times New Roman"/>
                </w:rPr>
                <w:tag w:val="_PLD_80e7c94a1831488d89d22be722443897"/>
                <w:id w:val="849064643"/>
                <w:lock w:val="sdtLocked"/>
              </w:sdtPr>
              <w:sdtEndPr/>
              <w:sdtContent>
                <w:tc>
                  <w:tcPr>
                    <w:tcW w:w="391" w:type="pct"/>
                    <w:tcBorders>
                      <w:top w:val="single" w:sz="4" w:space="0" w:color="auto"/>
                      <w:left w:val="single" w:sz="4" w:space="0" w:color="auto"/>
                      <w:bottom w:val="single" w:sz="4" w:space="0" w:color="auto"/>
                      <w:right w:val="single" w:sz="4" w:space="0" w:color="auto"/>
                    </w:tcBorders>
                    <w:vAlign w:val="center"/>
                  </w:tcPr>
                  <w:p w14:paraId="2172AC61"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送股</w:t>
                    </w:r>
                  </w:p>
                </w:tc>
              </w:sdtContent>
            </w:sdt>
            <w:sdt>
              <w:sdtPr>
                <w:rPr>
                  <w:rFonts w:ascii="Times New Roman" w:hAnsi="Times New Roman" w:cs="Times New Roman"/>
                </w:rPr>
                <w:tag w:val="_PLD_c1d7f04883eb4aaa9c52067f145ec081"/>
                <w:id w:val="1185321080"/>
                <w:lock w:val="sdtLocked"/>
              </w:sdtPr>
              <w:sdtEndPr/>
              <w:sdtContent>
                <w:tc>
                  <w:tcPr>
                    <w:tcW w:w="626" w:type="pct"/>
                    <w:tcBorders>
                      <w:top w:val="single" w:sz="4" w:space="0" w:color="auto"/>
                      <w:left w:val="single" w:sz="4" w:space="0" w:color="auto"/>
                      <w:bottom w:val="single" w:sz="4" w:space="0" w:color="auto"/>
                      <w:right w:val="single" w:sz="4" w:space="0" w:color="auto"/>
                    </w:tcBorders>
                    <w:vAlign w:val="center"/>
                  </w:tcPr>
                  <w:p w14:paraId="474BBEDC"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公积金</w:t>
                    </w:r>
                  </w:p>
                  <w:p w14:paraId="3FE5CB8C"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转股</w:t>
                    </w:r>
                  </w:p>
                </w:tc>
              </w:sdtContent>
            </w:sdt>
            <w:sdt>
              <w:sdtPr>
                <w:rPr>
                  <w:rFonts w:ascii="Times New Roman" w:hAnsi="Times New Roman" w:cs="Times New Roman"/>
                </w:rPr>
                <w:tag w:val="_PLD_6e44c9cf090243e19b20f1e88e8231ef"/>
                <w:id w:val="-1435742604"/>
                <w:lock w:val="sdtLocked"/>
              </w:sdtPr>
              <w:sdtEndPr/>
              <w:sdtContent>
                <w:tc>
                  <w:tcPr>
                    <w:tcW w:w="469" w:type="pct"/>
                    <w:tcBorders>
                      <w:top w:val="single" w:sz="4" w:space="0" w:color="auto"/>
                      <w:left w:val="single" w:sz="4" w:space="0" w:color="auto"/>
                      <w:bottom w:val="single" w:sz="4" w:space="0" w:color="auto"/>
                      <w:right w:val="single" w:sz="4" w:space="0" w:color="auto"/>
                    </w:tcBorders>
                    <w:vAlign w:val="center"/>
                  </w:tcPr>
                  <w:p w14:paraId="6DBE9A97"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其他</w:t>
                    </w:r>
                  </w:p>
                </w:tc>
              </w:sdtContent>
            </w:sdt>
            <w:sdt>
              <w:sdtPr>
                <w:rPr>
                  <w:rFonts w:ascii="Times New Roman" w:hAnsi="Times New Roman" w:cs="Times New Roman"/>
                </w:rPr>
                <w:tag w:val="_PLD_0cee72421f954c94ba296c709c84ef52"/>
                <w:id w:val="338351307"/>
                <w:lock w:val="sdtLocked"/>
              </w:sdtPr>
              <w:sdtEndPr/>
              <w:sdtContent>
                <w:tc>
                  <w:tcPr>
                    <w:tcW w:w="408" w:type="pct"/>
                    <w:tcBorders>
                      <w:top w:val="single" w:sz="4" w:space="0" w:color="auto"/>
                      <w:left w:val="single" w:sz="4" w:space="0" w:color="auto"/>
                      <w:bottom w:val="single" w:sz="4" w:space="0" w:color="auto"/>
                      <w:right w:val="single" w:sz="4" w:space="0" w:color="auto"/>
                    </w:tcBorders>
                    <w:vAlign w:val="center"/>
                  </w:tcPr>
                  <w:p w14:paraId="443D7FCD"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小计</w:t>
                    </w:r>
                  </w:p>
                </w:tc>
              </w:sdtContent>
            </w:sdt>
            <w:tc>
              <w:tcPr>
                <w:tcW w:w="932" w:type="pct"/>
                <w:vMerge/>
                <w:tcBorders>
                  <w:left w:val="single" w:sz="4" w:space="0" w:color="auto"/>
                  <w:bottom w:val="single" w:sz="4" w:space="0" w:color="auto"/>
                  <w:right w:val="single" w:sz="4" w:space="0" w:color="auto"/>
                </w:tcBorders>
              </w:tcPr>
              <w:p w14:paraId="065CB983" w14:textId="77777777" w:rsidR="00D21C1F" w:rsidRPr="0026714A" w:rsidRDefault="00D21C1F">
                <w:pPr>
                  <w:rPr>
                    <w:rFonts w:ascii="Times New Roman" w:hAnsi="Times New Roman" w:cs="Times New Roman"/>
                    <w:szCs w:val="21"/>
                  </w:rPr>
                </w:pPr>
              </w:p>
            </w:tc>
          </w:tr>
          <w:tr w:rsidR="00D21C1F" w:rsidRPr="0026714A" w14:paraId="638010FE" w14:textId="77777777">
            <w:trPr>
              <w:cantSplit/>
            </w:trPr>
            <w:sdt>
              <w:sdtPr>
                <w:rPr>
                  <w:rFonts w:ascii="Times New Roman" w:hAnsi="Times New Roman" w:cs="Times New Roman"/>
                </w:rPr>
                <w:tag w:val="_PLD_0c4dca616a0e4126a03d9e8b2ef3c6bc"/>
                <w:id w:val="-342088955"/>
                <w:lock w:val="sdtLocked"/>
              </w:sdtPr>
              <w:sdtEndPr/>
              <w:sdtContent>
                <w:tc>
                  <w:tcPr>
                    <w:tcW w:w="686" w:type="pct"/>
                    <w:tcBorders>
                      <w:top w:val="single" w:sz="4" w:space="0" w:color="auto"/>
                      <w:left w:val="single" w:sz="4" w:space="0" w:color="auto"/>
                      <w:bottom w:val="single" w:sz="4" w:space="0" w:color="auto"/>
                      <w:right w:val="single" w:sz="4" w:space="0" w:color="auto"/>
                    </w:tcBorders>
                  </w:tcPr>
                  <w:p w14:paraId="3C922290" w14:textId="77777777" w:rsidR="00D21C1F" w:rsidRPr="0026714A" w:rsidRDefault="00A42880">
                    <w:pPr>
                      <w:jc w:val="center"/>
                      <w:rPr>
                        <w:rFonts w:ascii="Times New Roman" w:hAnsi="Times New Roman" w:cs="Times New Roman"/>
                        <w:szCs w:val="21"/>
                      </w:rPr>
                    </w:pPr>
                    <w:r w:rsidRPr="0026714A">
                      <w:rPr>
                        <w:rFonts w:ascii="Times New Roman" w:hAnsi="Times New Roman" w:cs="Times New Roman"/>
                        <w:szCs w:val="21"/>
                      </w:rPr>
                      <w:t>股份总数</w:t>
                    </w:r>
                  </w:p>
                </w:tc>
              </w:sdtContent>
            </w:sdt>
            <w:tc>
              <w:tcPr>
                <w:tcW w:w="939" w:type="pct"/>
                <w:tcBorders>
                  <w:top w:val="single" w:sz="4" w:space="0" w:color="auto"/>
                  <w:left w:val="single" w:sz="4" w:space="0" w:color="auto"/>
                  <w:bottom w:val="single" w:sz="4" w:space="0" w:color="auto"/>
                  <w:right w:val="single" w:sz="4" w:space="0" w:color="auto"/>
                </w:tcBorders>
                <w:vAlign w:val="bottom"/>
              </w:tcPr>
              <w:p w14:paraId="4D44D184"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521,780,000.00</w:t>
                </w:r>
              </w:p>
            </w:tc>
            <w:tc>
              <w:tcPr>
                <w:tcW w:w="548" w:type="pct"/>
                <w:tcBorders>
                  <w:top w:val="single" w:sz="4" w:space="0" w:color="auto"/>
                  <w:left w:val="single" w:sz="4" w:space="0" w:color="auto"/>
                  <w:bottom w:val="single" w:sz="4" w:space="0" w:color="auto"/>
                  <w:right w:val="single" w:sz="4" w:space="0" w:color="auto"/>
                </w:tcBorders>
                <w:vAlign w:val="bottom"/>
              </w:tcPr>
              <w:p w14:paraId="6426A1AC"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vAlign w:val="bottom"/>
              </w:tcPr>
              <w:p w14:paraId="391532D4"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w:t>
                </w:r>
              </w:p>
            </w:tc>
            <w:tc>
              <w:tcPr>
                <w:tcW w:w="626" w:type="pct"/>
                <w:tcBorders>
                  <w:top w:val="single" w:sz="4" w:space="0" w:color="auto"/>
                  <w:left w:val="single" w:sz="4" w:space="0" w:color="auto"/>
                  <w:bottom w:val="single" w:sz="4" w:space="0" w:color="auto"/>
                  <w:right w:val="single" w:sz="4" w:space="0" w:color="auto"/>
                </w:tcBorders>
                <w:vAlign w:val="bottom"/>
              </w:tcPr>
              <w:p w14:paraId="7D4BC5B4"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w:t>
                </w:r>
              </w:p>
            </w:tc>
            <w:tc>
              <w:tcPr>
                <w:tcW w:w="469" w:type="pct"/>
                <w:tcBorders>
                  <w:top w:val="single" w:sz="4" w:space="0" w:color="auto"/>
                  <w:left w:val="single" w:sz="4" w:space="0" w:color="auto"/>
                  <w:bottom w:val="single" w:sz="4" w:space="0" w:color="auto"/>
                  <w:right w:val="single" w:sz="4" w:space="0" w:color="auto"/>
                </w:tcBorders>
                <w:vAlign w:val="bottom"/>
              </w:tcPr>
              <w:p w14:paraId="5EEC90A9"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w:t>
                </w:r>
              </w:p>
            </w:tc>
            <w:tc>
              <w:tcPr>
                <w:tcW w:w="408" w:type="pct"/>
                <w:tcBorders>
                  <w:top w:val="single" w:sz="4" w:space="0" w:color="auto"/>
                  <w:left w:val="single" w:sz="4" w:space="0" w:color="auto"/>
                  <w:bottom w:val="single" w:sz="4" w:space="0" w:color="auto"/>
                  <w:right w:val="single" w:sz="4" w:space="0" w:color="auto"/>
                </w:tcBorders>
                <w:vAlign w:val="bottom"/>
              </w:tcPr>
              <w:p w14:paraId="3476906B"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w:t>
                </w:r>
              </w:p>
            </w:tc>
            <w:tc>
              <w:tcPr>
                <w:tcW w:w="932" w:type="pct"/>
                <w:tcBorders>
                  <w:top w:val="single" w:sz="4" w:space="0" w:color="auto"/>
                  <w:left w:val="single" w:sz="4" w:space="0" w:color="auto"/>
                  <w:bottom w:val="single" w:sz="4" w:space="0" w:color="auto"/>
                  <w:right w:val="single" w:sz="4" w:space="0" w:color="auto"/>
                </w:tcBorders>
                <w:vAlign w:val="bottom"/>
              </w:tcPr>
              <w:p w14:paraId="438F175D" w14:textId="77777777" w:rsidR="00D21C1F" w:rsidRPr="0026714A" w:rsidRDefault="00A42880">
                <w:pPr>
                  <w:jc w:val="right"/>
                  <w:rPr>
                    <w:rFonts w:ascii="Times New Roman" w:hAnsi="Times New Roman" w:cs="Times New Roman"/>
                    <w:szCs w:val="21"/>
                  </w:rPr>
                </w:pPr>
                <w:r w:rsidRPr="0026714A">
                  <w:rPr>
                    <w:rFonts w:ascii="Times New Roman" w:hAnsi="Times New Roman" w:cs="Times New Roman"/>
                    <w:szCs w:val="21"/>
                  </w:rPr>
                  <w:t>521,780,000.00</w:t>
                </w:r>
              </w:p>
            </w:tc>
          </w:tr>
        </w:tbl>
        <w:p w14:paraId="4318C1AE" w14:textId="77777777" w:rsidR="00D21C1F" w:rsidRPr="0026714A" w:rsidRDefault="00A42880">
          <w:pPr>
            <w:spacing w:before="60" w:after="60"/>
            <w:rPr>
              <w:rFonts w:ascii="Times New Roman" w:hAnsi="Times New Roman" w:cs="Times New Roman"/>
              <w:szCs w:val="21"/>
            </w:rPr>
          </w:pPr>
          <w:r w:rsidRPr="0026714A">
            <w:rPr>
              <w:rFonts w:ascii="Times New Roman" w:hAnsi="Times New Roman" w:cs="Times New Roman"/>
              <w:szCs w:val="21"/>
            </w:rPr>
            <w:t>其他说明：</w:t>
          </w:r>
        </w:p>
        <w:sdt>
          <w:sdtPr>
            <w:rPr>
              <w:rFonts w:ascii="Times New Roman" w:hAnsi="Times New Roman" w:cs="Times New Roman"/>
              <w:szCs w:val="21"/>
            </w:rPr>
            <w:alias w:val="股本变动情况说明"/>
            <w:tag w:val="_GBC_752687f835754470ad7a125ef32391e4"/>
            <w:id w:val="-1143113940"/>
            <w:lock w:val="sdtLocked"/>
            <w:placeholder>
              <w:docPart w:val="GBC22222222222222222222222222222"/>
            </w:placeholder>
          </w:sdtPr>
          <w:sdtEndPr/>
          <w:sdtContent>
            <w:p w14:paraId="27CB0F26" w14:textId="77777777" w:rsidR="00D21C1F" w:rsidRPr="0026714A" w:rsidRDefault="00A42880">
              <w:pPr>
                <w:rPr>
                  <w:rFonts w:ascii="Times New Roman" w:hAnsi="Times New Roman" w:cs="Times New Roman"/>
                  <w:szCs w:val="21"/>
                </w:rPr>
              </w:pPr>
              <w:r w:rsidRPr="0026714A">
                <w:rPr>
                  <w:rFonts w:ascii="Times New Roman" w:hAnsi="Times New Roman" w:cs="Times New Roman"/>
                  <w:szCs w:val="21"/>
                </w:rPr>
                <w:t>无</w:t>
              </w:r>
            </w:p>
          </w:sdtContent>
        </w:sdt>
      </w:sdtContent>
    </w:sdt>
    <w:p w14:paraId="3410DD9A" w14:textId="77777777" w:rsidR="00D21C1F" w:rsidRDefault="00D21C1F">
      <w:pPr>
        <w:rPr>
          <w:szCs w:val="21"/>
        </w:rPr>
      </w:pPr>
    </w:p>
    <w:p w14:paraId="06122AA6" w14:textId="77777777" w:rsidR="00D21C1F" w:rsidRDefault="00A42880">
      <w:pPr>
        <w:pStyle w:val="94"/>
        <w:numPr>
          <w:ilvl w:val="0"/>
          <w:numId w:val="95"/>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GBC_4f862512b6914630932c1857df6db6e4"/>
        <w:id w:val="1779452114"/>
        <w:lock w:val="sdtLocked"/>
        <w:placeholder>
          <w:docPart w:val="GBC22222222222222222222222222222"/>
        </w:placeholder>
      </w:sdtPr>
      <w:sdtEndPr>
        <w:rPr>
          <w:szCs w:val="21"/>
        </w:rPr>
      </w:sdtEndPr>
      <w:sdtContent>
        <w:p w14:paraId="01FAE3A5" w14:textId="77777777" w:rsidR="00D21C1F" w:rsidRDefault="00A42880">
          <w:pPr>
            <w:pStyle w:val="93"/>
            <w:numPr>
              <w:ilvl w:val="0"/>
              <w:numId w:val="122"/>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525944534"/>
            <w:lock w:val="sdtLocked"/>
            <w:placeholder>
              <w:docPart w:val="GBC22222222222222222222222222222"/>
            </w:placeholder>
          </w:sdtPr>
          <w:sdtEndPr/>
          <w:sdtContent>
            <w:p w14:paraId="10FBF36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B594AE" w14:textId="77777777" w:rsidR="00D21C1F" w:rsidRDefault="00A42880">
          <w:pPr>
            <w:pStyle w:val="93"/>
            <w:numPr>
              <w:ilvl w:val="0"/>
              <w:numId w:val="122"/>
            </w:numPr>
            <w:rPr>
              <w:rFonts w:ascii="宋体" w:hAnsi="宋体"/>
              <w:szCs w:val="21"/>
            </w:rPr>
          </w:pPr>
          <w:r>
            <w:rPr>
              <w:rFonts w:ascii="宋体" w:hAnsi="宋体" w:hint="eastAsia"/>
              <w:szCs w:val="21"/>
            </w:rPr>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519782827"/>
            <w:lock w:val="sdtLocked"/>
            <w:placeholder>
              <w:docPart w:val="GBC22222222222222222222222222222"/>
            </w:placeholder>
          </w:sdtPr>
          <w:sdtEndPr/>
          <w:sdtContent>
            <w:p w14:paraId="4D15B505"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4CE6A8A" w14:textId="77777777" w:rsidR="00D21C1F" w:rsidRDefault="00A42880">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601304194"/>
            <w:lock w:val="sdtLocked"/>
            <w:placeholder>
              <w:docPart w:val="GBC22222222222222222222222222222"/>
            </w:placeholder>
          </w:sdtPr>
          <w:sdtEndPr/>
          <w:sdtContent>
            <w:p w14:paraId="0DDA154A"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6F739B" w14:textId="77777777" w:rsidR="00D21C1F" w:rsidRDefault="00A42880">
          <w:pPr>
            <w:rPr>
              <w:szCs w:val="21"/>
            </w:rPr>
          </w:pPr>
          <w:r>
            <w:rPr>
              <w:rFonts w:hint="eastAsia"/>
              <w:szCs w:val="21"/>
            </w:rPr>
            <w:t>其他说明:</w:t>
          </w:r>
        </w:p>
        <w:sdt>
          <w:sdtPr>
            <w:rPr>
              <w:szCs w:val="21"/>
            </w:rPr>
            <w:alias w:val="是否适用：其他权益工具的其他说明[双击切换]"/>
            <w:tag w:val="_GBC_297d299126b041159b18d012f9a18c2e"/>
            <w:id w:val="-1208954116"/>
            <w:lock w:val="sdtLocked"/>
            <w:placeholder>
              <w:docPart w:val="GBC22222222222222222222222222222"/>
            </w:placeholder>
          </w:sdtPr>
          <w:sdtEndPr/>
          <w:sdtContent>
            <w:p w14:paraId="08B2ABDF"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784415" w14:textId="77777777" w:rsidR="00D21C1F" w:rsidRDefault="00045EC6">
          <w:pPr>
            <w:rPr>
              <w:szCs w:val="21"/>
            </w:rPr>
          </w:pPr>
        </w:p>
      </w:sdtContent>
    </w:sdt>
    <w:sdt>
      <w:sdtPr>
        <w:rPr>
          <w:rFonts w:ascii="Times New Roman" w:eastAsia="宋体" w:hAnsi="Times New Roman" w:cs="宋体"/>
          <w:b w:val="0"/>
          <w:bCs w:val="0"/>
          <w:kern w:val="0"/>
          <w:szCs w:val="21"/>
        </w:rPr>
        <w:alias w:val="模块:资本公积"/>
        <w:tag w:val="_GBC_23fef1c643714b9f82710e33a1bef935"/>
        <w:id w:val="-936048006"/>
        <w:lock w:val="sdtLocked"/>
        <w:placeholder>
          <w:docPart w:val="GBC22222222222222222222222222222"/>
        </w:placeholder>
      </w:sdtPr>
      <w:sdtEndPr>
        <w:rPr>
          <w:color w:val="000000" w:themeColor="text1"/>
          <w:kern w:val="2"/>
        </w:rPr>
      </w:sdtEndPr>
      <w:sdtContent>
        <w:p w14:paraId="25D8C1B2" w14:textId="77777777" w:rsidR="00D21C1F" w:rsidRPr="00C967AA" w:rsidRDefault="00A42880">
          <w:pPr>
            <w:pStyle w:val="94"/>
            <w:numPr>
              <w:ilvl w:val="0"/>
              <w:numId w:val="95"/>
            </w:numPr>
            <w:tabs>
              <w:tab w:val="left" w:pos="504"/>
            </w:tabs>
            <w:rPr>
              <w:rFonts w:ascii="Times New Roman" w:hAnsi="Times New Roman"/>
              <w:szCs w:val="21"/>
            </w:rPr>
          </w:pPr>
          <w:r w:rsidRPr="00C967AA">
            <w:rPr>
              <w:rFonts w:ascii="Times New Roman" w:hAnsi="Times New Roman"/>
              <w:szCs w:val="21"/>
            </w:rPr>
            <w:t>资本公积</w:t>
          </w:r>
        </w:p>
        <w:sdt>
          <w:sdtPr>
            <w:rPr>
              <w:rFonts w:ascii="Times New Roman" w:hAnsi="Times New Roman" w:cs="Times New Roman"/>
            </w:rPr>
            <w:alias w:val="是否适用：资本公积[双击切换]"/>
            <w:tag w:val="_GBC_70f32b67ce344a03adfc93d4ed72949a"/>
            <w:id w:val="-146362792"/>
            <w:lock w:val="sdtLocked"/>
            <w:placeholder>
              <w:docPart w:val="GBC22222222222222222222222222222"/>
            </w:placeholder>
          </w:sdtPr>
          <w:sdtEndPr/>
          <w:sdtContent>
            <w:p w14:paraId="078B9FAF" w14:textId="77777777" w:rsidR="00D21C1F" w:rsidRPr="00C967AA" w:rsidRDefault="00A42880">
              <w:pPr>
                <w:pStyle w:val="97"/>
                <w:rPr>
                  <w:rFonts w:ascii="Times New Roman" w:hAnsi="Times New Roman" w:cs="Times New Roman"/>
                </w:rPr>
              </w:pPr>
              <w:r w:rsidRPr="00C967AA">
                <w:rPr>
                  <w:rFonts w:ascii="Times New Roman" w:hAnsi="Times New Roman" w:cs="Times New Roman"/>
                </w:rPr>
                <w:fldChar w:fldCharType="begin"/>
              </w:r>
              <w:r w:rsidRPr="00C967AA">
                <w:rPr>
                  <w:rFonts w:ascii="Times New Roman" w:hAnsi="Times New Roman" w:cs="Times New Roman"/>
                </w:rPr>
                <w:instrText xml:space="preserve"> MACROBUTTON  SnrToggleCheckbox □</w:instrText>
              </w:r>
              <w:r w:rsidRPr="00C967AA">
                <w:rPr>
                  <w:rFonts w:ascii="Times New Roman" w:hAnsi="Times New Roman" w:cs="Times New Roman"/>
                </w:rPr>
                <w:instrText>适用</w:instrText>
              </w:r>
              <w:r w:rsidRPr="00C967AA">
                <w:rPr>
                  <w:rFonts w:ascii="Times New Roman" w:hAnsi="Times New Roman" w:cs="Times New Roman"/>
                </w:rPr>
                <w:instrText xml:space="preserve"> </w:instrText>
              </w:r>
              <w:r w:rsidRPr="00C967AA">
                <w:rPr>
                  <w:rFonts w:ascii="Times New Roman" w:hAnsi="Times New Roman" w:cs="Times New Roman"/>
                </w:rPr>
                <w:fldChar w:fldCharType="end"/>
              </w:r>
              <w:r w:rsidRPr="00C967AA">
                <w:rPr>
                  <w:rFonts w:ascii="Times New Roman" w:hAnsi="Times New Roman" w:cs="Times New Roman"/>
                </w:rPr>
                <w:fldChar w:fldCharType="begin"/>
              </w:r>
              <w:r w:rsidRPr="00C967AA">
                <w:rPr>
                  <w:rFonts w:ascii="Times New Roman" w:hAnsi="Times New Roman" w:cs="Times New Roman"/>
                </w:rPr>
                <w:instrText xml:space="preserve"> MACROBUTTON  SnrToggleCheckbox □</w:instrText>
              </w:r>
              <w:r w:rsidRPr="00C967AA">
                <w:rPr>
                  <w:rFonts w:ascii="Times New Roman" w:hAnsi="Times New Roman" w:cs="Times New Roman"/>
                </w:rPr>
                <w:instrText>不适用</w:instrText>
              </w:r>
              <w:r w:rsidRPr="00C967AA">
                <w:rPr>
                  <w:rFonts w:ascii="Times New Roman" w:hAnsi="Times New Roman" w:cs="Times New Roman"/>
                </w:rPr>
                <w:instrText xml:space="preserve"> </w:instrText>
              </w:r>
              <w:r w:rsidRPr="00C967AA">
                <w:rPr>
                  <w:rFonts w:ascii="Times New Roman" w:hAnsi="Times New Roman" w:cs="Times New Roman"/>
                </w:rPr>
                <w:fldChar w:fldCharType="end"/>
              </w:r>
            </w:p>
          </w:sdtContent>
        </w:sdt>
        <w:p w14:paraId="1279C422" w14:textId="77777777" w:rsidR="00D21C1F" w:rsidRPr="00C967AA" w:rsidRDefault="00A42880">
          <w:pPr>
            <w:jc w:val="right"/>
            <w:rPr>
              <w:rFonts w:ascii="Times New Roman" w:hAnsi="Times New Roman" w:cs="Times New Roman"/>
              <w:szCs w:val="21"/>
            </w:rPr>
          </w:pPr>
          <w:r w:rsidRPr="00C967AA">
            <w:rPr>
              <w:rFonts w:ascii="Times New Roman" w:hAnsi="Times New Roman" w:cs="Times New Roman"/>
              <w:szCs w:val="21"/>
            </w:rPr>
            <w:t>单位：</w:t>
          </w:r>
          <w:sdt>
            <w:sdtPr>
              <w:rPr>
                <w:rFonts w:ascii="Times New Roman" w:hAnsi="Times New Roman" w:cs="Times New Roman"/>
                <w:szCs w:val="21"/>
              </w:rPr>
              <w:alias w:val="单位：财务附注：资本公积"/>
              <w:tag w:val="_GBC_88633009fdc64f4e8238c38541b33615"/>
              <w:id w:val="-758823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C967AA">
                <w:rPr>
                  <w:rFonts w:ascii="Times New Roman" w:hAnsi="Times New Roman" w:cs="Times New Roman"/>
                  <w:szCs w:val="21"/>
                </w:rPr>
                <w:t>元</w:t>
              </w:r>
            </w:sdtContent>
          </w:sdt>
          <w:r w:rsidRPr="00C967AA">
            <w:rPr>
              <w:rFonts w:ascii="Times New Roman" w:hAnsi="Times New Roman" w:cs="Times New Roman"/>
              <w:szCs w:val="21"/>
            </w:rPr>
            <w:t>币种：</w:t>
          </w:r>
          <w:sdt>
            <w:sdtPr>
              <w:rPr>
                <w:rFonts w:ascii="Times New Roman" w:hAnsi="Times New Roman" w:cs="Times New Roman"/>
                <w:szCs w:val="21"/>
              </w:rPr>
              <w:alias w:val="币种：财务附注：资本公积"/>
              <w:tag w:val="_GBC_636aa96d47cb426abc64fc00b61c9353"/>
              <w:id w:val="1977102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C967AA">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15"/>
            <w:gridCol w:w="1893"/>
            <w:gridCol w:w="1558"/>
            <w:gridCol w:w="1276"/>
            <w:gridCol w:w="1881"/>
          </w:tblGrid>
          <w:tr w:rsidR="00D21C1F" w:rsidRPr="00C967AA" w14:paraId="053CD2C9" w14:textId="77777777">
            <w:sdt>
              <w:sdtPr>
                <w:rPr>
                  <w:rFonts w:ascii="Times New Roman" w:hAnsi="Times New Roman" w:cs="Times New Roman"/>
                </w:rPr>
                <w:tag w:val="_PLD_177c011500e64862903c4c16dbb2f31f"/>
                <w:id w:val="-352952867"/>
                <w:lock w:val="sdtLocked"/>
              </w:sdtPr>
              <w:sdtEndPr/>
              <w:sdtContent>
                <w:tc>
                  <w:tcPr>
                    <w:tcW w:w="1255" w:type="pct"/>
                    <w:vAlign w:val="center"/>
                  </w:tcPr>
                  <w:p w14:paraId="646611BC" w14:textId="77777777" w:rsidR="00D21C1F" w:rsidRPr="00C967AA" w:rsidRDefault="00A42880">
                    <w:pPr>
                      <w:autoSpaceDE w:val="0"/>
                      <w:autoSpaceDN w:val="0"/>
                      <w:adjustRightInd w:val="0"/>
                      <w:snapToGrid w:val="0"/>
                      <w:jc w:val="center"/>
                      <w:rPr>
                        <w:rFonts w:ascii="Times New Roman" w:hAnsi="Times New Roman" w:cs="Times New Roman"/>
                        <w:szCs w:val="21"/>
                      </w:rPr>
                    </w:pPr>
                    <w:r w:rsidRPr="00C967AA">
                      <w:rPr>
                        <w:rFonts w:ascii="Times New Roman" w:hAnsi="Times New Roman" w:cs="Times New Roman"/>
                        <w:szCs w:val="21"/>
                      </w:rPr>
                      <w:t>项目</w:t>
                    </w:r>
                  </w:p>
                </w:tc>
              </w:sdtContent>
            </w:sdt>
            <w:sdt>
              <w:sdtPr>
                <w:rPr>
                  <w:rFonts w:ascii="Times New Roman" w:hAnsi="Times New Roman" w:cs="Times New Roman"/>
                </w:rPr>
                <w:tag w:val="_PLD_1519f0add67f49df9173f37c00215eef"/>
                <w:id w:val="1172145019"/>
                <w:lock w:val="sdtLocked"/>
              </w:sdtPr>
              <w:sdtEndPr/>
              <w:sdtContent>
                <w:tc>
                  <w:tcPr>
                    <w:tcW w:w="1073" w:type="pct"/>
                    <w:vAlign w:val="center"/>
                  </w:tcPr>
                  <w:p w14:paraId="3AC33AC7" w14:textId="77777777" w:rsidR="00D21C1F" w:rsidRPr="00C967AA" w:rsidRDefault="00A42880">
                    <w:pPr>
                      <w:autoSpaceDE w:val="0"/>
                      <w:autoSpaceDN w:val="0"/>
                      <w:adjustRightInd w:val="0"/>
                      <w:snapToGrid w:val="0"/>
                      <w:jc w:val="center"/>
                      <w:rPr>
                        <w:rFonts w:ascii="Times New Roman" w:hAnsi="Times New Roman" w:cs="Times New Roman"/>
                        <w:szCs w:val="21"/>
                      </w:rPr>
                    </w:pPr>
                    <w:r w:rsidRPr="00C967AA">
                      <w:rPr>
                        <w:rFonts w:ascii="Times New Roman" w:hAnsi="Times New Roman" w:cs="Times New Roman"/>
                        <w:szCs w:val="21"/>
                      </w:rPr>
                      <w:t>期初余额</w:t>
                    </w:r>
                  </w:p>
                </w:tc>
              </w:sdtContent>
            </w:sdt>
            <w:sdt>
              <w:sdtPr>
                <w:rPr>
                  <w:rFonts w:ascii="Times New Roman" w:hAnsi="Times New Roman" w:cs="Times New Roman"/>
                </w:rPr>
                <w:tag w:val="_PLD_dcbf1fd9bcaa41fc8ff4def2d0e55143"/>
                <w:id w:val="1716304564"/>
                <w:lock w:val="sdtLocked"/>
              </w:sdtPr>
              <w:sdtEndPr/>
              <w:sdtContent>
                <w:tc>
                  <w:tcPr>
                    <w:tcW w:w="883" w:type="pct"/>
                    <w:vAlign w:val="center"/>
                  </w:tcPr>
                  <w:p w14:paraId="6EB2CA31" w14:textId="77777777" w:rsidR="00D21C1F" w:rsidRPr="00C967AA" w:rsidRDefault="00A42880">
                    <w:pPr>
                      <w:autoSpaceDE w:val="0"/>
                      <w:autoSpaceDN w:val="0"/>
                      <w:adjustRightInd w:val="0"/>
                      <w:snapToGrid w:val="0"/>
                      <w:jc w:val="center"/>
                      <w:rPr>
                        <w:rFonts w:ascii="Times New Roman" w:hAnsi="Times New Roman" w:cs="Times New Roman"/>
                        <w:szCs w:val="21"/>
                      </w:rPr>
                    </w:pPr>
                    <w:r w:rsidRPr="00C967AA">
                      <w:rPr>
                        <w:rFonts w:ascii="Times New Roman" w:hAnsi="Times New Roman" w:cs="Times New Roman"/>
                        <w:szCs w:val="21"/>
                      </w:rPr>
                      <w:t>本期增加</w:t>
                    </w:r>
                  </w:p>
                </w:tc>
              </w:sdtContent>
            </w:sdt>
            <w:sdt>
              <w:sdtPr>
                <w:rPr>
                  <w:rFonts w:ascii="Times New Roman" w:hAnsi="Times New Roman" w:cs="Times New Roman"/>
                </w:rPr>
                <w:tag w:val="_PLD_9d88d0ce99474d389c660c414306497d"/>
                <w:id w:val="-492569001"/>
                <w:lock w:val="sdtLocked"/>
              </w:sdtPr>
              <w:sdtEndPr/>
              <w:sdtContent>
                <w:tc>
                  <w:tcPr>
                    <w:tcW w:w="723" w:type="pct"/>
                    <w:vAlign w:val="center"/>
                  </w:tcPr>
                  <w:p w14:paraId="5C03BB33" w14:textId="77777777" w:rsidR="00D21C1F" w:rsidRPr="00C967AA" w:rsidRDefault="00A42880">
                    <w:pPr>
                      <w:autoSpaceDE w:val="0"/>
                      <w:autoSpaceDN w:val="0"/>
                      <w:adjustRightInd w:val="0"/>
                      <w:snapToGrid w:val="0"/>
                      <w:jc w:val="center"/>
                      <w:rPr>
                        <w:rFonts w:ascii="Times New Roman" w:hAnsi="Times New Roman" w:cs="Times New Roman"/>
                        <w:szCs w:val="21"/>
                      </w:rPr>
                    </w:pPr>
                    <w:r w:rsidRPr="00C967AA">
                      <w:rPr>
                        <w:rFonts w:ascii="Times New Roman" w:hAnsi="Times New Roman" w:cs="Times New Roman"/>
                        <w:szCs w:val="21"/>
                      </w:rPr>
                      <w:t>本期减少</w:t>
                    </w:r>
                  </w:p>
                </w:tc>
              </w:sdtContent>
            </w:sdt>
            <w:sdt>
              <w:sdtPr>
                <w:rPr>
                  <w:rFonts w:ascii="Times New Roman" w:hAnsi="Times New Roman" w:cs="Times New Roman"/>
                </w:rPr>
                <w:tag w:val="_PLD_4c3f2255a4a24c1cae63eb0cc7781f12"/>
                <w:id w:val="-1260212404"/>
                <w:lock w:val="sdtLocked"/>
              </w:sdtPr>
              <w:sdtEndPr/>
              <w:sdtContent>
                <w:tc>
                  <w:tcPr>
                    <w:tcW w:w="1067" w:type="pct"/>
                    <w:vAlign w:val="center"/>
                  </w:tcPr>
                  <w:p w14:paraId="1631880B" w14:textId="77777777" w:rsidR="00D21C1F" w:rsidRPr="00C967AA" w:rsidRDefault="00A42880">
                    <w:pPr>
                      <w:autoSpaceDE w:val="0"/>
                      <w:autoSpaceDN w:val="0"/>
                      <w:adjustRightInd w:val="0"/>
                      <w:snapToGrid w:val="0"/>
                      <w:jc w:val="center"/>
                      <w:rPr>
                        <w:rFonts w:ascii="Times New Roman" w:hAnsi="Times New Roman" w:cs="Times New Roman"/>
                        <w:szCs w:val="21"/>
                      </w:rPr>
                    </w:pPr>
                    <w:r w:rsidRPr="00C967AA">
                      <w:rPr>
                        <w:rFonts w:ascii="Times New Roman" w:hAnsi="Times New Roman" w:cs="Times New Roman"/>
                        <w:szCs w:val="21"/>
                      </w:rPr>
                      <w:t>期末余额</w:t>
                    </w:r>
                  </w:p>
                </w:tc>
              </w:sdtContent>
            </w:sdt>
          </w:tr>
          <w:tr w:rsidR="00D21C1F" w:rsidRPr="00C967AA" w14:paraId="0B8AA0BF" w14:textId="77777777">
            <w:sdt>
              <w:sdtPr>
                <w:rPr>
                  <w:rFonts w:ascii="Times New Roman" w:hAnsi="Times New Roman" w:cs="Times New Roman"/>
                </w:rPr>
                <w:tag w:val="_PLD_6f0c6094ea774cff87e6eacd4eb8ba12"/>
                <w:id w:val="1330648418"/>
                <w:lock w:val="sdtLocked"/>
              </w:sdtPr>
              <w:sdtEndPr/>
              <w:sdtContent>
                <w:tc>
                  <w:tcPr>
                    <w:tcW w:w="1255" w:type="pct"/>
                    <w:shd w:val="clear" w:color="auto" w:fill="auto"/>
                  </w:tcPr>
                  <w:p w14:paraId="096F12C2" w14:textId="77777777" w:rsidR="00D21C1F" w:rsidRPr="00C967AA" w:rsidRDefault="00A42880">
                    <w:pPr>
                      <w:autoSpaceDE w:val="0"/>
                      <w:autoSpaceDN w:val="0"/>
                      <w:adjustRightInd w:val="0"/>
                      <w:snapToGrid w:val="0"/>
                      <w:rPr>
                        <w:rFonts w:ascii="Times New Roman" w:hAnsi="Times New Roman" w:cs="Times New Roman"/>
                        <w:szCs w:val="21"/>
                      </w:rPr>
                    </w:pPr>
                    <w:r w:rsidRPr="00C967AA">
                      <w:rPr>
                        <w:rFonts w:ascii="Times New Roman" w:hAnsi="Times New Roman" w:cs="Times New Roman"/>
                        <w:szCs w:val="21"/>
                      </w:rPr>
                      <w:t>资本溢价（股本溢价）</w:t>
                    </w:r>
                  </w:p>
                </w:tc>
              </w:sdtContent>
            </w:sdt>
            <w:tc>
              <w:tcPr>
                <w:tcW w:w="1073" w:type="pct"/>
                <w:shd w:val="clear" w:color="auto" w:fill="auto"/>
                <w:vAlign w:val="bottom"/>
              </w:tcPr>
              <w:p w14:paraId="052F56A0"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rPr>
                  <w:t>1,919,231,428.71</w:t>
                </w:r>
              </w:p>
            </w:tc>
            <w:tc>
              <w:tcPr>
                <w:tcW w:w="883" w:type="pct"/>
                <w:shd w:val="clear" w:color="auto" w:fill="auto"/>
                <w:vAlign w:val="bottom"/>
              </w:tcPr>
              <w:p w14:paraId="041AE9CE"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szCs w:val="21"/>
                  </w:rPr>
                  <w:t>-</w:t>
                </w:r>
              </w:p>
            </w:tc>
            <w:tc>
              <w:tcPr>
                <w:tcW w:w="723" w:type="pct"/>
                <w:shd w:val="clear" w:color="auto" w:fill="auto"/>
                <w:vAlign w:val="bottom"/>
              </w:tcPr>
              <w:p w14:paraId="178847B9"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szCs w:val="21"/>
                  </w:rPr>
                  <w:t>-</w:t>
                </w:r>
              </w:p>
            </w:tc>
            <w:tc>
              <w:tcPr>
                <w:tcW w:w="1067" w:type="pct"/>
                <w:shd w:val="clear" w:color="auto" w:fill="auto"/>
                <w:vAlign w:val="bottom"/>
              </w:tcPr>
              <w:p w14:paraId="62344D69"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rPr>
                  <w:t>1,919,231,428.71</w:t>
                </w:r>
              </w:p>
            </w:tc>
          </w:tr>
          <w:tr w:rsidR="00D21C1F" w:rsidRPr="00C967AA" w14:paraId="6BA9A389" w14:textId="77777777">
            <w:sdt>
              <w:sdtPr>
                <w:rPr>
                  <w:rFonts w:ascii="Times New Roman" w:hAnsi="Times New Roman" w:cs="Times New Roman"/>
                </w:rPr>
                <w:tag w:val="_PLD_0d65c4a2c84c464d8e7b1cc66155d272"/>
                <w:id w:val="-1723050167"/>
                <w:lock w:val="sdtLocked"/>
              </w:sdtPr>
              <w:sdtEndPr/>
              <w:sdtContent>
                <w:tc>
                  <w:tcPr>
                    <w:tcW w:w="1255" w:type="pct"/>
                    <w:shd w:val="clear" w:color="auto" w:fill="auto"/>
                  </w:tcPr>
                  <w:p w14:paraId="60456C91" w14:textId="77777777" w:rsidR="00D21C1F" w:rsidRPr="00C967AA" w:rsidRDefault="00A42880">
                    <w:pPr>
                      <w:autoSpaceDE w:val="0"/>
                      <w:autoSpaceDN w:val="0"/>
                      <w:adjustRightInd w:val="0"/>
                      <w:snapToGrid w:val="0"/>
                      <w:rPr>
                        <w:rFonts w:ascii="Times New Roman" w:hAnsi="Times New Roman" w:cs="Times New Roman"/>
                        <w:szCs w:val="21"/>
                      </w:rPr>
                    </w:pPr>
                    <w:r w:rsidRPr="00C967AA">
                      <w:rPr>
                        <w:rFonts w:ascii="Times New Roman" w:hAnsi="Times New Roman" w:cs="Times New Roman"/>
                        <w:szCs w:val="21"/>
                      </w:rPr>
                      <w:t>其他资本公积</w:t>
                    </w:r>
                  </w:p>
                </w:tc>
              </w:sdtContent>
            </w:sdt>
            <w:tc>
              <w:tcPr>
                <w:tcW w:w="1073" w:type="pct"/>
                <w:shd w:val="clear" w:color="auto" w:fill="auto"/>
                <w:vAlign w:val="bottom"/>
              </w:tcPr>
              <w:p w14:paraId="6262E4D2"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rPr>
                  <w:t>90,072,889.30</w:t>
                </w:r>
              </w:p>
            </w:tc>
            <w:tc>
              <w:tcPr>
                <w:tcW w:w="883" w:type="pct"/>
                <w:shd w:val="clear" w:color="auto" w:fill="auto"/>
                <w:vAlign w:val="bottom"/>
              </w:tcPr>
              <w:p w14:paraId="06F12695"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szCs w:val="21"/>
                  </w:rPr>
                  <w:t>7,373,094.56</w:t>
                </w:r>
              </w:p>
            </w:tc>
            <w:tc>
              <w:tcPr>
                <w:tcW w:w="723" w:type="pct"/>
                <w:shd w:val="clear" w:color="auto" w:fill="auto"/>
                <w:vAlign w:val="bottom"/>
              </w:tcPr>
              <w:p w14:paraId="6C61D0E2"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szCs w:val="21"/>
                  </w:rPr>
                  <w:t>-</w:t>
                </w:r>
              </w:p>
            </w:tc>
            <w:tc>
              <w:tcPr>
                <w:tcW w:w="1067" w:type="pct"/>
                <w:shd w:val="clear" w:color="auto" w:fill="auto"/>
                <w:vAlign w:val="bottom"/>
              </w:tcPr>
              <w:p w14:paraId="7F975520"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rPr>
                  <w:t>97,445,983.86</w:t>
                </w:r>
              </w:p>
            </w:tc>
          </w:tr>
          <w:tr w:rsidR="00D21C1F" w:rsidRPr="00C967AA" w14:paraId="76EF3012" w14:textId="77777777">
            <w:sdt>
              <w:sdtPr>
                <w:rPr>
                  <w:rFonts w:ascii="Times New Roman" w:hAnsi="Times New Roman" w:cs="Times New Roman"/>
                </w:rPr>
                <w:tag w:val="_PLD_2d6988ed902d4f2a9c423d885cfc336e"/>
                <w:id w:val="-781103220"/>
                <w:lock w:val="sdtLocked"/>
              </w:sdtPr>
              <w:sdtEndPr/>
              <w:sdtContent>
                <w:tc>
                  <w:tcPr>
                    <w:tcW w:w="1255" w:type="pct"/>
                    <w:vAlign w:val="center"/>
                  </w:tcPr>
                  <w:p w14:paraId="65F3A2CC" w14:textId="77777777" w:rsidR="00D21C1F" w:rsidRPr="00C967AA" w:rsidRDefault="00A42880">
                    <w:pPr>
                      <w:autoSpaceDE w:val="0"/>
                      <w:autoSpaceDN w:val="0"/>
                      <w:adjustRightInd w:val="0"/>
                      <w:snapToGrid w:val="0"/>
                      <w:jc w:val="center"/>
                      <w:rPr>
                        <w:rFonts w:ascii="Times New Roman" w:hAnsi="Times New Roman" w:cs="Times New Roman"/>
                        <w:szCs w:val="21"/>
                      </w:rPr>
                    </w:pPr>
                    <w:r w:rsidRPr="00C967AA">
                      <w:rPr>
                        <w:rFonts w:ascii="Times New Roman" w:hAnsi="Times New Roman" w:cs="Times New Roman"/>
                        <w:szCs w:val="21"/>
                      </w:rPr>
                      <w:t>合计</w:t>
                    </w:r>
                  </w:p>
                </w:tc>
              </w:sdtContent>
            </w:sdt>
            <w:tc>
              <w:tcPr>
                <w:tcW w:w="1073" w:type="pct"/>
                <w:vAlign w:val="bottom"/>
              </w:tcPr>
              <w:p w14:paraId="4EB958D4"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szCs w:val="21"/>
                  </w:rPr>
                  <w:t>2,009,304,318.01</w:t>
                </w:r>
              </w:p>
            </w:tc>
            <w:tc>
              <w:tcPr>
                <w:tcW w:w="883" w:type="pct"/>
                <w:vAlign w:val="bottom"/>
              </w:tcPr>
              <w:p w14:paraId="3791AC5C"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szCs w:val="21"/>
                  </w:rPr>
                  <w:t>7,373,094.56</w:t>
                </w:r>
              </w:p>
            </w:tc>
            <w:tc>
              <w:tcPr>
                <w:tcW w:w="723" w:type="pct"/>
                <w:vAlign w:val="bottom"/>
              </w:tcPr>
              <w:p w14:paraId="6A8E1C1D"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szCs w:val="21"/>
                  </w:rPr>
                  <w:t>-</w:t>
                </w:r>
              </w:p>
            </w:tc>
            <w:tc>
              <w:tcPr>
                <w:tcW w:w="1067" w:type="pct"/>
                <w:vAlign w:val="bottom"/>
              </w:tcPr>
              <w:p w14:paraId="68D96471" w14:textId="77777777" w:rsidR="00D21C1F" w:rsidRPr="00C967AA" w:rsidRDefault="00A42880">
                <w:pPr>
                  <w:autoSpaceDE w:val="0"/>
                  <w:autoSpaceDN w:val="0"/>
                  <w:adjustRightInd w:val="0"/>
                  <w:snapToGrid w:val="0"/>
                  <w:jc w:val="right"/>
                  <w:rPr>
                    <w:rFonts w:ascii="Times New Roman" w:hAnsi="Times New Roman" w:cs="Times New Roman"/>
                    <w:szCs w:val="21"/>
                  </w:rPr>
                </w:pPr>
                <w:r w:rsidRPr="00C967AA">
                  <w:rPr>
                    <w:rFonts w:ascii="Times New Roman" w:hAnsi="Times New Roman" w:cs="Times New Roman"/>
                  </w:rPr>
                  <w:t>2,016,677,412.57</w:t>
                </w:r>
              </w:p>
            </w:tc>
          </w:tr>
        </w:tbl>
        <w:p w14:paraId="51140764" w14:textId="77777777" w:rsidR="00D21C1F" w:rsidRPr="00C967AA" w:rsidRDefault="00A42880">
          <w:pPr>
            <w:rPr>
              <w:rFonts w:ascii="Times New Roman" w:hAnsi="Times New Roman" w:cs="Times New Roman"/>
              <w:szCs w:val="21"/>
            </w:rPr>
          </w:pPr>
          <w:r w:rsidRPr="00C967AA">
            <w:rPr>
              <w:rFonts w:ascii="Times New Roman" w:hAnsi="Times New Roman" w:cs="Times New Roman"/>
              <w:szCs w:val="21"/>
            </w:rPr>
            <w:t>其他说明，包括本期增减变动情况、变动原因说明：</w:t>
          </w:r>
        </w:p>
        <w:p w14:paraId="086C740E" w14:textId="77777777" w:rsidR="00D21C1F" w:rsidRDefault="00045EC6">
          <w:pPr>
            <w:rPr>
              <w:szCs w:val="21"/>
            </w:rPr>
          </w:pPr>
          <w:sdt>
            <w:sdtPr>
              <w:rPr>
                <w:rFonts w:ascii="Times New Roman" w:hAnsi="Times New Roman" w:cs="Times New Roman"/>
                <w:szCs w:val="21"/>
              </w:rPr>
              <w:alias w:val="资本公积说明"/>
              <w:tag w:val="_GBC_014f0762b4274266bec2aa5231aa0981"/>
              <w:id w:val="-192147732"/>
              <w:lock w:val="sdtLocked"/>
              <w:placeholder>
                <w:docPart w:val="GBC22222222222222222222222222222"/>
              </w:placeholder>
            </w:sdtPr>
            <w:sdtEndPr/>
            <w:sdtContent>
              <w:r w:rsidR="00A42880" w:rsidRPr="00C967AA">
                <w:rPr>
                  <w:rFonts w:ascii="Times New Roman" w:hAnsi="Times New Roman" w:cs="Times New Roman"/>
                </w:rPr>
                <w:t>资本公积</w:t>
              </w:r>
              <w:r w:rsidR="00A42880" w:rsidRPr="00C967AA">
                <w:rPr>
                  <w:rFonts w:ascii="Times New Roman" w:hAnsi="Times New Roman" w:cs="Times New Roman"/>
                </w:rPr>
                <w:t>-</w:t>
              </w:r>
              <w:r w:rsidR="00A42880" w:rsidRPr="00C967AA">
                <w:rPr>
                  <w:rFonts w:ascii="Times New Roman" w:hAnsi="Times New Roman" w:cs="Times New Roman"/>
                </w:rPr>
                <w:t>其他资本公积本期增加主要为本公司实施股权激励在等待期应分摊的股份支付金额。</w:t>
              </w:r>
            </w:sdtContent>
          </w:sdt>
        </w:p>
      </w:sdtContent>
    </w:sdt>
    <w:p w14:paraId="43ACDFB4" w14:textId="77777777" w:rsidR="00D21C1F" w:rsidRDefault="00D21C1F">
      <w:pPr>
        <w:rPr>
          <w:szCs w:val="21"/>
        </w:rPr>
      </w:pPr>
    </w:p>
    <w:sdt>
      <w:sdtPr>
        <w:rPr>
          <w:rFonts w:ascii="宋体" w:eastAsia="宋体" w:hAnsi="宋体" w:cs="宋体" w:hint="eastAsia"/>
          <w:b w:val="0"/>
          <w:bCs w:val="0"/>
          <w:kern w:val="0"/>
          <w:szCs w:val="21"/>
        </w:rPr>
        <w:alias w:val="模块:库存股"/>
        <w:tag w:val="_GBC_02198eb4b89045c5af2f3bcd240e18af"/>
        <w:id w:val="998615647"/>
        <w:lock w:val="sdtLocked"/>
        <w:placeholder>
          <w:docPart w:val="GBC22222222222222222222222222222"/>
        </w:placeholder>
      </w:sdtPr>
      <w:sdtEndPr>
        <w:rPr>
          <w:rFonts w:cstheme="minorBidi" w:hint="default"/>
          <w:color w:val="000000" w:themeColor="text1"/>
          <w:kern w:val="2"/>
        </w:rPr>
      </w:sdtEndPr>
      <w:sdtContent>
        <w:p w14:paraId="5A0ED315"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156730952"/>
            <w:lock w:val="sdtLocked"/>
            <w:placeholder>
              <w:docPart w:val="GBC22222222222222222222222222222"/>
            </w:placeholder>
          </w:sdtPr>
          <w:sdtEndPr/>
          <w:sdtContent>
            <w:p w14:paraId="05C4AC8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51BF0CA" w14:textId="77777777" w:rsidR="00D21C1F" w:rsidRDefault="00D21C1F">
          <w:pPr>
            <w:rPr>
              <w:b/>
              <w:szCs w:val="21"/>
            </w:rPr>
            <w:sectPr w:rsidR="00D21C1F">
              <w:pgSz w:w="11906" w:h="16838"/>
              <w:pgMar w:top="1525" w:right="1276" w:bottom="1440" w:left="1797" w:header="856" w:footer="992" w:gutter="0"/>
              <w:cols w:space="425"/>
              <w:docGrid w:linePitch="312"/>
            </w:sectPr>
          </w:pPr>
        </w:p>
        <w:p w14:paraId="7BF15A3C" w14:textId="77777777" w:rsidR="00D21C1F" w:rsidRDefault="00045EC6">
          <w:pPr>
            <w:rPr>
              <w:b/>
              <w:szCs w:val="21"/>
            </w:rPr>
          </w:pPr>
        </w:p>
      </w:sdtContent>
    </w:sdt>
    <w:bookmarkStart w:id="274" w:name="_Hlk10537776" w:displacedByCustomXml="next"/>
    <w:sdt>
      <w:sdtPr>
        <w:rPr>
          <w:rFonts w:ascii="Times New Roman" w:eastAsia="宋体" w:hAnsi="Times New Roman" w:cs="宋体"/>
          <w:b w:val="0"/>
          <w:bCs w:val="0"/>
          <w:kern w:val="0"/>
          <w:szCs w:val="21"/>
        </w:rPr>
        <w:alias w:val="模块:其他综合收益"/>
        <w:tag w:val="_GBC_de162f89125c4dc8abd2331e6cce7184"/>
        <w:id w:val="329108764"/>
        <w:lock w:val="sdtLocked"/>
        <w:placeholder>
          <w:docPart w:val="GBC22222222222222222222222222222"/>
        </w:placeholder>
      </w:sdtPr>
      <w:sdtEndPr/>
      <w:sdtContent>
        <w:p w14:paraId="751F9C5D" w14:textId="77777777" w:rsidR="00D21C1F" w:rsidRPr="00345983" w:rsidRDefault="00A42880">
          <w:pPr>
            <w:pStyle w:val="94"/>
            <w:numPr>
              <w:ilvl w:val="0"/>
              <w:numId w:val="95"/>
            </w:numPr>
            <w:tabs>
              <w:tab w:val="left" w:pos="504"/>
            </w:tabs>
            <w:rPr>
              <w:rFonts w:ascii="Times New Roman" w:hAnsi="Times New Roman"/>
              <w:szCs w:val="21"/>
            </w:rPr>
          </w:pPr>
          <w:r w:rsidRPr="00345983">
            <w:rPr>
              <w:rFonts w:ascii="Times New Roman" w:hAnsi="Times New Roman"/>
              <w:szCs w:val="21"/>
            </w:rPr>
            <w:t>其他综合收益</w:t>
          </w:r>
        </w:p>
        <w:sdt>
          <w:sdtPr>
            <w:rPr>
              <w:rFonts w:ascii="Times New Roman" w:hAnsi="Times New Roman" w:cs="Times New Roman"/>
            </w:rPr>
            <w:alias w:val="是否适用：其他综合收益[双击切换]"/>
            <w:tag w:val="_GBC_a53cc67f2be24dfbbe3af1b633d9bd6d"/>
            <w:id w:val="1394241246"/>
            <w:lock w:val="sdtLocked"/>
            <w:placeholder>
              <w:docPart w:val="GBC22222222222222222222222222222"/>
            </w:placeholder>
          </w:sdtPr>
          <w:sdtEndPr/>
          <w:sdtContent>
            <w:p w14:paraId="58BEA3A1" w14:textId="77777777" w:rsidR="00D21C1F" w:rsidRPr="00345983" w:rsidRDefault="00A42880">
              <w:pPr>
                <w:pStyle w:val="97"/>
                <w:rPr>
                  <w:rFonts w:ascii="Times New Roman" w:hAnsi="Times New Roman" w:cs="Times New Roman"/>
                </w:rPr>
              </w:pPr>
              <w:r w:rsidRPr="00345983">
                <w:rPr>
                  <w:rFonts w:ascii="Times New Roman" w:hAnsi="Times New Roman" w:cs="Times New Roman"/>
                </w:rPr>
                <w:fldChar w:fldCharType="begin"/>
              </w:r>
              <w:r w:rsidRPr="00345983">
                <w:rPr>
                  <w:rFonts w:ascii="Times New Roman" w:hAnsi="Times New Roman" w:cs="Times New Roman"/>
                </w:rPr>
                <w:instrText xml:space="preserve"> MACROBUTTON  SnrToggleCheckbox √</w:instrText>
              </w:r>
              <w:r w:rsidRPr="00345983">
                <w:rPr>
                  <w:rFonts w:ascii="Times New Roman" w:hAnsi="Times New Roman" w:cs="Times New Roman"/>
                </w:rPr>
                <w:instrText>适用</w:instrText>
              </w:r>
              <w:r w:rsidRPr="00345983">
                <w:rPr>
                  <w:rFonts w:ascii="Times New Roman" w:hAnsi="Times New Roman" w:cs="Times New Roman"/>
                </w:rPr>
                <w:instrText xml:space="preserve"> </w:instrText>
              </w:r>
              <w:r w:rsidRPr="00345983">
                <w:rPr>
                  <w:rFonts w:ascii="Times New Roman" w:hAnsi="Times New Roman" w:cs="Times New Roman"/>
                </w:rPr>
                <w:fldChar w:fldCharType="end"/>
              </w:r>
              <w:r w:rsidRPr="00345983">
                <w:rPr>
                  <w:rFonts w:ascii="Times New Roman" w:hAnsi="Times New Roman" w:cs="Times New Roman"/>
                </w:rPr>
                <w:fldChar w:fldCharType="begin"/>
              </w:r>
              <w:r w:rsidRPr="00345983">
                <w:rPr>
                  <w:rFonts w:ascii="Times New Roman" w:hAnsi="Times New Roman" w:cs="Times New Roman"/>
                </w:rPr>
                <w:instrText xml:space="preserve"> MACROBUTTON  SnrToggleCheckbox □</w:instrText>
              </w:r>
              <w:r w:rsidRPr="00345983">
                <w:rPr>
                  <w:rFonts w:ascii="Times New Roman" w:hAnsi="Times New Roman" w:cs="Times New Roman"/>
                </w:rPr>
                <w:instrText>不适用</w:instrText>
              </w:r>
              <w:r w:rsidRPr="00345983">
                <w:rPr>
                  <w:rFonts w:ascii="Times New Roman" w:hAnsi="Times New Roman" w:cs="Times New Roman"/>
                </w:rPr>
                <w:instrText xml:space="preserve"> </w:instrText>
              </w:r>
              <w:r w:rsidRPr="00345983">
                <w:rPr>
                  <w:rFonts w:ascii="Times New Roman" w:hAnsi="Times New Roman" w:cs="Times New Roman"/>
                </w:rPr>
                <w:fldChar w:fldCharType="end"/>
              </w:r>
            </w:p>
          </w:sdtContent>
        </w:sdt>
        <w:p w14:paraId="24983D78" w14:textId="77777777" w:rsidR="00D21C1F" w:rsidRPr="00345983" w:rsidRDefault="00A42880">
          <w:pPr>
            <w:jc w:val="right"/>
            <w:rPr>
              <w:rFonts w:ascii="Times New Roman" w:hAnsi="Times New Roman" w:cs="Times New Roman"/>
              <w:szCs w:val="21"/>
            </w:rPr>
          </w:pPr>
          <w:r w:rsidRPr="00345983">
            <w:rPr>
              <w:rFonts w:ascii="Times New Roman" w:hAnsi="Times New Roman" w:cs="Times New Roman"/>
              <w:szCs w:val="21"/>
            </w:rPr>
            <w:t>单位：</w:t>
          </w:r>
          <w:sdt>
            <w:sdtPr>
              <w:rPr>
                <w:rFonts w:ascii="Times New Roman" w:hAnsi="Times New Roman" w:cs="Times New Roman"/>
                <w:szCs w:val="21"/>
              </w:rPr>
              <w:alias w:val="单位：财务附注：其他综合收益情况"/>
              <w:tag w:val="_GBC_3fcad98da74248809a759048ca194814"/>
              <w:id w:val="-15421921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345983">
                <w:rPr>
                  <w:rFonts w:ascii="Times New Roman" w:hAnsi="Times New Roman" w:cs="Times New Roman"/>
                  <w:szCs w:val="21"/>
                </w:rPr>
                <w:t>元</w:t>
              </w:r>
            </w:sdtContent>
          </w:sdt>
          <w:r w:rsidRPr="00345983">
            <w:rPr>
              <w:rFonts w:ascii="Times New Roman" w:hAnsi="Times New Roman" w:cs="Times New Roman"/>
              <w:szCs w:val="21"/>
            </w:rPr>
            <w:t>币种：</w:t>
          </w:r>
          <w:sdt>
            <w:sdtPr>
              <w:rPr>
                <w:rFonts w:ascii="Times New Roman" w:hAnsi="Times New Roman" w:cs="Times New Roman"/>
                <w:szCs w:val="21"/>
              </w:rPr>
              <w:alias w:val="币种：财务附注：其他综合收益情况"/>
              <w:tag w:val="_GBC_3909f37aa0cc4eda82ff1503a6abe503"/>
              <w:id w:val="1392314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345983">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05"/>
            <w:gridCol w:w="1700"/>
            <w:gridCol w:w="1195"/>
            <w:gridCol w:w="1214"/>
            <w:gridCol w:w="1134"/>
            <w:gridCol w:w="1844"/>
            <w:gridCol w:w="993"/>
            <w:gridCol w:w="1960"/>
          </w:tblGrid>
          <w:tr w:rsidR="00D21C1F" w:rsidRPr="00345983" w14:paraId="76316A35" w14:textId="77777777">
            <w:trPr>
              <w:trHeight w:val="215"/>
            </w:trPr>
            <w:sdt>
              <w:sdtPr>
                <w:rPr>
                  <w:rFonts w:ascii="Times New Roman" w:hAnsi="Times New Roman" w:cs="Times New Roman"/>
                </w:rPr>
                <w:tag w:val="_PLD_965475dfd86e41c29d1b9f1fdff70ee0"/>
                <w:id w:val="1843595412"/>
              </w:sdtPr>
              <w:sdtEndPr/>
              <w:sdtContent>
                <w:tc>
                  <w:tcPr>
                    <w:tcW w:w="692" w:type="pct"/>
                    <w:vMerge w:val="restart"/>
                    <w:shd w:val="clear" w:color="auto" w:fill="auto"/>
                    <w:vAlign w:val="center"/>
                  </w:tcPr>
                  <w:p w14:paraId="7F7AE03C"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项目</w:t>
                    </w:r>
                  </w:p>
                </w:tc>
              </w:sdtContent>
            </w:sdt>
            <w:sdt>
              <w:sdtPr>
                <w:rPr>
                  <w:rFonts w:ascii="Times New Roman" w:hAnsi="Times New Roman" w:cs="Times New Roman"/>
                </w:rPr>
                <w:tag w:val="_PLD_8a675a3cac5041d29cfb92203b87e9a6"/>
                <w:id w:val="1551262725"/>
              </w:sdtPr>
              <w:sdtEndPr/>
              <w:sdtContent>
                <w:tc>
                  <w:tcPr>
                    <w:tcW w:w="687" w:type="pct"/>
                    <w:vMerge w:val="restart"/>
                    <w:shd w:val="clear" w:color="auto" w:fill="auto"/>
                    <w:vAlign w:val="center"/>
                  </w:tcPr>
                  <w:p w14:paraId="27F94E1E"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期初</w:t>
                    </w:r>
                  </w:p>
                  <w:p w14:paraId="2236932A"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余额</w:t>
                    </w:r>
                  </w:p>
                </w:tc>
              </w:sdtContent>
            </w:sdt>
            <w:sdt>
              <w:sdtPr>
                <w:rPr>
                  <w:rFonts w:ascii="Times New Roman" w:hAnsi="Times New Roman" w:cs="Times New Roman"/>
                </w:rPr>
                <w:tag w:val="_PLD_5ff455f3c2164019b5e694c1e00e4104"/>
                <w:id w:val="1941943803"/>
              </w:sdtPr>
              <w:sdtEndPr/>
              <w:sdtContent>
                <w:tc>
                  <w:tcPr>
                    <w:tcW w:w="2914" w:type="pct"/>
                    <w:gridSpan w:val="6"/>
                    <w:shd w:val="clear" w:color="auto" w:fill="auto"/>
                    <w:vAlign w:val="center"/>
                  </w:tcPr>
                  <w:p w14:paraId="22B889ED"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本期发生金额</w:t>
                    </w:r>
                  </w:p>
                </w:tc>
              </w:sdtContent>
            </w:sdt>
            <w:sdt>
              <w:sdtPr>
                <w:rPr>
                  <w:rFonts w:ascii="Times New Roman" w:hAnsi="Times New Roman" w:cs="Times New Roman"/>
                </w:rPr>
                <w:tag w:val="_PLD_e74e1b8e6f7d453b8d88ebfc65c302f4"/>
                <w:id w:val="-924951336"/>
              </w:sdtPr>
              <w:sdtEndPr/>
              <w:sdtContent>
                <w:tc>
                  <w:tcPr>
                    <w:tcW w:w="707" w:type="pct"/>
                    <w:vMerge w:val="restart"/>
                    <w:shd w:val="clear" w:color="auto" w:fill="auto"/>
                    <w:vAlign w:val="center"/>
                  </w:tcPr>
                  <w:p w14:paraId="1C901082"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期末</w:t>
                    </w:r>
                  </w:p>
                  <w:p w14:paraId="5DD602AC"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余额</w:t>
                    </w:r>
                  </w:p>
                </w:tc>
              </w:sdtContent>
            </w:sdt>
          </w:tr>
          <w:tr w:rsidR="00D21C1F" w:rsidRPr="00345983" w14:paraId="5077B0CC" w14:textId="77777777">
            <w:tc>
              <w:tcPr>
                <w:tcW w:w="692" w:type="pct"/>
                <w:vMerge/>
                <w:shd w:val="clear" w:color="auto" w:fill="auto"/>
              </w:tcPr>
              <w:p w14:paraId="60C45868" w14:textId="77777777" w:rsidR="00D21C1F" w:rsidRPr="00345983" w:rsidRDefault="00D21C1F">
                <w:pPr>
                  <w:jc w:val="center"/>
                  <w:rPr>
                    <w:rFonts w:ascii="Times New Roman" w:hAnsi="Times New Roman" w:cs="Times New Roman"/>
                    <w:szCs w:val="21"/>
                  </w:rPr>
                </w:pPr>
              </w:p>
            </w:tc>
            <w:tc>
              <w:tcPr>
                <w:tcW w:w="687" w:type="pct"/>
                <w:vMerge/>
                <w:shd w:val="clear" w:color="auto" w:fill="auto"/>
              </w:tcPr>
              <w:p w14:paraId="67807003" w14:textId="77777777" w:rsidR="00D21C1F" w:rsidRPr="00345983" w:rsidRDefault="00D21C1F">
                <w:pPr>
                  <w:jc w:val="center"/>
                  <w:rPr>
                    <w:rFonts w:ascii="Times New Roman" w:hAnsi="Times New Roman" w:cs="Times New Roman"/>
                    <w:szCs w:val="21"/>
                  </w:rPr>
                </w:pPr>
              </w:p>
            </w:tc>
            <w:sdt>
              <w:sdtPr>
                <w:rPr>
                  <w:rFonts w:ascii="Times New Roman" w:hAnsi="Times New Roman" w:cs="Times New Roman"/>
                </w:rPr>
                <w:tag w:val="_PLD_17c016c4311444368218ab16d2bc7a4c"/>
                <w:id w:val="485211605"/>
              </w:sdtPr>
              <w:sdtEndPr/>
              <w:sdtContent>
                <w:tc>
                  <w:tcPr>
                    <w:tcW w:w="613" w:type="pct"/>
                    <w:shd w:val="clear" w:color="auto" w:fill="auto"/>
                    <w:vAlign w:val="center"/>
                  </w:tcPr>
                  <w:p w14:paraId="455601F3"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本期所得税前发生额</w:t>
                    </w:r>
                  </w:p>
                </w:tc>
              </w:sdtContent>
            </w:sdt>
            <w:sdt>
              <w:sdtPr>
                <w:rPr>
                  <w:rFonts w:ascii="Times New Roman" w:hAnsi="Times New Roman" w:cs="Times New Roman"/>
                </w:rPr>
                <w:tag w:val="_PLD_8f95da21a802457ea1d7d10d5c90efb0"/>
                <w:id w:val="-66643774"/>
              </w:sdtPr>
              <w:sdtEndPr/>
              <w:sdtContent>
                <w:tc>
                  <w:tcPr>
                    <w:tcW w:w="431" w:type="pct"/>
                    <w:shd w:val="clear" w:color="auto" w:fill="auto"/>
                    <w:vAlign w:val="center"/>
                  </w:tcPr>
                  <w:p w14:paraId="0F959F79"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减：前期计入其他综合收益当期转入损益</w:t>
                    </w:r>
                  </w:p>
                </w:tc>
              </w:sdtContent>
            </w:sdt>
            <w:tc>
              <w:tcPr>
                <w:tcW w:w="438" w:type="pct"/>
              </w:tcPr>
              <w:sdt>
                <w:sdtPr>
                  <w:rPr>
                    <w:rFonts w:ascii="Times New Roman" w:hAnsi="Times New Roman" w:cs="Times New Roman"/>
                    <w:szCs w:val="21"/>
                  </w:rPr>
                  <w:tag w:val="_PLD_7f99e647a5874f909c48e6c0bbc8d50a"/>
                  <w:id w:val="84818852"/>
                </w:sdtPr>
                <w:sdtEndPr/>
                <w:sdtContent>
                  <w:p w14:paraId="7A13906A" w14:textId="77777777" w:rsidR="00D21C1F" w:rsidRPr="00345983" w:rsidRDefault="00A42880">
                    <w:pPr>
                      <w:jc w:val="center"/>
                      <w:rPr>
                        <w:rFonts w:ascii="Times New Roman" w:hAnsi="Times New Roman" w:cs="Times New Roman"/>
                      </w:rPr>
                    </w:pPr>
                    <w:r w:rsidRPr="00345983">
                      <w:rPr>
                        <w:rFonts w:ascii="Times New Roman" w:hAnsi="Times New Roman" w:cs="Times New Roman"/>
                        <w:szCs w:val="21"/>
                      </w:rPr>
                      <w:t>减：前期计入其他综合收益当期转入留存收益</w:t>
                    </w:r>
                  </w:p>
                </w:sdtContent>
              </w:sdt>
            </w:tc>
            <w:sdt>
              <w:sdtPr>
                <w:rPr>
                  <w:rFonts w:ascii="Times New Roman" w:hAnsi="Times New Roman" w:cs="Times New Roman"/>
                </w:rPr>
                <w:tag w:val="_PLD_6ee499a1144a462687fb064cc4588343"/>
                <w:id w:val="1594434515"/>
              </w:sdtPr>
              <w:sdtEndPr/>
              <w:sdtContent>
                <w:tc>
                  <w:tcPr>
                    <w:tcW w:w="409" w:type="pct"/>
                    <w:shd w:val="clear" w:color="auto" w:fill="auto"/>
                    <w:vAlign w:val="center"/>
                  </w:tcPr>
                  <w:p w14:paraId="5B9819D5"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减：所得税费用</w:t>
                    </w:r>
                  </w:p>
                </w:tc>
              </w:sdtContent>
            </w:sdt>
            <w:sdt>
              <w:sdtPr>
                <w:rPr>
                  <w:rFonts w:ascii="Times New Roman" w:hAnsi="Times New Roman" w:cs="Times New Roman"/>
                </w:rPr>
                <w:tag w:val="_PLD_97d686c5a0f042d49d097afc52b9ab56"/>
                <w:id w:val="-1582055596"/>
              </w:sdtPr>
              <w:sdtEndPr/>
              <w:sdtContent>
                <w:tc>
                  <w:tcPr>
                    <w:tcW w:w="665" w:type="pct"/>
                    <w:shd w:val="clear" w:color="auto" w:fill="auto"/>
                    <w:vAlign w:val="center"/>
                  </w:tcPr>
                  <w:p w14:paraId="7523ECCC"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税后归属于母公司</w:t>
                    </w:r>
                  </w:p>
                </w:tc>
              </w:sdtContent>
            </w:sdt>
            <w:sdt>
              <w:sdtPr>
                <w:rPr>
                  <w:rFonts w:ascii="Times New Roman" w:hAnsi="Times New Roman" w:cs="Times New Roman"/>
                </w:rPr>
                <w:tag w:val="_PLD_dc8c642f883f4ca1b1bbacf56198209b"/>
                <w:id w:val="1610088939"/>
              </w:sdtPr>
              <w:sdtEndPr/>
              <w:sdtContent>
                <w:tc>
                  <w:tcPr>
                    <w:tcW w:w="358" w:type="pct"/>
                    <w:shd w:val="clear" w:color="auto" w:fill="auto"/>
                    <w:vAlign w:val="center"/>
                  </w:tcPr>
                  <w:p w14:paraId="7E4047F0" w14:textId="77777777" w:rsidR="00D21C1F" w:rsidRPr="00345983" w:rsidRDefault="00A42880">
                    <w:pPr>
                      <w:jc w:val="center"/>
                      <w:rPr>
                        <w:rFonts w:ascii="Times New Roman" w:hAnsi="Times New Roman" w:cs="Times New Roman"/>
                        <w:szCs w:val="21"/>
                      </w:rPr>
                    </w:pPr>
                    <w:r w:rsidRPr="00345983">
                      <w:rPr>
                        <w:rFonts w:ascii="Times New Roman" w:hAnsi="Times New Roman" w:cs="Times New Roman"/>
                        <w:szCs w:val="21"/>
                      </w:rPr>
                      <w:t>税后归属于少数股东</w:t>
                    </w:r>
                  </w:p>
                </w:tc>
              </w:sdtContent>
            </w:sdt>
            <w:tc>
              <w:tcPr>
                <w:tcW w:w="707" w:type="pct"/>
                <w:vMerge/>
                <w:shd w:val="clear" w:color="auto" w:fill="auto"/>
              </w:tcPr>
              <w:p w14:paraId="0314CFE2" w14:textId="77777777" w:rsidR="00D21C1F" w:rsidRPr="00345983" w:rsidRDefault="00D21C1F">
                <w:pPr>
                  <w:jc w:val="center"/>
                  <w:rPr>
                    <w:rFonts w:ascii="Times New Roman" w:hAnsi="Times New Roman" w:cs="Times New Roman"/>
                    <w:szCs w:val="21"/>
                  </w:rPr>
                </w:pPr>
              </w:p>
            </w:tc>
          </w:tr>
          <w:tr w:rsidR="00345983" w:rsidRPr="00345983" w14:paraId="49F59BBE" w14:textId="77777777" w:rsidTr="00345983">
            <w:tc>
              <w:tcPr>
                <w:tcW w:w="692" w:type="pct"/>
                <w:shd w:val="clear" w:color="auto" w:fill="auto"/>
                <w:vAlign w:val="center"/>
              </w:tcPr>
              <w:p w14:paraId="1AC65596" w14:textId="554C0D4D" w:rsidR="00345983" w:rsidRPr="00345983" w:rsidRDefault="00345983" w:rsidP="00345983">
                <w:pPr>
                  <w:rPr>
                    <w:rFonts w:ascii="Times New Roman" w:hAnsi="Times New Roman" w:cs="Times New Roman"/>
                    <w:szCs w:val="21"/>
                  </w:rPr>
                </w:pPr>
                <w:r w:rsidRPr="00345983">
                  <w:rPr>
                    <w:rFonts w:ascii="Times New Roman" w:hAnsi="Times New Roman" w:cs="Times New Roman"/>
                    <w:szCs w:val="21"/>
                  </w:rPr>
                  <w:t>一、不能重分类进损益的其他综合收益</w:t>
                </w:r>
              </w:p>
            </w:tc>
            <w:tc>
              <w:tcPr>
                <w:tcW w:w="687" w:type="pct"/>
                <w:shd w:val="clear" w:color="auto" w:fill="auto"/>
                <w:vAlign w:val="center"/>
              </w:tcPr>
              <w:p w14:paraId="45CE0CF2"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-3,474,932.53</w:t>
                </w:r>
              </w:p>
            </w:tc>
            <w:tc>
              <w:tcPr>
                <w:tcW w:w="613" w:type="pct"/>
                <w:shd w:val="clear" w:color="auto" w:fill="auto"/>
                <w:vAlign w:val="center"/>
              </w:tcPr>
              <w:p w14:paraId="0CD37543"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1,382,138.80</w:t>
                </w:r>
              </w:p>
            </w:tc>
            <w:tc>
              <w:tcPr>
                <w:tcW w:w="431" w:type="pct"/>
                <w:shd w:val="clear" w:color="auto" w:fill="auto"/>
                <w:vAlign w:val="center"/>
              </w:tcPr>
              <w:p w14:paraId="27463A8C" w14:textId="54DB8902"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4C40D0F8" w14:textId="51D6BFE5"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6D9D9834" w14:textId="48966190"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51E4E220"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1,382,138.80</w:t>
                </w:r>
              </w:p>
            </w:tc>
            <w:tc>
              <w:tcPr>
                <w:tcW w:w="358" w:type="pct"/>
                <w:shd w:val="clear" w:color="auto" w:fill="auto"/>
                <w:vAlign w:val="center"/>
              </w:tcPr>
              <w:p w14:paraId="54C3BA5E" w14:textId="0971CC2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73D192B2"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-2,092,793.73</w:t>
                </w:r>
              </w:p>
            </w:tc>
          </w:tr>
          <w:tr w:rsidR="00345983" w:rsidRPr="00345983" w14:paraId="6A0FF624" w14:textId="77777777" w:rsidTr="00345983">
            <w:tc>
              <w:tcPr>
                <w:tcW w:w="692" w:type="pct"/>
                <w:shd w:val="clear" w:color="auto" w:fill="auto"/>
                <w:vAlign w:val="center"/>
              </w:tcPr>
              <w:p w14:paraId="6E64A335" w14:textId="66BDBE8E" w:rsidR="00345983" w:rsidRPr="00345983" w:rsidRDefault="00345983" w:rsidP="00345983">
                <w:pPr>
                  <w:rPr>
                    <w:rFonts w:ascii="Times New Roman" w:hAnsi="Times New Roman" w:cs="Times New Roman"/>
                    <w:szCs w:val="21"/>
                  </w:rPr>
                </w:pPr>
                <w:r w:rsidRPr="00345983">
                  <w:rPr>
                    <w:rFonts w:ascii="Times New Roman" w:hAnsi="Times New Roman" w:cs="Times New Roman"/>
                    <w:szCs w:val="21"/>
                  </w:rPr>
                  <w:t>其中：重新计量设定受益计划变动额</w:t>
                </w:r>
              </w:p>
            </w:tc>
            <w:tc>
              <w:tcPr>
                <w:tcW w:w="687" w:type="pct"/>
                <w:shd w:val="clear" w:color="auto" w:fill="auto"/>
                <w:vAlign w:val="center"/>
              </w:tcPr>
              <w:p w14:paraId="25D62AA2"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-3,474,932.53</w:t>
                </w:r>
              </w:p>
            </w:tc>
            <w:tc>
              <w:tcPr>
                <w:tcW w:w="613" w:type="pct"/>
                <w:shd w:val="clear" w:color="auto" w:fill="auto"/>
                <w:vAlign w:val="center"/>
              </w:tcPr>
              <w:p w14:paraId="242E3E6D"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1,382,138.80</w:t>
                </w:r>
              </w:p>
            </w:tc>
            <w:tc>
              <w:tcPr>
                <w:tcW w:w="431" w:type="pct"/>
                <w:shd w:val="clear" w:color="auto" w:fill="auto"/>
                <w:vAlign w:val="center"/>
              </w:tcPr>
              <w:p w14:paraId="1D1DB092" w14:textId="052404BF"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170B83C5" w14:textId="368C89FC"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2FCACEEB" w14:textId="4C29A30F"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1270E99C"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1,382,138.80</w:t>
                </w:r>
              </w:p>
            </w:tc>
            <w:tc>
              <w:tcPr>
                <w:tcW w:w="358" w:type="pct"/>
                <w:shd w:val="clear" w:color="auto" w:fill="auto"/>
                <w:vAlign w:val="center"/>
              </w:tcPr>
              <w:p w14:paraId="10BED027" w14:textId="6DB1E994"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034430C7"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-2,092,793.73</w:t>
                </w:r>
              </w:p>
            </w:tc>
          </w:tr>
          <w:tr w:rsidR="00345983" w:rsidRPr="00345983" w14:paraId="3C86AA20" w14:textId="77777777" w:rsidTr="00345983">
            <w:tc>
              <w:tcPr>
                <w:tcW w:w="692" w:type="pct"/>
                <w:shd w:val="clear" w:color="auto" w:fill="auto"/>
                <w:vAlign w:val="center"/>
              </w:tcPr>
              <w:p w14:paraId="0162B799" w14:textId="0DE1BA58" w:rsidR="00345983" w:rsidRPr="00345983" w:rsidRDefault="00345983" w:rsidP="00345983">
                <w:pPr>
                  <w:rPr>
                    <w:rFonts w:ascii="Times New Roman" w:hAnsi="Times New Roman" w:cs="Times New Roman"/>
                    <w:szCs w:val="21"/>
                  </w:rPr>
                </w:pPr>
                <w:r w:rsidRPr="00345983">
                  <w:rPr>
                    <w:rFonts w:ascii="Times New Roman" w:hAnsi="Times New Roman" w:cs="Times New Roman"/>
                    <w:szCs w:val="21"/>
                  </w:rPr>
                  <w:t>权益法下不能转损益的其他综合收益</w:t>
                </w:r>
              </w:p>
            </w:tc>
            <w:tc>
              <w:tcPr>
                <w:tcW w:w="687" w:type="pct"/>
                <w:shd w:val="clear" w:color="auto" w:fill="auto"/>
                <w:vAlign w:val="center"/>
              </w:tcPr>
              <w:p w14:paraId="432A1E02" w14:textId="204D199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13" w:type="pct"/>
                <w:shd w:val="clear" w:color="auto" w:fill="auto"/>
                <w:vAlign w:val="center"/>
              </w:tcPr>
              <w:p w14:paraId="41CDF9C3" w14:textId="5DEA907B"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15F37446" w14:textId="6B3E192D"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37C07161" w14:textId="6EDB3DC1"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6CCA68CF" w14:textId="7EEFC0F0"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2C23AD7C" w14:textId="6A617DD6"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6FC33141" w14:textId="319E071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2E458832" w14:textId="450B7B13"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r>
          <w:tr w:rsidR="00345983" w:rsidRPr="00345983" w14:paraId="19325854" w14:textId="77777777" w:rsidTr="00345983">
            <w:tc>
              <w:tcPr>
                <w:tcW w:w="692" w:type="pct"/>
                <w:shd w:val="clear" w:color="auto" w:fill="auto"/>
                <w:vAlign w:val="center"/>
              </w:tcPr>
              <w:p w14:paraId="15395DCD" w14:textId="1BAAE046" w:rsidR="00345983" w:rsidRPr="00345983" w:rsidRDefault="00345983" w:rsidP="00345983">
                <w:pPr>
                  <w:ind w:firstLineChars="100" w:firstLine="210"/>
                  <w:rPr>
                    <w:rFonts w:ascii="Times New Roman" w:hAnsi="Times New Roman" w:cs="Times New Roman"/>
                  </w:rPr>
                </w:pPr>
                <w:r w:rsidRPr="00345983">
                  <w:rPr>
                    <w:rFonts w:ascii="Times New Roman" w:hAnsi="Times New Roman" w:cs="Times New Roman"/>
                  </w:rPr>
                  <w:t>其他权益工具投资公允价值变动</w:t>
                </w:r>
              </w:p>
            </w:tc>
            <w:tc>
              <w:tcPr>
                <w:tcW w:w="687" w:type="pct"/>
                <w:shd w:val="clear" w:color="auto" w:fill="auto"/>
                <w:vAlign w:val="center"/>
              </w:tcPr>
              <w:p w14:paraId="54D04296" w14:textId="48DBB83B"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13" w:type="pct"/>
                <w:shd w:val="clear" w:color="auto" w:fill="auto"/>
                <w:vAlign w:val="center"/>
              </w:tcPr>
              <w:p w14:paraId="54974869" w14:textId="0AB597C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4AC1CEC4" w14:textId="4858C444"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08262141" w14:textId="6BDD05E1"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39D66B3E" w14:textId="4EC9AE2C"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71DCFEF0" w14:textId="3925679D"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462D4016" w14:textId="1682DE1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5100726B" w14:textId="647D523B"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r>
          <w:tr w:rsidR="00345983" w:rsidRPr="00345983" w14:paraId="59DD3ECE" w14:textId="77777777" w:rsidTr="00345983">
            <w:tc>
              <w:tcPr>
                <w:tcW w:w="692" w:type="pct"/>
                <w:shd w:val="clear" w:color="auto" w:fill="auto"/>
                <w:vAlign w:val="center"/>
              </w:tcPr>
              <w:p w14:paraId="3B733FBE" w14:textId="64B600E8" w:rsidR="00345983" w:rsidRPr="00345983" w:rsidRDefault="00345983" w:rsidP="00345983">
                <w:pPr>
                  <w:ind w:firstLineChars="100" w:firstLine="210"/>
                  <w:rPr>
                    <w:rFonts w:ascii="Times New Roman" w:hAnsi="Times New Roman" w:cs="Times New Roman"/>
                  </w:rPr>
                </w:pPr>
                <w:r w:rsidRPr="00345983">
                  <w:rPr>
                    <w:rFonts w:ascii="Times New Roman" w:hAnsi="Times New Roman" w:cs="Times New Roman"/>
                  </w:rPr>
                  <w:t>企业自身信用风险公允价值变动</w:t>
                </w:r>
              </w:p>
            </w:tc>
            <w:tc>
              <w:tcPr>
                <w:tcW w:w="687" w:type="pct"/>
                <w:shd w:val="clear" w:color="auto" w:fill="auto"/>
                <w:vAlign w:val="center"/>
              </w:tcPr>
              <w:p w14:paraId="4F6142D3" w14:textId="30378B5F"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13" w:type="pct"/>
                <w:shd w:val="clear" w:color="auto" w:fill="auto"/>
                <w:vAlign w:val="center"/>
              </w:tcPr>
              <w:p w14:paraId="614D7A95" w14:textId="738C5FA4"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74648F7A" w14:textId="106E345B"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50E123FF" w14:textId="193770D1"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682EBE08" w14:textId="2A2BB8E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643D3549" w14:textId="6B04C8F3"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1B321F71" w14:textId="358EDEF0"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6CECF76F" w14:textId="36C882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r>
          <w:tr w:rsidR="00D21C1F" w:rsidRPr="00345983" w14:paraId="3CFD0C2A" w14:textId="77777777" w:rsidTr="00345983">
            <w:sdt>
              <w:sdtPr>
                <w:rPr>
                  <w:rFonts w:ascii="Times New Roman" w:hAnsi="Times New Roman" w:cs="Times New Roman"/>
                </w:rPr>
                <w:tag w:val="_PLD_4316f8eb3def474d974d5bd228f05848"/>
                <w:id w:val="-1504512776"/>
              </w:sdtPr>
              <w:sdtEndPr/>
              <w:sdtContent>
                <w:tc>
                  <w:tcPr>
                    <w:tcW w:w="692" w:type="pct"/>
                    <w:shd w:val="clear" w:color="auto" w:fill="auto"/>
                  </w:tcPr>
                  <w:p w14:paraId="17BF4AD1" w14:textId="77777777" w:rsidR="00D21C1F" w:rsidRPr="00345983" w:rsidRDefault="00A42880">
                    <w:pPr>
                      <w:rPr>
                        <w:rFonts w:ascii="Times New Roman" w:hAnsi="Times New Roman" w:cs="Times New Roman"/>
                        <w:szCs w:val="21"/>
                      </w:rPr>
                    </w:pPr>
                    <w:r w:rsidRPr="00345983">
                      <w:rPr>
                        <w:rFonts w:ascii="Times New Roman" w:hAnsi="Times New Roman" w:cs="Times New Roman"/>
                        <w:szCs w:val="21"/>
                      </w:rPr>
                      <w:t>二、将重分类进损益的其他综合收益</w:t>
                    </w:r>
                  </w:p>
                </w:tc>
              </w:sdtContent>
            </w:sdt>
            <w:tc>
              <w:tcPr>
                <w:tcW w:w="687" w:type="pct"/>
                <w:shd w:val="clear" w:color="auto" w:fill="auto"/>
                <w:vAlign w:val="center"/>
              </w:tcPr>
              <w:p w14:paraId="20A5EF92" w14:textId="77777777" w:rsidR="00D21C1F" w:rsidRPr="00345983" w:rsidRDefault="00A42880" w:rsidP="00345983">
                <w:pPr>
                  <w:jc w:val="right"/>
                  <w:rPr>
                    <w:rFonts w:ascii="Times New Roman" w:hAnsi="Times New Roman" w:cs="Times New Roman"/>
                    <w:szCs w:val="21"/>
                  </w:rPr>
                </w:pPr>
                <w:r w:rsidRPr="00345983">
                  <w:rPr>
                    <w:rFonts w:ascii="Times New Roman" w:hAnsi="Times New Roman" w:cs="Times New Roman"/>
                    <w:szCs w:val="21"/>
                  </w:rPr>
                  <w:t>-82,808,288.81</w:t>
                </w:r>
              </w:p>
            </w:tc>
            <w:tc>
              <w:tcPr>
                <w:tcW w:w="613" w:type="pct"/>
                <w:shd w:val="clear" w:color="auto" w:fill="auto"/>
                <w:vAlign w:val="center"/>
              </w:tcPr>
              <w:p w14:paraId="18E47DFF" w14:textId="77777777" w:rsidR="00D21C1F" w:rsidRPr="00345983" w:rsidRDefault="00A42880" w:rsidP="00345983">
                <w:pPr>
                  <w:jc w:val="right"/>
                  <w:rPr>
                    <w:rFonts w:ascii="Times New Roman" w:hAnsi="Times New Roman" w:cs="Times New Roman"/>
                    <w:szCs w:val="21"/>
                  </w:rPr>
                </w:pPr>
                <w:r w:rsidRPr="00345983">
                  <w:rPr>
                    <w:rFonts w:ascii="Times New Roman" w:hAnsi="Times New Roman" w:cs="Times New Roman"/>
                    <w:szCs w:val="21"/>
                  </w:rPr>
                  <w:t>-15,768,681.05</w:t>
                </w:r>
              </w:p>
            </w:tc>
            <w:tc>
              <w:tcPr>
                <w:tcW w:w="431" w:type="pct"/>
                <w:shd w:val="clear" w:color="auto" w:fill="auto"/>
                <w:vAlign w:val="center"/>
              </w:tcPr>
              <w:p w14:paraId="10C25DD5" w14:textId="77777777" w:rsidR="00D21C1F" w:rsidRPr="00345983" w:rsidRDefault="00D21C1F" w:rsidP="00345983">
                <w:pPr>
                  <w:jc w:val="right"/>
                  <w:rPr>
                    <w:rFonts w:ascii="Times New Roman" w:hAnsi="Times New Roman" w:cs="Times New Roman"/>
                    <w:szCs w:val="21"/>
                  </w:rPr>
                </w:pPr>
              </w:p>
            </w:tc>
            <w:tc>
              <w:tcPr>
                <w:tcW w:w="438" w:type="pct"/>
                <w:vAlign w:val="center"/>
              </w:tcPr>
              <w:p w14:paraId="0B965EB8" w14:textId="77777777" w:rsidR="00D21C1F" w:rsidRPr="00345983" w:rsidRDefault="00D21C1F" w:rsidP="00345983">
                <w:pPr>
                  <w:jc w:val="right"/>
                  <w:rPr>
                    <w:rFonts w:ascii="Times New Roman" w:hAnsi="Times New Roman" w:cs="Times New Roman"/>
                    <w:szCs w:val="21"/>
                  </w:rPr>
                </w:pPr>
              </w:p>
            </w:tc>
            <w:tc>
              <w:tcPr>
                <w:tcW w:w="409" w:type="pct"/>
                <w:shd w:val="clear" w:color="auto" w:fill="auto"/>
                <w:vAlign w:val="center"/>
              </w:tcPr>
              <w:p w14:paraId="22BC5E03" w14:textId="77777777" w:rsidR="00D21C1F" w:rsidRPr="00345983" w:rsidRDefault="00D21C1F" w:rsidP="00345983">
                <w:pPr>
                  <w:jc w:val="right"/>
                  <w:rPr>
                    <w:rFonts w:ascii="Times New Roman" w:hAnsi="Times New Roman" w:cs="Times New Roman"/>
                    <w:szCs w:val="21"/>
                  </w:rPr>
                </w:pPr>
              </w:p>
            </w:tc>
            <w:tc>
              <w:tcPr>
                <w:tcW w:w="665" w:type="pct"/>
                <w:shd w:val="clear" w:color="auto" w:fill="auto"/>
                <w:vAlign w:val="center"/>
              </w:tcPr>
              <w:p w14:paraId="2F6F502A" w14:textId="77777777" w:rsidR="00D21C1F" w:rsidRPr="00345983" w:rsidRDefault="00A42880" w:rsidP="00345983">
                <w:pPr>
                  <w:jc w:val="right"/>
                  <w:rPr>
                    <w:rFonts w:ascii="Times New Roman" w:hAnsi="Times New Roman" w:cs="Times New Roman"/>
                    <w:szCs w:val="21"/>
                  </w:rPr>
                </w:pPr>
                <w:r w:rsidRPr="00345983">
                  <w:rPr>
                    <w:rFonts w:ascii="Times New Roman" w:hAnsi="Times New Roman" w:cs="Times New Roman"/>
                    <w:szCs w:val="21"/>
                  </w:rPr>
                  <w:t>-15,768,681.05</w:t>
                </w:r>
              </w:p>
            </w:tc>
            <w:tc>
              <w:tcPr>
                <w:tcW w:w="358" w:type="pct"/>
                <w:shd w:val="clear" w:color="auto" w:fill="auto"/>
                <w:vAlign w:val="center"/>
              </w:tcPr>
              <w:p w14:paraId="5C632223" w14:textId="77777777" w:rsidR="00D21C1F" w:rsidRPr="00345983" w:rsidRDefault="00D21C1F" w:rsidP="00345983">
                <w:pPr>
                  <w:jc w:val="right"/>
                  <w:rPr>
                    <w:rFonts w:ascii="Times New Roman" w:hAnsi="Times New Roman" w:cs="Times New Roman"/>
                    <w:szCs w:val="21"/>
                  </w:rPr>
                </w:pPr>
              </w:p>
            </w:tc>
            <w:tc>
              <w:tcPr>
                <w:tcW w:w="707" w:type="pct"/>
                <w:shd w:val="clear" w:color="auto" w:fill="auto"/>
                <w:vAlign w:val="center"/>
              </w:tcPr>
              <w:p w14:paraId="62219279" w14:textId="77777777" w:rsidR="00D21C1F" w:rsidRPr="00345983" w:rsidRDefault="00A42880" w:rsidP="00345983">
                <w:pPr>
                  <w:jc w:val="right"/>
                  <w:rPr>
                    <w:rFonts w:ascii="Times New Roman" w:hAnsi="Times New Roman" w:cs="Times New Roman"/>
                    <w:szCs w:val="21"/>
                  </w:rPr>
                </w:pPr>
                <w:r w:rsidRPr="00345983">
                  <w:rPr>
                    <w:rFonts w:ascii="Times New Roman" w:hAnsi="Times New Roman" w:cs="Times New Roman"/>
                    <w:szCs w:val="21"/>
                  </w:rPr>
                  <w:t>-98,576,969.86</w:t>
                </w:r>
              </w:p>
            </w:tc>
          </w:tr>
          <w:tr w:rsidR="00345983" w:rsidRPr="00345983" w14:paraId="512F7D0E" w14:textId="77777777" w:rsidTr="00345983">
            <w:tc>
              <w:tcPr>
                <w:tcW w:w="692" w:type="pct"/>
                <w:shd w:val="clear" w:color="auto" w:fill="auto"/>
              </w:tcPr>
              <w:p w14:paraId="52C889CA" w14:textId="4869A092" w:rsidR="00345983" w:rsidRPr="00345983" w:rsidRDefault="00345983" w:rsidP="00345983">
                <w:pPr>
                  <w:rPr>
                    <w:rFonts w:ascii="Times New Roman" w:hAnsi="Times New Roman" w:cs="Times New Roman"/>
                    <w:szCs w:val="21"/>
                  </w:rPr>
                </w:pPr>
                <w:r w:rsidRPr="00345983">
                  <w:rPr>
                    <w:rFonts w:ascii="Times New Roman" w:hAnsi="Times New Roman" w:cs="Times New Roman"/>
                    <w:szCs w:val="21"/>
                  </w:rPr>
                  <w:t>其中：权益法下可转损益的其他综合收益</w:t>
                </w:r>
              </w:p>
            </w:tc>
            <w:tc>
              <w:tcPr>
                <w:tcW w:w="687" w:type="pct"/>
                <w:shd w:val="clear" w:color="auto" w:fill="auto"/>
                <w:vAlign w:val="center"/>
              </w:tcPr>
              <w:p w14:paraId="725ADEC0"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-1,486,326.90</w:t>
                </w:r>
              </w:p>
            </w:tc>
            <w:tc>
              <w:tcPr>
                <w:tcW w:w="613" w:type="pct"/>
                <w:shd w:val="clear" w:color="auto" w:fill="auto"/>
                <w:vAlign w:val="center"/>
              </w:tcPr>
              <w:p w14:paraId="232059D2" w14:textId="24760FE8"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2B22A0B0" w14:textId="04C2448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6A7B39C8" w14:textId="3E7CD61C"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14649031" w14:textId="5AAFB648"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70FC55CE" w14:textId="2B9CED54"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1B74ADE8" w14:textId="2421D103"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664070AD"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-1,486,326.90</w:t>
                </w:r>
              </w:p>
            </w:tc>
          </w:tr>
          <w:sdt>
            <w:sdtPr>
              <w:rPr>
                <w:rFonts w:ascii="Times New Roman" w:eastAsia="宋体" w:hAnsi="Times New Roman" w:cs="Times New Roman"/>
                <w:szCs w:val="24"/>
              </w:rPr>
              <w:alias w:val="以后将重分类进损益的其他综合收益明细"/>
              <w:tag w:val="_TUP_56d4648d761a4a9a9f94fac2aeb735b6"/>
              <w:id w:val="-1661915726"/>
              <w:lock w:val="sdtLocked"/>
            </w:sdtPr>
            <w:sdtEndPr>
              <w:rPr>
                <w:szCs w:val="21"/>
              </w:rPr>
            </w:sdtEndPr>
            <w:sdtContent>
              <w:tr w:rsidR="00345983" w:rsidRPr="00345983" w14:paraId="7197006F" w14:textId="77777777" w:rsidTr="00345983">
                <w:tc>
                  <w:tcPr>
                    <w:tcW w:w="692" w:type="pct"/>
                    <w:tcBorders>
                      <w:bottom w:val="single" w:sz="4" w:space="0" w:color="auto"/>
                    </w:tcBorders>
                    <w:shd w:val="clear" w:color="auto" w:fill="auto"/>
                  </w:tcPr>
                  <w:p w14:paraId="25DD649E" w14:textId="77777777" w:rsidR="00345983" w:rsidRPr="00345983" w:rsidRDefault="00345983" w:rsidP="00345983">
                    <w:pPr>
                      <w:pStyle w:val="120"/>
                      <w:rPr>
                        <w:rFonts w:ascii="Times New Roman" w:hAnsi="Times New Roman" w:cs="Times New Roman"/>
                      </w:rPr>
                    </w:pPr>
                    <w:r w:rsidRPr="00345983">
                      <w:rPr>
                        <w:rFonts w:ascii="Times New Roman" w:hAnsi="Times New Roman" w:cs="Times New Roman"/>
                      </w:rPr>
                      <w:t>其他权益工具投资公允价值变动损益</w:t>
                    </w:r>
                  </w:p>
                </w:tc>
                <w:tc>
                  <w:tcPr>
                    <w:tcW w:w="687" w:type="pct"/>
                    <w:shd w:val="clear" w:color="auto" w:fill="auto"/>
                    <w:vAlign w:val="center"/>
                  </w:tcPr>
                  <w:p w14:paraId="3969D5C5"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85,531.87</w:t>
                    </w:r>
                  </w:p>
                </w:tc>
                <w:tc>
                  <w:tcPr>
                    <w:tcW w:w="613" w:type="pct"/>
                    <w:shd w:val="clear" w:color="auto" w:fill="auto"/>
                    <w:vAlign w:val="center"/>
                  </w:tcPr>
                  <w:p w14:paraId="2C3AAE46" w14:textId="604CFE3D"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623C86C0" w14:textId="2BCBA4C5"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470A4CFD" w14:textId="562EC105"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71386C8F" w14:textId="21F0BD5A"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1CA9A44F" w14:textId="3E497BDE"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33113601" w14:textId="405C2001"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36518CE5"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85,531.87</w:t>
                    </w:r>
                  </w:p>
                </w:tc>
              </w:tr>
            </w:sdtContent>
          </w:sdt>
          <w:tr w:rsidR="00345983" w:rsidRPr="00345983" w14:paraId="6B14F82C" w14:textId="77777777" w:rsidTr="00345983">
            <w:sdt>
              <w:sdtPr>
                <w:rPr>
                  <w:rFonts w:ascii="Times New Roman" w:hAnsi="Times New Roman" w:cs="Times New Roman"/>
                </w:rPr>
                <w:tag w:val="_PLD_05c7e2483e664174af98c56352aea31b"/>
                <w:id w:val="1699890678"/>
                <w:lock w:val="sdtLocked"/>
              </w:sdtPr>
              <w:sdtEndPr/>
              <w:sdtContent>
                <w:tc>
                  <w:tcPr>
                    <w:tcW w:w="692" w:type="pct"/>
                    <w:shd w:val="clear" w:color="auto" w:fill="auto"/>
                  </w:tcPr>
                  <w:p w14:paraId="48F89AF5" w14:textId="77777777" w:rsidR="00345983" w:rsidRPr="00345983" w:rsidRDefault="00345983" w:rsidP="00345983">
                    <w:pPr>
                      <w:ind w:firstLineChars="100" w:firstLine="210"/>
                      <w:rPr>
                        <w:rFonts w:ascii="Times New Roman" w:hAnsi="Times New Roman" w:cs="Times New Roman"/>
                      </w:rPr>
                    </w:pPr>
                    <w:r w:rsidRPr="00345983">
                      <w:rPr>
                        <w:rFonts w:ascii="Times New Roman" w:hAnsi="Times New Roman" w:cs="Times New Roman"/>
                      </w:rPr>
                      <w:t>其他债权投资公允价值变动</w:t>
                    </w:r>
                  </w:p>
                </w:tc>
              </w:sdtContent>
            </w:sdt>
            <w:tc>
              <w:tcPr>
                <w:tcW w:w="687" w:type="pct"/>
                <w:shd w:val="clear" w:color="auto" w:fill="auto"/>
                <w:vAlign w:val="center"/>
              </w:tcPr>
              <w:p w14:paraId="045D93EE" w14:textId="5B6B6C76"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13" w:type="pct"/>
                <w:shd w:val="clear" w:color="auto" w:fill="auto"/>
                <w:vAlign w:val="center"/>
              </w:tcPr>
              <w:p w14:paraId="1500CCA8" w14:textId="432CE23A"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5AB80F8A" w14:textId="2BEFB27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6238F80C" w14:textId="259E98E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3E90D92C" w14:textId="505CEB06"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55E84DA4" w14:textId="17B130DB"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4BF7728E" w14:textId="03ABF5B6"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6EF29397" w14:textId="76FE0AC6"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r>
          <w:tr w:rsidR="00345983" w:rsidRPr="00345983" w14:paraId="7CAE5344" w14:textId="77777777" w:rsidTr="00345983">
            <w:tc>
              <w:tcPr>
                <w:tcW w:w="692" w:type="pct"/>
                <w:shd w:val="clear" w:color="auto" w:fill="auto"/>
              </w:tcPr>
              <w:p w14:paraId="1E81949E" w14:textId="56366947" w:rsidR="00345983" w:rsidRPr="00345983" w:rsidRDefault="00345983" w:rsidP="00345983">
                <w:pPr>
                  <w:ind w:firstLineChars="100" w:firstLine="210"/>
                  <w:rPr>
                    <w:rFonts w:ascii="Times New Roman" w:hAnsi="Times New Roman" w:cs="Times New Roman"/>
                  </w:rPr>
                </w:pPr>
                <w:r w:rsidRPr="00345983">
                  <w:rPr>
                    <w:rFonts w:ascii="Times New Roman" w:hAnsi="Times New Roman" w:cs="Times New Roman"/>
                  </w:rPr>
                  <w:lastRenderedPageBreak/>
                  <w:t>金融资产重分类计入其他综合收益的金额</w:t>
                </w:r>
              </w:p>
            </w:tc>
            <w:tc>
              <w:tcPr>
                <w:tcW w:w="687" w:type="pct"/>
                <w:shd w:val="clear" w:color="auto" w:fill="auto"/>
                <w:vAlign w:val="center"/>
              </w:tcPr>
              <w:p w14:paraId="6C2F22C6" w14:textId="3CB0E9E3"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13" w:type="pct"/>
                <w:shd w:val="clear" w:color="auto" w:fill="auto"/>
                <w:vAlign w:val="center"/>
              </w:tcPr>
              <w:p w14:paraId="6755FAAA" w14:textId="1ED894C8"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687E4BF5" w14:textId="048BAD0A"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5034EE0A" w14:textId="2FB7AE1C"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199CCF06" w14:textId="021DEADF"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2FBEE768" w14:textId="52C1B72D"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49C04C89" w14:textId="25CA148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7144EFBE" w14:textId="01DDFE24"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r>
          <w:tr w:rsidR="00345983" w:rsidRPr="00345983" w14:paraId="4887749C" w14:textId="77777777" w:rsidTr="00345983">
            <w:tc>
              <w:tcPr>
                <w:tcW w:w="692" w:type="pct"/>
                <w:shd w:val="clear" w:color="auto" w:fill="auto"/>
              </w:tcPr>
              <w:p w14:paraId="46BD52A9" w14:textId="26D5B03F" w:rsidR="00345983" w:rsidRPr="00345983" w:rsidRDefault="00345983" w:rsidP="00345983">
                <w:pPr>
                  <w:ind w:firstLineChars="100" w:firstLine="210"/>
                  <w:rPr>
                    <w:rFonts w:ascii="Times New Roman" w:hAnsi="Times New Roman" w:cs="Times New Roman"/>
                  </w:rPr>
                </w:pPr>
                <w:r w:rsidRPr="00345983">
                  <w:rPr>
                    <w:rFonts w:ascii="Times New Roman" w:hAnsi="Times New Roman" w:cs="Times New Roman"/>
                  </w:rPr>
                  <w:t>其他债权投资信用减值准备</w:t>
                </w:r>
              </w:p>
            </w:tc>
            <w:tc>
              <w:tcPr>
                <w:tcW w:w="687" w:type="pct"/>
                <w:shd w:val="clear" w:color="auto" w:fill="auto"/>
                <w:vAlign w:val="center"/>
              </w:tcPr>
              <w:p w14:paraId="6818FA14" w14:textId="6A097058"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13" w:type="pct"/>
                <w:shd w:val="clear" w:color="auto" w:fill="auto"/>
                <w:vAlign w:val="center"/>
              </w:tcPr>
              <w:p w14:paraId="213EC58E" w14:textId="75D078D2"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002DAED5" w14:textId="7D7A1386"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7398D779" w14:textId="349F3C18"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498F42B5" w14:textId="50C81DA4"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17FEE476" w14:textId="6C9D16A2"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288F3A04" w14:textId="548284DD"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19B1794E" w14:textId="3C6B6F0A"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r>
          <w:tr w:rsidR="00345983" w:rsidRPr="00345983" w14:paraId="1500427C" w14:textId="77777777" w:rsidTr="00345983">
            <w:tc>
              <w:tcPr>
                <w:tcW w:w="692" w:type="pct"/>
                <w:shd w:val="clear" w:color="auto" w:fill="auto"/>
              </w:tcPr>
              <w:p w14:paraId="0F916542" w14:textId="4D268618" w:rsidR="00345983" w:rsidRPr="00345983" w:rsidRDefault="00345983" w:rsidP="00345983">
                <w:pPr>
                  <w:rPr>
                    <w:rFonts w:ascii="Times New Roman" w:hAnsi="Times New Roman" w:cs="Times New Roman"/>
                    <w:szCs w:val="21"/>
                  </w:rPr>
                </w:pPr>
                <w:r w:rsidRPr="00345983">
                  <w:rPr>
                    <w:rFonts w:ascii="Times New Roman" w:hAnsi="Times New Roman" w:cs="Times New Roman"/>
                  </w:rPr>
                  <w:t>现金流量套期储备</w:t>
                </w:r>
              </w:p>
            </w:tc>
            <w:tc>
              <w:tcPr>
                <w:tcW w:w="687" w:type="pct"/>
                <w:shd w:val="clear" w:color="auto" w:fill="auto"/>
                <w:vAlign w:val="center"/>
              </w:tcPr>
              <w:p w14:paraId="57E64D9F" w14:textId="0727D9BB"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13" w:type="pct"/>
                <w:shd w:val="clear" w:color="auto" w:fill="auto"/>
                <w:vAlign w:val="center"/>
              </w:tcPr>
              <w:p w14:paraId="393CB2E4" w14:textId="59B80B05"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1" w:type="pct"/>
                <w:shd w:val="clear" w:color="auto" w:fill="auto"/>
                <w:vAlign w:val="center"/>
              </w:tcPr>
              <w:p w14:paraId="68A79E68" w14:textId="4F4BF30A"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0174E3DC" w14:textId="5BD128FA"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7C562DDC" w14:textId="2825F200"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112A40F2" w14:textId="617A242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358" w:type="pct"/>
                <w:shd w:val="clear" w:color="auto" w:fill="auto"/>
                <w:vAlign w:val="center"/>
              </w:tcPr>
              <w:p w14:paraId="1D0A31D9" w14:textId="2E2FFBDC"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2B271292" w14:textId="008FA2D0"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r>
          <w:tr w:rsidR="00345983" w:rsidRPr="00345983" w14:paraId="114DFDEE" w14:textId="77777777" w:rsidTr="00345983">
            <w:tc>
              <w:tcPr>
                <w:tcW w:w="692" w:type="pct"/>
                <w:shd w:val="clear" w:color="auto" w:fill="auto"/>
              </w:tcPr>
              <w:p w14:paraId="4603418C" w14:textId="636FAF87" w:rsidR="00345983" w:rsidRPr="00345983" w:rsidRDefault="00345983" w:rsidP="00345983">
                <w:pPr>
                  <w:rPr>
                    <w:rFonts w:ascii="Times New Roman" w:hAnsi="Times New Roman" w:cs="Times New Roman"/>
                    <w:szCs w:val="21"/>
                  </w:rPr>
                </w:pPr>
                <w:r w:rsidRPr="00345983">
                  <w:rPr>
                    <w:rFonts w:ascii="Times New Roman" w:hAnsi="Times New Roman" w:cs="Times New Roman"/>
                    <w:szCs w:val="21"/>
                  </w:rPr>
                  <w:t>外币财务报表折算差额</w:t>
                </w:r>
              </w:p>
            </w:tc>
            <w:tc>
              <w:tcPr>
                <w:tcW w:w="687" w:type="pct"/>
                <w:shd w:val="clear" w:color="auto" w:fill="auto"/>
                <w:vAlign w:val="center"/>
              </w:tcPr>
              <w:p w14:paraId="05F68209"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-81,407,493.78</w:t>
                </w:r>
              </w:p>
            </w:tc>
            <w:tc>
              <w:tcPr>
                <w:tcW w:w="613" w:type="pct"/>
                <w:shd w:val="clear" w:color="auto" w:fill="auto"/>
                <w:vAlign w:val="center"/>
              </w:tcPr>
              <w:p w14:paraId="5CE75581"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-15,768,681.05</w:t>
                </w:r>
              </w:p>
            </w:tc>
            <w:tc>
              <w:tcPr>
                <w:tcW w:w="431" w:type="pct"/>
                <w:shd w:val="clear" w:color="auto" w:fill="auto"/>
                <w:vAlign w:val="center"/>
              </w:tcPr>
              <w:p w14:paraId="31C82595" w14:textId="2694BDCA"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6656984C" w14:textId="7D3249CF"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231D8D47" w14:textId="63588445"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3FC1A553"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-15,768,681.05</w:t>
                </w:r>
              </w:p>
            </w:tc>
            <w:tc>
              <w:tcPr>
                <w:tcW w:w="358" w:type="pct"/>
                <w:shd w:val="clear" w:color="auto" w:fill="auto"/>
                <w:vAlign w:val="center"/>
              </w:tcPr>
              <w:p w14:paraId="02F03467" w14:textId="111FEF13"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5416FF53"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-97,176,174.83</w:t>
                </w:r>
              </w:p>
            </w:tc>
          </w:tr>
          <w:tr w:rsidR="00345983" w:rsidRPr="00345983" w14:paraId="79354203" w14:textId="77777777" w:rsidTr="00345983">
            <w:tc>
              <w:tcPr>
                <w:tcW w:w="692" w:type="pct"/>
                <w:shd w:val="clear" w:color="auto" w:fill="auto"/>
                <w:vAlign w:val="center"/>
              </w:tcPr>
              <w:p w14:paraId="781357B8" w14:textId="775357AB" w:rsidR="00345983" w:rsidRPr="00345983" w:rsidRDefault="00345983" w:rsidP="00345983">
                <w:pPr>
                  <w:rPr>
                    <w:rFonts w:ascii="Times New Roman" w:hAnsi="Times New Roman" w:cs="Times New Roman"/>
                    <w:szCs w:val="21"/>
                  </w:rPr>
                </w:pPr>
                <w:r w:rsidRPr="00345983">
                  <w:rPr>
                    <w:rFonts w:ascii="Times New Roman" w:hAnsi="Times New Roman" w:cs="Times New Roman"/>
                    <w:szCs w:val="21"/>
                  </w:rPr>
                  <w:t>其他综合收益合计</w:t>
                </w:r>
              </w:p>
            </w:tc>
            <w:tc>
              <w:tcPr>
                <w:tcW w:w="687" w:type="pct"/>
                <w:shd w:val="clear" w:color="auto" w:fill="auto"/>
                <w:vAlign w:val="center"/>
              </w:tcPr>
              <w:p w14:paraId="191919E5"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-86,283,221.34</w:t>
                </w:r>
              </w:p>
            </w:tc>
            <w:tc>
              <w:tcPr>
                <w:tcW w:w="613" w:type="pct"/>
                <w:shd w:val="clear" w:color="auto" w:fill="auto"/>
                <w:vAlign w:val="center"/>
              </w:tcPr>
              <w:p w14:paraId="730316F8"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-14,386,542.25</w:t>
                </w:r>
              </w:p>
            </w:tc>
            <w:tc>
              <w:tcPr>
                <w:tcW w:w="431" w:type="pct"/>
                <w:shd w:val="clear" w:color="auto" w:fill="auto"/>
                <w:vAlign w:val="center"/>
              </w:tcPr>
              <w:p w14:paraId="58950B73" w14:textId="3341C513"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38" w:type="pct"/>
                <w:vAlign w:val="center"/>
              </w:tcPr>
              <w:p w14:paraId="68E50F38" w14:textId="0D467739"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409" w:type="pct"/>
                <w:shd w:val="clear" w:color="auto" w:fill="auto"/>
                <w:vAlign w:val="center"/>
              </w:tcPr>
              <w:p w14:paraId="3685CC62" w14:textId="55D73E9B"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665" w:type="pct"/>
                <w:shd w:val="clear" w:color="auto" w:fill="auto"/>
                <w:vAlign w:val="center"/>
              </w:tcPr>
              <w:p w14:paraId="45FE9ACD"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-14,386,542.25</w:t>
                </w:r>
              </w:p>
            </w:tc>
            <w:tc>
              <w:tcPr>
                <w:tcW w:w="358" w:type="pct"/>
                <w:shd w:val="clear" w:color="auto" w:fill="auto"/>
                <w:vAlign w:val="center"/>
              </w:tcPr>
              <w:p w14:paraId="53858416" w14:textId="112374E3"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w:t>
                </w:r>
              </w:p>
            </w:tc>
            <w:tc>
              <w:tcPr>
                <w:tcW w:w="707" w:type="pct"/>
                <w:shd w:val="clear" w:color="auto" w:fill="auto"/>
                <w:vAlign w:val="center"/>
              </w:tcPr>
              <w:p w14:paraId="4429231F" w14:textId="77777777" w:rsidR="00345983" w:rsidRPr="00345983" w:rsidRDefault="00345983" w:rsidP="00345983">
                <w:pPr>
                  <w:jc w:val="right"/>
                  <w:rPr>
                    <w:rFonts w:ascii="Times New Roman" w:hAnsi="Times New Roman" w:cs="Times New Roman"/>
                    <w:szCs w:val="21"/>
                  </w:rPr>
                </w:pPr>
                <w:r w:rsidRPr="00345983">
                  <w:rPr>
                    <w:rFonts w:ascii="Times New Roman" w:hAnsi="Times New Roman" w:cs="Times New Roman"/>
                    <w:szCs w:val="21"/>
                  </w:rPr>
                  <w:t>-100,669,763.59</w:t>
                </w:r>
              </w:p>
            </w:tc>
          </w:tr>
        </w:tbl>
        <w:p w14:paraId="0B32608F" w14:textId="77777777" w:rsidR="00D21C1F" w:rsidRPr="00345983" w:rsidRDefault="00D21C1F">
          <w:pPr>
            <w:pStyle w:val="97"/>
            <w:rPr>
              <w:rFonts w:ascii="Times New Roman" w:hAnsi="Times New Roman" w:cs="Times New Roman"/>
            </w:rPr>
          </w:pPr>
        </w:p>
        <w:p w14:paraId="26AEFDFB" w14:textId="77777777" w:rsidR="00D21C1F" w:rsidRPr="00345983" w:rsidRDefault="00A42880">
          <w:pPr>
            <w:spacing w:before="60" w:after="60"/>
            <w:rPr>
              <w:rFonts w:ascii="Times New Roman" w:hAnsi="Times New Roman" w:cs="Times New Roman"/>
              <w:b/>
              <w:szCs w:val="21"/>
            </w:rPr>
          </w:pPr>
          <w:r w:rsidRPr="00345983">
            <w:rPr>
              <w:rFonts w:ascii="Times New Roman" w:hAnsi="Times New Roman" w:cs="Times New Roman"/>
              <w:szCs w:val="21"/>
            </w:rPr>
            <w:t>其他说明，包括对现金流量套期损益的有效部分转为被套期项目初始确认金额调整：</w:t>
          </w:r>
        </w:p>
        <w:sdt>
          <w:sdtPr>
            <w:rPr>
              <w:rFonts w:ascii="Times New Roman" w:hAnsi="Times New Roman" w:cs="Times New Roman"/>
              <w:szCs w:val="21"/>
            </w:rPr>
            <w:alias w:val="综合收益情况"/>
            <w:tag w:val="_GBC_c389c92b3ef04746a88c157ed2e05698"/>
            <w:id w:val="1079095328"/>
            <w:lock w:val="sdtLocked"/>
            <w:placeholder>
              <w:docPart w:val="GBC22222222222222222222222222222"/>
            </w:placeholder>
          </w:sdtPr>
          <w:sdtEndPr/>
          <w:sdtContent>
            <w:p w14:paraId="22524A38" w14:textId="77777777" w:rsidR="00D21C1F" w:rsidRDefault="00A42880">
              <w:pPr>
                <w:rPr>
                  <w:szCs w:val="21"/>
                </w:rPr>
              </w:pPr>
              <w:r w:rsidRPr="00345983">
                <w:rPr>
                  <w:rFonts w:ascii="Times New Roman" w:hAnsi="Times New Roman" w:cs="Times New Roman"/>
                  <w:szCs w:val="21"/>
                </w:rPr>
                <w:t>无</w:t>
              </w:r>
            </w:p>
          </w:sdtContent>
        </w:sdt>
      </w:sdtContent>
    </w:sdt>
    <w:bookmarkEnd w:id="274"/>
    <w:p w14:paraId="49F61D7C" w14:textId="77777777" w:rsidR="00D21C1F" w:rsidRDefault="00D21C1F">
      <w:pPr>
        <w:rPr>
          <w:szCs w:val="21"/>
        </w:rPr>
        <w:sectPr w:rsidR="00D21C1F">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alias w:val="模块:专项储备"/>
        <w:tag w:val="_GBC_8a08fa7a416e4e52a104ea9b06479f9e"/>
        <w:id w:val="1609537938"/>
        <w:lock w:val="sdtLocked"/>
        <w:placeholder>
          <w:docPart w:val="GBC22222222222222222222222222222"/>
        </w:placeholder>
      </w:sdtPr>
      <w:sdtEndPr>
        <w:rPr>
          <w:rFonts w:cstheme="minorBidi" w:hint="default"/>
          <w:color w:val="000000" w:themeColor="text1"/>
        </w:rPr>
      </w:sdtEndPr>
      <w:sdtContent>
        <w:p w14:paraId="01D60168"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46274029"/>
            <w:lock w:val="sdtLocked"/>
            <w:placeholder>
              <w:docPart w:val="GBC22222222222222222222222222222"/>
            </w:placeholder>
          </w:sdtPr>
          <w:sdtEndPr/>
          <w:sdtContent>
            <w:p w14:paraId="0A00A0B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5224D38" w14:textId="77777777" w:rsidR="00D21C1F" w:rsidRDefault="00D21C1F">
      <w:pPr>
        <w:rPr>
          <w:szCs w:val="21"/>
        </w:rPr>
      </w:pPr>
    </w:p>
    <w:sdt>
      <w:sdtPr>
        <w:rPr>
          <w:rFonts w:ascii="Times New Roman" w:eastAsia="宋体" w:hAnsi="Times New Roman" w:cs="宋体"/>
          <w:b w:val="0"/>
          <w:bCs w:val="0"/>
          <w:kern w:val="0"/>
          <w:szCs w:val="21"/>
        </w:rPr>
        <w:alias w:val="模块:盈余公积"/>
        <w:tag w:val="_GBC_fc97b66d150f4d31ba9096ec58341715"/>
        <w:id w:val="-1469977064"/>
        <w:lock w:val="sdtLocked"/>
        <w:placeholder>
          <w:docPart w:val="GBC22222222222222222222222222222"/>
        </w:placeholder>
      </w:sdtPr>
      <w:sdtEndPr>
        <w:rPr>
          <w:kern w:val="2"/>
        </w:rPr>
      </w:sdtEndPr>
      <w:sdtContent>
        <w:p w14:paraId="1FF94BC8" w14:textId="77777777" w:rsidR="00D21C1F" w:rsidRPr="00E114CB" w:rsidRDefault="00A42880">
          <w:pPr>
            <w:pStyle w:val="94"/>
            <w:numPr>
              <w:ilvl w:val="0"/>
              <w:numId w:val="95"/>
            </w:numPr>
            <w:tabs>
              <w:tab w:val="left" w:pos="504"/>
            </w:tabs>
            <w:rPr>
              <w:rFonts w:ascii="Times New Roman" w:hAnsi="Times New Roman"/>
              <w:szCs w:val="21"/>
            </w:rPr>
          </w:pPr>
          <w:r w:rsidRPr="00E114CB">
            <w:rPr>
              <w:rFonts w:ascii="Times New Roman" w:hAnsi="Times New Roman"/>
              <w:szCs w:val="21"/>
            </w:rPr>
            <w:t>盈余公积</w:t>
          </w:r>
        </w:p>
        <w:sdt>
          <w:sdtPr>
            <w:rPr>
              <w:rFonts w:ascii="Times New Roman" w:hAnsi="Times New Roman" w:cs="Times New Roman"/>
            </w:rPr>
            <w:alias w:val="是否适用：盈余公积[双击切换]"/>
            <w:tag w:val="_GBC_52b9917fb423490bb32a9d6648a07db9"/>
            <w:id w:val="-631181862"/>
            <w:lock w:val="sdtLocked"/>
            <w:placeholder>
              <w:docPart w:val="GBC22222222222222222222222222222"/>
            </w:placeholder>
          </w:sdtPr>
          <w:sdtEndPr/>
          <w:sdtContent>
            <w:p w14:paraId="39DCF82C" w14:textId="77777777" w:rsidR="00D21C1F" w:rsidRPr="00E114CB" w:rsidRDefault="00A42880">
              <w:pPr>
                <w:pStyle w:val="97"/>
                <w:rPr>
                  <w:rFonts w:ascii="Times New Roman" w:hAnsi="Times New Roman" w:cs="Times New Roman"/>
                </w:rPr>
              </w:pPr>
              <w:r w:rsidRPr="00E114CB">
                <w:rPr>
                  <w:rFonts w:ascii="Times New Roman" w:hAnsi="Times New Roman" w:cs="Times New Roman"/>
                </w:rPr>
                <w:fldChar w:fldCharType="begin"/>
              </w:r>
              <w:r w:rsidRPr="00E114CB">
                <w:rPr>
                  <w:rFonts w:ascii="Times New Roman" w:hAnsi="Times New Roman" w:cs="Times New Roman"/>
                </w:rPr>
                <w:instrText xml:space="preserve"> MACROBUTTON  SnrToggleCheckbox √</w:instrText>
              </w:r>
              <w:r w:rsidRPr="00E114CB">
                <w:rPr>
                  <w:rFonts w:ascii="Times New Roman" w:hAnsi="Times New Roman" w:cs="Times New Roman"/>
                </w:rPr>
                <w:instrText>适用</w:instrText>
              </w:r>
              <w:r w:rsidRPr="00E114CB">
                <w:rPr>
                  <w:rFonts w:ascii="Times New Roman" w:hAnsi="Times New Roman" w:cs="Times New Roman"/>
                </w:rPr>
                <w:instrText xml:space="preserve"> </w:instrText>
              </w:r>
              <w:r w:rsidRPr="00E114CB">
                <w:rPr>
                  <w:rFonts w:ascii="Times New Roman" w:hAnsi="Times New Roman" w:cs="Times New Roman"/>
                </w:rPr>
                <w:fldChar w:fldCharType="end"/>
              </w:r>
              <w:r w:rsidRPr="00E114CB">
                <w:rPr>
                  <w:rFonts w:ascii="Times New Roman" w:hAnsi="Times New Roman" w:cs="Times New Roman"/>
                </w:rPr>
                <w:fldChar w:fldCharType="begin"/>
              </w:r>
              <w:r w:rsidRPr="00E114CB">
                <w:rPr>
                  <w:rFonts w:ascii="Times New Roman" w:hAnsi="Times New Roman" w:cs="Times New Roman"/>
                </w:rPr>
                <w:instrText xml:space="preserve"> MACROBUTTON  SnrToggleCheckbox □</w:instrText>
              </w:r>
              <w:r w:rsidRPr="00E114CB">
                <w:rPr>
                  <w:rFonts w:ascii="Times New Roman" w:hAnsi="Times New Roman" w:cs="Times New Roman"/>
                </w:rPr>
                <w:instrText>不适用</w:instrText>
              </w:r>
              <w:r w:rsidRPr="00E114CB">
                <w:rPr>
                  <w:rFonts w:ascii="Times New Roman" w:hAnsi="Times New Roman" w:cs="Times New Roman"/>
                </w:rPr>
                <w:instrText xml:space="preserve"> </w:instrText>
              </w:r>
              <w:r w:rsidRPr="00E114CB">
                <w:rPr>
                  <w:rFonts w:ascii="Times New Roman" w:hAnsi="Times New Roman" w:cs="Times New Roman"/>
                </w:rPr>
                <w:fldChar w:fldCharType="end"/>
              </w:r>
            </w:p>
          </w:sdtContent>
        </w:sdt>
        <w:p w14:paraId="6D297285" w14:textId="77777777" w:rsidR="00D21C1F" w:rsidRPr="00E114CB" w:rsidRDefault="00A42880">
          <w:pPr>
            <w:jc w:val="right"/>
            <w:rPr>
              <w:rFonts w:ascii="Times New Roman" w:hAnsi="Times New Roman" w:cs="Times New Roman"/>
              <w:szCs w:val="21"/>
            </w:rPr>
          </w:pPr>
          <w:r w:rsidRPr="00E114CB">
            <w:rPr>
              <w:rFonts w:ascii="Times New Roman" w:hAnsi="Times New Roman" w:cs="Times New Roman"/>
              <w:szCs w:val="21"/>
            </w:rPr>
            <w:t>单位：</w:t>
          </w:r>
          <w:sdt>
            <w:sdtPr>
              <w:rPr>
                <w:rFonts w:ascii="Times New Roman" w:hAnsi="Times New Roman" w:cs="Times New Roman"/>
                <w:szCs w:val="21"/>
              </w:rPr>
              <w:alias w:val="单位：财务附注：盈余公积"/>
              <w:tag w:val="_GBC_ea3204141ce3498eaccd14c833f64973"/>
              <w:id w:val="1127900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114CB">
                <w:rPr>
                  <w:rFonts w:ascii="Times New Roman" w:hAnsi="Times New Roman" w:cs="Times New Roman"/>
                  <w:szCs w:val="21"/>
                </w:rPr>
                <w:t>元</w:t>
              </w:r>
            </w:sdtContent>
          </w:sdt>
          <w:r w:rsidRPr="00E114CB">
            <w:rPr>
              <w:rFonts w:ascii="Times New Roman" w:hAnsi="Times New Roman" w:cs="Times New Roman"/>
              <w:szCs w:val="21"/>
            </w:rPr>
            <w:t>币种：</w:t>
          </w:r>
          <w:sdt>
            <w:sdtPr>
              <w:rPr>
                <w:rFonts w:ascii="Times New Roman" w:hAnsi="Times New Roman" w:cs="Times New Roman"/>
                <w:szCs w:val="21"/>
              </w:rPr>
              <w:alias w:val="币种：财务附注：盈余公积"/>
              <w:tag w:val="_GBC_f5c6664d47b9454d919a38095dd3c48d"/>
              <w:id w:val="992992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E114CB">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D21C1F" w:rsidRPr="00E114CB" w14:paraId="53E7552F" w14:textId="77777777">
            <w:sdt>
              <w:sdtPr>
                <w:rPr>
                  <w:rFonts w:ascii="Times New Roman" w:hAnsi="Times New Roman" w:cs="Times New Roman"/>
                </w:rPr>
                <w:tag w:val="_PLD_70f0cea3df9b4646bf8f9454719b4599"/>
                <w:id w:val="-316650027"/>
                <w:lock w:val="sdtLocked"/>
              </w:sdtPr>
              <w:sdtEndPr/>
              <w:sdtContent>
                <w:tc>
                  <w:tcPr>
                    <w:tcW w:w="940" w:type="pct"/>
                  </w:tcPr>
                  <w:p w14:paraId="6A1B3D8B" w14:textId="77777777" w:rsidR="00D21C1F" w:rsidRPr="00E114CB" w:rsidRDefault="00A42880">
                    <w:pPr>
                      <w:autoSpaceDE w:val="0"/>
                      <w:autoSpaceDN w:val="0"/>
                      <w:adjustRightInd w:val="0"/>
                      <w:snapToGrid w:val="0"/>
                      <w:jc w:val="center"/>
                      <w:rPr>
                        <w:rFonts w:ascii="Times New Roman" w:hAnsi="Times New Roman" w:cs="Times New Roman"/>
                        <w:szCs w:val="21"/>
                      </w:rPr>
                    </w:pPr>
                    <w:r w:rsidRPr="00E114CB">
                      <w:rPr>
                        <w:rFonts w:ascii="Times New Roman" w:hAnsi="Times New Roman" w:cs="Times New Roman"/>
                        <w:szCs w:val="21"/>
                      </w:rPr>
                      <w:t>项目</w:t>
                    </w:r>
                  </w:p>
                </w:tc>
              </w:sdtContent>
            </w:sdt>
            <w:sdt>
              <w:sdtPr>
                <w:rPr>
                  <w:rFonts w:ascii="Times New Roman" w:hAnsi="Times New Roman" w:cs="Times New Roman"/>
                </w:rPr>
                <w:tag w:val="_PLD_5466d5e3c2b64aeb9abc2e1a21f2e6c0"/>
                <w:id w:val="1006176668"/>
                <w:lock w:val="sdtLocked"/>
              </w:sdtPr>
              <w:sdtEndPr/>
              <w:sdtContent>
                <w:tc>
                  <w:tcPr>
                    <w:tcW w:w="1011" w:type="pct"/>
                  </w:tcPr>
                  <w:p w14:paraId="3214E69F" w14:textId="77777777" w:rsidR="00D21C1F" w:rsidRPr="00E114CB" w:rsidRDefault="00A42880">
                    <w:pPr>
                      <w:autoSpaceDE w:val="0"/>
                      <w:autoSpaceDN w:val="0"/>
                      <w:adjustRightInd w:val="0"/>
                      <w:snapToGrid w:val="0"/>
                      <w:jc w:val="center"/>
                      <w:rPr>
                        <w:rFonts w:ascii="Times New Roman" w:hAnsi="Times New Roman" w:cs="Times New Roman"/>
                        <w:szCs w:val="21"/>
                      </w:rPr>
                    </w:pPr>
                    <w:r w:rsidRPr="00E114CB">
                      <w:rPr>
                        <w:rFonts w:ascii="Times New Roman" w:hAnsi="Times New Roman" w:cs="Times New Roman"/>
                        <w:szCs w:val="21"/>
                      </w:rPr>
                      <w:t>期初余额</w:t>
                    </w:r>
                  </w:p>
                </w:tc>
              </w:sdtContent>
            </w:sdt>
            <w:sdt>
              <w:sdtPr>
                <w:rPr>
                  <w:rFonts w:ascii="Times New Roman" w:hAnsi="Times New Roman" w:cs="Times New Roman"/>
                </w:rPr>
                <w:tag w:val="_PLD_44b0c825c55949b98cff671f8777dd39"/>
                <w:id w:val="-196085941"/>
                <w:lock w:val="sdtLocked"/>
              </w:sdtPr>
              <w:sdtEndPr/>
              <w:sdtContent>
                <w:tc>
                  <w:tcPr>
                    <w:tcW w:w="1014" w:type="pct"/>
                  </w:tcPr>
                  <w:p w14:paraId="66E03588" w14:textId="77777777" w:rsidR="00D21C1F" w:rsidRPr="00E114CB" w:rsidRDefault="00A42880">
                    <w:pPr>
                      <w:autoSpaceDE w:val="0"/>
                      <w:autoSpaceDN w:val="0"/>
                      <w:adjustRightInd w:val="0"/>
                      <w:snapToGrid w:val="0"/>
                      <w:jc w:val="center"/>
                      <w:rPr>
                        <w:rFonts w:ascii="Times New Roman" w:hAnsi="Times New Roman" w:cs="Times New Roman"/>
                        <w:szCs w:val="21"/>
                      </w:rPr>
                    </w:pPr>
                    <w:r w:rsidRPr="00E114CB">
                      <w:rPr>
                        <w:rFonts w:ascii="Times New Roman" w:hAnsi="Times New Roman" w:cs="Times New Roman"/>
                        <w:szCs w:val="21"/>
                      </w:rPr>
                      <w:t>本期增加</w:t>
                    </w:r>
                  </w:p>
                </w:tc>
              </w:sdtContent>
            </w:sdt>
            <w:sdt>
              <w:sdtPr>
                <w:rPr>
                  <w:rFonts w:ascii="Times New Roman" w:hAnsi="Times New Roman" w:cs="Times New Roman"/>
                </w:rPr>
                <w:tag w:val="_PLD_111b02bee52f4f1a879468aa2243106f"/>
                <w:id w:val="1792857125"/>
                <w:lock w:val="sdtLocked"/>
              </w:sdtPr>
              <w:sdtEndPr/>
              <w:sdtContent>
                <w:tc>
                  <w:tcPr>
                    <w:tcW w:w="1021" w:type="pct"/>
                  </w:tcPr>
                  <w:p w14:paraId="42727F18" w14:textId="77777777" w:rsidR="00D21C1F" w:rsidRPr="00E114CB" w:rsidRDefault="00A42880">
                    <w:pPr>
                      <w:autoSpaceDE w:val="0"/>
                      <w:autoSpaceDN w:val="0"/>
                      <w:adjustRightInd w:val="0"/>
                      <w:snapToGrid w:val="0"/>
                      <w:jc w:val="center"/>
                      <w:rPr>
                        <w:rFonts w:ascii="Times New Roman" w:hAnsi="Times New Roman" w:cs="Times New Roman"/>
                        <w:szCs w:val="21"/>
                      </w:rPr>
                    </w:pPr>
                    <w:r w:rsidRPr="00E114CB">
                      <w:rPr>
                        <w:rFonts w:ascii="Times New Roman" w:hAnsi="Times New Roman" w:cs="Times New Roman"/>
                        <w:szCs w:val="21"/>
                      </w:rPr>
                      <w:t>本期减少</w:t>
                    </w:r>
                  </w:p>
                </w:tc>
              </w:sdtContent>
            </w:sdt>
            <w:sdt>
              <w:sdtPr>
                <w:rPr>
                  <w:rFonts w:ascii="Times New Roman" w:hAnsi="Times New Roman" w:cs="Times New Roman"/>
                </w:rPr>
                <w:tag w:val="_PLD_e6d9dff1341d44c99d9c3f51d8fd2c2f"/>
                <w:id w:val="-203562280"/>
                <w:lock w:val="sdtLocked"/>
              </w:sdtPr>
              <w:sdtEndPr/>
              <w:sdtContent>
                <w:tc>
                  <w:tcPr>
                    <w:tcW w:w="1014" w:type="pct"/>
                  </w:tcPr>
                  <w:p w14:paraId="3D8289A5" w14:textId="77777777" w:rsidR="00D21C1F" w:rsidRPr="00E114CB" w:rsidRDefault="00A42880">
                    <w:pPr>
                      <w:autoSpaceDE w:val="0"/>
                      <w:autoSpaceDN w:val="0"/>
                      <w:adjustRightInd w:val="0"/>
                      <w:snapToGrid w:val="0"/>
                      <w:jc w:val="center"/>
                      <w:rPr>
                        <w:rFonts w:ascii="Times New Roman" w:hAnsi="Times New Roman" w:cs="Times New Roman"/>
                        <w:szCs w:val="21"/>
                      </w:rPr>
                    </w:pPr>
                    <w:r w:rsidRPr="00E114CB">
                      <w:rPr>
                        <w:rFonts w:ascii="Times New Roman" w:hAnsi="Times New Roman" w:cs="Times New Roman"/>
                        <w:szCs w:val="21"/>
                      </w:rPr>
                      <w:t>期末余额</w:t>
                    </w:r>
                  </w:p>
                </w:tc>
              </w:sdtContent>
            </w:sdt>
          </w:tr>
          <w:tr w:rsidR="00D21C1F" w:rsidRPr="00E114CB" w14:paraId="3323E675" w14:textId="77777777">
            <w:sdt>
              <w:sdtPr>
                <w:rPr>
                  <w:rFonts w:ascii="Times New Roman" w:hAnsi="Times New Roman" w:cs="Times New Roman"/>
                </w:rPr>
                <w:tag w:val="_PLD_fc05a7682db944fc88b1d5bf0888fab6"/>
                <w:id w:val="-459881367"/>
                <w:lock w:val="sdtLocked"/>
              </w:sdtPr>
              <w:sdtEndPr/>
              <w:sdtContent>
                <w:tc>
                  <w:tcPr>
                    <w:tcW w:w="940" w:type="pct"/>
                    <w:shd w:val="clear" w:color="auto" w:fill="auto"/>
                    <w:vAlign w:val="center"/>
                  </w:tcPr>
                  <w:p w14:paraId="6CBBC889" w14:textId="77777777" w:rsidR="00D21C1F" w:rsidRPr="00E114CB" w:rsidRDefault="00A42880">
                    <w:pPr>
                      <w:autoSpaceDE w:val="0"/>
                      <w:autoSpaceDN w:val="0"/>
                      <w:adjustRightInd w:val="0"/>
                      <w:snapToGrid w:val="0"/>
                      <w:jc w:val="both"/>
                      <w:rPr>
                        <w:rFonts w:ascii="Times New Roman" w:hAnsi="Times New Roman" w:cs="Times New Roman"/>
                        <w:szCs w:val="21"/>
                      </w:rPr>
                    </w:pPr>
                    <w:r w:rsidRPr="00E114CB">
                      <w:rPr>
                        <w:rFonts w:ascii="Times New Roman" w:hAnsi="Times New Roman" w:cs="Times New Roman"/>
                        <w:szCs w:val="21"/>
                      </w:rPr>
                      <w:t>法定盈余公积</w:t>
                    </w:r>
                  </w:p>
                </w:tc>
              </w:sdtContent>
            </w:sdt>
            <w:tc>
              <w:tcPr>
                <w:tcW w:w="1011" w:type="pct"/>
                <w:shd w:val="clear" w:color="auto" w:fill="auto"/>
              </w:tcPr>
              <w:p w14:paraId="7B090F26"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szCs w:val="21"/>
                  </w:rPr>
                  <w:t>10,122,906.55</w:t>
                </w:r>
              </w:p>
            </w:tc>
            <w:tc>
              <w:tcPr>
                <w:tcW w:w="1014" w:type="pct"/>
                <w:shd w:val="clear" w:color="auto" w:fill="auto"/>
              </w:tcPr>
              <w:p w14:paraId="25972DDA"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szCs w:val="21"/>
                  </w:rPr>
                  <w:t>-</w:t>
                </w:r>
              </w:p>
            </w:tc>
            <w:tc>
              <w:tcPr>
                <w:tcW w:w="1021" w:type="pct"/>
                <w:shd w:val="clear" w:color="auto" w:fill="auto"/>
              </w:tcPr>
              <w:p w14:paraId="33C6C037"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szCs w:val="21"/>
                  </w:rPr>
                  <w:t>-</w:t>
                </w:r>
              </w:p>
            </w:tc>
            <w:tc>
              <w:tcPr>
                <w:tcW w:w="1014" w:type="pct"/>
                <w:shd w:val="clear" w:color="auto" w:fill="auto"/>
              </w:tcPr>
              <w:p w14:paraId="6AC8C469"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szCs w:val="21"/>
                  </w:rPr>
                  <w:t>10,122,906.55</w:t>
                </w:r>
              </w:p>
            </w:tc>
          </w:tr>
          <w:tr w:rsidR="00D21C1F" w:rsidRPr="00E114CB" w14:paraId="37FEFC0A" w14:textId="77777777">
            <w:sdt>
              <w:sdtPr>
                <w:rPr>
                  <w:rFonts w:ascii="Times New Roman" w:hAnsi="Times New Roman" w:cs="Times New Roman"/>
                </w:rPr>
                <w:tag w:val="_PLD_f8e1917adbcf4318b4ab05bf11aaef0c"/>
                <w:id w:val="1151327119"/>
                <w:lock w:val="sdtLocked"/>
              </w:sdtPr>
              <w:sdtEndPr/>
              <w:sdtContent>
                <w:tc>
                  <w:tcPr>
                    <w:tcW w:w="940" w:type="pct"/>
                  </w:tcPr>
                  <w:p w14:paraId="034CE927" w14:textId="77777777" w:rsidR="00D21C1F" w:rsidRPr="00E114CB" w:rsidRDefault="00A42880">
                    <w:pPr>
                      <w:autoSpaceDE w:val="0"/>
                      <w:autoSpaceDN w:val="0"/>
                      <w:adjustRightInd w:val="0"/>
                      <w:snapToGrid w:val="0"/>
                      <w:jc w:val="center"/>
                      <w:rPr>
                        <w:rFonts w:ascii="Times New Roman" w:hAnsi="Times New Roman" w:cs="Times New Roman"/>
                        <w:szCs w:val="21"/>
                      </w:rPr>
                    </w:pPr>
                    <w:r w:rsidRPr="00E114CB">
                      <w:rPr>
                        <w:rFonts w:ascii="Times New Roman" w:hAnsi="Times New Roman" w:cs="Times New Roman"/>
                        <w:szCs w:val="21"/>
                      </w:rPr>
                      <w:t>合计</w:t>
                    </w:r>
                  </w:p>
                </w:tc>
              </w:sdtContent>
            </w:sdt>
            <w:tc>
              <w:tcPr>
                <w:tcW w:w="1011" w:type="pct"/>
                <w:vAlign w:val="center"/>
              </w:tcPr>
              <w:p w14:paraId="38993E0F"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rPr>
                  <w:t>10,122,906.55</w:t>
                </w:r>
              </w:p>
            </w:tc>
            <w:tc>
              <w:tcPr>
                <w:tcW w:w="1014" w:type="pct"/>
                <w:vAlign w:val="center"/>
              </w:tcPr>
              <w:p w14:paraId="69EE8477"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rPr>
                  <w:t>-</w:t>
                </w:r>
              </w:p>
            </w:tc>
            <w:tc>
              <w:tcPr>
                <w:tcW w:w="1021" w:type="pct"/>
                <w:vAlign w:val="center"/>
              </w:tcPr>
              <w:p w14:paraId="7E5CB0DA"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rPr>
                  <w:t>-</w:t>
                </w:r>
              </w:p>
            </w:tc>
            <w:tc>
              <w:tcPr>
                <w:tcW w:w="1014" w:type="pct"/>
                <w:vAlign w:val="center"/>
              </w:tcPr>
              <w:p w14:paraId="44F9A36A" w14:textId="77777777" w:rsidR="00D21C1F" w:rsidRPr="00E114CB" w:rsidRDefault="00A42880">
                <w:pPr>
                  <w:autoSpaceDE w:val="0"/>
                  <w:autoSpaceDN w:val="0"/>
                  <w:adjustRightInd w:val="0"/>
                  <w:snapToGrid w:val="0"/>
                  <w:ind w:right="180"/>
                  <w:jc w:val="right"/>
                  <w:rPr>
                    <w:rFonts w:ascii="Times New Roman" w:hAnsi="Times New Roman" w:cs="Times New Roman"/>
                    <w:szCs w:val="21"/>
                  </w:rPr>
                </w:pPr>
                <w:r w:rsidRPr="00E114CB">
                  <w:rPr>
                    <w:rFonts w:ascii="Times New Roman" w:hAnsi="Times New Roman" w:cs="Times New Roman"/>
                  </w:rPr>
                  <w:t>10,122,906.55</w:t>
                </w:r>
              </w:p>
            </w:tc>
          </w:tr>
        </w:tbl>
        <w:p w14:paraId="4C17E000" w14:textId="77777777" w:rsidR="00D21C1F" w:rsidRPr="00E114CB" w:rsidRDefault="00A42880">
          <w:pPr>
            <w:spacing w:before="60" w:after="60"/>
            <w:rPr>
              <w:rFonts w:ascii="Times New Roman" w:hAnsi="Times New Roman" w:cs="Times New Roman"/>
              <w:szCs w:val="21"/>
            </w:rPr>
          </w:pPr>
          <w:r w:rsidRPr="00E114CB">
            <w:rPr>
              <w:rFonts w:ascii="Times New Roman" w:hAnsi="Times New Roman" w:cs="Times New Roman"/>
              <w:szCs w:val="21"/>
            </w:rPr>
            <w:t>盈余公积说明，包括本期增减变动情况、变动原因说明：</w:t>
          </w:r>
        </w:p>
        <w:sdt>
          <w:sdtPr>
            <w:rPr>
              <w:rFonts w:ascii="Times New Roman" w:hAnsi="Times New Roman" w:cs="Times New Roman"/>
              <w:szCs w:val="21"/>
            </w:rPr>
            <w:alias w:val="盈余公积说明"/>
            <w:tag w:val="_GBC_33c5d1ed862f4b36950b5ea2188f5b09"/>
            <w:id w:val="1532233631"/>
            <w:lock w:val="sdtLocked"/>
            <w:placeholder>
              <w:docPart w:val="GBC22222222222222222222222222222"/>
            </w:placeholder>
          </w:sdtPr>
          <w:sdtEndPr/>
          <w:sdtContent>
            <w:p w14:paraId="4AF94E12" w14:textId="77777777" w:rsidR="00D21C1F" w:rsidRDefault="00A42880">
              <w:pPr>
                <w:autoSpaceDE w:val="0"/>
                <w:autoSpaceDN w:val="0"/>
                <w:adjustRightInd w:val="0"/>
                <w:rPr>
                  <w:color w:val="000000" w:themeColor="text1"/>
                  <w:szCs w:val="21"/>
                </w:rPr>
              </w:pPr>
              <w:r w:rsidRPr="00E114CB">
                <w:rPr>
                  <w:rFonts w:ascii="Times New Roman" w:hAnsi="Times New Roman" w:cs="Times New Roman"/>
                  <w:szCs w:val="21"/>
                </w:rPr>
                <w:t>无</w:t>
              </w:r>
            </w:p>
          </w:sdtContent>
        </w:sdt>
      </w:sdtContent>
    </w:sdt>
    <w:p w14:paraId="5934DBDC"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未分配利润</w:t>
      </w:r>
    </w:p>
    <w:p w14:paraId="5BE36029" w14:textId="77777777" w:rsidR="00D21C1F" w:rsidRDefault="00045EC6">
      <w:pPr>
        <w:pStyle w:val="97"/>
      </w:pPr>
      <w:sdt>
        <w:sdtPr>
          <w:alias w:val="是否适用：未分配利润[双击切换]"/>
          <w:tag w:val="_GBC_32c558bdbb77445cabeee783e5ff910e"/>
          <w:id w:val="-2072413061"/>
          <w:lock w:val="sdtContentLocked"/>
          <w:placeholder>
            <w:docPart w:val="GBC22222222222222222222222222222"/>
          </w:placeholder>
        </w:sdtPr>
        <w:sdtEndPr/>
        <w:sdtContent>
          <w:r w:rsidR="00A42880">
            <w:fldChar w:fldCharType="begin"/>
          </w:r>
          <w:r w:rsidR="00A42880">
            <w:instrText xml:space="preserve"> 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sdt>
      <w:sdtPr>
        <w:rPr>
          <w:rFonts w:ascii="Times New Roman" w:hAnsi="Times New Roman" w:cs="Times New Roman"/>
          <w:b/>
          <w:bCs/>
          <w:szCs w:val="21"/>
        </w:rPr>
        <w:alias w:val="模块:未分配利润"/>
        <w:tag w:val="_GBC_2cdd2861806d471aa767f92841b30fbf"/>
        <w:id w:val="561147044"/>
        <w:lock w:val="sdtLocked"/>
        <w:placeholder>
          <w:docPart w:val="GBC22222222222222222222222222222"/>
        </w:placeholder>
      </w:sdtPr>
      <w:sdtEndPr>
        <w:rPr>
          <w:b w:val="0"/>
          <w:bCs w:val="0"/>
        </w:rPr>
      </w:sdtEndPr>
      <w:sdtContent>
        <w:p w14:paraId="3CECEB8C" w14:textId="77777777" w:rsidR="00D21C1F" w:rsidRPr="00E114CB" w:rsidRDefault="00A42880">
          <w:pPr>
            <w:jc w:val="right"/>
            <w:rPr>
              <w:rFonts w:ascii="Times New Roman" w:hAnsi="Times New Roman" w:cs="Times New Roman"/>
              <w:szCs w:val="21"/>
            </w:rPr>
          </w:pPr>
          <w:r w:rsidRPr="00E114CB">
            <w:rPr>
              <w:rFonts w:ascii="Times New Roman" w:hAnsi="Times New Roman" w:cs="Times New Roman"/>
              <w:szCs w:val="21"/>
            </w:rPr>
            <w:t>单位：</w:t>
          </w:r>
          <w:sdt>
            <w:sdtPr>
              <w:rPr>
                <w:rFonts w:ascii="Times New Roman" w:hAnsi="Times New Roman" w:cs="Times New Roman"/>
                <w:szCs w:val="21"/>
              </w:rPr>
              <w:alias w:val="单位：财务附注：未分配利润"/>
              <w:tag w:val="_GBC_cfb07ff3eded4b49916cfc42d821bab6"/>
              <w:id w:val="-876310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114CB">
                <w:rPr>
                  <w:rFonts w:ascii="Times New Roman" w:hAnsi="Times New Roman" w:cs="Times New Roman"/>
                  <w:szCs w:val="21"/>
                </w:rPr>
                <w:t>元</w:t>
              </w:r>
            </w:sdtContent>
          </w:sdt>
          <w:r w:rsidRPr="00E114CB">
            <w:rPr>
              <w:rFonts w:ascii="Times New Roman" w:hAnsi="Times New Roman" w:cs="Times New Roman"/>
              <w:szCs w:val="21"/>
            </w:rPr>
            <w:t>币种：</w:t>
          </w:r>
          <w:sdt>
            <w:sdtPr>
              <w:rPr>
                <w:rFonts w:ascii="Times New Roman" w:hAnsi="Times New Roman" w:cs="Times New Roman"/>
                <w:szCs w:val="21"/>
              </w:rPr>
              <w:alias w:val="币种：财务附注：未分配利润"/>
              <w:tag w:val="_GBC_55c70fe731be4b84be72ea88afd989b8"/>
              <w:id w:val="2127966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E114CB">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401"/>
            <w:gridCol w:w="2754"/>
            <w:gridCol w:w="2668"/>
          </w:tblGrid>
          <w:tr w:rsidR="00D21C1F" w:rsidRPr="00E114CB" w14:paraId="6E43A647" w14:textId="77777777">
            <w:trPr>
              <w:cantSplit/>
            </w:trPr>
            <w:sdt>
              <w:sdtPr>
                <w:rPr>
                  <w:rFonts w:ascii="Times New Roman" w:hAnsi="Times New Roman" w:cs="Times New Roman"/>
                </w:rPr>
                <w:tag w:val="_PLD_b6dc2bd7eebb4e6d9f1ccea8d86e6f47"/>
                <w:id w:val="-1019548617"/>
                <w:lock w:val="sdtLocked"/>
              </w:sdtPr>
              <w:sdtEndPr/>
              <w:sdtContent>
                <w:tc>
                  <w:tcPr>
                    <w:tcW w:w="1927" w:type="pct"/>
                    <w:vAlign w:val="center"/>
                  </w:tcPr>
                  <w:p w14:paraId="68152DDA" w14:textId="77777777" w:rsidR="00D21C1F" w:rsidRPr="00E114CB" w:rsidRDefault="00A42880">
                    <w:pPr>
                      <w:jc w:val="center"/>
                      <w:rPr>
                        <w:rFonts w:ascii="Times New Roman" w:hAnsi="Times New Roman" w:cs="Times New Roman"/>
                        <w:szCs w:val="21"/>
                      </w:rPr>
                    </w:pPr>
                    <w:r w:rsidRPr="00E114CB">
                      <w:rPr>
                        <w:rFonts w:ascii="Times New Roman" w:hAnsi="Times New Roman" w:cs="Times New Roman"/>
                        <w:szCs w:val="21"/>
                      </w:rPr>
                      <w:t>项目</w:t>
                    </w:r>
                  </w:p>
                </w:tc>
              </w:sdtContent>
            </w:sdt>
            <w:sdt>
              <w:sdtPr>
                <w:rPr>
                  <w:rFonts w:ascii="Times New Roman" w:hAnsi="Times New Roman" w:cs="Times New Roman"/>
                </w:rPr>
                <w:tag w:val="_PLD_6e60054e3c3747d1a0ffc87edacae2b6"/>
                <w:id w:val="1549102950"/>
                <w:lock w:val="sdtLocked"/>
              </w:sdtPr>
              <w:sdtEndPr/>
              <w:sdtContent>
                <w:tc>
                  <w:tcPr>
                    <w:tcW w:w="1560" w:type="pct"/>
                    <w:vAlign w:val="center"/>
                  </w:tcPr>
                  <w:p w14:paraId="0F8CF5CA" w14:textId="77777777" w:rsidR="00D21C1F" w:rsidRPr="00E114CB" w:rsidRDefault="00A42880">
                    <w:pPr>
                      <w:jc w:val="center"/>
                      <w:rPr>
                        <w:rFonts w:ascii="Times New Roman" w:hAnsi="Times New Roman" w:cs="Times New Roman"/>
                        <w:szCs w:val="21"/>
                      </w:rPr>
                    </w:pPr>
                    <w:r w:rsidRPr="00E114CB">
                      <w:rPr>
                        <w:rFonts w:ascii="Times New Roman" w:hAnsi="Times New Roman" w:cs="Times New Roman"/>
                        <w:szCs w:val="21"/>
                      </w:rPr>
                      <w:t>本期</w:t>
                    </w:r>
                  </w:p>
                </w:tc>
              </w:sdtContent>
            </w:sdt>
            <w:sdt>
              <w:sdtPr>
                <w:rPr>
                  <w:rFonts w:ascii="Times New Roman" w:hAnsi="Times New Roman" w:cs="Times New Roman"/>
                </w:rPr>
                <w:tag w:val="_PLD_9afd54e9959d4b22b00bfe92596a2a16"/>
                <w:id w:val="-21322983"/>
                <w:lock w:val="sdtLocked"/>
              </w:sdtPr>
              <w:sdtEndPr/>
              <w:sdtContent>
                <w:tc>
                  <w:tcPr>
                    <w:tcW w:w="1512" w:type="pct"/>
                    <w:vAlign w:val="center"/>
                  </w:tcPr>
                  <w:p w14:paraId="2DBE07F2" w14:textId="77777777" w:rsidR="00D21C1F" w:rsidRPr="00E114CB" w:rsidRDefault="00A42880">
                    <w:pPr>
                      <w:jc w:val="center"/>
                      <w:rPr>
                        <w:rFonts w:ascii="Times New Roman" w:hAnsi="Times New Roman" w:cs="Times New Roman"/>
                        <w:szCs w:val="21"/>
                      </w:rPr>
                    </w:pPr>
                    <w:r w:rsidRPr="00E114CB">
                      <w:rPr>
                        <w:rFonts w:ascii="Times New Roman" w:hAnsi="Times New Roman" w:cs="Times New Roman"/>
                        <w:szCs w:val="21"/>
                      </w:rPr>
                      <w:t>上年度</w:t>
                    </w:r>
                  </w:p>
                </w:tc>
              </w:sdtContent>
            </w:sdt>
          </w:tr>
          <w:tr w:rsidR="00D21C1F" w:rsidRPr="00E114CB" w14:paraId="02A161FB" w14:textId="77777777">
            <w:trPr>
              <w:cantSplit/>
            </w:trPr>
            <w:sdt>
              <w:sdtPr>
                <w:rPr>
                  <w:rFonts w:ascii="Times New Roman" w:hAnsi="Times New Roman" w:cs="Times New Roman"/>
                </w:rPr>
                <w:tag w:val="_PLD_3790b8d7d129484381d1c2fa2fa8d23c"/>
                <w:id w:val="1163207049"/>
                <w:lock w:val="sdtLocked"/>
              </w:sdtPr>
              <w:sdtEndPr/>
              <w:sdtContent>
                <w:tc>
                  <w:tcPr>
                    <w:tcW w:w="1927" w:type="pct"/>
                  </w:tcPr>
                  <w:p w14:paraId="344EEA0E" w14:textId="77777777" w:rsidR="00D21C1F" w:rsidRPr="00E114CB" w:rsidRDefault="00A42880">
                    <w:pPr>
                      <w:rPr>
                        <w:rFonts w:ascii="Times New Roman" w:hAnsi="Times New Roman" w:cs="Times New Roman"/>
                        <w:szCs w:val="21"/>
                      </w:rPr>
                    </w:pPr>
                    <w:r w:rsidRPr="00E114CB">
                      <w:rPr>
                        <w:rFonts w:ascii="Times New Roman" w:hAnsi="Times New Roman" w:cs="Times New Roman"/>
                        <w:szCs w:val="21"/>
                      </w:rPr>
                      <w:t>调整前上期末未分配利润</w:t>
                    </w:r>
                  </w:p>
                </w:tc>
              </w:sdtContent>
            </w:sdt>
            <w:tc>
              <w:tcPr>
                <w:tcW w:w="1560" w:type="pct"/>
                <w:vAlign w:val="bottom"/>
              </w:tcPr>
              <w:p w14:paraId="5275E317" w14:textId="77777777" w:rsidR="00D21C1F" w:rsidRPr="00E114CB" w:rsidRDefault="00A42880">
                <w:pPr>
                  <w:ind w:right="6"/>
                  <w:jc w:val="right"/>
                  <w:rPr>
                    <w:rFonts w:ascii="Times New Roman" w:hAnsi="Times New Roman" w:cs="Times New Roman"/>
                    <w:szCs w:val="21"/>
                  </w:rPr>
                </w:pPr>
                <w:r w:rsidRPr="00E114CB">
                  <w:rPr>
                    <w:rFonts w:ascii="Times New Roman" w:hAnsi="Times New Roman" w:cs="Times New Roman"/>
                  </w:rPr>
                  <w:t>-345,488,092.53</w:t>
                </w:r>
              </w:p>
            </w:tc>
            <w:tc>
              <w:tcPr>
                <w:tcW w:w="1512" w:type="pct"/>
                <w:vAlign w:val="bottom"/>
              </w:tcPr>
              <w:p w14:paraId="0F95D88D" w14:textId="77777777" w:rsidR="00D21C1F" w:rsidRPr="00E114CB" w:rsidRDefault="00A42880">
                <w:pPr>
                  <w:jc w:val="right"/>
                  <w:rPr>
                    <w:rFonts w:ascii="Times New Roman" w:hAnsi="Times New Roman" w:cs="Times New Roman"/>
                    <w:szCs w:val="21"/>
                  </w:rPr>
                </w:pPr>
                <w:r w:rsidRPr="00E114CB">
                  <w:rPr>
                    <w:rFonts w:ascii="Times New Roman" w:hAnsi="Times New Roman" w:cs="Times New Roman"/>
                  </w:rPr>
                  <w:t>-154,927,381.73</w:t>
                </w:r>
              </w:p>
            </w:tc>
          </w:tr>
          <w:tr w:rsidR="00D21C1F" w:rsidRPr="00E114CB" w14:paraId="41A0FAF1" w14:textId="77777777" w:rsidTr="00E114CB">
            <w:trPr>
              <w:cantSplit/>
            </w:trPr>
            <w:sdt>
              <w:sdtPr>
                <w:rPr>
                  <w:rFonts w:ascii="Times New Roman" w:hAnsi="Times New Roman" w:cs="Times New Roman"/>
                </w:rPr>
                <w:tag w:val="_PLD_99b1e9805f3e4b93aa362504b83793b1"/>
                <w:id w:val="-877849264"/>
                <w:lock w:val="sdtLocked"/>
              </w:sdtPr>
              <w:sdtEndPr/>
              <w:sdtContent>
                <w:tc>
                  <w:tcPr>
                    <w:tcW w:w="1927" w:type="pct"/>
                  </w:tcPr>
                  <w:p w14:paraId="04389BFA" w14:textId="77777777" w:rsidR="00D21C1F" w:rsidRPr="00E114CB" w:rsidRDefault="00A42880">
                    <w:pPr>
                      <w:rPr>
                        <w:rFonts w:ascii="Times New Roman" w:hAnsi="Times New Roman" w:cs="Times New Roman"/>
                        <w:szCs w:val="21"/>
                      </w:rPr>
                    </w:pPr>
                    <w:r w:rsidRPr="00E114CB">
                      <w:rPr>
                        <w:rFonts w:ascii="Times New Roman" w:hAnsi="Times New Roman" w:cs="Times New Roman"/>
                        <w:szCs w:val="21"/>
                      </w:rPr>
                      <w:t>调整期初未分配利润合计数（调增</w:t>
                    </w:r>
                    <w:r w:rsidRPr="00E114CB">
                      <w:rPr>
                        <w:rFonts w:ascii="Times New Roman" w:hAnsi="Times New Roman" w:cs="Times New Roman"/>
                        <w:szCs w:val="21"/>
                      </w:rPr>
                      <w:t>+</w:t>
                    </w:r>
                    <w:r w:rsidRPr="00E114CB">
                      <w:rPr>
                        <w:rFonts w:ascii="Times New Roman" w:hAnsi="Times New Roman" w:cs="Times New Roman"/>
                        <w:szCs w:val="21"/>
                      </w:rPr>
                      <w:t>，调减－）</w:t>
                    </w:r>
                  </w:p>
                </w:tc>
              </w:sdtContent>
            </w:sdt>
            <w:tc>
              <w:tcPr>
                <w:tcW w:w="1560" w:type="pct"/>
                <w:vAlign w:val="center"/>
              </w:tcPr>
              <w:p w14:paraId="0AC4655F"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szCs w:val="21"/>
                  </w:rPr>
                  <w:t>-</w:t>
                </w:r>
              </w:p>
            </w:tc>
            <w:tc>
              <w:tcPr>
                <w:tcW w:w="1512" w:type="pct"/>
                <w:vAlign w:val="center"/>
              </w:tcPr>
              <w:p w14:paraId="2B71A3AD"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rPr>
                  <w:t>-19,304,226.60</w:t>
                </w:r>
              </w:p>
            </w:tc>
          </w:tr>
          <w:tr w:rsidR="00D21C1F" w:rsidRPr="00E114CB" w14:paraId="067BF586" w14:textId="77777777" w:rsidTr="00E114CB">
            <w:trPr>
              <w:cantSplit/>
            </w:trPr>
            <w:sdt>
              <w:sdtPr>
                <w:rPr>
                  <w:rFonts w:ascii="Times New Roman" w:hAnsi="Times New Roman" w:cs="Times New Roman"/>
                </w:rPr>
                <w:tag w:val="_PLD_7a98e2bc7c1b48d785851921473e7f5f"/>
                <w:id w:val="-295918857"/>
                <w:lock w:val="sdtLocked"/>
              </w:sdtPr>
              <w:sdtEndPr/>
              <w:sdtContent>
                <w:tc>
                  <w:tcPr>
                    <w:tcW w:w="1927" w:type="pct"/>
                  </w:tcPr>
                  <w:p w14:paraId="57C7D35B" w14:textId="77777777" w:rsidR="00D21C1F" w:rsidRPr="00E114CB" w:rsidRDefault="00A42880">
                    <w:pPr>
                      <w:rPr>
                        <w:rFonts w:ascii="Times New Roman" w:hAnsi="Times New Roman" w:cs="Times New Roman"/>
                        <w:szCs w:val="21"/>
                      </w:rPr>
                    </w:pPr>
                    <w:r w:rsidRPr="00E114CB">
                      <w:rPr>
                        <w:rFonts w:ascii="Times New Roman" w:hAnsi="Times New Roman" w:cs="Times New Roman"/>
                        <w:szCs w:val="21"/>
                      </w:rPr>
                      <w:t>调整后期初未分配利润</w:t>
                    </w:r>
                  </w:p>
                </w:tc>
              </w:sdtContent>
            </w:sdt>
            <w:tc>
              <w:tcPr>
                <w:tcW w:w="1560" w:type="pct"/>
                <w:vAlign w:val="center"/>
              </w:tcPr>
              <w:p w14:paraId="280421CD"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rPr>
                  <w:t>-345,488,092.53</w:t>
                </w:r>
              </w:p>
            </w:tc>
            <w:tc>
              <w:tcPr>
                <w:tcW w:w="1512" w:type="pct"/>
                <w:vAlign w:val="center"/>
              </w:tcPr>
              <w:p w14:paraId="419183D9"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rPr>
                  <w:t>-174,231,608.33</w:t>
                </w:r>
              </w:p>
            </w:tc>
          </w:tr>
          <w:tr w:rsidR="00D21C1F" w:rsidRPr="00E114CB" w14:paraId="699E6561" w14:textId="77777777" w:rsidTr="00E114CB">
            <w:trPr>
              <w:cantSplit/>
            </w:trPr>
            <w:sdt>
              <w:sdtPr>
                <w:rPr>
                  <w:rFonts w:ascii="Times New Roman" w:hAnsi="Times New Roman" w:cs="Times New Roman"/>
                </w:rPr>
                <w:tag w:val="_PLD_2a8ba0dc26a946cbb60b0ff473f157c1"/>
                <w:id w:val="1077095652"/>
                <w:lock w:val="sdtLocked"/>
              </w:sdtPr>
              <w:sdtEndPr/>
              <w:sdtContent>
                <w:tc>
                  <w:tcPr>
                    <w:tcW w:w="1927" w:type="pct"/>
                  </w:tcPr>
                  <w:p w14:paraId="5C86D96A" w14:textId="77777777" w:rsidR="00D21C1F" w:rsidRPr="00E114CB" w:rsidRDefault="00A42880">
                    <w:pPr>
                      <w:ind w:right="6"/>
                      <w:rPr>
                        <w:rFonts w:ascii="Times New Roman" w:hAnsi="Times New Roman" w:cs="Times New Roman"/>
                        <w:szCs w:val="21"/>
                      </w:rPr>
                    </w:pPr>
                    <w:r w:rsidRPr="00E114CB">
                      <w:rPr>
                        <w:rFonts w:ascii="Times New Roman" w:hAnsi="Times New Roman" w:cs="Times New Roman"/>
                        <w:szCs w:val="21"/>
                      </w:rPr>
                      <w:t>加：本期归属于母公司所有者的净利润</w:t>
                    </w:r>
                  </w:p>
                </w:tc>
              </w:sdtContent>
            </w:sdt>
            <w:tc>
              <w:tcPr>
                <w:tcW w:w="1560" w:type="pct"/>
                <w:vAlign w:val="center"/>
              </w:tcPr>
              <w:p w14:paraId="3C4F9924"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rPr>
                  <w:t>-56,479,024.64</w:t>
                </w:r>
              </w:p>
            </w:tc>
            <w:tc>
              <w:tcPr>
                <w:tcW w:w="1512" w:type="pct"/>
                <w:vAlign w:val="center"/>
              </w:tcPr>
              <w:p w14:paraId="54B2C78E"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rPr>
                  <w:t>-168,984,523.14</w:t>
                </w:r>
              </w:p>
            </w:tc>
          </w:tr>
          <w:tr w:rsidR="00D21C1F" w:rsidRPr="00E114CB" w14:paraId="255E79E0" w14:textId="77777777" w:rsidTr="00E114CB">
            <w:trPr>
              <w:cantSplit/>
            </w:trPr>
            <w:sdt>
              <w:sdtPr>
                <w:rPr>
                  <w:rFonts w:ascii="Times New Roman" w:hAnsi="Times New Roman" w:cs="Times New Roman"/>
                </w:rPr>
                <w:tag w:val="_PLD_97aab68ad9b74921a7946fa4d2999e51"/>
                <w:id w:val="1912648516"/>
                <w:lock w:val="sdtLocked"/>
              </w:sdtPr>
              <w:sdtEndPr/>
              <w:sdtContent>
                <w:tc>
                  <w:tcPr>
                    <w:tcW w:w="1927" w:type="pct"/>
                  </w:tcPr>
                  <w:p w14:paraId="7CA42F6C" w14:textId="77777777" w:rsidR="00D21C1F" w:rsidRPr="00E114CB" w:rsidRDefault="00A42880">
                    <w:pPr>
                      <w:autoSpaceDE w:val="0"/>
                      <w:autoSpaceDN w:val="0"/>
                      <w:adjustRightInd w:val="0"/>
                      <w:rPr>
                        <w:rFonts w:ascii="Times New Roman" w:hAnsi="Times New Roman" w:cs="Times New Roman"/>
                        <w:szCs w:val="21"/>
                      </w:rPr>
                    </w:pPr>
                    <w:r w:rsidRPr="00E114CB">
                      <w:rPr>
                        <w:rFonts w:ascii="Times New Roman" w:hAnsi="Times New Roman" w:cs="Times New Roman"/>
                        <w:szCs w:val="21"/>
                      </w:rPr>
                      <w:t>减：提取法定盈余公积</w:t>
                    </w:r>
                  </w:p>
                </w:tc>
              </w:sdtContent>
            </w:sdt>
            <w:tc>
              <w:tcPr>
                <w:tcW w:w="1560" w:type="pct"/>
                <w:vAlign w:val="center"/>
              </w:tcPr>
              <w:p w14:paraId="41BC45BC" w14:textId="77777777" w:rsidR="00D21C1F" w:rsidRPr="00E114CB" w:rsidRDefault="00A42880" w:rsidP="00E114CB">
                <w:pPr>
                  <w:jc w:val="right"/>
                  <w:rPr>
                    <w:rFonts w:ascii="Times New Roman" w:hAnsi="Times New Roman" w:cs="Times New Roman"/>
                    <w:szCs w:val="21"/>
                  </w:rPr>
                </w:pPr>
                <w:r w:rsidRPr="00E114CB">
                  <w:rPr>
                    <w:rFonts w:ascii="Times New Roman" w:hAnsi="Times New Roman" w:cs="Times New Roman"/>
                  </w:rPr>
                  <w:t>-</w:t>
                </w:r>
              </w:p>
            </w:tc>
            <w:tc>
              <w:tcPr>
                <w:tcW w:w="1512" w:type="pct"/>
                <w:vAlign w:val="center"/>
              </w:tcPr>
              <w:p w14:paraId="6ECC0EBE"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rPr>
                  <w:t>2,271,961.06</w:t>
                </w:r>
              </w:p>
            </w:tc>
          </w:tr>
          <w:tr w:rsidR="00D21C1F" w:rsidRPr="00E114CB" w14:paraId="47F06F4A" w14:textId="77777777" w:rsidTr="00E114CB">
            <w:trPr>
              <w:cantSplit/>
            </w:trPr>
            <w:sdt>
              <w:sdtPr>
                <w:rPr>
                  <w:rFonts w:ascii="Times New Roman" w:hAnsi="Times New Roman" w:cs="Times New Roman"/>
                </w:rPr>
                <w:tag w:val="_PLD_0654c3e21e6d4aa0a63a12e93a24988a"/>
                <w:id w:val="-1909073035"/>
                <w:lock w:val="sdtLocked"/>
              </w:sdtPr>
              <w:sdtEndPr/>
              <w:sdtContent>
                <w:tc>
                  <w:tcPr>
                    <w:tcW w:w="1927" w:type="pct"/>
                  </w:tcPr>
                  <w:p w14:paraId="34763AC0" w14:textId="77777777" w:rsidR="00D21C1F" w:rsidRPr="00E114CB" w:rsidRDefault="00A42880">
                    <w:pPr>
                      <w:autoSpaceDE w:val="0"/>
                      <w:autoSpaceDN w:val="0"/>
                      <w:adjustRightInd w:val="0"/>
                      <w:rPr>
                        <w:rFonts w:ascii="Times New Roman" w:hAnsi="Times New Roman" w:cs="Times New Roman"/>
                        <w:szCs w:val="21"/>
                      </w:rPr>
                    </w:pPr>
                    <w:r w:rsidRPr="00E114CB">
                      <w:rPr>
                        <w:rFonts w:ascii="Times New Roman" w:hAnsi="Times New Roman" w:cs="Times New Roman"/>
                        <w:szCs w:val="21"/>
                      </w:rPr>
                      <w:t>期末未分配利润</w:t>
                    </w:r>
                  </w:p>
                </w:tc>
              </w:sdtContent>
            </w:sdt>
            <w:tc>
              <w:tcPr>
                <w:tcW w:w="1560" w:type="pct"/>
                <w:vAlign w:val="center"/>
              </w:tcPr>
              <w:p w14:paraId="36B8B051" w14:textId="77777777" w:rsidR="00D21C1F" w:rsidRPr="00E114CB" w:rsidRDefault="00A42880" w:rsidP="00E114CB">
                <w:pPr>
                  <w:jc w:val="right"/>
                  <w:rPr>
                    <w:rFonts w:ascii="Times New Roman" w:hAnsi="Times New Roman" w:cs="Times New Roman"/>
                    <w:szCs w:val="21"/>
                  </w:rPr>
                </w:pPr>
                <w:r w:rsidRPr="00E114CB">
                  <w:rPr>
                    <w:rFonts w:ascii="Times New Roman" w:hAnsi="Times New Roman" w:cs="Times New Roman"/>
                  </w:rPr>
                  <w:t>-401,967,117.17</w:t>
                </w:r>
              </w:p>
            </w:tc>
            <w:tc>
              <w:tcPr>
                <w:tcW w:w="1512" w:type="pct"/>
                <w:vAlign w:val="center"/>
              </w:tcPr>
              <w:p w14:paraId="6650E1B9" w14:textId="77777777" w:rsidR="00D21C1F" w:rsidRPr="00E114CB" w:rsidRDefault="00A42880" w:rsidP="00E114CB">
                <w:pPr>
                  <w:ind w:right="6"/>
                  <w:jc w:val="right"/>
                  <w:rPr>
                    <w:rFonts w:ascii="Times New Roman" w:hAnsi="Times New Roman" w:cs="Times New Roman"/>
                    <w:szCs w:val="21"/>
                  </w:rPr>
                </w:pPr>
                <w:r w:rsidRPr="00E114CB">
                  <w:rPr>
                    <w:rFonts w:ascii="Times New Roman" w:hAnsi="Times New Roman" w:cs="Times New Roman"/>
                  </w:rPr>
                  <w:t>-345,488,092.53</w:t>
                </w:r>
              </w:p>
            </w:tc>
          </w:tr>
        </w:tbl>
        <w:p w14:paraId="6DEA581A" w14:textId="77777777" w:rsidR="00D21C1F" w:rsidRPr="00E114CB" w:rsidRDefault="00A42880">
          <w:pPr>
            <w:spacing w:before="60" w:after="60"/>
            <w:rPr>
              <w:rFonts w:ascii="Times New Roman" w:hAnsi="Times New Roman" w:cs="Times New Roman"/>
              <w:color w:val="000000" w:themeColor="text1"/>
              <w:szCs w:val="21"/>
            </w:rPr>
          </w:pPr>
          <w:r w:rsidRPr="00E114CB">
            <w:rPr>
              <w:rFonts w:ascii="Times New Roman" w:hAnsi="Times New Roman" w:cs="Times New Roman"/>
              <w:color w:val="000000" w:themeColor="text1"/>
              <w:szCs w:val="21"/>
            </w:rPr>
            <w:t>调整期初未分配利润明细：</w:t>
          </w:r>
        </w:p>
        <w:p w14:paraId="5242BEB4" w14:textId="6176045B" w:rsidR="00D21C1F" w:rsidRPr="00E114CB" w:rsidRDefault="00A42880">
          <w:pPr>
            <w:spacing w:line="360" w:lineRule="auto"/>
            <w:jc w:val="both"/>
            <w:rPr>
              <w:rFonts w:ascii="Times New Roman" w:hAnsi="Times New Roman" w:cs="Times New Roman"/>
              <w:szCs w:val="21"/>
            </w:rPr>
          </w:pPr>
          <w:r w:rsidRPr="00E114CB">
            <w:rPr>
              <w:rFonts w:ascii="Times New Roman" w:hAnsi="Times New Roman" w:cs="Times New Roman"/>
              <w:szCs w:val="21"/>
            </w:rPr>
            <w:t>1</w:t>
          </w:r>
          <w:r w:rsidRPr="00E114CB">
            <w:rPr>
              <w:rFonts w:ascii="Times New Roman" w:hAnsi="Times New Roman" w:cs="Times New Roman"/>
              <w:szCs w:val="21"/>
            </w:rPr>
            <w:t>、由于《企业会计准则》及其相关新规定进行追溯调整，影响期初未分配利润</w:t>
          </w:r>
          <w:sdt>
            <w:sdtPr>
              <w:rPr>
                <w:rFonts w:ascii="Times New Roman" w:hAnsi="Times New Roman" w:cs="Times New Roman"/>
                <w:szCs w:val="21"/>
              </w:rPr>
              <w:alias w:val="依据《企业会计准则》及其相关规定进行追溯调整影响年初未分配利润合计"/>
              <w:tag w:val="_GBC_a54a245e74754754a6239606b5ebbb06"/>
              <w:id w:val="-1873064525"/>
              <w:lock w:val="sdtLocked"/>
              <w:placeholder>
                <w:docPart w:val="GBC22222222222222222222222222222"/>
              </w:placeholder>
            </w:sdtPr>
            <w:sdtEndPr/>
            <w:sdtContent>
              <w:r w:rsidRPr="00E114CB">
                <w:rPr>
                  <w:rFonts w:ascii="Times New Roman" w:hAnsi="Times New Roman" w:cs="Times New Roman"/>
                  <w:szCs w:val="21"/>
                </w:rPr>
                <w:t>0</w:t>
              </w:r>
            </w:sdtContent>
          </w:sdt>
          <w:r w:rsidRPr="00E114CB">
            <w:rPr>
              <w:rFonts w:ascii="Times New Roman" w:hAnsi="Times New Roman" w:cs="Times New Roman"/>
              <w:szCs w:val="21"/>
            </w:rPr>
            <w:t>元</w:t>
          </w:r>
          <w:r w:rsidR="00D1674B">
            <w:rPr>
              <w:rFonts w:hint="eastAsia"/>
              <w:szCs w:val="21"/>
            </w:rPr>
            <w:t>（上年度：-</w:t>
          </w:r>
          <w:r w:rsidR="00D1674B" w:rsidRPr="00D1674B">
            <w:rPr>
              <w:rFonts w:ascii="Times New Roman" w:hAnsi="Times New Roman" w:cs="Times New Roman"/>
              <w:szCs w:val="21"/>
            </w:rPr>
            <w:t>19,304,226.60</w:t>
          </w:r>
          <w:r w:rsidR="00D1674B" w:rsidRPr="00D1674B">
            <w:rPr>
              <w:rFonts w:ascii="Times New Roman" w:hAnsi="Times New Roman" w:cs="Times New Roman"/>
              <w:szCs w:val="21"/>
            </w:rPr>
            <w:t>元）</w:t>
          </w:r>
        </w:p>
        <w:p w14:paraId="659AD089" w14:textId="07920B0D" w:rsidR="00D21C1F" w:rsidRPr="00E114CB" w:rsidRDefault="00A42880">
          <w:pPr>
            <w:spacing w:line="360" w:lineRule="auto"/>
            <w:jc w:val="both"/>
            <w:rPr>
              <w:rFonts w:ascii="Times New Roman" w:hAnsi="Times New Roman" w:cs="Times New Roman"/>
              <w:szCs w:val="21"/>
            </w:rPr>
          </w:pPr>
          <w:r w:rsidRPr="00E114CB">
            <w:rPr>
              <w:rFonts w:ascii="Times New Roman" w:hAnsi="Times New Roman" w:cs="Times New Roman"/>
              <w:szCs w:val="21"/>
            </w:rPr>
            <w:t>2</w:t>
          </w:r>
          <w:r w:rsidRPr="00E114CB">
            <w:rPr>
              <w:rFonts w:ascii="Times New Roman" w:hAnsi="Times New Roman" w:cs="Times New Roman"/>
              <w:szCs w:val="21"/>
            </w:rPr>
            <w:t>、由于会计政策变更，影响期初未分配利润</w:t>
          </w:r>
          <w:sdt>
            <w:sdtPr>
              <w:rPr>
                <w:rFonts w:ascii="Times New Roman" w:hAnsi="Times New Roman" w:cs="Times New Roman"/>
                <w:szCs w:val="21"/>
              </w:rPr>
              <w:alias w:val="由于会计政策变更影响年初未分配利润"/>
              <w:tag w:val="_GBC_8295d6891c8842f58b58e4223b4e1700"/>
              <w:id w:val="855852521"/>
              <w:lock w:val="sdtLocked"/>
              <w:placeholder>
                <w:docPart w:val="GBC22222222222222222222222222222"/>
              </w:placeholder>
            </w:sdtPr>
            <w:sdtEndPr/>
            <w:sdtContent>
              <w:r w:rsidRPr="00E114CB">
                <w:rPr>
                  <w:rFonts w:ascii="Times New Roman" w:hAnsi="Times New Roman" w:cs="Times New Roman"/>
                  <w:szCs w:val="21"/>
                </w:rPr>
                <w:t>0</w:t>
              </w:r>
            </w:sdtContent>
          </w:sdt>
          <w:r w:rsidRPr="00E114CB">
            <w:rPr>
              <w:rFonts w:ascii="Times New Roman" w:hAnsi="Times New Roman" w:cs="Times New Roman"/>
              <w:szCs w:val="21"/>
            </w:rPr>
            <w:t>元</w:t>
          </w:r>
          <w:r w:rsidR="00D1674B">
            <w:rPr>
              <w:rFonts w:hint="eastAsia"/>
              <w:szCs w:val="21"/>
            </w:rPr>
            <w:t>（上年度：0元）。</w:t>
          </w:r>
        </w:p>
        <w:p w14:paraId="7F3F0D1B" w14:textId="08BEAC18" w:rsidR="00D21C1F" w:rsidRPr="00E114CB" w:rsidRDefault="00A42880">
          <w:pPr>
            <w:spacing w:line="360" w:lineRule="auto"/>
            <w:jc w:val="both"/>
            <w:rPr>
              <w:rFonts w:ascii="Times New Roman" w:hAnsi="Times New Roman" w:cs="Times New Roman"/>
              <w:szCs w:val="21"/>
            </w:rPr>
          </w:pPr>
          <w:r w:rsidRPr="00E114CB">
            <w:rPr>
              <w:rFonts w:ascii="Times New Roman" w:hAnsi="Times New Roman" w:cs="Times New Roman"/>
              <w:szCs w:val="21"/>
            </w:rPr>
            <w:t>3</w:t>
          </w:r>
          <w:r w:rsidRPr="00E114CB">
            <w:rPr>
              <w:rFonts w:ascii="Times New Roman" w:hAnsi="Times New Roman" w:cs="Times New Roman"/>
              <w:szCs w:val="21"/>
            </w:rPr>
            <w:t>、由于重大会计差错更正，影响期初未分配利润</w:t>
          </w:r>
          <w:sdt>
            <w:sdtPr>
              <w:rPr>
                <w:rFonts w:ascii="Times New Roman" w:hAnsi="Times New Roman" w:cs="Times New Roman"/>
                <w:szCs w:val="21"/>
              </w:rPr>
              <w:alias w:val="由于重大会计差错更正影响年初未分配利润"/>
              <w:tag w:val="_GBC_34728ea6faff41218abab9b8fede268c"/>
              <w:id w:val="1409354904"/>
              <w:lock w:val="sdtLocked"/>
              <w:placeholder>
                <w:docPart w:val="GBC22222222222222222222222222222"/>
              </w:placeholder>
            </w:sdtPr>
            <w:sdtEndPr/>
            <w:sdtContent>
              <w:r w:rsidRPr="00E114CB">
                <w:rPr>
                  <w:rFonts w:ascii="Times New Roman" w:hAnsi="Times New Roman" w:cs="Times New Roman"/>
                  <w:szCs w:val="21"/>
                </w:rPr>
                <w:t>0</w:t>
              </w:r>
            </w:sdtContent>
          </w:sdt>
          <w:r w:rsidRPr="00E114CB">
            <w:rPr>
              <w:rFonts w:ascii="Times New Roman" w:hAnsi="Times New Roman" w:cs="Times New Roman"/>
              <w:szCs w:val="21"/>
            </w:rPr>
            <w:t>元</w:t>
          </w:r>
          <w:r w:rsidR="00D1674B">
            <w:rPr>
              <w:rFonts w:hint="eastAsia"/>
              <w:szCs w:val="21"/>
            </w:rPr>
            <w:t>（上年度：0元）。</w:t>
          </w:r>
        </w:p>
        <w:p w14:paraId="30E6AFE2" w14:textId="15DCDB4E" w:rsidR="00D21C1F" w:rsidRPr="00E114CB" w:rsidRDefault="00A42880">
          <w:pPr>
            <w:spacing w:line="360" w:lineRule="auto"/>
            <w:jc w:val="both"/>
            <w:rPr>
              <w:rFonts w:ascii="Times New Roman" w:hAnsi="Times New Roman" w:cs="Times New Roman"/>
              <w:szCs w:val="21"/>
            </w:rPr>
          </w:pPr>
          <w:r w:rsidRPr="00E114CB">
            <w:rPr>
              <w:rFonts w:ascii="Times New Roman" w:hAnsi="Times New Roman" w:cs="Times New Roman"/>
              <w:szCs w:val="21"/>
            </w:rPr>
            <w:t>4</w:t>
          </w:r>
          <w:r w:rsidRPr="00E114CB">
            <w:rPr>
              <w:rFonts w:ascii="Times New Roman" w:hAnsi="Times New Roman" w:cs="Times New Roman"/>
              <w:szCs w:val="21"/>
            </w:rPr>
            <w:t>、由于同一控制导致的合并范围变更，影响期初未分配利润</w:t>
          </w:r>
          <w:sdt>
            <w:sdtPr>
              <w:rPr>
                <w:rFonts w:ascii="Times New Roman" w:hAnsi="Times New Roman" w:cs="Times New Roman"/>
                <w:szCs w:val="21"/>
              </w:rPr>
              <w:alias w:val="同一控制导致的合并范围变更影响年初未分配利润"/>
              <w:tag w:val="_GBC_4d9b7a873cb94aba9044210a45f81108"/>
              <w:id w:val="1827632077"/>
              <w:lock w:val="sdtLocked"/>
              <w:placeholder>
                <w:docPart w:val="GBC22222222222222222222222222222"/>
              </w:placeholder>
            </w:sdtPr>
            <w:sdtEndPr/>
            <w:sdtContent>
              <w:r w:rsidRPr="00E114CB">
                <w:rPr>
                  <w:rFonts w:ascii="Times New Roman" w:hAnsi="Times New Roman" w:cs="Times New Roman"/>
                  <w:szCs w:val="21"/>
                </w:rPr>
                <w:t>0</w:t>
              </w:r>
            </w:sdtContent>
          </w:sdt>
          <w:r w:rsidRPr="00E114CB">
            <w:rPr>
              <w:rFonts w:ascii="Times New Roman" w:hAnsi="Times New Roman" w:cs="Times New Roman"/>
              <w:szCs w:val="21"/>
            </w:rPr>
            <w:t>元</w:t>
          </w:r>
          <w:r w:rsidR="00D1674B">
            <w:rPr>
              <w:rFonts w:hint="eastAsia"/>
              <w:szCs w:val="21"/>
            </w:rPr>
            <w:t>（上年度：0元）。</w:t>
          </w:r>
        </w:p>
        <w:p w14:paraId="1CF63A4F" w14:textId="54D5F6DB" w:rsidR="00D21C1F" w:rsidRDefault="00A42880">
          <w:pPr>
            <w:spacing w:line="360" w:lineRule="auto"/>
            <w:jc w:val="both"/>
            <w:rPr>
              <w:szCs w:val="21"/>
            </w:rPr>
          </w:pPr>
          <w:r w:rsidRPr="00E114CB">
            <w:rPr>
              <w:rFonts w:ascii="Times New Roman" w:hAnsi="Times New Roman" w:cs="Times New Roman"/>
              <w:szCs w:val="21"/>
            </w:rPr>
            <w:t>5</w:t>
          </w:r>
          <w:r w:rsidRPr="00E114CB">
            <w:rPr>
              <w:rFonts w:ascii="Times New Roman" w:hAnsi="Times New Roman" w:cs="Times New Roman"/>
              <w:szCs w:val="21"/>
            </w:rPr>
            <w:t>、其他调整合计影响期初未分配利润</w:t>
          </w:r>
          <w:sdt>
            <w:sdtPr>
              <w:rPr>
                <w:rFonts w:ascii="Times New Roman" w:hAnsi="Times New Roman" w:cs="Times New Roman"/>
                <w:szCs w:val="21"/>
              </w:rPr>
              <w:alias w:val="其他调整合计影响年初未分配利润"/>
              <w:tag w:val="_GBC_ccd86b3788e04a70a2e6a2167027d7cb"/>
              <w:id w:val="-891960970"/>
              <w:lock w:val="sdtLocked"/>
              <w:placeholder>
                <w:docPart w:val="GBC22222222222222222222222222222"/>
              </w:placeholder>
            </w:sdtPr>
            <w:sdtEndPr/>
            <w:sdtContent>
              <w:r w:rsidRPr="00E114CB">
                <w:rPr>
                  <w:rFonts w:ascii="Times New Roman" w:hAnsi="Times New Roman" w:cs="Times New Roman"/>
                  <w:szCs w:val="21"/>
                </w:rPr>
                <w:t>0</w:t>
              </w:r>
            </w:sdtContent>
          </w:sdt>
          <w:r w:rsidRPr="00E114CB">
            <w:rPr>
              <w:rFonts w:ascii="Times New Roman" w:hAnsi="Times New Roman" w:cs="Times New Roman"/>
              <w:szCs w:val="21"/>
            </w:rPr>
            <w:t>元</w:t>
          </w:r>
          <w:r w:rsidR="00D1674B">
            <w:rPr>
              <w:rFonts w:hint="eastAsia"/>
              <w:szCs w:val="21"/>
            </w:rPr>
            <w:t>（上年度：0元）。</w:t>
          </w:r>
        </w:p>
      </w:sdtContent>
    </w:sdt>
    <w:p w14:paraId="2D27ADEF" w14:textId="77777777" w:rsidR="00D21C1F" w:rsidRDefault="00D21C1F">
      <w:pPr>
        <w:spacing w:line="360" w:lineRule="auto"/>
        <w:jc w:val="both"/>
        <w:rPr>
          <w:szCs w:val="21"/>
        </w:rPr>
      </w:pPr>
    </w:p>
    <w:sdt>
      <w:sdtPr>
        <w:rPr>
          <w:rFonts w:ascii="Times New Roman" w:eastAsia="宋体" w:hAnsi="Times New Roman" w:cs="宋体"/>
          <w:b w:val="0"/>
          <w:bCs w:val="0"/>
          <w:kern w:val="0"/>
          <w:szCs w:val="21"/>
        </w:rPr>
        <w:alias w:val="模块:营业收入和营业成本"/>
        <w:tag w:val="_GBC_a3a22662ec3d4fb69e12845051ced996"/>
        <w:id w:val="-435599175"/>
        <w:lock w:val="sdtLocked"/>
        <w:placeholder>
          <w:docPart w:val="GBC22222222222222222222222222222"/>
        </w:placeholder>
      </w:sdtPr>
      <w:sdtEndPr/>
      <w:sdtContent>
        <w:p w14:paraId="66487D5E" w14:textId="77777777" w:rsidR="00D21C1F" w:rsidRPr="00F72EBF" w:rsidRDefault="00A42880">
          <w:pPr>
            <w:pStyle w:val="94"/>
            <w:numPr>
              <w:ilvl w:val="0"/>
              <w:numId w:val="95"/>
            </w:numPr>
            <w:tabs>
              <w:tab w:val="left" w:pos="504"/>
            </w:tabs>
            <w:rPr>
              <w:rFonts w:ascii="Times New Roman" w:hAnsi="Times New Roman"/>
              <w:szCs w:val="21"/>
            </w:rPr>
          </w:pPr>
          <w:r w:rsidRPr="00F72EBF">
            <w:rPr>
              <w:rFonts w:ascii="Times New Roman" w:hAnsi="Times New Roman"/>
              <w:szCs w:val="21"/>
            </w:rPr>
            <w:t>营业收入和营业成本</w:t>
          </w:r>
        </w:p>
        <w:p w14:paraId="05FE6D4C" w14:textId="77777777" w:rsidR="00D21C1F" w:rsidRPr="00F72EBF" w:rsidRDefault="00A42880">
          <w:pPr>
            <w:pStyle w:val="93"/>
            <w:numPr>
              <w:ilvl w:val="0"/>
              <w:numId w:val="123"/>
            </w:numPr>
            <w:ind w:left="426" w:hanging="426"/>
            <w:rPr>
              <w:rFonts w:ascii="Times New Roman" w:hAnsi="Times New Roman"/>
            </w:rPr>
          </w:pPr>
          <w:r w:rsidRPr="00F72EBF">
            <w:rPr>
              <w:rFonts w:ascii="Times New Roman" w:hAnsi="Times New Roman"/>
            </w:rPr>
            <w:t>营业收入和营业成本情况</w:t>
          </w:r>
        </w:p>
        <w:sdt>
          <w:sdtPr>
            <w:rPr>
              <w:rFonts w:ascii="Times New Roman" w:hAnsi="Times New Roman" w:cs="Times New Roman"/>
            </w:rPr>
            <w:alias w:val="是否适用：营业收入和营业成本[双击切换]"/>
            <w:tag w:val="_GBC_876680c4ba6b433896b625efff84d599"/>
            <w:id w:val="919139218"/>
            <w:lock w:val="sdtLocked"/>
            <w:placeholder>
              <w:docPart w:val="GBC22222222222222222222222222222"/>
            </w:placeholder>
          </w:sdtPr>
          <w:sdtEndPr/>
          <w:sdtContent>
            <w:p w14:paraId="0CB3B08A"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64884CE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bCs/>
              <w:szCs w:val="21"/>
            </w:rPr>
            <w:t>单位：</w:t>
          </w:r>
          <w:sdt>
            <w:sdtPr>
              <w:rPr>
                <w:rFonts w:ascii="Times New Roman" w:hAnsi="Times New Roman" w:cs="Times New Roman"/>
                <w:bCs/>
                <w:szCs w:val="21"/>
              </w:rPr>
              <w:alias w:val="单位：财务附注：营业收入"/>
              <w:tag w:val="_GBC_611ed6dd25a247cf86a0fb98cd86e68f"/>
              <w:id w:val="-2092313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cs="Times New Roman"/>
                  <w:bCs/>
                  <w:szCs w:val="21"/>
                </w:rPr>
                <w:t>元</w:t>
              </w:r>
            </w:sdtContent>
          </w:sdt>
          <w:r w:rsidRPr="00F72EBF">
            <w:rPr>
              <w:rFonts w:ascii="Times New Roman" w:hAnsi="Times New Roman" w:cs="Times New Roman"/>
              <w:bCs/>
              <w:szCs w:val="21"/>
            </w:rPr>
            <w:t>币种：</w:t>
          </w:r>
          <w:sdt>
            <w:sdtPr>
              <w:rPr>
                <w:rFonts w:ascii="Times New Roman" w:hAnsi="Times New Roman" w:cs="Times New Roman"/>
                <w:bCs/>
                <w:szCs w:val="21"/>
              </w:rPr>
              <w:alias w:val="币种：财务附注：营业收入"/>
              <w:tag w:val="_GBC_ba5cd3776b804cc291ae4c216c605f02"/>
              <w:id w:val="1414583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cs="Times New Roman"/>
                  <w:bCs/>
                  <w:szCs w:val="21"/>
                </w:rPr>
                <w:t>人民币</w:t>
              </w:r>
            </w:sdtContent>
          </w:sdt>
        </w:p>
        <w:tbl>
          <w:tblPr>
            <w:tblStyle w:val="88"/>
            <w:tblW w:w="49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815"/>
            <w:gridCol w:w="1829"/>
            <w:gridCol w:w="1824"/>
            <w:gridCol w:w="1826"/>
          </w:tblGrid>
          <w:tr w:rsidR="00D21C1F" w:rsidRPr="00F72EBF" w14:paraId="0C5FB2D0" w14:textId="77777777">
            <w:sdt>
              <w:sdtPr>
                <w:rPr>
                  <w:rFonts w:ascii="Times New Roman" w:hAnsi="Times New Roman" w:cs="Times New Roman"/>
                </w:rPr>
                <w:tag w:val="_PLD_d41752618c6a4ee08ca01f5944b34b81"/>
                <w:id w:val="2083482095"/>
                <w:lock w:val="sdtLocked"/>
              </w:sdtPr>
              <w:sdtEndPr/>
              <w:sdtContent>
                <w:tc>
                  <w:tcPr>
                    <w:tcW w:w="865" w:type="pct"/>
                    <w:vMerge w:val="restart"/>
                    <w:tcBorders>
                      <w:top w:val="single" w:sz="4" w:space="0" w:color="auto"/>
                      <w:left w:val="single" w:sz="4" w:space="0" w:color="auto"/>
                      <w:right w:val="single" w:sz="4" w:space="0" w:color="auto"/>
                    </w:tcBorders>
                    <w:shd w:val="clear" w:color="auto" w:fill="auto"/>
                    <w:vAlign w:val="center"/>
                  </w:tcPr>
                  <w:p w14:paraId="5BFA877D"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项目</w:t>
                    </w:r>
                  </w:p>
                </w:tc>
              </w:sdtContent>
            </w:sdt>
            <w:sdt>
              <w:sdtPr>
                <w:rPr>
                  <w:rFonts w:ascii="Times New Roman" w:hAnsi="Times New Roman" w:cs="Times New Roman"/>
                </w:rPr>
                <w:tag w:val="_PLD_f88658ae6cb94ea390736e112b0d5ffc"/>
                <w:id w:val="1279377259"/>
                <w:lock w:val="sdtLocked"/>
              </w:sdtPr>
              <w:sdtEndPr/>
              <w:sdtContent>
                <w:tc>
                  <w:tcPr>
                    <w:tcW w:w="20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CBD3F"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本期发生额</w:t>
                    </w:r>
                  </w:p>
                </w:tc>
              </w:sdtContent>
            </w:sdt>
            <w:sdt>
              <w:sdtPr>
                <w:rPr>
                  <w:rFonts w:ascii="Times New Roman" w:hAnsi="Times New Roman" w:cs="Times New Roman"/>
                </w:rPr>
                <w:tag w:val="_PLD_0840d72efce94f22bdf4d566046b2e87"/>
                <w:id w:val="-778101672"/>
                <w:lock w:val="sdtLocked"/>
              </w:sdtPr>
              <w:sdtEndPr/>
              <w:sdtContent>
                <w:tc>
                  <w:tcPr>
                    <w:tcW w:w="20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4F6E0"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上期发生额</w:t>
                    </w:r>
                  </w:p>
                </w:tc>
              </w:sdtContent>
            </w:sdt>
          </w:tr>
          <w:tr w:rsidR="00D21C1F" w:rsidRPr="00F72EBF" w14:paraId="5100F082" w14:textId="77777777">
            <w:tc>
              <w:tcPr>
                <w:tcW w:w="865" w:type="pct"/>
                <w:vMerge/>
                <w:tcBorders>
                  <w:left w:val="single" w:sz="4" w:space="0" w:color="auto"/>
                  <w:bottom w:val="single" w:sz="4" w:space="0" w:color="auto"/>
                  <w:right w:val="single" w:sz="4" w:space="0" w:color="auto"/>
                </w:tcBorders>
                <w:shd w:val="clear" w:color="auto" w:fill="auto"/>
              </w:tcPr>
              <w:p w14:paraId="4E5B9B52" w14:textId="77777777" w:rsidR="00D21C1F" w:rsidRPr="00F72EBF" w:rsidRDefault="00D21C1F">
                <w:pPr>
                  <w:jc w:val="center"/>
                  <w:rPr>
                    <w:rFonts w:ascii="Times New Roman" w:hAnsi="Times New Roman" w:cs="Times New Roman"/>
                    <w:szCs w:val="21"/>
                  </w:rPr>
                </w:pPr>
              </w:p>
            </w:tc>
            <w:sdt>
              <w:sdtPr>
                <w:rPr>
                  <w:rFonts w:ascii="Times New Roman" w:hAnsi="Times New Roman" w:cs="Times New Roman"/>
                </w:rPr>
                <w:tag w:val="_PLD_39942ac1f2654fa6bda80d7116d83859"/>
                <w:id w:val="-1298221269"/>
                <w:lock w:val="sdtLocked"/>
              </w:sdtPr>
              <w:sdtEndPr/>
              <w:sdtConten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2B6276C0"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收入</w:t>
                    </w:r>
                  </w:p>
                </w:tc>
              </w:sdtContent>
            </w:sdt>
            <w:sdt>
              <w:sdtPr>
                <w:rPr>
                  <w:rFonts w:ascii="Times New Roman" w:hAnsi="Times New Roman" w:cs="Times New Roman"/>
                </w:rPr>
                <w:tag w:val="_PLD_5075262c52564bf09f90a67ee6a84b17"/>
                <w:id w:val="1134757359"/>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B72750B"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成本</w:t>
                    </w:r>
                  </w:p>
                </w:tc>
              </w:sdtContent>
            </w:sdt>
            <w:sdt>
              <w:sdtPr>
                <w:rPr>
                  <w:rFonts w:ascii="Times New Roman" w:hAnsi="Times New Roman" w:cs="Times New Roman"/>
                </w:rPr>
                <w:tag w:val="_PLD_33a1015c666d49cba108bce6aafea1f7"/>
                <w:id w:val="-372152092"/>
                <w:lock w:val="sdtLocked"/>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14:paraId="71012A45"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收入</w:t>
                    </w:r>
                  </w:p>
                </w:tc>
              </w:sdtContent>
            </w:sdt>
            <w:sdt>
              <w:sdtPr>
                <w:rPr>
                  <w:rFonts w:ascii="Times New Roman" w:hAnsi="Times New Roman" w:cs="Times New Roman"/>
                </w:rPr>
                <w:tag w:val="_PLD_d09deaa2e4d443459a3584a1d7e92203"/>
                <w:id w:val="1313444742"/>
                <w:lock w:val="sdtLocked"/>
              </w:sdtPr>
              <w:sdtEndPr/>
              <w:sdtContent>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54BF7BE5"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成本</w:t>
                    </w:r>
                  </w:p>
                </w:tc>
              </w:sdtContent>
            </w:sdt>
          </w:tr>
          <w:tr w:rsidR="00D21C1F" w:rsidRPr="00F72EBF" w14:paraId="2888015E" w14:textId="77777777">
            <w:sdt>
              <w:sdtPr>
                <w:rPr>
                  <w:rFonts w:ascii="Times New Roman" w:hAnsi="Times New Roman" w:cs="Times New Roman"/>
                </w:rPr>
                <w:tag w:val="_PLD_b7bfcd00fb124eaf81fd672b23a24a00"/>
                <w:id w:val="-345641867"/>
                <w:lock w:val="sdtLocked"/>
              </w:sdtPr>
              <w:sdtEndPr/>
              <w:sdtContent>
                <w:tc>
                  <w:tcPr>
                    <w:tcW w:w="865" w:type="pct"/>
                    <w:tcBorders>
                      <w:top w:val="single" w:sz="4" w:space="0" w:color="auto"/>
                      <w:left w:val="single" w:sz="4" w:space="0" w:color="auto"/>
                      <w:bottom w:val="single" w:sz="4" w:space="0" w:color="auto"/>
                      <w:right w:val="single" w:sz="4" w:space="0" w:color="auto"/>
                    </w:tcBorders>
                    <w:shd w:val="clear" w:color="auto" w:fill="auto"/>
                  </w:tcPr>
                  <w:p w14:paraId="2C178FC8"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主营业务</w:t>
                    </w:r>
                  </w:p>
                </w:tc>
              </w:sdtContent>
            </w:sd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1EF3BC5B"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562,923,440.14</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078DBA9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472,836,782.29</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14:paraId="633BE9E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456,441,194.41</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C8A165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399,575,035.32</w:t>
                </w:r>
              </w:p>
            </w:tc>
          </w:tr>
          <w:tr w:rsidR="00D21C1F" w:rsidRPr="00F72EBF" w14:paraId="51094E0D" w14:textId="77777777">
            <w:sdt>
              <w:sdtPr>
                <w:rPr>
                  <w:rFonts w:ascii="Times New Roman" w:hAnsi="Times New Roman" w:cs="Times New Roman"/>
                </w:rPr>
                <w:tag w:val="_PLD_a17f3dcab1c140c8a4254ddfe38c4d7d"/>
                <w:id w:val="-1175265476"/>
                <w:lock w:val="sdtLocked"/>
              </w:sdtPr>
              <w:sdtEndPr/>
              <w:sdtContent>
                <w:tc>
                  <w:tcPr>
                    <w:tcW w:w="865" w:type="pct"/>
                    <w:tcBorders>
                      <w:top w:val="single" w:sz="4" w:space="0" w:color="auto"/>
                      <w:left w:val="single" w:sz="4" w:space="0" w:color="auto"/>
                      <w:bottom w:val="single" w:sz="4" w:space="0" w:color="auto"/>
                      <w:right w:val="single" w:sz="4" w:space="0" w:color="auto"/>
                    </w:tcBorders>
                    <w:shd w:val="clear" w:color="auto" w:fill="auto"/>
                  </w:tcPr>
                  <w:p w14:paraId="04A92CFF"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其他业务</w:t>
                    </w:r>
                  </w:p>
                </w:tc>
              </w:sdtContent>
            </w:sd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692FEEC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8,713,887.46</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EE9293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4,528,547.10</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14:paraId="01DE9DF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3,557,205.90</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545EB9C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2,383,169.51</w:t>
                </w:r>
              </w:p>
            </w:tc>
          </w:tr>
          <w:tr w:rsidR="00D21C1F" w:rsidRPr="00F72EBF" w14:paraId="3930C1D9" w14:textId="77777777">
            <w:sdt>
              <w:sdtPr>
                <w:rPr>
                  <w:rFonts w:ascii="Times New Roman" w:hAnsi="Times New Roman" w:cs="Times New Roman"/>
                </w:rPr>
                <w:tag w:val="_PLD_d6cf597d82bf4ed089aa5592301f1642"/>
                <w:id w:val="1592193033"/>
                <w:lock w:val="sdtLocked"/>
              </w:sdtPr>
              <w:sdtEndPr/>
              <w:sdtContent>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6D041BE4"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合计</w:t>
                    </w:r>
                  </w:p>
                </w:tc>
              </w:sdtContent>
            </w:sdt>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51AEEB7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571,637,327.60</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3E8D2FB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477,365,329.39</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14:paraId="496D663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459,998,400.31</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4F80050"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401,958,204.83</w:t>
                </w:r>
              </w:p>
            </w:tc>
          </w:tr>
        </w:tbl>
        <w:p w14:paraId="1E8971EF" w14:textId="77777777" w:rsidR="00D21C1F" w:rsidRDefault="00045EC6">
          <w:pPr>
            <w:rPr>
              <w:szCs w:val="21"/>
            </w:rPr>
          </w:pPr>
        </w:p>
      </w:sdtContent>
    </w:sdt>
    <w:bookmarkStart w:id="275" w:name="_Hlk10538044" w:displacedByCustomXml="next"/>
    <w:bookmarkStart w:id="276" w:name="_Hlk10538056" w:displacedByCustomXml="next"/>
    <w:sdt>
      <w:sdtPr>
        <w:rPr>
          <w:rFonts w:ascii="Times New Roman" w:hAnsi="Times New Roman" w:cs="宋体"/>
          <w:b w:val="0"/>
          <w:bCs w:val="0"/>
          <w:color w:val="808080"/>
          <w:kern w:val="0"/>
          <w:szCs w:val="24"/>
        </w:rPr>
        <w:alias w:val="模块:合同产生的收入的情况"/>
        <w:tag w:val="_SEC_a8e15093e1ef4b64a05aa66b1647502c"/>
        <w:id w:val="-1036586466"/>
        <w:lock w:val="sdtLocked"/>
        <w:placeholder>
          <w:docPart w:val="GBC22222222222222222222222222222"/>
        </w:placeholder>
      </w:sdtPr>
      <w:sdtEndPr>
        <w:rPr>
          <w:szCs w:val="21"/>
        </w:rPr>
      </w:sdtEndPr>
      <w:sdtContent>
        <w:p w14:paraId="19E497F9" w14:textId="77777777" w:rsidR="00D21C1F" w:rsidRPr="00F72EBF" w:rsidRDefault="00A42880">
          <w:pPr>
            <w:pStyle w:val="93"/>
            <w:numPr>
              <w:ilvl w:val="0"/>
              <w:numId w:val="123"/>
            </w:numPr>
            <w:ind w:left="426" w:hanging="426"/>
            <w:rPr>
              <w:rFonts w:ascii="Times New Roman" w:hAnsi="Times New Roman"/>
            </w:rPr>
          </w:pPr>
          <w:r w:rsidRPr="00F72EBF">
            <w:rPr>
              <w:rFonts w:ascii="Times New Roman" w:hAnsi="Times New Roman"/>
            </w:rPr>
            <w:t>合同产生的收入的情况</w:t>
          </w:r>
          <w:bookmarkEnd w:id="275"/>
        </w:p>
        <w:sdt>
          <w:sdtPr>
            <w:rPr>
              <w:rFonts w:ascii="Times New Roman" w:hAnsi="Times New Roman"/>
              <w:szCs w:val="21"/>
            </w:rPr>
            <w:alias w:val="是否适用：合同产生的收入[双击切换]"/>
            <w:tag w:val="_GBC_c21770085a2f4dd3922bd8eb4c58558c"/>
            <w:id w:val="793177826"/>
            <w:lock w:val="sdtLocked"/>
            <w:placeholder>
              <w:docPart w:val="GBC22222222222222222222222222222"/>
            </w:placeholder>
          </w:sdtPr>
          <w:sdtEndPr/>
          <w:sdtContent>
            <w:p w14:paraId="71A6DD22" w14:textId="77777777" w:rsidR="00D21C1F" w:rsidRPr="00F72EBF" w:rsidRDefault="00A42880">
              <w:pPr>
                <w:pStyle w:val="67"/>
                <w:ind w:firstLineChars="0" w:firstLine="0"/>
                <w:jc w:val="left"/>
                <w:rPr>
                  <w:rFonts w:ascii="Times New Roman" w:hAnsi="Times New Roman"/>
                  <w:szCs w:val="21"/>
                </w:rPr>
              </w:pPr>
              <w:r w:rsidRPr="00F72EBF">
                <w:rPr>
                  <w:rFonts w:ascii="Times New Roman" w:hAnsi="Times New Roman"/>
                  <w:szCs w:val="21"/>
                </w:rPr>
                <w:fldChar w:fldCharType="begin"/>
              </w:r>
              <w:r w:rsidRPr="00F72EBF">
                <w:rPr>
                  <w:rFonts w:ascii="Times New Roman" w:hAnsi="Times New Roman"/>
                  <w:szCs w:val="21"/>
                </w:rPr>
                <w:instrText xml:space="preserve"> MACROBUTTON  SnrToggleCheckbox √</w:instrText>
              </w:r>
              <w:r w:rsidRPr="00F72EBF">
                <w:rPr>
                  <w:rFonts w:ascii="Times New Roman" w:hAnsi="Times New Roman"/>
                  <w:szCs w:val="21"/>
                </w:rPr>
                <w:instrText>适用</w:instrText>
              </w:r>
              <w:r w:rsidRPr="00F72EBF">
                <w:rPr>
                  <w:rFonts w:ascii="Times New Roman" w:hAnsi="Times New Roman"/>
                  <w:szCs w:val="21"/>
                </w:rPr>
                <w:instrText xml:space="preserve"> </w:instrText>
              </w:r>
              <w:r w:rsidRPr="00F72EBF">
                <w:rPr>
                  <w:rFonts w:ascii="Times New Roman" w:hAnsi="Times New Roman"/>
                  <w:szCs w:val="21"/>
                </w:rPr>
                <w:fldChar w:fldCharType="end"/>
              </w:r>
              <w:r w:rsidRPr="00F72EBF">
                <w:rPr>
                  <w:rFonts w:ascii="Times New Roman" w:hAnsi="Times New Roman"/>
                  <w:szCs w:val="21"/>
                </w:rPr>
                <w:fldChar w:fldCharType="begin"/>
              </w:r>
              <w:r w:rsidRPr="00F72EBF">
                <w:rPr>
                  <w:rFonts w:ascii="Times New Roman" w:hAnsi="Times New Roman"/>
                  <w:szCs w:val="21"/>
                </w:rPr>
                <w:instrText xml:space="preserve"> MACROBUTTON  SnrToggleCheckbox □</w:instrText>
              </w:r>
              <w:r w:rsidRPr="00F72EBF">
                <w:rPr>
                  <w:rFonts w:ascii="Times New Roman" w:hAnsi="Times New Roman"/>
                  <w:szCs w:val="21"/>
                </w:rPr>
                <w:instrText>不适用</w:instrText>
              </w:r>
              <w:r w:rsidRPr="00F72EBF">
                <w:rPr>
                  <w:rFonts w:ascii="Times New Roman" w:hAnsi="Times New Roman"/>
                  <w:szCs w:val="21"/>
                </w:rPr>
                <w:instrText xml:space="preserve"> </w:instrText>
              </w:r>
              <w:r w:rsidRPr="00F72EBF">
                <w:rPr>
                  <w:rFonts w:ascii="Times New Roman" w:hAnsi="Times New Roman"/>
                  <w:szCs w:val="21"/>
                </w:rPr>
                <w:fldChar w:fldCharType="end"/>
              </w:r>
            </w:p>
          </w:sdtContent>
        </w:sdt>
        <w:p w14:paraId="297E4B9A" w14:textId="77777777" w:rsidR="00D21C1F" w:rsidRPr="00F72EBF" w:rsidRDefault="00A42880">
          <w:pPr>
            <w:pStyle w:val="67"/>
            <w:ind w:firstLineChars="0" w:firstLine="0"/>
            <w:jc w:val="right"/>
            <w:rPr>
              <w:rFonts w:ascii="Times New Roman" w:hAnsi="Times New Roman"/>
              <w:szCs w:val="21"/>
            </w:rPr>
          </w:pPr>
          <w:r w:rsidRPr="00F72EBF">
            <w:rPr>
              <w:rFonts w:ascii="Times New Roman" w:hAnsi="Times New Roman"/>
              <w:szCs w:val="21"/>
            </w:rPr>
            <w:lastRenderedPageBreak/>
            <w:t>单位：</w:t>
          </w:r>
          <w:sdt>
            <w:sdtPr>
              <w:rPr>
                <w:rFonts w:ascii="Times New Roman" w:hAnsi="Times New Roman"/>
                <w:szCs w:val="21"/>
              </w:rPr>
              <w:alias w:val="单位：合同产生的收入"/>
              <w:tag w:val="_GBC_ad3fa206b47145cea9728c5ff60d9346"/>
              <w:id w:val="-1056702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szCs w:val="21"/>
                </w:rPr>
                <w:t>元</w:t>
              </w:r>
            </w:sdtContent>
          </w:sdt>
          <w:r w:rsidRPr="00F72EBF">
            <w:rPr>
              <w:rFonts w:ascii="Times New Roman" w:hAnsi="Times New Roman"/>
              <w:szCs w:val="21"/>
            </w:rPr>
            <w:t>币种：</w:t>
          </w:r>
          <w:sdt>
            <w:sdtPr>
              <w:rPr>
                <w:rFonts w:ascii="Times New Roman" w:hAnsi="Times New Roman"/>
                <w:szCs w:val="21"/>
              </w:rPr>
              <w:alias w:val="币种：合同产生的收入"/>
              <w:tag w:val="_GBC_bbe175f0f61a42949a1146ca1734e362"/>
              <w:id w:val="-1021316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2477"/>
            <w:gridCol w:w="2710"/>
          </w:tblGrid>
          <w:tr w:rsidR="00D21C1F" w:rsidRPr="00F72EBF" w14:paraId="1309F6A9" w14:textId="77777777">
            <w:sdt>
              <w:sdtPr>
                <w:rPr>
                  <w:rFonts w:ascii="Times New Roman" w:hAnsi="Times New Roman" w:cs="Times New Roman"/>
                  <w:szCs w:val="21"/>
                </w:rPr>
                <w:tag w:val="_PLD_bf90fdfeb0c2419ba1ce17d060f1056f"/>
                <w:id w:val="-673650710"/>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6D271C4C"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合同分类</w:t>
                    </w:r>
                  </w:p>
                </w:tc>
              </w:sdtContent>
            </w:sdt>
            <w:sdt>
              <w:sdtPr>
                <w:rPr>
                  <w:rFonts w:ascii="Times New Roman" w:hAnsi="Times New Roman" w:cs="Times New Roman"/>
                  <w:szCs w:val="21"/>
                </w:rPr>
                <w:alias w:val="合同产生的收入分部名称"/>
                <w:tag w:val="_GBC_6b75b59ddb224134b8ea11484825b0a5"/>
                <w:id w:val="1846276035"/>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vAlign w:val="center"/>
                  </w:tcPr>
                  <w:p w14:paraId="10758925"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高端装备制造</w:t>
                    </w:r>
                  </w:p>
                </w:tc>
              </w:sdtContent>
            </w:sdt>
            <w:sdt>
              <w:sdtPr>
                <w:rPr>
                  <w:rFonts w:ascii="Times New Roman" w:hAnsi="Times New Roman" w:cs="Times New Roman"/>
                  <w:szCs w:val="21"/>
                </w:rPr>
                <w:tag w:val="_PLD_db6b6651438f4eec8a8c96f0e8c1dca2"/>
                <w:id w:val="1714776705"/>
                <w:lock w:val="sdtLocked"/>
              </w:sdtPr>
              <w:sdtEndPr/>
              <w:sdtContent>
                <w:tc>
                  <w:tcPr>
                    <w:tcW w:w="1536" w:type="pct"/>
                    <w:tcBorders>
                      <w:top w:val="single" w:sz="4" w:space="0" w:color="auto"/>
                      <w:left w:val="single" w:sz="4" w:space="0" w:color="auto"/>
                      <w:bottom w:val="single" w:sz="4" w:space="0" w:color="auto"/>
                      <w:right w:val="single" w:sz="4" w:space="0" w:color="auto"/>
                    </w:tcBorders>
                    <w:vAlign w:val="center"/>
                  </w:tcPr>
                  <w:p w14:paraId="081B1BE6" w14:textId="77777777" w:rsidR="00D21C1F" w:rsidRPr="00F72EBF" w:rsidRDefault="00A42880">
                    <w:pPr>
                      <w:jc w:val="center"/>
                      <w:rPr>
                        <w:rFonts w:ascii="Times New Roman" w:hAnsi="Times New Roman" w:cs="Times New Roman"/>
                        <w:color w:val="808080"/>
                        <w:szCs w:val="21"/>
                      </w:rPr>
                    </w:pPr>
                    <w:r w:rsidRPr="00F72EBF">
                      <w:rPr>
                        <w:rFonts w:ascii="Times New Roman" w:hAnsi="Times New Roman" w:cs="Times New Roman"/>
                        <w:szCs w:val="21"/>
                      </w:rPr>
                      <w:t>合计</w:t>
                    </w:r>
                  </w:p>
                </w:tc>
              </w:sdtContent>
            </w:sdt>
          </w:tr>
          <w:tr w:rsidR="00D21C1F" w:rsidRPr="00F72EBF" w14:paraId="09CCDA17" w14:textId="77777777">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b01740e1773145b8849df786a44184de"/>
                  <w:id w:val="825786978"/>
                  <w:lock w:val="sdtLocked"/>
                </w:sdtPr>
                <w:sdtEndPr/>
                <w:sdtContent>
                  <w:p w14:paraId="00487C67"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商品类型</w:t>
                    </w:r>
                  </w:p>
                </w:sdtContent>
              </w:sdt>
            </w:tc>
            <w:sdt>
              <w:sdtPr>
                <w:rPr>
                  <w:rFonts w:ascii="Times New Roman" w:hAnsi="Times New Roman" w:cs="Times New Roman"/>
                  <w:szCs w:val="21"/>
                </w:rPr>
                <w:alias w:val="分部商品类型合同产生的收入"/>
                <w:tag w:val="_GBC_2b2f7aef2e674442b228005d07274e05"/>
                <w:id w:val="1369264416"/>
                <w:lock w:val="sdtLocked"/>
                <w:showingPlcHdr/>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77D92812"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 xml:space="preserve">     </w:t>
                    </w:r>
                  </w:p>
                </w:tc>
              </w:sdtContent>
            </w:sdt>
            <w:sdt>
              <w:sdtPr>
                <w:rPr>
                  <w:rFonts w:ascii="Times New Roman" w:hAnsi="Times New Roman" w:cs="Times New Roman"/>
                  <w:szCs w:val="21"/>
                </w:rPr>
                <w:alias w:val="商品类型合同产生的收入"/>
                <w:tag w:val="_GBC_d7e93835acce452384af33551ba7f585"/>
                <w:id w:val="-1678266270"/>
                <w:lock w:val="sdtLocked"/>
                <w:showingPlcHdr/>
              </w:sdtPr>
              <w:sdtEndPr/>
              <w:sdtContent>
                <w:tc>
                  <w:tcPr>
                    <w:tcW w:w="1536" w:type="pct"/>
                    <w:tcBorders>
                      <w:top w:val="single" w:sz="4" w:space="0" w:color="auto"/>
                      <w:left w:val="single" w:sz="4" w:space="0" w:color="auto"/>
                      <w:bottom w:val="single" w:sz="4" w:space="0" w:color="auto"/>
                      <w:right w:val="single" w:sz="4" w:space="0" w:color="auto"/>
                    </w:tcBorders>
                  </w:tcPr>
                  <w:p w14:paraId="60E344A2"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 xml:space="preserve">     </w:t>
                    </w:r>
                  </w:p>
                </w:tc>
              </w:sdtContent>
            </w:sdt>
          </w:tr>
          <w:tr w:rsidR="00D21C1F" w:rsidRPr="00F72EBF" w14:paraId="6DFDBCC4" w14:textId="77777777">
            <w:sdt>
              <w:sdtPr>
                <w:rPr>
                  <w:rFonts w:ascii="Times New Roman" w:hAnsi="Times New Roman" w:cs="Times New Roman"/>
                  <w:szCs w:val="21"/>
                </w:rPr>
                <w:alias w:val="分部商品类型明细名称"/>
                <w:tag w:val="_GBC_9b24d072ad6f4b69a94ec304db6192c3"/>
                <w:id w:val="-101807359"/>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12D752AA" w14:textId="77777777" w:rsidR="00D21C1F" w:rsidRPr="00F72EBF" w:rsidRDefault="00A42880">
                    <w:pPr>
                      <w:ind w:firstLineChars="200" w:firstLine="420"/>
                      <w:rPr>
                        <w:rFonts w:ascii="Times New Roman" w:hAnsi="Times New Roman" w:cs="Times New Roman"/>
                        <w:szCs w:val="21"/>
                      </w:rPr>
                    </w:pPr>
                    <w:r w:rsidRPr="00F72EBF">
                      <w:rPr>
                        <w:rFonts w:ascii="Times New Roman" w:hAnsi="Times New Roman" w:cs="Times New Roman"/>
                        <w:szCs w:val="21"/>
                      </w:rPr>
                      <w:t>机器人整机产品</w:t>
                    </w:r>
                  </w:p>
                </w:tc>
              </w:sdtContent>
            </w:sdt>
            <w:sdt>
              <w:sdtPr>
                <w:rPr>
                  <w:rFonts w:ascii="Times New Roman" w:hAnsi="Times New Roman" w:cs="Times New Roman"/>
                  <w:szCs w:val="21"/>
                </w:rPr>
                <w:alias w:val="分部商品类型明细合同产生的收入"/>
                <w:tag w:val="_GBC_5d3d3176f1784cb08da754a9734f9bb2"/>
                <w:id w:val="-168481018"/>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698B00F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216,516,886.37</w:t>
                    </w:r>
                  </w:p>
                </w:tc>
              </w:sdtContent>
            </w:sdt>
            <w:sdt>
              <w:sdtPr>
                <w:rPr>
                  <w:rFonts w:ascii="Times New Roman" w:hAnsi="Times New Roman" w:cs="Times New Roman"/>
                  <w:szCs w:val="21"/>
                </w:rPr>
                <w:alias w:val="商品类型明细合同产生的收入"/>
                <w:tag w:val="_GBC_4e6bfa20e78f4111b81144120f593c56"/>
                <w:id w:val="1182406470"/>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14B139A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216,516,886.37</w:t>
                    </w:r>
                  </w:p>
                </w:tc>
              </w:sdtContent>
            </w:sdt>
          </w:tr>
          <w:tr w:rsidR="00D21C1F" w:rsidRPr="00F72EBF" w14:paraId="028854F8" w14:textId="77777777">
            <w:sdt>
              <w:sdtPr>
                <w:rPr>
                  <w:rFonts w:ascii="Times New Roman" w:hAnsi="Times New Roman" w:cs="Times New Roman"/>
                  <w:szCs w:val="21"/>
                </w:rPr>
                <w:alias w:val="分部商品类型明细名称"/>
                <w:tag w:val="_GBC_9b24d072ad6f4b69a94ec304db6192c3"/>
                <w:id w:val="461082515"/>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3A3FAA22" w14:textId="77777777" w:rsidR="00D21C1F" w:rsidRPr="00F72EBF" w:rsidRDefault="00A42880">
                    <w:pPr>
                      <w:ind w:firstLineChars="200" w:firstLine="420"/>
                      <w:rPr>
                        <w:rFonts w:ascii="Times New Roman" w:hAnsi="Times New Roman" w:cs="Times New Roman"/>
                        <w:szCs w:val="21"/>
                      </w:rPr>
                    </w:pPr>
                    <w:r w:rsidRPr="00F72EBF">
                      <w:rPr>
                        <w:rFonts w:ascii="Times New Roman" w:hAnsi="Times New Roman" w:cs="Times New Roman"/>
                        <w:szCs w:val="21"/>
                      </w:rPr>
                      <w:t>系统集成产品</w:t>
                    </w:r>
                  </w:p>
                </w:tc>
              </w:sdtContent>
            </w:sdt>
            <w:sdt>
              <w:sdtPr>
                <w:rPr>
                  <w:rFonts w:ascii="Times New Roman" w:hAnsi="Times New Roman" w:cs="Times New Roman"/>
                  <w:szCs w:val="21"/>
                </w:rPr>
                <w:alias w:val="分部商品类型明细合同产生的收入"/>
                <w:tag w:val="_GBC_5d3d3176f1784cb08da754a9734f9bb2"/>
                <w:id w:val="1329249092"/>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376EA8C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346,406,553.77</w:t>
                    </w:r>
                  </w:p>
                </w:tc>
              </w:sdtContent>
            </w:sdt>
            <w:sdt>
              <w:sdtPr>
                <w:rPr>
                  <w:rFonts w:ascii="Times New Roman" w:hAnsi="Times New Roman" w:cs="Times New Roman"/>
                  <w:szCs w:val="21"/>
                </w:rPr>
                <w:alias w:val="商品类型明细合同产生的收入"/>
                <w:tag w:val="_GBC_4e6bfa20e78f4111b81144120f593c56"/>
                <w:id w:val="1943875129"/>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2B4EA122"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346,406,553.77</w:t>
                    </w:r>
                  </w:p>
                </w:tc>
              </w:sdtContent>
            </w:sdt>
          </w:tr>
          <w:tr w:rsidR="00D21C1F" w:rsidRPr="00F72EBF" w14:paraId="209FD1DA" w14:textId="77777777">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0753f1e3ffaa40ba888fec6a046a67fa"/>
                  <w:id w:val="-2080056372"/>
                  <w:lock w:val="sdtLocked"/>
                </w:sdtPr>
                <w:sdtEndPr/>
                <w:sdtContent>
                  <w:p w14:paraId="433069BD"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按经营地区分类</w:t>
                    </w:r>
                  </w:p>
                </w:sdtContent>
              </w:sdt>
            </w:tc>
            <w:sdt>
              <w:sdtPr>
                <w:rPr>
                  <w:rFonts w:ascii="Times New Roman" w:hAnsi="Times New Roman" w:cs="Times New Roman"/>
                  <w:szCs w:val="21"/>
                </w:rPr>
                <w:alias w:val="分部按经营地区分类合同产生的收入"/>
                <w:tag w:val="_GBC_92d84352ddd14bdf9016c5678cbbdb22"/>
                <w:id w:val="-1837676918"/>
                <w:lock w:val="sdtLocked"/>
                <w:showingPlcHdr/>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3355419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 xml:space="preserve">     </w:t>
                    </w:r>
                  </w:p>
                </w:tc>
              </w:sdtContent>
            </w:sdt>
            <w:sdt>
              <w:sdtPr>
                <w:rPr>
                  <w:rFonts w:ascii="Times New Roman" w:hAnsi="Times New Roman" w:cs="Times New Roman"/>
                  <w:szCs w:val="21"/>
                </w:rPr>
                <w:alias w:val="按经营地区分类合同产生的收入"/>
                <w:tag w:val="_GBC_c7c210722fd54724bfc6fc92bceb1fb7"/>
                <w:id w:val="1952118411"/>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68C31F97" w14:textId="77777777" w:rsidR="00D21C1F" w:rsidRPr="00F72EBF" w:rsidRDefault="00D21C1F">
                    <w:pPr>
                      <w:jc w:val="right"/>
                      <w:rPr>
                        <w:rFonts w:ascii="Times New Roman" w:hAnsi="Times New Roman" w:cs="Times New Roman"/>
                        <w:szCs w:val="21"/>
                      </w:rPr>
                    </w:pPr>
                  </w:p>
                </w:tc>
              </w:sdtContent>
            </w:sdt>
          </w:tr>
          <w:tr w:rsidR="00D21C1F" w:rsidRPr="00F72EBF" w14:paraId="3E531947" w14:textId="77777777">
            <w:sdt>
              <w:sdtPr>
                <w:rPr>
                  <w:rFonts w:ascii="Times New Roman" w:hAnsi="Times New Roman" w:cs="Times New Roman"/>
                  <w:szCs w:val="21"/>
                </w:rPr>
                <w:alias w:val="分部按经营地区分类明细名称"/>
                <w:tag w:val="_GBC_2164a57364264b61b1897be5a1ac0855"/>
                <w:id w:val="-1443303378"/>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2E42648C" w14:textId="77777777" w:rsidR="00D21C1F" w:rsidRPr="00F72EBF" w:rsidRDefault="00A42880">
                    <w:pPr>
                      <w:ind w:firstLineChars="200" w:firstLine="420"/>
                      <w:rPr>
                        <w:rFonts w:ascii="Times New Roman" w:hAnsi="Times New Roman" w:cs="Times New Roman"/>
                        <w:szCs w:val="21"/>
                      </w:rPr>
                    </w:pPr>
                    <w:r w:rsidRPr="00F72EBF">
                      <w:rPr>
                        <w:rFonts w:ascii="Times New Roman" w:hAnsi="Times New Roman" w:cs="Times New Roman"/>
                        <w:szCs w:val="21"/>
                      </w:rPr>
                      <w:t>中国大陆</w:t>
                    </w:r>
                  </w:p>
                </w:tc>
              </w:sdtContent>
            </w:sdt>
            <w:sdt>
              <w:sdtPr>
                <w:rPr>
                  <w:rFonts w:ascii="Times New Roman" w:hAnsi="Times New Roman" w:cs="Times New Roman"/>
                  <w:szCs w:val="21"/>
                </w:rPr>
                <w:alias w:val="分部按经营地区分类明细合同产生的收入"/>
                <w:tag w:val="_GBC_541813ff577a4b7299e84962610e8d5e"/>
                <w:id w:val="1906021758"/>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44182C3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340,444,394.71</w:t>
                    </w:r>
                  </w:p>
                </w:tc>
              </w:sdtContent>
            </w:sdt>
            <w:sdt>
              <w:sdtPr>
                <w:rPr>
                  <w:rFonts w:ascii="Times New Roman" w:hAnsi="Times New Roman" w:cs="Times New Roman"/>
                  <w:szCs w:val="21"/>
                </w:rPr>
                <w:alias w:val="按经营地区分类明细合同产生的收入"/>
                <w:tag w:val="_GBC_74f78b337dec41cb88520f72ad77f2e2"/>
                <w:id w:val="1941332627"/>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6E65469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340,444,394.71</w:t>
                    </w:r>
                  </w:p>
                </w:tc>
              </w:sdtContent>
            </w:sdt>
          </w:tr>
          <w:tr w:rsidR="00D21C1F" w:rsidRPr="00F72EBF" w14:paraId="550EB8FC" w14:textId="77777777">
            <w:sdt>
              <w:sdtPr>
                <w:rPr>
                  <w:rFonts w:ascii="Times New Roman" w:hAnsi="Times New Roman" w:cs="Times New Roman"/>
                  <w:szCs w:val="21"/>
                </w:rPr>
                <w:alias w:val="分部按经营地区分类明细名称"/>
                <w:tag w:val="_GBC_2164a57364264b61b1897be5a1ac0855"/>
                <w:id w:val="43650195"/>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14FD98A1" w14:textId="77777777" w:rsidR="00D21C1F" w:rsidRPr="00F72EBF" w:rsidRDefault="00A42880">
                    <w:pPr>
                      <w:ind w:firstLineChars="200" w:firstLine="420"/>
                      <w:rPr>
                        <w:rFonts w:ascii="Times New Roman" w:hAnsi="Times New Roman" w:cs="Times New Roman"/>
                        <w:szCs w:val="21"/>
                      </w:rPr>
                    </w:pPr>
                    <w:r w:rsidRPr="00F72EBF">
                      <w:rPr>
                        <w:rFonts w:ascii="Times New Roman" w:hAnsi="Times New Roman" w:cs="Times New Roman"/>
                        <w:szCs w:val="21"/>
                      </w:rPr>
                      <w:t>其他国家和地区</w:t>
                    </w:r>
                  </w:p>
                </w:tc>
              </w:sdtContent>
            </w:sdt>
            <w:sdt>
              <w:sdtPr>
                <w:rPr>
                  <w:rFonts w:ascii="Times New Roman" w:hAnsi="Times New Roman" w:cs="Times New Roman"/>
                  <w:szCs w:val="21"/>
                </w:rPr>
                <w:alias w:val="分部按经营地区分类明细合同产生的收入"/>
                <w:tag w:val="_GBC_541813ff577a4b7299e84962610e8d5e"/>
                <w:id w:val="-1278326333"/>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5FD5182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222,479,045.43</w:t>
                    </w:r>
                  </w:p>
                </w:tc>
              </w:sdtContent>
            </w:sdt>
            <w:sdt>
              <w:sdtPr>
                <w:rPr>
                  <w:rFonts w:ascii="Times New Roman" w:hAnsi="Times New Roman" w:cs="Times New Roman"/>
                  <w:szCs w:val="21"/>
                </w:rPr>
                <w:alias w:val="按经营地区分类明细合同产生的收入"/>
                <w:tag w:val="_GBC_74f78b337dec41cb88520f72ad77f2e2"/>
                <w:id w:val="40571752"/>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0D0D5F5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222,479,045.43</w:t>
                    </w:r>
                  </w:p>
                </w:tc>
              </w:sdtContent>
            </w:sdt>
          </w:tr>
          <w:tr w:rsidR="00D21C1F" w:rsidRPr="00F72EBF" w14:paraId="0AE33C9F" w14:textId="77777777">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85dc2e765fac44eaa8eca35d3e66ca6e"/>
                  <w:id w:val="-812631105"/>
                  <w:lock w:val="sdtLocked"/>
                </w:sdtPr>
                <w:sdtEndPr/>
                <w:sdtContent>
                  <w:p w14:paraId="30DB807A"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按商品转让的时间分类</w:t>
                    </w:r>
                  </w:p>
                </w:sdtContent>
              </w:sdt>
            </w:tc>
            <w:sdt>
              <w:sdtPr>
                <w:rPr>
                  <w:rFonts w:ascii="Times New Roman" w:hAnsi="Times New Roman" w:cs="Times New Roman"/>
                  <w:szCs w:val="21"/>
                </w:rPr>
                <w:alias w:val="分部按商品转让的时间分类合同产生的收入"/>
                <w:tag w:val="_GBC_aada5a73cae841a0b32866ddce5745fe"/>
                <w:id w:val="1794870129"/>
                <w:lock w:val="sdtLocked"/>
                <w:showingPlcHdr/>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6FDC957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 xml:space="preserve">     </w:t>
                    </w:r>
                  </w:p>
                </w:tc>
              </w:sdtContent>
            </w:sdt>
            <w:sdt>
              <w:sdtPr>
                <w:rPr>
                  <w:rFonts w:ascii="Times New Roman" w:hAnsi="Times New Roman" w:cs="Times New Roman"/>
                  <w:szCs w:val="21"/>
                </w:rPr>
                <w:alias w:val="按商品转让的时间分类合同产生的收入"/>
                <w:tag w:val="_GBC_3106a8573ba34af395e99aa3da3b88eb"/>
                <w:id w:val="-845092627"/>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7C60066B" w14:textId="77777777" w:rsidR="00D21C1F" w:rsidRPr="00F72EBF" w:rsidRDefault="00D21C1F">
                    <w:pPr>
                      <w:jc w:val="right"/>
                      <w:rPr>
                        <w:rFonts w:ascii="Times New Roman" w:hAnsi="Times New Roman" w:cs="Times New Roman"/>
                        <w:szCs w:val="21"/>
                      </w:rPr>
                    </w:pPr>
                  </w:p>
                </w:tc>
              </w:sdtContent>
            </w:sdt>
          </w:tr>
          <w:tr w:rsidR="00D21C1F" w:rsidRPr="00F72EBF" w14:paraId="10A77BCC" w14:textId="77777777">
            <w:sdt>
              <w:sdtPr>
                <w:rPr>
                  <w:rFonts w:ascii="Times New Roman" w:hAnsi="Times New Roman" w:cs="Times New Roman"/>
                  <w:szCs w:val="21"/>
                </w:rPr>
                <w:alias w:val="分部按商品转让的时间分类明细名称"/>
                <w:tag w:val="_GBC_e7756cba04264ef8a2d621d20a3d8041"/>
                <w:id w:val="820465728"/>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4A995C14" w14:textId="77777777" w:rsidR="00D21C1F" w:rsidRPr="00F72EBF" w:rsidRDefault="00A42880">
                    <w:pPr>
                      <w:ind w:firstLineChars="200" w:firstLine="420"/>
                      <w:rPr>
                        <w:rFonts w:ascii="Times New Roman" w:hAnsi="Times New Roman" w:cs="Times New Roman"/>
                        <w:szCs w:val="21"/>
                      </w:rPr>
                    </w:pPr>
                    <w:r w:rsidRPr="00F72EBF">
                      <w:rPr>
                        <w:rFonts w:ascii="Times New Roman" w:hAnsi="Times New Roman" w:cs="Times New Roman"/>
                        <w:szCs w:val="21"/>
                      </w:rPr>
                      <w:t>在某一时点确认收入</w:t>
                    </w:r>
                  </w:p>
                </w:tc>
              </w:sdtContent>
            </w:sdt>
            <w:sdt>
              <w:sdtPr>
                <w:rPr>
                  <w:rFonts w:ascii="Times New Roman" w:hAnsi="Times New Roman" w:cs="Times New Roman"/>
                  <w:szCs w:val="21"/>
                </w:rPr>
                <w:alias w:val="分部按商品转让的时间分类明细合同产生的收入"/>
                <w:tag w:val="_GBC_1c8dd9830e434fd99756948161fe5a30"/>
                <w:id w:val="15047635"/>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786E4D92"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216,516,886.37</w:t>
                    </w:r>
                  </w:p>
                </w:tc>
              </w:sdtContent>
            </w:sdt>
            <w:sdt>
              <w:sdtPr>
                <w:rPr>
                  <w:rFonts w:ascii="Times New Roman" w:hAnsi="Times New Roman" w:cs="Times New Roman"/>
                  <w:szCs w:val="21"/>
                </w:rPr>
                <w:alias w:val="按商品转让的时间分类明细合同产生的收入"/>
                <w:tag w:val="_GBC_735990eb00f647478a43e2b07fec3bd5"/>
                <w:id w:val="1063605441"/>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3AA2BFD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216,516,886.37</w:t>
                    </w:r>
                  </w:p>
                </w:tc>
              </w:sdtContent>
            </w:sdt>
          </w:tr>
          <w:tr w:rsidR="00D21C1F" w:rsidRPr="00F72EBF" w14:paraId="4C8E60B4" w14:textId="77777777">
            <w:sdt>
              <w:sdtPr>
                <w:rPr>
                  <w:rFonts w:ascii="Times New Roman" w:hAnsi="Times New Roman" w:cs="Times New Roman"/>
                  <w:szCs w:val="21"/>
                </w:rPr>
                <w:alias w:val="分部按商品转让的时间分类明细名称"/>
                <w:tag w:val="_GBC_e7756cba04264ef8a2d621d20a3d8041"/>
                <w:id w:val="-991939460"/>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0444F3EA" w14:textId="77777777" w:rsidR="00D21C1F" w:rsidRPr="00F72EBF" w:rsidRDefault="00A42880">
                    <w:pPr>
                      <w:ind w:firstLineChars="200" w:firstLine="420"/>
                      <w:rPr>
                        <w:rFonts w:ascii="Times New Roman" w:hAnsi="Times New Roman" w:cs="Times New Roman"/>
                        <w:szCs w:val="21"/>
                      </w:rPr>
                    </w:pPr>
                    <w:r w:rsidRPr="00F72EBF">
                      <w:rPr>
                        <w:rFonts w:ascii="Times New Roman" w:hAnsi="Times New Roman" w:cs="Times New Roman"/>
                        <w:szCs w:val="21"/>
                      </w:rPr>
                      <w:t>在某一时段内确认收入</w:t>
                    </w:r>
                  </w:p>
                </w:tc>
              </w:sdtContent>
            </w:sdt>
            <w:sdt>
              <w:sdtPr>
                <w:rPr>
                  <w:rFonts w:ascii="Times New Roman" w:hAnsi="Times New Roman" w:cs="Times New Roman"/>
                  <w:szCs w:val="21"/>
                </w:rPr>
                <w:alias w:val="分部按商品转让的时间分类明细合同产生的收入"/>
                <w:tag w:val="_GBC_1c8dd9830e434fd99756948161fe5a30"/>
                <w:id w:val="-1148135973"/>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644E115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346,406,553.77</w:t>
                    </w:r>
                  </w:p>
                </w:tc>
              </w:sdtContent>
            </w:sdt>
            <w:sdt>
              <w:sdtPr>
                <w:rPr>
                  <w:rFonts w:ascii="Times New Roman" w:hAnsi="Times New Roman" w:cs="Times New Roman"/>
                  <w:szCs w:val="21"/>
                </w:rPr>
                <w:alias w:val="按商品转让的时间分类明细合同产生的收入"/>
                <w:tag w:val="_GBC_735990eb00f647478a43e2b07fec3bd5"/>
                <w:id w:val="-1745566888"/>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21FB9BA2"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346,406,553.77</w:t>
                    </w:r>
                  </w:p>
                </w:tc>
              </w:sdtContent>
            </w:sdt>
          </w:tr>
          <w:tr w:rsidR="00D21C1F" w:rsidRPr="00F72EBF" w14:paraId="28857368" w14:textId="77777777">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61453ad2ba3743f2bbbec0bd3c2e2bce"/>
                  <w:id w:val="1725561885"/>
                  <w:lock w:val="sdtLocked"/>
                </w:sdtPr>
                <w:sdtEndPr/>
                <w:sdtContent>
                  <w:p w14:paraId="0D20C4D7"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合计</w:t>
                    </w:r>
                  </w:p>
                </w:sdtContent>
              </w:sdt>
            </w:tc>
            <w:sdt>
              <w:sdtPr>
                <w:rPr>
                  <w:rFonts w:ascii="Times New Roman" w:hAnsi="Times New Roman" w:cs="Times New Roman"/>
                  <w:szCs w:val="21"/>
                </w:rPr>
                <w:alias w:val="分部合同产生的收入"/>
                <w:tag w:val="_GBC_fdd22a21fd224e86b18a5661ccb86b4e"/>
                <w:id w:val="1510790732"/>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3D2C31B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562,923,440.14</w:t>
                    </w:r>
                  </w:p>
                </w:tc>
              </w:sdtContent>
            </w:sdt>
            <w:sdt>
              <w:sdtPr>
                <w:rPr>
                  <w:rFonts w:ascii="Times New Roman" w:hAnsi="Times New Roman" w:cs="Times New Roman"/>
                  <w:szCs w:val="21"/>
                </w:rPr>
                <w:alias w:val="合同产生的收入"/>
                <w:tag w:val="_GBC_463fdb24770148078bc9ecdf4126a76b"/>
                <w:id w:val="-1940897650"/>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637C0981"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562,923,440.14</w:t>
                    </w:r>
                  </w:p>
                </w:tc>
              </w:sdtContent>
            </w:sdt>
          </w:tr>
        </w:tbl>
        <w:p w14:paraId="22A91295"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合同产生的收入说明：</w:t>
          </w:r>
        </w:p>
        <w:p w14:paraId="4B3AA1A4" w14:textId="77777777" w:rsidR="00D21C1F" w:rsidRDefault="00045EC6">
          <w:pPr>
            <w:pStyle w:val="97"/>
          </w:pPr>
          <w:sdt>
            <w:sdtPr>
              <w:rPr>
                <w:rFonts w:ascii="Times New Roman" w:hAnsi="Times New Roman" w:cs="Times New Roman"/>
              </w:rPr>
              <w:alias w:val="合同产生的收入说明"/>
              <w:tag w:val="_GBC_5df8a240d4764103ad340ee5d91d16d6"/>
              <w:id w:val="1147168058"/>
              <w:lock w:val="sdtLocked"/>
              <w:placeholder>
                <w:docPart w:val="GBC22222222222222222222222222222"/>
              </w:placeholder>
            </w:sdtPr>
            <w:sdtEndPr/>
            <w:sdtContent>
              <w:r w:rsidR="00A42880" w:rsidRPr="00F72EBF">
                <w:rPr>
                  <w:rFonts w:ascii="Times New Roman" w:hAnsi="Times New Roman" w:cs="Times New Roman"/>
                </w:rPr>
                <w:t>无</w:t>
              </w:r>
            </w:sdtContent>
          </w:sdt>
        </w:p>
      </w:sdtContent>
    </w:sdt>
    <w:bookmarkEnd w:id="276" w:displacedByCustomXml="next"/>
    <w:bookmarkStart w:id="277" w:name="_Hlk10538083" w:displacedByCustomXml="next"/>
    <w:bookmarkStart w:id="278" w:name="_Hlk10538092" w:displacedByCustomXml="next"/>
    <w:sdt>
      <w:sdtPr>
        <w:rPr>
          <w:rFonts w:ascii="宋体" w:hAnsi="宋体" w:cs="宋体" w:hint="eastAsia"/>
          <w:b w:val="0"/>
          <w:bCs w:val="0"/>
          <w:kern w:val="0"/>
          <w:szCs w:val="24"/>
        </w:rPr>
        <w:alias w:val="模块:履约义务的说明"/>
        <w:tag w:val="_SEC_c2d2612c37d449d6b1ff5194855fc52c"/>
        <w:id w:val="293803168"/>
        <w:lock w:val="sdtLocked"/>
        <w:placeholder>
          <w:docPart w:val="GBC22222222222222222222222222222"/>
        </w:placeholder>
      </w:sdtPr>
      <w:sdtEndPr>
        <w:rPr>
          <w:rFonts w:hint="default"/>
          <w:szCs w:val="21"/>
        </w:rPr>
      </w:sdtEndPr>
      <w:sdtContent>
        <w:p w14:paraId="2357DD4F" w14:textId="77777777" w:rsidR="00D21C1F" w:rsidRDefault="00A42880">
          <w:pPr>
            <w:pStyle w:val="93"/>
            <w:numPr>
              <w:ilvl w:val="0"/>
              <w:numId w:val="123"/>
            </w:numPr>
            <w:ind w:left="426" w:hanging="426"/>
            <w:rPr>
              <w:rFonts w:ascii="宋体" w:hAnsi="宋体"/>
            </w:rPr>
          </w:pPr>
          <w:r>
            <w:rPr>
              <w:rFonts w:ascii="宋体" w:hAnsi="宋体" w:hint="eastAsia"/>
            </w:rPr>
            <w:t>履约义务的说明</w:t>
          </w:r>
          <w:bookmarkEnd w:id="277"/>
        </w:p>
        <w:sdt>
          <w:sdtPr>
            <w:alias w:val="是否适用：履约义务的说明[双击切换]"/>
            <w:tag w:val="_GBC_cb7f024e61b74dffae341dc41978348f"/>
            <w:id w:val="-883099371"/>
            <w:lock w:val="sdtLocked"/>
            <w:placeholder>
              <w:docPart w:val="GBC22222222222222222222222222222"/>
            </w:placeholder>
          </w:sdtPr>
          <w:sdtEndPr/>
          <w:sdtContent>
            <w:p w14:paraId="7CD1D32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78" w:displacedByCustomXml="next"/>
    <w:bookmarkStart w:id="279" w:name="_Hlk10538107" w:displacedByCustomXml="next"/>
    <w:bookmarkStart w:id="280" w:name="_Hlk10538117" w:displacedByCustomXml="next"/>
    <w:sdt>
      <w:sdtPr>
        <w:rPr>
          <w:rFonts w:ascii="宋体" w:hAnsi="宋体" w:cs="宋体" w:hint="eastAsia"/>
          <w:b w:val="0"/>
          <w:bCs w:val="0"/>
          <w:kern w:val="0"/>
          <w:szCs w:val="24"/>
        </w:rPr>
        <w:alias w:val="模块:分摊至剩余履约义务的说明"/>
        <w:tag w:val="_SEC_52c497559d5c4501875a7b175ab4b1eb"/>
        <w:id w:val="-43530048"/>
        <w:lock w:val="sdtLocked"/>
        <w:placeholder>
          <w:docPart w:val="GBC22222222222222222222222222222"/>
        </w:placeholder>
      </w:sdtPr>
      <w:sdtEndPr>
        <w:rPr>
          <w:rFonts w:hint="default"/>
          <w:szCs w:val="21"/>
        </w:rPr>
      </w:sdtEndPr>
      <w:sdtContent>
        <w:p w14:paraId="189F3706" w14:textId="77777777" w:rsidR="00D21C1F" w:rsidRDefault="00A42880">
          <w:pPr>
            <w:pStyle w:val="93"/>
            <w:numPr>
              <w:ilvl w:val="0"/>
              <w:numId w:val="123"/>
            </w:numPr>
            <w:ind w:left="426" w:hanging="426"/>
            <w:rPr>
              <w:rFonts w:ascii="宋体" w:hAnsi="宋体"/>
            </w:rPr>
          </w:pPr>
          <w:r>
            <w:rPr>
              <w:rFonts w:ascii="宋体" w:hAnsi="宋体" w:hint="eastAsia"/>
            </w:rPr>
            <w:t>分摊至剩余履约义务的说明</w:t>
          </w:r>
          <w:bookmarkEnd w:id="279"/>
        </w:p>
        <w:sdt>
          <w:sdtPr>
            <w:alias w:val="是否适用：分摊至剩余履约义务的说明[双击切换]"/>
            <w:tag w:val="_GBC_3e12eb65fc9e4c7b80815a7392be58f2"/>
            <w:id w:val="-2118130770"/>
            <w:lock w:val="sdtLocked"/>
            <w:placeholder>
              <w:docPart w:val="GBC22222222222222222222222222222"/>
            </w:placeholder>
          </w:sdtPr>
          <w:sdtEndPr/>
          <w:sdtContent>
            <w:p w14:paraId="2F0E945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80" w:displacedByCustomXml="next"/>
    <w:bookmarkStart w:id="281" w:name="_Hlk26364697" w:displacedByCustomXml="next"/>
    <w:bookmarkStart w:id="282" w:name="_Hlk41487523" w:displacedByCustomXml="next"/>
    <w:sdt>
      <w:sdtPr>
        <w:rPr>
          <w:rFonts w:hint="eastAsia"/>
          <w:szCs w:val="21"/>
        </w:rPr>
        <w:alias w:val="模块:营业收入和营业成本的说明"/>
        <w:tag w:val="_SEC_530aa03318f04819b92848bd4d1e0874"/>
        <w:id w:val="-1734071573"/>
        <w:lock w:val="sdtLocked"/>
        <w:placeholder>
          <w:docPart w:val="GBC22222222222222222222222222222"/>
        </w:placeholder>
      </w:sdtPr>
      <w:sdtEndPr/>
      <w:sdtContent>
        <w:p w14:paraId="5D5E4338" w14:textId="77777777" w:rsidR="00D21C1F" w:rsidRDefault="00A42880">
          <w:pPr>
            <w:spacing w:before="60" w:after="60"/>
            <w:rPr>
              <w:szCs w:val="21"/>
            </w:rPr>
          </w:pPr>
          <w:r>
            <w:rPr>
              <w:rFonts w:hint="eastAsia"/>
              <w:szCs w:val="21"/>
            </w:rPr>
            <w:t>其他说明：</w:t>
          </w:r>
        </w:p>
        <w:p w14:paraId="0445A539" w14:textId="77777777" w:rsidR="00D21C1F" w:rsidRDefault="00045EC6">
          <w:pPr>
            <w:rPr>
              <w:szCs w:val="21"/>
            </w:rPr>
          </w:pPr>
          <w:sdt>
            <w:sdtPr>
              <w:rPr>
                <w:szCs w:val="21"/>
              </w:rPr>
              <w:alias w:val="主营业务说明"/>
              <w:tag w:val="_GBC_72a96250960e4e188d2fa1097869655e"/>
              <w:id w:val="-570969897"/>
              <w:lock w:val="sdtLocked"/>
              <w:placeholder>
                <w:docPart w:val="GBC22222222222222222222222222222"/>
              </w:placeholder>
            </w:sdtPr>
            <w:sdtEndPr/>
            <w:sdtContent>
              <w:r w:rsidR="00A42880">
                <w:rPr>
                  <w:rFonts w:hint="eastAsia"/>
                  <w:szCs w:val="21"/>
                </w:rPr>
                <w:t>无</w:t>
              </w:r>
            </w:sdtContent>
          </w:sdt>
          <w:bookmarkEnd w:id="281"/>
        </w:p>
        <w:p w14:paraId="7EE02211" w14:textId="77777777" w:rsidR="00D21C1F" w:rsidRDefault="00045EC6">
          <w:pPr>
            <w:rPr>
              <w:szCs w:val="21"/>
            </w:rPr>
          </w:pPr>
        </w:p>
      </w:sdtContent>
    </w:sdt>
    <w:bookmarkEnd w:id="282" w:displacedByCustomXml="next"/>
    <w:sdt>
      <w:sdtPr>
        <w:rPr>
          <w:rFonts w:ascii="Times New Roman" w:eastAsia="宋体" w:hAnsi="Times New Roman" w:cs="宋体"/>
          <w:b w:val="0"/>
          <w:bCs w:val="0"/>
          <w:kern w:val="0"/>
          <w:szCs w:val="21"/>
        </w:rPr>
        <w:alias w:val="模块:税金及附加"/>
        <w:tag w:val="_GBC_38185835049143dd873ff3e7d0941647"/>
        <w:id w:val="-1461649911"/>
        <w:lock w:val="sdtLocked"/>
        <w:placeholder>
          <w:docPart w:val="GBC22222222222222222222222222222"/>
        </w:placeholder>
      </w:sdtPr>
      <w:sdtEndPr>
        <w:rPr>
          <w:kern w:val="2"/>
        </w:rPr>
      </w:sdtEndPr>
      <w:sdtContent>
        <w:p w14:paraId="7787E660" w14:textId="77777777" w:rsidR="00D21C1F" w:rsidRPr="00F72EBF" w:rsidRDefault="00A42880">
          <w:pPr>
            <w:pStyle w:val="94"/>
            <w:numPr>
              <w:ilvl w:val="0"/>
              <w:numId w:val="95"/>
            </w:numPr>
            <w:tabs>
              <w:tab w:val="left" w:pos="504"/>
            </w:tabs>
            <w:rPr>
              <w:rFonts w:ascii="Times New Roman" w:hAnsi="Times New Roman"/>
              <w:szCs w:val="21"/>
            </w:rPr>
          </w:pPr>
          <w:r w:rsidRPr="00F72EBF">
            <w:rPr>
              <w:rFonts w:ascii="Times New Roman" w:hAnsi="Times New Roman"/>
              <w:szCs w:val="21"/>
            </w:rPr>
            <w:t>税金及附加</w:t>
          </w:r>
        </w:p>
        <w:sdt>
          <w:sdtPr>
            <w:rPr>
              <w:rFonts w:ascii="Times New Roman" w:hAnsi="Times New Roman" w:cs="Times New Roman"/>
            </w:rPr>
            <w:alias w:val="是否适用：税金及附加[双击切换]"/>
            <w:tag w:val="_GBC_e6e37ca7fd2a435e8e042586945bb4d2"/>
            <w:id w:val="-1218131044"/>
            <w:lock w:val="sdtLocked"/>
            <w:placeholder>
              <w:docPart w:val="GBC22222222222222222222222222222"/>
            </w:placeholder>
          </w:sdtPr>
          <w:sdtEndPr/>
          <w:sdtContent>
            <w:p w14:paraId="339DE8FC"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4BFFEBFB" w14:textId="77777777" w:rsidR="00D21C1F" w:rsidRPr="00F72EBF" w:rsidRDefault="00A42880">
          <w:pPr>
            <w:jc w:val="right"/>
            <w:rPr>
              <w:rFonts w:ascii="Times New Roman" w:hAnsi="Times New Roman" w:cs="Times New Roman"/>
              <w:b/>
              <w:szCs w:val="21"/>
            </w:rPr>
          </w:pPr>
          <w:r w:rsidRPr="00F72EBF">
            <w:rPr>
              <w:rFonts w:ascii="Times New Roman" w:hAnsi="Times New Roman" w:cs="Times New Roman"/>
              <w:szCs w:val="21"/>
            </w:rPr>
            <w:t>单位：</w:t>
          </w:r>
          <w:sdt>
            <w:sdtPr>
              <w:rPr>
                <w:rFonts w:ascii="Times New Roman" w:hAnsi="Times New Roman" w:cs="Times New Roman"/>
                <w:szCs w:val="21"/>
              </w:rPr>
              <w:alias w:val="单位：财务附注：税金及附加"/>
              <w:tag w:val="_GBC_bdd382ceb0b74413bcc8ce354afae4a8"/>
              <w:id w:val="-1713416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cs="Times New Roman"/>
                  <w:szCs w:val="21"/>
                </w:rPr>
                <w:t>元</w:t>
              </w:r>
            </w:sdtContent>
          </w:sdt>
          <w:r w:rsidRPr="00F72EBF">
            <w:rPr>
              <w:rFonts w:ascii="Times New Roman" w:hAnsi="Times New Roman" w:cs="Times New Roman"/>
              <w:szCs w:val="21"/>
            </w:rPr>
            <w:t>币种：</w:t>
          </w:r>
          <w:sdt>
            <w:sdtPr>
              <w:rPr>
                <w:rFonts w:ascii="Times New Roman" w:hAnsi="Times New Roman" w:cs="Times New Roman"/>
                <w:szCs w:val="21"/>
              </w:rPr>
              <w:alias w:val="币种：财务附注：税金及附加"/>
              <w:tag w:val="_GBC_ecf8b53c11ec4336b91007df3f6b5f78"/>
              <w:id w:val="-1663998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cs="Times New Roman"/>
                  <w:szCs w:val="21"/>
                </w:rPr>
                <w:t>人民币</w:t>
              </w:r>
            </w:sdtContent>
          </w:sdt>
        </w:p>
        <w:tbl>
          <w:tblPr>
            <w:tblStyle w:val="88"/>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833"/>
            <w:gridCol w:w="2992"/>
            <w:gridCol w:w="2992"/>
          </w:tblGrid>
          <w:tr w:rsidR="00D21C1F" w:rsidRPr="00F72EBF" w14:paraId="0EB371FF" w14:textId="77777777">
            <w:sdt>
              <w:sdtPr>
                <w:rPr>
                  <w:rFonts w:ascii="Times New Roman" w:hAnsi="Times New Roman" w:cs="Times New Roman"/>
                </w:rPr>
                <w:tag w:val="_PLD_444bcf5500dc4f7f9041afd20c147408"/>
                <w:id w:val="192483166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340CCD42" w14:textId="77777777" w:rsidR="00D21C1F" w:rsidRPr="00F72EBF" w:rsidRDefault="00A42880">
                    <w:pPr>
                      <w:autoSpaceDE w:val="0"/>
                      <w:autoSpaceDN w:val="0"/>
                      <w:adjustRightInd w:val="0"/>
                      <w:snapToGrid w:val="0"/>
                      <w:spacing w:line="240" w:lineRule="atLeast"/>
                      <w:jc w:val="center"/>
                      <w:rPr>
                        <w:rFonts w:ascii="Times New Roman" w:hAnsi="Times New Roman" w:cs="Times New Roman"/>
                        <w:szCs w:val="21"/>
                      </w:rPr>
                    </w:pPr>
                    <w:r w:rsidRPr="00F72EBF">
                      <w:rPr>
                        <w:rFonts w:ascii="Times New Roman" w:hAnsi="Times New Roman" w:cs="Times New Roman"/>
                        <w:szCs w:val="21"/>
                      </w:rPr>
                      <w:t>项目</w:t>
                    </w:r>
                  </w:p>
                </w:tc>
              </w:sdtContent>
            </w:sdt>
            <w:sdt>
              <w:sdtPr>
                <w:rPr>
                  <w:rFonts w:ascii="Times New Roman" w:hAnsi="Times New Roman" w:cs="Times New Roman"/>
                </w:rPr>
                <w:tag w:val="_PLD_986496e04f5841889074687e953bf8a9"/>
                <w:id w:val="37204212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6A2B24FB"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本期发生额</w:t>
                    </w:r>
                  </w:p>
                </w:tc>
              </w:sdtContent>
            </w:sdt>
            <w:sdt>
              <w:sdtPr>
                <w:rPr>
                  <w:rFonts w:ascii="Times New Roman" w:hAnsi="Times New Roman" w:cs="Times New Roman"/>
                </w:rPr>
                <w:tag w:val="_PLD_4ab1376344dc484195a5459c78069a64"/>
                <w:id w:val="-165875862"/>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1436A061"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上期发生额</w:t>
                    </w:r>
                  </w:p>
                </w:tc>
              </w:sdtContent>
            </w:sdt>
          </w:tr>
          <w:tr w:rsidR="00D21C1F" w:rsidRPr="00F72EBF" w14:paraId="3FDF8DE5" w14:textId="77777777">
            <w:sdt>
              <w:sdtPr>
                <w:rPr>
                  <w:rFonts w:ascii="Times New Roman" w:hAnsi="Times New Roman" w:cs="Times New Roman"/>
                </w:rPr>
                <w:tag w:val="_PLD_b9d06144a0444b1fa73f16e038275ef3"/>
                <w:id w:val="58065065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529056D"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房产税</w:t>
                    </w:r>
                  </w:p>
                </w:tc>
              </w:sdtContent>
            </w:sdt>
            <w:tc>
              <w:tcPr>
                <w:tcW w:w="1697" w:type="pct"/>
                <w:tcBorders>
                  <w:top w:val="single" w:sz="6" w:space="0" w:color="auto"/>
                  <w:left w:val="single" w:sz="6" w:space="0" w:color="auto"/>
                  <w:bottom w:val="single" w:sz="6" w:space="0" w:color="auto"/>
                  <w:right w:val="single" w:sz="6" w:space="0" w:color="auto"/>
                </w:tcBorders>
              </w:tcPr>
              <w:p w14:paraId="61C1EC81"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868,375.10</w:t>
                </w:r>
              </w:p>
            </w:tc>
            <w:tc>
              <w:tcPr>
                <w:tcW w:w="1697" w:type="pct"/>
                <w:tcBorders>
                  <w:top w:val="single" w:sz="6" w:space="0" w:color="auto"/>
                  <w:left w:val="single" w:sz="6" w:space="0" w:color="auto"/>
                  <w:bottom w:val="single" w:sz="6" w:space="0" w:color="auto"/>
                  <w:right w:val="single" w:sz="6" w:space="0" w:color="auto"/>
                </w:tcBorders>
              </w:tcPr>
              <w:p w14:paraId="679AFCC2"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862,356.94</w:t>
                </w:r>
              </w:p>
            </w:tc>
          </w:tr>
          <w:tr w:rsidR="00D21C1F" w:rsidRPr="00F72EBF" w14:paraId="6EC349F7" w14:textId="77777777">
            <w:sdt>
              <w:sdtPr>
                <w:rPr>
                  <w:rFonts w:ascii="Times New Roman" w:hAnsi="Times New Roman" w:cs="Times New Roman"/>
                </w:rPr>
                <w:tag w:val="_PLD_56542612dda549b3b872b8d74818af22"/>
                <w:id w:val="-148924617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E5367D9"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14:paraId="60C3F1FB"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403,830.11</w:t>
                </w:r>
              </w:p>
            </w:tc>
            <w:tc>
              <w:tcPr>
                <w:tcW w:w="1697" w:type="pct"/>
                <w:tcBorders>
                  <w:top w:val="single" w:sz="6" w:space="0" w:color="auto"/>
                  <w:left w:val="single" w:sz="6" w:space="0" w:color="auto"/>
                  <w:bottom w:val="single" w:sz="6" w:space="0" w:color="auto"/>
                  <w:right w:val="single" w:sz="6" w:space="0" w:color="auto"/>
                </w:tcBorders>
              </w:tcPr>
              <w:p w14:paraId="582717A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400,203.38</w:t>
                </w:r>
              </w:p>
            </w:tc>
          </w:tr>
          <w:sdt>
            <w:sdtPr>
              <w:rPr>
                <w:rFonts w:ascii="Times New Roman" w:hAnsi="Times New Roman" w:cs="Times New Roman"/>
                <w:szCs w:val="21"/>
              </w:rPr>
              <w:alias w:val="税金及附加明细"/>
              <w:tag w:val="_GBC_ec40da632a7e4b998c9f045c23f7af1b"/>
              <w:id w:val="-460037248"/>
              <w:lock w:val="sdtLocked"/>
            </w:sdtPr>
            <w:sdtEndPr/>
            <w:sdtContent>
              <w:tr w:rsidR="00D21C1F" w:rsidRPr="00F72EBF" w14:paraId="6971F9F0" w14:textId="77777777">
                <w:tc>
                  <w:tcPr>
                    <w:tcW w:w="1606" w:type="pct"/>
                    <w:tcBorders>
                      <w:top w:val="single" w:sz="6" w:space="0" w:color="auto"/>
                      <w:left w:val="single" w:sz="6" w:space="0" w:color="auto"/>
                      <w:bottom w:val="single" w:sz="6" w:space="0" w:color="auto"/>
                      <w:right w:val="single" w:sz="6" w:space="0" w:color="auto"/>
                    </w:tcBorders>
                    <w:vAlign w:val="center"/>
                  </w:tcPr>
                  <w:p w14:paraId="54F982F0"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残疾人保障金</w:t>
                    </w:r>
                  </w:p>
                </w:tc>
                <w:tc>
                  <w:tcPr>
                    <w:tcW w:w="1697" w:type="pct"/>
                    <w:tcBorders>
                      <w:top w:val="single" w:sz="6" w:space="0" w:color="auto"/>
                      <w:left w:val="single" w:sz="6" w:space="0" w:color="auto"/>
                      <w:bottom w:val="single" w:sz="6" w:space="0" w:color="auto"/>
                      <w:right w:val="single" w:sz="6" w:space="0" w:color="auto"/>
                    </w:tcBorders>
                  </w:tcPr>
                  <w:p w14:paraId="032114EC"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221,162.48</w:t>
                    </w:r>
                  </w:p>
                </w:tc>
                <w:tc>
                  <w:tcPr>
                    <w:tcW w:w="1697" w:type="pct"/>
                    <w:tcBorders>
                      <w:top w:val="single" w:sz="6" w:space="0" w:color="auto"/>
                      <w:left w:val="single" w:sz="6" w:space="0" w:color="auto"/>
                      <w:bottom w:val="single" w:sz="6" w:space="0" w:color="auto"/>
                      <w:right w:val="single" w:sz="6" w:space="0" w:color="auto"/>
                    </w:tcBorders>
                  </w:tcPr>
                  <w:p w14:paraId="272C4C25"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w:t>
                    </w:r>
                  </w:p>
                </w:tc>
              </w:tr>
            </w:sdtContent>
          </w:sdt>
          <w:sdt>
            <w:sdtPr>
              <w:rPr>
                <w:rFonts w:ascii="Times New Roman" w:hAnsi="Times New Roman" w:cs="Times New Roman"/>
                <w:szCs w:val="21"/>
              </w:rPr>
              <w:alias w:val="税金及附加明细"/>
              <w:tag w:val="_GBC_ec40da632a7e4b998c9f045c23f7af1b"/>
              <w:id w:val="-1885004483"/>
              <w:lock w:val="sdtLocked"/>
            </w:sdtPr>
            <w:sdtEndPr/>
            <w:sdtContent>
              <w:tr w:rsidR="00D21C1F" w:rsidRPr="00F72EBF" w14:paraId="0CDD0EA5" w14:textId="77777777">
                <w:tc>
                  <w:tcPr>
                    <w:tcW w:w="1606" w:type="pct"/>
                    <w:tcBorders>
                      <w:top w:val="single" w:sz="6" w:space="0" w:color="auto"/>
                      <w:left w:val="single" w:sz="6" w:space="0" w:color="auto"/>
                      <w:bottom w:val="single" w:sz="6" w:space="0" w:color="auto"/>
                      <w:right w:val="single" w:sz="6" w:space="0" w:color="auto"/>
                    </w:tcBorders>
                    <w:vAlign w:val="center"/>
                  </w:tcPr>
                  <w:p w14:paraId="548E5C81"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地方水利基金</w:t>
                    </w:r>
                  </w:p>
                </w:tc>
                <w:tc>
                  <w:tcPr>
                    <w:tcW w:w="1697" w:type="pct"/>
                    <w:tcBorders>
                      <w:top w:val="single" w:sz="6" w:space="0" w:color="auto"/>
                      <w:left w:val="single" w:sz="6" w:space="0" w:color="auto"/>
                      <w:bottom w:val="single" w:sz="6" w:space="0" w:color="auto"/>
                      <w:right w:val="single" w:sz="6" w:space="0" w:color="auto"/>
                    </w:tcBorders>
                  </w:tcPr>
                  <w:p w14:paraId="747FA56A"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216,306.21</w:t>
                    </w:r>
                  </w:p>
                </w:tc>
                <w:tc>
                  <w:tcPr>
                    <w:tcW w:w="1697" w:type="pct"/>
                    <w:tcBorders>
                      <w:top w:val="single" w:sz="6" w:space="0" w:color="auto"/>
                      <w:left w:val="single" w:sz="6" w:space="0" w:color="auto"/>
                      <w:bottom w:val="single" w:sz="6" w:space="0" w:color="auto"/>
                      <w:right w:val="single" w:sz="6" w:space="0" w:color="auto"/>
                    </w:tcBorders>
                  </w:tcPr>
                  <w:p w14:paraId="5FF9CA91"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109,329.26</w:t>
                    </w:r>
                  </w:p>
                </w:tc>
              </w:tr>
            </w:sdtContent>
          </w:sdt>
          <w:tr w:rsidR="00D21C1F" w:rsidRPr="00F72EBF" w14:paraId="50B79148" w14:textId="77777777">
            <w:sdt>
              <w:sdtPr>
                <w:rPr>
                  <w:rFonts w:ascii="Times New Roman" w:hAnsi="Times New Roman" w:cs="Times New Roman"/>
                </w:rPr>
                <w:tag w:val="_PLD_a0bc60e9b74b40a288471dbbe366af2d"/>
                <w:id w:val="-37154196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17878DFC"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印花税</w:t>
                    </w:r>
                  </w:p>
                </w:tc>
              </w:sdtContent>
            </w:sdt>
            <w:tc>
              <w:tcPr>
                <w:tcW w:w="1697" w:type="pct"/>
                <w:tcBorders>
                  <w:top w:val="single" w:sz="6" w:space="0" w:color="auto"/>
                  <w:left w:val="single" w:sz="6" w:space="0" w:color="auto"/>
                  <w:bottom w:val="single" w:sz="6" w:space="0" w:color="auto"/>
                  <w:right w:val="single" w:sz="6" w:space="0" w:color="auto"/>
                </w:tcBorders>
              </w:tcPr>
              <w:p w14:paraId="465EBF4F"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159,744.44</w:t>
                </w:r>
              </w:p>
            </w:tc>
            <w:tc>
              <w:tcPr>
                <w:tcW w:w="1697" w:type="pct"/>
                <w:tcBorders>
                  <w:top w:val="single" w:sz="6" w:space="0" w:color="auto"/>
                  <w:left w:val="single" w:sz="6" w:space="0" w:color="auto"/>
                  <w:bottom w:val="single" w:sz="6" w:space="0" w:color="auto"/>
                  <w:right w:val="single" w:sz="6" w:space="0" w:color="auto"/>
                </w:tcBorders>
              </w:tcPr>
              <w:p w14:paraId="3BDE0D7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115,372.66</w:t>
                </w:r>
              </w:p>
            </w:tc>
          </w:tr>
          <w:tr w:rsidR="00D21C1F" w:rsidRPr="00F72EBF" w14:paraId="49BE3857" w14:textId="77777777">
            <w:sdt>
              <w:sdtPr>
                <w:rPr>
                  <w:rFonts w:ascii="Times New Roman" w:hAnsi="Times New Roman" w:cs="Times New Roman"/>
                </w:rPr>
                <w:tag w:val="_PLD_8cf16cf7ff9548dc8b24e9b30e22cdcc"/>
                <w:id w:val="-83059678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2D4D4515"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14:paraId="08600CE0"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91,359.46</w:t>
                </w:r>
              </w:p>
            </w:tc>
            <w:tc>
              <w:tcPr>
                <w:tcW w:w="1697" w:type="pct"/>
                <w:tcBorders>
                  <w:top w:val="single" w:sz="6" w:space="0" w:color="auto"/>
                  <w:left w:val="single" w:sz="6" w:space="0" w:color="auto"/>
                  <w:bottom w:val="single" w:sz="6" w:space="0" w:color="auto"/>
                  <w:right w:val="single" w:sz="6" w:space="0" w:color="auto"/>
                </w:tcBorders>
              </w:tcPr>
              <w:p w14:paraId="67DAA37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156,982.50</w:t>
                </w:r>
              </w:p>
            </w:tc>
          </w:tr>
          <w:tr w:rsidR="00D21C1F" w:rsidRPr="00F72EBF" w14:paraId="250A1C8D" w14:textId="77777777">
            <w:sdt>
              <w:sdtPr>
                <w:rPr>
                  <w:rFonts w:ascii="Times New Roman" w:hAnsi="Times New Roman" w:cs="Times New Roman"/>
                </w:rPr>
                <w:tag w:val="_PLD_a93da99d2b574d26b1c4d61b4ee79236"/>
                <w:id w:val="-152624734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21844437"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14:paraId="6A39A6F4"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39,154.06</w:t>
                </w:r>
              </w:p>
            </w:tc>
            <w:tc>
              <w:tcPr>
                <w:tcW w:w="1697" w:type="pct"/>
                <w:tcBorders>
                  <w:top w:val="single" w:sz="6" w:space="0" w:color="auto"/>
                  <w:left w:val="single" w:sz="6" w:space="0" w:color="auto"/>
                  <w:bottom w:val="single" w:sz="6" w:space="0" w:color="auto"/>
                  <w:right w:val="single" w:sz="6" w:space="0" w:color="auto"/>
                </w:tcBorders>
              </w:tcPr>
              <w:p w14:paraId="40C6C89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67,280.37</w:t>
                </w:r>
              </w:p>
            </w:tc>
          </w:tr>
          <w:sdt>
            <w:sdtPr>
              <w:rPr>
                <w:rFonts w:ascii="Times New Roman" w:hAnsi="Times New Roman" w:cs="Times New Roman"/>
                <w:szCs w:val="21"/>
              </w:rPr>
              <w:alias w:val="税金及附加明细"/>
              <w:tag w:val="_GBC_ec40da632a7e4b998c9f045c23f7af1b"/>
              <w:id w:val="1885130909"/>
              <w:lock w:val="sdtLocked"/>
            </w:sdtPr>
            <w:sdtEndPr/>
            <w:sdtContent>
              <w:tr w:rsidR="00D21C1F" w:rsidRPr="00F72EBF" w14:paraId="314B43E9" w14:textId="77777777">
                <w:tc>
                  <w:tcPr>
                    <w:tcW w:w="1606" w:type="pct"/>
                    <w:tcBorders>
                      <w:top w:val="single" w:sz="6" w:space="0" w:color="auto"/>
                      <w:left w:val="single" w:sz="6" w:space="0" w:color="auto"/>
                      <w:bottom w:val="single" w:sz="6" w:space="0" w:color="auto"/>
                      <w:right w:val="single" w:sz="6" w:space="0" w:color="auto"/>
                    </w:tcBorders>
                    <w:vAlign w:val="center"/>
                  </w:tcPr>
                  <w:p w14:paraId="0FF622F2"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垃圾税</w:t>
                    </w:r>
                  </w:p>
                </w:tc>
                <w:tc>
                  <w:tcPr>
                    <w:tcW w:w="1697" w:type="pct"/>
                    <w:tcBorders>
                      <w:top w:val="single" w:sz="6" w:space="0" w:color="auto"/>
                      <w:left w:val="single" w:sz="6" w:space="0" w:color="auto"/>
                      <w:bottom w:val="single" w:sz="6" w:space="0" w:color="auto"/>
                      <w:right w:val="single" w:sz="6" w:space="0" w:color="auto"/>
                    </w:tcBorders>
                  </w:tcPr>
                  <w:p w14:paraId="70A74998"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28,421.92</w:t>
                    </w:r>
                  </w:p>
                </w:tc>
                <w:tc>
                  <w:tcPr>
                    <w:tcW w:w="1697" w:type="pct"/>
                    <w:tcBorders>
                      <w:top w:val="single" w:sz="6" w:space="0" w:color="auto"/>
                      <w:left w:val="single" w:sz="6" w:space="0" w:color="auto"/>
                      <w:bottom w:val="single" w:sz="6" w:space="0" w:color="auto"/>
                      <w:right w:val="single" w:sz="6" w:space="0" w:color="auto"/>
                    </w:tcBorders>
                  </w:tcPr>
                  <w:p w14:paraId="5CBF487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28,574.99</w:t>
                    </w:r>
                  </w:p>
                </w:tc>
              </w:tr>
            </w:sdtContent>
          </w:sdt>
          <w:sdt>
            <w:sdtPr>
              <w:rPr>
                <w:rFonts w:ascii="Times New Roman" w:hAnsi="Times New Roman" w:cs="Times New Roman"/>
                <w:szCs w:val="21"/>
              </w:rPr>
              <w:alias w:val="税金及附加明细"/>
              <w:tag w:val="_GBC_ec40da632a7e4b998c9f045c23f7af1b"/>
              <w:id w:val="1919129686"/>
              <w:lock w:val="sdtLocked"/>
            </w:sdtPr>
            <w:sdtEndPr/>
            <w:sdtContent>
              <w:tr w:rsidR="00D21C1F" w:rsidRPr="00F72EBF" w14:paraId="2412D9B0" w14:textId="77777777">
                <w:tc>
                  <w:tcPr>
                    <w:tcW w:w="1606" w:type="pct"/>
                    <w:tcBorders>
                      <w:top w:val="single" w:sz="6" w:space="0" w:color="auto"/>
                      <w:left w:val="single" w:sz="6" w:space="0" w:color="auto"/>
                      <w:bottom w:val="single" w:sz="6" w:space="0" w:color="auto"/>
                      <w:right w:val="single" w:sz="6" w:space="0" w:color="auto"/>
                    </w:tcBorders>
                    <w:vAlign w:val="center"/>
                  </w:tcPr>
                  <w:p w14:paraId="2F791D35"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地方教育附加</w:t>
                    </w:r>
                  </w:p>
                </w:tc>
                <w:tc>
                  <w:tcPr>
                    <w:tcW w:w="1697" w:type="pct"/>
                    <w:tcBorders>
                      <w:top w:val="single" w:sz="6" w:space="0" w:color="auto"/>
                      <w:left w:val="single" w:sz="6" w:space="0" w:color="auto"/>
                      <w:bottom w:val="single" w:sz="6" w:space="0" w:color="auto"/>
                      <w:right w:val="single" w:sz="6" w:space="0" w:color="auto"/>
                    </w:tcBorders>
                  </w:tcPr>
                  <w:p w14:paraId="546252BE"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26,102.70</w:t>
                    </w:r>
                  </w:p>
                </w:tc>
                <w:tc>
                  <w:tcPr>
                    <w:tcW w:w="1697" w:type="pct"/>
                    <w:tcBorders>
                      <w:top w:val="single" w:sz="6" w:space="0" w:color="auto"/>
                      <w:left w:val="single" w:sz="6" w:space="0" w:color="auto"/>
                      <w:bottom w:val="single" w:sz="6" w:space="0" w:color="auto"/>
                      <w:right w:val="single" w:sz="6" w:space="0" w:color="auto"/>
                    </w:tcBorders>
                  </w:tcPr>
                  <w:p w14:paraId="5B0D30B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44,849.99</w:t>
                    </w:r>
                  </w:p>
                </w:tc>
              </w:tr>
            </w:sdtContent>
          </w:sdt>
          <w:sdt>
            <w:sdtPr>
              <w:rPr>
                <w:rFonts w:ascii="Times New Roman" w:hAnsi="Times New Roman" w:cs="Times New Roman"/>
                <w:szCs w:val="21"/>
              </w:rPr>
              <w:alias w:val="税金及附加明细"/>
              <w:tag w:val="_GBC_ec40da632a7e4b998c9f045c23f7af1b"/>
              <w:id w:val="2067832871"/>
              <w:lock w:val="sdtLocked"/>
            </w:sdtPr>
            <w:sdtEndPr/>
            <w:sdtContent>
              <w:tr w:rsidR="00D21C1F" w:rsidRPr="00F72EBF" w14:paraId="76C352E2" w14:textId="77777777">
                <w:tc>
                  <w:tcPr>
                    <w:tcW w:w="1606" w:type="pct"/>
                    <w:tcBorders>
                      <w:top w:val="single" w:sz="6" w:space="0" w:color="auto"/>
                      <w:left w:val="single" w:sz="6" w:space="0" w:color="auto"/>
                      <w:bottom w:val="single" w:sz="6" w:space="0" w:color="auto"/>
                      <w:right w:val="single" w:sz="6" w:space="0" w:color="auto"/>
                    </w:tcBorders>
                    <w:vAlign w:val="center"/>
                  </w:tcPr>
                  <w:p w14:paraId="0235FC6C" w14:textId="77777777" w:rsidR="00D21C1F" w:rsidRPr="00F72EBF" w:rsidRDefault="00A42880">
                    <w:pPr>
                      <w:autoSpaceDE w:val="0"/>
                      <w:autoSpaceDN w:val="0"/>
                      <w:adjustRightInd w:val="0"/>
                      <w:snapToGrid w:val="0"/>
                      <w:spacing w:line="240" w:lineRule="atLeast"/>
                      <w:rPr>
                        <w:rFonts w:ascii="Times New Roman" w:hAnsi="Times New Roman" w:cs="Times New Roman"/>
                        <w:szCs w:val="21"/>
                      </w:rPr>
                    </w:pPr>
                    <w:r w:rsidRPr="00F72EBF">
                      <w:rPr>
                        <w:rFonts w:ascii="Times New Roman" w:hAnsi="Times New Roman" w:cs="Times New Roman"/>
                      </w:rPr>
                      <w:t>其他</w:t>
                    </w:r>
                  </w:p>
                </w:tc>
                <w:tc>
                  <w:tcPr>
                    <w:tcW w:w="1697" w:type="pct"/>
                    <w:tcBorders>
                      <w:top w:val="single" w:sz="6" w:space="0" w:color="auto"/>
                      <w:left w:val="single" w:sz="6" w:space="0" w:color="auto"/>
                      <w:bottom w:val="single" w:sz="6" w:space="0" w:color="auto"/>
                      <w:right w:val="single" w:sz="6" w:space="0" w:color="auto"/>
                    </w:tcBorders>
                  </w:tcPr>
                  <w:p w14:paraId="6C2179A6"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360,795.24</w:t>
                    </w:r>
                  </w:p>
                </w:tc>
                <w:tc>
                  <w:tcPr>
                    <w:tcW w:w="1697" w:type="pct"/>
                    <w:tcBorders>
                      <w:top w:val="single" w:sz="6" w:space="0" w:color="auto"/>
                      <w:left w:val="single" w:sz="6" w:space="0" w:color="auto"/>
                      <w:bottom w:val="single" w:sz="6" w:space="0" w:color="auto"/>
                      <w:right w:val="single" w:sz="6" w:space="0" w:color="auto"/>
                    </w:tcBorders>
                  </w:tcPr>
                  <w:p w14:paraId="5B44BAE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408,861.80</w:t>
                    </w:r>
                  </w:p>
                </w:tc>
              </w:tr>
            </w:sdtContent>
          </w:sdt>
          <w:tr w:rsidR="00D21C1F" w:rsidRPr="00F72EBF" w14:paraId="797E4000" w14:textId="77777777">
            <w:sdt>
              <w:sdtPr>
                <w:rPr>
                  <w:rFonts w:ascii="Times New Roman" w:hAnsi="Times New Roman" w:cs="Times New Roman"/>
                </w:rPr>
                <w:tag w:val="_PLD_447085d4b34d4e7e8574b5b78f65bf27"/>
                <w:id w:val="150816852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3E4FAAED" w14:textId="77777777" w:rsidR="00D21C1F" w:rsidRPr="00F72EBF" w:rsidRDefault="00A42880">
                    <w:pPr>
                      <w:autoSpaceDE w:val="0"/>
                      <w:autoSpaceDN w:val="0"/>
                      <w:adjustRightInd w:val="0"/>
                      <w:snapToGrid w:val="0"/>
                      <w:spacing w:line="240" w:lineRule="atLeast"/>
                      <w:jc w:val="center"/>
                      <w:rPr>
                        <w:rFonts w:ascii="Times New Roman" w:hAnsi="Times New Roman" w:cs="Times New Roman"/>
                        <w:szCs w:val="21"/>
                      </w:rPr>
                    </w:pPr>
                    <w:r w:rsidRPr="00F72EBF">
                      <w:rPr>
                        <w:rFonts w:ascii="Times New Roman" w:hAnsi="Times New Roman" w:cs="Times New Roman"/>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14:paraId="115D25A2" w14:textId="77777777" w:rsidR="00D21C1F" w:rsidRPr="00F72EBF" w:rsidRDefault="00A42880">
                <w:pPr>
                  <w:autoSpaceDE w:val="0"/>
                  <w:autoSpaceDN w:val="0"/>
                  <w:adjustRightInd w:val="0"/>
                  <w:snapToGrid w:val="0"/>
                  <w:spacing w:line="240" w:lineRule="atLeast"/>
                  <w:jc w:val="right"/>
                  <w:rPr>
                    <w:rFonts w:ascii="Times New Roman" w:hAnsi="Times New Roman" w:cs="Times New Roman"/>
                    <w:szCs w:val="21"/>
                  </w:rPr>
                </w:pPr>
                <w:r w:rsidRPr="00F72EBF">
                  <w:rPr>
                    <w:rFonts w:ascii="Times New Roman" w:hAnsi="Times New Roman" w:cs="Times New Roman"/>
                  </w:rPr>
                  <w:t>2,415,251.72</w:t>
                </w:r>
              </w:p>
            </w:tc>
            <w:tc>
              <w:tcPr>
                <w:tcW w:w="1697" w:type="pct"/>
                <w:tcBorders>
                  <w:top w:val="single" w:sz="6" w:space="0" w:color="auto"/>
                  <w:left w:val="single" w:sz="6" w:space="0" w:color="auto"/>
                  <w:bottom w:val="single" w:sz="6" w:space="0" w:color="auto"/>
                  <w:right w:val="single" w:sz="6" w:space="0" w:color="auto"/>
                </w:tcBorders>
              </w:tcPr>
              <w:p w14:paraId="3D79820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2,193,811.89</w:t>
                </w:r>
              </w:p>
            </w:tc>
          </w:tr>
        </w:tbl>
        <w:p w14:paraId="7B6A2AB2" w14:textId="77777777" w:rsidR="00D21C1F" w:rsidRPr="00F72EBF" w:rsidRDefault="00A42880">
          <w:pPr>
            <w:spacing w:before="60" w:after="60"/>
            <w:rPr>
              <w:rFonts w:ascii="Times New Roman" w:hAnsi="Times New Roman" w:cs="Times New Roman"/>
              <w:szCs w:val="21"/>
            </w:rPr>
          </w:pPr>
          <w:r w:rsidRPr="00F72EBF">
            <w:rPr>
              <w:rFonts w:ascii="Times New Roman" w:hAnsi="Times New Roman" w:cs="Times New Roman"/>
              <w:szCs w:val="21"/>
            </w:rPr>
            <w:t>其他说明：</w:t>
          </w:r>
        </w:p>
        <w:sdt>
          <w:sdtPr>
            <w:rPr>
              <w:rFonts w:ascii="Times New Roman" w:hAnsi="Times New Roman" w:cs="Times New Roman"/>
              <w:szCs w:val="21"/>
            </w:rPr>
            <w:alias w:val="税金及附加说明"/>
            <w:tag w:val="_GBC_f78e413320ad4d20a3dab91dff935491"/>
            <w:id w:val="146491453"/>
            <w:lock w:val="sdtLocked"/>
            <w:placeholder>
              <w:docPart w:val="GBC22222222222222222222222222222"/>
            </w:placeholder>
          </w:sdtPr>
          <w:sdtEndPr/>
          <w:sdtContent>
            <w:p w14:paraId="32F4E1AE"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无</w:t>
              </w:r>
            </w:p>
          </w:sdtContent>
        </w:sdt>
      </w:sdtContent>
    </w:sdt>
    <w:p w14:paraId="7782A327" w14:textId="77777777" w:rsidR="00D21C1F" w:rsidRDefault="00D21C1F">
      <w:pPr>
        <w:rPr>
          <w:szCs w:val="21"/>
        </w:rPr>
      </w:pPr>
    </w:p>
    <w:sdt>
      <w:sdtPr>
        <w:rPr>
          <w:rFonts w:ascii="Times New Roman" w:eastAsia="宋体" w:hAnsi="Times New Roman" w:cs="宋体"/>
          <w:b w:val="0"/>
          <w:bCs w:val="0"/>
          <w:kern w:val="0"/>
          <w:szCs w:val="21"/>
        </w:rPr>
        <w:alias w:val="模块:成本费用"/>
        <w:tag w:val="_GBC_3faa14b862dd44e8a54b6137b70adace"/>
        <w:id w:val="-727455614"/>
        <w:lock w:val="sdtLocked"/>
        <w:placeholder>
          <w:docPart w:val="GBC22222222222222222222222222222"/>
        </w:placeholder>
      </w:sdtPr>
      <w:sdtEndPr>
        <w:rPr>
          <w:kern w:val="2"/>
        </w:rPr>
      </w:sdtEndPr>
      <w:sdtContent>
        <w:p w14:paraId="69BA124A" w14:textId="77777777" w:rsidR="00D21C1F" w:rsidRPr="00F72EBF" w:rsidRDefault="00A42880">
          <w:pPr>
            <w:pStyle w:val="94"/>
            <w:numPr>
              <w:ilvl w:val="0"/>
              <w:numId w:val="95"/>
            </w:numPr>
            <w:tabs>
              <w:tab w:val="left" w:pos="504"/>
            </w:tabs>
            <w:rPr>
              <w:rFonts w:ascii="Times New Roman" w:hAnsi="Times New Roman"/>
              <w:bCs w:val="0"/>
              <w:kern w:val="0"/>
              <w:szCs w:val="21"/>
            </w:rPr>
          </w:pPr>
          <w:r w:rsidRPr="00F72EBF">
            <w:rPr>
              <w:rFonts w:ascii="Times New Roman" w:hAnsi="Times New Roman"/>
              <w:bCs w:val="0"/>
              <w:kern w:val="0"/>
              <w:szCs w:val="21"/>
            </w:rPr>
            <w:t>销售费用</w:t>
          </w:r>
        </w:p>
        <w:sdt>
          <w:sdtPr>
            <w:rPr>
              <w:rFonts w:ascii="Times New Roman" w:hAnsi="Times New Roman" w:cs="Times New Roman"/>
            </w:rPr>
            <w:alias w:val="是否适用：销售费用[双击切换]"/>
            <w:tag w:val="_GBC_5302d6af48674660a2279c7c8a87bb8c"/>
            <w:id w:val="36018973"/>
            <w:lock w:val="sdtLocked"/>
            <w:placeholder>
              <w:docPart w:val="GBC22222222222222222222222222222"/>
            </w:placeholder>
          </w:sdtPr>
          <w:sdtEndPr/>
          <w:sdtContent>
            <w:p w14:paraId="225C9C4B"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55E4A2F1" w14:textId="77777777" w:rsidR="00D21C1F" w:rsidRPr="00F72EBF" w:rsidRDefault="00A42880">
          <w:pPr>
            <w:pStyle w:val="67"/>
            <w:ind w:firstLineChars="0" w:firstLine="0"/>
            <w:jc w:val="right"/>
            <w:rPr>
              <w:rFonts w:ascii="Times New Roman" w:hAnsi="Times New Roman"/>
              <w:szCs w:val="21"/>
            </w:rPr>
          </w:pPr>
          <w:r w:rsidRPr="00F72EBF">
            <w:rPr>
              <w:rFonts w:ascii="Times New Roman" w:hAnsi="Times New Roman"/>
              <w:szCs w:val="21"/>
            </w:rPr>
            <w:t>单位：</w:t>
          </w:r>
          <w:sdt>
            <w:sdtPr>
              <w:rPr>
                <w:rFonts w:ascii="Times New Roman" w:hAnsi="Times New Roman"/>
                <w:szCs w:val="21"/>
              </w:rPr>
              <w:alias w:val="单位：销售费用"/>
              <w:tag w:val="_GBC_893203a5a3df44649aef388407d22c68"/>
              <w:id w:val="3550851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szCs w:val="21"/>
                </w:rPr>
                <w:t>元</w:t>
              </w:r>
            </w:sdtContent>
          </w:sdt>
          <w:r w:rsidRPr="00F72EBF">
            <w:rPr>
              <w:rFonts w:ascii="Times New Roman" w:hAnsi="Times New Roman"/>
              <w:szCs w:val="21"/>
            </w:rPr>
            <w:t>币种：</w:t>
          </w:r>
          <w:sdt>
            <w:sdtPr>
              <w:rPr>
                <w:rFonts w:ascii="Times New Roman" w:hAnsi="Times New Roman"/>
                <w:szCs w:val="21"/>
              </w:rPr>
              <w:alias w:val="币种：销售费用"/>
              <w:tag w:val="_GBC_4954a9fca98d4f279270fb28f987aa6f"/>
              <w:id w:val="-679507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626"/>
            <w:gridCol w:w="2359"/>
          </w:tblGrid>
          <w:tr w:rsidR="00D21C1F" w:rsidRPr="00F72EBF" w14:paraId="2CCC845C" w14:textId="77777777">
            <w:sdt>
              <w:sdtPr>
                <w:rPr>
                  <w:rFonts w:ascii="Times New Roman" w:hAnsi="Times New Roman" w:cs="Times New Roman"/>
                </w:rPr>
                <w:tag w:val="_PLD_16c47970a3b145c98f438f3cb34ff636"/>
                <w:id w:val="-626471807"/>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F4BCC25"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项目</w:t>
                    </w:r>
                  </w:p>
                </w:tc>
              </w:sdtContent>
            </w:sdt>
            <w:sdt>
              <w:sdtPr>
                <w:rPr>
                  <w:rFonts w:ascii="Times New Roman" w:hAnsi="Times New Roman" w:cs="Times New Roman"/>
                </w:rPr>
                <w:tag w:val="_PLD_b3ce435531054240b373e649bc9ae7a1"/>
                <w:id w:val="-692536698"/>
                <w:lock w:val="sdtLocked"/>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9E3840D"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本期发生额</w:t>
                    </w:r>
                  </w:p>
                </w:tc>
              </w:sdtContent>
            </w:sdt>
            <w:sdt>
              <w:sdtPr>
                <w:rPr>
                  <w:rFonts w:ascii="Times New Roman" w:hAnsi="Times New Roman" w:cs="Times New Roman"/>
                </w:rPr>
                <w:tag w:val="_PLD_9480cd5806624557b975b5d0ce06575b"/>
                <w:id w:val="446816666"/>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084DD40C"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上期发生额</w:t>
                    </w:r>
                  </w:p>
                </w:tc>
              </w:sdtContent>
            </w:sdt>
          </w:tr>
          <w:sdt>
            <w:sdtPr>
              <w:rPr>
                <w:rFonts w:ascii="Times New Roman" w:hAnsi="Times New Roman" w:cs="Times New Roman"/>
                <w:szCs w:val="21"/>
              </w:rPr>
              <w:alias w:val="销售费用明细"/>
              <w:tag w:val="_GBC_8b0e6f0534ed42879aaed18b46dbec7d"/>
              <w:id w:val="1029841212"/>
              <w:lock w:val="sdtLocked"/>
            </w:sdtPr>
            <w:sdtEndPr/>
            <w:sdtContent>
              <w:tr w:rsidR="00D21C1F" w:rsidRPr="00F72EBF" w14:paraId="207CEDFE"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CFE9982"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职工薪酬</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E53F32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18,967,966.50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5A3303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16,917,031.71</w:t>
                    </w:r>
                  </w:p>
                </w:tc>
              </w:tr>
            </w:sdtContent>
          </w:sdt>
          <w:sdt>
            <w:sdtPr>
              <w:rPr>
                <w:rFonts w:ascii="Times New Roman" w:hAnsi="Times New Roman" w:cs="Times New Roman"/>
                <w:szCs w:val="21"/>
              </w:rPr>
              <w:alias w:val="销售费用明细"/>
              <w:tag w:val="_GBC_8b0e6f0534ed42879aaed18b46dbec7d"/>
              <w:id w:val="1011961688"/>
              <w:lock w:val="sdtLocked"/>
            </w:sdtPr>
            <w:sdtEndPr/>
            <w:sdtContent>
              <w:tr w:rsidR="00D21C1F" w:rsidRPr="00F72EBF" w14:paraId="13D68699"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3C2FE77"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交通差旅费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AA9093A"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1,581,961.34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61D3C26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866,930.18</w:t>
                    </w:r>
                  </w:p>
                </w:tc>
              </w:tr>
            </w:sdtContent>
          </w:sdt>
          <w:sdt>
            <w:sdtPr>
              <w:rPr>
                <w:rFonts w:ascii="Times New Roman" w:hAnsi="Times New Roman" w:cs="Times New Roman"/>
                <w:szCs w:val="21"/>
              </w:rPr>
              <w:alias w:val="销售费用明细"/>
              <w:tag w:val="_GBC_8b0e6f0534ed42879aaed18b46dbec7d"/>
              <w:id w:val="1070620575"/>
              <w:lock w:val="sdtLocked"/>
            </w:sdtPr>
            <w:sdtEndPr/>
            <w:sdtContent>
              <w:tr w:rsidR="00D21C1F" w:rsidRPr="00F72EBF" w14:paraId="0C99808E"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27F65B7F"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车辆费用</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120EEA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583,353.97</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57705C80"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690,080.07</w:t>
                    </w:r>
                  </w:p>
                </w:tc>
              </w:tr>
            </w:sdtContent>
          </w:sdt>
          <w:sdt>
            <w:sdtPr>
              <w:rPr>
                <w:rFonts w:ascii="Times New Roman" w:hAnsi="Times New Roman" w:cs="Times New Roman"/>
                <w:szCs w:val="21"/>
              </w:rPr>
              <w:alias w:val="销售费用明细"/>
              <w:tag w:val="_GBC_8b0e6f0534ed42879aaed18b46dbec7d"/>
              <w:id w:val="-1390259015"/>
              <w:lock w:val="sdtLocked"/>
            </w:sdtPr>
            <w:sdtEndPr/>
            <w:sdtContent>
              <w:tr w:rsidR="00D21C1F" w:rsidRPr="00F72EBF" w14:paraId="3E346BDF"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7E58A32"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售后服务费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BF38C5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3,934,599.48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095C8A5B"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1,121,279.45</w:t>
                    </w:r>
                  </w:p>
                </w:tc>
              </w:tr>
            </w:sdtContent>
          </w:sdt>
          <w:sdt>
            <w:sdtPr>
              <w:rPr>
                <w:rFonts w:ascii="Times New Roman" w:hAnsi="Times New Roman" w:cs="Times New Roman"/>
                <w:szCs w:val="21"/>
              </w:rPr>
              <w:alias w:val="销售费用明细"/>
              <w:tag w:val="_GBC_8b0e6f0534ed42879aaed18b46dbec7d"/>
              <w:id w:val="-2043972332"/>
              <w:lock w:val="sdtLocked"/>
            </w:sdtPr>
            <w:sdtEndPr/>
            <w:sdtContent>
              <w:tr w:rsidR="00D21C1F" w:rsidRPr="00F72EBF" w14:paraId="531BA82F"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C1B274B"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邮政通讯费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8BF6DEB"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225,951.82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22E8AC0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178,328.50</w:t>
                    </w:r>
                  </w:p>
                </w:tc>
              </w:tr>
            </w:sdtContent>
          </w:sdt>
          <w:sdt>
            <w:sdtPr>
              <w:rPr>
                <w:rFonts w:ascii="Times New Roman" w:hAnsi="Times New Roman" w:cs="Times New Roman"/>
                <w:szCs w:val="21"/>
              </w:rPr>
              <w:alias w:val="销售费用明细"/>
              <w:tag w:val="_GBC_8b0e6f0534ed42879aaed18b46dbec7d"/>
              <w:id w:val="-617834796"/>
              <w:lock w:val="sdtLocked"/>
            </w:sdtPr>
            <w:sdtEndPr/>
            <w:sdtContent>
              <w:tr w:rsidR="00D21C1F" w:rsidRPr="00F72EBF" w14:paraId="3C0B76D4"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670FFCA5"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运输费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B5C4385"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136,025.17</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D972FA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609,256.62</w:t>
                    </w:r>
                  </w:p>
                </w:tc>
              </w:tr>
            </w:sdtContent>
          </w:sdt>
          <w:sdt>
            <w:sdtPr>
              <w:rPr>
                <w:rFonts w:ascii="Times New Roman" w:hAnsi="Times New Roman" w:cs="Times New Roman"/>
                <w:szCs w:val="21"/>
              </w:rPr>
              <w:alias w:val="销售费用明细"/>
              <w:tag w:val="_GBC_8b0e6f0534ed42879aaed18b46dbec7d"/>
              <w:id w:val="-1587229630"/>
              <w:lock w:val="sdtLocked"/>
            </w:sdtPr>
            <w:sdtEndPr/>
            <w:sdtContent>
              <w:tr w:rsidR="00D21C1F" w:rsidRPr="00F72EBF" w14:paraId="40D783D2"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1EDA6B19"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业务宣传费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C4B6DE2"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291,596.56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4C33BB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551,724.63</w:t>
                    </w:r>
                  </w:p>
                </w:tc>
              </w:tr>
            </w:sdtContent>
          </w:sdt>
          <w:sdt>
            <w:sdtPr>
              <w:rPr>
                <w:rFonts w:ascii="Times New Roman" w:hAnsi="Times New Roman" w:cs="Times New Roman"/>
                <w:szCs w:val="21"/>
              </w:rPr>
              <w:alias w:val="销售费用明细"/>
              <w:tag w:val="_GBC_8b0e6f0534ed42879aaed18b46dbec7d"/>
              <w:id w:val="1497385611"/>
              <w:lock w:val="sdtLocked"/>
            </w:sdtPr>
            <w:sdtEndPr/>
            <w:sdtContent>
              <w:tr w:rsidR="00D21C1F" w:rsidRPr="00F72EBF" w14:paraId="5160E998"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26E8F80A"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办公及招待费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2806EE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1,105,063.00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242C450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635,586.21</w:t>
                    </w:r>
                  </w:p>
                </w:tc>
              </w:tr>
            </w:sdtContent>
          </w:sdt>
          <w:sdt>
            <w:sdtPr>
              <w:rPr>
                <w:rFonts w:ascii="Times New Roman" w:hAnsi="Times New Roman" w:cs="Times New Roman"/>
                <w:szCs w:val="21"/>
              </w:rPr>
              <w:alias w:val="销售费用明细"/>
              <w:tag w:val="_GBC_8b0e6f0534ed42879aaed18b46dbec7d"/>
              <w:id w:val="353851480"/>
              <w:lock w:val="sdtLocked"/>
            </w:sdtPr>
            <w:sdtEndPr/>
            <w:sdtContent>
              <w:tr w:rsidR="00D21C1F" w:rsidRPr="00F72EBF" w14:paraId="1DABE7D0"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DEE5413"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技术服务费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B1C06F1"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537,996.22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D42FB3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175,875.03</w:t>
                    </w:r>
                  </w:p>
                </w:tc>
              </w:tr>
            </w:sdtContent>
          </w:sdt>
          <w:sdt>
            <w:sdtPr>
              <w:rPr>
                <w:rFonts w:ascii="Times New Roman" w:hAnsi="Times New Roman" w:cs="Times New Roman"/>
                <w:szCs w:val="21"/>
              </w:rPr>
              <w:alias w:val="销售费用明细"/>
              <w:tag w:val="_GBC_8b0e6f0534ed42879aaed18b46dbec7d"/>
              <w:id w:val="-2144955149"/>
              <w:lock w:val="sdtLocked"/>
            </w:sdtPr>
            <w:sdtEndPr/>
            <w:sdtContent>
              <w:tr w:rsidR="00D21C1F" w:rsidRPr="00F72EBF" w14:paraId="490DDE42"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66E8DBF2"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咨询费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E4AB466"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455,519.46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62F76C9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291,149.60</w:t>
                    </w:r>
                  </w:p>
                </w:tc>
              </w:tr>
            </w:sdtContent>
          </w:sdt>
          <w:sdt>
            <w:sdtPr>
              <w:rPr>
                <w:rFonts w:ascii="Times New Roman" w:hAnsi="Times New Roman" w:cs="Times New Roman"/>
                <w:szCs w:val="21"/>
              </w:rPr>
              <w:alias w:val="销售费用明细"/>
              <w:tag w:val="_GBC_8b0e6f0534ed42879aaed18b46dbec7d"/>
              <w:id w:val="-1892650633"/>
              <w:lock w:val="sdtLocked"/>
            </w:sdtPr>
            <w:sdtEndPr/>
            <w:sdtContent>
              <w:tr w:rsidR="00D21C1F" w:rsidRPr="00F72EBF" w14:paraId="540446D9"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414580E"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销售佣金</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B82CEE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906,555.55</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4484823"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1,040,534.74</w:t>
                    </w:r>
                  </w:p>
                </w:tc>
              </w:tr>
            </w:sdtContent>
          </w:sdt>
          <w:sdt>
            <w:sdtPr>
              <w:rPr>
                <w:rFonts w:ascii="Times New Roman" w:hAnsi="Times New Roman" w:cs="Times New Roman"/>
                <w:szCs w:val="21"/>
              </w:rPr>
              <w:alias w:val="销售费用明细"/>
              <w:tag w:val="_GBC_8b0e6f0534ed42879aaed18b46dbec7d"/>
              <w:id w:val="1059213971"/>
              <w:lock w:val="sdtLocked"/>
            </w:sdtPr>
            <w:sdtEndPr/>
            <w:sdtContent>
              <w:tr w:rsidR="00D21C1F" w:rsidRPr="00F72EBF" w14:paraId="434CCFA0"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431ECE65"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租赁费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FE0D12F"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315,423.93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EC5BF6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397,787.37</w:t>
                    </w:r>
                  </w:p>
                </w:tc>
              </w:tr>
            </w:sdtContent>
          </w:sdt>
          <w:sdt>
            <w:sdtPr>
              <w:rPr>
                <w:rFonts w:ascii="Times New Roman" w:hAnsi="Times New Roman" w:cs="Times New Roman"/>
                <w:szCs w:val="21"/>
              </w:rPr>
              <w:alias w:val="销售费用明细"/>
              <w:tag w:val="_GBC_8b0e6f0534ed42879aaed18b46dbec7d"/>
              <w:id w:val="720632819"/>
              <w:lock w:val="sdtLocked"/>
            </w:sdtPr>
            <w:sdtEndPr/>
            <w:sdtContent>
              <w:tr w:rsidR="00D21C1F" w:rsidRPr="00F72EBF" w14:paraId="7D0B749D"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4C5F49B"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折旧与摊销</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945C316"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143,322.23</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45A08A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97,018.85</w:t>
                    </w:r>
                  </w:p>
                </w:tc>
              </w:tr>
            </w:sdtContent>
          </w:sdt>
          <w:sdt>
            <w:sdtPr>
              <w:rPr>
                <w:rFonts w:ascii="Times New Roman" w:hAnsi="Times New Roman" w:cs="Times New Roman"/>
                <w:szCs w:val="21"/>
              </w:rPr>
              <w:alias w:val="销售费用明细"/>
              <w:tag w:val="_GBC_8b0e6f0534ed42879aaed18b46dbec7d"/>
              <w:id w:val="81263936"/>
              <w:lock w:val="sdtLocked"/>
            </w:sdtPr>
            <w:sdtEndPr/>
            <w:sdtContent>
              <w:tr w:rsidR="00D21C1F" w:rsidRPr="00F72EBF" w14:paraId="7581274D" w14:textId="77777777">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B85ABD6"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21E13E0"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582,380.96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26ED37C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707,716.84</w:t>
                    </w:r>
                  </w:p>
                </w:tc>
              </w:tr>
            </w:sdtContent>
          </w:sdt>
          <w:tr w:rsidR="00D21C1F" w:rsidRPr="00F72EBF" w14:paraId="32D413D2" w14:textId="77777777">
            <w:sdt>
              <w:sdtPr>
                <w:rPr>
                  <w:rFonts w:ascii="Times New Roman" w:hAnsi="Times New Roman" w:cs="Times New Roman"/>
                </w:rPr>
                <w:tag w:val="_PLD_bb83cc20a1fb4ed7973343e471dad9ef"/>
                <w:id w:val="-246045034"/>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6CDB1A6"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4C25371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29,767,716.19</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ABF956B"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24,280,299.80</w:t>
                </w:r>
              </w:p>
            </w:tc>
          </w:tr>
        </w:tbl>
        <w:p w14:paraId="0D0932FD" w14:textId="77777777" w:rsidR="00D21C1F" w:rsidRPr="00F72EBF" w:rsidRDefault="00A42880">
          <w:pPr>
            <w:spacing w:before="60" w:after="60"/>
            <w:rPr>
              <w:rFonts w:ascii="Times New Roman" w:hAnsi="Times New Roman" w:cs="Times New Roman"/>
              <w:szCs w:val="21"/>
            </w:rPr>
          </w:pPr>
          <w:r w:rsidRPr="00F72EBF">
            <w:rPr>
              <w:rFonts w:ascii="Times New Roman" w:hAnsi="Times New Roman" w:cs="Times New Roman"/>
              <w:szCs w:val="21"/>
            </w:rPr>
            <w:t>其他说明：</w:t>
          </w:r>
        </w:p>
        <w:sdt>
          <w:sdtPr>
            <w:rPr>
              <w:rFonts w:ascii="Times New Roman" w:hAnsi="Times New Roman" w:cs="Times New Roman"/>
              <w:szCs w:val="21"/>
            </w:rPr>
            <w:alias w:val="销售费用的其他说明事项"/>
            <w:tag w:val="_GBC_42921bca5478449e9dd3932a8303975a"/>
            <w:id w:val="1016273369"/>
            <w:lock w:val="sdtLocked"/>
            <w:placeholder>
              <w:docPart w:val="GBC22222222222222222222222222222"/>
            </w:placeholder>
          </w:sdtPr>
          <w:sdtEndPr/>
          <w:sdtContent>
            <w:p w14:paraId="34F5C344" w14:textId="77777777" w:rsidR="00D21C1F" w:rsidRDefault="00A42880">
              <w:pPr>
                <w:rPr>
                  <w:szCs w:val="21"/>
                </w:rPr>
              </w:pPr>
              <w:r w:rsidRPr="00F72EBF">
                <w:rPr>
                  <w:rFonts w:ascii="Times New Roman" w:hAnsi="Times New Roman" w:cs="Times New Roman"/>
                  <w:szCs w:val="21"/>
                </w:rPr>
                <w:t>无</w:t>
              </w:r>
            </w:p>
          </w:sdtContent>
        </w:sdt>
      </w:sdtContent>
    </w:sdt>
    <w:p w14:paraId="5350D9C0" w14:textId="77777777" w:rsidR="00D21C1F" w:rsidRDefault="00D21C1F">
      <w:pPr>
        <w:rPr>
          <w:szCs w:val="21"/>
        </w:rPr>
      </w:pPr>
    </w:p>
    <w:sdt>
      <w:sdtPr>
        <w:rPr>
          <w:rFonts w:ascii="Times New Roman" w:eastAsia="宋体" w:hAnsi="Times New Roman" w:cs="宋体"/>
          <w:b w:val="0"/>
          <w:bCs w:val="0"/>
          <w:kern w:val="0"/>
          <w:szCs w:val="21"/>
        </w:rPr>
        <w:alias w:val="模块:管理费用"/>
        <w:tag w:val="_GBC_d5a6283bdea64513980a0cc618e2ec60"/>
        <w:id w:val="-479616147"/>
        <w:lock w:val="sdtLocked"/>
        <w:placeholder>
          <w:docPart w:val="GBC22222222222222222222222222222"/>
        </w:placeholder>
      </w:sdtPr>
      <w:sdtEndPr/>
      <w:sdtContent>
        <w:p w14:paraId="5FBE709E" w14:textId="77777777" w:rsidR="00D21C1F" w:rsidRPr="00F72EBF" w:rsidRDefault="00A42880">
          <w:pPr>
            <w:pStyle w:val="94"/>
            <w:numPr>
              <w:ilvl w:val="0"/>
              <w:numId w:val="95"/>
            </w:numPr>
            <w:tabs>
              <w:tab w:val="left" w:pos="504"/>
            </w:tabs>
            <w:rPr>
              <w:rFonts w:ascii="Times New Roman" w:hAnsi="Times New Roman"/>
              <w:szCs w:val="21"/>
            </w:rPr>
          </w:pPr>
          <w:r w:rsidRPr="00F72EBF">
            <w:rPr>
              <w:rFonts w:ascii="Times New Roman" w:hAnsi="Times New Roman"/>
              <w:szCs w:val="21"/>
            </w:rPr>
            <w:t>管理费用</w:t>
          </w:r>
        </w:p>
        <w:sdt>
          <w:sdtPr>
            <w:rPr>
              <w:rFonts w:ascii="Times New Roman" w:hAnsi="Times New Roman" w:cs="Times New Roman"/>
            </w:rPr>
            <w:alias w:val="是否适用：管理费用[双击切换]"/>
            <w:tag w:val="_GBC_864c9dd9adce435698261f1da02ab8fb"/>
            <w:id w:val="978423465"/>
            <w:lock w:val="sdtLocked"/>
            <w:placeholder>
              <w:docPart w:val="GBC22222222222222222222222222222"/>
            </w:placeholder>
          </w:sdtPr>
          <w:sdtEndPr/>
          <w:sdtContent>
            <w:p w14:paraId="27F33D62"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3986A63A"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单位：</w:t>
          </w:r>
          <w:sdt>
            <w:sdtPr>
              <w:rPr>
                <w:rFonts w:ascii="Times New Roman" w:hAnsi="Times New Roman" w:cs="Times New Roman"/>
              </w:rPr>
              <w:alias w:val="单位：管理费用"/>
              <w:tag w:val="_GBC_b8198aec3f7748d28785c1eebbf02df7"/>
              <w:id w:val="13403419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cs="Times New Roman"/>
                </w:rPr>
                <w:t>元</w:t>
              </w:r>
            </w:sdtContent>
          </w:sdt>
          <w:r w:rsidRPr="00F72EBF">
            <w:rPr>
              <w:rFonts w:ascii="Times New Roman" w:hAnsi="Times New Roman" w:cs="Times New Roman"/>
            </w:rPr>
            <w:t>币种：</w:t>
          </w:r>
          <w:sdt>
            <w:sdtPr>
              <w:rPr>
                <w:rFonts w:ascii="Times New Roman" w:hAnsi="Times New Roman" w:cs="Times New Roman"/>
              </w:rPr>
              <w:alias w:val="币种：管理费用"/>
              <w:tag w:val="_GBC_f92af61f8b3b45ba9ec818ede9725428"/>
              <w:id w:val="2019340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D21C1F" w:rsidRPr="00F72EBF" w14:paraId="2F54128C" w14:textId="77777777">
            <w:sdt>
              <w:sdtPr>
                <w:rPr>
                  <w:rFonts w:ascii="Times New Roman" w:hAnsi="Times New Roman" w:cs="Times New Roman"/>
                </w:rPr>
                <w:tag w:val="_PLD_249fd0c096ba421285089a0fada9d43a"/>
                <w:id w:val="-33431083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7DA3DFCD"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项目</w:t>
                    </w:r>
                  </w:p>
                </w:tc>
              </w:sdtContent>
            </w:sdt>
            <w:sdt>
              <w:sdtPr>
                <w:rPr>
                  <w:rFonts w:ascii="Times New Roman" w:hAnsi="Times New Roman" w:cs="Times New Roman"/>
                </w:rPr>
                <w:tag w:val="_PLD_acf5bcbf929244268be56ad5d0f3ea18"/>
                <w:id w:val="203507330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2CDA86C"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本期发生额</w:t>
                    </w:r>
                  </w:p>
                </w:tc>
              </w:sdtContent>
            </w:sdt>
            <w:sdt>
              <w:sdtPr>
                <w:rPr>
                  <w:rFonts w:ascii="Times New Roman" w:hAnsi="Times New Roman" w:cs="Times New Roman"/>
                </w:rPr>
                <w:tag w:val="_PLD_d37d8a59d4d74c26ac22dc33983efa29"/>
                <w:id w:val="75178413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6C2EEE7"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上期发生额</w:t>
                    </w:r>
                  </w:p>
                </w:tc>
              </w:sdtContent>
            </w:sdt>
          </w:tr>
          <w:sdt>
            <w:sdtPr>
              <w:rPr>
                <w:rFonts w:ascii="Times New Roman" w:eastAsia="宋体" w:hAnsi="Times New Roman" w:cs="Times New Roman"/>
              </w:rPr>
              <w:alias w:val="管理费用明细"/>
              <w:tag w:val="_GBC_1330575ab4a44e46920401d3d7599402"/>
              <w:id w:val="1178548799"/>
              <w:lock w:val="sdtLocked"/>
            </w:sdtPr>
            <w:sdtEndPr/>
            <w:sdtContent>
              <w:tr w:rsidR="00D21C1F" w:rsidRPr="00F72EBF" w14:paraId="0ED82AA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7585DCD"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4134C41"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54,544,353.73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36117BB"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41,418,208.80</w:t>
                    </w:r>
                  </w:p>
                </w:tc>
              </w:tr>
            </w:sdtContent>
          </w:sdt>
          <w:sdt>
            <w:sdtPr>
              <w:rPr>
                <w:rFonts w:ascii="Times New Roman" w:eastAsia="宋体" w:hAnsi="Times New Roman" w:cs="Times New Roman"/>
              </w:rPr>
              <w:alias w:val="管理费用明细"/>
              <w:tag w:val="_GBC_1330575ab4a44e46920401d3d7599402"/>
              <w:id w:val="-666013052"/>
              <w:lock w:val="sdtLocked"/>
            </w:sdtPr>
            <w:sdtEndPr/>
            <w:sdtContent>
              <w:tr w:rsidR="00D21C1F" w:rsidRPr="00F72EBF" w14:paraId="792D140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E98B69"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B95F1D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15,675,697.88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26BB5E0"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17,824,088.64</w:t>
                    </w:r>
                  </w:p>
                </w:tc>
              </w:tr>
            </w:sdtContent>
          </w:sdt>
          <w:sdt>
            <w:sdtPr>
              <w:rPr>
                <w:rFonts w:ascii="Times New Roman" w:eastAsia="宋体" w:hAnsi="Times New Roman" w:cs="Times New Roman"/>
              </w:rPr>
              <w:alias w:val="管理费用明细"/>
              <w:tag w:val="_GBC_1330575ab4a44e46920401d3d7599402"/>
              <w:id w:val="2079020213"/>
              <w:lock w:val="sdtLocked"/>
            </w:sdtPr>
            <w:sdtEndPr/>
            <w:sdtContent>
              <w:tr w:rsidR="00D21C1F" w:rsidRPr="00F72EBF" w14:paraId="66E0C8D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165956D"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股份支付费用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1225B60"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7,246,840.00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E18577A"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10,109,808.29</w:t>
                    </w:r>
                  </w:p>
                </w:tc>
              </w:tr>
            </w:sdtContent>
          </w:sdt>
          <w:sdt>
            <w:sdtPr>
              <w:rPr>
                <w:rFonts w:ascii="Times New Roman" w:eastAsia="宋体" w:hAnsi="Times New Roman" w:cs="Times New Roman"/>
              </w:rPr>
              <w:alias w:val="管理费用明细"/>
              <w:tag w:val="_GBC_1330575ab4a44e46920401d3d7599402"/>
              <w:id w:val="9727888"/>
              <w:lock w:val="sdtLocked"/>
            </w:sdtPr>
            <w:sdtEndPr/>
            <w:sdtContent>
              <w:tr w:rsidR="00D21C1F" w:rsidRPr="00F72EBF" w14:paraId="258D79B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8860B64"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中介机构费用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96FDE03"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9,411,005.23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3A4D50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9,829,015.50</w:t>
                    </w:r>
                  </w:p>
                </w:tc>
              </w:tr>
            </w:sdtContent>
          </w:sdt>
          <w:sdt>
            <w:sdtPr>
              <w:rPr>
                <w:rFonts w:ascii="Times New Roman" w:eastAsia="宋体" w:hAnsi="Times New Roman" w:cs="Times New Roman"/>
              </w:rPr>
              <w:alias w:val="管理费用明细"/>
              <w:tag w:val="_GBC_1330575ab4a44e46920401d3d7599402"/>
              <w:id w:val="1399556380"/>
              <w:lock w:val="sdtLocked"/>
            </w:sdtPr>
            <w:sdtEndPr/>
            <w:sdtContent>
              <w:tr w:rsidR="00D21C1F" w:rsidRPr="00F72EBF" w14:paraId="53D95BA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F83F55E"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68E95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660,381.98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7CCB8C7"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619,724.53</w:t>
                    </w:r>
                  </w:p>
                </w:tc>
              </w:tr>
            </w:sdtContent>
          </w:sdt>
          <w:sdt>
            <w:sdtPr>
              <w:rPr>
                <w:rFonts w:ascii="Times New Roman" w:eastAsia="宋体" w:hAnsi="Times New Roman" w:cs="Times New Roman"/>
              </w:rPr>
              <w:alias w:val="管理费用明细"/>
              <w:tag w:val="_GBC_1330575ab4a44e46920401d3d7599402"/>
              <w:id w:val="1320771064"/>
              <w:lock w:val="sdtLocked"/>
            </w:sdtPr>
            <w:sdtEndPr/>
            <w:sdtContent>
              <w:tr w:rsidR="00D21C1F" w:rsidRPr="00F72EBF" w14:paraId="630C913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49EA3DC"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501089C"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1,638,816.60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3B432C4"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2,307,046.49</w:t>
                    </w:r>
                  </w:p>
                </w:tc>
              </w:tr>
            </w:sdtContent>
          </w:sdt>
          <w:sdt>
            <w:sdtPr>
              <w:rPr>
                <w:rFonts w:ascii="Times New Roman" w:eastAsia="宋体" w:hAnsi="Times New Roman" w:cs="Times New Roman"/>
              </w:rPr>
              <w:alias w:val="管理费用明细"/>
              <w:tag w:val="_GBC_1330575ab4a44e46920401d3d7599402"/>
              <w:id w:val="1282082901"/>
              <w:lock w:val="sdtLocked"/>
            </w:sdtPr>
            <w:sdtEndPr/>
            <w:sdtContent>
              <w:tr w:rsidR="00D21C1F" w:rsidRPr="00F72EBF" w14:paraId="5E82E2E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42B1F13"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劳务费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5541C0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253.69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6C429C2"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306,910.73</w:t>
                    </w:r>
                  </w:p>
                </w:tc>
              </w:tr>
            </w:sdtContent>
          </w:sdt>
          <w:sdt>
            <w:sdtPr>
              <w:rPr>
                <w:rFonts w:ascii="Times New Roman" w:eastAsia="宋体" w:hAnsi="Times New Roman" w:cs="Times New Roman"/>
              </w:rPr>
              <w:alias w:val="管理费用明细"/>
              <w:tag w:val="_GBC_1330575ab4a44e46920401d3d7599402"/>
              <w:id w:val="-51466903"/>
              <w:lock w:val="sdtLocked"/>
            </w:sdtPr>
            <w:sdtEndPr/>
            <w:sdtContent>
              <w:tr w:rsidR="00D21C1F" w:rsidRPr="00F72EBF" w14:paraId="72371CF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E4863DB"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A2BA68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813,900.31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7A00D9E"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2,475,847.55</w:t>
                    </w:r>
                  </w:p>
                </w:tc>
              </w:tr>
            </w:sdtContent>
          </w:sdt>
          <w:sdt>
            <w:sdtPr>
              <w:rPr>
                <w:rFonts w:ascii="Times New Roman" w:eastAsia="宋体" w:hAnsi="Times New Roman" w:cs="Times New Roman"/>
              </w:rPr>
              <w:alias w:val="管理费用明细"/>
              <w:tag w:val="_GBC_1330575ab4a44e46920401d3d7599402"/>
              <w:id w:val="-123922990"/>
              <w:lock w:val="sdtLocked"/>
            </w:sdtPr>
            <w:sdtEndPr/>
            <w:sdtContent>
              <w:tr w:rsidR="00D21C1F" w:rsidRPr="00F72EBF" w14:paraId="34C2769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75E52BF"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办公及招待费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899335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784,301.04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53752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1,327,079.19</w:t>
                    </w:r>
                  </w:p>
                </w:tc>
              </w:tr>
            </w:sdtContent>
          </w:sdt>
          <w:sdt>
            <w:sdtPr>
              <w:rPr>
                <w:rFonts w:ascii="Times New Roman" w:eastAsia="宋体" w:hAnsi="Times New Roman" w:cs="Times New Roman"/>
              </w:rPr>
              <w:alias w:val="管理费用明细"/>
              <w:tag w:val="_GBC_1330575ab4a44e46920401d3d7599402"/>
              <w:id w:val="1721935061"/>
              <w:lock w:val="sdtLocked"/>
            </w:sdtPr>
            <w:sdtEndPr/>
            <w:sdtContent>
              <w:tr w:rsidR="00D21C1F" w:rsidRPr="00F72EBF" w14:paraId="44A8E85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34C70D3"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交通差旅费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6910CB1"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1,059,498.37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5A0CB6D"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757,806.13</w:t>
                    </w:r>
                  </w:p>
                </w:tc>
              </w:tr>
            </w:sdtContent>
          </w:sdt>
          <w:sdt>
            <w:sdtPr>
              <w:rPr>
                <w:rFonts w:ascii="Times New Roman" w:eastAsia="宋体" w:hAnsi="Times New Roman" w:cs="Times New Roman"/>
              </w:rPr>
              <w:alias w:val="管理费用明细"/>
              <w:tag w:val="_GBC_1330575ab4a44e46920401d3d7599402"/>
              <w:id w:val="-356201614"/>
              <w:lock w:val="sdtLocked"/>
            </w:sdtPr>
            <w:sdtEndPr/>
            <w:sdtContent>
              <w:tr w:rsidR="00D21C1F" w:rsidRPr="00F72EBF" w14:paraId="1349E34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E73AD6"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财产保险费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C8F1AB"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625,878.25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2EC035D"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704,688.43</w:t>
                    </w:r>
                  </w:p>
                </w:tc>
              </w:tr>
            </w:sdtContent>
          </w:sdt>
          <w:sdt>
            <w:sdtPr>
              <w:rPr>
                <w:rFonts w:ascii="Times New Roman" w:eastAsia="宋体" w:hAnsi="Times New Roman" w:cs="Times New Roman"/>
              </w:rPr>
              <w:alias w:val="管理费用明细"/>
              <w:tag w:val="_GBC_1330575ab4a44e46920401d3d7599402"/>
              <w:id w:val="870032128"/>
              <w:lock w:val="sdtLocked"/>
            </w:sdtPr>
            <w:sdtEndPr/>
            <w:sdtContent>
              <w:tr w:rsidR="00D21C1F" w:rsidRPr="00F72EBF" w14:paraId="6502833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9FC746"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邮政通讯费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0AC84AC"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288,394.42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56A95D3"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382,758.08</w:t>
                    </w:r>
                  </w:p>
                </w:tc>
              </w:tr>
            </w:sdtContent>
          </w:sdt>
          <w:sdt>
            <w:sdtPr>
              <w:rPr>
                <w:rFonts w:ascii="Times New Roman" w:eastAsia="宋体" w:hAnsi="Times New Roman" w:cs="Times New Roman"/>
              </w:rPr>
              <w:alias w:val="管理费用明细"/>
              <w:tag w:val="_GBC_1330575ab4a44e46920401d3d7599402"/>
              <w:id w:val="-1755273610"/>
              <w:lock w:val="sdtLocked"/>
            </w:sdtPr>
            <w:sdtEndPr/>
            <w:sdtContent>
              <w:tr w:rsidR="00D21C1F" w:rsidRPr="00F72EBF" w14:paraId="315B73F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C718EDB"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水电燃料费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B823D47"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737,873.49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E759ED6"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645,593.87</w:t>
                    </w:r>
                  </w:p>
                </w:tc>
              </w:tr>
            </w:sdtContent>
          </w:sdt>
          <w:sdt>
            <w:sdtPr>
              <w:rPr>
                <w:rFonts w:ascii="Times New Roman" w:eastAsia="宋体" w:hAnsi="Times New Roman" w:cs="Times New Roman"/>
              </w:rPr>
              <w:alias w:val="管理费用明细"/>
              <w:tag w:val="_GBC_1330575ab4a44e46920401d3d7599402"/>
              <w:id w:val="1326864749"/>
              <w:lock w:val="sdtLocked"/>
            </w:sdtPr>
            <w:sdtEndPr/>
            <w:sdtContent>
              <w:tr w:rsidR="00D21C1F" w:rsidRPr="00F72EBF" w14:paraId="07CFA31F"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7CF798"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133376C"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614,627.15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E1DC5D"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539,659.34</w:t>
                    </w:r>
                  </w:p>
                </w:tc>
              </w:tr>
            </w:sdtContent>
          </w:sdt>
          <w:sdt>
            <w:sdtPr>
              <w:rPr>
                <w:rFonts w:ascii="Times New Roman" w:eastAsia="宋体" w:hAnsi="Times New Roman" w:cs="Times New Roman"/>
              </w:rPr>
              <w:alias w:val="管理费用明细"/>
              <w:tag w:val="_GBC_1330575ab4a44e46920401d3d7599402"/>
              <w:id w:val="39173989"/>
              <w:lock w:val="sdtLocked"/>
            </w:sdtPr>
            <w:sdtEndPr/>
            <w:sdtContent>
              <w:tr w:rsidR="00D21C1F" w:rsidRPr="00F72EBF" w14:paraId="6C0BD15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3B1983E"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培训费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F2A58A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193,599.30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97E3D2"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79,525.90</w:t>
                    </w:r>
                  </w:p>
                </w:tc>
              </w:tr>
            </w:sdtContent>
          </w:sdt>
          <w:sdt>
            <w:sdtPr>
              <w:rPr>
                <w:rFonts w:ascii="Times New Roman" w:eastAsia="宋体" w:hAnsi="Times New Roman" w:cs="Times New Roman"/>
              </w:rPr>
              <w:alias w:val="管理费用明细"/>
              <w:tag w:val="_GBC_1330575ab4a44e46920401d3d7599402"/>
              <w:id w:val="-450932628"/>
              <w:lock w:val="sdtLocked"/>
            </w:sdtPr>
            <w:sdtEndPr/>
            <w:sdtContent>
              <w:tr w:rsidR="00D21C1F" w:rsidRPr="00F72EBF" w14:paraId="399C546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6BFA70"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57354C1"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9,064,547.38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487678C"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4,528,626.36</w:t>
                    </w:r>
                  </w:p>
                </w:tc>
              </w:tr>
            </w:sdtContent>
          </w:sdt>
          <w:tr w:rsidR="00D21C1F" w:rsidRPr="00F72EBF" w14:paraId="43CD86AD" w14:textId="77777777">
            <w:sdt>
              <w:sdtPr>
                <w:rPr>
                  <w:rFonts w:ascii="Times New Roman" w:hAnsi="Times New Roman" w:cs="Times New Roman"/>
                </w:rPr>
                <w:tag w:val="_PLD_a1574943c0c74f868555494c72b6afa6"/>
                <w:id w:val="-153949991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D5DE401"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600E13D"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103,359,968.82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ACDCA0E"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93,856,387.83</w:t>
                </w:r>
              </w:p>
            </w:tc>
          </w:tr>
        </w:tbl>
        <w:p w14:paraId="3EB483F9"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其他说明：</w:t>
          </w:r>
        </w:p>
        <w:sdt>
          <w:sdtPr>
            <w:rPr>
              <w:rFonts w:ascii="Times New Roman" w:hAnsi="Times New Roman" w:cs="Times New Roman"/>
              <w:szCs w:val="21"/>
            </w:rPr>
            <w:alias w:val="管理费用的其他说明事项"/>
            <w:tag w:val="_GBC_2ddba7c397f842b2a457e4f7fe020aca"/>
            <w:id w:val="253407810"/>
            <w:lock w:val="sdtLocked"/>
            <w:placeholder>
              <w:docPart w:val="GBC22222222222222222222222222222"/>
            </w:placeholder>
          </w:sdtPr>
          <w:sdtEndPr/>
          <w:sdtContent>
            <w:p w14:paraId="2E37BB3A"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无</w:t>
              </w:r>
            </w:p>
          </w:sdtContent>
        </w:sdt>
      </w:sdtContent>
    </w:sdt>
    <w:p w14:paraId="2B167CC2" w14:textId="77777777" w:rsidR="00D21C1F" w:rsidRDefault="00D21C1F">
      <w:pPr>
        <w:rPr>
          <w:szCs w:val="21"/>
        </w:rPr>
      </w:pPr>
    </w:p>
    <w:bookmarkStart w:id="283" w:name="_Hlk10538261" w:displacedByCustomXml="next"/>
    <w:sdt>
      <w:sdtPr>
        <w:rPr>
          <w:rFonts w:ascii="Times New Roman" w:eastAsia="宋体" w:hAnsi="Times New Roman" w:cs="宋体"/>
          <w:b w:val="0"/>
          <w:bCs w:val="0"/>
          <w:kern w:val="0"/>
          <w:szCs w:val="21"/>
        </w:rPr>
        <w:alias w:val="模块:研发费用"/>
        <w:tag w:val="_SEC_5070ecc0a0324b189a4ec7d6e218c5d7"/>
        <w:id w:val="1238907045"/>
        <w:lock w:val="sdtLocked"/>
        <w:placeholder>
          <w:docPart w:val="GBC22222222222222222222222222222"/>
        </w:placeholder>
      </w:sdtPr>
      <w:sdtEndPr/>
      <w:sdtContent>
        <w:p w14:paraId="18BCEC68" w14:textId="77777777" w:rsidR="00D21C1F" w:rsidRPr="00F72EBF" w:rsidRDefault="00A42880">
          <w:pPr>
            <w:pStyle w:val="94"/>
            <w:numPr>
              <w:ilvl w:val="0"/>
              <w:numId w:val="95"/>
            </w:numPr>
            <w:tabs>
              <w:tab w:val="left" w:pos="504"/>
            </w:tabs>
            <w:rPr>
              <w:rFonts w:ascii="Times New Roman" w:hAnsi="Times New Roman"/>
              <w:szCs w:val="21"/>
            </w:rPr>
          </w:pPr>
          <w:r w:rsidRPr="00F72EBF">
            <w:rPr>
              <w:rFonts w:ascii="Times New Roman" w:hAnsi="Times New Roman"/>
              <w:szCs w:val="21"/>
            </w:rPr>
            <w:t>研发费用</w:t>
          </w:r>
        </w:p>
        <w:sdt>
          <w:sdtPr>
            <w:rPr>
              <w:rFonts w:ascii="Times New Roman" w:hAnsi="Times New Roman" w:cs="Times New Roman"/>
              <w:szCs w:val="21"/>
            </w:rPr>
            <w:alias w:val="是否适用：研发费用[双击切换]"/>
            <w:tag w:val="_GBC_48b4a6beb6f54c3ba7c01af3727337bb"/>
            <w:id w:val="-127709756"/>
            <w:lock w:val="sdtLocked"/>
            <w:placeholder>
              <w:docPart w:val="GBC22222222222222222222222222222"/>
            </w:placeholder>
          </w:sdtPr>
          <w:sdtEndPr/>
          <w:sdtContent>
            <w:p w14:paraId="22C601AA"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fldChar w:fldCharType="begin"/>
              </w:r>
              <w:r w:rsidRPr="00F72EBF">
                <w:rPr>
                  <w:rFonts w:ascii="Times New Roman" w:hAnsi="Times New Roman" w:cs="Times New Roman"/>
                  <w:szCs w:val="21"/>
                </w:rPr>
                <w:instrText xml:space="preserve"> MACROBUTTON  SnrToggleCheckbox √</w:instrText>
              </w:r>
              <w:r w:rsidRPr="00F72EBF">
                <w:rPr>
                  <w:rFonts w:ascii="Times New Roman" w:hAnsi="Times New Roman" w:cs="Times New Roman"/>
                  <w:szCs w:val="21"/>
                </w:rPr>
                <w:instrText>适用</w:instrText>
              </w:r>
              <w:r w:rsidRPr="00F72EBF">
                <w:rPr>
                  <w:rFonts w:ascii="Times New Roman" w:hAnsi="Times New Roman" w:cs="Times New Roman"/>
                  <w:szCs w:val="21"/>
                </w:rPr>
                <w:instrText xml:space="preserve"> </w:instrText>
              </w:r>
              <w:r w:rsidRPr="00F72EBF">
                <w:rPr>
                  <w:rFonts w:ascii="Times New Roman" w:hAnsi="Times New Roman" w:cs="Times New Roman"/>
                  <w:szCs w:val="21"/>
                </w:rPr>
                <w:fldChar w:fldCharType="end"/>
              </w:r>
              <w:r w:rsidRPr="00F72EBF">
                <w:rPr>
                  <w:rFonts w:ascii="Times New Roman" w:hAnsi="Times New Roman" w:cs="Times New Roman"/>
                  <w:szCs w:val="21"/>
                </w:rPr>
                <w:fldChar w:fldCharType="begin"/>
              </w:r>
              <w:r w:rsidRPr="00F72EBF">
                <w:rPr>
                  <w:rFonts w:ascii="Times New Roman" w:hAnsi="Times New Roman" w:cs="Times New Roman"/>
                  <w:szCs w:val="21"/>
                </w:rPr>
                <w:instrText xml:space="preserve"> MACROBUTTON  SnrToggleCheckbox □</w:instrText>
              </w:r>
              <w:r w:rsidRPr="00F72EBF">
                <w:rPr>
                  <w:rFonts w:ascii="Times New Roman" w:hAnsi="Times New Roman" w:cs="Times New Roman"/>
                  <w:szCs w:val="21"/>
                </w:rPr>
                <w:instrText>不适用</w:instrText>
              </w:r>
              <w:r w:rsidRPr="00F72EBF">
                <w:rPr>
                  <w:rFonts w:ascii="Times New Roman" w:hAnsi="Times New Roman" w:cs="Times New Roman"/>
                  <w:szCs w:val="21"/>
                </w:rPr>
                <w:instrText xml:space="preserve"> </w:instrText>
              </w:r>
              <w:r w:rsidRPr="00F72EBF">
                <w:rPr>
                  <w:rFonts w:ascii="Times New Roman" w:hAnsi="Times New Roman" w:cs="Times New Roman"/>
                  <w:szCs w:val="21"/>
                </w:rPr>
                <w:fldChar w:fldCharType="end"/>
              </w:r>
            </w:p>
          </w:sdtContent>
        </w:sdt>
        <w:p w14:paraId="213A8CDC" w14:textId="77777777" w:rsidR="00D21C1F" w:rsidRPr="00F72EBF" w:rsidRDefault="00A42880">
          <w:pPr>
            <w:pStyle w:val="67"/>
            <w:ind w:left="420" w:firstLineChars="0" w:firstLine="0"/>
            <w:jc w:val="right"/>
            <w:rPr>
              <w:rFonts w:ascii="Times New Roman" w:hAnsi="Times New Roman"/>
              <w:szCs w:val="21"/>
            </w:rPr>
          </w:pPr>
          <w:r w:rsidRPr="00F72EBF">
            <w:rPr>
              <w:rFonts w:ascii="Times New Roman" w:hAnsi="Times New Roman"/>
              <w:szCs w:val="21"/>
            </w:rPr>
            <w:t>单位：</w:t>
          </w:r>
          <w:sdt>
            <w:sdtPr>
              <w:rPr>
                <w:rFonts w:ascii="Times New Roman" w:hAnsi="Times New Roman"/>
                <w:szCs w:val="21"/>
              </w:rPr>
              <w:alias w:val="单位：研发费用"/>
              <w:tag w:val="_GBC_a0292321d82f46b8823ab163b1084fea"/>
              <w:id w:val="-10902313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szCs w:val="21"/>
                </w:rPr>
                <w:t>元</w:t>
              </w:r>
            </w:sdtContent>
          </w:sdt>
          <w:r w:rsidRPr="00F72EBF">
            <w:rPr>
              <w:rFonts w:ascii="Times New Roman" w:hAnsi="Times New Roman"/>
              <w:szCs w:val="21"/>
            </w:rPr>
            <w:t>币种：</w:t>
          </w:r>
          <w:sdt>
            <w:sdtPr>
              <w:rPr>
                <w:rFonts w:ascii="Times New Roman" w:hAnsi="Times New Roman"/>
                <w:szCs w:val="21"/>
              </w:rPr>
              <w:alias w:val="币种：研发费用"/>
              <w:tag w:val="_GBC_a0b2b92cacc24641a2d69fc025b920ea"/>
              <w:id w:val="522050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D21C1F" w:rsidRPr="00F72EBF" w14:paraId="3C3ABF99" w14:textId="77777777">
            <w:sdt>
              <w:sdtPr>
                <w:rPr>
                  <w:rFonts w:ascii="Times New Roman" w:hAnsi="Times New Roman" w:cs="Times New Roman"/>
                </w:rPr>
                <w:tag w:val="_PLD_878c2bf88dff43e8bf48fe187921cf85"/>
                <w:id w:val="109844683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E3A8CF1"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项目</w:t>
                    </w:r>
                  </w:p>
                </w:tc>
              </w:sdtContent>
            </w:sdt>
            <w:sdt>
              <w:sdtPr>
                <w:rPr>
                  <w:rFonts w:ascii="Times New Roman" w:hAnsi="Times New Roman" w:cs="Times New Roman"/>
                </w:rPr>
                <w:tag w:val="_PLD_043e1c3ae76a497c9be9c1eef3db33c6"/>
                <w:id w:val="166134887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73DDC29"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本期发生额</w:t>
                    </w:r>
                  </w:p>
                </w:tc>
              </w:sdtContent>
            </w:sdt>
            <w:sdt>
              <w:sdtPr>
                <w:rPr>
                  <w:rFonts w:ascii="Times New Roman" w:hAnsi="Times New Roman" w:cs="Times New Roman"/>
                </w:rPr>
                <w:tag w:val="_PLD_d0588c88282b4dae9e42d7ffd38d27c6"/>
                <w:id w:val="207462502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B33C5DE"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上期发生额</w:t>
                    </w:r>
                  </w:p>
                </w:tc>
              </w:sdtContent>
            </w:sdt>
          </w:tr>
          <w:sdt>
            <w:sdtPr>
              <w:rPr>
                <w:rFonts w:ascii="Times New Roman" w:hAnsi="Times New Roman" w:cs="Times New Roman"/>
                <w:szCs w:val="21"/>
              </w:rPr>
              <w:alias w:val="研发费用明细"/>
              <w:tag w:val="_TUP_78c47ce77ce942a2a4c5b824fc4daeaa"/>
              <w:id w:val="-2145344254"/>
              <w:lock w:val="sdtLocked"/>
            </w:sdtPr>
            <w:sdtEndPr/>
            <w:sdtContent>
              <w:tr w:rsidR="00D21C1F" w:rsidRPr="00F72EBF" w14:paraId="66A65F9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4D5246E"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FE34D40"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23,456,976.09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E17806A"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13,367,260.50</w:t>
                    </w:r>
                  </w:p>
                </w:tc>
              </w:tr>
            </w:sdtContent>
          </w:sdt>
          <w:sdt>
            <w:sdtPr>
              <w:rPr>
                <w:rFonts w:ascii="Times New Roman" w:hAnsi="Times New Roman" w:cs="Times New Roman"/>
                <w:szCs w:val="21"/>
              </w:rPr>
              <w:alias w:val="研发费用明细"/>
              <w:tag w:val="_TUP_78c47ce77ce942a2a4c5b824fc4daeaa"/>
              <w:id w:val="-1828971526"/>
              <w:lock w:val="sdtLocked"/>
            </w:sdtPr>
            <w:sdtEndPr/>
            <w:sdtContent>
              <w:tr w:rsidR="00D21C1F" w:rsidRPr="00F72EBF" w14:paraId="0E8B19F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7ACF74C"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技术开发费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197EC3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16,484,098.99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C4E9A8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9,049,901.94</w:t>
                    </w:r>
                  </w:p>
                </w:tc>
              </w:tr>
            </w:sdtContent>
          </w:sdt>
          <w:sdt>
            <w:sdtPr>
              <w:rPr>
                <w:rFonts w:ascii="Times New Roman" w:hAnsi="Times New Roman" w:cs="Times New Roman"/>
                <w:szCs w:val="21"/>
              </w:rPr>
              <w:alias w:val="研发费用明细"/>
              <w:tag w:val="_TUP_78c47ce77ce942a2a4c5b824fc4daeaa"/>
              <w:id w:val="-1673714711"/>
              <w:lock w:val="sdtLocked"/>
            </w:sdtPr>
            <w:sdtEndPr/>
            <w:sdtContent>
              <w:tr w:rsidR="00D21C1F" w:rsidRPr="00F72EBF" w14:paraId="0710624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970DCCD"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9D34870"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5,498,583.25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98ED1B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7,378,026.31</w:t>
                    </w:r>
                  </w:p>
                </w:tc>
              </w:tr>
            </w:sdtContent>
          </w:sdt>
          <w:sdt>
            <w:sdtPr>
              <w:rPr>
                <w:rFonts w:ascii="Times New Roman" w:hAnsi="Times New Roman" w:cs="Times New Roman"/>
                <w:szCs w:val="21"/>
              </w:rPr>
              <w:alias w:val="研发费用明细"/>
              <w:tag w:val="_TUP_78c47ce77ce942a2a4c5b824fc4daeaa"/>
              <w:id w:val="-364830856"/>
              <w:lock w:val="sdtLocked"/>
            </w:sdtPr>
            <w:sdtEndPr/>
            <w:sdtContent>
              <w:tr w:rsidR="00D21C1F" w:rsidRPr="00F72EBF" w14:paraId="6863AF0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A97F160"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213BBB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607,003.54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A14BB56"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670,404.40</w:t>
                    </w:r>
                  </w:p>
                </w:tc>
              </w:tr>
            </w:sdtContent>
          </w:sdt>
          <w:sdt>
            <w:sdtPr>
              <w:rPr>
                <w:rFonts w:ascii="Times New Roman" w:hAnsi="Times New Roman" w:cs="Times New Roman"/>
                <w:szCs w:val="21"/>
              </w:rPr>
              <w:alias w:val="研发费用明细"/>
              <w:tag w:val="_TUP_78c47ce77ce942a2a4c5b824fc4daeaa"/>
              <w:id w:val="-1802143363"/>
              <w:lock w:val="sdtLocked"/>
            </w:sdtPr>
            <w:sdtEndPr/>
            <w:sdtContent>
              <w:tr w:rsidR="00D21C1F" w:rsidRPr="00F72EBF" w14:paraId="7B910E4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33D8E42"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交通差旅费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B874C1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609,513.48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07F37E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245,283.76</w:t>
                    </w:r>
                  </w:p>
                </w:tc>
              </w:tr>
            </w:sdtContent>
          </w:sdt>
          <w:sdt>
            <w:sdtPr>
              <w:rPr>
                <w:rFonts w:ascii="Times New Roman" w:hAnsi="Times New Roman" w:cs="Times New Roman"/>
                <w:szCs w:val="21"/>
              </w:rPr>
              <w:alias w:val="研发费用明细"/>
              <w:tag w:val="_TUP_78c47ce77ce942a2a4c5b824fc4daeaa"/>
              <w:id w:val="-118918822"/>
              <w:lock w:val="sdtLocked"/>
            </w:sdtPr>
            <w:sdtEndPr/>
            <w:sdtContent>
              <w:tr w:rsidR="00D21C1F" w:rsidRPr="00F72EBF" w14:paraId="258D62E6"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6DEC1AC"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办公及招待费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AB8965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90,563.04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6D2E1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74,313.43</w:t>
                    </w:r>
                  </w:p>
                </w:tc>
              </w:tr>
            </w:sdtContent>
          </w:sdt>
          <w:sdt>
            <w:sdtPr>
              <w:rPr>
                <w:rFonts w:ascii="Times New Roman" w:hAnsi="Times New Roman" w:cs="Times New Roman"/>
                <w:szCs w:val="21"/>
              </w:rPr>
              <w:alias w:val="研发费用明细"/>
              <w:tag w:val="_TUP_78c47ce77ce942a2a4c5b824fc4daeaa"/>
              <w:id w:val="-278497766"/>
              <w:lock w:val="sdtLocked"/>
            </w:sdtPr>
            <w:sdtEndPr/>
            <w:sdtContent>
              <w:tr w:rsidR="00D21C1F" w:rsidRPr="00F72EBF" w14:paraId="6FA9A52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C17DCC9"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A7DCC9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234,077.51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71E477F"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247,963.61</w:t>
                    </w:r>
                  </w:p>
                </w:tc>
              </w:tr>
            </w:sdtContent>
          </w:sdt>
          <w:sdt>
            <w:sdtPr>
              <w:rPr>
                <w:rFonts w:ascii="Times New Roman" w:hAnsi="Times New Roman" w:cs="Times New Roman"/>
                <w:szCs w:val="21"/>
              </w:rPr>
              <w:alias w:val="研发费用明细"/>
              <w:tag w:val="_TUP_78c47ce77ce942a2a4c5b824fc4daeaa"/>
              <w:id w:val="296889790"/>
              <w:lock w:val="sdtLocked"/>
            </w:sdtPr>
            <w:sdtEndPr/>
            <w:sdtContent>
              <w:tr w:rsidR="00D21C1F" w:rsidRPr="00F72EBF" w14:paraId="45E87235"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A32D1F1"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AACEAA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92,293.07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6B4172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297,341.89</w:t>
                    </w:r>
                  </w:p>
                </w:tc>
              </w:tr>
            </w:sdtContent>
          </w:sdt>
          <w:sdt>
            <w:sdtPr>
              <w:rPr>
                <w:rFonts w:ascii="Times New Roman" w:hAnsi="Times New Roman" w:cs="Times New Roman"/>
                <w:szCs w:val="21"/>
              </w:rPr>
              <w:alias w:val="研发费用明细"/>
              <w:tag w:val="_TUP_78c47ce77ce942a2a4c5b824fc4daeaa"/>
              <w:id w:val="634450775"/>
              <w:lock w:val="sdtLocked"/>
            </w:sdtPr>
            <w:sdtEndPr/>
            <w:sdtContent>
              <w:tr w:rsidR="00D21C1F" w:rsidRPr="00F72EBF" w14:paraId="4B09AE7D"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722297"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2A5AB56"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28,365.55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AAC9B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120,018.34</w:t>
                    </w:r>
                  </w:p>
                </w:tc>
              </w:tr>
            </w:sdtContent>
          </w:sdt>
          <w:sdt>
            <w:sdtPr>
              <w:rPr>
                <w:rFonts w:ascii="Times New Roman" w:hAnsi="Times New Roman" w:cs="Times New Roman"/>
                <w:szCs w:val="21"/>
              </w:rPr>
              <w:alias w:val="研发费用明细"/>
              <w:tag w:val="_TUP_78c47ce77ce942a2a4c5b824fc4daeaa"/>
              <w:id w:val="-946621711"/>
              <w:lock w:val="sdtLocked"/>
            </w:sdtPr>
            <w:sdtEndPr/>
            <w:sdtContent>
              <w:tr w:rsidR="00D21C1F" w:rsidRPr="00F72EBF" w14:paraId="6CF4B3D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D77BF69"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5F6FC5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18,957.47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F3C0766"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98,469.83</w:t>
                    </w:r>
                  </w:p>
                </w:tc>
              </w:tr>
            </w:sdtContent>
          </w:sdt>
          <w:sdt>
            <w:sdtPr>
              <w:rPr>
                <w:rFonts w:ascii="Times New Roman" w:hAnsi="Times New Roman" w:cs="Times New Roman"/>
                <w:szCs w:val="21"/>
              </w:rPr>
              <w:alias w:val="研发费用明细"/>
              <w:tag w:val="_TUP_78c47ce77ce942a2a4c5b824fc4daeaa"/>
              <w:id w:val="886531718"/>
              <w:lock w:val="sdtLocked"/>
            </w:sdtPr>
            <w:sdtEndPr/>
            <w:sdtContent>
              <w:tr w:rsidR="00D21C1F" w:rsidRPr="00F72EBF" w14:paraId="2DAF011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2A311CD"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EE93DA"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13,357.11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AAFCC0"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33,896.31</w:t>
                    </w:r>
                  </w:p>
                </w:tc>
              </w:tr>
            </w:sdtContent>
          </w:sdt>
          <w:sdt>
            <w:sdtPr>
              <w:rPr>
                <w:rFonts w:ascii="Times New Roman" w:hAnsi="Times New Roman" w:cs="Times New Roman"/>
                <w:szCs w:val="21"/>
              </w:rPr>
              <w:alias w:val="研发费用明细"/>
              <w:tag w:val="_TUP_78c47ce77ce942a2a4c5b824fc4daeaa"/>
              <w:id w:val="1939869406"/>
              <w:lock w:val="sdtLocked"/>
            </w:sdtPr>
            <w:sdtEndPr/>
            <w:sdtContent>
              <w:tr w:rsidR="00D21C1F" w:rsidRPr="00F72EBF" w14:paraId="1F03A3C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DCA3ADB"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测试化验加工费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240B96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993,035.84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8166A95"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13,136.66</w:t>
                    </w:r>
                  </w:p>
                </w:tc>
              </w:tr>
            </w:sdtContent>
          </w:sdt>
          <w:sdt>
            <w:sdtPr>
              <w:rPr>
                <w:rFonts w:ascii="Times New Roman" w:hAnsi="Times New Roman" w:cs="Times New Roman"/>
                <w:szCs w:val="21"/>
              </w:rPr>
              <w:alias w:val="研发费用明细"/>
              <w:tag w:val="_TUP_78c47ce77ce942a2a4c5b824fc4daeaa"/>
              <w:id w:val="-1305086058"/>
              <w:lock w:val="sdtLocked"/>
            </w:sdtPr>
            <w:sdtEndPr/>
            <w:sdtContent>
              <w:tr w:rsidR="00D21C1F" w:rsidRPr="00F72EBF" w14:paraId="70BA9F05"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9AE03D8"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3D6626A"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1,561,585.82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28A5A64"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529,152.19</w:t>
                    </w:r>
                  </w:p>
                </w:tc>
              </w:tr>
            </w:sdtContent>
          </w:sdt>
          <w:sdt>
            <w:sdtPr>
              <w:rPr>
                <w:rFonts w:ascii="Times New Roman" w:hAnsi="Times New Roman" w:cs="Times New Roman"/>
                <w:szCs w:val="21"/>
              </w:rPr>
              <w:alias w:val="研发费用明细"/>
              <w:tag w:val="_TUP_78c47ce77ce942a2a4c5b824fc4daeaa"/>
              <w:id w:val="-1456478970"/>
              <w:lock w:val="sdtLocked"/>
            </w:sdtPr>
            <w:sdtEndPr/>
            <w:sdtContent>
              <w:tr w:rsidR="00D21C1F" w:rsidRPr="00F72EBF" w14:paraId="2C2DC83D"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27363D9" w14:textId="77777777" w:rsidR="00D21C1F" w:rsidRPr="00F72EBF" w:rsidRDefault="00A42880">
                    <w:pPr>
                      <w:rPr>
                        <w:rFonts w:ascii="Times New Roman" w:hAnsi="Times New Roman" w:cs="Times New Roman"/>
                        <w:szCs w:val="21"/>
                      </w:rPr>
                    </w:pPr>
                    <w:r w:rsidRPr="00F72EBF">
                      <w:rPr>
                        <w:rFonts w:ascii="Times New Roman" w:hAnsi="Times New Roman" w:cs="Times New Roman"/>
                      </w:rPr>
                      <w:t>减：研发样机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FCA5E5C"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-417,427.41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92EA2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-511,228.90</w:t>
                    </w:r>
                  </w:p>
                </w:tc>
              </w:tr>
            </w:sdtContent>
          </w:sdt>
          <w:tr w:rsidR="00D21C1F" w:rsidRPr="00F72EBF" w14:paraId="47408829" w14:textId="77777777">
            <w:sdt>
              <w:sdtPr>
                <w:rPr>
                  <w:rFonts w:ascii="Times New Roman" w:hAnsi="Times New Roman" w:cs="Times New Roman"/>
                </w:rPr>
                <w:tag w:val="_PLD_5a23b545f4d04be78e814a8fcf71e521"/>
                <w:id w:val="-211034270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3679F8D"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960EACB"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49,270,983.35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61C5047"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31,613,940.27</w:t>
                </w:r>
              </w:p>
            </w:tc>
          </w:tr>
        </w:tbl>
        <w:p w14:paraId="11B47AF8"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其他说明：</w:t>
          </w:r>
        </w:p>
        <w:sdt>
          <w:sdtPr>
            <w:rPr>
              <w:rFonts w:ascii="Times New Roman" w:hAnsi="Times New Roman" w:cs="Times New Roman"/>
            </w:rPr>
            <w:alias w:val="研发费用其他说明"/>
            <w:tag w:val="_GBC_f09ad1e9748e43059f8db34f9454426c"/>
            <w:id w:val="1232115803"/>
            <w:lock w:val="sdtLocked"/>
            <w:placeholder>
              <w:docPart w:val="GBC22222222222222222222222222222"/>
            </w:placeholder>
          </w:sdtPr>
          <w:sdtEndPr/>
          <w:sdtContent>
            <w:p w14:paraId="53DE290D"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无</w:t>
              </w:r>
            </w:p>
          </w:sdtContent>
        </w:sdt>
        <w:p w14:paraId="0CD9B0F7" w14:textId="77777777" w:rsidR="00D21C1F" w:rsidRPr="00F72EBF" w:rsidRDefault="00045EC6">
          <w:pPr>
            <w:rPr>
              <w:rFonts w:ascii="Times New Roman" w:hAnsi="Times New Roman" w:cs="Times New Roman"/>
              <w:szCs w:val="21"/>
            </w:rPr>
          </w:pPr>
        </w:p>
      </w:sdtContent>
    </w:sdt>
    <w:bookmarkEnd w:id="283" w:displacedByCustomXml="next"/>
    <w:sdt>
      <w:sdtPr>
        <w:rPr>
          <w:rFonts w:ascii="Times New Roman" w:eastAsia="宋体" w:hAnsi="Times New Roman" w:cs="宋体"/>
          <w:b w:val="0"/>
          <w:bCs w:val="0"/>
          <w:kern w:val="0"/>
          <w:szCs w:val="21"/>
        </w:rPr>
        <w:alias w:val="模块:财务费用"/>
        <w:tag w:val="_GBC_aeeadad5456b4097a79668e5a1cadb17"/>
        <w:id w:val="919132414"/>
        <w:lock w:val="sdtLocked"/>
        <w:placeholder>
          <w:docPart w:val="GBC22222222222222222222222222222"/>
        </w:placeholder>
      </w:sdtPr>
      <w:sdtEndPr/>
      <w:sdtContent>
        <w:p w14:paraId="1666B406" w14:textId="77777777" w:rsidR="00D21C1F" w:rsidRPr="00F72EBF" w:rsidRDefault="00A42880">
          <w:pPr>
            <w:pStyle w:val="94"/>
            <w:numPr>
              <w:ilvl w:val="0"/>
              <w:numId w:val="95"/>
            </w:numPr>
            <w:tabs>
              <w:tab w:val="left" w:pos="504"/>
            </w:tabs>
            <w:rPr>
              <w:rFonts w:ascii="Times New Roman" w:hAnsi="Times New Roman"/>
              <w:szCs w:val="21"/>
            </w:rPr>
          </w:pPr>
          <w:r w:rsidRPr="00F72EBF">
            <w:rPr>
              <w:rFonts w:ascii="Times New Roman" w:hAnsi="Times New Roman"/>
              <w:szCs w:val="21"/>
            </w:rPr>
            <w:t>财务费用</w:t>
          </w:r>
        </w:p>
        <w:sdt>
          <w:sdtPr>
            <w:rPr>
              <w:rFonts w:ascii="Times New Roman" w:hAnsi="Times New Roman" w:cs="Times New Roman"/>
            </w:rPr>
            <w:alias w:val="是否适用：财务费用[双击切换]"/>
            <w:tag w:val="_GBC_699d8bdb2f1f4504a0ea4ccbc8889cfa"/>
            <w:id w:val="1633206669"/>
            <w:lock w:val="sdtLocked"/>
            <w:placeholder>
              <w:docPart w:val="GBC22222222222222222222222222222"/>
            </w:placeholder>
          </w:sdtPr>
          <w:sdtEndPr/>
          <w:sdtContent>
            <w:p w14:paraId="7D14F7CF"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2873B1CB"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单位：</w:t>
          </w:r>
          <w:sdt>
            <w:sdtPr>
              <w:rPr>
                <w:rFonts w:ascii="Times New Roman" w:hAnsi="Times New Roman" w:cs="Times New Roman"/>
              </w:rPr>
              <w:alias w:val="单位：财务费用"/>
              <w:tag w:val="_GBC_eb9e02dce68144759561a3427fb3099a"/>
              <w:id w:val="-18075340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cs="Times New Roman"/>
                </w:rPr>
                <w:t>元</w:t>
              </w:r>
            </w:sdtContent>
          </w:sdt>
          <w:r w:rsidRPr="00F72EBF">
            <w:rPr>
              <w:rFonts w:ascii="Times New Roman" w:hAnsi="Times New Roman" w:cs="Times New Roman"/>
            </w:rPr>
            <w:t>币种：</w:t>
          </w:r>
          <w:sdt>
            <w:sdtPr>
              <w:rPr>
                <w:rFonts w:ascii="Times New Roman" w:hAnsi="Times New Roman" w:cs="Times New Roman"/>
              </w:rPr>
              <w:alias w:val="币种：财务费用"/>
              <w:tag w:val="_GBC_8e992a76854b4bd0a3f5cd49b31a4604"/>
              <w:id w:val="1449204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D21C1F" w:rsidRPr="00F72EBF" w14:paraId="151F8694" w14:textId="77777777">
            <w:sdt>
              <w:sdtPr>
                <w:rPr>
                  <w:rFonts w:ascii="Times New Roman" w:hAnsi="Times New Roman" w:cs="Times New Roman"/>
                </w:rPr>
                <w:tag w:val="_PLD_c57c227174f044c4bfa2c0fda1e37156"/>
                <w:id w:val="-70433074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79787A4E"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项目</w:t>
                    </w:r>
                  </w:p>
                </w:tc>
              </w:sdtContent>
            </w:sdt>
            <w:sdt>
              <w:sdtPr>
                <w:rPr>
                  <w:rFonts w:ascii="Times New Roman" w:hAnsi="Times New Roman" w:cs="Times New Roman"/>
                </w:rPr>
                <w:tag w:val="_PLD_d7b23aa0bcb6433894875c858270ab7f"/>
                <w:id w:val="118015983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DF90011"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本期发生额</w:t>
                    </w:r>
                  </w:p>
                </w:tc>
              </w:sdtContent>
            </w:sdt>
            <w:sdt>
              <w:sdtPr>
                <w:rPr>
                  <w:rFonts w:ascii="Times New Roman" w:hAnsi="Times New Roman" w:cs="Times New Roman"/>
                </w:rPr>
                <w:tag w:val="_PLD_d79245f93e3d475b953b3e44bb1c6425"/>
                <w:id w:val="55212282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4845E38"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上期发生额</w:t>
                    </w:r>
                  </w:p>
                </w:tc>
              </w:sdtContent>
            </w:sdt>
          </w:tr>
          <w:sdt>
            <w:sdtPr>
              <w:rPr>
                <w:rFonts w:ascii="Times New Roman" w:eastAsia="宋体" w:hAnsi="Times New Roman" w:cs="Times New Roman"/>
              </w:rPr>
              <w:alias w:val="财务费用明细"/>
              <w:tag w:val="_GBC_6315cf92135646dfa5694359777c36b0"/>
              <w:id w:val="-1622604216"/>
              <w:lock w:val="sdtLocked"/>
            </w:sdtPr>
            <w:sdtEndPr/>
            <w:sdtContent>
              <w:tr w:rsidR="00D21C1F" w:rsidRPr="00F72EBF" w14:paraId="6EA488A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7A9588"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AC78454"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9,876,389.39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32C898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6,818,857.47</w:t>
                    </w:r>
                  </w:p>
                </w:tc>
              </w:tr>
            </w:sdtContent>
          </w:sdt>
          <w:sdt>
            <w:sdtPr>
              <w:rPr>
                <w:rFonts w:ascii="Times New Roman" w:eastAsia="宋体" w:hAnsi="Times New Roman" w:cs="Times New Roman"/>
              </w:rPr>
              <w:alias w:val="财务费用明细"/>
              <w:tag w:val="_GBC_6315cf92135646dfa5694359777c36b0"/>
              <w:id w:val="1093751069"/>
              <w:lock w:val="sdtLocked"/>
            </w:sdtPr>
            <w:sdtEndPr/>
            <w:sdtContent>
              <w:tr w:rsidR="00D21C1F" w:rsidRPr="00F72EBF" w14:paraId="7150FE25"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1B90F7"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19517FD"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-5,638,279.01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FC630F4"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-1,267,211.77</w:t>
                    </w:r>
                  </w:p>
                </w:tc>
              </w:tr>
            </w:sdtContent>
          </w:sdt>
          <w:sdt>
            <w:sdtPr>
              <w:rPr>
                <w:rFonts w:ascii="Times New Roman" w:eastAsia="宋体" w:hAnsi="Times New Roman" w:cs="Times New Roman"/>
              </w:rPr>
              <w:alias w:val="财务费用明细"/>
              <w:tag w:val="_GBC_6315cf92135646dfa5694359777c36b0"/>
              <w:id w:val="639388593"/>
              <w:lock w:val="sdtLocked"/>
            </w:sdtPr>
            <w:sdtEndPr/>
            <w:sdtContent>
              <w:tr w:rsidR="00D21C1F" w:rsidRPr="00F72EBF" w14:paraId="04C1580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32B4DF"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351AA59"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5,887,614.09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F010248"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-2,418,653.11</w:t>
                    </w:r>
                  </w:p>
                </w:tc>
              </w:tr>
            </w:sdtContent>
          </w:sdt>
          <w:sdt>
            <w:sdtPr>
              <w:rPr>
                <w:rFonts w:ascii="Times New Roman" w:eastAsia="宋体" w:hAnsi="Times New Roman" w:cs="Times New Roman"/>
              </w:rPr>
              <w:alias w:val="财务费用明细"/>
              <w:tag w:val="_GBC_6315cf92135646dfa5694359777c36b0"/>
              <w:id w:val="415214373"/>
              <w:lock w:val="sdtLocked"/>
            </w:sdtPr>
            <w:sdtEndPr/>
            <w:sdtContent>
              <w:tr w:rsidR="00D21C1F" w:rsidRPr="00F72EBF" w14:paraId="6420575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59DBA9"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融资担保费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A4C85D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4B7395B"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175,417.82</w:t>
                    </w:r>
                  </w:p>
                </w:tc>
              </w:tr>
            </w:sdtContent>
          </w:sdt>
          <w:sdt>
            <w:sdtPr>
              <w:rPr>
                <w:rFonts w:ascii="Times New Roman" w:eastAsia="宋体" w:hAnsi="Times New Roman" w:cs="Times New Roman"/>
              </w:rPr>
              <w:alias w:val="财务费用明细"/>
              <w:tag w:val="_GBC_6315cf92135646dfa5694359777c36b0"/>
              <w:id w:val="93059701"/>
              <w:lock w:val="sdtLocked"/>
            </w:sdtPr>
            <w:sdtEndPr/>
            <w:sdtContent>
              <w:tr w:rsidR="00D21C1F" w:rsidRPr="00F72EBF" w14:paraId="049539F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7C45590"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银行手续费及其他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21359CA"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1,970,918.02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B688A7A"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1,459,950.32</w:t>
                    </w:r>
                  </w:p>
                </w:tc>
              </w:tr>
            </w:sdtContent>
          </w:sdt>
          <w:tr w:rsidR="00D21C1F" w:rsidRPr="00F72EBF" w14:paraId="58CDE8DB" w14:textId="77777777">
            <w:sdt>
              <w:sdtPr>
                <w:rPr>
                  <w:rFonts w:ascii="Times New Roman" w:hAnsi="Times New Roman" w:cs="Times New Roman"/>
                </w:rPr>
                <w:tag w:val="_PLD_27965316bcaf4972b01a6dd60323d7f4"/>
                <w:id w:val="-92951201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BDDBC27"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348814F0"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12,096,642.49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397FCE6"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4,768,360.73</w:t>
                </w:r>
              </w:p>
            </w:tc>
          </w:tr>
        </w:tbl>
        <w:p w14:paraId="6E6B0993"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其他说明：</w:t>
          </w:r>
        </w:p>
        <w:sdt>
          <w:sdtPr>
            <w:rPr>
              <w:rFonts w:ascii="Times New Roman" w:hAnsi="Times New Roman" w:cs="Times New Roman"/>
              <w:szCs w:val="21"/>
            </w:rPr>
            <w:alias w:val="财务费用的其他说明事项"/>
            <w:tag w:val="_GBC_5bd15645edcc4a51b94ddca48ee9be98"/>
            <w:id w:val="660744248"/>
            <w:lock w:val="sdtLocked"/>
            <w:placeholder>
              <w:docPart w:val="GBC22222222222222222222222222222"/>
            </w:placeholder>
          </w:sdtPr>
          <w:sdtEndPr/>
          <w:sdtContent>
            <w:p w14:paraId="1B5B3B73"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无</w:t>
              </w:r>
            </w:p>
          </w:sdtContent>
        </w:sdt>
      </w:sdtContent>
    </w:sdt>
    <w:p w14:paraId="160465C0" w14:textId="77777777" w:rsidR="00D21C1F" w:rsidRDefault="00D21C1F">
      <w:pPr>
        <w:rPr>
          <w:szCs w:val="21"/>
        </w:rPr>
      </w:pPr>
    </w:p>
    <w:sdt>
      <w:sdtPr>
        <w:rPr>
          <w:rFonts w:ascii="Times New Roman" w:hAnsi="Times New Roman" w:cs="宋体"/>
          <w:b w:val="0"/>
          <w:bCs w:val="0"/>
          <w:kern w:val="0"/>
          <w:szCs w:val="24"/>
        </w:rPr>
        <w:alias w:val="模块:其他收益"/>
        <w:tag w:val="_SEC_b7dd1353107541ffa3a1d66fbb85a037"/>
        <w:id w:val="-2050288582"/>
        <w:lock w:val="sdtLocked"/>
        <w:placeholder>
          <w:docPart w:val="GBC22222222222222222222222222222"/>
        </w:placeholder>
      </w:sdtPr>
      <w:sdtEndPr/>
      <w:sdtContent>
        <w:p w14:paraId="41C0285A" w14:textId="77777777" w:rsidR="00D21C1F" w:rsidRPr="00F72EBF" w:rsidRDefault="00A42880">
          <w:pPr>
            <w:pStyle w:val="94"/>
            <w:numPr>
              <w:ilvl w:val="0"/>
              <w:numId w:val="95"/>
            </w:numPr>
            <w:tabs>
              <w:tab w:val="left" w:pos="504"/>
            </w:tabs>
            <w:rPr>
              <w:rFonts w:ascii="Times New Roman" w:hAnsi="Times New Roman"/>
            </w:rPr>
          </w:pPr>
          <w:r w:rsidRPr="00F72EBF">
            <w:rPr>
              <w:rFonts w:ascii="Times New Roman" w:hAnsi="Times New Roman"/>
            </w:rPr>
            <w:t>其他收益</w:t>
          </w:r>
        </w:p>
        <w:sdt>
          <w:sdtPr>
            <w:rPr>
              <w:rFonts w:ascii="Times New Roman" w:hAnsi="Times New Roman" w:cs="Times New Roman"/>
            </w:rPr>
            <w:alias w:val="是否适用：财务报表其他收益[双击切换]"/>
            <w:tag w:val="_GBC_86fde94b0d4e4b1f997adc6f063babf7"/>
            <w:id w:val="-525943298"/>
            <w:lock w:val="sdtLocked"/>
            <w:placeholder>
              <w:docPart w:val="GBC22222222222222222222222222222"/>
            </w:placeholder>
          </w:sdtPr>
          <w:sdtEndPr/>
          <w:sdtContent>
            <w:p w14:paraId="03D8E7FB"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33482F26" w14:textId="77777777" w:rsidR="00D21C1F" w:rsidRPr="00F72EBF" w:rsidRDefault="00A42880">
          <w:pPr>
            <w:jc w:val="right"/>
            <w:rPr>
              <w:rFonts w:ascii="Times New Roman" w:hAnsi="Times New Roman" w:cs="Times New Roman"/>
              <w:bCs/>
              <w:szCs w:val="22"/>
            </w:rPr>
          </w:pPr>
          <w:r w:rsidRPr="00F72EBF">
            <w:rPr>
              <w:rFonts w:ascii="Times New Roman" w:hAnsi="Times New Roman" w:cs="Times New Roman"/>
              <w:bCs/>
              <w:szCs w:val="22"/>
            </w:rPr>
            <w:t>单位：</w:t>
          </w:r>
          <w:sdt>
            <w:sdtPr>
              <w:rPr>
                <w:rFonts w:ascii="Times New Roman" w:hAnsi="Times New Roman" w:cs="Times New Roman"/>
                <w:bCs/>
                <w:szCs w:val="22"/>
              </w:rPr>
              <w:alias w:val="单位：财务报表其他收益明细"/>
              <w:tag w:val="_GBC_12755937dc3b48a489abda6cc5cda8d6"/>
              <w:id w:val="6048499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F72EBF">
                <w:rPr>
                  <w:rFonts w:ascii="Times New Roman" w:hAnsi="Times New Roman" w:cs="Times New Roman"/>
                  <w:bCs/>
                  <w:szCs w:val="22"/>
                </w:rPr>
                <w:t>元</w:t>
              </w:r>
            </w:sdtContent>
          </w:sdt>
          <w:r w:rsidRPr="00F72EBF">
            <w:rPr>
              <w:rFonts w:ascii="Times New Roman" w:hAnsi="Times New Roman" w:cs="Times New Roman"/>
              <w:bCs/>
              <w:szCs w:val="22"/>
            </w:rPr>
            <w:t>币种：</w:t>
          </w:r>
          <w:sdt>
            <w:sdtPr>
              <w:rPr>
                <w:rFonts w:ascii="Times New Roman" w:hAnsi="Times New Roman" w:cs="Times New Roman"/>
                <w:bCs/>
                <w:szCs w:val="22"/>
              </w:rPr>
              <w:alias w:val="币种：财务报表其他收益明细"/>
              <w:tag w:val="_GBC_3daaaf66c73e4201b067378f3d17e13f"/>
              <w:id w:val="1979249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cs="Times New Roman"/>
                  <w:bCs/>
                  <w:szCs w:val="22"/>
                </w:rPr>
                <w:t>人民币</w:t>
              </w:r>
            </w:sdtContent>
          </w:sdt>
        </w:p>
        <w:tbl>
          <w:tblPr>
            <w:tblStyle w:val="g3"/>
            <w:tblW w:w="0" w:type="auto"/>
            <w:tblInd w:w="0" w:type="dxa"/>
            <w:tblLook w:val="04A0" w:firstRow="1" w:lastRow="0" w:firstColumn="1" w:lastColumn="0" w:noHBand="0" w:noVBand="1"/>
          </w:tblPr>
          <w:tblGrid>
            <w:gridCol w:w="3943"/>
            <w:gridCol w:w="2502"/>
            <w:gridCol w:w="2378"/>
          </w:tblGrid>
          <w:tr w:rsidR="00D21C1F" w:rsidRPr="00F72EBF" w14:paraId="5D0743CA" w14:textId="77777777">
            <w:tc>
              <w:tcPr>
                <w:tcW w:w="4077" w:type="dxa"/>
              </w:tcPr>
              <w:sdt>
                <w:sdtPr>
                  <w:rPr>
                    <w:rFonts w:ascii="Times New Roman" w:hAnsi="Times New Roman" w:cs="Times New Roman"/>
                  </w:rPr>
                  <w:tag w:val="_PLD_92b33ced889140b7b84894c5f486f4e6"/>
                  <w:id w:val="1174686860"/>
                  <w:lock w:val="sdtLocked"/>
                </w:sdtPr>
                <w:sdtEndPr/>
                <w:sdtContent>
                  <w:p w14:paraId="734589A9"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项目</w:t>
                    </w:r>
                  </w:p>
                </w:sdtContent>
              </w:sdt>
            </w:tc>
            <w:tc>
              <w:tcPr>
                <w:tcW w:w="2552" w:type="dxa"/>
              </w:tcPr>
              <w:sdt>
                <w:sdtPr>
                  <w:rPr>
                    <w:rFonts w:ascii="Times New Roman" w:hAnsi="Times New Roman" w:cs="Times New Roman"/>
                  </w:rPr>
                  <w:tag w:val="_PLD_73b3023fbaed423bbb8ca1ec42a2eaf9"/>
                  <w:id w:val="-113908764"/>
                  <w:lock w:val="sdtLocked"/>
                </w:sdtPr>
                <w:sdtEndPr/>
                <w:sdtContent>
                  <w:p w14:paraId="4DBF15D3"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本期发生额</w:t>
                    </w:r>
                  </w:p>
                </w:sdtContent>
              </w:sdt>
            </w:tc>
            <w:tc>
              <w:tcPr>
                <w:tcW w:w="2420" w:type="dxa"/>
              </w:tcPr>
              <w:sdt>
                <w:sdtPr>
                  <w:rPr>
                    <w:rFonts w:ascii="Times New Roman" w:hAnsi="Times New Roman" w:cs="Times New Roman"/>
                  </w:rPr>
                  <w:tag w:val="_PLD_9f39351a333c497da22a0955aff07b4c"/>
                  <w:id w:val="-87706553"/>
                  <w:lock w:val="sdtLocked"/>
                </w:sdtPr>
                <w:sdtEndPr/>
                <w:sdtContent>
                  <w:p w14:paraId="36B51C31"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上期发生额</w:t>
                    </w:r>
                  </w:p>
                </w:sdtContent>
              </w:sdt>
            </w:tc>
          </w:tr>
          <w:sdt>
            <w:sdtPr>
              <w:rPr>
                <w:rFonts w:ascii="Times New Roman" w:eastAsia="宋体" w:hAnsi="Times New Roman" w:cs="Times New Roman"/>
                <w:sz w:val="22"/>
                <w:szCs w:val="22"/>
              </w:rPr>
              <w:alias w:val="财务报表其他收益明细"/>
              <w:tag w:val="_TUP_6fbc2b9298bf4c818dfcc7c62d7fcd6c"/>
              <w:id w:val="1577087225"/>
              <w:lock w:val="sdtLocked"/>
            </w:sdtPr>
            <w:sdtEndPr/>
            <w:sdtContent>
              <w:tr w:rsidR="00D21C1F" w:rsidRPr="00F72EBF" w14:paraId="01C27F4A" w14:textId="77777777">
                <w:tc>
                  <w:tcPr>
                    <w:tcW w:w="4077" w:type="dxa"/>
                  </w:tcPr>
                  <w:p w14:paraId="7AC07ADD"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政府补助</w:t>
                    </w:r>
                  </w:p>
                </w:tc>
                <w:tc>
                  <w:tcPr>
                    <w:tcW w:w="2552" w:type="dxa"/>
                    <w:vAlign w:val="center"/>
                  </w:tcPr>
                  <w:p w14:paraId="4536725C"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3,039,689.65</w:t>
                    </w:r>
                  </w:p>
                </w:tc>
                <w:tc>
                  <w:tcPr>
                    <w:tcW w:w="2420" w:type="dxa"/>
                  </w:tcPr>
                  <w:p w14:paraId="54CE19D9"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20,666,812.15</w:t>
                    </w:r>
                  </w:p>
                </w:tc>
              </w:tr>
            </w:sdtContent>
          </w:sdt>
          <w:sdt>
            <w:sdtPr>
              <w:rPr>
                <w:rFonts w:ascii="Times New Roman" w:eastAsia="宋体" w:hAnsi="Times New Roman" w:cs="Times New Roman"/>
                <w:sz w:val="22"/>
                <w:szCs w:val="22"/>
              </w:rPr>
              <w:alias w:val="财务报表其他收益明细"/>
              <w:tag w:val="_TUP_6fbc2b9298bf4c818dfcc7c62d7fcd6c"/>
              <w:id w:val="1450276911"/>
              <w:lock w:val="sdtLocked"/>
            </w:sdtPr>
            <w:sdtEndPr/>
            <w:sdtContent>
              <w:tr w:rsidR="00D21C1F" w:rsidRPr="00F72EBF" w14:paraId="3EF3D09D" w14:textId="77777777">
                <w:tc>
                  <w:tcPr>
                    <w:tcW w:w="4077" w:type="dxa"/>
                  </w:tcPr>
                  <w:p w14:paraId="1D99EB1D"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个税手续费返还</w:t>
                    </w:r>
                  </w:p>
                </w:tc>
                <w:tc>
                  <w:tcPr>
                    <w:tcW w:w="2552" w:type="dxa"/>
                    <w:vAlign w:val="center"/>
                  </w:tcPr>
                  <w:p w14:paraId="34DD77FA"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63,108.62</w:t>
                    </w:r>
                  </w:p>
                </w:tc>
                <w:tc>
                  <w:tcPr>
                    <w:tcW w:w="2420" w:type="dxa"/>
                  </w:tcPr>
                  <w:p w14:paraId="2F50846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102,052.96</w:t>
                    </w:r>
                  </w:p>
                </w:tc>
              </w:tr>
            </w:sdtContent>
          </w:sdt>
          <w:tr w:rsidR="00D21C1F" w:rsidRPr="00F72EBF" w14:paraId="389C02B0" w14:textId="77777777">
            <w:tc>
              <w:tcPr>
                <w:tcW w:w="4077" w:type="dxa"/>
              </w:tcPr>
              <w:sdt>
                <w:sdtPr>
                  <w:rPr>
                    <w:rFonts w:ascii="Times New Roman" w:hAnsi="Times New Roman" w:cs="Times New Roman"/>
                  </w:rPr>
                  <w:tag w:val="_PLD_895bf64d897b4d94b2d45a7ce9849ec7"/>
                  <w:id w:val="-197239263"/>
                  <w:lock w:val="sdtLocked"/>
                </w:sdtPr>
                <w:sdtEndPr/>
                <w:sdtContent>
                  <w:p w14:paraId="2A96DA2C"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合计</w:t>
                    </w:r>
                  </w:p>
                </w:sdtContent>
              </w:sdt>
            </w:tc>
            <w:tc>
              <w:tcPr>
                <w:tcW w:w="2552" w:type="dxa"/>
                <w:vAlign w:val="center"/>
              </w:tcPr>
              <w:p w14:paraId="783C9A3B"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3,102,798.27</w:t>
                </w:r>
              </w:p>
            </w:tc>
            <w:tc>
              <w:tcPr>
                <w:tcW w:w="2420" w:type="dxa"/>
                <w:vAlign w:val="center"/>
              </w:tcPr>
              <w:p w14:paraId="47F5B7E1"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20,768,865.11</w:t>
                </w:r>
              </w:p>
            </w:tc>
          </w:tr>
        </w:tbl>
        <w:p w14:paraId="541FEC82"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其他说明：</w:t>
          </w:r>
        </w:p>
        <w:sdt>
          <w:sdtPr>
            <w:rPr>
              <w:rFonts w:ascii="Times New Roman" w:hAnsi="Times New Roman" w:cs="Times New Roman"/>
            </w:rPr>
            <w:alias w:val="财务报表其他收益其他说明"/>
            <w:tag w:val="_GBC_9489a93c45754a9ea78d3a872093a735"/>
            <w:id w:val="1771515949"/>
            <w:lock w:val="sdtLocked"/>
            <w:placeholder>
              <w:docPart w:val="GBC22222222222222222222222222222"/>
            </w:placeholder>
          </w:sdtPr>
          <w:sdtEndPr/>
          <w:sdtContent>
            <w:p w14:paraId="67C11782"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本集团</w:t>
              </w:r>
              <w:r w:rsidRPr="00F72EBF">
                <w:rPr>
                  <w:rFonts w:ascii="Times New Roman" w:hAnsi="Times New Roman" w:cs="Times New Roman"/>
                </w:rPr>
                <w:t>2021</w:t>
              </w:r>
              <w:r w:rsidRPr="00F72EBF">
                <w:rPr>
                  <w:rFonts w:ascii="Times New Roman" w:hAnsi="Times New Roman" w:cs="Times New Roman"/>
                </w:rPr>
                <w:t>年上半年取得并直接计入其他收益的与收益相关的政府补助如下：</w:t>
              </w:r>
            </w:p>
            <w:tbl>
              <w:tblPr>
                <w:tblStyle w:val="g3"/>
                <w:tblW w:w="0" w:type="auto"/>
                <w:tblInd w:w="0" w:type="dxa"/>
                <w:tblLook w:val="04A0" w:firstRow="1" w:lastRow="0" w:firstColumn="1" w:lastColumn="0" w:noHBand="0" w:noVBand="1"/>
              </w:tblPr>
              <w:tblGrid>
                <w:gridCol w:w="4411"/>
                <w:gridCol w:w="4412"/>
              </w:tblGrid>
              <w:tr w:rsidR="00D21C1F" w:rsidRPr="00F72EBF" w14:paraId="2AEDCA72" w14:textId="77777777">
                <w:tc>
                  <w:tcPr>
                    <w:tcW w:w="4524" w:type="dxa"/>
                    <w:vAlign w:val="bottom"/>
                  </w:tcPr>
                  <w:p w14:paraId="75AFBFB9"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政府补助项目</w:t>
                    </w:r>
                  </w:p>
                </w:tc>
                <w:tc>
                  <w:tcPr>
                    <w:tcW w:w="4524" w:type="dxa"/>
                  </w:tcPr>
                  <w:p w14:paraId="725B12D1"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本期计入其他收益金额</w:t>
                    </w:r>
                  </w:p>
                </w:tc>
              </w:tr>
              <w:tr w:rsidR="00D21C1F" w:rsidRPr="00F72EBF" w14:paraId="5FEBCA6E" w14:textId="77777777">
                <w:tc>
                  <w:tcPr>
                    <w:tcW w:w="4524" w:type="dxa"/>
                    <w:vAlign w:val="bottom"/>
                  </w:tcPr>
                  <w:p w14:paraId="7F7C4E41"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Y100011004</w:t>
                    </w:r>
                  </w:p>
                </w:tc>
                <w:tc>
                  <w:tcPr>
                    <w:tcW w:w="4524" w:type="dxa"/>
                    <w:vAlign w:val="bottom"/>
                  </w:tcPr>
                  <w:p w14:paraId="5ED3017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79,999.98</w:t>
                    </w:r>
                  </w:p>
                </w:tc>
              </w:tr>
              <w:tr w:rsidR="00D21C1F" w:rsidRPr="00F72EBF" w14:paraId="20EB1668" w14:textId="77777777">
                <w:tc>
                  <w:tcPr>
                    <w:tcW w:w="4524" w:type="dxa"/>
                    <w:vAlign w:val="bottom"/>
                  </w:tcPr>
                  <w:p w14:paraId="73C1D17F"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Y100011006</w:t>
                    </w:r>
                  </w:p>
                </w:tc>
                <w:tc>
                  <w:tcPr>
                    <w:tcW w:w="4524" w:type="dxa"/>
                    <w:vAlign w:val="bottom"/>
                  </w:tcPr>
                  <w:p w14:paraId="6D8EF8C9"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364,999.98</w:t>
                    </w:r>
                  </w:p>
                </w:tc>
              </w:tr>
              <w:tr w:rsidR="00D21C1F" w:rsidRPr="00F72EBF" w14:paraId="379A08CB" w14:textId="77777777">
                <w:tc>
                  <w:tcPr>
                    <w:tcW w:w="4524" w:type="dxa"/>
                    <w:vAlign w:val="bottom"/>
                  </w:tcPr>
                  <w:p w14:paraId="75C75018"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B100019001</w:t>
                    </w:r>
                  </w:p>
                </w:tc>
                <w:tc>
                  <w:tcPr>
                    <w:tcW w:w="4524" w:type="dxa"/>
                    <w:vAlign w:val="bottom"/>
                  </w:tcPr>
                  <w:p w14:paraId="7A58B162"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89,500.02</w:t>
                    </w:r>
                  </w:p>
                </w:tc>
              </w:tr>
              <w:tr w:rsidR="00D21C1F" w:rsidRPr="00F72EBF" w14:paraId="3D72A5F5" w14:textId="77777777">
                <w:tc>
                  <w:tcPr>
                    <w:tcW w:w="4524" w:type="dxa"/>
                    <w:vAlign w:val="bottom"/>
                  </w:tcPr>
                  <w:p w14:paraId="2B5027E4"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Y100016005</w:t>
                    </w:r>
                  </w:p>
                </w:tc>
                <w:tc>
                  <w:tcPr>
                    <w:tcW w:w="4524" w:type="dxa"/>
                    <w:vAlign w:val="bottom"/>
                  </w:tcPr>
                  <w:p w14:paraId="3D172EFE"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1,166,283.00</w:t>
                    </w:r>
                  </w:p>
                </w:tc>
              </w:tr>
              <w:tr w:rsidR="00D21C1F" w:rsidRPr="00F72EBF" w14:paraId="6BA8740E" w14:textId="77777777">
                <w:tc>
                  <w:tcPr>
                    <w:tcW w:w="4524" w:type="dxa"/>
                    <w:vAlign w:val="bottom"/>
                  </w:tcPr>
                  <w:p w14:paraId="7255801E"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Y100021001</w:t>
                    </w:r>
                  </w:p>
                </w:tc>
                <w:tc>
                  <w:tcPr>
                    <w:tcW w:w="4524" w:type="dxa"/>
                    <w:vAlign w:val="bottom"/>
                  </w:tcPr>
                  <w:p w14:paraId="5520F01D"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300,000.00</w:t>
                    </w:r>
                  </w:p>
                </w:tc>
              </w:tr>
              <w:tr w:rsidR="00D21C1F" w:rsidRPr="00F72EBF" w14:paraId="1CD1D712" w14:textId="77777777">
                <w:tc>
                  <w:tcPr>
                    <w:tcW w:w="4524" w:type="dxa"/>
                    <w:vAlign w:val="bottom"/>
                  </w:tcPr>
                  <w:p w14:paraId="38793007"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Y100021002</w:t>
                    </w:r>
                  </w:p>
                </w:tc>
                <w:tc>
                  <w:tcPr>
                    <w:tcW w:w="4524" w:type="dxa"/>
                    <w:vAlign w:val="bottom"/>
                  </w:tcPr>
                  <w:p w14:paraId="1C344899"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18,000.00</w:t>
                    </w:r>
                  </w:p>
                </w:tc>
              </w:tr>
              <w:tr w:rsidR="00D21C1F" w:rsidRPr="00F72EBF" w14:paraId="1F7576D0" w14:textId="77777777">
                <w:tc>
                  <w:tcPr>
                    <w:tcW w:w="4524" w:type="dxa"/>
                    <w:vAlign w:val="bottom"/>
                  </w:tcPr>
                  <w:p w14:paraId="39349DF0"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Y100021003</w:t>
                    </w:r>
                  </w:p>
                </w:tc>
                <w:tc>
                  <w:tcPr>
                    <w:tcW w:w="4524" w:type="dxa"/>
                    <w:vAlign w:val="bottom"/>
                  </w:tcPr>
                  <w:p w14:paraId="329BD63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162,240.00</w:t>
                    </w:r>
                  </w:p>
                </w:tc>
              </w:tr>
              <w:tr w:rsidR="00D21C1F" w:rsidRPr="00F72EBF" w14:paraId="409F37AB" w14:textId="77777777">
                <w:tc>
                  <w:tcPr>
                    <w:tcW w:w="4524" w:type="dxa"/>
                    <w:vAlign w:val="bottom"/>
                  </w:tcPr>
                  <w:p w14:paraId="785BCEF1"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Y100021004</w:t>
                    </w:r>
                  </w:p>
                </w:tc>
                <w:tc>
                  <w:tcPr>
                    <w:tcW w:w="4524" w:type="dxa"/>
                    <w:vAlign w:val="bottom"/>
                  </w:tcPr>
                  <w:p w14:paraId="751EFB6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108,160.00</w:t>
                    </w:r>
                  </w:p>
                </w:tc>
              </w:tr>
              <w:tr w:rsidR="00D21C1F" w:rsidRPr="00F72EBF" w14:paraId="38F47FFF" w14:textId="77777777">
                <w:tc>
                  <w:tcPr>
                    <w:tcW w:w="4524" w:type="dxa"/>
                    <w:vAlign w:val="bottom"/>
                  </w:tcPr>
                  <w:p w14:paraId="37277D34"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Y100021005</w:t>
                    </w:r>
                  </w:p>
                </w:tc>
                <w:tc>
                  <w:tcPr>
                    <w:tcW w:w="4524" w:type="dxa"/>
                    <w:vAlign w:val="bottom"/>
                  </w:tcPr>
                  <w:p w14:paraId="00FB04D1"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300,000.00</w:t>
                    </w:r>
                  </w:p>
                </w:tc>
              </w:tr>
              <w:tr w:rsidR="00D21C1F" w:rsidRPr="00F72EBF" w14:paraId="79A470AA" w14:textId="77777777">
                <w:tc>
                  <w:tcPr>
                    <w:tcW w:w="4524" w:type="dxa"/>
                    <w:vAlign w:val="bottom"/>
                  </w:tcPr>
                  <w:p w14:paraId="16DF2AB7"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Y100021006</w:t>
                    </w:r>
                  </w:p>
                </w:tc>
                <w:tc>
                  <w:tcPr>
                    <w:tcW w:w="4524" w:type="dxa"/>
                    <w:vAlign w:val="bottom"/>
                  </w:tcPr>
                  <w:p w14:paraId="0A765B97"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80,000.00</w:t>
                    </w:r>
                  </w:p>
                </w:tc>
              </w:tr>
              <w:tr w:rsidR="00D21C1F" w:rsidRPr="00F72EBF" w14:paraId="4A1C585A" w14:textId="77777777">
                <w:tc>
                  <w:tcPr>
                    <w:tcW w:w="4524" w:type="dxa"/>
                    <w:vAlign w:val="bottom"/>
                  </w:tcPr>
                  <w:p w14:paraId="34832E88"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Y100021008</w:t>
                    </w:r>
                  </w:p>
                </w:tc>
                <w:tc>
                  <w:tcPr>
                    <w:tcW w:w="4524" w:type="dxa"/>
                    <w:vAlign w:val="bottom"/>
                  </w:tcPr>
                  <w:p w14:paraId="279CEC27"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63,099.31</w:t>
                    </w:r>
                  </w:p>
                </w:tc>
              </w:tr>
              <w:tr w:rsidR="00D21C1F" w:rsidRPr="00F72EBF" w14:paraId="092C670B" w14:textId="77777777">
                <w:tc>
                  <w:tcPr>
                    <w:tcW w:w="4524" w:type="dxa"/>
                    <w:vAlign w:val="bottom"/>
                  </w:tcPr>
                  <w:p w14:paraId="3C7659C6"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B110021001</w:t>
                    </w:r>
                  </w:p>
                </w:tc>
                <w:tc>
                  <w:tcPr>
                    <w:tcW w:w="4524" w:type="dxa"/>
                    <w:vAlign w:val="bottom"/>
                  </w:tcPr>
                  <w:p w14:paraId="235EDC0B"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6,408.41</w:t>
                    </w:r>
                  </w:p>
                </w:tc>
              </w:tr>
              <w:tr w:rsidR="00D21C1F" w:rsidRPr="00F72EBF" w14:paraId="4E9879CD" w14:textId="77777777">
                <w:tc>
                  <w:tcPr>
                    <w:tcW w:w="4524" w:type="dxa"/>
                    <w:vAlign w:val="bottom"/>
                  </w:tcPr>
                  <w:p w14:paraId="0779CAB2"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B110021003</w:t>
                    </w:r>
                  </w:p>
                </w:tc>
                <w:tc>
                  <w:tcPr>
                    <w:tcW w:w="4524" w:type="dxa"/>
                    <w:vAlign w:val="bottom"/>
                  </w:tcPr>
                  <w:p w14:paraId="6661BCE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900.00</w:t>
                    </w:r>
                  </w:p>
                </w:tc>
              </w:tr>
              <w:tr w:rsidR="00D21C1F" w:rsidRPr="00F72EBF" w14:paraId="71C56642" w14:textId="77777777">
                <w:tc>
                  <w:tcPr>
                    <w:tcW w:w="4524" w:type="dxa"/>
                    <w:vAlign w:val="bottom"/>
                  </w:tcPr>
                  <w:p w14:paraId="4A859ACB"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B200021001</w:t>
                    </w:r>
                  </w:p>
                </w:tc>
                <w:tc>
                  <w:tcPr>
                    <w:tcW w:w="4524" w:type="dxa"/>
                    <w:vAlign w:val="bottom"/>
                  </w:tcPr>
                  <w:p w14:paraId="0290381D"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4,884.89</w:t>
                    </w:r>
                  </w:p>
                </w:tc>
              </w:tr>
              <w:tr w:rsidR="00D21C1F" w:rsidRPr="00F72EBF" w14:paraId="3E0A45E9" w14:textId="77777777">
                <w:tc>
                  <w:tcPr>
                    <w:tcW w:w="4524" w:type="dxa"/>
                    <w:vAlign w:val="bottom"/>
                  </w:tcPr>
                  <w:p w14:paraId="3CF0D4E3"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lastRenderedPageBreak/>
                      <w:t>B200021002</w:t>
                    </w:r>
                  </w:p>
                </w:tc>
                <w:tc>
                  <w:tcPr>
                    <w:tcW w:w="4524" w:type="dxa"/>
                    <w:vAlign w:val="bottom"/>
                  </w:tcPr>
                  <w:p w14:paraId="7E23CA06"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50,000.00</w:t>
                    </w:r>
                  </w:p>
                </w:tc>
              </w:tr>
              <w:tr w:rsidR="00D21C1F" w:rsidRPr="00F72EBF" w14:paraId="4569B29B" w14:textId="77777777">
                <w:tc>
                  <w:tcPr>
                    <w:tcW w:w="4524" w:type="dxa"/>
                    <w:vAlign w:val="bottom"/>
                  </w:tcPr>
                  <w:p w14:paraId="2B28CDB1"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Y200021001</w:t>
                    </w:r>
                  </w:p>
                </w:tc>
                <w:tc>
                  <w:tcPr>
                    <w:tcW w:w="4524" w:type="dxa"/>
                    <w:vAlign w:val="bottom"/>
                  </w:tcPr>
                  <w:p w14:paraId="5767D52B"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46,600.00</w:t>
                    </w:r>
                  </w:p>
                </w:tc>
              </w:tr>
              <w:tr w:rsidR="00D21C1F" w:rsidRPr="00F72EBF" w14:paraId="7BAD7A88" w14:textId="77777777">
                <w:tc>
                  <w:tcPr>
                    <w:tcW w:w="4524" w:type="dxa"/>
                    <w:vAlign w:val="bottom"/>
                  </w:tcPr>
                  <w:p w14:paraId="02F5B1F0"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Y200021001</w:t>
                    </w:r>
                  </w:p>
                </w:tc>
                <w:tc>
                  <w:tcPr>
                    <w:tcW w:w="4524" w:type="dxa"/>
                    <w:vAlign w:val="bottom"/>
                  </w:tcPr>
                  <w:p w14:paraId="26B7FE8F"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91,500.00</w:t>
                    </w:r>
                  </w:p>
                </w:tc>
              </w:tr>
              <w:tr w:rsidR="00D21C1F" w:rsidRPr="00F72EBF" w14:paraId="1BA948DF" w14:textId="77777777">
                <w:tc>
                  <w:tcPr>
                    <w:tcW w:w="4524" w:type="dxa"/>
                    <w:vAlign w:val="bottom"/>
                  </w:tcPr>
                  <w:p w14:paraId="4942A84B"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B200021003</w:t>
                    </w:r>
                  </w:p>
                </w:tc>
                <w:tc>
                  <w:tcPr>
                    <w:tcW w:w="4524" w:type="dxa"/>
                    <w:vAlign w:val="bottom"/>
                  </w:tcPr>
                  <w:p w14:paraId="1D3F2CE0"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1,000.00</w:t>
                    </w:r>
                  </w:p>
                </w:tc>
              </w:tr>
              <w:tr w:rsidR="00D21C1F" w:rsidRPr="00F72EBF" w14:paraId="27B9558E" w14:textId="77777777">
                <w:tc>
                  <w:tcPr>
                    <w:tcW w:w="4524" w:type="dxa"/>
                    <w:vAlign w:val="bottom"/>
                  </w:tcPr>
                  <w:p w14:paraId="485D4F07"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B300021001</w:t>
                    </w:r>
                  </w:p>
                </w:tc>
                <w:tc>
                  <w:tcPr>
                    <w:tcW w:w="4524" w:type="dxa"/>
                    <w:vAlign w:val="bottom"/>
                  </w:tcPr>
                  <w:p w14:paraId="3EADAC57"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6,956.89</w:t>
                    </w:r>
                  </w:p>
                </w:tc>
              </w:tr>
              <w:tr w:rsidR="00D21C1F" w:rsidRPr="00F72EBF" w14:paraId="3EF9CE10" w14:textId="77777777">
                <w:tc>
                  <w:tcPr>
                    <w:tcW w:w="4524" w:type="dxa"/>
                    <w:vAlign w:val="bottom"/>
                  </w:tcPr>
                  <w:p w14:paraId="0C13FB29"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B302021001</w:t>
                    </w:r>
                  </w:p>
                </w:tc>
                <w:tc>
                  <w:tcPr>
                    <w:tcW w:w="4524" w:type="dxa"/>
                    <w:vAlign w:val="bottom"/>
                  </w:tcPr>
                  <w:p w14:paraId="75970DD0"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90,800.00</w:t>
                    </w:r>
                  </w:p>
                </w:tc>
              </w:tr>
              <w:tr w:rsidR="00D21C1F" w:rsidRPr="00F72EBF" w14:paraId="2200E5FE" w14:textId="77777777">
                <w:tc>
                  <w:tcPr>
                    <w:tcW w:w="4524" w:type="dxa"/>
                    <w:vAlign w:val="bottom"/>
                  </w:tcPr>
                  <w:p w14:paraId="10630C10"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B302021002</w:t>
                    </w:r>
                  </w:p>
                </w:tc>
                <w:tc>
                  <w:tcPr>
                    <w:tcW w:w="4524" w:type="dxa"/>
                    <w:vAlign w:val="bottom"/>
                  </w:tcPr>
                  <w:p w14:paraId="42D289E5"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1,000.00</w:t>
                    </w:r>
                  </w:p>
                </w:tc>
              </w:tr>
              <w:tr w:rsidR="00D21C1F" w:rsidRPr="00F72EBF" w14:paraId="385E3096" w14:textId="77777777">
                <w:tc>
                  <w:tcPr>
                    <w:tcW w:w="4524" w:type="dxa"/>
                    <w:vAlign w:val="bottom"/>
                  </w:tcPr>
                  <w:p w14:paraId="178405E9"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B302021003</w:t>
                    </w:r>
                  </w:p>
                </w:tc>
                <w:tc>
                  <w:tcPr>
                    <w:tcW w:w="4524" w:type="dxa"/>
                    <w:vAlign w:val="bottom"/>
                  </w:tcPr>
                  <w:p w14:paraId="3EE37DCE"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399.00</w:t>
                    </w:r>
                  </w:p>
                </w:tc>
              </w:tr>
              <w:tr w:rsidR="00D21C1F" w:rsidRPr="00F72EBF" w14:paraId="683C6454" w14:textId="77777777">
                <w:tc>
                  <w:tcPr>
                    <w:tcW w:w="4524" w:type="dxa"/>
                    <w:vAlign w:val="bottom"/>
                  </w:tcPr>
                  <w:p w14:paraId="107AC1C9"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B302021004</w:t>
                    </w:r>
                  </w:p>
                </w:tc>
                <w:tc>
                  <w:tcPr>
                    <w:tcW w:w="4524" w:type="dxa"/>
                    <w:vAlign w:val="bottom"/>
                  </w:tcPr>
                  <w:p w14:paraId="506906F2"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6,000.00</w:t>
                    </w:r>
                  </w:p>
                </w:tc>
              </w:tr>
              <w:tr w:rsidR="00D21C1F" w:rsidRPr="00F72EBF" w14:paraId="306340F4" w14:textId="77777777">
                <w:tc>
                  <w:tcPr>
                    <w:tcW w:w="4524" w:type="dxa"/>
                    <w:vAlign w:val="bottom"/>
                  </w:tcPr>
                  <w:p w14:paraId="6FE1D25D"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Y400021001</w:t>
                    </w:r>
                  </w:p>
                </w:tc>
                <w:tc>
                  <w:tcPr>
                    <w:tcW w:w="4524" w:type="dxa"/>
                    <w:vAlign w:val="bottom"/>
                  </w:tcPr>
                  <w:p w14:paraId="4550308C"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958.17</w:t>
                    </w:r>
                  </w:p>
                </w:tc>
              </w:tr>
              <w:tr w:rsidR="00D21C1F" w:rsidRPr="00F72EBF" w14:paraId="346AC0F5" w14:textId="77777777">
                <w:tc>
                  <w:tcPr>
                    <w:tcW w:w="4524" w:type="dxa"/>
                    <w:vAlign w:val="bottom"/>
                  </w:tcPr>
                  <w:p w14:paraId="6ABF9F2A" w14:textId="77777777" w:rsidR="00D21C1F" w:rsidRPr="00F72EBF" w:rsidRDefault="00A42880">
                    <w:pPr>
                      <w:jc w:val="center"/>
                      <w:rPr>
                        <w:rFonts w:ascii="Times New Roman" w:hAnsi="Times New Roman" w:cs="Times New Roman"/>
                      </w:rPr>
                    </w:pPr>
                    <w:r w:rsidRPr="00F72EBF">
                      <w:rPr>
                        <w:rFonts w:ascii="Times New Roman" w:hAnsi="Times New Roman" w:cs="Times New Roman"/>
                      </w:rPr>
                      <w:t>合计</w:t>
                    </w:r>
                  </w:p>
                </w:tc>
                <w:tc>
                  <w:tcPr>
                    <w:tcW w:w="4524" w:type="dxa"/>
                    <w:vAlign w:val="bottom"/>
                  </w:tcPr>
                  <w:p w14:paraId="5449F5E2" w14:textId="77777777" w:rsidR="00D21C1F" w:rsidRPr="00F72EBF" w:rsidRDefault="00A42880">
                    <w:pPr>
                      <w:jc w:val="right"/>
                      <w:rPr>
                        <w:rFonts w:ascii="Times New Roman" w:hAnsi="Times New Roman" w:cs="Times New Roman"/>
                      </w:rPr>
                    </w:pPr>
                    <w:r w:rsidRPr="00F72EBF">
                      <w:rPr>
                        <w:rFonts w:ascii="Times New Roman" w:hAnsi="Times New Roman" w:cs="Times New Roman"/>
                      </w:rPr>
                      <w:t>3,039,689.65</w:t>
                    </w:r>
                  </w:p>
                </w:tc>
              </w:tr>
            </w:tbl>
            <w:p w14:paraId="7E795962" w14:textId="77777777" w:rsidR="00D21C1F" w:rsidRDefault="00045EC6">
              <w:pPr>
                <w:pStyle w:val="97"/>
              </w:pPr>
            </w:p>
          </w:sdtContent>
        </w:sdt>
      </w:sdtContent>
    </w:sdt>
    <w:p w14:paraId="1066F167" w14:textId="77777777" w:rsidR="00D21C1F" w:rsidRDefault="00D21C1F">
      <w:pPr>
        <w:rPr>
          <w:szCs w:val="21"/>
        </w:rPr>
      </w:pPr>
    </w:p>
    <w:bookmarkStart w:id="284" w:name="_Hlk11857276" w:displacedByCustomXml="next"/>
    <w:sdt>
      <w:sdtPr>
        <w:rPr>
          <w:rFonts w:ascii="Times New Roman" w:eastAsia="宋体" w:hAnsi="Times New Roman" w:cs="宋体"/>
          <w:b w:val="0"/>
          <w:bCs w:val="0"/>
          <w:kern w:val="0"/>
          <w:szCs w:val="21"/>
        </w:rPr>
        <w:alias w:val="模块:投资收益   单位：元币种：人民币项目本期发生额上期发..."/>
        <w:tag w:val="_SEC_56e74a133dff4dcebe7ed76c1a92a2e5"/>
        <w:id w:val="387230557"/>
        <w:lock w:val="sdtLocked"/>
        <w:placeholder>
          <w:docPart w:val="GBC22222222222222222222222222222"/>
        </w:placeholder>
      </w:sdtPr>
      <w:sdtEndPr/>
      <w:sdtContent>
        <w:p w14:paraId="5847A601" w14:textId="77777777" w:rsidR="00D21C1F" w:rsidRPr="00F72EBF" w:rsidRDefault="00A42880">
          <w:pPr>
            <w:pStyle w:val="94"/>
            <w:numPr>
              <w:ilvl w:val="0"/>
              <w:numId w:val="95"/>
            </w:numPr>
            <w:tabs>
              <w:tab w:val="left" w:pos="504"/>
            </w:tabs>
            <w:rPr>
              <w:rFonts w:ascii="Times New Roman" w:hAnsi="Times New Roman"/>
              <w:szCs w:val="21"/>
            </w:rPr>
          </w:pPr>
          <w:r w:rsidRPr="00F72EBF">
            <w:rPr>
              <w:rFonts w:ascii="Times New Roman" w:hAnsi="Times New Roman"/>
              <w:szCs w:val="21"/>
            </w:rPr>
            <w:t>投资收益</w:t>
          </w:r>
        </w:p>
        <w:sdt>
          <w:sdtPr>
            <w:rPr>
              <w:rFonts w:ascii="Times New Roman" w:hAnsi="Times New Roman" w:cs="Times New Roman"/>
            </w:rPr>
            <w:alias w:val="是否适用：投资收益[双击切换]"/>
            <w:tag w:val="_GBC_39356fd9dd9e4f5497d61d781210b2fe"/>
            <w:id w:val="806670468"/>
            <w:lock w:val="sdtLocked"/>
            <w:placeholder>
              <w:docPart w:val="GBC22222222222222222222222222222"/>
            </w:placeholder>
          </w:sdtPr>
          <w:sdtEndPr/>
          <w:sdtContent>
            <w:p w14:paraId="4FB846EF"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6B861F1B" w14:textId="77777777" w:rsidR="00D21C1F" w:rsidRPr="00F72EBF" w:rsidRDefault="00A42880">
          <w:pPr>
            <w:jc w:val="right"/>
            <w:rPr>
              <w:rFonts w:ascii="Times New Roman" w:hAnsi="Times New Roman" w:cs="Times New Roman"/>
              <w:b/>
              <w:szCs w:val="21"/>
            </w:rPr>
          </w:pPr>
          <w:bookmarkStart w:id="285" w:name="_Hlk10538462"/>
          <w:r w:rsidRPr="00F72EBF">
            <w:rPr>
              <w:rFonts w:ascii="Times New Roman" w:hAnsi="Times New Roman" w:cs="Times New Roman"/>
              <w:szCs w:val="21"/>
            </w:rPr>
            <w:t>单位：</w:t>
          </w:r>
          <w:sdt>
            <w:sdtPr>
              <w:rPr>
                <w:rFonts w:ascii="Times New Roman" w:hAnsi="Times New Roman" w:cs="Times New Roman"/>
                <w:szCs w:val="21"/>
              </w:rPr>
              <w:alias w:val="单位：财务附注：会计报表中的投资收益项目增加"/>
              <w:tag w:val="_GBC_8785b82a02ca4b0db1de3227128775b4"/>
              <w:id w:val="-98870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cs="Times New Roman"/>
                  <w:szCs w:val="21"/>
                </w:rPr>
                <w:t>元</w:t>
              </w:r>
            </w:sdtContent>
          </w:sdt>
          <w:r w:rsidRPr="00F72EBF">
            <w:rPr>
              <w:rFonts w:ascii="Times New Roman" w:hAnsi="Times New Roman" w:cs="Times New Roman"/>
              <w:szCs w:val="21"/>
            </w:rPr>
            <w:t>币种：</w:t>
          </w:r>
          <w:sdt>
            <w:sdtPr>
              <w:rPr>
                <w:rFonts w:ascii="Times New Roman" w:hAnsi="Times New Roman" w:cs="Times New Roman"/>
                <w:szCs w:val="21"/>
              </w:rPr>
              <w:alias w:val="币种：财务附注：会计报表中的投资收益项目增加"/>
              <w:tag w:val="_GBC_c4394dc445a94e9a8a4b83889c79fcb1"/>
              <w:id w:val="-2054214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D21C1F" w:rsidRPr="00F72EBF" w14:paraId="71033138" w14:textId="77777777">
            <w:bookmarkEnd w:id="285" w:displacedByCustomXml="next"/>
            <w:sdt>
              <w:sdtPr>
                <w:rPr>
                  <w:rFonts w:ascii="Times New Roman" w:hAnsi="Times New Roman" w:cs="Times New Roman"/>
                </w:rPr>
                <w:tag w:val="_PLD_2fef67a5db2c453288257a2dfe03fd6e"/>
                <w:id w:val="-395209491"/>
                <w:lock w:val="sdtLocked"/>
              </w:sdtPr>
              <w:sdtEndPr/>
              <w:sdtContent>
                <w:tc>
                  <w:tcPr>
                    <w:tcW w:w="2018" w:type="pct"/>
                    <w:vAlign w:val="center"/>
                  </w:tcPr>
                  <w:p w14:paraId="13643850" w14:textId="77777777" w:rsidR="00D21C1F" w:rsidRPr="00F72EBF" w:rsidRDefault="00A42880">
                    <w:pPr>
                      <w:ind w:left="420" w:hanging="420"/>
                      <w:jc w:val="center"/>
                      <w:rPr>
                        <w:rFonts w:ascii="Times New Roman" w:hAnsi="Times New Roman" w:cs="Times New Roman"/>
                        <w:szCs w:val="21"/>
                      </w:rPr>
                    </w:pPr>
                    <w:r w:rsidRPr="00F72EBF">
                      <w:rPr>
                        <w:rFonts w:ascii="Times New Roman" w:hAnsi="Times New Roman" w:cs="Times New Roman"/>
                        <w:szCs w:val="21"/>
                      </w:rPr>
                      <w:t>项目</w:t>
                    </w:r>
                  </w:p>
                </w:tc>
              </w:sdtContent>
            </w:sdt>
            <w:sdt>
              <w:sdtPr>
                <w:rPr>
                  <w:rFonts w:ascii="Times New Roman" w:hAnsi="Times New Roman" w:cs="Times New Roman"/>
                </w:rPr>
                <w:tag w:val="_PLD_3f927d0ff25c47abb0f9b18794554af6"/>
                <w:id w:val="-1359659554"/>
                <w:lock w:val="sdtLocked"/>
              </w:sdtPr>
              <w:sdtEndPr/>
              <w:sdtContent>
                <w:tc>
                  <w:tcPr>
                    <w:tcW w:w="1488" w:type="pct"/>
                    <w:vAlign w:val="center"/>
                  </w:tcPr>
                  <w:p w14:paraId="06D0FEF4"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本期发生额</w:t>
                    </w:r>
                  </w:p>
                </w:tc>
              </w:sdtContent>
            </w:sdt>
            <w:sdt>
              <w:sdtPr>
                <w:rPr>
                  <w:rFonts w:ascii="Times New Roman" w:hAnsi="Times New Roman" w:cs="Times New Roman"/>
                </w:rPr>
                <w:tag w:val="_PLD_a6cbfed1438f48b7947079a5821a9eba"/>
                <w:id w:val="-808859303"/>
                <w:lock w:val="sdtLocked"/>
              </w:sdtPr>
              <w:sdtEndPr/>
              <w:sdtContent>
                <w:tc>
                  <w:tcPr>
                    <w:tcW w:w="1494" w:type="pct"/>
                    <w:vAlign w:val="center"/>
                  </w:tcPr>
                  <w:p w14:paraId="1AD1785C"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上期发生额</w:t>
                    </w:r>
                  </w:p>
                </w:tc>
              </w:sdtContent>
            </w:sdt>
          </w:tr>
          <w:tr w:rsidR="00D21C1F" w:rsidRPr="00F72EBF" w14:paraId="0A7EE9F5" w14:textId="77777777">
            <w:sdt>
              <w:sdtPr>
                <w:rPr>
                  <w:rFonts w:ascii="Times New Roman" w:hAnsi="Times New Roman" w:cs="Times New Roman"/>
                </w:rPr>
                <w:tag w:val="_PLD_095c5821555f4f22a6901c43ff8cf9ed"/>
                <w:id w:val="-795831646"/>
                <w:lock w:val="sdtLocked"/>
              </w:sdtPr>
              <w:sdtEndPr/>
              <w:sdtContent>
                <w:tc>
                  <w:tcPr>
                    <w:tcW w:w="2018" w:type="pct"/>
                  </w:tcPr>
                  <w:p w14:paraId="22841C58"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权益法核算的长期股权投资收益</w:t>
                    </w:r>
                  </w:p>
                </w:tc>
              </w:sdtContent>
            </w:sdt>
            <w:tc>
              <w:tcPr>
                <w:tcW w:w="1488" w:type="pct"/>
                <w:vAlign w:val="center"/>
              </w:tcPr>
              <w:p w14:paraId="41401E21"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989,995.72</w:t>
                </w:r>
              </w:p>
            </w:tc>
            <w:tc>
              <w:tcPr>
                <w:tcW w:w="1494" w:type="pct"/>
                <w:vAlign w:val="center"/>
              </w:tcPr>
              <w:p w14:paraId="53D0C0BD"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-450,537.88</w:t>
                </w:r>
              </w:p>
            </w:tc>
          </w:tr>
          <w:sdt>
            <w:sdtPr>
              <w:rPr>
                <w:rFonts w:ascii="Times New Roman" w:eastAsia="宋体" w:hAnsi="Times New Roman" w:cs="Times New Roman"/>
              </w:rPr>
              <w:alias w:val="其他投资收益"/>
              <w:tag w:val="_TUP_1e4670059c8948749cda0c0baf7948f3"/>
              <w:id w:val="-1460638762"/>
              <w:lock w:val="sdtLocked"/>
            </w:sdtPr>
            <w:sdtEndPr>
              <w:rPr>
                <w:szCs w:val="21"/>
              </w:rPr>
            </w:sdtEndPr>
            <w:sdtContent>
              <w:tr w:rsidR="00D21C1F" w:rsidRPr="00F72EBF" w14:paraId="31BE48A7" w14:textId="77777777">
                <w:tc>
                  <w:tcPr>
                    <w:tcW w:w="2018" w:type="pct"/>
                  </w:tcPr>
                  <w:p w14:paraId="41E20092"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t>理财产品</w:t>
                    </w:r>
                  </w:p>
                </w:tc>
                <w:tc>
                  <w:tcPr>
                    <w:tcW w:w="1488" w:type="pct"/>
                  </w:tcPr>
                  <w:p w14:paraId="163CAD18"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12,910,914.11</w:t>
                    </w:r>
                  </w:p>
                </w:tc>
                <w:tc>
                  <w:tcPr>
                    <w:tcW w:w="1494" w:type="pct"/>
                  </w:tcPr>
                  <w:p w14:paraId="30C93335"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342,338.77</w:t>
                    </w:r>
                  </w:p>
                </w:tc>
              </w:tr>
            </w:sdtContent>
          </w:sdt>
          <w:tr w:rsidR="00D21C1F" w:rsidRPr="00F72EBF" w14:paraId="1B95DBAC" w14:textId="77777777">
            <w:sdt>
              <w:sdtPr>
                <w:rPr>
                  <w:rFonts w:ascii="Times New Roman" w:hAnsi="Times New Roman" w:cs="Times New Roman"/>
                </w:rPr>
                <w:tag w:val="_PLD_11e45f17edee4a0fa17110849cf94fad"/>
                <w:id w:val="1367494289"/>
                <w:lock w:val="sdtLocked"/>
              </w:sdtPr>
              <w:sdtEndPr/>
              <w:sdtContent>
                <w:tc>
                  <w:tcPr>
                    <w:tcW w:w="2018" w:type="pct"/>
                    <w:vAlign w:val="center"/>
                  </w:tcPr>
                  <w:p w14:paraId="6BF604AF" w14:textId="77777777" w:rsidR="00D21C1F" w:rsidRPr="00F72EBF" w:rsidRDefault="00A42880">
                    <w:pPr>
                      <w:jc w:val="center"/>
                      <w:rPr>
                        <w:rFonts w:ascii="Times New Roman" w:hAnsi="Times New Roman" w:cs="Times New Roman"/>
                        <w:szCs w:val="21"/>
                      </w:rPr>
                    </w:pPr>
                    <w:r w:rsidRPr="00F72EBF">
                      <w:rPr>
                        <w:rFonts w:ascii="Times New Roman" w:hAnsi="Times New Roman" w:cs="Times New Roman"/>
                        <w:szCs w:val="21"/>
                      </w:rPr>
                      <w:t>合计</w:t>
                    </w:r>
                  </w:p>
                </w:tc>
              </w:sdtContent>
            </w:sdt>
            <w:tc>
              <w:tcPr>
                <w:tcW w:w="1488" w:type="pct"/>
                <w:vAlign w:val="center"/>
              </w:tcPr>
              <w:p w14:paraId="581E9B7E"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13,900,909.83</w:t>
                </w:r>
              </w:p>
            </w:tc>
            <w:tc>
              <w:tcPr>
                <w:tcW w:w="1494" w:type="pct"/>
                <w:vAlign w:val="center"/>
              </w:tcPr>
              <w:p w14:paraId="29401C99"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rPr>
                  <w:t>-108,199.11</w:t>
                </w:r>
              </w:p>
            </w:tc>
          </w:tr>
        </w:tbl>
        <w:p w14:paraId="5F1910E7" w14:textId="77777777" w:rsidR="00D21C1F" w:rsidRPr="00F72EBF" w:rsidRDefault="00A42880">
          <w:pPr>
            <w:spacing w:before="60" w:after="60" w:line="360" w:lineRule="exact"/>
            <w:rPr>
              <w:rFonts w:ascii="Times New Roman" w:hAnsi="Times New Roman" w:cs="Times New Roman"/>
              <w:szCs w:val="21"/>
            </w:rPr>
          </w:pPr>
          <w:r w:rsidRPr="00F72EBF">
            <w:rPr>
              <w:rFonts w:ascii="Times New Roman" w:hAnsi="Times New Roman" w:cs="Times New Roman"/>
              <w:szCs w:val="21"/>
            </w:rPr>
            <w:t>其他说明：</w:t>
          </w:r>
        </w:p>
        <w:sdt>
          <w:sdtPr>
            <w:rPr>
              <w:rFonts w:ascii="Times New Roman" w:hAnsi="Times New Roman" w:cs="Times New Roman"/>
              <w:szCs w:val="21"/>
            </w:rPr>
            <w:alias w:val="投资收益说明"/>
            <w:tag w:val="_GBC_911712f239a14e98b4c6c89180ceef27"/>
            <w:id w:val="1660191476"/>
            <w:lock w:val="sdtLocked"/>
            <w:placeholder>
              <w:docPart w:val="GBC22222222222222222222222222222"/>
            </w:placeholder>
          </w:sdtPr>
          <w:sdtEndPr/>
          <w:sdtContent>
            <w:p w14:paraId="5FAA4954" w14:textId="77777777" w:rsidR="00D21C1F" w:rsidRDefault="00A42880">
              <w:pPr>
                <w:autoSpaceDE w:val="0"/>
                <w:autoSpaceDN w:val="0"/>
                <w:adjustRightInd w:val="0"/>
                <w:rPr>
                  <w:szCs w:val="21"/>
                </w:rPr>
              </w:pPr>
              <w:r w:rsidRPr="00F72EBF">
                <w:rPr>
                  <w:rFonts w:ascii="Times New Roman" w:hAnsi="Times New Roman" w:cs="Times New Roman"/>
                  <w:szCs w:val="21"/>
                </w:rPr>
                <w:t>无</w:t>
              </w:r>
            </w:p>
          </w:sdtContent>
        </w:sdt>
      </w:sdtContent>
    </w:sdt>
    <w:bookmarkEnd w:id="284"/>
    <w:p w14:paraId="22CC0C6F" w14:textId="77777777" w:rsidR="00D21C1F" w:rsidRDefault="00D21C1F">
      <w:pPr>
        <w:autoSpaceDE w:val="0"/>
        <w:autoSpaceDN w:val="0"/>
        <w:adjustRightInd w:val="0"/>
        <w:rPr>
          <w:szCs w:val="21"/>
        </w:rPr>
      </w:pPr>
    </w:p>
    <w:bookmarkStart w:id="286" w:name="_Hlk10538831" w:displacedByCustomXml="next"/>
    <w:sdt>
      <w:sdtPr>
        <w:rPr>
          <w:rFonts w:ascii="宋体" w:hAnsi="宋体" w:cs="宋体" w:hint="eastAsia"/>
          <w:b w:val="0"/>
          <w:bCs w:val="0"/>
          <w:kern w:val="0"/>
          <w:szCs w:val="21"/>
        </w:rPr>
        <w:alias w:val="模块:净敞口套期收益"/>
        <w:tag w:val="_SEC_cbd8186e9cf3452cab63fa24a69149bc"/>
        <w:id w:val="-1496646718"/>
        <w:lock w:val="sdtLocked"/>
        <w:placeholder>
          <w:docPart w:val="GBC22222222222222222222222222222"/>
        </w:placeholder>
      </w:sdtPr>
      <w:sdtEndPr>
        <w:rPr>
          <w:rFonts w:hint="default"/>
          <w:szCs w:val="24"/>
        </w:rPr>
      </w:sdtEndPr>
      <w:sdtContent>
        <w:p w14:paraId="0905CDE7"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1651242855"/>
            <w:lock w:val="sdtLocked"/>
            <w:placeholder>
              <w:docPart w:val="GBC22222222222222222222222222222"/>
            </w:placeholder>
          </w:sdtPr>
          <w:sdtEndPr/>
          <w:sdtContent>
            <w:p w14:paraId="3EB8C6A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86"/>
    <w:p w14:paraId="51A99CD4" w14:textId="77777777" w:rsidR="00D21C1F" w:rsidRDefault="00D21C1F">
      <w:pPr>
        <w:pStyle w:val="97"/>
      </w:pPr>
    </w:p>
    <w:bookmarkStart w:id="287" w:name="_Hlk10538896" w:displacedByCustomXml="next"/>
    <w:sdt>
      <w:sdtPr>
        <w:rPr>
          <w:rFonts w:ascii="Times New Roman" w:eastAsia="宋体" w:hAnsi="Times New Roman" w:cs="宋体"/>
          <w:b w:val="0"/>
          <w:bCs w:val="0"/>
          <w:kern w:val="0"/>
          <w:szCs w:val="21"/>
        </w:rPr>
        <w:alias w:val="模块:公允价值变动收益"/>
        <w:tag w:val="_GBC_66e6cb51ec7740408a31ff233ae3330d"/>
        <w:id w:val="-1080131492"/>
        <w:lock w:val="sdtLocked"/>
        <w:placeholder>
          <w:docPart w:val="GBC22222222222222222222222222222"/>
        </w:placeholder>
      </w:sdtPr>
      <w:sdtEndPr>
        <w:rPr>
          <w:kern w:val="2"/>
        </w:rPr>
      </w:sdtEndPr>
      <w:sdtContent>
        <w:p w14:paraId="72F258A3" w14:textId="77777777" w:rsidR="00D21C1F" w:rsidRPr="00F72EBF" w:rsidRDefault="00A42880">
          <w:pPr>
            <w:pStyle w:val="94"/>
            <w:numPr>
              <w:ilvl w:val="0"/>
              <w:numId w:val="95"/>
            </w:numPr>
            <w:tabs>
              <w:tab w:val="left" w:pos="504"/>
            </w:tabs>
            <w:rPr>
              <w:rFonts w:ascii="Times New Roman" w:hAnsi="Times New Roman"/>
              <w:szCs w:val="21"/>
            </w:rPr>
          </w:pPr>
          <w:r w:rsidRPr="00F72EBF">
            <w:rPr>
              <w:rFonts w:ascii="Times New Roman" w:hAnsi="Times New Roman"/>
              <w:szCs w:val="21"/>
            </w:rPr>
            <w:t>公允价值变动收益</w:t>
          </w:r>
        </w:p>
        <w:sdt>
          <w:sdtPr>
            <w:rPr>
              <w:rFonts w:ascii="Times New Roman" w:hAnsi="Times New Roman" w:cs="Times New Roman"/>
            </w:rPr>
            <w:alias w:val="是否适用：公允价值变动收益[双击切换]"/>
            <w:tag w:val="_GBC_21669fdeb74c4273a55facece1a56109"/>
            <w:id w:val="-1622914157"/>
            <w:lock w:val="sdtLocked"/>
            <w:placeholder>
              <w:docPart w:val="GBC22222222222222222222222222222"/>
            </w:placeholder>
          </w:sdtPr>
          <w:sdtEndPr/>
          <w:sdtContent>
            <w:p w14:paraId="563F6D6F" w14:textId="77777777" w:rsidR="00D21C1F" w:rsidRPr="00F72EBF" w:rsidRDefault="00A42880">
              <w:pPr>
                <w:pStyle w:val="97"/>
                <w:rPr>
                  <w:rFonts w:ascii="Times New Roman" w:hAnsi="Times New Roman" w:cs="Times New Roman"/>
                </w:rPr>
              </w:pP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r w:rsidRPr="00F72EBF">
                <w:rPr>
                  <w:rFonts w:ascii="Times New Roman" w:hAnsi="Times New Roman" w:cs="Times New Roman"/>
                </w:rPr>
                <w:fldChar w:fldCharType="begin"/>
              </w:r>
              <w:r w:rsidRPr="00F72EBF">
                <w:rPr>
                  <w:rFonts w:ascii="Times New Roman" w:hAnsi="Times New Roman" w:cs="Times New Roman"/>
                </w:rPr>
                <w:instrText xml:space="preserve"> MACROBUTTON  SnrToggleCheckbox □</w:instrText>
              </w:r>
              <w:r w:rsidRPr="00F72EBF">
                <w:rPr>
                  <w:rFonts w:ascii="Times New Roman" w:hAnsi="Times New Roman" w:cs="Times New Roman"/>
                </w:rPr>
                <w:instrText>不适用</w:instrText>
              </w:r>
              <w:r w:rsidRPr="00F72EBF">
                <w:rPr>
                  <w:rFonts w:ascii="Times New Roman" w:hAnsi="Times New Roman" w:cs="Times New Roman"/>
                </w:rPr>
                <w:instrText xml:space="preserve"> </w:instrText>
              </w:r>
              <w:r w:rsidRPr="00F72EBF">
                <w:rPr>
                  <w:rFonts w:ascii="Times New Roman" w:hAnsi="Times New Roman" w:cs="Times New Roman"/>
                </w:rPr>
                <w:fldChar w:fldCharType="end"/>
              </w:r>
            </w:p>
          </w:sdtContent>
        </w:sdt>
        <w:p w14:paraId="5A561DDB" w14:textId="77777777" w:rsidR="00D21C1F" w:rsidRPr="00F72EBF" w:rsidRDefault="00A42880">
          <w:pPr>
            <w:jc w:val="right"/>
            <w:rPr>
              <w:rFonts w:ascii="Times New Roman" w:hAnsi="Times New Roman" w:cs="Times New Roman"/>
              <w:szCs w:val="21"/>
            </w:rPr>
          </w:pPr>
          <w:r w:rsidRPr="00F72EBF">
            <w:rPr>
              <w:rFonts w:ascii="Times New Roman" w:hAnsi="Times New Roman" w:cs="Times New Roman"/>
              <w:szCs w:val="21"/>
            </w:rPr>
            <w:t>单位：</w:t>
          </w:r>
          <w:sdt>
            <w:sdtPr>
              <w:rPr>
                <w:rFonts w:ascii="Times New Roman" w:hAnsi="Times New Roman" w:cs="Times New Roman"/>
                <w:szCs w:val="21"/>
              </w:rPr>
              <w:alias w:val="单位：财务附注：公允价值变动收益"/>
              <w:tag w:val="_GBC_a2b6fb2423244bbaa3600e1be3b4d548"/>
              <w:id w:val="-1662299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72EBF">
                <w:rPr>
                  <w:rFonts w:ascii="Times New Roman" w:hAnsi="Times New Roman" w:cs="Times New Roman"/>
                  <w:szCs w:val="21"/>
                </w:rPr>
                <w:t>元</w:t>
              </w:r>
            </w:sdtContent>
          </w:sdt>
          <w:r w:rsidRPr="00F72EBF">
            <w:rPr>
              <w:rFonts w:ascii="Times New Roman" w:hAnsi="Times New Roman" w:cs="Times New Roman"/>
              <w:szCs w:val="21"/>
            </w:rPr>
            <w:t>币种：</w:t>
          </w:r>
          <w:sdt>
            <w:sdtPr>
              <w:rPr>
                <w:rFonts w:ascii="Times New Roman" w:hAnsi="Times New Roman" w:cs="Times New Roman"/>
                <w:szCs w:val="21"/>
              </w:rPr>
              <w:alias w:val="币种：财务附注：公允价值变动收益"/>
              <w:tag w:val="_GBC_0343c5436a0742acbf5d87cc18c51638"/>
              <w:id w:val="2091032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F72EBF">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755"/>
            <w:gridCol w:w="2755"/>
          </w:tblGrid>
          <w:tr w:rsidR="00D21C1F" w:rsidRPr="00F72EBF" w14:paraId="2E4112CB" w14:textId="77777777">
            <w:sdt>
              <w:sdtPr>
                <w:rPr>
                  <w:rFonts w:ascii="Times New Roman" w:hAnsi="Times New Roman" w:cs="Times New Roman"/>
                </w:rPr>
                <w:tag w:val="_PLD_a07c0df95be549039f5bf24c4a595cbd"/>
                <w:id w:val="872655598"/>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34C42EEE" w14:textId="77777777" w:rsidR="00D21C1F" w:rsidRPr="00F72EBF" w:rsidRDefault="00A42880">
                    <w:pPr>
                      <w:autoSpaceDE w:val="0"/>
                      <w:autoSpaceDN w:val="0"/>
                      <w:adjustRightInd w:val="0"/>
                      <w:jc w:val="center"/>
                      <w:rPr>
                        <w:rFonts w:ascii="Times New Roman" w:hAnsi="Times New Roman" w:cs="Times New Roman"/>
                        <w:szCs w:val="21"/>
                      </w:rPr>
                    </w:pPr>
                    <w:r w:rsidRPr="00F72EBF">
                      <w:rPr>
                        <w:rFonts w:ascii="Times New Roman" w:hAnsi="Times New Roman" w:cs="Times New Roman"/>
                        <w:szCs w:val="21"/>
                      </w:rPr>
                      <w:t>产生公允价值变动收益的来源</w:t>
                    </w:r>
                  </w:p>
                </w:tc>
              </w:sdtContent>
            </w:sdt>
            <w:sdt>
              <w:sdtPr>
                <w:rPr>
                  <w:rFonts w:ascii="Times New Roman" w:hAnsi="Times New Roman" w:cs="Times New Roman"/>
                </w:rPr>
                <w:tag w:val="_PLD_b9803e3282e549d5b5e179588ec75dc3"/>
                <w:id w:val="-835455965"/>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6549282A" w14:textId="77777777" w:rsidR="00D21C1F" w:rsidRPr="00F72EBF" w:rsidRDefault="00A42880">
                    <w:pPr>
                      <w:autoSpaceDE w:val="0"/>
                      <w:autoSpaceDN w:val="0"/>
                      <w:adjustRightInd w:val="0"/>
                      <w:jc w:val="center"/>
                      <w:rPr>
                        <w:rFonts w:ascii="Times New Roman" w:hAnsi="Times New Roman" w:cs="Times New Roman"/>
                        <w:szCs w:val="21"/>
                      </w:rPr>
                    </w:pPr>
                    <w:r w:rsidRPr="00F72EBF">
                      <w:rPr>
                        <w:rFonts w:ascii="Times New Roman" w:hAnsi="Times New Roman" w:cs="Times New Roman"/>
                        <w:szCs w:val="21"/>
                      </w:rPr>
                      <w:t>本期发生额</w:t>
                    </w:r>
                  </w:p>
                </w:tc>
              </w:sdtContent>
            </w:sdt>
            <w:sdt>
              <w:sdtPr>
                <w:rPr>
                  <w:rFonts w:ascii="Times New Roman" w:hAnsi="Times New Roman" w:cs="Times New Roman"/>
                </w:rPr>
                <w:tag w:val="_PLD_943dd94af7be43cd9f57756acf9a8c19"/>
                <w:id w:val="1603597789"/>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4296CCF1" w14:textId="77777777" w:rsidR="00D21C1F" w:rsidRPr="00F72EBF" w:rsidRDefault="00A42880">
                    <w:pPr>
                      <w:autoSpaceDE w:val="0"/>
                      <w:autoSpaceDN w:val="0"/>
                      <w:adjustRightInd w:val="0"/>
                      <w:jc w:val="center"/>
                      <w:rPr>
                        <w:rFonts w:ascii="Times New Roman" w:hAnsi="Times New Roman" w:cs="Times New Roman"/>
                        <w:szCs w:val="21"/>
                      </w:rPr>
                    </w:pPr>
                    <w:r w:rsidRPr="00F72EBF">
                      <w:rPr>
                        <w:rFonts w:ascii="Times New Roman" w:hAnsi="Times New Roman" w:cs="Times New Roman"/>
                        <w:szCs w:val="21"/>
                      </w:rPr>
                      <w:t>上期发生额</w:t>
                    </w:r>
                  </w:p>
                </w:tc>
              </w:sdtContent>
            </w:sdt>
          </w:tr>
          <w:tr w:rsidR="00D21C1F" w:rsidRPr="00F72EBF" w14:paraId="5BBBA463" w14:textId="77777777" w:rsidTr="00F72EBF">
            <w:sdt>
              <w:sdtPr>
                <w:rPr>
                  <w:rFonts w:ascii="Times New Roman" w:hAnsi="Times New Roman" w:cs="Times New Roman"/>
                </w:rPr>
                <w:tag w:val="_PLD_402b5413aaec4e358e056ca8d9f87b4c"/>
                <w:id w:val="-196334281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17AB60A"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2BA64B44" w14:textId="77777777" w:rsidR="00D21C1F" w:rsidRPr="00F72EBF" w:rsidRDefault="00A42880" w:rsidP="00F72EBF">
                <w:pPr>
                  <w:autoSpaceDE w:val="0"/>
                  <w:autoSpaceDN w:val="0"/>
                  <w:adjustRightInd w:val="0"/>
                  <w:jc w:val="right"/>
                  <w:rPr>
                    <w:rFonts w:ascii="Times New Roman" w:hAnsi="Times New Roman" w:cs="Times New Roman"/>
                    <w:szCs w:val="21"/>
                  </w:rPr>
                </w:pPr>
                <w:r w:rsidRPr="00F72EBF">
                  <w:rPr>
                    <w:rFonts w:ascii="Times New Roman" w:hAnsi="Times New Roman" w:cs="Times New Roman"/>
                    <w:szCs w:val="21"/>
                  </w:rPr>
                  <w:t>6,360,739.72</w:t>
                </w:r>
              </w:p>
            </w:tc>
            <w:tc>
              <w:tcPr>
                <w:tcW w:w="1561" w:type="pct"/>
                <w:tcBorders>
                  <w:top w:val="single" w:sz="4" w:space="0" w:color="auto"/>
                  <w:left w:val="single" w:sz="4" w:space="0" w:color="auto"/>
                  <w:bottom w:val="single" w:sz="4" w:space="0" w:color="auto"/>
                  <w:right w:val="single" w:sz="4" w:space="0" w:color="auto"/>
                </w:tcBorders>
                <w:vAlign w:val="center"/>
              </w:tcPr>
              <w:p w14:paraId="25A23AEF" w14:textId="77777777" w:rsidR="00D21C1F" w:rsidRPr="00F72EBF" w:rsidRDefault="00A42880" w:rsidP="00F72EBF">
                <w:pPr>
                  <w:autoSpaceDE w:val="0"/>
                  <w:autoSpaceDN w:val="0"/>
                  <w:adjustRightInd w:val="0"/>
                  <w:jc w:val="right"/>
                  <w:rPr>
                    <w:rFonts w:ascii="Times New Roman" w:hAnsi="Times New Roman" w:cs="Times New Roman"/>
                    <w:szCs w:val="21"/>
                  </w:rPr>
                </w:pPr>
                <w:r w:rsidRPr="00F72EBF">
                  <w:rPr>
                    <w:rFonts w:ascii="Times New Roman" w:hAnsi="Times New Roman" w:cs="Times New Roman"/>
                  </w:rPr>
                  <w:t>-598,838.37</w:t>
                </w:r>
              </w:p>
            </w:tc>
          </w:tr>
          <w:tr w:rsidR="00D21C1F" w:rsidRPr="00F72EBF" w14:paraId="043127F0" w14:textId="77777777" w:rsidTr="00F72EBF">
            <w:sdt>
              <w:sdtPr>
                <w:rPr>
                  <w:rFonts w:ascii="Times New Roman" w:hAnsi="Times New Roman" w:cs="Times New Roman"/>
                </w:rPr>
                <w:tag w:val="_PLD_8673a4a9fddf4ed2911a769bece72d7a"/>
                <w:id w:val="-208536662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89E4155" w14:textId="77777777" w:rsidR="00D21C1F" w:rsidRPr="00F72EBF" w:rsidRDefault="00A42880">
                    <w:pPr>
                      <w:rPr>
                        <w:rFonts w:ascii="Times New Roman" w:hAnsi="Times New Roman" w:cs="Times New Roman"/>
                        <w:szCs w:val="21"/>
                      </w:rPr>
                    </w:pPr>
                    <w:r w:rsidRPr="00F72EBF">
                      <w:rPr>
                        <w:rFonts w:ascii="Times New Roman" w:hAnsi="Times New Roman" w:cs="Times New Roman"/>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7A3D2BC6" w14:textId="77777777" w:rsidR="00D21C1F" w:rsidRPr="00F72EBF" w:rsidRDefault="00A42880" w:rsidP="00F72EBF">
                <w:pPr>
                  <w:autoSpaceDE w:val="0"/>
                  <w:autoSpaceDN w:val="0"/>
                  <w:adjustRightInd w:val="0"/>
                  <w:jc w:val="right"/>
                  <w:rPr>
                    <w:rFonts w:ascii="Times New Roman" w:hAnsi="Times New Roman" w:cs="Times New Roman"/>
                    <w:szCs w:val="21"/>
                  </w:rPr>
                </w:pPr>
                <w:r w:rsidRPr="00F72EBF">
                  <w:rPr>
                    <w:rFonts w:ascii="Times New Roman" w:hAnsi="Times New Roman" w:cs="Times New Roman"/>
                    <w:szCs w:val="21"/>
                  </w:rPr>
                  <w:t>-</w:t>
                </w:r>
              </w:p>
            </w:tc>
            <w:tc>
              <w:tcPr>
                <w:tcW w:w="1561" w:type="pct"/>
                <w:tcBorders>
                  <w:top w:val="single" w:sz="4" w:space="0" w:color="auto"/>
                  <w:left w:val="single" w:sz="4" w:space="0" w:color="auto"/>
                  <w:bottom w:val="single" w:sz="4" w:space="0" w:color="auto"/>
                  <w:right w:val="single" w:sz="4" w:space="0" w:color="auto"/>
                </w:tcBorders>
                <w:vAlign w:val="center"/>
              </w:tcPr>
              <w:p w14:paraId="17C5393A" w14:textId="77777777" w:rsidR="00D21C1F" w:rsidRPr="00F72EBF" w:rsidRDefault="00A42880" w:rsidP="00F72EBF">
                <w:pPr>
                  <w:autoSpaceDE w:val="0"/>
                  <w:autoSpaceDN w:val="0"/>
                  <w:adjustRightInd w:val="0"/>
                  <w:jc w:val="right"/>
                  <w:rPr>
                    <w:rFonts w:ascii="Times New Roman" w:hAnsi="Times New Roman" w:cs="Times New Roman"/>
                    <w:szCs w:val="21"/>
                  </w:rPr>
                </w:pPr>
                <w:r w:rsidRPr="00F72EBF">
                  <w:rPr>
                    <w:rFonts w:ascii="Times New Roman" w:hAnsi="Times New Roman" w:cs="Times New Roman"/>
                  </w:rPr>
                  <w:t>-598,838.37</w:t>
                </w:r>
              </w:p>
            </w:tc>
          </w:tr>
          <w:tr w:rsidR="00D21C1F" w:rsidRPr="00F72EBF" w14:paraId="5DD5E4B6" w14:textId="77777777" w:rsidTr="00F72EBF">
            <w:sdt>
              <w:sdtPr>
                <w:rPr>
                  <w:rFonts w:ascii="Times New Roman" w:hAnsi="Times New Roman" w:cs="Times New Roman"/>
                </w:rPr>
                <w:tag w:val="_PLD_5eb386e2c7144b76b7f1061a9d9942d9"/>
                <w:id w:val="1855295861"/>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6CD5C8B3" w14:textId="77777777" w:rsidR="00D21C1F" w:rsidRPr="00F72EBF" w:rsidRDefault="00A42880">
                    <w:pPr>
                      <w:autoSpaceDE w:val="0"/>
                      <w:autoSpaceDN w:val="0"/>
                      <w:adjustRightInd w:val="0"/>
                      <w:jc w:val="center"/>
                      <w:rPr>
                        <w:rFonts w:ascii="Times New Roman" w:hAnsi="Times New Roman" w:cs="Times New Roman"/>
                        <w:szCs w:val="21"/>
                      </w:rPr>
                    </w:pPr>
                    <w:r w:rsidRPr="00F72EBF">
                      <w:rPr>
                        <w:rFonts w:ascii="Times New Roman" w:hAnsi="Times New Roman" w:cs="Times New Roman"/>
                        <w:szCs w:val="21"/>
                      </w:rPr>
                      <w:t>合计</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608162CD" w14:textId="77777777" w:rsidR="00D21C1F" w:rsidRPr="00F72EBF" w:rsidRDefault="00A42880" w:rsidP="00F72EBF">
                <w:pPr>
                  <w:jc w:val="right"/>
                  <w:rPr>
                    <w:rFonts w:ascii="Times New Roman" w:hAnsi="Times New Roman" w:cs="Times New Roman"/>
                    <w:szCs w:val="21"/>
                  </w:rPr>
                </w:pPr>
                <w:r w:rsidRPr="00F72EBF">
                  <w:rPr>
                    <w:rFonts w:ascii="Times New Roman" w:hAnsi="Times New Roman" w:cs="Times New Roman"/>
                  </w:rPr>
                  <w:t>6,360,739.72</w:t>
                </w:r>
              </w:p>
            </w:tc>
            <w:tc>
              <w:tcPr>
                <w:tcW w:w="1561" w:type="pct"/>
                <w:tcBorders>
                  <w:top w:val="single" w:sz="4" w:space="0" w:color="auto"/>
                  <w:left w:val="single" w:sz="4" w:space="0" w:color="auto"/>
                  <w:bottom w:val="single" w:sz="4" w:space="0" w:color="auto"/>
                  <w:right w:val="single" w:sz="4" w:space="0" w:color="auto"/>
                </w:tcBorders>
                <w:vAlign w:val="center"/>
              </w:tcPr>
              <w:p w14:paraId="5EB84257" w14:textId="77777777" w:rsidR="00D21C1F" w:rsidRPr="00F72EBF" w:rsidRDefault="00A42880" w:rsidP="00F72EBF">
                <w:pPr>
                  <w:autoSpaceDE w:val="0"/>
                  <w:autoSpaceDN w:val="0"/>
                  <w:adjustRightInd w:val="0"/>
                  <w:jc w:val="right"/>
                  <w:rPr>
                    <w:rFonts w:ascii="Times New Roman" w:hAnsi="Times New Roman" w:cs="Times New Roman"/>
                    <w:szCs w:val="21"/>
                  </w:rPr>
                </w:pPr>
                <w:r w:rsidRPr="00F72EBF">
                  <w:rPr>
                    <w:rFonts w:ascii="Times New Roman" w:hAnsi="Times New Roman" w:cs="Times New Roman"/>
                  </w:rPr>
                  <w:t>-598,838.37</w:t>
                </w:r>
              </w:p>
            </w:tc>
          </w:tr>
        </w:tbl>
        <w:p w14:paraId="71B4038A" w14:textId="77777777" w:rsidR="00D21C1F" w:rsidRPr="00F72EBF" w:rsidRDefault="00A42880">
          <w:pPr>
            <w:spacing w:before="60" w:after="60"/>
            <w:rPr>
              <w:rFonts w:ascii="Times New Roman" w:hAnsi="Times New Roman" w:cs="Times New Roman"/>
              <w:szCs w:val="21"/>
            </w:rPr>
          </w:pPr>
          <w:r w:rsidRPr="00F72EBF">
            <w:rPr>
              <w:rFonts w:ascii="Times New Roman" w:hAnsi="Times New Roman" w:cs="Times New Roman"/>
              <w:szCs w:val="21"/>
            </w:rPr>
            <w:t>其他说明：</w:t>
          </w:r>
        </w:p>
        <w:sdt>
          <w:sdtPr>
            <w:rPr>
              <w:rFonts w:ascii="Times New Roman" w:hAnsi="Times New Roman" w:cs="Times New Roman"/>
              <w:szCs w:val="21"/>
            </w:rPr>
            <w:alias w:val="公允价值变动收益的说明"/>
            <w:tag w:val="_GBC_ca97bf4455704ba1b8c90a97a9d856f0"/>
            <w:id w:val="-1487929167"/>
            <w:lock w:val="sdtLocked"/>
            <w:placeholder>
              <w:docPart w:val="GBC22222222222222222222222222222"/>
            </w:placeholder>
          </w:sdtPr>
          <w:sdtEndPr/>
          <w:sdtContent>
            <w:p w14:paraId="21F8B4C7" w14:textId="77777777" w:rsidR="00D21C1F" w:rsidRDefault="00A42880">
              <w:pPr>
                <w:rPr>
                  <w:szCs w:val="21"/>
                </w:rPr>
              </w:pPr>
              <w:r w:rsidRPr="00F72EBF">
                <w:rPr>
                  <w:rFonts w:ascii="Times New Roman" w:hAnsi="Times New Roman" w:cs="Times New Roman"/>
                  <w:szCs w:val="21"/>
                </w:rPr>
                <w:t>无</w:t>
              </w:r>
            </w:p>
          </w:sdtContent>
        </w:sdt>
      </w:sdtContent>
    </w:sdt>
    <w:bookmarkEnd w:id="287"/>
    <w:p w14:paraId="5D3C02A5" w14:textId="77777777" w:rsidR="00D21C1F" w:rsidRDefault="00D21C1F">
      <w:pPr>
        <w:rPr>
          <w:szCs w:val="21"/>
        </w:rPr>
      </w:pPr>
    </w:p>
    <w:bookmarkStart w:id="288" w:name="_Hlk72849147" w:displacedByCustomXml="next"/>
    <w:sdt>
      <w:sdtPr>
        <w:rPr>
          <w:rFonts w:ascii="宋体" w:eastAsia="宋体" w:hAnsi="宋体" w:cs="宋体"/>
          <w:b w:val="0"/>
          <w:bCs w:val="0"/>
          <w:kern w:val="0"/>
          <w:szCs w:val="21"/>
        </w:rPr>
        <w:alias w:val="模块:信用减值损失"/>
        <w:tag w:val="_SEC_70d8d5b3aa9043efbb5b3370294ba932"/>
        <w:id w:val="1757398415"/>
        <w:lock w:val="sdtLocked"/>
        <w:placeholder>
          <w:docPart w:val="GBC22222222222222222222222222222"/>
        </w:placeholder>
      </w:sdtPr>
      <w:sdtEndPr/>
      <w:sdtContent>
        <w:p w14:paraId="623E514D" w14:textId="77777777" w:rsidR="00D21C1F" w:rsidRDefault="00A42880">
          <w:pPr>
            <w:pStyle w:val="94"/>
            <w:numPr>
              <w:ilvl w:val="0"/>
              <w:numId w:val="95"/>
            </w:numPr>
            <w:tabs>
              <w:tab w:val="left" w:pos="504"/>
            </w:tabs>
            <w:rPr>
              <w:rFonts w:ascii="宋体" w:hAnsi="宋体"/>
            </w:rPr>
          </w:pPr>
          <w:r>
            <w:rPr>
              <w:rFonts w:ascii="宋体" w:hAnsi="宋体" w:hint="eastAsia"/>
            </w:rPr>
            <w:t>信用减值损失</w:t>
          </w:r>
        </w:p>
        <w:sdt>
          <w:sdtPr>
            <w:alias w:val="是否适用：信用减值损失[双击切换]"/>
            <w:tag w:val="_GBC_e913221809224be0b38ff200833e616b"/>
            <w:id w:val="-1590221311"/>
            <w:lock w:val="sdtLocked"/>
            <w:placeholder>
              <w:docPart w:val="GBC22222222222222222222222222222"/>
            </w:placeholder>
          </w:sdtPr>
          <w:sdtEndPr/>
          <w:sdtContent>
            <w:p w14:paraId="0BC1DD4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751B7C5" w14:textId="77777777" w:rsidR="00D21C1F" w:rsidRDefault="00A42880">
          <w:pPr>
            <w:pStyle w:val="67"/>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2a082de888ce4960b6b2feaa9b6683fe"/>
              <w:id w:val="9603056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币种：</w:t>
          </w:r>
          <w:sdt>
            <w:sdtPr>
              <w:rPr>
                <w:rFonts w:ascii="宋体" w:hAnsi="宋体" w:hint="eastAsia"/>
              </w:rPr>
              <w:alias w:val="币种：信用减值损失"/>
              <w:tag w:val="_GBC_b0aeb4008d574ed494dd40c7258d54d4"/>
              <w:id w:val="-1378543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D21C1F" w14:paraId="44D2681C" w14:textId="77777777">
            <w:sdt>
              <w:sdtPr>
                <w:tag w:val="_PLD_e2aa46c0d69c4fc1aba016d70de46e39"/>
                <w:id w:val="1830782970"/>
                <w:lock w:val="sdtLocked"/>
              </w:sdtPr>
              <w:sdtEndPr/>
              <w:sdtContent>
                <w:tc>
                  <w:tcPr>
                    <w:tcW w:w="2017" w:type="pct"/>
                    <w:shd w:val="clear" w:color="auto" w:fill="auto"/>
                    <w:vAlign w:val="center"/>
                  </w:tcPr>
                  <w:p w14:paraId="0503BA0A" w14:textId="77777777" w:rsidR="00D21C1F" w:rsidRDefault="00A42880">
                    <w:pPr>
                      <w:jc w:val="center"/>
                      <w:rPr>
                        <w:szCs w:val="21"/>
                      </w:rPr>
                    </w:pPr>
                    <w:r>
                      <w:rPr>
                        <w:rFonts w:hint="eastAsia"/>
                        <w:szCs w:val="21"/>
                      </w:rPr>
                      <w:t>项目</w:t>
                    </w:r>
                  </w:p>
                </w:tc>
              </w:sdtContent>
            </w:sdt>
            <w:sdt>
              <w:sdtPr>
                <w:tag w:val="_PLD_a1760fea03894d16851c4eee1f1798de"/>
                <w:id w:val="-418328803"/>
                <w:lock w:val="sdtLocked"/>
              </w:sdtPr>
              <w:sdtEndPr/>
              <w:sdtContent>
                <w:tc>
                  <w:tcPr>
                    <w:tcW w:w="1485" w:type="pct"/>
                    <w:tcBorders>
                      <w:bottom w:val="single" w:sz="6" w:space="0" w:color="auto"/>
                    </w:tcBorders>
                    <w:shd w:val="clear" w:color="auto" w:fill="auto"/>
                    <w:vAlign w:val="center"/>
                  </w:tcPr>
                  <w:p w14:paraId="7B04D152" w14:textId="77777777" w:rsidR="00D21C1F" w:rsidRDefault="00A42880">
                    <w:pPr>
                      <w:jc w:val="center"/>
                      <w:rPr>
                        <w:szCs w:val="21"/>
                      </w:rPr>
                    </w:pPr>
                    <w:r>
                      <w:rPr>
                        <w:rFonts w:hint="eastAsia"/>
                        <w:szCs w:val="21"/>
                      </w:rPr>
                      <w:t>本期发生额</w:t>
                    </w:r>
                  </w:p>
                </w:tc>
              </w:sdtContent>
            </w:sdt>
            <w:sdt>
              <w:sdtPr>
                <w:tag w:val="_PLD_4bee1cb5128941aa9c9ac0718129ca58"/>
                <w:id w:val="-456874575"/>
                <w:lock w:val="sdtLocked"/>
              </w:sdtPr>
              <w:sdtEndPr/>
              <w:sdtContent>
                <w:tc>
                  <w:tcPr>
                    <w:tcW w:w="1498" w:type="pct"/>
                    <w:shd w:val="clear" w:color="auto" w:fill="auto"/>
                    <w:vAlign w:val="center"/>
                  </w:tcPr>
                  <w:p w14:paraId="02DF1FC5" w14:textId="77777777" w:rsidR="00D21C1F" w:rsidRDefault="00A42880">
                    <w:pPr>
                      <w:jc w:val="center"/>
                      <w:rPr>
                        <w:szCs w:val="21"/>
                      </w:rPr>
                    </w:pPr>
                    <w:r>
                      <w:rPr>
                        <w:rFonts w:hint="eastAsia"/>
                        <w:szCs w:val="21"/>
                      </w:rPr>
                      <w:t>上期发生额</w:t>
                    </w:r>
                  </w:p>
                </w:tc>
              </w:sdtContent>
            </w:sdt>
          </w:tr>
          <w:sdt>
            <w:sdtPr>
              <w:rPr>
                <w:szCs w:val="21"/>
              </w:rPr>
              <w:alias w:val="信用减值损失明细"/>
              <w:tag w:val="_TUP_937332d438154419ac74224462ec6904"/>
              <w:id w:val="111788934"/>
              <w:lock w:val="sdtLocked"/>
            </w:sdtPr>
            <w:sdtEndPr>
              <w:rPr>
                <w:rFonts w:ascii="Times New Roman" w:hAnsi="Times New Roman" w:cs="Times New Roman"/>
              </w:rPr>
            </w:sdtEndPr>
            <w:sdtContent>
              <w:tr w:rsidR="00D21C1F" w14:paraId="6A453508" w14:textId="77777777">
                <w:tc>
                  <w:tcPr>
                    <w:tcW w:w="2017" w:type="pct"/>
                    <w:shd w:val="clear" w:color="auto" w:fill="auto"/>
                    <w:vAlign w:val="center"/>
                  </w:tcPr>
                  <w:p w14:paraId="56F0E612" w14:textId="77777777" w:rsidR="00D21C1F" w:rsidRDefault="00A42880">
                    <w:pPr>
                      <w:rPr>
                        <w:szCs w:val="21"/>
                      </w:rPr>
                    </w:pPr>
                    <w:r>
                      <w:rPr>
                        <w:rFonts w:hint="eastAsia"/>
                        <w:szCs w:val="21"/>
                      </w:rPr>
                      <w:t>坏账损失（损失以“</w:t>
                    </w:r>
                    <w:r>
                      <w:rPr>
                        <w:szCs w:val="21"/>
                      </w:rPr>
                      <w:t>-”号填列）</w:t>
                    </w:r>
                  </w:p>
                </w:tc>
                <w:tc>
                  <w:tcPr>
                    <w:tcW w:w="1485" w:type="pct"/>
                    <w:tcBorders>
                      <w:top w:val="single" w:sz="6" w:space="0" w:color="auto"/>
                      <w:bottom w:val="single" w:sz="6" w:space="0" w:color="auto"/>
                    </w:tcBorders>
                    <w:shd w:val="clear" w:color="auto" w:fill="auto"/>
                    <w:vAlign w:val="bottom"/>
                  </w:tcPr>
                  <w:p w14:paraId="72B72098" w14:textId="77777777" w:rsidR="00D21C1F" w:rsidRDefault="00A42880">
                    <w:pPr>
                      <w:jc w:val="right"/>
                      <w:rPr>
                        <w:rFonts w:ascii="Times New Roman" w:hAnsi="Times New Roman" w:cs="Times New Roman"/>
                        <w:szCs w:val="21"/>
                      </w:rPr>
                    </w:pPr>
                    <w:r>
                      <w:rPr>
                        <w:rFonts w:ascii="Times New Roman" w:hAnsi="Times New Roman" w:cs="Times New Roman"/>
                      </w:rPr>
                      <w:t>890,743.62</w:t>
                    </w:r>
                  </w:p>
                </w:tc>
                <w:tc>
                  <w:tcPr>
                    <w:tcW w:w="1498" w:type="pct"/>
                    <w:shd w:val="clear" w:color="auto" w:fill="auto"/>
                    <w:vAlign w:val="bottom"/>
                  </w:tcPr>
                  <w:p w14:paraId="766A622C" w14:textId="77777777" w:rsidR="00D21C1F" w:rsidRDefault="00A42880">
                    <w:pPr>
                      <w:jc w:val="right"/>
                      <w:rPr>
                        <w:rFonts w:ascii="Times New Roman" w:hAnsi="Times New Roman" w:cs="Times New Roman"/>
                        <w:szCs w:val="21"/>
                      </w:rPr>
                    </w:pPr>
                    <w:r>
                      <w:rPr>
                        <w:rFonts w:ascii="Times New Roman" w:hAnsi="Times New Roman" w:cs="Times New Roman"/>
                      </w:rPr>
                      <w:t>-9,464,332.05</w:t>
                    </w:r>
                  </w:p>
                </w:tc>
              </w:tr>
            </w:sdtContent>
          </w:sdt>
          <w:tr w:rsidR="00D21C1F" w14:paraId="172FE01D" w14:textId="77777777">
            <w:sdt>
              <w:sdtPr>
                <w:tag w:val="_PLD_620d86e5efd246a7a9c7100814de6fda"/>
                <w:id w:val="1558965174"/>
                <w:lock w:val="sdtLocked"/>
              </w:sdtPr>
              <w:sdtEndPr/>
              <w:sdtContent>
                <w:tc>
                  <w:tcPr>
                    <w:tcW w:w="2017" w:type="pct"/>
                    <w:shd w:val="clear" w:color="auto" w:fill="auto"/>
                    <w:vAlign w:val="center"/>
                  </w:tcPr>
                  <w:p w14:paraId="7C106844" w14:textId="77777777" w:rsidR="00D21C1F" w:rsidRDefault="00A42880">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bottom"/>
              </w:tcPr>
              <w:p w14:paraId="1C7CFC48" w14:textId="77777777" w:rsidR="00D21C1F" w:rsidRDefault="00A42880">
                <w:pPr>
                  <w:jc w:val="right"/>
                  <w:rPr>
                    <w:rFonts w:ascii="Times New Roman" w:hAnsi="Times New Roman" w:cs="Times New Roman"/>
                    <w:szCs w:val="21"/>
                  </w:rPr>
                </w:pPr>
                <w:r>
                  <w:rPr>
                    <w:rFonts w:ascii="Times New Roman" w:hAnsi="Times New Roman" w:cs="Times New Roman"/>
                  </w:rPr>
                  <w:t>890,743.62</w:t>
                </w:r>
              </w:p>
            </w:tc>
            <w:tc>
              <w:tcPr>
                <w:tcW w:w="1498" w:type="pct"/>
                <w:shd w:val="clear" w:color="auto" w:fill="auto"/>
                <w:vAlign w:val="bottom"/>
              </w:tcPr>
              <w:p w14:paraId="01E70823" w14:textId="77777777" w:rsidR="00D21C1F" w:rsidRDefault="00A42880">
                <w:pPr>
                  <w:jc w:val="right"/>
                  <w:rPr>
                    <w:rFonts w:ascii="Times New Roman" w:hAnsi="Times New Roman" w:cs="Times New Roman"/>
                    <w:szCs w:val="21"/>
                  </w:rPr>
                </w:pPr>
                <w:r>
                  <w:rPr>
                    <w:rFonts w:ascii="Times New Roman" w:hAnsi="Times New Roman" w:cs="Times New Roman"/>
                  </w:rPr>
                  <w:t>-9,464,332.05</w:t>
                </w:r>
              </w:p>
            </w:tc>
          </w:tr>
        </w:tbl>
        <w:p w14:paraId="22B57143" w14:textId="77777777" w:rsidR="00D21C1F" w:rsidRDefault="00A42880">
          <w:pPr>
            <w:pStyle w:val="97"/>
          </w:pPr>
          <w:r>
            <w:rPr>
              <w:rFonts w:hint="eastAsia"/>
            </w:rPr>
            <w:t>其他</w:t>
          </w:r>
          <w:r>
            <w:t>说明</w:t>
          </w:r>
          <w:r>
            <w:rPr>
              <w:rFonts w:hint="eastAsia"/>
            </w:rPr>
            <w:t>：</w:t>
          </w:r>
        </w:p>
        <w:sdt>
          <w:sdtPr>
            <w:alias w:val="信用减值损失其他说明"/>
            <w:tag w:val="_GBC_de5202106fc44e069082da55c08c20a1"/>
            <w:id w:val="182096651"/>
            <w:lock w:val="sdtLocked"/>
            <w:placeholder>
              <w:docPart w:val="GBC22222222222222222222222222222"/>
            </w:placeholder>
          </w:sdtPr>
          <w:sdtEndPr/>
          <w:sdtContent>
            <w:p w14:paraId="25C6CEB7" w14:textId="77777777" w:rsidR="00D21C1F" w:rsidRDefault="00A42880">
              <w:pPr>
                <w:pStyle w:val="97"/>
              </w:pPr>
              <w:r>
                <w:rPr>
                  <w:rFonts w:hint="eastAsia"/>
                </w:rPr>
                <w:t>无</w:t>
              </w:r>
            </w:p>
          </w:sdtContent>
        </w:sdt>
        <w:p w14:paraId="56F4FEDF" w14:textId="77777777" w:rsidR="00D21C1F" w:rsidRDefault="00045EC6">
          <w:pPr>
            <w:rPr>
              <w:szCs w:val="21"/>
            </w:rPr>
          </w:pPr>
        </w:p>
      </w:sdtContent>
    </w:sdt>
    <w:bookmarkEnd w:id="288" w:displacedByCustomXml="next"/>
    <w:bookmarkStart w:id="289" w:name="_Hlk72849342" w:displacedByCustomXml="next"/>
    <w:sdt>
      <w:sdtPr>
        <w:rPr>
          <w:rFonts w:ascii="宋体" w:eastAsia="宋体" w:hAnsi="宋体" w:cs="宋体" w:hint="eastAsia"/>
          <w:b w:val="0"/>
          <w:bCs w:val="0"/>
          <w:kern w:val="0"/>
          <w:szCs w:val="21"/>
        </w:rPr>
        <w:alias w:val="模块:资产减值损失"/>
        <w:tag w:val="_GBC_e0187e33fb024605af673daabe2f7861"/>
        <w:id w:val="-2060540574"/>
        <w:lock w:val="sdtLocked"/>
        <w:placeholder>
          <w:docPart w:val="GBC22222222222222222222222222222"/>
        </w:placeholder>
      </w:sdtPr>
      <w:sdtEndPr>
        <w:rPr>
          <w:rFonts w:hint="default"/>
          <w:szCs w:val="22"/>
        </w:rPr>
      </w:sdtEndPr>
      <w:sdtContent>
        <w:p w14:paraId="0FE29A4A" w14:textId="77777777" w:rsidR="00D21C1F" w:rsidRDefault="00A42880">
          <w:pPr>
            <w:pStyle w:val="94"/>
            <w:numPr>
              <w:ilvl w:val="0"/>
              <w:numId w:val="95"/>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08b38400504e4508ad53b7e18d3618a6"/>
            <w:id w:val="1874721643"/>
            <w:lock w:val="sdtLocked"/>
            <w:placeholder>
              <w:docPart w:val="GBC22222222222222222222222222222"/>
            </w:placeholder>
          </w:sdtPr>
          <w:sdtEndPr/>
          <w:sdtContent>
            <w:p w14:paraId="0345C43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85B984" w14:textId="77777777" w:rsidR="00D21C1F" w:rsidRDefault="00A42880">
          <w:pPr>
            <w:jc w:val="right"/>
            <w:rPr>
              <w:szCs w:val="21"/>
            </w:rPr>
          </w:pPr>
          <w:r>
            <w:rPr>
              <w:rFonts w:hint="eastAsia"/>
              <w:szCs w:val="21"/>
            </w:rPr>
            <w:t>单位：</w:t>
          </w:r>
          <w:sdt>
            <w:sdtPr>
              <w:rPr>
                <w:rFonts w:hint="eastAsia"/>
                <w:szCs w:val="21"/>
              </w:rPr>
              <w:alias w:val="单位：财务附注：资产减值损失"/>
              <w:tag w:val="_GBC_0db318808f4e48299086cdd6a41d48bc"/>
              <w:id w:val="-16790428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资产减值损失"/>
              <w:tag w:val="_GBC_8ee385f569ac4368b9fe9c34840f608d"/>
              <w:id w:val="-712730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D21C1F" w14:paraId="6E2953C9" w14:textId="77777777">
            <w:sdt>
              <w:sdtPr>
                <w:tag w:val="_PLD_07ea10224a3a46ab8ea93a8b0209426a"/>
                <w:id w:val="1595128023"/>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732ACBA1" w14:textId="77777777" w:rsidR="00D21C1F" w:rsidRDefault="00A42880">
                    <w:pPr>
                      <w:autoSpaceDE w:val="0"/>
                      <w:autoSpaceDN w:val="0"/>
                      <w:adjustRightInd w:val="0"/>
                      <w:jc w:val="center"/>
                      <w:rPr>
                        <w:szCs w:val="21"/>
                      </w:rPr>
                    </w:pPr>
                    <w:r>
                      <w:rPr>
                        <w:rFonts w:hint="eastAsia"/>
                        <w:szCs w:val="21"/>
                      </w:rPr>
                      <w:t>项目</w:t>
                    </w:r>
                  </w:p>
                </w:tc>
              </w:sdtContent>
            </w:sdt>
            <w:sdt>
              <w:sdtPr>
                <w:tag w:val="_PLD_56affef2b4a141a499dbc9968437eea7"/>
                <w:id w:val="-2043970514"/>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4BD2C5B1" w14:textId="77777777" w:rsidR="00D21C1F" w:rsidRDefault="00A42880">
                    <w:pPr>
                      <w:autoSpaceDE w:val="0"/>
                      <w:autoSpaceDN w:val="0"/>
                      <w:adjustRightInd w:val="0"/>
                      <w:jc w:val="center"/>
                      <w:rPr>
                        <w:szCs w:val="21"/>
                      </w:rPr>
                    </w:pPr>
                    <w:r>
                      <w:rPr>
                        <w:rFonts w:hint="eastAsia"/>
                        <w:szCs w:val="21"/>
                      </w:rPr>
                      <w:t>本期发生额</w:t>
                    </w:r>
                  </w:p>
                </w:tc>
              </w:sdtContent>
            </w:sdt>
            <w:sdt>
              <w:sdtPr>
                <w:tag w:val="_PLD_d4f5bea8c37f457e9fa92e57119c1b9a"/>
                <w:id w:val="1164890966"/>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6FF6E7D9" w14:textId="77777777" w:rsidR="00D21C1F" w:rsidRDefault="00A42880">
                    <w:pPr>
                      <w:autoSpaceDE w:val="0"/>
                      <w:autoSpaceDN w:val="0"/>
                      <w:adjustRightInd w:val="0"/>
                      <w:jc w:val="center"/>
                      <w:rPr>
                        <w:szCs w:val="21"/>
                      </w:rPr>
                    </w:pPr>
                    <w:r>
                      <w:rPr>
                        <w:rFonts w:hint="eastAsia"/>
                        <w:szCs w:val="21"/>
                      </w:rPr>
                      <w:t>上期发生额</w:t>
                    </w:r>
                  </w:p>
                </w:tc>
              </w:sdtContent>
            </w:sdt>
          </w:tr>
          <w:sdt>
            <w:sdtPr>
              <w:alias w:val="资产减值损失明细"/>
              <w:tag w:val="_TUP_716328458b674d728602f4060ffd6e7a"/>
              <w:id w:val="-172034511"/>
              <w:lock w:val="sdtLocked"/>
            </w:sdtPr>
            <w:sdtEndPr>
              <w:rPr>
                <w:rFonts w:ascii="Times New Roman" w:hAnsi="Times New Roman" w:cs="Times New Roman"/>
                <w:szCs w:val="21"/>
              </w:rPr>
            </w:sdtEndPr>
            <w:sdtContent>
              <w:tr w:rsidR="00D21C1F" w14:paraId="4BDE453B" w14:textId="77777777">
                <w:tc>
                  <w:tcPr>
                    <w:tcW w:w="1878" w:type="pct"/>
                    <w:tcBorders>
                      <w:top w:val="single" w:sz="4" w:space="0" w:color="auto"/>
                      <w:left w:val="single" w:sz="4" w:space="0" w:color="auto"/>
                      <w:bottom w:val="single" w:sz="4" w:space="0" w:color="auto"/>
                      <w:right w:val="single" w:sz="4" w:space="0" w:color="auto"/>
                    </w:tcBorders>
                  </w:tcPr>
                  <w:p w14:paraId="42802BD9" w14:textId="77777777" w:rsidR="00D21C1F" w:rsidRDefault="00A42880">
                    <w:pPr>
                      <w:autoSpaceDE w:val="0"/>
                      <w:autoSpaceDN w:val="0"/>
                      <w:adjustRightInd w:val="0"/>
                    </w:pPr>
                    <w:r>
                      <w:rPr>
                        <w:rFonts w:hint="eastAsia"/>
                      </w:rPr>
                      <w:t>减值损失（损失以“</w:t>
                    </w:r>
                    <w:r>
                      <w:t>-”号填列）</w:t>
                    </w:r>
                  </w:p>
                </w:tc>
                <w:tc>
                  <w:tcPr>
                    <w:tcW w:w="1422" w:type="pct"/>
                    <w:tcBorders>
                      <w:top w:val="single" w:sz="4" w:space="0" w:color="auto"/>
                      <w:left w:val="single" w:sz="4" w:space="0" w:color="auto"/>
                      <w:bottom w:val="single" w:sz="4" w:space="0" w:color="auto"/>
                      <w:right w:val="single" w:sz="4" w:space="0" w:color="auto"/>
                    </w:tcBorders>
                    <w:vAlign w:val="bottom"/>
                  </w:tcPr>
                  <w:p w14:paraId="4A1EF7FA"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-6,165,704.08</w:t>
                    </w:r>
                  </w:p>
                </w:tc>
                <w:tc>
                  <w:tcPr>
                    <w:tcW w:w="1700" w:type="pct"/>
                    <w:tcBorders>
                      <w:top w:val="single" w:sz="4" w:space="0" w:color="auto"/>
                      <w:left w:val="single" w:sz="4" w:space="0" w:color="auto"/>
                      <w:bottom w:val="single" w:sz="4" w:space="0" w:color="auto"/>
                      <w:right w:val="single" w:sz="4" w:space="0" w:color="auto"/>
                    </w:tcBorders>
                  </w:tcPr>
                  <w:p w14:paraId="211C0AFD"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-601,169.18</w:t>
                    </w:r>
                  </w:p>
                </w:tc>
              </w:tr>
            </w:sdtContent>
          </w:sdt>
          <w:tr w:rsidR="00D21C1F" w14:paraId="6728824D" w14:textId="77777777">
            <w:sdt>
              <w:sdtPr>
                <w:tag w:val="_PLD_9d101a8a5c1741ac9e4ba486b2d458ba"/>
                <w:id w:val="60716219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912C08D" w14:textId="77777777" w:rsidR="00D21C1F" w:rsidRDefault="00A42880">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bottom"/>
              </w:tcPr>
              <w:p w14:paraId="4F71AC13"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-6,165,704.08</w:t>
                </w:r>
              </w:p>
            </w:tc>
            <w:tc>
              <w:tcPr>
                <w:tcW w:w="1700" w:type="pct"/>
                <w:tcBorders>
                  <w:top w:val="single" w:sz="4" w:space="0" w:color="auto"/>
                  <w:left w:val="single" w:sz="4" w:space="0" w:color="auto"/>
                  <w:bottom w:val="single" w:sz="4" w:space="0" w:color="auto"/>
                  <w:right w:val="single" w:sz="4" w:space="0" w:color="auto"/>
                </w:tcBorders>
                <w:vAlign w:val="center"/>
              </w:tcPr>
              <w:p w14:paraId="56E34059"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-601,169.18</w:t>
                </w:r>
              </w:p>
            </w:tc>
          </w:tr>
        </w:tbl>
        <w:p w14:paraId="181BBA5D" w14:textId="77777777" w:rsidR="00D21C1F" w:rsidRDefault="00A42880">
          <w:pPr>
            <w:spacing w:before="60" w:after="60"/>
            <w:rPr>
              <w:szCs w:val="21"/>
            </w:rPr>
          </w:pPr>
          <w:r>
            <w:rPr>
              <w:rFonts w:hint="eastAsia"/>
              <w:szCs w:val="21"/>
            </w:rPr>
            <w:t>其他说明：</w:t>
          </w:r>
        </w:p>
        <w:sdt>
          <w:sdtPr>
            <w:alias w:val="资产减值损失的说明"/>
            <w:tag w:val="_GBC_436129c1b6334c439a0fbad40ea7de7a"/>
            <w:id w:val="-134566687"/>
            <w:lock w:val="sdtLocked"/>
            <w:placeholder>
              <w:docPart w:val="GBC22222222222222222222222222222"/>
            </w:placeholder>
          </w:sdtPr>
          <w:sdtEndPr/>
          <w:sdtContent>
            <w:p w14:paraId="7AC934F5" w14:textId="77777777" w:rsidR="00D21C1F" w:rsidRDefault="00A42880">
              <w:pPr>
                <w:rPr>
                  <w:szCs w:val="22"/>
                </w:rPr>
              </w:pPr>
              <w:r>
                <w:rPr>
                  <w:rFonts w:hint="eastAsia"/>
                </w:rPr>
                <w:t>无</w:t>
              </w:r>
            </w:p>
          </w:sdtContent>
        </w:sdt>
      </w:sdtContent>
    </w:sdt>
    <w:bookmarkEnd w:id="289"/>
    <w:p w14:paraId="14019D88" w14:textId="77777777" w:rsidR="00D21C1F" w:rsidRDefault="00D21C1F">
      <w:pPr>
        <w:pStyle w:val="97"/>
      </w:pPr>
    </w:p>
    <w:sdt>
      <w:sdtPr>
        <w:rPr>
          <w:rFonts w:ascii="宋体" w:hAnsi="宋体" w:cs="宋体" w:hint="eastAsia"/>
          <w:b w:val="0"/>
          <w:bCs w:val="0"/>
          <w:kern w:val="0"/>
          <w:szCs w:val="21"/>
        </w:rPr>
        <w:alias w:val="模块:资产处置收益"/>
        <w:tag w:val="_SEC_32e84127ca0a46b8896ad8e149c91048"/>
        <w:id w:val="-1796518698"/>
        <w:lock w:val="sdtLocked"/>
        <w:placeholder>
          <w:docPart w:val="GBC22222222222222222222222222222"/>
        </w:placeholder>
      </w:sdtPr>
      <w:sdtEndPr>
        <w:rPr>
          <w:rFonts w:hint="default"/>
          <w:szCs w:val="24"/>
        </w:rPr>
      </w:sdtEndPr>
      <w:sdtContent>
        <w:p w14:paraId="1D052E12"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117370063"/>
            <w:lock w:val="sdtLocked"/>
            <w:placeholder>
              <w:docPart w:val="GBC22222222222222222222222222222"/>
            </w:placeholder>
          </w:sdtPr>
          <w:sdtEndPr/>
          <w:sdtContent>
            <w:p w14:paraId="6AC51CD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F035B4" w14:textId="77777777" w:rsidR="00D21C1F" w:rsidRDefault="00A42880">
          <w:pPr>
            <w:jc w:val="right"/>
            <w:rPr>
              <w:bCs/>
            </w:rPr>
          </w:pPr>
          <w:r>
            <w:rPr>
              <w:bCs/>
            </w:rPr>
            <w:t>单位：</w:t>
          </w:r>
          <w:sdt>
            <w:sdtPr>
              <w:rPr>
                <w:bCs/>
              </w:rPr>
              <w:alias w:val="单位：资产处置收益明细"/>
              <w:tag w:val="_GBC_72dc168499e249b988d6753a6df1ce44"/>
              <w:id w:val="-21382401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bCs/>
                </w:rPr>
                <w:t>元</w:t>
              </w:r>
            </w:sdtContent>
          </w:sdt>
          <w:r>
            <w:rPr>
              <w:bCs/>
            </w:rPr>
            <w:t>币种：</w:t>
          </w:r>
          <w:sdt>
            <w:sdtPr>
              <w:rPr>
                <w:bCs/>
              </w:rPr>
              <w:alias w:val="币种：资产处置收益明细"/>
              <w:tag w:val="_GBC_d68880ec5b074fdc8846b703ead631e2"/>
              <w:id w:val="-154296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bCs/>
                </w:rPr>
                <w:t>人民币</w:t>
              </w:r>
            </w:sdtContent>
          </w:sdt>
        </w:p>
        <w:tbl>
          <w:tblPr>
            <w:tblStyle w:val="g3"/>
            <w:tblW w:w="0" w:type="auto"/>
            <w:tblInd w:w="0" w:type="dxa"/>
            <w:tblLook w:val="04A0" w:firstRow="1" w:lastRow="0" w:firstColumn="1" w:lastColumn="0" w:noHBand="0" w:noVBand="1"/>
          </w:tblPr>
          <w:tblGrid>
            <w:gridCol w:w="2929"/>
            <w:gridCol w:w="2944"/>
            <w:gridCol w:w="2950"/>
          </w:tblGrid>
          <w:tr w:rsidR="00D21C1F" w14:paraId="24D304E2" w14:textId="77777777">
            <w:tc>
              <w:tcPr>
                <w:tcW w:w="3016" w:type="dxa"/>
              </w:tcPr>
              <w:sdt>
                <w:sdtPr>
                  <w:rPr>
                    <w:rFonts w:ascii="Times New Roman" w:hAnsi="Times New Roman" w:hint="eastAsia"/>
                  </w:rPr>
                  <w:tag w:val="_PLD_5ae5d7d7d48342e7bc1da8d90a245459"/>
                  <w:id w:val="1344285282"/>
                  <w:lock w:val="sdtLocked"/>
                </w:sdtPr>
                <w:sdtEndPr/>
                <w:sdtContent>
                  <w:p w14:paraId="68490CE2" w14:textId="77777777" w:rsidR="00D21C1F" w:rsidRDefault="00A42880">
                    <w:pPr>
                      <w:jc w:val="center"/>
                    </w:pPr>
                    <w:r>
                      <w:rPr>
                        <w:rFonts w:hint="eastAsia"/>
                      </w:rPr>
                      <w:t>项目</w:t>
                    </w:r>
                  </w:p>
                </w:sdtContent>
              </w:sdt>
            </w:tc>
            <w:tc>
              <w:tcPr>
                <w:tcW w:w="3016" w:type="dxa"/>
              </w:tcPr>
              <w:sdt>
                <w:sdtPr>
                  <w:rPr>
                    <w:rFonts w:ascii="Times New Roman" w:hAnsi="Times New Roman" w:hint="eastAsia"/>
                  </w:rPr>
                  <w:tag w:val="_PLD_879cf215b86c45c790218e646c831e7d"/>
                  <w:id w:val="1227872474"/>
                  <w:lock w:val="sdtLocked"/>
                </w:sdtPr>
                <w:sdtEndPr/>
                <w:sdtContent>
                  <w:p w14:paraId="558039C7" w14:textId="77777777" w:rsidR="00D21C1F" w:rsidRDefault="00A42880">
                    <w:pPr>
                      <w:jc w:val="center"/>
                    </w:pPr>
                    <w:r>
                      <w:rPr>
                        <w:rFonts w:hint="eastAsia"/>
                      </w:rPr>
                      <w:t>本期发生额</w:t>
                    </w:r>
                  </w:p>
                </w:sdtContent>
              </w:sdt>
            </w:tc>
            <w:tc>
              <w:tcPr>
                <w:tcW w:w="3017" w:type="dxa"/>
              </w:tcPr>
              <w:sdt>
                <w:sdtPr>
                  <w:rPr>
                    <w:rFonts w:ascii="Times New Roman" w:hAnsi="Times New Roman" w:hint="eastAsia"/>
                  </w:rPr>
                  <w:tag w:val="_PLD_8860a002ccc44e14bf36aa3e10fb5d70"/>
                  <w:id w:val="-1908989561"/>
                  <w:lock w:val="sdtLocked"/>
                </w:sdtPr>
                <w:sdtEndPr/>
                <w:sdtContent>
                  <w:p w14:paraId="333574EA" w14:textId="77777777" w:rsidR="00D21C1F" w:rsidRDefault="00A42880">
                    <w:pPr>
                      <w:jc w:val="center"/>
                    </w:pPr>
                    <w:r>
                      <w:rPr>
                        <w:rFonts w:hint="eastAsia"/>
                      </w:rPr>
                      <w:t>上期发生额</w:t>
                    </w:r>
                  </w:p>
                </w:sdtContent>
              </w:sdt>
            </w:tc>
          </w:tr>
          <w:sdt>
            <w:sdtPr>
              <w:rPr>
                <w:rFonts w:asciiTheme="minorHAnsi" w:eastAsia="宋体" w:hAnsiTheme="minorHAnsi" w:cstheme="minorBidi"/>
                <w:sz w:val="22"/>
                <w:szCs w:val="22"/>
              </w:rPr>
              <w:alias w:val="资产处置收益明细"/>
              <w:tag w:val="_TUP_4fb92e1c2e6d48c3ba0fd0e082ed3be0"/>
              <w:id w:val="-1730839736"/>
              <w:lock w:val="sdtLocked"/>
            </w:sdtPr>
            <w:sdtEndPr>
              <w:rPr>
                <w:rFonts w:ascii="Times New Roman" w:hAnsi="Times New Roman" w:cs="Times New Roman"/>
              </w:rPr>
            </w:sdtEndPr>
            <w:sdtContent>
              <w:tr w:rsidR="00D21C1F" w14:paraId="49ACD8C8" w14:textId="77777777" w:rsidTr="00DA607A">
                <w:tc>
                  <w:tcPr>
                    <w:tcW w:w="3016" w:type="dxa"/>
                  </w:tcPr>
                  <w:p w14:paraId="4E6F1DB4" w14:textId="77777777" w:rsidR="00D21C1F" w:rsidRDefault="00A42880">
                    <w:pPr>
                      <w:pStyle w:val="97"/>
                    </w:pPr>
                    <w:r>
                      <w:rPr>
                        <w:rFonts w:hint="eastAsia"/>
                      </w:rPr>
                      <w:t>处置未划分为持有待售的固定资产、在建工程、生产性生物资产及无形资产的处置利得或损失（损失以“</w:t>
                    </w:r>
                    <w:r>
                      <w:t>-”号填列）</w:t>
                    </w:r>
                  </w:p>
                </w:tc>
                <w:tc>
                  <w:tcPr>
                    <w:tcW w:w="3016" w:type="dxa"/>
                    <w:vAlign w:val="center"/>
                  </w:tcPr>
                  <w:p w14:paraId="17D366CC" w14:textId="77777777" w:rsidR="00D21C1F" w:rsidRPr="00DA607A" w:rsidRDefault="00A42880" w:rsidP="00DA607A">
                    <w:pPr>
                      <w:jc w:val="right"/>
                      <w:rPr>
                        <w:rFonts w:ascii="Times New Roman" w:hAnsi="Times New Roman" w:cs="Times New Roman"/>
                      </w:rPr>
                    </w:pPr>
                    <w:r w:rsidRPr="00DA607A">
                      <w:rPr>
                        <w:rFonts w:ascii="Times New Roman" w:hAnsi="Times New Roman" w:cs="Times New Roman"/>
                      </w:rPr>
                      <w:t>415,888.37</w:t>
                    </w:r>
                  </w:p>
                </w:tc>
                <w:tc>
                  <w:tcPr>
                    <w:tcW w:w="3017" w:type="dxa"/>
                    <w:vAlign w:val="center"/>
                  </w:tcPr>
                  <w:p w14:paraId="241B62DF" w14:textId="77777777" w:rsidR="00D21C1F" w:rsidRPr="00DA607A" w:rsidRDefault="00A42880" w:rsidP="00DA607A">
                    <w:pPr>
                      <w:jc w:val="right"/>
                      <w:rPr>
                        <w:rFonts w:ascii="Times New Roman" w:hAnsi="Times New Roman" w:cs="Times New Roman"/>
                      </w:rPr>
                    </w:pPr>
                    <w:r w:rsidRPr="00DA607A">
                      <w:rPr>
                        <w:rFonts w:ascii="Times New Roman" w:hAnsi="Times New Roman" w:cs="Times New Roman"/>
                      </w:rPr>
                      <w:t>1,145,472.80</w:t>
                    </w:r>
                  </w:p>
                </w:tc>
              </w:tr>
            </w:sdtContent>
          </w:sdt>
          <w:tr w:rsidR="00D21C1F" w14:paraId="737BCFDC" w14:textId="77777777" w:rsidTr="00DA607A">
            <w:tc>
              <w:tcPr>
                <w:tcW w:w="3016" w:type="dxa"/>
              </w:tcPr>
              <w:sdt>
                <w:sdtPr>
                  <w:rPr>
                    <w:rFonts w:ascii="Times New Roman" w:hAnsi="Times New Roman" w:hint="eastAsia"/>
                  </w:rPr>
                  <w:tag w:val="_PLD_8313ddfe5809449c9ba5acf78ad5340a"/>
                  <w:id w:val="-532113120"/>
                  <w:lock w:val="sdtLocked"/>
                </w:sdtPr>
                <w:sdtEndPr/>
                <w:sdtContent>
                  <w:p w14:paraId="07054D59" w14:textId="77777777" w:rsidR="00D21C1F" w:rsidRDefault="00A42880">
                    <w:pPr>
                      <w:jc w:val="center"/>
                    </w:pPr>
                    <w:r>
                      <w:rPr>
                        <w:rFonts w:hint="eastAsia"/>
                      </w:rPr>
                      <w:t>合计</w:t>
                    </w:r>
                  </w:p>
                </w:sdtContent>
              </w:sdt>
            </w:tc>
            <w:tc>
              <w:tcPr>
                <w:tcW w:w="3016" w:type="dxa"/>
                <w:vAlign w:val="center"/>
              </w:tcPr>
              <w:p w14:paraId="7174F6E4" w14:textId="77777777" w:rsidR="00D21C1F" w:rsidRPr="00DA607A" w:rsidRDefault="00A42880" w:rsidP="00DA607A">
                <w:pPr>
                  <w:jc w:val="right"/>
                  <w:rPr>
                    <w:rFonts w:ascii="Times New Roman" w:hAnsi="Times New Roman" w:cs="Times New Roman"/>
                  </w:rPr>
                </w:pPr>
                <w:r w:rsidRPr="00DA607A">
                  <w:rPr>
                    <w:rFonts w:ascii="Times New Roman" w:hAnsi="Times New Roman" w:cs="Times New Roman"/>
                  </w:rPr>
                  <w:t>415,888.37</w:t>
                </w:r>
              </w:p>
            </w:tc>
            <w:tc>
              <w:tcPr>
                <w:tcW w:w="3017" w:type="dxa"/>
                <w:vAlign w:val="center"/>
              </w:tcPr>
              <w:p w14:paraId="2F30856F" w14:textId="77777777" w:rsidR="00D21C1F" w:rsidRPr="00DA607A" w:rsidRDefault="00A42880" w:rsidP="00DA607A">
                <w:pPr>
                  <w:jc w:val="right"/>
                  <w:rPr>
                    <w:rFonts w:ascii="Times New Roman" w:hAnsi="Times New Roman" w:cs="Times New Roman"/>
                  </w:rPr>
                </w:pPr>
                <w:r w:rsidRPr="00DA607A">
                  <w:rPr>
                    <w:rFonts w:ascii="Times New Roman" w:hAnsi="Times New Roman" w:cs="Times New Roman"/>
                  </w:rPr>
                  <w:t>1,145,472.80</w:t>
                </w:r>
              </w:p>
            </w:tc>
          </w:tr>
        </w:tbl>
        <w:p w14:paraId="6FE21145" w14:textId="77777777" w:rsidR="00D21C1F" w:rsidRDefault="00A42880">
          <w:pPr>
            <w:pStyle w:val="97"/>
          </w:pPr>
          <w:r>
            <w:rPr>
              <w:rFonts w:hint="eastAsia"/>
            </w:rPr>
            <w:t>其他</w:t>
          </w:r>
          <w:r>
            <w:t>说明：</w:t>
          </w:r>
        </w:p>
        <w:sdt>
          <w:sdtPr>
            <w:rPr>
              <w:rFonts w:hint="eastAsia"/>
            </w:rPr>
            <w:alias w:val="是否适用：资产处置收益其他说明[双击切换]"/>
            <w:tag w:val="_GBC_15965d17bc0a4e6788b5c6faf8c51b58"/>
            <w:id w:val="-1009441570"/>
            <w:lock w:val="sdtLocked"/>
            <w:placeholder>
              <w:docPart w:val="GBC22222222222222222222222222222"/>
            </w:placeholder>
          </w:sdtPr>
          <w:sdtEndPr/>
          <w:sdtContent>
            <w:p w14:paraId="4EBD891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8401489" w14:textId="77777777" w:rsidR="00D21C1F" w:rsidRDefault="00D21C1F">
      <w:pPr>
        <w:pStyle w:val="97"/>
      </w:pPr>
    </w:p>
    <w:p w14:paraId="2D60B0ED"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营业外收入</w:t>
      </w:r>
    </w:p>
    <w:sdt>
      <w:sdtPr>
        <w:rPr>
          <w:rFonts w:cstheme="minorBidi" w:hint="eastAsia"/>
          <w:bCs/>
          <w:szCs w:val="22"/>
        </w:rPr>
        <w:alias w:val="是否适用：营业外收入情况 [双击切换]"/>
        <w:tag w:val="_GBC_b6e9df1124844122abb2dde58392c605"/>
        <w:id w:val="266432532"/>
        <w:lock w:val="sdtContentLocked"/>
        <w:placeholder>
          <w:docPart w:val="GBC22222222222222222222222222222"/>
        </w:placeholder>
      </w:sdtPr>
      <w:sdtEndPr/>
      <w:sdtContent>
        <w:p w14:paraId="71702FD0" w14:textId="77777777" w:rsidR="00D21C1F" w:rsidRDefault="00A42880">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
      <w:sdtPr>
        <w:rPr>
          <w:rFonts w:ascii="Times New Roman" w:eastAsiaTheme="minorEastAsia" w:hAnsi="Times New Roman" w:cs="Times New Roman"/>
        </w:rPr>
        <w:alias w:val="模块:单位：元 币种：人民币项目本期发生额上期发生额计入当期非经..."/>
        <w:tag w:val="_SEC_62e5cfd7609742dd8d0ae51a88918288"/>
        <w:id w:val="-1972887405"/>
        <w:lock w:val="sdtLocked"/>
        <w:placeholder>
          <w:docPart w:val="GBC22222222222222222222222222222"/>
        </w:placeholder>
      </w:sdtPr>
      <w:sdtEndPr/>
      <w:sdtContent>
        <w:p w14:paraId="77E735D8" w14:textId="77777777" w:rsidR="00D21C1F" w:rsidRPr="00DA607A" w:rsidRDefault="00A42880">
          <w:pPr>
            <w:jc w:val="right"/>
            <w:rPr>
              <w:rFonts w:ascii="Times New Roman" w:hAnsi="Times New Roman" w:cs="Times New Roman"/>
            </w:rPr>
          </w:pPr>
          <w:r w:rsidRPr="00DA607A">
            <w:rPr>
              <w:rFonts w:ascii="Times New Roman" w:hAnsi="Times New Roman" w:cs="Times New Roman"/>
            </w:rPr>
            <w:t>单位：</w:t>
          </w:r>
          <w:sdt>
            <w:sdtPr>
              <w:rPr>
                <w:rFonts w:ascii="Times New Roman" w:hAnsi="Times New Roman" w:cs="Times New Roman"/>
              </w:rPr>
              <w:alias w:val="单位：财务附注：营业外收入"/>
              <w:tag w:val="_GBC_dd93a692e0c045038f9ddf46f86e7289"/>
              <w:id w:val="450836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A607A">
                <w:rPr>
                  <w:rFonts w:ascii="Times New Roman" w:hAnsi="Times New Roman" w:cs="Times New Roman"/>
                </w:rPr>
                <w:t>元</w:t>
              </w:r>
            </w:sdtContent>
          </w:sdt>
          <w:r w:rsidRPr="00DA607A">
            <w:rPr>
              <w:rFonts w:ascii="Times New Roman" w:hAnsi="Times New Roman" w:cs="Times New Roman"/>
            </w:rPr>
            <w:t>币种：</w:t>
          </w:r>
          <w:sdt>
            <w:sdtPr>
              <w:rPr>
                <w:rFonts w:ascii="Times New Roman" w:hAnsi="Times New Roman" w:cs="Times New Roman"/>
              </w:rPr>
              <w:alias w:val="币种：财务附注：营业外收入"/>
              <w:tag w:val="_GBC_598cac7504eb4ef39ddc19fb969bdd53"/>
              <w:id w:val="1600606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DA607A">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D21C1F" w:rsidRPr="00DA607A" w14:paraId="67CAA0AF" w14:textId="77777777">
            <w:sdt>
              <w:sdtPr>
                <w:rPr>
                  <w:rFonts w:ascii="Times New Roman" w:hAnsi="Times New Roman" w:cs="Times New Roman"/>
                </w:rPr>
                <w:tag w:val="_PLD_d649e0d07dd047a497e69591bf3e322c"/>
                <w:id w:val="-1627612179"/>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7C09A643" w14:textId="77777777" w:rsidR="00D21C1F" w:rsidRPr="00DA607A" w:rsidRDefault="00A42880">
                    <w:pPr>
                      <w:autoSpaceDE w:val="0"/>
                      <w:autoSpaceDN w:val="0"/>
                      <w:adjustRightInd w:val="0"/>
                      <w:jc w:val="center"/>
                      <w:rPr>
                        <w:rFonts w:ascii="Times New Roman" w:hAnsi="Times New Roman" w:cs="Times New Roman"/>
                        <w:szCs w:val="21"/>
                      </w:rPr>
                    </w:pPr>
                    <w:r w:rsidRPr="00DA607A">
                      <w:rPr>
                        <w:rFonts w:ascii="Times New Roman" w:hAnsi="Times New Roman" w:cs="Times New Roman"/>
                        <w:szCs w:val="21"/>
                      </w:rPr>
                      <w:t>项目</w:t>
                    </w:r>
                  </w:p>
                </w:tc>
              </w:sdtContent>
            </w:sdt>
            <w:sdt>
              <w:sdtPr>
                <w:rPr>
                  <w:rFonts w:ascii="Times New Roman" w:hAnsi="Times New Roman" w:cs="Times New Roman"/>
                </w:rPr>
                <w:tag w:val="_PLD_eabf358cb2c947a9b4e7bacb394074db"/>
                <w:id w:val="1115714620"/>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193C4FDA" w14:textId="77777777" w:rsidR="00D21C1F" w:rsidRPr="00DA607A" w:rsidRDefault="00A42880">
                    <w:pPr>
                      <w:autoSpaceDE w:val="0"/>
                      <w:autoSpaceDN w:val="0"/>
                      <w:adjustRightInd w:val="0"/>
                      <w:jc w:val="center"/>
                      <w:rPr>
                        <w:rFonts w:ascii="Times New Roman" w:hAnsi="Times New Roman" w:cs="Times New Roman"/>
                        <w:szCs w:val="21"/>
                      </w:rPr>
                    </w:pPr>
                    <w:r w:rsidRPr="00DA607A">
                      <w:rPr>
                        <w:rFonts w:ascii="Times New Roman" w:hAnsi="Times New Roman" w:cs="Times New Roman"/>
                        <w:szCs w:val="21"/>
                      </w:rPr>
                      <w:t>本期发生额</w:t>
                    </w:r>
                  </w:p>
                </w:tc>
              </w:sdtContent>
            </w:sdt>
            <w:sdt>
              <w:sdtPr>
                <w:rPr>
                  <w:rFonts w:ascii="Times New Roman" w:hAnsi="Times New Roman" w:cs="Times New Roman"/>
                </w:rPr>
                <w:tag w:val="_PLD_0469d808d7334ff0ab3460273b0c8f8f"/>
                <w:id w:val="1878276514"/>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39D02D3F" w14:textId="77777777" w:rsidR="00D21C1F" w:rsidRPr="00DA607A" w:rsidRDefault="00A42880">
                    <w:pPr>
                      <w:autoSpaceDE w:val="0"/>
                      <w:autoSpaceDN w:val="0"/>
                      <w:adjustRightInd w:val="0"/>
                      <w:jc w:val="center"/>
                      <w:rPr>
                        <w:rFonts w:ascii="Times New Roman" w:hAnsi="Times New Roman" w:cs="Times New Roman"/>
                        <w:szCs w:val="21"/>
                      </w:rPr>
                    </w:pPr>
                    <w:r w:rsidRPr="00DA607A">
                      <w:rPr>
                        <w:rFonts w:ascii="Times New Roman" w:hAnsi="Times New Roman" w:cs="Times New Roman"/>
                        <w:szCs w:val="21"/>
                      </w:rPr>
                      <w:t>上期发生额</w:t>
                    </w:r>
                  </w:p>
                </w:tc>
              </w:sdtContent>
            </w:sdt>
            <w:sdt>
              <w:sdtPr>
                <w:rPr>
                  <w:rFonts w:ascii="Times New Roman" w:hAnsi="Times New Roman" w:cs="Times New Roman"/>
                </w:rPr>
                <w:tag w:val="_PLD_121bda757dda46918753fabf9329298f"/>
                <w:id w:val="1231808069"/>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02649592" w14:textId="77777777" w:rsidR="00D21C1F" w:rsidRPr="00DA607A" w:rsidRDefault="00A42880">
                    <w:pPr>
                      <w:autoSpaceDE w:val="0"/>
                      <w:autoSpaceDN w:val="0"/>
                      <w:adjustRightInd w:val="0"/>
                      <w:jc w:val="center"/>
                      <w:rPr>
                        <w:rFonts w:ascii="Times New Roman" w:hAnsi="Times New Roman" w:cs="Times New Roman"/>
                        <w:color w:val="FF0000"/>
                        <w:szCs w:val="21"/>
                      </w:rPr>
                    </w:pPr>
                    <w:r w:rsidRPr="00DA607A">
                      <w:rPr>
                        <w:rFonts w:ascii="Times New Roman" w:hAnsi="Times New Roman" w:cs="Times New Roman"/>
                        <w:szCs w:val="21"/>
                      </w:rPr>
                      <w:t>计入当期非经常性损益的金额</w:t>
                    </w:r>
                  </w:p>
                </w:tc>
              </w:sdtContent>
            </w:sdt>
          </w:tr>
          <w:sdt>
            <w:sdtPr>
              <w:rPr>
                <w:rFonts w:ascii="Times New Roman" w:hAnsi="Times New Roman" w:cs="Times New Roman"/>
                <w:szCs w:val="21"/>
              </w:rPr>
              <w:alias w:val="营业外收入明细"/>
              <w:tag w:val="_GBC_fd02acc867064481b957560afa744c85"/>
              <w:id w:val="1504007522"/>
              <w:lock w:val="sdtLocked"/>
            </w:sdtPr>
            <w:sdtEndPr/>
            <w:sdtContent>
              <w:tr w:rsidR="00D21C1F" w:rsidRPr="00DA607A" w14:paraId="0A827678" w14:textId="77777777">
                <w:tc>
                  <w:tcPr>
                    <w:tcW w:w="1166" w:type="pct"/>
                    <w:tcBorders>
                      <w:top w:val="single" w:sz="4" w:space="0" w:color="auto"/>
                      <w:left w:val="single" w:sz="4" w:space="0" w:color="auto"/>
                      <w:bottom w:val="single" w:sz="4" w:space="0" w:color="auto"/>
                      <w:right w:val="single" w:sz="4" w:space="0" w:color="auto"/>
                    </w:tcBorders>
                  </w:tcPr>
                  <w:p w14:paraId="63833E94" w14:textId="77777777" w:rsidR="00D21C1F" w:rsidRPr="00DA607A" w:rsidRDefault="00A42880">
                    <w:pPr>
                      <w:rPr>
                        <w:rFonts w:ascii="Times New Roman" w:hAnsi="Times New Roman" w:cs="Times New Roman"/>
                        <w:szCs w:val="21"/>
                      </w:rPr>
                    </w:pPr>
                    <w:r w:rsidRPr="00DA607A">
                      <w:rPr>
                        <w:rFonts w:ascii="Times New Roman" w:hAnsi="Times New Roman" w:cs="Times New Roman"/>
                        <w:szCs w:val="21"/>
                      </w:rPr>
                      <w:t>无需支付款项</w:t>
                    </w:r>
                  </w:p>
                </w:tc>
                <w:tc>
                  <w:tcPr>
                    <w:tcW w:w="1274" w:type="pct"/>
                    <w:tcBorders>
                      <w:top w:val="single" w:sz="4" w:space="0" w:color="auto"/>
                      <w:left w:val="single" w:sz="4" w:space="0" w:color="auto"/>
                      <w:bottom w:val="single" w:sz="4" w:space="0" w:color="auto"/>
                      <w:right w:val="single" w:sz="4" w:space="0" w:color="auto"/>
                    </w:tcBorders>
                    <w:vAlign w:val="bottom"/>
                  </w:tcPr>
                  <w:p w14:paraId="3D049EEA"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6,110,381.68</w:t>
                    </w:r>
                  </w:p>
                </w:tc>
                <w:tc>
                  <w:tcPr>
                    <w:tcW w:w="1279" w:type="pct"/>
                    <w:tcBorders>
                      <w:top w:val="single" w:sz="4" w:space="0" w:color="auto"/>
                      <w:left w:val="single" w:sz="4" w:space="0" w:color="auto"/>
                      <w:bottom w:val="single" w:sz="4" w:space="0" w:color="auto"/>
                      <w:right w:val="single" w:sz="4" w:space="0" w:color="auto"/>
                    </w:tcBorders>
                    <w:vAlign w:val="bottom"/>
                  </w:tcPr>
                  <w:p w14:paraId="7551471A"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6,098,369.74</w:t>
                    </w:r>
                  </w:p>
                </w:tc>
                <w:tc>
                  <w:tcPr>
                    <w:tcW w:w="1280" w:type="pct"/>
                    <w:tcBorders>
                      <w:top w:val="single" w:sz="4" w:space="0" w:color="auto"/>
                      <w:left w:val="single" w:sz="4" w:space="0" w:color="auto"/>
                      <w:bottom w:val="single" w:sz="4" w:space="0" w:color="auto"/>
                      <w:right w:val="single" w:sz="4" w:space="0" w:color="auto"/>
                    </w:tcBorders>
                    <w:vAlign w:val="bottom"/>
                  </w:tcPr>
                  <w:p w14:paraId="4A21B751"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6,110,381.68</w:t>
                    </w:r>
                  </w:p>
                </w:tc>
              </w:tr>
            </w:sdtContent>
          </w:sdt>
          <w:tr w:rsidR="00D21C1F" w:rsidRPr="00DA607A" w14:paraId="2118F648" w14:textId="77777777">
            <w:sdt>
              <w:sdtPr>
                <w:rPr>
                  <w:rFonts w:ascii="Times New Roman" w:hAnsi="Times New Roman" w:cs="Times New Roman"/>
                </w:rPr>
                <w:tag w:val="_PLD_b627183426d3462198209d98f8e60215"/>
                <w:id w:val="-689681565"/>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4A079D7A" w14:textId="77777777" w:rsidR="00D21C1F" w:rsidRPr="00DA607A" w:rsidRDefault="00A42880">
                    <w:pPr>
                      <w:ind w:right="6"/>
                      <w:rPr>
                        <w:rFonts w:ascii="Times New Roman" w:hAnsi="Times New Roman" w:cs="Times New Roman"/>
                        <w:bCs/>
                        <w:szCs w:val="21"/>
                      </w:rPr>
                    </w:pPr>
                    <w:r w:rsidRPr="00DA607A">
                      <w:rPr>
                        <w:rFonts w:ascii="Times New Roman" w:hAnsi="Times New Roman" w:cs="Times New Roman"/>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vAlign w:val="bottom"/>
              </w:tcPr>
              <w:p w14:paraId="213140E4"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4,005,625.00</w:t>
                </w:r>
              </w:p>
            </w:tc>
            <w:tc>
              <w:tcPr>
                <w:tcW w:w="1279" w:type="pct"/>
                <w:tcBorders>
                  <w:top w:val="single" w:sz="4" w:space="0" w:color="auto"/>
                  <w:left w:val="single" w:sz="4" w:space="0" w:color="auto"/>
                  <w:bottom w:val="single" w:sz="4" w:space="0" w:color="auto"/>
                  <w:right w:val="single" w:sz="4" w:space="0" w:color="auto"/>
                </w:tcBorders>
                <w:vAlign w:val="bottom"/>
              </w:tcPr>
              <w:p w14:paraId="7993300F"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96,198.26</w:t>
                </w:r>
              </w:p>
            </w:tc>
            <w:tc>
              <w:tcPr>
                <w:tcW w:w="1280" w:type="pct"/>
                <w:tcBorders>
                  <w:top w:val="single" w:sz="4" w:space="0" w:color="auto"/>
                  <w:left w:val="single" w:sz="4" w:space="0" w:color="auto"/>
                  <w:bottom w:val="single" w:sz="4" w:space="0" w:color="auto"/>
                  <w:right w:val="single" w:sz="4" w:space="0" w:color="auto"/>
                </w:tcBorders>
                <w:vAlign w:val="bottom"/>
              </w:tcPr>
              <w:p w14:paraId="1EA7A95C" w14:textId="77777777" w:rsidR="00D21C1F" w:rsidRPr="00DA607A" w:rsidRDefault="00A42880">
                <w:pPr>
                  <w:autoSpaceDE w:val="0"/>
                  <w:autoSpaceDN w:val="0"/>
                  <w:adjustRightInd w:val="0"/>
                  <w:jc w:val="right"/>
                  <w:rPr>
                    <w:rFonts w:ascii="Times New Roman" w:hAnsi="Times New Roman" w:cs="Times New Roman"/>
                    <w:szCs w:val="21"/>
                  </w:rPr>
                </w:pPr>
                <w:r w:rsidRPr="00DA607A">
                  <w:rPr>
                    <w:rFonts w:ascii="Times New Roman" w:hAnsi="Times New Roman" w:cs="Times New Roman"/>
                  </w:rPr>
                  <w:t>4,005,625.00</w:t>
                </w:r>
              </w:p>
            </w:tc>
          </w:tr>
          <w:sdt>
            <w:sdtPr>
              <w:rPr>
                <w:rFonts w:ascii="Times New Roman" w:hAnsi="Times New Roman" w:cs="Times New Roman"/>
                <w:szCs w:val="21"/>
              </w:rPr>
              <w:alias w:val="营业外收入明细"/>
              <w:tag w:val="_GBC_fd02acc867064481b957560afa744c85"/>
              <w:id w:val="1549644859"/>
              <w:lock w:val="sdtLocked"/>
            </w:sdtPr>
            <w:sdtEndPr/>
            <w:sdtContent>
              <w:tr w:rsidR="00D21C1F" w:rsidRPr="00DA607A" w14:paraId="2445157D" w14:textId="77777777">
                <w:tc>
                  <w:tcPr>
                    <w:tcW w:w="1166" w:type="pct"/>
                    <w:tcBorders>
                      <w:top w:val="single" w:sz="4" w:space="0" w:color="auto"/>
                      <w:left w:val="single" w:sz="4" w:space="0" w:color="auto"/>
                      <w:bottom w:val="single" w:sz="4" w:space="0" w:color="auto"/>
                      <w:right w:val="single" w:sz="4" w:space="0" w:color="auto"/>
                    </w:tcBorders>
                  </w:tcPr>
                  <w:p w14:paraId="55ACE30D" w14:textId="77777777" w:rsidR="00D21C1F" w:rsidRPr="00DA607A" w:rsidRDefault="00A42880">
                    <w:pPr>
                      <w:rPr>
                        <w:rFonts w:ascii="Times New Roman" w:hAnsi="Times New Roman" w:cs="Times New Roman"/>
                        <w:szCs w:val="21"/>
                      </w:rPr>
                    </w:pPr>
                    <w:r w:rsidRPr="00DA607A">
                      <w:rPr>
                        <w:rFonts w:ascii="Times New Roman" w:hAnsi="Times New Roman" w:cs="Times New Roman"/>
                      </w:rPr>
                      <w:t>罚款收入</w:t>
                    </w:r>
                  </w:p>
                </w:tc>
                <w:tc>
                  <w:tcPr>
                    <w:tcW w:w="1274" w:type="pct"/>
                    <w:tcBorders>
                      <w:top w:val="single" w:sz="4" w:space="0" w:color="auto"/>
                      <w:left w:val="single" w:sz="4" w:space="0" w:color="auto"/>
                      <w:bottom w:val="single" w:sz="4" w:space="0" w:color="auto"/>
                      <w:right w:val="single" w:sz="4" w:space="0" w:color="auto"/>
                    </w:tcBorders>
                    <w:vAlign w:val="bottom"/>
                  </w:tcPr>
                  <w:p w14:paraId="648F3AB8"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48,080.53</w:t>
                    </w:r>
                  </w:p>
                </w:tc>
                <w:tc>
                  <w:tcPr>
                    <w:tcW w:w="1279" w:type="pct"/>
                    <w:tcBorders>
                      <w:top w:val="single" w:sz="4" w:space="0" w:color="auto"/>
                      <w:left w:val="single" w:sz="4" w:space="0" w:color="auto"/>
                      <w:bottom w:val="single" w:sz="4" w:space="0" w:color="auto"/>
                      <w:right w:val="single" w:sz="4" w:space="0" w:color="auto"/>
                    </w:tcBorders>
                    <w:vAlign w:val="bottom"/>
                  </w:tcPr>
                  <w:p w14:paraId="65CC8C3E"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32,194.61</w:t>
                    </w:r>
                  </w:p>
                </w:tc>
                <w:tc>
                  <w:tcPr>
                    <w:tcW w:w="1280" w:type="pct"/>
                    <w:tcBorders>
                      <w:top w:val="single" w:sz="4" w:space="0" w:color="auto"/>
                      <w:left w:val="single" w:sz="4" w:space="0" w:color="auto"/>
                      <w:bottom w:val="single" w:sz="4" w:space="0" w:color="auto"/>
                      <w:right w:val="single" w:sz="4" w:space="0" w:color="auto"/>
                    </w:tcBorders>
                    <w:vAlign w:val="bottom"/>
                  </w:tcPr>
                  <w:p w14:paraId="732D19D6"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48,080.53</w:t>
                    </w:r>
                  </w:p>
                </w:tc>
              </w:tr>
            </w:sdtContent>
          </w:sdt>
          <w:sdt>
            <w:sdtPr>
              <w:rPr>
                <w:rFonts w:ascii="Times New Roman" w:hAnsi="Times New Roman" w:cs="Times New Roman"/>
                <w:szCs w:val="21"/>
              </w:rPr>
              <w:alias w:val="营业外收入明细"/>
              <w:tag w:val="_GBC_fd02acc867064481b957560afa744c85"/>
              <w:id w:val="-1763829460"/>
              <w:lock w:val="sdtLocked"/>
            </w:sdtPr>
            <w:sdtEndPr/>
            <w:sdtContent>
              <w:tr w:rsidR="00D21C1F" w:rsidRPr="00DA607A" w14:paraId="4CA58495" w14:textId="77777777">
                <w:tc>
                  <w:tcPr>
                    <w:tcW w:w="1166" w:type="pct"/>
                    <w:tcBorders>
                      <w:top w:val="single" w:sz="4" w:space="0" w:color="auto"/>
                      <w:left w:val="single" w:sz="4" w:space="0" w:color="auto"/>
                      <w:bottom w:val="single" w:sz="4" w:space="0" w:color="auto"/>
                      <w:right w:val="single" w:sz="4" w:space="0" w:color="auto"/>
                    </w:tcBorders>
                  </w:tcPr>
                  <w:p w14:paraId="095621DF" w14:textId="77777777" w:rsidR="00D21C1F" w:rsidRPr="00DA607A" w:rsidRDefault="00A42880">
                    <w:pPr>
                      <w:rPr>
                        <w:rFonts w:ascii="Times New Roman" w:hAnsi="Times New Roman" w:cs="Times New Roman"/>
                        <w:szCs w:val="21"/>
                      </w:rPr>
                    </w:pPr>
                    <w:r w:rsidRPr="00DA607A">
                      <w:rPr>
                        <w:rFonts w:ascii="Times New Roman" w:hAnsi="Times New Roman" w:cs="Times New Roman"/>
                      </w:rPr>
                      <w:t>索赔收入</w:t>
                    </w:r>
                  </w:p>
                </w:tc>
                <w:tc>
                  <w:tcPr>
                    <w:tcW w:w="1274" w:type="pct"/>
                    <w:tcBorders>
                      <w:top w:val="single" w:sz="4" w:space="0" w:color="auto"/>
                      <w:left w:val="single" w:sz="4" w:space="0" w:color="auto"/>
                      <w:bottom w:val="single" w:sz="4" w:space="0" w:color="auto"/>
                      <w:right w:val="single" w:sz="4" w:space="0" w:color="auto"/>
                    </w:tcBorders>
                    <w:vAlign w:val="bottom"/>
                  </w:tcPr>
                  <w:p w14:paraId="485E2A19"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2,345.34</w:t>
                    </w:r>
                  </w:p>
                </w:tc>
                <w:tc>
                  <w:tcPr>
                    <w:tcW w:w="1279" w:type="pct"/>
                    <w:tcBorders>
                      <w:top w:val="single" w:sz="4" w:space="0" w:color="auto"/>
                      <w:left w:val="single" w:sz="4" w:space="0" w:color="auto"/>
                      <w:bottom w:val="single" w:sz="4" w:space="0" w:color="auto"/>
                      <w:right w:val="single" w:sz="4" w:space="0" w:color="auto"/>
                    </w:tcBorders>
                    <w:vAlign w:val="bottom"/>
                  </w:tcPr>
                  <w:p w14:paraId="5F81E2DD"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11,539.00</w:t>
                    </w:r>
                  </w:p>
                </w:tc>
                <w:tc>
                  <w:tcPr>
                    <w:tcW w:w="1280" w:type="pct"/>
                    <w:tcBorders>
                      <w:top w:val="single" w:sz="4" w:space="0" w:color="auto"/>
                      <w:left w:val="single" w:sz="4" w:space="0" w:color="auto"/>
                      <w:bottom w:val="single" w:sz="4" w:space="0" w:color="auto"/>
                      <w:right w:val="single" w:sz="4" w:space="0" w:color="auto"/>
                    </w:tcBorders>
                    <w:vAlign w:val="bottom"/>
                  </w:tcPr>
                  <w:p w14:paraId="14E913B3"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2,345.34</w:t>
                    </w:r>
                  </w:p>
                </w:tc>
              </w:tr>
            </w:sdtContent>
          </w:sdt>
          <w:tr w:rsidR="00D21C1F" w:rsidRPr="00DA607A" w14:paraId="18A3909E" w14:textId="77777777">
            <w:sdt>
              <w:sdtPr>
                <w:rPr>
                  <w:rFonts w:ascii="Times New Roman" w:hAnsi="Times New Roman" w:cs="Times New Roman"/>
                </w:rPr>
                <w:tag w:val="_PLD_25918db321f1404aaddb2a14d0bd05fc"/>
                <w:id w:val="113262912"/>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04DC17B5" w14:textId="77777777" w:rsidR="00D21C1F" w:rsidRPr="00DA607A" w:rsidRDefault="00A42880">
                    <w:pPr>
                      <w:jc w:val="center"/>
                      <w:rPr>
                        <w:rFonts w:ascii="Times New Roman" w:hAnsi="Times New Roman" w:cs="Times New Roman"/>
                        <w:szCs w:val="21"/>
                      </w:rPr>
                    </w:pPr>
                    <w:r w:rsidRPr="00DA607A">
                      <w:rPr>
                        <w:rFonts w:ascii="Times New Roman" w:hAnsi="Times New Roman" w:cs="Times New Roman"/>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bottom"/>
              </w:tcPr>
              <w:p w14:paraId="0A862A7D" w14:textId="77777777" w:rsidR="00D21C1F" w:rsidRPr="00DA607A" w:rsidRDefault="00A42880">
                <w:pPr>
                  <w:jc w:val="right"/>
                  <w:rPr>
                    <w:rFonts w:ascii="Times New Roman" w:hAnsi="Times New Roman" w:cs="Times New Roman"/>
                  </w:rPr>
                </w:pPr>
                <w:r w:rsidRPr="00DA607A">
                  <w:rPr>
                    <w:rFonts w:ascii="Times New Roman" w:hAnsi="Times New Roman" w:cs="Times New Roman"/>
                  </w:rPr>
                  <w:t>10,166,432.55</w:t>
                </w:r>
              </w:p>
            </w:tc>
            <w:tc>
              <w:tcPr>
                <w:tcW w:w="1279" w:type="pct"/>
                <w:tcBorders>
                  <w:top w:val="single" w:sz="4" w:space="0" w:color="auto"/>
                  <w:left w:val="single" w:sz="4" w:space="0" w:color="auto"/>
                  <w:bottom w:val="single" w:sz="4" w:space="0" w:color="auto"/>
                  <w:right w:val="single" w:sz="4" w:space="0" w:color="auto"/>
                </w:tcBorders>
                <w:vAlign w:val="bottom"/>
              </w:tcPr>
              <w:p w14:paraId="5818A592" w14:textId="77777777" w:rsidR="00D21C1F" w:rsidRPr="00DA607A" w:rsidRDefault="00A42880">
                <w:pPr>
                  <w:jc w:val="right"/>
                  <w:rPr>
                    <w:rFonts w:ascii="Times New Roman" w:hAnsi="Times New Roman" w:cs="Times New Roman"/>
                  </w:rPr>
                </w:pPr>
                <w:r w:rsidRPr="00DA607A">
                  <w:rPr>
                    <w:rFonts w:ascii="Times New Roman" w:hAnsi="Times New Roman" w:cs="Times New Roman"/>
                  </w:rPr>
                  <w:t>6,238,301.61</w:t>
                </w:r>
              </w:p>
            </w:tc>
            <w:tc>
              <w:tcPr>
                <w:tcW w:w="1280" w:type="pct"/>
                <w:tcBorders>
                  <w:top w:val="single" w:sz="4" w:space="0" w:color="auto"/>
                  <w:left w:val="single" w:sz="4" w:space="0" w:color="auto"/>
                  <w:bottom w:val="single" w:sz="4" w:space="0" w:color="auto"/>
                  <w:right w:val="single" w:sz="4" w:space="0" w:color="auto"/>
                </w:tcBorders>
                <w:vAlign w:val="bottom"/>
              </w:tcPr>
              <w:p w14:paraId="4494B9AA" w14:textId="77777777" w:rsidR="00D21C1F" w:rsidRPr="00DA607A" w:rsidRDefault="00A42880">
                <w:pPr>
                  <w:jc w:val="right"/>
                  <w:rPr>
                    <w:rFonts w:ascii="Times New Roman" w:hAnsi="Times New Roman" w:cs="Times New Roman"/>
                  </w:rPr>
                </w:pPr>
                <w:r w:rsidRPr="00DA607A">
                  <w:rPr>
                    <w:rFonts w:ascii="Times New Roman" w:hAnsi="Times New Roman" w:cs="Times New Roman"/>
                  </w:rPr>
                  <w:t>10,166,432.55</w:t>
                </w:r>
              </w:p>
            </w:tc>
          </w:tr>
        </w:tbl>
        <w:p w14:paraId="55EFB96A" w14:textId="77777777" w:rsidR="00D21C1F" w:rsidRDefault="00045EC6">
          <w:pPr>
            <w:pStyle w:val="97"/>
          </w:pPr>
        </w:p>
      </w:sdtContent>
    </w:sdt>
    <w:sdt>
      <w:sdtPr>
        <w:rPr>
          <w:rFonts w:ascii="Times New Roman" w:eastAsiaTheme="minorEastAsia" w:hAnsi="Times New Roman" w:cs="Times New Roman"/>
          <w:b/>
        </w:rPr>
        <w:alias w:val="模块:计入当期损益的政府补助"/>
        <w:tag w:val="_GBC_941e4c9023f94b758b05afb87d550363"/>
        <w:id w:val="1714767020"/>
        <w:lock w:val="sdtLocked"/>
        <w:placeholder>
          <w:docPart w:val="GBC22222222222222222222222222222"/>
        </w:placeholder>
      </w:sdtPr>
      <w:sdtEndPr>
        <w:rPr>
          <w:b w:val="0"/>
        </w:rPr>
      </w:sdtEndPr>
      <w:sdtContent>
        <w:p w14:paraId="68A9044D" w14:textId="77777777" w:rsidR="00D21C1F" w:rsidRPr="00DA607A" w:rsidRDefault="00A42880">
          <w:pPr>
            <w:rPr>
              <w:rStyle w:val="83"/>
              <w:rFonts w:ascii="Times New Roman" w:hAnsi="Times New Roman" w:cs="Times New Roman"/>
              <w:b w:val="0"/>
              <w:szCs w:val="21"/>
            </w:rPr>
          </w:pPr>
          <w:r w:rsidRPr="00DA607A">
            <w:rPr>
              <w:rStyle w:val="83"/>
              <w:rFonts w:ascii="Times New Roman" w:hAnsi="Times New Roman" w:cs="Times New Roman"/>
              <w:b w:val="0"/>
              <w:szCs w:val="21"/>
            </w:rPr>
            <w:t>计入当期</w:t>
          </w:r>
          <w:r w:rsidRPr="00DA607A">
            <w:rPr>
              <w:rFonts w:ascii="Times New Roman" w:hAnsi="Times New Roman" w:cs="Times New Roman"/>
            </w:rPr>
            <w:t>损益</w:t>
          </w:r>
          <w:r w:rsidRPr="00DA607A">
            <w:rPr>
              <w:rStyle w:val="83"/>
              <w:rFonts w:ascii="Times New Roman" w:hAnsi="Times New Roman" w:cs="Times New Roman"/>
              <w:b w:val="0"/>
              <w:szCs w:val="21"/>
            </w:rPr>
            <w:t>的政府补助</w:t>
          </w:r>
        </w:p>
        <w:sdt>
          <w:sdtPr>
            <w:rPr>
              <w:rStyle w:val="83"/>
              <w:rFonts w:ascii="Times New Roman" w:hAnsi="Times New Roman" w:cs="Times New Roman"/>
              <w:b w:val="0"/>
              <w:szCs w:val="21"/>
            </w:rPr>
            <w:alias w:val="是否适用：计入当期损益的政府补助[双击切换]"/>
            <w:tag w:val="_GBC_c8882fe165a24797aca3c402f799f006"/>
            <w:id w:val="18202076"/>
            <w:lock w:val="sdtLocked"/>
            <w:placeholder>
              <w:docPart w:val="GBC22222222222222222222222222222"/>
            </w:placeholder>
          </w:sdtPr>
          <w:sdtEndPr>
            <w:rPr>
              <w:rStyle w:val="83"/>
            </w:rPr>
          </w:sdtEndPr>
          <w:sdtContent>
            <w:p w14:paraId="3716F449" w14:textId="77777777" w:rsidR="00D21C1F" w:rsidRPr="00DA607A" w:rsidRDefault="00A42880">
              <w:pPr>
                <w:rPr>
                  <w:rStyle w:val="83"/>
                  <w:rFonts w:ascii="Times New Roman" w:hAnsi="Times New Roman" w:cs="Times New Roman"/>
                  <w:b w:val="0"/>
                  <w:szCs w:val="21"/>
                </w:rPr>
              </w:pPr>
              <w:r w:rsidRPr="00DA607A">
                <w:rPr>
                  <w:rStyle w:val="83"/>
                  <w:rFonts w:ascii="Times New Roman" w:hAnsi="Times New Roman" w:cs="Times New Roman"/>
                  <w:b w:val="0"/>
                  <w:szCs w:val="21"/>
                </w:rPr>
                <w:fldChar w:fldCharType="begin"/>
              </w:r>
              <w:r w:rsidRPr="00DA607A">
                <w:rPr>
                  <w:rStyle w:val="83"/>
                  <w:rFonts w:ascii="Times New Roman" w:hAnsi="Times New Roman" w:cs="Times New Roman"/>
                  <w:b w:val="0"/>
                  <w:szCs w:val="21"/>
                </w:rPr>
                <w:instrText xml:space="preserve"> MACROBUTTON  SnrToggleCheckbox √</w:instrText>
              </w:r>
              <w:r w:rsidRPr="00DA607A">
                <w:rPr>
                  <w:rStyle w:val="83"/>
                  <w:rFonts w:ascii="Times New Roman" w:hAnsi="Times New Roman" w:cs="Times New Roman"/>
                  <w:b w:val="0"/>
                  <w:szCs w:val="21"/>
                </w:rPr>
                <w:instrText>适用</w:instrText>
              </w:r>
              <w:r w:rsidRPr="00DA607A">
                <w:rPr>
                  <w:rStyle w:val="83"/>
                  <w:rFonts w:ascii="Times New Roman" w:hAnsi="Times New Roman" w:cs="Times New Roman"/>
                  <w:b w:val="0"/>
                  <w:szCs w:val="21"/>
                </w:rPr>
                <w:instrText xml:space="preserve"> </w:instrText>
              </w:r>
              <w:r w:rsidRPr="00DA607A">
                <w:rPr>
                  <w:rStyle w:val="83"/>
                  <w:rFonts w:ascii="Times New Roman" w:hAnsi="Times New Roman" w:cs="Times New Roman"/>
                  <w:b w:val="0"/>
                  <w:szCs w:val="21"/>
                </w:rPr>
                <w:fldChar w:fldCharType="end"/>
              </w:r>
              <w:r w:rsidRPr="00DA607A">
                <w:rPr>
                  <w:rStyle w:val="83"/>
                  <w:rFonts w:ascii="Times New Roman" w:hAnsi="Times New Roman" w:cs="Times New Roman"/>
                  <w:b w:val="0"/>
                  <w:szCs w:val="21"/>
                </w:rPr>
                <w:fldChar w:fldCharType="begin"/>
              </w:r>
              <w:r w:rsidRPr="00DA607A">
                <w:rPr>
                  <w:rStyle w:val="83"/>
                  <w:rFonts w:ascii="Times New Roman" w:hAnsi="Times New Roman" w:cs="Times New Roman"/>
                  <w:b w:val="0"/>
                  <w:szCs w:val="21"/>
                </w:rPr>
                <w:instrText xml:space="preserve"> MACROBUTTON  SnrToggleCheckbox □</w:instrText>
              </w:r>
              <w:r w:rsidRPr="00DA607A">
                <w:rPr>
                  <w:rStyle w:val="83"/>
                  <w:rFonts w:ascii="Times New Roman" w:hAnsi="Times New Roman" w:cs="Times New Roman"/>
                  <w:b w:val="0"/>
                  <w:szCs w:val="21"/>
                </w:rPr>
                <w:instrText>不适用</w:instrText>
              </w:r>
              <w:r w:rsidRPr="00DA607A">
                <w:rPr>
                  <w:rStyle w:val="83"/>
                  <w:rFonts w:ascii="Times New Roman" w:hAnsi="Times New Roman" w:cs="Times New Roman"/>
                  <w:b w:val="0"/>
                  <w:szCs w:val="21"/>
                </w:rPr>
                <w:instrText xml:space="preserve"> </w:instrText>
              </w:r>
              <w:r w:rsidRPr="00DA607A">
                <w:rPr>
                  <w:rStyle w:val="83"/>
                  <w:rFonts w:ascii="Times New Roman" w:hAnsi="Times New Roman" w:cs="Times New Roman"/>
                  <w:b w:val="0"/>
                  <w:szCs w:val="21"/>
                </w:rPr>
                <w:fldChar w:fldCharType="end"/>
              </w:r>
            </w:p>
          </w:sdtContent>
        </w:sdt>
        <w:p w14:paraId="06A66718"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szCs w:val="21"/>
            </w:rPr>
            <w:t>单位：</w:t>
          </w:r>
          <w:sdt>
            <w:sdtPr>
              <w:rPr>
                <w:rFonts w:ascii="Times New Roman" w:hAnsi="Times New Roman" w:cs="Times New Roman"/>
                <w:szCs w:val="21"/>
              </w:rPr>
              <w:alias w:val="单位：财务附注：计入当期损益的政府补助"/>
              <w:tag w:val="_GBC_bd00bad38c644e6fa63419d4034ebfd1"/>
              <w:id w:val="3612531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A607A">
                <w:rPr>
                  <w:rFonts w:ascii="Times New Roman" w:hAnsi="Times New Roman" w:cs="Times New Roman"/>
                  <w:szCs w:val="21"/>
                </w:rPr>
                <w:t>元</w:t>
              </w:r>
            </w:sdtContent>
          </w:sdt>
          <w:r w:rsidRPr="00DA607A">
            <w:rPr>
              <w:rFonts w:ascii="Times New Roman" w:hAnsi="Times New Roman" w:cs="Times New Roman"/>
              <w:szCs w:val="21"/>
            </w:rPr>
            <w:t>币种：</w:t>
          </w:r>
          <w:sdt>
            <w:sdtPr>
              <w:rPr>
                <w:rFonts w:ascii="Times New Roman" w:hAnsi="Times New Roman" w:cs="Times New Roman"/>
                <w:szCs w:val="21"/>
              </w:rPr>
              <w:alias w:val="币种：财务附注：计入当期损益的政府补助"/>
              <w:tag w:val="_GBC_23bf9a9e0ac34ffd9e7e1d78597a87d0"/>
              <w:id w:val="998466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DA607A">
                <w:rPr>
                  <w:rFonts w:ascii="Times New Roman" w:hAnsi="Times New Roman" w:cs="Times New Roman"/>
                  <w:szCs w:val="21"/>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043"/>
            <w:gridCol w:w="2259"/>
            <w:gridCol w:w="2259"/>
            <w:gridCol w:w="2262"/>
          </w:tblGrid>
          <w:tr w:rsidR="00D21C1F" w:rsidRPr="00DA607A" w14:paraId="2E445641" w14:textId="77777777">
            <w:trPr>
              <w:trHeight w:val="556"/>
              <w:jc w:val="center"/>
            </w:trPr>
            <w:sdt>
              <w:sdtPr>
                <w:rPr>
                  <w:rFonts w:ascii="Times New Roman" w:hAnsi="Times New Roman" w:cs="Times New Roman"/>
                </w:rPr>
                <w:tag w:val="_PLD_921b2aed22db42759d12f127db945afe"/>
                <w:id w:val="-223691024"/>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14:paraId="38CDBDA4" w14:textId="77777777" w:rsidR="00D21C1F" w:rsidRPr="00DA607A" w:rsidRDefault="00A42880">
                    <w:pPr>
                      <w:jc w:val="center"/>
                      <w:rPr>
                        <w:rFonts w:ascii="Times New Roman" w:hAnsi="Times New Roman" w:cs="Times New Roman"/>
                        <w:szCs w:val="21"/>
                      </w:rPr>
                    </w:pPr>
                    <w:r w:rsidRPr="00DA607A">
                      <w:rPr>
                        <w:rFonts w:ascii="Times New Roman" w:hAnsi="Times New Roman" w:cs="Times New Roman"/>
                        <w:szCs w:val="21"/>
                      </w:rPr>
                      <w:t>补助项目</w:t>
                    </w:r>
                  </w:p>
                </w:tc>
              </w:sdtContent>
            </w:sdt>
            <w:sdt>
              <w:sdtPr>
                <w:rPr>
                  <w:rFonts w:ascii="Times New Roman" w:hAnsi="Times New Roman" w:cs="Times New Roman"/>
                </w:rPr>
                <w:tag w:val="_PLD_b153949e35ca47018467de6ef3800cf5"/>
                <w:id w:val="1832258568"/>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47F0FFB7" w14:textId="77777777" w:rsidR="00D21C1F" w:rsidRPr="00DA607A" w:rsidRDefault="00A42880">
                    <w:pPr>
                      <w:jc w:val="center"/>
                      <w:rPr>
                        <w:rFonts w:ascii="Times New Roman" w:hAnsi="Times New Roman" w:cs="Times New Roman"/>
                        <w:szCs w:val="21"/>
                      </w:rPr>
                    </w:pPr>
                    <w:r w:rsidRPr="00DA607A">
                      <w:rPr>
                        <w:rFonts w:ascii="Times New Roman" w:hAnsi="Times New Roman" w:cs="Times New Roman"/>
                        <w:szCs w:val="21"/>
                      </w:rPr>
                      <w:t>本期发生金额</w:t>
                    </w:r>
                  </w:p>
                </w:tc>
              </w:sdtContent>
            </w:sdt>
            <w:sdt>
              <w:sdtPr>
                <w:rPr>
                  <w:rFonts w:ascii="Times New Roman" w:hAnsi="Times New Roman" w:cs="Times New Roman"/>
                </w:rPr>
                <w:tag w:val="_PLD_bf693dd17f244c38afd88855e4186d7d"/>
                <w:id w:val="-353653909"/>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038EDFBC" w14:textId="77777777" w:rsidR="00D21C1F" w:rsidRPr="00DA607A" w:rsidRDefault="00A42880">
                    <w:pPr>
                      <w:jc w:val="center"/>
                      <w:rPr>
                        <w:rFonts w:ascii="Times New Roman" w:hAnsi="Times New Roman" w:cs="Times New Roman"/>
                        <w:szCs w:val="21"/>
                      </w:rPr>
                    </w:pPr>
                    <w:r w:rsidRPr="00DA607A">
                      <w:rPr>
                        <w:rFonts w:ascii="Times New Roman" w:hAnsi="Times New Roman" w:cs="Times New Roman"/>
                        <w:szCs w:val="21"/>
                      </w:rPr>
                      <w:t>上期发生金额</w:t>
                    </w:r>
                  </w:p>
                </w:tc>
              </w:sdtContent>
            </w:sdt>
            <w:sdt>
              <w:sdtPr>
                <w:rPr>
                  <w:rFonts w:ascii="Times New Roman" w:hAnsi="Times New Roman" w:cs="Times New Roman"/>
                </w:rPr>
                <w:tag w:val="_PLD_532c78ae9a7849fe9994cace73120659"/>
                <w:id w:val="2055502091"/>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14:paraId="1B29D104" w14:textId="77777777" w:rsidR="00D21C1F" w:rsidRPr="00DA607A" w:rsidRDefault="00A42880">
                    <w:pPr>
                      <w:jc w:val="center"/>
                      <w:rPr>
                        <w:rFonts w:ascii="Times New Roman" w:hAnsi="Times New Roman" w:cs="Times New Roman"/>
                        <w:szCs w:val="21"/>
                      </w:rPr>
                    </w:pPr>
                    <w:r w:rsidRPr="00DA607A">
                      <w:rPr>
                        <w:rFonts w:ascii="Times New Roman" w:hAnsi="Times New Roman" w:cs="Times New Roman"/>
                        <w:szCs w:val="21"/>
                      </w:rPr>
                      <w:t>与资产相关</w:t>
                    </w:r>
                    <w:r w:rsidRPr="00DA607A">
                      <w:rPr>
                        <w:rFonts w:ascii="Times New Roman" w:hAnsi="Times New Roman" w:cs="Times New Roman"/>
                        <w:szCs w:val="21"/>
                      </w:rPr>
                      <w:t>/</w:t>
                    </w:r>
                    <w:r w:rsidRPr="00DA607A">
                      <w:rPr>
                        <w:rFonts w:ascii="Times New Roman" w:hAnsi="Times New Roman" w:cs="Times New Roman"/>
                        <w:szCs w:val="21"/>
                      </w:rPr>
                      <w:t>与收益相关</w:t>
                    </w:r>
                  </w:p>
                </w:tc>
              </w:sdtContent>
            </w:sdt>
          </w:tr>
          <w:sdt>
            <w:sdtPr>
              <w:rPr>
                <w:rFonts w:ascii="Times New Roman" w:hAnsi="Times New Roman" w:cs="Times New Roman"/>
                <w:szCs w:val="21"/>
              </w:rPr>
              <w:alias w:val="计入当期损益的政府补助明细"/>
              <w:tag w:val="_GBC_8d8ea3026a664e94a38609c0bcec2101"/>
              <w:id w:val="-443381555"/>
              <w:lock w:val="sdtLocked"/>
            </w:sdtPr>
            <w:sdtEndPr/>
            <w:sdtContent>
              <w:tr w:rsidR="00D21C1F" w:rsidRPr="00DA607A" w14:paraId="01D328FB"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0EADC040" w14:textId="77777777" w:rsidR="00D21C1F" w:rsidRPr="00DA607A" w:rsidRDefault="00A42880">
                    <w:pPr>
                      <w:rPr>
                        <w:rFonts w:ascii="Times New Roman" w:hAnsi="Times New Roman" w:cs="Times New Roman"/>
                        <w:szCs w:val="21"/>
                      </w:rPr>
                    </w:pPr>
                    <w:r w:rsidRPr="00DA607A">
                      <w:rPr>
                        <w:rFonts w:ascii="Times New Roman" w:hAnsi="Times New Roman" w:cs="Times New Roman"/>
                      </w:rPr>
                      <w:t>B503021001</w:t>
                    </w:r>
                  </w:p>
                </w:tc>
                <w:tc>
                  <w:tcPr>
                    <w:tcW w:w="1280" w:type="pct"/>
                    <w:tcBorders>
                      <w:top w:val="single" w:sz="4" w:space="0" w:color="auto"/>
                      <w:left w:val="single" w:sz="4" w:space="0" w:color="auto"/>
                      <w:bottom w:val="single" w:sz="4" w:space="0" w:color="auto"/>
                      <w:right w:val="single" w:sz="4" w:space="0" w:color="auto"/>
                    </w:tcBorders>
                  </w:tcPr>
                  <w:p w14:paraId="3AB5196A"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3,005,625.00</w:t>
                    </w:r>
                  </w:p>
                </w:tc>
                <w:tc>
                  <w:tcPr>
                    <w:tcW w:w="1280" w:type="pct"/>
                    <w:tcBorders>
                      <w:top w:val="single" w:sz="4" w:space="0" w:color="auto"/>
                      <w:left w:val="single" w:sz="4" w:space="0" w:color="auto"/>
                      <w:bottom w:val="single" w:sz="4" w:space="0" w:color="auto"/>
                      <w:right w:val="single" w:sz="4" w:space="0" w:color="auto"/>
                    </w:tcBorders>
                  </w:tcPr>
                  <w:p w14:paraId="509CB9E5"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szCs w:val="21"/>
                      </w:rPr>
                      <w:t>-</w:t>
                    </w:r>
                  </w:p>
                </w:tc>
                <w:tc>
                  <w:tcPr>
                    <w:tcW w:w="1282" w:type="pct"/>
                    <w:tcBorders>
                      <w:top w:val="single" w:sz="4" w:space="0" w:color="auto"/>
                      <w:left w:val="single" w:sz="4" w:space="0" w:color="auto"/>
                      <w:bottom w:val="single" w:sz="4" w:space="0" w:color="auto"/>
                      <w:right w:val="single" w:sz="4" w:space="0" w:color="auto"/>
                    </w:tcBorders>
                  </w:tcPr>
                  <w:p w14:paraId="27945D7C" w14:textId="77777777" w:rsidR="00D21C1F" w:rsidRPr="00DA607A" w:rsidRDefault="00A42880">
                    <w:pPr>
                      <w:rPr>
                        <w:rFonts w:ascii="Times New Roman" w:hAnsi="Times New Roman" w:cs="Times New Roman"/>
                        <w:szCs w:val="21"/>
                      </w:rPr>
                    </w:pPr>
                    <w:r w:rsidRPr="00DA607A">
                      <w:rPr>
                        <w:rFonts w:ascii="Times New Roman" w:hAnsi="Times New Roman" w:cs="Times New Roman"/>
                        <w:szCs w:val="21"/>
                      </w:rPr>
                      <w:t>与收益相关</w:t>
                    </w:r>
                  </w:p>
                </w:tc>
              </w:tr>
            </w:sdtContent>
          </w:sdt>
          <w:sdt>
            <w:sdtPr>
              <w:rPr>
                <w:rFonts w:ascii="Times New Roman" w:hAnsi="Times New Roman" w:cs="Times New Roman"/>
                <w:szCs w:val="21"/>
              </w:rPr>
              <w:alias w:val="计入当期损益的政府补助明细"/>
              <w:tag w:val="_GBC_8d8ea3026a664e94a38609c0bcec2101"/>
              <w:id w:val="2015648776"/>
              <w:lock w:val="sdtLocked"/>
            </w:sdtPr>
            <w:sdtEndPr/>
            <w:sdtContent>
              <w:tr w:rsidR="00D21C1F" w:rsidRPr="00DA607A" w14:paraId="412E6036"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1CD7CAE0" w14:textId="77777777" w:rsidR="00D21C1F" w:rsidRPr="00DA607A" w:rsidRDefault="00A42880">
                    <w:pPr>
                      <w:rPr>
                        <w:rFonts w:ascii="Times New Roman" w:hAnsi="Times New Roman" w:cs="Times New Roman"/>
                        <w:szCs w:val="21"/>
                      </w:rPr>
                    </w:pPr>
                    <w:r w:rsidRPr="00DA607A">
                      <w:rPr>
                        <w:rFonts w:ascii="Times New Roman" w:hAnsi="Times New Roman" w:cs="Times New Roman"/>
                      </w:rPr>
                      <w:t>B100021001</w:t>
                    </w:r>
                  </w:p>
                </w:tc>
                <w:tc>
                  <w:tcPr>
                    <w:tcW w:w="1280" w:type="pct"/>
                    <w:tcBorders>
                      <w:top w:val="single" w:sz="4" w:space="0" w:color="auto"/>
                      <w:left w:val="single" w:sz="4" w:space="0" w:color="auto"/>
                      <w:bottom w:val="single" w:sz="4" w:space="0" w:color="auto"/>
                      <w:right w:val="single" w:sz="4" w:space="0" w:color="auto"/>
                    </w:tcBorders>
                  </w:tcPr>
                  <w:p w14:paraId="1D8EB4DE"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1,000,000.00</w:t>
                    </w:r>
                  </w:p>
                </w:tc>
                <w:tc>
                  <w:tcPr>
                    <w:tcW w:w="1280" w:type="pct"/>
                    <w:tcBorders>
                      <w:top w:val="single" w:sz="4" w:space="0" w:color="auto"/>
                      <w:left w:val="single" w:sz="4" w:space="0" w:color="auto"/>
                      <w:bottom w:val="single" w:sz="4" w:space="0" w:color="auto"/>
                      <w:right w:val="single" w:sz="4" w:space="0" w:color="auto"/>
                    </w:tcBorders>
                  </w:tcPr>
                  <w:p w14:paraId="06BD69B1"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szCs w:val="21"/>
                      </w:rPr>
                      <w:t>-</w:t>
                    </w:r>
                  </w:p>
                </w:tc>
                <w:tc>
                  <w:tcPr>
                    <w:tcW w:w="1282" w:type="pct"/>
                    <w:tcBorders>
                      <w:top w:val="single" w:sz="4" w:space="0" w:color="auto"/>
                      <w:left w:val="single" w:sz="4" w:space="0" w:color="auto"/>
                      <w:bottom w:val="single" w:sz="4" w:space="0" w:color="auto"/>
                      <w:right w:val="single" w:sz="4" w:space="0" w:color="auto"/>
                    </w:tcBorders>
                  </w:tcPr>
                  <w:p w14:paraId="2B8C51E4" w14:textId="77777777" w:rsidR="00D21C1F" w:rsidRPr="00DA607A" w:rsidRDefault="00A42880">
                    <w:pPr>
                      <w:rPr>
                        <w:rFonts w:ascii="Times New Roman" w:hAnsi="Times New Roman" w:cs="Times New Roman"/>
                        <w:szCs w:val="21"/>
                      </w:rPr>
                    </w:pPr>
                    <w:r w:rsidRPr="00DA607A">
                      <w:rPr>
                        <w:rFonts w:ascii="Times New Roman" w:hAnsi="Times New Roman" w:cs="Times New Roman"/>
                        <w:szCs w:val="21"/>
                      </w:rPr>
                      <w:t>与收益相关</w:t>
                    </w:r>
                  </w:p>
                </w:tc>
              </w:tr>
            </w:sdtContent>
          </w:sdt>
          <w:sdt>
            <w:sdtPr>
              <w:rPr>
                <w:rFonts w:ascii="Times New Roman" w:hAnsi="Times New Roman" w:cs="Times New Roman"/>
                <w:szCs w:val="21"/>
              </w:rPr>
              <w:alias w:val="计入当期损益的政府补助明细"/>
              <w:tag w:val="_GBC_8d8ea3026a664e94a38609c0bcec2101"/>
              <w:id w:val="-135720134"/>
              <w:lock w:val="sdtLocked"/>
            </w:sdtPr>
            <w:sdtEndPr/>
            <w:sdtContent>
              <w:tr w:rsidR="00D21C1F" w:rsidRPr="00DA607A" w14:paraId="18FBDF1E"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2B2DBCED" w14:textId="77777777" w:rsidR="00D21C1F" w:rsidRPr="00DA607A" w:rsidRDefault="00A42880">
                    <w:pPr>
                      <w:rPr>
                        <w:rFonts w:ascii="Times New Roman" w:hAnsi="Times New Roman" w:cs="Times New Roman"/>
                        <w:szCs w:val="21"/>
                      </w:rPr>
                    </w:pPr>
                    <w:r w:rsidRPr="00DA607A">
                      <w:rPr>
                        <w:rFonts w:ascii="Times New Roman" w:hAnsi="Times New Roman" w:cs="Times New Roman"/>
                      </w:rPr>
                      <w:t>B100018002</w:t>
                    </w:r>
                  </w:p>
                </w:tc>
                <w:tc>
                  <w:tcPr>
                    <w:tcW w:w="1280" w:type="pct"/>
                    <w:tcBorders>
                      <w:top w:val="single" w:sz="4" w:space="0" w:color="auto"/>
                      <w:left w:val="single" w:sz="4" w:space="0" w:color="auto"/>
                      <w:bottom w:val="single" w:sz="4" w:space="0" w:color="auto"/>
                      <w:right w:val="single" w:sz="4" w:space="0" w:color="auto"/>
                    </w:tcBorders>
                  </w:tcPr>
                  <w:p w14:paraId="14B5AA9D"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w:t>
                    </w:r>
                  </w:p>
                </w:tc>
                <w:tc>
                  <w:tcPr>
                    <w:tcW w:w="1280" w:type="pct"/>
                    <w:tcBorders>
                      <w:top w:val="single" w:sz="4" w:space="0" w:color="auto"/>
                      <w:left w:val="single" w:sz="4" w:space="0" w:color="auto"/>
                      <w:bottom w:val="single" w:sz="4" w:space="0" w:color="auto"/>
                      <w:right w:val="single" w:sz="4" w:space="0" w:color="auto"/>
                    </w:tcBorders>
                    <w:vAlign w:val="center"/>
                  </w:tcPr>
                  <w:p w14:paraId="185F0CB3"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92,695.04</w:t>
                    </w:r>
                  </w:p>
                </w:tc>
                <w:tc>
                  <w:tcPr>
                    <w:tcW w:w="1282" w:type="pct"/>
                    <w:tcBorders>
                      <w:top w:val="single" w:sz="4" w:space="0" w:color="auto"/>
                      <w:left w:val="single" w:sz="4" w:space="0" w:color="auto"/>
                      <w:bottom w:val="single" w:sz="4" w:space="0" w:color="auto"/>
                      <w:right w:val="single" w:sz="4" w:space="0" w:color="auto"/>
                    </w:tcBorders>
                  </w:tcPr>
                  <w:p w14:paraId="1176E355" w14:textId="77777777" w:rsidR="00D21C1F" w:rsidRPr="00DA607A" w:rsidRDefault="00A42880">
                    <w:pPr>
                      <w:rPr>
                        <w:rFonts w:ascii="Times New Roman" w:hAnsi="Times New Roman" w:cs="Times New Roman"/>
                        <w:szCs w:val="21"/>
                      </w:rPr>
                    </w:pPr>
                    <w:r w:rsidRPr="00DA607A">
                      <w:rPr>
                        <w:rFonts w:ascii="Times New Roman" w:hAnsi="Times New Roman" w:cs="Times New Roman"/>
                        <w:szCs w:val="21"/>
                      </w:rPr>
                      <w:t>与收益相关</w:t>
                    </w:r>
                  </w:p>
                </w:tc>
              </w:tr>
            </w:sdtContent>
          </w:sdt>
          <w:sdt>
            <w:sdtPr>
              <w:rPr>
                <w:rFonts w:ascii="Times New Roman" w:hAnsi="Times New Roman" w:cs="Times New Roman"/>
                <w:szCs w:val="21"/>
              </w:rPr>
              <w:alias w:val="计入当期损益的政府补助明细"/>
              <w:tag w:val="_GBC_8d8ea3026a664e94a38609c0bcec2101"/>
              <w:id w:val="-539048601"/>
              <w:lock w:val="sdtLocked"/>
            </w:sdtPr>
            <w:sdtEndPr/>
            <w:sdtContent>
              <w:tr w:rsidR="00D21C1F" w:rsidRPr="00DA607A" w14:paraId="3B66F849" w14:textId="77777777">
                <w:trPr>
                  <w:jc w:val="center"/>
                </w:trPr>
                <w:tc>
                  <w:tcPr>
                    <w:tcW w:w="1158" w:type="pct"/>
                    <w:tcBorders>
                      <w:top w:val="single" w:sz="4" w:space="0" w:color="auto"/>
                      <w:left w:val="single" w:sz="4" w:space="0" w:color="auto"/>
                      <w:bottom w:val="single" w:sz="4" w:space="0" w:color="auto"/>
                      <w:right w:val="single" w:sz="4" w:space="0" w:color="auto"/>
                    </w:tcBorders>
                    <w:vAlign w:val="center"/>
                  </w:tcPr>
                  <w:p w14:paraId="11AB2DF6" w14:textId="77777777" w:rsidR="00D21C1F" w:rsidRPr="00DA607A" w:rsidRDefault="00A42880">
                    <w:pPr>
                      <w:rPr>
                        <w:rFonts w:ascii="Times New Roman" w:hAnsi="Times New Roman" w:cs="Times New Roman"/>
                        <w:szCs w:val="21"/>
                      </w:rPr>
                    </w:pPr>
                    <w:r w:rsidRPr="00DA607A">
                      <w:rPr>
                        <w:rFonts w:ascii="Times New Roman" w:hAnsi="Times New Roman" w:cs="Times New Roman"/>
                      </w:rPr>
                      <w:t>B202019001</w:t>
                    </w:r>
                  </w:p>
                </w:tc>
                <w:tc>
                  <w:tcPr>
                    <w:tcW w:w="1280" w:type="pct"/>
                    <w:tcBorders>
                      <w:top w:val="single" w:sz="4" w:space="0" w:color="auto"/>
                      <w:left w:val="single" w:sz="4" w:space="0" w:color="auto"/>
                      <w:bottom w:val="single" w:sz="4" w:space="0" w:color="auto"/>
                      <w:right w:val="single" w:sz="4" w:space="0" w:color="auto"/>
                    </w:tcBorders>
                  </w:tcPr>
                  <w:p w14:paraId="6F0EE259"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w:t>
                    </w:r>
                  </w:p>
                </w:tc>
                <w:tc>
                  <w:tcPr>
                    <w:tcW w:w="1280" w:type="pct"/>
                    <w:tcBorders>
                      <w:top w:val="single" w:sz="4" w:space="0" w:color="auto"/>
                      <w:left w:val="single" w:sz="4" w:space="0" w:color="auto"/>
                      <w:bottom w:val="single" w:sz="4" w:space="0" w:color="auto"/>
                      <w:right w:val="single" w:sz="4" w:space="0" w:color="auto"/>
                    </w:tcBorders>
                    <w:vAlign w:val="center"/>
                  </w:tcPr>
                  <w:p w14:paraId="290E6213" w14:textId="77777777" w:rsidR="00D21C1F" w:rsidRPr="00DA607A" w:rsidRDefault="00A42880">
                    <w:pPr>
                      <w:jc w:val="right"/>
                      <w:rPr>
                        <w:rFonts w:ascii="Times New Roman" w:hAnsi="Times New Roman" w:cs="Times New Roman"/>
                        <w:szCs w:val="21"/>
                      </w:rPr>
                    </w:pPr>
                    <w:r w:rsidRPr="00DA607A">
                      <w:rPr>
                        <w:rFonts w:ascii="Times New Roman" w:hAnsi="Times New Roman" w:cs="Times New Roman"/>
                      </w:rPr>
                      <w:t>3,503.22</w:t>
                    </w:r>
                  </w:p>
                </w:tc>
                <w:tc>
                  <w:tcPr>
                    <w:tcW w:w="1282" w:type="pct"/>
                    <w:tcBorders>
                      <w:top w:val="single" w:sz="4" w:space="0" w:color="auto"/>
                      <w:left w:val="single" w:sz="4" w:space="0" w:color="auto"/>
                      <w:bottom w:val="single" w:sz="4" w:space="0" w:color="auto"/>
                      <w:right w:val="single" w:sz="4" w:space="0" w:color="auto"/>
                    </w:tcBorders>
                  </w:tcPr>
                  <w:p w14:paraId="27D5428E" w14:textId="77777777" w:rsidR="00D21C1F" w:rsidRPr="00DA607A" w:rsidRDefault="00A42880">
                    <w:pPr>
                      <w:rPr>
                        <w:rFonts w:ascii="Times New Roman" w:hAnsi="Times New Roman" w:cs="Times New Roman"/>
                        <w:szCs w:val="21"/>
                      </w:rPr>
                    </w:pPr>
                    <w:r w:rsidRPr="00DA607A">
                      <w:rPr>
                        <w:rFonts w:ascii="Times New Roman" w:hAnsi="Times New Roman" w:cs="Times New Roman"/>
                        <w:szCs w:val="21"/>
                      </w:rPr>
                      <w:t>与收益相关</w:t>
                    </w:r>
                  </w:p>
                </w:tc>
              </w:tr>
            </w:sdtContent>
          </w:sdt>
        </w:tbl>
        <w:p w14:paraId="784FD2EC" w14:textId="77777777" w:rsidR="00D21C1F" w:rsidRPr="00DA607A" w:rsidRDefault="00045EC6">
          <w:pPr>
            <w:pStyle w:val="97"/>
            <w:rPr>
              <w:rFonts w:ascii="Times New Roman" w:hAnsi="Times New Roman" w:cs="Times New Roman"/>
            </w:rPr>
          </w:pPr>
        </w:p>
      </w:sdtContent>
    </w:sdt>
    <w:sdt>
      <w:sdtPr>
        <w:rPr>
          <w:rFonts w:hint="eastAsia"/>
          <w:szCs w:val="21"/>
        </w:rPr>
        <w:alias w:val="模块:营业外收入说明"/>
        <w:tag w:val="_GBC_613f834d57f34b828d1fb937ee139a13"/>
        <w:id w:val="1605998312"/>
        <w:lock w:val="sdtLocked"/>
        <w:placeholder>
          <w:docPart w:val="GBC22222222222222222222222222222"/>
        </w:placeholder>
      </w:sdtPr>
      <w:sdtEndPr/>
      <w:sdtContent>
        <w:p w14:paraId="295B8FBD" w14:textId="77777777" w:rsidR="00D21C1F" w:rsidRDefault="00A42880">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955336116"/>
            <w:lock w:val="sdtLocked"/>
            <w:placeholder>
              <w:docPart w:val="GBC22222222222222222222222222222"/>
            </w:placeholder>
          </w:sdtPr>
          <w:sdtEndPr/>
          <w:sdtContent>
            <w:p w14:paraId="38A5FDA2"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2FFFDA0" w14:textId="77777777" w:rsidR="00D21C1F" w:rsidRDefault="00D21C1F">
      <w:pPr>
        <w:pStyle w:val="97"/>
      </w:pPr>
    </w:p>
    <w:sdt>
      <w:sdtPr>
        <w:rPr>
          <w:rFonts w:ascii="Times New Roman" w:eastAsia="宋体" w:hAnsi="Times New Roman" w:cs="宋体"/>
          <w:b w:val="0"/>
          <w:bCs w:val="0"/>
          <w:kern w:val="0"/>
          <w:szCs w:val="21"/>
        </w:rPr>
        <w:alias w:val="模块:营业外支出"/>
        <w:tag w:val="_GBC_7c51aa70be1f405d954dc316ed26b5b4"/>
        <w:id w:val="-255989338"/>
        <w:lock w:val="sdtLocked"/>
        <w:placeholder>
          <w:docPart w:val="GBC22222222222222222222222222222"/>
        </w:placeholder>
      </w:sdtPr>
      <w:sdtEndPr/>
      <w:sdtContent>
        <w:p w14:paraId="41B1D1CB" w14:textId="77777777" w:rsidR="00D21C1F" w:rsidRPr="008825A2" w:rsidRDefault="00A42880">
          <w:pPr>
            <w:pStyle w:val="94"/>
            <w:numPr>
              <w:ilvl w:val="0"/>
              <w:numId w:val="95"/>
            </w:numPr>
            <w:tabs>
              <w:tab w:val="left" w:pos="504"/>
            </w:tabs>
            <w:rPr>
              <w:rFonts w:ascii="Times New Roman" w:hAnsi="Times New Roman"/>
              <w:szCs w:val="21"/>
            </w:rPr>
          </w:pPr>
          <w:r w:rsidRPr="008825A2">
            <w:rPr>
              <w:rFonts w:ascii="Times New Roman" w:hAnsi="Times New Roman"/>
              <w:szCs w:val="21"/>
            </w:rPr>
            <w:t>营业外支出</w:t>
          </w:r>
        </w:p>
        <w:sdt>
          <w:sdtPr>
            <w:rPr>
              <w:rFonts w:ascii="Times New Roman" w:hAnsi="Times New Roman" w:cs="Times New Roman"/>
            </w:rPr>
            <w:alias w:val="是否适用：营业外支出[双击切换]"/>
            <w:tag w:val="_GBC_6d4b8ac674ce425b8c798e92aa1fe455"/>
            <w:id w:val="-1662926959"/>
            <w:lock w:val="sdtLocked"/>
            <w:placeholder>
              <w:docPart w:val="GBC22222222222222222222222222222"/>
            </w:placeholder>
          </w:sdtPr>
          <w:sdtEndPr/>
          <w:sdtContent>
            <w:p w14:paraId="5DCA3D73" w14:textId="77777777" w:rsidR="00D21C1F" w:rsidRPr="008825A2" w:rsidRDefault="00A42880">
              <w:pPr>
                <w:pStyle w:val="97"/>
                <w:rPr>
                  <w:rFonts w:ascii="Times New Roman" w:hAnsi="Times New Roman" w:cs="Times New Roman"/>
                </w:rPr>
              </w:pPr>
              <w:r w:rsidRPr="008825A2">
                <w:rPr>
                  <w:rFonts w:ascii="Times New Roman" w:hAnsi="Times New Roman" w:cs="Times New Roman"/>
                </w:rPr>
                <w:fldChar w:fldCharType="begin"/>
              </w:r>
              <w:r w:rsidRPr="008825A2">
                <w:rPr>
                  <w:rFonts w:ascii="Times New Roman" w:hAnsi="Times New Roman" w:cs="Times New Roman"/>
                </w:rPr>
                <w:instrText xml:space="preserve"> MACROBUTTON  SnrToggleCheckbox √</w:instrText>
              </w:r>
              <w:r w:rsidRPr="008825A2">
                <w:rPr>
                  <w:rFonts w:ascii="Times New Roman" w:hAnsi="Times New Roman" w:cs="Times New Roman"/>
                </w:rPr>
                <w:instrText>适用</w:instrText>
              </w:r>
              <w:r w:rsidRPr="008825A2">
                <w:rPr>
                  <w:rFonts w:ascii="Times New Roman" w:hAnsi="Times New Roman" w:cs="Times New Roman"/>
                </w:rPr>
                <w:instrText xml:space="preserve"> </w:instrText>
              </w:r>
              <w:r w:rsidRPr="008825A2">
                <w:rPr>
                  <w:rFonts w:ascii="Times New Roman" w:hAnsi="Times New Roman" w:cs="Times New Roman"/>
                </w:rPr>
                <w:fldChar w:fldCharType="end"/>
              </w:r>
              <w:r w:rsidRPr="008825A2">
                <w:rPr>
                  <w:rFonts w:ascii="Times New Roman" w:hAnsi="Times New Roman" w:cs="Times New Roman"/>
                </w:rPr>
                <w:fldChar w:fldCharType="begin"/>
              </w:r>
              <w:r w:rsidRPr="008825A2">
                <w:rPr>
                  <w:rFonts w:ascii="Times New Roman" w:hAnsi="Times New Roman" w:cs="Times New Roman"/>
                </w:rPr>
                <w:instrText xml:space="preserve"> MACROBUTTON  SnrToggleCheckbox □</w:instrText>
              </w:r>
              <w:r w:rsidRPr="008825A2">
                <w:rPr>
                  <w:rFonts w:ascii="Times New Roman" w:hAnsi="Times New Roman" w:cs="Times New Roman"/>
                </w:rPr>
                <w:instrText>不适用</w:instrText>
              </w:r>
              <w:r w:rsidRPr="008825A2">
                <w:rPr>
                  <w:rFonts w:ascii="Times New Roman" w:hAnsi="Times New Roman" w:cs="Times New Roman"/>
                </w:rPr>
                <w:instrText xml:space="preserve"> </w:instrText>
              </w:r>
              <w:r w:rsidRPr="008825A2">
                <w:rPr>
                  <w:rFonts w:ascii="Times New Roman" w:hAnsi="Times New Roman" w:cs="Times New Roman"/>
                </w:rPr>
                <w:fldChar w:fldCharType="end"/>
              </w:r>
            </w:p>
          </w:sdtContent>
        </w:sdt>
        <w:p w14:paraId="32A4436A"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szCs w:val="21"/>
            </w:rPr>
            <w:lastRenderedPageBreak/>
            <w:t>单位：</w:t>
          </w:r>
          <w:sdt>
            <w:sdtPr>
              <w:rPr>
                <w:rFonts w:ascii="Times New Roman" w:hAnsi="Times New Roman" w:cs="Times New Roman"/>
                <w:szCs w:val="21"/>
              </w:rPr>
              <w:alias w:val="单位：财务附注：营业外支出"/>
              <w:tag w:val="_GBC_f8678a9a1bbf4b0697744c5d21146839"/>
              <w:id w:val="20839415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8825A2">
                <w:rPr>
                  <w:rFonts w:ascii="Times New Roman" w:hAnsi="Times New Roman" w:cs="Times New Roman"/>
                  <w:szCs w:val="21"/>
                </w:rPr>
                <w:t>元</w:t>
              </w:r>
            </w:sdtContent>
          </w:sdt>
          <w:r w:rsidRPr="008825A2">
            <w:rPr>
              <w:rFonts w:ascii="Times New Roman" w:hAnsi="Times New Roman" w:cs="Times New Roman"/>
              <w:szCs w:val="21"/>
            </w:rPr>
            <w:t>币种：</w:t>
          </w:r>
          <w:sdt>
            <w:sdtPr>
              <w:rPr>
                <w:rFonts w:ascii="Times New Roman" w:hAnsi="Times New Roman" w:cs="Times New Roman"/>
                <w:szCs w:val="21"/>
              </w:rPr>
              <w:alias w:val="币种：财务附注：营业外支出"/>
              <w:tag w:val="_GBC_61e3e82ad5404a9987623525ac03d95e"/>
              <w:id w:val="-5979547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8825A2">
                <w:rPr>
                  <w:rFonts w:ascii="Times New Roman" w:hAnsi="Times New Roman" w:cs="Times New Roman"/>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17"/>
            <w:gridCol w:w="2271"/>
            <w:gridCol w:w="2259"/>
          </w:tblGrid>
          <w:tr w:rsidR="00D21C1F" w:rsidRPr="008825A2" w14:paraId="245AAF5E" w14:textId="77777777">
            <w:sdt>
              <w:sdtPr>
                <w:rPr>
                  <w:rFonts w:ascii="Times New Roman" w:hAnsi="Times New Roman" w:cs="Times New Roman"/>
                </w:rPr>
                <w:tag w:val="_PLD_6abf292cb0a7463788e39d1bdabb85fc"/>
                <w:id w:val="-1182656662"/>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14:paraId="62BAFCCB" w14:textId="77777777" w:rsidR="00D21C1F" w:rsidRPr="008825A2" w:rsidRDefault="00A42880">
                    <w:pPr>
                      <w:autoSpaceDE w:val="0"/>
                      <w:autoSpaceDN w:val="0"/>
                      <w:adjustRightInd w:val="0"/>
                      <w:jc w:val="center"/>
                      <w:rPr>
                        <w:rFonts w:ascii="Times New Roman" w:hAnsi="Times New Roman" w:cs="Times New Roman"/>
                        <w:szCs w:val="21"/>
                      </w:rPr>
                    </w:pPr>
                    <w:r w:rsidRPr="008825A2">
                      <w:rPr>
                        <w:rFonts w:ascii="Times New Roman" w:hAnsi="Times New Roman" w:cs="Times New Roman"/>
                        <w:szCs w:val="21"/>
                      </w:rPr>
                      <w:t>项目</w:t>
                    </w:r>
                  </w:p>
                </w:tc>
              </w:sdtContent>
            </w:sdt>
            <w:sdt>
              <w:sdtPr>
                <w:rPr>
                  <w:rFonts w:ascii="Times New Roman" w:hAnsi="Times New Roman" w:cs="Times New Roman"/>
                </w:rPr>
                <w:tag w:val="_PLD_36a30142728e41bb9c215b73cfe3204c"/>
                <w:id w:val="2110854120"/>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14:paraId="3A80D5EE" w14:textId="77777777" w:rsidR="00D21C1F" w:rsidRPr="008825A2" w:rsidRDefault="00A42880">
                    <w:pPr>
                      <w:autoSpaceDE w:val="0"/>
                      <w:autoSpaceDN w:val="0"/>
                      <w:adjustRightInd w:val="0"/>
                      <w:jc w:val="center"/>
                      <w:rPr>
                        <w:rFonts w:ascii="Times New Roman" w:hAnsi="Times New Roman" w:cs="Times New Roman"/>
                        <w:szCs w:val="21"/>
                      </w:rPr>
                    </w:pPr>
                    <w:r w:rsidRPr="008825A2">
                      <w:rPr>
                        <w:rFonts w:ascii="Times New Roman" w:hAnsi="Times New Roman" w:cs="Times New Roman"/>
                        <w:szCs w:val="21"/>
                      </w:rPr>
                      <w:t>本期发生额</w:t>
                    </w:r>
                  </w:p>
                </w:tc>
              </w:sdtContent>
            </w:sdt>
            <w:sdt>
              <w:sdtPr>
                <w:rPr>
                  <w:rFonts w:ascii="Times New Roman" w:hAnsi="Times New Roman" w:cs="Times New Roman"/>
                </w:rPr>
                <w:tag w:val="_PLD_16b0936bf8024bdf99cf883b1827419f"/>
                <w:id w:val="53130957"/>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7B9BF1A9" w14:textId="77777777" w:rsidR="00D21C1F" w:rsidRPr="008825A2" w:rsidRDefault="00A42880">
                    <w:pPr>
                      <w:autoSpaceDE w:val="0"/>
                      <w:autoSpaceDN w:val="0"/>
                      <w:adjustRightInd w:val="0"/>
                      <w:jc w:val="center"/>
                      <w:rPr>
                        <w:rFonts w:ascii="Times New Roman" w:hAnsi="Times New Roman" w:cs="Times New Roman"/>
                        <w:szCs w:val="21"/>
                      </w:rPr>
                    </w:pPr>
                    <w:r w:rsidRPr="008825A2">
                      <w:rPr>
                        <w:rFonts w:ascii="Times New Roman" w:hAnsi="Times New Roman" w:cs="Times New Roman"/>
                        <w:szCs w:val="21"/>
                      </w:rPr>
                      <w:t>上期发生额</w:t>
                    </w:r>
                  </w:p>
                </w:tc>
              </w:sdtContent>
            </w:sdt>
            <w:sdt>
              <w:sdtPr>
                <w:rPr>
                  <w:rFonts w:ascii="Times New Roman" w:hAnsi="Times New Roman" w:cs="Times New Roman"/>
                </w:rPr>
                <w:tag w:val="_PLD_92014506c2824f6fbe79731f91aa61bc"/>
                <w:id w:val="982350738"/>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2892D74F" w14:textId="77777777" w:rsidR="00D21C1F" w:rsidRPr="008825A2" w:rsidRDefault="00A42880">
                    <w:pPr>
                      <w:autoSpaceDE w:val="0"/>
                      <w:autoSpaceDN w:val="0"/>
                      <w:adjustRightInd w:val="0"/>
                      <w:jc w:val="center"/>
                      <w:rPr>
                        <w:rFonts w:ascii="Times New Roman" w:hAnsi="Times New Roman" w:cs="Times New Roman"/>
                        <w:szCs w:val="21"/>
                      </w:rPr>
                    </w:pPr>
                    <w:r w:rsidRPr="008825A2">
                      <w:rPr>
                        <w:rFonts w:ascii="Times New Roman" w:hAnsi="Times New Roman" w:cs="Times New Roman"/>
                        <w:szCs w:val="21"/>
                      </w:rPr>
                      <w:t>计入当期非经常性损益的金额</w:t>
                    </w:r>
                  </w:p>
                </w:tc>
              </w:sdtContent>
            </w:sdt>
          </w:tr>
          <w:sdt>
            <w:sdtPr>
              <w:rPr>
                <w:rFonts w:ascii="Times New Roman" w:hAnsi="Times New Roman" w:cs="Times New Roman"/>
                <w:szCs w:val="21"/>
              </w:rPr>
              <w:alias w:val="营业外支出明细"/>
              <w:tag w:val="_GBC_5b9df89383994b599a7029fc70bb3881"/>
              <w:id w:val="-469061546"/>
              <w:lock w:val="sdtLocked"/>
            </w:sdtPr>
            <w:sdtEndPr/>
            <w:sdtContent>
              <w:tr w:rsidR="00D21C1F" w:rsidRPr="008825A2" w14:paraId="3E7D76F1" w14:textId="77777777">
                <w:tc>
                  <w:tcPr>
                    <w:tcW w:w="1120" w:type="pct"/>
                    <w:tcBorders>
                      <w:top w:val="single" w:sz="4" w:space="0" w:color="auto"/>
                      <w:left w:val="single" w:sz="4" w:space="0" w:color="auto"/>
                      <w:bottom w:val="single" w:sz="4" w:space="0" w:color="auto"/>
                      <w:right w:val="single" w:sz="4" w:space="0" w:color="auto"/>
                    </w:tcBorders>
                  </w:tcPr>
                  <w:p w14:paraId="46066F6E" w14:textId="77777777" w:rsidR="00D21C1F" w:rsidRPr="008825A2" w:rsidRDefault="00A42880">
                    <w:pPr>
                      <w:rPr>
                        <w:rFonts w:ascii="Times New Roman" w:hAnsi="Times New Roman" w:cs="Times New Roman"/>
                        <w:szCs w:val="21"/>
                      </w:rPr>
                    </w:pPr>
                    <w:r w:rsidRPr="008825A2">
                      <w:rPr>
                        <w:rFonts w:ascii="Times New Roman" w:hAnsi="Times New Roman" w:cs="Times New Roman"/>
                        <w:szCs w:val="21"/>
                      </w:rPr>
                      <w:t>合同罚款</w:t>
                    </w:r>
                  </w:p>
                </w:tc>
                <w:tc>
                  <w:tcPr>
                    <w:tcW w:w="1313" w:type="pct"/>
                    <w:tcBorders>
                      <w:top w:val="single" w:sz="4" w:space="0" w:color="auto"/>
                      <w:left w:val="single" w:sz="4" w:space="0" w:color="auto"/>
                      <w:bottom w:val="single" w:sz="4" w:space="0" w:color="auto"/>
                      <w:right w:val="single" w:sz="4" w:space="0" w:color="auto"/>
                    </w:tcBorders>
                    <w:vAlign w:val="center"/>
                  </w:tcPr>
                  <w:p w14:paraId="7FEDB755"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181,900.00</w:t>
                    </w:r>
                  </w:p>
                </w:tc>
                <w:tc>
                  <w:tcPr>
                    <w:tcW w:w="1287" w:type="pct"/>
                    <w:tcBorders>
                      <w:top w:val="single" w:sz="4" w:space="0" w:color="auto"/>
                      <w:left w:val="single" w:sz="4" w:space="0" w:color="auto"/>
                      <w:bottom w:val="single" w:sz="4" w:space="0" w:color="auto"/>
                      <w:right w:val="single" w:sz="4" w:space="0" w:color="auto"/>
                    </w:tcBorders>
                    <w:vAlign w:val="center"/>
                  </w:tcPr>
                  <w:p w14:paraId="5D9F390E"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91,946.53</w:t>
                    </w:r>
                  </w:p>
                </w:tc>
                <w:tc>
                  <w:tcPr>
                    <w:tcW w:w="1280" w:type="pct"/>
                    <w:tcBorders>
                      <w:top w:val="single" w:sz="4" w:space="0" w:color="auto"/>
                      <w:left w:val="single" w:sz="4" w:space="0" w:color="auto"/>
                      <w:bottom w:val="single" w:sz="4" w:space="0" w:color="auto"/>
                      <w:right w:val="single" w:sz="4" w:space="0" w:color="auto"/>
                    </w:tcBorders>
                    <w:vAlign w:val="center"/>
                  </w:tcPr>
                  <w:p w14:paraId="405CAD9F"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181,900.00</w:t>
                    </w:r>
                  </w:p>
                </w:tc>
              </w:tr>
            </w:sdtContent>
          </w:sdt>
          <w:tr w:rsidR="00D21C1F" w:rsidRPr="008825A2" w14:paraId="619CE9FF" w14:textId="77777777">
            <w:sdt>
              <w:sdtPr>
                <w:rPr>
                  <w:rFonts w:ascii="Times New Roman" w:hAnsi="Times New Roman" w:cs="Times New Roman"/>
                </w:rPr>
                <w:tag w:val="_PLD_e707af1f17d74e7e8797d89b47050da8"/>
                <w:id w:val="942423156"/>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6E48CEA5" w14:textId="77777777" w:rsidR="00D21C1F" w:rsidRPr="008825A2" w:rsidRDefault="00A42880">
                    <w:pPr>
                      <w:autoSpaceDE w:val="0"/>
                      <w:autoSpaceDN w:val="0"/>
                      <w:adjustRightInd w:val="0"/>
                      <w:rPr>
                        <w:rFonts w:ascii="Times New Roman" w:hAnsi="Times New Roman" w:cs="Times New Roman"/>
                        <w:szCs w:val="21"/>
                      </w:rPr>
                    </w:pPr>
                    <w:r w:rsidRPr="008825A2">
                      <w:rPr>
                        <w:rFonts w:ascii="Times New Roman" w:hAnsi="Times New Roman" w:cs="Times New Roman"/>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7A2C7AA3"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135,423.80</w:t>
                </w:r>
              </w:p>
            </w:tc>
            <w:tc>
              <w:tcPr>
                <w:tcW w:w="1287" w:type="pct"/>
                <w:tcBorders>
                  <w:top w:val="single" w:sz="4" w:space="0" w:color="auto"/>
                  <w:left w:val="single" w:sz="4" w:space="0" w:color="auto"/>
                  <w:bottom w:val="single" w:sz="4" w:space="0" w:color="auto"/>
                  <w:right w:val="single" w:sz="4" w:space="0" w:color="auto"/>
                </w:tcBorders>
                <w:vAlign w:val="center"/>
              </w:tcPr>
              <w:p w14:paraId="1769B23C"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19,055.00</w:t>
                </w:r>
              </w:p>
            </w:tc>
            <w:tc>
              <w:tcPr>
                <w:tcW w:w="1280" w:type="pct"/>
                <w:tcBorders>
                  <w:top w:val="single" w:sz="4" w:space="0" w:color="auto"/>
                  <w:left w:val="single" w:sz="4" w:space="0" w:color="auto"/>
                  <w:bottom w:val="single" w:sz="4" w:space="0" w:color="auto"/>
                  <w:right w:val="single" w:sz="4" w:space="0" w:color="auto"/>
                </w:tcBorders>
                <w:vAlign w:val="center"/>
              </w:tcPr>
              <w:p w14:paraId="4CE75461" w14:textId="77777777" w:rsidR="00D21C1F" w:rsidRPr="008825A2" w:rsidRDefault="00A42880">
                <w:pPr>
                  <w:autoSpaceDE w:val="0"/>
                  <w:autoSpaceDN w:val="0"/>
                  <w:adjustRightInd w:val="0"/>
                  <w:jc w:val="right"/>
                  <w:rPr>
                    <w:rFonts w:ascii="Times New Roman" w:hAnsi="Times New Roman" w:cs="Times New Roman"/>
                    <w:szCs w:val="21"/>
                  </w:rPr>
                </w:pPr>
                <w:r w:rsidRPr="008825A2">
                  <w:rPr>
                    <w:rFonts w:ascii="Times New Roman" w:hAnsi="Times New Roman" w:cs="Times New Roman"/>
                  </w:rPr>
                  <w:t>135,423.80</w:t>
                </w:r>
              </w:p>
            </w:tc>
          </w:tr>
          <w:sdt>
            <w:sdtPr>
              <w:rPr>
                <w:rFonts w:ascii="Times New Roman" w:hAnsi="Times New Roman" w:cs="Times New Roman"/>
                <w:szCs w:val="21"/>
              </w:rPr>
              <w:alias w:val="营业外支出明细"/>
              <w:tag w:val="_GBC_5b9df89383994b599a7029fc70bb3881"/>
              <w:id w:val="-1977673454"/>
              <w:lock w:val="sdtLocked"/>
            </w:sdtPr>
            <w:sdtEndPr/>
            <w:sdtContent>
              <w:tr w:rsidR="00D21C1F" w:rsidRPr="008825A2" w14:paraId="207CC3E0" w14:textId="77777777">
                <w:tc>
                  <w:tcPr>
                    <w:tcW w:w="1120" w:type="pct"/>
                    <w:tcBorders>
                      <w:top w:val="single" w:sz="4" w:space="0" w:color="auto"/>
                      <w:left w:val="single" w:sz="4" w:space="0" w:color="auto"/>
                      <w:bottom w:val="single" w:sz="4" w:space="0" w:color="auto"/>
                      <w:right w:val="single" w:sz="4" w:space="0" w:color="auto"/>
                    </w:tcBorders>
                  </w:tcPr>
                  <w:p w14:paraId="5BC9D6E4" w14:textId="77777777" w:rsidR="00D21C1F" w:rsidRPr="008825A2" w:rsidRDefault="00A42880">
                    <w:pPr>
                      <w:rPr>
                        <w:rFonts w:ascii="Times New Roman" w:hAnsi="Times New Roman" w:cs="Times New Roman"/>
                        <w:szCs w:val="21"/>
                      </w:rPr>
                    </w:pPr>
                    <w:r w:rsidRPr="008825A2">
                      <w:rPr>
                        <w:rFonts w:ascii="Times New Roman" w:hAnsi="Times New Roman" w:cs="Times New Roman"/>
                      </w:rPr>
                      <w:t>未决诉讼</w:t>
                    </w:r>
                  </w:p>
                </w:tc>
                <w:tc>
                  <w:tcPr>
                    <w:tcW w:w="1313" w:type="pct"/>
                    <w:tcBorders>
                      <w:top w:val="single" w:sz="4" w:space="0" w:color="auto"/>
                      <w:left w:val="single" w:sz="4" w:space="0" w:color="auto"/>
                      <w:bottom w:val="single" w:sz="4" w:space="0" w:color="auto"/>
                      <w:right w:val="single" w:sz="4" w:space="0" w:color="auto"/>
                    </w:tcBorders>
                    <w:vAlign w:val="center"/>
                  </w:tcPr>
                  <w:p w14:paraId="6945E150"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102,668.35</w:t>
                    </w:r>
                  </w:p>
                </w:tc>
                <w:tc>
                  <w:tcPr>
                    <w:tcW w:w="1287" w:type="pct"/>
                    <w:tcBorders>
                      <w:top w:val="single" w:sz="4" w:space="0" w:color="auto"/>
                      <w:left w:val="single" w:sz="4" w:space="0" w:color="auto"/>
                      <w:bottom w:val="single" w:sz="4" w:space="0" w:color="auto"/>
                      <w:right w:val="single" w:sz="4" w:space="0" w:color="auto"/>
                    </w:tcBorders>
                    <w:vAlign w:val="center"/>
                  </w:tcPr>
                  <w:p w14:paraId="38E196E6"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w:t>
                    </w:r>
                  </w:p>
                </w:tc>
                <w:tc>
                  <w:tcPr>
                    <w:tcW w:w="1280" w:type="pct"/>
                    <w:tcBorders>
                      <w:top w:val="single" w:sz="4" w:space="0" w:color="auto"/>
                      <w:left w:val="single" w:sz="4" w:space="0" w:color="auto"/>
                      <w:bottom w:val="single" w:sz="4" w:space="0" w:color="auto"/>
                      <w:right w:val="single" w:sz="4" w:space="0" w:color="auto"/>
                    </w:tcBorders>
                    <w:vAlign w:val="center"/>
                  </w:tcPr>
                  <w:p w14:paraId="4166D16B"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102,668.35</w:t>
                    </w:r>
                  </w:p>
                </w:tc>
              </w:tr>
            </w:sdtContent>
          </w:sdt>
          <w:sdt>
            <w:sdtPr>
              <w:rPr>
                <w:rFonts w:ascii="Times New Roman" w:hAnsi="Times New Roman" w:cs="Times New Roman"/>
                <w:szCs w:val="21"/>
              </w:rPr>
              <w:alias w:val="营业外支出明细"/>
              <w:tag w:val="_GBC_5b9df89383994b599a7029fc70bb3881"/>
              <w:id w:val="283858277"/>
              <w:lock w:val="sdtLocked"/>
            </w:sdtPr>
            <w:sdtEndPr/>
            <w:sdtContent>
              <w:tr w:rsidR="00D21C1F" w:rsidRPr="008825A2" w14:paraId="3C51E70B" w14:textId="77777777">
                <w:tc>
                  <w:tcPr>
                    <w:tcW w:w="1120" w:type="pct"/>
                    <w:tcBorders>
                      <w:top w:val="single" w:sz="4" w:space="0" w:color="auto"/>
                      <w:left w:val="single" w:sz="4" w:space="0" w:color="auto"/>
                      <w:bottom w:val="single" w:sz="4" w:space="0" w:color="auto"/>
                      <w:right w:val="single" w:sz="4" w:space="0" w:color="auto"/>
                    </w:tcBorders>
                  </w:tcPr>
                  <w:p w14:paraId="6D731F38" w14:textId="77777777" w:rsidR="00D21C1F" w:rsidRPr="008825A2" w:rsidRDefault="00A42880">
                    <w:pPr>
                      <w:rPr>
                        <w:rFonts w:ascii="Times New Roman" w:hAnsi="Times New Roman" w:cs="Times New Roman"/>
                        <w:szCs w:val="21"/>
                      </w:rPr>
                    </w:pPr>
                    <w:r w:rsidRPr="008825A2">
                      <w:rPr>
                        <w:rFonts w:ascii="Times New Roman" w:hAnsi="Times New Roman" w:cs="Times New Roman"/>
                      </w:rPr>
                      <w:t>滞纳金</w:t>
                    </w:r>
                  </w:p>
                </w:tc>
                <w:tc>
                  <w:tcPr>
                    <w:tcW w:w="1313" w:type="pct"/>
                    <w:tcBorders>
                      <w:top w:val="single" w:sz="4" w:space="0" w:color="auto"/>
                      <w:left w:val="single" w:sz="4" w:space="0" w:color="auto"/>
                      <w:bottom w:val="single" w:sz="4" w:space="0" w:color="auto"/>
                      <w:right w:val="single" w:sz="4" w:space="0" w:color="auto"/>
                    </w:tcBorders>
                    <w:vAlign w:val="center"/>
                  </w:tcPr>
                  <w:p w14:paraId="7481A60B"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59,590.89</w:t>
                    </w:r>
                  </w:p>
                </w:tc>
                <w:tc>
                  <w:tcPr>
                    <w:tcW w:w="1287" w:type="pct"/>
                    <w:tcBorders>
                      <w:top w:val="single" w:sz="4" w:space="0" w:color="auto"/>
                      <w:left w:val="single" w:sz="4" w:space="0" w:color="auto"/>
                      <w:bottom w:val="single" w:sz="4" w:space="0" w:color="auto"/>
                      <w:right w:val="single" w:sz="4" w:space="0" w:color="auto"/>
                    </w:tcBorders>
                    <w:vAlign w:val="center"/>
                  </w:tcPr>
                  <w:p w14:paraId="2CCBFA32"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303,253.36</w:t>
                    </w:r>
                  </w:p>
                </w:tc>
                <w:tc>
                  <w:tcPr>
                    <w:tcW w:w="1280" w:type="pct"/>
                    <w:tcBorders>
                      <w:top w:val="single" w:sz="4" w:space="0" w:color="auto"/>
                      <w:left w:val="single" w:sz="4" w:space="0" w:color="auto"/>
                      <w:bottom w:val="single" w:sz="4" w:space="0" w:color="auto"/>
                      <w:right w:val="single" w:sz="4" w:space="0" w:color="auto"/>
                    </w:tcBorders>
                    <w:vAlign w:val="center"/>
                  </w:tcPr>
                  <w:p w14:paraId="284A0FEE"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59,590.89</w:t>
                    </w:r>
                  </w:p>
                </w:tc>
              </w:tr>
            </w:sdtContent>
          </w:sdt>
          <w:sdt>
            <w:sdtPr>
              <w:rPr>
                <w:rFonts w:ascii="Times New Roman" w:hAnsi="Times New Roman" w:cs="Times New Roman"/>
                <w:szCs w:val="21"/>
              </w:rPr>
              <w:alias w:val="营业外支出明细"/>
              <w:tag w:val="_GBC_5b9df89383994b599a7029fc70bb3881"/>
              <w:id w:val="1202975977"/>
              <w:lock w:val="sdtLocked"/>
            </w:sdtPr>
            <w:sdtEndPr/>
            <w:sdtContent>
              <w:tr w:rsidR="00D21C1F" w:rsidRPr="008825A2" w14:paraId="2B81BC98" w14:textId="77777777">
                <w:tc>
                  <w:tcPr>
                    <w:tcW w:w="1120" w:type="pct"/>
                    <w:tcBorders>
                      <w:top w:val="single" w:sz="4" w:space="0" w:color="auto"/>
                      <w:left w:val="single" w:sz="4" w:space="0" w:color="auto"/>
                      <w:bottom w:val="single" w:sz="4" w:space="0" w:color="auto"/>
                      <w:right w:val="single" w:sz="4" w:space="0" w:color="auto"/>
                    </w:tcBorders>
                  </w:tcPr>
                  <w:p w14:paraId="2D1952B6" w14:textId="77777777" w:rsidR="00D21C1F" w:rsidRPr="008825A2" w:rsidRDefault="00A42880">
                    <w:pPr>
                      <w:rPr>
                        <w:rFonts w:ascii="Times New Roman" w:hAnsi="Times New Roman" w:cs="Times New Roman"/>
                        <w:szCs w:val="21"/>
                      </w:rPr>
                    </w:pPr>
                    <w:r w:rsidRPr="008825A2">
                      <w:rPr>
                        <w:rFonts w:ascii="Times New Roman" w:hAnsi="Times New Roman" w:cs="Times New Roman"/>
                      </w:rPr>
                      <w:t>非流动资产毁损报废损失</w:t>
                    </w:r>
                  </w:p>
                </w:tc>
                <w:tc>
                  <w:tcPr>
                    <w:tcW w:w="1313" w:type="pct"/>
                    <w:tcBorders>
                      <w:top w:val="single" w:sz="4" w:space="0" w:color="auto"/>
                      <w:left w:val="single" w:sz="4" w:space="0" w:color="auto"/>
                      <w:bottom w:val="single" w:sz="4" w:space="0" w:color="auto"/>
                      <w:right w:val="single" w:sz="4" w:space="0" w:color="auto"/>
                    </w:tcBorders>
                    <w:vAlign w:val="center"/>
                  </w:tcPr>
                  <w:p w14:paraId="3F86CF0F"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12,090.82</w:t>
                    </w:r>
                  </w:p>
                </w:tc>
                <w:tc>
                  <w:tcPr>
                    <w:tcW w:w="1287" w:type="pct"/>
                    <w:tcBorders>
                      <w:top w:val="single" w:sz="4" w:space="0" w:color="auto"/>
                      <w:left w:val="single" w:sz="4" w:space="0" w:color="auto"/>
                      <w:bottom w:val="single" w:sz="4" w:space="0" w:color="auto"/>
                      <w:right w:val="single" w:sz="4" w:space="0" w:color="auto"/>
                    </w:tcBorders>
                    <w:vAlign w:val="center"/>
                  </w:tcPr>
                  <w:p w14:paraId="31C23C1B"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30,739.05</w:t>
                    </w:r>
                  </w:p>
                </w:tc>
                <w:tc>
                  <w:tcPr>
                    <w:tcW w:w="1280" w:type="pct"/>
                    <w:tcBorders>
                      <w:top w:val="single" w:sz="4" w:space="0" w:color="auto"/>
                      <w:left w:val="single" w:sz="4" w:space="0" w:color="auto"/>
                      <w:bottom w:val="single" w:sz="4" w:space="0" w:color="auto"/>
                      <w:right w:val="single" w:sz="4" w:space="0" w:color="auto"/>
                    </w:tcBorders>
                    <w:vAlign w:val="center"/>
                  </w:tcPr>
                  <w:p w14:paraId="0388A07E"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12,090.82</w:t>
                    </w:r>
                  </w:p>
                </w:tc>
              </w:tr>
            </w:sdtContent>
          </w:sdt>
          <w:sdt>
            <w:sdtPr>
              <w:rPr>
                <w:rFonts w:ascii="Times New Roman" w:hAnsi="Times New Roman" w:cs="Times New Roman"/>
                <w:szCs w:val="21"/>
              </w:rPr>
              <w:alias w:val="营业外支出明细"/>
              <w:tag w:val="_GBC_5b9df89383994b599a7029fc70bb3881"/>
              <w:id w:val="104775908"/>
              <w:lock w:val="sdtLocked"/>
            </w:sdtPr>
            <w:sdtEndPr/>
            <w:sdtContent>
              <w:tr w:rsidR="00D21C1F" w:rsidRPr="008825A2" w14:paraId="0E371DD5" w14:textId="77777777">
                <w:tc>
                  <w:tcPr>
                    <w:tcW w:w="1120" w:type="pct"/>
                    <w:tcBorders>
                      <w:top w:val="single" w:sz="4" w:space="0" w:color="auto"/>
                      <w:left w:val="single" w:sz="4" w:space="0" w:color="auto"/>
                      <w:bottom w:val="single" w:sz="4" w:space="0" w:color="auto"/>
                      <w:right w:val="single" w:sz="4" w:space="0" w:color="auto"/>
                    </w:tcBorders>
                  </w:tcPr>
                  <w:p w14:paraId="2B2CDD40" w14:textId="77777777" w:rsidR="00D21C1F" w:rsidRPr="008825A2" w:rsidRDefault="00A42880">
                    <w:pPr>
                      <w:rPr>
                        <w:rFonts w:ascii="Times New Roman" w:hAnsi="Times New Roman" w:cs="Times New Roman"/>
                        <w:szCs w:val="21"/>
                      </w:rPr>
                    </w:pPr>
                    <w:r w:rsidRPr="008825A2">
                      <w:rPr>
                        <w:rFonts w:ascii="Times New Roman" w:hAnsi="Times New Roman" w:cs="Times New Roman"/>
                      </w:rPr>
                      <w:t>税收罚款</w:t>
                    </w:r>
                  </w:p>
                </w:tc>
                <w:tc>
                  <w:tcPr>
                    <w:tcW w:w="1313" w:type="pct"/>
                    <w:tcBorders>
                      <w:top w:val="single" w:sz="4" w:space="0" w:color="auto"/>
                      <w:left w:val="single" w:sz="4" w:space="0" w:color="auto"/>
                      <w:bottom w:val="single" w:sz="4" w:space="0" w:color="auto"/>
                      <w:right w:val="single" w:sz="4" w:space="0" w:color="auto"/>
                    </w:tcBorders>
                    <w:vAlign w:val="center"/>
                  </w:tcPr>
                  <w:p w14:paraId="7330A568"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w:t>
                    </w:r>
                  </w:p>
                </w:tc>
                <w:tc>
                  <w:tcPr>
                    <w:tcW w:w="1287" w:type="pct"/>
                    <w:tcBorders>
                      <w:top w:val="single" w:sz="4" w:space="0" w:color="auto"/>
                      <w:left w:val="single" w:sz="4" w:space="0" w:color="auto"/>
                      <w:bottom w:val="single" w:sz="4" w:space="0" w:color="auto"/>
                      <w:right w:val="single" w:sz="4" w:space="0" w:color="auto"/>
                    </w:tcBorders>
                    <w:vAlign w:val="center"/>
                  </w:tcPr>
                  <w:p w14:paraId="2C4679B9"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171,272.27</w:t>
                    </w:r>
                  </w:p>
                </w:tc>
                <w:tc>
                  <w:tcPr>
                    <w:tcW w:w="1280" w:type="pct"/>
                    <w:tcBorders>
                      <w:top w:val="single" w:sz="4" w:space="0" w:color="auto"/>
                      <w:left w:val="single" w:sz="4" w:space="0" w:color="auto"/>
                      <w:bottom w:val="single" w:sz="4" w:space="0" w:color="auto"/>
                      <w:right w:val="single" w:sz="4" w:space="0" w:color="auto"/>
                    </w:tcBorders>
                    <w:vAlign w:val="center"/>
                  </w:tcPr>
                  <w:p w14:paraId="26B87A43"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w:t>
                    </w:r>
                  </w:p>
                </w:tc>
              </w:tr>
            </w:sdtContent>
          </w:sdt>
          <w:sdt>
            <w:sdtPr>
              <w:rPr>
                <w:rFonts w:ascii="Times New Roman" w:hAnsi="Times New Roman" w:cs="Times New Roman"/>
                <w:szCs w:val="21"/>
              </w:rPr>
              <w:alias w:val="营业外支出明细"/>
              <w:tag w:val="_GBC_5b9df89383994b599a7029fc70bb3881"/>
              <w:id w:val="1608540931"/>
              <w:lock w:val="sdtLocked"/>
            </w:sdtPr>
            <w:sdtEndPr/>
            <w:sdtContent>
              <w:tr w:rsidR="00D21C1F" w:rsidRPr="008825A2" w14:paraId="29B3F500" w14:textId="77777777">
                <w:tc>
                  <w:tcPr>
                    <w:tcW w:w="1120" w:type="pct"/>
                    <w:tcBorders>
                      <w:top w:val="single" w:sz="4" w:space="0" w:color="auto"/>
                      <w:left w:val="single" w:sz="4" w:space="0" w:color="auto"/>
                      <w:bottom w:val="single" w:sz="4" w:space="0" w:color="auto"/>
                      <w:right w:val="single" w:sz="4" w:space="0" w:color="auto"/>
                    </w:tcBorders>
                  </w:tcPr>
                  <w:p w14:paraId="73801E69" w14:textId="77777777" w:rsidR="00D21C1F" w:rsidRPr="008825A2" w:rsidRDefault="00A42880">
                    <w:pPr>
                      <w:rPr>
                        <w:rFonts w:ascii="Times New Roman" w:hAnsi="Times New Roman" w:cs="Times New Roman"/>
                        <w:szCs w:val="21"/>
                      </w:rPr>
                    </w:pPr>
                    <w:r w:rsidRPr="008825A2">
                      <w:rPr>
                        <w:rFonts w:ascii="Times New Roman" w:hAnsi="Times New Roman" w:cs="Times New Roman"/>
                      </w:rPr>
                      <w:t>其他</w:t>
                    </w:r>
                  </w:p>
                </w:tc>
                <w:tc>
                  <w:tcPr>
                    <w:tcW w:w="1313" w:type="pct"/>
                    <w:tcBorders>
                      <w:top w:val="single" w:sz="4" w:space="0" w:color="auto"/>
                      <w:left w:val="single" w:sz="4" w:space="0" w:color="auto"/>
                      <w:bottom w:val="single" w:sz="4" w:space="0" w:color="auto"/>
                      <w:right w:val="single" w:sz="4" w:space="0" w:color="auto"/>
                    </w:tcBorders>
                    <w:vAlign w:val="center"/>
                  </w:tcPr>
                  <w:p w14:paraId="151B9E87"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770,589.74</w:t>
                    </w:r>
                  </w:p>
                </w:tc>
                <w:tc>
                  <w:tcPr>
                    <w:tcW w:w="1287" w:type="pct"/>
                    <w:tcBorders>
                      <w:top w:val="single" w:sz="4" w:space="0" w:color="auto"/>
                      <w:left w:val="single" w:sz="4" w:space="0" w:color="auto"/>
                      <w:bottom w:val="single" w:sz="4" w:space="0" w:color="auto"/>
                      <w:right w:val="single" w:sz="4" w:space="0" w:color="auto"/>
                    </w:tcBorders>
                    <w:vAlign w:val="center"/>
                  </w:tcPr>
                  <w:p w14:paraId="5F9D6899"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1,454,170.23</w:t>
                    </w:r>
                  </w:p>
                </w:tc>
                <w:tc>
                  <w:tcPr>
                    <w:tcW w:w="1280" w:type="pct"/>
                    <w:tcBorders>
                      <w:top w:val="single" w:sz="4" w:space="0" w:color="auto"/>
                      <w:left w:val="single" w:sz="4" w:space="0" w:color="auto"/>
                      <w:bottom w:val="single" w:sz="4" w:space="0" w:color="auto"/>
                      <w:right w:val="single" w:sz="4" w:space="0" w:color="auto"/>
                    </w:tcBorders>
                    <w:vAlign w:val="center"/>
                  </w:tcPr>
                  <w:p w14:paraId="34C2A154"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770,589.74</w:t>
                    </w:r>
                  </w:p>
                </w:tc>
              </w:tr>
            </w:sdtContent>
          </w:sdt>
          <w:tr w:rsidR="00D21C1F" w:rsidRPr="008825A2" w14:paraId="511C98BF" w14:textId="77777777">
            <w:sdt>
              <w:sdtPr>
                <w:rPr>
                  <w:rFonts w:ascii="Times New Roman" w:hAnsi="Times New Roman" w:cs="Times New Roman"/>
                </w:rPr>
                <w:tag w:val="_PLD_c2b9d5e76f4549198980f8ca24fe3112"/>
                <w:id w:val="-105199763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77CAC089" w14:textId="77777777" w:rsidR="00D21C1F" w:rsidRPr="008825A2" w:rsidRDefault="00A42880">
                    <w:pPr>
                      <w:ind w:right="6"/>
                      <w:jc w:val="center"/>
                      <w:rPr>
                        <w:rFonts w:ascii="Times New Roman" w:hAnsi="Times New Roman" w:cs="Times New Roman"/>
                        <w:szCs w:val="21"/>
                      </w:rPr>
                    </w:pPr>
                    <w:r w:rsidRPr="008825A2">
                      <w:rPr>
                        <w:rFonts w:ascii="Times New Roman" w:hAnsi="Times New Roman" w:cs="Times New Roman"/>
                        <w:szCs w:val="21"/>
                      </w:rPr>
                      <w:t>合计</w:t>
                    </w:r>
                  </w:p>
                </w:tc>
              </w:sdtContent>
            </w:sdt>
            <w:tc>
              <w:tcPr>
                <w:tcW w:w="1313" w:type="pct"/>
                <w:tcBorders>
                  <w:top w:val="single" w:sz="4" w:space="0" w:color="auto"/>
                  <w:left w:val="single" w:sz="4" w:space="0" w:color="auto"/>
                  <w:bottom w:val="single" w:sz="4" w:space="0" w:color="auto"/>
                  <w:right w:val="single" w:sz="4" w:space="0" w:color="auto"/>
                </w:tcBorders>
                <w:vAlign w:val="center"/>
              </w:tcPr>
              <w:p w14:paraId="3849492C"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1,262,263.60</w:t>
                </w:r>
              </w:p>
            </w:tc>
            <w:tc>
              <w:tcPr>
                <w:tcW w:w="1287" w:type="pct"/>
                <w:tcBorders>
                  <w:top w:val="single" w:sz="4" w:space="0" w:color="auto"/>
                  <w:left w:val="single" w:sz="4" w:space="0" w:color="auto"/>
                  <w:bottom w:val="single" w:sz="4" w:space="0" w:color="auto"/>
                  <w:right w:val="single" w:sz="4" w:space="0" w:color="auto"/>
                </w:tcBorders>
                <w:vAlign w:val="center"/>
              </w:tcPr>
              <w:p w14:paraId="6E88EB22"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2,070,436.44</w:t>
                </w:r>
              </w:p>
            </w:tc>
            <w:tc>
              <w:tcPr>
                <w:tcW w:w="1280" w:type="pct"/>
                <w:tcBorders>
                  <w:top w:val="single" w:sz="4" w:space="0" w:color="auto"/>
                  <w:left w:val="single" w:sz="4" w:space="0" w:color="auto"/>
                  <w:bottom w:val="single" w:sz="4" w:space="0" w:color="auto"/>
                  <w:right w:val="single" w:sz="4" w:space="0" w:color="auto"/>
                </w:tcBorders>
                <w:vAlign w:val="center"/>
              </w:tcPr>
              <w:p w14:paraId="15B16280" w14:textId="77777777" w:rsidR="00D21C1F" w:rsidRPr="008825A2" w:rsidRDefault="00A42880">
                <w:pPr>
                  <w:autoSpaceDE w:val="0"/>
                  <w:autoSpaceDN w:val="0"/>
                  <w:adjustRightInd w:val="0"/>
                  <w:jc w:val="right"/>
                  <w:rPr>
                    <w:rFonts w:ascii="Times New Roman" w:hAnsi="Times New Roman" w:cs="Times New Roman"/>
                    <w:szCs w:val="21"/>
                  </w:rPr>
                </w:pPr>
                <w:r w:rsidRPr="008825A2">
                  <w:rPr>
                    <w:rFonts w:ascii="Times New Roman" w:hAnsi="Times New Roman" w:cs="Times New Roman"/>
                    <w:szCs w:val="21"/>
                  </w:rPr>
                  <w:t>1,262,263.60</w:t>
                </w:r>
              </w:p>
            </w:tc>
          </w:tr>
        </w:tbl>
        <w:p w14:paraId="511CC5D5" w14:textId="77777777" w:rsidR="00D21C1F" w:rsidRPr="008825A2" w:rsidRDefault="00A42880">
          <w:pPr>
            <w:spacing w:before="60" w:after="60"/>
            <w:rPr>
              <w:rFonts w:ascii="Times New Roman" w:hAnsi="Times New Roman" w:cs="Times New Roman"/>
              <w:szCs w:val="21"/>
            </w:rPr>
          </w:pPr>
          <w:r w:rsidRPr="008825A2">
            <w:rPr>
              <w:rFonts w:ascii="Times New Roman" w:hAnsi="Times New Roman" w:cs="Times New Roman"/>
              <w:szCs w:val="21"/>
            </w:rPr>
            <w:t>其他说明：</w:t>
          </w:r>
        </w:p>
        <w:sdt>
          <w:sdtPr>
            <w:rPr>
              <w:rFonts w:ascii="Times New Roman" w:hAnsi="Times New Roman" w:cs="Times New Roman"/>
              <w:szCs w:val="21"/>
            </w:rPr>
            <w:alias w:val="营业外支出说明"/>
            <w:tag w:val="_GBC_948d4d2c5cfc43b999d968de3476bc75"/>
            <w:id w:val="-1224832869"/>
            <w:lock w:val="sdtLocked"/>
            <w:placeholder>
              <w:docPart w:val="GBC22222222222222222222222222222"/>
            </w:placeholder>
          </w:sdtPr>
          <w:sdtEndPr/>
          <w:sdtContent>
            <w:p w14:paraId="57DE4C2D" w14:textId="77777777" w:rsidR="00D21C1F" w:rsidRDefault="00A42880">
              <w:pPr>
                <w:rPr>
                  <w:szCs w:val="21"/>
                </w:rPr>
              </w:pPr>
              <w:r w:rsidRPr="008825A2">
                <w:rPr>
                  <w:rFonts w:ascii="Times New Roman" w:hAnsi="Times New Roman" w:cs="Times New Roman"/>
                  <w:szCs w:val="21"/>
                </w:rPr>
                <w:t>无</w:t>
              </w:r>
            </w:p>
          </w:sdtContent>
        </w:sdt>
      </w:sdtContent>
    </w:sdt>
    <w:p w14:paraId="061D4559" w14:textId="77777777" w:rsidR="00D21C1F" w:rsidRDefault="00D21C1F">
      <w:pPr>
        <w:pStyle w:val="97"/>
      </w:pPr>
    </w:p>
    <w:sdt>
      <w:sdtPr>
        <w:rPr>
          <w:rFonts w:ascii="宋体" w:eastAsia="宋体" w:hAnsi="宋体" w:cs="宋体" w:hint="eastAsia"/>
          <w:b w:val="0"/>
          <w:bCs w:val="0"/>
          <w:kern w:val="0"/>
          <w:szCs w:val="21"/>
        </w:rPr>
        <w:alias w:val="模块:所得税费用"/>
        <w:tag w:val="_GBC_c8eb4731730a4ca395e992a85b3eafe1"/>
        <w:id w:val="-632718085"/>
        <w:lock w:val="sdtLocked"/>
        <w:placeholder>
          <w:docPart w:val="GBC22222222222222222222222222222"/>
        </w:placeholder>
      </w:sdtPr>
      <w:sdtEndPr>
        <w:rPr>
          <w:rFonts w:cstheme="minorBidi" w:hint="default"/>
        </w:rPr>
      </w:sdtEndPr>
      <w:sdtContent>
        <w:p w14:paraId="2BFA297F"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所得税费用</w:t>
          </w:r>
        </w:p>
        <w:p w14:paraId="3716AF86" w14:textId="77777777" w:rsidR="00D21C1F" w:rsidRDefault="00A42880">
          <w:pPr>
            <w:pStyle w:val="93"/>
            <w:numPr>
              <w:ilvl w:val="0"/>
              <w:numId w:val="124"/>
            </w:numPr>
            <w:rPr>
              <w:rFonts w:ascii="宋体" w:hAnsi="宋体"/>
            </w:rPr>
          </w:pPr>
          <w:r>
            <w:rPr>
              <w:rFonts w:ascii="宋体" w:hAnsi="宋体" w:hint="eastAsia"/>
            </w:rPr>
            <w:t>所得税费用表</w:t>
          </w:r>
        </w:p>
        <w:sdt>
          <w:sdtPr>
            <w:alias w:val="是否适用：所得税费用表[双击切换]"/>
            <w:tag w:val="_GBC_61ff35087b014685a6e03347957ab922"/>
            <w:id w:val="-167875046"/>
            <w:lock w:val="sdtLocked"/>
            <w:placeholder>
              <w:docPart w:val="GBC22222222222222222222222222222"/>
            </w:placeholder>
          </w:sdtPr>
          <w:sdtEndPr/>
          <w:sdtContent>
            <w:p w14:paraId="7C587EF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0BE162" w14:textId="77777777" w:rsidR="00D21C1F" w:rsidRDefault="00A42880">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941889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所得税费用"/>
              <w:tag w:val="_GBC_ecc6df02f1744ff084d6c0d30045219a"/>
              <w:id w:val="1372567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33"/>
            <w:gridCol w:w="2853"/>
            <w:gridCol w:w="2837"/>
          </w:tblGrid>
          <w:tr w:rsidR="00D21C1F" w14:paraId="2A3AA664" w14:textId="77777777">
            <w:trPr>
              <w:trHeight w:val="87"/>
            </w:trPr>
            <w:sdt>
              <w:sdtPr>
                <w:tag w:val="_PLD_951f380ec376457cb80126c7d6018f65"/>
                <w:id w:val="-1016922154"/>
                <w:lock w:val="sdtLocked"/>
              </w:sdtPr>
              <w:sdtEndPr/>
              <w:sdtContent>
                <w:tc>
                  <w:tcPr>
                    <w:tcW w:w="1775" w:type="pct"/>
                    <w:vAlign w:val="center"/>
                  </w:tcPr>
                  <w:p w14:paraId="64D25F04" w14:textId="77777777" w:rsidR="00D21C1F" w:rsidRDefault="00A42880">
                    <w:pPr>
                      <w:ind w:right="6"/>
                      <w:jc w:val="center"/>
                      <w:rPr>
                        <w:szCs w:val="21"/>
                      </w:rPr>
                    </w:pPr>
                    <w:r>
                      <w:rPr>
                        <w:rFonts w:hint="eastAsia"/>
                        <w:szCs w:val="21"/>
                      </w:rPr>
                      <w:t>项目</w:t>
                    </w:r>
                  </w:p>
                </w:tc>
              </w:sdtContent>
            </w:sdt>
            <w:sdt>
              <w:sdtPr>
                <w:tag w:val="_PLD_1e59791ce9d340b7b60e63b833f13708"/>
                <w:id w:val="872886112"/>
                <w:lock w:val="sdtLocked"/>
              </w:sdtPr>
              <w:sdtEndPr/>
              <w:sdtContent>
                <w:tc>
                  <w:tcPr>
                    <w:tcW w:w="1617" w:type="pct"/>
                    <w:vAlign w:val="center"/>
                  </w:tcPr>
                  <w:p w14:paraId="7594044D" w14:textId="77777777" w:rsidR="00D21C1F" w:rsidRDefault="00A42880">
                    <w:pPr>
                      <w:ind w:right="6"/>
                      <w:jc w:val="center"/>
                      <w:rPr>
                        <w:szCs w:val="21"/>
                      </w:rPr>
                    </w:pPr>
                    <w:r>
                      <w:rPr>
                        <w:rFonts w:hint="eastAsia"/>
                        <w:szCs w:val="21"/>
                      </w:rPr>
                      <w:t>本期发生额</w:t>
                    </w:r>
                  </w:p>
                </w:tc>
              </w:sdtContent>
            </w:sdt>
            <w:sdt>
              <w:sdtPr>
                <w:tag w:val="_PLD_23c0825dcbc74481a17a7811dee40e02"/>
                <w:id w:val="-887641684"/>
                <w:lock w:val="sdtLocked"/>
              </w:sdtPr>
              <w:sdtEndPr/>
              <w:sdtContent>
                <w:tc>
                  <w:tcPr>
                    <w:tcW w:w="1608" w:type="pct"/>
                    <w:vAlign w:val="center"/>
                  </w:tcPr>
                  <w:p w14:paraId="4A75F4BC" w14:textId="77777777" w:rsidR="00D21C1F" w:rsidRDefault="00A42880">
                    <w:pPr>
                      <w:ind w:right="6"/>
                      <w:jc w:val="center"/>
                      <w:rPr>
                        <w:szCs w:val="21"/>
                      </w:rPr>
                    </w:pPr>
                    <w:r>
                      <w:rPr>
                        <w:rFonts w:hint="eastAsia"/>
                        <w:szCs w:val="21"/>
                      </w:rPr>
                      <w:t>上期发生额</w:t>
                    </w:r>
                  </w:p>
                </w:tc>
              </w:sdtContent>
            </w:sdt>
          </w:tr>
          <w:tr w:rsidR="00D21C1F" w14:paraId="072339D3" w14:textId="77777777">
            <w:sdt>
              <w:sdtPr>
                <w:tag w:val="_PLD_b39e72286fda4bb1bc103f3a09099c07"/>
                <w:id w:val="-1728524951"/>
                <w:lock w:val="sdtLocked"/>
              </w:sdtPr>
              <w:sdtEndPr/>
              <w:sdtContent>
                <w:tc>
                  <w:tcPr>
                    <w:tcW w:w="1775" w:type="pct"/>
                  </w:tcPr>
                  <w:p w14:paraId="270E18DB" w14:textId="77777777" w:rsidR="00D21C1F" w:rsidRDefault="00A42880">
                    <w:pPr>
                      <w:ind w:right="6"/>
                      <w:rPr>
                        <w:b/>
                        <w:bCs/>
                        <w:szCs w:val="21"/>
                      </w:rPr>
                    </w:pPr>
                    <w:r>
                      <w:rPr>
                        <w:rFonts w:hint="eastAsia"/>
                        <w:szCs w:val="21"/>
                      </w:rPr>
                      <w:t>当期所得税费用</w:t>
                    </w:r>
                  </w:p>
                </w:tc>
              </w:sdtContent>
            </w:sdt>
            <w:tc>
              <w:tcPr>
                <w:tcW w:w="1617" w:type="pct"/>
                <w:vAlign w:val="center"/>
              </w:tcPr>
              <w:p w14:paraId="62DC4AD2"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434,732.68</w:t>
                </w:r>
              </w:p>
            </w:tc>
            <w:tc>
              <w:tcPr>
                <w:tcW w:w="1608" w:type="pct"/>
                <w:vAlign w:val="center"/>
              </w:tcPr>
              <w:p w14:paraId="382F3C25" w14:textId="77777777" w:rsidR="00D21C1F" w:rsidRPr="008825A2" w:rsidRDefault="00A42880">
                <w:pPr>
                  <w:ind w:right="6"/>
                  <w:jc w:val="right"/>
                  <w:rPr>
                    <w:rFonts w:ascii="Times New Roman" w:hAnsi="Times New Roman" w:cs="Times New Roman"/>
                    <w:szCs w:val="21"/>
                  </w:rPr>
                </w:pPr>
                <w:r w:rsidRPr="008825A2">
                  <w:rPr>
                    <w:rFonts w:ascii="Times New Roman" w:hAnsi="Times New Roman" w:cs="Times New Roman"/>
                  </w:rPr>
                  <w:t>4,696,825.93</w:t>
                </w:r>
              </w:p>
            </w:tc>
          </w:tr>
          <w:tr w:rsidR="00D21C1F" w14:paraId="1D864A6B" w14:textId="77777777">
            <w:sdt>
              <w:sdtPr>
                <w:tag w:val="_PLD_50b3fec6faac445b9c252906a5bcf507"/>
                <w:id w:val="-1903669201"/>
                <w:lock w:val="sdtLocked"/>
              </w:sdtPr>
              <w:sdtEndPr/>
              <w:sdtContent>
                <w:tc>
                  <w:tcPr>
                    <w:tcW w:w="1775" w:type="pct"/>
                  </w:tcPr>
                  <w:p w14:paraId="6D6E1A15" w14:textId="77777777" w:rsidR="00D21C1F" w:rsidRDefault="00A42880">
                    <w:pPr>
                      <w:ind w:right="6"/>
                      <w:rPr>
                        <w:szCs w:val="21"/>
                      </w:rPr>
                    </w:pPr>
                    <w:r>
                      <w:rPr>
                        <w:rFonts w:hint="eastAsia"/>
                        <w:szCs w:val="21"/>
                      </w:rPr>
                      <w:t>递延所得税费用</w:t>
                    </w:r>
                  </w:p>
                </w:tc>
              </w:sdtContent>
            </w:sdt>
            <w:tc>
              <w:tcPr>
                <w:tcW w:w="1617" w:type="pct"/>
                <w:vAlign w:val="center"/>
              </w:tcPr>
              <w:p w14:paraId="33EB8DF1" w14:textId="77777777" w:rsidR="00D21C1F" w:rsidRPr="008825A2" w:rsidRDefault="00A42880">
                <w:pPr>
                  <w:jc w:val="right"/>
                  <w:rPr>
                    <w:rFonts w:ascii="Times New Roman" w:hAnsi="Times New Roman" w:cs="Times New Roman"/>
                    <w:szCs w:val="21"/>
                  </w:rPr>
                </w:pPr>
                <w:r w:rsidRPr="008825A2">
                  <w:rPr>
                    <w:rFonts w:ascii="Times New Roman" w:hAnsi="Times New Roman" w:cs="Times New Roman"/>
                  </w:rPr>
                  <w:t>-18,943,076.06</w:t>
                </w:r>
              </w:p>
            </w:tc>
            <w:tc>
              <w:tcPr>
                <w:tcW w:w="1608" w:type="pct"/>
                <w:vAlign w:val="center"/>
              </w:tcPr>
              <w:p w14:paraId="6EB12932" w14:textId="77777777" w:rsidR="00D21C1F" w:rsidRPr="008825A2" w:rsidRDefault="00A42880">
                <w:pPr>
                  <w:ind w:right="6"/>
                  <w:jc w:val="right"/>
                  <w:rPr>
                    <w:rFonts w:ascii="Times New Roman" w:hAnsi="Times New Roman" w:cs="Times New Roman"/>
                    <w:szCs w:val="21"/>
                  </w:rPr>
                </w:pPr>
                <w:r w:rsidRPr="008825A2">
                  <w:rPr>
                    <w:rFonts w:ascii="Times New Roman" w:hAnsi="Times New Roman" w:cs="Times New Roman"/>
                  </w:rPr>
                  <w:t>-23,415,045.26</w:t>
                </w:r>
              </w:p>
            </w:tc>
          </w:tr>
          <w:tr w:rsidR="00D21C1F" w14:paraId="1F26BAF9" w14:textId="77777777">
            <w:sdt>
              <w:sdtPr>
                <w:tag w:val="_PLD_10ad171e28bb4cf3957eba2cca611ce8"/>
                <w:id w:val="1683628479"/>
                <w:lock w:val="sdtLocked"/>
              </w:sdtPr>
              <w:sdtEndPr/>
              <w:sdtContent>
                <w:tc>
                  <w:tcPr>
                    <w:tcW w:w="1775" w:type="pct"/>
                  </w:tcPr>
                  <w:p w14:paraId="43E1AA09" w14:textId="77777777" w:rsidR="00D21C1F" w:rsidRDefault="00A42880">
                    <w:pPr>
                      <w:ind w:right="6"/>
                      <w:jc w:val="center"/>
                      <w:rPr>
                        <w:szCs w:val="21"/>
                      </w:rPr>
                    </w:pPr>
                    <w:r>
                      <w:rPr>
                        <w:rFonts w:hint="eastAsia"/>
                        <w:szCs w:val="21"/>
                      </w:rPr>
                      <w:t>合计</w:t>
                    </w:r>
                  </w:p>
                </w:tc>
              </w:sdtContent>
            </w:sdt>
            <w:tc>
              <w:tcPr>
                <w:tcW w:w="1617" w:type="pct"/>
              </w:tcPr>
              <w:p w14:paraId="4344F9D4" w14:textId="77777777" w:rsidR="00D21C1F" w:rsidRPr="008825A2" w:rsidRDefault="00A42880">
                <w:pPr>
                  <w:ind w:right="6"/>
                  <w:jc w:val="right"/>
                  <w:rPr>
                    <w:rFonts w:ascii="Times New Roman" w:hAnsi="Times New Roman" w:cs="Times New Roman"/>
                    <w:szCs w:val="21"/>
                  </w:rPr>
                </w:pPr>
                <w:r w:rsidRPr="008825A2">
                  <w:rPr>
                    <w:rFonts w:ascii="Times New Roman" w:hAnsi="Times New Roman" w:cs="Times New Roman"/>
                  </w:rPr>
                  <w:t>-18,508,343.38</w:t>
                </w:r>
              </w:p>
            </w:tc>
            <w:tc>
              <w:tcPr>
                <w:tcW w:w="1608" w:type="pct"/>
              </w:tcPr>
              <w:p w14:paraId="48311CB2" w14:textId="77777777" w:rsidR="00D21C1F" w:rsidRPr="008825A2" w:rsidRDefault="00A42880">
                <w:pPr>
                  <w:ind w:right="6"/>
                  <w:jc w:val="right"/>
                  <w:rPr>
                    <w:rFonts w:ascii="Times New Roman" w:hAnsi="Times New Roman" w:cs="Times New Roman"/>
                    <w:szCs w:val="21"/>
                  </w:rPr>
                </w:pPr>
                <w:r w:rsidRPr="008825A2">
                  <w:rPr>
                    <w:rFonts w:ascii="Times New Roman" w:hAnsi="Times New Roman" w:cs="Times New Roman"/>
                  </w:rPr>
                  <w:t>-18,718,219.33</w:t>
                </w:r>
              </w:p>
            </w:tc>
          </w:tr>
        </w:tbl>
        <w:p w14:paraId="2BDFA1EC" w14:textId="77777777" w:rsidR="00D21C1F" w:rsidRDefault="00D21C1F">
          <w:pPr>
            <w:rPr>
              <w:szCs w:val="21"/>
            </w:rPr>
          </w:pPr>
        </w:p>
        <w:p w14:paraId="3D53AECE" w14:textId="77777777" w:rsidR="00D21C1F" w:rsidRDefault="00A42880">
          <w:pPr>
            <w:pStyle w:val="93"/>
            <w:numPr>
              <w:ilvl w:val="0"/>
              <w:numId w:val="124"/>
            </w:numPr>
            <w:rPr>
              <w:rFonts w:ascii="宋体" w:hAnsi="宋体"/>
              <w:szCs w:val="21"/>
            </w:rPr>
          </w:pPr>
          <w:r>
            <w:rPr>
              <w:rFonts w:ascii="宋体" w:hAnsi="宋体" w:hint="eastAsia"/>
              <w:szCs w:val="21"/>
            </w:rPr>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536893347"/>
            <w:lock w:val="sdtLocked"/>
            <w:placeholder>
              <w:docPart w:val="GBC22222222222222222222222222222"/>
            </w:placeholder>
          </w:sdtPr>
          <w:sdtEndPr/>
          <w:sdtContent>
            <w:p w14:paraId="4E65E70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5D01B6" w14:textId="77777777" w:rsidR="00D21C1F" w:rsidRDefault="00A42880">
          <w:pPr>
            <w:jc w:val="right"/>
          </w:pPr>
          <w:r>
            <w:rPr>
              <w:rFonts w:hint="eastAsia"/>
            </w:rPr>
            <w:t>单位:</w:t>
          </w:r>
          <w:sdt>
            <w:sdtPr>
              <w:rPr>
                <w:rFonts w:hint="eastAsia"/>
              </w:rPr>
              <w:alias w:val="单位：会计利润与所得税费用调整过程"/>
              <w:tag w:val="_GBC_8b3d0d6296b944dcbc6077158d5eb7ca"/>
              <w:id w:val="1372418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会计利润与所得税费用调整过程"/>
              <w:tag w:val="_GBC_f07b399def8f4b49bdebcbb56994fb61"/>
              <w:id w:val="1681234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4998"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267"/>
            <w:gridCol w:w="4552"/>
          </w:tblGrid>
          <w:tr w:rsidR="00D21C1F" w14:paraId="649DF54C" w14:textId="77777777">
            <w:sdt>
              <w:sdtPr>
                <w:tag w:val="_PLD_762c770e68ab4734ab4b1455db567f92"/>
                <w:id w:val="-146434701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29177ADC" w14:textId="77777777" w:rsidR="00D21C1F" w:rsidRDefault="00A42880">
                    <w:pPr>
                      <w:jc w:val="center"/>
                    </w:pPr>
                    <w:r>
                      <w:rPr>
                        <w:rFonts w:hint="eastAsia"/>
                      </w:rPr>
                      <w:t>项目</w:t>
                    </w:r>
                  </w:p>
                </w:tc>
              </w:sdtContent>
            </w:sdt>
            <w:sdt>
              <w:sdtPr>
                <w:tag w:val="_PLD_dbffde77b3344828a64e53b9962d0e3a"/>
                <w:id w:val="1074237007"/>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14:paraId="04D1184D" w14:textId="77777777" w:rsidR="00D21C1F" w:rsidRDefault="00A42880">
                    <w:pPr>
                      <w:jc w:val="center"/>
                    </w:pPr>
                    <w:r>
                      <w:rPr>
                        <w:rFonts w:hint="eastAsia"/>
                      </w:rPr>
                      <w:t>本期发生额</w:t>
                    </w:r>
                  </w:p>
                </w:tc>
              </w:sdtContent>
            </w:sdt>
          </w:tr>
          <w:tr w:rsidR="00D21C1F" w14:paraId="60353E70" w14:textId="77777777">
            <w:sdt>
              <w:sdtPr>
                <w:tag w:val="_PLD_e49aa9df3fa0441889c07b63b32585c5"/>
                <w:id w:val="-85071810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1AD84EB6" w14:textId="77777777" w:rsidR="00D21C1F" w:rsidRDefault="00A42880">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vAlign w:val="bottom"/>
              </w:tcPr>
              <w:p w14:paraId="77505762"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-75,229,019.68</w:t>
                </w:r>
              </w:p>
            </w:tc>
          </w:tr>
          <w:tr w:rsidR="00D21C1F" w14:paraId="65CFC419" w14:textId="77777777">
            <w:sdt>
              <w:sdtPr>
                <w:tag w:val="_PLD_bcfd0d413e444c6f881fc95e048d73ce"/>
                <w:id w:val="8079996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75A947FE" w14:textId="77777777" w:rsidR="00D21C1F" w:rsidRDefault="00A42880">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bottom"/>
              </w:tcPr>
              <w:p w14:paraId="7A3BDE65"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-11,027,347.09</w:t>
                </w:r>
              </w:p>
            </w:tc>
          </w:tr>
          <w:tr w:rsidR="00D21C1F" w14:paraId="14206D24" w14:textId="77777777">
            <w:trPr>
              <w:trHeight w:val="139"/>
            </w:trPr>
            <w:sdt>
              <w:sdtPr>
                <w:tag w:val="_PLD_dc5f6e856113456cb1312b5cf234201d"/>
                <w:id w:val="20707222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6EA2D336" w14:textId="77777777" w:rsidR="00D21C1F" w:rsidRDefault="00A42880">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bottom"/>
              </w:tcPr>
              <w:p w14:paraId="778DC08A"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-9,802,092.19</w:t>
                </w:r>
              </w:p>
            </w:tc>
          </w:tr>
          <w:tr w:rsidR="00D21C1F" w14:paraId="4365F9ED" w14:textId="77777777">
            <w:sdt>
              <w:sdtPr>
                <w:tag w:val="_PLD_a18b0f1e64674563b277a2e43b991ab6"/>
                <w:id w:val="-188980216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B07AD0F" w14:textId="77777777" w:rsidR="00D21C1F" w:rsidRDefault="00A42880">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bottom"/>
              </w:tcPr>
              <w:p w14:paraId="3086EE05"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17,705.74</w:t>
                </w:r>
              </w:p>
            </w:tc>
          </w:tr>
          <w:tr w:rsidR="00D21C1F" w14:paraId="6E6BEF14" w14:textId="77777777">
            <w:sdt>
              <w:sdtPr>
                <w:tag w:val="_PLD_451dd13012144866aaf62c35812344d7"/>
                <w:id w:val="137642807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A31D735" w14:textId="77777777" w:rsidR="00D21C1F" w:rsidRDefault="00A42880">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bottom"/>
              </w:tcPr>
              <w:p w14:paraId="2519EB7D"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337,983.50</w:t>
                </w:r>
              </w:p>
            </w:tc>
          </w:tr>
          <w:tr w:rsidR="00D21C1F" w14:paraId="424C42BB" w14:textId="77777777">
            <w:sdt>
              <w:sdtPr>
                <w:tag w:val="_PLD_0906044dc7ff47d6ba8d4be46514c623"/>
                <w:id w:val="-182944305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DBFB5D9" w14:textId="77777777" w:rsidR="00D21C1F" w:rsidRDefault="00A42880">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bottom"/>
              </w:tcPr>
              <w:p w14:paraId="7EB008BD"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5,139,326.88</w:t>
                </w:r>
              </w:p>
            </w:tc>
          </w:tr>
          <w:tr w:rsidR="00D21C1F" w14:paraId="6A1AEF35" w14:textId="77777777">
            <w:sdt>
              <w:sdtPr>
                <w:tag w:val="_PLD_958280e6456341698f323fb9f71bf973"/>
                <w:id w:val="-156000669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02A8D462" w14:textId="77777777" w:rsidR="00D21C1F" w:rsidRDefault="00A42880">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bottom"/>
              </w:tcPr>
              <w:p w14:paraId="21E85BEA"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-86.64</w:t>
                </w:r>
              </w:p>
            </w:tc>
          </w:tr>
          <w:tr w:rsidR="00D21C1F" w14:paraId="7FDD247A" w14:textId="77777777">
            <w:sdt>
              <w:sdtPr>
                <w:tag w:val="_PLD_ba3d89f087964402b8cb1b2a58f5d0ba"/>
                <w:id w:val="182354301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2657B4DF" w14:textId="77777777" w:rsidR="00D21C1F" w:rsidRDefault="00A42880">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bottom"/>
              </w:tcPr>
              <w:p w14:paraId="0DC2A914"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2,113,478.82</w:t>
                </w:r>
              </w:p>
            </w:tc>
          </w:tr>
          <w:sdt>
            <w:sdtPr>
              <w:rPr>
                <w:rFonts w:eastAsia="宋体"/>
              </w:rPr>
              <w:alias w:val="会计利润与所得税费用调整过程明细"/>
              <w:tag w:val="_GBC_60d81dc4e69b413a8b1a7ba0bc4ad0f0"/>
              <w:id w:val="-7226618"/>
              <w:lock w:val="sdtLocked"/>
            </w:sdtPr>
            <w:sdtEndPr>
              <w:rPr>
                <w:rFonts w:ascii="Times New Roman" w:hAnsi="Times New Roman" w:cs="Times New Roman"/>
              </w:rPr>
            </w:sdtEndPr>
            <w:sdtContent>
              <w:tr w:rsidR="00D21C1F" w14:paraId="3A5264C8"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61CD4FB5" w14:textId="77777777" w:rsidR="00D21C1F" w:rsidRDefault="00A42880">
                    <w:pPr>
                      <w:pStyle w:val="97"/>
                    </w:pPr>
                    <w:r>
                      <w:rPr>
                        <w:rFonts w:hint="eastAsia"/>
                      </w:rPr>
                      <w:t>研发费用加计扣除的影响</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bottom"/>
                  </w:tcPr>
                  <w:p w14:paraId="1C77C878"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-5,287,312.40</w:t>
                    </w:r>
                  </w:p>
                </w:tc>
              </w:tr>
            </w:sdtContent>
          </w:sdt>
          <w:sdt>
            <w:sdtPr>
              <w:rPr>
                <w:rFonts w:eastAsia="宋体"/>
              </w:rPr>
              <w:alias w:val="会计利润与所得税费用调整过程明细"/>
              <w:tag w:val="_GBC_60d81dc4e69b413a8b1a7ba0bc4ad0f0"/>
              <w:id w:val="1231727427"/>
              <w:lock w:val="sdtLocked"/>
            </w:sdtPr>
            <w:sdtEndPr>
              <w:rPr>
                <w:rFonts w:ascii="Times New Roman" w:hAnsi="Times New Roman" w:cs="Times New Roman"/>
              </w:rPr>
            </w:sdtEndPr>
            <w:sdtContent>
              <w:tr w:rsidR="00D21C1F" w14:paraId="4532540F"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05F1278C" w14:textId="77777777" w:rsidR="00D21C1F" w:rsidRDefault="00D21C1F">
                    <w:pPr>
                      <w:pStyle w:val="97"/>
                    </w:pP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0F86E600" w14:textId="77777777" w:rsidR="00D21C1F" w:rsidRPr="008825A2" w:rsidRDefault="00D21C1F">
                    <w:pPr>
                      <w:jc w:val="right"/>
                      <w:rPr>
                        <w:rFonts w:ascii="Times New Roman" w:hAnsi="Times New Roman" w:cs="Times New Roman"/>
                      </w:rPr>
                    </w:pPr>
                  </w:p>
                </w:tc>
              </w:tr>
            </w:sdtContent>
          </w:sdt>
          <w:tr w:rsidR="00D21C1F" w14:paraId="54CB8545" w14:textId="77777777">
            <w:sdt>
              <w:sdtPr>
                <w:tag w:val="_PLD_2fe3b63863164c92a5502c41abff42f1"/>
                <w:id w:val="-209523674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6CF96EC" w14:textId="77777777" w:rsidR="00D21C1F" w:rsidRDefault="00A42880">
                    <w:pPr>
                      <w:pStyle w:val="97"/>
                    </w:pPr>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4DD9C8C" w14:textId="77777777" w:rsidR="00D21C1F" w:rsidRPr="008825A2" w:rsidRDefault="00A42880">
                <w:pPr>
                  <w:jc w:val="right"/>
                  <w:rPr>
                    <w:rFonts w:ascii="Times New Roman" w:hAnsi="Times New Roman" w:cs="Times New Roman"/>
                  </w:rPr>
                </w:pPr>
                <w:r w:rsidRPr="008825A2">
                  <w:rPr>
                    <w:rFonts w:ascii="Times New Roman" w:hAnsi="Times New Roman" w:cs="Times New Roman"/>
                  </w:rPr>
                  <w:t>-18,508,343.38</w:t>
                </w:r>
              </w:p>
            </w:tc>
          </w:tr>
        </w:tbl>
        <w:p w14:paraId="1EC47CD0" w14:textId="77777777" w:rsidR="00D21C1F" w:rsidRDefault="00A42880">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891001027"/>
            <w:lock w:val="sdtLocked"/>
            <w:placeholder>
              <w:docPart w:val="GBC22222222222222222222222222222"/>
            </w:placeholder>
          </w:sdtPr>
          <w:sdtEndPr/>
          <w:sdtContent>
            <w:p w14:paraId="72F4FBBF" w14:textId="77777777" w:rsidR="00D21C1F" w:rsidRDefault="00A4288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B6AB377" w14:textId="77777777" w:rsidR="00D21C1F" w:rsidRDefault="00D21C1F">
      <w:pPr>
        <w:rPr>
          <w:b/>
        </w:rPr>
      </w:pPr>
    </w:p>
    <w:sdt>
      <w:sdtPr>
        <w:rPr>
          <w:rFonts w:ascii="宋体" w:hAnsi="宋体" w:cs="宋体" w:hint="eastAsia"/>
          <w:b w:val="0"/>
          <w:bCs w:val="0"/>
          <w:kern w:val="0"/>
          <w:szCs w:val="21"/>
        </w:rPr>
        <w:alias w:val="模块:其他综合收益"/>
        <w:tag w:val="_GBC_a490950b62a146d9901e0aeb01787f97"/>
        <w:id w:val="-472604258"/>
        <w:lock w:val="sdtLocked"/>
        <w:placeholder>
          <w:docPart w:val="GBC22222222222222222222222222222"/>
        </w:placeholder>
      </w:sdtPr>
      <w:sdtEndPr/>
      <w:sdtContent>
        <w:p w14:paraId="0773B76C"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57999996"/>
            <w:lock w:val="sdtLocked"/>
            <w:placeholder>
              <w:docPart w:val="GBC22222222222222222222222222222"/>
            </w:placeholder>
          </w:sdtPr>
          <w:sdtEndPr/>
          <w:sdtContent>
            <w:p w14:paraId="7D505FE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7B3D0B" w14:textId="77777777" w:rsidR="00D21C1F" w:rsidRDefault="00045EC6">
          <w:pPr>
            <w:pStyle w:val="97"/>
          </w:pPr>
          <w:sdt>
            <w:sdtPr>
              <w:rPr>
                <w:rFonts w:hint="eastAsia"/>
                <w:szCs w:val="21"/>
              </w:rPr>
              <w:alias w:val="其他综合收益详见附注"/>
              <w:tag w:val="_GBC_6f59ae7e2b78472ea4fa736cbb8f062d"/>
              <w:id w:val="1373047489"/>
              <w:lock w:val="sdtLocked"/>
            </w:sdtPr>
            <w:sdtEndPr/>
            <w:sdtContent>
              <w:r w:rsidR="00A42880">
                <w:rPr>
                  <w:rFonts w:hint="eastAsia"/>
                  <w:szCs w:val="21"/>
                </w:rPr>
                <w:t>详见附注</w:t>
              </w:r>
            </w:sdtContent>
          </w:sdt>
        </w:p>
        <w:p w14:paraId="05E17DAE" w14:textId="77777777" w:rsidR="00D21C1F" w:rsidRDefault="00045EC6">
          <w:pPr>
            <w:pStyle w:val="97"/>
          </w:pPr>
        </w:p>
      </w:sdtContent>
    </w:sdt>
    <w:p w14:paraId="369F35E8" w14:textId="77777777" w:rsidR="00D21C1F" w:rsidRDefault="00D21C1F">
      <w:pPr>
        <w:pStyle w:val="97"/>
      </w:pPr>
    </w:p>
    <w:p w14:paraId="14E3D9E1"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现金流量表项目</w:t>
      </w:r>
    </w:p>
    <w:sdt>
      <w:sdtPr>
        <w:rPr>
          <w:rFonts w:ascii="宋体" w:eastAsia="宋体" w:hAnsi="宋体" w:cs="宋体" w:hint="eastAsia"/>
          <w:b w:val="0"/>
          <w:bCs w:val="0"/>
          <w:kern w:val="0"/>
          <w:sz w:val="24"/>
          <w:szCs w:val="21"/>
        </w:rPr>
        <w:alias w:val="模块:收到的其他与经营活动有关的现金"/>
        <w:tag w:val="_GBC_aebbed0d25f14d50b64339a751dec4bd"/>
        <w:id w:val="-1244325753"/>
        <w:lock w:val="sdtLocked"/>
        <w:placeholder>
          <w:docPart w:val="GBC22222222222222222222222222222"/>
        </w:placeholder>
      </w:sdtPr>
      <w:sdtEndPr>
        <w:rPr>
          <w:rFonts w:cstheme="minorBidi" w:hint="default"/>
          <w:kern w:val="2"/>
          <w:sz w:val="21"/>
        </w:rPr>
      </w:sdtEndPr>
      <w:sdtContent>
        <w:p w14:paraId="042A42FE" w14:textId="77777777" w:rsidR="00D21C1F" w:rsidRDefault="00A42880">
          <w:pPr>
            <w:pStyle w:val="93"/>
            <w:numPr>
              <w:ilvl w:val="0"/>
              <w:numId w:val="125"/>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1962567238"/>
            <w:lock w:val="sdtLocked"/>
            <w:placeholder>
              <w:docPart w:val="GBC22222222222222222222222222222"/>
            </w:placeholder>
          </w:sdtPr>
          <w:sdtEndPr/>
          <w:sdtContent>
            <w:p w14:paraId="6458AAD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9FE103" w14:textId="77777777" w:rsidR="00D21C1F" w:rsidRDefault="00A42880">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716888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收到的其他与经营活动有关的现金"/>
              <w:tag w:val="_GBC_fab1e143b1314991a3aebb857ed68a09"/>
              <w:id w:val="-14466128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56"/>
            <w:gridCol w:w="2746"/>
          </w:tblGrid>
          <w:tr w:rsidR="00D21C1F" w14:paraId="62B2C354" w14:textId="77777777">
            <w:sdt>
              <w:sdtPr>
                <w:tag w:val="_PLD_37a08d49f8e14506929ae8c9544c259e"/>
                <w:id w:val="-74435789"/>
                <w:lock w:val="sdtLocked"/>
              </w:sdtPr>
              <w:sdtEndPr/>
              <w:sdtContent>
                <w:tc>
                  <w:tcPr>
                    <w:tcW w:w="1882" w:type="pct"/>
                  </w:tcPr>
                  <w:p w14:paraId="68880C2D" w14:textId="77777777" w:rsidR="00D21C1F" w:rsidRDefault="00A42880">
                    <w:pPr>
                      <w:autoSpaceDE w:val="0"/>
                      <w:autoSpaceDN w:val="0"/>
                      <w:adjustRightInd w:val="0"/>
                      <w:snapToGrid w:val="0"/>
                      <w:spacing w:line="240" w:lineRule="atLeast"/>
                      <w:jc w:val="center"/>
                      <w:rPr>
                        <w:szCs w:val="21"/>
                      </w:rPr>
                    </w:pPr>
                    <w:r>
                      <w:rPr>
                        <w:rFonts w:hint="eastAsia"/>
                        <w:szCs w:val="21"/>
                      </w:rPr>
                      <w:t>项目</w:t>
                    </w:r>
                  </w:p>
                </w:tc>
              </w:sdtContent>
            </w:sdt>
            <w:sdt>
              <w:sdtPr>
                <w:tag w:val="_PLD_f6cb8d17057e4de79000a7b7c263b07e"/>
                <w:id w:val="-1967181787"/>
                <w:lock w:val="sdtLocked"/>
              </w:sdtPr>
              <w:sdtEndPr/>
              <w:sdtContent>
                <w:tc>
                  <w:tcPr>
                    <w:tcW w:w="1562" w:type="pct"/>
                  </w:tcPr>
                  <w:p w14:paraId="4647FD41" w14:textId="77777777" w:rsidR="00D21C1F" w:rsidRDefault="00A42880">
                    <w:pPr>
                      <w:autoSpaceDE w:val="0"/>
                      <w:autoSpaceDN w:val="0"/>
                      <w:adjustRightInd w:val="0"/>
                      <w:snapToGrid w:val="0"/>
                      <w:spacing w:line="240" w:lineRule="atLeast"/>
                      <w:jc w:val="center"/>
                      <w:rPr>
                        <w:szCs w:val="21"/>
                      </w:rPr>
                    </w:pPr>
                    <w:r>
                      <w:rPr>
                        <w:rFonts w:hint="eastAsia"/>
                      </w:rPr>
                      <w:t>本期发生额</w:t>
                    </w:r>
                  </w:p>
                </w:tc>
              </w:sdtContent>
            </w:sdt>
            <w:sdt>
              <w:sdtPr>
                <w:tag w:val="_PLD_28d6db3ec51c43eb8751b53e93c8f270"/>
                <w:id w:val="1378203783"/>
                <w:lock w:val="sdtLocked"/>
              </w:sdtPr>
              <w:sdtEndPr/>
              <w:sdtContent>
                <w:tc>
                  <w:tcPr>
                    <w:tcW w:w="1556" w:type="pct"/>
                  </w:tcPr>
                  <w:p w14:paraId="52CB7776" w14:textId="77777777" w:rsidR="00D21C1F" w:rsidRDefault="00A42880">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GBC_339bc885f058400ca0c6b375c3f5b0d5"/>
              <w:id w:val="-2073577935"/>
              <w:lock w:val="sdtLocked"/>
            </w:sdtPr>
            <w:sdtEndPr>
              <w:rPr>
                <w:rFonts w:ascii="Times New Roman" w:hAnsi="Times New Roman" w:cs="Times New Roman" w:hint="default"/>
              </w:rPr>
            </w:sdtEndPr>
            <w:sdtContent>
              <w:tr w:rsidR="00493487" w14:paraId="48FFB39F" w14:textId="77777777" w:rsidTr="00493487">
                <w:tc>
                  <w:tcPr>
                    <w:tcW w:w="1882" w:type="pct"/>
                  </w:tcPr>
                  <w:p w14:paraId="7EFC6912" w14:textId="77777777" w:rsidR="00493487" w:rsidRDefault="00493487" w:rsidP="00493487">
                    <w:pPr>
                      <w:autoSpaceDE w:val="0"/>
                      <w:autoSpaceDN w:val="0"/>
                      <w:adjustRightInd w:val="0"/>
                      <w:snapToGrid w:val="0"/>
                      <w:spacing w:line="240" w:lineRule="atLeast"/>
                      <w:rPr>
                        <w:szCs w:val="21"/>
                      </w:rPr>
                    </w:pPr>
                    <w:r>
                      <w:t>政府补助</w:t>
                    </w:r>
                  </w:p>
                </w:tc>
                <w:tc>
                  <w:tcPr>
                    <w:tcW w:w="1562" w:type="pct"/>
                    <w:shd w:val="clear" w:color="auto" w:fill="auto"/>
                    <w:vAlign w:val="bottom"/>
                  </w:tcPr>
                  <w:p w14:paraId="3457C589" w14:textId="5B17A9CA"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18,657,261.30</w:t>
                    </w:r>
                  </w:p>
                </w:tc>
                <w:tc>
                  <w:tcPr>
                    <w:tcW w:w="1556" w:type="pct"/>
                    <w:vAlign w:val="bottom"/>
                  </w:tcPr>
                  <w:p w14:paraId="2641E520"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29,836,634.72</w:t>
                    </w:r>
                  </w:p>
                </w:tc>
              </w:tr>
            </w:sdtContent>
          </w:sdt>
          <w:sdt>
            <w:sdtPr>
              <w:rPr>
                <w:rFonts w:hint="eastAsia"/>
                <w:szCs w:val="21"/>
              </w:rPr>
              <w:alias w:val="收到的其他与经营活动有关的现金明细"/>
              <w:tag w:val="_GBC_339bc885f058400ca0c6b375c3f5b0d5"/>
              <w:id w:val="-389807860"/>
              <w:lock w:val="sdtLocked"/>
            </w:sdtPr>
            <w:sdtEndPr>
              <w:rPr>
                <w:rFonts w:ascii="Times New Roman" w:hAnsi="Times New Roman" w:cs="Times New Roman" w:hint="default"/>
              </w:rPr>
            </w:sdtEndPr>
            <w:sdtContent>
              <w:tr w:rsidR="00493487" w14:paraId="50B51444" w14:textId="77777777" w:rsidTr="00493487">
                <w:tc>
                  <w:tcPr>
                    <w:tcW w:w="1882" w:type="pct"/>
                  </w:tcPr>
                  <w:p w14:paraId="149AC10B" w14:textId="77777777" w:rsidR="00493487" w:rsidRDefault="00493487" w:rsidP="00493487">
                    <w:pPr>
                      <w:autoSpaceDE w:val="0"/>
                      <w:autoSpaceDN w:val="0"/>
                      <w:adjustRightInd w:val="0"/>
                      <w:snapToGrid w:val="0"/>
                      <w:spacing w:line="240" w:lineRule="atLeast"/>
                      <w:rPr>
                        <w:szCs w:val="21"/>
                      </w:rPr>
                    </w:pPr>
                    <w:r>
                      <w:t>往来款及其他</w:t>
                    </w:r>
                  </w:p>
                </w:tc>
                <w:tc>
                  <w:tcPr>
                    <w:tcW w:w="1562" w:type="pct"/>
                    <w:shd w:val="clear" w:color="auto" w:fill="auto"/>
                    <w:vAlign w:val="bottom"/>
                  </w:tcPr>
                  <w:p w14:paraId="0FEC7427" w14:textId="7963DA51"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23,236,758.93</w:t>
                    </w:r>
                  </w:p>
                </w:tc>
                <w:tc>
                  <w:tcPr>
                    <w:tcW w:w="1556" w:type="pct"/>
                    <w:vAlign w:val="bottom"/>
                  </w:tcPr>
                  <w:p w14:paraId="7D30B5A2"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6,863,398.11</w:t>
                    </w:r>
                  </w:p>
                </w:tc>
              </w:tr>
            </w:sdtContent>
          </w:sdt>
          <w:sdt>
            <w:sdtPr>
              <w:rPr>
                <w:rFonts w:hint="eastAsia"/>
                <w:szCs w:val="21"/>
              </w:rPr>
              <w:alias w:val="收到的其他与经营活动有关的现金明细"/>
              <w:tag w:val="_GBC_339bc885f058400ca0c6b375c3f5b0d5"/>
              <w:id w:val="1849129862"/>
              <w:lock w:val="sdtLocked"/>
            </w:sdtPr>
            <w:sdtEndPr>
              <w:rPr>
                <w:rFonts w:ascii="Times New Roman" w:hAnsi="Times New Roman" w:cs="Times New Roman" w:hint="default"/>
              </w:rPr>
            </w:sdtEndPr>
            <w:sdtContent>
              <w:tr w:rsidR="00493487" w14:paraId="721F45AD" w14:textId="77777777" w:rsidTr="00493487">
                <w:tc>
                  <w:tcPr>
                    <w:tcW w:w="1882" w:type="pct"/>
                  </w:tcPr>
                  <w:p w14:paraId="4DD75DD4" w14:textId="77777777" w:rsidR="00493487" w:rsidRDefault="00493487" w:rsidP="00493487">
                    <w:pPr>
                      <w:autoSpaceDE w:val="0"/>
                      <w:autoSpaceDN w:val="0"/>
                      <w:adjustRightInd w:val="0"/>
                      <w:snapToGrid w:val="0"/>
                      <w:spacing w:line="240" w:lineRule="atLeast"/>
                      <w:rPr>
                        <w:szCs w:val="21"/>
                      </w:rPr>
                    </w:pPr>
                    <w:r>
                      <w:t>保证金押金</w:t>
                    </w:r>
                  </w:p>
                </w:tc>
                <w:tc>
                  <w:tcPr>
                    <w:tcW w:w="1562" w:type="pct"/>
                    <w:shd w:val="clear" w:color="auto" w:fill="auto"/>
                    <w:vAlign w:val="bottom"/>
                  </w:tcPr>
                  <w:p w14:paraId="5A3761C9" w14:textId="5C4F4D8B"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6,760,047.05</w:t>
                    </w:r>
                  </w:p>
                </w:tc>
                <w:tc>
                  <w:tcPr>
                    <w:tcW w:w="1556" w:type="pct"/>
                    <w:vAlign w:val="bottom"/>
                  </w:tcPr>
                  <w:p w14:paraId="19AF38B5"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25,266,753.90</w:t>
                    </w:r>
                  </w:p>
                </w:tc>
              </w:tr>
            </w:sdtContent>
          </w:sdt>
          <w:sdt>
            <w:sdtPr>
              <w:rPr>
                <w:rFonts w:hint="eastAsia"/>
                <w:szCs w:val="21"/>
              </w:rPr>
              <w:alias w:val="收到的其他与经营活动有关的现金明细"/>
              <w:tag w:val="_GBC_339bc885f058400ca0c6b375c3f5b0d5"/>
              <w:id w:val="768745603"/>
              <w:lock w:val="sdtLocked"/>
            </w:sdtPr>
            <w:sdtEndPr>
              <w:rPr>
                <w:rFonts w:ascii="Times New Roman" w:hAnsi="Times New Roman" w:cs="Times New Roman" w:hint="default"/>
              </w:rPr>
            </w:sdtEndPr>
            <w:sdtContent>
              <w:tr w:rsidR="00493487" w14:paraId="751ABA02" w14:textId="77777777" w:rsidTr="00493487">
                <w:tc>
                  <w:tcPr>
                    <w:tcW w:w="1882" w:type="pct"/>
                  </w:tcPr>
                  <w:p w14:paraId="34C0FA74" w14:textId="77777777" w:rsidR="00493487" w:rsidRDefault="00493487" w:rsidP="00493487">
                    <w:pPr>
                      <w:autoSpaceDE w:val="0"/>
                      <w:autoSpaceDN w:val="0"/>
                      <w:adjustRightInd w:val="0"/>
                      <w:snapToGrid w:val="0"/>
                      <w:spacing w:line="240" w:lineRule="atLeast"/>
                      <w:rPr>
                        <w:szCs w:val="21"/>
                      </w:rPr>
                    </w:pPr>
                    <w:r>
                      <w:t>利息收入</w:t>
                    </w:r>
                  </w:p>
                </w:tc>
                <w:tc>
                  <w:tcPr>
                    <w:tcW w:w="1562" w:type="pct"/>
                    <w:shd w:val="clear" w:color="auto" w:fill="auto"/>
                    <w:vAlign w:val="bottom"/>
                  </w:tcPr>
                  <w:p w14:paraId="6A5510AD" w14:textId="71D2E28E"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5,089,418.29</w:t>
                    </w:r>
                  </w:p>
                </w:tc>
                <w:tc>
                  <w:tcPr>
                    <w:tcW w:w="1556" w:type="pct"/>
                    <w:vAlign w:val="bottom"/>
                  </w:tcPr>
                  <w:p w14:paraId="5C6DA333"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1,305,850.71</w:t>
                    </w:r>
                  </w:p>
                </w:tc>
              </w:tr>
            </w:sdtContent>
          </w:sdt>
          <w:tr w:rsidR="00493487" w14:paraId="3FCF5B51" w14:textId="77777777" w:rsidTr="00493487">
            <w:sdt>
              <w:sdtPr>
                <w:tag w:val="_PLD_68684c586fce4c6e95f718cded68b47c"/>
                <w:id w:val="-1877620585"/>
                <w:lock w:val="sdtLocked"/>
              </w:sdtPr>
              <w:sdtEndPr/>
              <w:sdtContent>
                <w:tc>
                  <w:tcPr>
                    <w:tcW w:w="1882" w:type="pct"/>
                  </w:tcPr>
                  <w:p w14:paraId="1D5EE0CE" w14:textId="77777777" w:rsidR="00493487" w:rsidRDefault="00493487" w:rsidP="00493487">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shd w:val="clear" w:color="auto" w:fill="auto"/>
                <w:vAlign w:val="bottom"/>
              </w:tcPr>
              <w:p w14:paraId="5BE2FEE6"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53,743,485.57</w:t>
                </w:r>
              </w:p>
            </w:tc>
            <w:tc>
              <w:tcPr>
                <w:tcW w:w="1556" w:type="pct"/>
                <w:vAlign w:val="bottom"/>
              </w:tcPr>
              <w:p w14:paraId="2E59A302"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63,272,637.44</w:t>
                </w:r>
              </w:p>
            </w:tc>
          </w:tr>
        </w:tbl>
        <w:p w14:paraId="10EF193B" w14:textId="77777777" w:rsidR="00D21C1F" w:rsidRDefault="00A42880">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1159457658"/>
            <w:lock w:val="sdtLocked"/>
            <w:placeholder>
              <w:docPart w:val="GBC22222222222222222222222222222"/>
            </w:placeholder>
          </w:sdtPr>
          <w:sdtEndPr/>
          <w:sdtContent>
            <w:p w14:paraId="3FA7A800" w14:textId="77777777" w:rsidR="00D21C1F" w:rsidRDefault="00A42880">
              <w:pPr>
                <w:rPr>
                  <w:szCs w:val="21"/>
                </w:rPr>
              </w:pPr>
              <w:r>
                <w:rPr>
                  <w:rFonts w:hint="eastAsia"/>
                  <w:szCs w:val="21"/>
                </w:rPr>
                <w:t>无</w:t>
              </w:r>
            </w:p>
          </w:sdtContent>
        </w:sdt>
      </w:sdtContent>
    </w:sdt>
    <w:p w14:paraId="1DE4F15A" w14:textId="77777777" w:rsidR="00D21C1F" w:rsidRDefault="00D21C1F">
      <w:pPr>
        <w:rPr>
          <w:szCs w:val="21"/>
        </w:rPr>
      </w:pPr>
    </w:p>
    <w:sdt>
      <w:sdtPr>
        <w:rPr>
          <w:rFonts w:ascii="宋体" w:eastAsia="宋体" w:hAnsi="宋体" w:cs="宋体" w:hint="eastAsia"/>
          <w:b w:val="0"/>
          <w:bCs w:val="0"/>
          <w:kern w:val="0"/>
          <w:sz w:val="24"/>
          <w:szCs w:val="21"/>
        </w:rPr>
        <w:alias w:val="模块:支付的其他与经营活动有关的现金"/>
        <w:tag w:val="_GBC_3c8453861c4b4e94956633ec6c228388"/>
        <w:id w:val="1295640906"/>
        <w:lock w:val="sdtLocked"/>
        <w:placeholder>
          <w:docPart w:val="GBC22222222222222222222222222222"/>
        </w:placeholder>
      </w:sdtPr>
      <w:sdtEndPr>
        <w:rPr>
          <w:rFonts w:cstheme="minorBidi"/>
          <w:kern w:val="2"/>
          <w:sz w:val="21"/>
        </w:rPr>
      </w:sdtEndPr>
      <w:sdtContent>
        <w:p w14:paraId="730BCC01" w14:textId="77777777" w:rsidR="00D21C1F" w:rsidRDefault="00A42880">
          <w:pPr>
            <w:pStyle w:val="93"/>
            <w:numPr>
              <w:ilvl w:val="0"/>
              <w:numId w:val="125"/>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1185102012"/>
            <w:lock w:val="sdtLocked"/>
            <w:placeholder>
              <w:docPart w:val="GBC22222222222222222222222222222"/>
            </w:placeholder>
          </w:sdtPr>
          <w:sdtEndPr/>
          <w:sdtContent>
            <w:p w14:paraId="269E390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FF76C6" w14:textId="77777777" w:rsidR="00D21C1F" w:rsidRDefault="00A42880">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86102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支付的其他与经营活动有关的现金"/>
              <w:tag w:val="_GBC_37de812db19b41c8a01d10d8b0365268"/>
              <w:id w:val="-16151368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37"/>
            <w:gridCol w:w="2765"/>
          </w:tblGrid>
          <w:tr w:rsidR="00D21C1F" w14:paraId="7B94E01F" w14:textId="77777777">
            <w:sdt>
              <w:sdtPr>
                <w:tag w:val="_PLD_164da6d2b96e42688b06fe557d996ac2"/>
                <w:id w:val="-1641187216"/>
                <w:lock w:val="sdtLocked"/>
              </w:sdtPr>
              <w:sdtEndPr/>
              <w:sdtContent>
                <w:tc>
                  <w:tcPr>
                    <w:tcW w:w="1882" w:type="pct"/>
                  </w:tcPr>
                  <w:p w14:paraId="497C559B" w14:textId="77777777" w:rsidR="00D21C1F" w:rsidRDefault="00A42880">
                    <w:pPr>
                      <w:autoSpaceDE w:val="0"/>
                      <w:autoSpaceDN w:val="0"/>
                      <w:adjustRightInd w:val="0"/>
                      <w:snapToGrid w:val="0"/>
                      <w:jc w:val="center"/>
                      <w:rPr>
                        <w:szCs w:val="21"/>
                      </w:rPr>
                    </w:pPr>
                    <w:r>
                      <w:rPr>
                        <w:rFonts w:hint="eastAsia"/>
                        <w:szCs w:val="21"/>
                      </w:rPr>
                      <w:t>项目</w:t>
                    </w:r>
                  </w:p>
                </w:tc>
              </w:sdtContent>
            </w:sdt>
            <w:sdt>
              <w:sdtPr>
                <w:tag w:val="_PLD_69d21b5f023448adbd8c69a7e96e585d"/>
                <w:id w:val="-1069577908"/>
                <w:lock w:val="sdtLocked"/>
              </w:sdtPr>
              <w:sdtEndPr/>
              <w:sdtContent>
                <w:tc>
                  <w:tcPr>
                    <w:tcW w:w="1551" w:type="pct"/>
                  </w:tcPr>
                  <w:p w14:paraId="41ED06AE" w14:textId="77777777" w:rsidR="00D21C1F" w:rsidRDefault="00A42880">
                    <w:pPr>
                      <w:autoSpaceDE w:val="0"/>
                      <w:autoSpaceDN w:val="0"/>
                      <w:adjustRightInd w:val="0"/>
                      <w:snapToGrid w:val="0"/>
                      <w:jc w:val="center"/>
                      <w:rPr>
                        <w:szCs w:val="21"/>
                      </w:rPr>
                    </w:pPr>
                    <w:r>
                      <w:rPr>
                        <w:rFonts w:hint="eastAsia"/>
                      </w:rPr>
                      <w:t>本期发生额</w:t>
                    </w:r>
                  </w:p>
                </w:tc>
              </w:sdtContent>
            </w:sdt>
            <w:sdt>
              <w:sdtPr>
                <w:tag w:val="_PLD_fccf4811cdbb443297a0ce875715525f"/>
                <w:id w:val="-2098554063"/>
                <w:lock w:val="sdtLocked"/>
              </w:sdtPr>
              <w:sdtEndPr/>
              <w:sdtContent>
                <w:tc>
                  <w:tcPr>
                    <w:tcW w:w="1567" w:type="pct"/>
                  </w:tcPr>
                  <w:p w14:paraId="3D262637" w14:textId="77777777" w:rsidR="00D21C1F" w:rsidRDefault="00A4288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GBC_9880266c0e6f4e6b92c7692ef64ec140"/>
              <w:id w:val="233434840"/>
              <w:lock w:val="sdtLocked"/>
            </w:sdtPr>
            <w:sdtEndPr>
              <w:rPr>
                <w:rFonts w:ascii="Times New Roman" w:hAnsi="Times New Roman" w:cs="Times New Roman" w:hint="default"/>
              </w:rPr>
            </w:sdtEndPr>
            <w:sdtContent>
              <w:tr w:rsidR="00493487" w14:paraId="256850E2" w14:textId="77777777">
                <w:tc>
                  <w:tcPr>
                    <w:tcW w:w="1882" w:type="pct"/>
                  </w:tcPr>
                  <w:p w14:paraId="196704CB" w14:textId="77777777" w:rsidR="00493487" w:rsidRDefault="00493487" w:rsidP="00493487">
                    <w:pPr>
                      <w:autoSpaceDE w:val="0"/>
                      <w:autoSpaceDN w:val="0"/>
                      <w:adjustRightInd w:val="0"/>
                      <w:snapToGrid w:val="0"/>
                      <w:rPr>
                        <w:szCs w:val="21"/>
                      </w:rPr>
                    </w:pPr>
                    <w:r>
                      <w:t>期间费用</w:t>
                    </w:r>
                  </w:p>
                </w:tc>
                <w:tc>
                  <w:tcPr>
                    <w:tcW w:w="1551" w:type="pct"/>
                    <w:vAlign w:val="center"/>
                  </w:tcPr>
                  <w:p w14:paraId="202F9938" w14:textId="25D50346"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50,410,950.44</w:t>
                    </w:r>
                  </w:p>
                </w:tc>
                <w:tc>
                  <w:tcPr>
                    <w:tcW w:w="1567" w:type="pct"/>
                  </w:tcPr>
                  <w:p w14:paraId="5D15B908"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44,624,431.80</w:t>
                    </w:r>
                  </w:p>
                </w:tc>
              </w:tr>
            </w:sdtContent>
          </w:sdt>
          <w:sdt>
            <w:sdtPr>
              <w:rPr>
                <w:rFonts w:hint="eastAsia"/>
                <w:szCs w:val="21"/>
              </w:rPr>
              <w:alias w:val="支付的其他与经营活动有关的现金明细"/>
              <w:tag w:val="_GBC_9880266c0e6f4e6b92c7692ef64ec140"/>
              <w:id w:val="942724480"/>
              <w:lock w:val="sdtLocked"/>
            </w:sdtPr>
            <w:sdtEndPr>
              <w:rPr>
                <w:rFonts w:ascii="Times New Roman" w:hAnsi="Times New Roman" w:cs="Times New Roman" w:hint="default"/>
              </w:rPr>
            </w:sdtEndPr>
            <w:sdtContent>
              <w:tr w:rsidR="00493487" w14:paraId="572FC551" w14:textId="77777777">
                <w:tc>
                  <w:tcPr>
                    <w:tcW w:w="1882" w:type="pct"/>
                  </w:tcPr>
                  <w:p w14:paraId="2DF3B3F0" w14:textId="77777777" w:rsidR="00493487" w:rsidRDefault="00493487" w:rsidP="00493487">
                    <w:pPr>
                      <w:autoSpaceDE w:val="0"/>
                      <w:autoSpaceDN w:val="0"/>
                      <w:adjustRightInd w:val="0"/>
                      <w:snapToGrid w:val="0"/>
                      <w:rPr>
                        <w:szCs w:val="21"/>
                      </w:rPr>
                    </w:pPr>
                    <w:r>
                      <w:t>往来款</w:t>
                    </w:r>
                  </w:p>
                </w:tc>
                <w:tc>
                  <w:tcPr>
                    <w:tcW w:w="1551" w:type="pct"/>
                    <w:vAlign w:val="center"/>
                  </w:tcPr>
                  <w:p w14:paraId="794ABCC0" w14:textId="18661EA1"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9,069,520.18</w:t>
                    </w:r>
                  </w:p>
                </w:tc>
                <w:tc>
                  <w:tcPr>
                    <w:tcW w:w="1567" w:type="pct"/>
                  </w:tcPr>
                  <w:p w14:paraId="4338054A"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31,348,118.45</w:t>
                    </w:r>
                  </w:p>
                </w:tc>
              </w:tr>
            </w:sdtContent>
          </w:sdt>
          <w:sdt>
            <w:sdtPr>
              <w:rPr>
                <w:rFonts w:hint="eastAsia"/>
                <w:szCs w:val="21"/>
              </w:rPr>
              <w:alias w:val="支付的其他与经营活动有关的现金明细"/>
              <w:tag w:val="_GBC_9880266c0e6f4e6b92c7692ef64ec140"/>
              <w:id w:val="187877458"/>
              <w:lock w:val="sdtLocked"/>
            </w:sdtPr>
            <w:sdtEndPr>
              <w:rPr>
                <w:rFonts w:ascii="Times New Roman" w:hAnsi="Times New Roman" w:cs="Times New Roman" w:hint="default"/>
              </w:rPr>
            </w:sdtEndPr>
            <w:sdtContent>
              <w:tr w:rsidR="00493487" w14:paraId="2F0B4772" w14:textId="77777777">
                <w:tc>
                  <w:tcPr>
                    <w:tcW w:w="1882" w:type="pct"/>
                  </w:tcPr>
                  <w:p w14:paraId="5EB1A1AB" w14:textId="77777777" w:rsidR="00493487" w:rsidRDefault="00493487" w:rsidP="00493487">
                    <w:pPr>
                      <w:autoSpaceDE w:val="0"/>
                      <w:autoSpaceDN w:val="0"/>
                      <w:adjustRightInd w:val="0"/>
                      <w:snapToGrid w:val="0"/>
                      <w:rPr>
                        <w:szCs w:val="21"/>
                      </w:rPr>
                    </w:pPr>
                    <w:r>
                      <w:t>保证金</w:t>
                    </w:r>
                  </w:p>
                </w:tc>
                <w:tc>
                  <w:tcPr>
                    <w:tcW w:w="1551" w:type="pct"/>
                    <w:vAlign w:val="center"/>
                  </w:tcPr>
                  <w:p w14:paraId="5F9416E1" w14:textId="5D8886C8"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7,682,302.20</w:t>
                    </w:r>
                  </w:p>
                </w:tc>
                <w:tc>
                  <w:tcPr>
                    <w:tcW w:w="1567" w:type="pct"/>
                  </w:tcPr>
                  <w:p w14:paraId="4F3E95F2"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2,342,234.53</w:t>
                    </w:r>
                  </w:p>
                </w:tc>
              </w:tr>
            </w:sdtContent>
          </w:sdt>
          <w:sdt>
            <w:sdtPr>
              <w:rPr>
                <w:rFonts w:hint="eastAsia"/>
                <w:szCs w:val="21"/>
              </w:rPr>
              <w:alias w:val="支付的其他与经营活动有关的现金明细"/>
              <w:tag w:val="_GBC_9880266c0e6f4e6b92c7692ef64ec140"/>
              <w:id w:val="1438868718"/>
              <w:lock w:val="sdtLocked"/>
            </w:sdtPr>
            <w:sdtEndPr>
              <w:rPr>
                <w:rFonts w:ascii="Times New Roman" w:hAnsi="Times New Roman" w:cs="Times New Roman" w:hint="default"/>
              </w:rPr>
            </w:sdtEndPr>
            <w:sdtContent>
              <w:tr w:rsidR="00493487" w14:paraId="6043C811" w14:textId="77777777">
                <w:tc>
                  <w:tcPr>
                    <w:tcW w:w="1882" w:type="pct"/>
                  </w:tcPr>
                  <w:p w14:paraId="5EC0B4C8" w14:textId="77777777" w:rsidR="00493487" w:rsidRDefault="00493487" w:rsidP="00493487">
                    <w:pPr>
                      <w:autoSpaceDE w:val="0"/>
                      <w:autoSpaceDN w:val="0"/>
                      <w:adjustRightInd w:val="0"/>
                      <w:snapToGrid w:val="0"/>
                      <w:rPr>
                        <w:szCs w:val="21"/>
                      </w:rPr>
                    </w:pPr>
                    <w:r>
                      <w:t>其他</w:t>
                    </w:r>
                  </w:p>
                </w:tc>
                <w:tc>
                  <w:tcPr>
                    <w:tcW w:w="1551" w:type="pct"/>
                    <w:vAlign w:val="center"/>
                  </w:tcPr>
                  <w:p w14:paraId="21E44ABA" w14:textId="09DC9B1B"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10,044,641.41</w:t>
                    </w:r>
                  </w:p>
                </w:tc>
                <w:tc>
                  <w:tcPr>
                    <w:tcW w:w="1567" w:type="pct"/>
                  </w:tcPr>
                  <w:p w14:paraId="4E1394E4"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7,202,791.65</w:t>
                    </w:r>
                  </w:p>
                </w:tc>
              </w:tr>
            </w:sdtContent>
          </w:sdt>
          <w:tr w:rsidR="00493487" w14:paraId="3B41345A" w14:textId="77777777">
            <w:sdt>
              <w:sdtPr>
                <w:tag w:val="_PLD_4b68c0729f8e49a4ac82fb1d64daa6dc"/>
                <w:id w:val="1311990393"/>
                <w:lock w:val="sdtLocked"/>
              </w:sdtPr>
              <w:sdtEndPr/>
              <w:sdtContent>
                <w:tc>
                  <w:tcPr>
                    <w:tcW w:w="1882" w:type="pct"/>
                  </w:tcPr>
                  <w:p w14:paraId="235F1AD4" w14:textId="77777777" w:rsidR="00493487" w:rsidRDefault="00493487" w:rsidP="00493487">
                    <w:pPr>
                      <w:autoSpaceDE w:val="0"/>
                      <w:autoSpaceDN w:val="0"/>
                      <w:adjustRightInd w:val="0"/>
                      <w:snapToGrid w:val="0"/>
                      <w:jc w:val="center"/>
                      <w:rPr>
                        <w:szCs w:val="21"/>
                      </w:rPr>
                    </w:pPr>
                    <w:r>
                      <w:rPr>
                        <w:rFonts w:hint="eastAsia"/>
                        <w:szCs w:val="21"/>
                      </w:rPr>
                      <w:t>合计</w:t>
                    </w:r>
                  </w:p>
                </w:tc>
              </w:sdtContent>
            </w:sdt>
            <w:tc>
              <w:tcPr>
                <w:tcW w:w="1551" w:type="pct"/>
                <w:vAlign w:val="center"/>
              </w:tcPr>
              <w:p w14:paraId="12950B03"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77,207,414.23</w:t>
                </w:r>
              </w:p>
            </w:tc>
            <w:tc>
              <w:tcPr>
                <w:tcW w:w="1567" w:type="pct"/>
              </w:tcPr>
              <w:p w14:paraId="7AD43D51" w14:textId="77777777" w:rsidR="00493487" w:rsidRPr="00493487" w:rsidRDefault="00493487" w:rsidP="00493487">
                <w:pPr>
                  <w:jc w:val="right"/>
                  <w:rPr>
                    <w:rFonts w:ascii="Times New Roman" w:hAnsi="Times New Roman" w:cs="Times New Roman"/>
                    <w:szCs w:val="21"/>
                  </w:rPr>
                </w:pPr>
                <w:r w:rsidRPr="00493487">
                  <w:rPr>
                    <w:rFonts w:ascii="Times New Roman" w:hAnsi="Times New Roman" w:cs="Times New Roman"/>
                  </w:rPr>
                  <w:t>85,517,576.43</w:t>
                </w:r>
              </w:p>
            </w:tc>
          </w:tr>
        </w:tbl>
        <w:p w14:paraId="4F823823" w14:textId="77777777" w:rsidR="00D21C1F" w:rsidRDefault="00A42880">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104621674"/>
            <w:lock w:val="sdtLocked"/>
            <w:placeholder>
              <w:docPart w:val="GBC22222222222222222222222222222"/>
            </w:placeholder>
          </w:sdtPr>
          <w:sdtEndPr/>
          <w:sdtContent>
            <w:p w14:paraId="51B06F94" w14:textId="77777777" w:rsidR="00D21C1F" w:rsidRDefault="00A42880">
              <w:pPr>
                <w:ind w:right="5"/>
                <w:rPr>
                  <w:szCs w:val="21"/>
                </w:rPr>
              </w:pPr>
              <w:r>
                <w:rPr>
                  <w:rFonts w:hint="eastAsia"/>
                  <w:szCs w:val="21"/>
                </w:rPr>
                <w:t>无</w:t>
              </w:r>
            </w:p>
          </w:sdtContent>
        </w:sdt>
      </w:sdtContent>
    </w:sdt>
    <w:p w14:paraId="78B56AF0" w14:textId="77777777" w:rsidR="00D21C1F" w:rsidRDefault="00D21C1F">
      <w:pPr>
        <w:spacing w:line="360" w:lineRule="exact"/>
        <w:ind w:right="5"/>
        <w:rPr>
          <w:szCs w:val="21"/>
        </w:rPr>
      </w:pPr>
    </w:p>
    <w:sdt>
      <w:sdtPr>
        <w:rPr>
          <w:rFonts w:ascii="宋体" w:hAnsi="宋体" w:cs="宋体" w:hint="eastAsia"/>
          <w:b w:val="0"/>
          <w:bCs w:val="0"/>
          <w:kern w:val="0"/>
          <w:sz w:val="24"/>
          <w:szCs w:val="21"/>
        </w:rPr>
        <w:alias w:val="模块:收到的其他与投资活动有关的现金"/>
        <w:tag w:val="_GBC_7d29c8348da547cab82786074f1b3249"/>
        <w:id w:val="425772090"/>
        <w:lock w:val="sdtLocked"/>
        <w:placeholder>
          <w:docPart w:val="GBC22222222222222222222222222222"/>
        </w:placeholder>
      </w:sdtPr>
      <w:sdtEndPr>
        <w:rPr>
          <w:rFonts w:cstheme="minorBidi" w:hint="default"/>
          <w:kern w:val="2"/>
          <w:sz w:val="21"/>
        </w:rPr>
      </w:sdtEndPr>
      <w:sdtContent>
        <w:p w14:paraId="62D461C9" w14:textId="77777777" w:rsidR="00D21C1F" w:rsidRDefault="00A42880">
          <w:pPr>
            <w:pStyle w:val="93"/>
            <w:numPr>
              <w:ilvl w:val="0"/>
              <w:numId w:val="125"/>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444195886"/>
            <w:lock w:val="sdtLocked"/>
            <w:placeholder>
              <w:docPart w:val="GBC22222222222222222222222222222"/>
            </w:placeholder>
          </w:sdtPr>
          <w:sdtEndPr/>
          <w:sdtContent>
            <w:p w14:paraId="08B84BB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13E64D5" w14:textId="77777777" w:rsidR="00D21C1F" w:rsidRDefault="00D21C1F">
      <w:pPr>
        <w:rPr>
          <w:szCs w:val="21"/>
        </w:rPr>
      </w:pPr>
    </w:p>
    <w:sdt>
      <w:sdtPr>
        <w:rPr>
          <w:rFonts w:ascii="宋体" w:hAnsi="宋体" w:cs="宋体" w:hint="eastAsia"/>
          <w:b w:val="0"/>
          <w:bCs w:val="0"/>
          <w:kern w:val="0"/>
          <w:sz w:val="24"/>
          <w:szCs w:val="21"/>
        </w:rPr>
        <w:alias w:val="模块:支付的其他与投资活动有关的现金"/>
        <w:tag w:val="_GBC_fa501b3ede254af6bdfad826e328392a"/>
        <w:id w:val="1073085806"/>
        <w:lock w:val="sdtLocked"/>
        <w:placeholder>
          <w:docPart w:val="GBC22222222222222222222222222222"/>
        </w:placeholder>
      </w:sdtPr>
      <w:sdtEndPr>
        <w:rPr>
          <w:rFonts w:cstheme="minorBidi"/>
          <w:kern w:val="2"/>
          <w:sz w:val="21"/>
        </w:rPr>
      </w:sdtEndPr>
      <w:sdtContent>
        <w:p w14:paraId="71AF0AAE" w14:textId="77777777" w:rsidR="00D21C1F" w:rsidRDefault="00A42880">
          <w:pPr>
            <w:pStyle w:val="93"/>
            <w:numPr>
              <w:ilvl w:val="0"/>
              <w:numId w:val="125"/>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1119265634"/>
            <w:lock w:val="sdtLocked"/>
            <w:placeholder>
              <w:docPart w:val="GBC22222222222222222222222222222"/>
            </w:placeholder>
          </w:sdtPr>
          <w:sdtEndPr/>
          <w:sdtContent>
            <w:p w14:paraId="6339A41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559730E" w14:textId="77777777" w:rsidR="00D21C1F" w:rsidRDefault="00D21C1F">
      <w:pPr>
        <w:rPr>
          <w:szCs w:val="21"/>
        </w:rPr>
      </w:pPr>
    </w:p>
    <w:sdt>
      <w:sdtPr>
        <w:rPr>
          <w:rFonts w:ascii="宋体" w:hAnsi="宋体" w:cs="宋体" w:hint="eastAsia"/>
          <w:b w:val="0"/>
          <w:bCs w:val="0"/>
          <w:kern w:val="0"/>
          <w:sz w:val="24"/>
          <w:szCs w:val="21"/>
        </w:rPr>
        <w:alias w:val="模块:收到的其他与筹资活动有关的现金"/>
        <w:tag w:val="_GBC_6e57c618c25c498db37f205341e0c66a"/>
        <w:id w:val="664133947"/>
        <w:lock w:val="sdtLocked"/>
        <w:placeholder>
          <w:docPart w:val="GBC22222222222222222222222222222"/>
        </w:placeholder>
      </w:sdtPr>
      <w:sdtEndPr>
        <w:rPr>
          <w:rFonts w:cstheme="minorBidi"/>
          <w:kern w:val="2"/>
          <w:sz w:val="21"/>
          <w:szCs w:val="22"/>
        </w:rPr>
      </w:sdtEndPr>
      <w:sdtContent>
        <w:p w14:paraId="439FB25B" w14:textId="77777777" w:rsidR="00D21C1F" w:rsidRDefault="00A42880">
          <w:pPr>
            <w:pStyle w:val="93"/>
            <w:numPr>
              <w:ilvl w:val="0"/>
              <w:numId w:val="125"/>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516614146"/>
            <w:lock w:val="sdtLocked"/>
            <w:placeholder>
              <w:docPart w:val="GBC22222222222222222222222222222"/>
            </w:placeholder>
          </w:sdtPr>
          <w:sdtEndPr/>
          <w:sdtContent>
            <w:p w14:paraId="608A37D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18CBA00" w14:textId="77777777" w:rsidR="00D21C1F" w:rsidRDefault="00A42880">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12942101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收到的其他与筹资活动有关的现金"/>
              <w:tag w:val="_GBC_0d3b28d58a83411db264b55c970f7fc6"/>
              <w:id w:val="-1789117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D21C1F" w14:paraId="7273B087" w14:textId="77777777">
            <w:sdt>
              <w:sdtPr>
                <w:tag w:val="_PLD_45e71f75634d40e399bff943b12676a7"/>
                <w:id w:val="584736163"/>
                <w:lock w:val="sdtLocked"/>
              </w:sdtPr>
              <w:sdtEndPr/>
              <w:sdtContent>
                <w:tc>
                  <w:tcPr>
                    <w:tcW w:w="1882" w:type="pct"/>
                  </w:tcPr>
                  <w:p w14:paraId="7EC860BF" w14:textId="77777777" w:rsidR="00D21C1F" w:rsidRDefault="00A42880">
                    <w:pPr>
                      <w:autoSpaceDE w:val="0"/>
                      <w:autoSpaceDN w:val="0"/>
                      <w:adjustRightInd w:val="0"/>
                      <w:snapToGrid w:val="0"/>
                      <w:jc w:val="center"/>
                      <w:rPr>
                        <w:szCs w:val="21"/>
                      </w:rPr>
                    </w:pPr>
                    <w:r>
                      <w:rPr>
                        <w:rFonts w:hint="eastAsia"/>
                        <w:szCs w:val="21"/>
                      </w:rPr>
                      <w:t>项目</w:t>
                    </w:r>
                  </w:p>
                </w:tc>
              </w:sdtContent>
            </w:sdt>
            <w:sdt>
              <w:sdtPr>
                <w:tag w:val="_PLD_f7b1d7d1151a486eb8533f96d22cda73"/>
                <w:id w:val="-2140251110"/>
                <w:lock w:val="sdtLocked"/>
              </w:sdtPr>
              <w:sdtEndPr/>
              <w:sdtContent>
                <w:tc>
                  <w:tcPr>
                    <w:tcW w:w="1610" w:type="pct"/>
                  </w:tcPr>
                  <w:p w14:paraId="68347BEA" w14:textId="77777777" w:rsidR="00D21C1F" w:rsidRDefault="00A42880">
                    <w:pPr>
                      <w:autoSpaceDE w:val="0"/>
                      <w:autoSpaceDN w:val="0"/>
                      <w:adjustRightInd w:val="0"/>
                      <w:snapToGrid w:val="0"/>
                      <w:jc w:val="center"/>
                      <w:rPr>
                        <w:szCs w:val="21"/>
                      </w:rPr>
                    </w:pPr>
                    <w:r>
                      <w:rPr>
                        <w:rFonts w:hint="eastAsia"/>
                      </w:rPr>
                      <w:t>本期发生额</w:t>
                    </w:r>
                  </w:p>
                </w:tc>
              </w:sdtContent>
            </w:sdt>
            <w:sdt>
              <w:sdtPr>
                <w:tag w:val="_PLD_fcd73629839441d485ad661b0568d6af"/>
                <w:id w:val="-1741249292"/>
                <w:lock w:val="sdtLocked"/>
              </w:sdtPr>
              <w:sdtEndPr/>
              <w:sdtContent>
                <w:tc>
                  <w:tcPr>
                    <w:tcW w:w="1508" w:type="pct"/>
                  </w:tcPr>
                  <w:p w14:paraId="4082BC04" w14:textId="77777777" w:rsidR="00D21C1F" w:rsidRDefault="00A4288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GBC_c32e781f55dd414ab2ff5887b711a905"/>
              <w:id w:val="-1823729511"/>
              <w:placeholder>
                <w:docPart w:val="GBC11111111111111111111111111111"/>
              </w:placeholder>
            </w:sdtPr>
            <w:sdtEndPr>
              <w:rPr>
                <w:rFonts w:ascii="Times New Roman" w:hAnsi="Times New Roman" w:cs="Times New Roman" w:hint="default"/>
              </w:rPr>
            </w:sdtEndPr>
            <w:sdtContent>
              <w:tr w:rsidR="00D21C1F" w14:paraId="0E2B5621" w14:textId="77777777">
                <w:tc>
                  <w:tcPr>
                    <w:tcW w:w="1882" w:type="pct"/>
                  </w:tcPr>
                  <w:p w14:paraId="5B482B65" w14:textId="77777777" w:rsidR="00D21C1F" w:rsidRDefault="00A42880">
                    <w:pPr>
                      <w:autoSpaceDE w:val="0"/>
                      <w:autoSpaceDN w:val="0"/>
                      <w:adjustRightInd w:val="0"/>
                      <w:snapToGrid w:val="0"/>
                      <w:rPr>
                        <w:szCs w:val="21"/>
                      </w:rPr>
                    </w:pPr>
                    <w:r>
                      <w:rPr>
                        <w:rFonts w:hint="eastAsia"/>
                        <w:szCs w:val="21"/>
                      </w:rPr>
                      <w:t>银行票据保证金的收回</w:t>
                    </w:r>
                  </w:p>
                </w:tc>
                <w:tc>
                  <w:tcPr>
                    <w:tcW w:w="1610" w:type="pct"/>
                    <w:vAlign w:val="bottom"/>
                  </w:tcPr>
                  <w:p w14:paraId="7AB5A15F" w14:textId="77777777" w:rsidR="00D21C1F" w:rsidRPr="003E0D0D" w:rsidRDefault="00A42880">
                    <w:pPr>
                      <w:jc w:val="right"/>
                      <w:rPr>
                        <w:rFonts w:ascii="Times New Roman" w:hAnsi="Times New Roman" w:cs="Times New Roman"/>
                        <w:szCs w:val="21"/>
                      </w:rPr>
                    </w:pPr>
                    <w:r w:rsidRPr="003E0D0D">
                      <w:rPr>
                        <w:rFonts w:ascii="Times New Roman" w:hAnsi="Times New Roman" w:cs="Times New Roman"/>
                        <w:szCs w:val="21"/>
                      </w:rPr>
                      <w:t>1,098,420.74</w:t>
                    </w:r>
                  </w:p>
                </w:tc>
                <w:tc>
                  <w:tcPr>
                    <w:tcW w:w="1508" w:type="pct"/>
                  </w:tcPr>
                  <w:p w14:paraId="24FCB7FE" w14:textId="77777777" w:rsidR="00D21C1F" w:rsidRPr="003E0D0D" w:rsidRDefault="00A42880">
                    <w:pPr>
                      <w:jc w:val="right"/>
                      <w:rPr>
                        <w:rFonts w:ascii="Times New Roman" w:hAnsi="Times New Roman" w:cs="Times New Roman"/>
                        <w:szCs w:val="21"/>
                      </w:rPr>
                    </w:pPr>
                    <w:r w:rsidRPr="003E0D0D">
                      <w:rPr>
                        <w:rFonts w:ascii="Times New Roman" w:hAnsi="Times New Roman" w:cs="Times New Roman"/>
                        <w:szCs w:val="21"/>
                      </w:rPr>
                      <w:t>-</w:t>
                    </w:r>
                  </w:p>
                </w:tc>
              </w:tr>
            </w:sdtContent>
          </w:sdt>
          <w:tr w:rsidR="00D21C1F" w14:paraId="63E84493" w14:textId="77777777">
            <w:sdt>
              <w:sdtPr>
                <w:tag w:val="_PLD_1959febe6b254266b4985c8aadec7ed6"/>
                <w:id w:val="-325595998"/>
                <w:lock w:val="sdtLocked"/>
              </w:sdtPr>
              <w:sdtEndPr/>
              <w:sdtContent>
                <w:tc>
                  <w:tcPr>
                    <w:tcW w:w="1882" w:type="pct"/>
                  </w:tcPr>
                  <w:p w14:paraId="2F93F513" w14:textId="77777777" w:rsidR="00D21C1F" w:rsidRDefault="00A42880">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5A2D9F82" w14:textId="77777777" w:rsidR="00D21C1F" w:rsidRPr="003E0D0D" w:rsidRDefault="00A42880">
                <w:pPr>
                  <w:jc w:val="right"/>
                  <w:rPr>
                    <w:rFonts w:ascii="Times New Roman" w:hAnsi="Times New Roman" w:cs="Times New Roman"/>
                    <w:szCs w:val="21"/>
                  </w:rPr>
                </w:pPr>
                <w:r w:rsidRPr="003E0D0D">
                  <w:rPr>
                    <w:rFonts w:ascii="Times New Roman" w:hAnsi="Times New Roman" w:cs="Times New Roman"/>
                    <w:szCs w:val="21"/>
                  </w:rPr>
                  <w:t>1,098,420.74</w:t>
                </w:r>
              </w:p>
            </w:tc>
            <w:tc>
              <w:tcPr>
                <w:tcW w:w="1508" w:type="pct"/>
              </w:tcPr>
              <w:p w14:paraId="234D349E" w14:textId="77777777" w:rsidR="00D21C1F" w:rsidRPr="003E0D0D" w:rsidRDefault="00A42880">
                <w:pPr>
                  <w:jc w:val="right"/>
                  <w:rPr>
                    <w:rFonts w:ascii="Times New Roman" w:hAnsi="Times New Roman" w:cs="Times New Roman"/>
                    <w:szCs w:val="21"/>
                  </w:rPr>
                </w:pPr>
                <w:r w:rsidRPr="003E0D0D">
                  <w:rPr>
                    <w:rFonts w:ascii="Times New Roman" w:hAnsi="Times New Roman" w:cs="Times New Roman"/>
                    <w:szCs w:val="21"/>
                  </w:rPr>
                  <w:t>-</w:t>
                </w:r>
              </w:p>
            </w:tc>
          </w:tr>
        </w:tbl>
        <w:p w14:paraId="609B9790" w14:textId="77777777" w:rsidR="00D21C1F" w:rsidRDefault="00A42880">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cf160106b6d34224a1fbd183426812af"/>
            <w:id w:val="-909609653"/>
            <w:lock w:val="sdtLocked"/>
            <w:placeholder>
              <w:docPart w:val="GBC22222222222222222222222222222"/>
            </w:placeholder>
          </w:sdtPr>
          <w:sdtEndPr>
            <w:rPr>
              <w:szCs w:val="22"/>
            </w:rPr>
          </w:sdtEndPr>
          <w:sdtContent>
            <w:p w14:paraId="4C125930" w14:textId="77777777" w:rsidR="00D21C1F" w:rsidRDefault="00A42880">
              <w:pPr>
                <w:pStyle w:val="97"/>
              </w:pPr>
              <w:r>
                <w:rPr>
                  <w:rFonts w:hint="eastAsia"/>
                  <w:szCs w:val="21"/>
                </w:rPr>
                <w:t>无</w:t>
              </w:r>
            </w:p>
          </w:sdtContent>
        </w:sdt>
      </w:sdtContent>
    </w:sdt>
    <w:p w14:paraId="76F45329" w14:textId="77777777" w:rsidR="00D21C1F" w:rsidRDefault="00D21C1F">
      <w:pPr>
        <w:pStyle w:val="97"/>
      </w:pPr>
    </w:p>
    <w:sdt>
      <w:sdtPr>
        <w:rPr>
          <w:rFonts w:ascii="宋体" w:eastAsia="宋体" w:hAnsi="宋体" w:cs="宋体" w:hint="eastAsia"/>
          <w:b w:val="0"/>
          <w:bCs w:val="0"/>
          <w:kern w:val="0"/>
          <w:sz w:val="24"/>
          <w:szCs w:val="22"/>
        </w:rPr>
        <w:alias w:val="模块:支付的其他与筹资活动有关的现金"/>
        <w:tag w:val="_GBC_96162aa406234e2485524876a03968e7"/>
        <w:id w:val="613793505"/>
        <w:lock w:val="sdtLocked"/>
        <w:placeholder>
          <w:docPart w:val="GBC22222222222222222222222222222"/>
        </w:placeholder>
      </w:sdtPr>
      <w:sdtEndPr>
        <w:rPr>
          <w:rFonts w:cstheme="minorBidi"/>
          <w:kern w:val="2"/>
          <w:sz w:val="21"/>
        </w:rPr>
      </w:sdtEndPr>
      <w:sdtContent>
        <w:p w14:paraId="16274C1A" w14:textId="77777777" w:rsidR="00D21C1F" w:rsidRDefault="00A42880">
          <w:pPr>
            <w:pStyle w:val="93"/>
            <w:numPr>
              <w:ilvl w:val="0"/>
              <w:numId w:val="125"/>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27216879"/>
            <w:lock w:val="sdtLocked"/>
            <w:placeholder>
              <w:docPart w:val="GBC22222222222222222222222222222"/>
            </w:placeholder>
          </w:sdtPr>
          <w:sdtEndPr/>
          <w:sdtContent>
            <w:p w14:paraId="7C9F2CD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87A161" w14:textId="77777777" w:rsidR="00D21C1F" w:rsidRDefault="00A42880">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2454636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支付的其他与筹资活动有关的现金"/>
              <w:tag w:val="_GBC_d6726952256941209f32bac8fffa568d"/>
              <w:id w:val="1432093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D21C1F" w14:paraId="0931765E" w14:textId="77777777">
            <w:sdt>
              <w:sdtPr>
                <w:tag w:val="_PLD_2b9da6111f3f4cacb3afcfc0de00e1e9"/>
                <w:id w:val="197677536"/>
                <w:lock w:val="sdtLocked"/>
              </w:sdtPr>
              <w:sdtEndPr/>
              <w:sdtContent>
                <w:tc>
                  <w:tcPr>
                    <w:tcW w:w="1882" w:type="pct"/>
                  </w:tcPr>
                  <w:p w14:paraId="4B46AA21" w14:textId="77777777" w:rsidR="00D21C1F" w:rsidRDefault="00A42880">
                    <w:pPr>
                      <w:autoSpaceDE w:val="0"/>
                      <w:autoSpaceDN w:val="0"/>
                      <w:adjustRightInd w:val="0"/>
                      <w:snapToGrid w:val="0"/>
                      <w:jc w:val="center"/>
                    </w:pPr>
                    <w:r>
                      <w:rPr>
                        <w:rFonts w:hint="eastAsia"/>
                      </w:rPr>
                      <w:t>项目</w:t>
                    </w:r>
                  </w:p>
                </w:tc>
              </w:sdtContent>
            </w:sdt>
            <w:sdt>
              <w:sdtPr>
                <w:tag w:val="_PLD_b6791a7f5c234d80be8964d8fb7b3ce6"/>
                <w:id w:val="1394775896"/>
                <w:lock w:val="sdtLocked"/>
              </w:sdtPr>
              <w:sdtEndPr/>
              <w:sdtContent>
                <w:tc>
                  <w:tcPr>
                    <w:tcW w:w="1610" w:type="pct"/>
                  </w:tcPr>
                  <w:p w14:paraId="70F98E0D" w14:textId="77777777" w:rsidR="00D21C1F" w:rsidRDefault="00A42880">
                    <w:pPr>
                      <w:autoSpaceDE w:val="0"/>
                      <w:autoSpaceDN w:val="0"/>
                      <w:adjustRightInd w:val="0"/>
                      <w:snapToGrid w:val="0"/>
                      <w:jc w:val="center"/>
                    </w:pPr>
                    <w:r>
                      <w:rPr>
                        <w:rFonts w:hint="eastAsia"/>
                      </w:rPr>
                      <w:t>本期发生额</w:t>
                    </w:r>
                  </w:p>
                </w:tc>
              </w:sdtContent>
            </w:sdt>
            <w:sdt>
              <w:sdtPr>
                <w:tag w:val="_PLD_b4a33da4012d47bd8013a6c570bcad87"/>
                <w:id w:val="1802957391"/>
                <w:lock w:val="sdtLocked"/>
              </w:sdtPr>
              <w:sdtEndPr/>
              <w:sdtContent>
                <w:tc>
                  <w:tcPr>
                    <w:tcW w:w="1508" w:type="pct"/>
                  </w:tcPr>
                  <w:p w14:paraId="30CB7AC4" w14:textId="77777777" w:rsidR="00D21C1F" w:rsidRDefault="00A42880">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498470535"/>
              <w:lock w:val="sdtLocked"/>
              <w:placeholder>
                <w:docPart w:val="GBC11111111111111111111111111111"/>
              </w:placeholder>
            </w:sdtPr>
            <w:sdtEndPr>
              <w:rPr>
                <w:rFonts w:ascii="Times New Roman" w:hAnsi="Times New Roman" w:cs="Times New Roman" w:hint="default"/>
              </w:rPr>
            </w:sdtEndPr>
            <w:sdtContent>
              <w:tr w:rsidR="00D21C1F" w14:paraId="5A300DD6" w14:textId="77777777">
                <w:tc>
                  <w:tcPr>
                    <w:tcW w:w="1882" w:type="pct"/>
                  </w:tcPr>
                  <w:p w14:paraId="49969A5D" w14:textId="77777777" w:rsidR="00D21C1F" w:rsidRDefault="00A42880">
                    <w:pPr>
                      <w:autoSpaceDE w:val="0"/>
                      <w:autoSpaceDN w:val="0"/>
                      <w:adjustRightInd w:val="0"/>
                      <w:snapToGrid w:val="0"/>
                    </w:pPr>
                    <w:r>
                      <w:rPr>
                        <w:rFonts w:hint="eastAsia"/>
                      </w:rPr>
                      <w:t>租赁负债的支付</w:t>
                    </w:r>
                  </w:p>
                </w:tc>
                <w:tc>
                  <w:tcPr>
                    <w:tcW w:w="1610" w:type="pct"/>
                    <w:vAlign w:val="bottom"/>
                  </w:tcPr>
                  <w:p w14:paraId="31ACADB0" w14:textId="77777777" w:rsidR="00D21C1F" w:rsidRPr="003E0D0D" w:rsidRDefault="00A42880">
                    <w:pPr>
                      <w:jc w:val="right"/>
                      <w:rPr>
                        <w:rFonts w:ascii="Times New Roman" w:hAnsi="Times New Roman" w:cs="Times New Roman"/>
                      </w:rPr>
                    </w:pPr>
                    <w:r w:rsidRPr="003E0D0D">
                      <w:rPr>
                        <w:rFonts w:ascii="Times New Roman" w:hAnsi="Times New Roman" w:cs="Times New Roman"/>
                      </w:rPr>
                      <w:t>5,578,821.31</w:t>
                    </w:r>
                  </w:p>
                </w:tc>
                <w:tc>
                  <w:tcPr>
                    <w:tcW w:w="1508" w:type="pct"/>
                  </w:tcPr>
                  <w:p w14:paraId="489012DA" w14:textId="77777777" w:rsidR="00D21C1F" w:rsidRPr="003E0D0D" w:rsidRDefault="00A42880">
                    <w:pPr>
                      <w:jc w:val="right"/>
                      <w:rPr>
                        <w:rFonts w:ascii="Times New Roman" w:hAnsi="Times New Roman" w:cs="Times New Roman"/>
                      </w:rPr>
                    </w:pPr>
                    <w:r w:rsidRPr="003E0D0D">
                      <w:rPr>
                        <w:rFonts w:ascii="Times New Roman" w:hAnsi="Times New Roman" w:cs="Times New Roman"/>
                      </w:rPr>
                      <w:t>-</w:t>
                    </w:r>
                  </w:p>
                </w:tc>
              </w:tr>
            </w:sdtContent>
          </w:sdt>
          <w:sdt>
            <w:sdtPr>
              <w:rPr>
                <w:rFonts w:hint="eastAsia"/>
              </w:rPr>
              <w:alias w:val="支付的其他与筹资活动有关的现金明细"/>
              <w:tag w:val="_GBC_67ad8c2e4b094cd980237b364226db90"/>
              <w:id w:val="-1597696461"/>
              <w:lock w:val="sdtLocked"/>
              <w:placeholder>
                <w:docPart w:val="GBC11111111111111111111111111111"/>
              </w:placeholder>
            </w:sdtPr>
            <w:sdtEndPr>
              <w:rPr>
                <w:rFonts w:ascii="Times New Roman" w:hAnsi="Times New Roman" w:cs="Times New Roman" w:hint="default"/>
              </w:rPr>
            </w:sdtEndPr>
            <w:sdtContent>
              <w:tr w:rsidR="00D21C1F" w14:paraId="6B2FC9A4" w14:textId="77777777">
                <w:tc>
                  <w:tcPr>
                    <w:tcW w:w="1882" w:type="pct"/>
                  </w:tcPr>
                  <w:p w14:paraId="008FA004" w14:textId="77777777" w:rsidR="00D21C1F" w:rsidRDefault="00A42880">
                    <w:pPr>
                      <w:autoSpaceDE w:val="0"/>
                      <w:autoSpaceDN w:val="0"/>
                      <w:adjustRightInd w:val="0"/>
                      <w:snapToGrid w:val="0"/>
                    </w:pPr>
                    <w:r>
                      <w:rPr>
                        <w:rFonts w:hint="eastAsia"/>
                      </w:rPr>
                      <w:t>单位往来款</w:t>
                    </w:r>
                  </w:p>
                </w:tc>
                <w:tc>
                  <w:tcPr>
                    <w:tcW w:w="1610" w:type="pct"/>
                    <w:vAlign w:val="bottom"/>
                  </w:tcPr>
                  <w:p w14:paraId="20FA61B1" w14:textId="77777777" w:rsidR="00D21C1F" w:rsidRPr="003E0D0D" w:rsidRDefault="00A42880">
                    <w:pPr>
                      <w:jc w:val="right"/>
                      <w:rPr>
                        <w:rFonts w:ascii="Times New Roman" w:hAnsi="Times New Roman" w:cs="Times New Roman"/>
                      </w:rPr>
                    </w:pPr>
                    <w:r w:rsidRPr="003E0D0D">
                      <w:rPr>
                        <w:rFonts w:ascii="Times New Roman" w:hAnsi="Times New Roman" w:cs="Times New Roman"/>
                      </w:rPr>
                      <w:t>1,535,781.51</w:t>
                    </w:r>
                  </w:p>
                </w:tc>
                <w:tc>
                  <w:tcPr>
                    <w:tcW w:w="1508" w:type="pct"/>
                  </w:tcPr>
                  <w:p w14:paraId="40828B88" w14:textId="77777777" w:rsidR="00D21C1F" w:rsidRPr="003E0D0D" w:rsidRDefault="00A42880">
                    <w:pPr>
                      <w:jc w:val="right"/>
                      <w:rPr>
                        <w:rFonts w:ascii="Times New Roman" w:hAnsi="Times New Roman" w:cs="Times New Roman"/>
                      </w:rPr>
                    </w:pPr>
                    <w:r w:rsidRPr="003E0D0D">
                      <w:rPr>
                        <w:rFonts w:ascii="Times New Roman" w:hAnsi="Times New Roman" w:cs="Times New Roman"/>
                      </w:rPr>
                      <w:t>1,805,952.26</w:t>
                    </w:r>
                  </w:p>
                </w:tc>
              </w:tr>
            </w:sdtContent>
          </w:sdt>
          <w:tr w:rsidR="00D21C1F" w14:paraId="15EA937F" w14:textId="77777777">
            <w:sdt>
              <w:sdtPr>
                <w:tag w:val="_PLD_22dc5e1e835f424c922e14021ea4fcda"/>
                <w:id w:val="-137341302"/>
                <w:lock w:val="sdtLocked"/>
              </w:sdtPr>
              <w:sdtEndPr/>
              <w:sdtContent>
                <w:tc>
                  <w:tcPr>
                    <w:tcW w:w="1882" w:type="pct"/>
                  </w:tcPr>
                  <w:p w14:paraId="23578A06" w14:textId="77777777" w:rsidR="00D21C1F" w:rsidRDefault="00A42880">
                    <w:pPr>
                      <w:autoSpaceDE w:val="0"/>
                      <w:autoSpaceDN w:val="0"/>
                      <w:adjustRightInd w:val="0"/>
                      <w:snapToGrid w:val="0"/>
                      <w:jc w:val="center"/>
                    </w:pPr>
                    <w:r>
                      <w:rPr>
                        <w:rFonts w:hint="eastAsia"/>
                      </w:rPr>
                      <w:t>合计</w:t>
                    </w:r>
                  </w:p>
                </w:tc>
              </w:sdtContent>
            </w:sdt>
            <w:tc>
              <w:tcPr>
                <w:tcW w:w="1610" w:type="pct"/>
                <w:vAlign w:val="center"/>
              </w:tcPr>
              <w:p w14:paraId="7056BBF4" w14:textId="77777777" w:rsidR="00D21C1F" w:rsidRPr="003E0D0D" w:rsidRDefault="00A42880">
                <w:pPr>
                  <w:jc w:val="right"/>
                  <w:rPr>
                    <w:rFonts w:ascii="Times New Roman" w:hAnsi="Times New Roman" w:cs="Times New Roman"/>
                  </w:rPr>
                </w:pPr>
                <w:r w:rsidRPr="003E0D0D">
                  <w:rPr>
                    <w:rFonts w:ascii="Times New Roman" w:hAnsi="Times New Roman" w:cs="Times New Roman"/>
                  </w:rPr>
                  <w:t>7,114,602.82</w:t>
                </w:r>
              </w:p>
            </w:tc>
            <w:tc>
              <w:tcPr>
                <w:tcW w:w="1508" w:type="pct"/>
                <w:vAlign w:val="center"/>
              </w:tcPr>
              <w:p w14:paraId="4A756D2F" w14:textId="77777777" w:rsidR="00D21C1F" w:rsidRPr="003E0D0D" w:rsidRDefault="00A42880">
                <w:pPr>
                  <w:jc w:val="right"/>
                  <w:rPr>
                    <w:rFonts w:ascii="Times New Roman" w:hAnsi="Times New Roman" w:cs="Times New Roman"/>
                  </w:rPr>
                </w:pPr>
                <w:r w:rsidRPr="003E0D0D">
                  <w:rPr>
                    <w:rFonts w:ascii="Times New Roman" w:hAnsi="Times New Roman" w:cs="Times New Roman"/>
                  </w:rPr>
                  <w:t>1,805,952.26</w:t>
                </w:r>
              </w:p>
            </w:tc>
          </w:tr>
        </w:tbl>
        <w:p w14:paraId="6329266F" w14:textId="77777777" w:rsidR="00D21C1F" w:rsidRDefault="00A42880">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1379590140"/>
            <w:lock w:val="sdtLocked"/>
            <w:placeholder>
              <w:docPart w:val="GBC22222222222222222222222222222"/>
            </w:placeholder>
          </w:sdtPr>
          <w:sdtEndPr/>
          <w:sdtContent>
            <w:p w14:paraId="3CB44C1D" w14:textId="77777777" w:rsidR="00D21C1F" w:rsidRDefault="00A42880">
              <w:pPr>
                <w:ind w:right="5"/>
              </w:pPr>
              <w:r>
                <w:rPr>
                  <w:rFonts w:hint="eastAsia"/>
                </w:rPr>
                <w:t>无</w:t>
              </w:r>
            </w:p>
          </w:sdtContent>
        </w:sdt>
        <w:p w14:paraId="6BD8BB91" w14:textId="77777777" w:rsidR="00D21C1F" w:rsidRDefault="00045EC6">
          <w:pPr>
            <w:ind w:right="5"/>
          </w:pPr>
        </w:p>
      </w:sdtContent>
    </w:sdt>
    <w:p w14:paraId="74A08B01" w14:textId="77777777" w:rsidR="00D21C1F" w:rsidRDefault="00A42880">
      <w:pPr>
        <w:pStyle w:val="94"/>
        <w:numPr>
          <w:ilvl w:val="0"/>
          <w:numId w:val="95"/>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Times New Roman" w:hAnsi="Times New Roman" w:cs="宋体"/>
          <w:b w:val="0"/>
          <w:bCs w:val="0"/>
          <w:kern w:val="0"/>
          <w:szCs w:val="24"/>
        </w:rPr>
        <w:alias w:val="模块:现金流量表补充资料"/>
        <w:tag w:val="_GBC_7c9a174810ac4558be4e54f8019d5a1a"/>
        <w:id w:val="1768029662"/>
        <w:lock w:val="sdtLocked"/>
        <w:placeholder>
          <w:docPart w:val="GBC22222222222222222222222222222"/>
        </w:placeholder>
      </w:sdtPr>
      <w:sdtEndPr/>
      <w:sdtContent>
        <w:p w14:paraId="4E01A3C4" w14:textId="77777777" w:rsidR="00D21C1F" w:rsidRPr="000C4A76" w:rsidRDefault="00A42880">
          <w:pPr>
            <w:pStyle w:val="93"/>
            <w:numPr>
              <w:ilvl w:val="0"/>
              <w:numId w:val="126"/>
            </w:numPr>
            <w:rPr>
              <w:rFonts w:ascii="Times New Roman" w:hAnsi="Times New Roman"/>
            </w:rPr>
          </w:pPr>
          <w:r w:rsidRPr="000C4A76">
            <w:rPr>
              <w:rFonts w:ascii="Times New Roman" w:hAnsi="Times New Roman"/>
            </w:rPr>
            <w:t>现金流量表补充资料</w:t>
          </w:r>
        </w:p>
        <w:sdt>
          <w:sdtPr>
            <w:rPr>
              <w:rFonts w:ascii="Times New Roman" w:hAnsi="Times New Roman" w:cs="Times New Roman"/>
            </w:rPr>
            <w:alias w:val="是否适用：现金流量表补充资料[双击切换]"/>
            <w:tag w:val="_GBC_3ee8e178479245ea907bff86e4dcd54a"/>
            <w:id w:val="379905542"/>
            <w:lock w:val="sdtLocked"/>
            <w:placeholder>
              <w:docPart w:val="GBC22222222222222222222222222222"/>
            </w:placeholder>
          </w:sdtPr>
          <w:sdtEndPr/>
          <w:sdtContent>
            <w:p w14:paraId="2FF48087"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fldChar w:fldCharType="begin"/>
              </w:r>
              <w:r w:rsidRPr="000C4A76">
                <w:rPr>
                  <w:rFonts w:ascii="Times New Roman" w:hAnsi="Times New Roman" w:cs="Times New Roman"/>
                </w:rPr>
                <w:instrText xml:space="preserve"> MACROBUTTON  SnrToggleCheckbox √</w:instrText>
              </w:r>
              <w:r w:rsidRPr="000C4A76">
                <w:rPr>
                  <w:rFonts w:ascii="Times New Roman" w:hAnsi="Times New Roman" w:cs="Times New Roman"/>
                </w:rPr>
                <w:instrText>适用</w:instrText>
              </w:r>
              <w:r w:rsidRPr="000C4A76">
                <w:rPr>
                  <w:rFonts w:ascii="Times New Roman" w:hAnsi="Times New Roman" w:cs="Times New Roman"/>
                </w:rPr>
                <w:instrText xml:space="preserve"> </w:instrText>
              </w:r>
              <w:r w:rsidRPr="000C4A76">
                <w:rPr>
                  <w:rFonts w:ascii="Times New Roman" w:hAnsi="Times New Roman" w:cs="Times New Roman"/>
                </w:rPr>
                <w:fldChar w:fldCharType="end"/>
              </w:r>
              <w:r w:rsidRPr="000C4A76">
                <w:rPr>
                  <w:rFonts w:ascii="Times New Roman" w:hAnsi="Times New Roman" w:cs="Times New Roman"/>
                </w:rPr>
                <w:fldChar w:fldCharType="begin"/>
              </w:r>
              <w:r w:rsidRPr="000C4A76">
                <w:rPr>
                  <w:rFonts w:ascii="Times New Roman" w:hAnsi="Times New Roman" w:cs="Times New Roman"/>
                </w:rPr>
                <w:instrText xml:space="preserve"> MACROBUTTON  SnrToggleCheckbox □</w:instrText>
              </w:r>
              <w:r w:rsidRPr="000C4A76">
                <w:rPr>
                  <w:rFonts w:ascii="Times New Roman" w:hAnsi="Times New Roman" w:cs="Times New Roman"/>
                </w:rPr>
                <w:instrText>不适用</w:instrText>
              </w:r>
              <w:r w:rsidRPr="000C4A76">
                <w:rPr>
                  <w:rFonts w:ascii="Times New Roman" w:hAnsi="Times New Roman" w:cs="Times New Roman"/>
                </w:rPr>
                <w:instrText xml:space="preserve"> </w:instrText>
              </w:r>
              <w:r w:rsidRPr="000C4A76">
                <w:rPr>
                  <w:rFonts w:ascii="Times New Roman" w:hAnsi="Times New Roman" w:cs="Times New Roman"/>
                </w:rPr>
                <w:fldChar w:fldCharType="end"/>
              </w:r>
            </w:p>
          </w:sdtContent>
        </w:sdt>
        <w:p w14:paraId="51F38B37" w14:textId="77777777" w:rsidR="00D21C1F" w:rsidRPr="000C4A76" w:rsidRDefault="00A42880">
          <w:pPr>
            <w:jc w:val="right"/>
            <w:rPr>
              <w:rFonts w:ascii="Times New Roman" w:hAnsi="Times New Roman" w:cs="Times New Roman"/>
            </w:rPr>
          </w:pPr>
          <w:r w:rsidRPr="000C4A76">
            <w:rPr>
              <w:rFonts w:ascii="Times New Roman" w:hAnsi="Times New Roman" w:cs="Times New Roman"/>
            </w:rPr>
            <w:t>单位：</w:t>
          </w:r>
          <w:sdt>
            <w:sdtPr>
              <w:rPr>
                <w:rFonts w:ascii="Times New Roman" w:hAnsi="Times New Roman" w:cs="Times New Roman"/>
              </w:rPr>
              <w:alias w:val="单位：财务附注：现金流量表补充资料"/>
              <w:tag w:val="_GBC_ba7cd13a54fa44929e0fd4c276876d0e"/>
              <w:id w:val="-6541471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0C4A76">
                <w:rPr>
                  <w:rFonts w:ascii="Times New Roman" w:hAnsi="Times New Roman" w:cs="Times New Roman"/>
                </w:rPr>
                <w:t>元</w:t>
              </w:r>
            </w:sdtContent>
          </w:sdt>
          <w:r w:rsidRPr="000C4A76">
            <w:rPr>
              <w:rFonts w:ascii="Times New Roman" w:hAnsi="Times New Roman" w:cs="Times New Roman"/>
            </w:rPr>
            <w:t>币种：</w:t>
          </w:r>
          <w:sdt>
            <w:sdtPr>
              <w:rPr>
                <w:rFonts w:ascii="Times New Roman" w:hAnsi="Times New Roman" w:cs="Times New Roman"/>
              </w:rPr>
              <w:alias w:val="币种：财务附注：现金流量表补充资料"/>
              <w:tag w:val="_GBC_715164ef2f2b4f258a0908b254229361"/>
              <w:id w:val="13266250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0C4A76">
                <w:rPr>
                  <w:rFonts w:ascii="Times New Roman" w:hAnsi="Times New Roman" w:cs="Times New Roman"/>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5"/>
            <w:gridCol w:w="2730"/>
            <w:gridCol w:w="2698"/>
          </w:tblGrid>
          <w:tr w:rsidR="00D21C1F" w:rsidRPr="000C4A76" w14:paraId="6F4B42AD" w14:textId="77777777">
            <w:sdt>
              <w:sdtPr>
                <w:rPr>
                  <w:rFonts w:ascii="Times New Roman" w:hAnsi="Times New Roman" w:cs="Times New Roman"/>
                </w:rPr>
                <w:tag w:val="_PLD_a6ea455751354381bc869d5865ef3d8f"/>
                <w:id w:val="-161967392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0730A476" w14:textId="77777777" w:rsidR="00D21C1F" w:rsidRPr="000C4A76" w:rsidRDefault="00A42880">
                    <w:pPr>
                      <w:jc w:val="center"/>
                      <w:rPr>
                        <w:rFonts w:ascii="Times New Roman" w:hAnsi="Times New Roman" w:cs="Times New Roman"/>
                        <w:bCs/>
                      </w:rPr>
                    </w:pPr>
                    <w:r w:rsidRPr="000C4A76">
                      <w:rPr>
                        <w:rFonts w:ascii="Times New Roman" w:hAnsi="Times New Roman" w:cs="Times New Roman"/>
                        <w:bCs/>
                      </w:rPr>
                      <w:t>补充资料</w:t>
                    </w:r>
                  </w:p>
                </w:tc>
              </w:sdtContent>
            </w:sdt>
            <w:sdt>
              <w:sdtPr>
                <w:rPr>
                  <w:rFonts w:ascii="Times New Roman" w:hAnsi="Times New Roman" w:cs="Times New Roman"/>
                </w:rPr>
                <w:tag w:val="_PLD_0687e3743a4e4e2db7b08855f23641e8"/>
                <w:id w:val="1289391814"/>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7021F06C" w14:textId="77777777" w:rsidR="00D21C1F" w:rsidRPr="000C4A76" w:rsidRDefault="00A42880">
                    <w:pPr>
                      <w:jc w:val="center"/>
                      <w:rPr>
                        <w:rFonts w:ascii="Times New Roman" w:hAnsi="Times New Roman" w:cs="Times New Roman"/>
                      </w:rPr>
                    </w:pPr>
                    <w:r w:rsidRPr="000C4A76">
                      <w:rPr>
                        <w:rFonts w:ascii="Times New Roman" w:hAnsi="Times New Roman" w:cs="Times New Roman"/>
                      </w:rPr>
                      <w:t>本期金额</w:t>
                    </w:r>
                  </w:p>
                </w:tc>
              </w:sdtContent>
            </w:sdt>
            <w:sdt>
              <w:sdtPr>
                <w:rPr>
                  <w:rFonts w:ascii="Times New Roman" w:hAnsi="Times New Roman" w:cs="Times New Roman"/>
                </w:rPr>
                <w:tag w:val="_PLD_f90342638d124edea40aa264bbe65e8e"/>
                <w:id w:val="-1531247549"/>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611149DB" w14:textId="77777777" w:rsidR="00D21C1F" w:rsidRPr="000C4A76" w:rsidRDefault="00A42880">
                    <w:pPr>
                      <w:jc w:val="center"/>
                      <w:rPr>
                        <w:rFonts w:ascii="Times New Roman" w:hAnsi="Times New Roman" w:cs="Times New Roman"/>
                      </w:rPr>
                    </w:pPr>
                    <w:r w:rsidRPr="000C4A76">
                      <w:rPr>
                        <w:rFonts w:ascii="Times New Roman" w:hAnsi="Times New Roman" w:cs="Times New Roman"/>
                      </w:rPr>
                      <w:t>上期金额</w:t>
                    </w:r>
                  </w:p>
                </w:tc>
              </w:sdtContent>
            </w:sdt>
          </w:tr>
          <w:tr w:rsidR="00D21C1F" w:rsidRPr="000C4A76" w14:paraId="3AC9F5F0" w14:textId="77777777">
            <w:sdt>
              <w:sdtPr>
                <w:rPr>
                  <w:rFonts w:ascii="Times New Roman" w:hAnsi="Times New Roman" w:cs="Times New Roman"/>
                </w:rPr>
                <w:tag w:val="_PLD_0a799a1250f946df9181881c4b1f3829"/>
                <w:id w:val="-74534779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549EB2C" w14:textId="77777777" w:rsidR="00D21C1F" w:rsidRPr="000C4A76" w:rsidRDefault="00A42880">
                    <w:pPr>
                      <w:rPr>
                        <w:rFonts w:ascii="Times New Roman" w:hAnsi="Times New Roman" w:cs="Times New Roman"/>
                        <w:b/>
                        <w:bCs/>
                      </w:rPr>
                    </w:pPr>
                    <w:r w:rsidRPr="000C4A76">
                      <w:rPr>
                        <w:rFonts w:ascii="Times New Roman" w:hAnsi="Times New Roman" w:cs="Times New Roman"/>
                        <w:b/>
                        <w:bCs/>
                      </w:rPr>
                      <w:t>1</w:t>
                    </w:r>
                    <w:r w:rsidRPr="000C4A76">
                      <w:rPr>
                        <w:rFonts w:ascii="Times New Roman" w:hAnsi="Times New Roman" w:cs="Times New Roman"/>
                        <w:b/>
                        <w:bCs/>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14:paraId="6FCFC86E" w14:textId="77777777" w:rsidR="00D21C1F" w:rsidRPr="000C4A76" w:rsidRDefault="00D21C1F">
                <w:pPr>
                  <w:jc w:val="both"/>
                  <w:rPr>
                    <w:rFonts w:ascii="Times New Roman" w:hAnsi="Times New Roman" w:cs="Times New Roman"/>
                  </w:rPr>
                </w:pPr>
              </w:p>
            </w:tc>
            <w:tc>
              <w:tcPr>
                <w:tcW w:w="1529" w:type="pct"/>
                <w:tcBorders>
                  <w:top w:val="single" w:sz="4" w:space="0" w:color="auto"/>
                  <w:left w:val="outset" w:sz="6" w:space="0" w:color="auto"/>
                  <w:bottom w:val="outset" w:sz="6" w:space="0" w:color="auto"/>
                  <w:right w:val="outset" w:sz="6" w:space="0" w:color="auto"/>
                </w:tcBorders>
                <w:shd w:val="clear" w:color="auto" w:fill="auto"/>
              </w:tcPr>
              <w:p w14:paraId="11490ED0" w14:textId="77777777" w:rsidR="00D21C1F" w:rsidRPr="000C4A76" w:rsidRDefault="00D21C1F">
                <w:pPr>
                  <w:jc w:val="both"/>
                  <w:rPr>
                    <w:rFonts w:ascii="Times New Roman" w:hAnsi="Times New Roman" w:cs="Times New Roman"/>
                    <w:b/>
                  </w:rPr>
                </w:pPr>
              </w:p>
            </w:tc>
          </w:tr>
          <w:tr w:rsidR="00D21C1F" w:rsidRPr="000C4A76" w14:paraId="46995A29" w14:textId="77777777" w:rsidTr="000C4A76">
            <w:sdt>
              <w:sdtPr>
                <w:rPr>
                  <w:rFonts w:ascii="Times New Roman" w:hAnsi="Times New Roman" w:cs="Times New Roman"/>
                </w:rPr>
                <w:tag w:val="_PLD_e8ba8a255d384555b8eb4380916342fb"/>
                <w:id w:val="192360270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0ECD0C0"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8114A6A" w14:textId="77777777" w:rsidR="00D21C1F" w:rsidRPr="000C4A76" w:rsidRDefault="00A42880" w:rsidP="000C4A76">
                <w:pPr>
                  <w:jc w:val="right"/>
                  <w:rPr>
                    <w:rFonts w:ascii="Times New Roman" w:hAnsi="Times New Roman" w:cs="Times New Roman"/>
                    <w:szCs w:val="21"/>
                  </w:rPr>
                </w:pPr>
                <w:r w:rsidRPr="000C4A76">
                  <w:rPr>
                    <w:rFonts w:ascii="Times New Roman" w:hAnsi="Times New Roman" w:cs="Times New Roman"/>
                    <w:szCs w:val="21"/>
                  </w:rPr>
                  <w:t>-56,720,676.30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A60974D"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-64,644,721.34</w:t>
                </w:r>
              </w:p>
            </w:tc>
          </w:tr>
          <w:tr w:rsidR="00D21C1F" w:rsidRPr="000C4A76" w14:paraId="21095832" w14:textId="77777777" w:rsidTr="000C4A76">
            <w:sdt>
              <w:sdtPr>
                <w:rPr>
                  <w:rFonts w:ascii="Times New Roman" w:hAnsi="Times New Roman" w:cs="Times New Roman"/>
                </w:rPr>
                <w:tag w:val="_PLD_d7814036ec544a08a51db5a353f5adf0"/>
                <w:id w:val="5498052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424B409"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F1B6848"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6,165,704.08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97C4FAD"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601,169.18</w:t>
                </w:r>
              </w:p>
            </w:tc>
          </w:tr>
          <w:tr w:rsidR="00D21C1F" w:rsidRPr="000C4A76" w14:paraId="64342942" w14:textId="77777777" w:rsidTr="000C4A76">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0f91129fab43498ab9fd68a182c3fe1b"/>
                  <w:id w:val="-1218816642"/>
                  <w:lock w:val="sdtLocked"/>
                </w:sdtPr>
                <w:sdtEndPr/>
                <w:sdtContent>
                  <w:p w14:paraId="7E89406A"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信用减值损失</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27922EF"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- 890,743.62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C3E118D"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9,464,332.05</w:t>
                </w:r>
              </w:p>
            </w:tc>
          </w:tr>
          <w:tr w:rsidR="00D21C1F" w:rsidRPr="000C4A76" w14:paraId="5F14E9AA" w14:textId="77777777" w:rsidTr="000C4A76">
            <w:sdt>
              <w:sdtPr>
                <w:rPr>
                  <w:rFonts w:ascii="Times New Roman" w:hAnsi="Times New Roman" w:cs="Times New Roman"/>
                </w:rPr>
                <w:tag w:val="_PLD_874496ee98ed44629fd0638816a4a7d0"/>
                <w:id w:val="54063999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01FBD6A"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CB26FB0"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10,680,067.49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0473872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10,894,075.99</w:t>
                </w:r>
              </w:p>
            </w:tc>
          </w:tr>
          <w:tr w:rsidR="00D21C1F" w:rsidRPr="000C4A76" w14:paraId="5803D340" w14:textId="77777777" w:rsidTr="000C4A76">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721d42c6411f4a4db89c85694880a730"/>
                  <w:id w:val="1501856895"/>
                  <w:lock w:val="sdtLocked"/>
                </w:sdtPr>
                <w:sdtEndPr/>
                <w:sdtContent>
                  <w:p w14:paraId="4054FA52"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使用权资产摊销</w:t>
                    </w:r>
                  </w:p>
                </w:sdtContent>
              </w:sdt>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713F448"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4,878,466.42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38F357C" w14:textId="77777777" w:rsidR="00D21C1F" w:rsidRPr="000C4A76" w:rsidRDefault="00D21C1F" w:rsidP="000C4A76">
                <w:pPr>
                  <w:jc w:val="right"/>
                  <w:rPr>
                    <w:rFonts w:ascii="Times New Roman" w:hAnsi="Times New Roman" w:cs="Times New Roman"/>
                  </w:rPr>
                </w:pPr>
              </w:p>
            </w:tc>
          </w:tr>
          <w:tr w:rsidR="00D21C1F" w:rsidRPr="000C4A76" w14:paraId="68D4A263" w14:textId="77777777" w:rsidTr="000C4A76">
            <w:sdt>
              <w:sdtPr>
                <w:rPr>
                  <w:rFonts w:ascii="Times New Roman" w:hAnsi="Times New Roman" w:cs="Times New Roman"/>
                </w:rPr>
                <w:tag w:val="_PLD_7d21857dddff4f46b0472ee6fc927660"/>
                <w:id w:val="145598208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5CC2C2C"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4C7595F"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13,210,002.02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0EBC4CA2"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16,177,138.92</w:t>
                </w:r>
              </w:p>
            </w:tc>
          </w:tr>
          <w:tr w:rsidR="00D21C1F" w:rsidRPr="000C4A76" w14:paraId="3E0647AF" w14:textId="77777777" w:rsidTr="000C4A76">
            <w:sdt>
              <w:sdtPr>
                <w:rPr>
                  <w:rFonts w:ascii="Times New Roman" w:hAnsi="Times New Roman" w:cs="Times New Roman"/>
                </w:rPr>
                <w:tag w:val="_PLD_088800a12fe645aeab959c7549cf4ee3"/>
                <w:id w:val="80590005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066B15E"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EAF313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274,531.19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62003BE2"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253,049.75</w:t>
                </w:r>
              </w:p>
            </w:tc>
          </w:tr>
          <w:tr w:rsidR="00D21C1F" w:rsidRPr="000C4A76" w14:paraId="7C34B4B3" w14:textId="77777777" w:rsidTr="000C4A76">
            <w:sdt>
              <w:sdtPr>
                <w:rPr>
                  <w:rFonts w:ascii="Times New Roman" w:hAnsi="Times New Roman" w:cs="Times New Roman"/>
                </w:rPr>
                <w:tag w:val="_PLD_8d8cb21251d34ba1815e334e49c1f773"/>
                <w:id w:val="-202184260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1F8E4B6"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处置固定资产、无形资产和其他长期资产的损失（收益以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46ACF52"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-415,888.37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60A02EEA"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-1,145,472.80</w:t>
                </w:r>
              </w:p>
            </w:tc>
          </w:tr>
          <w:tr w:rsidR="00D21C1F" w:rsidRPr="000C4A76" w14:paraId="5E684988" w14:textId="77777777" w:rsidTr="000C4A76">
            <w:sdt>
              <w:sdtPr>
                <w:rPr>
                  <w:rFonts w:ascii="Times New Roman" w:hAnsi="Times New Roman" w:cs="Times New Roman"/>
                </w:rPr>
                <w:tag w:val="_PLD_b85deb2045874a498f408bd31aa1c639"/>
                <w:id w:val="146407319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D05343C"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固定资产报废损失（收益以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BB1A95B"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09BACD72"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r>
          <w:tr w:rsidR="00D21C1F" w:rsidRPr="000C4A76" w14:paraId="588AA5A0" w14:textId="77777777" w:rsidTr="000C4A76">
            <w:sdt>
              <w:sdtPr>
                <w:rPr>
                  <w:rFonts w:ascii="Times New Roman" w:hAnsi="Times New Roman" w:cs="Times New Roman"/>
                </w:rPr>
                <w:tag w:val="_PLD_f5daedcccfe54756bef02f32552a8b7b"/>
                <w:id w:val="16754601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1D9CC4F"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公允价值变动损失（收益以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B7FCDBC"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-6,360,739.72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10499BC"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598,838.37</w:t>
                </w:r>
              </w:p>
            </w:tc>
          </w:tr>
          <w:tr w:rsidR="00D21C1F" w:rsidRPr="000C4A76" w14:paraId="0F0A2336" w14:textId="77777777" w:rsidTr="000C4A76">
            <w:sdt>
              <w:sdtPr>
                <w:rPr>
                  <w:rFonts w:ascii="Times New Roman" w:hAnsi="Times New Roman" w:cs="Times New Roman"/>
                </w:rPr>
                <w:tag w:val="_PLD_1e4c1f4478ea4e41a213ed937b2d2949"/>
                <w:id w:val="146716391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A00CD5B"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财务费用（收益以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BD2FAEA"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10,125,724.47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7F0E191"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11,301,201.58</w:t>
                </w:r>
              </w:p>
            </w:tc>
          </w:tr>
          <w:tr w:rsidR="00D21C1F" w:rsidRPr="000C4A76" w14:paraId="60C50D93" w14:textId="77777777" w:rsidTr="000C4A76">
            <w:sdt>
              <w:sdtPr>
                <w:rPr>
                  <w:rFonts w:ascii="Times New Roman" w:hAnsi="Times New Roman" w:cs="Times New Roman"/>
                </w:rPr>
                <w:tag w:val="_PLD_fbd860cf427540b4a431128ef763534d"/>
                <w:id w:val="100555385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2F5968D"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投资损失（收益以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29D6115"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-13,900,909.83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AA255DF"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108,199.11</w:t>
                </w:r>
              </w:p>
            </w:tc>
          </w:tr>
          <w:tr w:rsidR="00D21C1F" w:rsidRPr="000C4A76" w14:paraId="28326F20" w14:textId="77777777" w:rsidTr="000C4A76">
            <w:sdt>
              <w:sdtPr>
                <w:rPr>
                  <w:rFonts w:ascii="Times New Roman" w:hAnsi="Times New Roman" w:cs="Times New Roman"/>
                </w:rPr>
                <w:tag w:val="_PLD_03270151a6684c629b53007cc62dad45"/>
                <w:id w:val="-12347044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2A697C6"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递延所得税资产减少（增加以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C193276"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-8,611,175.06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DB1C72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-13,504,391.17</w:t>
                </w:r>
              </w:p>
            </w:tc>
          </w:tr>
          <w:tr w:rsidR="00D21C1F" w:rsidRPr="000C4A76" w14:paraId="54A992B7" w14:textId="77777777" w:rsidTr="000C4A76">
            <w:sdt>
              <w:sdtPr>
                <w:rPr>
                  <w:rFonts w:ascii="Times New Roman" w:hAnsi="Times New Roman" w:cs="Times New Roman"/>
                </w:rPr>
                <w:tag w:val="_PLD_100ead502e934b2fbc5c4c2289a4d701"/>
                <w:id w:val="-143096331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1DDE296"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递延所得税负债增加（减少以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84A64AB"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-9,382,639.38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904B53C"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-5,830,558.81</w:t>
                </w:r>
              </w:p>
            </w:tc>
          </w:tr>
          <w:tr w:rsidR="00D21C1F" w:rsidRPr="000C4A76" w14:paraId="1D710AA0" w14:textId="77777777" w:rsidTr="000C4A76">
            <w:sdt>
              <w:sdtPr>
                <w:rPr>
                  <w:rFonts w:ascii="Times New Roman" w:hAnsi="Times New Roman" w:cs="Times New Roman"/>
                </w:rPr>
                <w:tag w:val="_PLD_75c37a3f209d4b1fb608b47efbf0f17b"/>
                <w:id w:val="192422534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86E611B"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存货的减少（增加以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D900E7F"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-76,009,615.45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6A88CEC3"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-6,252,737.67</w:t>
                </w:r>
              </w:p>
            </w:tc>
          </w:tr>
          <w:sdt>
            <w:sdtPr>
              <w:rPr>
                <w:rFonts w:ascii="Times New Roman" w:eastAsia="宋体" w:hAnsi="Times New Roman" w:cs="Times New Roman"/>
                <w:sz w:val="22"/>
                <w:szCs w:val="22"/>
              </w:rPr>
              <w:alias w:val="合同资产的减少（增加以“－”号填列）"/>
              <w:tag w:val="_TUP_1d860bd64f034fb9b592ff6efa63e95e"/>
              <w:id w:val="1117559979"/>
              <w:lock w:val="sdtLocked"/>
            </w:sdtPr>
            <w:sdtEndPr>
              <w:rPr>
                <w:sz w:val="21"/>
                <w:szCs w:val="24"/>
              </w:rPr>
            </w:sdtEndPr>
            <w:sdtContent>
              <w:tr w:rsidR="00D21C1F" w:rsidRPr="000C4A76" w14:paraId="0E7D60FC" w14:textId="77777777" w:rsidTr="000C4A76">
                <w:sdt>
                  <w:sdtPr>
                    <w:rPr>
                      <w:rFonts w:ascii="Times New Roman" w:eastAsia="宋体" w:hAnsi="Times New Roman" w:cs="Times New Roman"/>
                      <w:sz w:val="22"/>
                      <w:szCs w:val="22"/>
                    </w:rPr>
                    <w:alias w:val="合同资产的减少（增加以“－”号填列）"/>
                    <w:tag w:val="_GBC_243a0f3c913148aeb0a4c0e3d6213b73"/>
                    <w:id w:val="524062037"/>
                    <w:lock w:val="sdtLocked"/>
                  </w:sdtPr>
                  <w:sdtEndPr>
                    <w:rPr>
                      <w:rFonts w:eastAsiaTheme="minorEastAsia"/>
                      <w:sz w:val="21"/>
                      <w:szCs w:val="24"/>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4B1524D"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合同资产的减少（增加以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sdt>
                  <w:sdtPr>
                    <w:rPr>
                      <w:rFonts w:ascii="Times New Roman" w:hAnsi="Times New Roman" w:cs="Times New Roman"/>
                    </w:rPr>
                    <w:tag w:val="_GBC_7329cd59ba4049df9f53e895c8dd1d71"/>
                    <w:id w:val="158133035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1AF13F5"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-28,945,385.68</w:t>
                        </w:r>
                      </w:p>
                    </w:tc>
                  </w:sdtContent>
                </w:sdt>
                <w:sdt>
                  <w:sdtPr>
                    <w:rPr>
                      <w:rFonts w:ascii="Times New Roman" w:hAnsi="Times New Roman" w:cs="Times New Roman"/>
                    </w:rPr>
                    <w:tag w:val="_GBC_60d27400b9b741bc8babc1f2a89a923b"/>
                    <w:id w:val="-150566170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649DA2DA"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-35,801,501.51</w:t>
                        </w:r>
                      </w:p>
                    </w:tc>
                  </w:sdtContent>
                </w:sdt>
              </w:tr>
            </w:sdtContent>
          </w:sdt>
          <w:tr w:rsidR="00D21C1F" w:rsidRPr="000C4A76" w14:paraId="4FE44382" w14:textId="77777777" w:rsidTr="000C4A76">
            <w:sdt>
              <w:sdtPr>
                <w:rPr>
                  <w:rFonts w:ascii="Times New Roman" w:hAnsi="Times New Roman" w:cs="Times New Roman"/>
                </w:rPr>
                <w:tag w:val="_PLD_6dd2e6fa25164f14ae03eb5c47cfeb92"/>
                <w:id w:val="-15199986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AFE6A93"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经营性应收项目的减少（增加以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D4B911A"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43,371,758.06</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70A4420" w14:textId="77777777" w:rsidR="00D21C1F" w:rsidRPr="000C4A76" w:rsidRDefault="00A42880" w:rsidP="000C4A76">
                <w:pPr>
                  <w:jc w:val="right"/>
                  <w:rPr>
                    <w:rFonts w:ascii="Times New Roman" w:hAnsi="Times New Roman" w:cs="Times New Roman"/>
                    <w:b/>
                  </w:rPr>
                </w:pPr>
                <w:r w:rsidRPr="000C4A76">
                  <w:rPr>
                    <w:rFonts w:ascii="Times New Roman" w:hAnsi="Times New Roman" w:cs="Times New Roman"/>
                  </w:rPr>
                  <w:t>110,132,023.91</w:t>
                </w:r>
              </w:p>
            </w:tc>
          </w:tr>
          <w:tr w:rsidR="00D21C1F" w:rsidRPr="000C4A76" w14:paraId="3609D1BC" w14:textId="77777777" w:rsidTr="000C4A76">
            <w:sdt>
              <w:sdtPr>
                <w:rPr>
                  <w:rFonts w:ascii="Times New Roman" w:hAnsi="Times New Roman" w:cs="Times New Roman"/>
                </w:rPr>
                <w:tag w:val="_PLD_b77e5d0637ca424ea3521e9194452268"/>
                <w:id w:val="-141183561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2FEC1CD"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经营性应付项目的增加（减少以</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w:t>
                    </w:r>
                    <w:r w:rsidRPr="000C4A76">
                      <w:rPr>
                        <w:rFonts w:ascii="Times New Roman" w:hAnsi="Times New Roman" w:cs="Times New Roman"/>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25D745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-3,103,286.39</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6452784" w14:textId="77777777" w:rsidR="00D21C1F" w:rsidRPr="000C4A76" w:rsidRDefault="00A42880" w:rsidP="000C4A76">
                <w:pPr>
                  <w:jc w:val="right"/>
                  <w:rPr>
                    <w:rFonts w:ascii="Times New Roman" w:hAnsi="Times New Roman" w:cs="Times New Roman"/>
                    <w:b/>
                  </w:rPr>
                </w:pPr>
                <w:r w:rsidRPr="000C4A76">
                  <w:rPr>
                    <w:rFonts w:ascii="Times New Roman" w:hAnsi="Times New Roman" w:cs="Times New Roman"/>
                  </w:rPr>
                  <w:t>-38,227,317.03</w:t>
                </w:r>
              </w:p>
            </w:tc>
          </w:tr>
          <w:tr w:rsidR="00D21C1F" w:rsidRPr="000C4A76" w14:paraId="0309574A" w14:textId="77777777" w:rsidTr="000C4A76">
            <w:sdt>
              <w:sdtPr>
                <w:rPr>
                  <w:rFonts w:ascii="Times New Roman" w:hAnsi="Times New Roman" w:cs="Times New Roman"/>
                </w:rPr>
                <w:tag w:val="_PLD_5e18d37458f0499f93803040a145120b"/>
                <w:id w:val="-48207571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1BFE2E1"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96F9374"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38788815"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r>
          <w:tr w:rsidR="00D21C1F" w:rsidRPr="000C4A76" w14:paraId="3A5FD043" w14:textId="77777777" w:rsidTr="000C4A76">
            <w:sdt>
              <w:sdtPr>
                <w:rPr>
                  <w:rFonts w:ascii="Times New Roman" w:hAnsi="Times New Roman" w:cs="Times New Roman"/>
                </w:rPr>
                <w:tag w:val="_PLD_cbbe2315982347e89e355315dde12742"/>
                <w:id w:val="-188847855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8665434"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8B909B7"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-115,634,806.07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DB66C26"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-5,876,671.47</w:t>
                </w:r>
              </w:p>
            </w:tc>
          </w:tr>
          <w:tr w:rsidR="00D21C1F" w:rsidRPr="000C4A76" w14:paraId="0B3A6ED8" w14:textId="77777777" w:rsidTr="000C4A76">
            <w:sdt>
              <w:sdtPr>
                <w:rPr>
                  <w:rFonts w:ascii="Times New Roman" w:hAnsi="Times New Roman" w:cs="Times New Roman"/>
                </w:rPr>
                <w:tag w:val="_PLD_db693429a97d44a2848da029ca6a724c"/>
                <w:id w:val="106714720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8C567BF" w14:textId="77777777" w:rsidR="00D21C1F" w:rsidRPr="000C4A76" w:rsidRDefault="00A42880">
                    <w:pPr>
                      <w:rPr>
                        <w:rFonts w:ascii="Times New Roman" w:hAnsi="Times New Roman" w:cs="Times New Roman"/>
                        <w:b/>
                        <w:bCs/>
                      </w:rPr>
                    </w:pPr>
                    <w:r w:rsidRPr="000C4A76">
                      <w:rPr>
                        <w:rFonts w:ascii="Times New Roman" w:hAnsi="Times New Roman" w:cs="Times New Roman"/>
                        <w:b/>
                        <w:bCs/>
                      </w:rPr>
                      <w:t>2</w:t>
                    </w:r>
                    <w:r w:rsidRPr="000C4A76">
                      <w:rPr>
                        <w:rFonts w:ascii="Times New Roman" w:hAnsi="Times New Roman" w:cs="Times New Roman"/>
                        <w:b/>
                        <w:bCs/>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829AFDB" w14:textId="77777777" w:rsidR="00D21C1F" w:rsidRPr="000C4A76" w:rsidRDefault="00D21C1F" w:rsidP="000C4A76">
                <w:pPr>
                  <w:jc w:val="right"/>
                  <w:rPr>
                    <w:rFonts w:ascii="Times New Roman" w:hAnsi="Times New Roman" w:cs="Times New Roman"/>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24C1125" w14:textId="77777777" w:rsidR="00D21C1F" w:rsidRPr="000C4A76" w:rsidRDefault="00D21C1F" w:rsidP="000C4A76">
                <w:pPr>
                  <w:jc w:val="right"/>
                  <w:rPr>
                    <w:rFonts w:ascii="Times New Roman" w:hAnsi="Times New Roman" w:cs="Times New Roman"/>
                  </w:rPr>
                </w:pPr>
              </w:p>
            </w:tc>
          </w:tr>
          <w:tr w:rsidR="00D21C1F" w:rsidRPr="000C4A76" w14:paraId="49D2C5F2" w14:textId="77777777" w:rsidTr="000C4A76">
            <w:sdt>
              <w:sdtPr>
                <w:rPr>
                  <w:rFonts w:ascii="Times New Roman" w:hAnsi="Times New Roman" w:cs="Times New Roman"/>
                </w:rPr>
                <w:tag w:val="_PLD_e0d4eb4cfadc41e79028384d476793f6"/>
                <w:id w:val="-149625097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BBB02FF"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06EE91F"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9F2271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r>
          <w:tr w:rsidR="00D21C1F" w:rsidRPr="000C4A76" w14:paraId="78B0ED54" w14:textId="77777777" w:rsidTr="000C4A76">
            <w:sdt>
              <w:sdtPr>
                <w:rPr>
                  <w:rFonts w:ascii="Times New Roman" w:hAnsi="Times New Roman" w:cs="Times New Roman"/>
                </w:rPr>
                <w:tag w:val="_PLD_4a6d0c6705c84302bf83bbc5e9c2e85e"/>
                <w:id w:val="-23871021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600A2EA"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一年内到期的可转换公司债券</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5176C838"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4EBE4AF"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r>
          <w:tr w:rsidR="00D21C1F" w:rsidRPr="000C4A76" w14:paraId="6205C247" w14:textId="77777777" w:rsidTr="000C4A76">
            <w:sdt>
              <w:sdtPr>
                <w:rPr>
                  <w:rFonts w:ascii="Times New Roman" w:hAnsi="Times New Roman" w:cs="Times New Roman"/>
                </w:rPr>
                <w:tag w:val="_PLD_4eb4a0a5a3e944b293d87cc004adc11f"/>
                <w:id w:val="-121049183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68DB4F7"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5642E8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F5A3090"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r>
          <w:tr w:rsidR="00D21C1F" w:rsidRPr="000C4A76" w14:paraId="62276845" w14:textId="77777777" w:rsidTr="000C4A76">
            <w:sdt>
              <w:sdtPr>
                <w:rPr>
                  <w:rFonts w:ascii="Times New Roman" w:hAnsi="Times New Roman" w:cs="Times New Roman"/>
                </w:rPr>
                <w:tag w:val="_PLD_1294459fe7ee46638b8d4b78b8d8c436"/>
                <w:id w:val="159274252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1FAFFF4" w14:textId="77777777" w:rsidR="00D21C1F" w:rsidRPr="000C4A76" w:rsidRDefault="00A42880">
                    <w:pPr>
                      <w:rPr>
                        <w:rFonts w:ascii="Times New Roman" w:hAnsi="Times New Roman" w:cs="Times New Roman"/>
                        <w:b/>
                        <w:bCs/>
                      </w:rPr>
                    </w:pPr>
                    <w:r w:rsidRPr="000C4A76">
                      <w:rPr>
                        <w:rFonts w:ascii="Times New Roman" w:hAnsi="Times New Roman" w:cs="Times New Roman"/>
                        <w:b/>
                        <w:bCs/>
                      </w:rPr>
                      <w:t>3</w:t>
                    </w:r>
                    <w:r w:rsidRPr="000C4A76">
                      <w:rPr>
                        <w:rFonts w:ascii="Times New Roman" w:hAnsi="Times New Roman" w:cs="Times New Roman"/>
                        <w:b/>
                        <w:bCs/>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539E52B" w14:textId="77777777" w:rsidR="00D21C1F" w:rsidRPr="000C4A76" w:rsidRDefault="00D21C1F" w:rsidP="000C4A76">
                <w:pPr>
                  <w:jc w:val="right"/>
                  <w:rPr>
                    <w:rFonts w:ascii="Times New Roman" w:hAnsi="Times New Roman" w:cs="Times New Roman"/>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9197EEE" w14:textId="77777777" w:rsidR="00D21C1F" w:rsidRPr="000C4A76" w:rsidRDefault="00D21C1F" w:rsidP="000C4A76">
                <w:pPr>
                  <w:jc w:val="right"/>
                  <w:rPr>
                    <w:rFonts w:ascii="Times New Roman" w:hAnsi="Times New Roman" w:cs="Times New Roman"/>
                  </w:rPr>
                </w:pPr>
              </w:p>
            </w:tc>
          </w:tr>
          <w:tr w:rsidR="00D21C1F" w:rsidRPr="000C4A76" w14:paraId="1809C65D" w14:textId="77777777" w:rsidTr="000C4A76">
            <w:sdt>
              <w:sdtPr>
                <w:rPr>
                  <w:rFonts w:ascii="Times New Roman" w:hAnsi="Times New Roman" w:cs="Times New Roman"/>
                </w:rPr>
                <w:tag w:val="_PLD_2082c840cddc45338520bd3516ed16c9"/>
                <w:id w:val="-153141330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CD809FE"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7041078"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449,796,761.55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61F8921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241,612,411.14</w:t>
                </w:r>
              </w:p>
            </w:tc>
          </w:tr>
          <w:tr w:rsidR="00D21C1F" w:rsidRPr="000C4A76" w14:paraId="536D32E7" w14:textId="77777777" w:rsidTr="000C4A76">
            <w:sdt>
              <w:sdtPr>
                <w:rPr>
                  <w:rFonts w:ascii="Times New Roman" w:hAnsi="Times New Roman" w:cs="Times New Roman"/>
                </w:rPr>
                <w:tag w:val="_PLD_a8039ff8828d402facebab3f2e19fcc0"/>
                <w:id w:val="-139403697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A0BAC3C"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CDB5A74" w14:textId="77777777" w:rsidR="00D21C1F" w:rsidRPr="000C4A76" w:rsidRDefault="00A42880" w:rsidP="000C4A76">
                <w:pPr>
                  <w:jc w:val="right"/>
                  <w:rPr>
                    <w:rFonts w:ascii="Times New Roman" w:hAnsi="Times New Roman" w:cs="Times New Roman"/>
                    <w:bCs/>
                  </w:rPr>
                </w:pPr>
                <w:r w:rsidRPr="000C4A76">
                  <w:rPr>
                    <w:rFonts w:ascii="Times New Roman" w:hAnsi="Times New Roman" w:cs="Times New Roman"/>
                    <w:bCs/>
                  </w:rPr>
                  <w:t>284,385,755.53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629FA1E" w14:textId="77777777" w:rsidR="00D21C1F" w:rsidRPr="000C4A76" w:rsidRDefault="00A42880" w:rsidP="000C4A76">
                <w:pPr>
                  <w:jc w:val="right"/>
                  <w:rPr>
                    <w:rFonts w:ascii="Times New Roman" w:hAnsi="Times New Roman" w:cs="Times New Roman"/>
                    <w:bCs/>
                  </w:rPr>
                </w:pPr>
                <w:r w:rsidRPr="000C4A76">
                  <w:rPr>
                    <w:rFonts w:ascii="Times New Roman" w:hAnsi="Times New Roman" w:cs="Times New Roman"/>
                  </w:rPr>
                  <w:t>184,566,768.06</w:t>
                </w:r>
              </w:p>
            </w:tc>
          </w:tr>
          <w:tr w:rsidR="00D21C1F" w:rsidRPr="000C4A76" w14:paraId="6941F14B" w14:textId="77777777" w:rsidTr="000C4A76">
            <w:sdt>
              <w:sdtPr>
                <w:rPr>
                  <w:rFonts w:ascii="Times New Roman" w:hAnsi="Times New Roman" w:cs="Times New Roman"/>
                </w:rPr>
                <w:tag w:val="_PLD_2b870bd2bf7a4a1c8f0ef717c730f23e"/>
                <w:id w:val="44372907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F46B83D"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716BA59"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3DF7DF65"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w:t>
                </w:r>
              </w:p>
            </w:tc>
          </w:tr>
          <w:tr w:rsidR="00D21C1F" w:rsidRPr="000C4A76" w14:paraId="26A5CC9F" w14:textId="77777777" w:rsidTr="000C4A76">
            <w:sdt>
              <w:sdtPr>
                <w:rPr>
                  <w:rFonts w:ascii="Times New Roman" w:hAnsi="Times New Roman" w:cs="Times New Roman"/>
                </w:rPr>
                <w:tag w:val="_PLD_ad568407cb3c454d95c72fc52ac36fe9"/>
                <w:id w:val="-71905167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1D2AEA7"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A82FF6E" w14:textId="77777777" w:rsidR="00D21C1F" w:rsidRPr="000C4A76" w:rsidRDefault="00A42880" w:rsidP="000C4A76">
                <w:pPr>
                  <w:jc w:val="right"/>
                  <w:rPr>
                    <w:rFonts w:ascii="Times New Roman" w:hAnsi="Times New Roman" w:cs="Times New Roman"/>
                    <w:bCs/>
                  </w:rPr>
                </w:pPr>
                <w:r w:rsidRPr="000C4A76">
                  <w:rPr>
                    <w:rFonts w:ascii="Times New Roman" w:hAnsi="Times New Roman" w:cs="Times New Roman"/>
                    <w:bCs/>
                  </w:rPr>
                  <w:t>-</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E8DF2BA" w14:textId="77777777" w:rsidR="00D21C1F" w:rsidRPr="000C4A76" w:rsidRDefault="00A42880" w:rsidP="000C4A76">
                <w:pPr>
                  <w:jc w:val="right"/>
                  <w:rPr>
                    <w:rFonts w:ascii="Times New Roman" w:hAnsi="Times New Roman" w:cs="Times New Roman"/>
                    <w:bCs/>
                  </w:rPr>
                </w:pPr>
                <w:r w:rsidRPr="000C4A76">
                  <w:rPr>
                    <w:rFonts w:ascii="Times New Roman" w:hAnsi="Times New Roman" w:cs="Times New Roman"/>
                  </w:rPr>
                  <w:t>-</w:t>
                </w:r>
              </w:p>
            </w:tc>
          </w:tr>
          <w:tr w:rsidR="00D21C1F" w:rsidRPr="000C4A76" w14:paraId="0CC8FB93" w14:textId="77777777" w:rsidTr="000C4A76">
            <w:sdt>
              <w:sdtPr>
                <w:rPr>
                  <w:rFonts w:ascii="Times New Roman" w:hAnsi="Times New Roman" w:cs="Times New Roman"/>
                </w:rPr>
                <w:tag w:val="_PLD_2dd0b4fbd20a49c1991e732523abf0b3"/>
                <w:id w:val="51474020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1A7BDC3" w14:textId="77777777" w:rsidR="00D21C1F" w:rsidRPr="000C4A76" w:rsidRDefault="00A42880">
                    <w:pPr>
                      <w:pStyle w:val="97"/>
                      <w:rPr>
                        <w:rFonts w:ascii="Times New Roman" w:hAnsi="Times New Roman" w:cs="Times New Roman"/>
                      </w:rPr>
                    </w:pPr>
                    <w:r w:rsidRPr="000C4A76">
                      <w:rPr>
                        <w:rFonts w:ascii="Times New Roman" w:hAnsi="Times New Roman" w:cs="Times New Roman"/>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5B27BF0D" w14:textId="77777777" w:rsidR="00D21C1F" w:rsidRPr="000C4A76" w:rsidRDefault="00A42880" w:rsidP="000C4A76">
                <w:pPr>
                  <w:jc w:val="right"/>
                  <w:rPr>
                    <w:rFonts w:ascii="Times New Roman" w:hAnsi="Times New Roman" w:cs="Times New Roman"/>
                  </w:rPr>
                </w:pPr>
                <w:r w:rsidRPr="000C4A76">
                  <w:rPr>
                    <w:rFonts w:ascii="Times New Roman" w:hAnsi="Times New Roman" w:cs="Times New Roman"/>
                  </w:rPr>
                  <w:t>165,411,006.02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ED92E11" w14:textId="77777777" w:rsidR="00D21C1F" w:rsidRPr="000C4A76" w:rsidRDefault="00A42880" w:rsidP="000C4A76">
                <w:pPr>
                  <w:jc w:val="right"/>
                  <w:rPr>
                    <w:rFonts w:ascii="Times New Roman" w:hAnsi="Times New Roman" w:cs="Times New Roman"/>
                    <w:bCs/>
                  </w:rPr>
                </w:pPr>
                <w:r w:rsidRPr="000C4A76">
                  <w:rPr>
                    <w:rFonts w:ascii="Times New Roman" w:hAnsi="Times New Roman" w:cs="Times New Roman"/>
                  </w:rPr>
                  <w:t>57,045,643.08</w:t>
                </w:r>
              </w:p>
            </w:tc>
          </w:tr>
        </w:tbl>
        <w:p w14:paraId="1567EF20" w14:textId="77777777" w:rsidR="00D21C1F" w:rsidRDefault="00045EC6">
          <w:pPr>
            <w:pStyle w:val="97"/>
          </w:pPr>
        </w:p>
      </w:sdtContent>
    </w:sdt>
    <w:sdt>
      <w:sdtPr>
        <w:rPr>
          <w:rFonts w:ascii="宋体" w:hAnsi="宋体" w:cs="宋体" w:hint="eastAsia"/>
          <w:b w:val="0"/>
          <w:bCs w:val="0"/>
          <w:kern w:val="0"/>
          <w:szCs w:val="21"/>
        </w:rPr>
        <w:alias w:val="模块:取得子公司支付的现金净额"/>
        <w:tag w:val="_GBC_4161b069f3a54b4a9ab95be67b841c16"/>
        <w:id w:val="-673109141"/>
        <w:lock w:val="sdtLocked"/>
        <w:placeholder>
          <w:docPart w:val="GBC22222222222222222222222222222"/>
        </w:placeholder>
      </w:sdtPr>
      <w:sdtEndPr/>
      <w:sdtContent>
        <w:p w14:paraId="4F4D655B" w14:textId="77777777" w:rsidR="00D21C1F" w:rsidRDefault="00A42880">
          <w:pPr>
            <w:pStyle w:val="93"/>
            <w:numPr>
              <w:ilvl w:val="0"/>
              <w:numId w:val="126"/>
            </w:numPr>
            <w:rPr>
              <w:rFonts w:ascii="宋体" w:hAnsi="宋体"/>
              <w:szCs w:val="21"/>
            </w:rPr>
          </w:pPr>
          <w:r>
            <w:rPr>
              <w:rFonts w:ascii="宋体" w:hAnsi="宋体" w:cs="宋体" w:hint="eastAsia"/>
              <w:bCs w:val="0"/>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1477988322"/>
            <w:lock w:val="sdtLocked"/>
            <w:placeholder>
              <w:docPart w:val="GBC22222222222222222222222222222"/>
            </w:placeholder>
          </w:sdtPr>
          <w:sdtEndPr/>
          <w:sdtContent>
            <w:p w14:paraId="67363FE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处置子公司收到的现金净额"/>
        <w:tag w:val="_GBC_2b15b115b2104b8ba327581d943203fc"/>
        <w:id w:val="-1807700001"/>
        <w:lock w:val="sdtLocked"/>
        <w:placeholder>
          <w:docPart w:val="GBC22222222222222222222222222222"/>
        </w:placeholder>
      </w:sdtPr>
      <w:sdtEndPr/>
      <w:sdtContent>
        <w:p w14:paraId="273D8331" w14:textId="77777777" w:rsidR="00D21C1F" w:rsidRDefault="00A42880">
          <w:pPr>
            <w:pStyle w:val="93"/>
            <w:numPr>
              <w:ilvl w:val="0"/>
              <w:numId w:val="126"/>
            </w:numPr>
            <w:rPr>
              <w:rFonts w:ascii="宋体" w:hAnsi="宋体"/>
            </w:rPr>
          </w:pPr>
          <w:r>
            <w:rPr>
              <w:rFonts w:ascii="宋体" w:hAnsi="宋体" w:cs="宋体" w:hint="eastAsia"/>
              <w:bCs w:val="0"/>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36126230"/>
            <w:lock w:val="sdtLocked"/>
            <w:placeholder>
              <w:docPart w:val="GBC22222222222222222222222222222"/>
            </w:placeholder>
          </w:sdtPr>
          <w:sdtEndPr/>
          <w:sdtContent>
            <w:p w14:paraId="7DDEAA3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1"/>
        </w:rPr>
        <w:alias w:val="模块:现金和现金等价物的构成"/>
        <w:tag w:val="_GBC_b19766ead83d4bb4825af61147af6138"/>
        <w:id w:val="1263495413"/>
        <w:lock w:val="sdtLocked"/>
        <w:placeholder>
          <w:docPart w:val="GBC22222222222222222222222222222"/>
        </w:placeholder>
      </w:sdtPr>
      <w:sdtEndPr>
        <w:rPr>
          <w:rFonts w:hint="default"/>
          <w:szCs w:val="22"/>
        </w:rPr>
      </w:sdtEndPr>
      <w:sdtContent>
        <w:p w14:paraId="623501C1" w14:textId="77777777" w:rsidR="00D21C1F" w:rsidRDefault="00A42880">
          <w:pPr>
            <w:pStyle w:val="93"/>
            <w:numPr>
              <w:ilvl w:val="0"/>
              <w:numId w:val="126"/>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1959524909"/>
            <w:lock w:val="sdtLocked"/>
            <w:placeholder>
              <w:docPart w:val="GBC22222222222222222222222222222"/>
            </w:placeholder>
          </w:sdtPr>
          <w:sdtEndPr/>
          <w:sdtContent>
            <w:p w14:paraId="26913A0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6C147B" w14:textId="77777777" w:rsidR="00D21C1F" w:rsidRDefault="00A42880">
          <w:pPr>
            <w:jc w:val="right"/>
            <w:rPr>
              <w:b/>
              <w:szCs w:val="21"/>
            </w:rPr>
          </w:pPr>
          <w:r>
            <w:rPr>
              <w:rFonts w:hint="eastAsia"/>
            </w:rPr>
            <w:t>单位：</w:t>
          </w:r>
          <w:sdt>
            <w:sdtPr>
              <w:rPr>
                <w:rFonts w:hint="eastAsia"/>
              </w:rPr>
              <w:alias w:val="单位：财务附注：现金和现金等价物的构成"/>
              <w:tag w:val="_GBC_b65333ba6aec402382c4acbbb6696560"/>
              <w:id w:val="-102582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现金和现金等价物的构成"/>
              <w:tag w:val="_GBC_15cada3a52264083942ef83a40fa25a0"/>
              <w:id w:val="20706020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D21C1F" w14:paraId="78450013" w14:textId="77777777">
            <w:trPr>
              <w:trHeight w:val="285"/>
            </w:trPr>
            <w:sdt>
              <w:sdtPr>
                <w:tag w:val="_PLD_d5bf85e9303e4843a7623f09eae933c6"/>
                <w:id w:val="-1442677034"/>
                <w:lock w:val="sdtLocked"/>
              </w:sdtPr>
              <w:sdtEndPr/>
              <w:sdtContent>
                <w:tc>
                  <w:tcPr>
                    <w:tcW w:w="1875" w:type="pct"/>
                    <w:tcBorders>
                      <w:bottom w:val="single" w:sz="4" w:space="0" w:color="auto"/>
                    </w:tcBorders>
                    <w:shd w:val="clear" w:color="auto" w:fill="auto"/>
                    <w:vAlign w:val="center"/>
                  </w:tcPr>
                  <w:p w14:paraId="495A88C7" w14:textId="77777777" w:rsidR="00D21C1F" w:rsidRDefault="00A42880">
                    <w:pPr>
                      <w:ind w:leftChars="-51" w:left="-107"/>
                      <w:jc w:val="center"/>
                      <w:rPr>
                        <w:szCs w:val="21"/>
                      </w:rPr>
                    </w:pPr>
                    <w:r>
                      <w:rPr>
                        <w:rFonts w:hint="eastAsia"/>
                        <w:szCs w:val="21"/>
                      </w:rPr>
                      <w:t>项目</w:t>
                    </w:r>
                  </w:p>
                </w:tc>
              </w:sdtContent>
            </w:sdt>
            <w:sdt>
              <w:sdtPr>
                <w:tag w:val="_PLD_e3a960d2f6474687b9cbaec3f1075e19"/>
                <w:id w:val="667446790"/>
                <w:lock w:val="sdtLocked"/>
              </w:sdtPr>
              <w:sdtEndPr/>
              <w:sdtContent>
                <w:tc>
                  <w:tcPr>
                    <w:tcW w:w="1614" w:type="pct"/>
                    <w:shd w:val="clear" w:color="auto" w:fill="auto"/>
                    <w:vAlign w:val="center"/>
                  </w:tcPr>
                  <w:p w14:paraId="313E08D2" w14:textId="77777777" w:rsidR="00D21C1F" w:rsidRDefault="00A42880">
                    <w:pPr>
                      <w:jc w:val="center"/>
                      <w:rPr>
                        <w:szCs w:val="21"/>
                      </w:rPr>
                    </w:pPr>
                    <w:r>
                      <w:rPr>
                        <w:rFonts w:hint="eastAsia"/>
                        <w:szCs w:val="21"/>
                      </w:rPr>
                      <w:t>期末余额</w:t>
                    </w:r>
                  </w:p>
                </w:tc>
              </w:sdtContent>
            </w:sdt>
            <w:sdt>
              <w:sdtPr>
                <w:tag w:val="_PLD_0d0909eba9344c8ab96c7fb88f0b117a"/>
                <w:id w:val="599539421"/>
                <w:lock w:val="sdtLocked"/>
              </w:sdtPr>
              <w:sdtEndPr/>
              <w:sdtContent>
                <w:tc>
                  <w:tcPr>
                    <w:tcW w:w="1511" w:type="pct"/>
                    <w:shd w:val="clear" w:color="auto" w:fill="auto"/>
                  </w:tcPr>
                  <w:p w14:paraId="33E5218D" w14:textId="77777777" w:rsidR="00D21C1F" w:rsidRDefault="00A42880">
                    <w:pPr>
                      <w:jc w:val="center"/>
                      <w:rPr>
                        <w:szCs w:val="21"/>
                      </w:rPr>
                    </w:pPr>
                    <w:r>
                      <w:rPr>
                        <w:rFonts w:hint="eastAsia"/>
                        <w:szCs w:val="21"/>
                      </w:rPr>
                      <w:t>期初余额</w:t>
                    </w:r>
                  </w:p>
                </w:tc>
              </w:sdtContent>
            </w:sdt>
          </w:tr>
          <w:tr w:rsidR="00D21C1F" w14:paraId="4DF1B222" w14:textId="77777777" w:rsidTr="00E35692">
            <w:trPr>
              <w:trHeight w:val="285"/>
            </w:trPr>
            <w:sdt>
              <w:sdtPr>
                <w:tag w:val="_PLD_6a173ce99a864661a21d726eff0af5b3"/>
                <w:id w:val="674697850"/>
                <w:lock w:val="sdtLocked"/>
              </w:sdtPr>
              <w:sdtEndPr/>
              <w:sdtContent>
                <w:tc>
                  <w:tcPr>
                    <w:tcW w:w="1875" w:type="pct"/>
                    <w:shd w:val="clear" w:color="auto" w:fill="auto"/>
                    <w:vAlign w:val="center"/>
                  </w:tcPr>
                  <w:p w14:paraId="0A20E1A6" w14:textId="77777777" w:rsidR="00D21C1F" w:rsidRDefault="00A42880">
                    <w:pPr>
                      <w:rPr>
                        <w:szCs w:val="21"/>
                      </w:rPr>
                    </w:pPr>
                    <w:r>
                      <w:rPr>
                        <w:rFonts w:hint="eastAsia"/>
                        <w:szCs w:val="21"/>
                      </w:rPr>
                      <w:t>一、现金</w:t>
                    </w:r>
                  </w:p>
                </w:tc>
              </w:sdtContent>
            </w:sdt>
            <w:tc>
              <w:tcPr>
                <w:tcW w:w="1614" w:type="pct"/>
                <w:shd w:val="clear" w:color="auto" w:fill="auto"/>
                <w:vAlign w:val="center"/>
              </w:tcPr>
              <w:p w14:paraId="2A7D63D0"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rPr>
                  <w:t>449,796,761.55</w:t>
                </w:r>
              </w:p>
            </w:tc>
            <w:tc>
              <w:tcPr>
                <w:tcW w:w="1511" w:type="pct"/>
                <w:shd w:val="clear" w:color="auto" w:fill="auto"/>
                <w:vAlign w:val="center"/>
              </w:tcPr>
              <w:p w14:paraId="276AF97B"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rPr>
                  <w:t>284,385,755.53</w:t>
                </w:r>
              </w:p>
            </w:tc>
          </w:tr>
          <w:tr w:rsidR="00D21C1F" w14:paraId="1A311303" w14:textId="77777777" w:rsidTr="00E35692">
            <w:trPr>
              <w:trHeight w:val="285"/>
            </w:trPr>
            <w:sdt>
              <w:sdtPr>
                <w:tag w:val="_PLD_00026e2b0a3d4b39803714a078a9949d"/>
                <w:id w:val="239596289"/>
                <w:lock w:val="sdtLocked"/>
              </w:sdtPr>
              <w:sdtEndPr/>
              <w:sdtContent>
                <w:tc>
                  <w:tcPr>
                    <w:tcW w:w="1875" w:type="pct"/>
                    <w:shd w:val="clear" w:color="auto" w:fill="auto"/>
                    <w:vAlign w:val="center"/>
                  </w:tcPr>
                  <w:p w14:paraId="4C4BA302" w14:textId="77777777" w:rsidR="00D21C1F" w:rsidRDefault="00A42880">
                    <w:pPr>
                      <w:rPr>
                        <w:szCs w:val="21"/>
                      </w:rPr>
                    </w:pPr>
                    <w:r>
                      <w:rPr>
                        <w:rFonts w:hint="eastAsia"/>
                        <w:szCs w:val="21"/>
                      </w:rPr>
                      <w:t>其中：库存现金</w:t>
                    </w:r>
                  </w:p>
                </w:tc>
              </w:sdtContent>
            </w:sdt>
            <w:tc>
              <w:tcPr>
                <w:tcW w:w="1614" w:type="pct"/>
                <w:shd w:val="clear" w:color="auto" w:fill="auto"/>
                <w:vAlign w:val="center"/>
              </w:tcPr>
              <w:p w14:paraId="0CB969B5"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rPr>
                  <w:t>202,452.61</w:t>
                </w:r>
              </w:p>
            </w:tc>
            <w:tc>
              <w:tcPr>
                <w:tcW w:w="1511" w:type="pct"/>
                <w:shd w:val="clear" w:color="auto" w:fill="auto"/>
                <w:vAlign w:val="center"/>
              </w:tcPr>
              <w:p w14:paraId="40190066"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rPr>
                  <w:t>248,919.72</w:t>
                </w:r>
              </w:p>
            </w:tc>
          </w:tr>
          <w:tr w:rsidR="00D21C1F" w14:paraId="1169946E" w14:textId="77777777" w:rsidTr="00E35692">
            <w:trPr>
              <w:trHeight w:val="285"/>
            </w:trPr>
            <w:sdt>
              <w:sdtPr>
                <w:tag w:val="_PLD_703c5ac82ddb4fd7bf9d7372c95ca92f"/>
                <w:id w:val="-703855155"/>
                <w:lock w:val="sdtLocked"/>
              </w:sdtPr>
              <w:sdtEndPr/>
              <w:sdtContent>
                <w:tc>
                  <w:tcPr>
                    <w:tcW w:w="1875" w:type="pct"/>
                    <w:shd w:val="clear" w:color="auto" w:fill="auto"/>
                    <w:vAlign w:val="center"/>
                  </w:tcPr>
                  <w:p w14:paraId="67B31847" w14:textId="77777777" w:rsidR="00D21C1F" w:rsidRDefault="00A42880">
                    <w:pPr>
                      <w:rPr>
                        <w:szCs w:val="21"/>
                      </w:rPr>
                    </w:pPr>
                    <w:r>
                      <w:rPr>
                        <w:rFonts w:hint="eastAsia"/>
                        <w:szCs w:val="21"/>
                      </w:rPr>
                      <w:t>可随时用于支付的银行存款</w:t>
                    </w:r>
                  </w:p>
                </w:tc>
              </w:sdtContent>
            </w:sdt>
            <w:tc>
              <w:tcPr>
                <w:tcW w:w="1614" w:type="pct"/>
                <w:shd w:val="clear" w:color="auto" w:fill="auto"/>
                <w:vAlign w:val="center"/>
              </w:tcPr>
              <w:p w14:paraId="5CB752DA"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rPr>
                  <w:t>449,594,211.06</w:t>
                </w:r>
              </w:p>
            </w:tc>
            <w:tc>
              <w:tcPr>
                <w:tcW w:w="1511" w:type="pct"/>
                <w:shd w:val="clear" w:color="auto" w:fill="auto"/>
                <w:vAlign w:val="center"/>
              </w:tcPr>
              <w:p w14:paraId="7FF26715"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rPr>
                  <w:t>284,136,835.81</w:t>
                </w:r>
              </w:p>
            </w:tc>
          </w:tr>
          <w:tr w:rsidR="00D21C1F" w14:paraId="0F5DF183" w14:textId="77777777" w:rsidTr="00E35692">
            <w:trPr>
              <w:trHeight w:val="285"/>
            </w:trPr>
            <w:sdt>
              <w:sdtPr>
                <w:tag w:val="_PLD_39dc74346d4643c0b32e781621749a55"/>
                <w:id w:val="-956552506"/>
                <w:lock w:val="sdtLocked"/>
              </w:sdtPr>
              <w:sdtEndPr/>
              <w:sdtContent>
                <w:tc>
                  <w:tcPr>
                    <w:tcW w:w="1875" w:type="pct"/>
                    <w:shd w:val="clear" w:color="auto" w:fill="auto"/>
                    <w:vAlign w:val="center"/>
                  </w:tcPr>
                  <w:p w14:paraId="1A7006EC" w14:textId="77777777" w:rsidR="00D21C1F" w:rsidRDefault="00A42880">
                    <w:pPr>
                      <w:rPr>
                        <w:szCs w:val="21"/>
                      </w:rPr>
                    </w:pPr>
                    <w:r>
                      <w:rPr>
                        <w:rFonts w:hint="eastAsia"/>
                        <w:szCs w:val="21"/>
                      </w:rPr>
                      <w:t>可随时用于支付的其他货币资金</w:t>
                    </w:r>
                  </w:p>
                </w:tc>
              </w:sdtContent>
            </w:sdt>
            <w:tc>
              <w:tcPr>
                <w:tcW w:w="1614" w:type="pct"/>
                <w:shd w:val="clear" w:color="auto" w:fill="auto"/>
                <w:vAlign w:val="center"/>
              </w:tcPr>
              <w:p w14:paraId="56C63FBC"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rPr>
                  <w:t>97.88</w:t>
                </w:r>
              </w:p>
            </w:tc>
            <w:tc>
              <w:tcPr>
                <w:tcW w:w="1511" w:type="pct"/>
                <w:shd w:val="clear" w:color="auto" w:fill="auto"/>
                <w:vAlign w:val="center"/>
              </w:tcPr>
              <w:p w14:paraId="0E87EB63"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szCs w:val="21"/>
                  </w:rPr>
                  <w:t>-</w:t>
                </w:r>
              </w:p>
            </w:tc>
          </w:tr>
          <w:tr w:rsidR="00D21C1F" w14:paraId="752A55AC" w14:textId="77777777" w:rsidTr="00E35692">
            <w:trPr>
              <w:trHeight w:val="285"/>
            </w:trPr>
            <w:sdt>
              <w:sdtPr>
                <w:tag w:val="_PLD_908c5e073add4fa8a13ed054455379d9"/>
                <w:id w:val="1243296959"/>
                <w:lock w:val="sdtLocked"/>
              </w:sdtPr>
              <w:sdtEndPr/>
              <w:sdtContent>
                <w:tc>
                  <w:tcPr>
                    <w:tcW w:w="1875" w:type="pct"/>
                    <w:shd w:val="clear" w:color="auto" w:fill="auto"/>
                    <w:vAlign w:val="center"/>
                  </w:tcPr>
                  <w:p w14:paraId="2206D914" w14:textId="77777777" w:rsidR="00D21C1F" w:rsidRDefault="00A42880">
                    <w:pPr>
                      <w:rPr>
                        <w:szCs w:val="21"/>
                      </w:rPr>
                    </w:pPr>
                    <w:r>
                      <w:rPr>
                        <w:rFonts w:hint="eastAsia"/>
                        <w:szCs w:val="21"/>
                      </w:rPr>
                      <w:t>二、现金等价物</w:t>
                    </w:r>
                  </w:p>
                </w:tc>
              </w:sdtContent>
            </w:sdt>
            <w:tc>
              <w:tcPr>
                <w:tcW w:w="1614" w:type="pct"/>
                <w:shd w:val="clear" w:color="auto" w:fill="auto"/>
                <w:vAlign w:val="center"/>
              </w:tcPr>
              <w:p w14:paraId="7BC2875D" w14:textId="77777777" w:rsidR="00D21C1F" w:rsidRPr="00E35692" w:rsidRDefault="00D21C1F" w:rsidP="00E35692">
                <w:pPr>
                  <w:jc w:val="right"/>
                  <w:rPr>
                    <w:rFonts w:ascii="Times New Roman" w:hAnsi="Times New Roman" w:cs="Times New Roman"/>
                    <w:szCs w:val="21"/>
                  </w:rPr>
                </w:pPr>
              </w:p>
            </w:tc>
            <w:tc>
              <w:tcPr>
                <w:tcW w:w="1511" w:type="pct"/>
                <w:shd w:val="clear" w:color="auto" w:fill="auto"/>
                <w:vAlign w:val="center"/>
              </w:tcPr>
              <w:p w14:paraId="70CFF657" w14:textId="77777777" w:rsidR="00D21C1F" w:rsidRPr="00E35692" w:rsidRDefault="00D21C1F" w:rsidP="00E35692">
                <w:pPr>
                  <w:jc w:val="right"/>
                  <w:rPr>
                    <w:rFonts w:ascii="Times New Roman" w:hAnsi="Times New Roman" w:cs="Times New Roman"/>
                    <w:szCs w:val="21"/>
                  </w:rPr>
                </w:pPr>
              </w:p>
            </w:tc>
          </w:tr>
          <w:tr w:rsidR="00D21C1F" w14:paraId="4EA15A5C" w14:textId="77777777" w:rsidTr="00E35692">
            <w:trPr>
              <w:trHeight w:val="285"/>
            </w:trPr>
            <w:sdt>
              <w:sdtPr>
                <w:tag w:val="_PLD_652a861f17ac4cdd9702ff63844d42cc"/>
                <w:id w:val="-576896513"/>
                <w:lock w:val="sdtLocked"/>
              </w:sdtPr>
              <w:sdtEndPr/>
              <w:sdtContent>
                <w:tc>
                  <w:tcPr>
                    <w:tcW w:w="1875" w:type="pct"/>
                    <w:tcBorders>
                      <w:bottom w:val="single" w:sz="4" w:space="0" w:color="auto"/>
                    </w:tcBorders>
                    <w:shd w:val="clear" w:color="auto" w:fill="auto"/>
                    <w:vAlign w:val="center"/>
                  </w:tcPr>
                  <w:p w14:paraId="7425A13D" w14:textId="77777777" w:rsidR="00D21C1F" w:rsidRDefault="00A42880">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vAlign w:val="center"/>
              </w:tcPr>
              <w:p w14:paraId="62A7A7CE"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szCs w:val="21"/>
                  </w:rPr>
                  <w:t>-</w:t>
                </w:r>
              </w:p>
            </w:tc>
            <w:tc>
              <w:tcPr>
                <w:tcW w:w="1511" w:type="pct"/>
                <w:tcBorders>
                  <w:bottom w:val="single" w:sz="4" w:space="0" w:color="auto"/>
                </w:tcBorders>
                <w:shd w:val="clear" w:color="auto" w:fill="auto"/>
                <w:vAlign w:val="center"/>
              </w:tcPr>
              <w:p w14:paraId="54DD7369"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szCs w:val="21"/>
                  </w:rPr>
                  <w:t>-</w:t>
                </w:r>
              </w:p>
            </w:tc>
          </w:tr>
          <w:tr w:rsidR="00D21C1F" w14:paraId="13FD2A98" w14:textId="77777777" w:rsidTr="00E35692">
            <w:trPr>
              <w:trHeight w:val="285"/>
            </w:trPr>
            <w:sdt>
              <w:sdtPr>
                <w:tag w:val="_PLD_4d07bfc591df4d5483e486621c246fa5"/>
                <w:id w:val="664049599"/>
                <w:lock w:val="sdtLocked"/>
              </w:sdtPr>
              <w:sdtEndPr/>
              <w:sdtContent>
                <w:tc>
                  <w:tcPr>
                    <w:tcW w:w="1875" w:type="pct"/>
                    <w:shd w:val="clear" w:color="auto" w:fill="auto"/>
                    <w:vAlign w:val="center"/>
                  </w:tcPr>
                  <w:p w14:paraId="1F1465BF" w14:textId="77777777" w:rsidR="00D21C1F" w:rsidRDefault="00A42880">
                    <w:pPr>
                      <w:rPr>
                        <w:szCs w:val="21"/>
                      </w:rPr>
                    </w:pPr>
                    <w:r>
                      <w:rPr>
                        <w:rFonts w:hint="eastAsia"/>
                        <w:szCs w:val="21"/>
                      </w:rPr>
                      <w:t>三、期末现金及现金等价物余额</w:t>
                    </w:r>
                  </w:p>
                </w:tc>
              </w:sdtContent>
            </w:sdt>
            <w:tc>
              <w:tcPr>
                <w:tcW w:w="1614" w:type="pct"/>
                <w:shd w:val="clear" w:color="auto" w:fill="auto"/>
                <w:vAlign w:val="center"/>
              </w:tcPr>
              <w:p w14:paraId="6C90208F"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szCs w:val="21"/>
                  </w:rPr>
                  <w:t>449,796,761.55</w:t>
                </w:r>
              </w:p>
            </w:tc>
            <w:tc>
              <w:tcPr>
                <w:tcW w:w="1511" w:type="pct"/>
                <w:shd w:val="clear" w:color="auto" w:fill="auto"/>
                <w:vAlign w:val="center"/>
              </w:tcPr>
              <w:p w14:paraId="703DF56C"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szCs w:val="21"/>
                  </w:rPr>
                  <w:t>284,385,755.53</w:t>
                </w:r>
              </w:p>
            </w:tc>
          </w:tr>
          <w:tr w:rsidR="00D21C1F" w14:paraId="14D09B8F" w14:textId="77777777" w:rsidTr="00E35692">
            <w:trPr>
              <w:trHeight w:val="285"/>
            </w:trPr>
            <w:sdt>
              <w:sdtPr>
                <w:tag w:val="_PLD_a7dfcdf890714f1c879ddf8d09d45801"/>
                <w:id w:val="-402146276"/>
                <w:lock w:val="sdtLocked"/>
              </w:sdtPr>
              <w:sdtEndPr/>
              <w:sdtContent>
                <w:tc>
                  <w:tcPr>
                    <w:tcW w:w="1875" w:type="pct"/>
                    <w:shd w:val="clear" w:color="auto" w:fill="auto"/>
                    <w:vAlign w:val="center"/>
                  </w:tcPr>
                  <w:p w14:paraId="7257D485" w14:textId="77777777" w:rsidR="00D21C1F" w:rsidRDefault="00A42880">
                    <w:pPr>
                      <w:rPr>
                        <w:szCs w:val="21"/>
                      </w:rPr>
                    </w:pPr>
                    <w:r>
                      <w:rPr>
                        <w:rFonts w:hint="eastAsia"/>
                        <w:szCs w:val="21"/>
                      </w:rPr>
                      <w:t>其中：母公司或集团内子公司使用受限制的现金和现金等价物</w:t>
                    </w:r>
                  </w:p>
                </w:tc>
              </w:sdtContent>
            </w:sdt>
            <w:tc>
              <w:tcPr>
                <w:tcW w:w="1614" w:type="pct"/>
                <w:shd w:val="clear" w:color="auto" w:fill="auto"/>
                <w:vAlign w:val="center"/>
              </w:tcPr>
              <w:p w14:paraId="2E80E136"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szCs w:val="21"/>
                  </w:rPr>
                  <w:t>-</w:t>
                </w:r>
              </w:p>
            </w:tc>
            <w:tc>
              <w:tcPr>
                <w:tcW w:w="1511" w:type="pct"/>
                <w:shd w:val="clear" w:color="auto" w:fill="auto"/>
                <w:vAlign w:val="center"/>
              </w:tcPr>
              <w:p w14:paraId="214CA7DD" w14:textId="77777777" w:rsidR="00D21C1F" w:rsidRPr="00E35692" w:rsidRDefault="00A42880" w:rsidP="00E35692">
                <w:pPr>
                  <w:jc w:val="right"/>
                  <w:rPr>
                    <w:rFonts w:ascii="Times New Roman" w:hAnsi="Times New Roman" w:cs="Times New Roman"/>
                    <w:szCs w:val="21"/>
                  </w:rPr>
                </w:pPr>
                <w:r w:rsidRPr="00E35692">
                  <w:rPr>
                    <w:rFonts w:ascii="Times New Roman" w:hAnsi="Times New Roman" w:cs="Times New Roman"/>
                    <w:szCs w:val="21"/>
                  </w:rPr>
                  <w:t>-</w:t>
                </w:r>
              </w:p>
            </w:tc>
          </w:tr>
        </w:tbl>
        <w:p w14:paraId="21EC815C" w14:textId="77777777" w:rsidR="00D21C1F" w:rsidRDefault="00A42880">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756436852"/>
            <w:lock w:val="sdtLocked"/>
            <w:placeholder>
              <w:docPart w:val="GBC22222222222222222222222222222"/>
            </w:placeholder>
          </w:sdtPr>
          <w:sdtEndPr/>
          <w:sdtContent>
            <w:p w14:paraId="092B7A0C" w14:textId="77777777" w:rsidR="00D21C1F" w:rsidRDefault="00A42880">
              <w:pPr>
                <w:spacing w:before="60" w:after="6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3F5C6BE" w14:textId="77777777" w:rsidR="00D21C1F" w:rsidRDefault="00D21C1F">
      <w:pPr>
        <w:pStyle w:val="97"/>
      </w:pPr>
    </w:p>
    <w:sdt>
      <w:sdtPr>
        <w:rPr>
          <w:rFonts w:ascii="宋体" w:eastAsia="宋体" w:hAnsi="宋体" w:cs="宋体" w:hint="eastAsia"/>
          <w:b w:val="0"/>
          <w:bCs w:val="0"/>
          <w:kern w:val="0"/>
          <w:szCs w:val="21"/>
        </w:rPr>
        <w:alias w:val="模块:所有者权益变动表项目注释"/>
        <w:tag w:val="_GBC_f67b410d6123403caa2cee84fe191372"/>
        <w:id w:val="-184129950"/>
        <w:lock w:val="sdtLocked"/>
        <w:placeholder>
          <w:docPart w:val="GBC22222222222222222222222222222"/>
        </w:placeholder>
      </w:sdtPr>
      <w:sdtEndPr>
        <w:rPr>
          <w:rFonts w:cstheme="minorBidi" w:hint="default"/>
          <w:color w:val="FF00FF"/>
        </w:rPr>
      </w:sdtEndPr>
      <w:sdtContent>
        <w:p w14:paraId="66D6638D"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所有者权益变动表项目注释</w:t>
          </w:r>
        </w:p>
        <w:p w14:paraId="49B61414" w14:textId="77777777" w:rsidR="00D21C1F" w:rsidRDefault="00A42880">
          <w:pPr>
            <w:pStyle w:val="97"/>
          </w:pPr>
          <w:r>
            <w:rPr>
              <w:rFonts w:hint="eastAsia"/>
            </w:rPr>
            <w:t>说明对上年期末余额进行调整的“其他”项目名称及调整金额等事项：</w:t>
          </w:r>
        </w:p>
        <w:sdt>
          <w:sdtPr>
            <w:alias w:val="是否适用：所有者权益变动表项目注释[双击切换]"/>
            <w:tag w:val="_GBC_61e84760a3fd4a58bb2421e95114d9b8"/>
            <w:id w:val="-678193737"/>
            <w:lock w:val="sdtLocked"/>
            <w:placeholder>
              <w:docPart w:val="GBC22222222222222222222222222222"/>
            </w:placeholder>
          </w:sdtPr>
          <w:sdtEndPr/>
          <w:sdtContent>
            <w:p w14:paraId="692D26C5" w14:textId="77777777" w:rsidR="00D21C1F" w:rsidRDefault="00A42880">
              <w:pPr>
                <w:rPr>
                  <w:color w:val="FF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43535CD" w14:textId="77777777" w:rsidR="00D21C1F" w:rsidRDefault="00D21C1F">
      <w:pPr>
        <w:rPr>
          <w:szCs w:val="21"/>
        </w:rPr>
      </w:pPr>
    </w:p>
    <w:sdt>
      <w:sdtPr>
        <w:rPr>
          <w:rFonts w:ascii="宋体" w:eastAsia="宋体" w:hAnsi="宋体" w:cs="宋体" w:hint="eastAsia"/>
          <w:b w:val="0"/>
          <w:bCs w:val="0"/>
          <w:kern w:val="0"/>
          <w:szCs w:val="21"/>
        </w:rPr>
        <w:alias w:val="模块:所有权或使用权受到限制的资产"/>
        <w:tag w:val="_GBC_5707fab016f94974bd447e81a88f0183"/>
        <w:id w:val="-2044355263"/>
        <w:lock w:val="sdtLocked"/>
        <w:placeholder>
          <w:docPart w:val="GBC22222222222222222222222222222"/>
        </w:placeholder>
      </w:sdtPr>
      <w:sdtEndPr/>
      <w:sdtContent>
        <w:p w14:paraId="085DB1F9"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446352723"/>
            <w:lock w:val="sdtLocked"/>
            <w:placeholder>
              <w:docPart w:val="GBC22222222222222222222222222222"/>
            </w:placeholder>
          </w:sdtPr>
          <w:sdtEndPr/>
          <w:sdtContent>
            <w:p w14:paraId="0D814F4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CB7558" w14:textId="77777777" w:rsidR="00D21C1F" w:rsidRDefault="00A42880">
          <w:pPr>
            <w:pStyle w:val="6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1159576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065bcf44f5b34330834a869f23aa83bc"/>
              <w:id w:val="14924544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szCs w:val="21"/>
                </w:rPr>
                <w:t>人民币</w:t>
              </w:r>
            </w:sdtContent>
          </w:sdt>
        </w:p>
        <w:tbl>
          <w:tblPr>
            <w:tblStyle w:val="88"/>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130"/>
            <w:gridCol w:w="3021"/>
            <w:gridCol w:w="2672"/>
          </w:tblGrid>
          <w:tr w:rsidR="00D21C1F" w14:paraId="4E316611" w14:textId="77777777">
            <w:sdt>
              <w:sdtPr>
                <w:tag w:val="_PLD_e7174293a57c4a70b40b8a0fb698e34e"/>
                <w:id w:val="1924447639"/>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7C6171EE" w14:textId="77777777" w:rsidR="00D21C1F" w:rsidRDefault="00A42880">
                    <w:pPr>
                      <w:jc w:val="center"/>
                      <w:rPr>
                        <w:szCs w:val="21"/>
                      </w:rPr>
                    </w:pPr>
                    <w:r>
                      <w:rPr>
                        <w:rFonts w:hint="eastAsia"/>
                        <w:szCs w:val="21"/>
                      </w:rPr>
                      <w:t>项目</w:t>
                    </w:r>
                  </w:p>
                </w:tc>
              </w:sdtContent>
            </w:sdt>
            <w:sdt>
              <w:sdtPr>
                <w:tag w:val="_PLD_67814dca9df1416c87e0ce7ca03c3bf6"/>
                <w:id w:val="-1051926167"/>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415CA3CF" w14:textId="77777777" w:rsidR="00D21C1F" w:rsidRDefault="00A42880">
                    <w:pPr>
                      <w:jc w:val="center"/>
                      <w:rPr>
                        <w:szCs w:val="21"/>
                      </w:rPr>
                    </w:pPr>
                    <w:r>
                      <w:rPr>
                        <w:rFonts w:hint="eastAsia"/>
                        <w:szCs w:val="21"/>
                      </w:rPr>
                      <w:t>期末账面价值</w:t>
                    </w:r>
                  </w:p>
                </w:tc>
              </w:sdtContent>
            </w:sdt>
            <w:sdt>
              <w:sdtPr>
                <w:tag w:val="_PLD_874205b57d36493284671995a440c448"/>
                <w:id w:val="-337462322"/>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1A0508DA" w14:textId="77777777" w:rsidR="00D21C1F" w:rsidRDefault="00A42880">
                    <w:pPr>
                      <w:jc w:val="center"/>
                      <w:rPr>
                        <w:szCs w:val="21"/>
                      </w:rPr>
                    </w:pPr>
                    <w:r>
                      <w:rPr>
                        <w:rFonts w:hint="eastAsia"/>
                        <w:szCs w:val="21"/>
                      </w:rPr>
                      <w:t>受限原因</w:t>
                    </w:r>
                  </w:p>
                </w:tc>
              </w:sdtContent>
            </w:sdt>
          </w:tr>
          <w:tr w:rsidR="00D21C1F" w14:paraId="6EBEB4BA" w14:textId="77777777">
            <w:sdt>
              <w:sdtPr>
                <w:tag w:val="_PLD_ea504ac4c8814083a63e01e1e73c7bb1"/>
                <w:id w:val="603159379"/>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58256FF8" w14:textId="77777777" w:rsidR="00D21C1F" w:rsidRDefault="00A42880">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2F45561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41,389,938.18</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120541EC" w14:textId="77777777" w:rsidR="00D21C1F" w:rsidRDefault="00A42880">
                <w:pPr>
                  <w:rPr>
                    <w:szCs w:val="21"/>
                  </w:rPr>
                </w:pPr>
                <w:r>
                  <w:rPr>
                    <w:rFonts w:hint="eastAsia"/>
                    <w:szCs w:val="21"/>
                  </w:rPr>
                  <w:t>保函保证金、借款保证金</w:t>
                </w:r>
              </w:p>
            </w:tc>
          </w:tr>
          <w:tr w:rsidR="00D21C1F" w14:paraId="62C7DDC6" w14:textId="77777777">
            <w:sdt>
              <w:sdtPr>
                <w:tag w:val="_PLD_366d52197ef54558981550776d6d004d"/>
                <w:id w:val="1801573104"/>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2528340A" w14:textId="77777777" w:rsidR="00D21C1F" w:rsidRDefault="00A42880">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12612FD7"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23,129,906.88</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3574F42B" w14:textId="77777777" w:rsidR="00D21C1F" w:rsidRDefault="00A42880">
                <w:pPr>
                  <w:rPr>
                    <w:szCs w:val="21"/>
                  </w:rPr>
                </w:pPr>
                <w:r>
                  <w:rPr>
                    <w:rFonts w:hint="eastAsia"/>
                    <w:szCs w:val="21"/>
                  </w:rPr>
                  <w:t>抵押用于长期借款</w:t>
                </w:r>
              </w:p>
            </w:tc>
          </w:tr>
          <w:tr w:rsidR="00D21C1F" w14:paraId="5460BCF3" w14:textId="77777777">
            <w:sdt>
              <w:sdtPr>
                <w:tag w:val="_PLD_82f734ac5ef74ac0a808bf747f7a4e5a"/>
                <w:id w:val="-1121226856"/>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2893F210" w14:textId="77777777" w:rsidR="00D21C1F" w:rsidRDefault="00A42880">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14:paraId="4EBA105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64,519,845.06</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5311290D" w14:textId="77777777" w:rsidR="00D21C1F" w:rsidRDefault="00A42880">
                <w:pPr>
                  <w:jc w:val="center"/>
                  <w:rPr>
                    <w:szCs w:val="21"/>
                  </w:rPr>
                </w:pPr>
                <w:r>
                  <w:rPr>
                    <w:rFonts w:hint="eastAsia"/>
                    <w:szCs w:val="21"/>
                  </w:rPr>
                  <w:t>/</w:t>
                </w:r>
              </w:p>
            </w:tc>
          </w:tr>
        </w:tbl>
        <w:p w14:paraId="1E3D9F54" w14:textId="77777777" w:rsidR="00D21C1F" w:rsidRDefault="00A42880">
          <w:pPr>
            <w:spacing w:before="60" w:after="60"/>
            <w:rPr>
              <w:szCs w:val="21"/>
            </w:rPr>
          </w:pPr>
          <w:r>
            <w:rPr>
              <w:rFonts w:hint="eastAsia"/>
              <w:szCs w:val="21"/>
            </w:rPr>
            <w:t>其他说明：</w:t>
          </w:r>
        </w:p>
        <w:sdt>
          <w:sdtPr>
            <w:rPr>
              <w:szCs w:val="21"/>
            </w:rPr>
            <w:alias w:val="所有权或使用权受到限制的资产的其他说明"/>
            <w:tag w:val="_GBC_8c900f9a43384e3baa58823305552176"/>
            <w:id w:val="1995364690"/>
            <w:lock w:val="sdtLocked"/>
            <w:placeholder>
              <w:docPart w:val="GBC22222222222222222222222222222"/>
            </w:placeholder>
          </w:sdtPr>
          <w:sdtEndPr/>
          <w:sdtContent>
            <w:p w14:paraId="3D162651" w14:textId="77777777" w:rsidR="00D21C1F" w:rsidRDefault="00A42880">
              <w:pPr>
                <w:rPr>
                  <w:szCs w:val="21"/>
                </w:rPr>
              </w:pPr>
              <w:r>
                <w:rPr>
                  <w:rFonts w:hint="eastAsia"/>
                  <w:szCs w:val="21"/>
                </w:rPr>
                <w:t>无</w:t>
              </w:r>
            </w:p>
          </w:sdtContent>
        </w:sdt>
      </w:sdtContent>
    </w:sdt>
    <w:p w14:paraId="15C8D23C" w14:textId="77777777" w:rsidR="00D21C1F" w:rsidRDefault="00D21C1F">
      <w:pPr>
        <w:rPr>
          <w:szCs w:val="21"/>
        </w:rPr>
      </w:pPr>
    </w:p>
    <w:bookmarkStart w:id="290" w:name="_Hlk42158948" w:displacedByCustomXml="next"/>
    <w:sdt>
      <w:sdtPr>
        <w:rPr>
          <w:rFonts w:ascii="宋体" w:eastAsia="宋体" w:hAnsi="宋体" w:cs="宋体" w:hint="eastAsia"/>
          <w:b w:val="0"/>
          <w:bCs w:val="0"/>
          <w:kern w:val="0"/>
          <w:szCs w:val="21"/>
        </w:rPr>
        <w:alias w:val="模块:外币货币性项目"/>
        <w:tag w:val="_GBC_7a80c9b78caf4e6686905c555fe61f9a"/>
        <w:id w:val="1818221126"/>
        <w:lock w:val="sdtLocked"/>
        <w:placeholder>
          <w:docPart w:val="GBC22222222222222222222222222222"/>
        </w:placeholder>
      </w:sdtPr>
      <w:sdtEndPr>
        <w:rPr>
          <w:rFonts w:hint="default"/>
        </w:rPr>
      </w:sdtEndPr>
      <w:sdtContent>
        <w:p w14:paraId="54361559" w14:textId="77777777" w:rsidR="00D21C1F" w:rsidRDefault="00A42880">
          <w:pPr>
            <w:pStyle w:val="94"/>
            <w:numPr>
              <w:ilvl w:val="0"/>
              <w:numId w:val="95"/>
            </w:numPr>
            <w:tabs>
              <w:tab w:val="left" w:pos="504"/>
            </w:tabs>
            <w:rPr>
              <w:rFonts w:ascii="宋体" w:hAnsi="宋体"/>
              <w:szCs w:val="21"/>
            </w:rPr>
          </w:pPr>
          <w:r>
            <w:rPr>
              <w:rFonts w:ascii="宋体" w:hAnsi="宋体" w:hint="eastAsia"/>
              <w:szCs w:val="21"/>
            </w:rPr>
            <w:t>外币货币性项目</w:t>
          </w:r>
        </w:p>
        <w:p w14:paraId="39DDD119" w14:textId="77777777" w:rsidR="00D21C1F" w:rsidRDefault="00A42880">
          <w:pPr>
            <w:pStyle w:val="67"/>
            <w:numPr>
              <w:ilvl w:val="0"/>
              <w:numId w:val="127"/>
            </w:numPr>
            <w:tabs>
              <w:tab w:val="left" w:pos="700"/>
            </w:tabs>
            <w:spacing w:before="60" w:after="60"/>
            <w:ind w:firstLineChars="0"/>
            <w:jc w:val="left"/>
            <w:rPr>
              <w:rFonts w:ascii="宋体" w:hAnsi="宋体"/>
              <w:szCs w:val="21"/>
            </w:rPr>
          </w:pPr>
          <w:r>
            <w:rPr>
              <w:rStyle w:val="83"/>
              <w:rFonts w:ascii="宋体" w:hAnsi="宋体" w:hint="eastAsia"/>
              <w:szCs w:val="21"/>
            </w:rPr>
            <w:t>外币货币性项目</w:t>
          </w:r>
        </w:p>
        <w:sdt>
          <w:sdtPr>
            <w:alias w:val="是否适用：外币货币性项目[双击切换]"/>
            <w:tag w:val="_GBC_7b0870ec262840d78495babcff3639aa"/>
            <w:id w:val="971243008"/>
            <w:lock w:val="sdtLocked"/>
            <w:placeholder>
              <w:docPart w:val="GBC22222222222222222222222222222"/>
            </w:placeholder>
          </w:sdtPr>
          <w:sdtEndPr/>
          <w:sdtContent>
            <w:p w14:paraId="0DAB76C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F8DA89" w14:textId="77777777" w:rsidR="00D21C1F" w:rsidRDefault="00A42880">
          <w:pPr>
            <w:pStyle w:val="6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415155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6"/>
            <w:gridCol w:w="2206"/>
            <w:gridCol w:w="2206"/>
          </w:tblGrid>
          <w:tr w:rsidR="00D21C1F" w14:paraId="5D3DF530" w14:textId="77777777">
            <w:sdt>
              <w:sdtPr>
                <w:tag w:val="_PLD_28ce5153e9cf4914a550a6d253e7c465"/>
                <w:id w:val="825396015"/>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6E46142" w14:textId="77777777" w:rsidR="00D21C1F" w:rsidRDefault="00A42880">
                    <w:pPr>
                      <w:jc w:val="center"/>
                      <w:rPr>
                        <w:szCs w:val="21"/>
                      </w:rPr>
                    </w:pPr>
                    <w:r>
                      <w:rPr>
                        <w:rFonts w:hint="eastAsia"/>
                        <w:szCs w:val="21"/>
                      </w:rPr>
                      <w:t>项目</w:t>
                    </w:r>
                  </w:p>
                </w:tc>
              </w:sdtContent>
            </w:sdt>
            <w:sdt>
              <w:sdtPr>
                <w:tag w:val="_PLD_295b6f310e534b62bde0e2c632482ed9"/>
                <w:id w:val="-405301229"/>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273F03F" w14:textId="77777777" w:rsidR="00D21C1F" w:rsidRDefault="00A42880">
                    <w:pPr>
                      <w:jc w:val="center"/>
                      <w:rPr>
                        <w:szCs w:val="21"/>
                      </w:rPr>
                    </w:pPr>
                    <w:r>
                      <w:rPr>
                        <w:rFonts w:hint="eastAsia"/>
                        <w:szCs w:val="21"/>
                      </w:rPr>
                      <w:t>期末外币余额</w:t>
                    </w:r>
                  </w:p>
                </w:tc>
              </w:sdtContent>
            </w:sdt>
            <w:sdt>
              <w:sdtPr>
                <w:tag w:val="_PLD_aa43af2545cb40668f2670b6f1569a92"/>
                <w:id w:val="2086328324"/>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4D4A7D5" w14:textId="77777777" w:rsidR="00D21C1F" w:rsidRDefault="00A42880">
                    <w:pPr>
                      <w:jc w:val="center"/>
                      <w:rPr>
                        <w:szCs w:val="21"/>
                      </w:rPr>
                    </w:pPr>
                    <w:r>
                      <w:rPr>
                        <w:rFonts w:hint="eastAsia"/>
                        <w:szCs w:val="21"/>
                      </w:rPr>
                      <w:t>折算汇率</w:t>
                    </w:r>
                  </w:p>
                </w:tc>
              </w:sdtContent>
            </w:sdt>
            <w:sdt>
              <w:sdtPr>
                <w:tag w:val="_PLD_8cdd9579b3964f01966c0b0c4cbacb2f"/>
                <w:id w:val="1955367845"/>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D377576" w14:textId="77777777" w:rsidR="00D21C1F" w:rsidRDefault="00A42880">
                    <w:pPr>
                      <w:jc w:val="center"/>
                      <w:rPr>
                        <w:szCs w:val="21"/>
                      </w:rPr>
                    </w:pPr>
                    <w:r>
                      <w:rPr>
                        <w:rFonts w:hint="eastAsia"/>
                        <w:szCs w:val="21"/>
                      </w:rPr>
                      <w:t>期末折算人民币</w:t>
                    </w:r>
                  </w:p>
                  <w:p w14:paraId="63A21CF6" w14:textId="77777777" w:rsidR="00D21C1F" w:rsidRDefault="00A42880">
                    <w:pPr>
                      <w:jc w:val="center"/>
                      <w:rPr>
                        <w:szCs w:val="21"/>
                      </w:rPr>
                    </w:pPr>
                    <w:r>
                      <w:rPr>
                        <w:rFonts w:hint="eastAsia"/>
                        <w:szCs w:val="21"/>
                      </w:rPr>
                      <w:t>余额</w:t>
                    </w:r>
                  </w:p>
                </w:tc>
              </w:sdtContent>
            </w:sdt>
          </w:tr>
          <w:tr w:rsidR="00D21C1F" w14:paraId="6566F29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2CF41AE4" w14:textId="77777777" w:rsidR="00D21C1F" w:rsidRDefault="00A42880">
                <w:pPr>
                  <w:rPr>
                    <w:szCs w:val="21"/>
                  </w:rPr>
                </w:pPr>
                <w:r>
                  <w:rPr>
                    <w:szCs w:val="21"/>
                  </w:rPr>
                  <w:t>货币资金</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2BB8583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A1E444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62F088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191,162,134.62</w:t>
                </w:r>
              </w:p>
            </w:tc>
          </w:tr>
          <w:tr w:rsidR="00D21C1F" w14:paraId="644C3C0C"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39766D7E" w14:textId="77777777" w:rsidR="00D21C1F" w:rsidRDefault="00A42880">
                <w:pPr>
                  <w:rPr>
                    <w:szCs w:val="21"/>
                  </w:rPr>
                </w:pPr>
                <w:r>
                  <w:rPr>
                    <w:rFonts w:hint="eastAsia"/>
                    <w:szCs w:val="21"/>
                  </w:rPr>
                  <w:t>其中：</w:t>
                </w:r>
                <w:sdt>
                  <w:sdtPr>
                    <w:rPr>
                      <w:szCs w:val="21"/>
                    </w:rPr>
                    <w:alias w:val="以外币核算的币种明细-币种名称"/>
                    <w:tag w:val="_GBC_21765b5e64364f62971250478e4ff572"/>
                    <w:id w:val="-162630375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F53494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181,159.39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92FD03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6.4601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A546FA8"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1,170,307.78</w:t>
                </w:r>
              </w:p>
            </w:tc>
          </w:tr>
          <w:tr w:rsidR="00D21C1F" w14:paraId="6FA6A76E"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5BA88527" w14:textId="77777777" w:rsidR="00D21C1F" w:rsidRDefault="00045EC6">
                <w:pPr>
                  <w:rPr>
                    <w:szCs w:val="21"/>
                  </w:rPr>
                </w:pPr>
                <w:sdt>
                  <w:sdtPr>
                    <w:rPr>
                      <w:szCs w:val="21"/>
                    </w:rPr>
                    <w:alias w:val="以外币核算的币种明细-币种名称"/>
                    <w:tag w:val="_GBC_21765b5e64364f62971250478e4ff572"/>
                    <w:id w:val="47743517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欧元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B091F7A"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20,682,708.60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809844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7.6862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023920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158,971,434.81</w:t>
                </w:r>
              </w:p>
            </w:tc>
          </w:tr>
          <w:tr w:rsidR="00D21C1F" w14:paraId="3F886B4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67721554" w14:textId="77777777" w:rsidR="00D21C1F" w:rsidRDefault="00045EC6">
                <w:pPr>
                  <w:rPr>
                    <w:szCs w:val="21"/>
                  </w:rPr>
                </w:pPr>
                <w:sdt>
                  <w:sdtPr>
                    <w:rPr>
                      <w:rFonts w:cs="Times New Roman" w:hint="eastAsia"/>
                      <w:szCs w:val="21"/>
                    </w:rPr>
                    <w:alias w:val="以外币核算的币种明细-币种名称"/>
                    <w:tag w:val="_GBC_21765b5e64364f62971250478e4ff572"/>
                    <w:id w:val="160206968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cs="Times New Roman" w:hint="eastAsia"/>
                        <w:szCs w:val="21"/>
                      </w:rPr>
                      <w:t>波兰兹罗提</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EA9352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11,528,450.31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C69A3E9"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1.7009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BC2140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19,608,875.88</w:t>
                </w:r>
              </w:p>
            </w:tc>
          </w:tr>
          <w:tr w:rsidR="00D21C1F" w14:paraId="681E69E3" w14:textId="77777777">
            <w:sdt>
              <w:sdtPr>
                <w:rPr>
                  <w:rFonts w:cs="Times New Roman" w:hint="eastAsia"/>
                  <w:szCs w:val="21"/>
                </w:rPr>
                <w:alias w:val="以外币核算的币种明细-币种名称"/>
                <w:tag w:val="_GBC_21765b5e64364f62971250478e4ff572"/>
                <w:id w:val="8327203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6F89395E" w14:textId="77777777" w:rsidR="00D21C1F" w:rsidRDefault="00A42880">
                    <w:pPr>
                      <w:rPr>
                        <w:rFonts w:cs="Times New Roman"/>
                        <w:szCs w:val="21"/>
                      </w:rPr>
                    </w:pPr>
                    <w:r>
                      <w:rPr>
                        <w:rFonts w:cs="Times New Roman" w:hint="eastAsia"/>
                        <w:szCs w:val="21"/>
                      </w:rPr>
                      <w:t>巴西雷亚尔</w:t>
                    </w:r>
                  </w:p>
                </w:tc>
              </w:sdtContent>
            </w:sd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E6AC787"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8,016,497.62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17573F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1.3037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1EE9030"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10,451,107.94</w:t>
                </w:r>
              </w:p>
            </w:tc>
          </w:tr>
          <w:tr w:rsidR="00D21C1F" w14:paraId="2D76F2E2" w14:textId="77777777">
            <w:sdt>
              <w:sdtPr>
                <w:rPr>
                  <w:rFonts w:hint="eastAsia"/>
                  <w:szCs w:val="21"/>
                </w:rPr>
                <w:alias w:val="以外币核算的币种明细-币种名称"/>
                <w:tag w:val="_GBC_21765b5e64364f62971250478e4ff572"/>
                <w:id w:val="33943658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71D10B65" w14:textId="77777777" w:rsidR="00D21C1F" w:rsidRDefault="00A42880">
                    <w:pPr>
                      <w:rPr>
                        <w:szCs w:val="21"/>
                      </w:rPr>
                    </w:pPr>
                    <w:r>
                      <w:rPr>
                        <w:rFonts w:hint="eastAsia"/>
                        <w:szCs w:val="21"/>
                      </w:rPr>
                      <w:t>印度卢比</w:t>
                    </w:r>
                  </w:p>
                </w:tc>
              </w:sdtContent>
            </w:sd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BAF0B0A"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655,899.83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547677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0.0870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F58D1D7"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57,044.92</w:t>
                </w:r>
              </w:p>
            </w:tc>
          </w:tr>
          <w:tr w:rsidR="00D21C1F" w14:paraId="09EE7EFB" w14:textId="77777777">
            <w:sdt>
              <w:sdtPr>
                <w:rPr>
                  <w:rFonts w:hint="eastAsia"/>
                  <w:szCs w:val="21"/>
                </w:rPr>
                <w:alias w:val="以外币核算的币种明细-币种名称"/>
                <w:tag w:val="_GBC_21765b5e64364f62971250478e4ff572"/>
                <w:id w:val="-6664836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47509068" w14:textId="77777777" w:rsidR="00D21C1F" w:rsidRDefault="00A42880">
                    <w:pPr>
                      <w:rPr>
                        <w:szCs w:val="21"/>
                      </w:rPr>
                    </w:pPr>
                    <w:r>
                      <w:rPr>
                        <w:rFonts w:hint="eastAsia"/>
                        <w:szCs w:val="21"/>
                      </w:rPr>
                      <w:t>港币</w:t>
                    </w:r>
                  </w:p>
                </w:tc>
              </w:sdtContent>
            </w:sd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8C0CA7B"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1,085,668.79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724D5A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0.8321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B265DEE"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903,363.29</w:t>
                </w:r>
              </w:p>
            </w:tc>
          </w:tr>
          <w:tr w:rsidR="00D21C1F" w14:paraId="352D0700"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1D8A1F0E" w14:textId="77777777" w:rsidR="00D21C1F" w:rsidRDefault="00A42880">
                <w:pPr>
                  <w:rPr>
                    <w:szCs w:val="21"/>
                  </w:rPr>
                </w:pPr>
                <w:r>
                  <w:rPr>
                    <w:szCs w:val="21"/>
                  </w:rPr>
                  <w:t>应收账款</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6D61495"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DE0705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641CB9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193,929,804.88</w:t>
                </w:r>
              </w:p>
            </w:tc>
          </w:tr>
          <w:tr w:rsidR="00D21C1F" w14:paraId="612C3271"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1B7250FC" w14:textId="77777777" w:rsidR="00D21C1F" w:rsidRDefault="00A42880">
                <w:pPr>
                  <w:rPr>
                    <w:szCs w:val="21"/>
                  </w:rPr>
                </w:pPr>
                <w:r>
                  <w:rPr>
                    <w:rFonts w:hint="eastAsia"/>
                    <w:szCs w:val="21"/>
                  </w:rPr>
                  <w:t>其中：</w:t>
                </w:r>
                <w:sdt>
                  <w:sdtPr>
                    <w:rPr>
                      <w:szCs w:val="21"/>
                    </w:rPr>
                    <w:alias w:val="以外币核算的币种明细-币种名称"/>
                    <w:tag w:val="_GBC_21765b5e64364f62971250478e4ff572"/>
                    <w:id w:val="-151722280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B99A00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4,453,387.33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F9DD7A9"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6.4601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5672612"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28,769,327.52</w:t>
                </w:r>
              </w:p>
            </w:tc>
          </w:tr>
          <w:tr w:rsidR="00D21C1F" w14:paraId="37CF8FAC"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7797F1D6" w14:textId="77777777" w:rsidR="00D21C1F" w:rsidRDefault="00045EC6">
                <w:pPr>
                  <w:rPr>
                    <w:szCs w:val="21"/>
                  </w:rPr>
                </w:pPr>
                <w:sdt>
                  <w:sdtPr>
                    <w:rPr>
                      <w:szCs w:val="21"/>
                    </w:rPr>
                    <w:alias w:val="以外币核算的币种明细-币种名称"/>
                    <w:tag w:val="_GBC_21765b5e64364f62971250478e4ff572"/>
                    <w:id w:val="-171880813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欧元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B25A850"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11,862,391.51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EB6CB6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7.6862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5A6B738"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91,176,713.61</w:t>
                </w:r>
              </w:p>
            </w:tc>
          </w:tr>
          <w:tr w:rsidR="00D21C1F" w14:paraId="3453DF17"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30C79965" w14:textId="77777777" w:rsidR="00D21C1F" w:rsidRDefault="00045EC6">
                <w:pPr>
                  <w:rPr>
                    <w:szCs w:val="21"/>
                  </w:rPr>
                </w:pPr>
                <w:sdt>
                  <w:sdtPr>
                    <w:rPr>
                      <w:rFonts w:hint="eastAsia"/>
                      <w:szCs w:val="21"/>
                    </w:rPr>
                    <w:alias w:val="以外币核算的币种明细-币种名称"/>
                    <w:tag w:val="_GBC_21765b5e64364f62971250478e4ff572"/>
                    <w:id w:val="-125134843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hint="eastAsia"/>
                        <w:szCs w:val="21"/>
                      </w:rPr>
                      <w:t>波兰兹罗提</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4547E59"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30,278.50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880012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1.7009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1BA54C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51,501.06</w:t>
                </w:r>
              </w:p>
            </w:tc>
          </w:tr>
          <w:tr w:rsidR="00D21C1F" w14:paraId="1B90BF06"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10A24C0D" w14:textId="77777777" w:rsidR="00D21C1F" w:rsidRDefault="00045EC6">
                <w:pPr>
                  <w:rPr>
                    <w:szCs w:val="21"/>
                  </w:rPr>
                </w:pPr>
                <w:sdt>
                  <w:sdtPr>
                    <w:rPr>
                      <w:rFonts w:hint="eastAsia"/>
                      <w:szCs w:val="21"/>
                    </w:rPr>
                    <w:alias w:val="以外币核算的币种明细-币种名称"/>
                    <w:tag w:val="_GBC_21765b5e64364f62971250478e4ff572"/>
                    <w:id w:val="-127145745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hint="eastAsia"/>
                        <w:szCs w:val="21"/>
                      </w:rPr>
                      <w:t>巴西雷亚尔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D4C4845"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56,142,183.50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27D45BA"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1.3037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AE8AF10"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73,192,564.62</w:t>
                </w:r>
              </w:p>
            </w:tc>
          </w:tr>
          <w:tr w:rsidR="00D21C1F" w14:paraId="3900E3DD" w14:textId="77777777">
            <w:sdt>
              <w:sdtPr>
                <w:rPr>
                  <w:rFonts w:hint="eastAsia"/>
                  <w:szCs w:val="21"/>
                </w:rPr>
                <w:alias w:val="以外币核算的币种明细-币种名称"/>
                <w:tag w:val="_GBC_21765b5e64364f62971250478e4ff572"/>
                <w:id w:val="-5021221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1AFD043A" w14:textId="77777777" w:rsidR="00D21C1F" w:rsidRDefault="00A42880">
                    <w:pPr>
                      <w:rPr>
                        <w:szCs w:val="21"/>
                      </w:rPr>
                    </w:pPr>
                    <w:r>
                      <w:rPr>
                        <w:rFonts w:hint="eastAsia"/>
                        <w:szCs w:val="21"/>
                      </w:rPr>
                      <w:t>印度卢比</w:t>
                    </w:r>
                  </w:p>
                </w:tc>
              </w:sdtContent>
            </w:sd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797DDA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8,505,013.87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81EBBB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0.0870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E150F82"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739,698.07</w:t>
                </w:r>
              </w:p>
            </w:tc>
          </w:tr>
          <w:tr w:rsidR="00D21C1F" w14:paraId="5891218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72327604" w14:textId="77777777" w:rsidR="00D21C1F" w:rsidRDefault="00A42880">
                <w:pPr>
                  <w:rPr>
                    <w:szCs w:val="21"/>
                  </w:rPr>
                </w:pPr>
                <w:r>
                  <w:rPr>
                    <w:rFonts w:hint="eastAsia"/>
                    <w:szCs w:val="21"/>
                  </w:rPr>
                  <w:t>其他应收款</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4E66467"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5A67B1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ECCF99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243,166,199.46</w:t>
                </w:r>
              </w:p>
            </w:tc>
          </w:tr>
          <w:tr w:rsidR="00D21C1F" w14:paraId="1A366CE4"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52C1016D" w14:textId="77777777" w:rsidR="00D21C1F" w:rsidRDefault="00A42880">
                <w:pPr>
                  <w:rPr>
                    <w:szCs w:val="21"/>
                  </w:rPr>
                </w:pPr>
                <w:r>
                  <w:rPr>
                    <w:rFonts w:hint="eastAsia"/>
                    <w:szCs w:val="21"/>
                  </w:rPr>
                  <w:t>其中：</w:t>
                </w:r>
                <w:sdt>
                  <w:sdtPr>
                    <w:rPr>
                      <w:szCs w:val="21"/>
                    </w:rPr>
                    <w:alias w:val="以外币核算的币种明细-币种名称"/>
                    <w:tag w:val="_GBC_21765b5e64364f62971250478e4ff572"/>
                    <w:id w:val="-6237615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1609F5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31,423,912.42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2CCD5C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7.6862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731BD4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241,530,475.67</w:t>
                </w:r>
              </w:p>
            </w:tc>
          </w:tr>
          <w:tr w:rsidR="00D21C1F" w14:paraId="531CF13C"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34FC1E1E" w14:textId="77777777" w:rsidR="00D21C1F" w:rsidRDefault="00045EC6">
                <w:pPr>
                  <w:rPr>
                    <w:szCs w:val="21"/>
                  </w:rPr>
                </w:pPr>
                <w:sdt>
                  <w:sdtPr>
                    <w:rPr>
                      <w:szCs w:val="21"/>
                    </w:rPr>
                    <w:alias w:val="以外币核算的币种明细-币种名称"/>
                    <w:tag w:val="_GBC_21765b5e64364f62971250478e4ff572"/>
                    <w:id w:val="-141399797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波兰兹罗提</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71C3170"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247,689.73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FA1714A"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1.7009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F83ECB7"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421,298.36</w:t>
                </w:r>
              </w:p>
            </w:tc>
          </w:tr>
          <w:tr w:rsidR="00D21C1F" w14:paraId="0793BC54"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185F72F3" w14:textId="77777777" w:rsidR="00D21C1F" w:rsidRDefault="00045EC6">
                <w:pPr>
                  <w:rPr>
                    <w:szCs w:val="21"/>
                  </w:rPr>
                </w:pPr>
                <w:sdt>
                  <w:sdtPr>
                    <w:rPr>
                      <w:rFonts w:hint="eastAsia"/>
                      <w:szCs w:val="21"/>
                    </w:rPr>
                    <w:alias w:val="以外币核算的币种明细-币种名称"/>
                    <w:tag w:val="_GBC_21765b5e64364f62971250478e4ff572"/>
                    <w:id w:val="106684252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hint="eastAsia"/>
                        <w:szCs w:val="21"/>
                      </w:rPr>
                      <w:t>巴西雷亚尔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0C99A30"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904,294.34</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12CE8F8"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1.3037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2F2618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1,178,928.53</w:t>
                </w:r>
              </w:p>
            </w:tc>
          </w:tr>
          <w:tr w:rsidR="00D21C1F" w14:paraId="5A1811F9"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49AC9EE8" w14:textId="77777777" w:rsidR="00D21C1F" w:rsidRDefault="00045EC6">
                <w:pPr>
                  <w:rPr>
                    <w:szCs w:val="21"/>
                  </w:rPr>
                </w:pPr>
                <w:sdt>
                  <w:sdtPr>
                    <w:rPr>
                      <w:rFonts w:hint="eastAsia"/>
                      <w:szCs w:val="21"/>
                    </w:rPr>
                    <w:alias w:val="以外币核算的币种明细-币种名称"/>
                    <w:tag w:val="_GBC_21765b5e64364f62971250478e4ff572"/>
                    <w:id w:val="-164380486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hint="eastAsia"/>
                        <w:szCs w:val="21"/>
                      </w:rPr>
                      <w:t>印度卢比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E59138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408,141.71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A50104B"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0.0870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C8DE1B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35,496.90</w:t>
                </w:r>
              </w:p>
            </w:tc>
          </w:tr>
          <w:tr w:rsidR="00D21C1F" w14:paraId="4A086E46"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68767304" w14:textId="77777777" w:rsidR="00D21C1F" w:rsidRDefault="00A42880">
                <w:pPr>
                  <w:rPr>
                    <w:szCs w:val="21"/>
                  </w:rPr>
                </w:pPr>
                <w:r>
                  <w:rPr>
                    <w:rFonts w:hint="eastAsia"/>
                    <w:szCs w:val="21"/>
                  </w:rPr>
                  <w:t>短期借款</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2327606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8AB3F18"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CA03B1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85,210,911.35</w:t>
                </w:r>
              </w:p>
            </w:tc>
          </w:tr>
          <w:tr w:rsidR="00D21C1F" w14:paraId="6CAD9CAF"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407B49BF" w14:textId="77777777" w:rsidR="00D21C1F" w:rsidRDefault="00A42880">
                <w:pPr>
                  <w:rPr>
                    <w:szCs w:val="21"/>
                  </w:rPr>
                </w:pPr>
                <w:r>
                  <w:rPr>
                    <w:rFonts w:hint="eastAsia"/>
                    <w:szCs w:val="21"/>
                  </w:rPr>
                  <w:t>其中：</w:t>
                </w:r>
                <w:sdt>
                  <w:sdtPr>
                    <w:rPr>
                      <w:szCs w:val="21"/>
                    </w:rPr>
                    <w:alias w:val="以外币核算的币种明细-币种名称"/>
                    <w:tag w:val="_GBC_21765b5e64364f62971250478e4ff572"/>
                    <w:id w:val="-172312286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4C907D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9,277,357.54</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F3DB830"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7.6862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DCFEC6B"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71,307,625.52</w:t>
                </w:r>
              </w:p>
            </w:tc>
          </w:tr>
          <w:tr w:rsidR="00D21C1F" w14:paraId="70DCCD39"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5B60E148" w14:textId="77777777" w:rsidR="00D21C1F" w:rsidRDefault="00045EC6">
                <w:pPr>
                  <w:rPr>
                    <w:szCs w:val="21"/>
                  </w:rPr>
                </w:pPr>
                <w:sdt>
                  <w:sdtPr>
                    <w:rPr>
                      <w:szCs w:val="21"/>
                    </w:rPr>
                    <w:alias w:val="以外币核算的币种明细-币种名称"/>
                    <w:tag w:val="_GBC_21765b5e64364f62971250478e4ff572"/>
                    <w:id w:val="122255428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巴西雷亚尔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EAF5CC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8,581,164.69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887EF8E"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1.3037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1FDCE3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11,187,264.41</w:t>
                </w:r>
              </w:p>
            </w:tc>
          </w:tr>
          <w:tr w:rsidR="00D21C1F" w14:paraId="0CCEF853"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61B9FB37" w14:textId="77777777" w:rsidR="00D21C1F" w:rsidRDefault="00045EC6">
                <w:pPr>
                  <w:rPr>
                    <w:szCs w:val="21"/>
                  </w:rPr>
                </w:pPr>
                <w:sdt>
                  <w:sdtPr>
                    <w:rPr>
                      <w:rFonts w:hint="eastAsia"/>
                      <w:szCs w:val="21"/>
                    </w:rPr>
                    <w:alias w:val="以外币核算的币种明细-币种名称"/>
                    <w:tag w:val="_GBC_21765b5e64364f62971250478e4ff572"/>
                    <w:id w:val="82139252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hint="eastAsia"/>
                        <w:szCs w:val="21"/>
                      </w:rPr>
                      <w:t>印度卢比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6E76265"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31,228,687.57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5B6885E"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0.0870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69A698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2,716,021.42</w:t>
                </w:r>
              </w:p>
            </w:tc>
          </w:tr>
          <w:tr w:rsidR="00D21C1F" w14:paraId="0858A7E2"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7B1935EE" w14:textId="77777777" w:rsidR="00D21C1F" w:rsidRDefault="00A42880">
                <w:pPr>
                  <w:rPr>
                    <w:szCs w:val="21"/>
                  </w:rPr>
                </w:pPr>
                <w:r>
                  <w:rPr>
                    <w:rFonts w:hint="eastAsia"/>
                    <w:szCs w:val="21"/>
                  </w:rPr>
                  <w:t>应付账款</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136EAFE"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2E1CBB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2B521E1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103,236,801.78</w:t>
                </w:r>
              </w:p>
            </w:tc>
          </w:tr>
          <w:tr w:rsidR="00D21C1F" w14:paraId="4A46D628"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4C2D3F93" w14:textId="77777777" w:rsidR="00D21C1F" w:rsidRDefault="00A42880">
                <w:pPr>
                  <w:rPr>
                    <w:szCs w:val="21"/>
                  </w:rPr>
                </w:pPr>
                <w:r>
                  <w:rPr>
                    <w:rFonts w:hint="eastAsia"/>
                    <w:szCs w:val="21"/>
                  </w:rPr>
                  <w:t>其中：</w:t>
                </w:r>
                <w:sdt>
                  <w:sdtPr>
                    <w:rPr>
                      <w:szCs w:val="21"/>
                    </w:rPr>
                    <w:alias w:val="以外币核算的币种明细-币种名称"/>
                    <w:tag w:val="_GBC_21765b5e64364f62971250478e4ff572"/>
                    <w:id w:val="114740779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EECC64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156,540.92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C7EECB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6.4601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C4B92AE"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1,011,269.98</w:t>
                </w:r>
              </w:p>
            </w:tc>
          </w:tr>
          <w:tr w:rsidR="00D21C1F" w14:paraId="4EF57C1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1A92982C" w14:textId="77777777" w:rsidR="00D21C1F" w:rsidRDefault="00045EC6">
                <w:pPr>
                  <w:rPr>
                    <w:szCs w:val="21"/>
                  </w:rPr>
                </w:pPr>
                <w:sdt>
                  <w:sdtPr>
                    <w:rPr>
                      <w:szCs w:val="21"/>
                    </w:rPr>
                    <w:alias w:val="以外币核算的币种明细-币种名称"/>
                    <w:tag w:val="_GBC_21765b5e64364f62971250478e4ff572"/>
                    <w:id w:val="76727518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欧元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4E48915"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9,112,099.01</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E6BADD7"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7.6862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3F8E85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70,037,415.40</w:t>
                </w:r>
              </w:p>
            </w:tc>
          </w:tr>
          <w:tr w:rsidR="00D21C1F" w14:paraId="71EA5478"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3AA734B6" w14:textId="77777777" w:rsidR="00D21C1F" w:rsidRDefault="00045EC6">
                <w:pPr>
                  <w:rPr>
                    <w:szCs w:val="21"/>
                  </w:rPr>
                </w:pPr>
                <w:sdt>
                  <w:sdtPr>
                    <w:rPr>
                      <w:szCs w:val="21"/>
                    </w:rPr>
                    <w:alias w:val="以外币核算的币种明细-币种名称"/>
                    <w:tag w:val="_GBC_21765b5e64364f62971250478e4ff572"/>
                    <w:id w:val="119951711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日元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B9DEB3B"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3,964,575.34</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4560A5B"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0.0584</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3D8095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231,642.21</w:t>
                </w:r>
              </w:p>
            </w:tc>
          </w:tr>
          <w:tr w:rsidR="00D21C1F" w14:paraId="667B106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45B77CF3" w14:textId="77777777" w:rsidR="00D21C1F" w:rsidRDefault="00045EC6">
                <w:pPr>
                  <w:rPr>
                    <w:szCs w:val="21"/>
                  </w:rPr>
                </w:pPr>
                <w:sdt>
                  <w:sdtPr>
                    <w:rPr>
                      <w:szCs w:val="21"/>
                    </w:rPr>
                    <w:alias w:val="以外币核算的币种明细-币种名称"/>
                    <w:tag w:val="_GBC_21765b5e64364f62971250478e4ff572"/>
                    <w:id w:val="99838620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波兰兹罗提</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B414BC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11,740,503.07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304A81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1.7009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4B09CC5"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19,969,558.91</w:t>
                </w:r>
              </w:p>
            </w:tc>
          </w:tr>
          <w:tr w:rsidR="00D21C1F" w14:paraId="27FBAD4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1A3214CB" w14:textId="77777777" w:rsidR="00D21C1F" w:rsidRDefault="00045EC6">
                <w:pPr>
                  <w:rPr>
                    <w:szCs w:val="21"/>
                  </w:rPr>
                </w:pPr>
                <w:sdt>
                  <w:sdtPr>
                    <w:rPr>
                      <w:rFonts w:hint="eastAsia"/>
                      <w:szCs w:val="21"/>
                    </w:rPr>
                    <w:alias w:val="以外币核算的币种明细-币种名称"/>
                    <w:tag w:val="_GBC_21765b5e64364f62971250478e4ff572"/>
                    <w:id w:val="137542577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hint="eastAsia"/>
                        <w:szCs w:val="21"/>
                      </w:rPr>
                      <w:t>巴西雷亚尔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E54788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9,194,535.00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99FAEA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1.3037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DFC0293"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11,986,915.28</w:t>
                </w:r>
              </w:p>
            </w:tc>
          </w:tr>
          <w:tr w:rsidR="00D21C1F" w14:paraId="6E4205A2"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7D342C06" w14:textId="77777777" w:rsidR="00D21C1F" w:rsidRDefault="00A42880">
                <w:pPr>
                  <w:rPr>
                    <w:szCs w:val="21"/>
                  </w:rPr>
                </w:pPr>
                <w:r>
                  <w:rPr>
                    <w:rFonts w:hint="eastAsia"/>
                    <w:szCs w:val="21"/>
                  </w:rPr>
                  <w:t>其他应付款</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589E63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265134D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4647DF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161,427,659.22</w:t>
                </w:r>
              </w:p>
            </w:tc>
          </w:tr>
          <w:tr w:rsidR="00D21C1F" w14:paraId="01BE5F7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75DF16ED" w14:textId="77777777" w:rsidR="00D21C1F" w:rsidRDefault="00A42880">
                <w:pPr>
                  <w:rPr>
                    <w:szCs w:val="21"/>
                  </w:rPr>
                </w:pPr>
                <w:r>
                  <w:rPr>
                    <w:rFonts w:hint="eastAsia"/>
                    <w:szCs w:val="21"/>
                  </w:rPr>
                  <w:t>其中：</w:t>
                </w:r>
                <w:sdt>
                  <w:sdtPr>
                    <w:rPr>
                      <w:szCs w:val="21"/>
                    </w:rPr>
                    <w:alias w:val="以外币核算的币种明细-币种名称"/>
                    <w:tag w:val="_GBC_21765b5e64364f62971250478e4ff572"/>
                    <w:id w:val="177721991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A7F84B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20,455,433.04</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912919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7.6862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867D0B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157,224,549.45</w:t>
                </w:r>
              </w:p>
            </w:tc>
          </w:tr>
          <w:tr w:rsidR="00D21C1F" w14:paraId="530F11B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7F61E691" w14:textId="77777777" w:rsidR="00D21C1F" w:rsidRDefault="00045EC6">
                <w:pPr>
                  <w:rPr>
                    <w:szCs w:val="21"/>
                  </w:rPr>
                </w:pPr>
                <w:sdt>
                  <w:sdtPr>
                    <w:rPr>
                      <w:szCs w:val="21"/>
                    </w:rPr>
                    <w:alias w:val="以外币核算的币种明细-币种名称"/>
                    <w:tag w:val="_GBC_21765b5e64364f62971250478e4ff572"/>
                    <w:id w:val="-112068837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波兰兹罗提</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9D756AA"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1,665,041.93</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524B09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1.7009</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B9876B6"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2,832,089.28</w:t>
                </w:r>
              </w:p>
            </w:tc>
          </w:tr>
          <w:tr w:rsidR="00D21C1F" w14:paraId="4658D37E"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04284F9D" w14:textId="77777777" w:rsidR="00D21C1F" w:rsidRDefault="00045EC6">
                <w:pPr>
                  <w:rPr>
                    <w:szCs w:val="21"/>
                  </w:rPr>
                </w:pPr>
                <w:sdt>
                  <w:sdtPr>
                    <w:rPr>
                      <w:szCs w:val="21"/>
                    </w:rPr>
                    <w:alias w:val="以外币核算的币种明细-币种名称"/>
                    <w:tag w:val="_GBC_21765b5e64364f62971250478e4ff572"/>
                    <w:id w:val="-40090652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巴西雷亚尔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982E63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600,257.50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DC7B8CE"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1.3037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209A057"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782,555.70</w:t>
                </w:r>
              </w:p>
            </w:tc>
          </w:tr>
          <w:tr w:rsidR="00D21C1F" w14:paraId="1AA4C7AC"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58B650DB" w14:textId="77777777" w:rsidR="00D21C1F" w:rsidRDefault="00045EC6">
                <w:pPr>
                  <w:rPr>
                    <w:szCs w:val="21"/>
                  </w:rPr>
                </w:pPr>
                <w:sdt>
                  <w:sdtPr>
                    <w:rPr>
                      <w:rFonts w:hint="eastAsia"/>
                      <w:szCs w:val="21"/>
                    </w:rPr>
                    <w:alias w:val="以外币核算的币种明细-币种名称"/>
                    <w:tag w:val="_GBC_21765b5e64364f62971250478e4ff572"/>
                    <w:id w:val="-207874474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rFonts w:hint="eastAsia"/>
                        <w:szCs w:val="21"/>
                      </w:rPr>
                      <w:t>印度卢比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548C85C"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6,766,140.74</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43B535B"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0.0870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2F98D0B"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588,464.79</w:t>
                </w:r>
              </w:p>
            </w:tc>
          </w:tr>
          <w:tr w:rsidR="00D21C1F" w14:paraId="7623FAAB"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3E8CE1CF" w14:textId="77777777" w:rsidR="00D21C1F" w:rsidRDefault="00A42880">
                <w:pPr>
                  <w:rPr>
                    <w:szCs w:val="21"/>
                  </w:rPr>
                </w:pPr>
                <w:r>
                  <w:rPr>
                    <w:szCs w:val="21"/>
                  </w:rPr>
                  <w:t>长期借款</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DBF9140"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9340FED"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D53E278"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szCs w:val="21"/>
                  </w:rPr>
                  <w:t>166,889,144.14</w:t>
                </w:r>
              </w:p>
            </w:tc>
          </w:tr>
          <w:tr w:rsidR="00D21C1F" w14:paraId="78D356BB"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5D547399" w14:textId="77777777" w:rsidR="00D21C1F" w:rsidRDefault="00A42880">
                <w:pPr>
                  <w:rPr>
                    <w:szCs w:val="21"/>
                  </w:rPr>
                </w:pPr>
                <w:r>
                  <w:rPr>
                    <w:rFonts w:hint="eastAsia"/>
                    <w:szCs w:val="21"/>
                  </w:rPr>
                  <w:t>其中：</w:t>
                </w:r>
                <w:sdt>
                  <w:sdtPr>
                    <w:rPr>
                      <w:szCs w:val="21"/>
                    </w:rPr>
                    <w:alias w:val="以外币核算的币种明细-币种名称"/>
                    <w:tag w:val="_GBC_21765b5e64364f62971250478e4ff572"/>
                    <w:id w:val="-175542571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BE389A1"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20,863,787.05</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3239F2F"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7.6862</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89EA2AA"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160,363,240.03</w:t>
                </w:r>
              </w:p>
            </w:tc>
          </w:tr>
          <w:tr w:rsidR="00D21C1F" w14:paraId="6BF1537D" w14:textId="77777777">
            <w:tc>
              <w:tcPr>
                <w:tcW w:w="1250" w:type="pct"/>
                <w:tcBorders>
                  <w:top w:val="single" w:sz="4" w:space="0" w:color="auto"/>
                  <w:left w:val="single" w:sz="4" w:space="0" w:color="auto"/>
                  <w:bottom w:val="single" w:sz="4" w:space="0" w:color="auto"/>
                  <w:right w:val="single" w:sz="4" w:space="0" w:color="auto"/>
                </w:tcBorders>
                <w:shd w:val="clear" w:color="auto" w:fill="auto"/>
              </w:tcPr>
              <w:p w14:paraId="5EB33141" w14:textId="77777777" w:rsidR="00D21C1F" w:rsidRDefault="00045EC6">
                <w:pPr>
                  <w:rPr>
                    <w:szCs w:val="21"/>
                  </w:rPr>
                </w:pPr>
                <w:sdt>
                  <w:sdtPr>
                    <w:rPr>
                      <w:szCs w:val="21"/>
                    </w:rPr>
                    <w:alias w:val="以外币核算的币种明细-币种名称"/>
                    <w:tag w:val="_GBC_21765b5e64364f62971250478e4ff572"/>
                    <w:id w:val="19535693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42880">
                      <w:rPr>
                        <w:szCs w:val="21"/>
                      </w:rPr>
                      <w:t>巴西雷亚尔</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B75650E"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5,005,679.30</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1B286C8"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1.3037</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8E95F14" w14:textId="77777777" w:rsidR="00D21C1F" w:rsidRPr="00E35692" w:rsidRDefault="00A42880">
                <w:pPr>
                  <w:jc w:val="right"/>
                  <w:rPr>
                    <w:rFonts w:ascii="Times New Roman" w:hAnsi="Times New Roman" w:cs="Times New Roman"/>
                    <w:szCs w:val="21"/>
                  </w:rPr>
                </w:pPr>
                <w:r w:rsidRPr="00E35692">
                  <w:rPr>
                    <w:rFonts w:ascii="Times New Roman" w:hAnsi="Times New Roman" w:cs="Times New Roman"/>
                  </w:rPr>
                  <w:t>6,525,904.11</w:t>
                </w:r>
              </w:p>
            </w:tc>
          </w:tr>
        </w:tbl>
        <w:p w14:paraId="241CCF5C" w14:textId="77777777" w:rsidR="00D21C1F" w:rsidRDefault="00A42880">
          <w:pPr>
            <w:spacing w:before="60" w:after="60"/>
            <w:rPr>
              <w:szCs w:val="21"/>
            </w:rPr>
          </w:pPr>
          <w:r>
            <w:rPr>
              <w:rFonts w:hint="eastAsia"/>
              <w:szCs w:val="21"/>
            </w:rPr>
            <w:t>其他说明：</w:t>
          </w:r>
        </w:p>
        <w:sdt>
          <w:sdtPr>
            <w:rPr>
              <w:szCs w:val="21"/>
            </w:rPr>
            <w:alias w:val="外币货币性项目的其他说明"/>
            <w:tag w:val="_GBC_a16b850d98e24762adbee5a1d5628893"/>
            <w:id w:val="-1601939967"/>
            <w:lock w:val="sdtLocked"/>
            <w:placeholder>
              <w:docPart w:val="GBC22222222222222222222222222222"/>
            </w:placeholder>
          </w:sdtPr>
          <w:sdtEndPr/>
          <w:sdtContent>
            <w:p w14:paraId="004BB419" w14:textId="77777777" w:rsidR="00D21C1F" w:rsidRDefault="00A42880">
              <w:pPr>
                <w:rPr>
                  <w:szCs w:val="21"/>
                </w:rPr>
              </w:pPr>
              <w:r>
                <w:rPr>
                  <w:rFonts w:hint="eastAsia"/>
                  <w:szCs w:val="21"/>
                </w:rPr>
                <w:t>无</w:t>
              </w:r>
            </w:p>
          </w:sdtContent>
        </w:sdt>
        <w:p w14:paraId="7348D4FB" w14:textId="77777777" w:rsidR="00D21C1F" w:rsidRDefault="00A42880">
          <w:pPr>
            <w:pStyle w:val="67"/>
            <w:numPr>
              <w:ilvl w:val="0"/>
              <w:numId w:val="127"/>
            </w:numPr>
            <w:tabs>
              <w:tab w:val="left" w:pos="700"/>
            </w:tabs>
            <w:spacing w:before="60" w:after="60"/>
            <w:ind w:firstLineChars="0"/>
            <w:jc w:val="left"/>
            <w:rPr>
              <w:rFonts w:ascii="宋体" w:hAnsi="宋体"/>
              <w:b/>
              <w:szCs w:val="21"/>
            </w:rPr>
          </w:pPr>
          <w:r>
            <w:rPr>
              <w:rStyle w:val="83"/>
              <w:rFonts w:ascii="宋体" w:hAnsi="宋体" w:hint="eastAsia"/>
              <w:szCs w:val="21"/>
            </w:rPr>
            <w:t>境外</w:t>
          </w:r>
          <w:r>
            <w:rPr>
              <w:rFonts w:ascii="宋体" w:hAnsi="宋体" w:hint="eastAsia"/>
              <w:b/>
              <w:szCs w:val="21"/>
            </w:rPr>
            <w:t>经营实体说明，包括对于重要的境外经营实体，应披露其境外主要经营地、记账本位币及选择依据，记账本位币发生变化的还应披露原因</w:t>
          </w:r>
        </w:p>
        <w:p w14:paraId="4C1FA057" w14:textId="77777777" w:rsidR="00D21C1F" w:rsidRDefault="00045EC6">
          <w:pPr>
            <w:rPr>
              <w:szCs w:val="21"/>
            </w:rPr>
          </w:pPr>
          <w:sdt>
            <w:sdtPr>
              <w:rPr>
                <w:szCs w:val="21"/>
              </w:rPr>
              <w:alias w:val="是否适用：境外经营实体主要报表项目的折算汇率[双击切换]"/>
              <w:tag w:val="_GBC_4ad16f5c306d4c6ead144dfd007fb925"/>
              <w:id w:val="-1311942619"/>
              <w:lock w:val="sdtLocked"/>
              <w:placeholder>
                <w:docPart w:val="GBC22222222222222222222222222222"/>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sdt>
          <w:sdtPr>
            <w:rPr>
              <w:szCs w:val="21"/>
            </w:rPr>
            <w:alias w:val="境外经营实体主要报表项目的折算汇率"/>
            <w:tag w:val="_GBC_4148864437ea4c5bb9934a188232a73c"/>
            <w:id w:val="-477849635"/>
            <w:lock w:val="sdtLocked"/>
          </w:sdtPr>
          <w:sdtEndPr/>
          <w:sdtContent>
            <w:p w14:paraId="7456F4E8" w14:textId="77777777" w:rsidR="00D21C1F" w:rsidRDefault="00D21C1F">
              <w:pPr>
                <w:rPr>
                  <w:szCs w:val="21"/>
                </w:rPr>
              </w:pPr>
            </w:p>
            <w:tbl>
              <w:tblPr>
                <w:tblStyle w:val="g5"/>
                <w:tblW w:w="8745" w:type="dxa"/>
                <w:tblInd w:w="0" w:type="dxa"/>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526"/>
                <w:gridCol w:w="2126"/>
                <w:gridCol w:w="1595"/>
                <w:gridCol w:w="1749"/>
                <w:gridCol w:w="1749"/>
              </w:tblGrid>
              <w:tr w:rsidR="00D21C1F" w14:paraId="179F606B" w14:textId="77777777">
                <w:trPr>
                  <w:trHeight w:val="397"/>
                </w:trPr>
                <w:tc>
                  <w:tcPr>
                    <w:tcW w:w="1526" w:type="dxa"/>
                    <w:tcBorders>
                      <w:top w:val="single" w:sz="8" w:space="0" w:color="auto"/>
                      <w:left w:val="nil"/>
                      <w:bottom w:val="single" w:sz="2" w:space="0" w:color="auto"/>
                      <w:right w:val="single" w:sz="2" w:space="0" w:color="auto"/>
                    </w:tcBorders>
                    <w:vAlign w:val="center"/>
                  </w:tcPr>
                  <w:p w14:paraId="46FE572D" w14:textId="77777777" w:rsidR="00D21C1F" w:rsidRDefault="00A42880">
                    <w:pPr>
                      <w:pStyle w:val="120"/>
                    </w:pPr>
                    <w:r>
                      <w:rPr>
                        <w:rFonts w:hint="eastAsia"/>
                      </w:rPr>
                      <w:t>子公司</w:t>
                    </w:r>
                  </w:p>
                </w:tc>
                <w:tc>
                  <w:tcPr>
                    <w:tcW w:w="2126" w:type="dxa"/>
                    <w:tcBorders>
                      <w:top w:val="single" w:sz="8" w:space="0" w:color="auto"/>
                      <w:left w:val="single" w:sz="2" w:space="0" w:color="auto"/>
                      <w:bottom w:val="single" w:sz="2" w:space="0" w:color="auto"/>
                      <w:right w:val="single" w:sz="2" w:space="0" w:color="auto"/>
                    </w:tcBorders>
                    <w:vAlign w:val="center"/>
                  </w:tcPr>
                  <w:p w14:paraId="26632C98" w14:textId="77777777" w:rsidR="00D21C1F" w:rsidRDefault="00A42880">
                    <w:pPr>
                      <w:pStyle w:val="120"/>
                      <w:jc w:val="center"/>
                    </w:pPr>
                    <w:r>
                      <w:rPr>
                        <w:rFonts w:hint="eastAsia"/>
                      </w:rPr>
                      <w:t>子公司类别</w:t>
                    </w:r>
                  </w:p>
                </w:tc>
                <w:tc>
                  <w:tcPr>
                    <w:tcW w:w="1595" w:type="dxa"/>
                    <w:tcBorders>
                      <w:top w:val="single" w:sz="8" w:space="0" w:color="auto"/>
                      <w:left w:val="single" w:sz="2" w:space="0" w:color="auto"/>
                      <w:bottom w:val="single" w:sz="2" w:space="0" w:color="auto"/>
                      <w:right w:val="single" w:sz="2" w:space="0" w:color="auto"/>
                    </w:tcBorders>
                    <w:vAlign w:val="center"/>
                  </w:tcPr>
                  <w:p w14:paraId="45B2957D" w14:textId="77777777" w:rsidR="00D21C1F" w:rsidRDefault="00A42880">
                    <w:pPr>
                      <w:pStyle w:val="120"/>
                      <w:jc w:val="center"/>
                    </w:pPr>
                    <w:r>
                      <w:rPr>
                        <w:rFonts w:hint="eastAsia"/>
                      </w:rPr>
                      <w:t>主要经营地</w:t>
                    </w:r>
                  </w:p>
                </w:tc>
                <w:tc>
                  <w:tcPr>
                    <w:tcW w:w="1749" w:type="dxa"/>
                    <w:tcBorders>
                      <w:top w:val="single" w:sz="8" w:space="0" w:color="auto"/>
                      <w:left w:val="single" w:sz="2" w:space="0" w:color="auto"/>
                      <w:bottom w:val="single" w:sz="2" w:space="0" w:color="auto"/>
                      <w:right w:val="single" w:sz="2" w:space="0" w:color="auto"/>
                    </w:tcBorders>
                    <w:vAlign w:val="center"/>
                  </w:tcPr>
                  <w:p w14:paraId="6F1DC72E" w14:textId="77777777" w:rsidR="00D21C1F" w:rsidRDefault="00A42880">
                    <w:pPr>
                      <w:pStyle w:val="120"/>
                      <w:jc w:val="center"/>
                    </w:pPr>
                    <w:r>
                      <w:rPr>
                        <w:rFonts w:hint="eastAsia"/>
                      </w:rPr>
                      <w:t>记账本位币</w:t>
                    </w:r>
                  </w:p>
                </w:tc>
                <w:tc>
                  <w:tcPr>
                    <w:tcW w:w="1749" w:type="dxa"/>
                    <w:tcBorders>
                      <w:top w:val="single" w:sz="8" w:space="0" w:color="auto"/>
                      <w:left w:val="single" w:sz="2" w:space="0" w:color="auto"/>
                      <w:bottom w:val="single" w:sz="2" w:space="0" w:color="auto"/>
                      <w:right w:val="nil"/>
                    </w:tcBorders>
                    <w:vAlign w:val="center"/>
                  </w:tcPr>
                  <w:p w14:paraId="646F29B1" w14:textId="77777777" w:rsidR="00D21C1F" w:rsidRDefault="00A42880">
                    <w:pPr>
                      <w:pStyle w:val="120"/>
                      <w:jc w:val="center"/>
                    </w:pPr>
                    <w:r>
                      <w:rPr>
                        <w:rFonts w:hint="eastAsia"/>
                      </w:rPr>
                      <w:t>本期记账本位币变化情况</w:t>
                    </w:r>
                  </w:p>
                </w:tc>
              </w:tr>
              <w:tr w:rsidR="00D21C1F" w14:paraId="7FC340FB" w14:textId="77777777">
                <w:trPr>
                  <w:trHeight w:val="397"/>
                </w:trPr>
                <w:tc>
                  <w:tcPr>
                    <w:tcW w:w="1526" w:type="dxa"/>
                    <w:tcBorders>
                      <w:top w:val="single" w:sz="2" w:space="0" w:color="auto"/>
                      <w:left w:val="nil"/>
                      <w:bottom w:val="single" w:sz="2" w:space="0" w:color="auto"/>
                      <w:right w:val="single" w:sz="2" w:space="0" w:color="auto"/>
                    </w:tcBorders>
                    <w:vAlign w:val="center"/>
                  </w:tcPr>
                  <w:p w14:paraId="584298AD" w14:textId="77777777" w:rsidR="00D21C1F" w:rsidRPr="00E35692" w:rsidRDefault="00A42880">
                    <w:pPr>
                      <w:pStyle w:val="120"/>
                      <w:rPr>
                        <w:rFonts w:ascii="Times New Roman" w:hAnsi="Times New Roman" w:cs="Times New Roman"/>
                      </w:rPr>
                    </w:pPr>
                    <w:r w:rsidRPr="00E35692">
                      <w:rPr>
                        <w:rFonts w:ascii="Times New Roman" w:hAnsi="Times New Roman" w:cs="Times New Roman"/>
                      </w:rPr>
                      <w:lastRenderedPageBreak/>
                      <w:t>EVOLUT</w:t>
                    </w:r>
                  </w:p>
                </w:tc>
                <w:tc>
                  <w:tcPr>
                    <w:tcW w:w="2126" w:type="dxa"/>
                    <w:tcBorders>
                      <w:top w:val="single" w:sz="2" w:space="0" w:color="auto"/>
                      <w:left w:val="single" w:sz="2" w:space="0" w:color="auto"/>
                      <w:bottom w:val="single" w:sz="2" w:space="0" w:color="auto"/>
                      <w:right w:val="single" w:sz="2" w:space="0" w:color="auto"/>
                    </w:tcBorders>
                    <w:vAlign w:val="center"/>
                  </w:tcPr>
                  <w:p w14:paraId="0DE7FA58"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子公司</w:t>
                    </w:r>
                  </w:p>
                </w:tc>
                <w:tc>
                  <w:tcPr>
                    <w:tcW w:w="1595" w:type="dxa"/>
                    <w:tcBorders>
                      <w:top w:val="single" w:sz="2" w:space="0" w:color="auto"/>
                      <w:left w:val="single" w:sz="2" w:space="0" w:color="auto"/>
                      <w:bottom w:val="single" w:sz="2" w:space="0" w:color="auto"/>
                      <w:right w:val="single" w:sz="2" w:space="0" w:color="auto"/>
                    </w:tcBorders>
                    <w:vAlign w:val="center"/>
                  </w:tcPr>
                  <w:p w14:paraId="177BBF1D"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意大利</w:t>
                    </w:r>
                  </w:p>
                </w:tc>
                <w:tc>
                  <w:tcPr>
                    <w:tcW w:w="1749" w:type="dxa"/>
                    <w:tcBorders>
                      <w:top w:val="single" w:sz="2" w:space="0" w:color="auto"/>
                      <w:left w:val="single" w:sz="2" w:space="0" w:color="auto"/>
                      <w:bottom w:val="single" w:sz="2" w:space="0" w:color="auto"/>
                      <w:right w:val="single" w:sz="2" w:space="0" w:color="auto"/>
                    </w:tcBorders>
                    <w:vAlign w:val="center"/>
                  </w:tcPr>
                  <w:p w14:paraId="015F7768"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欧元</w:t>
                    </w:r>
                  </w:p>
                </w:tc>
                <w:tc>
                  <w:tcPr>
                    <w:tcW w:w="1749" w:type="dxa"/>
                    <w:tcBorders>
                      <w:top w:val="single" w:sz="2" w:space="0" w:color="auto"/>
                      <w:left w:val="single" w:sz="2" w:space="0" w:color="auto"/>
                      <w:bottom w:val="single" w:sz="2" w:space="0" w:color="auto"/>
                      <w:right w:val="nil"/>
                    </w:tcBorders>
                    <w:vAlign w:val="center"/>
                  </w:tcPr>
                  <w:p w14:paraId="46748947" w14:textId="77777777" w:rsidR="00D21C1F" w:rsidRDefault="00A42880">
                    <w:pPr>
                      <w:pStyle w:val="120"/>
                      <w:jc w:val="center"/>
                    </w:pPr>
                    <w:r>
                      <w:rPr>
                        <w:rFonts w:hint="eastAsia"/>
                      </w:rPr>
                      <w:t>无</w:t>
                    </w:r>
                  </w:p>
                </w:tc>
              </w:tr>
              <w:tr w:rsidR="00D21C1F" w14:paraId="223DC3FF" w14:textId="77777777">
                <w:trPr>
                  <w:trHeight w:val="397"/>
                </w:trPr>
                <w:tc>
                  <w:tcPr>
                    <w:tcW w:w="1526" w:type="dxa"/>
                    <w:tcBorders>
                      <w:top w:val="single" w:sz="2" w:space="0" w:color="auto"/>
                      <w:left w:val="nil"/>
                      <w:bottom w:val="single" w:sz="2" w:space="0" w:color="auto"/>
                      <w:right w:val="single" w:sz="2" w:space="0" w:color="auto"/>
                    </w:tcBorders>
                    <w:vAlign w:val="center"/>
                  </w:tcPr>
                  <w:p w14:paraId="00A0E0D6" w14:textId="77777777" w:rsidR="00D21C1F" w:rsidRPr="00E35692" w:rsidRDefault="00A42880">
                    <w:pPr>
                      <w:pStyle w:val="120"/>
                      <w:rPr>
                        <w:rFonts w:ascii="Times New Roman" w:hAnsi="Times New Roman" w:cs="Times New Roman"/>
                      </w:rPr>
                    </w:pPr>
                    <w:r w:rsidRPr="00E35692">
                      <w:rPr>
                        <w:rFonts w:ascii="Times New Roman" w:hAnsi="Times New Roman" w:cs="Times New Roman"/>
                      </w:rPr>
                      <w:t>WFC</w:t>
                    </w:r>
                  </w:p>
                </w:tc>
                <w:tc>
                  <w:tcPr>
                    <w:tcW w:w="2126" w:type="dxa"/>
                    <w:tcBorders>
                      <w:top w:val="single" w:sz="2" w:space="0" w:color="auto"/>
                      <w:left w:val="single" w:sz="2" w:space="0" w:color="auto"/>
                      <w:bottom w:val="single" w:sz="2" w:space="0" w:color="auto"/>
                      <w:right w:val="single" w:sz="2" w:space="0" w:color="auto"/>
                    </w:tcBorders>
                    <w:vAlign w:val="center"/>
                  </w:tcPr>
                  <w:p w14:paraId="36DE2AC3"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子公司</w:t>
                    </w:r>
                  </w:p>
                </w:tc>
                <w:tc>
                  <w:tcPr>
                    <w:tcW w:w="1595" w:type="dxa"/>
                    <w:tcBorders>
                      <w:top w:val="single" w:sz="2" w:space="0" w:color="auto"/>
                      <w:left w:val="single" w:sz="2" w:space="0" w:color="auto"/>
                      <w:bottom w:val="single" w:sz="2" w:space="0" w:color="auto"/>
                      <w:right w:val="single" w:sz="2" w:space="0" w:color="auto"/>
                    </w:tcBorders>
                    <w:vAlign w:val="center"/>
                  </w:tcPr>
                  <w:p w14:paraId="041B5D73"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意大利</w:t>
                    </w:r>
                  </w:p>
                </w:tc>
                <w:tc>
                  <w:tcPr>
                    <w:tcW w:w="1749" w:type="dxa"/>
                    <w:tcBorders>
                      <w:top w:val="single" w:sz="2" w:space="0" w:color="auto"/>
                      <w:left w:val="single" w:sz="2" w:space="0" w:color="auto"/>
                      <w:bottom w:val="single" w:sz="2" w:space="0" w:color="auto"/>
                      <w:right w:val="single" w:sz="2" w:space="0" w:color="auto"/>
                    </w:tcBorders>
                    <w:vAlign w:val="center"/>
                  </w:tcPr>
                  <w:p w14:paraId="28DCC538"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欧元</w:t>
                    </w:r>
                  </w:p>
                </w:tc>
                <w:tc>
                  <w:tcPr>
                    <w:tcW w:w="1749" w:type="dxa"/>
                    <w:tcBorders>
                      <w:top w:val="single" w:sz="2" w:space="0" w:color="auto"/>
                      <w:left w:val="single" w:sz="2" w:space="0" w:color="auto"/>
                      <w:bottom w:val="single" w:sz="2" w:space="0" w:color="auto"/>
                      <w:right w:val="nil"/>
                    </w:tcBorders>
                    <w:vAlign w:val="center"/>
                  </w:tcPr>
                  <w:p w14:paraId="3886B0EA" w14:textId="77777777" w:rsidR="00D21C1F" w:rsidRDefault="00A42880">
                    <w:pPr>
                      <w:pStyle w:val="120"/>
                      <w:jc w:val="center"/>
                    </w:pPr>
                    <w:r>
                      <w:rPr>
                        <w:rFonts w:hint="eastAsia"/>
                      </w:rPr>
                      <w:t>无</w:t>
                    </w:r>
                  </w:p>
                </w:tc>
              </w:tr>
              <w:tr w:rsidR="00D21C1F" w14:paraId="40B78812" w14:textId="77777777">
                <w:trPr>
                  <w:trHeight w:val="397"/>
                </w:trPr>
                <w:tc>
                  <w:tcPr>
                    <w:tcW w:w="1526" w:type="dxa"/>
                    <w:tcBorders>
                      <w:top w:val="single" w:sz="2" w:space="0" w:color="auto"/>
                      <w:left w:val="nil"/>
                      <w:bottom w:val="single" w:sz="2" w:space="0" w:color="auto"/>
                      <w:right w:val="single" w:sz="2" w:space="0" w:color="auto"/>
                    </w:tcBorders>
                    <w:vAlign w:val="center"/>
                  </w:tcPr>
                  <w:p w14:paraId="3694CFF3" w14:textId="77777777" w:rsidR="00D21C1F" w:rsidRPr="00E35692" w:rsidRDefault="00A42880">
                    <w:pPr>
                      <w:pStyle w:val="120"/>
                      <w:rPr>
                        <w:rFonts w:ascii="Times New Roman" w:hAnsi="Times New Roman" w:cs="Times New Roman"/>
                      </w:rPr>
                    </w:pPr>
                    <w:r w:rsidRPr="00E35692">
                      <w:rPr>
                        <w:rFonts w:ascii="Times New Roman" w:hAnsi="Times New Roman" w:cs="Times New Roman"/>
                      </w:rPr>
                      <w:t>OLCI</w:t>
                    </w:r>
                  </w:p>
                </w:tc>
                <w:tc>
                  <w:tcPr>
                    <w:tcW w:w="2126" w:type="dxa"/>
                    <w:tcBorders>
                      <w:top w:val="single" w:sz="2" w:space="0" w:color="auto"/>
                      <w:left w:val="single" w:sz="2" w:space="0" w:color="auto"/>
                      <w:bottom w:val="single" w:sz="2" w:space="0" w:color="auto"/>
                      <w:right w:val="single" w:sz="2" w:space="0" w:color="auto"/>
                    </w:tcBorders>
                    <w:vAlign w:val="center"/>
                  </w:tcPr>
                  <w:p w14:paraId="05FA6D9B"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WFC子公司</w:t>
                    </w:r>
                  </w:p>
                </w:tc>
                <w:tc>
                  <w:tcPr>
                    <w:tcW w:w="1595" w:type="dxa"/>
                    <w:tcBorders>
                      <w:top w:val="single" w:sz="2" w:space="0" w:color="auto"/>
                      <w:left w:val="single" w:sz="2" w:space="0" w:color="auto"/>
                      <w:bottom w:val="single" w:sz="2" w:space="0" w:color="auto"/>
                      <w:right w:val="single" w:sz="2" w:space="0" w:color="auto"/>
                    </w:tcBorders>
                    <w:vAlign w:val="center"/>
                  </w:tcPr>
                  <w:p w14:paraId="734B7BFE"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意大利</w:t>
                    </w:r>
                  </w:p>
                </w:tc>
                <w:tc>
                  <w:tcPr>
                    <w:tcW w:w="1749" w:type="dxa"/>
                    <w:tcBorders>
                      <w:top w:val="single" w:sz="2" w:space="0" w:color="auto"/>
                      <w:left w:val="single" w:sz="2" w:space="0" w:color="auto"/>
                      <w:bottom w:val="single" w:sz="2" w:space="0" w:color="auto"/>
                      <w:right w:val="single" w:sz="2" w:space="0" w:color="auto"/>
                    </w:tcBorders>
                    <w:vAlign w:val="center"/>
                  </w:tcPr>
                  <w:p w14:paraId="31E0B151"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欧元</w:t>
                    </w:r>
                  </w:p>
                </w:tc>
                <w:tc>
                  <w:tcPr>
                    <w:tcW w:w="1749" w:type="dxa"/>
                    <w:tcBorders>
                      <w:top w:val="single" w:sz="2" w:space="0" w:color="auto"/>
                      <w:left w:val="single" w:sz="2" w:space="0" w:color="auto"/>
                      <w:bottom w:val="single" w:sz="2" w:space="0" w:color="auto"/>
                      <w:right w:val="nil"/>
                    </w:tcBorders>
                    <w:vAlign w:val="center"/>
                  </w:tcPr>
                  <w:p w14:paraId="13FF3596" w14:textId="77777777" w:rsidR="00D21C1F" w:rsidRDefault="00A42880">
                    <w:pPr>
                      <w:pStyle w:val="120"/>
                      <w:jc w:val="center"/>
                    </w:pPr>
                    <w:r>
                      <w:rPr>
                        <w:rFonts w:hint="eastAsia"/>
                      </w:rPr>
                      <w:t>无</w:t>
                    </w:r>
                  </w:p>
                </w:tc>
              </w:tr>
              <w:tr w:rsidR="00D21C1F" w14:paraId="5EE5D235" w14:textId="77777777">
                <w:trPr>
                  <w:trHeight w:val="397"/>
                </w:trPr>
                <w:tc>
                  <w:tcPr>
                    <w:tcW w:w="1526" w:type="dxa"/>
                    <w:tcBorders>
                      <w:top w:val="single" w:sz="2" w:space="0" w:color="auto"/>
                      <w:left w:val="nil"/>
                      <w:bottom w:val="single" w:sz="2" w:space="0" w:color="auto"/>
                      <w:right w:val="single" w:sz="2" w:space="0" w:color="auto"/>
                    </w:tcBorders>
                    <w:vAlign w:val="center"/>
                  </w:tcPr>
                  <w:p w14:paraId="5BEBE671" w14:textId="235A3279" w:rsidR="00D21C1F" w:rsidRPr="00E35692" w:rsidRDefault="00A42880">
                    <w:pPr>
                      <w:pStyle w:val="120"/>
                      <w:rPr>
                        <w:rFonts w:ascii="Times New Roman" w:hAnsi="Times New Roman" w:cs="Times New Roman"/>
                      </w:rPr>
                    </w:pPr>
                    <w:r w:rsidRPr="00E35692">
                      <w:rPr>
                        <w:rFonts w:ascii="Times New Roman" w:hAnsi="Times New Roman" w:cs="Times New Roman"/>
                      </w:rPr>
                      <w:t>OLCI</w:t>
                    </w:r>
                    <w:r w:rsidR="00603B10" w:rsidRPr="00E35692">
                      <w:rPr>
                        <w:rFonts w:ascii="Times New Roman" w:hAnsi="Times New Roman" w:cs="Times New Roman"/>
                      </w:rPr>
                      <w:t xml:space="preserve"> </w:t>
                    </w:r>
                    <w:r w:rsidRPr="00E35692">
                      <w:rPr>
                        <w:rFonts w:ascii="Times New Roman" w:hAnsi="Times New Roman" w:cs="Times New Roman"/>
                      </w:rPr>
                      <w:t>India</w:t>
                    </w:r>
                  </w:p>
                </w:tc>
                <w:tc>
                  <w:tcPr>
                    <w:tcW w:w="2126" w:type="dxa"/>
                    <w:tcBorders>
                      <w:top w:val="single" w:sz="2" w:space="0" w:color="auto"/>
                      <w:left w:val="single" w:sz="2" w:space="0" w:color="auto"/>
                      <w:bottom w:val="single" w:sz="2" w:space="0" w:color="auto"/>
                      <w:right w:val="single" w:sz="2" w:space="0" w:color="auto"/>
                    </w:tcBorders>
                    <w:vAlign w:val="center"/>
                  </w:tcPr>
                  <w:p w14:paraId="03F456F8"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OLCI子公司</w:t>
                    </w:r>
                  </w:p>
                </w:tc>
                <w:tc>
                  <w:tcPr>
                    <w:tcW w:w="1595" w:type="dxa"/>
                    <w:tcBorders>
                      <w:top w:val="single" w:sz="2" w:space="0" w:color="auto"/>
                      <w:left w:val="single" w:sz="2" w:space="0" w:color="auto"/>
                      <w:bottom w:val="single" w:sz="2" w:space="0" w:color="auto"/>
                      <w:right w:val="single" w:sz="2" w:space="0" w:color="auto"/>
                    </w:tcBorders>
                    <w:vAlign w:val="center"/>
                  </w:tcPr>
                  <w:p w14:paraId="4FB91A5F"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印度</w:t>
                    </w:r>
                  </w:p>
                </w:tc>
                <w:tc>
                  <w:tcPr>
                    <w:tcW w:w="1749" w:type="dxa"/>
                    <w:tcBorders>
                      <w:top w:val="single" w:sz="2" w:space="0" w:color="auto"/>
                      <w:left w:val="single" w:sz="2" w:space="0" w:color="auto"/>
                      <w:bottom w:val="single" w:sz="2" w:space="0" w:color="auto"/>
                      <w:right w:val="single" w:sz="2" w:space="0" w:color="auto"/>
                    </w:tcBorders>
                    <w:vAlign w:val="center"/>
                  </w:tcPr>
                  <w:p w14:paraId="0B3583C9"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印度卢比</w:t>
                    </w:r>
                  </w:p>
                </w:tc>
                <w:tc>
                  <w:tcPr>
                    <w:tcW w:w="1749" w:type="dxa"/>
                    <w:tcBorders>
                      <w:top w:val="single" w:sz="2" w:space="0" w:color="auto"/>
                      <w:left w:val="single" w:sz="2" w:space="0" w:color="auto"/>
                      <w:bottom w:val="single" w:sz="2" w:space="0" w:color="auto"/>
                      <w:right w:val="nil"/>
                    </w:tcBorders>
                    <w:vAlign w:val="center"/>
                  </w:tcPr>
                  <w:p w14:paraId="1F0D5E42" w14:textId="77777777" w:rsidR="00D21C1F" w:rsidRDefault="00A42880">
                    <w:pPr>
                      <w:pStyle w:val="120"/>
                      <w:jc w:val="center"/>
                    </w:pPr>
                    <w:r>
                      <w:rPr>
                        <w:rFonts w:hint="eastAsia"/>
                      </w:rPr>
                      <w:t>无</w:t>
                    </w:r>
                  </w:p>
                </w:tc>
              </w:tr>
              <w:tr w:rsidR="00D21C1F" w14:paraId="24E8B36F" w14:textId="77777777">
                <w:trPr>
                  <w:trHeight w:val="397"/>
                </w:trPr>
                <w:tc>
                  <w:tcPr>
                    <w:tcW w:w="1526" w:type="dxa"/>
                    <w:tcBorders>
                      <w:top w:val="single" w:sz="2" w:space="0" w:color="auto"/>
                      <w:left w:val="nil"/>
                      <w:bottom w:val="single" w:sz="2" w:space="0" w:color="auto"/>
                      <w:right w:val="single" w:sz="2" w:space="0" w:color="auto"/>
                    </w:tcBorders>
                    <w:vAlign w:val="center"/>
                  </w:tcPr>
                  <w:p w14:paraId="31BE18FE" w14:textId="77777777" w:rsidR="00D21C1F" w:rsidRPr="00E35692" w:rsidRDefault="00A42880">
                    <w:pPr>
                      <w:pStyle w:val="120"/>
                      <w:rPr>
                        <w:rFonts w:ascii="Times New Roman" w:hAnsi="Times New Roman" w:cs="Times New Roman"/>
                      </w:rPr>
                    </w:pPr>
                    <w:r w:rsidRPr="00E35692">
                      <w:rPr>
                        <w:rFonts w:ascii="Times New Roman" w:hAnsi="Times New Roman" w:cs="Times New Roman"/>
                      </w:rPr>
                      <w:t>GME</w:t>
                    </w:r>
                  </w:p>
                </w:tc>
                <w:tc>
                  <w:tcPr>
                    <w:tcW w:w="2126" w:type="dxa"/>
                    <w:tcBorders>
                      <w:top w:val="single" w:sz="2" w:space="0" w:color="auto"/>
                      <w:left w:val="single" w:sz="2" w:space="0" w:color="auto"/>
                      <w:bottom w:val="single" w:sz="2" w:space="0" w:color="auto"/>
                      <w:right w:val="single" w:sz="2" w:space="0" w:color="auto"/>
                    </w:tcBorders>
                    <w:vAlign w:val="center"/>
                  </w:tcPr>
                  <w:p w14:paraId="64D184AA"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ECG子公司</w:t>
                    </w:r>
                  </w:p>
                </w:tc>
                <w:tc>
                  <w:tcPr>
                    <w:tcW w:w="1595" w:type="dxa"/>
                    <w:tcBorders>
                      <w:top w:val="single" w:sz="2" w:space="0" w:color="auto"/>
                      <w:left w:val="single" w:sz="2" w:space="0" w:color="auto"/>
                      <w:bottom w:val="single" w:sz="2" w:space="0" w:color="auto"/>
                      <w:right w:val="single" w:sz="2" w:space="0" w:color="auto"/>
                    </w:tcBorders>
                    <w:vAlign w:val="center"/>
                  </w:tcPr>
                  <w:p w14:paraId="54DB5708"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巴西</w:t>
                    </w:r>
                  </w:p>
                </w:tc>
                <w:tc>
                  <w:tcPr>
                    <w:tcW w:w="1749" w:type="dxa"/>
                    <w:tcBorders>
                      <w:top w:val="single" w:sz="2" w:space="0" w:color="auto"/>
                      <w:left w:val="single" w:sz="2" w:space="0" w:color="auto"/>
                      <w:bottom w:val="single" w:sz="2" w:space="0" w:color="auto"/>
                      <w:right w:val="single" w:sz="2" w:space="0" w:color="auto"/>
                    </w:tcBorders>
                    <w:vAlign w:val="center"/>
                  </w:tcPr>
                  <w:p w14:paraId="7DA6AF9C"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巴西雷亚尔</w:t>
                    </w:r>
                  </w:p>
                </w:tc>
                <w:tc>
                  <w:tcPr>
                    <w:tcW w:w="1749" w:type="dxa"/>
                    <w:tcBorders>
                      <w:top w:val="single" w:sz="2" w:space="0" w:color="auto"/>
                      <w:left w:val="single" w:sz="2" w:space="0" w:color="auto"/>
                      <w:bottom w:val="single" w:sz="2" w:space="0" w:color="auto"/>
                      <w:right w:val="nil"/>
                    </w:tcBorders>
                    <w:vAlign w:val="center"/>
                  </w:tcPr>
                  <w:p w14:paraId="7EABEE7A" w14:textId="77777777" w:rsidR="00D21C1F" w:rsidRDefault="00A42880">
                    <w:pPr>
                      <w:pStyle w:val="120"/>
                      <w:jc w:val="center"/>
                    </w:pPr>
                    <w:r>
                      <w:rPr>
                        <w:rFonts w:hint="eastAsia"/>
                      </w:rPr>
                      <w:t>无</w:t>
                    </w:r>
                  </w:p>
                </w:tc>
              </w:tr>
              <w:tr w:rsidR="00D21C1F" w14:paraId="455FAF61" w14:textId="77777777">
                <w:trPr>
                  <w:trHeight w:val="397"/>
                </w:trPr>
                <w:tc>
                  <w:tcPr>
                    <w:tcW w:w="1526" w:type="dxa"/>
                    <w:tcBorders>
                      <w:top w:val="single" w:sz="2" w:space="0" w:color="auto"/>
                      <w:left w:val="nil"/>
                      <w:bottom w:val="single" w:sz="2" w:space="0" w:color="auto"/>
                      <w:right w:val="single" w:sz="2" w:space="0" w:color="auto"/>
                    </w:tcBorders>
                    <w:vAlign w:val="center"/>
                  </w:tcPr>
                  <w:p w14:paraId="0E387F92" w14:textId="77777777" w:rsidR="00D21C1F" w:rsidRPr="00E35692" w:rsidRDefault="00A42880">
                    <w:pPr>
                      <w:pStyle w:val="120"/>
                      <w:rPr>
                        <w:rFonts w:ascii="Times New Roman" w:hAnsi="Times New Roman" w:cs="Times New Roman"/>
                      </w:rPr>
                    </w:pPr>
                    <w:r w:rsidRPr="00E35692">
                      <w:rPr>
                        <w:rFonts w:ascii="Times New Roman" w:hAnsi="Times New Roman" w:cs="Times New Roman"/>
                      </w:rPr>
                      <w:t>Autorobot</w:t>
                    </w:r>
                  </w:p>
                </w:tc>
                <w:tc>
                  <w:tcPr>
                    <w:tcW w:w="2126" w:type="dxa"/>
                    <w:tcBorders>
                      <w:top w:val="single" w:sz="2" w:space="0" w:color="auto"/>
                      <w:left w:val="single" w:sz="2" w:space="0" w:color="auto"/>
                      <w:bottom w:val="single" w:sz="2" w:space="0" w:color="auto"/>
                      <w:right w:val="single" w:sz="2" w:space="0" w:color="auto"/>
                    </w:tcBorders>
                    <w:vAlign w:val="center"/>
                  </w:tcPr>
                  <w:p w14:paraId="2882BA24"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WFC子公司</w:t>
                    </w:r>
                  </w:p>
                </w:tc>
                <w:tc>
                  <w:tcPr>
                    <w:tcW w:w="1595" w:type="dxa"/>
                    <w:tcBorders>
                      <w:top w:val="single" w:sz="2" w:space="0" w:color="auto"/>
                      <w:left w:val="single" w:sz="2" w:space="0" w:color="auto"/>
                      <w:bottom w:val="single" w:sz="2" w:space="0" w:color="auto"/>
                      <w:right w:val="single" w:sz="2" w:space="0" w:color="auto"/>
                    </w:tcBorders>
                    <w:vAlign w:val="center"/>
                  </w:tcPr>
                  <w:p w14:paraId="3A2BB019"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波兰</w:t>
                    </w:r>
                  </w:p>
                </w:tc>
                <w:tc>
                  <w:tcPr>
                    <w:tcW w:w="1749" w:type="dxa"/>
                    <w:tcBorders>
                      <w:top w:val="single" w:sz="2" w:space="0" w:color="auto"/>
                      <w:left w:val="single" w:sz="2" w:space="0" w:color="auto"/>
                      <w:bottom w:val="single" w:sz="2" w:space="0" w:color="auto"/>
                      <w:right w:val="single" w:sz="2" w:space="0" w:color="auto"/>
                    </w:tcBorders>
                    <w:vAlign w:val="center"/>
                  </w:tcPr>
                  <w:p w14:paraId="390F91B0"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波兰兹罗提</w:t>
                    </w:r>
                  </w:p>
                </w:tc>
                <w:tc>
                  <w:tcPr>
                    <w:tcW w:w="1749" w:type="dxa"/>
                    <w:tcBorders>
                      <w:top w:val="single" w:sz="2" w:space="0" w:color="auto"/>
                      <w:left w:val="single" w:sz="2" w:space="0" w:color="auto"/>
                      <w:bottom w:val="single" w:sz="2" w:space="0" w:color="auto"/>
                      <w:right w:val="nil"/>
                    </w:tcBorders>
                    <w:vAlign w:val="center"/>
                  </w:tcPr>
                  <w:p w14:paraId="2554E847" w14:textId="77777777" w:rsidR="00D21C1F" w:rsidRDefault="00A42880">
                    <w:pPr>
                      <w:pStyle w:val="120"/>
                      <w:jc w:val="center"/>
                    </w:pPr>
                    <w:r>
                      <w:rPr>
                        <w:rFonts w:hint="eastAsia"/>
                      </w:rPr>
                      <w:t>无</w:t>
                    </w:r>
                  </w:p>
                </w:tc>
              </w:tr>
              <w:tr w:rsidR="00D21C1F" w14:paraId="7B49039F" w14:textId="77777777">
                <w:trPr>
                  <w:trHeight w:val="397"/>
                </w:trPr>
                <w:tc>
                  <w:tcPr>
                    <w:tcW w:w="1526" w:type="dxa"/>
                    <w:tcBorders>
                      <w:top w:val="single" w:sz="2" w:space="0" w:color="auto"/>
                      <w:left w:val="nil"/>
                      <w:bottom w:val="single" w:sz="2" w:space="0" w:color="auto"/>
                      <w:right w:val="single" w:sz="2" w:space="0" w:color="auto"/>
                    </w:tcBorders>
                    <w:vAlign w:val="center"/>
                  </w:tcPr>
                  <w:p w14:paraId="02D7EFF0" w14:textId="564F04AD" w:rsidR="00D21C1F" w:rsidRPr="00E35692" w:rsidRDefault="00A42880">
                    <w:pPr>
                      <w:pStyle w:val="100"/>
                      <w:rPr>
                        <w:rFonts w:ascii="Times New Roman" w:hAnsi="Times New Roman"/>
                      </w:rPr>
                    </w:pPr>
                    <w:r w:rsidRPr="00E35692">
                      <w:rPr>
                        <w:rFonts w:ascii="Times New Roman" w:hAnsi="Times New Roman"/>
                      </w:rPr>
                      <w:t>Efort</w:t>
                    </w:r>
                    <w:r w:rsidR="00603B10" w:rsidRPr="00E35692">
                      <w:rPr>
                        <w:rFonts w:ascii="Times New Roman" w:hAnsi="Times New Roman"/>
                      </w:rPr>
                      <w:t xml:space="preserve"> </w:t>
                    </w:r>
                    <w:r w:rsidRPr="00E35692">
                      <w:rPr>
                        <w:rFonts w:ascii="Times New Roman" w:hAnsi="Times New Roman"/>
                      </w:rPr>
                      <w:t>Europe</w:t>
                    </w:r>
                  </w:p>
                </w:tc>
                <w:tc>
                  <w:tcPr>
                    <w:tcW w:w="2126" w:type="dxa"/>
                    <w:tcBorders>
                      <w:top w:val="single" w:sz="2" w:space="0" w:color="auto"/>
                      <w:left w:val="single" w:sz="2" w:space="0" w:color="auto"/>
                      <w:bottom w:val="single" w:sz="2" w:space="0" w:color="auto"/>
                      <w:right w:val="single" w:sz="2" w:space="0" w:color="auto"/>
                    </w:tcBorders>
                    <w:vAlign w:val="center"/>
                  </w:tcPr>
                  <w:p w14:paraId="311C798B"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子公司</w:t>
                    </w:r>
                  </w:p>
                </w:tc>
                <w:tc>
                  <w:tcPr>
                    <w:tcW w:w="1595" w:type="dxa"/>
                    <w:tcBorders>
                      <w:top w:val="single" w:sz="2" w:space="0" w:color="auto"/>
                      <w:left w:val="single" w:sz="2" w:space="0" w:color="auto"/>
                      <w:bottom w:val="single" w:sz="2" w:space="0" w:color="auto"/>
                      <w:right w:val="single" w:sz="2" w:space="0" w:color="auto"/>
                    </w:tcBorders>
                    <w:vAlign w:val="center"/>
                  </w:tcPr>
                  <w:p w14:paraId="2C6F9B8C"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意大利</w:t>
                    </w:r>
                  </w:p>
                </w:tc>
                <w:tc>
                  <w:tcPr>
                    <w:tcW w:w="1749" w:type="dxa"/>
                    <w:tcBorders>
                      <w:top w:val="single" w:sz="2" w:space="0" w:color="auto"/>
                      <w:left w:val="single" w:sz="2" w:space="0" w:color="auto"/>
                      <w:bottom w:val="single" w:sz="2" w:space="0" w:color="auto"/>
                      <w:right w:val="single" w:sz="2" w:space="0" w:color="auto"/>
                    </w:tcBorders>
                    <w:vAlign w:val="center"/>
                  </w:tcPr>
                  <w:p w14:paraId="50AF105E"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欧元</w:t>
                    </w:r>
                  </w:p>
                </w:tc>
                <w:tc>
                  <w:tcPr>
                    <w:tcW w:w="1749" w:type="dxa"/>
                    <w:tcBorders>
                      <w:top w:val="single" w:sz="2" w:space="0" w:color="auto"/>
                      <w:left w:val="single" w:sz="2" w:space="0" w:color="auto"/>
                      <w:bottom w:val="single" w:sz="2" w:space="0" w:color="auto"/>
                      <w:right w:val="nil"/>
                    </w:tcBorders>
                    <w:vAlign w:val="center"/>
                  </w:tcPr>
                  <w:p w14:paraId="6713BD10" w14:textId="77777777" w:rsidR="00D21C1F" w:rsidRDefault="00A42880">
                    <w:pPr>
                      <w:pStyle w:val="120"/>
                      <w:jc w:val="center"/>
                    </w:pPr>
                    <w:r>
                      <w:rPr>
                        <w:rFonts w:hint="eastAsia"/>
                      </w:rPr>
                      <w:t>无</w:t>
                    </w:r>
                  </w:p>
                </w:tc>
              </w:tr>
              <w:tr w:rsidR="00D21C1F" w14:paraId="082F36C5" w14:textId="77777777">
                <w:trPr>
                  <w:trHeight w:val="397"/>
                </w:trPr>
                <w:tc>
                  <w:tcPr>
                    <w:tcW w:w="1526" w:type="dxa"/>
                    <w:tcBorders>
                      <w:top w:val="single" w:sz="2" w:space="0" w:color="auto"/>
                      <w:left w:val="nil"/>
                      <w:bottom w:val="single" w:sz="2" w:space="0" w:color="auto"/>
                      <w:right w:val="single" w:sz="2" w:space="0" w:color="auto"/>
                    </w:tcBorders>
                    <w:vAlign w:val="center"/>
                  </w:tcPr>
                  <w:p w14:paraId="3B1CF1C8" w14:textId="7A72C2CA" w:rsidR="00D21C1F" w:rsidRPr="00E35692" w:rsidRDefault="00A42880">
                    <w:pPr>
                      <w:pStyle w:val="100"/>
                      <w:rPr>
                        <w:rFonts w:ascii="Times New Roman" w:hAnsi="Times New Roman"/>
                      </w:rPr>
                    </w:pPr>
                    <w:r w:rsidRPr="00E35692">
                      <w:rPr>
                        <w:rFonts w:ascii="Times New Roman" w:hAnsi="Times New Roman"/>
                      </w:rPr>
                      <w:t>Efort</w:t>
                    </w:r>
                    <w:r w:rsidR="00603B10" w:rsidRPr="00E35692">
                      <w:rPr>
                        <w:rFonts w:ascii="Times New Roman" w:hAnsi="Times New Roman"/>
                      </w:rPr>
                      <w:t xml:space="preserve"> </w:t>
                    </w:r>
                    <w:r w:rsidRPr="00E35692">
                      <w:rPr>
                        <w:rFonts w:ascii="Times New Roman" w:hAnsi="Times New Roman"/>
                      </w:rPr>
                      <w:t>France</w:t>
                    </w:r>
                  </w:p>
                </w:tc>
                <w:tc>
                  <w:tcPr>
                    <w:tcW w:w="2126" w:type="dxa"/>
                    <w:tcBorders>
                      <w:top w:val="single" w:sz="2" w:space="0" w:color="auto"/>
                      <w:left w:val="single" w:sz="2" w:space="0" w:color="auto"/>
                      <w:bottom w:val="single" w:sz="2" w:space="0" w:color="auto"/>
                      <w:right w:val="single" w:sz="2" w:space="0" w:color="auto"/>
                    </w:tcBorders>
                    <w:vAlign w:val="center"/>
                  </w:tcPr>
                  <w:p w14:paraId="60746BC8" w14:textId="501E2569"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Efort</w:t>
                    </w:r>
                    <w:r w:rsidR="007B58A7" w:rsidRPr="00E35692">
                      <w:rPr>
                        <w:rFonts w:ascii="Times New Roman" w:hAnsi="Times New Roman" w:cs="Times New Roman"/>
                      </w:rPr>
                      <w:t xml:space="preserve"> </w:t>
                    </w:r>
                    <w:r w:rsidRPr="00E35692">
                      <w:rPr>
                        <w:rFonts w:ascii="Times New Roman" w:hAnsi="Times New Roman" w:cs="Times New Roman"/>
                      </w:rPr>
                      <w:t>Europe子公司</w:t>
                    </w:r>
                  </w:p>
                </w:tc>
                <w:tc>
                  <w:tcPr>
                    <w:tcW w:w="1595" w:type="dxa"/>
                    <w:tcBorders>
                      <w:top w:val="single" w:sz="2" w:space="0" w:color="auto"/>
                      <w:left w:val="single" w:sz="2" w:space="0" w:color="auto"/>
                      <w:bottom w:val="single" w:sz="2" w:space="0" w:color="auto"/>
                      <w:right w:val="single" w:sz="2" w:space="0" w:color="auto"/>
                    </w:tcBorders>
                    <w:vAlign w:val="center"/>
                  </w:tcPr>
                  <w:p w14:paraId="6D57C799"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法国</w:t>
                    </w:r>
                  </w:p>
                </w:tc>
                <w:tc>
                  <w:tcPr>
                    <w:tcW w:w="1749" w:type="dxa"/>
                    <w:tcBorders>
                      <w:top w:val="single" w:sz="2" w:space="0" w:color="auto"/>
                      <w:left w:val="single" w:sz="2" w:space="0" w:color="auto"/>
                      <w:bottom w:val="single" w:sz="2" w:space="0" w:color="auto"/>
                      <w:right w:val="single" w:sz="2" w:space="0" w:color="auto"/>
                    </w:tcBorders>
                    <w:vAlign w:val="center"/>
                  </w:tcPr>
                  <w:p w14:paraId="5B9120A8"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欧元</w:t>
                    </w:r>
                  </w:p>
                </w:tc>
                <w:tc>
                  <w:tcPr>
                    <w:tcW w:w="1749" w:type="dxa"/>
                    <w:tcBorders>
                      <w:top w:val="single" w:sz="2" w:space="0" w:color="auto"/>
                      <w:left w:val="single" w:sz="2" w:space="0" w:color="auto"/>
                      <w:bottom w:val="single" w:sz="2" w:space="0" w:color="auto"/>
                      <w:right w:val="nil"/>
                    </w:tcBorders>
                    <w:vAlign w:val="center"/>
                  </w:tcPr>
                  <w:p w14:paraId="699EB268" w14:textId="77777777" w:rsidR="00D21C1F" w:rsidRDefault="00A42880">
                    <w:pPr>
                      <w:pStyle w:val="120"/>
                      <w:jc w:val="center"/>
                    </w:pPr>
                    <w:r>
                      <w:rPr>
                        <w:rFonts w:hint="eastAsia"/>
                      </w:rPr>
                      <w:t>无</w:t>
                    </w:r>
                  </w:p>
                </w:tc>
              </w:tr>
              <w:tr w:rsidR="00D21C1F" w14:paraId="4760B4DB" w14:textId="77777777">
                <w:trPr>
                  <w:trHeight w:val="397"/>
                </w:trPr>
                <w:tc>
                  <w:tcPr>
                    <w:tcW w:w="1526" w:type="dxa"/>
                    <w:tcBorders>
                      <w:top w:val="single" w:sz="2" w:space="0" w:color="auto"/>
                      <w:left w:val="nil"/>
                      <w:bottom w:val="single" w:sz="2" w:space="0" w:color="auto"/>
                      <w:right w:val="single" w:sz="2" w:space="0" w:color="auto"/>
                    </w:tcBorders>
                    <w:vAlign w:val="center"/>
                  </w:tcPr>
                  <w:p w14:paraId="1654E821" w14:textId="77777777" w:rsidR="00D21C1F" w:rsidRPr="00E35692" w:rsidRDefault="00A42880">
                    <w:pPr>
                      <w:pStyle w:val="120"/>
                      <w:rPr>
                        <w:rFonts w:ascii="Times New Roman" w:hAnsi="Times New Roman" w:cs="Times New Roman"/>
                      </w:rPr>
                    </w:pPr>
                    <w:r w:rsidRPr="00E35692">
                      <w:rPr>
                        <w:rFonts w:ascii="Times New Roman" w:hAnsi="Times New Roman" w:cs="Times New Roman"/>
                      </w:rPr>
                      <w:t>CMA</w:t>
                    </w:r>
                  </w:p>
                </w:tc>
                <w:tc>
                  <w:tcPr>
                    <w:tcW w:w="2126" w:type="dxa"/>
                    <w:tcBorders>
                      <w:top w:val="single" w:sz="2" w:space="0" w:color="auto"/>
                      <w:left w:val="single" w:sz="2" w:space="0" w:color="auto"/>
                      <w:bottom w:val="single" w:sz="2" w:space="0" w:color="auto"/>
                      <w:right w:val="single" w:sz="2" w:space="0" w:color="auto"/>
                    </w:tcBorders>
                    <w:vAlign w:val="center"/>
                  </w:tcPr>
                  <w:p w14:paraId="5259F52E" w14:textId="3CA7BA13"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Efort</w:t>
                    </w:r>
                    <w:r w:rsidR="007B58A7" w:rsidRPr="00E35692">
                      <w:rPr>
                        <w:rFonts w:ascii="Times New Roman" w:hAnsi="Times New Roman" w:cs="Times New Roman"/>
                      </w:rPr>
                      <w:t xml:space="preserve"> </w:t>
                    </w:r>
                    <w:r w:rsidRPr="00E35692">
                      <w:rPr>
                        <w:rFonts w:ascii="Times New Roman" w:hAnsi="Times New Roman" w:cs="Times New Roman"/>
                      </w:rPr>
                      <w:t>Europe子公司</w:t>
                    </w:r>
                  </w:p>
                </w:tc>
                <w:tc>
                  <w:tcPr>
                    <w:tcW w:w="1595" w:type="dxa"/>
                    <w:tcBorders>
                      <w:top w:val="single" w:sz="2" w:space="0" w:color="auto"/>
                      <w:left w:val="single" w:sz="2" w:space="0" w:color="auto"/>
                      <w:bottom w:val="single" w:sz="2" w:space="0" w:color="auto"/>
                      <w:right w:val="single" w:sz="2" w:space="0" w:color="auto"/>
                    </w:tcBorders>
                    <w:vAlign w:val="center"/>
                  </w:tcPr>
                  <w:p w14:paraId="601FD295"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意大利</w:t>
                    </w:r>
                  </w:p>
                </w:tc>
                <w:tc>
                  <w:tcPr>
                    <w:tcW w:w="1749" w:type="dxa"/>
                    <w:tcBorders>
                      <w:top w:val="single" w:sz="2" w:space="0" w:color="auto"/>
                      <w:left w:val="single" w:sz="2" w:space="0" w:color="auto"/>
                      <w:bottom w:val="single" w:sz="2" w:space="0" w:color="auto"/>
                      <w:right w:val="single" w:sz="2" w:space="0" w:color="auto"/>
                    </w:tcBorders>
                    <w:vAlign w:val="center"/>
                  </w:tcPr>
                  <w:p w14:paraId="3FDE750C"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欧元</w:t>
                    </w:r>
                  </w:p>
                </w:tc>
                <w:tc>
                  <w:tcPr>
                    <w:tcW w:w="1749" w:type="dxa"/>
                    <w:tcBorders>
                      <w:top w:val="single" w:sz="2" w:space="0" w:color="auto"/>
                      <w:left w:val="single" w:sz="2" w:space="0" w:color="auto"/>
                      <w:bottom w:val="single" w:sz="2" w:space="0" w:color="auto"/>
                      <w:right w:val="nil"/>
                    </w:tcBorders>
                    <w:vAlign w:val="center"/>
                  </w:tcPr>
                  <w:p w14:paraId="543D1BCF" w14:textId="77777777" w:rsidR="00D21C1F" w:rsidRDefault="00A42880">
                    <w:pPr>
                      <w:pStyle w:val="120"/>
                      <w:jc w:val="center"/>
                    </w:pPr>
                    <w:r>
                      <w:rPr>
                        <w:rFonts w:hint="eastAsia"/>
                      </w:rPr>
                      <w:t>无</w:t>
                    </w:r>
                  </w:p>
                </w:tc>
              </w:tr>
              <w:tr w:rsidR="00D21C1F" w14:paraId="4384DF2B" w14:textId="77777777">
                <w:trPr>
                  <w:trHeight w:val="397"/>
                </w:trPr>
                <w:tc>
                  <w:tcPr>
                    <w:tcW w:w="1526" w:type="dxa"/>
                    <w:tcBorders>
                      <w:top w:val="single" w:sz="2" w:space="0" w:color="auto"/>
                      <w:left w:val="nil"/>
                      <w:bottom w:val="single" w:sz="2" w:space="0" w:color="auto"/>
                      <w:right w:val="single" w:sz="2" w:space="0" w:color="auto"/>
                    </w:tcBorders>
                    <w:vAlign w:val="center"/>
                  </w:tcPr>
                  <w:p w14:paraId="64071B89" w14:textId="7D3AD98C" w:rsidR="00D21C1F" w:rsidRPr="00E35692" w:rsidRDefault="00A42880">
                    <w:pPr>
                      <w:pStyle w:val="120"/>
                      <w:rPr>
                        <w:rFonts w:ascii="Times New Roman" w:hAnsi="Times New Roman" w:cs="Times New Roman"/>
                      </w:rPr>
                    </w:pPr>
                    <w:r w:rsidRPr="00E35692">
                      <w:rPr>
                        <w:rFonts w:ascii="Times New Roman" w:hAnsi="Times New Roman" w:cs="Times New Roman"/>
                      </w:rPr>
                      <w:t>CMA</w:t>
                    </w:r>
                    <w:r w:rsidR="00603B10" w:rsidRPr="00E35692">
                      <w:rPr>
                        <w:rFonts w:ascii="Times New Roman" w:hAnsi="Times New Roman" w:cs="Times New Roman"/>
                      </w:rPr>
                      <w:t xml:space="preserve"> </w:t>
                    </w:r>
                    <w:r w:rsidRPr="00E35692">
                      <w:rPr>
                        <w:rFonts w:ascii="Times New Roman" w:hAnsi="Times New Roman" w:cs="Times New Roman"/>
                      </w:rPr>
                      <w:t>GmbH</w:t>
                    </w:r>
                  </w:p>
                </w:tc>
                <w:tc>
                  <w:tcPr>
                    <w:tcW w:w="2126" w:type="dxa"/>
                    <w:tcBorders>
                      <w:top w:val="single" w:sz="2" w:space="0" w:color="auto"/>
                      <w:left w:val="single" w:sz="2" w:space="0" w:color="auto"/>
                      <w:bottom w:val="single" w:sz="2" w:space="0" w:color="auto"/>
                      <w:right w:val="single" w:sz="2" w:space="0" w:color="auto"/>
                    </w:tcBorders>
                    <w:vAlign w:val="center"/>
                  </w:tcPr>
                  <w:p w14:paraId="7FB838C6"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CMA子公司</w:t>
                    </w:r>
                  </w:p>
                </w:tc>
                <w:tc>
                  <w:tcPr>
                    <w:tcW w:w="1595" w:type="dxa"/>
                    <w:tcBorders>
                      <w:top w:val="single" w:sz="2" w:space="0" w:color="auto"/>
                      <w:left w:val="single" w:sz="2" w:space="0" w:color="auto"/>
                      <w:bottom w:val="single" w:sz="2" w:space="0" w:color="auto"/>
                      <w:right w:val="single" w:sz="2" w:space="0" w:color="auto"/>
                    </w:tcBorders>
                    <w:vAlign w:val="center"/>
                  </w:tcPr>
                  <w:p w14:paraId="5966F43F"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德国</w:t>
                    </w:r>
                  </w:p>
                </w:tc>
                <w:tc>
                  <w:tcPr>
                    <w:tcW w:w="1749" w:type="dxa"/>
                    <w:tcBorders>
                      <w:top w:val="single" w:sz="2" w:space="0" w:color="auto"/>
                      <w:left w:val="single" w:sz="2" w:space="0" w:color="auto"/>
                      <w:bottom w:val="single" w:sz="2" w:space="0" w:color="auto"/>
                      <w:right w:val="single" w:sz="2" w:space="0" w:color="auto"/>
                    </w:tcBorders>
                    <w:vAlign w:val="center"/>
                  </w:tcPr>
                  <w:p w14:paraId="5DB4F984"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欧元</w:t>
                    </w:r>
                  </w:p>
                </w:tc>
                <w:tc>
                  <w:tcPr>
                    <w:tcW w:w="1749" w:type="dxa"/>
                    <w:tcBorders>
                      <w:top w:val="single" w:sz="2" w:space="0" w:color="auto"/>
                      <w:left w:val="single" w:sz="2" w:space="0" w:color="auto"/>
                      <w:bottom w:val="single" w:sz="2" w:space="0" w:color="auto"/>
                      <w:right w:val="nil"/>
                    </w:tcBorders>
                    <w:vAlign w:val="center"/>
                  </w:tcPr>
                  <w:p w14:paraId="02D514A0" w14:textId="77777777" w:rsidR="00D21C1F" w:rsidRDefault="00A42880">
                    <w:pPr>
                      <w:pStyle w:val="120"/>
                      <w:jc w:val="center"/>
                    </w:pPr>
                    <w:r>
                      <w:rPr>
                        <w:rFonts w:hint="eastAsia"/>
                      </w:rPr>
                      <w:t>无</w:t>
                    </w:r>
                  </w:p>
                </w:tc>
              </w:tr>
              <w:tr w:rsidR="00D21C1F" w14:paraId="320F6092" w14:textId="77777777">
                <w:trPr>
                  <w:trHeight w:val="397"/>
                </w:trPr>
                <w:tc>
                  <w:tcPr>
                    <w:tcW w:w="1526" w:type="dxa"/>
                    <w:tcBorders>
                      <w:top w:val="single" w:sz="2" w:space="0" w:color="auto"/>
                      <w:left w:val="nil"/>
                      <w:bottom w:val="single" w:sz="8" w:space="0" w:color="auto"/>
                      <w:right w:val="single" w:sz="2" w:space="0" w:color="auto"/>
                    </w:tcBorders>
                    <w:vAlign w:val="center"/>
                  </w:tcPr>
                  <w:p w14:paraId="5B72526F" w14:textId="6E8FE9B5" w:rsidR="00D21C1F" w:rsidRPr="00E35692" w:rsidRDefault="00A42880">
                    <w:pPr>
                      <w:pStyle w:val="120"/>
                      <w:rPr>
                        <w:rFonts w:ascii="Times New Roman" w:hAnsi="Times New Roman" w:cs="Times New Roman"/>
                      </w:rPr>
                    </w:pPr>
                    <w:r w:rsidRPr="00E35692">
                      <w:rPr>
                        <w:rFonts w:ascii="Times New Roman" w:hAnsi="Times New Roman" w:cs="Times New Roman"/>
                      </w:rPr>
                      <w:t>Efort Syste</w:t>
                    </w:r>
                    <w:r w:rsidR="000D5DCF" w:rsidRPr="00E35692">
                      <w:rPr>
                        <w:rFonts w:ascii="Times New Roman" w:hAnsi="Times New Roman" w:cs="Times New Roman"/>
                      </w:rPr>
                      <w:t>ms</w:t>
                    </w:r>
                  </w:p>
                </w:tc>
                <w:tc>
                  <w:tcPr>
                    <w:tcW w:w="2126" w:type="dxa"/>
                    <w:tcBorders>
                      <w:top w:val="single" w:sz="2" w:space="0" w:color="auto"/>
                      <w:left w:val="single" w:sz="2" w:space="0" w:color="auto"/>
                      <w:bottom w:val="single" w:sz="8" w:space="0" w:color="auto"/>
                      <w:right w:val="single" w:sz="2" w:space="0" w:color="auto"/>
                    </w:tcBorders>
                    <w:vAlign w:val="center"/>
                  </w:tcPr>
                  <w:p w14:paraId="4BD146B0" w14:textId="781C40E4"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Efort</w:t>
                    </w:r>
                    <w:r w:rsidR="007B58A7" w:rsidRPr="00E35692">
                      <w:rPr>
                        <w:rFonts w:ascii="Times New Roman" w:hAnsi="Times New Roman" w:cs="Times New Roman"/>
                      </w:rPr>
                      <w:t xml:space="preserve"> </w:t>
                    </w:r>
                    <w:r w:rsidRPr="00E35692">
                      <w:rPr>
                        <w:rFonts w:ascii="Times New Roman" w:hAnsi="Times New Roman" w:cs="Times New Roman"/>
                      </w:rPr>
                      <w:t>Europe子公司</w:t>
                    </w:r>
                  </w:p>
                </w:tc>
                <w:tc>
                  <w:tcPr>
                    <w:tcW w:w="1595" w:type="dxa"/>
                    <w:tcBorders>
                      <w:top w:val="single" w:sz="2" w:space="0" w:color="auto"/>
                      <w:left w:val="single" w:sz="2" w:space="0" w:color="auto"/>
                      <w:bottom w:val="single" w:sz="8" w:space="0" w:color="auto"/>
                      <w:right w:val="single" w:sz="2" w:space="0" w:color="auto"/>
                    </w:tcBorders>
                    <w:vAlign w:val="center"/>
                  </w:tcPr>
                  <w:p w14:paraId="3691AA06" w14:textId="77777777" w:rsidR="00D21C1F" w:rsidRPr="00E35692" w:rsidRDefault="00A42880">
                    <w:pPr>
                      <w:pStyle w:val="120"/>
                      <w:jc w:val="center"/>
                      <w:rPr>
                        <w:rFonts w:ascii="Times New Roman" w:hAnsi="Times New Roman" w:cs="Times New Roman"/>
                      </w:rPr>
                    </w:pPr>
                    <w:r w:rsidRPr="00E35692">
                      <w:rPr>
                        <w:rFonts w:ascii="Times New Roman" w:hAnsi="Times New Roman" w:cs="Times New Roman"/>
                      </w:rPr>
                      <w:t>意大利</w:t>
                    </w:r>
                  </w:p>
                </w:tc>
                <w:tc>
                  <w:tcPr>
                    <w:tcW w:w="1749" w:type="dxa"/>
                    <w:tcBorders>
                      <w:top w:val="single" w:sz="2" w:space="0" w:color="auto"/>
                      <w:left w:val="single" w:sz="2" w:space="0" w:color="auto"/>
                      <w:bottom w:val="single" w:sz="8" w:space="0" w:color="auto"/>
                      <w:right w:val="single" w:sz="2" w:space="0" w:color="auto"/>
                    </w:tcBorders>
                    <w:vAlign w:val="center"/>
                  </w:tcPr>
                  <w:p w14:paraId="0D348B17" w14:textId="77777777" w:rsidR="00D21C1F" w:rsidRPr="00E35692" w:rsidRDefault="00A42880">
                    <w:pPr>
                      <w:pStyle w:val="120"/>
                      <w:jc w:val="center"/>
                      <w:rPr>
                        <w:rFonts w:ascii="Times New Roman" w:hAnsi="Times New Roman" w:cs="Times New Roman"/>
                      </w:rPr>
                    </w:pPr>
                    <w:r w:rsidRPr="00E35692">
                      <w:rPr>
                        <w:rFonts w:ascii="Times New Roman" w:eastAsia="宋体" w:hAnsi="Times New Roman" w:cs="Times New Roman"/>
                      </w:rPr>
                      <w:t>欧元</w:t>
                    </w:r>
                  </w:p>
                </w:tc>
                <w:tc>
                  <w:tcPr>
                    <w:tcW w:w="1749" w:type="dxa"/>
                    <w:tcBorders>
                      <w:top w:val="single" w:sz="2" w:space="0" w:color="auto"/>
                      <w:left w:val="single" w:sz="2" w:space="0" w:color="auto"/>
                      <w:bottom w:val="single" w:sz="8" w:space="0" w:color="auto"/>
                      <w:right w:val="nil"/>
                    </w:tcBorders>
                    <w:vAlign w:val="center"/>
                  </w:tcPr>
                  <w:p w14:paraId="33C89BD7" w14:textId="77777777" w:rsidR="00D21C1F" w:rsidRDefault="00A42880">
                    <w:pPr>
                      <w:pStyle w:val="120"/>
                      <w:jc w:val="center"/>
                    </w:pPr>
                    <w:r>
                      <w:rPr>
                        <w:rFonts w:hint="eastAsia"/>
                      </w:rPr>
                      <w:t>无</w:t>
                    </w:r>
                  </w:p>
                </w:tc>
              </w:tr>
            </w:tbl>
            <w:p w14:paraId="12F8963C" w14:textId="77777777" w:rsidR="00D21C1F" w:rsidRDefault="00045EC6">
              <w:pPr>
                <w:rPr>
                  <w:szCs w:val="21"/>
                </w:rPr>
              </w:pPr>
            </w:p>
          </w:sdtContent>
        </w:sdt>
      </w:sdtContent>
    </w:sdt>
    <w:bookmarkEnd w:id="290" w:displacedByCustomXml="next"/>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34274898"/>
        <w:lock w:val="sdtLocked"/>
        <w:placeholder>
          <w:docPart w:val="GBC22222222222222222222222222222"/>
        </w:placeholder>
      </w:sdtPr>
      <w:sdtEndPr>
        <w:rPr>
          <w:rFonts w:hint="default"/>
        </w:rPr>
      </w:sdtEndPr>
      <w:sdtContent>
        <w:p w14:paraId="65A8436D" w14:textId="77777777" w:rsidR="00D21C1F" w:rsidRDefault="00A42880">
          <w:pPr>
            <w:pStyle w:val="94"/>
            <w:numPr>
              <w:ilvl w:val="0"/>
              <w:numId w:val="95"/>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214009918"/>
            <w:lock w:val="sdtLocked"/>
            <w:placeholder>
              <w:docPart w:val="GBC22222222222222222222222222222"/>
            </w:placeholder>
          </w:sdtPr>
          <w:sdtEndPr/>
          <w:sdtContent>
            <w:p w14:paraId="032F9F5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4FF9D6C" w14:textId="77777777" w:rsidR="00D21C1F" w:rsidRDefault="00D21C1F">
      <w:pPr>
        <w:pStyle w:val="97"/>
      </w:pPr>
    </w:p>
    <w:sdt>
      <w:sdtPr>
        <w:rPr>
          <w:rFonts w:ascii="宋体" w:hAnsi="宋体" w:cs="宋体" w:hint="eastAsia"/>
          <w:b w:val="0"/>
          <w:bCs w:val="0"/>
          <w:kern w:val="0"/>
          <w:szCs w:val="24"/>
        </w:rPr>
        <w:alias w:val="模块:政府补助"/>
        <w:tag w:val="_SEC_8b247fe8025b433290c47017eb23d965"/>
        <w:id w:val="522902615"/>
        <w:lock w:val="sdtLocked"/>
        <w:placeholder>
          <w:docPart w:val="GBC22222222222222222222222222222"/>
        </w:placeholder>
      </w:sdtPr>
      <w:sdtEndPr/>
      <w:sdtContent>
        <w:p w14:paraId="6D471E83" w14:textId="77777777" w:rsidR="00D21C1F" w:rsidRDefault="00A42880">
          <w:pPr>
            <w:pStyle w:val="94"/>
            <w:numPr>
              <w:ilvl w:val="0"/>
              <w:numId w:val="95"/>
            </w:numPr>
            <w:tabs>
              <w:tab w:val="left" w:pos="504"/>
            </w:tabs>
            <w:rPr>
              <w:rFonts w:ascii="宋体" w:hAnsi="宋体"/>
            </w:rPr>
          </w:pPr>
          <w:r>
            <w:rPr>
              <w:rFonts w:ascii="宋体" w:hAnsi="宋体" w:hint="eastAsia"/>
            </w:rPr>
            <w:t>政府</w:t>
          </w:r>
          <w:r>
            <w:rPr>
              <w:rFonts w:ascii="宋体" w:hAnsi="宋体" w:cs="宋体" w:hint="eastAsia"/>
              <w:bCs w:val="0"/>
              <w:kern w:val="0"/>
              <w:szCs w:val="24"/>
            </w:rPr>
            <w:t>补助</w:t>
          </w:r>
        </w:p>
        <w:p w14:paraId="5C6A761C" w14:textId="77777777" w:rsidR="00D21C1F" w:rsidRDefault="00A42880">
          <w:pPr>
            <w:pStyle w:val="93"/>
            <w:numPr>
              <w:ilvl w:val="0"/>
              <w:numId w:val="128"/>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1276328341"/>
            <w:lock w:val="sdtLocked"/>
            <w:placeholder>
              <w:docPart w:val="GBC22222222222222222222222222222"/>
            </w:placeholder>
          </w:sdtPr>
          <w:sdtEndPr/>
          <w:sdtContent>
            <w:p w14:paraId="7B41E70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484BF0" w14:textId="77777777" w:rsidR="00D21C1F" w:rsidRDefault="00A42880">
          <w:pPr>
            <w:jc w:val="right"/>
          </w:pPr>
          <w:r>
            <w:rPr>
              <w:rFonts w:hint="eastAsia"/>
            </w:rPr>
            <w:t>单位：</w:t>
          </w:r>
          <w:sdt>
            <w:sdtPr>
              <w:rPr>
                <w:rFonts w:hint="eastAsia"/>
              </w:rPr>
              <w:alias w:val="单位：政府补助基本情况"/>
              <w:tag w:val="_GBC_49d8ad9a78444187ab5ec6859fc38653"/>
              <w:id w:val="1331947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政府补助基本情况"/>
              <w:tag w:val="_GBC_6dc43bbe785a4771883308e15c8d77e2"/>
              <w:id w:val="435261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g3"/>
            <w:tblW w:w="5000" w:type="pct"/>
            <w:tblInd w:w="0" w:type="dxa"/>
            <w:tblLayout w:type="fixed"/>
            <w:tblLook w:val="04A0" w:firstRow="1" w:lastRow="0" w:firstColumn="1" w:lastColumn="0" w:noHBand="0" w:noVBand="1"/>
          </w:tblPr>
          <w:tblGrid>
            <w:gridCol w:w="2262"/>
            <w:gridCol w:w="2372"/>
            <w:gridCol w:w="2246"/>
            <w:gridCol w:w="1943"/>
          </w:tblGrid>
          <w:tr w:rsidR="00D21C1F" w14:paraId="0CF7FB1A" w14:textId="77777777">
            <w:sdt>
              <w:sdtPr>
                <w:tag w:val="_PLD_20198135e9724233ad4bece3169fd38a"/>
                <w:id w:val="1634901739"/>
                <w:lock w:val="sdtLocked"/>
              </w:sdtPr>
              <w:sdtEndPr/>
              <w:sdtContent>
                <w:tc>
                  <w:tcPr>
                    <w:tcW w:w="1282" w:type="pct"/>
                    <w:vAlign w:val="center"/>
                  </w:tcPr>
                  <w:p w14:paraId="3295F4C1" w14:textId="77777777" w:rsidR="00D21C1F" w:rsidRDefault="00A42880">
                    <w:pPr>
                      <w:jc w:val="center"/>
                    </w:pPr>
                    <w:r>
                      <w:rPr>
                        <w:rFonts w:hint="eastAsia"/>
                      </w:rPr>
                      <w:t>种类</w:t>
                    </w:r>
                  </w:p>
                </w:tc>
              </w:sdtContent>
            </w:sdt>
            <w:sdt>
              <w:sdtPr>
                <w:tag w:val="_PLD_50674c48b51140b28f91e26b50ec3ca3"/>
                <w:id w:val="-186444837"/>
                <w:lock w:val="sdtLocked"/>
              </w:sdtPr>
              <w:sdtEndPr/>
              <w:sdtContent>
                <w:tc>
                  <w:tcPr>
                    <w:tcW w:w="1344" w:type="pct"/>
                    <w:vAlign w:val="center"/>
                  </w:tcPr>
                  <w:p w14:paraId="3DDB5D4A" w14:textId="77777777" w:rsidR="00D21C1F" w:rsidRDefault="00A42880">
                    <w:pPr>
                      <w:jc w:val="center"/>
                    </w:pPr>
                    <w:r>
                      <w:rPr>
                        <w:rFonts w:hint="eastAsia"/>
                      </w:rPr>
                      <w:t>金额</w:t>
                    </w:r>
                  </w:p>
                </w:tc>
              </w:sdtContent>
            </w:sdt>
            <w:sdt>
              <w:sdtPr>
                <w:tag w:val="_PLD_89c889fd1e0e48039263b92a213ea66d"/>
                <w:id w:val="-185216783"/>
                <w:lock w:val="sdtLocked"/>
              </w:sdtPr>
              <w:sdtEndPr/>
              <w:sdtContent>
                <w:tc>
                  <w:tcPr>
                    <w:tcW w:w="1273" w:type="pct"/>
                    <w:vAlign w:val="center"/>
                  </w:tcPr>
                  <w:p w14:paraId="2396BD2C" w14:textId="77777777" w:rsidR="00D21C1F" w:rsidRDefault="00A42880">
                    <w:pPr>
                      <w:jc w:val="center"/>
                    </w:pPr>
                    <w:r>
                      <w:rPr>
                        <w:rFonts w:hint="eastAsia"/>
                      </w:rPr>
                      <w:t>列报项目</w:t>
                    </w:r>
                  </w:p>
                </w:tc>
              </w:sdtContent>
            </w:sdt>
            <w:sdt>
              <w:sdtPr>
                <w:tag w:val="_PLD_edddb4c4d0cf4f88861cbb3e2b5c9ca7"/>
                <w:id w:val="199671281"/>
                <w:lock w:val="sdtLocked"/>
              </w:sdtPr>
              <w:sdtEndPr/>
              <w:sdtContent>
                <w:tc>
                  <w:tcPr>
                    <w:tcW w:w="1101" w:type="pct"/>
                    <w:vAlign w:val="center"/>
                  </w:tcPr>
                  <w:p w14:paraId="68E3F9ED" w14:textId="77777777" w:rsidR="00D21C1F" w:rsidRDefault="00A42880">
                    <w:pPr>
                      <w:jc w:val="center"/>
                    </w:pPr>
                    <w:r>
                      <w:rPr>
                        <w:rFonts w:hint="eastAsia"/>
                      </w:rPr>
                      <w:t>计入当期损益的金额</w:t>
                    </w:r>
                  </w:p>
                </w:tc>
              </w:sdtContent>
            </w:sdt>
          </w:tr>
          <w:sdt>
            <w:sdtPr>
              <w:rPr>
                <w:rFonts w:asciiTheme="minorHAnsi" w:hAnsiTheme="minorHAnsi" w:hint="eastAsia"/>
                <w:sz w:val="22"/>
                <w:szCs w:val="22"/>
              </w:rPr>
              <w:alias w:val="政府补助基本情况明细"/>
              <w:tag w:val="_TUP_6721ef78150942db8758c3d102513424"/>
              <w:id w:val="920914802"/>
              <w:lock w:val="sdtLocked"/>
              <w:placeholder>
                <w:docPart w:val="894FD3009F3F4510A2373DCC81DF39EC"/>
              </w:placeholder>
            </w:sdtPr>
            <w:sdtEndPr>
              <w:rPr>
                <w:rFonts w:ascii="Times New Roman" w:eastAsiaTheme="majorEastAsia" w:hAnsi="Times New Roman" w:cs="Times New Roman" w:hint="default"/>
                <w:sz w:val="21"/>
                <w:szCs w:val="24"/>
              </w:rPr>
            </w:sdtEndPr>
            <w:sdtContent>
              <w:tr w:rsidR="00D21C1F" w14:paraId="42EE930B" w14:textId="77777777">
                <w:tc>
                  <w:tcPr>
                    <w:tcW w:w="1282" w:type="pct"/>
                  </w:tcPr>
                  <w:p w14:paraId="2068CD8B" w14:textId="77777777" w:rsidR="00D21C1F" w:rsidRDefault="00A42880">
                    <w:pPr>
                      <w:rPr>
                        <w:rFonts w:asciiTheme="minorHAnsi" w:hAnsiTheme="minorHAnsi"/>
                        <w:sz w:val="22"/>
                        <w:szCs w:val="22"/>
                      </w:rPr>
                    </w:pPr>
                    <w:r>
                      <w:t>与资产相关的政府补助</w:t>
                    </w:r>
                  </w:p>
                </w:tc>
                <w:tc>
                  <w:tcPr>
                    <w:tcW w:w="1344" w:type="pct"/>
                    <w:shd w:val="clear" w:color="auto" w:fill="auto"/>
                    <w:vAlign w:val="bottom"/>
                  </w:tcPr>
                  <w:p w14:paraId="6FA210B4" w14:textId="77777777" w:rsidR="00D21C1F" w:rsidRPr="00E35692" w:rsidRDefault="00A42880">
                    <w:pPr>
                      <w:jc w:val="right"/>
                      <w:rPr>
                        <w:rFonts w:ascii="Times New Roman" w:eastAsiaTheme="majorEastAsia" w:hAnsi="Times New Roman" w:cs="Times New Roman"/>
                      </w:rPr>
                    </w:pPr>
                    <w:r w:rsidRPr="00E35692">
                      <w:rPr>
                        <w:rFonts w:ascii="Times New Roman" w:eastAsiaTheme="majorEastAsia" w:hAnsi="Times New Roman" w:cs="Times New Roman"/>
                      </w:rPr>
                      <w:t>41,769,700.00</w:t>
                    </w:r>
                  </w:p>
                </w:tc>
                <w:tc>
                  <w:tcPr>
                    <w:tcW w:w="1273" w:type="pct"/>
                  </w:tcPr>
                  <w:p w14:paraId="3767C6F9" w14:textId="77777777" w:rsidR="00D21C1F" w:rsidRPr="00E35692" w:rsidRDefault="00A42880">
                    <w:pPr>
                      <w:rPr>
                        <w:rFonts w:ascii="Times New Roman" w:eastAsiaTheme="majorEastAsia" w:hAnsi="Times New Roman" w:cs="Times New Roman"/>
                      </w:rPr>
                    </w:pPr>
                    <w:r w:rsidRPr="00E35692">
                      <w:rPr>
                        <w:rFonts w:ascii="Times New Roman" w:eastAsiaTheme="majorEastAsia" w:hAnsi="Times New Roman" w:cs="Times New Roman"/>
                      </w:rPr>
                      <w:t>递延收益</w:t>
                    </w:r>
                  </w:p>
                </w:tc>
                <w:tc>
                  <w:tcPr>
                    <w:tcW w:w="1101" w:type="pct"/>
                  </w:tcPr>
                  <w:p w14:paraId="2349026B" w14:textId="77777777" w:rsidR="00D21C1F" w:rsidRPr="00E35692" w:rsidRDefault="00A42880">
                    <w:pPr>
                      <w:jc w:val="right"/>
                      <w:rPr>
                        <w:rFonts w:ascii="Times New Roman" w:eastAsiaTheme="majorEastAsia" w:hAnsi="Times New Roman" w:cs="Times New Roman"/>
                      </w:rPr>
                    </w:pPr>
                    <w:r w:rsidRPr="00E35692">
                      <w:rPr>
                        <w:rFonts w:ascii="Times New Roman" w:eastAsiaTheme="majorEastAsia" w:hAnsi="Times New Roman" w:cs="Times New Roman"/>
                      </w:rPr>
                      <w:t>1,700,782.98</w:t>
                    </w:r>
                  </w:p>
                </w:tc>
              </w:tr>
            </w:sdtContent>
          </w:sdt>
          <w:sdt>
            <w:sdtPr>
              <w:rPr>
                <w:rFonts w:asciiTheme="minorHAnsi" w:hAnsiTheme="minorHAnsi" w:hint="eastAsia"/>
                <w:sz w:val="22"/>
                <w:szCs w:val="22"/>
              </w:rPr>
              <w:alias w:val="政府补助基本情况明细"/>
              <w:tag w:val="_TUP_6721ef78150942db8758c3d102513424"/>
              <w:id w:val="1442261270"/>
              <w:lock w:val="sdtLocked"/>
            </w:sdtPr>
            <w:sdtEndPr>
              <w:rPr>
                <w:rFonts w:ascii="Times New Roman" w:eastAsiaTheme="majorEastAsia" w:hAnsi="Times New Roman" w:cs="Times New Roman" w:hint="default"/>
              </w:rPr>
            </w:sdtEndPr>
            <w:sdtContent>
              <w:tr w:rsidR="00D21C1F" w14:paraId="4D87DA70" w14:textId="77777777">
                <w:tc>
                  <w:tcPr>
                    <w:tcW w:w="1282" w:type="pct"/>
                  </w:tcPr>
                  <w:p w14:paraId="558BF479" w14:textId="77777777" w:rsidR="00D21C1F" w:rsidRDefault="00A42880">
                    <w:pPr>
                      <w:jc w:val="left"/>
                    </w:pPr>
                    <w:r>
                      <w:rPr>
                        <w:rFonts w:hint="eastAsia"/>
                      </w:rPr>
                      <w:t>与收益相关的政府补助</w:t>
                    </w:r>
                  </w:p>
                </w:tc>
                <w:tc>
                  <w:tcPr>
                    <w:tcW w:w="1344" w:type="pct"/>
                    <w:shd w:val="clear" w:color="auto" w:fill="auto"/>
                    <w:vAlign w:val="bottom"/>
                  </w:tcPr>
                  <w:p w14:paraId="752E99E0" w14:textId="77777777" w:rsidR="00D21C1F" w:rsidRPr="00E35692" w:rsidRDefault="00A42880">
                    <w:pPr>
                      <w:jc w:val="right"/>
                      <w:rPr>
                        <w:rFonts w:ascii="Times New Roman" w:eastAsiaTheme="majorEastAsia" w:hAnsi="Times New Roman" w:cs="Times New Roman"/>
                        <w:color w:val="000000" w:themeColor="text1"/>
                      </w:rPr>
                    </w:pPr>
                    <w:r w:rsidRPr="00E35692">
                      <w:rPr>
                        <w:rFonts w:ascii="Times New Roman" w:eastAsiaTheme="majorEastAsia" w:hAnsi="Times New Roman" w:cs="Times New Roman"/>
                        <w:color w:val="000000" w:themeColor="text1"/>
                      </w:rPr>
                      <w:t>32,560,800.00</w:t>
                    </w:r>
                  </w:p>
                </w:tc>
                <w:tc>
                  <w:tcPr>
                    <w:tcW w:w="1273" w:type="pct"/>
                  </w:tcPr>
                  <w:p w14:paraId="17D21100" w14:textId="77777777" w:rsidR="00D21C1F" w:rsidRPr="00E35692" w:rsidRDefault="00A42880">
                    <w:pPr>
                      <w:jc w:val="left"/>
                      <w:rPr>
                        <w:rFonts w:ascii="Times New Roman" w:eastAsiaTheme="majorEastAsia" w:hAnsi="Times New Roman" w:cs="Times New Roman"/>
                      </w:rPr>
                    </w:pPr>
                    <w:r w:rsidRPr="00E35692">
                      <w:rPr>
                        <w:rFonts w:ascii="Times New Roman" w:eastAsiaTheme="majorEastAsia" w:hAnsi="Times New Roman" w:cs="Times New Roman"/>
                      </w:rPr>
                      <w:t>递延收益、营业外收入</w:t>
                    </w:r>
                  </w:p>
                </w:tc>
                <w:tc>
                  <w:tcPr>
                    <w:tcW w:w="1101" w:type="pct"/>
                  </w:tcPr>
                  <w:p w14:paraId="70E2F2C1" w14:textId="77777777" w:rsidR="00D21C1F" w:rsidRPr="00E35692" w:rsidRDefault="00A42880">
                    <w:pPr>
                      <w:jc w:val="right"/>
                      <w:rPr>
                        <w:rFonts w:ascii="Times New Roman" w:eastAsiaTheme="majorEastAsia" w:hAnsi="Times New Roman" w:cs="Times New Roman"/>
                      </w:rPr>
                    </w:pPr>
                    <w:r w:rsidRPr="00E35692">
                      <w:rPr>
                        <w:rFonts w:ascii="Times New Roman" w:eastAsiaTheme="majorEastAsia" w:hAnsi="Times New Roman" w:cs="Times New Roman"/>
                      </w:rPr>
                      <w:t>5,407,640.29</w:t>
                    </w:r>
                  </w:p>
                </w:tc>
              </w:tr>
            </w:sdtContent>
          </w:sdt>
        </w:tbl>
        <w:p w14:paraId="6FD3CC22" w14:textId="77777777" w:rsidR="00D21C1F" w:rsidRDefault="00D21C1F">
          <w:pPr>
            <w:pStyle w:val="97"/>
          </w:pPr>
        </w:p>
        <w:p w14:paraId="2B4B1F33" w14:textId="77777777" w:rsidR="00D21C1F" w:rsidRDefault="00A42880">
          <w:pPr>
            <w:pStyle w:val="93"/>
            <w:numPr>
              <w:ilvl w:val="0"/>
              <w:numId w:val="128"/>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400135290"/>
            <w:lock w:val="sdtLocked"/>
            <w:placeholder>
              <w:docPart w:val="GBC22222222222222222222222222222"/>
            </w:placeholder>
          </w:sdtPr>
          <w:sdtEndPr/>
          <w:sdtContent>
            <w:p w14:paraId="7BF8C24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1418346" w14:textId="77777777" w:rsidR="00D21C1F" w:rsidRDefault="00A42880">
          <w:pPr>
            <w:pStyle w:val="97"/>
          </w:pPr>
          <w:r>
            <w:rPr>
              <w:rFonts w:hint="eastAsia"/>
            </w:rPr>
            <w:t>其他说明</w:t>
          </w:r>
        </w:p>
        <w:sdt>
          <w:sdtPr>
            <w:alias w:val="政府补助说明"/>
            <w:tag w:val="_GBC_f71d7a3695a84c0c9e67640c00a61dad"/>
            <w:id w:val="1240604960"/>
            <w:lock w:val="sdtLocked"/>
            <w:placeholder>
              <w:docPart w:val="GBC22222222222222222222222222222"/>
            </w:placeholder>
          </w:sdtPr>
          <w:sdtEndPr/>
          <w:sdtContent>
            <w:p w14:paraId="1955BC85" w14:textId="77777777" w:rsidR="00D21C1F" w:rsidRDefault="00A42880">
              <w:pPr>
                <w:pStyle w:val="97"/>
              </w:pPr>
              <w:r>
                <w:rPr>
                  <w:rFonts w:hint="eastAsia"/>
                </w:rPr>
                <w:t>无</w:t>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2140028509"/>
        <w:lock w:val="sdtLocked"/>
        <w:placeholder>
          <w:docPart w:val="GBC22222222222222222222222222222"/>
        </w:placeholder>
      </w:sdtPr>
      <w:sdtEndPr/>
      <w:sdtContent>
        <w:p w14:paraId="092DF49D" w14:textId="77777777" w:rsidR="00D21C1F" w:rsidRDefault="00A42880">
          <w:pPr>
            <w:pStyle w:val="94"/>
            <w:numPr>
              <w:ilvl w:val="0"/>
              <w:numId w:val="95"/>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1365090838"/>
            <w:lock w:val="sdtLocked"/>
            <w:placeholder>
              <w:docPart w:val="GBC22222222222222222222222222222"/>
            </w:placeholder>
          </w:sdtPr>
          <w:sdtEndPr/>
          <w:sdtContent>
            <w:p w14:paraId="430DEAA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EFC451" w14:textId="77777777" w:rsidR="00D21C1F" w:rsidRDefault="00045EC6">
          <w:pPr>
            <w:pStyle w:val="97"/>
          </w:pPr>
        </w:p>
      </w:sdtContent>
    </w:sdt>
    <w:p w14:paraId="144AFB05" w14:textId="77777777" w:rsidR="00D21C1F" w:rsidRDefault="00A42880">
      <w:pPr>
        <w:pStyle w:val="2CharCharChar"/>
        <w:numPr>
          <w:ilvl w:val="0"/>
          <w:numId w:val="42"/>
        </w:numPr>
      </w:pPr>
      <w:r>
        <w:rPr>
          <w:rFonts w:hint="eastAsia"/>
        </w:rPr>
        <w:t>合并范围的变更</w:t>
      </w:r>
    </w:p>
    <w:p w14:paraId="1B8CAD02" w14:textId="77777777" w:rsidR="00D21C1F" w:rsidRDefault="00A42880">
      <w:pPr>
        <w:pStyle w:val="94"/>
        <w:numPr>
          <w:ilvl w:val="0"/>
          <w:numId w:val="12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548613783"/>
        <w:lock w:val="sdtLocked"/>
        <w:placeholder>
          <w:docPart w:val="GBC22222222222222222222222222222"/>
        </w:placeholder>
      </w:sdtPr>
      <w:sdtEndPr/>
      <w:sdtContent>
        <w:p w14:paraId="7ED5F66C" w14:textId="77777777" w:rsidR="00D21C1F" w:rsidRDefault="00A42880">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15B7F1F" w14:textId="77777777" w:rsidR="00D21C1F" w:rsidRDefault="00A42880">
      <w:pPr>
        <w:pStyle w:val="94"/>
        <w:numPr>
          <w:ilvl w:val="0"/>
          <w:numId w:val="12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567547872"/>
        <w:lock w:val="sdtLocked"/>
        <w:placeholder>
          <w:docPart w:val="GBC22222222222222222222222222222"/>
        </w:placeholder>
      </w:sdtPr>
      <w:sdtEndPr/>
      <w:sdtContent>
        <w:p w14:paraId="5E28CC0F" w14:textId="77777777" w:rsidR="00D21C1F" w:rsidRDefault="00A4288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Arial" w:hint="eastAsia"/>
          <w:b w:val="0"/>
          <w:bCs w:val="0"/>
          <w:kern w:val="0"/>
          <w:szCs w:val="21"/>
        </w:rPr>
        <w:alias w:val="模块:反向购买"/>
        <w:tag w:val="_SEC_e0818786830d42ce99957d3ef113691a"/>
        <w:id w:val="1285225462"/>
        <w:lock w:val="sdtLocked"/>
        <w:placeholder>
          <w:docPart w:val="GBC22222222222222222222222222222"/>
        </w:placeholder>
      </w:sdtPr>
      <w:sdtEndPr>
        <w:rPr>
          <w:rFonts w:hint="default"/>
        </w:rPr>
      </w:sdtEndPr>
      <w:sdtContent>
        <w:p w14:paraId="5E2948C5" w14:textId="77777777" w:rsidR="00D21C1F" w:rsidRDefault="00A42880">
          <w:pPr>
            <w:pStyle w:val="94"/>
            <w:numPr>
              <w:ilvl w:val="0"/>
              <w:numId w:val="129"/>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711470000"/>
            <w:lock w:val="sdtLocked"/>
            <w:placeholder>
              <w:docPart w:val="GBC22222222222222222222222222222"/>
            </w:placeholder>
          </w:sdtPr>
          <w:sdtEndPr/>
          <w:sdtContent>
            <w:p w14:paraId="70D987E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40918C" w14:textId="77777777" w:rsidR="00D21C1F" w:rsidRDefault="00045EC6">
          <w:pPr>
            <w:rPr>
              <w:rFonts w:cs="Arial"/>
              <w:szCs w:val="21"/>
            </w:rPr>
          </w:pPr>
        </w:p>
      </w:sdtContent>
    </w:sdt>
    <w:p w14:paraId="1C1C8AD8" w14:textId="77777777" w:rsidR="00D21C1F" w:rsidRDefault="00D21C1F">
      <w:pPr>
        <w:rPr>
          <w:rFonts w:cs="Arial"/>
          <w:color w:val="808080"/>
          <w:szCs w:val="21"/>
          <w:lang w:val="en-GB"/>
        </w:rPr>
        <w:sectPr w:rsidR="00D21C1F">
          <w:pgSz w:w="11906" w:h="16838"/>
          <w:pgMar w:top="1525" w:right="1276" w:bottom="1440" w:left="1797" w:header="856" w:footer="992" w:gutter="0"/>
          <w:cols w:space="425"/>
          <w:docGrid w:linePitch="312"/>
        </w:sectPr>
      </w:pPr>
    </w:p>
    <w:sdt>
      <w:sdtPr>
        <w:rPr>
          <w:rFonts w:ascii="宋体" w:eastAsia="宋体" w:hAnsi="宋体" w:cs="Arial" w:hint="eastAsia"/>
          <w:b w:val="0"/>
          <w:bCs w:val="0"/>
          <w:kern w:val="0"/>
          <w:szCs w:val="21"/>
        </w:rPr>
        <w:alias w:val="模块:处置子公司"/>
        <w:tag w:val="_GBC_cc6d41993eca4369a3cdb3c33d4f3299"/>
        <w:id w:val="-2087145054"/>
        <w:lock w:val="sdtLocked"/>
        <w:placeholder>
          <w:docPart w:val="GBC22222222222222222222222222222"/>
        </w:placeholder>
      </w:sdtPr>
      <w:sdtEndPr>
        <w:rPr>
          <w:rFonts w:cs="宋体"/>
          <w:color w:val="000000"/>
        </w:rPr>
      </w:sdtEndPr>
      <w:sdtContent>
        <w:p w14:paraId="0E0731ED" w14:textId="77777777" w:rsidR="00D21C1F" w:rsidRDefault="00A42880">
          <w:pPr>
            <w:pStyle w:val="94"/>
            <w:numPr>
              <w:ilvl w:val="0"/>
              <w:numId w:val="129"/>
            </w:numPr>
            <w:rPr>
              <w:rFonts w:ascii="宋体" w:hAnsi="宋体" w:cs="Arial"/>
              <w:szCs w:val="21"/>
            </w:rPr>
          </w:pPr>
          <w:r>
            <w:rPr>
              <w:rFonts w:ascii="宋体" w:hAnsi="宋体" w:cs="Arial" w:hint="eastAsia"/>
              <w:szCs w:val="21"/>
            </w:rPr>
            <w:t>处置子公司</w:t>
          </w:r>
        </w:p>
        <w:p w14:paraId="45130014" w14:textId="77777777" w:rsidR="00D21C1F" w:rsidRDefault="00A42880">
          <w:pPr>
            <w:pStyle w:val="97"/>
          </w:pPr>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781910045"/>
            <w:lock w:val="sdtLocked"/>
            <w:placeholder>
              <w:docPart w:val="GBC22222222222222222222222222222"/>
            </w:placeholder>
          </w:sdtPr>
          <w:sdtEndPr/>
          <w:sdtContent>
            <w:p w14:paraId="04F6D4D6" w14:textId="77777777" w:rsidR="00D21C1F" w:rsidRDefault="00A42880">
              <w:pPr>
                <w:rPr>
                  <w:rFonts w:cs="Arial"/>
                  <w:color w:val="000000"/>
                  <w:szCs w:val="21"/>
                </w:rPr>
              </w:pPr>
              <w:r>
                <w:rPr>
                  <w:rFonts w:cs="Arial"/>
                  <w:szCs w:val="21"/>
                </w:rPr>
                <w:fldChar w:fldCharType="begin"/>
              </w:r>
              <w:r>
                <w:rPr>
                  <w:rFonts w:cs="Arial"/>
                  <w:szCs w:val="21"/>
                </w:rPr>
                <w:instrText>MACROBUTTON  SnrToggleCheckbox □适用</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0C4FD9DB" w14:textId="77777777" w:rsidR="00D21C1F" w:rsidRDefault="00A42880">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837656036"/>
            <w:lock w:val="sdtLocked"/>
            <w:placeholder>
              <w:docPart w:val="GBC22222222222222222222222222222"/>
            </w:placeholder>
          </w:sdtPr>
          <w:sdtEndPr/>
          <w:sdtContent>
            <w:p w14:paraId="6E655E4E" w14:textId="77777777" w:rsidR="00D21C1F" w:rsidRDefault="00A42880">
              <w:pPr>
                <w:rPr>
                  <w:color w:val="000000"/>
                  <w:szCs w:val="21"/>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sdt>
      <w:sdtPr>
        <w:rPr>
          <w:rFonts w:ascii="宋体" w:eastAsia="宋体" w:hAnsi="宋体" w:cs="Arial" w:hint="eastAsia"/>
          <w:b w:val="0"/>
          <w:bCs w:val="0"/>
          <w:color w:val="000000"/>
          <w:kern w:val="0"/>
          <w:szCs w:val="24"/>
        </w:rPr>
        <w:alias w:val="模块:其他原因的合并范围变动"/>
        <w:tag w:val="_GBC_c61d869cb31c439992bb2118c8eaac1e"/>
        <w:id w:val="-1769140077"/>
        <w:lock w:val="sdtLocked"/>
        <w:placeholder>
          <w:docPart w:val="GBC22222222222222222222222222222"/>
        </w:placeholder>
      </w:sdtPr>
      <w:sdtEndPr/>
      <w:sdtContent>
        <w:p w14:paraId="41DFB592" w14:textId="77777777" w:rsidR="00D21C1F" w:rsidRDefault="00A42880">
          <w:pPr>
            <w:pStyle w:val="94"/>
            <w:numPr>
              <w:ilvl w:val="0"/>
              <w:numId w:val="129"/>
            </w:numPr>
            <w:rPr>
              <w:rFonts w:ascii="宋体" w:hAnsi="宋体" w:cs="Arial"/>
              <w:color w:val="000000"/>
            </w:rPr>
          </w:pPr>
          <w:r>
            <w:rPr>
              <w:rFonts w:ascii="宋体" w:hAnsi="宋体" w:cs="Arial" w:hint="eastAsia"/>
              <w:color w:val="000000"/>
            </w:rPr>
            <w:t>其他原因的合并范围变动</w:t>
          </w:r>
        </w:p>
        <w:p w14:paraId="3E4576C9" w14:textId="77777777" w:rsidR="00D21C1F" w:rsidRDefault="00A42880">
          <w:pPr>
            <w:pStyle w:val="97"/>
          </w:pPr>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6644056"/>
            <w:lock w:val="sdtLocked"/>
            <w:placeholder>
              <w:docPart w:val="GBC22222222222222222222222222222"/>
            </w:placeholder>
          </w:sdtPr>
          <w:sdtEndPr/>
          <w:sdtContent>
            <w:p w14:paraId="09EAC135" w14:textId="77777777" w:rsidR="00D21C1F" w:rsidRDefault="00A42880">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Arial" w:hint="eastAsia"/>
          <w:b w:val="0"/>
          <w:bCs w:val="0"/>
          <w:color w:val="000000"/>
          <w:kern w:val="0"/>
          <w:szCs w:val="24"/>
        </w:rPr>
        <w:alias w:val="模块:同一控制下企业合并其他"/>
        <w:tag w:val="_GBC_8ddcb59af8af49d295c61727d65b8301"/>
        <w:id w:val="755326494"/>
        <w:lock w:val="sdtLocked"/>
        <w:placeholder>
          <w:docPart w:val="GBC22222222222222222222222222222"/>
        </w:placeholder>
      </w:sdtPr>
      <w:sdtEndPr/>
      <w:sdtContent>
        <w:p w14:paraId="0E02CCF9" w14:textId="77777777" w:rsidR="00D21C1F" w:rsidRDefault="00A42880">
          <w:pPr>
            <w:pStyle w:val="94"/>
            <w:numPr>
              <w:ilvl w:val="0"/>
              <w:numId w:val="129"/>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481440027"/>
            <w:lock w:val="sdtLocked"/>
            <w:placeholder>
              <w:docPart w:val="GBC22222222222222222222222222222"/>
            </w:placeholder>
          </w:sdtPr>
          <w:sdtEndPr/>
          <w:sdtContent>
            <w:p w14:paraId="1C7E2136" w14:textId="77777777" w:rsidR="00D21C1F" w:rsidRDefault="00A42880">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DCCC34D" w14:textId="77777777" w:rsidR="00D21C1F" w:rsidRDefault="00D21C1F">
      <w:pPr>
        <w:sectPr w:rsidR="00D21C1F">
          <w:pgSz w:w="16838" w:h="11906" w:orient="landscape"/>
          <w:pgMar w:top="1797" w:right="1525" w:bottom="1276" w:left="1440" w:header="856" w:footer="992" w:gutter="0"/>
          <w:cols w:space="425"/>
          <w:docGrid w:linePitch="312"/>
        </w:sectPr>
      </w:pPr>
    </w:p>
    <w:p w14:paraId="236D1AAB" w14:textId="77777777" w:rsidR="00D21C1F" w:rsidRDefault="00A42880">
      <w:pPr>
        <w:pStyle w:val="2CharCharChar"/>
        <w:numPr>
          <w:ilvl w:val="0"/>
          <w:numId w:val="42"/>
        </w:numPr>
      </w:pPr>
      <w:r>
        <w:rPr>
          <w:rFonts w:hint="eastAsia"/>
        </w:rPr>
        <w:lastRenderedPageBreak/>
        <w:t>在其他主体中的权益</w:t>
      </w:r>
    </w:p>
    <w:p w14:paraId="2BA4E6B7" w14:textId="77777777" w:rsidR="00D21C1F" w:rsidRDefault="00A42880">
      <w:pPr>
        <w:pStyle w:val="94"/>
        <w:numPr>
          <w:ilvl w:val="2"/>
          <w:numId w:val="130"/>
        </w:numPr>
        <w:rPr>
          <w:rFonts w:ascii="宋体" w:hAnsi="宋体"/>
        </w:rPr>
      </w:pPr>
      <w:r>
        <w:rPr>
          <w:rFonts w:ascii="宋体" w:hAnsi="宋体"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2017830726"/>
        <w:lock w:val="sdtLocked"/>
        <w:placeholder>
          <w:docPart w:val="GBC22222222222222222222222222222"/>
        </w:placeholder>
      </w:sdtPr>
      <w:sdtEndPr>
        <w:rPr>
          <w:rFonts w:cstheme="minorBidi" w:hint="default"/>
          <w:szCs w:val="21"/>
        </w:rPr>
      </w:sdtEndPr>
      <w:sdtContent>
        <w:p w14:paraId="7033D717" w14:textId="77777777" w:rsidR="00D21C1F" w:rsidRDefault="00A42880">
          <w:pPr>
            <w:pStyle w:val="93"/>
            <w:numPr>
              <w:ilvl w:val="3"/>
              <w:numId w:val="131"/>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253977319"/>
            <w:lock w:val="sdtLocked"/>
            <w:placeholder>
              <w:docPart w:val="GBC22222222222222222222222222222"/>
            </w:placeholder>
          </w:sdtPr>
          <w:sdtEndPr/>
          <w:sdtContent>
            <w:p w14:paraId="0FCF7AA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467"/>
            <w:gridCol w:w="1519"/>
            <w:gridCol w:w="1936"/>
            <w:gridCol w:w="829"/>
            <w:gridCol w:w="829"/>
            <w:gridCol w:w="1113"/>
          </w:tblGrid>
          <w:tr w:rsidR="00D21C1F" w14:paraId="05EAD972" w14:textId="77777777">
            <w:trPr>
              <w:trHeight w:val="247"/>
            </w:trPr>
            <w:sdt>
              <w:sdtPr>
                <w:tag w:val="_PLD_e6e24505838941c88a7f70e573a1261c"/>
                <w:id w:val="753476981"/>
                <w:lock w:val="sdtLocked"/>
              </w:sdtPr>
              <w:sdtEndPr/>
              <w:sdtContent>
                <w:tc>
                  <w:tcPr>
                    <w:tcW w:w="640" w:type="pct"/>
                    <w:vMerge w:val="restart"/>
                    <w:shd w:val="clear" w:color="auto" w:fill="auto"/>
                    <w:vAlign w:val="center"/>
                  </w:tcPr>
                  <w:p w14:paraId="25A2194A" w14:textId="77777777" w:rsidR="00D21C1F" w:rsidRDefault="00A42880">
                    <w:pPr>
                      <w:jc w:val="center"/>
                      <w:rPr>
                        <w:rFonts w:cs="Arial"/>
                        <w:szCs w:val="21"/>
                        <w:lang w:val="en-GB"/>
                      </w:rPr>
                    </w:pPr>
                    <w:r>
                      <w:rPr>
                        <w:rFonts w:cs="Arial" w:hint="eastAsia"/>
                        <w:szCs w:val="21"/>
                        <w:lang w:val="en-GB"/>
                      </w:rPr>
                      <w:t>子公司</w:t>
                    </w:r>
                  </w:p>
                  <w:p w14:paraId="56B0E893" w14:textId="77777777" w:rsidR="00D21C1F" w:rsidRDefault="00A42880">
                    <w:pPr>
                      <w:jc w:val="center"/>
                      <w:rPr>
                        <w:rFonts w:cs="Arial"/>
                        <w:szCs w:val="21"/>
                      </w:rPr>
                    </w:pPr>
                    <w:r>
                      <w:rPr>
                        <w:rFonts w:cs="Arial" w:hint="eastAsia"/>
                        <w:szCs w:val="21"/>
                        <w:lang w:val="en-GB"/>
                      </w:rPr>
                      <w:t>名称</w:t>
                    </w:r>
                  </w:p>
                </w:tc>
              </w:sdtContent>
            </w:sdt>
            <w:sdt>
              <w:sdtPr>
                <w:tag w:val="_PLD_056e18f052024978add90fe8aacf887d"/>
                <w:id w:val="1106230801"/>
                <w:lock w:val="sdtLocked"/>
              </w:sdtPr>
              <w:sdtEndPr/>
              <w:sdtContent>
                <w:tc>
                  <w:tcPr>
                    <w:tcW w:w="831" w:type="pct"/>
                    <w:vMerge w:val="restart"/>
                    <w:shd w:val="clear" w:color="auto" w:fill="auto"/>
                    <w:vAlign w:val="center"/>
                  </w:tcPr>
                  <w:p w14:paraId="5BD72E2F" w14:textId="77777777" w:rsidR="00D21C1F" w:rsidRDefault="00A42880">
                    <w:pPr>
                      <w:jc w:val="center"/>
                      <w:rPr>
                        <w:rFonts w:cs="Arial"/>
                        <w:szCs w:val="21"/>
                      </w:rPr>
                    </w:pPr>
                    <w:r>
                      <w:rPr>
                        <w:rFonts w:cs="Arial" w:hint="eastAsia"/>
                        <w:szCs w:val="21"/>
                        <w:lang w:val="en-GB"/>
                      </w:rPr>
                      <w:t>主要经营地</w:t>
                    </w:r>
                  </w:p>
                </w:tc>
              </w:sdtContent>
            </w:sdt>
            <w:sdt>
              <w:sdtPr>
                <w:tag w:val="_PLD_591af8ff23104790a7ac5dbb3278e185"/>
                <w:id w:val="-175807999"/>
                <w:lock w:val="sdtLocked"/>
              </w:sdtPr>
              <w:sdtEndPr/>
              <w:sdtContent>
                <w:tc>
                  <w:tcPr>
                    <w:tcW w:w="861" w:type="pct"/>
                    <w:vMerge w:val="restart"/>
                    <w:shd w:val="clear" w:color="auto" w:fill="auto"/>
                    <w:vAlign w:val="center"/>
                  </w:tcPr>
                  <w:p w14:paraId="6913B8A8" w14:textId="77777777" w:rsidR="00D21C1F" w:rsidRDefault="00A42880">
                    <w:pPr>
                      <w:jc w:val="center"/>
                      <w:rPr>
                        <w:rFonts w:cs="Arial"/>
                        <w:szCs w:val="21"/>
                      </w:rPr>
                    </w:pPr>
                    <w:r>
                      <w:rPr>
                        <w:rFonts w:cs="Arial" w:hint="eastAsia"/>
                        <w:szCs w:val="21"/>
                        <w:lang w:val="en-GB"/>
                      </w:rPr>
                      <w:t>注册地</w:t>
                    </w:r>
                  </w:p>
                </w:tc>
              </w:sdtContent>
            </w:sdt>
            <w:sdt>
              <w:sdtPr>
                <w:tag w:val="_PLD_00f166f7d07d4fab80fa91c95fb5d089"/>
                <w:id w:val="497850814"/>
                <w:lock w:val="sdtLocked"/>
              </w:sdtPr>
              <w:sdtEndPr/>
              <w:sdtContent>
                <w:tc>
                  <w:tcPr>
                    <w:tcW w:w="1097" w:type="pct"/>
                    <w:vMerge w:val="restart"/>
                    <w:shd w:val="clear" w:color="auto" w:fill="auto"/>
                    <w:vAlign w:val="center"/>
                  </w:tcPr>
                  <w:p w14:paraId="34A00157" w14:textId="77777777" w:rsidR="00D21C1F" w:rsidRDefault="00A42880">
                    <w:pPr>
                      <w:jc w:val="center"/>
                      <w:rPr>
                        <w:rFonts w:cs="Arial"/>
                        <w:szCs w:val="21"/>
                      </w:rPr>
                    </w:pPr>
                    <w:r>
                      <w:rPr>
                        <w:rFonts w:cs="Arial" w:hint="eastAsia"/>
                        <w:szCs w:val="21"/>
                        <w:lang w:val="en-GB"/>
                      </w:rPr>
                      <w:t>业务性质</w:t>
                    </w:r>
                  </w:p>
                </w:tc>
              </w:sdtContent>
            </w:sdt>
            <w:sdt>
              <w:sdtPr>
                <w:tag w:val="_PLD_312b40f444994b628fc2b8c3e4c90fdc"/>
                <w:id w:val="2110767324"/>
                <w:lock w:val="sdtLocked"/>
              </w:sdtPr>
              <w:sdtEndPr/>
              <w:sdtContent>
                <w:tc>
                  <w:tcPr>
                    <w:tcW w:w="940" w:type="pct"/>
                    <w:gridSpan w:val="2"/>
                    <w:shd w:val="clear" w:color="auto" w:fill="auto"/>
                    <w:vAlign w:val="center"/>
                  </w:tcPr>
                  <w:p w14:paraId="79602731" w14:textId="77777777" w:rsidR="00D21C1F" w:rsidRDefault="00A42880">
                    <w:pPr>
                      <w:jc w:val="center"/>
                      <w:rPr>
                        <w:rFonts w:cs="Arial"/>
                        <w:szCs w:val="21"/>
                      </w:rPr>
                    </w:pPr>
                    <w:r>
                      <w:rPr>
                        <w:rFonts w:cs="Arial" w:hint="eastAsia"/>
                        <w:szCs w:val="21"/>
                        <w:lang w:val="en-GB"/>
                      </w:rPr>
                      <w:t>持股比例</w:t>
                    </w:r>
                    <w:r>
                      <w:rPr>
                        <w:rFonts w:cs="Arial"/>
                        <w:szCs w:val="21"/>
                      </w:rPr>
                      <w:t>(%)</w:t>
                    </w:r>
                  </w:p>
                </w:tc>
              </w:sdtContent>
            </w:sdt>
            <w:sdt>
              <w:sdtPr>
                <w:tag w:val="_PLD_7955b51c085a48948cb5518baa55ee50"/>
                <w:id w:val="771825591"/>
                <w:lock w:val="sdtLocked"/>
              </w:sdtPr>
              <w:sdtEndPr/>
              <w:sdtContent>
                <w:tc>
                  <w:tcPr>
                    <w:tcW w:w="631" w:type="pct"/>
                    <w:vMerge w:val="restart"/>
                    <w:shd w:val="clear" w:color="auto" w:fill="auto"/>
                    <w:vAlign w:val="center"/>
                  </w:tcPr>
                  <w:p w14:paraId="78CC72AA" w14:textId="77777777" w:rsidR="00D21C1F" w:rsidRDefault="00A42880">
                    <w:pPr>
                      <w:jc w:val="center"/>
                      <w:rPr>
                        <w:rFonts w:cs="Arial"/>
                        <w:szCs w:val="21"/>
                        <w:lang w:val="en-GB"/>
                      </w:rPr>
                    </w:pPr>
                    <w:r>
                      <w:rPr>
                        <w:rFonts w:cs="Arial" w:hint="eastAsia"/>
                        <w:szCs w:val="21"/>
                        <w:lang w:val="en-GB"/>
                      </w:rPr>
                      <w:t>取得</w:t>
                    </w:r>
                  </w:p>
                  <w:p w14:paraId="5657EB4D" w14:textId="77777777" w:rsidR="00D21C1F" w:rsidRDefault="00A42880">
                    <w:pPr>
                      <w:jc w:val="center"/>
                      <w:rPr>
                        <w:rFonts w:cs="Arial"/>
                        <w:szCs w:val="21"/>
                        <w:lang w:val="en-GB"/>
                      </w:rPr>
                    </w:pPr>
                    <w:r>
                      <w:rPr>
                        <w:rFonts w:cs="Arial" w:hint="eastAsia"/>
                        <w:szCs w:val="21"/>
                        <w:lang w:val="en-GB"/>
                      </w:rPr>
                      <w:t>方式</w:t>
                    </w:r>
                  </w:p>
                </w:tc>
              </w:sdtContent>
            </w:sdt>
          </w:tr>
          <w:tr w:rsidR="00D21C1F" w14:paraId="62F5E02E" w14:textId="77777777">
            <w:trPr>
              <w:trHeight w:val="278"/>
            </w:trPr>
            <w:tc>
              <w:tcPr>
                <w:tcW w:w="640" w:type="pct"/>
                <w:vMerge/>
                <w:shd w:val="clear" w:color="auto" w:fill="auto"/>
                <w:vAlign w:val="center"/>
              </w:tcPr>
              <w:p w14:paraId="1DA4902E" w14:textId="77777777" w:rsidR="00D21C1F" w:rsidRDefault="00D21C1F">
                <w:pPr>
                  <w:rPr>
                    <w:rFonts w:cs="Arial"/>
                    <w:szCs w:val="21"/>
                  </w:rPr>
                </w:pPr>
              </w:p>
            </w:tc>
            <w:tc>
              <w:tcPr>
                <w:tcW w:w="831" w:type="pct"/>
                <w:vMerge/>
                <w:shd w:val="clear" w:color="auto" w:fill="auto"/>
                <w:vAlign w:val="center"/>
              </w:tcPr>
              <w:p w14:paraId="4D3BFD2B" w14:textId="77777777" w:rsidR="00D21C1F" w:rsidRDefault="00D21C1F">
                <w:pPr>
                  <w:rPr>
                    <w:rFonts w:cs="Arial"/>
                    <w:szCs w:val="21"/>
                  </w:rPr>
                </w:pPr>
              </w:p>
            </w:tc>
            <w:tc>
              <w:tcPr>
                <w:tcW w:w="861" w:type="pct"/>
                <w:vMerge/>
                <w:shd w:val="clear" w:color="auto" w:fill="auto"/>
                <w:vAlign w:val="center"/>
              </w:tcPr>
              <w:p w14:paraId="116C26E7" w14:textId="77777777" w:rsidR="00D21C1F" w:rsidRDefault="00D21C1F">
                <w:pPr>
                  <w:rPr>
                    <w:rFonts w:cs="Arial"/>
                    <w:szCs w:val="21"/>
                  </w:rPr>
                </w:pPr>
              </w:p>
            </w:tc>
            <w:tc>
              <w:tcPr>
                <w:tcW w:w="1097" w:type="pct"/>
                <w:vMerge/>
                <w:shd w:val="clear" w:color="auto" w:fill="auto"/>
                <w:vAlign w:val="center"/>
              </w:tcPr>
              <w:p w14:paraId="7D1D1BF2" w14:textId="77777777" w:rsidR="00D21C1F" w:rsidRDefault="00D21C1F">
                <w:pPr>
                  <w:rPr>
                    <w:rFonts w:cs="Arial"/>
                    <w:szCs w:val="21"/>
                  </w:rPr>
                </w:pPr>
              </w:p>
            </w:tc>
            <w:sdt>
              <w:sdtPr>
                <w:tag w:val="_PLD_ab045acafe9d4890848568705ddd5475"/>
                <w:id w:val="-87848036"/>
                <w:lock w:val="sdtLocked"/>
              </w:sdtPr>
              <w:sdtEndPr/>
              <w:sdtContent>
                <w:tc>
                  <w:tcPr>
                    <w:tcW w:w="470" w:type="pct"/>
                    <w:shd w:val="clear" w:color="auto" w:fill="auto"/>
                    <w:vAlign w:val="center"/>
                  </w:tcPr>
                  <w:p w14:paraId="60C5FD50" w14:textId="77777777" w:rsidR="00D21C1F" w:rsidRDefault="00A42880">
                    <w:pPr>
                      <w:jc w:val="center"/>
                      <w:rPr>
                        <w:rFonts w:cs="Arial"/>
                        <w:szCs w:val="21"/>
                      </w:rPr>
                    </w:pPr>
                    <w:r>
                      <w:rPr>
                        <w:rFonts w:cs="Arial" w:hint="eastAsia"/>
                        <w:szCs w:val="21"/>
                        <w:lang w:val="en-GB"/>
                      </w:rPr>
                      <w:t>直接</w:t>
                    </w:r>
                  </w:p>
                </w:tc>
              </w:sdtContent>
            </w:sdt>
            <w:sdt>
              <w:sdtPr>
                <w:tag w:val="_PLD_78e5db032e5044cba22bc40c16ee940a"/>
                <w:id w:val="1021519321"/>
                <w:lock w:val="sdtLocked"/>
              </w:sdtPr>
              <w:sdtEndPr/>
              <w:sdtContent>
                <w:tc>
                  <w:tcPr>
                    <w:tcW w:w="470" w:type="pct"/>
                    <w:shd w:val="clear" w:color="auto" w:fill="auto"/>
                    <w:vAlign w:val="center"/>
                  </w:tcPr>
                  <w:p w14:paraId="2693BD35" w14:textId="77777777" w:rsidR="00D21C1F" w:rsidRDefault="00A42880">
                    <w:pPr>
                      <w:jc w:val="center"/>
                      <w:rPr>
                        <w:rFonts w:cs="Arial"/>
                        <w:szCs w:val="21"/>
                      </w:rPr>
                    </w:pPr>
                    <w:r>
                      <w:rPr>
                        <w:rFonts w:cs="Arial" w:hint="eastAsia"/>
                        <w:szCs w:val="21"/>
                        <w:lang w:val="en-GB"/>
                      </w:rPr>
                      <w:t>间接</w:t>
                    </w:r>
                  </w:p>
                </w:tc>
              </w:sdtContent>
            </w:sdt>
            <w:tc>
              <w:tcPr>
                <w:tcW w:w="631" w:type="pct"/>
                <w:vMerge/>
              </w:tcPr>
              <w:p w14:paraId="0CCE5740" w14:textId="77777777" w:rsidR="00D21C1F" w:rsidRDefault="00D21C1F">
                <w:pPr>
                  <w:rPr>
                    <w:rFonts w:cs="Arial"/>
                    <w:szCs w:val="21"/>
                  </w:rPr>
                </w:pPr>
              </w:p>
            </w:tc>
          </w:tr>
          <w:sdt>
            <w:sdtPr>
              <w:rPr>
                <w:rFonts w:ascii="Times New Roman" w:hAnsi="Times New Roman" w:cs="Times New Roman"/>
                <w:sz w:val="18"/>
                <w:szCs w:val="18"/>
              </w:rPr>
              <w:alias w:val="企业合并及合并财务报表明细"/>
              <w:tag w:val="_GBC_986bfe326d834fea9d2920637e286f21"/>
              <w:id w:val="1012035845"/>
              <w:lock w:val="sdtLocked"/>
            </w:sdtPr>
            <w:sdtEndPr/>
            <w:sdtContent>
              <w:tr w:rsidR="00D21C1F" w14:paraId="6EE786F4" w14:textId="77777777">
                <w:tc>
                  <w:tcPr>
                    <w:tcW w:w="640" w:type="pct"/>
                  </w:tcPr>
                  <w:p w14:paraId="0DA62BD1"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芜湖希美埃</w:t>
                    </w:r>
                  </w:p>
                </w:tc>
                <w:tc>
                  <w:tcPr>
                    <w:tcW w:w="831" w:type="pct"/>
                  </w:tcPr>
                  <w:p w14:paraId="3AEBA201"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安徽芜湖</w:t>
                    </w:r>
                  </w:p>
                </w:tc>
                <w:tc>
                  <w:tcPr>
                    <w:tcW w:w="861" w:type="pct"/>
                  </w:tcPr>
                  <w:p w14:paraId="7CB2D93A"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安徽芜湖</w:t>
                    </w:r>
                  </w:p>
                </w:tc>
                <w:tc>
                  <w:tcPr>
                    <w:tcW w:w="1097" w:type="pct"/>
                  </w:tcPr>
                  <w:p w14:paraId="7444703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喷涂机器人和机器人喷涂系统的研发、生产、销售和技术服务</w:t>
                    </w:r>
                  </w:p>
                </w:tc>
                <w:tc>
                  <w:tcPr>
                    <w:tcW w:w="470" w:type="pct"/>
                  </w:tcPr>
                  <w:p w14:paraId="0092E334"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81.00</w:t>
                    </w:r>
                  </w:p>
                </w:tc>
                <w:tc>
                  <w:tcPr>
                    <w:tcW w:w="470" w:type="pct"/>
                  </w:tcPr>
                  <w:p w14:paraId="1E22EBEE"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631" w:type="pct"/>
                  </w:tcPr>
                  <w:p w14:paraId="3CC1B91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373897350"/>
              <w:lock w:val="sdtLocked"/>
            </w:sdtPr>
            <w:sdtEndPr/>
            <w:sdtContent>
              <w:tr w:rsidR="00D21C1F" w14:paraId="75D17A5A" w14:textId="77777777">
                <w:tc>
                  <w:tcPr>
                    <w:tcW w:w="640" w:type="pct"/>
                  </w:tcPr>
                  <w:p w14:paraId="4331391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芜湖埃华路</w:t>
                    </w:r>
                  </w:p>
                </w:tc>
                <w:tc>
                  <w:tcPr>
                    <w:tcW w:w="831" w:type="pct"/>
                  </w:tcPr>
                  <w:p w14:paraId="5267603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安徽芜湖</w:t>
                    </w:r>
                  </w:p>
                </w:tc>
                <w:tc>
                  <w:tcPr>
                    <w:tcW w:w="861" w:type="pct"/>
                  </w:tcPr>
                  <w:p w14:paraId="62E442A0"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安徽芜湖</w:t>
                    </w:r>
                  </w:p>
                </w:tc>
                <w:tc>
                  <w:tcPr>
                    <w:tcW w:w="1097" w:type="pct"/>
                  </w:tcPr>
                  <w:p w14:paraId="69DCE9FC"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机器人及自动化设备制造、应用与系统集成</w:t>
                    </w:r>
                  </w:p>
                </w:tc>
                <w:tc>
                  <w:tcPr>
                    <w:tcW w:w="470" w:type="pct"/>
                    <w:vAlign w:val="center"/>
                  </w:tcPr>
                  <w:p w14:paraId="5B095E08"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86.875</w:t>
                    </w:r>
                  </w:p>
                </w:tc>
                <w:tc>
                  <w:tcPr>
                    <w:tcW w:w="470" w:type="pct"/>
                    <w:vAlign w:val="center"/>
                  </w:tcPr>
                  <w:p w14:paraId="116951EB"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13.125</w:t>
                    </w:r>
                  </w:p>
                </w:tc>
                <w:tc>
                  <w:tcPr>
                    <w:tcW w:w="631" w:type="pct"/>
                  </w:tcPr>
                  <w:p w14:paraId="1078654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721980820"/>
              <w:lock w:val="sdtLocked"/>
            </w:sdtPr>
            <w:sdtEndPr/>
            <w:sdtContent>
              <w:tr w:rsidR="00D21C1F" w14:paraId="7FDFD9AD" w14:textId="77777777">
                <w:tc>
                  <w:tcPr>
                    <w:tcW w:w="640" w:type="pct"/>
                  </w:tcPr>
                  <w:p w14:paraId="004FC5B0"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广东埃华路</w:t>
                    </w:r>
                  </w:p>
                </w:tc>
                <w:tc>
                  <w:tcPr>
                    <w:tcW w:w="831" w:type="pct"/>
                  </w:tcPr>
                  <w:p w14:paraId="0F5F8F2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佛山市顺德区</w:t>
                    </w:r>
                  </w:p>
                </w:tc>
                <w:tc>
                  <w:tcPr>
                    <w:tcW w:w="861" w:type="pct"/>
                  </w:tcPr>
                  <w:p w14:paraId="6002ECE8"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佛山市顺德区</w:t>
                    </w:r>
                  </w:p>
                </w:tc>
                <w:tc>
                  <w:tcPr>
                    <w:tcW w:w="1097" w:type="pct"/>
                  </w:tcPr>
                  <w:p w14:paraId="6B477B84"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机器人及自动化设备制造、应用与系统集成</w:t>
                    </w:r>
                  </w:p>
                </w:tc>
                <w:tc>
                  <w:tcPr>
                    <w:tcW w:w="470" w:type="pct"/>
                    <w:vAlign w:val="center"/>
                  </w:tcPr>
                  <w:p w14:paraId="305A774E"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66.67</w:t>
                    </w:r>
                  </w:p>
                </w:tc>
                <w:tc>
                  <w:tcPr>
                    <w:tcW w:w="470" w:type="pct"/>
                    <w:vAlign w:val="center"/>
                  </w:tcPr>
                  <w:p w14:paraId="199FCB06"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33.33</w:t>
                    </w:r>
                  </w:p>
                </w:tc>
                <w:tc>
                  <w:tcPr>
                    <w:tcW w:w="631" w:type="pct"/>
                  </w:tcPr>
                  <w:p w14:paraId="223C56E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0071640"/>
              <w:lock w:val="sdtLocked"/>
            </w:sdtPr>
            <w:sdtEndPr/>
            <w:sdtContent>
              <w:tr w:rsidR="00D21C1F" w14:paraId="3027D049" w14:textId="77777777">
                <w:tc>
                  <w:tcPr>
                    <w:tcW w:w="640" w:type="pct"/>
                  </w:tcPr>
                  <w:p w14:paraId="49AEAD4B"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EVOLUT</w:t>
                    </w:r>
                  </w:p>
                </w:tc>
                <w:tc>
                  <w:tcPr>
                    <w:tcW w:w="831" w:type="pct"/>
                  </w:tcPr>
                  <w:p w14:paraId="4D3B025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意大利伦巴第大区布雷西亚市</w:t>
                    </w:r>
                  </w:p>
                </w:tc>
                <w:tc>
                  <w:tcPr>
                    <w:tcW w:w="861" w:type="pct"/>
                  </w:tcPr>
                  <w:p w14:paraId="6BD6AE1B"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意大利伦巴第大区布雷西亚市</w:t>
                    </w:r>
                  </w:p>
                </w:tc>
                <w:tc>
                  <w:tcPr>
                    <w:tcW w:w="1097" w:type="pct"/>
                  </w:tcPr>
                  <w:p w14:paraId="25E23979"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工业机器人系统集成</w:t>
                    </w:r>
                  </w:p>
                </w:tc>
                <w:tc>
                  <w:tcPr>
                    <w:tcW w:w="470" w:type="pct"/>
                    <w:vAlign w:val="center"/>
                  </w:tcPr>
                  <w:p w14:paraId="72C38D94"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54.79</w:t>
                    </w:r>
                  </w:p>
                </w:tc>
                <w:tc>
                  <w:tcPr>
                    <w:tcW w:w="470" w:type="pct"/>
                    <w:vAlign w:val="center"/>
                  </w:tcPr>
                  <w:p w14:paraId="531B5090"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45.21</w:t>
                    </w:r>
                  </w:p>
                </w:tc>
                <w:tc>
                  <w:tcPr>
                    <w:tcW w:w="631" w:type="pct"/>
                  </w:tcPr>
                  <w:p w14:paraId="59EE906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96704423"/>
              <w:lock w:val="sdtLocked"/>
            </w:sdtPr>
            <w:sdtEndPr/>
            <w:sdtContent>
              <w:tr w:rsidR="00D21C1F" w14:paraId="0AC74027" w14:textId="77777777">
                <w:tc>
                  <w:tcPr>
                    <w:tcW w:w="640" w:type="pct"/>
                  </w:tcPr>
                  <w:p w14:paraId="026E51D2"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瑞博思</w:t>
                    </w:r>
                  </w:p>
                </w:tc>
                <w:tc>
                  <w:tcPr>
                    <w:tcW w:w="831" w:type="pct"/>
                  </w:tcPr>
                  <w:p w14:paraId="5D459BD6"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安徽芜湖</w:t>
                    </w:r>
                  </w:p>
                </w:tc>
                <w:tc>
                  <w:tcPr>
                    <w:tcW w:w="861" w:type="pct"/>
                  </w:tcPr>
                  <w:p w14:paraId="5278439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安徽芜湖</w:t>
                    </w:r>
                  </w:p>
                </w:tc>
                <w:tc>
                  <w:tcPr>
                    <w:tcW w:w="1097" w:type="pct"/>
                  </w:tcPr>
                  <w:p w14:paraId="6AC53F48"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生产、销售智能装备和机器人控制系统及成套解决方案</w:t>
                    </w:r>
                  </w:p>
                </w:tc>
                <w:tc>
                  <w:tcPr>
                    <w:tcW w:w="470" w:type="pct"/>
                  </w:tcPr>
                  <w:p w14:paraId="2C19A80A"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60.00</w:t>
                    </w:r>
                  </w:p>
                </w:tc>
                <w:tc>
                  <w:tcPr>
                    <w:tcW w:w="470" w:type="pct"/>
                  </w:tcPr>
                  <w:p w14:paraId="6F505D46"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631" w:type="pct"/>
                  </w:tcPr>
                  <w:p w14:paraId="791737D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004195520"/>
              <w:lock w:val="sdtLocked"/>
            </w:sdtPr>
            <w:sdtEndPr/>
            <w:sdtContent>
              <w:tr w:rsidR="00D21C1F" w14:paraId="188720A5" w14:textId="77777777">
                <w:tc>
                  <w:tcPr>
                    <w:tcW w:w="640" w:type="pct"/>
                  </w:tcPr>
                  <w:p w14:paraId="18F4DF6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WFC</w:t>
                    </w:r>
                  </w:p>
                </w:tc>
                <w:tc>
                  <w:tcPr>
                    <w:tcW w:w="831" w:type="pct"/>
                  </w:tcPr>
                  <w:p w14:paraId="052C287A"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意大利皮埃蒙特大区都灵市</w:t>
                    </w:r>
                  </w:p>
                </w:tc>
                <w:tc>
                  <w:tcPr>
                    <w:tcW w:w="861" w:type="pct"/>
                  </w:tcPr>
                  <w:p w14:paraId="0A197590"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意大利皮埃蒙特大区都灵市</w:t>
                    </w:r>
                  </w:p>
                </w:tc>
                <w:tc>
                  <w:tcPr>
                    <w:tcW w:w="1097" w:type="pct"/>
                  </w:tcPr>
                  <w:p w14:paraId="0DBFD35B"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控股</w:t>
                    </w:r>
                  </w:p>
                </w:tc>
                <w:tc>
                  <w:tcPr>
                    <w:tcW w:w="470" w:type="pct"/>
                  </w:tcPr>
                  <w:p w14:paraId="131C0CD3"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470" w:type="pct"/>
                  </w:tcPr>
                  <w:p w14:paraId="3624A80F"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631" w:type="pct"/>
                  </w:tcPr>
                  <w:p w14:paraId="3750242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192453059"/>
              <w:lock w:val="sdtLocked"/>
            </w:sdtPr>
            <w:sdtEndPr/>
            <w:sdtContent>
              <w:tr w:rsidR="00D21C1F" w14:paraId="7650DFDF" w14:textId="77777777">
                <w:tc>
                  <w:tcPr>
                    <w:tcW w:w="640" w:type="pct"/>
                  </w:tcPr>
                  <w:p w14:paraId="12FC09D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OLCI</w:t>
                    </w:r>
                  </w:p>
                </w:tc>
                <w:tc>
                  <w:tcPr>
                    <w:tcW w:w="831" w:type="pct"/>
                  </w:tcPr>
                  <w:p w14:paraId="6A1199C0"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意大利皮埃蒙特大区都灵市</w:t>
                    </w:r>
                  </w:p>
                </w:tc>
                <w:tc>
                  <w:tcPr>
                    <w:tcW w:w="861" w:type="pct"/>
                  </w:tcPr>
                  <w:p w14:paraId="40443A22"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意大利皮埃蒙特大区都灵市</w:t>
                    </w:r>
                  </w:p>
                </w:tc>
                <w:tc>
                  <w:tcPr>
                    <w:tcW w:w="1097" w:type="pct"/>
                  </w:tcPr>
                  <w:p w14:paraId="14770CF6"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工业机器人系统集成</w:t>
                    </w:r>
                  </w:p>
                </w:tc>
                <w:tc>
                  <w:tcPr>
                    <w:tcW w:w="470" w:type="pct"/>
                  </w:tcPr>
                  <w:p w14:paraId="3638EE58"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411C698E"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7A0A4047"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689877247"/>
              <w:lock w:val="sdtLocked"/>
            </w:sdtPr>
            <w:sdtEndPr/>
            <w:sdtContent>
              <w:tr w:rsidR="00D21C1F" w14:paraId="39866D3F" w14:textId="77777777">
                <w:tc>
                  <w:tcPr>
                    <w:tcW w:w="640" w:type="pct"/>
                  </w:tcPr>
                  <w:p w14:paraId="17A9666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OLCI India</w:t>
                    </w:r>
                  </w:p>
                </w:tc>
                <w:tc>
                  <w:tcPr>
                    <w:tcW w:w="831" w:type="pct"/>
                  </w:tcPr>
                  <w:p w14:paraId="58CB132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印度马哈拉施特拉邦普纳市</w:t>
                    </w:r>
                  </w:p>
                </w:tc>
                <w:tc>
                  <w:tcPr>
                    <w:tcW w:w="861" w:type="pct"/>
                  </w:tcPr>
                  <w:p w14:paraId="01AB8C4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印度马哈拉施特拉邦普纳市</w:t>
                    </w:r>
                  </w:p>
                </w:tc>
                <w:tc>
                  <w:tcPr>
                    <w:tcW w:w="1097" w:type="pct"/>
                  </w:tcPr>
                  <w:p w14:paraId="2D322F7B"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工业机器人系统集成</w:t>
                    </w:r>
                  </w:p>
                </w:tc>
                <w:tc>
                  <w:tcPr>
                    <w:tcW w:w="470" w:type="pct"/>
                  </w:tcPr>
                  <w:p w14:paraId="79543C6D"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2F9F2207"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06E926E9"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384676550"/>
              <w:lock w:val="sdtLocked"/>
            </w:sdtPr>
            <w:sdtEndPr/>
            <w:sdtContent>
              <w:tr w:rsidR="00D21C1F" w14:paraId="52AB1A20" w14:textId="77777777">
                <w:tc>
                  <w:tcPr>
                    <w:tcW w:w="640" w:type="pct"/>
                  </w:tcPr>
                  <w:p w14:paraId="7519D0F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GME</w:t>
                    </w:r>
                  </w:p>
                </w:tc>
                <w:tc>
                  <w:tcPr>
                    <w:tcW w:w="831" w:type="pct"/>
                  </w:tcPr>
                  <w:p w14:paraId="7A738892"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巴西巴拉那州圣若泽杜斯皮尼艾斯市</w:t>
                    </w:r>
                  </w:p>
                </w:tc>
                <w:tc>
                  <w:tcPr>
                    <w:tcW w:w="861" w:type="pct"/>
                  </w:tcPr>
                  <w:p w14:paraId="3D4B433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巴西巴拉那州圣若泽杜斯皮尼艾斯</w:t>
                    </w:r>
                  </w:p>
                </w:tc>
                <w:tc>
                  <w:tcPr>
                    <w:tcW w:w="1097" w:type="pct"/>
                  </w:tcPr>
                  <w:p w14:paraId="0B5FAB9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工业机器人系统集成</w:t>
                    </w:r>
                  </w:p>
                </w:tc>
                <w:tc>
                  <w:tcPr>
                    <w:tcW w:w="470" w:type="pct"/>
                  </w:tcPr>
                  <w:p w14:paraId="70479D2B"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0665737C"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7D0C0F12"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93743572"/>
              <w:lock w:val="sdtLocked"/>
            </w:sdtPr>
            <w:sdtEndPr/>
            <w:sdtContent>
              <w:tr w:rsidR="00D21C1F" w14:paraId="3454AE41" w14:textId="77777777">
                <w:tc>
                  <w:tcPr>
                    <w:tcW w:w="640" w:type="pct"/>
                  </w:tcPr>
                  <w:p w14:paraId="09162FB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Autorobot</w:t>
                    </w:r>
                  </w:p>
                </w:tc>
                <w:tc>
                  <w:tcPr>
                    <w:tcW w:w="831" w:type="pct"/>
                  </w:tcPr>
                  <w:p w14:paraId="33325800"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波兰利维茨市</w:t>
                    </w:r>
                  </w:p>
                </w:tc>
                <w:tc>
                  <w:tcPr>
                    <w:tcW w:w="861" w:type="pct"/>
                  </w:tcPr>
                  <w:p w14:paraId="2D66D8E2"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波兰利维茨市</w:t>
                    </w:r>
                  </w:p>
                </w:tc>
                <w:tc>
                  <w:tcPr>
                    <w:tcW w:w="1097" w:type="pct"/>
                  </w:tcPr>
                  <w:p w14:paraId="5D9B2A9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工业机器人系统集成</w:t>
                    </w:r>
                  </w:p>
                </w:tc>
                <w:tc>
                  <w:tcPr>
                    <w:tcW w:w="470" w:type="pct"/>
                  </w:tcPr>
                  <w:p w14:paraId="24BEEB68"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4B59BFDC"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4D2234E9"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8451874"/>
              <w:lock w:val="sdtLocked"/>
            </w:sdtPr>
            <w:sdtEndPr/>
            <w:sdtContent>
              <w:tr w:rsidR="00D21C1F" w14:paraId="307E78EB" w14:textId="77777777">
                <w:tc>
                  <w:tcPr>
                    <w:tcW w:w="640" w:type="pct"/>
                  </w:tcPr>
                  <w:p w14:paraId="2FADC4C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上海埃奇</w:t>
                    </w:r>
                  </w:p>
                </w:tc>
                <w:tc>
                  <w:tcPr>
                    <w:tcW w:w="831" w:type="pct"/>
                  </w:tcPr>
                  <w:p w14:paraId="38623BD1"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上海市</w:t>
                    </w:r>
                  </w:p>
                </w:tc>
                <w:tc>
                  <w:tcPr>
                    <w:tcW w:w="861" w:type="pct"/>
                  </w:tcPr>
                  <w:p w14:paraId="2B9D85A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上海市</w:t>
                    </w:r>
                  </w:p>
                </w:tc>
                <w:tc>
                  <w:tcPr>
                    <w:tcW w:w="1097" w:type="pct"/>
                  </w:tcPr>
                  <w:p w14:paraId="551C8758"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工业机器人研发</w:t>
                    </w:r>
                  </w:p>
                </w:tc>
                <w:tc>
                  <w:tcPr>
                    <w:tcW w:w="470" w:type="pct"/>
                  </w:tcPr>
                  <w:p w14:paraId="42811F99"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470" w:type="pct"/>
                  </w:tcPr>
                  <w:p w14:paraId="6EA6083F"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631" w:type="pct"/>
                  </w:tcPr>
                  <w:p w14:paraId="729746A7"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2021695412"/>
              <w:lock w:val="sdtLocked"/>
            </w:sdtPr>
            <w:sdtEndPr/>
            <w:sdtContent>
              <w:tr w:rsidR="00D21C1F" w14:paraId="263F7CD8" w14:textId="77777777">
                <w:tc>
                  <w:tcPr>
                    <w:tcW w:w="640" w:type="pct"/>
                  </w:tcPr>
                  <w:p w14:paraId="7EF199C5"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Efort Europe</w:t>
                    </w:r>
                  </w:p>
                </w:tc>
                <w:tc>
                  <w:tcPr>
                    <w:tcW w:w="831" w:type="pct"/>
                  </w:tcPr>
                  <w:p w14:paraId="15A528E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意大利皮埃蒙特大区都灵市</w:t>
                    </w:r>
                  </w:p>
                </w:tc>
                <w:tc>
                  <w:tcPr>
                    <w:tcW w:w="861" w:type="pct"/>
                  </w:tcPr>
                  <w:p w14:paraId="7C2010CB"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意大利皮埃蒙特大区都灵市</w:t>
                    </w:r>
                  </w:p>
                </w:tc>
                <w:tc>
                  <w:tcPr>
                    <w:tcW w:w="1097" w:type="pct"/>
                  </w:tcPr>
                  <w:p w14:paraId="75312FE2"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工业机器人及集成研发</w:t>
                    </w:r>
                  </w:p>
                </w:tc>
                <w:tc>
                  <w:tcPr>
                    <w:tcW w:w="470" w:type="pct"/>
                  </w:tcPr>
                  <w:p w14:paraId="7B06DFEB"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470" w:type="pct"/>
                  </w:tcPr>
                  <w:p w14:paraId="51C92D16"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631" w:type="pct"/>
                  </w:tcPr>
                  <w:p w14:paraId="2DD3826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770082802"/>
              <w:lock w:val="sdtLocked"/>
            </w:sdtPr>
            <w:sdtEndPr/>
            <w:sdtContent>
              <w:tr w:rsidR="00D21C1F" w14:paraId="49157B64" w14:textId="77777777">
                <w:tc>
                  <w:tcPr>
                    <w:tcW w:w="640" w:type="pct"/>
                  </w:tcPr>
                  <w:p w14:paraId="6CA53DD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Efort France</w:t>
                    </w:r>
                  </w:p>
                </w:tc>
                <w:tc>
                  <w:tcPr>
                    <w:tcW w:w="831" w:type="pct"/>
                  </w:tcPr>
                  <w:p w14:paraId="1A43277F"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法国伊西莱穆利诺</w:t>
                    </w:r>
                  </w:p>
                </w:tc>
                <w:tc>
                  <w:tcPr>
                    <w:tcW w:w="861" w:type="pct"/>
                  </w:tcPr>
                  <w:p w14:paraId="1D4EEF4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法国伊西莱穆利诺</w:t>
                    </w:r>
                  </w:p>
                </w:tc>
                <w:tc>
                  <w:tcPr>
                    <w:tcW w:w="1097" w:type="pct"/>
                  </w:tcPr>
                  <w:p w14:paraId="783F57B4"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工业机器人及集成</w:t>
                    </w:r>
                  </w:p>
                </w:tc>
                <w:tc>
                  <w:tcPr>
                    <w:tcW w:w="470" w:type="pct"/>
                  </w:tcPr>
                  <w:p w14:paraId="31148276"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7ADDBC42"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278C368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092388633"/>
              <w:lock w:val="sdtLocked"/>
            </w:sdtPr>
            <w:sdtEndPr/>
            <w:sdtContent>
              <w:tr w:rsidR="00D21C1F" w14:paraId="17F41F7E" w14:textId="77777777">
                <w:tc>
                  <w:tcPr>
                    <w:tcW w:w="640" w:type="pct"/>
                  </w:tcPr>
                  <w:p w14:paraId="582B7FB2"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CMA</w:t>
                    </w:r>
                  </w:p>
                </w:tc>
                <w:tc>
                  <w:tcPr>
                    <w:tcW w:w="831" w:type="pct"/>
                  </w:tcPr>
                  <w:p w14:paraId="17CEBDB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意大利北部</w:t>
                    </w:r>
                    <w:r>
                      <w:rPr>
                        <w:rFonts w:ascii="Times New Roman" w:hAnsi="Times New Roman" w:cs="Times New Roman"/>
                        <w:sz w:val="18"/>
                        <w:szCs w:val="18"/>
                      </w:rPr>
                      <w:t>Udine</w:t>
                    </w:r>
                    <w:r>
                      <w:rPr>
                        <w:rFonts w:ascii="Times New Roman" w:hAnsi="Times New Roman" w:cs="Times New Roman"/>
                        <w:sz w:val="18"/>
                        <w:szCs w:val="18"/>
                      </w:rPr>
                      <w:t>市</w:t>
                    </w:r>
                  </w:p>
                </w:tc>
                <w:tc>
                  <w:tcPr>
                    <w:tcW w:w="861" w:type="pct"/>
                  </w:tcPr>
                  <w:p w14:paraId="7151A89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意大利北部</w:t>
                    </w:r>
                    <w:r>
                      <w:rPr>
                        <w:rFonts w:ascii="Times New Roman" w:hAnsi="Times New Roman" w:cs="Times New Roman"/>
                        <w:sz w:val="18"/>
                        <w:szCs w:val="18"/>
                      </w:rPr>
                      <w:t>Udine</w:t>
                    </w:r>
                    <w:r>
                      <w:rPr>
                        <w:rFonts w:ascii="Times New Roman" w:hAnsi="Times New Roman" w:cs="Times New Roman"/>
                        <w:sz w:val="18"/>
                        <w:szCs w:val="18"/>
                      </w:rPr>
                      <w:t>市</w:t>
                    </w:r>
                  </w:p>
                </w:tc>
                <w:tc>
                  <w:tcPr>
                    <w:tcW w:w="1097" w:type="pct"/>
                  </w:tcPr>
                  <w:p w14:paraId="64BE8EA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家具、木材、陶瓷、卫浴、塑料制品喷涂行业机器人的生产及销售</w:t>
                    </w:r>
                  </w:p>
                </w:tc>
                <w:tc>
                  <w:tcPr>
                    <w:tcW w:w="470" w:type="pct"/>
                  </w:tcPr>
                  <w:p w14:paraId="7D72E9F0" w14:textId="77777777" w:rsidR="00D21C1F" w:rsidRDefault="00A42880">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470" w:type="pct"/>
                  </w:tcPr>
                  <w:p w14:paraId="3C859D84"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6CF89835"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829972905"/>
              <w:lock w:val="sdtLocked"/>
            </w:sdtPr>
            <w:sdtEndPr/>
            <w:sdtContent>
              <w:tr w:rsidR="00D21C1F" w14:paraId="041C85BF" w14:textId="77777777">
                <w:tc>
                  <w:tcPr>
                    <w:tcW w:w="640" w:type="pct"/>
                  </w:tcPr>
                  <w:p w14:paraId="0B68F088"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CMA GmbH</w:t>
                    </w:r>
                  </w:p>
                </w:tc>
                <w:tc>
                  <w:tcPr>
                    <w:tcW w:w="831" w:type="pct"/>
                  </w:tcPr>
                  <w:p w14:paraId="53E03705"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德国</w:t>
                    </w:r>
                    <w:r>
                      <w:rPr>
                        <w:rFonts w:ascii="Times New Roman" w:hAnsi="Times New Roman" w:cs="Times New Roman"/>
                        <w:sz w:val="18"/>
                        <w:szCs w:val="18"/>
                      </w:rPr>
                      <w:t>Unterfoehring</w:t>
                    </w:r>
                    <w:r>
                      <w:rPr>
                        <w:rFonts w:ascii="Times New Roman" w:hAnsi="Times New Roman" w:cs="Times New Roman"/>
                        <w:sz w:val="18"/>
                        <w:szCs w:val="18"/>
                      </w:rPr>
                      <w:t>市</w:t>
                    </w:r>
                  </w:p>
                </w:tc>
                <w:tc>
                  <w:tcPr>
                    <w:tcW w:w="861" w:type="pct"/>
                  </w:tcPr>
                  <w:p w14:paraId="5BAB9BB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德国</w:t>
                    </w:r>
                    <w:r>
                      <w:rPr>
                        <w:rFonts w:ascii="Times New Roman" w:hAnsi="Times New Roman" w:cs="Times New Roman"/>
                        <w:sz w:val="18"/>
                        <w:szCs w:val="18"/>
                      </w:rPr>
                      <w:t>Unterfoehring</w:t>
                    </w:r>
                    <w:r>
                      <w:rPr>
                        <w:rFonts w:ascii="Times New Roman" w:hAnsi="Times New Roman" w:cs="Times New Roman"/>
                        <w:sz w:val="18"/>
                        <w:szCs w:val="18"/>
                      </w:rPr>
                      <w:t>市</w:t>
                    </w:r>
                  </w:p>
                </w:tc>
                <w:tc>
                  <w:tcPr>
                    <w:tcW w:w="1097" w:type="pct"/>
                  </w:tcPr>
                  <w:p w14:paraId="6180F68B"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家具、木材、陶瓷、卫浴、塑料制品喷涂行业机器人的生产及销售</w:t>
                    </w:r>
                  </w:p>
                </w:tc>
                <w:tc>
                  <w:tcPr>
                    <w:tcW w:w="470" w:type="pct"/>
                  </w:tcPr>
                  <w:p w14:paraId="2B7F2E81"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4927D5F1"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1847588B"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834882735"/>
              <w:lock w:val="sdtLocked"/>
            </w:sdtPr>
            <w:sdtEndPr/>
            <w:sdtContent>
              <w:tr w:rsidR="00D21C1F" w14:paraId="08737675" w14:textId="77777777">
                <w:tc>
                  <w:tcPr>
                    <w:tcW w:w="640" w:type="pct"/>
                  </w:tcPr>
                  <w:p w14:paraId="55439B2B" w14:textId="77777777" w:rsidR="00D21C1F" w:rsidRDefault="00A42880">
                    <w:pPr>
                      <w:rPr>
                        <w:rFonts w:ascii="Times New Roman" w:hAnsi="Times New Roman" w:cs="Times New Roman"/>
                        <w:sz w:val="18"/>
                        <w:szCs w:val="18"/>
                      </w:rPr>
                    </w:pPr>
                    <w:r>
                      <w:rPr>
                        <w:rFonts w:ascii="Times New Roman" w:hAnsi="Times New Roman" w:cs="Times New Roman" w:hint="eastAsia"/>
                        <w:sz w:val="18"/>
                        <w:szCs w:val="18"/>
                      </w:rPr>
                      <w:t>Efort</w:t>
                    </w:r>
                    <w:r>
                      <w:rPr>
                        <w:rFonts w:ascii="Times New Roman" w:hAnsi="Times New Roman" w:cs="Times New Roman"/>
                        <w:sz w:val="18"/>
                        <w:szCs w:val="18"/>
                      </w:rPr>
                      <w:t xml:space="preserve"> </w:t>
                    </w:r>
                    <w:r>
                      <w:rPr>
                        <w:rFonts w:ascii="Times New Roman" w:hAnsi="Times New Roman" w:cs="Times New Roman" w:hint="eastAsia"/>
                        <w:sz w:val="18"/>
                        <w:szCs w:val="18"/>
                      </w:rPr>
                      <w:t>System</w:t>
                    </w:r>
                    <w:r>
                      <w:rPr>
                        <w:rFonts w:ascii="Times New Roman" w:hAnsi="Times New Roman" w:cs="Times New Roman"/>
                        <w:sz w:val="18"/>
                        <w:szCs w:val="18"/>
                      </w:rPr>
                      <w:t>s</w:t>
                    </w:r>
                  </w:p>
                </w:tc>
                <w:tc>
                  <w:tcPr>
                    <w:tcW w:w="831" w:type="pct"/>
                  </w:tcPr>
                  <w:p w14:paraId="1DA4B5F6"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意大利威尼托大区威尼斯市</w:t>
                    </w:r>
                  </w:p>
                </w:tc>
                <w:tc>
                  <w:tcPr>
                    <w:tcW w:w="861" w:type="pct"/>
                  </w:tcPr>
                  <w:p w14:paraId="52E5631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意大利威尼托大区威尼斯市</w:t>
                    </w:r>
                  </w:p>
                </w:tc>
                <w:tc>
                  <w:tcPr>
                    <w:tcW w:w="1097" w:type="pct"/>
                  </w:tcPr>
                  <w:p w14:paraId="4516BF65"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工业机器人系统集成</w:t>
                    </w:r>
                  </w:p>
                </w:tc>
                <w:tc>
                  <w:tcPr>
                    <w:tcW w:w="470" w:type="pct"/>
                  </w:tcPr>
                  <w:p w14:paraId="14B96A53"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2830A375"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100.00</w:t>
                    </w:r>
                  </w:p>
                </w:tc>
                <w:tc>
                  <w:tcPr>
                    <w:tcW w:w="631" w:type="pct"/>
                  </w:tcPr>
                  <w:p w14:paraId="6CFB86E8"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2008468594"/>
              <w:lock w:val="sdtLocked"/>
            </w:sdtPr>
            <w:sdtEndPr/>
            <w:sdtContent>
              <w:tr w:rsidR="00D21C1F" w14:paraId="0395F7B3" w14:textId="77777777">
                <w:tc>
                  <w:tcPr>
                    <w:tcW w:w="640" w:type="pct"/>
                  </w:tcPr>
                  <w:p w14:paraId="509429DD"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江西希美埃</w:t>
                    </w:r>
                  </w:p>
                </w:tc>
                <w:tc>
                  <w:tcPr>
                    <w:tcW w:w="831" w:type="pct"/>
                  </w:tcPr>
                  <w:p w14:paraId="5F16E870"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江西赣州</w:t>
                    </w:r>
                  </w:p>
                </w:tc>
                <w:tc>
                  <w:tcPr>
                    <w:tcW w:w="861" w:type="pct"/>
                  </w:tcPr>
                  <w:p w14:paraId="0CDFF2C6"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江西赣州</w:t>
                    </w:r>
                  </w:p>
                </w:tc>
                <w:tc>
                  <w:tcPr>
                    <w:tcW w:w="1097" w:type="pct"/>
                  </w:tcPr>
                  <w:p w14:paraId="0671407E"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工业机器人及集成</w:t>
                    </w:r>
                  </w:p>
                </w:tc>
                <w:tc>
                  <w:tcPr>
                    <w:tcW w:w="470" w:type="pct"/>
                  </w:tcPr>
                  <w:p w14:paraId="41C3DBD8"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470" w:type="pct"/>
                  </w:tcPr>
                  <w:p w14:paraId="11D5BE8B"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50.50</w:t>
                    </w:r>
                  </w:p>
                </w:tc>
                <w:tc>
                  <w:tcPr>
                    <w:tcW w:w="631" w:type="pct"/>
                  </w:tcPr>
                  <w:p w14:paraId="4FFBA280"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471513740"/>
              <w:lock w:val="sdtLocked"/>
            </w:sdtPr>
            <w:sdtEndPr/>
            <w:sdtContent>
              <w:tr w:rsidR="00D21C1F" w14:paraId="7EF25984" w14:textId="77777777">
                <w:tc>
                  <w:tcPr>
                    <w:tcW w:w="640" w:type="pct"/>
                  </w:tcPr>
                  <w:p w14:paraId="2B4C306C"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广东埃汇</w:t>
                    </w:r>
                  </w:p>
                </w:tc>
                <w:tc>
                  <w:tcPr>
                    <w:tcW w:w="831" w:type="pct"/>
                  </w:tcPr>
                  <w:p w14:paraId="24EA6106"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广东佛山</w:t>
                    </w:r>
                  </w:p>
                </w:tc>
                <w:tc>
                  <w:tcPr>
                    <w:tcW w:w="861" w:type="pct"/>
                  </w:tcPr>
                  <w:p w14:paraId="4E98E916"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广东佛山</w:t>
                    </w:r>
                  </w:p>
                </w:tc>
                <w:tc>
                  <w:tcPr>
                    <w:tcW w:w="1097" w:type="pct"/>
                  </w:tcPr>
                  <w:p w14:paraId="5B32DCE3"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工业机器人及集成</w:t>
                    </w:r>
                  </w:p>
                </w:tc>
                <w:tc>
                  <w:tcPr>
                    <w:tcW w:w="470" w:type="pct"/>
                  </w:tcPr>
                  <w:p w14:paraId="4950DFE2"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60.00</w:t>
                    </w:r>
                  </w:p>
                </w:tc>
                <w:tc>
                  <w:tcPr>
                    <w:tcW w:w="470" w:type="pct"/>
                  </w:tcPr>
                  <w:p w14:paraId="3EA9BEC3" w14:textId="77777777" w:rsidR="00D21C1F" w:rsidRDefault="00A42880">
                    <w:pPr>
                      <w:jc w:val="right"/>
                      <w:rPr>
                        <w:rFonts w:ascii="Times New Roman" w:hAnsi="Times New Roman" w:cs="Times New Roman"/>
                        <w:sz w:val="18"/>
                        <w:szCs w:val="18"/>
                      </w:rPr>
                    </w:pPr>
                    <w:r>
                      <w:rPr>
                        <w:rFonts w:ascii="Times New Roman" w:hAnsi="Times New Roman" w:cs="Times New Roman"/>
                        <w:sz w:val="18"/>
                        <w:szCs w:val="18"/>
                      </w:rPr>
                      <w:t>-</w:t>
                    </w:r>
                  </w:p>
                </w:tc>
                <w:tc>
                  <w:tcPr>
                    <w:tcW w:w="631" w:type="pct"/>
                  </w:tcPr>
                  <w:p w14:paraId="11081AA1" w14:textId="77777777" w:rsidR="00D21C1F" w:rsidRDefault="00A42880">
                    <w:pPr>
                      <w:rPr>
                        <w:rFonts w:ascii="Times New Roman" w:hAnsi="Times New Roman" w:cs="Times New Roman"/>
                        <w:sz w:val="18"/>
                        <w:szCs w:val="18"/>
                      </w:rPr>
                    </w:pPr>
                    <w:r>
                      <w:rPr>
                        <w:rFonts w:ascii="Times New Roman" w:hAnsi="Times New Roman" w:cs="Times New Roman"/>
                        <w:sz w:val="18"/>
                        <w:szCs w:val="18"/>
                      </w:rPr>
                      <w:t>设立</w:t>
                    </w:r>
                  </w:p>
                </w:tc>
              </w:tr>
            </w:sdtContent>
          </w:sdt>
        </w:tbl>
        <w:p w14:paraId="326124A6" w14:textId="77777777" w:rsidR="00D21C1F" w:rsidRDefault="00A42880">
          <w:pPr>
            <w:rPr>
              <w:rFonts w:cs="Arial"/>
              <w:szCs w:val="21"/>
            </w:rPr>
          </w:pPr>
          <w:r>
            <w:rPr>
              <w:rFonts w:cs="Arial" w:hint="eastAsia"/>
              <w:szCs w:val="21"/>
            </w:rPr>
            <w:t>在子公司的持股比例不同于表决权比例的说明：</w:t>
          </w:r>
        </w:p>
        <w:p w14:paraId="53C7CC58" w14:textId="77777777" w:rsidR="00D21C1F" w:rsidRDefault="00045EC6">
          <w:pPr>
            <w:rPr>
              <w:rFonts w:cs="Arial"/>
              <w:szCs w:val="21"/>
            </w:rPr>
          </w:pPr>
          <w:sdt>
            <w:sdtPr>
              <w:rPr>
                <w:rFonts w:cs="Arial"/>
                <w:szCs w:val="21"/>
              </w:rPr>
              <w:alias w:val="在子公司的持股比例不同于表决权比例的说明"/>
              <w:tag w:val="_GBC_b7be591163dc47e4b00f98006e6fbb0b"/>
              <w:id w:val="1864937723"/>
              <w:lock w:val="sdtLocked"/>
              <w:placeholder>
                <w:docPart w:val="GBC22222222222222222222222222222"/>
              </w:placeholder>
            </w:sdtPr>
            <w:sdtEndPr/>
            <w:sdtContent>
              <w:r w:rsidR="00A42880">
                <w:rPr>
                  <w:rFonts w:cs="Arial" w:hint="eastAsia"/>
                  <w:szCs w:val="21"/>
                </w:rPr>
                <w:t>无</w:t>
              </w:r>
            </w:sdtContent>
          </w:sdt>
        </w:p>
        <w:p w14:paraId="32F73638" w14:textId="77777777" w:rsidR="00D21C1F" w:rsidRDefault="00D21C1F">
          <w:pPr>
            <w:rPr>
              <w:rFonts w:cs="Arial"/>
              <w:szCs w:val="21"/>
            </w:rPr>
          </w:pPr>
        </w:p>
        <w:p w14:paraId="50E7CB8C" w14:textId="77777777" w:rsidR="00D21C1F" w:rsidRDefault="00A42880">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40183053"/>
            <w:lock w:val="sdtLocked"/>
            <w:placeholder>
              <w:docPart w:val="GBC22222222222222222222222222222"/>
            </w:placeholder>
          </w:sdtPr>
          <w:sdtEndPr/>
          <w:sdtContent>
            <w:p w14:paraId="6778A574" w14:textId="77777777" w:rsidR="00D21C1F" w:rsidRDefault="00A42880">
              <w:pPr>
                <w:rPr>
                  <w:rFonts w:cs="Arial"/>
                  <w:szCs w:val="21"/>
                </w:rPr>
              </w:pPr>
              <w:r>
                <w:rPr>
                  <w:rFonts w:cs="Arial" w:hint="eastAsia"/>
                  <w:szCs w:val="21"/>
                </w:rPr>
                <w:t>不适用</w:t>
              </w:r>
            </w:p>
          </w:sdtContent>
        </w:sdt>
        <w:p w14:paraId="1A704D0D" w14:textId="77777777" w:rsidR="00D21C1F" w:rsidRDefault="00A42880">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570107187"/>
            <w:lock w:val="sdtLocked"/>
            <w:placeholder>
              <w:docPart w:val="GBC22222222222222222222222222222"/>
            </w:placeholder>
          </w:sdtPr>
          <w:sdtEndPr/>
          <w:sdtContent>
            <w:p w14:paraId="6148B381" w14:textId="77777777" w:rsidR="00D21C1F" w:rsidRDefault="00A42880">
              <w:pPr>
                <w:rPr>
                  <w:rFonts w:cs="Arial"/>
                  <w:szCs w:val="21"/>
                </w:rPr>
              </w:pPr>
              <w:r>
                <w:rPr>
                  <w:rFonts w:cs="Arial" w:hint="eastAsia"/>
                  <w:szCs w:val="21"/>
                </w:rPr>
                <w:t>不适用</w:t>
              </w:r>
            </w:p>
          </w:sdtContent>
        </w:sdt>
        <w:p w14:paraId="3D1B3627" w14:textId="77777777" w:rsidR="00D21C1F" w:rsidRDefault="00A42880">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458334899"/>
            <w:lock w:val="sdtLocked"/>
            <w:placeholder>
              <w:docPart w:val="GBC22222222222222222222222222222"/>
            </w:placeholder>
          </w:sdtPr>
          <w:sdtEndPr/>
          <w:sdtContent>
            <w:p w14:paraId="57F94B49" w14:textId="77777777" w:rsidR="00D21C1F" w:rsidRDefault="00A42880">
              <w:pPr>
                <w:rPr>
                  <w:rFonts w:cs="Arial"/>
                  <w:szCs w:val="21"/>
                </w:rPr>
              </w:pPr>
              <w:r>
                <w:rPr>
                  <w:rFonts w:cs="Arial" w:hint="eastAsia"/>
                  <w:szCs w:val="21"/>
                </w:rPr>
                <w:t>不适用</w:t>
              </w:r>
            </w:p>
          </w:sdtContent>
        </w:sdt>
        <w:p w14:paraId="11CA168D" w14:textId="77777777" w:rsidR="00D21C1F" w:rsidRDefault="00A42880">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665459613"/>
            <w:lock w:val="sdtLocked"/>
            <w:placeholder>
              <w:docPart w:val="GBC22222222222222222222222222222"/>
            </w:placeholder>
          </w:sdtPr>
          <w:sdtEndPr/>
          <w:sdtContent>
            <w:p w14:paraId="10CFC956" w14:textId="77777777" w:rsidR="00D21C1F" w:rsidRDefault="00A42880">
              <w:pPr>
                <w:rPr>
                  <w:rFonts w:cstheme="minorBidi"/>
                  <w:szCs w:val="21"/>
                </w:rPr>
              </w:pPr>
              <w:r>
                <w:rPr>
                  <w:rFonts w:cs="Arial" w:hint="eastAsia"/>
                  <w:szCs w:val="21"/>
                </w:rPr>
                <w:t>无</w:t>
              </w:r>
            </w:p>
          </w:sdtContent>
        </w:sdt>
      </w:sdtContent>
    </w:sdt>
    <w:p w14:paraId="0E6B9EDE" w14:textId="77777777" w:rsidR="00D21C1F" w:rsidRDefault="00D21C1F">
      <w:pPr>
        <w:rPr>
          <w:rFonts w:cs="Arial"/>
          <w:szCs w:val="21"/>
        </w:rPr>
      </w:pPr>
    </w:p>
    <w:sdt>
      <w:sdtPr>
        <w:rPr>
          <w:rFonts w:ascii="宋体" w:hAnsi="宋体" w:cs="Arial" w:hint="eastAsia"/>
          <w:b w:val="0"/>
          <w:bCs w:val="0"/>
          <w:kern w:val="0"/>
          <w:szCs w:val="21"/>
        </w:rPr>
        <w:alias w:val="模块:重要的非全资子公司"/>
        <w:tag w:val="_GBC_a2ec6e05ebd34d2fa14b1ba6b3ba8eb1"/>
        <w:id w:val="127826104"/>
        <w:lock w:val="sdtLocked"/>
        <w:placeholder>
          <w:docPart w:val="GBC22222222222222222222222222222"/>
        </w:placeholder>
      </w:sdtPr>
      <w:sdtEndPr>
        <w:rPr>
          <w:rFonts w:hint="default"/>
        </w:rPr>
      </w:sdtEndPr>
      <w:sdtContent>
        <w:p w14:paraId="51BA6E15" w14:textId="77777777" w:rsidR="00D21C1F" w:rsidRDefault="00A42880">
          <w:pPr>
            <w:pStyle w:val="93"/>
            <w:numPr>
              <w:ilvl w:val="3"/>
              <w:numId w:val="131"/>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077102462"/>
            <w:lock w:val="sdtLocked"/>
            <w:placeholder>
              <w:docPart w:val="GBC22222222222222222222222222222"/>
            </w:placeholder>
          </w:sdtPr>
          <w:sdtEndPr/>
          <w:sdtContent>
            <w:p w14:paraId="781E07B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重要非全资子公司的主要财务信息"/>
        <w:tag w:val="_GBC_501222dd8f884fabbdeaec6fe7e79709"/>
        <w:id w:val="671676671"/>
        <w:lock w:val="sdtLocked"/>
        <w:placeholder>
          <w:docPart w:val="GBC22222222222222222222222222222"/>
        </w:placeholder>
      </w:sdtPr>
      <w:sdtEndPr>
        <w:rPr>
          <w:rFonts w:hint="default"/>
        </w:rPr>
      </w:sdtEndPr>
      <w:sdtContent>
        <w:p w14:paraId="331C2EB6" w14:textId="77777777" w:rsidR="00D21C1F" w:rsidRDefault="00A42880">
          <w:pPr>
            <w:pStyle w:val="93"/>
            <w:numPr>
              <w:ilvl w:val="3"/>
              <w:numId w:val="131"/>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1990234278"/>
            <w:lock w:val="sdtLocked"/>
            <w:placeholder>
              <w:docPart w:val="GBC22222222222222222222222222222"/>
            </w:placeholder>
          </w:sdtPr>
          <w:sdtEndPr/>
          <w:sdtContent>
            <w:p w14:paraId="5B38CD9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Arial" w:hint="eastAsia"/>
          <w:b w:val="0"/>
          <w:bCs w:val="0"/>
          <w:kern w:val="0"/>
          <w:szCs w:val="21"/>
        </w:rPr>
        <w:alias w:val="模块:使用企业集团资产和清偿企业集团债务的重大限制"/>
        <w:tag w:val="_GBC_573fe5c9daf0401da00d8fc5198daf66"/>
        <w:id w:val="180864945"/>
        <w:lock w:val="sdtLocked"/>
        <w:placeholder>
          <w:docPart w:val="GBC22222222222222222222222222222"/>
        </w:placeholder>
      </w:sdtPr>
      <w:sdtEndPr>
        <w:rPr>
          <w:b/>
        </w:rPr>
      </w:sdtEndPr>
      <w:sdtContent>
        <w:p w14:paraId="2D32F829" w14:textId="77777777" w:rsidR="00D21C1F" w:rsidRDefault="00A42880">
          <w:pPr>
            <w:pStyle w:val="93"/>
            <w:numPr>
              <w:ilvl w:val="3"/>
              <w:numId w:val="131"/>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1267912769"/>
            <w:lock w:val="sdtLocked"/>
            <w:placeholder>
              <w:docPart w:val="GBC22222222222222222222222222222"/>
            </w:placeholder>
          </w:sdtPr>
          <w:sdtEndPr/>
          <w:sdtContent>
            <w:p w14:paraId="1767177C" w14:textId="77777777" w:rsidR="00D21C1F" w:rsidRDefault="00A42880">
              <w:pPr>
                <w:rPr>
                  <w:rFonts w:cs="Arial"/>
                  <w:b/>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Arial" w:hint="eastAsia"/>
          <w:b w:val="0"/>
          <w:bCs w:val="0"/>
          <w:kern w:val="0"/>
          <w:szCs w:val="21"/>
        </w:rPr>
        <w:alias w:val="模块:向纳入合并财务报表范围的结构化主体提供的财务支持或其他支持"/>
        <w:tag w:val="_GBC_114877d69a2e4b56b15fb618155127e3"/>
        <w:id w:val="-319820270"/>
        <w:lock w:val="sdtLocked"/>
        <w:placeholder>
          <w:docPart w:val="GBC22222222222222222222222222222"/>
        </w:placeholder>
      </w:sdtPr>
      <w:sdtEndPr/>
      <w:sdtContent>
        <w:p w14:paraId="68FCBAAC" w14:textId="77777777" w:rsidR="00D21C1F" w:rsidRDefault="00A42880">
          <w:pPr>
            <w:pStyle w:val="93"/>
            <w:numPr>
              <w:ilvl w:val="3"/>
              <w:numId w:val="131"/>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684561320"/>
            <w:lock w:val="sdtLocked"/>
            <w:placeholder>
              <w:docPart w:val="GBC22222222222222222222222222222"/>
            </w:placeholder>
          </w:sdtPr>
          <w:sdtEndPr/>
          <w:sdtContent>
            <w:p w14:paraId="42925564" w14:textId="77777777" w:rsidR="00D21C1F" w:rsidRDefault="00A4288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szCs w:val="21"/>
        </w:rPr>
        <w:alias w:val="模块:在子公司中的权益其他说明"/>
        <w:tag w:val="_GBC_a0f68dc0a3a24efaa431a8c8d768eb0f"/>
        <w:id w:val="-803310822"/>
        <w:lock w:val="sdtLocked"/>
        <w:placeholder>
          <w:docPart w:val="GBC22222222222222222222222222222"/>
        </w:placeholder>
      </w:sdtPr>
      <w:sdtEndPr/>
      <w:sdtContent>
        <w:p w14:paraId="02E2AF4E" w14:textId="77777777" w:rsidR="00D21C1F" w:rsidRDefault="00A42880">
          <w:pPr>
            <w:rPr>
              <w:szCs w:val="21"/>
            </w:rPr>
          </w:pPr>
          <w:r>
            <w:rPr>
              <w:rFonts w:hint="eastAsia"/>
              <w:szCs w:val="21"/>
            </w:rPr>
            <w:t>其他说明：</w:t>
          </w:r>
        </w:p>
        <w:sdt>
          <w:sdtPr>
            <w:rPr>
              <w:szCs w:val="21"/>
            </w:rPr>
            <w:alias w:val="是否适用：在子公司中的权益其他说明[双击切换]"/>
            <w:tag w:val="_GBC_e4c33fb40d7a42bc88681a9facbf5ba5"/>
            <w:id w:val="-1971980026"/>
            <w:lock w:val="sdtLocked"/>
            <w:placeholder>
              <w:docPart w:val="GBC22222222222222222222222222222"/>
            </w:placeholder>
          </w:sdtPr>
          <w:sdtEndPr/>
          <w:sdtContent>
            <w:p w14:paraId="4D6BEBDF"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044AE1E" w14:textId="77777777" w:rsidR="00D21C1F" w:rsidRDefault="00A42880">
      <w:pPr>
        <w:pStyle w:val="94"/>
        <w:numPr>
          <w:ilvl w:val="2"/>
          <w:numId w:val="13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76541507"/>
        <w:lock w:val="sdtLocked"/>
        <w:placeholder>
          <w:docPart w:val="GBC22222222222222222222222222222"/>
        </w:placeholder>
      </w:sdtPr>
      <w:sdtEndPr/>
      <w:sdtContent>
        <w:p w14:paraId="25D89928"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78485C" w14:textId="77777777" w:rsidR="00D21C1F" w:rsidRDefault="00D21C1F">
      <w:pPr>
        <w:rPr>
          <w:szCs w:val="21"/>
        </w:rPr>
        <w:sectPr w:rsidR="00D21C1F">
          <w:pgSz w:w="11906" w:h="16838"/>
          <w:pgMar w:top="1525" w:right="1276" w:bottom="1440" w:left="1797" w:header="856" w:footer="992" w:gutter="0"/>
          <w:cols w:space="425"/>
          <w:docGrid w:linePitch="312"/>
        </w:sectPr>
      </w:pPr>
    </w:p>
    <w:p w14:paraId="7E7CA711" w14:textId="77777777" w:rsidR="00D21C1F" w:rsidRDefault="00A42880">
      <w:pPr>
        <w:pStyle w:val="94"/>
        <w:numPr>
          <w:ilvl w:val="2"/>
          <w:numId w:val="130"/>
        </w:numPr>
        <w:rPr>
          <w:rFonts w:ascii="宋体" w:hAnsi="宋体" w:cs="Arial"/>
          <w:szCs w:val="21"/>
        </w:rPr>
      </w:pPr>
      <w:r>
        <w:rPr>
          <w:rFonts w:ascii="宋体" w:hAnsi="宋体" w:cs="Arial" w:hint="eastAsia"/>
          <w:szCs w:val="21"/>
        </w:rPr>
        <w:lastRenderedPageBreak/>
        <w:t>在合营企业或联营企业中的权益</w:t>
      </w:r>
    </w:p>
    <w:sdt>
      <w:sdtPr>
        <w:alias w:val="是否适用：在合营企业或联营企业中的权益[双击切换]"/>
        <w:tag w:val="_GBC_31c0fe2068fd4a898e4269df4925aa76"/>
        <w:id w:val="-1735454248"/>
        <w:lock w:val="sdtLocked"/>
        <w:placeholder>
          <w:docPart w:val="GBC22222222222222222222222222222"/>
        </w:placeholder>
      </w:sdtPr>
      <w:sdtEndPr/>
      <w:sdtContent>
        <w:p w14:paraId="0F22397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1770849076"/>
        <w:lock w:val="sdtLocked"/>
        <w:placeholder>
          <w:docPart w:val="GBC22222222222222222222222222222"/>
        </w:placeholder>
      </w:sdtPr>
      <w:sdtEndPr>
        <w:rPr>
          <w:rFonts w:cstheme="minorBidi" w:hint="default"/>
          <w:szCs w:val="21"/>
        </w:rPr>
      </w:sdtEndPr>
      <w:sdtContent>
        <w:p w14:paraId="2F03DDE7" w14:textId="77777777" w:rsidR="00D21C1F" w:rsidRDefault="00A42880">
          <w:pPr>
            <w:pStyle w:val="93"/>
            <w:numPr>
              <w:ilvl w:val="3"/>
              <w:numId w:val="132"/>
            </w:numPr>
            <w:tabs>
              <w:tab w:val="left" w:pos="630"/>
            </w:tabs>
            <w:rPr>
              <w:rFonts w:ascii="宋体" w:hAnsi="宋体"/>
            </w:rPr>
          </w:pPr>
          <w:r>
            <w:rPr>
              <w:rFonts w:ascii="宋体" w:hAnsi="宋体" w:hint="eastAsia"/>
            </w:rPr>
            <w:t>重要的合营企业或联营企业</w:t>
          </w:r>
        </w:p>
        <w:sdt>
          <w:sdtPr>
            <w:alias w:val="是否适用：重要的合营企业或联营企业[双击切换]"/>
            <w:tag w:val="_GBC_9973f58b324442d5879a5d16db0cd410"/>
            <w:id w:val="-952163475"/>
            <w:lock w:val="sdtLocked"/>
            <w:placeholder>
              <w:docPart w:val="GBC22222222222222222222222222222"/>
            </w:placeholder>
          </w:sdtPr>
          <w:sdtEndPr/>
          <w:sdtContent>
            <w:p w14:paraId="4264C5E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09FB3A" w14:textId="77777777" w:rsidR="00D21C1F" w:rsidRDefault="00A42880">
          <w:pPr>
            <w:jc w:val="right"/>
          </w:pPr>
          <w:r>
            <w:rPr>
              <w:rFonts w:hint="eastAsia"/>
            </w:rPr>
            <w:t>单位:</w:t>
          </w:r>
          <w:sdt>
            <w:sdtPr>
              <w:rPr>
                <w:rFonts w:hint="eastAsia"/>
              </w:rPr>
              <w:alias w:val="单位：财务附注：重要的合营企业或联营企业"/>
              <w:tag w:val="_GBC_fc95ad35f9984b0c84fb2b12ebeb41db"/>
              <w:id w:val="13637849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重要的合营企业或联营企业"/>
              <w:tag w:val="_GBC_95704750d12047c58739551fa2558d6f"/>
              <w:id w:val="-850337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396"/>
            <w:gridCol w:w="1844"/>
            <w:gridCol w:w="1844"/>
            <w:gridCol w:w="2409"/>
            <w:gridCol w:w="990"/>
            <w:gridCol w:w="993"/>
            <w:gridCol w:w="2387"/>
          </w:tblGrid>
          <w:tr w:rsidR="00D21C1F" w14:paraId="44879E8F" w14:textId="77777777">
            <w:trPr>
              <w:trHeight w:val="451"/>
            </w:trPr>
            <w:sdt>
              <w:sdtPr>
                <w:tag w:val="_PLD_bb6c91c88e754a5da79068d0b040e152"/>
                <w:id w:val="-321122498"/>
                <w:lock w:val="sdtLocked"/>
              </w:sdtPr>
              <w:sdtEndPr/>
              <w:sdtContent>
                <w:tc>
                  <w:tcPr>
                    <w:tcW w:w="122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2CF7A9A7" w14:textId="77777777" w:rsidR="00D21C1F" w:rsidRDefault="00A42880">
                    <w:pPr>
                      <w:jc w:val="center"/>
                      <w:rPr>
                        <w:rFonts w:cs="Arial"/>
                        <w:szCs w:val="21"/>
                      </w:rPr>
                    </w:pPr>
                    <w:r>
                      <w:rPr>
                        <w:rFonts w:cs="Arial" w:hint="eastAsia"/>
                        <w:szCs w:val="21"/>
                        <w:lang w:val="en-GB"/>
                      </w:rPr>
                      <w:t>合营企业或联营企业名称</w:t>
                    </w:r>
                  </w:p>
                </w:tc>
              </w:sdtContent>
            </w:sdt>
            <w:sdt>
              <w:sdtPr>
                <w:tag w:val="_PLD_4c91d89257574ee1a96260d900b3fdde"/>
                <w:id w:val="82729694"/>
                <w:lock w:val="sdtLocked"/>
              </w:sdtPr>
              <w:sdtEndPr/>
              <w:sdtContent>
                <w:tc>
                  <w:tcPr>
                    <w:tcW w:w="66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34342D62" w14:textId="77777777" w:rsidR="00D21C1F" w:rsidRDefault="00A42880">
                    <w:pPr>
                      <w:jc w:val="center"/>
                      <w:rPr>
                        <w:rFonts w:cs="Arial"/>
                        <w:szCs w:val="21"/>
                      </w:rPr>
                    </w:pPr>
                    <w:r>
                      <w:rPr>
                        <w:rFonts w:cs="Arial" w:hint="eastAsia"/>
                        <w:szCs w:val="21"/>
                        <w:lang w:val="en-GB"/>
                      </w:rPr>
                      <w:t>主要经营地</w:t>
                    </w:r>
                  </w:p>
                </w:tc>
              </w:sdtContent>
            </w:sdt>
            <w:sdt>
              <w:sdtPr>
                <w:tag w:val="_PLD_4a3c73442b1947fdae2c0b554e7271a4"/>
                <w:id w:val="1254619269"/>
                <w:lock w:val="sdtLocked"/>
              </w:sdtPr>
              <w:sdtEndPr/>
              <w:sdtContent>
                <w:tc>
                  <w:tcPr>
                    <w:tcW w:w="66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50BDC78A" w14:textId="77777777" w:rsidR="00D21C1F" w:rsidRDefault="00A42880">
                    <w:pPr>
                      <w:jc w:val="center"/>
                      <w:rPr>
                        <w:rFonts w:cs="Arial"/>
                        <w:szCs w:val="21"/>
                      </w:rPr>
                    </w:pPr>
                    <w:r>
                      <w:rPr>
                        <w:rFonts w:cs="Arial" w:hint="eastAsia"/>
                        <w:szCs w:val="21"/>
                        <w:lang w:val="en-GB"/>
                      </w:rPr>
                      <w:t>注册地</w:t>
                    </w:r>
                  </w:p>
                </w:tc>
              </w:sdtContent>
            </w:sdt>
            <w:sdt>
              <w:sdtPr>
                <w:tag w:val="_PLD_07a3d19678c44b0db85c15fb74bf76d2"/>
                <w:id w:val="2007175826"/>
                <w:lock w:val="sdtLocked"/>
              </w:sdtPr>
              <w:sdtEndPr/>
              <w:sdtContent>
                <w:tc>
                  <w:tcPr>
                    <w:tcW w:w="86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1B9CE927" w14:textId="77777777" w:rsidR="00D21C1F" w:rsidRDefault="00A42880">
                    <w:pPr>
                      <w:jc w:val="center"/>
                      <w:rPr>
                        <w:rFonts w:cs="Arial"/>
                        <w:szCs w:val="21"/>
                      </w:rPr>
                    </w:pPr>
                    <w:r>
                      <w:rPr>
                        <w:rFonts w:cs="Arial" w:hint="eastAsia"/>
                        <w:szCs w:val="21"/>
                        <w:lang w:val="en-GB"/>
                      </w:rPr>
                      <w:t>业务性质</w:t>
                    </w:r>
                  </w:p>
                </w:tc>
              </w:sdtContent>
            </w:sdt>
            <w:sdt>
              <w:sdtPr>
                <w:tag w:val="_PLD_cb67afe7283245a29754ca96c69b89fc"/>
                <w:id w:val="-924185171"/>
                <w:lock w:val="sdtLocked"/>
              </w:sdtPr>
              <w:sdtEndPr/>
              <w:sdtContent>
                <w:tc>
                  <w:tcPr>
                    <w:tcW w:w="715"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6DA945D9" w14:textId="77777777" w:rsidR="00D21C1F" w:rsidRDefault="00A42880">
                    <w:pPr>
                      <w:jc w:val="center"/>
                      <w:rPr>
                        <w:rFonts w:cs="Arial"/>
                        <w:szCs w:val="21"/>
                      </w:rPr>
                    </w:pPr>
                    <w:r>
                      <w:rPr>
                        <w:rFonts w:cs="Arial" w:hint="eastAsia"/>
                        <w:szCs w:val="21"/>
                        <w:lang w:val="en-GB"/>
                      </w:rPr>
                      <w:t>持股比例</w:t>
                    </w:r>
                    <w:r>
                      <w:rPr>
                        <w:rFonts w:cs="Arial"/>
                        <w:szCs w:val="21"/>
                      </w:rPr>
                      <w:t>(%)</w:t>
                    </w:r>
                  </w:p>
                </w:tc>
              </w:sdtContent>
            </w:sdt>
            <w:sdt>
              <w:sdtPr>
                <w:tag w:val="_PLD_0fddec4e9b2a4b3aa0f9a08859cf498e"/>
                <w:id w:val="49192143"/>
                <w:lock w:val="sdtLocked"/>
              </w:sdtPr>
              <w:sdtEndPr/>
              <w:sdtContent>
                <w:tc>
                  <w:tcPr>
                    <w:tcW w:w="861"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14:paraId="11E97704" w14:textId="77777777" w:rsidR="00D21C1F" w:rsidRDefault="00A42880">
                    <w:pPr>
                      <w:jc w:val="center"/>
                      <w:rPr>
                        <w:rFonts w:cs="Arial"/>
                        <w:szCs w:val="21"/>
                      </w:rPr>
                    </w:pPr>
                    <w:r>
                      <w:rPr>
                        <w:rFonts w:cs="Arial" w:hint="eastAsia"/>
                        <w:szCs w:val="21"/>
                        <w:lang w:val="en-GB"/>
                      </w:rPr>
                      <w:t>对合营企业或联营企业投资的会计处理方法</w:t>
                    </w:r>
                  </w:p>
                </w:tc>
              </w:sdtContent>
            </w:sdt>
          </w:tr>
          <w:tr w:rsidR="00D21C1F" w14:paraId="334D2833" w14:textId="77777777">
            <w:trPr>
              <w:trHeight w:val="278"/>
            </w:trPr>
            <w:tc>
              <w:tcPr>
                <w:tcW w:w="1225" w:type="pct"/>
                <w:vMerge/>
                <w:tcBorders>
                  <w:top w:val="single" w:sz="4" w:space="0" w:color="auto"/>
                  <w:left w:val="single" w:sz="4" w:space="0" w:color="auto"/>
                  <w:bottom w:val="single" w:sz="6" w:space="0" w:color="auto"/>
                  <w:right w:val="single" w:sz="6" w:space="0" w:color="auto"/>
                </w:tcBorders>
                <w:shd w:val="clear" w:color="auto" w:fill="auto"/>
                <w:vAlign w:val="center"/>
              </w:tcPr>
              <w:p w14:paraId="21DAA014" w14:textId="77777777" w:rsidR="00D21C1F" w:rsidRDefault="00D21C1F">
                <w:pPr>
                  <w:rPr>
                    <w:rFonts w:cs="Arial"/>
                    <w:szCs w:val="21"/>
                  </w:rPr>
                </w:pPr>
              </w:p>
            </w:tc>
            <w:tc>
              <w:tcPr>
                <w:tcW w:w="665" w:type="pct"/>
                <w:vMerge/>
                <w:tcBorders>
                  <w:top w:val="single" w:sz="4" w:space="0" w:color="auto"/>
                  <w:left w:val="single" w:sz="6" w:space="0" w:color="auto"/>
                  <w:bottom w:val="single" w:sz="6" w:space="0" w:color="auto"/>
                  <w:right w:val="single" w:sz="6" w:space="0" w:color="auto"/>
                </w:tcBorders>
                <w:shd w:val="clear" w:color="auto" w:fill="auto"/>
                <w:vAlign w:val="center"/>
              </w:tcPr>
              <w:p w14:paraId="5B3BE7B8" w14:textId="77777777" w:rsidR="00D21C1F" w:rsidRDefault="00D21C1F">
                <w:pPr>
                  <w:rPr>
                    <w:rFonts w:cs="Arial"/>
                    <w:szCs w:val="21"/>
                  </w:rPr>
                </w:pPr>
              </w:p>
            </w:tc>
            <w:tc>
              <w:tcPr>
                <w:tcW w:w="665" w:type="pct"/>
                <w:vMerge/>
                <w:tcBorders>
                  <w:top w:val="single" w:sz="4" w:space="0" w:color="auto"/>
                  <w:left w:val="single" w:sz="6" w:space="0" w:color="auto"/>
                  <w:bottom w:val="single" w:sz="6" w:space="0" w:color="auto"/>
                  <w:right w:val="single" w:sz="6" w:space="0" w:color="auto"/>
                </w:tcBorders>
                <w:shd w:val="clear" w:color="auto" w:fill="auto"/>
                <w:vAlign w:val="center"/>
              </w:tcPr>
              <w:p w14:paraId="2435707C" w14:textId="77777777" w:rsidR="00D21C1F" w:rsidRDefault="00D21C1F">
                <w:pPr>
                  <w:rPr>
                    <w:rFonts w:cs="Arial"/>
                    <w:szCs w:val="21"/>
                  </w:rPr>
                </w:pPr>
              </w:p>
            </w:tc>
            <w:tc>
              <w:tcPr>
                <w:tcW w:w="869" w:type="pct"/>
                <w:vMerge/>
                <w:tcBorders>
                  <w:top w:val="single" w:sz="4" w:space="0" w:color="auto"/>
                  <w:left w:val="single" w:sz="6" w:space="0" w:color="auto"/>
                  <w:bottom w:val="single" w:sz="6" w:space="0" w:color="auto"/>
                  <w:right w:val="single" w:sz="6" w:space="0" w:color="auto"/>
                </w:tcBorders>
                <w:shd w:val="clear" w:color="auto" w:fill="auto"/>
                <w:vAlign w:val="center"/>
              </w:tcPr>
              <w:p w14:paraId="31291B71" w14:textId="77777777" w:rsidR="00D21C1F" w:rsidRDefault="00D21C1F">
                <w:pPr>
                  <w:rPr>
                    <w:rFonts w:cs="Arial"/>
                    <w:szCs w:val="21"/>
                  </w:rPr>
                </w:pPr>
              </w:p>
            </w:tc>
            <w:sdt>
              <w:sdtPr>
                <w:tag w:val="_PLD_42f14f52720a4c87819c9bd5211ded18"/>
                <w:id w:val="336893610"/>
                <w:lock w:val="sdtLocked"/>
              </w:sdtPr>
              <w:sdtEndPr/>
              <w:sdtContent>
                <w:tc>
                  <w:tcPr>
                    <w:tcW w:w="357" w:type="pct"/>
                    <w:tcBorders>
                      <w:top w:val="single" w:sz="4" w:space="0" w:color="auto"/>
                      <w:left w:val="single" w:sz="6" w:space="0" w:color="auto"/>
                      <w:bottom w:val="single" w:sz="6" w:space="0" w:color="auto"/>
                      <w:right w:val="single" w:sz="6" w:space="0" w:color="auto"/>
                    </w:tcBorders>
                    <w:shd w:val="clear" w:color="auto" w:fill="auto"/>
                    <w:vAlign w:val="center"/>
                  </w:tcPr>
                  <w:p w14:paraId="110E8217" w14:textId="77777777" w:rsidR="00D21C1F" w:rsidRDefault="00A42880">
                    <w:pPr>
                      <w:jc w:val="center"/>
                      <w:rPr>
                        <w:rFonts w:cs="Arial"/>
                        <w:szCs w:val="21"/>
                      </w:rPr>
                    </w:pPr>
                    <w:r>
                      <w:rPr>
                        <w:rFonts w:cs="Arial" w:hint="eastAsia"/>
                        <w:szCs w:val="21"/>
                        <w:lang w:val="en-GB"/>
                      </w:rPr>
                      <w:t>直接</w:t>
                    </w:r>
                  </w:p>
                </w:tc>
              </w:sdtContent>
            </w:sdt>
            <w:sdt>
              <w:sdtPr>
                <w:tag w:val="_PLD_e87318e11f6c4411aa17083e3a10cd90"/>
                <w:id w:val="1517801641"/>
                <w:lock w:val="sdtLocked"/>
              </w:sdtPr>
              <w:sdtEndPr/>
              <w:sdtContent>
                <w:tc>
                  <w:tcPr>
                    <w:tcW w:w="358" w:type="pct"/>
                    <w:tcBorders>
                      <w:top w:val="single" w:sz="4" w:space="0" w:color="auto"/>
                      <w:left w:val="single" w:sz="6" w:space="0" w:color="auto"/>
                      <w:bottom w:val="single" w:sz="6" w:space="0" w:color="auto"/>
                      <w:right w:val="single" w:sz="6" w:space="0" w:color="auto"/>
                    </w:tcBorders>
                    <w:shd w:val="clear" w:color="auto" w:fill="auto"/>
                    <w:vAlign w:val="center"/>
                  </w:tcPr>
                  <w:p w14:paraId="74A15D22" w14:textId="77777777" w:rsidR="00D21C1F" w:rsidRDefault="00A42880">
                    <w:pPr>
                      <w:jc w:val="center"/>
                      <w:rPr>
                        <w:rFonts w:cs="Arial"/>
                        <w:szCs w:val="21"/>
                      </w:rPr>
                    </w:pPr>
                    <w:r>
                      <w:rPr>
                        <w:rFonts w:cs="Arial" w:hint="eastAsia"/>
                        <w:szCs w:val="21"/>
                        <w:lang w:val="en-GB"/>
                      </w:rPr>
                      <w:t>间接</w:t>
                    </w:r>
                  </w:p>
                </w:tc>
              </w:sdtContent>
            </w:sdt>
            <w:tc>
              <w:tcPr>
                <w:tcW w:w="861" w:type="pct"/>
                <w:vMerge/>
                <w:tcBorders>
                  <w:top w:val="single" w:sz="4" w:space="0" w:color="auto"/>
                  <w:left w:val="single" w:sz="6" w:space="0" w:color="auto"/>
                  <w:bottom w:val="single" w:sz="6" w:space="0" w:color="auto"/>
                  <w:right w:val="single" w:sz="4" w:space="0" w:color="auto"/>
                </w:tcBorders>
                <w:vAlign w:val="center"/>
              </w:tcPr>
              <w:p w14:paraId="6D7EC4B4" w14:textId="77777777" w:rsidR="00D21C1F" w:rsidRDefault="00D21C1F">
                <w:pPr>
                  <w:rPr>
                    <w:rFonts w:cs="Arial"/>
                    <w:szCs w:val="21"/>
                  </w:rPr>
                </w:pPr>
              </w:p>
            </w:tc>
          </w:tr>
          <w:sdt>
            <w:sdtPr>
              <w:rPr>
                <w:szCs w:val="21"/>
              </w:rPr>
              <w:alias w:val="重要的合营企业或联营企业明细"/>
              <w:tag w:val="_GBC_a1baed559822472c8c78b05cadceb35a"/>
              <w:id w:val="1531833698"/>
              <w:lock w:val="sdtLocked"/>
            </w:sdtPr>
            <w:sdtEndPr/>
            <w:sdtContent>
              <w:tr w:rsidR="00D21C1F" w14:paraId="711A2663" w14:textId="77777777">
                <w:tc>
                  <w:tcPr>
                    <w:tcW w:w="1225" w:type="pct"/>
                    <w:tcBorders>
                      <w:top w:val="single" w:sz="6" w:space="0" w:color="auto"/>
                      <w:left w:val="single" w:sz="4" w:space="0" w:color="auto"/>
                      <w:bottom w:val="single" w:sz="4" w:space="0" w:color="auto"/>
                      <w:right w:val="single" w:sz="6" w:space="0" w:color="auto"/>
                    </w:tcBorders>
                  </w:tcPr>
                  <w:p w14:paraId="320BFB47" w14:textId="77777777" w:rsidR="00D21C1F" w:rsidRDefault="00A42880">
                    <w:pPr>
                      <w:rPr>
                        <w:szCs w:val="21"/>
                      </w:rPr>
                    </w:pPr>
                    <w:r>
                      <w:rPr>
                        <w:rFonts w:hint="eastAsia"/>
                        <w:szCs w:val="21"/>
                      </w:rPr>
                      <w:t>联营企业：</w:t>
                    </w:r>
                  </w:p>
                </w:tc>
                <w:tc>
                  <w:tcPr>
                    <w:tcW w:w="665" w:type="pct"/>
                    <w:tcBorders>
                      <w:top w:val="single" w:sz="6" w:space="0" w:color="auto"/>
                      <w:left w:val="single" w:sz="6" w:space="0" w:color="auto"/>
                      <w:bottom w:val="single" w:sz="4" w:space="0" w:color="auto"/>
                      <w:right w:val="single" w:sz="6" w:space="0" w:color="auto"/>
                    </w:tcBorders>
                  </w:tcPr>
                  <w:p w14:paraId="10B3A8F7" w14:textId="77777777" w:rsidR="00D21C1F" w:rsidRDefault="00D21C1F">
                    <w:pPr>
                      <w:rPr>
                        <w:szCs w:val="21"/>
                      </w:rPr>
                    </w:pPr>
                  </w:p>
                </w:tc>
                <w:tc>
                  <w:tcPr>
                    <w:tcW w:w="665" w:type="pct"/>
                    <w:tcBorders>
                      <w:top w:val="single" w:sz="6" w:space="0" w:color="auto"/>
                      <w:left w:val="single" w:sz="6" w:space="0" w:color="auto"/>
                      <w:bottom w:val="single" w:sz="4" w:space="0" w:color="auto"/>
                      <w:right w:val="single" w:sz="6" w:space="0" w:color="auto"/>
                    </w:tcBorders>
                  </w:tcPr>
                  <w:p w14:paraId="5765BADC" w14:textId="77777777" w:rsidR="00D21C1F" w:rsidRDefault="00D21C1F">
                    <w:pPr>
                      <w:rPr>
                        <w:szCs w:val="21"/>
                      </w:rPr>
                    </w:pPr>
                  </w:p>
                </w:tc>
                <w:tc>
                  <w:tcPr>
                    <w:tcW w:w="869" w:type="pct"/>
                    <w:tcBorders>
                      <w:top w:val="single" w:sz="6" w:space="0" w:color="auto"/>
                      <w:left w:val="single" w:sz="6" w:space="0" w:color="auto"/>
                      <w:bottom w:val="single" w:sz="4" w:space="0" w:color="auto"/>
                      <w:right w:val="single" w:sz="6" w:space="0" w:color="auto"/>
                    </w:tcBorders>
                  </w:tcPr>
                  <w:p w14:paraId="74BE6D6C" w14:textId="77777777" w:rsidR="00D21C1F" w:rsidRDefault="00D21C1F">
                    <w:pPr>
                      <w:rPr>
                        <w:szCs w:val="21"/>
                      </w:rPr>
                    </w:pPr>
                  </w:p>
                </w:tc>
                <w:tc>
                  <w:tcPr>
                    <w:tcW w:w="357" w:type="pct"/>
                    <w:tcBorders>
                      <w:top w:val="single" w:sz="6" w:space="0" w:color="auto"/>
                      <w:left w:val="single" w:sz="6" w:space="0" w:color="auto"/>
                      <w:bottom w:val="single" w:sz="4" w:space="0" w:color="auto"/>
                      <w:right w:val="single" w:sz="6" w:space="0" w:color="auto"/>
                    </w:tcBorders>
                  </w:tcPr>
                  <w:p w14:paraId="4878D0D4" w14:textId="77777777" w:rsidR="00D21C1F" w:rsidRDefault="00D21C1F">
                    <w:pPr>
                      <w:jc w:val="right"/>
                      <w:rPr>
                        <w:szCs w:val="21"/>
                      </w:rPr>
                    </w:pPr>
                  </w:p>
                </w:tc>
                <w:tc>
                  <w:tcPr>
                    <w:tcW w:w="358" w:type="pct"/>
                    <w:tcBorders>
                      <w:top w:val="single" w:sz="6" w:space="0" w:color="auto"/>
                      <w:left w:val="single" w:sz="6" w:space="0" w:color="auto"/>
                      <w:bottom w:val="single" w:sz="4" w:space="0" w:color="auto"/>
                      <w:right w:val="single" w:sz="6" w:space="0" w:color="auto"/>
                    </w:tcBorders>
                  </w:tcPr>
                  <w:p w14:paraId="5DF033F3" w14:textId="77777777" w:rsidR="00D21C1F" w:rsidRDefault="00D21C1F">
                    <w:pPr>
                      <w:jc w:val="right"/>
                      <w:rPr>
                        <w:szCs w:val="21"/>
                      </w:rPr>
                    </w:pPr>
                  </w:p>
                </w:tc>
                <w:tc>
                  <w:tcPr>
                    <w:tcW w:w="861" w:type="pct"/>
                    <w:tcBorders>
                      <w:top w:val="single" w:sz="6" w:space="0" w:color="auto"/>
                      <w:left w:val="single" w:sz="6" w:space="0" w:color="auto"/>
                      <w:bottom w:val="single" w:sz="4" w:space="0" w:color="auto"/>
                      <w:right w:val="single" w:sz="4" w:space="0" w:color="auto"/>
                    </w:tcBorders>
                  </w:tcPr>
                  <w:p w14:paraId="6305D06F" w14:textId="77777777" w:rsidR="00D21C1F" w:rsidRDefault="00D21C1F">
                    <w:pPr>
                      <w:rPr>
                        <w:szCs w:val="21"/>
                      </w:rPr>
                    </w:pPr>
                  </w:p>
                </w:tc>
              </w:tr>
            </w:sdtContent>
          </w:sdt>
          <w:sdt>
            <w:sdtPr>
              <w:rPr>
                <w:szCs w:val="21"/>
              </w:rPr>
              <w:alias w:val="重要的合营企业或联营企业明细"/>
              <w:tag w:val="_GBC_a1baed559822472c8c78b05cadceb35a"/>
              <w:id w:val="1101222455"/>
              <w:lock w:val="sdtLocked"/>
            </w:sdtPr>
            <w:sdtEndPr/>
            <w:sdtContent>
              <w:tr w:rsidR="00D21C1F" w14:paraId="294C083B" w14:textId="77777777" w:rsidTr="00003DDA">
                <w:tc>
                  <w:tcPr>
                    <w:tcW w:w="1225" w:type="pct"/>
                    <w:tcBorders>
                      <w:top w:val="single" w:sz="6" w:space="0" w:color="auto"/>
                      <w:left w:val="single" w:sz="4" w:space="0" w:color="auto"/>
                      <w:bottom w:val="single" w:sz="4" w:space="0" w:color="auto"/>
                      <w:right w:val="single" w:sz="6" w:space="0" w:color="auto"/>
                    </w:tcBorders>
                  </w:tcPr>
                  <w:p w14:paraId="133F8BAB" w14:textId="77777777" w:rsidR="00D21C1F" w:rsidRDefault="00A42880">
                    <w:pPr>
                      <w:rPr>
                        <w:szCs w:val="21"/>
                      </w:rPr>
                    </w:pPr>
                    <w:r>
                      <w:rPr>
                        <w:rFonts w:ascii="Times New Roman" w:hAnsi="Times New Roman"/>
                      </w:rPr>
                      <w:t>ROBOX</w:t>
                    </w:r>
                  </w:p>
                </w:tc>
                <w:tc>
                  <w:tcPr>
                    <w:tcW w:w="665" w:type="pct"/>
                    <w:tcBorders>
                      <w:top w:val="single" w:sz="6" w:space="0" w:color="auto"/>
                      <w:left w:val="single" w:sz="6" w:space="0" w:color="auto"/>
                      <w:bottom w:val="single" w:sz="4" w:space="0" w:color="auto"/>
                      <w:right w:val="single" w:sz="6" w:space="0" w:color="auto"/>
                    </w:tcBorders>
                  </w:tcPr>
                  <w:p w14:paraId="07DDE196" w14:textId="77777777" w:rsidR="00D21C1F" w:rsidRDefault="00A42880">
                    <w:pPr>
                      <w:rPr>
                        <w:szCs w:val="21"/>
                      </w:rPr>
                    </w:pPr>
                    <w:r>
                      <w:rPr>
                        <w:rFonts w:ascii="Times New Roman" w:hAnsi="Times New Roman"/>
                      </w:rPr>
                      <w:t>CASTELLETTOSOPRATICINO</w:t>
                    </w:r>
                  </w:p>
                </w:tc>
                <w:tc>
                  <w:tcPr>
                    <w:tcW w:w="665" w:type="pct"/>
                    <w:tcBorders>
                      <w:top w:val="single" w:sz="6" w:space="0" w:color="auto"/>
                      <w:left w:val="single" w:sz="6" w:space="0" w:color="auto"/>
                      <w:bottom w:val="single" w:sz="4" w:space="0" w:color="auto"/>
                      <w:right w:val="single" w:sz="6" w:space="0" w:color="auto"/>
                    </w:tcBorders>
                  </w:tcPr>
                  <w:p w14:paraId="6623EF63" w14:textId="77777777" w:rsidR="00D21C1F" w:rsidRDefault="00A42880">
                    <w:pPr>
                      <w:rPr>
                        <w:szCs w:val="21"/>
                      </w:rPr>
                    </w:pPr>
                    <w:r>
                      <w:rPr>
                        <w:rFonts w:ascii="Times New Roman" w:hAnsi="Times New Roman"/>
                      </w:rPr>
                      <w:t>CASTELLETTOSOPRATICINO</w:t>
                    </w:r>
                  </w:p>
                </w:tc>
                <w:tc>
                  <w:tcPr>
                    <w:tcW w:w="869" w:type="pct"/>
                    <w:tcBorders>
                      <w:top w:val="single" w:sz="6" w:space="0" w:color="auto"/>
                      <w:left w:val="single" w:sz="6" w:space="0" w:color="auto"/>
                      <w:bottom w:val="single" w:sz="4" w:space="0" w:color="auto"/>
                      <w:right w:val="single" w:sz="6" w:space="0" w:color="auto"/>
                    </w:tcBorders>
                  </w:tcPr>
                  <w:p w14:paraId="0BA39624" w14:textId="77777777" w:rsidR="00D21C1F" w:rsidRDefault="00A42880">
                    <w:pPr>
                      <w:rPr>
                        <w:szCs w:val="21"/>
                      </w:rPr>
                    </w:pPr>
                    <w:r>
                      <w:t>自动控制系统</w:t>
                    </w:r>
                  </w:p>
                </w:tc>
                <w:tc>
                  <w:tcPr>
                    <w:tcW w:w="357" w:type="pct"/>
                    <w:tcBorders>
                      <w:top w:val="single" w:sz="6" w:space="0" w:color="auto"/>
                      <w:left w:val="single" w:sz="6" w:space="0" w:color="auto"/>
                      <w:bottom w:val="single" w:sz="4" w:space="0" w:color="auto"/>
                      <w:right w:val="single" w:sz="6" w:space="0" w:color="auto"/>
                    </w:tcBorders>
                    <w:vAlign w:val="center"/>
                  </w:tcPr>
                  <w:p w14:paraId="1DC38925"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40.00</w:t>
                    </w:r>
                  </w:p>
                </w:tc>
                <w:tc>
                  <w:tcPr>
                    <w:tcW w:w="358" w:type="pct"/>
                    <w:tcBorders>
                      <w:top w:val="single" w:sz="6" w:space="0" w:color="auto"/>
                      <w:left w:val="single" w:sz="6" w:space="0" w:color="auto"/>
                      <w:bottom w:val="single" w:sz="4" w:space="0" w:color="auto"/>
                      <w:right w:val="single" w:sz="6" w:space="0" w:color="auto"/>
                    </w:tcBorders>
                    <w:vAlign w:val="center"/>
                  </w:tcPr>
                  <w:p w14:paraId="71710E68"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c>
                  <w:tcPr>
                    <w:tcW w:w="861" w:type="pct"/>
                    <w:tcBorders>
                      <w:top w:val="single" w:sz="6" w:space="0" w:color="auto"/>
                      <w:left w:val="single" w:sz="6" w:space="0" w:color="auto"/>
                      <w:bottom w:val="single" w:sz="4" w:space="0" w:color="auto"/>
                      <w:right w:val="single" w:sz="4" w:space="0" w:color="auto"/>
                    </w:tcBorders>
                  </w:tcPr>
                  <w:p w14:paraId="19428DF1" w14:textId="77777777" w:rsidR="00D21C1F" w:rsidRDefault="00A42880">
                    <w:pPr>
                      <w:rPr>
                        <w:szCs w:val="21"/>
                      </w:rPr>
                    </w:pPr>
                    <w:r>
                      <w:t>权益法核算</w:t>
                    </w:r>
                  </w:p>
                </w:tc>
              </w:tr>
            </w:sdtContent>
          </w:sdt>
          <w:sdt>
            <w:sdtPr>
              <w:rPr>
                <w:szCs w:val="21"/>
              </w:rPr>
              <w:alias w:val="重要的合营企业或联营企业明细"/>
              <w:tag w:val="_GBC_a1baed559822472c8c78b05cadceb35a"/>
              <w:id w:val="1679534402"/>
              <w:lock w:val="sdtLocked"/>
            </w:sdtPr>
            <w:sdtEndPr/>
            <w:sdtContent>
              <w:tr w:rsidR="00D21C1F" w14:paraId="1C0C6FAE" w14:textId="77777777" w:rsidTr="00003DDA">
                <w:tc>
                  <w:tcPr>
                    <w:tcW w:w="1225" w:type="pct"/>
                    <w:tcBorders>
                      <w:top w:val="single" w:sz="6" w:space="0" w:color="auto"/>
                      <w:left w:val="single" w:sz="4" w:space="0" w:color="auto"/>
                      <w:bottom w:val="single" w:sz="4" w:space="0" w:color="auto"/>
                      <w:right w:val="single" w:sz="6" w:space="0" w:color="auto"/>
                    </w:tcBorders>
                  </w:tcPr>
                  <w:p w14:paraId="64E48351" w14:textId="77777777" w:rsidR="00D21C1F" w:rsidRDefault="00A42880">
                    <w:pPr>
                      <w:rPr>
                        <w:szCs w:val="21"/>
                      </w:rPr>
                    </w:pPr>
                    <w:r>
                      <w:t>瑞埃研究院</w:t>
                    </w:r>
                  </w:p>
                </w:tc>
                <w:tc>
                  <w:tcPr>
                    <w:tcW w:w="665" w:type="pct"/>
                    <w:tcBorders>
                      <w:top w:val="single" w:sz="6" w:space="0" w:color="auto"/>
                      <w:left w:val="single" w:sz="6" w:space="0" w:color="auto"/>
                      <w:bottom w:val="single" w:sz="4" w:space="0" w:color="auto"/>
                      <w:right w:val="single" w:sz="6" w:space="0" w:color="auto"/>
                    </w:tcBorders>
                  </w:tcPr>
                  <w:p w14:paraId="2D8EA9FF" w14:textId="77777777" w:rsidR="00D21C1F" w:rsidRDefault="00A42880">
                    <w:pPr>
                      <w:rPr>
                        <w:szCs w:val="21"/>
                      </w:rPr>
                    </w:pPr>
                    <w:r>
                      <w:t>安徽芜湖</w:t>
                    </w:r>
                  </w:p>
                </w:tc>
                <w:tc>
                  <w:tcPr>
                    <w:tcW w:w="665" w:type="pct"/>
                    <w:tcBorders>
                      <w:top w:val="single" w:sz="6" w:space="0" w:color="auto"/>
                      <w:left w:val="single" w:sz="6" w:space="0" w:color="auto"/>
                      <w:bottom w:val="single" w:sz="4" w:space="0" w:color="auto"/>
                      <w:right w:val="single" w:sz="6" w:space="0" w:color="auto"/>
                    </w:tcBorders>
                  </w:tcPr>
                  <w:p w14:paraId="551C60DF" w14:textId="77777777" w:rsidR="00D21C1F" w:rsidRDefault="00A42880">
                    <w:pPr>
                      <w:rPr>
                        <w:szCs w:val="21"/>
                      </w:rPr>
                    </w:pPr>
                    <w:r>
                      <w:t>安徽芜湖</w:t>
                    </w:r>
                  </w:p>
                </w:tc>
                <w:tc>
                  <w:tcPr>
                    <w:tcW w:w="869" w:type="pct"/>
                    <w:tcBorders>
                      <w:top w:val="single" w:sz="6" w:space="0" w:color="auto"/>
                      <w:left w:val="single" w:sz="6" w:space="0" w:color="auto"/>
                      <w:bottom w:val="single" w:sz="4" w:space="0" w:color="auto"/>
                      <w:right w:val="single" w:sz="6" w:space="0" w:color="auto"/>
                    </w:tcBorders>
                  </w:tcPr>
                  <w:p w14:paraId="3CBD1E8F" w14:textId="77777777" w:rsidR="00D21C1F" w:rsidRDefault="00A42880">
                    <w:pPr>
                      <w:rPr>
                        <w:szCs w:val="21"/>
                      </w:rPr>
                    </w:pPr>
                    <w:r>
                      <w:t>工业机器人设计及研发</w:t>
                    </w:r>
                  </w:p>
                </w:tc>
                <w:tc>
                  <w:tcPr>
                    <w:tcW w:w="357" w:type="pct"/>
                    <w:tcBorders>
                      <w:top w:val="single" w:sz="6" w:space="0" w:color="auto"/>
                      <w:left w:val="single" w:sz="6" w:space="0" w:color="auto"/>
                      <w:bottom w:val="single" w:sz="4" w:space="0" w:color="auto"/>
                      <w:right w:val="single" w:sz="6" w:space="0" w:color="auto"/>
                    </w:tcBorders>
                    <w:vAlign w:val="center"/>
                  </w:tcPr>
                  <w:p w14:paraId="3E4A1BBB"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30.00</w:t>
                    </w:r>
                  </w:p>
                </w:tc>
                <w:tc>
                  <w:tcPr>
                    <w:tcW w:w="358" w:type="pct"/>
                    <w:tcBorders>
                      <w:top w:val="single" w:sz="6" w:space="0" w:color="auto"/>
                      <w:left w:val="single" w:sz="6" w:space="0" w:color="auto"/>
                      <w:bottom w:val="single" w:sz="4" w:space="0" w:color="auto"/>
                      <w:right w:val="single" w:sz="6" w:space="0" w:color="auto"/>
                    </w:tcBorders>
                    <w:vAlign w:val="center"/>
                  </w:tcPr>
                  <w:p w14:paraId="3C16AF39"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c>
                  <w:tcPr>
                    <w:tcW w:w="861" w:type="pct"/>
                    <w:tcBorders>
                      <w:top w:val="single" w:sz="6" w:space="0" w:color="auto"/>
                      <w:left w:val="single" w:sz="6" w:space="0" w:color="auto"/>
                      <w:bottom w:val="single" w:sz="4" w:space="0" w:color="auto"/>
                      <w:right w:val="single" w:sz="4" w:space="0" w:color="auto"/>
                    </w:tcBorders>
                  </w:tcPr>
                  <w:p w14:paraId="4D4CF2D3" w14:textId="77777777" w:rsidR="00D21C1F" w:rsidRDefault="00A42880">
                    <w:pPr>
                      <w:rPr>
                        <w:szCs w:val="21"/>
                      </w:rPr>
                    </w:pPr>
                    <w:r>
                      <w:t>权益法核算</w:t>
                    </w:r>
                  </w:p>
                </w:tc>
              </w:tr>
            </w:sdtContent>
          </w:sdt>
          <w:sdt>
            <w:sdtPr>
              <w:rPr>
                <w:szCs w:val="21"/>
              </w:rPr>
              <w:alias w:val="重要的合营企业或联营企业明细"/>
              <w:tag w:val="_GBC_a1baed559822472c8c78b05cadceb35a"/>
              <w:id w:val="-1347709269"/>
              <w:lock w:val="sdtLocked"/>
            </w:sdtPr>
            <w:sdtEndPr/>
            <w:sdtContent>
              <w:tr w:rsidR="00D21C1F" w14:paraId="2127D5DE" w14:textId="77777777" w:rsidTr="00003DDA">
                <w:tc>
                  <w:tcPr>
                    <w:tcW w:w="1225" w:type="pct"/>
                    <w:tcBorders>
                      <w:top w:val="single" w:sz="6" w:space="0" w:color="auto"/>
                      <w:left w:val="single" w:sz="4" w:space="0" w:color="auto"/>
                      <w:bottom w:val="single" w:sz="4" w:space="0" w:color="auto"/>
                      <w:right w:val="single" w:sz="6" w:space="0" w:color="auto"/>
                    </w:tcBorders>
                  </w:tcPr>
                  <w:p w14:paraId="242536B0" w14:textId="77777777" w:rsidR="00D21C1F" w:rsidRDefault="00A42880">
                    <w:pPr>
                      <w:rPr>
                        <w:szCs w:val="21"/>
                      </w:rPr>
                    </w:pPr>
                    <w:r>
                      <w:t>奥一精机</w:t>
                    </w:r>
                  </w:p>
                </w:tc>
                <w:tc>
                  <w:tcPr>
                    <w:tcW w:w="665" w:type="pct"/>
                    <w:tcBorders>
                      <w:top w:val="single" w:sz="6" w:space="0" w:color="auto"/>
                      <w:left w:val="single" w:sz="6" w:space="0" w:color="auto"/>
                      <w:bottom w:val="single" w:sz="4" w:space="0" w:color="auto"/>
                      <w:right w:val="single" w:sz="6" w:space="0" w:color="auto"/>
                    </w:tcBorders>
                  </w:tcPr>
                  <w:p w14:paraId="42AFB48F" w14:textId="77777777" w:rsidR="00D21C1F" w:rsidRDefault="00A42880">
                    <w:pPr>
                      <w:rPr>
                        <w:szCs w:val="21"/>
                      </w:rPr>
                    </w:pPr>
                    <w:r>
                      <w:t>安徽芜湖</w:t>
                    </w:r>
                  </w:p>
                </w:tc>
                <w:tc>
                  <w:tcPr>
                    <w:tcW w:w="665" w:type="pct"/>
                    <w:tcBorders>
                      <w:top w:val="single" w:sz="6" w:space="0" w:color="auto"/>
                      <w:left w:val="single" w:sz="6" w:space="0" w:color="auto"/>
                      <w:bottom w:val="single" w:sz="4" w:space="0" w:color="auto"/>
                      <w:right w:val="single" w:sz="6" w:space="0" w:color="auto"/>
                    </w:tcBorders>
                  </w:tcPr>
                  <w:p w14:paraId="69AEBBBF" w14:textId="77777777" w:rsidR="00D21C1F" w:rsidRDefault="00A42880">
                    <w:pPr>
                      <w:rPr>
                        <w:szCs w:val="21"/>
                      </w:rPr>
                    </w:pPr>
                    <w:r>
                      <w:t>安徽芜湖</w:t>
                    </w:r>
                  </w:p>
                </w:tc>
                <w:tc>
                  <w:tcPr>
                    <w:tcW w:w="869" w:type="pct"/>
                    <w:tcBorders>
                      <w:top w:val="single" w:sz="6" w:space="0" w:color="auto"/>
                      <w:left w:val="single" w:sz="6" w:space="0" w:color="auto"/>
                      <w:bottom w:val="single" w:sz="4" w:space="0" w:color="auto"/>
                      <w:right w:val="single" w:sz="6" w:space="0" w:color="auto"/>
                    </w:tcBorders>
                  </w:tcPr>
                  <w:p w14:paraId="6F657A81" w14:textId="77777777" w:rsidR="00D21C1F" w:rsidRDefault="00A42880">
                    <w:pPr>
                      <w:rPr>
                        <w:szCs w:val="21"/>
                      </w:rPr>
                    </w:pPr>
                    <w:r>
                      <w:t>减速机及驱动器的研发、生产及销售</w:t>
                    </w:r>
                  </w:p>
                </w:tc>
                <w:tc>
                  <w:tcPr>
                    <w:tcW w:w="357" w:type="pct"/>
                    <w:tcBorders>
                      <w:top w:val="single" w:sz="6" w:space="0" w:color="auto"/>
                      <w:left w:val="single" w:sz="6" w:space="0" w:color="auto"/>
                      <w:bottom w:val="single" w:sz="4" w:space="0" w:color="auto"/>
                      <w:right w:val="single" w:sz="6" w:space="0" w:color="auto"/>
                    </w:tcBorders>
                    <w:vAlign w:val="center"/>
                  </w:tcPr>
                  <w:p w14:paraId="2319AB30"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20.00</w:t>
                    </w:r>
                  </w:p>
                </w:tc>
                <w:tc>
                  <w:tcPr>
                    <w:tcW w:w="358" w:type="pct"/>
                    <w:tcBorders>
                      <w:top w:val="single" w:sz="6" w:space="0" w:color="auto"/>
                      <w:left w:val="single" w:sz="6" w:space="0" w:color="auto"/>
                      <w:bottom w:val="single" w:sz="4" w:space="0" w:color="auto"/>
                      <w:right w:val="single" w:sz="6" w:space="0" w:color="auto"/>
                    </w:tcBorders>
                    <w:vAlign w:val="center"/>
                  </w:tcPr>
                  <w:p w14:paraId="2AC921E3"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c>
                  <w:tcPr>
                    <w:tcW w:w="861" w:type="pct"/>
                    <w:tcBorders>
                      <w:top w:val="single" w:sz="6" w:space="0" w:color="auto"/>
                      <w:left w:val="single" w:sz="6" w:space="0" w:color="auto"/>
                      <w:bottom w:val="single" w:sz="4" w:space="0" w:color="auto"/>
                      <w:right w:val="single" w:sz="4" w:space="0" w:color="auto"/>
                    </w:tcBorders>
                  </w:tcPr>
                  <w:p w14:paraId="0125C5F4" w14:textId="77777777" w:rsidR="00D21C1F" w:rsidRDefault="00A42880">
                    <w:pPr>
                      <w:rPr>
                        <w:szCs w:val="21"/>
                      </w:rPr>
                    </w:pPr>
                    <w:r>
                      <w:t>权益法核算</w:t>
                    </w:r>
                  </w:p>
                </w:tc>
              </w:tr>
            </w:sdtContent>
          </w:sdt>
          <w:sdt>
            <w:sdtPr>
              <w:rPr>
                <w:szCs w:val="21"/>
              </w:rPr>
              <w:alias w:val="重要的合营企业或联营企业明细"/>
              <w:tag w:val="_GBC_a1baed559822472c8c78b05cadceb35a"/>
              <w:id w:val="1911966949"/>
              <w:lock w:val="sdtLocked"/>
            </w:sdtPr>
            <w:sdtEndPr/>
            <w:sdtContent>
              <w:tr w:rsidR="00D21C1F" w14:paraId="1F8F7615" w14:textId="77777777" w:rsidTr="00003DDA">
                <w:tc>
                  <w:tcPr>
                    <w:tcW w:w="1225" w:type="pct"/>
                    <w:tcBorders>
                      <w:top w:val="single" w:sz="6" w:space="0" w:color="auto"/>
                      <w:left w:val="single" w:sz="4" w:space="0" w:color="auto"/>
                      <w:bottom w:val="single" w:sz="4" w:space="0" w:color="auto"/>
                      <w:right w:val="single" w:sz="6" w:space="0" w:color="auto"/>
                    </w:tcBorders>
                  </w:tcPr>
                  <w:p w14:paraId="10447048" w14:textId="77777777" w:rsidR="00D21C1F" w:rsidRDefault="00A42880">
                    <w:pPr>
                      <w:rPr>
                        <w:szCs w:val="21"/>
                      </w:rPr>
                    </w:pPr>
                    <w:r>
                      <w:t>工布智造</w:t>
                    </w:r>
                  </w:p>
                </w:tc>
                <w:tc>
                  <w:tcPr>
                    <w:tcW w:w="665" w:type="pct"/>
                    <w:tcBorders>
                      <w:top w:val="single" w:sz="6" w:space="0" w:color="auto"/>
                      <w:left w:val="single" w:sz="6" w:space="0" w:color="auto"/>
                      <w:bottom w:val="single" w:sz="4" w:space="0" w:color="auto"/>
                      <w:right w:val="single" w:sz="6" w:space="0" w:color="auto"/>
                    </w:tcBorders>
                  </w:tcPr>
                  <w:p w14:paraId="2C9435D7" w14:textId="77777777" w:rsidR="00D21C1F" w:rsidRDefault="00A42880">
                    <w:pPr>
                      <w:rPr>
                        <w:szCs w:val="21"/>
                      </w:rPr>
                    </w:pPr>
                    <w:r>
                      <w:t>安徽巢湖</w:t>
                    </w:r>
                  </w:p>
                </w:tc>
                <w:tc>
                  <w:tcPr>
                    <w:tcW w:w="665" w:type="pct"/>
                    <w:tcBorders>
                      <w:top w:val="single" w:sz="6" w:space="0" w:color="auto"/>
                      <w:left w:val="single" w:sz="6" w:space="0" w:color="auto"/>
                      <w:bottom w:val="single" w:sz="4" w:space="0" w:color="auto"/>
                      <w:right w:val="single" w:sz="6" w:space="0" w:color="auto"/>
                    </w:tcBorders>
                  </w:tcPr>
                  <w:p w14:paraId="4CE2335D" w14:textId="77777777" w:rsidR="00D21C1F" w:rsidRDefault="00A42880">
                    <w:pPr>
                      <w:rPr>
                        <w:szCs w:val="21"/>
                      </w:rPr>
                    </w:pPr>
                    <w:r>
                      <w:t>安徽巢湖</w:t>
                    </w:r>
                  </w:p>
                </w:tc>
                <w:tc>
                  <w:tcPr>
                    <w:tcW w:w="869" w:type="pct"/>
                    <w:tcBorders>
                      <w:top w:val="single" w:sz="6" w:space="0" w:color="auto"/>
                      <w:left w:val="single" w:sz="6" w:space="0" w:color="auto"/>
                      <w:bottom w:val="single" w:sz="4" w:space="0" w:color="auto"/>
                      <w:right w:val="single" w:sz="6" w:space="0" w:color="auto"/>
                    </w:tcBorders>
                  </w:tcPr>
                  <w:p w14:paraId="1CD94619" w14:textId="77777777" w:rsidR="00D21C1F" w:rsidRDefault="00A42880">
                    <w:pPr>
                      <w:rPr>
                        <w:szCs w:val="21"/>
                      </w:rPr>
                    </w:pPr>
                    <w:r>
                      <w:t>自动化控制系统及软件研发、推广、销售</w:t>
                    </w:r>
                  </w:p>
                </w:tc>
                <w:tc>
                  <w:tcPr>
                    <w:tcW w:w="357" w:type="pct"/>
                    <w:tcBorders>
                      <w:top w:val="single" w:sz="6" w:space="0" w:color="auto"/>
                      <w:left w:val="single" w:sz="6" w:space="0" w:color="auto"/>
                      <w:bottom w:val="single" w:sz="4" w:space="0" w:color="auto"/>
                      <w:right w:val="single" w:sz="6" w:space="0" w:color="auto"/>
                    </w:tcBorders>
                    <w:vAlign w:val="center"/>
                  </w:tcPr>
                  <w:p w14:paraId="5662FE01"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17.07</w:t>
                    </w:r>
                  </w:p>
                </w:tc>
                <w:tc>
                  <w:tcPr>
                    <w:tcW w:w="358" w:type="pct"/>
                    <w:tcBorders>
                      <w:top w:val="single" w:sz="6" w:space="0" w:color="auto"/>
                      <w:left w:val="single" w:sz="6" w:space="0" w:color="auto"/>
                      <w:bottom w:val="single" w:sz="4" w:space="0" w:color="auto"/>
                      <w:right w:val="single" w:sz="6" w:space="0" w:color="auto"/>
                    </w:tcBorders>
                    <w:vAlign w:val="center"/>
                  </w:tcPr>
                  <w:p w14:paraId="2EB74CCC"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c>
                  <w:tcPr>
                    <w:tcW w:w="861" w:type="pct"/>
                    <w:tcBorders>
                      <w:top w:val="single" w:sz="6" w:space="0" w:color="auto"/>
                      <w:left w:val="single" w:sz="6" w:space="0" w:color="auto"/>
                      <w:bottom w:val="single" w:sz="4" w:space="0" w:color="auto"/>
                      <w:right w:val="single" w:sz="4" w:space="0" w:color="auto"/>
                    </w:tcBorders>
                  </w:tcPr>
                  <w:p w14:paraId="4909FF2E" w14:textId="77777777" w:rsidR="00D21C1F" w:rsidRDefault="00A42880">
                    <w:pPr>
                      <w:rPr>
                        <w:szCs w:val="21"/>
                      </w:rPr>
                    </w:pPr>
                    <w:r>
                      <w:t>权益法核算</w:t>
                    </w:r>
                  </w:p>
                </w:tc>
              </w:tr>
            </w:sdtContent>
          </w:sdt>
          <w:sdt>
            <w:sdtPr>
              <w:rPr>
                <w:szCs w:val="21"/>
              </w:rPr>
              <w:alias w:val="重要的合营企业或联营企业明细"/>
              <w:tag w:val="_GBC_a1baed559822472c8c78b05cadceb35a"/>
              <w:id w:val="1219324313"/>
              <w:lock w:val="sdtLocked"/>
            </w:sdtPr>
            <w:sdtEndPr/>
            <w:sdtContent>
              <w:tr w:rsidR="00D21C1F" w14:paraId="106FC6E2" w14:textId="77777777" w:rsidTr="00003DDA">
                <w:tc>
                  <w:tcPr>
                    <w:tcW w:w="1225" w:type="pct"/>
                    <w:tcBorders>
                      <w:top w:val="single" w:sz="6" w:space="0" w:color="auto"/>
                      <w:left w:val="single" w:sz="4" w:space="0" w:color="auto"/>
                      <w:bottom w:val="single" w:sz="4" w:space="0" w:color="auto"/>
                      <w:right w:val="single" w:sz="6" w:space="0" w:color="auto"/>
                    </w:tcBorders>
                  </w:tcPr>
                  <w:p w14:paraId="5DB1CC75" w14:textId="77777777" w:rsidR="00D21C1F" w:rsidRDefault="00A42880">
                    <w:pPr>
                      <w:rPr>
                        <w:szCs w:val="21"/>
                      </w:rPr>
                    </w:pPr>
                    <w:r>
                      <w:t>汇有美</w:t>
                    </w:r>
                  </w:p>
                </w:tc>
                <w:tc>
                  <w:tcPr>
                    <w:tcW w:w="665" w:type="pct"/>
                    <w:tcBorders>
                      <w:top w:val="single" w:sz="6" w:space="0" w:color="auto"/>
                      <w:left w:val="single" w:sz="6" w:space="0" w:color="auto"/>
                      <w:bottom w:val="single" w:sz="4" w:space="0" w:color="auto"/>
                      <w:right w:val="single" w:sz="6" w:space="0" w:color="auto"/>
                    </w:tcBorders>
                  </w:tcPr>
                  <w:p w14:paraId="08FD93A0" w14:textId="77777777" w:rsidR="00D21C1F" w:rsidRDefault="00A42880">
                    <w:pPr>
                      <w:rPr>
                        <w:szCs w:val="21"/>
                      </w:rPr>
                    </w:pPr>
                    <w:r>
                      <w:t>江西省赣州市</w:t>
                    </w:r>
                  </w:p>
                </w:tc>
                <w:tc>
                  <w:tcPr>
                    <w:tcW w:w="665" w:type="pct"/>
                    <w:tcBorders>
                      <w:top w:val="single" w:sz="6" w:space="0" w:color="auto"/>
                      <w:left w:val="single" w:sz="6" w:space="0" w:color="auto"/>
                      <w:bottom w:val="single" w:sz="4" w:space="0" w:color="auto"/>
                      <w:right w:val="single" w:sz="6" w:space="0" w:color="auto"/>
                    </w:tcBorders>
                  </w:tcPr>
                  <w:p w14:paraId="031522EB" w14:textId="77777777" w:rsidR="00D21C1F" w:rsidRDefault="00A42880">
                    <w:pPr>
                      <w:rPr>
                        <w:szCs w:val="21"/>
                      </w:rPr>
                    </w:pPr>
                    <w:r>
                      <w:t>江西省赣州市</w:t>
                    </w:r>
                  </w:p>
                </w:tc>
                <w:tc>
                  <w:tcPr>
                    <w:tcW w:w="869" w:type="pct"/>
                    <w:tcBorders>
                      <w:top w:val="single" w:sz="6" w:space="0" w:color="auto"/>
                      <w:left w:val="single" w:sz="6" w:space="0" w:color="auto"/>
                      <w:bottom w:val="single" w:sz="4" w:space="0" w:color="auto"/>
                      <w:right w:val="single" w:sz="6" w:space="0" w:color="auto"/>
                    </w:tcBorders>
                  </w:tcPr>
                  <w:p w14:paraId="5CE930EA" w14:textId="77777777" w:rsidR="00D21C1F" w:rsidRDefault="00A42880">
                    <w:pPr>
                      <w:rPr>
                        <w:szCs w:val="21"/>
                      </w:rPr>
                    </w:pPr>
                    <w:r>
                      <w:t>智能机器人的研发，推广及应用</w:t>
                    </w:r>
                  </w:p>
                </w:tc>
                <w:tc>
                  <w:tcPr>
                    <w:tcW w:w="357" w:type="pct"/>
                    <w:tcBorders>
                      <w:top w:val="single" w:sz="6" w:space="0" w:color="auto"/>
                      <w:left w:val="single" w:sz="6" w:space="0" w:color="auto"/>
                      <w:bottom w:val="single" w:sz="4" w:space="0" w:color="auto"/>
                      <w:right w:val="single" w:sz="6" w:space="0" w:color="auto"/>
                    </w:tcBorders>
                    <w:vAlign w:val="center"/>
                  </w:tcPr>
                  <w:p w14:paraId="79066CE7"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30.00</w:t>
                    </w:r>
                  </w:p>
                </w:tc>
                <w:tc>
                  <w:tcPr>
                    <w:tcW w:w="358" w:type="pct"/>
                    <w:tcBorders>
                      <w:top w:val="single" w:sz="6" w:space="0" w:color="auto"/>
                      <w:left w:val="single" w:sz="6" w:space="0" w:color="auto"/>
                      <w:bottom w:val="single" w:sz="4" w:space="0" w:color="auto"/>
                      <w:right w:val="single" w:sz="6" w:space="0" w:color="auto"/>
                    </w:tcBorders>
                    <w:vAlign w:val="center"/>
                  </w:tcPr>
                  <w:p w14:paraId="068CE058"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c>
                  <w:tcPr>
                    <w:tcW w:w="861" w:type="pct"/>
                    <w:tcBorders>
                      <w:top w:val="single" w:sz="6" w:space="0" w:color="auto"/>
                      <w:left w:val="single" w:sz="6" w:space="0" w:color="auto"/>
                      <w:bottom w:val="single" w:sz="4" w:space="0" w:color="auto"/>
                      <w:right w:val="single" w:sz="4" w:space="0" w:color="auto"/>
                    </w:tcBorders>
                  </w:tcPr>
                  <w:p w14:paraId="65873E59" w14:textId="77777777" w:rsidR="00D21C1F" w:rsidRDefault="00A42880">
                    <w:pPr>
                      <w:rPr>
                        <w:szCs w:val="21"/>
                      </w:rPr>
                    </w:pPr>
                    <w:r>
                      <w:t>权益法核算</w:t>
                    </w:r>
                  </w:p>
                </w:tc>
              </w:tr>
            </w:sdtContent>
          </w:sdt>
        </w:tbl>
        <w:p w14:paraId="2B2D8AD1" w14:textId="77777777" w:rsidR="00D21C1F" w:rsidRDefault="00A42880">
          <w:pPr>
            <w:rPr>
              <w:rFonts w:cs="Arial"/>
              <w:szCs w:val="21"/>
            </w:rPr>
          </w:pPr>
          <w:r>
            <w:rPr>
              <w:rFonts w:cs="Arial" w:hint="eastAsia"/>
              <w:szCs w:val="21"/>
            </w:rPr>
            <w:t>在合营企业或联营企业的持股比例不同于表决权比例的说明：</w:t>
          </w:r>
        </w:p>
        <w:p w14:paraId="0D334F0B" w14:textId="77777777" w:rsidR="00D21C1F" w:rsidRDefault="00045EC6">
          <w:pPr>
            <w:rPr>
              <w:rFonts w:cs="Arial"/>
              <w:szCs w:val="21"/>
            </w:rPr>
          </w:pPr>
          <w:sdt>
            <w:sdtPr>
              <w:rPr>
                <w:rFonts w:cs="Arial"/>
                <w:szCs w:val="21"/>
              </w:rPr>
              <w:alias w:val="在合营企业或联营企业的持股比例不同于表决权比例的说明"/>
              <w:tag w:val="_GBC_b18385c11aff4424b360bd0cb4f81376"/>
              <w:id w:val="2069920076"/>
              <w:lock w:val="sdtLocked"/>
              <w:placeholder>
                <w:docPart w:val="GBC22222222222222222222222222222"/>
              </w:placeholder>
            </w:sdtPr>
            <w:sdtEndPr/>
            <w:sdtContent>
              <w:r w:rsidR="00A42880">
                <w:rPr>
                  <w:rFonts w:cs="Arial" w:hint="eastAsia"/>
                  <w:szCs w:val="21"/>
                </w:rPr>
                <w:t>不适用</w:t>
              </w:r>
            </w:sdtContent>
          </w:sdt>
        </w:p>
        <w:p w14:paraId="046C07AE" w14:textId="77777777" w:rsidR="00D21C1F" w:rsidRDefault="00A42880">
          <w:pPr>
            <w:rPr>
              <w:rFonts w:cs="Arial"/>
              <w:szCs w:val="21"/>
            </w:rPr>
          </w:pPr>
          <w:r>
            <w:rPr>
              <w:rFonts w:cs="Arial" w:hint="eastAsia"/>
              <w:szCs w:val="21"/>
            </w:rPr>
            <w:t>持有</w:t>
          </w:r>
          <w:r>
            <w:rPr>
              <w:rFonts w:ascii="Times New Roman" w:hAnsi="Times New Roman" w:cs="Arial"/>
              <w:szCs w:val="21"/>
            </w:rPr>
            <w:t>20</w:t>
          </w:r>
          <w:r>
            <w:rPr>
              <w:rFonts w:cs="Arial"/>
              <w:szCs w:val="21"/>
            </w:rPr>
            <w:t>%以下表决权但具有重大影响，或者持有</w:t>
          </w:r>
          <w:r>
            <w:rPr>
              <w:rFonts w:ascii="Times New Roman" w:hAnsi="Times New Roman" w:cs="Arial"/>
              <w:szCs w:val="21"/>
            </w:rPr>
            <w:t>20</w:t>
          </w:r>
          <w:r>
            <w:rPr>
              <w:rFonts w:cs="Arial"/>
              <w:szCs w:val="21"/>
            </w:rPr>
            <w:t>%或以上表决权但不具有重大影响的依据：</w:t>
          </w:r>
        </w:p>
        <w:sdt>
          <w:sdtPr>
            <w:rPr>
              <w:rFonts w:cs="Arial"/>
              <w:szCs w:val="21"/>
            </w:rPr>
            <w:alias w:val="持有20%以下表决权但具有重大影响，或者持有20%或以上表决权但不具有重大影响的依据"/>
            <w:tag w:val="_GBC_08a71a8c491f4c758da0748f7570fb28"/>
            <w:id w:val="-1568880536"/>
            <w:lock w:val="sdtLocked"/>
            <w:placeholder>
              <w:docPart w:val="GBC22222222222222222222222222222"/>
            </w:placeholder>
          </w:sdtPr>
          <w:sdtEndPr/>
          <w:sdtContent>
            <w:p w14:paraId="3F6F57E8" w14:textId="77777777" w:rsidR="00D21C1F" w:rsidRDefault="00A42880">
              <w:pPr>
                <w:rPr>
                  <w:rFonts w:cs="Arial"/>
                  <w:szCs w:val="21"/>
                </w:rPr>
              </w:pPr>
              <w:r>
                <w:rPr>
                  <w:rFonts w:cs="Arial" w:hint="eastAsia"/>
                  <w:szCs w:val="21"/>
                </w:rPr>
                <w:t>本公司持有工布智造</w:t>
              </w:r>
              <w:r>
                <w:rPr>
                  <w:rFonts w:ascii="Times New Roman" w:hAnsi="Times New Roman" w:cs="Arial" w:hint="eastAsia"/>
                  <w:szCs w:val="21"/>
                </w:rPr>
                <w:t>1</w:t>
              </w:r>
              <w:r>
                <w:rPr>
                  <w:rFonts w:ascii="Times New Roman" w:hAnsi="Times New Roman" w:cs="Arial"/>
                  <w:szCs w:val="21"/>
                </w:rPr>
                <w:t>7</w:t>
              </w:r>
              <w:r>
                <w:rPr>
                  <w:rFonts w:cs="Arial"/>
                  <w:szCs w:val="21"/>
                </w:rPr>
                <w:t>.</w:t>
              </w:r>
              <w:r>
                <w:rPr>
                  <w:rFonts w:ascii="Times New Roman" w:hAnsi="Times New Roman" w:cs="Arial"/>
                  <w:szCs w:val="21"/>
                </w:rPr>
                <w:t>07</w:t>
              </w:r>
              <w:r>
                <w:rPr>
                  <w:rFonts w:cs="Arial" w:hint="eastAsia"/>
                  <w:szCs w:val="21"/>
                </w:rPr>
                <w:t>%股权，同时拥有一个董事席位，能够对工布智造产生重大影响。故对工布智造的股权投资以权益法核算。</w:t>
              </w:r>
            </w:p>
            <w:p w14:paraId="2D8C33E0" w14:textId="77777777" w:rsidR="00D21C1F" w:rsidRDefault="00D21C1F">
              <w:pPr>
                <w:rPr>
                  <w:rFonts w:cs="Arial"/>
                  <w:szCs w:val="21"/>
                </w:rPr>
                <w:sectPr w:rsidR="00D21C1F">
                  <w:pgSz w:w="16838" w:h="11906" w:orient="landscape"/>
                  <w:pgMar w:top="1797" w:right="1525" w:bottom="1276" w:left="1440" w:header="856" w:footer="992" w:gutter="0"/>
                  <w:cols w:space="425"/>
                  <w:docGrid w:linePitch="312"/>
                </w:sectPr>
              </w:pPr>
            </w:p>
            <w:p w14:paraId="76AEF4FC" w14:textId="77777777" w:rsidR="00D21C1F" w:rsidRDefault="00045EC6">
              <w:pPr>
                <w:rPr>
                  <w:rFonts w:cs="Arial"/>
                  <w:szCs w:val="21"/>
                </w:rPr>
              </w:pPr>
            </w:p>
          </w:sdtContent>
        </w:sdt>
      </w:sdtContent>
    </w:sdt>
    <w:p w14:paraId="30F954DE" w14:textId="77777777" w:rsidR="00D21C1F" w:rsidRDefault="00A42880">
      <w:pPr>
        <w:pStyle w:val="93"/>
        <w:numPr>
          <w:ilvl w:val="3"/>
          <w:numId w:val="132"/>
        </w:numPr>
        <w:tabs>
          <w:tab w:val="left" w:pos="630"/>
        </w:tabs>
        <w:rPr>
          <w:rFonts w:ascii="宋体" w:hAnsi="宋体" w:cs="Arial"/>
          <w:szCs w:val="21"/>
        </w:rPr>
      </w:pPr>
      <w:r>
        <w:rPr>
          <w:rFonts w:ascii="宋体" w:hAnsi="宋体" w:cs="Arial" w:hint="eastAsia"/>
          <w:szCs w:val="21"/>
        </w:rPr>
        <w:t>重要合营企业的主要财务信息</w:t>
      </w:r>
    </w:p>
    <w:p w14:paraId="6839A316" w14:textId="77777777" w:rsidR="00D21C1F" w:rsidRDefault="00045EC6">
      <w:pPr>
        <w:rPr>
          <w:rFonts w:cstheme="minorBidi"/>
          <w:szCs w:val="21"/>
        </w:rPr>
      </w:pPr>
      <w:sdt>
        <w:sdtPr>
          <w:rPr>
            <w:rFonts w:hint="eastAsia"/>
            <w:b/>
          </w:rPr>
          <w:alias w:val="是否适用：重要合营企业的主要财务信息[双击切换]"/>
          <w:tag w:val="_GBC_6241cde567c342139ae6186afeea9fb4"/>
          <w:id w:val="2096273974"/>
          <w:lock w:val="sdtLocked"/>
          <w:placeholder>
            <w:docPart w:val="GBC22222222222222222222222222222"/>
          </w:placeholder>
        </w:sdtPr>
        <w:sdtEndPr>
          <w:rPr>
            <w:b w:val="0"/>
          </w:rPr>
        </w:sdtEndPr>
        <w:sdtContent>
          <w:r w:rsidR="00A42880">
            <w:fldChar w:fldCharType="begin"/>
          </w:r>
          <w:r w:rsidR="00A42880">
            <w:instrText xml:space="preserve"> 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p w14:paraId="0632660D" w14:textId="77777777" w:rsidR="00D21C1F" w:rsidRDefault="00D21C1F">
      <w:pPr>
        <w:rPr>
          <w:rFonts w:cstheme="minorBidi"/>
          <w:szCs w:val="21"/>
        </w:rPr>
      </w:pPr>
    </w:p>
    <w:p w14:paraId="5681B925" w14:textId="77777777" w:rsidR="00D21C1F" w:rsidRDefault="00A42880">
      <w:pPr>
        <w:pStyle w:val="93"/>
        <w:numPr>
          <w:ilvl w:val="3"/>
          <w:numId w:val="132"/>
        </w:numPr>
        <w:tabs>
          <w:tab w:val="left" w:pos="630"/>
        </w:tabs>
        <w:rPr>
          <w:rFonts w:ascii="宋体" w:hAnsi="宋体" w:cs="Arial"/>
          <w:szCs w:val="21"/>
        </w:rPr>
      </w:pPr>
      <w:r>
        <w:rPr>
          <w:rFonts w:ascii="宋体" w:hAnsi="宋体" w:cs="Arial" w:hint="eastAsia"/>
          <w:szCs w:val="21"/>
        </w:rPr>
        <w:t>重要联营企业的主要财务信息</w:t>
      </w:r>
    </w:p>
    <w:p w14:paraId="49A891AA" w14:textId="77777777" w:rsidR="00D21C1F" w:rsidRDefault="00045EC6">
      <w:pPr>
        <w:pStyle w:val="97"/>
      </w:pPr>
      <w:sdt>
        <w:sdtPr>
          <w:rPr>
            <w:rFonts w:hint="eastAsia"/>
            <w:b/>
          </w:rPr>
          <w:alias w:val="是否适用：重要联营企业的主要财务信息[双击切换]"/>
          <w:tag w:val="_GBC_e304b69adb6f449495c3916754024763"/>
          <w:id w:val="1641159959"/>
          <w:lock w:val="sdtContentLocked"/>
          <w:placeholder>
            <w:docPart w:val="GBC22222222222222222222222222222"/>
          </w:placeholder>
        </w:sdtPr>
        <w:sdtEndPr>
          <w:rPr>
            <w:b w:val="0"/>
          </w:rPr>
        </w:sdtEndPr>
        <w:sdtContent>
          <w:r w:rsidR="00A42880">
            <w:fldChar w:fldCharType="begin"/>
          </w:r>
          <w:r w:rsidR="00A42880">
            <w:instrText xml:space="preserve"> MACROBUTTON  SnrToggleCheckbox √适用 </w:instrText>
          </w:r>
          <w:r w:rsidR="00A42880">
            <w:fldChar w:fldCharType="end"/>
          </w:r>
          <w:r w:rsidR="00A42880">
            <w:fldChar w:fldCharType="begin"/>
          </w:r>
          <w:r w:rsidR="00A42880">
            <w:instrText xml:space="preserve"> MACROBUTTON  SnrToggleCheckbox □不适用 </w:instrText>
          </w:r>
          <w:r w:rsidR="00A42880">
            <w:fldChar w:fldCharType="end"/>
          </w:r>
        </w:sdtContent>
      </w:sdt>
    </w:p>
    <w:p w14:paraId="62E8FCB3" w14:textId="77777777" w:rsidR="00D21C1F" w:rsidRDefault="00A42880">
      <w:pPr>
        <w:jc w:val="right"/>
      </w:pPr>
      <w:r>
        <w:rPr>
          <w:rFonts w:hint="eastAsia"/>
        </w:rPr>
        <w:t>单位：</w:t>
      </w:r>
      <w:sdt>
        <w:sdtPr>
          <w:rPr>
            <w:rFonts w:hint="eastAsia"/>
          </w:rPr>
          <w:alias w:val="单位：财务附注：重要联营企业的主要财务信息"/>
          <w:tag w:val="_GBC_0306b30be35040cd86d2b964142011d4"/>
          <w:id w:val="1023277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重要联营企业的主要财务信息"/>
          <w:tag w:val="_GBC_a2e655bae21746219bfd958c6f5b8be9"/>
          <w:id w:val="-1046293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sdt>
      <w:sdtPr>
        <w:alias w:val="模块:重要联营企业的主要财务信息"/>
        <w:tag w:val="_GBC_ac3eed998bbd4658ab651a88daefefb1"/>
        <w:id w:val="-1465496284"/>
        <w:lock w:val="sdtLocked"/>
        <w:placeholder>
          <w:docPart w:val="GBC22222222222222222222222222222"/>
        </w:placeholder>
      </w:sdtPr>
      <w:sdtEndPr/>
      <w:sdtContent>
        <w:tbl>
          <w:tblPr>
            <w:tblStyle w:val="88"/>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48"/>
            <w:gridCol w:w="2487"/>
            <w:gridCol w:w="2485"/>
          </w:tblGrid>
          <w:tr w:rsidR="00D21C1F" w14:paraId="7EBF9B6B" w14:textId="77777777">
            <w:trPr>
              <w:trHeight w:val="120"/>
            </w:trPr>
            <w:tc>
              <w:tcPr>
                <w:tcW w:w="2181" w:type="pct"/>
                <w:vMerge w:val="restart"/>
                <w:tcBorders>
                  <w:top w:val="single" w:sz="4" w:space="0" w:color="auto"/>
                  <w:left w:val="single" w:sz="4" w:space="0" w:color="auto"/>
                  <w:bottom w:val="single" w:sz="6" w:space="0" w:color="auto"/>
                  <w:right w:val="single" w:sz="6" w:space="0" w:color="auto"/>
                </w:tcBorders>
                <w:shd w:val="clear" w:color="auto" w:fill="auto"/>
              </w:tcPr>
              <w:p w14:paraId="1F3345FB" w14:textId="77777777" w:rsidR="00D21C1F" w:rsidRDefault="00D21C1F">
                <w:pPr>
                  <w:jc w:val="center"/>
                  <w:rPr>
                    <w:rFonts w:cs="Arial"/>
                    <w:szCs w:val="21"/>
                  </w:rPr>
                </w:pPr>
              </w:p>
            </w:tc>
            <w:sdt>
              <w:sdtPr>
                <w:rPr>
                  <w:rFonts w:cs="Arial" w:hint="eastAsia"/>
                  <w:szCs w:val="21"/>
                  <w:lang w:val="en-GB"/>
                </w:rPr>
                <w:alias w:val="重要联营企业的主要财务信息-发生期间"/>
                <w:tag w:val="_GBC_3985273c74d84e5d9e0004348ff54fc3"/>
                <w:id w:val="963614792"/>
                <w:lock w:val="sdtLocked"/>
              </w:sdtPr>
              <w:sdtEndPr/>
              <w:sdtContent>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p w14:paraId="0D1077B1" w14:textId="77777777" w:rsidR="00D21C1F" w:rsidRDefault="00A42880">
                    <w:pPr>
                      <w:jc w:val="center"/>
                      <w:rPr>
                        <w:rFonts w:cs="Arial"/>
                        <w:szCs w:val="21"/>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1622888537"/>
                <w:lock w:val="sdtLocked"/>
              </w:sdtPr>
              <w:sdtEnd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14:paraId="4BCC7C0B" w14:textId="77777777" w:rsidR="00D21C1F" w:rsidRDefault="00A42880">
                    <w:pPr>
                      <w:jc w:val="center"/>
                      <w:rPr>
                        <w:rFonts w:cs="Arial"/>
                        <w:szCs w:val="21"/>
                        <w:lang w:val="en-GB"/>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D21C1F" w14:paraId="60F462F1" w14:textId="77777777">
            <w:trPr>
              <w:trHeight w:val="120"/>
            </w:trPr>
            <w:tc>
              <w:tcPr>
                <w:tcW w:w="2181" w:type="pct"/>
                <w:vMerge/>
                <w:tcBorders>
                  <w:top w:val="single" w:sz="4" w:space="0" w:color="auto"/>
                  <w:left w:val="single" w:sz="4" w:space="0" w:color="auto"/>
                  <w:bottom w:val="single" w:sz="6" w:space="0" w:color="auto"/>
                  <w:right w:val="single" w:sz="6" w:space="0" w:color="auto"/>
                </w:tcBorders>
                <w:shd w:val="clear" w:color="auto" w:fill="auto"/>
                <w:vAlign w:val="center"/>
              </w:tcPr>
              <w:p w14:paraId="17BA4784" w14:textId="77777777" w:rsidR="00D21C1F" w:rsidRDefault="00D21C1F">
                <w:pPr>
                  <w:rPr>
                    <w:rFonts w:cs="Arial"/>
                    <w:szCs w:val="21"/>
                  </w:rPr>
                </w:pPr>
              </w:p>
            </w:tc>
            <w:sdt>
              <w:sdtPr>
                <w:rPr>
                  <w:rFonts w:hint="eastAsia"/>
                  <w:szCs w:val="21"/>
                </w:rPr>
                <w:alias w:val="重要联营企业的主要财务信息明细-企业名称"/>
                <w:tag w:val="_GBC_0cae03adb6fc417da51f1e06cc077a6b"/>
                <w:id w:val="-1294208412"/>
                <w:lock w:val="sdtLocked"/>
              </w:sdtPr>
              <w:sdtEndPr/>
              <w:sdtContent>
                <w:tc>
                  <w:tcPr>
                    <w:tcW w:w="1410" w:type="pct"/>
                    <w:tcBorders>
                      <w:top w:val="single" w:sz="6" w:space="0" w:color="auto"/>
                      <w:left w:val="single" w:sz="6" w:space="0" w:color="auto"/>
                      <w:right w:val="single" w:sz="6" w:space="0" w:color="auto"/>
                    </w:tcBorders>
                    <w:shd w:val="clear" w:color="auto" w:fill="auto"/>
                  </w:tcPr>
                  <w:p w14:paraId="60565F4E" w14:textId="5261F50F" w:rsidR="00D21C1F" w:rsidRDefault="002F5026">
                    <w:pPr>
                      <w:jc w:val="center"/>
                      <w:rPr>
                        <w:szCs w:val="21"/>
                      </w:rPr>
                    </w:pPr>
                    <w:r>
                      <w:rPr>
                        <w:rFonts w:ascii="Times New Roman" w:hAnsi="Times New Roman"/>
                        <w:szCs w:val="21"/>
                      </w:rPr>
                      <w:t>ROBOX</w:t>
                    </w:r>
                  </w:p>
                </w:tc>
              </w:sdtContent>
            </w:sdt>
            <w:sdt>
              <w:sdtPr>
                <w:rPr>
                  <w:rFonts w:hint="eastAsia"/>
                  <w:szCs w:val="21"/>
                </w:rPr>
                <w:alias w:val="重要联营企业的主要财务信息明细-企业名称"/>
                <w:tag w:val="_GBC_dabfa87f0eff42149952cca99a0db3a2"/>
                <w:id w:val="-894894343"/>
                <w:lock w:val="sdtLocked"/>
              </w:sdtPr>
              <w:sdtEndPr/>
              <w:sdtContent>
                <w:tc>
                  <w:tcPr>
                    <w:tcW w:w="1409" w:type="pct"/>
                    <w:tcBorders>
                      <w:top w:val="single" w:sz="6" w:space="0" w:color="auto"/>
                      <w:left w:val="single" w:sz="6" w:space="0" w:color="auto"/>
                      <w:bottom w:val="single" w:sz="6" w:space="0" w:color="auto"/>
                      <w:right w:val="single" w:sz="6" w:space="0" w:color="auto"/>
                    </w:tcBorders>
                    <w:shd w:val="clear" w:color="auto" w:fill="auto"/>
                  </w:tcPr>
                  <w:p w14:paraId="6C9310B2" w14:textId="2E11D3F5" w:rsidR="00D21C1F" w:rsidRDefault="002F5026">
                    <w:pPr>
                      <w:jc w:val="center"/>
                      <w:rPr>
                        <w:szCs w:val="21"/>
                      </w:rPr>
                    </w:pPr>
                    <w:r>
                      <w:rPr>
                        <w:rFonts w:ascii="Times New Roman" w:hAnsi="Times New Roman"/>
                        <w:szCs w:val="21"/>
                      </w:rPr>
                      <w:t>ROBOX</w:t>
                    </w:r>
                  </w:p>
                </w:tc>
              </w:sdtContent>
            </w:sdt>
          </w:tr>
          <w:tr w:rsidR="00D21C1F" w14:paraId="0ED4CC79" w14:textId="77777777" w:rsidTr="00003DDA">
            <w:sdt>
              <w:sdtPr>
                <w:tag w:val="_PLD_fef15ffbfdea4cb5a3d708c5ea8068c9"/>
                <w:id w:val="90906006"/>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1A848F25" w14:textId="77777777" w:rsidR="00D21C1F" w:rsidRDefault="00A42880">
                    <w:pPr>
                      <w:rPr>
                        <w:rFonts w:cs="Arial"/>
                        <w:color w:val="000000"/>
                        <w:szCs w:val="21"/>
                      </w:rPr>
                    </w:pPr>
                    <w:r>
                      <w:rPr>
                        <w:rFonts w:cs="Arial" w:hint="eastAsia"/>
                        <w:color w:val="000000"/>
                        <w:szCs w:val="21"/>
                        <w:lang w:val="en-GB"/>
                      </w:rPr>
                      <w:t>流动资产</w:t>
                    </w:r>
                  </w:p>
                </w:tc>
              </w:sdtContent>
            </w:sdt>
            <w:tc>
              <w:tcPr>
                <w:tcW w:w="1410" w:type="pct"/>
                <w:tcBorders>
                  <w:left w:val="single" w:sz="6" w:space="0" w:color="auto"/>
                  <w:right w:val="single" w:sz="6" w:space="0" w:color="auto"/>
                </w:tcBorders>
                <w:shd w:val="clear" w:color="auto" w:fill="auto"/>
                <w:vAlign w:val="center"/>
              </w:tcPr>
              <w:p w14:paraId="6A743EE1"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46,333,571.91</w:t>
                </w:r>
              </w:p>
            </w:tc>
            <w:tc>
              <w:tcPr>
                <w:tcW w:w="1409" w:type="pct"/>
                <w:tcBorders>
                  <w:top w:val="single" w:sz="6" w:space="0" w:color="auto"/>
                  <w:left w:val="single" w:sz="6" w:space="0" w:color="auto"/>
                  <w:bottom w:val="single" w:sz="6" w:space="0" w:color="auto"/>
                  <w:right w:val="single" w:sz="6" w:space="0" w:color="auto"/>
                </w:tcBorders>
                <w:vAlign w:val="center"/>
              </w:tcPr>
              <w:p w14:paraId="089D1FAC"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53,622,729.73</w:t>
                </w:r>
              </w:p>
            </w:tc>
          </w:tr>
          <w:tr w:rsidR="00D21C1F" w14:paraId="59D7B2FD" w14:textId="77777777" w:rsidTr="00003DDA">
            <w:sdt>
              <w:sdtPr>
                <w:tag w:val="_PLD_f31bdbdda3c24ef0ad64c4480cfaf1eb"/>
                <w:id w:val="1465307851"/>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14B50046" w14:textId="77777777" w:rsidR="00D21C1F" w:rsidRDefault="00A42880">
                    <w:pPr>
                      <w:rPr>
                        <w:rFonts w:cs="Arial"/>
                        <w:color w:val="000000"/>
                        <w:szCs w:val="21"/>
                      </w:rPr>
                    </w:pPr>
                    <w:r>
                      <w:rPr>
                        <w:rFonts w:cs="Arial" w:hint="eastAsia"/>
                        <w:color w:val="000000"/>
                        <w:szCs w:val="21"/>
                        <w:lang w:val="en-GB"/>
                      </w:rPr>
                      <w:t>非流动资产</w:t>
                    </w:r>
                  </w:p>
                </w:tc>
              </w:sdtContent>
            </w:sdt>
            <w:tc>
              <w:tcPr>
                <w:tcW w:w="1410" w:type="pct"/>
                <w:tcBorders>
                  <w:left w:val="single" w:sz="6" w:space="0" w:color="auto"/>
                  <w:right w:val="single" w:sz="6" w:space="0" w:color="auto"/>
                </w:tcBorders>
                <w:shd w:val="clear" w:color="auto" w:fill="auto"/>
                <w:vAlign w:val="center"/>
              </w:tcPr>
              <w:p w14:paraId="7ED82763"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25,175,011.39</w:t>
                </w:r>
              </w:p>
            </w:tc>
            <w:tc>
              <w:tcPr>
                <w:tcW w:w="1409" w:type="pct"/>
                <w:tcBorders>
                  <w:top w:val="single" w:sz="6" w:space="0" w:color="auto"/>
                  <w:left w:val="single" w:sz="6" w:space="0" w:color="auto"/>
                  <w:bottom w:val="single" w:sz="6" w:space="0" w:color="auto"/>
                  <w:right w:val="single" w:sz="6" w:space="0" w:color="auto"/>
                </w:tcBorders>
                <w:vAlign w:val="center"/>
              </w:tcPr>
              <w:p w14:paraId="456BF661"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4,316,561.79</w:t>
                </w:r>
              </w:p>
            </w:tc>
          </w:tr>
          <w:tr w:rsidR="00D21C1F" w14:paraId="7689D2A7" w14:textId="77777777" w:rsidTr="00003DDA">
            <w:sdt>
              <w:sdtPr>
                <w:tag w:val="_PLD_d1755220e8944b638b853a5090d054ac"/>
                <w:id w:val="664048847"/>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42FA8640" w14:textId="77777777" w:rsidR="00D21C1F" w:rsidRDefault="00A42880">
                    <w:pPr>
                      <w:rPr>
                        <w:rFonts w:cs="Arial"/>
                        <w:color w:val="000000"/>
                        <w:szCs w:val="21"/>
                      </w:rPr>
                    </w:pPr>
                    <w:r>
                      <w:rPr>
                        <w:rFonts w:cs="Arial" w:hint="eastAsia"/>
                        <w:color w:val="000000"/>
                        <w:szCs w:val="21"/>
                        <w:lang w:val="en-GB"/>
                      </w:rPr>
                      <w:t>资产合计</w:t>
                    </w:r>
                  </w:p>
                </w:tc>
              </w:sdtContent>
            </w:sdt>
            <w:tc>
              <w:tcPr>
                <w:tcW w:w="1410" w:type="pct"/>
                <w:tcBorders>
                  <w:left w:val="single" w:sz="6" w:space="0" w:color="auto"/>
                  <w:right w:val="single" w:sz="6" w:space="0" w:color="auto"/>
                </w:tcBorders>
                <w:shd w:val="clear" w:color="auto" w:fill="auto"/>
                <w:vAlign w:val="center"/>
              </w:tcPr>
              <w:p w14:paraId="1FFD2622"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71,508,583.30</w:t>
                </w:r>
              </w:p>
            </w:tc>
            <w:tc>
              <w:tcPr>
                <w:tcW w:w="1409" w:type="pct"/>
                <w:tcBorders>
                  <w:top w:val="single" w:sz="6" w:space="0" w:color="auto"/>
                  <w:left w:val="single" w:sz="6" w:space="0" w:color="auto"/>
                  <w:bottom w:val="single" w:sz="6" w:space="0" w:color="auto"/>
                  <w:right w:val="single" w:sz="6" w:space="0" w:color="auto"/>
                </w:tcBorders>
                <w:vAlign w:val="center"/>
              </w:tcPr>
              <w:p w14:paraId="4DACBADF"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57,939,291.52</w:t>
                </w:r>
              </w:p>
            </w:tc>
          </w:tr>
          <w:tr w:rsidR="00D21C1F" w14:paraId="7DEC23CA" w14:textId="77777777" w:rsidTr="00003DDA">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2063421D" w14:textId="77777777" w:rsidR="00D21C1F" w:rsidRDefault="00D21C1F">
                <w:pPr>
                  <w:rPr>
                    <w:rFonts w:cs="Arial"/>
                    <w:color w:val="000000"/>
                    <w:szCs w:val="21"/>
                    <w:lang w:val="en-GB"/>
                  </w:rPr>
                </w:pPr>
              </w:p>
            </w:tc>
            <w:tc>
              <w:tcPr>
                <w:tcW w:w="1410" w:type="pct"/>
                <w:tcBorders>
                  <w:left w:val="single" w:sz="6" w:space="0" w:color="auto"/>
                  <w:right w:val="single" w:sz="6" w:space="0" w:color="auto"/>
                </w:tcBorders>
                <w:shd w:val="clear" w:color="auto" w:fill="auto"/>
                <w:vAlign w:val="center"/>
              </w:tcPr>
              <w:p w14:paraId="1AEC0650" w14:textId="77777777" w:rsidR="00D21C1F" w:rsidRPr="00003DDA" w:rsidRDefault="00D21C1F" w:rsidP="00003DDA">
                <w:pPr>
                  <w:jc w:val="right"/>
                  <w:rPr>
                    <w:rFonts w:ascii="Times New Roman" w:hAnsi="Times New Roman" w:cs="Times New Roman"/>
                    <w:szCs w:val="21"/>
                  </w:rPr>
                </w:pPr>
              </w:p>
            </w:tc>
            <w:tc>
              <w:tcPr>
                <w:tcW w:w="1409" w:type="pct"/>
                <w:tcBorders>
                  <w:top w:val="single" w:sz="6" w:space="0" w:color="auto"/>
                  <w:left w:val="single" w:sz="6" w:space="0" w:color="auto"/>
                  <w:bottom w:val="single" w:sz="6" w:space="0" w:color="auto"/>
                  <w:right w:val="single" w:sz="6" w:space="0" w:color="auto"/>
                </w:tcBorders>
                <w:vAlign w:val="center"/>
              </w:tcPr>
              <w:p w14:paraId="6BBAF23E" w14:textId="77777777" w:rsidR="00D21C1F" w:rsidRPr="00003DDA" w:rsidRDefault="00D21C1F" w:rsidP="00003DDA">
                <w:pPr>
                  <w:jc w:val="right"/>
                  <w:rPr>
                    <w:rFonts w:ascii="Times New Roman" w:hAnsi="Times New Roman" w:cs="Times New Roman"/>
                    <w:szCs w:val="21"/>
                  </w:rPr>
                </w:pPr>
              </w:p>
            </w:tc>
          </w:tr>
          <w:tr w:rsidR="00D21C1F" w14:paraId="7336C93F" w14:textId="77777777" w:rsidTr="00003DDA">
            <w:sdt>
              <w:sdtPr>
                <w:tag w:val="_PLD_da177c33d2a4452285f3e4329499be2b"/>
                <w:id w:val="479969186"/>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6725F28B" w14:textId="77777777" w:rsidR="00D21C1F" w:rsidRDefault="00A42880">
                    <w:pPr>
                      <w:rPr>
                        <w:rFonts w:cs="Arial"/>
                        <w:color w:val="000000"/>
                        <w:szCs w:val="21"/>
                      </w:rPr>
                    </w:pPr>
                    <w:r>
                      <w:rPr>
                        <w:rFonts w:cs="Arial" w:hint="eastAsia"/>
                        <w:color w:val="000000"/>
                        <w:szCs w:val="21"/>
                        <w:lang w:val="en-GB"/>
                      </w:rPr>
                      <w:t>流动负债</w:t>
                    </w:r>
                  </w:p>
                </w:tc>
              </w:sdtContent>
            </w:sdt>
            <w:tc>
              <w:tcPr>
                <w:tcW w:w="1410" w:type="pct"/>
                <w:tcBorders>
                  <w:left w:val="single" w:sz="6" w:space="0" w:color="auto"/>
                  <w:right w:val="single" w:sz="6" w:space="0" w:color="auto"/>
                </w:tcBorders>
                <w:shd w:val="clear" w:color="auto" w:fill="auto"/>
                <w:vAlign w:val="center"/>
              </w:tcPr>
              <w:p w14:paraId="35D6A992"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37,385,824.22</w:t>
                </w:r>
              </w:p>
            </w:tc>
            <w:tc>
              <w:tcPr>
                <w:tcW w:w="1409" w:type="pct"/>
                <w:tcBorders>
                  <w:top w:val="single" w:sz="6" w:space="0" w:color="auto"/>
                  <w:left w:val="single" w:sz="6" w:space="0" w:color="auto"/>
                  <w:bottom w:val="single" w:sz="6" w:space="0" w:color="auto"/>
                  <w:right w:val="single" w:sz="6" w:space="0" w:color="auto"/>
                </w:tcBorders>
                <w:vAlign w:val="center"/>
              </w:tcPr>
              <w:p w14:paraId="07340F2C"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34,638,527.30</w:t>
                </w:r>
              </w:p>
            </w:tc>
          </w:tr>
          <w:tr w:rsidR="00D21C1F" w14:paraId="676D3FF3" w14:textId="77777777" w:rsidTr="00003DDA">
            <w:sdt>
              <w:sdtPr>
                <w:tag w:val="_PLD_69db2a7507214ff988c587702b84292a"/>
                <w:id w:val="571930358"/>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17D373EB" w14:textId="77777777" w:rsidR="00D21C1F" w:rsidRDefault="00A42880">
                    <w:pPr>
                      <w:rPr>
                        <w:rFonts w:cs="Arial"/>
                        <w:color w:val="000000"/>
                        <w:szCs w:val="21"/>
                      </w:rPr>
                    </w:pPr>
                    <w:r>
                      <w:rPr>
                        <w:rFonts w:cs="Arial" w:hint="eastAsia"/>
                        <w:color w:val="000000"/>
                        <w:szCs w:val="21"/>
                        <w:lang w:val="en-GB"/>
                      </w:rPr>
                      <w:t>非流动负债</w:t>
                    </w:r>
                  </w:p>
                </w:tc>
              </w:sdtContent>
            </w:sdt>
            <w:tc>
              <w:tcPr>
                <w:tcW w:w="1410" w:type="pct"/>
                <w:tcBorders>
                  <w:left w:val="single" w:sz="6" w:space="0" w:color="auto"/>
                  <w:right w:val="single" w:sz="6" w:space="0" w:color="auto"/>
                </w:tcBorders>
                <w:shd w:val="clear" w:color="auto" w:fill="auto"/>
                <w:vAlign w:val="center"/>
              </w:tcPr>
              <w:p w14:paraId="2612C5EE"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c>
              <w:tcPr>
                <w:tcW w:w="1409" w:type="pct"/>
                <w:tcBorders>
                  <w:top w:val="single" w:sz="6" w:space="0" w:color="auto"/>
                  <w:left w:val="single" w:sz="6" w:space="0" w:color="auto"/>
                  <w:bottom w:val="single" w:sz="6" w:space="0" w:color="auto"/>
                  <w:right w:val="single" w:sz="6" w:space="0" w:color="auto"/>
                </w:tcBorders>
                <w:vAlign w:val="center"/>
              </w:tcPr>
              <w:p w14:paraId="394000D8"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r>
          <w:tr w:rsidR="00D21C1F" w14:paraId="3F9CDFD5" w14:textId="77777777" w:rsidTr="00003DDA">
            <w:sdt>
              <w:sdtPr>
                <w:tag w:val="_PLD_93196651961549cc968f034a6735b70d"/>
                <w:id w:val="-1158148134"/>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653B332E" w14:textId="77777777" w:rsidR="00D21C1F" w:rsidRDefault="00A42880">
                    <w:pPr>
                      <w:rPr>
                        <w:rFonts w:cs="Arial"/>
                        <w:color w:val="000000"/>
                        <w:szCs w:val="21"/>
                      </w:rPr>
                    </w:pPr>
                    <w:r>
                      <w:rPr>
                        <w:rFonts w:cs="Arial" w:hint="eastAsia"/>
                        <w:color w:val="000000"/>
                        <w:szCs w:val="21"/>
                        <w:lang w:val="en-GB"/>
                      </w:rPr>
                      <w:t>负债合计</w:t>
                    </w:r>
                  </w:p>
                </w:tc>
              </w:sdtContent>
            </w:sdt>
            <w:tc>
              <w:tcPr>
                <w:tcW w:w="1410" w:type="pct"/>
                <w:tcBorders>
                  <w:left w:val="single" w:sz="6" w:space="0" w:color="auto"/>
                  <w:right w:val="single" w:sz="6" w:space="0" w:color="auto"/>
                </w:tcBorders>
                <w:shd w:val="clear" w:color="auto" w:fill="auto"/>
                <w:vAlign w:val="center"/>
              </w:tcPr>
              <w:p w14:paraId="2B2746C0"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37,385,824.22</w:t>
                </w:r>
              </w:p>
            </w:tc>
            <w:tc>
              <w:tcPr>
                <w:tcW w:w="1409" w:type="pct"/>
                <w:tcBorders>
                  <w:top w:val="single" w:sz="6" w:space="0" w:color="auto"/>
                  <w:left w:val="single" w:sz="6" w:space="0" w:color="auto"/>
                  <w:bottom w:val="single" w:sz="6" w:space="0" w:color="auto"/>
                  <w:right w:val="single" w:sz="6" w:space="0" w:color="auto"/>
                </w:tcBorders>
                <w:vAlign w:val="center"/>
              </w:tcPr>
              <w:p w14:paraId="1CD201D4"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34,638,527.30</w:t>
                </w:r>
              </w:p>
            </w:tc>
          </w:tr>
          <w:tr w:rsidR="00D21C1F" w14:paraId="7AB873DF" w14:textId="77777777" w:rsidTr="00003DDA">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0043C29A" w14:textId="77777777" w:rsidR="00D21C1F" w:rsidRDefault="00D21C1F">
                <w:pPr>
                  <w:rPr>
                    <w:rFonts w:cs="Arial"/>
                    <w:color w:val="000000"/>
                    <w:szCs w:val="21"/>
                    <w:lang w:val="en-GB"/>
                  </w:rPr>
                </w:pPr>
              </w:p>
            </w:tc>
            <w:tc>
              <w:tcPr>
                <w:tcW w:w="1410" w:type="pct"/>
                <w:tcBorders>
                  <w:left w:val="single" w:sz="6" w:space="0" w:color="auto"/>
                  <w:right w:val="single" w:sz="6" w:space="0" w:color="auto"/>
                </w:tcBorders>
                <w:shd w:val="clear" w:color="auto" w:fill="auto"/>
                <w:vAlign w:val="center"/>
              </w:tcPr>
              <w:p w14:paraId="428D47B7" w14:textId="77777777" w:rsidR="00D21C1F" w:rsidRPr="00003DDA" w:rsidRDefault="00D21C1F" w:rsidP="00003DDA">
                <w:pPr>
                  <w:jc w:val="right"/>
                  <w:rPr>
                    <w:rFonts w:ascii="Times New Roman" w:hAnsi="Times New Roman" w:cs="Times New Roman"/>
                    <w:szCs w:val="21"/>
                  </w:rPr>
                </w:pPr>
              </w:p>
            </w:tc>
            <w:tc>
              <w:tcPr>
                <w:tcW w:w="1409" w:type="pct"/>
                <w:tcBorders>
                  <w:top w:val="single" w:sz="6" w:space="0" w:color="auto"/>
                  <w:left w:val="single" w:sz="6" w:space="0" w:color="auto"/>
                  <w:bottom w:val="single" w:sz="6" w:space="0" w:color="auto"/>
                  <w:right w:val="single" w:sz="6" w:space="0" w:color="auto"/>
                </w:tcBorders>
                <w:vAlign w:val="center"/>
              </w:tcPr>
              <w:p w14:paraId="4105130B" w14:textId="77777777" w:rsidR="00D21C1F" w:rsidRPr="00003DDA" w:rsidRDefault="00D21C1F" w:rsidP="00003DDA">
                <w:pPr>
                  <w:jc w:val="right"/>
                  <w:rPr>
                    <w:rFonts w:ascii="Times New Roman" w:hAnsi="Times New Roman" w:cs="Times New Roman"/>
                    <w:szCs w:val="21"/>
                  </w:rPr>
                </w:pPr>
              </w:p>
            </w:tc>
          </w:tr>
          <w:tr w:rsidR="00D21C1F" w14:paraId="5952BF9D" w14:textId="77777777" w:rsidTr="00003DDA">
            <w:sdt>
              <w:sdtPr>
                <w:tag w:val="_PLD_f8ce7c22e39a4e18a87552ab1793dbb8"/>
                <w:id w:val="1455597442"/>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11421AEA" w14:textId="77777777" w:rsidR="00D21C1F" w:rsidRDefault="00A42880">
                    <w:pPr>
                      <w:rPr>
                        <w:rFonts w:cs="Arial"/>
                        <w:color w:val="000000"/>
                        <w:szCs w:val="21"/>
                      </w:rPr>
                    </w:pPr>
                    <w:r>
                      <w:rPr>
                        <w:rFonts w:cs="Arial" w:hint="eastAsia"/>
                        <w:color w:val="000000"/>
                        <w:szCs w:val="21"/>
                        <w:lang w:val="en-GB"/>
                      </w:rPr>
                      <w:t>少数股东权益</w:t>
                    </w:r>
                  </w:p>
                </w:tc>
              </w:sdtContent>
            </w:sdt>
            <w:tc>
              <w:tcPr>
                <w:tcW w:w="1410" w:type="pct"/>
                <w:tcBorders>
                  <w:left w:val="single" w:sz="6" w:space="0" w:color="auto"/>
                  <w:right w:val="single" w:sz="6" w:space="0" w:color="auto"/>
                </w:tcBorders>
                <w:shd w:val="clear" w:color="auto" w:fill="auto"/>
                <w:vAlign w:val="center"/>
              </w:tcPr>
              <w:p w14:paraId="300F41E0"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c>
              <w:tcPr>
                <w:tcW w:w="1409" w:type="pct"/>
                <w:tcBorders>
                  <w:top w:val="single" w:sz="6" w:space="0" w:color="auto"/>
                  <w:left w:val="single" w:sz="6" w:space="0" w:color="auto"/>
                  <w:bottom w:val="single" w:sz="6" w:space="0" w:color="auto"/>
                  <w:right w:val="single" w:sz="6" w:space="0" w:color="auto"/>
                </w:tcBorders>
                <w:vAlign w:val="center"/>
              </w:tcPr>
              <w:p w14:paraId="545EF10F"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w:t>
                </w:r>
              </w:p>
            </w:tc>
          </w:tr>
          <w:tr w:rsidR="00D21C1F" w14:paraId="6C5231D4" w14:textId="77777777" w:rsidTr="00003DDA">
            <w:sdt>
              <w:sdtPr>
                <w:tag w:val="_PLD_5a7b4c15f9cc46f796db15ddf6bdcb12"/>
                <w:id w:val="-2027082792"/>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568DCAD7" w14:textId="77777777" w:rsidR="00D21C1F" w:rsidRDefault="00A42880">
                    <w:pPr>
                      <w:rPr>
                        <w:rFonts w:cs="Arial"/>
                        <w:color w:val="000000"/>
                        <w:szCs w:val="21"/>
                      </w:rPr>
                    </w:pPr>
                    <w:r>
                      <w:rPr>
                        <w:rFonts w:cs="Arial" w:hint="eastAsia"/>
                        <w:color w:val="000000"/>
                        <w:szCs w:val="21"/>
                        <w:lang w:val="en-GB"/>
                      </w:rPr>
                      <w:t>归属于母公司股东权益</w:t>
                    </w:r>
                  </w:p>
                </w:tc>
              </w:sdtContent>
            </w:sdt>
            <w:tc>
              <w:tcPr>
                <w:tcW w:w="1410" w:type="pct"/>
                <w:tcBorders>
                  <w:left w:val="single" w:sz="6" w:space="0" w:color="auto"/>
                  <w:right w:val="single" w:sz="6" w:space="0" w:color="auto"/>
                </w:tcBorders>
                <w:shd w:val="clear" w:color="auto" w:fill="auto"/>
                <w:vAlign w:val="center"/>
              </w:tcPr>
              <w:p w14:paraId="18AB8E06"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34,122,759.08</w:t>
                </w:r>
              </w:p>
            </w:tc>
            <w:tc>
              <w:tcPr>
                <w:tcW w:w="1409" w:type="pct"/>
                <w:tcBorders>
                  <w:top w:val="single" w:sz="6" w:space="0" w:color="auto"/>
                  <w:left w:val="single" w:sz="6" w:space="0" w:color="auto"/>
                  <w:bottom w:val="single" w:sz="6" w:space="0" w:color="auto"/>
                  <w:right w:val="single" w:sz="6" w:space="0" w:color="auto"/>
                </w:tcBorders>
                <w:vAlign w:val="center"/>
              </w:tcPr>
              <w:p w14:paraId="08742F96"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23,300,764.21</w:t>
                </w:r>
              </w:p>
            </w:tc>
          </w:tr>
          <w:tr w:rsidR="00D21C1F" w14:paraId="47B530A1" w14:textId="77777777" w:rsidTr="00003DDA">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284E95E4" w14:textId="77777777" w:rsidR="00D21C1F" w:rsidRDefault="00D21C1F">
                <w:pPr>
                  <w:rPr>
                    <w:rFonts w:cs="Arial"/>
                    <w:color w:val="000000"/>
                    <w:szCs w:val="21"/>
                    <w:lang w:val="en-GB"/>
                  </w:rPr>
                </w:pPr>
              </w:p>
            </w:tc>
            <w:tc>
              <w:tcPr>
                <w:tcW w:w="1410" w:type="pct"/>
                <w:tcBorders>
                  <w:left w:val="single" w:sz="6" w:space="0" w:color="auto"/>
                  <w:right w:val="single" w:sz="6" w:space="0" w:color="auto"/>
                </w:tcBorders>
                <w:shd w:val="clear" w:color="auto" w:fill="auto"/>
                <w:vAlign w:val="center"/>
              </w:tcPr>
              <w:p w14:paraId="69D919AD" w14:textId="77777777" w:rsidR="00D21C1F" w:rsidRPr="00003DDA" w:rsidRDefault="00D21C1F" w:rsidP="00003DDA">
                <w:pPr>
                  <w:jc w:val="right"/>
                  <w:rPr>
                    <w:rFonts w:ascii="Times New Roman" w:hAnsi="Times New Roman" w:cs="Times New Roman"/>
                    <w:szCs w:val="21"/>
                  </w:rPr>
                </w:pPr>
              </w:p>
            </w:tc>
            <w:tc>
              <w:tcPr>
                <w:tcW w:w="1409" w:type="pct"/>
                <w:tcBorders>
                  <w:top w:val="single" w:sz="6" w:space="0" w:color="auto"/>
                  <w:left w:val="single" w:sz="6" w:space="0" w:color="auto"/>
                  <w:bottom w:val="single" w:sz="6" w:space="0" w:color="auto"/>
                  <w:right w:val="single" w:sz="6" w:space="0" w:color="auto"/>
                </w:tcBorders>
                <w:vAlign w:val="center"/>
              </w:tcPr>
              <w:p w14:paraId="48BAF77C" w14:textId="77777777" w:rsidR="00D21C1F" w:rsidRPr="00003DDA" w:rsidRDefault="00D21C1F" w:rsidP="00003DDA">
                <w:pPr>
                  <w:jc w:val="right"/>
                  <w:rPr>
                    <w:rFonts w:ascii="Times New Roman" w:hAnsi="Times New Roman" w:cs="Times New Roman"/>
                    <w:szCs w:val="21"/>
                  </w:rPr>
                </w:pPr>
              </w:p>
            </w:tc>
          </w:tr>
          <w:tr w:rsidR="00D21C1F" w14:paraId="59818D3B" w14:textId="77777777" w:rsidTr="00003DDA">
            <w:sdt>
              <w:sdtPr>
                <w:tag w:val="_PLD_8582e33fffa94878a3ba47a9591f38b8"/>
                <w:id w:val="1531760417"/>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0D176F80" w14:textId="77777777" w:rsidR="00D21C1F" w:rsidRDefault="00A42880">
                    <w:pPr>
                      <w:rPr>
                        <w:rFonts w:cs="Arial"/>
                        <w:color w:val="000000"/>
                        <w:szCs w:val="21"/>
                      </w:rPr>
                    </w:pPr>
                    <w:r>
                      <w:rPr>
                        <w:rFonts w:cs="Arial" w:hint="eastAsia"/>
                        <w:color w:val="000000"/>
                        <w:szCs w:val="21"/>
                        <w:lang w:val="en-GB"/>
                      </w:rPr>
                      <w:t>按持股比例计算的净资产份额</w:t>
                    </w:r>
                  </w:p>
                </w:tc>
              </w:sdtContent>
            </w:sdt>
            <w:tc>
              <w:tcPr>
                <w:tcW w:w="1410" w:type="pct"/>
                <w:tcBorders>
                  <w:left w:val="single" w:sz="6" w:space="0" w:color="auto"/>
                  <w:right w:val="single" w:sz="6" w:space="0" w:color="auto"/>
                </w:tcBorders>
                <w:shd w:val="clear" w:color="auto" w:fill="auto"/>
                <w:vAlign w:val="center"/>
              </w:tcPr>
              <w:p w14:paraId="571D4143"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13,649,103.63</w:t>
                </w:r>
              </w:p>
            </w:tc>
            <w:tc>
              <w:tcPr>
                <w:tcW w:w="1409" w:type="pct"/>
                <w:tcBorders>
                  <w:top w:val="single" w:sz="6" w:space="0" w:color="auto"/>
                  <w:left w:val="single" w:sz="6" w:space="0" w:color="auto"/>
                  <w:bottom w:val="single" w:sz="6" w:space="0" w:color="auto"/>
                  <w:right w:val="single" w:sz="6" w:space="0" w:color="auto"/>
                </w:tcBorders>
                <w:vAlign w:val="center"/>
              </w:tcPr>
              <w:p w14:paraId="185D9749"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9,320,305.68</w:t>
                </w:r>
              </w:p>
            </w:tc>
          </w:tr>
          <w:tr w:rsidR="00D21C1F" w14:paraId="7FE56DFD" w14:textId="77777777" w:rsidTr="00003DDA">
            <w:sdt>
              <w:sdtPr>
                <w:tag w:val="_PLD_4155423a13664f79a1deecda99eb64f1"/>
                <w:id w:val="2091267988"/>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5A13F5BC" w14:textId="77777777" w:rsidR="00D21C1F" w:rsidRDefault="00A42880">
                    <w:pPr>
                      <w:rPr>
                        <w:rFonts w:cs="Arial"/>
                        <w:color w:val="000000"/>
                        <w:szCs w:val="21"/>
                      </w:rPr>
                    </w:pPr>
                    <w:r>
                      <w:rPr>
                        <w:rFonts w:cs="Arial" w:hint="eastAsia"/>
                        <w:color w:val="000000"/>
                        <w:szCs w:val="21"/>
                        <w:lang w:val="en-GB"/>
                      </w:rPr>
                      <w:t>调整事项</w:t>
                    </w:r>
                  </w:p>
                </w:tc>
              </w:sdtContent>
            </w:sdt>
            <w:tc>
              <w:tcPr>
                <w:tcW w:w="1410" w:type="pct"/>
                <w:tcBorders>
                  <w:left w:val="single" w:sz="6" w:space="0" w:color="auto"/>
                  <w:right w:val="single" w:sz="6" w:space="0" w:color="auto"/>
                </w:tcBorders>
                <w:shd w:val="clear" w:color="auto" w:fill="auto"/>
                <w:vAlign w:val="center"/>
              </w:tcPr>
              <w:p w14:paraId="4AC71D50" w14:textId="77777777" w:rsidR="00D21C1F" w:rsidRPr="00003DDA" w:rsidRDefault="00D21C1F" w:rsidP="00003DDA">
                <w:pPr>
                  <w:jc w:val="right"/>
                  <w:rPr>
                    <w:rFonts w:ascii="Times New Roman" w:hAnsi="Times New Roman" w:cs="Times New Roman"/>
                    <w:szCs w:val="21"/>
                  </w:rPr>
                </w:pPr>
              </w:p>
            </w:tc>
            <w:tc>
              <w:tcPr>
                <w:tcW w:w="1409" w:type="pct"/>
                <w:tcBorders>
                  <w:top w:val="single" w:sz="6" w:space="0" w:color="auto"/>
                  <w:left w:val="single" w:sz="6" w:space="0" w:color="auto"/>
                  <w:bottom w:val="single" w:sz="6" w:space="0" w:color="auto"/>
                  <w:right w:val="single" w:sz="6" w:space="0" w:color="auto"/>
                </w:tcBorders>
                <w:vAlign w:val="center"/>
              </w:tcPr>
              <w:p w14:paraId="53BC751B" w14:textId="77777777" w:rsidR="00D21C1F" w:rsidRPr="00003DDA" w:rsidRDefault="00D21C1F" w:rsidP="00003DDA">
                <w:pPr>
                  <w:jc w:val="right"/>
                  <w:rPr>
                    <w:rFonts w:ascii="Times New Roman" w:hAnsi="Times New Roman" w:cs="Times New Roman"/>
                    <w:szCs w:val="21"/>
                  </w:rPr>
                </w:pPr>
              </w:p>
            </w:tc>
          </w:tr>
          <w:tr w:rsidR="00003DDA" w14:paraId="183C5863" w14:textId="77777777" w:rsidTr="00003DDA">
            <w:sdt>
              <w:sdtPr>
                <w:tag w:val="_PLD_bac24ebdbd9b48db9964fa3d371a3d1a"/>
                <w:id w:val="1911729235"/>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1FB9734E" w14:textId="77777777" w:rsidR="00003DDA" w:rsidRDefault="00003DDA" w:rsidP="00003DDA">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1410" w:type="pct"/>
                <w:tcBorders>
                  <w:left w:val="single" w:sz="6" w:space="0" w:color="auto"/>
                  <w:right w:val="single" w:sz="6" w:space="0" w:color="auto"/>
                </w:tcBorders>
                <w:shd w:val="clear" w:color="auto" w:fill="auto"/>
                <w:vAlign w:val="center"/>
              </w:tcPr>
              <w:p w14:paraId="28893C7F" w14:textId="1E53C7FC" w:rsidR="00003DDA" w:rsidRPr="00003DDA" w:rsidRDefault="00003DDA" w:rsidP="00003DDA">
                <w:pPr>
                  <w:jc w:val="right"/>
                  <w:rPr>
                    <w:rFonts w:ascii="Times New Roman" w:hAnsi="Times New Roman" w:cs="Times New Roman"/>
                    <w:szCs w:val="21"/>
                  </w:rPr>
                </w:pPr>
                <w:r>
                  <w:t>-</w:t>
                </w:r>
              </w:p>
            </w:tc>
            <w:tc>
              <w:tcPr>
                <w:tcW w:w="1409" w:type="pct"/>
                <w:tcBorders>
                  <w:top w:val="single" w:sz="6" w:space="0" w:color="auto"/>
                  <w:left w:val="single" w:sz="6" w:space="0" w:color="auto"/>
                  <w:bottom w:val="single" w:sz="6" w:space="0" w:color="auto"/>
                  <w:right w:val="single" w:sz="6" w:space="0" w:color="auto"/>
                </w:tcBorders>
                <w:vAlign w:val="center"/>
              </w:tcPr>
              <w:p w14:paraId="33E2A0B7" w14:textId="0F2BC1CD" w:rsidR="00003DDA" w:rsidRPr="00003DDA" w:rsidRDefault="00003DDA" w:rsidP="00003DDA">
                <w:pPr>
                  <w:jc w:val="right"/>
                  <w:rPr>
                    <w:rFonts w:ascii="Times New Roman" w:hAnsi="Times New Roman" w:cs="Times New Roman"/>
                    <w:szCs w:val="21"/>
                  </w:rPr>
                </w:pPr>
                <w:r>
                  <w:t>-</w:t>
                </w:r>
              </w:p>
            </w:tc>
          </w:tr>
          <w:tr w:rsidR="00003DDA" w14:paraId="09325B03" w14:textId="77777777" w:rsidTr="00003DDA">
            <w:sdt>
              <w:sdtPr>
                <w:tag w:val="_PLD_975fd21cf7f04f898ba9a18af77d6240"/>
                <w:id w:val="1563209179"/>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5E178184" w14:textId="77777777" w:rsidR="00003DDA" w:rsidRDefault="00003DDA" w:rsidP="00003DDA">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1410" w:type="pct"/>
                <w:tcBorders>
                  <w:left w:val="single" w:sz="6" w:space="0" w:color="auto"/>
                  <w:right w:val="single" w:sz="6" w:space="0" w:color="auto"/>
                </w:tcBorders>
                <w:shd w:val="clear" w:color="auto" w:fill="auto"/>
                <w:vAlign w:val="center"/>
              </w:tcPr>
              <w:p w14:paraId="46D07D98" w14:textId="1CB6923E" w:rsidR="00003DDA" w:rsidRPr="00003DDA" w:rsidRDefault="00003DDA" w:rsidP="00003DDA">
                <w:pPr>
                  <w:jc w:val="right"/>
                  <w:rPr>
                    <w:rFonts w:ascii="Times New Roman" w:hAnsi="Times New Roman" w:cs="Times New Roman"/>
                    <w:szCs w:val="21"/>
                  </w:rPr>
                </w:pPr>
                <w:r>
                  <w:t>-</w:t>
                </w:r>
              </w:p>
            </w:tc>
            <w:tc>
              <w:tcPr>
                <w:tcW w:w="1409" w:type="pct"/>
                <w:tcBorders>
                  <w:top w:val="single" w:sz="6" w:space="0" w:color="auto"/>
                  <w:left w:val="single" w:sz="6" w:space="0" w:color="auto"/>
                  <w:bottom w:val="single" w:sz="6" w:space="0" w:color="auto"/>
                  <w:right w:val="single" w:sz="6" w:space="0" w:color="auto"/>
                </w:tcBorders>
                <w:vAlign w:val="center"/>
              </w:tcPr>
              <w:p w14:paraId="476F057D" w14:textId="231513EA" w:rsidR="00003DDA" w:rsidRPr="00003DDA" w:rsidRDefault="00003DDA" w:rsidP="00003DDA">
                <w:pPr>
                  <w:jc w:val="right"/>
                  <w:rPr>
                    <w:rFonts w:ascii="Times New Roman" w:hAnsi="Times New Roman" w:cs="Times New Roman"/>
                    <w:szCs w:val="21"/>
                  </w:rPr>
                </w:pPr>
                <w:r>
                  <w:t>-</w:t>
                </w:r>
              </w:p>
            </w:tc>
          </w:tr>
          <w:tr w:rsidR="00003DDA" w14:paraId="6F623777" w14:textId="77777777" w:rsidTr="00003DDA">
            <w:sdt>
              <w:sdtPr>
                <w:tag w:val="_PLD_24a86660be95444c9447cafd3bbfe1ca"/>
                <w:id w:val="287630262"/>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6BDA4A52" w14:textId="77777777" w:rsidR="00003DDA" w:rsidRDefault="00003DDA" w:rsidP="00003DDA">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1410" w:type="pct"/>
                <w:tcBorders>
                  <w:left w:val="single" w:sz="6" w:space="0" w:color="auto"/>
                  <w:right w:val="single" w:sz="6" w:space="0" w:color="auto"/>
                </w:tcBorders>
                <w:shd w:val="clear" w:color="auto" w:fill="auto"/>
                <w:vAlign w:val="center"/>
              </w:tcPr>
              <w:p w14:paraId="30620987" w14:textId="7AA9C51B" w:rsidR="00003DDA" w:rsidRPr="00003DDA" w:rsidRDefault="00003DDA" w:rsidP="00003DDA">
                <w:pPr>
                  <w:jc w:val="right"/>
                  <w:rPr>
                    <w:rFonts w:ascii="Times New Roman" w:hAnsi="Times New Roman" w:cs="Times New Roman"/>
                    <w:szCs w:val="21"/>
                  </w:rPr>
                </w:pPr>
                <w:r>
                  <w:t>-</w:t>
                </w:r>
              </w:p>
            </w:tc>
            <w:tc>
              <w:tcPr>
                <w:tcW w:w="1409" w:type="pct"/>
                <w:tcBorders>
                  <w:top w:val="single" w:sz="6" w:space="0" w:color="auto"/>
                  <w:left w:val="single" w:sz="6" w:space="0" w:color="auto"/>
                  <w:bottom w:val="single" w:sz="6" w:space="0" w:color="auto"/>
                  <w:right w:val="single" w:sz="6" w:space="0" w:color="auto"/>
                </w:tcBorders>
                <w:vAlign w:val="center"/>
              </w:tcPr>
              <w:p w14:paraId="3C143C83" w14:textId="5DFB997D" w:rsidR="00003DDA" w:rsidRPr="00003DDA" w:rsidRDefault="00003DDA" w:rsidP="00003DDA">
                <w:pPr>
                  <w:jc w:val="right"/>
                  <w:rPr>
                    <w:rFonts w:ascii="Times New Roman" w:hAnsi="Times New Roman" w:cs="Times New Roman"/>
                    <w:szCs w:val="21"/>
                  </w:rPr>
                </w:pPr>
                <w:r>
                  <w:t>-</w:t>
                </w:r>
              </w:p>
            </w:tc>
          </w:tr>
          <w:tr w:rsidR="00003DDA" w14:paraId="798119CB" w14:textId="77777777" w:rsidTr="00003DDA">
            <w:sdt>
              <w:sdtPr>
                <w:tag w:val="_PLD_2be4185c2e6a44dfb7339347b64720df"/>
                <w:id w:val="692426679"/>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25F6D42E" w14:textId="77777777" w:rsidR="00003DDA" w:rsidRDefault="00003DDA" w:rsidP="00003DDA">
                    <w:pPr>
                      <w:rPr>
                        <w:rFonts w:cs="Arial"/>
                        <w:color w:val="000000"/>
                        <w:szCs w:val="21"/>
                      </w:rPr>
                    </w:pPr>
                    <w:r>
                      <w:rPr>
                        <w:rFonts w:cs="Arial" w:hint="eastAsia"/>
                        <w:color w:val="000000"/>
                        <w:szCs w:val="21"/>
                        <w:lang w:val="en-GB"/>
                      </w:rPr>
                      <w:t>对联营企业权益投资的账面价值</w:t>
                    </w:r>
                  </w:p>
                </w:tc>
              </w:sdtContent>
            </w:sdt>
            <w:tc>
              <w:tcPr>
                <w:tcW w:w="1410" w:type="pct"/>
                <w:tcBorders>
                  <w:left w:val="single" w:sz="6" w:space="0" w:color="auto"/>
                  <w:right w:val="single" w:sz="6" w:space="0" w:color="auto"/>
                </w:tcBorders>
                <w:shd w:val="clear" w:color="auto" w:fill="auto"/>
                <w:vAlign w:val="center"/>
              </w:tcPr>
              <w:p w14:paraId="0936BD9C" w14:textId="183C33D8" w:rsidR="00003DDA" w:rsidRPr="00003DDA" w:rsidRDefault="00003DDA" w:rsidP="00003DDA">
                <w:pPr>
                  <w:jc w:val="right"/>
                  <w:rPr>
                    <w:rFonts w:ascii="Times New Roman" w:hAnsi="Times New Roman" w:cs="Times New Roman"/>
                    <w:szCs w:val="21"/>
                  </w:rPr>
                </w:pPr>
                <w:r>
                  <w:t>-</w:t>
                </w:r>
              </w:p>
            </w:tc>
            <w:tc>
              <w:tcPr>
                <w:tcW w:w="1409" w:type="pct"/>
                <w:tcBorders>
                  <w:top w:val="single" w:sz="6" w:space="0" w:color="auto"/>
                  <w:left w:val="single" w:sz="6" w:space="0" w:color="auto"/>
                  <w:bottom w:val="single" w:sz="6" w:space="0" w:color="auto"/>
                  <w:right w:val="single" w:sz="6" w:space="0" w:color="auto"/>
                </w:tcBorders>
                <w:vAlign w:val="center"/>
              </w:tcPr>
              <w:p w14:paraId="1414B56F" w14:textId="589D9A5E" w:rsidR="00003DDA" w:rsidRPr="00003DDA" w:rsidRDefault="00003DDA" w:rsidP="00003DDA">
                <w:pPr>
                  <w:jc w:val="right"/>
                  <w:rPr>
                    <w:rFonts w:ascii="Times New Roman" w:hAnsi="Times New Roman" w:cs="Times New Roman"/>
                    <w:szCs w:val="21"/>
                  </w:rPr>
                </w:pPr>
                <w:r>
                  <w:t>-</w:t>
                </w:r>
              </w:p>
            </w:tc>
          </w:tr>
          <w:tr w:rsidR="00003DDA" w14:paraId="20B2E19B" w14:textId="77777777" w:rsidTr="00003DDA">
            <w:sdt>
              <w:sdtPr>
                <w:tag w:val="_PLD_89f7288bf5124b4794da7c1329ad7dff"/>
                <w:id w:val="-1421950384"/>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68C782F8" w14:textId="77777777" w:rsidR="00003DDA" w:rsidRDefault="00003DDA" w:rsidP="00003DDA">
                    <w:pPr>
                      <w:rPr>
                        <w:rFonts w:cs="Arial"/>
                        <w:color w:val="000000"/>
                        <w:szCs w:val="21"/>
                      </w:rPr>
                    </w:pPr>
                    <w:r>
                      <w:rPr>
                        <w:rFonts w:cs="Arial" w:hint="eastAsia"/>
                        <w:color w:val="000000"/>
                        <w:szCs w:val="21"/>
                        <w:lang w:val="en-GB"/>
                      </w:rPr>
                      <w:t>存在公开报价的联营企业权益投资的公允价值</w:t>
                    </w:r>
                  </w:p>
                </w:tc>
              </w:sdtContent>
            </w:sdt>
            <w:tc>
              <w:tcPr>
                <w:tcW w:w="1410" w:type="pct"/>
                <w:tcBorders>
                  <w:left w:val="single" w:sz="6" w:space="0" w:color="auto"/>
                  <w:right w:val="single" w:sz="6" w:space="0" w:color="auto"/>
                </w:tcBorders>
                <w:shd w:val="clear" w:color="auto" w:fill="auto"/>
                <w:vAlign w:val="center"/>
              </w:tcPr>
              <w:p w14:paraId="48F8589B" w14:textId="3137EB21" w:rsidR="00003DDA" w:rsidRPr="00003DDA" w:rsidRDefault="00003DDA" w:rsidP="00003DDA">
                <w:pPr>
                  <w:jc w:val="right"/>
                  <w:rPr>
                    <w:rFonts w:ascii="Times New Roman" w:hAnsi="Times New Roman" w:cs="Times New Roman"/>
                    <w:szCs w:val="21"/>
                  </w:rPr>
                </w:pPr>
                <w:r>
                  <w:t>-</w:t>
                </w:r>
              </w:p>
            </w:tc>
            <w:tc>
              <w:tcPr>
                <w:tcW w:w="1409" w:type="pct"/>
                <w:tcBorders>
                  <w:top w:val="single" w:sz="6" w:space="0" w:color="auto"/>
                  <w:left w:val="single" w:sz="6" w:space="0" w:color="auto"/>
                  <w:bottom w:val="single" w:sz="6" w:space="0" w:color="auto"/>
                  <w:right w:val="single" w:sz="6" w:space="0" w:color="auto"/>
                </w:tcBorders>
                <w:vAlign w:val="center"/>
              </w:tcPr>
              <w:p w14:paraId="7A6C1D74" w14:textId="494428CE" w:rsidR="00003DDA" w:rsidRPr="00003DDA" w:rsidRDefault="00003DDA" w:rsidP="00003DDA">
                <w:pPr>
                  <w:jc w:val="right"/>
                  <w:rPr>
                    <w:rFonts w:ascii="Times New Roman" w:hAnsi="Times New Roman" w:cs="Times New Roman"/>
                    <w:szCs w:val="21"/>
                  </w:rPr>
                </w:pPr>
                <w:r>
                  <w:t>-</w:t>
                </w:r>
              </w:p>
            </w:tc>
          </w:tr>
          <w:tr w:rsidR="00D21C1F" w14:paraId="4BB5CBC6" w14:textId="77777777" w:rsidTr="00003DDA">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0985B188" w14:textId="77777777" w:rsidR="00D21C1F" w:rsidRDefault="00D21C1F">
                <w:pPr>
                  <w:rPr>
                    <w:rFonts w:cs="Arial"/>
                    <w:color w:val="000000"/>
                    <w:szCs w:val="21"/>
                    <w:lang w:val="en-GB"/>
                  </w:rPr>
                </w:pPr>
              </w:p>
            </w:tc>
            <w:tc>
              <w:tcPr>
                <w:tcW w:w="1410" w:type="pct"/>
                <w:tcBorders>
                  <w:left w:val="single" w:sz="6" w:space="0" w:color="auto"/>
                  <w:right w:val="single" w:sz="6" w:space="0" w:color="auto"/>
                </w:tcBorders>
                <w:shd w:val="clear" w:color="auto" w:fill="auto"/>
                <w:vAlign w:val="center"/>
              </w:tcPr>
              <w:p w14:paraId="68F8670D" w14:textId="77777777" w:rsidR="00D21C1F" w:rsidRPr="00003DDA" w:rsidRDefault="00D21C1F" w:rsidP="00003DDA">
                <w:pPr>
                  <w:jc w:val="right"/>
                  <w:rPr>
                    <w:rFonts w:ascii="Times New Roman" w:hAnsi="Times New Roman" w:cs="Times New Roman"/>
                    <w:szCs w:val="21"/>
                  </w:rPr>
                </w:pPr>
              </w:p>
            </w:tc>
            <w:tc>
              <w:tcPr>
                <w:tcW w:w="1409" w:type="pct"/>
                <w:tcBorders>
                  <w:top w:val="single" w:sz="6" w:space="0" w:color="auto"/>
                  <w:left w:val="single" w:sz="6" w:space="0" w:color="auto"/>
                  <w:bottom w:val="single" w:sz="6" w:space="0" w:color="auto"/>
                  <w:right w:val="single" w:sz="6" w:space="0" w:color="auto"/>
                </w:tcBorders>
                <w:vAlign w:val="center"/>
              </w:tcPr>
              <w:p w14:paraId="1C9643DA" w14:textId="77777777" w:rsidR="00D21C1F" w:rsidRPr="00003DDA" w:rsidRDefault="00D21C1F" w:rsidP="00003DDA">
                <w:pPr>
                  <w:jc w:val="right"/>
                  <w:rPr>
                    <w:rFonts w:ascii="Times New Roman" w:hAnsi="Times New Roman" w:cs="Times New Roman"/>
                    <w:szCs w:val="21"/>
                  </w:rPr>
                </w:pPr>
              </w:p>
            </w:tc>
          </w:tr>
          <w:tr w:rsidR="00D21C1F" w14:paraId="5A9E01F9" w14:textId="77777777" w:rsidTr="00003DDA">
            <w:sdt>
              <w:sdtPr>
                <w:tag w:val="_PLD_3dda32d2f0f749c2b0d95dc4c3753c29"/>
                <w:id w:val="-259905389"/>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18575302" w14:textId="77777777" w:rsidR="00D21C1F" w:rsidRDefault="00A42880">
                    <w:pPr>
                      <w:rPr>
                        <w:rFonts w:cs="Arial"/>
                        <w:color w:val="000000"/>
                        <w:szCs w:val="21"/>
                      </w:rPr>
                    </w:pPr>
                    <w:r>
                      <w:rPr>
                        <w:rFonts w:cs="Arial" w:hint="eastAsia"/>
                        <w:color w:val="000000"/>
                        <w:szCs w:val="21"/>
                        <w:lang w:val="en-GB"/>
                      </w:rPr>
                      <w:t>营业收入</w:t>
                    </w:r>
                  </w:p>
                </w:tc>
              </w:sdtContent>
            </w:sdt>
            <w:tc>
              <w:tcPr>
                <w:tcW w:w="1410" w:type="pct"/>
                <w:tcBorders>
                  <w:left w:val="single" w:sz="6" w:space="0" w:color="auto"/>
                  <w:right w:val="single" w:sz="6" w:space="0" w:color="auto"/>
                </w:tcBorders>
                <w:shd w:val="clear" w:color="auto" w:fill="auto"/>
                <w:vAlign w:val="center"/>
              </w:tcPr>
              <w:p w14:paraId="691832AA"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30,683,147.90</w:t>
                </w:r>
              </w:p>
            </w:tc>
            <w:tc>
              <w:tcPr>
                <w:tcW w:w="1409" w:type="pct"/>
                <w:tcBorders>
                  <w:top w:val="single" w:sz="6" w:space="0" w:color="auto"/>
                  <w:left w:val="single" w:sz="6" w:space="0" w:color="auto"/>
                  <w:bottom w:val="single" w:sz="6" w:space="0" w:color="auto"/>
                  <w:right w:val="single" w:sz="6" w:space="0" w:color="auto"/>
                </w:tcBorders>
                <w:vAlign w:val="center"/>
              </w:tcPr>
              <w:p w14:paraId="605C93C6"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19,817,951.45</w:t>
                </w:r>
              </w:p>
            </w:tc>
          </w:tr>
          <w:tr w:rsidR="00D21C1F" w14:paraId="6C73F407" w14:textId="77777777" w:rsidTr="00003DDA">
            <w:sdt>
              <w:sdtPr>
                <w:tag w:val="_PLD_2700e40e30734ccda4fc19f6731bfd23"/>
                <w:id w:val="-588227543"/>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7ABE8EA3" w14:textId="77777777" w:rsidR="00D21C1F" w:rsidRDefault="00A42880">
                    <w:pPr>
                      <w:rPr>
                        <w:rFonts w:cs="Arial"/>
                        <w:color w:val="000000"/>
                        <w:szCs w:val="21"/>
                      </w:rPr>
                    </w:pPr>
                    <w:r>
                      <w:rPr>
                        <w:rFonts w:cs="Arial" w:hint="eastAsia"/>
                        <w:color w:val="000000"/>
                        <w:szCs w:val="21"/>
                        <w:lang w:val="en-GB"/>
                      </w:rPr>
                      <w:t>净利润</w:t>
                    </w:r>
                  </w:p>
                </w:tc>
              </w:sdtContent>
            </w:sdt>
            <w:tc>
              <w:tcPr>
                <w:tcW w:w="1410" w:type="pct"/>
                <w:tcBorders>
                  <w:left w:val="single" w:sz="6" w:space="0" w:color="auto"/>
                  <w:right w:val="single" w:sz="6" w:space="0" w:color="auto"/>
                </w:tcBorders>
                <w:shd w:val="clear" w:color="auto" w:fill="auto"/>
                <w:vAlign w:val="center"/>
              </w:tcPr>
              <w:p w14:paraId="7B72F39B"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3,447,992.50</w:t>
                </w:r>
              </w:p>
            </w:tc>
            <w:tc>
              <w:tcPr>
                <w:tcW w:w="1409" w:type="pct"/>
                <w:tcBorders>
                  <w:top w:val="single" w:sz="6" w:space="0" w:color="auto"/>
                  <w:left w:val="single" w:sz="6" w:space="0" w:color="auto"/>
                  <w:bottom w:val="single" w:sz="6" w:space="0" w:color="auto"/>
                  <w:right w:val="single" w:sz="6" w:space="0" w:color="auto"/>
                </w:tcBorders>
                <w:vAlign w:val="center"/>
              </w:tcPr>
              <w:p w14:paraId="03F86CD6"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240,409.93</w:t>
                </w:r>
              </w:p>
            </w:tc>
          </w:tr>
          <w:tr w:rsidR="00D21C1F" w14:paraId="287F9842" w14:textId="77777777" w:rsidTr="00003DDA">
            <w:sdt>
              <w:sdtPr>
                <w:tag w:val="_PLD_7123283d145f4e83a026dd1ab301c96a"/>
                <w:id w:val="-331375609"/>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3765A9C7" w14:textId="77777777" w:rsidR="00D21C1F" w:rsidRDefault="00A42880">
                    <w:pPr>
                      <w:rPr>
                        <w:rFonts w:cs="Arial"/>
                        <w:color w:val="000000"/>
                        <w:szCs w:val="21"/>
                        <w:lang w:val="en-GB"/>
                      </w:rPr>
                    </w:pPr>
                    <w:r>
                      <w:rPr>
                        <w:rFonts w:cs="Arial" w:hint="eastAsia"/>
                        <w:color w:val="000000"/>
                        <w:szCs w:val="21"/>
                        <w:lang w:val="en-GB"/>
                      </w:rPr>
                      <w:t>终止经营的净利润</w:t>
                    </w:r>
                  </w:p>
                </w:tc>
              </w:sdtContent>
            </w:sdt>
            <w:tc>
              <w:tcPr>
                <w:tcW w:w="1410" w:type="pct"/>
                <w:tcBorders>
                  <w:left w:val="single" w:sz="6" w:space="0" w:color="auto"/>
                  <w:right w:val="single" w:sz="6" w:space="0" w:color="auto"/>
                </w:tcBorders>
                <w:shd w:val="clear" w:color="auto" w:fill="auto"/>
                <w:vAlign w:val="center"/>
              </w:tcPr>
              <w:p w14:paraId="522F0D3C"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szCs w:val="21"/>
                  </w:rPr>
                  <w:t>-</w:t>
                </w:r>
              </w:p>
            </w:tc>
            <w:tc>
              <w:tcPr>
                <w:tcW w:w="1409" w:type="pct"/>
                <w:tcBorders>
                  <w:top w:val="single" w:sz="6" w:space="0" w:color="auto"/>
                  <w:left w:val="single" w:sz="6" w:space="0" w:color="auto"/>
                  <w:bottom w:val="single" w:sz="6" w:space="0" w:color="auto"/>
                  <w:right w:val="single" w:sz="6" w:space="0" w:color="auto"/>
                </w:tcBorders>
                <w:vAlign w:val="center"/>
              </w:tcPr>
              <w:p w14:paraId="721B9DBF"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szCs w:val="21"/>
                  </w:rPr>
                  <w:t>-</w:t>
                </w:r>
              </w:p>
            </w:tc>
          </w:tr>
          <w:tr w:rsidR="00D21C1F" w14:paraId="72169CBC" w14:textId="77777777" w:rsidTr="00003DDA">
            <w:sdt>
              <w:sdtPr>
                <w:tag w:val="_PLD_45e6a45abde34643910c58dce10e37dd"/>
                <w:id w:val="717947402"/>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4200D6CC" w14:textId="77777777" w:rsidR="00D21C1F" w:rsidRDefault="00A42880">
                    <w:pPr>
                      <w:rPr>
                        <w:rFonts w:cs="Arial"/>
                        <w:color w:val="000000"/>
                        <w:szCs w:val="21"/>
                      </w:rPr>
                    </w:pPr>
                    <w:r>
                      <w:rPr>
                        <w:rFonts w:cs="Arial" w:hint="eastAsia"/>
                        <w:color w:val="000000"/>
                        <w:szCs w:val="21"/>
                        <w:lang w:val="en-GB"/>
                      </w:rPr>
                      <w:t>其他综合收益</w:t>
                    </w:r>
                  </w:p>
                </w:tc>
              </w:sdtContent>
            </w:sdt>
            <w:tc>
              <w:tcPr>
                <w:tcW w:w="1410" w:type="pct"/>
                <w:tcBorders>
                  <w:left w:val="single" w:sz="6" w:space="0" w:color="auto"/>
                  <w:right w:val="single" w:sz="6" w:space="0" w:color="auto"/>
                </w:tcBorders>
                <w:shd w:val="clear" w:color="auto" w:fill="auto"/>
                <w:vAlign w:val="center"/>
              </w:tcPr>
              <w:p w14:paraId="353D1A24"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szCs w:val="21"/>
                  </w:rPr>
                  <w:t>-</w:t>
                </w:r>
              </w:p>
            </w:tc>
            <w:tc>
              <w:tcPr>
                <w:tcW w:w="1409" w:type="pct"/>
                <w:tcBorders>
                  <w:top w:val="single" w:sz="6" w:space="0" w:color="auto"/>
                  <w:left w:val="single" w:sz="6" w:space="0" w:color="auto"/>
                  <w:bottom w:val="single" w:sz="6" w:space="0" w:color="auto"/>
                  <w:right w:val="single" w:sz="6" w:space="0" w:color="auto"/>
                </w:tcBorders>
                <w:vAlign w:val="center"/>
              </w:tcPr>
              <w:p w14:paraId="04209C3E"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szCs w:val="21"/>
                  </w:rPr>
                  <w:t>-</w:t>
                </w:r>
              </w:p>
            </w:tc>
          </w:tr>
          <w:tr w:rsidR="00D21C1F" w14:paraId="7C4C9A46" w14:textId="77777777" w:rsidTr="00003DDA">
            <w:sdt>
              <w:sdtPr>
                <w:tag w:val="_PLD_46271de88b51495b853f579968062473"/>
                <w:id w:val="-1782330553"/>
                <w:lock w:val="sdtLocked"/>
              </w:sdtPr>
              <w:sdtEnd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14:paraId="6887CA8F" w14:textId="77777777" w:rsidR="00D21C1F" w:rsidRDefault="00A42880">
                    <w:pPr>
                      <w:rPr>
                        <w:rFonts w:cs="Arial"/>
                        <w:color w:val="000000"/>
                        <w:szCs w:val="21"/>
                      </w:rPr>
                    </w:pPr>
                    <w:r>
                      <w:rPr>
                        <w:rFonts w:cs="Arial" w:hint="eastAsia"/>
                        <w:color w:val="000000"/>
                        <w:szCs w:val="21"/>
                        <w:lang w:val="en-GB"/>
                      </w:rPr>
                      <w:t>综合收益总额</w:t>
                    </w:r>
                  </w:p>
                </w:tc>
              </w:sdtContent>
            </w:sdt>
            <w:tc>
              <w:tcPr>
                <w:tcW w:w="1410" w:type="pct"/>
                <w:tcBorders>
                  <w:left w:val="single" w:sz="6" w:space="0" w:color="auto"/>
                  <w:right w:val="single" w:sz="6" w:space="0" w:color="auto"/>
                </w:tcBorders>
                <w:shd w:val="clear" w:color="auto" w:fill="auto"/>
                <w:vAlign w:val="center"/>
              </w:tcPr>
              <w:p w14:paraId="3C72D04D"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3,447,992.50</w:t>
                </w:r>
              </w:p>
            </w:tc>
            <w:tc>
              <w:tcPr>
                <w:tcW w:w="1409" w:type="pct"/>
                <w:tcBorders>
                  <w:top w:val="single" w:sz="6" w:space="0" w:color="auto"/>
                  <w:left w:val="single" w:sz="6" w:space="0" w:color="auto"/>
                  <w:bottom w:val="single" w:sz="6" w:space="0" w:color="auto"/>
                  <w:right w:val="single" w:sz="6" w:space="0" w:color="auto"/>
                </w:tcBorders>
                <w:vAlign w:val="center"/>
              </w:tcPr>
              <w:p w14:paraId="1BADF995" w14:textId="77777777" w:rsidR="00D21C1F" w:rsidRPr="00003DDA" w:rsidRDefault="00A42880" w:rsidP="00003DDA">
                <w:pPr>
                  <w:jc w:val="right"/>
                  <w:rPr>
                    <w:rFonts w:ascii="Times New Roman" w:hAnsi="Times New Roman" w:cs="Times New Roman"/>
                    <w:szCs w:val="21"/>
                  </w:rPr>
                </w:pPr>
                <w:r w:rsidRPr="00003DDA">
                  <w:rPr>
                    <w:rFonts w:ascii="Times New Roman" w:hAnsi="Times New Roman" w:cs="Times New Roman"/>
                  </w:rPr>
                  <w:t>240,409.93</w:t>
                </w:r>
              </w:p>
            </w:tc>
          </w:tr>
          <w:tr w:rsidR="00D21C1F" w14:paraId="6722604B" w14:textId="77777777" w:rsidTr="00003DDA">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14:paraId="21C764C5" w14:textId="77777777" w:rsidR="00D21C1F" w:rsidRDefault="00D21C1F">
                <w:pPr>
                  <w:rPr>
                    <w:rFonts w:cs="Arial"/>
                    <w:color w:val="000000"/>
                    <w:szCs w:val="21"/>
                    <w:lang w:val="en-GB"/>
                  </w:rPr>
                </w:pPr>
              </w:p>
            </w:tc>
            <w:tc>
              <w:tcPr>
                <w:tcW w:w="1410" w:type="pct"/>
                <w:tcBorders>
                  <w:left w:val="single" w:sz="6" w:space="0" w:color="auto"/>
                  <w:bottom w:val="single" w:sz="4" w:space="0" w:color="auto"/>
                  <w:right w:val="single" w:sz="6" w:space="0" w:color="auto"/>
                </w:tcBorders>
                <w:shd w:val="clear" w:color="auto" w:fill="auto"/>
                <w:vAlign w:val="center"/>
              </w:tcPr>
              <w:p w14:paraId="79719E6C" w14:textId="77777777" w:rsidR="00D21C1F" w:rsidRPr="00003DDA" w:rsidRDefault="00D21C1F" w:rsidP="00003DDA">
                <w:pPr>
                  <w:jc w:val="right"/>
                  <w:rPr>
                    <w:rFonts w:ascii="Times New Roman" w:hAnsi="Times New Roman" w:cs="Times New Roman"/>
                    <w:szCs w:val="21"/>
                  </w:rPr>
                </w:pPr>
              </w:p>
            </w:tc>
            <w:tc>
              <w:tcPr>
                <w:tcW w:w="1409" w:type="pct"/>
                <w:tcBorders>
                  <w:top w:val="single" w:sz="6" w:space="0" w:color="auto"/>
                  <w:left w:val="single" w:sz="6" w:space="0" w:color="auto"/>
                  <w:bottom w:val="single" w:sz="4" w:space="0" w:color="auto"/>
                  <w:right w:val="single" w:sz="6" w:space="0" w:color="auto"/>
                </w:tcBorders>
                <w:vAlign w:val="center"/>
              </w:tcPr>
              <w:p w14:paraId="16D792AB" w14:textId="77777777" w:rsidR="00D21C1F" w:rsidRPr="00003DDA" w:rsidRDefault="00D21C1F" w:rsidP="00003DDA">
                <w:pPr>
                  <w:jc w:val="right"/>
                  <w:rPr>
                    <w:rFonts w:ascii="Times New Roman" w:hAnsi="Times New Roman" w:cs="Times New Roman"/>
                    <w:szCs w:val="21"/>
                  </w:rPr>
                </w:pPr>
              </w:p>
            </w:tc>
          </w:tr>
          <w:tr w:rsidR="00D21C1F" w14:paraId="6D4990E4" w14:textId="77777777" w:rsidTr="00003DDA">
            <w:sdt>
              <w:sdtPr>
                <w:tag w:val="_PLD_45708a7f3d4a4100b1e84bcc428b4104"/>
                <w:id w:val="-769855361"/>
                <w:lock w:val="sdtLocked"/>
              </w:sdtPr>
              <w:sdtEndPr/>
              <w:sdtContent>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14:paraId="2CD5039A" w14:textId="77777777" w:rsidR="00D21C1F" w:rsidRDefault="00A42880">
                    <w:pPr>
                      <w:rPr>
                        <w:rFonts w:cs="Arial"/>
                        <w:color w:val="000000"/>
                        <w:szCs w:val="21"/>
                      </w:rPr>
                    </w:pPr>
                    <w:r>
                      <w:rPr>
                        <w:rFonts w:cs="Arial" w:hint="eastAsia"/>
                        <w:color w:val="000000"/>
                        <w:szCs w:val="21"/>
                        <w:lang w:val="en-GB"/>
                      </w:rPr>
                      <w:t>本年度收到的来自联营企业的股利</w:t>
                    </w:r>
                  </w:p>
                </w:tc>
              </w:sdtContent>
            </w:sdt>
            <w:tc>
              <w:tcPr>
                <w:tcW w:w="1410" w:type="pct"/>
                <w:tcBorders>
                  <w:left w:val="single" w:sz="6" w:space="0" w:color="auto"/>
                  <w:bottom w:val="single" w:sz="4" w:space="0" w:color="auto"/>
                  <w:right w:val="single" w:sz="6" w:space="0" w:color="auto"/>
                </w:tcBorders>
                <w:shd w:val="clear" w:color="auto" w:fill="auto"/>
                <w:vAlign w:val="center"/>
              </w:tcPr>
              <w:p w14:paraId="02F7E312" w14:textId="77777777" w:rsidR="00D21C1F" w:rsidRPr="00003DDA" w:rsidRDefault="00A42880" w:rsidP="00003DDA">
                <w:pPr>
                  <w:jc w:val="right"/>
                  <w:rPr>
                    <w:rFonts w:ascii="Times New Roman" w:hAnsi="Times New Roman" w:cs="Times New Roman"/>
                  </w:rPr>
                </w:pPr>
                <w:r w:rsidRPr="00003DDA">
                  <w:rPr>
                    <w:rFonts w:ascii="Times New Roman" w:hAnsi="Times New Roman" w:cs="Times New Roman"/>
                  </w:rPr>
                  <w:t>-</w:t>
                </w:r>
              </w:p>
            </w:tc>
            <w:tc>
              <w:tcPr>
                <w:tcW w:w="1409" w:type="pct"/>
                <w:tcBorders>
                  <w:top w:val="single" w:sz="6" w:space="0" w:color="auto"/>
                  <w:left w:val="single" w:sz="6" w:space="0" w:color="auto"/>
                  <w:bottom w:val="single" w:sz="4" w:space="0" w:color="auto"/>
                  <w:right w:val="single" w:sz="6" w:space="0" w:color="auto"/>
                </w:tcBorders>
                <w:vAlign w:val="center"/>
              </w:tcPr>
              <w:p w14:paraId="7ACEDEE2" w14:textId="77777777" w:rsidR="00D21C1F" w:rsidRPr="00003DDA" w:rsidRDefault="00A42880" w:rsidP="00003DDA">
                <w:pPr>
                  <w:jc w:val="right"/>
                  <w:rPr>
                    <w:rFonts w:ascii="Times New Roman" w:hAnsi="Times New Roman" w:cs="Times New Roman"/>
                  </w:rPr>
                </w:pPr>
                <w:r w:rsidRPr="00003DDA">
                  <w:rPr>
                    <w:rFonts w:ascii="Times New Roman" w:hAnsi="Times New Roman" w:cs="Times New Roman"/>
                  </w:rPr>
                  <w:t>-</w:t>
                </w:r>
              </w:p>
            </w:tc>
          </w:tr>
        </w:tbl>
        <w:p w14:paraId="3A487749" w14:textId="77777777" w:rsidR="00D21C1F" w:rsidRDefault="00045EC6"/>
      </w:sdtContent>
    </w:sdt>
    <w:sdt>
      <w:sdtPr>
        <w:rPr>
          <w:rFonts w:cs="Arial"/>
          <w:szCs w:val="21"/>
        </w:rPr>
        <w:alias w:val="模块:重要联营企业的主要财务信息其他说明的方法"/>
        <w:tag w:val="_SEC_3191928276884aa0be18ac148aa436b7"/>
        <w:id w:val="-577363885"/>
        <w:lock w:val="sdtLocked"/>
        <w:placeholder>
          <w:docPart w:val="GBC22222222222222222222222222222"/>
        </w:placeholder>
      </w:sdtPr>
      <w:sdtEndPr/>
      <w:sdtContent>
        <w:p w14:paraId="0914FA1F" w14:textId="77777777" w:rsidR="00D21C1F" w:rsidRDefault="00A42880">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1444525590"/>
            <w:lock w:val="sdtLocked"/>
            <w:placeholder>
              <w:docPart w:val="GBC22222222222222222222222222222"/>
            </w:placeholder>
          </w:sdtPr>
          <w:sdtEndPr/>
          <w:sdtContent>
            <w:p w14:paraId="04CC3F7F" w14:textId="77777777" w:rsidR="00D21C1F" w:rsidRDefault="00A42880">
              <w:pPr>
                <w:rPr>
                  <w:rFonts w:cs="Arial"/>
                  <w:szCs w:val="21"/>
                </w:rPr>
              </w:pPr>
              <w:r>
                <w:rPr>
                  <w:rFonts w:cs="Arial" w:hint="eastAsia"/>
                  <w:szCs w:val="21"/>
                </w:rPr>
                <w:t>无</w:t>
              </w:r>
            </w:p>
            <w:p w14:paraId="2AACA283" w14:textId="77777777" w:rsidR="00D21C1F" w:rsidRDefault="00045EC6">
              <w:pPr>
                <w:rPr>
                  <w:rFonts w:cs="Arial"/>
                  <w:szCs w:val="21"/>
                </w:rPr>
              </w:pPr>
            </w:p>
          </w:sdtContent>
        </w:sdt>
      </w:sdtContent>
    </w:sdt>
    <w:sdt>
      <w:sdtPr>
        <w:rPr>
          <w:rFonts w:ascii="宋体" w:eastAsia="宋体" w:hAnsi="宋体" w:cs="Arial" w:hint="eastAsia"/>
          <w:b w:val="0"/>
          <w:bCs w:val="0"/>
          <w:kern w:val="0"/>
          <w:szCs w:val="21"/>
        </w:rPr>
        <w:alias w:val="模块:不重要的合营企业和联营企业的汇总财务信息"/>
        <w:tag w:val="_GBC_7592afe8201c4b36a34fa177ca124037"/>
        <w:id w:val="698661476"/>
        <w:lock w:val="sdtLocked"/>
        <w:placeholder>
          <w:docPart w:val="GBC22222222222222222222222222222"/>
        </w:placeholder>
      </w:sdtPr>
      <w:sdtEndPr>
        <w:rPr>
          <w:rFonts w:hint="default"/>
        </w:rPr>
      </w:sdtEndPr>
      <w:sdtContent>
        <w:p w14:paraId="3BE337FC" w14:textId="77777777" w:rsidR="00D21C1F" w:rsidRDefault="00A42880">
          <w:pPr>
            <w:pStyle w:val="93"/>
            <w:numPr>
              <w:ilvl w:val="3"/>
              <w:numId w:val="132"/>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262420754"/>
            <w:lock w:val="sdtLocked"/>
            <w:placeholder>
              <w:docPart w:val="GBC22222222222222222222222222222"/>
            </w:placeholder>
          </w:sdtPr>
          <w:sdtEndPr/>
          <w:sdtContent>
            <w:p w14:paraId="16E7817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5E4736" w14:textId="77777777" w:rsidR="00D21C1F" w:rsidRDefault="00A42880">
          <w:pPr>
            <w:jc w:val="right"/>
          </w:pPr>
          <w:r>
            <w:rPr>
              <w:rFonts w:hint="eastAsia"/>
            </w:rPr>
            <w:t>单位：</w:t>
          </w:r>
          <w:sdt>
            <w:sdtPr>
              <w:rPr>
                <w:rFonts w:hint="eastAsia"/>
              </w:rPr>
              <w:alias w:val="单位：财务附注：不重要的合营企业和联营企业的汇总财务信息"/>
              <w:tag w:val="_GBC_d02efd9c85904b029b5a51b02d9519e8"/>
              <w:id w:val="55360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不重要的合营企业和联营企业的汇总财务信息"/>
              <w:tag w:val="_GBC_a6fa35df627e4d9584fb9c311eb6a4b5"/>
              <w:id w:val="-895892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95"/>
            <w:gridCol w:w="2998"/>
          </w:tblGrid>
          <w:tr w:rsidR="00D21C1F" w14:paraId="51BAC349" w14:textId="77777777">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14:paraId="1DDEB710" w14:textId="77777777" w:rsidR="00D21C1F" w:rsidRDefault="00D21C1F">
                <w:pPr>
                  <w:jc w:val="center"/>
                  <w:rPr>
                    <w:rFonts w:cs="Arial"/>
                    <w:szCs w:val="21"/>
                  </w:rPr>
                </w:pPr>
              </w:p>
            </w:tc>
            <w:sdt>
              <w:sdtPr>
                <w:tag w:val="_PLD_7dc69fc7f68243e6b4f46db3a94dd47f"/>
                <w:id w:val="-1541192611"/>
                <w:lock w:val="sdtLocked"/>
              </w:sdtPr>
              <w:sdtEnd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14:paraId="0421AF7E" w14:textId="77777777" w:rsidR="00D21C1F" w:rsidRDefault="00A42880">
                    <w:pPr>
                      <w:jc w:val="center"/>
                      <w:rPr>
                        <w:rFonts w:cs="Arial"/>
                        <w:szCs w:val="21"/>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tag w:val="_PLD_ffe9f9922ada461388adfb92ed1e3072"/>
                <w:id w:val="26996385"/>
                <w:lock w:val="sdtLocked"/>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14:paraId="1B561D9D" w14:textId="77777777" w:rsidR="00D21C1F" w:rsidRDefault="00A42880">
                    <w:pPr>
                      <w:jc w:val="center"/>
                      <w:rPr>
                        <w:rFonts w:cs="Arial"/>
                        <w:szCs w:val="21"/>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D21C1F" w14:paraId="06B98810" w14:textId="77777777">
            <w:trPr>
              <w:jc w:val="center"/>
            </w:trPr>
            <w:sdt>
              <w:sdtPr>
                <w:tag w:val="_PLD_1bd24e2b6e8f4bddad27bea53e1b1b0a"/>
                <w:id w:val="141934651"/>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04E2AAA7" w14:textId="77777777" w:rsidR="00D21C1F" w:rsidRDefault="00A42880">
                    <w:pPr>
                      <w:rPr>
                        <w:szCs w:val="21"/>
                      </w:rPr>
                    </w:pPr>
                    <w:r>
                      <w:rPr>
                        <w:rFonts w:cs="Arial" w:hint="eastAsia"/>
                        <w:szCs w:val="21"/>
                        <w:lang w:val="en-GB"/>
                      </w:rPr>
                      <w:t>联营企业：</w:t>
                    </w:r>
                  </w:p>
                </w:tc>
              </w:sdtContent>
            </w:sdt>
          </w:tr>
          <w:tr w:rsidR="00D21C1F" w14:paraId="6BBB4F93" w14:textId="77777777">
            <w:trPr>
              <w:jc w:val="center"/>
            </w:trPr>
            <w:sdt>
              <w:sdtPr>
                <w:tag w:val="_PLD_96f92a97765344699f3fe74a7c29502b"/>
                <w:id w:val="-326210667"/>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16A5748E" w14:textId="77777777" w:rsidR="00D21C1F" w:rsidRDefault="00A42880">
                    <w:pPr>
                      <w:rPr>
                        <w:rFonts w:cs="Arial"/>
                        <w:color w:val="000000"/>
                        <w:szCs w:val="21"/>
                      </w:rPr>
                    </w:pPr>
                    <w:r>
                      <w:rPr>
                        <w:rFonts w:cs="Arial" w:hint="eastAsia"/>
                        <w:color w:val="000000"/>
                        <w:szCs w:val="21"/>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14:paraId="64751B8A"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rPr>
                  <w:t>8,168,136.84</w:t>
                </w:r>
              </w:p>
            </w:tc>
            <w:tc>
              <w:tcPr>
                <w:tcW w:w="1699" w:type="pct"/>
                <w:tcBorders>
                  <w:top w:val="single" w:sz="6" w:space="0" w:color="auto"/>
                  <w:left w:val="single" w:sz="6" w:space="0" w:color="auto"/>
                  <w:bottom w:val="single" w:sz="6" w:space="0" w:color="auto"/>
                  <w:right w:val="single" w:sz="4" w:space="0" w:color="auto"/>
                </w:tcBorders>
                <w:vAlign w:val="center"/>
              </w:tcPr>
              <w:p w14:paraId="7BAE608F"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rPr>
                  <w:t>3,931,083.56</w:t>
                </w:r>
              </w:p>
            </w:tc>
          </w:tr>
          <w:tr w:rsidR="00D21C1F" w14:paraId="75F0503B" w14:textId="77777777">
            <w:trPr>
              <w:jc w:val="center"/>
            </w:trPr>
            <w:sdt>
              <w:sdtPr>
                <w:rPr>
                  <w:rFonts w:ascii="Times New Roman" w:hAnsi="Times New Roman" w:cs="Times New Roman"/>
                </w:rPr>
                <w:tag w:val="_PLD_31587dee61f14709a752f002668255e6"/>
                <w:id w:val="-1820259255"/>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0BE89D89" w14:textId="77777777" w:rsidR="00D21C1F" w:rsidRPr="00003DDA" w:rsidRDefault="00A42880">
                    <w:pPr>
                      <w:rPr>
                        <w:rFonts w:ascii="Times New Roman" w:hAnsi="Times New Roman" w:cs="Times New Roman"/>
                        <w:szCs w:val="21"/>
                      </w:rPr>
                    </w:pPr>
                    <w:r w:rsidRPr="00003DDA">
                      <w:rPr>
                        <w:rFonts w:ascii="Times New Roman" w:hAnsi="Times New Roman" w:cs="Times New Roman"/>
                        <w:color w:val="000000"/>
                        <w:szCs w:val="21"/>
                        <w:lang w:val="en-GB"/>
                      </w:rPr>
                      <w:t>下列各项按持股比例计算的合计数</w:t>
                    </w:r>
                  </w:p>
                </w:tc>
              </w:sdtContent>
            </w:sdt>
          </w:tr>
          <w:tr w:rsidR="00D21C1F" w14:paraId="2564CDF4" w14:textId="77777777">
            <w:trPr>
              <w:jc w:val="center"/>
            </w:trPr>
            <w:sdt>
              <w:sdtPr>
                <w:tag w:val="_PLD_4bb9c04db78d44db8ec834da9e330d51"/>
                <w:id w:val="-1575660400"/>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1F42E1DE" w14:textId="77777777" w:rsidR="00D21C1F" w:rsidRDefault="00A42880">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vAlign w:val="center"/>
              </w:tcPr>
              <w:p w14:paraId="63DFD3FE"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rPr>
                  <w:t>-484,955.13</w:t>
                </w:r>
              </w:p>
            </w:tc>
            <w:tc>
              <w:tcPr>
                <w:tcW w:w="1699" w:type="pct"/>
                <w:tcBorders>
                  <w:top w:val="single" w:sz="6" w:space="0" w:color="auto"/>
                  <w:left w:val="single" w:sz="6" w:space="0" w:color="auto"/>
                  <w:bottom w:val="single" w:sz="6" w:space="0" w:color="auto"/>
                  <w:right w:val="single" w:sz="4" w:space="0" w:color="auto"/>
                </w:tcBorders>
                <w:vAlign w:val="center"/>
              </w:tcPr>
              <w:p w14:paraId="1CD4A904"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rPr>
                  <w:t>-546,701.86</w:t>
                </w:r>
              </w:p>
            </w:tc>
          </w:tr>
          <w:tr w:rsidR="00D21C1F" w14:paraId="5EDAF801" w14:textId="77777777">
            <w:trPr>
              <w:jc w:val="center"/>
            </w:trPr>
            <w:sdt>
              <w:sdtPr>
                <w:tag w:val="_PLD_861ee8b21c034bf6a2fe80950a41eead"/>
                <w:id w:val="174822459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73DD8C4" w14:textId="77777777" w:rsidR="00D21C1F" w:rsidRDefault="00A42880">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14:paraId="0AB1A9DA"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w:t>
                </w:r>
              </w:p>
            </w:tc>
            <w:tc>
              <w:tcPr>
                <w:tcW w:w="1699" w:type="pct"/>
                <w:tcBorders>
                  <w:top w:val="single" w:sz="6" w:space="0" w:color="auto"/>
                  <w:left w:val="single" w:sz="6" w:space="0" w:color="auto"/>
                  <w:bottom w:val="single" w:sz="6" w:space="0" w:color="auto"/>
                  <w:right w:val="single" w:sz="4" w:space="0" w:color="auto"/>
                </w:tcBorders>
              </w:tcPr>
              <w:p w14:paraId="5CCDD115"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w:t>
                </w:r>
              </w:p>
            </w:tc>
          </w:tr>
          <w:tr w:rsidR="00D21C1F" w14:paraId="2DF5337E" w14:textId="77777777">
            <w:trPr>
              <w:jc w:val="center"/>
            </w:trPr>
            <w:sdt>
              <w:sdtPr>
                <w:tag w:val="_PLD_53750ad8db9448d19b3096748652d9bc"/>
                <w:id w:val="-1377226148"/>
                <w:lock w:val="sdtLocked"/>
              </w:sdtPr>
              <w:sdtEnd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14:paraId="1169355A" w14:textId="77777777" w:rsidR="00D21C1F" w:rsidRDefault="00A42880">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Borders>
                  <w:top w:val="single" w:sz="6" w:space="0" w:color="auto"/>
                  <w:left w:val="single" w:sz="6" w:space="0" w:color="auto"/>
                  <w:bottom w:val="single" w:sz="4" w:space="0" w:color="auto"/>
                  <w:right w:val="single" w:sz="6" w:space="0" w:color="auto"/>
                </w:tcBorders>
                <w:vAlign w:val="center"/>
              </w:tcPr>
              <w:p w14:paraId="0C308242"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rPr>
                  <w:t>-484,955.13</w:t>
                </w:r>
              </w:p>
            </w:tc>
            <w:tc>
              <w:tcPr>
                <w:tcW w:w="1699" w:type="pct"/>
                <w:tcBorders>
                  <w:top w:val="single" w:sz="6" w:space="0" w:color="auto"/>
                  <w:left w:val="single" w:sz="6" w:space="0" w:color="auto"/>
                  <w:bottom w:val="single" w:sz="4" w:space="0" w:color="auto"/>
                  <w:right w:val="single" w:sz="4" w:space="0" w:color="auto"/>
                </w:tcBorders>
                <w:vAlign w:val="center"/>
              </w:tcPr>
              <w:p w14:paraId="3C01D92C"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rPr>
                  <w:t>-546,701.86</w:t>
                </w:r>
              </w:p>
            </w:tc>
          </w:tr>
        </w:tbl>
        <w:p w14:paraId="32C53FB1" w14:textId="77777777" w:rsidR="00D21C1F" w:rsidRDefault="00A42880">
          <w:pPr>
            <w:rPr>
              <w:rFonts w:cs="Arial"/>
              <w:szCs w:val="21"/>
            </w:rPr>
          </w:pPr>
          <w:r>
            <w:rPr>
              <w:rFonts w:cs="Arial" w:hint="eastAsia"/>
              <w:szCs w:val="21"/>
            </w:rPr>
            <w:t>其他说明</w:t>
          </w:r>
        </w:p>
        <w:p w14:paraId="542937C0" w14:textId="77777777" w:rsidR="00D21C1F" w:rsidRDefault="00045EC6">
          <w:pPr>
            <w:rPr>
              <w:rFonts w:cs="Arial"/>
              <w:szCs w:val="21"/>
            </w:rPr>
          </w:pPr>
          <w:sdt>
            <w:sdtPr>
              <w:rPr>
                <w:szCs w:val="21"/>
              </w:rPr>
              <w:alias w:val="不重要的合营企业和联营企业的汇总财务信息其他说明"/>
              <w:tag w:val="_GBC_78096995ca9848409e6780ab5f1386f8"/>
              <w:id w:val="-1262294617"/>
              <w:lock w:val="sdtLocked"/>
              <w:placeholder>
                <w:docPart w:val="GBC22222222222222222222222222222"/>
              </w:placeholder>
            </w:sdtPr>
            <w:sdtEndPr/>
            <w:sdtContent>
              <w:r w:rsidR="00A42880">
                <w:rPr>
                  <w:rFonts w:hint="eastAsia"/>
                  <w:szCs w:val="21"/>
                </w:rPr>
                <w:t>无</w:t>
              </w:r>
            </w:sdtContent>
          </w:sdt>
        </w:p>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204130716"/>
        <w:lock w:val="sdtLocked"/>
        <w:placeholder>
          <w:docPart w:val="GBC22222222222222222222222222222"/>
        </w:placeholder>
      </w:sdtPr>
      <w:sdtEndPr/>
      <w:sdtContent>
        <w:p w14:paraId="4C4CA168" w14:textId="77777777" w:rsidR="00D21C1F" w:rsidRDefault="00A42880">
          <w:pPr>
            <w:pStyle w:val="93"/>
            <w:numPr>
              <w:ilvl w:val="3"/>
              <w:numId w:val="132"/>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37712060"/>
            <w:lock w:val="sdtLocked"/>
            <w:placeholder>
              <w:docPart w:val="GBC22222222222222222222222222222"/>
            </w:placeholder>
          </w:sdtPr>
          <w:sdtEndPr/>
          <w:sdtContent>
            <w:p w14:paraId="32D8F8C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合营企业或联营企业发生的超额亏损"/>
        <w:tag w:val="_GBC_a9980062c82d44acae24fae7368ea42f"/>
        <w:id w:val="-1254272241"/>
        <w:lock w:val="sdtLocked"/>
        <w:placeholder>
          <w:docPart w:val="GBC22222222222222222222222222222"/>
        </w:placeholder>
      </w:sdtPr>
      <w:sdtEndPr>
        <w:rPr>
          <w:rFonts w:cstheme="minorBidi" w:hint="default"/>
        </w:rPr>
      </w:sdtEndPr>
      <w:sdtContent>
        <w:p w14:paraId="48CC0C7C" w14:textId="77777777" w:rsidR="00D21C1F" w:rsidRDefault="00A42880">
          <w:pPr>
            <w:pStyle w:val="93"/>
            <w:numPr>
              <w:ilvl w:val="3"/>
              <w:numId w:val="132"/>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418922417"/>
            <w:lock w:val="sdtLocked"/>
            <w:placeholder>
              <w:docPart w:val="GBC22222222222222222222222222222"/>
            </w:placeholder>
          </w:sdtPr>
          <w:sdtEndPr/>
          <w:sdtContent>
            <w:p w14:paraId="5707BB0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Arial" w:hint="eastAsia"/>
          <w:b w:val="0"/>
          <w:bCs w:val="0"/>
          <w:kern w:val="0"/>
          <w:szCs w:val="21"/>
        </w:rPr>
        <w:alias w:val="模块:与合营企业投资相关的未确认承诺"/>
        <w:tag w:val="_GBC_da055842bf8c4e9598b87bd760d969ec"/>
        <w:id w:val="2080789933"/>
        <w:lock w:val="sdtLocked"/>
        <w:placeholder>
          <w:docPart w:val="GBC22222222222222222222222222222"/>
        </w:placeholder>
      </w:sdtPr>
      <w:sdtEndPr/>
      <w:sdtContent>
        <w:p w14:paraId="5E9DD38D" w14:textId="77777777" w:rsidR="00D21C1F" w:rsidRDefault="00A42880">
          <w:pPr>
            <w:pStyle w:val="93"/>
            <w:numPr>
              <w:ilvl w:val="3"/>
              <w:numId w:val="132"/>
            </w:numPr>
            <w:tabs>
              <w:tab w:val="left" w:pos="630"/>
            </w:tabs>
            <w:rPr>
              <w:rFonts w:ascii="宋体" w:hAnsi="宋体" w:cs="Arial"/>
              <w:szCs w:val="21"/>
            </w:rPr>
          </w:pPr>
          <w:r>
            <w:rPr>
              <w:rFonts w:ascii="宋体" w:hAnsi="宋体" w:cs="Arial" w:hint="eastAsia"/>
              <w:szCs w:val="21"/>
            </w:rPr>
            <w:t>与合营企业投资相关的未确认承诺</w:t>
          </w:r>
        </w:p>
        <w:sdt>
          <w:sdtPr>
            <w:alias w:val="是否适用：与合营企业投资相关的未确认承诺[双击切换]"/>
            <w:tag w:val="_GBC_9d014d8b476148b59476808a5cda81d8"/>
            <w:id w:val="-1410072763"/>
            <w:lock w:val="sdtLocked"/>
            <w:placeholder>
              <w:docPart w:val="GBC22222222222222222222222222222"/>
            </w:placeholder>
          </w:sdtPr>
          <w:sdtEndPr/>
          <w:sdtContent>
            <w:p w14:paraId="67C9BF48" w14:textId="77777777" w:rsidR="00D21C1F" w:rsidRDefault="00A4288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Arial" w:hint="eastAsia"/>
          <w:b w:val="0"/>
          <w:bCs w:val="0"/>
          <w:kern w:val="0"/>
          <w:szCs w:val="21"/>
        </w:rPr>
        <w:alias w:val="模块:与合营企业或联营企业投资相关的或有负债"/>
        <w:tag w:val="_GBC_1f803def681a42ba91cdde709a067b3f"/>
        <w:id w:val="-153914416"/>
        <w:lock w:val="sdtLocked"/>
        <w:placeholder>
          <w:docPart w:val="GBC22222222222222222222222222222"/>
        </w:placeholder>
      </w:sdtPr>
      <w:sdtEndPr/>
      <w:sdtContent>
        <w:p w14:paraId="41BC1F0C" w14:textId="77777777" w:rsidR="00D21C1F" w:rsidRDefault="00A42880">
          <w:pPr>
            <w:pStyle w:val="93"/>
            <w:numPr>
              <w:ilvl w:val="3"/>
              <w:numId w:val="132"/>
            </w:numPr>
            <w:tabs>
              <w:tab w:val="left" w:pos="630"/>
            </w:tabs>
            <w:rPr>
              <w:rFonts w:ascii="宋体" w:hAnsi="宋体" w:cs="Arial"/>
              <w:szCs w:val="21"/>
            </w:rPr>
          </w:pPr>
          <w:r>
            <w:rPr>
              <w:rFonts w:ascii="宋体" w:hAnsi="宋体" w:cs="Arial" w:hint="eastAsia"/>
              <w:szCs w:val="21"/>
            </w:rPr>
            <w:t>与合营企业或联营企业投资相关的或有负债</w:t>
          </w:r>
        </w:p>
        <w:sdt>
          <w:sdtPr>
            <w:alias w:val="是否适用：与合营企业或联营企业投资相关的或有负债[双击切换]"/>
            <w:tag w:val="_GBC_caba618be81b4cb1acf89073549a456a"/>
            <w:id w:val="761880848"/>
            <w:lock w:val="sdtLocked"/>
            <w:placeholder>
              <w:docPart w:val="GBC22222222222222222222222222222"/>
            </w:placeholder>
          </w:sdtPr>
          <w:sdtEndPr/>
          <w:sdtContent>
            <w:p w14:paraId="68FFECCB" w14:textId="77777777" w:rsidR="00D21C1F" w:rsidRDefault="00A4288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重要的共同经营"/>
        <w:tag w:val="_GBC_90d44eb1222944759107483908112493"/>
        <w:id w:val="-931199861"/>
        <w:lock w:val="sdtLocked"/>
        <w:placeholder>
          <w:docPart w:val="GBC22222222222222222222222222222"/>
        </w:placeholder>
      </w:sdtPr>
      <w:sdtEndPr>
        <w:rPr>
          <w:rFonts w:cstheme="minorBidi" w:hint="default"/>
        </w:rPr>
      </w:sdtEndPr>
      <w:sdtContent>
        <w:p w14:paraId="3D2C14FE" w14:textId="77777777" w:rsidR="00D21C1F" w:rsidRDefault="00A42880">
          <w:pPr>
            <w:pStyle w:val="94"/>
            <w:numPr>
              <w:ilvl w:val="2"/>
              <w:numId w:val="130"/>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391768109"/>
            <w:lock w:val="sdtLocked"/>
            <w:placeholder>
              <w:docPart w:val="GBC22222222222222222222222222222"/>
            </w:placeholder>
          </w:sdtPr>
          <w:sdtEndPr/>
          <w:sdtContent>
            <w:p w14:paraId="5F2E27A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Arial" w:hint="eastAsia"/>
          <w:b w:val="0"/>
          <w:bCs w:val="0"/>
          <w:kern w:val="0"/>
          <w:szCs w:val="21"/>
        </w:rPr>
        <w:alias w:val="模块:在未纳入合并财务报表范围的结构化主体中的权益"/>
        <w:tag w:val="_GBC_5cfea65e45c44f1b9fdec762be35880d"/>
        <w:id w:val="-891417093"/>
        <w:lock w:val="sdtLocked"/>
        <w:placeholder>
          <w:docPart w:val="GBC22222222222222222222222222222"/>
        </w:placeholder>
      </w:sdtPr>
      <w:sdtEndPr/>
      <w:sdtContent>
        <w:p w14:paraId="08B4AB55" w14:textId="77777777" w:rsidR="00D21C1F" w:rsidRDefault="00A42880">
          <w:pPr>
            <w:pStyle w:val="94"/>
            <w:numPr>
              <w:ilvl w:val="2"/>
              <w:numId w:val="130"/>
            </w:numPr>
            <w:rPr>
              <w:rFonts w:ascii="宋体" w:hAnsi="宋体" w:cs="Arial"/>
              <w:szCs w:val="21"/>
            </w:rPr>
          </w:pPr>
          <w:r>
            <w:rPr>
              <w:rFonts w:ascii="宋体" w:hAnsi="宋体" w:cs="Arial" w:hint="eastAsia"/>
              <w:szCs w:val="21"/>
            </w:rPr>
            <w:t>在未纳入合并财务报表范围的结构化主体中的权益</w:t>
          </w:r>
        </w:p>
        <w:p w14:paraId="161D980D" w14:textId="77777777" w:rsidR="00D21C1F" w:rsidRDefault="00A42880">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1689208748"/>
            <w:lock w:val="sdtLocked"/>
            <w:placeholder>
              <w:docPart w:val="GBC22222222222222222222222222222"/>
            </w:placeholder>
          </w:sdtPr>
          <w:sdtEndPr/>
          <w:sdtContent>
            <w:p w14:paraId="085ED8BB" w14:textId="77777777" w:rsidR="00D21C1F" w:rsidRDefault="00A42880">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171576688"/>
        <w:lock w:val="sdtLocked"/>
        <w:placeholder>
          <w:docPart w:val="GBC22222222222222222222222222222"/>
        </w:placeholder>
      </w:sdtPr>
      <w:sdtEndPr/>
      <w:sdtContent>
        <w:p w14:paraId="39AD45A4" w14:textId="77777777" w:rsidR="00D21C1F" w:rsidRDefault="00A42880">
          <w:pPr>
            <w:pStyle w:val="94"/>
            <w:numPr>
              <w:ilvl w:val="2"/>
              <w:numId w:val="130"/>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1417092932"/>
            <w:lock w:val="sdtLocked"/>
            <w:placeholder>
              <w:docPart w:val="GBC22222222222222222222222222222"/>
            </w:placeholder>
          </w:sdtPr>
          <w:sdtEndPr/>
          <w:sdtContent>
            <w:p w14:paraId="475577E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4E58BCC" w14:textId="77777777" w:rsidR="00D21C1F" w:rsidRDefault="00D21C1F">
      <w:pPr>
        <w:pStyle w:val="97"/>
      </w:pPr>
    </w:p>
    <w:sdt>
      <w:sdtPr>
        <w:rPr>
          <w:rFonts w:eastAsia="宋体" w:hint="eastAsia"/>
          <w:b w:val="0"/>
          <w:bCs w:val="0"/>
        </w:rPr>
        <w:alias w:val="模块:与金融工具相关的风险"/>
        <w:tag w:val="_GBC_815d628fea814e7191d23a3fcbe2783c"/>
        <w:id w:val="1287384768"/>
        <w:lock w:val="sdtLocked"/>
        <w:placeholder>
          <w:docPart w:val="GBC22222222222222222222222222222"/>
        </w:placeholder>
      </w:sdtPr>
      <w:sdtEndPr/>
      <w:sdtContent>
        <w:p w14:paraId="6530D165" w14:textId="77777777" w:rsidR="00D21C1F" w:rsidRDefault="00A42880">
          <w:pPr>
            <w:pStyle w:val="2CharCharChar"/>
            <w:numPr>
              <w:ilvl w:val="0"/>
              <w:numId w:val="42"/>
            </w:numPr>
          </w:pPr>
          <w:r>
            <w:rPr>
              <w:rFonts w:hint="eastAsia"/>
            </w:rPr>
            <w:t>与金融工具相关的风险</w:t>
          </w:r>
        </w:p>
        <w:sdt>
          <w:sdtPr>
            <w:alias w:val="是否适用：与金融工具相关的风险[双击切换]"/>
            <w:tag w:val="_GBC_c64d1e82474c4f20aebea3bef4cc2f0f"/>
            <w:id w:val="-633255223"/>
            <w:lock w:val="sdtLocked"/>
            <w:placeholder>
              <w:docPart w:val="GBC22222222222222222222222222222"/>
            </w:placeholder>
          </w:sdtPr>
          <w:sdtEndPr/>
          <w:sdtContent>
            <w:p w14:paraId="1CDE0A0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466545816"/>
            <w:lock w:val="sdtLocked"/>
            <w:placeholder>
              <w:docPart w:val="GBC22222222222222222222222222222"/>
            </w:placeholder>
          </w:sdtPr>
          <w:sdtEndPr>
            <w:rPr>
              <w:b/>
            </w:rPr>
          </w:sdtEndPr>
          <w:sdtContent>
            <w:p w14:paraId="0D345FF4" w14:textId="77777777" w:rsidR="00D21C1F" w:rsidRDefault="00A42880">
              <w:pPr>
                <w:spacing w:line="360" w:lineRule="auto"/>
                <w:ind w:firstLineChars="200" w:firstLine="420"/>
                <w:rPr>
                  <w:szCs w:val="21"/>
                </w:rPr>
              </w:pPr>
              <w:r>
                <w:rPr>
                  <w:szCs w:val="21"/>
                </w:rPr>
                <w:t>本公司与金融工具相关的风险源于本公司在经营过程中所确认的各类金融资产和金融负债，包括：信用风险、流动性风险和市场风险。</w:t>
              </w:r>
            </w:p>
            <w:p w14:paraId="2D51D534" w14:textId="77777777" w:rsidR="00D21C1F" w:rsidRDefault="00A42880">
              <w:pPr>
                <w:spacing w:line="360" w:lineRule="auto"/>
                <w:ind w:firstLineChars="200" w:firstLine="420"/>
                <w:rPr>
                  <w:szCs w:val="21"/>
                </w:rPr>
              </w:pPr>
              <w:r>
                <w:rPr>
                  <w:szCs w:val="21"/>
                </w:rPr>
                <w:t>本公司与金融工具相关的各类风险的管理目标和政策制度由本公司管理层负责。经营管理层通过职能部门负责日常的风险管理，由公司财务、审计、企业管理部门组织公司风险评估活动，对重要业务和事项的风险评估，组织相关人员进行审核，必要时将有关发现及时报告给本公司审计委员会。</w:t>
              </w:r>
            </w:p>
            <w:p w14:paraId="376D0342" w14:textId="77777777" w:rsidR="00D21C1F" w:rsidRDefault="00A42880">
              <w:pPr>
                <w:spacing w:line="360" w:lineRule="auto"/>
                <w:ind w:firstLineChars="200" w:firstLine="420"/>
                <w:rPr>
                  <w:szCs w:val="21"/>
                </w:rPr>
              </w:pPr>
              <w:r>
                <w:rPr>
                  <w:szCs w:val="21"/>
                </w:rPr>
                <w:t>本公司风险管理的总体目标是在不过度影响公司竞争力的情况下，制定尽可能降低各类与金融工具相关风险的风险管理政策。</w:t>
              </w:r>
            </w:p>
            <w:p w14:paraId="6C22CCDF" w14:textId="77777777" w:rsidR="00D21C1F" w:rsidRDefault="00A42880">
              <w:pPr>
                <w:widowControl w:val="0"/>
                <w:numPr>
                  <w:ilvl w:val="0"/>
                  <w:numId w:val="133"/>
                </w:numPr>
                <w:spacing w:beforeLines="50" w:before="120" w:line="360" w:lineRule="auto"/>
                <w:jc w:val="both"/>
                <w:outlineLvl w:val="1"/>
                <w:rPr>
                  <w:b/>
                  <w:szCs w:val="21"/>
                </w:rPr>
              </w:pPr>
              <w:r>
                <w:rPr>
                  <w:b/>
                  <w:szCs w:val="21"/>
                </w:rPr>
                <w:t>信用风险</w:t>
              </w:r>
            </w:p>
            <w:p w14:paraId="0E1A754F" w14:textId="77777777" w:rsidR="00D21C1F" w:rsidRDefault="00A42880">
              <w:pPr>
                <w:spacing w:line="360" w:lineRule="auto"/>
                <w:ind w:firstLineChars="200" w:firstLine="420"/>
                <w:rPr>
                  <w:szCs w:val="21"/>
                </w:rPr>
              </w:pPr>
              <w:r>
                <w:rPr>
                  <w:szCs w:val="21"/>
                </w:rPr>
                <w:t>信用风险，</w:t>
              </w:r>
              <w:r>
                <w:rPr>
                  <w:rFonts w:hint="eastAsia"/>
                  <w:szCs w:val="21"/>
                </w:rPr>
                <w:t>是指金融工具的一方未能履行义务从而导致另一方发生财务损失的风险。本公司的信用风险主要产生于货币资金、应收票据、应收账款、应收款项融资、其他应收款、合同资产、债权投资等，这些金融资产的信用风险源自交易对手违约，最大的风险敞口等于这些工具的账面金额</w:t>
              </w:r>
              <w:r>
                <w:rPr>
                  <w:szCs w:val="21"/>
                </w:rPr>
                <w:t>。</w:t>
              </w:r>
            </w:p>
            <w:p w14:paraId="28131990" w14:textId="77777777" w:rsidR="00D21C1F" w:rsidRDefault="00A42880">
              <w:pPr>
                <w:spacing w:line="360" w:lineRule="auto"/>
                <w:ind w:firstLineChars="200" w:firstLine="420"/>
                <w:rPr>
                  <w:szCs w:val="21"/>
                </w:rPr>
              </w:pPr>
              <w:r>
                <w:rPr>
                  <w:rFonts w:hint="eastAsia"/>
                  <w:szCs w:val="21"/>
                </w:rPr>
                <w:t>本公司货币资金主要存放于商业银行等金融机构，本公司认为这些商业银行具备较高信誉和资产状况，存在较低的信用风险。</w:t>
              </w:r>
            </w:p>
            <w:p w14:paraId="7FC8762F" w14:textId="77777777" w:rsidR="00D21C1F" w:rsidRDefault="00A42880">
              <w:pPr>
                <w:spacing w:line="360" w:lineRule="auto"/>
                <w:ind w:firstLineChars="200" w:firstLine="420"/>
                <w:rPr>
                  <w:szCs w:val="21"/>
                </w:rPr>
              </w:pPr>
              <w:r>
                <w:rPr>
                  <w:rFonts w:hint="eastAsia"/>
                  <w:szCs w:val="21"/>
                </w:rPr>
                <w:lastRenderedPageBreak/>
                <w:t>对于应收票据、应收账款、应收款项融资、其他应收款、合同资产、债权投资，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r>
                <w:rPr>
                  <w:szCs w:val="21"/>
                </w:rPr>
                <w:t>。</w:t>
              </w:r>
            </w:p>
            <w:p w14:paraId="486AF737" w14:textId="77777777" w:rsidR="00D21C1F" w:rsidRDefault="00A42880">
              <w:pPr>
                <w:widowControl w:val="0"/>
                <w:numPr>
                  <w:ilvl w:val="0"/>
                  <w:numId w:val="134"/>
                </w:numPr>
                <w:adjustRightInd w:val="0"/>
                <w:spacing w:beforeLines="25" w:before="60" w:afterLines="25" w:after="60" w:line="360" w:lineRule="auto"/>
                <w:ind w:hanging="391"/>
                <w:jc w:val="both"/>
                <w:outlineLvl w:val="2"/>
                <w:rPr>
                  <w:szCs w:val="21"/>
                </w:rPr>
              </w:pPr>
              <w:r>
                <w:rPr>
                  <w:szCs w:val="21"/>
                </w:rPr>
                <w:t>信用风险显著增加判断标准</w:t>
              </w:r>
            </w:p>
            <w:p w14:paraId="4A9AC27C" w14:textId="77777777" w:rsidR="00D21C1F" w:rsidRDefault="00A42880">
              <w:pPr>
                <w:spacing w:line="360" w:lineRule="auto"/>
                <w:ind w:firstLineChars="200" w:firstLine="420"/>
                <w:rPr>
                  <w:szCs w:val="21"/>
                </w:rPr>
              </w:pPr>
              <w:r>
                <w:rPr>
                  <w:rFonts w:hint="eastAsia"/>
                  <w:szCs w:val="21"/>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r>
                <w:rPr>
                  <w:szCs w:val="21"/>
                </w:rPr>
                <w:t>。</w:t>
              </w:r>
            </w:p>
            <w:p w14:paraId="2E23F028" w14:textId="77777777" w:rsidR="00D21C1F" w:rsidRDefault="00A42880">
              <w:pPr>
                <w:spacing w:line="360" w:lineRule="auto"/>
                <w:ind w:firstLineChars="200" w:firstLine="420"/>
                <w:rPr>
                  <w:szCs w:val="21"/>
                </w:rPr>
              </w:pPr>
              <w:r>
                <w:rPr>
                  <w:szCs w:val="21"/>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14:paraId="33C0F198" w14:textId="77777777" w:rsidR="00D21C1F" w:rsidRDefault="00A42880">
              <w:pPr>
                <w:widowControl w:val="0"/>
                <w:numPr>
                  <w:ilvl w:val="0"/>
                  <w:numId w:val="134"/>
                </w:numPr>
                <w:adjustRightInd w:val="0"/>
                <w:spacing w:beforeLines="25" w:before="60" w:afterLines="25" w:after="60" w:line="360" w:lineRule="auto"/>
                <w:ind w:hanging="391"/>
                <w:jc w:val="both"/>
                <w:outlineLvl w:val="2"/>
                <w:rPr>
                  <w:szCs w:val="21"/>
                </w:rPr>
              </w:pPr>
              <w:r>
                <w:rPr>
                  <w:szCs w:val="21"/>
                </w:rPr>
                <w:t>已发生信用减值资产的定义</w:t>
              </w:r>
            </w:p>
            <w:p w14:paraId="0C011D81" w14:textId="77777777" w:rsidR="00D21C1F" w:rsidRDefault="00A42880">
              <w:pPr>
                <w:spacing w:line="360" w:lineRule="auto"/>
                <w:ind w:firstLineChars="200" w:firstLine="420"/>
                <w:rPr>
                  <w:szCs w:val="21"/>
                </w:rPr>
              </w:pPr>
              <w:r>
                <w:rPr>
                  <w:szCs w:val="21"/>
                </w:rPr>
                <w:t>为确定是否发生信用减值，本公司所采用的界定标准，与内部针对相关金融工具的信用风险管理目标保持一致,同时考虑定量、定性指标。</w:t>
              </w:r>
            </w:p>
            <w:p w14:paraId="21D583B4" w14:textId="77777777" w:rsidR="00D21C1F" w:rsidRDefault="00A42880">
              <w:pPr>
                <w:spacing w:line="360" w:lineRule="auto"/>
                <w:ind w:firstLineChars="200" w:firstLine="420"/>
                <w:rPr>
                  <w:szCs w:val="21"/>
                </w:rPr>
              </w:pPr>
              <w:r>
                <w:rPr>
                  <w:szCs w:val="21"/>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172A5FD1" w14:textId="77777777" w:rsidR="00D21C1F" w:rsidRDefault="00A42880">
              <w:pPr>
                <w:spacing w:line="360" w:lineRule="auto"/>
                <w:ind w:firstLineChars="200" w:firstLine="420"/>
                <w:rPr>
                  <w:szCs w:val="21"/>
                </w:rPr>
              </w:pPr>
              <w:r>
                <w:rPr>
                  <w:szCs w:val="21"/>
                </w:rPr>
                <w:t>金融资产发生信用减值，有可能是多个事件的共同作用所致，未必是可单独识别的事件所致。</w:t>
              </w:r>
            </w:p>
            <w:p w14:paraId="4FAA9D15" w14:textId="77777777" w:rsidR="00D21C1F" w:rsidRDefault="00A42880">
              <w:pPr>
                <w:widowControl w:val="0"/>
                <w:numPr>
                  <w:ilvl w:val="0"/>
                  <w:numId w:val="134"/>
                </w:numPr>
                <w:adjustRightInd w:val="0"/>
                <w:spacing w:beforeLines="25" w:before="60" w:afterLines="25" w:after="60" w:line="360" w:lineRule="auto"/>
                <w:ind w:hanging="391"/>
                <w:jc w:val="both"/>
                <w:outlineLvl w:val="2"/>
                <w:rPr>
                  <w:szCs w:val="21"/>
                </w:rPr>
              </w:pPr>
              <w:r>
                <w:rPr>
                  <w:szCs w:val="21"/>
                </w:rPr>
                <w:t>预期信用损失计量的参数</w:t>
              </w:r>
            </w:p>
            <w:p w14:paraId="5F590565" w14:textId="77777777" w:rsidR="00D21C1F" w:rsidRDefault="00A42880">
              <w:pPr>
                <w:spacing w:line="360" w:lineRule="auto"/>
                <w:ind w:firstLineChars="200" w:firstLine="420"/>
                <w:rPr>
                  <w:szCs w:val="21"/>
                </w:rPr>
              </w:pPr>
              <w:r>
                <w:rPr>
                  <w:szCs w:val="21"/>
                </w:rPr>
                <w:t>根据信用风险是否发生显著增加以及是否已发生信用减值，本公司对不同的资产分别以</w:t>
              </w:r>
              <w:r>
                <w:rPr>
                  <w:rFonts w:ascii="Times New Roman" w:hAnsi="Times New Roman"/>
                  <w:szCs w:val="21"/>
                </w:rPr>
                <w:t>12</w:t>
              </w:r>
              <w:r>
                <w:rPr>
                  <w:szCs w:val="21"/>
                </w:rPr>
                <w:t>个月或整个存续期的预期信用损失计量减值准备。预期信用损失计量的关键参数包括违约概率、违约损失率和违约风险敞口。本公司考虑历史统计数据(如交易对手评级、担保方式及抵质押物类别、还款方式等)的定量分析及前瞻性信息，建立违约概率、违约损失率及违约风险敞口模型。</w:t>
              </w:r>
            </w:p>
            <w:p w14:paraId="7530DA91" w14:textId="77777777" w:rsidR="00D21C1F" w:rsidRDefault="00A42880">
              <w:pPr>
                <w:spacing w:line="360" w:lineRule="auto"/>
                <w:ind w:firstLineChars="200" w:firstLine="420"/>
                <w:rPr>
                  <w:szCs w:val="21"/>
                </w:rPr>
              </w:pPr>
              <w:r>
                <w:rPr>
                  <w:szCs w:val="21"/>
                </w:rPr>
                <w:t>相关定义如下：</w:t>
              </w:r>
            </w:p>
            <w:p w14:paraId="6E3DD593" w14:textId="77777777" w:rsidR="00D21C1F" w:rsidRDefault="00A42880">
              <w:pPr>
                <w:spacing w:line="360" w:lineRule="auto"/>
                <w:ind w:firstLineChars="200" w:firstLine="420"/>
                <w:rPr>
                  <w:szCs w:val="21"/>
                </w:rPr>
              </w:pPr>
              <w:r>
                <w:rPr>
                  <w:szCs w:val="21"/>
                </w:rPr>
                <w:t>违约概率是指债务人在未来</w:t>
              </w:r>
              <w:r>
                <w:rPr>
                  <w:rFonts w:ascii="Times New Roman" w:hAnsi="Times New Roman"/>
                  <w:szCs w:val="21"/>
                </w:rPr>
                <w:t>12</w:t>
              </w:r>
              <w:r>
                <w:rPr>
                  <w:szCs w:val="21"/>
                </w:rPr>
                <w:t>个月或在整个剩余存续期，无法履行其偿付义务的可能性。</w:t>
              </w:r>
            </w:p>
            <w:p w14:paraId="55374DA1" w14:textId="77777777" w:rsidR="00D21C1F" w:rsidRDefault="00A42880">
              <w:pPr>
                <w:spacing w:line="360" w:lineRule="auto"/>
                <w:ind w:firstLineChars="200" w:firstLine="420"/>
                <w:rPr>
                  <w:szCs w:val="21"/>
                </w:rPr>
              </w:pPr>
              <w:r>
                <w:rPr>
                  <w:szCs w:val="21"/>
                </w:rPr>
                <w:lastRenderedPageBreak/>
                <w:t>违约损失率是指本公司对违约风险暴露发生损失程度作出的预期。根据交易对手的类型、追索的方式和优先级，以及担保品的不同，违约损失率也有所不同。违约损失率为违约发生时风险敞口损失的百分比，以未来</w:t>
              </w:r>
              <w:r>
                <w:rPr>
                  <w:rFonts w:ascii="Times New Roman" w:hAnsi="Times New Roman"/>
                  <w:szCs w:val="21"/>
                </w:rPr>
                <w:t>12</w:t>
              </w:r>
              <w:r>
                <w:rPr>
                  <w:szCs w:val="21"/>
                </w:rPr>
                <w:t>个月内或整个存续期为基准进行计算；</w:t>
              </w:r>
            </w:p>
            <w:p w14:paraId="45AA029D" w14:textId="77777777" w:rsidR="00D21C1F" w:rsidRDefault="00A42880">
              <w:pPr>
                <w:spacing w:line="360" w:lineRule="auto"/>
                <w:ind w:firstLineChars="200" w:firstLine="420"/>
                <w:rPr>
                  <w:szCs w:val="21"/>
                </w:rPr>
              </w:pPr>
              <w:r>
                <w:rPr>
                  <w:szCs w:val="21"/>
                </w:rPr>
                <w:t>违约风险敞口是指，在未来</w:t>
              </w:r>
              <w:r>
                <w:rPr>
                  <w:rFonts w:ascii="Times New Roman" w:hAnsi="Times New Roman"/>
                  <w:szCs w:val="21"/>
                </w:rPr>
                <w:t>12</w:t>
              </w:r>
              <w:r>
                <w:rPr>
                  <w:szCs w:val="21"/>
                </w:rPr>
                <w:t>个月或在整个剩余存续期中，在违约发生时，本公司应被偿付的金额。前瞻性信息信用风险显著增加的评估及预期信用损失的计算均涉及前瞻性信息。本公司通过进行历史数据分析，识别出影响各业务类型信用风险及预期信用损失的关键经济指标。</w:t>
              </w:r>
            </w:p>
            <w:p w14:paraId="263314CF" w14:textId="77777777" w:rsidR="00D21C1F" w:rsidRDefault="00A42880">
              <w:pPr>
                <w:spacing w:line="360" w:lineRule="auto"/>
                <w:ind w:firstLineChars="200" w:firstLine="420"/>
                <w:rPr>
                  <w:szCs w:val="21"/>
                </w:rPr>
              </w:pPr>
              <w:r>
                <w:rPr>
                  <w:szCs w:val="21"/>
                </w:rPr>
                <w:t>本公司所承受的最大信用风险敞口为资产负债表中每项金融资产的账面金额。本公司没有提供任何其他可能令本公司承受信用风险的担保。</w:t>
              </w:r>
            </w:p>
            <w:p w14:paraId="10B1FF87" w14:textId="77777777" w:rsidR="00D21C1F" w:rsidRDefault="00A42880">
              <w:pPr>
                <w:spacing w:line="360" w:lineRule="auto"/>
                <w:ind w:firstLineChars="200" w:firstLine="420"/>
                <w:rPr>
                  <w:szCs w:val="21"/>
                </w:rPr>
              </w:pPr>
              <w:r>
                <w:rPr>
                  <w:szCs w:val="21"/>
                </w:rPr>
                <w:t>本公司应收账款中，前五大客户的应收账款占本公司应收账款总额的</w:t>
              </w:r>
              <w:r>
                <w:rPr>
                  <w:rFonts w:ascii="Times New Roman" w:hAnsi="Times New Roman" w:hint="eastAsia"/>
                  <w:szCs w:val="21"/>
                </w:rPr>
                <w:t>3</w:t>
              </w:r>
              <w:r>
                <w:rPr>
                  <w:rFonts w:ascii="Times New Roman" w:hAnsi="Times New Roman"/>
                  <w:szCs w:val="21"/>
                </w:rPr>
                <w:t>2</w:t>
              </w:r>
              <w:r>
                <w:rPr>
                  <w:szCs w:val="21"/>
                </w:rPr>
                <w:t>.</w:t>
              </w:r>
              <w:r>
                <w:rPr>
                  <w:rFonts w:ascii="Times New Roman" w:hAnsi="Times New Roman"/>
                  <w:szCs w:val="21"/>
                </w:rPr>
                <w:t>60</w:t>
              </w:r>
              <w:r>
                <w:rPr>
                  <w:szCs w:val="21"/>
                </w:rPr>
                <w:t>%（比较期：</w:t>
              </w:r>
              <w:r>
                <w:rPr>
                  <w:rFonts w:ascii="Times New Roman" w:hAnsi="Times New Roman"/>
                  <w:szCs w:val="21"/>
                </w:rPr>
                <w:t>45</w:t>
              </w:r>
              <w:r>
                <w:rPr>
                  <w:szCs w:val="21"/>
                </w:rPr>
                <w:t>.</w:t>
              </w:r>
              <w:r>
                <w:rPr>
                  <w:rFonts w:ascii="Times New Roman" w:hAnsi="Times New Roman"/>
                  <w:szCs w:val="21"/>
                </w:rPr>
                <w:t>71%</w:t>
              </w:r>
              <w:r>
                <w:rPr>
                  <w:szCs w:val="21"/>
                </w:rPr>
                <w:t>）；本公司其他应收款中，欠款金额前五大公司的其他应收款占本公司其他应收款总额的</w:t>
              </w:r>
              <w:r>
                <w:rPr>
                  <w:rFonts w:ascii="Times New Roman" w:hAnsi="Times New Roman"/>
                  <w:szCs w:val="21"/>
                </w:rPr>
                <w:t>34.93</w:t>
              </w:r>
              <w:r>
                <w:rPr>
                  <w:szCs w:val="21"/>
                </w:rPr>
                <w:t>%（比较期：</w:t>
              </w:r>
              <w:r>
                <w:rPr>
                  <w:rFonts w:ascii="Times New Roman" w:hAnsi="Times New Roman"/>
                  <w:szCs w:val="21"/>
                </w:rPr>
                <w:t>55</w:t>
              </w:r>
              <w:r>
                <w:rPr>
                  <w:szCs w:val="21"/>
                </w:rPr>
                <w:t>.</w:t>
              </w:r>
              <w:r>
                <w:rPr>
                  <w:rFonts w:ascii="Times New Roman" w:hAnsi="Times New Roman"/>
                  <w:szCs w:val="21"/>
                </w:rPr>
                <w:t>97</w:t>
              </w:r>
              <w:r>
                <w:rPr>
                  <w:szCs w:val="21"/>
                </w:rPr>
                <w:t>%）。</w:t>
              </w:r>
            </w:p>
            <w:p w14:paraId="17A4859C" w14:textId="77777777" w:rsidR="00D21C1F" w:rsidRDefault="00A42880">
              <w:pPr>
                <w:widowControl w:val="0"/>
                <w:numPr>
                  <w:ilvl w:val="0"/>
                  <w:numId w:val="133"/>
                </w:numPr>
                <w:spacing w:beforeLines="50" w:before="120" w:line="360" w:lineRule="auto"/>
                <w:jc w:val="both"/>
                <w:outlineLvl w:val="1"/>
                <w:rPr>
                  <w:b/>
                  <w:szCs w:val="21"/>
                </w:rPr>
              </w:pPr>
              <w:r>
                <w:rPr>
                  <w:b/>
                  <w:szCs w:val="21"/>
                </w:rPr>
                <w:t>流动性风险信息</w:t>
              </w:r>
            </w:p>
            <w:p w14:paraId="1DA6618E" w14:textId="77777777" w:rsidR="00D21C1F" w:rsidRDefault="00A42880">
              <w:pPr>
                <w:spacing w:line="360" w:lineRule="auto"/>
                <w:ind w:firstLineChars="200" w:firstLine="420"/>
                <w:rPr>
                  <w:szCs w:val="21"/>
                </w:rPr>
              </w:pPr>
              <w:r>
                <w:rPr>
                  <w:rFonts w:hint="eastAsia"/>
                  <w:szCs w:val="21"/>
                </w:rPr>
                <w:t>流动性风险，是指企业在履行以交付现金或其他金融资产的方式结算的义务时发生资金短缺的风险。本公司统筹负责公司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r>
                <w:rPr>
                  <w:szCs w:val="21"/>
                </w:rPr>
                <w:t>。</w:t>
              </w:r>
            </w:p>
            <w:p w14:paraId="12F93AB0" w14:textId="77777777" w:rsidR="00D21C1F" w:rsidRDefault="00A42880">
              <w:pPr>
                <w:spacing w:line="360" w:lineRule="auto"/>
                <w:ind w:firstLineChars="200" w:firstLine="420"/>
                <w:rPr>
                  <w:szCs w:val="21"/>
                </w:rPr>
              </w:pPr>
              <w:r>
                <w:rPr>
                  <w:szCs w:val="21"/>
                </w:rPr>
                <w:t>本公司各项金融负债以未折现的合同现金流量按到期日列示如下：</w:t>
              </w:r>
            </w:p>
            <w:p w14:paraId="7E4D2AF4" w14:textId="6881A96A" w:rsidR="00D21C1F" w:rsidRDefault="00A42880">
              <w:pPr>
                <w:spacing w:beforeLines="20" w:before="48" w:line="360" w:lineRule="auto"/>
                <w:ind w:firstLineChars="200" w:firstLine="420"/>
                <w:jc w:val="right"/>
                <w:rPr>
                  <w:szCs w:val="21"/>
                </w:rPr>
              </w:pPr>
              <w:r>
                <w:rPr>
                  <w:szCs w:val="21"/>
                </w:rPr>
                <w:t>金额单位：</w:t>
              </w:r>
              <w:r w:rsidR="002C7A39">
                <w:rPr>
                  <w:rFonts w:hint="eastAsia"/>
                  <w:szCs w:val="21"/>
                </w:rPr>
                <w:t>人民币</w:t>
              </w:r>
              <w:r>
                <w:rPr>
                  <w:szCs w:val="21"/>
                </w:rPr>
                <w:t>万元</w:t>
              </w:r>
            </w:p>
            <w:tbl>
              <w:tblPr>
                <w:tblStyle w:val="g5"/>
                <w:tblW w:w="5000" w:type="pct"/>
                <w:tblInd w:w="108" w:type="dxa"/>
                <w:tblBorders>
                  <w:top w:val="single" w:sz="8" w:space="0" w:color="auto"/>
                  <w:bottom w:val="single" w:sz="8" w:space="0" w:color="auto"/>
                  <w:insideH w:val="single" w:sz="2" w:space="0" w:color="auto"/>
                  <w:insideV w:val="single" w:sz="2" w:space="0" w:color="auto"/>
                </w:tblBorders>
                <w:shd w:val="clear" w:color="auto" w:fill="92D050"/>
                <w:tblLook w:val="04A0" w:firstRow="1" w:lastRow="0" w:firstColumn="1" w:lastColumn="0" w:noHBand="0" w:noVBand="1"/>
              </w:tblPr>
              <w:tblGrid>
                <w:gridCol w:w="1340"/>
                <w:gridCol w:w="1374"/>
                <w:gridCol w:w="1512"/>
                <w:gridCol w:w="1510"/>
                <w:gridCol w:w="1512"/>
                <w:gridCol w:w="1585"/>
              </w:tblGrid>
              <w:tr w:rsidR="00D21C1F" w14:paraId="5556F5C0" w14:textId="77777777">
                <w:trPr>
                  <w:cantSplit/>
                  <w:trHeight w:val="397"/>
                </w:trPr>
                <w:tc>
                  <w:tcPr>
                    <w:tcW w:w="758" w:type="pct"/>
                    <w:vMerge w:val="restart"/>
                    <w:shd w:val="clear" w:color="auto" w:fill="auto"/>
                    <w:vAlign w:val="center"/>
                  </w:tcPr>
                  <w:p w14:paraId="7175DB9B" w14:textId="77777777" w:rsidR="00D21C1F" w:rsidRDefault="00A42880">
                    <w:pPr>
                      <w:spacing w:line="240" w:lineRule="exact"/>
                      <w:jc w:val="center"/>
                      <w:rPr>
                        <w:rFonts w:cs="Times New Roman"/>
                        <w:szCs w:val="21"/>
                      </w:rPr>
                    </w:pPr>
                    <w:bookmarkStart w:id="291" w:name="_Hlk80281545"/>
                    <w:r>
                      <w:rPr>
                        <w:rFonts w:cs="Times New Roman"/>
                        <w:szCs w:val="21"/>
                      </w:rPr>
                      <w:t>项目名称</w:t>
                    </w:r>
                  </w:p>
                </w:tc>
                <w:tc>
                  <w:tcPr>
                    <w:tcW w:w="4242" w:type="pct"/>
                    <w:gridSpan w:val="5"/>
                    <w:shd w:val="clear" w:color="auto" w:fill="auto"/>
                    <w:vAlign w:val="center"/>
                  </w:tcPr>
                  <w:p w14:paraId="5176CB02" w14:textId="77777777" w:rsidR="00D21C1F" w:rsidRDefault="00A42880">
                    <w:pPr>
                      <w:spacing w:line="240" w:lineRule="exact"/>
                      <w:jc w:val="center"/>
                      <w:rPr>
                        <w:rFonts w:cs="Times New Roman"/>
                        <w:szCs w:val="21"/>
                      </w:rPr>
                    </w:pPr>
                    <w:r>
                      <w:rPr>
                        <w:rFonts w:cs="Times New Roman"/>
                        <w:szCs w:val="21"/>
                      </w:rPr>
                      <w:t>2021年6月30日</w:t>
                    </w:r>
                  </w:p>
                </w:tc>
              </w:tr>
              <w:tr w:rsidR="00D21C1F" w14:paraId="01A86870" w14:textId="77777777">
                <w:trPr>
                  <w:cantSplit/>
                  <w:trHeight w:val="397"/>
                </w:trPr>
                <w:tc>
                  <w:tcPr>
                    <w:tcW w:w="758" w:type="pct"/>
                    <w:vMerge/>
                    <w:shd w:val="clear" w:color="auto" w:fill="auto"/>
                    <w:vAlign w:val="center"/>
                  </w:tcPr>
                  <w:p w14:paraId="041EA16B" w14:textId="77777777" w:rsidR="00D21C1F" w:rsidRDefault="00D21C1F">
                    <w:pPr>
                      <w:spacing w:line="240" w:lineRule="exact"/>
                      <w:rPr>
                        <w:rFonts w:cs="Times New Roman"/>
                        <w:szCs w:val="21"/>
                      </w:rPr>
                    </w:pPr>
                  </w:p>
                </w:tc>
                <w:tc>
                  <w:tcPr>
                    <w:tcW w:w="778" w:type="pct"/>
                    <w:shd w:val="clear" w:color="auto" w:fill="auto"/>
                    <w:vAlign w:val="center"/>
                  </w:tcPr>
                  <w:p w14:paraId="2623311B" w14:textId="77777777" w:rsidR="00D21C1F" w:rsidRDefault="00A42880">
                    <w:pPr>
                      <w:spacing w:line="240" w:lineRule="exact"/>
                      <w:jc w:val="center"/>
                      <w:rPr>
                        <w:rFonts w:cs="Times New Roman"/>
                        <w:szCs w:val="21"/>
                      </w:rPr>
                    </w:pPr>
                    <w:r>
                      <w:rPr>
                        <w:rFonts w:cs="Times New Roman"/>
                        <w:szCs w:val="21"/>
                      </w:rPr>
                      <w:t>1年以内</w:t>
                    </w:r>
                  </w:p>
                </w:tc>
                <w:tc>
                  <w:tcPr>
                    <w:tcW w:w="856" w:type="pct"/>
                    <w:shd w:val="clear" w:color="auto" w:fill="auto"/>
                    <w:vAlign w:val="center"/>
                  </w:tcPr>
                  <w:p w14:paraId="2F1FAB3B" w14:textId="77777777" w:rsidR="00D21C1F" w:rsidRDefault="00A42880">
                    <w:pPr>
                      <w:spacing w:line="240" w:lineRule="exact"/>
                      <w:jc w:val="center"/>
                      <w:rPr>
                        <w:rFonts w:cs="Times New Roman"/>
                        <w:szCs w:val="21"/>
                      </w:rPr>
                    </w:pPr>
                    <w:r>
                      <w:rPr>
                        <w:rFonts w:cs="Times New Roman"/>
                        <w:szCs w:val="21"/>
                      </w:rPr>
                      <w:t>1-2年</w:t>
                    </w:r>
                  </w:p>
                </w:tc>
                <w:tc>
                  <w:tcPr>
                    <w:tcW w:w="855" w:type="pct"/>
                    <w:shd w:val="clear" w:color="auto" w:fill="auto"/>
                    <w:vAlign w:val="center"/>
                  </w:tcPr>
                  <w:p w14:paraId="6CF8C8C7" w14:textId="77777777" w:rsidR="00D21C1F" w:rsidRDefault="00A42880">
                    <w:pPr>
                      <w:spacing w:line="240" w:lineRule="exact"/>
                      <w:jc w:val="center"/>
                      <w:rPr>
                        <w:rFonts w:cs="Times New Roman"/>
                        <w:szCs w:val="21"/>
                      </w:rPr>
                    </w:pPr>
                    <w:r>
                      <w:rPr>
                        <w:rFonts w:cs="Times New Roman"/>
                        <w:szCs w:val="21"/>
                      </w:rPr>
                      <w:t>2-3年</w:t>
                    </w:r>
                  </w:p>
                </w:tc>
                <w:tc>
                  <w:tcPr>
                    <w:tcW w:w="856" w:type="pct"/>
                    <w:shd w:val="clear" w:color="auto" w:fill="auto"/>
                    <w:vAlign w:val="center"/>
                  </w:tcPr>
                  <w:p w14:paraId="1F3B6C09" w14:textId="77777777" w:rsidR="00D21C1F" w:rsidRDefault="00A42880">
                    <w:pPr>
                      <w:spacing w:line="240" w:lineRule="exact"/>
                      <w:jc w:val="center"/>
                      <w:rPr>
                        <w:rFonts w:cs="Times New Roman"/>
                        <w:szCs w:val="21"/>
                      </w:rPr>
                    </w:pPr>
                    <w:r>
                      <w:rPr>
                        <w:rFonts w:cs="Times New Roman"/>
                        <w:szCs w:val="21"/>
                      </w:rPr>
                      <w:t>3年以上</w:t>
                    </w:r>
                  </w:p>
                </w:tc>
                <w:tc>
                  <w:tcPr>
                    <w:tcW w:w="897" w:type="pct"/>
                    <w:shd w:val="clear" w:color="auto" w:fill="auto"/>
                    <w:vAlign w:val="center"/>
                  </w:tcPr>
                  <w:p w14:paraId="45AC64EB" w14:textId="77777777" w:rsidR="00D21C1F" w:rsidRDefault="00A42880">
                    <w:pPr>
                      <w:spacing w:line="240" w:lineRule="exact"/>
                      <w:jc w:val="center"/>
                      <w:rPr>
                        <w:rFonts w:cs="Times New Roman"/>
                        <w:szCs w:val="21"/>
                      </w:rPr>
                    </w:pPr>
                    <w:r>
                      <w:rPr>
                        <w:rFonts w:cs="Times New Roman"/>
                        <w:szCs w:val="21"/>
                      </w:rPr>
                      <w:t>合计</w:t>
                    </w:r>
                  </w:p>
                </w:tc>
              </w:tr>
              <w:tr w:rsidR="00D21C1F" w14:paraId="0132889F" w14:textId="77777777">
                <w:trPr>
                  <w:cantSplit/>
                  <w:trHeight w:val="397"/>
                </w:trPr>
                <w:tc>
                  <w:tcPr>
                    <w:tcW w:w="758" w:type="pct"/>
                    <w:shd w:val="clear" w:color="auto" w:fill="auto"/>
                    <w:vAlign w:val="center"/>
                  </w:tcPr>
                  <w:p w14:paraId="34BB34BB" w14:textId="77777777" w:rsidR="00D21C1F" w:rsidRDefault="00A42880">
                    <w:pPr>
                      <w:spacing w:line="240" w:lineRule="exact"/>
                      <w:rPr>
                        <w:rFonts w:cs="Times New Roman"/>
                        <w:szCs w:val="21"/>
                      </w:rPr>
                    </w:pPr>
                    <w:r>
                      <w:rPr>
                        <w:rFonts w:cs="Times New Roman"/>
                        <w:szCs w:val="21"/>
                      </w:rPr>
                      <w:t>短期借款</w:t>
                    </w:r>
                  </w:p>
                </w:tc>
                <w:tc>
                  <w:tcPr>
                    <w:tcW w:w="778" w:type="pct"/>
                    <w:shd w:val="clear" w:color="auto" w:fill="auto"/>
                    <w:vAlign w:val="bottom"/>
                  </w:tcPr>
                  <w:p w14:paraId="0CE2AB93"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33,965.55</w:t>
                    </w:r>
                  </w:p>
                </w:tc>
                <w:tc>
                  <w:tcPr>
                    <w:tcW w:w="856" w:type="pct"/>
                    <w:shd w:val="clear" w:color="auto" w:fill="auto"/>
                    <w:vAlign w:val="bottom"/>
                  </w:tcPr>
                  <w:p w14:paraId="6EDCE9DF"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55" w:type="pct"/>
                    <w:shd w:val="clear" w:color="auto" w:fill="auto"/>
                    <w:vAlign w:val="bottom"/>
                  </w:tcPr>
                  <w:p w14:paraId="2C0512CD"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56" w:type="pct"/>
                    <w:shd w:val="clear" w:color="auto" w:fill="auto"/>
                    <w:vAlign w:val="bottom"/>
                  </w:tcPr>
                  <w:p w14:paraId="59AF0B3A"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97" w:type="pct"/>
                    <w:shd w:val="clear" w:color="auto" w:fill="auto"/>
                    <w:vAlign w:val="bottom"/>
                  </w:tcPr>
                  <w:p w14:paraId="2B4E9839"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33,965.55</w:t>
                    </w:r>
                  </w:p>
                </w:tc>
              </w:tr>
              <w:tr w:rsidR="00D21C1F" w14:paraId="3E8DAE99" w14:textId="77777777">
                <w:trPr>
                  <w:cantSplit/>
                  <w:trHeight w:val="397"/>
                </w:trPr>
                <w:tc>
                  <w:tcPr>
                    <w:tcW w:w="758" w:type="pct"/>
                    <w:shd w:val="clear" w:color="auto" w:fill="auto"/>
                    <w:vAlign w:val="center"/>
                  </w:tcPr>
                  <w:p w14:paraId="0AAFDAEF" w14:textId="77777777" w:rsidR="00D21C1F" w:rsidRDefault="00A42880">
                    <w:pPr>
                      <w:spacing w:line="240" w:lineRule="exact"/>
                      <w:rPr>
                        <w:rFonts w:cs="Times New Roman"/>
                        <w:szCs w:val="21"/>
                      </w:rPr>
                    </w:pPr>
                    <w:r>
                      <w:rPr>
                        <w:rFonts w:cs="Times New Roman"/>
                        <w:szCs w:val="21"/>
                      </w:rPr>
                      <w:t>应付账款</w:t>
                    </w:r>
                  </w:p>
                </w:tc>
                <w:tc>
                  <w:tcPr>
                    <w:tcW w:w="778" w:type="pct"/>
                    <w:shd w:val="clear" w:color="auto" w:fill="auto"/>
                    <w:vAlign w:val="bottom"/>
                  </w:tcPr>
                  <w:p w14:paraId="176ECBE2"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31,611.56</w:t>
                    </w:r>
                  </w:p>
                </w:tc>
                <w:tc>
                  <w:tcPr>
                    <w:tcW w:w="856" w:type="pct"/>
                    <w:shd w:val="clear" w:color="auto" w:fill="auto"/>
                    <w:vAlign w:val="bottom"/>
                  </w:tcPr>
                  <w:p w14:paraId="10905FE7"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55" w:type="pct"/>
                    <w:shd w:val="clear" w:color="auto" w:fill="auto"/>
                    <w:vAlign w:val="bottom"/>
                  </w:tcPr>
                  <w:p w14:paraId="0DBBE4FE"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56" w:type="pct"/>
                    <w:shd w:val="clear" w:color="auto" w:fill="auto"/>
                    <w:vAlign w:val="bottom"/>
                  </w:tcPr>
                  <w:p w14:paraId="7C4CABB7"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97" w:type="pct"/>
                    <w:shd w:val="clear" w:color="auto" w:fill="auto"/>
                    <w:vAlign w:val="bottom"/>
                  </w:tcPr>
                  <w:p w14:paraId="24647FF5"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31,611.56</w:t>
                    </w:r>
                  </w:p>
                </w:tc>
              </w:tr>
              <w:tr w:rsidR="00D21C1F" w14:paraId="33C64D82" w14:textId="77777777">
                <w:trPr>
                  <w:cantSplit/>
                  <w:trHeight w:val="397"/>
                </w:trPr>
                <w:tc>
                  <w:tcPr>
                    <w:tcW w:w="758" w:type="pct"/>
                    <w:shd w:val="clear" w:color="auto" w:fill="auto"/>
                    <w:vAlign w:val="center"/>
                  </w:tcPr>
                  <w:p w14:paraId="5C700031" w14:textId="77777777" w:rsidR="00D21C1F" w:rsidRDefault="00A42880">
                    <w:pPr>
                      <w:spacing w:line="240" w:lineRule="exact"/>
                      <w:rPr>
                        <w:rFonts w:cs="Times New Roman"/>
                        <w:szCs w:val="21"/>
                      </w:rPr>
                    </w:pPr>
                    <w:r>
                      <w:rPr>
                        <w:rFonts w:cs="Times New Roman"/>
                        <w:szCs w:val="21"/>
                      </w:rPr>
                      <w:t>其他应付款</w:t>
                    </w:r>
                  </w:p>
                </w:tc>
                <w:tc>
                  <w:tcPr>
                    <w:tcW w:w="778" w:type="pct"/>
                    <w:shd w:val="clear" w:color="auto" w:fill="auto"/>
                    <w:vAlign w:val="bottom"/>
                  </w:tcPr>
                  <w:p w14:paraId="4FC4451F"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3,362.25</w:t>
                    </w:r>
                  </w:p>
                </w:tc>
                <w:tc>
                  <w:tcPr>
                    <w:tcW w:w="856" w:type="pct"/>
                    <w:shd w:val="clear" w:color="auto" w:fill="auto"/>
                    <w:vAlign w:val="bottom"/>
                  </w:tcPr>
                  <w:p w14:paraId="379C90A0"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55" w:type="pct"/>
                    <w:shd w:val="clear" w:color="auto" w:fill="auto"/>
                    <w:vAlign w:val="bottom"/>
                  </w:tcPr>
                  <w:p w14:paraId="0C652637"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56" w:type="pct"/>
                    <w:shd w:val="clear" w:color="auto" w:fill="auto"/>
                    <w:vAlign w:val="bottom"/>
                  </w:tcPr>
                  <w:p w14:paraId="1F77C886"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color w:val="000000"/>
                        <w:szCs w:val="21"/>
                      </w:rPr>
                      <w:t>-</w:t>
                    </w:r>
                  </w:p>
                </w:tc>
                <w:tc>
                  <w:tcPr>
                    <w:tcW w:w="897" w:type="pct"/>
                    <w:shd w:val="clear" w:color="auto" w:fill="auto"/>
                    <w:vAlign w:val="bottom"/>
                  </w:tcPr>
                  <w:p w14:paraId="51548D87"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3,362.25</w:t>
                    </w:r>
                  </w:p>
                </w:tc>
              </w:tr>
              <w:tr w:rsidR="00D21C1F" w14:paraId="537BC21C" w14:textId="77777777">
                <w:trPr>
                  <w:cantSplit/>
                  <w:trHeight w:val="397"/>
                </w:trPr>
                <w:tc>
                  <w:tcPr>
                    <w:tcW w:w="758" w:type="pct"/>
                    <w:shd w:val="clear" w:color="auto" w:fill="auto"/>
                    <w:vAlign w:val="center"/>
                  </w:tcPr>
                  <w:p w14:paraId="5998496B" w14:textId="77777777" w:rsidR="00D21C1F" w:rsidRDefault="00A42880">
                    <w:pPr>
                      <w:spacing w:line="240" w:lineRule="exact"/>
                      <w:rPr>
                        <w:rFonts w:cs="Times New Roman"/>
                        <w:szCs w:val="21"/>
                      </w:rPr>
                    </w:pPr>
                    <w:r>
                      <w:rPr>
                        <w:rFonts w:cs="Times New Roman"/>
                        <w:szCs w:val="21"/>
                      </w:rPr>
                      <w:t>长期借款</w:t>
                    </w:r>
                  </w:p>
                </w:tc>
                <w:tc>
                  <w:tcPr>
                    <w:tcW w:w="778" w:type="pct"/>
                    <w:shd w:val="clear" w:color="auto" w:fill="auto"/>
                    <w:vAlign w:val="bottom"/>
                  </w:tcPr>
                  <w:p w14:paraId="42457BDE"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5,999.09</w:t>
                    </w:r>
                  </w:p>
                </w:tc>
                <w:tc>
                  <w:tcPr>
                    <w:tcW w:w="856" w:type="pct"/>
                    <w:shd w:val="clear" w:color="auto" w:fill="auto"/>
                    <w:vAlign w:val="bottom"/>
                  </w:tcPr>
                  <w:p w14:paraId="7EADBFFF"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6,017.23</w:t>
                    </w:r>
                  </w:p>
                </w:tc>
                <w:tc>
                  <w:tcPr>
                    <w:tcW w:w="855" w:type="pct"/>
                    <w:shd w:val="clear" w:color="auto" w:fill="auto"/>
                    <w:vAlign w:val="bottom"/>
                  </w:tcPr>
                  <w:p w14:paraId="6AAB9D5C" w14:textId="77777777" w:rsidR="00D21C1F" w:rsidRPr="00003DDA" w:rsidRDefault="00A42880">
                    <w:pPr>
                      <w:jc w:val="right"/>
                      <w:rPr>
                        <w:rFonts w:ascii="Times New Roman" w:hAnsi="Times New Roman" w:cs="Times New Roman"/>
                        <w:szCs w:val="21"/>
                      </w:rPr>
                    </w:pPr>
                    <w:r w:rsidRPr="00003DDA">
                      <w:rPr>
                        <w:rFonts w:ascii="Times New Roman" w:hAnsi="Times New Roman" w:cs="Times New Roman"/>
                        <w:szCs w:val="21"/>
                      </w:rPr>
                      <w:t>4,038.36</w:t>
                    </w:r>
                  </w:p>
                </w:tc>
                <w:tc>
                  <w:tcPr>
                    <w:tcW w:w="856" w:type="pct"/>
                    <w:shd w:val="clear" w:color="auto" w:fill="auto"/>
                    <w:vAlign w:val="bottom"/>
                  </w:tcPr>
                  <w:p w14:paraId="54C0B8D9"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szCs w:val="21"/>
                      </w:rPr>
                      <w:t>3,948.32</w:t>
                    </w:r>
                  </w:p>
                </w:tc>
                <w:tc>
                  <w:tcPr>
                    <w:tcW w:w="897" w:type="pct"/>
                    <w:shd w:val="clear" w:color="auto" w:fill="auto"/>
                    <w:vAlign w:val="bottom"/>
                  </w:tcPr>
                  <w:p w14:paraId="0080424A" w14:textId="77777777" w:rsidR="00D21C1F" w:rsidRPr="00003DDA" w:rsidRDefault="00A42880">
                    <w:pPr>
                      <w:ind w:right="105"/>
                      <w:jc w:val="right"/>
                      <w:rPr>
                        <w:rFonts w:ascii="Times New Roman" w:hAnsi="Times New Roman" w:cs="Times New Roman"/>
                        <w:szCs w:val="21"/>
                      </w:rPr>
                    </w:pPr>
                    <w:r w:rsidRPr="00003DDA">
                      <w:rPr>
                        <w:rFonts w:ascii="Times New Roman" w:hAnsi="Times New Roman" w:cs="Times New Roman"/>
                        <w:szCs w:val="21"/>
                      </w:rPr>
                      <w:t>20,003.00</w:t>
                    </w:r>
                  </w:p>
                </w:tc>
              </w:tr>
              <w:tr w:rsidR="00D21C1F" w14:paraId="248439BA" w14:textId="77777777">
                <w:trPr>
                  <w:cantSplit/>
                  <w:trHeight w:val="397"/>
                </w:trPr>
                <w:tc>
                  <w:tcPr>
                    <w:tcW w:w="758" w:type="pct"/>
                    <w:shd w:val="clear" w:color="auto" w:fill="auto"/>
                    <w:vAlign w:val="center"/>
                  </w:tcPr>
                  <w:p w14:paraId="4DD292F9" w14:textId="77777777" w:rsidR="00D21C1F" w:rsidRDefault="00A42880">
                    <w:pPr>
                      <w:spacing w:line="240" w:lineRule="exact"/>
                      <w:jc w:val="center"/>
                      <w:rPr>
                        <w:rFonts w:cs="Times New Roman"/>
                        <w:szCs w:val="21"/>
                      </w:rPr>
                    </w:pPr>
                    <w:r>
                      <w:rPr>
                        <w:rFonts w:cs="Times New Roman"/>
                        <w:szCs w:val="21"/>
                      </w:rPr>
                      <w:t>小计</w:t>
                    </w:r>
                  </w:p>
                </w:tc>
                <w:tc>
                  <w:tcPr>
                    <w:tcW w:w="778" w:type="pct"/>
                    <w:shd w:val="clear" w:color="auto" w:fill="auto"/>
                    <w:vAlign w:val="bottom"/>
                  </w:tcPr>
                  <w:p w14:paraId="225D47DB" w14:textId="77777777" w:rsidR="00D21C1F" w:rsidRPr="00003DDA" w:rsidRDefault="00A42880">
                    <w:pPr>
                      <w:jc w:val="right"/>
                      <w:rPr>
                        <w:rFonts w:ascii="Times New Roman" w:hAnsi="Times New Roman" w:cs="Times New Roman"/>
                        <w:szCs w:val="21"/>
                        <w:highlight w:val="yellow"/>
                      </w:rPr>
                    </w:pPr>
                    <w:r w:rsidRPr="00003DDA">
                      <w:rPr>
                        <w:rFonts w:ascii="Times New Roman" w:hAnsi="Times New Roman" w:cs="Times New Roman"/>
                        <w:szCs w:val="21"/>
                      </w:rPr>
                      <w:t>74,938.45</w:t>
                    </w:r>
                  </w:p>
                </w:tc>
                <w:tc>
                  <w:tcPr>
                    <w:tcW w:w="856" w:type="pct"/>
                    <w:shd w:val="clear" w:color="auto" w:fill="auto"/>
                    <w:vAlign w:val="bottom"/>
                  </w:tcPr>
                  <w:p w14:paraId="6F9A5786" w14:textId="77777777" w:rsidR="00D21C1F" w:rsidRPr="00003DDA" w:rsidRDefault="00A42880">
                    <w:pPr>
                      <w:jc w:val="right"/>
                      <w:rPr>
                        <w:rFonts w:ascii="Times New Roman" w:hAnsi="Times New Roman" w:cs="Times New Roman"/>
                        <w:szCs w:val="21"/>
                        <w:highlight w:val="yellow"/>
                      </w:rPr>
                    </w:pPr>
                    <w:r w:rsidRPr="00003DDA">
                      <w:rPr>
                        <w:rFonts w:ascii="Times New Roman" w:hAnsi="Times New Roman" w:cs="Times New Roman"/>
                        <w:szCs w:val="21"/>
                      </w:rPr>
                      <w:t>6,017.23</w:t>
                    </w:r>
                  </w:p>
                </w:tc>
                <w:tc>
                  <w:tcPr>
                    <w:tcW w:w="855" w:type="pct"/>
                    <w:shd w:val="clear" w:color="auto" w:fill="auto"/>
                    <w:vAlign w:val="bottom"/>
                  </w:tcPr>
                  <w:p w14:paraId="0F1CAE03" w14:textId="77777777" w:rsidR="00D21C1F" w:rsidRPr="00003DDA" w:rsidRDefault="00A42880">
                    <w:pPr>
                      <w:jc w:val="right"/>
                      <w:rPr>
                        <w:rFonts w:ascii="Times New Roman" w:hAnsi="Times New Roman" w:cs="Times New Roman"/>
                        <w:szCs w:val="21"/>
                        <w:highlight w:val="yellow"/>
                      </w:rPr>
                    </w:pPr>
                    <w:r w:rsidRPr="00003DDA">
                      <w:rPr>
                        <w:rFonts w:ascii="Times New Roman" w:hAnsi="Times New Roman" w:cs="Times New Roman"/>
                        <w:szCs w:val="21"/>
                      </w:rPr>
                      <w:t>4,038.36</w:t>
                    </w:r>
                  </w:p>
                </w:tc>
                <w:tc>
                  <w:tcPr>
                    <w:tcW w:w="856" w:type="pct"/>
                    <w:shd w:val="clear" w:color="auto" w:fill="auto"/>
                    <w:vAlign w:val="bottom"/>
                  </w:tcPr>
                  <w:p w14:paraId="5A4C6628" w14:textId="77777777" w:rsidR="00D21C1F" w:rsidRPr="00003DDA" w:rsidRDefault="00A42880">
                    <w:pPr>
                      <w:jc w:val="right"/>
                      <w:rPr>
                        <w:rFonts w:ascii="Times New Roman" w:hAnsi="Times New Roman" w:cs="Times New Roman"/>
                        <w:szCs w:val="21"/>
                        <w:highlight w:val="yellow"/>
                      </w:rPr>
                    </w:pPr>
                    <w:r w:rsidRPr="00003DDA">
                      <w:rPr>
                        <w:rFonts w:ascii="Times New Roman" w:hAnsi="Times New Roman" w:cs="Times New Roman"/>
                        <w:szCs w:val="21"/>
                      </w:rPr>
                      <w:t>3,948.32</w:t>
                    </w:r>
                  </w:p>
                </w:tc>
                <w:tc>
                  <w:tcPr>
                    <w:tcW w:w="897" w:type="pct"/>
                    <w:shd w:val="clear" w:color="auto" w:fill="auto"/>
                    <w:vAlign w:val="bottom"/>
                  </w:tcPr>
                  <w:p w14:paraId="3FF7E7CB" w14:textId="77777777" w:rsidR="00D21C1F" w:rsidRPr="00003DDA" w:rsidRDefault="00A42880">
                    <w:pPr>
                      <w:jc w:val="right"/>
                      <w:rPr>
                        <w:rFonts w:ascii="Times New Roman" w:hAnsi="Times New Roman" w:cs="Times New Roman"/>
                        <w:szCs w:val="21"/>
                        <w:highlight w:val="yellow"/>
                      </w:rPr>
                    </w:pPr>
                    <w:r w:rsidRPr="00003DDA">
                      <w:rPr>
                        <w:rFonts w:ascii="Times New Roman" w:hAnsi="Times New Roman" w:cs="Times New Roman"/>
                        <w:szCs w:val="21"/>
                      </w:rPr>
                      <w:t>88,942.36</w:t>
                    </w:r>
                  </w:p>
                </w:tc>
              </w:tr>
            </w:tbl>
            <w:bookmarkEnd w:id="291"/>
            <w:p w14:paraId="7FA76C62" w14:textId="77777777" w:rsidR="00D21C1F" w:rsidRDefault="00A42880">
              <w:pPr>
                <w:widowControl w:val="0"/>
                <w:numPr>
                  <w:ilvl w:val="0"/>
                  <w:numId w:val="133"/>
                </w:numPr>
                <w:spacing w:beforeLines="50" w:before="120" w:line="360" w:lineRule="auto"/>
                <w:jc w:val="both"/>
                <w:outlineLvl w:val="1"/>
                <w:rPr>
                  <w:b/>
                  <w:szCs w:val="21"/>
                </w:rPr>
              </w:pPr>
              <w:r>
                <w:rPr>
                  <w:b/>
                  <w:szCs w:val="21"/>
                </w:rPr>
                <w:t>市场风险信息</w:t>
              </w:r>
            </w:p>
            <w:p w14:paraId="54F5E74F" w14:textId="77777777" w:rsidR="00D21C1F" w:rsidRDefault="00A42880">
              <w:pPr>
                <w:spacing w:beforeLines="50" w:before="120" w:line="360" w:lineRule="auto"/>
                <w:ind w:firstLineChars="200" w:firstLine="420"/>
                <w:rPr>
                  <w:szCs w:val="21"/>
                </w:rPr>
              </w:pPr>
              <w:r>
                <w:rPr>
                  <w:szCs w:val="21"/>
                </w:rPr>
                <w:t>金融工具的市场风险，是指金融工具的公允价值或未来现金流量因市场价格变动而发生波动的风险，包括汇率风险和利率风险。</w:t>
              </w:r>
            </w:p>
            <w:p w14:paraId="78B79757" w14:textId="77777777" w:rsidR="00D21C1F" w:rsidRDefault="00A42880">
              <w:pPr>
                <w:widowControl w:val="0"/>
                <w:numPr>
                  <w:ilvl w:val="0"/>
                  <w:numId w:val="135"/>
                </w:numPr>
                <w:adjustRightInd w:val="0"/>
                <w:spacing w:beforeLines="25" w:before="60" w:afterLines="25" w:after="60" w:line="360" w:lineRule="auto"/>
                <w:ind w:hanging="391"/>
                <w:jc w:val="both"/>
                <w:outlineLvl w:val="2"/>
                <w:rPr>
                  <w:szCs w:val="21"/>
                </w:rPr>
              </w:pPr>
              <w:r>
                <w:rPr>
                  <w:szCs w:val="21"/>
                </w:rPr>
                <w:t>汇率风险</w:t>
              </w:r>
            </w:p>
            <w:p w14:paraId="3635D60C" w14:textId="77777777" w:rsidR="00D21C1F" w:rsidRDefault="00A42880">
              <w:pPr>
                <w:spacing w:line="360" w:lineRule="auto"/>
                <w:ind w:firstLineChars="200" w:firstLine="420"/>
                <w:rPr>
                  <w:szCs w:val="21"/>
                </w:rPr>
              </w:pPr>
              <w:r>
                <w:rPr>
                  <w:szCs w:val="21"/>
                </w:rPr>
                <w:t>本公司的主要经营位于中国境内，主要业务以人民币结算。但本公司已确认的外币资产和负债及未来的外币交易依然存在外汇风险。公司监控外币交易和外币资产及负债的规模</w:t>
              </w:r>
              <w:r>
                <w:rPr>
                  <w:rFonts w:hint="eastAsia"/>
                  <w:szCs w:val="21"/>
                </w:rPr>
                <w:t>、尽可能将外币收入与外币支出相匹配以降低汇率风险，同时采取与银行签订远期结售汇协议等措施以达到规避外汇风险的目的，</w:t>
              </w:r>
              <w:r>
                <w:rPr>
                  <w:szCs w:val="21"/>
                </w:rPr>
                <w:t>以最大程度降低面临的外汇风险。</w:t>
              </w:r>
            </w:p>
            <w:p w14:paraId="4A61647F" w14:textId="77777777" w:rsidR="00D21C1F" w:rsidRDefault="00A42880">
              <w:pPr>
                <w:spacing w:line="360" w:lineRule="auto"/>
                <w:ind w:firstLineChars="200" w:firstLine="420"/>
                <w:rPr>
                  <w:szCs w:val="21"/>
                </w:rPr>
              </w:pPr>
              <w:r>
                <w:rPr>
                  <w:szCs w:val="21"/>
                </w:rPr>
                <w:lastRenderedPageBreak/>
                <w:t>截止</w:t>
              </w:r>
              <w:r>
                <w:rPr>
                  <w:rFonts w:ascii="Times New Roman" w:hAnsi="Times New Roman"/>
                  <w:szCs w:val="21"/>
                </w:rPr>
                <w:t>2021</w:t>
              </w:r>
              <w:r>
                <w:rPr>
                  <w:szCs w:val="21"/>
                </w:rPr>
                <w:t>年</w:t>
              </w:r>
              <w:r>
                <w:rPr>
                  <w:rFonts w:ascii="Times New Roman" w:hAnsi="Times New Roman"/>
                  <w:szCs w:val="21"/>
                </w:rPr>
                <w:t>6</w:t>
              </w:r>
              <w:r>
                <w:rPr>
                  <w:szCs w:val="21"/>
                </w:rPr>
                <w:t>月</w:t>
              </w:r>
              <w:r>
                <w:rPr>
                  <w:rFonts w:ascii="Times New Roman" w:hAnsi="Times New Roman"/>
                  <w:szCs w:val="21"/>
                </w:rPr>
                <w:t>30</w:t>
              </w:r>
              <w:r>
                <w:rPr>
                  <w:szCs w:val="21"/>
                </w:rPr>
                <w:t>日，本公司持有的外币金融资产和外币金融负债折算成人民币的金额列示如下：</w:t>
              </w:r>
            </w:p>
            <w:p w14:paraId="155949AF" w14:textId="77777777" w:rsidR="00D21C1F" w:rsidRDefault="00A42880">
              <w:pPr>
                <w:spacing w:line="360" w:lineRule="auto"/>
                <w:ind w:firstLineChars="200" w:firstLine="420"/>
                <w:jc w:val="right"/>
                <w:rPr>
                  <w:szCs w:val="21"/>
                </w:rPr>
              </w:pPr>
              <w:r>
                <w:rPr>
                  <w:szCs w:val="21"/>
                </w:rPr>
                <w:t>金额单位：人民币</w:t>
              </w:r>
              <w:r>
                <w:rPr>
                  <w:rFonts w:hint="eastAsia"/>
                  <w:szCs w:val="21"/>
                </w:rPr>
                <w:t>万</w:t>
              </w:r>
              <w:r>
                <w:rPr>
                  <w:szCs w:val="21"/>
                </w:rPr>
                <w:t>元</w:t>
              </w:r>
            </w:p>
            <w:tbl>
              <w:tblPr>
                <w:tblStyle w:val="g5"/>
                <w:tblW w:w="5000" w:type="pct"/>
                <w:tblInd w:w="108" w:type="dxa"/>
                <w:tblBorders>
                  <w:top w:val="single" w:sz="8" w:space="0" w:color="auto"/>
                  <w:bottom w:val="single" w:sz="8" w:space="0" w:color="auto"/>
                  <w:insideH w:val="single" w:sz="2" w:space="0" w:color="auto"/>
                  <w:insideV w:val="single" w:sz="2" w:space="0" w:color="auto"/>
                </w:tblBorders>
                <w:tblLook w:val="04A0" w:firstRow="1" w:lastRow="0" w:firstColumn="1" w:lastColumn="0" w:noHBand="0" w:noVBand="1"/>
              </w:tblPr>
              <w:tblGrid>
                <w:gridCol w:w="1442"/>
                <w:gridCol w:w="950"/>
                <w:gridCol w:w="908"/>
                <w:gridCol w:w="917"/>
                <w:gridCol w:w="1099"/>
                <w:gridCol w:w="915"/>
                <w:gridCol w:w="738"/>
                <w:gridCol w:w="885"/>
                <w:gridCol w:w="979"/>
              </w:tblGrid>
              <w:tr w:rsidR="00D21C1F" w14:paraId="5B48045C" w14:textId="77777777">
                <w:trPr>
                  <w:cantSplit/>
                  <w:trHeight w:hRule="exact" w:val="603"/>
                </w:trPr>
                <w:tc>
                  <w:tcPr>
                    <w:tcW w:w="816" w:type="pct"/>
                    <w:shd w:val="clear" w:color="auto" w:fill="auto"/>
                    <w:vAlign w:val="center"/>
                  </w:tcPr>
                  <w:p w14:paraId="1D6C877B" w14:textId="77777777" w:rsidR="00D21C1F" w:rsidRDefault="00A42880">
                    <w:pPr>
                      <w:spacing w:line="240" w:lineRule="exact"/>
                      <w:jc w:val="center"/>
                      <w:rPr>
                        <w:sz w:val="20"/>
                        <w:szCs w:val="20"/>
                      </w:rPr>
                    </w:pPr>
                    <w:r>
                      <w:rPr>
                        <w:sz w:val="20"/>
                        <w:szCs w:val="20"/>
                      </w:rPr>
                      <w:t>项目名称</w:t>
                    </w:r>
                  </w:p>
                </w:tc>
                <w:tc>
                  <w:tcPr>
                    <w:tcW w:w="538" w:type="pct"/>
                    <w:shd w:val="clear" w:color="auto" w:fill="auto"/>
                    <w:vAlign w:val="center"/>
                  </w:tcPr>
                  <w:p w14:paraId="67964968" w14:textId="77777777" w:rsidR="00D21C1F" w:rsidRDefault="00A42880">
                    <w:pPr>
                      <w:spacing w:line="240" w:lineRule="exact"/>
                      <w:jc w:val="center"/>
                      <w:rPr>
                        <w:sz w:val="20"/>
                        <w:szCs w:val="20"/>
                      </w:rPr>
                    </w:pPr>
                    <w:r>
                      <w:rPr>
                        <w:sz w:val="20"/>
                        <w:szCs w:val="20"/>
                      </w:rPr>
                      <w:t>美元</w:t>
                    </w:r>
                  </w:p>
                </w:tc>
                <w:tc>
                  <w:tcPr>
                    <w:tcW w:w="514" w:type="pct"/>
                    <w:shd w:val="clear" w:color="auto" w:fill="auto"/>
                    <w:vAlign w:val="center"/>
                  </w:tcPr>
                  <w:p w14:paraId="0B8AFED0" w14:textId="77777777" w:rsidR="00D21C1F" w:rsidRDefault="00A42880">
                    <w:pPr>
                      <w:spacing w:line="240" w:lineRule="exact"/>
                      <w:jc w:val="center"/>
                      <w:rPr>
                        <w:sz w:val="20"/>
                        <w:szCs w:val="20"/>
                      </w:rPr>
                    </w:pPr>
                    <w:r>
                      <w:rPr>
                        <w:sz w:val="20"/>
                        <w:szCs w:val="20"/>
                      </w:rPr>
                      <w:t>欧元</w:t>
                    </w:r>
                  </w:p>
                </w:tc>
                <w:tc>
                  <w:tcPr>
                    <w:tcW w:w="519" w:type="pct"/>
                    <w:shd w:val="clear" w:color="auto" w:fill="auto"/>
                    <w:vAlign w:val="center"/>
                  </w:tcPr>
                  <w:p w14:paraId="6E5E37D8" w14:textId="77777777" w:rsidR="00D21C1F" w:rsidRDefault="00A42880">
                    <w:pPr>
                      <w:spacing w:line="240" w:lineRule="exact"/>
                      <w:jc w:val="center"/>
                      <w:rPr>
                        <w:sz w:val="20"/>
                        <w:szCs w:val="20"/>
                      </w:rPr>
                    </w:pPr>
                    <w:r>
                      <w:rPr>
                        <w:rFonts w:hint="eastAsia"/>
                        <w:sz w:val="20"/>
                        <w:szCs w:val="20"/>
                      </w:rPr>
                      <w:t>波兰</w:t>
                    </w:r>
                    <w:r>
                      <w:rPr>
                        <w:sz w:val="20"/>
                        <w:szCs w:val="20"/>
                      </w:rPr>
                      <w:t>兹罗提</w:t>
                    </w:r>
                  </w:p>
                </w:tc>
                <w:tc>
                  <w:tcPr>
                    <w:tcW w:w="622" w:type="pct"/>
                    <w:vAlign w:val="center"/>
                  </w:tcPr>
                  <w:p w14:paraId="2F9141D8" w14:textId="77777777" w:rsidR="00D21C1F" w:rsidRDefault="00A42880">
                    <w:pPr>
                      <w:spacing w:line="240" w:lineRule="exact"/>
                      <w:jc w:val="center"/>
                      <w:rPr>
                        <w:sz w:val="20"/>
                        <w:szCs w:val="20"/>
                      </w:rPr>
                    </w:pPr>
                    <w:r>
                      <w:rPr>
                        <w:sz w:val="20"/>
                        <w:szCs w:val="20"/>
                      </w:rPr>
                      <w:t>巴西雷亚尔</w:t>
                    </w:r>
                  </w:p>
                </w:tc>
                <w:tc>
                  <w:tcPr>
                    <w:tcW w:w="518" w:type="pct"/>
                    <w:vAlign w:val="center"/>
                  </w:tcPr>
                  <w:p w14:paraId="7297D65B" w14:textId="77777777" w:rsidR="00D21C1F" w:rsidRDefault="00A42880">
                    <w:pPr>
                      <w:spacing w:line="240" w:lineRule="exact"/>
                      <w:jc w:val="center"/>
                      <w:rPr>
                        <w:sz w:val="20"/>
                        <w:szCs w:val="20"/>
                      </w:rPr>
                    </w:pPr>
                    <w:r>
                      <w:rPr>
                        <w:sz w:val="20"/>
                        <w:szCs w:val="20"/>
                      </w:rPr>
                      <w:t>印度卢比</w:t>
                    </w:r>
                  </w:p>
                </w:tc>
                <w:tc>
                  <w:tcPr>
                    <w:tcW w:w="418" w:type="pct"/>
                    <w:vAlign w:val="center"/>
                  </w:tcPr>
                  <w:p w14:paraId="4607478F" w14:textId="77777777" w:rsidR="00D21C1F" w:rsidRDefault="00A42880">
                    <w:pPr>
                      <w:spacing w:line="240" w:lineRule="exact"/>
                      <w:jc w:val="center"/>
                      <w:rPr>
                        <w:sz w:val="20"/>
                        <w:szCs w:val="20"/>
                      </w:rPr>
                    </w:pPr>
                    <w:r>
                      <w:rPr>
                        <w:rFonts w:hint="eastAsia"/>
                        <w:sz w:val="20"/>
                        <w:szCs w:val="20"/>
                      </w:rPr>
                      <w:t>港币</w:t>
                    </w:r>
                  </w:p>
                </w:tc>
                <w:tc>
                  <w:tcPr>
                    <w:tcW w:w="501" w:type="pct"/>
                    <w:vAlign w:val="center"/>
                  </w:tcPr>
                  <w:p w14:paraId="2051255F" w14:textId="77777777" w:rsidR="00D21C1F" w:rsidRDefault="00A42880">
                    <w:pPr>
                      <w:spacing w:line="240" w:lineRule="exact"/>
                      <w:jc w:val="center"/>
                      <w:rPr>
                        <w:sz w:val="20"/>
                        <w:szCs w:val="20"/>
                      </w:rPr>
                    </w:pPr>
                    <w:r>
                      <w:rPr>
                        <w:rFonts w:hint="eastAsia"/>
                        <w:sz w:val="20"/>
                        <w:szCs w:val="20"/>
                      </w:rPr>
                      <w:t>日元</w:t>
                    </w:r>
                  </w:p>
                </w:tc>
                <w:tc>
                  <w:tcPr>
                    <w:tcW w:w="555" w:type="pct"/>
                    <w:shd w:val="clear" w:color="auto" w:fill="auto"/>
                    <w:vAlign w:val="center"/>
                  </w:tcPr>
                  <w:p w14:paraId="641380FB" w14:textId="77777777" w:rsidR="00D21C1F" w:rsidRDefault="00A42880">
                    <w:pPr>
                      <w:spacing w:line="240" w:lineRule="exact"/>
                      <w:jc w:val="center"/>
                      <w:rPr>
                        <w:sz w:val="20"/>
                        <w:szCs w:val="20"/>
                      </w:rPr>
                    </w:pPr>
                    <w:r>
                      <w:rPr>
                        <w:sz w:val="20"/>
                        <w:szCs w:val="20"/>
                      </w:rPr>
                      <w:t>合计</w:t>
                    </w:r>
                  </w:p>
                </w:tc>
              </w:tr>
              <w:tr w:rsidR="00D21C1F" w14:paraId="1EF5DE51" w14:textId="77777777">
                <w:trPr>
                  <w:cantSplit/>
                  <w:trHeight w:hRule="exact" w:val="553"/>
                </w:trPr>
                <w:tc>
                  <w:tcPr>
                    <w:tcW w:w="816" w:type="pct"/>
                    <w:shd w:val="clear" w:color="auto" w:fill="auto"/>
                    <w:vAlign w:val="center"/>
                  </w:tcPr>
                  <w:p w14:paraId="74DC1BD4" w14:textId="77777777" w:rsidR="00D21C1F" w:rsidRDefault="00A42880">
                    <w:pPr>
                      <w:spacing w:line="240" w:lineRule="exact"/>
                      <w:rPr>
                        <w:b/>
                        <w:sz w:val="20"/>
                        <w:szCs w:val="20"/>
                      </w:rPr>
                    </w:pPr>
                    <w:r>
                      <w:rPr>
                        <w:b/>
                        <w:sz w:val="20"/>
                        <w:szCs w:val="20"/>
                      </w:rPr>
                      <w:t>外币金融资产：</w:t>
                    </w:r>
                  </w:p>
                </w:tc>
                <w:tc>
                  <w:tcPr>
                    <w:tcW w:w="538" w:type="pct"/>
                    <w:shd w:val="clear" w:color="auto" w:fill="auto"/>
                    <w:vAlign w:val="center"/>
                  </w:tcPr>
                  <w:p w14:paraId="3B248F20" w14:textId="77777777" w:rsidR="00D21C1F" w:rsidRDefault="00D21C1F">
                    <w:pPr>
                      <w:spacing w:line="240" w:lineRule="exact"/>
                      <w:jc w:val="right"/>
                      <w:rPr>
                        <w:sz w:val="20"/>
                        <w:szCs w:val="20"/>
                      </w:rPr>
                    </w:pPr>
                  </w:p>
                </w:tc>
                <w:tc>
                  <w:tcPr>
                    <w:tcW w:w="514" w:type="pct"/>
                    <w:shd w:val="clear" w:color="auto" w:fill="auto"/>
                    <w:vAlign w:val="center"/>
                  </w:tcPr>
                  <w:p w14:paraId="049382E3" w14:textId="77777777" w:rsidR="00D21C1F" w:rsidRDefault="00D21C1F">
                    <w:pPr>
                      <w:spacing w:line="240" w:lineRule="exact"/>
                      <w:jc w:val="right"/>
                      <w:rPr>
                        <w:sz w:val="20"/>
                        <w:szCs w:val="20"/>
                      </w:rPr>
                    </w:pPr>
                  </w:p>
                </w:tc>
                <w:tc>
                  <w:tcPr>
                    <w:tcW w:w="519" w:type="pct"/>
                    <w:shd w:val="clear" w:color="auto" w:fill="auto"/>
                    <w:vAlign w:val="center"/>
                  </w:tcPr>
                  <w:p w14:paraId="2A110426" w14:textId="77777777" w:rsidR="00D21C1F" w:rsidRDefault="00D21C1F">
                    <w:pPr>
                      <w:spacing w:line="240" w:lineRule="exact"/>
                      <w:jc w:val="right"/>
                      <w:rPr>
                        <w:sz w:val="20"/>
                        <w:szCs w:val="20"/>
                      </w:rPr>
                    </w:pPr>
                  </w:p>
                </w:tc>
                <w:tc>
                  <w:tcPr>
                    <w:tcW w:w="622" w:type="pct"/>
                    <w:vAlign w:val="center"/>
                  </w:tcPr>
                  <w:p w14:paraId="69D8FCCB" w14:textId="77777777" w:rsidR="00D21C1F" w:rsidRDefault="00D21C1F">
                    <w:pPr>
                      <w:spacing w:line="240" w:lineRule="exact"/>
                      <w:jc w:val="right"/>
                      <w:rPr>
                        <w:sz w:val="20"/>
                        <w:szCs w:val="20"/>
                      </w:rPr>
                    </w:pPr>
                  </w:p>
                </w:tc>
                <w:tc>
                  <w:tcPr>
                    <w:tcW w:w="518" w:type="pct"/>
                    <w:vAlign w:val="center"/>
                  </w:tcPr>
                  <w:p w14:paraId="4466F387" w14:textId="77777777" w:rsidR="00D21C1F" w:rsidRDefault="00D21C1F">
                    <w:pPr>
                      <w:spacing w:line="240" w:lineRule="exact"/>
                      <w:jc w:val="right"/>
                      <w:rPr>
                        <w:sz w:val="20"/>
                        <w:szCs w:val="20"/>
                      </w:rPr>
                    </w:pPr>
                  </w:p>
                </w:tc>
                <w:tc>
                  <w:tcPr>
                    <w:tcW w:w="418" w:type="pct"/>
                    <w:vAlign w:val="center"/>
                  </w:tcPr>
                  <w:p w14:paraId="3C995E94" w14:textId="77777777" w:rsidR="00D21C1F" w:rsidRDefault="00D21C1F">
                    <w:pPr>
                      <w:spacing w:line="240" w:lineRule="exact"/>
                      <w:jc w:val="right"/>
                      <w:rPr>
                        <w:sz w:val="20"/>
                        <w:szCs w:val="20"/>
                      </w:rPr>
                    </w:pPr>
                  </w:p>
                </w:tc>
                <w:tc>
                  <w:tcPr>
                    <w:tcW w:w="501" w:type="pct"/>
                    <w:vAlign w:val="center"/>
                  </w:tcPr>
                  <w:p w14:paraId="62CE3A1E" w14:textId="77777777" w:rsidR="00D21C1F" w:rsidRDefault="00D21C1F">
                    <w:pPr>
                      <w:spacing w:line="240" w:lineRule="exact"/>
                      <w:jc w:val="right"/>
                      <w:rPr>
                        <w:sz w:val="20"/>
                        <w:szCs w:val="20"/>
                      </w:rPr>
                    </w:pPr>
                  </w:p>
                </w:tc>
                <w:tc>
                  <w:tcPr>
                    <w:tcW w:w="555" w:type="pct"/>
                    <w:shd w:val="clear" w:color="auto" w:fill="auto"/>
                    <w:vAlign w:val="center"/>
                  </w:tcPr>
                  <w:p w14:paraId="1C986F63" w14:textId="77777777" w:rsidR="00D21C1F" w:rsidRDefault="00D21C1F">
                    <w:pPr>
                      <w:spacing w:line="240" w:lineRule="exact"/>
                      <w:jc w:val="right"/>
                      <w:rPr>
                        <w:sz w:val="20"/>
                        <w:szCs w:val="20"/>
                      </w:rPr>
                    </w:pPr>
                  </w:p>
                </w:tc>
              </w:tr>
              <w:tr w:rsidR="00D21C1F" w14:paraId="6DD5A956" w14:textId="77777777" w:rsidTr="00003DDA">
                <w:trPr>
                  <w:cantSplit/>
                  <w:trHeight w:hRule="exact" w:val="397"/>
                </w:trPr>
                <w:tc>
                  <w:tcPr>
                    <w:tcW w:w="816" w:type="pct"/>
                    <w:shd w:val="clear" w:color="auto" w:fill="auto"/>
                    <w:vAlign w:val="center"/>
                  </w:tcPr>
                  <w:p w14:paraId="595E897D" w14:textId="77777777" w:rsidR="00D21C1F" w:rsidRDefault="00A42880">
                    <w:pPr>
                      <w:spacing w:line="240" w:lineRule="exact"/>
                      <w:rPr>
                        <w:sz w:val="20"/>
                        <w:szCs w:val="20"/>
                      </w:rPr>
                    </w:pPr>
                    <w:r>
                      <w:rPr>
                        <w:sz w:val="20"/>
                        <w:szCs w:val="20"/>
                      </w:rPr>
                      <w:t>货币资金</w:t>
                    </w:r>
                  </w:p>
                </w:tc>
                <w:tc>
                  <w:tcPr>
                    <w:tcW w:w="538" w:type="pct"/>
                    <w:shd w:val="clear" w:color="auto" w:fill="auto"/>
                    <w:vAlign w:val="center"/>
                  </w:tcPr>
                  <w:p w14:paraId="1ACD65DE"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117.03</w:t>
                    </w:r>
                  </w:p>
                </w:tc>
                <w:tc>
                  <w:tcPr>
                    <w:tcW w:w="514" w:type="pct"/>
                    <w:shd w:val="clear" w:color="auto" w:fill="auto"/>
                    <w:vAlign w:val="center"/>
                  </w:tcPr>
                  <w:p w14:paraId="54C9A6E0"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15,897.14</w:t>
                    </w:r>
                  </w:p>
                </w:tc>
                <w:tc>
                  <w:tcPr>
                    <w:tcW w:w="519" w:type="pct"/>
                    <w:shd w:val="clear" w:color="auto" w:fill="auto"/>
                    <w:vAlign w:val="center"/>
                  </w:tcPr>
                  <w:p w14:paraId="5713C62D"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1,960.89</w:t>
                    </w:r>
                  </w:p>
                </w:tc>
                <w:tc>
                  <w:tcPr>
                    <w:tcW w:w="622" w:type="pct"/>
                    <w:vAlign w:val="center"/>
                  </w:tcPr>
                  <w:p w14:paraId="2CA68E48" w14:textId="77777777" w:rsidR="00D21C1F" w:rsidRPr="00003DDA" w:rsidRDefault="00A42880" w:rsidP="00003DDA">
                    <w:pPr>
                      <w:spacing w:line="240" w:lineRule="exact"/>
                      <w:jc w:val="right"/>
                      <w:rPr>
                        <w:rFonts w:ascii="Times New Roman" w:hAnsi="Times New Roman" w:cs="Times New Roman"/>
                        <w:sz w:val="20"/>
                        <w:szCs w:val="20"/>
                      </w:rPr>
                    </w:pPr>
                    <w:r w:rsidRPr="00003DDA">
                      <w:rPr>
                        <w:rFonts w:ascii="Times New Roman" w:hAnsi="Times New Roman" w:cs="Times New Roman"/>
                        <w:sz w:val="20"/>
                        <w:szCs w:val="20"/>
                      </w:rPr>
                      <w:t>1,045.11</w:t>
                    </w:r>
                  </w:p>
                </w:tc>
                <w:tc>
                  <w:tcPr>
                    <w:tcW w:w="518" w:type="pct"/>
                    <w:vAlign w:val="center"/>
                  </w:tcPr>
                  <w:p w14:paraId="0CAD2325" w14:textId="77777777" w:rsidR="00D21C1F" w:rsidRPr="00003DDA" w:rsidRDefault="00A42880" w:rsidP="00003DDA">
                    <w:pPr>
                      <w:spacing w:line="240" w:lineRule="exact"/>
                      <w:jc w:val="right"/>
                      <w:rPr>
                        <w:rFonts w:ascii="Times New Roman" w:hAnsi="Times New Roman" w:cs="Times New Roman"/>
                        <w:sz w:val="20"/>
                        <w:szCs w:val="20"/>
                      </w:rPr>
                    </w:pPr>
                    <w:r w:rsidRPr="00003DDA">
                      <w:rPr>
                        <w:rFonts w:ascii="Times New Roman" w:hAnsi="Times New Roman" w:cs="Times New Roman"/>
                        <w:sz w:val="20"/>
                        <w:szCs w:val="20"/>
                      </w:rPr>
                      <w:t>5.70</w:t>
                    </w:r>
                  </w:p>
                </w:tc>
                <w:tc>
                  <w:tcPr>
                    <w:tcW w:w="418" w:type="pct"/>
                    <w:vAlign w:val="center"/>
                  </w:tcPr>
                  <w:p w14:paraId="692A04C0" w14:textId="77777777" w:rsidR="00D21C1F" w:rsidRPr="00003DDA" w:rsidRDefault="00A42880" w:rsidP="00003DDA">
                    <w:pPr>
                      <w:spacing w:line="240" w:lineRule="exact"/>
                      <w:jc w:val="right"/>
                      <w:rPr>
                        <w:rFonts w:ascii="Times New Roman" w:hAnsi="Times New Roman" w:cs="Times New Roman"/>
                        <w:sz w:val="20"/>
                        <w:szCs w:val="20"/>
                      </w:rPr>
                    </w:pPr>
                    <w:r w:rsidRPr="00003DDA">
                      <w:rPr>
                        <w:rFonts w:ascii="Times New Roman" w:hAnsi="Times New Roman" w:cs="Times New Roman"/>
                        <w:sz w:val="20"/>
                        <w:szCs w:val="20"/>
                      </w:rPr>
                      <w:t>90.34</w:t>
                    </w:r>
                  </w:p>
                </w:tc>
                <w:tc>
                  <w:tcPr>
                    <w:tcW w:w="501" w:type="pct"/>
                    <w:vAlign w:val="center"/>
                  </w:tcPr>
                  <w:p w14:paraId="0C053071" w14:textId="77777777" w:rsidR="00D21C1F" w:rsidRPr="00003DDA" w:rsidRDefault="00A42880" w:rsidP="00003DDA">
                    <w:pPr>
                      <w:spacing w:line="240" w:lineRule="exact"/>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55" w:type="pct"/>
                    <w:shd w:val="clear" w:color="auto" w:fill="auto"/>
                    <w:vAlign w:val="center"/>
                  </w:tcPr>
                  <w:p w14:paraId="3E2007BD" w14:textId="77777777" w:rsidR="00D21C1F" w:rsidRPr="00003DDA" w:rsidRDefault="00A42880" w:rsidP="00003DDA">
                    <w:pPr>
                      <w:spacing w:line="240" w:lineRule="exact"/>
                      <w:jc w:val="right"/>
                      <w:rPr>
                        <w:rFonts w:ascii="Times New Roman" w:hAnsi="Times New Roman" w:cs="Times New Roman"/>
                        <w:sz w:val="20"/>
                        <w:szCs w:val="20"/>
                      </w:rPr>
                    </w:pPr>
                    <w:r w:rsidRPr="00003DDA">
                      <w:rPr>
                        <w:rFonts w:ascii="Times New Roman" w:hAnsi="Times New Roman" w:cs="Times New Roman"/>
                        <w:sz w:val="20"/>
                        <w:szCs w:val="20"/>
                      </w:rPr>
                      <w:t>19,116.21</w:t>
                    </w:r>
                  </w:p>
                </w:tc>
              </w:tr>
              <w:tr w:rsidR="00D21C1F" w14:paraId="56782BF7" w14:textId="77777777" w:rsidTr="00003DDA">
                <w:trPr>
                  <w:cantSplit/>
                  <w:trHeight w:hRule="exact" w:val="397"/>
                </w:trPr>
                <w:tc>
                  <w:tcPr>
                    <w:tcW w:w="816" w:type="pct"/>
                    <w:shd w:val="clear" w:color="auto" w:fill="auto"/>
                    <w:vAlign w:val="center"/>
                  </w:tcPr>
                  <w:p w14:paraId="38CE339D" w14:textId="77777777" w:rsidR="00D21C1F" w:rsidRDefault="00A42880">
                    <w:pPr>
                      <w:spacing w:line="240" w:lineRule="exact"/>
                      <w:rPr>
                        <w:sz w:val="20"/>
                        <w:szCs w:val="20"/>
                      </w:rPr>
                    </w:pPr>
                    <w:r>
                      <w:rPr>
                        <w:sz w:val="20"/>
                        <w:szCs w:val="20"/>
                      </w:rPr>
                      <w:t>应收账款</w:t>
                    </w:r>
                  </w:p>
                </w:tc>
                <w:tc>
                  <w:tcPr>
                    <w:tcW w:w="538" w:type="pct"/>
                    <w:shd w:val="clear" w:color="auto" w:fill="auto"/>
                    <w:vAlign w:val="center"/>
                  </w:tcPr>
                  <w:p w14:paraId="599EF31D"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2,876.93</w:t>
                    </w:r>
                  </w:p>
                </w:tc>
                <w:tc>
                  <w:tcPr>
                    <w:tcW w:w="514" w:type="pct"/>
                    <w:shd w:val="clear" w:color="auto" w:fill="auto"/>
                    <w:vAlign w:val="center"/>
                  </w:tcPr>
                  <w:p w14:paraId="41E17AA6"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9,117.67</w:t>
                    </w:r>
                  </w:p>
                </w:tc>
                <w:tc>
                  <w:tcPr>
                    <w:tcW w:w="519" w:type="pct"/>
                    <w:shd w:val="clear" w:color="auto" w:fill="auto"/>
                    <w:vAlign w:val="center"/>
                  </w:tcPr>
                  <w:p w14:paraId="022B075A"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5.15</w:t>
                    </w:r>
                  </w:p>
                </w:tc>
                <w:tc>
                  <w:tcPr>
                    <w:tcW w:w="622" w:type="pct"/>
                    <w:vAlign w:val="center"/>
                  </w:tcPr>
                  <w:p w14:paraId="47C5C164"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7,319.26</w:t>
                    </w:r>
                  </w:p>
                </w:tc>
                <w:tc>
                  <w:tcPr>
                    <w:tcW w:w="518" w:type="pct"/>
                    <w:vAlign w:val="center"/>
                  </w:tcPr>
                  <w:p w14:paraId="0898EDEE"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73.97</w:t>
                    </w:r>
                  </w:p>
                </w:tc>
                <w:tc>
                  <w:tcPr>
                    <w:tcW w:w="418" w:type="pct"/>
                    <w:vAlign w:val="center"/>
                  </w:tcPr>
                  <w:p w14:paraId="6DEC6A59"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01" w:type="pct"/>
                    <w:vAlign w:val="center"/>
                  </w:tcPr>
                  <w:p w14:paraId="21B8BC97"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55" w:type="pct"/>
                    <w:shd w:val="clear" w:color="auto" w:fill="auto"/>
                    <w:vAlign w:val="center"/>
                  </w:tcPr>
                  <w:p w14:paraId="4727A1D4"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19,392.98</w:t>
                    </w:r>
                  </w:p>
                </w:tc>
              </w:tr>
              <w:tr w:rsidR="00D21C1F" w14:paraId="597F58FB" w14:textId="77777777" w:rsidTr="00003DDA">
                <w:trPr>
                  <w:cantSplit/>
                  <w:trHeight w:hRule="exact" w:val="615"/>
                </w:trPr>
                <w:tc>
                  <w:tcPr>
                    <w:tcW w:w="816" w:type="pct"/>
                    <w:shd w:val="clear" w:color="auto" w:fill="auto"/>
                    <w:vAlign w:val="center"/>
                  </w:tcPr>
                  <w:p w14:paraId="5B3B766D" w14:textId="77777777" w:rsidR="00D21C1F" w:rsidRDefault="00A42880">
                    <w:pPr>
                      <w:spacing w:line="240" w:lineRule="exact"/>
                      <w:rPr>
                        <w:sz w:val="20"/>
                        <w:szCs w:val="20"/>
                      </w:rPr>
                    </w:pPr>
                    <w:r>
                      <w:rPr>
                        <w:sz w:val="20"/>
                        <w:szCs w:val="20"/>
                      </w:rPr>
                      <w:t>其他应收款</w:t>
                    </w:r>
                  </w:p>
                </w:tc>
                <w:tc>
                  <w:tcPr>
                    <w:tcW w:w="538" w:type="pct"/>
                    <w:shd w:val="clear" w:color="auto" w:fill="auto"/>
                    <w:vAlign w:val="center"/>
                  </w:tcPr>
                  <w:p w14:paraId="133B0952"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14" w:type="pct"/>
                    <w:shd w:val="clear" w:color="auto" w:fill="auto"/>
                    <w:vAlign w:val="center"/>
                  </w:tcPr>
                  <w:p w14:paraId="5AE13A79"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24,153.05</w:t>
                    </w:r>
                  </w:p>
                </w:tc>
                <w:tc>
                  <w:tcPr>
                    <w:tcW w:w="519" w:type="pct"/>
                    <w:shd w:val="clear" w:color="auto" w:fill="auto"/>
                    <w:vAlign w:val="center"/>
                  </w:tcPr>
                  <w:p w14:paraId="0D8D09D4"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42.13</w:t>
                    </w:r>
                  </w:p>
                </w:tc>
                <w:tc>
                  <w:tcPr>
                    <w:tcW w:w="622" w:type="pct"/>
                    <w:vAlign w:val="center"/>
                  </w:tcPr>
                  <w:p w14:paraId="76BEC3A2"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117.89</w:t>
                    </w:r>
                  </w:p>
                </w:tc>
                <w:tc>
                  <w:tcPr>
                    <w:tcW w:w="518" w:type="pct"/>
                    <w:vAlign w:val="center"/>
                  </w:tcPr>
                  <w:p w14:paraId="0F6411D8"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3.55</w:t>
                    </w:r>
                  </w:p>
                </w:tc>
                <w:tc>
                  <w:tcPr>
                    <w:tcW w:w="418" w:type="pct"/>
                    <w:vAlign w:val="center"/>
                  </w:tcPr>
                  <w:p w14:paraId="0D0D45D7"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01" w:type="pct"/>
                    <w:vAlign w:val="center"/>
                  </w:tcPr>
                  <w:p w14:paraId="513D0FB0"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55" w:type="pct"/>
                    <w:shd w:val="clear" w:color="auto" w:fill="auto"/>
                    <w:vAlign w:val="center"/>
                  </w:tcPr>
                  <w:p w14:paraId="2E8FB0D3"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24,316.62</w:t>
                    </w:r>
                  </w:p>
                </w:tc>
              </w:tr>
              <w:tr w:rsidR="00D21C1F" w14:paraId="2FDACB4F" w14:textId="77777777" w:rsidTr="00003DDA">
                <w:trPr>
                  <w:cantSplit/>
                  <w:trHeight w:hRule="exact" w:val="567"/>
                </w:trPr>
                <w:tc>
                  <w:tcPr>
                    <w:tcW w:w="816" w:type="pct"/>
                    <w:shd w:val="clear" w:color="auto" w:fill="auto"/>
                    <w:vAlign w:val="center"/>
                  </w:tcPr>
                  <w:p w14:paraId="05857638" w14:textId="77777777" w:rsidR="00D21C1F" w:rsidRDefault="00A42880">
                    <w:pPr>
                      <w:spacing w:line="240" w:lineRule="exact"/>
                      <w:rPr>
                        <w:sz w:val="20"/>
                        <w:szCs w:val="20"/>
                      </w:rPr>
                    </w:pPr>
                    <w:r>
                      <w:rPr>
                        <w:b/>
                        <w:sz w:val="20"/>
                        <w:szCs w:val="20"/>
                      </w:rPr>
                      <w:t>外币金融负债</w:t>
                    </w:r>
                    <w:r>
                      <w:rPr>
                        <w:sz w:val="20"/>
                        <w:szCs w:val="20"/>
                      </w:rPr>
                      <w:t>：</w:t>
                    </w:r>
                  </w:p>
                </w:tc>
                <w:tc>
                  <w:tcPr>
                    <w:tcW w:w="538" w:type="pct"/>
                    <w:shd w:val="clear" w:color="auto" w:fill="auto"/>
                    <w:vAlign w:val="center"/>
                  </w:tcPr>
                  <w:p w14:paraId="6C14FE6F" w14:textId="77777777" w:rsidR="00D21C1F" w:rsidRPr="00003DDA" w:rsidRDefault="00D21C1F" w:rsidP="00003DDA">
                    <w:pPr>
                      <w:jc w:val="right"/>
                      <w:rPr>
                        <w:rFonts w:ascii="Times New Roman" w:hAnsi="Times New Roman" w:cs="Times New Roman"/>
                        <w:sz w:val="20"/>
                        <w:szCs w:val="20"/>
                      </w:rPr>
                    </w:pPr>
                  </w:p>
                </w:tc>
                <w:tc>
                  <w:tcPr>
                    <w:tcW w:w="514" w:type="pct"/>
                    <w:shd w:val="clear" w:color="auto" w:fill="auto"/>
                    <w:vAlign w:val="center"/>
                  </w:tcPr>
                  <w:p w14:paraId="7C71DC16" w14:textId="77777777" w:rsidR="00D21C1F" w:rsidRPr="00003DDA" w:rsidRDefault="00D21C1F" w:rsidP="00003DDA">
                    <w:pPr>
                      <w:jc w:val="right"/>
                      <w:rPr>
                        <w:rFonts w:ascii="Times New Roman" w:hAnsi="Times New Roman" w:cs="Times New Roman"/>
                        <w:sz w:val="20"/>
                        <w:szCs w:val="20"/>
                      </w:rPr>
                    </w:pPr>
                  </w:p>
                </w:tc>
                <w:tc>
                  <w:tcPr>
                    <w:tcW w:w="519" w:type="pct"/>
                    <w:shd w:val="clear" w:color="auto" w:fill="auto"/>
                    <w:vAlign w:val="center"/>
                  </w:tcPr>
                  <w:p w14:paraId="37152A42" w14:textId="77777777" w:rsidR="00D21C1F" w:rsidRPr="00003DDA" w:rsidRDefault="00D21C1F" w:rsidP="00003DDA">
                    <w:pPr>
                      <w:jc w:val="right"/>
                      <w:rPr>
                        <w:rFonts w:ascii="Times New Roman" w:hAnsi="Times New Roman" w:cs="Times New Roman"/>
                        <w:sz w:val="20"/>
                        <w:szCs w:val="20"/>
                      </w:rPr>
                    </w:pPr>
                  </w:p>
                </w:tc>
                <w:tc>
                  <w:tcPr>
                    <w:tcW w:w="622" w:type="pct"/>
                    <w:vAlign w:val="center"/>
                  </w:tcPr>
                  <w:p w14:paraId="4202FFF7" w14:textId="77777777" w:rsidR="00D21C1F" w:rsidRPr="00003DDA" w:rsidRDefault="00D21C1F" w:rsidP="00003DDA">
                    <w:pPr>
                      <w:jc w:val="right"/>
                      <w:rPr>
                        <w:rFonts w:ascii="Times New Roman" w:hAnsi="Times New Roman" w:cs="Times New Roman"/>
                        <w:sz w:val="20"/>
                        <w:szCs w:val="20"/>
                      </w:rPr>
                    </w:pPr>
                  </w:p>
                </w:tc>
                <w:tc>
                  <w:tcPr>
                    <w:tcW w:w="518" w:type="pct"/>
                    <w:vAlign w:val="center"/>
                  </w:tcPr>
                  <w:p w14:paraId="08228658" w14:textId="77777777" w:rsidR="00D21C1F" w:rsidRPr="00003DDA" w:rsidRDefault="00D21C1F" w:rsidP="00003DDA">
                    <w:pPr>
                      <w:jc w:val="right"/>
                      <w:rPr>
                        <w:rFonts w:ascii="Times New Roman" w:hAnsi="Times New Roman" w:cs="Times New Roman"/>
                        <w:sz w:val="20"/>
                        <w:szCs w:val="20"/>
                      </w:rPr>
                    </w:pPr>
                  </w:p>
                </w:tc>
                <w:tc>
                  <w:tcPr>
                    <w:tcW w:w="418" w:type="pct"/>
                    <w:vAlign w:val="center"/>
                  </w:tcPr>
                  <w:p w14:paraId="2F8888C1" w14:textId="77777777" w:rsidR="00D21C1F" w:rsidRPr="00003DDA" w:rsidRDefault="00D21C1F" w:rsidP="00003DDA">
                    <w:pPr>
                      <w:jc w:val="right"/>
                      <w:rPr>
                        <w:rFonts w:ascii="Times New Roman" w:hAnsi="Times New Roman" w:cs="Times New Roman"/>
                        <w:sz w:val="20"/>
                        <w:szCs w:val="20"/>
                      </w:rPr>
                    </w:pPr>
                  </w:p>
                </w:tc>
                <w:tc>
                  <w:tcPr>
                    <w:tcW w:w="501" w:type="pct"/>
                    <w:vAlign w:val="center"/>
                  </w:tcPr>
                  <w:p w14:paraId="23F32317" w14:textId="77777777" w:rsidR="00D21C1F" w:rsidRPr="00003DDA" w:rsidRDefault="00D21C1F" w:rsidP="00003DDA">
                    <w:pPr>
                      <w:jc w:val="right"/>
                      <w:rPr>
                        <w:rFonts w:ascii="Times New Roman" w:hAnsi="Times New Roman" w:cs="Times New Roman"/>
                        <w:sz w:val="20"/>
                        <w:szCs w:val="20"/>
                      </w:rPr>
                    </w:pPr>
                  </w:p>
                </w:tc>
                <w:tc>
                  <w:tcPr>
                    <w:tcW w:w="555" w:type="pct"/>
                    <w:shd w:val="clear" w:color="auto" w:fill="auto"/>
                    <w:vAlign w:val="center"/>
                  </w:tcPr>
                  <w:p w14:paraId="4195EE11" w14:textId="77777777" w:rsidR="00D21C1F" w:rsidRPr="00003DDA" w:rsidRDefault="00D21C1F" w:rsidP="00003DDA">
                    <w:pPr>
                      <w:jc w:val="right"/>
                      <w:rPr>
                        <w:rFonts w:ascii="Times New Roman" w:hAnsi="Times New Roman" w:cs="Times New Roman"/>
                        <w:sz w:val="20"/>
                        <w:szCs w:val="20"/>
                      </w:rPr>
                    </w:pPr>
                  </w:p>
                </w:tc>
              </w:tr>
              <w:tr w:rsidR="00D21C1F" w14:paraId="194A8FD9" w14:textId="77777777" w:rsidTr="00003DDA">
                <w:trPr>
                  <w:cantSplit/>
                  <w:trHeight w:hRule="exact" w:val="397"/>
                </w:trPr>
                <w:tc>
                  <w:tcPr>
                    <w:tcW w:w="816" w:type="pct"/>
                    <w:shd w:val="clear" w:color="auto" w:fill="auto"/>
                    <w:vAlign w:val="center"/>
                  </w:tcPr>
                  <w:p w14:paraId="77B653F6" w14:textId="77777777" w:rsidR="00D21C1F" w:rsidRDefault="00A42880">
                    <w:pPr>
                      <w:spacing w:line="240" w:lineRule="exact"/>
                      <w:rPr>
                        <w:sz w:val="20"/>
                        <w:szCs w:val="20"/>
                      </w:rPr>
                    </w:pPr>
                    <w:r>
                      <w:rPr>
                        <w:sz w:val="20"/>
                        <w:szCs w:val="20"/>
                      </w:rPr>
                      <w:t>短期借款</w:t>
                    </w:r>
                  </w:p>
                </w:tc>
                <w:tc>
                  <w:tcPr>
                    <w:tcW w:w="538" w:type="pct"/>
                    <w:shd w:val="clear" w:color="auto" w:fill="auto"/>
                    <w:vAlign w:val="center"/>
                  </w:tcPr>
                  <w:p w14:paraId="28C00266"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14" w:type="pct"/>
                    <w:shd w:val="clear" w:color="auto" w:fill="auto"/>
                    <w:vAlign w:val="center"/>
                  </w:tcPr>
                  <w:p w14:paraId="6928CA9C"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7,130.76</w:t>
                    </w:r>
                  </w:p>
                </w:tc>
                <w:tc>
                  <w:tcPr>
                    <w:tcW w:w="519" w:type="pct"/>
                    <w:shd w:val="clear" w:color="auto" w:fill="auto"/>
                    <w:vAlign w:val="center"/>
                  </w:tcPr>
                  <w:p w14:paraId="5CF1AE6B"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622" w:type="pct"/>
                    <w:vAlign w:val="center"/>
                  </w:tcPr>
                  <w:p w14:paraId="3EBD205A"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1,118.73</w:t>
                    </w:r>
                  </w:p>
                </w:tc>
                <w:tc>
                  <w:tcPr>
                    <w:tcW w:w="518" w:type="pct"/>
                    <w:vAlign w:val="center"/>
                  </w:tcPr>
                  <w:p w14:paraId="788F0298"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271.60</w:t>
                    </w:r>
                  </w:p>
                </w:tc>
                <w:tc>
                  <w:tcPr>
                    <w:tcW w:w="418" w:type="pct"/>
                    <w:vAlign w:val="center"/>
                  </w:tcPr>
                  <w:p w14:paraId="2163829F"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01" w:type="pct"/>
                    <w:vAlign w:val="center"/>
                  </w:tcPr>
                  <w:p w14:paraId="0196DBEB"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55" w:type="pct"/>
                    <w:shd w:val="clear" w:color="auto" w:fill="auto"/>
                    <w:vAlign w:val="center"/>
                  </w:tcPr>
                  <w:p w14:paraId="137F64CC"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8,521.09</w:t>
                    </w:r>
                  </w:p>
                </w:tc>
              </w:tr>
              <w:tr w:rsidR="00D21C1F" w14:paraId="3821BA34" w14:textId="77777777" w:rsidTr="00003DDA">
                <w:trPr>
                  <w:cantSplit/>
                  <w:trHeight w:hRule="exact" w:val="397"/>
                </w:trPr>
                <w:tc>
                  <w:tcPr>
                    <w:tcW w:w="816" w:type="pct"/>
                    <w:shd w:val="clear" w:color="auto" w:fill="auto"/>
                    <w:vAlign w:val="center"/>
                  </w:tcPr>
                  <w:p w14:paraId="5C7D3D7A" w14:textId="77777777" w:rsidR="00D21C1F" w:rsidRDefault="00A42880">
                    <w:pPr>
                      <w:spacing w:line="240" w:lineRule="exact"/>
                      <w:rPr>
                        <w:sz w:val="20"/>
                        <w:szCs w:val="20"/>
                      </w:rPr>
                    </w:pPr>
                    <w:r>
                      <w:rPr>
                        <w:sz w:val="20"/>
                        <w:szCs w:val="20"/>
                      </w:rPr>
                      <w:t>应付账款</w:t>
                    </w:r>
                  </w:p>
                </w:tc>
                <w:tc>
                  <w:tcPr>
                    <w:tcW w:w="538" w:type="pct"/>
                    <w:shd w:val="clear" w:color="auto" w:fill="auto"/>
                    <w:vAlign w:val="center"/>
                  </w:tcPr>
                  <w:p w14:paraId="4BAC5802"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101.13</w:t>
                    </w:r>
                  </w:p>
                </w:tc>
                <w:tc>
                  <w:tcPr>
                    <w:tcW w:w="514" w:type="pct"/>
                    <w:shd w:val="clear" w:color="auto" w:fill="auto"/>
                    <w:vAlign w:val="center"/>
                  </w:tcPr>
                  <w:p w14:paraId="2DB92F6D"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7,003.74</w:t>
                    </w:r>
                  </w:p>
                </w:tc>
                <w:tc>
                  <w:tcPr>
                    <w:tcW w:w="519" w:type="pct"/>
                    <w:shd w:val="clear" w:color="auto" w:fill="auto"/>
                    <w:vAlign w:val="center"/>
                  </w:tcPr>
                  <w:p w14:paraId="345D3540"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1,996.96</w:t>
                    </w:r>
                  </w:p>
                </w:tc>
                <w:tc>
                  <w:tcPr>
                    <w:tcW w:w="622" w:type="pct"/>
                    <w:vAlign w:val="center"/>
                  </w:tcPr>
                  <w:p w14:paraId="76D0AB1E"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1,198.69</w:t>
                    </w:r>
                  </w:p>
                </w:tc>
                <w:tc>
                  <w:tcPr>
                    <w:tcW w:w="518" w:type="pct"/>
                    <w:vAlign w:val="center"/>
                  </w:tcPr>
                  <w:p w14:paraId="3E419A0E"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418" w:type="pct"/>
                    <w:vAlign w:val="center"/>
                  </w:tcPr>
                  <w:p w14:paraId="75BFE42C"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01" w:type="pct"/>
                    <w:vAlign w:val="center"/>
                  </w:tcPr>
                  <w:p w14:paraId="5DA16B10"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23.16</w:t>
                    </w:r>
                  </w:p>
                </w:tc>
                <w:tc>
                  <w:tcPr>
                    <w:tcW w:w="555" w:type="pct"/>
                    <w:shd w:val="clear" w:color="auto" w:fill="auto"/>
                    <w:vAlign w:val="center"/>
                  </w:tcPr>
                  <w:p w14:paraId="1495210D"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10,323.68</w:t>
                    </w:r>
                  </w:p>
                </w:tc>
              </w:tr>
              <w:tr w:rsidR="00D21C1F" w14:paraId="3D9B3846" w14:textId="77777777" w:rsidTr="00003DDA">
                <w:trPr>
                  <w:cantSplit/>
                  <w:trHeight w:hRule="exact" w:val="488"/>
                </w:trPr>
                <w:tc>
                  <w:tcPr>
                    <w:tcW w:w="816" w:type="pct"/>
                    <w:shd w:val="clear" w:color="auto" w:fill="auto"/>
                    <w:vAlign w:val="center"/>
                  </w:tcPr>
                  <w:p w14:paraId="00F12580" w14:textId="77777777" w:rsidR="00D21C1F" w:rsidRDefault="00A42880">
                    <w:pPr>
                      <w:spacing w:line="240" w:lineRule="exact"/>
                      <w:rPr>
                        <w:sz w:val="20"/>
                        <w:szCs w:val="20"/>
                      </w:rPr>
                    </w:pPr>
                    <w:r>
                      <w:rPr>
                        <w:sz w:val="20"/>
                        <w:szCs w:val="20"/>
                      </w:rPr>
                      <w:t>其他应付款</w:t>
                    </w:r>
                  </w:p>
                </w:tc>
                <w:tc>
                  <w:tcPr>
                    <w:tcW w:w="538" w:type="pct"/>
                    <w:shd w:val="clear" w:color="auto" w:fill="auto"/>
                    <w:vAlign w:val="center"/>
                  </w:tcPr>
                  <w:p w14:paraId="3E38535A"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14" w:type="pct"/>
                    <w:shd w:val="clear" w:color="auto" w:fill="auto"/>
                    <w:vAlign w:val="center"/>
                  </w:tcPr>
                  <w:p w14:paraId="11E271DA"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15,722.45</w:t>
                    </w:r>
                  </w:p>
                </w:tc>
                <w:tc>
                  <w:tcPr>
                    <w:tcW w:w="519" w:type="pct"/>
                    <w:shd w:val="clear" w:color="auto" w:fill="auto"/>
                    <w:vAlign w:val="center"/>
                  </w:tcPr>
                  <w:p w14:paraId="37366215"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283.21</w:t>
                    </w:r>
                  </w:p>
                </w:tc>
                <w:tc>
                  <w:tcPr>
                    <w:tcW w:w="622" w:type="pct"/>
                    <w:vAlign w:val="center"/>
                  </w:tcPr>
                  <w:p w14:paraId="3C5D87B6"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78.26</w:t>
                    </w:r>
                  </w:p>
                </w:tc>
                <w:tc>
                  <w:tcPr>
                    <w:tcW w:w="518" w:type="pct"/>
                    <w:vAlign w:val="center"/>
                  </w:tcPr>
                  <w:p w14:paraId="6B2C20EA"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58.85</w:t>
                    </w:r>
                  </w:p>
                </w:tc>
                <w:tc>
                  <w:tcPr>
                    <w:tcW w:w="418" w:type="pct"/>
                    <w:vAlign w:val="center"/>
                  </w:tcPr>
                  <w:p w14:paraId="16F79C02"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01" w:type="pct"/>
                    <w:vAlign w:val="center"/>
                  </w:tcPr>
                  <w:p w14:paraId="3428BAE4"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55" w:type="pct"/>
                    <w:shd w:val="clear" w:color="auto" w:fill="auto"/>
                    <w:vAlign w:val="center"/>
                  </w:tcPr>
                  <w:p w14:paraId="19967F38"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16,142.77</w:t>
                    </w:r>
                  </w:p>
                </w:tc>
              </w:tr>
              <w:tr w:rsidR="00D21C1F" w14:paraId="5001EEC3" w14:textId="77777777" w:rsidTr="00003DDA">
                <w:trPr>
                  <w:cantSplit/>
                  <w:trHeight w:hRule="exact" w:val="488"/>
                </w:trPr>
                <w:tc>
                  <w:tcPr>
                    <w:tcW w:w="816" w:type="pct"/>
                    <w:shd w:val="clear" w:color="auto" w:fill="auto"/>
                    <w:vAlign w:val="center"/>
                  </w:tcPr>
                  <w:p w14:paraId="06CAA05D" w14:textId="77777777" w:rsidR="00D21C1F" w:rsidRDefault="00A42880">
                    <w:pPr>
                      <w:spacing w:line="240" w:lineRule="exact"/>
                      <w:rPr>
                        <w:sz w:val="20"/>
                        <w:szCs w:val="20"/>
                      </w:rPr>
                    </w:pPr>
                    <w:r>
                      <w:rPr>
                        <w:sz w:val="20"/>
                        <w:szCs w:val="20"/>
                      </w:rPr>
                      <w:t>长期借款</w:t>
                    </w:r>
                  </w:p>
                </w:tc>
                <w:tc>
                  <w:tcPr>
                    <w:tcW w:w="538" w:type="pct"/>
                    <w:shd w:val="clear" w:color="auto" w:fill="auto"/>
                    <w:vAlign w:val="center"/>
                  </w:tcPr>
                  <w:p w14:paraId="2676B57A"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14" w:type="pct"/>
                    <w:shd w:val="clear" w:color="auto" w:fill="auto"/>
                    <w:vAlign w:val="center"/>
                  </w:tcPr>
                  <w:p w14:paraId="331CCACF"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16,036.32</w:t>
                    </w:r>
                  </w:p>
                </w:tc>
                <w:tc>
                  <w:tcPr>
                    <w:tcW w:w="519" w:type="pct"/>
                    <w:shd w:val="clear" w:color="auto" w:fill="auto"/>
                    <w:vAlign w:val="center"/>
                  </w:tcPr>
                  <w:p w14:paraId="729D3798"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622" w:type="pct"/>
                    <w:vAlign w:val="center"/>
                  </w:tcPr>
                  <w:p w14:paraId="146ABE9A"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652.59</w:t>
                    </w:r>
                  </w:p>
                </w:tc>
                <w:tc>
                  <w:tcPr>
                    <w:tcW w:w="518" w:type="pct"/>
                    <w:vAlign w:val="center"/>
                  </w:tcPr>
                  <w:p w14:paraId="5E1EE180"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418" w:type="pct"/>
                    <w:vAlign w:val="center"/>
                  </w:tcPr>
                  <w:p w14:paraId="61BDD73F"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01" w:type="pct"/>
                    <w:vAlign w:val="center"/>
                  </w:tcPr>
                  <w:p w14:paraId="4AF76D5E"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w:t>
                    </w:r>
                  </w:p>
                </w:tc>
                <w:tc>
                  <w:tcPr>
                    <w:tcW w:w="555" w:type="pct"/>
                    <w:shd w:val="clear" w:color="auto" w:fill="auto"/>
                    <w:vAlign w:val="center"/>
                  </w:tcPr>
                  <w:p w14:paraId="112B950E" w14:textId="77777777" w:rsidR="00D21C1F" w:rsidRPr="00003DDA" w:rsidRDefault="00A42880" w:rsidP="00003DDA">
                    <w:pPr>
                      <w:jc w:val="right"/>
                      <w:rPr>
                        <w:rFonts w:ascii="Times New Roman" w:hAnsi="Times New Roman" w:cs="Times New Roman"/>
                        <w:sz w:val="20"/>
                        <w:szCs w:val="20"/>
                      </w:rPr>
                    </w:pPr>
                    <w:r w:rsidRPr="00003DDA">
                      <w:rPr>
                        <w:rFonts w:ascii="Times New Roman" w:hAnsi="Times New Roman" w:cs="Times New Roman"/>
                        <w:sz w:val="20"/>
                        <w:szCs w:val="20"/>
                      </w:rPr>
                      <w:t>16,688.91</w:t>
                    </w:r>
                  </w:p>
                </w:tc>
              </w:tr>
            </w:tbl>
            <w:p w14:paraId="75317CEA" w14:textId="29139AB7" w:rsidR="00D21C1F" w:rsidRDefault="00A42880">
              <w:pPr>
                <w:spacing w:beforeLines="25" w:before="60" w:line="360" w:lineRule="auto"/>
                <w:ind w:firstLineChars="200" w:firstLine="420"/>
                <w:rPr>
                  <w:szCs w:val="21"/>
                </w:rPr>
              </w:pPr>
              <w:r>
                <w:rPr>
                  <w:szCs w:val="21"/>
                </w:rPr>
                <w:t>金融资产与金融负债的汇率风险的敏感性分析：</w:t>
              </w:r>
              <w:r>
                <w:rPr>
                  <w:rFonts w:ascii="Times New Roman" w:hAnsi="Times New Roman"/>
                  <w:szCs w:val="21"/>
                </w:rPr>
                <w:t>2021</w:t>
              </w:r>
              <w:r>
                <w:rPr>
                  <w:szCs w:val="21"/>
                </w:rPr>
                <w:t>年</w:t>
              </w:r>
              <w:r>
                <w:rPr>
                  <w:rFonts w:ascii="Times New Roman" w:hAnsi="Times New Roman"/>
                  <w:szCs w:val="21"/>
                </w:rPr>
                <w:t>6</w:t>
              </w:r>
              <w:r>
                <w:rPr>
                  <w:szCs w:val="21"/>
                </w:rPr>
                <w:t>月</w:t>
              </w:r>
              <w:r>
                <w:rPr>
                  <w:rFonts w:ascii="Times New Roman" w:hAnsi="Times New Roman"/>
                  <w:szCs w:val="21"/>
                </w:rPr>
                <w:t>30</w:t>
              </w:r>
              <w:r>
                <w:rPr>
                  <w:szCs w:val="21"/>
                </w:rPr>
                <w:t>日，在其他风险变量不变的情况下，如果当日人民币对于</w:t>
              </w:r>
              <w:r>
                <w:rPr>
                  <w:rFonts w:hint="eastAsia"/>
                  <w:szCs w:val="21"/>
                </w:rPr>
                <w:t>外币</w:t>
              </w:r>
              <w:r>
                <w:rPr>
                  <w:szCs w:val="21"/>
                </w:rPr>
                <w:t>升值或贬值</w:t>
              </w:r>
              <w:r>
                <w:rPr>
                  <w:rFonts w:ascii="Times New Roman" w:hAnsi="Times New Roman"/>
                  <w:szCs w:val="21"/>
                </w:rPr>
                <w:t>100</w:t>
              </w:r>
              <w:r>
                <w:rPr>
                  <w:szCs w:val="21"/>
                </w:rPr>
                <w:t>个基点，本公司当年的利润总额将减少或增加</w:t>
              </w:r>
              <w:r>
                <w:rPr>
                  <w:rFonts w:ascii="Times New Roman" w:hAnsi="Times New Roman"/>
                  <w:szCs w:val="21"/>
                </w:rPr>
                <w:t>111</w:t>
              </w:r>
              <w:r>
                <w:rPr>
                  <w:szCs w:val="21"/>
                </w:rPr>
                <w:t>.</w:t>
              </w:r>
              <w:r>
                <w:rPr>
                  <w:rFonts w:ascii="Times New Roman" w:hAnsi="Times New Roman"/>
                  <w:szCs w:val="21"/>
                </w:rPr>
                <w:t>49</w:t>
              </w:r>
              <w:r>
                <w:rPr>
                  <w:szCs w:val="21"/>
                </w:rPr>
                <w:t>万元。</w:t>
              </w:r>
            </w:p>
            <w:p w14:paraId="06920131" w14:textId="77777777" w:rsidR="00D21C1F" w:rsidRDefault="00A42880">
              <w:pPr>
                <w:widowControl w:val="0"/>
                <w:numPr>
                  <w:ilvl w:val="0"/>
                  <w:numId w:val="135"/>
                </w:numPr>
                <w:adjustRightInd w:val="0"/>
                <w:spacing w:beforeLines="25" w:before="60" w:afterLines="25" w:after="60" w:line="360" w:lineRule="auto"/>
                <w:ind w:hanging="391"/>
                <w:jc w:val="both"/>
                <w:outlineLvl w:val="2"/>
                <w:rPr>
                  <w:szCs w:val="21"/>
                </w:rPr>
              </w:pPr>
              <w:r>
                <w:rPr>
                  <w:szCs w:val="21"/>
                </w:rPr>
                <w:t>利率风险</w:t>
              </w:r>
            </w:p>
            <w:p w14:paraId="2A4462BC" w14:textId="77777777" w:rsidR="00D21C1F" w:rsidRDefault="00A42880">
              <w:pPr>
                <w:spacing w:line="360" w:lineRule="auto"/>
                <w:ind w:firstLineChars="200" w:firstLine="420"/>
                <w:rPr>
                  <w:szCs w:val="21"/>
                </w:rPr>
              </w:pPr>
              <w:r>
                <w:rPr>
                  <w:szCs w:val="21"/>
                </w:rPr>
                <w:t>利率风险，</w:t>
              </w:r>
              <w:r>
                <w:rPr>
                  <w:rFonts w:hint="eastAsia"/>
                  <w:szCs w:val="21"/>
                </w:rPr>
                <w:t>是指金融工具的公允价值或未来现金流量因市场利率变动而发生波动的风险。公司面临的利率风险主要来源于银行借款、长期应付款等带息债务。截止</w:t>
              </w:r>
              <w:r>
                <w:rPr>
                  <w:rFonts w:ascii="Times New Roman" w:hAnsi="Times New Roman" w:hint="eastAsia"/>
                  <w:szCs w:val="21"/>
                </w:rPr>
                <w:t>202</w:t>
              </w:r>
              <w:r>
                <w:rPr>
                  <w:rFonts w:ascii="Times New Roman" w:hAnsi="Times New Roman"/>
                  <w:szCs w:val="21"/>
                </w:rPr>
                <w:t>1</w:t>
              </w:r>
              <w:r>
                <w:rPr>
                  <w:rFonts w:hint="eastAsia"/>
                  <w:szCs w:val="21"/>
                </w:rPr>
                <w:t>年</w:t>
              </w:r>
              <w:r>
                <w:rPr>
                  <w:rFonts w:ascii="Times New Roman" w:hAnsi="Times New Roman"/>
                  <w:szCs w:val="21"/>
                </w:rPr>
                <w:t>6</w:t>
              </w:r>
              <w:r>
                <w:rPr>
                  <w:rFonts w:hint="eastAsia"/>
                  <w:szCs w:val="21"/>
                </w:rPr>
                <w:t>月</w:t>
              </w:r>
              <w:r>
                <w:rPr>
                  <w:rFonts w:ascii="Times New Roman" w:hAnsi="Times New Roman" w:hint="eastAsia"/>
                  <w:szCs w:val="21"/>
                </w:rPr>
                <w:t>3</w:t>
              </w:r>
              <w:r>
                <w:rPr>
                  <w:rFonts w:ascii="Times New Roman" w:hAnsi="Times New Roman"/>
                  <w:szCs w:val="21"/>
                </w:rPr>
                <w:t>0</w:t>
              </w:r>
              <w:r>
                <w:rPr>
                  <w:rFonts w:hint="eastAsia"/>
                  <w:szCs w:val="21"/>
                </w:rPr>
                <w:t>日，公司带息债务余额为</w:t>
              </w:r>
              <w:r>
                <w:rPr>
                  <w:rFonts w:ascii="Times New Roman" w:hAnsi="Times New Roman"/>
                  <w:szCs w:val="21"/>
                </w:rPr>
                <w:t>58,860.26</w:t>
              </w:r>
              <w:r>
                <w:rPr>
                  <w:rFonts w:ascii="Times New Roman" w:hAnsi="Times New Roman"/>
                  <w:szCs w:val="21"/>
                </w:rPr>
                <w:t>万</w:t>
              </w:r>
              <w:r>
                <w:rPr>
                  <w:rFonts w:hint="eastAsia"/>
                  <w:szCs w:val="21"/>
                </w:rPr>
                <w:t>元。</w:t>
              </w:r>
            </w:p>
            <w:p w14:paraId="1C8C870A" w14:textId="44D7BF85" w:rsidR="00D21C1F" w:rsidRDefault="00A42880">
              <w:pPr>
                <w:spacing w:line="360" w:lineRule="auto"/>
                <w:ind w:firstLineChars="200" w:firstLine="420"/>
                <w:jc w:val="both"/>
                <w:rPr>
                  <w:b/>
                  <w:szCs w:val="21"/>
                </w:rPr>
              </w:pPr>
              <w:r>
                <w:rPr>
                  <w:rFonts w:hint="eastAsia"/>
                  <w:szCs w:val="21"/>
                </w:rPr>
                <w:t>金融资产与金融负债的利率风险的敏感性分析：</w:t>
              </w:r>
              <w:r>
                <w:rPr>
                  <w:rFonts w:ascii="Times New Roman" w:hAnsi="Times New Roman" w:hint="eastAsia"/>
                  <w:szCs w:val="21"/>
                </w:rPr>
                <w:t>202</w:t>
              </w:r>
              <w:r>
                <w:rPr>
                  <w:rFonts w:ascii="Times New Roman" w:hAnsi="Times New Roman"/>
                  <w:szCs w:val="21"/>
                </w:rPr>
                <w:t>1</w:t>
              </w:r>
              <w:r>
                <w:rPr>
                  <w:rFonts w:hint="eastAsia"/>
                  <w:szCs w:val="21"/>
                </w:rPr>
                <w:t>年</w:t>
              </w:r>
              <w:r>
                <w:rPr>
                  <w:rFonts w:ascii="Times New Roman" w:hAnsi="Times New Roman"/>
                  <w:szCs w:val="21"/>
                </w:rPr>
                <w:t>6</w:t>
              </w:r>
              <w:r>
                <w:rPr>
                  <w:rFonts w:hint="eastAsia"/>
                  <w:szCs w:val="21"/>
                </w:rPr>
                <w:t>月</w:t>
              </w:r>
              <w:r>
                <w:rPr>
                  <w:rFonts w:ascii="Times New Roman" w:hAnsi="Times New Roman" w:hint="eastAsia"/>
                  <w:szCs w:val="21"/>
                </w:rPr>
                <w:t>3</w:t>
              </w:r>
              <w:r>
                <w:rPr>
                  <w:rFonts w:ascii="Times New Roman" w:hAnsi="Times New Roman"/>
                  <w:szCs w:val="21"/>
                </w:rPr>
                <w:t>0</w:t>
              </w:r>
              <w:r>
                <w:rPr>
                  <w:rFonts w:hint="eastAsia"/>
                  <w:szCs w:val="21"/>
                </w:rPr>
                <w:t>日，在其他风险变量不变的情况下，如果当日中国人民银行人民币</w:t>
              </w:r>
              <w:r>
                <w:rPr>
                  <w:rFonts w:ascii="Times New Roman" w:hAnsi="Times New Roman" w:hint="eastAsia"/>
                  <w:szCs w:val="21"/>
                </w:rPr>
                <w:t>1</w:t>
              </w:r>
              <w:r>
                <w:rPr>
                  <w:rFonts w:hint="eastAsia"/>
                  <w:szCs w:val="21"/>
                </w:rPr>
                <w:t>年期借款利率上浮</w:t>
              </w:r>
              <w:r>
                <w:rPr>
                  <w:rFonts w:ascii="Times New Roman" w:hAnsi="Times New Roman" w:hint="eastAsia"/>
                  <w:szCs w:val="21"/>
                </w:rPr>
                <w:t>100</w:t>
              </w:r>
              <w:r>
                <w:rPr>
                  <w:rFonts w:hint="eastAsia"/>
                  <w:szCs w:val="21"/>
                </w:rPr>
                <w:t>个基点，本公司的</w:t>
              </w:r>
              <w:r>
                <w:rPr>
                  <w:rFonts w:ascii="Times New Roman" w:hAnsi="Times New Roman" w:hint="eastAsia"/>
                  <w:szCs w:val="21"/>
                </w:rPr>
                <w:t>202</w:t>
              </w:r>
              <w:r>
                <w:rPr>
                  <w:rFonts w:ascii="Times New Roman" w:hAnsi="Times New Roman"/>
                  <w:szCs w:val="21"/>
                </w:rPr>
                <w:t>1</w:t>
              </w:r>
              <w:r>
                <w:rPr>
                  <w:rFonts w:ascii="Times New Roman" w:hAnsi="Times New Roman" w:hint="eastAsia"/>
                  <w:szCs w:val="21"/>
                </w:rPr>
                <w:t>半</w:t>
              </w:r>
              <w:r>
                <w:rPr>
                  <w:rFonts w:hint="eastAsia"/>
                  <w:szCs w:val="21"/>
                </w:rPr>
                <w:t>年度净利润将减少</w:t>
              </w:r>
              <w:r>
                <w:rPr>
                  <w:rFonts w:ascii="Times New Roman" w:hAnsi="Times New Roman"/>
                  <w:szCs w:val="21"/>
                </w:rPr>
                <w:t>9.88</w:t>
              </w:r>
              <w:r>
                <w:rPr>
                  <w:rFonts w:hint="eastAsia"/>
                  <w:szCs w:val="21"/>
                </w:rPr>
                <w:t>万元。相反，在其他风险变量不变的情况下，如果当日中国人民银行人民币</w:t>
              </w:r>
              <w:r>
                <w:rPr>
                  <w:rFonts w:ascii="Times New Roman" w:hAnsi="Times New Roman" w:hint="eastAsia"/>
                  <w:szCs w:val="21"/>
                </w:rPr>
                <w:t>1</w:t>
              </w:r>
              <w:r>
                <w:rPr>
                  <w:rFonts w:hint="eastAsia"/>
                  <w:szCs w:val="21"/>
                </w:rPr>
                <w:t>年期借款利率下浮</w:t>
              </w:r>
              <w:r>
                <w:rPr>
                  <w:rFonts w:ascii="Times New Roman" w:hAnsi="Times New Roman" w:hint="eastAsia"/>
                  <w:szCs w:val="21"/>
                </w:rPr>
                <w:t>100</w:t>
              </w:r>
              <w:r>
                <w:rPr>
                  <w:rFonts w:hint="eastAsia"/>
                  <w:szCs w:val="21"/>
                </w:rPr>
                <w:t>个基点，本公司的</w:t>
              </w:r>
              <w:r>
                <w:rPr>
                  <w:rFonts w:ascii="Times New Roman" w:hAnsi="Times New Roman" w:hint="eastAsia"/>
                  <w:szCs w:val="21"/>
                </w:rPr>
                <w:t>202</w:t>
              </w:r>
              <w:r>
                <w:rPr>
                  <w:rFonts w:ascii="Times New Roman" w:hAnsi="Times New Roman"/>
                  <w:szCs w:val="21"/>
                </w:rPr>
                <w:t>1</w:t>
              </w:r>
              <w:r>
                <w:rPr>
                  <w:rFonts w:ascii="Times New Roman" w:hAnsi="Times New Roman" w:hint="eastAsia"/>
                  <w:szCs w:val="21"/>
                </w:rPr>
                <w:t>半</w:t>
              </w:r>
              <w:r>
                <w:rPr>
                  <w:rFonts w:hint="eastAsia"/>
                  <w:szCs w:val="21"/>
                </w:rPr>
                <w:t>年度净利润将增加</w:t>
              </w:r>
              <w:r>
                <w:rPr>
                  <w:rFonts w:ascii="Times New Roman" w:hAnsi="Times New Roman"/>
                  <w:szCs w:val="21"/>
                </w:rPr>
                <w:t>9.88</w:t>
              </w:r>
              <w:r>
                <w:rPr>
                  <w:rFonts w:hint="eastAsia"/>
                  <w:szCs w:val="21"/>
                </w:rPr>
                <w:t>万元</w:t>
              </w:r>
              <w:r>
                <w:rPr>
                  <w:szCs w:val="21"/>
                </w:rPr>
                <w:t>。</w:t>
              </w:r>
            </w:p>
          </w:sdtContent>
        </w:sdt>
        <w:p w14:paraId="56253BB6" w14:textId="77777777" w:rsidR="00D21C1F" w:rsidRDefault="00045EC6">
          <w:pPr>
            <w:rPr>
              <w:color w:val="808080"/>
              <w:szCs w:val="21"/>
            </w:rPr>
          </w:pPr>
        </w:p>
      </w:sdtContent>
    </w:sdt>
    <w:p w14:paraId="6D708DFB" w14:textId="77777777" w:rsidR="00D21C1F" w:rsidRDefault="00A42880">
      <w:pPr>
        <w:pStyle w:val="2CharCharChar"/>
        <w:numPr>
          <w:ilvl w:val="0"/>
          <w:numId w:val="42"/>
        </w:numPr>
      </w:pPr>
      <w:r>
        <w:rPr>
          <w:rFonts w:hint="eastAsia"/>
        </w:rPr>
        <w:t>公允价值的披露</w:t>
      </w:r>
    </w:p>
    <w:bookmarkStart w:id="292" w:name="_Hlk10539195" w:displacedByCustomXml="next"/>
    <w:sdt>
      <w:sdtPr>
        <w:rPr>
          <w:rFonts w:ascii="宋体" w:eastAsia="宋体" w:hAnsi="宋体" w:cs="宋体" w:hint="eastAsia"/>
          <w:b w:val="0"/>
          <w:bCs w:val="0"/>
          <w:kern w:val="0"/>
          <w:szCs w:val="24"/>
        </w:rPr>
        <w:alias w:val="模块:以公允价值计量的资产和负债的期末公允价值"/>
        <w:tag w:val="_GBC_b5067cea5bbf475388ac2623e2c669d7"/>
        <w:id w:val="1276828550"/>
        <w:lock w:val="sdtLocked"/>
        <w:placeholder>
          <w:docPart w:val="GBC22222222222222222222222222222"/>
        </w:placeholder>
      </w:sdtPr>
      <w:sdtEndPr>
        <w:rPr>
          <w:rFonts w:cstheme="minorBidi"/>
          <w:szCs w:val="21"/>
        </w:rPr>
      </w:sdtEndPr>
      <w:sdtContent>
        <w:p w14:paraId="1203C05C" w14:textId="77777777" w:rsidR="00D21C1F" w:rsidRDefault="00A42880">
          <w:pPr>
            <w:pStyle w:val="94"/>
            <w:numPr>
              <w:ilvl w:val="0"/>
              <w:numId w:val="136"/>
            </w:numPr>
            <w:rPr>
              <w:rFonts w:ascii="宋体" w:hAnsi="宋体"/>
            </w:rPr>
          </w:pPr>
          <w:r>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1362347400"/>
            <w:lock w:val="sdtLocked"/>
            <w:placeholder>
              <w:docPart w:val="GBC22222222222222222222222222222"/>
            </w:placeholder>
          </w:sdtPr>
          <w:sdtEndPr/>
          <w:sdtContent>
            <w:p w14:paraId="34F74BB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213BA0" w14:textId="77777777" w:rsidR="00D21C1F" w:rsidRDefault="00A42880">
          <w:pPr>
            <w:jc w:val="right"/>
          </w:pPr>
          <w:r>
            <w:rPr>
              <w:rFonts w:hint="eastAsia"/>
            </w:rPr>
            <w:t>单位:</w:t>
          </w:r>
          <w:sdt>
            <w:sdtPr>
              <w:rPr>
                <w:rFonts w:hint="eastAsia"/>
              </w:rPr>
              <w:alias w:val="单位：财务附注：以公允价值计量的资产和负债的期末公允价值"/>
              <w:tag w:val="_GBC_4b785696cde44d3f8a4a7d28ab963e38"/>
              <w:id w:val="1480886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以公允价值计量的资产和负债的期末公允价值"/>
              <w:tag w:val="_GBC_3bb5670d72804a4b8298edc3e439955a"/>
              <w:id w:val="-817652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48"/>
            <w:gridCol w:w="1652"/>
            <w:gridCol w:w="1615"/>
            <w:gridCol w:w="1682"/>
            <w:gridCol w:w="1526"/>
          </w:tblGrid>
          <w:tr w:rsidR="00D21C1F" w14:paraId="17D42389" w14:textId="77777777">
            <w:trPr>
              <w:trHeight w:val="145"/>
            </w:trPr>
            <w:sdt>
              <w:sdtPr>
                <w:tag w:val="_PLD_25e2bb7801744f08a089c0e6a2b31b9b"/>
                <w:id w:val="-984162309"/>
                <w:lock w:val="sdtLocked"/>
              </w:sdtPr>
              <w:sdtEndPr/>
              <w:sdtContent>
                <w:tc>
                  <w:tcPr>
                    <w:tcW w:w="1331" w:type="pct"/>
                    <w:vMerge w:val="restart"/>
                    <w:tcBorders>
                      <w:top w:val="single" w:sz="4" w:space="0" w:color="auto"/>
                      <w:left w:val="single" w:sz="4" w:space="0" w:color="auto"/>
                      <w:right w:val="single" w:sz="4" w:space="0" w:color="auto"/>
                    </w:tcBorders>
                    <w:shd w:val="clear" w:color="auto" w:fill="auto"/>
                    <w:vAlign w:val="center"/>
                  </w:tcPr>
                  <w:p w14:paraId="2BF911D0" w14:textId="77777777" w:rsidR="00D21C1F" w:rsidRDefault="00A42880">
                    <w:pPr>
                      <w:jc w:val="center"/>
                      <w:outlineLvl w:val="2"/>
                      <w:rPr>
                        <w:rFonts w:cs="Cambria"/>
                        <w:szCs w:val="21"/>
                      </w:rPr>
                    </w:pPr>
                    <w:r>
                      <w:rPr>
                        <w:rFonts w:cs="Cambria" w:hint="eastAsia"/>
                        <w:szCs w:val="21"/>
                      </w:rPr>
                      <w:t>项目</w:t>
                    </w:r>
                  </w:p>
                </w:tc>
              </w:sdtContent>
            </w:sdt>
            <w:sdt>
              <w:sdtPr>
                <w:tag w:val="_PLD_ad919f08ba5040a28e31328eb66da0bf"/>
                <w:id w:val="-39510376"/>
                <w:lock w:val="sdtLocked"/>
              </w:sdtPr>
              <w:sdtEndPr/>
              <w:sdtContent>
                <w:tc>
                  <w:tcPr>
                    <w:tcW w:w="36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2D243E" w14:textId="77777777" w:rsidR="00D21C1F" w:rsidRDefault="00A42880">
                    <w:pPr>
                      <w:jc w:val="center"/>
                      <w:outlineLvl w:val="2"/>
                      <w:rPr>
                        <w:rFonts w:cs="Cambria"/>
                        <w:szCs w:val="21"/>
                      </w:rPr>
                    </w:pPr>
                    <w:r>
                      <w:rPr>
                        <w:rFonts w:cs="Cambria" w:hint="eastAsia"/>
                        <w:szCs w:val="21"/>
                      </w:rPr>
                      <w:t>期末公允价值</w:t>
                    </w:r>
                  </w:p>
                </w:tc>
              </w:sdtContent>
            </w:sdt>
          </w:tr>
          <w:tr w:rsidR="00D21C1F" w14:paraId="29206E64" w14:textId="77777777">
            <w:trPr>
              <w:trHeight w:val="145"/>
            </w:trPr>
            <w:tc>
              <w:tcPr>
                <w:tcW w:w="1331" w:type="pct"/>
                <w:vMerge/>
                <w:tcBorders>
                  <w:left w:val="single" w:sz="4" w:space="0" w:color="auto"/>
                  <w:bottom w:val="single" w:sz="4" w:space="0" w:color="auto"/>
                  <w:right w:val="single" w:sz="4" w:space="0" w:color="auto"/>
                </w:tcBorders>
                <w:shd w:val="clear" w:color="auto" w:fill="auto"/>
                <w:vAlign w:val="center"/>
              </w:tcPr>
              <w:p w14:paraId="4063FD69" w14:textId="77777777" w:rsidR="00D21C1F" w:rsidRDefault="00D21C1F">
                <w:pPr>
                  <w:jc w:val="center"/>
                  <w:outlineLvl w:val="2"/>
                  <w:rPr>
                    <w:rFonts w:cs="Cambria"/>
                    <w:szCs w:val="21"/>
                  </w:rPr>
                </w:pPr>
              </w:p>
            </w:tc>
            <w:sdt>
              <w:sdtPr>
                <w:tag w:val="_PLD_4bb34c3d92bf450fb80f7c0c95977a2b"/>
                <w:id w:val="-340313294"/>
                <w:lock w:val="sdtLocked"/>
              </w:sdtPr>
              <w:sdtEndPr/>
              <w:sdtContent>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56FD794A" w14:textId="77777777" w:rsidR="00D21C1F" w:rsidRDefault="00A42880">
                    <w:pPr>
                      <w:jc w:val="center"/>
                      <w:outlineLvl w:val="2"/>
                      <w:rPr>
                        <w:rFonts w:cs="Cambria"/>
                        <w:szCs w:val="21"/>
                      </w:rPr>
                    </w:pPr>
                    <w:r>
                      <w:rPr>
                        <w:rFonts w:cs="Cambria" w:hint="eastAsia"/>
                        <w:szCs w:val="21"/>
                      </w:rPr>
                      <w:t>第一层次公允价值计量</w:t>
                    </w:r>
                  </w:p>
                </w:tc>
              </w:sdtContent>
            </w:sdt>
            <w:sdt>
              <w:sdtPr>
                <w:tag w:val="_PLD_08753059c9e04a10af2918fbc1559bed"/>
                <w:id w:val="893937186"/>
                <w:lock w:val="sdtLocked"/>
              </w:sdtPr>
              <w:sdtEnd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5522E50C" w14:textId="77777777" w:rsidR="00D21C1F" w:rsidRDefault="00A42880">
                    <w:pPr>
                      <w:jc w:val="center"/>
                      <w:outlineLvl w:val="2"/>
                      <w:rPr>
                        <w:rFonts w:cs="Cambria"/>
                        <w:szCs w:val="21"/>
                      </w:rPr>
                    </w:pPr>
                    <w:r>
                      <w:rPr>
                        <w:rFonts w:cs="Cambria" w:hint="eastAsia"/>
                        <w:szCs w:val="21"/>
                      </w:rPr>
                      <w:t>第二层次公允价值计量</w:t>
                    </w:r>
                  </w:p>
                </w:tc>
              </w:sdtContent>
            </w:sdt>
            <w:sdt>
              <w:sdtPr>
                <w:tag w:val="_PLD_b263de838c9c4afa9fddb6dee6409a62"/>
                <w:id w:val="-1922554230"/>
                <w:lock w:val="sdtLocked"/>
              </w:sdtPr>
              <w:sdtEndPr/>
              <w:sdtContent>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14:paraId="36B9DD0B" w14:textId="77777777" w:rsidR="00D21C1F" w:rsidRDefault="00A42880">
                    <w:pPr>
                      <w:jc w:val="center"/>
                      <w:outlineLvl w:val="2"/>
                      <w:rPr>
                        <w:rFonts w:cs="Cambria"/>
                        <w:szCs w:val="21"/>
                      </w:rPr>
                    </w:pPr>
                    <w:r>
                      <w:rPr>
                        <w:rFonts w:cs="Cambria" w:hint="eastAsia"/>
                        <w:szCs w:val="21"/>
                      </w:rPr>
                      <w:t>第三层次公允价值计量</w:t>
                    </w:r>
                  </w:p>
                </w:tc>
              </w:sdtContent>
            </w:sdt>
            <w:sdt>
              <w:sdtPr>
                <w:tag w:val="_PLD_50eba344a451417c8072228a7a4959c5"/>
                <w:id w:val="-636573729"/>
                <w:lock w:val="sdtLocked"/>
              </w:sdtPr>
              <w:sdtEndPr/>
              <w:sdtContent>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1361C71D" w14:textId="77777777" w:rsidR="00D21C1F" w:rsidRDefault="00A42880">
                    <w:pPr>
                      <w:jc w:val="center"/>
                      <w:outlineLvl w:val="2"/>
                      <w:rPr>
                        <w:rFonts w:cs="Cambria"/>
                        <w:szCs w:val="21"/>
                      </w:rPr>
                    </w:pPr>
                    <w:r>
                      <w:rPr>
                        <w:rFonts w:cs="Cambria" w:hint="eastAsia"/>
                        <w:szCs w:val="21"/>
                      </w:rPr>
                      <w:t>合计</w:t>
                    </w:r>
                  </w:p>
                </w:tc>
              </w:sdtContent>
            </w:sdt>
          </w:tr>
          <w:tr w:rsidR="00D21C1F" w14:paraId="108727E2" w14:textId="77777777">
            <w:trPr>
              <w:trHeight w:val="227"/>
            </w:trPr>
            <w:sdt>
              <w:sdtPr>
                <w:tag w:val="_PLD_0df07aa5429843d5898a68994e53f99c"/>
                <w:id w:val="1720399258"/>
                <w:lock w:val="sdtLocked"/>
              </w:sdtPr>
              <w:sdtEndPr/>
              <w:sdtContent>
                <w:tc>
                  <w:tcPr>
                    <w:tcW w:w="1331" w:type="pct"/>
                    <w:tcBorders>
                      <w:top w:val="single" w:sz="4" w:space="0" w:color="auto"/>
                      <w:left w:val="single" w:sz="4" w:space="0" w:color="auto"/>
                      <w:bottom w:val="single" w:sz="4" w:space="0" w:color="auto"/>
                      <w:right w:val="single" w:sz="4" w:space="0" w:color="auto"/>
                    </w:tcBorders>
                    <w:shd w:val="clear" w:color="auto" w:fill="auto"/>
                  </w:tcPr>
                  <w:p w14:paraId="5C37B769" w14:textId="77777777" w:rsidR="00D21C1F" w:rsidRDefault="00A42880">
                    <w:pPr>
                      <w:outlineLvl w:val="2"/>
                      <w:rPr>
                        <w:rFonts w:cs="Cambria"/>
                        <w:b/>
                        <w:szCs w:val="21"/>
                      </w:rPr>
                    </w:pPr>
                    <w:r>
                      <w:rPr>
                        <w:rFonts w:cs="Cambria" w:hint="eastAsia"/>
                        <w:b/>
                        <w:szCs w:val="21"/>
                      </w:rPr>
                      <w:t>一、持续的公允价值计量</w:t>
                    </w:r>
                  </w:p>
                </w:tc>
              </w:sdtContent>
            </w:sdt>
            <w:tc>
              <w:tcPr>
                <w:tcW w:w="936" w:type="pct"/>
                <w:tcBorders>
                  <w:top w:val="single" w:sz="4" w:space="0" w:color="auto"/>
                  <w:left w:val="single" w:sz="4" w:space="0" w:color="auto"/>
                  <w:bottom w:val="single" w:sz="4" w:space="0" w:color="auto"/>
                  <w:right w:val="single" w:sz="4" w:space="0" w:color="auto"/>
                </w:tcBorders>
              </w:tcPr>
              <w:p w14:paraId="6084231D" w14:textId="77777777" w:rsidR="00D21C1F" w:rsidRDefault="00D21C1F">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484405EC" w14:textId="77777777" w:rsidR="00D21C1F" w:rsidRDefault="00D21C1F">
                <w:pPr>
                  <w:jc w:val="right"/>
                  <w:outlineLvl w:val="2"/>
                  <w:rPr>
                    <w:rFonts w:cs="Cambria"/>
                    <w:szCs w:val="21"/>
                  </w:rPr>
                </w:pPr>
              </w:p>
            </w:tc>
            <w:tc>
              <w:tcPr>
                <w:tcW w:w="953" w:type="pct"/>
                <w:tcBorders>
                  <w:top w:val="single" w:sz="4" w:space="0" w:color="auto"/>
                  <w:left w:val="single" w:sz="4" w:space="0" w:color="auto"/>
                  <w:bottom w:val="single" w:sz="4" w:space="0" w:color="auto"/>
                  <w:right w:val="single" w:sz="4" w:space="0" w:color="auto"/>
                </w:tcBorders>
              </w:tcPr>
              <w:p w14:paraId="74A40845" w14:textId="77777777" w:rsidR="00D21C1F" w:rsidRDefault="00D21C1F">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3DE4197" w14:textId="77777777" w:rsidR="00D21C1F" w:rsidRDefault="00D21C1F">
                <w:pPr>
                  <w:jc w:val="right"/>
                  <w:outlineLvl w:val="2"/>
                  <w:rPr>
                    <w:rFonts w:cs="Cambria"/>
                    <w:szCs w:val="21"/>
                  </w:rPr>
                </w:pPr>
              </w:p>
            </w:tc>
          </w:tr>
          <w:tr w:rsidR="00D21C1F" w14:paraId="0D4119FF" w14:textId="77777777" w:rsidTr="00D605CB">
            <w:trPr>
              <w:trHeight w:val="240"/>
            </w:trPr>
            <w:tc>
              <w:tcPr>
                <w:tcW w:w="133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e41e2365fb54f2a8e82acb6d5327c25"/>
                  <w:id w:val="-1423867576"/>
                  <w:lock w:val="sdtLocked"/>
                </w:sdtPr>
                <w:sdtEndPr>
                  <w:rPr>
                    <w:shd w:val="solid" w:color="FFFFFF" w:fill="auto"/>
                  </w:rPr>
                </w:sdtEndPr>
                <w:sdtContent>
                  <w:p w14:paraId="2C11BD67" w14:textId="77777777" w:rsidR="00D21C1F" w:rsidRDefault="00A42880">
                    <w:pPr>
                      <w:outlineLvl w:val="2"/>
                    </w:pPr>
                    <w:r>
                      <w:rPr>
                        <w:rFonts w:hint="eastAsia"/>
                      </w:rPr>
                      <w:t>（一）</w:t>
                    </w:r>
                    <w:r>
                      <w:rPr>
                        <w:rFonts w:hint="eastAsia"/>
                        <w:shd w:val="solid" w:color="FFFFFF" w:fill="auto"/>
                      </w:rPr>
                      <w:t>交易性金融资产</w:t>
                    </w:r>
                  </w:p>
                </w:sdtContent>
              </w:sdt>
            </w:tc>
            <w:tc>
              <w:tcPr>
                <w:tcW w:w="936" w:type="pct"/>
                <w:tcBorders>
                  <w:top w:val="single" w:sz="4" w:space="0" w:color="auto"/>
                  <w:left w:val="single" w:sz="4" w:space="0" w:color="auto"/>
                  <w:bottom w:val="single" w:sz="4" w:space="0" w:color="auto"/>
                  <w:right w:val="single" w:sz="4" w:space="0" w:color="auto"/>
                </w:tcBorders>
                <w:vAlign w:val="center"/>
              </w:tcPr>
              <w:p w14:paraId="3F9BEA04"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szCs w:val="21"/>
                  </w:rPr>
                  <w:t>-</w:t>
                </w:r>
              </w:p>
            </w:tc>
            <w:tc>
              <w:tcPr>
                <w:tcW w:w="915" w:type="pct"/>
                <w:tcBorders>
                  <w:top w:val="single" w:sz="4" w:space="0" w:color="auto"/>
                  <w:left w:val="single" w:sz="4" w:space="0" w:color="auto"/>
                  <w:bottom w:val="single" w:sz="4" w:space="0" w:color="auto"/>
                  <w:right w:val="single" w:sz="4" w:space="0" w:color="auto"/>
                </w:tcBorders>
                <w:vAlign w:val="center"/>
              </w:tcPr>
              <w:p w14:paraId="5B6D6DDF"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szCs w:val="21"/>
                  </w:rPr>
                  <w:t>-</w:t>
                </w:r>
              </w:p>
            </w:tc>
            <w:tc>
              <w:tcPr>
                <w:tcW w:w="953" w:type="pct"/>
                <w:tcBorders>
                  <w:top w:val="single" w:sz="4" w:space="0" w:color="auto"/>
                  <w:left w:val="single" w:sz="4" w:space="0" w:color="auto"/>
                  <w:bottom w:val="single" w:sz="4" w:space="0" w:color="auto"/>
                  <w:right w:val="single" w:sz="4" w:space="0" w:color="auto"/>
                </w:tcBorders>
                <w:vAlign w:val="center"/>
              </w:tcPr>
              <w:p w14:paraId="101CFCB9"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437,294,586.35</w:t>
                </w:r>
              </w:p>
            </w:tc>
            <w:tc>
              <w:tcPr>
                <w:tcW w:w="865" w:type="pct"/>
                <w:tcBorders>
                  <w:top w:val="single" w:sz="4" w:space="0" w:color="auto"/>
                  <w:left w:val="single" w:sz="4" w:space="0" w:color="auto"/>
                  <w:bottom w:val="single" w:sz="4" w:space="0" w:color="auto"/>
                  <w:right w:val="single" w:sz="4" w:space="0" w:color="auto"/>
                </w:tcBorders>
                <w:vAlign w:val="center"/>
              </w:tcPr>
              <w:p w14:paraId="43181096"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437,294,586.35</w:t>
                </w:r>
              </w:p>
            </w:tc>
          </w:tr>
          <w:tr w:rsidR="00D21C1F" w14:paraId="27AE0F3C" w14:textId="77777777" w:rsidTr="00D605CB">
            <w:trPr>
              <w:trHeight w:val="240"/>
            </w:trPr>
            <w:tc>
              <w:tcPr>
                <w:tcW w:w="1331" w:type="pct"/>
                <w:tcBorders>
                  <w:top w:val="single" w:sz="4" w:space="0" w:color="auto"/>
                  <w:left w:val="single" w:sz="4" w:space="0" w:color="auto"/>
                  <w:bottom w:val="single" w:sz="4" w:space="0" w:color="auto"/>
                  <w:right w:val="single" w:sz="4" w:space="0" w:color="auto"/>
                </w:tcBorders>
                <w:shd w:val="clear" w:color="auto" w:fill="auto"/>
              </w:tcPr>
              <w:sdt>
                <w:sdtPr>
                  <w:tag w:val="_PLD_ec78ce9b24c54617a7a100b54d80834e"/>
                  <w:id w:val="-255907379"/>
                  <w:lock w:val="sdtLocked"/>
                </w:sdtPr>
                <w:sdtEndPr/>
                <w:sdtContent>
                  <w:p w14:paraId="158EF467" w14:textId="77777777" w:rsidR="00D21C1F" w:rsidRDefault="00A42880">
                    <w:pPr>
                      <w:outlineLvl w:val="2"/>
                    </w:pPr>
                    <w:r>
                      <w:rPr>
                        <w:rFonts w:ascii="Times New Roman" w:hAnsi="Times New Roman"/>
                      </w:rPr>
                      <w:t>1</w:t>
                    </w:r>
                    <w:r>
                      <w:t>.以公允价值计量且变动计入当期损益的金融资产</w:t>
                    </w:r>
                  </w:p>
                </w:sdtContent>
              </w:sdt>
            </w:tc>
            <w:tc>
              <w:tcPr>
                <w:tcW w:w="936" w:type="pct"/>
                <w:tcBorders>
                  <w:top w:val="single" w:sz="4" w:space="0" w:color="auto"/>
                  <w:left w:val="single" w:sz="4" w:space="0" w:color="auto"/>
                  <w:bottom w:val="single" w:sz="4" w:space="0" w:color="auto"/>
                  <w:right w:val="single" w:sz="4" w:space="0" w:color="auto"/>
                </w:tcBorders>
                <w:vAlign w:val="center"/>
              </w:tcPr>
              <w:p w14:paraId="2842BFB4"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15" w:type="pct"/>
                <w:tcBorders>
                  <w:top w:val="single" w:sz="4" w:space="0" w:color="auto"/>
                  <w:left w:val="single" w:sz="4" w:space="0" w:color="auto"/>
                  <w:bottom w:val="single" w:sz="4" w:space="0" w:color="auto"/>
                  <w:right w:val="single" w:sz="4" w:space="0" w:color="auto"/>
                </w:tcBorders>
                <w:vAlign w:val="center"/>
              </w:tcPr>
              <w:p w14:paraId="23C11D48"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53" w:type="pct"/>
                <w:tcBorders>
                  <w:top w:val="single" w:sz="4" w:space="0" w:color="auto"/>
                  <w:left w:val="single" w:sz="4" w:space="0" w:color="auto"/>
                  <w:bottom w:val="single" w:sz="4" w:space="0" w:color="auto"/>
                  <w:right w:val="single" w:sz="4" w:space="0" w:color="auto"/>
                </w:tcBorders>
                <w:vAlign w:val="center"/>
              </w:tcPr>
              <w:p w14:paraId="428D122C"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437,294,586.35</w:t>
                </w:r>
              </w:p>
            </w:tc>
            <w:tc>
              <w:tcPr>
                <w:tcW w:w="865" w:type="pct"/>
                <w:tcBorders>
                  <w:top w:val="single" w:sz="4" w:space="0" w:color="auto"/>
                  <w:left w:val="single" w:sz="4" w:space="0" w:color="auto"/>
                  <w:bottom w:val="single" w:sz="4" w:space="0" w:color="auto"/>
                  <w:right w:val="single" w:sz="4" w:space="0" w:color="auto"/>
                </w:tcBorders>
                <w:vAlign w:val="center"/>
              </w:tcPr>
              <w:p w14:paraId="38FEF29C"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437,294,586.35</w:t>
                </w:r>
              </w:p>
            </w:tc>
          </w:tr>
          <w:tr w:rsidR="00D21C1F" w14:paraId="5A88DD2C" w14:textId="77777777" w:rsidTr="00D605CB">
            <w:trPr>
              <w:trHeight w:val="240"/>
            </w:trPr>
            <w:sdt>
              <w:sdtPr>
                <w:tag w:val="_PLD_1978a795a85148b4b91da91d8626cc66"/>
                <w:id w:val="-358358482"/>
                <w:lock w:val="sdtLocked"/>
              </w:sdtPr>
              <w:sdtEndPr/>
              <w:sdtContent>
                <w:tc>
                  <w:tcPr>
                    <w:tcW w:w="1331" w:type="pct"/>
                    <w:tcBorders>
                      <w:top w:val="single" w:sz="4" w:space="0" w:color="auto"/>
                      <w:left w:val="single" w:sz="4" w:space="0" w:color="auto"/>
                      <w:bottom w:val="single" w:sz="4" w:space="0" w:color="auto"/>
                      <w:right w:val="single" w:sz="4" w:space="0" w:color="auto"/>
                    </w:tcBorders>
                    <w:shd w:val="clear" w:color="auto" w:fill="auto"/>
                  </w:tcPr>
                  <w:p w14:paraId="5B8B2BFD" w14:textId="77777777" w:rsidR="00D21C1F" w:rsidRDefault="00A42880">
                    <w:pPr>
                      <w:outlineLvl w:val="2"/>
                      <w:rPr>
                        <w:rFonts w:cs="Cambria"/>
                        <w:szCs w:val="21"/>
                      </w:rPr>
                    </w:pPr>
                    <w:r>
                      <w:rPr>
                        <w:rFonts w:cs="Cambria" w:hint="eastAsia"/>
                        <w:szCs w:val="21"/>
                      </w:rPr>
                      <w:t>（</w:t>
                    </w:r>
                    <w:r>
                      <w:rPr>
                        <w:rFonts w:ascii="Times New Roman" w:hAnsi="Times New Roman" w:cs="Cambria"/>
                        <w:szCs w:val="21"/>
                      </w:rPr>
                      <w:t>1</w:t>
                    </w:r>
                    <w:r>
                      <w:rPr>
                        <w:rFonts w:cs="Cambria" w:hint="eastAsia"/>
                        <w:szCs w:val="21"/>
                      </w:rPr>
                      <w:t>）债务工具投资</w:t>
                    </w:r>
                  </w:p>
                </w:tc>
              </w:sdtContent>
            </w:sdt>
            <w:tc>
              <w:tcPr>
                <w:tcW w:w="936" w:type="pct"/>
                <w:tcBorders>
                  <w:top w:val="single" w:sz="4" w:space="0" w:color="auto"/>
                  <w:left w:val="single" w:sz="4" w:space="0" w:color="auto"/>
                  <w:bottom w:val="single" w:sz="4" w:space="0" w:color="auto"/>
                  <w:right w:val="single" w:sz="4" w:space="0" w:color="auto"/>
                </w:tcBorders>
                <w:vAlign w:val="center"/>
              </w:tcPr>
              <w:p w14:paraId="052375C9"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15" w:type="pct"/>
                <w:tcBorders>
                  <w:top w:val="single" w:sz="4" w:space="0" w:color="auto"/>
                  <w:left w:val="single" w:sz="4" w:space="0" w:color="auto"/>
                  <w:bottom w:val="single" w:sz="4" w:space="0" w:color="auto"/>
                  <w:right w:val="single" w:sz="4" w:space="0" w:color="auto"/>
                </w:tcBorders>
                <w:vAlign w:val="center"/>
              </w:tcPr>
              <w:p w14:paraId="3C6A5093"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53" w:type="pct"/>
                <w:tcBorders>
                  <w:top w:val="single" w:sz="4" w:space="0" w:color="auto"/>
                  <w:left w:val="single" w:sz="4" w:space="0" w:color="auto"/>
                  <w:bottom w:val="single" w:sz="4" w:space="0" w:color="auto"/>
                  <w:right w:val="single" w:sz="4" w:space="0" w:color="auto"/>
                </w:tcBorders>
                <w:vAlign w:val="center"/>
              </w:tcPr>
              <w:p w14:paraId="55A1E5DA"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802,191.40</w:t>
                </w:r>
              </w:p>
            </w:tc>
            <w:tc>
              <w:tcPr>
                <w:tcW w:w="865" w:type="pct"/>
                <w:tcBorders>
                  <w:top w:val="single" w:sz="4" w:space="0" w:color="auto"/>
                  <w:left w:val="single" w:sz="4" w:space="0" w:color="auto"/>
                  <w:bottom w:val="single" w:sz="4" w:space="0" w:color="auto"/>
                  <w:right w:val="single" w:sz="4" w:space="0" w:color="auto"/>
                </w:tcBorders>
                <w:vAlign w:val="center"/>
              </w:tcPr>
              <w:p w14:paraId="3EFBBCDA"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802,191.40</w:t>
                </w:r>
              </w:p>
            </w:tc>
          </w:tr>
          <w:tr w:rsidR="00D21C1F" w14:paraId="55D55B25" w14:textId="77777777" w:rsidTr="00D605CB">
            <w:trPr>
              <w:trHeight w:val="240"/>
            </w:trPr>
            <w:sdt>
              <w:sdtPr>
                <w:tag w:val="_PLD_77996810365c481083bed5a411822288"/>
                <w:id w:val="1665431267"/>
                <w:lock w:val="sdtLocked"/>
              </w:sdtPr>
              <w:sdtEndPr/>
              <w:sdtContent>
                <w:tc>
                  <w:tcPr>
                    <w:tcW w:w="1331" w:type="pct"/>
                    <w:tcBorders>
                      <w:top w:val="single" w:sz="4" w:space="0" w:color="auto"/>
                      <w:left w:val="single" w:sz="4" w:space="0" w:color="auto"/>
                      <w:bottom w:val="single" w:sz="4" w:space="0" w:color="auto"/>
                      <w:right w:val="single" w:sz="4" w:space="0" w:color="auto"/>
                    </w:tcBorders>
                    <w:shd w:val="clear" w:color="auto" w:fill="auto"/>
                  </w:tcPr>
                  <w:p w14:paraId="4F99C2FD" w14:textId="77777777" w:rsidR="00D21C1F" w:rsidRDefault="00A42880">
                    <w:pPr>
                      <w:outlineLvl w:val="2"/>
                      <w:rPr>
                        <w:rFonts w:cs="Cambria"/>
                        <w:szCs w:val="21"/>
                      </w:rPr>
                    </w:pPr>
                    <w:r>
                      <w:rPr>
                        <w:rFonts w:cs="Cambria" w:hint="eastAsia"/>
                        <w:szCs w:val="21"/>
                      </w:rPr>
                      <w:t>（</w:t>
                    </w:r>
                    <w:r>
                      <w:rPr>
                        <w:rFonts w:ascii="Times New Roman" w:hAnsi="Times New Roman" w:cs="Cambria"/>
                        <w:szCs w:val="21"/>
                      </w:rPr>
                      <w:t>2</w:t>
                    </w:r>
                    <w:r>
                      <w:rPr>
                        <w:rFonts w:cs="Cambria" w:hint="eastAsia"/>
                        <w:szCs w:val="21"/>
                      </w:rPr>
                      <w:t>）权益工具投资</w:t>
                    </w:r>
                  </w:p>
                </w:tc>
              </w:sdtContent>
            </w:sdt>
            <w:tc>
              <w:tcPr>
                <w:tcW w:w="936" w:type="pct"/>
                <w:tcBorders>
                  <w:top w:val="single" w:sz="4" w:space="0" w:color="auto"/>
                  <w:left w:val="single" w:sz="4" w:space="0" w:color="auto"/>
                  <w:bottom w:val="single" w:sz="4" w:space="0" w:color="auto"/>
                  <w:right w:val="single" w:sz="4" w:space="0" w:color="auto"/>
                </w:tcBorders>
                <w:vAlign w:val="center"/>
              </w:tcPr>
              <w:p w14:paraId="58DA543A"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15" w:type="pct"/>
                <w:tcBorders>
                  <w:top w:val="single" w:sz="4" w:space="0" w:color="auto"/>
                  <w:left w:val="single" w:sz="4" w:space="0" w:color="auto"/>
                  <w:bottom w:val="single" w:sz="4" w:space="0" w:color="auto"/>
                  <w:right w:val="single" w:sz="4" w:space="0" w:color="auto"/>
                </w:tcBorders>
                <w:vAlign w:val="center"/>
              </w:tcPr>
              <w:p w14:paraId="4ADE19A0"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53" w:type="pct"/>
                <w:tcBorders>
                  <w:top w:val="single" w:sz="4" w:space="0" w:color="auto"/>
                  <w:left w:val="single" w:sz="4" w:space="0" w:color="auto"/>
                  <w:bottom w:val="single" w:sz="4" w:space="0" w:color="auto"/>
                  <w:right w:val="single" w:sz="4" w:space="0" w:color="auto"/>
                </w:tcBorders>
                <w:vAlign w:val="center"/>
              </w:tcPr>
              <w:p w14:paraId="4589DFD3"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131,655.23</w:t>
                </w:r>
              </w:p>
            </w:tc>
            <w:tc>
              <w:tcPr>
                <w:tcW w:w="865" w:type="pct"/>
                <w:tcBorders>
                  <w:top w:val="single" w:sz="4" w:space="0" w:color="auto"/>
                  <w:left w:val="single" w:sz="4" w:space="0" w:color="auto"/>
                  <w:bottom w:val="single" w:sz="4" w:space="0" w:color="auto"/>
                  <w:right w:val="single" w:sz="4" w:space="0" w:color="auto"/>
                </w:tcBorders>
                <w:vAlign w:val="center"/>
              </w:tcPr>
              <w:p w14:paraId="555C6D2E"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131,655.23</w:t>
                </w:r>
              </w:p>
            </w:tc>
          </w:tr>
          <w:tr w:rsidR="00D21C1F" w14:paraId="4282E686" w14:textId="77777777" w:rsidTr="00D605CB">
            <w:trPr>
              <w:trHeight w:val="240"/>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751687AF" w14:textId="77777777" w:rsidR="00D21C1F" w:rsidRDefault="00A42880">
                <w:pPr>
                  <w:outlineLvl w:val="2"/>
                </w:pPr>
                <w:r>
                  <w:rPr>
                    <w:rFonts w:hint="eastAsia"/>
                  </w:rPr>
                  <w:t>（</w:t>
                </w:r>
                <w:r>
                  <w:rPr>
                    <w:rFonts w:ascii="Times New Roman" w:hAnsi="Times New Roman"/>
                  </w:rPr>
                  <w:t>3</w:t>
                </w:r>
                <w:r>
                  <w:t>）理财产品</w:t>
                </w:r>
              </w:p>
            </w:tc>
            <w:tc>
              <w:tcPr>
                <w:tcW w:w="936" w:type="pct"/>
                <w:tcBorders>
                  <w:top w:val="single" w:sz="4" w:space="0" w:color="auto"/>
                  <w:left w:val="single" w:sz="4" w:space="0" w:color="auto"/>
                  <w:bottom w:val="single" w:sz="4" w:space="0" w:color="auto"/>
                  <w:right w:val="single" w:sz="4" w:space="0" w:color="auto"/>
                </w:tcBorders>
                <w:vAlign w:val="center"/>
              </w:tcPr>
              <w:p w14:paraId="7C603E54" w14:textId="77777777" w:rsidR="00D21C1F" w:rsidRPr="00D605CB" w:rsidRDefault="00A42880" w:rsidP="00D605CB">
                <w:pPr>
                  <w:jc w:val="right"/>
                  <w:outlineLvl w:val="2"/>
                  <w:rPr>
                    <w:rFonts w:ascii="Times New Roman" w:hAnsi="Times New Roman" w:cs="Times New Roman"/>
                  </w:rPr>
                </w:pPr>
                <w:r w:rsidRPr="00D605CB">
                  <w:rPr>
                    <w:rFonts w:ascii="Times New Roman" w:hAnsi="Times New Roman" w:cs="Times New Roman"/>
                  </w:rPr>
                  <w:t>-</w:t>
                </w:r>
              </w:p>
            </w:tc>
            <w:tc>
              <w:tcPr>
                <w:tcW w:w="915" w:type="pct"/>
                <w:tcBorders>
                  <w:top w:val="single" w:sz="4" w:space="0" w:color="auto"/>
                  <w:left w:val="single" w:sz="4" w:space="0" w:color="auto"/>
                  <w:bottom w:val="single" w:sz="4" w:space="0" w:color="auto"/>
                  <w:right w:val="single" w:sz="4" w:space="0" w:color="auto"/>
                </w:tcBorders>
                <w:vAlign w:val="center"/>
              </w:tcPr>
              <w:p w14:paraId="1344232A" w14:textId="77777777" w:rsidR="00D21C1F" w:rsidRPr="00D605CB" w:rsidRDefault="00A42880" w:rsidP="00D605CB">
                <w:pPr>
                  <w:jc w:val="right"/>
                  <w:outlineLvl w:val="2"/>
                  <w:rPr>
                    <w:rFonts w:ascii="Times New Roman" w:hAnsi="Times New Roman" w:cs="Times New Roman"/>
                  </w:rPr>
                </w:pPr>
                <w:r w:rsidRPr="00D605CB">
                  <w:rPr>
                    <w:rFonts w:ascii="Times New Roman" w:hAnsi="Times New Roman" w:cs="Times New Roman"/>
                  </w:rPr>
                  <w:t>-</w:t>
                </w:r>
              </w:p>
            </w:tc>
            <w:tc>
              <w:tcPr>
                <w:tcW w:w="953" w:type="pct"/>
                <w:tcBorders>
                  <w:top w:val="single" w:sz="4" w:space="0" w:color="auto"/>
                  <w:left w:val="single" w:sz="4" w:space="0" w:color="auto"/>
                  <w:bottom w:val="single" w:sz="4" w:space="0" w:color="auto"/>
                  <w:right w:val="single" w:sz="4" w:space="0" w:color="auto"/>
                </w:tcBorders>
                <w:vAlign w:val="center"/>
              </w:tcPr>
              <w:p w14:paraId="3805C578" w14:textId="77777777" w:rsidR="00D21C1F" w:rsidRPr="00D605CB" w:rsidRDefault="00A42880" w:rsidP="00D605CB">
                <w:pPr>
                  <w:jc w:val="right"/>
                  <w:outlineLvl w:val="2"/>
                  <w:rPr>
                    <w:rFonts w:ascii="Times New Roman" w:hAnsi="Times New Roman" w:cs="Times New Roman"/>
                  </w:rPr>
                </w:pPr>
                <w:r w:rsidRPr="00D605CB">
                  <w:rPr>
                    <w:rFonts w:ascii="Times New Roman" w:hAnsi="Times New Roman" w:cs="Times New Roman"/>
                  </w:rPr>
                  <w:t>436,360,739.72</w:t>
                </w:r>
              </w:p>
            </w:tc>
            <w:tc>
              <w:tcPr>
                <w:tcW w:w="865" w:type="pct"/>
                <w:tcBorders>
                  <w:top w:val="single" w:sz="4" w:space="0" w:color="auto"/>
                  <w:left w:val="single" w:sz="4" w:space="0" w:color="auto"/>
                  <w:bottom w:val="single" w:sz="4" w:space="0" w:color="auto"/>
                  <w:right w:val="single" w:sz="4" w:space="0" w:color="auto"/>
                </w:tcBorders>
                <w:vAlign w:val="center"/>
              </w:tcPr>
              <w:p w14:paraId="507563CF" w14:textId="77777777" w:rsidR="00D21C1F" w:rsidRPr="00D605CB" w:rsidRDefault="00A42880" w:rsidP="00D605CB">
                <w:pPr>
                  <w:jc w:val="right"/>
                  <w:outlineLvl w:val="2"/>
                  <w:rPr>
                    <w:rFonts w:ascii="Times New Roman" w:hAnsi="Times New Roman" w:cs="Times New Roman"/>
                  </w:rPr>
                </w:pPr>
                <w:r w:rsidRPr="00D605CB">
                  <w:rPr>
                    <w:rFonts w:ascii="Times New Roman" w:hAnsi="Times New Roman" w:cs="Times New Roman"/>
                  </w:rPr>
                  <w:t>436,360,739.72</w:t>
                </w:r>
              </w:p>
            </w:tc>
          </w:tr>
          <w:sdt>
            <w:sdtPr>
              <w:rPr>
                <w:rFonts w:cs="Cambria"/>
                <w:sz w:val="22"/>
                <w:szCs w:val="21"/>
              </w:rPr>
              <w:alias w:val="持续以公允价值计量的资产总额明细"/>
              <w:tag w:val="_TUP_e78f47dfe89a44bda0f59b05bd53aa70"/>
              <w:id w:val="-899279501"/>
              <w:lock w:val="sdtLocked"/>
            </w:sdtPr>
            <w:sdtEndPr>
              <w:rPr>
                <w:rFonts w:ascii="Times New Roman" w:hAnsi="Times New Roman" w:cs="Times New Roman"/>
              </w:rPr>
            </w:sdtEndPr>
            <w:sdtContent>
              <w:tr w:rsidR="00D21C1F" w14:paraId="6989315A" w14:textId="77777777" w:rsidTr="00D605CB">
                <w:trPr>
                  <w:trHeight w:val="215"/>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32D272DB" w14:textId="77777777" w:rsidR="00D21C1F" w:rsidRDefault="00A42880">
                    <w:pPr>
                      <w:outlineLvl w:val="2"/>
                      <w:rPr>
                        <w:shd w:val="solid" w:color="FFFFFF" w:fill="auto"/>
                      </w:rPr>
                    </w:pPr>
                    <w:r>
                      <w:rPr>
                        <w:rFonts w:hint="eastAsia"/>
                      </w:rPr>
                      <w:t>（二）</w:t>
                    </w:r>
                    <w:r>
                      <w:rPr>
                        <w:rFonts w:hint="eastAsia"/>
                        <w:shd w:val="solid" w:color="FFFFFF" w:fill="auto"/>
                      </w:rPr>
                      <w:t>应收款项融资</w:t>
                    </w:r>
                  </w:p>
                </w:tc>
                <w:tc>
                  <w:tcPr>
                    <w:tcW w:w="936" w:type="pct"/>
                    <w:tcBorders>
                      <w:top w:val="single" w:sz="4" w:space="0" w:color="auto"/>
                      <w:left w:val="single" w:sz="4" w:space="0" w:color="auto"/>
                      <w:bottom w:val="single" w:sz="4" w:space="0" w:color="auto"/>
                      <w:right w:val="single" w:sz="4" w:space="0" w:color="auto"/>
                    </w:tcBorders>
                    <w:vAlign w:val="center"/>
                  </w:tcPr>
                  <w:p w14:paraId="4E8CFCAC"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15" w:type="pct"/>
                    <w:tcBorders>
                      <w:top w:val="single" w:sz="4" w:space="0" w:color="auto"/>
                      <w:left w:val="single" w:sz="4" w:space="0" w:color="auto"/>
                      <w:bottom w:val="single" w:sz="4" w:space="0" w:color="auto"/>
                      <w:right w:val="single" w:sz="4" w:space="0" w:color="auto"/>
                    </w:tcBorders>
                    <w:vAlign w:val="center"/>
                  </w:tcPr>
                  <w:p w14:paraId="11C62668"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53" w:type="pct"/>
                    <w:tcBorders>
                      <w:top w:val="single" w:sz="4" w:space="0" w:color="auto"/>
                      <w:left w:val="single" w:sz="4" w:space="0" w:color="auto"/>
                      <w:bottom w:val="single" w:sz="4" w:space="0" w:color="auto"/>
                      <w:right w:val="single" w:sz="4" w:space="0" w:color="auto"/>
                    </w:tcBorders>
                    <w:vAlign w:val="center"/>
                  </w:tcPr>
                  <w:p w14:paraId="79BC280A"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33,311,267.79</w:t>
                    </w:r>
                  </w:p>
                </w:tc>
                <w:tc>
                  <w:tcPr>
                    <w:tcW w:w="865" w:type="pct"/>
                    <w:tcBorders>
                      <w:top w:val="single" w:sz="4" w:space="0" w:color="auto"/>
                      <w:left w:val="single" w:sz="4" w:space="0" w:color="auto"/>
                      <w:bottom w:val="single" w:sz="4" w:space="0" w:color="auto"/>
                      <w:right w:val="single" w:sz="4" w:space="0" w:color="auto"/>
                    </w:tcBorders>
                    <w:vAlign w:val="center"/>
                  </w:tcPr>
                  <w:p w14:paraId="4258F3AE"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33,311,267.79</w:t>
                    </w:r>
                  </w:p>
                </w:tc>
              </w:tr>
            </w:sdtContent>
          </w:sdt>
          <w:tr w:rsidR="00D21C1F" w14:paraId="0C59A7F5" w14:textId="77777777" w:rsidTr="00D605CB">
            <w:trPr>
              <w:trHeight w:val="240"/>
            </w:trPr>
            <w:tc>
              <w:tcPr>
                <w:tcW w:w="1331"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c080e935a648bda25a9c513fb13567"/>
                  <w:id w:val="949749477"/>
                  <w:lock w:val="sdtLocked"/>
                </w:sdtPr>
                <w:sdtEndPr>
                  <w:rPr>
                    <w:shd w:val="solid" w:color="FFFFFF" w:fill="auto"/>
                  </w:rPr>
                </w:sdtEndPr>
                <w:sdtContent>
                  <w:p w14:paraId="4F372D0D" w14:textId="77777777" w:rsidR="00D21C1F" w:rsidRDefault="00A42880">
                    <w:pPr>
                      <w:outlineLvl w:val="2"/>
                    </w:pPr>
                    <w:r>
                      <w:rPr>
                        <w:rFonts w:hint="eastAsia"/>
                      </w:rPr>
                      <w:t>（三）</w:t>
                    </w:r>
                    <w:r>
                      <w:rPr>
                        <w:rFonts w:hint="eastAsia"/>
                        <w:shd w:val="solid" w:color="FFFFFF" w:fill="auto"/>
                      </w:rPr>
                      <w:t>其他权益工具投资</w:t>
                    </w:r>
                  </w:p>
                </w:sdtContent>
              </w:sdt>
            </w:tc>
            <w:tc>
              <w:tcPr>
                <w:tcW w:w="936" w:type="pct"/>
                <w:tcBorders>
                  <w:top w:val="single" w:sz="4" w:space="0" w:color="auto"/>
                  <w:left w:val="single" w:sz="4" w:space="0" w:color="auto"/>
                  <w:bottom w:val="single" w:sz="4" w:space="0" w:color="auto"/>
                  <w:right w:val="single" w:sz="4" w:space="0" w:color="auto"/>
                </w:tcBorders>
                <w:vAlign w:val="center"/>
              </w:tcPr>
              <w:p w14:paraId="12C82005"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15" w:type="pct"/>
                <w:tcBorders>
                  <w:top w:val="single" w:sz="4" w:space="0" w:color="auto"/>
                  <w:left w:val="single" w:sz="4" w:space="0" w:color="auto"/>
                  <w:bottom w:val="single" w:sz="4" w:space="0" w:color="auto"/>
                  <w:right w:val="single" w:sz="4" w:space="0" w:color="auto"/>
                </w:tcBorders>
                <w:vAlign w:val="center"/>
              </w:tcPr>
              <w:p w14:paraId="2281208E"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53" w:type="pct"/>
                <w:tcBorders>
                  <w:top w:val="single" w:sz="4" w:space="0" w:color="auto"/>
                  <w:left w:val="single" w:sz="4" w:space="0" w:color="auto"/>
                  <w:bottom w:val="single" w:sz="4" w:space="0" w:color="auto"/>
                  <w:right w:val="single" w:sz="4" w:space="0" w:color="auto"/>
                </w:tcBorders>
                <w:vAlign w:val="center"/>
              </w:tcPr>
              <w:p w14:paraId="4ECABF07"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12,500,000.00</w:t>
                </w:r>
              </w:p>
            </w:tc>
            <w:tc>
              <w:tcPr>
                <w:tcW w:w="865" w:type="pct"/>
                <w:tcBorders>
                  <w:top w:val="single" w:sz="4" w:space="0" w:color="auto"/>
                  <w:left w:val="single" w:sz="4" w:space="0" w:color="auto"/>
                  <w:bottom w:val="single" w:sz="4" w:space="0" w:color="auto"/>
                  <w:right w:val="single" w:sz="4" w:space="0" w:color="auto"/>
                </w:tcBorders>
                <w:vAlign w:val="center"/>
              </w:tcPr>
              <w:p w14:paraId="530F4868"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12,500,000.00</w:t>
                </w:r>
              </w:p>
            </w:tc>
          </w:tr>
          <w:tr w:rsidR="00D21C1F" w14:paraId="750AA871" w14:textId="77777777" w:rsidTr="00D605CB">
            <w:trPr>
              <w:trHeight w:val="468"/>
            </w:trPr>
            <w:sdt>
              <w:sdtPr>
                <w:tag w:val="_PLD_5f085d8452914c828c6cb5c210cfc97c"/>
                <w:id w:val="-608741627"/>
                <w:lock w:val="sdtLocked"/>
              </w:sdtPr>
              <w:sdtEndPr/>
              <w:sdtContent>
                <w:tc>
                  <w:tcPr>
                    <w:tcW w:w="1331" w:type="pct"/>
                    <w:tcBorders>
                      <w:top w:val="single" w:sz="4" w:space="0" w:color="auto"/>
                      <w:left w:val="single" w:sz="4" w:space="0" w:color="auto"/>
                      <w:bottom w:val="single" w:sz="4" w:space="0" w:color="auto"/>
                      <w:right w:val="single" w:sz="4" w:space="0" w:color="auto"/>
                    </w:tcBorders>
                    <w:shd w:val="clear" w:color="auto" w:fill="auto"/>
                  </w:tcPr>
                  <w:p w14:paraId="668D243D" w14:textId="77777777" w:rsidR="00D21C1F" w:rsidRDefault="00A42880">
                    <w:pPr>
                      <w:outlineLvl w:val="2"/>
                      <w:rPr>
                        <w:rFonts w:cs="Cambria"/>
                        <w:b/>
                        <w:szCs w:val="21"/>
                      </w:rPr>
                    </w:pPr>
                    <w:r>
                      <w:rPr>
                        <w:rFonts w:cs="Cambria" w:hint="eastAsia"/>
                        <w:b/>
                        <w:szCs w:val="21"/>
                      </w:rPr>
                      <w:t>持续以公允价值计量的资产总额</w:t>
                    </w:r>
                  </w:p>
                </w:tc>
              </w:sdtContent>
            </w:sdt>
            <w:tc>
              <w:tcPr>
                <w:tcW w:w="936" w:type="pct"/>
                <w:tcBorders>
                  <w:top w:val="single" w:sz="4" w:space="0" w:color="auto"/>
                  <w:left w:val="single" w:sz="4" w:space="0" w:color="auto"/>
                  <w:bottom w:val="single" w:sz="4" w:space="0" w:color="auto"/>
                  <w:right w:val="single" w:sz="4" w:space="0" w:color="auto"/>
                </w:tcBorders>
                <w:vAlign w:val="center"/>
              </w:tcPr>
              <w:p w14:paraId="4FB427E1"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15" w:type="pct"/>
                <w:tcBorders>
                  <w:top w:val="single" w:sz="4" w:space="0" w:color="auto"/>
                  <w:left w:val="single" w:sz="4" w:space="0" w:color="auto"/>
                  <w:bottom w:val="single" w:sz="4" w:space="0" w:color="auto"/>
                  <w:right w:val="single" w:sz="4" w:space="0" w:color="auto"/>
                </w:tcBorders>
                <w:vAlign w:val="center"/>
              </w:tcPr>
              <w:p w14:paraId="4D6AB5E8"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w:t>
                </w:r>
              </w:p>
            </w:tc>
            <w:tc>
              <w:tcPr>
                <w:tcW w:w="953" w:type="pct"/>
                <w:tcBorders>
                  <w:top w:val="single" w:sz="4" w:space="0" w:color="auto"/>
                  <w:left w:val="single" w:sz="4" w:space="0" w:color="auto"/>
                  <w:bottom w:val="single" w:sz="4" w:space="0" w:color="auto"/>
                  <w:right w:val="single" w:sz="4" w:space="0" w:color="auto"/>
                </w:tcBorders>
                <w:vAlign w:val="center"/>
              </w:tcPr>
              <w:p w14:paraId="11D176F3"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483,105,854.14</w:t>
                </w:r>
              </w:p>
            </w:tc>
            <w:tc>
              <w:tcPr>
                <w:tcW w:w="865" w:type="pct"/>
                <w:tcBorders>
                  <w:top w:val="single" w:sz="4" w:space="0" w:color="auto"/>
                  <w:left w:val="single" w:sz="4" w:space="0" w:color="auto"/>
                  <w:bottom w:val="single" w:sz="4" w:space="0" w:color="auto"/>
                  <w:right w:val="single" w:sz="4" w:space="0" w:color="auto"/>
                </w:tcBorders>
                <w:vAlign w:val="center"/>
              </w:tcPr>
              <w:p w14:paraId="2BCD10CF" w14:textId="77777777" w:rsidR="00D21C1F" w:rsidRPr="00D605CB" w:rsidRDefault="00A42880" w:rsidP="00D605CB">
                <w:pPr>
                  <w:jc w:val="right"/>
                  <w:outlineLvl w:val="2"/>
                  <w:rPr>
                    <w:rFonts w:ascii="Times New Roman" w:hAnsi="Times New Roman" w:cs="Times New Roman"/>
                    <w:szCs w:val="21"/>
                  </w:rPr>
                </w:pPr>
                <w:r w:rsidRPr="00D605CB">
                  <w:rPr>
                    <w:rFonts w:ascii="Times New Roman" w:hAnsi="Times New Roman" w:cs="Times New Roman"/>
                  </w:rPr>
                  <w:t>483,105,854.14</w:t>
                </w:r>
              </w:p>
            </w:tc>
          </w:tr>
        </w:tbl>
        <w:p w14:paraId="34ECEFB0" w14:textId="77777777" w:rsidR="00D21C1F" w:rsidRDefault="00045EC6">
          <w:pPr>
            <w:tabs>
              <w:tab w:val="left" w:pos="1134"/>
            </w:tabs>
            <w:rPr>
              <w:rFonts w:cs="Cambria"/>
              <w:b/>
              <w:szCs w:val="21"/>
            </w:rPr>
          </w:pPr>
        </w:p>
      </w:sdtContent>
    </w:sdt>
    <w:bookmarkEnd w:id="292" w:displacedByCustomXml="next"/>
    <w:sdt>
      <w:sdtPr>
        <w:rPr>
          <w:rFonts w:ascii="宋体" w:eastAsia="宋体" w:hAnsi="宋体" w:cs="Arial" w:hint="eastAsia"/>
          <w:b w:val="0"/>
          <w:bCs w:val="0"/>
          <w:kern w:val="0"/>
          <w:szCs w:val="21"/>
        </w:rPr>
        <w:alias w:val="模块:持续和非持续第一层次公允价值计量项目市价的确定依据"/>
        <w:tag w:val="_GBC_9cf59ced96b14247921100dffef5784f"/>
        <w:id w:val="-521709580"/>
        <w:lock w:val="sdtLocked"/>
        <w:placeholder>
          <w:docPart w:val="GBC22222222222222222222222222222"/>
        </w:placeholder>
      </w:sdtPr>
      <w:sdtEndPr>
        <w:rPr>
          <w:rFonts w:cs="Cambria"/>
          <w:b/>
        </w:rPr>
      </w:sdtEndPr>
      <w:sdtContent>
        <w:p w14:paraId="00B3F780" w14:textId="77777777" w:rsidR="00D21C1F" w:rsidRDefault="00A42880">
          <w:pPr>
            <w:pStyle w:val="94"/>
            <w:numPr>
              <w:ilvl w:val="0"/>
              <w:numId w:val="136"/>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439797212"/>
            <w:lock w:val="sdtLocked"/>
            <w:placeholder>
              <w:docPart w:val="GBC22222222222222222222222222222"/>
            </w:placeholder>
          </w:sdtPr>
          <w:sdtEndPr/>
          <w:sdtContent>
            <w:p w14:paraId="132AA4B2" w14:textId="77777777" w:rsidR="00D21C1F" w:rsidRDefault="00A42880">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31033428"/>
        <w:lock w:val="sdtLocked"/>
        <w:placeholder>
          <w:docPart w:val="GBC22222222222222222222222222222"/>
        </w:placeholder>
      </w:sdtPr>
      <w:sdtEndPr>
        <w:rPr>
          <w:rFonts w:cs="Cambria" w:hint="default"/>
        </w:rPr>
      </w:sdtEndPr>
      <w:sdtContent>
        <w:p w14:paraId="65FD072C" w14:textId="77777777" w:rsidR="00D21C1F" w:rsidRDefault="00A42880">
          <w:pPr>
            <w:pStyle w:val="94"/>
            <w:numPr>
              <w:ilvl w:val="0"/>
              <w:numId w:val="136"/>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2139248724"/>
            <w:lock w:val="sdtLocked"/>
            <w:placeholder>
              <w:docPart w:val="GBC22222222222222222222222222222"/>
            </w:placeholder>
          </w:sdtPr>
          <w:sdtEndPr/>
          <w:sdtContent>
            <w:p w14:paraId="37090567" w14:textId="77777777" w:rsidR="00D21C1F" w:rsidRDefault="00A42880">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14:paraId="70211D7A" w14:textId="77777777" w:rsidR="00D21C1F" w:rsidRDefault="00D21C1F">
      <w:pPr>
        <w:rPr>
          <w:szCs w:val="21"/>
        </w:rPr>
      </w:pPr>
    </w:p>
    <w:sdt>
      <w:sdtPr>
        <w:rPr>
          <w:rFonts w:ascii="宋体" w:eastAsia="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535615120"/>
        <w:lock w:val="sdtLocked"/>
        <w:placeholder>
          <w:docPart w:val="GBC22222222222222222222222222222"/>
        </w:placeholder>
      </w:sdtPr>
      <w:sdtEndPr>
        <w:rPr>
          <w:rFonts w:cs="Cambria"/>
          <w:color w:val="808080"/>
        </w:rPr>
      </w:sdtEndPr>
      <w:sdtContent>
        <w:p w14:paraId="4174C216" w14:textId="77777777" w:rsidR="00D21C1F" w:rsidRDefault="00A42880">
          <w:pPr>
            <w:pStyle w:val="94"/>
            <w:numPr>
              <w:ilvl w:val="0"/>
              <w:numId w:val="136"/>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671862386"/>
            <w:lock w:val="sdtLocked"/>
            <w:placeholder>
              <w:docPart w:val="GBC22222222222222222222222222222"/>
            </w:placeholder>
          </w:sdtPr>
          <w:sdtEndPr/>
          <w:sdtContent>
            <w:p w14:paraId="3746AE12"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4158419"/>
            <w:lock w:val="sdtLocked"/>
            <w:placeholder>
              <w:docPart w:val="GBC22222222222222222222222222222"/>
            </w:placeholder>
          </w:sdtPr>
          <w:sdtEndPr/>
          <w:sdtContent>
            <w:p w14:paraId="2D90A77B" w14:textId="77777777" w:rsidR="00D21C1F" w:rsidRDefault="00A42880">
              <w:pPr>
                <w:spacing w:line="360" w:lineRule="auto"/>
                <w:ind w:firstLineChars="200" w:firstLine="420"/>
                <w:jc w:val="both"/>
                <w:rPr>
                  <w:szCs w:val="21"/>
                </w:rPr>
              </w:pPr>
              <w:r>
                <w:rPr>
                  <w:rFonts w:hint="eastAsia"/>
                  <w:szCs w:val="21"/>
                </w:rPr>
                <w:t>对于在活跃市场上交易的金融工具，本公司以其活跃市场报价确定其公允价值；对于不在活跃市场上交易的金融工具，本公司采用估值技术确定其公允价值。所使用的估值模型主要为现金流量折现模型和市场可比公司模型等。估值技术的输入值主要包括无风险利率、基准利率、汇率、信用点差、流动性溢价、缺乏流动性折扣等。</w:t>
              </w:r>
            </w:p>
          </w:sdtContent>
        </w:sdt>
        <w:p w14:paraId="2175E357" w14:textId="77777777" w:rsidR="00D21C1F" w:rsidRDefault="00045EC6">
          <w:pPr>
            <w:tabs>
              <w:tab w:val="left" w:pos="1134"/>
            </w:tabs>
            <w:rPr>
              <w:rFonts w:cs="Cambria"/>
              <w:b/>
              <w:szCs w:val="21"/>
            </w:rPr>
          </w:pPr>
        </w:p>
      </w:sdtContent>
    </w:sdt>
    <w:sdt>
      <w:sdtPr>
        <w:rPr>
          <w:rFonts w:ascii="宋体" w:eastAsia="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502730552"/>
        <w:lock w:val="sdtLocked"/>
        <w:placeholder>
          <w:docPart w:val="GBC22222222222222222222222222222"/>
        </w:placeholder>
      </w:sdtPr>
      <w:sdtEndPr>
        <w:rPr>
          <w:rFonts w:cs="Cambria"/>
          <w:color w:val="808080"/>
          <w:szCs w:val="21"/>
        </w:rPr>
      </w:sdtEndPr>
      <w:sdtContent>
        <w:p w14:paraId="429F4949" w14:textId="77777777" w:rsidR="00D21C1F" w:rsidRDefault="00A42880">
          <w:pPr>
            <w:pStyle w:val="94"/>
            <w:numPr>
              <w:ilvl w:val="0"/>
              <w:numId w:val="136"/>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478583472"/>
            <w:lock w:val="sdtLocked"/>
            <w:placeholder>
              <w:docPart w:val="GBC22222222222222222222222222222"/>
            </w:placeholder>
          </w:sdtPr>
          <w:sdtEndPr/>
          <w:sdtContent>
            <w:p w14:paraId="73CB56B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748424540"/>
        <w:lock w:val="sdtLocked"/>
        <w:placeholder>
          <w:docPart w:val="GBC22222222222222222222222222222"/>
        </w:placeholder>
      </w:sdtPr>
      <w:sdtEndPr>
        <w:rPr>
          <w:rFonts w:cs="Cambria"/>
          <w:szCs w:val="21"/>
        </w:rPr>
      </w:sdtEndPr>
      <w:sdtContent>
        <w:p w14:paraId="5ACA016B" w14:textId="77777777" w:rsidR="00D21C1F" w:rsidRDefault="00A42880">
          <w:pPr>
            <w:pStyle w:val="94"/>
            <w:numPr>
              <w:ilvl w:val="0"/>
              <w:numId w:val="136"/>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582874130"/>
            <w:lock w:val="sdtLocked"/>
            <w:placeholder>
              <w:docPart w:val="GBC22222222222222222222222222222"/>
            </w:placeholder>
          </w:sdtPr>
          <w:sdtEndPr/>
          <w:sdtContent>
            <w:p w14:paraId="12A55165"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本期内发生的估值技术变更及变更原因"/>
        <w:tag w:val="_GBC_8e563310a4b84a5d9dfe74fdbc178926"/>
        <w:id w:val="378828169"/>
        <w:lock w:val="sdtLocked"/>
        <w:placeholder>
          <w:docPart w:val="GBC22222222222222222222222222222"/>
        </w:placeholder>
      </w:sdtPr>
      <w:sdtEndPr>
        <w:rPr>
          <w:rFonts w:cstheme="minorBidi"/>
          <w:szCs w:val="21"/>
        </w:rPr>
      </w:sdtEndPr>
      <w:sdtContent>
        <w:p w14:paraId="6B305C44" w14:textId="77777777" w:rsidR="00D21C1F" w:rsidRDefault="00A42880">
          <w:pPr>
            <w:pStyle w:val="94"/>
            <w:numPr>
              <w:ilvl w:val="0"/>
              <w:numId w:val="136"/>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241643032"/>
            <w:lock w:val="sdtLocked"/>
            <w:placeholder>
              <w:docPart w:val="GBC22222222222222222222222222222"/>
            </w:placeholder>
          </w:sdtPr>
          <w:sdtEndPr/>
          <w:sdtContent>
            <w:p w14:paraId="39508EF8"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不以公允价值计量的金融资产和金融负债的公允价值情况"/>
        <w:tag w:val="_GBC_e354e1f41f824854b8f3345d52a9cfab"/>
        <w:id w:val="-1967735080"/>
        <w:lock w:val="sdtLocked"/>
        <w:placeholder>
          <w:docPart w:val="GBC22222222222222222222222222222"/>
        </w:placeholder>
      </w:sdtPr>
      <w:sdtEndPr/>
      <w:sdtContent>
        <w:p w14:paraId="62899A15" w14:textId="77777777" w:rsidR="00D21C1F" w:rsidRDefault="00A42880">
          <w:pPr>
            <w:pStyle w:val="94"/>
            <w:numPr>
              <w:ilvl w:val="0"/>
              <w:numId w:val="136"/>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1611774241"/>
            <w:lock w:val="sdtLocked"/>
            <w:placeholder>
              <w:docPart w:val="GBC22222222222222222222222222222"/>
            </w:placeholder>
          </w:sdtPr>
          <w:sdtEndPr/>
          <w:sdtContent>
            <w:p w14:paraId="53E8F73D" w14:textId="77777777" w:rsidR="00D21C1F" w:rsidRDefault="00A42880">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sdt>
      <w:sdtPr>
        <w:rPr>
          <w:rFonts w:ascii="宋体" w:eastAsia="宋体" w:hAnsi="宋体" w:cs="宋体"/>
          <w:b w:val="0"/>
          <w:bCs w:val="0"/>
          <w:kern w:val="0"/>
          <w:szCs w:val="21"/>
        </w:rPr>
        <w:alias w:val="模块:公允价值其他需要披露的事项"/>
        <w:tag w:val="_GBC_1551c1b4fedc4ac0ae859b67b4b79904"/>
        <w:id w:val="1114715672"/>
        <w:lock w:val="sdtLocked"/>
        <w:placeholder>
          <w:docPart w:val="GBC22222222222222222222222222222"/>
        </w:placeholder>
      </w:sdtPr>
      <w:sdtEndPr/>
      <w:sdtContent>
        <w:p w14:paraId="2B61B04F" w14:textId="77777777" w:rsidR="00D21C1F" w:rsidRDefault="00A42880">
          <w:pPr>
            <w:pStyle w:val="94"/>
            <w:numPr>
              <w:ilvl w:val="0"/>
              <w:numId w:val="136"/>
            </w:numPr>
            <w:rPr>
              <w:rFonts w:ascii="宋体" w:hAnsi="宋体"/>
              <w:szCs w:val="21"/>
            </w:rPr>
          </w:pPr>
          <w:r>
            <w:rPr>
              <w:rFonts w:ascii="宋体" w:hAnsi="宋体" w:hint="eastAsia"/>
              <w:szCs w:val="21"/>
            </w:rPr>
            <w:t>其他</w:t>
          </w:r>
        </w:p>
        <w:sdt>
          <w:sdtPr>
            <w:rPr>
              <w:rFonts w:hint="eastAsia"/>
              <w:szCs w:val="21"/>
            </w:rPr>
            <w:alias w:val="是否适用：公允价值其他需要披露的事项[双击切换]"/>
            <w:tag w:val="_GBC_9174a0e7dec04e80924ee384dabe783a"/>
            <w:id w:val="-1149203349"/>
            <w:lock w:val="sdtLocked"/>
            <w:placeholder>
              <w:docPart w:val="GBC22222222222222222222222222222"/>
            </w:placeholder>
          </w:sdtPr>
          <w:sdtEndPr/>
          <w:sdtContent>
            <w:p w14:paraId="5DB595AC"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A3BD28F" w14:textId="77777777" w:rsidR="00D21C1F" w:rsidRDefault="00045EC6">
          <w:pPr>
            <w:rPr>
              <w:szCs w:val="21"/>
            </w:rPr>
          </w:pPr>
        </w:p>
      </w:sdtContent>
    </w:sdt>
    <w:p w14:paraId="04098115" w14:textId="77777777" w:rsidR="00D21C1F" w:rsidRDefault="00A42880">
      <w:pPr>
        <w:pStyle w:val="2CharCharChar"/>
        <w:numPr>
          <w:ilvl w:val="0"/>
          <w:numId w:val="42"/>
        </w:numPr>
      </w:pPr>
      <w:r>
        <w:rPr>
          <w:rFonts w:hint="eastAsia"/>
        </w:rPr>
        <w:t>关联方及关联交易</w:t>
      </w:r>
    </w:p>
    <w:sdt>
      <w:sdtPr>
        <w:rPr>
          <w:rFonts w:ascii="宋体" w:eastAsia="宋体" w:hAnsi="宋体" w:cs="宋体" w:hint="eastAsia"/>
          <w:b w:val="0"/>
          <w:bCs w:val="0"/>
          <w:kern w:val="0"/>
          <w:szCs w:val="24"/>
        </w:rPr>
        <w:alias w:val="模块:本企业的母公司情况"/>
        <w:tag w:val="_GBC_29e1f7491caa4c3e96eef8c84532de84"/>
        <w:id w:val="-48614471"/>
        <w:lock w:val="sdtLocked"/>
        <w:placeholder>
          <w:docPart w:val="GBC22222222222222222222222222222"/>
        </w:placeholder>
      </w:sdtPr>
      <w:sdtEndPr>
        <w:rPr>
          <w:rFonts w:cs="Cambria"/>
          <w:szCs w:val="21"/>
        </w:rPr>
      </w:sdtEndPr>
      <w:sdtContent>
        <w:p w14:paraId="7BA9C0E4" w14:textId="77777777" w:rsidR="00D21C1F" w:rsidRDefault="00A42880">
          <w:pPr>
            <w:pStyle w:val="94"/>
            <w:numPr>
              <w:ilvl w:val="0"/>
              <w:numId w:val="137"/>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1995089991"/>
            <w:lock w:val="sdtLocked"/>
            <w:placeholder>
              <w:docPart w:val="GBC22222222222222222222222222222"/>
            </w:placeholder>
          </w:sdtPr>
          <w:sdtEndPr/>
          <w:sdtContent>
            <w:p w14:paraId="3A59E8D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47077B" w14:textId="77777777" w:rsidR="00D21C1F" w:rsidRDefault="00A42880">
          <w:pPr>
            <w:jc w:val="right"/>
          </w:pPr>
          <w:r>
            <w:rPr>
              <w:rFonts w:hint="eastAsia"/>
            </w:rPr>
            <w:t>单位:</w:t>
          </w:r>
          <w:sdt>
            <w:sdtPr>
              <w:rPr>
                <w:rFonts w:hint="eastAsia"/>
              </w:rPr>
              <w:alias w:val="单位：本企业的母公司情况"/>
              <w:tag w:val="_GBC_6deea75122314a599b3383585a0f5cfe"/>
              <w:id w:val="-15398850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币种:</w:t>
          </w:r>
          <w:sdt>
            <w:sdtPr>
              <w:rPr>
                <w:rFonts w:hint="eastAsia"/>
              </w:rPr>
              <w:alias w:val="币种：本企业的母公司情况"/>
              <w:tag w:val="_GBC_3d5eae3a190749288b0c0bc9b1b1a3a3"/>
              <w:id w:val="-226611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203"/>
            <w:gridCol w:w="1428"/>
            <w:gridCol w:w="1428"/>
            <w:gridCol w:w="1641"/>
            <w:gridCol w:w="1772"/>
          </w:tblGrid>
          <w:tr w:rsidR="00D21C1F" w14:paraId="0047A62B" w14:textId="77777777">
            <w:trPr>
              <w:trHeight w:val="842"/>
            </w:trPr>
            <w:sdt>
              <w:sdtPr>
                <w:tag w:val="_PLD_19f86fac20c44d648212d3b573ca4c90"/>
                <w:id w:val="2022585224"/>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DF6BF12" w14:textId="77777777" w:rsidR="00D21C1F" w:rsidRDefault="00A42880">
                    <w:pPr>
                      <w:jc w:val="center"/>
                      <w:rPr>
                        <w:rFonts w:cs="Cambria"/>
                        <w:szCs w:val="21"/>
                      </w:rPr>
                    </w:pPr>
                    <w:r>
                      <w:rPr>
                        <w:rFonts w:cs="Cambria" w:hint="eastAsia"/>
                        <w:szCs w:val="21"/>
                      </w:rPr>
                      <w:t>母公司名称</w:t>
                    </w:r>
                  </w:p>
                </w:tc>
              </w:sdtContent>
            </w:sdt>
            <w:sdt>
              <w:sdtPr>
                <w:tag w:val="_PLD_d0e9e84346084d4db76e60afa87cf85a"/>
                <w:id w:val="1071079288"/>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E0CD0A8" w14:textId="77777777" w:rsidR="00D21C1F" w:rsidRDefault="00A42880">
                    <w:pPr>
                      <w:jc w:val="center"/>
                      <w:rPr>
                        <w:rFonts w:cs="Cambria"/>
                        <w:szCs w:val="21"/>
                      </w:rPr>
                    </w:pPr>
                    <w:r>
                      <w:rPr>
                        <w:rFonts w:cs="Cambria" w:hint="eastAsia"/>
                        <w:szCs w:val="21"/>
                      </w:rPr>
                      <w:t>注册地</w:t>
                    </w:r>
                  </w:p>
                </w:tc>
              </w:sdtContent>
            </w:sdt>
            <w:sdt>
              <w:sdtPr>
                <w:tag w:val="_PLD_862851f8ff08431ea28c3420f555e42d"/>
                <w:id w:val="-513069073"/>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CADA2EF" w14:textId="77777777" w:rsidR="00D21C1F" w:rsidRDefault="00A42880">
                    <w:pPr>
                      <w:jc w:val="center"/>
                      <w:rPr>
                        <w:rFonts w:cs="Cambria"/>
                        <w:szCs w:val="21"/>
                      </w:rPr>
                    </w:pPr>
                    <w:r>
                      <w:rPr>
                        <w:rFonts w:cs="Cambria" w:hint="eastAsia"/>
                        <w:szCs w:val="21"/>
                      </w:rPr>
                      <w:t>业务性质</w:t>
                    </w:r>
                  </w:p>
                </w:tc>
              </w:sdtContent>
            </w:sdt>
            <w:sdt>
              <w:sdtPr>
                <w:tag w:val="_PLD_77ed8bc59084448aa6eced74a15c106f"/>
                <w:id w:val="1057665130"/>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C5085DE" w14:textId="77777777" w:rsidR="00D21C1F" w:rsidRDefault="00A42880">
                    <w:pPr>
                      <w:jc w:val="center"/>
                      <w:rPr>
                        <w:rFonts w:cs="Cambria"/>
                        <w:szCs w:val="21"/>
                      </w:rPr>
                    </w:pPr>
                    <w:r>
                      <w:rPr>
                        <w:rFonts w:cs="Cambria" w:hint="eastAsia"/>
                        <w:szCs w:val="21"/>
                      </w:rPr>
                      <w:t>注册资本</w:t>
                    </w:r>
                  </w:p>
                </w:tc>
              </w:sdtContent>
            </w:sdt>
            <w:sdt>
              <w:sdtPr>
                <w:tag w:val="_PLD_360f61c4c6c14f0abe6480ef7f30e958"/>
                <w:id w:val="1096135690"/>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082C3D5D" w14:textId="77777777" w:rsidR="00D21C1F" w:rsidRDefault="00A42880">
                    <w:pPr>
                      <w:jc w:val="center"/>
                      <w:rPr>
                        <w:rFonts w:cs="Cambria"/>
                        <w:szCs w:val="21"/>
                      </w:rPr>
                    </w:pPr>
                    <w:r>
                      <w:rPr>
                        <w:rFonts w:cs="Cambria" w:hint="eastAsia"/>
                        <w:szCs w:val="21"/>
                      </w:rPr>
                      <w:t>母公司对本企业的持股比例</w:t>
                    </w:r>
                    <w:r>
                      <w:rPr>
                        <w:rFonts w:cs="Cambria"/>
                        <w:szCs w:val="21"/>
                      </w:rPr>
                      <w:t>(%)</w:t>
                    </w:r>
                  </w:p>
                </w:tc>
              </w:sdtContent>
            </w:sdt>
            <w:sdt>
              <w:sdtPr>
                <w:tag w:val="_PLD_3ef945e24ca64fc394d2e6b861604fcf"/>
                <w:id w:val="1027297791"/>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43AD69A" w14:textId="77777777" w:rsidR="00D21C1F" w:rsidRDefault="00A42880">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81538345"/>
              <w:lock w:val="sdtLocked"/>
            </w:sdtPr>
            <w:sdtEndPr>
              <w:rPr>
                <w:rFonts w:ascii="Times New Roman" w:hAnsi="Times New Roman" w:cs="Times New Roman"/>
              </w:rPr>
            </w:sdtEndPr>
            <w:sdtContent>
              <w:tr w:rsidR="00D21C1F" w14:paraId="0E610962" w14:textId="77777777" w:rsidTr="00D605CB">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7BE7964" w14:textId="77777777" w:rsidR="00D21C1F" w:rsidRDefault="00A42880">
                    <w:pPr>
                      <w:rPr>
                        <w:rFonts w:cs="Cambria"/>
                        <w:szCs w:val="21"/>
                      </w:rPr>
                    </w:pPr>
                    <w:r>
                      <w:t>芜湖远宏工业机器人投资有限公司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143CCE4" w14:textId="77777777" w:rsidR="00D21C1F" w:rsidRDefault="00A42880">
                    <w:pPr>
                      <w:rPr>
                        <w:rFonts w:cs="Cambria"/>
                        <w:szCs w:val="21"/>
                      </w:rPr>
                    </w:pPr>
                    <w:r>
                      <w:t>芜湖市</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1182DB4" w14:textId="77777777" w:rsidR="00D21C1F" w:rsidRDefault="00A42880">
                    <w:pPr>
                      <w:rPr>
                        <w:rFonts w:cs="Cambria"/>
                        <w:szCs w:val="21"/>
                      </w:rPr>
                    </w:pPr>
                    <w:r>
                      <w:t>投资</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79E3B4A"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13,000.00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0C556B1D"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16.0987</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43FAFA4C"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36.4799</w:t>
                    </w:r>
                  </w:p>
                </w:tc>
              </w:tr>
            </w:sdtContent>
          </w:sdt>
        </w:tbl>
        <w:p w14:paraId="3BB1AAED" w14:textId="77777777" w:rsidR="00D21C1F" w:rsidRDefault="00A42880">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335622116"/>
            <w:lock w:val="sdtLocked"/>
            <w:placeholder>
              <w:docPart w:val="GBC22222222222222222222222222222"/>
            </w:placeholder>
          </w:sdtPr>
          <w:sdtEndPr/>
          <w:sdtContent>
            <w:p w14:paraId="29F71406" w14:textId="77777777" w:rsidR="00D21C1F" w:rsidRDefault="00A42880">
              <w:pPr>
                <w:tabs>
                  <w:tab w:val="left" w:pos="1134"/>
                </w:tabs>
                <w:spacing w:line="360" w:lineRule="auto"/>
                <w:ind w:firstLineChars="200" w:firstLine="420"/>
                <w:jc w:val="both"/>
                <w:rPr>
                  <w:rFonts w:cs="Cambria"/>
                  <w:szCs w:val="21"/>
                </w:rPr>
              </w:pPr>
              <w:r>
                <w:rPr>
                  <w:rFonts w:ascii="Times New Roman" w:hAnsi="Times New Roman"/>
                  <w:szCs w:val="21"/>
                </w:rPr>
                <w:t>2017</w:t>
              </w:r>
              <w:r>
                <w:rPr>
                  <w:szCs w:val="21"/>
                </w:rPr>
                <w:t>年</w:t>
              </w:r>
              <w:r>
                <w:rPr>
                  <w:rFonts w:ascii="Times New Roman" w:hAnsi="Times New Roman"/>
                  <w:szCs w:val="21"/>
                </w:rPr>
                <w:t>9</w:t>
              </w:r>
              <w:r>
                <w:rPr>
                  <w:szCs w:val="21"/>
                </w:rPr>
                <w:t>月</w:t>
              </w:r>
              <w:r>
                <w:rPr>
                  <w:rFonts w:ascii="Times New Roman" w:hAnsi="Times New Roman"/>
                  <w:szCs w:val="21"/>
                </w:rPr>
                <w:t>20</w:t>
              </w:r>
              <w:r>
                <w:rPr>
                  <w:szCs w:val="21"/>
                </w:rPr>
                <w:t>日，芜湖远宏工业机器人投资有限公司与其控股股东芜湖远大创业投资有限公司、芜湖睿博投资管理中心（有限合伙）签署一致行动人协议，各方保证在参加埃夫特股东大会行使表决权时按照远宏机器人的意见行使表决权。芜湖远大创业投资有限公司的控股股东为芜湖市建设投资有限公司，芜湖市建设投资有限公司受芜湖市国有资产监督管理委员会控制，故本公司实际控制人为芜湖市国有资产监督管理委员会</w:t>
              </w:r>
              <w:r>
                <w:rPr>
                  <w:rFonts w:hint="eastAsia"/>
                  <w:szCs w:val="21"/>
                </w:rPr>
                <w:t>。</w:t>
              </w:r>
            </w:p>
          </w:sdtContent>
        </w:sdt>
        <w:p w14:paraId="06C8006D" w14:textId="77777777" w:rsidR="00D21C1F" w:rsidRDefault="00A42880">
          <w:pPr>
            <w:spacing w:line="360" w:lineRule="auto"/>
            <w:jc w:val="both"/>
            <w:rPr>
              <w:szCs w:val="21"/>
            </w:rPr>
          </w:pPr>
          <w:r>
            <w:rPr>
              <w:rFonts w:hint="eastAsia"/>
              <w:szCs w:val="21"/>
            </w:rPr>
            <w:t>本企业最终控制方是</w:t>
          </w:r>
          <w:sdt>
            <w:sdtPr>
              <w:rPr>
                <w:rFonts w:hint="eastAsia"/>
                <w:szCs w:val="21"/>
              </w:rPr>
              <w:alias w:val="本企业最终控制方"/>
              <w:tag w:val="_GBC_951a676520994ab7a3822c5f58c20b7d"/>
              <w:id w:val="1017891072"/>
              <w:lock w:val="sdtLocked"/>
              <w:placeholder>
                <w:docPart w:val="GBC22222222222222222222222222222"/>
              </w:placeholder>
            </w:sdtPr>
            <w:sdtEndPr/>
            <w:sdtContent>
              <w:r>
                <w:rPr>
                  <w:szCs w:val="21"/>
                </w:rPr>
                <w:t>芜湖市国有资产监督管理委员会</w:t>
              </w:r>
              <w:r>
                <w:rPr>
                  <w:rFonts w:hint="eastAsia"/>
                  <w:szCs w:val="21"/>
                </w:rPr>
                <w:t>。</w:t>
              </w:r>
            </w:sdtContent>
          </w:sdt>
        </w:p>
        <w:p w14:paraId="41C50BB2" w14:textId="77777777" w:rsidR="00D21C1F" w:rsidRDefault="00A42880">
          <w:pPr>
            <w:rPr>
              <w:szCs w:val="21"/>
            </w:rPr>
          </w:pPr>
          <w:r>
            <w:rPr>
              <w:rFonts w:hint="eastAsia"/>
              <w:szCs w:val="21"/>
            </w:rPr>
            <w:t>其他说明：</w:t>
          </w:r>
        </w:p>
        <w:sdt>
          <w:sdtPr>
            <w:rPr>
              <w:szCs w:val="21"/>
            </w:rPr>
            <w:alias w:val="本企业的母公司情况的其他说明"/>
            <w:tag w:val="_GBC_72b4ca7a02944263a74be4174baff4cf"/>
            <w:id w:val="1653863437"/>
            <w:lock w:val="sdtLocked"/>
            <w:placeholder>
              <w:docPart w:val="GBC22222222222222222222222222222"/>
            </w:placeholder>
          </w:sdtPr>
          <w:sdtEndPr/>
          <w:sdtContent>
            <w:p w14:paraId="3F5E8B0C" w14:textId="77777777" w:rsidR="00D21C1F" w:rsidRDefault="00A42880">
              <w:pPr>
                <w:rPr>
                  <w:szCs w:val="21"/>
                </w:rPr>
              </w:pPr>
              <w:r>
                <w:rPr>
                  <w:rFonts w:hint="eastAsia"/>
                  <w:szCs w:val="21"/>
                </w:rPr>
                <w:t>无</w:t>
              </w:r>
            </w:p>
          </w:sdtContent>
        </w:sdt>
        <w:p w14:paraId="29092DF7" w14:textId="77777777" w:rsidR="00D21C1F" w:rsidRDefault="00045EC6">
          <w:pPr>
            <w:rPr>
              <w:szCs w:val="21"/>
            </w:rPr>
          </w:pPr>
        </w:p>
      </w:sdtContent>
    </w:sdt>
    <w:sdt>
      <w:sdtPr>
        <w:rPr>
          <w:rFonts w:ascii="宋体" w:eastAsia="宋体" w:hAnsi="宋体" w:cs="Arial" w:hint="eastAsia"/>
          <w:b w:val="0"/>
          <w:bCs w:val="0"/>
          <w:kern w:val="0"/>
          <w:szCs w:val="21"/>
        </w:rPr>
        <w:alias w:val="模块:本企业的子公司情况"/>
        <w:tag w:val="_GBC_244a434a920446c1838410fee0ac8ba8"/>
        <w:id w:val="-798455593"/>
        <w:lock w:val="sdtLocked"/>
        <w:placeholder>
          <w:docPart w:val="GBC22222222222222222222222222222"/>
        </w:placeholder>
      </w:sdtPr>
      <w:sdtEndPr>
        <w:rPr>
          <w:rFonts w:cs="Cambria"/>
        </w:rPr>
      </w:sdtEndPr>
      <w:sdtContent>
        <w:p w14:paraId="60353811" w14:textId="77777777" w:rsidR="00D21C1F" w:rsidRDefault="00A42880">
          <w:pPr>
            <w:pStyle w:val="94"/>
            <w:numPr>
              <w:ilvl w:val="0"/>
              <w:numId w:val="137"/>
            </w:numPr>
            <w:rPr>
              <w:rFonts w:ascii="宋体" w:hAnsi="宋体" w:cs="Arial"/>
              <w:szCs w:val="21"/>
            </w:rPr>
          </w:pPr>
          <w:r>
            <w:rPr>
              <w:rFonts w:ascii="宋体" w:hAnsi="宋体" w:cs="Arial" w:hint="eastAsia"/>
              <w:szCs w:val="21"/>
            </w:rPr>
            <w:t>本企业的子公司情况</w:t>
          </w:r>
        </w:p>
        <w:p w14:paraId="74B4CE1F" w14:textId="77777777" w:rsidR="00D21C1F" w:rsidRDefault="00A42880">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1970500773"/>
            <w:lock w:val="sdtLocked"/>
            <w:placeholder>
              <w:docPart w:val="GBC22222222222222222222222222222"/>
            </w:placeholder>
          </w:sdtPr>
          <w:sdtEndPr/>
          <w:sdtContent>
            <w:p w14:paraId="57547552"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974974048"/>
            <w:lock w:val="sdtLocked"/>
            <w:placeholder>
              <w:docPart w:val="GBC22222222222222222222222222222"/>
            </w:placeholder>
          </w:sdtPr>
          <w:sdtEndPr/>
          <w:sdtContent>
            <w:p w14:paraId="5E25A095" w14:textId="77777777" w:rsidR="00D21C1F" w:rsidRDefault="00A42880">
              <w:pPr>
                <w:rPr>
                  <w:szCs w:val="21"/>
                </w:rPr>
              </w:pPr>
              <w:r>
                <w:rPr>
                  <w:rFonts w:hint="eastAsia"/>
                  <w:szCs w:val="21"/>
                </w:rPr>
                <w:t>详见附注九、在其他主体中的权益</w:t>
              </w:r>
            </w:p>
          </w:sdtContent>
        </w:sdt>
        <w:p w14:paraId="648E4D24" w14:textId="77777777" w:rsidR="00D21C1F" w:rsidRDefault="00045EC6">
          <w:pPr>
            <w:tabs>
              <w:tab w:val="left" w:pos="1134"/>
            </w:tabs>
            <w:rPr>
              <w:rFonts w:cs="Cambria"/>
              <w:szCs w:val="21"/>
            </w:rPr>
          </w:pPr>
        </w:p>
      </w:sdtContent>
    </w:sdt>
    <w:sdt>
      <w:sdtPr>
        <w:rPr>
          <w:rFonts w:ascii="宋体" w:eastAsia="宋体" w:hAnsi="宋体" w:cs="宋体" w:hint="eastAsia"/>
          <w:b w:val="0"/>
          <w:bCs w:val="0"/>
          <w:kern w:val="0"/>
          <w:szCs w:val="24"/>
        </w:rPr>
        <w:alias w:val="模块:存在关联方交易或余额的合营和联营企业情况"/>
        <w:tag w:val="_GBC_a5638b7fd6a848a19564209060b6909a"/>
        <w:id w:val="-676733648"/>
        <w:lock w:val="sdtLocked"/>
        <w:placeholder>
          <w:docPart w:val="GBC22222222222222222222222222222"/>
        </w:placeholder>
      </w:sdtPr>
      <w:sdtEndPr>
        <w:rPr>
          <w:rFonts w:cs="Cambria"/>
          <w:szCs w:val="21"/>
        </w:rPr>
      </w:sdtEndPr>
      <w:sdtContent>
        <w:p w14:paraId="42325630" w14:textId="77777777" w:rsidR="00D21C1F" w:rsidRDefault="00A42880">
          <w:pPr>
            <w:pStyle w:val="94"/>
            <w:numPr>
              <w:ilvl w:val="0"/>
              <w:numId w:val="137"/>
            </w:numPr>
            <w:rPr>
              <w:rFonts w:ascii="宋体" w:hAnsi="宋体"/>
            </w:rPr>
          </w:pPr>
          <w:r>
            <w:rPr>
              <w:rFonts w:ascii="宋体" w:hAnsi="宋体" w:hint="eastAsia"/>
            </w:rPr>
            <w:t>本企业合营和联营企业情况</w:t>
          </w:r>
        </w:p>
        <w:p w14:paraId="20214FCC" w14:textId="77777777" w:rsidR="00D21C1F" w:rsidRDefault="00A42880">
          <w:pPr>
            <w:pStyle w:val="97"/>
          </w:pPr>
          <w:r>
            <w:rPr>
              <w:rFonts w:hint="eastAsia"/>
            </w:rPr>
            <w:t>本企业重要的合营或联营企业详见附注</w:t>
          </w:r>
        </w:p>
        <w:sdt>
          <w:sdtPr>
            <w:alias w:val="是否适用：本企业重要的合营或联营企业详见附注[双击切换]"/>
            <w:tag w:val="_GBC_2a369d3377e94598b2a744dfe59973e2"/>
            <w:id w:val="-232932511"/>
            <w:lock w:val="sdtLocked"/>
            <w:placeholder>
              <w:docPart w:val="GBC22222222222222222222222222222"/>
            </w:placeholder>
          </w:sdtPr>
          <w:sdtEndPr/>
          <w:sdtContent>
            <w:p w14:paraId="38FF0F3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589851443"/>
            <w:lock w:val="sdtLocked"/>
            <w:placeholder>
              <w:docPart w:val="GBC22222222222222222222222222222"/>
            </w:placeholder>
          </w:sdtPr>
          <w:sdtEndPr/>
          <w:sdtContent>
            <w:p w14:paraId="2BF77D1C" w14:textId="77777777" w:rsidR="00D21C1F" w:rsidRDefault="00A42880">
              <w:pPr>
                <w:pStyle w:val="97"/>
              </w:pPr>
              <w:r>
                <w:rPr>
                  <w:rFonts w:hint="eastAsia"/>
                </w:rPr>
                <w:t>详见附注九、在其他主体中的权益</w:t>
              </w:r>
            </w:p>
          </w:sdtContent>
        </w:sdt>
        <w:p w14:paraId="508763A0" w14:textId="77777777" w:rsidR="00D21C1F" w:rsidRDefault="00D21C1F">
          <w:pPr>
            <w:pStyle w:val="97"/>
          </w:pPr>
        </w:p>
        <w:p w14:paraId="7505E3C3" w14:textId="77777777" w:rsidR="00D21C1F" w:rsidRDefault="00A42880">
          <w:pPr>
            <w:pStyle w:val="97"/>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435834062"/>
            <w:lock w:val="sdtLocked"/>
            <w:placeholder>
              <w:docPart w:val="GBC22222222222222222222222222222"/>
            </w:placeholder>
          </w:sdtPr>
          <w:sdtEndPr/>
          <w:sdtContent>
            <w:p w14:paraId="7DFFAC98" w14:textId="77777777" w:rsidR="00D21C1F" w:rsidRDefault="00A42880">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48D2DB1" w14:textId="77777777" w:rsidR="00D21C1F" w:rsidRDefault="00045EC6">
          <w:pPr>
            <w:tabs>
              <w:tab w:val="left" w:pos="1134"/>
            </w:tabs>
            <w:rPr>
              <w:rFonts w:cs="Cambria"/>
              <w:szCs w:val="21"/>
            </w:rPr>
          </w:pPr>
        </w:p>
      </w:sdtContent>
    </w:sdt>
    <w:sdt>
      <w:sdtPr>
        <w:rPr>
          <w:rFonts w:ascii="宋体" w:eastAsia="宋体" w:hAnsi="宋体" w:cs="宋体" w:hint="eastAsia"/>
          <w:b w:val="0"/>
          <w:bCs w:val="0"/>
          <w:kern w:val="0"/>
          <w:szCs w:val="24"/>
        </w:rPr>
        <w:alias w:val="模块:其他关联方情况"/>
        <w:tag w:val="_GBC_047a0ce3dc594d779db6d4cbc1623727"/>
        <w:id w:val="425238151"/>
        <w:lock w:val="sdtLocked"/>
        <w:placeholder>
          <w:docPart w:val="GBC22222222222222222222222222222"/>
        </w:placeholder>
      </w:sdtPr>
      <w:sdtEndPr>
        <w:rPr>
          <w:rFonts w:cs="Cambria"/>
          <w:szCs w:val="21"/>
        </w:rPr>
      </w:sdtEndPr>
      <w:sdtContent>
        <w:p w14:paraId="471EBD7C" w14:textId="77777777" w:rsidR="00D21C1F" w:rsidRDefault="00A42880">
          <w:pPr>
            <w:pStyle w:val="94"/>
            <w:numPr>
              <w:ilvl w:val="0"/>
              <w:numId w:val="137"/>
            </w:numPr>
            <w:rPr>
              <w:rFonts w:ascii="宋体" w:hAnsi="宋体"/>
            </w:rPr>
          </w:pPr>
          <w:r>
            <w:rPr>
              <w:rFonts w:ascii="宋体" w:hAnsi="宋体" w:hint="eastAsia"/>
            </w:rPr>
            <w:t>其他关联方情况</w:t>
          </w:r>
        </w:p>
        <w:sdt>
          <w:sdtPr>
            <w:alias w:val="是否适用：其他关联方情况[双击切换]"/>
            <w:tag w:val="_GBC_f9c029ef57734babb6375a74af1e3736"/>
            <w:id w:val="-422488605"/>
            <w:lock w:val="sdtLocked"/>
            <w:placeholder>
              <w:docPart w:val="GBC22222222222222222222222222222"/>
            </w:placeholder>
          </w:sdtPr>
          <w:sdtEndPr/>
          <w:sdtContent>
            <w:p w14:paraId="0158244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9"/>
            <w:gridCol w:w="4104"/>
          </w:tblGrid>
          <w:tr w:rsidR="00D21C1F" w14:paraId="23D7C7FE" w14:textId="77777777">
            <w:trPr>
              <w:trHeight w:val="267"/>
            </w:trPr>
            <w:sdt>
              <w:sdtPr>
                <w:tag w:val="_PLD_8fe00abbc9b249a98b2e3ac6b12f12db"/>
                <w:id w:val="-1177037752"/>
                <w:lock w:val="sdtLocked"/>
              </w:sdtPr>
              <w:sdtEndPr/>
              <w:sdtContent>
                <w:tc>
                  <w:tcPr>
                    <w:tcW w:w="2674" w:type="pct"/>
                    <w:tcBorders>
                      <w:top w:val="single" w:sz="4" w:space="0" w:color="auto"/>
                      <w:left w:val="single" w:sz="4" w:space="0" w:color="auto"/>
                      <w:bottom w:val="single" w:sz="4" w:space="0" w:color="auto"/>
                      <w:right w:val="single" w:sz="4" w:space="0" w:color="auto"/>
                    </w:tcBorders>
                    <w:shd w:val="clear" w:color="auto" w:fill="auto"/>
                  </w:tcPr>
                  <w:p w14:paraId="2D737BCD" w14:textId="77777777" w:rsidR="00D21C1F" w:rsidRDefault="00A42880">
                    <w:pPr>
                      <w:jc w:val="center"/>
                      <w:rPr>
                        <w:rFonts w:cs="Cambria"/>
                        <w:szCs w:val="21"/>
                      </w:rPr>
                    </w:pPr>
                    <w:r>
                      <w:rPr>
                        <w:rFonts w:cs="Cambria" w:hint="eastAsia"/>
                        <w:szCs w:val="21"/>
                      </w:rPr>
                      <w:t>其他关联方名称</w:t>
                    </w:r>
                  </w:p>
                </w:tc>
              </w:sdtContent>
            </w:sdt>
            <w:sdt>
              <w:sdtPr>
                <w:tag w:val="_PLD_c1304840da1e482f80286e0c7ca19002"/>
                <w:id w:val="1182388796"/>
                <w:lock w:val="sdtLocked"/>
              </w:sdtPr>
              <w:sdtEndPr/>
              <w:sdtContent>
                <w:tc>
                  <w:tcPr>
                    <w:tcW w:w="2326" w:type="pct"/>
                    <w:tcBorders>
                      <w:top w:val="single" w:sz="4" w:space="0" w:color="auto"/>
                      <w:left w:val="single" w:sz="4" w:space="0" w:color="auto"/>
                      <w:bottom w:val="single" w:sz="4" w:space="0" w:color="auto"/>
                      <w:right w:val="single" w:sz="4" w:space="0" w:color="auto"/>
                    </w:tcBorders>
                    <w:shd w:val="clear" w:color="auto" w:fill="auto"/>
                  </w:tcPr>
                  <w:p w14:paraId="42612511" w14:textId="77777777" w:rsidR="00D21C1F" w:rsidRDefault="00A42880">
                    <w:pPr>
                      <w:jc w:val="center"/>
                      <w:rPr>
                        <w:rFonts w:cs="Cambria"/>
                        <w:szCs w:val="21"/>
                      </w:rPr>
                    </w:pPr>
                    <w:r>
                      <w:rPr>
                        <w:rFonts w:cs="Cambria" w:hint="eastAsia"/>
                        <w:szCs w:val="21"/>
                      </w:rPr>
                      <w:t>其他关联方与本企业关系</w:t>
                    </w:r>
                  </w:p>
                </w:tc>
              </w:sdtContent>
            </w:sdt>
          </w:tr>
          <w:sdt>
            <w:sdtPr>
              <w:rPr>
                <w:rFonts w:ascii="Times New Roman" w:hAnsi="Times New Roman" w:cs="Times New Roman"/>
                <w:sz w:val="22"/>
                <w:szCs w:val="21"/>
              </w:rPr>
              <w:alias w:val="本企业的其他关联方情况明细"/>
              <w:tag w:val="_GBC_2ec4adf7a1ce48faaeba9536b2bf6d81"/>
              <w:id w:val="150107807"/>
            </w:sdtPr>
            <w:sdtEndPr/>
            <w:sdtContent>
              <w:tr w:rsidR="00D21C1F" w14:paraId="0AB09DC7"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0E3AEFBC"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奇瑞控股集团有限公司及其下属企业</w:t>
                    </w:r>
                  </w:p>
                </w:tc>
                <w:sdt>
                  <w:sdtPr>
                    <w:rPr>
                      <w:rFonts w:ascii="Times New Roman" w:eastAsia="Times New Roman" w:hAnsi="Times New Roman" w:cs="Times New Roman" w:hint="eastAsia"/>
                      <w:color w:val="000000"/>
                    </w:rPr>
                    <w:alias w:val="本企业的其他关联方情况明细－其他关联方与本公司关系"/>
                    <w:tag w:val="_GBC_2205fb8ea5f648b5a0c9e8e3f8499f9f"/>
                    <w:id w:val="-2372576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060BB879" w14:textId="1108A2AE" w:rsidR="00D21C1F" w:rsidRPr="00D605CB" w:rsidRDefault="00A42880">
                        <w:pPr>
                          <w:rPr>
                            <w:rFonts w:ascii="Times New Roman" w:hAnsi="Times New Roman" w:cs="Times New Roman"/>
                            <w:szCs w:val="21"/>
                          </w:rPr>
                        </w:pPr>
                        <w:r w:rsidRPr="00D605CB">
                          <w:rPr>
                            <w:rFonts w:ascii="Times New Roman" w:hAnsi="Times New Roman" w:cs="Times New Roman" w:hint="eastAsia"/>
                            <w:color w:val="000000"/>
                            <w:sz w:val="22"/>
                            <w:szCs w:val="22"/>
                          </w:rPr>
                          <w:t>公司董事夏峰担任</w:t>
                        </w:r>
                        <w:r w:rsidR="00A251E0">
                          <w:rPr>
                            <w:rFonts w:ascii="Times New Roman" w:hAnsi="Times New Roman" w:cs="Times New Roman" w:hint="eastAsia"/>
                            <w:color w:val="000000"/>
                            <w:sz w:val="22"/>
                            <w:szCs w:val="22"/>
                          </w:rPr>
                          <w:t>该公司</w:t>
                        </w:r>
                        <w:r w:rsidRPr="00D605CB">
                          <w:rPr>
                            <w:rFonts w:ascii="Times New Roman" w:hAnsi="Times New Roman" w:cs="Times New Roman" w:hint="eastAsia"/>
                            <w:color w:val="000000"/>
                            <w:sz w:val="22"/>
                            <w:szCs w:val="22"/>
                          </w:rPr>
                          <w:t>董事</w:t>
                        </w:r>
                      </w:p>
                    </w:tc>
                  </w:sdtContent>
                </w:sdt>
              </w:tr>
            </w:sdtContent>
          </w:sdt>
          <w:sdt>
            <w:sdtPr>
              <w:rPr>
                <w:rFonts w:ascii="Times New Roman" w:hAnsi="Times New Roman" w:cs="Times New Roman"/>
                <w:sz w:val="22"/>
                <w:szCs w:val="21"/>
              </w:rPr>
              <w:alias w:val="本企业的其他关联方情况明细"/>
              <w:tag w:val="_GBC_2ec4adf7a1ce48faaeba9536b2bf6d81"/>
              <w:id w:val="858703486"/>
            </w:sdtPr>
            <w:sdtEndPr/>
            <w:sdtContent>
              <w:tr w:rsidR="00D21C1F" w14:paraId="084EDC65"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34A18807"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芜湖华衍水务有限公司</w:t>
                    </w:r>
                  </w:p>
                </w:tc>
                <w:sdt>
                  <w:sdtPr>
                    <w:rPr>
                      <w:rFonts w:ascii="Times New Roman" w:hAnsi="Times New Roman" w:cs="Times New Roman" w:hint="eastAsia"/>
                      <w:szCs w:val="21"/>
                    </w:rPr>
                    <w:alias w:val="本企业的其他关联方情况明细－其他关联方与本公司关系"/>
                    <w:tag w:val="_GBC_2205fb8ea5f648b5a0c9e8e3f8499f9f"/>
                    <w:id w:val="50979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33EC38E1" w14:textId="1355B30C" w:rsidR="00D21C1F" w:rsidRPr="00D605CB" w:rsidRDefault="00A42880">
                        <w:pPr>
                          <w:rPr>
                            <w:rFonts w:ascii="Times New Roman" w:hAnsi="Times New Roman" w:cs="Times New Roman"/>
                            <w:szCs w:val="21"/>
                          </w:rPr>
                        </w:pPr>
                        <w:r w:rsidRPr="00D605CB">
                          <w:rPr>
                            <w:rFonts w:ascii="Times New Roman" w:hAnsi="Times New Roman" w:cs="Times New Roman" w:hint="eastAsia"/>
                            <w:szCs w:val="21"/>
                          </w:rPr>
                          <w:t>公司董事邢晖担任</w:t>
                        </w:r>
                        <w:r w:rsidR="00A251E0">
                          <w:rPr>
                            <w:rFonts w:ascii="Times New Roman" w:hAnsi="Times New Roman" w:cs="Times New Roman" w:hint="eastAsia"/>
                            <w:szCs w:val="21"/>
                          </w:rPr>
                          <w:t>该公司</w:t>
                        </w:r>
                        <w:r w:rsidRPr="00D605CB">
                          <w:rPr>
                            <w:rFonts w:ascii="Times New Roman" w:hAnsi="Times New Roman" w:cs="Times New Roman" w:hint="eastAsia"/>
                            <w:szCs w:val="21"/>
                          </w:rPr>
                          <w:t>董事</w:t>
                        </w:r>
                      </w:p>
                    </w:tc>
                  </w:sdtContent>
                </w:sdt>
              </w:tr>
            </w:sdtContent>
          </w:sdt>
          <w:sdt>
            <w:sdtPr>
              <w:rPr>
                <w:rFonts w:ascii="Times New Roman" w:hAnsi="Times New Roman" w:cs="Times New Roman"/>
                <w:sz w:val="22"/>
                <w:szCs w:val="21"/>
              </w:rPr>
              <w:alias w:val="本企业的其他关联方情况明细"/>
              <w:tag w:val="_GBC_2ec4adf7a1ce48faaeba9536b2bf6d81"/>
              <w:id w:val="265349421"/>
            </w:sdtPr>
            <w:sdtEndPr/>
            <w:sdtContent>
              <w:tr w:rsidR="00D21C1F" w14:paraId="56B847CE"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5469BB33"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安徽聚隆传动科技股份有限公司及其下属企业</w:t>
                    </w:r>
                  </w:p>
                </w:tc>
                <w:sdt>
                  <w:sdtPr>
                    <w:rPr>
                      <w:rFonts w:ascii="Times New Roman" w:hAnsi="Times New Roman" w:cs="Times New Roman" w:hint="eastAsia"/>
                      <w:szCs w:val="21"/>
                    </w:rPr>
                    <w:alias w:val="本企业的其他关联方情况明细－其他关联方与本公司关系"/>
                    <w:tag w:val="_GBC_2205fb8ea5f648b5a0c9e8e3f8499f9f"/>
                    <w:id w:val="8207831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773F6951" w14:textId="59C291EC" w:rsidR="00D21C1F" w:rsidRPr="00D605CB" w:rsidRDefault="00A42880">
                        <w:pPr>
                          <w:rPr>
                            <w:rFonts w:ascii="Times New Roman" w:hAnsi="Times New Roman" w:cs="Times New Roman"/>
                            <w:szCs w:val="21"/>
                          </w:rPr>
                        </w:pPr>
                        <w:r w:rsidRPr="00D605CB">
                          <w:rPr>
                            <w:rFonts w:ascii="Times New Roman" w:hAnsi="Times New Roman" w:cs="Times New Roman" w:hint="eastAsia"/>
                            <w:szCs w:val="21"/>
                          </w:rPr>
                          <w:t>公司董事徐伟担任</w:t>
                        </w:r>
                        <w:r w:rsidR="00A251E0">
                          <w:rPr>
                            <w:rFonts w:ascii="Times New Roman" w:hAnsi="Times New Roman" w:cs="Times New Roman" w:hint="eastAsia"/>
                            <w:szCs w:val="21"/>
                          </w:rPr>
                          <w:t>该公司</w:t>
                        </w:r>
                        <w:r w:rsidRPr="00D605CB">
                          <w:rPr>
                            <w:rFonts w:ascii="Times New Roman" w:hAnsi="Times New Roman" w:cs="Times New Roman" w:hint="eastAsia"/>
                            <w:szCs w:val="21"/>
                          </w:rPr>
                          <w:t>总经理</w:t>
                        </w:r>
                      </w:p>
                    </w:tc>
                  </w:sdtContent>
                </w:sdt>
              </w:tr>
            </w:sdtContent>
          </w:sdt>
          <w:sdt>
            <w:sdtPr>
              <w:rPr>
                <w:rFonts w:ascii="Times New Roman" w:hAnsi="Times New Roman" w:cs="Times New Roman"/>
                <w:sz w:val="22"/>
                <w:szCs w:val="21"/>
              </w:rPr>
              <w:alias w:val="本企业的其他关联方情况明细"/>
              <w:tag w:val="_GBC_2ec4adf7a1ce48faaeba9536b2bf6d81"/>
              <w:id w:val="-1087613944"/>
            </w:sdtPr>
            <w:sdtEndPr/>
            <w:sdtContent>
              <w:tr w:rsidR="00D21C1F" w14:paraId="44EFFCAA"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76A77B94" w14:textId="77777777" w:rsidR="00D21C1F" w:rsidRPr="00D605CB" w:rsidRDefault="00A42880">
                    <w:pPr>
                      <w:rPr>
                        <w:rFonts w:ascii="Times New Roman" w:hAnsi="Times New Roman" w:cs="Times New Roman"/>
                        <w:szCs w:val="21"/>
                      </w:rPr>
                    </w:pPr>
                    <w:r w:rsidRPr="00D605CB">
                      <w:rPr>
                        <w:rFonts w:ascii="Times New Roman" w:hAnsi="Times New Roman" w:cs="Times New Roman"/>
                        <w:sz w:val="22"/>
                        <w:szCs w:val="21"/>
                      </w:rPr>
                      <w:t>美的集团股份有限公司及其下属企业</w:t>
                    </w:r>
                  </w:p>
                </w:tc>
                <w:sdt>
                  <w:sdtPr>
                    <w:rPr>
                      <w:rFonts w:ascii="Times New Roman" w:hAnsi="Times New Roman" w:cs="Times New Roman"/>
                      <w:szCs w:val="21"/>
                    </w:rPr>
                    <w:alias w:val="本企业的其他关联方情况明细－其他关联方与本公司关系"/>
                    <w:tag w:val="_GBC_2205fb8ea5f648b5a0c9e8e3f8499f9f"/>
                    <w:id w:val="-7984543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123CE37D" w14:textId="77777777" w:rsidR="00D21C1F" w:rsidRPr="00D605CB" w:rsidRDefault="00A42880">
                        <w:pPr>
                          <w:rPr>
                            <w:rFonts w:ascii="Times New Roman" w:hAnsi="Times New Roman" w:cs="Times New Roman"/>
                            <w:szCs w:val="21"/>
                          </w:rPr>
                        </w:pPr>
                        <w:r w:rsidRPr="00D605CB">
                          <w:rPr>
                            <w:rFonts w:ascii="Times New Roman" w:hAnsi="Times New Roman" w:cs="Times New Roman"/>
                            <w:szCs w:val="21"/>
                          </w:rPr>
                          <w:t>公司持股</w:t>
                        </w:r>
                        <w:r w:rsidRPr="00D605CB">
                          <w:rPr>
                            <w:rFonts w:ascii="Times New Roman" w:hAnsi="Times New Roman" w:cs="Times New Roman"/>
                            <w:szCs w:val="21"/>
                          </w:rPr>
                          <w:t>5%</w:t>
                        </w:r>
                        <w:r w:rsidRPr="00D605CB">
                          <w:rPr>
                            <w:rFonts w:ascii="Times New Roman" w:hAnsi="Times New Roman" w:cs="Times New Roman"/>
                            <w:szCs w:val="21"/>
                          </w:rPr>
                          <w:t>以上股东</w:t>
                        </w:r>
                      </w:p>
                    </w:tc>
                  </w:sdtContent>
                </w:sdt>
              </w:tr>
            </w:sdtContent>
          </w:sdt>
          <w:sdt>
            <w:sdtPr>
              <w:rPr>
                <w:rFonts w:ascii="Times New Roman" w:hAnsi="Times New Roman" w:cs="Times New Roman"/>
                <w:sz w:val="22"/>
                <w:szCs w:val="21"/>
              </w:rPr>
              <w:alias w:val="本企业的其他关联方情况明细"/>
              <w:tag w:val="_GBC_2ec4adf7a1ce48faaeba9536b2bf6d81"/>
              <w:id w:val="-156313802"/>
              <w:placeholder>
                <w:docPart w:val="DefaultPlaceholder_-1854013440"/>
              </w:placeholder>
            </w:sdtPr>
            <w:sdtEndPr>
              <w:rPr>
                <w:sz w:val="21"/>
              </w:rPr>
            </w:sdtEndPr>
            <w:sdtContent>
              <w:tr w:rsidR="00A251E0" w14:paraId="543AC803"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7FE43639" w14:textId="644AF869" w:rsidR="00A251E0" w:rsidRDefault="00A251E0">
                    <w:pPr>
                      <w:rPr>
                        <w:rFonts w:ascii="Times New Roman" w:hAnsi="Times New Roman" w:cs="Times New Roman"/>
                        <w:sz w:val="22"/>
                        <w:szCs w:val="21"/>
                      </w:rPr>
                    </w:pPr>
                    <w:r w:rsidRPr="00A251E0">
                      <w:rPr>
                        <w:rFonts w:ascii="Times New Roman" w:hAnsi="Times New Roman" w:cs="Times New Roman" w:hint="eastAsia"/>
                        <w:sz w:val="22"/>
                        <w:szCs w:val="21"/>
                      </w:rPr>
                      <w:t>芜湖奥一精机有限公司</w:t>
                    </w:r>
                  </w:p>
                </w:tc>
                <w:sdt>
                  <w:sdtPr>
                    <w:rPr>
                      <w:rFonts w:ascii="Times New Roman" w:hAnsi="Times New Roman" w:cs="Times New Roman"/>
                      <w:szCs w:val="21"/>
                    </w:rPr>
                    <w:alias w:val="本企业的其他关联方情况明细－其他关联方与本公司关系"/>
                    <w:tag w:val="_GBC_2205fb8ea5f648b5a0c9e8e3f8499f9f"/>
                    <w:id w:val="-533809772"/>
                    <w:lock w:val="sdtLocked"/>
                    <w:placeholder>
                      <w:docPart w:val="3EE5F8C51AE94506A6CE3E5B833AC73C"/>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710126CF" w14:textId="1864FE47" w:rsidR="00A251E0" w:rsidRDefault="00A251E0">
                        <w:pPr>
                          <w:rPr>
                            <w:rFonts w:ascii="Times New Roman" w:hAnsi="Times New Roman" w:cs="Times New Roman"/>
                            <w:szCs w:val="21"/>
                          </w:rPr>
                        </w:pPr>
                        <w:r w:rsidRPr="00A251E0">
                          <w:rPr>
                            <w:rFonts w:ascii="Times New Roman" w:hAnsi="Times New Roman" w:cs="Times New Roman" w:hint="eastAsia"/>
                            <w:szCs w:val="21"/>
                          </w:rPr>
                          <w:t>公司董事长许礼进担任</w:t>
                        </w:r>
                        <w:r>
                          <w:rPr>
                            <w:rFonts w:ascii="Times New Roman" w:hAnsi="Times New Roman" w:cs="Times New Roman" w:hint="eastAsia"/>
                            <w:szCs w:val="21"/>
                          </w:rPr>
                          <w:t>该公司</w:t>
                        </w:r>
                        <w:r w:rsidRPr="00A251E0">
                          <w:rPr>
                            <w:rFonts w:ascii="Times New Roman" w:hAnsi="Times New Roman" w:cs="Times New Roman" w:hint="eastAsia"/>
                            <w:szCs w:val="21"/>
                          </w:rPr>
                          <w:t>董事</w:t>
                        </w:r>
                      </w:p>
                    </w:tc>
                  </w:sdtContent>
                </w:sdt>
              </w:tr>
            </w:sdtContent>
          </w:sdt>
          <w:tr w:rsidR="00874B50" w14:paraId="69EF8A20"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3EC5F995" w14:textId="4F83AA65" w:rsidR="00874B50" w:rsidRDefault="00874B50">
                <w:pPr>
                  <w:rPr>
                    <w:rFonts w:ascii="Times New Roman" w:hAnsi="Times New Roman" w:cs="Times New Roman"/>
                    <w:sz w:val="22"/>
                    <w:szCs w:val="21"/>
                  </w:rPr>
                </w:pPr>
                <w:r w:rsidRPr="00874B50">
                  <w:rPr>
                    <w:rFonts w:ascii="Times New Roman" w:hAnsi="Times New Roman" w:cs="Times New Roman" w:hint="eastAsia"/>
                    <w:sz w:val="22"/>
                    <w:szCs w:val="21"/>
                  </w:rPr>
                  <w:t>安徽工布智造工业科技有限公司</w:t>
                </w:r>
              </w:p>
            </w:tc>
            <w:tc>
              <w:tcPr>
                <w:tcW w:w="2326" w:type="pct"/>
                <w:tcBorders>
                  <w:top w:val="single" w:sz="4" w:space="0" w:color="auto"/>
                  <w:left w:val="single" w:sz="4" w:space="0" w:color="auto"/>
                  <w:bottom w:val="single" w:sz="4" w:space="0" w:color="auto"/>
                  <w:right w:val="single" w:sz="4" w:space="0" w:color="auto"/>
                </w:tcBorders>
              </w:tcPr>
              <w:p w14:paraId="4C04A9B6" w14:textId="266D3AB3" w:rsidR="00874B50" w:rsidRPr="00A251E0" w:rsidRDefault="00874B50">
                <w:pPr>
                  <w:rPr>
                    <w:rFonts w:ascii="Times New Roman" w:hAnsi="Times New Roman" w:cs="Times New Roman"/>
                    <w:szCs w:val="21"/>
                  </w:rPr>
                </w:pPr>
                <w:r w:rsidRPr="00874B50">
                  <w:rPr>
                    <w:rFonts w:ascii="Times New Roman" w:hAnsi="Times New Roman" w:cs="Times New Roman" w:hint="eastAsia"/>
                    <w:szCs w:val="21"/>
                  </w:rPr>
                  <w:t>公司高管张帷担任</w:t>
                </w:r>
                <w:r>
                  <w:rPr>
                    <w:rFonts w:ascii="Times New Roman" w:hAnsi="Times New Roman" w:cs="Times New Roman" w:hint="eastAsia"/>
                    <w:szCs w:val="21"/>
                  </w:rPr>
                  <w:t>该公司</w:t>
                </w:r>
                <w:r w:rsidRPr="00874B50">
                  <w:rPr>
                    <w:rFonts w:ascii="Times New Roman" w:hAnsi="Times New Roman" w:cs="Times New Roman" w:hint="eastAsia"/>
                    <w:szCs w:val="21"/>
                  </w:rPr>
                  <w:t>董事</w:t>
                </w:r>
              </w:p>
            </w:tc>
          </w:tr>
          <w:sdt>
            <w:sdtPr>
              <w:rPr>
                <w:rFonts w:ascii="Times New Roman" w:hAnsi="Times New Roman" w:cs="Times New Roman"/>
                <w:sz w:val="22"/>
                <w:szCs w:val="21"/>
              </w:rPr>
              <w:alias w:val="本企业的其他关联方情况明细"/>
              <w:tag w:val="_GBC_2ec4adf7a1ce48faaeba9536b2bf6d81"/>
              <w:id w:val="-602649342"/>
              <w:placeholder>
                <w:docPart w:val="DefaultPlaceholder_-1854013440"/>
              </w:placeholder>
            </w:sdtPr>
            <w:sdtEndPr>
              <w:rPr>
                <w:sz w:val="21"/>
              </w:rPr>
            </w:sdtEndPr>
            <w:sdtContent>
              <w:tr w:rsidR="00436ED5" w14:paraId="2DBF4BE1"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3BB15BA2" w14:textId="1DC981A1" w:rsidR="00436ED5" w:rsidRDefault="00436ED5">
                    <w:pPr>
                      <w:rPr>
                        <w:rFonts w:ascii="Times New Roman" w:hAnsi="Times New Roman" w:cs="Times New Roman"/>
                        <w:sz w:val="22"/>
                        <w:szCs w:val="21"/>
                      </w:rPr>
                    </w:pPr>
                    <w:r w:rsidRPr="00436ED5">
                      <w:rPr>
                        <w:rFonts w:ascii="Times New Roman" w:hAnsi="Times New Roman" w:cs="Times New Roman" w:hint="eastAsia"/>
                        <w:sz w:val="22"/>
                        <w:szCs w:val="21"/>
                      </w:rPr>
                      <w:t>江西汇有美智能涂装科技有限公司</w:t>
                    </w:r>
                  </w:p>
                </w:tc>
                <w:sdt>
                  <w:sdtPr>
                    <w:rPr>
                      <w:rFonts w:ascii="Times New Roman" w:hAnsi="Times New Roman" w:cs="Times New Roman"/>
                      <w:szCs w:val="21"/>
                    </w:rPr>
                    <w:alias w:val="本企业的其他关联方情况明细－其他关联方与本公司关系"/>
                    <w:tag w:val="_GBC_2205fb8ea5f648b5a0c9e8e3f8499f9f"/>
                    <w:id w:val="29387480"/>
                    <w:lock w:val="sdtLocked"/>
                    <w:placeholder>
                      <w:docPart w:val="3EE5F8C51AE94506A6CE3E5B833AC73C"/>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1E152F2B" w14:textId="608AD265" w:rsidR="00436ED5" w:rsidRPr="00A251E0" w:rsidRDefault="00436ED5">
                        <w:pPr>
                          <w:rPr>
                            <w:rFonts w:ascii="Times New Roman" w:hAnsi="Times New Roman" w:cs="Times New Roman"/>
                            <w:szCs w:val="21"/>
                          </w:rPr>
                        </w:pPr>
                        <w:r w:rsidRPr="00436ED5">
                          <w:rPr>
                            <w:rFonts w:ascii="Times New Roman" w:hAnsi="Times New Roman" w:cs="Times New Roman" w:hint="eastAsia"/>
                            <w:szCs w:val="21"/>
                          </w:rPr>
                          <w:t>公司高管董茂年担任</w:t>
                        </w:r>
                        <w:r>
                          <w:rPr>
                            <w:rFonts w:ascii="Times New Roman" w:hAnsi="Times New Roman" w:cs="Times New Roman" w:hint="eastAsia"/>
                            <w:szCs w:val="21"/>
                          </w:rPr>
                          <w:t>该公司</w:t>
                        </w:r>
                        <w:r w:rsidRPr="00436ED5">
                          <w:rPr>
                            <w:rFonts w:ascii="Times New Roman" w:hAnsi="Times New Roman" w:cs="Times New Roman" w:hint="eastAsia"/>
                            <w:szCs w:val="21"/>
                          </w:rPr>
                          <w:t>董事</w:t>
                        </w:r>
                      </w:p>
                    </w:tc>
                  </w:sdtContent>
                </w:sdt>
              </w:tr>
            </w:sdtContent>
          </w:sdt>
          <w:sdt>
            <w:sdtPr>
              <w:rPr>
                <w:rFonts w:ascii="Times New Roman" w:hAnsi="Times New Roman" w:cs="Times New Roman"/>
                <w:sz w:val="22"/>
                <w:szCs w:val="21"/>
              </w:rPr>
              <w:alias w:val="本企业的其他关联方情况明细"/>
              <w:tag w:val="_GBC_2ec4adf7a1ce48faaeba9536b2bf6d81"/>
              <w:id w:val="285314253"/>
              <w:placeholder>
                <w:docPart w:val="DefaultPlaceholder_-1854013440"/>
              </w:placeholder>
            </w:sdtPr>
            <w:sdtEndPr>
              <w:rPr>
                <w:sz w:val="21"/>
              </w:rPr>
            </w:sdtEndPr>
            <w:sdtContent>
              <w:tr w:rsidR="00874B50" w14:paraId="51FD9162"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30A152F6" w14:textId="14A65040" w:rsidR="00874B50" w:rsidRDefault="00874B50">
                    <w:pPr>
                      <w:rPr>
                        <w:rFonts w:ascii="Times New Roman" w:hAnsi="Times New Roman" w:cs="Times New Roman"/>
                        <w:sz w:val="22"/>
                        <w:szCs w:val="21"/>
                      </w:rPr>
                    </w:pPr>
                    <w:r w:rsidRPr="00874B50">
                      <w:rPr>
                        <w:rFonts w:ascii="Times New Roman" w:hAnsi="Times New Roman" w:cs="Times New Roman" w:hint="eastAsia"/>
                        <w:sz w:val="22"/>
                        <w:szCs w:val="21"/>
                      </w:rPr>
                      <w:t>沈阳智能机器人国家研究院有限公司</w:t>
                    </w:r>
                  </w:p>
                </w:tc>
                <w:sdt>
                  <w:sdtPr>
                    <w:rPr>
                      <w:rFonts w:ascii="Times New Roman" w:hAnsi="Times New Roman" w:cs="Times New Roman" w:hint="eastAsia"/>
                      <w:szCs w:val="21"/>
                    </w:rPr>
                    <w:alias w:val="本企业的其他关联方情况明细－其他关联方与本公司关系"/>
                    <w:tag w:val="_GBC_2205fb8ea5f648b5a0c9e8e3f8499f9f"/>
                    <w:id w:val="-1752117099"/>
                    <w:lock w:val="sdtLocked"/>
                    <w:placeholder>
                      <w:docPart w:val="3EE5F8C51AE94506A6CE3E5B833AC73C"/>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37F87717" w14:textId="536EB387" w:rsidR="00874B50" w:rsidRPr="00436ED5" w:rsidRDefault="00874B50">
                        <w:pPr>
                          <w:rPr>
                            <w:rFonts w:ascii="Times New Roman" w:hAnsi="Times New Roman" w:cs="Times New Roman"/>
                            <w:szCs w:val="21"/>
                          </w:rPr>
                        </w:pPr>
                        <w:r>
                          <w:rPr>
                            <w:rFonts w:ascii="Times New Roman" w:hAnsi="Times New Roman" w:cs="Times New Roman" w:hint="eastAsia"/>
                            <w:szCs w:val="21"/>
                          </w:rPr>
                          <w:t>公司</w:t>
                        </w:r>
                        <w:r w:rsidRPr="00874B50">
                          <w:rPr>
                            <w:rFonts w:ascii="Times New Roman" w:hAnsi="Times New Roman" w:cs="Times New Roman" w:hint="eastAsia"/>
                            <w:szCs w:val="21"/>
                          </w:rPr>
                          <w:t>董事长许礼进担任该公司董</w:t>
                        </w:r>
                        <w:r>
                          <w:rPr>
                            <w:rFonts w:ascii="Times New Roman" w:hAnsi="Times New Roman" w:cs="Times New Roman" w:hint="eastAsia"/>
                            <w:szCs w:val="21"/>
                          </w:rPr>
                          <w:t>事</w:t>
                        </w:r>
                      </w:p>
                    </w:tc>
                  </w:sdtContent>
                </w:sdt>
              </w:tr>
            </w:sdtContent>
          </w:sdt>
          <w:sdt>
            <w:sdtPr>
              <w:rPr>
                <w:rFonts w:ascii="Times New Roman" w:hAnsi="Times New Roman" w:cs="Times New Roman"/>
                <w:sz w:val="22"/>
                <w:szCs w:val="21"/>
              </w:rPr>
              <w:alias w:val="本企业的其他关联方情况明细"/>
              <w:tag w:val="_GBC_2ec4adf7a1ce48faaeba9536b2bf6d81"/>
              <w:id w:val="-1814555525"/>
              <w:placeholder>
                <w:docPart w:val="DefaultPlaceholder_-1854013440"/>
              </w:placeholder>
            </w:sdtPr>
            <w:sdtEndPr>
              <w:rPr>
                <w:sz w:val="21"/>
              </w:rPr>
            </w:sdtEndPr>
            <w:sdtContent>
              <w:tr w:rsidR="00A251E0" w14:paraId="23DA3EE0"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2D3B7505" w14:textId="4DDF0325" w:rsidR="00A251E0" w:rsidRDefault="00A251E0">
                    <w:pPr>
                      <w:rPr>
                        <w:rFonts w:ascii="Times New Roman" w:hAnsi="Times New Roman" w:cs="Times New Roman"/>
                        <w:sz w:val="22"/>
                        <w:szCs w:val="21"/>
                      </w:rPr>
                    </w:pPr>
                    <w:r w:rsidRPr="00A251E0">
                      <w:rPr>
                        <w:rFonts w:ascii="Times New Roman" w:hAnsi="Times New Roman" w:cs="Times New Roman"/>
                        <w:sz w:val="22"/>
                        <w:szCs w:val="21"/>
                      </w:rPr>
                      <w:t>Robox S.p.A.</w:t>
                    </w:r>
                  </w:p>
                </w:tc>
                <w:sdt>
                  <w:sdtPr>
                    <w:rPr>
                      <w:rFonts w:ascii="Times New Roman" w:hAnsi="Times New Roman" w:cs="Times New Roman"/>
                      <w:szCs w:val="21"/>
                    </w:rPr>
                    <w:alias w:val="本企业的其他关联方情况明细－其他关联方与本公司关系"/>
                    <w:tag w:val="_GBC_2205fb8ea5f648b5a0c9e8e3f8499f9f"/>
                    <w:id w:val="-1087220147"/>
                    <w:lock w:val="sdtLocked"/>
                    <w:placeholder>
                      <w:docPart w:val="7714A8A8CA9E4E48AE72ACF461BF3D2A"/>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5D04FFE8" w14:textId="757BA0B6" w:rsidR="00A251E0" w:rsidRDefault="00A251E0">
                        <w:pPr>
                          <w:rPr>
                            <w:rFonts w:ascii="Times New Roman" w:hAnsi="Times New Roman" w:cs="Times New Roman"/>
                            <w:szCs w:val="21"/>
                          </w:rPr>
                        </w:pPr>
                        <w:r w:rsidRPr="00A251E0">
                          <w:rPr>
                            <w:rFonts w:ascii="Times New Roman" w:hAnsi="Times New Roman" w:cs="Times New Roman" w:hint="eastAsia"/>
                            <w:szCs w:val="21"/>
                          </w:rPr>
                          <w:t>公司总经理游玮担任</w:t>
                        </w:r>
                        <w:r>
                          <w:rPr>
                            <w:rFonts w:ascii="Times New Roman" w:hAnsi="Times New Roman" w:cs="Times New Roman" w:hint="eastAsia"/>
                            <w:szCs w:val="21"/>
                          </w:rPr>
                          <w:t>该公司</w:t>
                        </w:r>
                        <w:r w:rsidRPr="00A251E0">
                          <w:rPr>
                            <w:rFonts w:ascii="Times New Roman" w:hAnsi="Times New Roman" w:cs="Times New Roman" w:hint="eastAsia"/>
                            <w:szCs w:val="21"/>
                          </w:rPr>
                          <w:t>董事</w:t>
                        </w:r>
                      </w:p>
                    </w:tc>
                  </w:sdtContent>
                </w:sdt>
              </w:tr>
            </w:sdtContent>
          </w:sdt>
          <w:sdt>
            <w:sdtPr>
              <w:rPr>
                <w:rFonts w:ascii="Times New Roman" w:hAnsi="Times New Roman" w:cs="Times New Roman"/>
                <w:sz w:val="22"/>
                <w:szCs w:val="21"/>
              </w:rPr>
              <w:alias w:val="本企业的其他关联方情况明细"/>
              <w:tag w:val="_GBC_2ec4adf7a1ce48faaeba9536b2bf6d81"/>
              <w:id w:val="2080162797"/>
            </w:sdtPr>
            <w:sdtEndPr/>
            <w:sdtContent>
              <w:tr w:rsidR="00D21C1F" w14:paraId="52ACF39E"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2B039FAE"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GEMPEAdministradoradeBensImóveisPrópriosEireli</w:t>
                    </w:r>
                  </w:p>
                </w:tc>
                <w:sdt>
                  <w:sdtPr>
                    <w:rPr>
                      <w:rFonts w:ascii="Times New Roman" w:hAnsi="Times New Roman" w:cs="Times New Roman"/>
                      <w:szCs w:val="21"/>
                    </w:rPr>
                    <w:alias w:val="本企业的其他关联方情况明细－其他关联方与本公司关系"/>
                    <w:tag w:val="_GBC_2205fb8ea5f648b5a0c9e8e3f8499f9f"/>
                    <w:id w:val="-21275311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4511B080" w14:textId="491C0613" w:rsidR="00D21C1F" w:rsidRPr="00D605CB" w:rsidRDefault="00A42880">
                        <w:pPr>
                          <w:rPr>
                            <w:rFonts w:ascii="Times New Roman" w:hAnsi="Times New Roman" w:cs="Times New Roman"/>
                            <w:szCs w:val="21"/>
                          </w:rPr>
                        </w:pPr>
                        <w:r w:rsidRPr="00D605CB">
                          <w:rPr>
                            <w:rFonts w:ascii="Times New Roman" w:hAnsi="Times New Roman" w:cs="Times New Roman"/>
                            <w:szCs w:val="21"/>
                          </w:rPr>
                          <w:t>公司监事</w:t>
                        </w:r>
                        <w:r w:rsidRPr="00D605CB">
                          <w:rPr>
                            <w:rFonts w:ascii="Times New Roman" w:hAnsi="Times New Roman" w:cs="Times New Roman"/>
                            <w:szCs w:val="21"/>
                          </w:rPr>
                          <w:t>Fabrizio Ceresa</w:t>
                        </w:r>
                        <w:r w:rsidRPr="00D605CB">
                          <w:rPr>
                            <w:rFonts w:ascii="Times New Roman" w:hAnsi="Times New Roman" w:cs="Times New Roman"/>
                            <w:szCs w:val="21"/>
                          </w:rPr>
                          <w:t>之父</w:t>
                        </w:r>
                        <w:r w:rsidRPr="00D605CB">
                          <w:rPr>
                            <w:rFonts w:ascii="Times New Roman" w:hAnsi="Times New Roman" w:cs="Times New Roman"/>
                            <w:szCs w:val="21"/>
                          </w:rPr>
                          <w:t>Erminio Ceresa</w:t>
                        </w:r>
                        <w:r w:rsidRPr="00D605CB">
                          <w:rPr>
                            <w:rFonts w:ascii="Times New Roman" w:hAnsi="Times New Roman" w:cs="Times New Roman"/>
                            <w:szCs w:val="21"/>
                          </w:rPr>
                          <w:t>控制的公司</w:t>
                        </w:r>
                      </w:p>
                    </w:tc>
                  </w:sdtContent>
                </w:sdt>
              </w:tr>
            </w:sdtContent>
          </w:sdt>
          <w:sdt>
            <w:sdtPr>
              <w:rPr>
                <w:rFonts w:ascii="Times New Roman" w:hAnsi="Times New Roman" w:cs="Times New Roman"/>
                <w:sz w:val="22"/>
                <w:szCs w:val="21"/>
              </w:rPr>
              <w:alias w:val="本企业的其他关联方情况明细"/>
              <w:tag w:val="_GBC_2ec4adf7a1ce48faaeba9536b2bf6d81"/>
              <w:id w:val="-1172410805"/>
            </w:sdtPr>
            <w:sdtEndPr/>
            <w:sdtContent>
              <w:tr w:rsidR="00D21C1F" w14:paraId="097F5087"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500ADB6D"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GECEmpreendimentosImobiliarios Ltda.</w:t>
                    </w:r>
                  </w:p>
                </w:tc>
                <w:sdt>
                  <w:sdtPr>
                    <w:rPr>
                      <w:rFonts w:ascii="Times New Roman" w:hAnsi="Times New Roman" w:cs="Times New Roman"/>
                      <w:szCs w:val="21"/>
                    </w:rPr>
                    <w:alias w:val="本企业的其他关联方情况明细－其他关联方与本公司关系"/>
                    <w:tag w:val="_GBC_2205fb8ea5f648b5a0c9e8e3f8499f9f"/>
                    <w:id w:val="-11858296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4B90B512" w14:textId="5321DD72" w:rsidR="00D21C1F" w:rsidRPr="00D605CB" w:rsidRDefault="00A42880">
                        <w:pPr>
                          <w:rPr>
                            <w:rFonts w:ascii="Times New Roman" w:hAnsi="Times New Roman" w:cs="Times New Roman"/>
                            <w:szCs w:val="21"/>
                          </w:rPr>
                        </w:pPr>
                        <w:r w:rsidRPr="00D605CB">
                          <w:rPr>
                            <w:rFonts w:ascii="Times New Roman" w:hAnsi="Times New Roman" w:cs="Times New Roman"/>
                            <w:szCs w:val="21"/>
                          </w:rPr>
                          <w:t>公司监事</w:t>
                        </w:r>
                        <w:r w:rsidRPr="00D605CB">
                          <w:rPr>
                            <w:rFonts w:ascii="Times New Roman" w:hAnsi="Times New Roman" w:cs="Times New Roman"/>
                            <w:szCs w:val="21"/>
                          </w:rPr>
                          <w:t>Fabrizio Ceresa</w:t>
                        </w:r>
                        <w:r w:rsidRPr="00D605CB">
                          <w:rPr>
                            <w:rFonts w:ascii="Times New Roman" w:hAnsi="Times New Roman" w:cs="Times New Roman"/>
                            <w:szCs w:val="21"/>
                          </w:rPr>
                          <w:t>之父</w:t>
                        </w:r>
                        <w:r w:rsidRPr="00D605CB">
                          <w:rPr>
                            <w:rFonts w:ascii="Times New Roman" w:hAnsi="Times New Roman" w:cs="Times New Roman"/>
                            <w:szCs w:val="21"/>
                          </w:rPr>
                          <w:t>Erminio Ceresa</w:t>
                        </w:r>
                        <w:r w:rsidRPr="00D605CB">
                          <w:rPr>
                            <w:rFonts w:ascii="Times New Roman" w:hAnsi="Times New Roman" w:cs="Times New Roman"/>
                            <w:szCs w:val="21"/>
                          </w:rPr>
                          <w:t>控制的公司</w:t>
                        </w:r>
                      </w:p>
                    </w:tc>
                  </w:sdtContent>
                </w:sdt>
              </w:tr>
            </w:sdtContent>
          </w:sdt>
          <w:sdt>
            <w:sdtPr>
              <w:rPr>
                <w:rFonts w:ascii="Times New Roman" w:hAnsi="Times New Roman" w:cs="Times New Roman"/>
                <w:sz w:val="22"/>
                <w:szCs w:val="21"/>
              </w:rPr>
              <w:alias w:val="本企业的其他关联方情况明细"/>
              <w:tag w:val="_GBC_2ec4adf7a1ce48faaeba9536b2bf6d81"/>
              <w:id w:val="-87618406"/>
            </w:sdtPr>
            <w:sdtEndPr/>
            <w:sdtContent>
              <w:tr w:rsidR="00D21C1F" w14:paraId="5795AF16"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74410E7A"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C.F. Real Estate Sp.zo.o.</w:t>
                    </w:r>
                  </w:p>
                </w:tc>
                <w:sdt>
                  <w:sdtPr>
                    <w:rPr>
                      <w:rFonts w:ascii="Times New Roman" w:hAnsi="Times New Roman" w:cs="Times New Roman"/>
                      <w:szCs w:val="21"/>
                    </w:rPr>
                    <w:alias w:val="本企业的其他关联方情况明细－其他关联方与本公司关系"/>
                    <w:tag w:val="_GBC_2205fb8ea5f648b5a0c9e8e3f8499f9f"/>
                    <w:id w:val="-16884377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7ED54A70" w14:textId="55393062" w:rsidR="00D21C1F" w:rsidRPr="00D605CB" w:rsidRDefault="00F91020">
                        <w:pPr>
                          <w:rPr>
                            <w:rFonts w:ascii="Times New Roman" w:hAnsi="Times New Roman" w:cs="Times New Roman"/>
                            <w:szCs w:val="21"/>
                          </w:rPr>
                        </w:pPr>
                        <w:r w:rsidRPr="00F91020">
                          <w:rPr>
                            <w:rFonts w:ascii="Times New Roman" w:hAnsi="Times New Roman" w:cs="Times New Roman" w:hint="eastAsia"/>
                            <w:szCs w:val="21"/>
                          </w:rPr>
                          <w:t>公司监事</w:t>
                        </w:r>
                        <w:r w:rsidRPr="00F91020">
                          <w:rPr>
                            <w:rFonts w:ascii="Times New Roman" w:hAnsi="Times New Roman" w:cs="Times New Roman"/>
                            <w:szCs w:val="21"/>
                          </w:rPr>
                          <w:t>Fabrizio Ceresa</w:t>
                        </w:r>
                        <w:r w:rsidRPr="00F91020">
                          <w:rPr>
                            <w:rFonts w:ascii="Times New Roman" w:hAnsi="Times New Roman" w:cs="Times New Roman"/>
                            <w:szCs w:val="21"/>
                          </w:rPr>
                          <w:t>之父</w:t>
                        </w:r>
                        <w:r w:rsidRPr="00F91020">
                          <w:rPr>
                            <w:rFonts w:ascii="Times New Roman" w:hAnsi="Times New Roman" w:cs="Times New Roman"/>
                            <w:szCs w:val="21"/>
                          </w:rPr>
                          <w:t>Erminio Ceresa</w:t>
                        </w:r>
                        <w:r w:rsidRPr="00F91020">
                          <w:rPr>
                            <w:rFonts w:ascii="Times New Roman" w:hAnsi="Times New Roman" w:cs="Times New Roman"/>
                            <w:szCs w:val="21"/>
                          </w:rPr>
                          <w:t>控制的公司</w:t>
                        </w:r>
                      </w:p>
                    </w:tc>
                  </w:sdtContent>
                </w:sdt>
              </w:tr>
            </w:sdtContent>
          </w:sdt>
          <w:sdt>
            <w:sdtPr>
              <w:rPr>
                <w:rFonts w:ascii="Times New Roman" w:hAnsi="Times New Roman" w:cs="Times New Roman"/>
                <w:sz w:val="22"/>
                <w:szCs w:val="21"/>
              </w:rPr>
              <w:alias w:val="本企业的其他关联方情况明细"/>
              <w:tag w:val="_GBC_2ec4adf7a1ce48faaeba9536b2bf6d81"/>
              <w:id w:val="-406924665"/>
            </w:sdtPr>
            <w:sdtEndPr/>
            <w:sdtContent>
              <w:tr w:rsidR="00D21C1F" w14:paraId="2A7FA74D"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246AB756"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芜湖哈特机器人产业技术研究院有限公司</w:t>
                    </w:r>
                  </w:p>
                </w:tc>
                <w:sdt>
                  <w:sdtPr>
                    <w:rPr>
                      <w:rFonts w:ascii="Times New Roman" w:hAnsi="Times New Roman" w:cs="Times New Roman"/>
                      <w:szCs w:val="21"/>
                    </w:rPr>
                    <w:alias w:val="本企业的其他关联方情况明细－其他关联方与本公司关系"/>
                    <w:tag w:val="_GBC_2205fb8ea5f648b5a0c9e8e3f8499f9f"/>
                    <w:id w:val="-11744183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2D0817A4" w14:textId="77777777" w:rsidR="00D21C1F" w:rsidRPr="00D605CB" w:rsidRDefault="00A42880">
                        <w:pPr>
                          <w:rPr>
                            <w:rFonts w:ascii="Times New Roman" w:hAnsi="Times New Roman" w:cs="Times New Roman"/>
                            <w:szCs w:val="21"/>
                          </w:rPr>
                        </w:pPr>
                        <w:r w:rsidRPr="00D605CB">
                          <w:rPr>
                            <w:rFonts w:ascii="Times New Roman" w:hAnsi="Times New Roman" w:cs="Times New Roman"/>
                            <w:szCs w:val="21"/>
                          </w:rPr>
                          <w:t>2020</w:t>
                        </w:r>
                        <w:r w:rsidRPr="00D605CB">
                          <w:rPr>
                            <w:rFonts w:ascii="Times New Roman" w:hAnsi="Times New Roman" w:cs="Times New Roman"/>
                            <w:szCs w:val="21"/>
                          </w:rPr>
                          <w:t>年度为本公司关联方</w:t>
                        </w:r>
                      </w:p>
                    </w:tc>
                  </w:sdtContent>
                </w:sdt>
              </w:tr>
            </w:sdtContent>
          </w:sdt>
          <w:sdt>
            <w:sdtPr>
              <w:rPr>
                <w:rFonts w:ascii="Times New Roman" w:hAnsi="Times New Roman" w:cs="Times New Roman"/>
                <w:sz w:val="22"/>
                <w:szCs w:val="21"/>
              </w:rPr>
              <w:alias w:val="本企业的其他关联方情况明细"/>
              <w:tag w:val="_GBC_2ec4adf7a1ce48faaeba9536b2bf6d81"/>
              <w:id w:val="-1031029636"/>
            </w:sdtPr>
            <w:sdtEndPr/>
            <w:sdtContent>
              <w:tr w:rsidR="00D21C1F" w14:paraId="01AE4425"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7E41FBB4"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芜湖固高自动化技术有限公司</w:t>
                    </w:r>
                  </w:p>
                </w:tc>
                <w:sdt>
                  <w:sdtPr>
                    <w:rPr>
                      <w:rFonts w:ascii="Times New Roman" w:hAnsi="Times New Roman" w:cs="Times New Roman"/>
                      <w:szCs w:val="21"/>
                    </w:rPr>
                    <w:alias w:val="本企业的其他关联方情况明细－其他关联方与本公司关系"/>
                    <w:tag w:val="_GBC_2205fb8ea5f648b5a0c9e8e3f8499f9f"/>
                    <w:id w:val="-5232491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44621436" w14:textId="77777777" w:rsidR="00D21C1F" w:rsidRPr="00D605CB" w:rsidRDefault="00A42880">
                        <w:pPr>
                          <w:rPr>
                            <w:rFonts w:ascii="Times New Roman" w:hAnsi="Times New Roman" w:cs="Times New Roman"/>
                            <w:szCs w:val="21"/>
                          </w:rPr>
                        </w:pPr>
                        <w:r w:rsidRPr="00D605CB">
                          <w:rPr>
                            <w:rFonts w:ascii="Times New Roman" w:hAnsi="Times New Roman" w:cs="Times New Roman"/>
                            <w:szCs w:val="21"/>
                          </w:rPr>
                          <w:t>2020</w:t>
                        </w:r>
                        <w:r w:rsidRPr="00D605CB">
                          <w:rPr>
                            <w:rFonts w:ascii="Times New Roman" w:hAnsi="Times New Roman" w:cs="Times New Roman"/>
                            <w:szCs w:val="21"/>
                          </w:rPr>
                          <w:t>年度为本公司关联方</w:t>
                        </w:r>
                      </w:p>
                    </w:tc>
                  </w:sdtContent>
                </w:sdt>
              </w:tr>
            </w:sdtContent>
          </w:sdt>
          <w:sdt>
            <w:sdtPr>
              <w:rPr>
                <w:rFonts w:ascii="Times New Roman" w:hAnsi="Times New Roman" w:cs="Times New Roman"/>
                <w:sz w:val="22"/>
                <w:szCs w:val="21"/>
              </w:rPr>
              <w:alias w:val="本企业的其他关联方情况明细"/>
              <w:tag w:val="_GBC_2ec4adf7a1ce48faaeba9536b2bf6d81"/>
              <w:id w:val="484749876"/>
            </w:sdtPr>
            <w:sdtEndPr/>
            <w:sdtContent>
              <w:tr w:rsidR="00D21C1F" w14:paraId="0A342DA2"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157901D5"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宜宾凯翼汽车有限公司</w:t>
                    </w:r>
                  </w:p>
                </w:tc>
                <w:sdt>
                  <w:sdtPr>
                    <w:rPr>
                      <w:rFonts w:ascii="Times New Roman" w:hAnsi="Times New Roman" w:cs="Times New Roman"/>
                      <w:szCs w:val="21"/>
                    </w:rPr>
                    <w:alias w:val="本企业的其他关联方情况明细－其他关联方与本公司关系"/>
                    <w:tag w:val="_GBC_2205fb8ea5f648b5a0c9e8e3f8499f9f"/>
                    <w:id w:val="8661064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5E47F94F" w14:textId="77777777" w:rsidR="00D21C1F" w:rsidRPr="00D605CB" w:rsidRDefault="00A42880">
                        <w:pPr>
                          <w:rPr>
                            <w:rFonts w:ascii="Times New Roman" w:hAnsi="Times New Roman" w:cs="Times New Roman"/>
                            <w:szCs w:val="21"/>
                          </w:rPr>
                        </w:pPr>
                        <w:r w:rsidRPr="00D605CB">
                          <w:rPr>
                            <w:rFonts w:ascii="Times New Roman" w:hAnsi="Times New Roman" w:cs="Times New Roman"/>
                            <w:szCs w:val="21"/>
                          </w:rPr>
                          <w:t>2020</w:t>
                        </w:r>
                        <w:r w:rsidRPr="00D605CB">
                          <w:rPr>
                            <w:rFonts w:ascii="Times New Roman" w:hAnsi="Times New Roman" w:cs="Times New Roman"/>
                            <w:szCs w:val="21"/>
                          </w:rPr>
                          <w:t>年度为本公司关联方</w:t>
                        </w:r>
                      </w:p>
                    </w:tc>
                  </w:sdtContent>
                </w:sdt>
              </w:tr>
            </w:sdtContent>
          </w:sdt>
          <w:sdt>
            <w:sdtPr>
              <w:rPr>
                <w:rFonts w:ascii="Times New Roman" w:hAnsi="Times New Roman" w:cs="Times New Roman"/>
                <w:sz w:val="22"/>
                <w:szCs w:val="21"/>
              </w:rPr>
              <w:alias w:val="本企业的其他关联方情况明细"/>
              <w:tag w:val="_GBC_2ec4adf7a1ce48faaeba9536b2bf6d81"/>
              <w:id w:val="1196584962"/>
            </w:sdtPr>
            <w:sdtEndPr/>
            <w:sdtContent>
              <w:tr w:rsidR="00D21C1F" w14:paraId="13759D33"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0EC762D7"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芜湖翡叶动力科技有限公司</w:t>
                    </w:r>
                  </w:p>
                </w:tc>
                <w:sdt>
                  <w:sdtPr>
                    <w:rPr>
                      <w:rFonts w:ascii="Times New Roman" w:hAnsi="Times New Roman" w:cs="Times New Roman"/>
                      <w:szCs w:val="21"/>
                    </w:rPr>
                    <w:alias w:val="本企业的其他关联方情况明细－其他关联方与本公司关系"/>
                    <w:tag w:val="_GBC_2205fb8ea5f648b5a0c9e8e3f8499f9f"/>
                    <w:id w:val="-6507469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1227946C" w14:textId="77777777" w:rsidR="00D21C1F" w:rsidRPr="00D605CB" w:rsidRDefault="00A42880">
                        <w:pPr>
                          <w:rPr>
                            <w:rFonts w:ascii="Times New Roman" w:hAnsi="Times New Roman" w:cs="Times New Roman"/>
                            <w:szCs w:val="21"/>
                          </w:rPr>
                        </w:pPr>
                        <w:r w:rsidRPr="00D605CB">
                          <w:rPr>
                            <w:rFonts w:ascii="Times New Roman" w:hAnsi="Times New Roman" w:cs="Times New Roman"/>
                            <w:szCs w:val="21"/>
                          </w:rPr>
                          <w:t>2020</w:t>
                        </w:r>
                        <w:r w:rsidRPr="00D605CB">
                          <w:rPr>
                            <w:rFonts w:ascii="Times New Roman" w:hAnsi="Times New Roman" w:cs="Times New Roman"/>
                            <w:szCs w:val="21"/>
                          </w:rPr>
                          <w:t>年度为本公司关联方</w:t>
                        </w:r>
                      </w:p>
                    </w:tc>
                  </w:sdtContent>
                </w:sdt>
              </w:tr>
            </w:sdtContent>
          </w:sdt>
          <w:sdt>
            <w:sdtPr>
              <w:rPr>
                <w:rFonts w:ascii="Times New Roman" w:hAnsi="Times New Roman" w:cs="Times New Roman"/>
                <w:sz w:val="22"/>
                <w:szCs w:val="21"/>
              </w:rPr>
              <w:alias w:val="本企业的其他关联方情况明细"/>
              <w:tag w:val="_GBC_2ec4adf7a1ce48faaeba9536b2bf6d81"/>
              <w:id w:val="-2009203558"/>
              <w:placeholder>
                <w:docPart w:val="DefaultPlaceholder_-1854013440"/>
              </w:placeholder>
            </w:sdtPr>
            <w:sdtEndPr>
              <w:rPr>
                <w:sz w:val="21"/>
              </w:rPr>
            </w:sdtEndPr>
            <w:sdtContent>
              <w:tr w:rsidR="00874B50" w14:paraId="31E7F559" w14:textId="77777777">
                <w:trPr>
                  <w:trHeight w:val="267"/>
                </w:trPr>
                <w:tc>
                  <w:tcPr>
                    <w:tcW w:w="2674" w:type="pct"/>
                    <w:tcBorders>
                      <w:top w:val="single" w:sz="4" w:space="0" w:color="auto"/>
                      <w:left w:val="single" w:sz="4" w:space="0" w:color="auto"/>
                      <w:bottom w:val="single" w:sz="4" w:space="0" w:color="auto"/>
                      <w:right w:val="single" w:sz="4" w:space="0" w:color="auto"/>
                    </w:tcBorders>
                    <w:vAlign w:val="center"/>
                  </w:tcPr>
                  <w:p w14:paraId="5F456B2B" w14:textId="00C7B198" w:rsidR="00874B50" w:rsidRDefault="00874B50">
                    <w:pPr>
                      <w:rPr>
                        <w:rFonts w:ascii="Times New Roman" w:hAnsi="Times New Roman" w:cs="Times New Roman"/>
                        <w:sz w:val="22"/>
                        <w:szCs w:val="21"/>
                      </w:rPr>
                    </w:pPr>
                    <w:r w:rsidRPr="00874B50">
                      <w:rPr>
                        <w:rFonts w:ascii="Times New Roman" w:hAnsi="Times New Roman" w:cs="Times New Roman" w:hint="eastAsia"/>
                        <w:sz w:val="22"/>
                        <w:szCs w:val="21"/>
                      </w:rPr>
                      <w:t>芜湖安普机器人产业技术研究院有限公司</w:t>
                    </w:r>
                  </w:p>
                </w:tc>
                <w:sdt>
                  <w:sdtPr>
                    <w:rPr>
                      <w:rFonts w:ascii="Times New Roman" w:hAnsi="Times New Roman" w:cs="Times New Roman"/>
                      <w:szCs w:val="21"/>
                    </w:rPr>
                    <w:alias w:val="本企业的其他关联方情况明细－其他关联方与本公司关系"/>
                    <w:tag w:val="_GBC_2205fb8ea5f648b5a0c9e8e3f8499f9f"/>
                    <w:id w:val="446979995"/>
                    <w:lock w:val="sdtLocked"/>
                    <w:placeholder>
                      <w:docPart w:val="DEFE4EFAD2374586B6FE076F26C02972"/>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326" w:type="pct"/>
                        <w:tcBorders>
                          <w:top w:val="single" w:sz="4" w:space="0" w:color="auto"/>
                          <w:left w:val="single" w:sz="4" w:space="0" w:color="auto"/>
                          <w:bottom w:val="single" w:sz="4" w:space="0" w:color="auto"/>
                          <w:right w:val="single" w:sz="4" w:space="0" w:color="auto"/>
                        </w:tcBorders>
                      </w:tcPr>
                      <w:p w14:paraId="052D321B" w14:textId="21C64779" w:rsidR="00874B50" w:rsidRDefault="00874B50">
                        <w:pPr>
                          <w:rPr>
                            <w:rFonts w:ascii="Times New Roman" w:hAnsi="Times New Roman" w:cs="Times New Roman"/>
                            <w:szCs w:val="21"/>
                          </w:rPr>
                        </w:pPr>
                        <w:r w:rsidRPr="00874B50">
                          <w:rPr>
                            <w:rFonts w:ascii="Times New Roman" w:hAnsi="Times New Roman" w:cs="Times New Roman"/>
                            <w:szCs w:val="21"/>
                          </w:rPr>
                          <w:t>2020</w:t>
                        </w:r>
                        <w:r w:rsidRPr="00874B50">
                          <w:rPr>
                            <w:rFonts w:ascii="Times New Roman" w:hAnsi="Times New Roman" w:cs="Times New Roman"/>
                            <w:szCs w:val="21"/>
                          </w:rPr>
                          <w:t>年度为本公司关联方</w:t>
                        </w:r>
                      </w:p>
                    </w:tc>
                  </w:sdtContent>
                </w:sdt>
              </w:tr>
            </w:sdtContent>
          </w:sdt>
        </w:tbl>
        <w:p w14:paraId="221C5637" w14:textId="77777777" w:rsidR="00D21C1F" w:rsidRDefault="00A42880">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1030765268"/>
            <w:lock w:val="sdtLocked"/>
            <w:placeholder>
              <w:docPart w:val="GBC22222222222222222222222222222"/>
            </w:placeholder>
          </w:sdtPr>
          <w:sdtEndPr/>
          <w:sdtContent>
            <w:p w14:paraId="342447A9" w14:textId="77777777" w:rsidR="00D21C1F" w:rsidRDefault="00A42880">
              <w:pPr>
                <w:tabs>
                  <w:tab w:val="left" w:pos="1134"/>
                </w:tabs>
                <w:rPr>
                  <w:rFonts w:cs="Cambria"/>
                  <w:szCs w:val="21"/>
                </w:rPr>
              </w:pPr>
              <w:r>
                <w:rPr>
                  <w:rFonts w:cs="Cambria" w:hint="eastAsia"/>
                  <w:szCs w:val="21"/>
                </w:rPr>
                <w:t>无</w:t>
              </w:r>
            </w:p>
          </w:sdtContent>
        </w:sdt>
        <w:p w14:paraId="6EDDE367" w14:textId="77777777" w:rsidR="00D21C1F" w:rsidRDefault="00045EC6">
          <w:pPr>
            <w:tabs>
              <w:tab w:val="left" w:pos="1134"/>
            </w:tabs>
            <w:rPr>
              <w:rFonts w:cs="Cambria"/>
              <w:b/>
              <w:szCs w:val="21"/>
            </w:rPr>
          </w:pPr>
        </w:p>
      </w:sdtContent>
    </w:sdt>
    <w:p w14:paraId="5169CB6C" w14:textId="77777777" w:rsidR="00D21C1F" w:rsidRDefault="00A42880">
      <w:pPr>
        <w:pStyle w:val="94"/>
        <w:numPr>
          <w:ilvl w:val="0"/>
          <w:numId w:val="137"/>
        </w:numPr>
        <w:rPr>
          <w:rFonts w:ascii="宋体" w:hAnsi="宋体"/>
        </w:rPr>
      </w:pPr>
      <w:r>
        <w:rPr>
          <w:rFonts w:ascii="宋体" w:hAnsi="宋体" w:hint="eastAsia"/>
        </w:rPr>
        <w:t>关联交易情况</w:t>
      </w:r>
    </w:p>
    <w:p w14:paraId="62ADC261" w14:textId="77777777" w:rsidR="00D21C1F" w:rsidRDefault="00A42880">
      <w:pPr>
        <w:pStyle w:val="93"/>
        <w:numPr>
          <w:ilvl w:val="0"/>
          <w:numId w:val="138"/>
        </w:numPr>
        <w:tabs>
          <w:tab w:val="left" w:pos="616"/>
        </w:tabs>
        <w:rPr>
          <w:rFonts w:ascii="宋体" w:hAnsi="宋体"/>
        </w:rPr>
      </w:pPr>
      <w:r>
        <w:rPr>
          <w:rFonts w:ascii="宋体" w:hAnsi="宋体" w:hint="eastAsia"/>
        </w:rPr>
        <w:t>购销商品、提供和接受劳务的关联交易</w:t>
      </w:r>
    </w:p>
    <w:sdt>
      <w:sdtPr>
        <w:rPr>
          <w:rFonts w:hint="eastAsia"/>
        </w:rPr>
        <w:alias w:val="模块:采购商品/接受劳务情况表"/>
        <w:tag w:val="_GBC_dbf08b5679414647a0fbf4c088d641de"/>
        <w:id w:val="1665662527"/>
        <w:lock w:val="sdtLocked"/>
        <w:placeholder>
          <w:docPart w:val="GBC22222222222222222222222222222"/>
        </w:placeholder>
      </w:sdtPr>
      <w:sdtEndPr>
        <w:rPr>
          <w:rFonts w:hint="default"/>
        </w:rPr>
      </w:sdtEndPr>
      <w:sdtContent>
        <w:p w14:paraId="3F06DC67" w14:textId="77777777" w:rsidR="00D21C1F" w:rsidRDefault="00A42880">
          <w:pPr>
            <w:pStyle w:val="97"/>
          </w:pPr>
          <w:r>
            <w:rPr>
              <w:rFonts w:hint="eastAsia"/>
            </w:rPr>
            <w:t>采购商品/接受劳务情况表</w:t>
          </w:r>
        </w:p>
        <w:sdt>
          <w:sdtPr>
            <w:alias w:val="是否适用：采购商品或接受劳务情况表[双击切换]"/>
            <w:tag w:val="_GBC_ba304c7536f34a3f9d88448fb11ca349"/>
            <w:id w:val="128751665"/>
            <w:lock w:val="sdtLocked"/>
            <w:placeholder>
              <w:docPart w:val="GBC22222222222222222222222222222"/>
            </w:placeholder>
          </w:sdtPr>
          <w:sdtEndPr/>
          <w:sdtContent>
            <w:p w14:paraId="05423B1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E22C8F" w14:textId="77777777" w:rsidR="00D21C1F" w:rsidRDefault="00A42880">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370544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币种：</w:t>
          </w:r>
          <w:sdt>
            <w:sdtPr>
              <w:rPr>
                <w:rFonts w:cs="Cambria" w:hint="eastAsia"/>
                <w:szCs w:val="21"/>
              </w:rPr>
              <w:alias w:val="币种：采购商品接受劳务情况表"/>
              <w:tag w:val="_GBC_dc28b68caa744ea9a5230887b822319a"/>
              <w:id w:val="574099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cs="Cambria"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404"/>
            <w:gridCol w:w="2126"/>
            <w:gridCol w:w="2153"/>
            <w:gridCol w:w="2140"/>
          </w:tblGrid>
          <w:tr w:rsidR="00D21C1F" w14:paraId="1AB93B86" w14:textId="77777777">
            <w:trPr>
              <w:cantSplit/>
              <w:trHeight w:val="295"/>
            </w:trPr>
            <w:sdt>
              <w:sdtPr>
                <w:tag w:val="_PLD_5b37ccbdc11a45c3bbc2cf6527561c9d"/>
                <w:id w:val="1492215004"/>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77D45B2A" w14:textId="77777777" w:rsidR="00D21C1F" w:rsidRDefault="00A42880">
                    <w:pPr>
                      <w:jc w:val="center"/>
                      <w:rPr>
                        <w:rFonts w:cs="Cambria"/>
                        <w:szCs w:val="21"/>
                      </w:rPr>
                    </w:pPr>
                    <w:r>
                      <w:rPr>
                        <w:rFonts w:cs="Cambria" w:hint="eastAsia"/>
                        <w:szCs w:val="21"/>
                      </w:rPr>
                      <w:t>关联方</w:t>
                    </w:r>
                  </w:p>
                </w:tc>
              </w:sdtContent>
            </w:sdt>
            <w:sdt>
              <w:sdtPr>
                <w:tag w:val="_PLD_2d7b095c1f35485da0de73d655b7a571"/>
                <w:id w:val="-1390336745"/>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28BA45B5" w14:textId="77777777" w:rsidR="00D21C1F" w:rsidRDefault="00A42880">
                    <w:pPr>
                      <w:jc w:val="center"/>
                      <w:rPr>
                        <w:rFonts w:cs="Cambria"/>
                        <w:szCs w:val="21"/>
                      </w:rPr>
                    </w:pPr>
                    <w:r>
                      <w:rPr>
                        <w:rFonts w:cs="Cambria" w:hint="eastAsia"/>
                        <w:szCs w:val="21"/>
                      </w:rPr>
                      <w:t>关联交易内容</w:t>
                    </w:r>
                  </w:p>
                </w:tc>
              </w:sdtContent>
            </w:sdt>
            <w:sdt>
              <w:sdtPr>
                <w:tag w:val="_PLD_2d255188abfa41f4af0fad1a74ac6d6d"/>
                <w:id w:val="1069159607"/>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14:paraId="0D10F684" w14:textId="77777777" w:rsidR="00D21C1F" w:rsidRDefault="00A42880">
                    <w:pPr>
                      <w:jc w:val="center"/>
                      <w:rPr>
                        <w:rFonts w:cs="Cambria"/>
                        <w:szCs w:val="21"/>
                      </w:rPr>
                    </w:pPr>
                    <w:r>
                      <w:rPr>
                        <w:rFonts w:cs="Cambria" w:hint="eastAsia"/>
                        <w:szCs w:val="21"/>
                      </w:rPr>
                      <w:t>本期发生额</w:t>
                    </w:r>
                  </w:p>
                </w:tc>
              </w:sdtContent>
            </w:sdt>
            <w:sdt>
              <w:sdtPr>
                <w:tag w:val="_PLD_60fc9f0737164f9694363f102a4420bb"/>
                <w:id w:val="-15931688"/>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14:paraId="5ECDDD8C" w14:textId="77777777" w:rsidR="00D21C1F" w:rsidRDefault="00A42880">
                    <w:pPr>
                      <w:jc w:val="center"/>
                      <w:rPr>
                        <w:rFonts w:cs="Cambria"/>
                        <w:szCs w:val="21"/>
                      </w:rPr>
                    </w:pPr>
                    <w:r>
                      <w:rPr>
                        <w:rFonts w:cs="Cambria" w:hint="eastAsia"/>
                        <w:szCs w:val="21"/>
                      </w:rPr>
                      <w:t>上期发生额</w:t>
                    </w:r>
                  </w:p>
                </w:tc>
              </w:sdtContent>
            </w:sdt>
          </w:tr>
          <w:sdt>
            <w:sdtPr>
              <w:rPr>
                <w:rFonts w:ascii="Times New Roman" w:hAnsi="Times New Roman" w:cs="Times New Roman"/>
                <w:szCs w:val="21"/>
              </w:rPr>
              <w:alias w:val="采购商品接受劳务情况明细"/>
              <w:tag w:val="_GBC_0c9767805cb8416eaba14f759181aa29"/>
              <w:id w:val="1304270796"/>
            </w:sdtPr>
            <w:sdtEndPr/>
            <w:sdtContent>
              <w:tr w:rsidR="00D21C1F" w14:paraId="3E31EC8F"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4F2D3A3A"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芜湖翡叶动力科技有限公司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51FA5E7"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伺服电机</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7A2C58CB"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10,910,077.61</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25767B3"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2,054,360.99</w:t>
                    </w:r>
                  </w:p>
                </w:tc>
              </w:tr>
            </w:sdtContent>
          </w:sdt>
          <w:sdt>
            <w:sdtPr>
              <w:rPr>
                <w:rFonts w:ascii="Times New Roman" w:hAnsi="Times New Roman" w:cs="Times New Roman"/>
                <w:szCs w:val="21"/>
              </w:rPr>
              <w:alias w:val="采购商品接受劳务情况明细"/>
              <w:tag w:val="_GBC_0c9767805cb8416eaba14f759181aa29"/>
              <w:id w:val="-745491704"/>
            </w:sdtPr>
            <w:sdtEndPr/>
            <w:sdtContent>
              <w:tr w:rsidR="00D21C1F" w14:paraId="5B44059B"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1C4CFC13"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Robox S.p.A.</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06F1B60"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电子电气元器件</w:t>
                    </w:r>
                    <w:r w:rsidRPr="00D605CB">
                      <w:rPr>
                        <w:rFonts w:ascii="Times New Roman" w:hAnsi="Times New Roman" w:cs="Times New Roman"/>
                      </w:rPr>
                      <w:t>/</w:t>
                    </w:r>
                    <w:r w:rsidRPr="00D605CB">
                      <w:rPr>
                        <w:rFonts w:ascii="Times New Roman" w:hAnsi="Times New Roman" w:cs="Times New Roman"/>
                      </w:rPr>
                      <w:t>电机设备</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517A0DBD"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10,781,029.34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526DD9A9"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677,617.57</w:t>
                    </w:r>
                  </w:p>
                </w:tc>
              </w:tr>
            </w:sdtContent>
          </w:sdt>
          <w:sdt>
            <w:sdtPr>
              <w:rPr>
                <w:rFonts w:ascii="Times New Roman" w:hAnsi="Times New Roman" w:cs="Times New Roman"/>
                <w:szCs w:val="21"/>
              </w:rPr>
              <w:alias w:val="采购商品接受劳务情况明细"/>
              <w:tag w:val="_GBC_0c9767805cb8416eaba14f759181aa29"/>
              <w:id w:val="-1673481836"/>
            </w:sdtPr>
            <w:sdtEndPr/>
            <w:sdtContent>
              <w:tr w:rsidR="00D21C1F" w14:paraId="47BAB949"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5B97E3A6"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芜湖奥一精机有限公司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D053710"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减速机</w:t>
                    </w:r>
                    <w:r w:rsidRPr="00D605CB">
                      <w:rPr>
                        <w:rFonts w:ascii="Times New Roman" w:hAnsi="Times New Roman" w:cs="Times New Roman"/>
                      </w:rPr>
                      <w:t>/</w:t>
                    </w:r>
                    <w:r w:rsidRPr="00D605CB">
                      <w:rPr>
                        <w:rFonts w:ascii="Times New Roman" w:hAnsi="Times New Roman" w:cs="Times New Roman"/>
                      </w:rPr>
                      <w:t>齿轮</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7C1E3FE5"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7,063,075.90</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2F86215D"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1,201,819.57</w:t>
                    </w:r>
                  </w:p>
                </w:tc>
              </w:tr>
            </w:sdtContent>
          </w:sdt>
          <w:sdt>
            <w:sdtPr>
              <w:rPr>
                <w:rFonts w:ascii="Times New Roman" w:hAnsi="Times New Roman" w:cs="Times New Roman"/>
                <w:szCs w:val="21"/>
              </w:rPr>
              <w:alias w:val="采购商品接受劳务情况明细"/>
              <w:tag w:val="_GBC_0c9767805cb8416eaba14f759181aa29"/>
              <w:id w:val="-258210954"/>
              <w:placeholder>
                <w:docPart w:val="CCCB5659A54B4E22984475FA92B57C2D"/>
              </w:placeholder>
            </w:sdtPr>
            <w:sdtEndPr>
              <w:rPr>
                <w:szCs w:val="24"/>
              </w:rPr>
            </w:sdtEndPr>
            <w:sdtContent>
              <w:tr w:rsidR="00D21C1F" w14:paraId="38C8D1C9"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616310D1" w14:textId="77777777" w:rsidR="00D21C1F" w:rsidRPr="00D605CB" w:rsidRDefault="00A42880">
                    <w:pPr>
                      <w:rPr>
                        <w:rFonts w:ascii="Times New Roman" w:hAnsi="Times New Roman" w:cs="Times New Roman"/>
                        <w:szCs w:val="21"/>
                      </w:rPr>
                    </w:pPr>
                    <w:r w:rsidRPr="00D605CB">
                      <w:rPr>
                        <w:rFonts w:ascii="Times New Roman" w:hAnsi="Times New Roman" w:cs="Times New Roman"/>
                        <w:szCs w:val="21"/>
                      </w:rPr>
                      <w:t>奇瑞控股集团有限公司及其下属企业</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088FFF6" w14:textId="77777777" w:rsidR="00D21C1F" w:rsidRPr="00D605CB" w:rsidRDefault="00A42880">
                    <w:pPr>
                      <w:rPr>
                        <w:rFonts w:ascii="Times New Roman" w:hAnsi="Times New Roman" w:cs="Times New Roman"/>
                      </w:rPr>
                    </w:pPr>
                    <w:r w:rsidRPr="00D605CB">
                      <w:rPr>
                        <w:rFonts w:ascii="Times New Roman" w:hAnsi="Times New Roman" w:cs="Times New Roman"/>
                      </w:rPr>
                      <w:t>电子电气元器件</w:t>
                    </w:r>
                    <w:r w:rsidRPr="00D605CB">
                      <w:rPr>
                        <w:rFonts w:ascii="Times New Roman" w:hAnsi="Times New Roman" w:cs="Times New Roman"/>
                      </w:rPr>
                      <w:t>/</w:t>
                    </w:r>
                    <w:r w:rsidRPr="00D605CB">
                      <w:rPr>
                        <w:rFonts w:ascii="Times New Roman" w:hAnsi="Times New Roman" w:cs="Times New Roman"/>
                      </w:rPr>
                      <w:t>外委工程</w:t>
                    </w:r>
                    <w:r w:rsidRPr="00D605CB">
                      <w:rPr>
                        <w:rFonts w:ascii="Times New Roman" w:hAnsi="Times New Roman" w:cs="Times New Roman"/>
                      </w:rPr>
                      <w:t>/</w:t>
                    </w:r>
                    <w:r w:rsidRPr="00D605CB">
                      <w:rPr>
                        <w:rFonts w:ascii="Times New Roman" w:hAnsi="Times New Roman" w:cs="Times New Roman"/>
                      </w:rPr>
                      <w:t>工位器具</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12D058A3" w14:textId="77777777" w:rsidR="00D21C1F" w:rsidRPr="00D605CB" w:rsidRDefault="00A42880" w:rsidP="00D605CB">
                    <w:pPr>
                      <w:jc w:val="right"/>
                      <w:rPr>
                        <w:rFonts w:ascii="Times New Roman" w:hAnsi="Times New Roman" w:cs="Times New Roman"/>
                      </w:rPr>
                    </w:pPr>
                    <w:r w:rsidRPr="00D605CB">
                      <w:rPr>
                        <w:rFonts w:ascii="Times New Roman" w:hAnsi="Times New Roman" w:cs="Times New Roman"/>
                      </w:rPr>
                      <w:t>4,906,811.47</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5DE517A4" w14:textId="77777777" w:rsidR="00D21C1F" w:rsidRPr="00D605CB" w:rsidRDefault="00A42880" w:rsidP="00D605CB">
                    <w:pPr>
                      <w:jc w:val="right"/>
                      <w:rPr>
                        <w:rFonts w:ascii="Times New Roman" w:hAnsi="Times New Roman" w:cs="Times New Roman"/>
                      </w:rPr>
                    </w:pPr>
                    <w:r w:rsidRPr="00D605CB">
                      <w:rPr>
                        <w:rFonts w:ascii="Times New Roman" w:hAnsi="Times New Roman" w:cs="Times New Roman"/>
                      </w:rPr>
                      <w:t>3,833,190.95</w:t>
                    </w:r>
                  </w:p>
                </w:tc>
              </w:tr>
            </w:sdtContent>
          </w:sdt>
          <w:sdt>
            <w:sdtPr>
              <w:rPr>
                <w:rFonts w:ascii="Times New Roman" w:hAnsi="Times New Roman" w:cs="Times New Roman"/>
                <w:szCs w:val="21"/>
              </w:rPr>
              <w:alias w:val="采购商品接受劳务情况明细"/>
              <w:tag w:val="_GBC_0c9767805cb8416eaba14f759181aa29"/>
              <w:id w:val="-356426029"/>
            </w:sdtPr>
            <w:sdtEndPr/>
            <w:sdtContent>
              <w:tr w:rsidR="00D21C1F" w14:paraId="2014BF5F"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0B24D261"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安徽聚隆传动科技股份有限公司及其下属企业</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EA79C39"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减速机</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1F20E70A"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856,636.00</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C4C242D"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1,620.00</w:t>
                    </w:r>
                  </w:p>
                </w:tc>
              </w:tr>
            </w:sdtContent>
          </w:sdt>
          <w:sdt>
            <w:sdtPr>
              <w:rPr>
                <w:rFonts w:ascii="Times New Roman" w:hAnsi="Times New Roman" w:cs="Times New Roman"/>
                <w:szCs w:val="21"/>
              </w:rPr>
              <w:alias w:val="采购商品接受劳务情况明细"/>
              <w:tag w:val="_GBC_0c9767805cb8416eaba14f759181aa29"/>
              <w:id w:val="604008927"/>
            </w:sdtPr>
            <w:sdtEndPr/>
            <w:sdtContent>
              <w:tr w:rsidR="00D21C1F" w14:paraId="5DD5857D"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56FE5E00"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芜湖固高自动化技术有限公司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7691291"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驱动控制器</w:t>
                    </w:r>
                    <w:r w:rsidRPr="00D605CB">
                      <w:rPr>
                        <w:rFonts w:ascii="Times New Roman" w:hAnsi="Times New Roman" w:cs="Times New Roman"/>
                      </w:rPr>
                      <w:t>/</w:t>
                    </w:r>
                    <w:r w:rsidRPr="00D605CB">
                      <w:rPr>
                        <w:rFonts w:ascii="Times New Roman" w:hAnsi="Times New Roman" w:cs="Times New Roman"/>
                      </w:rPr>
                      <w:t>外委工程</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14FA4C73"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83,167.96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61539059"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1,398,022.30</w:t>
                    </w:r>
                  </w:p>
                </w:tc>
              </w:tr>
            </w:sdtContent>
          </w:sdt>
          <w:sdt>
            <w:sdtPr>
              <w:rPr>
                <w:rFonts w:ascii="Times New Roman" w:hAnsi="Times New Roman" w:cs="Times New Roman"/>
                <w:szCs w:val="21"/>
              </w:rPr>
              <w:alias w:val="采购商品接受劳务情况明细"/>
              <w:tag w:val="_GBC_0c9767805cb8416eaba14f759181aa29"/>
              <w:id w:val="-632560677"/>
            </w:sdtPr>
            <w:sdtEndPr/>
            <w:sdtContent>
              <w:tr w:rsidR="00D21C1F" w14:paraId="64687C18"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636F0079"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芜湖华衍水务有限公司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47209A9"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水费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15E95ADC"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40,231.52</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344F61D2"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88,070.88</w:t>
                    </w:r>
                  </w:p>
                </w:tc>
              </w:tr>
            </w:sdtContent>
          </w:sdt>
          <w:sdt>
            <w:sdtPr>
              <w:rPr>
                <w:rFonts w:ascii="Times New Roman" w:hAnsi="Times New Roman" w:cs="Times New Roman"/>
                <w:szCs w:val="21"/>
              </w:rPr>
              <w:alias w:val="采购商品接受劳务情况明细"/>
              <w:tag w:val="_GBC_0c9767805cb8416eaba14f759181aa29"/>
              <w:id w:val="-1394580235"/>
            </w:sdtPr>
            <w:sdtEndPr/>
            <w:sdtContent>
              <w:tr w:rsidR="00D21C1F" w14:paraId="6F3C5051" w14:textId="77777777" w:rsidTr="00D605CB">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176D9783"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Robox S.p.A.</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25A3A8E" w14:textId="77777777" w:rsidR="00D21C1F" w:rsidRPr="00D605CB" w:rsidRDefault="00A42880">
                    <w:pPr>
                      <w:rPr>
                        <w:rFonts w:ascii="Times New Roman" w:hAnsi="Times New Roman" w:cs="Times New Roman"/>
                        <w:szCs w:val="21"/>
                      </w:rPr>
                    </w:pPr>
                    <w:r w:rsidRPr="00D605CB">
                      <w:rPr>
                        <w:rFonts w:ascii="Times New Roman" w:hAnsi="Times New Roman" w:cs="Times New Roman"/>
                      </w:rPr>
                      <w:t>技术开发费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14:paraId="3A853BBE"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2451BFEB"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841,484.28</w:t>
                    </w:r>
                  </w:p>
                </w:tc>
              </w:tr>
            </w:sdtContent>
          </w:sdt>
        </w:tbl>
        <w:p w14:paraId="77E22B3C" w14:textId="77777777" w:rsidR="00D21C1F" w:rsidRDefault="00045EC6">
          <w:pPr>
            <w:pStyle w:val="97"/>
          </w:pPr>
        </w:p>
      </w:sdtContent>
    </w:sdt>
    <w:sdt>
      <w:sdtPr>
        <w:rPr>
          <w:rFonts w:hint="eastAsia"/>
          <w:szCs w:val="21"/>
        </w:rPr>
        <w:alias w:val="模块:出售商品/提供劳务情况"/>
        <w:tag w:val="_GBC_a4e1c0efe9f741ecbb648a33c9afb8fd"/>
        <w:id w:val="1415741746"/>
        <w:lock w:val="sdtLocked"/>
        <w:placeholder>
          <w:docPart w:val="GBC22222222222222222222222222222"/>
        </w:placeholder>
      </w:sdtPr>
      <w:sdtEndPr>
        <w:rPr>
          <w:rFonts w:cs="Cambria"/>
        </w:rPr>
      </w:sdtEndPr>
      <w:sdtContent>
        <w:p w14:paraId="3AA187B8" w14:textId="77777777" w:rsidR="00D21C1F" w:rsidRDefault="00A42880">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600222334"/>
            <w:lock w:val="sdtLocked"/>
            <w:placeholder>
              <w:docPart w:val="GBC22222222222222222222222222222"/>
            </w:placeholder>
          </w:sdtPr>
          <w:sdtEndPr/>
          <w:sdtContent>
            <w:p w14:paraId="61E07F79" w14:textId="77777777" w:rsidR="00D21C1F" w:rsidRDefault="00A42880">
              <w:pPr>
                <w:ind w:rightChars="-369" w:right="-77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C8738CB" w14:textId="77777777" w:rsidR="00D21C1F" w:rsidRDefault="00A42880">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72084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币种：</w:t>
          </w:r>
          <w:sdt>
            <w:sdtPr>
              <w:rPr>
                <w:szCs w:val="21"/>
              </w:rPr>
              <w:alias w:val="币种：出售商品提供劳务情况表"/>
              <w:tag w:val="_GBC_d298f57687684d2eafef1d8c13d51722"/>
              <w:id w:val="-1919086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396"/>
            <w:gridCol w:w="2105"/>
            <w:gridCol w:w="2160"/>
            <w:gridCol w:w="2162"/>
          </w:tblGrid>
          <w:tr w:rsidR="00D21C1F" w14:paraId="41A2489A" w14:textId="77777777">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6A9ABCE7" w14:textId="77777777" w:rsidR="00D21C1F" w:rsidRDefault="00045EC6">
                <w:pPr>
                  <w:jc w:val="center"/>
                  <w:rPr>
                    <w:rFonts w:cs="Cambria"/>
                    <w:szCs w:val="21"/>
                  </w:rPr>
                </w:pPr>
                <w:sdt>
                  <w:sdtPr>
                    <w:tag w:val="_PLD_70510986aab647e99b00ba57c32e64cd"/>
                    <w:id w:val="-71351900"/>
                    <w:lock w:val="sdtLocked"/>
                  </w:sdtPr>
                  <w:sdtEndPr/>
                  <w:sdtContent>
                    <w:r w:rsidR="00A42880">
                      <w:rPr>
                        <w:rFonts w:cs="Cambria" w:hint="eastAsia"/>
                        <w:szCs w:val="21"/>
                      </w:rPr>
                      <w:t>关联方</w:t>
                    </w:r>
                  </w:sdtContent>
                </w:sdt>
              </w:p>
            </w:tc>
            <w:sdt>
              <w:sdtPr>
                <w:tag w:val="_PLD_66da90262f3d401c8151235b4c6f5e93"/>
                <w:id w:val="-206540189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4D4DDF2E" w14:textId="77777777" w:rsidR="00D21C1F" w:rsidRDefault="00A42880">
                    <w:pPr>
                      <w:jc w:val="center"/>
                      <w:rPr>
                        <w:rFonts w:cs="Cambria"/>
                        <w:szCs w:val="21"/>
                      </w:rPr>
                    </w:pPr>
                    <w:r>
                      <w:rPr>
                        <w:rFonts w:cs="Cambria" w:hint="eastAsia"/>
                        <w:szCs w:val="21"/>
                      </w:rPr>
                      <w:t>关联交易内容</w:t>
                    </w:r>
                  </w:p>
                </w:tc>
              </w:sdtContent>
            </w:sdt>
            <w:sdt>
              <w:sdtPr>
                <w:tag w:val="_PLD_09c424bd80324eb49dafea569ce1931b"/>
                <w:id w:val="672156703"/>
                <w:lock w:val="sdtLocked"/>
              </w:sdtPr>
              <w:sdtEndPr/>
              <w:sdtContent>
                <w:tc>
                  <w:tcPr>
                    <w:tcW w:w="1224" w:type="pct"/>
                    <w:tcBorders>
                      <w:top w:val="single" w:sz="4" w:space="0" w:color="auto"/>
                      <w:left w:val="single" w:sz="4" w:space="0" w:color="auto"/>
                      <w:right w:val="single" w:sz="4" w:space="0" w:color="auto"/>
                    </w:tcBorders>
                    <w:shd w:val="clear" w:color="auto" w:fill="auto"/>
                    <w:vAlign w:val="center"/>
                  </w:tcPr>
                  <w:p w14:paraId="3F77CBD1" w14:textId="77777777" w:rsidR="00D21C1F" w:rsidRDefault="00A42880">
                    <w:pPr>
                      <w:jc w:val="center"/>
                      <w:rPr>
                        <w:rFonts w:cs="Cambria"/>
                        <w:szCs w:val="21"/>
                      </w:rPr>
                    </w:pPr>
                    <w:r>
                      <w:rPr>
                        <w:rFonts w:cs="Cambria" w:hint="eastAsia"/>
                        <w:szCs w:val="21"/>
                      </w:rPr>
                      <w:t>本期发生额</w:t>
                    </w:r>
                  </w:p>
                </w:tc>
              </w:sdtContent>
            </w:sdt>
            <w:sdt>
              <w:sdtPr>
                <w:tag w:val="_PLD_fd0f9e0691744db49d5ceaf95d42197c"/>
                <w:id w:val="-1829810951"/>
                <w:lock w:val="sdtLocked"/>
              </w:sdtPr>
              <w:sdtEndPr/>
              <w:sdtContent>
                <w:tc>
                  <w:tcPr>
                    <w:tcW w:w="1225" w:type="pct"/>
                    <w:tcBorders>
                      <w:top w:val="single" w:sz="4" w:space="0" w:color="auto"/>
                      <w:left w:val="single" w:sz="4" w:space="0" w:color="auto"/>
                      <w:right w:val="single" w:sz="4" w:space="0" w:color="auto"/>
                    </w:tcBorders>
                    <w:shd w:val="clear" w:color="auto" w:fill="auto"/>
                    <w:vAlign w:val="center"/>
                  </w:tcPr>
                  <w:p w14:paraId="71D2DE2D" w14:textId="77777777" w:rsidR="00D21C1F" w:rsidRDefault="00A42880">
                    <w:pPr>
                      <w:jc w:val="center"/>
                      <w:rPr>
                        <w:rFonts w:cs="Cambria"/>
                        <w:szCs w:val="21"/>
                      </w:rPr>
                    </w:pPr>
                    <w:r>
                      <w:rPr>
                        <w:rFonts w:cs="Cambria" w:hint="eastAsia"/>
                        <w:szCs w:val="21"/>
                      </w:rPr>
                      <w:t>上期发生额</w:t>
                    </w:r>
                  </w:p>
                </w:tc>
              </w:sdtContent>
            </w:sdt>
          </w:tr>
          <w:sdt>
            <w:sdtPr>
              <w:rPr>
                <w:sz w:val="22"/>
                <w:szCs w:val="21"/>
              </w:rPr>
              <w:alias w:val="出售商品提供劳务情况明细"/>
              <w:tag w:val="_GBC_d6e24b6ca62645f180ecf5d4621afdc6"/>
              <w:id w:val="1190714148"/>
              <w:lock w:val="sdtLocked"/>
            </w:sdtPr>
            <w:sdtEndPr>
              <w:rPr>
                <w:rFonts w:ascii="Times New Roman" w:hAnsi="Times New Roman" w:cs="Times New Roman"/>
              </w:rPr>
            </w:sdtEndPr>
            <w:sdtContent>
              <w:tr w:rsidR="00D21C1F" w14:paraId="17A2CA2E" w14:textId="77777777" w:rsidTr="00D605CB">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09C81749" w14:textId="77777777" w:rsidR="00D21C1F" w:rsidRDefault="00A42880">
                    <w:pPr>
                      <w:rPr>
                        <w:szCs w:val="21"/>
                      </w:rPr>
                    </w:pPr>
                    <w:r>
                      <w:t>江西汇有美智能涂装科技有限公司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C320F1A" w14:textId="77777777" w:rsidR="00D21C1F" w:rsidRDefault="00A42880">
                    <w:pPr>
                      <w:rPr>
                        <w:szCs w:val="21"/>
                      </w:rPr>
                    </w:pPr>
                    <w:r>
                      <w:t>系统集成</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77A5282"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30,354,000.00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ABBF494"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w:t>
                    </w:r>
                  </w:p>
                </w:tc>
              </w:tr>
            </w:sdtContent>
          </w:sdt>
          <w:sdt>
            <w:sdtPr>
              <w:rPr>
                <w:sz w:val="22"/>
                <w:szCs w:val="21"/>
              </w:rPr>
              <w:alias w:val="出售商品提供劳务情况明细"/>
              <w:tag w:val="_GBC_d6e24b6ca62645f180ecf5d4621afdc6"/>
              <w:id w:val="1763646218"/>
              <w:lock w:val="sdtLocked"/>
            </w:sdtPr>
            <w:sdtEndPr>
              <w:rPr>
                <w:rFonts w:ascii="Times New Roman" w:hAnsi="Times New Roman" w:cs="Times New Roman"/>
              </w:rPr>
            </w:sdtEndPr>
            <w:sdtContent>
              <w:tr w:rsidR="00D21C1F" w14:paraId="1CF020B3" w14:textId="77777777" w:rsidTr="00D605CB">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5B32F64A" w14:textId="77777777" w:rsidR="00D21C1F" w:rsidRDefault="00A42880">
                    <w:pPr>
                      <w:rPr>
                        <w:szCs w:val="21"/>
                      </w:rPr>
                    </w:pPr>
                    <w:r>
                      <w:t>安徽工布智造工业科技有限公司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D1F5BD5" w14:textId="77777777" w:rsidR="00D21C1F" w:rsidRDefault="00A42880">
                    <w:pPr>
                      <w:rPr>
                        <w:szCs w:val="21"/>
                      </w:rPr>
                    </w:pPr>
                    <w:r>
                      <w:t>机器人整机</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712EA3F"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6,735,062.77</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3BB153FF"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2,877,375.22</w:t>
                    </w:r>
                  </w:p>
                </w:tc>
              </w:tr>
            </w:sdtContent>
          </w:sdt>
          <w:sdt>
            <w:sdtPr>
              <w:rPr>
                <w:sz w:val="22"/>
                <w:szCs w:val="21"/>
              </w:rPr>
              <w:alias w:val="出售商品提供劳务情况明细"/>
              <w:tag w:val="_GBC_d6e24b6ca62645f180ecf5d4621afdc6"/>
              <w:id w:val="-1705326462"/>
              <w:lock w:val="sdtLocked"/>
            </w:sdtPr>
            <w:sdtEndPr>
              <w:rPr>
                <w:rFonts w:ascii="Times New Roman" w:hAnsi="Times New Roman" w:cs="Times New Roman"/>
              </w:rPr>
            </w:sdtEndPr>
            <w:sdtContent>
              <w:tr w:rsidR="00D21C1F" w14:paraId="45F97564" w14:textId="77777777" w:rsidTr="00D605CB">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43233C4F" w14:textId="77777777" w:rsidR="00D21C1F" w:rsidRDefault="00A42880">
                    <w:pPr>
                      <w:rPr>
                        <w:szCs w:val="21"/>
                      </w:rPr>
                    </w:pPr>
                    <w:r>
                      <w:rPr>
                        <w:rFonts w:hint="eastAsia"/>
                        <w:szCs w:val="21"/>
                      </w:rPr>
                      <w:t>奇瑞控股集团有限公司及其下属企业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39CD6EE7" w14:textId="77777777" w:rsidR="00D21C1F" w:rsidRDefault="00A42880">
                    <w:pPr>
                      <w:rPr>
                        <w:szCs w:val="21"/>
                      </w:rPr>
                    </w:pPr>
                    <w:r>
                      <w:t>系统集成</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246358"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2,920,915.86</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2403EF20"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2,800,645.61</w:t>
                    </w:r>
                  </w:p>
                </w:tc>
              </w:tr>
            </w:sdtContent>
          </w:sdt>
          <w:sdt>
            <w:sdtPr>
              <w:rPr>
                <w:sz w:val="22"/>
                <w:szCs w:val="21"/>
              </w:rPr>
              <w:alias w:val="出售商品提供劳务情况明细"/>
              <w:tag w:val="_GBC_d6e24b6ca62645f180ecf5d4621afdc6"/>
              <w:id w:val="2059579451"/>
              <w:lock w:val="sdtLocked"/>
            </w:sdtPr>
            <w:sdtEndPr>
              <w:rPr>
                <w:rFonts w:ascii="Times New Roman" w:hAnsi="Times New Roman" w:cs="Times New Roman"/>
              </w:rPr>
            </w:sdtEndPr>
            <w:sdtContent>
              <w:tr w:rsidR="00D21C1F" w14:paraId="594C07F4" w14:textId="77777777" w:rsidTr="00D605CB">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0E196435" w14:textId="77777777" w:rsidR="00D21C1F" w:rsidRDefault="00A42880">
                    <w:pPr>
                      <w:rPr>
                        <w:szCs w:val="21"/>
                      </w:rPr>
                    </w:pPr>
                    <w:r>
                      <w:t>芜湖固高自动化技术有限公司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F2607C9" w14:textId="77777777" w:rsidR="00D21C1F" w:rsidRDefault="00A42880">
                    <w:pPr>
                      <w:rPr>
                        <w:szCs w:val="21"/>
                      </w:rPr>
                    </w:pPr>
                    <w:r>
                      <w:t>机器人整机</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105B59C"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1,175,728.91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03150ACD"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840,623.02</w:t>
                    </w:r>
                  </w:p>
                </w:tc>
              </w:tr>
            </w:sdtContent>
          </w:sdt>
          <w:sdt>
            <w:sdtPr>
              <w:rPr>
                <w:sz w:val="22"/>
                <w:szCs w:val="21"/>
              </w:rPr>
              <w:alias w:val="出售商品提供劳务情况明细"/>
              <w:tag w:val="_GBC_d6e24b6ca62645f180ecf5d4621afdc6"/>
              <w:id w:val="720402568"/>
              <w:lock w:val="sdtLocked"/>
            </w:sdtPr>
            <w:sdtEndPr>
              <w:rPr>
                <w:rFonts w:ascii="Times New Roman" w:hAnsi="Times New Roman" w:cs="Times New Roman"/>
              </w:rPr>
            </w:sdtEndPr>
            <w:sdtContent>
              <w:tr w:rsidR="00D21C1F" w14:paraId="65BC98B4" w14:textId="77777777" w:rsidTr="00D605CB">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54D9FF4C" w14:textId="77777777" w:rsidR="00D21C1F" w:rsidRDefault="00A42880">
                    <w:pPr>
                      <w:rPr>
                        <w:szCs w:val="21"/>
                      </w:rPr>
                    </w:pPr>
                    <w:r>
                      <w:t>芜湖哈特机器人产业技术研究院有限公司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A23E76B" w14:textId="77777777" w:rsidR="00D21C1F" w:rsidRDefault="00A42880">
                    <w:pPr>
                      <w:rPr>
                        <w:szCs w:val="21"/>
                      </w:rPr>
                    </w:pPr>
                    <w:r>
                      <w:t>机器人整机</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E71C16C"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24,154.86</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4D1625FF"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33,269.91</w:t>
                    </w:r>
                  </w:p>
                </w:tc>
              </w:tr>
            </w:sdtContent>
          </w:sdt>
          <w:sdt>
            <w:sdtPr>
              <w:rPr>
                <w:sz w:val="22"/>
                <w:szCs w:val="21"/>
              </w:rPr>
              <w:alias w:val="出售商品提供劳务情况明细"/>
              <w:tag w:val="_GBC_d6e24b6ca62645f180ecf5d4621afdc6"/>
              <w:id w:val="1483340482"/>
              <w:lock w:val="sdtLocked"/>
            </w:sdtPr>
            <w:sdtEndPr>
              <w:rPr>
                <w:rFonts w:ascii="Times New Roman" w:hAnsi="Times New Roman" w:cs="Times New Roman"/>
              </w:rPr>
            </w:sdtEndPr>
            <w:sdtContent>
              <w:tr w:rsidR="00D21C1F" w14:paraId="22B66FF3" w14:textId="77777777" w:rsidTr="00D605CB">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0F3B0EE8" w14:textId="77777777" w:rsidR="00D21C1F" w:rsidRDefault="00A42880">
                    <w:pPr>
                      <w:rPr>
                        <w:szCs w:val="21"/>
                      </w:rPr>
                    </w:pPr>
                    <w:r>
                      <w:rPr>
                        <w:rFonts w:hint="eastAsia"/>
                      </w:rPr>
                      <w:t>美的集团股份有限公司及其下属企业</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67B781C4" w14:textId="77777777" w:rsidR="00D21C1F" w:rsidRDefault="00A42880">
                    <w:pPr>
                      <w:rPr>
                        <w:szCs w:val="21"/>
                      </w:rPr>
                    </w:pPr>
                    <w:r>
                      <w:t>维修服务</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5FA31D8"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4,292.04</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6A56E5B0"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3,097.35</w:t>
                    </w:r>
                  </w:p>
                </w:tc>
              </w:tr>
            </w:sdtContent>
          </w:sdt>
          <w:sdt>
            <w:sdtPr>
              <w:rPr>
                <w:sz w:val="22"/>
                <w:szCs w:val="21"/>
              </w:rPr>
              <w:alias w:val="出售商品提供劳务情况明细"/>
              <w:tag w:val="_GBC_d6e24b6ca62645f180ecf5d4621afdc6"/>
              <w:id w:val="954372992"/>
              <w:lock w:val="sdtLocked"/>
            </w:sdtPr>
            <w:sdtEndPr>
              <w:rPr>
                <w:rFonts w:ascii="Times New Roman" w:hAnsi="Times New Roman" w:cs="Times New Roman"/>
              </w:rPr>
            </w:sdtEndPr>
            <w:sdtContent>
              <w:tr w:rsidR="00D21C1F" w14:paraId="1478FBC8" w14:textId="77777777" w:rsidTr="00D605CB">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4BF17D0A" w14:textId="77777777" w:rsidR="00D21C1F" w:rsidRDefault="00A42880">
                    <w:pPr>
                      <w:rPr>
                        <w:szCs w:val="21"/>
                      </w:rPr>
                    </w:pPr>
                    <w:r>
                      <w:t>芜湖奥一精机有限公司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0A56D894" w14:textId="77777777" w:rsidR="00D21C1F" w:rsidRDefault="00A42880">
                    <w:pPr>
                      <w:rPr>
                        <w:szCs w:val="21"/>
                      </w:rPr>
                    </w:pPr>
                    <w:r>
                      <w:t>机器人整机</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0BF677A"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09F198A1"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1,395,726.55</w:t>
                    </w:r>
                  </w:p>
                </w:tc>
              </w:tr>
            </w:sdtContent>
          </w:sdt>
        </w:tbl>
        <w:p w14:paraId="005FF057" w14:textId="77777777" w:rsidR="00D21C1F" w:rsidRDefault="00D21C1F">
          <w:pPr>
            <w:pStyle w:val="97"/>
          </w:pPr>
        </w:p>
        <w:p w14:paraId="7B93F46C" w14:textId="77777777" w:rsidR="00D21C1F" w:rsidRDefault="00A42880">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1502119260"/>
            <w:lock w:val="sdtLocked"/>
            <w:placeholder>
              <w:docPart w:val="GBC22222222222222222222222222222"/>
            </w:placeholder>
          </w:sdtPr>
          <w:sdtEndPr/>
          <w:sdtContent>
            <w:p w14:paraId="7614C3A0" w14:textId="77777777" w:rsidR="00D21C1F" w:rsidRDefault="00A42880">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sdt>
      <w:sdtPr>
        <w:rPr>
          <w:rFonts w:ascii="宋体" w:eastAsia="宋体" w:hAnsi="宋体" w:cs="宋体" w:hint="eastAsia"/>
          <w:b w:val="0"/>
          <w:bCs w:val="0"/>
          <w:kern w:val="0"/>
          <w:szCs w:val="24"/>
        </w:rPr>
        <w:alias w:val="模块:关联受托管理/承包及委托管理/出包情况"/>
        <w:tag w:val="_GBC_41e9e66a2ab04304a0db7b9e032817c5"/>
        <w:id w:val="1714540612"/>
        <w:lock w:val="sdtLocked"/>
        <w:placeholder>
          <w:docPart w:val="GBC22222222222222222222222222222"/>
        </w:placeholder>
      </w:sdtPr>
      <w:sdtEndPr>
        <w:rPr>
          <w:rFonts w:cs="Cambria" w:hint="default"/>
          <w:szCs w:val="21"/>
        </w:rPr>
      </w:sdtEndPr>
      <w:sdtContent>
        <w:p w14:paraId="15A1CB09" w14:textId="77777777" w:rsidR="00D21C1F" w:rsidRDefault="00A42880">
          <w:pPr>
            <w:pStyle w:val="93"/>
            <w:numPr>
              <w:ilvl w:val="0"/>
              <w:numId w:val="138"/>
            </w:numPr>
            <w:tabs>
              <w:tab w:val="left" w:pos="616"/>
            </w:tabs>
            <w:rPr>
              <w:rFonts w:ascii="宋体" w:hAnsi="宋体"/>
            </w:rPr>
          </w:pPr>
          <w:r>
            <w:rPr>
              <w:rFonts w:ascii="宋体" w:hAnsi="宋体" w:hint="eastAsia"/>
            </w:rPr>
            <w:t>关联受托管理/承包及委托管理/出包情况</w:t>
          </w:r>
        </w:p>
        <w:p w14:paraId="7AF6E01F" w14:textId="77777777" w:rsidR="00D21C1F" w:rsidRDefault="00A42880">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975748773"/>
            <w:lock w:val="sdtLocked"/>
            <w:placeholder>
              <w:docPart w:val="GBC22222222222222222222222222222"/>
            </w:placeholder>
          </w:sdtPr>
          <w:sdtEndPr/>
          <w:sdtContent>
            <w:p w14:paraId="6C010CE1" w14:textId="77777777" w:rsidR="00D21C1F" w:rsidRDefault="00A42880">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F580B3F" w14:textId="77777777" w:rsidR="00D21C1F" w:rsidRDefault="00A42880">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2101019760"/>
            <w:lock w:val="sdtLocked"/>
            <w:placeholder>
              <w:docPart w:val="GBC22222222222222222222222222222"/>
            </w:placeholder>
          </w:sdtPr>
          <w:sdtEndPr/>
          <w:sdtContent>
            <w:p w14:paraId="6FB4654C" w14:textId="77777777" w:rsidR="00D21C1F" w:rsidRDefault="00A42880">
              <w:pPr>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69F06B9" w14:textId="77777777" w:rsidR="00D21C1F" w:rsidRDefault="00A42880">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660272649"/>
            <w:lock w:val="sdtLocked"/>
            <w:placeholder>
              <w:docPart w:val="GBC22222222222222222222222222222"/>
            </w:placeholder>
          </w:sdtPr>
          <w:sdtEndPr/>
          <w:sdtContent>
            <w:p w14:paraId="4DD1D99F" w14:textId="77777777" w:rsidR="00D21C1F" w:rsidRDefault="00A42880">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069690B1" w14:textId="77777777" w:rsidR="00D21C1F" w:rsidRDefault="00A42880">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769583055"/>
            <w:lock w:val="sdtLocked"/>
            <w:placeholder>
              <w:docPart w:val="GBC22222222222222222222222222222"/>
            </w:placeholder>
          </w:sdtPr>
          <w:sdtEndPr/>
          <w:sdtContent>
            <w:p w14:paraId="5939874D" w14:textId="77777777" w:rsidR="00D21C1F" w:rsidRDefault="00A42880">
              <w:pPr>
                <w:rPr>
                  <w:rFonts w:cs="Cambria"/>
                  <w:bCs/>
                  <w:szCs w:val="21"/>
                </w:rPr>
              </w:pPr>
              <w:r>
                <w:rPr>
                  <w:rFonts w:cs="Cambria"/>
                  <w:bCs/>
                  <w:szCs w:val="21"/>
                </w:rPr>
                <w:fldChar w:fldCharType="begin"/>
              </w:r>
              <w:r>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0F088D3C" w14:textId="77777777" w:rsidR="00D21C1F" w:rsidRDefault="00045EC6">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871604971"/>
        <w:lock w:val="sdtLocked"/>
        <w:placeholder>
          <w:docPart w:val="GBC22222222222222222222222222222"/>
        </w:placeholder>
      </w:sdtPr>
      <w:sdtEndPr/>
      <w:sdtContent>
        <w:p w14:paraId="561EFEBA" w14:textId="77777777" w:rsidR="00D21C1F" w:rsidRDefault="00A42880">
          <w:pPr>
            <w:pStyle w:val="93"/>
            <w:numPr>
              <w:ilvl w:val="0"/>
              <w:numId w:val="138"/>
            </w:numPr>
            <w:tabs>
              <w:tab w:val="left" w:pos="616"/>
            </w:tabs>
            <w:rPr>
              <w:rFonts w:ascii="宋体" w:hAnsi="宋体"/>
            </w:rPr>
          </w:pPr>
          <w:r>
            <w:rPr>
              <w:rFonts w:ascii="宋体" w:hAnsi="宋体" w:hint="eastAsia"/>
            </w:rPr>
            <w:t>关联租赁情况</w:t>
          </w:r>
        </w:p>
        <w:p w14:paraId="7E1F0DCB" w14:textId="77777777" w:rsidR="00D21C1F" w:rsidRDefault="00A42880">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966546809"/>
            <w:lock w:val="sdtLocked"/>
            <w:placeholder>
              <w:docPart w:val="GBC22222222222222222222222222222"/>
            </w:placeholder>
          </w:sdtPr>
          <w:sdtEndPr/>
          <w:sdtContent>
            <w:p w14:paraId="086117F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E2067A" w14:textId="77777777" w:rsidR="00D21C1F" w:rsidRDefault="00A42880">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644232591"/>
            <w:lock w:val="sdtLocked"/>
            <w:placeholder>
              <w:docPart w:val="GBC22222222222222222222222222222"/>
            </w:placeholder>
          </w:sdtPr>
          <w:sdtEndPr/>
          <w:sdtContent>
            <w:p w14:paraId="6D1F2752"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346D0C" w14:textId="77777777" w:rsidR="00D21C1F" w:rsidRDefault="00A42880">
          <w:pPr>
            <w:jc w:val="right"/>
            <w:rPr>
              <w:szCs w:val="21"/>
            </w:rPr>
          </w:pPr>
          <w:r>
            <w:rPr>
              <w:rFonts w:hint="eastAsia"/>
              <w:szCs w:val="21"/>
            </w:rPr>
            <w:t>单位：</w:t>
          </w:r>
          <w:sdt>
            <w:sdtPr>
              <w:rPr>
                <w:rFonts w:hint="eastAsia"/>
                <w:szCs w:val="21"/>
              </w:rPr>
              <w:alias w:val="单位：公司承租情况表"/>
              <w:tag w:val="_GBC_c4f9d2e7743f429a85c30d009abea834"/>
              <w:id w:val="-20194550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公司承租情况表"/>
              <w:tag w:val="_GBC_bad2c4d4779f4dc2bace6d7ca19d4585"/>
              <w:id w:val="-14167056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265"/>
            <w:gridCol w:w="1406"/>
            <w:gridCol w:w="2109"/>
            <w:gridCol w:w="2043"/>
          </w:tblGrid>
          <w:tr w:rsidR="00D21C1F" w14:paraId="15C3EF71" w14:textId="77777777">
            <w:trPr>
              <w:trHeight w:val="310"/>
            </w:trPr>
            <w:sdt>
              <w:sdtPr>
                <w:tag w:val="_PLD_0a09d4d001e74fe3a6d865aeb5fab910"/>
                <w:id w:val="1292549924"/>
                <w:lock w:val="sdtLocked"/>
              </w:sdtPr>
              <w:sdtEndPr/>
              <w:sdtContent>
                <w:tc>
                  <w:tcPr>
                    <w:tcW w:w="1850" w:type="pct"/>
                    <w:tcBorders>
                      <w:top w:val="single" w:sz="4" w:space="0" w:color="auto"/>
                      <w:left w:val="single" w:sz="4" w:space="0" w:color="auto"/>
                      <w:right w:val="single" w:sz="4" w:space="0" w:color="auto"/>
                    </w:tcBorders>
                    <w:shd w:val="clear" w:color="auto" w:fill="auto"/>
                    <w:vAlign w:val="center"/>
                  </w:tcPr>
                  <w:p w14:paraId="794853BA" w14:textId="77777777" w:rsidR="00D21C1F" w:rsidRDefault="00A42880">
                    <w:pPr>
                      <w:jc w:val="center"/>
                      <w:rPr>
                        <w:szCs w:val="21"/>
                      </w:rPr>
                    </w:pPr>
                    <w:r>
                      <w:rPr>
                        <w:rFonts w:hint="eastAsia"/>
                        <w:szCs w:val="21"/>
                      </w:rPr>
                      <w:t>出租方名称</w:t>
                    </w:r>
                  </w:p>
                </w:tc>
              </w:sdtContent>
            </w:sdt>
            <w:sdt>
              <w:sdtPr>
                <w:tag w:val="_PLD_8f2b6c0b27fc41c19bc3ddb5e8c23d38"/>
                <w:id w:val="853307885"/>
                <w:lock w:val="sdtLocked"/>
              </w:sdtPr>
              <w:sdtEndPr/>
              <w:sdtContent>
                <w:tc>
                  <w:tcPr>
                    <w:tcW w:w="797" w:type="pct"/>
                    <w:tcBorders>
                      <w:top w:val="single" w:sz="4" w:space="0" w:color="auto"/>
                      <w:left w:val="single" w:sz="4" w:space="0" w:color="auto"/>
                      <w:right w:val="single" w:sz="4" w:space="0" w:color="auto"/>
                    </w:tcBorders>
                    <w:shd w:val="clear" w:color="auto" w:fill="auto"/>
                    <w:vAlign w:val="center"/>
                  </w:tcPr>
                  <w:p w14:paraId="66C0F5C3" w14:textId="77777777" w:rsidR="00D21C1F" w:rsidRDefault="00A42880">
                    <w:pPr>
                      <w:jc w:val="center"/>
                      <w:rPr>
                        <w:szCs w:val="21"/>
                      </w:rPr>
                    </w:pPr>
                    <w:r>
                      <w:rPr>
                        <w:rFonts w:hint="eastAsia"/>
                        <w:szCs w:val="21"/>
                      </w:rPr>
                      <w:t>租赁资产种类</w:t>
                    </w:r>
                  </w:p>
                </w:tc>
              </w:sdtContent>
            </w:sdt>
            <w:sdt>
              <w:sdtPr>
                <w:tag w:val="_PLD_1a07095594554b409b72dea609345e26"/>
                <w:id w:val="-607112508"/>
                <w:lock w:val="sdtLocked"/>
              </w:sdtPr>
              <w:sdtEndPr/>
              <w:sdtContent>
                <w:tc>
                  <w:tcPr>
                    <w:tcW w:w="1195" w:type="pct"/>
                    <w:tcBorders>
                      <w:top w:val="single" w:sz="4" w:space="0" w:color="auto"/>
                      <w:left w:val="single" w:sz="4" w:space="0" w:color="auto"/>
                      <w:right w:val="single" w:sz="4" w:space="0" w:color="auto"/>
                    </w:tcBorders>
                    <w:shd w:val="clear" w:color="auto" w:fill="auto"/>
                    <w:vAlign w:val="center"/>
                  </w:tcPr>
                  <w:p w14:paraId="13A128F6" w14:textId="77777777" w:rsidR="00D21C1F" w:rsidRDefault="00A42880">
                    <w:pPr>
                      <w:jc w:val="center"/>
                      <w:rPr>
                        <w:szCs w:val="21"/>
                      </w:rPr>
                    </w:pPr>
                    <w:r>
                      <w:rPr>
                        <w:rFonts w:hint="eastAsia"/>
                        <w:szCs w:val="21"/>
                      </w:rPr>
                      <w:t>本期确认的租赁费</w:t>
                    </w:r>
                  </w:p>
                </w:tc>
              </w:sdtContent>
            </w:sdt>
            <w:sdt>
              <w:sdtPr>
                <w:tag w:val="_PLD_719d99d0e51d4f5eb9d74441d044bfe5"/>
                <w:id w:val="-490488762"/>
                <w:lock w:val="sdtLocked"/>
              </w:sdtPr>
              <w:sdtEndPr/>
              <w:sdtContent>
                <w:tc>
                  <w:tcPr>
                    <w:tcW w:w="1158" w:type="pct"/>
                    <w:tcBorders>
                      <w:top w:val="single" w:sz="4" w:space="0" w:color="auto"/>
                      <w:left w:val="single" w:sz="4" w:space="0" w:color="auto"/>
                      <w:right w:val="single" w:sz="4" w:space="0" w:color="auto"/>
                    </w:tcBorders>
                    <w:shd w:val="clear" w:color="auto" w:fill="auto"/>
                    <w:vAlign w:val="center"/>
                  </w:tcPr>
                  <w:p w14:paraId="28AD2728" w14:textId="77777777" w:rsidR="00D21C1F" w:rsidRDefault="00A42880">
                    <w:pPr>
                      <w:jc w:val="center"/>
                      <w:rPr>
                        <w:szCs w:val="21"/>
                      </w:rPr>
                    </w:pPr>
                    <w:r>
                      <w:rPr>
                        <w:rFonts w:hint="eastAsia"/>
                        <w:szCs w:val="21"/>
                      </w:rPr>
                      <w:t>上期确认的租赁费</w:t>
                    </w:r>
                  </w:p>
                </w:tc>
              </w:sdtContent>
            </w:sdt>
          </w:tr>
          <w:sdt>
            <w:sdtPr>
              <w:rPr>
                <w:rFonts w:ascii="Times New Roman" w:hAnsi="Times New Roman" w:cs="Times New Roman"/>
                <w:szCs w:val="21"/>
              </w:rPr>
              <w:alias w:val="公司承租情况明细"/>
              <w:tag w:val="_GBC_2cb90c924bac4d8690c03cd1fa4f690b"/>
              <w:id w:val="672225191"/>
              <w:lock w:val="sdtLocked"/>
            </w:sdtPr>
            <w:sdtEndPr/>
            <w:sdtContent>
              <w:tr w:rsidR="00D21C1F" w14:paraId="25A31295" w14:textId="77777777" w:rsidTr="00D605CB">
                <w:tc>
                  <w:tcPr>
                    <w:tcW w:w="1850" w:type="pct"/>
                    <w:tcBorders>
                      <w:top w:val="single" w:sz="4" w:space="0" w:color="auto"/>
                      <w:left w:val="single" w:sz="4" w:space="0" w:color="auto"/>
                      <w:bottom w:val="single" w:sz="4" w:space="0" w:color="auto"/>
                      <w:right w:val="single" w:sz="4" w:space="0" w:color="auto"/>
                    </w:tcBorders>
                  </w:tcPr>
                  <w:p w14:paraId="18C58796" w14:textId="77777777" w:rsidR="00D21C1F" w:rsidRDefault="00A42880">
                    <w:pPr>
                      <w:rPr>
                        <w:rFonts w:ascii="Times New Roman" w:hAnsi="Times New Roman" w:cs="Times New Roman"/>
                        <w:szCs w:val="21"/>
                      </w:rPr>
                    </w:pPr>
                    <w:r>
                      <w:rPr>
                        <w:rFonts w:ascii="Times New Roman" w:hAnsi="Times New Roman" w:cs="Times New Roman"/>
                      </w:rPr>
                      <w:t>GEMPE Administradora de Bens Imóveis Próprios Eireli</w:t>
                    </w:r>
                  </w:p>
                </w:tc>
                <w:tc>
                  <w:tcPr>
                    <w:tcW w:w="797" w:type="pct"/>
                    <w:tcBorders>
                      <w:top w:val="single" w:sz="4" w:space="0" w:color="auto"/>
                      <w:left w:val="single" w:sz="4" w:space="0" w:color="auto"/>
                      <w:bottom w:val="single" w:sz="4" w:space="0" w:color="auto"/>
                      <w:right w:val="single" w:sz="4" w:space="0" w:color="auto"/>
                    </w:tcBorders>
                  </w:tcPr>
                  <w:p w14:paraId="6CEF4E8B" w14:textId="77777777" w:rsidR="00D21C1F" w:rsidRDefault="00A42880">
                    <w:pPr>
                      <w:rPr>
                        <w:szCs w:val="21"/>
                      </w:rPr>
                    </w:pPr>
                    <w:r>
                      <w:t>房屋及建筑物</w:t>
                    </w:r>
                  </w:p>
                </w:tc>
                <w:tc>
                  <w:tcPr>
                    <w:tcW w:w="1195" w:type="pct"/>
                    <w:tcBorders>
                      <w:top w:val="single" w:sz="4" w:space="0" w:color="auto"/>
                      <w:left w:val="single" w:sz="4" w:space="0" w:color="auto"/>
                      <w:bottom w:val="single" w:sz="4" w:space="0" w:color="auto"/>
                      <w:right w:val="single" w:sz="4" w:space="0" w:color="auto"/>
                    </w:tcBorders>
                    <w:vAlign w:val="center"/>
                  </w:tcPr>
                  <w:p w14:paraId="33A52E85"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2,327,259.43</w:t>
                    </w:r>
                  </w:p>
                </w:tc>
                <w:tc>
                  <w:tcPr>
                    <w:tcW w:w="1158" w:type="pct"/>
                    <w:tcBorders>
                      <w:top w:val="single" w:sz="4" w:space="0" w:color="auto"/>
                      <w:left w:val="single" w:sz="4" w:space="0" w:color="auto"/>
                      <w:bottom w:val="single" w:sz="4" w:space="0" w:color="auto"/>
                      <w:right w:val="single" w:sz="4" w:space="0" w:color="auto"/>
                    </w:tcBorders>
                    <w:vAlign w:val="center"/>
                  </w:tcPr>
                  <w:p w14:paraId="62F68040"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2,697,222.65</w:t>
                    </w:r>
                  </w:p>
                </w:tc>
              </w:tr>
            </w:sdtContent>
          </w:sdt>
          <w:sdt>
            <w:sdtPr>
              <w:rPr>
                <w:rFonts w:ascii="Times New Roman" w:hAnsi="Times New Roman" w:cs="Times New Roman"/>
                <w:szCs w:val="21"/>
              </w:rPr>
              <w:alias w:val="公司承租情况明细"/>
              <w:tag w:val="_GBC_2cb90c924bac4d8690c03cd1fa4f690b"/>
              <w:id w:val="-50389293"/>
              <w:lock w:val="sdtLocked"/>
            </w:sdtPr>
            <w:sdtEndPr/>
            <w:sdtContent>
              <w:tr w:rsidR="00D21C1F" w14:paraId="7D72DE9F" w14:textId="77777777" w:rsidTr="00D605CB">
                <w:tc>
                  <w:tcPr>
                    <w:tcW w:w="1850" w:type="pct"/>
                    <w:tcBorders>
                      <w:top w:val="single" w:sz="4" w:space="0" w:color="auto"/>
                      <w:left w:val="single" w:sz="4" w:space="0" w:color="auto"/>
                      <w:bottom w:val="single" w:sz="4" w:space="0" w:color="auto"/>
                      <w:right w:val="single" w:sz="4" w:space="0" w:color="auto"/>
                    </w:tcBorders>
                  </w:tcPr>
                  <w:p w14:paraId="7C0CB737" w14:textId="77777777" w:rsidR="00D21C1F" w:rsidRDefault="00A42880">
                    <w:pPr>
                      <w:rPr>
                        <w:rFonts w:ascii="Times New Roman" w:hAnsi="Times New Roman" w:cs="Times New Roman"/>
                        <w:szCs w:val="21"/>
                      </w:rPr>
                    </w:pPr>
                    <w:r>
                      <w:rPr>
                        <w:rFonts w:ascii="Times New Roman" w:hAnsi="Times New Roman" w:cs="Times New Roman"/>
                      </w:rPr>
                      <w:t>C.F. Real Estate Sp. z o.o.</w:t>
                    </w:r>
                  </w:p>
                </w:tc>
                <w:tc>
                  <w:tcPr>
                    <w:tcW w:w="797" w:type="pct"/>
                    <w:tcBorders>
                      <w:top w:val="single" w:sz="4" w:space="0" w:color="auto"/>
                      <w:left w:val="single" w:sz="4" w:space="0" w:color="auto"/>
                      <w:bottom w:val="single" w:sz="4" w:space="0" w:color="auto"/>
                      <w:right w:val="single" w:sz="4" w:space="0" w:color="auto"/>
                    </w:tcBorders>
                  </w:tcPr>
                  <w:p w14:paraId="0EDDB810" w14:textId="77777777" w:rsidR="00D21C1F" w:rsidRDefault="00A42880">
                    <w:pPr>
                      <w:rPr>
                        <w:szCs w:val="21"/>
                      </w:rPr>
                    </w:pPr>
                    <w:r>
                      <w:t>房屋及建筑物</w:t>
                    </w:r>
                  </w:p>
                </w:tc>
                <w:tc>
                  <w:tcPr>
                    <w:tcW w:w="1195" w:type="pct"/>
                    <w:tcBorders>
                      <w:top w:val="single" w:sz="4" w:space="0" w:color="auto"/>
                      <w:left w:val="single" w:sz="4" w:space="0" w:color="auto"/>
                      <w:bottom w:val="single" w:sz="4" w:space="0" w:color="auto"/>
                      <w:right w:val="single" w:sz="4" w:space="0" w:color="auto"/>
                    </w:tcBorders>
                    <w:vAlign w:val="center"/>
                  </w:tcPr>
                  <w:p w14:paraId="6AEAF3AF"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2,105,718.55</w:t>
                    </w:r>
                  </w:p>
                </w:tc>
                <w:tc>
                  <w:tcPr>
                    <w:tcW w:w="1158" w:type="pct"/>
                    <w:tcBorders>
                      <w:top w:val="single" w:sz="4" w:space="0" w:color="auto"/>
                      <w:left w:val="single" w:sz="4" w:space="0" w:color="auto"/>
                      <w:bottom w:val="single" w:sz="4" w:space="0" w:color="auto"/>
                      <w:right w:val="single" w:sz="4" w:space="0" w:color="auto"/>
                    </w:tcBorders>
                    <w:vAlign w:val="center"/>
                  </w:tcPr>
                  <w:p w14:paraId="5293716A"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2,229,128.47</w:t>
                    </w:r>
                  </w:p>
                </w:tc>
              </w:tr>
            </w:sdtContent>
          </w:sdt>
          <w:sdt>
            <w:sdtPr>
              <w:rPr>
                <w:rFonts w:ascii="Times New Roman" w:hAnsi="Times New Roman" w:cs="Times New Roman"/>
                <w:szCs w:val="21"/>
              </w:rPr>
              <w:alias w:val="公司承租情况明细"/>
              <w:tag w:val="_GBC_2cb90c924bac4d8690c03cd1fa4f690b"/>
              <w:id w:val="-983618651"/>
              <w:lock w:val="sdtLocked"/>
            </w:sdtPr>
            <w:sdtEndPr/>
            <w:sdtContent>
              <w:tr w:rsidR="00D21C1F" w14:paraId="1806923D" w14:textId="77777777" w:rsidTr="00D605CB">
                <w:tc>
                  <w:tcPr>
                    <w:tcW w:w="1850" w:type="pct"/>
                    <w:tcBorders>
                      <w:top w:val="single" w:sz="4" w:space="0" w:color="auto"/>
                      <w:left w:val="single" w:sz="4" w:space="0" w:color="auto"/>
                      <w:bottom w:val="single" w:sz="4" w:space="0" w:color="auto"/>
                      <w:right w:val="single" w:sz="4" w:space="0" w:color="auto"/>
                    </w:tcBorders>
                  </w:tcPr>
                  <w:p w14:paraId="3AD38847" w14:textId="77777777" w:rsidR="00D21C1F" w:rsidRDefault="00A42880">
                    <w:pPr>
                      <w:rPr>
                        <w:rFonts w:ascii="Times New Roman" w:hAnsi="Times New Roman" w:cs="Times New Roman"/>
                        <w:szCs w:val="21"/>
                      </w:rPr>
                    </w:pPr>
                    <w:r>
                      <w:rPr>
                        <w:rFonts w:ascii="Times New Roman" w:hAnsi="Times New Roman" w:cs="Times New Roman"/>
                      </w:rPr>
                      <w:t>GEC Empreendimentos Imobiliarios Ltda.</w:t>
                    </w:r>
                  </w:p>
                </w:tc>
                <w:tc>
                  <w:tcPr>
                    <w:tcW w:w="797" w:type="pct"/>
                    <w:tcBorders>
                      <w:top w:val="single" w:sz="4" w:space="0" w:color="auto"/>
                      <w:left w:val="single" w:sz="4" w:space="0" w:color="auto"/>
                      <w:bottom w:val="single" w:sz="4" w:space="0" w:color="auto"/>
                      <w:right w:val="single" w:sz="4" w:space="0" w:color="auto"/>
                    </w:tcBorders>
                  </w:tcPr>
                  <w:p w14:paraId="601FD1D9" w14:textId="77777777" w:rsidR="00D21C1F" w:rsidRDefault="00A42880">
                    <w:pPr>
                      <w:rPr>
                        <w:szCs w:val="21"/>
                      </w:rPr>
                    </w:pPr>
                    <w:r>
                      <w:t>房屋及建筑物</w:t>
                    </w:r>
                  </w:p>
                </w:tc>
                <w:tc>
                  <w:tcPr>
                    <w:tcW w:w="1195" w:type="pct"/>
                    <w:tcBorders>
                      <w:top w:val="single" w:sz="4" w:space="0" w:color="auto"/>
                      <w:left w:val="single" w:sz="4" w:space="0" w:color="auto"/>
                      <w:bottom w:val="single" w:sz="4" w:space="0" w:color="auto"/>
                      <w:right w:val="single" w:sz="4" w:space="0" w:color="auto"/>
                    </w:tcBorders>
                    <w:vAlign w:val="center"/>
                  </w:tcPr>
                  <w:p w14:paraId="3FC26BAA"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159,999.09</w:t>
                    </w:r>
                  </w:p>
                </w:tc>
                <w:tc>
                  <w:tcPr>
                    <w:tcW w:w="1158" w:type="pct"/>
                    <w:tcBorders>
                      <w:top w:val="single" w:sz="4" w:space="0" w:color="auto"/>
                      <w:left w:val="single" w:sz="4" w:space="0" w:color="auto"/>
                      <w:bottom w:val="single" w:sz="4" w:space="0" w:color="auto"/>
                      <w:right w:val="single" w:sz="4" w:space="0" w:color="auto"/>
                    </w:tcBorders>
                    <w:vAlign w:val="center"/>
                  </w:tcPr>
                  <w:p w14:paraId="20A93FF0" w14:textId="77777777" w:rsidR="00D21C1F" w:rsidRPr="00D605CB" w:rsidRDefault="00A42880" w:rsidP="00D605CB">
                    <w:pPr>
                      <w:jc w:val="right"/>
                      <w:rPr>
                        <w:rFonts w:ascii="Times New Roman" w:hAnsi="Times New Roman" w:cs="Times New Roman"/>
                        <w:szCs w:val="21"/>
                      </w:rPr>
                    </w:pPr>
                    <w:r w:rsidRPr="00D605CB">
                      <w:rPr>
                        <w:rFonts w:ascii="Times New Roman" w:hAnsi="Times New Roman" w:cs="Times New Roman"/>
                      </w:rPr>
                      <w:t>185,434.06</w:t>
                    </w:r>
                  </w:p>
                </w:tc>
              </w:tr>
            </w:sdtContent>
          </w:sdt>
        </w:tbl>
        <w:p w14:paraId="4F24DC8A" w14:textId="77777777" w:rsidR="00D21C1F" w:rsidRDefault="00A42880">
          <w:pPr>
            <w:rPr>
              <w:szCs w:val="21"/>
            </w:rPr>
          </w:pPr>
          <w:r>
            <w:rPr>
              <w:rFonts w:hint="eastAsia"/>
              <w:szCs w:val="21"/>
            </w:rPr>
            <w:t>关联租赁情况说明</w:t>
          </w:r>
        </w:p>
        <w:sdt>
          <w:sdtPr>
            <w:rPr>
              <w:szCs w:val="21"/>
            </w:rPr>
            <w:alias w:val="是否适用：关联租赁情况说明[双击切换]"/>
            <w:tag w:val="_GBC_a8d25c1a27d24bbeb9dd0063be85a310"/>
            <w:id w:val="-1142575563"/>
            <w:lock w:val="sdtLocked"/>
            <w:placeholder>
              <w:docPart w:val="GBC22222222222222222222222222222"/>
            </w:placeholder>
          </w:sdtPr>
          <w:sdtEndPr/>
          <w:sdtContent>
            <w:p w14:paraId="542D84AE"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47EC49" w14:textId="77777777" w:rsidR="00D21C1F" w:rsidRDefault="00045EC6">
          <w:pPr>
            <w:pStyle w:val="97"/>
          </w:pPr>
        </w:p>
      </w:sdtContent>
    </w:sdt>
    <w:sdt>
      <w:sdtPr>
        <w:rPr>
          <w:rFonts w:ascii="宋体" w:eastAsia="宋体" w:hAnsi="宋体" w:cs="Arial" w:hint="eastAsia"/>
          <w:b w:val="0"/>
          <w:bCs w:val="0"/>
          <w:kern w:val="0"/>
          <w:szCs w:val="21"/>
        </w:rPr>
        <w:alias w:val="模块:关联担保情况"/>
        <w:tag w:val="_GBC_a87b2e666bc14a67817d2d3189396350"/>
        <w:id w:val="1110782592"/>
        <w:lock w:val="sdtLocked"/>
        <w:placeholder>
          <w:docPart w:val="GBC22222222222222222222222222222"/>
        </w:placeholder>
      </w:sdtPr>
      <w:sdtEndPr>
        <w:rPr>
          <w:rFonts w:cs="Cambria" w:hint="default"/>
          <w:sz w:val="20"/>
          <w:szCs w:val="20"/>
        </w:rPr>
      </w:sdtEndPr>
      <w:sdtContent>
        <w:p w14:paraId="6F40ADFE" w14:textId="77777777" w:rsidR="00D21C1F" w:rsidRDefault="00A42880">
          <w:pPr>
            <w:pStyle w:val="93"/>
            <w:numPr>
              <w:ilvl w:val="0"/>
              <w:numId w:val="138"/>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14:paraId="1F5FE4AF" w14:textId="77777777" w:rsidR="00D21C1F" w:rsidRDefault="00A42880">
          <w:pPr>
            <w:pStyle w:val="97"/>
          </w:pPr>
          <w:r>
            <w:rPr>
              <w:rFonts w:hint="eastAsia"/>
            </w:rPr>
            <w:t>本公司作为担保方</w:t>
          </w:r>
        </w:p>
        <w:sdt>
          <w:sdtPr>
            <w:alias w:val="是否适用：本公司作为担保方的担保情况表[双击切换]"/>
            <w:tag w:val="_GBC_f0150417f8ec4c5281b86683570391cb"/>
            <w:id w:val="-183434755"/>
            <w:lock w:val="sdtLocked"/>
            <w:placeholder>
              <w:docPart w:val="GBC22222222222222222222222222222"/>
            </w:placeholder>
          </w:sdtPr>
          <w:sdtEndPr/>
          <w:sdtContent>
            <w:p w14:paraId="3CD4C75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F05688" w14:textId="77777777" w:rsidR="00D21C1F" w:rsidRDefault="00A42880">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1728749036"/>
            <w:lock w:val="sdtLocked"/>
            <w:placeholder>
              <w:docPart w:val="GBC22222222222222222222222222222"/>
            </w:placeholder>
          </w:sdtPr>
          <w:sdtEndPr/>
          <w:sdtContent>
            <w:p w14:paraId="243477E6" w14:textId="77777777" w:rsidR="00D21C1F" w:rsidRDefault="00A42880">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0BE879E4" w14:textId="77777777" w:rsidR="00D21C1F" w:rsidRDefault="00A42880">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3577390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元</w:t>
              </w:r>
            </w:sdtContent>
          </w:sdt>
          <w:r>
            <w:rPr>
              <w:rFonts w:cs="Cambria" w:hint="eastAsia"/>
            </w:rPr>
            <w:t>币种:</w:t>
          </w:r>
          <w:sdt>
            <w:sdtPr>
              <w:rPr>
                <w:rFonts w:cs="Cambria" w:hint="eastAsia"/>
              </w:rPr>
              <w:alias w:val="币种：财务附注：本公司作为被担保方"/>
              <w:tag w:val="_GBC_684efbccec674b3abab20e6aa5c20b55"/>
              <w:id w:val="360020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cs="Cambria"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563"/>
            <w:gridCol w:w="1406"/>
            <w:gridCol w:w="1828"/>
            <w:gridCol w:w="1830"/>
            <w:gridCol w:w="1196"/>
          </w:tblGrid>
          <w:tr w:rsidR="00D21C1F" w14:paraId="79A7085C" w14:textId="77777777">
            <w:sdt>
              <w:sdtPr>
                <w:tag w:val="_PLD_ac54f32073154fadb7bb88f234c3975e"/>
                <w:id w:val="-180901307"/>
                <w:lock w:val="sdtLocked"/>
              </w:sdtPr>
              <w:sdtEndPr/>
              <w:sdtContent>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14:paraId="7098D04E" w14:textId="77777777" w:rsidR="00D21C1F" w:rsidRDefault="00A42880">
                    <w:pPr>
                      <w:jc w:val="center"/>
                      <w:rPr>
                        <w:rFonts w:cs="Cambria"/>
                      </w:rPr>
                    </w:pPr>
                    <w:r>
                      <w:rPr>
                        <w:rFonts w:cs="Cambria" w:hint="eastAsia"/>
                      </w:rPr>
                      <w:t>担保方</w:t>
                    </w:r>
                  </w:p>
                </w:tc>
              </w:sdtContent>
            </w:sdt>
            <w:sdt>
              <w:sdtPr>
                <w:tag w:val="_PLD_7f8c0504748f429fb56091b7c979ae8f"/>
                <w:id w:val="-1971131278"/>
                <w:lock w:val="sdtLocked"/>
              </w:sdtPr>
              <w:sdtEndPr/>
              <w:sdtContent>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17C2E2F" w14:textId="77777777" w:rsidR="00D21C1F" w:rsidRDefault="00A42880">
                    <w:pPr>
                      <w:jc w:val="center"/>
                      <w:rPr>
                        <w:rFonts w:cs="Cambria"/>
                      </w:rPr>
                    </w:pPr>
                    <w:r>
                      <w:rPr>
                        <w:rFonts w:cs="Cambria" w:hint="eastAsia"/>
                      </w:rPr>
                      <w:t>担保金额</w:t>
                    </w:r>
                  </w:p>
                </w:tc>
              </w:sdtContent>
            </w:sdt>
            <w:sdt>
              <w:sdtPr>
                <w:tag w:val="_PLD_420586bc450946f7ade316af068ebd3c"/>
                <w:id w:val="109190066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4047FA5" w14:textId="77777777" w:rsidR="00D21C1F" w:rsidRDefault="00A42880">
                    <w:pPr>
                      <w:jc w:val="center"/>
                      <w:rPr>
                        <w:rFonts w:cs="Cambria"/>
                      </w:rPr>
                    </w:pPr>
                    <w:r>
                      <w:rPr>
                        <w:rFonts w:cs="Cambria" w:hint="eastAsia"/>
                      </w:rPr>
                      <w:t>担保起始日</w:t>
                    </w:r>
                  </w:p>
                </w:tc>
              </w:sdtContent>
            </w:sdt>
            <w:sdt>
              <w:sdtPr>
                <w:tag w:val="_PLD_06d4f9d2aefd4b9abe4a16528e7585c3"/>
                <w:id w:val="1122044351"/>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3BA183C1" w14:textId="77777777" w:rsidR="00D21C1F" w:rsidRDefault="00A42880">
                    <w:pPr>
                      <w:jc w:val="center"/>
                      <w:rPr>
                        <w:rFonts w:cs="Cambria"/>
                      </w:rPr>
                    </w:pPr>
                    <w:r>
                      <w:rPr>
                        <w:rFonts w:cs="Cambria" w:hint="eastAsia"/>
                      </w:rPr>
                      <w:t>担保到期日</w:t>
                    </w:r>
                  </w:p>
                </w:tc>
              </w:sdtContent>
            </w:sdt>
            <w:sdt>
              <w:sdtPr>
                <w:tag w:val="_PLD_ed59b0fcb59a47dc868f0dc283143858"/>
                <w:id w:val="57447341"/>
                <w:lock w:val="sdtLocked"/>
              </w:sdtPr>
              <w:sdtEnd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E486066" w14:textId="77777777" w:rsidR="00D21C1F" w:rsidRDefault="00A42880">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GBC_849e7f7a42044b3eaf135f12bb01887f"/>
              <w:id w:val="1717704832"/>
              <w:lock w:val="sdtLocked"/>
            </w:sdtPr>
            <w:sdtEndPr>
              <w:rPr>
                <w:rFonts w:ascii="Times New Roman" w:hAnsi="Times New Roman" w:cs="Times New Roman"/>
              </w:rPr>
            </w:sdtEndPr>
            <w:sdtContent>
              <w:tr w:rsidR="00D21C1F" w14:paraId="5C010340" w14:textId="77777777">
                <w:tc>
                  <w:tcPr>
                    <w:tcW w:w="1452" w:type="pct"/>
                    <w:tcBorders>
                      <w:top w:val="single" w:sz="4" w:space="0" w:color="auto"/>
                      <w:left w:val="single" w:sz="4" w:space="0" w:color="auto"/>
                      <w:bottom w:val="single" w:sz="4" w:space="0" w:color="auto"/>
                      <w:right w:val="single" w:sz="4" w:space="0" w:color="auto"/>
                    </w:tcBorders>
                    <w:shd w:val="clear" w:color="auto" w:fill="auto"/>
                  </w:tcPr>
                  <w:p w14:paraId="17F8B36D" w14:textId="77777777" w:rsidR="00D21C1F" w:rsidRDefault="00A42880">
                    <w:pPr>
                      <w:rPr>
                        <w:rFonts w:cs="Cambria"/>
                      </w:rPr>
                    </w:pPr>
                    <w:r>
                      <w:t>芜湖市建设投资有限公司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3B0815C5" w14:textId="77777777" w:rsidR="00D21C1F" w:rsidRPr="00D605CB" w:rsidRDefault="00A42880">
                    <w:pPr>
                      <w:jc w:val="right"/>
                      <w:rPr>
                        <w:rFonts w:ascii="Times New Roman" w:hAnsi="Times New Roman" w:cs="Times New Roman"/>
                      </w:rPr>
                    </w:pPr>
                    <w:r w:rsidRPr="00D605CB">
                      <w:rPr>
                        <w:rFonts w:ascii="Times New Roman" w:hAnsi="Times New Roman" w:cs="Times New Roman"/>
                      </w:rPr>
                      <w:t>520</w:t>
                    </w:r>
                    <w:r w:rsidRPr="00D605CB">
                      <w:rPr>
                        <w:rFonts w:ascii="Times New Roman" w:hAnsi="Times New Roman" w:cs="Times New Roman"/>
                      </w:rPr>
                      <w:t>万欧元</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037F0BF" w14:textId="77777777" w:rsidR="00D21C1F" w:rsidRPr="00D605CB" w:rsidRDefault="00A42880">
                    <w:pPr>
                      <w:rPr>
                        <w:rFonts w:ascii="Times New Roman" w:hAnsi="Times New Roman" w:cs="Times New Roman"/>
                      </w:rPr>
                    </w:pPr>
                    <w:r w:rsidRPr="00D605CB">
                      <w:rPr>
                        <w:rFonts w:ascii="Times New Roman" w:hAnsi="Times New Roman" w:cs="Times New Roman"/>
                      </w:rPr>
                      <w:t>2020</w:t>
                    </w:r>
                    <w:r w:rsidRPr="00D605CB">
                      <w:rPr>
                        <w:rFonts w:ascii="Times New Roman" w:hAnsi="Times New Roman" w:cs="Times New Roman"/>
                      </w:rPr>
                      <w:t>年</w:t>
                    </w:r>
                    <w:r w:rsidRPr="00D605CB">
                      <w:rPr>
                        <w:rFonts w:ascii="Times New Roman" w:hAnsi="Times New Roman" w:cs="Times New Roman"/>
                      </w:rPr>
                      <w:t>5</w:t>
                    </w:r>
                    <w:r w:rsidRPr="00D605CB">
                      <w:rPr>
                        <w:rFonts w:ascii="Times New Roman" w:hAnsi="Times New Roman" w:cs="Times New Roman"/>
                      </w:rPr>
                      <w:t>月</w:t>
                    </w:r>
                    <w:r w:rsidRPr="00D605CB">
                      <w:rPr>
                        <w:rFonts w:ascii="Times New Roman" w:hAnsi="Times New Roman" w:cs="Times New Roman"/>
                      </w:rPr>
                      <w:t>20</w:t>
                    </w:r>
                    <w:r w:rsidRPr="00D605CB">
                      <w:rPr>
                        <w:rFonts w:ascii="Times New Roman" w:hAnsi="Times New Roman" w:cs="Times New Roman"/>
                      </w:rPr>
                      <w:t>日</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3D1BA27C" w14:textId="77777777" w:rsidR="00D21C1F" w:rsidRPr="00D605CB" w:rsidRDefault="00A42880">
                    <w:pPr>
                      <w:rPr>
                        <w:rFonts w:ascii="Times New Roman" w:hAnsi="Times New Roman" w:cs="Times New Roman"/>
                      </w:rPr>
                    </w:pPr>
                    <w:r w:rsidRPr="00D605CB">
                      <w:rPr>
                        <w:rFonts w:ascii="Times New Roman" w:hAnsi="Times New Roman" w:cs="Times New Roman"/>
                      </w:rPr>
                      <w:t>2026</w:t>
                    </w:r>
                    <w:r w:rsidRPr="00D605CB">
                      <w:rPr>
                        <w:rFonts w:ascii="Times New Roman" w:hAnsi="Times New Roman" w:cs="Times New Roman"/>
                      </w:rPr>
                      <w:t>年</w:t>
                    </w:r>
                    <w:r w:rsidRPr="00D605CB">
                      <w:rPr>
                        <w:rFonts w:ascii="Times New Roman" w:hAnsi="Times New Roman" w:cs="Times New Roman"/>
                      </w:rPr>
                      <w:t>5</w:t>
                    </w:r>
                    <w:r w:rsidRPr="00D605CB">
                      <w:rPr>
                        <w:rFonts w:ascii="Times New Roman" w:hAnsi="Times New Roman" w:cs="Times New Roman"/>
                      </w:rPr>
                      <w:t>月</w:t>
                    </w:r>
                    <w:r w:rsidRPr="00D605CB">
                      <w:rPr>
                        <w:rFonts w:ascii="Times New Roman" w:hAnsi="Times New Roman" w:cs="Times New Roman"/>
                      </w:rPr>
                      <w:t>20</w:t>
                    </w:r>
                    <w:r w:rsidRPr="00D605CB">
                      <w:rPr>
                        <w:rFonts w:ascii="Times New Roman" w:hAnsi="Times New Roman" w:cs="Times New Roman"/>
                      </w:rPr>
                      <w:t>日</w:t>
                    </w:r>
                  </w:p>
                </w:tc>
                <w:sdt>
                  <w:sdtPr>
                    <w:rPr>
                      <w:rFonts w:ascii="Times New Roman" w:hAnsi="Times New Roman" w:cs="Times New Roman"/>
                    </w:rPr>
                    <w:alias w:val="本公司作为被担保方的关联担保情况明细-担保是否已经履行完毕"/>
                    <w:tag w:val="_GBC_d7c54b58f693435fbb78b065d1e813da"/>
                    <w:id w:val="-1002053868"/>
                    <w:lock w:val="sdtLocked"/>
                    <w:comboBox>
                      <w:listItem w:displayText="是" w:value="true"/>
                      <w:listItem w:displayText="否" w:value="false"/>
                    </w:comboBox>
                  </w:sdtPr>
                  <w:sdtEndPr/>
                  <w:sdtContent>
                    <w:tc>
                      <w:tcPr>
                        <w:tcW w:w="678" w:type="pct"/>
                        <w:tcBorders>
                          <w:top w:val="single" w:sz="4" w:space="0" w:color="auto"/>
                          <w:left w:val="single" w:sz="4" w:space="0" w:color="auto"/>
                          <w:bottom w:val="single" w:sz="4" w:space="0" w:color="auto"/>
                          <w:right w:val="single" w:sz="4" w:space="0" w:color="auto"/>
                        </w:tcBorders>
                        <w:shd w:val="clear" w:color="auto" w:fill="auto"/>
                      </w:tcPr>
                      <w:p w14:paraId="68353361" w14:textId="77777777" w:rsidR="00D21C1F" w:rsidRPr="00D605CB" w:rsidRDefault="00A42880">
                        <w:pPr>
                          <w:rPr>
                            <w:rFonts w:ascii="Times New Roman" w:hAnsi="Times New Roman" w:cs="Times New Roman"/>
                          </w:rPr>
                        </w:pPr>
                        <w:r w:rsidRPr="00D605CB">
                          <w:rPr>
                            <w:rFonts w:ascii="Times New Roman" w:hAnsi="Times New Roman" w:cs="Times New Roman"/>
                          </w:rPr>
                          <w:t>否</w:t>
                        </w:r>
                      </w:p>
                    </w:tc>
                  </w:sdtContent>
                </w:sdt>
              </w:tr>
            </w:sdtContent>
          </w:sdt>
          <w:sdt>
            <w:sdtPr>
              <w:rPr>
                <w:rFonts w:cs="Cambria"/>
              </w:rPr>
              <w:alias w:val="本公司作为被担保方的关联担保情况明细"/>
              <w:tag w:val="_GBC_849e7f7a42044b3eaf135f12bb01887f"/>
              <w:id w:val="524136496"/>
              <w:lock w:val="sdtLocked"/>
            </w:sdtPr>
            <w:sdtEndPr>
              <w:rPr>
                <w:rFonts w:ascii="Times New Roman" w:hAnsi="Times New Roman" w:cs="Times New Roman"/>
              </w:rPr>
            </w:sdtEndPr>
            <w:sdtContent>
              <w:tr w:rsidR="00D21C1F" w14:paraId="7DBA583E" w14:textId="77777777">
                <w:tc>
                  <w:tcPr>
                    <w:tcW w:w="1452" w:type="pct"/>
                    <w:tcBorders>
                      <w:top w:val="single" w:sz="4" w:space="0" w:color="auto"/>
                      <w:left w:val="single" w:sz="4" w:space="0" w:color="auto"/>
                      <w:bottom w:val="single" w:sz="4" w:space="0" w:color="auto"/>
                      <w:right w:val="single" w:sz="4" w:space="0" w:color="auto"/>
                    </w:tcBorders>
                    <w:shd w:val="clear" w:color="auto" w:fill="auto"/>
                  </w:tcPr>
                  <w:p w14:paraId="2DE6A77C" w14:textId="77777777" w:rsidR="00D21C1F" w:rsidRDefault="00A42880">
                    <w:pPr>
                      <w:rPr>
                        <w:rFonts w:cs="Cambria"/>
                      </w:rPr>
                    </w:pPr>
                    <w:r>
                      <w:t>芜湖市建设投资有限公司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04B415D8" w14:textId="77777777" w:rsidR="00D21C1F" w:rsidRPr="00D605CB" w:rsidRDefault="00A42880">
                    <w:pPr>
                      <w:jc w:val="right"/>
                      <w:rPr>
                        <w:rFonts w:ascii="Times New Roman" w:hAnsi="Times New Roman" w:cs="Times New Roman"/>
                      </w:rPr>
                    </w:pPr>
                    <w:r w:rsidRPr="00D605CB">
                      <w:rPr>
                        <w:rFonts w:ascii="Times New Roman" w:hAnsi="Times New Roman" w:cs="Times New Roman"/>
                      </w:rPr>
                      <w:t>600</w:t>
                    </w:r>
                    <w:r w:rsidRPr="00D605CB">
                      <w:rPr>
                        <w:rFonts w:ascii="Times New Roman" w:hAnsi="Times New Roman" w:cs="Times New Roman"/>
                      </w:rPr>
                      <w:t>万欧元</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BB6B220" w14:textId="77777777" w:rsidR="00D21C1F" w:rsidRPr="00D605CB" w:rsidRDefault="00A42880">
                    <w:pPr>
                      <w:rPr>
                        <w:rFonts w:ascii="Times New Roman" w:hAnsi="Times New Roman" w:cs="Times New Roman"/>
                      </w:rPr>
                    </w:pPr>
                    <w:r w:rsidRPr="00D605CB">
                      <w:rPr>
                        <w:rFonts w:ascii="Times New Roman" w:hAnsi="Times New Roman" w:cs="Times New Roman"/>
                      </w:rPr>
                      <w:t>2020</w:t>
                    </w:r>
                    <w:r w:rsidRPr="00D605CB">
                      <w:rPr>
                        <w:rFonts w:ascii="Times New Roman" w:hAnsi="Times New Roman" w:cs="Times New Roman"/>
                      </w:rPr>
                      <w:t>年</w:t>
                    </w:r>
                    <w:r w:rsidRPr="00D605CB">
                      <w:rPr>
                        <w:rFonts w:ascii="Times New Roman" w:hAnsi="Times New Roman" w:cs="Times New Roman"/>
                      </w:rPr>
                      <w:t>8</w:t>
                    </w:r>
                    <w:r w:rsidRPr="00D605CB">
                      <w:rPr>
                        <w:rFonts w:ascii="Times New Roman" w:hAnsi="Times New Roman" w:cs="Times New Roman"/>
                      </w:rPr>
                      <w:t>月</w:t>
                    </w:r>
                    <w:r w:rsidRPr="00D605CB">
                      <w:rPr>
                        <w:rFonts w:ascii="Times New Roman" w:hAnsi="Times New Roman" w:cs="Times New Roman"/>
                      </w:rPr>
                      <w:t>13</w:t>
                    </w:r>
                    <w:r w:rsidRPr="00D605CB">
                      <w:rPr>
                        <w:rFonts w:ascii="Times New Roman" w:hAnsi="Times New Roman" w:cs="Times New Roman"/>
                      </w:rPr>
                      <w:t>日</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7ADC2101" w14:textId="77777777" w:rsidR="00D21C1F" w:rsidRPr="00D605CB" w:rsidRDefault="00A42880">
                    <w:pPr>
                      <w:rPr>
                        <w:rFonts w:ascii="Times New Roman" w:hAnsi="Times New Roman" w:cs="Times New Roman"/>
                      </w:rPr>
                    </w:pPr>
                    <w:r w:rsidRPr="00D605CB">
                      <w:rPr>
                        <w:rFonts w:ascii="Times New Roman" w:hAnsi="Times New Roman" w:cs="Times New Roman"/>
                      </w:rPr>
                      <w:t>2026</w:t>
                    </w:r>
                    <w:r w:rsidRPr="00D605CB">
                      <w:rPr>
                        <w:rFonts w:ascii="Times New Roman" w:hAnsi="Times New Roman" w:cs="Times New Roman"/>
                      </w:rPr>
                      <w:t>年</w:t>
                    </w:r>
                    <w:r w:rsidRPr="00D605CB">
                      <w:rPr>
                        <w:rFonts w:ascii="Times New Roman" w:hAnsi="Times New Roman" w:cs="Times New Roman"/>
                      </w:rPr>
                      <w:t>8</w:t>
                    </w:r>
                    <w:r w:rsidRPr="00D605CB">
                      <w:rPr>
                        <w:rFonts w:ascii="Times New Roman" w:hAnsi="Times New Roman" w:cs="Times New Roman"/>
                      </w:rPr>
                      <w:t>月</w:t>
                    </w:r>
                    <w:r w:rsidRPr="00D605CB">
                      <w:rPr>
                        <w:rFonts w:ascii="Times New Roman" w:hAnsi="Times New Roman" w:cs="Times New Roman"/>
                      </w:rPr>
                      <w:t>13</w:t>
                    </w:r>
                    <w:r w:rsidRPr="00D605CB">
                      <w:rPr>
                        <w:rFonts w:ascii="Times New Roman" w:hAnsi="Times New Roman" w:cs="Times New Roman"/>
                      </w:rPr>
                      <w:t>日</w:t>
                    </w:r>
                  </w:p>
                </w:tc>
                <w:sdt>
                  <w:sdtPr>
                    <w:rPr>
                      <w:rFonts w:ascii="Times New Roman" w:hAnsi="Times New Roman" w:cs="Times New Roman"/>
                    </w:rPr>
                    <w:alias w:val="本公司作为被担保方的关联担保情况明细-担保是否已经履行完毕"/>
                    <w:tag w:val="_GBC_d7c54b58f693435fbb78b065d1e813da"/>
                    <w:id w:val="702522109"/>
                    <w:lock w:val="sdtLocked"/>
                    <w:comboBox>
                      <w:listItem w:displayText="是" w:value="true"/>
                      <w:listItem w:displayText="否" w:value="false"/>
                    </w:comboBox>
                  </w:sdtPr>
                  <w:sdtEndPr/>
                  <w:sdtContent>
                    <w:tc>
                      <w:tcPr>
                        <w:tcW w:w="678" w:type="pct"/>
                        <w:tcBorders>
                          <w:top w:val="single" w:sz="4" w:space="0" w:color="auto"/>
                          <w:left w:val="single" w:sz="4" w:space="0" w:color="auto"/>
                          <w:bottom w:val="single" w:sz="4" w:space="0" w:color="auto"/>
                          <w:right w:val="single" w:sz="4" w:space="0" w:color="auto"/>
                        </w:tcBorders>
                        <w:shd w:val="clear" w:color="auto" w:fill="auto"/>
                      </w:tcPr>
                      <w:p w14:paraId="69EB2A15" w14:textId="77777777" w:rsidR="00D21C1F" w:rsidRPr="00D605CB" w:rsidRDefault="00A42880">
                        <w:pPr>
                          <w:rPr>
                            <w:rFonts w:ascii="Times New Roman" w:hAnsi="Times New Roman" w:cs="Times New Roman"/>
                          </w:rPr>
                        </w:pPr>
                        <w:r w:rsidRPr="00D605CB">
                          <w:rPr>
                            <w:rFonts w:ascii="Times New Roman" w:hAnsi="Times New Roman" w:cs="Times New Roman"/>
                          </w:rPr>
                          <w:t>否</w:t>
                        </w:r>
                      </w:p>
                    </w:tc>
                  </w:sdtContent>
                </w:sdt>
              </w:tr>
            </w:sdtContent>
          </w:sdt>
          <w:sdt>
            <w:sdtPr>
              <w:rPr>
                <w:rFonts w:cs="Cambria"/>
              </w:rPr>
              <w:alias w:val="本公司作为被担保方的关联担保情况明细"/>
              <w:tag w:val="_GBC_849e7f7a42044b3eaf135f12bb01887f"/>
              <w:id w:val="1990750242"/>
              <w:lock w:val="sdtLocked"/>
            </w:sdtPr>
            <w:sdtEndPr>
              <w:rPr>
                <w:rFonts w:ascii="Times New Roman" w:hAnsi="Times New Roman" w:cs="Times New Roman"/>
              </w:rPr>
            </w:sdtEndPr>
            <w:sdtContent>
              <w:tr w:rsidR="00D21C1F" w14:paraId="24BF1ADD" w14:textId="77777777">
                <w:tc>
                  <w:tcPr>
                    <w:tcW w:w="1452" w:type="pct"/>
                    <w:tcBorders>
                      <w:top w:val="single" w:sz="4" w:space="0" w:color="auto"/>
                      <w:left w:val="single" w:sz="4" w:space="0" w:color="auto"/>
                      <w:bottom w:val="single" w:sz="4" w:space="0" w:color="auto"/>
                      <w:right w:val="single" w:sz="4" w:space="0" w:color="auto"/>
                    </w:tcBorders>
                    <w:shd w:val="clear" w:color="auto" w:fill="auto"/>
                  </w:tcPr>
                  <w:p w14:paraId="70D842F3" w14:textId="77777777" w:rsidR="00D21C1F" w:rsidRDefault="00A42880">
                    <w:pPr>
                      <w:rPr>
                        <w:rFonts w:cs="Cambria"/>
                      </w:rPr>
                    </w:pPr>
                    <w:r>
                      <w:t>芜湖市建设投资有限公司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338D4B01" w14:textId="77777777" w:rsidR="00D21C1F" w:rsidRPr="00D605CB" w:rsidRDefault="00A42880">
                    <w:pPr>
                      <w:jc w:val="right"/>
                      <w:rPr>
                        <w:rFonts w:ascii="Times New Roman" w:hAnsi="Times New Roman" w:cs="Times New Roman"/>
                      </w:rPr>
                    </w:pPr>
                    <w:r w:rsidRPr="00D605CB">
                      <w:rPr>
                        <w:rFonts w:ascii="Times New Roman" w:hAnsi="Times New Roman" w:cs="Times New Roman"/>
                      </w:rPr>
                      <w:t>400</w:t>
                    </w:r>
                    <w:r w:rsidRPr="00D605CB">
                      <w:rPr>
                        <w:rFonts w:ascii="Times New Roman" w:hAnsi="Times New Roman" w:cs="Times New Roman"/>
                      </w:rPr>
                      <w:t>万欧元</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E834067" w14:textId="77777777" w:rsidR="00D21C1F" w:rsidRPr="00D605CB" w:rsidRDefault="00A42880">
                    <w:pPr>
                      <w:rPr>
                        <w:rFonts w:ascii="Times New Roman" w:hAnsi="Times New Roman" w:cs="Times New Roman"/>
                      </w:rPr>
                    </w:pPr>
                    <w:r w:rsidRPr="00D605CB">
                      <w:rPr>
                        <w:rFonts w:ascii="Times New Roman" w:hAnsi="Times New Roman" w:cs="Times New Roman"/>
                      </w:rPr>
                      <w:t>2020</w:t>
                    </w:r>
                    <w:r w:rsidRPr="00D605CB">
                      <w:rPr>
                        <w:rFonts w:ascii="Times New Roman" w:hAnsi="Times New Roman" w:cs="Times New Roman"/>
                      </w:rPr>
                      <w:t>年</w:t>
                    </w:r>
                    <w:r w:rsidRPr="00D605CB">
                      <w:rPr>
                        <w:rFonts w:ascii="Times New Roman" w:hAnsi="Times New Roman" w:cs="Times New Roman"/>
                      </w:rPr>
                      <w:t>11</w:t>
                    </w:r>
                    <w:r w:rsidRPr="00D605CB">
                      <w:rPr>
                        <w:rFonts w:ascii="Times New Roman" w:hAnsi="Times New Roman" w:cs="Times New Roman"/>
                      </w:rPr>
                      <w:t>月</w:t>
                    </w:r>
                    <w:r w:rsidRPr="00D605CB">
                      <w:rPr>
                        <w:rFonts w:ascii="Times New Roman" w:hAnsi="Times New Roman" w:cs="Times New Roman"/>
                      </w:rPr>
                      <w:t>27</w:t>
                    </w:r>
                    <w:r w:rsidRPr="00D605CB">
                      <w:rPr>
                        <w:rFonts w:ascii="Times New Roman" w:hAnsi="Times New Roman" w:cs="Times New Roman"/>
                      </w:rPr>
                      <w:t>日</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1C4A7D7F" w14:textId="77777777" w:rsidR="00D21C1F" w:rsidRPr="00D605CB" w:rsidRDefault="00A42880">
                    <w:pPr>
                      <w:rPr>
                        <w:rFonts w:ascii="Times New Roman" w:hAnsi="Times New Roman" w:cs="Times New Roman"/>
                      </w:rPr>
                    </w:pPr>
                    <w:r w:rsidRPr="00D605CB">
                      <w:rPr>
                        <w:rFonts w:ascii="Times New Roman" w:hAnsi="Times New Roman" w:cs="Times New Roman"/>
                      </w:rPr>
                      <w:t>2026</w:t>
                    </w:r>
                    <w:r w:rsidRPr="00D605CB">
                      <w:rPr>
                        <w:rFonts w:ascii="Times New Roman" w:hAnsi="Times New Roman" w:cs="Times New Roman"/>
                      </w:rPr>
                      <w:t>年</w:t>
                    </w:r>
                    <w:r w:rsidRPr="00D605CB">
                      <w:rPr>
                        <w:rFonts w:ascii="Times New Roman" w:hAnsi="Times New Roman" w:cs="Times New Roman"/>
                      </w:rPr>
                      <w:t>11</w:t>
                    </w:r>
                    <w:r w:rsidRPr="00D605CB">
                      <w:rPr>
                        <w:rFonts w:ascii="Times New Roman" w:hAnsi="Times New Roman" w:cs="Times New Roman"/>
                      </w:rPr>
                      <w:t>月</w:t>
                    </w:r>
                    <w:r w:rsidRPr="00D605CB">
                      <w:rPr>
                        <w:rFonts w:ascii="Times New Roman" w:hAnsi="Times New Roman" w:cs="Times New Roman"/>
                      </w:rPr>
                      <w:t>27</w:t>
                    </w:r>
                    <w:r w:rsidRPr="00D605CB">
                      <w:rPr>
                        <w:rFonts w:ascii="Times New Roman" w:hAnsi="Times New Roman" w:cs="Times New Roman"/>
                      </w:rPr>
                      <w:t>日</w:t>
                    </w:r>
                  </w:p>
                </w:tc>
                <w:sdt>
                  <w:sdtPr>
                    <w:rPr>
                      <w:rFonts w:ascii="Times New Roman" w:hAnsi="Times New Roman" w:cs="Times New Roman"/>
                    </w:rPr>
                    <w:alias w:val="本公司作为被担保方的关联担保情况明细-担保是否已经履行完毕"/>
                    <w:tag w:val="_GBC_d7c54b58f693435fbb78b065d1e813da"/>
                    <w:id w:val="-1932571571"/>
                    <w:lock w:val="sdtLocked"/>
                    <w:comboBox>
                      <w:listItem w:displayText="是" w:value="true"/>
                      <w:listItem w:displayText="否" w:value="false"/>
                    </w:comboBox>
                  </w:sdtPr>
                  <w:sdtEndPr/>
                  <w:sdtContent>
                    <w:tc>
                      <w:tcPr>
                        <w:tcW w:w="678" w:type="pct"/>
                        <w:tcBorders>
                          <w:top w:val="single" w:sz="4" w:space="0" w:color="auto"/>
                          <w:left w:val="single" w:sz="4" w:space="0" w:color="auto"/>
                          <w:bottom w:val="single" w:sz="4" w:space="0" w:color="auto"/>
                          <w:right w:val="single" w:sz="4" w:space="0" w:color="auto"/>
                        </w:tcBorders>
                        <w:shd w:val="clear" w:color="auto" w:fill="auto"/>
                      </w:tcPr>
                      <w:p w14:paraId="70BD2EF3" w14:textId="77777777" w:rsidR="00D21C1F" w:rsidRPr="00D605CB" w:rsidRDefault="00A42880">
                        <w:pPr>
                          <w:rPr>
                            <w:rFonts w:ascii="Times New Roman" w:hAnsi="Times New Roman" w:cs="Times New Roman"/>
                          </w:rPr>
                        </w:pPr>
                        <w:r w:rsidRPr="00D605CB">
                          <w:rPr>
                            <w:rFonts w:ascii="Times New Roman" w:hAnsi="Times New Roman" w:cs="Times New Roman"/>
                          </w:rPr>
                          <w:t>否</w:t>
                        </w:r>
                      </w:p>
                    </w:tc>
                  </w:sdtContent>
                </w:sdt>
              </w:tr>
            </w:sdtContent>
          </w:sdt>
        </w:tbl>
        <w:p w14:paraId="52764A0E" w14:textId="77777777" w:rsidR="00D21C1F" w:rsidRDefault="00D21C1F">
          <w:pPr>
            <w:pStyle w:val="97"/>
          </w:pPr>
        </w:p>
        <w:p w14:paraId="1F03D6A7" w14:textId="77777777" w:rsidR="00D21C1F" w:rsidRDefault="00A42880">
          <w:pPr>
            <w:rPr>
              <w:rFonts w:cs="Cambria"/>
            </w:rPr>
          </w:pPr>
          <w:r>
            <w:rPr>
              <w:rFonts w:cs="Cambria" w:hint="eastAsia"/>
            </w:rPr>
            <w:t>关联担保情况说明</w:t>
          </w:r>
        </w:p>
        <w:sdt>
          <w:sdtPr>
            <w:rPr>
              <w:rFonts w:cs="Cambria"/>
            </w:rPr>
            <w:alias w:val="是否适用：关联担保情况说明[双击切换]"/>
            <w:tag w:val="_GBC_9a5a4769e8804b779ae17adb041890d7"/>
            <w:id w:val="272059829"/>
            <w:lock w:val="sdtLocked"/>
            <w:placeholder>
              <w:docPart w:val="GBC22222222222222222222222222222"/>
            </w:placeholder>
          </w:sdtPr>
          <w:sdtEndPr/>
          <w:sdtContent>
            <w:p w14:paraId="714E76CB" w14:textId="77777777" w:rsidR="00D21C1F" w:rsidRDefault="00A42880">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sdt>
          <w:sdtPr>
            <w:rPr>
              <w:rFonts w:cs="Cambria"/>
            </w:rPr>
            <w:alias w:val="关联担保说明"/>
            <w:tag w:val="_GBC_e0444f9afd5a4ce58c84bff06eddbd44"/>
            <w:id w:val="1929155458"/>
            <w:lock w:val="sdtLocked"/>
            <w:placeholder>
              <w:docPart w:val="GBC22222222222222222222222222222"/>
            </w:placeholder>
          </w:sdtPr>
          <w:sdtEndPr/>
          <w:sdtContent>
            <w:p w14:paraId="6A303770" w14:textId="77777777" w:rsidR="00D21C1F" w:rsidRDefault="00A42880">
              <w:pPr>
                <w:spacing w:line="360" w:lineRule="auto"/>
                <w:ind w:firstLineChars="200" w:firstLine="420"/>
                <w:jc w:val="both"/>
                <w:rPr>
                  <w:rFonts w:cs="Cambria"/>
                </w:rPr>
              </w:pPr>
              <w:r>
                <w:rPr>
                  <w:rFonts w:cs="Cambria" w:hint="eastAsia"/>
                </w:rPr>
                <w:t>芜湖市建投为本公司在国家开发银行安徽省分行提供了期限自</w:t>
              </w:r>
              <w:r>
                <w:rPr>
                  <w:rFonts w:ascii="Times New Roman" w:hAnsi="Times New Roman" w:cs="Cambria"/>
                </w:rPr>
                <w:t>2020</w:t>
              </w:r>
              <w:r>
                <w:rPr>
                  <w:rFonts w:cs="Cambria"/>
                </w:rPr>
                <w:t>年</w:t>
              </w:r>
              <w:r>
                <w:rPr>
                  <w:rFonts w:ascii="Times New Roman" w:hAnsi="Times New Roman" w:cs="Cambria"/>
                </w:rPr>
                <w:t>5</w:t>
              </w:r>
              <w:r>
                <w:rPr>
                  <w:rFonts w:cs="Cambria"/>
                </w:rPr>
                <w:t>月</w:t>
              </w:r>
              <w:r>
                <w:rPr>
                  <w:rFonts w:ascii="Times New Roman" w:hAnsi="Times New Roman" w:cs="Cambria"/>
                </w:rPr>
                <w:t>20</w:t>
              </w:r>
              <w:r>
                <w:rPr>
                  <w:rFonts w:cs="Cambria"/>
                </w:rPr>
                <w:t>日至</w:t>
              </w:r>
              <w:r>
                <w:rPr>
                  <w:rFonts w:ascii="Times New Roman" w:hAnsi="Times New Roman" w:cs="Cambria"/>
                </w:rPr>
                <w:t>2026</w:t>
              </w:r>
              <w:r>
                <w:rPr>
                  <w:rFonts w:cs="Cambria"/>
                </w:rPr>
                <w:t>年年</w:t>
              </w:r>
              <w:r>
                <w:rPr>
                  <w:rFonts w:ascii="Times New Roman" w:hAnsi="Times New Roman" w:cs="Cambria"/>
                </w:rPr>
                <w:t>5</w:t>
              </w:r>
              <w:r>
                <w:rPr>
                  <w:rFonts w:cs="Cambria"/>
                </w:rPr>
                <w:t>月</w:t>
              </w:r>
              <w:r>
                <w:rPr>
                  <w:rFonts w:ascii="Times New Roman" w:hAnsi="Times New Roman" w:cs="Cambria"/>
                </w:rPr>
                <w:t>20</w:t>
              </w:r>
              <w:r>
                <w:rPr>
                  <w:rFonts w:cs="Cambria"/>
                </w:rPr>
                <w:t>日的连带责任保证担保，期末借款余额为</w:t>
              </w:r>
              <w:r>
                <w:rPr>
                  <w:rFonts w:ascii="Times New Roman" w:hAnsi="Times New Roman" w:cs="Cambria"/>
                </w:rPr>
                <w:t>520</w:t>
              </w:r>
              <w:r>
                <w:rPr>
                  <w:rFonts w:cs="Cambria"/>
                </w:rPr>
                <w:t>万欧元。</w:t>
              </w:r>
            </w:p>
            <w:p w14:paraId="56CBC0E4" w14:textId="77777777" w:rsidR="00D21C1F" w:rsidRDefault="00A42880">
              <w:pPr>
                <w:spacing w:line="360" w:lineRule="auto"/>
                <w:ind w:firstLineChars="200" w:firstLine="420"/>
                <w:jc w:val="both"/>
                <w:rPr>
                  <w:rFonts w:cs="Cambria"/>
                </w:rPr>
              </w:pPr>
              <w:r>
                <w:rPr>
                  <w:rFonts w:cs="Cambria" w:hint="eastAsia"/>
                </w:rPr>
                <w:t>芜湖市建投为本公司在国家开发银行安徽省分行提供了期限自</w:t>
              </w:r>
              <w:r>
                <w:rPr>
                  <w:rFonts w:ascii="Times New Roman" w:hAnsi="Times New Roman" w:cs="Cambria"/>
                </w:rPr>
                <w:t>2020</w:t>
              </w:r>
              <w:r>
                <w:rPr>
                  <w:rFonts w:cs="Cambria"/>
                </w:rPr>
                <w:t>年</w:t>
              </w:r>
              <w:r>
                <w:rPr>
                  <w:rFonts w:ascii="Times New Roman" w:hAnsi="Times New Roman" w:cs="Cambria"/>
                </w:rPr>
                <w:t>8</w:t>
              </w:r>
              <w:r>
                <w:rPr>
                  <w:rFonts w:cs="Cambria"/>
                </w:rPr>
                <w:t>月</w:t>
              </w:r>
              <w:r>
                <w:rPr>
                  <w:rFonts w:ascii="Times New Roman" w:hAnsi="Times New Roman" w:cs="Cambria"/>
                </w:rPr>
                <w:t>13</w:t>
              </w:r>
              <w:r>
                <w:rPr>
                  <w:rFonts w:cs="Cambria"/>
                </w:rPr>
                <w:t>日至</w:t>
              </w:r>
              <w:r>
                <w:rPr>
                  <w:rFonts w:ascii="Times New Roman" w:hAnsi="Times New Roman" w:cs="Cambria"/>
                </w:rPr>
                <w:t>2026</w:t>
              </w:r>
              <w:r>
                <w:rPr>
                  <w:rFonts w:cs="Cambria"/>
                </w:rPr>
                <w:t>年年</w:t>
              </w:r>
              <w:r>
                <w:rPr>
                  <w:rFonts w:ascii="Times New Roman" w:hAnsi="Times New Roman" w:cs="Cambria"/>
                </w:rPr>
                <w:t>8</w:t>
              </w:r>
              <w:r>
                <w:rPr>
                  <w:rFonts w:cs="Cambria"/>
                </w:rPr>
                <w:t>月</w:t>
              </w:r>
              <w:r>
                <w:rPr>
                  <w:rFonts w:ascii="Times New Roman" w:hAnsi="Times New Roman" w:cs="Cambria"/>
                </w:rPr>
                <w:t>13</w:t>
              </w:r>
              <w:r>
                <w:rPr>
                  <w:rFonts w:cs="Cambria"/>
                </w:rPr>
                <w:t>日的连带责任保证担保，期末借款余额为</w:t>
              </w:r>
              <w:r>
                <w:rPr>
                  <w:rFonts w:ascii="Times New Roman" w:hAnsi="Times New Roman" w:cs="Cambria"/>
                </w:rPr>
                <w:t>600</w:t>
              </w:r>
              <w:r>
                <w:rPr>
                  <w:rFonts w:cs="Cambria"/>
                </w:rPr>
                <w:t>万欧元。</w:t>
              </w:r>
            </w:p>
            <w:p w14:paraId="61B3D8AC" w14:textId="77777777" w:rsidR="00D21C1F" w:rsidRDefault="00A42880">
              <w:pPr>
                <w:spacing w:line="360" w:lineRule="auto"/>
                <w:ind w:firstLineChars="200" w:firstLine="420"/>
                <w:jc w:val="both"/>
                <w:rPr>
                  <w:rFonts w:cs="Cambria"/>
                </w:rPr>
              </w:pPr>
              <w:r>
                <w:rPr>
                  <w:rFonts w:cs="Cambria"/>
                </w:rPr>
                <w:lastRenderedPageBreak/>
                <w:t>芜湖市建投为本公司在国家开发银行安徽省分行提供了期限自</w:t>
              </w:r>
              <w:r>
                <w:rPr>
                  <w:rFonts w:ascii="Times New Roman" w:hAnsi="Times New Roman" w:cs="Cambria"/>
                </w:rPr>
                <w:t>2020</w:t>
              </w:r>
              <w:r>
                <w:rPr>
                  <w:rFonts w:cs="Cambria"/>
                </w:rPr>
                <w:t>年</w:t>
              </w:r>
              <w:r>
                <w:rPr>
                  <w:rFonts w:ascii="Times New Roman" w:hAnsi="Times New Roman" w:cs="Cambria"/>
                </w:rPr>
                <w:t>11</w:t>
              </w:r>
              <w:r>
                <w:rPr>
                  <w:rFonts w:cs="Cambria"/>
                </w:rPr>
                <w:t>月</w:t>
              </w:r>
              <w:r>
                <w:rPr>
                  <w:rFonts w:ascii="Times New Roman" w:hAnsi="Times New Roman" w:cs="Cambria"/>
                </w:rPr>
                <w:t>27</w:t>
              </w:r>
              <w:r>
                <w:rPr>
                  <w:rFonts w:cs="Cambria"/>
                </w:rPr>
                <w:t>日至</w:t>
              </w:r>
              <w:r>
                <w:rPr>
                  <w:rFonts w:ascii="Times New Roman" w:hAnsi="Times New Roman" w:cs="Cambria"/>
                </w:rPr>
                <w:t>2026</w:t>
              </w:r>
              <w:r>
                <w:rPr>
                  <w:rFonts w:cs="Cambria"/>
                </w:rPr>
                <w:t>年</w:t>
              </w:r>
              <w:r>
                <w:rPr>
                  <w:rFonts w:ascii="Times New Roman" w:hAnsi="Times New Roman" w:cs="Cambria"/>
                </w:rPr>
                <w:t>11</w:t>
              </w:r>
              <w:r>
                <w:rPr>
                  <w:rFonts w:cs="Cambria"/>
                </w:rPr>
                <w:t>月</w:t>
              </w:r>
              <w:r>
                <w:rPr>
                  <w:rFonts w:ascii="Times New Roman" w:hAnsi="Times New Roman" w:cs="Cambria"/>
                </w:rPr>
                <w:t>27</w:t>
              </w:r>
              <w:r>
                <w:rPr>
                  <w:rFonts w:cs="Cambria"/>
                </w:rPr>
                <w:t>日的连带责任保证担保，期末借款余额为</w:t>
              </w:r>
              <w:r>
                <w:rPr>
                  <w:rFonts w:ascii="Times New Roman" w:hAnsi="Times New Roman" w:cs="Cambria"/>
                </w:rPr>
                <w:t>400</w:t>
              </w:r>
              <w:r>
                <w:rPr>
                  <w:rFonts w:cs="Cambria"/>
                </w:rPr>
                <w:t>万欧元。</w:t>
              </w:r>
            </w:p>
            <w:p w14:paraId="4B8C2343" w14:textId="77777777" w:rsidR="00D21C1F" w:rsidRDefault="00045EC6">
              <w:pPr>
                <w:ind w:firstLine="420"/>
                <w:rPr>
                  <w:rFonts w:cs="Cambria"/>
                </w:rPr>
              </w:pPr>
            </w:p>
          </w:sdtContent>
        </w:sdt>
      </w:sdtContent>
    </w:sdt>
    <w:bookmarkStart w:id="293" w:name="_Hlk72849508" w:displacedByCustomXml="next"/>
    <w:sdt>
      <w:sdtPr>
        <w:rPr>
          <w:rFonts w:ascii="宋体" w:eastAsia="宋体" w:hAnsi="宋体" w:cs="Cambria"/>
          <w:b w:val="0"/>
          <w:bCs w:val="0"/>
          <w:kern w:val="0"/>
          <w:sz w:val="20"/>
          <w:szCs w:val="20"/>
        </w:rPr>
        <w:alias w:val="模块:关联方资金拆借"/>
        <w:tag w:val="_SEC_7d2bd012d603474581988dd360e12e05"/>
        <w:id w:val="-1641490896"/>
        <w:lock w:val="sdtLocked"/>
        <w:placeholder>
          <w:docPart w:val="GBC22222222222222222222222222222"/>
        </w:placeholder>
      </w:sdtPr>
      <w:sdtEndPr/>
      <w:sdtContent>
        <w:p w14:paraId="5A31A6F1" w14:textId="77777777" w:rsidR="00D21C1F" w:rsidRDefault="00A42880">
          <w:pPr>
            <w:pStyle w:val="93"/>
            <w:numPr>
              <w:ilvl w:val="0"/>
              <w:numId w:val="138"/>
            </w:numPr>
            <w:tabs>
              <w:tab w:val="left"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e55ef48de9d9452e8bf635a97242b92c"/>
            <w:id w:val="-1703932041"/>
            <w:lock w:val="sdtLocked"/>
            <w:placeholder>
              <w:docPart w:val="GBC22222222222222222222222222222"/>
            </w:placeholder>
          </w:sdtPr>
          <w:sdtEndPr/>
          <w:sdtContent>
            <w:p w14:paraId="3DDE5114" w14:textId="77777777" w:rsidR="00D21C1F" w:rsidRDefault="00A42880">
              <w:pPr>
                <w:rPr>
                  <w:rFonts w:cs="Cambria"/>
                  <w:sz w:val="20"/>
                  <w:szCs w:val="2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94" w:name="_Hlk79679399" w:displacedByCustomXml="next"/>
    <w:bookmarkEnd w:id="294" w:displacedByCustomXml="next"/>
    <w:bookmarkEnd w:id="293" w:displacedByCustomXml="next"/>
    <w:sdt>
      <w:sdtPr>
        <w:rPr>
          <w:rFonts w:ascii="宋体" w:eastAsia="宋体" w:hAnsi="宋体" w:cs="宋体" w:hint="eastAsia"/>
          <w:b w:val="0"/>
          <w:bCs w:val="0"/>
          <w:kern w:val="0"/>
          <w:szCs w:val="24"/>
        </w:rPr>
        <w:alias w:val="模块:关联方资产转让、债务重组情况"/>
        <w:tag w:val="_GBC_9319584d30f7446b9ff3e2a3d50022d5"/>
        <w:id w:val="-1797677779"/>
        <w:lock w:val="sdtLocked"/>
        <w:placeholder>
          <w:docPart w:val="GBC22222222222222222222222222222"/>
        </w:placeholder>
      </w:sdtPr>
      <w:sdtEndPr>
        <w:rPr>
          <w:rFonts w:hint="default"/>
        </w:rPr>
      </w:sdtEndPr>
      <w:sdtContent>
        <w:p w14:paraId="14D94AD4" w14:textId="77777777" w:rsidR="00D21C1F" w:rsidRDefault="00A42880">
          <w:pPr>
            <w:pStyle w:val="93"/>
            <w:numPr>
              <w:ilvl w:val="0"/>
              <w:numId w:val="138"/>
            </w:numPr>
            <w:tabs>
              <w:tab w:val="left" w:pos="616"/>
            </w:tabs>
            <w:rPr>
              <w:rFonts w:ascii="宋体" w:hAnsi="宋体"/>
            </w:rPr>
          </w:pPr>
          <w:r>
            <w:rPr>
              <w:rFonts w:ascii="宋体" w:hAnsi="宋体" w:hint="eastAsia"/>
            </w:rPr>
            <w:t>关联方资产转让、债务重组情况</w:t>
          </w:r>
        </w:p>
        <w:sdt>
          <w:sdtPr>
            <w:alias w:val="是否适用：关联方资产转让、债务重组情况[双击切换]"/>
            <w:tag w:val="_GBC_c590c66abdbe454e89c4c55269fb6adf"/>
            <w:id w:val="1345677442"/>
            <w:lock w:val="sdtLocked"/>
            <w:placeholder>
              <w:docPart w:val="GBC22222222222222222222222222222"/>
            </w:placeholder>
          </w:sdtPr>
          <w:sdtEndPr/>
          <w:sdtContent>
            <w:p w14:paraId="6F186355"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5A79630" w14:textId="77777777" w:rsidR="00D21C1F" w:rsidRDefault="00D21C1F">
      <w:pPr>
        <w:pStyle w:val="97"/>
      </w:pPr>
    </w:p>
    <w:sdt>
      <w:sdtPr>
        <w:rPr>
          <w:rFonts w:ascii="宋体" w:eastAsia="宋体" w:hAnsi="宋体" w:cs="宋体" w:hint="eastAsia"/>
          <w:b w:val="0"/>
          <w:bCs w:val="0"/>
          <w:kern w:val="0"/>
          <w:szCs w:val="24"/>
        </w:rPr>
        <w:alias w:val="模块:关键管理人员报酬"/>
        <w:tag w:val="_GBC_16da1beac91f4544809058bfda2ad3bf"/>
        <w:id w:val="-1946989056"/>
        <w:lock w:val="sdtLocked"/>
        <w:placeholder>
          <w:docPart w:val="GBC22222222222222222222222222222"/>
        </w:placeholder>
      </w:sdtPr>
      <w:sdtEndPr>
        <w:rPr>
          <w:rFonts w:ascii="Times New Roman" w:hAnsi="Times New Roman" w:cs="Times New Roman" w:hint="default"/>
          <w:szCs w:val="22"/>
        </w:rPr>
      </w:sdtEndPr>
      <w:sdtContent>
        <w:p w14:paraId="59396EE7" w14:textId="77777777" w:rsidR="00D21C1F" w:rsidRDefault="00A42880">
          <w:pPr>
            <w:pStyle w:val="93"/>
            <w:numPr>
              <w:ilvl w:val="0"/>
              <w:numId w:val="138"/>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908424053"/>
            <w:lock w:val="sdtLocked"/>
            <w:placeholder>
              <w:docPart w:val="GBC22222222222222222222222222222"/>
            </w:placeholder>
          </w:sdtPr>
          <w:sdtEndPr/>
          <w:sdtContent>
            <w:p w14:paraId="0B6067F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82271C" w14:textId="77777777" w:rsidR="00D21C1F" w:rsidRDefault="00A42880">
          <w:pPr>
            <w:jc w:val="right"/>
            <w:rPr>
              <w:rFonts w:cs="Cambria"/>
            </w:rPr>
          </w:pPr>
          <w:r>
            <w:rPr>
              <w:rFonts w:cs="Cambria" w:hint="eastAsia"/>
            </w:rPr>
            <w:t>单位：</w:t>
          </w:r>
          <w:sdt>
            <w:sdtPr>
              <w:rPr>
                <w:rFonts w:cs="Cambria" w:hint="eastAsia"/>
              </w:rPr>
              <w:alias w:val="单位：财务附注：关键管理人员报酬"/>
              <w:tag w:val="_GBC_ce83ed5df8424f9a845da83f15361f10"/>
              <w:id w:val="-14203990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rPr>
                <w:t>万元</w:t>
              </w:r>
            </w:sdtContent>
          </w:sdt>
          <w:r>
            <w:rPr>
              <w:rFonts w:cs="Cambria" w:hint="eastAsia"/>
            </w:rPr>
            <w:t>币种：</w:t>
          </w:r>
          <w:sdt>
            <w:sdtPr>
              <w:rPr>
                <w:rFonts w:cs="Cambria" w:hint="eastAsia"/>
              </w:rPr>
              <w:alias w:val="币种：财务附注：关键管理人员报酬"/>
              <w:tag w:val="_GBC_f493c9ef199846639115d5bc3032a26e"/>
              <w:id w:val="-367525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cs="Cambria"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D21C1F" w14:paraId="4B58C9C1" w14:textId="77777777">
            <w:sdt>
              <w:sdtPr>
                <w:tag w:val="_PLD_67f843efe3664c9fbe7a215b63622ea0"/>
                <w:id w:val="-134438904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8231A9C" w14:textId="77777777" w:rsidR="00D21C1F" w:rsidRDefault="00A42880">
                    <w:pPr>
                      <w:jc w:val="center"/>
                      <w:rPr>
                        <w:rFonts w:cs="Cambria"/>
                      </w:rPr>
                    </w:pPr>
                    <w:r>
                      <w:rPr>
                        <w:rFonts w:cs="Cambria" w:hint="eastAsia"/>
                      </w:rPr>
                      <w:t>项目</w:t>
                    </w:r>
                  </w:p>
                </w:tc>
              </w:sdtContent>
            </w:sdt>
            <w:sdt>
              <w:sdtPr>
                <w:tag w:val="_PLD_30a169af324e457e93d304c688a55945"/>
                <w:id w:val="-167872888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5C0D0C6" w14:textId="77777777" w:rsidR="00D21C1F" w:rsidRDefault="00A42880">
                    <w:pPr>
                      <w:jc w:val="center"/>
                      <w:rPr>
                        <w:rFonts w:cs="Cambria"/>
                      </w:rPr>
                    </w:pPr>
                    <w:r>
                      <w:rPr>
                        <w:rFonts w:cs="Cambria" w:hint="eastAsia"/>
                      </w:rPr>
                      <w:t>本期发生额</w:t>
                    </w:r>
                  </w:p>
                </w:tc>
              </w:sdtContent>
            </w:sdt>
            <w:sdt>
              <w:sdtPr>
                <w:tag w:val="_PLD_bf5a91780f544d6eade38e70db331a30"/>
                <w:id w:val="-1532559078"/>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11630BF" w14:textId="77777777" w:rsidR="00D21C1F" w:rsidRDefault="00A42880">
                    <w:pPr>
                      <w:jc w:val="center"/>
                      <w:rPr>
                        <w:rFonts w:cs="Cambria"/>
                      </w:rPr>
                    </w:pPr>
                    <w:r>
                      <w:rPr>
                        <w:rFonts w:cs="Cambria" w:hint="eastAsia"/>
                      </w:rPr>
                      <w:t>上期发生额</w:t>
                    </w:r>
                  </w:p>
                </w:tc>
              </w:sdtContent>
            </w:sdt>
          </w:tr>
          <w:tr w:rsidR="00D21C1F" w14:paraId="2634FF58" w14:textId="77777777">
            <w:sdt>
              <w:sdtPr>
                <w:tag w:val="_PLD_bc4e2a2d92044454966304594fcd32da"/>
                <w:id w:val="-2073415394"/>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2840DE10" w14:textId="77777777" w:rsidR="00D21C1F" w:rsidRDefault="00A42880">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5B93CECC" w14:textId="77777777" w:rsidR="00D21C1F" w:rsidRPr="00D605CB" w:rsidRDefault="00A42880">
                <w:pPr>
                  <w:jc w:val="right"/>
                  <w:rPr>
                    <w:rFonts w:ascii="Times New Roman" w:hAnsi="Times New Roman" w:cs="Times New Roman"/>
                  </w:rPr>
                </w:pPr>
                <w:r w:rsidRPr="00D605CB">
                  <w:rPr>
                    <w:rFonts w:ascii="Times New Roman" w:hAnsi="Times New Roman" w:cs="Times New Roman"/>
                  </w:rPr>
                  <w:t>923.89</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507150C9" w14:textId="77777777" w:rsidR="00D21C1F" w:rsidRPr="00D605CB" w:rsidRDefault="00A42880">
                <w:pPr>
                  <w:jc w:val="right"/>
                  <w:rPr>
                    <w:rFonts w:ascii="Times New Roman" w:hAnsi="Times New Roman" w:cs="Times New Roman"/>
                  </w:rPr>
                </w:pPr>
                <w:r w:rsidRPr="00D605CB">
                  <w:rPr>
                    <w:rFonts w:ascii="Times New Roman" w:hAnsi="Times New Roman" w:cs="Times New Roman"/>
                  </w:rPr>
                  <w:t>801.27</w:t>
                </w:r>
              </w:p>
            </w:tc>
          </w:tr>
        </w:tbl>
      </w:sdtContent>
    </w:sdt>
    <w:p w14:paraId="5A34A204" w14:textId="77777777" w:rsidR="00D21C1F" w:rsidRDefault="00D21C1F">
      <w:pPr>
        <w:rPr>
          <w:szCs w:val="21"/>
        </w:rPr>
      </w:pPr>
    </w:p>
    <w:sdt>
      <w:sdtPr>
        <w:rPr>
          <w:rFonts w:ascii="宋体" w:eastAsia="宋体" w:hAnsi="宋体" w:cs="宋体" w:hint="eastAsia"/>
          <w:b w:val="0"/>
          <w:bCs w:val="0"/>
          <w:kern w:val="0"/>
          <w:szCs w:val="24"/>
        </w:rPr>
        <w:alias w:val="模块:其他关联交易"/>
        <w:tag w:val="_GBC_45e2e59b0d6145b48f7cfd576edaa9e6"/>
        <w:id w:val="-816417867"/>
        <w:lock w:val="sdtLocked"/>
        <w:placeholder>
          <w:docPart w:val="GBC22222222222222222222222222222"/>
        </w:placeholder>
      </w:sdtPr>
      <w:sdtEndPr>
        <w:rPr>
          <w:rFonts w:cstheme="minorBidi" w:hint="default"/>
          <w:szCs w:val="21"/>
        </w:rPr>
      </w:sdtEndPr>
      <w:sdtContent>
        <w:p w14:paraId="3038657F" w14:textId="77777777" w:rsidR="00D21C1F" w:rsidRDefault="00A42880">
          <w:pPr>
            <w:pStyle w:val="93"/>
            <w:numPr>
              <w:ilvl w:val="0"/>
              <w:numId w:val="138"/>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1611039621"/>
            <w:lock w:val="sdtLocked"/>
            <w:placeholder>
              <w:docPart w:val="GBC22222222222222222222222222222"/>
            </w:placeholder>
          </w:sdtPr>
          <w:sdtEndPr/>
          <w:sdtContent>
            <w:p w14:paraId="7E9A7E24"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7E63673" w14:textId="77777777" w:rsidR="00D21C1F" w:rsidRDefault="00D21C1F">
      <w:pPr>
        <w:rPr>
          <w:szCs w:val="21"/>
        </w:rPr>
      </w:pPr>
    </w:p>
    <w:p w14:paraId="25C3878F" w14:textId="77777777" w:rsidR="00D21C1F" w:rsidRDefault="00A42880">
      <w:pPr>
        <w:pStyle w:val="94"/>
        <w:numPr>
          <w:ilvl w:val="0"/>
          <w:numId w:val="137"/>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GBC_a8ddb53cf3424889a48a1749b5a1d910"/>
        <w:id w:val="307670921"/>
        <w:lock w:val="sdtLocked"/>
        <w:placeholder>
          <w:docPart w:val="GBC22222222222222222222222222222"/>
        </w:placeholder>
      </w:sdtPr>
      <w:sdtEndPr>
        <w:rPr>
          <w:rFonts w:cstheme="minorBidi"/>
        </w:rPr>
      </w:sdtEndPr>
      <w:sdtContent>
        <w:p w14:paraId="5934521D" w14:textId="77777777" w:rsidR="00D21C1F" w:rsidRDefault="00A42880">
          <w:pPr>
            <w:pStyle w:val="93"/>
            <w:numPr>
              <w:ilvl w:val="0"/>
              <w:numId w:val="139"/>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1092510918"/>
            <w:lock w:val="sdtLocked"/>
            <w:placeholder>
              <w:docPart w:val="GBC22222222222222222222222222222"/>
            </w:placeholder>
          </w:sdtPr>
          <w:sdtEndPr/>
          <w:sdtContent>
            <w:p w14:paraId="473F023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44F675" w14:textId="77777777" w:rsidR="00D21C1F" w:rsidRDefault="00A42880">
          <w:pPr>
            <w:jc w:val="right"/>
            <w:rPr>
              <w:szCs w:val="21"/>
            </w:rPr>
          </w:pPr>
          <w:r>
            <w:rPr>
              <w:rFonts w:hint="eastAsia"/>
              <w:szCs w:val="21"/>
            </w:rPr>
            <w:t>单位:</w:t>
          </w:r>
          <w:sdt>
            <w:sdtPr>
              <w:rPr>
                <w:rFonts w:hint="eastAsia"/>
                <w:szCs w:val="21"/>
              </w:rPr>
              <w:alias w:val="单位：上市公司应收关联方款项"/>
              <w:tag w:val="_GBC_04d0c208b4494e01aba7984c41905093"/>
              <w:id w:val="15285234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上市公司应收关联方款项"/>
              <w:tag w:val="_GBC_b106fdd467084a62837eebe1d06bbbee"/>
              <w:id w:val="1768729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272"/>
            <w:gridCol w:w="1558"/>
            <w:gridCol w:w="1560"/>
            <w:gridCol w:w="1380"/>
            <w:gridCol w:w="1599"/>
            <w:gridCol w:w="1454"/>
          </w:tblGrid>
          <w:tr w:rsidR="00D21C1F" w14:paraId="6C3D1989" w14:textId="77777777" w:rsidTr="00D605CB">
            <w:sdt>
              <w:sdtPr>
                <w:tag w:val="_PLD_75750bc8ac464afa98573c85adea097c"/>
                <w:id w:val="-1276013308"/>
                <w:lock w:val="sdtLocked"/>
              </w:sdtPr>
              <w:sdtEndPr/>
              <w:sdtContent>
                <w:tc>
                  <w:tcPr>
                    <w:tcW w:w="721" w:type="pct"/>
                    <w:vMerge w:val="restart"/>
                    <w:tcBorders>
                      <w:top w:val="single" w:sz="4" w:space="0" w:color="auto"/>
                      <w:left w:val="single" w:sz="4" w:space="0" w:color="auto"/>
                      <w:right w:val="single" w:sz="4" w:space="0" w:color="auto"/>
                    </w:tcBorders>
                    <w:vAlign w:val="center"/>
                  </w:tcPr>
                  <w:p w14:paraId="0BAFD7B9" w14:textId="77777777" w:rsidR="00D21C1F" w:rsidRDefault="00A42880">
                    <w:pPr>
                      <w:jc w:val="center"/>
                      <w:rPr>
                        <w:szCs w:val="21"/>
                      </w:rPr>
                    </w:pPr>
                    <w:r>
                      <w:rPr>
                        <w:rFonts w:hint="eastAsia"/>
                        <w:szCs w:val="21"/>
                      </w:rPr>
                      <w:t>项目名称</w:t>
                    </w:r>
                  </w:p>
                </w:tc>
              </w:sdtContent>
            </w:sdt>
            <w:sdt>
              <w:sdtPr>
                <w:tag w:val="_PLD_5006be842c534839b3dabcf833329dd5"/>
                <w:id w:val="224186089"/>
                <w:lock w:val="sdtLocked"/>
              </w:sdtPr>
              <w:sdtEndPr/>
              <w:sdtContent>
                <w:tc>
                  <w:tcPr>
                    <w:tcW w:w="883" w:type="pct"/>
                    <w:vMerge w:val="restart"/>
                    <w:tcBorders>
                      <w:top w:val="single" w:sz="4" w:space="0" w:color="auto"/>
                      <w:left w:val="single" w:sz="4" w:space="0" w:color="auto"/>
                      <w:right w:val="single" w:sz="4" w:space="0" w:color="auto"/>
                    </w:tcBorders>
                    <w:vAlign w:val="center"/>
                  </w:tcPr>
                  <w:p w14:paraId="73F3994A" w14:textId="77777777" w:rsidR="00D21C1F" w:rsidRDefault="00A42880">
                    <w:pPr>
                      <w:jc w:val="center"/>
                      <w:rPr>
                        <w:szCs w:val="21"/>
                      </w:rPr>
                    </w:pPr>
                    <w:r>
                      <w:rPr>
                        <w:rFonts w:hint="eastAsia"/>
                        <w:szCs w:val="21"/>
                      </w:rPr>
                      <w:t>关联方</w:t>
                    </w:r>
                  </w:p>
                </w:tc>
              </w:sdtContent>
            </w:sdt>
            <w:sdt>
              <w:sdtPr>
                <w:tag w:val="_PLD_f8f3c28b2f064090a27f319875eb1b52"/>
                <w:id w:val="957453939"/>
                <w:lock w:val="sdtLocked"/>
              </w:sdtPr>
              <w:sdtEndPr/>
              <w:sdtContent>
                <w:tc>
                  <w:tcPr>
                    <w:tcW w:w="1666" w:type="pct"/>
                    <w:gridSpan w:val="2"/>
                    <w:tcBorders>
                      <w:top w:val="single" w:sz="4" w:space="0" w:color="auto"/>
                      <w:left w:val="single" w:sz="4" w:space="0" w:color="auto"/>
                      <w:bottom w:val="single" w:sz="4" w:space="0" w:color="auto"/>
                      <w:right w:val="single" w:sz="4" w:space="0" w:color="auto"/>
                    </w:tcBorders>
                    <w:vAlign w:val="center"/>
                  </w:tcPr>
                  <w:p w14:paraId="634C97DA" w14:textId="77777777" w:rsidR="00D21C1F" w:rsidRDefault="00A42880">
                    <w:pPr>
                      <w:jc w:val="center"/>
                      <w:rPr>
                        <w:szCs w:val="21"/>
                      </w:rPr>
                    </w:pPr>
                    <w:r>
                      <w:rPr>
                        <w:rFonts w:hint="eastAsia"/>
                        <w:szCs w:val="21"/>
                      </w:rPr>
                      <w:t>期末余额</w:t>
                    </w:r>
                  </w:p>
                </w:tc>
              </w:sdtContent>
            </w:sdt>
            <w:sdt>
              <w:sdtPr>
                <w:tag w:val="_PLD_fdab8cbff0b74f19a916d61075f629a0"/>
                <w:id w:val="614324043"/>
                <w:lock w:val="sdtLocked"/>
              </w:sdtPr>
              <w:sdtEndPr/>
              <w:sdtContent>
                <w:tc>
                  <w:tcPr>
                    <w:tcW w:w="1730" w:type="pct"/>
                    <w:gridSpan w:val="2"/>
                    <w:tcBorders>
                      <w:top w:val="single" w:sz="4" w:space="0" w:color="auto"/>
                      <w:left w:val="single" w:sz="4" w:space="0" w:color="auto"/>
                      <w:bottom w:val="single" w:sz="4" w:space="0" w:color="auto"/>
                      <w:right w:val="single" w:sz="4" w:space="0" w:color="auto"/>
                    </w:tcBorders>
                    <w:vAlign w:val="center"/>
                  </w:tcPr>
                  <w:p w14:paraId="0C6A7CA9" w14:textId="77777777" w:rsidR="00D21C1F" w:rsidRDefault="00A42880">
                    <w:pPr>
                      <w:jc w:val="center"/>
                      <w:rPr>
                        <w:szCs w:val="21"/>
                      </w:rPr>
                    </w:pPr>
                    <w:r>
                      <w:rPr>
                        <w:rFonts w:hint="eastAsia"/>
                        <w:szCs w:val="21"/>
                      </w:rPr>
                      <w:t>期初余额</w:t>
                    </w:r>
                  </w:p>
                </w:tc>
              </w:sdtContent>
            </w:sdt>
          </w:tr>
          <w:tr w:rsidR="00D21C1F" w14:paraId="21BFD185" w14:textId="77777777" w:rsidTr="00D605CB">
            <w:tc>
              <w:tcPr>
                <w:tcW w:w="721" w:type="pct"/>
                <w:vMerge/>
                <w:tcBorders>
                  <w:left w:val="single" w:sz="4" w:space="0" w:color="auto"/>
                  <w:bottom w:val="single" w:sz="4" w:space="0" w:color="auto"/>
                  <w:right w:val="single" w:sz="4" w:space="0" w:color="auto"/>
                </w:tcBorders>
                <w:vAlign w:val="center"/>
              </w:tcPr>
              <w:p w14:paraId="7F099B2C" w14:textId="77777777" w:rsidR="00D21C1F" w:rsidRDefault="00D21C1F">
                <w:pPr>
                  <w:jc w:val="center"/>
                  <w:rPr>
                    <w:szCs w:val="21"/>
                  </w:rPr>
                </w:pPr>
              </w:p>
            </w:tc>
            <w:tc>
              <w:tcPr>
                <w:tcW w:w="883" w:type="pct"/>
                <w:vMerge/>
                <w:tcBorders>
                  <w:left w:val="single" w:sz="4" w:space="0" w:color="auto"/>
                  <w:bottom w:val="single" w:sz="4" w:space="0" w:color="auto"/>
                  <w:right w:val="single" w:sz="4" w:space="0" w:color="auto"/>
                </w:tcBorders>
                <w:vAlign w:val="center"/>
              </w:tcPr>
              <w:p w14:paraId="2E92D14F" w14:textId="77777777" w:rsidR="00D21C1F" w:rsidRDefault="00D21C1F">
                <w:pPr>
                  <w:jc w:val="center"/>
                  <w:rPr>
                    <w:szCs w:val="21"/>
                  </w:rPr>
                </w:pPr>
              </w:p>
            </w:tc>
            <w:sdt>
              <w:sdtPr>
                <w:tag w:val="_PLD_5c085d18049644c9860a00b248b7c0ba"/>
                <w:id w:val="-1255581730"/>
                <w:lock w:val="sdtLocked"/>
              </w:sdtPr>
              <w:sdtEndPr/>
              <w:sdtContent>
                <w:tc>
                  <w:tcPr>
                    <w:tcW w:w="884" w:type="pct"/>
                    <w:tcBorders>
                      <w:top w:val="single" w:sz="4" w:space="0" w:color="auto"/>
                      <w:left w:val="single" w:sz="4" w:space="0" w:color="auto"/>
                      <w:bottom w:val="single" w:sz="4" w:space="0" w:color="auto"/>
                      <w:right w:val="single" w:sz="4" w:space="0" w:color="auto"/>
                    </w:tcBorders>
                    <w:vAlign w:val="center"/>
                  </w:tcPr>
                  <w:p w14:paraId="517493F2" w14:textId="77777777" w:rsidR="00D21C1F" w:rsidRDefault="00A42880">
                    <w:pPr>
                      <w:jc w:val="center"/>
                      <w:rPr>
                        <w:szCs w:val="21"/>
                      </w:rPr>
                    </w:pPr>
                    <w:r>
                      <w:rPr>
                        <w:rFonts w:hint="eastAsia"/>
                        <w:szCs w:val="21"/>
                      </w:rPr>
                      <w:t>账面余额</w:t>
                    </w:r>
                  </w:p>
                </w:tc>
              </w:sdtContent>
            </w:sdt>
            <w:sdt>
              <w:sdtPr>
                <w:tag w:val="_PLD_8262489c05a6417a883e2c877ded6170"/>
                <w:id w:val="714474538"/>
                <w:lock w:val="sdtLocked"/>
              </w:sdtPr>
              <w:sdtEndPr/>
              <w:sdtContent>
                <w:tc>
                  <w:tcPr>
                    <w:tcW w:w="782" w:type="pct"/>
                    <w:tcBorders>
                      <w:top w:val="single" w:sz="4" w:space="0" w:color="auto"/>
                      <w:left w:val="single" w:sz="4" w:space="0" w:color="auto"/>
                      <w:bottom w:val="single" w:sz="4" w:space="0" w:color="auto"/>
                      <w:right w:val="single" w:sz="4" w:space="0" w:color="auto"/>
                    </w:tcBorders>
                    <w:vAlign w:val="center"/>
                  </w:tcPr>
                  <w:p w14:paraId="005C995D" w14:textId="77777777" w:rsidR="00D21C1F" w:rsidRDefault="00A42880">
                    <w:pPr>
                      <w:jc w:val="center"/>
                      <w:rPr>
                        <w:szCs w:val="21"/>
                      </w:rPr>
                    </w:pPr>
                    <w:r>
                      <w:rPr>
                        <w:rFonts w:hint="eastAsia"/>
                        <w:szCs w:val="21"/>
                      </w:rPr>
                      <w:t>坏账准备</w:t>
                    </w:r>
                  </w:p>
                </w:tc>
              </w:sdtContent>
            </w:sdt>
            <w:sdt>
              <w:sdtPr>
                <w:tag w:val="_PLD_46c6d827df3f47a3bc83a6dd8718f17e"/>
                <w:id w:val="288862763"/>
                <w:lock w:val="sdtLocked"/>
              </w:sdtPr>
              <w:sdtEndPr/>
              <w:sdtContent>
                <w:tc>
                  <w:tcPr>
                    <w:tcW w:w="906" w:type="pct"/>
                    <w:tcBorders>
                      <w:top w:val="single" w:sz="4" w:space="0" w:color="auto"/>
                      <w:left w:val="single" w:sz="4" w:space="0" w:color="auto"/>
                      <w:bottom w:val="single" w:sz="4" w:space="0" w:color="auto"/>
                      <w:right w:val="single" w:sz="4" w:space="0" w:color="auto"/>
                    </w:tcBorders>
                    <w:vAlign w:val="center"/>
                  </w:tcPr>
                  <w:p w14:paraId="7B742E38" w14:textId="77777777" w:rsidR="00D21C1F" w:rsidRDefault="00A42880">
                    <w:pPr>
                      <w:jc w:val="center"/>
                      <w:rPr>
                        <w:szCs w:val="21"/>
                      </w:rPr>
                    </w:pPr>
                    <w:r>
                      <w:rPr>
                        <w:rFonts w:hint="eastAsia"/>
                        <w:szCs w:val="21"/>
                      </w:rPr>
                      <w:t>账面余额</w:t>
                    </w:r>
                  </w:p>
                </w:tc>
              </w:sdtContent>
            </w:sdt>
            <w:sdt>
              <w:sdtPr>
                <w:tag w:val="_PLD_fca2aa8baf8a48a7a4cdc730d7420d47"/>
                <w:id w:val="-1872068888"/>
                <w:lock w:val="sdtLocked"/>
              </w:sdtPr>
              <w:sdtEndPr/>
              <w:sdtContent>
                <w:tc>
                  <w:tcPr>
                    <w:tcW w:w="824" w:type="pct"/>
                    <w:tcBorders>
                      <w:top w:val="single" w:sz="4" w:space="0" w:color="auto"/>
                      <w:left w:val="single" w:sz="4" w:space="0" w:color="auto"/>
                      <w:bottom w:val="single" w:sz="4" w:space="0" w:color="auto"/>
                      <w:right w:val="single" w:sz="4" w:space="0" w:color="auto"/>
                    </w:tcBorders>
                    <w:vAlign w:val="center"/>
                  </w:tcPr>
                  <w:p w14:paraId="331E0558" w14:textId="77777777" w:rsidR="00D21C1F" w:rsidRDefault="00A42880">
                    <w:pPr>
                      <w:jc w:val="center"/>
                      <w:rPr>
                        <w:szCs w:val="21"/>
                      </w:rPr>
                    </w:pPr>
                    <w:r>
                      <w:rPr>
                        <w:rFonts w:hint="eastAsia"/>
                        <w:szCs w:val="21"/>
                      </w:rPr>
                      <w:t>坏账准备</w:t>
                    </w:r>
                  </w:p>
                </w:tc>
              </w:sdtContent>
            </w:sdt>
          </w:tr>
          <w:sdt>
            <w:sdtPr>
              <w:rPr>
                <w:rFonts w:ascii="Times New Roman" w:hAnsi="Times New Roman" w:cs="Times New Roman"/>
                <w:sz w:val="18"/>
                <w:szCs w:val="18"/>
              </w:rPr>
              <w:alias w:val="上市公司应收关联方款项明细"/>
              <w:tag w:val="_GBC_203fd12dc6be4a978fe2a9d9f5ad1070"/>
              <w:id w:val="-420790526"/>
              <w:lock w:val="sdtLocked"/>
            </w:sdtPr>
            <w:sdtEndPr/>
            <w:sdtContent>
              <w:tr w:rsidR="00D21C1F" w14:paraId="061B3EED"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56D598E8"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应收票据</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5B57E1F5"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安徽工布智造工业科技有限公司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55846080"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1,300,000.00</w:t>
                    </w:r>
                  </w:p>
                </w:tc>
                <w:tc>
                  <w:tcPr>
                    <w:tcW w:w="782" w:type="pct"/>
                    <w:tcBorders>
                      <w:top w:val="single" w:sz="4" w:space="0" w:color="auto"/>
                      <w:left w:val="single" w:sz="4" w:space="0" w:color="auto"/>
                      <w:bottom w:val="single" w:sz="4" w:space="0" w:color="auto"/>
                      <w:right w:val="single" w:sz="4" w:space="0" w:color="auto"/>
                    </w:tcBorders>
                    <w:vAlign w:val="center"/>
                  </w:tcPr>
                  <w:p w14:paraId="5276E8F0" w14:textId="56D87219" w:rsidR="00D21C1F"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36D3223E"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200,000.00</w:t>
                    </w:r>
                  </w:p>
                </w:tc>
                <w:tc>
                  <w:tcPr>
                    <w:tcW w:w="824" w:type="pct"/>
                    <w:tcBorders>
                      <w:top w:val="single" w:sz="4" w:space="0" w:color="auto"/>
                      <w:left w:val="single" w:sz="4" w:space="0" w:color="auto"/>
                      <w:bottom w:val="single" w:sz="4" w:space="0" w:color="auto"/>
                      <w:right w:val="single" w:sz="4" w:space="0" w:color="auto"/>
                    </w:tcBorders>
                    <w:vAlign w:val="center"/>
                  </w:tcPr>
                  <w:p w14:paraId="5CD5834E" w14:textId="11DF3940" w:rsidR="00D21C1F"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r w:rsidR="00A42880" w:rsidRPr="00D605CB">
                      <w:rPr>
                        <w:rFonts w:ascii="Times New Roman" w:hAnsi="Times New Roman" w:cs="Times New Roman"/>
                        <w:sz w:val="18"/>
                        <w:szCs w:val="18"/>
                      </w:rPr>
                      <w:t>  </w:t>
                    </w:r>
                  </w:p>
                </w:tc>
              </w:tr>
            </w:sdtContent>
          </w:sdt>
          <w:sdt>
            <w:sdtPr>
              <w:rPr>
                <w:rFonts w:ascii="Times New Roman" w:hAnsi="Times New Roman" w:cs="Times New Roman"/>
                <w:sz w:val="18"/>
                <w:szCs w:val="18"/>
              </w:rPr>
              <w:alias w:val="上市公司应收关联方款项明细"/>
              <w:tag w:val="_GBC_203fd12dc6be4a978fe2a9d9f5ad1070"/>
              <w:id w:val="-2108111646"/>
              <w:lock w:val="sdtLocked"/>
            </w:sdtPr>
            <w:sdtEndPr/>
            <w:sdtContent>
              <w:tr w:rsidR="00D605CB" w14:paraId="6C35F391"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5E49B9AD"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应收票据</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4D6508CC"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美的集团股份有限公司及其下属企业</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380F69FA" w14:textId="239E0D5D"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782" w:type="pct"/>
                    <w:tcBorders>
                      <w:top w:val="single" w:sz="4" w:space="0" w:color="auto"/>
                      <w:left w:val="single" w:sz="4" w:space="0" w:color="auto"/>
                      <w:bottom w:val="single" w:sz="4" w:space="0" w:color="auto"/>
                      <w:right w:val="single" w:sz="4" w:space="0" w:color="auto"/>
                    </w:tcBorders>
                    <w:vAlign w:val="center"/>
                  </w:tcPr>
                  <w:p w14:paraId="42617CED" w14:textId="19DB89A6"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31027986"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154,600.00</w:t>
                    </w:r>
                  </w:p>
                </w:tc>
                <w:tc>
                  <w:tcPr>
                    <w:tcW w:w="824" w:type="pct"/>
                    <w:tcBorders>
                      <w:top w:val="single" w:sz="4" w:space="0" w:color="auto"/>
                      <w:left w:val="single" w:sz="4" w:space="0" w:color="auto"/>
                      <w:bottom w:val="single" w:sz="4" w:space="0" w:color="auto"/>
                      <w:right w:val="single" w:sz="4" w:space="0" w:color="auto"/>
                    </w:tcBorders>
                    <w:vAlign w:val="center"/>
                  </w:tcPr>
                  <w:p w14:paraId="46FCD2F6" w14:textId="1E42CC7C"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r>
            </w:sdtContent>
          </w:sdt>
          <w:sdt>
            <w:sdtPr>
              <w:rPr>
                <w:rFonts w:ascii="Times New Roman" w:hAnsi="Times New Roman" w:cs="Times New Roman"/>
                <w:sz w:val="18"/>
                <w:szCs w:val="18"/>
              </w:rPr>
              <w:alias w:val="上市公司应收关联方款项明细"/>
              <w:tag w:val="_GBC_203fd12dc6be4a978fe2a9d9f5ad1070"/>
              <w:id w:val="1728569306"/>
              <w:lock w:val="sdtLocked"/>
            </w:sdtPr>
            <w:sdtEndPr/>
            <w:sdtContent>
              <w:tr w:rsidR="00D605CB" w14:paraId="25B9891F"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6CCDF776"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应收票据</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349B5863"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芜湖固高自动化技术有限公司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469AA4CF" w14:textId="46D18C86"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782" w:type="pct"/>
                    <w:tcBorders>
                      <w:top w:val="single" w:sz="4" w:space="0" w:color="auto"/>
                      <w:left w:val="single" w:sz="4" w:space="0" w:color="auto"/>
                      <w:bottom w:val="single" w:sz="4" w:space="0" w:color="auto"/>
                      <w:right w:val="single" w:sz="4" w:space="0" w:color="auto"/>
                    </w:tcBorders>
                    <w:vAlign w:val="center"/>
                  </w:tcPr>
                  <w:p w14:paraId="35B160AF" w14:textId="254BF524"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70D6D7FD"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500,000.00</w:t>
                    </w:r>
                  </w:p>
                </w:tc>
                <w:tc>
                  <w:tcPr>
                    <w:tcW w:w="824" w:type="pct"/>
                    <w:tcBorders>
                      <w:top w:val="single" w:sz="4" w:space="0" w:color="auto"/>
                      <w:left w:val="single" w:sz="4" w:space="0" w:color="auto"/>
                      <w:bottom w:val="single" w:sz="4" w:space="0" w:color="auto"/>
                      <w:right w:val="single" w:sz="4" w:space="0" w:color="auto"/>
                    </w:tcBorders>
                    <w:vAlign w:val="center"/>
                  </w:tcPr>
                  <w:p w14:paraId="7D28EA82" w14:textId="645B5666"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r>
            </w:sdtContent>
          </w:sdt>
          <w:sdt>
            <w:sdtPr>
              <w:rPr>
                <w:rFonts w:ascii="Times New Roman" w:hAnsi="Times New Roman" w:cs="Times New Roman"/>
                <w:sz w:val="18"/>
                <w:szCs w:val="18"/>
              </w:rPr>
              <w:alias w:val="上市公司应收关联方款项明细"/>
              <w:tag w:val="_GBC_203fd12dc6be4a978fe2a9d9f5ad1070"/>
              <w:id w:val="589205435"/>
              <w:lock w:val="sdtLocked"/>
            </w:sdtPr>
            <w:sdtEndPr/>
            <w:sdtContent>
              <w:tr w:rsidR="00D21C1F" w14:paraId="3D7E8997"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59CE2288"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540FA50E"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安徽工布智造工业科技有限公司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773BE845"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8,578,878.24</w:t>
                    </w:r>
                  </w:p>
                </w:tc>
                <w:tc>
                  <w:tcPr>
                    <w:tcW w:w="782" w:type="pct"/>
                    <w:tcBorders>
                      <w:top w:val="single" w:sz="4" w:space="0" w:color="auto"/>
                      <w:left w:val="single" w:sz="4" w:space="0" w:color="auto"/>
                      <w:bottom w:val="single" w:sz="4" w:space="0" w:color="auto"/>
                      <w:right w:val="single" w:sz="4" w:space="0" w:color="auto"/>
                    </w:tcBorders>
                    <w:vAlign w:val="center"/>
                  </w:tcPr>
                  <w:p w14:paraId="504A8545"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611,443.91</w:t>
                    </w:r>
                  </w:p>
                </w:tc>
                <w:tc>
                  <w:tcPr>
                    <w:tcW w:w="906" w:type="pct"/>
                    <w:tcBorders>
                      <w:top w:val="single" w:sz="4" w:space="0" w:color="auto"/>
                      <w:left w:val="single" w:sz="4" w:space="0" w:color="auto"/>
                      <w:bottom w:val="single" w:sz="4" w:space="0" w:color="auto"/>
                      <w:right w:val="single" w:sz="4" w:space="0" w:color="auto"/>
                    </w:tcBorders>
                    <w:vAlign w:val="center"/>
                  </w:tcPr>
                  <w:p w14:paraId="55E7789D"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4,127,628.31</w:t>
                    </w:r>
                  </w:p>
                </w:tc>
                <w:tc>
                  <w:tcPr>
                    <w:tcW w:w="824" w:type="pct"/>
                    <w:tcBorders>
                      <w:top w:val="single" w:sz="4" w:space="0" w:color="auto"/>
                      <w:left w:val="single" w:sz="4" w:space="0" w:color="auto"/>
                      <w:bottom w:val="single" w:sz="4" w:space="0" w:color="auto"/>
                      <w:right w:val="single" w:sz="4" w:space="0" w:color="auto"/>
                    </w:tcBorders>
                    <w:vAlign w:val="center"/>
                  </w:tcPr>
                  <w:p w14:paraId="2C0B02FE"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388,881.42</w:t>
                    </w:r>
                  </w:p>
                </w:tc>
              </w:tr>
            </w:sdtContent>
          </w:sdt>
          <w:sdt>
            <w:sdtPr>
              <w:rPr>
                <w:rFonts w:ascii="Times New Roman" w:hAnsi="Times New Roman" w:cs="Times New Roman"/>
                <w:sz w:val="18"/>
                <w:szCs w:val="18"/>
              </w:rPr>
              <w:alias w:val="上市公司应收关联方款项明细"/>
              <w:tag w:val="_GBC_203fd12dc6be4a978fe2a9d9f5ad1070"/>
              <w:id w:val="1536998023"/>
              <w:lock w:val="sdtLocked"/>
            </w:sdtPr>
            <w:sdtEndPr/>
            <w:sdtContent>
              <w:tr w:rsidR="00D21C1F" w14:paraId="61CB7801"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3A712BFD"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22B1635A"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江西汇有美智能涂装科技有限公司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0A3D3064"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40,000,000.00</w:t>
                    </w:r>
                  </w:p>
                </w:tc>
                <w:tc>
                  <w:tcPr>
                    <w:tcW w:w="782" w:type="pct"/>
                    <w:tcBorders>
                      <w:top w:val="single" w:sz="4" w:space="0" w:color="auto"/>
                      <w:left w:val="single" w:sz="4" w:space="0" w:color="auto"/>
                      <w:bottom w:val="single" w:sz="4" w:space="0" w:color="auto"/>
                      <w:right w:val="single" w:sz="4" w:space="0" w:color="auto"/>
                    </w:tcBorders>
                    <w:vAlign w:val="center"/>
                  </w:tcPr>
                  <w:p w14:paraId="687624BF"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2,000,000.00</w:t>
                    </w:r>
                  </w:p>
                </w:tc>
                <w:tc>
                  <w:tcPr>
                    <w:tcW w:w="906" w:type="pct"/>
                    <w:tcBorders>
                      <w:top w:val="single" w:sz="4" w:space="0" w:color="auto"/>
                      <w:left w:val="single" w:sz="4" w:space="0" w:color="auto"/>
                      <w:bottom w:val="single" w:sz="4" w:space="0" w:color="auto"/>
                      <w:right w:val="single" w:sz="4" w:space="0" w:color="auto"/>
                    </w:tcBorders>
                    <w:vAlign w:val="center"/>
                  </w:tcPr>
                  <w:p w14:paraId="176CAAFA"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6,000,000.00</w:t>
                    </w:r>
                  </w:p>
                </w:tc>
                <w:tc>
                  <w:tcPr>
                    <w:tcW w:w="824" w:type="pct"/>
                    <w:tcBorders>
                      <w:top w:val="single" w:sz="4" w:space="0" w:color="auto"/>
                      <w:left w:val="single" w:sz="4" w:space="0" w:color="auto"/>
                      <w:bottom w:val="single" w:sz="4" w:space="0" w:color="auto"/>
                      <w:right w:val="single" w:sz="4" w:space="0" w:color="auto"/>
                    </w:tcBorders>
                    <w:vAlign w:val="center"/>
                  </w:tcPr>
                  <w:p w14:paraId="3EE7E866"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300,000.00</w:t>
                    </w:r>
                  </w:p>
                </w:tc>
              </w:tr>
            </w:sdtContent>
          </w:sdt>
          <w:sdt>
            <w:sdtPr>
              <w:rPr>
                <w:rFonts w:ascii="Times New Roman" w:hAnsi="Times New Roman" w:cs="Times New Roman"/>
                <w:sz w:val="18"/>
                <w:szCs w:val="18"/>
              </w:rPr>
              <w:alias w:val="上市公司应收关联方款项明细"/>
              <w:tag w:val="_GBC_203fd12dc6be4a978fe2a9d9f5ad1070"/>
              <w:id w:val="831101744"/>
              <w:lock w:val="sdtLocked"/>
            </w:sdtPr>
            <w:sdtEndPr/>
            <w:sdtContent>
              <w:tr w:rsidR="00D21C1F" w14:paraId="14D3D2BD"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55C7AE3B"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6873EE8A"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美的集团股份有限公司及其下属企业</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42930D8F"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24,200.00</w:t>
                    </w:r>
                  </w:p>
                </w:tc>
                <w:tc>
                  <w:tcPr>
                    <w:tcW w:w="782" w:type="pct"/>
                    <w:tcBorders>
                      <w:top w:val="single" w:sz="4" w:space="0" w:color="auto"/>
                      <w:left w:val="single" w:sz="4" w:space="0" w:color="auto"/>
                      <w:bottom w:val="single" w:sz="4" w:space="0" w:color="auto"/>
                      <w:right w:val="single" w:sz="4" w:space="0" w:color="auto"/>
                    </w:tcBorders>
                    <w:vAlign w:val="center"/>
                  </w:tcPr>
                  <w:p w14:paraId="1E7BF03B"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7,260.00</w:t>
                    </w:r>
                  </w:p>
                </w:tc>
                <w:tc>
                  <w:tcPr>
                    <w:tcW w:w="906" w:type="pct"/>
                    <w:tcBorders>
                      <w:top w:val="single" w:sz="4" w:space="0" w:color="auto"/>
                      <w:left w:val="single" w:sz="4" w:space="0" w:color="auto"/>
                      <w:bottom w:val="single" w:sz="4" w:space="0" w:color="auto"/>
                      <w:right w:val="single" w:sz="4" w:space="0" w:color="auto"/>
                    </w:tcBorders>
                    <w:vAlign w:val="center"/>
                  </w:tcPr>
                  <w:p w14:paraId="13BBD3A4"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29,500.00</w:t>
                    </w:r>
                  </w:p>
                </w:tc>
                <w:tc>
                  <w:tcPr>
                    <w:tcW w:w="824" w:type="pct"/>
                    <w:tcBorders>
                      <w:top w:val="single" w:sz="4" w:space="0" w:color="auto"/>
                      <w:left w:val="single" w:sz="4" w:space="0" w:color="auto"/>
                      <w:bottom w:val="single" w:sz="4" w:space="0" w:color="auto"/>
                      <w:right w:val="single" w:sz="4" w:space="0" w:color="auto"/>
                    </w:tcBorders>
                    <w:vAlign w:val="center"/>
                  </w:tcPr>
                  <w:p w14:paraId="27B2E3A4"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2,685.00</w:t>
                    </w:r>
                  </w:p>
                </w:tc>
              </w:tr>
            </w:sdtContent>
          </w:sdt>
          <w:sdt>
            <w:sdtPr>
              <w:rPr>
                <w:rFonts w:ascii="Times New Roman" w:hAnsi="Times New Roman" w:cs="Times New Roman"/>
                <w:sz w:val="18"/>
                <w:szCs w:val="18"/>
              </w:rPr>
              <w:alias w:val="上市公司应收关联方款项明细"/>
              <w:tag w:val="_GBC_203fd12dc6be4a978fe2a9d9f5ad1070"/>
              <w:id w:val="-382250698"/>
              <w:lock w:val="sdtLocked"/>
            </w:sdtPr>
            <w:sdtEndPr/>
            <w:sdtContent>
              <w:tr w:rsidR="00D21C1F" w14:paraId="18DB8569"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1D484D11"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79C145B0"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奇瑞控股集团有限公司及其下属企业</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069B59D7"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30,636,463.98</w:t>
                    </w:r>
                  </w:p>
                </w:tc>
                <w:tc>
                  <w:tcPr>
                    <w:tcW w:w="782" w:type="pct"/>
                    <w:tcBorders>
                      <w:top w:val="single" w:sz="4" w:space="0" w:color="auto"/>
                      <w:left w:val="single" w:sz="4" w:space="0" w:color="auto"/>
                      <w:bottom w:val="single" w:sz="4" w:space="0" w:color="auto"/>
                      <w:right w:val="single" w:sz="4" w:space="0" w:color="auto"/>
                    </w:tcBorders>
                    <w:vAlign w:val="center"/>
                  </w:tcPr>
                  <w:p w14:paraId="10D24BF9"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3,654,155.44</w:t>
                    </w:r>
                  </w:p>
                </w:tc>
                <w:tc>
                  <w:tcPr>
                    <w:tcW w:w="906" w:type="pct"/>
                    <w:tcBorders>
                      <w:top w:val="single" w:sz="4" w:space="0" w:color="auto"/>
                      <w:left w:val="single" w:sz="4" w:space="0" w:color="auto"/>
                      <w:bottom w:val="single" w:sz="4" w:space="0" w:color="auto"/>
                      <w:right w:val="single" w:sz="4" w:space="0" w:color="auto"/>
                    </w:tcBorders>
                    <w:vAlign w:val="center"/>
                  </w:tcPr>
                  <w:p w14:paraId="6EB95224"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42,253,069.12</w:t>
                    </w:r>
                  </w:p>
                </w:tc>
                <w:tc>
                  <w:tcPr>
                    <w:tcW w:w="824" w:type="pct"/>
                    <w:tcBorders>
                      <w:top w:val="single" w:sz="4" w:space="0" w:color="auto"/>
                      <w:left w:val="single" w:sz="4" w:space="0" w:color="auto"/>
                      <w:bottom w:val="single" w:sz="4" w:space="0" w:color="auto"/>
                      <w:right w:val="single" w:sz="4" w:space="0" w:color="auto"/>
                    </w:tcBorders>
                    <w:vAlign w:val="center"/>
                  </w:tcPr>
                  <w:p w14:paraId="5691223E"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6,659,878.76</w:t>
                    </w:r>
                  </w:p>
                </w:tc>
              </w:tr>
            </w:sdtContent>
          </w:sdt>
          <w:sdt>
            <w:sdtPr>
              <w:rPr>
                <w:rFonts w:ascii="Times New Roman" w:hAnsi="Times New Roman" w:cs="Times New Roman"/>
                <w:sz w:val="18"/>
                <w:szCs w:val="18"/>
              </w:rPr>
              <w:alias w:val="上市公司应收关联方款项明细"/>
              <w:tag w:val="_GBC_203fd12dc6be4a978fe2a9d9f5ad1070"/>
              <w:id w:val="-767703927"/>
              <w:lock w:val="sdtLocked"/>
            </w:sdtPr>
            <w:sdtEndPr/>
            <w:sdtContent>
              <w:tr w:rsidR="00D605CB" w14:paraId="49CA5D36"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3899BB4D"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7CB34E9D"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沈阳智能机器人国家研究院有限公司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05DBCE7B" w14:textId="027AAA35"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782" w:type="pct"/>
                    <w:tcBorders>
                      <w:top w:val="single" w:sz="4" w:space="0" w:color="auto"/>
                      <w:left w:val="single" w:sz="4" w:space="0" w:color="auto"/>
                      <w:bottom w:val="single" w:sz="4" w:space="0" w:color="auto"/>
                      <w:right w:val="single" w:sz="4" w:space="0" w:color="auto"/>
                    </w:tcBorders>
                    <w:vAlign w:val="center"/>
                  </w:tcPr>
                  <w:p w14:paraId="5C8CF875" w14:textId="5B55F426"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27248E0D"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99,500.00</w:t>
                    </w:r>
                  </w:p>
                </w:tc>
                <w:tc>
                  <w:tcPr>
                    <w:tcW w:w="824" w:type="pct"/>
                    <w:tcBorders>
                      <w:top w:val="single" w:sz="4" w:space="0" w:color="auto"/>
                      <w:left w:val="single" w:sz="4" w:space="0" w:color="auto"/>
                      <w:bottom w:val="single" w:sz="4" w:space="0" w:color="auto"/>
                      <w:right w:val="single" w:sz="4" w:space="0" w:color="auto"/>
                    </w:tcBorders>
                    <w:vAlign w:val="center"/>
                  </w:tcPr>
                  <w:p w14:paraId="406A51A1"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9,950.00</w:t>
                    </w:r>
                  </w:p>
                </w:tc>
              </w:tr>
            </w:sdtContent>
          </w:sdt>
          <w:sdt>
            <w:sdtPr>
              <w:rPr>
                <w:rFonts w:ascii="Times New Roman" w:hAnsi="Times New Roman" w:cs="Times New Roman"/>
                <w:sz w:val="18"/>
                <w:szCs w:val="18"/>
              </w:rPr>
              <w:alias w:val="上市公司应收关联方款项明细"/>
              <w:tag w:val="_GBC_203fd12dc6be4a978fe2a9d9f5ad1070"/>
              <w:id w:val="442436151"/>
              <w:lock w:val="sdtLocked"/>
            </w:sdtPr>
            <w:sdtEndPr/>
            <w:sdtContent>
              <w:tr w:rsidR="00D605CB" w14:paraId="736B116A"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7366C4A5"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4892DA96"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芜湖安普机器人产业技术研究院有限公司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44D89504" w14:textId="69A318EC"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782" w:type="pct"/>
                    <w:tcBorders>
                      <w:top w:val="single" w:sz="4" w:space="0" w:color="auto"/>
                      <w:left w:val="single" w:sz="4" w:space="0" w:color="auto"/>
                      <w:bottom w:val="single" w:sz="4" w:space="0" w:color="auto"/>
                      <w:right w:val="single" w:sz="4" w:space="0" w:color="auto"/>
                    </w:tcBorders>
                    <w:vAlign w:val="center"/>
                  </w:tcPr>
                  <w:p w14:paraId="43D9A334" w14:textId="6717DABE"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0F56D92F"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789,700.00</w:t>
                    </w:r>
                  </w:p>
                </w:tc>
                <w:tc>
                  <w:tcPr>
                    <w:tcW w:w="824" w:type="pct"/>
                    <w:tcBorders>
                      <w:top w:val="single" w:sz="4" w:space="0" w:color="auto"/>
                      <w:left w:val="single" w:sz="4" w:space="0" w:color="auto"/>
                      <w:bottom w:val="single" w:sz="4" w:space="0" w:color="auto"/>
                      <w:right w:val="single" w:sz="4" w:space="0" w:color="auto"/>
                    </w:tcBorders>
                    <w:vAlign w:val="center"/>
                  </w:tcPr>
                  <w:p w14:paraId="11D6AB01"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71,370.00</w:t>
                    </w:r>
                  </w:p>
                </w:tc>
              </w:tr>
            </w:sdtContent>
          </w:sdt>
          <w:sdt>
            <w:sdtPr>
              <w:rPr>
                <w:rFonts w:ascii="Times New Roman" w:hAnsi="Times New Roman" w:cs="Times New Roman"/>
                <w:sz w:val="18"/>
                <w:szCs w:val="18"/>
              </w:rPr>
              <w:alias w:val="上市公司应收关联方款项明细"/>
              <w:tag w:val="_GBC_203fd12dc6be4a978fe2a9d9f5ad1070"/>
              <w:id w:val="637302600"/>
              <w:lock w:val="sdtLocked"/>
            </w:sdtPr>
            <w:sdtEndPr/>
            <w:sdtContent>
              <w:tr w:rsidR="00D21C1F" w14:paraId="7286BBDF"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6D87F75B"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142954F9"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芜湖奥一精机有限公司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10AD9220"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1,577,171.00</w:t>
                    </w:r>
                  </w:p>
                </w:tc>
                <w:tc>
                  <w:tcPr>
                    <w:tcW w:w="782" w:type="pct"/>
                    <w:tcBorders>
                      <w:top w:val="single" w:sz="4" w:space="0" w:color="auto"/>
                      <w:left w:val="single" w:sz="4" w:space="0" w:color="auto"/>
                      <w:bottom w:val="single" w:sz="4" w:space="0" w:color="auto"/>
                      <w:right w:val="single" w:sz="4" w:space="0" w:color="auto"/>
                    </w:tcBorders>
                    <w:vAlign w:val="center"/>
                  </w:tcPr>
                  <w:p w14:paraId="6DCB9BE8"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157,717.10</w:t>
                    </w:r>
                  </w:p>
                </w:tc>
                <w:tc>
                  <w:tcPr>
                    <w:tcW w:w="906" w:type="pct"/>
                    <w:tcBorders>
                      <w:top w:val="single" w:sz="4" w:space="0" w:color="auto"/>
                      <w:left w:val="single" w:sz="4" w:space="0" w:color="auto"/>
                      <w:bottom w:val="single" w:sz="4" w:space="0" w:color="auto"/>
                      <w:right w:val="single" w:sz="4" w:space="0" w:color="auto"/>
                    </w:tcBorders>
                    <w:vAlign w:val="center"/>
                  </w:tcPr>
                  <w:p w14:paraId="3728FBA8"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1,577,171.00</w:t>
                    </w:r>
                  </w:p>
                </w:tc>
                <w:tc>
                  <w:tcPr>
                    <w:tcW w:w="824" w:type="pct"/>
                    <w:tcBorders>
                      <w:top w:val="single" w:sz="4" w:space="0" w:color="auto"/>
                      <w:left w:val="single" w:sz="4" w:space="0" w:color="auto"/>
                      <w:bottom w:val="single" w:sz="4" w:space="0" w:color="auto"/>
                      <w:right w:val="single" w:sz="4" w:space="0" w:color="auto"/>
                    </w:tcBorders>
                    <w:vAlign w:val="center"/>
                  </w:tcPr>
                  <w:p w14:paraId="3A4B36EC"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78,858.55</w:t>
                    </w:r>
                  </w:p>
                </w:tc>
              </w:tr>
            </w:sdtContent>
          </w:sdt>
          <w:sdt>
            <w:sdtPr>
              <w:rPr>
                <w:rFonts w:ascii="Times New Roman" w:hAnsi="Times New Roman" w:cs="Times New Roman"/>
                <w:sz w:val="18"/>
                <w:szCs w:val="18"/>
              </w:rPr>
              <w:alias w:val="上市公司应收关联方款项明细"/>
              <w:tag w:val="_GBC_203fd12dc6be4a978fe2a9d9f5ad1070"/>
              <w:id w:val="1399868640"/>
              <w:lock w:val="sdtLocked"/>
            </w:sdtPr>
            <w:sdtEndPr/>
            <w:sdtContent>
              <w:tr w:rsidR="00D21C1F" w14:paraId="65CDA1BF"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35E2466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44B4E3D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芜湖翡叶动力科技有限公司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6A96A9CA"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78,000.00</w:t>
                    </w:r>
                  </w:p>
                </w:tc>
                <w:tc>
                  <w:tcPr>
                    <w:tcW w:w="782" w:type="pct"/>
                    <w:tcBorders>
                      <w:top w:val="single" w:sz="4" w:space="0" w:color="auto"/>
                      <w:left w:val="single" w:sz="4" w:space="0" w:color="auto"/>
                      <w:bottom w:val="single" w:sz="4" w:space="0" w:color="auto"/>
                      <w:right w:val="single" w:sz="4" w:space="0" w:color="auto"/>
                    </w:tcBorders>
                    <w:vAlign w:val="center"/>
                  </w:tcPr>
                  <w:p w14:paraId="30FCAB09"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54,600.00</w:t>
                    </w:r>
                  </w:p>
                </w:tc>
                <w:tc>
                  <w:tcPr>
                    <w:tcW w:w="906" w:type="pct"/>
                    <w:tcBorders>
                      <w:top w:val="single" w:sz="4" w:space="0" w:color="auto"/>
                      <w:left w:val="single" w:sz="4" w:space="0" w:color="auto"/>
                      <w:bottom w:val="single" w:sz="4" w:space="0" w:color="auto"/>
                      <w:right w:val="single" w:sz="4" w:space="0" w:color="auto"/>
                    </w:tcBorders>
                    <w:vAlign w:val="center"/>
                  </w:tcPr>
                  <w:p w14:paraId="683A4D63"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78,000.00</w:t>
                    </w:r>
                  </w:p>
                </w:tc>
                <w:tc>
                  <w:tcPr>
                    <w:tcW w:w="824" w:type="pct"/>
                    <w:tcBorders>
                      <w:top w:val="single" w:sz="4" w:space="0" w:color="auto"/>
                      <w:left w:val="single" w:sz="4" w:space="0" w:color="auto"/>
                      <w:bottom w:val="single" w:sz="4" w:space="0" w:color="auto"/>
                      <w:right w:val="single" w:sz="4" w:space="0" w:color="auto"/>
                    </w:tcBorders>
                    <w:vAlign w:val="center"/>
                  </w:tcPr>
                  <w:p w14:paraId="1FB7B5FE"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39,000.00</w:t>
                    </w:r>
                  </w:p>
                </w:tc>
              </w:tr>
            </w:sdtContent>
          </w:sdt>
          <w:sdt>
            <w:sdtPr>
              <w:rPr>
                <w:rFonts w:ascii="Times New Roman" w:hAnsi="Times New Roman" w:cs="Times New Roman"/>
                <w:sz w:val="18"/>
                <w:szCs w:val="18"/>
              </w:rPr>
              <w:alias w:val="上市公司应收关联方款项明细"/>
              <w:tag w:val="_GBC_203fd12dc6be4a978fe2a9d9f5ad1070"/>
              <w:id w:val="2026832279"/>
              <w:lock w:val="sdtLocked"/>
            </w:sdtPr>
            <w:sdtEndPr/>
            <w:sdtContent>
              <w:tr w:rsidR="00D21C1F" w14:paraId="3BC20AAD"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1CC2F960"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7EE59B4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芜湖固高自动化技术有限公司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498411D2"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4,907,907.15</w:t>
                    </w:r>
                  </w:p>
                </w:tc>
                <w:tc>
                  <w:tcPr>
                    <w:tcW w:w="782" w:type="pct"/>
                    <w:tcBorders>
                      <w:top w:val="single" w:sz="4" w:space="0" w:color="auto"/>
                      <w:left w:val="single" w:sz="4" w:space="0" w:color="auto"/>
                      <w:bottom w:val="single" w:sz="4" w:space="0" w:color="auto"/>
                      <w:right w:val="single" w:sz="4" w:space="0" w:color="auto"/>
                    </w:tcBorders>
                    <w:vAlign w:val="center"/>
                  </w:tcPr>
                  <w:p w14:paraId="6AAC8352"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462,286.15</w:t>
                    </w:r>
                  </w:p>
                </w:tc>
                <w:tc>
                  <w:tcPr>
                    <w:tcW w:w="906" w:type="pct"/>
                    <w:tcBorders>
                      <w:top w:val="single" w:sz="4" w:space="0" w:color="auto"/>
                      <w:left w:val="single" w:sz="4" w:space="0" w:color="auto"/>
                      <w:bottom w:val="single" w:sz="4" w:space="0" w:color="auto"/>
                      <w:right w:val="single" w:sz="4" w:space="0" w:color="auto"/>
                    </w:tcBorders>
                    <w:vAlign w:val="center"/>
                  </w:tcPr>
                  <w:p w14:paraId="7736DF6A"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4,852,683.15</w:t>
                    </w:r>
                  </w:p>
                </w:tc>
                <w:tc>
                  <w:tcPr>
                    <w:tcW w:w="824" w:type="pct"/>
                    <w:tcBorders>
                      <w:top w:val="single" w:sz="4" w:space="0" w:color="auto"/>
                      <w:left w:val="single" w:sz="4" w:space="0" w:color="auto"/>
                      <w:bottom w:val="single" w:sz="4" w:space="0" w:color="auto"/>
                      <w:right w:val="single" w:sz="4" w:space="0" w:color="auto"/>
                    </w:tcBorders>
                    <w:vAlign w:val="center"/>
                  </w:tcPr>
                  <w:p w14:paraId="0F25E4AA"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493,074.95</w:t>
                    </w:r>
                  </w:p>
                </w:tc>
              </w:tr>
            </w:sdtContent>
          </w:sdt>
          <w:sdt>
            <w:sdtPr>
              <w:rPr>
                <w:rFonts w:ascii="Times New Roman" w:hAnsi="Times New Roman" w:cs="Times New Roman"/>
                <w:sz w:val="18"/>
                <w:szCs w:val="18"/>
              </w:rPr>
              <w:alias w:val="上市公司应收关联方款项明细"/>
              <w:tag w:val="_GBC_203fd12dc6be4a978fe2a9d9f5ad1070"/>
              <w:id w:val="1504090827"/>
              <w:lock w:val="sdtLocked"/>
            </w:sdtPr>
            <w:sdtEndPr/>
            <w:sdtContent>
              <w:tr w:rsidR="00D21C1F" w14:paraId="4AF2E7A3"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1E205C2D"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5A7CEF35"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芜湖哈特机器人产业技术研究院有限公司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05F19B53"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6,675,000.00</w:t>
                    </w:r>
                  </w:p>
                </w:tc>
                <w:tc>
                  <w:tcPr>
                    <w:tcW w:w="782" w:type="pct"/>
                    <w:tcBorders>
                      <w:top w:val="single" w:sz="4" w:space="0" w:color="auto"/>
                      <w:left w:val="single" w:sz="4" w:space="0" w:color="auto"/>
                      <w:bottom w:val="single" w:sz="4" w:space="0" w:color="auto"/>
                      <w:right w:val="single" w:sz="4" w:space="0" w:color="auto"/>
                    </w:tcBorders>
                    <w:vAlign w:val="center"/>
                  </w:tcPr>
                  <w:p w14:paraId="20E0752E"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715,000.00</w:t>
                    </w:r>
                  </w:p>
                </w:tc>
                <w:tc>
                  <w:tcPr>
                    <w:tcW w:w="906" w:type="pct"/>
                    <w:tcBorders>
                      <w:top w:val="single" w:sz="4" w:space="0" w:color="auto"/>
                      <w:left w:val="single" w:sz="4" w:space="0" w:color="auto"/>
                      <w:bottom w:val="single" w:sz="4" w:space="0" w:color="auto"/>
                      <w:right w:val="single" w:sz="4" w:space="0" w:color="auto"/>
                    </w:tcBorders>
                    <w:vAlign w:val="center"/>
                  </w:tcPr>
                  <w:p w14:paraId="5DFC17C3"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6,675,000.00</w:t>
                    </w:r>
                  </w:p>
                </w:tc>
                <w:tc>
                  <w:tcPr>
                    <w:tcW w:w="824" w:type="pct"/>
                    <w:tcBorders>
                      <w:top w:val="single" w:sz="4" w:space="0" w:color="auto"/>
                      <w:left w:val="single" w:sz="4" w:space="0" w:color="auto"/>
                      <w:bottom w:val="single" w:sz="4" w:space="0" w:color="auto"/>
                      <w:right w:val="single" w:sz="4" w:space="0" w:color="auto"/>
                    </w:tcBorders>
                    <w:vAlign w:val="center"/>
                  </w:tcPr>
                  <w:p w14:paraId="2B287A91"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772,500.00</w:t>
                    </w:r>
                  </w:p>
                </w:tc>
              </w:tr>
            </w:sdtContent>
          </w:sdt>
          <w:sdt>
            <w:sdtPr>
              <w:rPr>
                <w:rFonts w:ascii="Times New Roman" w:hAnsi="Times New Roman" w:cs="Times New Roman"/>
                <w:sz w:val="18"/>
                <w:szCs w:val="18"/>
              </w:rPr>
              <w:alias w:val="上市公司应收关联方款项明细"/>
              <w:tag w:val="_GBC_203fd12dc6be4a978fe2a9d9f5ad1070"/>
              <w:id w:val="-1193531732"/>
              <w:lock w:val="sdtLocked"/>
            </w:sdtPr>
            <w:sdtEndPr/>
            <w:sdtContent>
              <w:tr w:rsidR="00D21C1F" w14:paraId="1D77C7DD"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63AD45A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应收账款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095732E1"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宜宾凯翼汽车有限公司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71478F38"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5,902,459.00</w:t>
                    </w:r>
                  </w:p>
                </w:tc>
                <w:tc>
                  <w:tcPr>
                    <w:tcW w:w="782" w:type="pct"/>
                    <w:tcBorders>
                      <w:top w:val="single" w:sz="4" w:space="0" w:color="auto"/>
                      <w:left w:val="single" w:sz="4" w:space="0" w:color="auto"/>
                      <w:bottom w:val="single" w:sz="4" w:space="0" w:color="auto"/>
                      <w:right w:val="single" w:sz="4" w:space="0" w:color="auto"/>
                    </w:tcBorders>
                    <w:vAlign w:val="center"/>
                  </w:tcPr>
                  <w:p w14:paraId="614E3AFF"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1,780,537.70</w:t>
                    </w:r>
                  </w:p>
                </w:tc>
                <w:tc>
                  <w:tcPr>
                    <w:tcW w:w="906" w:type="pct"/>
                    <w:tcBorders>
                      <w:top w:val="single" w:sz="4" w:space="0" w:color="auto"/>
                      <w:left w:val="single" w:sz="4" w:space="0" w:color="auto"/>
                      <w:bottom w:val="single" w:sz="4" w:space="0" w:color="auto"/>
                      <w:right w:val="single" w:sz="4" w:space="0" w:color="auto"/>
                    </w:tcBorders>
                    <w:vAlign w:val="center"/>
                  </w:tcPr>
                  <w:p w14:paraId="113A38F5"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5,902,459.00</w:t>
                    </w:r>
                  </w:p>
                </w:tc>
                <w:tc>
                  <w:tcPr>
                    <w:tcW w:w="824" w:type="pct"/>
                    <w:tcBorders>
                      <w:top w:val="single" w:sz="4" w:space="0" w:color="auto"/>
                      <w:left w:val="single" w:sz="4" w:space="0" w:color="auto"/>
                      <w:bottom w:val="single" w:sz="4" w:space="0" w:color="auto"/>
                      <w:right w:val="single" w:sz="4" w:space="0" w:color="auto"/>
                    </w:tcBorders>
                    <w:vAlign w:val="center"/>
                  </w:tcPr>
                  <w:p w14:paraId="01A7CD33"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600,045.90</w:t>
                    </w:r>
                  </w:p>
                </w:tc>
              </w:tr>
            </w:sdtContent>
          </w:sdt>
          <w:sdt>
            <w:sdtPr>
              <w:rPr>
                <w:rFonts w:ascii="Times New Roman" w:hAnsi="Times New Roman" w:cs="Times New Roman"/>
                <w:sz w:val="18"/>
                <w:szCs w:val="18"/>
              </w:rPr>
              <w:alias w:val="上市公司应收关联方款项明细"/>
              <w:tag w:val="_GBC_203fd12dc6be4a978fe2a9d9f5ad1070"/>
              <w:id w:val="-203407771"/>
              <w:lock w:val="sdtLocked"/>
            </w:sdtPr>
            <w:sdtEndPr/>
            <w:sdtContent>
              <w:tr w:rsidR="00D605CB" w14:paraId="49F62EE8"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173B34D1"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预付款项</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5565F880"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安徽工布智造工业科技有限公司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43FB1C08"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264,000.00</w:t>
                    </w:r>
                  </w:p>
                </w:tc>
                <w:tc>
                  <w:tcPr>
                    <w:tcW w:w="782" w:type="pct"/>
                    <w:tcBorders>
                      <w:top w:val="single" w:sz="4" w:space="0" w:color="auto"/>
                      <w:left w:val="single" w:sz="4" w:space="0" w:color="auto"/>
                      <w:bottom w:val="single" w:sz="4" w:space="0" w:color="auto"/>
                      <w:right w:val="single" w:sz="4" w:space="0" w:color="auto"/>
                    </w:tcBorders>
                    <w:vAlign w:val="center"/>
                  </w:tcPr>
                  <w:p w14:paraId="136F32AE" w14:textId="49C63AA8"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2BF7F389"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264,000.00</w:t>
                    </w:r>
                  </w:p>
                </w:tc>
                <w:tc>
                  <w:tcPr>
                    <w:tcW w:w="824" w:type="pct"/>
                    <w:tcBorders>
                      <w:top w:val="single" w:sz="4" w:space="0" w:color="auto"/>
                      <w:left w:val="single" w:sz="4" w:space="0" w:color="auto"/>
                      <w:bottom w:val="single" w:sz="4" w:space="0" w:color="auto"/>
                      <w:right w:val="single" w:sz="4" w:space="0" w:color="auto"/>
                    </w:tcBorders>
                    <w:vAlign w:val="center"/>
                  </w:tcPr>
                  <w:p w14:paraId="62469CB1" w14:textId="0EEEAC4E"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r>
            </w:sdtContent>
          </w:sdt>
          <w:sdt>
            <w:sdtPr>
              <w:rPr>
                <w:rFonts w:ascii="Times New Roman" w:hAnsi="Times New Roman" w:cs="Times New Roman"/>
                <w:sz w:val="18"/>
                <w:szCs w:val="18"/>
              </w:rPr>
              <w:alias w:val="上市公司应收关联方款项明细"/>
              <w:tag w:val="_GBC_203fd12dc6be4a978fe2a9d9f5ad1070"/>
              <w:id w:val="-364453215"/>
              <w:lock w:val="sdtLocked"/>
            </w:sdtPr>
            <w:sdtEndPr/>
            <w:sdtContent>
              <w:tr w:rsidR="00D605CB" w14:paraId="3B4D746C"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047256BF"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预付款项</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31769669"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芜湖翡叶动力科技有限公司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2D74F663" w14:textId="1B8C280D"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782" w:type="pct"/>
                    <w:tcBorders>
                      <w:top w:val="single" w:sz="4" w:space="0" w:color="auto"/>
                      <w:left w:val="single" w:sz="4" w:space="0" w:color="auto"/>
                      <w:bottom w:val="single" w:sz="4" w:space="0" w:color="auto"/>
                      <w:right w:val="single" w:sz="4" w:space="0" w:color="auto"/>
                    </w:tcBorders>
                    <w:vAlign w:val="center"/>
                  </w:tcPr>
                  <w:p w14:paraId="7B1D0F4D" w14:textId="2A887B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24E0E6EC"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563,597.65</w:t>
                    </w:r>
                  </w:p>
                </w:tc>
                <w:tc>
                  <w:tcPr>
                    <w:tcW w:w="824" w:type="pct"/>
                    <w:tcBorders>
                      <w:top w:val="single" w:sz="4" w:space="0" w:color="auto"/>
                      <w:left w:val="single" w:sz="4" w:space="0" w:color="auto"/>
                      <w:bottom w:val="single" w:sz="4" w:space="0" w:color="auto"/>
                      <w:right w:val="single" w:sz="4" w:space="0" w:color="auto"/>
                    </w:tcBorders>
                    <w:vAlign w:val="center"/>
                  </w:tcPr>
                  <w:p w14:paraId="6307BF94" w14:textId="4807C5C1"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  </w:t>
                    </w:r>
                  </w:p>
                </w:tc>
              </w:tr>
            </w:sdtContent>
          </w:sdt>
          <w:sdt>
            <w:sdtPr>
              <w:rPr>
                <w:rFonts w:ascii="Times New Roman" w:hAnsi="Times New Roman" w:cs="Times New Roman"/>
                <w:sz w:val="18"/>
                <w:szCs w:val="18"/>
              </w:rPr>
              <w:alias w:val="上市公司应收关联方款项明细"/>
              <w:tag w:val="_GBC_203fd12dc6be4a978fe2a9d9f5ad1070"/>
              <w:id w:val="-1442990579"/>
              <w:lock w:val="sdtLocked"/>
            </w:sdtPr>
            <w:sdtEndPr/>
            <w:sdtContent>
              <w:tr w:rsidR="00D605CB" w14:paraId="24B53E0D"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25781D0A"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预付款项</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0BFEDF41"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芜湖华衍水务有限公司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4BC77331"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13,280.72</w:t>
                    </w:r>
                  </w:p>
                </w:tc>
                <w:tc>
                  <w:tcPr>
                    <w:tcW w:w="782" w:type="pct"/>
                    <w:tcBorders>
                      <w:top w:val="single" w:sz="4" w:space="0" w:color="auto"/>
                      <w:left w:val="single" w:sz="4" w:space="0" w:color="auto"/>
                      <w:bottom w:val="single" w:sz="4" w:space="0" w:color="auto"/>
                      <w:right w:val="single" w:sz="4" w:space="0" w:color="auto"/>
                    </w:tcBorders>
                    <w:vAlign w:val="center"/>
                  </w:tcPr>
                  <w:p w14:paraId="3D9AE994" w14:textId="7063077E"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7AFFB73E"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13,062.01</w:t>
                    </w:r>
                  </w:p>
                </w:tc>
                <w:tc>
                  <w:tcPr>
                    <w:tcW w:w="824" w:type="pct"/>
                    <w:tcBorders>
                      <w:top w:val="single" w:sz="4" w:space="0" w:color="auto"/>
                      <w:left w:val="single" w:sz="4" w:space="0" w:color="auto"/>
                      <w:bottom w:val="single" w:sz="4" w:space="0" w:color="auto"/>
                      <w:right w:val="single" w:sz="4" w:space="0" w:color="auto"/>
                    </w:tcBorders>
                    <w:vAlign w:val="center"/>
                  </w:tcPr>
                  <w:p w14:paraId="3F25B59E" w14:textId="11DA69BC"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  </w:t>
                    </w:r>
                  </w:p>
                </w:tc>
              </w:tr>
            </w:sdtContent>
          </w:sdt>
          <w:sdt>
            <w:sdtPr>
              <w:rPr>
                <w:rFonts w:ascii="Times New Roman" w:hAnsi="Times New Roman" w:cs="Times New Roman"/>
                <w:sz w:val="18"/>
                <w:szCs w:val="18"/>
              </w:rPr>
              <w:alias w:val="上市公司应收关联方款项明细"/>
              <w:tag w:val="_GBC_203fd12dc6be4a978fe2a9d9f5ad1070"/>
              <w:id w:val="1989286119"/>
              <w:lock w:val="sdtLocked"/>
            </w:sdtPr>
            <w:sdtEndPr/>
            <w:sdtContent>
              <w:tr w:rsidR="00D605CB" w14:paraId="51460FDE"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581A2F6B"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其他应收款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7F9A0CA2"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C.F. Real Estate   Sp.zo.o. </w:t>
                    </w:r>
                  </w:p>
                </w:tc>
                <w:tc>
                  <w:tcPr>
                    <w:tcW w:w="884" w:type="pct"/>
                    <w:tcBorders>
                      <w:top w:val="single" w:sz="4" w:space="0" w:color="auto"/>
                      <w:left w:val="single" w:sz="4" w:space="0" w:color="auto"/>
                      <w:bottom w:val="single" w:sz="4" w:space="0" w:color="auto"/>
                      <w:right w:val="single" w:sz="4" w:space="0" w:color="auto"/>
                    </w:tcBorders>
                    <w:vAlign w:val="center"/>
                  </w:tcPr>
                  <w:p w14:paraId="53E3B137" w14:textId="42E5FA23"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782" w:type="pct"/>
                    <w:tcBorders>
                      <w:top w:val="single" w:sz="4" w:space="0" w:color="auto"/>
                      <w:left w:val="single" w:sz="4" w:space="0" w:color="auto"/>
                      <w:bottom w:val="single" w:sz="4" w:space="0" w:color="auto"/>
                      <w:right w:val="single" w:sz="4" w:space="0" w:color="auto"/>
                    </w:tcBorders>
                    <w:vAlign w:val="center"/>
                  </w:tcPr>
                  <w:p w14:paraId="61126950" w14:textId="77F1E989"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1A5F1634"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430,992.00</w:t>
                    </w:r>
                  </w:p>
                </w:tc>
                <w:tc>
                  <w:tcPr>
                    <w:tcW w:w="824" w:type="pct"/>
                    <w:tcBorders>
                      <w:top w:val="single" w:sz="4" w:space="0" w:color="auto"/>
                      <w:left w:val="single" w:sz="4" w:space="0" w:color="auto"/>
                      <w:bottom w:val="single" w:sz="4" w:space="0" w:color="auto"/>
                      <w:right w:val="single" w:sz="4" w:space="0" w:color="auto"/>
                    </w:tcBorders>
                    <w:vAlign w:val="center"/>
                  </w:tcPr>
                  <w:p w14:paraId="4CE39132"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129,297.60</w:t>
                    </w:r>
                  </w:p>
                </w:tc>
              </w:tr>
            </w:sdtContent>
          </w:sdt>
          <w:sdt>
            <w:sdtPr>
              <w:rPr>
                <w:rFonts w:ascii="Times New Roman" w:hAnsi="Times New Roman" w:cs="Times New Roman"/>
                <w:sz w:val="18"/>
                <w:szCs w:val="18"/>
              </w:rPr>
              <w:alias w:val="上市公司应收关联方款项明细"/>
              <w:tag w:val="_GBC_203fd12dc6be4a978fe2a9d9f5ad1070"/>
              <w:id w:val="-1285574163"/>
              <w:lock w:val="sdtLocked"/>
            </w:sdtPr>
            <w:sdtEndPr/>
            <w:sdtContent>
              <w:tr w:rsidR="00D21C1F" w14:paraId="4D9AD756"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07DB9649"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其他应收款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0E2131C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奇瑞控股集团有限公司及其下属企业</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2A808A06"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373,250.00</w:t>
                    </w:r>
                  </w:p>
                </w:tc>
                <w:tc>
                  <w:tcPr>
                    <w:tcW w:w="782" w:type="pct"/>
                    <w:tcBorders>
                      <w:top w:val="single" w:sz="4" w:space="0" w:color="auto"/>
                      <w:left w:val="single" w:sz="4" w:space="0" w:color="auto"/>
                      <w:bottom w:val="single" w:sz="4" w:space="0" w:color="auto"/>
                      <w:right w:val="single" w:sz="4" w:space="0" w:color="auto"/>
                    </w:tcBorders>
                    <w:vAlign w:val="center"/>
                  </w:tcPr>
                  <w:p w14:paraId="203BC805"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66,795.00</w:t>
                    </w:r>
                  </w:p>
                </w:tc>
                <w:tc>
                  <w:tcPr>
                    <w:tcW w:w="906" w:type="pct"/>
                    <w:tcBorders>
                      <w:top w:val="single" w:sz="4" w:space="0" w:color="auto"/>
                      <w:left w:val="single" w:sz="4" w:space="0" w:color="auto"/>
                      <w:bottom w:val="single" w:sz="4" w:space="0" w:color="auto"/>
                      <w:right w:val="single" w:sz="4" w:space="0" w:color="auto"/>
                    </w:tcBorders>
                    <w:vAlign w:val="center"/>
                  </w:tcPr>
                  <w:p w14:paraId="3075385E"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2,900,608.12</w:t>
                    </w:r>
                  </w:p>
                </w:tc>
                <w:tc>
                  <w:tcPr>
                    <w:tcW w:w="824" w:type="pct"/>
                    <w:tcBorders>
                      <w:top w:val="single" w:sz="4" w:space="0" w:color="auto"/>
                      <w:left w:val="single" w:sz="4" w:space="0" w:color="auto"/>
                      <w:bottom w:val="single" w:sz="4" w:space="0" w:color="auto"/>
                      <w:right w:val="single" w:sz="4" w:space="0" w:color="auto"/>
                    </w:tcBorders>
                    <w:vAlign w:val="center"/>
                  </w:tcPr>
                  <w:p w14:paraId="1C002BBE"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170,020.81</w:t>
                    </w:r>
                  </w:p>
                </w:tc>
              </w:tr>
            </w:sdtContent>
          </w:sdt>
          <w:sdt>
            <w:sdtPr>
              <w:rPr>
                <w:rFonts w:ascii="Times New Roman" w:hAnsi="Times New Roman" w:cs="Times New Roman"/>
                <w:sz w:val="18"/>
                <w:szCs w:val="18"/>
              </w:rPr>
              <w:alias w:val="上市公司应收关联方款项明细"/>
              <w:tag w:val="_GBC_203fd12dc6be4a978fe2a9d9f5ad1070"/>
              <w:id w:val="613332576"/>
              <w:lock w:val="sdtLocked"/>
            </w:sdtPr>
            <w:sdtEndPr/>
            <w:sdtContent>
              <w:tr w:rsidR="00D21C1F" w14:paraId="16B4B92A"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4843EABD"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其他应收款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70912F19"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芜湖市建设投资有限公司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0CC8B524"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129,840.00</w:t>
                    </w:r>
                  </w:p>
                </w:tc>
                <w:tc>
                  <w:tcPr>
                    <w:tcW w:w="782" w:type="pct"/>
                    <w:tcBorders>
                      <w:top w:val="single" w:sz="4" w:space="0" w:color="auto"/>
                      <w:left w:val="single" w:sz="4" w:space="0" w:color="auto"/>
                      <w:bottom w:val="single" w:sz="4" w:space="0" w:color="auto"/>
                      <w:right w:val="single" w:sz="4" w:space="0" w:color="auto"/>
                    </w:tcBorders>
                    <w:vAlign w:val="center"/>
                  </w:tcPr>
                  <w:p w14:paraId="0AD9DEA7"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21,294.00</w:t>
                    </w:r>
                  </w:p>
                </w:tc>
                <w:tc>
                  <w:tcPr>
                    <w:tcW w:w="906" w:type="pct"/>
                    <w:tcBorders>
                      <w:top w:val="single" w:sz="4" w:space="0" w:color="auto"/>
                      <w:left w:val="single" w:sz="4" w:space="0" w:color="auto"/>
                      <w:bottom w:val="single" w:sz="4" w:space="0" w:color="auto"/>
                      <w:right w:val="single" w:sz="4" w:space="0" w:color="auto"/>
                    </w:tcBorders>
                    <w:vAlign w:val="center"/>
                  </w:tcPr>
                  <w:p w14:paraId="633F6576"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103,800.00</w:t>
                    </w:r>
                  </w:p>
                </w:tc>
                <w:tc>
                  <w:tcPr>
                    <w:tcW w:w="824" w:type="pct"/>
                    <w:tcBorders>
                      <w:top w:val="single" w:sz="4" w:space="0" w:color="auto"/>
                      <w:left w:val="single" w:sz="4" w:space="0" w:color="auto"/>
                      <w:bottom w:val="single" w:sz="4" w:space="0" w:color="auto"/>
                      <w:right w:val="single" w:sz="4" w:space="0" w:color="auto"/>
                    </w:tcBorders>
                    <w:vAlign w:val="center"/>
                  </w:tcPr>
                  <w:p w14:paraId="122453EF" w14:textId="77777777" w:rsidR="00D21C1F" w:rsidRPr="00D605CB" w:rsidRDefault="00A42880"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12,690.00</w:t>
                    </w:r>
                  </w:p>
                </w:tc>
              </w:tr>
            </w:sdtContent>
          </w:sdt>
          <w:sdt>
            <w:sdtPr>
              <w:rPr>
                <w:rFonts w:ascii="Times New Roman" w:hAnsi="Times New Roman" w:cs="Times New Roman"/>
                <w:sz w:val="18"/>
                <w:szCs w:val="18"/>
              </w:rPr>
              <w:alias w:val="上市公司应收关联方款项明细"/>
              <w:tag w:val="_GBC_203fd12dc6be4a978fe2a9d9f5ad1070"/>
              <w:id w:val="-600722543"/>
              <w:lock w:val="sdtLocked"/>
            </w:sdtPr>
            <w:sdtEndPr/>
            <w:sdtContent>
              <w:tr w:rsidR="00D605CB" w14:paraId="3175D45E"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2E3042B8"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其他应收款</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0C7C6B1B"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宜宾凯翼汽车有限公司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1C25B19E"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400.00</w:t>
                    </w:r>
                  </w:p>
                </w:tc>
                <w:tc>
                  <w:tcPr>
                    <w:tcW w:w="782" w:type="pct"/>
                    <w:tcBorders>
                      <w:top w:val="single" w:sz="4" w:space="0" w:color="auto"/>
                      <w:left w:val="single" w:sz="4" w:space="0" w:color="auto"/>
                      <w:bottom w:val="single" w:sz="4" w:space="0" w:color="auto"/>
                      <w:right w:val="single" w:sz="4" w:space="0" w:color="auto"/>
                    </w:tcBorders>
                    <w:vAlign w:val="center"/>
                  </w:tcPr>
                  <w:p w14:paraId="6D1BC6D3" w14:textId="74106CCB"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5DA770FB"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80,400.00</w:t>
                    </w:r>
                  </w:p>
                </w:tc>
                <w:tc>
                  <w:tcPr>
                    <w:tcW w:w="824" w:type="pct"/>
                    <w:tcBorders>
                      <w:top w:val="single" w:sz="4" w:space="0" w:color="auto"/>
                      <w:left w:val="single" w:sz="4" w:space="0" w:color="auto"/>
                      <w:bottom w:val="single" w:sz="4" w:space="0" w:color="auto"/>
                      <w:right w:val="single" w:sz="4" w:space="0" w:color="auto"/>
                    </w:tcBorders>
                    <w:vAlign w:val="center"/>
                  </w:tcPr>
                  <w:p w14:paraId="7BA62F69"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4,020.00</w:t>
                    </w:r>
                  </w:p>
                </w:tc>
              </w:tr>
            </w:sdtContent>
          </w:sdt>
          <w:sdt>
            <w:sdtPr>
              <w:rPr>
                <w:rFonts w:ascii="Times New Roman" w:hAnsi="Times New Roman" w:cs="Times New Roman"/>
                <w:sz w:val="18"/>
                <w:szCs w:val="18"/>
              </w:rPr>
              <w:alias w:val="上市公司应收关联方款项明细"/>
              <w:tag w:val="_GBC_203fd12dc6be4a978fe2a9d9f5ad1070"/>
              <w:id w:val="392321555"/>
              <w:lock w:val="sdtLocked"/>
            </w:sdtPr>
            <w:sdtEndPr/>
            <w:sdtContent>
              <w:tr w:rsidR="00D605CB" w14:paraId="4FA6B911"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1060F27E"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其他非流动资产</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7243852A"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安徽工布智造工业科技有限公司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2358A1B5"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6,278,049.00</w:t>
                    </w:r>
                  </w:p>
                </w:tc>
                <w:tc>
                  <w:tcPr>
                    <w:tcW w:w="782" w:type="pct"/>
                    <w:tcBorders>
                      <w:top w:val="single" w:sz="4" w:space="0" w:color="auto"/>
                      <w:left w:val="single" w:sz="4" w:space="0" w:color="auto"/>
                      <w:bottom w:val="single" w:sz="4" w:space="0" w:color="auto"/>
                      <w:right w:val="single" w:sz="4" w:space="0" w:color="auto"/>
                    </w:tcBorders>
                    <w:vAlign w:val="center"/>
                  </w:tcPr>
                  <w:p w14:paraId="1A406390" w14:textId="3E046346"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333857BE"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6,278,049.00</w:t>
                    </w:r>
                  </w:p>
                </w:tc>
                <w:tc>
                  <w:tcPr>
                    <w:tcW w:w="824" w:type="pct"/>
                    <w:tcBorders>
                      <w:top w:val="single" w:sz="4" w:space="0" w:color="auto"/>
                      <w:left w:val="single" w:sz="4" w:space="0" w:color="auto"/>
                      <w:bottom w:val="single" w:sz="4" w:space="0" w:color="auto"/>
                      <w:right w:val="single" w:sz="4" w:space="0" w:color="auto"/>
                    </w:tcBorders>
                    <w:vAlign w:val="center"/>
                  </w:tcPr>
                  <w:p w14:paraId="138AD1FE" w14:textId="1FF17D2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  </w:t>
                    </w:r>
                  </w:p>
                </w:tc>
              </w:tr>
            </w:sdtContent>
          </w:sdt>
          <w:sdt>
            <w:sdtPr>
              <w:rPr>
                <w:rFonts w:ascii="Times New Roman" w:hAnsi="Times New Roman" w:cs="Times New Roman"/>
                <w:sz w:val="18"/>
                <w:szCs w:val="18"/>
              </w:rPr>
              <w:alias w:val="上市公司应收关联方款项明细"/>
              <w:tag w:val="_GBC_203fd12dc6be4a978fe2a9d9f5ad1070"/>
              <w:id w:val="-377245932"/>
              <w:lock w:val="sdtLocked"/>
            </w:sdtPr>
            <w:sdtEndPr/>
            <w:sdtContent>
              <w:tr w:rsidR="00D605CB" w14:paraId="7EF3E79E" w14:textId="77777777" w:rsidTr="00D605CB">
                <w:tc>
                  <w:tcPr>
                    <w:tcW w:w="721" w:type="pct"/>
                    <w:tcBorders>
                      <w:top w:val="single" w:sz="4" w:space="0" w:color="auto"/>
                      <w:left w:val="single" w:sz="4" w:space="0" w:color="auto"/>
                      <w:bottom w:val="single" w:sz="4" w:space="0" w:color="auto"/>
                      <w:right w:val="single" w:sz="4" w:space="0" w:color="auto"/>
                    </w:tcBorders>
                    <w:vAlign w:val="center"/>
                  </w:tcPr>
                  <w:p w14:paraId="4A169911"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应收利息</w:t>
                    </w:r>
                    <w:r>
                      <w:rPr>
                        <w:rFonts w:ascii="Times New Roman" w:hAnsi="Times New Roman" w:cs="Times New Roman"/>
                        <w:sz w:val="18"/>
                        <w:szCs w:val="18"/>
                      </w:rPr>
                      <w:t> </w:t>
                    </w:r>
                  </w:p>
                </w:tc>
                <w:tc>
                  <w:tcPr>
                    <w:tcW w:w="883" w:type="pct"/>
                    <w:tcBorders>
                      <w:top w:val="single" w:sz="4" w:space="0" w:color="auto"/>
                      <w:left w:val="single" w:sz="4" w:space="0" w:color="auto"/>
                      <w:bottom w:val="single" w:sz="4" w:space="0" w:color="auto"/>
                      <w:right w:val="single" w:sz="4" w:space="0" w:color="auto"/>
                    </w:tcBorders>
                  </w:tcPr>
                  <w:p w14:paraId="5FFAFD7C" w14:textId="77777777" w:rsidR="00D605CB" w:rsidRDefault="00D605CB" w:rsidP="00D605CB">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安徽工布智造工业科技有限公司</w:t>
                    </w:r>
                    <w:r>
                      <w:rPr>
                        <w:rFonts w:ascii="Times New Roman" w:hAnsi="Times New Roman" w:cs="Times New Roman"/>
                        <w:sz w:val="18"/>
                        <w:szCs w:val="18"/>
                      </w:rPr>
                      <w:t> </w:t>
                    </w:r>
                  </w:p>
                </w:tc>
                <w:tc>
                  <w:tcPr>
                    <w:tcW w:w="884" w:type="pct"/>
                    <w:tcBorders>
                      <w:top w:val="single" w:sz="4" w:space="0" w:color="auto"/>
                      <w:left w:val="single" w:sz="4" w:space="0" w:color="auto"/>
                      <w:bottom w:val="single" w:sz="4" w:space="0" w:color="auto"/>
                      <w:right w:val="single" w:sz="4" w:space="0" w:color="auto"/>
                    </w:tcBorders>
                    <w:vAlign w:val="center"/>
                  </w:tcPr>
                  <w:p w14:paraId="3ADB75DC"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151,823.15</w:t>
                    </w:r>
                  </w:p>
                </w:tc>
                <w:tc>
                  <w:tcPr>
                    <w:tcW w:w="782" w:type="pct"/>
                    <w:tcBorders>
                      <w:top w:val="single" w:sz="4" w:space="0" w:color="auto"/>
                      <w:left w:val="single" w:sz="4" w:space="0" w:color="auto"/>
                      <w:bottom w:val="single" w:sz="4" w:space="0" w:color="auto"/>
                      <w:right w:val="single" w:sz="4" w:space="0" w:color="auto"/>
                    </w:tcBorders>
                    <w:vAlign w:val="center"/>
                  </w:tcPr>
                  <w:p w14:paraId="10453D69" w14:textId="3238BEF1"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w:t>
                    </w:r>
                  </w:p>
                </w:tc>
                <w:tc>
                  <w:tcPr>
                    <w:tcW w:w="906" w:type="pct"/>
                    <w:tcBorders>
                      <w:top w:val="single" w:sz="4" w:space="0" w:color="auto"/>
                      <w:left w:val="single" w:sz="4" w:space="0" w:color="auto"/>
                      <w:bottom w:val="single" w:sz="4" w:space="0" w:color="auto"/>
                      <w:right w:val="single" w:sz="4" w:space="0" w:color="auto"/>
                    </w:tcBorders>
                    <w:vAlign w:val="center"/>
                  </w:tcPr>
                  <w:p w14:paraId="4B51995F" w14:textId="7777777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21,705.54</w:t>
                    </w:r>
                  </w:p>
                </w:tc>
                <w:tc>
                  <w:tcPr>
                    <w:tcW w:w="824" w:type="pct"/>
                    <w:tcBorders>
                      <w:top w:val="single" w:sz="4" w:space="0" w:color="auto"/>
                      <w:left w:val="single" w:sz="4" w:space="0" w:color="auto"/>
                      <w:bottom w:val="single" w:sz="4" w:space="0" w:color="auto"/>
                      <w:right w:val="single" w:sz="4" w:space="0" w:color="auto"/>
                    </w:tcBorders>
                    <w:vAlign w:val="center"/>
                  </w:tcPr>
                  <w:p w14:paraId="14759C25" w14:textId="1353B237" w:rsidR="00D605CB" w:rsidRPr="00D605CB" w:rsidRDefault="00D605CB" w:rsidP="00D605CB">
                    <w:pPr>
                      <w:autoSpaceDE w:val="0"/>
                      <w:autoSpaceDN w:val="0"/>
                      <w:adjustRightInd w:val="0"/>
                      <w:jc w:val="right"/>
                      <w:rPr>
                        <w:rFonts w:ascii="Times New Roman" w:hAnsi="Times New Roman" w:cs="Times New Roman"/>
                        <w:sz w:val="18"/>
                        <w:szCs w:val="18"/>
                      </w:rPr>
                    </w:pPr>
                    <w:r w:rsidRPr="00D605CB">
                      <w:rPr>
                        <w:rFonts w:ascii="Times New Roman" w:hAnsi="Times New Roman" w:cs="Times New Roman"/>
                        <w:sz w:val="18"/>
                        <w:szCs w:val="18"/>
                      </w:rPr>
                      <w:t>-  </w:t>
                    </w:r>
                  </w:p>
                </w:tc>
              </w:tr>
            </w:sdtContent>
          </w:sdt>
        </w:tbl>
        <w:p w14:paraId="6E0990BB" w14:textId="77777777" w:rsidR="00D21C1F" w:rsidRDefault="00045EC6">
          <w:pPr>
            <w:rPr>
              <w:szCs w:val="21"/>
            </w:rPr>
          </w:pPr>
        </w:p>
      </w:sdtContent>
    </w:sdt>
    <w:sdt>
      <w:sdtPr>
        <w:rPr>
          <w:rFonts w:ascii="宋体" w:eastAsia="宋体" w:hAnsi="宋体" w:cs="宋体" w:hint="eastAsia"/>
          <w:b w:val="0"/>
          <w:bCs w:val="0"/>
          <w:kern w:val="0"/>
          <w:szCs w:val="24"/>
        </w:rPr>
        <w:alias w:val="模块:上市公司应付关联方款项"/>
        <w:tag w:val="_GBC_e7a5511f50dd4f05a897cdfaeac4023f"/>
        <w:id w:val="-42218894"/>
        <w:lock w:val="sdtLocked"/>
        <w:placeholder>
          <w:docPart w:val="GBC22222222222222222222222222222"/>
        </w:placeholder>
      </w:sdtPr>
      <w:sdtEndPr>
        <w:rPr>
          <w:rFonts w:cstheme="minorBidi"/>
          <w:szCs w:val="21"/>
        </w:rPr>
      </w:sdtEndPr>
      <w:sdtContent>
        <w:p w14:paraId="00024B5A" w14:textId="77777777" w:rsidR="00D21C1F" w:rsidRDefault="00A42880">
          <w:pPr>
            <w:pStyle w:val="93"/>
            <w:numPr>
              <w:ilvl w:val="0"/>
              <w:numId w:val="139"/>
            </w:numPr>
            <w:tabs>
              <w:tab w:val="left" w:pos="616"/>
            </w:tabs>
            <w:rPr>
              <w:rFonts w:ascii="宋体" w:hAnsi="宋体"/>
            </w:rPr>
          </w:pPr>
          <w:r>
            <w:rPr>
              <w:rFonts w:ascii="宋体" w:hAnsi="宋体" w:hint="eastAsia"/>
            </w:rPr>
            <w:t>应付项目</w:t>
          </w:r>
        </w:p>
        <w:p w14:paraId="73116115" w14:textId="77777777" w:rsidR="00D21C1F" w:rsidRDefault="00045EC6">
          <w:pPr>
            <w:pStyle w:val="97"/>
          </w:pPr>
          <w:sdt>
            <w:sdtPr>
              <w:rPr>
                <w:rFonts w:hint="eastAsia"/>
                <w:szCs w:val="21"/>
              </w:rPr>
              <w:alias w:val="是否适用：应付项目[双击切换]"/>
              <w:tag w:val="_GBC_9dbefb51b716471b878d2e2863524a53"/>
              <w:id w:val="-1884858163"/>
              <w:lock w:val="sdtLocked"/>
              <w:placeholder>
                <w:docPart w:val="GBC22222222222222222222222222222"/>
              </w:placeholder>
            </w:sdtPr>
            <w:sdtEndPr/>
            <w:sdtContent>
              <w:r w:rsidR="00A42880">
                <w:rPr>
                  <w:szCs w:val="21"/>
                </w:rPr>
                <w:fldChar w:fldCharType="begin"/>
              </w:r>
              <w:r w:rsidR="00A42880">
                <w:rPr>
                  <w:szCs w:val="21"/>
                </w:rPr>
                <w:instrText xml:space="preserve"> MACROBUTTON  SnrToggleCheckbox √适用 </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p w14:paraId="7CC654F8" w14:textId="77777777" w:rsidR="00D21C1F" w:rsidRDefault="00A42880">
          <w:pPr>
            <w:jc w:val="right"/>
            <w:rPr>
              <w:szCs w:val="21"/>
            </w:rPr>
          </w:pPr>
          <w:r>
            <w:rPr>
              <w:rFonts w:hint="eastAsia"/>
              <w:szCs w:val="21"/>
            </w:rPr>
            <w:t>单位:</w:t>
          </w:r>
          <w:sdt>
            <w:sdtPr>
              <w:rPr>
                <w:rFonts w:hint="eastAsia"/>
                <w:szCs w:val="21"/>
              </w:rPr>
              <w:alias w:val="单位：上市公司应付关联方款项"/>
              <w:tag w:val="_GBC_08d04faee6a64768877db8f6ab14663e"/>
              <w:id w:val="1738502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上市公司应付关联方款项"/>
              <w:tag w:val="_GBC_124ea57c07fc4e23931a125a103e711c"/>
              <w:id w:val="-1904737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14"/>
            <w:gridCol w:w="3827"/>
            <w:gridCol w:w="1842"/>
            <w:gridCol w:w="1740"/>
          </w:tblGrid>
          <w:tr w:rsidR="00D21C1F" w14:paraId="55A81128" w14:textId="77777777">
            <w:sdt>
              <w:sdtPr>
                <w:tag w:val="_PLD_cf838d28f8e94c899328f1b9cd175b08"/>
                <w:id w:val="-1329670817"/>
                <w:lock w:val="sdtLocked"/>
              </w:sdtPr>
              <w:sdtEndPr/>
              <w:sdtContent>
                <w:tc>
                  <w:tcPr>
                    <w:tcW w:w="801" w:type="pct"/>
                    <w:tcBorders>
                      <w:top w:val="single" w:sz="4" w:space="0" w:color="auto"/>
                      <w:left w:val="single" w:sz="4" w:space="0" w:color="auto"/>
                      <w:right w:val="single" w:sz="4" w:space="0" w:color="auto"/>
                    </w:tcBorders>
                  </w:tcPr>
                  <w:p w14:paraId="5FB69CE9" w14:textId="77777777" w:rsidR="00D21C1F" w:rsidRDefault="00A42880">
                    <w:pPr>
                      <w:jc w:val="center"/>
                      <w:rPr>
                        <w:szCs w:val="21"/>
                      </w:rPr>
                    </w:pPr>
                    <w:r>
                      <w:rPr>
                        <w:rFonts w:hint="eastAsia"/>
                        <w:szCs w:val="21"/>
                      </w:rPr>
                      <w:t>项目名称</w:t>
                    </w:r>
                  </w:p>
                </w:tc>
              </w:sdtContent>
            </w:sdt>
            <w:sdt>
              <w:sdtPr>
                <w:tag w:val="_PLD_25173a15407f4af6adbf91389dcc2257"/>
                <w:id w:val="-20554437"/>
                <w:lock w:val="sdtLocked"/>
              </w:sdtPr>
              <w:sdtEndPr/>
              <w:sdtContent>
                <w:tc>
                  <w:tcPr>
                    <w:tcW w:w="2169" w:type="pct"/>
                    <w:tcBorders>
                      <w:top w:val="single" w:sz="4" w:space="0" w:color="auto"/>
                      <w:left w:val="single" w:sz="4" w:space="0" w:color="auto"/>
                      <w:right w:val="single" w:sz="4" w:space="0" w:color="auto"/>
                    </w:tcBorders>
                  </w:tcPr>
                  <w:p w14:paraId="7BAE895B" w14:textId="77777777" w:rsidR="00D21C1F" w:rsidRDefault="00A42880">
                    <w:pPr>
                      <w:jc w:val="center"/>
                      <w:rPr>
                        <w:szCs w:val="21"/>
                      </w:rPr>
                    </w:pPr>
                    <w:r>
                      <w:rPr>
                        <w:rFonts w:hint="eastAsia"/>
                        <w:szCs w:val="21"/>
                      </w:rPr>
                      <w:t>关联方</w:t>
                    </w:r>
                  </w:p>
                </w:tc>
              </w:sdtContent>
            </w:sdt>
            <w:sdt>
              <w:sdtPr>
                <w:tag w:val="_PLD_a8551739db0f47cab1b1a6ea0e700367"/>
                <w:id w:val="-335307767"/>
                <w:lock w:val="sdtLocked"/>
              </w:sdtPr>
              <w:sdtEndPr/>
              <w:sdtContent>
                <w:tc>
                  <w:tcPr>
                    <w:tcW w:w="1044" w:type="pct"/>
                    <w:tcBorders>
                      <w:top w:val="single" w:sz="4" w:space="0" w:color="auto"/>
                      <w:left w:val="single" w:sz="4" w:space="0" w:color="auto"/>
                      <w:bottom w:val="single" w:sz="4" w:space="0" w:color="auto"/>
                      <w:right w:val="single" w:sz="4" w:space="0" w:color="auto"/>
                    </w:tcBorders>
                  </w:tcPr>
                  <w:p w14:paraId="71D86BC8" w14:textId="77777777" w:rsidR="00D21C1F" w:rsidRDefault="00A42880">
                    <w:pPr>
                      <w:jc w:val="center"/>
                      <w:rPr>
                        <w:szCs w:val="21"/>
                      </w:rPr>
                    </w:pPr>
                    <w:r>
                      <w:rPr>
                        <w:rFonts w:hint="eastAsia"/>
                        <w:szCs w:val="21"/>
                      </w:rPr>
                      <w:t>期末账面余额</w:t>
                    </w:r>
                  </w:p>
                </w:tc>
              </w:sdtContent>
            </w:sdt>
            <w:sdt>
              <w:sdtPr>
                <w:tag w:val="_PLD_83bc027cb7f1401db7a26beffe77ce00"/>
                <w:id w:val="1469710618"/>
                <w:lock w:val="sdtLocked"/>
              </w:sdtPr>
              <w:sdtEndPr/>
              <w:sdtContent>
                <w:tc>
                  <w:tcPr>
                    <w:tcW w:w="986" w:type="pct"/>
                    <w:tcBorders>
                      <w:top w:val="single" w:sz="4" w:space="0" w:color="auto"/>
                      <w:left w:val="single" w:sz="4" w:space="0" w:color="auto"/>
                      <w:bottom w:val="single" w:sz="4" w:space="0" w:color="auto"/>
                      <w:right w:val="single" w:sz="4" w:space="0" w:color="auto"/>
                    </w:tcBorders>
                  </w:tcPr>
                  <w:p w14:paraId="16ABBE16" w14:textId="77777777" w:rsidR="00D21C1F" w:rsidRDefault="00A42880">
                    <w:pPr>
                      <w:jc w:val="center"/>
                      <w:rPr>
                        <w:szCs w:val="21"/>
                      </w:rPr>
                    </w:pPr>
                    <w:r>
                      <w:rPr>
                        <w:rFonts w:hint="eastAsia"/>
                        <w:szCs w:val="21"/>
                      </w:rPr>
                      <w:t>期初账面余额</w:t>
                    </w:r>
                  </w:p>
                </w:tc>
              </w:sdtContent>
            </w:sdt>
          </w:tr>
          <w:sdt>
            <w:sdtPr>
              <w:rPr>
                <w:rFonts w:ascii="Times New Roman" w:hAnsi="Times New Roman" w:cs="Times New Roman"/>
                <w:sz w:val="18"/>
                <w:szCs w:val="18"/>
              </w:rPr>
              <w:alias w:val="上市公司应付关联方款项明细"/>
              <w:tag w:val="_GBC_bb3d19486f2b460b856a135056bd0897"/>
              <w:id w:val="-2146804317"/>
              <w:lock w:val="sdtLocked"/>
            </w:sdtPr>
            <w:sdtEndPr/>
            <w:sdtContent>
              <w:tr w:rsidR="00D21C1F" w14:paraId="5BCDEA94"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2BA70A18"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租赁负债</w:t>
                    </w:r>
                  </w:p>
                </w:tc>
                <w:tc>
                  <w:tcPr>
                    <w:tcW w:w="2169" w:type="pct"/>
                    <w:tcBorders>
                      <w:top w:val="single" w:sz="4" w:space="0" w:color="auto"/>
                      <w:left w:val="single" w:sz="4" w:space="0" w:color="auto"/>
                      <w:bottom w:val="single" w:sz="4" w:space="0" w:color="auto"/>
                      <w:right w:val="single" w:sz="4" w:space="0" w:color="auto"/>
                    </w:tcBorders>
                  </w:tcPr>
                  <w:p w14:paraId="423AF709"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C.F. Real Estate Sp. z o.o.</w:t>
                    </w:r>
                  </w:p>
                </w:tc>
                <w:tc>
                  <w:tcPr>
                    <w:tcW w:w="1044" w:type="pct"/>
                    <w:tcBorders>
                      <w:top w:val="single" w:sz="4" w:space="0" w:color="auto"/>
                      <w:left w:val="single" w:sz="4" w:space="0" w:color="auto"/>
                      <w:bottom w:val="single" w:sz="4" w:space="0" w:color="auto"/>
                      <w:right w:val="single" w:sz="4" w:space="0" w:color="auto"/>
                    </w:tcBorders>
                    <w:vAlign w:val="center"/>
                  </w:tcPr>
                  <w:p w14:paraId="6B23F693"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22,957,907.38</w:t>
                    </w:r>
                  </w:p>
                </w:tc>
                <w:tc>
                  <w:tcPr>
                    <w:tcW w:w="986" w:type="pct"/>
                    <w:tcBorders>
                      <w:top w:val="single" w:sz="4" w:space="0" w:color="auto"/>
                      <w:left w:val="single" w:sz="4" w:space="0" w:color="auto"/>
                      <w:bottom w:val="single" w:sz="4" w:space="0" w:color="auto"/>
                      <w:right w:val="single" w:sz="4" w:space="0" w:color="auto"/>
                    </w:tcBorders>
                    <w:vAlign w:val="center"/>
                  </w:tcPr>
                  <w:p w14:paraId="5DB74B3A"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25,675,840.85</w:t>
                    </w:r>
                  </w:p>
                </w:tc>
              </w:tr>
            </w:sdtContent>
          </w:sdt>
          <w:sdt>
            <w:sdtPr>
              <w:rPr>
                <w:rFonts w:ascii="Times New Roman" w:hAnsi="Times New Roman" w:cs="Times New Roman"/>
                <w:sz w:val="18"/>
                <w:szCs w:val="18"/>
              </w:rPr>
              <w:alias w:val="上市公司应付关联方款项明细"/>
              <w:tag w:val="_GBC_bb3d19486f2b460b856a135056bd0897"/>
              <w:id w:val="2120643469"/>
              <w:lock w:val="sdtLocked"/>
            </w:sdtPr>
            <w:sdtEndPr/>
            <w:sdtContent>
              <w:tr w:rsidR="00D21C1F" w14:paraId="2EAEF0EC"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05AD08E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租赁负债</w:t>
                    </w:r>
                  </w:p>
                </w:tc>
                <w:tc>
                  <w:tcPr>
                    <w:tcW w:w="2169" w:type="pct"/>
                    <w:tcBorders>
                      <w:top w:val="single" w:sz="4" w:space="0" w:color="auto"/>
                      <w:left w:val="single" w:sz="4" w:space="0" w:color="auto"/>
                      <w:bottom w:val="single" w:sz="4" w:space="0" w:color="auto"/>
                      <w:right w:val="single" w:sz="4" w:space="0" w:color="auto"/>
                    </w:tcBorders>
                  </w:tcPr>
                  <w:p w14:paraId="5A3C7225"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GEMPE Administradora de Bens Imóveis Próprios Eireli</w:t>
                    </w:r>
                  </w:p>
                </w:tc>
                <w:tc>
                  <w:tcPr>
                    <w:tcW w:w="1044" w:type="pct"/>
                    <w:tcBorders>
                      <w:top w:val="single" w:sz="4" w:space="0" w:color="auto"/>
                      <w:left w:val="single" w:sz="4" w:space="0" w:color="auto"/>
                      <w:bottom w:val="single" w:sz="4" w:space="0" w:color="auto"/>
                      <w:right w:val="single" w:sz="4" w:space="0" w:color="auto"/>
                    </w:tcBorders>
                    <w:vAlign w:val="center"/>
                  </w:tcPr>
                  <w:p w14:paraId="5BF3CD8E"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20,922,872.68</w:t>
                    </w:r>
                  </w:p>
                </w:tc>
                <w:tc>
                  <w:tcPr>
                    <w:tcW w:w="986" w:type="pct"/>
                    <w:tcBorders>
                      <w:top w:val="single" w:sz="4" w:space="0" w:color="auto"/>
                      <w:left w:val="single" w:sz="4" w:space="0" w:color="auto"/>
                      <w:bottom w:val="single" w:sz="4" w:space="0" w:color="auto"/>
                      <w:right w:val="single" w:sz="4" w:space="0" w:color="auto"/>
                    </w:tcBorders>
                    <w:vAlign w:val="center"/>
                  </w:tcPr>
                  <w:p w14:paraId="3321B1CE"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21,567,326.48</w:t>
                    </w:r>
                  </w:p>
                </w:tc>
              </w:tr>
            </w:sdtContent>
          </w:sdt>
          <w:sdt>
            <w:sdtPr>
              <w:rPr>
                <w:rFonts w:ascii="Times New Roman" w:hAnsi="Times New Roman" w:cs="Times New Roman"/>
                <w:sz w:val="18"/>
                <w:szCs w:val="18"/>
              </w:rPr>
              <w:alias w:val="上市公司应付关联方款项明细"/>
              <w:tag w:val="_GBC_bb3d19486f2b460b856a135056bd0897"/>
              <w:id w:val="1317138625"/>
              <w:lock w:val="sdtLocked"/>
            </w:sdtPr>
            <w:sdtEndPr/>
            <w:sdtContent>
              <w:tr w:rsidR="00D21C1F" w14:paraId="0F81BCF4"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085D5359"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租赁负债</w:t>
                    </w:r>
                  </w:p>
                </w:tc>
                <w:tc>
                  <w:tcPr>
                    <w:tcW w:w="2169" w:type="pct"/>
                    <w:tcBorders>
                      <w:top w:val="single" w:sz="4" w:space="0" w:color="auto"/>
                      <w:left w:val="single" w:sz="4" w:space="0" w:color="auto"/>
                      <w:bottom w:val="single" w:sz="4" w:space="0" w:color="auto"/>
                      <w:right w:val="single" w:sz="4" w:space="0" w:color="auto"/>
                    </w:tcBorders>
                  </w:tcPr>
                  <w:p w14:paraId="7F5326FD"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GEC Empreendimentos Imobiliarios Ltda.</w:t>
                    </w:r>
                  </w:p>
                </w:tc>
                <w:tc>
                  <w:tcPr>
                    <w:tcW w:w="1044" w:type="pct"/>
                    <w:tcBorders>
                      <w:top w:val="single" w:sz="4" w:space="0" w:color="auto"/>
                      <w:left w:val="single" w:sz="4" w:space="0" w:color="auto"/>
                      <w:bottom w:val="single" w:sz="4" w:space="0" w:color="auto"/>
                      <w:right w:val="single" w:sz="4" w:space="0" w:color="auto"/>
                    </w:tcBorders>
                    <w:vAlign w:val="center"/>
                  </w:tcPr>
                  <w:p w14:paraId="340BB7D0"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920,606.40</w:t>
                    </w:r>
                  </w:p>
                </w:tc>
                <w:tc>
                  <w:tcPr>
                    <w:tcW w:w="986" w:type="pct"/>
                    <w:tcBorders>
                      <w:top w:val="single" w:sz="4" w:space="0" w:color="auto"/>
                      <w:left w:val="single" w:sz="4" w:space="0" w:color="auto"/>
                      <w:bottom w:val="single" w:sz="4" w:space="0" w:color="auto"/>
                      <w:right w:val="single" w:sz="4" w:space="0" w:color="auto"/>
                    </w:tcBorders>
                    <w:vAlign w:val="center"/>
                  </w:tcPr>
                  <w:p w14:paraId="409782CD"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948,962.37</w:t>
                    </w:r>
                  </w:p>
                </w:tc>
              </w:tr>
            </w:sdtContent>
          </w:sdt>
          <w:sdt>
            <w:sdtPr>
              <w:rPr>
                <w:rFonts w:ascii="Times New Roman" w:hAnsi="Times New Roman" w:cs="Times New Roman"/>
                <w:sz w:val="18"/>
                <w:szCs w:val="18"/>
              </w:rPr>
              <w:alias w:val="上市公司应付关联方款项明细"/>
              <w:tag w:val="_GBC_bb3d19486f2b460b856a135056bd0897"/>
              <w:id w:val="-2053842691"/>
              <w:lock w:val="sdtLocked"/>
              <w:placeholder>
                <w:docPart w:val="4AC37DCA11FF44EB9E353C20335EAF9E"/>
              </w:placeholder>
            </w:sdtPr>
            <w:sdtEndPr/>
            <w:sdtContent>
              <w:tr w:rsidR="00D21C1F" w14:paraId="3F0D473F"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7F3AA53E"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应付账款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07E23C1B"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Robox S.p.A. </w:t>
                    </w:r>
                  </w:p>
                </w:tc>
                <w:tc>
                  <w:tcPr>
                    <w:tcW w:w="1044" w:type="pct"/>
                    <w:tcBorders>
                      <w:top w:val="single" w:sz="4" w:space="0" w:color="auto"/>
                      <w:left w:val="single" w:sz="4" w:space="0" w:color="auto"/>
                      <w:bottom w:val="single" w:sz="4" w:space="0" w:color="auto"/>
                      <w:right w:val="single" w:sz="4" w:space="0" w:color="auto"/>
                    </w:tcBorders>
                    <w:vAlign w:val="center"/>
                  </w:tcPr>
                  <w:p w14:paraId="0D287F99"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2,418,673.03</w:t>
                    </w:r>
                  </w:p>
                </w:tc>
                <w:tc>
                  <w:tcPr>
                    <w:tcW w:w="986" w:type="pct"/>
                    <w:tcBorders>
                      <w:top w:val="single" w:sz="4" w:space="0" w:color="auto"/>
                      <w:left w:val="single" w:sz="4" w:space="0" w:color="auto"/>
                      <w:bottom w:val="single" w:sz="4" w:space="0" w:color="auto"/>
                      <w:right w:val="single" w:sz="4" w:space="0" w:color="auto"/>
                    </w:tcBorders>
                    <w:vAlign w:val="center"/>
                  </w:tcPr>
                  <w:p w14:paraId="65B3D55D"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3,438,169.00</w:t>
                    </w:r>
                  </w:p>
                </w:tc>
              </w:tr>
            </w:sdtContent>
          </w:sdt>
          <w:sdt>
            <w:sdtPr>
              <w:rPr>
                <w:rFonts w:ascii="Times New Roman" w:hAnsi="Times New Roman" w:cs="Times New Roman"/>
                <w:sz w:val="18"/>
                <w:szCs w:val="18"/>
              </w:rPr>
              <w:alias w:val="上市公司应付关联方款项明细"/>
              <w:tag w:val="_GBC_bb3d19486f2b460b856a135056bd0897"/>
              <w:id w:val="-947784437"/>
              <w:lock w:val="sdtLocked"/>
            </w:sdtPr>
            <w:sdtEndPr/>
            <w:sdtContent>
              <w:tr w:rsidR="00D21C1F" w14:paraId="77782B47"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7B731C64"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应付账款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0A1526BC"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安徽聚隆传动科技股份有限公司及其下属企业</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687BBE41"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856,636.00</w:t>
                    </w:r>
                  </w:p>
                </w:tc>
                <w:tc>
                  <w:tcPr>
                    <w:tcW w:w="986" w:type="pct"/>
                    <w:tcBorders>
                      <w:top w:val="single" w:sz="4" w:space="0" w:color="auto"/>
                      <w:left w:val="single" w:sz="4" w:space="0" w:color="auto"/>
                      <w:bottom w:val="single" w:sz="4" w:space="0" w:color="auto"/>
                      <w:right w:val="single" w:sz="4" w:space="0" w:color="auto"/>
                    </w:tcBorders>
                    <w:vAlign w:val="center"/>
                  </w:tcPr>
                  <w:p w14:paraId="6E3EBA26"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2,090,070.00</w:t>
                    </w:r>
                  </w:p>
                </w:tc>
              </w:tr>
            </w:sdtContent>
          </w:sdt>
          <w:sdt>
            <w:sdtPr>
              <w:rPr>
                <w:rFonts w:ascii="Times New Roman" w:hAnsi="Times New Roman" w:cs="Times New Roman"/>
                <w:sz w:val="18"/>
                <w:szCs w:val="18"/>
              </w:rPr>
              <w:alias w:val="上市公司应付关联方款项明细"/>
              <w:tag w:val="_GBC_bb3d19486f2b460b856a135056bd0897"/>
              <w:id w:val="333122349"/>
              <w:lock w:val="sdtLocked"/>
            </w:sdtPr>
            <w:sdtEndPr/>
            <w:sdtContent>
              <w:tr w:rsidR="00D21C1F" w14:paraId="3B1B4B61"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58213D26"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应付账款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0E33CC79"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奇瑞控股集团有限公司及其下属企业</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7438067C"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5,138,533.39</w:t>
                    </w:r>
                  </w:p>
                </w:tc>
                <w:tc>
                  <w:tcPr>
                    <w:tcW w:w="986" w:type="pct"/>
                    <w:tcBorders>
                      <w:top w:val="single" w:sz="4" w:space="0" w:color="auto"/>
                      <w:left w:val="single" w:sz="4" w:space="0" w:color="auto"/>
                      <w:bottom w:val="single" w:sz="4" w:space="0" w:color="auto"/>
                      <w:right w:val="single" w:sz="4" w:space="0" w:color="auto"/>
                    </w:tcBorders>
                    <w:vAlign w:val="center"/>
                  </w:tcPr>
                  <w:p w14:paraId="245DBCA8"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5,531,436.32</w:t>
                    </w:r>
                  </w:p>
                </w:tc>
              </w:tr>
            </w:sdtContent>
          </w:sdt>
          <w:sdt>
            <w:sdtPr>
              <w:rPr>
                <w:rFonts w:ascii="Times New Roman" w:hAnsi="Times New Roman" w:cs="Times New Roman"/>
                <w:sz w:val="18"/>
                <w:szCs w:val="18"/>
              </w:rPr>
              <w:alias w:val="上市公司应付关联方款项明细"/>
              <w:tag w:val="_GBC_bb3d19486f2b460b856a135056bd0897"/>
              <w:id w:val="-87243385"/>
              <w:lock w:val="sdtLocked"/>
            </w:sdtPr>
            <w:sdtEndPr/>
            <w:sdtContent>
              <w:tr w:rsidR="00D21C1F" w14:paraId="51234ECF"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2127939E"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应付账款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0656E3E7"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芜湖奥一精机有限公司</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4E71BDAE"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3,554,475.30</w:t>
                    </w:r>
                  </w:p>
                </w:tc>
                <w:tc>
                  <w:tcPr>
                    <w:tcW w:w="986" w:type="pct"/>
                    <w:tcBorders>
                      <w:top w:val="single" w:sz="4" w:space="0" w:color="auto"/>
                      <w:left w:val="single" w:sz="4" w:space="0" w:color="auto"/>
                      <w:bottom w:val="single" w:sz="4" w:space="0" w:color="auto"/>
                      <w:right w:val="single" w:sz="4" w:space="0" w:color="auto"/>
                    </w:tcBorders>
                    <w:vAlign w:val="center"/>
                  </w:tcPr>
                  <w:p w14:paraId="7C868EDA"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1,451,442.34</w:t>
                    </w:r>
                  </w:p>
                </w:tc>
              </w:tr>
            </w:sdtContent>
          </w:sdt>
          <w:sdt>
            <w:sdtPr>
              <w:rPr>
                <w:rFonts w:ascii="Times New Roman" w:hAnsi="Times New Roman" w:cs="Times New Roman"/>
                <w:sz w:val="18"/>
                <w:szCs w:val="18"/>
              </w:rPr>
              <w:alias w:val="上市公司应付关联方款项明细"/>
              <w:tag w:val="_GBC_bb3d19486f2b460b856a135056bd0897"/>
              <w:id w:val="634297193"/>
              <w:lock w:val="sdtLocked"/>
            </w:sdtPr>
            <w:sdtEndPr/>
            <w:sdtContent>
              <w:tr w:rsidR="00D21C1F" w14:paraId="651FBF4B"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529340BA"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应付账款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7626FE20"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芜湖翡叶动力科技有限公司</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50F01AAB"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1,426,943.63</w:t>
                    </w:r>
                  </w:p>
                </w:tc>
                <w:tc>
                  <w:tcPr>
                    <w:tcW w:w="986" w:type="pct"/>
                    <w:tcBorders>
                      <w:top w:val="single" w:sz="4" w:space="0" w:color="auto"/>
                      <w:left w:val="single" w:sz="4" w:space="0" w:color="auto"/>
                      <w:bottom w:val="single" w:sz="4" w:space="0" w:color="auto"/>
                      <w:right w:val="single" w:sz="4" w:space="0" w:color="auto"/>
                    </w:tcBorders>
                    <w:vAlign w:val="center"/>
                  </w:tcPr>
                  <w:p w14:paraId="263BF481"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33,238.00</w:t>
                    </w:r>
                  </w:p>
                </w:tc>
              </w:tr>
            </w:sdtContent>
          </w:sdt>
          <w:sdt>
            <w:sdtPr>
              <w:rPr>
                <w:rFonts w:ascii="Times New Roman" w:hAnsi="Times New Roman" w:cs="Times New Roman"/>
                <w:sz w:val="18"/>
                <w:szCs w:val="18"/>
              </w:rPr>
              <w:alias w:val="上市公司应付关联方款项明细"/>
              <w:tag w:val="_GBC_bb3d19486f2b460b856a135056bd0897"/>
              <w:id w:val="1833646666"/>
              <w:lock w:val="sdtLocked"/>
            </w:sdtPr>
            <w:sdtEndPr/>
            <w:sdtContent>
              <w:tr w:rsidR="00D21C1F" w14:paraId="057084E2"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0DFA9690"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应付账款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616EBE85"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芜湖固高自动化技术有限公司</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708FD499"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1,046,950.82</w:t>
                    </w:r>
                  </w:p>
                </w:tc>
                <w:tc>
                  <w:tcPr>
                    <w:tcW w:w="986" w:type="pct"/>
                    <w:tcBorders>
                      <w:top w:val="single" w:sz="4" w:space="0" w:color="auto"/>
                      <w:left w:val="single" w:sz="4" w:space="0" w:color="auto"/>
                      <w:bottom w:val="single" w:sz="4" w:space="0" w:color="auto"/>
                      <w:right w:val="single" w:sz="4" w:space="0" w:color="auto"/>
                    </w:tcBorders>
                    <w:vAlign w:val="center"/>
                  </w:tcPr>
                  <w:p w14:paraId="58DBDB14"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1,950,444.62</w:t>
                    </w:r>
                  </w:p>
                </w:tc>
              </w:tr>
            </w:sdtContent>
          </w:sdt>
          <w:sdt>
            <w:sdtPr>
              <w:rPr>
                <w:rFonts w:ascii="Times New Roman" w:hAnsi="Times New Roman" w:cs="Times New Roman"/>
                <w:sz w:val="18"/>
                <w:szCs w:val="18"/>
              </w:rPr>
              <w:alias w:val="上市公司应付关联方款项明细"/>
              <w:tag w:val="_GBC_bb3d19486f2b460b856a135056bd0897"/>
              <w:id w:val="2131347838"/>
              <w:lock w:val="sdtLocked"/>
            </w:sdtPr>
            <w:sdtEndPr/>
            <w:sdtContent>
              <w:tr w:rsidR="00D21C1F" w14:paraId="299E8613"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48A673D2"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应付账款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34B60F17"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芜湖哈特机器人产业技术研究院有限公司</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476DA9FD"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  </w:t>
                    </w:r>
                  </w:p>
                </w:tc>
                <w:tc>
                  <w:tcPr>
                    <w:tcW w:w="986" w:type="pct"/>
                    <w:tcBorders>
                      <w:top w:val="single" w:sz="4" w:space="0" w:color="auto"/>
                      <w:left w:val="single" w:sz="4" w:space="0" w:color="auto"/>
                      <w:bottom w:val="single" w:sz="4" w:space="0" w:color="auto"/>
                      <w:right w:val="single" w:sz="4" w:space="0" w:color="auto"/>
                    </w:tcBorders>
                    <w:vAlign w:val="center"/>
                  </w:tcPr>
                  <w:p w14:paraId="551F376F"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127,758.62</w:t>
                    </w:r>
                  </w:p>
                </w:tc>
              </w:tr>
            </w:sdtContent>
          </w:sdt>
          <w:sdt>
            <w:sdtPr>
              <w:rPr>
                <w:rFonts w:ascii="Times New Roman" w:hAnsi="Times New Roman" w:cs="Times New Roman"/>
                <w:sz w:val="18"/>
                <w:szCs w:val="18"/>
              </w:rPr>
              <w:alias w:val="上市公司应付关联方款项明细"/>
              <w:tag w:val="_GBC_bb3d19486f2b460b856a135056bd0897"/>
              <w:id w:val="1059745431"/>
              <w:lock w:val="sdtLocked"/>
            </w:sdtPr>
            <w:sdtEndPr/>
            <w:sdtContent>
              <w:tr w:rsidR="00D21C1F" w14:paraId="34A00124"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418A5E32"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其他应付款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744C6F17"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安徽工布智造工业科技有限公司</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334EB7C6"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120,000.00</w:t>
                    </w:r>
                  </w:p>
                </w:tc>
                <w:tc>
                  <w:tcPr>
                    <w:tcW w:w="986" w:type="pct"/>
                    <w:tcBorders>
                      <w:top w:val="single" w:sz="4" w:space="0" w:color="auto"/>
                      <w:left w:val="single" w:sz="4" w:space="0" w:color="auto"/>
                      <w:bottom w:val="single" w:sz="4" w:space="0" w:color="auto"/>
                      <w:right w:val="single" w:sz="4" w:space="0" w:color="auto"/>
                    </w:tcBorders>
                    <w:vAlign w:val="center"/>
                  </w:tcPr>
                  <w:p w14:paraId="6DECE87D"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120,000.00</w:t>
                    </w:r>
                  </w:p>
                </w:tc>
              </w:tr>
            </w:sdtContent>
          </w:sdt>
          <w:sdt>
            <w:sdtPr>
              <w:rPr>
                <w:rFonts w:ascii="Times New Roman" w:hAnsi="Times New Roman" w:cs="Times New Roman"/>
                <w:sz w:val="18"/>
                <w:szCs w:val="18"/>
              </w:rPr>
              <w:alias w:val="上市公司应付关联方款项明细"/>
              <w:tag w:val="_GBC_bb3d19486f2b460b856a135056bd0897"/>
              <w:id w:val="-226684565"/>
              <w:lock w:val="sdtLocked"/>
            </w:sdtPr>
            <w:sdtEndPr/>
            <w:sdtContent>
              <w:tr w:rsidR="00D21C1F" w14:paraId="7E7C7BF5"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7958941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其他应付款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5637657E"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江西汇有美智能涂装科技有限公司</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263D72E9"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  </w:t>
                    </w:r>
                  </w:p>
                </w:tc>
                <w:tc>
                  <w:tcPr>
                    <w:tcW w:w="986" w:type="pct"/>
                    <w:tcBorders>
                      <w:top w:val="single" w:sz="4" w:space="0" w:color="auto"/>
                      <w:left w:val="single" w:sz="4" w:space="0" w:color="auto"/>
                      <w:bottom w:val="single" w:sz="4" w:space="0" w:color="auto"/>
                      <w:right w:val="single" w:sz="4" w:space="0" w:color="auto"/>
                    </w:tcBorders>
                    <w:vAlign w:val="center"/>
                  </w:tcPr>
                  <w:p w14:paraId="1E6E09D9"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600,000.00</w:t>
                    </w:r>
                  </w:p>
                </w:tc>
              </w:tr>
            </w:sdtContent>
          </w:sdt>
          <w:sdt>
            <w:sdtPr>
              <w:rPr>
                <w:rFonts w:ascii="Times New Roman" w:hAnsi="Times New Roman" w:cs="Times New Roman"/>
                <w:sz w:val="18"/>
                <w:szCs w:val="18"/>
              </w:rPr>
              <w:alias w:val="上市公司应付关联方款项明细"/>
              <w:tag w:val="_GBC_bb3d19486f2b460b856a135056bd0897"/>
              <w:id w:val="-1880167567"/>
              <w:lock w:val="sdtLocked"/>
            </w:sdtPr>
            <w:sdtEndPr/>
            <w:sdtContent>
              <w:tr w:rsidR="00D21C1F" w14:paraId="062346D4"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08AC53B4"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其他应付款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5613D0DE"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奇瑞控股集团有限公司及其下属企业</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5140C27E"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15,078.41</w:t>
                    </w:r>
                  </w:p>
                </w:tc>
                <w:tc>
                  <w:tcPr>
                    <w:tcW w:w="986" w:type="pct"/>
                    <w:tcBorders>
                      <w:top w:val="single" w:sz="4" w:space="0" w:color="auto"/>
                      <w:left w:val="single" w:sz="4" w:space="0" w:color="auto"/>
                      <w:bottom w:val="single" w:sz="4" w:space="0" w:color="auto"/>
                      <w:right w:val="single" w:sz="4" w:space="0" w:color="auto"/>
                    </w:tcBorders>
                    <w:vAlign w:val="center"/>
                  </w:tcPr>
                  <w:p w14:paraId="3C72408D"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w:t>
                    </w:r>
                  </w:p>
                </w:tc>
              </w:tr>
            </w:sdtContent>
          </w:sdt>
          <w:sdt>
            <w:sdtPr>
              <w:rPr>
                <w:rFonts w:ascii="Times New Roman" w:hAnsi="Times New Roman" w:cs="Times New Roman"/>
                <w:sz w:val="18"/>
                <w:szCs w:val="18"/>
              </w:rPr>
              <w:alias w:val="上市公司应付关联方款项明细"/>
              <w:tag w:val="_GBC_bb3d19486f2b460b856a135056bd0897"/>
              <w:id w:val="-1199705050"/>
              <w:lock w:val="sdtLocked"/>
            </w:sdtPr>
            <w:sdtEndPr/>
            <w:sdtContent>
              <w:tr w:rsidR="00D21C1F" w14:paraId="06F06B22" w14:textId="77777777" w:rsidTr="00171EA7">
                <w:tc>
                  <w:tcPr>
                    <w:tcW w:w="801" w:type="pct"/>
                    <w:tcBorders>
                      <w:top w:val="single" w:sz="4" w:space="0" w:color="auto"/>
                      <w:left w:val="single" w:sz="4" w:space="0" w:color="auto"/>
                      <w:bottom w:val="single" w:sz="4" w:space="0" w:color="auto"/>
                      <w:right w:val="single" w:sz="4" w:space="0" w:color="auto"/>
                    </w:tcBorders>
                    <w:vAlign w:val="center"/>
                  </w:tcPr>
                  <w:p w14:paraId="1260F22F"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其他应付款</w:t>
                    </w:r>
                    <w:r>
                      <w:rPr>
                        <w:rFonts w:ascii="Times New Roman" w:hAnsi="Times New Roman" w:cs="Times New Roman"/>
                        <w:sz w:val="18"/>
                        <w:szCs w:val="18"/>
                      </w:rPr>
                      <w:t> </w:t>
                    </w:r>
                  </w:p>
                </w:tc>
                <w:tc>
                  <w:tcPr>
                    <w:tcW w:w="2169" w:type="pct"/>
                    <w:tcBorders>
                      <w:top w:val="single" w:sz="4" w:space="0" w:color="auto"/>
                      <w:left w:val="single" w:sz="4" w:space="0" w:color="auto"/>
                      <w:bottom w:val="single" w:sz="4" w:space="0" w:color="auto"/>
                      <w:right w:val="single" w:sz="4" w:space="0" w:color="auto"/>
                    </w:tcBorders>
                  </w:tcPr>
                  <w:p w14:paraId="2C37AD46" w14:textId="77777777" w:rsidR="00D21C1F" w:rsidRDefault="00A4288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w:t>
                    </w:r>
                    <w:r>
                      <w:rPr>
                        <w:rFonts w:ascii="Times New Roman" w:hAnsi="Times New Roman" w:cs="Times New Roman"/>
                        <w:sz w:val="18"/>
                        <w:szCs w:val="18"/>
                      </w:rPr>
                      <w:t>芜湖固高自动化技术有限公司</w:t>
                    </w:r>
                    <w:r>
                      <w:rPr>
                        <w:rFonts w:ascii="Times New Roman" w:hAnsi="Times New Roman" w:cs="Times New Roman"/>
                        <w:sz w:val="18"/>
                        <w:szCs w:val="18"/>
                      </w:rPr>
                      <w:t> </w:t>
                    </w:r>
                  </w:p>
                </w:tc>
                <w:tc>
                  <w:tcPr>
                    <w:tcW w:w="1044" w:type="pct"/>
                    <w:tcBorders>
                      <w:top w:val="single" w:sz="4" w:space="0" w:color="auto"/>
                      <w:left w:val="single" w:sz="4" w:space="0" w:color="auto"/>
                      <w:bottom w:val="single" w:sz="4" w:space="0" w:color="auto"/>
                      <w:right w:val="single" w:sz="4" w:space="0" w:color="auto"/>
                    </w:tcBorders>
                    <w:vAlign w:val="center"/>
                  </w:tcPr>
                  <w:p w14:paraId="6EFF12BF"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5,999.71</w:t>
                    </w:r>
                  </w:p>
                </w:tc>
                <w:tc>
                  <w:tcPr>
                    <w:tcW w:w="986" w:type="pct"/>
                    <w:tcBorders>
                      <w:top w:val="single" w:sz="4" w:space="0" w:color="auto"/>
                      <w:left w:val="single" w:sz="4" w:space="0" w:color="auto"/>
                      <w:bottom w:val="single" w:sz="4" w:space="0" w:color="auto"/>
                      <w:right w:val="single" w:sz="4" w:space="0" w:color="auto"/>
                    </w:tcBorders>
                    <w:vAlign w:val="center"/>
                  </w:tcPr>
                  <w:p w14:paraId="4A7F0BB1" w14:textId="77777777" w:rsidR="00D21C1F" w:rsidRDefault="00A42880" w:rsidP="00171EA7">
                    <w:pPr>
                      <w:autoSpaceDE w:val="0"/>
                      <w:autoSpaceDN w:val="0"/>
                      <w:adjustRightInd w:val="0"/>
                      <w:jc w:val="right"/>
                      <w:rPr>
                        <w:rFonts w:ascii="Times New Roman" w:hAnsi="Times New Roman" w:cs="Times New Roman"/>
                        <w:sz w:val="18"/>
                        <w:szCs w:val="18"/>
                      </w:rPr>
                    </w:pPr>
                    <w:r>
                      <w:rPr>
                        <w:rFonts w:ascii="Times New Roman" w:hAnsi="Times New Roman" w:cs="Times New Roman"/>
                        <w:sz w:val="18"/>
                        <w:szCs w:val="18"/>
                      </w:rPr>
                      <w:t>155,999.71</w:t>
                    </w:r>
                  </w:p>
                </w:tc>
              </w:tr>
            </w:sdtContent>
          </w:sdt>
        </w:tbl>
        <w:p w14:paraId="504AA50F" w14:textId="77777777" w:rsidR="00D21C1F" w:rsidRDefault="00045EC6">
          <w:pPr>
            <w:rPr>
              <w:szCs w:val="21"/>
            </w:rPr>
          </w:pPr>
        </w:p>
      </w:sdtContent>
    </w:sdt>
    <w:sdt>
      <w:sdtPr>
        <w:rPr>
          <w:rFonts w:ascii="宋体" w:eastAsia="宋体" w:hAnsi="宋体" w:cs="宋体" w:hint="eastAsia"/>
          <w:b w:val="0"/>
          <w:bCs w:val="0"/>
          <w:kern w:val="0"/>
          <w:szCs w:val="24"/>
        </w:rPr>
        <w:alias w:val="模块:关联方承诺"/>
        <w:tag w:val="_GBC_945a5f0033de4c9786bb7245eedc88e3"/>
        <w:id w:val="1457445656"/>
        <w:lock w:val="sdtLocked"/>
        <w:placeholder>
          <w:docPart w:val="GBC22222222222222222222222222222"/>
        </w:placeholder>
      </w:sdtPr>
      <w:sdtEndPr>
        <w:rPr>
          <w:rFonts w:cs="Cambria"/>
          <w:sz w:val="20"/>
          <w:szCs w:val="20"/>
        </w:rPr>
      </w:sdtEndPr>
      <w:sdtContent>
        <w:p w14:paraId="5AAB02A5" w14:textId="77777777" w:rsidR="00D21C1F" w:rsidRDefault="00A42880">
          <w:pPr>
            <w:pStyle w:val="94"/>
            <w:numPr>
              <w:ilvl w:val="0"/>
              <w:numId w:val="137"/>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432829212"/>
            <w:lock w:val="sdtLocked"/>
            <w:placeholder>
              <w:docPart w:val="GBC22222222222222222222222222222"/>
            </w:placeholder>
          </w:sdtPr>
          <w:sdtEndPr/>
          <w:sdtContent>
            <w:p w14:paraId="6D9157BE"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E01220" w14:textId="77777777" w:rsidR="00D21C1F" w:rsidRDefault="00045EC6">
          <w:pPr>
            <w:tabs>
              <w:tab w:val="left" w:pos="1134"/>
            </w:tabs>
            <w:rPr>
              <w:rFonts w:cs="Cambria"/>
              <w:sz w:val="20"/>
              <w:szCs w:val="20"/>
            </w:rPr>
          </w:pPr>
        </w:p>
      </w:sdtContent>
    </w:sdt>
    <w:sdt>
      <w:sdtPr>
        <w:rPr>
          <w:rFonts w:ascii="宋体" w:eastAsia="宋体" w:hAnsi="宋体" w:cs="Arial" w:hint="eastAsia"/>
          <w:b w:val="0"/>
          <w:bCs w:val="0"/>
          <w:kern w:val="0"/>
          <w:szCs w:val="21"/>
        </w:rPr>
        <w:alias w:val="模块:关联方及关联情况的其他说明"/>
        <w:tag w:val="_GBC_f467d909644e4ab6b08e0abfbea78eb8"/>
        <w:id w:val="-985696684"/>
        <w:lock w:val="sdtLocked"/>
        <w:placeholder>
          <w:docPart w:val="GBC22222222222222222222222222222"/>
        </w:placeholder>
      </w:sdtPr>
      <w:sdtEndPr>
        <w:rPr>
          <w:rFonts w:cs="Cambria"/>
          <w:sz w:val="20"/>
          <w:szCs w:val="20"/>
        </w:rPr>
      </w:sdtEndPr>
      <w:sdtContent>
        <w:p w14:paraId="5E244A70" w14:textId="77777777" w:rsidR="00D21C1F" w:rsidRDefault="00A42880">
          <w:pPr>
            <w:pStyle w:val="94"/>
            <w:numPr>
              <w:ilvl w:val="0"/>
              <w:numId w:val="137"/>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2031255012"/>
            <w:lock w:val="sdtLocked"/>
            <w:placeholder>
              <w:docPart w:val="GBC22222222222222222222222222222"/>
            </w:placeholder>
          </w:sdtPr>
          <w:sdtEndPr/>
          <w:sdtContent>
            <w:p w14:paraId="31488B6C" w14:textId="77777777" w:rsidR="00D21C1F" w:rsidRDefault="00A42880">
              <w:pPr>
                <w:rPr>
                  <w:rFonts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71974D1" w14:textId="77777777" w:rsidR="00D21C1F" w:rsidRDefault="00A42880">
      <w:pPr>
        <w:pStyle w:val="2CharCharChar"/>
        <w:numPr>
          <w:ilvl w:val="0"/>
          <w:numId w:val="42"/>
        </w:numPr>
      </w:pPr>
      <w:r>
        <w:rPr>
          <w:rFonts w:hint="eastAsia"/>
        </w:rPr>
        <w:t>股份支付</w:t>
      </w:r>
    </w:p>
    <w:sdt>
      <w:sdtPr>
        <w:rPr>
          <w:rFonts w:ascii="宋体" w:eastAsia="宋体" w:hAnsi="宋体" w:cs="宋体" w:hint="eastAsia"/>
          <w:b w:val="0"/>
          <w:bCs w:val="0"/>
          <w:kern w:val="0"/>
          <w:szCs w:val="24"/>
        </w:rPr>
        <w:alias w:val="模块:股份支付总体情况"/>
        <w:tag w:val="_GBC_07972b1f6b5c4904b730c6b344e432ee"/>
        <w:id w:val="-1233235098"/>
        <w:lock w:val="sdtLocked"/>
        <w:placeholder>
          <w:docPart w:val="GBC22222222222222222222222222222"/>
        </w:placeholder>
      </w:sdtPr>
      <w:sdtEndPr>
        <w:rPr>
          <w:rFonts w:cstheme="minorBidi"/>
          <w:szCs w:val="21"/>
        </w:rPr>
      </w:sdtEndPr>
      <w:sdtContent>
        <w:p w14:paraId="36A353D0" w14:textId="77777777" w:rsidR="00D21C1F" w:rsidRDefault="00A42880">
          <w:pPr>
            <w:pStyle w:val="94"/>
            <w:numPr>
              <w:ilvl w:val="0"/>
              <w:numId w:val="140"/>
            </w:numPr>
            <w:rPr>
              <w:rFonts w:ascii="宋体" w:hAnsi="宋体"/>
            </w:rPr>
          </w:pPr>
          <w:r>
            <w:rPr>
              <w:rFonts w:ascii="宋体" w:hAnsi="宋体" w:hint="eastAsia"/>
            </w:rPr>
            <w:t>股份支付总体情况</w:t>
          </w:r>
        </w:p>
        <w:sdt>
          <w:sdtPr>
            <w:alias w:val="是否适用：股份支付总体情况[双击切换]"/>
            <w:tag w:val="_GBC_7d36569622d040fb870ad46d99420cd2"/>
            <w:id w:val="-573500250"/>
            <w:lock w:val="sdtLocked"/>
            <w:placeholder>
              <w:docPart w:val="GBC22222222222222222222222222222"/>
            </w:placeholder>
          </w:sdtPr>
          <w:sdtEndPr/>
          <w:sdtContent>
            <w:p w14:paraId="32D31CE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0837DC" w14:textId="77777777" w:rsidR="00D21C1F" w:rsidRDefault="00A42880">
          <w:pPr>
            <w:jc w:val="right"/>
          </w:pPr>
          <w:r>
            <w:rPr>
              <w:rFonts w:hint="eastAsia"/>
              <w:szCs w:val="21"/>
            </w:rPr>
            <w:t>单位：</w:t>
          </w:r>
          <w:sdt>
            <w:sdtPr>
              <w:rPr>
                <w:rFonts w:hint="eastAsia"/>
                <w:szCs w:val="21"/>
              </w:rPr>
              <w:alias w:val="单位：财务附注：股份支付总体情况"/>
              <w:tag w:val="_GBC_f5e2ed83520249e5b48a08b8c1ad1260"/>
              <w:id w:val="2039846646"/>
              <w:lock w:val="sdtLocked"/>
              <w:comboBox>
                <w:listItem w:displayText="股" w:value="股"/>
                <w:listItem w:displayText="份" w:value="份"/>
              </w:comboBox>
            </w:sdtPr>
            <w:sdtEndPr/>
            <w:sdtContent>
              <w:r>
                <w:rPr>
                  <w:rFonts w:hint="eastAsia"/>
                  <w:szCs w:val="21"/>
                </w:rPr>
                <w:t>股</w:t>
              </w:r>
            </w:sdtContent>
          </w:sdt>
          <w:r>
            <w:rPr>
              <w:rFonts w:hint="eastAsia"/>
              <w:szCs w:val="21"/>
            </w:rPr>
            <w:t>币种：</w:t>
          </w:r>
          <w:sdt>
            <w:sdtPr>
              <w:rPr>
                <w:rFonts w:hint="eastAsia"/>
                <w:szCs w:val="21"/>
              </w:rPr>
              <w:alias w:val="币种：财务附注：股份支付总体情况"/>
              <w:tag w:val="_GBC_d5de89e0bf554dac952f5dd6d6bdab46"/>
              <w:id w:val="142198668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D21C1F" w14:paraId="21EADA68" w14:textId="77777777">
            <w:sdt>
              <w:sdtPr>
                <w:tag w:val="_PLD_d7309f1ffdd74e96bbe9117fb0f5e1b9"/>
                <w:id w:val="-2023224562"/>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1E53D561" w14:textId="77777777" w:rsidR="00D21C1F" w:rsidRDefault="00A42880">
                    <w:pPr>
                      <w:rPr>
                        <w:szCs w:val="21"/>
                      </w:rPr>
                    </w:pPr>
                    <w:r>
                      <w:rPr>
                        <w:rFonts w:hint="eastAsia"/>
                        <w:szCs w:val="21"/>
                      </w:rPr>
                      <w:t>公司本期授予的各项权益工具总额</w:t>
                    </w:r>
                  </w:p>
                </w:tc>
              </w:sdtContent>
            </w:sdt>
            <w:sdt>
              <w:sdtPr>
                <w:rPr>
                  <w:rFonts w:hint="eastAsia"/>
                  <w:szCs w:val="21"/>
                </w:rPr>
                <w:alias w:val="公司授予的各项权益工具总额"/>
                <w:tag w:val="_GBC_dd12b1ed77584020922f313628635576"/>
                <w:id w:val="1439262131"/>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bottom"/>
                  </w:tcPr>
                  <w:p w14:paraId="112DB7A4" w14:textId="77777777" w:rsidR="00D21C1F" w:rsidRDefault="00A42880">
                    <w:pPr>
                      <w:jc w:val="right"/>
                      <w:rPr>
                        <w:szCs w:val="21"/>
                      </w:rPr>
                    </w:pPr>
                    <w:r>
                      <w:rPr>
                        <w:rFonts w:hint="eastAsia"/>
                        <w:szCs w:val="21"/>
                      </w:rPr>
                      <w:t>-</w:t>
                    </w:r>
                  </w:p>
                </w:tc>
              </w:sdtContent>
            </w:sdt>
          </w:tr>
          <w:tr w:rsidR="00D21C1F" w14:paraId="30C9C7C6" w14:textId="77777777">
            <w:sdt>
              <w:sdtPr>
                <w:tag w:val="_PLD_146e6da96bc540e7959da2befd0af3ad"/>
                <w:id w:val="-513081540"/>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49C99ABA" w14:textId="77777777" w:rsidR="00D21C1F" w:rsidRDefault="00A42880">
                    <w:pPr>
                      <w:rPr>
                        <w:szCs w:val="21"/>
                      </w:rPr>
                    </w:pPr>
                    <w:r>
                      <w:rPr>
                        <w:rFonts w:hint="eastAsia"/>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vAlign w:val="bottom"/>
              </w:tcPr>
              <w:p w14:paraId="5641AE55" w14:textId="77777777" w:rsidR="00D21C1F" w:rsidRDefault="00A42880">
                <w:pPr>
                  <w:jc w:val="right"/>
                  <w:rPr>
                    <w:szCs w:val="21"/>
                  </w:rPr>
                </w:pPr>
                <w:r>
                  <w:rPr>
                    <w:rFonts w:hint="eastAsia"/>
                    <w:szCs w:val="21"/>
                  </w:rPr>
                  <w:t>-</w:t>
                </w:r>
              </w:p>
            </w:tc>
          </w:tr>
          <w:tr w:rsidR="00D21C1F" w14:paraId="74094DCF" w14:textId="77777777">
            <w:sdt>
              <w:sdtPr>
                <w:tag w:val="_PLD_5d9dbe6a5627408baf489b5f4f8eb99c"/>
                <w:id w:val="287398614"/>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4801C90D" w14:textId="77777777" w:rsidR="00D21C1F" w:rsidRDefault="00A42880">
                    <w:pPr>
                      <w:rPr>
                        <w:szCs w:val="21"/>
                      </w:rPr>
                    </w:pPr>
                    <w:r>
                      <w:rPr>
                        <w:rFonts w:hint="eastAsia"/>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vAlign w:val="bottom"/>
              </w:tcPr>
              <w:p w14:paraId="078AD490" w14:textId="77777777" w:rsidR="00D21C1F" w:rsidRDefault="00A42880">
                <w:pPr>
                  <w:wordWrap w:val="0"/>
                  <w:jc w:val="right"/>
                  <w:rPr>
                    <w:szCs w:val="21"/>
                  </w:rPr>
                </w:pPr>
                <w:r>
                  <w:rPr>
                    <w:rFonts w:hint="eastAsia"/>
                    <w:szCs w:val="21"/>
                  </w:rPr>
                  <w:t>-</w:t>
                </w:r>
              </w:p>
            </w:tc>
          </w:tr>
          <w:tr w:rsidR="00D21C1F" w14:paraId="261EDBE5" w14:textId="77777777">
            <w:sdt>
              <w:sdtPr>
                <w:tag w:val="_PLD_6694d6ef994a4b3cb878a90cef433735"/>
                <w:id w:val="254325812"/>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3FAF291" w14:textId="77777777" w:rsidR="00D21C1F" w:rsidRDefault="00A42880">
                    <w:pPr>
                      <w:rPr>
                        <w:szCs w:val="21"/>
                      </w:rPr>
                    </w:pPr>
                    <w:r>
                      <w:rPr>
                        <w:rFonts w:hint="eastAsia"/>
                        <w:szCs w:val="21"/>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bottom"/>
              </w:tcPr>
              <w:p w14:paraId="6D385B99" w14:textId="77777777" w:rsidR="00D21C1F" w:rsidRDefault="00A42880">
                <w:pPr>
                  <w:jc w:val="right"/>
                  <w:rPr>
                    <w:szCs w:val="21"/>
                  </w:rPr>
                </w:pPr>
                <w:r>
                  <w:rPr>
                    <w:rFonts w:hint="eastAsia"/>
                    <w:szCs w:val="21"/>
                  </w:rPr>
                  <w:t>-</w:t>
                </w:r>
              </w:p>
            </w:tc>
          </w:tr>
          <w:tr w:rsidR="00D21C1F" w14:paraId="6812AA82" w14:textId="77777777">
            <w:sdt>
              <w:sdtPr>
                <w:tag w:val="_PLD_b6fe32b3793c46aca2c7a724ec090ff5"/>
                <w:id w:val="-2034486012"/>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08E69578" w14:textId="77777777" w:rsidR="00D21C1F" w:rsidRDefault="00A42880">
                    <w:pPr>
                      <w:rPr>
                        <w:szCs w:val="21"/>
                      </w:rPr>
                    </w:pPr>
                    <w:r>
                      <w:rPr>
                        <w:rFonts w:hint="eastAsia"/>
                        <w:szCs w:val="21"/>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bottom"/>
              </w:tcPr>
              <w:p w14:paraId="1100D5B1" w14:textId="77777777" w:rsidR="00D21C1F" w:rsidRDefault="00A42880">
                <w:pPr>
                  <w:jc w:val="right"/>
                  <w:rPr>
                    <w:szCs w:val="21"/>
                  </w:rPr>
                </w:pPr>
                <w:r>
                  <w:rPr>
                    <w:rFonts w:hint="eastAsia"/>
                    <w:szCs w:val="21"/>
                  </w:rPr>
                  <w:t>-</w:t>
                </w:r>
              </w:p>
            </w:tc>
          </w:tr>
        </w:tbl>
        <w:p w14:paraId="2F243ACF" w14:textId="77777777" w:rsidR="00D21C1F" w:rsidRDefault="00A42880">
          <w:pPr>
            <w:pStyle w:val="97"/>
          </w:pPr>
          <w:r>
            <w:rPr>
              <w:rFonts w:hint="eastAsia"/>
            </w:rPr>
            <w:t>其他说明</w:t>
          </w:r>
        </w:p>
        <w:p w14:paraId="1BF0DB29" w14:textId="77777777" w:rsidR="00D21C1F" w:rsidRDefault="00045EC6">
          <w:pPr>
            <w:pStyle w:val="97"/>
          </w:pPr>
          <w:sdt>
            <w:sdtPr>
              <w:rPr>
                <w:szCs w:val="21"/>
              </w:rPr>
              <w:alias w:val="股份支付的说明"/>
              <w:tag w:val="_GBC_6ec202c8c5c2474c94af4a207f151a91"/>
              <w:id w:val="1037621434"/>
              <w:lock w:val="sdtLocked"/>
            </w:sdtPr>
            <w:sdtEndPr/>
            <w:sdtContent>
              <w:r w:rsidR="00A42880">
                <w:rPr>
                  <w:rFonts w:hint="eastAsia"/>
                  <w:szCs w:val="21"/>
                </w:rPr>
                <w:t>无</w:t>
              </w:r>
            </w:sdtContent>
          </w:sdt>
        </w:p>
        <w:p w14:paraId="02148412" w14:textId="77777777" w:rsidR="00D21C1F" w:rsidRDefault="00045EC6">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402824431"/>
        <w:lock w:val="sdtLocked"/>
        <w:placeholder>
          <w:docPart w:val="GBC22222222222222222222222222222"/>
        </w:placeholder>
      </w:sdtPr>
      <w:sdtEndPr>
        <w:rPr>
          <w:rFonts w:cstheme="minorBidi"/>
          <w:szCs w:val="21"/>
        </w:rPr>
      </w:sdtEndPr>
      <w:sdtContent>
        <w:p w14:paraId="681B67A6" w14:textId="77777777" w:rsidR="00D21C1F" w:rsidRDefault="00A42880">
          <w:pPr>
            <w:pStyle w:val="3"/>
            <w:numPr>
              <w:ilvl w:val="0"/>
              <w:numId w:val="140"/>
            </w:numPr>
            <w:rPr>
              <w:rFonts w:ascii="宋体" w:hAnsi="宋体"/>
            </w:rPr>
          </w:pPr>
          <w:r>
            <w:rPr>
              <w:rFonts w:ascii="宋体" w:hAnsi="宋体" w:hint="eastAsia"/>
            </w:rPr>
            <w:t>以权益结算的股份支付情况</w:t>
          </w:r>
        </w:p>
        <w:sdt>
          <w:sdtPr>
            <w:alias w:val="是否适用：以权益结算的股份支付情况[双击切换]"/>
            <w:tag w:val="_GBC_5d901e3b36be4331aac030c8e4b9b1a5"/>
            <w:id w:val="-293610917"/>
            <w:lock w:val="sdtLocked"/>
          </w:sdtPr>
          <w:sdtEndPr/>
          <w:sdtContent>
            <w:p w14:paraId="7E644596" w14:textId="77777777" w:rsidR="00D21C1F" w:rsidRDefault="00A42880">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67CE8D1E" w14:textId="77777777" w:rsidR="00D21C1F" w:rsidRDefault="00A42880">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9377865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以权益结算的股份支付情况"/>
              <w:tag w:val="_GBC_141e8e8b8e9c4f8880dfb329a29bb6d0"/>
              <w:id w:val="15689117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007"/>
          </w:tblGrid>
          <w:tr w:rsidR="00D21C1F" w14:paraId="5145CDDC" w14:textId="77777777">
            <w:sdt>
              <w:sdtPr>
                <w:tag w:val="_PLD_3971ccf7eba24e5a8c55531fb5d27dd3"/>
                <w:id w:val="-261677924"/>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7A089B06" w14:textId="77777777" w:rsidR="00D21C1F" w:rsidRDefault="00A42880">
                    <w:pPr>
                      <w:rPr>
                        <w:szCs w:val="21"/>
                      </w:rPr>
                    </w:pPr>
                    <w:r>
                      <w:rPr>
                        <w:rFonts w:hint="eastAsia"/>
                        <w:szCs w:val="21"/>
                      </w:rPr>
                      <w:t>授予日权益工具公允价值的确定方法</w:t>
                    </w:r>
                  </w:p>
                </w:tc>
              </w:sdtContent>
            </w:sdt>
            <w:sdt>
              <w:sdtPr>
                <w:rPr>
                  <w:szCs w:val="21"/>
                </w:rPr>
                <w:alias w:val="授予日权益工具公允价值的确定方法"/>
                <w:tag w:val="_GBC_494fdab9066346439f2b34f644c563da"/>
                <w:id w:val="-846791484"/>
                <w:lock w:val="sdtLocked"/>
              </w:sdtPr>
              <w:sdtEndPr/>
              <w:sdtContent>
                <w:tc>
                  <w:tcPr>
                    <w:tcW w:w="2271" w:type="pct"/>
                    <w:tcBorders>
                      <w:top w:val="single" w:sz="4" w:space="0" w:color="auto"/>
                      <w:left w:val="single" w:sz="4" w:space="0" w:color="auto"/>
                      <w:bottom w:val="single" w:sz="4" w:space="0" w:color="auto"/>
                      <w:right w:val="single" w:sz="4" w:space="0" w:color="auto"/>
                    </w:tcBorders>
                  </w:tcPr>
                  <w:p w14:paraId="3730414C" w14:textId="77777777" w:rsidR="00D21C1F" w:rsidRDefault="00A42880">
                    <w:pPr>
                      <w:rPr>
                        <w:szCs w:val="21"/>
                      </w:rPr>
                    </w:pPr>
                    <w:r>
                      <w:rPr>
                        <w:szCs w:val="21"/>
                      </w:rPr>
                      <w:t>授予日前后</w:t>
                    </w:r>
                    <w:r>
                      <w:rPr>
                        <w:rFonts w:ascii="Times New Roman" w:hAnsi="Times New Roman"/>
                        <w:szCs w:val="21"/>
                      </w:rPr>
                      <w:t>6</w:t>
                    </w:r>
                    <w:r>
                      <w:rPr>
                        <w:szCs w:val="21"/>
                      </w:rPr>
                      <w:t>个月外部投资者或股东增资的价格</w:t>
                    </w:r>
                  </w:p>
                </w:tc>
              </w:sdtContent>
            </w:sdt>
          </w:tr>
          <w:tr w:rsidR="00D21C1F" w14:paraId="45E8B5DB" w14:textId="77777777">
            <w:sdt>
              <w:sdtPr>
                <w:tag w:val="_PLD_196af183586047b8b91c11e4d618d989"/>
                <w:id w:val="-950472790"/>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7DF7552C" w14:textId="77777777" w:rsidR="00D21C1F" w:rsidRDefault="00A42880">
                    <w:pPr>
                      <w:rPr>
                        <w:szCs w:val="21"/>
                      </w:rPr>
                    </w:pPr>
                    <w:r>
                      <w:rPr>
                        <w:rFonts w:hint="eastAsia"/>
                        <w:szCs w:val="21"/>
                      </w:rPr>
                      <w:t>可行权权益工具数量的确定依据</w:t>
                    </w:r>
                  </w:p>
                </w:tc>
              </w:sdtContent>
            </w:sdt>
            <w:tc>
              <w:tcPr>
                <w:tcW w:w="2271" w:type="pct"/>
                <w:tcBorders>
                  <w:top w:val="single" w:sz="4" w:space="0" w:color="auto"/>
                  <w:left w:val="single" w:sz="4" w:space="0" w:color="auto"/>
                  <w:bottom w:val="single" w:sz="4" w:space="0" w:color="auto"/>
                  <w:right w:val="single" w:sz="4" w:space="0" w:color="auto"/>
                </w:tcBorders>
              </w:tcPr>
              <w:p w14:paraId="148B7A8A" w14:textId="77777777" w:rsidR="00D21C1F" w:rsidRDefault="00A42880">
                <w:pPr>
                  <w:rPr>
                    <w:szCs w:val="21"/>
                  </w:rPr>
                </w:pPr>
                <w:r>
                  <w:rPr>
                    <w:rFonts w:hint="eastAsia"/>
                  </w:rPr>
                  <w:t>实际行权数量</w:t>
                </w:r>
              </w:p>
            </w:tc>
          </w:tr>
          <w:tr w:rsidR="00D21C1F" w14:paraId="3C9003BB" w14:textId="77777777">
            <w:sdt>
              <w:sdtPr>
                <w:tag w:val="_PLD_f7ccac85f9f04eae859b36511ee5887a"/>
                <w:id w:val="-1459177638"/>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0B957578" w14:textId="77777777" w:rsidR="00D21C1F" w:rsidRDefault="00A42880">
                    <w:pPr>
                      <w:rPr>
                        <w:szCs w:val="21"/>
                      </w:rPr>
                    </w:pPr>
                    <w:r>
                      <w:rPr>
                        <w:rFonts w:hint="eastAsia"/>
                        <w:szCs w:val="21"/>
                      </w:rPr>
                      <w:t>本期估计与上期估计有重大差异的原因</w:t>
                    </w:r>
                  </w:p>
                </w:tc>
              </w:sdtContent>
            </w:sdt>
            <w:tc>
              <w:tcPr>
                <w:tcW w:w="2271" w:type="pct"/>
                <w:tcBorders>
                  <w:top w:val="single" w:sz="4" w:space="0" w:color="auto"/>
                  <w:left w:val="single" w:sz="4" w:space="0" w:color="auto"/>
                  <w:bottom w:val="single" w:sz="4" w:space="0" w:color="auto"/>
                  <w:right w:val="single" w:sz="4" w:space="0" w:color="auto"/>
                </w:tcBorders>
              </w:tcPr>
              <w:p w14:paraId="7FC82713" w14:textId="77777777" w:rsidR="00D21C1F" w:rsidRDefault="00A42880">
                <w:pPr>
                  <w:rPr>
                    <w:szCs w:val="21"/>
                  </w:rPr>
                </w:pPr>
                <w:r>
                  <w:rPr>
                    <w:rFonts w:hint="eastAsia"/>
                  </w:rPr>
                  <w:t>不适用</w:t>
                </w:r>
              </w:p>
            </w:tc>
          </w:tr>
          <w:tr w:rsidR="00D21C1F" w14:paraId="7A82AB0B" w14:textId="77777777">
            <w:sdt>
              <w:sdtPr>
                <w:tag w:val="_PLD_41ed08de46e64e0f85ab68a2dd7015cc"/>
                <w:id w:val="1617409121"/>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7BEBF246" w14:textId="77777777" w:rsidR="00D21C1F" w:rsidRDefault="00A42880">
                    <w:pPr>
                      <w:rPr>
                        <w:szCs w:val="21"/>
                      </w:rPr>
                    </w:pPr>
                    <w:r>
                      <w:rPr>
                        <w:rFonts w:hint="eastAsia"/>
                        <w:szCs w:val="21"/>
                      </w:rPr>
                      <w:t>以权益结算的股份支付计入资本公积的累计金额</w:t>
                    </w:r>
                  </w:p>
                </w:tc>
              </w:sdtContent>
            </w:sdt>
            <w:tc>
              <w:tcPr>
                <w:tcW w:w="2271" w:type="pct"/>
                <w:tcBorders>
                  <w:top w:val="single" w:sz="4" w:space="0" w:color="auto"/>
                  <w:left w:val="single" w:sz="4" w:space="0" w:color="auto"/>
                  <w:bottom w:val="single" w:sz="4" w:space="0" w:color="auto"/>
                  <w:right w:val="single" w:sz="4" w:space="0" w:color="auto"/>
                </w:tcBorders>
                <w:vAlign w:val="bottom"/>
              </w:tcPr>
              <w:p w14:paraId="25BA635D" w14:textId="77777777" w:rsidR="00D21C1F" w:rsidRDefault="00A42880">
                <w:pPr>
                  <w:jc w:val="right"/>
                  <w:rPr>
                    <w:rFonts w:ascii="Times New Roman" w:hAnsi="Times New Roman" w:cs="Times New Roman"/>
                    <w:szCs w:val="21"/>
                  </w:rPr>
                </w:pPr>
                <w:r>
                  <w:rPr>
                    <w:rFonts w:ascii="Times New Roman" w:hAnsi="Times New Roman" w:cs="Times New Roman"/>
                  </w:rPr>
                  <w:t>97,319,729.30</w:t>
                </w:r>
              </w:p>
            </w:tc>
          </w:tr>
          <w:tr w:rsidR="00D21C1F" w14:paraId="6F438412" w14:textId="77777777">
            <w:sdt>
              <w:sdtPr>
                <w:tag w:val="_PLD_f82f407e90bf4db287ed1a5428fbac34"/>
                <w:id w:val="1621408279"/>
                <w:lock w:val="sdtLocked"/>
              </w:sdtPr>
              <w:sdtEndPr/>
              <w:sdtContent>
                <w:tc>
                  <w:tcPr>
                    <w:tcW w:w="2729" w:type="pct"/>
                    <w:tcBorders>
                      <w:top w:val="single" w:sz="4" w:space="0" w:color="auto"/>
                      <w:left w:val="single" w:sz="4" w:space="0" w:color="auto"/>
                      <w:bottom w:val="single" w:sz="4" w:space="0" w:color="auto"/>
                      <w:right w:val="single" w:sz="4" w:space="0" w:color="auto"/>
                    </w:tcBorders>
                  </w:tcPr>
                  <w:p w14:paraId="01E8B10C" w14:textId="77777777" w:rsidR="00D21C1F" w:rsidRDefault="00A42880">
                    <w:pPr>
                      <w:rPr>
                        <w:szCs w:val="21"/>
                      </w:rPr>
                    </w:pPr>
                    <w:r>
                      <w:rPr>
                        <w:rFonts w:hint="eastAsia"/>
                        <w:szCs w:val="21"/>
                      </w:rPr>
                      <w:t>本期以权益结算的股份支付确认的费用总额</w:t>
                    </w:r>
                  </w:p>
                </w:tc>
              </w:sdtContent>
            </w:sdt>
            <w:tc>
              <w:tcPr>
                <w:tcW w:w="2271" w:type="pct"/>
                <w:tcBorders>
                  <w:top w:val="single" w:sz="4" w:space="0" w:color="auto"/>
                  <w:left w:val="single" w:sz="4" w:space="0" w:color="auto"/>
                  <w:bottom w:val="single" w:sz="4" w:space="0" w:color="auto"/>
                  <w:right w:val="single" w:sz="4" w:space="0" w:color="auto"/>
                </w:tcBorders>
                <w:vAlign w:val="bottom"/>
              </w:tcPr>
              <w:p w14:paraId="56DCCA23" w14:textId="77777777" w:rsidR="00D21C1F" w:rsidRDefault="00A42880">
                <w:pPr>
                  <w:jc w:val="right"/>
                  <w:rPr>
                    <w:rFonts w:ascii="Times New Roman" w:hAnsi="Times New Roman" w:cs="Times New Roman"/>
                    <w:szCs w:val="21"/>
                  </w:rPr>
                </w:pPr>
                <w:r>
                  <w:rPr>
                    <w:rFonts w:ascii="Times New Roman" w:hAnsi="Times New Roman" w:cs="Times New Roman"/>
                  </w:rPr>
                  <w:t>7,246,840.00</w:t>
                </w:r>
              </w:p>
            </w:tc>
          </w:tr>
        </w:tbl>
        <w:p w14:paraId="0C2E91D7" w14:textId="77777777" w:rsidR="00D21C1F" w:rsidRDefault="00A42880">
          <w:pPr>
            <w:rPr>
              <w:szCs w:val="21"/>
            </w:rPr>
          </w:pPr>
          <w:r>
            <w:rPr>
              <w:rFonts w:hint="eastAsia"/>
            </w:rPr>
            <w:t>其他说明</w:t>
          </w:r>
        </w:p>
        <w:sdt>
          <w:sdtPr>
            <w:rPr>
              <w:szCs w:val="21"/>
            </w:rPr>
            <w:alias w:val="以权益结算的股份支付的说明"/>
            <w:tag w:val="_GBC_66cc441b4855447ca660dcb1092a9d2d"/>
            <w:id w:val="-1918007172"/>
            <w:lock w:val="sdtLocked"/>
          </w:sdtPr>
          <w:sdtEndPr/>
          <w:sdtContent>
            <w:p w14:paraId="719D9CC6" w14:textId="77777777" w:rsidR="00D21C1F" w:rsidRDefault="00A42880">
              <w:pPr>
                <w:rPr>
                  <w:szCs w:val="21"/>
                </w:rPr>
              </w:pPr>
              <w:r>
                <w:rPr>
                  <w:szCs w:val="21"/>
                </w:rPr>
                <w:t>无</w:t>
              </w:r>
            </w:p>
          </w:sdtContent>
        </w:sdt>
        <w:p w14:paraId="4694568F" w14:textId="77777777" w:rsidR="00D21C1F" w:rsidRDefault="00045EC6">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907414506"/>
        <w:lock w:val="sdtLocked"/>
        <w:placeholder>
          <w:docPart w:val="GBC22222222222222222222222222222"/>
        </w:placeholder>
      </w:sdtPr>
      <w:sdtEndPr>
        <w:rPr>
          <w:rFonts w:cstheme="minorBidi"/>
          <w:szCs w:val="21"/>
        </w:rPr>
      </w:sdtEndPr>
      <w:sdtContent>
        <w:p w14:paraId="43C984E4" w14:textId="77777777" w:rsidR="00D21C1F" w:rsidRDefault="00A42880">
          <w:pPr>
            <w:pStyle w:val="94"/>
            <w:numPr>
              <w:ilvl w:val="0"/>
              <w:numId w:val="140"/>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1882698255"/>
            <w:lock w:val="sdtLocked"/>
            <w:placeholder>
              <w:docPart w:val="GBC22222222222222222222222222222"/>
            </w:placeholder>
          </w:sdtPr>
          <w:sdtEndPr/>
          <w:sdtContent>
            <w:p w14:paraId="24FBE99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股份支付的修改、终止情况"/>
        <w:tag w:val="_GBC_ae153862caea4ff5a57470b6f594f167"/>
        <w:id w:val="-154693374"/>
        <w:lock w:val="sdtLocked"/>
        <w:placeholder>
          <w:docPart w:val="GBC22222222222222222222222222222"/>
        </w:placeholder>
      </w:sdtPr>
      <w:sdtEndPr>
        <w:rPr>
          <w:rFonts w:cstheme="minorBidi" w:hint="default"/>
          <w:szCs w:val="21"/>
        </w:rPr>
      </w:sdtEndPr>
      <w:sdtContent>
        <w:p w14:paraId="6F3DC3C9" w14:textId="77777777" w:rsidR="00D21C1F" w:rsidRDefault="00A42880">
          <w:pPr>
            <w:pStyle w:val="94"/>
            <w:numPr>
              <w:ilvl w:val="0"/>
              <w:numId w:val="140"/>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493035526"/>
            <w:lock w:val="sdtLocked"/>
            <w:placeholder>
              <w:docPart w:val="GBC22222222222222222222222222222"/>
            </w:placeholder>
          </w:sdtPr>
          <w:sdtEndPr/>
          <w:sdtContent>
            <w:p w14:paraId="2F8CE61D" w14:textId="77777777" w:rsidR="00D21C1F" w:rsidRDefault="00A42880">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b w:val="0"/>
          <w:bCs w:val="0"/>
          <w:kern w:val="0"/>
          <w:szCs w:val="21"/>
        </w:rPr>
        <w:alias w:val="模块:股份支付的其他情况说明"/>
        <w:tag w:val="_GBC_d9554f13d811474eab6fe8ab0c5c8811"/>
        <w:id w:val="1467246162"/>
        <w:lock w:val="sdtLocked"/>
        <w:placeholder>
          <w:docPart w:val="GBC22222222222222222222222222222"/>
        </w:placeholder>
      </w:sdtPr>
      <w:sdtEndPr/>
      <w:sdtContent>
        <w:p w14:paraId="4B64B62F" w14:textId="77777777" w:rsidR="00D21C1F" w:rsidRDefault="00A42880">
          <w:pPr>
            <w:pStyle w:val="94"/>
            <w:numPr>
              <w:ilvl w:val="0"/>
              <w:numId w:val="140"/>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1754860021"/>
            <w:lock w:val="sdtLocked"/>
            <w:placeholder>
              <w:docPart w:val="GBC22222222222222222222222222222"/>
            </w:placeholder>
          </w:sdtPr>
          <w:sdtEndPr/>
          <w:sdtContent>
            <w:p w14:paraId="71AE0622"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C2E371F" w14:textId="77777777" w:rsidR="00D21C1F" w:rsidRDefault="00D21C1F">
      <w:pPr>
        <w:rPr>
          <w:szCs w:val="21"/>
        </w:rPr>
      </w:pPr>
    </w:p>
    <w:p w14:paraId="540561F9" w14:textId="77777777" w:rsidR="00D21C1F" w:rsidRDefault="00A42880">
      <w:pPr>
        <w:pStyle w:val="2CharCharChar"/>
        <w:numPr>
          <w:ilvl w:val="0"/>
          <w:numId w:val="42"/>
        </w:numPr>
      </w:pPr>
      <w:r>
        <w:rPr>
          <w:rFonts w:hint="eastAsia"/>
        </w:rPr>
        <w:t>承诺及或有事项</w:t>
      </w:r>
    </w:p>
    <w:p w14:paraId="6D8C72C2" w14:textId="77777777" w:rsidR="00D21C1F" w:rsidRDefault="00A42880">
      <w:pPr>
        <w:pStyle w:val="94"/>
        <w:numPr>
          <w:ilvl w:val="0"/>
          <w:numId w:val="141"/>
        </w:numPr>
        <w:rPr>
          <w:rFonts w:ascii="宋体" w:hAnsi="宋体"/>
        </w:rPr>
      </w:pPr>
      <w:r>
        <w:rPr>
          <w:rFonts w:ascii="宋体" w:hAnsi="宋体" w:hint="eastAsia"/>
        </w:rPr>
        <w:t>重要承诺事项</w:t>
      </w:r>
    </w:p>
    <w:sdt>
      <w:sdtPr>
        <w:alias w:val="是否适用：重要承诺事项[双击切换]"/>
        <w:tag w:val="_GBC_3ee02d2bff5e4dd69f75cc6148bdda8f"/>
        <w:id w:val="-1150907044"/>
        <w:lock w:val="sdtLocked"/>
        <w:placeholder>
          <w:docPart w:val="GBC22222222222222222222222222222"/>
        </w:placeholder>
      </w:sdtPr>
      <w:sdtEndPr/>
      <w:sdtContent>
        <w:p w14:paraId="401B6C7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1E0CE4" w14:textId="77777777" w:rsidR="00D21C1F" w:rsidRDefault="00D21C1F">
      <w:pPr>
        <w:pStyle w:val="97"/>
      </w:pPr>
    </w:p>
    <w:p w14:paraId="56E16EFA" w14:textId="77777777" w:rsidR="00D21C1F" w:rsidRDefault="00A42880">
      <w:pPr>
        <w:pStyle w:val="94"/>
        <w:numPr>
          <w:ilvl w:val="0"/>
          <w:numId w:val="141"/>
        </w:numPr>
        <w:rPr>
          <w:rFonts w:ascii="宋体" w:hAnsi="宋体"/>
        </w:rPr>
      </w:pPr>
      <w:r>
        <w:rPr>
          <w:rFonts w:ascii="宋体" w:hAnsi="宋体"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463014105"/>
        <w:lock w:val="sdtLocked"/>
        <w:placeholder>
          <w:docPart w:val="GBC22222222222222222222222222222"/>
        </w:placeholder>
      </w:sdtPr>
      <w:sdtEndPr>
        <w:rPr>
          <w:rFonts w:cstheme="minorBidi"/>
        </w:rPr>
      </w:sdtEndPr>
      <w:sdtContent>
        <w:p w14:paraId="216B593E" w14:textId="77777777" w:rsidR="00D21C1F" w:rsidRDefault="00A42880">
          <w:pPr>
            <w:pStyle w:val="4"/>
            <w:numPr>
              <w:ilvl w:val="0"/>
              <w:numId w:val="142"/>
            </w:numPr>
            <w:tabs>
              <w:tab w:val="left" w:pos="616"/>
            </w:tabs>
            <w:rPr>
              <w:rFonts w:ascii="宋体" w:hAnsi="宋体"/>
            </w:rPr>
          </w:pPr>
          <w:r>
            <w:rPr>
              <w:rFonts w:ascii="宋体" w:hAnsi="宋体" w:hint="eastAsia"/>
            </w:rPr>
            <w:t>资产负债表日存在的重要或有事项</w:t>
          </w:r>
        </w:p>
        <w:sdt>
          <w:sdtPr>
            <w:alias w:val="是否适用：资产负债表日存在的重要或有事项[双击切换]"/>
            <w:tag w:val="_GBC_dea854a30b4642f6b78351afe6791c32"/>
            <w:id w:val="-950015474"/>
            <w:lock w:val="sdtLocked"/>
            <w:placeholder>
              <w:docPart w:val="2A9D3154404E46B0A9E2B06D58944033"/>
            </w:placeholder>
          </w:sdtPr>
          <w:sdtEndPr/>
          <w:sdtContent>
            <w:p w14:paraId="2E4B72FF" w14:textId="77777777" w:rsidR="00D21C1F" w:rsidRDefault="00A4288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9aacda4c45eb44bcb0d1f17e53741a1f"/>
            <w:id w:val="-1124461060"/>
            <w:lock w:val="sdtLocked"/>
            <w:placeholder>
              <w:docPart w:val="2A9D3154404E46B0A9E2B06D58944033"/>
            </w:placeholder>
          </w:sdtPr>
          <w:sdtEndPr/>
          <w:sdtContent>
            <w:p w14:paraId="1F876174" w14:textId="77777777" w:rsidR="00D21C1F" w:rsidRDefault="00A42880">
              <w:r>
                <w:rPr>
                  <w:rFonts w:hint="eastAsia"/>
                </w:rPr>
                <w:t>（</w:t>
              </w:r>
              <w:r>
                <w:rPr>
                  <w:rFonts w:ascii="Times New Roman" w:hAnsi="Times New Roman" w:hint="eastAsia"/>
                </w:rPr>
                <w:t>1</w:t>
              </w:r>
              <w:r>
                <w:rPr>
                  <w:rFonts w:hint="eastAsia"/>
                </w:rPr>
                <w:t>）截止</w:t>
              </w:r>
              <w:r>
                <w:rPr>
                  <w:rFonts w:ascii="Times New Roman" w:hAnsi="Times New Roman"/>
                </w:rPr>
                <w:t>2021</w:t>
              </w:r>
              <w:r>
                <w:rPr>
                  <w:rFonts w:hint="eastAsia"/>
                </w:rPr>
                <w:t>年</w:t>
              </w:r>
              <w:r>
                <w:rPr>
                  <w:rFonts w:ascii="Times New Roman" w:hAnsi="Times New Roman"/>
                </w:rPr>
                <w:t>6</w:t>
              </w:r>
              <w:r>
                <w:rPr>
                  <w:rFonts w:hint="eastAsia"/>
                </w:rPr>
                <w:t>月</w:t>
              </w:r>
              <w:r>
                <w:rPr>
                  <w:rFonts w:ascii="Times New Roman" w:hAnsi="Times New Roman"/>
                </w:rPr>
                <w:t>30</w:t>
              </w:r>
              <w:r>
                <w:rPr>
                  <w:rFonts w:hint="eastAsia"/>
                </w:rPr>
                <w:t>日，本公司开出的保函、信用证信息如下：</w:t>
              </w:r>
            </w:p>
            <w:tbl>
              <w:tblPr>
                <w:tblStyle w:val="g3"/>
                <w:tblW w:w="10207" w:type="dxa"/>
                <w:jc w:val="center"/>
                <w:tblInd w:w="0" w:type="dxa"/>
                <w:tblLook w:val="04A0" w:firstRow="1" w:lastRow="0" w:firstColumn="1" w:lastColumn="0" w:noHBand="0" w:noVBand="1"/>
              </w:tblPr>
              <w:tblGrid>
                <w:gridCol w:w="892"/>
                <w:gridCol w:w="801"/>
                <w:gridCol w:w="1772"/>
                <w:gridCol w:w="1218"/>
                <w:gridCol w:w="1248"/>
                <w:gridCol w:w="2216"/>
                <w:gridCol w:w="536"/>
                <w:gridCol w:w="1524"/>
              </w:tblGrid>
              <w:tr w:rsidR="00721C73" w:rsidRPr="00266B55" w14:paraId="39D38D1B" w14:textId="77777777" w:rsidTr="00DA2960">
                <w:trPr>
                  <w:jc w:val="center"/>
                </w:trPr>
                <w:tc>
                  <w:tcPr>
                    <w:tcW w:w="1135" w:type="dxa"/>
                    <w:vAlign w:val="center"/>
                  </w:tcPr>
                  <w:p w14:paraId="6AA96FF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保函类型</w:t>
                    </w:r>
                  </w:p>
                </w:tc>
                <w:tc>
                  <w:tcPr>
                    <w:tcW w:w="926" w:type="dxa"/>
                    <w:vAlign w:val="center"/>
                  </w:tcPr>
                  <w:p w14:paraId="0139D1D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出函行</w:t>
                    </w:r>
                  </w:p>
                </w:tc>
                <w:tc>
                  <w:tcPr>
                    <w:tcW w:w="1688" w:type="dxa"/>
                    <w:vAlign w:val="center"/>
                  </w:tcPr>
                  <w:p w14:paraId="22330C6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保函编号</w:t>
                    </w:r>
                  </w:p>
                </w:tc>
                <w:tc>
                  <w:tcPr>
                    <w:tcW w:w="1160" w:type="dxa"/>
                    <w:vAlign w:val="center"/>
                  </w:tcPr>
                  <w:p w14:paraId="1B6F9E3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保函金额</w:t>
                    </w:r>
                  </w:p>
                </w:tc>
                <w:tc>
                  <w:tcPr>
                    <w:tcW w:w="1329" w:type="dxa"/>
                    <w:vAlign w:val="center"/>
                  </w:tcPr>
                  <w:p w14:paraId="24157E4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保函期限</w:t>
                    </w:r>
                  </w:p>
                </w:tc>
                <w:tc>
                  <w:tcPr>
                    <w:tcW w:w="1759" w:type="dxa"/>
                    <w:vAlign w:val="center"/>
                  </w:tcPr>
                  <w:p w14:paraId="679B621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保函受益人</w:t>
                    </w:r>
                  </w:p>
                </w:tc>
                <w:tc>
                  <w:tcPr>
                    <w:tcW w:w="651" w:type="dxa"/>
                    <w:vAlign w:val="center"/>
                  </w:tcPr>
                  <w:p w14:paraId="4F10110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担保方式</w:t>
                    </w:r>
                  </w:p>
                </w:tc>
                <w:tc>
                  <w:tcPr>
                    <w:tcW w:w="1559" w:type="dxa"/>
                    <w:vAlign w:val="center"/>
                  </w:tcPr>
                  <w:p w14:paraId="366AC9F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保证金</w:t>
                    </w:r>
                  </w:p>
                </w:tc>
              </w:tr>
              <w:tr w:rsidR="00721C73" w:rsidRPr="00266B55" w14:paraId="1DFEE82B" w14:textId="77777777" w:rsidTr="00DA2960">
                <w:trPr>
                  <w:jc w:val="center"/>
                </w:trPr>
                <w:tc>
                  <w:tcPr>
                    <w:tcW w:w="1135" w:type="dxa"/>
                    <w:vAlign w:val="center"/>
                  </w:tcPr>
                  <w:p w14:paraId="03D9265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融资性保函</w:t>
                    </w:r>
                  </w:p>
                </w:tc>
                <w:tc>
                  <w:tcPr>
                    <w:tcW w:w="926" w:type="dxa"/>
                    <w:vAlign w:val="center"/>
                  </w:tcPr>
                  <w:p w14:paraId="3CA1AAA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211CC5F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GC0886918000306</w:t>
                    </w:r>
                  </w:p>
                </w:tc>
                <w:tc>
                  <w:tcPr>
                    <w:tcW w:w="1160" w:type="dxa"/>
                    <w:vAlign w:val="center"/>
                  </w:tcPr>
                  <w:p w14:paraId="67E2C9B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350</w:t>
                    </w:r>
                    <w:r w:rsidRPr="00266B55">
                      <w:rPr>
                        <w:rFonts w:ascii="Times New Roman" w:hAnsi="Times New Roman" w:cs="Times New Roman"/>
                        <w:szCs w:val="20"/>
                      </w:rPr>
                      <w:t>万欧元</w:t>
                    </w:r>
                  </w:p>
                </w:tc>
                <w:tc>
                  <w:tcPr>
                    <w:tcW w:w="1329" w:type="dxa"/>
                    <w:vAlign w:val="center"/>
                  </w:tcPr>
                  <w:p w14:paraId="0261C53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2018.6.22-2021.7.14</w:t>
                    </w:r>
                  </w:p>
                </w:tc>
                <w:tc>
                  <w:tcPr>
                    <w:tcW w:w="1759" w:type="dxa"/>
                    <w:vAlign w:val="center"/>
                  </w:tcPr>
                  <w:p w14:paraId="7BD8280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中国银行股份有限公司米兰分行</w:t>
                    </w:r>
                  </w:p>
                </w:tc>
                <w:tc>
                  <w:tcPr>
                    <w:tcW w:w="651" w:type="dxa"/>
                    <w:vAlign w:val="center"/>
                  </w:tcPr>
                  <w:p w14:paraId="2E85365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保证金</w:t>
                    </w:r>
                  </w:p>
                </w:tc>
                <w:tc>
                  <w:tcPr>
                    <w:tcW w:w="1559" w:type="dxa"/>
                    <w:vAlign w:val="center"/>
                  </w:tcPr>
                  <w:p w14:paraId="4783952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30,000,000.00</w:t>
                    </w:r>
                  </w:p>
                </w:tc>
              </w:tr>
              <w:tr w:rsidR="00721C73" w:rsidRPr="00266B55" w14:paraId="6DDBEF10" w14:textId="77777777" w:rsidTr="00DA2960">
                <w:trPr>
                  <w:jc w:val="center"/>
                </w:trPr>
                <w:tc>
                  <w:tcPr>
                    <w:tcW w:w="1135" w:type="dxa"/>
                    <w:vAlign w:val="center"/>
                  </w:tcPr>
                  <w:p w14:paraId="571D870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w:t>
                    </w:r>
                    <w:r w:rsidRPr="00266B55">
                      <w:rPr>
                        <w:rFonts w:ascii="Times New Roman" w:hAnsi="Times New Roman" w:cs="Times New Roman"/>
                        <w:szCs w:val="20"/>
                      </w:rPr>
                      <w:lastRenderedPageBreak/>
                      <w:t>函</w:t>
                    </w:r>
                  </w:p>
                </w:tc>
                <w:tc>
                  <w:tcPr>
                    <w:tcW w:w="926" w:type="dxa"/>
                    <w:vAlign w:val="center"/>
                  </w:tcPr>
                  <w:p w14:paraId="22D1BD0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lastRenderedPageBreak/>
                      <w:t>中国银</w:t>
                    </w:r>
                    <w:r w:rsidRPr="00266B55">
                      <w:rPr>
                        <w:rFonts w:ascii="Times New Roman" w:hAnsi="Times New Roman" w:cs="Times New Roman"/>
                        <w:szCs w:val="20"/>
                      </w:rPr>
                      <w:lastRenderedPageBreak/>
                      <w:t>行</w:t>
                    </w:r>
                  </w:p>
                </w:tc>
                <w:tc>
                  <w:tcPr>
                    <w:tcW w:w="1688" w:type="dxa"/>
                    <w:vAlign w:val="center"/>
                  </w:tcPr>
                  <w:p w14:paraId="634CC8A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lastRenderedPageBreak/>
                      <w:t>GC0886920000495</w:t>
                    </w:r>
                  </w:p>
                </w:tc>
                <w:tc>
                  <w:tcPr>
                    <w:tcW w:w="1160" w:type="dxa"/>
                    <w:vAlign w:val="center"/>
                  </w:tcPr>
                  <w:p w14:paraId="13BB4B4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46.69</w:t>
                    </w:r>
                    <w:r w:rsidRPr="00266B55">
                      <w:rPr>
                        <w:rFonts w:ascii="Times New Roman" w:hAnsi="Times New Roman" w:cs="Times New Roman"/>
                        <w:szCs w:val="20"/>
                      </w:rPr>
                      <w:t>万欧元</w:t>
                    </w:r>
                  </w:p>
                </w:tc>
                <w:tc>
                  <w:tcPr>
                    <w:tcW w:w="1329" w:type="dxa"/>
                    <w:vAlign w:val="center"/>
                  </w:tcPr>
                  <w:p w14:paraId="134284C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2020.05.28-2021.10.31</w:t>
                    </w:r>
                  </w:p>
                </w:tc>
                <w:tc>
                  <w:tcPr>
                    <w:tcW w:w="1759" w:type="dxa"/>
                    <w:vAlign w:val="center"/>
                  </w:tcPr>
                  <w:p w14:paraId="79ECBEC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EVOLUT</w:t>
                    </w:r>
                  </w:p>
                </w:tc>
                <w:tc>
                  <w:tcPr>
                    <w:tcW w:w="651" w:type="dxa"/>
                    <w:vAlign w:val="center"/>
                  </w:tcPr>
                  <w:p w14:paraId="0A5FB52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14B48EE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69321CC6" w14:textId="77777777" w:rsidTr="00DA2960">
                <w:trPr>
                  <w:jc w:val="center"/>
                </w:trPr>
                <w:tc>
                  <w:tcPr>
                    <w:tcW w:w="1135" w:type="dxa"/>
                    <w:vAlign w:val="center"/>
                  </w:tcPr>
                  <w:p w14:paraId="296F384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2ACE617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4A7F01F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GC0886920001232</w:t>
                    </w:r>
                  </w:p>
                </w:tc>
                <w:tc>
                  <w:tcPr>
                    <w:tcW w:w="1160" w:type="dxa"/>
                    <w:vAlign w:val="center"/>
                  </w:tcPr>
                  <w:p w14:paraId="057BC08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229044</w:t>
                    </w:r>
                    <w:r w:rsidRPr="00266B55">
                      <w:rPr>
                        <w:rFonts w:ascii="Times New Roman" w:hAnsi="Times New Roman" w:cs="Times New Roman"/>
                        <w:szCs w:val="20"/>
                      </w:rPr>
                      <w:t>欧元</w:t>
                    </w:r>
                  </w:p>
                </w:tc>
                <w:tc>
                  <w:tcPr>
                    <w:tcW w:w="1329" w:type="dxa"/>
                    <w:vAlign w:val="center"/>
                  </w:tcPr>
                  <w:p w14:paraId="77965D7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2020.09.21-2022.09.30</w:t>
                    </w:r>
                  </w:p>
                </w:tc>
                <w:tc>
                  <w:tcPr>
                    <w:tcW w:w="1759" w:type="dxa"/>
                    <w:vAlign w:val="center"/>
                  </w:tcPr>
                  <w:p w14:paraId="5E8CE80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EVOLUT</w:t>
                    </w:r>
                  </w:p>
                </w:tc>
                <w:tc>
                  <w:tcPr>
                    <w:tcW w:w="651" w:type="dxa"/>
                    <w:vAlign w:val="center"/>
                  </w:tcPr>
                  <w:p w14:paraId="5EAD9B1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4522F58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57C4AFC4" w14:textId="77777777" w:rsidTr="00DA2960">
                <w:trPr>
                  <w:jc w:val="center"/>
                </w:trPr>
                <w:tc>
                  <w:tcPr>
                    <w:tcW w:w="1135" w:type="dxa"/>
                    <w:vAlign w:val="center"/>
                  </w:tcPr>
                  <w:p w14:paraId="4286C4E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质量保函</w:t>
                    </w:r>
                  </w:p>
                </w:tc>
                <w:tc>
                  <w:tcPr>
                    <w:tcW w:w="926" w:type="dxa"/>
                    <w:vAlign w:val="center"/>
                  </w:tcPr>
                  <w:p w14:paraId="473BA34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55F30BA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GC0886920000894</w:t>
                    </w:r>
                  </w:p>
                </w:tc>
                <w:tc>
                  <w:tcPr>
                    <w:tcW w:w="1160" w:type="dxa"/>
                    <w:vAlign w:val="center"/>
                  </w:tcPr>
                  <w:p w14:paraId="6813802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466900</w:t>
                    </w:r>
                    <w:r w:rsidRPr="00266B55">
                      <w:rPr>
                        <w:rFonts w:ascii="Times New Roman" w:hAnsi="Times New Roman" w:cs="Times New Roman"/>
                        <w:szCs w:val="20"/>
                      </w:rPr>
                      <w:t>欧元</w:t>
                    </w:r>
                  </w:p>
                </w:tc>
                <w:tc>
                  <w:tcPr>
                    <w:tcW w:w="1329" w:type="dxa"/>
                    <w:vAlign w:val="center"/>
                  </w:tcPr>
                  <w:p w14:paraId="4F283AA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2020.10.13-2022.10.31</w:t>
                    </w:r>
                  </w:p>
                </w:tc>
                <w:tc>
                  <w:tcPr>
                    <w:tcW w:w="1759" w:type="dxa"/>
                    <w:vAlign w:val="center"/>
                  </w:tcPr>
                  <w:p w14:paraId="555DD98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EVOLUT</w:t>
                    </w:r>
                  </w:p>
                </w:tc>
                <w:tc>
                  <w:tcPr>
                    <w:tcW w:w="651" w:type="dxa"/>
                    <w:vAlign w:val="center"/>
                  </w:tcPr>
                  <w:p w14:paraId="0C6EDBE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13F5CCF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35F16398" w14:textId="77777777" w:rsidTr="00DA2960">
                <w:trPr>
                  <w:jc w:val="center"/>
                </w:trPr>
                <w:tc>
                  <w:tcPr>
                    <w:tcW w:w="1135" w:type="dxa"/>
                    <w:vAlign w:val="center"/>
                  </w:tcPr>
                  <w:p w14:paraId="2F97C71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6CBDDC3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4AB593B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GC0886920001366</w:t>
                    </w:r>
                  </w:p>
                </w:tc>
                <w:tc>
                  <w:tcPr>
                    <w:tcW w:w="1160" w:type="dxa"/>
                    <w:vAlign w:val="center"/>
                  </w:tcPr>
                  <w:p w14:paraId="32F1228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130000</w:t>
                    </w:r>
                    <w:r w:rsidRPr="00266B55">
                      <w:rPr>
                        <w:rFonts w:ascii="Times New Roman" w:hAnsi="Times New Roman" w:cs="Times New Roman"/>
                        <w:szCs w:val="20"/>
                      </w:rPr>
                      <w:t>欧元</w:t>
                    </w:r>
                  </w:p>
                </w:tc>
                <w:tc>
                  <w:tcPr>
                    <w:tcW w:w="1329" w:type="dxa"/>
                    <w:vAlign w:val="center"/>
                  </w:tcPr>
                  <w:p w14:paraId="67C5AA3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2020.11.24-2020.12.31</w:t>
                    </w:r>
                  </w:p>
                </w:tc>
                <w:tc>
                  <w:tcPr>
                    <w:tcW w:w="1759" w:type="dxa"/>
                    <w:vAlign w:val="center"/>
                  </w:tcPr>
                  <w:p w14:paraId="251F194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EVOLUT</w:t>
                    </w:r>
                  </w:p>
                </w:tc>
                <w:tc>
                  <w:tcPr>
                    <w:tcW w:w="651" w:type="dxa"/>
                    <w:vAlign w:val="center"/>
                  </w:tcPr>
                  <w:p w14:paraId="3518AB5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0E7191C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25BD985C" w14:textId="77777777" w:rsidTr="00DA2960">
                <w:trPr>
                  <w:jc w:val="center"/>
                </w:trPr>
                <w:tc>
                  <w:tcPr>
                    <w:tcW w:w="1135" w:type="dxa"/>
                    <w:vAlign w:val="center"/>
                  </w:tcPr>
                  <w:p w14:paraId="088686D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2BEF26D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10B2E0C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GC0886920001783</w:t>
                    </w:r>
                  </w:p>
                </w:tc>
                <w:tc>
                  <w:tcPr>
                    <w:tcW w:w="1160" w:type="dxa"/>
                    <w:vAlign w:val="center"/>
                  </w:tcPr>
                  <w:p w14:paraId="3966DD4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160500</w:t>
                    </w:r>
                    <w:r w:rsidRPr="00266B55">
                      <w:rPr>
                        <w:rFonts w:ascii="Times New Roman" w:hAnsi="Times New Roman" w:cs="Times New Roman"/>
                        <w:szCs w:val="20"/>
                      </w:rPr>
                      <w:t>欧元</w:t>
                    </w:r>
                  </w:p>
                </w:tc>
                <w:tc>
                  <w:tcPr>
                    <w:tcW w:w="1329" w:type="dxa"/>
                    <w:vAlign w:val="center"/>
                  </w:tcPr>
                  <w:p w14:paraId="3A42FD1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2020.12.23-2021.8.22</w:t>
                    </w:r>
                  </w:p>
                </w:tc>
                <w:tc>
                  <w:tcPr>
                    <w:tcW w:w="1759" w:type="dxa"/>
                    <w:vAlign w:val="center"/>
                  </w:tcPr>
                  <w:p w14:paraId="36F3A26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EVOLUT</w:t>
                    </w:r>
                  </w:p>
                </w:tc>
                <w:tc>
                  <w:tcPr>
                    <w:tcW w:w="651" w:type="dxa"/>
                    <w:vAlign w:val="center"/>
                  </w:tcPr>
                  <w:p w14:paraId="3BAA6E3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1451EB5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2D406784" w14:textId="77777777" w:rsidTr="00DA2960">
                <w:trPr>
                  <w:jc w:val="center"/>
                </w:trPr>
                <w:tc>
                  <w:tcPr>
                    <w:tcW w:w="1135" w:type="dxa"/>
                    <w:vAlign w:val="center"/>
                  </w:tcPr>
                  <w:p w14:paraId="758AC6A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67F3EE9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14146BA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GC0886921000345</w:t>
                    </w:r>
                  </w:p>
                </w:tc>
                <w:tc>
                  <w:tcPr>
                    <w:tcW w:w="1160" w:type="dxa"/>
                    <w:vAlign w:val="center"/>
                  </w:tcPr>
                  <w:p w14:paraId="6E71940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192800</w:t>
                    </w:r>
                    <w:r w:rsidRPr="00266B55">
                      <w:rPr>
                        <w:rFonts w:ascii="Times New Roman" w:hAnsi="Times New Roman" w:cs="Times New Roman"/>
                        <w:szCs w:val="20"/>
                      </w:rPr>
                      <w:t>欧元</w:t>
                    </w:r>
                  </w:p>
                </w:tc>
                <w:tc>
                  <w:tcPr>
                    <w:tcW w:w="1329" w:type="dxa"/>
                    <w:vAlign w:val="center"/>
                  </w:tcPr>
                  <w:p w14:paraId="164854D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2021.03.18-2021.07.30</w:t>
                    </w:r>
                  </w:p>
                </w:tc>
                <w:tc>
                  <w:tcPr>
                    <w:tcW w:w="1759" w:type="dxa"/>
                    <w:vAlign w:val="center"/>
                  </w:tcPr>
                  <w:p w14:paraId="6FEA970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EVOLUT</w:t>
                    </w:r>
                  </w:p>
                </w:tc>
                <w:tc>
                  <w:tcPr>
                    <w:tcW w:w="651" w:type="dxa"/>
                    <w:vAlign w:val="center"/>
                  </w:tcPr>
                  <w:p w14:paraId="15B12E8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4953C1D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42C34C0D" w14:textId="77777777" w:rsidTr="00DA2960">
                <w:trPr>
                  <w:jc w:val="center"/>
                </w:trPr>
                <w:tc>
                  <w:tcPr>
                    <w:tcW w:w="1135" w:type="dxa"/>
                    <w:vAlign w:val="center"/>
                  </w:tcPr>
                  <w:p w14:paraId="1AD009F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3A1A5E5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20A1BF6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GC0886921000346</w:t>
                    </w:r>
                  </w:p>
                </w:tc>
                <w:tc>
                  <w:tcPr>
                    <w:tcW w:w="1160" w:type="dxa"/>
                    <w:vAlign w:val="center"/>
                  </w:tcPr>
                  <w:p w14:paraId="78392BD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144000</w:t>
                    </w:r>
                    <w:r w:rsidRPr="00266B55">
                      <w:rPr>
                        <w:rFonts w:ascii="Times New Roman" w:hAnsi="Times New Roman" w:cs="Times New Roman"/>
                        <w:szCs w:val="20"/>
                      </w:rPr>
                      <w:t>欧元</w:t>
                    </w:r>
                  </w:p>
                </w:tc>
                <w:tc>
                  <w:tcPr>
                    <w:tcW w:w="1329" w:type="dxa"/>
                    <w:vAlign w:val="center"/>
                  </w:tcPr>
                  <w:p w14:paraId="4454756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2021.03.18-2021.09.30</w:t>
                    </w:r>
                  </w:p>
                </w:tc>
                <w:tc>
                  <w:tcPr>
                    <w:tcW w:w="1759" w:type="dxa"/>
                    <w:vAlign w:val="center"/>
                  </w:tcPr>
                  <w:p w14:paraId="7728F29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EVOLUT</w:t>
                    </w:r>
                  </w:p>
                </w:tc>
                <w:tc>
                  <w:tcPr>
                    <w:tcW w:w="651" w:type="dxa"/>
                    <w:vAlign w:val="center"/>
                  </w:tcPr>
                  <w:p w14:paraId="78EE921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73669DD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07BAC56B" w14:textId="77777777" w:rsidTr="00DA2960">
                <w:trPr>
                  <w:jc w:val="center"/>
                </w:trPr>
                <w:tc>
                  <w:tcPr>
                    <w:tcW w:w="1135" w:type="dxa"/>
                    <w:vAlign w:val="center"/>
                  </w:tcPr>
                  <w:p w14:paraId="5949790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72B5918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3A9CF5E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GC0886921000441</w:t>
                    </w:r>
                  </w:p>
                </w:tc>
                <w:tc>
                  <w:tcPr>
                    <w:tcW w:w="1160" w:type="dxa"/>
                    <w:vAlign w:val="center"/>
                  </w:tcPr>
                  <w:p w14:paraId="3291B31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160500</w:t>
                    </w:r>
                    <w:r w:rsidRPr="00266B55">
                      <w:rPr>
                        <w:rFonts w:ascii="Times New Roman" w:hAnsi="Times New Roman" w:cs="Times New Roman"/>
                        <w:szCs w:val="20"/>
                      </w:rPr>
                      <w:t>欧元</w:t>
                    </w:r>
                  </w:p>
                </w:tc>
                <w:tc>
                  <w:tcPr>
                    <w:tcW w:w="1329" w:type="dxa"/>
                    <w:vAlign w:val="center"/>
                  </w:tcPr>
                  <w:p w14:paraId="1A90915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2021.04.09-2021.09.27</w:t>
                    </w:r>
                  </w:p>
                </w:tc>
                <w:tc>
                  <w:tcPr>
                    <w:tcW w:w="1759" w:type="dxa"/>
                    <w:vAlign w:val="center"/>
                  </w:tcPr>
                  <w:p w14:paraId="37236BA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芜湖埃华路</w:t>
                    </w:r>
                  </w:p>
                </w:tc>
                <w:tc>
                  <w:tcPr>
                    <w:tcW w:w="651" w:type="dxa"/>
                    <w:vAlign w:val="center"/>
                  </w:tcPr>
                  <w:p w14:paraId="64E4B07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3453A3A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23CFDA95" w14:textId="77777777" w:rsidTr="00DA2960">
                <w:trPr>
                  <w:jc w:val="center"/>
                </w:trPr>
                <w:tc>
                  <w:tcPr>
                    <w:tcW w:w="1135" w:type="dxa"/>
                    <w:vAlign w:val="center"/>
                  </w:tcPr>
                  <w:p w14:paraId="23345BB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融资性保函</w:t>
                    </w:r>
                  </w:p>
                </w:tc>
                <w:tc>
                  <w:tcPr>
                    <w:tcW w:w="926" w:type="dxa"/>
                    <w:vAlign w:val="center"/>
                  </w:tcPr>
                  <w:p w14:paraId="2AB0082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Pr>
                        <w:rFonts w:ascii="Times New Roman" w:hAnsi="Times New Roman" w:cs="Times New Roman" w:hint="eastAsia"/>
                        <w:szCs w:val="20"/>
                      </w:rPr>
                      <w:t>中国</w:t>
                    </w:r>
                    <w:r w:rsidRPr="00266B55">
                      <w:rPr>
                        <w:rFonts w:ascii="Times New Roman" w:hAnsi="Times New Roman" w:cs="Times New Roman"/>
                        <w:szCs w:val="20"/>
                      </w:rPr>
                      <w:t>农业银行</w:t>
                    </w:r>
                  </w:p>
                </w:tc>
                <w:tc>
                  <w:tcPr>
                    <w:tcW w:w="1688" w:type="dxa"/>
                    <w:vAlign w:val="center"/>
                  </w:tcPr>
                  <w:p w14:paraId="3E3667C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p>
                </w:tc>
                <w:tc>
                  <w:tcPr>
                    <w:tcW w:w="1160" w:type="dxa"/>
                    <w:vAlign w:val="center"/>
                  </w:tcPr>
                  <w:p w14:paraId="48376D4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240000</w:t>
                    </w:r>
                    <w:r w:rsidRPr="00266B55">
                      <w:rPr>
                        <w:rFonts w:ascii="Times New Roman" w:hAnsi="Times New Roman" w:cs="Times New Roman"/>
                        <w:szCs w:val="20"/>
                      </w:rPr>
                      <w:t>欧元</w:t>
                    </w:r>
                  </w:p>
                </w:tc>
                <w:tc>
                  <w:tcPr>
                    <w:tcW w:w="1329" w:type="dxa"/>
                    <w:vAlign w:val="center"/>
                  </w:tcPr>
                  <w:p w14:paraId="1167CA3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2021.05.28-2022.03.31</w:t>
                    </w:r>
                  </w:p>
                </w:tc>
                <w:tc>
                  <w:tcPr>
                    <w:tcW w:w="1759" w:type="dxa"/>
                    <w:vAlign w:val="center"/>
                  </w:tcPr>
                  <w:p w14:paraId="55C51A6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Efort Systems</w:t>
                    </w:r>
                  </w:p>
                </w:tc>
                <w:tc>
                  <w:tcPr>
                    <w:tcW w:w="651" w:type="dxa"/>
                    <w:vAlign w:val="center"/>
                  </w:tcPr>
                  <w:p w14:paraId="0594039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保证金</w:t>
                    </w:r>
                  </w:p>
                </w:tc>
                <w:tc>
                  <w:tcPr>
                    <w:tcW w:w="1559" w:type="dxa"/>
                    <w:vAlign w:val="center"/>
                  </w:tcPr>
                  <w:p w14:paraId="1A5AADF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€ 240,000.00</w:t>
                    </w:r>
                  </w:p>
                </w:tc>
              </w:tr>
              <w:tr w:rsidR="00721C73" w:rsidRPr="00266B55" w14:paraId="1977D651" w14:textId="77777777" w:rsidTr="00DA2960">
                <w:trPr>
                  <w:jc w:val="center"/>
                </w:trPr>
                <w:tc>
                  <w:tcPr>
                    <w:tcW w:w="1135" w:type="dxa"/>
                    <w:vAlign w:val="center"/>
                  </w:tcPr>
                  <w:p w14:paraId="78014C6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涉外融资性保函</w:t>
                    </w:r>
                  </w:p>
                </w:tc>
                <w:tc>
                  <w:tcPr>
                    <w:tcW w:w="926" w:type="dxa"/>
                    <w:vAlign w:val="center"/>
                  </w:tcPr>
                  <w:p w14:paraId="64DD408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中国农业银行</w:t>
                    </w:r>
                  </w:p>
                </w:tc>
                <w:tc>
                  <w:tcPr>
                    <w:tcW w:w="1688" w:type="dxa"/>
                    <w:vAlign w:val="center"/>
                  </w:tcPr>
                  <w:p w14:paraId="1701093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126301DS19000002</w:t>
                    </w:r>
                  </w:p>
                </w:tc>
                <w:tc>
                  <w:tcPr>
                    <w:tcW w:w="1160" w:type="dxa"/>
                    <w:vAlign w:val="center"/>
                  </w:tcPr>
                  <w:p w14:paraId="1DCAF66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300</w:t>
                    </w:r>
                    <w:r w:rsidRPr="00266B55">
                      <w:rPr>
                        <w:rFonts w:ascii="Times New Roman" w:hAnsi="Times New Roman" w:cs="Times New Roman"/>
                        <w:szCs w:val="20"/>
                      </w:rPr>
                      <w:t>万欧元</w:t>
                    </w:r>
                  </w:p>
                </w:tc>
                <w:tc>
                  <w:tcPr>
                    <w:tcW w:w="1329" w:type="dxa"/>
                    <w:vAlign w:val="center"/>
                  </w:tcPr>
                  <w:p w14:paraId="0E5B46C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2020.8.22-2021.8.22</w:t>
                    </w:r>
                  </w:p>
                </w:tc>
                <w:tc>
                  <w:tcPr>
                    <w:tcW w:w="1759" w:type="dxa"/>
                    <w:vAlign w:val="center"/>
                  </w:tcPr>
                  <w:p w14:paraId="5EB6073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O.L.C.I.</w:t>
                    </w:r>
                  </w:p>
                </w:tc>
                <w:tc>
                  <w:tcPr>
                    <w:tcW w:w="651" w:type="dxa"/>
                    <w:vAlign w:val="center"/>
                  </w:tcPr>
                  <w:p w14:paraId="083FD68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保证金</w:t>
                    </w:r>
                  </w:p>
                </w:tc>
                <w:tc>
                  <w:tcPr>
                    <w:tcW w:w="1559" w:type="dxa"/>
                    <w:vMerge w:val="restart"/>
                    <w:vAlign w:val="center"/>
                  </w:tcPr>
                  <w:p w14:paraId="14158AB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8,140,000.00</w:t>
                    </w:r>
                  </w:p>
                </w:tc>
              </w:tr>
              <w:tr w:rsidR="00721C73" w:rsidRPr="00266B55" w14:paraId="1ECB959E" w14:textId="77777777" w:rsidTr="00DA2960">
                <w:trPr>
                  <w:jc w:val="center"/>
                </w:trPr>
                <w:tc>
                  <w:tcPr>
                    <w:tcW w:w="1135" w:type="dxa"/>
                    <w:vAlign w:val="center"/>
                  </w:tcPr>
                  <w:p w14:paraId="2565A59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涉外融资性保函</w:t>
                    </w:r>
                  </w:p>
                </w:tc>
                <w:tc>
                  <w:tcPr>
                    <w:tcW w:w="926" w:type="dxa"/>
                    <w:vAlign w:val="center"/>
                  </w:tcPr>
                  <w:p w14:paraId="478F36C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中国农业银行</w:t>
                    </w:r>
                  </w:p>
                </w:tc>
                <w:tc>
                  <w:tcPr>
                    <w:tcW w:w="1688" w:type="dxa"/>
                    <w:vAlign w:val="center"/>
                  </w:tcPr>
                  <w:p w14:paraId="5C343ED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126301DS19000002</w:t>
                    </w:r>
                  </w:p>
                </w:tc>
                <w:tc>
                  <w:tcPr>
                    <w:tcW w:w="1160" w:type="dxa"/>
                    <w:vAlign w:val="center"/>
                  </w:tcPr>
                  <w:p w14:paraId="5B5C795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210</w:t>
                    </w:r>
                    <w:r w:rsidRPr="00266B55">
                      <w:rPr>
                        <w:rFonts w:ascii="Times New Roman" w:hAnsi="Times New Roman" w:cs="Times New Roman"/>
                        <w:szCs w:val="20"/>
                      </w:rPr>
                      <w:t>万欧元</w:t>
                    </w:r>
                  </w:p>
                </w:tc>
                <w:tc>
                  <w:tcPr>
                    <w:tcW w:w="1329" w:type="dxa"/>
                    <w:vAlign w:val="center"/>
                  </w:tcPr>
                  <w:p w14:paraId="05A76B9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2020.6.17-2023.1.16</w:t>
                    </w:r>
                  </w:p>
                </w:tc>
                <w:tc>
                  <w:tcPr>
                    <w:tcW w:w="1759" w:type="dxa"/>
                    <w:vAlign w:val="center"/>
                  </w:tcPr>
                  <w:p w14:paraId="02D6BB0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O.L.C.I.</w:t>
                    </w:r>
                  </w:p>
                </w:tc>
                <w:tc>
                  <w:tcPr>
                    <w:tcW w:w="651" w:type="dxa"/>
                    <w:vAlign w:val="center"/>
                  </w:tcPr>
                  <w:p w14:paraId="02D0A54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保证金</w:t>
                    </w:r>
                  </w:p>
                </w:tc>
                <w:tc>
                  <w:tcPr>
                    <w:tcW w:w="1559" w:type="dxa"/>
                    <w:vMerge/>
                    <w:vAlign w:val="center"/>
                  </w:tcPr>
                  <w:p w14:paraId="19604F3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r>
              <w:tr w:rsidR="00721C73" w:rsidRPr="00266B55" w14:paraId="0EDA213E" w14:textId="77777777" w:rsidTr="00DA2960">
                <w:trPr>
                  <w:jc w:val="center"/>
                </w:trPr>
                <w:tc>
                  <w:tcPr>
                    <w:tcW w:w="1135" w:type="dxa"/>
                    <w:vAlign w:val="center"/>
                  </w:tcPr>
                  <w:p w14:paraId="033799C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0713EEB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22BABB6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GC0898721000043</w:t>
                    </w:r>
                  </w:p>
                </w:tc>
                <w:tc>
                  <w:tcPr>
                    <w:tcW w:w="1160" w:type="dxa"/>
                    <w:vAlign w:val="center"/>
                  </w:tcPr>
                  <w:p w14:paraId="70B3463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219</w:t>
                    </w:r>
                    <w:r w:rsidRPr="00266B55">
                      <w:rPr>
                        <w:rFonts w:ascii="Times New Roman" w:hAnsi="Times New Roman" w:cs="Times New Roman"/>
                        <w:szCs w:val="20"/>
                      </w:rPr>
                      <w:t>万元</w:t>
                    </w:r>
                  </w:p>
                </w:tc>
                <w:tc>
                  <w:tcPr>
                    <w:tcW w:w="1329" w:type="dxa"/>
                    <w:vAlign w:val="center"/>
                  </w:tcPr>
                  <w:p w14:paraId="289A136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2021.04.09-2021.08.10</w:t>
                    </w:r>
                  </w:p>
                </w:tc>
                <w:tc>
                  <w:tcPr>
                    <w:tcW w:w="1759" w:type="dxa"/>
                    <w:vAlign w:val="center"/>
                  </w:tcPr>
                  <w:p w14:paraId="39E6F6B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东莞南方中集物流装备制造有限公司</w:t>
                    </w:r>
                  </w:p>
                </w:tc>
                <w:tc>
                  <w:tcPr>
                    <w:tcW w:w="651" w:type="dxa"/>
                    <w:vAlign w:val="center"/>
                  </w:tcPr>
                  <w:p w14:paraId="6C9388F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72FA7EA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305F5AE0" w14:textId="77777777" w:rsidTr="00DA2960">
                <w:trPr>
                  <w:jc w:val="center"/>
                </w:trPr>
                <w:tc>
                  <w:tcPr>
                    <w:tcW w:w="1135" w:type="dxa"/>
                    <w:vAlign w:val="center"/>
                  </w:tcPr>
                  <w:p w14:paraId="613A072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履约保函</w:t>
                    </w:r>
                  </w:p>
                </w:tc>
                <w:tc>
                  <w:tcPr>
                    <w:tcW w:w="926" w:type="dxa"/>
                    <w:vAlign w:val="center"/>
                  </w:tcPr>
                  <w:p w14:paraId="0A30ABB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中国银行</w:t>
                    </w:r>
                  </w:p>
                </w:tc>
                <w:tc>
                  <w:tcPr>
                    <w:tcW w:w="1688" w:type="dxa"/>
                    <w:vAlign w:val="center"/>
                  </w:tcPr>
                  <w:p w14:paraId="0838A22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GC0898721000044</w:t>
                    </w:r>
                  </w:p>
                </w:tc>
                <w:tc>
                  <w:tcPr>
                    <w:tcW w:w="1160" w:type="dxa"/>
                    <w:vAlign w:val="center"/>
                  </w:tcPr>
                  <w:p w14:paraId="7FB1E37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69</w:t>
                    </w:r>
                    <w:r w:rsidRPr="00266B55">
                      <w:rPr>
                        <w:rFonts w:ascii="Times New Roman" w:hAnsi="Times New Roman" w:cs="Times New Roman"/>
                        <w:szCs w:val="20"/>
                      </w:rPr>
                      <w:t>万元</w:t>
                    </w:r>
                  </w:p>
                </w:tc>
                <w:tc>
                  <w:tcPr>
                    <w:tcW w:w="1329" w:type="dxa"/>
                    <w:vAlign w:val="center"/>
                  </w:tcPr>
                  <w:p w14:paraId="666F837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2021.04.09-2021.12.31</w:t>
                    </w:r>
                  </w:p>
                </w:tc>
                <w:tc>
                  <w:tcPr>
                    <w:tcW w:w="1759" w:type="dxa"/>
                    <w:vAlign w:val="center"/>
                  </w:tcPr>
                  <w:p w14:paraId="5F13AAE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杭州吉利汽车有限公司</w:t>
                    </w:r>
                  </w:p>
                </w:tc>
                <w:tc>
                  <w:tcPr>
                    <w:tcW w:w="651" w:type="dxa"/>
                    <w:vAlign w:val="center"/>
                  </w:tcPr>
                  <w:p w14:paraId="1091042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26589BD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2FDBAD3D" w14:textId="77777777" w:rsidTr="00DA2960">
                <w:trPr>
                  <w:jc w:val="center"/>
                </w:trPr>
                <w:tc>
                  <w:tcPr>
                    <w:tcW w:w="1135" w:type="dxa"/>
                    <w:vAlign w:val="center"/>
                  </w:tcPr>
                  <w:p w14:paraId="552E200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投标保函</w:t>
                    </w:r>
                  </w:p>
                </w:tc>
                <w:tc>
                  <w:tcPr>
                    <w:tcW w:w="926" w:type="dxa"/>
                    <w:vAlign w:val="center"/>
                  </w:tcPr>
                  <w:p w14:paraId="6590D3B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中国农业银行</w:t>
                    </w:r>
                  </w:p>
                </w:tc>
                <w:tc>
                  <w:tcPr>
                    <w:tcW w:w="1688" w:type="dxa"/>
                    <w:vAlign w:val="center"/>
                  </w:tcPr>
                  <w:p w14:paraId="0017CFE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126302DG2021001</w:t>
                    </w:r>
                  </w:p>
                </w:tc>
                <w:tc>
                  <w:tcPr>
                    <w:tcW w:w="1160" w:type="dxa"/>
                    <w:vAlign w:val="center"/>
                  </w:tcPr>
                  <w:p w14:paraId="2C8FAD6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42</w:t>
                    </w:r>
                    <w:r w:rsidRPr="00266B55">
                      <w:rPr>
                        <w:rFonts w:ascii="Times New Roman" w:hAnsi="Times New Roman" w:cs="Times New Roman"/>
                        <w:szCs w:val="20"/>
                      </w:rPr>
                      <w:t>万元</w:t>
                    </w:r>
                  </w:p>
                </w:tc>
                <w:tc>
                  <w:tcPr>
                    <w:tcW w:w="1329" w:type="dxa"/>
                    <w:vAlign w:val="center"/>
                  </w:tcPr>
                  <w:p w14:paraId="1EFB41A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2021.04.25-2021.10.25</w:t>
                    </w:r>
                  </w:p>
                </w:tc>
                <w:tc>
                  <w:tcPr>
                    <w:tcW w:w="1759" w:type="dxa"/>
                    <w:vAlign w:val="center"/>
                  </w:tcPr>
                  <w:p w14:paraId="2811610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北京市京发招标有限公司</w:t>
                    </w:r>
                  </w:p>
                </w:tc>
                <w:tc>
                  <w:tcPr>
                    <w:tcW w:w="651" w:type="dxa"/>
                    <w:vAlign w:val="center"/>
                  </w:tcPr>
                  <w:p w14:paraId="3DC340F3"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069F7F1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1FD8A9BB" w14:textId="77777777" w:rsidTr="00DA2960">
                <w:trPr>
                  <w:jc w:val="center"/>
                </w:trPr>
                <w:tc>
                  <w:tcPr>
                    <w:tcW w:w="1135" w:type="dxa"/>
                    <w:vAlign w:val="center"/>
                  </w:tcPr>
                  <w:p w14:paraId="1991B7C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投标保函</w:t>
                    </w:r>
                  </w:p>
                </w:tc>
                <w:tc>
                  <w:tcPr>
                    <w:tcW w:w="926" w:type="dxa"/>
                    <w:vAlign w:val="center"/>
                  </w:tcPr>
                  <w:p w14:paraId="0643429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中国农业银行</w:t>
                    </w:r>
                  </w:p>
                </w:tc>
                <w:tc>
                  <w:tcPr>
                    <w:tcW w:w="1688" w:type="dxa"/>
                    <w:vAlign w:val="center"/>
                  </w:tcPr>
                  <w:p w14:paraId="5D5EDF7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126302DG2021002</w:t>
                    </w:r>
                  </w:p>
                </w:tc>
                <w:tc>
                  <w:tcPr>
                    <w:tcW w:w="1160" w:type="dxa"/>
                    <w:vAlign w:val="center"/>
                  </w:tcPr>
                  <w:p w14:paraId="1BAFCA0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40</w:t>
                    </w:r>
                    <w:r w:rsidRPr="00266B55">
                      <w:rPr>
                        <w:rFonts w:ascii="Times New Roman" w:hAnsi="Times New Roman" w:cs="Times New Roman"/>
                        <w:szCs w:val="20"/>
                      </w:rPr>
                      <w:t>万元</w:t>
                    </w:r>
                  </w:p>
                </w:tc>
                <w:tc>
                  <w:tcPr>
                    <w:tcW w:w="1329" w:type="dxa"/>
                    <w:vAlign w:val="center"/>
                  </w:tcPr>
                  <w:p w14:paraId="41E704D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2021.05.31-2021.08.31</w:t>
                    </w:r>
                  </w:p>
                </w:tc>
                <w:tc>
                  <w:tcPr>
                    <w:tcW w:w="1759" w:type="dxa"/>
                    <w:vAlign w:val="center"/>
                  </w:tcPr>
                  <w:p w14:paraId="56B1040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合众新能源汽车有限公司</w:t>
                    </w:r>
                  </w:p>
                </w:tc>
                <w:tc>
                  <w:tcPr>
                    <w:tcW w:w="651" w:type="dxa"/>
                    <w:vAlign w:val="center"/>
                  </w:tcPr>
                  <w:p w14:paraId="5FF406D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2FB7237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25F71CEA" w14:textId="77777777" w:rsidTr="00DA2960">
                <w:trPr>
                  <w:jc w:val="center"/>
                </w:trPr>
                <w:tc>
                  <w:tcPr>
                    <w:tcW w:w="1135" w:type="dxa"/>
                    <w:vAlign w:val="center"/>
                  </w:tcPr>
                  <w:p w14:paraId="55F43D6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lastRenderedPageBreak/>
                      <w:t>信用证</w:t>
                    </w:r>
                  </w:p>
                </w:tc>
                <w:tc>
                  <w:tcPr>
                    <w:tcW w:w="926" w:type="dxa"/>
                    <w:vAlign w:val="center"/>
                  </w:tcPr>
                  <w:p w14:paraId="15E57E4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中国农业银行</w:t>
                    </w:r>
                  </w:p>
                </w:tc>
                <w:tc>
                  <w:tcPr>
                    <w:tcW w:w="1688" w:type="dxa"/>
                    <w:vAlign w:val="center"/>
                  </w:tcPr>
                  <w:p w14:paraId="202A310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2012DLID00000914</w:t>
                    </w:r>
                  </w:p>
                </w:tc>
                <w:tc>
                  <w:tcPr>
                    <w:tcW w:w="1160" w:type="dxa"/>
                    <w:vAlign w:val="center"/>
                  </w:tcPr>
                  <w:p w14:paraId="0DA88F9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1260</w:t>
                    </w:r>
                    <w:r w:rsidRPr="00266B55">
                      <w:rPr>
                        <w:rFonts w:ascii="Times New Roman" w:hAnsi="Times New Roman" w:cs="Times New Roman"/>
                        <w:szCs w:val="20"/>
                      </w:rPr>
                      <w:t>万元</w:t>
                    </w:r>
                  </w:p>
                </w:tc>
                <w:tc>
                  <w:tcPr>
                    <w:tcW w:w="1329" w:type="dxa"/>
                    <w:vAlign w:val="center"/>
                  </w:tcPr>
                  <w:p w14:paraId="1699AC3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2020.11.20-2021.1.31</w:t>
                    </w:r>
                  </w:p>
                </w:tc>
                <w:tc>
                  <w:tcPr>
                    <w:tcW w:w="1759" w:type="dxa"/>
                    <w:vAlign w:val="center"/>
                  </w:tcPr>
                  <w:p w14:paraId="206F6B7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芜湖希美埃</w:t>
                    </w:r>
                  </w:p>
                </w:tc>
                <w:tc>
                  <w:tcPr>
                    <w:tcW w:w="651" w:type="dxa"/>
                    <w:vAlign w:val="center"/>
                  </w:tcPr>
                  <w:p w14:paraId="6D7B1071"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Align w:val="center"/>
                  </w:tcPr>
                  <w:p w14:paraId="2532B930"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36AFB652" w14:textId="77777777" w:rsidTr="00DA2960">
                <w:trPr>
                  <w:trHeight w:val="878"/>
                  <w:jc w:val="center"/>
                </w:trPr>
                <w:tc>
                  <w:tcPr>
                    <w:tcW w:w="1135" w:type="dxa"/>
                    <w:vMerge w:val="restart"/>
                    <w:vAlign w:val="center"/>
                  </w:tcPr>
                  <w:p w14:paraId="141CF282"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信用证</w:t>
                    </w:r>
                  </w:p>
                </w:tc>
                <w:tc>
                  <w:tcPr>
                    <w:tcW w:w="926" w:type="dxa"/>
                    <w:vMerge w:val="restart"/>
                    <w:vAlign w:val="center"/>
                  </w:tcPr>
                  <w:p w14:paraId="3590333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兴业银行</w:t>
                    </w:r>
                  </w:p>
                </w:tc>
                <w:tc>
                  <w:tcPr>
                    <w:tcW w:w="1688" w:type="dxa"/>
                    <w:vMerge w:val="restart"/>
                    <w:vAlign w:val="center"/>
                  </w:tcPr>
                  <w:p w14:paraId="780A154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LC20120912537</w:t>
                    </w:r>
                  </w:p>
                </w:tc>
                <w:tc>
                  <w:tcPr>
                    <w:tcW w:w="1160" w:type="dxa"/>
                    <w:vMerge w:val="restart"/>
                    <w:vAlign w:val="center"/>
                  </w:tcPr>
                  <w:p w14:paraId="35DF437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437500</w:t>
                    </w:r>
                    <w:r w:rsidRPr="00266B55">
                      <w:rPr>
                        <w:rFonts w:ascii="Times New Roman" w:hAnsi="Times New Roman" w:cs="Times New Roman"/>
                        <w:szCs w:val="20"/>
                      </w:rPr>
                      <w:t>欧元</w:t>
                    </w:r>
                  </w:p>
                </w:tc>
                <w:tc>
                  <w:tcPr>
                    <w:tcW w:w="1329" w:type="dxa"/>
                    <w:vMerge w:val="restart"/>
                    <w:vAlign w:val="center"/>
                  </w:tcPr>
                  <w:p w14:paraId="512D3EF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2020.12.09-2022.2.28</w:t>
                    </w:r>
                  </w:p>
                </w:tc>
                <w:tc>
                  <w:tcPr>
                    <w:tcW w:w="1759" w:type="dxa"/>
                    <w:vAlign w:val="center"/>
                  </w:tcPr>
                  <w:p w14:paraId="4FD59625"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WF   MASCHINENBAU UND BLECHFORMTECHNIK</w:t>
                    </w:r>
                  </w:p>
                </w:tc>
                <w:tc>
                  <w:tcPr>
                    <w:tcW w:w="651" w:type="dxa"/>
                    <w:vMerge w:val="restart"/>
                    <w:vAlign w:val="center"/>
                  </w:tcPr>
                  <w:p w14:paraId="4FEDF26A"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信用</w:t>
                    </w:r>
                  </w:p>
                </w:tc>
                <w:tc>
                  <w:tcPr>
                    <w:tcW w:w="1559" w:type="dxa"/>
                    <w:vMerge w:val="restart"/>
                    <w:vAlign w:val="center"/>
                  </w:tcPr>
                  <w:p w14:paraId="7679B8B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w:t>
                    </w:r>
                    <w:r w:rsidRPr="00266B55">
                      <w:rPr>
                        <w:rFonts w:ascii="Times New Roman" w:hAnsi="Times New Roman" w:cs="Times New Roman"/>
                        <w:szCs w:val="20"/>
                      </w:rPr>
                      <w:t>0.00</w:t>
                    </w:r>
                  </w:p>
                </w:tc>
              </w:tr>
              <w:tr w:rsidR="00721C73" w:rsidRPr="00266B55" w14:paraId="6DC814A4" w14:textId="77777777" w:rsidTr="00DA2960">
                <w:trPr>
                  <w:trHeight w:val="877"/>
                  <w:jc w:val="center"/>
                </w:trPr>
                <w:tc>
                  <w:tcPr>
                    <w:tcW w:w="1135" w:type="dxa"/>
                    <w:vMerge/>
                    <w:vAlign w:val="center"/>
                  </w:tcPr>
                  <w:p w14:paraId="0DF2350B"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c>
                  <w:tcPr>
                    <w:tcW w:w="926" w:type="dxa"/>
                    <w:vMerge/>
                    <w:vAlign w:val="center"/>
                  </w:tcPr>
                  <w:p w14:paraId="1FE9A4E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c>
                  <w:tcPr>
                    <w:tcW w:w="1688" w:type="dxa"/>
                    <w:vMerge/>
                    <w:vAlign w:val="center"/>
                  </w:tcPr>
                  <w:p w14:paraId="616773A7"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c>
                  <w:tcPr>
                    <w:tcW w:w="1160" w:type="dxa"/>
                    <w:vMerge/>
                    <w:vAlign w:val="center"/>
                  </w:tcPr>
                  <w:p w14:paraId="58CCA9AE"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c>
                  <w:tcPr>
                    <w:tcW w:w="1329" w:type="dxa"/>
                    <w:vMerge/>
                    <w:vAlign w:val="center"/>
                  </w:tcPr>
                  <w:p w14:paraId="3E96542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c>
                  <w:tcPr>
                    <w:tcW w:w="1759" w:type="dxa"/>
                    <w:vAlign w:val="center"/>
                  </w:tcPr>
                  <w:p w14:paraId="28270AC6"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GMBH &amp; CO.KG</w:t>
                    </w:r>
                  </w:p>
                </w:tc>
                <w:tc>
                  <w:tcPr>
                    <w:tcW w:w="651" w:type="dxa"/>
                    <w:vMerge/>
                    <w:vAlign w:val="center"/>
                  </w:tcPr>
                  <w:p w14:paraId="7CD52704"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c>
                  <w:tcPr>
                    <w:tcW w:w="1559" w:type="dxa"/>
                    <w:vMerge/>
                    <w:vAlign w:val="center"/>
                  </w:tcPr>
                  <w:p w14:paraId="1846C389"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p>
                </w:tc>
              </w:tr>
              <w:tr w:rsidR="00721C73" w:rsidRPr="00266B55" w14:paraId="24328E80" w14:textId="77777777" w:rsidTr="00DA2960">
                <w:trPr>
                  <w:jc w:val="center"/>
                </w:trPr>
                <w:tc>
                  <w:tcPr>
                    <w:tcW w:w="1135" w:type="dxa"/>
                    <w:vAlign w:val="center"/>
                  </w:tcPr>
                  <w:p w14:paraId="2FCCC86C"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5E319FFD"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Yes Bank Ltd</w:t>
                    </w:r>
                  </w:p>
                </w:tc>
                <w:tc>
                  <w:tcPr>
                    <w:tcW w:w="1688" w:type="dxa"/>
                    <w:vAlign w:val="center"/>
                  </w:tcPr>
                  <w:p w14:paraId="30D39510"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551BG01211740002</w:t>
                    </w:r>
                  </w:p>
                </w:tc>
                <w:tc>
                  <w:tcPr>
                    <w:tcW w:w="1160" w:type="dxa"/>
                    <w:vAlign w:val="center"/>
                  </w:tcPr>
                  <w:p w14:paraId="400A4CB9"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491,526.00</w:t>
                    </w:r>
                    <w:r w:rsidRPr="00721C73">
                      <w:rPr>
                        <w:rFonts w:ascii="Times New Roman" w:hAnsi="Times New Roman" w:cs="Times New Roman"/>
                        <w:szCs w:val="20"/>
                      </w:rPr>
                      <w:t>卢比</w:t>
                    </w:r>
                  </w:p>
                </w:tc>
                <w:tc>
                  <w:tcPr>
                    <w:tcW w:w="1329" w:type="dxa"/>
                    <w:vAlign w:val="center"/>
                  </w:tcPr>
                  <w:p w14:paraId="662E1ABD"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2021.06.23-2024.06.30</w:t>
                    </w:r>
                  </w:p>
                </w:tc>
                <w:tc>
                  <w:tcPr>
                    <w:tcW w:w="1759" w:type="dxa"/>
                    <w:vAlign w:val="center"/>
                  </w:tcPr>
                  <w:p w14:paraId="11C4B415" w14:textId="7EB5695A"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Mahindra &amp; Mahindra Ltd</w:t>
                    </w:r>
                  </w:p>
                </w:tc>
                <w:tc>
                  <w:tcPr>
                    <w:tcW w:w="651" w:type="dxa"/>
                    <w:vAlign w:val="center"/>
                  </w:tcPr>
                  <w:p w14:paraId="423D40ED"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信用</w:t>
                    </w:r>
                  </w:p>
                </w:tc>
                <w:tc>
                  <w:tcPr>
                    <w:tcW w:w="1559" w:type="dxa"/>
                    <w:vAlign w:val="center"/>
                  </w:tcPr>
                  <w:p w14:paraId="42F09FE3"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INR 0.00</w:t>
                    </w:r>
                  </w:p>
                </w:tc>
              </w:tr>
              <w:tr w:rsidR="00721C73" w:rsidRPr="00266B55" w14:paraId="08F5EC70" w14:textId="77777777" w:rsidTr="00DA2960">
                <w:trPr>
                  <w:jc w:val="center"/>
                </w:trPr>
                <w:tc>
                  <w:tcPr>
                    <w:tcW w:w="1135" w:type="dxa"/>
                    <w:vAlign w:val="center"/>
                  </w:tcPr>
                  <w:p w14:paraId="42917F78"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预付款保函</w:t>
                    </w:r>
                  </w:p>
                </w:tc>
                <w:tc>
                  <w:tcPr>
                    <w:tcW w:w="926" w:type="dxa"/>
                    <w:vAlign w:val="center"/>
                  </w:tcPr>
                  <w:p w14:paraId="62D3F68F" w14:textId="77777777" w:rsidR="00721C73" w:rsidRPr="00266B55" w:rsidRDefault="00721C73" w:rsidP="00DA2960">
                    <w:pPr>
                      <w:pStyle w:val="120"/>
                      <w:spacing w:beforeLines="25" w:before="60" w:afterLines="25" w:after="60" w:line="360" w:lineRule="auto"/>
                      <w:jc w:val="center"/>
                      <w:rPr>
                        <w:rFonts w:ascii="Times New Roman" w:hAnsi="Times New Roman" w:cs="Times New Roman"/>
                        <w:szCs w:val="20"/>
                      </w:rPr>
                    </w:pPr>
                    <w:r w:rsidRPr="00266B55">
                      <w:rPr>
                        <w:rFonts w:ascii="Times New Roman" w:hAnsi="Times New Roman" w:cs="Times New Roman"/>
                        <w:szCs w:val="20"/>
                      </w:rPr>
                      <w:t>Yes Bank Ltd</w:t>
                    </w:r>
                  </w:p>
                </w:tc>
                <w:tc>
                  <w:tcPr>
                    <w:tcW w:w="1688" w:type="dxa"/>
                    <w:vAlign w:val="center"/>
                  </w:tcPr>
                  <w:p w14:paraId="78A6AF3A"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551BG01211740003</w:t>
                    </w:r>
                  </w:p>
                </w:tc>
                <w:tc>
                  <w:tcPr>
                    <w:tcW w:w="1160" w:type="dxa"/>
                    <w:vAlign w:val="center"/>
                  </w:tcPr>
                  <w:p w14:paraId="2D9D37C3"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21,586,970.00</w:t>
                    </w:r>
                    <w:r w:rsidRPr="00721C73">
                      <w:rPr>
                        <w:rFonts w:ascii="Times New Roman" w:hAnsi="Times New Roman" w:cs="Times New Roman"/>
                        <w:szCs w:val="20"/>
                      </w:rPr>
                      <w:t>卢比</w:t>
                    </w:r>
                  </w:p>
                </w:tc>
                <w:tc>
                  <w:tcPr>
                    <w:tcW w:w="1329" w:type="dxa"/>
                    <w:vAlign w:val="center"/>
                  </w:tcPr>
                  <w:p w14:paraId="0370F8B4"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2021.06.23-2024.06.30</w:t>
                    </w:r>
                  </w:p>
                </w:tc>
                <w:tc>
                  <w:tcPr>
                    <w:tcW w:w="1759" w:type="dxa"/>
                    <w:vAlign w:val="center"/>
                  </w:tcPr>
                  <w:p w14:paraId="2001C219"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Mahindra &amp; Mahindra Ltd</w:t>
                    </w:r>
                  </w:p>
                </w:tc>
                <w:tc>
                  <w:tcPr>
                    <w:tcW w:w="651" w:type="dxa"/>
                    <w:vAlign w:val="center"/>
                  </w:tcPr>
                  <w:p w14:paraId="7E7FEF1A"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信用</w:t>
                    </w:r>
                  </w:p>
                </w:tc>
                <w:tc>
                  <w:tcPr>
                    <w:tcW w:w="1559" w:type="dxa"/>
                    <w:vAlign w:val="center"/>
                  </w:tcPr>
                  <w:p w14:paraId="0D04B73A" w14:textId="77777777" w:rsidR="00721C73" w:rsidRPr="00721C73" w:rsidRDefault="00721C73" w:rsidP="00DA2960">
                    <w:pPr>
                      <w:pStyle w:val="120"/>
                      <w:spacing w:beforeLines="25" w:before="60" w:afterLines="25" w:after="60" w:line="360" w:lineRule="auto"/>
                      <w:jc w:val="center"/>
                      <w:rPr>
                        <w:rFonts w:ascii="Times New Roman" w:hAnsi="Times New Roman" w:cs="Times New Roman"/>
                        <w:szCs w:val="20"/>
                      </w:rPr>
                    </w:pPr>
                    <w:r w:rsidRPr="00721C73">
                      <w:rPr>
                        <w:rFonts w:ascii="Times New Roman" w:hAnsi="Times New Roman" w:cs="Times New Roman"/>
                        <w:szCs w:val="20"/>
                      </w:rPr>
                      <w:t>INR 0.00</w:t>
                    </w:r>
                  </w:p>
                </w:tc>
              </w:tr>
            </w:tbl>
            <w:p w14:paraId="5D7C3949" w14:textId="77777777" w:rsidR="00721C73" w:rsidRDefault="00721C73"/>
            <w:p w14:paraId="784B5429" w14:textId="77777777" w:rsidR="00D21C1F" w:rsidRPr="00266B55" w:rsidRDefault="00A42880">
              <w:pPr>
                <w:pStyle w:val="120"/>
                <w:spacing w:beforeLines="25" w:before="60" w:afterLines="25" w:after="60" w:line="360" w:lineRule="auto"/>
                <w:ind w:firstLineChars="200" w:firstLine="420"/>
                <w:jc w:val="both"/>
                <w:rPr>
                  <w:rFonts w:ascii="Times New Roman" w:hAnsi="Times New Roman" w:cs="Times New Roman"/>
                </w:rPr>
              </w:pPr>
              <w:r>
                <w:rPr>
                  <w:rFonts w:hint="eastAsia"/>
                </w:rPr>
                <w:t>（</w:t>
              </w:r>
              <w:r>
                <w:rPr>
                  <w:rFonts w:ascii="Times New Roman" w:hAnsi="Times New Roman" w:hint="eastAsia"/>
                </w:rPr>
                <w:t>2</w:t>
              </w:r>
              <w:r>
                <w:rPr>
                  <w:rFonts w:hint="eastAsia"/>
                </w:rPr>
                <w:t>）</w:t>
              </w:r>
              <w:r w:rsidRPr="00266B55">
                <w:rPr>
                  <w:rFonts w:ascii="Times New Roman" w:hAnsi="Times New Roman" w:cs="Times New Roman"/>
                </w:rPr>
                <w:t>未决诉讼及未决税务调查事项</w:t>
              </w:r>
            </w:p>
            <w:p w14:paraId="7CE8AB6B" w14:textId="77777777" w:rsidR="00D21C1F" w:rsidRPr="00266B55" w:rsidRDefault="00A42880">
              <w:pPr>
                <w:pStyle w:val="120"/>
                <w:spacing w:line="360" w:lineRule="auto"/>
                <w:ind w:firstLine="480"/>
                <w:jc w:val="both"/>
                <w:rPr>
                  <w:rFonts w:ascii="Times New Roman" w:hAnsi="Times New Roman" w:cs="Times New Roman"/>
                </w:rPr>
              </w:pPr>
              <w:r w:rsidRPr="00266B55">
                <w:rPr>
                  <w:rFonts w:ascii="Cambria Math" w:hAnsi="Cambria Math" w:cs="Cambria Math"/>
                </w:rPr>
                <w:t>①</w:t>
              </w:r>
              <w:r w:rsidRPr="00266B55">
                <w:rPr>
                  <w:rFonts w:ascii="Times New Roman" w:hAnsi="Times New Roman" w:cs="Times New Roman"/>
                </w:rPr>
                <w:t>截止</w:t>
              </w:r>
              <w:r w:rsidRPr="00266B55">
                <w:rPr>
                  <w:rFonts w:ascii="Times New Roman" w:hAnsi="Times New Roman" w:cs="Times New Roman"/>
                </w:rPr>
                <w:t>2021</w:t>
              </w:r>
              <w:r w:rsidRPr="00266B55">
                <w:rPr>
                  <w:rFonts w:ascii="Times New Roman" w:hAnsi="Times New Roman" w:cs="Times New Roman"/>
                </w:rPr>
                <w:t>年</w:t>
              </w:r>
              <w:r w:rsidRPr="00266B55">
                <w:rPr>
                  <w:rFonts w:ascii="Times New Roman" w:hAnsi="Times New Roman" w:cs="Times New Roman"/>
                </w:rPr>
                <w:t>6</w:t>
              </w:r>
              <w:r w:rsidRPr="00266B55">
                <w:rPr>
                  <w:rFonts w:ascii="Times New Roman" w:hAnsi="Times New Roman" w:cs="Times New Roman"/>
                </w:rPr>
                <w:t>月</w:t>
              </w:r>
              <w:r w:rsidRPr="00266B55">
                <w:rPr>
                  <w:rFonts w:ascii="Times New Roman" w:hAnsi="Times New Roman" w:cs="Times New Roman"/>
                </w:rPr>
                <w:t>30</w:t>
              </w:r>
              <w:r w:rsidRPr="00266B55">
                <w:rPr>
                  <w:rFonts w:ascii="Times New Roman" w:hAnsi="Times New Roman" w:cs="Times New Roman"/>
                </w:rPr>
                <w:t>日，公司子公司</w:t>
              </w:r>
              <w:r w:rsidRPr="00266B55">
                <w:rPr>
                  <w:rFonts w:ascii="Times New Roman" w:hAnsi="Times New Roman" w:cs="Times New Roman"/>
                </w:rPr>
                <w:t>GME</w:t>
              </w:r>
              <w:r w:rsidRPr="00266B55">
                <w:rPr>
                  <w:rFonts w:ascii="Times New Roman" w:hAnsi="Times New Roman" w:cs="Times New Roman"/>
                </w:rPr>
                <w:t>共存在</w:t>
              </w:r>
              <w:r w:rsidRPr="00266B55">
                <w:rPr>
                  <w:rFonts w:ascii="Times New Roman" w:hAnsi="Times New Roman" w:cs="Times New Roman"/>
                </w:rPr>
                <w:t>55</w:t>
              </w:r>
              <w:r w:rsidRPr="00266B55">
                <w:rPr>
                  <w:rFonts w:ascii="Times New Roman" w:hAnsi="Times New Roman" w:cs="Times New Roman"/>
                </w:rPr>
                <w:t>件诉讼事项，其中，劳工诉讼案件</w:t>
              </w:r>
              <w:r w:rsidRPr="00266B55">
                <w:rPr>
                  <w:rFonts w:ascii="Times New Roman" w:hAnsi="Times New Roman" w:cs="Times New Roman"/>
                </w:rPr>
                <w:t>45</w:t>
              </w:r>
              <w:r w:rsidRPr="00266B55">
                <w:rPr>
                  <w:rFonts w:ascii="Times New Roman" w:hAnsi="Times New Roman" w:cs="Times New Roman"/>
                </w:rPr>
                <w:t>件，涉及金额</w:t>
              </w:r>
              <w:r w:rsidRPr="00266B55">
                <w:rPr>
                  <w:rFonts w:ascii="Times New Roman" w:hAnsi="Times New Roman" w:cs="Times New Roman"/>
                </w:rPr>
                <w:t>25,838.82</w:t>
              </w:r>
              <w:r w:rsidRPr="00266B55">
                <w:rPr>
                  <w:rFonts w:ascii="Times New Roman" w:hAnsi="Times New Roman" w:cs="Times New Roman"/>
                </w:rPr>
                <w:t>元；税务诉讼案件</w:t>
              </w:r>
              <w:r w:rsidRPr="00266B55">
                <w:rPr>
                  <w:rFonts w:ascii="Times New Roman" w:hAnsi="Times New Roman" w:cs="Times New Roman"/>
                </w:rPr>
                <w:t>7</w:t>
              </w:r>
              <w:r w:rsidRPr="00266B55">
                <w:rPr>
                  <w:rFonts w:ascii="Times New Roman" w:hAnsi="Times New Roman" w:cs="Times New Roman"/>
                </w:rPr>
                <w:t>件，涉及金额</w:t>
              </w:r>
              <w:r w:rsidRPr="00266B55">
                <w:rPr>
                  <w:rFonts w:ascii="Times New Roman" w:hAnsi="Times New Roman" w:cs="Times New Roman"/>
                </w:rPr>
                <w:t>9,712,247.39</w:t>
              </w:r>
              <w:r w:rsidRPr="00266B55">
                <w:rPr>
                  <w:rFonts w:ascii="Times New Roman" w:hAnsi="Times New Roman" w:cs="Times New Roman"/>
                </w:rPr>
                <w:t>元；民事诉讼案件</w:t>
              </w:r>
              <w:r w:rsidRPr="00266B55">
                <w:rPr>
                  <w:rFonts w:ascii="Times New Roman" w:hAnsi="Times New Roman" w:cs="Times New Roman"/>
                </w:rPr>
                <w:t>3</w:t>
              </w:r>
              <w:r w:rsidRPr="00266B55">
                <w:rPr>
                  <w:rFonts w:ascii="Times New Roman" w:hAnsi="Times New Roman" w:cs="Times New Roman"/>
                </w:rPr>
                <w:t>件，涉及金额</w:t>
              </w:r>
              <w:r w:rsidRPr="00266B55">
                <w:rPr>
                  <w:rFonts w:ascii="Times New Roman" w:hAnsi="Times New Roman" w:cs="Times New Roman"/>
                </w:rPr>
                <w:t>1,810,096.90</w:t>
              </w:r>
              <w:r w:rsidRPr="00266B55">
                <w:rPr>
                  <w:rFonts w:ascii="Times New Roman" w:hAnsi="Times New Roman" w:cs="Times New Roman"/>
                </w:rPr>
                <w:t>元。</w:t>
              </w:r>
            </w:p>
            <w:p w14:paraId="050511E6" w14:textId="77777777" w:rsidR="00D21C1F" w:rsidRPr="00266B55" w:rsidRDefault="00A42880">
              <w:pPr>
                <w:pStyle w:val="120"/>
                <w:autoSpaceDE w:val="0"/>
                <w:autoSpaceDN w:val="0"/>
                <w:adjustRightInd w:val="0"/>
                <w:spacing w:line="360" w:lineRule="auto"/>
                <w:ind w:firstLineChars="200" w:firstLine="420"/>
                <w:jc w:val="both"/>
                <w:rPr>
                  <w:rFonts w:ascii="Times New Roman" w:hAnsi="Times New Roman" w:cs="Times New Roman"/>
                </w:rPr>
              </w:pPr>
              <w:r w:rsidRPr="00266B55">
                <w:rPr>
                  <w:rFonts w:ascii="Cambria Math" w:hAnsi="Cambria Math" w:cs="Cambria Math"/>
                </w:rPr>
                <w:t>②</w:t>
              </w:r>
              <w:r w:rsidRPr="00266B55">
                <w:rPr>
                  <w:rFonts w:ascii="Times New Roman" w:hAnsi="Times New Roman" w:cs="Times New Roman"/>
                </w:rPr>
                <w:t>截止</w:t>
              </w:r>
              <w:r w:rsidRPr="00266B55">
                <w:rPr>
                  <w:rFonts w:ascii="Times New Roman" w:hAnsi="Times New Roman" w:cs="Times New Roman"/>
                </w:rPr>
                <w:t>2021</w:t>
              </w:r>
              <w:r w:rsidRPr="00266B55">
                <w:rPr>
                  <w:rFonts w:ascii="Times New Roman" w:hAnsi="Times New Roman" w:cs="Times New Roman"/>
                </w:rPr>
                <w:t>年</w:t>
              </w:r>
              <w:r w:rsidRPr="00266B55">
                <w:rPr>
                  <w:rFonts w:ascii="Times New Roman" w:hAnsi="Times New Roman" w:cs="Times New Roman"/>
                </w:rPr>
                <w:t>6</w:t>
              </w:r>
              <w:r w:rsidRPr="00266B55">
                <w:rPr>
                  <w:rFonts w:ascii="Times New Roman" w:hAnsi="Times New Roman" w:cs="Times New Roman"/>
                </w:rPr>
                <w:t>月</w:t>
              </w:r>
              <w:r w:rsidRPr="00266B55">
                <w:rPr>
                  <w:rFonts w:ascii="Times New Roman" w:hAnsi="Times New Roman" w:cs="Times New Roman"/>
                </w:rPr>
                <w:t>30</w:t>
              </w:r>
              <w:r w:rsidRPr="00266B55">
                <w:rPr>
                  <w:rFonts w:ascii="Times New Roman" w:hAnsi="Times New Roman" w:cs="Times New Roman"/>
                </w:rPr>
                <w:t>日，</w:t>
              </w:r>
              <w:r w:rsidRPr="00266B55">
                <w:rPr>
                  <w:rFonts w:ascii="Times New Roman" w:hAnsi="Times New Roman" w:cs="Times New Roman"/>
                </w:rPr>
                <w:t>Evolut</w:t>
              </w:r>
              <w:r w:rsidRPr="00266B55">
                <w:rPr>
                  <w:rFonts w:ascii="Times New Roman" w:hAnsi="Times New Roman" w:cs="Times New Roman"/>
                </w:rPr>
                <w:t>存在如下税务方面的重大未决调查、程序：</w:t>
              </w:r>
            </w:p>
            <w:p w14:paraId="2E8C58EE" w14:textId="77777777" w:rsidR="00D21C1F" w:rsidRPr="00266B55" w:rsidRDefault="00A42880">
              <w:pPr>
                <w:pStyle w:val="120"/>
                <w:autoSpaceDE w:val="0"/>
                <w:autoSpaceDN w:val="0"/>
                <w:adjustRightInd w:val="0"/>
                <w:spacing w:line="360" w:lineRule="auto"/>
                <w:ind w:firstLineChars="200" w:firstLine="420"/>
                <w:jc w:val="both"/>
                <w:rPr>
                  <w:rFonts w:ascii="Times New Roman" w:hAnsi="Times New Roman" w:cs="Times New Roman"/>
                </w:rPr>
              </w:pPr>
              <w:r w:rsidRPr="00266B55">
                <w:rPr>
                  <w:rFonts w:ascii="Times New Roman" w:hAnsi="Times New Roman" w:cs="Times New Roman"/>
                </w:rPr>
                <w:t>A</w:t>
              </w:r>
              <w:r w:rsidRPr="00266B55">
                <w:rPr>
                  <w:rFonts w:ascii="Times New Roman" w:hAnsi="Times New Roman" w:cs="Times New Roman"/>
                </w:rPr>
                <w:t>、就编号为</w:t>
              </w:r>
              <w:r w:rsidRPr="00266B55">
                <w:rPr>
                  <w:rFonts w:ascii="Times New Roman" w:hAnsi="Times New Roman" w:cs="Times New Roman"/>
                </w:rPr>
                <w:t>“ACCERT.SDCT9H03A101542-19(2014)”</w:t>
              </w:r>
              <w:r w:rsidRPr="00266B55">
                <w:rPr>
                  <w:rFonts w:ascii="Times New Roman" w:hAnsi="Times New Roman" w:cs="Times New Roman"/>
                </w:rPr>
                <w:t>税务评估通知的异议案件，该案件涉及</w:t>
              </w:r>
              <w:r w:rsidRPr="00266B55">
                <w:rPr>
                  <w:rFonts w:ascii="Times New Roman" w:hAnsi="Times New Roman" w:cs="Times New Roman"/>
                </w:rPr>
                <w:t>2014</w:t>
              </w:r>
              <w:r w:rsidRPr="00266B55">
                <w:rPr>
                  <w:rFonts w:ascii="Times New Roman" w:hAnsi="Times New Roman" w:cs="Times New Roman"/>
                </w:rPr>
                <w:t>财政年度</w:t>
              </w:r>
              <w:r w:rsidRPr="00266B55">
                <w:rPr>
                  <w:rFonts w:ascii="Times New Roman" w:hAnsi="Times New Roman" w:cs="Times New Roman"/>
                </w:rPr>
                <w:t>IRES</w:t>
              </w:r>
              <w:r w:rsidRPr="00266B55">
                <w:rPr>
                  <w:rFonts w:ascii="Times New Roman" w:hAnsi="Times New Roman" w:cs="Times New Roman"/>
                </w:rPr>
                <w:t>、</w:t>
              </w:r>
              <w:r w:rsidRPr="00266B55">
                <w:rPr>
                  <w:rFonts w:ascii="Times New Roman" w:hAnsi="Times New Roman" w:cs="Times New Roman"/>
                </w:rPr>
                <w:t>IRAP</w:t>
              </w:r>
              <w:r w:rsidRPr="00266B55">
                <w:rPr>
                  <w:rFonts w:ascii="Times New Roman" w:hAnsi="Times New Roman" w:cs="Times New Roman"/>
                </w:rPr>
                <w:t>和增值税事项，争议金额（不含利息）为</w:t>
              </w:r>
              <w:r w:rsidRPr="00266B55">
                <w:rPr>
                  <w:rFonts w:ascii="Times New Roman" w:hAnsi="Times New Roman" w:cs="Times New Roman"/>
                </w:rPr>
                <w:t>772,344.00</w:t>
              </w:r>
              <w:r w:rsidRPr="00266B55">
                <w:rPr>
                  <w:rFonts w:ascii="Times New Roman" w:hAnsi="Times New Roman" w:cs="Times New Roman"/>
                </w:rPr>
                <w:t>欧元，目前</w:t>
              </w:r>
              <w:r w:rsidRPr="00266B55">
                <w:rPr>
                  <w:rFonts w:ascii="Times New Roman" w:hAnsi="Times New Roman" w:cs="Times New Roman"/>
                </w:rPr>
                <w:t>EVOLUT</w:t>
              </w:r>
              <w:r w:rsidRPr="00266B55">
                <w:rPr>
                  <w:rFonts w:ascii="Times New Roman" w:hAnsi="Times New Roman" w:cs="Times New Roman"/>
                </w:rPr>
                <w:t>正在异议程序中；</w:t>
              </w:r>
            </w:p>
            <w:p w14:paraId="593C7B06" w14:textId="77777777" w:rsidR="00D21C1F" w:rsidRPr="00266B55" w:rsidRDefault="00A42880">
              <w:pPr>
                <w:pStyle w:val="120"/>
                <w:spacing w:line="360" w:lineRule="auto"/>
                <w:ind w:firstLineChars="200" w:firstLine="420"/>
                <w:jc w:val="both"/>
                <w:rPr>
                  <w:rFonts w:ascii="Times New Roman" w:hAnsi="Times New Roman" w:cs="Times New Roman"/>
                </w:rPr>
              </w:pPr>
              <w:r w:rsidRPr="00266B55">
                <w:rPr>
                  <w:rFonts w:ascii="Times New Roman" w:hAnsi="Times New Roman" w:cs="Times New Roman"/>
                </w:rPr>
                <w:t>B</w:t>
              </w:r>
              <w:r w:rsidRPr="00266B55">
                <w:rPr>
                  <w:rFonts w:ascii="Times New Roman" w:hAnsi="Times New Roman" w:cs="Times New Roman"/>
                </w:rPr>
                <w:t>、就编号为</w:t>
              </w:r>
              <w:r w:rsidRPr="00266B55">
                <w:rPr>
                  <w:rFonts w:ascii="Times New Roman" w:hAnsi="Times New Roman" w:cs="Times New Roman"/>
                </w:rPr>
                <w:t>“ACCERT.SDCT9H03A101546-19(2015)”</w:t>
              </w:r>
              <w:r w:rsidRPr="00266B55">
                <w:rPr>
                  <w:rFonts w:ascii="Times New Roman" w:hAnsi="Times New Roman" w:cs="Times New Roman"/>
                </w:rPr>
                <w:t>税务评估通知的异议案件，该案件涉及</w:t>
              </w:r>
              <w:r w:rsidRPr="00266B55">
                <w:rPr>
                  <w:rFonts w:ascii="Times New Roman" w:hAnsi="Times New Roman" w:cs="Times New Roman"/>
                </w:rPr>
                <w:t>2015</w:t>
              </w:r>
              <w:r w:rsidRPr="00266B55">
                <w:rPr>
                  <w:rFonts w:ascii="Times New Roman" w:hAnsi="Times New Roman" w:cs="Times New Roman"/>
                </w:rPr>
                <w:t>财政年度</w:t>
              </w:r>
              <w:r w:rsidRPr="00266B55">
                <w:rPr>
                  <w:rFonts w:ascii="Times New Roman" w:hAnsi="Times New Roman" w:cs="Times New Roman"/>
                </w:rPr>
                <w:t>IRES</w:t>
              </w:r>
              <w:r w:rsidRPr="00266B55">
                <w:rPr>
                  <w:rFonts w:ascii="Times New Roman" w:hAnsi="Times New Roman" w:cs="Times New Roman"/>
                </w:rPr>
                <w:t>、</w:t>
              </w:r>
              <w:r w:rsidRPr="00266B55">
                <w:rPr>
                  <w:rFonts w:ascii="Times New Roman" w:hAnsi="Times New Roman" w:cs="Times New Roman"/>
                </w:rPr>
                <w:t>IRAP</w:t>
              </w:r>
              <w:r w:rsidRPr="00266B55">
                <w:rPr>
                  <w:rFonts w:ascii="Times New Roman" w:hAnsi="Times New Roman" w:cs="Times New Roman"/>
                </w:rPr>
                <w:t>和增值税事项，争议金额（不含利息）为</w:t>
              </w:r>
              <w:r w:rsidRPr="00266B55">
                <w:rPr>
                  <w:rFonts w:ascii="Times New Roman" w:hAnsi="Times New Roman" w:cs="Times New Roman"/>
                </w:rPr>
                <w:t>1,697,381.00</w:t>
              </w:r>
              <w:r w:rsidRPr="00266B55">
                <w:rPr>
                  <w:rFonts w:ascii="Times New Roman" w:hAnsi="Times New Roman" w:cs="Times New Roman"/>
                </w:rPr>
                <w:t>欧元，目前</w:t>
              </w:r>
              <w:r w:rsidRPr="00266B55">
                <w:rPr>
                  <w:rFonts w:ascii="Times New Roman" w:hAnsi="Times New Roman" w:cs="Times New Roman"/>
                </w:rPr>
                <w:t>EVOLUT</w:t>
              </w:r>
              <w:r w:rsidRPr="00266B55">
                <w:rPr>
                  <w:rFonts w:ascii="Times New Roman" w:hAnsi="Times New Roman" w:cs="Times New Roman"/>
                </w:rPr>
                <w:t>正在异议程序中。</w:t>
              </w:r>
            </w:p>
            <w:p w14:paraId="004889D9" w14:textId="1448BAB4" w:rsidR="00D21C1F" w:rsidRPr="00266B55" w:rsidRDefault="00A42880">
              <w:pPr>
                <w:pStyle w:val="120"/>
                <w:spacing w:line="360" w:lineRule="auto"/>
                <w:ind w:firstLineChars="200" w:firstLine="420"/>
                <w:rPr>
                  <w:rFonts w:ascii="Times New Roman" w:hAnsi="Times New Roman" w:cs="Times New Roman"/>
                </w:rPr>
              </w:pPr>
              <w:r w:rsidRPr="00266B55">
                <w:rPr>
                  <w:rFonts w:ascii="Cambria Math" w:hAnsi="Cambria Math" w:cs="Cambria Math"/>
                </w:rPr>
                <w:t>③</w:t>
              </w:r>
              <w:r w:rsidR="00D07E51">
                <w:rPr>
                  <w:rFonts w:ascii="Times New Roman" w:hAnsi="Times New Roman" w:cs="Times New Roman"/>
                </w:rPr>
                <w:t>境外</w:t>
              </w:r>
              <w:r w:rsidRPr="00266B55">
                <w:rPr>
                  <w:rFonts w:ascii="Times New Roman" w:hAnsi="Times New Roman" w:cs="Times New Roman"/>
                </w:rPr>
                <w:t>公司高管离职补偿</w:t>
              </w:r>
            </w:p>
            <w:p w14:paraId="79DCF630" w14:textId="4E5FBFC8" w:rsidR="00D21C1F" w:rsidRPr="00266B55" w:rsidRDefault="00A42880">
              <w:pPr>
                <w:spacing w:line="360" w:lineRule="auto"/>
                <w:ind w:firstLineChars="200" w:firstLine="420"/>
                <w:jc w:val="both"/>
                <w:rPr>
                  <w:rFonts w:ascii="Times New Roman" w:hAnsi="Times New Roman" w:cs="Times New Roman"/>
                </w:rPr>
              </w:pPr>
              <w:r w:rsidRPr="00266B55">
                <w:rPr>
                  <w:rFonts w:ascii="Times New Roman" w:hAnsi="Times New Roman" w:cs="Times New Roman"/>
                </w:rPr>
                <w:t>公司子公司</w:t>
              </w:r>
              <w:r w:rsidRPr="00266B55">
                <w:rPr>
                  <w:rFonts w:ascii="Times New Roman" w:hAnsi="Times New Roman" w:cs="Times New Roman"/>
                </w:rPr>
                <w:t>EVOLUT</w:t>
              </w:r>
              <w:r w:rsidRPr="00266B55">
                <w:rPr>
                  <w:rFonts w:ascii="Times New Roman" w:hAnsi="Times New Roman" w:cs="Times New Roman"/>
                </w:rPr>
                <w:t>原股东</w:t>
              </w:r>
              <w:r w:rsidRPr="00266B55">
                <w:rPr>
                  <w:rFonts w:ascii="Times New Roman" w:hAnsi="Times New Roman" w:cs="Times New Roman"/>
                </w:rPr>
                <w:t>Franco</w:t>
              </w:r>
              <w:r w:rsidR="00D93902">
                <w:rPr>
                  <w:rFonts w:ascii="Times New Roman" w:hAnsi="Times New Roman" w:cs="Times New Roman"/>
                </w:rPr>
                <w:t xml:space="preserve"> </w:t>
              </w:r>
              <w:r w:rsidRPr="00266B55">
                <w:rPr>
                  <w:rFonts w:ascii="Times New Roman" w:hAnsi="Times New Roman" w:cs="Times New Roman"/>
                </w:rPr>
                <w:t>Codini</w:t>
              </w:r>
              <w:r w:rsidRPr="00266B55">
                <w:rPr>
                  <w:rFonts w:ascii="Times New Roman" w:hAnsi="Times New Roman" w:cs="Times New Roman"/>
                </w:rPr>
                <w:t>已就其薪酬和离职补偿在布雷西亚法院对</w:t>
              </w:r>
              <w:r w:rsidRPr="00266B55">
                <w:rPr>
                  <w:rFonts w:ascii="Times New Roman" w:hAnsi="Times New Roman" w:cs="Times New Roman"/>
                </w:rPr>
                <w:t>EVOLUT</w:t>
              </w:r>
              <w:r w:rsidRPr="00266B55">
                <w:rPr>
                  <w:rFonts w:ascii="Times New Roman" w:hAnsi="Times New Roman" w:cs="Times New Roman"/>
                </w:rPr>
                <w:t>提起诉讼，要求</w:t>
              </w:r>
              <w:r w:rsidRPr="00266B55">
                <w:rPr>
                  <w:rFonts w:ascii="Times New Roman" w:hAnsi="Times New Roman" w:cs="Times New Roman"/>
                </w:rPr>
                <w:t>EVOLUT</w:t>
              </w:r>
              <w:r w:rsidRPr="00266B55">
                <w:rPr>
                  <w:rFonts w:ascii="Times New Roman" w:hAnsi="Times New Roman" w:cs="Times New Roman"/>
                </w:rPr>
                <w:t>支付未付薪酬及离职补偿金总计约</w:t>
              </w:r>
              <w:r w:rsidRPr="00266B55">
                <w:rPr>
                  <w:rFonts w:ascii="Times New Roman" w:hAnsi="Times New Roman" w:cs="Times New Roman"/>
                </w:rPr>
                <w:t>44</w:t>
              </w:r>
              <w:r w:rsidRPr="00266B55">
                <w:rPr>
                  <w:rFonts w:ascii="Times New Roman" w:hAnsi="Times New Roman" w:cs="Times New Roman"/>
                </w:rPr>
                <w:t>万欧元。</w:t>
              </w:r>
              <w:r w:rsidRPr="00266B55">
                <w:rPr>
                  <w:rFonts w:ascii="Times New Roman" w:hAnsi="Times New Roman" w:cs="Times New Roman"/>
                </w:rPr>
                <w:t>EVOLUT</w:t>
              </w:r>
              <w:r w:rsidRPr="00266B55">
                <w:rPr>
                  <w:rFonts w:ascii="Times New Roman" w:hAnsi="Times New Roman" w:cs="Times New Roman"/>
                </w:rPr>
                <w:t>已就</w:t>
              </w:r>
              <w:r w:rsidRPr="00266B55">
                <w:rPr>
                  <w:rFonts w:ascii="Times New Roman" w:hAnsi="Times New Roman" w:cs="Times New Roman"/>
                </w:rPr>
                <w:t>Franco</w:t>
              </w:r>
              <w:r w:rsidR="00D93902">
                <w:rPr>
                  <w:rFonts w:ascii="Times New Roman" w:hAnsi="Times New Roman" w:cs="Times New Roman"/>
                </w:rPr>
                <w:t xml:space="preserve"> </w:t>
              </w:r>
              <w:r w:rsidRPr="00266B55">
                <w:rPr>
                  <w:rFonts w:ascii="Times New Roman" w:hAnsi="Times New Roman" w:cs="Times New Roman"/>
                </w:rPr>
                <w:t>Codini</w:t>
              </w:r>
              <w:r w:rsidRPr="00266B55">
                <w:rPr>
                  <w:rFonts w:ascii="Times New Roman" w:hAnsi="Times New Roman" w:cs="Times New Roman"/>
                </w:rPr>
                <w:t>的主张答辩，并拟就</w:t>
              </w:r>
              <w:r w:rsidRPr="00266B55">
                <w:rPr>
                  <w:rFonts w:ascii="Times New Roman" w:hAnsi="Times New Roman" w:cs="Times New Roman"/>
                </w:rPr>
                <w:t>Franco</w:t>
              </w:r>
              <w:r w:rsidR="00D93902">
                <w:rPr>
                  <w:rFonts w:ascii="Times New Roman" w:hAnsi="Times New Roman" w:cs="Times New Roman"/>
                </w:rPr>
                <w:t xml:space="preserve"> </w:t>
              </w:r>
              <w:r w:rsidRPr="00266B55">
                <w:rPr>
                  <w:rFonts w:ascii="Times New Roman" w:hAnsi="Times New Roman" w:cs="Times New Roman"/>
                </w:rPr>
                <w:t>Codini</w:t>
              </w:r>
              <w:r w:rsidRPr="00266B55">
                <w:rPr>
                  <w:rFonts w:ascii="Times New Roman" w:hAnsi="Times New Roman" w:cs="Times New Roman"/>
                </w:rPr>
                <w:t>错误管理导致的公司损失要求损害赔偿。</w:t>
              </w:r>
            </w:p>
            <w:p w14:paraId="2CDD7DA9" w14:textId="77777777" w:rsidR="00D21C1F" w:rsidRPr="00266B55" w:rsidRDefault="00A42880">
              <w:pPr>
                <w:pStyle w:val="120"/>
                <w:spacing w:line="360" w:lineRule="auto"/>
                <w:ind w:firstLineChars="200" w:firstLine="420"/>
                <w:jc w:val="both"/>
                <w:rPr>
                  <w:rFonts w:ascii="Times New Roman" w:hAnsi="Times New Roman" w:cs="Times New Roman"/>
                </w:rPr>
              </w:pPr>
              <w:r w:rsidRPr="00266B55">
                <w:rPr>
                  <w:rFonts w:ascii="Times New Roman" w:hAnsi="Times New Roman" w:cs="Times New Roman"/>
                </w:rPr>
                <w:t>就上述税务调查事项和未决诉讼，本公司根据相关案件代理律师出具的法律意见，认为本公司承担相关支付义务的可能性较小，因此公司未计提预计负债。</w:t>
              </w:r>
            </w:p>
            <w:p w14:paraId="482A85C0" w14:textId="77777777" w:rsidR="00D21C1F" w:rsidRPr="00266B55" w:rsidRDefault="00A42880">
              <w:pPr>
                <w:pStyle w:val="120"/>
                <w:spacing w:line="360" w:lineRule="auto"/>
                <w:ind w:firstLineChars="200" w:firstLine="420"/>
                <w:jc w:val="both"/>
                <w:rPr>
                  <w:rFonts w:ascii="Times New Roman" w:hAnsi="Times New Roman" w:cs="Times New Roman"/>
                </w:rPr>
              </w:pPr>
              <w:r w:rsidRPr="00266B55">
                <w:rPr>
                  <w:rFonts w:ascii="Times New Roman" w:hAnsi="Times New Roman" w:cs="Times New Roman"/>
                </w:rPr>
                <w:t>（</w:t>
              </w:r>
              <w:r w:rsidRPr="00266B55">
                <w:rPr>
                  <w:rFonts w:ascii="Times New Roman" w:hAnsi="Times New Roman" w:cs="Times New Roman"/>
                </w:rPr>
                <w:t>3</w:t>
              </w:r>
              <w:r w:rsidRPr="00266B55">
                <w:rPr>
                  <w:rFonts w:ascii="Times New Roman" w:hAnsi="Times New Roman" w:cs="Times New Roman"/>
                </w:rPr>
                <w:t>）已背书或已贴现未到期的商业汇票</w:t>
              </w:r>
            </w:p>
            <w:p w14:paraId="2259E9EC" w14:textId="77777777" w:rsidR="00D21C1F" w:rsidRPr="00266B55" w:rsidRDefault="00A42880">
              <w:pPr>
                <w:pStyle w:val="120"/>
                <w:spacing w:line="360" w:lineRule="auto"/>
                <w:ind w:firstLineChars="200" w:firstLine="420"/>
                <w:jc w:val="both"/>
                <w:rPr>
                  <w:rFonts w:ascii="Times New Roman" w:hAnsi="Times New Roman" w:cs="Times New Roman"/>
                </w:rPr>
              </w:pPr>
              <w:r w:rsidRPr="00266B55">
                <w:rPr>
                  <w:rFonts w:ascii="Times New Roman" w:hAnsi="Times New Roman" w:cs="Times New Roman"/>
                </w:rPr>
                <w:t>截止</w:t>
              </w:r>
              <w:r w:rsidRPr="00266B55">
                <w:rPr>
                  <w:rFonts w:ascii="Times New Roman" w:hAnsi="Times New Roman" w:cs="Times New Roman"/>
                </w:rPr>
                <w:t>2021</w:t>
              </w:r>
              <w:r w:rsidRPr="00266B55">
                <w:rPr>
                  <w:rFonts w:ascii="Times New Roman" w:hAnsi="Times New Roman" w:cs="Times New Roman"/>
                </w:rPr>
                <w:t>年</w:t>
              </w:r>
              <w:r w:rsidRPr="00266B55">
                <w:rPr>
                  <w:rFonts w:ascii="Times New Roman" w:hAnsi="Times New Roman" w:cs="Times New Roman"/>
                </w:rPr>
                <w:t>6</w:t>
              </w:r>
              <w:r w:rsidRPr="00266B55">
                <w:rPr>
                  <w:rFonts w:ascii="Times New Roman" w:hAnsi="Times New Roman" w:cs="Times New Roman"/>
                </w:rPr>
                <w:t>月</w:t>
              </w:r>
              <w:r w:rsidRPr="00266B55">
                <w:rPr>
                  <w:rFonts w:ascii="Times New Roman" w:hAnsi="Times New Roman" w:cs="Times New Roman"/>
                </w:rPr>
                <w:t>30</w:t>
              </w:r>
              <w:r w:rsidRPr="00266B55">
                <w:rPr>
                  <w:rFonts w:ascii="Times New Roman" w:hAnsi="Times New Roman" w:cs="Times New Roman"/>
                </w:rPr>
                <w:t>日，本公司已背书或已贴现未到期的银行承兑汇票终止确认金额共计</w:t>
              </w:r>
              <w:r w:rsidRPr="00266B55">
                <w:rPr>
                  <w:rFonts w:ascii="Times New Roman" w:hAnsi="Times New Roman" w:cs="Times New Roman"/>
                </w:rPr>
                <w:t>33,163,232.80</w:t>
              </w:r>
              <w:r w:rsidRPr="00266B55">
                <w:rPr>
                  <w:rFonts w:ascii="Times New Roman" w:hAnsi="Times New Roman" w:cs="Times New Roman"/>
                </w:rPr>
                <w:t>元。</w:t>
              </w:r>
            </w:p>
            <w:p w14:paraId="6E6FCE09" w14:textId="77777777" w:rsidR="00D21C1F" w:rsidRDefault="00A42880">
              <w:pPr>
                <w:spacing w:line="360" w:lineRule="auto"/>
                <w:ind w:firstLineChars="200" w:firstLine="420"/>
                <w:jc w:val="both"/>
              </w:pPr>
              <w:r>
                <w:t>除上述事项外，截止</w:t>
              </w:r>
              <w:r>
                <w:rPr>
                  <w:rFonts w:ascii="Times New Roman" w:hAnsi="Times New Roman"/>
                </w:rPr>
                <w:t>2021</w:t>
              </w:r>
              <w:r>
                <w:t>年</w:t>
              </w:r>
              <w:r>
                <w:rPr>
                  <w:rFonts w:ascii="Times New Roman" w:hAnsi="Times New Roman"/>
                </w:rPr>
                <w:t>6</w:t>
              </w:r>
              <w:r>
                <w:t>月</w:t>
              </w:r>
              <w:r>
                <w:rPr>
                  <w:rFonts w:ascii="Times New Roman" w:hAnsi="Times New Roman"/>
                </w:rPr>
                <w:t>30</w:t>
              </w:r>
              <w:r>
                <w:t>日，本公司无需要披露的或有事项。</w:t>
              </w:r>
            </w:p>
          </w:sdtContent>
        </w:sdt>
      </w:sdtContent>
    </w:sdt>
    <w:sdt>
      <w:sdtPr>
        <w:rPr>
          <w:rFonts w:ascii="宋体" w:eastAsia="宋体" w:hAnsi="宋体" w:cs="宋体" w:hint="eastAsia"/>
          <w:b w:val="0"/>
          <w:bCs w:val="0"/>
          <w:kern w:val="0"/>
          <w:szCs w:val="24"/>
        </w:rPr>
        <w:alias w:val="模块:公司没有需要披露的或有事项，也应予以说明"/>
        <w:tag w:val="_GBC_428b07d001974f7390d8bb4142377be9"/>
        <w:id w:val="1004243808"/>
        <w:lock w:val="sdtLocked"/>
        <w:placeholder>
          <w:docPart w:val="GBC22222222222222222222222222222"/>
        </w:placeholder>
      </w:sdtPr>
      <w:sdtEndPr>
        <w:rPr>
          <w:rFonts w:cstheme="minorBidi"/>
        </w:rPr>
      </w:sdtEndPr>
      <w:sdtContent>
        <w:p w14:paraId="52401E2A" w14:textId="77777777" w:rsidR="00D21C1F" w:rsidRDefault="00A42880">
          <w:pPr>
            <w:pStyle w:val="93"/>
            <w:numPr>
              <w:ilvl w:val="0"/>
              <w:numId w:val="142"/>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1517921557"/>
            <w:lock w:val="sdtLocked"/>
            <w:placeholder>
              <w:docPart w:val="GBC22222222222222222222222222222"/>
            </w:placeholder>
          </w:sdtPr>
          <w:sdtEndPr/>
          <w:sdtContent>
            <w:p w14:paraId="00D2048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039B23" w14:textId="77777777" w:rsidR="00D21C1F" w:rsidRDefault="00045EC6">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1151248889"/>
        <w:lock w:val="sdtLocked"/>
        <w:placeholder>
          <w:docPart w:val="GBC22222222222222222222222222222"/>
        </w:placeholder>
      </w:sdtPr>
      <w:sdtEndPr/>
      <w:sdtContent>
        <w:p w14:paraId="69635220" w14:textId="77777777" w:rsidR="00D21C1F" w:rsidRDefault="00A42880">
          <w:pPr>
            <w:pStyle w:val="94"/>
            <w:numPr>
              <w:ilvl w:val="0"/>
              <w:numId w:val="141"/>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1021206081"/>
            <w:lock w:val="sdtLocked"/>
            <w:placeholder>
              <w:docPart w:val="GBC22222222222222222222222222222"/>
            </w:placeholder>
          </w:sdtPr>
          <w:sdtEndPr/>
          <w:sdtContent>
            <w:p w14:paraId="225274C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055A0BF" w14:textId="77777777" w:rsidR="00D21C1F" w:rsidRDefault="00D21C1F">
      <w:pPr>
        <w:pStyle w:val="97"/>
      </w:pPr>
    </w:p>
    <w:p w14:paraId="0004A5AB" w14:textId="77777777" w:rsidR="00D21C1F" w:rsidRDefault="00A42880">
      <w:pPr>
        <w:pStyle w:val="2CharCharChar"/>
        <w:numPr>
          <w:ilvl w:val="0"/>
          <w:numId w:val="42"/>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584142036"/>
        <w:lock w:val="sdtLocked"/>
        <w:placeholder>
          <w:docPart w:val="GBC22222222222222222222222222222"/>
        </w:placeholder>
      </w:sdtPr>
      <w:sdtEndPr>
        <w:rPr>
          <w:rFonts w:cstheme="minorBidi"/>
          <w:szCs w:val="22"/>
        </w:rPr>
      </w:sdtEndPr>
      <w:sdtContent>
        <w:p w14:paraId="4D544246" w14:textId="77777777" w:rsidR="00D21C1F" w:rsidRDefault="00A42880">
          <w:pPr>
            <w:pStyle w:val="94"/>
            <w:numPr>
              <w:ilvl w:val="0"/>
              <w:numId w:val="143"/>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646863030"/>
            <w:lock w:val="sdtLocked"/>
            <w:placeholder>
              <w:docPart w:val="GBC22222222222222222222222222222"/>
            </w:placeholder>
          </w:sdtPr>
          <w:sdtEndPr/>
          <w:sdtContent>
            <w:p w14:paraId="347F574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1749766834"/>
        <w:lock w:val="sdtLocked"/>
        <w:placeholder>
          <w:docPart w:val="GBC22222222222222222222222222222"/>
        </w:placeholder>
      </w:sdtPr>
      <w:sdtEndPr>
        <w:rPr>
          <w:rFonts w:hint="default"/>
        </w:rPr>
      </w:sdtEndPr>
      <w:sdtContent>
        <w:p w14:paraId="14439942" w14:textId="77777777" w:rsidR="00D21C1F" w:rsidRDefault="00A42880">
          <w:pPr>
            <w:pStyle w:val="94"/>
            <w:numPr>
              <w:ilvl w:val="0"/>
              <w:numId w:val="143"/>
            </w:numPr>
            <w:rPr>
              <w:rFonts w:ascii="宋体" w:hAnsi="宋体"/>
            </w:rPr>
          </w:pPr>
          <w:r>
            <w:rPr>
              <w:rFonts w:ascii="宋体" w:hAnsi="宋体" w:hint="eastAsia"/>
            </w:rPr>
            <w:t>利润分配情况</w:t>
          </w:r>
        </w:p>
        <w:sdt>
          <w:sdtPr>
            <w:alias w:val="是否适用：利润分配情况[双击切换]"/>
            <w:tag w:val="_GBC_a2ea8cd0604f474db0e7e62eb7fc0435"/>
            <w:id w:val="-1498955267"/>
            <w:lock w:val="sdtLocked"/>
            <w:placeholder>
              <w:docPart w:val="GBC22222222222222222222222222222"/>
            </w:placeholder>
          </w:sdtPr>
          <w:sdtEndPr/>
          <w:sdtContent>
            <w:p w14:paraId="005B2C6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95" w:name="_Toc241636515" w:displacedByCustomXml="next"/>
    <w:sdt>
      <w:sdtPr>
        <w:rPr>
          <w:rFonts w:ascii="宋体" w:eastAsia="宋体" w:hAnsi="宋体" w:cs="宋体"/>
          <w:b w:val="0"/>
          <w:bCs w:val="0"/>
          <w:kern w:val="0"/>
          <w:szCs w:val="21"/>
        </w:rPr>
        <w:alias w:val="模块:资产负债表日后事项-销售退回说明"/>
        <w:tag w:val="_GBC_189c429afb95427192d478a4da4061cd"/>
        <w:id w:val="195515497"/>
        <w:lock w:val="sdtLocked"/>
        <w:placeholder>
          <w:docPart w:val="GBC22222222222222222222222222222"/>
        </w:placeholder>
      </w:sdtPr>
      <w:sdtEndPr/>
      <w:sdtContent>
        <w:p w14:paraId="44C24FF1" w14:textId="77777777" w:rsidR="00D21C1F" w:rsidRDefault="00A42880">
          <w:pPr>
            <w:pStyle w:val="94"/>
            <w:numPr>
              <w:ilvl w:val="0"/>
              <w:numId w:val="143"/>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1140809858"/>
            <w:lock w:val="sdtLocked"/>
            <w:placeholder>
              <w:docPart w:val="GBC22222222222222222222222222222"/>
            </w:placeholder>
          </w:sdtPr>
          <w:sdtEndPr/>
          <w:sdtContent>
            <w:p w14:paraId="6D81AE0F"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资产负债表日后事项说明"/>
        <w:tag w:val="_GBC_90d185c72bfe452398767dd3a98447a5"/>
        <w:id w:val="-1456022148"/>
        <w:lock w:val="sdtLocked"/>
        <w:placeholder>
          <w:docPart w:val="GBC22222222222222222222222222222"/>
        </w:placeholder>
      </w:sdtPr>
      <w:sdtEndPr>
        <w:rPr>
          <w:rFonts w:cs="Times New Roman"/>
          <w:color w:val="000000" w:themeColor="text1"/>
          <w:szCs w:val="21"/>
        </w:rPr>
      </w:sdtEndPr>
      <w:sdtContent>
        <w:p w14:paraId="22FF780D" w14:textId="77777777" w:rsidR="00D21C1F" w:rsidRDefault="00A42880">
          <w:pPr>
            <w:pStyle w:val="94"/>
            <w:numPr>
              <w:ilvl w:val="0"/>
              <w:numId w:val="143"/>
            </w:numPr>
            <w:rPr>
              <w:rFonts w:ascii="宋体" w:hAnsi="宋体"/>
            </w:rPr>
          </w:pPr>
          <w:r>
            <w:rPr>
              <w:rFonts w:ascii="宋体" w:hAnsi="宋体" w:hint="eastAsia"/>
            </w:rPr>
            <w:t>其他资产负债表日后事项说明</w:t>
          </w:r>
          <w:bookmarkEnd w:id="295"/>
        </w:p>
        <w:sdt>
          <w:sdtPr>
            <w:alias w:val="是否适用：其他资产负债表日后事项说明[双击切换]"/>
            <w:tag w:val="_GBC_3da0e7092a0048ed9e147e2e860785f5"/>
            <w:id w:val="-1755355440"/>
            <w:lock w:val="sdtLocked"/>
            <w:placeholder>
              <w:docPart w:val="GBC22222222222222222222222222222"/>
            </w:placeholder>
          </w:sdtPr>
          <w:sdtEndPr/>
          <w:sdtContent>
            <w:p w14:paraId="3DAD554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095fb5e765c447f82bb8e8b5a26cbea"/>
            <w:id w:val="2131900222"/>
            <w:lock w:val="sdtLocked"/>
          </w:sdtPr>
          <w:sdtEndPr>
            <w:rPr>
              <w:color w:val="000000" w:themeColor="text1"/>
            </w:rPr>
          </w:sdtEndPr>
          <w:sdtContent>
            <w:p w14:paraId="3DAD545E" w14:textId="77777777" w:rsidR="00D21C1F" w:rsidRDefault="00A42880">
              <w:pPr>
                <w:pStyle w:val="120"/>
                <w:autoSpaceDE w:val="0"/>
                <w:autoSpaceDN w:val="0"/>
                <w:adjustRightInd w:val="0"/>
                <w:spacing w:line="360" w:lineRule="auto"/>
                <w:ind w:firstLineChars="200" w:firstLine="420"/>
                <w:outlineLvl w:val="1"/>
                <w:rPr>
                  <w:rFonts w:eastAsia="宋体" w:cs="宋体"/>
                </w:rPr>
              </w:pPr>
              <w:r>
                <w:rPr>
                  <w:rFonts w:ascii="Times New Roman" w:hAnsi="Times New Roman"/>
                  <w:color w:val="000000" w:themeColor="text1"/>
                </w:rPr>
                <w:t>1</w:t>
              </w:r>
              <w:r>
                <w:rPr>
                  <w:color w:val="000000" w:themeColor="text1"/>
                </w:rPr>
                <w:t>.与</w:t>
              </w:r>
              <w:r>
                <w:t>北汽云南瑞丽汽车有限公</w:t>
              </w:r>
              <w:r>
                <w:rPr>
                  <w:rFonts w:eastAsia="宋体" w:cs="宋体" w:hint="eastAsia"/>
                </w:rPr>
                <w:t>司（以下简称“北汽瑞丽”）的诉讼进展</w:t>
              </w:r>
            </w:p>
            <w:p w14:paraId="3D8A703E" w14:textId="77777777" w:rsidR="00D21C1F" w:rsidRDefault="00A42880">
              <w:pPr>
                <w:pStyle w:val="120"/>
                <w:autoSpaceDE w:val="0"/>
                <w:autoSpaceDN w:val="0"/>
                <w:adjustRightInd w:val="0"/>
                <w:spacing w:line="360" w:lineRule="auto"/>
                <w:ind w:firstLineChars="200" w:firstLine="420"/>
                <w:rPr>
                  <w:color w:val="000000" w:themeColor="text1"/>
                </w:rPr>
              </w:pPr>
              <w:r>
                <w:rPr>
                  <w:rFonts w:hint="eastAsia"/>
                  <w:color w:val="000000" w:themeColor="text1"/>
                </w:rPr>
                <w:t>公司于</w:t>
              </w:r>
              <w:r w:rsidRPr="00266B55">
                <w:rPr>
                  <w:rFonts w:ascii="Times New Roman" w:hAnsi="Times New Roman" w:cs="Times New Roman"/>
                  <w:color w:val="000000" w:themeColor="text1"/>
                </w:rPr>
                <w:t>2021</w:t>
              </w:r>
              <w:r w:rsidRPr="00266B55">
                <w:rPr>
                  <w:rFonts w:ascii="Times New Roman" w:hAnsi="Times New Roman" w:cs="Times New Roman"/>
                  <w:color w:val="000000" w:themeColor="text1"/>
                </w:rPr>
                <w:t>年</w:t>
              </w:r>
              <w:r w:rsidRPr="00266B55">
                <w:rPr>
                  <w:rFonts w:ascii="Times New Roman" w:hAnsi="Times New Roman" w:cs="Times New Roman"/>
                  <w:color w:val="000000" w:themeColor="text1"/>
                </w:rPr>
                <w:t>5</w:t>
              </w:r>
              <w:r w:rsidRPr="00266B55">
                <w:rPr>
                  <w:rFonts w:ascii="Times New Roman" w:hAnsi="Times New Roman" w:cs="Times New Roman"/>
                  <w:color w:val="000000" w:themeColor="text1"/>
                </w:rPr>
                <w:t>月</w:t>
              </w:r>
              <w:r w:rsidRPr="00266B55">
                <w:rPr>
                  <w:rFonts w:ascii="Times New Roman" w:hAnsi="Times New Roman" w:cs="Times New Roman"/>
                  <w:color w:val="000000" w:themeColor="text1"/>
                </w:rPr>
                <w:t>10</w:t>
              </w:r>
              <w:r w:rsidRPr="00266B55">
                <w:rPr>
                  <w:rFonts w:ascii="Times New Roman" w:hAnsi="Times New Roman" w:cs="Times New Roman"/>
                  <w:color w:val="000000" w:themeColor="text1"/>
                </w:rPr>
                <w:t>日向云南省德宏傣族景颇族自治州中级人民法院起诉，诉讼标的为：要求北汽瑞丽支付合同款</w:t>
              </w:r>
              <w:r w:rsidRPr="00266B55">
                <w:rPr>
                  <w:rFonts w:ascii="Times New Roman" w:hAnsi="Times New Roman" w:cs="Times New Roman"/>
                  <w:color w:val="000000" w:themeColor="text1"/>
                </w:rPr>
                <w:t>43,343,536.41</w:t>
              </w:r>
              <w:r w:rsidRPr="00266B55">
                <w:rPr>
                  <w:rFonts w:ascii="Times New Roman" w:hAnsi="Times New Roman" w:cs="Times New Roman"/>
                  <w:color w:val="000000" w:themeColor="text1"/>
                </w:rPr>
                <w:t>元及赔偿逾期损失，同时向法院申请财产保全，申请保全银行存款</w:t>
              </w:r>
              <w:r w:rsidRPr="00266B55">
                <w:rPr>
                  <w:rFonts w:ascii="Times New Roman" w:hAnsi="Times New Roman" w:cs="Times New Roman"/>
                  <w:color w:val="000000" w:themeColor="text1"/>
                </w:rPr>
                <w:t>4,500</w:t>
              </w:r>
              <w:r w:rsidRPr="00266B55">
                <w:rPr>
                  <w:rFonts w:ascii="Times New Roman" w:hAnsi="Times New Roman" w:cs="Times New Roman"/>
                  <w:color w:val="000000" w:themeColor="text1"/>
                </w:rPr>
                <w:t>万元或同等价值其它财产，法院于</w:t>
              </w:r>
              <w:r w:rsidRPr="00266B55">
                <w:rPr>
                  <w:rFonts w:ascii="Times New Roman" w:hAnsi="Times New Roman" w:cs="Times New Roman"/>
                  <w:color w:val="000000" w:themeColor="text1"/>
                </w:rPr>
                <w:t>2021</w:t>
              </w:r>
              <w:r w:rsidRPr="00266B55">
                <w:rPr>
                  <w:rFonts w:ascii="Times New Roman" w:hAnsi="Times New Roman" w:cs="Times New Roman"/>
                  <w:color w:val="000000" w:themeColor="text1"/>
                </w:rPr>
                <w:t>年</w:t>
              </w:r>
              <w:r w:rsidRPr="00266B55">
                <w:rPr>
                  <w:rFonts w:ascii="Times New Roman" w:hAnsi="Times New Roman" w:cs="Times New Roman"/>
                  <w:color w:val="000000" w:themeColor="text1"/>
                </w:rPr>
                <w:t>5</w:t>
              </w:r>
              <w:r w:rsidRPr="00266B55">
                <w:rPr>
                  <w:rFonts w:ascii="Times New Roman" w:hAnsi="Times New Roman" w:cs="Times New Roman"/>
                  <w:color w:val="000000" w:themeColor="text1"/>
                </w:rPr>
                <w:t>月</w:t>
              </w:r>
              <w:r w:rsidRPr="00266B55">
                <w:rPr>
                  <w:rFonts w:ascii="Times New Roman" w:hAnsi="Times New Roman" w:cs="Times New Roman"/>
                  <w:color w:val="000000" w:themeColor="text1"/>
                </w:rPr>
                <w:t>11</w:t>
              </w:r>
              <w:r w:rsidRPr="00266B55">
                <w:rPr>
                  <w:rFonts w:ascii="Times New Roman" w:hAnsi="Times New Roman" w:cs="Times New Roman"/>
                  <w:color w:val="000000" w:themeColor="text1"/>
                </w:rPr>
                <w:t>日受理案件，出具《受理案件通知书》，并于</w:t>
              </w:r>
              <w:r w:rsidRPr="00266B55">
                <w:rPr>
                  <w:rFonts w:ascii="Times New Roman" w:hAnsi="Times New Roman" w:cs="Times New Roman"/>
                  <w:color w:val="000000" w:themeColor="text1"/>
                </w:rPr>
                <w:t>2021</w:t>
              </w:r>
              <w:r w:rsidRPr="00266B55">
                <w:rPr>
                  <w:rFonts w:ascii="Times New Roman" w:hAnsi="Times New Roman" w:cs="Times New Roman"/>
                  <w:color w:val="000000" w:themeColor="text1"/>
                </w:rPr>
                <w:t>年</w:t>
              </w:r>
              <w:r w:rsidRPr="00266B55">
                <w:rPr>
                  <w:rFonts w:ascii="Times New Roman" w:hAnsi="Times New Roman" w:cs="Times New Roman"/>
                  <w:color w:val="000000" w:themeColor="text1"/>
                </w:rPr>
                <w:t>6</w:t>
              </w:r>
              <w:r w:rsidRPr="00266B55">
                <w:rPr>
                  <w:rFonts w:ascii="Times New Roman" w:hAnsi="Times New Roman" w:cs="Times New Roman"/>
                  <w:color w:val="000000" w:themeColor="text1"/>
                </w:rPr>
                <w:t>月</w:t>
              </w:r>
              <w:r w:rsidRPr="00266B55">
                <w:rPr>
                  <w:rFonts w:ascii="Times New Roman" w:hAnsi="Times New Roman" w:cs="Times New Roman"/>
                  <w:color w:val="000000" w:themeColor="text1"/>
                </w:rPr>
                <w:t>22</w:t>
              </w:r>
              <w:r w:rsidRPr="00266B55">
                <w:rPr>
                  <w:rFonts w:ascii="Times New Roman" w:hAnsi="Times New Roman" w:cs="Times New Roman"/>
                  <w:color w:val="000000" w:themeColor="text1"/>
                </w:rPr>
                <w:t>日出具财产保全的《结案通知书》，冻结北汽瑞丽账户、查封其位于瑞丽市畹町镇一处土地，面积：</w:t>
              </w:r>
              <w:r w:rsidRPr="00266B55">
                <w:rPr>
                  <w:rFonts w:ascii="Times New Roman" w:hAnsi="Times New Roman" w:cs="Times New Roman"/>
                  <w:color w:val="000000" w:themeColor="text1"/>
                </w:rPr>
                <w:t>185628.2</w:t>
              </w:r>
              <w:r w:rsidRPr="00266B55">
                <w:rPr>
                  <w:rFonts w:ascii="Times New Roman" w:hAnsi="Times New Roman" w:cs="Times New Roman"/>
                  <w:color w:val="000000" w:themeColor="text1"/>
                </w:rPr>
                <w:t>平方米。截至</w:t>
              </w:r>
              <w:r w:rsidRPr="00266B55">
                <w:rPr>
                  <w:rFonts w:ascii="Times New Roman" w:hAnsi="Times New Roman" w:cs="Times New Roman"/>
                  <w:color w:val="000000" w:themeColor="text1"/>
                </w:rPr>
                <w:t>2021</w:t>
              </w:r>
              <w:r w:rsidRPr="00266B55">
                <w:rPr>
                  <w:rFonts w:ascii="Times New Roman" w:hAnsi="Times New Roman" w:cs="Times New Roman"/>
                  <w:color w:val="000000" w:themeColor="text1"/>
                </w:rPr>
                <w:t>年</w:t>
              </w:r>
              <w:r w:rsidRPr="00266B55">
                <w:rPr>
                  <w:rFonts w:ascii="Times New Roman" w:hAnsi="Times New Roman" w:cs="Times New Roman"/>
                  <w:color w:val="000000" w:themeColor="text1"/>
                </w:rPr>
                <w:t>8</w:t>
              </w:r>
              <w:r w:rsidRPr="00266B55">
                <w:rPr>
                  <w:rFonts w:ascii="Times New Roman" w:hAnsi="Times New Roman" w:cs="Times New Roman"/>
                  <w:color w:val="000000" w:themeColor="text1"/>
                </w:rPr>
                <w:t>月</w:t>
              </w:r>
              <w:r w:rsidRPr="00266B55">
                <w:rPr>
                  <w:rFonts w:ascii="Times New Roman" w:hAnsi="Times New Roman" w:cs="Times New Roman"/>
                  <w:color w:val="000000" w:themeColor="text1"/>
                </w:rPr>
                <w:t>26</w:t>
              </w:r>
              <w:r w:rsidRPr="00266B55">
                <w:rPr>
                  <w:rFonts w:ascii="Times New Roman" w:hAnsi="Times New Roman" w:cs="Times New Roman"/>
                  <w:color w:val="000000" w:themeColor="text1"/>
                </w:rPr>
                <w:t>日，该案件</w:t>
              </w:r>
              <w:r>
                <w:rPr>
                  <w:color w:val="000000" w:themeColor="text1"/>
                </w:rPr>
                <w:t>未开庭。</w:t>
              </w:r>
            </w:p>
            <w:p w14:paraId="0300C90D" w14:textId="77777777" w:rsidR="00D21C1F" w:rsidRDefault="00A42880">
              <w:pPr>
                <w:pStyle w:val="120"/>
                <w:rPr>
                  <w:color w:val="000000" w:themeColor="text1"/>
                </w:rPr>
              </w:pPr>
              <w:r>
                <w:rPr>
                  <w:color w:val="000000" w:themeColor="text1"/>
                </w:rPr>
                <w:t xml:space="preserve">    </w:t>
              </w:r>
              <w:r>
                <w:rPr>
                  <w:rFonts w:hint="eastAsia"/>
                  <w:color w:val="000000" w:themeColor="text1"/>
                </w:rPr>
                <w:t>截止</w:t>
              </w:r>
              <w:r>
                <w:rPr>
                  <w:rFonts w:ascii="Times New Roman" w:hAnsi="Times New Roman" w:cs="宋体"/>
                  <w:color w:val="000000" w:themeColor="text1"/>
                </w:rPr>
                <w:t>2021</w:t>
              </w:r>
              <w:r>
                <w:rPr>
                  <w:rFonts w:hint="eastAsia"/>
                  <w:color w:val="000000" w:themeColor="text1"/>
                </w:rPr>
                <w:t>年</w:t>
              </w:r>
              <w:r>
                <w:rPr>
                  <w:rFonts w:ascii="Times New Roman" w:hAnsi="Times New Roman" w:cs="宋体"/>
                  <w:color w:val="000000" w:themeColor="text1"/>
                </w:rPr>
                <w:t>8</w:t>
              </w:r>
              <w:r>
                <w:rPr>
                  <w:rFonts w:hint="eastAsia"/>
                  <w:color w:val="000000" w:themeColor="text1"/>
                </w:rPr>
                <w:t>月</w:t>
              </w:r>
              <w:r>
                <w:rPr>
                  <w:rFonts w:ascii="Times New Roman" w:hAnsi="Times New Roman" w:cs="宋体"/>
                  <w:color w:val="000000" w:themeColor="text1"/>
                </w:rPr>
                <w:t>26</w:t>
              </w:r>
              <w:r>
                <w:rPr>
                  <w:rFonts w:hint="eastAsia"/>
                  <w:color w:val="000000" w:themeColor="text1"/>
                </w:rPr>
                <w:t>日，本公司无需要披露的其他重大资产负债表日后事项。</w:t>
              </w:r>
            </w:p>
          </w:sdtContent>
        </w:sdt>
      </w:sdtContent>
    </w:sdt>
    <w:p w14:paraId="502DB8FC" w14:textId="77777777" w:rsidR="00D21C1F" w:rsidRDefault="00D21C1F">
      <w:pPr>
        <w:rPr>
          <w:szCs w:val="21"/>
        </w:rPr>
      </w:pPr>
    </w:p>
    <w:p w14:paraId="051E7D69" w14:textId="77777777" w:rsidR="00D21C1F" w:rsidRDefault="00A42880">
      <w:pPr>
        <w:pStyle w:val="2CharCharChar"/>
        <w:numPr>
          <w:ilvl w:val="0"/>
          <w:numId w:val="42"/>
        </w:numPr>
      </w:pPr>
      <w:r>
        <w:rPr>
          <w:rFonts w:hint="eastAsia"/>
        </w:rPr>
        <w:t>其他重要事项</w:t>
      </w:r>
    </w:p>
    <w:p w14:paraId="7DBDD1CC" w14:textId="77777777" w:rsidR="00D21C1F" w:rsidRDefault="00A42880">
      <w:pPr>
        <w:pStyle w:val="94"/>
        <w:numPr>
          <w:ilvl w:val="0"/>
          <w:numId w:val="144"/>
        </w:numPr>
        <w:rPr>
          <w:rFonts w:ascii="宋体" w:hAnsi="宋体"/>
        </w:rPr>
      </w:pPr>
      <w:r>
        <w:rPr>
          <w:rFonts w:ascii="宋体" w:hAnsi="宋体" w:hint="eastAsia"/>
        </w:rPr>
        <w:t>前期会计差错更正</w:t>
      </w:r>
    </w:p>
    <w:sdt>
      <w:sdtPr>
        <w:rPr>
          <w:rFonts w:ascii="宋体" w:eastAsia="宋体" w:hAnsi="宋体" w:cs="宋体" w:hint="eastAsia"/>
          <w:b w:val="0"/>
          <w:bCs w:val="0"/>
          <w:kern w:val="0"/>
          <w:szCs w:val="21"/>
        </w:rPr>
        <w:alias w:val="模块:会计差错更正(追溯重述)"/>
        <w:tag w:val="_GBC_cb1f61a36a2a43b0ad30697c25cce450"/>
        <w:id w:val="-1954542134"/>
        <w:lock w:val="sdtLocked"/>
        <w:placeholder>
          <w:docPart w:val="GBC22222222222222222222222222222"/>
        </w:placeholder>
      </w:sdtPr>
      <w:sdtEndPr/>
      <w:sdtContent>
        <w:p w14:paraId="76268933" w14:textId="77777777" w:rsidR="00D21C1F" w:rsidRDefault="00A42880">
          <w:pPr>
            <w:pStyle w:val="93"/>
            <w:numPr>
              <w:ilvl w:val="0"/>
              <w:numId w:val="145"/>
            </w:numPr>
            <w:tabs>
              <w:tab w:val="left" w:pos="602"/>
            </w:tabs>
            <w:rPr>
              <w:rFonts w:ascii="宋体" w:hAnsi="宋体"/>
            </w:rPr>
          </w:pPr>
          <w:r>
            <w:rPr>
              <w:rFonts w:ascii="宋体" w:hAnsi="宋体" w:hint="eastAsia"/>
            </w:rPr>
            <w:t>追溯重述法</w:t>
          </w:r>
        </w:p>
        <w:sdt>
          <w:sdtPr>
            <w:rPr>
              <w:rFonts w:hint="eastAsia"/>
              <w:szCs w:val="21"/>
            </w:rPr>
            <w:alias w:val="是否适用：追溯重述法[双击切换]"/>
            <w:tag w:val="_GBC_9d59987ec8f64e568cc0874cd76bb5ce"/>
            <w:id w:val="1423223305"/>
            <w:lock w:val="sdtLocked"/>
            <w:placeholder>
              <w:docPart w:val="GBC22222222222222222222222222222"/>
            </w:placeholder>
          </w:sdtPr>
          <w:sdtEndPr/>
          <w:sdtContent>
            <w:p w14:paraId="3F6A60BD"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862636475"/>
        <w:lock w:val="sdtLocked"/>
        <w:placeholder>
          <w:docPart w:val="GBC22222222222222222222222222222"/>
        </w:placeholder>
      </w:sdtPr>
      <w:sdtEndPr>
        <w:rPr>
          <w:rFonts w:hint="default"/>
        </w:rPr>
      </w:sdtEndPr>
      <w:sdtContent>
        <w:p w14:paraId="6F0E0C32" w14:textId="77777777" w:rsidR="00D21C1F" w:rsidRDefault="00A42880">
          <w:pPr>
            <w:pStyle w:val="93"/>
            <w:numPr>
              <w:ilvl w:val="0"/>
              <w:numId w:val="145"/>
            </w:numPr>
            <w:tabs>
              <w:tab w:val="left" w:pos="602"/>
            </w:tabs>
            <w:rPr>
              <w:rFonts w:ascii="宋体" w:hAnsi="宋体" w:cs="Cambria"/>
              <w:bCs w:val="0"/>
            </w:rPr>
          </w:pPr>
          <w:r>
            <w:rPr>
              <w:rFonts w:ascii="宋体" w:hAnsi="宋体" w:hint="eastAsia"/>
            </w:rPr>
            <w:t>未来</w:t>
          </w:r>
          <w:r>
            <w:rPr>
              <w:rFonts w:ascii="宋体" w:hAnsi="宋体" w:cs="Cambria" w:hint="eastAsia"/>
              <w:bCs w:val="0"/>
            </w:rPr>
            <w:t>适用法</w:t>
          </w:r>
        </w:p>
        <w:sdt>
          <w:sdtPr>
            <w:alias w:val="是否适用：未来适用法[双击切换]"/>
            <w:tag w:val="_GBC_add0977272ee43e7938e3e96c6aaa92d"/>
            <w:id w:val="1550656751"/>
            <w:lock w:val="sdtLocked"/>
            <w:placeholder>
              <w:docPart w:val="GBC22222222222222222222222222222"/>
            </w:placeholder>
          </w:sdtPr>
          <w:sdtEndPr/>
          <w:sdtContent>
            <w:p w14:paraId="08F6DCB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96" w:name="_Toc241636518" w:displacedByCustomXml="next"/>
    <w:sdt>
      <w:sdtPr>
        <w:rPr>
          <w:rFonts w:ascii="宋体" w:eastAsia="宋体" w:hAnsi="宋体" w:cs="宋体" w:hint="eastAsia"/>
          <w:b w:val="0"/>
          <w:bCs w:val="0"/>
          <w:kern w:val="0"/>
          <w:szCs w:val="24"/>
        </w:rPr>
        <w:alias w:val="模块:债务重组"/>
        <w:tag w:val="_GBC_998fd0c3432a41e5b98f1c74ffeda751"/>
        <w:id w:val="1021740691"/>
        <w:lock w:val="sdtLocked"/>
        <w:placeholder>
          <w:docPart w:val="GBC22222222222222222222222222222"/>
        </w:placeholder>
      </w:sdtPr>
      <w:sdtEndPr>
        <w:rPr>
          <w:rFonts w:cstheme="minorBidi"/>
          <w:szCs w:val="21"/>
        </w:rPr>
      </w:sdtEndPr>
      <w:sdtContent>
        <w:p w14:paraId="017D35F7" w14:textId="77777777" w:rsidR="00D21C1F" w:rsidRDefault="00A42880">
          <w:pPr>
            <w:pStyle w:val="94"/>
            <w:numPr>
              <w:ilvl w:val="0"/>
              <w:numId w:val="144"/>
            </w:numPr>
            <w:rPr>
              <w:rFonts w:ascii="宋体" w:hAnsi="宋体"/>
            </w:rPr>
          </w:pPr>
          <w:r>
            <w:rPr>
              <w:rFonts w:ascii="宋体" w:hAnsi="宋体" w:hint="eastAsia"/>
            </w:rPr>
            <w:t>债务重组</w:t>
          </w:r>
          <w:bookmarkEnd w:id="296"/>
        </w:p>
        <w:sdt>
          <w:sdtPr>
            <w:alias w:val="是否适用：债务重组[双击切换]"/>
            <w:tag w:val="_GBC_a39e02df9c5d42f2bd7e116f823b8615"/>
            <w:id w:val="1938015964"/>
            <w:lock w:val="sdtLocked"/>
            <w:placeholder>
              <w:docPart w:val="GBC22222222222222222222222222222"/>
            </w:placeholder>
          </w:sdtPr>
          <w:sdtEndPr/>
          <w:sdtContent>
            <w:p w14:paraId="3B8BF908"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3DD7982" w14:textId="77777777" w:rsidR="00D21C1F" w:rsidRDefault="00A42880">
      <w:pPr>
        <w:pStyle w:val="94"/>
        <w:numPr>
          <w:ilvl w:val="0"/>
          <w:numId w:val="144"/>
        </w:numPr>
        <w:rPr>
          <w:rFonts w:ascii="宋体" w:hAnsi="宋体"/>
        </w:rPr>
      </w:pPr>
      <w:r>
        <w:rPr>
          <w:rFonts w:ascii="宋体" w:hAnsi="宋体" w:hint="eastAsia"/>
        </w:rPr>
        <w:t>资产置换</w:t>
      </w:r>
    </w:p>
    <w:bookmarkStart w:id="297" w:name="_Toc161412438" w:displacedByCustomXml="next"/>
    <w:bookmarkStart w:id="298" w:name="_Toc241636517" w:displacedByCustomXml="next"/>
    <w:sdt>
      <w:sdtPr>
        <w:rPr>
          <w:rFonts w:ascii="宋体" w:eastAsia="宋体" w:hAnsi="宋体" w:cs="宋体" w:hint="eastAsia"/>
          <w:b w:val="0"/>
          <w:bCs w:val="0"/>
          <w:kern w:val="0"/>
          <w:szCs w:val="24"/>
        </w:rPr>
        <w:alias w:val="模块:非货币性资产交换"/>
        <w:tag w:val="_GBC_c8e7bc701c4e40cea43130c65dd24cdf"/>
        <w:id w:val="872428374"/>
        <w:lock w:val="sdtLocked"/>
        <w:placeholder>
          <w:docPart w:val="GBC22222222222222222222222222222"/>
        </w:placeholder>
      </w:sdtPr>
      <w:sdtEndPr>
        <w:rPr>
          <w:rFonts w:cstheme="minorBidi"/>
          <w:szCs w:val="21"/>
        </w:rPr>
      </w:sdtEndPr>
      <w:sdtContent>
        <w:p w14:paraId="628B27BF" w14:textId="77777777" w:rsidR="00D21C1F" w:rsidRDefault="00A42880">
          <w:pPr>
            <w:pStyle w:val="93"/>
            <w:numPr>
              <w:ilvl w:val="0"/>
              <w:numId w:val="146"/>
            </w:numPr>
            <w:tabs>
              <w:tab w:val="left" w:pos="644"/>
            </w:tabs>
            <w:rPr>
              <w:rFonts w:ascii="宋体" w:hAnsi="宋体"/>
            </w:rPr>
          </w:pPr>
          <w:r>
            <w:rPr>
              <w:rFonts w:ascii="宋体" w:hAnsi="宋体" w:hint="eastAsia"/>
            </w:rPr>
            <w:t>非货币性资产交换</w:t>
          </w:r>
          <w:bookmarkEnd w:id="298"/>
          <w:bookmarkEnd w:id="297"/>
        </w:p>
        <w:sdt>
          <w:sdtPr>
            <w:alias w:val="是否适用：非货币性资产交换[双击切换]"/>
            <w:tag w:val="_GBC_1e8378570c9a4db08ad001118944af2e"/>
            <w:id w:val="246924065"/>
            <w:lock w:val="sdtLocked"/>
            <w:placeholder>
              <w:docPart w:val="GBC22222222222222222222222222222"/>
            </w:placeholder>
          </w:sdtPr>
          <w:sdtEndPr/>
          <w:sdtContent>
            <w:p w14:paraId="0F80BB15"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其他资产置换资产说明"/>
        <w:tag w:val="_GBC_a7d8a797c78a4fb398d42fc923a0a5dc"/>
        <w:id w:val="339583697"/>
        <w:lock w:val="sdtLocked"/>
        <w:placeholder>
          <w:docPart w:val="GBC22222222222222222222222222222"/>
        </w:placeholder>
      </w:sdtPr>
      <w:sdtEndPr>
        <w:rPr>
          <w:rFonts w:cstheme="minorBidi"/>
        </w:rPr>
      </w:sdtEndPr>
      <w:sdtContent>
        <w:p w14:paraId="5895CF4C" w14:textId="77777777" w:rsidR="00D21C1F" w:rsidRDefault="00A42880">
          <w:pPr>
            <w:pStyle w:val="93"/>
            <w:numPr>
              <w:ilvl w:val="0"/>
              <w:numId w:val="146"/>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1132627920"/>
            <w:lock w:val="sdtLocked"/>
            <w:placeholder>
              <w:docPart w:val="GBC22222222222222222222222222222"/>
            </w:placeholder>
          </w:sdtPr>
          <w:sdtEndPr/>
          <w:sdtContent>
            <w:p w14:paraId="063E7912"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99" w:name="_Toc247371936" w:displacedByCustomXml="next"/>
    <w:sdt>
      <w:sdtPr>
        <w:rPr>
          <w:rFonts w:ascii="宋体" w:eastAsia="宋体" w:hAnsi="宋体" w:cs="宋体" w:hint="eastAsia"/>
          <w:b w:val="0"/>
          <w:bCs w:val="0"/>
          <w:kern w:val="0"/>
          <w:szCs w:val="24"/>
        </w:rPr>
        <w:alias w:val="模块:年金计划主要内容及重大变化"/>
        <w:tag w:val="_GBC_868ef73c1ce14e36a7c8c41a6c9d1268"/>
        <w:id w:val="-1995720342"/>
        <w:lock w:val="sdtLocked"/>
        <w:placeholder>
          <w:docPart w:val="GBC22222222222222222222222222222"/>
        </w:placeholder>
      </w:sdtPr>
      <w:sdtEndPr>
        <w:rPr>
          <w:rFonts w:cstheme="minorBidi"/>
          <w:szCs w:val="21"/>
        </w:rPr>
      </w:sdtEndPr>
      <w:sdtContent>
        <w:p w14:paraId="25B74E94" w14:textId="77777777" w:rsidR="00D21C1F" w:rsidRDefault="00A42880">
          <w:pPr>
            <w:pStyle w:val="94"/>
            <w:numPr>
              <w:ilvl w:val="0"/>
              <w:numId w:val="144"/>
            </w:numPr>
            <w:rPr>
              <w:rFonts w:ascii="宋体" w:hAnsi="宋体"/>
            </w:rPr>
          </w:pPr>
          <w:r>
            <w:rPr>
              <w:rFonts w:ascii="宋体" w:hAnsi="宋体" w:hint="eastAsia"/>
            </w:rPr>
            <w:t>年金计划</w:t>
          </w:r>
          <w:bookmarkEnd w:id="299"/>
        </w:p>
        <w:sdt>
          <w:sdtPr>
            <w:alias w:val="是否适用：年金计划[双击切换]"/>
            <w:tag w:val="_GBC_f69a163f78f74a54a6443aaa7388f0dd"/>
            <w:id w:val="-1864200533"/>
            <w:lock w:val="sdtLocked"/>
            <w:placeholder>
              <w:docPart w:val="GBC22222222222222222222222222222"/>
            </w:placeholder>
          </w:sdtPr>
          <w:sdtEndPr/>
          <w:sdtContent>
            <w:p w14:paraId="044E4F99" w14:textId="77777777" w:rsidR="00D21C1F" w:rsidRDefault="00A42880">
              <w:pPr>
                <w:rPr>
                  <w:rFonts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终止经营"/>
        <w:tag w:val="_GBC_eb9f713a39454ce1a2b0b09086ca70cc"/>
        <w:id w:val="846295119"/>
        <w:lock w:val="sdtLocked"/>
        <w:placeholder>
          <w:docPart w:val="GBC22222222222222222222222222222"/>
        </w:placeholder>
      </w:sdtPr>
      <w:sdtEndPr>
        <w:rPr>
          <w:rFonts w:cstheme="minorBidi"/>
          <w:kern w:val="2"/>
        </w:rPr>
      </w:sdtEndPr>
      <w:sdtContent>
        <w:p w14:paraId="4B504D2A" w14:textId="77777777" w:rsidR="00D21C1F" w:rsidRDefault="00A42880">
          <w:pPr>
            <w:pStyle w:val="94"/>
            <w:numPr>
              <w:ilvl w:val="0"/>
              <w:numId w:val="144"/>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1938087905"/>
            <w:lock w:val="sdtLocked"/>
            <w:placeholder>
              <w:docPart w:val="GBC22222222222222222222222222222"/>
            </w:placeholder>
          </w:sdtPr>
          <w:sdtEndPr/>
          <w:sdtContent>
            <w:p w14:paraId="62AD210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6D891B6" w14:textId="77777777" w:rsidR="00D21C1F" w:rsidRDefault="00D21C1F">
      <w:pPr>
        <w:rPr>
          <w:szCs w:val="21"/>
        </w:rPr>
      </w:pPr>
    </w:p>
    <w:p w14:paraId="5D5AC53D" w14:textId="77777777" w:rsidR="00D21C1F" w:rsidRDefault="00A42880">
      <w:pPr>
        <w:pStyle w:val="94"/>
        <w:numPr>
          <w:ilvl w:val="0"/>
          <w:numId w:val="144"/>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1"/>
        </w:rPr>
        <w:alias w:val="模块:分部信息报告分部的确定依据与会计政策"/>
        <w:tag w:val="_GBC_a659f5b3817d4a3394d1850cd82bbbab"/>
        <w:id w:val="804209337"/>
        <w:lock w:val="sdtLocked"/>
        <w:placeholder>
          <w:docPart w:val="GBC22222222222222222222222222222"/>
        </w:placeholder>
      </w:sdtPr>
      <w:sdtEndPr>
        <w:rPr>
          <w:rFonts w:hint="default"/>
        </w:rPr>
      </w:sdtEndPr>
      <w:sdtContent>
        <w:p w14:paraId="7E4D91FE" w14:textId="77777777" w:rsidR="00D21C1F" w:rsidRDefault="00A42880">
          <w:pPr>
            <w:pStyle w:val="93"/>
            <w:numPr>
              <w:ilvl w:val="1"/>
              <w:numId w:val="147"/>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728538028"/>
            <w:lock w:val="sdtLocked"/>
            <w:placeholder>
              <w:docPart w:val="GBC22222222222222222222222222222"/>
            </w:placeholder>
          </w:sdtPr>
          <w:sdtEndPr/>
          <w:sdtContent>
            <w:p w14:paraId="00E6BF8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eastAsiaTheme="minorEastAsia"/>
              <w:szCs w:val="21"/>
            </w:rPr>
            <w:alias w:val="报告分部的确定依据与会计政策"/>
            <w:tag w:val="_GBC_025e15951a494fa2845d296cf8db1fdb"/>
            <w:id w:val="869957574"/>
            <w:lock w:val="sdtLocked"/>
          </w:sdtPr>
          <w:sdtEndPr/>
          <w:sdtContent>
            <w:p w14:paraId="2F4D5FA7" w14:textId="77777777" w:rsidR="00D21C1F" w:rsidRDefault="00A42880">
              <w:pPr>
                <w:spacing w:line="360" w:lineRule="auto"/>
                <w:ind w:firstLineChars="200" w:firstLine="420"/>
                <w:jc w:val="both"/>
                <w:rPr>
                  <w:szCs w:val="21"/>
                </w:rPr>
              </w:pPr>
              <w:r>
                <w:rPr>
                  <w:rFonts w:hint="eastAsia"/>
                  <w:szCs w:val="21"/>
                </w:rPr>
                <w:t>本公司主营业务包括机器人整机和系统集成业务。</w:t>
              </w:r>
            </w:p>
            <w:p w14:paraId="465B4E74" w14:textId="77777777" w:rsidR="00D21C1F" w:rsidRDefault="00A42880">
              <w:pPr>
                <w:spacing w:line="360" w:lineRule="auto"/>
                <w:ind w:firstLineChars="200" w:firstLine="420"/>
                <w:jc w:val="both"/>
                <w:rPr>
                  <w:szCs w:val="21"/>
                </w:rPr>
              </w:pPr>
              <w:r>
                <w:rPr>
                  <w:rFonts w:hint="eastAsia"/>
                  <w:szCs w:val="21"/>
                </w:rPr>
                <w:t>公司销售产品市场包括国内、国外。</w:t>
              </w:r>
            </w:p>
            <w:p w14:paraId="37DD93BE" w14:textId="77777777" w:rsidR="00D21C1F" w:rsidRDefault="00A42880">
              <w:pPr>
                <w:spacing w:line="360" w:lineRule="auto"/>
                <w:ind w:firstLineChars="200" w:firstLine="420"/>
                <w:jc w:val="both"/>
                <w:rPr>
                  <w:szCs w:val="21"/>
                </w:rPr>
              </w:pPr>
              <w:r>
                <w:rPr>
                  <w:rFonts w:hint="eastAsia"/>
                  <w:szCs w:val="21"/>
                </w:rPr>
                <w:t>本公司根据内部组织结构、管理要求及内部报告制度来划分报告分部，并决定向报告分部来分配资源及评价其业绩。</w:t>
              </w:r>
            </w:p>
            <w:p w14:paraId="4A79A8DA" w14:textId="77777777" w:rsidR="00D21C1F" w:rsidRDefault="00A42880">
              <w:pPr>
                <w:pStyle w:val="97"/>
                <w:spacing w:line="360" w:lineRule="auto"/>
                <w:ind w:firstLineChars="200" w:firstLine="420"/>
                <w:jc w:val="both"/>
              </w:pPr>
              <w:r>
                <w:rPr>
                  <w:rFonts w:hint="eastAsia"/>
                  <w:szCs w:val="21"/>
                </w:rPr>
                <w:t>由于本公司分配资源及评价业绩系以机器人整机和系统集成业务为基础，是本公司内部报告的经营分部。按照销售收入的区域来源地划分区域收入。</w:t>
              </w:r>
            </w:p>
          </w:sdtContent>
        </w:sdt>
        <w:p w14:paraId="384FA251" w14:textId="77777777" w:rsidR="00D21C1F" w:rsidRDefault="00045EC6">
          <w:pPr>
            <w:rPr>
              <w:szCs w:val="21"/>
            </w:rPr>
          </w:pPr>
        </w:p>
      </w:sdtContent>
    </w:sdt>
    <w:sdt>
      <w:sdtPr>
        <w:rPr>
          <w:rFonts w:ascii="宋体" w:hAnsi="宋体" w:cs="宋体" w:hint="eastAsia"/>
          <w:b w:val="0"/>
          <w:bCs w:val="0"/>
          <w:kern w:val="0"/>
          <w:szCs w:val="24"/>
        </w:rPr>
        <w:alias w:val="模块:报告分部的财务信息"/>
        <w:tag w:val="_GBC_7bcfc6b35dea4597b05ae9db882c542b"/>
        <w:id w:val="1267963979"/>
        <w:lock w:val="sdtLocked"/>
        <w:placeholder>
          <w:docPart w:val="GBC22222222222222222222222222222"/>
        </w:placeholder>
      </w:sdtPr>
      <w:sdtEndPr>
        <w:rPr>
          <w:rFonts w:hint="default"/>
          <w:szCs w:val="21"/>
        </w:rPr>
      </w:sdtEndPr>
      <w:sdtContent>
        <w:p w14:paraId="6212BF36" w14:textId="77777777" w:rsidR="00D21C1F" w:rsidRDefault="00A42880">
          <w:pPr>
            <w:pStyle w:val="93"/>
            <w:numPr>
              <w:ilvl w:val="1"/>
              <w:numId w:val="147"/>
            </w:numPr>
            <w:tabs>
              <w:tab w:val="left" w:pos="644"/>
            </w:tabs>
            <w:ind w:left="420"/>
            <w:rPr>
              <w:rFonts w:ascii="宋体" w:hAnsi="宋体"/>
            </w:rPr>
          </w:pPr>
          <w:r>
            <w:rPr>
              <w:rFonts w:ascii="宋体" w:hAnsi="宋体" w:hint="eastAsia"/>
            </w:rPr>
            <w:t>报告分部的财务信息</w:t>
          </w:r>
        </w:p>
        <w:sdt>
          <w:sdtPr>
            <w:alias w:val="是否适用：报告分部的财务信息[双击切换]"/>
            <w:tag w:val="_GBC_25e6ee3686524d959ae273bb5aaa9cfb"/>
            <w:id w:val="284546538"/>
            <w:lock w:val="sdtLocked"/>
            <w:placeholder>
              <w:docPart w:val="GBC22222222222222222222222222222"/>
            </w:placeholder>
          </w:sdtPr>
          <w:sdtEndPr/>
          <w:sdtContent>
            <w:p w14:paraId="043E66E4"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FDFE5C" w14:textId="77777777" w:rsidR="00D21C1F" w:rsidRDefault="00A42880">
          <w:pPr>
            <w:pStyle w:val="67"/>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8265089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报告分部的财务信息"/>
              <w:tag w:val="_GBC_22cbe62652b3461e90f84a6c3cef03c1"/>
              <w:id w:val="1052814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206"/>
            <w:gridCol w:w="2206"/>
            <w:gridCol w:w="2206"/>
          </w:tblGrid>
          <w:tr w:rsidR="00D21C1F" w14:paraId="79CED172" w14:textId="77777777">
            <w:sdt>
              <w:sdtPr>
                <w:tag w:val="_PLD_2124bd1595e9432ab250a15c084078c3"/>
                <w:id w:val="-53925496"/>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7313FED6" w14:textId="77777777" w:rsidR="00D21C1F" w:rsidRDefault="00A42880">
                    <w:pPr>
                      <w:jc w:val="center"/>
                      <w:rPr>
                        <w:szCs w:val="21"/>
                      </w:rPr>
                    </w:pPr>
                    <w:r>
                      <w:rPr>
                        <w:rFonts w:hint="eastAsia"/>
                        <w:szCs w:val="21"/>
                      </w:rPr>
                      <w:t>项目</w:t>
                    </w:r>
                  </w:p>
                </w:tc>
              </w:sdtContent>
            </w:sdt>
            <w:sdt>
              <w:sdtPr>
                <w:rPr>
                  <w:szCs w:val="21"/>
                </w:rPr>
                <w:alias w:val="分部报告科目名称"/>
                <w:tag w:val="_GBC_24843a4914494260b42de1b13e529c2d"/>
                <w:id w:val="-1570730075"/>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61245BC4" w14:textId="77777777" w:rsidR="00D21C1F" w:rsidRDefault="00A42880">
                    <w:pPr>
                      <w:jc w:val="center"/>
                      <w:rPr>
                        <w:szCs w:val="21"/>
                      </w:rPr>
                    </w:pPr>
                    <w:r>
                      <w:rPr>
                        <w:rFonts w:hint="eastAsia"/>
                        <w:szCs w:val="21"/>
                      </w:rPr>
                      <w:t>机器人整机</w:t>
                    </w:r>
                  </w:p>
                </w:tc>
              </w:sdtContent>
            </w:sdt>
            <w:sdt>
              <w:sdtPr>
                <w:rPr>
                  <w:szCs w:val="21"/>
                </w:rPr>
                <w:alias w:val="分部报告科目名称"/>
                <w:tag w:val="_GBC_24843a4914494260b42de1b13e529c2d"/>
                <w:id w:val="246152408"/>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4AE14A24" w14:textId="77777777" w:rsidR="00D21C1F" w:rsidRDefault="00A42880">
                    <w:pPr>
                      <w:jc w:val="center"/>
                      <w:rPr>
                        <w:szCs w:val="21"/>
                      </w:rPr>
                    </w:pPr>
                    <w:r>
                      <w:rPr>
                        <w:rFonts w:hint="eastAsia"/>
                        <w:szCs w:val="21"/>
                      </w:rPr>
                      <w:t>系统集成</w:t>
                    </w:r>
                  </w:p>
                </w:tc>
              </w:sdtContent>
            </w:sdt>
            <w:sdt>
              <w:sdtPr>
                <w:tag w:val="_PLD_fa3be9e49ff54f5f94b69f487029a441"/>
                <w:id w:val="1230036933"/>
                <w:lock w:val="sdtLocked"/>
              </w:sdtPr>
              <w:sdtEnd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3FE61C0C" w14:textId="77777777" w:rsidR="00D21C1F" w:rsidRDefault="00A42880">
                    <w:pPr>
                      <w:jc w:val="center"/>
                      <w:rPr>
                        <w:szCs w:val="21"/>
                      </w:rPr>
                    </w:pPr>
                    <w:r>
                      <w:rPr>
                        <w:rFonts w:hint="eastAsia"/>
                        <w:szCs w:val="21"/>
                      </w:rPr>
                      <w:t>合计</w:t>
                    </w:r>
                  </w:p>
                </w:tc>
              </w:sdtContent>
            </w:sdt>
          </w:tr>
          <w:sdt>
            <w:sdtPr>
              <w:rPr>
                <w:rFonts w:ascii="Times New Roman" w:hAnsi="Times New Roman" w:cs="Times New Roman"/>
                <w:szCs w:val="21"/>
              </w:rPr>
              <w:alias w:val="报告分部的财务信息明细"/>
              <w:tag w:val="_GBC_435f11a5acef4777992074d40da0f5c0"/>
              <w:id w:val="-250975064"/>
              <w:lock w:val="sdtLocked"/>
            </w:sdtPr>
            <w:sdtEndPr/>
            <w:sdtContent>
              <w:tr w:rsidR="00D21C1F" w:rsidRPr="00266B55" w14:paraId="01DD6529" w14:textId="77777777">
                <w:tc>
                  <w:tcPr>
                    <w:tcW w:w="500" w:type="pct"/>
                    <w:tcBorders>
                      <w:top w:val="single" w:sz="4" w:space="0" w:color="auto"/>
                      <w:left w:val="single" w:sz="4" w:space="0" w:color="auto"/>
                      <w:bottom w:val="single" w:sz="4" w:space="0" w:color="auto"/>
                      <w:right w:val="single" w:sz="4" w:space="0" w:color="auto"/>
                    </w:tcBorders>
                    <w:shd w:val="clear" w:color="auto" w:fill="auto"/>
                  </w:tcPr>
                  <w:p w14:paraId="0E46017F"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主营业务收入</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EB41B0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216,516,886.37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E7D0C91"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346,406,553.77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E5805A5"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562,923,440.14</w:t>
                    </w:r>
                  </w:p>
                </w:tc>
              </w:tr>
            </w:sdtContent>
          </w:sdt>
          <w:sdt>
            <w:sdtPr>
              <w:rPr>
                <w:rFonts w:ascii="Times New Roman" w:hAnsi="Times New Roman" w:cs="Times New Roman"/>
                <w:szCs w:val="21"/>
              </w:rPr>
              <w:alias w:val="报告分部的财务信息明细"/>
              <w:tag w:val="_GBC_435f11a5acef4777992074d40da0f5c0"/>
              <w:id w:val="-1058090152"/>
              <w:lock w:val="sdtLocked"/>
            </w:sdtPr>
            <w:sdtEndPr/>
            <w:sdtContent>
              <w:tr w:rsidR="00D21C1F" w:rsidRPr="00266B55" w14:paraId="1DB57898" w14:textId="77777777">
                <w:tc>
                  <w:tcPr>
                    <w:tcW w:w="500" w:type="pct"/>
                    <w:tcBorders>
                      <w:top w:val="single" w:sz="4" w:space="0" w:color="auto"/>
                      <w:left w:val="single" w:sz="4" w:space="0" w:color="auto"/>
                      <w:bottom w:val="single" w:sz="4" w:space="0" w:color="auto"/>
                      <w:right w:val="single" w:sz="4" w:space="0" w:color="auto"/>
                    </w:tcBorders>
                    <w:shd w:val="clear" w:color="auto" w:fill="auto"/>
                  </w:tcPr>
                  <w:p w14:paraId="257E7DAF"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主营业务成本</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0A8675D"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174,407,175.17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7921B8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298,429,607.12</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B36BB2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472,836,782.29</w:t>
                    </w:r>
                  </w:p>
                </w:tc>
              </w:tr>
            </w:sdtContent>
          </w:sdt>
        </w:tbl>
        <w:p w14:paraId="55E01B03" w14:textId="77777777" w:rsidR="00D21C1F" w:rsidRPr="00266B55" w:rsidRDefault="00D21C1F">
          <w:pPr>
            <w:pStyle w:val="97"/>
            <w:rPr>
              <w:rFonts w:ascii="Times New Roman" w:hAnsi="Times New Roman" w:cs="Times New Roman"/>
            </w:rPr>
          </w:pPr>
        </w:p>
        <w:tbl>
          <w:tblPr>
            <w:tblStyle w:val="g3"/>
            <w:tblW w:w="0" w:type="auto"/>
            <w:tblInd w:w="0" w:type="dxa"/>
            <w:tblLook w:val="04A0" w:firstRow="1" w:lastRow="0" w:firstColumn="1" w:lastColumn="0" w:noHBand="0" w:noVBand="1"/>
          </w:tblPr>
          <w:tblGrid>
            <w:gridCol w:w="2168"/>
            <w:gridCol w:w="2218"/>
            <w:gridCol w:w="2218"/>
            <w:gridCol w:w="2219"/>
          </w:tblGrid>
          <w:tr w:rsidR="00D21C1F" w:rsidRPr="00266B55" w14:paraId="36DDDE48" w14:textId="77777777">
            <w:tc>
              <w:tcPr>
                <w:tcW w:w="2262" w:type="dxa"/>
              </w:tcPr>
              <w:p w14:paraId="117919FC" w14:textId="77777777" w:rsidR="00D21C1F" w:rsidRPr="00266B55" w:rsidRDefault="00D21C1F">
                <w:pPr>
                  <w:pStyle w:val="97"/>
                  <w:rPr>
                    <w:rFonts w:ascii="Times New Roman" w:hAnsi="Times New Roman" w:cs="Times New Roman"/>
                  </w:rPr>
                </w:pPr>
              </w:p>
            </w:tc>
            <w:tc>
              <w:tcPr>
                <w:tcW w:w="2262" w:type="dxa"/>
              </w:tcPr>
              <w:p w14:paraId="6DE68E7E" w14:textId="77777777" w:rsidR="00D21C1F" w:rsidRPr="00266B55" w:rsidRDefault="00A42880">
                <w:pPr>
                  <w:jc w:val="center"/>
                  <w:rPr>
                    <w:rFonts w:ascii="Times New Roman" w:hAnsi="Times New Roman" w:cs="Times New Roman"/>
                    <w:color w:val="000000"/>
                    <w:szCs w:val="21"/>
                  </w:rPr>
                </w:pPr>
                <w:r w:rsidRPr="00266B55">
                  <w:rPr>
                    <w:rFonts w:ascii="Times New Roman" w:hAnsi="Times New Roman" w:cs="Times New Roman"/>
                    <w:color w:val="000000"/>
                    <w:szCs w:val="21"/>
                  </w:rPr>
                  <w:t>中国大陆</w:t>
                </w:r>
              </w:p>
            </w:tc>
            <w:tc>
              <w:tcPr>
                <w:tcW w:w="2262" w:type="dxa"/>
              </w:tcPr>
              <w:p w14:paraId="40F56F96" w14:textId="77777777" w:rsidR="00D21C1F" w:rsidRPr="00266B55" w:rsidRDefault="00A42880">
                <w:pPr>
                  <w:jc w:val="center"/>
                  <w:rPr>
                    <w:rFonts w:ascii="Times New Roman" w:hAnsi="Times New Roman" w:cs="Times New Roman"/>
                    <w:color w:val="000000"/>
                    <w:szCs w:val="21"/>
                  </w:rPr>
                </w:pPr>
                <w:r w:rsidRPr="00266B55">
                  <w:rPr>
                    <w:rFonts w:ascii="Times New Roman" w:hAnsi="Times New Roman" w:cs="Times New Roman"/>
                    <w:color w:val="000000"/>
                    <w:szCs w:val="21"/>
                  </w:rPr>
                  <w:t>其他国家和地区</w:t>
                </w:r>
              </w:p>
            </w:tc>
            <w:tc>
              <w:tcPr>
                <w:tcW w:w="2263" w:type="dxa"/>
              </w:tcPr>
              <w:p w14:paraId="22C6920E" w14:textId="77777777" w:rsidR="00D21C1F" w:rsidRPr="00266B55" w:rsidRDefault="00A42880">
                <w:pPr>
                  <w:jc w:val="center"/>
                  <w:rPr>
                    <w:rFonts w:ascii="Times New Roman" w:hAnsi="Times New Roman" w:cs="Times New Roman"/>
                  </w:rPr>
                </w:pPr>
                <w:r w:rsidRPr="00266B55">
                  <w:rPr>
                    <w:rFonts w:ascii="Times New Roman" w:hAnsi="Times New Roman" w:cs="Times New Roman"/>
                  </w:rPr>
                  <w:t>合计</w:t>
                </w:r>
              </w:p>
            </w:tc>
          </w:tr>
          <w:tr w:rsidR="00D21C1F" w:rsidRPr="00266B55" w14:paraId="1955238E" w14:textId="77777777">
            <w:tc>
              <w:tcPr>
                <w:tcW w:w="2262" w:type="dxa"/>
              </w:tcPr>
              <w:p w14:paraId="78A536A9" w14:textId="77777777" w:rsidR="00D21C1F" w:rsidRPr="00266B55" w:rsidRDefault="00A42880">
                <w:pPr>
                  <w:pStyle w:val="97"/>
                  <w:rPr>
                    <w:rFonts w:ascii="Times New Roman" w:hAnsi="Times New Roman" w:cs="Times New Roman"/>
                  </w:rPr>
                </w:pPr>
                <w:r w:rsidRPr="00266B55">
                  <w:rPr>
                    <w:rFonts w:ascii="Times New Roman" w:hAnsi="Times New Roman" w:cs="Times New Roman"/>
                  </w:rPr>
                  <w:t>主营业务收入</w:t>
                </w:r>
              </w:p>
            </w:tc>
            <w:tc>
              <w:tcPr>
                <w:tcW w:w="2262" w:type="dxa"/>
                <w:vAlign w:val="bottom"/>
              </w:tcPr>
              <w:p w14:paraId="752EEEAC"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340,444,394.71</w:t>
                </w:r>
              </w:p>
            </w:tc>
            <w:tc>
              <w:tcPr>
                <w:tcW w:w="2262" w:type="dxa"/>
                <w:vAlign w:val="bottom"/>
              </w:tcPr>
              <w:p w14:paraId="2487314D"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222,479,045.43</w:t>
                </w:r>
              </w:p>
            </w:tc>
            <w:tc>
              <w:tcPr>
                <w:tcW w:w="2263" w:type="dxa"/>
                <w:vAlign w:val="bottom"/>
              </w:tcPr>
              <w:p w14:paraId="717B1157"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562,923,440.14</w:t>
                </w:r>
              </w:p>
            </w:tc>
          </w:tr>
          <w:tr w:rsidR="00D21C1F" w:rsidRPr="00266B55" w14:paraId="70570E34" w14:textId="77777777">
            <w:tc>
              <w:tcPr>
                <w:tcW w:w="2262" w:type="dxa"/>
              </w:tcPr>
              <w:p w14:paraId="7241B641" w14:textId="77777777" w:rsidR="00D21C1F" w:rsidRPr="00266B55" w:rsidRDefault="00A42880">
                <w:pPr>
                  <w:pStyle w:val="97"/>
                  <w:rPr>
                    <w:rFonts w:ascii="Times New Roman" w:hAnsi="Times New Roman" w:cs="Times New Roman"/>
                  </w:rPr>
                </w:pPr>
                <w:r w:rsidRPr="00266B55">
                  <w:rPr>
                    <w:rFonts w:ascii="Times New Roman" w:hAnsi="Times New Roman" w:cs="Times New Roman"/>
                  </w:rPr>
                  <w:t>主营业务成本</w:t>
                </w:r>
              </w:p>
            </w:tc>
            <w:tc>
              <w:tcPr>
                <w:tcW w:w="2262" w:type="dxa"/>
                <w:vAlign w:val="bottom"/>
              </w:tcPr>
              <w:p w14:paraId="5DF9DA3E"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274,132,897.68</w:t>
                </w:r>
              </w:p>
            </w:tc>
            <w:tc>
              <w:tcPr>
                <w:tcW w:w="2262" w:type="dxa"/>
                <w:vAlign w:val="bottom"/>
              </w:tcPr>
              <w:p w14:paraId="55365576"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198,703,884.61</w:t>
                </w:r>
              </w:p>
            </w:tc>
            <w:tc>
              <w:tcPr>
                <w:tcW w:w="2263" w:type="dxa"/>
                <w:vAlign w:val="bottom"/>
              </w:tcPr>
              <w:p w14:paraId="20798103"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472,836,782.29</w:t>
                </w:r>
              </w:p>
            </w:tc>
          </w:tr>
        </w:tbl>
        <w:p w14:paraId="56C8D0FB" w14:textId="77777777" w:rsidR="00D21C1F" w:rsidRDefault="00045EC6">
          <w:pPr>
            <w:pStyle w:val="97"/>
            <w:rPr>
              <w:szCs w:val="21"/>
            </w:rPr>
          </w:pPr>
        </w:p>
      </w:sdtContent>
    </w:sdt>
    <w:p w14:paraId="71062331" w14:textId="77777777" w:rsidR="00D21C1F" w:rsidRDefault="00A42880">
      <w:pPr>
        <w:pStyle w:val="97"/>
      </w:pPr>
      <w:r>
        <w:rPr>
          <w:szCs w:val="21"/>
        </w:rPr>
        <w:t xml:space="preserve"> </w:t>
      </w:r>
    </w:p>
    <w:sdt>
      <w:sdtPr>
        <w:rPr>
          <w:rFonts w:ascii="宋体" w:eastAsia="宋体" w:hAnsi="宋体" w:cs="宋体" w:hint="eastAsia"/>
          <w:b w:val="0"/>
          <w:bCs w:val="0"/>
          <w:kern w:val="0"/>
          <w:szCs w:val="21"/>
        </w:rPr>
        <w:alias w:val="模块:公司无报告分部的，或者不能披露各报告分部的资产总额和负债总额的，应说明原因"/>
        <w:tag w:val="_GBC_0a73290869524182a42675dee97eaa48"/>
        <w:id w:val="1733191348"/>
        <w:lock w:val="sdtLocked"/>
        <w:placeholder>
          <w:docPart w:val="GBC22222222222222222222222222222"/>
        </w:placeholder>
      </w:sdtPr>
      <w:sdtEndPr/>
      <w:sdtContent>
        <w:p w14:paraId="1381123A" w14:textId="77777777" w:rsidR="00D21C1F" w:rsidRDefault="00A42880">
          <w:pPr>
            <w:pStyle w:val="93"/>
            <w:numPr>
              <w:ilvl w:val="1"/>
              <w:numId w:val="147"/>
            </w:numPr>
            <w:tabs>
              <w:tab w:val="left" w:pos="644"/>
            </w:tabs>
            <w:ind w:left="420"/>
            <w:rPr>
              <w:rFonts w:ascii="宋体" w:hAnsi="宋体"/>
              <w:szCs w:val="21"/>
            </w:rPr>
          </w:pPr>
          <w:r>
            <w:rPr>
              <w:rFonts w:ascii="宋体" w:hAnsi="宋体"/>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889658948"/>
            <w:lock w:val="sdtLocked"/>
            <w:placeholder>
              <w:docPart w:val="GBC22222222222222222222222222222"/>
            </w:placeholder>
          </w:sdtPr>
          <w:sdtEndPr/>
          <w:sdtContent>
            <w:p w14:paraId="59A5059F"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AD59AB3" w14:textId="77777777" w:rsidR="00D21C1F" w:rsidRDefault="00D21C1F">
      <w:pPr>
        <w:rPr>
          <w:szCs w:val="21"/>
        </w:rPr>
      </w:pPr>
    </w:p>
    <w:sdt>
      <w:sdtPr>
        <w:rPr>
          <w:rFonts w:ascii="宋体" w:eastAsia="宋体" w:hAnsi="宋体" w:cs="宋体" w:hint="eastAsia"/>
          <w:b w:val="0"/>
          <w:bCs w:val="0"/>
          <w:kern w:val="0"/>
          <w:szCs w:val="21"/>
        </w:rPr>
        <w:alias w:val="模块:分部信息其他说明"/>
        <w:tag w:val="_GBC_bf8b759cb5b84035861b501b67f52f53"/>
        <w:id w:val="-1928418165"/>
        <w:lock w:val="sdtLocked"/>
        <w:placeholder>
          <w:docPart w:val="GBC22222222222222222222222222222"/>
        </w:placeholder>
      </w:sdtPr>
      <w:sdtEndPr/>
      <w:sdtContent>
        <w:p w14:paraId="5F9C9B1E" w14:textId="77777777" w:rsidR="00D21C1F" w:rsidRDefault="00A42880">
          <w:pPr>
            <w:pStyle w:val="93"/>
            <w:numPr>
              <w:ilvl w:val="1"/>
              <w:numId w:val="147"/>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1448511693"/>
            <w:lock w:val="sdtLocked"/>
            <w:placeholder>
              <w:docPart w:val="GBC22222222222222222222222222222"/>
            </w:placeholder>
          </w:sdtPr>
          <w:sdtEndPr/>
          <w:sdtContent>
            <w:p w14:paraId="15F7C2CA"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CF880A5" w14:textId="77777777" w:rsidR="00D21C1F" w:rsidRDefault="00045EC6">
          <w:pPr>
            <w:rPr>
              <w:szCs w:val="21"/>
            </w:rPr>
          </w:pPr>
        </w:p>
      </w:sdtContent>
    </w:sdt>
    <w:bookmarkStart w:id="300" w:name="_Toc241636520" w:displacedByCustomXml="next"/>
    <w:bookmarkEnd w:id="300" w:displacedByCustomXml="next"/>
    <w:sdt>
      <w:sdtPr>
        <w:rPr>
          <w:rFonts w:ascii="宋体" w:eastAsia="宋体" w:hAnsi="宋体" w:cs="宋体" w:hint="eastAsia"/>
          <w:b w:val="0"/>
          <w:bCs w:val="0"/>
          <w:kern w:val="0"/>
          <w:szCs w:val="21"/>
        </w:rPr>
        <w:alias w:val="模块:其他重要事项说明"/>
        <w:tag w:val="_GBC_0e2af5e32a53408bb340218a0c352be0"/>
        <w:id w:val="-1454087726"/>
        <w:lock w:val="sdtLocked"/>
        <w:placeholder>
          <w:docPart w:val="GBC22222222222222222222222222222"/>
        </w:placeholder>
      </w:sdtPr>
      <w:sdtEndPr>
        <w:rPr>
          <w:rFonts w:cstheme="minorBidi"/>
          <w:kern w:val="2"/>
        </w:rPr>
      </w:sdtEndPr>
      <w:sdtContent>
        <w:p w14:paraId="446C1BCC" w14:textId="77777777" w:rsidR="00D21C1F" w:rsidRDefault="00A42880">
          <w:pPr>
            <w:pStyle w:val="94"/>
            <w:numPr>
              <w:ilvl w:val="0"/>
              <w:numId w:val="144"/>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146582100"/>
            <w:lock w:val="sdtLocked"/>
            <w:placeholder>
              <w:docPart w:val="GBC22222222222222222222222222222"/>
            </w:placeholder>
          </w:sdtPr>
          <w:sdtEndPr/>
          <w:sdtContent>
            <w:p w14:paraId="0273437F"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AF0FF35" w14:textId="77777777" w:rsidR="00D21C1F" w:rsidRDefault="00D21C1F">
      <w:pPr>
        <w:rPr>
          <w:szCs w:val="21"/>
        </w:rPr>
      </w:pPr>
    </w:p>
    <w:sdt>
      <w:sdtPr>
        <w:rPr>
          <w:rFonts w:ascii="宋体" w:eastAsia="宋体" w:hAnsi="宋体" w:cs="宋体"/>
          <w:b w:val="0"/>
          <w:bCs w:val="0"/>
          <w:kern w:val="0"/>
          <w:szCs w:val="21"/>
        </w:rPr>
        <w:alias w:val="模块:其他重要事项的说明"/>
        <w:tag w:val="_GBC_a9d998641356411784b3ec54387f322d"/>
        <w:id w:val="2105529434"/>
        <w:lock w:val="sdtLocked"/>
        <w:placeholder>
          <w:docPart w:val="GBC22222222222222222222222222222"/>
        </w:placeholder>
      </w:sdtPr>
      <w:sdtEndPr/>
      <w:sdtContent>
        <w:p w14:paraId="2A7B6435" w14:textId="77777777" w:rsidR="00D21C1F" w:rsidRDefault="00A42880">
          <w:pPr>
            <w:pStyle w:val="94"/>
            <w:numPr>
              <w:ilvl w:val="0"/>
              <w:numId w:val="144"/>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234668415"/>
            <w:lock w:val="sdtLocked"/>
            <w:placeholder>
              <w:docPart w:val="GBC22222222222222222222222222222"/>
            </w:placeholder>
          </w:sdtPr>
          <w:sdtEndPr/>
          <w:sdtContent>
            <w:p w14:paraId="5AC00877"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4119473" w14:textId="77777777" w:rsidR="00D21C1F" w:rsidRDefault="00D21C1F">
      <w:pPr>
        <w:rPr>
          <w:szCs w:val="21"/>
        </w:rPr>
      </w:pPr>
    </w:p>
    <w:p w14:paraId="0178C3BE" w14:textId="77777777" w:rsidR="00D21C1F" w:rsidRDefault="00A42880">
      <w:pPr>
        <w:pStyle w:val="2CharCharChar"/>
        <w:numPr>
          <w:ilvl w:val="0"/>
          <w:numId w:val="42"/>
        </w:numPr>
      </w:pPr>
      <w:r>
        <w:rPr>
          <w:rFonts w:hint="eastAsia"/>
        </w:rPr>
        <w:t>母公司财务报表主要项目注释</w:t>
      </w:r>
    </w:p>
    <w:p w14:paraId="10F9F9D6" w14:textId="77777777" w:rsidR="00D21C1F" w:rsidRDefault="00A42880">
      <w:pPr>
        <w:pStyle w:val="94"/>
        <w:numPr>
          <w:ilvl w:val="0"/>
          <w:numId w:val="148"/>
        </w:numPr>
        <w:rPr>
          <w:rFonts w:ascii="宋体" w:hAnsi="宋体"/>
          <w:szCs w:val="21"/>
        </w:rPr>
      </w:pPr>
      <w:r>
        <w:rPr>
          <w:rFonts w:ascii="宋体" w:hAnsi="宋体" w:hint="eastAsia"/>
          <w:szCs w:val="21"/>
        </w:rPr>
        <w:t>应收账款</w:t>
      </w:r>
    </w:p>
    <w:sdt>
      <w:sdtPr>
        <w:rPr>
          <w:rFonts w:ascii="Times New Roman" w:hAnsi="Times New Roman"/>
          <w:b w:val="0"/>
          <w:bCs w:val="0"/>
          <w:kern w:val="0"/>
          <w:szCs w:val="21"/>
        </w:rPr>
        <w:alias w:val="模块:组合中，按账龄分析法计提坏账准备的应收账款"/>
        <w:tag w:val="_GBC_f44cec1af5094a96a29dd8e92ee27b70"/>
        <w:id w:val="1954126108"/>
        <w:lock w:val="sdtLocked"/>
        <w:placeholder>
          <w:docPart w:val="GBC22222222222222222222222222222"/>
        </w:placeholder>
      </w:sdtPr>
      <w:sdtEndPr>
        <w:rPr>
          <w:b/>
          <w:bCs/>
          <w:kern w:val="2"/>
        </w:rPr>
      </w:sdtEndPr>
      <w:sdtContent>
        <w:p w14:paraId="60F247DB" w14:textId="77777777" w:rsidR="00D21C1F" w:rsidRPr="00266B55" w:rsidRDefault="00A42880">
          <w:pPr>
            <w:pStyle w:val="93"/>
            <w:numPr>
              <w:ilvl w:val="0"/>
              <w:numId w:val="149"/>
            </w:numPr>
            <w:tabs>
              <w:tab w:val="left" w:pos="644"/>
            </w:tabs>
            <w:ind w:left="0" w:firstLine="0"/>
            <w:rPr>
              <w:rFonts w:ascii="Times New Roman" w:hAnsi="Times New Roman"/>
              <w:szCs w:val="21"/>
            </w:rPr>
          </w:pPr>
          <w:r w:rsidRPr="00266B55">
            <w:rPr>
              <w:rFonts w:ascii="Times New Roman" w:hAnsi="Times New Roman"/>
              <w:szCs w:val="21"/>
            </w:rPr>
            <w:t>按账龄披露</w:t>
          </w:r>
        </w:p>
        <w:sdt>
          <w:sdtPr>
            <w:rPr>
              <w:rFonts w:ascii="Times New Roman" w:hAnsi="Times New Roman" w:cs="Times New Roman"/>
              <w:szCs w:val="21"/>
            </w:rPr>
            <w:alias w:val="是否适用：母公司组合中，按账龄分析法计提坏账准备的应收账款[双击切换]"/>
            <w:tag w:val="_GBC_0a11a3bd15dd4fa882e7b9f16b5e3b07"/>
            <w:id w:val="-284043906"/>
            <w:lock w:val="sdtLocked"/>
          </w:sdtPr>
          <w:sdtEndPr/>
          <w:sdtContent>
            <w:p w14:paraId="49BB7BFB" w14:textId="77777777" w:rsidR="00D21C1F" w:rsidRPr="00266B55" w:rsidRDefault="00A42880">
              <w:pPr>
                <w:rPr>
                  <w:rFonts w:ascii="Times New Roman" w:hAnsi="Times New Roman" w:cs="Times New Roman"/>
                  <w:szCs w:val="21"/>
                </w:rPr>
              </w:pPr>
              <w:r w:rsidRPr="00266B55">
                <w:rPr>
                  <w:rFonts w:ascii="Times New Roman" w:hAnsi="Times New Roman" w:cs="Times New Roman"/>
                  <w:szCs w:val="21"/>
                </w:rPr>
                <w:fldChar w:fldCharType="begin"/>
              </w:r>
              <w:r w:rsidRPr="00266B55">
                <w:rPr>
                  <w:rFonts w:ascii="Times New Roman" w:hAnsi="Times New Roman" w:cs="Times New Roman"/>
                  <w:szCs w:val="21"/>
                </w:rPr>
                <w:instrText xml:space="preserve"> MACROBUTTON SnrToggleCheckbox √</w:instrText>
              </w:r>
              <w:r w:rsidRPr="00266B55">
                <w:rPr>
                  <w:rFonts w:ascii="Times New Roman" w:hAnsi="Times New Roman" w:cs="Times New Roman"/>
                  <w:szCs w:val="21"/>
                </w:rPr>
                <w:instrText>适用</w:instrText>
              </w:r>
              <w:r w:rsidRPr="00266B55">
                <w:rPr>
                  <w:rFonts w:ascii="Times New Roman" w:hAnsi="Times New Roman" w:cs="Times New Roman"/>
                  <w:szCs w:val="21"/>
                </w:rPr>
                <w:instrText xml:space="preserve"> </w:instrText>
              </w:r>
              <w:r w:rsidRPr="00266B55">
                <w:rPr>
                  <w:rFonts w:ascii="Times New Roman" w:hAnsi="Times New Roman" w:cs="Times New Roman"/>
                  <w:szCs w:val="21"/>
                </w:rPr>
                <w:fldChar w:fldCharType="end"/>
              </w:r>
              <w:r w:rsidRPr="00266B55">
                <w:rPr>
                  <w:rFonts w:ascii="Times New Roman" w:hAnsi="Times New Roman" w:cs="Times New Roman"/>
                  <w:szCs w:val="21"/>
                </w:rPr>
                <w:fldChar w:fldCharType="begin"/>
              </w:r>
              <w:r w:rsidRPr="00266B55">
                <w:rPr>
                  <w:rFonts w:ascii="Times New Roman" w:hAnsi="Times New Roman" w:cs="Times New Roman"/>
                  <w:szCs w:val="21"/>
                </w:rPr>
                <w:instrText>MACROBUTTON  SnrToggleCheckbox □</w:instrText>
              </w:r>
              <w:r w:rsidRPr="00266B55">
                <w:rPr>
                  <w:rFonts w:ascii="Times New Roman" w:hAnsi="Times New Roman" w:cs="Times New Roman"/>
                  <w:szCs w:val="21"/>
                </w:rPr>
                <w:instrText>不适用</w:instrText>
              </w:r>
              <w:r w:rsidRPr="00266B55">
                <w:rPr>
                  <w:rFonts w:ascii="Times New Roman" w:hAnsi="Times New Roman" w:cs="Times New Roman"/>
                  <w:szCs w:val="21"/>
                </w:rPr>
                <w:instrText xml:space="preserve"> </w:instrText>
              </w:r>
              <w:r w:rsidRPr="00266B55">
                <w:rPr>
                  <w:rFonts w:ascii="Times New Roman" w:hAnsi="Times New Roman" w:cs="Times New Roman"/>
                  <w:szCs w:val="21"/>
                </w:rPr>
                <w:fldChar w:fldCharType="end"/>
              </w:r>
            </w:p>
          </w:sdtContent>
        </w:sdt>
        <w:p w14:paraId="38901F0E"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单位：</w:t>
          </w:r>
          <w:sdt>
            <w:sdtPr>
              <w:rPr>
                <w:rFonts w:ascii="Times New Roman" w:hAnsi="Times New Roman" w:cs="Times New Roman"/>
                <w:szCs w:val="21"/>
              </w:rPr>
              <w:alias w:val="单位：母公司财务附注：单项金额不重大但按信用风险特征组合后该组合的风险较大的应收账款"/>
              <w:tag w:val="_GBC_aa1a4a5ddfb84d718faa91649e7ae14f"/>
              <w:id w:val="-154359647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266B55">
                <w:rPr>
                  <w:rFonts w:ascii="Times New Roman" w:hAnsi="Times New Roman" w:cs="Times New Roman"/>
                  <w:szCs w:val="21"/>
                </w:rPr>
                <w:t>元</w:t>
              </w:r>
            </w:sdtContent>
          </w:sdt>
          <w:r w:rsidRPr="00266B55">
            <w:rPr>
              <w:rFonts w:ascii="Times New Roman" w:hAnsi="Times New Roman" w:cs="Times New Roman"/>
              <w:szCs w:val="21"/>
            </w:rPr>
            <w:t>币种：</w:t>
          </w:r>
          <w:sdt>
            <w:sdtPr>
              <w:rPr>
                <w:rFonts w:ascii="Times New Roman" w:hAnsi="Times New Roman" w:cs="Times New Roman"/>
                <w:szCs w:val="21"/>
              </w:rPr>
              <w:alias w:val="币种：母公司财务附注：单项金额不重大但按信用风险特征组合后该组合的风险较大的应收账款"/>
              <w:tag w:val="_GBC_1ea3e296336a485b8444219f6e288f72"/>
              <w:id w:val="-11670953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sidRPr="00266B55">
                <w:rPr>
                  <w:rFonts w:ascii="Times New Roman" w:hAnsi="Times New Roman" w:cs="Times New Roman"/>
                  <w:szCs w:val="21"/>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163"/>
          </w:tblGrid>
          <w:tr w:rsidR="00D21C1F" w:rsidRPr="00266B55" w14:paraId="7AEB86DB" w14:textId="77777777">
            <w:trPr>
              <w:trHeight w:val="298"/>
              <w:jc w:val="center"/>
            </w:trPr>
            <w:sdt>
              <w:sdtPr>
                <w:rPr>
                  <w:rFonts w:ascii="Times New Roman" w:hAnsi="Times New Roman" w:cs="Times New Roman"/>
                </w:rPr>
                <w:tag w:val="_PLD_4026a1c8ce2b4be2bd188240c5c6b81c"/>
                <w:id w:val="204991090"/>
                <w:lock w:val="sdtLocked"/>
              </w:sdtPr>
              <w:sdtEndPr/>
              <w:sdtContent>
                <w:tc>
                  <w:tcPr>
                    <w:tcW w:w="2641" w:type="pct"/>
                    <w:tcBorders>
                      <w:bottom w:val="single" w:sz="4" w:space="0" w:color="auto"/>
                    </w:tcBorders>
                    <w:shd w:val="clear" w:color="auto" w:fill="auto"/>
                    <w:vAlign w:val="center"/>
                  </w:tcPr>
                  <w:p w14:paraId="0C0431E2" w14:textId="77777777" w:rsidR="00D21C1F" w:rsidRPr="00266B55" w:rsidRDefault="00A42880">
                    <w:pPr>
                      <w:jc w:val="center"/>
                      <w:rPr>
                        <w:rFonts w:ascii="Times New Roman" w:hAnsi="Times New Roman" w:cs="Times New Roman"/>
                        <w:szCs w:val="21"/>
                      </w:rPr>
                    </w:pPr>
                    <w:r w:rsidRPr="00266B55">
                      <w:rPr>
                        <w:rFonts w:ascii="Times New Roman" w:hAnsi="Times New Roman" w:cs="Times New Roman"/>
                        <w:szCs w:val="21"/>
                      </w:rPr>
                      <w:t>账龄</w:t>
                    </w:r>
                  </w:p>
                </w:tc>
              </w:sdtContent>
            </w:sdt>
            <w:sdt>
              <w:sdtPr>
                <w:rPr>
                  <w:rFonts w:ascii="Times New Roman" w:hAnsi="Times New Roman" w:cs="Times New Roman"/>
                </w:rPr>
                <w:tag w:val="_PLD_fe83f44c599f47c3bdf1b2e0ce971295"/>
                <w:id w:val="-1849176373"/>
                <w:lock w:val="sdtLocked"/>
              </w:sdtPr>
              <w:sdtEndPr/>
              <w:sdtContent>
                <w:tc>
                  <w:tcPr>
                    <w:tcW w:w="2359" w:type="pct"/>
                    <w:tcBorders>
                      <w:bottom w:val="single" w:sz="4" w:space="0" w:color="auto"/>
                    </w:tcBorders>
                    <w:shd w:val="clear" w:color="auto" w:fill="auto"/>
                    <w:vAlign w:val="center"/>
                  </w:tcPr>
                  <w:p w14:paraId="17FA5DC2" w14:textId="77777777" w:rsidR="00D21C1F" w:rsidRPr="00266B55" w:rsidRDefault="00A42880">
                    <w:pPr>
                      <w:jc w:val="center"/>
                      <w:rPr>
                        <w:rFonts w:ascii="Times New Roman" w:hAnsi="Times New Roman" w:cs="Times New Roman"/>
                        <w:szCs w:val="21"/>
                      </w:rPr>
                    </w:pPr>
                    <w:r w:rsidRPr="00266B55">
                      <w:rPr>
                        <w:rFonts w:ascii="Times New Roman" w:hAnsi="Times New Roman" w:cs="Times New Roman"/>
                        <w:szCs w:val="21"/>
                      </w:rPr>
                      <w:t>期末账面余额</w:t>
                    </w:r>
                  </w:p>
                </w:tc>
              </w:sdtContent>
            </w:sdt>
          </w:tr>
          <w:tr w:rsidR="00D21C1F" w:rsidRPr="00266B55" w14:paraId="23659036" w14:textId="77777777">
            <w:trPr>
              <w:jc w:val="center"/>
            </w:trPr>
            <w:sdt>
              <w:sdtPr>
                <w:rPr>
                  <w:rFonts w:ascii="Times New Roman" w:hAnsi="Times New Roman" w:cs="Times New Roman"/>
                </w:rPr>
                <w:tag w:val="_PLD_8074f2321fd640f1a4a8fa6c86ad1e9b"/>
                <w:id w:val="-1759445215"/>
                <w:lock w:val="sdtLocked"/>
              </w:sdtPr>
              <w:sdtEndPr/>
              <w:sdtContent>
                <w:tc>
                  <w:tcPr>
                    <w:tcW w:w="2641" w:type="pct"/>
                    <w:shd w:val="clear" w:color="auto" w:fill="auto"/>
                  </w:tcPr>
                  <w:p w14:paraId="38A18648" w14:textId="77777777" w:rsidR="00D21C1F" w:rsidRPr="00266B55" w:rsidRDefault="00A42880">
                    <w:pPr>
                      <w:rPr>
                        <w:rFonts w:ascii="Times New Roman" w:hAnsi="Times New Roman" w:cs="Times New Roman"/>
                        <w:szCs w:val="21"/>
                      </w:rPr>
                    </w:pPr>
                    <w:r w:rsidRPr="00266B55">
                      <w:rPr>
                        <w:rFonts w:ascii="Times New Roman" w:hAnsi="Times New Roman" w:cs="Times New Roman"/>
                        <w:szCs w:val="21"/>
                      </w:rPr>
                      <w:t>1</w:t>
                    </w:r>
                    <w:r w:rsidRPr="00266B55">
                      <w:rPr>
                        <w:rFonts w:ascii="Times New Roman" w:hAnsi="Times New Roman" w:cs="Times New Roman"/>
                        <w:szCs w:val="21"/>
                      </w:rPr>
                      <w:t>年以内小计</w:t>
                    </w:r>
                  </w:p>
                </w:tc>
              </w:sdtContent>
            </w:sdt>
            <w:tc>
              <w:tcPr>
                <w:tcW w:w="2359" w:type="pct"/>
                <w:shd w:val="clear" w:color="auto" w:fill="auto"/>
              </w:tcPr>
              <w:p w14:paraId="27A94269"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257,032,457.65</w:t>
                </w:r>
              </w:p>
            </w:tc>
          </w:tr>
          <w:tr w:rsidR="00D21C1F" w:rsidRPr="00266B55" w14:paraId="663EDC21" w14:textId="77777777">
            <w:trPr>
              <w:jc w:val="center"/>
            </w:trPr>
            <w:sdt>
              <w:sdtPr>
                <w:rPr>
                  <w:rFonts w:ascii="Times New Roman" w:hAnsi="Times New Roman" w:cs="Times New Roman"/>
                </w:rPr>
                <w:tag w:val="_PLD_0aaa32d7ecc44007a6fdfe2ba5a15150"/>
                <w:id w:val="2569353"/>
                <w:lock w:val="sdtLocked"/>
              </w:sdtPr>
              <w:sdtEndPr/>
              <w:sdtContent>
                <w:tc>
                  <w:tcPr>
                    <w:tcW w:w="2641" w:type="pct"/>
                    <w:shd w:val="clear" w:color="auto" w:fill="auto"/>
                  </w:tcPr>
                  <w:p w14:paraId="0A5A27D6" w14:textId="77777777" w:rsidR="00D21C1F" w:rsidRPr="00266B55" w:rsidRDefault="00A42880">
                    <w:pPr>
                      <w:rPr>
                        <w:rFonts w:ascii="Times New Roman" w:hAnsi="Times New Roman" w:cs="Times New Roman"/>
                        <w:szCs w:val="21"/>
                      </w:rPr>
                    </w:pPr>
                    <w:r w:rsidRPr="00266B55">
                      <w:rPr>
                        <w:rFonts w:ascii="Times New Roman" w:hAnsi="Times New Roman" w:cs="Times New Roman"/>
                        <w:szCs w:val="21"/>
                      </w:rPr>
                      <w:t>1</w:t>
                    </w:r>
                    <w:r w:rsidRPr="00266B55">
                      <w:rPr>
                        <w:rFonts w:ascii="Times New Roman" w:hAnsi="Times New Roman" w:cs="Times New Roman"/>
                        <w:szCs w:val="21"/>
                      </w:rPr>
                      <w:t>至</w:t>
                    </w:r>
                    <w:r w:rsidRPr="00266B55">
                      <w:rPr>
                        <w:rFonts w:ascii="Times New Roman" w:hAnsi="Times New Roman" w:cs="Times New Roman"/>
                        <w:szCs w:val="21"/>
                      </w:rPr>
                      <w:t>2</w:t>
                    </w:r>
                    <w:r w:rsidRPr="00266B55">
                      <w:rPr>
                        <w:rFonts w:ascii="Times New Roman" w:hAnsi="Times New Roman" w:cs="Times New Roman"/>
                        <w:szCs w:val="21"/>
                      </w:rPr>
                      <w:t>年</w:t>
                    </w:r>
                  </w:p>
                </w:tc>
              </w:sdtContent>
            </w:sdt>
            <w:tc>
              <w:tcPr>
                <w:tcW w:w="2359" w:type="pct"/>
                <w:shd w:val="clear" w:color="auto" w:fill="auto"/>
              </w:tcPr>
              <w:p w14:paraId="3FB6E36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85,052,834.78</w:t>
                </w:r>
              </w:p>
            </w:tc>
          </w:tr>
          <w:tr w:rsidR="00D21C1F" w:rsidRPr="00266B55" w14:paraId="34E51852" w14:textId="77777777">
            <w:trPr>
              <w:jc w:val="center"/>
            </w:trPr>
            <w:sdt>
              <w:sdtPr>
                <w:rPr>
                  <w:rFonts w:ascii="Times New Roman" w:hAnsi="Times New Roman" w:cs="Times New Roman"/>
                </w:rPr>
                <w:tag w:val="_PLD_461abed3956d480b918c3859e2a0e880"/>
                <w:id w:val="-1041905626"/>
                <w:lock w:val="sdtLocked"/>
              </w:sdtPr>
              <w:sdtEndPr/>
              <w:sdtContent>
                <w:tc>
                  <w:tcPr>
                    <w:tcW w:w="2641" w:type="pct"/>
                    <w:shd w:val="clear" w:color="auto" w:fill="auto"/>
                  </w:tcPr>
                  <w:p w14:paraId="148FC58B" w14:textId="77777777" w:rsidR="00D21C1F" w:rsidRPr="00266B55" w:rsidRDefault="00A42880">
                    <w:pPr>
                      <w:rPr>
                        <w:rFonts w:ascii="Times New Roman" w:hAnsi="Times New Roman" w:cs="Times New Roman"/>
                        <w:szCs w:val="21"/>
                      </w:rPr>
                    </w:pPr>
                    <w:r w:rsidRPr="00266B55">
                      <w:rPr>
                        <w:rFonts w:ascii="Times New Roman" w:hAnsi="Times New Roman" w:cs="Times New Roman"/>
                        <w:szCs w:val="21"/>
                      </w:rPr>
                      <w:t>2</w:t>
                    </w:r>
                    <w:r w:rsidRPr="00266B55">
                      <w:rPr>
                        <w:rFonts w:ascii="Times New Roman" w:hAnsi="Times New Roman" w:cs="Times New Roman"/>
                        <w:szCs w:val="21"/>
                      </w:rPr>
                      <w:t>至</w:t>
                    </w:r>
                    <w:r w:rsidRPr="00266B55">
                      <w:rPr>
                        <w:rFonts w:ascii="Times New Roman" w:hAnsi="Times New Roman" w:cs="Times New Roman"/>
                        <w:szCs w:val="21"/>
                      </w:rPr>
                      <w:t>3</w:t>
                    </w:r>
                    <w:r w:rsidRPr="00266B55">
                      <w:rPr>
                        <w:rFonts w:ascii="Times New Roman" w:hAnsi="Times New Roman" w:cs="Times New Roman"/>
                        <w:szCs w:val="21"/>
                      </w:rPr>
                      <w:t>年</w:t>
                    </w:r>
                  </w:p>
                </w:tc>
              </w:sdtContent>
            </w:sdt>
            <w:tc>
              <w:tcPr>
                <w:tcW w:w="2359" w:type="pct"/>
                <w:shd w:val="clear" w:color="auto" w:fill="auto"/>
              </w:tcPr>
              <w:p w14:paraId="6A9A1A05"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32,581,683.79</w:t>
                </w:r>
              </w:p>
            </w:tc>
          </w:tr>
          <w:tr w:rsidR="00D21C1F" w:rsidRPr="00266B55" w14:paraId="789AA825" w14:textId="77777777">
            <w:trPr>
              <w:jc w:val="center"/>
            </w:trPr>
            <w:sdt>
              <w:sdtPr>
                <w:rPr>
                  <w:rFonts w:ascii="Times New Roman" w:hAnsi="Times New Roman" w:cs="Times New Roman"/>
                </w:rPr>
                <w:tag w:val="_PLD_a4745b0ed8a140ae99b3917b2a6aa90b"/>
                <w:id w:val="-1070033155"/>
                <w:lock w:val="sdtLocked"/>
              </w:sdtPr>
              <w:sdtEndPr/>
              <w:sdtContent>
                <w:tc>
                  <w:tcPr>
                    <w:tcW w:w="2641" w:type="pct"/>
                    <w:shd w:val="clear" w:color="auto" w:fill="auto"/>
                  </w:tcPr>
                  <w:p w14:paraId="53E2C7D9" w14:textId="77777777" w:rsidR="00D21C1F" w:rsidRPr="00266B55" w:rsidRDefault="00A42880">
                    <w:pPr>
                      <w:rPr>
                        <w:rFonts w:ascii="Times New Roman" w:hAnsi="Times New Roman" w:cs="Times New Roman"/>
                        <w:szCs w:val="21"/>
                      </w:rPr>
                    </w:pPr>
                    <w:r w:rsidRPr="00266B55">
                      <w:rPr>
                        <w:rFonts w:ascii="Times New Roman" w:hAnsi="Times New Roman" w:cs="Times New Roman"/>
                        <w:szCs w:val="21"/>
                      </w:rPr>
                      <w:t>3</w:t>
                    </w:r>
                    <w:r w:rsidRPr="00266B55">
                      <w:rPr>
                        <w:rFonts w:ascii="Times New Roman" w:hAnsi="Times New Roman" w:cs="Times New Roman"/>
                        <w:szCs w:val="21"/>
                      </w:rPr>
                      <w:t>至</w:t>
                    </w:r>
                    <w:r w:rsidRPr="00266B55">
                      <w:rPr>
                        <w:rFonts w:ascii="Times New Roman" w:hAnsi="Times New Roman" w:cs="Times New Roman"/>
                        <w:szCs w:val="21"/>
                      </w:rPr>
                      <w:t>4</w:t>
                    </w:r>
                    <w:r w:rsidRPr="00266B55">
                      <w:rPr>
                        <w:rFonts w:ascii="Times New Roman" w:hAnsi="Times New Roman" w:cs="Times New Roman"/>
                        <w:szCs w:val="21"/>
                      </w:rPr>
                      <w:t>年</w:t>
                    </w:r>
                  </w:p>
                </w:tc>
              </w:sdtContent>
            </w:sdt>
            <w:tc>
              <w:tcPr>
                <w:tcW w:w="2359" w:type="pct"/>
                <w:shd w:val="clear" w:color="auto" w:fill="auto"/>
              </w:tcPr>
              <w:p w14:paraId="3E19A34D"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10,128,284.39</w:t>
                </w:r>
              </w:p>
            </w:tc>
          </w:tr>
          <w:tr w:rsidR="00D21C1F" w:rsidRPr="00266B55" w14:paraId="1EA485C2" w14:textId="77777777">
            <w:trPr>
              <w:jc w:val="center"/>
            </w:trPr>
            <w:sdt>
              <w:sdtPr>
                <w:rPr>
                  <w:rFonts w:ascii="Times New Roman" w:hAnsi="Times New Roman" w:cs="Times New Roman"/>
                </w:rPr>
                <w:tag w:val="_PLD_f4ed1d71e017423691a066ea5df5fab6"/>
                <w:id w:val="-1070111880"/>
                <w:lock w:val="sdtLocked"/>
              </w:sdtPr>
              <w:sdtEndPr/>
              <w:sdtContent>
                <w:tc>
                  <w:tcPr>
                    <w:tcW w:w="2641" w:type="pct"/>
                    <w:shd w:val="clear" w:color="auto" w:fill="auto"/>
                  </w:tcPr>
                  <w:p w14:paraId="60319836" w14:textId="77777777" w:rsidR="00D21C1F" w:rsidRPr="00266B55" w:rsidRDefault="00A42880">
                    <w:pPr>
                      <w:rPr>
                        <w:rFonts w:ascii="Times New Roman" w:hAnsi="Times New Roman" w:cs="Times New Roman"/>
                        <w:szCs w:val="21"/>
                      </w:rPr>
                    </w:pPr>
                    <w:r w:rsidRPr="00266B55">
                      <w:rPr>
                        <w:rFonts w:ascii="Times New Roman" w:hAnsi="Times New Roman" w:cs="Times New Roman"/>
                        <w:szCs w:val="21"/>
                      </w:rPr>
                      <w:t>4</w:t>
                    </w:r>
                    <w:r w:rsidRPr="00266B55">
                      <w:rPr>
                        <w:rFonts w:ascii="Times New Roman" w:hAnsi="Times New Roman" w:cs="Times New Roman"/>
                        <w:szCs w:val="21"/>
                      </w:rPr>
                      <w:t>至</w:t>
                    </w:r>
                    <w:r w:rsidRPr="00266B55">
                      <w:rPr>
                        <w:rFonts w:ascii="Times New Roman" w:hAnsi="Times New Roman" w:cs="Times New Roman"/>
                        <w:szCs w:val="21"/>
                      </w:rPr>
                      <w:t>5</w:t>
                    </w:r>
                    <w:r w:rsidRPr="00266B55">
                      <w:rPr>
                        <w:rFonts w:ascii="Times New Roman" w:hAnsi="Times New Roman" w:cs="Times New Roman"/>
                        <w:szCs w:val="21"/>
                      </w:rPr>
                      <w:t>年</w:t>
                    </w:r>
                  </w:p>
                </w:tc>
              </w:sdtContent>
            </w:sdt>
            <w:tc>
              <w:tcPr>
                <w:tcW w:w="2359" w:type="pct"/>
                <w:shd w:val="clear" w:color="auto" w:fill="auto"/>
              </w:tcPr>
              <w:p w14:paraId="69A94AB9"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9,795,528.38</w:t>
                </w:r>
              </w:p>
            </w:tc>
          </w:tr>
          <w:tr w:rsidR="00D21C1F" w:rsidRPr="00266B55" w14:paraId="5332C20D" w14:textId="77777777">
            <w:trPr>
              <w:jc w:val="center"/>
            </w:trPr>
            <w:sdt>
              <w:sdtPr>
                <w:rPr>
                  <w:rFonts w:ascii="Times New Roman" w:hAnsi="Times New Roman" w:cs="Times New Roman"/>
                </w:rPr>
                <w:tag w:val="_PLD_fccdd41cea9b4ca08e7b40f163262e5e"/>
                <w:id w:val="1505637098"/>
                <w:lock w:val="sdtLocked"/>
              </w:sdtPr>
              <w:sdtEndPr/>
              <w:sdtContent>
                <w:tc>
                  <w:tcPr>
                    <w:tcW w:w="2641" w:type="pct"/>
                    <w:shd w:val="clear" w:color="auto" w:fill="auto"/>
                  </w:tcPr>
                  <w:p w14:paraId="28AC2231" w14:textId="77777777" w:rsidR="00D21C1F" w:rsidRPr="00266B55" w:rsidRDefault="00A42880">
                    <w:pPr>
                      <w:rPr>
                        <w:rFonts w:ascii="Times New Roman" w:hAnsi="Times New Roman" w:cs="Times New Roman"/>
                        <w:szCs w:val="21"/>
                      </w:rPr>
                    </w:pPr>
                    <w:r w:rsidRPr="00266B55">
                      <w:rPr>
                        <w:rFonts w:ascii="Times New Roman" w:hAnsi="Times New Roman" w:cs="Times New Roman"/>
                        <w:szCs w:val="21"/>
                      </w:rPr>
                      <w:t>5</w:t>
                    </w:r>
                    <w:r w:rsidRPr="00266B55">
                      <w:rPr>
                        <w:rFonts w:ascii="Times New Roman" w:hAnsi="Times New Roman" w:cs="Times New Roman"/>
                        <w:szCs w:val="21"/>
                      </w:rPr>
                      <w:t>年以上</w:t>
                    </w:r>
                  </w:p>
                </w:tc>
              </w:sdtContent>
            </w:sdt>
            <w:tc>
              <w:tcPr>
                <w:tcW w:w="2359" w:type="pct"/>
                <w:shd w:val="clear" w:color="auto" w:fill="auto"/>
              </w:tcPr>
              <w:p w14:paraId="6EA88CE9"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706,532.04</w:t>
                </w:r>
              </w:p>
            </w:tc>
          </w:tr>
          <w:tr w:rsidR="00D21C1F" w:rsidRPr="00266B55" w14:paraId="4D9202C0" w14:textId="77777777">
            <w:trPr>
              <w:jc w:val="center"/>
            </w:trPr>
            <w:sdt>
              <w:sdtPr>
                <w:rPr>
                  <w:rFonts w:ascii="Times New Roman" w:hAnsi="Times New Roman" w:cs="Times New Roman"/>
                </w:rPr>
                <w:tag w:val="_PLD_b8d2a9cd21d944ea8f8433cfaeb85cb3"/>
                <w:id w:val="-1738699427"/>
                <w:lock w:val="sdtLocked"/>
              </w:sdtPr>
              <w:sdtEndPr/>
              <w:sdtContent>
                <w:tc>
                  <w:tcPr>
                    <w:tcW w:w="2641" w:type="pct"/>
                    <w:shd w:val="clear" w:color="auto" w:fill="auto"/>
                    <w:vAlign w:val="center"/>
                  </w:tcPr>
                  <w:p w14:paraId="5D4B4CDB" w14:textId="77777777" w:rsidR="00D21C1F" w:rsidRPr="00266B55" w:rsidRDefault="00A42880">
                    <w:pPr>
                      <w:jc w:val="center"/>
                      <w:rPr>
                        <w:rFonts w:ascii="Times New Roman" w:hAnsi="Times New Roman" w:cs="Times New Roman"/>
                        <w:szCs w:val="21"/>
                      </w:rPr>
                    </w:pPr>
                    <w:r w:rsidRPr="00266B55">
                      <w:rPr>
                        <w:rFonts w:ascii="Times New Roman" w:hAnsi="Times New Roman" w:cs="Times New Roman"/>
                        <w:szCs w:val="21"/>
                      </w:rPr>
                      <w:t>合计</w:t>
                    </w:r>
                  </w:p>
                </w:tc>
              </w:sdtContent>
            </w:sdt>
            <w:tc>
              <w:tcPr>
                <w:tcW w:w="2359" w:type="pct"/>
                <w:shd w:val="clear" w:color="auto" w:fill="auto"/>
              </w:tcPr>
              <w:p w14:paraId="2CD0491F"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395,297,321.03</w:t>
                </w:r>
              </w:p>
            </w:tc>
          </w:tr>
        </w:tbl>
        <w:p w14:paraId="75806D71" w14:textId="77777777" w:rsidR="00D21C1F" w:rsidRDefault="00045EC6">
          <w:pPr>
            <w:pStyle w:val="93"/>
            <w:tabs>
              <w:tab w:val="left" w:pos="644"/>
            </w:tabs>
            <w:rPr>
              <w:szCs w:val="21"/>
            </w:rPr>
          </w:pPr>
        </w:p>
      </w:sdtContent>
    </w:sdt>
    <w:p w14:paraId="5AF38541" w14:textId="77777777" w:rsidR="00D21C1F" w:rsidRDefault="00D21C1F">
      <w:pPr>
        <w:snapToGrid w:val="0"/>
        <w:spacing w:line="240" w:lineRule="atLeast"/>
        <w:rPr>
          <w:szCs w:val="21"/>
        </w:rPr>
      </w:pPr>
    </w:p>
    <w:p w14:paraId="4B4BFC88" w14:textId="77777777" w:rsidR="00D21C1F" w:rsidRDefault="00D21C1F">
      <w:pPr>
        <w:pStyle w:val="93"/>
        <w:numPr>
          <w:ilvl w:val="0"/>
          <w:numId w:val="149"/>
        </w:numPr>
        <w:tabs>
          <w:tab w:val="left" w:pos="644"/>
        </w:tabs>
        <w:ind w:left="0" w:firstLine="0"/>
        <w:rPr>
          <w:rFonts w:ascii="宋体" w:hAnsi="宋体"/>
          <w:szCs w:val="21"/>
        </w:rPr>
        <w:sectPr w:rsidR="00D21C1F">
          <w:pgSz w:w="11906" w:h="16838"/>
          <w:pgMar w:top="1525" w:right="1276" w:bottom="1440" w:left="1797" w:header="856" w:footer="992" w:gutter="0"/>
          <w:cols w:space="425"/>
          <w:docGrid w:linePitch="312"/>
        </w:sectPr>
      </w:pPr>
      <w:bookmarkStart w:id="301" w:name="_Hlk10540024"/>
    </w:p>
    <w:p w14:paraId="3D23D927" w14:textId="77777777" w:rsidR="00D21C1F" w:rsidRDefault="00A42880">
      <w:pPr>
        <w:pStyle w:val="93"/>
        <w:numPr>
          <w:ilvl w:val="0"/>
          <w:numId w:val="149"/>
        </w:numPr>
        <w:tabs>
          <w:tab w:val="left" w:pos="644"/>
        </w:tabs>
        <w:ind w:left="0" w:firstLine="0"/>
        <w:rPr>
          <w:rFonts w:ascii="宋体" w:hAnsi="宋体"/>
          <w:szCs w:val="21"/>
        </w:rPr>
      </w:pPr>
      <w:r>
        <w:rPr>
          <w:rFonts w:ascii="宋体" w:hAnsi="宋体" w:hint="eastAsia"/>
          <w:szCs w:val="21"/>
        </w:rPr>
        <w:lastRenderedPageBreak/>
        <w:t>按坏账计提方法分类披露</w:t>
      </w:r>
    </w:p>
    <w:sdt>
      <w:sdtPr>
        <w:alias w:val="是否适用：母公司应收账款按坏账计提方法分类披露[双击切换]"/>
        <w:tag w:val="_GBC_bd7fb52eb7f647d5aa6c10677b261ee1"/>
        <w:id w:val="963697598"/>
        <w:lock w:val="sdtContentLocked"/>
        <w:placeholder>
          <w:docPart w:val="GBC22222222222222222222222222222"/>
        </w:placeholder>
      </w:sdtPr>
      <w:sdtEndPr/>
      <w:sdtContent>
        <w:p w14:paraId="234E8EA7"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C35C36" w14:textId="77777777" w:rsidR="00D21C1F" w:rsidRDefault="00A42880">
      <w:pPr>
        <w:pStyle w:val="67"/>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2102993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应收账款按坏账计提方法分类披露"/>
          <w:tag w:val="_GBC_1360c31492654a38991cae4cf45e7b4a"/>
          <w:id w:val="-413630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001"/>
        <w:gridCol w:w="1418"/>
        <w:gridCol w:w="880"/>
        <w:gridCol w:w="1416"/>
        <w:gridCol w:w="911"/>
        <w:gridCol w:w="1375"/>
        <w:gridCol w:w="1375"/>
        <w:gridCol w:w="930"/>
        <w:gridCol w:w="1270"/>
        <w:gridCol w:w="912"/>
        <w:gridCol w:w="1375"/>
      </w:tblGrid>
      <w:tr w:rsidR="00D21C1F" w14:paraId="564F1250" w14:textId="77777777">
        <w:trPr>
          <w:cantSplit/>
          <w:trHeight w:val="259"/>
        </w:trPr>
        <w:sdt>
          <w:sdtPr>
            <w:tag w:val="_PLD_2f021e03341f49af95f8857da6272a92"/>
            <w:id w:val="-821273221"/>
            <w:lock w:val="sdtLocked"/>
          </w:sdtPr>
          <w:sdtEndPr/>
          <w:sdtContent>
            <w:tc>
              <w:tcPr>
                <w:tcW w:w="723" w:type="pct"/>
                <w:vMerge w:val="restart"/>
                <w:tcBorders>
                  <w:top w:val="single" w:sz="4" w:space="0" w:color="auto"/>
                  <w:left w:val="single" w:sz="4" w:space="0" w:color="auto"/>
                  <w:right w:val="single" w:sz="4" w:space="0" w:color="auto"/>
                </w:tcBorders>
                <w:vAlign w:val="center"/>
              </w:tcPr>
              <w:p w14:paraId="3CB5384B" w14:textId="77777777" w:rsidR="00D21C1F" w:rsidRDefault="00A42880">
                <w:pPr>
                  <w:jc w:val="center"/>
                  <w:rPr>
                    <w:szCs w:val="21"/>
                  </w:rPr>
                </w:pPr>
                <w:r>
                  <w:rPr>
                    <w:rFonts w:hint="eastAsia"/>
                    <w:szCs w:val="21"/>
                  </w:rPr>
                  <w:t>类别</w:t>
                </w:r>
              </w:p>
            </w:tc>
          </w:sdtContent>
        </w:sdt>
        <w:sdt>
          <w:sdtPr>
            <w:tag w:val="_PLD_468e18ccdf48449f8e43799e7c3f622e"/>
            <w:id w:val="-1861429147"/>
            <w:lock w:val="sdtLocked"/>
          </w:sdtPr>
          <w:sdtEndPr/>
          <w:sdtContent>
            <w:tc>
              <w:tcPr>
                <w:tcW w:w="2167" w:type="pct"/>
                <w:gridSpan w:val="5"/>
                <w:tcBorders>
                  <w:top w:val="single" w:sz="4" w:space="0" w:color="auto"/>
                  <w:left w:val="single" w:sz="4" w:space="0" w:color="auto"/>
                  <w:right w:val="single" w:sz="4" w:space="0" w:color="auto"/>
                </w:tcBorders>
                <w:vAlign w:val="center"/>
              </w:tcPr>
              <w:p w14:paraId="0F3D6353"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e387c0f70bd6484cafb1ada234d075bd"/>
            <w:id w:val="60232641"/>
            <w:lock w:val="sdtLocked"/>
          </w:sdtPr>
          <w:sdtEndPr/>
          <w:sdtContent>
            <w:tc>
              <w:tcPr>
                <w:tcW w:w="2110" w:type="pct"/>
                <w:gridSpan w:val="5"/>
                <w:tcBorders>
                  <w:top w:val="single" w:sz="4" w:space="0" w:color="auto"/>
                  <w:left w:val="single" w:sz="4" w:space="0" w:color="auto"/>
                  <w:right w:val="single" w:sz="4" w:space="0" w:color="auto"/>
                </w:tcBorders>
                <w:vAlign w:val="center"/>
              </w:tcPr>
              <w:p w14:paraId="411824F8"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tr w:rsidR="00D21C1F" w14:paraId="69A8E567" w14:textId="77777777">
        <w:trPr>
          <w:cantSplit/>
          <w:trHeight w:val="227"/>
        </w:trPr>
        <w:tc>
          <w:tcPr>
            <w:tcW w:w="723" w:type="pct"/>
            <w:vMerge/>
            <w:tcBorders>
              <w:left w:val="single" w:sz="4" w:space="0" w:color="auto"/>
              <w:right w:val="single" w:sz="4" w:space="0" w:color="auto"/>
            </w:tcBorders>
            <w:vAlign w:val="center"/>
          </w:tcPr>
          <w:p w14:paraId="327E6732" w14:textId="77777777" w:rsidR="00D21C1F" w:rsidRDefault="00D21C1F">
            <w:pPr>
              <w:rPr>
                <w:szCs w:val="21"/>
              </w:rPr>
            </w:pPr>
          </w:p>
        </w:tc>
        <w:sdt>
          <w:sdtPr>
            <w:tag w:val="_PLD_73365edbfe354cb683cc42de4c1c9f49"/>
            <w:id w:val="593979564"/>
            <w:lock w:val="sdtLocked"/>
          </w:sdtPr>
          <w:sdtEndPr/>
          <w:sdtContent>
            <w:tc>
              <w:tcPr>
                <w:tcW w:w="832" w:type="pct"/>
                <w:gridSpan w:val="2"/>
                <w:tcBorders>
                  <w:top w:val="single" w:sz="4" w:space="0" w:color="auto"/>
                  <w:left w:val="single" w:sz="4" w:space="0" w:color="auto"/>
                  <w:bottom w:val="single" w:sz="4" w:space="0" w:color="auto"/>
                  <w:right w:val="single" w:sz="4" w:space="0" w:color="auto"/>
                </w:tcBorders>
                <w:vAlign w:val="center"/>
              </w:tcPr>
              <w:p w14:paraId="3649C4BA" w14:textId="77777777" w:rsidR="00D21C1F" w:rsidRDefault="00A42880">
                <w:pPr>
                  <w:jc w:val="center"/>
                  <w:rPr>
                    <w:szCs w:val="21"/>
                  </w:rPr>
                </w:pPr>
                <w:r>
                  <w:rPr>
                    <w:rFonts w:hint="eastAsia"/>
                    <w:szCs w:val="21"/>
                  </w:rPr>
                  <w:t>账面余额</w:t>
                </w:r>
              </w:p>
            </w:tc>
          </w:sdtContent>
        </w:sdt>
        <w:sdt>
          <w:sdtPr>
            <w:tag w:val="_PLD_11f34c9ee2d5429280d0d85b2c50756a"/>
            <w:id w:val="-330136400"/>
            <w:lock w:val="sdtLocked"/>
          </w:sdtPr>
          <w:sdtEndPr/>
          <w:sdtContent>
            <w:tc>
              <w:tcPr>
                <w:tcW w:w="842" w:type="pct"/>
                <w:gridSpan w:val="2"/>
                <w:tcBorders>
                  <w:top w:val="single" w:sz="4" w:space="0" w:color="auto"/>
                  <w:left w:val="single" w:sz="4" w:space="0" w:color="auto"/>
                  <w:bottom w:val="single" w:sz="4" w:space="0" w:color="auto"/>
                  <w:right w:val="single" w:sz="4" w:space="0" w:color="auto"/>
                </w:tcBorders>
                <w:vAlign w:val="center"/>
              </w:tcPr>
              <w:p w14:paraId="470CEC0F" w14:textId="77777777" w:rsidR="00D21C1F" w:rsidRDefault="00A42880">
                <w:pPr>
                  <w:jc w:val="center"/>
                  <w:rPr>
                    <w:szCs w:val="21"/>
                  </w:rPr>
                </w:pPr>
                <w:r>
                  <w:rPr>
                    <w:rFonts w:hint="eastAsia"/>
                    <w:szCs w:val="21"/>
                  </w:rPr>
                  <w:t>坏账准备</w:t>
                </w:r>
              </w:p>
            </w:tc>
          </w:sdtContent>
        </w:sdt>
        <w:sdt>
          <w:sdtPr>
            <w:tag w:val="_PLD_6ade046afd0c47c0aae9506cc9d47486"/>
            <w:id w:val="-1334827168"/>
            <w:lock w:val="sdtLocked"/>
          </w:sdtPr>
          <w:sdtEndPr/>
          <w:sdtContent>
            <w:tc>
              <w:tcPr>
                <w:tcW w:w="493" w:type="pct"/>
                <w:vMerge w:val="restart"/>
                <w:tcBorders>
                  <w:top w:val="single" w:sz="4" w:space="0" w:color="auto"/>
                  <w:left w:val="single" w:sz="4" w:space="0" w:color="auto"/>
                  <w:right w:val="single" w:sz="4" w:space="0" w:color="auto"/>
                </w:tcBorders>
                <w:vAlign w:val="center"/>
              </w:tcPr>
              <w:p w14:paraId="55C8E925" w14:textId="77777777" w:rsidR="00D21C1F" w:rsidRDefault="00A42880">
                <w:pPr>
                  <w:jc w:val="center"/>
                  <w:rPr>
                    <w:szCs w:val="21"/>
                  </w:rPr>
                </w:pPr>
                <w:r>
                  <w:rPr>
                    <w:rFonts w:hint="eastAsia"/>
                    <w:szCs w:val="21"/>
                  </w:rPr>
                  <w:t>账面</w:t>
                </w:r>
              </w:p>
              <w:p w14:paraId="17A50749" w14:textId="77777777" w:rsidR="00D21C1F" w:rsidRDefault="00A42880">
                <w:pPr>
                  <w:jc w:val="center"/>
                  <w:rPr>
                    <w:szCs w:val="21"/>
                  </w:rPr>
                </w:pPr>
                <w:r>
                  <w:rPr>
                    <w:rFonts w:hint="eastAsia"/>
                    <w:szCs w:val="21"/>
                  </w:rPr>
                  <w:t>价值</w:t>
                </w:r>
              </w:p>
            </w:tc>
          </w:sdtContent>
        </w:sdt>
        <w:sdt>
          <w:sdtPr>
            <w:tag w:val="_PLD_abd9bd4831b9473aabae7411a299a204"/>
            <w:id w:val="-1068964164"/>
            <w:lock w:val="sdtLocked"/>
          </w:sdtPr>
          <w:sdtEndPr/>
          <w:sdtContent>
            <w:tc>
              <w:tcPr>
                <w:tcW w:w="830" w:type="pct"/>
                <w:gridSpan w:val="2"/>
                <w:tcBorders>
                  <w:top w:val="single" w:sz="4" w:space="0" w:color="auto"/>
                  <w:left w:val="single" w:sz="4" w:space="0" w:color="auto"/>
                  <w:right w:val="single" w:sz="4" w:space="0" w:color="auto"/>
                </w:tcBorders>
                <w:vAlign w:val="center"/>
              </w:tcPr>
              <w:p w14:paraId="31154301" w14:textId="77777777" w:rsidR="00D21C1F" w:rsidRDefault="00A42880">
                <w:pPr>
                  <w:jc w:val="center"/>
                  <w:rPr>
                    <w:szCs w:val="21"/>
                  </w:rPr>
                </w:pPr>
                <w:r>
                  <w:rPr>
                    <w:rFonts w:hint="eastAsia"/>
                    <w:szCs w:val="21"/>
                  </w:rPr>
                  <w:t>账面余额</w:t>
                </w:r>
              </w:p>
            </w:tc>
          </w:sdtContent>
        </w:sdt>
        <w:sdt>
          <w:sdtPr>
            <w:tag w:val="_PLD_76d8f3a48cba41949b5870f6cbb124af"/>
            <w:id w:val="903884953"/>
            <w:lock w:val="sdtLocked"/>
          </w:sdtPr>
          <w:sdtEndPr/>
          <w:sdtContent>
            <w:tc>
              <w:tcPr>
                <w:tcW w:w="786" w:type="pct"/>
                <w:gridSpan w:val="2"/>
                <w:tcBorders>
                  <w:top w:val="single" w:sz="4" w:space="0" w:color="auto"/>
                  <w:left w:val="single" w:sz="4" w:space="0" w:color="auto"/>
                  <w:right w:val="single" w:sz="4" w:space="0" w:color="auto"/>
                </w:tcBorders>
                <w:vAlign w:val="center"/>
              </w:tcPr>
              <w:p w14:paraId="17B83BC8" w14:textId="77777777" w:rsidR="00D21C1F" w:rsidRDefault="00A42880">
                <w:pPr>
                  <w:jc w:val="center"/>
                  <w:rPr>
                    <w:szCs w:val="21"/>
                  </w:rPr>
                </w:pPr>
                <w:r>
                  <w:rPr>
                    <w:rFonts w:hint="eastAsia"/>
                    <w:szCs w:val="21"/>
                  </w:rPr>
                  <w:t>坏账准备</w:t>
                </w:r>
              </w:p>
            </w:tc>
          </w:sdtContent>
        </w:sdt>
        <w:sdt>
          <w:sdtPr>
            <w:tag w:val="_PLD_5062ab8e678b49c0bba488dc029ff27b"/>
            <w:id w:val="-1097092185"/>
            <w:lock w:val="sdtLocked"/>
          </w:sdtPr>
          <w:sdtEndPr/>
          <w:sdtContent>
            <w:tc>
              <w:tcPr>
                <w:tcW w:w="493" w:type="pct"/>
                <w:vMerge w:val="restart"/>
                <w:tcBorders>
                  <w:top w:val="single" w:sz="4" w:space="0" w:color="auto"/>
                  <w:left w:val="single" w:sz="4" w:space="0" w:color="auto"/>
                  <w:right w:val="single" w:sz="4" w:space="0" w:color="auto"/>
                </w:tcBorders>
                <w:vAlign w:val="center"/>
              </w:tcPr>
              <w:p w14:paraId="11DA26E6" w14:textId="77777777" w:rsidR="00D21C1F" w:rsidRDefault="00A42880">
                <w:pPr>
                  <w:jc w:val="center"/>
                  <w:rPr>
                    <w:szCs w:val="21"/>
                  </w:rPr>
                </w:pPr>
                <w:r>
                  <w:rPr>
                    <w:rFonts w:hint="eastAsia"/>
                    <w:szCs w:val="21"/>
                  </w:rPr>
                  <w:t>账面</w:t>
                </w:r>
              </w:p>
              <w:p w14:paraId="791304B7" w14:textId="77777777" w:rsidR="00D21C1F" w:rsidRDefault="00A42880">
                <w:pPr>
                  <w:jc w:val="center"/>
                  <w:rPr>
                    <w:szCs w:val="21"/>
                  </w:rPr>
                </w:pPr>
                <w:r>
                  <w:rPr>
                    <w:rFonts w:hint="eastAsia"/>
                    <w:szCs w:val="21"/>
                  </w:rPr>
                  <w:t>价值</w:t>
                </w:r>
              </w:p>
            </w:tc>
          </w:sdtContent>
        </w:sdt>
      </w:tr>
      <w:tr w:rsidR="00D21C1F" w14:paraId="71A46309" w14:textId="77777777">
        <w:trPr>
          <w:cantSplit/>
          <w:trHeight w:val="375"/>
        </w:trPr>
        <w:tc>
          <w:tcPr>
            <w:tcW w:w="723" w:type="pct"/>
            <w:vMerge/>
            <w:tcBorders>
              <w:left w:val="single" w:sz="4" w:space="0" w:color="auto"/>
              <w:bottom w:val="single" w:sz="4" w:space="0" w:color="auto"/>
              <w:right w:val="single" w:sz="4" w:space="0" w:color="auto"/>
            </w:tcBorders>
            <w:vAlign w:val="center"/>
          </w:tcPr>
          <w:p w14:paraId="0F758340" w14:textId="77777777" w:rsidR="00D21C1F" w:rsidRDefault="00D21C1F">
            <w:pPr>
              <w:rPr>
                <w:szCs w:val="21"/>
              </w:rPr>
            </w:pPr>
          </w:p>
        </w:tc>
        <w:sdt>
          <w:sdtPr>
            <w:tag w:val="_PLD_f6bdd572740240b5a7a2e643c29db5eb"/>
            <w:id w:val="2091885167"/>
            <w:lock w:val="sdtLocked"/>
          </w:sdtPr>
          <w:sdtEndPr/>
          <w:sdtContent>
            <w:tc>
              <w:tcPr>
                <w:tcW w:w="513" w:type="pct"/>
                <w:tcBorders>
                  <w:left w:val="single" w:sz="4" w:space="0" w:color="auto"/>
                  <w:bottom w:val="single" w:sz="4" w:space="0" w:color="auto"/>
                  <w:right w:val="single" w:sz="4" w:space="0" w:color="auto"/>
                </w:tcBorders>
                <w:vAlign w:val="center"/>
              </w:tcPr>
              <w:p w14:paraId="2A38F822" w14:textId="77777777" w:rsidR="00D21C1F" w:rsidRDefault="00A42880">
                <w:pPr>
                  <w:jc w:val="center"/>
                  <w:rPr>
                    <w:szCs w:val="21"/>
                  </w:rPr>
                </w:pPr>
                <w:r>
                  <w:rPr>
                    <w:rFonts w:hint="eastAsia"/>
                    <w:szCs w:val="21"/>
                  </w:rPr>
                  <w:t>金额</w:t>
                </w:r>
              </w:p>
            </w:tc>
          </w:sdtContent>
        </w:sdt>
        <w:sdt>
          <w:sdtPr>
            <w:tag w:val="_PLD_0a09779b6e354e32b6df9b1e891e1509"/>
            <w:id w:val="-348951231"/>
            <w:lock w:val="sdtLocked"/>
          </w:sdtPr>
          <w:sdtEndPr/>
          <w:sdtContent>
            <w:tc>
              <w:tcPr>
                <w:tcW w:w="319" w:type="pct"/>
                <w:tcBorders>
                  <w:left w:val="single" w:sz="4" w:space="0" w:color="auto"/>
                  <w:bottom w:val="single" w:sz="4" w:space="0" w:color="auto"/>
                  <w:right w:val="single" w:sz="4" w:space="0" w:color="auto"/>
                </w:tcBorders>
                <w:vAlign w:val="center"/>
              </w:tcPr>
              <w:p w14:paraId="6693E792" w14:textId="77777777" w:rsidR="00D21C1F" w:rsidRDefault="00A42880">
                <w:pPr>
                  <w:jc w:val="center"/>
                  <w:rPr>
                    <w:szCs w:val="21"/>
                  </w:rPr>
                </w:pPr>
                <w:r>
                  <w:rPr>
                    <w:rFonts w:hint="eastAsia"/>
                    <w:szCs w:val="21"/>
                  </w:rPr>
                  <w:t>比例</w:t>
                </w:r>
                <w:r>
                  <w:rPr>
                    <w:szCs w:val="21"/>
                  </w:rPr>
                  <w:t>(%)</w:t>
                </w:r>
              </w:p>
            </w:tc>
          </w:sdtContent>
        </w:sdt>
        <w:sdt>
          <w:sdtPr>
            <w:tag w:val="_PLD_dd9c9061f11b453c8775ca1a11382d92"/>
            <w:id w:val="-1588461921"/>
            <w:lock w:val="sdtLocked"/>
          </w:sdtPr>
          <w:sdtEndPr/>
          <w:sdtContent>
            <w:tc>
              <w:tcPr>
                <w:tcW w:w="512" w:type="pct"/>
                <w:tcBorders>
                  <w:left w:val="single" w:sz="4" w:space="0" w:color="auto"/>
                  <w:bottom w:val="single" w:sz="4" w:space="0" w:color="auto"/>
                  <w:right w:val="single" w:sz="4" w:space="0" w:color="auto"/>
                </w:tcBorders>
                <w:vAlign w:val="center"/>
              </w:tcPr>
              <w:p w14:paraId="5327C738" w14:textId="77777777" w:rsidR="00D21C1F" w:rsidRDefault="00A42880">
                <w:pPr>
                  <w:jc w:val="center"/>
                  <w:rPr>
                    <w:szCs w:val="21"/>
                  </w:rPr>
                </w:pPr>
                <w:r>
                  <w:rPr>
                    <w:rFonts w:hint="eastAsia"/>
                    <w:szCs w:val="21"/>
                  </w:rPr>
                  <w:t>金额</w:t>
                </w:r>
              </w:p>
            </w:tc>
          </w:sdtContent>
        </w:sdt>
        <w:sdt>
          <w:sdtPr>
            <w:tag w:val="_PLD_988b69362ac14c0e94c26191e76b1e3a"/>
            <w:id w:val="1997984747"/>
            <w:lock w:val="sdtLocked"/>
          </w:sdtPr>
          <w:sdtEndPr/>
          <w:sdtContent>
            <w:tc>
              <w:tcPr>
                <w:tcW w:w="330" w:type="pct"/>
                <w:tcBorders>
                  <w:left w:val="single" w:sz="4" w:space="0" w:color="auto"/>
                  <w:bottom w:val="single" w:sz="4" w:space="0" w:color="auto"/>
                  <w:right w:val="single" w:sz="4" w:space="0" w:color="auto"/>
                </w:tcBorders>
                <w:vAlign w:val="center"/>
              </w:tcPr>
              <w:p w14:paraId="3812A0DC" w14:textId="77777777" w:rsidR="00D21C1F" w:rsidRDefault="00A42880">
                <w:pPr>
                  <w:jc w:val="center"/>
                  <w:rPr>
                    <w:szCs w:val="21"/>
                  </w:rPr>
                </w:pPr>
                <w:r>
                  <w:rPr>
                    <w:rFonts w:hint="eastAsia"/>
                    <w:szCs w:val="21"/>
                  </w:rPr>
                  <w:t>计提比例</w:t>
                </w:r>
                <w:r>
                  <w:rPr>
                    <w:szCs w:val="21"/>
                  </w:rPr>
                  <w:t>(%)</w:t>
                </w:r>
              </w:p>
            </w:tc>
          </w:sdtContent>
        </w:sdt>
        <w:tc>
          <w:tcPr>
            <w:tcW w:w="493" w:type="pct"/>
            <w:vMerge/>
            <w:tcBorders>
              <w:left w:val="single" w:sz="4" w:space="0" w:color="auto"/>
              <w:bottom w:val="single" w:sz="4" w:space="0" w:color="auto"/>
              <w:right w:val="single" w:sz="4" w:space="0" w:color="auto"/>
            </w:tcBorders>
            <w:vAlign w:val="center"/>
          </w:tcPr>
          <w:p w14:paraId="3DB1F8E1" w14:textId="77777777" w:rsidR="00D21C1F" w:rsidRDefault="00D21C1F">
            <w:pPr>
              <w:jc w:val="center"/>
              <w:rPr>
                <w:szCs w:val="21"/>
              </w:rPr>
            </w:pPr>
          </w:p>
        </w:tc>
        <w:sdt>
          <w:sdtPr>
            <w:tag w:val="_PLD_a5c1af5c86d545b993971c3da029159d"/>
            <w:id w:val="1296182572"/>
            <w:lock w:val="sdtLocked"/>
          </w:sdtPr>
          <w:sdtEndPr/>
          <w:sdtContent>
            <w:tc>
              <w:tcPr>
                <w:tcW w:w="493" w:type="pct"/>
                <w:tcBorders>
                  <w:left w:val="single" w:sz="4" w:space="0" w:color="auto"/>
                  <w:bottom w:val="single" w:sz="4" w:space="0" w:color="auto"/>
                  <w:right w:val="single" w:sz="4" w:space="0" w:color="auto"/>
                </w:tcBorders>
                <w:vAlign w:val="center"/>
              </w:tcPr>
              <w:p w14:paraId="6FA5AB39" w14:textId="77777777" w:rsidR="00D21C1F" w:rsidRDefault="00A42880">
                <w:pPr>
                  <w:jc w:val="center"/>
                  <w:rPr>
                    <w:szCs w:val="21"/>
                  </w:rPr>
                </w:pPr>
                <w:r>
                  <w:rPr>
                    <w:rFonts w:hint="eastAsia"/>
                    <w:szCs w:val="21"/>
                  </w:rPr>
                  <w:t>金额</w:t>
                </w:r>
              </w:p>
            </w:tc>
          </w:sdtContent>
        </w:sdt>
        <w:sdt>
          <w:sdtPr>
            <w:tag w:val="_PLD_fd80073c74724a799d0de2171d95f241"/>
            <w:id w:val="982518393"/>
            <w:lock w:val="sdtLocked"/>
          </w:sdtPr>
          <w:sdtEndPr/>
          <w:sdtContent>
            <w:tc>
              <w:tcPr>
                <w:tcW w:w="337" w:type="pct"/>
                <w:tcBorders>
                  <w:left w:val="single" w:sz="4" w:space="0" w:color="auto"/>
                  <w:bottom w:val="single" w:sz="4" w:space="0" w:color="auto"/>
                  <w:right w:val="single" w:sz="4" w:space="0" w:color="auto"/>
                </w:tcBorders>
                <w:vAlign w:val="center"/>
              </w:tcPr>
              <w:p w14:paraId="41A6A198" w14:textId="77777777" w:rsidR="00D21C1F" w:rsidRDefault="00A42880">
                <w:pPr>
                  <w:jc w:val="center"/>
                  <w:rPr>
                    <w:szCs w:val="21"/>
                  </w:rPr>
                </w:pPr>
                <w:r>
                  <w:rPr>
                    <w:rFonts w:hint="eastAsia"/>
                    <w:szCs w:val="21"/>
                  </w:rPr>
                  <w:t>比例</w:t>
                </w:r>
                <w:r>
                  <w:rPr>
                    <w:szCs w:val="21"/>
                  </w:rPr>
                  <w:t>(%)</w:t>
                </w:r>
              </w:p>
            </w:tc>
          </w:sdtContent>
        </w:sdt>
        <w:sdt>
          <w:sdtPr>
            <w:tag w:val="_PLD_917059b3ee7f4b52afe8c3fa58f3e369"/>
            <w:id w:val="-41282428"/>
            <w:lock w:val="sdtLocked"/>
          </w:sdtPr>
          <w:sdtEndPr/>
          <w:sdtContent>
            <w:tc>
              <w:tcPr>
                <w:tcW w:w="456" w:type="pct"/>
                <w:tcBorders>
                  <w:left w:val="single" w:sz="4" w:space="0" w:color="auto"/>
                  <w:bottom w:val="single" w:sz="4" w:space="0" w:color="auto"/>
                  <w:right w:val="single" w:sz="4" w:space="0" w:color="auto"/>
                </w:tcBorders>
                <w:vAlign w:val="center"/>
              </w:tcPr>
              <w:p w14:paraId="30920FAC" w14:textId="77777777" w:rsidR="00D21C1F" w:rsidRDefault="00A42880">
                <w:pPr>
                  <w:jc w:val="center"/>
                  <w:rPr>
                    <w:szCs w:val="21"/>
                  </w:rPr>
                </w:pPr>
                <w:r>
                  <w:rPr>
                    <w:rFonts w:hint="eastAsia"/>
                    <w:szCs w:val="21"/>
                  </w:rPr>
                  <w:t>金额</w:t>
                </w:r>
              </w:p>
            </w:tc>
          </w:sdtContent>
        </w:sdt>
        <w:sdt>
          <w:sdtPr>
            <w:tag w:val="_PLD_ea90ccc029834397956c79bbe869d343"/>
            <w:id w:val="1370038072"/>
            <w:lock w:val="sdtLocked"/>
          </w:sdtPr>
          <w:sdtEndPr/>
          <w:sdtContent>
            <w:tc>
              <w:tcPr>
                <w:tcW w:w="330" w:type="pct"/>
                <w:tcBorders>
                  <w:left w:val="single" w:sz="4" w:space="0" w:color="auto"/>
                  <w:bottom w:val="single" w:sz="4" w:space="0" w:color="auto"/>
                  <w:right w:val="single" w:sz="4" w:space="0" w:color="auto"/>
                </w:tcBorders>
                <w:vAlign w:val="center"/>
              </w:tcPr>
              <w:p w14:paraId="6E700FF3" w14:textId="77777777" w:rsidR="00D21C1F" w:rsidRDefault="00A42880">
                <w:pPr>
                  <w:jc w:val="center"/>
                  <w:rPr>
                    <w:szCs w:val="21"/>
                  </w:rPr>
                </w:pPr>
                <w:r>
                  <w:rPr>
                    <w:rFonts w:hint="eastAsia"/>
                    <w:szCs w:val="21"/>
                  </w:rPr>
                  <w:t>计提比例</w:t>
                </w:r>
                <w:r>
                  <w:rPr>
                    <w:szCs w:val="21"/>
                  </w:rPr>
                  <w:t>(%)</w:t>
                </w:r>
              </w:p>
            </w:tc>
          </w:sdtContent>
        </w:sdt>
        <w:tc>
          <w:tcPr>
            <w:tcW w:w="493" w:type="pct"/>
            <w:vMerge/>
            <w:tcBorders>
              <w:left w:val="single" w:sz="4" w:space="0" w:color="auto"/>
              <w:bottom w:val="single" w:sz="4" w:space="0" w:color="auto"/>
              <w:right w:val="single" w:sz="4" w:space="0" w:color="auto"/>
            </w:tcBorders>
          </w:tcPr>
          <w:p w14:paraId="5C20CEA4" w14:textId="77777777" w:rsidR="00D21C1F" w:rsidRDefault="00D21C1F">
            <w:pPr>
              <w:jc w:val="center"/>
              <w:rPr>
                <w:szCs w:val="21"/>
              </w:rPr>
            </w:pPr>
          </w:p>
        </w:tc>
      </w:tr>
      <w:tr w:rsidR="00D21C1F" w14:paraId="1C8B2664" w14:textId="77777777">
        <w:trPr>
          <w:cantSplit/>
        </w:trPr>
        <w:sdt>
          <w:sdtPr>
            <w:tag w:val="_PLD_d8f2e8353bc54fe8b730d8cdf873f57c"/>
            <w:id w:val="-230775386"/>
            <w:lock w:val="sdtLocked"/>
          </w:sdtPr>
          <w:sdtEndPr/>
          <w:sdtContent>
            <w:tc>
              <w:tcPr>
                <w:tcW w:w="723" w:type="pct"/>
                <w:tcBorders>
                  <w:top w:val="single" w:sz="4" w:space="0" w:color="auto"/>
                  <w:left w:val="single" w:sz="4" w:space="0" w:color="auto"/>
                  <w:bottom w:val="single" w:sz="4" w:space="0" w:color="auto"/>
                  <w:right w:val="single" w:sz="4" w:space="0" w:color="auto"/>
                </w:tcBorders>
              </w:tcPr>
              <w:p w14:paraId="4A783AF8" w14:textId="77777777" w:rsidR="00D21C1F" w:rsidRDefault="00A42880">
                <w:pPr>
                  <w:jc w:val="both"/>
                  <w:rPr>
                    <w:szCs w:val="21"/>
                  </w:rPr>
                </w:pPr>
                <w:r>
                  <w:rPr>
                    <w:rFonts w:hint="eastAsia"/>
                    <w:szCs w:val="21"/>
                  </w:rPr>
                  <w:t>按单项计提坏账准备</w:t>
                </w:r>
              </w:p>
            </w:tc>
          </w:sdtContent>
        </w:sdt>
        <w:tc>
          <w:tcPr>
            <w:tcW w:w="513" w:type="pct"/>
            <w:tcBorders>
              <w:top w:val="single" w:sz="4" w:space="0" w:color="auto"/>
              <w:left w:val="single" w:sz="4" w:space="0" w:color="auto"/>
              <w:bottom w:val="single" w:sz="4" w:space="0" w:color="auto"/>
              <w:right w:val="single" w:sz="4" w:space="0" w:color="auto"/>
            </w:tcBorders>
            <w:vAlign w:val="bottom"/>
          </w:tcPr>
          <w:p w14:paraId="017B08C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49,360,622.03</w:t>
            </w:r>
          </w:p>
        </w:tc>
        <w:tc>
          <w:tcPr>
            <w:tcW w:w="319" w:type="pct"/>
            <w:tcBorders>
              <w:top w:val="single" w:sz="4" w:space="0" w:color="auto"/>
              <w:left w:val="single" w:sz="4" w:space="0" w:color="auto"/>
              <w:bottom w:val="single" w:sz="4" w:space="0" w:color="auto"/>
              <w:right w:val="single" w:sz="4" w:space="0" w:color="auto"/>
            </w:tcBorders>
            <w:vAlign w:val="bottom"/>
          </w:tcPr>
          <w:p w14:paraId="680B5A41"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12.49</w:t>
            </w:r>
          </w:p>
        </w:tc>
        <w:tc>
          <w:tcPr>
            <w:tcW w:w="512" w:type="pct"/>
            <w:tcBorders>
              <w:top w:val="single" w:sz="4" w:space="0" w:color="auto"/>
              <w:left w:val="single" w:sz="4" w:space="0" w:color="auto"/>
              <w:bottom w:val="single" w:sz="4" w:space="0" w:color="auto"/>
              <w:right w:val="single" w:sz="4" w:space="0" w:color="auto"/>
            </w:tcBorders>
            <w:vAlign w:val="bottom"/>
          </w:tcPr>
          <w:p w14:paraId="16926BC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35,405,195.79</w:t>
            </w:r>
          </w:p>
        </w:tc>
        <w:tc>
          <w:tcPr>
            <w:tcW w:w="330" w:type="pct"/>
            <w:tcBorders>
              <w:top w:val="single" w:sz="4" w:space="0" w:color="auto"/>
              <w:left w:val="single" w:sz="4" w:space="0" w:color="auto"/>
              <w:bottom w:val="single" w:sz="4" w:space="0" w:color="auto"/>
              <w:right w:val="single" w:sz="4" w:space="0" w:color="auto"/>
            </w:tcBorders>
            <w:vAlign w:val="bottom"/>
          </w:tcPr>
          <w:p w14:paraId="0A3D490D"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71.73</w:t>
            </w:r>
          </w:p>
        </w:tc>
        <w:tc>
          <w:tcPr>
            <w:tcW w:w="493" w:type="pct"/>
            <w:tcBorders>
              <w:top w:val="single" w:sz="4" w:space="0" w:color="auto"/>
              <w:left w:val="single" w:sz="4" w:space="0" w:color="auto"/>
              <w:bottom w:val="single" w:sz="4" w:space="0" w:color="auto"/>
              <w:right w:val="single" w:sz="4" w:space="0" w:color="auto"/>
            </w:tcBorders>
            <w:vAlign w:val="bottom"/>
          </w:tcPr>
          <w:p w14:paraId="6C281B1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13,955,426.24</w:t>
            </w:r>
          </w:p>
        </w:tc>
        <w:tc>
          <w:tcPr>
            <w:tcW w:w="493" w:type="pct"/>
            <w:tcBorders>
              <w:top w:val="single" w:sz="4" w:space="0" w:color="auto"/>
              <w:left w:val="single" w:sz="4" w:space="0" w:color="auto"/>
              <w:bottom w:val="single" w:sz="4" w:space="0" w:color="auto"/>
              <w:right w:val="single" w:sz="4" w:space="0" w:color="auto"/>
            </w:tcBorders>
            <w:vAlign w:val="bottom"/>
          </w:tcPr>
          <w:p w14:paraId="59A41101"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45,455,682.38</w:t>
            </w:r>
          </w:p>
        </w:tc>
        <w:tc>
          <w:tcPr>
            <w:tcW w:w="337" w:type="pct"/>
            <w:tcBorders>
              <w:top w:val="single" w:sz="4" w:space="0" w:color="auto"/>
              <w:left w:val="single" w:sz="4" w:space="0" w:color="auto"/>
              <w:bottom w:val="single" w:sz="4" w:space="0" w:color="auto"/>
              <w:right w:val="single" w:sz="4" w:space="0" w:color="auto"/>
            </w:tcBorders>
            <w:vAlign w:val="bottom"/>
          </w:tcPr>
          <w:p w14:paraId="062D3081"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15.19</w:t>
            </w:r>
          </w:p>
        </w:tc>
        <w:tc>
          <w:tcPr>
            <w:tcW w:w="456" w:type="pct"/>
            <w:tcBorders>
              <w:top w:val="single" w:sz="4" w:space="0" w:color="auto"/>
              <w:left w:val="single" w:sz="4" w:space="0" w:color="auto"/>
              <w:bottom w:val="single" w:sz="4" w:space="0" w:color="auto"/>
              <w:right w:val="single" w:sz="4" w:space="0" w:color="auto"/>
            </w:tcBorders>
            <w:vAlign w:val="bottom"/>
          </w:tcPr>
          <w:p w14:paraId="0EAA6FE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33,579,807.83</w:t>
            </w:r>
          </w:p>
        </w:tc>
        <w:tc>
          <w:tcPr>
            <w:tcW w:w="330" w:type="pct"/>
            <w:tcBorders>
              <w:top w:val="single" w:sz="4" w:space="0" w:color="auto"/>
              <w:left w:val="single" w:sz="4" w:space="0" w:color="auto"/>
              <w:bottom w:val="single" w:sz="4" w:space="0" w:color="auto"/>
              <w:right w:val="single" w:sz="4" w:space="0" w:color="auto"/>
            </w:tcBorders>
            <w:vAlign w:val="bottom"/>
          </w:tcPr>
          <w:p w14:paraId="3B92A1E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73.87</w:t>
            </w:r>
          </w:p>
        </w:tc>
        <w:tc>
          <w:tcPr>
            <w:tcW w:w="493" w:type="pct"/>
            <w:tcBorders>
              <w:top w:val="single" w:sz="4" w:space="0" w:color="auto"/>
              <w:left w:val="single" w:sz="4" w:space="0" w:color="auto"/>
              <w:bottom w:val="single" w:sz="4" w:space="0" w:color="auto"/>
              <w:right w:val="single" w:sz="4" w:space="0" w:color="auto"/>
            </w:tcBorders>
            <w:vAlign w:val="bottom"/>
          </w:tcPr>
          <w:p w14:paraId="0359868B"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11,875,874.55</w:t>
            </w:r>
          </w:p>
        </w:tc>
      </w:tr>
      <w:tr w:rsidR="00D21C1F" w14:paraId="3563F3DC" w14:textId="77777777">
        <w:trPr>
          <w:cantSplit/>
        </w:trPr>
        <w:sdt>
          <w:sdtPr>
            <w:tag w:val="_PLD_c2fb108392ea494fbb3dda9bd8528dd0"/>
            <w:id w:val="1006636654"/>
            <w:lock w:val="sdtLocked"/>
          </w:sdtPr>
          <w:sdtEndPr/>
          <w:sdtContent>
            <w:tc>
              <w:tcPr>
                <w:tcW w:w="723" w:type="pct"/>
                <w:tcBorders>
                  <w:top w:val="single" w:sz="4" w:space="0" w:color="auto"/>
                  <w:left w:val="single" w:sz="4" w:space="0" w:color="auto"/>
                  <w:bottom w:val="single" w:sz="4" w:space="0" w:color="auto"/>
                  <w:right w:val="single" w:sz="4" w:space="0" w:color="auto"/>
                </w:tcBorders>
              </w:tcPr>
              <w:p w14:paraId="214C7E08" w14:textId="77777777" w:rsidR="00D21C1F" w:rsidRDefault="00A42880">
                <w:pPr>
                  <w:jc w:val="both"/>
                  <w:rPr>
                    <w:szCs w:val="21"/>
                  </w:rPr>
                </w:pPr>
                <w:r>
                  <w:rPr>
                    <w:rFonts w:hint="eastAsia"/>
                    <w:szCs w:val="21"/>
                  </w:rPr>
                  <w:t>按组合计提坏账准备</w:t>
                </w:r>
              </w:p>
            </w:tc>
          </w:sdtContent>
        </w:sdt>
        <w:tc>
          <w:tcPr>
            <w:tcW w:w="513" w:type="pct"/>
            <w:tcBorders>
              <w:top w:val="single" w:sz="4" w:space="0" w:color="auto"/>
              <w:left w:val="single" w:sz="4" w:space="0" w:color="auto"/>
              <w:bottom w:val="single" w:sz="4" w:space="0" w:color="auto"/>
              <w:right w:val="single" w:sz="4" w:space="0" w:color="auto"/>
            </w:tcBorders>
            <w:vAlign w:val="bottom"/>
          </w:tcPr>
          <w:p w14:paraId="0E8BB92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345,936,699.00</w:t>
            </w:r>
          </w:p>
        </w:tc>
        <w:tc>
          <w:tcPr>
            <w:tcW w:w="319" w:type="pct"/>
            <w:tcBorders>
              <w:top w:val="single" w:sz="4" w:space="0" w:color="auto"/>
              <w:left w:val="single" w:sz="4" w:space="0" w:color="auto"/>
              <w:bottom w:val="single" w:sz="4" w:space="0" w:color="auto"/>
              <w:right w:val="single" w:sz="4" w:space="0" w:color="auto"/>
            </w:tcBorders>
            <w:vAlign w:val="bottom"/>
          </w:tcPr>
          <w:p w14:paraId="2149A74A"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87.51</w:t>
            </w:r>
          </w:p>
        </w:tc>
        <w:tc>
          <w:tcPr>
            <w:tcW w:w="512" w:type="pct"/>
            <w:tcBorders>
              <w:top w:val="single" w:sz="4" w:space="0" w:color="auto"/>
              <w:left w:val="single" w:sz="4" w:space="0" w:color="auto"/>
              <w:bottom w:val="single" w:sz="4" w:space="0" w:color="auto"/>
              <w:right w:val="single" w:sz="4" w:space="0" w:color="auto"/>
            </w:tcBorders>
            <w:vAlign w:val="bottom"/>
          </w:tcPr>
          <w:p w14:paraId="21A3913C"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32,825,966.16</w:t>
            </w:r>
          </w:p>
        </w:tc>
        <w:tc>
          <w:tcPr>
            <w:tcW w:w="330" w:type="pct"/>
            <w:tcBorders>
              <w:top w:val="single" w:sz="4" w:space="0" w:color="auto"/>
              <w:left w:val="single" w:sz="4" w:space="0" w:color="auto"/>
              <w:bottom w:val="single" w:sz="4" w:space="0" w:color="auto"/>
              <w:right w:val="single" w:sz="4" w:space="0" w:color="auto"/>
            </w:tcBorders>
            <w:vAlign w:val="bottom"/>
          </w:tcPr>
          <w:p w14:paraId="1B076BFD"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9.49</w:t>
            </w:r>
          </w:p>
        </w:tc>
        <w:tc>
          <w:tcPr>
            <w:tcW w:w="493" w:type="pct"/>
            <w:tcBorders>
              <w:top w:val="single" w:sz="4" w:space="0" w:color="auto"/>
              <w:left w:val="single" w:sz="4" w:space="0" w:color="auto"/>
              <w:bottom w:val="single" w:sz="4" w:space="0" w:color="auto"/>
              <w:right w:val="single" w:sz="4" w:space="0" w:color="auto"/>
            </w:tcBorders>
            <w:vAlign w:val="bottom"/>
          </w:tcPr>
          <w:p w14:paraId="06C67D7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313,110,732.84</w:t>
            </w:r>
          </w:p>
        </w:tc>
        <w:tc>
          <w:tcPr>
            <w:tcW w:w="493" w:type="pct"/>
            <w:tcBorders>
              <w:top w:val="single" w:sz="4" w:space="0" w:color="auto"/>
              <w:left w:val="single" w:sz="4" w:space="0" w:color="auto"/>
              <w:bottom w:val="single" w:sz="4" w:space="0" w:color="auto"/>
              <w:right w:val="single" w:sz="4" w:space="0" w:color="auto"/>
            </w:tcBorders>
            <w:vAlign w:val="bottom"/>
          </w:tcPr>
          <w:p w14:paraId="07C6F1D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253,727,997.16</w:t>
            </w:r>
          </w:p>
        </w:tc>
        <w:tc>
          <w:tcPr>
            <w:tcW w:w="337" w:type="pct"/>
            <w:tcBorders>
              <w:top w:val="single" w:sz="4" w:space="0" w:color="auto"/>
              <w:left w:val="single" w:sz="4" w:space="0" w:color="auto"/>
              <w:bottom w:val="single" w:sz="4" w:space="0" w:color="auto"/>
              <w:right w:val="single" w:sz="4" w:space="0" w:color="auto"/>
            </w:tcBorders>
            <w:vAlign w:val="bottom"/>
          </w:tcPr>
          <w:p w14:paraId="76381812"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84.81</w:t>
            </w:r>
          </w:p>
        </w:tc>
        <w:tc>
          <w:tcPr>
            <w:tcW w:w="456" w:type="pct"/>
            <w:tcBorders>
              <w:top w:val="single" w:sz="4" w:space="0" w:color="auto"/>
              <w:left w:val="single" w:sz="4" w:space="0" w:color="auto"/>
              <w:bottom w:val="single" w:sz="4" w:space="0" w:color="auto"/>
              <w:right w:val="single" w:sz="4" w:space="0" w:color="auto"/>
            </w:tcBorders>
            <w:vAlign w:val="bottom"/>
          </w:tcPr>
          <w:p w14:paraId="6100645F"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30,725,899.80</w:t>
            </w:r>
          </w:p>
        </w:tc>
        <w:tc>
          <w:tcPr>
            <w:tcW w:w="330" w:type="pct"/>
            <w:tcBorders>
              <w:top w:val="single" w:sz="4" w:space="0" w:color="auto"/>
              <w:left w:val="single" w:sz="4" w:space="0" w:color="auto"/>
              <w:bottom w:val="single" w:sz="4" w:space="0" w:color="auto"/>
              <w:right w:val="single" w:sz="4" w:space="0" w:color="auto"/>
            </w:tcBorders>
            <w:vAlign w:val="bottom"/>
          </w:tcPr>
          <w:p w14:paraId="671777D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12.11</w:t>
            </w:r>
          </w:p>
        </w:tc>
        <w:tc>
          <w:tcPr>
            <w:tcW w:w="493" w:type="pct"/>
            <w:tcBorders>
              <w:top w:val="single" w:sz="4" w:space="0" w:color="auto"/>
              <w:left w:val="single" w:sz="4" w:space="0" w:color="auto"/>
              <w:bottom w:val="single" w:sz="4" w:space="0" w:color="auto"/>
              <w:right w:val="single" w:sz="4" w:space="0" w:color="auto"/>
            </w:tcBorders>
            <w:vAlign w:val="bottom"/>
          </w:tcPr>
          <w:p w14:paraId="0A5D391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223,002,097.36</w:t>
            </w:r>
          </w:p>
        </w:tc>
      </w:tr>
      <w:tr w:rsidR="00D21C1F" w14:paraId="4BA59A4A" w14:textId="77777777">
        <w:trPr>
          <w:cantSplit/>
        </w:trPr>
        <w:sdt>
          <w:sdtPr>
            <w:tag w:val="_PLD_da40eb921a044acabfd44df1104701c2"/>
            <w:id w:val="-378552346"/>
            <w:lock w:val="sdtLocked"/>
          </w:sdtPr>
          <w:sdtEndPr/>
          <w:sdtContent>
            <w:tc>
              <w:tcPr>
                <w:tcW w:w="723" w:type="pct"/>
                <w:tcBorders>
                  <w:top w:val="single" w:sz="4" w:space="0" w:color="auto"/>
                  <w:left w:val="single" w:sz="4" w:space="0" w:color="auto"/>
                  <w:bottom w:val="single" w:sz="4" w:space="0" w:color="auto"/>
                  <w:right w:val="single" w:sz="4" w:space="0" w:color="auto"/>
                </w:tcBorders>
                <w:vAlign w:val="center"/>
              </w:tcPr>
              <w:p w14:paraId="568F03DB" w14:textId="77777777" w:rsidR="00D21C1F" w:rsidRDefault="00A42880">
                <w:pPr>
                  <w:autoSpaceDE w:val="0"/>
                  <w:autoSpaceDN w:val="0"/>
                  <w:adjustRightInd w:val="0"/>
                  <w:jc w:val="center"/>
                  <w:rPr>
                    <w:szCs w:val="21"/>
                  </w:rPr>
                </w:pPr>
                <w:r>
                  <w:rPr>
                    <w:rFonts w:hint="eastAsia"/>
                    <w:szCs w:val="21"/>
                  </w:rPr>
                  <w:t>合计</w:t>
                </w:r>
              </w:p>
            </w:tc>
          </w:sdtContent>
        </w:sdt>
        <w:tc>
          <w:tcPr>
            <w:tcW w:w="513" w:type="pct"/>
            <w:tcBorders>
              <w:top w:val="single" w:sz="4" w:space="0" w:color="auto"/>
              <w:left w:val="single" w:sz="4" w:space="0" w:color="auto"/>
              <w:bottom w:val="single" w:sz="4" w:space="0" w:color="auto"/>
              <w:right w:val="single" w:sz="4" w:space="0" w:color="auto"/>
            </w:tcBorders>
            <w:vAlign w:val="bottom"/>
          </w:tcPr>
          <w:p w14:paraId="4793C69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395,297,321.03</w:t>
            </w:r>
          </w:p>
        </w:tc>
        <w:tc>
          <w:tcPr>
            <w:tcW w:w="319" w:type="pct"/>
            <w:tcBorders>
              <w:top w:val="single" w:sz="4" w:space="0" w:color="auto"/>
              <w:left w:val="single" w:sz="4" w:space="0" w:color="auto"/>
              <w:bottom w:val="single" w:sz="4" w:space="0" w:color="auto"/>
              <w:right w:val="single" w:sz="4" w:space="0" w:color="auto"/>
            </w:tcBorders>
            <w:vAlign w:val="bottom"/>
          </w:tcPr>
          <w:p w14:paraId="0B368D7D"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w:t>
            </w:r>
          </w:p>
        </w:tc>
        <w:tc>
          <w:tcPr>
            <w:tcW w:w="512" w:type="pct"/>
            <w:tcBorders>
              <w:top w:val="single" w:sz="4" w:space="0" w:color="auto"/>
              <w:left w:val="single" w:sz="4" w:space="0" w:color="auto"/>
              <w:bottom w:val="single" w:sz="4" w:space="0" w:color="auto"/>
              <w:right w:val="single" w:sz="4" w:space="0" w:color="auto"/>
            </w:tcBorders>
            <w:vAlign w:val="bottom"/>
          </w:tcPr>
          <w:p w14:paraId="46DEA6D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68,231,161.95</w:t>
            </w:r>
          </w:p>
        </w:tc>
        <w:tc>
          <w:tcPr>
            <w:tcW w:w="330" w:type="pct"/>
            <w:tcBorders>
              <w:top w:val="single" w:sz="4" w:space="0" w:color="auto"/>
              <w:left w:val="single" w:sz="4" w:space="0" w:color="auto"/>
              <w:bottom w:val="single" w:sz="4" w:space="0" w:color="auto"/>
              <w:right w:val="single" w:sz="4" w:space="0" w:color="auto"/>
            </w:tcBorders>
            <w:vAlign w:val="bottom"/>
          </w:tcPr>
          <w:p w14:paraId="66B342F2"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w:t>
            </w:r>
          </w:p>
        </w:tc>
        <w:tc>
          <w:tcPr>
            <w:tcW w:w="493" w:type="pct"/>
            <w:tcBorders>
              <w:top w:val="single" w:sz="4" w:space="0" w:color="auto"/>
              <w:left w:val="single" w:sz="4" w:space="0" w:color="auto"/>
              <w:bottom w:val="single" w:sz="4" w:space="0" w:color="auto"/>
              <w:right w:val="single" w:sz="4" w:space="0" w:color="auto"/>
            </w:tcBorders>
            <w:vAlign w:val="bottom"/>
          </w:tcPr>
          <w:p w14:paraId="061C2AA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327,066,159.08</w:t>
            </w:r>
          </w:p>
        </w:tc>
        <w:tc>
          <w:tcPr>
            <w:tcW w:w="493" w:type="pct"/>
            <w:tcBorders>
              <w:top w:val="single" w:sz="4" w:space="0" w:color="auto"/>
              <w:left w:val="single" w:sz="4" w:space="0" w:color="auto"/>
              <w:bottom w:val="single" w:sz="4" w:space="0" w:color="auto"/>
              <w:right w:val="single" w:sz="4" w:space="0" w:color="auto"/>
            </w:tcBorders>
            <w:vAlign w:val="bottom"/>
          </w:tcPr>
          <w:p w14:paraId="019C783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299,183,679.54</w:t>
            </w:r>
          </w:p>
        </w:tc>
        <w:tc>
          <w:tcPr>
            <w:tcW w:w="337" w:type="pct"/>
            <w:tcBorders>
              <w:top w:val="single" w:sz="4" w:space="0" w:color="auto"/>
              <w:left w:val="single" w:sz="4" w:space="0" w:color="auto"/>
              <w:bottom w:val="single" w:sz="4" w:space="0" w:color="auto"/>
              <w:right w:val="single" w:sz="4" w:space="0" w:color="auto"/>
            </w:tcBorders>
            <w:vAlign w:val="bottom"/>
          </w:tcPr>
          <w:p w14:paraId="6ABBECDB"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w:t>
            </w:r>
          </w:p>
        </w:tc>
        <w:tc>
          <w:tcPr>
            <w:tcW w:w="456" w:type="pct"/>
            <w:tcBorders>
              <w:top w:val="single" w:sz="4" w:space="0" w:color="auto"/>
              <w:left w:val="single" w:sz="4" w:space="0" w:color="auto"/>
              <w:bottom w:val="single" w:sz="4" w:space="0" w:color="auto"/>
              <w:right w:val="single" w:sz="4" w:space="0" w:color="auto"/>
            </w:tcBorders>
            <w:vAlign w:val="bottom"/>
          </w:tcPr>
          <w:p w14:paraId="467A6D7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64,305,707.63</w:t>
            </w:r>
          </w:p>
        </w:tc>
        <w:tc>
          <w:tcPr>
            <w:tcW w:w="330" w:type="pct"/>
            <w:tcBorders>
              <w:top w:val="single" w:sz="4" w:space="0" w:color="auto"/>
              <w:left w:val="single" w:sz="4" w:space="0" w:color="auto"/>
              <w:bottom w:val="single" w:sz="4" w:space="0" w:color="auto"/>
              <w:right w:val="single" w:sz="4" w:space="0" w:color="auto"/>
            </w:tcBorders>
            <w:vAlign w:val="bottom"/>
          </w:tcPr>
          <w:p w14:paraId="61C666B7"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w:t>
            </w:r>
          </w:p>
        </w:tc>
        <w:tc>
          <w:tcPr>
            <w:tcW w:w="493" w:type="pct"/>
            <w:tcBorders>
              <w:top w:val="single" w:sz="4" w:space="0" w:color="auto"/>
              <w:left w:val="single" w:sz="4" w:space="0" w:color="auto"/>
              <w:bottom w:val="single" w:sz="4" w:space="0" w:color="auto"/>
              <w:right w:val="single" w:sz="4" w:space="0" w:color="auto"/>
            </w:tcBorders>
            <w:vAlign w:val="bottom"/>
          </w:tcPr>
          <w:p w14:paraId="135F5752"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234,877,971.91</w:t>
            </w:r>
          </w:p>
        </w:tc>
      </w:tr>
      <w:bookmarkEnd w:id="301"/>
    </w:tbl>
    <w:p w14:paraId="2B1CD6E3" w14:textId="77777777" w:rsidR="00D21C1F" w:rsidRDefault="00D21C1F">
      <w:pPr>
        <w:sectPr w:rsidR="00D21C1F">
          <w:pgSz w:w="16838" w:h="11906" w:orient="landscape"/>
          <w:pgMar w:top="1797" w:right="1525" w:bottom="1276" w:left="1440" w:header="856" w:footer="992" w:gutter="0"/>
          <w:cols w:space="425"/>
          <w:docGrid w:linePitch="312"/>
        </w:sectPr>
      </w:pPr>
    </w:p>
    <w:p w14:paraId="0C6C7951" w14:textId="77777777" w:rsidR="00D21C1F" w:rsidRDefault="00D21C1F">
      <w:pPr>
        <w:pStyle w:val="97"/>
      </w:pPr>
    </w:p>
    <w:bookmarkStart w:id="302" w:name="_Hlk10540045" w:displacedByCustomXml="next"/>
    <w:bookmarkStart w:id="303" w:name="_Hlk10540056" w:displacedByCustomXml="next"/>
    <w:sdt>
      <w:sdtPr>
        <w:rPr>
          <w:rFonts w:hint="eastAsia"/>
          <w:szCs w:val="21"/>
        </w:rPr>
        <w:alias w:val="模块:按单项计提坏账准备："/>
        <w:tag w:val="_SEC_25fdb1db4e684b509f2d87c2a7766da9"/>
        <w:id w:val="624824898"/>
        <w:lock w:val="sdtLocked"/>
        <w:placeholder>
          <w:docPart w:val="GBC22222222222222222222222222222"/>
        </w:placeholder>
      </w:sdtPr>
      <w:sdtEndPr>
        <w:rPr>
          <w:rFonts w:hint="default"/>
        </w:rPr>
      </w:sdtEndPr>
      <w:sdtContent>
        <w:p w14:paraId="3876CA67" w14:textId="77777777" w:rsidR="00D21C1F" w:rsidRDefault="00A42880">
          <w:pPr>
            <w:rPr>
              <w:szCs w:val="21"/>
            </w:rPr>
          </w:pPr>
          <w:r>
            <w:rPr>
              <w:rFonts w:hint="eastAsia"/>
              <w:szCs w:val="21"/>
            </w:rPr>
            <w:t>按单项计提坏账准备：</w:t>
          </w:r>
          <w:bookmarkEnd w:id="302"/>
        </w:p>
        <w:sdt>
          <w:sdtPr>
            <w:alias w:val="是否适用：母公司应收账款按单项计提坏账准备[双击切换]"/>
            <w:tag w:val="_GBC_6aa7698e624f4481b0cf894058a63961"/>
            <w:id w:val="1281458870"/>
            <w:lock w:val="sdtLocked"/>
            <w:placeholder>
              <w:docPart w:val="GBC22222222222222222222222222222"/>
            </w:placeholder>
          </w:sdtPr>
          <w:sdtEndPr/>
          <w:sdtContent>
            <w:p w14:paraId="403FB12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7CEA6E" w14:textId="77777777" w:rsidR="00D21C1F" w:rsidRDefault="00A42880">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单项计提坏账准备"/>
              <w:tag w:val="_GBC_78b604bf7ffb4c31ab3ee677554e3137"/>
              <w:id w:val="-779648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应收账款按单项计提坏账准备"/>
              <w:tag w:val="_GBC_4b1174efa36f426fad7996f19b12a196"/>
              <w:id w:val="-1586918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657"/>
            <w:gridCol w:w="1659"/>
            <w:gridCol w:w="1516"/>
            <w:gridCol w:w="1945"/>
          </w:tblGrid>
          <w:tr w:rsidR="00D21C1F" w14:paraId="771923BA" w14:textId="77777777">
            <w:sdt>
              <w:sdtPr>
                <w:tag w:val="_PLD_c9f375faf7b545a188ebedb1a01654f0"/>
                <w:id w:val="-1700767304"/>
                <w:lock w:val="sdtLocked"/>
              </w:sdtPr>
              <w:sdtEndPr/>
              <w:sdtContent>
                <w:tc>
                  <w:tcPr>
                    <w:tcW w:w="1160" w:type="pct"/>
                    <w:vMerge w:val="restart"/>
                    <w:vAlign w:val="center"/>
                  </w:tcPr>
                  <w:p w14:paraId="613A6B0E" w14:textId="77777777" w:rsidR="00D21C1F" w:rsidRDefault="00A42880">
                    <w:pPr>
                      <w:jc w:val="center"/>
                      <w:rPr>
                        <w:szCs w:val="21"/>
                      </w:rPr>
                    </w:pPr>
                    <w:r>
                      <w:rPr>
                        <w:rFonts w:hint="eastAsia"/>
                        <w:szCs w:val="21"/>
                      </w:rPr>
                      <w:t>名称</w:t>
                    </w:r>
                  </w:p>
                </w:tc>
              </w:sdtContent>
            </w:sdt>
            <w:sdt>
              <w:sdtPr>
                <w:tag w:val="_PLD_c86d7b0ec7994bbf9c32d3c6e0d2adda"/>
                <w:id w:val="765889872"/>
                <w:lock w:val="sdtLocked"/>
              </w:sdtPr>
              <w:sdtEndPr/>
              <w:sdtContent>
                <w:tc>
                  <w:tcPr>
                    <w:tcW w:w="3840" w:type="pct"/>
                    <w:gridSpan w:val="4"/>
                    <w:vAlign w:val="center"/>
                  </w:tcPr>
                  <w:p w14:paraId="1929E3E9" w14:textId="77777777" w:rsidR="00D21C1F" w:rsidRDefault="00A42880">
                    <w:pPr>
                      <w:jc w:val="center"/>
                      <w:rPr>
                        <w:szCs w:val="21"/>
                      </w:rPr>
                    </w:pPr>
                    <w:r>
                      <w:rPr>
                        <w:rFonts w:hint="eastAsia"/>
                        <w:szCs w:val="21"/>
                      </w:rPr>
                      <w:t>期末余额</w:t>
                    </w:r>
                  </w:p>
                </w:tc>
              </w:sdtContent>
            </w:sdt>
          </w:tr>
          <w:tr w:rsidR="00D21C1F" w14:paraId="22F97DC3" w14:textId="77777777">
            <w:tc>
              <w:tcPr>
                <w:tcW w:w="1160" w:type="pct"/>
                <w:vMerge/>
              </w:tcPr>
              <w:p w14:paraId="1A7C9EB8" w14:textId="77777777" w:rsidR="00D21C1F" w:rsidRDefault="00D21C1F">
                <w:pPr>
                  <w:jc w:val="center"/>
                  <w:rPr>
                    <w:szCs w:val="21"/>
                  </w:rPr>
                </w:pPr>
              </w:p>
            </w:tc>
            <w:sdt>
              <w:sdtPr>
                <w:tag w:val="_PLD_7bbf6380a8804f6c8a717a338f6be3fd"/>
                <w:id w:val="-1592847323"/>
                <w:lock w:val="sdtLocked"/>
              </w:sdtPr>
              <w:sdtEndPr/>
              <w:sdtContent>
                <w:tc>
                  <w:tcPr>
                    <w:tcW w:w="939" w:type="pct"/>
                    <w:vAlign w:val="center"/>
                  </w:tcPr>
                  <w:p w14:paraId="39E1ADF8" w14:textId="77777777" w:rsidR="00D21C1F" w:rsidRDefault="00A42880">
                    <w:pPr>
                      <w:jc w:val="center"/>
                      <w:rPr>
                        <w:szCs w:val="21"/>
                      </w:rPr>
                    </w:pPr>
                    <w:r>
                      <w:rPr>
                        <w:rFonts w:hint="eastAsia"/>
                        <w:szCs w:val="21"/>
                      </w:rPr>
                      <w:t>账面余额</w:t>
                    </w:r>
                  </w:p>
                </w:tc>
              </w:sdtContent>
            </w:sdt>
            <w:sdt>
              <w:sdtPr>
                <w:tag w:val="_PLD_c15d611dc2404462bf82049172a2f8e5"/>
                <w:id w:val="422377350"/>
                <w:lock w:val="sdtLocked"/>
              </w:sdtPr>
              <w:sdtEndPr/>
              <w:sdtContent>
                <w:tc>
                  <w:tcPr>
                    <w:tcW w:w="940" w:type="pct"/>
                    <w:vAlign w:val="center"/>
                  </w:tcPr>
                  <w:p w14:paraId="21DBD49E" w14:textId="77777777" w:rsidR="00D21C1F" w:rsidRDefault="00A42880">
                    <w:pPr>
                      <w:jc w:val="center"/>
                      <w:rPr>
                        <w:szCs w:val="21"/>
                      </w:rPr>
                    </w:pPr>
                    <w:r>
                      <w:rPr>
                        <w:rFonts w:hint="eastAsia"/>
                        <w:szCs w:val="21"/>
                      </w:rPr>
                      <w:t>坏账准备</w:t>
                    </w:r>
                  </w:p>
                </w:tc>
              </w:sdtContent>
            </w:sdt>
            <w:sdt>
              <w:sdtPr>
                <w:tag w:val="_PLD_54a8956eb15646cfa69cc0c723b11525"/>
                <w:id w:val="856168347"/>
                <w:lock w:val="sdtLocked"/>
              </w:sdtPr>
              <w:sdtEndPr/>
              <w:sdtContent>
                <w:tc>
                  <w:tcPr>
                    <w:tcW w:w="859" w:type="pct"/>
                    <w:vAlign w:val="center"/>
                  </w:tcPr>
                  <w:p w14:paraId="09787CDB" w14:textId="77777777" w:rsidR="00D21C1F" w:rsidRDefault="00A42880">
                    <w:pPr>
                      <w:jc w:val="center"/>
                      <w:rPr>
                        <w:szCs w:val="21"/>
                      </w:rPr>
                    </w:pPr>
                    <w:r>
                      <w:rPr>
                        <w:szCs w:val="21"/>
                      </w:rPr>
                      <w:t>计提比例</w:t>
                    </w:r>
                    <w:r>
                      <w:rPr>
                        <w:rFonts w:hint="eastAsia"/>
                        <w:szCs w:val="21"/>
                      </w:rPr>
                      <w:t>（%）</w:t>
                    </w:r>
                  </w:p>
                </w:tc>
              </w:sdtContent>
            </w:sdt>
            <w:sdt>
              <w:sdtPr>
                <w:tag w:val="_PLD_b9a45c0c48a240cba3863633ee15a99c"/>
                <w:id w:val="-229153400"/>
                <w:lock w:val="sdtLocked"/>
              </w:sdtPr>
              <w:sdtEndPr/>
              <w:sdtContent>
                <w:tc>
                  <w:tcPr>
                    <w:tcW w:w="1102" w:type="pct"/>
                    <w:vAlign w:val="center"/>
                  </w:tcPr>
                  <w:p w14:paraId="6E5A8DA9" w14:textId="77777777" w:rsidR="00D21C1F" w:rsidRDefault="00A42880">
                    <w:pPr>
                      <w:jc w:val="center"/>
                      <w:rPr>
                        <w:szCs w:val="21"/>
                      </w:rPr>
                    </w:pPr>
                    <w:r>
                      <w:rPr>
                        <w:rFonts w:hint="eastAsia"/>
                        <w:szCs w:val="21"/>
                      </w:rPr>
                      <w:t>计提理由</w:t>
                    </w:r>
                  </w:p>
                </w:tc>
              </w:sdtContent>
            </w:sdt>
          </w:tr>
          <w:sdt>
            <w:sdtPr>
              <w:rPr>
                <w:rFonts w:ascii="Times New Roman" w:hAnsi="Times New Roman" w:cs="Times New Roman"/>
                <w:color w:val="008000"/>
                <w:szCs w:val="21"/>
              </w:rPr>
              <w:alias w:val="按单项计提坏账准备的应收账款详细名称明细"/>
              <w:tag w:val="_TUP_2c953ac7b56244699de69986e4bf6b72"/>
              <w:id w:val="1869565001"/>
              <w:lock w:val="sdtLocked"/>
            </w:sdtPr>
            <w:sdtEndPr>
              <w:rPr>
                <w:rFonts w:ascii="宋体" w:hAnsi="宋体" w:cs="宋体"/>
                <w:color w:val="auto"/>
              </w:rPr>
            </w:sdtEndPr>
            <w:sdtContent>
              <w:tr w:rsidR="00D21C1F" w14:paraId="6644B782" w14:textId="77777777">
                <w:tc>
                  <w:tcPr>
                    <w:tcW w:w="1160" w:type="pct"/>
                  </w:tcPr>
                  <w:p w14:paraId="585A74EF"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2</w:t>
                    </w:r>
                  </w:p>
                </w:tc>
                <w:tc>
                  <w:tcPr>
                    <w:tcW w:w="939" w:type="pct"/>
                    <w:vAlign w:val="center"/>
                  </w:tcPr>
                  <w:p w14:paraId="2144DF8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17,507,230.74</w:t>
                    </w:r>
                  </w:p>
                </w:tc>
                <w:tc>
                  <w:tcPr>
                    <w:tcW w:w="940" w:type="pct"/>
                    <w:vAlign w:val="center"/>
                  </w:tcPr>
                  <w:p w14:paraId="6A3FE45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8,753,615.37</w:t>
                    </w:r>
                  </w:p>
                </w:tc>
                <w:tc>
                  <w:tcPr>
                    <w:tcW w:w="859" w:type="pct"/>
                    <w:vAlign w:val="center"/>
                  </w:tcPr>
                  <w:p w14:paraId="302763C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50</w:t>
                    </w:r>
                  </w:p>
                </w:tc>
                <w:tc>
                  <w:tcPr>
                    <w:tcW w:w="1102" w:type="pct"/>
                  </w:tcPr>
                  <w:p w14:paraId="722A928A" w14:textId="77777777" w:rsidR="00D21C1F" w:rsidRDefault="00A42880">
                    <w:pPr>
                      <w:rPr>
                        <w:szCs w:val="21"/>
                      </w:rPr>
                    </w:pPr>
                    <w:r>
                      <w:t>预计部分无法收回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254979734"/>
              <w:lock w:val="sdtLocked"/>
            </w:sdtPr>
            <w:sdtEndPr>
              <w:rPr>
                <w:rFonts w:ascii="宋体" w:hAnsi="宋体" w:cs="宋体"/>
                <w:color w:val="auto"/>
              </w:rPr>
            </w:sdtEndPr>
            <w:sdtContent>
              <w:tr w:rsidR="00D21C1F" w14:paraId="07B1475B" w14:textId="77777777">
                <w:tc>
                  <w:tcPr>
                    <w:tcW w:w="1160" w:type="pct"/>
                  </w:tcPr>
                  <w:p w14:paraId="7540EE55"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5</w:t>
                    </w:r>
                  </w:p>
                </w:tc>
                <w:tc>
                  <w:tcPr>
                    <w:tcW w:w="939" w:type="pct"/>
                    <w:vAlign w:val="center"/>
                  </w:tcPr>
                  <w:p w14:paraId="57043999"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6,866,786.76</w:t>
                    </w:r>
                  </w:p>
                </w:tc>
                <w:tc>
                  <w:tcPr>
                    <w:tcW w:w="940" w:type="pct"/>
                    <w:vAlign w:val="center"/>
                  </w:tcPr>
                  <w:p w14:paraId="5822933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6,866,786.76</w:t>
                    </w:r>
                  </w:p>
                </w:tc>
                <w:tc>
                  <w:tcPr>
                    <w:tcW w:w="859" w:type="pct"/>
                    <w:vAlign w:val="center"/>
                  </w:tcPr>
                  <w:p w14:paraId="4175E597"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62F5B86E"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1588915478"/>
              <w:lock w:val="sdtLocked"/>
            </w:sdtPr>
            <w:sdtEndPr>
              <w:rPr>
                <w:rFonts w:ascii="宋体" w:hAnsi="宋体" w:cs="宋体"/>
                <w:color w:val="auto"/>
              </w:rPr>
            </w:sdtEndPr>
            <w:sdtContent>
              <w:tr w:rsidR="00D21C1F" w14:paraId="7B7C05EF" w14:textId="77777777">
                <w:tc>
                  <w:tcPr>
                    <w:tcW w:w="1160" w:type="pct"/>
                  </w:tcPr>
                  <w:p w14:paraId="370B170C"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8</w:t>
                    </w:r>
                  </w:p>
                </w:tc>
                <w:tc>
                  <w:tcPr>
                    <w:tcW w:w="939" w:type="pct"/>
                    <w:vAlign w:val="center"/>
                  </w:tcPr>
                  <w:p w14:paraId="3F7FE88C"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3,890,000.00</w:t>
                    </w:r>
                  </w:p>
                </w:tc>
                <w:tc>
                  <w:tcPr>
                    <w:tcW w:w="940" w:type="pct"/>
                    <w:vAlign w:val="center"/>
                  </w:tcPr>
                  <w:p w14:paraId="29091DC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3,890,000.00</w:t>
                    </w:r>
                  </w:p>
                </w:tc>
                <w:tc>
                  <w:tcPr>
                    <w:tcW w:w="859" w:type="pct"/>
                    <w:vAlign w:val="center"/>
                  </w:tcPr>
                  <w:p w14:paraId="5DC70EE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389306E3"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438068758"/>
              <w:lock w:val="sdtLocked"/>
            </w:sdtPr>
            <w:sdtEndPr>
              <w:rPr>
                <w:rFonts w:ascii="宋体" w:hAnsi="宋体" w:cs="宋体"/>
                <w:color w:val="auto"/>
              </w:rPr>
            </w:sdtEndPr>
            <w:sdtContent>
              <w:tr w:rsidR="00D21C1F" w14:paraId="3A32A61B" w14:textId="77777777">
                <w:tc>
                  <w:tcPr>
                    <w:tcW w:w="1160" w:type="pct"/>
                  </w:tcPr>
                  <w:p w14:paraId="5FFC8900"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11</w:t>
                    </w:r>
                  </w:p>
                </w:tc>
                <w:tc>
                  <w:tcPr>
                    <w:tcW w:w="939" w:type="pct"/>
                    <w:vAlign w:val="center"/>
                  </w:tcPr>
                  <w:p w14:paraId="7620A37B"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4,340,560.10</w:t>
                    </w:r>
                  </w:p>
                </w:tc>
                <w:tc>
                  <w:tcPr>
                    <w:tcW w:w="940" w:type="pct"/>
                    <w:vAlign w:val="center"/>
                  </w:tcPr>
                  <w:p w14:paraId="5D2CA7C2"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1,302,168.03</w:t>
                    </w:r>
                  </w:p>
                </w:tc>
                <w:tc>
                  <w:tcPr>
                    <w:tcW w:w="859" w:type="pct"/>
                    <w:vAlign w:val="center"/>
                  </w:tcPr>
                  <w:p w14:paraId="152CA3E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30</w:t>
                    </w:r>
                  </w:p>
                </w:tc>
                <w:tc>
                  <w:tcPr>
                    <w:tcW w:w="1102" w:type="pct"/>
                  </w:tcPr>
                  <w:p w14:paraId="6C98BA5E" w14:textId="77777777" w:rsidR="00D21C1F" w:rsidRDefault="00A42880">
                    <w:pPr>
                      <w:rPr>
                        <w:szCs w:val="21"/>
                      </w:rPr>
                    </w:pPr>
                    <w:r>
                      <w:t>预计部分无法收回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87424954"/>
              <w:lock w:val="sdtLocked"/>
            </w:sdtPr>
            <w:sdtEndPr>
              <w:rPr>
                <w:rFonts w:ascii="宋体" w:hAnsi="宋体" w:cs="宋体"/>
                <w:color w:val="auto"/>
              </w:rPr>
            </w:sdtEndPr>
            <w:sdtContent>
              <w:tr w:rsidR="00D21C1F" w14:paraId="0E485750" w14:textId="77777777">
                <w:tc>
                  <w:tcPr>
                    <w:tcW w:w="1160" w:type="pct"/>
                  </w:tcPr>
                  <w:p w14:paraId="441B1A52"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12</w:t>
                    </w:r>
                  </w:p>
                </w:tc>
                <w:tc>
                  <w:tcPr>
                    <w:tcW w:w="939" w:type="pct"/>
                    <w:vAlign w:val="center"/>
                  </w:tcPr>
                  <w:p w14:paraId="5ECDA4B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4,326,837.61</w:t>
                    </w:r>
                  </w:p>
                </w:tc>
                <w:tc>
                  <w:tcPr>
                    <w:tcW w:w="940" w:type="pct"/>
                    <w:vAlign w:val="center"/>
                  </w:tcPr>
                  <w:p w14:paraId="1233D92B"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2,163,418.81</w:t>
                    </w:r>
                  </w:p>
                </w:tc>
                <w:tc>
                  <w:tcPr>
                    <w:tcW w:w="859" w:type="pct"/>
                    <w:vAlign w:val="center"/>
                  </w:tcPr>
                  <w:p w14:paraId="6A1F094E"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50</w:t>
                    </w:r>
                  </w:p>
                </w:tc>
                <w:tc>
                  <w:tcPr>
                    <w:tcW w:w="1102" w:type="pct"/>
                  </w:tcPr>
                  <w:p w14:paraId="43B4E880" w14:textId="77777777" w:rsidR="00D21C1F" w:rsidRDefault="00A42880">
                    <w:pPr>
                      <w:rPr>
                        <w:szCs w:val="21"/>
                      </w:rPr>
                    </w:pPr>
                    <w:r>
                      <w:t>预计部分无法收回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104426456"/>
              <w:lock w:val="sdtLocked"/>
            </w:sdtPr>
            <w:sdtEndPr>
              <w:rPr>
                <w:rFonts w:ascii="宋体" w:hAnsi="宋体" w:cs="宋体"/>
                <w:color w:val="auto"/>
              </w:rPr>
            </w:sdtEndPr>
            <w:sdtContent>
              <w:tr w:rsidR="00D21C1F" w14:paraId="19E65F1C" w14:textId="77777777">
                <w:tc>
                  <w:tcPr>
                    <w:tcW w:w="1160" w:type="pct"/>
                  </w:tcPr>
                  <w:p w14:paraId="084A3F41"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13</w:t>
                    </w:r>
                  </w:p>
                </w:tc>
                <w:tc>
                  <w:tcPr>
                    <w:tcW w:w="939" w:type="pct"/>
                    <w:vAlign w:val="center"/>
                  </w:tcPr>
                  <w:p w14:paraId="2369540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3,352,930.70</w:t>
                    </w:r>
                  </w:p>
                </w:tc>
                <w:tc>
                  <w:tcPr>
                    <w:tcW w:w="940" w:type="pct"/>
                    <w:vAlign w:val="center"/>
                  </w:tcPr>
                  <w:p w14:paraId="1AC8E829"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3,352,930.70</w:t>
                    </w:r>
                  </w:p>
                </w:tc>
                <w:tc>
                  <w:tcPr>
                    <w:tcW w:w="859" w:type="pct"/>
                    <w:vAlign w:val="center"/>
                  </w:tcPr>
                  <w:p w14:paraId="287F240B"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309687D9"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338127309"/>
              <w:lock w:val="sdtLocked"/>
            </w:sdtPr>
            <w:sdtEndPr>
              <w:rPr>
                <w:rFonts w:ascii="宋体" w:hAnsi="宋体" w:cs="宋体"/>
                <w:color w:val="auto"/>
              </w:rPr>
            </w:sdtEndPr>
            <w:sdtContent>
              <w:tr w:rsidR="00D21C1F" w14:paraId="151D4458" w14:textId="77777777">
                <w:tc>
                  <w:tcPr>
                    <w:tcW w:w="1160" w:type="pct"/>
                  </w:tcPr>
                  <w:p w14:paraId="35DB6F64"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15</w:t>
                    </w:r>
                  </w:p>
                </w:tc>
                <w:tc>
                  <w:tcPr>
                    <w:tcW w:w="939" w:type="pct"/>
                    <w:vAlign w:val="center"/>
                  </w:tcPr>
                  <w:p w14:paraId="3E4D2E5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2,725,100.00</w:t>
                    </w:r>
                  </w:p>
                </w:tc>
                <w:tc>
                  <w:tcPr>
                    <w:tcW w:w="940" w:type="pct"/>
                    <w:vAlign w:val="center"/>
                  </w:tcPr>
                  <w:p w14:paraId="31F77F5F"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2,725,100.00</w:t>
                    </w:r>
                  </w:p>
                </w:tc>
                <w:tc>
                  <w:tcPr>
                    <w:tcW w:w="859" w:type="pct"/>
                    <w:vAlign w:val="center"/>
                  </w:tcPr>
                  <w:p w14:paraId="7EDE291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2BDB3F6F"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669526968"/>
              <w:lock w:val="sdtLocked"/>
            </w:sdtPr>
            <w:sdtEndPr>
              <w:rPr>
                <w:rFonts w:ascii="宋体" w:hAnsi="宋体" w:cs="宋体"/>
                <w:color w:val="auto"/>
              </w:rPr>
            </w:sdtEndPr>
            <w:sdtContent>
              <w:tr w:rsidR="00D21C1F" w14:paraId="62D39BEC" w14:textId="77777777">
                <w:tc>
                  <w:tcPr>
                    <w:tcW w:w="1160" w:type="pct"/>
                  </w:tcPr>
                  <w:p w14:paraId="1ED38E3B"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17</w:t>
                    </w:r>
                  </w:p>
                </w:tc>
                <w:tc>
                  <w:tcPr>
                    <w:tcW w:w="939" w:type="pct"/>
                    <w:vAlign w:val="center"/>
                  </w:tcPr>
                  <w:p w14:paraId="350431FE"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2,250,900.00</w:t>
                    </w:r>
                  </w:p>
                </w:tc>
                <w:tc>
                  <w:tcPr>
                    <w:tcW w:w="940" w:type="pct"/>
                    <w:vAlign w:val="center"/>
                  </w:tcPr>
                  <w:p w14:paraId="7CFEBED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2,250,900.00</w:t>
                    </w:r>
                  </w:p>
                </w:tc>
                <w:tc>
                  <w:tcPr>
                    <w:tcW w:w="859" w:type="pct"/>
                    <w:vAlign w:val="center"/>
                  </w:tcPr>
                  <w:p w14:paraId="53EBB7E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14FA5676"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2142408056"/>
              <w:lock w:val="sdtLocked"/>
            </w:sdtPr>
            <w:sdtEndPr>
              <w:rPr>
                <w:rFonts w:ascii="宋体" w:hAnsi="宋体" w:cs="宋体"/>
                <w:color w:val="auto"/>
              </w:rPr>
            </w:sdtEndPr>
            <w:sdtContent>
              <w:tr w:rsidR="00D21C1F" w14:paraId="5B4D8821" w14:textId="77777777">
                <w:tc>
                  <w:tcPr>
                    <w:tcW w:w="1160" w:type="pct"/>
                  </w:tcPr>
                  <w:p w14:paraId="6B118945"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19</w:t>
                    </w:r>
                  </w:p>
                </w:tc>
                <w:tc>
                  <w:tcPr>
                    <w:tcW w:w="939" w:type="pct"/>
                    <w:vAlign w:val="center"/>
                  </w:tcPr>
                  <w:p w14:paraId="1ACC026C"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1,947,000.00</w:t>
                    </w:r>
                  </w:p>
                </w:tc>
                <w:tc>
                  <w:tcPr>
                    <w:tcW w:w="940" w:type="pct"/>
                    <w:vAlign w:val="center"/>
                  </w:tcPr>
                  <w:p w14:paraId="1F85A182"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1,947,000.00</w:t>
                    </w:r>
                  </w:p>
                </w:tc>
                <w:tc>
                  <w:tcPr>
                    <w:tcW w:w="859" w:type="pct"/>
                    <w:vAlign w:val="center"/>
                  </w:tcPr>
                  <w:p w14:paraId="6491BB8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45D36EC6"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910044876"/>
              <w:lock w:val="sdtLocked"/>
            </w:sdtPr>
            <w:sdtEndPr>
              <w:rPr>
                <w:rFonts w:ascii="宋体" w:hAnsi="宋体" w:cs="宋体"/>
                <w:color w:val="auto"/>
              </w:rPr>
            </w:sdtEndPr>
            <w:sdtContent>
              <w:tr w:rsidR="00D21C1F" w14:paraId="16F371DD" w14:textId="77777777">
                <w:tc>
                  <w:tcPr>
                    <w:tcW w:w="1160" w:type="pct"/>
                  </w:tcPr>
                  <w:p w14:paraId="486C50E6"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20</w:t>
                    </w:r>
                  </w:p>
                </w:tc>
                <w:tc>
                  <w:tcPr>
                    <w:tcW w:w="939" w:type="pct"/>
                    <w:vAlign w:val="center"/>
                  </w:tcPr>
                  <w:p w14:paraId="7E686B81"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1,045,522.78</w:t>
                    </w:r>
                  </w:p>
                </w:tc>
                <w:tc>
                  <w:tcPr>
                    <w:tcW w:w="940" w:type="pct"/>
                    <w:vAlign w:val="center"/>
                  </w:tcPr>
                  <w:p w14:paraId="06F13FE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1,045,522.78</w:t>
                    </w:r>
                  </w:p>
                </w:tc>
                <w:tc>
                  <w:tcPr>
                    <w:tcW w:w="859" w:type="pct"/>
                    <w:vAlign w:val="center"/>
                  </w:tcPr>
                  <w:p w14:paraId="702D6D7D"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19CE35D2"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1494485526"/>
              <w:lock w:val="sdtLocked"/>
            </w:sdtPr>
            <w:sdtEndPr>
              <w:rPr>
                <w:rFonts w:ascii="宋体" w:hAnsi="宋体" w:cs="宋体"/>
                <w:color w:val="auto"/>
              </w:rPr>
            </w:sdtEndPr>
            <w:sdtContent>
              <w:tr w:rsidR="00D21C1F" w14:paraId="154EF20B" w14:textId="77777777">
                <w:tc>
                  <w:tcPr>
                    <w:tcW w:w="1160" w:type="pct"/>
                  </w:tcPr>
                  <w:p w14:paraId="1463E415"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客户</w:t>
                    </w:r>
                    <w:r w:rsidRPr="00266B55">
                      <w:rPr>
                        <w:rFonts w:ascii="Times New Roman" w:hAnsi="Times New Roman" w:cs="Times New Roman"/>
                      </w:rPr>
                      <w:t>22</w:t>
                    </w:r>
                  </w:p>
                </w:tc>
                <w:tc>
                  <w:tcPr>
                    <w:tcW w:w="939" w:type="pct"/>
                    <w:vAlign w:val="center"/>
                  </w:tcPr>
                  <w:p w14:paraId="5731C75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543,924.12</w:t>
                    </w:r>
                  </w:p>
                </w:tc>
                <w:tc>
                  <w:tcPr>
                    <w:tcW w:w="940" w:type="pct"/>
                    <w:vAlign w:val="center"/>
                  </w:tcPr>
                  <w:p w14:paraId="2BB8C93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543,924.12</w:t>
                    </w:r>
                  </w:p>
                </w:tc>
                <w:tc>
                  <w:tcPr>
                    <w:tcW w:w="859" w:type="pct"/>
                    <w:vAlign w:val="center"/>
                  </w:tcPr>
                  <w:p w14:paraId="6B0C2BCE"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4CF95C18" w14:textId="77777777" w:rsidR="00D21C1F" w:rsidRDefault="00A42880">
                    <w:pPr>
                      <w:rPr>
                        <w:szCs w:val="21"/>
                      </w:rPr>
                    </w:pPr>
                    <w:r>
                      <w:t>预计无法收回</w:t>
                    </w:r>
                  </w:p>
                </w:tc>
              </w:tr>
            </w:sdtContent>
          </w:sdt>
          <w:sdt>
            <w:sdtPr>
              <w:rPr>
                <w:rFonts w:ascii="Times New Roman" w:hAnsi="Times New Roman" w:cs="Times New Roman"/>
                <w:color w:val="008000"/>
                <w:szCs w:val="21"/>
              </w:rPr>
              <w:alias w:val="按单项计提坏账准备的应收账款详细名称明细"/>
              <w:tag w:val="_TUP_2c953ac7b56244699de69986e4bf6b72"/>
              <w:id w:val="1852832251"/>
              <w:lock w:val="sdtLocked"/>
            </w:sdtPr>
            <w:sdtEndPr>
              <w:rPr>
                <w:rFonts w:ascii="宋体" w:hAnsi="宋体" w:cs="宋体"/>
                <w:color w:val="auto"/>
              </w:rPr>
            </w:sdtEndPr>
            <w:sdtContent>
              <w:tr w:rsidR="00D21C1F" w14:paraId="6AB91C84" w14:textId="77777777">
                <w:tc>
                  <w:tcPr>
                    <w:tcW w:w="1160" w:type="pct"/>
                  </w:tcPr>
                  <w:p w14:paraId="10A84400"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其他</w:t>
                    </w:r>
                  </w:p>
                </w:tc>
                <w:tc>
                  <w:tcPr>
                    <w:tcW w:w="939" w:type="pct"/>
                    <w:vAlign w:val="center"/>
                  </w:tcPr>
                  <w:p w14:paraId="224569BA"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563,829.22</w:t>
                    </w:r>
                  </w:p>
                </w:tc>
                <w:tc>
                  <w:tcPr>
                    <w:tcW w:w="940" w:type="pct"/>
                    <w:vAlign w:val="center"/>
                  </w:tcPr>
                  <w:p w14:paraId="5BF5C11C"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563,829.22</w:t>
                    </w:r>
                  </w:p>
                </w:tc>
                <w:tc>
                  <w:tcPr>
                    <w:tcW w:w="859" w:type="pct"/>
                    <w:vAlign w:val="center"/>
                  </w:tcPr>
                  <w:p w14:paraId="7DFE4661"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100</w:t>
                    </w:r>
                  </w:p>
                </w:tc>
                <w:tc>
                  <w:tcPr>
                    <w:tcW w:w="1102" w:type="pct"/>
                  </w:tcPr>
                  <w:p w14:paraId="1EDEF711" w14:textId="77777777" w:rsidR="00D21C1F" w:rsidRDefault="00A42880">
                    <w:pPr>
                      <w:rPr>
                        <w:szCs w:val="21"/>
                      </w:rPr>
                    </w:pPr>
                    <w:r>
                      <w:t>预计无法收回</w:t>
                    </w:r>
                  </w:p>
                </w:tc>
              </w:tr>
            </w:sdtContent>
          </w:sdt>
          <w:tr w:rsidR="00D21C1F" w14:paraId="00F1785F" w14:textId="77777777">
            <w:sdt>
              <w:sdtPr>
                <w:rPr>
                  <w:rFonts w:ascii="Times New Roman" w:hAnsi="Times New Roman" w:cs="Times New Roman"/>
                </w:rPr>
                <w:tag w:val="_PLD_ae2160629a8e476ca13f19742070e947"/>
                <w:id w:val="1873423691"/>
                <w:lock w:val="sdtLocked"/>
              </w:sdtPr>
              <w:sdtEndPr/>
              <w:sdtContent>
                <w:tc>
                  <w:tcPr>
                    <w:tcW w:w="1160" w:type="pct"/>
                    <w:vAlign w:val="center"/>
                  </w:tcPr>
                  <w:p w14:paraId="5A87EFE2" w14:textId="77777777" w:rsidR="00D21C1F" w:rsidRPr="00266B55" w:rsidRDefault="00A42880">
                    <w:pPr>
                      <w:jc w:val="center"/>
                      <w:rPr>
                        <w:rFonts w:ascii="Times New Roman" w:hAnsi="Times New Roman" w:cs="Times New Roman"/>
                        <w:szCs w:val="21"/>
                      </w:rPr>
                    </w:pPr>
                    <w:r w:rsidRPr="00266B55">
                      <w:rPr>
                        <w:rFonts w:ascii="Times New Roman" w:hAnsi="Times New Roman" w:cs="Times New Roman"/>
                        <w:szCs w:val="21"/>
                      </w:rPr>
                      <w:t>合计</w:t>
                    </w:r>
                  </w:p>
                </w:tc>
              </w:sdtContent>
            </w:sdt>
            <w:tc>
              <w:tcPr>
                <w:tcW w:w="939" w:type="pct"/>
                <w:vAlign w:val="center"/>
              </w:tcPr>
              <w:p w14:paraId="2C0A9B9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49,360,622.03</w:t>
                </w:r>
              </w:p>
            </w:tc>
            <w:tc>
              <w:tcPr>
                <w:tcW w:w="940" w:type="pct"/>
                <w:vAlign w:val="center"/>
              </w:tcPr>
              <w:p w14:paraId="2DFF348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35,405,195.79</w:t>
                </w:r>
              </w:p>
            </w:tc>
            <w:tc>
              <w:tcPr>
                <w:tcW w:w="859" w:type="pct"/>
              </w:tcPr>
              <w:p w14:paraId="328E64D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71.73</w:t>
                </w:r>
              </w:p>
            </w:tc>
            <w:tc>
              <w:tcPr>
                <w:tcW w:w="1102" w:type="pct"/>
                <w:vAlign w:val="center"/>
              </w:tcPr>
              <w:p w14:paraId="1BBEC753" w14:textId="77777777" w:rsidR="00D21C1F" w:rsidRDefault="00A42880">
                <w:pPr>
                  <w:jc w:val="center"/>
                  <w:rPr>
                    <w:szCs w:val="21"/>
                  </w:rPr>
                </w:pPr>
                <w:r>
                  <w:rPr>
                    <w:rFonts w:hint="eastAsia"/>
                    <w:szCs w:val="21"/>
                  </w:rPr>
                  <w:t>/</w:t>
                </w:r>
              </w:p>
            </w:tc>
          </w:tr>
        </w:tbl>
        <w:p w14:paraId="4AA39759" w14:textId="77777777" w:rsidR="00D21C1F" w:rsidRDefault="00A42880">
          <w:pPr>
            <w:rPr>
              <w:szCs w:val="21"/>
            </w:rPr>
          </w:pPr>
          <w:r>
            <w:rPr>
              <w:rFonts w:hint="eastAsia"/>
              <w:szCs w:val="21"/>
            </w:rPr>
            <w:t>按单项计提坏账准备的说明：</w:t>
          </w:r>
        </w:p>
        <w:sdt>
          <w:sdtPr>
            <w:rPr>
              <w:szCs w:val="21"/>
            </w:rPr>
            <w:alias w:val="是否适用：母公司应收账款按单项计提坏账准备的说明[双击切换]"/>
            <w:tag w:val="_GBC_4623c8695a494e53b6a615e5a9c7e0ea"/>
            <w:id w:val="-668486507"/>
            <w:lock w:val="sdtLocked"/>
            <w:placeholder>
              <w:docPart w:val="GBC22222222222222222222222222222"/>
            </w:placeholder>
          </w:sdtPr>
          <w:sdtEndPr/>
          <w:sdtContent>
            <w:p w14:paraId="00F20C13"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0C5F291" w14:textId="77777777" w:rsidR="00D21C1F" w:rsidRDefault="00045EC6">
          <w:pPr>
            <w:rPr>
              <w:szCs w:val="21"/>
            </w:rPr>
          </w:pPr>
        </w:p>
      </w:sdtContent>
    </w:sdt>
    <w:p w14:paraId="24F79153" w14:textId="77777777" w:rsidR="00D21C1F" w:rsidRDefault="00A42880">
      <w:pPr>
        <w:rPr>
          <w:szCs w:val="21"/>
        </w:rPr>
      </w:pPr>
      <w:bookmarkStart w:id="304" w:name="_Hlk10540079"/>
      <w:bookmarkEnd w:id="303"/>
      <w:r>
        <w:rPr>
          <w:rFonts w:hint="eastAsia"/>
          <w:szCs w:val="21"/>
        </w:rPr>
        <w:t>按组合计提坏账准备：</w:t>
      </w:r>
    </w:p>
    <w:sdt>
      <w:sdtPr>
        <w:alias w:val="是否适用：母公司应收账款按组合计提坏账准备[双击切换]"/>
        <w:tag w:val="_GBC_bf96e631f2cf4f6a876dff49863ee9d3"/>
        <w:id w:val="-856505606"/>
        <w:lock w:val="sdtContentLocked"/>
        <w:placeholder>
          <w:docPart w:val="GBC22222222222222222222222222222"/>
        </w:placeholder>
      </w:sdtPr>
      <w:sdtEndPr/>
      <w:sdtContent>
        <w:p w14:paraId="488EEAA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组合计提项目"/>
        <w:tag w:val="_SEC_6113a97431b44a51b796257dc3b7c6cb"/>
        <w:id w:val="-869988084"/>
        <w:lock w:val="sdtLocked"/>
        <w:placeholder>
          <w:docPart w:val="GBC22222222222222222222222222222"/>
        </w:placeholder>
      </w:sdtPr>
      <w:sdtEndPr>
        <w:rPr>
          <w:rFonts w:hint="default"/>
        </w:rPr>
      </w:sdtEndPr>
      <w:sdtContent>
        <w:p w14:paraId="2DCBF549" w14:textId="77777777" w:rsidR="00D21C1F" w:rsidRDefault="00A42880">
          <w:pPr>
            <w:rPr>
              <w:szCs w:val="21"/>
            </w:rPr>
          </w:pPr>
          <w:r>
            <w:rPr>
              <w:rFonts w:hint="eastAsia"/>
              <w:szCs w:val="21"/>
            </w:rPr>
            <w:t>组合计提项目：</w:t>
          </w:r>
          <w:sdt>
            <w:sdtPr>
              <w:rPr>
                <w:rFonts w:cs="Times New Roman" w:hint="eastAsia"/>
                <w:szCs w:val="21"/>
              </w:rPr>
              <w:alias w:val="按组合计提坏账准备的应收账款明细-组合名称"/>
              <w:tag w:val="_GBC_c2c49e08c13c49f5b854cd65f748bccc"/>
              <w:id w:val="1193500487"/>
              <w:lock w:val="sdtLocked"/>
              <w:placeholder>
                <w:docPart w:val="GBC22222222222222222222222222222"/>
              </w:placeholder>
              <w:comboBox/>
            </w:sdtPr>
            <w:sdtEndPr/>
            <w:sdtContent>
              <w:r>
                <w:rPr>
                  <w:rFonts w:cs="Times New Roman" w:hint="eastAsia"/>
                  <w:szCs w:val="21"/>
                </w:rPr>
                <w:t>信用风险特征组合</w:t>
              </w:r>
            </w:sdtContent>
          </w:sdt>
        </w:p>
        <w:p w14:paraId="048DC059" w14:textId="77777777" w:rsidR="00D21C1F" w:rsidRDefault="00A42880">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2075649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应收账款按组合计提坏账准备"/>
              <w:tag w:val="_GBC_326d8b8532c4476aa9c90eaa469806e2"/>
              <w:id w:val="15677512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D21C1F" w14:paraId="3BD40697" w14:textId="77777777">
            <w:sdt>
              <w:sdtPr>
                <w:tag w:val="_PLD_017679ab9c8247c6b2e334fd90bf61e9"/>
                <w:id w:val="-1844858295"/>
                <w:lock w:val="sdtLocked"/>
              </w:sdtPr>
              <w:sdtEndPr/>
              <w:sdtContent>
                <w:tc>
                  <w:tcPr>
                    <w:tcW w:w="1158" w:type="pct"/>
                    <w:vMerge w:val="restart"/>
                    <w:vAlign w:val="center"/>
                  </w:tcPr>
                  <w:p w14:paraId="4D18CD1B" w14:textId="77777777" w:rsidR="00D21C1F" w:rsidRDefault="00A42880">
                    <w:pPr>
                      <w:jc w:val="center"/>
                      <w:rPr>
                        <w:szCs w:val="21"/>
                      </w:rPr>
                    </w:pPr>
                    <w:r>
                      <w:rPr>
                        <w:rFonts w:hint="eastAsia"/>
                        <w:szCs w:val="21"/>
                      </w:rPr>
                      <w:t>名称</w:t>
                    </w:r>
                  </w:p>
                </w:tc>
              </w:sdtContent>
            </w:sdt>
            <w:sdt>
              <w:sdtPr>
                <w:tag w:val="_PLD_5135cd56467d4853affa6d0ae484f326"/>
                <w:id w:val="-327744579"/>
                <w:lock w:val="sdtLocked"/>
              </w:sdtPr>
              <w:sdtEndPr/>
              <w:sdtContent>
                <w:tc>
                  <w:tcPr>
                    <w:tcW w:w="3842" w:type="pct"/>
                    <w:gridSpan w:val="3"/>
                    <w:vAlign w:val="center"/>
                  </w:tcPr>
                  <w:p w14:paraId="4B81562E" w14:textId="77777777" w:rsidR="00D21C1F" w:rsidRDefault="00A42880">
                    <w:pPr>
                      <w:jc w:val="center"/>
                      <w:rPr>
                        <w:szCs w:val="21"/>
                      </w:rPr>
                    </w:pPr>
                    <w:r>
                      <w:rPr>
                        <w:rFonts w:hint="eastAsia"/>
                        <w:szCs w:val="21"/>
                      </w:rPr>
                      <w:t>期末余额</w:t>
                    </w:r>
                  </w:p>
                </w:tc>
              </w:sdtContent>
            </w:sdt>
          </w:tr>
          <w:tr w:rsidR="00D21C1F" w14:paraId="48715501" w14:textId="77777777">
            <w:tc>
              <w:tcPr>
                <w:tcW w:w="1158" w:type="pct"/>
                <w:vMerge/>
              </w:tcPr>
              <w:p w14:paraId="500DAD90" w14:textId="77777777" w:rsidR="00D21C1F" w:rsidRDefault="00D21C1F">
                <w:pPr>
                  <w:jc w:val="center"/>
                  <w:rPr>
                    <w:szCs w:val="21"/>
                  </w:rPr>
                </w:pPr>
              </w:p>
            </w:tc>
            <w:sdt>
              <w:sdtPr>
                <w:tag w:val="_PLD_6853d362c1364938aec50c34a4c1b2be"/>
                <w:id w:val="-1059012890"/>
                <w:lock w:val="sdtLocked"/>
              </w:sdtPr>
              <w:sdtEndPr/>
              <w:sdtContent>
                <w:tc>
                  <w:tcPr>
                    <w:tcW w:w="1276" w:type="pct"/>
                    <w:vAlign w:val="center"/>
                  </w:tcPr>
                  <w:p w14:paraId="37C85DEE" w14:textId="77777777" w:rsidR="00D21C1F" w:rsidRDefault="00A42880">
                    <w:pPr>
                      <w:jc w:val="center"/>
                      <w:rPr>
                        <w:szCs w:val="21"/>
                      </w:rPr>
                    </w:pPr>
                    <w:r>
                      <w:rPr>
                        <w:rFonts w:hint="eastAsia"/>
                        <w:szCs w:val="21"/>
                      </w:rPr>
                      <w:t>应收账款</w:t>
                    </w:r>
                  </w:p>
                </w:tc>
              </w:sdtContent>
            </w:sdt>
            <w:sdt>
              <w:sdtPr>
                <w:tag w:val="_PLD_497956cded5b48c4b4741462475810da"/>
                <w:id w:val="-656617809"/>
                <w:lock w:val="sdtLocked"/>
              </w:sdtPr>
              <w:sdtEndPr/>
              <w:sdtContent>
                <w:tc>
                  <w:tcPr>
                    <w:tcW w:w="1299" w:type="pct"/>
                    <w:vAlign w:val="center"/>
                  </w:tcPr>
                  <w:p w14:paraId="1CC84D87" w14:textId="77777777" w:rsidR="00D21C1F" w:rsidRDefault="00A42880">
                    <w:pPr>
                      <w:jc w:val="center"/>
                      <w:rPr>
                        <w:szCs w:val="21"/>
                      </w:rPr>
                    </w:pPr>
                    <w:r>
                      <w:rPr>
                        <w:rFonts w:hint="eastAsia"/>
                        <w:szCs w:val="21"/>
                      </w:rPr>
                      <w:t>坏账准备</w:t>
                    </w:r>
                  </w:p>
                </w:tc>
              </w:sdtContent>
            </w:sdt>
            <w:sdt>
              <w:sdtPr>
                <w:tag w:val="_PLD_abeb28def5684beab5ea48273044d861"/>
                <w:id w:val="1984342691"/>
                <w:lock w:val="sdtLocked"/>
              </w:sdtPr>
              <w:sdtEndPr/>
              <w:sdtContent>
                <w:tc>
                  <w:tcPr>
                    <w:tcW w:w="1267" w:type="pct"/>
                    <w:vAlign w:val="center"/>
                  </w:tcPr>
                  <w:p w14:paraId="4B52F442" w14:textId="77777777" w:rsidR="00D21C1F" w:rsidRDefault="00A42880">
                    <w:pPr>
                      <w:jc w:val="center"/>
                      <w:rPr>
                        <w:szCs w:val="21"/>
                      </w:rPr>
                    </w:pPr>
                    <w:r>
                      <w:rPr>
                        <w:szCs w:val="21"/>
                      </w:rPr>
                      <w:t>计提比例</w:t>
                    </w:r>
                    <w:r>
                      <w:rPr>
                        <w:rFonts w:hint="eastAsia"/>
                        <w:szCs w:val="21"/>
                      </w:rPr>
                      <w:t>（%）</w:t>
                    </w:r>
                  </w:p>
                </w:tc>
              </w:sdtContent>
            </w:sdt>
          </w:tr>
          <w:sdt>
            <w:sdtPr>
              <w:rPr>
                <w:rFonts w:ascii="Times New Roman" w:hAnsi="Times New Roman" w:cs="Times New Roman"/>
                <w:color w:val="008000"/>
                <w:szCs w:val="21"/>
              </w:rPr>
              <w:alias w:val="按组合计提坏账准备的应收账款详细名称明细"/>
              <w:tag w:val="_TUP_f0c1437e418b477abdaa018db20308d6"/>
              <w:id w:val="-1637324561"/>
              <w:lock w:val="sdtLocked"/>
            </w:sdtPr>
            <w:sdtEndPr>
              <w:rPr>
                <w:color w:val="auto"/>
                <w:highlight w:val="yellow"/>
              </w:rPr>
            </w:sdtEndPr>
            <w:sdtContent>
              <w:tr w:rsidR="00D21C1F" w14:paraId="62E84E7D" w14:textId="77777777">
                <w:tc>
                  <w:tcPr>
                    <w:tcW w:w="1158" w:type="pct"/>
                  </w:tcPr>
                  <w:p w14:paraId="3ED6D6B6"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1</w:t>
                    </w:r>
                    <w:r w:rsidRPr="00266B55">
                      <w:rPr>
                        <w:rFonts w:ascii="Times New Roman" w:hAnsi="Times New Roman" w:cs="Times New Roman"/>
                      </w:rPr>
                      <w:t>年以内</w:t>
                    </w:r>
                  </w:p>
                </w:tc>
                <w:tc>
                  <w:tcPr>
                    <w:tcW w:w="1276" w:type="pct"/>
                    <w:vAlign w:val="center"/>
                  </w:tcPr>
                  <w:p w14:paraId="52F7EBAB"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257,032,457.66</w:t>
                    </w:r>
                  </w:p>
                </w:tc>
                <w:tc>
                  <w:tcPr>
                    <w:tcW w:w="1299" w:type="pct"/>
                    <w:vAlign w:val="center"/>
                  </w:tcPr>
                  <w:p w14:paraId="0C18DA03"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12,851,622.94</w:t>
                    </w:r>
                  </w:p>
                </w:tc>
                <w:tc>
                  <w:tcPr>
                    <w:tcW w:w="1267" w:type="pct"/>
                  </w:tcPr>
                  <w:p w14:paraId="3070653B"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5.00</w:t>
                    </w:r>
                  </w:p>
                </w:tc>
              </w:tr>
            </w:sdtContent>
          </w:sdt>
          <w:sdt>
            <w:sdtPr>
              <w:rPr>
                <w:rFonts w:ascii="Times New Roman" w:hAnsi="Times New Roman" w:cs="Times New Roman"/>
                <w:color w:val="008000"/>
                <w:szCs w:val="21"/>
              </w:rPr>
              <w:alias w:val="按组合计提坏账准备的应收账款详细名称明细"/>
              <w:tag w:val="_TUP_f0c1437e418b477abdaa018db20308d6"/>
              <w:id w:val="30926674"/>
              <w:lock w:val="sdtLocked"/>
            </w:sdtPr>
            <w:sdtEndPr>
              <w:rPr>
                <w:color w:val="auto"/>
                <w:highlight w:val="yellow"/>
              </w:rPr>
            </w:sdtEndPr>
            <w:sdtContent>
              <w:tr w:rsidR="00D21C1F" w14:paraId="7EC95881" w14:textId="77777777">
                <w:tc>
                  <w:tcPr>
                    <w:tcW w:w="1158" w:type="pct"/>
                  </w:tcPr>
                  <w:p w14:paraId="05180B3F"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1-2</w:t>
                    </w:r>
                    <w:r w:rsidRPr="00266B55">
                      <w:rPr>
                        <w:rFonts w:ascii="Times New Roman" w:hAnsi="Times New Roman" w:cs="Times New Roman"/>
                      </w:rPr>
                      <w:t>年</w:t>
                    </w:r>
                  </w:p>
                </w:tc>
                <w:tc>
                  <w:tcPr>
                    <w:tcW w:w="1276" w:type="pct"/>
                    <w:vAlign w:val="center"/>
                  </w:tcPr>
                  <w:p w14:paraId="067430B4"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52,044,689.99</w:t>
                    </w:r>
                  </w:p>
                </w:tc>
                <w:tc>
                  <w:tcPr>
                    <w:tcW w:w="1299" w:type="pct"/>
                    <w:vAlign w:val="center"/>
                  </w:tcPr>
                  <w:p w14:paraId="327D217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5,204,469.00</w:t>
                    </w:r>
                  </w:p>
                </w:tc>
                <w:tc>
                  <w:tcPr>
                    <w:tcW w:w="1267" w:type="pct"/>
                  </w:tcPr>
                  <w:p w14:paraId="05789A6F" w14:textId="77777777" w:rsidR="00D21C1F" w:rsidRPr="00266B55" w:rsidRDefault="00A42880">
                    <w:pPr>
                      <w:jc w:val="right"/>
                      <w:rPr>
                        <w:rFonts w:ascii="Times New Roman" w:hAnsi="Times New Roman" w:cs="Times New Roman"/>
                        <w:szCs w:val="21"/>
                        <w:highlight w:val="yellow"/>
                      </w:rPr>
                    </w:pPr>
                    <w:r w:rsidRPr="00266B55">
                      <w:rPr>
                        <w:rFonts w:ascii="Times New Roman" w:hAnsi="Times New Roman" w:cs="Times New Roman"/>
                      </w:rPr>
                      <w:t>10.00</w:t>
                    </w:r>
                  </w:p>
                </w:tc>
              </w:tr>
            </w:sdtContent>
          </w:sdt>
          <w:sdt>
            <w:sdtPr>
              <w:rPr>
                <w:rFonts w:ascii="Times New Roman" w:hAnsi="Times New Roman" w:cs="Times New Roman"/>
                <w:color w:val="008000"/>
                <w:szCs w:val="21"/>
              </w:rPr>
              <w:alias w:val="按组合计提坏账准备的应收账款详细名称明细"/>
              <w:tag w:val="_TUP_f0c1437e418b477abdaa018db20308d6"/>
              <w:id w:val="-1318881189"/>
              <w:lock w:val="sdtLocked"/>
            </w:sdtPr>
            <w:sdtEndPr>
              <w:rPr>
                <w:color w:val="auto"/>
                <w:highlight w:val="yellow"/>
              </w:rPr>
            </w:sdtEndPr>
            <w:sdtContent>
              <w:tr w:rsidR="00D21C1F" w14:paraId="7D249220" w14:textId="77777777">
                <w:tc>
                  <w:tcPr>
                    <w:tcW w:w="1158" w:type="pct"/>
                  </w:tcPr>
                  <w:p w14:paraId="0D55584F"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2-3</w:t>
                    </w:r>
                    <w:r w:rsidRPr="00266B55">
                      <w:rPr>
                        <w:rFonts w:ascii="Times New Roman" w:hAnsi="Times New Roman" w:cs="Times New Roman"/>
                      </w:rPr>
                      <w:t>年</w:t>
                    </w:r>
                  </w:p>
                </w:tc>
                <w:tc>
                  <w:tcPr>
                    <w:tcW w:w="1276" w:type="pct"/>
                    <w:vAlign w:val="center"/>
                  </w:tcPr>
                  <w:p w14:paraId="1E298387"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25,523,109.97</w:t>
                    </w:r>
                  </w:p>
                </w:tc>
                <w:tc>
                  <w:tcPr>
                    <w:tcW w:w="1299" w:type="pct"/>
                    <w:vAlign w:val="center"/>
                  </w:tcPr>
                  <w:p w14:paraId="39A787B1"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7,656,932.99</w:t>
                    </w:r>
                  </w:p>
                </w:tc>
                <w:tc>
                  <w:tcPr>
                    <w:tcW w:w="1267" w:type="pct"/>
                  </w:tcPr>
                  <w:p w14:paraId="6B0D6D3C" w14:textId="77777777" w:rsidR="00D21C1F" w:rsidRPr="00266B55" w:rsidRDefault="00A42880">
                    <w:pPr>
                      <w:jc w:val="right"/>
                      <w:rPr>
                        <w:rFonts w:ascii="Times New Roman" w:hAnsi="Times New Roman" w:cs="Times New Roman"/>
                        <w:szCs w:val="21"/>
                        <w:highlight w:val="yellow"/>
                      </w:rPr>
                    </w:pPr>
                    <w:r w:rsidRPr="00266B55">
                      <w:rPr>
                        <w:rFonts w:ascii="Times New Roman" w:hAnsi="Times New Roman" w:cs="Times New Roman"/>
                      </w:rPr>
                      <w:t>30.00</w:t>
                    </w:r>
                  </w:p>
                </w:tc>
              </w:tr>
            </w:sdtContent>
          </w:sdt>
          <w:sdt>
            <w:sdtPr>
              <w:rPr>
                <w:rFonts w:ascii="Times New Roman" w:hAnsi="Times New Roman" w:cs="Times New Roman"/>
                <w:color w:val="008000"/>
                <w:szCs w:val="21"/>
              </w:rPr>
              <w:alias w:val="按组合计提坏账准备的应收账款详细名称明细"/>
              <w:tag w:val="_TUP_f0c1437e418b477abdaa018db20308d6"/>
              <w:id w:val="-1835756490"/>
              <w:lock w:val="sdtLocked"/>
            </w:sdtPr>
            <w:sdtEndPr>
              <w:rPr>
                <w:color w:val="auto"/>
                <w:highlight w:val="yellow"/>
              </w:rPr>
            </w:sdtEndPr>
            <w:sdtContent>
              <w:tr w:rsidR="00D21C1F" w14:paraId="55FD2BEB" w14:textId="77777777">
                <w:tc>
                  <w:tcPr>
                    <w:tcW w:w="1158" w:type="pct"/>
                  </w:tcPr>
                  <w:p w14:paraId="7F06D539"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3-4</w:t>
                    </w:r>
                    <w:r w:rsidRPr="00266B55">
                      <w:rPr>
                        <w:rFonts w:ascii="Times New Roman" w:hAnsi="Times New Roman" w:cs="Times New Roman"/>
                      </w:rPr>
                      <w:t>年</w:t>
                    </w:r>
                  </w:p>
                </w:tc>
                <w:tc>
                  <w:tcPr>
                    <w:tcW w:w="1276" w:type="pct"/>
                    <w:vAlign w:val="center"/>
                  </w:tcPr>
                  <w:p w14:paraId="442EF8CC"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4,875,847.19</w:t>
                    </w:r>
                  </w:p>
                </w:tc>
                <w:tc>
                  <w:tcPr>
                    <w:tcW w:w="1299" w:type="pct"/>
                    <w:vAlign w:val="center"/>
                  </w:tcPr>
                  <w:p w14:paraId="590B8525"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2,437,923.60</w:t>
                    </w:r>
                  </w:p>
                </w:tc>
                <w:tc>
                  <w:tcPr>
                    <w:tcW w:w="1267" w:type="pct"/>
                  </w:tcPr>
                  <w:p w14:paraId="29FFD0E2" w14:textId="77777777" w:rsidR="00D21C1F" w:rsidRPr="00266B55" w:rsidRDefault="00A42880">
                    <w:pPr>
                      <w:jc w:val="right"/>
                      <w:rPr>
                        <w:rFonts w:ascii="Times New Roman" w:hAnsi="Times New Roman" w:cs="Times New Roman"/>
                        <w:szCs w:val="21"/>
                        <w:highlight w:val="yellow"/>
                      </w:rPr>
                    </w:pPr>
                    <w:r w:rsidRPr="00266B55">
                      <w:rPr>
                        <w:rFonts w:ascii="Times New Roman" w:hAnsi="Times New Roman" w:cs="Times New Roman"/>
                      </w:rPr>
                      <w:t>50.00</w:t>
                    </w:r>
                  </w:p>
                </w:tc>
              </w:tr>
            </w:sdtContent>
          </w:sdt>
          <w:sdt>
            <w:sdtPr>
              <w:rPr>
                <w:rFonts w:ascii="Times New Roman" w:hAnsi="Times New Roman" w:cs="Times New Roman"/>
                <w:color w:val="008000"/>
                <w:szCs w:val="21"/>
              </w:rPr>
              <w:alias w:val="按组合计提坏账准备的应收账款详细名称明细"/>
              <w:tag w:val="_TUP_f0c1437e418b477abdaa018db20308d6"/>
              <w:id w:val="1172915511"/>
              <w:lock w:val="sdtLocked"/>
            </w:sdtPr>
            <w:sdtEndPr>
              <w:rPr>
                <w:color w:val="auto"/>
                <w:highlight w:val="yellow"/>
              </w:rPr>
            </w:sdtEndPr>
            <w:sdtContent>
              <w:tr w:rsidR="00D21C1F" w14:paraId="395B3600" w14:textId="77777777">
                <w:tc>
                  <w:tcPr>
                    <w:tcW w:w="1158" w:type="pct"/>
                  </w:tcPr>
                  <w:p w14:paraId="6C8AAA97"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4-5</w:t>
                    </w:r>
                    <w:r w:rsidRPr="00266B55">
                      <w:rPr>
                        <w:rFonts w:ascii="Times New Roman" w:hAnsi="Times New Roman" w:cs="Times New Roman"/>
                      </w:rPr>
                      <w:t>年</w:t>
                    </w:r>
                  </w:p>
                </w:tc>
                <w:tc>
                  <w:tcPr>
                    <w:tcW w:w="1276" w:type="pct"/>
                    <w:vAlign w:val="center"/>
                  </w:tcPr>
                  <w:p w14:paraId="1EBF42FE"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5,951,921.67</w:t>
                    </w:r>
                  </w:p>
                </w:tc>
                <w:tc>
                  <w:tcPr>
                    <w:tcW w:w="1299" w:type="pct"/>
                    <w:vAlign w:val="center"/>
                  </w:tcPr>
                  <w:p w14:paraId="2A79BF8D"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4,166,345.11</w:t>
                    </w:r>
                  </w:p>
                </w:tc>
                <w:tc>
                  <w:tcPr>
                    <w:tcW w:w="1267" w:type="pct"/>
                  </w:tcPr>
                  <w:p w14:paraId="1BB63D52" w14:textId="77777777" w:rsidR="00D21C1F" w:rsidRPr="00266B55" w:rsidRDefault="00A42880">
                    <w:pPr>
                      <w:jc w:val="right"/>
                      <w:rPr>
                        <w:rFonts w:ascii="Times New Roman" w:hAnsi="Times New Roman" w:cs="Times New Roman"/>
                        <w:szCs w:val="21"/>
                        <w:highlight w:val="yellow"/>
                      </w:rPr>
                    </w:pPr>
                    <w:r w:rsidRPr="00266B55">
                      <w:rPr>
                        <w:rFonts w:ascii="Times New Roman" w:hAnsi="Times New Roman" w:cs="Times New Roman"/>
                      </w:rPr>
                      <w:t>70.00</w:t>
                    </w:r>
                  </w:p>
                </w:tc>
              </w:tr>
            </w:sdtContent>
          </w:sdt>
          <w:sdt>
            <w:sdtPr>
              <w:rPr>
                <w:rFonts w:ascii="Times New Roman" w:hAnsi="Times New Roman" w:cs="Times New Roman"/>
                <w:color w:val="008000"/>
                <w:szCs w:val="21"/>
              </w:rPr>
              <w:alias w:val="按组合计提坏账准备的应收账款详细名称明细"/>
              <w:tag w:val="_TUP_f0c1437e418b477abdaa018db20308d6"/>
              <w:id w:val="-1691292901"/>
              <w:lock w:val="sdtLocked"/>
            </w:sdtPr>
            <w:sdtEndPr>
              <w:rPr>
                <w:color w:val="auto"/>
                <w:highlight w:val="yellow"/>
              </w:rPr>
            </w:sdtEndPr>
            <w:sdtContent>
              <w:tr w:rsidR="00D21C1F" w14:paraId="7F39AC91" w14:textId="77777777">
                <w:tc>
                  <w:tcPr>
                    <w:tcW w:w="1158" w:type="pct"/>
                  </w:tcPr>
                  <w:p w14:paraId="7B337537" w14:textId="77777777" w:rsidR="00D21C1F" w:rsidRPr="00266B55" w:rsidRDefault="00A42880">
                    <w:pPr>
                      <w:rPr>
                        <w:rFonts w:ascii="Times New Roman" w:hAnsi="Times New Roman" w:cs="Times New Roman"/>
                        <w:szCs w:val="21"/>
                      </w:rPr>
                    </w:pPr>
                    <w:r w:rsidRPr="00266B55">
                      <w:rPr>
                        <w:rFonts w:ascii="Times New Roman" w:hAnsi="Times New Roman" w:cs="Times New Roman"/>
                      </w:rPr>
                      <w:t>5</w:t>
                    </w:r>
                    <w:r w:rsidRPr="00266B55">
                      <w:rPr>
                        <w:rFonts w:ascii="Times New Roman" w:hAnsi="Times New Roman" w:cs="Times New Roman"/>
                      </w:rPr>
                      <w:t>年以上</w:t>
                    </w:r>
                  </w:p>
                </w:tc>
                <w:tc>
                  <w:tcPr>
                    <w:tcW w:w="1276" w:type="pct"/>
                    <w:vAlign w:val="center"/>
                  </w:tcPr>
                  <w:p w14:paraId="0024A94F"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508,672.52</w:t>
                    </w:r>
                  </w:p>
                </w:tc>
                <w:tc>
                  <w:tcPr>
                    <w:tcW w:w="1299" w:type="pct"/>
                    <w:vAlign w:val="center"/>
                  </w:tcPr>
                  <w:p w14:paraId="197FE596"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508,672.52</w:t>
                    </w:r>
                  </w:p>
                </w:tc>
                <w:tc>
                  <w:tcPr>
                    <w:tcW w:w="1267" w:type="pct"/>
                  </w:tcPr>
                  <w:p w14:paraId="5A977393" w14:textId="77777777" w:rsidR="00D21C1F" w:rsidRPr="00266B55" w:rsidRDefault="00A42880">
                    <w:pPr>
                      <w:jc w:val="right"/>
                      <w:rPr>
                        <w:rFonts w:ascii="Times New Roman" w:hAnsi="Times New Roman" w:cs="Times New Roman"/>
                        <w:szCs w:val="21"/>
                        <w:highlight w:val="yellow"/>
                      </w:rPr>
                    </w:pPr>
                    <w:r w:rsidRPr="00266B55">
                      <w:rPr>
                        <w:rFonts w:ascii="Times New Roman" w:hAnsi="Times New Roman" w:cs="Times New Roman"/>
                      </w:rPr>
                      <w:t>100.00</w:t>
                    </w:r>
                  </w:p>
                </w:tc>
              </w:tr>
            </w:sdtContent>
          </w:sdt>
          <w:tr w:rsidR="00D21C1F" w14:paraId="6F745C4B" w14:textId="77777777">
            <w:sdt>
              <w:sdtPr>
                <w:rPr>
                  <w:rFonts w:ascii="Times New Roman" w:hAnsi="Times New Roman" w:cs="Times New Roman"/>
                </w:rPr>
                <w:tag w:val="_PLD_435948144728481980336a881622f9ca"/>
                <w:id w:val="-821043349"/>
                <w:lock w:val="sdtLocked"/>
              </w:sdtPr>
              <w:sdtEndPr/>
              <w:sdtContent>
                <w:tc>
                  <w:tcPr>
                    <w:tcW w:w="1158" w:type="pct"/>
                    <w:vAlign w:val="center"/>
                  </w:tcPr>
                  <w:p w14:paraId="629E24BE" w14:textId="77777777" w:rsidR="00D21C1F" w:rsidRPr="00266B55" w:rsidRDefault="00A42880">
                    <w:pPr>
                      <w:jc w:val="center"/>
                      <w:rPr>
                        <w:rFonts w:ascii="Times New Roman" w:hAnsi="Times New Roman" w:cs="Times New Roman"/>
                        <w:szCs w:val="21"/>
                      </w:rPr>
                    </w:pPr>
                    <w:r w:rsidRPr="00266B55">
                      <w:rPr>
                        <w:rFonts w:ascii="Times New Roman" w:hAnsi="Times New Roman" w:cs="Times New Roman"/>
                        <w:szCs w:val="21"/>
                      </w:rPr>
                      <w:t>合计</w:t>
                    </w:r>
                  </w:p>
                </w:tc>
              </w:sdtContent>
            </w:sdt>
            <w:tc>
              <w:tcPr>
                <w:tcW w:w="1276" w:type="pct"/>
                <w:vAlign w:val="center"/>
              </w:tcPr>
              <w:p w14:paraId="67F486C8"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345,936,699.00</w:t>
                </w:r>
              </w:p>
            </w:tc>
            <w:tc>
              <w:tcPr>
                <w:tcW w:w="1299" w:type="pct"/>
                <w:vAlign w:val="center"/>
              </w:tcPr>
              <w:p w14:paraId="2AE386DE"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32,825,966.16</w:t>
                </w:r>
              </w:p>
            </w:tc>
            <w:tc>
              <w:tcPr>
                <w:tcW w:w="1267" w:type="pct"/>
              </w:tcPr>
              <w:p w14:paraId="75B9AED0"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szCs w:val="21"/>
                  </w:rPr>
                  <w:t>9.49</w:t>
                </w:r>
              </w:p>
            </w:tc>
          </w:tr>
        </w:tbl>
        <w:p w14:paraId="5E059777" w14:textId="77777777" w:rsidR="00D21C1F" w:rsidRDefault="00A42880">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1814524043"/>
            <w:lock w:val="sdtLocked"/>
            <w:placeholder>
              <w:docPart w:val="GBC22222222222222222222222222222"/>
            </w:placeholder>
          </w:sdtPr>
          <w:sdtEndPr/>
          <w:sdtContent>
            <w:p w14:paraId="17909191"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04" w:displacedByCustomXml="next"/>
    <w:bookmarkStart w:id="305" w:name="_Hlk10540115" w:displacedByCustomXml="next"/>
    <w:bookmarkStart w:id="306" w:name="_Hlk10540132" w:displacedByCustomXml="next"/>
    <w:sdt>
      <w:sdtPr>
        <w:rPr>
          <w:rFonts w:eastAsia="宋体" w:hint="eastAsia"/>
        </w:rPr>
        <w:alias w:val="模块:如按预期信用损失一般模型计提坏账准备，请参照其他应收款披露："/>
        <w:tag w:val="_SEC_0daf1df16ecd4ddb95ab2ba88474abac"/>
        <w:id w:val="2009795198"/>
        <w:lock w:val="sdtLocked"/>
        <w:placeholder>
          <w:docPart w:val="GBC22222222222222222222222222222"/>
        </w:placeholder>
      </w:sdtPr>
      <w:sdtEndPr>
        <w:rPr>
          <w:rFonts w:hint="default"/>
          <w:szCs w:val="21"/>
        </w:rPr>
      </w:sdtEndPr>
      <w:sdtContent>
        <w:p w14:paraId="202D1948" w14:textId="77777777" w:rsidR="00D21C1F" w:rsidRDefault="00A42880">
          <w:pPr>
            <w:pStyle w:val="97"/>
          </w:pPr>
          <w:r>
            <w:rPr>
              <w:rFonts w:hint="eastAsia"/>
            </w:rPr>
            <w:t>如按预期信用损失一般模型计提坏账准备，请参照其他应收款披露：</w:t>
          </w:r>
          <w:bookmarkEnd w:id="305"/>
        </w:p>
        <w:sdt>
          <w:sdtPr>
            <w:alias w:val="是否适用：母公司应收账款按一般预计信用损失模型计提坏账[双击切换]"/>
            <w:tag w:val="_GBC_549d8a07d3e545ee8ada79b15a8ba3e9"/>
            <w:id w:val="1422531317"/>
            <w:lock w:val="sdtLocked"/>
            <w:placeholder>
              <w:docPart w:val="GBC22222222222222222222222222222"/>
            </w:placeholder>
          </w:sdtPr>
          <w:sdtEndPr/>
          <w:sdtContent>
            <w:p w14:paraId="7D2F9C1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83523B" w14:textId="77777777" w:rsidR="00D21C1F" w:rsidRDefault="00045EC6">
          <w:pPr>
            <w:rPr>
              <w:szCs w:val="21"/>
            </w:rPr>
          </w:pPr>
        </w:p>
      </w:sdtContent>
    </w:sdt>
    <w:p w14:paraId="16F6664C" w14:textId="77777777" w:rsidR="00D21C1F" w:rsidRDefault="00A42880">
      <w:pPr>
        <w:pStyle w:val="93"/>
        <w:numPr>
          <w:ilvl w:val="0"/>
          <w:numId w:val="149"/>
        </w:numPr>
        <w:tabs>
          <w:tab w:val="left" w:pos="644"/>
        </w:tabs>
        <w:ind w:left="0" w:firstLine="0"/>
        <w:rPr>
          <w:rFonts w:ascii="宋体" w:hAnsi="宋体"/>
          <w:szCs w:val="21"/>
        </w:rPr>
      </w:pPr>
      <w:bookmarkStart w:id="307" w:name="_Hlk10540190"/>
      <w:bookmarkStart w:id="308" w:name="_Hlk10540207"/>
      <w:bookmarkEnd w:id="306"/>
      <w:r>
        <w:rPr>
          <w:rFonts w:ascii="宋体" w:hAnsi="宋体" w:hint="eastAsia"/>
          <w:szCs w:val="21"/>
        </w:rPr>
        <w:t>坏账准备的情况</w:t>
      </w:r>
      <w:bookmarkEnd w:id="307"/>
    </w:p>
    <w:sdt>
      <w:sdtPr>
        <w:alias w:val="是否适用：母公司应收账款坏账准备情况[双击切换]"/>
        <w:tag w:val="_GBC_f73789de2ecf49c4bad380c8767c93cf"/>
        <w:id w:val="-1091702814"/>
        <w:lock w:val="sdtContentLocked"/>
        <w:placeholder>
          <w:docPart w:val="GBC22222222222222222222222222222"/>
        </w:placeholder>
      </w:sdtPr>
      <w:sdtEndPr/>
      <w:sdtContent>
        <w:p w14:paraId="05BF2251"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309" w:name="_Hlk41553597" w:displacedByCustomXml="next"/>
    <w:sdt>
      <w:sdtPr>
        <w:rPr>
          <w:rFonts w:ascii="宋体" w:hAnsi="宋体" w:cs="宋体" w:hint="eastAsia"/>
          <w:kern w:val="0"/>
          <w:szCs w:val="21"/>
        </w:rPr>
        <w:alias w:val="模块:单位：元 币种：人民币类别期初余额本期变动金额期末余额计提..."/>
        <w:tag w:val="_SEC_1d771df7b6f44c3999ed9d4bceb75d3a"/>
        <w:id w:val="-1897351043"/>
        <w:lock w:val="sdtLocked"/>
        <w:placeholder>
          <w:docPart w:val="GBC22222222222222222222222222222"/>
        </w:placeholder>
      </w:sdtPr>
      <w:sdtEndPr>
        <w:rPr>
          <w:rFonts w:cs="Times New Roman" w:hint="default"/>
          <w:kern w:val="2"/>
        </w:rPr>
      </w:sdtEndPr>
      <w:sdtContent>
        <w:p w14:paraId="10943374" w14:textId="77777777" w:rsidR="00D21C1F" w:rsidRDefault="00A42880">
          <w:pPr>
            <w:pStyle w:val="67"/>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坏账准备情况"/>
              <w:tag w:val="_GBC_b1cb6a2ed32f4cbba0ff71c0724458cf"/>
              <w:id w:val="303812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应收账款坏账准备情况"/>
              <w:tag w:val="_GBC_d354bf362fbe459f823a08ebfd7e3967"/>
              <w:id w:val="-575634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szCs w:val="21"/>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12"/>
            <w:gridCol w:w="1592"/>
            <w:gridCol w:w="1486"/>
            <w:gridCol w:w="979"/>
            <w:gridCol w:w="983"/>
            <w:gridCol w:w="981"/>
            <w:gridCol w:w="1590"/>
          </w:tblGrid>
          <w:tr w:rsidR="00D21C1F" w14:paraId="0C0DC1AF" w14:textId="77777777">
            <w:trPr>
              <w:jc w:val="center"/>
            </w:trPr>
            <w:sdt>
              <w:sdtPr>
                <w:tag w:val="_PLD_f6bf13992bdc4b06bd6f364458e0df47"/>
                <w:id w:val="1656028055"/>
                <w:lock w:val="sdtLocked"/>
              </w:sdtPr>
              <w:sdtEndPr/>
              <w:sdtContent>
                <w:tc>
                  <w:tcPr>
                    <w:tcW w:w="687" w:type="pct"/>
                    <w:vMerge w:val="restart"/>
                    <w:shd w:val="clear" w:color="auto" w:fill="FFFFFF"/>
                    <w:vAlign w:val="center"/>
                  </w:tcPr>
                  <w:p w14:paraId="20869B32" w14:textId="77777777" w:rsidR="00D21C1F" w:rsidRDefault="00A42880">
                    <w:pPr>
                      <w:widowControl w:val="0"/>
                      <w:jc w:val="center"/>
                    </w:pPr>
                    <w:r>
                      <w:t>类别</w:t>
                    </w:r>
                  </w:p>
                </w:tc>
              </w:sdtContent>
            </w:sdt>
            <w:sdt>
              <w:sdtPr>
                <w:tag w:val="_PLD_579b33cd0d7e490d998a64c9f202ccfb"/>
                <w:id w:val="1077246257"/>
                <w:lock w:val="sdtLocked"/>
              </w:sdtPr>
              <w:sdtEndPr/>
              <w:sdtContent>
                <w:tc>
                  <w:tcPr>
                    <w:tcW w:w="902" w:type="pct"/>
                    <w:vMerge w:val="restart"/>
                    <w:shd w:val="clear" w:color="auto" w:fill="FFFFFF"/>
                    <w:vAlign w:val="center"/>
                  </w:tcPr>
                  <w:p w14:paraId="66FC8D87" w14:textId="77777777" w:rsidR="00D21C1F" w:rsidRDefault="00A42880">
                    <w:pPr>
                      <w:widowControl w:val="0"/>
                      <w:jc w:val="center"/>
                    </w:pPr>
                    <w:r>
                      <w:t>期初余额</w:t>
                    </w:r>
                  </w:p>
                </w:tc>
              </w:sdtContent>
            </w:sdt>
            <w:sdt>
              <w:sdtPr>
                <w:tag w:val="_PLD_2cbc55bce2ef44bbb40e4050dfe846f1"/>
                <w:id w:val="-1209643784"/>
                <w:lock w:val="sdtLocked"/>
              </w:sdtPr>
              <w:sdtEndPr/>
              <w:sdtContent>
                <w:tc>
                  <w:tcPr>
                    <w:tcW w:w="2510" w:type="pct"/>
                    <w:gridSpan w:val="4"/>
                    <w:shd w:val="clear" w:color="auto" w:fill="FFFFFF"/>
                    <w:vAlign w:val="center"/>
                  </w:tcPr>
                  <w:p w14:paraId="01CE4F03" w14:textId="77777777" w:rsidR="00D21C1F" w:rsidRDefault="00A42880">
                    <w:pPr>
                      <w:widowControl w:val="0"/>
                      <w:jc w:val="center"/>
                    </w:pPr>
                    <w:r>
                      <w:rPr>
                        <w:rFonts w:hint="eastAsia"/>
                      </w:rPr>
                      <w:t>本期变动</w:t>
                    </w:r>
                    <w:r>
                      <w:t>金额</w:t>
                    </w:r>
                  </w:p>
                </w:tc>
              </w:sdtContent>
            </w:sdt>
            <w:sdt>
              <w:sdtPr>
                <w:tag w:val="_PLD_dcc9f714adf8465eb1a49da61466de1f"/>
                <w:id w:val="749314065"/>
                <w:lock w:val="sdtLocked"/>
              </w:sdtPr>
              <w:sdtEndPr/>
              <w:sdtContent>
                <w:tc>
                  <w:tcPr>
                    <w:tcW w:w="902" w:type="pct"/>
                    <w:vMerge w:val="restart"/>
                    <w:shd w:val="clear" w:color="auto" w:fill="FFFFFF"/>
                    <w:vAlign w:val="center"/>
                  </w:tcPr>
                  <w:p w14:paraId="62B9C6D5" w14:textId="77777777" w:rsidR="00D21C1F" w:rsidRDefault="00A42880">
                    <w:pPr>
                      <w:widowControl w:val="0"/>
                      <w:jc w:val="center"/>
                    </w:pPr>
                    <w:r>
                      <w:t>期末余额</w:t>
                    </w:r>
                  </w:p>
                </w:tc>
              </w:sdtContent>
            </w:sdt>
          </w:tr>
          <w:tr w:rsidR="00D21C1F" w14:paraId="0A2D5905" w14:textId="77777777">
            <w:trPr>
              <w:jc w:val="center"/>
            </w:trPr>
            <w:tc>
              <w:tcPr>
                <w:tcW w:w="687" w:type="pct"/>
                <w:vMerge/>
                <w:shd w:val="clear" w:color="auto" w:fill="FFFFFF"/>
              </w:tcPr>
              <w:p w14:paraId="06CC1B10" w14:textId="77777777" w:rsidR="00D21C1F" w:rsidRDefault="00D21C1F">
                <w:pPr>
                  <w:widowControl w:val="0"/>
                  <w:jc w:val="center"/>
                </w:pPr>
              </w:p>
            </w:tc>
            <w:tc>
              <w:tcPr>
                <w:tcW w:w="902" w:type="pct"/>
                <w:vMerge/>
                <w:shd w:val="clear" w:color="auto" w:fill="FFFFFF"/>
              </w:tcPr>
              <w:p w14:paraId="5F36E909" w14:textId="77777777" w:rsidR="00D21C1F" w:rsidRDefault="00D21C1F">
                <w:pPr>
                  <w:widowControl w:val="0"/>
                  <w:jc w:val="center"/>
                </w:pPr>
              </w:p>
            </w:tc>
            <w:sdt>
              <w:sdtPr>
                <w:tag w:val="_PLD_e4e43f7257b14faaaaf4b09b161bf7b7"/>
                <w:id w:val="374275567"/>
                <w:lock w:val="sdtLocked"/>
              </w:sdtPr>
              <w:sdtEndPr/>
              <w:sdtContent>
                <w:tc>
                  <w:tcPr>
                    <w:tcW w:w="842" w:type="pct"/>
                    <w:shd w:val="clear" w:color="auto" w:fill="FFFFFF"/>
                    <w:vAlign w:val="center"/>
                  </w:tcPr>
                  <w:p w14:paraId="5896EF43" w14:textId="77777777" w:rsidR="00D21C1F" w:rsidRDefault="00A42880">
                    <w:pPr>
                      <w:widowControl w:val="0"/>
                      <w:jc w:val="center"/>
                    </w:pPr>
                    <w:r>
                      <w:t>计提</w:t>
                    </w:r>
                  </w:p>
                </w:tc>
              </w:sdtContent>
            </w:sdt>
            <w:sdt>
              <w:sdtPr>
                <w:tag w:val="_PLD_bf7fb55a6c2a4d18926896fd921fc857"/>
                <w:id w:val="886762930"/>
                <w:lock w:val="sdtLocked"/>
              </w:sdtPr>
              <w:sdtEndPr/>
              <w:sdtContent>
                <w:tc>
                  <w:tcPr>
                    <w:tcW w:w="555" w:type="pct"/>
                    <w:shd w:val="clear" w:color="auto" w:fill="FFFFFF"/>
                    <w:vAlign w:val="center"/>
                  </w:tcPr>
                  <w:p w14:paraId="3165B3E2" w14:textId="77777777" w:rsidR="00D21C1F" w:rsidRDefault="00A42880">
                    <w:pPr>
                      <w:widowControl w:val="0"/>
                      <w:jc w:val="center"/>
                    </w:pPr>
                    <w:r>
                      <w:rPr>
                        <w:rFonts w:hint="eastAsia"/>
                      </w:rPr>
                      <w:t>收回或转回</w:t>
                    </w:r>
                  </w:p>
                </w:tc>
              </w:sdtContent>
            </w:sdt>
            <w:tc>
              <w:tcPr>
                <w:tcW w:w="557" w:type="pct"/>
                <w:shd w:val="clear" w:color="auto" w:fill="FFFFFF"/>
                <w:vAlign w:val="center"/>
              </w:tcPr>
              <w:sdt>
                <w:sdtPr>
                  <w:rPr>
                    <w:rFonts w:hint="eastAsia"/>
                  </w:rPr>
                  <w:tag w:val="_PLD_536d31c824d74db3baaa7f5b6cd0a9ec"/>
                  <w:id w:val="553739579"/>
                  <w:lock w:val="sdtLocked"/>
                </w:sdtPr>
                <w:sdtEndPr/>
                <w:sdtContent>
                  <w:p w14:paraId="25B2B713" w14:textId="77777777" w:rsidR="00D21C1F" w:rsidRDefault="00A42880">
                    <w:pPr>
                      <w:widowControl w:val="0"/>
                      <w:jc w:val="center"/>
                    </w:pPr>
                    <w:r>
                      <w:rPr>
                        <w:rFonts w:hint="eastAsia"/>
                      </w:rPr>
                      <w:t>转销或核销</w:t>
                    </w:r>
                  </w:p>
                </w:sdtContent>
              </w:sdt>
            </w:tc>
            <w:tc>
              <w:tcPr>
                <w:tcW w:w="555" w:type="pct"/>
                <w:shd w:val="clear" w:color="auto" w:fill="FFFFFF"/>
                <w:vAlign w:val="center"/>
              </w:tcPr>
              <w:sdt>
                <w:sdtPr>
                  <w:rPr>
                    <w:rFonts w:hint="eastAsia"/>
                  </w:rPr>
                  <w:tag w:val="_PLD_32a7ce101f6b48d68c39e1edb6e78b82"/>
                  <w:id w:val="-432821377"/>
                  <w:lock w:val="sdtLocked"/>
                </w:sdtPr>
                <w:sdtEndPr/>
                <w:sdtContent>
                  <w:p w14:paraId="542622CD" w14:textId="77777777" w:rsidR="00D21C1F" w:rsidRDefault="00A42880">
                    <w:pPr>
                      <w:widowControl w:val="0"/>
                      <w:jc w:val="right"/>
                    </w:pPr>
                    <w:r>
                      <w:rPr>
                        <w:rFonts w:hint="eastAsia"/>
                      </w:rPr>
                      <w:t>其他变动</w:t>
                    </w:r>
                  </w:p>
                </w:sdtContent>
              </w:sdt>
            </w:tc>
            <w:tc>
              <w:tcPr>
                <w:tcW w:w="902" w:type="pct"/>
                <w:vMerge/>
                <w:shd w:val="clear" w:color="auto" w:fill="FFFFFF"/>
              </w:tcPr>
              <w:p w14:paraId="5611F693" w14:textId="77777777" w:rsidR="00D21C1F" w:rsidRDefault="00D21C1F">
                <w:pPr>
                  <w:widowControl w:val="0"/>
                  <w:jc w:val="right"/>
                </w:pPr>
              </w:p>
            </w:tc>
          </w:tr>
          <w:sdt>
            <w:sdtPr>
              <w:alias w:val="应收账款坏账准备明细"/>
              <w:tag w:val="_TUP_b4b5569b724a48fcad53c89b4a37cb1c"/>
              <w:id w:val="2021737968"/>
              <w:lock w:val="sdtLocked"/>
            </w:sdtPr>
            <w:sdtEndPr>
              <w:rPr>
                <w:rFonts w:ascii="Times New Roman" w:hAnsi="Times New Roman" w:cs="Times New Roman"/>
              </w:rPr>
            </w:sdtEndPr>
            <w:sdtContent>
              <w:tr w:rsidR="00D21C1F" w14:paraId="3D3EA4DF" w14:textId="77777777" w:rsidTr="00266B55">
                <w:trPr>
                  <w:jc w:val="center"/>
                </w:trPr>
                <w:tc>
                  <w:tcPr>
                    <w:tcW w:w="687" w:type="pct"/>
                    <w:shd w:val="clear" w:color="auto" w:fill="auto"/>
                  </w:tcPr>
                  <w:p w14:paraId="08BCD2B6" w14:textId="77777777" w:rsidR="00D21C1F" w:rsidRDefault="00A42880">
                    <w:pPr>
                      <w:widowControl w:val="0"/>
                    </w:pPr>
                    <w:r>
                      <w:t>按单项计提坏账准</w:t>
                    </w:r>
                    <w:r>
                      <w:lastRenderedPageBreak/>
                      <w:t>备</w:t>
                    </w:r>
                  </w:p>
                </w:tc>
                <w:tc>
                  <w:tcPr>
                    <w:tcW w:w="902" w:type="pct"/>
                    <w:shd w:val="clear" w:color="auto" w:fill="auto"/>
                    <w:vAlign w:val="center"/>
                  </w:tcPr>
                  <w:p w14:paraId="4EEC44F1"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lastRenderedPageBreak/>
                      <w:t>33,579,807.83</w:t>
                    </w:r>
                  </w:p>
                </w:tc>
                <w:tc>
                  <w:tcPr>
                    <w:tcW w:w="842" w:type="pct"/>
                    <w:shd w:val="clear" w:color="auto" w:fill="auto"/>
                    <w:vAlign w:val="center"/>
                  </w:tcPr>
                  <w:p w14:paraId="591DAD90"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1,825,387.96</w:t>
                    </w:r>
                  </w:p>
                </w:tc>
                <w:tc>
                  <w:tcPr>
                    <w:tcW w:w="555" w:type="pct"/>
                    <w:shd w:val="clear" w:color="auto" w:fill="auto"/>
                    <w:vAlign w:val="center"/>
                  </w:tcPr>
                  <w:p w14:paraId="6298493F"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557" w:type="pct"/>
                    <w:vAlign w:val="center"/>
                  </w:tcPr>
                  <w:p w14:paraId="073EF139"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555" w:type="pct"/>
                    <w:vAlign w:val="center"/>
                  </w:tcPr>
                  <w:p w14:paraId="14B8CA70"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902" w:type="pct"/>
                    <w:shd w:val="clear" w:color="auto" w:fill="auto"/>
                    <w:vAlign w:val="center"/>
                  </w:tcPr>
                  <w:p w14:paraId="103ADD0B"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35,405,195.79</w:t>
                    </w:r>
                  </w:p>
                </w:tc>
              </w:tr>
            </w:sdtContent>
          </w:sdt>
          <w:sdt>
            <w:sdtPr>
              <w:alias w:val="应收账款坏账准备明细"/>
              <w:tag w:val="_TUP_b4b5569b724a48fcad53c89b4a37cb1c"/>
              <w:id w:val="1498694919"/>
              <w:lock w:val="sdtLocked"/>
            </w:sdtPr>
            <w:sdtEndPr>
              <w:rPr>
                <w:rFonts w:ascii="Times New Roman" w:hAnsi="Times New Roman" w:cs="Times New Roman"/>
              </w:rPr>
            </w:sdtEndPr>
            <w:sdtContent>
              <w:tr w:rsidR="00D21C1F" w14:paraId="7D7F1440" w14:textId="77777777" w:rsidTr="00266B55">
                <w:trPr>
                  <w:jc w:val="center"/>
                </w:trPr>
                <w:tc>
                  <w:tcPr>
                    <w:tcW w:w="687" w:type="pct"/>
                    <w:shd w:val="clear" w:color="auto" w:fill="auto"/>
                  </w:tcPr>
                  <w:p w14:paraId="2747C97E" w14:textId="77777777" w:rsidR="00D21C1F" w:rsidRDefault="00A42880">
                    <w:pPr>
                      <w:widowControl w:val="0"/>
                    </w:pPr>
                    <w:r>
                      <w:t>按组合计提坏账准备</w:t>
                    </w:r>
                  </w:p>
                </w:tc>
                <w:tc>
                  <w:tcPr>
                    <w:tcW w:w="902" w:type="pct"/>
                    <w:shd w:val="clear" w:color="auto" w:fill="auto"/>
                    <w:vAlign w:val="center"/>
                  </w:tcPr>
                  <w:p w14:paraId="0809AF62"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30,725,899.80</w:t>
                    </w:r>
                  </w:p>
                </w:tc>
                <w:tc>
                  <w:tcPr>
                    <w:tcW w:w="842" w:type="pct"/>
                    <w:shd w:val="clear" w:color="auto" w:fill="auto"/>
                    <w:vAlign w:val="center"/>
                  </w:tcPr>
                  <w:p w14:paraId="7699F673"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2,100,066.36</w:t>
                    </w:r>
                  </w:p>
                </w:tc>
                <w:tc>
                  <w:tcPr>
                    <w:tcW w:w="555" w:type="pct"/>
                    <w:shd w:val="clear" w:color="auto" w:fill="auto"/>
                    <w:vAlign w:val="center"/>
                  </w:tcPr>
                  <w:p w14:paraId="0B908E4B"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557" w:type="pct"/>
                    <w:vAlign w:val="center"/>
                  </w:tcPr>
                  <w:p w14:paraId="43AF981B"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555" w:type="pct"/>
                    <w:vAlign w:val="center"/>
                  </w:tcPr>
                  <w:p w14:paraId="426B1AE0"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902" w:type="pct"/>
                    <w:shd w:val="clear" w:color="auto" w:fill="auto"/>
                    <w:vAlign w:val="center"/>
                  </w:tcPr>
                  <w:p w14:paraId="21F2DFC4"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32,825,966.16</w:t>
                    </w:r>
                  </w:p>
                </w:tc>
              </w:tr>
            </w:sdtContent>
          </w:sdt>
          <w:tr w:rsidR="00D21C1F" w14:paraId="5CF2C8CB" w14:textId="77777777" w:rsidTr="00266B55">
            <w:trPr>
              <w:jc w:val="center"/>
            </w:trPr>
            <w:sdt>
              <w:sdtPr>
                <w:tag w:val="_PLD_305ead24b9654c709cb715b961cef894"/>
                <w:id w:val="1591892417"/>
                <w:lock w:val="sdtLocked"/>
              </w:sdtPr>
              <w:sdtEndPr/>
              <w:sdtContent>
                <w:tc>
                  <w:tcPr>
                    <w:tcW w:w="687" w:type="pct"/>
                    <w:shd w:val="clear" w:color="auto" w:fill="auto"/>
                  </w:tcPr>
                  <w:p w14:paraId="0F38E858" w14:textId="77777777" w:rsidR="00D21C1F" w:rsidRDefault="00A42880">
                    <w:pPr>
                      <w:widowControl w:val="0"/>
                      <w:jc w:val="center"/>
                    </w:pPr>
                    <w:r>
                      <w:rPr>
                        <w:rFonts w:hint="eastAsia"/>
                      </w:rPr>
                      <w:t>合计</w:t>
                    </w:r>
                  </w:p>
                </w:tc>
              </w:sdtContent>
            </w:sdt>
            <w:tc>
              <w:tcPr>
                <w:tcW w:w="902" w:type="pct"/>
                <w:shd w:val="clear" w:color="auto" w:fill="auto"/>
                <w:vAlign w:val="center"/>
              </w:tcPr>
              <w:p w14:paraId="15362CA5"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64,305,707.63</w:t>
                </w:r>
              </w:p>
            </w:tc>
            <w:tc>
              <w:tcPr>
                <w:tcW w:w="842" w:type="pct"/>
                <w:shd w:val="clear" w:color="auto" w:fill="auto"/>
                <w:vAlign w:val="center"/>
              </w:tcPr>
              <w:p w14:paraId="5A5B8404"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3,925,454.32</w:t>
                </w:r>
              </w:p>
            </w:tc>
            <w:tc>
              <w:tcPr>
                <w:tcW w:w="555" w:type="pct"/>
                <w:shd w:val="clear" w:color="auto" w:fill="auto"/>
                <w:vAlign w:val="center"/>
              </w:tcPr>
              <w:p w14:paraId="03E471A3"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557" w:type="pct"/>
                <w:vAlign w:val="center"/>
              </w:tcPr>
              <w:p w14:paraId="6DE82812"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555" w:type="pct"/>
                <w:vAlign w:val="center"/>
              </w:tcPr>
              <w:p w14:paraId="7E561AAB"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w:t>
                </w:r>
              </w:p>
            </w:tc>
            <w:tc>
              <w:tcPr>
                <w:tcW w:w="902" w:type="pct"/>
                <w:shd w:val="clear" w:color="auto" w:fill="auto"/>
                <w:vAlign w:val="center"/>
              </w:tcPr>
              <w:p w14:paraId="484A141F" w14:textId="77777777" w:rsidR="00D21C1F" w:rsidRPr="00266B55" w:rsidRDefault="00A42880" w:rsidP="00266B55">
                <w:pPr>
                  <w:widowControl w:val="0"/>
                  <w:jc w:val="right"/>
                  <w:rPr>
                    <w:rFonts w:ascii="Times New Roman" w:hAnsi="Times New Roman" w:cs="Times New Roman"/>
                  </w:rPr>
                </w:pPr>
                <w:r w:rsidRPr="00266B55">
                  <w:rPr>
                    <w:rFonts w:ascii="Times New Roman" w:hAnsi="Times New Roman" w:cs="Times New Roman"/>
                  </w:rPr>
                  <w:t>68,231,161.95</w:t>
                </w:r>
              </w:p>
            </w:tc>
          </w:tr>
        </w:tbl>
        <w:p w14:paraId="690E0449" w14:textId="77777777" w:rsidR="00D21C1F" w:rsidRDefault="00045EC6">
          <w:pPr>
            <w:pStyle w:val="67"/>
            <w:snapToGrid w:val="0"/>
            <w:spacing w:line="240" w:lineRule="atLeast"/>
            <w:ind w:left="425" w:firstLineChars="0" w:firstLine="0"/>
            <w:jc w:val="left"/>
            <w:rPr>
              <w:rFonts w:ascii="宋体" w:hAnsi="宋体"/>
              <w:szCs w:val="21"/>
            </w:rPr>
          </w:pPr>
        </w:p>
      </w:sdtContent>
    </w:sdt>
    <w:bookmarkEnd w:id="309" w:displacedByCustomXml="next"/>
    <w:bookmarkEnd w:id="308" w:displacedByCustomXml="next"/>
    <w:bookmarkStart w:id="310" w:name="_Hlk10540223" w:displacedByCustomXml="next"/>
    <w:bookmarkStart w:id="311" w:name="_Hlk10540234" w:displacedByCustomXml="next"/>
    <w:sdt>
      <w:sdtPr>
        <w:rPr>
          <w:rFonts w:hint="eastAsia"/>
        </w:rPr>
        <w:alias w:val="模块:其中本期坏账准备收回或转回金额重要的："/>
        <w:tag w:val="_SEC_cfbe6c51f19042a4ad507f8066423e41"/>
        <w:id w:val="-2088991166"/>
        <w:lock w:val="sdtLocked"/>
        <w:placeholder>
          <w:docPart w:val="GBC22222222222222222222222222222"/>
        </w:placeholder>
      </w:sdtPr>
      <w:sdtEndPr>
        <w:rPr>
          <w:rFonts w:hint="default"/>
        </w:rPr>
      </w:sdtEndPr>
      <w:sdtContent>
        <w:p w14:paraId="59C75DFA" w14:textId="77777777" w:rsidR="00D21C1F" w:rsidRDefault="00A42880">
          <w:pPr>
            <w:pStyle w:val="97"/>
          </w:pPr>
          <w:r>
            <w:rPr>
              <w:rFonts w:hint="eastAsia"/>
            </w:rPr>
            <w:t>其中本期坏账准备收回或转回金额重要的：</w:t>
          </w:r>
          <w:bookmarkEnd w:id="310"/>
        </w:p>
        <w:sdt>
          <w:sdtPr>
            <w:alias w:val="是否适用：母公司其中本期坏账准备收回或转回金额重要的[双击切换]"/>
            <w:tag w:val="_GBC_a6aa75dceb1749caaf0ac8239ed005c1"/>
            <w:id w:val="-103503371"/>
            <w:lock w:val="sdtLocked"/>
            <w:placeholder>
              <w:docPart w:val="GBC22222222222222222222222222222"/>
            </w:placeholder>
          </w:sdtPr>
          <w:sdtEndPr/>
          <w:sdtContent>
            <w:p w14:paraId="506D2A84" w14:textId="77777777" w:rsidR="00D21C1F" w:rsidRDefault="00A42880">
              <w:pPr>
                <w:pStyle w:val="97"/>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11" w:displacedByCustomXml="next"/>
    <w:sdt>
      <w:sdtPr>
        <w:rPr>
          <w:rFonts w:ascii="宋体" w:hAnsi="宋体" w:cs="宋体" w:hint="eastAsia"/>
          <w:b w:val="0"/>
          <w:bCs w:val="0"/>
          <w:kern w:val="0"/>
          <w:szCs w:val="24"/>
        </w:rPr>
        <w:alias w:val="模块:本报告期实际核销的应收账款情况"/>
        <w:tag w:val="_GBC_72fe1bcd09e2470f910107f1e159af49"/>
        <w:id w:val="569464461"/>
        <w:lock w:val="sdtLocked"/>
        <w:placeholder>
          <w:docPart w:val="GBC22222222222222222222222222222"/>
        </w:placeholder>
      </w:sdtPr>
      <w:sdtEndPr>
        <w:rPr>
          <w:rFonts w:hint="default"/>
        </w:rPr>
      </w:sdtEndPr>
      <w:sdtContent>
        <w:p w14:paraId="0704FCF9" w14:textId="77777777" w:rsidR="00D21C1F" w:rsidRDefault="00A42880">
          <w:pPr>
            <w:pStyle w:val="93"/>
            <w:numPr>
              <w:ilvl w:val="0"/>
              <w:numId w:val="149"/>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105279465"/>
            <w:lock w:val="sdtLocked"/>
            <w:placeholder>
              <w:docPart w:val="GBC22222222222222222222222222222"/>
            </w:placeholder>
          </w:sdtPr>
          <w:sdtEndPr/>
          <w:sdtContent>
            <w:p w14:paraId="656988F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CB84187" w14:textId="77777777" w:rsidR="00D21C1F" w:rsidRDefault="00D21C1F">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983619316"/>
        <w:lock w:val="sdtLocked"/>
        <w:placeholder>
          <w:docPart w:val="GBC22222222222222222222222222222"/>
        </w:placeholder>
      </w:sdtPr>
      <w:sdtEndPr>
        <w:rPr>
          <w:rFonts w:hint="default"/>
          <w:szCs w:val="21"/>
        </w:rPr>
      </w:sdtEndPr>
      <w:sdtContent>
        <w:p w14:paraId="63B68AB1" w14:textId="77777777" w:rsidR="00D21C1F" w:rsidRDefault="00A42880">
          <w:pPr>
            <w:pStyle w:val="93"/>
            <w:numPr>
              <w:ilvl w:val="0"/>
              <w:numId w:val="149"/>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1216962388"/>
            <w:lock w:val="sdtLocked"/>
            <w:placeholder>
              <w:docPart w:val="GBC22222222222222222222222222222"/>
            </w:placeholder>
          </w:sdtPr>
          <w:sdtEndPr/>
          <w:sdtContent>
            <w:p w14:paraId="6CF3A06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eastAsiaTheme="minorEastAsia"/>
              <w:szCs w:val="21"/>
            </w:rPr>
            <w:alias w:val="按欠款方归集的期末余额前五名的应收账款情况的说明"/>
            <w:tag w:val="_GBC_fb5c8a787a404b5f93e696afb6756e6c"/>
            <w:id w:val="1342905593"/>
            <w:lock w:val="sdtLocked"/>
            <w:placeholder>
              <w:docPart w:val="GBC22222222222222222222222222222"/>
            </w:placeholder>
          </w:sdtPr>
          <w:sdtEndPr>
            <w:rPr>
              <w:szCs w:val="24"/>
            </w:rPr>
          </w:sdtEndPr>
          <w:sdtContent>
            <w:p w14:paraId="595DBC80" w14:textId="77777777" w:rsidR="00D21C1F" w:rsidRDefault="00D21C1F">
              <w:pPr>
                <w:snapToGrid w:val="0"/>
                <w:spacing w:line="240" w:lineRule="atLeast"/>
                <w:rPr>
                  <w:szCs w:val="21"/>
                </w:rPr>
              </w:pPr>
            </w:p>
            <w:tbl>
              <w:tblPr>
                <w:tblStyle w:val="g3"/>
                <w:tblW w:w="0" w:type="auto"/>
                <w:tblInd w:w="0" w:type="dxa"/>
                <w:tblLook w:val="04A0" w:firstRow="1" w:lastRow="0" w:firstColumn="1" w:lastColumn="0" w:noHBand="0" w:noVBand="1"/>
              </w:tblPr>
              <w:tblGrid>
                <w:gridCol w:w="2183"/>
                <w:gridCol w:w="2226"/>
                <w:gridCol w:w="2195"/>
                <w:gridCol w:w="2219"/>
              </w:tblGrid>
              <w:tr w:rsidR="00D21C1F" w14:paraId="1C99BEAF" w14:textId="77777777">
                <w:tc>
                  <w:tcPr>
                    <w:tcW w:w="2262" w:type="dxa"/>
                  </w:tcPr>
                  <w:p w14:paraId="7C156B1D" w14:textId="77777777" w:rsidR="00D21C1F" w:rsidRDefault="00A42880">
                    <w:pPr>
                      <w:snapToGrid w:val="0"/>
                      <w:spacing w:line="240" w:lineRule="atLeast"/>
                      <w:rPr>
                        <w:szCs w:val="21"/>
                      </w:rPr>
                    </w:pPr>
                    <w:r>
                      <w:t>单位名称</w:t>
                    </w:r>
                  </w:p>
                </w:tc>
                <w:tc>
                  <w:tcPr>
                    <w:tcW w:w="2262" w:type="dxa"/>
                  </w:tcPr>
                  <w:p w14:paraId="5CBB37F6" w14:textId="77777777" w:rsidR="00D21C1F" w:rsidRDefault="00A42880">
                    <w:pPr>
                      <w:snapToGrid w:val="0"/>
                      <w:spacing w:line="240" w:lineRule="atLeast"/>
                      <w:rPr>
                        <w:szCs w:val="21"/>
                      </w:rPr>
                    </w:pPr>
                    <w:r>
                      <w:t>金额</w:t>
                    </w:r>
                  </w:p>
                </w:tc>
                <w:tc>
                  <w:tcPr>
                    <w:tcW w:w="2262" w:type="dxa"/>
                  </w:tcPr>
                  <w:p w14:paraId="155EBF19" w14:textId="77777777" w:rsidR="00D21C1F" w:rsidRDefault="00A42880">
                    <w:pPr>
                      <w:snapToGrid w:val="0"/>
                      <w:spacing w:line="240" w:lineRule="atLeast"/>
                      <w:rPr>
                        <w:szCs w:val="21"/>
                      </w:rPr>
                    </w:pPr>
                    <w:r>
                      <w:t>占应收账款余额合计数的比例（%）</w:t>
                    </w:r>
                  </w:p>
                </w:tc>
                <w:tc>
                  <w:tcPr>
                    <w:tcW w:w="2263" w:type="dxa"/>
                  </w:tcPr>
                  <w:p w14:paraId="6ED5D6AE" w14:textId="77777777" w:rsidR="00D21C1F" w:rsidRDefault="00A42880">
                    <w:pPr>
                      <w:snapToGrid w:val="0"/>
                      <w:spacing w:line="240" w:lineRule="atLeast"/>
                      <w:rPr>
                        <w:szCs w:val="21"/>
                      </w:rPr>
                    </w:pPr>
                    <w:r>
                      <w:t>坏账准备</w:t>
                    </w:r>
                    <w:r>
                      <w:rPr>
                        <w:rFonts w:hint="eastAsia"/>
                      </w:rPr>
                      <w:t>余额</w:t>
                    </w:r>
                  </w:p>
                </w:tc>
              </w:tr>
              <w:tr w:rsidR="00D21C1F" w14:paraId="605F0CC4" w14:textId="77777777">
                <w:tc>
                  <w:tcPr>
                    <w:tcW w:w="2262" w:type="dxa"/>
                  </w:tcPr>
                  <w:p w14:paraId="51350196" w14:textId="77777777" w:rsidR="00D21C1F" w:rsidRDefault="00A42880">
                    <w:pPr>
                      <w:snapToGrid w:val="0"/>
                      <w:spacing w:line="240" w:lineRule="atLeast"/>
                      <w:rPr>
                        <w:szCs w:val="21"/>
                      </w:rPr>
                    </w:pPr>
                    <w:r>
                      <w:t>第一名</w:t>
                    </w:r>
                  </w:p>
                </w:tc>
                <w:tc>
                  <w:tcPr>
                    <w:tcW w:w="2262" w:type="dxa"/>
                    <w:vAlign w:val="bottom"/>
                  </w:tcPr>
                  <w:p w14:paraId="798AB24D"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40,000,000.00</w:t>
                    </w:r>
                  </w:p>
                </w:tc>
                <w:tc>
                  <w:tcPr>
                    <w:tcW w:w="2262" w:type="dxa"/>
                    <w:vAlign w:val="bottom"/>
                  </w:tcPr>
                  <w:p w14:paraId="58E739DE"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10.12</w:t>
                    </w:r>
                  </w:p>
                </w:tc>
                <w:tc>
                  <w:tcPr>
                    <w:tcW w:w="2263" w:type="dxa"/>
                    <w:vAlign w:val="bottom"/>
                  </w:tcPr>
                  <w:p w14:paraId="39A3EA44"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2,000,000.00</w:t>
                    </w:r>
                  </w:p>
                </w:tc>
              </w:tr>
              <w:tr w:rsidR="00D21C1F" w14:paraId="0D3D6E69" w14:textId="77777777">
                <w:tc>
                  <w:tcPr>
                    <w:tcW w:w="2262" w:type="dxa"/>
                  </w:tcPr>
                  <w:p w14:paraId="3979A1C8" w14:textId="77777777" w:rsidR="00D21C1F" w:rsidRDefault="00A42880">
                    <w:pPr>
                      <w:snapToGrid w:val="0"/>
                      <w:spacing w:line="240" w:lineRule="atLeast"/>
                      <w:rPr>
                        <w:szCs w:val="21"/>
                      </w:rPr>
                    </w:pPr>
                    <w:r>
                      <w:t>第二名</w:t>
                    </w:r>
                  </w:p>
                </w:tc>
                <w:tc>
                  <w:tcPr>
                    <w:tcW w:w="2262" w:type="dxa"/>
                    <w:vAlign w:val="bottom"/>
                  </w:tcPr>
                  <w:p w14:paraId="0A4042B0"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20,241,038.00</w:t>
                    </w:r>
                  </w:p>
                </w:tc>
                <w:tc>
                  <w:tcPr>
                    <w:tcW w:w="2262" w:type="dxa"/>
                    <w:vAlign w:val="bottom"/>
                  </w:tcPr>
                  <w:p w14:paraId="5E4B02EC"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5.12</w:t>
                    </w:r>
                  </w:p>
                </w:tc>
                <w:tc>
                  <w:tcPr>
                    <w:tcW w:w="2263" w:type="dxa"/>
                    <w:vAlign w:val="bottom"/>
                  </w:tcPr>
                  <w:p w14:paraId="7EBBFF48"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1,791,403.90</w:t>
                    </w:r>
                  </w:p>
                </w:tc>
              </w:tr>
              <w:tr w:rsidR="00D21C1F" w14:paraId="684A519F" w14:textId="77777777">
                <w:tc>
                  <w:tcPr>
                    <w:tcW w:w="2262" w:type="dxa"/>
                  </w:tcPr>
                  <w:p w14:paraId="08C1725D" w14:textId="77777777" w:rsidR="00D21C1F" w:rsidRDefault="00A42880">
                    <w:pPr>
                      <w:snapToGrid w:val="0"/>
                      <w:spacing w:line="240" w:lineRule="atLeast"/>
                      <w:rPr>
                        <w:szCs w:val="21"/>
                      </w:rPr>
                    </w:pPr>
                    <w:r>
                      <w:t>第三名</w:t>
                    </w:r>
                  </w:p>
                </w:tc>
                <w:tc>
                  <w:tcPr>
                    <w:tcW w:w="2262" w:type="dxa"/>
                    <w:vAlign w:val="bottom"/>
                  </w:tcPr>
                  <w:p w14:paraId="004D0074"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17,507,230.74</w:t>
                    </w:r>
                  </w:p>
                </w:tc>
                <w:tc>
                  <w:tcPr>
                    <w:tcW w:w="2262" w:type="dxa"/>
                    <w:vAlign w:val="bottom"/>
                  </w:tcPr>
                  <w:p w14:paraId="25170B21"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4.43</w:t>
                    </w:r>
                  </w:p>
                </w:tc>
                <w:tc>
                  <w:tcPr>
                    <w:tcW w:w="2263" w:type="dxa"/>
                    <w:vAlign w:val="bottom"/>
                  </w:tcPr>
                  <w:p w14:paraId="0012B22E"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2,591,646.15</w:t>
                    </w:r>
                  </w:p>
                </w:tc>
              </w:tr>
              <w:tr w:rsidR="00D21C1F" w14:paraId="39E15713" w14:textId="77777777">
                <w:tc>
                  <w:tcPr>
                    <w:tcW w:w="2262" w:type="dxa"/>
                  </w:tcPr>
                  <w:p w14:paraId="062A2279" w14:textId="77777777" w:rsidR="00D21C1F" w:rsidRDefault="00A42880">
                    <w:pPr>
                      <w:snapToGrid w:val="0"/>
                      <w:spacing w:line="240" w:lineRule="atLeast"/>
                      <w:rPr>
                        <w:szCs w:val="21"/>
                      </w:rPr>
                    </w:pPr>
                    <w:r>
                      <w:t>第四名</w:t>
                    </w:r>
                  </w:p>
                </w:tc>
                <w:tc>
                  <w:tcPr>
                    <w:tcW w:w="2262" w:type="dxa"/>
                    <w:vAlign w:val="bottom"/>
                  </w:tcPr>
                  <w:p w14:paraId="197937AD"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16,024,842.05</w:t>
                    </w:r>
                  </w:p>
                </w:tc>
                <w:tc>
                  <w:tcPr>
                    <w:tcW w:w="2262" w:type="dxa"/>
                    <w:vAlign w:val="bottom"/>
                  </w:tcPr>
                  <w:p w14:paraId="5A59B8C5"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4.05</w:t>
                    </w:r>
                  </w:p>
                </w:tc>
                <w:tc>
                  <w:tcPr>
                    <w:tcW w:w="2263" w:type="dxa"/>
                    <w:vAlign w:val="bottom"/>
                  </w:tcPr>
                  <w:p w14:paraId="3F123E00"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801,242.10</w:t>
                    </w:r>
                  </w:p>
                </w:tc>
              </w:tr>
              <w:tr w:rsidR="00D21C1F" w14:paraId="19CBDEDE" w14:textId="77777777">
                <w:tc>
                  <w:tcPr>
                    <w:tcW w:w="2262" w:type="dxa"/>
                  </w:tcPr>
                  <w:p w14:paraId="14D63BE9" w14:textId="77777777" w:rsidR="00D21C1F" w:rsidRDefault="00A42880">
                    <w:pPr>
                      <w:snapToGrid w:val="0"/>
                      <w:spacing w:line="240" w:lineRule="atLeast"/>
                      <w:rPr>
                        <w:szCs w:val="21"/>
                      </w:rPr>
                    </w:pPr>
                    <w:r>
                      <w:t>第五名</w:t>
                    </w:r>
                  </w:p>
                </w:tc>
                <w:tc>
                  <w:tcPr>
                    <w:tcW w:w="2262" w:type="dxa"/>
                    <w:vAlign w:val="bottom"/>
                  </w:tcPr>
                  <w:p w14:paraId="79C52279"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14,551,549.14</w:t>
                    </w:r>
                  </w:p>
                </w:tc>
                <w:tc>
                  <w:tcPr>
                    <w:tcW w:w="2262" w:type="dxa"/>
                    <w:vAlign w:val="bottom"/>
                  </w:tcPr>
                  <w:p w14:paraId="1AC86B14"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3.68</w:t>
                    </w:r>
                  </w:p>
                </w:tc>
                <w:tc>
                  <w:tcPr>
                    <w:tcW w:w="2263" w:type="dxa"/>
                    <w:vAlign w:val="bottom"/>
                  </w:tcPr>
                  <w:p w14:paraId="15C0A021"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727,577.46</w:t>
                    </w:r>
                  </w:p>
                </w:tc>
              </w:tr>
              <w:tr w:rsidR="00D21C1F" w14:paraId="3151C175" w14:textId="77777777">
                <w:tc>
                  <w:tcPr>
                    <w:tcW w:w="2262" w:type="dxa"/>
                  </w:tcPr>
                  <w:p w14:paraId="3D31AC10" w14:textId="77777777" w:rsidR="00D21C1F" w:rsidRDefault="00A42880">
                    <w:pPr>
                      <w:snapToGrid w:val="0"/>
                      <w:spacing w:line="240" w:lineRule="atLeast"/>
                      <w:rPr>
                        <w:szCs w:val="21"/>
                      </w:rPr>
                    </w:pPr>
                    <w:r>
                      <w:t>合计</w:t>
                    </w:r>
                  </w:p>
                </w:tc>
                <w:tc>
                  <w:tcPr>
                    <w:tcW w:w="2262" w:type="dxa"/>
                    <w:vAlign w:val="bottom"/>
                  </w:tcPr>
                  <w:p w14:paraId="35A2AB3E" w14:textId="77777777" w:rsidR="00D21C1F" w:rsidRPr="00266B55" w:rsidRDefault="00A42880">
                    <w:pPr>
                      <w:snapToGrid w:val="0"/>
                      <w:spacing w:line="240" w:lineRule="atLeast"/>
                      <w:jc w:val="right"/>
                      <w:rPr>
                        <w:rFonts w:ascii="Times New Roman" w:hAnsi="Times New Roman" w:cs="Times New Roman"/>
                        <w:szCs w:val="21"/>
                      </w:rPr>
                    </w:pPr>
                    <w:r w:rsidRPr="00266B55">
                      <w:rPr>
                        <w:rFonts w:ascii="Times New Roman" w:hAnsi="Times New Roman" w:cs="Times New Roman"/>
                      </w:rPr>
                      <w:t>108,324,659.93</w:t>
                    </w:r>
                  </w:p>
                </w:tc>
                <w:tc>
                  <w:tcPr>
                    <w:tcW w:w="2262" w:type="dxa"/>
                    <w:vAlign w:val="bottom"/>
                  </w:tcPr>
                  <w:p w14:paraId="3C9043AA"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27.40</w:t>
                    </w:r>
                  </w:p>
                </w:tc>
                <w:tc>
                  <w:tcPr>
                    <w:tcW w:w="2263" w:type="dxa"/>
                    <w:vAlign w:val="bottom"/>
                  </w:tcPr>
                  <w:p w14:paraId="058097F2" w14:textId="77777777" w:rsidR="00D21C1F" w:rsidRPr="00266B55" w:rsidRDefault="00A42880">
                    <w:pPr>
                      <w:jc w:val="right"/>
                      <w:rPr>
                        <w:rFonts w:ascii="Times New Roman" w:hAnsi="Times New Roman" w:cs="Times New Roman"/>
                      </w:rPr>
                    </w:pPr>
                    <w:r w:rsidRPr="00266B55">
                      <w:rPr>
                        <w:rFonts w:ascii="Times New Roman" w:hAnsi="Times New Roman" w:cs="Times New Roman"/>
                      </w:rPr>
                      <w:t>7,911,869.61</w:t>
                    </w:r>
                  </w:p>
                </w:tc>
              </w:tr>
            </w:tbl>
            <w:p w14:paraId="2877753B" w14:textId="77777777" w:rsidR="00D21C1F" w:rsidRDefault="00045EC6">
              <w:pPr>
                <w:pStyle w:val="97"/>
              </w:pPr>
            </w:p>
          </w:sdtContent>
        </w:sdt>
      </w:sdtContent>
    </w:sdt>
    <w:sdt>
      <w:sdtPr>
        <w:rPr>
          <w:rFonts w:ascii="宋体" w:eastAsia="宋体" w:hAnsi="宋体" w:cs="宋体" w:hint="eastAsia"/>
          <w:b w:val="0"/>
          <w:bCs w:val="0"/>
          <w:kern w:val="0"/>
          <w:szCs w:val="24"/>
        </w:rPr>
        <w:alias w:val="模块:因金融资产转移而终止确认的应收账款"/>
        <w:tag w:val="_GBC_ab73666b561d47cbb383aa21715b406f"/>
        <w:id w:val="2104453427"/>
        <w:lock w:val="sdtLocked"/>
        <w:placeholder>
          <w:docPart w:val="GBC22222222222222222222222222222"/>
        </w:placeholder>
      </w:sdtPr>
      <w:sdtEndPr/>
      <w:sdtContent>
        <w:p w14:paraId="09D9161A" w14:textId="77777777" w:rsidR="00D21C1F" w:rsidRDefault="00A42880">
          <w:pPr>
            <w:pStyle w:val="93"/>
            <w:numPr>
              <w:ilvl w:val="0"/>
              <w:numId w:val="149"/>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5413017"/>
            <w:lock w:val="sdtLocked"/>
            <w:placeholder>
              <w:docPart w:val="GBC22222222222222222222222222222"/>
            </w:placeholder>
          </w:sdtPr>
          <w:sdtEndPr/>
          <w:sdtContent>
            <w:p w14:paraId="6831A9BA" w14:textId="77777777" w:rsidR="00D21C1F" w:rsidRDefault="00A42880">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4492CF2" w14:textId="77777777" w:rsidR="00D21C1F" w:rsidRDefault="00045EC6">
          <w:pPr>
            <w:snapToGrid w:val="0"/>
            <w:spacing w:line="240" w:lineRule="atLeast"/>
          </w:pPr>
        </w:p>
      </w:sdtContent>
    </w:sdt>
    <w:sdt>
      <w:sdtPr>
        <w:rPr>
          <w:rFonts w:ascii="宋体" w:eastAsia="宋体" w:hAnsi="宋体" w:cs="宋体" w:hint="eastAsia"/>
          <w:b w:val="0"/>
          <w:bCs w:val="0"/>
          <w:kern w:val="0"/>
          <w:szCs w:val="24"/>
        </w:rPr>
        <w:alias w:val="模块:转移应收账款且继续涉入的，分项列示继续涉入形成的资产、负债的金额"/>
        <w:tag w:val="_GBC_0fefb2630375419f8e496c310f6ec9ee"/>
        <w:id w:val="2014874693"/>
        <w:lock w:val="sdtLocked"/>
        <w:placeholder>
          <w:docPart w:val="GBC22222222222222222222222222222"/>
        </w:placeholder>
      </w:sdtPr>
      <w:sdtEndPr/>
      <w:sdtContent>
        <w:p w14:paraId="164E1ABB" w14:textId="77777777" w:rsidR="00D21C1F" w:rsidRDefault="00A42880">
          <w:pPr>
            <w:pStyle w:val="93"/>
            <w:numPr>
              <w:ilvl w:val="0"/>
              <w:numId w:val="149"/>
            </w:numPr>
            <w:tabs>
              <w:tab w:val="left" w:pos="630"/>
            </w:tabs>
            <w:ind w:left="0" w:firstLine="0"/>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母公司转移应收账款且继续涉入形成的资产、负债金额[双击切换]"/>
            <w:tag w:val="_GBC_18ab0f336ea34b009b496f240cc35a39"/>
            <w:id w:val="282854011"/>
            <w:lock w:val="sdtLocked"/>
            <w:placeholder>
              <w:docPart w:val="GBC22222222222222222222222222222"/>
            </w:placeholder>
          </w:sdtPr>
          <w:sdtEndPr/>
          <w:sdtContent>
            <w:p w14:paraId="4D64311A" w14:textId="77777777" w:rsidR="00D21C1F" w:rsidRDefault="00A4288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eastAsia="宋体" w:hint="eastAsia"/>
          <w:b/>
          <w:bCs/>
        </w:rPr>
        <w:alias w:val="模块:其他说明："/>
        <w:tag w:val="_GBC_eac4abdf299a4312a10e680c5fc79ef9"/>
        <w:id w:val="686404123"/>
        <w:lock w:val="sdtLocked"/>
        <w:placeholder>
          <w:docPart w:val="GBC22222222222222222222222222222"/>
        </w:placeholder>
      </w:sdtPr>
      <w:sdtEndPr>
        <w:rPr>
          <w:rFonts w:hint="default"/>
          <w:b w:val="0"/>
          <w:bCs w:val="0"/>
        </w:rPr>
      </w:sdtEndPr>
      <w:sdtContent>
        <w:p w14:paraId="17BCA2FE" w14:textId="77777777" w:rsidR="00D21C1F" w:rsidRDefault="00A42880">
          <w:pPr>
            <w:pStyle w:val="97"/>
          </w:pPr>
          <w:r>
            <w:rPr>
              <w:rFonts w:hint="eastAsia"/>
            </w:rPr>
            <w:t>其他</w:t>
          </w:r>
          <w:r>
            <w:t>说明：</w:t>
          </w:r>
        </w:p>
        <w:sdt>
          <w:sdtPr>
            <w:rPr>
              <w:rFonts w:hint="eastAsia"/>
            </w:rPr>
            <w:alias w:val="是否适用：母公司应收账款其他说明[双击切换]"/>
            <w:tag w:val="_GBC_22a2c0a255e04aacadf1c076323bc980"/>
            <w:id w:val="-1682889396"/>
            <w:lock w:val="sdtLocked"/>
            <w:placeholder>
              <w:docPart w:val="GBC22222222222222222222222222222"/>
            </w:placeholder>
          </w:sdtPr>
          <w:sdtEndPr/>
          <w:sdtContent>
            <w:p w14:paraId="3AC59702" w14:textId="77777777" w:rsidR="00D21C1F" w:rsidRDefault="00A42880">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3EEC10" w14:textId="77777777" w:rsidR="00D21C1F" w:rsidRDefault="00045EC6">
          <w:pPr>
            <w:snapToGrid w:val="0"/>
            <w:spacing w:line="240" w:lineRule="atLeast"/>
          </w:pPr>
        </w:p>
      </w:sdtContent>
    </w:sdt>
    <w:p w14:paraId="0DF2EE78" w14:textId="77777777" w:rsidR="00D21C1F" w:rsidRDefault="00A42880">
      <w:pPr>
        <w:pStyle w:val="94"/>
        <w:numPr>
          <w:ilvl w:val="0"/>
          <w:numId w:val="148"/>
        </w:numPr>
        <w:rPr>
          <w:rFonts w:ascii="宋体" w:hAnsi="宋体"/>
          <w:szCs w:val="21"/>
        </w:rPr>
      </w:pPr>
      <w:r>
        <w:rPr>
          <w:rFonts w:ascii="宋体" w:hAnsi="宋体" w:hint="eastAsia"/>
          <w:szCs w:val="21"/>
        </w:rPr>
        <w:t>其他应收款</w:t>
      </w:r>
    </w:p>
    <w:bookmarkStart w:id="312" w:name="_Hlk10546944" w:displacedByCustomXml="next"/>
    <w:sdt>
      <w:sdtPr>
        <w:rPr>
          <w:rFonts w:ascii="宋体" w:hAnsi="宋体" w:cs="宋体" w:hint="eastAsia"/>
          <w:b w:val="0"/>
          <w:bCs w:val="0"/>
          <w:kern w:val="0"/>
          <w:szCs w:val="24"/>
        </w:rPr>
        <w:alias w:val="模块:项目列示"/>
        <w:tag w:val="_SEC_e2f0b728ae404babbb57dfbc1fafed13"/>
        <w:id w:val="-1795903799"/>
        <w:lock w:val="sdtLocked"/>
        <w:placeholder>
          <w:docPart w:val="GBC22222222222222222222222222222"/>
        </w:placeholder>
      </w:sdtPr>
      <w:sdtEndPr/>
      <w:sdtContent>
        <w:p w14:paraId="3BB31E1A" w14:textId="77777777" w:rsidR="00D21C1F" w:rsidRDefault="00A42880">
          <w:pPr>
            <w:pStyle w:val="93"/>
            <w:rPr>
              <w:rFonts w:ascii="宋体" w:hAnsi="宋体"/>
            </w:rPr>
          </w:pPr>
          <w:r>
            <w:rPr>
              <w:rFonts w:ascii="宋体" w:hAnsi="宋体" w:hint="eastAsia"/>
            </w:rPr>
            <w:t>项目列示</w:t>
          </w:r>
        </w:p>
        <w:sdt>
          <w:sdtPr>
            <w:alias w:val="是否适用：母公司其他应收款分类列示[双击切换]"/>
            <w:tag w:val="_GBC_529e259f053b47d993fd4e3216204522"/>
            <w:id w:val="554131531"/>
            <w:lock w:val="sdtLocked"/>
            <w:placeholder>
              <w:docPart w:val="GBC22222222222222222222222222222"/>
            </w:placeholder>
          </w:sdtPr>
          <w:sdtEndPr/>
          <w:sdtContent>
            <w:p w14:paraId="6196A13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B47A2C" w14:textId="77777777" w:rsidR="00D21C1F" w:rsidRDefault="00A42880">
          <w:pPr>
            <w:jc w:val="right"/>
            <w:rPr>
              <w:szCs w:val="21"/>
            </w:rPr>
          </w:pPr>
          <w:r>
            <w:rPr>
              <w:rFonts w:hint="eastAsia"/>
              <w:szCs w:val="21"/>
            </w:rPr>
            <w:t>单位：</w:t>
          </w:r>
          <w:sdt>
            <w:sdtPr>
              <w:rPr>
                <w:rFonts w:hint="eastAsia"/>
                <w:szCs w:val="21"/>
              </w:rPr>
              <w:alias w:val="单位：母公司其他应收款分类列示"/>
              <w:tag w:val="_GBC_306e86db57e64b00a9602dc7cbf81457"/>
              <w:id w:val="16702865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其他应收款分类列示"/>
              <w:tag w:val="_GBC_cd5866350ae3491e87e9f82a7ed2a7c3"/>
              <w:id w:val="20539675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13"/>
            <w:gridCol w:w="2862"/>
            <w:gridCol w:w="2848"/>
          </w:tblGrid>
          <w:tr w:rsidR="00D21C1F" w14:paraId="724078A3" w14:textId="77777777">
            <w:trPr>
              <w:cantSplit/>
            </w:trPr>
            <w:sdt>
              <w:sdtPr>
                <w:tag w:val="_PLD_9b14d51b79194bdea749a527966a0a2e"/>
                <w:id w:val="1085498947"/>
                <w:lock w:val="sdtLocked"/>
              </w:sdtPr>
              <w:sdtEndPr/>
              <w:sdtContent>
                <w:tc>
                  <w:tcPr>
                    <w:tcW w:w="1764" w:type="pct"/>
                    <w:vAlign w:val="center"/>
                  </w:tcPr>
                  <w:p w14:paraId="28BFE219" w14:textId="77777777" w:rsidR="00D21C1F" w:rsidRDefault="00A42880">
                    <w:pPr>
                      <w:jc w:val="center"/>
                      <w:rPr>
                        <w:szCs w:val="21"/>
                      </w:rPr>
                    </w:pPr>
                    <w:r>
                      <w:rPr>
                        <w:rFonts w:hint="eastAsia"/>
                        <w:szCs w:val="21"/>
                      </w:rPr>
                      <w:t>项目</w:t>
                    </w:r>
                  </w:p>
                </w:tc>
              </w:sdtContent>
            </w:sdt>
            <w:sdt>
              <w:sdtPr>
                <w:tag w:val="_PLD_1dd12447c07a4bf5b8eef82f2f9f5577"/>
                <w:id w:val="1731188705"/>
                <w:lock w:val="sdtLocked"/>
              </w:sdtPr>
              <w:sdtEndPr/>
              <w:sdtContent>
                <w:tc>
                  <w:tcPr>
                    <w:tcW w:w="1622" w:type="pct"/>
                    <w:vAlign w:val="center"/>
                  </w:tcPr>
                  <w:p w14:paraId="64519313" w14:textId="77777777" w:rsidR="00D21C1F" w:rsidRDefault="00A42880">
                    <w:pPr>
                      <w:jc w:val="center"/>
                      <w:rPr>
                        <w:szCs w:val="21"/>
                      </w:rPr>
                    </w:pPr>
                    <w:r>
                      <w:rPr>
                        <w:rFonts w:hint="eastAsia"/>
                        <w:szCs w:val="21"/>
                      </w:rPr>
                      <w:t>期末余额</w:t>
                    </w:r>
                  </w:p>
                </w:tc>
              </w:sdtContent>
            </w:sdt>
            <w:sdt>
              <w:sdtPr>
                <w:tag w:val="_PLD_2701e42352ac4ea1ae4d64adf5d28e89"/>
                <w:id w:val="1149095923"/>
                <w:lock w:val="sdtLocked"/>
              </w:sdtPr>
              <w:sdtEndPr/>
              <w:sdtContent>
                <w:tc>
                  <w:tcPr>
                    <w:tcW w:w="1614" w:type="pct"/>
                    <w:vAlign w:val="center"/>
                  </w:tcPr>
                  <w:p w14:paraId="2884305F" w14:textId="77777777" w:rsidR="00D21C1F" w:rsidRDefault="00A42880">
                    <w:pPr>
                      <w:jc w:val="center"/>
                      <w:rPr>
                        <w:szCs w:val="21"/>
                      </w:rPr>
                    </w:pPr>
                    <w:r>
                      <w:rPr>
                        <w:rFonts w:hint="eastAsia"/>
                        <w:szCs w:val="21"/>
                      </w:rPr>
                      <w:t>期初余额</w:t>
                    </w:r>
                  </w:p>
                </w:tc>
              </w:sdtContent>
            </w:sdt>
          </w:tr>
          <w:tr w:rsidR="00D21C1F" w14:paraId="769CA989" w14:textId="77777777">
            <w:trPr>
              <w:cantSplit/>
            </w:trPr>
            <w:sdt>
              <w:sdtPr>
                <w:tag w:val="_PLD_e88397c1546740a1aa89497da3258f71"/>
                <w:id w:val="293339271"/>
                <w:lock w:val="sdtLocked"/>
              </w:sdtPr>
              <w:sdtEndPr/>
              <w:sdtContent>
                <w:tc>
                  <w:tcPr>
                    <w:tcW w:w="1764" w:type="pct"/>
                  </w:tcPr>
                  <w:p w14:paraId="2E60F409" w14:textId="77777777" w:rsidR="00D21C1F" w:rsidRDefault="00A42880">
                    <w:pPr>
                      <w:ind w:right="5"/>
                      <w:rPr>
                        <w:szCs w:val="21"/>
                      </w:rPr>
                    </w:pPr>
                    <w:r>
                      <w:rPr>
                        <w:rFonts w:hint="eastAsia"/>
                        <w:szCs w:val="21"/>
                      </w:rPr>
                      <w:t>应收利息</w:t>
                    </w:r>
                  </w:p>
                </w:tc>
              </w:sdtContent>
            </w:sdt>
            <w:tc>
              <w:tcPr>
                <w:tcW w:w="1622" w:type="pct"/>
                <w:vAlign w:val="center"/>
              </w:tcPr>
              <w:p w14:paraId="587EC99F" w14:textId="77777777" w:rsidR="00D21C1F" w:rsidRPr="00266B55" w:rsidRDefault="00A42880">
                <w:pPr>
                  <w:ind w:right="5"/>
                  <w:jc w:val="right"/>
                  <w:rPr>
                    <w:rFonts w:ascii="Times New Roman" w:hAnsi="Times New Roman" w:cs="Times New Roman"/>
                    <w:szCs w:val="21"/>
                  </w:rPr>
                </w:pPr>
                <w:r w:rsidRPr="00266B55">
                  <w:rPr>
                    <w:rFonts w:ascii="Times New Roman" w:hAnsi="Times New Roman" w:cs="Times New Roman"/>
                  </w:rPr>
                  <w:t>151,823.15</w:t>
                </w:r>
              </w:p>
            </w:tc>
            <w:tc>
              <w:tcPr>
                <w:tcW w:w="1614" w:type="pct"/>
                <w:vAlign w:val="center"/>
              </w:tcPr>
              <w:p w14:paraId="1309B620" w14:textId="77777777" w:rsidR="00D21C1F" w:rsidRPr="00266B55" w:rsidRDefault="00A42880">
                <w:pPr>
                  <w:ind w:right="5"/>
                  <w:jc w:val="right"/>
                  <w:rPr>
                    <w:rFonts w:ascii="Times New Roman" w:hAnsi="Times New Roman" w:cs="Times New Roman"/>
                    <w:szCs w:val="21"/>
                  </w:rPr>
                </w:pPr>
                <w:r w:rsidRPr="00266B55">
                  <w:rPr>
                    <w:rFonts w:ascii="Times New Roman" w:hAnsi="Times New Roman" w:cs="Times New Roman"/>
                  </w:rPr>
                  <w:t>21,705.54</w:t>
                </w:r>
              </w:p>
            </w:tc>
          </w:tr>
          <w:tr w:rsidR="00D21C1F" w14:paraId="65F48E0C" w14:textId="77777777">
            <w:trPr>
              <w:cantSplit/>
            </w:trPr>
            <w:sdt>
              <w:sdtPr>
                <w:tag w:val="_PLD_11d00ac8309b4e85ac5c0ecfc4e39fdf"/>
                <w:id w:val="-2075427194"/>
                <w:lock w:val="sdtLocked"/>
              </w:sdtPr>
              <w:sdtEndPr/>
              <w:sdtContent>
                <w:tc>
                  <w:tcPr>
                    <w:tcW w:w="1764" w:type="pct"/>
                  </w:tcPr>
                  <w:p w14:paraId="7320EAA5" w14:textId="77777777" w:rsidR="00D21C1F" w:rsidRDefault="00A42880">
                    <w:pPr>
                      <w:ind w:right="5"/>
                      <w:rPr>
                        <w:szCs w:val="21"/>
                      </w:rPr>
                    </w:pPr>
                    <w:r>
                      <w:rPr>
                        <w:rFonts w:hint="eastAsia"/>
                        <w:szCs w:val="21"/>
                      </w:rPr>
                      <w:t>应收股利</w:t>
                    </w:r>
                  </w:p>
                </w:tc>
              </w:sdtContent>
            </w:sdt>
            <w:tc>
              <w:tcPr>
                <w:tcW w:w="1622" w:type="pct"/>
                <w:vAlign w:val="center"/>
              </w:tcPr>
              <w:p w14:paraId="50D6C223" w14:textId="77777777" w:rsidR="00D21C1F" w:rsidRPr="00266B55" w:rsidRDefault="00A42880">
                <w:pPr>
                  <w:ind w:right="5"/>
                  <w:jc w:val="right"/>
                  <w:rPr>
                    <w:rFonts w:ascii="Times New Roman" w:hAnsi="Times New Roman" w:cs="Times New Roman"/>
                    <w:szCs w:val="21"/>
                  </w:rPr>
                </w:pPr>
                <w:r w:rsidRPr="00266B55">
                  <w:rPr>
                    <w:rFonts w:ascii="Times New Roman" w:hAnsi="Times New Roman" w:cs="Times New Roman"/>
                  </w:rPr>
                  <w:t>-</w:t>
                </w:r>
              </w:p>
            </w:tc>
            <w:tc>
              <w:tcPr>
                <w:tcW w:w="1614" w:type="pct"/>
                <w:vAlign w:val="center"/>
              </w:tcPr>
              <w:p w14:paraId="59E29ED7" w14:textId="77777777" w:rsidR="00D21C1F" w:rsidRPr="00266B55" w:rsidRDefault="00A42880">
                <w:pPr>
                  <w:ind w:right="5"/>
                  <w:jc w:val="right"/>
                  <w:rPr>
                    <w:rFonts w:ascii="Times New Roman" w:hAnsi="Times New Roman" w:cs="Times New Roman"/>
                    <w:szCs w:val="21"/>
                  </w:rPr>
                </w:pPr>
                <w:r w:rsidRPr="00266B55">
                  <w:rPr>
                    <w:rFonts w:ascii="Times New Roman" w:hAnsi="Times New Roman" w:cs="Times New Roman"/>
                  </w:rPr>
                  <w:t>-</w:t>
                </w:r>
              </w:p>
            </w:tc>
          </w:tr>
          <w:tr w:rsidR="00D21C1F" w14:paraId="03C4C720" w14:textId="77777777">
            <w:trPr>
              <w:cantSplit/>
            </w:trPr>
            <w:sdt>
              <w:sdtPr>
                <w:tag w:val="_PLD_42c4df4453344bc0910f3b3e20b096a2"/>
                <w:id w:val="991992583"/>
                <w:lock w:val="sdtLocked"/>
              </w:sdtPr>
              <w:sdtEndPr/>
              <w:sdtContent>
                <w:tc>
                  <w:tcPr>
                    <w:tcW w:w="1764" w:type="pct"/>
                  </w:tcPr>
                  <w:p w14:paraId="71FA4A6F" w14:textId="77777777" w:rsidR="00D21C1F" w:rsidRDefault="00A42880">
                    <w:pPr>
                      <w:ind w:right="5"/>
                      <w:rPr>
                        <w:szCs w:val="21"/>
                      </w:rPr>
                    </w:pPr>
                    <w:r>
                      <w:rPr>
                        <w:rFonts w:hint="eastAsia"/>
                        <w:szCs w:val="21"/>
                      </w:rPr>
                      <w:t>其他应收款</w:t>
                    </w:r>
                  </w:p>
                </w:tc>
              </w:sdtContent>
            </w:sdt>
            <w:tc>
              <w:tcPr>
                <w:tcW w:w="1622" w:type="pct"/>
                <w:vAlign w:val="center"/>
              </w:tcPr>
              <w:p w14:paraId="2A0669A1" w14:textId="77777777" w:rsidR="00D21C1F" w:rsidRPr="00266B55" w:rsidRDefault="00A42880">
                <w:pPr>
                  <w:ind w:right="5"/>
                  <w:jc w:val="right"/>
                  <w:rPr>
                    <w:rFonts w:ascii="Times New Roman" w:hAnsi="Times New Roman" w:cs="Times New Roman"/>
                    <w:szCs w:val="21"/>
                  </w:rPr>
                </w:pPr>
                <w:r w:rsidRPr="00266B55">
                  <w:rPr>
                    <w:rFonts w:ascii="Times New Roman" w:hAnsi="Times New Roman" w:cs="Times New Roman"/>
                  </w:rPr>
                  <w:t>176,809,044.69</w:t>
                </w:r>
              </w:p>
            </w:tc>
            <w:tc>
              <w:tcPr>
                <w:tcW w:w="1614" w:type="pct"/>
                <w:vAlign w:val="center"/>
              </w:tcPr>
              <w:p w14:paraId="530F0F24" w14:textId="77777777" w:rsidR="00D21C1F" w:rsidRPr="00266B55" w:rsidRDefault="00A42880">
                <w:pPr>
                  <w:ind w:right="5"/>
                  <w:jc w:val="right"/>
                  <w:rPr>
                    <w:rFonts w:ascii="Times New Roman" w:hAnsi="Times New Roman" w:cs="Times New Roman"/>
                    <w:szCs w:val="21"/>
                  </w:rPr>
                </w:pPr>
                <w:r w:rsidRPr="00266B55">
                  <w:rPr>
                    <w:rFonts w:ascii="Times New Roman" w:hAnsi="Times New Roman" w:cs="Times New Roman"/>
                  </w:rPr>
                  <w:t>240,149,624.61</w:t>
                </w:r>
              </w:p>
            </w:tc>
          </w:tr>
          <w:tr w:rsidR="00D21C1F" w14:paraId="662D31FA" w14:textId="77777777">
            <w:trPr>
              <w:cantSplit/>
            </w:trPr>
            <w:sdt>
              <w:sdtPr>
                <w:tag w:val="_PLD_657f57c42bdf4019ba2e4df3e8e8d440"/>
                <w:id w:val="-1347394230"/>
                <w:lock w:val="sdtLocked"/>
              </w:sdtPr>
              <w:sdtEndPr/>
              <w:sdtContent>
                <w:tc>
                  <w:tcPr>
                    <w:tcW w:w="1764" w:type="pct"/>
                    <w:vAlign w:val="center"/>
                  </w:tcPr>
                  <w:p w14:paraId="2F17D172" w14:textId="77777777" w:rsidR="00D21C1F" w:rsidRDefault="00A42880">
                    <w:pPr>
                      <w:autoSpaceDE w:val="0"/>
                      <w:autoSpaceDN w:val="0"/>
                      <w:adjustRightInd w:val="0"/>
                      <w:jc w:val="center"/>
                      <w:rPr>
                        <w:szCs w:val="21"/>
                      </w:rPr>
                    </w:pPr>
                    <w:r>
                      <w:rPr>
                        <w:rFonts w:hint="eastAsia"/>
                        <w:szCs w:val="21"/>
                      </w:rPr>
                      <w:t>合计</w:t>
                    </w:r>
                  </w:p>
                </w:tc>
              </w:sdtContent>
            </w:sdt>
            <w:tc>
              <w:tcPr>
                <w:tcW w:w="1622" w:type="pct"/>
                <w:vAlign w:val="center"/>
              </w:tcPr>
              <w:p w14:paraId="3FCACC72"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176,960,867.84</w:t>
                </w:r>
              </w:p>
            </w:tc>
            <w:tc>
              <w:tcPr>
                <w:tcW w:w="1614" w:type="pct"/>
                <w:vAlign w:val="center"/>
              </w:tcPr>
              <w:p w14:paraId="6211F692" w14:textId="77777777" w:rsidR="00D21C1F" w:rsidRPr="00266B55" w:rsidRDefault="00A42880">
                <w:pPr>
                  <w:jc w:val="right"/>
                  <w:rPr>
                    <w:rFonts w:ascii="Times New Roman" w:hAnsi="Times New Roman" w:cs="Times New Roman"/>
                    <w:szCs w:val="21"/>
                  </w:rPr>
                </w:pPr>
                <w:r w:rsidRPr="00266B55">
                  <w:rPr>
                    <w:rFonts w:ascii="Times New Roman" w:hAnsi="Times New Roman" w:cs="Times New Roman"/>
                  </w:rPr>
                  <w:t>240,171,330.15</w:t>
                </w:r>
              </w:p>
            </w:tc>
          </w:tr>
        </w:tbl>
        <w:p w14:paraId="6EE33615" w14:textId="77777777" w:rsidR="00D21C1F" w:rsidRDefault="00A42880">
          <w:pPr>
            <w:rPr>
              <w:szCs w:val="21"/>
            </w:rPr>
          </w:pPr>
          <w:bookmarkStart w:id="313" w:name="_Hlk533797002"/>
          <w:r>
            <w:rPr>
              <w:rFonts w:hint="eastAsia"/>
              <w:szCs w:val="21"/>
            </w:rPr>
            <w:t>其他说明：</w:t>
          </w:r>
        </w:p>
        <w:sdt>
          <w:sdtPr>
            <w:rPr>
              <w:szCs w:val="21"/>
            </w:rPr>
            <w:alias w:val="是否适用：母公司其他应收款分类列示其他说明[双击切换]"/>
            <w:tag w:val="_GBC_87c9afe4c5c54a4b93c9b78663bd8bf3"/>
            <w:id w:val="374895250"/>
            <w:lock w:val="sdtLocked"/>
            <w:placeholder>
              <w:docPart w:val="GBC22222222222222222222222222222"/>
            </w:placeholder>
          </w:sdtPr>
          <w:sdtEndPr/>
          <w:sdtContent>
            <w:p w14:paraId="1D9EC3E9"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CE73EB" w14:textId="77777777" w:rsidR="00D21C1F" w:rsidRDefault="00045EC6">
          <w:pPr>
            <w:pStyle w:val="97"/>
          </w:pPr>
        </w:p>
      </w:sdtContent>
    </w:sdt>
    <w:bookmarkEnd w:id="312"/>
    <w:bookmarkEnd w:id="313"/>
    <w:p w14:paraId="0141FA02" w14:textId="77777777" w:rsidR="00D21C1F" w:rsidRDefault="00A42880">
      <w:pPr>
        <w:pStyle w:val="93"/>
        <w:rPr>
          <w:rFonts w:ascii="宋体" w:hAnsi="宋体"/>
        </w:rPr>
      </w:pPr>
      <w:r>
        <w:rPr>
          <w:rFonts w:ascii="宋体" w:hAnsi="宋体" w:hint="eastAsia"/>
        </w:rPr>
        <w:t>应收利息</w:t>
      </w:r>
    </w:p>
    <w:bookmarkStart w:id="314" w:name="_Hlk10547023" w:displacedByCustomXml="next"/>
    <w:bookmarkStart w:id="315" w:name="_Hlk10547033" w:displacedByCustomXml="next"/>
    <w:sdt>
      <w:sdtPr>
        <w:rPr>
          <w:rFonts w:ascii="宋体" w:hAnsi="宋体" w:cs="宋体" w:hint="eastAsia"/>
          <w:b w:val="0"/>
          <w:bCs w:val="0"/>
          <w:kern w:val="0"/>
          <w:szCs w:val="24"/>
        </w:rPr>
        <w:alias w:val="模块:应收利息分类"/>
        <w:tag w:val="_SEC_91e08163b2464f8cb5d135fd131f631f"/>
        <w:id w:val="285315766"/>
        <w:lock w:val="sdtLocked"/>
        <w:placeholder>
          <w:docPart w:val="GBC22222222222222222222222222222"/>
        </w:placeholder>
      </w:sdtPr>
      <w:sdtEndPr/>
      <w:sdtContent>
        <w:p w14:paraId="5B20C71D" w14:textId="77777777" w:rsidR="00D21C1F" w:rsidRDefault="00A42880">
          <w:pPr>
            <w:pStyle w:val="93"/>
            <w:numPr>
              <w:ilvl w:val="3"/>
              <w:numId w:val="150"/>
            </w:numPr>
            <w:ind w:left="426" w:hanging="426"/>
            <w:rPr>
              <w:rFonts w:ascii="宋体" w:hAnsi="宋体"/>
            </w:rPr>
          </w:pPr>
          <w:r>
            <w:rPr>
              <w:rFonts w:ascii="宋体" w:hAnsi="宋体" w:hint="eastAsia"/>
            </w:rPr>
            <w:t>应收利息分类</w:t>
          </w:r>
          <w:bookmarkEnd w:id="314"/>
        </w:p>
        <w:sdt>
          <w:sdtPr>
            <w:alias w:val="是否适用：母公司应收利息分类[双击切换]"/>
            <w:tag w:val="_GBC_7b29d5fc39c94a909c39eedf47c8008f"/>
            <w:id w:val="-1249264984"/>
            <w:lock w:val="sdtLocked"/>
            <w:placeholder>
              <w:docPart w:val="GBC22222222222222222222222222222"/>
            </w:placeholder>
          </w:sdtPr>
          <w:sdtEndPr/>
          <w:sdtContent>
            <w:p w14:paraId="138379B5"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E0CF59" w14:textId="77777777" w:rsidR="00D21C1F" w:rsidRDefault="00A42880">
          <w:pPr>
            <w:jc w:val="right"/>
          </w:pPr>
          <w:r>
            <w:rPr>
              <w:rFonts w:hint="eastAsia"/>
            </w:rPr>
            <w:t>单位：</w:t>
          </w:r>
          <w:sdt>
            <w:sdtPr>
              <w:rPr>
                <w:rFonts w:hint="eastAsia"/>
              </w:rPr>
              <w:alias w:val="单位：母公司应收利息分类"/>
              <w:tag w:val="_GBC_408b4f91762b4062b2ff33bf6cd2f04a"/>
              <w:id w:val="4153748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应收利息分类"/>
              <w:tag w:val="_GBC_d9e4522b2a3a4b999e2ea654ffe832f2"/>
              <w:id w:val="944567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56"/>
            <w:gridCol w:w="3025"/>
            <w:gridCol w:w="3042"/>
          </w:tblGrid>
          <w:tr w:rsidR="00D21C1F" w14:paraId="2FF76FEC" w14:textId="77777777">
            <w:sdt>
              <w:sdtPr>
                <w:tag w:val="_PLD_8f65ffa073004814b7588e5d550e6d55"/>
                <w:id w:val="-111217594"/>
                <w:lock w:val="sdtLocked"/>
              </w:sdtPr>
              <w:sdtEndPr/>
              <w:sdtContent>
                <w:tc>
                  <w:tcPr>
                    <w:tcW w:w="1562" w:type="pct"/>
                  </w:tcPr>
                  <w:p w14:paraId="0C7F64D3" w14:textId="77777777" w:rsidR="00D21C1F" w:rsidRDefault="00A42880">
                    <w:pPr>
                      <w:autoSpaceDE w:val="0"/>
                      <w:autoSpaceDN w:val="0"/>
                      <w:adjustRightInd w:val="0"/>
                      <w:snapToGrid w:val="0"/>
                      <w:spacing w:line="240" w:lineRule="atLeast"/>
                      <w:jc w:val="center"/>
                      <w:rPr>
                        <w:szCs w:val="21"/>
                      </w:rPr>
                    </w:pPr>
                    <w:r>
                      <w:rPr>
                        <w:rFonts w:hint="eastAsia"/>
                        <w:szCs w:val="21"/>
                      </w:rPr>
                      <w:t>项目</w:t>
                    </w:r>
                  </w:p>
                </w:tc>
              </w:sdtContent>
            </w:sdt>
            <w:sdt>
              <w:sdtPr>
                <w:tag w:val="_PLD_8d7c73e7970a4d649b30978c67eac30e"/>
                <w:id w:val="-1727139649"/>
                <w:lock w:val="sdtLocked"/>
              </w:sdtPr>
              <w:sdtEndPr/>
              <w:sdtContent>
                <w:tc>
                  <w:tcPr>
                    <w:tcW w:w="1714" w:type="pct"/>
                  </w:tcPr>
                  <w:p w14:paraId="0E4B9DD0" w14:textId="77777777" w:rsidR="00D21C1F" w:rsidRDefault="00A428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e50ae20c9bb42bab157bb221e1a1d60"/>
                <w:id w:val="1260640981"/>
                <w:lock w:val="sdtLocked"/>
              </w:sdtPr>
              <w:sdtEndPr/>
              <w:sdtContent>
                <w:tc>
                  <w:tcPr>
                    <w:tcW w:w="1724" w:type="pct"/>
                  </w:tcPr>
                  <w:p w14:paraId="05F20005" w14:textId="77777777" w:rsidR="00D21C1F" w:rsidRDefault="00A42880">
                    <w:pPr>
                      <w:autoSpaceDE w:val="0"/>
                      <w:autoSpaceDN w:val="0"/>
                      <w:adjustRightInd w:val="0"/>
                      <w:snapToGrid w:val="0"/>
                      <w:spacing w:line="240" w:lineRule="atLeast"/>
                      <w:jc w:val="center"/>
                      <w:rPr>
                        <w:szCs w:val="21"/>
                      </w:rPr>
                    </w:pPr>
                    <w:r>
                      <w:rPr>
                        <w:rFonts w:hint="eastAsia"/>
                        <w:szCs w:val="21"/>
                      </w:rPr>
                      <w:t>期初余额</w:t>
                    </w:r>
                  </w:p>
                </w:tc>
              </w:sdtContent>
            </w:sdt>
          </w:tr>
          <w:sdt>
            <w:sdtPr>
              <w:rPr>
                <w:rFonts w:hint="eastAsia"/>
                <w:szCs w:val="21"/>
              </w:rPr>
              <w:alias w:val="应收利息明细"/>
              <w:tag w:val="_TUP_982ca42804af4c67affad02172ac76ee"/>
              <w:id w:val="-2106028779"/>
              <w:lock w:val="sdtLocked"/>
            </w:sdtPr>
            <w:sdtEndPr/>
            <w:sdtContent>
              <w:tr w:rsidR="00D21C1F" w14:paraId="4556C053" w14:textId="77777777">
                <w:tc>
                  <w:tcPr>
                    <w:tcW w:w="1562" w:type="pct"/>
                  </w:tcPr>
                  <w:p w14:paraId="428D7BBD" w14:textId="77777777" w:rsidR="00D21C1F" w:rsidRDefault="00A42880">
                    <w:pPr>
                      <w:autoSpaceDE w:val="0"/>
                      <w:autoSpaceDN w:val="0"/>
                      <w:adjustRightInd w:val="0"/>
                      <w:snapToGrid w:val="0"/>
                      <w:spacing w:line="240" w:lineRule="atLeast"/>
                      <w:rPr>
                        <w:szCs w:val="21"/>
                      </w:rPr>
                    </w:pPr>
                    <w:r>
                      <w:rPr>
                        <w:rFonts w:hint="eastAsia"/>
                        <w:szCs w:val="21"/>
                      </w:rPr>
                      <w:t>预付投资款利息</w:t>
                    </w:r>
                  </w:p>
                </w:tc>
                <w:tc>
                  <w:tcPr>
                    <w:tcW w:w="1714" w:type="pct"/>
                  </w:tcPr>
                  <w:p w14:paraId="48D0D4AE" w14:textId="77777777" w:rsidR="00D21C1F" w:rsidRDefault="00A42880">
                    <w:pPr>
                      <w:ind w:rightChars="50" w:right="105"/>
                      <w:jc w:val="right"/>
                      <w:rPr>
                        <w:szCs w:val="21"/>
                      </w:rPr>
                    </w:pPr>
                    <w:r>
                      <w:rPr>
                        <w:rFonts w:ascii="Times New Roman" w:hAnsi="Times New Roman"/>
                      </w:rPr>
                      <w:t>151</w:t>
                    </w:r>
                    <w:r>
                      <w:t>,</w:t>
                    </w:r>
                    <w:r>
                      <w:rPr>
                        <w:rFonts w:ascii="Times New Roman" w:hAnsi="Times New Roman"/>
                      </w:rPr>
                      <w:t>823</w:t>
                    </w:r>
                    <w:r>
                      <w:t>.</w:t>
                    </w:r>
                    <w:r>
                      <w:rPr>
                        <w:rFonts w:ascii="Times New Roman" w:hAnsi="Times New Roman"/>
                      </w:rPr>
                      <w:t>15</w:t>
                    </w:r>
                  </w:p>
                </w:tc>
                <w:tc>
                  <w:tcPr>
                    <w:tcW w:w="1724" w:type="pct"/>
                  </w:tcPr>
                  <w:p w14:paraId="0E7BFAF2" w14:textId="77777777" w:rsidR="00D21C1F" w:rsidRDefault="00A42880">
                    <w:pPr>
                      <w:ind w:rightChars="50" w:right="105"/>
                      <w:jc w:val="right"/>
                      <w:rPr>
                        <w:szCs w:val="21"/>
                      </w:rPr>
                    </w:pPr>
                    <w:r>
                      <w:rPr>
                        <w:rFonts w:ascii="Times New Roman" w:hAnsi="Times New Roman"/>
                      </w:rPr>
                      <w:t>21</w:t>
                    </w:r>
                    <w:r>
                      <w:t>,</w:t>
                    </w:r>
                    <w:r>
                      <w:rPr>
                        <w:rFonts w:ascii="Times New Roman" w:hAnsi="Times New Roman"/>
                      </w:rPr>
                      <w:t>705</w:t>
                    </w:r>
                    <w:r>
                      <w:t>.</w:t>
                    </w:r>
                    <w:r>
                      <w:rPr>
                        <w:rFonts w:ascii="Times New Roman" w:hAnsi="Times New Roman"/>
                      </w:rPr>
                      <w:t>54</w:t>
                    </w:r>
                  </w:p>
                </w:tc>
              </w:tr>
            </w:sdtContent>
          </w:sdt>
          <w:tr w:rsidR="00D21C1F" w14:paraId="43B029C4" w14:textId="77777777">
            <w:sdt>
              <w:sdtPr>
                <w:tag w:val="_PLD_6b8d66cbd97048a6ac7807011ad94717"/>
                <w:id w:val="-1170869949"/>
                <w:lock w:val="sdtLocked"/>
              </w:sdtPr>
              <w:sdtEndPr/>
              <w:sdtContent>
                <w:tc>
                  <w:tcPr>
                    <w:tcW w:w="1562" w:type="pct"/>
                  </w:tcPr>
                  <w:p w14:paraId="2C1D02A6" w14:textId="77777777" w:rsidR="00D21C1F" w:rsidRDefault="00A42880">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vAlign w:val="center"/>
              </w:tcPr>
              <w:p w14:paraId="6FFB739E" w14:textId="77777777" w:rsidR="00D21C1F" w:rsidRDefault="00A42880">
                <w:pPr>
                  <w:ind w:rightChars="50" w:right="105"/>
                  <w:jc w:val="right"/>
                  <w:rPr>
                    <w:szCs w:val="21"/>
                  </w:rPr>
                </w:pPr>
                <w:r>
                  <w:rPr>
                    <w:rFonts w:ascii="Times New Roman" w:hAnsi="Times New Roman"/>
                  </w:rPr>
                  <w:t>151</w:t>
                </w:r>
                <w:r>
                  <w:t>,</w:t>
                </w:r>
                <w:r>
                  <w:rPr>
                    <w:rFonts w:ascii="Times New Roman" w:hAnsi="Times New Roman"/>
                  </w:rPr>
                  <w:t>823</w:t>
                </w:r>
                <w:r>
                  <w:t>.</w:t>
                </w:r>
                <w:r>
                  <w:rPr>
                    <w:rFonts w:ascii="Times New Roman" w:hAnsi="Times New Roman"/>
                  </w:rPr>
                  <w:t>15</w:t>
                </w:r>
              </w:p>
            </w:tc>
            <w:tc>
              <w:tcPr>
                <w:tcW w:w="1724" w:type="pct"/>
                <w:vAlign w:val="center"/>
              </w:tcPr>
              <w:p w14:paraId="1C8F6205" w14:textId="77777777" w:rsidR="00D21C1F" w:rsidRDefault="00A42880">
                <w:pPr>
                  <w:ind w:rightChars="50" w:right="105"/>
                  <w:jc w:val="right"/>
                  <w:rPr>
                    <w:szCs w:val="21"/>
                  </w:rPr>
                </w:pPr>
                <w:r>
                  <w:rPr>
                    <w:rFonts w:ascii="Times New Roman" w:hAnsi="Times New Roman"/>
                  </w:rPr>
                  <w:t>21</w:t>
                </w:r>
                <w:r>
                  <w:t>,</w:t>
                </w:r>
                <w:r>
                  <w:rPr>
                    <w:rFonts w:ascii="Times New Roman" w:hAnsi="Times New Roman"/>
                  </w:rPr>
                  <w:t>705</w:t>
                </w:r>
                <w:r>
                  <w:t>.</w:t>
                </w:r>
                <w:r>
                  <w:rPr>
                    <w:rFonts w:ascii="Times New Roman" w:hAnsi="Times New Roman"/>
                  </w:rPr>
                  <w:t>54</w:t>
                </w:r>
              </w:p>
            </w:tc>
          </w:tr>
        </w:tbl>
        <w:p w14:paraId="583F16C6" w14:textId="77777777" w:rsidR="00D21C1F" w:rsidRDefault="00045EC6">
          <w:pPr>
            <w:pStyle w:val="97"/>
          </w:pPr>
        </w:p>
      </w:sdtContent>
    </w:sdt>
    <w:bookmarkEnd w:id="315" w:displacedByCustomXml="next"/>
    <w:bookmarkStart w:id="316" w:name="_Hlk10547054" w:displacedByCustomXml="next"/>
    <w:bookmarkStart w:id="317" w:name="_Hlk10547064" w:displacedByCustomXml="next"/>
    <w:sdt>
      <w:sdtPr>
        <w:rPr>
          <w:rFonts w:ascii="宋体" w:hAnsi="宋体" w:cs="宋体" w:hint="eastAsia"/>
          <w:b w:val="0"/>
          <w:bCs w:val="0"/>
          <w:kern w:val="0"/>
          <w:szCs w:val="24"/>
        </w:rPr>
        <w:alias w:val="模块:重要逾期利息"/>
        <w:tag w:val="_SEC_e80bd789f30b40de829902e04129ef49"/>
        <w:id w:val="-548992592"/>
        <w:lock w:val="sdtLocked"/>
        <w:placeholder>
          <w:docPart w:val="GBC22222222222222222222222222222"/>
        </w:placeholder>
      </w:sdtPr>
      <w:sdtEndPr>
        <w:rPr>
          <w:rFonts w:hint="default"/>
        </w:rPr>
      </w:sdtEndPr>
      <w:sdtContent>
        <w:p w14:paraId="07598A37" w14:textId="77777777" w:rsidR="00D21C1F" w:rsidRDefault="00A42880">
          <w:pPr>
            <w:pStyle w:val="93"/>
            <w:numPr>
              <w:ilvl w:val="3"/>
              <w:numId w:val="150"/>
            </w:numPr>
            <w:ind w:left="426" w:hanging="426"/>
            <w:rPr>
              <w:rFonts w:ascii="宋体" w:hAnsi="宋体"/>
            </w:rPr>
          </w:pPr>
          <w:r>
            <w:rPr>
              <w:rFonts w:ascii="宋体" w:hAnsi="宋体" w:hint="eastAsia"/>
            </w:rPr>
            <w:t>重要逾期利息</w:t>
          </w:r>
          <w:bookmarkEnd w:id="316"/>
        </w:p>
        <w:sdt>
          <w:sdtPr>
            <w:alias w:val="是否适用：母公司重要逾期利息[双击切换]"/>
            <w:tag w:val="_GBC_2527ddfc737d4b8c8fa3ca7d6387408d"/>
            <w:id w:val="-1563934037"/>
            <w:lock w:val="sdtLocked"/>
            <w:placeholder>
              <w:docPart w:val="GBC22222222222222222222222222222"/>
            </w:placeholder>
          </w:sdtPr>
          <w:sdtEndPr/>
          <w:sdtContent>
            <w:p w14:paraId="1118231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17" w:displacedByCustomXml="next"/>
    <w:bookmarkStart w:id="318" w:name="_Hlk10547083" w:displacedByCustomXml="next"/>
    <w:bookmarkStart w:id="319" w:name="_Hlk10547096" w:displacedByCustomXml="next"/>
    <w:sdt>
      <w:sdtPr>
        <w:rPr>
          <w:rFonts w:ascii="宋体" w:hAnsi="宋体" w:cs="宋体" w:hint="eastAsia"/>
          <w:b w:val="0"/>
          <w:bCs w:val="0"/>
          <w:kern w:val="0"/>
          <w:szCs w:val="24"/>
        </w:rPr>
        <w:alias w:val="模块:坏账准备计提情况"/>
        <w:tag w:val="_SEC_ce38368754b54030878f7a4b3d48648e"/>
        <w:id w:val="-1082682292"/>
        <w:lock w:val="sdtLocked"/>
        <w:placeholder>
          <w:docPart w:val="GBC22222222222222222222222222222"/>
        </w:placeholder>
      </w:sdtPr>
      <w:sdtEndPr>
        <w:rPr>
          <w:rFonts w:hint="default"/>
        </w:rPr>
      </w:sdtEndPr>
      <w:sdtContent>
        <w:p w14:paraId="66080625" w14:textId="77777777" w:rsidR="00D21C1F" w:rsidRDefault="00A42880">
          <w:pPr>
            <w:pStyle w:val="93"/>
            <w:numPr>
              <w:ilvl w:val="3"/>
              <w:numId w:val="150"/>
            </w:numPr>
            <w:ind w:left="426" w:hanging="426"/>
            <w:rPr>
              <w:rFonts w:ascii="宋体" w:hAnsi="宋体"/>
            </w:rPr>
          </w:pPr>
          <w:r>
            <w:rPr>
              <w:rFonts w:ascii="宋体" w:hAnsi="宋体" w:cs="宋体" w:hint="eastAsia"/>
              <w:bCs w:val="0"/>
              <w:kern w:val="0"/>
              <w:szCs w:val="24"/>
            </w:rPr>
            <w:t>坏账准备计提情况</w:t>
          </w:r>
          <w:bookmarkEnd w:id="318"/>
        </w:p>
        <w:sdt>
          <w:sdtPr>
            <w:rPr>
              <w:szCs w:val="21"/>
            </w:rPr>
            <w:alias w:val="是否适用：母公司应收利息坏账准备调节表[双击切换]"/>
            <w:tag w:val="_GBC_051d1f4329834464b99226954bb8040d"/>
            <w:id w:val="7033935"/>
            <w:lock w:val="sdtLocked"/>
            <w:placeholder>
              <w:docPart w:val="GBC22222222222222222222222222222"/>
            </w:placeholder>
          </w:sdtPr>
          <w:sdtEndPr/>
          <w:sdtContent>
            <w:p w14:paraId="5CE0A7E2"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19" w:displacedByCustomXml="next"/>
    <w:bookmarkStart w:id="320" w:name="_Hlk10547119" w:displacedByCustomXml="next"/>
    <w:bookmarkStart w:id="321" w:name="_Hlk10547128" w:displacedByCustomXml="next"/>
    <w:sdt>
      <w:sdtPr>
        <w:rPr>
          <w:rFonts w:eastAsia="宋体" w:hint="eastAsia"/>
        </w:rPr>
        <w:alias w:val="模块:其他说明："/>
        <w:tag w:val="_SEC_ad2b0daa52af481d8a56e5f8f2ccc52e"/>
        <w:id w:val="1080556476"/>
        <w:lock w:val="sdtLocked"/>
        <w:placeholder>
          <w:docPart w:val="GBC22222222222222222222222222222"/>
        </w:placeholder>
      </w:sdtPr>
      <w:sdtEndPr>
        <w:rPr>
          <w:rFonts w:hint="default"/>
        </w:rPr>
      </w:sdtEndPr>
      <w:sdtContent>
        <w:p w14:paraId="31957F44" w14:textId="77777777" w:rsidR="00D21C1F" w:rsidRDefault="00A42880">
          <w:pPr>
            <w:pStyle w:val="97"/>
          </w:pPr>
          <w:r>
            <w:rPr>
              <w:rFonts w:hint="eastAsia"/>
            </w:rPr>
            <w:t>其他说明：</w:t>
          </w:r>
          <w:bookmarkEnd w:id="320"/>
        </w:p>
        <w:sdt>
          <w:sdtPr>
            <w:rPr>
              <w:szCs w:val="21"/>
            </w:rPr>
            <w:alias w:val="是否适用：母公司应收利息其他说明[双击切换]"/>
            <w:tag w:val="_GBC_936c374258514f469f2c9bb36b889c43"/>
            <w:id w:val="-1828208192"/>
            <w:lock w:val="sdtLocked"/>
            <w:placeholder>
              <w:docPart w:val="GBC22222222222222222222222222222"/>
            </w:placeholder>
          </w:sdtPr>
          <w:sdtEndPr/>
          <w:sdtContent>
            <w:p w14:paraId="4F401856"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21"/>
    <w:p w14:paraId="68F283C4" w14:textId="77777777" w:rsidR="00D21C1F" w:rsidRDefault="00A42880">
      <w:pPr>
        <w:pStyle w:val="93"/>
        <w:rPr>
          <w:rFonts w:ascii="宋体" w:hAnsi="宋体"/>
        </w:rPr>
      </w:pPr>
      <w:r>
        <w:rPr>
          <w:rFonts w:ascii="宋体" w:hAnsi="宋体" w:hint="eastAsia"/>
        </w:rPr>
        <w:t>应收股利</w:t>
      </w:r>
    </w:p>
    <w:bookmarkStart w:id="322" w:name="_Hlk10547160" w:displacedByCustomXml="next"/>
    <w:bookmarkStart w:id="323" w:name="_Hlk10547171" w:displacedByCustomXml="next"/>
    <w:sdt>
      <w:sdtPr>
        <w:rPr>
          <w:rFonts w:ascii="宋体" w:hAnsi="宋体" w:cs="宋体" w:hint="eastAsia"/>
          <w:b w:val="0"/>
          <w:bCs w:val="0"/>
          <w:kern w:val="0"/>
          <w:szCs w:val="24"/>
        </w:rPr>
        <w:alias w:val="模块:应收股利"/>
        <w:tag w:val="_SEC_18f0cc3557ff45749d07d7a27d7c9620"/>
        <w:id w:val="1979798677"/>
        <w:lock w:val="sdtLocked"/>
        <w:placeholder>
          <w:docPart w:val="GBC22222222222222222222222222222"/>
        </w:placeholder>
      </w:sdtPr>
      <w:sdtEndPr/>
      <w:sdtContent>
        <w:p w14:paraId="3AB5DEF4" w14:textId="77777777" w:rsidR="00D21C1F" w:rsidRDefault="00A42880">
          <w:pPr>
            <w:pStyle w:val="93"/>
            <w:numPr>
              <w:ilvl w:val="3"/>
              <w:numId w:val="150"/>
            </w:numPr>
            <w:ind w:left="426" w:hanging="426"/>
            <w:rPr>
              <w:rFonts w:ascii="宋体" w:hAnsi="宋体"/>
            </w:rPr>
          </w:pPr>
          <w:r>
            <w:rPr>
              <w:rFonts w:ascii="宋体" w:hAnsi="宋体" w:hint="eastAsia"/>
            </w:rPr>
            <w:t>应收股利</w:t>
          </w:r>
          <w:bookmarkEnd w:id="322"/>
        </w:p>
        <w:sdt>
          <w:sdtPr>
            <w:alias w:val="是否适用：母公司应收股利[双击切换]"/>
            <w:tag w:val="_GBC_3f36acb68ddd426b990a146c5c14da80"/>
            <w:id w:val="-1196844536"/>
            <w:lock w:val="sdtLocked"/>
            <w:placeholder>
              <w:docPart w:val="GBC22222222222222222222222222222"/>
            </w:placeholder>
          </w:sdtPr>
          <w:sdtEndPr/>
          <w:sdtContent>
            <w:p w14:paraId="6E370DE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23" w:displacedByCustomXml="next"/>
    <w:bookmarkStart w:id="324" w:name="_Hlk10547188" w:displacedByCustomXml="next"/>
    <w:bookmarkStart w:id="325"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2002341982"/>
        <w:lock w:val="sdtLocked"/>
        <w:placeholder>
          <w:docPart w:val="GBC22222222222222222222222222222"/>
        </w:placeholder>
      </w:sdtPr>
      <w:sdtEndPr>
        <w:rPr>
          <w:rFonts w:hint="default"/>
        </w:rPr>
      </w:sdtEndPr>
      <w:sdtContent>
        <w:p w14:paraId="511E54C0" w14:textId="77777777" w:rsidR="00D21C1F" w:rsidRDefault="00A42880">
          <w:pPr>
            <w:pStyle w:val="93"/>
            <w:numPr>
              <w:ilvl w:val="3"/>
              <w:numId w:val="150"/>
            </w:numPr>
            <w:ind w:left="426" w:hanging="426"/>
            <w:rPr>
              <w:rFonts w:ascii="宋体" w:hAnsi="宋体"/>
            </w:rPr>
          </w:pPr>
          <w:r>
            <w:rPr>
              <w:rFonts w:ascii="宋体" w:hAnsi="宋体" w:hint="eastAsia"/>
            </w:rPr>
            <w:t>重要的账龄超过</w:t>
          </w:r>
          <w:r>
            <w:rPr>
              <w:rFonts w:ascii="Times New Roman" w:hAnsi="Times New Roman" w:hint="eastAsia"/>
            </w:rPr>
            <w:t>1</w:t>
          </w:r>
          <w:r>
            <w:rPr>
              <w:rFonts w:ascii="宋体" w:hAnsi="宋体" w:hint="eastAsia"/>
            </w:rPr>
            <w:t>年的应收股利</w:t>
          </w:r>
          <w:bookmarkEnd w:id="324"/>
        </w:p>
        <w:sdt>
          <w:sdtPr>
            <w:rPr>
              <w:szCs w:val="21"/>
            </w:rPr>
            <w:alias w:val="是否适用：母公司重要的账龄超过1年的应收股利[双击切换]"/>
            <w:tag w:val="_GBC_5ce593c40926400393bed620009e5006"/>
            <w:id w:val="848220511"/>
            <w:lock w:val="sdtLocked"/>
            <w:placeholder>
              <w:docPart w:val="GBC22222222222222222222222222222"/>
            </w:placeholder>
          </w:sdtPr>
          <w:sdtEndPr/>
          <w:sdtContent>
            <w:p w14:paraId="13A63C2B" w14:textId="77777777" w:rsidR="00D21C1F" w:rsidRDefault="00A42880">
              <w:pPr>
                <w:pStyle w:val="97"/>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25" w:displacedByCustomXml="next"/>
    <w:bookmarkStart w:id="326" w:name="_Hlk10547212" w:displacedByCustomXml="next"/>
    <w:bookmarkStart w:id="327" w:name="_Hlk10547224" w:displacedByCustomXml="next"/>
    <w:sdt>
      <w:sdtPr>
        <w:rPr>
          <w:rFonts w:ascii="宋体" w:hAnsi="宋体" w:cs="宋体" w:hint="eastAsia"/>
          <w:b w:val="0"/>
          <w:bCs w:val="0"/>
          <w:kern w:val="0"/>
          <w:szCs w:val="24"/>
        </w:rPr>
        <w:alias w:val="模块:坏账准备计提情况"/>
        <w:tag w:val="_SEC_3d41530a7b3d408cbfe627f818ea914c"/>
        <w:id w:val="1894620085"/>
        <w:lock w:val="sdtLocked"/>
        <w:placeholder>
          <w:docPart w:val="GBC22222222222222222222222222222"/>
        </w:placeholder>
      </w:sdtPr>
      <w:sdtEndPr>
        <w:rPr>
          <w:rFonts w:hint="default"/>
        </w:rPr>
      </w:sdtEndPr>
      <w:sdtContent>
        <w:p w14:paraId="6B5EFF1B" w14:textId="77777777" w:rsidR="00D21C1F" w:rsidRDefault="00A42880">
          <w:pPr>
            <w:pStyle w:val="93"/>
            <w:numPr>
              <w:ilvl w:val="3"/>
              <w:numId w:val="150"/>
            </w:numPr>
            <w:ind w:left="426" w:hanging="426"/>
            <w:rPr>
              <w:rFonts w:ascii="宋体" w:hAnsi="宋体"/>
            </w:rPr>
          </w:pPr>
          <w:r>
            <w:rPr>
              <w:rFonts w:ascii="宋体" w:hAnsi="宋体" w:cs="宋体" w:hint="eastAsia"/>
              <w:bCs w:val="0"/>
              <w:kern w:val="0"/>
              <w:szCs w:val="24"/>
            </w:rPr>
            <w:t>坏账准备计提情况</w:t>
          </w:r>
          <w:bookmarkEnd w:id="326"/>
        </w:p>
        <w:sdt>
          <w:sdtPr>
            <w:alias w:val="是否适用：母公司应收股利坏账准备调节表[双击切换]"/>
            <w:tag w:val="_GBC_9d130aecb6cb4874ac083fcdce5ee739"/>
            <w:id w:val="1348906782"/>
            <w:lock w:val="sdtLocked"/>
            <w:placeholder>
              <w:docPart w:val="GBC22222222222222222222222222222"/>
            </w:placeholder>
          </w:sdtPr>
          <w:sdtEndPr/>
          <w:sdtContent>
            <w:p w14:paraId="366DA59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27" w:displacedByCustomXml="next"/>
    <w:bookmarkStart w:id="328" w:name="_Hlk10547234" w:displacedByCustomXml="next"/>
    <w:bookmarkStart w:id="329" w:name="_Hlk10547244" w:displacedByCustomXml="next"/>
    <w:sdt>
      <w:sdtPr>
        <w:rPr>
          <w:rFonts w:eastAsiaTheme="minorEastAsia" w:hint="eastAsia"/>
          <w:szCs w:val="21"/>
        </w:rPr>
        <w:alias w:val="模块:其他说明："/>
        <w:tag w:val="_SEC_2b03a6eb53a24c76a6dc28f0478009f2"/>
        <w:id w:val="-1250658520"/>
        <w:lock w:val="sdtLocked"/>
        <w:placeholder>
          <w:docPart w:val="GBC22222222222222222222222222222"/>
        </w:placeholder>
      </w:sdtPr>
      <w:sdtEndPr>
        <w:rPr>
          <w:rFonts w:hint="default"/>
          <w:szCs w:val="24"/>
        </w:rPr>
      </w:sdtEndPr>
      <w:sdtContent>
        <w:p w14:paraId="2775A822" w14:textId="77777777" w:rsidR="00D21C1F" w:rsidRDefault="00A42880">
          <w:pPr>
            <w:rPr>
              <w:szCs w:val="21"/>
            </w:rPr>
          </w:pPr>
          <w:r>
            <w:rPr>
              <w:rFonts w:hint="eastAsia"/>
              <w:szCs w:val="21"/>
            </w:rPr>
            <w:t>其他说明：</w:t>
          </w:r>
          <w:bookmarkEnd w:id="328"/>
        </w:p>
        <w:sdt>
          <w:sdtPr>
            <w:rPr>
              <w:szCs w:val="21"/>
            </w:rPr>
            <w:alias w:val="是否适用：母公司应收股利其他说明[双击切换]"/>
            <w:tag w:val="_GBC_79a2eb8844e84fe3b78bb5ffcf2a57d5"/>
            <w:id w:val="-888640798"/>
            <w:lock w:val="sdtLocked"/>
            <w:placeholder>
              <w:docPart w:val="GBC22222222222222222222222222222"/>
            </w:placeholder>
          </w:sdtPr>
          <w:sdtEndPr/>
          <w:sdtContent>
            <w:p w14:paraId="67BFEEE0"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3BEF00" w14:textId="77777777" w:rsidR="00D21C1F" w:rsidRDefault="00045EC6">
          <w:pPr>
            <w:pStyle w:val="97"/>
          </w:pPr>
        </w:p>
      </w:sdtContent>
    </w:sdt>
    <w:bookmarkEnd w:id="329"/>
    <w:p w14:paraId="1B4CB4DC" w14:textId="77777777" w:rsidR="00D21C1F" w:rsidRDefault="00A42880">
      <w:pPr>
        <w:pStyle w:val="93"/>
        <w:rPr>
          <w:rFonts w:ascii="宋体" w:hAnsi="宋体"/>
        </w:rPr>
      </w:pPr>
      <w:r>
        <w:rPr>
          <w:rFonts w:ascii="宋体" w:hAnsi="宋体" w:hint="eastAsia"/>
        </w:rPr>
        <w:t>其他应收款</w:t>
      </w:r>
    </w:p>
    <w:sdt>
      <w:sdtPr>
        <w:rPr>
          <w:rFonts w:ascii="宋体" w:eastAsia="宋体" w:hAnsi="宋体" w:cs="宋体"/>
          <w:b w:val="0"/>
          <w:bCs w:val="0"/>
          <w:kern w:val="0"/>
          <w:szCs w:val="21"/>
        </w:rPr>
        <w:alias w:val="模块:组合中，按账龄分析法计提坏账准备的其他应收款"/>
        <w:tag w:val="_GBC_7633445fb4f445e9a99e716971900a22"/>
        <w:id w:val="791096668"/>
        <w:lock w:val="sdtLocked"/>
        <w:placeholder>
          <w:docPart w:val="GBC22222222222222222222222222222"/>
        </w:placeholder>
      </w:sdtPr>
      <w:sdtEndPr/>
      <w:sdtContent>
        <w:p w14:paraId="68C317F0" w14:textId="77777777" w:rsidR="00D21C1F" w:rsidRDefault="00A42880">
          <w:pPr>
            <w:pStyle w:val="93"/>
            <w:numPr>
              <w:ilvl w:val="3"/>
              <w:numId w:val="150"/>
            </w:numPr>
            <w:ind w:left="426" w:hanging="426"/>
            <w:rPr>
              <w:rFonts w:ascii="宋体" w:hAnsi="宋体"/>
              <w:szCs w:val="21"/>
            </w:rPr>
          </w:pPr>
          <w:r>
            <w:rPr>
              <w:rFonts w:ascii="宋体" w:hAnsi="宋体" w:hint="eastAsia"/>
              <w:szCs w:val="21"/>
            </w:rPr>
            <w:t>按账龄披露</w:t>
          </w:r>
        </w:p>
        <w:p w14:paraId="1F7A3EFC" w14:textId="77777777" w:rsidR="00D21C1F" w:rsidRDefault="00045EC6">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670864962"/>
              <w:lock w:val="sdtLocked"/>
              <w:placeholder>
                <w:docPart w:val="GBC22222222222222222222222222222"/>
              </w:placeholder>
            </w:sdtPr>
            <w:sdtEndPr/>
            <w:sdtContent>
              <w:r w:rsidR="00A42880">
                <w:rPr>
                  <w:szCs w:val="21"/>
                </w:rPr>
                <w:fldChar w:fldCharType="begin"/>
              </w:r>
              <w:r w:rsidR="00A42880">
                <w:rPr>
                  <w:szCs w:val="21"/>
                </w:rPr>
                <w:instrText>MACROBUTTON  SnrToggleCheckbox √适用</w:instrText>
              </w:r>
              <w:r w:rsidR="00A42880">
                <w:rPr>
                  <w:szCs w:val="21"/>
                </w:rPr>
                <w:fldChar w:fldCharType="end"/>
              </w:r>
              <w:r w:rsidR="00A42880">
                <w:rPr>
                  <w:szCs w:val="21"/>
                </w:rPr>
                <w:fldChar w:fldCharType="begin"/>
              </w:r>
              <w:r w:rsidR="00A42880">
                <w:rPr>
                  <w:szCs w:val="21"/>
                </w:rPr>
                <w:instrText xml:space="preserve"> MACROBUTTON  SnrToggleCheckbox □不适用 </w:instrText>
              </w:r>
              <w:r w:rsidR="00A42880">
                <w:rPr>
                  <w:szCs w:val="21"/>
                </w:rPr>
                <w:fldChar w:fldCharType="end"/>
              </w:r>
            </w:sdtContent>
          </w:sdt>
        </w:p>
        <w:p w14:paraId="2FCF197F" w14:textId="77777777" w:rsidR="00D21C1F" w:rsidRDefault="00A42880">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8499389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单项金额不重大但按信用风险特征组合后该组合的风险较大的其他应收账款"/>
              <w:tag w:val="_GBC_f568e72906c2467eaad01f9cc2c58e38"/>
              <w:id w:val="-824744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3557"/>
          </w:tblGrid>
          <w:tr w:rsidR="00D21C1F" w14:paraId="341DE9C5" w14:textId="77777777">
            <w:trPr>
              <w:trHeight w:val="273"/>
              <w:jc w:val="center"/>
            </w:trPr>
            <w:sdt>
              <w:sdtPr>
                <w:tag w:val="_PLD_ea421152d78d40388e20d700f11c5b7c"/>
                <w:id w:val="-1425956410"/>
                <w:lock w:val="sdtLocked"/>
              </w:sdtPr>
              <w:sdtEndPr/>
              <w:sdtContent>
                <w:tc>
                  <w:tcPr>
                    <w:tcW w:w="2984" w:type="pct"/>
                    <w:tcBorders>
                      <w:bottom w:val="single" w:sz="4" w:space="0" w:color="auto"/>
                    </w:tcBorders>
                    <w:shd w:val="clear" w:color="auto" w:fill="auto"/>
                    <w:vAlign w:val="center"/>
                  </w:tcPr>
                  <w:p w14:paraId="3711EFB5" w14:textId="77777777" w:rsidR="00D21C1F" w:rsidRDefault="00A42880">
                    <w:pPr>
                      <w:jc w:val="center"/>
                      <w:rPr>
                        <w:szCs w:val="21"/>
                      </w:rPr>
                    </w:pPr>
                    <w:r>
                      <w:rPr>
                        <w:szCs w:val="21"/>
                      </w:rPr>
                      <w:t>账龄</w:t>
                    </w:r>
                  </w:p>
                </w:tc>
              </w:sdtContent>
            </w:sdt>
            <w:sdt>
              <w:sdtPr>
                <w:tag w:val="_PLD_041d6c971e464a898746e2aa12807b27"/>
                <w:id w:val="2119099726"/>
                <w:lock w:val="sdtLocked"/>
              </w:sdtPr>
              <w:sdtEndPr/>
              <w:sdtContent>
                <w:tc>
                  <w:tcPr>
                    <w:tcW w:w="2016" w:type="pct"/>
                    <w:tcBorders>
                      <w:bottom w:val="single" w:sz="4" w:space="0" w:color="auto"/>
                    </w:tcBorders>
                    <w:shd w:val="clear" w:color="auto" w:fill="auto"/>
                    <w:vAlign w:val="center"/>
                  </w:tcPr>
                  <w:p w14:paraId="4625D309" w14:textId="77777777" w:rsidR="00D21C1F" w:rsidRDefault="00A42880">
                    <w:pPr>
                      <w:jc w:val="center"/>
                      <w:rPr>
                        <w:szCs w:val="21"/>
                      </w:rPr>
                    </w:pPr>
                    <w:r>
                      <w:rPr>
                        <w:szCs w:val="21"/>
                      </w:rPr>
                      <w:t>期末</w:t>
                    </w:r>
                    <w:r>
                      <w:rPr>
                        <w:rFonts w:hint="eastAsia"/>
                        <w:szCs w:val="21"/>
                      </w:rPr>
                      <w:t>账面</w:t>
                    </w:r>
                    <w:r>
                      <w:rPr>
                        <w:szCs w:val="21"/>
                      </w:rPr>
                      <w:t>余额</w:t>
                    </w:r>
                  </w:p>
                </w:tc>
              </w:sdtContent>
            </w:sdt>
          </w:tr>
          <w:tr w:rsidR="00D21C1F" w14:paraId="7389D8AC" w14:textId="77777777">
            <w:trPr>
              <w:jc w:val="center"/>
            </w:trPr>
            <w:sdt>
              <w:sdtPr>
                <w:rPr>
                  <w:rFonts w:ascii="Times New Roman" w:hAnsi="Times New Roman" w:cs="Times New Roman"/>
                </w:rPr>
                <w:tag w:val="_PLD_2003791af21f466bb07049d42fca0a81"/>
                <w:id w:val="1100296793"/>
                <w:lock w:val="sdtLocked"/>
              </w:sdtPr>
              <w:sdtEndPr/>
              <w:sdtContent>
                <w:tc>
                  <w:tcPr>
                    <w:tcW w:w="2984" w:type="pct"/>
                    <w:shd w:val="clear" w:color="auto" w:fill="auto"/>
                  </w:tcPr>
                  <w:p w14:paraId="7A9DFAD0" w14:textId="77777777" w:rsidR="00D21C1F" w:rsidRPr="00DD0B1B" w:rsidRDefault="00A42880">
                    <w:pPr>
                      <w:rPr>
                        <w:rFonts w:ascii="Times New Roman" w:hAnsi="Times New Roman" w:cs="Times New Roman"/>
                        <w:szCs w:val="21"/>
                      </w:rPr>
                    </w:pPr>
                    <w:r w:rsidRPr="00DD0B1B">
                      <w:rPr>
                        <w:rFonts w:ascii="Times New Roman" w:hAnsi="Times New Roman" w:cs="Times New Roman"/>
                        <w:szCs w:val="21"/>
                      </w:rPr>
                      <w:t>1</w:t>
                    </w:r>
                    <w:r w:rsidRPr="00DD0B1B">
                      <w:rPr>
                        <w:rFonts w:ascii="Times New Roman" w:hAnsi="Times New Roman" w:cs="Times New Roman"/>
                        <w:szCs w:val="21"/>
                      </w:rPr>
                      <w:t>年以内小计</w:t>
                    </w:r>
                  </w:p>
                </w:tc>
              </w:sdtContent>
            </w:sdt>
            <w:tc>
              <w:tcPr>
                <w:tcW w:w="2016" w:type="pct"/>
                <w:shd w:val="clear" w:color="auto" w:fill="auto"/>
                <w:vAlign w:val="center"/>
              </w:tcPr>
              <w:p w14:paraId="19ABEC02"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107,860,081.51</w:t>
                </w:r>
              </w:p>
            </w:tc>
          </w:tr>
          <w:tr w:rsidR="00D21C1F" w14:paraId="270F5569" w14:textId="77777777">
            <w:trPr>
              <w:jc w:val="center"/>
            </w:trPr>
            <w:sdt>
              <w:sdtPr>
                <w:rPr>
                  <w:rFonts w:ascii="Times New Roman" w:hAnsi="Times New Roman" w:cs="Times New Roman"/>
                </w:rPr>
                <w:tag w:val="_PLD_95c5c36c109842ad8ca939ca66051b89"/>
                <w:id w:val="-1097016057"/>
                <w:lock w:val="sdtLocked"/>
              </w:sdtPr>
              <w:sdtEndPr/>
              <w:sdtContent>
                <w:tc>
                  <w:tcPr>
                    <w:tcW w:w="2984" w:type="pct"/>
                    <w:shd w:val="clear" w:color="auto" w:fill="auto"/>
                  </w:tcPr>
                  <w:p w14:paraId="0A4A376C" w14:textId="77777777" w:rsidR="00D21C1F" w:rsidRPr="00DD0B1B" w:rsidRDefault="00A42880">
                    <w:pPr>
                      <w:rPr>
                        <w:rFonts w:ascii="Times New Roman" w:hAnsi="Times New Roman" w:cs="Times New Roman"/>
                        <w:szCs w:val="21"/>
                      </w:rPr>
                    </w:pPr>
                    <w:r w:rsidRPr="00DD0B1B">
                      <w:rPr>
                        <w:rFonts w:ascii="Times New Roman" w:hAnsi="Times New Roman" w:cs="Times New Roman"/>
                        <w:szCs w:val="21"/>
                      </w:rPr>
                      <w:t>1</w:t>
                    </w:r>
                    <w:r w:rsidRPr="00DD0B1B">
                      <w:rPr>
                        <w:rFonts w:ascii="Times New Roman" w:hAnsi="Times New Roman" w:cs="Times New Roman"/>
                        <w:szCs w:val="21"/>
                      </w:rPr>
                      <w:t>至</w:t>
                    </w:r>
                    <w:r w:rsidRPr="00DD0B1B">
                      <w:rPr>
                        <w:rFonts w:ascii="Times New Roman" w:hAnsi="Times New Roman" w:cs="Times New Roman"/>
                        <w:szCs w:val="21"/>
                      </w:rPr>
                      <w:t>2</w:t>
                    </w:r>
                    <w:r w:rsidRPr="00DD0B1B">
                      <w:rPr>
                        <w:rFonts w:ascii="Times New Roman" w:hAnsi="Times New Roman" w:cs="Times New Roman"/>
                        <w:szCs w:val="21"/>
                      </w:rPr>
                      <w:t>年</w:t>
                    </w:r>
                  </w:p>
                </w:tc>
              </w:sdtContent>
            </w:sdt>
            <w:tc>
              <w:tcPr>
                <w:tcW w:w="2016" w:type="pct"/>
                <w:shd w:val="clear" w:color="auto" w:fill="auto"/>
                <w:vAlign w:val="center"/>
              </w:tcPr>
              <w:p w14:paraId="5C3CE44D"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58,400,678.12</w:t>
                </w:r>
              </w:p>
            </w:tc>
          </w:tr>
          <w:tr w:rsidR="00D21C1F" w14:paraId="544392C1" w14:textId="77777777">
            <w:trPr>
              <w:jc w:val="center"/>
            </w:trPr>
            <w:sdt>
              <w:sdtPr>
                <w:rPr>
                  <w:rFonts w:ascii="Times New Roman" w:hAnsi="Times New Roman" w:cs="Times New Roman"/>
                </w:rPr>
                <w:tag w:val="_PLD_95bded3dfef44f398326fefdfdfa13a1"/>
                <w:id w:val="-1259217693"/>
                <w:lock w:val="sdtLocked"/>
              </w:sdtPr>
              <w:sdtEndPr/>
              <w:sdtContent>
                <w:tc>
                  <w:tcPr>
                    <w:tcW w:w="2984" w:type="pct"/>
                    <w:shd w:val="clear" w:color="auto" w:fill="auto"/>
                  </w:tcPr>
                  <w:p w14:paraId="124C6527" w14:textId="77777777" w:rsidR="00D21C1F" w:rsidRPr="00DD0B1B" w:rsidRDefault="00A42880">
                    <w:pPr>
                      <w:rPr>
                        <w:rFonts w:ascii="Times New Roman" w:hAnsi="Times New Roman" w:cs="Times New Roman"/>
                        <w:szCs w:val="21"/>
                      </w:rPr>
                    </w:pPr>
                    <w:r w:rsidRPr="00DD0B1B">
                      <w:rPr>
                        <w:rFonts w:ascii="Times New Roman" w:hAnsi="Times New Roman" w:cs="Times New Roman"/>
                        <w:szCs w:val="21"/>
                      </w:rPr>
                      <w:t>2</w:t>
                    </w:r>
                    <w:r w:rsidRPr="00DD0B1B">
                      <w:rPr>
                        <w:rFonts w:ascii="Times New Roman" w:hAnsi="Times New Roman" w:cs="Times New Roman"/>
                        <w:szCs w:val="21"/>
                      </w:rPr>
                      <w:t>至</w:t>
                    </w:r>
                    <w:r w:rsidRPr="00DD0B1B">
                      <w:rPr>
                        <w:rFonts w:ascii="Times New Roman" w:hAnsi="Times New Roman" w:cs="Times New Roman"/>
                        <w:szCs w:val="21"/>
                      </w:rPr>
                      <w:t>3</w:t>
                    </w:r>
                    <w:r w:rsidRPr="00DD0B1B">
                      <w:rPr>
                        <w:rFonts w:ascii="Times New Roman" w:hAnsi="Times New Roman" w:cs="Times New Roman"/>
                        <w:szCs w:val="21"/>
                      </w:rPr>
                      <w:t>年</w:t>
                    </w:r>
                  </w:p>
                </w:tc>
              </w:sdtContent>
            </w:sdt>
            <w:tc>
              <w:tcPr>
                <w:tcW w:w="2016" w:type="pct"/>
                <w:shd w:val="clear" w:color="auto" w:fill="auto"/>
                <w:vAlign w:val="center"/>
              </w:tcPr>
              <w:p w14:paraId="17D15200"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29,016,541.60</w:t>
                </w:r>
              </w:p>
            </w:tc>
          </w:tr>
          <w:tr w:rsidR="00D21C1F" w14:paraId="01BCF893" w14:textId="77777777">
            <w:trPr>
              <w:jc w:val="center"/>
            </w:trPr>
            <w:sdt>
              <w:sdtPr>
                <w:rPr>
                  <w:rFonts w:ascii="Times New Roman" w:hAnsi="Times New Roman" w:cs="Times New Roman"/>
                </w:rPr>
                <w:tag w:val="_PLD_f2ed966c1e274f61b24a1143926bf921"/>
                <w:id w:val="1340745548"/>
                <w:lock w:val="sdtLocked"/>
              </w:sdtPr>
              <w:sdtEndPr/>
              <w:sdtContent>
                <w:tc>
                  <w:tcPr>
                    <w:tcW w:w="2984" w:type="pct"/>
                    <w:shd w:val="clear" w:color="auto" w:fill="auto"/>
                  </w:tcPr>
                  <w:p w14:paraId="3F61DE44" w14:textId="77777777" w:rsidR="00D21C1F" w:rsidRPr="00DD0B1B" w:rsidRDefault="00A42880">
                    <w:pPr>
                      <w:rPr>
                        <w:rFonts w:ascii="Times New Roman" w:hAnsi="Times New Roman" w:cs="Times New Roman"/>
                        <w:szCs w:val="21"/>
                      </w:rPr>
                    </w:pPr>
                    <w:r w:rsidRPr="00DD0B1B">
                      <w:rPr>
                        <w:rFonts w:ascii="Times New Roman" w:hAnsi="Times New Roman" w:cs="Times New Roman"/>
                        <w:szCs w:val="21"/>
                      </w:rPr>
                      <w:t>3</w:t>
                    </w:r>
                    <w:r w:rsidRPr="00DD0B1B">
                      <w:rPr>
                        <w:rFonts w:ascii="Times New Roman" w:hAnsi="Times New Roman" w:cs="Times New Roman"/>
                        <w:szCs w:val="21"/>
                      </w:rPr>
                      <w:t>至</w:t>
                    </w:r>
                    <w:r w:rsidRPr="00DD0B1B">
                      <w:rPr>
                        <w:rFonts w:ascii="Times New Roman" w:hAnsi="Times New Roman" w:cs="Times New Roman"/>
                        <w:szCs w:val="21"/>
                      </w:rPr>
                      <w:t>4</w:t>
                    </w:r>
                    <w:r w:rsidRPr="00DD0B1B">
                      <w:rPr>
                        <w:rFonts w:ascii="Times New Roman" w:hAnsi="Times New Roman" w:cs="Times New Roman"/>
                        <w:szCs w:val="21"/>
                      </w:rPr>
                      <w:t>年</w:t>
                    </w:r>
                  </w:p>
                </w:tc>
              </w:sdtContent>
            </w:sdt>
            <w:tc>
              <w:tcPr>
                <w:tcW w:w="2016" w:type="pct"/>
                <w:shd w:val="clear" w:color="auto" w:fill="auto"/>
                <w:vAlign w:val="center"/>
              </w:tcPr>
              <w:p w14:paraId="28989C9D"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3,237,440.16</w:t>
                </w:r>
              </w:p>
            </w:tc>
          </w:tr>
          <w:tr w:rsidR="00D21C1F" w14:paraId="2FC4AC08" w14:textId="77777777">
            <w:trPr>
              <w:jc w:val="center"/>
            </w:trPr>
            <w:sdt>
              <w:sdtPr>
                <w:rPr>
                  <w:rFonts w:ascii="Times New Roman" w:hAnsi="Times New Roman" w:cs="Times New Roman"/>
                </w:rPr>
                <w:tag w:val="_PLD_b619e0e2723e468294b0f0499cb87825"/>
                <w:id w:val="-490561942"/>
                <w:lock w:val="sdtLocked"/>
              </w:sdtPr>
              <w:sdtEndPr/>
              <w:sdtContent>
                <w:tc>
                  <w:tcPr>
                    <w:tcW w:w="2984" w:type="pct"/>
                    <w:shd w:val="clear" w:color="auto" w:fill="auto"/>
                  </w:tcPr>
                  <w:p w14:paraId="4998C218" w14:textId="77777777" w:rsidR="00D21C1F" w:rsidRPr="00DD0B1B" w:rsidRDefault="00A42880">
                    <w:pPr>
                      <w:rPr>
                        <w:rFonts w:ascii="Times New Roman" w:hAnsi="Times New Roman" w:cs="Times New Roman"/>
                        <w:szCs w:val="21"/>
                      </w:rPr>
                    </w:pPr>
                    <w:r w:rsidRPr="00DD0B1B">
                      <w:rPr>
                        <w:rFonts w:ascii="Times New Roman" w:hAnsi="Times New Roman" w:cs="Times New Roman"/>
                        <w:szCs w:val="21"/>
                      </w:rPr>
                      <w:t>4</w:t>
                    </w:r>
                    <w:r w:rsidRPr="00DD0B1B">
                      <w:rPr>
                        <w:rFonts w:ascii="Times New Roman" w:hAnsi="Times New Roman" w:cs="Times New Roman"/>
                        <w:szCs w:val="21"/>
                      </w:rPr>
                      <w:t>至</w:t>
                    </w:r>
                    <w:r w:rsidRPr="00DD0B1B">
                      <w:rPr>
                        <w:rFonts w:ascii="Times New Roman" w:hAnsi="Times New Roman" w:cs="Times New Roman"/>
                        <w:szCs w:val="21"/>
                      </w:rPr>
                      <w:t>5</w:t>
                    </w:r>
                    <w:r w:rsidRPr="00DD0B1B">
                      <w:rPr>
                        <w:rFonts w:ascii="Times New Roman" w:hAnsi="Times New Roman" w:cs="Times New Roman"/>
                        <w:szCs w:val="21"/>
                      </w:rPr>
                      <w:t>年</w:t>
                    </w:r>
                  </w:p>
                </w:tc>
              </w:sdtContent>
            </w:sdt>
            <w:tc>
              <w:tcPr>
                <w:tcW w:w="2016" w:type="pct"/>
                <w:shd w:val="clear" w:color="auto" w:fill="auto"/>
                <w:vAlign w:val="center"/>
              </w:tcPr>
              <w:p w14:paraId="045AF063"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316,859.16</w:t>
                </w:r>
              </w:p>
            </w:tc>
          </w:tr>
          <w:tr w:rsidR="00D21C1F" w14:paraId="4BAC0E83" w14:textId="77777777">
            <w:trPr>
              <w:jc w:val="center"/>
            </w:trPr>
            <w:sdt>
              <w:sdtPr>
                <w:rPr>
                  <w:rFonts w:ascii="Times New Roman" w:hAnsi="Times New Roman" w:cs="Times New Roman"/>
                </w:rPr>
                <w:tag w:val="_PLD_ba74cee717434a10956280b38ade6234"/>
                <w:id w:val="-1252113025"/>
                <w:lock w:val="sdtLocked"/>
              </w:sdtPr>
              <w:sdtEndPr/>
              <w:sdtContent>
                <w:tc>
                  <w:tcPr>
                    <w:tcW w:w="2984" w:type="pct"/>
                    <w:shd w:val="clear" w:color="auto" w:fill="auto"/>
                  </w:tcPr>
                  <w:p w14:paraId="27086CE0" w14:textId="77777777" w:rsidR="00D21C1F" w:rsidRPr="00DD0B1B" w:rsidRDefault="00A42880">
                    <w:pPr>
                      <w:rPr>
                        <w:rFonts w:ascii="Times New Roman" w:hAnsi="Times New Roman" w:cs="Times New Roman"/>
                        <w:szCs w:val="21"/>
                      </w:rPr>
                    </w:pPr>
                    <w:r w:rsidRPr="00DD0B1B">
                      <w:rPr>
                        <w:rFonts w:ascii="Times New Roman" w:hAnsi="Times New Roman" w:cs="Times New Roman"/>
                        <w:szCs w:val="21"/>
                      </w:rPr>
                      <w:t>5</w:t>
                    </w:r>
                    <w:r w:rsidRPr="00DD0B1B">
                      <w:rPr>
                        <w:rFonts w:ascii="Times New Roman" w:hAnsi="Times New Roman" w:cs="Times New Roman"/>
                        <w:szCs w:val="21"/>
                      </w:rPr>
                      <w:t>年以上</w:t>
                    </w:r>
                  </w:p>
                </w:tc>
              </w:sdtContent>
            </w:sdt>
            <w:tc>
              <w:tcPr>
                <w:tcW w:w="2016" w:type="pct"/>
                <w:shd w:val="clear" w:color="auto" w:fill="auto"/>
                <w:vAlign w:val="center"/>
              </w:tcPr>
              <w:p w14:paraId="0945892C"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30,000.00</w:t>
                </w:r>
              </w:p>
            </w:tc>
          </w:tr>
          <w:sdt>
            <w:sdtPr>
              <w:rPr>
                <w:rFonts w:ascii="Times New Roman" w:hAnsi="Times New Roman" w:cs="Times New Roman"/>
                <w:szCs w:val="21"/>
              </w:rPr>
              <w:alias w:val="按账龄分析法计提坏账准备的其他应收款明细"/>
              <w:tag w:val="_TUP_ab0660a380d2476f8d5fb3374184cc89"/>
              <w:id w:val="2096979530"/>
              <w:lock w:val="sdtLocked"/>
            </w:sdtPr>
            <w:sdtEndPr/>
            <w:sdtContent>
              <w:tr w:rsidR="00D21C1F" w14:paraId="00E798A3" w14:textId="77777777">
                <w:trPr>
                  <w:jc w:val="center"/>
                </w:trPr>
                <w:tc>
                  <w:tcPr>
                    <w:tcW w:w="2984" w:type="pct"/>
                    <w:shd w:val="clear" w:color="auto" w:fill="auto"/>
                  </w:tcPr>
                  <w:p w14:paraId="22B593E7" w14:textId="77777777" w:rsidR="00D21C1F" w:rsidRPr="00DD0B1B" w:rsidRDefault="00A42880">
                    <w:pPr>
                      <w:rPr>
                        <w:rFonts w:ascii="Times New Roman" w:hAnsi="Times New Roman" w:cs="Times New Roman"/>
                        <w:szCs w:val="21"/>
                      </w:rPr>
                    </w:pPr>
                    <w:r w:rsidRPr="00DD0B1B">
                      <w:rPr>
                        <w:rFonts w:ascii="Times New Roman" w:hAnsi="Times New Roman" w:cs="Times New Roman"/>
                        <w:szCs w:val="21"/>
                      </w:rPr>
                      <w:t>减：坏账准备</w:t>
                    </w:r>
                  </w:p>
                </w:tc>
                <w:tc>
                  <w:tcPr>
                    <w:tcW w:w="2016" w:type="pct"/>
                    <w:shd w:val="clear" w:color="auto" w:fill="auto"/>
                  </w:tcPr>
                  <w:p w14:paraId="2AF7D65E"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szCs w:val="21"/>
                      </w:rPr>
                      <w:t>-22,052,555.86</w:t>
                    </w:r>
                  </w:p>
                </w:tc>
              </w:tr>
            </w:sdtContent>
          </w:sdt>
          <w:tr w:rsidR="00D21C1F" w14:paraId="72330B37" w14:textId="77777777">
            <w:trPr>
              <w:jc w:val="center"/>
            </w:trPr>
            <w:sdt>
              <w:sdtPr>
                <w:rPr>
                  <w:rFonts w:ascii="Times New Roman" w:hAnsi="Times New Roman" w:cs="Times New Roman"/>
                </w:rPr>
                <w:tag w:val="_PLD_b07c72d6667b4b8198e844363dff5967"/>
                <w:id w:val="-1653750320"/>
                <w:lock w:val="sdtLocked"/>
              </w:sdtPr>
              <w:sdtEndPr/>
              <w:sdtContent>
                <w:tc>
                  <w:tcPr>
                    <w:tcW w:w="2984" w:type="pct"/>
                    <w:shd w:val="clear" w:color="auto" w:fill="auto"/>
                    <w:vAlign w:val="center"/>
                  </w:tcPr>
                  <w:p w14:paraId="4FD75970" w14:textId="77777777" w:rsidR="00D21C1F" w:rsidRPr="00DD0B1B" w:rsidRDefault="00A42880">
                    <w:pPr>
                      <w:jc w:val="center"/>
                      <w:rPr>
                        <w:rFonts w:ascii="Times New Roman" w:hAnsi="Times New Roman" w:cs="Times New Roman"/>
                        <w:szCs w:val="21"/>
                      </w:rPr>
                    </w:pPr>
                    <w:r w:rsidRPr="00DD0B1B">
                      <w:rPr>
                        <w:rFonts w:ascii="Times New Roman" w:hAnsi="Times New Roman" w:cs="Times New Roman"/>
                        <w:szCs w:val="21"/>
                      </w:rPr>
                      <w:t>合计</w:t>
                    </w:r>
                  </w:p>
                </w:tc>
              </w:sdtContent>
            </w:sdt>
            <w:tc>
              <w:tcPr>
                <w:tcW w:w="2016" w:type="pct"/>
                <w:shd w:val="clear" w:color="auto" w:fill="auto"/>
              </w:tcPr>
              <w:p w14:paraId="138F0EAF"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szCs w:val="21"/>
                  </w:rPr>
                  <w:t>176,809,044.69</w:t>
                </w:r>
              </w:p>
            </w:tc>
          </w:tr>
        </w:tbl>
        <w:p w14:paraId="2B422D4D" w14:textId="77777777" w:rsidR="00D21C1F" w:rsidRDefault="00045EC6">
          <w:pPr>
            <w:rPr>
              <w:szCs w:val="21"/>
            </w:rPr>
          </w:pPr>
        </w:p>
      </w:sdtContent>
    </w:sdt>
    <w:bookmarkStart w:id="330"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1385475170"/>
        <w:lock w:val="sdtLocked"/>
        <w:placeholder>
          <w:docPart w:val="GBC22222222222222222222222222222"/>
        </w:placeholder>
      </w:sdtPr>
      <w:sdtEndPr/>
      <w:sdtContent>
        <w:p w14:paraId="24D0A13D" w14:textId="77777777" w:rsidR="00D21C1F" w:rsidRDefault="00A42880">
          <w:pPr>
            <w:pStyle w:val="93"/>
            <w:numPr>
              <w:ilvl w:val="3"/>
              <w:numId w:val="150"/>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1899788012"/>
            <w:lock w:val="sdtLocked"/>
            <w:placeholder>
              <w:docPart w:val="GBC22222222222222222222222222222"/>
            </w:placeholder>
          </w:sdtPr>
          <w:sdtEndPr/>
          <w:sdtContent>
            <w:p w14:paraId="72C678D3"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16246C" w14:textId="77777777" w:rsidR="00D21C1F" w:rsidRDefault="00A42880">
          <w:pPr>
            <w:jc w:val="right"/>
          </w:pPr>
          <w:r>
            <w:rPr>
              <w:rFonts w:hint="eastAsia"/>
            </w:rPr>
            <w:t>单位:</w:t>
          </w:r>
          <w:sdt>
            <w:sdtPr>
              <w:rPr>
                <w:rFonts w:hint="eastAsia"/>
              </w:rPr>
              <w:alias w:val="单位：财务附注：母公司其他应收款按款项性质分类情况"/>
              <w:tag w:val="_GBC_cdfadb9bdd864b32a99df11dec001a83"/>
              <w:id w:val="-19676450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母公司其他应收款按款项性质分类情况"/>
              <w:tag w:val="_GBC_cac854cfb75144bc86635f44f78d6611"/>
              <w:id w:val="-670572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D21C1F" w14:paraId="4B268FEC" w14:textId="77777777">
            <w:sdt>
              <w:sdtPr>
                <w:tag w:val="_PLD_797d39f4d1fd488e93d36af61d0bebfd"/>
                <w:id w:val="203220823"/>
                <w:lock w:val="sdtLocked"/>
              </w:sdtPr>
              <w:sdtEndPr/>
              <w:sdtContent>
                <w:tc>
                  <w:tcPr>
                    <w:tcW w:w="1700" w:type="pct"/>
                    <w:shd w:val="clear" w:color="auto" w:fill="auto"/>
                    <w:vAlign w:val="center"/>
                  </w:tcPr>
                  <w:p w14:paraId="4380211F" w14:textId="77777777" w:rsidR="00D21C1F" w:rsidRDefault="00A42880">
                    <w:pPr>
                      <w:jc w:val="center"/>
                    </w:pPr>
                    <w:r>
                      <w:rPr>
                        <w:rFonts w:hint="eastAsia"/>
                      </w:rPr>
                      <w:t>款项性质</w:t>
                    </w:r>
                  </w:p>
                </w:tc>
              </w:sdtContent>
            </w:sdt>
            <w:sdt>
              <w:sdtPr>
                <w:tag w:val="_PLD_7853db088d0a4b218482e741ebbac8e0"/>
                <w:id w:val="1738213999"/>
                <w:lock w:val="sdtLocked"/>
              </w:sdtPr>
              <w:sdtEndPr/>
              <w:sdtContent>
                <w:tc>
                  <w:tcPr>
                    <w:tcW w:w="1647" w:type="pct"/>
                    <w:shd w:val="clear" w:color="auto" w:fill="auto"/>
                    <w:vAlign w:val="center"/>
                  </w:tcPr>
                  <w:p w14:paraId="25836C98" w14:textId="77777777" w:rsidR="00D21C1F" w:rsidRDefault="00A42880">
                    <w:pPr>
                      <w:jc w:val="center"/>
                    </w:pPr>
                    <w:r>
                      <w:rPr>
                        <w:rFonts w:hint="eastAsia"/>
                      </w:rPr>
                      <w:t>期末账面余额</w:t>
                    </w:r>
                  </w:p>
                </w:tc>
              </w:sdtContent>
            </w:sdt>
            <w:sdt>
              <w:sdtPr>
                <w:tag w:val="_PLD_56ab744bffee4ad28664bdf9e16551e2"/>
                <w:id w:val="2114696826"/>
                <w:lock w:val="sdtLocked"/>
              </w:sdtPr>
              <w:sdtEndPr/>
              <w:sdtContent>
                <w:tc>
                  <w:tcPr>
                    <w:tcW w:w="1653" w:type="pct"/>
                    <w:shd w:val="clear" w:color="auto" w:fill="auto"/>
                    <w:vAlign w:val="center"/>
                  </w:tcPr>
                  <w:p w14:paraId="3DE9BDE3" w14:textId="77777777" w:rsidR="00D21C1F" w:rsidRDefault="00A42880">
                    <w:pPr>
                      <w:jc w:val="center"/>
                    </w:pPr>
                    <w:r>
                      <w:rPr>
                        <w:rFonts w:hint="eastAsia"/>
                      </w:rPr>
                      <w:t>期初账面余额</w:t>
                    </w:r>
                  </w:p>
                </w:tc>
              </w:sdtContent>
            </w:sdt>
          </w:tr>
          <w:sdt>
            <w:sdtPr>
              <w:rPr>
                <w:rFonts w:ascii="Times New Roman" w:eastAsia="宋体" w:hAnsi="Times New Roman" w:cs="Times New Roman"/>
              </w:rPr>
              <w:alias w:val="其他应收款按款项性质分类情况明细"/>
              <w:tag w:val="_GBC_2dbe9c87fcc94933b5e1adb6fa3a30df"/>
              <w:id w:val="-842317644"/>
              <w:lock w:val="sdtLocked"/>
            </w:sdtPr>
            <w:sdtEndPr/>
            <w:sdtContent>
              <w:tr w:rsidR="00D21C1F" w14:paraId="5639E6D0" w14:textId="77777777">
                <w:tc>
                  <w:tcPr>
                    <w:tcW w:w="1700" w:type="pct"/>
                    <w:shd w:val="clear" w:color="auto" w:fill="auto"/>
                  </w:tcPr>
                  <w:p w14:paraId="216C1E23" w14:textId="77777777" w:rsidR="00D21C1F" w:rsidRPr="00DD0B1B" w:rsidRDefault="00A42880">
                    <w:pPr>
                      <w:pStyle w:val="97"/>
                      <w:rPr>
                        <w:rFonts w:ascii="Times New Roman" w:hAnsi="Times New Roman" w:cs="Times New Roman"/>
                      </w:rPr>
                    </w:pPr>
                    <w:r w:rsidRPr="00DD0B1B">
                      <w:rPr>
                        <w:rFonts w:ascii="Times New Roman" w:hAnsi="Times New Roman" w:cs="Times New Roman"/>
                      </w:rPr>
                      <w:t>往来款</w:t>
                    </w:r>
                  </w:p>
                </w:tc>
                <w:tc>
                  <w:tcPr>
                    <w:tcW w:w="1647" w:type="pct"/>
                    <w:shd w:val="clear" w:color="auto" w:fill="auto"/>
                    <w:vAlign w:val="center"/>
                  </w:tcPr>
                  <w:p w14:paraId="4BCCF08B"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183,050,455.20</w:t>
                    </w:r>
                  </w:p>
                </w:tc>
                <w:tc>
                  <w:tcPr>
                    <w:tcW w:w="1653" w:type="pct"/>
                    <w:shd w:val="clear" w:color="auto" w:fill="auto"/>
                  </w:tcPr>
                  <w:p w14:paraId="1034D772"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236,853,837.97</w:t>
                    </w:r>
                  </w:p>
                </w:tc>
              </w:tr>
            </w:sdtContent>
          </w:sdt>
          <w:sdt>
            <w:sdtPr>
              <w:rPr>
                <w:rFonts w:ascii="Times New Roman" w:hAnsi="Times New Roman" w:cs="Times New Roman"/>
              </w:rPr>
              <w:alias w:val="其他应收款按款项性质分类情况明细"/>
              <w:tag w:val="_GBC_2dbe9c87fcc94933b5e1adb6fa3a30df"/>
              <w:id w:val="2139374328"/>
              <w:lock w:val="sdtLocked"/>
            </w:sdtPr>
            <w:sdtEndPr/>
            <w:sdtContent>
              <w:tr w:rsidR="00D21C1F" w14:paraId="2148E73B" w14:textId="77777777">
                <w:tc>
                  <w:tcPr>
                    <w:tcW w:w="1700" w:type="pct"/>
                    <w:shd w:val="clear" w:color="auto" w:fill="auto"/>
                  </w:tcPr>
                  <w:p w14:paraId="06588E76" w14:textId="77777777" w:rsidR="00D21C1F" w:rsidRPr="00DD0B1B" w:rsidRDefault="00A42880">
                    <w:pPr>
                      <w:rPr>
                        <w:rFonts w:ascii="Times New Roman" w:hAnsi="Times New Roman" w:cs="Times New Roman"/>
                        <w:highlight w:val="yellow"/>
                      </w:rPr>
                    </w:pPr>
                    <w:r w:rsidRPr="00DD0B1B">
                      <w:rPr>
                        <w:rFonts w:ascii="Times New Roman" w:hAnsi="Times New Roman" w:cs="Times New Roman"/>
                      </w:rPr>
                      <w:t>保证金及押金</w:t>
                    </w:r>
                  </w:p>
                </w:tc>
                <w:tc>
                  <w:tcPr>
                    <w:tcW w:w="1647" w:type="pct"/>
                    <w:shd w:val="clear" w:color="auto" w:fill="auto"/>
                    <w:vAlign w:val="center"/>
                  </w:tcPr>
                  <w:p w14:paraId="0E5DF0A1"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9,344,837.08</w:t>
                    </w:r>
                  </w:p>
                </w:tc>
                <w:tc>
                  <w:tcPr>
                    <w:tcW w:w="1653" w:type="pct"/>
                    <w:shd w:val="clear" w:color="auto" w:fill="auto"/>
                  </w:tcPr>
                  <w:p w14:paraId="44E506F6"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10,212,821.89</w:t>
                    </w:r>
                  </w:p>
                </w:tc>
              </w:tr>
            </w:sdtContent>
          </w:sdt>
          <w:sdt>
            <w:sdtPr>
              <w:rPr>
                <w:rFonts w:ascii="Times New Roman" w:eastAsia="宋体" w:hAnsi="Times New Roman" w:cs="Times New Roman"/>
              </w:rPr>
              <w:alias w:val="其他应收款按款项性质分类情况明细"/>
              <w:tag w:val="_GBC_2dbe9c87fcc94933b5e1adb6fa3a30df"/>
              <w:id w:val="2103378933"/>
              <w:lock w:val="sdtLocked"/>
            </w:sdtPr>
            <w:sdtEndPr/>
            <w:sdtContent>
              <w:tr w:rsidR="00D21C1F" w14:paraId="0D267902" w14:textId="77777777">
                <w:tc>
                  <w:tcPr>
                    <w:tcW w:w="1700" w:type="pct"/>
                    <w:shd w:val="clear" w:color="auto" w:fill="auto"/>
                  </w:tcPr>
                  <w:p w14:paraId="04DB9070" w14:textId="77777777" w:rsidR="00D21C1F" w:rsidRPr="00DD0B1B" w:rsidRDefault="00A42880">
                    <w:pPr>
                      <w:pStyle w:val="97"/>
                      <w:rPr>
                        <w:rFonts w:ascii="Times New Roman" w:hAnsi="Times New Roman" w:cs="Times New Roman"/>
                      </w:rPr>
                    </w:pPr>
                    <w:r w:rsidRPr="00DD0B1B">
                      <w:rPr>
                        <w:rFonts w:ascii="Times New Roman" w:hAnsi="Times New Roman" w:cs="Times New Roman"/>
                      </w:rPr>
                      <w:t>政府补助款</w:t>
                    </w:r>
                  </w:p>
                </w:tc>
                <w:tc>
                  <w:tcPr>
                    <w:tcW w:w="1647" w:type="pct"/>
                    <w:shd w:val="clear" w:color="auto" w:fill="auto"/>
                    <w:vAlign w:val="center"/>
                  </w:tcPr>
                  <w:p w14:paraId="7640CF88"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4,916,565.00</w:t>
                    </w:r>
                  </w:p>
                </w:tc>
                <w:tc>
                  <w:tcPr>
                    <w:tcW w:w="1653" w:type="pct"/>
                    <w:shd w:val="clear" w:color="auto" w:fill="auto"/>
                  </w:tcPr>
                  <w:p w14:paraId="2F66931D"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14,810,065.00</w:t>
                    </w:r>
                  </w:p>
                </w:tc>
              </w:tr>
            </w:sdtContent>
          </w:sdt>
          <w:sdt>
            <w:sdtPr>
              <w:rPr>
                <w:rFonts w:ascii="Times New Roman" w:eastAsia="宋体" w:hAnsi="Times New Roman" w:cs="Times New Roman"/>
              </w:rPr>
              <w:alias w:val="其他应收款按款项性质分类情况明细"/>
              <w:tag w:val="_GBC_2dbe9c87fcc94933b5e1adb6fa3a30df"/>
              <w:id w:val="437562728"/>
              <w:lock w:val="sdtLocked"/>
            </w:sdtPr>
            <w:sdtEndPr/>
            <w:sdtContent>
              <w:tr w:rsidR="00D21C1F" w14:paraId="1121B6AB" w14:textId="77777777">
                <w:tc>
                  <w:tcPr>
                    <w:tcW w:w="1700" w:type="pct"/>
                    <w:shd w:val="clear" w:color="auto" w:fill="auto"/>
                  </w:tcPr>
                  <w:p w14:paraId="17FD016B" w14:textId="77777777" w:rsidR="00D21C1F" w:rsidRPr="00DD0B1B" w:rsidRDefault="00A42880">
                    <w:pPr>
                      <w:pStyle w:val="97"/>
                      <w:rPr>
                        <w:rFonts w:ascii="Times New Roman" w:hAnsi="Times New Roman" w:cs="Times New Roman"/>
                      </w:rPr>
                    </w:pPr>
                    <w:r w:rsidRPr="00DD0B1B">
                      <w:rPr>
                        <w:rFonts w:ascii="Times New Roman" w:hAnsi="Times New Roman" w:cs="Times New Roman"/>
                      </w:rPr>
                      <w:t>备用金</w:t>
                    </w:r>
                  </w:p>
                </w:tc>
                <w:tc>
                  <w:tcPr>
                    <w:tcW w:w="1647" w:type="pct"/>
                    <w:shd w:val="clear" w:color="auto" w:fill="auto"/>
                    <w:vAlign w:val="center"/>
                  </w:tcPr>
                  <w:p w14:paraId="602C287B"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356,215.54</w:t>
                    </w:r>
                  </w:p>
                </w:tc>
                <w:tc>
                  <w:tcPr>
                    <w:tcW w:w="1653" w:type="pct"/>
                    <w:shd w:val="clear" w:color="auto" w:fill="auto"/>
                  </w:tcPr>
                  <w:p w14:paraId="1919E2E2"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485,329.61</w:t>
                    </w:r>
                  </w:p>
                </w:tc>
              </w:tr>
            </w:sdtContent>
          </w:sdt>
          <w:sdt>
            <w:sdtPr>
              <w:rPr>
                <w:rFonts w:ascii="Times New Roman" w:hAnsi="Times New Roman" w:cs="Times New Roman"/>
              </w:rPr>
              <w:alias w:val="其他应收款按款项性质分类情况明细"/>
              <w:tag w:val="_GBC_2dbe9c87fcc94933b5e1adb6fa3a30df"/>
              <w:id w:val="-576053822"/>
              <w:lock w:val="sdtLocked"/>
            </w:sdtPr>
            <w:sdtEndPr/>
            <w:sdtContent>
              <w:tr w:rsidR="00D21C1F" w14:paraId="1A567124" w14:textId="77777777">
                <w:tc>
                  <w:tcPr>
                    <w:tcW w:w="1700" w:type="pct"/>
                    <w:shd w:val="clear" w:color="auto" w:fill="auto"/>
                  </w:tcPr>
                  <w:p w14:paraId="55698B4C" w14:textId="77777777" w:rsidR="00D21C1F" w:rsidRPr="00DD0B1B" w:rsidRDefault="00A42880">
                    <w:pPr>
                      <w:rPr>
                        <w:rFonts w:ascii="Times New Roman" w:hAnsi="Times New Roman" w:cs="Times New Roman"/>
                        <w:highlight w:val="yellow"/>
                      </w:rPr>
                    </w:pPr>
                    <w:r w:rsidRPr="00DD0B1B">
                      <w:rPr>
                        <w:rFonts w:ascii="Times New Roman" w:hAnsi="Times New Roman" w:cs="Times New Roman"/>
                      </w:rPr>
                      <w:t>其他</w:t>
                    </w:r>
                  </w:p>
                </w:tc>
                <w:tc>
                  <w:tcPr>
                    <w:tcW w:w="1647" w:type="pct"/>
                    <w:shd w:val="clear" w:color="auto" w:fill="auto"/>
                    <w:vAlign w:val="center"/>
                  </w:tcPr>
                  <w:p w14:paraId="4D11BFE5"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1,193,527.73</w:t>
                    </w:r>
                  </w:p>
                </w:tc>
                <w:tc>
                  <w:tcPr>
                    <w:tcW w:w="1653" w:type="pct"/>
                    <w:shd w:val="clear" w:color="auto" w:fill="auto"/>
                  </w:tcPr>
                  <w:p w14:paraId="3CFB9380"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1,554,592.94</w:t>
                    </w:r>
                  </w:p>
                </w:tc>
              </w:tr>
            </w:sdtContent>
          </w:sdt>
          <w:tr w:rsidR="00D21C1F" w14:paraId="4525721F" w14:textId="77777777">
            <w:sdt>
              <w:sdtPr>
                <w:rPr>
                  <w:rFonts w:ascii="Times New Roman" w:hAnsi="Times New Roman" w:cs="Times New Roman"/>
                </w:rPr>
                <w:tag w:val="_PLD_2c3163c0b1c149f7a6fc1dfe5449335d"/>
                <w:id w:val="-277720192"/>
                <w:lock w:val="sdtLocked"/>
              </w:sdtPr>
              <w:sdtEndPr/>
              <w:sdtContent>
                <w:tc>
                  <w:tcPr>
                    <w:tcW w:w="1700" w:type="pct"/>
                    <w:shd w:val="clear" w:color="auto" w:fill="auto"/>
                  </w:tcPr>
                  <w:p w14:paraId="013F2B2D" w14:textId="77777777" w:rsidR="00D21C1F" w:rsidRPr="00DD0B1B" w:rsidRDefault="00A42880">
                    <w:pPr>
                      <w:jc w:val="center"/>
                      <w:rPr>
                        <w:rFonts w:ascii="Times New Roman" w:hAnsi="Times New Roman" w:cs="Times New Roman"/>
                      </w:rPr>
                    </w:pPr>
                    <w:r w:rsidRPr="00DD0B1B">
                      <w:rPr>
                        <w:rFonts w:ascii="Times New Roman" w:hAnsi="Times New Roman" w:cs="Times New Roman"/>
                      </w:rPr>
                      <w:t>合计</w:t>
                    </w:r>
                  </w:p>
                </w:tc>
              </w:sdtContent>
            </w:sdt>
            <w:tc>
              <w:tcPr>
                <w:tcW w:w="1647" w:type="pct"/>
                <w:shd w:val="clear" w:color="auto" w:fill="auto"/>
              </w:tcPr>
              <w:p w14:paraId="6F68208E"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198,861,600.55</w:t>
                </w:r>
              </w:p>
            </w:tc>
            <w:tc>
              <w:tcPr>
                <w:tcW w:w="1653" w:type="pct"/>
                <w:shd w:val="clear" w:color="auto" w:fill="auto"/>
              </w:tcPr>
              <w:p w14:paraId="08B5E52C"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263,916,647.41</w:t>
                </w:r>
              </w:p>
            </w:tc>
          </w:tr>
        </w:tbl>
        <w:p w14:paraId="4897DE63" w14:textId="77777777" w:rsidR="00D21C1F" w:rsidRDefault="00045EC6">
          <w:pPr>
            <w:pStyle w:val="97"/>
          </w:pPr>
        </w:p>
      </w:sdtContent>
    </w:sdt>
    <w:bookmarkEnd w:id="330" w:displacedByCustomXml="next"/>
    <w:bookmarkStart w:id="331" w:name="_Hlk10547765" w:displacedByCustomXml="next"/>
    <w:sdt>
      <w:sdtPr>
        <w:rPr>
          <w:rFonts w:ascii="宋体" w:eastAsia="宋体" w:hAnsi="宋体" w:cs="宋体" w:hint="eastAsia"/>
          <w:b w:val="0"/>
          <w:bCs w:val="0"/>
          <w:kern w:val="0"/>
          <w:szCs w:val="21"/>
        </w:rPr>
        <w:alias w:val="模块:坏账准备计提情况"/>
        <w:tag w:val="_SEC_15d9e20371d54bec9233b27dd50b301d"/>
        <w:id w:val="-1147437736"/>
        <w:lock w:val="sdtLocked"/>
        <w:placeholder>
          <w:docPart w:val="GBC22222222222222222222222222222"/>
        </w:placeholder>
      </w:sdtPr>
      <w:sdtEndPr/>
      <w:sdtContent>
        <w:p w14:paraId="053B4E9D" w14:textId="77777777" w:rsidR="00D21C1F" w:rsidRDefault="00A42880">
          <w:pPr>
            <w:pStyle w:val="93"/>
            <w:numPr>
              <w:ilvl w:val="3"/>
              <w:numId w:val="150"/>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562837058"/>
            <w:lock w:val="sdtLocked"/>
            <w:placeholder>
              <w:docPart w:val="GBC22222222222222222222222222222"/>
            </w:placeholder>
          </w:sdtPr>
          <w:sdtEndPr/>
          <w:sdtContent>
            <w:p w14:paraId="4F439DEC"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00E4C1C" w14:textId="77777777" w:rsidR="00D21C1F" w:rsidRDefault="00A42880">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5759754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其他应收款坏账准备调节表"/>
              <w:tag w:val="_GBC_01762fded69841c1b87d684f3bcfb97f"/>
              <w:id w:val="-1750332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542"/>
            <w:gridCol w:w="1930"/>
            <w:gridCol w:w="1930"/>
            <w:gridCol w:w="1659"/>
          </w:tblGrid>
          <w:tr w:rsidR="00D21C1F" w14:paraId="6FD5AEAA" w14:textId="77777777">
            <w:sdt>
              <w:sdtPr>
                <w:rPr>
                  <w:rFonts w:ascii="宋体" w:eastAsia="宋体" w:hAnsi="宋体"/>
                </w:rPr>
                <w:tag w:val="_PLD_a620ef8c0fe0407b955c4f58530e0b21"/>
                <w:id w:val="-598880068"/>
                <w:lock w:val="sdtLocked"/>
              </w:sdtPr>
              <w:sdtEndPr/>
              <w:sdtContent>
                <w:tc>
                  <w:tcPr>
                    <w:tcW w:w="998" w:type="pct"/>
                    <w:vMerge w:val="restart"/>
                    <w:vAlign w:val="center"/>
                  </w:tcPr>
                  <w:p w14:paraId="6F8AC528" w14:textId="77777777" w:rsidR="00D21C1F" w:rsidRDefault="00A42880">
                    <w:pPr>
                      <w:pStyle w:val="130"/>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921141868"/>
                <w:lock w:val="sdtLocked"/>
              </w:sdtPr>
              <w:sdtEndPr/>
              <w:sdtContent>
                <w:tc>
                  <w:tcPr>
                    <w:tcW w:w="874" w:type="pct"/>
                    <w:vAlign w:val="center"/>
                  </w:tcPr>
                  <w:p w14:paraId="39BA7A74" w14:textId="77777777" w:rsidR="00D21C1F" w:rsidRDefault="00A42880">
                    <w:pPr>
                      <w:pStyle w:val="130"/>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1166171600"/>
                <w:lock w:val="sdtLocked"/>
              </w:sdtPr>
              <w:sdtEndPr/>
              <w:sdtContent>
                <w:tc>
                  <w:tcPr>
                    <w:tcW w:w="1094" w:type="pct"/>
                  </w:tcPr>
                  <w:p w14:paraId="41F895C6" w14:textId="77777777" w:rsidR="00D21C1F" w:rsidRDefault="00A42880">
                    <w:pPr>
                      <w:pStyle w:val="130"/>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1712303466"/>
                <w:lock w:val="sdtLocked"/>
              </w:sdtPr>
              <w:sdtEndPr/>
              <w:sdtContent>
                <w:tc>
                  <w:tcPr>
                    <w:tcW w:w="1094" w:type="pct"/>
                  </w:tcPr>
                  <w:p w14:paraId="78969A67" w14:textId="77777777" w:rsidR="00D21C1F" w:rsidRDefault="00A42880">
                    <w:pPr>
                      <w:pStyle w:val="130"/>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409891626"/>
                <w:lock w:val="sdtLocked"/>
              </w:sdtPr>
              <w:sdtEndPr/>
              <w:sdtContent>
                <w:tc>
                  <w:tcPr>
                    <w:tcW w:w="940" w:type="pct"/>
                    <w:vMerge w:val="restart"/>
                    <w:vAlign w:val="center"/>
                  </w:tcPr>
                  <w:p w14:paraId="44AE5A94" w14:textId="77777777" w:rsidR="00D21C1F" w:rsidRDefault="00A42880">
                    <w:pPr>
                      <w:pStyle w:val="130"/>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D21C1F" w14:paraId="017DD20A" w14:textId="77777777">
            <w:tc>
              <w:tcPr>
                <w:tcW w:w="998" w:type="pct"/>
                <w:vMerge/>
                <w:vAlign w:val="center"/>
              </w:tcPr>
              <w:p w14:paraId="739A93DC" w14:textId="77777777" w:rsidR="00D21C1F" w:rsidRDefault="00D21C1F">
                <w:pPr>
                  <w:jc w:val="center"/>
                  <w:rPr>
                    <w:color w:val="008000"/>
                    <w:szCs w:val="21"/>
                  </w:rPr>
                </w:pPr>
              </w:p>
            </w:tc>
            <w:sdt>
              <w:sdtPr>
                <w:rPr>
                  <w:rFonts w:ascii="宋体" w:eastAsia="宋体" w:hAnsi="宋体"/>
                </w:rPr>
                <w:tag w:val="_PLD_506da2a2f1db4ead819aa958edd702e2"/>
                <w:id w:val="2098673953"/>
                <w:lock w:val="sdtLocked"/>
              </w:sdtPr>
              <w:sdtEndPr/>
              <w:sdtContent>
                <w:tc>
                  <w:tcPr>
                    <w:tcW w:w="874" w:type="pct"/>
                    <w:vAlign w:val="center"/>
                  </w:tcPr>
                  <w:p w14:paraId="0C27528A" w14:textId="77777777" w:rsidR="00D21C1F" w:rsidRDefault="00A42880">
                    <w:pPr>
                      <w:pStyle w:val="130"/>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w:t>
                    </w:r>
                    <w:r>
                      <w:rPr>
                        <w:rFonts w:ascii="Times New Roman" w:eastAsia="宋体" w:hAnsi="Times New Roman" w:cs="宋体" w:hint="eastAsia"/>
                        <w:sz w:val="21"/>
                        <w:szCs w:val="21"/>
                        <w:lang w:eastAsia="zh-CN"/>
                      </w:rPr>
                      <w:t>12</w:t>
                    </w:r>
                    <w:r>
                      <w:rPr>
                        <w:rFonts w:ascii="宋体" w:eastAsia="宋体" w:hAnsi="宋体" w:cs="宋体" w:hint="eastAsia"/>
                        <w:sz w:val="21"/>
                        <w:szCs w:val="21"/>
                        <w:lang w:eastAsia="zh-CN"/>
                      </w:rPr>
                      <w:t>个月预期信用损失</w:t>
                    </w:r>
                  </w:p>
                </w:tc>
              </w:sdtContent>
            </w:sdt>
            <w:sdt>
              <w:sdtPr>
                <w:rPr>
                  <w:rFonts w:ascii="宋体" w:eastAsia="宋体" w:hAnsi="宋体"/>
                </w:rPr>
                <w:tag w:val="_PLD_23a6590eef0649d4af75d4845c12f263"/>
                <w:id w:val="-437675651"/>
                <w:lock w:val="sdtLocked"/>
              </w:sdtPr>
              <w:sdtEndPr/>
              <w:sdtContent>
                <w:tc>
                  <w:tcPr>
                    <w:tcW w:w="1094" w:type="pct"/>
                    <w:vAlign w:val="center"/>
                  </w:tcPr>
                  <w:p w14:paraId="5B963619" w14:textId="77777777" w:rsidR="00D21C1F" w:rsidRDefault="00A42880">
                    <w:pPr>
                      <w:pStyle w:val="130"/>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1265682197"/>
                <w:lock w:val="sdtLocked"/>
              </w:sdtPr>
              <w:sdtEndPr/>
              <w:sdtContent>
                <w:tc>
                  <w:tcPr>
                    <w:tcW w:w="1094" w:type="pct"/>
                    <w:vAlign w:val="center"/>
                  </w:tcPr>
                  <w:p w14:paraId="2CA63F3D" w14:textId="77777777" w:rsidR="00D21C1F" w:rsidRDefault="00A42880">
                    <w:pPr>
                      <w:pStyle w:val="130"/>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14:paraId="00D4DF0E" w14:textId="77777777" w:rsidR="00D21C1F" w:rsidRDefault="00D21C1F">
                <w:pPr>
                  <w:jc w:val="center"/>
                  <w:rPr>
                    <w:color w:val="008000"/>
                    <w:szCs w:val="21"/>
                  </w:rPr>
                </w:pPr>
              </w:p>
            </w:tc>
          </w:tr>
          <w:tr w:rsidR="00D21C1F" w14:paraId="43D12F66" w14:textId="77777777" w:rsidTr="00DD0B1B">
            <w:sdt>
              <w:sdtPr>
                <w:rPr>
                  <w:rFonts w:ascii="宋体" w:eastAsia="宋体" w:hAnsi="宋体"/>
                </w:rPr>
                <w:tag w:val="_PLD_2304f8a656bf488e9c1b48987574a2b8"/>
                <w:id w:val="-342085235"/>
                <w:lock w:val="sdtLocked"/>
              </w:sdtPr>
              <w:sdtEndPr/>
              <w:sdtContent>
                <w:tc>
                  <w:tcPr>
                    <w:tcW w:w="998" w:type="pct"/>
                    <w:vAlign w:val="center"/>
                  </w:tcPr>
                  <w:p w14:paraId="52EF74B8" w14:textId="77777777" w:rsidR="00D21C1F" w:rsidRDefault="00A42880">
                    <w:pPr>
                      <w:pStyle w:val="130"/>
                      <w:spacing w:after="0" w:line="240" w:lineRule="auto"/>
                      <w:jc w:val="both"/>
                      <w:rPr>
                        <w:rFonts w:ascii="宋体" w:eastAsia="宋体" w:hAnsi="宋体" w:cs="宋体"/>
                        <w:sz w:val="21"/>
                        <w:szCs w:val="21"/>
                        <w:lang w:eastAsia="zh-CN"/>
                      </w:rPr>
                    </w:pPr>
                    <w:r>
                      <w:rPr>
                        <w:rFonts w:ascii="Times New Roman" w:eastAsia="宋体" w:hAnsi="Times New Roman" w:cs="宋体"/>
                        <w:sz w:val="21"/>
                        <w:szCs w:val="21"/>
                        <w:lang w:eastAsia="zh-CN"/>
                      </w:rPr>
                      <w:t>2021</w:t>
                    </w:r>
                    <w:r>
                      <w:rPr>
                        <w:rFonts w:ascii="宋体" w:eastAsia="宋体" w:hAnsi="宋体" w:cs="宋体"/>
                        <w:sz w:val="21"/>
                        <w:szCs w:val="21"/>
                        <w:lang w:eastAsia="zh-CN"/>
                      </w:rPr>
                      <w:t>年</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月</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日余额</w:t>
                    </w:r>
                  </w:p>
                </w:tc>
              </w:sdtContent>
            </w:sdt>
            <w:tc>
              <w:tcPr>
                <w:tcW w:w="874" w:type="pct"/>
                <w:vAlign w:val="center"/>
              </w:tcPr>
              <w:p w14:paraId="475D86D4"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22,329,522.80</w:t>
                </w:r>
              </w:p>
            </w:tc>
            <w:tc>
              <w:tcPr>
                <w:tcW w:w="1094" w:type="pct"/>
                <w:vAlign w:val="center"/>
              </w:tcPr>
              <w:p w14:paraId="6A0A4549"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1094" w:type="pct"/>
                <w:vAlign w:val="center"/>
              </w:tcPr>
              <w:p w14:paraId="2710EC4B"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1,437,500.00</w:t>
                </w:r>
              </w:p>
            </w:tc>
            <w:tc>
              <w:tcPr>
                <w:tcW w:w="940" w:type="pct"/>
                <w:vAlign w:val="center"/>
              </w:tcPr>
              <w:p w14:paraId="4F45CCD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23,767,022.80</w:t>
                </w:r>
              </w:p>
            </w:tc>
          </w:tr>
          <w:tr w:rsidR="00D21C1F" w14:paraId="21B93798" w14:textId="77777777" w:rsidTr="00DD0B1B">
            <w:sdt>
              <w:sdtPr>
                <w:rPr>
                  <w:rFonts w:ascii="宋体" w:eastAsia="宋体" w:hAnsi="宋体"/>
                </w:rPr>
                <w:tag w:val="_PLD_796e9b523fc242849d2f6df5b04e1b9e"/>
                <w:id w:val="1345600256"/>
                <w:lock w:val="sdtLocked"/>
              </w:sdtPr>
              <w:sdtEndPr/>
              <w:sdtContent>
                <w:tc>
                  <w:tcPr>
                    <w:tcW w:w="998" w:type="pct"/>
                    <w:vAlign w:val="center"/>
                  </w:tcPr>
                  <w:p w14:paraId="4B143239" w14:textId="77777777" w:rsidR="00D21C1F" w:rsidRDefault="00A42880">
                    <w:pPr>
                      <w:pStyle w:val="130"/>
                      <w:spacing w:after="0" w:line="240" w:lineRule="auto"/>
                      <w:jc w:val="both"/>
                      <w:rPr>
                        <w:rFonts w:ascii="宋体" w:eastAsia="宋体" w:hAnsi="宋体" w:cs="宋体"/>
                        <w:sz w:val="21"/>
                        <w:szCs w:val="21"/>
                        <w:lang w:eastAsia="zh-CN"/>
                      </w:rPr>
                    </w:pPr>
                    <w:r>
                      <w:rPr>
                        <w:rFonts w:ascii="Times New Roman" w:eastAsia="宋体" w:hAnsi="Times New Roman" w:cs="宋体" w:hint="eastAsia"/>
                        <w:sz w:val="21"/>
                        <w:szCs w:val="21"/>
                        <w:lang w:eastAsia="zh-CN"/>
                      </w:rPr>
                      <w:t>2021</w:t>
                    </w:r>
                    <w:r>
                      <w:rPr>
                        <w:rFonts w:ascii="宋体" w:eastAsia="宋体" w:hAnsi="宋体" w:cs="宋体" w:hint="eastAsia"/>
                        <w:sz w:val="21"/>
                        <w:szCs w:val="21"/>
                        <w:lang w:eastAsia="zh-CN"/>
                      </w:rPr>
                      <w:t>年</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月</w:t>
                    </w:r>
                    <w:r>
                      <w:rPr>
                        <w:rFonts w:ascii="Times New Roman" w:eastAsia="宋体" w:hAnsi="Times New Roman" w:cs="宋体" w:hint="eastAsia"/>
                        <w:sz w:val="21"/>
                        <w:szCs w:val="21"/>
                        <w:lang w:eastAsia="zh-CN"/>
                      </w:rPr>
                      <w:t>1</w:t>
                    </w:r>
                    <w:r>
                      <w:rPr>
                        <w:rFonts w:ascii="宋体" w:eastAsia="宋体" w:hAnsi="宋体" w:cs="宋体" w:hint="eastAsia"/>
                        <w:sz w:val="21"/>
                        <w:szCs w:val="21"/>
                        <w:lang w:eastAsia="zh-CN"/>
                      </w:rPr>
                      <w:t>日余额在本期</w:t>
                    </w:r>
                  </w:p>
                </w:tc>
              </w:sdtContent>
            </w:sdt>
            <w:tc>
              <w:tcPr>
                <w:tcW w:w="874" w:type="pct"/>
                <w:vAlign w:val="center"/>
              </w:tcPr>
              <w:p w14:paraId="60D78A33"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47DDAA08"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1DD0D724"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6FDA3892" w14:textId="77777777" w:rsidR="00D21C1F" w:rsidRPr="00DD0B1B" w:rsidRDefault="00D21C1F" w:rsidP="00DD0B1B">
                <w:pPr>
                  <w:jc w:val="right"/>
                  <w:rPr>
                    <w:rFonts w:ascii="Times New Roman" w:hAnsi="Times New Roman" w:cs="Times New Roman"/>
                    <w:szCs w:val="21"/>
                  </w:rPr>
                </w:pPr>
              </w:p>
            </w:tc>
          </w:tr>
          <w:tr w:rsidR="00D21C1F" w14:paraId="50FA6AE4" w14:textId="77777777" w:rsidTr="00DD0B1B">
            <w:sdt>
              <w:sdtPr>
                <w:rPr>
                  <w:rFonts w:ascii="宋体" w:eastAsia="宋体" w:hAnsi="宋体"/>
                </w:rPr>
                <w:tag w:val="_PLD_aad55d025f3841e2bffcc3792a62e67f"/>
                <w:id w:val="-733241943"/>
                <w:lock w:val="sdtLocked"/>
              </w:sdtPr>
              <w:sdtEndPr/>
              <w:sdtContent>
                <w:tc>
                  <w:tcPr>
                    <w:tcW w:w="998" w:type="pct"/>
                    <w:vAlign w:val="center"/>
                  </w:tcPr>
                  <w:p w14:paraId="5996941D"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4" w:type="pct"/>
                <w:vAlign w:val="center"/>
              </w:tcPr>
              <w:p w14:paraId="00BD0AD5"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6F554F3D"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36CDCA67"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0FDA9E5F" w14:textId="77777777" w:rsidR="00D21C1F" w:rsidRPr="00DD0B1B" w:rsidRDefault="00D21C1F" w:rsidP="00DD0B1B">
                <w:pPr>
                  <w:jc w:val="right"/>
                  <w:rPr>
                    <w:rFonts w:ascii="Times New Roman" w:hAnsi="Times New Roman" w:cs="Times New Roman"/>
                    <w:szCs w:val="21"/>
                  </w:rPr>
                </w:pPr>
              </w:p>
            </w:tc>
          </w:tr>
          <w:tr w:rsidR="00D21C1F" w14:paraId="6631690B" w14:textId="77777777" w:rsidTr="00DD0B1B">
            <w:sdt>
              <w:sdtPr>
                <w:rPr>
                  <w:rFonts w:ascii="宋体" w:eastAsia="宋体" w:hAnsi="宋体"/>
                </w:rPr>
                <w:tag w:val="_PLD_d51399c00ed54bda86e4c2bd21c762c0"/>
                <w:id w:val="-1031107005"/>
                <w:lock w:val="sdtLocked"/>
              </w:sdtPr>
              <w:sdtEndPr/>
              <w:sdtContent>
                <w:tc>
                  <w:tcPr>
                    <w:tcW w:w="998" w:type="pct"/>
                    <w:vAlign w:val="center"/>
                  </w:tcPr>
                  <w:p w14:paraId="31E39880"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4" w:type="pct"/>
                <w:vAlign w:val="center"/>
              </w:tcPr>
              <w:p w14:paraId="035E4104"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51F0FA1D"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24B80533"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42AC4720" w14:textId="77777777" w:rsidR="00D21C1F" w:rsidRPr="00DD0B1B" w:rsidRDefault="00D21C1F" w:rsidP="00DD0B1B">
                <w:pPr>
                  <w:jc w:val="right"/>
                  <w:rPr>
                    <w:rFonts w:ascii="Times New Roman" w:hAnsi="Times New Roman" w:cs="Times New Roman"/>
                    <w:szCs w:val="21"/>
                  </w:rPr>
                </w:pPr>
              </w:p>
            </w:tc>
          </w:tr>
          <w:tr w:rsidR="00D21C1F" w14:paraId="7AD46492" w14:textId="77777777" w:rsidTr="00DD0B1B">
            <w:sdt>
              <w:sdtPr>
                <w:rPr>
                  <w:rFonts w:ascii="宋体" w:eastAsia="宋体" w:hAnsi="宋体"/>
                </w:rPr>
                <w:tag w:val="_PLD_263f4e1c664a4834a814f0a366c8e919"/>
                <w:id w:val="-22485827"/>
                <w:lock w:val="sdtLocked"/>
              </w:sdtPr>
              <w:sdtEndPr/>
              <w:sdtContent>
                <w:tc>
                  <w:tcPr>
                    <w:tcW w:w="998" w:type="pct"/>
                    <w:vAlign w:val="center"/>
                  </w:tcPr>
                  <w:p w14:paraId="1097C3B5"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4" w:type="pct"/>
                <w:vAlign w:val="center"/>
              </w:tcPr>
              <w:p w14:paraId="293BC222"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749361D9"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551DB752"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700E976F" w14:textId="77777777" w:rsidR="00D21C1F" w:rsidRPr="00DD0B1B" w:rsidRDefault="00D21C1F" w:rsidP="00DD0B1B">
                <w:pPr>
                  <w:jc w:val="right"/>
                  <w:rPr>
                    <w:rFonts w:ascii="Times New Roman" w:hAnsi="Times New Roman" w:cs="Times New Roman"/>
                    <w:szCs w:val="21"/>
                  </w:rPr>
                </w:pPr>
              </w:p>
            </w:tc>
          </w:tr>
          <w:tr w:rsidR="00D21C1F" w14:paraId="1ADCA04A" w14:textId="77777777" w:rsidTr="00DD0B1B">
            <w:sdt>
              <w:sdtPr>
                <w:rPr>
                  <w:rFonts w:ascii="宋体" w:eastAsia="宋体" w:hAnsi="宋体"/>
                </w:rPr>
                <w:tag w:val="_PLD_7103eee28f42440cb40df55e6701cb49"/>
                <w:id w:val="-2145254147"/>
                <w:lock w:val="sdtLocked"/>
              </w:sdtPr>
              <w:sdtEndPr/>
              <w:sdtContent>
                <w:tc>
                  <w:tcPr>
                    <w:tcW w:w="998" w:type="pct"/>
                    <w:vAlign w:val="center"/>
                  </w:tcPr>
                  <w:p w14:paraId="412340EE"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4" w:type="pct"/>
                <w:vAlign w:val="center"/>
              </w:tcPr>
              <w:p w14:paraId="007EC919"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1AF5875F"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5856FF55"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1C8E5196" w14:textId="77777777" w:rsidR="00D21C1F" w:rsidRPr="00DD0B1B" w:rsidRDefault="00D21C1F" w:rsidP="00DD0B1B">
                <w:pPr>
                  <w:jc w:val="right"/>
                  <w:rPr>
                    <w:rFonts w:ascii="Times New Roman" w:hAnsi="Times New Roman" w:cs="Times New Roman"/>
                    <w:szCs w:val="21"/>
                  </w:rPr>
                </w:pPr>
              </w:p>
            </w:tc>
          </w:tr>
          <w:tr w:rsidR="00D21C1F" w14:paraId="4EE6B52C" w14:textId="77777777" w:rsidTr="00DD0B1B">
            <w:sdt>
              <w:sdtPr>
                <w:rPr>
                  <w:rFonts w:ascii="宋体" w:eastAsia="宋体" w:hAnsi="宋体"/>
                </w:rPr>
                <w:tag w:val="_PLD_bb1ed7ee4d284f95847b09a20e54710f"/>
                <w:id w:val="-1242104371"/>
                <w:lock w:val="sdtLocked"/>
              </w:sdtPr>
              <w:sdtEndPr/>
              <w:sdtContent>
                <w:tc>
                  <w:tcPr>
                    <w:tcW w:w="998" w:type="pct"/>
                    <w:vAlign w:val="center"/>
                  </w:tcPr>
                  <w:p w14:paraId="1CFE0496"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4" w:type="pct"/>
                <w:vAlign w:val="center"/>
              </w:tcPr>
              <w:p w14:paraId="5802AFD4"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7A2040D6"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4264565E"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1E521B1C" w14:textId="77777777" w:rsidR="00D21C1F" w:rsidRPr="00DD0B1B" w:rsidRDefault="00D21C1F" w:rsidP="00DD0B1B">
                <w:pPr>
                  <w:jc w:val="right"/>
                  <w:rPr>
                    <w:rFonts w:ascii="Times New Roman" w:hAnsi="Times New Roman" w:cs="Times New Roman"/>
                    <w:szCs w:val="21"/>
                  </w:rPr>
                </w:pPr>
              </w:p>
            </w:tc>
          </w:tr>
          <w:tr w:rsidR="00D21C1F" w14:paraId="52F0CD89" w14:textId="77777777" w:rsidTr="00DD0B1B">
            <w:tc>
              <w:tcPr>
                <w:tcW w:w="998" w:type="pct"/>
                <w:vAlign w:val="center"/>
              </w:tcPr>
              <w:sdt>
                <w:sdtPr>
                  <w:rPr>
                    <w:rFonts w:ascii="宋体" w:eastAsia="宋体" w:hAnsi="宋体" w:hint="eastAsia"/>
                    <w:sz w:val="21"/>
                    <w:szCs w:val="21"/>
                    <w:lang w:eastAsia="zh-CN"/>
                  </w:rPr>
                  <w:tag w:val="_PLD_4f4ae619a7e049d7a297497cfaf7c7a3"/>
                  <w:id w:val="602996646"/>
                  <w:lock w:val="sdtLocked"/>
                </w:sdtPr>
                <w:sdtEndPr/>
                <w:sdtContent>
                  <w:p w14:paraId="03C13513" w14:textId="77777777" w:rsidR="00D21C1F" w:rsidRDefault="00A42880">
                    <w:pPr>
                      <w:pStyle w:val="130"/>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74" w:type="pct"/>
                <w:vAlign w:val="center"/>
              </w:tcPr>
              <w:p w14:paraId="261DD672"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1,714,466.94</w:t>
                </w:r>
              </w:p>
            </w:tc>
            <w:tc>
              <w:tcPr>
                <w:tcW w:w="1094" w:type="pct"/>
                <w:vAlign w:val="center"/>
              </w:tcPr>
              <w:p w14:paraId="61B8A443"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1094" w:type="pct"/>
                <w:vAlign w:val="center"/>
              </w:tcPr>
              <w:p w14:paraId="038277CF"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940" w:type="pct"/>
                <w:vAlign w:val="center"/>
              </w:tcPr>
              <w:p w14:paraId="3F3AEF08"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1,714,466.94</w:t>
                </w:r>
              </w:p>
            </w:tc>
          </w:tr>
          <w:tr w:rsidR="00D21C1F" w14:paraId="1F454CC6" w14:textId="77777777" w:rsidTr="00DD0B1B">
            <w:sdt>
              <w:sdtPr>
                <w:rPr>
                  <w:rFonts w:ascii="宋体" w:eastAsia="宋体" w:hAnsi="宋体"/>
                </w:rPr>
                <w:tag w:val="_PLD_f623f4998cf8469785fccf1dc23e23f4"/>
                <w:id w:val="-210804144"/>
                <w:lock w:val="sdtLocked"/>
              </w:sdtPr>
              <w:sdtEndPr/>
              <w:sdtContent>
                <w:tc>
                  <w:tcPr>
                    <w:tcW w:w="998" w:type="pct"/>
                    <w:vAlign w:val="center"/>
                  </w:tcPr>
                  <w:p w14:paraId="7B09F37B"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4" w:type="pct"/>
                <w:vAlign w:val="center"/>
              </w:tcPr>
              <w:p w14:paraId="47CEB968"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60ABB135"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35BA23B5"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40F8AE58" w14:textId="77777777" w:rsidR="00D21C1F" w:rsidRPr="00DD0B1B" w:rsidRDefault="00D21C1F" w:rsidP="00DD0B1B">
                <w:pPr>
                  <w:jc w:val="right"/>
                  <w:rPr>
                    <w:rFonts w:ascii="Times New Roman" w:hAnsi="Times New Roman" w:cs="Times New Roman"/>
                    <w:szCs w:val="21"/>
                  </w:rPr>
                </w:pPr>
              </w:p>
            </w:tc>
          </w:tr>
          <w:tr w:rsidR="00D21C1F" w14:paraId="44FF4E2E" w14:textId="77777777" w:rsidTr="00DD0B1B">
            <w:tc>
              <w:tcPr>
                <w:tcW w:w="998" w:type="pct"/>
                <w:vAlign w:val="center"/>
              </w:tcPr>
              <w:sdt>
                <w:sdtPr>
                  <w:rPr>
                    <w:rFonts w:ascii="宋体" w:eastAsia="宋体" w:hAnsi="宋体" w:hint="eastAsia"/>
                    <w:sz w:val="21"/>
                    <w:szCs w:val="21"/>
                    <w:lang w:eastAsia="zh-CN"/>
                  </w:rPr>
                  <w:tag w:val="_PLD_7d1faf2fb9f748e597402d52d41da0c3"/>
                  <w:id w:val="-333458090"/>
                  <w:lock w:val="sdtLocked"/>
                </w:sdtPr>
                <w:sdtEndPr/>
                <w:sdtContent>
                  <w:p w14:paraId="409F037F" w14:textId="77777777" w:rsidR="00D21C1F" w:rsidRDefault="00A42880">
                    <w:pPr>
                      <w:pStyle w:val="130"/>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74" w:type="pct"/>
                <w:vAlign w:val="center"/>
              </w:tcPr>
              <w:p w14:paraId="2F56087D"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129065BA"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489B3A88"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06214276" w14:textId="77777777" w:rsidR="00D21C1F" w:rsidRPr="00DD0B1B" w:rsidRDefault="00D21C1F" w:rsidP="00DD0B1B">
                <w:pPr>
                  <w:jc w:val="right"/>
                  <w:rPr>
                    <w:rFonts w:ascii="Times New Roman" w:hAnsi="Times New Roman" w:cs="Times New Roman"/>
                    <w:szCs w:val="21"/>
                  </w:rPr>
                </w:pPr>
              </w:p>
            </w:tc>
          </w:tr>
          <w:tr w:rsidR="00D21C1F" w14:paraId="1F366F64" w14:textId="77777777" w:rsidTr="00DD0B1B">
            <w:sdt>
              <w:sdtPr>
                <w:rPr>
                  <w:rFonts w:ascii="宋体" w:eastAsia="宋体" w:hAnsi="宋体"/>
                </w:rPr>
                <w:tag w:val="_PLD_fd84f390e6184019aab02c9d3845e31d"/>
                <w:id w:val="-1647351466"/>
                <w:lock w:val="sdtLocked"/>
              </w:sdtPr>
              <w:sdtEndPr/>
              <w:sdtContent>
                <w:tc>
                  <w:tcPr>
                    <w:tcW w:w="998" w:type="pct"/>
                    <w:vAlign w:val="center"/>
                  </w:tcPr>
                  <w:p w14:paraId="11672616" w14:textId="77777777" w:rsidR="00D21C1F" w:rsidRDefault="00A42880">
                    <w:pPr>
                      <w:pStyle w:val="130"/>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4" w:type="pct"/>
                <w:vAlign w:val="center"/>
              </w:tcPr>
              <w:p w14:paraId="3D2CD8A2"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7C7F92FE" w14:textId="77777777" w:rsidR="00D21C1F" w:rsidRPr="00DD0B1B" w:rsidRDefault="00D21C1F" w:rsidP="00DD0B1B">
                <w:pPr>
                  <w:jc w:val="right"/>
                  <w:rPr>
                    <w:rFonts w:ascii="Times New Roman" w:hAnsi="Times New Roman" w:cs="Times New Roman"/>
                    <w:szCs w:val="21"/>
                  </w:rPr>
                </w:pPr>
              </w:p>
            </w:tc>
            <w:tc>
              <w:tcPr>
                <w:tcW w:w="1094" w:type="pct"/>
                <w:vAlign w:val="center"/>
              </w:tcPr>
              <w:p w14:paraId="453719CD" w14:textId="77777777" w:rsidR="00D21C1F" w:rsidRPr="00DD0B1B" w:rsidRDefault="00D21C1F" w:rsidP="00DD0B1B">
                <w:pPr>
                  <w:jc w:val="right"/>
                  <w:rPr>
                    <w:rFonts w:ascii="Times New Roman" w:hAnsi="Times New Roman" w:cs="Times New Roman"/>
                    <w:szCs w:val="21"/>
                  </w:rPr>
                </w:pPr>
              </w:p>
            </w:tc>
            <w:tc>
              <w:tcPr>
                <w:tcW w:w="940" w:type="pct"/>
                <w:vAlign w:val="center"/>
              </w:tcPr>
              <w:p w14:paraId="6DE5AD4E" w14:textId="77777777" w:rsidR="00D21C1F" w:rsidRPr="00DD0B1B" w:rsidRDefault="00D21C1F" w:rsidP="00DD0B1B">
                <w:pPr>
                  <w:jc w:val="right"/>
                  <w:rPr>
                    <w:rFonts w:ascii="Times New Roman" w:hAnsi="Times New Roman" w:cs="Times New Roman"/>
                    <w:szCs w:val="21"/>
                  </w:rPr>
                </w:pPr>
              </w:p>
            </w:tc>
          </w:tr>
          <w:tr w:rsidR="00D21C1F" w14:paraId="3A1B26B5" w14:textId="77777777" w:rsidTr="00DD0B1B">
            <w:sdt>
              <w:sdtPr>
                <w:rPr>
                  <w:rFonts w:ascii="宋体" w:eastAsia="宋体" w:hAnsi="宋体"/>
                </w:rPr>
                <w:tag w:val="_PLD_04cab04851ab496e8220fc8c946b10a5"/>
                <w:id w:val="1849061435"/>
                <w:lock w:val="sdtLocked"/>
              </w:sdtPr>
              <w:sdtEndPr/>
              <w:sdtContent>
                <w:tc>
                  <w:tcPr>
                    <w:tcW w:w="998" w:type="pct"/>
                    <w:vAlign w:val="center"/>
                  </w:tcPr>
                  <w:p w14:paraId="065C1218" w14:textId="77777777" w:rsidR="00D21C1F" w:rsidRDefault="00A42880">
                    <w:pPr>
                      <w:pStyle w:val="130"/>
                      <w:spacing w:after="0" w:line="240" w:lineRule="auto"/>
                      <w:rPr>
                        <w:rFonts w:ascii="宋体" w:eastAsia="宋体" w:hAnsi="宋体" w:cs="宋体"/>
                        <w:sz w:val="21"/>
                        <w:szCs w:val="21"/>
                        <w:lang w:eastAsia="zh-CN"/>
                      </w:rPr>
                    </w:pPr>
                    <w:r>
                      <w:rPr>
                        <w:rFonts w:ascii="Times New Roman" w:eastAsia="宋体" w:hAnsi="Times New Roman" w:cs="宋体"/>
                        <w:sz w:val="21"/>
                        <w:szCs w:val="21"/>
                        <w:lang w:eastAsia="zh-CN"/>
                      </w:rPr>
                      <w:t>2021</w:t>
                    </w:r>
                    <w:r>
                      <w:rPr>
                        <w:rFonts w:ascii="宋体" w:eastAsia="宋体" w:hAnsi="宋体" w:cs="宋体"/>
                        <w:sz w:val="21"/>
                        <w:szCs w:val="21"/>
                        <w:lang w:eastAsia="zh-CN"/>
                      </w:rPr>
                      <w:t>年</w:t>
                    </w:r>
                    <w:r>
                      <w:rPr>
                        <w:rFonts w:ascii="Times New Roman" w:eastAsia="宋体" w:hAnsi="Times New Roman" w:cs="宋体"/>
                        <w:sz w:val="21"/>
                        <w:szCs w:val="21"/>
                        <w:lang w:eastAsia="zh-CN"/>
                      </w:rPr>
                      <w:t>6</w:t>
                    </w:r>
                    <w:r>
                      <w:rPr>
                        <w:rFonts w:ascii="宋体" w:eastAsia="宋体" w:hAnsi="宋体" w:cs="宋体"/>
                        <w:sz w:val="21"/>
                        <w:szCs w:val="21"/>
                        <w:lang w:eastAsia="zh-CN"/>
                      </w:rPr>
                      <w:t>月</w:t>
                    </w:r>
                    <w:r>
                      <w:rPr>
                        <w:rFonts w:ascii="Times New Roman" w:eastAsia="宋体" w:hAnsi="Times New Roman" w:cs="宋体"/>
                        <w:sz w:val="21"/>
                        <w:szCs w:val="21"/>
                        <w:lang w:eastAsia="zh-CN"/>
                      </w:rPr>
                      <w:t>30</w:t>
                    </w:r>
                    <w:r>
                      <w:rPr>
                        <w:rFonts w:ascii="宋体" w:eastAsia="宋体" w:hAnsi="宋体" w:cs="宋体"/>
                        <w:sz w:val="21"/>
                        <w:szCs w:val="21"/>
                        <w:lang w:eastAsia="zh-CN"/>
                      </w:rPr>
                      <w:t>日</w:t>
                    </w:r>
                    <w:r>
                      <w:rPr>
                        <w:rFonts w:ascii="宋体" w:eastAsia="宋体" w:hAnsi="宋体" w:cs="宋体" w:hint="eastAsia"/>
                        <w:sz w:val="21"/>
                        <w:szCs w:val="21"/>
                        <w:lang w:eastAsia="zh-CN"/>
                      </w:rPr>
                      <w:t>余额</w:t>
                    </w:r>
                  </w:p>
                </w:tc>
              </w:sdtContent>
            </w:sdt>
            <w:tc>
              <w:tcPr>
                <w:tcW w:w="874" w:type="pct"/>
                <w:vAlign w:val="center"/>
              </w:tcPr>
              <w:p w14:paraId="152ED021"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20,615,055.86</w:t>
                </w:r>
              </w:p>
            </w:tc>
            <w:tc>
              <w:tcPr>
                <w:tcW w:w="1094" w:type="pct"/>
                <w:vAlign w:val="center"/>
              </w:tcPr>
              <w:p w14:paraId="3FF33850"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1094" w:type="pct"/>
                <w:vAlign w:val="center"/>
              </w:tcPr>
              <w:p w14:paraId="70C422FC"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1,437,500.00</w:t>
                </w:r>
              </w:p>
            </w:tc>
            <w:tc>
              <w:tcPr>
                <w:tcW w:w="940" w:type="pct"/>
                <w:vAlign w:val="center"/>
              </w:tcPr>
              <w:p w14:paraId="2F7F1A27"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22,052,555.86</w:t>
                </w:r>
              </w:p>
            </w:tc>
          </w:tr>
        </w:tbl>
        <w:p w14:paraId="3EA8ADBE" w14:textId="77777777" w:rsidR="00D21C1F" w:rsidRDefault="00A42880">
          <w:pPr>
            <w:pStyle w:val="38"/>
            <w:rPr>
              <w:rFonts w:ascii="宋体" w:hAnsi="宋体"/>
            </w:rPr>
          </w:pPr>
          <w:r>
            <w:rPr>
              <w:rFonts w:ascii="宋体" w:hAnsi="宋体"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229310752"/>
            <w:lock w:val="sdtLocked"/>
            <w:placeholder>
              <w:docPart w:val="GBC22222222222222222222222222222"/>
            </w:placeholder>
          </w:sdtPr>
          <w:sdtEndPr/>
          <w:sdtContent>
            <w:p w14:paraId="681E308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937C6F0" w14:textId="77777777" w:rsidR="00D21C1F" w:rsidRDefault="00A42880">
          <w:pPr>
            <w:pStyle w:val="97"/>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964932701"/>
            <w:lock w:val="sdtLocked"/>
            <w:placeholder>
              <w:docPart w:val="GBC22222222222222222222222222222"/>
            </w:placeholder>
          </w:sdtPr>
          <w:sdtEndPr/>
          <w:sdtContent>
            <w:p w14:paraId="1BD7CB9E"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AB2B7D" w14:textId="77777777" w:rsidR="00D21C1F" w:rsidRDefault="00045EC6">
          <w:pPr>
            <w:rPr>
              <w:szCs w:val="21"/>
            </w:rPr>
          </w:pPr>
        </w:p>
      </w:sdtContent>
    </w:sdt>
    <w:bookmarkEnd w:id="331" w:displacedByCustomXml="next"/>
    <w:bookmarkStart w:id="332" w:name="_Hlk10548122" w:displacedByCustomXml="next"/>
    <w:sdt>
      <w:sdtPr>
        <w:rPr>
          <w:rFonts w:ascii="宋体" w:eastAsia="宋体" w:hAnsi="宋体" w:cs="宋体" w:hint="eastAsia"/>
          <w:b w:val="0"/>
          <w:bCs w:val="0"/>
          <w:kern w:val="0"/>
          <w:szCs w:val="21"/>
        </w:rPr>
        <w:alias w:val="模块:坏账准备的情况"/>
        <w:tag w:val="_SEC_7efe43f77bc44437a16fe9cc44dc64d6"/>
        <w:id w:val="-431824578"/>
        <w:lock w:val="sdtLocked"/>
        <w:placeholder>
          <w:docPart w:val="GBC22222222222222222222222222222"/>
        </w:placeholder>
      </w:sdtPr>
      <w:sdtEndPr>
        <w:rPr>
          <w:rFonts w:hint="default"/>
        </w:rPr>
      </w:sdtEndPr>
      <w:sdtContent>
        <w:p w14:paraId="01B03201" w14:textId="77777777" w:rsidR="00D21C1F" w:rsidRDefault="00A42880">
          <w:pPr>
            <w:pStyle w:val="93"/>
            <w:numPr>
              <w:ilvl w:val="3"/>
              <w:numId w:val="150"/>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395819745"/>
            <w:lock w:val="sdtLocked"/>
            <w:placeholder>
              <w:docPart w:val="GBC22222222222222222222222222222"/>
            </w:placeholder>
          </w:sdtPr>
          <w:sdtEndPr/>
          <w:sdtContent>
            <w:p w14:paraId="5F7B10C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406A69" w14:textId="77777777" w:rsidR="00D21C1F" w:rsidRDefault="00A42880">
          <w:pPr>
            <w:snapToGrid w:val="0"/>
            <w:spacing w:line="240" w:lineRule="atLeast"/>
            <w:ind w:left="425"/>
            <w:jc w:val="right"/>
            <w:rPr>
              <w:szCs w:val="21"/>
            </w:rPr>
          </w:pPr>
          <w:r>
            <w:rPr>
              <w:rFonts w:hint="eastAsia"/>
              <w:szCs w:val="21"/>
            </w:rPr>
            <w:t>单位：</w:t>
          </w:r>
          <w:sdt>
            <w:sdtPr>
              <w:rPr>
                <w:rFonts w:hint="eastAsia"/>
                <w:szCs w:val="21"/>
              </w:rPr>
              <w:alias w:val="单位：其他应收款坏账准备"/>
              <w:tag w:val="_GBC_61bb3d08ce2d41d5ad87b4c691e409ad"/>
              <w:id w:val="28508150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其他应收款坏账准备"/>
              <w:tag w:val="_GBC_d9e85c814c564e7782149971f7c23ba2"/>
              <w:id w:val="-14480844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01"/>
            <w:gridCol w:w="1528"/>
            <w:gridCol w:w="1422"/>
            <w:gridCol w:w="1329"/>
            <w:gridCol w:w="962"/>
            <w:gridCol w:w="955"/>
            <w:gridCol w:w="1526"/>
          </w:tblGrid>
          <w:tr w:rsidR="00D21C1F" w14:paraId="6490393E" w14:textId="77777777">
            <w:sdt>
              <w:sdtPr>
                <w:tag w:val="_PLD_eb515a63c0e744098c94b279d63caf4e"/>
                <w:id w:val="-757515489"/>
                <w:lock w:val="sdtLocked"/>
              </w:sdtPr>
              <w:sdtEndPr/>
              <w:sdtContent>
                <w:tc>
                  <w:tcPr>
                    <w:tcW w:w="624" w:type="pct"/>
                    <w:vMerge w:val="restart"/>
                    <w:shd w:val="clear" w:color="auto" w:fill="FFFFFF"/>
                    <w:vAlign w:val="center"/>
                  </w:tcPr>
                  <w:p w14:paraId="353EF1C5" w14:textId="77777777" w:rsidR="00D21C1F" w:rsidRDefault="00A42880">
                    <w:pPr>
                      <w:widowControl w:val="0"/>
                      <w:jc w:val="center"/>
                    </w:pPr>
                    <w:r>
                      <w:t>类别</w:t>
                    </w:r>
                  </w:p>
                </w:tc>
              </w:sdtContent>
            </w:sdt>
            <w:sdt>
              <w:sdtPr>
                <w:tag w:val="_PLD_a39850dac4d142e8b7a712dce9edad36"/>
                <w:id w:val="1797173396"/>
                <w:lock w:val="sdtLocked"/>
              </w:sdtPr>
              <w:sdtEndPr/>
              <w:sdtContent>
                <w:tc>
                  <w:tcPr>
                    <w:tcW w:w="866" w:type="pct"/>
                    <w:vMerge w:val="restart"/>
                    <w:shd w:val="clear" w:color="auto" w:fill="FFFFFF"/>
                    <w:vAlign w:val="center"/>
                  </w:tcPr>
                  <w:p w14:paraId="4ACDF22D" w14:textId="77777777" w:rsidR="00D21C1F" w:rsidRDefault="00A42880">
                    <w:pPr>
                      <w:widowControl w:val="0"/>
                      <w:jc w:val="center"/>
                    </w:pPr>
                    <w:r>
                      <w:t>期初余额</w:t>
                    </w:r>
                  </w:p>
                </w:tc>
              </w:sdtContent>
            </w:sdt>
            <w:sdt>
              <w:sdtPr>
                <w:tag w:val="_PLD_96686c7add8a4f2a8fa109c753f44a0b"/>
                <w:id w:val="1869878668"/>
                <w:lock w:val="sdtLocked"/>
              </w:sdtPr>
              <w:sdtEndPr/>
              <w:sdtContent>
                <w:tc>
                  <w:tcPr>
                    <w:tcW w:w="2645" w:type="pct"/>
                    <w:gridSpan w:val="4"/>
                    <w:shd w:val="clear" w:color="auto" w:fill="FFFFFF"/>
                    <w:vAlign w:val="center"/>
                  </w:tcPr>
                  <w:p w14:paraId="59D0797E" w14:textId="77777777" w:rsidR="00D21C1F" w:rsidRDefault="00A42880">
                    <w:pPr>
                      <w:widowControl w:val="0"/>
                      <w:jc w:val="center"/>
                    </w:pPr>
                    <w:r>
                      <w:rPr>
                        <w:rFonts w:hint="eastAsia"/>
                      </w:rPr>
                      <w:t>本期变动</w:t>
                    </w:r>
                    <w:r>
                      <w:t>金额</w:t>
                    </w:r>
                  </w:p>
                </w:tc>
              </w:sdtContent>
            </w:sdt>
            <w:sdt>
              <w:sdtPr>
                <w:tag w:val="_PLD_2aef0abd937f4f5283fac84c8a1afc2d"/>
                <w:id w:val="-712268164"/>
                <w:lock w:val="sdtLocked"/>
              </w:sdtPr>
              <w:sdtEndPr/>
              <w:sdtContent>
                <w:tc>
                  <w:tcPr>
                    <w:tcW w:w="865" w:type="pct"/>
                    <w:vMerge w:val="restart"/>
                    <w:shd w:val="clear" w:color="auto" w:fill="FFFFFF"/>
                    <w:vAlign w:val="center"/>
                  </w:tcPr>
                  <w:p w14:paraId="2DD1CC1D" w14:textId="77777777" w:rsidR="00D21C1F" w:rsidRDefault="00A42880">
                    <w:pPr>
                      <w:widowControl w:val="0"/>
                      <w:jc w:val="center"/>
                    </w:pPr>
                    <w:r>
                      <w:t>期末余额</w:t>
                    </w:r>
                  </w:p>
                </w:tc>
              </w:sdtContent>
            </w:sdt>
          </w:tr>
          <w:tr w:rsidR="00D21C1F" w14:paraId="4E539EF9" w14:textId="77777777">
            <w:tc>
              <w:tcPr>
                <w:tcW w:w="624" w:type="pct"/>
                <w:vMerge/>
                <w:shd w:val="clear" w:color="auto" w:fill="FFFFFF"/>
              </w:tcPr>
              <w:p w14:paraId="0BF0EF05" w14:textId="77777777" w:rsidR="00D21C1F" w:rsidRDefault="00D21C1F">
                <w:pPr>
                  <w:widowControl w:val="0"/>
                  <w:jc w:val="center"/>
                </w:pPr>
              </w:p>
            </w:tc>
            <w:tc>
              <w:tcPr>
                <w:tcW w:w="866" w:type="pct"/>
                <w:vMerge/>
                <w:shd w:val="clear" w:color="auto" w:fill="FFFFFF"/>
              </w:tcPr>
              <w:p w14:paraId="350E5115" w14:textId="77777777" w:rsidR="00D21C1F" w:rsidRDefault="00D21C1F">
                <w:pPr>
                  <w:widowControl w:val="0"/>
                  <w:jc w:val="center"/>
                </w:pPr>
              </w:p>
            </w:tc>
            <w:sdt>
              <w:sdtPr>
                <w:tag w:val="_PLD_0d882cd108804ecc85c8ea70ca9a0022"/>
                <w:id w:val="1122502232"/>
                <w:lock w:val="sdtLocked"/>
              </w:sdtPr>
              <w:sdtEndPr/>
              <w:sdtContent>
                <w:tc>
                  <w:tcPr>
                    <w:tcW w:w="806" w:type="pct"/>
                    <w:shd w:val="clear" w:color="auto" w:fill="FFFFFF"/>
                    <w:vAlign w:val="center"/>
                  </w:tcPr>
                  <w:p w14:paraId="01496A4D" w14:textId="77777777" w:rsidR="00D21C1F" w:rsidRDefault="00A42880">
                    <w:pPr>
                      <w:widowControl w:val="0"/>
                      <w:jc w:val="center"/>
                    </w:pPr>
                    <w:r>
                      <w:t>计提</w:t>
                    </w:r>
                  </w:p>
                </w:tc>
              </w:sdtContent>
            </w:sdt>
            <w:sdt>
              <w:sdtPr>
                <w:tag w:val="_PLD_e2116bf770074307b5326d2e261c8b91"/>
                <w:id w:val="-1792897487"/>
                <w:lock w:val="sdtLocked"/>
              </w:sdtPr>
              <w:sdtEndPr/>
              <w:sdtContent>
                <w:tc>
                  <w:tcPr>
                    <w:tcW w:w="753" w:type="pct"/>
                    <w:shd w:val="clear" w:color="auto" w:fill="FFFFFF"/>
                    <w:vAlign w:val="center"/>
                  </w:tcPr>
                  <w:p w14:paraId="787FAD03" w14:textId="77777777" w:rsidR="00D21C1F" w:rsidRDefault="00A42880">
                    <w:pPr>
                      <w:widowControl w:val="0"/>
                      <w:jc w:val="center"/>
                    </w:pPr>
                    <w:r>
                      <w:rPr>
                        <w:rFonts w:hint="eastAsia"/>
                      </w:rPr>
                      <w:t>收回或转回</w:t>
                    </w:r>
                  </w:p>
                </w:tc>
              </w:sdtContent>
            </w:sdt>
            <w:sdt>
              <w:sdtPr>
                <w:tag w:val="_PLD_ecb1755ff206448580b99e0999e516f9"/>
                <w:id w:val="1485348869"/>
                <w:lock w:val="sdtLocked"/>
              </w:sdtPr>
              <w:sdtEndPr/>
              <w:sdtContent>
                <w:tc>
                  <w:tcPr>
                    <w:tcW w:w="545" w:type="pct"/>
                    <w:shd w:val="clear" w:color="auto" w:fill="FFFFFF"/>
                    <w:vAlign w:val="center"/>
                  </w:tcPr>
                  <w:p w14:paraId="551D5043" w14:textId="77777777" w:rsidR="00D21C1F" w:rsidRDefault="00A42880">
                    <w:pPr>
                      <w:widowControl w:val="0"/>
                      <w:jc w:val="center"/>
                    </w:pPr>
                    <w:r>
                      <w:rPr>
                        <w:rFonts w:hint="eastAsia"/>
                      </w:rPr>
                      <w:t>转销或核销</w:t>
                    </w:r>
                  </w:p>
                </w:tc>
              </w:sdtContent>
            </w:sdt>
            <w:tc>
              <w:tcPr>
                <w:tcW w:w="541" w:type="pct"/>
                <w:shd w:val="clear" w:color="auto" w:fill="FFFFFF"/>
                <w:vAlign w:val="center"/>
              </w:tcPr>
              <w:sdt>
                <w:sdtPr>
                  <w:rPr>
                    <w:rFonts w:hint="eastAsia"/>
                  </w:rPr>
                  <w:tag w:val="_PLD_1b39a62bca3c4844a14e6b043f874971"/>
                  <w:id w:val="945584592"/>
                  <w:lock w:val="sdtLocked"/>
                </w:sdtPr>
                <w:sdtEndPr/>
                <w:sdtContent>
                  <w:p w14:paraId="609D0F9A" w14:textId="77777777" w:rsidR="00D21C1F" w:rsidRDefault="00A42880">
                    <w:pPr>
                      <w:widowControl w:val="0"/>
                      <w:jc w:val="right"/>
                    </w:pPr>
                    <w:r>
                      <w:rPr>
                        <w:rFonts w:hint="eastAsia"/>
                      </w:rPr>
                      <w:t>其他变动</w:t>
                    </w:r>
                  </w:p>
                </w:sdtContent>
              </w:sdt>
            </w:tc>
            <w:tc>
              <w:tcPr>
                <w:tcW w:w="865" w:type="pct"/>
                <w:vMerge/>
                <w:shd w:val="clear" w:color="auto" w:fill="FFFFFF"/>
              </w:tcPr>
              <w:p w14:paraId="046C6B0E" w14:textId="77777777" w:rsidR="00D21C1F" w:rsidRDefault="00D21C1F">
                <w:pPr>
                  <w:widowControl w:val="0"/>
                  <w:jc w:val="right"/>
                </w:pPr>
              </w:p>
            </w:tc>
          </w:tr>
          <w:sdt>
            <w:sdtPr>
              <w:alias w:val="其他应收款坏账准备明细"/>
              <w:tag w:val="_TUP_57c26c8d4c2d4626b7f224edb53fa9e6"/>
              <w:id w:val="1989658682"/>
              <w:lock w:val="sdtLocked"/>
            </w:sdtPr>
            <w:sdtEndPr>
              <w:rPr>
                <w:rFonts w:ascii="Times New Roman" w:hAnsi="Times New Roman" w:cs="Times New Roman"/>
              </w:rPr>
            </w:sdtEndPr>
            <w:sdtContent>
              <w:tr w:rsidR="00D21C1F" w14:paraId="29EA9EEF" w14:textId="77777777">
                <w:tc>
                  <w:tcPr>
                    <w:tcW w:w="624" w:type="pct"/>
                    <w:shd w:val="clear" w:color="auto" w:fill="auto"/>
                  </w:tcPr>
                  <w:p w14:paraId="79069AB5" w14:textId="77777777" w:rsidR="00D21C1F" w:rsidRDefault="00A42880">
                    <w:pPr>
                      <w:widowControl w:val="0"/>
                    </w:pPr>
                    <w:r>
                      <w:t>第一阶段</w:t>
                    </w:r>
                  </w:p>
                </w:tc>
                <w:tc>
                  <w:tcPr>
                    <w:tcW w:w="866" w:type="pct"/>
                    <w:shd w:val="clear" w:color="auto" w:fill="auto"/>
                    <w:vAlign w:val="bottom"/>
                  </w:tcPr>
                  <w:p w14:paraId="0D6A134F"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22,329,522.80</w:t>
                    </w:r>
                  </w:p>
                </w:tc>
                <w:tc>
                  <w:tcPr>
                    <w:tcW w:w="806" w:type="pct"/>
                    <w:shd w:val="clear" w:color="auto" w:fill="auto"/>
                    <w:vAlign w:val="bottom"/>
                  </w:tcPr>
                  <w:p w14:paraId="3973736C"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753" w:type="pct"/>
                    <w:shd w:val="clear" w:color="auto" w:fill="auto"/>
                    <w:vAlign w:val="bottom"/>
                  </w:tcPr>
                  <w:p w14:paraId="1D1FD924"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1,714,466.94</w:t>
                    </w:r>
                  </w:p>
                </w:tc>
                <w:tc>
                  <w:tcPr>
                    <w:tcW w:w="545" w:type="pct"/>
                    <w:vAlign w:val="center"/>
                  </w:tcPr>
                  <w:p w14:paraId="69DA0AEC"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541" w:type="pct"/>
                    <w:vAlign w:val="center"/>
                  </w:tcPr>
                  <w:p w14:paraId="6CE1FF8F"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865" w:type="pct"/>
                    <w:shd w:val="clear" w:color="auto" w:fill="auto"/>
                    <w:vAlign w:val="bottom"/>
                  </w:tcPr>
                  <w:p w14:paraId="35160C82"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20,615,055.86</w:t>
                    </w:r>
                  </w:p>
                </w:tc>
              </w:tr>
            </w:sdtContent>
          </w:sdt>
          <w:sdt>
            <w:sdtPr>
              <w:alias w:val="其他应收款坏账准备明细"/>
              <w:tag w:val="_TUP_57c26c8d4c2d4626b7f224edb53fa9e6"/>
              <w:id w:val="-896122547"/>
              <w:lock w:val="sdtLocked"/>
            </w:sdtPr>
            <w:sdtEndPr>
              <w:rPr>
                <w:rFonts w:ascii="Times New Roman" w:hAnsi="Times New Roman" w:cs="Times New Roman"/>
              </w:rPr>
            </w:sdtEndPr>
            <w:sdtContent>
              <w:tr w:rsidR="00D21C1F" w14:paraId="66223D0A" w14:textId="77777777">
                <w:tc>
                  <w:tcPr>
                    <w:tcW w:w="624" w:type="pct"/>
                    <w:shd w:val="clear" w:color="auto" w:fill="auto"/>
                  </w:tcPr>
                  <w:p w14:paraId="28E00A25" w14:textId="77777777" w:rsidR="00D21C1F" w:rsidRDefault="00A42880">
                    <w:pPr>
                      <w:widowControl w:val="0"/>
                    </w:pPr>
                    <w:r>
                      <w:t>第三阶段</w:t>
                    </w:r>
                  </w:p>
                </w:tc>
                <w:tc>
                  <w:tcPr>
                    <w:tcW w:w="866" w:type="pct"/>
                    <w:shd w:val="clear" w:color="auto" w:fill="auto"/>
                    <w:vAlign w:val="bottom"/>
                  </w:tcPr>
                  <w:p w14:paraId="35F206AF"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1,437,500.00</w:t>
                    </w:r>
                  </w:p>
                </w:tc>
                <w:tc>
                  <w:tcPr>
                    <w:tcW w:w="806" w:type="pct"/>
                    <w:shd w:val="clear" w:color="auto" w:fill="auto"/>
                    <w:vAlign w:val="bottom"/>
                  </w:tcPr>
                  <w:p w14:paraId="20F727DD"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753" w:type="pct"/>
                    <w:shd w:val="clear" w:color="auto" w:fill="auto"/>
                    <w:vAlign w:val="bottom"/>
                  </w:tcPr>
                  <w:p w14:paraId="44C11D48"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545" w:type="pct"/>
                    <w:vAlign w:val="center"/>
                  </w:tcPr>
                  <w:p w14:paraId="3F8D1E62"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541" w:type="pct"/>
                    <w:vAlign w:val="center"/>
                  </w:tcPr>
                  <w:p w14:paraId="23D37D87"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865" w:type="pct"/>
                    <w:shd w:val="clear" w:color="auto" w:fill="auto"/>
                    <w:vAlign w:val="bottom"/>
                  </w:tcPr>
                  <w:p w14:paraId="03837B6A"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1,437,500.00</w:t>
                    </w:r>
                  </w:p>
                </w:tc>
              </w:tr>
            </w:sdtContent>
          </w:sdt>
          <w:tr w:rsidR="00D21C1F" w14:paraId="7CF48035" w14:textId="77777777">
            <w:sdt>
              <w:sdtPr>
                <w:tag w:val="_PLD_6ecf64f375dd47799ee393325abe39ea"/>
                <w:id w:val="-2099236018"/>
                <w:lock w:val="sdtLocked"/>
              </w:sdtPr>
              <w:sdtEndPr/>
              <w:sdtContent>
                <w:tc>
                  <w:tcPr>
                    <w:tcW w:w="624" w:type="pct"/>
                    <w:shd w:val="clear" w:color="auto" w:fill="auto"/>
                  </w:tcPr>
                  <w:p w14:paraId="4A8C96ED" w14:textId="77777777" w:rsidR="00D21C1F" w:rsidRDefault="00A42880">
                    <w:pPr>
                      <w:widowControl w:val="0"/>
                      <w:jc w:val="center"/>
                    </w:pPr>
                    <w:r>
                      <w:rPr>
                        <w:rFonts w:hint="eastAsia"/>
                      </w:rPr>
                      <w:t>合计</w:t>
                    </w:r>
                  </w:p>
                </w:tc>
              </w:sdtContent>
            </w:sdt>
            <w:tc>
              <w:tcPr>
                <w:tcW w:w="866" w:type="pct"/>
                <w:shd w:val="clear" w:color="auto" w:fill="auto"/>
                <w:vAlign w:val="bottom"/>
              </w:tcPr>
              <w:p w14:paraId="0E86EA54"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23,767,022.80</w:t>
                </w:r>
              </w:p>
            </w:tc>
            <w:tc>
              <w:tcPr>
                <w:tcW w:w="806" w:type="pct"/>
                <w:shd w:val="clear" w:color="auto" w:fill="auto"/>
                <w:vAlign w:val="bottom"/>
              </w:tcPr>
              <w:p w14:paraId="68D83F07"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753" w:type="pct"/>
                <w:shd w:val="clear" w:color="auto" w:fill="auto"/>
                <w:vAlign w:val="bottom"/>
              </w:tcPr>
              <w:p w14:paraId="4AF6D751"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1,714,466.94</w:t>
                </w:r>
              </w:p>
            </w:tc>
            <w:tc>
              <w:tcPr>
                <w:tcW w:w="545" w:type="pct"/>
                <w:vAlign w:val="center"/>
              </w:tcPr>
              <w:p w14:paraId="7AAF2E37"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541" w:type="pct"/>
                <w:vAlign w:val="center"/>
              </w:tcPr>
              <w:p w14:paraId="2D8CF47C"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w:t>
                </w:r>
              </w:p>
            </w:tc>
            <w:tc>
              <w:tcPr>
                <w:tcW w:w="865" w:type="pct"/>
                <w:shd w:val="clear" w:color="auto" w:fill="auto"/>
                <w:vAlign w:val="bottom"/>
              </w:tcPr>
              <w:p w14:paraId="138C004F" w14:textId="77777777" w:rsidR="00D21C1F" w:rsidRPr="00DD0B1B" w:rsidRDefault="00A42880">
                <w:pPr>
                  <w:widowControl w:val="0"/>
                  <w:jc w:val="right"/>
                  <w:rPr>
                    <w:rFonts w:ascii="Times New Roman" w:hAnsi="Times New Roman" w:cs="Times New Roman"/>
                  </w:rPr>
                </w:pPr>
                <w:r w:rsidRPr="00DD0B1B">
                  <w:rPr>
                    <w:rFonts w:ascii="Times New Roman" w:hAnsi="Times New Roman" w:cs="Times New Roman"/>
                  </w:rPr>
                  <w:t>22,052,555.86</w:t>
                </w:r>
              </w:p>
            </w:tc>
          </w:tr>
        </w:tbl>
        <w:p w14:paraId="4AE76338" w14:textId="77777777" w:rsidR="00D21C1F" w:rsidRDefault="00D21C1F">
          <w:pPr>
            <w:pStyle w:val="97"/>
          </w:pPr>
        </w:p>
        <w:p w14:paraId="29D63FD3" w14:textId="77777777" w:rsidR="00D21C1F" w:rsidRDefault="00A42880">
          <w:pPr>
            <w:pStyle w:val="97"/>
          </w:pPr>
          <w:r>
            <w:rPr>
              <w:rFonts w:hint="eastAsia"/>
            </w:rPr>
            <w:t>其中本期坏账准备转回或收回金额重要的：</w:t>
          </w:r>
        </w:p>
        <w:sdt>
          <w:sdtPr>
            <w:alias w:val="是否适用：其中本期其他应收账款坏账准备收回或转回金额重要的[双击切换]"/>
            <w:tag w:val="_GBC_4d2439aebd644da7889b9f279d8a4ec0"/>
            <w:id w:val="2014487839"/>
            <w:lock w:val="sdtLocked"/>
            <w:placeholder>
              <w:docPart w:val="GBC22222222222222222222222222222"/>
            </w:placeholder>
          </w:sdtPr>
          <w:sdtEndPr/>
          <w:sdtContent>
            <w:p w14:paraId="1B5B4B62" w14:textId="77777777" w:rsidR="00D21C1F" w:rsidRDefault="00A4288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32"/>
    <w:p w14:paraId="1867BE41" w14:textId="77777777" w:rsidR="00D21C1F" w:rsidRDefault="00D21C1F">
      <w:pPr>
        <w:ind w:rightChars="-759" w:right="-1594"/>
        <w:rPr>
          <w:szCs w:val="21"/>
        </w:rPr>
      </w:pPr>
    </w:p>
    <w:sdt>
      <w:sdtPr>
        <w:rPr>
          <w:rFonts w:ascii="宋体" w:eastAsia="宋体" w:hAnsi="宋体" w:cs="宋体" w:hint="eastAsia"/>
          <w:b w:val="0"/>
          <w:bCs w:val="0"/>
          <w:kern w:val="0"/>
          <w:szCs w:val="24"/>
        </w:rPr>
        <w:alias w:val="模块:本期实际核销的其他应收款情况"/>
        <w:tag w:val="_SEC_ffe6c87a4f4a49bd9769cbeb746b444b"/>
        <w:id w:val="-254287376"/>
        <w:lock w:val="sdtLocked"/>
        <w:placeholder>
          <w:docPart w:val="GBC22222222222222222222222222222"/>
        </w:placeholder>
      </w:sdtPr>
      <w:sdtEndPr>
        <w:rPr>
          <w:rFonts w:hint="default"/>
          <w:szCs w:val="21"/>
        </w:rPr>
      </w:sdtEndPr>
      <w:sdtContent>
        <w:p w14:paraId="5EFA7A4F" w14:textId="77777777" w:rsidR="00D21C1F" w:rsidRDefault="00A42880">
          <w:pPr>
            <w:pStyle w:val="93"/>
            <w:numPr>
              <w:ilvl w:val="3"/>
              <w:numId w:val="150"/>
            </w:numPr>
            <w:ind w:left="426" w:hanging="426"/>
            <w:rPr>
              <w:rFonts w:ascii="宋体" w:hAnsi="宋体"/>
            </w:rPr>
          </w:pPr>
          <w:r>
            <w:rPr>
              <w:rFonts w:ascii="宋体" w:hAnsi="宋体" w:hint="eastAsia"/>
            </w:rPr>
            <w:t>本期实际核销的其他应收款情况</w:t>
          </w:r>
        </w:p>
        <w:sdt>
          <w:sdtPr>
            <w:alias w:val="是否适用：母公司本期实际核销的其他应收款情况[双击切换]"/>
            <w:tag w:val="_GBC_dd1095756d2b471688ce5b700380fafc"/>
            <w:id w:val="-2115041308"/>
            <w:lock w:val="sdtLocked"/>
            <w:placeholder>
              <w:docPart w:val="GBC22222222222222222222222222222"/>
            </w:placeholder>
          </w:sdtPr>
          <w:sdtEndPr/>
          <w:sdtContent>
            <w:p w14:paraId="4A331977"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应收款核销说明：  "/>
        <w:tag w:val="_SEC_6c44e00a54d34fb1a03f38b7cf5b8a5d"/>
        <w:id w:val="-189764460"/>
        <w:lock w:val="sdtLocked"/>
        <w:placeholder>
          <w:docPart w:val="GBC22222222222222222222222222222"/>
        </w:placeholder>
      </w:sdtPr>
      <w:sdtEndPr>
        <w:rPr>
          <w:rFonts w:hint="default"/>
        </w:rPr>
      </w:sdtEndPr>
      <w:sdtContent>
        <w:p w14:paraId="2564D23C" w14:textId="77777777" w:rsidR="00D21C1F" w:rsidRDefault="00A42880">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827793348"/>
            <w:lock w:val="sdtLocked"/>
            <w:placeholder>
              <w:docPart w:val="GBC22222222222222222222222222222"/>
            </w:placeholder>
          </w:sdtPr>
          <w:sdtEndPr/>
          <w:sdtContent>
            <w:p w14:paraId="27E1FFC5" w14:textId="77777777" w:rsidR="00D21C1F" w:rsidRDefault="00A42880">
              <w:pPr>
                <w:snapToGrid w:val="0"/>
                <w:spacing w:line="240" w:lineRule="atLeast"/>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14:paraId="241DF658" w14:textId="77777777" w:rsidR="00D21C1F" w:rsidRDefault="00D21C1F">
      <w:pPr>
        <w:pStyle w:val="97"/>
      </w:pPr>
    </w:p>
    <w:sdt>
      <w:sdtPr>
        <w:rPr>
          <w:rFonts w:ascii="宋体" w:hAnsi="宋体" w:cs="宋体" w:hint="eastAsia"/>
          <w:b w:val="0"/>
          <w:bCs w:val="0"/>
          <w:kern w:val="0"/>
          <w:szCs w:val="24"/>
        </w:rPr>
        <w:alias w:val="模块:按欠款方归集的期末余额前五名的其他应收款情况"/>
        <w:tag w:val="_GBC_c77f7efeabc1402191807946a9bfe714"/>
        <w:id w:val="2095510164"/>
        <w:lock w:val="sdtLocked"/>
        <w:placeholder>
          <w:docPart w:val="GBC22222222222222222222222222222"/>
        </w:placeholder>
      </w:sdtPr>
      <w:sdtEndPr/>
      <w:sdtContent>
        <w:p w14:paraId="2C805647" w14:textId="77777777" w:rsidR="00D21C1F" w:rsidRDefault="00A42880">
          <w:pPr>
            <w:pStyle w:val="93"/>
            <w:numPr>
              <w:ilvl w:val="3"/>
              <w:numId w:val="150"/>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1213883856"/>
            <w:lock w:val="sdtLocked"/>
            <w:placeholder>
              <w:docPart w:val="GBC22222222222222222222222222222"/>
            </w:placeholder>
          </w:sdtPr>
          <w:sdtEndPr/>
          <w:sdtContent>
            <w:p w14:paraId="527AA022"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5E16FC" w14:textId="77777777" w:rsidR="00D21C1F" w:rsidRDefault="00A42880">
          <w:pPr>
            <w:jc w:val="right"/>
          </w:pPr>
          <w:r>
            <w:rPr>
              <w:rFonts w:hint="eastAsia"/>
            </w:rPr>
            <w:lastRenderedPageBreak/>
            <w:t>单位：</w:t>
          </w:r>
          <w:sdt>
            <w:sdtPr>
              <w:rPr>
                <w:rFonts w:hint="eastAsia"/>
              </w:rPr>
              <w:alias w:val="单位：母公司财务附注：其他应收账款前五名欠款情况"/>
              <w:tag w:val="_GBC_5eaec4085c10422f90a7a09ee515d922"/>
              <w:id w:val="2127191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其他应收账款前五名欠款情况"/>
              <w:tag w:val="_GBC_76fb156b47fb495eb1748f1f6ffdfc64"/>
              <w:id w:val="1206292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467"/>
            <w:gridCol w:w="1287"/>
            <w:gridCol w:w="1501"/>
            <w:gridCol w:w="1263"/>
            <w:gridCol w:w="1693"/>
            <w:gridCol w:w="1606"/>
          </w:tblGrid>
          <w:tr w:rsidR="00D21C1F" w14:paraId="46D0004D" w14:textId="77777777">
            <w:trPr>
              <w:cantSplit/>
            </w:trPr>
            <w:sdt>
              <w:sdtPr>
                <w:tag w:val="_PLD_1bf4103fa73c4527ab273af4182bdac9"/>
                <w:id w:val="-1425877802"/>
                <w:lock w:val="sdtLocked"/>
              </w:sdtPr>
              <w:sdtEndPr/>
              <w:sdtContent>
                <w:tc>
                  <w:tcPr>
                    <w:tcW w:w="832" w:type="pct"/>
                    <w:tcBorders>
                      <w:top w:val="single" w:sz="6" w:space="0" w:color="auto"/>
                      <w:left w:val="single" w:sz="6" w:space="0" w:color="auto"/>
                      <w:bottom w:val="single" w:sz="6" w:space="0" w:color="auto"/>
                      <w:right w:val="single" w:sz="6" w:space="0" w:color="auto"/>
                    </w:tcBorders>
                    <w:vAlign w:val="center"/>
                  </w:tcPr>
                  <w:p w14:paraId="45A4AB32" w14:textId="77777777" w:rsidR="00D21C1F" w:rsidRDefault="00A42880">
                    <w:pPr>
                      <w:ind w:right="105"/>
                      <w:jc w:val="center"/>
                      <w:rPr>
                        <w:szCs w:val="21"/>
                      </w:rPr>
                    </w:pPr>
                    <w:r>
                      <w:rPr>
                        <w:rFonts w:hint="eastAsia"/>
                        <w:szCs w:val="21"/>
                      </w:rPr>
                      <w:t>单位名称</w:t>
                    </w:r>
                  </w:p>
                </w:tc>
              </w:sdtContent>
            </w:sdt>
            <w:sdt>
              <w:sdtPr>
                <w:tag w:val="_PLD_13e90710aaf8432b8989b8a8d1ceae0c"/>
                <w:id w:val="-1957790863"/>
                <w:lock w:val="sdtLocked"/>
              </w:sdtPr>
              <w:sdtEndPr/>
              <w:sdtContent>
                <w:tc>
                  <w:tcPr>
                    <w:tcW w:w="730" w:type="pct"/>
                    <w:tcBorders>
                      <w:top w:val="single" w:sz="6" w:space="0" w:color="auto"/>
                      <w:left w:val="single" w:sz="6" w:space="0" w:color="auto"/>
                      <w:bottom w:val="single" w:sz="6" w:space="0" w:color="auto"/>
                      <w:right w:val="single" w:sz="6" w:space="0" w:color="auto"/>
                    </w:tcBorders>
                    <w:vAlign w:val="center"/>
                  </w:tcPr>
                  <w:p w14:paraId="59487B59" w14:textId="77777777" w:rsidR="00D21C1F" w:rsidRDefault="00A42880">
                    <w:pPr>
                      <w:ind w:right="73"/>
                      <w:jc w:val="center"/>
                      <w:rPr>
                        <w:szCs w:val="21"/>
                      </w:rPr>
                    </w:pPr>
                    <w:r>
                      <w:rPr>
                        <w:rFonts w:hint="eastAsia"/>
                        <w:szCs w:val="21"/>
                      </w:rPr>
                      <w:t>款项的性质</w:t>
                    </w:r>
                  </w:p>
                </w:tc>
              </w:sdtContent>
            </w:sdt>
            <w:sdt>
              <w:sdtPr>
                <w:tag w:val="_PLD_2272ceae47e74a6489bfeb2c73aa1f4a"/>
                <w:id w:val="46809792"/>
                <w:lock w:val="sdtLocked"/>
              </w:sdtPr>
              <w:sdtEndPr/>
              <w:sdtContent>
                <w:tc>
                  <w:tcPr>
                    <w:tcW w:w="851" w:type="pct"/>
                    <w:tcBorders>
                      <w:top w:val="single" w:sz="6" w:space="0" w:color="auto"/>
                      <w:left w:val="single" w:sz="6" w:space="0" w:color="auto"/>
                      <w:bottom w:val="single" w:sz="6" w:space="0" w:color="auto"/>
                      <w:right w:val="single" w:sz="6" w:space="0" w:color="auto"/>
                    </w:tcBorders>
                    <w:vAlign w:val="center"/>
                  </w:tcPr>
                  <w:p w14:paraId="4CB0EB89" w14:textId="77777777" w:rsidR="00D21C1F" w:rsidRDefault="00A42880">
                    <w:pPr>
                      <w:ind w:right="73"/>
                      <w:jc w:val="center"/>
                      <w:rPr>
                        <w:szCs w:val="21"/>
                      </w:rPr>
                    </w:pPr>
                    <w:r>
                      <w:rPr>
                        <w:rFonts w:hint="eastAsia"/>
                        <w:szCs w:val="21"/>
                      </w:rPr>
                      <w:t>期末余额</w:t>
                    </w:r>
                  </w:p>
                </w:tc>
              </w:sdtContent>
            </w:sdt>
            <w:sdt>
              <w:sdtPr>
                <w:tag w:val="_PLD_fcefa3ecef954c579974ef8beaeadf3a"/>
                <w:id w:val="454525885"/>
                <w:lock w:val="sdtLocked"/>
              </w:sdtPr>
              <w:sdtEndPr/>
              <w:sdtContent>
                <w:tc>
                  <w:tcPr>
                    <w:tcW w:w="716" w:type="pct"/>
                    <w:tcBorders>
                      <w:top w:val="single" w:sz="6" w:space="0" w:color="auto"/>
                      <w:left w:val="single" w:sz="6" w:space="0" w:color="auto"/>
                      <w:bottom w:val="single" w:sz="6" w:space="0" w:color="auto"/>
                      <w:right w:val="single" w:sz="6" w:space="0" w:color="auto"/>
                    </w:tcBorders>
                    <w:vAlign w:val="center"/>
                  </w:tcPr>
                  <w:p w14:paraId="3A48B751" w14:textId="77777777" w:rsidR="00D21C1F" w:rsidRDefault="00A42880">
                    <w:pPr>
                      <w:ind w:right="73"/>
                      <w:jc w:val="center"/>
                      <w:rPr>
                        <w:szCs w:val="21"/>
                      </w:rPr>
                    </w:pPr>
                    <w:r>
                      <w:rPr>
                        <w:rFonts w:hint="eastAsia"/>
                        <w:szCs w:val="21"/>
                      </w:rPr>
                      <w:t>账龄</w:t>
                    </w:r>
                  </w:p>
                </w:tc>
              </w:sdtContent>
            </w:sdt>
            <w:sdt>
              <w:sdtPr>
                <w:tag w:val="_PLD_13e1362304be4663873f1e8f72848948"/>
                <w:id w:val="1401477882"/>
                <w:lock w:val="sdtLocked"/>
              </w:sdtPr>
              <w:sdtEndPr/>
              <w:sdtContent>
                <w:tc>
                  <w:tcPr>
                    <w:tcW w:w="960" w:type="pct"/>
                    <w:tcBorders>
                      <w:top w:val="single" w:sz="6" w:space="0" w:color="auto"/>
                      <w:left w:val="single" w:sz="6" w:space="0" w:color="auto"/>
                      <w:bottom w:val="single" w:sz="6" w:space="0" w:color="auto"/>
                      <w:right w:val="single" w:sz="6" w:space="0" w:color="auto"/>
                    </w:tcBorders>
                    <w:vAlign w:val="center"/>
                  </w:tcPr>
                  <w:p w14:paraId="12AD8262" w14:textId="77777777" w:rsidR="00D21C1F" w:rsidRDefault="00A42880">
                    <w:pPr>
                      <w:jc w:val="center"/>
                      <w:rPr>
                        <w:szCs w:val="21"/>
                      </w:rPr>
                    </w:pPr>
                    <w:r>
                      <w:rPr>
                        <w:rFonts w:hint="eastAsia"/>
                        <w:szCs w:val="21"/>
                      </w:rPr>
                      <w:t>占其他应收款期末余额合计数的比例(</w:t>
                    </w:r>
                    <w:r>
                      <w:rPr>
                        <w:szCs w:val="21"/>
                      </w:rPr>
                      <w:t>%)</w:t>
                    </w:r>
                  </w:p>
                </w:tc>
              </w:sdtContent>
            </w:sdt>
            <w:sdt>
              <w:sdtPr>
                <w:tag w:val="_PLD_f2c7137b0fd6426d9d9640429eb47701"/>
                <w:id w:val="380910926"/>
                <w:lock w:val="sdtLocked"/>
              </w:sdtPr>
              <w:sdtEndPr/>
              <w:sdtContent>
                <w:tc>
                  <w:tcPr>
                    <w:tcW w:w="911" w:type="pct"/>
                    <w:tcBorders>
                      <w:top w:val="single" w:sz="6" w:space="0" w:color="auto"/>
                      <w:left w:val="single" w:sz="6" w:space="0" w:color="auto"/>
                      <w:bottom w:val="single" w:sz="6" w:space="0" w:color="auto"/>
                      <w:right w:val="single" w:sz="6" w:space="0" w:color="auto"/>
                    </w:tcBorders>
                    <w:vAlign w:val="center"/>
                  </w:tcPr>
                  <w:p w14:paraId="256FA8EB" w14:textId="77777777" w:rsidR="00D21C1F" w:rsidRDefault="00A42880">
                    <w:pPr>
                      <w:jc w:val="center"/>
                      <w:rPr>
                        <w:szCs w:val="21"/>
                      </w:rPr>
                    </w:pPr>
                    <w:r>
                      <w:rPr>
                        <w:rFonts w:hint="eastAsia"/>
                        <w:szCs w:val="21"/>
                      </w:rPr>
                      <w:t>坏账准备</w:t>
                    </w:r>
                  </w:p>
                  <w:p w14:paraId="47B00581" w14:textId="77777777" w:rsidR="00D21C1F" w:rsidRDefault="00A42880">
                    <w:pPr>
                      <w:jc w:val="center"/>
                      <w:rPr>
                        <w:szCs w:val="21"/>
                      </w:rPr>
                    </w:pPr>
                    <w:r>
                      <w:rPr>
                        <w:rFonts w:hint="eastAsia"/>
                        <w:szCs w:val="21"/>
                      </w:rPr>
                      <w:t>期末余额</w:t>
                    </w:r>
                  </w:p>
                </w:tc>
              </w:sdtContent>
            </w:sdt>
          </w:tr>
          <w:sdt>
            <w:sdtPr>
              <w:rPr>
                <w:rFonts w:hint="eastAsia"/>
                <w:sz w:val="22"/>
                <w:szCs w:val="21"/>
              </w:rPr>
              <w:alias w:val="其他应收款欠款户"/>
              <w:tag w:val="_GBC_3912a12d540a40c8946b4121501bca53"/>
              <w:id w:val="453220810"/>
              <w:lock w:val="sdtLocked"/>
            </w:sdtPr>
            <w:sdtEndPr>
              <w:rPr>
                <w:rFonts w:ascii="Times New Roman" w:hAnsi="Times New Roman" w:cs="Times New Roman" w:hint="default"/>
              </w:rPr>
            </w:sdtEndPr>
            <w:sdtContent>
              <w:tr w:rsidR="00D21C1F" w14:paraId="5F661AA1" w14:textId="77777777">
                <w:trPr>
                  <w:cantSplit/>
                </w:trPr>
                <w:tc>
                  <w:tcPr>
                    <w:tcW w:w="832" w:type="pct"/>
                    <w:tcBorders>
                      <w:top w:val="single" w:sz="6" w:space="0" w:color="auto"/>
                      <w:left w:val="single" w:sz="6" w:space="0" w:color="auto"/>
                      <w:bottom w:val="single" w:sz="6" w:space="0" w:color="auto"/>
                      <w:right w:val="single" w:sz="6" w:space="0" w:color="auto"/>
                    </w:tcBorders>
                  </w:tcPr>
                  <w:p w14:paraId="34A86D07" w14:textId="77777777" w:rsidR="00D21C1F" w:rsidRDefault="00A42880">
                    <w:pPr>
                      <w:ind w:right="105"/>
                      <w:rPr>
                        <w:szCs w:val="21"/>
                      </w:rPr>
                    </w:pPr>
                    <w:r>
                      <w:t>第一名</w:t>
                    </w:r>
                  </w:p>
                </w:tc>
                <w:tc>
                  <w:tcPr>
                    <w:tcW w:w="730" w:type="pct"/>
                    <w:tcBorders>
                      <w:top w:val="single" w:sz="6" w:space="0" w:color="auto"/>
                      <w:left w:val="single" w:sz="6" w:space="0" w:color="auto"/>
                      <w:bottom w:val="single" w:sz="6" w:space="0" w:color="auto"/>
                      <w:right w:val="single" w:sz="6" w:space="0" w:color="auto"/>
                    </w:tcBorders>
                  </w:tcPr>
                  <w:p w14:paraId="3C6B8454" w14:textId="77777777" w:rsidR="00D21C1F" w:rsidRDefault="00A42880">
                    <w:pPr>
                      <w:ind w:right="73"/>
                      <w:rPr>
                        <w:szCs w:val="21"/>
                      </w:rPr>
                    </w:pPr>
                    <w:r>
                      <w:t>政府补助</w:t>
                    </w:r>
                  </w:p>
                </w:tc>
                <w:tc>
                  <w:tcPr>
                    <w:tcW w:w="851" w:type="pct"/>
                    <w:tcBorders>
                      <w:top w:val="single" w:sz="6" w:space="0" w:color="auto"/>
                      <w:left w:val="single" w:sz="6" w:space="0" w:color="auto"/>
                      <w:bottom w:val="single" w:sz="6" w:space="0" w:color="auto"/>
                      <w:right w:val="single" w:sz="6" w:space="0" w:color="auto"/>
                    </w:tcBorders>
                  </w:tcPr>
                  <w:p w14:paraId="03C05BBE" w14:textId="77777777" w:rsidR="00D21C1F" w:rsidRPr="00DD0B1B" w:rsidRDefault="00A42880">
                    <w:pPr>
                      <w:ind w:right="73"/>
                      <w:jc w:val="right"/>
                      <w:rPr>
                        <w:rFonts w:ascii="Times New Roman" w:hAnsi="Times New Roman" w:cs="Times New Roman"/>
                        <w:szCs w:val="21"/>
                      </w:rPr>
                    </w:pPr>
                    <w:r w:rsidRPr="00DD0B1B">
                      <w:rPr>
                        <w:rFonts w:ascii="Times New Roman" w:hAnsi="Times New Roman" w:cs="Times New Roman"/>
                      </w:rPr>
                      <w:t>4,916,565.00</w:t>
                    </w:r>
                  </w:p>
                </w:tc>
                <w:tc>
                  <w:tcPr>
                    <w:tcW w:w="716" w:type="pct"/>
                    <w:tcBorders>
                      <w:top w:val="single" w:sz="6" w:space="0" w:color="auto"/>
                      <w:left w:val="single" w:sz="6" w:space="0" w:color="auto"/>
                      <w:bottom w:val="single" w:sz="6" w:space="0" w:color="auto"/>
                      <w:right w:val="single" w:sz="6" w:space="0" w:color="auto"/>
                    </w:tcBorders>
                  </w:tcPr>
                  <w:p w14:paraId="058C379B" w14:textId="77777777" w:rsidR="00D21C1F" w:rsidRPr="00DD0B1B" w:rsidRDefault="00A42880">
                    <w:pPr>
                      <w:ind w:right="73"/>
                      <w:rPr>
                        <w:rFonts w:ascii="Times New Roman" w:hAnsi="Times New Roman" w:cs="Times New Roman"/>
                        <w:szCs w:val="21"/>
                      </w:rPr>
                    </w:pPr>
                    <w:r w:rsidRPr="00DD0B1B">
                      <w:rPr>
                        <w:rFonts w:ascii="Times New Roman" w:hAnsi="Times New Roman" w:cs="Times New Roman"/>
                      </w:rPr>
                      <w:t>1</w:t>
                    </w:r>
                    <w:r w:rsidRPr="00DD0B1B">
                      <w:rPr>
                        <w:rFonts w:ascii="Times New Roman" w:hAnsi="Times New Roman" w:cs="Times New Roman"/>
                      </w:rPr>
                      <w:t>年以内</w:t>
                    </w:r>
                  </w:p>
                </w:tc>
                <w:tc>
                  <w:tcPr>
                    <w:tcW w:w="960" w:type="pct"/>
                    <w:tcBorders>
                      <w:top w:val="single" w:sz="6" w:space="0" w:color="auto"/>
                      <w:left w:val="single" w:sz="6" w:space="0" w:color="auto"/>
                      <w:bottom w:val="single" w:sz="6" w:space="0" w:color="auto"/>
                      <w:right w:val="single" w:sz="6" w:space="0" w:color="auto"/>
                    </w:tcBorders>
                    <w:vAlign w:val="bottom"/>
                  </w:tcPr>
                  <w:p w14:paraId="6F3DF5E5"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2.5</w:t>
                    </w:r>
                  </w:p>
                </w:tc>
                <w:tc>
                  <w:tcPr>
                    <w:tcW w:w="911" w:type="pct"/>
                    <w:tcBorders>
                      <w:top w:val="single" w:sz="6" w:space="0" w:color="auto"/>
                      <w:left w:val="single" w:sz="6" w:space="0" w:color="auto"/>
                      <w:bottom w:val="single" w:sz="6" w:space="0" w:color="auto"/>
                      <w:right w:val="single" w:sz="6" w:space="0" w:color="auto"/>
                    </w:tcBorders>
                    <w:vAlign w:val="bottom"/>
                  </w:tcPr>
                  <w:p w14:paraId="370F420F"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245,828.25</w:t>
                    </w:r>
                  </w:p>
                </w:tc>
              </w:tr>
            </w:sdtContent>
          </w:sdt>
          <w:sdt>
            <w:sdtPr>
              <w:rPr>
                <w:rFonts w:hint="eastAsia"/>
                <w:sz w:val="22"/>
                <w:szCs w:val="21"/>
              </w:rPr>
              <w:alias w:val="其他应收款欠款户"/>
              <w:tag w:val="_GBC_3912a12d540a40c8946b4121501bca53"/>
              <w:id w:val="817153403"/>
              <w:lock w:val="sdtLocked"/>
            </w:sdtPr>
            <w:sdtEndPr>
              <w:rPr>
                <w:rFonts w:ascii="Times New Roman" w:hAnsi="Times New Roman" w:cs="Times New Roman" w:hint="default"/>
              </w:rPr>
            </w:sdtEndPr>
            <w:sdtContent>
              <w:tr w:rsidR="00D21C1F" w14:paraId="6EE4A24F" w14:textId="77777777">
                <w:trPr>
                  <w:cantSplit/>
                </w:trPr>
                <w:tc>
                  <w:tcPr>
                    <w:tcW w:w="832" w:type="pct"/>
                    <w:tcBorders>
                      <w:top w:val="single" w:sz="6" w:space="0" w:color="auto"/>
                      <w:left w:val="single" w:sz="6" w:space="0" w:color="auto"/>
                      <w:bottom w:val="single" w:sz="6" w:space="0" w:color="auto"/>
                      <w:right w:val="single" w:sz="6" w:space="0" w:color="auto"/>
                    </w:tcBorders>
                  </w:tcPr>
                  <w:p w14:paraId="6B1882E1" w14:textId="77777777" w:rsidR="00D21C1F" w:rsidRDefault="00A42880">
                    <w:pPr>
                      <w:ind w:right="105"/>
                      <w:rPr>
                        <w:szCs w:val="21"/>
                      </w:rPr>
                    </w:pPr>
                    <w:r>
                      <w:t>第二名</w:t>
                    </w:r>
                  </w:p>
                </w:tc>
                <w:tc>
                  <w:tcPr>
                    <w:tcW w:w="730" w:type="pct"/>
                    <w:tcBorders>
                      <w:top w:val="single" w:sz="6" w:space="0" w:color="auto"/>
                      <w:left w:val="single" w:sz="6" w:space="0" w:color="auto"/>
                      <w:bottom w:val="single" w:sz="6" w:space="0" w:color="auto"/>
                      <w:right w:val="single" w:sz="6" w:space="0" w:color="auto"/>
                    </w:tcBorders>
                  </w:tcPr>
                  <w:p w14:paraId="2661DD43" w14:textId="77777777" w:rsidR="00D21C1F" w:rsidRDefault="00A42880">
                    <w:pPr>
                      <w:ind w:right="73"/>
                      <w:rPr>
                        <w:szCs w:val="21"/>
                      </w:rPr>
                    </w:pPr>
                    <w:r>
                      <w:t> 保证金 </w:t>
                    </w:r>
                  </w:p>
                </w:tc>
                <w:tc>
                  <w:tcPr>
                    <w:tcW w:w="851" w:type="pct"/>
                    <w:tcBorders>
                      <w:top w:val="single" w:sz="6" w:space="0" w:color="auto"/>
                      <w:left w:val="single" w:sz="6" w:space="0" w:color="auto"/>
                      <w:bottom w:val="single" w:sz="6" w:space="0" w:color="auto"/>
                      <w:right w:val="single" w:sz="6" w:space="0" w:color="auto"/>
                    </w:tcBorders>
                  </w:tcPr>
                  <w:p w14:paraId="13721FFF" w14:textId="77777777" w:rsidR="00D21C1F" w:rsidRPr="00DD0B1B" w:rsidRDefault="00A42880">
                    <w:pPr>
                      <w:ind w:right="73"/>
                      <w:jc w:val="right"/>
                      <w:rPr>
                        <w:rFonts w:ascii="Times New Roman" w:hAnsi="Times New Roman" w:cs="Times New Roman"/>
                        <w:szCs w:val="21"/>
                      </w:rPr>
                    </w:pPr>
                    <w:r w:rsidRPr="00DD0B1B">
                      <w:rPr>
                        <w:rFonts w:ascii="Times New Roman" w:hAnsi="Times New Roman" w:cs="Times New Roman"/>
                      </w:rPr>
                      <w:t>2,350,000.00</w:t>
                    </w:r>
                  </w:p>
                </w:tc>
                <w:tc>
                  <w:tcPr>
                    <w:tcW w:w="716" w:type="pct"/>
                    <w:tcBorders>
                      <w:top w:val="single" w:sz="6" w:space="0" w:color="auto"/>
                      <w:left w:val="single" w:sz="6" w:space="0" w:color="auto"/>
                      <w:bottom w:val="single" w:sz="6" w:space="0" w:color="auto"/>
                      <w:right w:val="single" w:sz="6" w:space="0" w:color="auto"/>
                    </w:tcBorders>
                  </w:tcPr>
                  <w:p w14:paraId="1C422626" w14:textId="77777777" w:rsidR="00D21C1F" w:rsidRPr="00DD0B1B" w:rsidRDefault="00A42880">
                    <w:pPr>
                      <w:ind w:right="73"/>
                      <w:rPr>
                        <w:rFonts w:ascii="Times New Roman" w:hAnsi="Times New Roman" w:cs="Times New Roman"/>
                        <w:szCs w:val="21"/>
                      </w:rPr>
                    </w:pPr>
                    <w:r w:rsidRPr="00DD0B1B">
                      <w:rPr>
                        <w:rFonts w:ascii="Times New Roman" w:hAnsi="Times New Roman" w:cs="Times New Roman"/>
                      </w:rPr>
                      <w:t>2</w:t>
                    </w:r>
                    <w:r w:rsidRPr="00DD0B1B">
                      <w:rPr>
                        <w:rFonts w:ascii="Times New Roman" w:hAnsi="Times New Roman" w:cs="Times New Roman"/>
                      </w:rPr>
                      <w:t>年以内</w:t>
                    </w:r>
                  </w:p>
                </w:tc>
                <w:tc>
                  <w:tcPr>
                    <w:tcW w:w="960" w:type="pct"/>
                    <w:tcBorders>
                      <w:top w:val="single" w:sz="6" w:space="0" w:color="auto"/>
                      <w:left w:val="single" w:sz="6" w:space="0" w:color="auto"/>
                      <w:bottom w:val="single" w:sz="6" w:space="0" w:color="auto"/>
                      <w:right w:val="single" w:sz="6" w:space="0" w:color="auto"/>
                    </w:tcBorders>
                    <w:vAlign w:val="bottom"/>
                  </w:tcPr>
                  <w:p w14:paraId="30BE2F3C"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1.2</w:t>
                    </w:r>
                  </w:p>
                </w:tc>
                <w:tc>
                  <w:tcPr>
                    <w:tcW w:w="911" w:type="pct"/>
                    <w:tcBorders>
                      <w:top w:val="single" w:sz="6" w:space="0" w:color="auto"/>
                      <w:left w:val="single" w:sz="6" w:space="0" w:color="auto"/>
                      <w:bottom w:val="single" w:sz="6" w:space="0" w:color="auto"/>
                      <w:right w:val="single" w:sz="6" w:space="0" w:color="auto"/>
                    </w:tcBorders>
                    <w:vAlign w:val="bottom"/>
                  </w:tcPr>
                  <w:p w14:paraId="0B26E9D1"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142,500.00</w:t>
                    </w:r>
                  </w:p>
                </w:tc>
              </w:tr>
            </w:sdtContent>
          </w:sdt>
          <w:sdt>
            <w:sdtPr>
              <w:rPr>
                <w:rFonts w:hint="eastAsia"/>
                <w:sz w:val="22"/>
                <w:szCs w:val="21"/>
              </w:rPr>
              <w:alias w:val="其他应收款欠款户"/>
              <w:tag w:val="_GBC_3912a12d540a40c8946b4121501bca53"/>
              <w:id w:val="1711451561"/>
              <w:lock w:val="sdtLocked"/>
            </w:sdtPr>
            <w:sdtEndPr>
              <w:rPr>
                <w:rFonts w:ascii="Times New Roman" w:hAnsi="Times New Roman" w:cs="Times New Roman" w:hint="default"/>
              </w:rPr>
            </w:sdtEndPr>
            <w:sdtContent>
              <w:tr w:rsidR="00D21C1F" w14:paraId="1BF782FA" w14:textId="77777777">
                <w:trPr>
                  <w:cantSplit/>
                </w:trPr>
                <w:tc>
                  <w:tcPr>
                    <w:tcW w:w="832" w:type="pct"/>
                    <w:tcBorders>
                      <w:top w:val="single" w:sz="6" w:space="0" w:color="auto"/>
                      <w:left w:val="single" w:sz="6" w:space="0" w:color="auto"/>
                      <w:bottom w:val="single" w:sz="6" w:space="0" w:color="auto"/>
                      <w:right w:val="single" w:sz="6" w:space="0" w:color="auto"/>
                    </w:tcBorders>
                  </w:tcPr>
                  <w:p w14:paraId="5433910E" w14:textId="77777777" w:rsidR="00D21C1F" w:rsidRDefault="00A42880">
                    <w:pPr>
                      <w:ind w:right="105"/>
                      <w:rPr>
                        <w:szCs w:val="21"/>
                      </w:rPr>
                    </w:pPr>
                    <w:r>
                      <w:t>第三名</w:t>
                    </w:r>
                  </w:p>
                </w:tc>
                <w:tc>
                  <w:tcPr>
                    <w:tcW w:w="730" w:type="pct"/>
                    <w:tcBorders>
                      <w:top w:val="single" w:sz="6" w:space="0" w:color="auto"/>
                      <w:left w:val="single" w:sz="6" w:space="0" w:color="auto"/>
                      <w:bottom w:val="single" w:sz="6" w:space="0" w:color="auto"/>
                      <w:right w:val="single" w:sz="6" w:space="0" w:color="auto"/>
                    </w:tcBorders>
                  </w:tcPr>
                  <w:p w14:paraId="5950B6B4" w14:textId="77777777" w:rsidR="00D21C1F" w:rsidRDefault="00A42880">
                    <w:pPr>
                      <w:ind w:right="73"/>
                      <w:rPr>
                        <w:szCs w:val="21"/>
                      </w:rPr>
                    </w:pPr>
                    <w:r>
                      <w:t> 保证金 </w:t>
                    </w:r>
                  </w:p>
                </w:tc>
                <w:tc>
                  <w:tcPr>
                    <w:tcW w:w="851" w:type="pct"/>
                    <w:tcBorders>
                      <w:top w:val="single" w:sz="6" w:space="0" w:color="auto"/>
                      <w:left w:val="single" w:sz="6" w:space="0" w:color="auto"/>
                      <w:bottom w:val="single" w:sz="6" w:space="0" w:color="auto"/>
                      <w:right w:val="single" w:sz="6" w:space="0" w:color="auto"/>
                    </w:tcBorders>
                  </w:tcPr>
                  <w:p w14:paraId="087DF175" w14:textId="77777777" w:rsidR="00D21C1F" w:rsidRPr="00DD0B1B" w:rsidRDefault="00A42880">
                    <w:pPr>
                      <w:ind w:right="73"/>
                      <w:jc w:val="right"/>
                      <w:rPr>
                        <w:rFonts w:ascii="Times New Roman" w:hAnsi="Times New Roman" w:cs="Times New Roman"/>
                        <w:szCs w:val="21"/>
                      </w:rPr>
                    </w:pPr>
                    <w:r w:rsidRPr="00DD0B1B">
                      <w:rPr>
                        <w:rFonts w:ascii="Times New Roman" w:hAnsi="Times New Roman" w:cs="Times New Roman"/>
                      </w:rPr>
                      <w:t>1,665,000.00</w:t>
                    </w:r>
                  </w:p>
                </w:tc>
                <w:tc>
                  <w:tcPr>
                    <w:tcW w:w="716" w:type="pct"/>
                    <w:tcBorders>
                      <w:top w:val="single" w:sz="6" w:space="0" w:color="auto"/>
                      <w:left w:val="single" w:sz="6" w:space="0" w:color="auto"/>
                      <w:bottom w:val="single" w:sz="6" w:space="0" w:color="auto"/>
                      <w:right w:val="single" w:sz="6" w:space="0" w:color="auto"/>
                    </w:tcBorders>
                  </w:tcPr>
                  <w:p w14:paraId="62A4D5B7" w14:textId="77777777" w:rsidR="00D21C1F" w:rsidRPr="00DD0B1B" w:rsidRDefault="00A42880">
                    <w:pPr>
                      <w:ind w:right="73"/>
                      <w:rPr>
                        <w:rFonts w:ascii="Times New Roman" w:hAnsi="Times New Roman" w:cs="Times New Roman"/>
                        <w:szCs w:val="21"/>
                      </w:rPr>
                    </w:pPr>
                    <w:r w:rsidRPr="00DD0B1B">
                      <w:rPr>
                        <w:rFonts w:ascii="Times New Roman" w:hAnsi="Times New Roman" w:cs="Times New Roman"/>
                      </w:rPr>
                      <w:t>3-4</w:t>
                    </w:r>
                    <w:r w:rsidRPr="00DD0B1B">
                      <w:rPr>
                        <w:rFonts w:ascii="Times New Roman" w:hAnsi="Times New Roman" w:cs="Times New Roman"/>
                      </w:rPr>
                      <w:t>年</w:t>
                    </w:r>
                  </w:p>
                </w:tc>
                <w:tc>
                  <w:tcPr>
                    <w:tcW w:w="960" w:type="pct"/>
                    <w:tcBorders>
                      <w:top w:val="single" w:sz="6" w:space="0" w:color="auto"/>
                      <w:left w:val="single" w:sz="6" w:space="0" w:color="auto"/>
                      <w:bottom w:val="single" w:sz="6" w:space="0" w:color="auto"/>
                      <w:right w:val="single" w:sz="6" w:space="0" w:color="auto"/>
                    </w:tcBorders>
                    <w:vAlign w:val="bottom"/>
                  </w:tcPr>
                  <w:p w14:paraId="68A7C0DE"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0.8</w:t>
                    </w:r>
                  </w:p>
                </w:tc>
                <w:tc>
                  <w:tcPr>
                    <w:tcW w:w="911" w:type="pct"/>
                    <w:tcBorders>
                      <w:top w:val="single" w:sz="6" w:space="0" w:color="auto"/>
                      <w:left w:val="single" w:sz="6" w:space="0" w:color="auto"/>
                      <w:bottom w:val="single" w:sz="6" w:space="0" w:color="auto"/>
                      <w:right w:val="single" w:sz="6" w:space="0" w:color="auto"/>
                    </w:tcBorders>
                    <w:vAlign w:val="bottom"/>
                  </w:tcPr>
                  <w:p w14:paraId="069EFA5D"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832,500.00</w:t>
                    </w:r>
                  </w:p>
                </w:tc>
              </w:tr>
            </w:sdtContent>
          </w:sdt>
          <w:sdt>
            <w:sdtPr>
              <w:rPr>
                <w:rFonts w:hint="eastAsia"/>
                <w:sz w:val="22"/>
                <w:szCs w:val="21"/>
              </w:rPr>
              <w:alias w:val="其他应收款欠款户"/>
              <w:tag w:val="_GBC_3912a12d540a40c8946b4121501bca53"/>
              <w:id w:val="2145690581"/>
              <w:lock w:val="sdtLocked"/>
            </w:sdtPr>
            <w:sdtEndPr>
              <w:rPr>
                <w:rFonts w:ascii="Times New Roman" w:hAnsi="Times New Roman" w:cs="Times New Roman" w:hint="default"/>
              </w:rPr>
            </w:sdtEndPr>
            <w:sdtContent>
              <w:tr w:rsidR="00D21C1F" w14:paraId="0A3FF816" w14:textId="77777777">
                <w:trPr>
                  <w:cantSplit/>
                </w:trPr>
                <w:tc>
                  <w:tcPr>
                    <w:tcW w:w="832" w:type="pct"/>
                    <w:tcBorders>
                      <w:top w:val="single" w:sz="6" w:space="0" w:color="auto"/>
                      <w:left w:val="single" w:sz="6" w:space="0" w:color="auto"/>
                      <w:bottom w:val="single" w:sz="6" w:space="0" w:color="auto"/>
                      <w:right w:val="single" w:sz="6" w:space="0" w:color="auto"/>
                    </w:tcBorders>
                  </w:tcPr>
                  <w:p w14:paraId="01686559" w14:textId="77777777" w:rsidR="00D21C1F" w:rsidRDefault="00A42880">
                    <w:pPr>
                      <w:ind w:right="105"/>
                      <w:rPr>
                        <w:szCs w:val="21"/>
                      </w:rPr>
                    </w:pPr>
                    <w:r>
                      <w:t>第四名</w:t>
                    </w:r>
                  </w:p>
                </w:tc>
                <w:tc>
                  <w:tcPr>
                    <w:tcW w:w="730" w:type="pct"/>
                    <w:tcBorders>
                      <w:top w:val="single" w:sz="6" w:space="0" w:color="auto"/>
                      <w:left w:val="single" w:sz="6" w:space="0" w:color="auto"/>
                      <w:bottom w:val="single" w:sz="6" w:space="0" w:color="auto"/>
                      <w:right w:val="single" w:sz="6" w:space="0" w:color="auto"/>
                    </w:tcBorders>
                  </w:tcPr>
                  <w:p w14:paraId="1D04C779" w14:textId="77777777" w:rsidR="00D21C1F" w:rsidRDefault="00A42880">
                    <w:pPr>
                      <w:ind w:right="73"/>
                      <w:rPr>
                        <w:szCs w:val="21"/>
                      </w:rPr>
                    </w:pPr>
                    <w:r>
                      <w:t> 保证金 </w:t>
                    </w:r>
                  </w:p>
                </w:tc>
                <w:tc>
                  <w:tcPr>
                    <w:tcW w:w="851" w:type="pct"/>
                    <w:tcBorders>
                      <w:top w:val="single" w:sz="6" w:space="0" w:color="auto"/>
                      <w:left w:val="single" w:sz="6" w:space="0" w:color="auto"/>
                      <w:bottom w:val="single" w:sz="6" w:space="0" w:color="auto"/>
                      <w:right w:val="single" w:sz="6" w:space="0" w:color="auto"/>
                    </w:tcBorders>
                  </w:tcPr>
                  <w:p w14:paraId="5B653304" w14:textId="77777777" w:rsidR="00D21C1F" w:rsidRPr="00DD0B1B" w:rsidRDefault="00A42880">
                    <w:pPr>
                      <w:ind w:right="73"/>
                      <w:jc w:val="right"/>
                      <w:rPr>
                        <w:rFonts w:ascii="Times New Roman" w:hAnsi="Times New Roman" w:cs="Times New Roman"/>
                        <w:szCs w:val="21"/>
                      </w:rPr>
                    </w:pPr>
                    <w:r w:rsidRPr="00DD0B1B">
                      <w:rPr>
                        <w:rFonts w:ascii="Times New Roman" w:hAnsi="Times New Roman" w:cs="Times New Roman"/>
                      </w:rPr>
                      <w:t>1,573,000.00</w:t>
                    </w:r>
                  </w:p>
                </w:tc>
                <w:tc>
                  <w:tcPr>
                    <w:tcW w:w="716" w:type="pct"/>
                    <w:tcBorders>
                      <w:top w:val="single" w:sz="6" w:space="0" w:color="auto"/>
                      <w:left w:val="single" w:sz="6" w:space="0" w:color="auto"/>
                      <w:bottom w:val="single" w:sz="6" w:space="0" w:color="auto"/>
                      <w:right w:val="single" w:sz="6" w:space="0" w:color="auto"/>
                    </w:tcBorders>
                  </w:tcPr>
                  <w:p w14:paraId="5462FF6C" w14:textId="77777777" w:rsidR="00D21C1F" w:rsidRPr="00DD0B1B" w:rsidRDefault="00A42880">
                    <w:pPr>
                      <w:ind w:right="73"/>
                      <w:rPr>
                        <w:rFonts w:ascii="Times New Roman" w:hAnsi="Times New Roman" w:cs="Times New Roman"/>
                        <w:szCs w:val="21"/>
                      </w:rPr>
                    </w:pPr>
                    <w:r w:rsidRPr="00DD0B1B">
                      <w:rPr>
                        <w:rFonts w:ascii="Times New Roman" w:hAnsi="Times New Roman" w:cs="Times New Roman"/>
                      </w:rPr>
                      <w:t>1</w:t>
                    </w:r>
                    <w:r w:rsidRPr="00DD0B1B">
                      <w:rPr>
                        <w:rFonts w:ascii="Times New Roman" w:hAnsi="Times New Roman" w:cs="Times New Roman"/>
                      </w:rPr>
                      <w:t>年以内</w:t>
                    </w:r>
                  </w:p>
                </w:tc>
                <w:tc>
                  <w:tcPr>
                    <w:tcW w:w="960" w:type="pct"/>
                    <w:tcBorders>
                      <w:top w:val="single" w:sz="6" w:space="0" w:color="auto"/>
                      <w:left w:val="single" w:sz="6" w:space="0" w:color="auto"/>
                      <w:bottom w:val="single" w:sz="6" w:space="0" w:color="auto"/>
                      <w:right w:val="single" w:sz="6" w:space="0" w:color="auto"/>
                    </w:tcBorders>
                    <w:vAlign w:val="bottom"/>
                  </w:tcPr>
                  <w:p w14:paraId="74EDC805"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0.8</w:t>
                    </w:r>
                  </w:p>
                </w:tc>
                <w:tc>
                  <w:tcPr>
                    <w:tcW w:w="911" w:type="pct"/>
                    <w:tcBorders>
                      <w:top w:val="single" w:sz="6" w:space="0" w:color="auto"/>
                      <w:left w:val="single" w:sz="6" w:space="0" w:color="auto"/>
                      <w:bottom w:val="single" w:sz="6" w:space="0" w:color="auto"/>
                      <w:right w:val="single" w:sz="6" w:space="0" w:color="auto"/>
                    </w:tcBorders>
                    <w:vAlign w:val="bottom"/>
                  </w:tcPr>
                  <w:p w14:paraId="611F5655"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78,650.00</w:t>
                    </w:r>
                  </w:p>
                </w:tc>
              </w:tr>
            </w:sdtContent>
          </w:sdt>
          <w:sdt>
            <w:sdtPr>
              <w:rPr>
                <w:rFonts w:hint="eastAsia"/>
                <w:sz w:val="22"/>
                <w:szCs w:val="21"/>
              </w:rPr>
              <w:alias w:val="其他应收款欠款户"/>
              <w:tag w:val="_GBC_3912a12d540a40c8946b4121501bca53"/>
              <w:id w:val="-1893037593"/>
              <w:lock w:val="sdtLocked"/>
            </w:sdtPr>
            <w:sdtEndPr>
              <w:rPr>
                <w:rFonts w:ascii="Times New Roman" w:hAnsi="Times New Roman" w:cs="Times New Roman" w:hint="default"/>
              </w:rPr>
            </w:sdtEndPr>
            <w:sdtContent>
              <w:tr w:rsidR="00D21C1F" w14:paraId="0AFEA619" w14:textId="77777777">
                <w:trPr>
                  <w:cantSplit/>
                </w:trPr>
                <w:tc>
                  <w:tcPr>
                    <w:tcW w:w="832" w:type="pct"/>
                    <w:tcBorders>
                      <w:top w:val="single" w:sz="6" w:space="0" w:color="auto"/>
                      <w:left w:val="single" w:sz="6" w:space="0" w:color="auto"/>
                      <w:bottom w:val="single" w:sz="6" w:space="0" w:color="auto"/>
                      <w:right w:val="single" w:sz="6" w:space="0" w:color="auto"/>
                    </w:tcBorders>
                  </w:tcPr>
                  <w:p w14:paraId="531D2B79" w14:textId="77777777" w:rsidR="00D21C1F" w:rsidRDefault="00A42880">
                    <w:pPr>
                      <w:ind w:right="105"/>
                      <w:rPr>
                        <w:szCs w:val="21"/>
                      </w:rPr>
                    </w:pPr>
                    <w:r>
                      <w:t>第五名</w:t>
                    </w:r>
                  </w:p>
                </w:tc>
                <w:tc>
                  <w:tcPr>
                    <w:tcW w:w="730" w:type="pct"/>
                    <w:tcBorders>
                      <w:top w:val="single" w:sz="6" w:space="0" w:color="auto"/>
                      <w:left w:val="single" w:sz="6" w:space="0" w:color="auto"/>
                      <w:bottom w:val="single" w:sz="6" w:space="0" w:color="auto"/>
                      <w:right w:val="single" w:sz="6" w:space="0" w:color="auto"/>
                    </w:tcBorders>
                  </w:tcPr>
                  <w:p w14:paraId="2119A5BD" w14:textId="77777777" w:rsidR="00D21C1F" w:rsidRDefault="00A42880">
                    <w:pPr>
                      <w:ind w:right="73"/>
                      <w:rPr>
                        <w:szCs w:val="21"/>
                      </w:rPr>
                    </w:pPr>
                    <w:r>
                      <w:t> 保证金 </w:t>
                    </w:r>
                  </w:p>
                </w:tc>
                <w:tc>
                  <w:tcPr>
                    <w:tcW w:w="851" w:type="pct"/>
                    <w:tcBorders>
                      <w:top w:val="single" w:sz="6" w:space="0" w:color="auto"/>
                      <w:left w:val="single" w:sz="6" w:space="0" w:color="auto"/>
                      <w:bottom w:val="single" w:sz="6" w:space="0" w:color="auto"/>
                      <w:right w:val="single" w:sz="6" w:space="0" w:color="auto"/>
                    </w:tcBorders>
                  </w:tcPr>
                  <w:p w14:paraId="6FF802E6" w14:textId="77777777" w:rsidR="00D21C1F" w:rsidRPr="00DD0B1B" w:rsidRDefault="00A42880">
                    <w:pPr>
                      <w:ind w:right="73"/>
                      <w:jc w:val="right"/>
                      <w:rPr>
                        <w:rFonts w:ascii="Times New Roman" w:hAnsi="Times New Roman" w:cs="Times New Roman"/>
                        <w:szCs w:val="21"/>
                      </w:rPr>
                    </w:pPr>
                    <w:r w:rsidRPr="00DD0B1B">
                      <w:rPr>
                        <w:rFonts w:ascii="Times New Roman" w:hAnsi="Times New Roman" w:cs="Times New Roman"/>
                      </w:rPr>
                      <w:t>975,850.00</w:t>
                    </w:r>
                  </w:p>
                </w:tc>
                <w:tc>
                  <w:tcPr>
                    <w:tcW w:w="716" w:type="pct"/>
                    <w:tcBorders>
                      <w:top w:val="single" w:sz="6" w:space="0" w:color="auto"/>
                      <w:left w:val="single" w:sz="6" w:space="0" w:color="auto"/>
                      <w:bottom w:val="single" w:sz="6" w:space="0" w:color="auto"/>
                      <w:right w:val="single" w:sz="6" w:space="0" w:color="auto"/>
                    </w:tcBorders>
                  </w:tcPr>
                  <w:p w14:paraId="18941716" w14:textId="77777777" w:rsidR="00D21C1F" w:rsidRPr="00DD0B1B" w:rsidRDefault="00A42880">
                    <w:pPr>
                      <w:ind w:right="73"/>
                      <w:rPr>
                        <w:rFonts w:ascii="Times New Roman" w:hAnsi="Times New Roman" w:cs="Times New Roman"/>
                        <w:szCs w:val="21"/>
                      </w:rPr>
                    </w:pPr>
                    <w:r w:rsidRPr="00DD0B1B">
                      <w:rPr>
                        <w:rFonts w:ascii="Times New Roman" w:hAnsi="Times New Roman" w:cs="Times New Roman"/>
                      </w:rPr>
                      <w:t>1</w:t>
                    </w:r>
                    <w:r w:rsidRPr="00DD0B1B">
                      <w:rPr>
                        <w:rFonts w:ascii="Times New Roman" w:hAnsi="Times New Roman" w:cs="Times New Roman"/>
                      </w:rPr>
                      <w:t>年以内</w:t>
                    </w:r>
                  </w:p>
                </w:tc>
                <w:tc>
                  <w:tcPr>
                    <w:tcW w:w="960" w:type="pct"/>
                    <w:tcBorders>
                      <w:top w:val="single" w:sz="6" w:space="0" w:color="auto"/>
                      <w:left w:val="single" w:sz="6" w:space="0" w:color="auto"/>
                      <w:bottom w:val="single" w:sz="6" w:space="0" w:color="auto"/>
                      <w:right w:val="single" w:sz="6" w:space="0" w:color="auto"/>
                    </w:tcBorders>
                    <w:vAlign w:val="bottom"/>
                  </w:tcPr>
                  <w:p w14:paraId="04465F44"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0.5</w:t>
                    </w:r>
                  </w:p>
                </w:tc>
                <w:tc>
                  <w:tcPr>
                    <w:tcW w:w="911" w:type="pct"/>
                    <w:tcBorders>
                      <w:top w:val="single" w:sz="6" w:space="0" w:color="auto"/>
                      <w:left w:val="single" w:sz="6" w:space="0" w:color="auto"/>
                      <w:bottom w:val="single" w:sz="6" w:space="0" w:color="auto"/>
                      <w:right w:val="single" w:sz="6" w:space="0" w:color="auto"/>
                    </w:tcBorders>
                    <w:vAlign w:val="bottom"/>
                  </w:tcPr>
                  <w:p w14:paraId="1AC176FE" w14:textId="77777777" w:rsidR="00D21C1F" w:rsidRPr="00DD0B1B" w:rsidRDefault="00A42880">
                    <w:pPr>
                      <w:jc w:val="right"/>
                      <w:rPr>
                        <w:rFonts w:ascii="Times New Roman" w:hAnsi="Times New Roman" w:cs="Times New Roman"/>
                        <w:szCs w:val="21"/>
                      </w:rPr>
                    </w:pPr>
                    <w:r w:rsidRPr="00DD0B1B">
                      <w:rPr>
                        <w:rFonts w:ascii="Times New Roman" w:hAnsi="Times New Roman" w:cs="Times New Roman"/>
                      </w:rPr>
                      <w:t>48,792.50</w:t>
                    </w:r>
                  </w:p>
                </w:tc>
              </w:tr>
            </w:sdtContent>
          </w:sdt>
          <w:tr w:rsidR="00D21C1F" w14:paraId="764ADFB1" w14:textId="77777777">
            <w:trPr>
              <w:cantSplit/>
            </w:trPr>
            <w:sdt>
              <w:sdtPr>
                <w:tag w:val="_PLD_4b94fa57164840a68859b565c2ebabb5"/>
                <w:id w:val="-892422877"/>
                <w:lock w:val="sdtLocked"/>
              </w:sdtPr>
              <w:sdtEndPr/>
              <w:sdtContent>
                <w:tc>
                  <w:tcPr>
                    <w:tcW w:w="832" w:type="pct"/>
                    <w:tcBorders>
                      <w:top w:val="single" w:sz="6" w:space="0" w:color="auto"/>
                      <w:left w:val="single" w:sz="6" w:space="0" w:color="auto"/>
                      <w:bottom w:val="single" w:sz="6" w:space="0" w:color="auto"/>
                      <w:right w:val="single" w:sz="6" w:space="0" w:color="auto"/>
                    </w:tcBorders>
                  </w:tcPr>
                  <w:p w14:paraId="6636CCEB" w14:textId="77777777" w:rsidR="00D21C1F" w:rsidRDefault="00A42880">
                    <w:pPr>
                      <w:ind w:right="105"/>
                      <w:jc w:val="center"/>
                      <w:rPr>
                        <w:szCs w:val="21"/>
                      </w:rPr>
                    </w:pPr>
                    <w:r>
                      <w:rPr>
                        <w:rFonts w:hint="eastAsia"/>
                        <w:szCs w:val="21"/>
                      </w:rPr>
                      <w:t>合计</w:t>
                    </w:r>
                  </w:p>
                </w:tc>
              </w:sdtContent>
            </w:sdt>
            <w:tc>
              <w:tcPr>
                <w:tcW w:w="730" w:type="pct"/>
                <w:tcBorders>
                  <w:top w:val="single" w:sz="6" w:space="0" w:color="auto"/>
                  <w:left w:val="single" w:sz="6" w:space="0" w:color="auto"/>
                  <w:bottom w:val="single" w:sz="6" w:space="0" w:color="auto"/>
                  <w:right w:val="single" w:sz="6" w:space="0" w:color="auto"/>
                </w:tcBorders>
              </w:tcPr>
              <w:p w14:paraId="5F604A48" w14:textId="77777777" w:rsidR="00D21C1F" w:rsidRDefault="00A42880">
                <w:pPr>
                  <w:ind w:right="73"/>
                  <w:jc w:val="center"/>
                  <w:rPr>
                    <w:szCs w:val="21"/>
                  </w:rPr>
                </w:pPr>
                <w:r>
                  <w:rPr>
                    <w:szCs w:val="21"/>
                  </w:rPr>
                  <w:t>/</w:t>
                </w:r>
              </w:p>
            </w:tc>
            <w:tc>
              <w:tcPr>
                <w:tcW w:w="851" w:type="pct"/>
                <w:tcBorders>
                  <w:top w:val="single" w:sz="6" w:space="0" w:color="auto"/>
                  <w:left w:val="single" w:sz="6" w:space="0" w:color="auto"/>
                  <w:bottom w:val="single" w:sz="6" w:space="0" w:color="auto"/>
                  <w:right w:val="single" w:sz="6" w:space="0" w:color="auto"/>
                </w:tcBorders>
              </w:tcPr>
              <w:p w14:paraId="0C0E901D" w14:textId="77777777" w:rsidR="00D21C1F" w:rsidRPr="00DD0B1B" w:rsidRDefault="00A42880">
                <w:pPr>
                  <w:ind w:right="73"/>
                  <w:jc w:val="right"/>
                  <w:rPr>
                    <w:rFonts w:ascii="Times New Roman" w:hAnsi="Times New Roman" w:cs="Times New Roman"/>
                    <w:szCs w:val="21"/>
                  </w:rPr>
                </w:pPr>
                <w:r w:rsidRPr="00DD0B1B">
                  <w:rPr>
                    <w:rFonts w:ascii="Times New Roman" w:hAnsi="Times New Roman" w:cs="Times New Roman"/>
                    <w:szCs w:val="21"/>
                  </w:rPr>
                  <w:t>11,480,415.00</w:t>
                </w:r>
              </w:p>
            </w:tc>
            <w:tc>
              <w:tcPr>
                <w:tcW w:w="716" w:type="pct"/>
                <w:tcBorders>
                  <w:top w:val="single" w:sz="6" w:space="0" w:color="auto"/>
                  <w:left w:val="single" w:sz="6" w:space="0" w:color="auto"/>
                  <w:bottom w:val="single" w:sz="6" w:space="0" w:color="auto"/>
                  <w:right w:val="single" w:sz="6" w:space="0" w:color="auto"/>
                </w:tcBorders>
              </w:tcPr>
              <w:p w14:paraId="25BB67DA" w14:textId="77777777" w:rsidR="00D21C1F" w:rsidRPr="00DD0B1B" w:rsidRDefault="00A42880">
                <w:pPr>
                  <w:ind w:right="73"/>
                  <w:jc w:val="center"/>
                  <w:rPr>
                    <w:rFonts w:ascii="Times New Roman" w:hAnsi="Times New Roman" w:cs="Times New Roman"/>
                    <w:szCs w:val="21"/>
                  </w:rPr>
                </w:pPr>
                <w:r w:rsidRPr="00DD0B1B">
                  <w:rPr>
                    <w:rFonts w:ascii="Times New Roman" w:hAnsi="Times New Roman" w:cs="Times New Roman"/>
                    <w:szCs w:val="21"/>
                  </w:rPr>
                  <w:t>/</w:t>
                </w:r>
              </w:p>
            </w:tc>
            <w:tc>
              <w:tcPr>
                <w:tcW w:w="960" w:type="pct"/>
                <w:tcBorders>
                  <w:top w:val="single" w:sz="6" w:space="0" w:color="auto"/>
                  <w:left w:val="single" w:sz="6" w:space="0" w:color="auto"/>
                  <w:bottom w:val="single" w:sz="6" w:space="0" w:color="auto"/>
                  <w:right w:val="single" w:sz="6" w:space="0" w:color="auto"/>
                </w:tcBorders>
                <w:vAlign w:val="bottom"/>
              </w:tcPr>
              <w:p w14:paraId="218BDC55" w14:textId="77777777" w:rsidR="00D21C1F" w:rsidRPr="00DD0B1B" w:rsidRDefault="00A42880">
                <w:pPr>
                  <w:pStyle w:val="97"/>
                  <w:jc w:val="right"/>
                  <w:rPr>
                    <w:rFonts w:ascii="Times New Roman" w:hAnsi="Times New Roman" w:cs="Times New Roman"/>
                  </w:rPr>
                </w:pPr>
                <w:r w:rsidRPr="00DD0B1B">
                  <w:rPr>
                    <w:rFonts w:ascii="Times New Roman" w:hAnsi="Times New Roman" w:cs="Times New Roman"/>
                  </w:rPr>
                  <w:t>5.8</w:t>
                </w:r>
              </w:p>
            </w:tc>
            <w:tc>
              <w:tcPr>
                <w:tcW w:w="911" w:type="pct"/>
                <w:tcBorders>
                  <w:top w:val="single" w:sz="6" w:space="0" w:color="auto"/>
                  <w:left w:val="single" w:sz="6" w:space="0" w:color="auto"/>
                  <w:bottom w:val="single" w:sz="6" w:space="0" w:color="auto"/>
                  <w:right w:val="single" w:sz="6" w:space="0" w:color="auto"/>
                </w:tcBorders>
                <w:vAlign w:val="bottom"/>
              </w:tcPr>
              <w:p w14:paraId="0D905CF5" w14:textId="77777777" w:rsidR="00D21C1F" w:rsidRPr="00DD0B1B" w:rsidRDefault="00A42880">
                <w:pPr>
                  <w:pStyle w:val="97"/>
                  <w:jc w:val="right"/>
                  <w:rPr>
                    <w:rFonts w:ascii="Times New Roman" w:hAnsi="Times New Roman" w:cs="Times New Roman"/>
                  </w:rPr>
                </w:pPr>
                <w:r w:rsidRPr="00DD0B1B">
                  <w:rPr>
                    <w:rFonts w:ascii="Times New Roman" w:hAnsi="Times New Roman" w:cs="Times New Roman"/>
                  </w:rPr>
                  <w:t>1,348,270.75</w:t>
                </w:r>
              </w:p>
            </w:tc>
          </w:tr>
        </w:tbl>
        <w:p w14:paraId="31748E73" w14:textId="77777777" w:rsidR="00D21C1F" w:rsidRDefault="00045EC6">
          <w:pPr>
            <w:pStyle w:val="97"/>
          </w:pPr>
        </w:p>
      </w:sdtContent>
    </w:sdt>
    <w:p w14:paraId="5F89A313" w14:textId="77777777" w:rsidR="00D21C1F" w:rsidRDefault="00D21C1F">
      <w:pPr>
        <w:snapToGrid w:val="0"/>
        <w:spacing w:line="240" w:lineRule="atLeast"/>
      </w:pPr>
    </w:p>
    <w:sdt>
      <w:sdtPr>
        <w:rPr>
          <w:rFonts w:ascii="宋体" w:eastAsia="宋体" w:hAnsi="宋体" w:cs="宋体" w:hint="eastAsia"/>
          <w:b w:val="0"/>
          <w:bCs w:val="0"/>
          <w:kern w:val="0"/>
          <w:szCs w:val="24"/>
        </w:rPr>
        <w:alias w:val="模块:按应收金额确认的政府补助"/>
        <w:tag w:val="_GBC_52bd0b171cc64f85aa1100213c81523c"/>
        <w:id w:val="1105932972"/>
        <w:lock w:val="sdtLocked"/>
        <w:placeholder>
          <w:docPart w:val="GBC22222222222222222222222222222"/>
        </w:placeholder>
      </w:sdtPr>
      <w:sdtEndPr/>
      <w:sdtContent>
        <w:p w14:paraId="3E41ECD0" w14:textId="77777777" w:rsidR="00D21C1F" w:rsidRDefault="00A42880">
          <w:pPr>
            <w:pStyle w:val="93"/>
            <w:numPr>
              <w:ilvl w:val="3"/>
              <w:numId w:val="150"/>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1892796577"/>
            <w:lock w:val="sdtLocked"/>
            <w:placeholder>
              <w:docPart w:val="GBC22222222222222222222222222222"/>
            </w:placeholder>
          </w:sdtPr>
          <w:sdtEndPr/>
          <w:sdtContent>
            <w:p w14:paraId="0226CA6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2F4E93" w14:textId="77777777" w:rsidR="00D21C1F" w:rsidRDefault="00A42880">
          <w:pPr>
            <w:snapToGrid w:val="0"/>
            <w:spacing w:line="240" w:lineRule="atLeast"/>
            <w:jc w:val="right"/>
          </w:pPr>
          <w:r>
            <w:rPr>
              <w:rFonts w:hint="eastAsia"/>
            </w:rPr>
            <w:t>单位：</w:t>
          </w:r>
          <w:sdt>
            <w:sdtPr>
              <w:rPr>
                <w:rFonts w:hint="eastAsia"/>
              </w:rPr>
              <w:alias w:val="单位：母公司财务附注：按应收金额确认的政府补助"/>
              <w:tag w:val="_GBC_375cad87568541ee9b178aef6bd1cd70"/>
              <w:id w:val="-1834675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母公司财务附注：按应收金额确认的政府补助"/>
              <w:tag w:val="_GBC_94e058ba5ed74fe7bad50b701cc4ba73"/>
              <w:id w:val="757787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92"/>
            <w:gridCol w:w="1562"/>
            <w:gridCol w:w="1133"/>
            <w:gridCol w:w="3866"/>
          </w:tblGrid>
          <w:tr w:rsidR="00D21C1F" w14:paraId="2E14FCB1" w14:textId="77777777">
            <w:sdt>
              <w:sdtPr>
                <w:tag w:val="_PLD_0d0a8dede2224410ab8dea8badd738c5"/>
                <w:id w:val="-1440670463"/>
                <w:lock w:val="sdtLocked"/>
              </w:sdtPr>
              <w:sdtEndPr/>
              <w:sdtContent>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22E614A1" w14:textId="77777777" w:rsidR="00D21C1F" w:rsidRDefault="00A42880">
                    <w:pPr>
                      <w:jc w:val="center"/>
                    </w:pPr>
                    <w:r>
                      <w:rPr>
                        <w:rFonts w:hint="eastAsia"/>
                      </w:rPr>
                      <w:t>单位名称</w:t>
                    </w:r>
                  </w:p>
                </w:tc>
              </w:sdtContent>
            </w:sdt>
            <w:sdt>
              <w:sdtPr>
                <w:tag w:val="_PLD_bce3573ee8cb49018108f0d432615e7c"/>
                <w:id w:val="107561379"/>
                <w:lock w:val="sdtLocked"/>
              </w:sdtPr>
              <w:sdtEndPr/>
              <w:sdtContent>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FB229F2" w14:textId="77777777" w:rsidR="00D21C1F" w:rsidRDefault="00A42880">
                    <w:pPr>
                      <w:jc w:val="center"/>
                    </w:pPr>
                    <w:r>
                      <w:rPr>
                        <w:rFonts w:hint="eastAsia"/>
                      </w:rPr>
                      <w:t>政府补助项目名称</w:t>
                    </w:r>
                  </w:p>
                </w:tc>
              </w:sdtContent>
            </w:sdt>
            <w:sdt>
              <w:sdtPr>
                <w:tag w:val="_PLD_78d0731378a04682b3f4c91c1b1057d0"/>
                <w:id w:val="1516029069"/>
                <w:lock w:val="sdtLocked"/>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2100115E" w14:textId="77777777" w:rsidR="00D21C1F" w:rsidRDefault="00A42880">
                    <w:pPr>
                      <w:jc w:val="center"/>
                    </w:pPr>
                    <w:r>
                      <w:rPr>
                        <w:rFonts w:hint="eastAsia"/>
                      </w:rPr>
                      <w:t>期末余额</w:t>
                    </w:r>
                  </w:p>
                </w:tc>
              </w:sdtContent>
            </w:sdt>
            <w:sdt>
              <w:sdtPr>
                <w:tag w:val="_PLD_965abe504b504a1db7f5adf083c4e014"/>
                <w:id w:val="-1417852842"/>
                <w:lock w:val="sdtLocked"/>
              </w:sdtPr>
              <w:sdtEndPr/>
              <w:sdtContent>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1AA6FEB8" w14:textId="77777777" w:rsidR="00D21C1F" w:rsidRDefault="00A42880">
                    <w:pPr>
                      <w:jc w:val="center"/>
                    </w:pPr>
                    <w:r>
                      <w:rPr>
                        <w:rFonts w:hint="eastAsia"/>
                      </w:rPr>
                      <w:t>期末账龄</w:t>
                    </w:r>
                  </w:p>
                </w:tc>
              </w:sdtContent>
            </w:sdt>
            <w:sdt>
              <w:sdtPr>
                <w:tag w:val="_PLD_4ac0cf0529914e839f425da27a762d10"/>
                <w:id w:val="1816217236"/>
                <w:lock w:val="sdtLocked"/>
              </w:sdtPr>
              <w:sdtEndPr/>
              <w:sdtContent>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13869BD5" w14:textId="77777777" w:rsidR="00D21C1F" w:rsidRDefault="00A42880">
                    <w:pPr>
                      <w:jc w:val="center"/>
                    </w:pPr>
                    <w:r>
                      <w:rPr>
                        <w:rFonts w:hint="eastAsia"/>
                      </w:rPr>
                      <w:t>预计收取的时间、金额及依据</w:t>
                    </w:r>
                  </w:p>
                </w:tc>
              </w:sdtContent>
            </w:sdt>
          </w:tr>
          <w:sdt>
            <w:sdtPr>
              <w:alias w:val="按应收金额确认的政府补助明细"/>
              <w:tag w:val="_GBC_e04fc849778f4bbeb685440421d621ea"/>
              <w:id w:val="-202180526"/>
              <w:lock w:val="sdtLocked"/>
              <w:placeholder>
                <w:docPart w:val="34E318F847694E86BE647EB629C1CF3C"/>
              </w:placeholder>
            </w:sdtPr>
            <w:sdtEndPr>
              <w:rPr>
                <w:rFonts w:ascii="Times New Roman" w:hAnsi="Times New Roman" w:cs="Times New Roman"/>
                <w:kern w:val="2"/>
              </w:rPr>
            </w:sdtEndPr>
            <w:sdtContent>
              <w:tr w:rsidR="00D21C1F" w14:paraId="67896B40" w14:textId="77777777">
                <w:tc>
                  <w:tcPr>
                    <w:tcW w:w="720" w:type="pct"/>
                    <w:tcBorders>
                      <w:top w:val="single" w:sz="4" w:space="0" w:color="auto"/>
                      <w:left w:val="single" w:sz="4" w:space="0" w:color="auto"/>
                      <w:bottom w:val="single" w:sz="4" w:space="0" w:color="auto"/>
                      <w:right w:val="single" w:sz="4" w:space="0" w:color="auto"/>
                    </w:tcBorders>
                    <w:shd w:val="clear" w:color="auto" w:fill="auto"/>
                  </w:tcPr>
                  <w:p w14:paraId="762EE29F" w14:textId="77777777" w:rsidR="00D21C1F" w:rsidRDefault="00A42880">
                    <w:pPr>
                      <w:pStyle w:val="97"/>
                    </w:pPr>
                    <w:r>
                      <w:t>芜湖市鸠江区经济和信息化局</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7FB8E32C" w14:textId="77777777" w:rsidR="00D21C1F" w:rsidRDefault="00A42880">
                    <w:pPr>
                      <w:pStyle w:val="97"/>
                    </w:pPr>
                    <w:r>
                      <w:t>机器人推广应用补贴</w:t>
                    </w:r>
                  </w:p>
                </w:tc>
                <w:tc>
                  <w:tcPr>
                    <w:tcW w:w="885" w:type="pct"/>
                    <w:tcBorders>
                      <w:top w:val="single" w:sz="4" w:space="0" w:color="auto"/>
                      <w:left w:val="single" w:sz="4" w:space="0" w:color="auto"/>
                      <w:bottom w:val="single" w:sz="4" w:space="0" w:color="auto"/>
                      <w:right w:val="single" w:sz="4" w:space="0" w:color="auto"/>
                    </w:tcBorders>
                    <w:shd w:val="clear" w:color="auto" w:fill="auto"/>
                  </w:tcPr>
                  <w:p w14:paraId="72F00119"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4,916,565.00</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C670E7F" w14:textId="77777777" w:rsidR="00D21C1F" w:rsidRPr="00DD0B1B" w:rsidRDefault="00A42880">
                    <w:pPr>
                      <w:jc w:val="right"/>
                      <w:rPr>
                        <w:rFonts w:ascii="Times New Roman" w:hAnsi="Times New Roman" w:cs="Times New Roman"/>
                      </w:rPr>
                    </w:pPr>
                    <w:r w:rsidRPr="00DD0B1B">
                      <w:rPr>
                        <w:rFonts w:ascii="Times New Roman" w:hAnsi="Times New Roman" w:cs="Times New Roman"/>
                      </w:rPr>
                      <w:t>1</w:t>
                    </w:r>
                    <w:r w:rsidRPr="00DD0B1B">
                      <w:rPr>
                        <w:rFonts w:ascii="Times New Roman" w:hAnsi="Times New Roman" w:cs="Times New Roman"/>
                      </w:rPr>
                      <w:t>年以内</w:t>
                    </w:r>
                  </w:p>
                </w:tc>
                <w:tc>
                  <w:tcPr>
                    <w:tcW w:w="2191" w:type="pct"/>
                    <w:tcBorders>
                      <w:top w:val="single" w:sz="4" w:space="0" w:color="auto"/>
                      <w:left w:val="single" w:sz="4" w:space="0" w:color="auto"/>
                      <w:bottom w:val="single" w:sz="4" w:space="0" w:color="auto"/>
                      <w:right w:val="single" w:sz="4" w:space="0" w:color="auto"/>
                    </w:tcBorders>
                    <w:shd w:val="clear" w:color="auto" w:fill="auto"/>
                  </w:tcPr>
                  <w:p w14:paraId="18A40611" w14:textId="77777777" w:rsidR="00D21C1F" w:rsidRPr="00DD0B1B" w:rsidRDefault="00A42880">
                    <w:pPr>
                      <w:pStyle w:val="97"/>
                      <w:rPr>
                        <w:rFonts w:ascii="Times New Roman" w:hAnsi="Times New Roman" w:cs="Times New Roman"/>
                      </w:rPr>
                    </w:pPr>
                    <w:r w:rsidRPr="00DD0B1B">
                      <w:rPr>
                        <w:rFonts w:ascii="Times New Roman" w:hAnsi="Times New Roman" w:cs="Times New Roman"/>
                      </w:rPr>
                      <w:t>公司预计于</w:t>
                    </w:r>
                    <w:r w:rsidRPr="00DD0B1B">
                      <w:rPr>
                        <w:rFonts w:ascii="Times New Roman" w:hAnsi="Times New Roman" w:cs="Times New Roman"/>
                      </w:rPr>
                      <w:t>2021</w:t>
                    </w:r>
                    <w:r w:rsidRPr="00DD0B1B">
                      <w:rPr>
                        <w:rFonts w:ascii="Times New Roman" w:hAnsi="Times New Roman" w:cs="Times New Roman"/>
                      </w:rPr>
                      <w:t>年度收取</w:t>
                    </w:r>
                    <w:r w:rsidRPr="00DD0B1B">
                      <w:rPr>
                        <w:rFonts w:ascii="Times New Roman" w:hAnsi="Times New Roman" w:cs="Times New Roman"/>
                      </w:rPr>
                      <w:t>4,916,565.00</w:t>
                    </w:r>
                    <w:r w:rsidRPr="00DD0B1B">
                      <w:rPr>
                        <w:rFonts w:ascii="Times New Roman" w:hAnsi="Times New Roman" w:cs="Times New Roman"/>
                      </w:rPr>
                      <w:t>元；依据文件：《关于埃夫特智能装备有限公司申请兑现</w:t>
                    </w:r>
                    <w:r w:rsidRPr="00DD0B1B">
                      <w:rPr>
                        <w:rFonts w:ascii="Times New Roman" w:hAnsi="Times New Roman" w:cs="Times New Roman"/>
                      </w:rPr>
                      <w:t>“</w:t>
                    </w:r>
                    <w:r w:rsidRPr="00DD0B1B">
                      <w:rPr>
                        <w:rFonts w:ascii="Times New Roman" w:hAnsi="Times New Roman" w:cs="Times New Roman"/>
                      </w:rPr>
                      <w:t>市机器人推广应用补贴</w:t>
                    </w:r>
                    <w:r w:rsidRPr="00DD0B1B">
                      <w:rPr>
                        <w:rFonts w:ascii="Times New Roman" w:hAnsi="Times New Roman" w:cs="Times New Roman"/>
                      </w:rPr>
                      <w:t>”</w:t>
                    </w:r>
                    <w:r w:rsidRPr="00DD0B1B">
                      <w:rPr>
                        <w:rFonts w:ascii="Times New Roman" w:hAnsi="Times New Roman" w:cs="Times New Roman"/>
                      </w:rPr>
                      <w:t>的情况说明》</w:t>
                    </w:r>
                  </w:p>
                </w:tc>
              </w:tr>
            </w:sdtContent>
          </w:sdt>
        </w:tbl>
        <w:p w14:paraId="1DE4757B" w14:textId="77777777" w:rsidR="00D21C1F" w:rsidRDefault="00A42880">
          <w:pPr>
            <w:snapToGrid w:val="0"/>
            <w:spacing w:line="240" w:lineRule="atLeast"/>
          </w:pPr>
          <w:r>
            <w:rPr>
              <w:rFonts w:hint="eastAsia"/>
            </w:rPr>
            <w:t>其他说明：</w:t>
          </w:r>
        </w:p>
        <w:sdt>
          <w:sdtPr>
            <w:alias w:val="涉及政府补助的应收款项说明"/>
            <w:tag w:val="_GBC_0f39c6aabc134a06bdb4e9184731b7ea"/>
            <w:id w:val="-1887712531"/>
            <w:lock w:val="sdtLocked"/>
            <w:placeholder>
              <w:docPart w:val="GBC22222222222222222222222222222"/>
            </w:placeholder>
          </w:sdtPr>
          <w:sdtEndPr/>
          <w:sdtContent>
            <w:p w14:paraId="607BB37E" w14:textId="77777777" w:rsidR="00D21C1F" w:rsidRDefault="00A42880">
              <w:pPr>
                <w:snapToGrid w:val="0"/>
                <w:spacing w:line="240" w:lineRule="atLeast"/>
              </w:pPr>
              <w:r>
                <w:rPr>
                  <w:rFonts w:hint="eastAsia"/>
                </w:rPr>
                <w:t>无</w:t>
              </w:r>
            </w:p>
          </w:sdtContent>
        </w:sdt>
      </w:sdtContent>
    </w:sdt>
    <w:sdt>
      <w:sdtPr>
        <w:rPr>
          <w:rFonts w:ascii="宋体" w:eastAsia="宋体" w:hAnsi="宋体" w:cs="宋体"/>
          <w:b w:val="0"/>
          <w:bCs w:val="0"/>
          <w:kern w:val="0"/>
          <w:szCs w:val="24"/>
        </w:rPr>
        <w:alias w:val="模块:因金融资产转移而终止确认的其他应收款"/>
        <w:tag w:val="_GBC_338c72ace78c4ba79d60f19b8dbabe9a"/>
        <w:id w:val="-368535861"/>
        <w:lock w:val="sdtLocked"/>
        <w:placeholder>
          <w:docPart w:val="GBC22222222222222222222222222222"/>
        </w:placeholder>
      </w:sdtPr>
      <w:sdtEndPr/>
      <w:sdtContent>
        <w:p w14:paraId="04A1D161" w14:textId="77777777" w:rsidR="00D21C1F" w:rsidRDefault="00A42880">
          <w:pPr>
            <w:pStyle w:val="93"/>
            <w:numPr>
              <w:ilvl w:val="3"/>
              <w:numId w:val="150"/>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1101986555"/>
            <w:lock w:val="sdtLocked"/>
            <w:placeholder>
              <w:docPart w:val="GBC22222222222222222222222222222"/>
            </w:placeholder>
          </w:sdtPr>
          <w:sdtEndPr/>
          <w:sdtContent>
            <w:p w14:paraId="4EEA193B"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转移其他应收款且继续涉入的，分项列示继续涉入形成的资产、负债..."/>
        <w:tag w:val="_GBC_86d729c7494a406ba4f51afb2c881955"/>
        <w:id w:val="1865173139"/>
        <w:lock w:val="sdtLocked"/>
        <w:placeholder>
          <w:docPart w:val="GBC22222222222222222222222222222"/>
        </w:placeholder>
      </w:sdtPr>
      <w:sdtEndPr/>
      <w:sdtContent>
        <w:p w14:paraId="05D6BF9C" w14:textId="77777777" w:rsidR="00D21C1F" w:rsidRDefault="00A42880">
          <w:pPr>
            <w:pStyle w:val="93"/>
            <w:numPr>
              <w:ilvl w:val="3"/>
              <w:numId w:val="150"/>
            </w:numPr>
            <w:ind w:left="426" w:hanging="426"/>
            <w:rPr>
              <w:rFonts w:ascii="宋体" w:hAnsi="宋体"/>
              <w:kern w:val="0"/>
            </w:rPr>
          </w:pPr>
          <w:r>
            <w:rPr>
              <w:rFonts w:ascii="宋体" w:hAnsi="宋体"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1155254842"/>
            <w:lock w:val="sdtLocked"/>
            <w:placeholder>
              <w:docPart w:val="GBC22222222222222222222222222222"/>
            </w:placeholder>
          </w:sdtPr>
          <w:sdtEndPr/>
          <w:sdtContent>
            <w:p w14:paraId="1A81689D"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eastAsia="宋体" w:hint="eastAsia"/>
          <w:b/>
          <w:bCs/>
        </w:rPr>
        <w:alias w:val="模块:其他应收款其他说明"/>
        <w:tag w:val="_GBC_4b6cd384bee54ff79269fa4457c70d49"/>
        <w:id w:val="1812215019"/>
        <w:lock w:val="sdtLocked"/>
        <w:placeholder>
          <w:docPart w:val="GBC22222222222222222222222222222"/>
        </w:placeholder>
      </w:sdtPr>
      <w:sdtEndPr>
        <w:rPr>
          <w:b w:val="0"/>
          <w:bCs w:val="0"/>
        </w:rPr>
      </w:sdtEndPr>
      <w:sdtContent>
        <w:p w14:paraId="71971790" w14:textId="77777777" w:rsidR="00D21C1F" w:rsidRDefault="00A42880">
          <w:pPr>
            <w:pStyle w:val="97"/>
          </w:pPr>
          <w:r>
            <w:rPr>
              <w:rFonts w:hint="eastAsia"/>
            </w:rPr>
            <w:t>其他</w:t>
          </w:r>
          <w:r>
            <w:t>说明：</w:t>
          </w:r>
        </w:p>
        <w:sdt>
          <w:sdtPr>
            <w:alias w:val="是否适用：母公司其他应收款的其他说明[双击切换]"/>
            <w:tag w:val="_GBC_2e0f632cbc7d4916b89bf8824f4b71f0"/>
            <w:id w:val="-1969895455"/>
            <w:lock w:val="sdtLocked"/>
            <w:placeholder>
              <w:docPart w:val="GBC22222222222222222222222222222"/>
            </w:placeholder>
          </w:sdtPr>
          <w:sdtEndPr/>
          <w:sdtContent>
            <w:p w14:paraId="4C6FE8EC"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477814" w14:textId="77777777" w:rsidR="00D21C1F" w:rsidRDefault="00045EC6">
          <w:pPr>
            <w:rPr>
              <w:szCs w:val="21"/>
            </w:rPr>
          </w:pPr>
        </w:p>
      </w:sdtContent>
    </w:sdt>
    <w:p w14:paraId="5CD68901" w14:textId="77777777" w:rsidR="00D21C1F" w:rsidRDefault="00A42880">
      <w:pPr>
        <w:pStyle w:val="94"/>
        <w:numPr>
          <w:ilvl w:val="0"/>
          <w:numId w:val="148"/>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2074848275"/>
        <w:lock w:val="sdtContentLocked"/>
        <w:placeholder>
          <w:docPart w:val="GBC22222222222222222222222222222"/>
        </w:placeholder>
      </w:sdtPr>
      <w:sdtEndPr/>
      <w:sdtContent>
        <w:p w14:paraId="2D52E160"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939286254"/>
        <w:lock w:val="sdtLocked"/>
        <w:placeholder>
          <w:docPart w:val="GBC22222222222222222222222222222"/>
        </w:placeholder>
      </w:sdtPr>
      <w:sdtEndPr>
        <w:rPr>
          <w:b w:val="0"/>
          <w:bCs w:val="0"/>
        </w:rPr>
      </w:sdtEndPr>
      <w:sdtContent>
        <w:p w14:paraId="5F9CFCEF" w14:textId="77777777" w:rsidR="00D21C1F" w:rsidRDefault="00A42880">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4632650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长期股权投资"/>
              <w:tag w:val="_GBC_4b4d1a2b986f475e8058a041d2f5a6f9"/>
              <w:id w:val="-1645350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1631"/>
            <w:gridCol w:w="1574"/>
            <w:gridCol w:w="458"/>
            <w:gridCol w:w="1532"/>
            <w:gridCol w:w="1574"/>
            <w:gridCol w:w="474"/>
            <w:gridCol w:w="1574"/>
          </w:tblGrid>
          <w:tr w:rsidR="00D21C1F" w14:paraId="2F58FAF8" w14:textId="77777777">
            <w:trPr>
              <w:cantSplit/>
            </w:trPr>
            <w:sdt>
              <w:sdtPr>
                <w:tag w:val="_PLD_69c4a2f49545484e8b3a149f64c9d21f"/>
                <w:id w:val="1134763431"/>
                <w:lock w:val="sdtLocked"/>
              </w:sdtPr>
              <w:sdtEndPr/>
              <w:sdtContent>
                <w:tc>
                  <w:tcPr>
                    <w:tcW w:w="926" w:type="pct"/>
                    <w:vMerge w:val="restart"/>
                    <w:shd w:val="clear" w:color="auto" w:fill="auto"/>
                    <w:vAlign w:val="center"/>
                  </w:tcPr>
                  <w:p w14:paraId="24A04D98" w14:textId="77777777" w:rsidR="00D21C1F" w:rsidRDefault="00A42880">
                    <w:pPr>
                      <w:jc w:val="center"/>
                    </w:pPr>
                    <w:r>
                      <w:rPr>
                        <w:rFonts w:hint="eastAsia"/>
                      </w:rPr>
                      <w:t>项目</w:t>
                    </w:r>
                  </w:p>
                </w:tc>
              </w:sdtContent>
            </w:sdt>
            <w:sdt>
              <w:sdtPr>
                <w:tag w:val="_PLD_f7d0566caa554c4c823029a05c5319eb"/>
                <w:id w:val="-734625638"/>
                <w:lock w:val="sdtLocked"/>
              </w:sdtPr>
              <w:sdtEndPr/>
              <w:sdtContent>
                <w:tc>
                  <w:tcPr>
                    <w:tcW w:w="2016" w:type="pct"/>
                    <w:gridSpan w:val="3"/>
                    <w:shd w:val="clear" w:color="auto" w:fill="auto"/>
                    <w:vAlign w:val="center"/>
                  </w:tcPr>
                  <w:p w14:paraId="34CD81DB" w14:textId="77777777" w:rsidR="00D21C1F" w:rsidRDefault="00A42880">
                    <w:pPr>
                      <w:jc w:val="center"/>
                    </w:pPr>
                    <w:r>
                      <w:rPr>
                        <w:rFonts w:hint="eastAsia"/>
                      </w:rPr>
                      <w:t>期末余额</w:t>
                    </w:r>
                  </w:p>
                </w:tc>
              </w:sdtContent>
            </w:sdt>
            <w:sdt>
              <w:sdtPr>
                <w:tag w:val="_PLD_9d2cfae2492a49c2b441d1371a5e4673"/>
                <w:id w:val="-28949124"/>
                <w:lock w:val="sdtLocked"/>
              </w:sdtPr>
              <w:sdtEndPr/>
              <w:sdtContent>
                <w:tc>
                  <w:tcPr>
                    <w:tcW w:w="2057" w:type="pct"/>
                    <w:gridSpan w:val="3"/>
                    <w:shd w:val="clear" w:color="auto" w:fill="auto"/>
                    <w:vAlign w:val="center"/>
                  </w:tcPr>
                  <w:p w14:paraId="4AFB8CE5" w14:textId="77777777" w:rsidR="00D21C1F" w:rsidRDefault="00A42880">
                    <w:pPr>
                      <w:jc w:val="center"/>
                    </w:pPr>
                    <w:r>
                      <w:rPr>
                        <w:rFonts w:hint="eastAsia"/>
                      </w:rPr>
                      <w:t>期初余额</w:t>
                    </w:r>
                  </w:p>
                </w:tc>
              </w:sdtContent>
            </w:sdt>
          </w:tr>
          <w:tr w:rsidR="00D21C1F" w14:paraId="6A526B01" w14:textId="77777777">
            <w:trPr>
              <w:cantSplit/>
            </w:trPr>
            <w:tc>
              <w:tcPr>
                <w:tcW w:w="926" w:type="pct"/>
                <w:vMerge/>
                <w:tcBorders>
                  <w:bottom w:val="single" w:sz="6" w:space="0" w:color="auto"/>
                </w:tcBorders>
                <w:shd w:val="clear" w:color="auto" w:fill="auto"/>
                <w:vAlign w:val="center"/>
              </w:tcPr>
              <w:p w14:paraId="03A0C467" w14:textId="77777777" w:rsidR="00D21C1F" w:rsidRDefault="00D21C1F">
                <w:pPr>
                  <w:jc w:val="center"/>
                </w:pPr>
              </w:p>
            </w:tc>
            <w:sdt>
              <w:sdtPr>
                <w:tag w:val="_PLD_9f664b17996c45f08a57544a9ec7e340"/>
                <w:id w:val="42801855"/>
                <w:lock w:val="sdtLocked"/>
              </w:sdtPr>
              <w:sdtEndPr/>
              <w:sdtContent>
                <w:tc>
                  <w:tcPr>
                    <w:tcW w:w="894" w:type="pct"/>
                    <w:tcBorders>
                      <w:bottom w:val="single" w:sz="6" w:space="0" w:color="auto"/>
                    </w:tcBorders>
                    <w:shd w:val="clear" w:color="auto" w:fill="auto"/>
                    <w:vAlign w:val="center"/>
                  </w:tcPr>
                  <w:p w14:paraId="499B61C2" w14:textId="77777777" w:rsidR="00D21C1F" w:rsidRDefault="00A42880">
                    <w:pPr>
                      <w:jc w:val="center"/>
                    </w:pPr>
                    <w:r>
                      <w:rPr>
                        <w:rFonts w:hint="eastAsia"/>
                      </w:rPr>
                      <w:t>账面余额</w:t>
                    </w:r>
                  </w:p>
                </w:tc>
              </w:sdtContent>
            </w:sdt>
            <w:sdt>
              <w:sdtPr>
                <w:tag w:val="_PLD_5c150a7367994fc29e7f8b50d7ff2eab"/>
                <w:id w:val="1548103783"/>
                <w:lock w:val="sdtLocked"/>
              </w:sdtPr>
              <w:sdtEndPr/>
              <w:sdtContent>
                <w:tc>
                  <w:tcPr>
                    <w:tcW w:w="261" w:type="pct"/>
                    <w:tcBorders>
                      <w:bottom w:val="single" w:sz="6" w:space="0" w:color="auto"/>
                    </w:tcBorders>
                    <w:shd w:val="clear" w:color="auto" w:fill="auto"/>
                    <w:vAlign w:val="center"/>
                  </w:tcPr>
                  <w:p w14:paraId="69022E1C" w14:textId="77777777" w:rsidR="00D21C1F" w:rsidRDefault="00A42880">
                    <w:pPr>
                      <w:jc w:val="center"/>
                    </w:pPr>
                    <w:r>
                      <w:rPr>
                        <w:rFonts w:hint="eastAsia"/>
                      </w:rPr>
                      <w:t>减值准备</w:t>
                    </w:r>
                  </w:p>
                </w:tc>
              </w:sdtContent>
            </w:sdt>
            <w:sdt>
              <w:sdtPr>
                <w:tag w:val="_PLD_3db48da0eacd49568929884577dae51b"/>
                <w:id w:val="1027443831"/>
                <w:lock w:val="sdtLocked"/>
              </w:sdtPr>
              <w:sdtEndPr/>
              <w:sdtContent>
                <w:tc>
                  <w:tcPr>
                    <w:tcW w:w="861" w:type="pct"/>
                    <w:tcBorders>
                      <w:bottom w:val="single" w:sz="6" w:space="0" w:color="auto"/>
                    </w:tcBorders>
                    <w:shd w:val="clear" w:color="auto" w:fill="auto"/>
                    <w:vAlign w:val="center"/>
                  </w:tcPr>
                  <w:p w14:paraId="13AFD1D3" w14:textId="77777777" w:rsidR="00D21C1F" w:rsidRDefault="00A42880">
                    <w:pPr>
                      <w:jc w:val="center"/>
                    </w:pPr>
                    <w:r>
                      <w:rPr>
                        <w:rFonts w:hint="eastAsia"/>
                      </w:rPr>
                      <w:t>账面价值</w:t>
                    </w:r>
                  </w:p>
                </w:tc>
              </w:sdtContent>
            </w:sdt>
            <w:sdt>
              <w:sdtPr>
                <w:tag w:val="_PLD_00d8a1d3b6754b52929b2c46a2e716c9"/>
                <w:id w:val="240151491"/>
                <w:lock w:val="sdtLocked"/>
              </w:sdtPr>
              <w:sdtEndPr/>
              <w:sdtContent>
                <w:tc>
                  <w:tcPr>
                    <w:tcW w:w="894" w:type="pct"/>
                    <w:tcBorders>
                      <w:bottom w:val="single" w:sz="6" w:space="0" w:color="auto"/>
                    </w:tcBorders>
                    <w:shd w:val="clear" w:color="auto" w:fill="auto"/>
                    <w:vAlign w:val="center"/>
                  </w:tcPr>
                  <w:p w14:paraId="5B114379" w14:textId="77777777" w:rsidR="00D21C1F" w:rsidRDefault="00A42880">
                    <w:pPr>
                      <w:jc w:val="center"/>
                    </w:pPr>
                    <w:r>
                      <w:rPr>
                        <w:rFonts w:hint="eastAsia"/>
                      </w:rPr>
                      <w:t>账面余额</w:t>
                    </w:r>
                  </w:p>
                </w:tc>
              </w:sdtContent>
            </w:sdt>
            <w:sdt>
              <w:sdtPr>
                <w:tag w:val="_PLD_0f2c77fc41ea456bab34653dee178805"/>
                <w:id w:val="1685482413"/>
                <w:lock w:val="sdtLocked"/>
              </w:sdtPr>
              <w:sdtEndPr/>
              <w:sdtContent>
                <w:tc>
                  <w:tcPr>
                    <w:tcW w:w="270" w:type="pct"/>
                    <w:tcBorders>
                      <w:bottom w:val="single" w:sz="6" w:space="0" w:color="auto"/>
                    </w:tcBorders>
                    <w:shd w:val="clear" w:color="auto" w:fill="auto"/>
                    <w:vAlign w:val="center"/>
                  </w:tcPr>
                  <w:p w14:paraId="40565F29" w14:textId="77777777" w:rsidR="00D21C1F" w:rsidRDefault="00A42880">
                    <w:pPr>
                      <w:jc w:val="center"/>
                    </w:pPr>
                    <w:r>
                      <w:rPr>
                        <w:rFonts w:hint="eastAsia"/>
                      </w:rPr>
                      <w:t>减值准备</w:t>
                    </w:r>
                  </w:p>
                </w:tc>
              </w:sdtContent>
            </w:sdt>
            <w:sdt>
              <w:sdtPr>
                <w:tag w:val="_PLD_9ae07ed9769c419fa280d4c5ad3f03d7"/>
                <w:id w:val="728584113"/>
                <w:lock w:val="sdtLocked"/>
              </w:sdtPr>
              <w:sdtEndPr/>
              <w:sdtContent>
                <w:tc>
                  <w:tcPr>
                    <w:tcW w:w="894" w:type="pct"/>
                    <w:tcBorders>
                      <w:bottom w:val="single" w:sz="6" w:space="0" w:color="auto"/>
                    </w:tcBorders>
                    <w:shd w:val="clear" w:color="auto" w:fill="auto"/>
                    <w:vAlign w:val="center"/>
                  </w:tcPr>
                  <w:p w14:paraId="4C8D7871" w14:textId="77777777" w:rsidR="00D21C1F" w:rsidRDefault="00A42880">
                    <w:pPr>
                      <w:jc w:val="center"/>
                    </w:pPr>
                    <w:r>
                      <w:rPr>
                        <w:rFonts w:hint="eastAsia"/>
                      </w:rPr>
                      <w:t>账面价值</w:t>
                    </w:r>
                  </w:p>
                </w:tc>
              </w:sdtContent>
            </w:sdt>
          </w:tr>
          <w:tr w:rsidR="00D21C1F" w14:paraId="6021AC69" w14:textId="77777777">
            <w:trPr>
              <w:cantSplit/>
            </w:trPr>
            <w:sdt>
              <w:sdtPr>
                <w:tag w:val="_PLD_b2ce03f2519c40d0a152124161e4337f"/>
                <w:id w:val="-1818958679"/>
                <w:lock w:val="sdtLocked"/>
              </w:sdtPr>
              <w:sdtEndPr/>
              <w:sdtContent>
                <w:tc>
                  <w:tcPr>
                    <w:tcW w:w="926" w:type="pct"/>
                    <w:shd w:val="clear" w:color="auto" w:fill="auto"/>
                  </w:tcPr>
                  <w:p w14:paraId="76DFEB0A" w14:textId="77777777" w:rsidR="00D21C1F" w:rsidRDefault="00A42880">
                    <w:pPr>
                      <w:pStyle w:val="97"/>
                    </w:pPr>
                    <w:r>
                      <w:rPr>
                        <w:rFonts w:hint="eastAsia"/>
                      </w:rPr>
                      <w:t>对子公司投资</w:t>
                    </w:r>
                  </w:p>
                </w:tc>
              </w:sdtContent>
            </w:sdt>
            <w:tc>
              <w:tcPr>
                <w:tcW w:w="894" w:type="pct"/>
                <w:shd w:val="clear" w:color="auto" w:fill="auto"/>
                <w:vAlign w:val="bottom"/>
              </w:tcPr>
              <w:p w14:paraId="0748CB22" w14:textId="77777777" w:rsidR="00D21C1F" w:rsidRDefault="00A42880">
                <w:pPr>
                  <w:jc w:val="right"/>
                  <w:rPr>
                    <w:rFonts w:ascii="Times New Roman" w:hAnsi="Times New Roman" w:cs="Times New Roman"/>
                  </w:rPr>
                </w:pPr>
                <w:r>
                  <w:rPr>
                    <w:rFonts w:ascii="Times New Roman" w:hAnsi="Times New Roman" w:cs="Times New Roman"/>
                  </w:rPr>
                  <w:t>1,336,399,764.62</w:t>
                </w:r>
              </w:p>
            </w:tc>
            <w:tc>
              <w:tcPr>
                <w:tcW w:w="261" w:type="pct"/>
                <w:shd w:val="clear" w:color="auto" w:fill="auto"/>
                <w:vAlign w:val="bottom"/>
              </w:tcPr>
              <w:p w14:paraId="0EA58B6E" w14:textId="77777777" w:rsidR="00D21C1F" w:rsidRDefault="00A42880">
                <w:pPr>
                  <w:jc w:val="right"/>
                  <w:rPr>
                    <w:rFonts w:ascii="Times New Roman" w:hAnsi="Times New Roman" w:cs="Times New Roman"/>
                  </w:rPr>
                </w:pPr>
                <w:r>
                  <w:rPr>
                    <w:rFonts w:ascii="Times New Roman" w:hAnsi="Times New Roman" w:cs="Times New Roman"/>
                  </w:rPr>
                  <w:t>-</w:t>
                </w:r>
              </w:p>
            </w:tc>
            <w:tc>
              <w:tcPr>
                <w:tcW w:w="861" w:type="pct"/>
                <w:shd w:val="clear" w:color="auto" w:fill="auto"/>
                <w:vAlign w:val="bottom"/>
              </w:tcPr>
              <w:p w14:paraId="7FE2B7A6" w14:textId="77777777" w:rsidR="00D21C1F" w:rsidRDefault="00A42880">
                <w:pPr>
                  <w:jc w:val="right"/>
                  <w:rPr>
                    <w:rFonts w:ascii="Times New Roman" w:hAnsi="Times New Roman" w:cs="Times New Roman"/>
                  </w:rPr>
                </w:pPr>
                <w:r>
                  <w:rPr>
                    <w:rFonts w:ascii="Times New Roman" w:hAnsi="Times New Roman" w:cs="Times New Roman"/>
                  </w:rPr>
                  <w:t>1,336,399,764.62</w:t>
                </w:r>
              </w:p>
            </w:tc>
            <w:tc>
              <w:tcPr>
                <w:tcW w:w="894" w:type="pct"/>
                <w:shd w:val="clear" w:color="auto" w:fill="auto"/>
                <w:vAlign w:val="bottom"/>
              </w:tcPr>
              <w:p w14:paraId="37AC6074" w14:textId="77777777" w:rsidR="00D21C1F" w:rsidRDefault="00A42880">
                <w:pPr>
                  <w:jc w:val="right"/>
                  <w:rPr>
                    <w:rFonts w:ascii="Times New Roman" w:hAnsi="Times New Roman" w:cs="Times New Roman"/>
                  </w:rPr>
                </w:pPr>
                <w:r>
                  <w:rPr>
                    <w:rFonts w:ascii="Times New Roman" w:hAnsi="Times New Roman" w:cs="Times New Roman"/>
                  </w:rPr>
                  <w:t>1,288,999,764.62</w:t>
                </w:r>
              </w:p>
            </w:tc>
            <w:tc>
              <w:tcPr>
                <w:tcW w:w="270" w:type="pct"/>
                <w:shd w:val="clear" w:color="auto" w:fill="auto"/>
                <w:vAlign w:val="bottom"/>
              </w:tcPr>
              <w:p w14:paraId="6AFD136F" w14:textId="77777777" w:rsidR="00D21C1F" w:rsidRDefault="00A42880">
                <w:pPr>
                  <w:jc w:val="right"/>
                  <w:rPr>
                    <w:rFonts w:ascii="Times New Roman" w:hAnsi="Times New Roman" w:cs="Times New Roman"/>
                  </w:rPr>
                </w:pPr>
                <w:r>
                  <w:rPr>
                    <w:rFonts w:ascii="Times New Roman" w:hAnsi="Times New Roman" w:cs="Times New Roman"/>
                  </w:rPr>
                  <w:t>-</w:t>
                </w:r>
              </w:p>
            </w:tc>
            <w:tc>
              <w:tcPr>
                <w:tcW w:w="894" w:type="pct"/>
                <w:shd w:val="clear" w:color="auto" w:fill="auto"/>
                <w:vAlign w:val="bottom"/>
              </w:tcPr>
              <w:p w14:paraId="09DF8C9A" w14:textId="77777777" w:rsidR="00D21C1F" w:rsidRDefault="00A42880">
                <w:pPr>
                  <w:jc w:val="right"/>
                  <w:rPr>
                    <w:rFonts w:ascii="Times New Roman" w:hAnsi="Times New Roman" w:cs="Times New Roman"/>
                  </w:rPr>
                </w:pPr>
                <w:r>
                  <w:rPr>
                    <w:rFonts w:ascii="Times New Roman" w:hAnsi="Times New Roman" w:cs="Times New Roman"/>
                  </w:rPr>
                  <w:t>1,288,999,764.62</w:t>
                </w:r>
              </w:p>
            </w:tc>
          </w:tr>
          <w:tr w:rsidR="00D21C1F" w14:paraId="153042F6" w14:textId="77777777">
            <w:trPr>
              <w:cantSplit/>
            </w:trPr>
            <w:sdt>
              <w:sdtPr>
                <w:tag w:val="_PLD_da68a71aef6a46449e56205bf88b68ae"/>
                <w:id w:val="-2003953863"/>
                <w:lock w:val="sdtLocked"/>
              </w:sdtPr>
              <w:sdtEndPr/>
              <w:sdtContent>
                <w:tc>
                  <w:tcPr>
                    <w:tcW w:w="926" w:type="pct"/>
                    <w:shd w:val="clear" w:color="auto" w:fill="auto"/>
                  </w:tcPr>
                  <w:p w14:paraId="06E02864" w14:textId="77777777" w:rsidR="00D21C1F" w:rsidRDefault="00A42880">
                    <w:pPr>
                      <w:pStyle w:val="97"/>
                    </w:pPr>
                    <w:r>
                      <w:rPr>
                        <w:rFonts w:hint="eastAsia"/>
                      </w:rPr>
                      <w:t>对联营、合营企业投资</w:t>
                    </w:r>
                  </w:p>
                </w:tc>
              </w:sdtContent>
            </w:sdt>
            <w:tc>
              <w:tcPr>
                <w:tcW w:w="894" w:type="pct"/>
                <w:shd w:val="clear" w:color="auto" w:fill="auto"/>
                <w:vAlign w:val="bottom"/>
              </w:tcPr>
              <w:p w14:paraId="607A3B8C" w14:textId="77777777" w:rsidR="00D21C1F" w:rsidRDefault="00A42880">
                <w:pPr>
                  <w:jc w:val="right"/>
                  <w:rPr>
                    <w:rFonts w:ascii="Times New Roman" w:hAnsi="Times New Roman" w:cs="Times New Roman"/>
                  </w:rPr>
                </w:pPr>
                <w:r>
                  <w:rPr>
                    <w:rFonts w:ascii="Times New Roman" w:hAnsi="Times New Roman" w:cs="Times New Roman"/>
                  </w:rPr>
                  <w:t>45,678,780.55</w:t>
                </w:r>
              </w:p>
            </w:tc>
            <w:tc>
              <w:tcPr>
                <w:tcW w:w="261" w:type="pct"/>
                <w:shd w:val="clear" w:color="auto" w:fill="auto"/>
                <w:vAlign w:val="bottom"/>
              </w:tcPr>
              <w:p w14:paraId="4C4B650B" w14:textId="77777777" w:rsidR="00D21C1F" w:rsidRDefault="00A42880">
                <w:pPr>
                  <w:jc w:val="right"/>
                  <w:rPr>
                    <w:rFonts w:ascii="Times New Roman" w:hAnsi="Times New Roman" w:cs="Times New Roman"/>
                  </w:rPr>
                </w:pPr>
                <w:r>
                  <w:rPr>
                    <w:rFonts w:ascii="Times New Roman" w:hAnsi="Times New Roman" w:cs="Times New Roman"/>
                  </w:rPr>
                  <w:t>-</w:t>
                </w:r>
              </w:p>
            </w:tc>
            <w:tc>
              <w:tcPr>
                <w:tcW w:w="861" w:type="pct"/>
                <w:shd w:val="clear" w:color="auto" w:fill="auto"/>
                <w:vAlign w:val="bottom"/>
              </w:tcPr>
              <w:p w14:paraId="03702227" w14:textId="77777777" w:rsidR="00D21C1F" w:rsidRDefault="00A42880">
                <w:pPr>
                  <w:jc w:val="right"/>
                  <w:rPr>
                    <w:rFonts w:ascii="Times New Roman" w:hAnsi="Times New Roman" w:cs="Times New Roman"/>
                  </w:rPr>
                </w:pPr>
                <w:r>
                  <w:rPr>
                    <w:rFonts w:ascii="Times New Roman" w:hAnsi="Times New Roman" w:cs="Times New Roman"/>
                  </w:rPr>
                  <w:t>45,678,780.55</w:t>
                </w:r>
              </w:p>
            </w:tc>
            <w:tc>
              <w:tcPr>
                <w:tcW w:w="894" w:type="pct"/>
                <w:shd w:val="clear" w:color="auto" w:fill="auto"/>
                <w:vAlign w:val="bottom"/>
              </w:tcPr>
              <w:p w14:paraId="7FDAECC2" w14:textId="77777777" w:rsidR="00D21C1F" w:rsidRDefault="00A42880">
                <w:pPr>
                  <w:jc w:val="right"/>
                  <w:rPr>
                    <w:rFonts w:ascii="Times New Roman" w:hAnsi="Times New Roman" w:cs="Times New Roman"/>
                  </w:rPr>
                </w:pPr>
                <w:r>
                  <w:rPr>
                    <w:rFonts w:ascii="Times New Roman" w:hAnsi="Times New Roman" w:cs="Times New Roman"/>
                  </w:rPr>
                  <w:t>43,587,970.79</w:t>
                </w:r>
              </w:p>
            </w:tc>
            <w:tc>
              <w:tcPr>
                <w:tcW w:w="270" w:type="pct"/>
                <w:shd w:val="clear" w:color="auto" w:fill="auto"/>
                <w:vAlign w:val="bottom"/>
              </w:tcPr>
              <w:p w14:paraId="0CB9D055" w14:textId="77777777" w:rsidR="00D21C1F" w:rsidRDefault="00A42880">
                <w:pPr>
                  <w:jc w:val="right"/>
                  <w:rPr>
                    <w:rFonts w:ascii="Times New Roman" w:hAnsi="Times New Roman" w:cs="Times New Roman"/>
                  </w:rPr>
                </w:pPr>
                <w:r>
                  <w:rPr>
                    <w:rFonts w:ascii="Times New Roman" w:hAnsi="Times New Roman" w:cs="Times New Roman"/>
                  </w:rPr>
                  <w:t>-</w:t>
                </w:r>
              </w:p>
            </w:tc>
            <w:tc>
              <w:tcPr>
                <w:tcW w:w="894" w:type="pct"/>
                <w:shd w:val="clear" w:color="auto" w:fill="auto"/>
                <w:vAlign w:val="bottom"/>
              </w:tcPr>
              <w:p w14:paraId="4F79F81D" w14:textId="77777777" w:rsidR="00D21C1F" w:rsidRDefault="00A42880">
                <w:pPr>
                  <w:jc w:val="right"/>
                  <w:rPr>
                    <w:rFonts w:ascii="Times New Roman" w:hAnsi="Times New Roman" w:cs="Times New Roman"/>
                  </w:rPr>
                </w:pPr>
                <w:r>
                  <w:rPr>
                    <w:rFonts w:ascii="Times New Roman" w:hAnsi="Times New Roman" w:cs="Times New Roman"/>
                  </w:rPr>
                  <w:t>43,587,970.79</w:t>
                </w:r>
              </w:p>
            </w:tc>
          </w:tr>
          <w:tr w:rsidR="00D21C1F" w14:paraId="087F7BE7" w14:textId="77777777">
            <w:trPr>
              <w:cantSplit/>
            </w:trPr>
            <w:sdt>
              <w:sdtPr>
                <w:tag w:val="_PLD_5c8b8837c4fd4f29a39327cb72d5dcbf"/>
                <w:id w:val="692655638"/>
                <w:lock w:val="sdtLocked"/>
              </w:sdtPr>
              <w:sdtEndPr/>
              <w:sdtContent>
                <w:tc>
                  <w:tcPr>
                    <w:tcW w:w="926" w:type="pct"/>
                    <w:shd w:val="clear" w:color="auto" w:fill="auto"/>
                    <w:vAlign w:val="center"/>
                  </w:tcPr>
                  <w:p w14:paraId="77858359" w14:textId="77777777" w:rsidR="00D21C1F" w:rsidRDefault="00A42880">
                    <w:pPr>
                      <w:jc w:val="center"/>
                    </w:pPr>
                    <w:r>
                      <w:rPr>
                        <w:rFonts w:hint="eastAsia"/>
                      </w:rPr>
                      <w:t>合计</w:t>
                    </w:r>
                  </w:p>
                </w:tc>
              </w:sdtContent>
            </w:sdt>
            <w:tc>
              <w:tcPr>
                <w:tcW w:w="894" w:type="pct"/>
                <w:shd w:val="clear" w:color="auto" w:fill="auto"/>
                <w:vAlign w:val="bottom"/>
              </w:tcPr>
              <w:p w14:paraId="580CDF12" w14:textId="77777777" w:rsidR="00D21C1F" w:rsidRDefault="00A42880">
                <w:pPr>
                  <w:jc w:val="right"/>
                  <w:rPr>
                    <w:rFonts w:ascii="Times New Roman" w:hAnsi="Times New Roman" w:cs="Times New Roman"/>
                  </w:rPr>
                </w:pPr>
                <w:r>
                  <w:rPr>
                    <w:rFonts w:ascii="Times New Roman" w:hAnsi="Times New Roman" w:cs="Times New Roman"/>
                  </w:rPr>
                  <w:t>1,382,078,545.17</w:t>
                </w:r>
              </w:p>
            </w:tc>
            <w:tc>
              <w:tcPr>
                <w:tcW w:w="261" w:type="pct"/>
                <w:shd w:val="clear" w:color="auto" w:fill="auto"/>
                <w:vAlign w:val="bottom"/>
              </w:tcPr>
              <w:p w14:paraId="00D6AB8E" w14:textId="77777777" w:rsidR="00D21C1F" w:rsidRDefault="00A42880">
                <w:pPr>
                  <w:jc w:val="right"/>
                  <w:rPr>
                    <w:rFonts w:ascii="Times New Roman" w:hAnsi="Times New Roman" w:cs="Times New Roman"/>
                  </w:rPr>
                </w:pPr>
                <w:r>
                  <w:rPr>
                    <w:rFonts w:ascii="Times New Roman" w:hAnsi="Times New Roman" w:cs="Times New Roman"/>
                  </w:rPr>
                  <w:t>-</w:t>
                </w:r>
              </w:p>
            </w:tc>
            <w:tc>
              <w:tcPr>
                <w:tcW w:w="861" w:type="pct"/>
                <w:shd w:val="clear" w:color="auto" w:fill="auto"/>
                <w:vAlign w:val="bottom"/>
              </w:tcPr>
              <w:p w14:paraId="46801D49" w14:textId="77777777" w:rsidR="00D21C1F" w:rsidRDefault="00A42880">
                <w:pPr>
                  <w:jc w:val="right"/>
                  <w:rPr>
                    <w:rFonts w:ascii="Times New Roman" w:hAnsi="Times New Roman" w:cs="Times New Roman"/>
                  </w:rPr>
                </w:pPr>
                <w:r>
                  <w:rPr>
                    <w:rFonts w:ascii="Times New Roman" w:hAnsi="Times New Roman" w:cs="Times New Roman"/>
                  </w:rPr>
                  <w:t>1,382,078,545.17</w:t>
                </w:r>
              </w:p>
            </w:tc>
            <w:tc>
              <w:tcPr>
                <w:tcW w:w="894" w:type="pct"/>
                <w:shd w:val="clear" w:color="auto" w:fill="auto"/>
                <w:vAlign w:val="bottom"/>
              </w:tcPr>
              <w:p w14:paraId="3BF043ED" w14:textId="77777777" w:rsidR="00D21C1F" w:rsidRDefault="00A42880">
                <w:pPr>
                  <w:jc w:val="right"/>
                  <w:rPr>
                    <w:rFonts w:ascii="Times New Roman" w:hAnsi="Times New Roman" w:cs="Times New Roman"/>
                  </w:rPr>
                </w:pPr>
                <w:r>
                  <w:rPr>
                    <w:rFonts w:ascii="Times New Roman" w:hAnsi="Times New Roman" w:cs="Times New Roman"/>
                  </w:rPr>
                  <w:t>1,332,587,735.41</w:t>
                </w:r>
              </w:p>
            </w:tc>
            <w:tc>
              <w:tcPr>
                <w:tcW w:w="270" w:type="pct"/>
                <w:shd w:val="clear" w:color="auto" w:fill="auto"/>
                <w:vAlign w:val="bottom"/>
              </w:tcPr>
              <w:p w14:paraId="0B6AA834" w14:textId="77777777" w:rsidR="00D21C1F" w:rsidRDefault="00A42880">
                <w:pPr>
                  <w:jc w:val="right"/>
                  <w:rPr>
                    <w:rFonts w:ascii="Times New Roman" w:hAnsi="Times New Roman" w:cs="Times New Roman"/>
                  </w:rPr>
                </w:pPr>
                <w:r>
                  <w:rPr>
                    <w:rFonts w:ascii="Times New Roman" w:hAnsi="Times New Roman" w:cs="Times New Roman"/>
                  </w:rPr>
                  <w:t>-</w:t>
                </w:r>
              </w:p>
            </w:tc>
            <w:tc>
              <w:tcPr>
                <w:tcW w:w="894" w:type="pct"/>
                <w:shd w:val="clear" w:color="auto" w:fill="auto"/>
                <w:vAlign w:val="bottom"/>
              </w:tcPr>
              <w:p w14:paraId="15C382D9" w14:textId="77777777" w:rsidR="00D21C1F" w:rsidRDefault="00A42880">
                <w:pPr>
                  <w:jc w:val="right"/>
                  <w:rPr>
                    <w:rFonts w:ascii="Times New Roman" w:hAnsi="Times New Roman" w:cs="Times New Roman"/>
                  </w:rPr>
                </w:pPr>
                <w:r>
                  <w:rPr>
                    <w:rFonts w:ascii="Times New Roman" w:hAnsi="Times New Roman" w:cs="Times New Roman"/>
                  </w:rPr>
                  <w:t>1,332,587,735.41</w:t>
                </w:r>
              </w:p>
            </w:tc>
          </w:tr>
        </w:tbl>
        <w:p w14:paraId="1DC101D2" w14:textId="77777777" w:rsidR="00D21C1F" w:rsidRDefault="00D21C1F">
          <w:pPr>
            <w:rPr>
              <w:szCs w:val="21"/>
            </w:rPr>
          </w:pPr>
        </w:p>
        <w:p w14:paraId="106F91E9" w14:textId="77777777" w:rsidR="00D21C1F" w:rsidRDefault="00045EC6">
          <w:pPr>
            <w:rPr>
              <w:szCs w:val="21"/>
            </w:rPr>
          </w:pPr>
        </w:p>
      </w:sdtContent>
    </w:sdt>
    <w:p w14:paraId="233D4919" w14:textId="77777777" w:rsidR="00D21C1F" w:rsidRDefault="00D21C1F">
      <w:pPr>
        <w:pStyle w:val="93"/>
        <w:ind w:left="425"/>
        <w:rPr>
          <w:rFonts w:ascii="宋体" w:hAnsi="宋体" w:cs="宋体"/>
          <w:b w:val="0"/>
          <w:bCs w:val="0"/>
          <w:kern w:val="0"/>
          <w:szCs w:val="24"/>
        </w:rPr>
        <w:sectPr w:rsidR="00D21C1F">
          <w:pgSz w:w="11906" w:h="16838"/>
          <w:pgMar w:top="1525" w:right="1276" w:bottom="1440" w:left="1797" w:header="856" w:footer="992" w:gutter="0"/>
          <w:cols w:space="425"/>
          <w:docGrid w:linePitch="312"/>
        </w:sectPr>
      </w:pPr>
    </w:p>
    <w:sdt>
      <w:sdtPr>
        <w:rPr>
          <w:rFonts w:ascii="宋体" w:eastAsia="宋体" w:hAnsi="宋体" w:cs="宋体" w:hint="eastAsia"/>
          <w:b w:val="0"/>
          <w:bCs w:val="0"/>
          <w:kern w:val="0"/>
          <w:szCs w:val="24"/>
        </w:rPr>
        <w:alias w:val="模块:对子公司投资"/>
        <w:tag w:val="_GBC_354d808d545e41aab5b25112222d90f9"/>
        <w:id w:val="807897772"/>
        <w:lock w:val="sdtLocked"/>
        <w:placeholder>
          <w:docPart w:val="GBC22222222222222222222222222222"/>
        </w:placeholder>
      </w:sdtPr>
      <w:sdtEndPr>
        <w:rPr>
          <w:szCs w:val="21"/>
        </w:rPr>
      </w:sdtEndPr>
      <w:sdtContent>
        <w:p w14:paraId="012A196E" w14:textId="77777777" w:rsidR="00D21C1F" w:rsidRDefault="00A42880">
          <w:pPr>
            <w:pStyle w:val="93"/>
            <w:numPr>
              <w:ilvl w:val="0"/>
              <w:numId w:val="151"/>
            </w:numPr>
            <w:rPr>
              <w:rFonts w:ascii="宋体" w:hAnsi="宋体"/>
            </w:rPr>
          </w:pPr>
          <w:r>
            <w:rPr>
              <w:rFonts w:ascii="宋体" w:hAnsi="宋体" w:hint="eastAsia"/>
            </w:rPr>
            <w:t>对子公司投资</w:t>
          </w:r>
        </w:p>
        <w:sdt>
          <w:sdtPr>
            <w:alias w:val="是否适用：母公司对子公司投资[双击切换]"/>
            <w:tag w:val="_GBC_c52cee49247d42a9a79deabbd4c8635c"/>
            <w:id w:val="1036385070"/>
            <w:lock w:val="sdtLocked"/>
            <w:placeholder>
              <w:docPart w:val="GBC22222222222222222222222222222"/>
            </w:placeholder>
          </w:sdtPr>
          <w:sdtEndPr/>
          <w:sdtContent>
            <w:p w14:paraId="471E402A"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9075BB" w14:textId="77777777" w:rsidR="00D21C1F" w:rsidRDefault="00A42880">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16023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对子公司投资"/>
              <w:tag w:val="_GBC_97fad72310ba4b849377b0e1cebf7303"/>
              <w:id w:val="825939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783"/>
            <w:gridCol w:w="1603"/>
            <w:gridCol w:w="1323"/>
            <w:gridCol w:w="1686"/>
            <w:gridCol w:w="2019"/>
            <w:gridCol w:w="1831"/>
          </w:tblGrid>
          <w:tr w:rsidR="00D21C1F" w14:paraId="70DAD1A7" w14:textId="77777777">
            <w:sdt>
              <w:sdtPr>
                <w:tag w:val="_PLD_c6f1ebfed2274883870089cc90c0b5b3"/>
                <w:id w:val="-989395692"/>
                <w:lock w:val="sdtLocked"/>
              </w:sdtPr>
              <w:sdtEndPr/>
              <w:sdtContent>
                <w:tc>
                  <w:tcPr>
                    <w:tcW w:w="1331" w:type="pct"/>
                    <w:tcBorders>
                      <w:top w:val="single" w:sz="4" w:space="0" w:color="auto"/>
                      <w:left w:val="single" w:sz="4" w:space="0" w:color="auto"/>
                      <w:bottom w:val="single" w:sz="4" w:space="0" w:color="auto"/>
                      <w:right w:val="single" w:sz="4" w:space="0" w:color="auto"/>
                    </w:tcBorders>
                    <w:shd w:val="clear" w:color="auto" w:fill="auto"/>
                    <w:vAlign w:val="center"/>
                  </w:tcPr>
                  <w:p w14:paraId="37017082" w14:textId="77777777" w:rsidR="00D21C1F" w:rsidRDefault="00A42880">
                    <w:pPr>
                      <w:jc w:val="center"/>
                    </w:pPr>
                    <w:r>
                      <w:rPr>
                        <w:rFonts w:hint="eastAsia"/>
                      </w:rPr>
                      <w:t>被投资单位</w:t>
                    </w:r>
                  </w:p>
                </w:tc>
              </w:sdtContent>
            </w:sdt>
            <w:sdt>
              <w:sdtPr>
                <w:tag w:val="_PLD_c8b6275a3567432ba7b63d4485a9cce5"/>
                <w:id w:val="610168779"/>
                <w:lock w:val="sdtLocked"/>
              </w:sdtPr>
              <w:sdtEndPr/>
              <w:sdtContent>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D460284" w14:textId="77777777" w:rsidR="00D21C1F" w:rsidRDefault="00A42880">
                    <w:pPr>
                      <w:jc w:val="center"/>
                    </w:pPr>
                    <w:r>
                      <w:rPr>
                        <w:rFonts w:hint="eastAsia"/>
                      </w:rPr>
                      <w:t>期初余额</w:t>
                    </w:r>
                  </w:p>
                </w:tc>
              </w:sdtContent>
            </w:sdt>
            <w:sdt>
              <w:sdtPr>
                <w:tag w:val="_PLD_a192e1f764d54f39ad94a065019bc4f2"/>
                <w:id w:val="541708005"/>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1DB733F" w14:textId="77777777" w:rsidR="00D21C1F" w:rsidRDefault="00A42880">
                    <w:pPr>
                      <w:jc w:val="center"/>
                    </w:pPr>
                    <w:r>
                      <w:rPr>
                        <w:rFonts w:hint="eastAsia"/>
                      </w:rPr>
                      <w:t>本期增加</w:t>
                    </w:r>
                  </w:p>
                </w:tc>
              </w:sdtContent>
            </w:sdt>
            <w:sdt>
              <w:sdtPr>
                <w:tag w:val="_PLD_3a74d3e1bc0e43debb3fdd0f1f6de769"/>
                <w:id w:val="-1580677121"/>
                <w:lock w:val="sdtLocked"/>
              </w:sdtPr>
              <w:sdtEnd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2AE103F1" w14:textId="77777777" w:rsidR="00D21C1F" w:rsidRDefault="00A42880">
                    <w:pPr>
                      <w:jc w:val="center"/>
                    </w:pPr>
                    <w:r>
                      <w:rPr>
                        <w:rFonts w:hint="eastAsia"/>
                      </w:rPr>
                      <w:t>本期减少</w:t>
                    </w:r>
                  </w:p>
                </w:tc>
              </w:sdtContent>
            </w:sdt>
            <w:sdt>
              <w:sdtPr>
                <w:tag w:val="_PLD_62acff2435cd434284a753ea8ebfa201"/>
                <w:id w:val="-196008694"/>
                <w:lock w:val="sdtLocked"/>
              </w:sdtPr>
              <w:sdtEndPr/>
              <w:sdtContent>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1560F60B" w14:textId="77777777" w:rsidR="00D21C1F" w:rsidRDefault="00A42880">
                    <w:pPr>
                      <w:jc w:val="center"/>
                    </w:pPr>
                    <w:r>
                      <w:rPr>
                        <w:rFonts w:hint="eastAsia"/>
                      </w:rPr>
                      <w:t>期末余额</w:t>
                    </w:r>
                  </w:p>
                </w:tc>
              </w:sdtContent>
            </w:sdt>
            <w:sdt>
              <w:sdtPr>
                <w:tag w:val="_PLD_67b1a9b1d215409ebb6ceb131ad5e8bf"/>
                <w:id w:val="1108476287"/>
                <w:lock w:val="sdtLocked"/>
              </w:sdtPr>
              <w:sdtEndPr/>
              <w:sdtContent>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3CBAE08" w14:textId="77777777" w:rsidR="00D21C1F" w:rsidRDefault="00A42880">
                    <w:pPr>
                      <w:jc w:val="center"/>
                      <w:rPr>
                        <w:szCs w:val="21"/>
                      </w:rPr>
                    </w:pPr>
                    <w:r>
                      <w:rPr>
                        <w:rFonts w:hint="eastAsia"/>
                      </w:rPr>
                      <w:t>本期计提减值准备</w:t>
                    </w:r>
                  </w:p>
                </w:tc>
              </w:sdtContent>
            </w:sdt>
            <w:sdt>
              <w:sdtPr>
                <w:tag w:val="_PLD_bfab2049a5684d7d922489b57382b080"/>
                <w:id w:val="-1483079711"/>
                <w:lock w:val="sdtLocked"/>
              </w:sdtPr>
              <w:sdtEndPr/>
              <w:sdtContent>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7E03EEC" w14:textId="77777777" w:rsidR="00D21C1F" w:rsidRDefault="00A42880">
                    <w:pPr>
                      <w:jc w:val="center"/>
                    </w:pPr>
                    <w:r>
                      <w:rPr>
                        <w:rFonts w:hint="eastAsia"/>
                      </w:rPr>
                      <w:t>减值准备期末余额</w:t>
                    </w:r>
                  </w:p>
                </w:tc>
              </w:sdtContent>
            </w:sdt>
          </w:tr>
          <w:sdt>
            <w:sdtPr>
              <w:rPr>
                <w:rFonts w:ascii="Times New Roman" w:hAnsi="Times New Roman" w:cs="Times New Roman"/>
              </w:rPr>
              <w:alias w:val="长期股权投资明细"/>
              <w:tag w:val="_GBC_daf82e8df55d4ba9bf351c25fd5a63c2"/>
              <w:id w:val="-923340940"/>
              <w:lock w:val="sdtLocked"/>
            </w:sdtPr>
            <w:sdtEndPr/>
            <w:sdtContent>
              <w:tr w:rsidR="00D21C1F" w14:paraId="65A59EBB"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15A9DF7E" w14:textId="77777777" w:rsidR="00D21C1F" w:rsidRDefault="00A42880">
                    <w:pPr>
                      <w:rPr>
                        <w:rFonts w:ascii="Times New Roman" w:hAnsi="Times New Roman" w:cs="Times New Roman"/>
                      </w:rPr>
                    </w:pPr>
                    <w:r>
                      <w:rPr>
                        <w:rFonts w:ascii="Times New Roman" w:hAnsi="Times New Roman" w:cs="Times New Roman"/>
                      </w:rPr>
                      <w:t>希美埃（芜湖）机器人技术有限公司</w:t>
                    </w:r>
                  </w:p>
                </w:tc>
                <w:tc>
                  <w:tcPr>
                    <w:tcW w:w="669" w:type="pct"/>
                    <w:tcBorders>
                      <w:top w:val="single" w:sz="4" w:space="0" w:color="auto"/>
                      <w:left w:val="single" w:sz="4" w:space="0" w:color="auto"/>
                      <w:bottom w:val="single" w:sz="4" w:space="0" w:color="auto"/>
                      <w:right w:val="single" w:sz="4" w:space="0" w:color="auto"/>
                    </w:tcBorders>
                    <w:vAlign w:val="center"/>
                  </w:tcPr>
                  <w:p w14:paraId="30EFA6F0"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33,720,000.00</w:t>
                    </w:r>
                  </w:p>
                </w:tc>
                <w:tc>
                  <w:tcPr>
                    <w:tcW w:w="604" w:type="pct"/>
                    <w:tcBorders>
                      <w:top w:val="single" w:sz="4" w:space="0" w:color="auto"/>
                      <w:left w:val="single" w:sz="4" w:space="0" w:color="auto"/>
                      <w:bottom w:val="single" w:sz="4" w:space="0" w:color="auto"/>
                      <w:right w:val="single" w:sz="4" w:space="0" w:color="auto"/>
                    </w:tcBorders>
                    <w:vAlign w:val="center"/>
                  </w:tcPr>
                  <w:p w14:paraId="74E40792"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503" w:type="pct"/>
                    <w:tcBorders>
                      <w:top w:val="single" w:sz="4" w:space="0" w:color="auto"/>
                      <w:left w:val="single" w:sz="4" w:space="0" w:color="auto"/>
                      <w:bottom w:val="single" w:sz="4" w:space="0" w:color="auto"/>
                      <w:right w:val="single" w:sz="4" w:space="0" w:color="auto"/>
                    </w:tcBorders>
                    <w:vAlign w:val="center"/>
                  </w:tcPr>
                  <w:p w14:paraId="6B0369B1"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7CFA9CAA"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33,720,000.00</w:t>
                    </w:r>
                  </w:p>
                </w:tc>
                <w:tc>
                  <w:tcPr>
                    <w:tcW w:w="754" w:type="pct"/>
                    <w:tcBorders>
                      <w:top w:val="single" w:sz="4" w:space="0" w:color="auto"/>
                      <w:left w:val="single" w:sz="4" w:space="0" w:color="auto"/>
                      <w:bottom w:val="single" w:sz="4" w:space="0" w:color="auto"/>
                      <w:right w:val="single" w:sz="4" w:space="0" w:color="auto"/>
                    </w:tcBorders>
                    <w:vAlign w:val="center"/>
                  </w:tcPr>
                  <w:p w14:paraId="35591F38"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370F6BC1"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33,720,000.00</w:t>
                    </w:r>
                  </w:p>
                </w:tc>
              </w:tr>
            </w:sdtContent>
          </w:sdt>
          <w:sdt>
            <w:sdtPr>
              <w:rPr>
                <w:rFonts w:ascii="Times New Roman" w:hAnsi="Times New Roman" w:cs="Times New Roman"/>
              </w:rPr>
              <w:alias w:val="长期股权投资明细"/>
              <w:tag w:val="_GBC_daf82e8df55d4ba9bf351c25fd5a63c2"/>
              <w:id w:val="-1683503775"/>
              <w:lock w:val="sdtLocked"/>
            </w:sdtPr>
            <w:sdtEndPr/>
            <w:sdtContent>
              <w:tr w:rsidR="00D21C1F" w14:paraId="1D1AE0A9"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1DC7610D" w14:textId="1804C5DD" w:rsidR="00D21C1F" w:rsidRDefault="00A42880">
                    <w:pPr>
                      <w:rPr>
                        <w:rFonts w:ascii="Times New Roman" w:hAnsi="Times New Roman" w:cs="Times New Roman"/>
                      </w:rPr>
                    </w:pPr>
                    <w:r>
                      <w:rPr>
                        <w:rFonts w:ascii="Times New Roman" w:hAnsi="Times New Roman" w:cs="Times New Roman"/>
                      </w:rPr>
                      <w:t>EVOLUT</w:t>
                    </w:r>
                    <w:r w:rsidR="00D93902">
                      <w:rPr>
                        <w:rFonts w:ascii="Times New Roman" w:hAnsi="Times New Roman" w:cs="Times New Roman"/>
                      </w:rPr>
                      <w:t xml:space="preserve"> </w:t>
                    </w:r>
                    <w:r>
                      <w:rPr>
                        <w:rFonts w:ascii="Times New Roman" w:hAnsi="Times New Roman" w:cs="Times New Roman"/>
                      </w:rPr>
                      <w:t>ServiceS.r.l.</w:t>
                    </w:r>
                  </w:p>
                </w:tc>
                <w:tc>
                  <w:tcPr>
                    <w:tcW w:w="669" w:type="pct"/>
                    <w:tcBorders>
                      <w:top w:val="single" w:sz="4" w:space="0" w:color="auto"/>
                      <w:left w:val="single" w:sz="4" w:space="0" w:color="auto"/>
                      <w:bottom w:val="single" w:sz="4" w:space="0" w:color="auto"/>
                      <w:right w:val="single" w:sz="4" w:space="0" w:color="auto"/>
                    </w:tcBorders>
                    <w:vAlign w:val="center"/>
                  </w:tcPr>
                  <w:p w14:paraId="04E2DF88"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94,570,252.81</w:t>
                    </w:r>
                  </w:p>
                </w:tc>
                <w:tc>
                  <w:tcPr>
                    <w:tcW w:w="604" w:type="pct"/>
                    <w:tcBorders>
                      <w:top w:val="single" w:sz="4" w:space="0" w:color="auto"/>
                      <w:left w:val="single" w:sz="4" w:space="0" w:color="auto"/>
                      <w:bottom w:val="single" w:sz="4" w:space="0" w:color="auto"/>
                      <w:right w:val="single" w:sz="4" w:space="0" w:color="auto"/>
                    </w:tcBorders>
                    <w:vAlign w:val="center"/>
                  </w:tcPr>
                  <w:p w14:paraId="0EA6138A"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503" w:type="pct"/>
                    <w:tcBorders>
                      <w:top w:val="single" w:sz="4" w:space="0" w:color="auto"/>
                      <w:left w:val="single" w:sz="4" w:space="0" w:color="auto"/>
                      <w:bottom w:val="single" w:sz="4" w:space="0" w:color="auto"/>
                      <w:right w:val="single" w:sz="4" w:space="0" w:color="auto"/>
                    </w:tcBorders>
                    <w:vAlign w:val="center"/>
                  </w:tcPr>
                  <w:p w14:paraId="14485247"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358929A9"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94,570,252.81</w:t>
                    </w:r>
                  </w:p>
                </w:tc>
                <w:tc>
                  <w:tcPr>
                    <w:tcW w:w="754" w:type="pct"/>
                    <w:tcBorders>
                      <w:top w:val="single" w:sz="4" w:space="0" w:color="auto"/>
                      <w:left w:val="single" w:sz="4" w:space="0" w:color="auto"/>
                      <w:bottom w:val="single" w:sz="4" w:space="0" w:color="auto"/>
                      <w:right w:val="single" w:sz="4" w:space="0" w:color="auto"/>
                    </w:tcBorders>
                    <w:vAlign w:val="center"/>
                  </w:tcPr>
                  <w:p w14:paraId="6A101740"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0658F0CF"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94,570,252.81</w:t>
                    </w:r>
                  </w:p>
                </w:tc>
              </w:tr>
            </w:sdtContent>
          </w:sdt>
          <w:sdt>
            <w:sdtPr>
              <w:rPr>
                <w:rFonts w:ascii="Times New Roman" w:hAnsi="Times New Roman" w:cs="Times New Roman"/>
              </w:rPr>
              <w:alias w:val="长期股权投资明细"/>
              <w:tag w:val="_GBC_daf82e8df55d4ba9bf351c25fd5a63c2"/>
              <w:id w:val="-1901354098"/>
              <w:lock w:val="sdtLocked"/>
            </w:sdtPr>
            <w:sdtEndPr/>
            <w:sdtContent>
              <w:tr w:rsidR="00D21C1F" w14:paraId="22872C6E"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2B29745C" w14:textId="77777777" w:rsidR="00D21C1F" w:rsidRDefault="00A42880">
                    <w:pPr>
                      <w:rPr>
                        <w:rFonts w:ascii="Times New Roman" w:hAnsi="Times New Roman" w:cs="Times New Roman"/>
                      </w:rPr>
                    </w:pPr>
                    <w:r>
                      <w:rPr>
                        <w:rFonts w:ascii="Times New Roman" w:hAnsi="Times New Roman" w:cs="Times New Roman"/>
                      </w:rPr>
                      <w:t>埃华路（芜湖）机器人工程有限公司</w:t>
                    </w:r>
                  </w:p>
                </w:tc>
                <w:tc>
                  <w:tcPr>
                    <w:tcW w:w="669" w:type="pct"/>
                    <w:tcBorders>
                      <w:top w:val="single" w:sz="4" w:space="0" w:color="auto"/>
                      <w:left w:val="single" w:sz="4" w:space="0" w:color="auto"/>
                      <w:bottom w:val="single" w:sz="4" w:space="0" w:color="auto"/>
                      <w:right w:val="single" w:sz="4" w:space="0" w:color="auto"/>
                    </w:tcBorders>
                    <w:vAlign w:val="center"/>
                  </w:tcPr>
                  <w:p w14:paraId="7061B367"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24,500,000.00</w:t>
                    </w:r>
                  </w:p>
                </w:tc>
                <w:tc>
                  <w:tcPr>
                    <w:tcW w:w="604" w:type="pct"/>
                    <w:tcBorders>
                      <w:top w:val="single" w:sz="4" w:space="0" w:color="auto"/>
                      <w:left w:val="single" w:sz="4" w:space="0" w:color="auto"/>
                      <w:bottom w:val="single" w:sz="4" w:space="0" w:color="auto"/>
                      <w:right w:val="single" w:sz="4" w:space="0" w:color="auto"/>
                    </w:tcBorders>
                    <w:vAlign w:val="center"/>
                  </w:tcPr>
                  <w:p w14:paraId="6F2C6948"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45,000,000.00</w:t>
                    </w:r>
                  </w:p>
                </w:tc>
                <w:tc>
                  <w:tcPr>
                    <w:tcW w:w="503" w:type="pct"/>
                    <w:tcBorders>
                      <w:top w:val="single" w:sz="4" w:space="0" w:color="auto"/>
                      <w:left w:val="single" w:sz="4" w:space="0" w:color="auto"/>
                      <w:bottom w:val="single" w:sz="4" w:space="0" w:color="auto"/>
                      <w:right w:val="single" w:sz="4" w:space="0" w:color="auto"/>
                    </w:tcBorders>
                    <w:vAlign w:val="center"/>
                  </w:tcPr>
                  <w:p w14:paraId="15CFDA88"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61FF521F"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69,500,000.00</w:t>
                    </w:r>
                  </w:p>
                </w:tc>
                <w:tc>
                  <w:tcPr>
                    <w:tcW w:w="754" w:type="pct"/>
                    <w:tcBorders>
                      <w:top w:val="single" w:sz="4" w:space="0" w:color="auto"/>
                      <w:left w:val="single" w:sz="4" w:space="0" w:color="auto"/>
                      <w:bottom w:val="single" w:sz="4" w:space="0" w:color="auto"/>
                      <w:right w:val="single" w:sz="4" w:space="0" w:color="auto"/>
                    </w:tcBorders>
                    <w:vAlign w:val="center"/>
                  </w:tcPr>
                  <w:p w14:paraId="1AFE4A61"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287819EC"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69,500,000.00</w:t>
                    </w:r>
                  </w:p>
                </w:tc>
              </w:tr>
            </w:sdtContent>
          </w:sdt>
          <w:sdt>
            <w:sdtPr>
              <w:rPr>
                <w:rFonts w:ascii="Times New Roman" w:hAnsi="Times New Roman" w:cs="Times New Roman"/>
              </w:rPr>
              <w:alias w:val="长期股权投资明细"/>
              <w:tag w:val="_GBC_daf82e8df55d4ba9bf351c25fd5a63c2"/>
              <w:id w:val="-616762490"/>
              <w:lock w:val="sdtLocked"/>
            </w:sdtPr>
            <w:sdtEndPr/>
            <w:sdtContent>
              <w:tr w:rsidR="00D21C1F" w14:paraId="662BDD9A"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36C04C8E" w14:textId="77777777" w:rsidR="00D21C1F" w:rsidRDefault="00A42880">
                    <w:pPr>
                      <w:rPr>
                        <w:rFonts w:ascii="Times New Roman" w:hAnsi="Times New Roman" w:cs="Times New Roman"/>
                      </w:rPr>
                    </w:pPr>
                    <w:r>
                      <w:rPr>
                        <w:rFonts w:ascii="Times New Roman" w:hAnsi="Times New Roman" w:cs="Times New Roman"/>
                      </w:rPr>
                      <w:t>瑞博思（芜湖）智能控制系统有限公司</w:t>
                    </w:r>
                  </w:p>
                </w:tc>
                <w:tc>
                  <w:tcPr>
                    <w:tcW w:w="669" w:type="pct"/>
                    <w:tcBorders>
                      <w:top w:val="single" w:sz="4" w:space="0" w:color="auto"/>
                      <w:left w:val="single" w:sz="4" w:space="0" w:color="auto"/>
                      <w:bottom w:val="single" w:sz="4" w:space="0" w:color="auto"/>
                      <w:right w:val="single" w:sz="4" w:space="0" w:color="auto"/>
                    </w:tcBorders>
                    <w:vAlign w:val="center"/>
                  </w:tcPr>
                  <w:p w14:paraId="0A45C033"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18,000,000.00</w:t>
                    </w:r>
                  </w:p>
                </w:tc>
                <w:tc>
                  <w:tcPr>
                    <w:tcW w:w="604" w:type="pct"/>
                    <w:tcBorders>
                      <w:top w:val="single" w:sz="4" w:space="0" w:color="auto"/>
                      <w:left w:val="single" w:sz="4" w:space="0" w:color="auto"/>
                      <w:bottom w:val="single" w:sz="4" w:space="0" w:color="auto"/>
                      <w:right w:val="single" w:sz="4" w:space="0" w:color="auto"/>
                    </w:tcBorders>
                    <w:vAlign w:val="center"/>
                  </w:tcPr>
                  <w:p w14:paraId="30EB2B7C"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503" w:type="pct"/>
                    <w:tcBorders>
                      <w:top w:val="single" w:sz="4" w:space="0" w:color="auto"/>
                      <w:left w:val="single" w:sz="4" w:space="0" w:color="auto"/>
                      <w:bottom w:val="single" w:sz="4" w:space="0" w:color="auto"/>
                      <w:right w:val="single" w:sz="4" w:space="0" w:color="auto"/>
                    </w:tcBorders>
                    <w:vAlign w:val="center"/>
                  </w:tcPr>
                  <w:p w14:paraId="48F00E69"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3C65AE3B"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18,000,000.00</w:t>
                    </w:r>
                  </w:p>
                </w:tc>
                <w:tc>
                  <w:tcPr>
                    <w:tcW w:w="754" w:type="pct"/>
                    <w:tcBorders>
                      <w:top w:val="single" w:sz="4" w:space="0" w:color="auto"/>
                      <w:left w:val="single" w:sz="4" w:space="0" w:color="auto"/>
                      <w:bottom w:val="single" w:sz="4" w:space="0" w:color="auto"/>
                      <w:right w:val="single" w:sz="4" w:space="0" w:color="auto"/>
                    </w:tcBorders>
                    <w:vAlign w:val="center"/>
                  </w:tcPr>
                  <w:p w14:paraId="23D9F057"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7AE60A73"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18,000,000.00</w:t>
                    </w:r>
                  </w:p>
                </w:tc>
              </w:tr>
            </w:sdtContent>
          </w:sdt>
          <w:sdt>
            <w:sdtPr>
              <w:rPr>
                <w:rFonts w:ascii="Times New Roman" w:hAnsi="Times New Roman" w:cs="Times New Roman"/>
              </w:rPr>
              <w:alias w:val="长期股权投资明细"/>
              <w:tag w:val="_GBC_daf82e8df55d4ba9bf351c25fd5a63c2"/>
              <w:id w:val="-776874511"/>
              <w:lock w:val="sdtLocked"/>
            </w:sdtPr>
            <w:sdtEndPr/>
            <w:sdtContent>
              <w:tr w:rsidR="00D21C1F" w14:paraId="607F0423"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3BE158A7" w14:textId="7978321B" w:rsidR="00D21C1F" w:rsidRDefault="00D93902">
                    <w:pPr>
                      <w:rPr>
                        <w:rFonts w:ascii="Times New Roman" w:hAnsi="Times New Roman" w:cs="Times New Roman"/>
                      </w:rPr>
                    </w:pPr>
                    <w:r>
                      <w:rPr>
                        <w:rFonts w:ascii="Times New Roman" w:hAnsi="Times New Roman" w:cs="Times New Roman"/>
                      </w:rPr>
                      <w:t xml:space="preserve">EFORT </w:t>
                    </w:r>
                    <w:r w:rsidR="00A42880">
                      <w:rPr>
                        <w:rFonts w:ascii="Times New Roman" w:hAnsi="Times New Roman" w:cs="Times New Roman"/>
                      </w:rPr>
                      <w:t>W</w:t>
                    </w:r>
                    <w:r>
                      <w:rPr>
                        <w:rFonts w:ascii="Times New Roman" w:hAnsi="Times New Roman" w:cs="Times New Roman"/>
                      </w:rPr>
                      <w:t>.</w:t>
                    </w:r>
                    <w:r w:rsidR="00A42880">
                      <w:rPr>
                        <w:rFonts w:ascii="Times New Roman" w:hAnsi="Times New Roman" w:cs="Times New Roman"/>
                      </w:rPr>
                      <w:t>F</w:t>
                    </w:r>
                    <w:r>
                      <w:rPr>
                        <w:rFonts w:ascii="Times New Roman" w:hAnsi="Times New Roman" w:cs="Times New Roman"/>
                      </w:rPr>
                      <w:t>.</w:t>
                    </w:r>
                    <w:r w:rsidR="00A42880">
                      <w:rPr>
                        <w:rFonts w:ascii="Times New Roman" w:hAnsi="Times New Roman" w:cs="Times New Roman"/>
                      </w:rPr>
                      <w:t>C. Holding S.p.A.</w:t>
                    </w:r>
                  </w:p>
                </w:tc>
                <w:tc>
                  <w:tcPr>
                    <w:tcW w:w="669" w:type="pct"/>
                    <w:tcBorders>
                      <w:top w:val="single" w:sz="4" w:space="0" w:color="auto"/>
                      <w:left w:val="single" w:sz="4" w:space="0" w:color="auto"/>
                      <w:bottom w:val="single" w:sz="4" w:space="0" w:color="auto"/>
                      <w:right w:val="single" w:sz="4" w:space="0" w:color="auto"/>
                    </w:tcBorders>
                    <w:vAlign w:val="center"/>
                  </w:tcPr>
                  <w:p w14:paraId="4F12D43C"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1,035,835,501.81</w:t>
                    </w:r>
                  </w:p>
                </w:tc>
                <w:tc>
                  <w:tcPr>
                    <w:tcW w:w="604" w:type="pct"/>
                    <w:tcBorders>
                      <w:top w:val="single" w:sz="4" w:space="0" w:color="auto"/>
                      <w:left w:val="single" w:sz="4" w:space="0" w:color="auto"/>
                      <w:bottom w:val="single" w:sz="4" w:space="0" w:color="auto"/>
                      <w:right w:val="single" w:sz="4" w:space="0" w:color="auto"/>
                    </w:tcBorders>
                    <w:vAlign w:val="center"/>
                  </w:tcPr>
                  <w:p w14:paraId="2064EC46"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503" w:type="pct"/>
                    <w:tcBorders>
                      <w:top w:val="single" w:sz="4" w:space="0" w:color="auto"/>
                      <w:left w:val="single" w:sz="4" w:space="0" w:color="auto"/>
                      <w:bottom w:val="single" w:sz="4" w:space="0" w:color="auto"/>
                      <w:right w:val="single" w:sz="4" w:space="0" w:color="auto"/>
                    </w:tcBorders>
                    <w:vAlign w:val="center"/>
                  </w:tcPr>
                  <w:p w14:paraId="5AC8F12D"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69D92A94"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1,035,835,501.81</w:t>
                    </w:r>
                  </w:p>
                </w:tc>
                <w:tc>
                  <w:tcPr>
                    <w:tcW w:w="754" w:type="pct"/>
                    <w:tcBorders>
                      <w:top w:val="single" w:sz="4" w:space="0" w:color="auto"/>
                      <w:left w:val="single" w:sz="4" w:space="0" w:color="auto"/>
                      <w:bottom w:val="single" w:sz="4" w:space="0" w:color="auto"/>
                      <w:right w:val="single" w:sz="4" w:space="0" w:color="auto"/>
                    </w:tcBorders>
                    <w:vAlign w:val="center"/>
                  </w:tcPr>
                  <w:p w14:paraId="4B436ACC"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7464F7B0"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1,035,835,501.81</w:t>
                    </w:r>
                  </w:p>
                </w:tc>
              </w:tr>
            </w:sdtContent>
          </w:sdt>
          <w:sdt>
            <w:sdtPr>
              <w:rPr>
                <w:rFonts w:ascii="Times New Roman" w:hAnsi="Times New Roman" w:cs="Times New Roman"/>
              </w:rPr>
              <w:alias w:val="长期股权投资明细"/>
              <w:tag w:val="_GBC_daf82e8df55d4ba9bf351c25fd5a63c2"/>
              <w:id w:val="-483474183"/>
              <w:lock w:val="sdtLocked"/>
            </w:sdtPr>
            <w:sdtEndPr/>
            <w:sdtContent>
              <w:tr w:rsidR="00D21C1F" w14:paraId="5F440C05"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03CE8D75" w14:textId="77777777" w:rsidR="00D21C1F" w:rsidRDefault="00A42880">
                    <w:pPr>
                      <w:rPr>
                        <w:rFonts w:ascii="Times New Roman" w:hAnsi="Times New Roman" w:cs="Times New Roman"/>
                      </w:rPr>
                    </w:pPr>
                    <w:r>
                      <w:rPr>
                        <w:rFonts w:ascii="Times New Roman" w:hAnsi="Times New Roman" w:cs="Times New Roman"/>
                      </w:rPr>
                      <w:t>EFORT Europe S.r.l.</w:t>
                    </w:r>
                  </w:p>
                </w:tc>
                <w:tc>
                  <w:tcPr>
                    <w:tcW w:w="669" w:type="pct"/>
                    <w:tcBorders>
                      <w:top w:val="single" w:sz="4" w:space="0" w:color="auto"/>
                      <w:left w:val="single" w:sz="4" w:space="0" w:color="auto"/>
                      <w:bottom w:val="single" w:sz="4" w:space="0" w:color="auto"/>
                      <w:right w:val="single" w:sz="4" w:space="0" w:color="auto"/>
                    </w:tcBorders>
                    <w:vAlign w:val="center"/>
                  </w:tcPr>
                  <w:p w14:paraId="261573B5"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57,374,010.00</w:t>
                    </w:r>
                  </w:p>
                </w:tc>
                <w:tc>
                  <w:tcPr>
                    <w:tcW w:w="604" w:type="pct"/>
                    <w:tcBorders>
                      <w:top w:val="single" w:sz="4" w:space="0" w:color="auto"/>
                      <w:left w:val="single" w:sz="4" w:space="0" w:color="auto"/>
                      <w:bottom w:val="single" w:sz="4" w:space="0" w:color="auto"/>
                      <w:right w:val="single" w:sz="4" w:space="0" w:color="auto"/>
                    </w:tcBorders>
                    <w:vAlign w:val="center"/>
                  </w:tcPr>
                  <w:p w14:paraId="2004B50E"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503" w:type="pct"/>
                    <w:tcBorders>
                      <w:top w:val="single" w:sz="4" w:space="0" w:color="auto"/>
                      <w:left w:val="single" w:sz="4" w:space="0" w:color="auto"/>
                      <w:bottom w:val="single" w:sz="4" w:space="0" w:color="auto"/>
                      <w:right w:val="single" w:sz="4" w:space="0" w:color="auto"/>
                    </w:tcBorders>
                    <w:vAlign w:val="center"/>
                  </w:tcPr>
                  <w:p w14:paraId="6FA2ACCE"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4ECC490E"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57,374,010.00</w:t>
                    </w:r>
                  </w:p>
                </w:tc>
                <w:tc>
                  <w:tcPr>
                    <w:tcW w:w="754" w:type="pct"/>
                    <w:tcBorders>
                      <w:top w:val="single" w:sz="4" w:space="0" w:color="auto"/>
                      <w:left w:val="single" w:sz="4" w:space="0" w:color="auto"/>
                      <w:bottom w:val="single" w:sz="4" w:space="0" w:color="auto"/>
                      <w:right w:val="single" w:sz="4" w:space="0" w:color="auto"/>
                    </w:tcBorders>
                    <w:vAlign w:val="center"/>
                  </w:tcPr>
                  <w:p w14:paraId="0E1B7F6C"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4FF403D6"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57,374,010.00</w:t>
                    </w:r>
                  </w:p>
                </w:tc>
              </w:tr>
            </w:sdtContent>
          </w:sdt>
          <w:sdt>
            <w:sdtPr>
              <w:rPr>
                <w:rFonts w:ascii="Times New Roman" w:hAnsi="Times New Roman" w:cs="Times New Roman"/>
              </w:rPr>
              <w:alias w:val="长期股权投资明细"/>
              <w:tag w:val="_GBC_daf82e8df55d4ba9bf351c25fd5a63c2"/>
              <w:id w:val="-621305389"/>
              <w:lock w:val="sdtLocked"/>
            </w:sdtPr>
            <w:sdtEndPr/>
            <w:sdtContent>
              <w:tr w:rsidR="00D21C1F" w14:paraId="35C5E566"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508E0F81" w14:textId="77777777" w:rsidR="00D21C1F" w:rsidRDefault="00A42880">
                    <w:pPr>
                      <w:rPr>
                        <w:rFonts w:ascii="Times New Roman" w:hAnsi="Times New Roman" w:cs="Times New Roman"/>
                      </w:rPr>
                    </w:pPr>
                    <w:r>
                      <w:rPr>
                        <w:rFonts w:ascii="Times New Roman" w:hAnsi="Times New Roman" w:cs="Times New Roman"/>
                      </w:rPr>
                      <w:t>上海埃奇机器人技术机器人有限公司</w:t>
                    </w:r>
                  </w:p>
                </w:tc>
                <w:tc>
                  <w:tcPr>
                    <w:tcW w:w="669" w:type="pct"/>
                    <w:tcBorders>
                      <w:top w:val="single" w:sz="4" w:space="0" w:color="auto"/>
                      <w:left w:val="single" w:sz="4" w:space="0" w:color="auto"/>
                      <w:bottom w:val="single" w:sz="4" w:space="0" w:color="auto"/>
                      <w:right w:val="single" w:sz="4" w:space="0" w:color="auto"/>
                    </w:tcBorders>
                    <w:vAlign w:val="center"/>
                  </w:tcPr>
                  <w:p w14:paraId="74F5B315"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5,000,000.00</w:t>
                    </w:r>
                  </w:p>
                </w:tc>
                <w:tc>
                  <w:tcPr>
                    <w:tcW w:w="604" w:type="pct"/>
                    <w:tcBorders>
                      <w:top w:val="single" w:sz="4" w:space="0" w:color="auto"/>
                      <w:left w:val="single" w:sz="4" w:space="0" w:color="auto"/>
                      <w:bottom w:val="single" w:sz="4" w:space="0" w:color="auto"/>
                      <w:right w:val="single" w:sz="4" w:space="0" w:color="auto"/>
                    </w:tcBorders>
                    <w:vAlign w:val="center"/>
                  </w:tcPr>
                  <w:p w14:paraId="10E42A10"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2,400,000.00</w:t>
                    </w:r>
                  </w:p>
                </w:tc>
                <w:tc>
                  <w:tcPr>
                    <w:tcW w:w="503" w:type="pct"/>
                    <w:tcBorders>
                      <w:top w:val="single" w:sz="4" w:space="0" w:color="auto"/>
                      <w:left w:val="single" w:sz="4" w:space="0" w:color="auto"/>
                      <w:bottom w:val="single" w:sz="4" w:space="0" w:color="auto"/>
                      <w:right w:val="single" w:sz="4" w:space="0" w:color="auto"/>
                    </w:tcBorders>
                    <w:vAlign w:val="center"/>
                  </w:tcPr>
                  <w:p w14:paraId="1C2E5DFD"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39D872E6"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7,400,000.00</w:t>
                    </w:r>
                  </w:p>
                </w:tc>
                <w:tc>
                  <w:tcPr>
                    <w:tcW w:w="754" w:type="pct"/>
                    <w:tcBorders>
                      <w:top w:val="single" w:sz="4" w:space="0" w:color="auto"/>
                      <w:left w:val="single" w:sz="4" w:space="0" w:color="auto"/>
                      <w:bottom w:val="single" w:sz="4" w:space="0" w:color="auto"/>
                      <w:right w:val="single" w:sz="4" w:space="0" w:color="auto"/>
                    </w:tcBorders>
                    <w:vAlign w:val="center"/>
                  </w:tcPr>
                  <w:p w14:paraId="3FBCC00A"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47201B58"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7,400,000.00</w:t>
                    </w:r>
                  </w:p>
                </w:tc>
              </w:tr>
            </w:sdtContent>
          </w:sdt>
          <w:sdt>
            <w:sdtPr>
              <w:rPr>
                <w:rFonts w:ascii="Times New Roman" w:hAnsi="Times New Roman" w:cs="Times New Roman"/>
              </w:rPr>
              <w:alias w:val="长期股权投资明细"/>
              <w:tag w:val="_GBC_daf82e8df55d4ba9bf351c25fd5a63c2"/>
              <w:id w:val="1976107565"/>
              <w:lock w:val="sdtLocked"/>
            </w:sdtPr>
            <w:sdtEndPr/>
            <w:sdtContent>
              <w:tr w:rsidR="00D21C1F" w14:paraId="1C5494A5" w14:textId="77777777" w:rsidTr="00DD0B1B">
                <w:tc>
                  <w:tcPr>
                    <w:tcW w:w="1331" w:type="pct"/>
                    <w:tcBorders>
                      <w:top w:val="single" w:sz="4" w:space="0" w:color="auto"/>
                      <w:left w:val="single" w:sz="4" w:space="0" w:color="auto"/>
                      <w:bottom w:val="single" w:sz="4" w:space="0" w:color="auto"/>
                      <w:right w:val="single" w:sz="4" w:space="0" w:color="auto"/>
                    </w:tcBorders>
                    <w:vAlign w:val="center"/>
                  </w:tcPr>
                  <w:p w14:paraId="03FE3926" w14:textId="77777777" w:rsidR="00D21C1F" w:rsidRDefault="00A42880">
                    <w:pPr>
                      <w:rPr>
                        <w:rFonts w:ascii="Times New Roman" w:hAnsi="Times New Roman" w:cs="Times New Roman"/>
                      </w:rPr>
                    </w:pPr>
                    <w:r>
                      <w:rPr>
                        <w:rFonts w:ascii="Times New Roman" w:hAnsi="Times New Roman" w:cs="Times New Roman"/>
                      </w:rPr>
                      <w:t>广东埃华路机器人工程有限公司</w:t>
                    </w:r>
                  </w:p>
                </w:tc>
                <w:tc>
                  <w:tcPr>
                    <w:tcW w:w="669" w:type="pct"/>
                    <w:tcBorders>
                      <w:top w:val="single" w:sz="4" w:space="0" w:color="auto"/>
                      <w:left w:val="single" w:sz="4" w:space="0" w:color="auto"/>
                      <w:bottom w:val="single" w:sz="4" w:space="0" w:color="auto"/>
                      <w:right w:val="single" w:sz="4" w:space="0" w:color="auto"/>
                    </w:tcBorders>
                    <w:vAlign w:val="center"/>
                  </w:tcPr>
                  <w:p w14:paraId="4AE31808"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20,000,000.00</w:t>
                    </w:r>
                  </w:p>
                </w:tc>
                <w:tc>
                  <w:tcPr>
                    <w:tcW w:w="604" w:type="pct"/>
                    <w:tcBorders>
                      <w:top w:val="single" w:sz="4" w:space="0" w:color="auto"/>
                      <w:left w:val="single" w:sz="4" w:space="0" w:color="auto"/>
                      <w:bottom w:val="single" w:sz="4" w:space="0" w:color="auto"/>
                      <w:right w:val="single" w:sz="4" w:space="0" w:color="auto"/>
                    </w:tcBorders>
                    <w:vAlign w:val="center"/>
                  </w:tcPr>
                  <w:p w14:paraId="051DD1B6"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503" w:type="pct"/>
                    <w:tcBorders>
                      <w:top w:val="single" w:sz="4" w:space="0" w:color="auto"/>
                      <w:left w:val="single" w:sz="4" w:space="0" w:color="auto"/>
                      <w:bottom w:val="single" w:sz="4" w:space="0" w:color="auto"/>
                      <w:right w:val="single" w:sz="4" w:space="0" w:color="auto"/>
                    </w:tcBorders>
                    <w:vAlign w:val="center"/>
                  </w:tcPr>
                  <w:p w14:paraId="6402EEAF"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5F8B98EC"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20,000,000.00</w:t>
                    </w:r>
                  </w:p>
                </w:tc>
                <w:tc>
                  <w:tcPr>
                    <w:tcW w:w="754" w:type="pct"/>
                    <w:tcBorders>
                      <w:top w:val="single" w:sz="4" w:space="0" w:color="auto"/>
                      <w:left w:val="single" w:sz="4" w:space="0" w:color="auto"/>
                      <w:bottom w:val="single" w:sz="4" w:space="0" w:color="auto"/>
                      <w:right w:val="single" w:sz="4" w:space="0" w:color="auto"/>
                    </w:tcBorders>
                    <w:vAlign w:val="center"/>
                  </w:tcPr>
                  <w:p w14:paraId="09767E6A"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21DC5278"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20,000,000.00</w:t>
                    </w:r>
                  </w:p>
                </w:tc>
              </w:tr>
            </w:sdtContent>
          </w:sdt>
          <w:tr w:rsidR="00D21C1F" w14:paraId="188A70FF" w14:textId="77777777" w:rsidTr="00DD0B1B">
            <w:sdt>
              <w:sdtPr>
                <w:tag w:val="_PLD_9515e88574304b2da64302e50d23e6cf"/>
                <w:id w:val="-941676588"/>
                <w:lock w:val="sdtLocked"/>
              </w:sdtPr>
              <w:sdtEndPr/>
              <w:sdtContent>
                <w:tc>
                  <w:tcPr>
                    <w:tcW w:w="1331" w:type="pct"/>
                    <w:tcBorders>
                      <w:top w:val="single" w:sz="4" w:space="0" w:color="auto"/>
                      <w:left w:val="single" w:sz="4" w:space="0" w:color="auto"/>
                      <w:bottom w:val="single" w:sz="4" w:space="0" w:color="auto"/>
                      <w:right w:val="single" w:sz="4" w:space="0" w:color="auto"/>
                    </w:tcBorders>
                    <w:vAlign w:val="center"/>
                  </w:tcPr>
                  <w:p w14:paraId="73D7499E" w14:textId="77777777" w:rsidR="00D21C1F" w:rsidRDefault="00A42880">
                    <w:pPr>
                      <w:jc w:val="center"/>
                    </w:pPr>
                    <w:r>
                      <w:rPr>
                        <w:rFonts w:hint="eastAsia"/>
                      </w:rPr>
                      <w:t>合计</w:t>
                    </w:r>
                  </w:p>
                </w:tc>
              </w:sdtContent>
            </w:sdt>
            <w:tc>
              <w:tcPr>
                <w:tcW w:w="669" w:type="pct"/>
                <w:tcBorders>
                  <w:top w:val="single" w:sz="4" w:space="0" w:color="auto"/>
                  <w:left w:val="single" w:sz="4" w:space="0" w:color="auto"/>
                  <w:bottom w:val="single" w:sz="4" w:space="0" w:color="auto"/>
                  <w:right w:val="single" w:sz="4" w:space="0" w:color="auto"/>
                </w:tcBorders>
                <w:vAlign w:val="center"/>
              </w:tcPr>
              <w:p w14:paraId="25301DC6"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1,288,999,764.62</w:t>
                </w:r>
              </w:p>
            </w:tc>
            <w:tc>
              <w:tcPr>
                <w:tcW w:w="604" w:type="pct"/>
                <w:tcBorders>
                  <w:top w:val="single" w:sz="4" w:space="0" w:color="auto"/>
                  <w:left w:val="single" w:sz="4" w:space="0" w:color="auto"/>
                  <w:bottom w:val="single" w:sz="4" w:space="0" w:color="auto"/>
                  <w:right w:val="single" w:sz="4" w:space="0" w:color="auto"/>
                </w:tcBorders>
                <w:vAlign w:val="center"/>
              </w:tcPr>
              <w:p w14:paraId="41F2F3A5"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47,400,000.00</w:t>
                </w:r>
              </w:p>
            </w:tc>
            <w:tc>
              <w:tcPr>
                <w:tcW w:w="503" w:type="pct"/>
                <w:tcBorders>
                  <w:top w:val="single" w:sz="4" w:space="0" w:color="auto"/>
                  <w:left w:val="single" w:sz="4" w:space="0" w:color="auto"/>
                  <w:bottom w:val="single" w:sz="4" w:space="0" w:color="auto"/>
                  <w:right w:val="single" w:sz="4" w:space="0" w:color="auto"/>
                </w:tcBorders>
                <w:vAlign w:val="center"/>
              </w:tcPr>
              <w:p w14:paraId="2079DC0E"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453" w:type="pct"/>
                <w:tcBorders>
                  <w:top w:val="single" w:sz="4" w:space="0" w:color="auto"/>
                  <w:left w:val="single" w:sz="4" w:space="0" w:color="auto"/>
                  <w:bottom w:val="single" w:sz="4" w:space="0" w:color="auto"/>
                  <w:right w:val="single" w:sz="4" w:space="0" w:color="auto"/>
                </w:tcBorders>
                <w:vAlign w:val="center"/>
              </w:tcPr>
              <w:p w14:paraId="7DFBDA20"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1,336,399,764.62</w:t>
                </w:r>
              </w:p>
            </w:tc>
            <w:tc>
              <w:tcPr>
                <w:tcW w:w="754" w:type="pct"/>
                <w:tcBorders>
                  <w:top w:val="single" w:sz="4" w:space="0" w:color="auto"/>
                  <w:left w:val="single" w:sz="4" w:space="0" w:color="auto"/>
                  <w:bottom w:val="single" w:sz="4" w:space="0" w:color="auto"/>
                  <w:right w:val="single" w:sz="4" w:space="0" w:color="auto"/>
                </w:tcBorders>
                <w:vAlign w:val="center"/>
              </w:tcPr>
              <w:p w14:paraId="41EC040C"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w:t>
                </w:r>
              </w:p>
            </w:tc>
            <w:tc>
              <w:tcPr>
                <w:tcW w:w="686" w:type="pct"/>
                <w:tcBorders>
                  <w:top w:val="single" w:sz="4" w:space="0" w:color="auto"/>
                  <w:left w:val="single" w:sz="4" w:space="0" w:color="auto"/>
                  <w:bottom w:val="single" w:sz="4" w:space="0" w:color="auto"/>
                  <w:right w:val="single" w:sz="4" w:space="0" w:color="auto"/>
                </w:tcBorders>
                <w:vAlign w:val="center"/>
              </w:tcPr>
              <w:p w14:paraId="1664151B" w14:textId="77777777" w:rsidR="00D21C1F" w:rsidRPr="00DD0B1B" w:rsidRDefault="00A42880" w:rsidP="00DD0B1B">
                <w:pPr>
                  <w:jc w:val="right"/>
                  <w:rPr>
                    <w:rFonts w:ascii="Times New Roman" w:hAnsi="Times New Roman" w:cs="Times New Roman"/>
                  </w:rPr>
                </w:pPr>
                <w:r w:rsidRPr="00DD0B1B">
                  <w:rPr>
                    <w:rFonts w:ascii="Times New Roman" w:hAnsi="Times New Roman" w:cs="Times New Roman"/>
                  </w:rPr>
                  <w:t>1,336,399,764.62</w:t>
                </w:r>
              </w:p>
            </w:tc>
          </w:tr>
        </w:tbl>
        <w:p w14:paraId="121DA55B" w14:textId="77777777" w:rsidR="00D21C1F" w:rsidRDefault="00045EC6">
          <w:pPr>
            <w:rPr>
              <w:szCs w:val="21"/>
            </w:rPr>
          </w:pPr>
        </w:p>
      </w:sdtContent>
    </w:sdt>
    <w:sdt>
      <w:sdtPr>
        <w:rPr>
          <w:rFonts w:ascii="宋体" w:eastAsia="宋体" w:hAnsi="宋体" w:cs="宋体" w:hint="eastAsia"/>
          <w:b w:val="0"/>
          <w:bCs w:val="0"/>
          <w:kern w:val="0"/>
          <w:szCs w:val="21"/>
        </w:rPr>
        <w:alias w:val="模块:对联营、合营企业投资"/>
        <w:tag w:val="_GBC_eb61534d0a614526b319605aeaa9bf73"/>
        <w:id w:val="38490475"/>
        <w:lock w:val="sdtLocked"/>
        <w:placeholder>
          <w:docPart w:val="GBC22222222222222222222222222222"/>
        </w:placeholder>
      </w:sdtPr>
      <w:sdtEndPr/>
      <w:sdtContent>
        <w:p w14:paraId="165D48D0" w14:textId="77777777" w:rsidR="00D21C1F" w:rsidRDefault="00A42880">
          <w:pPr>
            <w:pStyle w:val="93"/>
            <w:numPr>
              <w:ilvl w:val="0"/>
              <w:numId w:val="151"/>
            </w:numPr>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1372732763"/>
            <w:lock w:val="sdtLocked"/>
            <w:placeholder>
              <w:docPart w:val="GBC22222222222222222222222222222"/>
            </w:placeholder>
          </w:sdtPr>
          <w:sdtEndPr/>
          <w:sdtContent>
            <w:p w14:paraId="13BF023F"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C5E495" w14:textId="77777777" w:rsidR="00D21C1F" w:rsidRDefault="00A42880">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546579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财务附注：对联营、合营企业投资"/>
              <w:tag w:val="_GBC_5b4bb22c6cca42989bcd538938127ee2"/>
              <w:id w:val="-273174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534"/>
            <w:gridCol w:w="698"/>
            <w:gridCol w:w="698"/>
            <w:gridCol w:w="1390"/>
            <w:gridCol w:w="836"/>
            <w:gridCol w:w="1426"/>
            <w:gridCol w:w="947"/>
            <w:gridCol w:w="975"/>
            <w:gridCol w:w="703"/>
            <w:gridCol w:w="1451"/>
            <w:gridCol w:w="1127"/>
          </w:tblGrid>
          <w:tr w:rsidR="00D21C1F" w14:paraId="50C56B8B" w14:textId="77777777">
            <w:sdt>
              <w:sdtPr>
                <w:tag w:val="_PLD_6cc6b034108e400a8f245ccad05ac887"/>
                <w:id w:val="742530854"/>
                <w:lock w:val="sdtLocked"/>
              </w:sdtPr>
              <w:sdtEndPr/>
              <w:sdtContent>
                <w:tc>
                  <w:tcPr>
                    <w:tcW w:w="744" w:type="pct"/>
                    <w:vMerge w:val="restart"/>
                    <w:tcBorders>
                      <w:top w:val="single" w:sz="4" w:space="0" w:color="auto"/>
                      <w:left w:val="single" w:sz="4" w:space="0" w:color="auto"/>
                      <w:right w:val="single" w:sz="4" w:space="0" w:color="auto"/>
                    </w:tcBorders>
                    <w:shd w:val="clear" w:color="auto" w:fill="auto"/>
                    <w:vAlign w:val="center"/>
                  </w:tcPr>
                  <w:p w14:paraId="3FDEFCB9" w14:textId="77777777" w:rsidR="00D21C1F" w:rsidRDefault="00A42880">
                    <w:pPr>
                      <w:jc w:val="center"/>
                      <w:rPr>
                        <w:szCs w:val="21"/>
                      </w:rPr>
                    </w:pPr>
                    <w:r>
                      <w:rPr>
                        <w:rFonts w:hint="eastAsia"/>
                        <w:szCs w:val="21"/>
                      </w:rPr>
                      <w:t>投资</w:t>
                    </w:r>
                  </w:p>
                  <w:p w14:paraId="689221D1" w14:textId="77777777" w:rsidR="00D21C1F" w:rsidRDefault="00A42880">
                    <w:pPr>
                      <w:jc w:val="center"/>
                      <w:rPr>
                        <w:szCs w:val="21"/>
                      </w:rPr>
                    </w:pPr>
                    <w:r>
                      <w:rPr>
                        <w:rFonts w:hint="eastAsia"/>
                        <w:szCs w:val="21"/>
                      </w:rPr>
                      <w:t>单位</w:t>
                    </w:r>
                  </w:p>
                </w:tc>
              </w:sdtContent>
            </w:sdt>
            <w:sdt>
              <w:sdtPr>
                <w:tag w:val="_PLD_4e363a39fcae421c9a049aefb0d049c6"/>
                <w:id w:val="1266352260"/>
                <w:lock w:val="sdtLocked"/>
              </w:sdtPr>
              <w:sdtEndPr/>
              <w:sdtContent>
                <w:tc>
                  <w:tcPr>
                    <w:tcW w:w="554" w:type="pct"/>
                    <w:vMerge w:val="restart"/>
                    <w:tcBorders>
                      <w:top w:val="single" w:sz="4" w:space="0" w:color="auto"/>
                      <w:left w:val="single" w:sz="4" w:space="0" w:color="auto"/>
                      <w:right w:val="single" w:sz="4" w:space="0" w:color="auto"/>
                    </w:tcBorders>
                    <w:shd w:val="clear" w:color="auto" w:fill="auto"/>
                    <w:vAlign w:val="center"/>
                  </w:tcPr>
                  <w:p w14:paraId="49283C3F" w14:textId="77777777" w:rsidR="00D21C1F" w:rsidRDefault="00A42880">
                    <w:pPr>
                      <w:jc w:val="center"/>
                      <w:rPr>
                        <w:szCs w:val="21"/>
                      </w:rPr>
                    </w:pPr>
                    <w:r>
                      <w:rPr>
                        <w:rFonts w:hint="eastAsia"/>
                        <w:szCs w:val="21"/>
                      </w:rPr>
                      <w:t>期初</w:t>
                    </w:r>
                  </w:p>
                  <w:p w14:paraId="279C1741" w14:textId="77777777" w:rsidR="00D21C1F" w:rsidRDefault="00A42880">
                    <w:pPr>
                      <w:jc w:val="center"/>
                      <w:rPr>
                        <w:szCs w:val="21"/>
                      </w:rPr>
                    </w:pPr>
                    <w:r>
                      <w:rPr>
                        <w:rFonts w:hint="eastAsia"/>
                        <w:szCs w:val="21"/>
                      </w:rPr>
                      <w:t>余额</w:t>
                    </w:r>
                  </w:p>
                </w:tc>
              </w:sdtContent>
            </w:sdt>
            <w:sdt>
              <w:sdtPr>
                <w:tag w:val="_PLD_675bbbad11dc4d23934e356c8b45872c"/>
                <w:id w:val="519665672"/>
                <w:lock w:val="sdtLocked"/>
              </w:sdtPr>
              <w:sdtEndPr/>
              <w:sdtContent>
                <w:tc>
                  <w:tcPr>
                    <w:tcW w:w="277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A34CE57" w14:textId="77777777" w:rsidR="00D21C1F" w:rsidRDefault="00A42880">
                    <w:pPr>
                      <w:jc w:val="center"/>
                      <w:rPr>
                        <w:szCs w:val="21"/>
                      </w:rPr>
                    </w:pPr>
                    <w:r>
                      <w:rPr>
                        <w:rFonts w:hint="eastAsia"/>
                        <w:szCs w:val="21"/>
                      </w:rPr>
                      <w:t>本期增减变动</w:t>
                    </w:r>
                  </w:p>
                </w:tc>
              </w:sdtContent>
            </w:sdt>
            <w:sdt>
              <w:sdtPr>
                <w:tag w:val="_PLD_60650c529731423a8920dee24235a743"/>
                <w:id w:val="819460245"/>
                <w:lock w:val="sdtLocked"/>
              </w:sdtPr>
              <w:sdtEndPr/>
              <w:sdtContent>
                <w:tc>
                  <w:tcPr>
                    <w:tcW w:w="524" w:type="pct"/>
                    <w:vMerge w:val="restart"/>
                    <w:tcBorders>
                      <w:top w:val="single" w:sz="4" w:space="0" w:color="auto"/>
                      <w:left w:val="single" w:sz="4" w:space="0" w:color="auto"/>
                      <w:right w:val="single" w:sz="4" w:space="0" w:color="auto"/>
                    </w:tcBorders>
                    <w:shd w:val="clear" w:color="auto" w:fill="auto"/>
                    <w:vAlign w:val="center"/>
                  </w:tcPr>
                  <w:p w14:paraId="46DC9C26" w14:textId="77777777" w:rsidR="00D21C1F" w:rsidRDefault="00A42880">
                    <w:pPr>
                      <w:jc w:val="center"/>
                      <w:rPr>
                        <w:szCs w:val="21"/>
                      </w:rPr>
                    </w:pPr>
                    <w:r>
                      <w:rPr>
                        <w:rFonts w:hint="eastAsia"/>
                        <w:szCs w:val="21"/>
                      </w:rPr>
                      <w:t>期末</w:t>
                    </w:r>
                  </w:p>
                  <w:p w14:paraId="185F2EA8" w14:textId="77777777" w:rsidR="00D21C1F" w:rsidRDefault="00A42880">
                    <w:pPr>
                      <w:jc w:val="center"/>
                      <w:rPr>
                        <w:szCs w:val="21"/>
                      </w:rPr>
                    </w:pPr>
                    <w:r>
                      <w:rPr>
                        <w:rFonts w:hint="eastAsia"/>
                        <w:szCs w:val="21"/>
                      </w:rPr>
                      <w:t>余额</w:t>
                    </w:r>
                  </w:p>
                </w:tc>
              </w:sdtContent>
            </w:sdt>
            <w:sdt>
              <w:sdtPr>
                <w:tag w:val="_PLD_015da9aade664ef1a73ffb5d14b36a29"/>
                <w:id w:val="-421880316"/>
                <w:lock w:val="sdtLocked"/>
              </w:sdtPr>
              <w:sdtEndPr/>
              <w:sdtContent>
                <w:tc>
                  <w:tcPr>
                    <w:tcW w:w="407" w:type="pct"/>
                    <w:vMerge w:val="restart"/>
                    <w:tcBorders>
                      <w:top w:val="single" w:sz="4" w:space="0" w:color="auto"/>
                      <w:left w:val="single" w:sz="4" w:space="0" w:color="auto"/>
                      <w:right w:val="single" w:sz="4" w:space="0" w:color="auto"/>
                    </w:tcBorders>
                    <w:shd w:val="clear" w:color="auto" w:fill="auto"/>
                    <w:vAlign w:val="center"/>
                  </w:tcPr>
                  <w:p w14:paraId="168D9623" w14:textId="77777777" w:rsidR="00D21C1F" w:rsidRDefault="00A42880">
                    <w:pPr>
                      <w:jc w:val="center"/>
                      <w:rPr>
                        <w:szCs w:val="21"/>
                      </w:rPr>
                    </w:pPr>
                    <w:r>
                      <w:rPr>
                        <w:rFonts w:hint="eastAsia"/>
                        <w:szCs w:val="21"/>
                      </w:rPr>
                      <w:t>减值准备期末余额</w:t>
                    </w:r>
                  </w:p>
                </w:tc>
              </w:sdtContent>
            </w:sdt>
          </w:tr>
          <w:tr w:rsidR="00D21C1F" w14:paraId="780F5BE2" w14:textId="77777777">
            <w:tc>
              <w:tcPr>
                <w:tcW w:w="744" w:type="pct"/>
                <w:vMerge/>
                <w:tcBorders>
                  <w:left w:val="single" w:sz="4" w:space="0" w:color="auto"/>
                  <w:bottom w:val="single" w:sz="4" w:space="0" w:color="auto"/>
                  <w:right w:val="single" w:sz="4" w:space="0" w:color="auto"/>
                </w:tcBorders>
                <w:shd w:val="clear" w:color="auto" w:fill="auto"/>
              </w:tcPr>
              <w:p w14:paraId="40BBA17E" w14:textId="77777777" w:rsidR="00D21C1F" w:rsidRDefault="00D21C1F">
                <w:pPr>
                  <w:jc w:val="center"/>
                  <w:rPr>
                    <w:szCs w:val="21"/>
                  </w:rPr>
                </w:pPr>
              </w:p>
            </w:tc>
            <w:tc>
              <w:tcPr>
                <w:tcW w:w="554" w:type="pct"/>
                <w:vMerge/>
                <w:tcBorders>
                  <w:left w:val="single" w:sz="4" w:space="0" w:color="auto"/>
                  <w:bottom w:val="single" w:sz="4" w:space="0" w:color="auto"/>
                  <w:right w:val="single" w:sz="4" w:space="0" w:color="auto"/>
                </w:tcBorders>
                <w:shd w:val="clear" w:color="auto" w:fill="auto"/>
              </w:tcPr>
              <w:p w14:paraId="792F2B1F" w14:textId="77777777" w:rsidR="00D21C1F" w:rsidRDefault="00D21C1F">
                <w:pPr>
                  <w:jc w:val="center"/>
                  <w:rPr>
                    <w:szCs w:val="21"/>
                  </w:rPr>
                </w:pPr>
              </w:p>
            </w:tc>
            <w:sdt>
              <w:sdtPr>
                <w:tag w:val="_PLD_cbd2bf523863474c84cf8d516b6c392e"/>
                <w:id w:val="1423145950"/>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19647FD" w14:textId="77777777" w:rsidR="00D21C1F" w:rsidRDefault="00A42880">
                    <w:pPr>
                      <w:jc w:val="center"/>
                      <w:rPr>
                        <w:szCs w:val="21"/>
                      </w:rPr>
                    </w:pPr>
                    <w:r>
                      <w:rPr>
                        <w:rFonts w:hint="eastAsia"/>
                        <w:szCs w:val="21"/>
                      </w:rPr>
                      <w:t>追加投资</w:t>
                    </w:r>
                  </w:p>
                </w:tc>
              </w:sdtContent>
            </w:sdt>
            <w:sdt>
              <w:sdtPr>
                <w:tag w:val="_PLD_2fb99239d0d745539b34e49e3410ad3d"/>
                <w:id w:val="1378359537"/>
                <w:lock w:val="sdtLocked"/>
              </w:sdtPr>
              <w:sdtEndPr/>
              <w:sdtContent>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D5474FA" w14:textId="77777777" w:rsidR="00D21C1F" w:rsidRDefault="00A42880">
                    <w:pPr>
                      <w:jc w:val="center"/>
                      <w:rPr>
                        <w:szCs w:val="21"/>
                      </w:rPr>
                    </w:pPr>
                    <w:r>
                      <w:rPr>
                        <w:rFonts w:hint="eastAsia"/>
                        <w:szCs w:val="21"/>
                      </w:rPr>
                      <w:t>减少投资</w:t>
                    </w:r>
                  </w:p>
                </w:tc>
              </w:sdtContent>
            </w:sdt>
            <w:sdt>
              <w:sdtPr>
                <w:tag w:val="_PLD_1f3056d1910848f8b6a706479b4259a5"/>
                <w:id w:val="740293448"/>
                <w:lock w:val="sdtLocked"/>
              </w:sdtPr>
              <w:sdtEndPr/>
              <w:sdtContent>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C1859E9" w14:textId="77777777" w:rsidR="00D21C1F" w:rsidRDefault="00A42880">
                    <w:pPr>
                      <w:jc w:val="center"/>
                      <w:rPr>
                        <w:szCs w:val="21"/>
                      </w:rPr>
                    </w:pPr>
                    <w:r>
                      <w:rPr>
                        <w:rFonts w:hint="eastAsia"/>
                        <w:szCs w:val="21"/>
                      </w:rPr>
                      <w:t>权益法下确认的投资损益</w:t>
                    </w:r>
                  </w:p>
                </w:tc>
              </w:sdtContent>
            </w:sdt>
            <w:sdt>
              <w:sdtPr>
                <w:tag w:val="_PLD_0e97178fddec48888aefa92a2830b812"/>
                <w:id w:val="1524359047"/>
                <w:lock w:val="sdtLocked"/>
              </w:sdtPr>
              <w:sdtEnd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D3E173C" w14:textId="77777777" w:rsidR="00D21C1F" w:rsidRDefault="00A42880">
                    <w:pPr>
                      <w:jc w:val="center"/>
                      <w:rPr>
                        <w:szCs w:val="21"/>
                      </w:rPr>
                    </w:pPr>
                    <w:r>
                      <w:rPr>
                        <w:rFonts w:hint="eastAsia"/>
                        <w:szCs w:val="21"/>
                      </w:rPr>
                      <w:t>其他综合收益调整</w:t>
                    </w:r>
                  </w:p>
                </w:tc>
              </w:sdtContent>
            </w:sdt>
            <w:sdt>
              <w:sdtPr>
                <w:tag w:val="_PLD_29b9a15716dc4441a8dcb4c045a92f6b"/>
                <w:id w:val="-1581288431"/>
                <w:lock w:val="sdtLocked"/>
              </w:sdtPr>
              <w:sdtEndPr/>
              <w:sdtContent>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20E3F9A" w14:textId="77777777" w:rsidR="00D21C1F" w:rsidRDefault="00A42880">
                    <w:pPr>
                      <w:jc w:val="center"/>
                      <w:rPr>
                        <w:szCs w:val="21"/>
                      </w:rPr>
                    </w:pPr>
                    <w:r>
                      <w:rPr>
                        <w:rFonts w:hint="eastAsia"/>
                        <w:szCs w:val="21"/>
                      </w:rPr>
                      <w:t>其他权益变动</w:t>
                    </w:r>
                  </w:p>
                </w:tc>
              </w:sdtContent>
            </w:sdt>
            <w:sdt>
              <w:sdtPr>
                <w:tag w:val="_PLD_e428cfe75ea541779cc82a8596f56242"/>
                <w:id w:val="337965723"/>
                <w:lock w:val="sdtLocked"/>
              </w:sdtPr>
              <w:sdtEndPr/>
              <w:sdtContent>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67AAB283" w14:textId="77777777" w:rsidR="00D21C1F" w:rsidRDefault="00A42880">
                    <w:pPr>
                      <w:jc w:val="center"/>
                      <w:rPr>
                        <w:szCs w:val="21"/>
                      </w:rPr>
                    </w:pPr>
                    <w:r>
                      <w:rPr>
                        <w:rFonts w:hint="eastAsia"/>
                        <w:szCs w:val="21"/>
                      </w:rPr>
                      <w:t>宣告发放现金股利或利润</w:t>
                    </w:r>
                  </w:p>
                </w:tc>
              </w:sdtContent>
            </w:sdt>
            <w:sdt>
              <w:sdtPr>
                <w:tag w:val="_PLD_747f8a7789454ec8a102293ecaa63e28"/>
                <w:id w:val="-1690132465"/>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A8F34F1" w14:textId="77777777" w:rsidR="00D21C1F" w:rsidRDefault="00A42880">
                    <w:pPr>
                      <w:jc w:val="center"/>
                      <w:rPr>
                        <w:szCs w:val="21"/>
                      </w:rPr>
                    </w:pPr>
                    <w:r>
                      <w:rPr>
                        <w:rFonts w:hint="eastAsia"/>
                        <w:szCs w:val="21"/>
                      </w:rPr>
                      <w:t>计提减值准备</w:t>
                    </w:r>
                  </w:p>
                </w:tc>
              </w:sdtContent>
            </w:sdt>
            <w:sdt>
              <w:sdtPr>
                <w:tag w:val="_PLD_c4dc0e381f9742f7b6c469b5b71f2b6b"/>
                <w:id w:val="-979068149"/>
                <w:lock w:val="sdtLocked"/>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02EEC3DE" w14:textId="77777777" w:rsidR="00D21C1F" w:rsidRDefault="00A42880">
                    <w:pPr>
                      <w:jc w:val="center"/>
                      <w:rPr>
                        <w:szCs w:val="21"/>
                      </w:rPr>
                    </w:pPr>
                    <w:r>
                      <w:rPr>
                        <w:rFonts w:hint="eastAsia"/>
                        <w:szCs w:val="21"/>
                      </w:rPr>
                      <w:t>其他</w:t>
                    </w:r>
                  </w:p>
                </w:tc>
              </w:sdtContent>
            </w:sdt>
            <w:tc>
              <w:tcPr>
                <w:tcW w:w="524" w:type="pct"/>
                <w:vMerge/>
                <w:tcBorders>
                  <w:left w:val="single" w:sz="4" w:space="0" w:color="auto"/>
                  <w:bottom w:val="single" w:sz="4" w:space="0" w:color="auto"/>
                  <w:right w:val="single" w:sz="4" w:space="0" w:color="auto"/>
                </w:tcBorders>
                <w:shd w:val="clear" w:color="auto" w:fill="auto"/>
              </w:tcPr>
              <w:p w14:paraId="1CDCC59C" w14:textId="77777777" w:rsidR="00D21C1F" w:rsidRDefault="00D21C1F">
                <w:pPr>
                  <w:jc w:val="center"/>
                  <w:rPr>
                    <w:szCs w:val="21"/>
                  </w:rPr>
                </w:pPr>
              </w:p>
            </w:tc>
            <w:tc>
              <w:tcPr>
                <w:tcW w:w="407" w:type="pct"/>
                <w:vMerge/>
                <w:tcBorders>
                  <w:left w:val="single" w:sz="4" w:space="0" w:color="auto"/>
                  <w:bottom w:val="single" w:sz="4" w:space="0" w:color="auto"/>
                  <w:right w:val="single" w:sz="4" w:space="0" w:color="auto"/>
                </w:tcBorders>
                <w:shd w:val="clear" w:color="auto" w:fill="auto"/>
              </w:tcPr>
              <w:p w14:paraId="5C95C0B9" w14:textId="77777777" w:rsidR="00D21C1F" w:rsidRDefault="00D21C1F">
                <w:pPr>
                  <w:jc w:val="center"/>
                  <w:rPr>
                    <w:szCs w:val="21"/>
                  </w:rPr>
                </w:pPr>
              </w:p>
            </w:tc>
          </w:tr>
          <w:tr w:rsidR="00D21C1F" w14:paraId="0444859C" w14:textId="77777777">
            <w:sdt>
              <w:sdtPr>
                <w:tag w:val="_PLD_22240ea193154bf4937c6cd3a9c9805f"/>
                <w:id w:val="1271125375"/>
                <w:lock w:val="sdtLocked"/>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tcPr>
                  <w:p w14:paraId="0044F5C6" w14:textId="77777777" w:rsidR="00D21C1F" w:rsidRDefault="00A42880">
                    <w:pPr>
                      <w:jc w:val="both"/>
                      <w:rPr>
                        <w:szCs w:val="21"/>
                      </w:rPr>
                    </w:pPr>
                    <w:r>
                      <w:rPr>
                        <w:rFonts w:hint="eastAsia"/>
                        <w:szCs w:val="21"/>
                      </w:rPr>
                      <w:t>一、合营企业</w:t>
                    </w:r>
                  </w:p>
                </w:tc>
              </w:sdtContent>
            </w:sdt>
            <w:tc>
              <w:tcPr>
                <w:tcW w:w="554" w:type="pct"/>
                <w:tcBorders>
                  <w:top w:val="single" w:sz="4" w:space="0" w:color="auto"/>
                  <w:left w:val="single" w:sz="4" w:space="0" w:color="auto"/>
                  <w:bottom w:val="single" w:sz="4" w:space="0" w:color="auto"/>
                  <w:right w:val="single" w:sz="4" w:space="0" w:color="auto"/>
                </w:tcBorders>
                <w:shd w:val="clear" w:color="auto" w:fill="auto"/>
              </w:tcPr>
              <w:p w14:paraId="70956C64" w14:textId="77777777" w:rsidR="00D21C1F" w:rsidRDefault="00D21C1F">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2F6C32C4" w14:textId="77777777" w:rsidR="00D21C1F" w:rsidRDefault="00D21C1F">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64E4436C" w14:textId="77777777" w:rsidR="00D21C1F" w:rsidRDefault="00D21C1F">
                <w:pPr>
                  <w:jc w:val="right"/>
                  <w:rPr>
                    <w:szCs w:val="21"/>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23FB653F" w14:textId="77777777" w:rsidR="00D21C1F" w:rsidRDefault="00D21C1F">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7E67E1A6" w14:textId="77777777" w:rsidR="00D21C1F" w:rsidRDefault="00D21C1F">
                <w:pPr>
                  <w:jc w:val="right"/>
                  <w:rPr>
                    <w:szCs w:val="21"/>
                  </w:rPr>
                </w:pP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72488D3F" w14:textId="77777777" w:rsidR="00D21C1F" w:rsidRDefault="00D21C1F">
                <w:pPr>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645F921C" w14:textId="77777777" w:rsidR="00D21C1F" w:rsidRDefault="00D21C1F">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41752F7D" w14:textId="77777777" w:rsidR="00D21C1F" w:rsidRDefault="00D21C1F">
                <w:pPr>
                  <w:jc w:val="right"/>
                  <w:rPr>
                    <w:szCs w:val="21"/>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47AB96CA" w14:textId="77777777" w:rsidR="00D21C1F" w:rsidRDefault="00D21C1F">
                <w:pPr>
                  <w:jc w:val="right"/>
                  <w:rPr>
                    <w:szCs w:val="21"/>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CC4AF0F" w14:textId="77777777" w:rsidR="00D21C1F" w:rsidRDefault="00D21C1F">
                <w:pPr>
                  <w:jc w:val="right"/>
                  <w:rPr>
                    <w:szCs w:val="21"/>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14:paraId="407C869A" w14:textId="77777777" w:rsidR="00D21C1F" w:rsidRDefault="00D21C1F">
                <w:pPr>
                  <w:jc w:val="right"/>
                  <w:rPr>
                    <w:szCs w:val="21"/>
                  </w:rPr>
                </w:pPr>
              </w:p>
            </w:tc>
          </w:tr>
          <w:tr w:rsidR="00D21C1F" w14:paraId="3E59F883" w14:textId="77777777">
            <w:sdt>
              <w:sdtPr>
                <w:tag w:val="_PLD_8013411a41154576a259c00146d87236"/>
                <w:id w:val="-707489906"/>
                <w:lock w:val="sdtLocked"/>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tcPr>
                  <w:p w14:paraId="53C665F9" w14:textId="77777777" w:rsidR="00D21C1F" w:rsidRDefault="00A42880">
                    <w:pPr>
                      <w:jc w:val="both"/>
                      <w:rPr>
                        <w:szCs w:val="21"/>
                      </w:rPr>
                    </w:pPr>
                    <w:r>
                      <w:rPr>
                        <w:rFonts w:hint="eastAsia"/>
                        <w:szCs w:val="21"/>
                      </w:rPr>
                      <w:t>二、联营企业</w:t>
                    </w:r>
                  </w:p>
                </w:tc>
              </w:sdtContent>
            </w:sdt>
            <w:tc>
              <w:tcPr>
                <w:tcW w:w="554" w:type="pct"/>
                <w:tcBorders>
                  <w:top w:val="single" w:sz="4" w:space="0" w:color="auto"/>
                  <w:left w:val="single" w:sz="4" w:space="0" w:color="auto"/>
                  <w:bottom w:val="single" w:sz="4" w:space="0" w:color="auto"/>
                  <w:right w:val="single" w:sz="4" w:space="0" w:color="auto"/>
                </w:tcBorders>
                <w:shd w:val="clear" w:color="auto" w:fill="auto"/>
              </w:tcPr>
              <w:p w14:paraId="7D42D30D" w14:textId="77777777" w:rsidR="00D21C1F" w:rsidRDefault="00D21C1F">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07A79283" w14:textId="77777777" w:rsidR="00D21C1F" w:rsidRDefault="00D21C1F">
                <w:pPr>
                  <w:jc w:val="right"/>
                  <w:rPr>
                    <w:szCs w:val="21"/>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42AC5793" w14:textId="77777777" w:rsidR="00D21C1F" w:rsidRDefault="00D21C1F">
                <w:pPr>
                  <w:jc w:val="right"/>
                  <w:rPr>
                    <w:szCs w:val="21"/>
                  </w:rPr>
                </w:pP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68A86DC7" w14:textId="77777777" w:rsidR="00D21C1F" w:rsidRDefault="00D21C1F">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20886128" w14:textId="77777777" w:rsidR="00D21C1F" w:rsidRDefault="00D21C1F">
                <w:pPr>
                  <w:jc w:val="right"/>
                  <w:rPr>
                    <w:szCs w:val="21"/>
                  </w:rPr>
                </w:pP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2B040AA8" w14:textId="77777777" w:rsidR="00D21C1F" w:rsidRDefault="00D21C1F">
                <w:pPr>
                  <w:jc w:val="right"/>
                  <w:rPr>
                    <w:szCs w:val="21"/>
                  </w:rPr>
                </w:pPr>
              </w:p>
            </w:tc>
            <w:tc>
              <w:tcPr>
                <w:tcW w:w="342" w:type="pct"/>
                <w:tcBorders>
                  <w:top w:val="single" w:sz="4" w:space="0" w:color="auto"/>
                  <w:left w:val="single" w:sz="4" w:space="0" w:color="auto"/>
                  <w:bottom w:val="single" w:sz="4" w:space="0" w:color="auto"/>
                  <w:right w:val="single" w:sz="4" w:space="0" w:color="auto"/>
                </w:tcBorders>
                <w:shd w:val="clear" w:color="auto" w:fill="auto"/>
              </w:tcPr>
              <w:p w14:paraId="5519A1AD" w14:textId="77777777" w:rsidR="00D21C1F" w:rsidRDefault="00D21C1F">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535C5119" w14:textId="77777777" w:rsidR="00D21C1F" w:rsidRDefault="00D21C1F">
                <w:pPr>
                  <w:jc w:val="right"/>
                  <w:rPr>
                    <w:szCs w:val="21"/>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17A01176" w14:textId="77777777" w:rsidR="00D21C1F" w:rsidRDefault="00D21C1F">
                <w:pPr>
                  <w:jc w:val="right"/>
                  <w:rPr>
                    <w:szCs w:val="21"/>
                  </w:rPr>
                </w:pP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72CAAC7D" w14:textId="77777777" w:rsidR="00D21C1F" w:rsidRDefault="00D21C1F">
                <w:pPr>
                  <w:jc w:val="right"/>
                  <w:rPr>
                    <w:szCs w:val="21"/>
                  </w:rPr>
                </w:pPr>
              </w:p>
            </w:tc>
            <w:tc>
              <w:tcPr>
                <w:tcW w:w="407" w:type="pct"/>
                <w:tcBorders>
                  <w:top w:val="single" w:sz="4" w:space="0" w:color="auto"/>
                  <w:left w:val="single" w:sz="4" w:space="0" w:color="auto"/>
                  <w:bottom w:val="single" w:sz="4" w:space="0" w:color="auto"/>
                  <w:right w:val="single" w:sz="4" w:space="0" w:color="auto"/>
                </w:tcBorders>
                <w:shd w:val="clear" w:color="auto" w:fill="auto"/>
              </w:tcPr>
              <w:p w14:paraId="64482255" w14:textId="77777777" w:rsidR="00D21C1F" w:rsidRDefault="00D21C1F">
                <w:pPr>
                  <w:jc w:val="right"/>
                  <w:rPr>
                    <w:szCs w:val="21"/>
                  </w:rPr>
                </w:pPr>
              </w:p>
            </w:tc>
          </w:tr>
          <w:sdt>
            <w:sdtPr>
              <w:rPr>
                <w:rFonts w:ascii="Times New Roman" w:hAnsi="Times New Roman" w:cs="Times New Roman"/>
                <w:szCs w:val="21"/>
              </w:rPr>
              <w:alias w:val="联营企业投资信息明细"/>
              <w:tag w:val="_GBC_4b68840ef16441539a17ee71688111ed"/>
              <w:id w:val="-1518301956"/>
              <w:lock w:val="sdtLocked"/>
            </w:sdtPr>
            <w:sdtEndPr/>
            <w:sdtContent>
              <w:tr w:rsidR="00D21C1F" w14:paraId="767242FE" w14:textId="77777777" w:rsidTr="00DD0B1B">
                <w:tc>
                  <w:tcPr>
                    <w:tcW w:w="744" w:type="pct"/>
                    <w:tcBorders>
                      <w:top w:val="single" w:sz="4" w:space="0" w:color="auto"/>
                      <w:left w:val="single" w:sz="4" w:space="0" w:color="auto"/>
                      <w:bottom w:val="single" w:sz="4" w:space="0" w:color="auto"/>
                      <w:right w:val="single" w:sz="4" w:space="0" w:color="auto"/>
                    </w:tcBorders>
                    <w:shd w:val="clear" w:color="auto" w:fill="auto"/>
                  </w:tcPr>
                  <w:p w14:paraId="1C9F8711" w14:textId="77777777" w:rsidR="00D21C1F" w:rsidRDefault="00A42880">
                    <w:pPr>
                      <w:jc w:val="both"/>
                      <w:rPr>
                        <w:rFonts w:ascii="Times New Roman" w:hAnsi="Times New Roman" w:cs="Times New Roman"/>
                        <w:szCs w:val="21"/>
                      </w:rPr>
                    </w:pPr>
                    <w:r>
                      <w:rPr>
                        <w:rFonts w:ascii="Times New Roman" w:hAnsi="Times New Roman" w:cs="Times New Roman"/>
                      </w:rPr>
                      <w:t>Robox S.p.A</w:t>
                    </w:r>
                    <w:r>
                      <w:rPr>
                        <w:rFonts w:ascii="Times New Roman" w:hAnsi="Times New Roman" w:cs="Times New Roman" w:hint="eastAsia"/>
                      </w:rPr>
                      <w:t>.</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F0D69F9"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40,358,975.23</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30A74448"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BF35B4B"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62021D9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1,379,197.01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6371A48"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AF7F482"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656BC31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2292FF6"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3121D6F2"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7A3FCF03"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41,738,172.24</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CF5A2C4"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r>
            </w:sdtContent>
          </w:sdt>
          <w:sdt>
            <w:sdtPr>
              <w:rPr>
                <w:rFonts w:ascii="Times New Roman" w:hAnsi="Times New Roman" w:cs="Times New Roman"/>
                <w:szCs w:val="21"/>
              </w:rPr>
              <w:alias w:val="联营企业投资信息明细"/>
              <w:tag w:val="_GBC_4b68840ef16441539a17ee71688111ed"/>
              <w:id w:val="-210344842"/>
              <w:lock w:val="sdtLocked"/>
            </w:sdtPr>
            <w:sdtEndPr/>
            <w:sdtContent>
              <w:tr w:rsidR="00D21C1F" w14:paraId="06912363" w14:textId="77777777" w:rsidTr="00DD0B1B">
                <w:tc>
                  <w:tcPr>
                    <w:tcW w:w="744" w:type="pct"/>
                    <w:tcBorders>
                      <w:top w:val="single" w:sz="4" w:space="0" w:color="auto"/>
                      <w:left w:val="single" w:sz="4" w:space="0" w:color="auto"/>
                      <w:bottom w:val="single" w:sz="4" w:space="0" w:color="auto"/>
                      <w:right w:val="single" w:sz="4" w:space="0" w:color="auto"/>
                    </w:tcBorders>
                    <w:shd w:val="clear" w:color="auto" w:fill="auto"/>
                  </w:tcPr>
                  <w:p w14:paraId="18810BFA" w14:textId="77777777" w:rsidR="00D21C1F" w:rsidRDefault="00A42880">
                    <w:pPr>
                      <w:jc w:val="both"/>
                      <w:rPr>
                        <w:rFonts w:ascii="Times New Roman" w:hAnsi="Times New Roman" w:cs="Times New Roman"/>
                        <w:szCs w:val="21"/>
                      </w:rPr>
                    </w:pPr>
                    <w:r>
                      <w:rPr>
                        <w:rFonts w:ascii="Times New Roman" w:hAnsi="Times New Roman" w:cs="Times New Roman"/>
                      </w:rPr>
                      <w:t>芜湖奥一精机有限公司</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9B5397B"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3,228,995.56</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86AFE59"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BAC6DE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110215E3"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585,358.19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80E5173"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8577427"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4E0FF208"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4C4EC1B"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21A2A16D"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77178F5D"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3,814,353.75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DE3C889"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r>
            </w:sdtContent>
          </w:sdt>
          <w:sdt>
            <w:sdtPr>
              <w:rPr>
                <w:rFonts w:hint="eastAsia"/>
                <w:szCs w:val="21"/>
              </w:rPr>
              <w:alias w:val="联营企业投资信息明细"/>
              <w:tag w:val="_GBC_4b68840ef16441539a17ee71688111ed"/>
              <w:id w:val="1527136848"/>
              <w:lock w:val="sdtLocked"/>
            </w:sdtPr>
            <w:sdtEndPr>
              <w:rPr>
                <w:rFonts w:ascii="Times New Roman" w:hAnsi="Times New Roman" w:cs="Times New Roman" w:hint="default"/>
              </w:rPr>
            </w:sdtEndPr>
            <w:sdtContent>
              <w:tr w:rsidR="00D21C1F" w14:paraId="53FF929A" w14:textId="77777777" w:rsidTr="00DD0B1B">
                <w:tc>
                  <w:tcPr>
                    <w:tcW w:w="744" w:type="pct"/>
                    <w:tcBorders>
                      <w:top w:val="single" w:sz="4" w:space="0" w:color="auto"/>
                      <w:left w:val="single" w:sz="4" w:space="0" w:color="auto"/>
                      <w:bottom w:val="single" w:sz="4" w:space="0" w:color="auto"/>
                      <w:right w:val="single" w:sz="4" w:space="0" w:color="auto"/>
                    </w:tcBorders>
                    <w:shd w:val="clear" w:color="auto" w:fill="auto"/>
                  </w:tcPr>
                  <w:p w14:paraId="09074ADC" w14:textId="77777777" w:rsidR="00D21C1F" w:rsidRDefault="00A42880">
                    <w:pPr>
                      <w:jc w:val="both"/>
                      <w:rPr>
                        <w:szCs w:val="21"/>
                      </w:rPr>
                    </w:pPr>
                    <w:r>
                      <w:t>安徽瑞埃工业机器人研究院有限公司</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7CF8EB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70A41165"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13C51FD"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62225251" w14:textId="77777777" w:rsidR="00D21C1F" w:rsidRPr="00DD0B1B" w:rsidRDefault="00D21C1F" w:rsidP="00DD0B1B">
                    <w:pPr>
                      <w:jc w:val="right"/>
                      <w:rPr>
                        <w:rFonts w:ascii="Times New Roman" w:hAnsi="Times New Roman" w:cs="Times New Roman"/>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9BCCD7C"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B23E2A4"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6ABA8A30"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15440C3"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68452CD7"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40D61031" w14:textId="77777777" w:rsidR="00D21C1F" w:rsidRPr="00DD0B1B" w:rsidRDefault="00D21C1F" w:rsidP="00DD0B1B">
                    <w:pPr>
                      <w:jc w:val="right"/>
                      <w:rPr>
                        <w:rFonts w:ascii="Times New Roman" w:hAnsi="Times New Roman" w:cs="Times New Roman"/>
                        <w:szCs w:val="21"/>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F380AB4" w14:textId="77777777" w:rsidR="00D21C1F" w:rsidRPr="00DD0B1B" w:rsidRDefault="00D21C1F" w:rsidP="00DD0B1B">
                    <w:pPr>
                      <w:jc w:val="right"/>
                      <w:rPr>
                        <w:rFonts w:ascii="Times New Roman" w:hAnsi="Times New Roman" w:cs="Times New Roman"/>
                        <w:szCs w:val="21"/>
                      </w:rPr>
                    </w:pPr>
                  </w:p>
                </w:tc>
              </w:tr>
            </w:sdtContent>
          </w:sdt>
          <w:sdt>
            <w:sdtPr>
              <w:rPr>
                <w:rFonts w:hint="eastAsia"/>
                <w:szCs w:val="21"/>
              </w:rPr>
              <w:alias w:val="联营企业投资信息明细"/>
              <w:tag w:val="_GBC_4b68840ef16441539a17ee71688111ed"/>
              <w:id w:val="1377045673"/>
              <w:lock w:val="sdtLocked"/>
            </w:sdtPr>
            <w:sdtEndPr>
              <w:rPr>
                <w:rFonts w:ascii="Times New Roman" w:hAnsi="Times New Roman" w:cs="Times New Roman" w:hint="default"/>
              </w:rPr>
            </w:sdtEndPr>
            <w:sdtContent>
              <w:tr w:rsidR="00D21C1F" w14:paraId="5DC539CF" w14:textId="77777777" w:rsidTr="00DD0B1B">
                <w:tc>
                  <w:tcPr>
                    <w:tcW w:w="744" w:type="pct"/>
                    <w:tcBorders>
                      <w:top w:val="single" w:sz="4" w:space="0" w:color="auto"/>
                      <w:left w:val="single" w:sz="4" w:space="0" w:color="auto"/>
                      <w:bottom w:val="single" w:sz="4" w:space="0" w:color="auto"/>
                      <w:right w:val="single" w:sz="4" w:space="0" w:color="auto"/>
                    </w:tcBorders>
                    <w:shd w:val="clear" w:color="auto" w:fill="auto"/>
                  </w:tcPr>
                  <w:p w14:paraId="0EA7F77D" w14:textId="77777777" w:rsidR="00D21C1F" w:rsidRDefault="00A42880">
                    <w:pPr>
                      <w:jc w:val="both"/>
                      <w:rPr>
                        <w:szCs w:val="21"/>
                      </w:rPr>
                    </w:pPr>
                    <w:r>
                      <w:t>安徽工布智造工业科技有限公司</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CCE2C35"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C82D720"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7283D9B6"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7441B52" w14:textId="77777777" w:rsidR="00D21C1F" w:rsidRPr="00DD0B1B" w:rsidRDefault="00D21C1F" w:rsidP="00DD0B1B">
                    <w:pPr>
                      <w:jc w:val="right"/>
                      <w:rPr>
                        <w:rFonts w:ascii="Times New Roman" w:hAnsi="Times New Roman" w:cs="Times New Roman"/>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AD8EA8A"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EAA6A21"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126,254.56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3AB63E18"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C78EAD8"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45D64F4A"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49AC963C"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126,254.56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7D0C5927"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r>
            </w:sdtContent>
          </w:sdt>
          <w:tr w:rsidR="00D21C1F" w14:paraId="260BE537" w14:textId="77777777" w:rsidTr="00DD0B1B">
            <w:sdt>
              <w:sdtPr>
                <w:tag w:val="_PLD_f36fba62bb9a4b2687619bd8e6a90779"/>
                <w:id w:val="-140970582"/>
                <w:lock w:val="sdtLocked"/>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tcPr>
                  <w:p w14:paraId="724791CA" w14:textId="77777777" w:rsidR="00D21C1F" w:rsidRDefault="00A42880">
                    <w:pPr>
                      <w:jc w:val="both"/>
                      <w:rPr>
                        <w:szCs w:val="21"/>
                      </w:rPr>
                    </w:pPr>
                    <w:r>
                      <w:rPr>
                        <w:rFonts w:hint="eastAsia"/>
                        <w:szCs w:val="21"/>
                      </w:rPr>
                      <w:t>小计</w:t>
                    </w:r>
                  </w:p>
                </w:tc>
              </w:sdtContent>
            </w:sd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3EB0D92F"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43,587,970.79</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188C202"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68789B7"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68BAF3CA"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1,964,555.20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67278311"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1DC1896"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126,254.56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23A82489"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48E60EF"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65295709"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7DFCE688"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45,678,780.55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A24EFA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r>
          <w:tr w:rsidR="00D21C1F" w14:paraId="13D4BE82" w14:textId="77777777" w:rsidTr="00DD0B1B">
            <w:sdt>
              <w:sdtPr>
                <w:tag w:val="_PLD_928d9068468e4b46a39499f6e5372e2a"/>
                <w:id w:val="-86083690"/>
                <w:lock w:val="sdtLocked"/>
              </w:sdtPr>
              <w:sdtEndPr/>
              <w:sdtContent>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31654440" w14:textId="77777777" w:rsidR="00D21C1F" w:rsidRDefault="00A42880">
                    <w:pPr>
                      <w:jc w:val="center"/>
                      <w:rPr>
                        <w:szCs w:val="21"/>
                      </w:rPr>
                    </w:pPr>
                    <w:r>
                      <w:rPr>
                        <w:rFonts w:hint="eastAsia"/>
                        <w:szCs w:val="21"/>
                      </w:rPr>
                      <w:t>合计</w:t>
                    </w:r>
                  </w:p>
                </w:tc>
              </w:sdtContent>
            </w:sdt>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4F819DA"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43,587,970.79</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0D04886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01F29B56"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533DEEA2"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1,964,555.20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9F8A622"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30A1256"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126,254.56</w:t>
                </w: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14:paraId="546E389E"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37EFB43"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97A0877"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39A38FE1"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rPr>
                  <w:t>45,678,780.55</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52D36BA0" w14:textId="77777777" w:rsidR="00D21C1F" w:rsidRPr="00DD0B1B" w:rsidRDefault="00A42880" w:rsidP="00DD0B1B">
                <w:pPr>
                  <w:jc w:val="right"/>
                  <w:rPr>
                    <w:rFonts w:ascii="Times New Roman" w:hAnsi="Times New Roman" w:cs="Times New Roman"/>
                    <w:szCs w:val="21"/>
                  </w:rPr>
                </w:pPr>
                <w:r w:rsidRPr="00DD0B1B">
                  <w:rPr>
                    <w:rFonts w:ascii="Times New Roman" w:hAnsi="Times New Roman" w:cs="Times New Roman"/>
                    <w:szCs w:val="21"/>
                  </w:rPr>
                  <w:t>-</w:t>
                </w:r>
              </w:p>
            </w:tc>
          </w:tr>
        </w:tbl>
        <w:p w14:paraId="639D2B7C" w14:textId="77777777" w:rsidR="00D21C1F" w:rsidRDefault="00045EC6">
          <w:pPr>
            <w:rPr>
              <w:szCs w:val="21"/>
            </w:rPr>
          </w:pPr>
        </w:p>
      </w:sdtContent>
    </w:sdt>
    <w:sdt>
      <w:sdtPr>
        <w:rPr>
          <w:rFonts w:hint="eastAsia"/>
          <w:szCs w:val="21"/>
        </w:rPr>
        <w:alias w:val="模块:长期股权投资的说明"/>
        <w:tag w:val="_GBC_1577b793bbce4a50b07decde0e07491e"/>
        <w:id w:val="-99643831"/>
        <w:lock w:val="sdtLocked"/>
        <w:placeholder>
          <w:docPart w:val="GBC22222222222222222222222222222"/>
        </w:placeholder>
      </w:sdtPr>
      <w:sdtEndPr/>
      <w:sdtContent>
        <w:p w14:paraId="1F9A1EF9" w14:textId="77777777" w:rsidR="00D21C1F" w:rsidRDefault="00A42880">
          <w:pPr>
            <w:rPr>
              <w:szCs w:val="21"/>
            </w:rPr>
          </w:pPr>
          <w:r>
            <w:rPr>
              <w:rFonts w:hint="eastAsia"/>
              <w:szCs w:val="21"/>
            </w:rPr>
            <w:t>其他说明：</w:t>
          </w:r>
        </w:p>
        <w:sdt>
          <w:sdtPr>
            <w:rPr>
              <w:szCs w:val="21"/>
            </w:rPr>
            <w:alias w:val="是否适用：母公司长期股权投资其他说明[双击切换]"/>
            <w:tag w:val="_GBC_8b70582854684459adc77f46cbf4aac7"/>
            <w:id w:val="-866527839"/>
            <w:lock w:val="sdtLocked"/>
            <w:placeholder>
              <w:docPart w:val="GBC22222222222222222222222222222"/>
            </w:placeholder>
          </w:sdtPr>
          <w:sdtEndPr/>
          <w:sdtContent>
            <w:p w14:paraId="76A2F1A6"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41D5A2C" w14:textId="77777777" w:rsidR="00D21C1F" w:rsidRDefault="00D21C1F">
      <w:pPr>
        <w:rPr>
          <w:szCs w:val="21"/>
        </w:rPr>
        <w:sectPr w:rsidR="00D21C1F">
          <w:pgSz w:w="16838" w:h="11906" w:orient="landscape"/>
          <w:pgMar w:top="1797" w:right="1525" w:bottom="1276" w:left="1440" w:header="856" w:footer="992" w:gutter="0"/>
          <w:cols w:space="425"/>
          <w:docGrid w:linePitch="312"/>
        </w:sectPr>
      </w:pPr>
    </w:p>
    <w:p w14:paraId="55194757" w14:textId="77777777" w:rsidR="00D21C1F" w:rsidRDefault="00D21C1F">
      <w:pPr>
        <w:rPr>
          <w:szCs w:val="21"/>
        </w:rPr>
      </w:pPr>
    </w:p>
    <w:p w14:paraId="45D2AA06" w14:textId="77777777" w:rsidR="00D21C1F" w:rsidRDefault="00A42880">
      <w:pPr>
        <w:pStyle w:val="94"/>
        <w:numPr>
          <w:ilvl w:val="0"/>
          <w:numId w:val="148"/>
        </w:numPr>
        <w:rPr>
          <w:rFonts w:ascii="宋体" w:hAnsi="宋体"/>
        </w:rPr>
      </w:pPr>
      <w:r>
        <w:rPr>
          <w:rFonts w:ascii="宋体" w:hAnsi="宋体" w:hint="eastAsia"/>
        </w:rPr>
        <w:t>营业收入和营业成本</w:t>
      </w:r>
    </w:p>
    <w:bookmarkStart w:id="333" w:name="_Hlk10548568" w:displacedByCustomXml="next"/>
    <w:sdt>
      <w:sdtPr>
        <w:rPr>
          <w:rFonts w:ascii="宋体" w:eastAsia="宋体" w:hAnsi="宋体" w:cs="宋体" w:hint="eastAsia"/>
          <w:b w:val="0"/>
          <w:bCs w:val="0"/>
          <w:kern w:val="0"/>
          <w:szCs w:val="24"/>
        </w:rPr>
        <w:alias w:val="模块:营业收入和营业成本情况"/>
        <w:tag w:val="_SEC_c20353238d924d35bff1a3e0cee4af4b"/>
        <w:id w:val="-2006808549"/>
        <w:lock w:val="sdtLocked"/>
        <w:placeholder>
          <w:docPart w:val="GBC22222222222222222222222222222"/>
        </w:placeholder>
      </w:sdtPr>
      <w:sdtEndPr>
        <w:rPr>
          <w:rFonts w:ascii="Times New Roman" w:hAnsi="Times New Roman" w:cs="Times New Roman" w:hint="default"/>
          <w:szCs w:val="21"/>
        </w:rPr>
      </w:sdtEndPr>
      <w:sdtContent>
        <w:p w14:paraId="3DD184B7" w14:textId="77777777" w:rsidR="00D21C1F" w:rsidRDefault="00A42880">
          <w:pPr>
            <w:pStyle w:val="93"/>
            <w:numPr>
              <w:ilvl w:val="0"/>
              <w:numId w:val="152"/>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642573490"/>
            <w:lock w:val="sdtLocked"/>
            <w:placeholder>
              <w:docPart w:val="GBC22222222222222222222222222222"/>
            </w:placeholder>
          </w:sdtPr>
          <w:sdtEndPr/>
          <w:sdtContent>
            <w:p w14:paraId="29DD46D6"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8F337DD" w14:textId="77777777" w:rsidR="00D21C1F" w:rsidRDefault="00A42880">
          <w:pPr>
            <w:pStyle w:val="67"/>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145272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币种：</w:t>
          </w:r>
          <w:sdt>
            <w:sdtPr>
              <w:rPr>
                <w:rFonts w:ascii="宋体" w:hAnsi="宋体" w:hint="eastAsia"/>
                <w:bCs/>
                <w:szCs w:val="21"/>
              </w:rPr>
              <w:alias w:val="币种：母公司财务附注：营业收入"/>
              <w:tag w:val="_GBC_1b6056b90b2c445a9b1bcdc97aa104ec"/>
              <w:id w:val="24986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ascii="宋体" w:hAnsi="宋体" w:hint="eastAsia"/>
                  <w:bCs/>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539"/>
            <w:gridCol w:w="1540"/>
            <w:gridCol w:w="1529"/>
            <w:gridCol w:w="1529"/>
          </w:tblGrid>
          <w:tr w:rsidR="00D21C1F" w14:paraId="4670D04B" w14:textId="77777777">
            <w:sdt>
              <w:sdtPr>
                <w:tag w:val="_PLD_3dc9ae0da47e49d097992a176784945a"/>
                <w:id w:val="-955095602"/>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15B2F500" w14:textId="77777777" w:rsidR="00D21C1F" w:rsidRDefault="00A42880">
                    <w:pPr>
                      <w:jc w:val="center"/>
                      <w:rPr>
                        <w:szCs w:val="21"/>
                      </w:rPr>
                    </w:pPr>
                    <w:r>
                      <w:rPr>
                        <w:rFonts w:hint="eastAsia"/>
                        <w:szCs w:val="21"/>
                      </w:rPr>
                      <w:t>项目</w:t>
                    </w:r>
                  </w:p>
                </w:tc>
              </w:sdtContent>
            </w:sdt>
            <w:sdt>
              <w:sdtPr>
                <w:tag w:val="_PLD_b47efcaea8ca428781485b2625b4c252"/>
                <w:id w:val="-294917239"/>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DC111" w14:textId="77777777" w:rsidR="00D21C1F" w:rsidRDefault="00A42880">
                    <w:pPr>
                      <w:jc w:val="center"/>
                      <w:rPr>
                        <w:szCs w:val="21"/>
                      </w:rPr>
                    </w:pPr>
                    <w:r>
                      <w:rPr>
                        <w:rFonts w:hint="eastAsia"/>
                        <w:szCs w:val="21"/>
                      </w:rPr>
                      <w:t>本期发生额</w:t>
                    </w:r>
                  </w:p>
                </w:tc>
              </w:sdtContent>
            </w:sdt>
            <w:sdt>
              <w:sdtPr>
                <w:tag w:val="_PLD_44320683f4394adcaf1711775bb320ef"/>
                <w:id w:val="1630750110"/>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946844" w14:textId="77777777" w:rsidR="00D21C1F" w:rsidRDefault="00A42880">
                    <w:pPr>
                      <w:jc w:val="center"/>
                      <w:rPr>
                        <w:szCs w:val="21"/>
                      </w:rPr>
                    </w:pPr>
                    <w:r>
                      <w:rPr>
                        <w:rFonts w:hint="eastAsia"/>
                        <w:szCs w:val="21"/>
                      </w:rPr>
                      <w:t>上期发生额</w:t>
                    </w:r>
                  </w:p>
                </w:tc>
              </w:sdtContent>
            </w:sdt>
          </w:tr>
          <w:tr w:rsidR="00D21C1F" w14:paraId="74FD5363" w14:textId="77777777">
            <w:tc>
              <w:tcPr>
                <w:tcW w:w="1570" w:type="pct"/>
                <w:vMerge/>
                <w:tcBorders>
                  <w:left w:val="single" w:sz="4" w:space="0" w:color="auto"/>
                  <w:bottom w:val="single" w:sz="4" w:space="0" w:color="auto"/>
                  <w:right w:val="single" w:sz="4" w:space="0" w:color="auto"/>
                </w:tcBorders>
                <w:shd w:val="clear" w:color="auto" w:fill="auto"/>
                <w:vAlign w:val="center"/>
              </w:tcPr>
              <w:p w14:paraId="70F3B40C" w14:textId="77777777" w:rsidR="00D21C1F" w:rsidRDefault="00D21C1F">
                <w:pPr>
                  <w:jc w:val="center"/>
                  <w:rPr>
                    <w:szCs w:val="21"/>
                  </w:rPr>
                </w:pPr>
              </w:p>
            </w:tc>
            <w:sdt>
              <w:sdtPr>
                <w:tag w:val="_PLD_efb75dfbe3924c3a9f286eefd26b357f"/>
                <w:id w:val="48097198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04F124A" w14:textId="77777777" w:rsidR="00D21C1F" w:rsidRDefault="00A42880">
                    <w:pPr>
                      <w:jc w:val="center"/>
                      <w:rPr>
                        <w:szCs w:val="21"/>
                      </w:rPr>
                    </w:pPr>
                    <w:r>
                      <w:rPr>
                        <w:rFonts w:hint="eastAsia"/>
                        <w:szCs w:val="21"/>
                      </w:rPr>
                      <w:t>收入</w:t>
                    </w:r>
                  </w:p>
                </w:tc>
              </w:sdtContent>
            </w:sdt>
            <w:sdt>
              <w:sdtPr>
                <w:tag w:val="_PLD_9ecc7b9050c24dcebd801ee01e950a91"/>
                <w:id w:val="98735660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47D8A50" w14:textId="77777777" w:rsidR="00D21C1F" w:rsidRDefault="00A42880">
                    <w:pPr>
                      <w:jc w:val="center"/>
                      <w:rPr>
                        <w:szCs w:val="21"/>
                      </w:rPr>
                    </w:pPr>
                    <w:r>
                      <w:rPr>
                        <w:rFonts w:hint="eastAsia"/>
                        <w:szCs w:val="21"/>
                      </w:rPr>
                      <w:t>成本</w:t>
                    </w:r>
                  </w:p>
                </w:tc>
              </w:sdtContent>
            </w:sdt>
            <w:sdt>
              <w:sdtPr>
                <w:tag w:val="_PLD_b2940b2f59f24f969eea718c85f99dda"/>
                <w:id w:val="-1369833649"/>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F2FC1FA" w14:textId="77777777" w:rsidR="00D21C1F" w:rsidRDefault="00A42880">
                    <w:pPr>
                      <w:jc w:val="center"/>
                      <w:rPr>
                        <w:szCs w:val="21"/>
                      </w:rPr>
                    </w:pPr>
                    <w:r>
                      <w:rPr>
                        <w:rFonts w:hint="eastAsia"/>
                        <w:szCs w:val="21"/>
                      </w:rPr>
                      <w:t>收入</w:t>
                    </w:r>
                  </w:p>
                </w:tc>
              </w:sdtContent>
            </w:sdt>
            <w:sdt>
              <w:sdtPr>
                <w:tag w:val="_PLD_971c170c70c24975ba7524e53623bf00"/>
                <w:id w:val="-1111584758"/>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6318663" w14:textId="77777777" w:rsidR="00D21C1F" w:rsidRDefault="00A42880">
                    <w:pPr>
                      <w:jc w:val="center"/>
                      <w:rPr>
                        <w:szCs w:val="21"/>
                      </w:rPr>
                    </w:pPr>
                    <w:r>
                      <w:rPr>
                        <w:rFonts w:hint="eastAsia"/>
                        <w:szCs w:val="21"/>
                      </w:rPr>
                      <w:t>成本</w:t>
                    </w:r>
                  </w:p>
                </w:tc>
              </w:sdtContent>
            </w:sdt>
          </w:tr>
          <w:tr w:rsidR="00D21C1F" w14:paraId="0B2B1344" w14:textId="77777777">
            <w:sdt>
              <w:sdtPr>
                <w:tag w:val="_PLD_f2b4fe0479f44a60a5badd071c9f1f86"/>
                <w:id w:val="732514806"/>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3574EB7C" w14:textId="77777777" w:rsidR="00D21C1F" w:rsidRDefault="00A42880">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17ACAE3"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285,064,225.82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EC6544F"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237,085,744.62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99D3F7A"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148,733,579.61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09910ED"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117,693,703.55</w:t>
                </w:r>
              </w:p>
            </w:tc>
          </w:tr>
          <w:tr w:rsidR="00D21C1F" w14:paraId="46A4E0C6" w14:textId="77777777">
            <w:sdt>
              <w:sdtPr>
                <w:tag w:val="_PLD_afc897eb0cea4fd1aa59bd1823fab728"/>
                <w:id w:val="-139488575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0E8ECFE7" w14:textId="77777777" w:rsidR="00D21C1F" w:rsidRDefault="00A42880">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7CA98BD"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7,102,689.54</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2525540"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4,066,054.78</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B9D5E7E"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3,323,377.75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F3EC8AA"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1,282,415.69</w:t>
                </w:r>
              </w:p>
            </w:tc>
          </w:tr>
          <w:tr w:rsidR="00D21C1F" w14:paraId="21D432E5" w14:textId="77777777">
            <w:sdt>
              <w:sdtPr>
                <w:tag w:val="_PLD_209c319d43f848d2a0456ecaa5150b62"/>
                <w:id w:val="-1560541983"/>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E4FDC8E" w14:textId="77777777" w:rsidR="00D21C1F" w:rsidRDefault="00A42880">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8CCF826"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292,166,915.36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A588500"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241,151,799.40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0F31783"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152,056,957.36</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8D9AD26"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118,976,119.24</w:t>
                </w:r>
              </w:p>
            </w:tc>
          </w:tr>
          <w:bookmarkEnd w:id="333"/>
        </w:tbl>
      </w:sdtContent>
    </w:sdt>
    <w:p w14:paraId="64B140FC" w14:textId="77777777" w:rsidR="00D21C1F" w:rsidRDefault="00D21C1F">
      <w:pPr>
        <w:spacing w:before="60" w:after="60"/>
        <w:rPr>
          <w:szCs w:val="21"/>
        </w:rPr>
      </w:pPr>
    </w:p>
    <w:bookmarkStart w:id="334" w:name="_Hlk10548607" w:displacedByCustomXml="next"/>
    <w:sdt>
      <w:sdtPr>
        <w:rPr>
          <w:rFonts w:ascii="宋体" w:hAnsi="宋体" w:cs="宋体" w:hint="eastAsia"/>
          <w:b w:val="0"/>
          <w:bCs w:val="0"/>
          <w:kern w:val="0"/>
          <w:szCs w:val="21"/>
        </w:rPr>
        <w:alias w:val="模块:合同产生的收入情况："/>
        <w:tag w:val="_SEC_2713156f501a4b5a86eb4ab43bcaf25e"/>
        <w:id w:val="2033687155"/>
        <w:lock w:val="sdtLocked"/>
        <w:placeholder>
          <w:docPart w:val="GBC22222222222222222222222222222"/>
        </w:placeholder>
      </w:sdtPr>
      <w:sdtEndPr/>
      <w:sdtContent>
        <w:p w14:paraId="7F16F82B" w14:textId="77777777" w:rsidR="00D21C1F" w:rsidRDefault="00A42880">
          <w:pPr>
            <w:pStyle w:val="93"/>
            <w:numPr>
              <w:ilvl w:val="0"/>
              <w:numId w:val="152"/>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670570083"/>
            <w:lock w:val="sdtLocked"/>
            <w:placeholder>
              <w:docPart w:val="GBC22222222222222222222222222222"/>
            </w:placeholder>
          </w:sdtPr>
          <w:sdtEndPr/>
          <w:sdtContent>
            <w:p w14:paraId="2F3B9271" w14:textId="77777777" w:rsidR="00D21C1F" w:rsidRDefault="00A42880">
              <w:pPr>
                <w:pStyle w:val="67"/>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1B6DC69B" w14:textId="77777777" w:rsidR="00D21C1F" w:rsidRDefault="00A42880">
          <w:pPr>
            <w:jc w:val="right"/>
            <w:rPr>
              <w:szCs w:val="21"/>
            </w:rPr>
          </w:pPr>
          <w:r>
            <w:rPr>
              <w:rFonts w:hint="eastAsia"/>
              <w:szCs w:val="21"/>
            </w:rPr>
            <w:t>单位：</w:t>
          </w:r>
          <w:sdt>
            <w:sdtPr>
              <w:rPr>
                <w:rFonts w:hint="eastAsia"/>
                <w:szCs w:val="21"/>
              </w:rPr>
              <w:alias w:val="单位：母公司合同产生的收入"/>
              <w:tag w:val="_GBC_4adc58883ef44e8ebea1762f0434d596"/>
              <w:id w:val="-151468775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母公司合同产生的收入"/>
              <w:tag w:val="_GBC_046c678d71314293a7965e974e75c9e4"/>
              <w:id w:val="2323615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2477"/>
            <w:gridCol w:w="2710"/>
          </w:tblGrid>
          <w:tr w:rsidR="00D21C1F" w14:paraId="244D3E53" w14:textId="77777777">
            <w:sdt>
              <w:sdtPr>
                <w:rPr>
                  <w:rFonts w:hint="eastAsia"/>
                  <w:szCs w:val="21"/>
                </w:rPr>
                <w:tag w:val="_PLD_a5020ef155ec4602ad2241de5811b002"/>
                <w:id w:val="-833221001"/>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5D68DBB5" w14:textId="77777777" w:rsidR="00D21C1F" w:rsidRDefault="00A42880">
                    <w:pPr>
                      <w:jc w:val="center"/>
                      <w:rPr>
                        <w:szCs w:val="21"/>
                      </w:rPr>
                    </w:pPr>
                    <w:r>
                      <w:rPr>
                        <w:rFonts w:hint="eastAsia"/>
                        <w:szCs w:val="21"/>
                      </w:rPr>
                      <w:t>合同分类</w:t>
                    </w:r>
                  </w:p>
                </w:tc>
              </w:sdtContent>
            </w:sdt>
            <w:sdt>
              <w:sdtPr>
                <w:rPr>
                  <w:rFonts w:hint="eastAsia"/>
                  <w:szCs w:val="21"/>
                </w:rPr>
                <w:alias w:val="合同产生的收入分部名称"/>
                <w:tag w:val="_GBC_566b9fd630f94068954d989f3f3aa2a1"/>
                <w:id w:val="1009490586"/>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vAlign w:val="center"/>
                  </w:tcPr>
                  <w:p w14:paraId="1AC19FD3" w14:textId="77777777" w:rsidR="00D21C1F" w:rsidRDefault="00A42880">
                    <w:pPr>
                      <w:jc w:val="center"/>
                      <w:rPr>
                        <w:szCs w:val="21"/>
                      </w:rPr>
                    </w:pPr>
                    <w:r>
                      <w:rPr>
                        <w:rFonts w:hint="eastAsia"/>
                        <w:szCs w:val="21"/>
                      </w:rPr>
                      <w:t>高端装备制造</w:t>
                    </w:r>
                  </w:p>
                </w:tc>
              </w:sdtContent>
            </w:sdt>
            <w:sdt>
              <w:sdtPr>
                <w:rPr>
                  <w:rFonts w:hint="eastAsia"/>
                  <w:szCs w:val="21"/>
                </w:rPr>
                <w:tag w:val="_PLD_41ad04c6bfff489086b0fa845d0103e5"/>
                <w:id w:val="1740209652"/>
                <w:lock w:val="sdtLocked"/>
              </w:sdtPr>
              <w:sdtEndPr/>
              <w:sdtContent>
                <w:tc>
                  <w:tcPr>
                    <w:tcW w:w="1536" w:type="pct"/>
                    <w:tcBorders>
                      <w:top w:val="single" w:sz="4" w:space="0" w:color="auto"/>
                      <w:left w:val="single" w:sz="4" w:space="0" w:color="auto"/>
                      <w:bottom w:val="single" w:sz="4" w:space="0" w:color="auto"/>
                      <w:right w:val="single" w:sz="4" w:space="0" w:color="auto"/>
                    </w:tcBorders>
                    <w:vAlign w:val="center"/>
                  </w:tcPr>
                  <w:p w14:paraId="111D18CE" w14:textId="77777777" w:rsidR="00D21C1F" w:rsidRDefault="00A42880">
                    <w:pPr>
                      <w:jc w:val="center"/>
                      <w:rPr>
                        <w:color w:val="808080"/>
                        <w:szCs w:val="21"/>
                      </w:rPr>
                    </w:pPr>
                    <w:r>
                      <w:rPr>
                        <w:rFonts w:hint="eastAsia"/>
                        <w:szCs w:val="21"/>
                      </w:rPr>
                      <w:t>合计</w:t>
                    </w:r>
                  </w:p>
                </w:tc>
              </w:sdtContent>
            </w:sdt>
          </w:tr>
          <w:tr w:rsidR="00D21C1F" w14:paraId="29CD8EF9" w14:textId="77777777">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18eb49e1d474c289ed3e92a54bf05b0"/>
                  <w:id w:val="1456369696"/>
                  <w:lock w:val="sdtLocked"/>
                </w:sdtPr>
                <w:sdtEndPr/>
                <w:sdtContent>
                  <w:p w14:paraId="425CC56D" w14:textId="77777777" w:rsidR="00D21C1F" w:rsidRDefault="00A42880">
                    <w:pPr>
                      <w:rPr>
                        <w:szCs w:val="21"/>
                      </w:rPr>
                    </w:pPr>
                    <w:r>
                      <w:rPr>
                        <w:rFonts w:hint="eastAsia"/>
                        <w:szCs w:val="21"/>
                      </w:rPr>
                      <w:t>商品类型</w:t>
                    </w:r>
                  </w:p>
                </w:sdtContent>
              </w:sdt>
            </w:tc>
            <w:sdt>
              <w:sdtPr>
                <w:rPr>
                  <w:szCs w:val="21"/>
                </w:rPr>
                <w:alias w:val="分部商品类型合同产生的收入"/>
                <w:tag w:val="_GBC_457299f1db664ebaa1f15654a7ad8c45"/>
                <w:id w:val="-534964977"/>
                <w:lock w:val="sdtLocked"/>
                <w:showingPlcHdr/>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7C0EC72D" w14:textId="77777777" w:rsidR="00D21C1F" w:rsidRDefault="00A42880">
                    <w:pPr>
                      <w:jc w:val="right"/>
                      <w:rPr>
                        <w:szCs w:val="21"/>
                      </w:rPr>
                    </w:pPr>
                    <w:r>
                      <w:rPr>
                        <w:szCs w:val="21"/>
                      </w:rPr>
                      <w:t xml:space="preserve">     </w:t>
                    </w:r>
                  </w:p>
                </w:tc>
              </w:sdtContent>
            </w:sdt>
            <w:sdt>
              <w:sdtPr>
                <w:rPr>
                  <w:szCs w:val="21"/>
                </w:rPr>
                <w:alias w:val="商品类型合同产生的收入"/>
                <w:tag w:val="_GBC_982888e9c6e3414481401fd1c18edfc8"/>
                <w:id w:val="1055816319"/>
                <w:lock w:val="sdtLocked"/>
                <w:showingPlcHdr/>
              </w:sdtPr>
              <w:sdtEndPr/>
              <w:sdtContent>
                <w:tc>
                  <w:tcPr>
                    <w:tcW w:w="1536" w:type="pct"/>
                    <w:tcBorders>
                      <w:top w:val="single" w:sz="4" w:space="0" w:color="auto"/>
                      <w:left w:val="single" w:sz="4" w:space="0" w:color="auto"/>
                      <w:bottom w:val="single" w:sz="4" w:space="0" w:color="auto"/>
                      <w:right w:val="single" w:sz="4" w:space="0" w:color="auto"/>
                    </w:tcBorders>
                  </w:tcPr>
                  <w:p w14:paraId="5DFC0EB8" w14:textId="77777777" w:rsidR="00D21C1F" w:rsidRDefault="00A42880">
                    <w:pPr>
                      <w:jc w:val="right"/>
                      <w:rPr>
                        <w:szCs w:val="21"/>
                      </w:rPr>
                    </w:pPr>
                    <w:r>
                      <w:rPr>
                        <w:szCs w:val="21"/>
                      </w:rPr>
                      <w:t xml:space="preserve">     </w:t>
                    </w:r>
                  </w:p>
                </w:tc>
              </w:sdtContent>
            </w:sdt>
          </w:tr>
          <w:tr w:rsidR="00D21C1F" w14:paraId="451A6116" w14:textId="77777777">
            <w:sdt>
              <w:sdtPr>
                <w:rPr>
                  <w:rFonts w:hint="eastAsia"/>
                  <w:szCs w:val="21"/>
                </w:rPr>
                <w:alias w:val="分部商品类型明细名称"/>
                <w:tag w:val="_GBC_7d77a723cfc44d24984418966764a288"/>
                <w:id w:val="-1414769501"/>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4DF2B009" w14:textId="77777777" w:rsidR="00D21C1F" w:rsidRDefault="00A42880">
                    <w:pPr>
                      <w:ind w:firstLineChars="200" w:firstLine="420"/>
                      <w:rPr>
                        <w:szCs w:val="21"/>
                      </w:rPr>
                    </w:pPr>
                    <w:r>
                      <w:rPr>
                        <w:rFonts w:hint="eastAsia"/>
                        <w:szCs w:val="21"/>
                      </w:rPr>
                      <w:t>机器人整机产品</w:t>
                    </w:r>
                  </w:p>
                </w:tc>
              </w:sdtContent>
            </w:sdt>
            <w:sdt>
              <w:sdtPr>
                <w:rPr>
                  <w:rFonts w:ascii="Times New Roman" w:hAnsi="Times New Roman" w:cs="Times New Roman"/>
                  <w:szCs w:val="21"/>
                </w:rPr>
                <w:alias w:val="分部商品类型明细合同产生的收入"/>
                <w:tag w:val="_GBC_77dcdfb6aac7469a84674b6b2d7ed31a"/>
                <w:id w:val="977424633"/>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72583158"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186,990,243.71</w:t>
                    </w:r>
                  </w:p>
                </w:tc>
              </w:sdtContent>
            </w:sdt>
            <w:sdt>
              <w:sdtPr>
                <w:rPr>
                  <w:rFonts w:ascii="Times New Roman" w:hAnsi="Times New Roman" w:cs="Times New Roman"/>
                  <w:szCs w:val="21"/>
                </w:rPr>
                <w:alias w:val="商品类型明细合同产生的收入"/>
                <w:tag w:val="_GBC_f169ddc15e6740c1a86c1edd56735ef7"/>
                <w:id w:val="-987471841"/>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3C69E246"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186,990,243.71</w:t>
                    </w:r>
                  </w:p>
                </w:tc>
              </w:sdtContent>
            </w:sdt>
          </w:tr>
          <w:tr w:rsidR="00D21C1F" w14:paraId="59E7D353" w14:textId="77777777">
            <w:sdt>
              <w:sdtPr>
                <w:rPr>
                  <w:rFonts w:hint="eastAsia"/>
                  <w:szCs w:val="21"/>
                </w:rPr>
                <w:alias w:val="分部商品类型明细名称"/>
                <w:tag w:val="_GBC_7d77a723cfc44d24984418966764a288"/>
                <w:id w:val="-575753277"/>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200B51AD" w14:textId="77777777" w:rsidR="00D21C1F" w:rsidRDefault="00A42880">
                    <w:pPr>
                      <w:ind w:firstLineChars="200" w:firstLine="420"/>
                      <w:rPr>
                        <w:szCs w:val="21"/>
                      </w:rPr>
                    </w:pPr>
                    <w:r>
                      <w:rPr>
                        <w:rFonts w:hint="eastAsia"/>
                        <w:szCs w:val="21"/>
                      </w:rPr>
                      <w:t>系统集成产品</w:t>
                    </w:r>
                  </w:p>
                </w:tc>
              </w:sdtContent>
            </w:sdt>
            <w:sdt>
              <w:sdtPr>
                <w:rPr>
                  <w:rFonts w:ascii="Times New Roman" w:hAnsi="Times New Roman" w:cs="Times New Roman"/>
                  <w:szCs w:val="21"/>
                </w:rPr>
                <w:alias w:val="分部商品类型明细合同产生的收入"/>
                <w:tag w:val="_GBC_77dcdfb6aac7469a84674b6b2d7ed31a"/>
                <w:id w:val="-1767992396"/>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6D4914AA"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98,073,982.11</w:t>
                    </w:r>
                  </w:p>
                </w:tc>
              </w:sdtContent>
            </w:sdt>
            <w:sdt>
              <w:sdtPr>
                <w:rPr>
                  <w:rFonts w:ascii="Times New Roman" w:hAnsi="Times New Roman" w:cs="Times New Roman"/>
                  <w:szCs w:val="21"/>
                </w:rPr>
                <w:alias w:val="商品类型明细合同产生的收入"/>
                <w:tag w:val="_GBC_f169ddc15e6740c1a86c1edd56735ef7"/>
                <w:id w:val="-1116206621"/>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27AAAE27"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98,073,982.11</w:t>
                    </w:r>
                  </w:p>
                </w:tc>
              </w:sdtContent>
            </w:sdt>
          </w:tr>
          <w:tr w:rsidR="00D21C1F" w14:paraId="60D9547C" w14:textId="77777777">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5e3441d2c5df46c994f8ec8cb9a7bed7"/>
                  <w:id w:val="-1754963951"/>
                  <w:lock w:val="sdtLocked"/>
                </w:sdtPr>
                <w:sdtEndPr/>
                <w:sdtContent>
                  <w:p w14:paraId="2DA30A18" w14:textId="77777777" w:rsidR="00D21C1F" w:rsidRDefault="00A42880">
                    <w:pPr>
                      <w:rPr>
                        <w:szCs w:val="21"/>
                      </w:rPr>
                    </w:pPr>
                    <w:r>
                      <w:rPr>
                        <w:rFonts w:hint="eastAsia"/>
                        <w:szCs w:val="21"/>
                      </w:rPr>
                      <w:t>按商品转让的时间分类</w:t>
                    </w:r>
                  </w:p>
                </w:sdtContent>
              </w:sdt>
            </w:tc>
            <w:sdt>
              <w:sdtPr>
                <w:rPr>
                  <w:rFonts w:ascii="Times New Roman" w:hAnsi="Times New Roman" w:cs="Times New Roman"/>
                  <w:szCs w:val="21"/>
                </w:rPr>
                <w:alias w:val="分部按商品转让的时间分类合同产生的收入"/>
                <w:tag w:val="_GBC_cd9d39f68ae547838f0198357eb49d8d"/>
                <w:id w:val="-1146126013"/>
                <w:lock w:val="sdtLocked"/>
                <w:showingPlcHdr/>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62C7069F"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 xml:space="preserve">     </w:t>
                    </w:r>
                  </w:p>
                </w:tc>
              </w:sdtContent>
            </w:sdt>
            <w:sdt>
              <w:sdtPr>
                <w:rPr>
                  <w:rFonts w:ascii="Times New Roman" w:hAnsi="Times New Roman" w:cs="Times New Roman"/>
                  <w:szCs w:val="21"/>
                </w:rPr>
                <w:alias w:val="按商品转让的时间分类合同产生的收入"/>
                <w:tag w:val="_GBC_e72d99d0ef7040f2a9f4ed7e8bc87af5"/>
                <w:id w:val="1328022891"/>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0855DBAE" w14:textId="77777777" w:rsidR="00D21C1F" w:rsidRPr="00AD5FDB" w:rsidRDefault="00D21C1F">
                    <w:pPr>
                      <w:jc w:val="right"/>
                      <w:rPr>
                        <w:rFonts w:ascii="Times New Roman" w:hAnsi="Times New Roman" w:cs="Times New Roman"/>
                        <w:szCs w:val="21"/>
                      </w:rPr>
                    </w:pPr>
                  </w:p>
                </w:tc>
              </w:sdtContent>
            </w:sdt>
          </w:tr>
          <w:tr w:rsidR="00D21C1F" w14:paraId="472F9D7B" w14:textId="77777777">
            <w:sdt>
              <w:sdtPr>
                <w:rPr>
                  <w:rFonts w:hint="eastAsia"/>
                  <w:szCs w:val="21"/>
                </w:rPr>
                <w:alias w:val="分部按商品转让的时间分类明细名称"/>
                <w:tag w:val="_GBC_f64c3e3d002949309c2146e7df25a5cf"/>
                <w:id w:val="360244842"/>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0C8B14AF" w14:textId="77777777" w:rsidR="00D21C1F" w:rsidRDefault="00A42880">
                    <w:pPr>
                      <w:ind w:firstLineChars="200" w:firstLine="420"/>
                      <w:rPr>
                        <w:szCs w:val="21"/>
                      </w:rPr>
                    </w:pPr>
                    <w:r>
                      <w:rPr>
                        <w:rFonts w:hint="eastAsia"/>
                        <w:szCs w:val="21"/>
                      </w:rPr>
                      <w:t>在某一时点确认收入</w:t>
                    </w:r>
                  </w:p>
                </w:tc>
              </w:sdtContent>
            </w:sdt>
            <w:sdt>
              <w:sdtPr>
                <w:rPr>
                  <w:rFonts w:ascii="Times New Roman" w:hAnsi="Times New Roman" w:cs="Times New Roman"/>
                  <w:szCs w:val="21"/>
                </w:rPr>
                <w:alias w:val="分部按商品转让的时间分类明细合同产生的收入"/>
                <w:tag w:val="_GBC_17d69f6dfbc04825b4362fd6e3ec49f0"/>
                <w:id w:val="-622469420"/>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4EA525CF"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186,990,243.71</w:t>
                    </w:r>
                  </w:p>
                </w:tc>
              </w:sdtContent>
            </w:sdt>
            <w:sdt>
              <w:sdtPr>
                <w:rPr>
                  <w:rFonts w:ascii="Times New Roman" w:hAnsi="Times New Roman" w:cs="Times New Roman"/>
                  <w:szCs w:val="21"/>
                </w:rPr>
                <w:alias w:val="按商品转让的时间分类明细合同产生的收入"/>
                <w:tag w:val="_GBC_3a884b3480ad43b8826185d870e1e3f0"/>
                <w:id w:val="-548152168"/>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30A864CB"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186,990,243.71</w:t>
                    </w:r>
                  </w:p>
                </w:tc>
              </w:sdtContent>
            </w:sdt>
          </w:tr>
          <w:tr w:rsidR="00D21C1F" w14:paraId="4B67CB59" w14:textId="77777777">
            <w:sdt>
              <w:sdtPr>
                <w:rPr>
                  <w:rFonts w:hint="eastAsia"/>
                  <w:szCs w:val="21"/>
                </w:rPr>
                <w:alias w:val="分部按商品转让的时间分类明细名称"/>
                <w:tag w:val="_GBC_f64c3e3d002949309c2146e7df25a5cf"/>
                <w:id w:val="546882310"/>
                <w:lock w:val="sdtLocked"/>
              </w:sdtPr>
              <w:sdtEndPr/>
              <w:sdtContent>
                <w:tc>
                  <w:tcPr>
                    <w:tcW w:w="2060" w:type="pct"/>
                    <w:tcBorders>
                      <w:top w:val="single" w:sz="4" w:space="0" w:color="auto"/>
                      <w:left w:val="single" w:sz="4" w:space="0" w:color="auto"/>
                      <w:bottom w:val="single" w:sz="4" w:space="0" w:color="auto"/>
                      <w:right w:val="single" w:sz="4" w:space="0" w:color="auto"/>
                    </w:tcBorders>
                    <w:shd w:val="clear" w:color="auto" w:fill="auto"/>
                  </w:tcPr>
                  <w:p w14:paraId="08B95A71" w14:textId="77777777" w:rsidR="00D21C1F" w:rsidRDefault="00A42880">
                    <w:pPr>
                      <w:ind w:firstLineChars="200" w:firstLine="420"/>
                      <w:rPr>
                        <w:szCs w:val="21"/>
                      </w:rPr>
                    </w:pPr>
                    <w:r>
                      <w:rPr>
                        <w:rFonts w:hint="eastAsia"/>
                        <w:szCs w:val="21"/>
                      </w:rPr>
                      <w:t>在某一时段内确认收入</w:t>
                    </w:r>
                  </w:p>
                </w:tc>
              </w:sdtContent>
            </w:sdt>
            <w:sdt>
              <w:sdtPr>
                <w:rPr>
                  <w:rFonts w:ascii="Times New Roman" w:hAnsi="Times New Roman" w:cs="Times New Roman"/>
                  <w:szCs w:val="21"/>
                </w:rPr>
                <w:alias w:val="分部按商品转让的时间分类明细合同产生的收入"/>
                <w:tag w:val="_GBC_17d69f6dfbc04825b4362fd6e3ec49f0"/>
                <w:id w:val="878211100"/>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49CF63F6"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98,073,982.11</w:t>
                    </w:r>
                  </w:p>
                </w:tc>
              </w:sdtContent>
            </w:sdt>
            <w:sdt>
              <w:sdtPr>
                <w:rPr>
                  <w:rFonts w:ascii="Times New Roman" w:hAnsi="Times New Roman" w:cs="Times New Roman"/>
                  <w:szCs w:val="21"/>
                </w:rPr>
                <w:alias w:val="按商品转让的时间分类明细合同产生的收入"/>
                <w:tag w:val="_GBC_3a884b3480ad43b8826185d870e1e3f0"/>
                <w:id w:val="784550453"/>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343AB613"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98,073,982.11</w:t>
                    </w:r>
                  </w:p>
                </w:tc>
              </w:sdtContent>
            </w:sdt>
          </w:tr>
          <w:tr w:rsidR="00D21C1F" w14:paraId="5E95993F" w14:textId="77777777">
            <w:tc>
              <w:tcPr>
                <w:tcW w:w="206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efe914344914868bb1c5857f7815d0d"/>
                  <w:id w:val="635772056"/>
                  <w:lock w:val="sdtLocked"/>
                </w:sdtPr>
                <w:sdtEndPr/>
                <w:sdtContent>
                  <w:p w14:paraId="67F0E401" w14:textId="77777777" w:rsidR="00D21C1F" w:rsidRDefault="00A42880">
                    <w:pPr>
                      <w:jc w:val="center"/>
                      <w:rPr>
                        <w:szCs w:val="21"/>
                      </w:rPr>
                    </w:pPr>
                    <w:r>
                      <w:rPr>
                        <w:rFonts w:hint="eastAsia"/>
                        <w:szCs w:val="21"/>
                      </w:rPr>
                      <w:t>合计</w:t>
                    </w:r>
                  </w:p>
                </w:sdtContent>
              </w:sdt>
            </w:tc>
            <w:sdt>
              <w:sdtPr>
                <w:rPr>
                  <w:rFonts w:ascii="Times New Roman" w:hAnsi="Times New Roman" w:cs="Times New Roman"/>
                  <w:szCs w:val="21"/>
                </w:rPr>
                <w:alias w:val="分部合同产生的收入"/>
                <w:tag w:val="_GBC_4bad588daedd4514b8106aa88f8d3cd4"/>
                <w:id w:val="1157041358"/>
                <w:lock w:val="sdtLocked"/>
              </w:sdtPr>
              <w:sdtEndPr/>
              <w:sdtContent>
                <w:tc>
                  <w:tcPr>
                    <w:tcW w:w="1404" w:type="pct"/>
                    <w:tcBorders>
                      <w:top w:val="single" w:sz="4" w:space="0" w:color="auto"/>
                      <w:left w:val="single" w:sz="4" w:space="0" w:color="auto"/>
                      <w:bottom w:val="single" w:sz="4" w:space="0" w:color="auto"/>
                      <w:right w:val="single" w:sz="4" w:space="0" w:color="auto"/>
                    </w:tcBorders>
                    <w:shd w:val="clear" w:color="auto" w:fill="auto"/>
                  </w:tcPr>
                  <w:p w14:paraId="1F67EFEE"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285,064,225.82</w:t>
                    </w:r>
                  </w:p>
                </w:tc>
              </w:sdtContent>
            </w:sdt>
            <w:sdt>
              <w:sdtPr>
                <w:rPr>
                  <w:rFonts w:ascii="Times New Roman" w:hAnsi="Times New Roman" w:cs="Times New Roman"/>
                  <w:szCs w:val="21"/>
                </w:rPr>
                <w:alias w:val="合同产生的收入"/>
                <w:tag w:val="_GBC_153b4b2b62b0477fa6bff78d1b2a4ef8"/>
                <w:id w:val="-1941065156"/>
                <w:lock w:val="sdtLocked"/>
              </w:sdtPr>
              <w:sdtEndPr/>
              <w:sdtContent>
                <w:tc>
                  <w:tcPr>
                    <w:tcW w:w="1536" w:type="pct"/>
                    <w:tcBorders>
                      <w:top w:val="single" w:sz="4" w:space="0" w:color="auto"/>
                      <w:left w:val="single" w:sz="4" w:space="0" w:color="auto"/>
                      <w:bottom w:val="single" w:sz="4" w:space="0" w:color="auto"/>
                      <w:right w:val="single" w:sz="4" w:space="0" w:color="auto"/>
                    </w:tcBorders>
                  </w:tcPr>
                  <w:p w14:paraId="716C30B6"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285,064,225.82</w:t>
                    </w:r>
                  </w:p>
                </w:tc>
              </w:sdtContent>
            </w:sdt>
          </w:tr>
        </w:tbl>
        <w:p w14:paraId="2C24EBB7" w14:textId="77777777" w:rsidR="00D21C1F" w:rsidRDefault="00A42880">
          <w:pPr>
            <w:pStyle w:val="97"/>
          </w:pPr>
          <w:r>
            <w:rPr>
              <w:rFonts w:hint="eastAsia"/>
            </w:rPr>
            <w:t>合同产生的收入说明：</w:t>
          </w:r>
        </w:p>
        <w:sdt>
          <w:sdtPr>
            <w:alias w:val="是否适用：母公司合同产生的收入说明[双击切换]"/>
            <w:tag w:val="_GBC_4e9f72abba74469a841384eb05af7e06"/>
            <w:id w:val="-4900992"/>
            <w:lock w:val="sdtLocked"/>
          </w:sdtPr>
          <w:sdtEndPr/>
          <w:sdtContent>
            <w:p w14:paraId="1F739F8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34" w:displacedByCustomXml="next"/>
    <w:bookmarkStart w:id="335" w:name="_Hlk10548652" w:displacedByCustomXml="next"/>
    <w:bookmarkStart w:id="336" w:name="_Hlk10548661" w:displacedByCustomXml="next"/>
    <w:sdt>
      <w:sdtPr>
        <w:rPr>
          <w:rFonts w:ascii="宋体" w:hAnsi="宋体" w:cs="宋体" w:hint="eastAsia"/>
          <w:b w:val="0"/>
          <w:bCs w:val="0"/>
          <w:kern w:val="0"/>
          <w:szCs w:val="24"/>
        </w:rPr>
        <w:alias w:val="模块:履约义务的说明"/>
        <w:tag w:val="_SEC_53d5f13d55ef41a88538eb4a1cd87f53"/>
        <w:id w:val="-1742627873"/>
        <w:lock w:val="sdtLocked"/>
        <w:placeholder>
          <w:docPart w:val="GBC22222222222222222222222222222"/>
        </w:placeholder>
      </w:sdtPr>
      <w:sdtEndPr>
        <w:rPr>
          <w:rFonts w:hint="default"/>
          <w:szCs w:val="21"/>
        </w:rPr>
      </w:sdtEndPr>
      <w:sdtContent>
        <w:p w14:paraId="31BCB66C" w14:textId="77777777" w:rsidR="00D21C1F" w:rsidRDefault="00A42880">
          <w:pPr>
            <w:pStyle w:val="93"/>
            <w:numPr>
              <w:ilvl w:val="0"/>
              <w:numId w:val="152"/>
            </w:numPr>
            <w:rPr>
              <w:rFonts w:ascii="宋体" w:hAnsi="宋体"/>
            </w:rPr>
          </w:pPr>
          <w:r>
            <w:rPr>
              <w:rFonts w:ascii="宋体" w:hAnsi="宋体" w:hint="eastAsia"/>
            </w:rPr>
            <w:t>履约义务的说明</w:t>
          </w:r>
          <w:bookmarkEnd w:id="335"/>
        </w:p>
        <w:sdt>
          <w:sdtPr>
            <w:alias w:val="是否适用：母公司履约义务的说明[双击切换]"/>
            <w:tag w:val="_GBC_9fa12dfead42484a96c713de3deeb146"/>
            <w:id w:val="2096130064"/>
            <w:lock w:val="sdtLocked"/>
            <w:placeholder>
              <w:docPart w:val="GBC22222222222222222222222222222"/>
            </w:placeholder>
          </w:sdtPr>
          <w:sdtEndPr/>
          <w:sdtContent>
            <w:p w14:paraId="2FAF0AAD"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36" w:displacedByCustomXml="next"/>
    <w:bookmarkStart w:id="337" w:name="_Hlk10548677" w:displacedByCustomXml="next"/>
    <w:bookmarkStart w:id="338" w:name="_Hlk10548687" w:displacedByCustomXml="next"/>
    <w:sdt>
      <w:sdtPr>
        <w:rPr>
          <w:rFonts w:ascii="宋体" w:eastAsia="宋体" w:hAnsi="宋体" w:cs="宋体" w:hint="eastAsia"/>
          <w:b w:val="0"/>
          <w:bCs w:val="0"/>
          <w:kern w:val="0"/>
          <w:szCs w:val="24"/>
        </w:rPr>
        <w:alias w:val="模块:分摊至剩余履约义务的说明"/>
        <w:tag w:val="_SEC_70d7b3f4762b43eabe7e1ecc83c000d4"/>
        <w:id w:val="-1018390871"/>
        <w:lock w:val="sdtLocked"/>
        <w:placeholder>
          <w:docPart w:val="GBC22222222222222222222222222222"/>
        </w:placeholder>
      </w:sdtPr>
      <w:sdtEndPr>
        <w:rPr>
          <w:rFonts w:hint="default"/>
          <w:szCs w:val="21"/>
        </w:rPr>
      </w:sdtEndPr>
      <w:sdtContent>
        <w:p w14:paraId="69396696" w14:textId="77777777" w:rsidR="00D21C1F" w:rsidRDefault="00A42880">
          <w:pPr>
            <w:pStyle w:val="93"/>
            <w:numPr>
              <w:ilvl w:val="0"/>
              <w:numId w:val="152"/>
            </w:numPr>
            <w:rPr>
              <w:rFonts w:ascii="宋体" w:hAnsi="宋体"/>
            </w:rPr>
          </w:pPr>
          <w:r>
            <w:rPr>
              <w:rFonts w:ascii="宋体" w:hAnsi="宋体" w:hint="eastAsia"/>
            </w:rPr>
            <w:t>分摊至剩余履约义务的说明</w:t>
          </w:r>
          <w:bookmarkEnd w:id="337"/>
        </w:p>
        <w:sdt>
          <w:sdtPr>
            <w:alias w:val="是否适用：母公司分摊至剩余履约义务的说明[双击切换]"/>
            <w:tag w:val="_GBC_ed475c258e94496384f686833dfaebba"/>
            <w:id w:val="477884744"/>
            <w:lock w:val="sdtLocked"/>
            <w:placeholder>
              <w:docPart w:val="GBC22222222222222222222222222222"/>
            </w:placeholder>
          </w:sdtPr>
          <w:sdtEndPr/>
          <w:sdtContent>
            <w:p w14:paraId="5A217D3B"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38"/>
    <w:p w14:paraId="51CE1A1F" w14:textId="77777777" w:rsidR="00D21C1F" w:rsidRDefault="00A42880">
      <w:pPr>
        <w:spacing w:before="60" w:after="60"/>
        <w:rPr>
          <w:szCs w:val="21"/>
        </w:rPr>
      </w:pPr>
      <w:r>
        <w:rPr>
          <w:rFonts w:hint="eastAsia"/>
          <w:szCs w:val="21"/>
        </w:rPr>
        <w:t>其他说明：</w:t>
      </w:r>
    </w:p>
    <w:sdt>
      <w:sdtPr>
        <w:rPr>
          <w:szCs w:val="21"/>
        </w:rPr>
        <w:alias w:val="主营业务说明"/>
        <w:tag w:val="_GBC_67059ac627994738bbd2a2272a5068c8"/>
        <w:id w:val="833495342"/>
        <w:lock w:val="sdtLocked"/>
        <w:placeholder>
          <w:docPart w:val="GBC22222222222222222222222222222"/>
        </w:placeholder>
      </w:sdtPr>
      <w:sdtEndPr/>
      <w:sdtContent>
        <w:p w14:paraId="6ACD015C" w14:textId="77777777" w:rsidR="00D21C1F" w:rsidRDefault="00A42880">
          <w:pPr>
            <w:rPr>
              <w:szCs w:val="21"/>
            </w:rPr>
          </w:pPr>
          <w:r>
            <w:rPr>
              <w:rFonts w:hint="eastAsia"/>
              <w:szCs w:val="21"/>
            </w:rPr>
            <w:t>无</w:t>
          </w:r>
        </w:p>
      </w:sdtContent>
    </w:sdt>
    <w:p w14:paraId="55BA080D" w14:textId="77777777" w:rsidR="00D21C1F" w:rsidRDefault="00D21C1F">
      <w:pPr>
        <w:rPr>
          <w:szCs w:val="21"/>
        </w:rPr>
      </w:pPr>
    </w:p>
    <w:bookmarkStart w:id="339" w:name="OLE_LINK6" w:displacedByCustomXml="next"/>
    <w:bookmarkStart w:id="340" w:name="_Hlk10548739" w:displacedByCustomXml="next"/>
    <w:sdt>
      <w:sdtPr>
        <w:rPr>
          <w:rFonts w:ascii="宋体" w:eastAsia="宋体" w:hAnsi="宋体" w:cs="宋体" w:hint="eastAsia"/>
          <w:b w:val="0"/>
          <w:bCs w:val="0"/>
          <w:kern w:val="0"/>
          <w:szCs w:val="21"/>
        </w:rPr>
        <w:alias w:val="模块:投资收益"/>
        <w:tag w:val="_SEC_69cb0c27d0a845f8ab1383f9a47646b6"/>
        <w:id w:val="164282916"/>
        <w:lock w:val="sdtLocked"/>
        <w:placeholder>
          <w:docPart w:val="GBC22222222222222222222222222222"/>
        </w:placeholder>
      </w:sdtPr>
      <w:sdtEndPr>
        <w:rPr>
          <w:rFonts w:hint="default"/>
        </w:rPr>
      </w:sdtEndPr>
      <w:sdtContent>
        <w:p w14:paraId="5CD3CEA3" w14:textId="77777777" w:rsidR="00D21C1F" w:rsidRDefault="00A42880">
          <w:pPr>
            <w:pStyle w:val="94"/>
            <w:numPr>
              <w:ilvl w:val="0"/>
              <w:numId w:val="148"/>
            </w:numPr>
            <w:rPr>
              <w:rFonts w:ascii="宋体" w:hAnsi="宋体"/>
              <w:szCs w:val="21"/>
            </w:rPr>
          </w:pPr>
          <w:r>
            <w:rPr>
              <w:rFonts w:ascii="宋体" w:hAnsi="宋体" w:hint="eastAsia"/>
              <w:szCs w:val="21"/>
            </w:rPr>
            <w:t>投资收益</w:t>
          </w:r>
          <w:bookmarkEnd w:id="339"/>
        </w:p>
        <w:sdt>
          <w:sdtPr>
            <w:alias w:val="是否适用：母公司投资收益[双击切换]"/>
            <w:tag w:val="_GBC_bdba48f0322747499f6908fbbf78a16f"/>
            <w:id w:val="1019506306"/>
            <w:lock w:val="sdtLocked"/>
            <w:placeholder>
              <w:docPart w:val="GBC22222222222222222222222222222"/>
            </w:placeholder>
          </w:sdtPr>
          <w:sdtEndPr/>
          <w:sdtContent>
            <w:p w14:paraId="44AB1CFB"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8393E2" w14:textId="77777777" w:rsidR="00D21C1F" w:rsidRDefault="00A42880">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187820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币种</w:t>
          </w:r>
          <w:r>
            <w:rPr>
              <w:rFonts w:hint="eastAsia"/>
            </w:rPr>
            <w:t>：</w:t>
          </w:r>
          <w:sdt>
            <w:sdtPr>
              <w:rPr>
                <w:rFonts w:hint="eastAsia"/>
              </w:rPr>
              <w:alias w:val="币种：财务附注：会计报表中的投资收益项目增加"/>
              <w:tag w:val="_GBC_8976301949824df2a90aa6f83aad84f0"/>
              <w:id w:val="-1083910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D21C1F" w14:paraId="1E39E036" w14:textId="77777777">
            <w:bookmarkEnd w:id="340" w:displacedByCustomXml="next"/>
            <w:bookmarkStart w:id="341" w:name="_Hlk10720480" w:displacedByCustomXml="next"/>
            <w:sdt>
              <w:sdtPr>
                <w:tag w:val="_PLD_1263506df19847a5a86c9b873a7b7673"/>
                <w:id w:val="-1105180968"/>
                <w:lock w:val="sdtLocked"/>
              </w:sdtPr>
              <w:sdtEndPr/>
              <w:sdtContent>
                <w:tc>
                  <w:tcPr>
                    <w:tcW w:w="2018" w:type="pct"/>
                    <w:vAlign w:val="center"/>
                  </w:tcPr>
                  <w:p w14:paraId="19CD48FA" w14:textId="77777777" w:rsidR="00D21C1F" w:rsidRDefault="00A42880">
                    <w:pPr>
                      <w:ind w:left="420" w:hanging="420"/>
                      <w:jc w:val="center"/>
                      <w:rPr>
                        <w:szCs w:val="21"/>
                      </w:rPr>
                    </w:pPr>
                    <w:r>
                      <w:rPr>
                        <w:rFonts w:hint="eastAsia"/>
                        <w:szCs w:val="21"/>
                      </w:rPr>
                      <w:t>项目</w:t>
                    </w:r>
                  </w:p>
                </w:tc>
              </w:sdtContent>
            </w:sdt>
            <w:sdt>
              <w:sdtPr>
                <w:tag w:val="_PLD_6da456fe7d784e789fe8204c2cc499b3"/>
                <w:id w:val="745543171"/>
                <w:lock w:val="sdtLocked"/>
              </w:sdtPr>
              <w:sdtEndPr/>
              <w:sdtContent>
                <w:tc>
                  <w:tcPr>
                    <w:tcW w:w="1488" w:type="pct"/>
                    <w:vAlign w:val="center"/>
                  </w:tcPr>
                  <w:p w14:paraId="73756CAB" w14:textId="77777777" w:rsidR="00D21C1F" w:rsidRDefault="00A42880">
                    <w:pPr>
                      <w:jc w:val="center"/>
                      <w:rPr>
                        <w:szCs w:val="21"/>
                      </w:rPr>
                    </w:pPr>
                    <w:r>
                      <w:rPr>
                        <w:rFonts w:hint="eastAsia"/>
                        <w:szCs w:val="21"/>
                      </w:rPr>
                      <w:t>本期发生额</w:t>
                    </w:r>
                  </w:p>
                </w:tc>
              </w:sdtContent>
            </w:sdt>
            <w:sdt>
              <w:sdtPr>
                <w:tag w:val="_PLD_d81207d79e9643e0a08aec2616f96432"/>
                <w:id w:val="-825125157"/>
                <w:lock w:val="sdtLocked"/>
              </w:sdtPr>
              <w:sdtEndPr/>
              <w:sdtContent>
                <w:tc>
                  <w:tcPr>
                    <w:tcW w:w="1494" w:type="pct"/>
                    <w:vAlign w:val="center"/>
                  </w:tcPr>
                  <w:p w14:paraId="7AD6D1C1" w14:textId="77777777" w:rsidR="00D21C1F" w:rsidRDefault="00A42880">
                    <w:pPr>
                      <w:jc w:val="center"/>
                      <w:rPr>
                        <w:szCs w:val="21"/>
                      </w:rPr>
                    </w:pPr>
                    <w:r>
                      <w:rPr>
                        <w:rFonts w:hint="eastAsia"/>
                        <w:szCs w:val="21"/>
                      </w:rPr>
                      <w:t>上期发生额</w:t>
                    </w:r>
                  </w:p>
                </w:tc>
              </w:sdtContent>
            </w:sdt>
          </w:tr>
          <w:tr w:rsidR="00D21C1F" w14:paraId="63B806FA" w14:textId="77777777">
            <w:sdt>
              <w:sdtPr>
                <w:tag w:val="_PLD_41f01afe4c29429eb16be2099b93f262"/>
                <w:id w:val="-1458871846"/>
                <w:lock w:val="sdtLocked"/>
              </w:sdtPr>
              <w:sdtEndPr/>
              <w:sdtContent>
                <w:tc>
                  <w:tcPr>
                    <w:tcW w:w="2018" w:type="pct"/>
                  </w:tcPr>
                  <w:p w14:paraId="2D5B3E47" w14:textId="77777777" w:rsidR="00D21C1F" w:rsidRDefault="00A42880">
                    <w:pPr>
                      <w:rPr>
                        <w:szCs w:val="21"/>
                      </w:rPr>
                    </w:pPr>
                    <w:r>
                      <w:rPr>
                        <w:rFonts w:hint="eastAsia"/>
                        <w:szCs w:val="21"/>
                      </w:rPr>
                      <w:t>权益法核算的长期股权投资收益</w:t>
                    </w:r>
                  </w:p>
                </w:tc>
              </w:sdtContent>
            </w:sdt>
            <w:tc>
              <w:tcPr>
                <w:tcW w:w="1488" w:type="pct"/>
                <w:vAlign w:val="center"/>
              </w:tcPr>
              <w:p w14:paraId="2070E849"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1,964,555.20</w:t>
                </w:r>
              </w:p>
            </w:tc>
            <w:tc>
              <w:tcPr>
                <w:tcW w:w="1494" w:type="pct"/>
                <w:vAlign w:val="center"/>
              </w:tcPr>
              <w:p w14:paraId="268BFEBB"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-155,769.81</w:t>
                </w:r>
              </w:p>
            </w:tc>
          </w:tr>
          <w:sdt>
            <w:sdtPr>
              <w:rPr>
                <w:rFonts w:eastAsia="宋体"/>
              </w:rPr>
              <w:alias w:val="其他投资收益"/>
              <w:tag w:val="_TUP_f44efb3bce1c4834a89700be3e9e6a1f"/>
              <w:id w:val="1111010546"/>
              <w:lock w:val="sdtLocked"/>
            </w:sdtPr>
            <w:sdtEndPr>
              <w:rPr>
                <w:rFonts w:ascii="Times New Roman" w:hAnsi="Times New Roman" w:cs="Times New Roman"/>
                <w:szCs w:val="21"/>
              </w:rPr>
            </w:sdtEndPr>
            <w:sdtContent>
              <w:tr w:rsidR="00D21C1F" w14:paraId="28640AB1" w14:textId="77777777">
                <w:tc>
                  <w:tcPr>
                    <w:tcW w:w="2018" w:type="pct"/>
                    <w:shd w:val="solid" w:color="FFFFFF" w:fill="auto"/>
                  </w:tcPr>
                  <w:p w14:paraId="25F083C2" w14:textId="77777777" w:rsidR="00D21C1F" w:rsidRDefault="00A42880">
                    <w:pPr>
                      <w:pStyle w:val="97"/>
                    </w:pPr>
                    <w:r>
                      <w:rPr>
                        <w:rFonts w:hint="eastAsia"/>
                      </w:rPr>
                      <w:t>理财产品</w:t>
                    </w:r>
                  </w:p>
                </w:tc>
                <w:tc>
                  <w:tcPr>
                    <w:tcW w:w="1488" w:type="pct"/>
                    <w:shd w:val="solid" w:color="FFFFFF" w:fill="auto"/>
                  </w:tcPr>
                  <w:p w14:paraId="16FB6246"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12,910,077.37</w:t>
                    </w:r>
                  </w:p>
                </w:tc>
                <w:tc>
                  <w:tcPr>
                    <w:tcW w:w="1494" w:type="pct"/>
                    <w:shd w:val="solid" w:color="FFFFFF" w:fill="auto"/>
                  </w:tcPr>
                  <w:p w14:paraId="44F5E521"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24,931.51</w:t>
                    </w:r>
                  </w:p>
                </w:tc>
              </w:tr>
            </w:sdtContent>
          </w:sdt>
          <w:tr w:rsidR="00D21C1F" w14:paraId="036AA70B" w14:textId="77777777">
            <w:sdt>
              <w:sdtPr>
                <w:tag w:val="_PLD_032fb4caa4bf4a6e968a012892b6f16b"/>
                <w:id w:val="875354093"/>
                <w:lock w:val="sdtLocked"/>
              </w:sdtPr>
              <w:sdtEndPr/>
              <w:sdtContent>
                <w:tc>
                  <w:tcPr>
                    <w:tcW w:w="2018" w:type="pct"/>
                    <w:vAlign w:val="center"/>
                  </w:tcPr>
                  <w:p w14:paraId="20FAEAC4" w14:textId="77777777" w:rsidR="00D21C1F" w:rsidRDefault="00A42880">
                    <w:pPr>
                      <w:jc w:val="center"/>
                      <w:rPr>
                        <w:szCs w:val="21"/>
                      </w:rPr>
                    </w:pPr>
                    <w:r>
                      <w:rPr>
                        <w:rFonts w:hint="eastAsia"/>
                        <w:szCs w:val="21"/>
                      </w:rPr>
                      <w:t>合计</w:t>
                    </w:r>
                  </w:p>
                </w:tc>
              </w:sdtContent>
            </w:sdt>
            <w:tc>
              <w:tcPr>
                <w:tcW w:w="1488" w:type="pct"/>
                <w:vAlign w:val="center"/>
              </w:tcPr>
              <w:p w14:paraId="550D1919"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14,874,632.57</w:t>
                </w:r>
              </w:p>
            </w:tc>
            <w:tc>
              <w:tcPr>
                <w:tcW w:w="1494" w:type="pct"/>
                <w:vAlign w:val="center"/>
              </w:tcPr>
              <w:p w14:paraId="7288C140"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-130,838.30</w:t>
                </w:r>
              </w:p>
            </w:tc>
          </w:tr>
        </w:tbl>
        <w:p w14:paraId="2D970EF7" w14:textId="77777777" w:rsidR="00D21C1F" w:rsidRDefault="00A42880">
          <w:pPr>
            <w:spacing w:line="360" w:lineRule="exact"/>
            <w:rPr>
              <w:szCs w:val="21"/>
            </w:rPr>
          </w:pPr>
          <w:r>
            <w:rPr>
              <w:rFonts w:hint="eastAsia"/>
              <w:szCs w:val="21"/>
            </w:rPr>
            <w:t>其他说明：</w:t>
          </w:r>
          <w:bookmarkEnd w:id="341"/>
        </w:p>
        <w:sdt>
          <w:sdtPr>
            <w:rPr>
              <w:szCs w:val="21"/>
            </w:rPr>
            <w:alias w:val="投资收益说明"/>
            <w:tag w:val="_GBC_e91b47a8afc84e119383bf071cb9a50d"/>
            <w:id w:val="398953030"/>
            <w:lock w:val="sdtLocked"/>
            <w:placeholder>
              <w:docPart w:val="GBC22222222222222222222222222222"/>
            </w:placeholder>
          </w:sdtPr>
          <w:sdtEndPr/>
          <w:sdtContent>
            <w:p w14:paraId="1725D587" w14:textId="77777777" w:rsidR="00D21C1F" w:rsidRDefault="00A42880">
              <w:pPr>
                <w:rPr>
                  <w:szCs w:val="21"/>
                </w:rPr>
              </w:pPr>
              <w:r>
                <w:rPr>
                  <w:rFonts w:hint="eastAsia"/>
                  <w:szCs w:val="21"/>
                </w:rPr>
                <w:t>无</w:t>
              </w:r>
            </w:p>
          </w:sdtContent>
        </w:sdt>
      </w:sdtContent>
    </w:sdt>
    <w:p w14:paraId="217D4D93" w14:textId="77777777" w:rsidR="00D21C1F" w:rsidRDefault="00D21C1F">
      <w:pPr>
        <w:rPr>
          <w:szCs w:val="21"/>
        </w:rPr>
      </w:pPr>
    </w:p>
    <w:sdt>
      <w:sdtPr>
        <w:rPr>
          <w:rFonts w:ascii="宋体" w:eastAsia="宋体" w:hAnsi="宋体" w:cs="宋体" w:hint="eastAsia"/>
          <w:b w:val="0"/>
          <w:bCs w:val="0"/>
          <w:kern w:val="0"/>
          <w:szCs w:val="21"/>
        </w:rPr>
        <w:alias w:val="模块:母公司会计报表附注的其他说明事项"/>
        <w:tag w:val="_GBC_23958e5452684882b98c8317e400c8d6"/>
        <w:id w:val="596217544"/>
        <w:lock w:val="sdtLocked"/>
        <w:placeholder>
          <w:docPart w:val="GBC22222222222222222222222222222"/>
        </w:placeholder>
      </w:sdtPr>
      <w:sdtEndPr/>
      <w:sdtContent>
        <w:p w14:paraId="5F15B659" w14:textId="77777777" w:rsidR="00D21C1F" w:rsidRDefault="00A42880">
          <w:pPr>
            <w:pStyle w:val="94"/>
            <w:numPr>
              <w:ilvl w:val="0"/>
              <w:numId w:val="148"/>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1021908879"/>
            <w:lock w:val="sdtLocked"/>
            <w:placeholder>
              <w:docPart w:val="GBC22222222222222222222222222222"/>
            </w:placeholder>
          </w:sdtPr>
          <w:sdtEndPr/>
          <w:sdtContent>
            <w:p w14:paraId="5F016C24"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49E8BED" w14:textId="77777777" w:rsidR="00D21C1F" w:rsidRDefault="00D21C1F">
      <w:pPr>
        <w:rPr>
          <w:szCs w:val="21"/>
        </w:rPr>
      </w:pPr>
    </w:p>
    <w:p w14:paraId="616ADDAF" w14:textId="77777777" w:rsidR="00D21C1F" w:rsidRDefault="00A42880">
      <w:pPr>
        <w:pStyle w:val="2CharCharChar"/>
        <w:numPr>
          <w:ilvl w:val="0"/>
          <w:numId w:val="42"/>
        </w:numPr>
      </w:pPr>
      <w:r>
        <w:rPr>
          <w:rFonts w:hint="eastAsia"/>
        </w:rPr>
        <w:lastRenderedPageBreak/>
        <w:t>补充资料</w:t>
      </w:r>
    </w:p>
    <w:bookmarkStart w:id="342" w:name="_Hlk10548828" w:displacedByCustomXml="next"/>
    <w:sdt>
      <w:sdtPr>
        <w:rPr>
          <w:rFonts w:ascii="宋体" w:hAnsi="宋体" w:cs="宋体" w:hint="eastAsia"/>
          <w:b w:val="0"/>
          <w:bCs w:val="0"/>
          <w:kern w:val="0"/>
          <w:szCs w:val="21"/>
        </w:rPr>
        <w:alias w:val="模块:当期非经常性损益明细"/>
        <w:tag w:val="_GBC_08eb8d7076584daebd23121ab43f25e0"/>
        <w:id w:val="-1914225772"/>
        <w:lock w:val="sdtLocked"/>
        <w:placeholder>
          <w:docPart w:val="GBC22222222222222222222222222222"/>
        </w:placeholder>
      </w:sdtPr>
      <w:sdtEndPr>
        <w:rPr>
          <w:szCs w:val="24"/>
        </w:rPr>
      </w:sdtEndPr>
      <w:sdtContent>
        <w:p w14:paraId="5BC77391" w14:textId="77777777" w:rsidR="00D21C1F" w:rsidRDefault="00A42880">
          <w:pPr>
            <w:pStyle w:val="94"/>
            <w:numPr>
              <w:ilvl w:val="0"/>
              <w:numId w:val="153"/>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19854621"/>
            <w:lock w:val="sdtLocked"/>
            <w:placeholder>
              <w:docPart w:val="GBC22222222222222222222222222222"/>
            </w:placeholder>
          </w:sdtPr>
          <w:sdtEndPr/>
          <w:sdtContent>
            <w:p w14:paraId="0DA95839"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AA2E51" w14:textId="77777777" w:rsidR="00D21C1F" w:rsidRDefault="00A42880">
          <w:pPr>
            <w:jc w:val="right"/>
            <w:rPr>
              <w:szCs w:val="21"/>
            </w:rPr>
          </w:pPr>
          <w:r>
            <w:rPr>
              <w:rFonts w:hint="eastAsia"/>
              <w:szCs w:val="21"/>
            </w:rPr>
            <w:t>单位：</w:t>
          </w:r>
          <w:sdt>
            <w:sdtPr>
              <w:rPr>
                <w:rFonts w:hint="eastAsia"/>
                <w:szCs w:val="21"/>
              </w:rPr>
              <w:alias w:val="单位：扣除非经常性损益项目和金额"/>
              <w:tag w:val="_GBC_5c7a78a144ce4f78943f6ba4db018dd1"/>
              <w:id w:val="-9949264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w:t>
          </w:r>
          <w:r>
            <w:rPr>
              <w:rFonts w:hint="eastAsia"/>
              <w:szCs w:val="21"/>
            </w:rPr>
            <w:t>币种：</w:t>
          </w:r>
          <w:sdt>
            <w:sdtPr>
              <w:rPr>
                <w:rFonts w:hint="eastAsia"/>
                <w:szCs w:val="21"/>
              </w:rPr>
              <w:alias w:val="币种：扣除非经常性损益项目和金额"/>
              <w:tag w:val="_GBC_1075279105e04a71a72ba148188834c9"/>
              <w:id w:val="-693757687"/>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波兰兹罗提" w:value="PLN"/>
                <w:listItem w:displayText="印度卢比" w:value="INR"/>
                <w:listItem w:displayText="巴西雷亚尔" w:value="BRL"/>
              </w:comboBox>
            </w:sdtPr>
            <w:sdtEndPr/>
            <w:sdtContent>
              <w:r>
                <w:rPr>
                  <w:rFonts w:hint="eastAsia"/>
                  <w:szCs w:val="21"/>
                </w:rPr>
                <w:t>人民币</w:t>
              </w:r>
            </w:sdtContent>
          </w:sdt>
        </w:p>
        <w:tbl>
          <w:tblPr>
            <w:tblStyle w:val="8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2430"/>
            <w:gridCol w:w="2439"/>
          </w:tblGrid>
          <w:tr w:rsidR="00D21C1F" w14:paraId="287F1E67" w14:textId="77777777">
            <w:sdt>
              <w:sdtPr>
                <w:tag w:val="_PLD_4d447086960c4639856414679d1dbf26"/>
                <w:id w:val="-1469128283"/>
                <w:lock w:val="sdtLocked"/>
              </w:sdtPr>
              <w:sdtEndPr/>
              <w:sdtContent>
                <w:tc>
                  <w:tcPr>
                    <w:tcW w:w="2241" w:type="pct"/>
                    <w:shd w:val="clear" w:color="auto" w:fill="auto"/>
                    <w:vAlign w:val="center"/>
                  </w:tcPr>
                  <w:p w14:paraId="7FBFA852" w14:textId="77777777" w:rsidR="00D21C1F" w:rsidRDefault="00A42880">
                    <w:pPr>
                      <w:jc w:val="center"/>
                      <w:rPr>
                        <w:szCs w:val="21"/>
                      </w:rPr>
                    </w:pPr>
                    <w:r>
                      <w:rPr>
                        <w:rFonts w:hint="eastAsia"/>
                        <w:szCs w:val="21"/>
                      </w:rPr>
                      <w:t>项目</w:t>
                    </w:r>
                  </w:p>
                </w:tc>
              </w:sdtContent>
            </w:sdt>
            <w:sdt>
              <w:sdtPr>
                <w:tag w:val="_PLD_4124386579a74ebabf17d2fb03dfbacc"/>
                <w:id w:val="-660926728"/>
                <w:lock w:val="sdtLocked"/>
              </w:sdtPr>
              <w:sdtEndPr/>
              <w:sdtContent>
                <w:tc>
                  <w:tcPr>
                    <w:tcW w:w="1377" w:type="pct"/>
                    <w:shd w:val="clear" w:color="auto" w:fill="auto"/>
                  </w:tcPr>
                  <w:p w14:paraId="76A95C41" w14:textId="77777777" w:rsidR="00D21C1F" w:rsidRDefault="00A42880">
                    <w:pPr>
                      <w:jc w:val="center"/>
                      <w:rPr>
                        <w:szCs w:val="21"/>
                      </w:rPr>
                    </w:pPr>
                    <w:r>
                      <w:rPr>
                        <w:rFonts w:hint="eastAsia"/>
                        <w:szCs w:val="21"/>
                      </w:rPr>
                      <w:t>金额</w:t>
                    </w:r>
                  </w:p>
                </w:tc>
              </w:sdtContent>
            </w:sdt>
            <w:sdt>
              <w:sdtPr>
                <w:tag w:val="_PLD_d8bc4effaf7140f69603e5c1fdd518e2"/>
                <w:id w:val="-1866820362"/>
                <w:lock w:val="sdtLocked"/>
              </w:sdtPr>
              <w:sdtEndPr/>
              <w:sdtContent>
                <w:tc>
                  <w:tcPr>
                    <w:tcW w:w="1382" w:type="pct"/>
                  </w:tcPr>
                  <w:p w14:paraId="5A451D3A" w14:textId="77777777" w:rsidR="00D21C1F" w:rsidRDefault="00A42880">
                    <w:pPr>
                      <w:jc w:val="center"/>
                      <w:rPr>
                        <w:szCs w:val="21"/>
                      </w:rPr>
                    </w:pPr>
                    <w:r>
                      <w:rPr>
                        <w:rFonts w:hint="eastAsia"/>
                        <w:szCs w:val="21"/>
                      </w:rPr>
                      <w:t>说明</w:t>
                    </w:r>
                  </w:p>
                </w:tc>
              </w:sdtContent>
            </w:sdt>
          </w:tr>
          <w:tr w:rsidR="00D21C1F" w14:paraId="3AAC1695" w14:textId="77777777">
            <w:sdt>
              <w:sdtPr>
                <w:tag w:val="_PLD_a4c284eee58641a284682b8ca51165ce"/>
                <w:id w:val="-269474379"/>
                <w:lock w:val="sdtLocked"/>
              </w:sdtPr>
              <w:sdtEndPr/>
              <w:sdtContent>
                <w:tc>
                  <w:tcPr>
                    <w:tcW w:w="2241" w:type="pct"/>
                    <w:shd w:val="clear" w:color="auto" w:fill="auto"/>
                    <w:vAlign w:val="center"/>
                  </w:tcPr>
                  <w:p w14:paraId="2FBE1136" w14:textId="77777777" w:rsidR="00D21C1F" w:rsidRDefault="00A42880">
                    <w:pPr>
                      <w:rPr>
                        <w:szCs w:val="21"/>
                      </w:rPr>
                    </w:pPr>
                    <w:r>
                      <w:rPr>
                        <w:rFonts w:hint="eastAsia"/>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374697397"/>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7" w:type="pct"/>
                    <w:shd w:val="clear" w:color="auto" w:fill="auto"/>
                    <w:vAlign w:val="bottom"/>
                  </w:tcPr>
                  <w:p w14:paraId="29A71C82"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415,888.37</w:t>
                    </w:r>
                  </w:p>
                </w:tc>
              </w:sdtContent>
            </w:sdt>
            <w:sdt>
              <w:sdtPr>
                <w:rPr>
                  <w:szCs w:val="21"/>
                </w:rPr>
                <w:alias w:val="非流动性资产处置损益，包括已计提资产减值准备的冲销部分的说明（非经常性损益项目）"/>
                <w:tag w:val="_GBC_dbf112280e8b447b803745e3222ebaab"/>
                <w:id w:val="-1472826067"/>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14:paraId="0AFD838B" w14:textId="77777777" w:rsidR="00D21C1F" w:rsidRDefault="00A42880">
                    <w:pPr>
                      <w:rPr>
                        <w:b/>
                        <w:szCs w:val="21"/>
                      </w:rPr>
                    </w:pPr>
                    <w:r>
                      <w:rPr>
                        <w:szCs w:val="21"/>
                      </w:rPr>
                      <w:t xml:space="preserve">     </w:t>
                    </w:r>
                  </w:p>
                </w:tc>
              </w:sdtContent>
            </w:sdt>
          </w:tr>
          <w:tr w:rsidR="00D21C1F" w14:paraId="14946D87" w14:textId="77777777">
            <w:sdt>
              <w:sdtPr>
                <w:tag w:val="_PLD_111eb25532774c11acc9ef9b04526b48"/>
                <w:id w:val="-2026007390"/>
                <w:lock w:val="sdtLocked"/>
              </w:sdtPr>
              <w:sdtEndPr/>
              <w:sdtContent>
                <w:tc>
                  <w:tcPr>
                    <w:tcW w:w="2241" w:type="pct"/>
                    <w:shd w:val="clear" w:color="auto" w:fill="auto"/>
                    <w:vAlign w:val="center"/>
                  </w:tcPr>
                  <w:p w14:paraId="76EB169C" w14:textId="77777777" w:rsidR="00D21C1F" w:rsidRDefault="00A42880">
                    <w:pPr>
                      <w:rPr>
                        <w:szCs w:val="21"/>
                      </w:rPr>
                    </w:pPr>
                    <w:r>
                      <w:rPr>
                        <w:rFonts w:hint="eastAsia"/>
                        <w:szCs w:val="21"/>
                      </w:rPr>
                      <w:t>越权审批或无正式批准文件的税收返还、减免</w:t>
                    </w:r>
                  </w:p>
                </w:tc>
              </w:sdtContent>
            </w:sdt>
            <w:sdt>
              <w:sdtPr>
                <w:rPr>
                  <w:rFonts w:ascii="Times New Roman" w:hAnsi="Times New Roman" w:cs="Times New Roman"/>
                  <w:szCs w:val="21"/>
                </w:rPr>
                <w:alias w:val="越权审批，或无正式批准文件，或偶发性的税收返还、减免（非经常性损益项目）"/>
                <w:tag w:val="_GBC_739acef0a8fb4cf9ba3480cbf144d0bd"/>
                <w:id w:val="1998228487"/>
                <w:lock w:val="sdtLocked"/>
                <w:dataBinding w:prefixMappings="xmlns:clcid-pte='clcid-pte'" w:xpath="/*/clcid-pte:FeiJingChangXingSunYiZhongYueQuanShenPiHuoWuZhengShiPiZhunWenJianDeShuiShouFanHuanJianMian[not(@periodRef)]" w:storeItemID="{89EBAB94-44A0-46A2-B712-30D997D04A6D}"/>
                <w:text/>
              </w:sdtPr>
              <w:sdtEndPr/>
              <w:sdtContent>
                <w:tc>
                  <w:tcPr>
                    <w:tcW w:w="1377" w:type="pct"/>
                    <w:shd w:val="clear" w:color="auto" w:fill="auto"/>
                    <w:vAlign w:val="bottom"/>
                  </w:tcPr>
                  <w:p w14:paraId="33CF5FA0" w14:textId="77777777" w:rsidR="00D21C1F" w:rsidRPr="00AD5FDB" w:rsidRDefault="00A42880">
                    <w:pPr>
                      <w:ind w:right="6"/>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越权审批，或无正式批准文件，或偶发性的税收返还、减免的说明（非经常性损益项目）"/>
                <w:tag w:val="_GBC_d1e6861f45b64ca2a145ec60b8eb30fc"/>
                <w:id w:val="1204297984"/>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14:paraId="359447D4" w14:textId="77777777" w:rsidR="00D21C1F" w:rsidRDefault="00A42880">
                    <w:pPr>
                      <w:rPr>
                        <w:szCs w:val="21"/>
                      </w:rPr>
                    </w:pPr>
                    <w:r>
                      <w:rPr>
                        <w:szCs w:val="21"/>
                      </w:rPr>
                      <w:t xml:space="preserve">     </w:t>
                    </w:r>
                  </w:p>
                </w:tc>
              </w:sdtContent>
            </w:sdt>
          </w:tr>
          <w:tr w:rsidR="00D21C1F" w14:paraId="19BF10A6" w14:textId="77777777">
            <w:sdt>
              <w:sdtPr>
                <w:tag w:val="_PLD_1c23f9d3aa08475185cdc79972a7d629"/>
                <w:id w:val="1181393837"/>
                <w:lock w:val="sdtLocked"/>
              </w:sdtPr>
              <w:sdtEndPr/>
              <w:sdtContent>
                <w:tc>
                  <w:tcPr>
                    <w:tcW w:w="2241" w:type="pct"/>
                    <w:shd w:val="clear" w:color="auto" w:fill="auto"/>
                    <w:vAlign w:val="center"/>
                  </w:tcPr>
                  <w:p w14:paraId="1D3AA1E5" w14:textId="77777777" w:rsidR="00D21C1F" w:rsidRDefault="00A42880">
                    <w:pPr>
                      <w:rPr>
                        <w:szCs w:val="21"/>
                      </w:rPr>
                    </w:pPr>
                    <w:r>
                      <w:rPr>
                        <w:rFonts w:hint="eastAsia"/>
                        <w:szCs w:val="21"/>
                      </w:rPr>
                      <w:t>计入当期损益的政府补助（与企业业务密切相关，按照国家统一标准定额或定量享受的政府补助除外）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87d17071bbe748b28c703f8eaec85e23"/>
                <w:id w:val="-1758118071"/>
                <w:lock w:val="sdtLocked"/>
                <w:dataBinding w:prefixMappings="xmlns:clcid-pte='clcid-pte'" w:xpath="/*/clcid-pte:FeiJingChangXingSunYiZhongGeZhongXingShiDeZhengFuBuTie[not(@periodRef)]" w:storeItemID="{89EBAB94-44A0-46A2-B712-30D997D04A6D}"/>
                <w:text/>
              </w:sdtPr>
              <w:sdtEndPr/>
              <w:sdtContent>
                <w:tc>
                  <w:tcPr>
                    <w:tcW w:w="1377" w:type="pct"/>
                    <w:shd w:val="clear" w:color="auto" w:fill="auto"/>
                    <w:vAlign w:val="bottom"/>
                  </w:tcPr>
                  <w:p w14:paraId="6D619D77"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7,108,423.27</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757324143"/>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14:paraId="54E2BED0" w14:textId="77777777" w:rsidR="00D21C1F" w:rsidRDefault="00A42880">
                    <w:pPr>
                      <w:rPr>
                        <w:szCs w:val="21"/>
                      </w:rPr>
                    </w:pPr>
                    <w:r>
                      <w:rPr>
                        <w:szCs w:val="21"/>
                      </w:rPr>
                      <w:t xml:space="preserve">     </w:t>
                    </w:r>
                  </w:p>
                </w:tc>
              </w:sdtContent>
            </w:sdt>
          </w:tr>
          <w:tr w:rsidR="00D21C1F" w14:paraId="1B3DF29F" w14:textId="77777777">
            <w:sdt>
              <w:sdtPr>
                <w:tag w:val="_PLD_19747bb2b9f64964bff74d0b6c962639"/>
                <w:id w:val="-771702252"/>
                <w:lock w:val="sdtLocked"/>
              </w:sdtPr>
              <w:sdtEndPr/>
              <w:sdtContent>
                <w:tc>
                  <w:tcPr>
                    <w:tcW w:w="2241" w:type="pct"/>
                    <w:shd w:val="clear" w:color="auto" w:fill="auto"/>
                    <w:vAlign w:val="center"/>
                  </w:tcPr>
                  <w:p w14:paraId="51EE7709" w14:textId="77777777" w:rsidR="00D21C1F" w:rsidRDefault="00A42880">
                    <w:pPr>
                      <w:rPr>
                        <w:szCs w:val="21"/>
                      </w:rPr>
                    </w:pPr>
                    <w:r>
                      <w:rPr>
                        <w:rFonts w:hint="eastAsia"/>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fa05ceca6bca4dd9a7d215044dce1e08"/>
                <w:id w:val="-539514336"/>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1377" w:type="pct"/>
                    <w:shd w:val="clear" w:color="auto" w:fill="auto"/>
                    <w:vAlign w:val="bottom"/>
                  </w:tcPr>
                  <w:p w14:paraId="44598017"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计入当期损益的对非金融企业收取的资金占用费的说明（非经常性损益项目）"/>
                <w:tag w:val="_GBC_e39bef666fc347c4b548b1702cce8f81"/>
                <w:id w:val="-20793219"/>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14:paraId="3893DACE" w14:textId="77777777" w:rsidR="00D21C1F" w:rsidRDefault="00A42880">
                    <w:pPr>
                      <w:rPr>
                        <w:szCs w:val="21"/>
                      </w:rPr>
                    </w:pPr>
                    <w:r>
                      <w:rPr>
                        <w:szCs w:val="21"/>
                      </w:rPr>
                      <w:t xml:space="preserve">     </w:t>
                    </w:r>
                  </w:p>
                </w:tc>
              </w:sdtContent>
            </w:sdt>
          </w:tr>
          <w:tr w:rsidR="00D21C1F" w14:paraId="6A05AE0C" w14:textId="77777777">
            <w:sdt>
              <w:sdtPr>
                <w:tag w:val="_PLD_6663cd4a4b5d4648b8602f1db92c8537"/>
                <w:id w:val="-207026865"/>
                <w:lock w:val="sdtLocked"/>
              </w:sdtPr>
              <w:sdtEndPr/>
              <w:sdtContent>
                <w:tc>
                  <w:tcPr>
                    <w:tcW w:w="2241" w:type="pct"/>
                    <w:shd w:val="clear" w:color="auto" w:fill="auto"/>
                    <w:vAlign w:val="center"/>
                  </w:tcPr>
                  <w:p w14:paraId="329172D0" w14:textId="77777777" w:rsidR="00D21C1F" w:rsidRDefault="00A42880">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非经常性损益项目）"/>
                <w:tag w:val="_GBC_da8567332bf1414f9b00448bf14a2046"/>
                <w:id w:val="-342011446"/>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7" w:type="pct"/>
                    <w:shd w:val="clear" w:color="auto" w:fill="auto"/>
                    <w:vAlign w:val="bottom"/>
                  </w:tcPr>
                  <w:p w14:paraId="10EE601F"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51058231"/>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14:paraId="23EA2E79" w14:textId="77777777" w:rsidR="00D21C1F" w:rsidRDefault="00A42880">
                    <w:pPr>
                      <w:rPr>
                        <w:szCs w:val="21"/>
                      </w:rPr>
                    </w:pPr>
                    <w:r>
                      <w:rPr>
                        <w:szCs w:val="21"/>
                      </w:rPr>
                      <w:t xml:space="preserve">     </w:t>
                    </w:r>
                  </w:p>
                </w:tc>
              </w:sdtContent>
            </w:sdt>
          </w:tr>
          <w:tr w:rsidR="00D21C1F" w14:paraId="6D9C59AA" w14:textId="77777777">
            <w:sdt>
              <w:sdtPr>
                <w:tag w:val="_PLD_e784ffc777444dfdb842e34d13c29737"/>
                <w:id w:val="1980651352"/>
                <w:lock w:val="sdtLocked"/>
              </w:sdtPr>
              <w:sdtEndPr/>
              <w:sdtContent>
                <w:tc>
                  <w:tcPr>
                    <w:tcW w:w="2241" w:type="pct"/>
                    <w:shd w:val="clear" w:color="auto" w:fill="auto"/>
                    <w:vAlign w:val="center"/>
                  </w:tcPr>
                  <w:p w14:paraId="76F2F73F" w14:textId="77777777" w:rsidR="00D21C1F" w:rsidRDefault="00A42880">
                    <w:pPr>
                      <w:rPr>
                        <w:szCs w:val="21"/>
                      </w:rPr>
                    </w:pPr>
                    <w:r>
                      <w:rPr>
                        <w:rFonts w:hint="eastAsia"/>
                        <w:szCs w:val="21"/>
                      </w:rPr>
                      <w:t>非货币性资产交换损益</w:t>
                    </w:r>
                  </w:p>
                </w:tc>
              </w:sdtContent>
            </w:sdt>
            <w:sdt>
              <w:sdtPr>
                <w:rPr>
                  <w:rFonts w:ascii="Times New Roman" w:hAnsi="Times New Roman" w:cs="Times New Roman"/>
                  <w:szCs w:val="21"/>
                </w:rPr>
                <w:alias w:val="非货币性资产交换损益（非经常性损益项目）"/>
                <w:tag w:val="_GBC_4cbe5f86242143498e8a8e52a9159cf4"/>
                <w:id w:val="714086303"/>
                <w:lock w:val="sdtLocked"/>
                <w:dataBinding w:prefixMappings="xmlns:clcid-pte='clcid-pte'" w:xpath="/*/clcid-pte:FeiJingChangXingSunYiZhongZiChanZhiHuanSunYi[not(@periodRef)]" w:storeItemID="{89EBAB94-44A0-46A2-B712-30D997D04A6D}"/>
                <w:text/>
              </w:sdtPr>
              <w:sdtEndPr/>
              <w:sdtContent>
                <w:tc>
                  <w:tcPr>
                    <w:tcW w:w="1377" w:type="pct"/>
                    <w:shd w:val="clear" w:color="auto" w:fill="auto"/>
                    <w:vAlign w:val="bottom"/>
                  </w:tcPr>
                  <w:p w14:paraId="62041383"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非货币性资产交换损益的说明（非经常性损益项目）"/>
                <w:tag w:val="_GBC_0c3795502b03479fa5ac233060ebd95d"/>
                <w:id w:val="-1991863386"/>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14:paraId="516D6A85" w14:textId="77777777" w:rsidR="00D21C1F" w:rsidRDefault="00A42880">
                    <w:pPr>
                      <w:rPr>
                        <w:szCs w:val="21"/>
                      </w:rPr>
                    </w:pPr>
                    <w:r>
                      <w:rPr>
                        <w:szCs w:val="21"/>
                      </w:rPr>
                      <w:t xml:space="preserve">     </w:t>
                    </w:r>
                  </w:p>
                </w:tc>
              </w:sdtContent>
            </w:sdt>
          </w:tr>
          <w:tr w:rsidR="00D21C1F" w14:paraId="621780A0" w14:textId="77777777">
            <w:sdt>
              <w:sdtPr>
                <w:tag w:val="_PLD_e05dd2ebe9c4478baeb0638a8ae0cb06"/>
                <w:id w:val="-1384408893"/>
                <w:lock w:val="sdtLocked"/>
              </w:sdtPr>
              <w:sdtEndPr/>
              <w:sdtContent>
                <w:tc>
                  <w:tcPr>
                    <w:tcW w:w="2241" w:type="pct"/>
                    <w:shd w:val="clear" w:color="auto" w:fill="auto"/>
                    <w:vAlign w:val="center"/>
                  </w:tcPr>
                  <w:p w14:paraId="2228B76F" w14:textId="77777777" w:rsidR="00D21C1F" w:rsidRDefault="00A42880">
                    <w:pPr>
                      <w:rPr>
                        <w:szCs w:val="21"/>
                      </w:rPr>
                    </w:pPr>
                    <w:r>
                      <w:rPr>
                        <w:rFonts w:hint="eastAsia"/>
                        <w:szCs w:val="21"/>
                      </w:rPr>
                      <w:t>委托他人投资或管理资产的损益</w:t>
                    </w:r>
                  </w:p>
                </w:tc>
              </w:sdtContent>
            </w:sdt>
            <w:sdt>
              <w:sdtPr>
                <w:rPr>
                  <w:rFonts w:ascii="Times New Roman" w:hAnsi="Times New Roman" w:cs="Times New Roman"/>
                  <w:szCs w:val="21"/>
                </w:rPr>
                <w:alias w:val="委托他人投资或管理资产的损益（非经常性损益项目）"/>
                <w:tag w:val="_GBC_d2fd11aa21804a79bf75d80767cb7622"/>
                <w:id w:val="-890732982"/>
                <w:lock w:val="sdtLocked"/>
                <w:dataBinding w:prefixMappings="xmlns:clcid-pte='clcid-pte'" w:xpath="/*/clcid-pte:WeiTuoTaRenTouZiHuoGuanLiZiChanDeSunYiFeiJingChangXingSunYiXiangMu[not(@periodRef)]" w:storeItemID="{89EBAB94-44A0-46A2-B712-30D997D04A6D}"/>
                <w:text/>
              </w:sdtPr>
              <w:sdtEndPr/>
              <w:sdtContent>
                <w:tc>
                  <w:tcPr>
                    <w:tcW w:w="1377" w:type="pct"/>
                    <w:shd w:val="clear" w:color="auto" w:fill="auto"/>
                    <w:vAlign w:val="bottom"/>
                  </w:tcPr>
                  <w:p w14:paraId="0F11EDBA"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委托他人投资或管理资产的损益的说明（非经常性损益项目）"/>
                <w:tag w:val="_GBC_556f9aa856334b9cba18fb2f97b39cc5"/>
                <w:id w:val="776299548"/>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14:paraId="3DD9A83A" w14:textId="77777777" w:rsidR="00D21C1F" w:rsidRDefault="00A42880">
                    <w:pPr>
                      <w:rPr>
                        <w:szCs w:val="21"/>
                      </w:rPr>
                    </w:pPr>
                    <w:r>
                      <w:rPr>
                        <w:szCs w:val="21"/>
                      </w:rPr>
                      <w:t xml:space="preserve">     </w:t>
                    </w:r>
                  </w:p>
                </w:tc>
              </w:sdtContent>
            </w:sdt>
          </w:tr>
          <w:tr w:rsidR="00D21C1F" w14:paraId="0A01B7E4" w14:textId="77777777">
            <w:sdt>
              <w:sdtPr>
                <w:tag w:val="_PLD_ceb3f10c4ad1406d91b44f6719ebf8fb"/>
                <w:id w:val="-868300232"/>
                <w:lock w:val="sdtLocked"/>
              </w:sdtPr>
              <w:sdtEndPr/>
              <w:sdtContent>
                <w:tc>
                  <w:tcPr>
                    <w:tcW w:w="2241" w:type="pct"/>
                    <w:shd w:val="clear" w:color="auto" w:fill="auto"/>
                    <w:vAlign w:val="center"/>
                  </w:tcPr>
                  <w:p w14:paraId="3AAE65DF" w14:textId="77777777" w:rsidR="00D21C1F" w:rsidRDefault="00A42880">
                    <w:pPr>
                      <w:rPr>
                        <w:szCs w:val="21"/>
                      </w:rPr>
                    </w:pPr>
                    <w:r>
                      <w:rPr>
                        <w:rFonts w:hint="eastAsia"/>
                        <w:szCs w:val="21"/>
                      </w:rPr>
                      <w:t>因不可抗力因素，如遭受自然灾害而计提的各项资产减值准备</w:t>
                    </w:r>
                  </w:p>
                </w:tc>
              </w:sdtContent>
            </w:sdt>
            <w:sdt>
              <w:sdtPr>
                <w:rPr>
                  <w:rFonts w:ascii="Times New Roman" w:hAnsi="Times New Roman" w:cs="Times New Roman"/>
                  <w:szCs w:val="21"/>
                </w:rPr>
                <w:alias w:val="因不可抗力因素，如遭受自然灾害而计提的各项资产减值准备（非经常性损益项目）"/>
                <w:tag w:val="_GBC_40e59f580b8446b6a448bfa2d9c39106"/>
                <w:id w:val="941485881"/>
                <w:lock w:val="sdtLocked"/>
                <w:dataBinding w:prefixMappings="xmlns:clcid-pte='clcid-pte'" w:xpath="/*/clcid-pte:FeiJingChangXingSunYiZhongJiTiDeGeXiangZiChanJianZhiZhunBei[not(@periodRef)]" w:storeItemID="{89EBAB94-44A0-46A2-B712-30D997D04A6D}"/>
                <w:text/>
              </w:sdtPr>
              <w:sdtEndPr/>
              <w:sdtContent>
                <w:tc>
                  <w:tcPr>
                    <w:tcW w:w="1377" w:type="pct"/>
                    <w:shd w:val="clear" w:color="auto" w:fill="auto"/>
                    <w:vAlign w:val="bottom"/>
                  </w:tcPr>
                  <w:p w14:paraId="4F86FD7E"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因不可抗力因素，如遭受自然灾害而计提的各项资产减值准备的说明（非经常性损益项目）"/>
                <w:tag w:val="_GBC_4f29c0d978134f4d9ade4cfb9e6e5bfa"/>
                <w:id w:val="-1164550373"/>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14:paraId="08B7B0AE" w14:textId="77777777" w:rsidR="00D21C1F" w:rsidRDefault="00A42880">
                    <w:pPr>
                      <w:rPr>
                        <w:szCs w:val="21"/>
                      </w:rPr>
                    </w:pPr>
                    <w:r>
                      <w:rPr>
                        <w:szCs w:val="21"/>
                      </w:rPr>
                      <w:t xml:space="preserve">     </w:t>
                    </w:r>
                  </w:p>
                </w:tc>
              </w:sdtContent>
            </w:sdt>
          </w:tr>
          <w:tr w:rsidR="00D21C1F" w14:paraId="144B9A2A" w14:textId="77777777">
            <w:sdt>
              <w:sdtPr>
                <w:tag w:val="_PLD_176b3ea3b8024c5c8cfe828e8d88f77b"/>
                <w:id w:val="-194311375"/>
                <w:lock w:val="sdtLocked"/>
              </w:sdtPr>
              <w:sdtEndPr/>
              <w:sdtContent>
                <w:tc>
                  <w:tcPr>
                    <w:tcW w:w="2241" w:type="pct"/>
                    <w:shd w:val="clear" w:color="auto" w:fill="auto"/>
                    <w:vAlign w:val="center"/>
                  </w:tcPr>
                  <w:p w14:paraId="7EF84D89" w14:textId="77777777" w:rsidR="00D21C1F" w:rsidRDefault="00A42880">
                    <w:pPr>
                      <w:rPr>
                        <w:szCs w:val="21"/>
                      </w:rPr>
                    </w:pPr>
                    <w:r>
                      <w:rPr>
                        <w:rFonts w:hint="eastAsia"/>
                        <w:szCs w:val="21"/>
                      </w:rPr>
                      <w:t>债务重组损益</w:t>
                    </w:r>
                  </w:p>
                </w:tc>
              </w:sdtContent>
            </w:sdt>
            <w:sdt>
              <w:sdtPr>
                <w:rPr>
                  <w:rFonts w:ascii="Times New Roman" w:hAnsi="Times New Roman" w:cs="Times New Roman"/>
                  <w:szCs w:val="21"/>
                </w:rPr>
                <w:alias w:val="债务重组损益（非经常性损益项目）"/>
                <w:tag w:val="_GBC_562f390e991e466084ffd0680a094232"/>
                <w:id w:val="-1859424497"/>
                <w:lock w:val="sdtLocked"/>
                <w:dataBinding w:prefixMappings="xmlns:clcid-pte='clcid-pte'" w:xpath="/*/clcid-pte:FeiJingChangXingSunYiZhongZhaiWuZhongZuSunYi[not(@periodRef)]" w:storeItemID="{89EBAB94-44A0-46A2-B712-30D997D04A6D}"/>
                <w:text/>
              </w:sdtPr>
              <w:sdtEndPr/>
              <w:sdtContent>
                <w:tc>
                  <w:tcPr>
                    <w:tcW w:w="1377" w:type="pct"/>
                    <w:shd w:val="clear" w:color="auto" w:fill="auto"/>
                    <w:vAlign w:val="bottom"/>
                  </w:tcPr>
                  <w:p w14:paraId="16C38B51"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债务重组损益的说明（非经常性损益项目）"/>
                <w:tag w:val="_GBC_f43aef808f214d7383de39e3b6c398f4"/>
                <w:id w:val="-445085287"/>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14:paraId="66C4505B" w14:textId="77777777" w:rsidR="00D21C1F" w:rsidRDefault="00A42880">
                    <w:pPr>
                      <w:rPr>
                        <w:szCs w:val="21"/>
                      </w:rPr>
                    </w:pPr>
                    <w:r>
                      <w:rPr>
                        <w:szCs w:val="21"/>
                      </w:rPr>
                      <w:t xml:space="preserve">     </w:t>
                    </w:r>
                  </w:p>
                </w:tc>
              </w:sdtContent>
            </w:sdt>
          </w:tr>
          <w:tr w:rsidR="00D21C1F" w14:paraId="4CA7C8C8" w14:textId="77777777">
            <w:sdt>
              <w:sdtPr>
                <w:tag w:val="_PLD_36690c4bef8e47aa953ed83e202e410d"/>
                <w:id w:val="208696552"/>
                <w:lock w:val="sdtLocked"/>
              </w:sdtPr>
              <w:sdtEndPr/>
              <w:sdtContent>
                <w:tc>
                  <w:tcPr>
                    <w:tcW w:w="2241" w:type="pct"/>
                    <w:shd w:val="clear" w:color="auto" w:fill="auto"/>
                    <w:vAlign w:val="center"/>
                  </w:tcPr>
                  <w:p w14:paraId="3365EE56" w14:textId="77777777" w:rsidR="00D21C1F" w:rsidRDefault="00A42880">
                    <w:pPr>
                      <w:rPr>
                        <w:szCs w:val="21"/>
                      </w:rPr>
                    </w:pPr>
                    <w:r>
                      <w:rPr>
                        <w:rFonts w:hint="eastAsia"/>
                        <w:szCs w:val="21"/>
                      </w:rPr>
                      <w:t>企业重组费用，如安置职工的支出、整合费用等</w:t>
                    </w:r>
                  </w:p>
                </w:tc>
              </w:sdtContent>
            </w:sdt>
            <w:sdt>
              <w:sdtPr>
                <w:rPr>
                  <w:rFonts w:ascii="Times New Roman" w:hAnsi="Times New Roman" w:cs="Times New Roman"/>
                  <w:szCs w:val="21"/>
                </w:rPr>
                <w:alias w:val="企业重组费用，如安置职工的支出、整合费用等（非经常性损益项目）"/>
                <w:tag w:val="_GBC_56ec47ca87774d5abcabbca8deefec34"/>
                <w:id w:val="1163281895"/>
                <w:lock w:val="sdtLocked"/>
                <w:dataBinding w:prefixMappings="xmlns:clcid-pte='clcid-pte'" w:xpath="/*/clcid-pte:QiYeZhongZuFeiYongRuAnZhiZhiGongDeZhiChuZhengHeFeiYongDeng[not(@periodRef)]" w:storeItemID="{89EBAB94-44A0-46A2-B712-30D997D04A6D}"/>
                <w:text/>
              </w:sdtPr>
              <w:sdtEndPr/>
              <w:sdtContent>
                <w:tc>
                  <w:tcPr>
                    <w:tcW w:w="1377" w:type="pct"/>
                    <w:shd w:val="clear" w:color="auto" w:fill="auto"/>
                    <w:vAlign w:val="bottom"/>
                  </w:tcPr>
                  <w:p w14:paraId="6875321B"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企业重组费用，如安置职工的支出、整合费用等的说明（非经常性损益项目）"/>
                <w:tag w:val="_GBC_a7c33259b38d4d119cc648f5a3558bfe"/>
                <w:id w:val="101156715"/>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14:paraId="73101FFB" w14:textId="77777777" w:rsidR="00D21C1F" w:rsidRDefault="00A42880">
                    <w:pPr>
                      <w:rPr>
                        <w:szCs w:val="21"/>
                      </w:rPr>
                    </w:pPr>
                    <w:r>
                      <w:rPr>
                        <w:szCs w:val="21"/>
                      </w:rPr>
                      <w:t xml:space="preserve">     </w:t>
                    </w:r>
                  </w:p>
                </w:tc>
              </w:sdtContent>
            </w:sdt>
          </w:tr>
          <w:tr w:rsidR="00D21C1F" w14:paraId="1EA1534A" w14:textId="77777777">
            <w:sdt>
              <w:sdtPr>
                <w:tag w:val="_PLD_96c460441b004ae1a19c7e13461c5c75"/>
                <w:id w:val="1589037105"/>
                <w:lock w:val="sdtLocked"/>
              </w:sdtPr>
              <w:sdtEndPr/>
              <w:sdtContent>
                <w:tc>
                  <w:tcPr>
                    <w:tcW w:w="2241" w:type="pct"/>
                    <w:shd w:val="clear" w:color="auto" w:fill="auto"/>
                    <w:vAlign w:val="center"/>
                  </w:tcPr>
                  <w:p w14:paraId="5BCE905F" w14:textId="77777777" w:rsidR="00D21C1F" w:rsidRDefault="00A42880">
                    <w:pPr>
                      <w:rPr>
                        <w:szCs w:val="21"/>
                      </w:rPr>
                    </w:pPr>
                    <w:r>
                      <w:rPr>
                        <w:rFonts w:hint="eastAsia"/>
                        <w:szCs w:val="21"/>
                      </w:rPr>
                      <w:t>交易价格显失公允的交易产生的超过公允价值部分的损益</w:t>
                    </w:r>
                  </w:p>
                </w:tc>
              </w:sdtContent>
            </w:sdt>
            <w:sdt>
              <w:sdtPr>
                <w:rPr>
                  <w:rFonts w:ascii="Times New Roman" w:hAnsi="Times New Roman" w:cs="Times New Roman"/>
                  <w:szCs w:val="21"/>
                </w:rPr>
                <w:alias w:val="交易价格显失公允的交易产生的超过公允价值部分的损益（非经常性损益项目）"/>
                <w:tag w:val="_GBC_6704ec57bd314db499ba1bfa7fe212ec"/>
                <w:id w:val="1475721652"/>
                <w:lock w:val="sdtLocked"/>
                <w:dataBinding w:prefixMappings="xmlns:clcid-pte='clcid-pte'" w:xpath="/*/clcid-pte:FeiJingChangXingSunYiZhongJiaoYiJiaGeXianShiGongYunDeJiaoYiChanShengDeSunYi[not(@periodRef)]" w:storeItemID="{89EBAB94-44A0-46A2-B712-30D997D04A6D}"/>
                <w:text/>
              </w:sdtPr>
              <w:sdtEndPr/>
              <w:sdtContent>
                <w:tc>
                  <w:tcPr>
                    <w:tcW w:w="1377" w:type="pct"/>
                    <w:shd w:val="clear" w:color="auto" w:fill="auto"/>
                    <w:vAlign w:val="bottom"/>
                  </w:tcPr>
                  <w:p w14:paraId="1E85860C"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交易价格显失公允的交易产生的超过公允价值部分的损益的说明（非经常性损益项目）"/>
                <w:tag w:val="_GBC_8924193e761244e8b5efdfb510613a4f"/>
                <w:id w:val="-1954467679"/>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14:paraId="037445AB" w14:textId="77777777" w:rsidR="00D21C1F" w:rsidRDefault="00A42880">
                    <w:pPr>
                      <w:rPr>
                        <w:szCs w:val="21"/>
                      </w:rPr>
                    </w:pPr>
                    <w:r>
                      <w:rPr>
                        <w:szCs w:val="21"/>
                      </w:rPr>
                      <w:t xml:space="preserve">     </w:t>
                    </w:r>
                  </w:p>
                </w:tc>
              </w:sdtContent>
            </w:sdt>
          </w:tr>
          <w:tr w:rsidR="00D21C1F" w14:paraId="4E0EA85F" w14:textId="77777777">
            <w:sdt>
              <w:sdtPr>
                <w:tag w:val="_PLD_42cb9feac45d475db521c5436a75bf7e"/>
                <w:id w:val="-499203060"/>
                <w:lock w:val="sdtLocked"/>
              </w:sdtPr>
              <w:sdtEndPr/>
              <w:sdtContent>
                <w:tc>
                  <w:tcPr>
                    <w:tcW w:w="2241" w:type="pct"/>
                    <w:shd w:val="clear" w:color="auto" w:fill="auto"/>
                    <w:vAlign w:val="center"/>
                  </w:tcPr>
                  <w:p w14:paraId="2E051121" w14:textId="77777777" w:rsidR="00D21C1F" w:rsidRDefault="00A42880">
                    <w:pPr>
                      <w:rPr>
                        <w:szCs w:val="21"/>
                      </w:rPr>
                    </w:pPr>
                    <w:r>
                      <w:rPr>
                        <w:rFonts w:hint="eastAsia"/>
                        <w:szCs w:val="21"/>
                      </w:rPr>
                      <w:t>同一控制下企业合并产生的子公司期初至合并日的当期净损益</w:t>
                    </w:r>
                  </w:p>
                </w:tc>
              </w:sdtContent>
            </w:sdt>
            <w:sdt>
              <w:sdtPr>
                <w:rPr>
                  <w:rFonts w:ascii="Times New Roman" w:hAnsi="Times New Roman" w:cs="Times New Roman"/>
                  <w:szCs w:val="21"/>
                </w:rPr>
                <w:alias w:val="同一控制下企业合并产生的子公司期初至合并日的当期净损益（非经常性损益项目）"/>
                <w:tag w:val="_GBC_41b40e6e0f3848d69f00e71731aaf0e1"/>
                <w:id w:val="1744679691"/>
                <w:lock w:val="sdtLocked"/>
                <w:dataBinding w:prefixMappings="xmlns:clcid-pte='clcid-pte'" w:xpath="/*/clcid-pte:TongYiKongZhiXiaQiYeHeBingChanShengDeZiGongSiQiChuZhiHeBingRiDeDangQiJingSunYi[not(@periodRef)]" w:storeItemID="{89EBAB94-44A0-46A2-B712-30D997D04A6D}"/>
                <w:text/>
              </w:sdtPr>
              <w:sdtEndPr/>
              <w:sdtContent>
                <w:tc>
                  <w:tcPr>
                    <w:tcW w:w="1377" w:type="pct"/>
                    <w:shd w:val="clear" w:color="auto" w:fill="auto"/>
                    <w:vAlign w:val="bottom"/>
                  </w:tcPr>
                  <w:p w14:paraId="136EF143"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同一控制下企业合并产生的子公司期初至合并日的当期净损益的说明（非经常性损益项目）"/>
                <w:tag w:val="_GBC_b89a03114e86456eb0c9e31e114ed87a"/>
                <w:id w:val="178012255"/>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14:paraId="222A5BC0" w14:textId="77777777" w:rsidR="00D21C1F" w:rsidRDefault="00A42880">
                    <w:pPr>
                      <w:rPr>
                        <w:szCs w:val="21"/>
                      </w:rPr>
                    </w:pPr>
                    <w:r>
                      <w:rPr>
                        <w:szCs w:val="21"/>
                      </w:rPr>
                      <w:t xml:space="preserve">     </w:t>
                    </w:r>
                  </w:p>
                </w:tc>
              </w:sdtContent>
            </w:sdt>
          </w:tr>
          <w:tr w:rsidR="00D21C1F" w14:paraId="62C9C56C" w14:textId="77777777">
            <w:sdt>
              <w:sdtPr>
                <w:tag w:val="_PLD_7fc55b419222469eac67ff689744c277"/>
                <w:id w:val="-1014377397"/>
                <w:lock w:val="sdtLocked"/>
              </w:sdtPr>
              <w:sdtEndPr/>
              <w:sdtContent>
                <w:tc>
                  <w:tcPr>
                    <w:tcW w:w="2241" w:type="pct"/>
                    <w:shd w:val="clear" w:color="auto" w:fill="auto"/>
                    <w:vAlign w:val="center"/>
                  </w:tcPr>
                  <w:p w14:paraId="235E1343" w14:textId="77777777" w:rsidR="00D21C1F" w:rsidRDefault="00A42880">
                    <w:pPr>
                      <w:rPr>
                        <w:szCs w:val="21"/>
                      </w:rPr>
                    </w:pPr>
                    <w:r>
                      <w:rPr>
                        <w:rFonts w:hint="eastAsia"/>
                        <w:szCs w:val="21"/>
                      </w:rPr>
                      <w:t>与公司正常经营业务无关的或有事项产生的损益</w:t>
                    </w:r>
                  </w:p>
                </w:tc>
              </w:sdtContent>
            </w:sdt>
            <w:sdt>
              <w:sdtPr>
                <w:rPr>
                  <w:rFonts w:ascii="Times New Roman" w:hAnsi="Times New Roman" w:cs="Times New Roman"/>
                  <w:szCs w:val="21"/>
                </w:rPr>
                <w:alias w:val="与公司正常经营业务无关的或有事项产生的损益（非经常性损益项目）"/>
                <w:tag w:val="_GBC_87c0e437c14d4dd3bd5dd001c159ec09"/>
                <w:id w:val="-1738850210"/>
                <w:lock w:val="sdtLocked"/>
                <w:dataBinding w:prefixMappings="xmlns:clcid-pte='clcid-pte'" w:xpath="/*/clcid-pte:YuGongSiZhuYingYeWuWuGuanDeYuJiFuZhaiChanShengDeSunYi[not(@periodRef)]" w:storeItemID="{89EBAB94-44A0-46A2-B712-30D997D04A6D}"/>
                <w:text/>
              </w:sdtPr>
              <w:sdtEndPr/>
              <w:sdtContent>
                <w:tc>
                  <w:tcPr>
                    <w:tcW w:w="1377" w:type="pct"/>
                    <w:shd w:val="clear" w:color="auto" w:fill="auto"/>
                    <w:vAlign w:val="bottom"/>
                  </w:tcPr>
                  <w:p w14:paraId="6B15C781"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与公司正常经营业务无关的或有事项产生的损益的说明（非经常性损益项目）"/>
                <w:tag w:val="_GBC_c092dcb18a4049e7b48c3f5c5a57f1aa"/>
                <w:id w:val="-1657910145"/>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14:paraId="3D939BB8" w14:textId="77777777" w:rsidR="00D21C1F" w:rsidRDefault="00A42880">
                    <w:pPr>
                      <w:rPr>
                        <w:szCs w:val="21"/>
                      </w:rPr>
                    </w:pPr>
                    <w:r>
                      <w:rPr>
                        <w:szCs w:val="21"/>
                      </w:rPr>
                      <w:t xml:space="preserve">     </w:t>
                    </w:r>
                  </w:p>
                </w:tc>
              </w:sdtContent>
            </w:sdt>
          </w:tr>
          <w:tr w:rsidR="00D21C1F" w14:paraId="049A2F6A" w14:textId="77777777">
            <w:tc>
              <w:tcPr>
                <w:tcW w:w="2241" w:type="pct"/>
                <w:shd w:val="clear" w:color="auto" w:fill="auto"/>
                <w:vAlign w:val="center"/>
              </w:tcPr>
              <w:sdt>
                <w:sdtPr>
                  <w:rPr>
                    <w:rFonts w:hint="eastAsia"/>
                  </w:rPr>
                  <w:tag w:val="_PLD_c8d1dda81a0f44c187552ba8e70f0013"/>
                  <w:id w:val="-355743282"/>
                  <w:lock w:val="sdtLocked"/>
                </w:sdtPr>
                <w:sdtEndPr/>
                <w:sdtContent>
                  <w:p w14:paraId="71A7A96E" w14:textId="77777777" w:rsidR="00D21C1F" w:rsidRDefault="00A42880">
                    <w:pPr>
                      <w:pStyle w:val="97"/>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30456754229745f0b97eaee273d2a4a1"/>
                <w:id w:val="1561214218"/>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7" w:type="pct"/>
                    <w:shd w:val="clear" w:color="auto" w:fill="auto"/>
                    <w:vAlign w:val="bottom"/>
                  </w:tcPr>
                  <w:p w14:paraId="481BE210"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19,271,653.83</w:t>
                    </w:r>
                  </w:p>
                </w:tc>
              </w:sdtContent>
            </w:sdt>
            <w:sdt>
              <w:sdtPr>
                <w:rPr>
                  <w:szCs w:val="21"/>
                </w:rPr>
                <w:alias w:val="除同公司正常经营业务相关的有效套期保值业务外，持有交易性金融资产、衍生金融资产、交易性金融负债、衍生金融负债产生的公允价值变动损"/>
                <w:tag w:val="_GBC_e550f874b5b44395a6eea0cd28e58b6c"/>
                <w:id w:val="-225919802"/>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14:paraId="70BC5873" w14:textId="77777777" w:rsidR="00D21C1F" w:rsidRDefault="00A42880">
                    <w:pPr>
                      <w:rPr>
                        <w:szCs w:val="21"/>
                      </w:rPr>
                    </w:pPr>
                    <w:r>
                      <w:rPr>
                        <w:szCs w:val="21"/>
                      </w:rPr>
                      <w:t xml:space="preserve">     </w:t>
                    </w:r>
                  </w:p>
                </w:tc>
              </w:sdtContent>
            </w:sdt>
          </w:tr>
          <w:tr w:rsidR="00D21C1F" w14:paraId="64480A83" w14:textId="77777777">
            <w:tc>
              <w:tcPr>
                <w:tcW w:w="2241" w:type="pct"/>
                <w:shd w:val="clear" w:color="auto" w:fill="auto"/>
                <w:vAlign w:val="center"/>
              </w:tcPr>
              <w:sdt>
                <w:sdtPr>
                  <w:rPr>
                    <w:rFonts w:hint="eastAsia"/>
                  </w:rPr>
                  <w:tag w:val="_PLD_96504db5fe914312bc672892fec5c25b"/>
                  <w:id w:val="-2037881430"/>
                  <w:lock w:val="sdtLocked"/>
                </w:sdtPr>
                <w:sdtEndPr/>
                <w:sdtContent>
                  <w:p w14:paraId="2A199DE5" w14:textId="77777777" w:rsidR="00D21C1F" w:rsidRDefault="00A42880">
                    <w:pPr>
                      <w:pStyle w:val="97"/>
                    </w:pPr>
                    <w:r>
                      <w:rPr>
                        <w:rFonts w:hint="eastAsia"/>
                      </w:rPr>
                      <w:t>单独进行减值测试的应收款项、合同资产减值准备转回</w:t>
                    </w:r>
                  </w:p>
                </w:sdtContent>
              </w:sdt>
            </w:tc>
            <w:sdt>
              <w:sdtPr>
                <w:rPr>
                  <w:rFonts w:ascii="Times New Roman" w:hAnsi="Times New Roman" w:cs="Times New Roman"/>
                  <w:szCs w:val="21"/>
                </w:rPr>
                <w:alias w:val="单独进行减值测试的应收款项、合同资产减值准备转回（非经常性损益项目） "/>
                <w:tag w:val="_GBC_0dad62375b814507ac0f44483df2a2b4"/>
                <w:id w:val="2017807523"/>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7" w:type="pct"/>
                    <w:shd w:val="clear" w:color="auto" w:fill="auto"/>
                    <w:vAlign w:val="bottom"/>
                  </w:tcPr>
                  <w:p w14:paraId="33CB305C"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单独进行减值测试的应收款项、合同资产减值准备转回的说明（非经常性损益项目）"/>
                <w:tag w:val="_GBC_9bfa6a8beae249d79097f549d5202e73"/>
                <w:id w:val="174445014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tcPr>
                  <w:p w14:paraId="150B0EEB" w14:textId="77777777" w:rsidR="00D21C1F" w:rsidRDefault="00A42880">
                    <w:pPr>
                      <w:rPr>
                        <w:szCs w:val="21"/>
                      </w:rPr>
                    </w:pPr>
                    <w:r>
                      <w:rPr>
                        <w:szCs w:val="21"/>
                      </w:rPr>
                      <w:t xml:space="preserve">     </w:t>
                    </w:r>
                  </w:p>
                </w:tc>
              </w:sdtContent>
            </w:sdt>
          </w:tr>
          <w:tr w:rsidR="00D21C1F" w14:paraId="2E20D576" w14:textId="77777777">
            <w:sdt>
              <w:sdtPr>
                <w:tag w:val="_PLD_0d0ce84cff764cbf94ba500578ddc45d"/>
                <w:id w:val="-283512712"/>
                <w:lock w:val="sdtLocked"/>
              </w:sdtPr>
              <w:sdtEndPr/>
              <w:sdtContent>
                <w:tc>
                  <w:tcPr>
                    <w:tcW w:w="2241" w:type="pct"/>
                    <w:shd w:val="clear" w:color="auto" w:fill="auto"/>
                    <w:vAlign w:val="center"/>
                  </w:tcPr>
                  <w:p w14:paraId="3AC825D2" w14:textId="77777777" w:rsidR="00D21C1F" w:rsidRDefault="00A42880">
                    <w:pPr>
                      <w:rPr>
                        <w:szCs w:val="21"/>
                      </w:rPr>
                    </w:pPr>
                    <w:r>
                      <w:rPr>
                        <w:rFonts w:hint="eastAsia"/>
                        <w:szCs w:val="21"/>
                      </w:rPr>
                      <w:t>对外委托贷款取得的损益</w:t>
                    </w:r>
                  </w:p>
                </w:tc>
              </w:sdtContent>
            </w:sdt>
            <w:sdt>
              <w:sdtPr>
                <w:rPr>
                  <w:rFonts w:ascii="Times New Roman" w:hAnsi="Times New Roman" w:cs="Times New Roman"/>
                  <w:szCs w:val="21"/>
                </w:rPr>
                <w:alias w:val="对外委托贷款取得的损益（非经常性损益项目）"/>
                <w:tag w:val="_GBC_27b47ed06c97431897415150396a2093"/>
                <w:id w:val="-1500037303"/>
                <w:lock w:val="sdtLocked"/>
                <w:dataBinding w:prefixMappings="xmlns:clcid-pte='clcid-pte'" w:xpath="/*/clcid-pte:DuiWaiWeiTuoDaiKuanQuDeDeSunYi[not(@periodRef)]" w:storeItemID="{89EBAB94-44A0-46A2-B712-30D997D04A6D}"/>
                <w:text/>
              </w:sdtPr>
              <w:sdtEndPr/>
              <w:sdtContent>
                <w:tc>
                  <w:tcPr>
                    <w:tcW w:w="1377" w:type="pct"/>
                    <w:shd w:val="clear" w:color="auto" w:fill="auto"/>
                    <w:vAlign w:val="bottom"/>
                  </w:tcPr>
                  <w:p w14:paraId="2B5FC826"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对外委托贷款取得的损益的说明（非经常性损益项目）"/>
                <w:tag w:val="_GBC_72c375360c99465bb8170713ed413fe3"/>
                <w:id w:val="587668269"/>
                <w:lock w:val="sdtLocked"/>
                <w:showingPlcHdr/>
                <w:dataBinding w:prefixMappings="xmlns:clcid-pte='clcid-pte'" w:xpath="/*/clcid-pte:DuiWaiWeiTuoDaiKuanQuDeDeSunYiShuoMing[not(@periodRef)]" w:storeItemID="{89EBAB94-44A0-46A2-B712-30D997D04A6D}"/>
                <w:text/>
              </w:sdtPr>
              <w:sdtEndPr/>
              <w:sdtContent>
                <w:tc>
                  <w:tcPr>
                    <w:tcW w:w="1382" w:type="pct"/>
                  </w:tcPr>
                  <w:p w14:paraId="148E3200" w14:textId="77777777" w:rsidR="00D21C1F" w:rsidRDefault="00A42880">
                    <w:pPr>
                      <w:rPr>
                        <w:szCs w:val="21"/>
                      </w:rPr>
                    </w:pPr>
                    <w:r>
                      <w:rPr>
                        <w:szCs w:val="21"/>
                      </w:rPr>
                      <w:t xml:space="preserve">     </w:t>
                    </w:r>
                  </w:p>
                </w:tc>
              </w:sdtContent>
            </w:sdt>
          </w:tr>
          <w:tr w:rsidR="00D21C1F" w14:paraId="194B30D2" w14:textId="77777777">
            <w:sdt>
              <w:sdtPr>
                <w:tag w:val="_PLD_7681bf6967df4b049ee6f75b59a7329f"/>
                <w:id w:val="-312175587"/>
                <w:lock w:val="sdtLocked"/>
              </w:sdtPr>
              <w:sdtEndPr/>
              <w:sdtContent>
                <w:tc>
                  <w:tcPr>
                    <w:tcW w:w="2241" w:type="pct"/>
                    <w:shd w:val="clear" w:color="auto" w:fill="auto"/>
                    <w:vAlign w:val="center"/>
                  </w:tcPr>
                  <w:p w14:paraId="3CA9D0D5" w14:textId="77777777" w:rsidR="00D21C1F" w:rsidRDefault="00A42880">
                    <w:pPr>
                      <w:rPr>
                        <w:szCs w:val="21"/>
                      </w:rPr>
                    </w:pPr>
                    <w:r>
                      <w:rPr>
                        <w:rFonts w:hint="eastAsia"/>
                        <w:szCs w:val="21"/>
                      </w:rPr>
                      <w:t>采用公允价值模式进行后续计量的投资性房地产公允价值变动产生的损益</w:t>
                    </w:r>
                  </w:p>
                </w:tc>
              </w:sdtContent>
            </w:sdt>
            <w:sdt>
              <w:sdtPr>
                <w:rPr>
                  <w:rFonts w:ascii="Times New Roman" w:hAnsi="Times New Roman" w:cs="Times New Roman"/>
                  <w:szCs w:val="21"/>
                </w:rPr>
                <w:alias w:val="采用公允价值模式进行后续计量的投资性房地产公允价值变动产生的损益（非经常性损益项目）"/>
                <w:tag w:val="_GBC_190716d7e441475687cb1bc366ad6b0c"/>
                <w:id w:val="1833016667"/>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7" w:type="pct"/>
                    <w:shd w:val="clear" w:color="auto" w:fill="auto"/>
                    <w:vAlign w:val="bottom"/>
                  </w:tcPr>
                  <w:p w14:paraId="59BD415C"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采用公允价值模式进行后续计量的投资性房地产公允价值变动产生的损益的说明（非经常性损益项目）"/>
                <w:tag w:val="_GBC_c174c1c48c424f2b93a5298b3c87d544"/>
                <w:id w:val="493613311"/>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14:paraId="4C815949" w14:textId="77777777" w:rsidR="00D21C1F" w:rsidRDefault="00A42880">
                    <w:pPr>
                      <w:rPr>
                        <w:szCs w:val="21"/>
                      </w:rPr>
                    </w:pPr>
                    <w:r>
                      <w:rPr>
                        <w:szCs w:val="21"/>
                      </w:rPr>
                      <w:t xml:space="preserve">     </w:t>
                    </w:r>
                  </w:p>
                </w:tc>
              </w:sdtContent>
            </w:sdt>
          </w:tr>
          <w:tr w:rsidR="00D21C1F" w14:paraId="4230B186" w14:textId="77777777">
            <w:sdt>
              <w:sdtPr>
                <w:tag w:val="_PLD_2df64da7b21b4209afb1b2e1c87793a4"/>
                <w:id w:val="-680048120"/>
                <w:lock w:val="sdtLocked"/>
              </w:sdtPr>
              <w:sdtEndPr/>
              <w:sdtContent>
                <w:tc>
                  <w:tcPr>
                    <w:tcW w:w="2241" w:type="pct"/>
                    <w:shd w:val="clear" w:color="auto" w:fill="auto"/>
                    <w:vAlign w:val="center"/>
                  </w:tcPr>
                  <w:p w14:paraId="749C9FF5" w14:textId="77777777" w:rsidR="00D21C1F" w:rsidRDefault="00A42880">
                    <w:pPr>
                      <w:rPr>
                        <w:szCs w:val="21"/>
                      </w:rPr>
                    </w:pPr>
                    <w:r>
                      <w:rPr>
                        <w:rFonts w:hint="eastAsia"/>
                        <w:szCs w:val="21"/>
                      </w:rPr>
                      <w:t>根据税收、会计等法律、法规的要求对当期损益进行一次性调整对当期损益的影响</w:t>
                    </w:r>
                  </w:p>
                </w:tc>
              </w:sdtContent>
            </w:sdt>
            <w:sdt>
              <w:sdtPr>
                <w:rPr>
                  <w:rFonts w:ascii="Times New Roman" w:hAnsi="Times New Roman" w:cs="Times New Roman"/>
                  <w:szCs w:val="21"/>
                </w:rPr>
                <w:alias w:val="根据税收、会计等法律、法规的要求对当期损益进行一次性调整对当期损益的影响（非经常性损益项目）"/>
                <w:tag w:val="_GBC_58c2953c03634423ac62d3dec1a8cbf0"/>
                <w:id w:val="1906182197"/>
                <w:lock w:val="sdtLocked"/>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7" w:type="pct"/>
                    <w:shd w:val="clear" w:color="auto" w:fill="auto"/>
                    <w:vAlign w:val="bottom"/>
                  </w:tcPr>
                  <w:p w14:paraId="37B178A2"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根据税收、会计等法律、法规的要求对当期损益进行一次性调整对当期损益的影响的说明（非经常性损益项目）"/>
                <w:tag w:val="_GBC_b3ddb30991974cd88ba33a7fc1b11cdc"/>
                <w:id w:val="528843164"/>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14:paraId="2E6DB7CB" w14:textId="77777777" w:rsidR="00D21C1F" w:rsidRDefault="00A42880">
                    <w:pPr>
                      <w:rPr>
                        <w:szCs w:val="21"/>
                      </w:rPr>
                    </w:pPr>
                    <w:r>
                      <w:rPr>
                        <w:szCs w:val="21"/>
                      </w:rPr>
                      <w:t xml:space="preserve">     </w:t>
                    </w:r>
                  </w:p>
                </w:tc>
              </w:sdtContent>
            </w:sdt>
          </w:tr>
          <w:tr w:rsidR="00D21C1F" w14:paraId="0114C9FF" w14:textId="77777777">
            <w:sdt>
              <w:sdtPr>
                <w:tag w:val="_PLD_65e2f6f2a865433a904f980d5ad452f3"/>
                <w:id w:val="-1465349700"/>
                <w:lock w:val="sdtLocked"/>
              </w:sdtPr>
              <w:sdtEndPr/>
              <w:sdtContent>
                <w:tc>
                  <w:tcPr>
                    <w:tcW w:w="2241" w:type="pct"/>
                    <w:shd w:val="clear" w:color="auto" w:fill="auto"/>
                    <w:vAlign w:val="center"/>
                  </w:tcPr>
                  <w:p w14:paraId="61174628" w14:textId="77777777" w:rsidR="00D21C1F" w:rsidRDefault="00A42880">
                    <w:pPr>
                      <w:rPr>
                        <w:szCs w:val="21"/>
                      </w:rPr>
                    </w:pPr>
                    <w:r>
                      <w:rPr>
                        <w:rFonts w:hint="eastAsia"/>
                        <w:szCs w:val="21"/>
                      </w:rPr>
                      <w:t>受托经营取得的托管费收入</w:t>
                    </w:r>
                  </w:p>
                </w:tc>
              </w:sdtContent>
            </w:sdt>
            <w:sdt>
              <w:sdtPr>
                <w:rPr>
                  <w:rFonts w:ascii="Times New Roman" w:hAnsi="Times New Roman" w:cs="Times New Roman"/>
                  <w:szCs w:val="21"/>
                </w:rPr>
                <w:alias w:val="受托经营取得的托管费收入（非经常性损益项目）"/>
                <w:tag w:val="_GBC_663696f2cd0a4fd2bdca4465abf7993f"/>
                <w:id w:val="1513259716"/>
                <w:lock w:val="sdtLocked"/>
                <w:dataBinding w:prefixMappings="xmlns:clcid-pte='clcid-pte'" w:xpath="/*/clcid-pte:ShouTuoJingYingQuDeDeTuoGuanFeiShouRu[not(@periodRef)]" w:storeItemID="{89EBAB94-44A0-46A2-B712-30D997D04A6D}"/>
                <w:text/>
              </w:sdtPr>
              <w:sdtEndPr/>
              <w:sdtContent>
                <w:tc>
                  <w:tcPr>
                    <w:tcW w:w="1377" w:type="pct"/>
                    <w:shd w:val="clear" w:color="auto" w:fill="auto"/>
                    <w:vAlign w:val="bottom"/>
                  </w:tcPr>
                  <w:p w14:paraId="54EB5C9F"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szCs w:val="21"/>
                </w:rPr>
                <w:alias w:val="受托经营取得的托管费收入的说明（非经常性损益项目）"/>
                <w:tag w:val="_GBC_55cffaeec7534a328908ea82413d2702"/>
                <w:id w:val="-430593454"/>
                <w:lock w:val="sdtLocked"/>
                <w:showingPlcHdr/>
                <w:dataBinding w:prefixMappings="xmlns:clcid-pte='clcid-pte'" w:xpath="/*/clcid-pte:ShouTuoJingYingQuDeDeTuoGuanFeiShouRuShuoMing[not(@periodRef)]" w:storeItemID="{89EBAB94-44A0-46A2-B712-30D997D04A6D}"/>
                <w:text/>
              </w:sdtPr>
              <w:sdtEndPr/>
              <w:sdtContent>
                <w:tc>
                  <w:tcPr>
                    <w:tcW w:w="1382" w:type="pct"/>
                  </w:tcPr>
                  <w:p w14:paraId="644D35C6" w14:textId="77777777" w:rsidR="00D21C1F" w:rsidRDefault="00A42880">
                    <w:pPr>
                      <w:rPr>
                        <w:szCs w:val="21"/>
                      </w:rPr>
                    </w:pPr>
                    <w:r>
                      <w:rPr>
                        <w:szCs w:val="21"/>
                      </w:rPr>
                      <w:t xml:space="preserve">     </w:t>
                    </w:r>
                  </w:p>
                </w:tc>
              </w:sdtContent>
            </w:sdt>
          </w:tr>
          <w:tr w:rsidR="00D21C1F" w14:paraId="3021418C" w14:textId="77777777">
            <w:sdt>
              <w:sdtPr>
                <w:tag w:val="_PLD_b0f68967a04b4a8a89df6132091b7461"/>
                <w:id w:val="-2144801561"/>
                <w:lock w:val="sdtLocked"/>
              </w:sdtPr>
              <w:sdtEndPr/>
              <w:sdtContent>
                <w:tc>
                  <w:tcPr>
                    <w:tcW w:w="2241" w:type="pct"/>
                    <w:shd w:val="clear" w:color="auto" w:fill="auto"/>
                    <w:vAlign w:val="center"/>
                  </w:tcPr>
                  <w:p w14:paraId="1595DFAE" w14:textId="77777777" w:rsidR="00D21C1F" w:rsidRDefault="00A42880">
                    <w:pPr>
                      <w:rPr>
                        <w:szCs w:val="21"/>
                      </w:rPr>
                    </w:pPr>
                    <w:r>
                      <w:rPr>
                        <w:rFonts w:hint="eastAsia"/>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1023630733"/>
                <w:lock w:val="sdtLocked"/>
                <w:dataBinding w:prefixMappings="xmlns:clcid-pte='clcid-pte'" w:xpath="/*/clcid-pte:ChuShangShuGeXiangZhiWaiDeQiTaYingYeWaiShouZhiJingE[not(@periodRef)]" w:storeItemID="{89EBAB94-44A0-46A2-B712-30D997D04A6D}"/>
                <w:text/>
              </w:sdtPr>
              <w:sdtEndPr/>
              <w:sdtContent>
                <w:tc>
                  <w:tcPr>
                    <w:tcW w:w="1377" w:type="pct"/>
                    <w:shd w:val="clear" w:color="auto" w:fill="auto"/>
                    <w:vAlign w:val="bottom"/>
                  </w:tcPr>
                  <w:p w14:paraId="31B2D7DA"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4,898,543.95</w:t>
                    </w:r>
                  </w:p>
                </w:tc>
              </w:sdtContent>
            </w:sdt>
            <w:sdt>
              <w:sdtPr>
                <w:rPr>
                  <w:szCs w:val="21"/>
                </w:rPr>
                <w:alias w:val="除上述各项之外的其他营业外收入和支出的说明（非经常性损益项目）"/>
                <w:tag w:val="_GBC_c4fc3e35307e455db3b9161cb811a087"/>
                <w:id w:val="-2018147644"/>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14:paraId="350F89AB" w14:textId="77777777" w:rsidR="00D21C1F" w:rsidRDefault="00A42880">
                    <w:pPr>
                      <w:rPr>
                        <w:szCs w:val="21"/>
                      </w:rPr>
                    </w:pPr>
                    <w:r>
                      <w:rPr>
                        <w:szCs w:val="21"/>
                      </w:rPr>
                      <w:t xml:space="preserve">     </w:t>
                    </w:r>
                  </w:p>
                </w:tc>
              </w:sdtContent>
            </w:sdt>
          </w:tr>
          <w:tr w:rsidR="00D21C1F" w14:paraId="1A3AB5CE" w14:textId="77777777">
            <w:sdt>
              <w:sdtPr>
                <w:tag w:val="_PLD_659b510fa20e419f93068876515ea27a"/>
                <w:id w:val="-105422217"/>
                <w:lock w:val="sdtLocked"/>
              </w:sdtPr>
              <w:sdtEndPr/>
              <w:sdtContent>
                <w:tc>
                  <w:tcPr>
                    <w:tcW w:w="2241" w:type="pct"/>
                    <w:shd w:val="clear" w:color="auto" w:fill="auto"/>
                    <w:vAlign w:val="center"/>
                  </w:tcPr>
                  <w:p w14:paraId="06DC6095" w14:textId="77777777" w:rsidR="00D21C1F" w:rsidRDefault="00A42880">
                    <w:pPr>
                      <w:rPr>
                        <w:szCs w:val="21"/>
                      </w:rPr>
                    </w:pPr>
                    <w:r>
                      <w:rPr>
                        <w:rFonts w:hint="eastAsia"/>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fe4d2d743517484083fb57df1a93df08"/>
                <w:id w:val="-893421265"/>
                <w:lock w:val="sdtLocked"/>
                <w:dataBinding w:prefixMappings="xmlns:clcid-pte='clcid-pte'" w:xpath="/*/clcid-pte:QiTaFeiJingChangXingSunYiXiangMu[not(@periodRef)]" w:storeItemID="{89EBAB94-44A0-46A2-B712-30D997D04A6D}"/>
                <w:text/>
              </w:sdtPr>
              <w:sdtEndPr/>
              <w:sdtContent>
                <w:tc>
                  <w:tcPr>
                    <w:tcW w:w="1377" w:type="pct"/>
                    <w:shd w:val="clear" w:color="auto" w:fill="auto"/>
                    <w:vAlign w:val="bottom"/>
                  </w:tcPr>
                  <w:p w14:paraId="4F71DF40"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sdtContent>
            </w:sdt>
            <w:sdt>
              <w:sdtPr>
                <w:rPr>
                  <w:rFonts w:hint="eastAsia"/>
                  <w:szCs w:val="21"/>
                </w:rPr>
                <w:alias w:val="其他符合非经常性损益定义的损益项目说明（非经常性损益项目）"/>
                <w:tag w:val="_GBC_88d5aaf5624d44b4a912d7c291f5337b"/>
                <w:id w:val="1672686539"/>
                <w:lock w:val="sdtLocked"/>
                <w:showingPlcHdr/>
                <w:dataBinding w:prefixMappings="xmlns:clcid-pte='clcid-pte'" w:xpath="/*/clcid-pte:QiTaFeiJingChangXingSunYiXiangMuShuoMing[not(@periodRef)]" w:storeItemID="{89EBAB94-44A0-46A2-B712-30D997D04A6D}"/>
                <w:text/>
              </w:sdtPr>
              <w:sdtEndPr/>
              <w:sdtContent>
                <w:tc>
                  <w:tcPr>
                    <w:tcW w:w="1382" w:type="pct"/>
                  </w:tcPr>
                  <w:p w14:paraId="5E8E7566" w14:textId="77777777" w:rsidR="00D21C1F" w:rsidRDefault="00A42880">
                    <w:pPr>
                      <w:rPr>
                        <w:szCs w:val="21"/>
                      </w:rPr>
                    </w:pPr>
                    <w:r>
                      <w:rPr>
                        <w:szCs w:val="21"/>
                      </w:rPr>
                      <w:t xml:space="preserve">     </w:t>
                    </w:r>
                  </w:p>
                </w:tc>
              </w:sdtContent>
            </w:sdt>
          </w:tr>
          <w:sdt>
            <w:sdtPr>
              <w:rPr>
                <w:rFonts w:hint="eastAsia"/>
                <w:szCs w:val="21"/>
              </w:rPr>
              <w:alias w:val="扣除的非经常性损益"/>
              <w:tag w:val="_GBC_ae408d2619064c51be0ba5563e62d21d"/>
              <w:id w:val="1417361605"/>
              <w:lock w:val="sdtLocked"/>
              <w:placeholder>
                <w:docPart w:val="GBC11111111111111111111111111111"/>
              </w:placeholder>
            </w:sdtPr>
            <w:sdtEndPr/>
            <w:sdtContent>
              <w:tr w:rsidR="00D21C1F" w14:paraId="396E50EC" w14:textId="77777777">
                <w:tc>
                  <w:tcPr>
                    <w:tcW w:w="2241" w:type="pct"/>
                    <w:shd w:val="clear" w:color="auto" w:fill="auto"/>
                  </w:tcPr>
                  <w:p w14:paraId="595D5AF4" w14:textId="77777777" w:rsidR="00D21C1F" w:rsidRDefault="00D21C1F">
                    <w:pPr>
                      <w:rPr>
                        <w:szCs w:val="21"/>
                      </w:rPr>
                    </w:pPr>
                  </w:p>
                </w:tc>
                <w:tc>
                  <w:tcPr>
                    <w:tcW w:w="1377" w:type="pct"/>
                    <w:shd w:val="clear" w:color="auto" w:fill="auto"/>
                    <w:vAlign w:val="bottom"/>
                  </w:tcPr>
                  <w:p w14:paraId="6D77288A" w14:textId="77777777" w:rsidR="00D21C1F" w:rsidRPr="00AD5FDB" w:rsidRDefault="00D21C1F">
                    <w:pPr>
                      <w:jc w:val="right"/>
                      <w:rPr>
                        <w:rFonts w:ascii="Times New Roman" w:hAnsi="Times New Roman" w:cs="Times New Roman"/>
                        <w:szCs w:val="21"/>
                      </w:rPr>
                    </w:pPr>
                  </w:p>
                </w:tc>
                <w:tc>
                  <w:tcPr>
                    <w:tcW w:w="1382" w:type="pct"/>
                  </w:tcPr>
                  <w:p w14:paraId="0F5B378A" w14:textId="77777777" w:rsidR="00D21C1F" w:rsidRDefault="00D21C1F">
                    <w:pPr>
                      <w:rPr>
                        <w:szCs w:val="21"/>
                      </w:rPr>
                    </w:pPr>
                  </w:p>
                </w:tc>
              </w:tr>
            </w:sdtContent>
          </w:sdt>
          <w:sdt>
            <w:sdtPr>
              <w:rPr>
                <w:rFonts w:hint="eastAsia"/>
                <w:szCs w:val="21"/>
              </w:rPr>
              <w:alias w:val="扣除的非经常性损益"/>
              <w:tag w:val="_GBC_ae408d2619064c51be0ba5563e62d21d"/>
              <w:id w:val="1072633956"/>
              <w:lock w:val="sdtLocked"/>
              <w:placeholder>
                <w:docPart w:val="GBC11111111111111111111111111111"/>
              </w:placeholder>
            </w:sdtPr>
            <w:sdtEndPr/>
            <w:sdtContent>
              <w:tr w:rsidR="00D21C1F" w14:paraId="622D707E" w14:textId="77777777">
                <w:tc>
                  <w:tcPr>
                    <w:tcW w:w="2241" w:type="pct"/>
                    <w:shd w:val="clear" w:color="auto" w:fill="auto"/>
                  </w:tcPr>
                  <w:p w14:paraId="58233284" w14:textId="77777777" w:rsidR="00D21C1F" w:rsidRDefault="00D21C1F">
                    <w:pPr>
                      <w:rPr>
                        <w:szCs w:val="21"/>
                      </w:rPr>
                    </w:pPr>
                  </w:p>
                </w:tc>
                <w:tc>
                  <w:tcPr>
                    <w:tcW w:w="1377" w:type="pct"/>
                    <w:shd w:val="clear" w:color="auto" w:fill="auto"/>
                    <w:vAlign w:val="bottom"/>
                  </w:tcPr>
                  <w:p w14:paraId="5955E86A" w14:textId="77777777" w:rsidR="00D21C1F" w:rsidRPr="00AD5FDB" w:rsidRDefault="00D21C1F">
                    <w:pPr>
                      <w:jc w:val="right"/>
                      <w:rPr>
                        <w:rFonts w:ascii="Times New Roman" w:hAnsi="Times New Roman" w:cs="Times New Roman"/>
                        <w:szCs w:val="21"/>
                      </w:rPr>
                    </w:pPr>
                  </w:p>
                </w:tc>
                <w:tc>
                  <w:tcPr>
                    <w:tcW w:w="1382" w:type="pct"/>
                  </w:tcPr>
                  <w:p w14:paraId="4FC20B04" w14:textId="77777777" w:rsidR="00D21C1F" w:rsidRDefault="00D21C1F">
                    <w:pPr>
                      <w:rPr>
                        <w:szCs w:val="21"/>
                      </w:rPr>
                    </w:pPr>
                  </w:p>
                </w:tc>
              </w:tr>
            </w:sdtContent>
          </w:sdt>
          <w:tr w:rsidR="00D21C1F" w14:paraId="68369A12" w14:textId="77777777">
            <w:sdt>
              <w:sdtPr>
                <w:tag w:val="_PLD_8cbcd160f56e4221a63548c56021b209"/>
                <w:id w:val="-261304690"/>
                <w:lock w:val="sdtLocked"/>
              </w:sdtPr>
              <w:sdtEndPr/>
              <w:sdtContent>
                <w:tc>
                  <w:tcPr>
                    <w:tcW w:w="2241" w:type="pct"/>
                    <w:shd w:val="clear" w:color="auto" w:fill="auto"/>
                    <w:vAlign w:val="center"/>
                  </w:tcPr>
                  <w:p w14:paraId="04417C07" w14:textId="77777777" w:rsidR="00D21C1F" w:rsidRDefault="00A42880">
                    <w:pPr>
                      <w:rPr>
                        <w:szCs w:val="21"/>
                      </w:rPr>
                    </w:pPr>
                    <w:r>
                      <w:rPr>
                        <w:rFonts w:hint="eastAsia"/>
                        <w:szCs w:val="21"/>
                      </w:rPr>
                      <w:t>所得税影响额</w:t>
                    </w:r>
                  </w:p>
                </w:tc>
              </w:sdtContent>
            </w:sdt>
            <w:sdt>
              <w:sdtPr>
                <w:rPr>
                  <w:rFonts w:ascii="Times New Roman" w:hAnsi="Times New Roman" w:cs="Times New Roman"/>
                  <w:szCs w:val="21"/>
                </w:rPr>
                <w:alias w:val="非经常性损益_对所得税的影响"/>
                <w:tag w:val="_GBC_7c06520ea03942669b02b787ffcbb214"/>
                <w:id w:val="-1941984428"/>
                <w:lock w:val="sdtLocked"/>
                <w:dataBinding w:prefixMappings="xmlns:clcid-pte='clcid-pte'" w:xpath="/*/clcid-pte:FeiJingChangXingSunYiDeKouChuXiangMuDuiSuoDeShuiDeYingXiang[not(@periodRef)]" w:storeItemID="{89EBAB94-44A0-46A2-B712-30D997D04A6D}"/>
                <w:text/>
              </w:sdtPr>
              <w:sdtEndPr/>
              <w:sdtContent>
                <w:tc>
                  <w:tcPr>
                    <w:tcW w:w="1377" w:type="pct"/>
                    <w:shd w:val="clear" w:color="auto" w:fill="auto"/>
                    <w:vAlign w:val="bottom"/>
                  </w:tcPr>
                  <w:p w14:paraId="5F3FBB62"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-6,011,381.47</w:t>
                    </w:r>
                  </w:p>
                </w:tc>
              </w:sdtContent>
            </w:sdt>
            <w:sdt>
              <w:sdtPr>
                <w:rPr>
                  <w:szCs w:val="21"/>
                </w:rPr>
                <w:alias w:val="所得税影响额的说明（非经常性损益项目）"/>
                <w:tag w:val="_GBC_7ed1b962000f41dc8da48b033f074791"/>
                <w:id w:val="124362414"/>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14:paraId="2B048A33" w14:textId="77777777" w:rsidR="00D21C1F" w:rsidRDefault="00A42880">
                    <w:pPr>
                      <w:rPr>
                        <w:szCs w:val="21"/>
                      </w:rPr>
                    </w:pPr>
                    <w:r>
                      <w:rPr>
                        <w:szCs w:val="21"/>
                      </w:rPr>
                      <w:t xml:space="preserve">     </w:t>
                    </w:r>
                  </w:p>
                </w:tc>
              </w:sdtContent>
            </w:sdt>
          </w:tr>
          <w:tr w:rsidR="00D21C1F" w14:paraId="0D6C6273" w14:textId="77777777">
            <w:sdt>
              <w:sdtPr>
                <w:tag w:val="_PLD_f8bdffd50d284f23ab4d0b1e6b4b1b9e"/>
                <w:id w:val="-861514888"/>
                <w:lock w:val="sdtLocked"/>
              </w:sdtPr>
              <w:sdtEndPr/>
              <w:sdtContent>
                <w:tc>
                  <w:tcPr>
                    <w:tcW w:w="2241" w:type="pct"/>
                    <w:shd w:val="clear" w:color="auto" w:fill="auto"/>
                    <w:vAlign w:val="center"/>
                  </w:tcPr>
                  <w:p w14:paraId="11C192B0" w14:textId="77777777" w:rsidR="00D21C1F" w:rsidRDefault="00A42880">
                    <w:pPr>
                      <w:rPr>
                        <w:szCs w:val="21"/>
                      </w:rPr>
                    </w:pPr>
                    <w:r>
                      <w:rPr>
                        <w:rFonts w:hint="eastAsia"/>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1818453357"/>
                <w:lock w:val="sdtLocked"/>
                <w:dataBinding w:prefixMappings="xmlns:clcid-pte='clcid-pte'" w:xpath="/*/clcid-pte:FeiJingChangXingSunYiXiangMuZhongShaoShuGuDongQuanYiYingXiangE[not(@periodRef)]" w:storeItemID="{89EBAB94-44A0-46A2-B712-30D997D04A6D}"/>
                <w:text/>
              </w:sdtPr>
              <w:sdtEndPr/>
              <w:sdtContent>
                <w:tc>
                  <w:tcPr>
                    <w:tcW w:w="1377" w:type="pct"/>
                    <w:shd w:val="clear" w:color="auto" w:fill="auto"/>
                    <w:vAlign w:val="bottom"/>
                  </w:tcPr>
                  <w:p w14:paraId="4A251DDD"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-7,757.81</w:t>
                    </w:r>
                  </w:p>
                </w:tc>
              </w:sdtContent>
            </w:sdt>
            <w:sdt>
              <w:sdtPr>
                <w:rPr>
                  <w:szCs w:val="21"/>
                </w:rPr>
                <w:alias w:val="少数股东权益影响额的说明（非经常性损益项目）"/>
                <w:tag w:val="_GBC_c9a288fb29d348cbb8d20de9f399a549"/>
                <w:id w:val="1444655085"/>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14:paraId="0CF77C68" w14:textId="77777777" w:rsidR="00D21C1F" w:rsidRDefault="00A42880">
                    <w:pPr>
                      <w:rPr>
                        <w:szCs w:val="21"/>
                      </w:rPr>
                    </w:pPr>
                    <w:r>
                      <w:rPr>
                        <w:szCs w:val="21"/>
                      </w:rPr>
                      <w:t xml:space="preserve">     </w:t>
                    </w:r>
                  </w:p>
                </w:tc>
              </w:sdtContent>
            </w:sdt>
          </w:tr>
          <w:tr w:rsidR="00D21C1F" w14:paraId="33E78886" w14:textId="77777777">
            <w:sdt>
              <w:sdtPr>
                <w:tag w:val="_PLD_f4375b3f262d423d9aed45796f2bf18d"/>
                <w:id w:val="2062275085"/>
                <w:lock w:val="sdtLocked"/>
              </w:sdtPr>
              <w:sdtEndPr/>
              <w:sdtContent>
                <w:tc>
                  <w:tcPr>
                    <w:tcW w:w="2241" w:type="pct"/>
                    <w:shd w:val="clear" w:color="auto" w:fill="auto"/>
                    <w:vAlign w:val="center"/>
                  </w:tcPr>
                  <w:p w14:paraId="12097FE4" w14:textId="77777777" w:rsidR="00D21C1F" w:rsidRDefault="00A42880">
                    <w:pPr>
                      <w:jc w:val="center"/>
                      <w:rPr>
                        <w:szCs w:val="21"/>
                      </w:rPr>
                    </w:pPr>
                    <w:r>
                      <w:rPr>
                        <w:rFonts w:hint="eastAsia"/>
                        <w:szCs w:val="21"/>
                      </w:rPr>
                      <w:t>合计</w:t>
                    </w:r>
                  </w:p>
                </w:tc>
              </w:sdtContent>
            </w:sdt>
            <w:sdt>
              <w:sdtPr>
                <w:rPr>
                  <w:rFonts w:ascii="Times New Roman" w:hAnsi="Times New Roman" w:cs="Times New Roman"/>
                  <w:szCs w:val="21"/>
                </w:rPr>
                <w:alias w:val="扣除的非经常性损益合计"/>
                <w:tag w:val="_GBC_dbd56aa5278f45e1a3a0a62cc2b32d3d"/>
                <w:id w:val="-1827509721"/>
                <w:lock w:val="sdtLocked"/>
                <w:dataBinding w:prefixMappings="xmlns:clcid-pte='clcid-pte'" w:xpath="/*/clcid-pte:KouChuDeFeiJingChangXingSunYiHeJi[not(@periodRef)]" w:storeItemID="{89EBAB94-44A0-46A2-B712-30D997D04A6D}"/>
                <w:text/>
              </w:sdtPr>
              <w:sdtEndPr/>
              <w:sdtContent>
                <w:tc>
                  <w:tcPr>
                    <w:tcW w:w="1377" w:type="pct"/>
                    <w:shd w:val="clear" w:color="auto" w:fill="auto"/>
                    <w:vAlign w:val="bottom"/>
                  </w:tcPr>
                  <w:p w14:paraId="117C0474"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25,675,370.14</w:t>
                    </w:r>
                  </w:p>
                </w:tc>
              </w:sdtContent>
            </w:sdt>
            <w:sdt>
              <w:sdtPr>
                <w:rPr>
                  <w:rFonts w:hint="eastAsia"/>
                  <w:szCs w:val="21"/>
                </w:rPr>
                <w:alias w:val="扣除的非经常性损益合计说明"/>
                <w:tag w:val="_GBC_fd47d890fc7a493192e451b6575f5e8a"/>
                <w:id w:val="-1268612088"/>
                <w:lock w:val="sdtLocked"/>
                <w:showingPlcHdr/>
                <w:dataBinding w:prefixMappings="xmlns:clcid-pte='clcid-pte'" w:xpath="/*/clcid-pte:KouChuDeFeiJingChangXingSunYiHeJiShuoMing[not(@periodRef)]" w:storeItemID="{89EBAB94-44A0-46A2-B712-30D997D04A6D}"/>
                <w:text/>
              </w:sdtPr>
              <w:sdtEndPr/>
              <w:sdtContent>
                <w:tc>
                  <w:tcPr>
                    <w:tcW w:w="1382" w:type="pct"/>
                  </w:tcPr>
                  <w:p w14:paraId="5DC39993" w14:textId="77777777" w:rsidR="00D21C1F" w:rsidRDefault="00A42880">
                    <w:pPr>
                      <w:rPr>
                        <w:szCs w:val="21"/>
                      </w:rPr>
                    </w:pPr>
                    <w:r>
                      <w:rPr>
                        <w:szCs w:val="21"/>
                      </w:rPr>
                      <w:t xml:space="preserve">     </w:t>
                    </w:r>
                  </w:p>
                </w:tc>
              </w:sdtContent>
            </w:sdt>
          </w:tr>
        </w:tbl>
        <w:p w14:paraId="546D5AA4" w14:textId="77777777" w:rsidR="00D21C1F" w:rsidRDefault="00045EC6">
          <w:pPr>
            <w:pStyle w:val="97"/>
          </w:pPr>
        </w:p>
      </w:sdtContent>
    </w:sdt>
    <w:bookmarkEnd w:id="342" w:displacedByCustomXml="next"/>
    <w:sdt>
      <w:sdtPr>
        <w:rPr>
          <w:rFonts w:hint="eastAsia"/>
          <w:szCs w:val="21"/>
        </w:rPr>
        <w:alias w:val="模块:对公司根据《公开发行证券的公司信息披露解释性公告第1号——非..."/>
        <w:tag w:val="_GBC_7944e47348cd4cd186b958ba1902ea3f"/>
        <w:id w:val="-816565209"/>
        <w:lock w:val="sdtLocked"/>
        <w:placeholder>
          <w:docPart w:val="GBC22222222222222222222222222222"/>
        </w:placeholder>
      </w:sdtPr>
      <w:sdtEndPr>
        <w:rPr>
          <w:rFonts w:hint="default"/>
        </w:rPr>
      </w:sdtEndPr>
      <w:sdtContent>
        <w:p w14:paraId="023B16E1" w14:textId="77777777" w:rsidR="00D21C1F" w:rsidRDefault="00A42880">
          <w:pPr>
            <w:rPr>
              <w:szCs w:val="21"/>
            </w:rPr>
          </w:pPr>
          <w:r>
            <w:rPr>
              <w:rFonts w:hint="eastAsia"/>
              <w:szCs w:val="21"/>
            </w:rPr>
            <w:t>对公司根据《公开发行证券的公司信息披露解释性公告第</w:t>
          </w:r>
          <w:r>
            <w:rPr>
              <w:rFonts w:ascii="Times New Roman" w:hAnsi="Times New Roman"/>
              <w:szCs w:val="21"/>
            </w:rPr>
            <w:t>1</w:t>
          </w:r>
          <w:r>
            <w:rPr>
              <w:szCs w:val="21"/>
            </w:rPr>
            <w:t>号——非经常性损益》定义界定的非经常性损益项目，以及把《公开发行证券的公司信息披露解释性公告第</w:t>
          </w:r>
          <w:r>
            <w:rPr>
              <w:rFonts w:ascii="Times New Roman" w:hAnsi="Times New Roman"/>
              <w:szCs w:val="21"/>
            </w:rPr>
            <w:t>1</w:t>
          </w:r>
          <w:r>
            <w:rPr>
              <w:szCs w:val="21"/>
            </w:rPr>
            <w:t>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211802139"/>
            <w:lock w:val="sdtLocked"/>
            <w:placeholder>
              <w:docPart w:val="GBC22222222222222222222222222222"/>
            </w:placeholder>
          </w:sdtPr>
          <w:sdtEndPr/>
          <w:sdtContent>
            <w:p w14:paraId="2FE96C4A" w14:textId="77777777" w:rsidR="00D21C1F" w:rsidRDefault="00A428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8EC0F5B" w14:textId="77777777" w:rsidR="00D21C1F" w:rsidRDefault="00D21C1F">
      <w:pPr>
        <w:rPr>
          <w:szCs w:val="21"/>
        </w:rPr>
      </w:pPr>
    </w:p>
    <w:sdt>
      <w:sdtPr>
        <w:rPr>
          <w:rFonts w:ascii="宋体" w:eastAsia="宋体" w:hAnsi="宋体" w:cs="宋体" w:hint="eastAsia"/>
          <w:b w:val="0"/>
          <w:bCs w:val="0"/>
          <w:kern w:val="0"/>
          <w:szCs w:val="21"/>
        </w:rPr>
        <w:alias w:val="模块:净资产收益率及每股收益"/>
        <w:tag w:val="_GBC_146d888914ac4591bea1ff0ea9e89617"/>
        <w:id w:val="151488790"/>
        <w:lock w:val="sdtLocked"/>
        <w:placeholder>
          <w:docPart w:val="GBC22222222222222222222222222222"/>
        </w:placeholder>
      </w:sdtPr>
      <w:sdtEndPr/>
      <w:sdtContent>
        <w:p w14:paraId="0315D095" w14:textId="77777777" w:rsidR="00D21C1F" w:rsidRDefault="00A42880">
          <w:pPr>
            <w:pStyle w:val="94"/>
            <w:numPr>
              <w:ilvl w:val="0"/>
              <w:numId w:val="153"/>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116496895"/>
            <w:lock w:val="sdtLocked"/>
            <w:placeholder>
              <w:docPart w:val="GBC22222222222222222222222222222"/>
            </w:placeholder>
          </w:sdtPr>
          <w:sdtEndPr/>
          <w:sdtContent>
            <w:p w14:paraId="76EF9248" w14:textId="77777777" w:rsidR="00D21C1F" w:rsidRDefault="00A42880">
              <w:pPr>
                <w:pStyle w:val="97"/>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88"/>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D21C1F" w14:paraId="50A3B27A" w14:textId="77777777">
            <w:trPr>
              <w:trHeight w:val="270"/>
            </w:trPr>
            <w:sdt>
              <w:sdtPr>
                <w:tag w:val="_PLD_680a8ba0e71a45459c0939cd6c78c07f"/>
                <w:id w:val="456063549"/>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5FCBD02A" w14:textId="77777777" w:rsidR="00D21C1F" w:rsidRDefault="00A42880">
                    <w:pPr>
                      <w:jc w:val="center"/>
                      <w:rPr>
                        <w:szCs w:val="21"/>
                      </w:rPr>
                    </w:pPr>
                    <w:r>
                      <w:rPr>
                        <w:szCs w:val="21"/>
                      </w:rPr>
                      <w:t>报告期利润</w:t>
                    </w:r>
                  </w:p>
                </w:tc>
              </w:sdtContent>
            </w:sdt>
            <w:sdt>
              <w:sdtPr>
                <w:tag w:val="_PLD_608d0086e1154f8ca6d3c34247132ef0"/>
                <w:id w:val="1437098735"/>
                <w:lock w:val="sdtLocked"/>
              </w:sdtPr>
              <w:sdtEndPr/>
              <w:sdtContent>
                <w:tc>
                  <w:tcPr>
                    <w:tcW w:w="1017" w:type="pct"/>
                    <w:vMerge w:val="restart"/>
                    <w:tcBorders>
                      <w:top w:val="single" w:sz="4" w:space="0" w:color="auto"/>
                      <w:left w:val="single" w:sz="4" w:space="0" w:color="auto"/>
                      <w:right w:val="single" w:sz="4" w:space="0" w:color="auto"/>
                    </w:tcBorders>
                    <w:vAlign w:val="center"/>
                  </w:tcPr>
                  <w:p w14:paraId="28FDBD57" w14:textId="77777777" w:rsidR="00D21C1F" w:rsidRDefault="00A42880">
                    <w:pPr>
                      <w:jc w:val="center"/>
                      <w:rPr>
                        <w:szCs w:val="21"/>
                      </w:rPr>
                    </w:pPr>
                    <w:r>
                      <w:rPr>
                        <w:szCs w:val="21"/>
                      </w:rPr>
                      <w:t>加权平均净资产收益率（%）</w:t>
                    </w:r>
                  </w:p>
                </w:tc>
              </w:sdtContent>
            </w:sdt>
            <w:sdt>
              <w:sdtPr>
                <w:tag w:val="_PLD_8b4a0bf973be4a19862ac5168193db93"/>
                <w:id w:val="-972054469"/>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29558388" w14:textId="77777777" w:rsidR="00D21C1F" w:rsidRDefault="00A42880">
                    <w:pPr>
                      <w:jc w:val="center"/>
                      <w:rPr>
                        <w:szCs w:val="21"/>
                      </w:rPr>
                    </w:pPr>
                    <w:r>
                      <w:rPr>
                        <w:szCs w:val="21"/>
                      </w:rPr>
                      <w:t>每股收益</w:t>
                    </w:r>
                  </w:p>
                </w:tc>
              </w:sdtContent>
            </w:sdt>
          </w:tr>
          <w:tr w:rsidR="00D21C1F" w14:paraId="4FDF0CFF" w14:textId="77777777">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3302C365" w14:textId="77777777" w:rsidR="00D21C1F" w:rsidRDefault="00D21C1F">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0C0EC1B3" w14:textId="77777777" w:rsidR="00D21C1F" w:rsidRDefault="00D21C1F">
                <w:pPr>
                  <w:jc w:val="center"/>
                  <w:rPr>
                    <w:szCs w:val="21"/>
                  </w:rPr>
                </w:pPr>
              </w:p>
            </w:tc>
            <w:sdt>
              <w:sdtPr>
                <w:tag w:val="_PLD_45472770a81744249d77e54c2efc412a"/>
                <w:id w:val="1365172146"/>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2D29B8DC" w14:textId="77777777" w:rsidR="00D21C1F" w:rsidRDefault="00A42880">
                    <w:pPr>
                      <w:jc w:val="center"/>
                      <w:rPr>
                        <w:szCs w:val="21"/>
                      </w:rPr>
                    </w:pPr>
                    <w:r>
                      <w:rPr>
                        <w:szCs w:val="21"/>
                      </w:rPr>
                      <w:t>基本每股收益</w:t>
                    </w:r>
                  </w:p>
                </w:tc>
              </w:sdtContent>
            </w:sdt>
            <w:sdt>
              <w:sdtPr>
                <w:tag w:val="_PLD_c4e5be0bbc134fa28e28895e1a12e02c"/>
                <w:id w:val="326330665"/>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34A598AE" w14:textId="77777777" w:rsidR="00D21C1F" w:rsidRDefault="00A42880">
                    <w:pPr>
                      <w:jc w:val="center"/>
                      <w:rPr>
                        <w:szCs w:val="21"/>
                      </w:rPr>
                    </w:pPr>
                    <w:r>
                      <w:rPr>
                        <w:szCs w:val="21"/>
                      </w:rPr>
                      <w:t>稀释每股收益</w:t>
                    </w:r>
                  </w:p>
                </w:tc>
              </w:sdtContent>
            </w:sdt>
          </w:tr>
          <w:tr w:rsidR="00D21C1F" w14:paraId="61C2E912" w14:textId="77777777">
            <w:trPr>
              <w:trHeight w:val="360"/>
            </w:trPr>
            <w:sdt>
              <w:sdtPr>
                <w:tag w:val="_PLD_c94607fd97d648bd8ca7517a2c7054ea"/>
                <w:id w:val="-1679039582"/>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3B027EE9" w14:textId="77777777" w:rsidR="00D21C1F" w:rsidRDefault="00A42880">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bottom"/>
              </w:tcPr>
              <w:p w14:paraId="69CB762D"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-2.72</w:t>
                </w:r>
              </w:p>
            </w:tc>
            <w:tc>
              <w:tcPr>
                <w:tcW w:w="1186" w:type="pct"/>
                <w:tcBorders>
                  <w:top w:val="single" w:sz="4" w:space="0" w:color="auto"/>
                  <w:left w:val="single" w:sz="4" w:space="0" w:color="auto"/>
                  <w:bottom w:val="single" w:sz="4" w:space="0" w:color="auto"/>
                  <w:right w:val="single" w:sz="4" w:space="0" w:color="auto"/>
                </w:tcBorders>
                <w:vAlign w:val="bottom"/>
              </w:tcPr>
              <w:p w14:paraId="3D818BC4"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-0.11</w:t>
                </w:r>
              </w:p>
            </w:tc>
            <w:tc>
              <w:tcPr>
                <w:tcW w:w="1187" w:type="pct"/>
                <w:tcBorders>
                  <w:top w:val="single" w:sz="4" w:space="0" w:color="auto"/>
                  <w:left w:val="single" w:sz="4" w:space="0" w:color="auto"/>
                  <w:bottom w:val="single" w:sz="4" w:space="0" w:color="auto"/>
                  <w:right w:val="single" w:sz="4" w:space="0" w:color="auto"/>
                </w:tcBorders>
                <w:vAlign w:val="bottom"/>
              </w:tcPr>
              <w:p w14:paraId="2DDBBBDD"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tr>
          <w:tr w:rsidR="00D21C1F" w14:paraId="12AA3933" w14:textId="77777777">
            <w:trPr>
              <w:trHeight w:val="360"/>
            </w:trPr>
            <w:sdt>
              <w:sdtPr>
                <w:tag w:val="_PLD_0794afc706e94e77876df1281577a7d9"/>
                <w:id w:val="634069360"/>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0D7444F0" w14:textId="77777777" w:rsidR="00D21C1F" w:rsidRDefault="00A42880">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bottom"/>
              </w:tcPr>
              <w:p w14:paraId="40856628"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-3.95</w:t>
                </w:r>
              </w:p>
            </w:tc>
            <w:tc>
              <w:tcPr>
                <w:tcW w:w="1186" w:type="pct"/>
                <w:tcBorders>
                  <w:top w:val="single" w:sz="4" w:space="0" w:color="auto"/>
                  <w:left w:val="single" w:sz="4" w:space="0" w:color="auto"/>
                  <w:bottom w:val="single" w:sz="4" w:space="0" w:color="auto"/>
                  <w:right w:val="single" w:sz="4" w:space="0" w:color="auto"/>
                </w:tcBorders>
                <w:vAlign w:val="bottom"/>
              </w:tcPr>
              <w:p w14:paraId="58ACE47F"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rPr>
                  <w:t>-0.16</w:t>
                </w:r>
              </w:p>
            </w:tc>
            <w:tc>
              <w:tcPr>
                <w:tcW w:w="1187" w:type="pct"/>
                <w:tcBorders>
                  <w:top w:val="single" w:sz="4" w:space="0" w:color="auto"/>
                  <w:left w:val="single" w:sz="4" w:space="0" w:color="auto"/>
                  <w:bottom w:val="single" w:sz="4" w:space="0" w:color="auto"/>
                  <w:right w:val="single" w:sz="4" w:space="0" w:color="auto"/>
                </w:tcBorders>
                <w:vAlign w:val="bottom"/>
              </w:tcPr>
              <w:p w14:paraId="7BC6BF6A" w14:textId="77777777" w:rsidR="00D21C1F" w:rsidRPr="00AD5FDB" w:rsidRDefault="00A42880">
                <w:pPr>
                  <w:jc w:val="right"/>
                  <w:rPr>
                    <w:rFonts w:ascii="Times New Roman" w:hAnsi="Times New Roman" w:cs="Times New Roman"/>
                    <w:szCs w:val="21"/>
                  </w:rPr>
                </w:pPr>
                <w:r w:rsidRPr="00AD5FDB">
                  <w:rPr>
                    <w:rFonts w:ascii="Times New Roman" w:hAnsi="Times New Roman" w:cs="Times New Roman"/>
                    <w:szCs w:val="21"/>
                  </w:rPr>
                  <w:t>/</w:t>
                </w:r>
              </w:p>
            </w:tc>
          </w:tr>
        </w:tbl>
        <w:p w14:paraId="27611E63" w14:textId="77777777" w:rsidR="00D21C1F" w:rsidRDefault="00045EC6">
          <w:pPr>
            <w:rPr>
              <w:szCs w:val="21"/>
            </w:rPr>
          </w:pPr>
        </w:p>
      </w:sdtContent>
    </w:sdt>
    <w:p w14:paraId="53D79308" w14:textId="77777777" w:rsidR="00D21C1F" w:rsidRDefault="00A42880">
      <w:pPr>
        <w:pStyle w:val="94"/>
        <w:numPr>
          <w:ilvl w:val="0"/>
          <w:numId w:val="153"/>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1844506607"/>
        <w:lock w:val="sdtLocked"/>
        <w:placeholder>
          <w:docPart w:val="GBC22222222222222222222222222222"/>
        </w:placeholder>
      </w:sdtPr>
      <w:sdtEndPr/>
      <w:sdtContent>
        <w:p w14:paraId="1030764C" w14:textId="77777777" w:rsidR="00D21C1F" w:rsidRDefault="00A42880">
          <w:pPr>
            <w:rPr>
              <w:rFonts w:cstheme="minorBidi"/>
              <w:kern w:val="2"/>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b w:val="0"/>
          <w:bCs w:val="0"/>
          <w:kern w:val="0"/>
          <w:szCs w:val="21"/>
        </w:rPr>
        <w:alias w:val="模块:补充资料其他说明事项"/>
        <w:tag w:val="_GBC_a60672e5f86e422cbb864ef991c9106b"/>
        <w:id w:val="1691793642"/>
        <w:lock w:val="sdtLocked"/>
        <w:placeholder>
          <w:docPart w:val="GBC22222222222222222222222222222"/>
        </w:placeholder>
      </w:sdtPr>
      <w:sdtEndPr/>
      <w:sdtContent>
        <w:p w14:paraId="2E36F3AA" w14:textId="77777777" w:rsidR="00D21C1F" w:rsidRDefault="00A42880">
          <w:pPr>
            <w:pStyle w:val="94"/>
            <w:numPr>
              <w:ilvl w:val="0"/>
              <w:numId w:val="153"/>
            </w:numPr>
            <w:rPr>
              <w:rFonts w:ascii="宋体" w:hAnsi="宋体"/>
              <w:szCs w:val="21"/>
            </w:rPr>
          </w:pPr>
          <w:r>
            <w:rPr>
              <w:rFonts w:ascii="宋体" w:hAnsi="宋体" w:hint="eastAsia"/>
              <w:szCs w:val="21"/>
            </w:rPr>
            <w:t>其他</w:t>
          </w:r>
        </w:p>
        <w:sdt>
          <w:sdtPr>
            <w:alias w:val="是否适用：补充资料其他说明事项[双击切换]"/>
            <w:tag w:val="_GBC_8954f89f8426424c966f1b658de53fe5"/>
            <w:id w:val="522597751"/>
            <w:lock w:val="sdtLocked"/>
            <w:placeholder>
              <w:docPart w:val="GBC22222222222222222222222222222"/>
            </w:placeholder>
          </w:sdtPr>
          <w:sdtEndPr/>
          <w:sdtContent>
            <w:p w14:paraId="0D2E8120" w14:textId="77777777" w:rsidR="00D21C1F" w:rsidRDefault="00A4288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C1C5D39" w14:textId="77777777" w:rsidR="00D21C1F" w:rsidRDefault="00D21C1F">
      <w:pPr>
        <w:pStyle w:val="97"/>
      </w:pPr>
    </w:p>
    <w:bookmarkStart w:id="343" w:name="_Hlk76133512" w:displacedByCustomXml="next"/>
    <w:bookmarkStart w:id="344" w:name="_Hlk76135018" w:displacedByCustomXml="next"/>
    <w:sdt>
      <w:sdtPr>
        <w:rPr>
          <w:b/>
          <w:bCs/>
          <w:sz w:val="24"/>
        </w:rPr>
        <w:alias w:val="模块:落款"/>
        <w:tag w:val="_SEC_3a999fad32fc404495a2a1a7ff9f623f"/>
        <w:id w:val="526921296"/>
        <w:lock w:val="sdtLocked"/>
        <w:placeholder>
          <w:docPart w:val="GBC22222222222222222222222222222"/>
        </w:placeholder>
      </w:sdtPr>
      <w:sdtEndPr>
        <w:rPr>
          <w:b w:val="0"/>
          <w:bCs w:val="0"/>
          <w:sz w:val="21"/>
        </w:rPr>
      </w:sdtEndPr>
      <w:sdtContent>
        <w:p w14:paraId="7731412D" w14:textId="77777777" w:rsidR="00D21C1F" w:rsidRDefault="00D21C1F">
          <w:pPr>
            <w:spacing w:line="360" w:lineRule="exact"/>
            <w:ind w:right="5"/>
            <w:rPr>
              <w:b/>
              <w:bCs/>
              <w:sz w:val="24"/>
            </w:rPr>
          </w:pPr>
        </w:p>
        <w:p w14:paraId="379E43A6" w14:textId="77777777" w:rsidR="00D21C1F" w:rsidRDefault="00A42880">
          <w:pPr>
            <w:wordWrap w:val="0"/>
            <w:spacing w:line="360" w:lineRule="exact"/>
            <w:jc w:val="right"/>
            <w:rPr>
              <w:u w:val="single"/>
            </w:rPr>
          </w:pPr>
          <w:r>
            <w:t>董事长：</w:t>
          </w:r>
          <w:sdt>
            <w:sdtPr>
              <w:alias w:val="报告发布人"/>
              <w:tag w:val="_GBC_9199ea6dcc6548aea244713f06e04d9e"/>
              <w:id w:val="1164907858"/>
              <w:lock w:val="sdtLocked"/>
              <w:placeholder>
                <w:docPart w:val="GBC22222222222222222222222222222"/>
              </w:placeholder>
            </w:sdtPr>
            <w:sdtEndPr/>
            <w:sdtContent>
              <w:r>
                <w:rPr>
                  <w:rFonts w:hint="eastAsia"/>
                </w:rPr>
                <w:t>许礼进</w:t>
              </w:r>
            </w:sdtContent>
          </w:sdt>
        </w:p>
        <w:p w14:paraId="4D960B26" w14:textId="77777777" w:rsidR="00D21C1F" w:rsidRDefault="00A42880">
          <w:pPr>
            <w:spacing w:line="360" w:lineRule="exact"/>
            <w:jc w:val="right"/>
          </w:pPr>
          <w:r>
            <w:t>董事会批准报送日期：</w:t>
          </w:r>
          <w:sdt>
            <w:sdtPr>
              <w:rPr>
                <w:rFonts w:ascii="Times New Roman" w:hAnsi="Times New Roman"/>
              </w:rPr>
              <w:alias w:val="报告董事会批准报送日期"/>
              <w:tag w:val="_GBC_ac84387027e04290a3c3238973538156"/>
              <w:id w:val="719709870"/>
              <w:lock w:val="sdtLocked"/>
              <w:placeholder>
                <w:docPart w:val="GBC22222222222222222222222222222"/>
              </w:placeholder>
              <w:date w:fullDate="2021-08-26T00:00:00Z">
                <w:dateFormat w:val="yyyy'年'M'月'd'日'"/>
                <w:lid w:val="zh-CN"/>
                <w:storeMappedDataAs w:val="dateTime"/>
                <w:calendar w:val="gregorian"/>
              </w:date>
            </w:sdtPr>
            <w:sdtEndPr/>
            <w:sdtContent>
              <w:r>
                <w:rPr>
                  <w:rFonts w:ascii="Times New Roman" w:hAnsi="Times New Roman" w:hint="eastAsia"/>
                </w:rPr>
                <w:t>2021</w:t>
              </w:r>
              <w:r>
                <w:rPr>
                  <w:rFonts w:ascii="Times New Roman" w:hAnsi="Times New Roman" w:hint="eastAsia"/>
                </w:rPr>
                <w:t>年</w:t>
              </w:r>
              <w:r>
                <w:rPr>
                  <w:rFonts w:ascii="Times New Roman" w:hAnsi="Times New Roman" w:hint="eastAsia"/>
                </w:rPr>
                <w:t>8</w:t>
              </w:r>
              <w:r>
                <w:rPr>
                  <w:rFonts w:ascii="Times New Roman" w:hAnsi="Times New Roman" w:hint="eastAsia"/>
                </w:rPr>
                <w:t>月</w:t>
              </w:r>
              <w:r>
                <w:rPr>
                  <w:rFonts w:ascii="Times New Roman" w:hAnsi="Times New Roman" w:hint="eastAsia"/>
                </w:rPr>
                <w:t>26</w:t>
              </w:r>
              <w:r>
                <w:rPr>
                  <w:rFonts w:ascii="Times New Roman" w:hAnsi="Times New Roman" w:hint="eastAsia"/>
                </w:rPr>
                <w:t>日</w:t>
              </w:r>
            </w:sdtContent>
          </w:sdt>
        </w:p>
      </w:sdtContent>
    </w:sdt>
    <w:bookmarkEnd w:id="344"/>
    <w:bookmarkEnd w:id="343"/>
    <w:p w14:paraId="10369476" w14:textId="77777777" w:rsidR="00D21C1F" w:rsidRDefault="00D21C1F">
      <w:pPr>
        <w:rPr>
          <w:szCs w:val="21"/>
        </w:rPr>
      </w:pPr>
    </w:p>
    <w:p w14:paraId="18EA3CAD" w14:textId="77777777" w:rsidR="00D21C1F" w:rsidRDefault="00D21C1F">
      <w:pPr>
        <w:spacing w:line="360" w:lineRule="exact"/>
        <w:ind w:right="5"/>
        <w:rPr>
          <w:u w:val="single"/>
        </w:rPr>
      </w:pPr>
    </w:p>
    <w:sdt>
      <w:sdtPr>
        <w:rPr>
          <w:rFonts w:eastAsiaTheme="minorEastAsia"/>
          <w:sz w:val="24"/>
        </w:rPr>
        <w:alias w:val="模块:修订信息 "/>
        <w:tag w:val="_GBC_e51b54728b2e4e53b95b0611d0df9b06"/>
        <w:id w:val="1814674031"/>
        <w:lock w:val="sdtLocked"/>
        <w:placeholder>
          <w:docPart w:val="GBC22222222222222222222222222222"/>
        </w:placeholder>
      </w:sdtPr>
      <w:sdtEndPr>
        <w:rPr>
          <w:sz w:val="21"/>
        </w:rPr>
      </w:sdtEndPr>
      <w:sdtContent>
        <w:p w14:paraId="6D266919" w14:textId="77777777" w:rsidR="00D21C1F" w:rsidRDefault="00A42880">
          <w:pPr>
            <w:spacing w:line="360" w:lineRule="exact"/>
            <w:ind w:right="5"/>
            <w:rPr>
              <w:b/>
              <w:sz w:val="24"/>
            </w:rPr>
          </w:pPr>
          <w:r>
            <w:rPr>
              <w:b/>
              <w:sz w:val="24"/>
            </w:rPr>
            <w:t>修订信息</w:t>
          </w:r>
        </w:p>
        <w:sdt>
          <w:sdtPr>
            <w:rPr>
              <w:b/>
              <w:bCs/>
            </w:rPr>
            <w:alias w:val="是否适用：修订信息表[双击切换]"/>
            <w:tag w:val="_GBC_77b96fad3b8a43478db82cf4cb9686be"/>
            <w:id w:val="-2127127"/>
            <w:lock w:val="sdtLocked"/>
            <w:placeholder>
              <w:docPart w:val="GBC22222222222222222222222222222"/>
            </w:placeholder>
          </w:sdtPr>
          <w:sdtEndPr>
            <w:rPr>
              <w:b w:val="0"/>
            </w:rPr>
          </w:sdtEndPr>
          <w:sdtContent>
            <w:p w14:paraId="759AE362" w14:textId="77777777" w:rsidR="00D21C1F" w:rsidRDefault="00A42880">
              <w:pPr>
                <w:pStyle w:val="97"/>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sdtContent>
    </w:sdt>
    <w:sectPr w:rsidR="00D21C1F">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52CA2" w14:textId="77777777" w:rsidR="00045EC6" w:rsidRDefault="00045EC6">
      <w:r>
        <w:separator/>
      </w:r>
    </w:p>
  </w:endnote>
  <w:endnote w:type="continuationSeparator" w:id="0">
    <w:p w14:paraId="561E915D" w14:textId="77777777" w:rsidR="00045EC6" w:rsidRDefault="00045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FFFFFFFF" w:usb1="E9FFFFFF" w:usb2="0000003F" w:usb3="00000000" w:csb0="603F01FF" w:csb1="FFFF0000"/>
  </w:font>
  <w:font w:name="Helvetica-Narrow">
    <w:altName w:val="Segoe Print"/>
    <w:charset w:val="00"/>
    <w:family w:val="swiss"/>
    <w:pitch w:val="default"/>
    <w:sig w:usb0="00000000"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楷体_GB2312">
    <w:altName w:val="微软雅黑"/>
    <w:charset w:val="86"/>
    <w:family w:val="modern"/>
    <w:pitch w:val="default"/>
    <w:sig w:usb0="00000001" w:usb1="080E0000" w:usb2="00000000" w:usb3="00000000" w:csb0="00040000" w:csb1="00000000"/>
  </w:font>
  <w:font w:name="宋体-方正超大字符集">
    <w:altName w:val="宋体"/>
    <w:charset w:val="86"/>
    <w:family w:val="script"/>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08834"/>
      <w:lock w:val="sdtLocked"/>
    </w:sdtPr>
    <w:sdtEndPr/>
    <w:sdtContent>
      <w:sdt>
        <w:sdtPr>
          <w:id w:val="98381352"/>
          <w:lock w:val="sdtLocked"/>
        </w:sdtPr>
        <w:sdtEndPr/>
        <w:sdtContent>
          <w:p w14:paraId="2C047B47" w14:textId="77777777" w:rsidR="00180AE1" w:rsidRDefault="00180AE1">
            <w:pPr>
              <w:pStyle w:val="af7"/>
              <w:jc w:val="center"/>
            </w:pPr>
            <w:r>
              <w:rPr>
                <w:b/>
                <w:bCs/>
                <w:sz w:val="24"/>
                <w:szCs w:val="24"/>
              </w:rPr>
              <w:fldChar w:fldCharType="begin"/>
            </w:r>
            <w:r>
              <w:rPr>
                <w:b/>
                <w:bCs/>
              </w:rPr>
              <w:instrText>PAGE</w:instrText>
            </w:r>
            <w:r>
              <w:rPr>
                <w:b/>
                <w:bCs/>
                <w:sz w:val="24"/>
                <w:szCs w:val="24"/>
              </w:rPr>
              <w:fldChar w:fldCharType="separate"/>
            </w:r>
            <w:r>
              <w:rPr>
                <w:b/>
                <w:bCs/>
              </w:rPr>
              <w:t>226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226</w:t>
            </w:r>
            <w:r>
              <w:rPr>
                <w:b/>
                <w:bCs/>
                <w:sz w:val="24"/>
                <w:szCs w:val="24"/>
              </w:rPr>
              <w:fldChar w:fldCharType="end"/>
            </w:r>
          </w:p>
        </w:sdtContent>
      </w:sdt>
    </w:sdtContent>
  </w:sdt>
  <w:p w14:paraId="42FA2178" w14:textId="77777777" w:rsidR="00180AE1" w:rsidRDefault="00180AE1">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DE58A" w14:textId="77777777" w:rsidR="00045EC6" w:rsidRDefault="00045EC6">
      <w:r>
        <w:separator/>
      </w:r>
    </w:p>
  </w:footnote>
  <w:footnote w:type="continuationSeparator" w:id="0">
    <w:p w14:paraId="78B41B3C" w14:textId="77777777" w:rsidR="00045EC6" w:rsidRDefault="00045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61195" w14:textId="77777777" w:rsidR="00180AE1" w:rsidRDefault="00180AE1">
    <w:pPr>
      <w:pStyle w:val="af9"/>
      <w:tabs>
        <w:tab w:val="clear" w:pos="8306"/>
        <w:tab w:val="left" w:pos="8364"/>
        <w:tab w:val="left" w:pos="8505"/>
      </w:tabs>
      <w:ind w:rightChars="10" w:right="21"/>
      <w:rPr>
        <w:b/>
      </w:rPr>
    </w:pPr>
    <w:r>
      <w:rPr>
        <w:rFonts w:ascii="Times New Roman" w:hAnsi="Times New Roman" w:hint="eastAsia"/>
      </w:rPr>
      <w:t>2021</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C10EE4"/>
    <w:multiLevelType w:val="multilevel"/>
    <w:tmpl w:val="00C10EE4"/>
    <w:lvl w:ilvl="0">
      <w:start w:val="1"/>
      <w:numFmt w:val="decimalEnclosedCircle"/>
      <w:lvlText w:val="%1"/>
      <w:lvlJc w:val="left"/>
      <w:pPr>
        <w:ind w:left="845" w:hanging="420"/>
      </w:pPr>
      <w:rPr>
        <w:rFonts w:ascii="宋体" w:eastAsia="宋体" w:hAnsi="宋体" w:hint="eastAsia"/>
        <w:sz w:val="21"/>
        <w:szCs w:val="21"/>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2" w15:restartNumberingAfterBreak="0">
    <w:nsid w:val="011C35CC"/>
    <w:multiLevelType w:val="multilevel"/>
    <w:tmpl w:val="011C35C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1AF3E6F"/>
    <w:multiLevelType w:val="multilevel"/>
    <w:tmpl w:val="01AF3E6F"/>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1003"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4" w15:restartNumberingAfterBreak="0">
    <w:nsid w:val="01C7576E"/>
    <w:multiLevelType w:val="multilevel"/>
    <w:tmpl w:val="01C7576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44170B6"/>
    <w:multiLevelType w:val="multilevel"/>
    <w:tmpl w:val="044170B6"/>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7" w15:restartNumberingAfterBreak="0">
    <w:nsid w:val="0918050B"/>
    <w:multiLevelType w:val="multilevel"/>
    <w:tmpl w:val="0918050B"/>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098731CB"/>
    <w:multiLevelType w:val="multilevel"/>
    <w:tmpl w:val="098731CB"/>
    <w:lvl w:ilvl="0">
      <w:start w:val="1"/>
      <w:numFmt w:val="decimal"/>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9D613C6"/>
    <w:multiLevelType w:val="multilevel"/>
    <w:tmpl w:val="09D613C6"/>
    <w:lvl w:ilvl="0">
      <w:start w:val="1"/>
      <w:numFmt w:val="upperLetter"/>
      <w:suff w:val="space"/>
      <w:lvlText w:val="%1．"/>
      <w:lvlJc w:val="left"/>
      <w:pPr>
        <w:ind w:left="800" w:hanging="375"/>
      </w:pPr>
      <w:rPr>
        <w:rFonts w:ascii="Times New Roman" w:hAnsi="Times New Roman" w:cs="Times New Roman" w:hint="default"/>
      </w:rPr>
    </w:lvl>
    <w:lvl w:ilvl="1">
      <w:start w:val="1"/>
      <w:numFmt w:val="lowerLetter"/>
      <w:suff w:val="nothing"/>
      <w:lvlText w:val="（%2）"/>
      <w:lvlJc w:val="left"/>
      <w:pPr>
        <w:ind w:left="1852" w:hanging="96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10" w15:restartNumberingAfterBreak="0">
    <w:nsid w:val="0BEB59A8"/>
    <w:multiLevelType w:val="multilevel"/>
    <w:tmpl w:val="0BEB59A8"/>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10314E3A"/>
    <w:multiLevelType w:val="multilevel"/>
    <w:tmpl w:val="10314E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2EC0EF1"/>
    <w:multiLevelType w:val="multilevel"/>
    <w:tmpl w:val="12EC0EF1"/>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46477A2"/>
    <w:multiLevelType w:val="multilevel"/>
    <w:tmpl w:val="146477A2"/>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17" w15:restartNumberingAfterBreak="0">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169A565E"/>
    <w:multiLevelType w:val="multilevel"/>
    <w:tmpl w:val="169A565E"/>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17316F2F"/>
    <w:multiLevelType w:val="multilevel"/>
    <w:tmpl w:val="17316F2F"/>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8605B68"/>
    <w:multiLevelType w:val="multilevel"/>
    <w:tmpl w:val="18605B68"/>
    <w:lvl w:ilvl="0">
      <w:start w:val="1"/>
      <w:numFmt w:val="decimal"/>
      <w:lvlText w:val="(%1)"/>
      <w:lvlJc w:val="left"/>
      <w:pPr>
        <w:ind w:left="816" w:hanging="39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2" w15:restartNumberingAfterBreak="0">
    <w:nsid w:val="18A812F1"/>
    <w:multiLevelType w:val="multilevel"/>
    <w:tmpl w:val="18A812F1"/>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1ABE18F2"/>
    <w:multiLevelType w:val="multilevel"/>
    <w:tmpl w:val="1ABE18F2"/>
    <w:lvl w:ilvl="0">
      <w:start w:val="1"/>
      <w:numFmt w:val="decimalEnclosedCircle"/>
      <w:lvlText w:val="%1"/>
      <w:lvlJc w:val="left"/>
      <w:pPr>
        <w:ind w:left="840" w:hanging="360"/>
      </w:pPr>
      <w:rPr>
        <w:rFonts w:ascii="Times New Roman" w:hAnsi="Times New Roman" w:cs="Times New Roman" w:hint="default"/>
      </w:rPr>
    </w:lvl>
    <w:lvl w:ilvl="1">
      <w:start w:val="1"/>
      <w:numFmt w:val="upp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24" w15:restartNumberingAfterBreak="0">
    <w:nsid w:val="1B8C76C3"/>
    <w:multiLevelType w:val="multilevel"/>
    <w:tmpl w:val="1B8C76C3"/>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25" w15:restartNumberingAfterBreak="0">
    <w:nsid w:val="1CC3293F"/>
    <w:multiLevelType w:val="multilevel"/>
    <w:tmpl w:val="1CC3293F"/>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26" w15:restartNumberingAfterBreak="0">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E4E4E7B"/>
    <w:multiLevelType w:val="multilevel"/>
    <w:tmpl w:val="1E4E4E7B"/>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29" w15:restartNumberingAfterBreak="0">
    <w:nsid w:val="1F7158DD"/>
    <w:multiLevelType w:val="multilevel"/>
    <w:tmpl w:val="1F7158DD"/>
    <w:lvl w:ilvl="0">
      <w:start w:val="1"/>
      <w:numFmt w:val="decimal"/>
      <w:lvlText w:val="(%1). "/>
      <w:lvlJc w:val="left"/>
      <w:pPr>
        <w:ind w:left="704"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20701C91"/>
    <w:multiLevelType w:val="multilevel"/>
    <w:tmpl w:val="20701C9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139522C"/>
    <w:multiLevelType w:val="multilevel"/>
    <w:tmpl w:val="2139522C"/>
    <w:lvl w:ilvl="0">
      <w:start w:val="1"/>
      <w:numFmt w:val="chineseCountingThousand"/>
      <w:suff w:val="nothing"/>
      <w:lvlText w:val="%1、"/>
      <w:lvlJc w:val="left"/>
      <w:pPr>
        <w:ind w:left="1696" w:hanging="420"/>
      </w:pPr>
      <w:rPr>
        <w:rFonts w:ascii="宋体" w:eastAsia="宋体" w:hAnsi="宋体" w:hint="eastAsia"/>
        <w:b/>
        <w:bCs/>
      </w:rPr>
    </w:lvl>
    <w:lvl w:ilvl="1">
      <w:start w:val="1"/>
      <w:numFmt w:val="decimalEnclosedCircle"/>
      <w:lvlText w:val="%2"/>
      <w:lvlJc w:val="left"/>
      <w:pPr>
        <w:ind w:left="786" w:hanging="360"/>
      </w:pPr>
      <w:rPr>
        <w:rFonts w:ascii="宋体" w:eastAsia="宋体" w:hAnsi="宋体" w:hint="eastAsia"/>
      </w:rPr>
    </w:lvl>
    <w:lvl w:ilvl="2">
      <w:start w:val="1"/>
      <w:numFmt w:val="lowerRoman"/>
      <w:lvlText w:val="%3."/>
      <w:lvlJc w:val="right"/>
      <w:pPr>
        <w:ind w:left="1742" w:hanging="420"/>
      </w:pPr>
      <w:rPr>
        <w:rFonts w:ascii="Times New Roman" w:hAnsi="Times New Roman" w:cs="Times New Roman" w:hint="default"/>
      </w:rPr>
    </w:lvl>
    <w:lvl w:ilvl="3">
      <w:start w:val="1"/>
      <w:numFmt w:val="decimal"/>
      <w:lvlText w:val="%4."/>
      <w:lvlJc w:val="left"/>
      <w:pPr>
        <w:ind w:left="2162" w:hanging="420"/>
      </w:pPr>
      <w:rPr>
        <w:rFonts w:ascii="Times New Roman" w:hAnsi="Times New Roman" w:cs="Times New Roman" w:hint="default"/>
      </w:rPr>
    </w:lvl>
    <w:lvl w:ilvl="4">
      <w:start w:val="1"/>
      <w:numFmt w:val="lowerLetter"/>
      <w:lvlText w:val="%5)"/>
      <w:lvlJc w:val="left"/>
      <w:pPr>
        <w:ind w:left="2582" w:hanging="420"/>
      </w:pPr>
      <w:rPr>
        <w:rFonts w:ascii="Times New Roman" w:hAnsi="Times New Roman" w:cs="Times New Roman" w:hint="default"/>
      </w:rPr>
    </w:lvl>
    <w:lvl w:ilvl="5">
      <w:start w:val="1"/>
      <w:numFmt w:val="lowerRoman"/>
      <w:lvlText w:val="%6."/>
      <w:lvlJc w:val="right"/>
      <w:pPr>
        <w:ind w:left="3002" w:hanging="420"/>
      </w:pPr>
      <w:rPr>
        <w:rFonts w:ascii="Times New Roman" w:hAnsi="Times New Roman" w:cs="Times New Roman" w:hint="default"/>
      </w:rPr>
    </w:lvl>
    <w:lvl w:ilvl="6">
      <w:start w:val="1"/>
      <w:numFmt w:val="decimal"/>
      <w:lvlText w:val="%7."/>
      <w:lvlJc w:val="left"/>
      <w:pPr>
        <w:ind w:left="3422" w:hanging="420"/>
      </w:pPr>
      <w:rPr>
        <w:rFonts w:ascii="Times New Roman" w:hAnsi="Times New Roman" w:cs="Times New Roman" w:hint="default"/>
      </w:rPr>
    </w:lvl>
    <w:lvl w:ilvl="7">
      <w:start w:val="1"/>
      <w:numFmt w:val="lowerLetter"/>
      <w:lvlText w:val="%8)"/>
      <w:lvlJc w:val="left"/>
      <w:pPr>
        <w:ind w:left="3842" w:hanging="420"/>
      </w:pPr>
      <w:rPr>
        <w:rFonts w:ascii="Times New Roman" w:hAnsi="Times New Roman" w:cs="Times New Roman" w:hint="default"/>
      </w:rPr>
    </w:lvl>
    <w:lvl w:ilvl="8">
      <w:start w:val="1"/>
      <w:numFmt w:val="lowerRoman"/>
      <w:lvlText w:val="%9."/>
      <w:lvlJc w:val="right"/>
      <w:pPr>
        <w:ind w:left="4262" w:hanging="420"/>
      </w:pPr>
      <w:rPr>
        <w:rFonts w:ascii="Times New Roman" w:hAnsi="Times New Roman" w:cs="Times New Roman" w:hint="default"/>
      </w:rPr>
    </w:lvl>
  </w:abstractNum>
  <w:abstractNum w:abstractNumId="36" w15:restartNumberingAfterBreak="0">
    <w:nsid w:val="21516057"/>
    <w:multiLevelType w:val="multilevel"/>
    <w:tmpl w:val="2151605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1F9086D"/>
    <w:multiLevelType w:val="multilevel"/>
    <w:tmpl w:val="21F9086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228E55A4"/>
    <w:multiLevelType w:val="multilevel"/>
    <w:tmpl w:val="228E55A4"/>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43F43A0"/>
    <w:multiLevelType w:val="multilevel"/>
    <w:tmpl w:val="243F43A0"/>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40" w15:restartNumberingAfterBreak="0">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263748F3"/>
    <w:multiLevelType w:val="multilevel"/>
    <w:tmpl w:val="263748F3"/>
    <w:lvl w:ilvl="0">
      <w:start w:val="1"/>
      <w:numFmt w:val="decimalEnclosedCircle"/>
      <w:lvlText w:val="%1"/>
      <w:lvlJc w:val="left"/>
      <w:pPr>
        <w:ind w:left="840" w:hanging="360"/>
      </w:pPr>
      <w:rPr>
        <w:rFonts w:ascii="宋体" w:eastAsia="宋体" w:hAnsi="宋体" w:cs="Times New Roman" w:hint="eastAsia"/>
      </w:rPr>
    </w:lvl>
    <w:lvl w:ilvl="1">
      <w:start w:val="1"/>
      <w:numFmt w:val="upperLetter"/>
      <w:lvlText w:val="%2."/>
      <w:lvlJc w:val="left"/>
      <w:pPr>
        <w:ind w:left="1635" w:hanging="735"/>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42"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2DF0016E"/>
    <w:multiLevelType w:val="multilevel"/>
    <w:tmpl w:val="2DF0016E"/>
    <w:lvl w:ilvl="0">
      <w:start w:val="1"/>
      <w:numFmt w:val="decimalEnclosedCircle"/>
      <w:lvlText w:val="%1"/>
      <w:lvlJc w:val="left"/>
      <w:pPr>
        <w:ind w:left="845" w:hanging="420"/>
      </w:pPr>
      <w:rPr>
        <w:rFonts w:ascii="宋体" w:eastAsia="宋体" w:hAnsi="宋体" w:hint="eastAsia"/>
        <w:sz w:val="21"/>
        <w:szCs w:val="21"/>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48" w15:restartNumberingAfterBreak="0">
    <w:nsid w:val="2E827FC5"/>
    <w:multiLevelType w:val="multilevel"/>
    <w:tmpl w:val="2E827FC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F300F94"/>
    <w:multiLevelType w:val="multilevel"/>
    <w:tmpl w:val="2F300F9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315E1453"/>
    <w:multiLevelType w:val="multilevel"/>
    <w:tmpl w:val="315E1453"/>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31890DB9"/>
    <w:multiLevelType w:val="multilevel"/>
    <w:tmpl w:val="31890DB9"/>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52" w15:restartNumberingAfterBreak="0">
    <w:nsid w:val="321F7C35"/>
    <w:multiLevelType w:val="multilevel"/>
    <w:tmpl w:val="321F7C3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333C38BB"/>
    <w:multiLevelType w:val="multilevel"/>
    <w:tmpl w:val="333C38BB"/>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34462804"/>
    <w:multiLevelType w:val="multilevel"/>
    <w:tmpl w:val="34462804"/>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56" w15:restartNumberingAfterBreak="0">
    <w:nsid w:val="34F30182"/>
    <w:multiLevelType w:val="multilevel"/>
    <w:tmpl w:val="34F30182"/>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57"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56C3B2A"/>
    <w:multiLevelType w:val="multilevel"/>
    <w:tmpl w:val="356C3B2A"/>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6214AF8"/>
    <w:multiLevelType w:val="multilevel"/>
    <w:tmpl w:val="36214AF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362D28C8"/>
    <w:multiLevelType w:val="multilevel"/>
    <w:tmpl w:val="362D28C8"/>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36797662"/>
    <w:multiLevelType w:val="multilevel"/>
    <w:tmpl w:val="3679766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37173AF6"/>
    <w:multiLevelType w:val="multilevel"/>
    <w:tmpl w:val="37173AF6"/>
    <w:lvl w:ilvl="0">
      <w:start w:val="1"/>
      <w:numFmt w:val="decimalEnclosedCircle"/>
      <w:lvlText w:val="%1"/>
      <w:lvlJc w:val="left"/>
      <w:pPr>
        <w:ind w:left="840" w:hanging="360"/>
      </w:pPr>
      <w:rPr>
        <w:rFonts w:ascii="宋体" w:eastAsia="宋体" w:hAnsi="宋体" w:cs="Times New Roman" w:hint="eastAsia"/>
      </w:rPr>
    </w:lvl>
    <w:lvl w:ilvl="1">
      <w:start w:val="1"/>
      <w:numFmt w:val="upperLetter"/>
      <w:lvlText w:val="%2."/>
      <w:lvlJc w:val="left"/>
      <w:pPr>
        <w:ind w:left="1635" w:hanging="735"/>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63" w15:restartNumberingAfterBreak="0">
    <w:nsid w:val="37CC4F54"/>
    <w:multiLevelType w:val="multilevel"/>
    <w:tmpl w:val="37CC4F54"/>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383D41D3"/>
    <w:multiLevelType w:val="multilevel"/>
    <w:tmpl w:val="383D41D3"/>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38AB2EC0"/>
    <w:multiLevelType w:val="multilevel"/>
    <w:tmpl w:val="38AB2EC0"/>
    <w:lvl w:ilvl="0">
      <w:start w:val="1"/>
      <w:numFmt w:val="decimalEnclosedCircle"/>
      <w:lvlText w:val="%1"/>
      <w:lvlJc w:val="left"/>
      <w:pPr>
        <w:ind w:left="643" w:hanging="360"/>
      </w:pPr>
      <w:rPr>
        <w:rFonts w:ascii="宋体" w:eastAsia="宋体" w:hAnsi="宋体" w:cs="Times New Roman" w:hint="eastAsia"/>
      </w:rPr>
    </w:lvl>
    <w:lvl w:ilvl="1">
      <w:start w:val="1"/>
      <w:numFmt w:val="upperLetter"/>
      <w:lvlText w:val="%2."/>
      <w:lvlJc w:val="left"/>
      <w:pPr>
        <w:ind w:left="1438" w:hanging="735"/>
      </w:pPr>
      <w:rPr>
        <w:rFonts w:ascii="Times New Roman" w:hAnsi="Times New Roman" w:cs="Times New Roman" w:hint="default"/>
      </w:rPr>
    </w:lvl>
    <w:lvl w:ilvl="2">
      <w:start w:val="1"/>
      <w:numFmt w:val="lowerRoman"/>
      <w:lvlText w:val="%3."/>
      <w:lvlJc w:val="right"/>
      <w:pPr>
        <w:ind w:left="1543" w:hanging="420"/>
      </w:pPr>
      <w:rPr>
        <w:rFonts w:ascii="Times New Roman" w:hAnsi="Times New Roman" w:cs="Times New Roman" w:hint="default"/>
      </w:rPr>
    </w:lvl>
    <w:lvl w:ilvl="3">
      <w:start w:val="1"/>
      <w:numFmt w:val="decimal"/>
      <w:lvlText w:val="%4."/>
      <w:lvlJc w:val="left"/>
      <w:pPr>
        <w:ind w:left="1963" w:hanging="420"/>
      </w:pPr>
      <w:rPr>
        <w:rFonts w:ascii="Times New Roman" w:hAnsi="Times New Roman" w:cs="Times New Roman" w:hint="default"/>
      </w:rPr>
    </w:lvl>
    <w:lvl w:ilvl="4">
      <w:start w:val="1"/>
      <w:numFmt w:val="lowerLetter"/>
      <w:lvlText w:val="%5)"/>
      <w:lvlJc w:val="left"/>
      <w:pPr>
        <w:ind w:left="2383" w:hanging="420"/>
      </w:pPr>
      <w:rPr>
        <w:rFonts w:ascii="Times New Roman" w:hAnsi="Times New Roman" w:cs="Times New Roman" w:hint="default"/>
      </w:rPr>
    </w:lvl>
    <w:lvl w:ilvl="5">
      <w:start w:val="1"/>
      <w:numFmt w:val="lowerRoman"/>
      <w:lvlText w:val="%6."/>
      <w:lvlJc w:val="right"/>
      <w:pPr>
        <w:ind w:left="2803" w:hanging="420"/>
      </w:pPr>
      <w:rPr>
        <w:rFonts w:ascii="Times New Roman" w:hAnsi="Times New Roman" w:cs="Times New Roman" w:hint="default"/>
      </w:rPr>
    </w:lvl>
    <w:lvl w:ilvl="6">
      <w:start w:val="1"/>
      <w:numFmt w:val="decimal"/>
      <w:lvlText w:val="%7."/>
      <w:lvlJc w:val="left"/>
      <w:pPr>
        <w:ind w:left="3223" w:hanging="420"/>
      </w:pPr>
      <w:rPr>
        <w:rFonts w:ascii="Times New Roman" w:hAnsi="Times New Roman" w:cs="Times New Roman" w:hint="default"/>
      </w:rPr>
    </w:lvl>
    <w:lvl w:ilvl="7">
      <w:start w:val="1"/>
      <w:numFmt w:val="lowerLetter"/>
      <w:lvlText w:val="%8)"/>
      <w:lvlJc w:val="left"/>
      <w:pPr>
        <w:ind w:left="3643" w:hanging="420"/>
      </w:pPr>
      <w:rPr>
        <w:rFonts w:ascii="Times New Roman" w:hAnsi="Times New Roman" w:cs="Times New Roman" w:hint="default"/>
      </w:rPr>
    </w:lvl>
    <w:lvl w:ilvl="8">
      <w:start w:val="1"/>
      <w:numFmt w:val="lowerRoman"/>
      <w:lvlText w:val="%9."/>
      <w:lvlJc w:val="right"/>
      <w:pPr>
        <w:ind w:left="4063" w:hanging="420"/>
      </w:pPr>
      <w:rPr>
        <w:rFonts w:ascii="Times New Roman" w:hAnsi="Times New Roman" w:cs="Times New Roman" w:hint="default"/>
      </w:rPr>
    </w:lvl>
  </w:abstractNum>
  <w:abstractNum w:abstractNumId="66" w15:restartNumberingAfterBreak="0">
    <w:nsid w:val="3927566D"/>
    <w:multiLevelType w:val="multilevel"/>
    <w:tmpl w:val="3927566D"/>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3BAC7287"/>
    <w:multiLevelType w:val="multilevel"/>
    <w:tmpl w:val="3BAC7287"/>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3D2B6D0A"/>
    <w:multiLevelType w:val="multilevel"/>
    <w:tmpl w:val="3D2B6D0A"/>
    <w:lvl w:ilvl="0">
      <w:start w:val="1"/>
      <w:numFmt w:val="chineseCountingThousand"/>
      <w:lvlText w:val="(%1)"/>
      <w:lvlJc w:val="left"/>
      <w:pPr>
        <w:ind w:left="420" w:hanging="420"/>
      </w:pPr>
      <w:rPr>
        <w:rFonts w:asciiTheme="minorHAnsi" w:hAnsiTheme="minorHAnsi"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3DC039A2"/>
    <w:multiLevelType w:val="multilevel"/>
    <w:tmpl w:val="3DC039A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3E9941EA"/>
    <w:multiLevelType w:val="multilevel"/>
    <w:tmpl w:val="3E9941EA"/>
    <w:lvl w:ilvl="0">
      <w:start w:val="1"/>
      <w:numFmt w:val="decimal"/>
      <w:lvlText w:val="(%1). "/>
      <w:lvlJc w:val="left"/>
      <w:pPr>
        <w:ind w:left="84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3FEC0D84"/>
    <w:multiLevelType w:val="multilevel"/>
    <w:tmpl w:val="3FEC0D84"/>
    <w:lvl w:ilvl="0">
      <w:start w:val="1"/>
      <w:numFmt w:val="decimalEnclosedCircle"/>
      <w:pStyle w:val="2CharCharChar"/>
      <w:lvlText w:val="%1"/>
      <w:lvlJc w:val="left"/>
      <w:pPr>
        <w:ind w:left="360" w:hanging="36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4" w15:restartNumberingAfterBreak="0">
    <w:nsid w:val="41EC2B85"/>
    <w:multiLevelType w:val="multilevel"/>
    <w:tmpl w:val="41EC2B8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1FD4661"/>
    <w:multiLevelType w:val="multilevel"/>
    <w:tmpl w:val="41FD4661"/>
    <w:lvl w:ilvl="0">
      <w:start w:val="1"/>
      <w:numFmt w:val="decimalEnclosedCircle"/>
      <w:lvlText w:val="%1"/>
      <w:lvlJc w:val="left"/>
      <w:pPr>
        <w:ind w:left="840" w:hanging="360"/>
      </w:pPr>
      <w:rPr>
        <w:rFonts w:ascii="宋体" w:eastAsia="宋体" w:hAnsi="宋体" w:hint="eastAsia"/>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76" w15:restartNumberingAfterBreak="0">
    <w:nsid w:val="42F33200"/>
    <w:multiLevelType w:val="multilevel"/>
    <w:tmpl w:val="42F3320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43247638"/>
    <w:multiLevelType w:val="multilevel"/>
    <w:tmpl w:val="43247638"/>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78" w15:restartNumberingAfterBreak="0">
    <w:nsid w:val="435016AF"/>
    <w:multiLevelType w:val="multilevel"/>
    <w:tmpl w:val="435016AF"/>
    <w:lvl w:ilvl="0">
      <w:start w:val="1"/>
      <w:numFmt w:val="decimalEnclosedCircle"/>
      <w:lvlText w:val="%1"/>
      <w:lvlJc w:val="left"/>
      <w:pPr>
        <w:ind w:left="840" w:hanging="360"/>
      </w:pPr>
      <w:rPr>
        <w:rFonts w:ascii="宋体" w:eastAsia="宋体" w:hAnsi="宋体" w:cs="Times New Roman" w:hint="eastAsia"/>
      </w:rPr>
    </w:lvl>
    <w:lvl w:ilvl="1">
      <w:start w:val="1"/>
      <w:numFmt w:val="upperLetter"/>
      <w:lvlText w:val="%2."/>
      <w:lvlJc w:val="left"/>
      <w:pPr>
        <w:ind w:left="1635" w:hanging="735"/>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79" w15:restartNumberingAfterBreak="0">
    <w:nsid w:val="43F85182"/>
    <w:multiLevelType w:val="multilevel"/>
    <w:tmpl w:val="43F85182"/>
    <w:lvl w:ilvl="0">
      <w:start w:val="1"/>
      <w:numFmt w:val="decimalEnclosedCircle"/>
      <w:lvlText w:val="%1"/>
      <w:lvlJc w:val="left"/>
      <w:pPr>
        <w:ind w:left="842" w:hanging="420"/>
      </w:pPr>
      <w:rPr>
        <w:rFonts w:ascii="宋体" w:eastAsia="宋体" w:hAnsi="宋体" w:hint="eastAsia"/>
        <w:b w:val="0"/>
        <w:bCs w:val="0"/>
      </w:rPr>
    </w:lvl>
    <w:lvl w:ilvl="1">
      <w:start w:val="1"/>
      <w:numFmt w:val="lowerLetter"/>
      <w:lvlText w:val="%2)"/>
      <w:lvlJc w:val="left"/>
      <w:pPr>
        <w:ind w:left="1262" w:hanging="420"/>
      </w:pPr>
      <w:rPr>
        <w:rFonts w:ascii="Times New Roman" w:hAnsi="Times New Roman" w:cs="Times New Roman" w:hint="default"/>
      </w:rPr>
    </w:lvl>
    <w:lvl w:ilvl="2">
      <w:start w:val="1"/>
      <w:numFmt w:val="lowerRoman"/>
      <w:lvlText w:val="%3."/>
      <w:lvlJc w:val="right"/>
      <w:pPr>
        <w:ind w:left="1682" w:hanging="420"/>
      </w:pPr>
      <w:rPr>
        <w:rFonts w:ascii="Times New Roman" w:hAnsi="Times New Roman" w:cs="Times New Roman" w:hint="default"/>
      </w:rPr>
    </w:lvl>
    <w:lvl w:ilvl="3">
      <w:start w:val="1"/>
      <w:numFmt w:val="decimal"/>
      <w:lvlText w:val="%4."/>
      <w:lvlJc w:val="left"/>
      <w:pPr>
        <w:ind w:left="2102" w:hanging="420"/>
      </w:pPr>
      <w:rPr>
        <w:rFonts w:ascii="Times New Roman" w:hAnsi="Times New Roman" w:cs="Times New Roman" w:hint="default"/>
      </w:rPr>
    </w:lvl>
    <w:lvl w:ilvl="4">
      <w:start w:val="1"/>
      <w:numFmt w:val="lowerLetter"/>
      <w:lvlText w:val="%5)"/>
      <w:lvlJc w:val="left"/>
      <w:pPr>
        <w:ind w:left="2522" w:hanging="420"/>
      </w:pPr>
      <w:rPr>
        <w:rFonts w:ascii="Times New Roman" w:hAnsi="Times New Roman" w:cs="Times New Roman" w:hint="default"/>
      </w:rPr>
    </w:lvl>
    <w:lvl w:ilvl="5">
      <w:start w:val="1"/>
      <w:numFmt w:val="lowerRoman"/>
      <w:lvlText w:val="%6."/>
      <w:lvlJc w:val="right"/>
      <w:pPr>
        <w:ind w:left="2942" w:hanging="420"/>
      </w:pPr>
      <w:rPr>
        <w:rFonts w:ascii="Times New Roman" w:hAnsi="Times New Roman" w:cs="Times New Roman" w:hint="default"/>
      </w:rPr>
    </w:lvl>
    <w:lvl w:ilvl="6">
      <w:start w:val="1"/>
      <w:numFmt w:val="decimal"/>
      <w:lvlText w:val="%7."/>
      <w:lvlJc w:val="left"/>
      <w:pPr>
        <w:ind w:left="3362" w:hanging="420"/>
      </w:pPr>
      <w:rPr>
        <w:rFonts w:ascii="Times New Roman" w:hAnsi="Times New Roman" w:cs="Times New Roman" w:hint="default"/>
      </w:rPr>
    </w:lvl>
    <w:lvl w:ilvl="7">
      <w:start w:val="1"/>
      <w:numFmt w:val="lowerLetter"/>
      <w:lvlText w:val="%8)"/>
      <w:lvlJc w:val="left"/>
      <w:pPr>
        <w:ind w:left="3782" w:hanging="420"/>
      </w:pPr>
      <w:rPr>
        <w:rFonts w:ascii="Times New Roman" w:hAnsi="Times New Roman" w:cs="Times New Roman" w:hint="default"/>
      </w:rPr>
    </w:lvl>
    <w:lvl w:ilvl="8">
      <w:start w:val="1"/>
      <w:numFmt w:val="lowerRoman"/>
      <w:lvlText w:val="%9."/>
      <w:lvlJc w:val="right"/>
      <w:pPr>
        <w:ind w:left="4202" w:hanging="420"/>
      </w:pPr>
      <w:rPr>
        <w:rFonts w:ascii="Times New Roman" w:hAnsi="Times New Roman" w:cs="Times New Roman" w:hint="default"/>
      </w:rPr>
    </w:lvl>
  </w:abstractNum>
  <w:abstractNum w:abstractNumId="80" w15:restartNumberingAfterBreak="0">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15:restartNumberingAfterBreak="0">
    <w:nsid w:val="45505A1F"/>
    <w:multiLevelType w:val="multilevel"/>
    <w:tmpl w:val="45505A1F"/>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82"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476D5240"/>
    <w:multiLevelType w:val="multilevel"/>
    <w:tmpl w:val="476D5240"/>
    <w:lvl w:ilvl="0">
      <w:start w:val="1"/>
      <w:numFmt w:val="decimal"/>
      <w:lvlText w:val="(%1)"/>
      <w:lvlJc w:val="left"/>
      <w:pPr>
        <w:ind w:left="1140" w:hanging="720"/>
      </w:pPr>
      <w:rPr>
        <w:rFonts w:ascii="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4" w15:restartNumberingAfterBreak="0">
    <w:nsid w:val="4802360A"/>
    <w:multiLevelType w:val="multilevel"/>
    <w:tmpl w:val="4802360A"/>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49CA21DD"/>
    <w:multiLevelType w:val="multilevel"/>
    <w:tmpl w:val="49CA21DD"/>
    <w:lvl w:ilvl="0">
      <w:start w:val="1"/>
      <w:numFmt w:val="chineseCountingThousand"/>
      <w:pStyle w:val="2"/>
      <w:suff w:val="nothing"/>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4AC23DB8"/>
    <w:multiLevelType w:val="multilevel"/>
    <w:tmpl w:val="4AC23DB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4AE922EF"/>
    <w:multiLevelType w:val="multilevel"/>
    <w:tmpl w:val="4AE922EF"/>
    <w:lvl w:ilvl="0">
      <w:start w:val="1"/>
      <w:numFmt w:val="decimalEnclosedCircle"/>
      <w:lvlText w:val="%1"/>
      <w:lvlJc w:val="left"/>
      <w:pPr>
        <w:ind w:left="900" w:hanging="420"/>
      </w:pPr>
      <w:rPr>
        <w:rFonts w:ascii="宋体" w:eastAsia="宋体" w:hAnsi="宋体" w:cs="Times New Roman" w:hint="eastAsia"/>
      </w:rPr>
    </w:lvl>
    <w:lvl w:ilvl="1">
      <w:start w:val="1"/>
      <w:numFmt w:val="decimalEnclosedCircle"/>
      <w:lvlText w:val="%2"/>
      <w:lvlJc w:val="left"/>
      <w:pPr>
        <w:ind w:left="1320" w:hanging="420"/>
      </w:pPr>
      <w:rPr>
        <w:rFonts w:ascii="宋体" w:eastAsia="宋体" w:hAnsi="宋体" w:cs="Times New Roman" w:hint="eastAsia"/>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88" w15:restartNumberingAfterBreak="0">
    <w:nsid w:val="4AF02474"/>
    <w:multiLevelType w:val="multilevel"/>
    <w:tmpl w:val="4AF0247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15:restartNumberingAfterBreak="0">
    <w:nsid w:val="4AF37F08"/>
    <w:multiLevelType w:val="multilevel"/>
    <w:tmpl w:val="4AF37F08"/>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90" w15:restartNumberingAfterBreak="0">
    <w:nsid w:val="4B3A387F"/>
    <w:multiLevelType w:val="multilevel"/>
    <w:tmpl w:val="4B3A387F"/>
    <w:lvl w:ilvl="0">
      <w:start w:val="1"/>
      <w:numFmt w:val="decimal"/>
      <w:lvlText w:val="(%1)"/>
      <w:lvlJc w:val="left"/>
      <w:pPr>
        <w:ind w:left="1140" w:hanging="720"/>
      </w:pPr>
      <w:rPr>
        <w:rFonts w:ascii="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1"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4C79B153"/>
    <w:multiLevelType w:val="multilevel"/>
    <w:tmpl w:val="4C79B15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3" w15:restartNumberingAfterBreak="0">
    <w:nsid w:val="4D5D3C22"/>
    <w:multiLevelType w:val="multilevel"/>
    <w:tmpl w:val="4D5D3C2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4E9B6002"/>
    <w:multiLevelType w:val="multilevel"/>
    <w:tmpl w:val="4E9B600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4EAF4C3A"/>
    <w:multiLevelType w:val="multilevel"/>
    <w:tmpl w:val="4EAF4C3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51265863"/>
    <w:multiLevelType w:val="multilevel"/>
    <w:tmpl w:val="51265863"/>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5141766E"/>
    <w:multiLevelType w:val="multilevel"/>
    <w:tmpl w:val="5141766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37200A3"/>
    <w:multiLevelType w:val="multilevel"/>
    <w:tmpl w:val="537200A3"/>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100"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573E1F07"/>
    <w:multiLevelType w:val="multilevel"/>
    <w:tmpl w:val="573E1F0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58433A16"/>
    <w:multiLevelType w:val="multilevel"/>
    <w:tmpl w:val="58433A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5B6A2EA8"/>
    <w:multiLevelType w:val="multilevel"/>
    <w:tmpl w:val="5B6A2EA8"/>
    <w:lvl w:ilvl="0">
      <w:start w:val="1"/>
      <w:numFmt w:val="chineseCountingThousand"/>
      <w:suff w:val="nothing"/>
      <w:lvlText w:val="%1、"/>
      <w:lvlJc w:val="left"/>
      <w:pPr>
        <w:ind w:left="1696" w:hanging="420"/>
      </w:pPr>
      <w:rPr>
        <w:rFonts w:ascii="宋体" w:eastAsia="宋体" w:hAnsi="宋体" w:hint="eastAsia"/>
        <w:b/>
        <w:bCs/>
      </w:rPr>
    </w:lvl>
    <w:lvl w:ilvl="1">
      <w:start w:val="1"/>
      <w:numFmt w:val="decimalEnclosedCircle"/>
      <w:lvlText w:val="%2"/>
      <w:lvlJc w:val="left"/>
      <w:pPr>
        <w:ind w:left="786" w:hanging="360"/>
      </w:pPr>
      <w:rPr>
        <w:rFonts w:ascii="宋体" w:eastAsia="宋体" w:hAnsi="宋体" w:hint="eastAsia"/>
      </w:rPr>
    </w:lvl>
    <w:lvl w:ilvl="2">
      <w:start w:val="1"/>
      <w:numFmt w:val="lowerRoman"/>
      <w:lvlText w:val="%3."/>
      <w:lvlJc w:val="right"/>
      <w:pPr>
        <w:ind w:left="1742" w:hanging="420"/>
      </w:pPr>
      <w:rPr>
        <w:rFonts w:ascii="Times New Roman" w:hAnsi="Times New Roman" w:cs="Times New Roman" w:hint="default"/>
      </w:rPr>
    </w:lvl>
    <w:lvl w:ilvl="3">
      <w:start w:val="1"/>
      <w:numFmt w:val="decimal"/>
      <w:lvlText w:val="%4."/>
      <w:lvlJc w:val="left"/>
      <w:pPr>
        <w:ind w:left="2162" w:hanging="420"/>
      </w:pPr>
      <w:rPr>
        <w:rFonts w:ascii="Times New Roman" w:hAnsi="Times New Roman" w:cs="Times New Roman" w:hint="default"/>
      </w:rPr>
    </w:lvl>
    <w:lvl w:ilvl="4">
      <w:start w:val="1"/>
      <w:numFmt w:val="lowerLetter"/>
      <w:lvlText w:val="%5)"/>
      <w:lvlJc w:val="left"/>
      <w:pPr>
        <w:ind w:left="2582" w:hanging="420"/>
      </w:pPr>
      <w:rPr>
        <w:rFonts w:ascii="Times New Roman" w:hAnsi="Times New Roman" w:cs="Times New Roman" w:hint="default"/>
      </w:rPr>
    </w:lvl>
    <w:lvl w:ilvl="5">
      <w:start w:val="1"/>
      <w:numFmt w:val="lowerRoman"/>
      <w:lvlText w:val="%6."/>
      <w:lvlJc w:val="right"/>
      <w:pPr>
        <w:ind w:left="3002" w:hanging="420"/>
      </w:pPr>
      <w:rPr>
        <w:rFonts w:ascii="Times New Roman" w:hAnsi="Times New Roman" w:cs="Times New Roman" w:hint="default"/>
      </w:rPr>
    </w:lvl>
    <w:lvl w:ilvl="6">
      <w:start w:val="1"/>
      <w:numFmt w:val="decimal"/>
      <w:lvlText w:val="%7."/>
      <w:lvlJc w:val="left"/>
      <w:pPr>
        <w:ind w:left="3422" w:hanging="420"/>
      </w:pPr>
      <w:rPr>
        <w:rFonts w:ascii="Times New Roman" w:hAnsi="Times New Roman" w:cs="Times New Roman" w:hint="default"/>
      </w:rPr>
    </w:lvl>
    <w:lvl w:ilvl="7">
      <w:start w:val="1"/>
      <w:numFmt w:val="lowerLetter"/>
      <w:lvlText w:val="%8)"/>
      <w:lvlJc w:val="left"/>
      <w:pPr>
        <w:ind w:left="3842" w:hanging="420"/>
      </w:pPr>
      <w:rPr>
        <w:rFonts w:ascii="Times New Roman" w:hAnsi="Times New Roman" w:cs="Times New Roman" w:hint="default"/>
      </w:rPr>
    </w:lvl>
    <w:lvl w:ilvl="8">
      <w:start w:val="1"/>
      <w:numFmt w:val="lowerRoman"/>
      <w:lvlText w:val="%9."/>
      <w:lvlJc w:val="right"/>
      <w:pPr>
        <w:ind w:left="4262" w:hanging="420"/>
      </w:pPr>
      <w:rPr>
        <w:rFonts w:ascii="Times New Roman" w:hAnsi="Times New Roman" w:cs="Times New Roman" w:hint="default"/>
      </w:rPr>
    </w:lvl>
  </w:abstractNum>
  <w:abstractNum w:abstractNumId="108"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15:restartNumberingAfterBreak="0">
    <w:nsid w:val="5E093C3E"/>
    <w:multiLevelType w:val="multilevel"/>
    <w:tmpl w:val="5E093C3E"/>
    <w:lvl w:ilvl="0">
      <w:start w:val="1"/>
      <w:numFmt w:val="decimalEnclosedCircle"/>
      <w:lvlText w:val="%1"/>
      <w:lvlJc w:val="left"/>
      <w:pPr>
        <w:ind w:left="845" w:hanging="420"/>
      </w:pPr>
      <w:rPr>
        <w:rFonts w:ascii="宋体" w:eastAsia="宋体" w:hAnsi="宋体" w:cs="Times New Roman" w:hint="eastAsia"/>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110"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63C25BDC"/>
    <w:multiLevelType w:val="multilevel"/>
    <w:tmpl w:val="63C25BDC"/>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15:restartNumberingAfterBreak="0">
    <w:nsid w:val="6505491D"/>
    <w:multiLevelType w:val="multilevel"/>
    <w:tmpl w:val="6505491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65CC17C4"/>
    <w:multiLevelType w:val="multilevel"/>
    <w:tmpl w:val="65CC17C4"/>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114" w15:restartNumberingAfterBreak="0">
    <w:nsid w:val="66CA16A7"/>
    <w:multiLevelType w:val="multilevel"/>
    <w:tmpl w:val="66CA16A7"/>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15:restartNumberingAfterBreak="0">
    <w:nsid w:val="68EE3DE9"/>
    <w:multiLevelType w:val="multilevel"/>
    <w:tmpl w:val="68EE3DE9"/>
    <w:lvl w:ilvl="0">
      <w:start w:val="1"/>
      <w:numFmt w:val="upperLetter"/>
      <w:lvlText w:val="%1."/>
      <w:lvlJc w:val="left"/>
      <w:pPr>
        <w:ind w:left="785" w:hanging="360"/>
      </w:pPr>
      <w:rPr>
        <w:rFonts w:ascii="Times New Roman" w:hAnsi="Times New Roman" w:cs="Times New Roman" w:hint="default"/>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116" w15:restartNumberingAfterBreak="0">
    <w:nsid w:val="693860DA"/>
    <w:multiLevelType w:val="multilevel"/>
    <w:tmpl w:val="693860DA"/>
    <w:lvl w:ilvl="0">
      <w:start w:val="1"/>
      <w:numFmt w:val="decimalEnclosedCircle"/>
      <w:lvlText w:val="%1"/>
      <w:lvlJc w:val="left"/>
      <w:pPr>
        <w:ind w:left="840" w:hanging="360"/>
      </w:pPr>
      <w:rPr>
        <w:rFonts w:ascii="Times New Roman" w:hAnsi="Times New Roman" w:cs="Times New Roman" w:hint="default"/>
      </w:rPr>
    </w:lvl>
    <w:lvl w:ilvl="1">
      <w:start w:val="1"/>
      <w:numFmt w:val="upp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117" w15:restartNumberingAfterBreak="0">
    <w:nsid w:val="694D0F71"/>
    <w:multiLevelType w:val="multilevel"/>
    <w:tmpl w:val="694D0F7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8" w15:restartNumberingAfterBreak="0">
    <w:nsid w:val="6B9D369D"/>
    <w:multiLevelType w:val="multilevel"/>
    <w:tmpl w:val="6B9D369D"/>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119" w15:restartNumberingAfterBreak="0">
    <w:nsid w:val="6D7319EB"/>
    <w:multiLevelType w:val="multilevel"/>
    <w:tmpl w:val="6D7319E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6E225922"/>
    <w:multiLevelType w:val="multilevel"/>
    <w:tmpl w:val="6E22592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6F79512E"/>
    <w:multiLevelType w:val="multilevel"/>
    <w:tmpl w:val="6F79512E"/>
    <w:lvl w:ilvl="0">
      <w:start w:val="1"/>
      <w:numFmt w:val="decimal"/>
      <w:suff w:val="space"/>
      <w:lvlText w:val="%1．"/>
      <w:lvlJc w:val="left"/>
      <w:pPr>
        <w:ind w:left="847" w:hanging="375"/>
      </w:pPr>
      <w:rPr>
        <w:rFonts w:ascii="Times New Roman" w:hAnsi="Times New Roman" w:cs="Times New Roman" w:hint="default"/>
        <w:color w:val="000000"/>
      </w:rPr>
    </w:lvl>
    <w:lvl w:ilvl="1">
      <w:start w:val="1"/>
      <w:numFmt w:val="decimal"/>
      <w:suff w:val="space"/>
      <w:lvlText w:val="%2."/>
      <w:lvlJc w:val="left"/>
      <w:pPr>
        <w:ind w:left="1353" w:hanging="360"/>
      </w:pPr>
      <w:rPr>
        <w:rFonts w:ascii="Times New Roman" w:hAnsi="Times New Roman" w:cs="Times New Roman" w:hint="default"/>
        <w:color w:val="000000"/>
      </w:rPr>
    </w:lvl>
    <w:lvl w:ilvl="2">
      <w:start w:val="1"/>
      <w:numFmt w:val="decimal"/>
      <w:suff w:val="nothing"/>
      <w:lvlText w:val="（%3）"/>
      <w:lvlJc w:val="left"/>
      <w:pPr>
        <w:ind w:left="2032" w:hanging="720"/>
      </w:pPr>
      <w:rPr>
        <w:rFonts w:ascii="Times New Roman" w:hAnsi="Times New Roman" w:cs="Times New Roman" w:hint="default"/>
      </w:rPr>
    </w:lvl>
    <w:lvl w:ilvl="3">
      <w:start w:val="1"/>
      <w:numFmt w:val="upperLetter"/>
      <w:suff w:val="space"/>
      <w:lvlText w:val="%4."/>
      <w:lvlJc w:val="left"/>
      <w:pPr>
        <w:ind w:left="2092" w:hanging="360"/>
      </w:pPr>
      <w:rPr>
        <w:rFonts w:ascii="Times New Roman" w:hAnsi="Times New Roman" w:cs="Times New Roman" w:hint="default"/>
      </w:rPr>
    </w:lvl>
    <w:lvl w:ilvl="4">
      <w:start w:val="1"/>
      <w:numFmt w:val="upperLetter"/>
      <w:lvlText w:val="%5、"/>
      <w:lvlJc w:val="left"/>
      <w:pPr>
        <w:ind w:left="2872" w:hanging="720"/>
      </w:pPr>
      <w:rPr>
        <w:rFonts w:ascii="Times New Roman" w:hAnsi="Times New Roman" w:cs="Times New Roman" w:hint="default"/>
      </w:rPr>
    </w:lvl>
    <w:lvl w:ilvl="5">
      <w:start w:val="3"/>
      <w:numFmt w:val="lowerLetter"/>
      <w:lvlText w:val="%6、"/>
      <w:lvlJc w:val="left"/>
      <w:pPr>
        <w:ind w:left="2932" w:hanging="360"/>
      </w:pPr>
      <w:rPr>
        <w:rFonts w:ascii="Times New Roman" w:hAnsi="Times New Roman" w:cs="Times New Roman" w:hint="default"/>
      </w:rPr>
    </w:lvl>
    <w:lvl w:ilvl="6">
      <w:start w:val="2"/>
      <w:numFmt w:val="decimalEnclosedCircle"/>
      <w:lvlText w:val="%7"/>
      <w:lvlJc w:val="left"/>
      <w:pPr>
        <w:ind w:left="3352" w:hanging="36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123" w15:restartNumberingAfterBreak="0">
    <w:nsid w:val="6F863038"/>
    <w:multiLevelType w:val="multilevel"/>
    <w:tmpl w:val="6F863038"/>
    <w:lvl w:ilvl="0">
      <w:start w:val="1"/>
      <w:numFmt w:val="decimalEnclosedCircle"/>
      <w:lvlText w:val="%1"/>
      <w:lvlJc w:val="left"/>
      <w:pPr>
        <w:ind w:left="1270" w:hanging="420"/>
      </w:pPr>
      <w:rPr>
        <w:rFonts w:ascii="宋体" w:eastAsia="宋体" w:hAnsi="宋体" w:hint="eastAsia"/>
        <w:b w:val="0"/>
        <w:bCs w:val="0"/>
      </w:rPr>
    </w:lvl>
    <w:lvl w:ilvl="1">
      <w:start w:val="1"/>
      <w:numFmt w:val="lowerLetter"/>
      <w:lvlText w:val="%2)"/>
      <w:lvlJc w:val="left"/>
      <w:pPr>
        <w:ind w:left="1690" w:hanging="420"/>
      </w:pPr>
      <w:rPr>
        <w:rFonts w:ascii="Times New Roman" w:hAnsi="Times New Roman" w:cs="Times New Roman" w:hint="default"/>
      </w:rPr>
    </w:lvl>
    <w:lvl w:ilvl="2">
      <w:start w:val="1"/>
      <w:numFmt w:val="lowerRoman"/>
      <w:lvlText w:val="%3."/>
      <w:lvlJc w:val="right"/>
      <w:pPr>
        <w:ind w:left="2110" w:hanging="420"/>
      </w:pPr>
      <w:rPr>
        <w:rFonts w:ascii="Times New Roman" w:hAnsi="Times New Roman" w:cs="Times New Roman" w:hint="default"/>
      </w:rPr>
    </w:lvl>
    <w:lvl w:ilvl="3">
      <w:start w:val="1"/>
      <w:numFmt w:val="decimal"/>
      <w:lvlText w:val="%4."/>
      <w:lvlJc w:val="left"/>
      <w:pPr>
        <w:ind w:left="2530" w:hanging="420"/>
      </w:pPr>
      <w:rPr>
        <w:rFonts w:ascii="Times New Roman" w:hAnsi="Times New Roman" w:cs="Times New Roman" w:hint="default"/>
      </w:rPr>
    </w:lvl>
    <w:lvl w:ilvl="4">
      <w:start w:val="1"/>
      <w:numFmt w:val="lowerLetter"/>
      <w:lvlText w:val="%5)"/>
      <w:lvlJc w:val="left"/>
      <w:pPr>
        <w:ind w:left="2950" w:hanging="420"/>
      </w:pPr>
      <w:rPr>
        <w:rFonts w:ascii="Times New Roman" w:hAnsi="Times New Roman" w:cs="Times New Roman" w:hint="default"/>
      </w:rPr>
    </w:lvl>
    <w:lvl w:ilvl="5">
      <w:start w:val="1"/>
      <w:numFmt w:val="lowerRoman"/>
      <w:lvlText w:val="%6."/>
      <w:lvlJc w:val="right"/>
      <w:pPr>
        <w:ind w:left="3370" w:hanging="420"/>
      </w:pPr>
      <w:rPr>
        <w:rFonts w:ascii="Times New Roman" w:hAnsi="Times New Roman" w:cs="Times New Roman" w:hint="default"/>
      </w:rPr>
    </w:lvl>
    <w:lvl w:ilvl="6">
      <w:start w:val="1"/>
      <w:numFmt w:val="decimal"/>
      <w:lvlText w:val="%7."/>
      <w:lvlJc w:val="left"/>
      <w:pPr>
        <w:ind w:left="3790" w:hanging="420"/>
      </w:pPr>
      <w:rPr>
        <w:rFonts w:ascii="Times New Roman" w:hAnsi="Times New Roman" w:cs="Times New Roman" w:hint="default"/>
      </w:rPr>
    </w:lvl>
    <w:lvl w:ilvl="7">
      <w:start w:val="1"/>
      <w:numFmt w:val="lowerLetter"/>
      <w:lvlText w:val="%8)"/>
      <w:lvlJc w:val="left"/>
      <w:pPr>
        <w:ind w:left="4210" w:hanging="420"/>
      </w:pPr>
      <w:rPr>
        <w:rFonts w:ascii="Times New Roman" w:hAnsi="Times New Roman" w:cs="Times New Roman" w:hint="default"/>
      </w:rPr>
    </w:lvl>
    <w:lvl w:ilvl="8">
      <w:start w:val="1"/>
      <w:numFmt w:val="lowerRoman"/>
      <w:lvlText w:val="%9."/>
      <w:lvlJc w:val="right"/>
      <w:pPr>
        <w:ind w:left="4630" w:hanging="420"/>
      </w:pPr>
      <w:rPr>
        <w:rFonts w:ascii="Times New Roman" w:hAnsi="Times New Roman" w:cs="Times New Roman" w:hint="default"/>
      </w:rPr>
    </w:lvl>
  </w:abstractNum>
  <w:abstractNum w:abstractNumId="124" w15:restartNumberingAfterBreak="0">
    <w:nsid w:val="701D5786"/>
    <w:multiLevelType w:val="multilevel"/>
    <w:tmpl w:val="701D578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6" w15:restartNumberingAfterBreak="0">
    <w:nsid w:val="728231A6"/>
    <w:multiLevelType w:val="multilevel"/>
    <w:tmpl w:val="728231A6"/>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72921865"/>
    <w:multiLevelType w:val="multilevel"/>
    <w:tmpl w:val="72921865"/>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15:restartNumberingAfterBreak="0">
    <w:nsid w:val="733B7960"/>
    <w:multiLevelType w:val="multilevel"/>
    <w:tmpl w:val="733B7960"/>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129" w15:restartNumberingAfterBreak="0">
    <w:nsid w:val="739563DA"/>
    <w:multiLevelType w:val="multilevel"/>
    <w:tmpl w:val="739563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0" w15:restartNumberingAfterBreak="0">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1" w15:restartNumberingAfterBreak="0">
    <w:nsid w:val="750508FB"/>
    <w:multiLevelType w:val="multilevel"/>
    <w:tmpl w:val="750508FB"/>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15:restartNumberingAfterBreak="0">
    <w:nsid w:val="76D7557A"/>
    <w:multiLevelType w:val="multilevel"/>
    <w:tmpl w:val="76D7557A"/>
    <w:lvl w:ilvl="0">
      <w:start w:val="1"/>
      <w:numFmt w:val="decimal"/>
      <w:lvlText w:val="(%1)"/>
      <w:lvlJc w:val="left"/>
      <w:pPr>
        <w:ind w:left="816" w:hanging="39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35" w15:restartNumberingAfterBreak="0">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7"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8" w15:restartNumberingAfterBreak="0">
    <w:nsid w:val="788D7B85"/>
    <w:multiLevelType w:val="multilevel"/>
    <w:tmpl w:val="788D7B85"/>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15:restartNumberingAfterBreak="0">
    <w:nsid w:val="79963D5B"/>
    <w:multiLevelType w:val="multilevel"/>
    <w:tmpl w:val="79963D5B"/>
    <w:lvl w:ilvl="0">
      <w:start w:val="1"/>
      <w:numFmt w:val="decimalEnclosedCircle"/>
      <w:lvlText w:val="%1"/>
      <w:lvlJc w:val="left"/>
      <w:pPr>
        <w:ind w:left="840" w:hanging="360"/>
      </w:pPr>
      <w:rPr>
        <w:rFonts w:ascii="宋体" w:eastAsia="宋体" w:hAnsi="宋体" w:cs="Times New Roman" w:hint="eastAsia"/>
      </w:rPr>
    </w:lvl>
    <w:lvl w:ilvl="1">
      <w:start w:val="1"/>
      <w:numFmt w:val="upperLetter"/>
      <w:lvlText w:val="%2."/>
      <w:lvlJc w:val="left"/>
      <w:pPr>
        <w:ind w:left="1635" w:hanging="735"/>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140" w15:restartNumberingAfterBreak="0">
    <w:nsid w:val="7A6140D4"/>
    <w:multiLevelType w:val="multilevel"/>
    <w:tmpl w:val="7A6140D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15:restartNumberingAfterBreak="0">
    <w:nsid w:val="7B0369BE"/>
    <w:multiLevelType w:val="multilevel"/>
    <w:tmpl w:val="7B0369BE"/>
    <w:lvl w:ilvl="0">
      <w:start w:val="1"/>
      <w:numFmt w:val="decimalEnclosedCircle"/>
      <w:lvlText w:val="%1"/>
      <w:lvlJc w:val="left"/>
      <w:pPr>
        <w:ind w:left="845" w:hanging="420"/>
      </w:pPr>
      <w:rPr>
        <w:rFonts w:ascii="宋体" w:eastAsia="宋体" w:hAnsi="宋体" w:cs="Times New Roman" w:hint="eastAsia"/>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142"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3" w15:restartNumberingAfterBreak="0">
    <w:nsid w:val="7B327DC4"/>
    <w:multiLevelType w:val="multilevel"/>
    <w:tmpl w:val="7B327DC4"/>
    <w:lvl w:ilvl="0">
      <w:start w:val="1"/>
      <w:numFmt w:val="decimalEnclosedCircle"/>
      <w:lvlText w:val="%1"/>
      <w:lvlJc w:val="left"/>
      <w:pPr>
        <w:ind w:left="845" w:hanging="420"/>
      </w:pPr>
      <w:rPr>
        <w:rFonts w:ascii="宋体" w:eastAsia="宋体" w:hAnsi="宋体" w:hint="eastAsia"/>
        <w:b w:val="0"/>
        <w:bCs w:val="0"/>
      </w:rPr>
    </w:lvl>
    <w:lvl w:ilvl="1">
      <w:start w:val="1"/>
      <w:numFmt w:val="lowerLetter"/>
      <w:lvlText w:val="%2)"/>
      <w:lvlJc w:val="left"/>
      <w:pPr>
        <w:ind w:left="1265" w:hanging="420"/>
      </w:pPr>
      <w:rPr>
        <w:rFonts w:ascii="Times New Roman" w:hAnsi="Times New Roman" w:cs="Times New Roman" w:hint="default"/>
      </w:rPr>
    </w:lvl>
    <w:lvl w:ilvl="2">
      <w:start w:val="1"/>
      <w:numFmt w:val="lowerRoman"/>
      <w:lvlText w:val="%3."/>
      <w:lvlJc w:val="right"/>
      <w:pPr>
        <w:ind w:left="1685" w:hanging="420"/>
      </w:pPr>
      <w:rPr>
        <w:rFonts w:ascii="Times New Roman" w:hAnsi="Times New Roman" w:cs="Times New Roman" w:hint="default"/>
      </w:rPr>
    </w:lvl>
    <w:lvl w:ilvl="3">
      <w:start w:val="1"/>
      <w:numFmt w:val="decimal"/>
      <w:lvlText w:val="%4."/>
      <w:lvlJc w:val="left"/>
      <w:pPr>
        <w:ind w:left="2105" w:hanging="420"/>
      </w:pPr>
      <w:rPr>
        <w:rFonts w:ascii="Times New Roman" w:hAnsi="Times New Roman" w:cs="Times New Roman" w:hint="default"/>
      </w:rPr>
    </w:lvl>
    <w:lvl w:ilvl="4">
      <w:start w:val="1"/>
      <w:numFmt w:val="lowerLetter"/>
      <w:lvlText w:val="%5)"/>
      <w:lvlJc w:val="left"/>
      <w:pPr>
        <w:ind w:left="2525" w:hanging="420"/>
      </w:pPr>
      <w:rPr>
        <w:rFonts w:ascii="Times New Roman" w:hAnsi="Times New Roman" w:cs="Times New Roman" w:hint="default"/>
      </w:rPr>
    </w:lvl>
    <w:lvl w:ilvl="5">
      <w:start w:val="1"/>
      <w:numFmt w:val="lowerRoman"/>
      <w:lvlText w:val="%6."/>
      <w:lvlJc w:val="right"/>
      <w:pPr>
        <w:ind w:left="2945" w:hanging="420"/>
      </w:pPr>
      <w:rPr>
        <w:rFonts w:ascii="Times New Roman" w:hAnsi="Times New Roman" w:cs="Times New Roman" w:hint="default"/>
      </w:rPr>
    </w:lvl>
    <w:lvl w:ilvl="6">
      <w:start w:val="1"/>
      <w:numFmt w:val="decimal"/>
      <w:lvlText w:val="%7."/>
      <w:lvlJc w:val="left"/>
      <w:pPr>
        <w:ind w:left="3365" w:hanging="420"/>
      </w:pPr>
      <w:rPr>
        <w:rFonts w:ascii="Times New Roman" w:hAnsi="Times New Roman" w:cs="Times New Roman" w:hint="default"/>
      </w:rPr>
    </w:lvl>
    <w:lvl w:ilvl="7">
      <w:start w:val="1"/>
      <w:numFmt w:val="lowerLetter"/>
      <w:lvlText w:val="%8)"/>
      <w:lvlJc w:val="left"/>
      <w:pPr>
        <w:ind w:left="3785" w:hanging="420"/>
      </w:pPr>
      <w:rPr>
        <w:rFonts w:ascii="Times New Roman" w:hAnsi="Times New Roman" w:cs="Times New Roman" w:hint="default"/>
      </w:rPr>
    </w:lvl>
    <w:lvl w:ilvl="8">
      <w:start w:val="1"/>
      <w:numFmt w:val="lowerRoman"/>
      <w:lvlText w:val="%9."/>
      <w:lvlJc w:val="right"/>
      <w:pPr>
        <w:ind w:left="4205" w:hanging="420"/>
      </w:pPr>
      <w:rPr>
        <w:rFonts w:ascii="Times New Roman" w:hAnsi="Times New Roman" w:cs="Times New Roman" w:hint="default"/>
      </w:rPr>
    </w:lvl>
  </w:abstractNum>
  <w:abstractNum w:abstractNumId="144" w15:restartNumberingAfterBreak="0">
    <w:nsid w:val="7B606A2D"/>
    <w:multiLevelType w:val="multilevel"/>
    <w:tmpl w:val="7B606A2D"/>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5" w15:restartNumberingAfterBreak="0">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6" w15:restartNumberingAfterBreak="0">
    <w:nsid w:val="7C7A2918"/>
    <w:multiLevelType w:val="multilevel"/>
    <w:tmpl w:val="7C7A2918"/>
    <w:lvl w:ilvl="0">
      <w:start w:val="1"/>
      <w:numFmt w:val="decimalEnclosedCircle"/>
      <w:lvlText w:val="%1"/>
      <w:lvlJc w:val="left"/>
      <w:pPr>
        <w:ind w:left="900" w:hanging="420"/>
      </w:pPr>
      <w:rPr>
        <w:rFonts w:ascii="宋体" w:eastAsia="宋体" w:hAnsi="宋体" w:cs="Times New Roman" w:hint="eastAsia"/>
      </w:rPr>
    </w:lvl>
    <w:lvl w:ilvl="1">
      <w:start w:val="1"/>
      <w:numFmt w:val="decimalEnclosedCircle"/>
      <w:lvlText w:val="%2"/>
      <w:lvlJc w:val="left"/>
      <w:pPr>
        <w:ind w:left="1320" w:hanging="420"/>
      </w:pPr>
      <w:rPr>
        <w:rFonts w:ascii="宋体" w:eastAsia="宋体" w:hAnsi="宋体" w:cs="Times New Roman" w:hint="eastAsia"/>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147"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8"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15:restartNumberingAfterBreak="0">
    <w:nsid w:val="7F7D33FB"/>
    <w:multiLevelType w:val="multilevel"/>
    <w:tmpl w:val="7F7D33FB"/>
    <w:lvl w:ilvl="0">
      <w:start w:val="1"/>
      <w:numFmt w:val="decimal"/>
      <w:suff w:val="nothing"/>
      <w:lvlText w:val="%1．"/>
      <w:lvlJc w:val="left"/>
      <w:pPr>
        <w:ind w:left="840" w:hanging="360"/>
      </w:pPr>
      <w:rPr>
        <w:rFonts w:hint="default"/>
        <w:b/>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150"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85"/>
  </w:num>
  <w:num w:numId="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40"/>
  </w:num>
  <w:num w:numId="5">
    <w:abstractNumId w:val="33"/>
  </w:num>
  <w:num w:numId="6">
    <w:abstractNumId w:val="32"/>
  </w:num>
  <w:num w:numId="7">
    <w:abstractNumId w:val="38"/>
  </w:num>
  <w:num w:numId="8">
    <w:abstractNumId w:val="138"/>
  </w:num>
  <w:num w:numId="9">
    <w:abstractNumId w:val="50"/>
  </w:num>
  <w:num w:numId="10">
    <w:abstractNumId w:val="92"/>
  </w:num>
  <w:num w:numId="11">
    <w:abstractNumId w:val="63"/>
  </w:num>
  <w:num w:numId="12">
    <w:abstractNumId w:val="10"/>
  </w:num>
  <w:num w:numId="13">
    <w:abstractNumId w:val="90"/>
  </w:num>
  <w:num w:numId="14">
    <w:abstractNumId w:val="83"/>
  </w:num>
  <w:num w:numId="15">
    <w:abstractNumId w:val="68"/>
  </w:num>
  <w:num w:numId="16">
    <w:abstractNumId w:val="18"/>
  </w:num>
  <w:num w:numId="17">
    <w:abstractNumId w:val="26"/>
  </w:num>
  <w:num w:numId="18">
    <w:abstractNumId w:val="126"/>
  </w:num>
  <w:num w:numId="19">
    <w:abstractNumId w:val="94"/>
  </w:num>
  <w:num w:numId="20">
    <w:abstractNumId w:val="60"/>
  </w:num>
  <w:num w:numId="21">
    <w:abstractNumId w:val="103"/>
  </w:num>
  <w:num w:numId="22">
    <w:abstractNumId w:val="127"/>
  </w:num>
  <w:num w:numId="23">
    <w:abstractNumId w:val="42"/>
  </w:num>
  <w:num w:numId="24">
    <w:abstractNumId w:val="67"/>
  </w:num>
  <w:num w:numId="25">
    <w:abstractNumId w:val="5"/>
  </w:num>
  <w:num w:numId="26">
    <w:abstractNumId w:val="140"/>
  </w:num>
  <w:num w:numId="27">
    <w:abstractNumId w:val="61"/>
  </w:num>
  <w:num w:numId="28">
    <w:abstractNumId w:val="31"/>
  </w:num>
  <w:num w:numId="29">
    <w:abstractNumId w:val="117"/>
  </w:num>
  <w:num w:numId="30">
    <w:abstractNumId w:val="82"/>
  </w:num>
  <w:num w:numId="31">
    <w:abstractNumId w:val="142"/>
  </w:num>
  <w:num w:numId="32">
    <w:abstractNumId w:val="100"/>
  </w:num>
  <w:num w:numId="33">
    <w:abstractNumId w:val="69"/>
  </w:num>
  <w:num w:numId="34">
    <w:abstractNumId w:val="86"/>
  </w:num>
  <w:num w:numId="35">
    <w:abstractNumId w:val="43"/>
  </w:num>
  <w:num w:numId="36">
    <w:abstractNumId w:val="125"/>
  </w:num>
  <w:num w:numId="37">
    <w:abstractNumId w:val="108"/>
  </w:num>
  <w:num w:numId="38">
    <w:abstractNumId w:val="17"/>
  </w:num>
  <w:num w:numId="39">
    <w:abstractNumId w:val="37"/>
  </w:num>
  <w:num w:numId="40">
    <w:abstractNumId w:val="66"/>
  </w:num>
  <w:num w:numId="41">
    <w:abstractNumId w:val="85"/>
    <w:lvlOverride w:ilvl="0">
      <w:startOverride w:val="1"/>
    </w:lvlOverride>
  </w:num>
  <w:num w:numId="42">
    <w:abstractNumId w:val="135"/>
  </w:num>
  <w:num w:numId="43">
    <w:abstractNumId w:val="76"/>
  </w:num>
  <w:num w:numId="44">
    <w:abstractNumId w:val="70"/>
  </w:num>
  <w:num w:numId="45">
    <w:abstractNumId w:val="4"/>
  </w:num>
  <w:num w:numId="4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2"/>
    </w:lvlOverride>
    <w:lvlOverride w:ilvl="7">
      <w:startOverride w:val="1"/>
    </w:lvlOverride>
    <w:lvlOverride w:ilvl="8">
      <w:startOverride w:val="1"/>
    </w:lvlOverride>
  </w:num>
  <w:num w:numId="4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1"/>
  </w:num>
  <w:num w:numId="5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2"/>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num>
  <w:num w:numId="56">
    <w:abstractNumId w:val="23"/>
  </w:num>
  <w:num w:numId="57">
    <w:abstractNumId w:val="116"/>
  </w:num>
  <w:num w:numId="58">
    <w:abstractNumId w:val="34"/>
  </w:num>
  <w:num w:numId="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1"/>
  </w:num>
  <w:num w:numId="6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2"/>
    </w:lvlOverride>
    <w:lvlOverride w:ilvl="7">
      <w:startOverride w:val="1"/>
    </w:lvlOverride>
    <w:lvlOverride w:ilvl="8">
      <w:startOverride w:val="1"/>
    </w:lvlOverride>
  </w:num>
  <w:num w:numId="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num>
  <w:num w:numId="66">
    <w:abstractNumId w:val="65"/>
  </w:num>
  <w:num w:numId="67">
    <w:abstractNumId w:val="7"/>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2"/>
    </w:lvlOverride>
    <w:lvlOverride w:ilvl="7">
      <w:startOverride w:val="1"/>
    </w:lvlOverride>
    <w:lvlOverride w:ilvl="8">
      <w:startOverride w:val="1"/>
    </w:lvlOverride>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2"/>
    </w:lvlOverride>
    <w:lvlOverride w:ilvl="7">
      <w:startOverride w:val="1"/>
    </w:lvlOverride>
    <w:lvlOverride w:ilvl="8">
      <w:startOverride w:val="1"/>
    </w:lvlOverride>
  </w:num>
  <w:num w:numId="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num>
  <w:num w:numId="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num>
  <w:num w:numId="80">
    <w:abstractNumId w:val="143"/>
  </w:num>
  <w:num w:numId="81">
    <w:abstractNumId w:val="30"/>
  </w:num>
  <w:num w:numId="8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6"/>
  </w:num>
  <w:num w:numId="8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2"/>
    </w:lvlOverride>
    <w:lvlOverride w:ilvl="7">
      <w:startOverride w:val="1"/>
    </w:lvlOverride>
    <w:lvlOverride w:ilvl="8">
      <w:startOverride w:val="1"/>
    </w:lvlOverride>
  </w:num>
  <w:num w:numId="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1"/>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2"/>
    </w:lvlOverride>
    <w:lvlOverride w:ilvl="7">
      <w:startOverride w:val="1"/>
    </w:lvlOverride>
    <w:lvlOverride w:ilvl="8">
      <w:startOverride w:val="1"/>
    </w:lvlOverride>
  </w:num>
  <w:num w:numId="92">
    <w:abstractNumId w:val="13"/>
  </w:num>
  <w:num w:numId="93">
    <w:abstractNumId w:val="49"/>
  </w:num>
  <w:num w:numId="94">
    <w:abstractNumId w:val="124"/>
  </w:num>
  <w:num w:numId="95">
    <w:abstractNumId w:val="133"/>
  </w:num>
  <w:num w:numId="96">
    <w:abstractNumId w:val="74"/>
  </w:num>
  <w:num w:numId="97">
    <w:abstractNumId w:val="20"/>
  </w:num>
  <w:num w:numId="98">
    <w:abstractNumId w:val="15"/>
  </w:num>
  <w:num w:numId="99">
    <w:abstractNumId w:val="129"/>
  </w:num>
  <w:num w:numId="100">
    <w:abstractNumId w:val="52"/>
  </w:num>
  <w:num w:numId="101">
    <w:abstractNumId w:val="120"/>
  </w:num>
  <w:num w:numId="102">
    <w:abstractNumId w:val="136"/>
  </w:num>
  <w:num w:numId="103">
    <w:abstractNumId w:val="148"/>
  </w:num>
  <w:num w:numId="104">
    <w:abstractNumId w:val="150"/>
  </w:num>
  <w:num w:numId="105">
    <w:abstractNumId w:val="53"/>
  </w:num>
  <w:num w:numId="106">
    <w:abstractNumId w:val="12"/>
  </w:num>
  <w:num w:numId="107">
    <w:abstractNumId w:val="144"/>
  </w:num>
  <w:num w:numId="108">
    <w:abstractNumId w:val="19"/>
  </w:num>
  <w:num w:numId="109">
    <w:abstractNumId w:val="64"/>
  </w:num>
  <w:num w:numId="110">
    <w:abstractNumId w:val="131"/>
  </w:num>
  <w:num w:numId="111">
    <w:abstractNumId w:val="58"/>
  </w:num>
  <w:num w:numId="112">
    <w:abstractNumId w:val="137"/>
  </w:num>
  <w:num w:numId="113">
    <w:abstractNumId w:val="88"/>
  </w:num>
  <w:num w:numId="114">
    <w:abstractNumId w:val="111"/>
  </w:num>
  <w:num w:numId="115">
    <w:abstractNumId w:val="44"/>
  </w:num>
  <w:num w:numId="116">
    <w:abstractNumId w:val="147"/>
  </w:num>
  <w:num w:numId="117">
    <w:abstractNumId w:val="48"/>
  </w:num>
  <w:num w:numId="118">
    <w:abstractNumId w:val="145"/>
  </w:num>
  <w:num w:numId="119">
    <w:abstractNumId w:val="29"/>
  </w:num>
  <w:num w:numId="120">
    <w:abstractNumId w:val="14"/>
  </w:num>
  <w:num w:numId="121">
    <w:abstractNumId w:val="22"/>
  </w:num>
  <w:num w:numId="122">
    <w:abstractNumId w:val="112"/>
  </w:num>
  <w:num w:numId="123">
    <w:abstractNumId w:val="57"/>
  </w:num>
  <w:num w:numId="124">
    <w:abstractNumId w:val="36"/>
  </w:num>
  <w:num w:numId="125">
    <w:abstractNumId w:val="84"/>
  </w:num>
  <w:num w:numId="126">
    <w:abstractNumId w:val="105"/>
  </w:num>
  <w:num w:numId="127">
    <w:abstractNumId w:val="93"/>
  </w:num>
  <w:num w:numId="128">
    <w:abstractNumId w:val="2"/>
  </w:num>
  <w:num w:numId="129">
    <w:abstractNumId w:val="110"/>
  </w:num>
  <w:num w:numId="130">
    <w:abstractNumId w:val="91"/>
  </w:num>
  <w:num w:numId="131">
    <w:abstractNumId w:val="96"/>
  </w:num>
  <w:num w:numId="132">
    <w:abstractNumId w:val="130"/>
  </w:num>
  <w:num w:numId="133">
    <w:abstractNumId w:val="149"/>
  </w:num>
  <w:num w:numId="134">
    <w:abstractNumId w:val="21"/>
  </w:num>
  <w:num w:numId="135">
    <w:abstractNumId w:val="134"/>
  </w:num>
  <w:num w:numId="136">
    <w:abstractNumId w:val="54"/>
  </w:num>
  <w:num w:numId="137">
    <w:abstractNumId w:val="11"/>
  </w:num>
  <w:num w:numId="138">
    <w:abstractNumId w:val="98"/>
  </w:num>
  <w:num w:numId="139">
    <w:abstractNumId w:val="119"/>
  </w:num>
  <w:num w:numId="140">
    <w:abstractNumId w:val="72"/>
  </w:num>
  <w:num w:numId="141">
    <w:abstractNumId w:val="104"/>
  </w:num>
  <w:num w:numId="142">
    <w:abstractNumId w:val="95"/>
  </w:num>
  <w:num w:numId="143">
    <w:abstractNumId w:val="45"/>
  </w:num>
  <w:num w:numId="144">
    <w:abstractNumId w:val="106"/>
  </w:num>
  <w:num w:numId="145">
    <w:abstractNumId w:val="59"/>
  </w:num>
  <w:num w:numId="146">
    <w:abstractNumId w:val="8"/>
  </w:num>
  <w:num w:numId="147">
    <w:abstractNumId w:val="97"/>
  </w:num>
  <w:num w:numId="148">
    <w:abstractNumId w:val="0"/>
  </w:num>
  <w:num w:numId="149">
    <w:abstractNumId w:val="71"/>
  </w:num>
  <w:num w:numId="150">
    <w:abstractNumId w:val="80"/>
  </w:num>
  <w:num w:numId="151">
    <w:abstractNumId w:val="114"/>
  </w:num>
  <w:num w:numId="152">
    <w:abstractNumId w:val="132"/>
  </w:num>
  <w:num w:numId="153">
    <w:abstractNumId w:val="46"/>
  </w:num>
  <w:num w:numId="154">
    <w:abstractNumId w:val="102"/>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hideSpellingErrors/>
  <w:attachedTemplate r:id="rId1"/>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 w:name="TOC" w:val="UPDATED"/>
  </w:docVars>
  <w:rsids>
    <w:rsidRoot w:val="00DD256F"/>
    <w:rsid w:val="000005A6"/>
    <w:rsid w:val="000006AC"/>
    <w:rsid w:val="0000102D"/>
    <w:rsid w:val="0000104D"/>
    <w:rsid w:val="00001469"/>
    <w:rsid w:val="000015C9"/>
    <w:rsid w:val="00001B33"/>
    <w:rsid w:val="00001E8C"/>
    <w:rsid w:val="0000230E"/>
    <w:rsid w:val="000023F5"/>
    <w:rsid w:val="00002413"/>
    <w:rsid w:val="00002545"/>
    <w:rsid w:val="000028BC"/>
    <w:rsid w:val="00002973"/>
    <w:rsid w:val="000033A6"/>
    <w:rsid w:val="000033CD"/>
    <w:rsid w:val="0000372D"/>
    <w:rsid w:val="00003C39"/>
    <w:rsid w:val="00003DB3"/>
    <w:rsid w:val="00003DDA"/>
    <w:rsid w:val="0000464C"/>
    <w:rsid w:val="000048B5"/>
    <w:rsid w:val="00004ADF"/>
    <w:rsid w:val="00004E58"/>
    <w:rsid w:val="00005071"/>
    <w:rsid w:val="0000568D"/>
    <w:rsid w:val="00005BF4"/>
    <w:rsid w:val="000061CF"/>
    <w:rsid w:val="00007207"/>
    <w:rsid w:val="00007BBD"/>
    <w:rsid w:val="00010147"/>
    <w:rsid w:val="0001033D"/>
    <w:rsid w:val="0001041D"/>
    <w:rsid w:val="0001046B"/>
    <w:rsid w:val="0001063B"/>
    <w:rsid w:val="000110A4"/>
    <w:rsid w:val="000121BF"/>
    <w:rsid w:val="000122EE"/>
    <w:rsid w:val="00012469"/>
    <w:rsid w:val="00012702"/>
    <w:rsid w:val="00012772"/>
    <w:rsid w:val="00012AFC"/>
    <w:rsid w:val="00012D41"/>
    <w:rsid w:val="000130AF"/>
    <w:rsid w:val="000132F0"/>
    <w:rsid w:val="000133F7"/>
    <w:rsid w:val="000139E7"/>
    <w:rsid w:val="00013FF0"/>
    <w:rsid w:val="000140AF"/>
    <w:rsid w:val="000141F9"/>
    <w:rsid w:val="00014263"/>
    <w:rsid w:val="00014388"/>
    <w:rsid w:val="00014850"/>
    <w:rsid w:val="00014876"/>
    <w:rsid w:val="0001497A"/>
    <w:rsid w:val="00014DF5"/>
    <w:rsid w:val="000155A0"/>
    <w:rsid w:val="000159B6"/>
    <w:rsid w:val="00015DF7"/>
    <w:rsid w:val="00016321"/>
    <w:rsid w:val="00016625"/>
    <w:rsid w:val="00016686"/>
    <w:rsid w:val="00016D21"/>
    <w:rsid w:val="000176B6"/>
    <w:rsid w:val="0001776F"/>
    <w:rsid w:val="00017D54"/>
    <w:rsid w:val="00020074"/>
    <w:rsid w:val="000203A5"/>
    <w:rsid w:val="000205AB"/>
    <w:rsid w:val="00020605"/>
    <w:rsid w:val="00020728"/>
    <w:rsid w:val="00020C54"/>
    <w:rsid w:val="00020D46"/>
    <w:rsid w:val="00020DB9"/>
    <w:rsid w:val="0002110B"/>
    <w:rsid w:val="00021700"/>
    <w:rsid w:val="00021BD4"/>
    <w:rsid w:val="00021BE0"/>
    <w:rsid w:val="00022170"/>
    <w:rsid w:val="000224B7"/>
    <w:rsid w:val="000225C5"/>
    <w:rsid w:val="0002292A"/>
    <w:rsid w:val="0002294D"/>
    <w:rsid w:val="00022EDA"/>
    <w:rsid w:val="0002301E"/>
    <w:rsid w:val="000231BD"/>
    <w:rsid w:val="000231DC"/>
    <w:rsid w:val="000239D2"/>
    <w:rsid w:val="00023BEB"/>
    <w:rsid w:val="00023C73"/>
    <w:rsid w:val="00025469"/>
    <w:rsid w:val="00025E29"/>
    <w:rsid w:val="00025EAF"/>
    <w:rsid w:val="0002612F"/>
    <w:rsid w:val="00026A17"/>
    <w:rsid w:val="00027348"/>
    <w:rsid w:val="000275C9"/>
    <w:rsid w:val="0002798D"/>
    <w:rsid w:val="0003009E"/>
    <w:rsid w:val="000301D0"/>
    <w:rsid w:val="00031700"/>
    <w:rsid w:val="000317CB"/>
    <w:rsid w:val="000317E9"/>
    <w:rsid w:val="00031B72"/>
    <w:rsid w:val="00031BAD"/>
    <w:rsid w:val="00031D0B"/>
    <w:rsid w:val="0003243D"/>
    <w:rsid w:val="000324B3"/>
    <w:rsid w:val="00032BA9"/>
    <w:rsid w:val="00032FA8"/>
    <w:rsid w:val="000337FB"/>
    <w:rsid w:val="00033EBB"/>
    <w:rsid w:val="0003408C"/>
    <w:rsid w:val="0003409A"/>
    <w:rsid w:val="00034289"/>
    <w:rsid w:val="000343F2"/>
    <w:rsid w:val="00034578"/>
    <w:rsid w:val="0003468B"/>
    <w:rsid w:val="00034C0D"/>
    <w:rsid w:val="00035242"/>
    <w:rsid w:val="00035352"/>
    <w:rsid w:val="00035464"/>
    <w:rsid w:val="0003626E"/>
    <w:rsid w:val="00036357"/>
    <w:rsid w:val="0003656F"/>
    <w:rsid w:val="00036813"/>
    <w:rsid w:val="00037DB8"/>
    <w:rsid w:val="00037EBC"/>
    <w:rsid w:val="00040830"/>
    <w:rsid w:val="00040925"/>
    <w:rsid w:val="000411AF"/>
    <w:rsid w:val="0004146D"/>
    <w:rsid w:val="00041525"/>
    <w:rsid w:val="00041800"/>
    <w:rsid w:val="00041AC3"/>
    <w:rsid w:val="00042574"/>
    <w:rsid w:val="00042749"/>
    <w:rsid w:val="000429ED"/>
    <w:rsid w:val="00043335"/>
    <w:rsid w:val="000436EA"/>
    <w:rsid w:val="000436FE"/>
    <w:rsid w:val="000438A3"/>
    <w:rsid w:val="00043C00"/>
    <w:rsid w:val="00043E96"/>
    <w:rsid w:val="00043EED"/>
    <w:rsid w:val="00044579"/>
    <w:rsid w:val="000446C9"/>
    <w:rsid w:val="00044D1E"/>
    <w:rsid w:val="00044DDC"/>
    <w:rsid w:val="00044E4B"/>
    <w:rsid w:val="00044FE0"/>
    <w:rsid w:val="000451ED"/>
    <w:rsid w:val="000453CA"/>
    <w:rsid w:val="000457F5"/>
    <w:rsid w:val="00045DCB"/>
    <w:rsid w:val="00045EC6"/>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0CE1"/>
    <w:rsid w:val="000517E2"/>
    <w:rsid w:val="00051BE5"/>
    <w:rsid w:val="000526A4"/>
    <w:rsid w:val="00052B89"/>
    <w:rsid w:val="00052C5D"/>
    <w:rsid w:val="00052D38"/>
    <w:rsid w:val="0005335F"/>
    <w:rsid w:val="00053E2E"/>
    <w:rsid w:val="00053F3F"/>
    <w:rsid w:val="000543A4"/>
    <w:rsid w:val="000544CE"/>
    <w:rsid w:val="00054612"/>
    <w:rsid w:val="0005486C"/>
    <w:rsid w:val="00054D34"/>
    <w:rsid w:val="00055534"/>
    <w:rsid w:val="00055816"/>
    <w:rsid w:val="0005584C"/>
    <w:rsid w:val="00055C3F"/>
    <w:rsid w:val="000561D7"/>
    <w:rsid w:val="000562C7"/>
    <w:rsid w:val="000569CC"/>
    <w:rsid w:val="00056B8B"/>
    <w:rsid w:val="0005719E"/>
    <w:rsid w:val="000578C2"/>
    <w:rsid w:val="00057AD2"/>
    <w:rsid w:val="00057C49"/>
    <w:rsid w:val="0006013C"/>
    <w:rsid w:val="00060332"/>
    <w:rsid w:val="00060342"/>
    <w:rsid w:val="000604A6"/>
    <w:rsid w:val="00060967"/>
    <w:rsid w:val="000609FD"/>
    <w:rsid w:val="00060C85"/>
    <w:rsid w:val="00061455"/>
    <w:rsid w:val="00061AD3"/>
    <w:rsid w:val="00062017"/>
    <w:rsid w:val="000622D5"/>
    <w:rsid w:val="0006236F"/>
    <w:rsid w:val="0006271B"/>
    <w:rsid w:val="0006271F"/>
    <w:rsid w:val="00062AA3"/>
    <w:rsid w:val="00062C46"/>
    <w:rsid w:val="00062D8E"/>
    <w:rsid w:val="00063342"/>
    <w:rsid w:val="000636DE"/>
    <w:rsid w:val="00063893"/>
    <w:rsid w:val="000639D3"/>
    <w:rsid w:val="00063A04"/>
    <w:rsid w:val="00063A13"/>
    <w:rsid w:val="00063EE6"/>
    <w:rsid w:val="0006463F"/>
    <w:rsid w:val="00064ADF"/>
    <w:rsid w:val="00065914"/>
    <w:rsid w:val="00065B7B"/>
    <w:rsid w:val="00065D51"/>
    <w:rsid w:val="00066B5B"/>
    <w:rsid w:val="00066C2B"/>
    <w:rsid w:val="00066C7F"/>
    <w:rsid w:val="00066F8C"/>
    <w:rsid w:val="00067084"/>
    <w:rsid w:val="0006751E"/>
    <w:rsid w:val="00067AEB"/>
    <w:rsid w:val="00067F4B"/>
    <w:rsid w:val="0007057A"/>
    <w:rsid w:val="000709B6"/>
    <w:rsid w:val="00070D92"/>
    <w:rsid w:val="00070E4B"/>
    <w:rsid w:val="00071243"/>
    <w:rsid w:val="0007147E"/>
    <w:rsid w:val="00072361"/>
    <w:rsid w:val="0007246C"/>
    <w:rsid w:val="000729B8"/>
    <w:rsid w:val="00072D7F"/>
    <w:rsid w:val="0007305C"/>
    <w:rsid w:val="000730ED"/>
    <w:rsid w:val="000732D5"/>
    <w:rsid w:val="00073BC2"/>
    <w:rsid w:val="000742F7"/>
    <w:rsid w:val="000745DB"/>
    <w:rsid w:val="00074C4E"/>
    <w:rsid w:val="00074D60"/>
    <w:rsid w:val="0007507D"/>
    <w:rsid w:val="00075482"/>
    <w:rsid w:val="00075786"/>
    <w:rsid w:val="00075C45"/>
    <w:rsid w:val="00075E3A"/>
    <w:rsid w:val="00075E54"/>
    <w:rsid w:val="00076117"/>
    <w:rsid w:val="000764FD"/>
    <w:rsid w:val="000767DE"/>
    <w:rsid w:val="00077397"/>
    <w:rsid w:val="000778E2"/>
    <w:rsid w:val="000778F7"/>
    <w:rsid w:val="0008036E"/>
    <w:rsid w:val="00080509"/>
    <w:rsid w:val="000805BB"/>
    <w:rsid w:val="000808F7"/>
    <w:rsid w:val="000808FF"/>
    <w:rsid w:val="0008095D"/>
    <w:rsid w:val="00080A0F"/>
    <w:rsid w:val="00081010"/>
    <w:rsid w:val="000816A2"/>
    <w:rsid w:val="000817FD"/>
    <w:rsid w:val="00081D4A"/>
    <w:rsid w:val="00082281"/>
    <w:rsid w:val="0008231D"/>
    <w:rsid w:val="00082700"/>
    <w:rsid w:val="0008299F"/>
    <w:rsid w:val="00082A1A"/>
    <w:rsid w:val="00082AB1"/>
    <w:rsid w:val="00082CDD"/>
    <w:rsid w:val="00082E5B"/>
    <w:rsid w:val="000830E6"/>
    <w:rsid w:val="0008328D"/>
    <w:rsid w:val="0008332B"/>
    <w:rsid w:val="000837F0"/>
    <w:rsid w:val="000839C3"/>
    <w:rsid w:val="00083C1E"/>
    <w:rsid w:val="00083F55"/>
    <w:rsid w:val="00084008"/>
    <w:rsid w:val="000841ED"/>
    <w:rsid w:val="00084294"/>
    <w:rsid w:val="00084531"/>
    <w:rsid w:val="00084634"/>
    <w:rsid w:val="00084A03"/>
    <w:rsid w:val="00084A3C"/>
    <w:rsid w:val="00084F00"/>
    <w:rsid w:val="000852B0"/>
    <w:rsid w:val="00085C6B"/>
    <w:rsid w:val="000866A2"/>
    <w:rsid w:val="000868AD"/>
    <w:rsid w:val="000872AC"/>
    <w:rsid w:val="00087446"/>
    <w:rsid w:val="00087492"/>
    <w:rsid w:val="000877EF"/>
    <w:rsid w:val="00087B6F"/>
    <w:rsid w:val="00090454"/>
    <w:rsid w:val="00090892"/>
    <w:rsid w:val="00090ADC"/>
    <w:rsid w:val="00090C35"/>
    <w:rsid w:val="00090DA2"/>
    <w:rsid w:val="0009141B"/>
    <w:rsid w:val="00091724"/>
    <w:rsid w:val="00091743"/>
    <w:rsid w:val="000918CD"/>
    <w:rsid w:val="00091930"/>
    <w:rsid w:val="00091E44"/>
    <w:rsid w:val="00092270"/>
    <w:rsid w:val="0009246F"/>
    <w:rsid w:val="0009268B"/>
    <w:rsid w:val="000927B1"/>
    <w:rsid w:val="00092823"/>
    <w:rsid w:val="00092C1E"/>
    <w:rsid w:val="00092F5A"/>
    <w:rsid w:val="00092FCE"/>
    <w:rsid w:val="000930A1"/>
    <w:rsid w:val="0009325E"/>
    <w:rsid w:val="000932D6"/>
    <w:rsid w:val="000934F7"/>
    <w:rsid w:val="000938DF"/>
    <w:rsid w:val="00093FC9"/>
    <w:rsid w:val="00094040"/>
    <w:rsid w:val="0009423C"/>
    <w:rsid w:val="0009494E"/>
    <w:rsid w:val="00094993"/>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6F6"/>
    <w:rsid w:val="000A0989"/>
    <w:rsid w:val="000A1026"/>
    <w:rsid w:val="000A11A5"/>
    <w:rsid w:val="000A1547"/>
    <w:rsid w:val="000A16A6"/>
    <w:rsid w:val="000A199C"/>
    <w:rsid w:val="000A1C66"/>
    <w:rsid w:val="000A1CBE"/>
    <w:rsid w:val="000A25F6"/>
    <w:rsid w:val="000A26EE"/>
    <w:rsid w:val="000A3714"/>
    <w:rsid w:val="000A4212"/>
    <w:rsid w:val="000A4309"/>
    <w:rsid w:val="000A45E9"/>
    <w:rsid w:val="000A4AE5"/>
    <w:rsid w:val="000A4C9E"/>
    <w:rsid w:val="000A5126"/>
    <w:rsid w:val="000A5162"/>
    <w:rsid w:val="000A5A58"/>
    <w:rsid w:val="000A6410"/>
    <w:rsid w:val="000A64F5"/>
    <w:rsid w:val="000A67B6"/>
    <w:rsid w:val="000A6A70"/>
    <w:rsid w:val="000A6F48"/>
    <w:rsid w:val="000A700E"/>
    <w:rsid w:val="000A7216"/>
    <w:rsid w:val="000A74D2"/>
    <w:rsid w:val="000A76D3"/>
    <w:rsid w:val="000A78D8"/>
    <w:rsid w:val="000A7C6A"/>
    <w:rsid w:val="000A7EA5"/>
    <w:rsid w:val="000B014F"/>
    <w:rsid w:val="000B028E"/>
    <w:rsid w:val="000B0362"/>
    <w:rsid w:val="000B09B7"/>
    <w:rsid w:val="000B0EE6"/>
    <w:rsid w:val="000B1AD4"/>
    <w:rsid w:val="000B1DB7"/>
    <w:rsid w:val="000B2333"/>
    <w:rsid w:val="000B23C8"/>
    <w:rsid w:val="000B28AE"/>
    <w:rsid w:val="000B28F3"/>
    <w:rsid w:val="000B31E0"/>
    <w:rsid w:val="000B3557"/>
    <w:rsid w:val="000B363F"/>
    <w:rsid w:val="000B369D"/>
    <w:rsid w:val="000B3C1D"/>
    <w:rsid w:val="000B41DD"/>
    <w:rsid w:val="000B4A82"/>
    <w:rsid w:val="000B4B18"/>
    <w:rsid w:val="000B4BDA"/>
    <w:rsid w:val="000B5098"/>
    <w:rsid w:val="000B5590"/>
    <w:rsid w:val="000B5992"/>
    <w:rsid w:val="000B6B2E"/>
    <w:rsid w:val="000B6BC7"/>
    <w:rsid w:val="000B6C66"/>
    <w:rsid w:val="000B717E"/>
    <w:rsid w:val="000C0038"/>
    <w:rsid w:val="000C01B8"/>
    <w:rsid w:val="000C0201"/>
    <w:rsid w:val="000C0519"/>
    <w:rsid w:val="000C063C"/>
    <w:rsid w:val="000C0C72"/>
    <w:rsid w:val="000C0D45"/>
    <w:rsid w:val="000C0EDD"/>
    <w:rsid w:val="000C0F63"/>
    <w:rsid w:val="000C1CEC"/>
    <w:rsid w:val="000C2197"/>
    <w:rsid w:val="000C25F5"/>
    <w:rsid w:val="000C26F5"/>
    <w:rsid w:val="000C2C2E"/>
    <w:rsid w:val="000C3232"/>
    <w:rsid w:val="000C37A8"/>
    <w:rsid w:val="000C37CC"/>
    <w:rsid w:val="000C3A06"/>
    <w:rsid w:val="000C3D52"/>
    <w:rsid w:val="000C3E74"/>
    <w:rsid w:val="000C40B3"/>
    <w:rsid w:val="000C4179"/>
    <w:rsid w:val="000C4768"/>
    <w:rsid w:val="000C4A76"/>
    <w:rsid w:val="000C4B1F"/>
    <w:rsid w:val="000C4C03"/>
    <w:rsid w:val="000C51AC"/>
    <w:rsid w:val="000C52A2"/>
    <w:rsid w:val="000C5A57"/>
    <w:rsid w:val="000C5B58"/>
    <w:rsid w:val="000C5B78"/>
    <w:rsid w:val="000C60FC"/>
    <w:rsid w:val="000C63C4"/>
    <w:rsid w:val="000C6560"/>
    <w:rsid w:val="000C698C"/>
    <w:rsid w:val="000C6A05"/>
    <w:rsid w:val="000C6C25"/>
    <w:rsid w:val="000C6DAE"/>
    <w:rsid w:val="000C7371"/>
    <w:rsid w:val="000C7691"/>
    <w:rsid w:val="000C7889"/>
    <w:rsid w:val="000C7C71"/>
    <w:rsid w:val="000C7D9C"/>
    <w:rsid w:val="000C7DF8"/>
    <w:rsid w:val="000D057C"/>
    <w:rsid w:val="000D0BE9"/>
    <w:rsid w:val="000D0E23"/>
    <w:rsid w:val="000D1028"/>
    <w:rsid w:val="000D1210"/>
    <w:rsid w:val="000D14E3"/>
    <w:rsid w:val="000D15CB"/>
    <w:rsid w:val="000D1E55"/>
    <w:rsid w:val="000D22BC"/>
    <w:rsid w:val="000D26CD"/>
    <w:rsid w:val="000D28CF"/>
    <w:rsid w:val="000D29E2"/>
    <w:rsid w:val="000D2C5E"/>
    <w:rsid w:val="000D2F52"/>
    <w:rsid w:val="000D3B03"/>
    <w:rsid w:val="000D3B07"/>
    <w:rsid w:val="000D4964"/>
    <w:rsid w:val="000D49EB"/>
    <w:rsid w:val="000D5454"/>
    <w:rsid w:val="000D55C3"/>
    <w:rsid w:val="000D58E7"/>
    <w:rsid w:val="000D5A34"/>
    <w:rsid w:val="000D5D3B"/>
    <w:rsid w:val="000D5D86"/>
    <w:rsid w:val="000D5DC0"/>
    <w:rsid w:val="000D5DCF"/>
    <w:rsid w:val="000D61FD"/>
    <w:rsid w:val="000D636E"/>
    <w:rsid w:val="000D6BCB"/>
    <w:rsid w:val="000D6D8F"/>
    <w:rsid w:val="000D7213"/>
    <w:rsid w:val="000D7307"/>
    <w:rsid w:val="000D75E6"/>
    <w:rsid w:val="000D7617"/>
    <w:rsid w:val="000D77D1"/>
    <w:rsid w:val="000D7885"/>
    <w:rsid w:val="000D7ABF"/>
    <w:rsid w:val="000D7E5D"/>
    <w:rsid w:val="000E0052"/>
    <w:rsid w:val="000E01A1"/>
    <w:rsid w:val="000E073D"/>
    <w:rsid w:val="000E0C83"/>
    <w:rsid w:val="000E0EB6"/>
    <w:rsid w:val="000E14B7"/>
    <w:rsid w:val="000E1521"/>
    <w:rsid w:val="000E15A7"/>
    <w:rsid w:val="000E165C"/>
    <w:rsid w:val="000E17B3"/>
    <w:rsid w:val="000E18FC"/>
    <w:rsid w:val="000E1ACA"/>
    <w:rsid w:val="000E1E69"/>
    <w:rsid w:val="000E1F6C"/>
    <w:rsid w:val="000E24F4"/>
    <w:rsid w:val="000E2820"/>
    <w:rsid w:val="000E2BE4"/>
    <w:rsid w:val="000E32FE"/>
    <w:rsid w:val="000E3472"/>
    <w:rsid w:val="000E34CD"/>
    <w:rsid w:val="000E35F2"/>
    <w:rsid w:val="000E3894"/>
    <w:rsid w:val="000E3BB8"/>
    <w:rsid w:val="000E3D2D"/>
    <w:rsid w:val="000E41A3"/>
    <w:rsid w:val="000E4352"/>
    <w:rsid w:val="000E44A9"/>
    <w:rsid w:val="000E4B54"/>
    <w:rsid w:val="000E4BAB"/>
    <w:rsid w:val="000E518E"/>
    <w:rsid w:val="000E567C"/>
    <w:rsid w:val="000E56D0"/>
    <w:rsid w:val="000E586D"/>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9CD"/>
    <w:rsid w:val="000F0CF0"/>
    <w:rsid w:val="000F13B4"/>
    <w:rsid w:val="000F192B"/>
    <w:rsid w:val="000F262B"/>
    <w:rsid w:val="000F2990"/>
    <w:rsid w:val="000F2A73"/>
    <w:rsid w:val="000F3016"/>
    <w:rsid w:val="000F3044"/>
    <w:rsid w:val="000F3234"/>
    <w:rsid w:val="000F3A6E"/>
    <w:rsid w:val="000F42F3"/>
    <w:rsid w:val="000F438A"/>
    <w:rsid w:val="000F460F"/>
    <w:rsid w:val="000F48F3"/>
    <w:rsid w:val="000F49E8"/>
    <w:rsid w:val="000F4A62"/>
    <w:rsid w:val="000F509F"/>
    <w:rsid w:val="000F52DA"/>
    <w:rsid w:val="000F584A"/>
    <w:rsid w:val="000F58C8"/>
    <w:rsid w:val="000F58FD"/>
    <w:rsid w:val="000F59FB"/>
    <w:rsid w:val="000F5E14"/>
    <w:rsid w:val="000F5FC5"/>
    <w:rsid w:val="000F6058"/>
    <w:rsid w:val="000F6862"/>
    <w:rsid w:val="000F6939"/>
    <w:rsid w:val="000F6B1C"/>
    <w:rsid w:val="000F6E38"/>
    <w:rsid w:val="000F6EE3"/>
    <w:rsid w:val="000F72D0"/>
    <w:rsid w:val="000F7633"/>
    <w:rsid w:val="000F79A2"/>
    <w:rsid w:val="000F7A12"/>
    <w:rsid w:val="000F7CB8"/>
    <w:rsid w:val="000F7D3C"/>
    <w:rsid w:val="00100112"/>
    <w:rsid w:val="0010063A"/>
    <w:rsid w:val="001007FD"/>
    <w:rsid w:val="001012ED"/>
    <w:rsid w:val="00101376"/>
    <w:rsid w:val="00101B38"/>
    <w:rsid w:val="00101CB2"/>
    <w:rsid w:val="001022D3"/>
    <w:rsid w:val="001026CF"/>
    <w:rsid w:val="00102F64"/>
    <w:rsid w:val="00103202"/>
    <w:rsid w:val="0010345C"/>
    <w:rsid w:val="00103661"/>
    <w:rsid w:val="001036AD"/>
    <w:rsid w:val="001038D1"/>
    <w:rsid w:val="00103BDD"/>
    <w:rsid w:val="00103EC3"/>
    <w:rsid w:val="00104042"/>
    <w:rsid w:val="00104087"/>
    <w:rsid w:val="001044B7"/>
    <w:rsid w:val="001044EA"/>
    <w:rsid w:val="001048FE"/>
    <w:rsid w:val="00105238"/>
    <w:rsid w:val="001053B8"/>
    <w:rsid w:val="00105921"/>
    <w:rsid w:val="001059DB"/>
    <w:rsid w:val="00105F72"/>
    <w:rsid w:val="00106740"/>
    <w:rsid w:val="00107599"/>
    <w:rsid w:val="00107A8E"/>
    <w:rsid w:val="00107CD9"/>
    <w:rsid w:val="0011023E"/>
    <w:rsid w:val="00110611"/>
    <w:rsid w:val="00110717"/>
    <w:rsid w:val="00110D00"/>
    <w:rsid w:val="00111014"/>
    <w:rsid w:val="001113D1"/>
    <w:rsid w:val="001116D4"/>
    <w:rsid w:val="00111BAC"/>
    <w:rsid w:val="00111D4E"/>
    <w:rsid w:val="00111E23"/>
    <w:rsid w:val="00112302"/>
    <w:rsid w:val="001126AB"/>
    <w:rsid w:val="001127CC"/>
    <w:rsid w:val="001133FC"/>
    <w:rsid w:val="001137A6"/>
    <w:rsid w:val="001139E6"/>
    <w:rsid w:val="00113B8D"/>
    <w:rsid w:val="00114189"/>
    <w:rsid w:val="0011443F"/>
    <w:rsid w:val="00114CF7"/>
    <w:rsid w:val="00114F3A"/>
    <w:rsid w:val="00115730"/>
    <w:rsid w:val="0011587B"/>
    <w:rsid w:val="00115CFE"/>
    <w:rsid w:val="00116051"/>
    <w:rsid w:val="001161FF"/>
    <w:rsid w:val="00116525"/>
    <w:rsid w:val="001165AE"/>
    <w:rsid w:val="001167C6"/>
    <w:rsid w:val="001167C8"/>
    <w:rsid w:val="001167D2"/>
    <w:rsid w:val="00116934"/>
    <w:rsid w:val="00116B75"/>
    <w:rsid w:val="00116D81"/>
    <w:rsid w:val="00116E39"/>
    <w:rsid w:val="001170FA"/>
    <w:rsid w:val="001173A8"/>
    <w:rsid w:val="00117404"/>
    <w:rsid w:val="00117599"/>
    <w:rsid w:val="00117BC3"/>
    <w:rsid w:val="00117EDA"/>
    <w:rsid w:val="0012016D"/>
    <w:rsid w:val="001203D4"/>
    <w:rsid w:val="0012063F"/>
    <w:rsid w:val="00120A6A"/>
    <w:rsid w:val="001214B4"/>
    <w:rsid w:val="0012158F"/>
    <w:rsid w:val="0012188F"/>
    <w:rsid w:val="00121AD6"/>
    <w:rsid w:val="00122BA4"/>
    <w:rsid w:val="00122CA1"/>
    <w:rsid w:val="001230F3"/>
    <w:rsid w:val="0012321F"/>
    <w:rsid w:val="001234DF"/>
    <w:rsid w:val="00123518"/>
    <w:rsid w:val="00123F0A"/>
    <w:rsid w:val="00124C57"/>
    <w:rsid w:val="001252F2"/>
    <w:rsid w:val="00125470"/>
    <w:rsid w:val="00125B27"/>
    <w:rsid w:val="00125EEF"/>
    <w:rsid w:val="0012608D"/>
    <w:rsid w:val="00126125"/>
    <w:rsid w:val="00126CBD"/>
    <w:rsid w:val="00127157"/>
    <w:rsid w:val="001272F9"/>
    <w:rsid w:val="001273FD"/>
    <w:rsid w:val="00127E76"/>
    <w:rsid w:val="001302CC"/>
    <w:rsid w:val="001304AD"/>
    <w:rsid w:val="00130697"/>
    <w:rsid w:val="001308BC"/>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496"/>
    <w:rsid w:val="00136A9A"/>
    <w:rsid w:val="0013708F"/>
    <w:rsid w:val="001372F3"/>
    <w:rsid w:val="00137861"/>
    <w:rsid w:val="00137C75"/>
    <w:rsid w:val="00140099"/>
    <w:rsid w:val="00140271"/>
    <w:rsid w:val="001406FF"/>
    <w:rsid w:val="0014081B"/>
    <w:rsid w:val="00140BD7"/>
    <w:rsid w:val="00140D9B"/>
    <w:rsid w:val="00140E08"/>
    <w:rsid w:val="001412CF"/>
    <w:rsid w:val="00141331"/>
    <w:rsid w:val="0014136C"/>
    <w:rsid w:val="00141419"/>
    <w:rsid w:val="00141BE5"/>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741"/>
    <w:rsid w:val="00146FA2"/>
    <w:rsid w:val="00147278"/>
    <w:rsid w:val="00147584"/>
    <w:rsid w:val="00147823"/>
    <w:rsid w:val="00147900"/>
    <w:rsid w:val="00147BFC"/>
    <w:rsid w:val="00147DB1"/>
    <w:rsid w:val="001508C9"/>
    <w:rsid w:val="00150B55"/>
    <w:rsid w:val="00150E78"/>
    <w:rsid w:val="00150F67"/>
    <w:rsid w:val="001511B5"/>
    <w:rsid w:val="0015156E"/>
    <w:rsid w:val="0015159B"/>
    <w:rsid w:val="001516EE"/>
    <w:rsid w:val="00151EEF"/>
    <w:rsid w:val="00152156"/>
    <w:rsid w:val="00152651"/>
    <w:rsid w:val="00152734"/>
    <w:rsid w:val="0015290B"/>
    <w:rsid w:val="00152B5E"/>
    <w:rsid w:val="00152B81"/>
    <w:rsid w:val="00152FE0"/>
    <w:rsid w:val="0015304B"/>
    <w:rsid w:val="0015313E"/>
    <w:rsid w:val="001535CA"/>
    <w:rsid w:val="001535E1"/>
    <w:rsid w:val="00153852"/>
    <w:rsid w:val="001538D6"/>
    <w:rsid w:val="00153F4B"/>
    <w:rsid w:val="00154101"/>
    <w:rsid w:val="001541EB"/>
    <w:rsid w:val="00154289"/>
    <w:rsid w:val="001543D4"/>
    <w:rsid w:val="0015445C"/>
    <w:rsid w:val="0015450F"/>
    <w:rsid w:val="00154B6D"/>
    <w:rsid w:val="00154B81"/>
    <w:rsid w:val="00154E9A"/>
    <w:rsid w:val="0015523D"/>
    <w:rsid w:val="00155E3E"/>
    <w:rsid w:val="00155FB6"/>
    <w:rsid w:val="00156C03"/>
    <w:rsid w:val="00156F5B"/>
    <w:rsid w:val="00156FC5"/>
    <w:rsid w:val="00157106"/>
    <w:rsid w:val="00157457"/>
    <w:rsid w:val="0015748D"/>
    <w:rsid w:val="001575B8"/>
    <w:rsid w:val="001575D2"/>
    <w:rsid w:val="001575F4"/>
    <w:rsid w:val="001578D8"/>
    <w:rsid w:val="00157955"/>
    <w:rsid w:val="00157975"/>
    <w:rsid w:val="00157BDB"/>
    <w:rsid w:val="00157BF7"/>
    <w:rsid w:val="00157CE3"/>
    <w:rsid w:val="00157DE4"/>
    <w:rsid w:val="00160787"/>
    <w:rsid w:val="00160818"/>
    <w:rsid w:val="001608C9"/>
    <w:rsid w:val="00160AB2"/>
    <w:rsid w:val="001614D4"/>
    <w:rsid w:val="00161A39"/>
    <w:rsid w:val="00161B38"/>
    <w:rsid w:val="00161CAF"/>
    <w:rsid w:val="0016204C"/>
    <w:rsid w:val="00162122"/>
    <w:rsid w:val="00162669"/>
    <w:rsid w:val="001626DD"/>
    <w:rsid w:val="0016283C"/>
    <w:rsid w:val="00162BDB"/>
    <w:rsid w:val="00162C8A"/>
    <w:rsid w:val="00162E3D"/>
    <w:rsid w:val="00163357"/>
    <w:rsid w:val="0016426E"/>
    <w:rsid w:val="0016523F"/>
    <w:rsid w:val="00165BE5"/>
    <w:rsid w:val="00165E4D"/>
    <w:rsid w:val="00165FED"/>
    <w:rsid w:val="001662C0"/>
    <w:rsid w:val="001667A9"/>
    <w:rsid w:val="001669BA"/>
    <w:rsid w:val="00166C81"/>
    <w:rsid w:val="00167185"/>
    <w:rsid w:val="00167739"/>
    <w:rsid w:val="00170072"/>
    <w:rsid w:val="001700FA"/>
    <w:rsid w:val="00170327"/>
    <w:rsid w:val="0017040F"/>
    <w:rsid w:val="00170450"/>
    <w:rsid w:val="00170461"/>
    <w:rsid w:val="00170650"/>
    <w:rsid w:val="0017134C"/>
    <w:rsid w:val="001715BD"/>
    <w:rsid w:val="00171EA7"/>
    <w:rsid w:val="00172498"/>
    <w:rsid w:val="00172B99"/>
    <w:rsid w:val="00173329"/>
    <w:rsid w:val="00173583"/>
    <w:rsid w:val="00173821"/>
    <w:rsid w:val="00173F1A"/>
    <w:rsid w:val="0017499B"/>
    <w:rsid w:val="00174A05"/>
    <w:rsid w:val="001754A4"/>
    <w:rsid w:val="001754B7"/>
    <w:rsid w:val="00175A98"/>
    <w:rsid w:val="00176294"/>
    <w:rsid w:val="00176395"/>
    <w:rsid w:val="0017692B"/>
    <w:rsid w:val="00176E6E"/>
    <w:rsid w:val="00176E78"/>
    <w:rsid w:val="00177133"/>
    <w:rsid w:val="00177D11"/>
    <w:rsid w:val="00177F7C"/>
    <w:rsid w:val="0018000D"/>
    <w:rsid w:val="0018020D"/>
    <w:rsid w:val="00180AE1"/>
    <w:rsid w:val="00180E29"/>
    <w:rsid w:val="00180F49"/>
    <w:rsid w:val="001815B8"/>
    <w:rsid w:val="001816A6"/>
    <w:rsid w:val="001817C7"/>
    <w:rsid w:val="0018228D"/>
    <w:rsid w:val="00182367"/>
    <w:rsid w:val="001826DB"/>
    <w:rsid w:val="0018280C"/>
    <w:rsid w:val="00182BAC"/>
    <w:rsid w:val="00182E1D"/>
    <w:rsid w:val="0018313C"/>
    <w:rsid w:val="00183957"/>
    <w:rsid w:val="0018413C"/>
    <w:rsid w:val="0018432E"/>
    <w:rsid w:val="001844E5"/>
    <w:rsid w:val="00184530"/>
    <w:rsid w:val="00184687"/>
    <w:rsid w:val="001847E6"/>
    <w:rsid w:val="00184EB1"/>
    <w:rsid w:val="00185085"/>
    <w:rsid w:val="001851BD"/>
    <w:rsid w:val="00185A81"/>
    <w:rsid w:val="00185D0E"/>
    <w:rsid w:val="00186113"/>
    <w:rsid w:val="00186249"/>
    <w:rsid w:val="00186391"/>
    <w:rsid w:val="00186A2D"/>
    <w:rsid w:val="00186C23"/>
    <w:rsid w:val="00186F1C"/>
    <w:rsid w:val="00187328"/>
    <w:rsid w:val="00187858"/>
    <w:rsid w:val="001878D9"/>
    <w:rsid w:val="00187FB7"/>
    <w:rsid w:val="0019008D"/>
    <w:rsid w:val="0019022B"/>
    <w:rsid w:val="0019037D"/>
    <w:rsid w:val="001903E0"/>
    <w:rsid w:val="001906B8"/>
    <w:rsid w:val="0019126B"/>
    <w:rsid w:val="00191C4F"/>
    <w:rsid w:val="00191CAC"/>
    <w:rsid w:val="00192133"/>
    <w:rsid w:val="001921F0"/>
    <w:rsid w:val="00192350"/>
    <w:rsid w:val="0019236B"/>
    <w:rsid w:val="00192474"/>
    <w:rsid w:val="00192CCC"/>
    <w:rsid w:val="00193278"/>
    <w:rsid w:val="001933C4"/>
    <w:rsid w:val="0019388E"/>
    <w:rsid w:val="00193C5E"/>
    <w:rsid w:val="001948EB"/>
    <w:rsid w:val="00194F95"/>
    <w:rsid w:val="00195857"/>
    <w:rsid w:val="00195A1C"/>
    <w:rsid w:val="00195DE7"/>
    <w:rsid w:val="00195DFE"/>
    <w:rsid w:val="00196123"/>
    <w:rsid w:val="001969F1"/>
    <w:rsid w:val="00196E4C"/>
    <w:rsid w:val="00196F3D"/>
    <w:rsid w:val="0019711B"/>
    <w:rsid w:val="001976BC"/>
    <w:rsid w:val="0019788A"/>
    <w:rsid w:val="0019799A"/>
    <w:rsid w:val="00197B91"/>
    <w:rsid w:val="00197C0F"/>
    <w:rsid w:val="00197C1F"/>
    <w:rsid w:val="001A02FE"/>
    <w:rsid w:val="001A0769"/>
    <w:rsid w:val="001A0BFC"/>
    <w:rsid w:val="001A0C34"/>
    <w:rsid w:val="001A0F7A"/>
    <w:rsid w:val="001A116E"/>
    <w:rsid w:val="001A1203"/>
    <w:rsid w:val="001A159C"/>
    <w:rsid w:val="001A1A11"/>
    <w:rsid w:val="001A2056"/>
    <w:rsid w:val="001A2255"/>
    <w:rsid w:val="001A25C7"/>
    <w:rsid w:val="001A26F2"/>
    <w:rsid w:val="001A27A6"/>
    <w:rsid w:val="001A2AD1"/>
    <w:rsid w:val="001A2B2B"/>
    <w:rsid w:val="001A3215"/>
    <w:rsid w:val="001A3375"/>
    <w:rsid w:val="001A34C9"/>
    <w:rsid w:val="001A35C2"/>
    <w:rsid w:val="001A3637"/>
    <w:rsid w:val="001A37C6"/>
    <w:rsid w:val="001A3C77"/>
    <w:rsid w:val="001A409E"/>
    <w:rsid w:val="001A4780"/>
    <w:rsid w:val="001A4B57"/>
    <w:rsid w:val="001A4F7F"/>
    <w:rsid w:val="001A5089"/>
    <w:rsid w:val="001A5C8D"/>
    <w:rsid w:val="001A5E97"/>
    <w:rsid w:val="001A6342"/>
    <w:rsid w:val="001A652B"/>
    <w:rsid w:val="001A657D"/>
    <w:rsid w:val="001A68D7"/>
    <w:rsid w:val="001A6E73"/>
    <w:rsid w:val="001A7C88"/>
    <w:rsid w:val="001A7F1C"/>
    <w:rsid w:val="001B0143"/>
    <w:rsid w:val="001B0472"/>
    <w:rsid w:val="001B06B5"/>
    <w:rsid w:val="001B0838"/>
    <w:rsid w:val="001B0B8E"/>
    <w:rsid w:val="001B102B"/>
    <w:rsid w:val="001B11CD"/>
    <w:rsid w:val="001B1AD5"/>
    <w:rsid w:val="001B1B4D"/>
    <w:rsid w:val="001B1D8E"/>
    <w:rsid w:val="001B20B4"/>
    <w:rsid w:val="001B21B7"/>
    <w:rsid w:val="001B25DC"/>
    <w:rsid w:val="001B2678"/>
    <w:rsid w:val="001B393B"/>
    <w:rsid w:val="001B3C69"/>
    <w:rsid w:val="001B40F8"/>
    <w:rsid w:val="001B4B35"/>
    <w:rsid w:val="001B5149"/>
    <w:rsid w:val="001B531E"/>
    <w:rsid w:val="001B55DF"/>
    <w:rsid w:val="001B5EAC"/>
    <w:rsid w:val="001B616C"/>
    <w:rsid w:val="001B627A"/>
    <w:rsid w:val="001B63F7"/>
    <w:rsid w:val="001B648A"/>
    <w:rsid w:val="001B6A73"/>
    <w:rsid w:val="001B6C5E"/>
    <w:rsid w:val="001B75FB"/>
    <w:rsid w:val="001B76F4"/>
    <w:rsid w:val="001B77C3"/>
    <w:rsid w:val="001C0611"/>
    <w:rsid w:val="001C0653"/>
    <w:rsid w:val="001C06C6"/>
    <w:rsid w:val="001C0748"/>
    <w:rsid w:val="001C114E"/>
    <w:rsid w:val="001C1332"/>
    <w:rsid w:val="001C18A7"/>
    <w:rsid w:val="001C1BF1"/>
    <w:rsid w:val="001C1EEF"/>
    <w:rsid w:val="001C206C"/>
    <w:rsid w:val="001C21C6"/>
    <w:rsid w:val="001C23C0"/>
    <w:rsid w:val="001C24BF"/>
    <w:rsid w:val="001C2748"/>
    <w:rsid w:val="001C2900"/>
    <w:rsid w:val="001C2BDA"/>
    <w:rsid w:val="001C2C05"/>
    <w:rsid w:val="001C2E70"/>
    <w:rsid w:val="001C2F81"/>
    <w:rsid w:val="001C302B"/>
    <w:rsid w:val="001C3C8B"/>
    <w:rsid w:val="001C3F9F"/>
    <w:rsid w:val="001C41F9"/>
    <w:rsid w:val="001C43BB"/>
    <w:rsid w:val="001C4868"/>
    <w:rsid w:val="001C499B"/>
    <w:rsid w:val="001C4AC0"/>
    <w:rsid w:val="001C4B0F"/>
    <w:rsid w:val="001C4DAF"/>
    <w:rsid w:val="001C4F2F"/>
    <w:rsid w:val="001C5048"/>
    <w:rsid w:val="001C5504"/>
    <w:rsid w:val="001C57EC"/>
    <w:rsid w:val="001C62B5"/>
    <w:rsid w:val="001C685A"/>
    <w:rsid w:val="001C6A7F"/>
    <w:rsid w:val="001C6E80"/>
    <w:rsid w:val="001C70C3"/>
    <w:rsid w:val="001C7153"/>
    <w:rsid w:val="001C78B4"/>
    <w:rsid w:val="001C7937"/>
    <w:rsid w:val="001C7A8A"/>
    <w:rsid w:val="001C7BD4"/>
    <w:rsid w:val="001C7CA1"/>
    <w:rsid w:val="001D0792"/>
    <w:rsid w:val="001D09D0"/>
    <w:rsid w:val="001D0D5D"/>
    <w:rsid w:val="001D12CB"/>
    <w:rsid w:val="001D14AC"/>
    <w:rsid w:val="001D169E"/>
    <w:rsid w:val="001D1887"/>
    <w:rsid w:val="001D19A9"/>
    <w:rsid w:val="001D1AF1"/>
    <w:rsid w:val="001D1C6B"/>
    <w:rsid w:val="001D2208"/>
    <w:rsid w:val="001D25CB"/>
    <w:rsid w:val="001D272E"/>
    <w:rsid w:val="001D285A"/>
    <w:rsid w:val="001D2ABC"/>
    <w:rsid w:val="001D2C3C"/>
    <w:rsid w:val="001D2DA2"/>
    <w:rsid w:val="001D3318"/>
    <w:rsid w:val="001D36E4"/>
    <w:rsid w:val="001D371D"/>
    <w:rsid w:val="001D38C2"/>
    <w:rsid w:val="001D43AF"/>
    <w:rsid w:val="001D46DF"/>
    <w:rsid w:val="001D47D9"/>
    <w:rsid w:val="001D48A4"/>
    <w:rsid w:val="001D5016"/>
    <w:rsid w:val="001D5589"/>
    <w:rsid w:val="001D599D"/>
    <w:rsid w:val="001D66F1"/>
    <w:rsid w:val="001D6C22"/>
    <w:rsid w:val="001D701F"/>
    <w:rsid w:val="001D70BF"/>
    <w:rsid w:val="001D7BCD"/>
    <w:rsid w:val="001E00D9"/>
    <w:rsid w:val="001E04DE"/>
    <w:rsid w:val="001E05B5"/>
    <w:rsid w:val="001E067D"/>
    <w:rsid w:val="001E0A22"/>
    <w:rsid w:val="001E0A77"/>
    <w:rsid w:val="001E0F47"/>
    <w:rsid w:val="001E13C5"/>
    <w:rsid w:val="001E1874"/>
    <w:rsid w:val="001E18AC"/>
    <w:rsid w:val="001E1926"/>
    <w:rsid w:val="001E24B5"/>
    <w:rsid w:val="001E2729"/>
    <w:rsid w:val="001E27EC"/>
    <w:rsid w:val="001E2AC2"/>
    <w:rsid w:val="001E2E8E"/>
    <w:rsid w:val="001E3187"/>
    <w:rsid w:val="001E35BF"/>
    <w:rsid w:val="001E35D2"/>
    <w:rsid w:val="001E37CF"/>
    <w:rsid w:val="001E3EEC"/>
    <w:rsid w:val="001E4B1D"/>
    <w:rsid w:val="001E5479"/>
    <w:rsid w:val="001E549D"/>
    <w:rsid w:val="001E55CD"/>
    <w:rsid w:val="001E5737"/>
    <w:rsid w:val="001E5E23"/>
    <w:rsid w:val="001E5F29"/>
    <w:rsid w:val="001E66EF"/>
    <w:rsid w:val="001E6802"/>
    <w:rsid w:val="001E6B0E"/>
    <w:rsid w:val="001E6D5D"/>
    <w:rsid w:val="001E6EE1"/>
    <w:rsid w:val="001E6F47"/>
    <w:rsid w:val="001E709B"/>
    <w:rsid w:val="001E7E17"/>
    <w:rsid w:val="001E7E60"/>
    <w:rsid w:val="001F018E"/>
    <w:rsid w:val="001F019F"/>
    <w:rsid w:val="001F07B9"/>
    <w:rsid w:val="001F09C2"/>
    <w:rsid w:val="001F0B04"/>
    <w:rsid w:val="001F0C13"/>
    <w:rsid w:val="001F126D"/>
    <w:rsid w:val="001F157A"/>
    <w:rsid w:val="001F1868"/>
    <w:rsid w:val="001F1A82"/>
    <w:rsid w:val="001F1D34"/>
    <w:rsid w:val="001F2449"/>
    <w:rsid w:val="001F245C"/>
    <w:rsid w:val="001F27D2"/>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3AE"/>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3F25"/>
    <w:rsid w:val="00204411"/>
    <w:rsid w:val="00204F44"/>
    <w:rsid w:val="002051D4"/>
    <w:rsid w:val="00205758"/>
    <w:rsid w:val="00205782"/>
    <w:rsid w:val="00205B56"/>
    <w:rsid w:val="00205C40"/>
    <w:rsid w:val="00205D66"/>
    <w:rsid w:val="00205EF7"/>
    <w:rsid w:val="0020640C"/>
    <w:rsid w:val="002069B7"/>
    <w:rsid w:val="00206B72"/>
    <w:rsid w:val="00206E10"/>
    <w:rsid w:val="00206E87"/>
    <w:rsid w:val="00206F81"/>
    <w:rsid w:val="00207016"/>
    <w:rsid w:val="00207034"/>
    <w:rsid w:val="00207622"/>
    <w:rsid w:val="00210422"/>
    <w:rsid w:val="002104A6"/>
    <w:rsid w:val="00210673"/>
    <w:rsid w:val="00210D2D"/>
    <w:rsid w:val="0021164B"/>
    <w:rsid w:val="0021176B"/>
    <w:rsid w:val="00211CA5"/>
    <w:rsid w:val="002121E4"/>
    <w:rsid w:val="0021222A"/>
    <w:rsid w:val="002125F9"/>
    <w:rsid w:val="002125FF"/>
    <w:rsid w:val="002129FA"/>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17F15"/>
    <w:rsid w:val="00220B91"/>
    <w:rsid w:val="00220E16"/>
    <w:rsid w:val="00220FBE"/>
    <w:rsid w:val="00220FF5"/>
    <w:rsid w:val="00221055"/>
    <w:rsid w:val="00221421"/>
    <w:rsid w:val="00221450"/>
    <w:rsid w:val="002214C9"/>
    <w:rsid w:val="00221C3D"/>
    <w:rsid w:val="00221D4E"/>
    <w:rsid w:val="00221EF8"/>
    <w:rsid w:val="00221F4F"/>
    <w:rsid w:val="002224A3"/>
    <w:rsid w:val="00223A42"/>
    <w:rsid w:val="00224104"/>
    <w:rsid w:val="00224DB1"/>
    <w:rsid w:val="00224DCA"/>
    <w:rsid w:val="00225079"/>
    <w:rsid w:val="00225113"/>
    <w:rsid w:val="002251B7"/>
    <w:rsid w:val="002252F7"/>
    <w:rsid w:val="0022588B"/>
    <w:rsid w:val="00225ADE"/>
    <w:rsid w:val="0022609D"/>
    <w:rsid w:val="0022618F"/>
    <w:rsid w:val="00226386"/>
    <w:rsid w:val="0022648D"/>
    <w:rsid w:val="00226B61"/>
    <w:rsid w:val="00226C0B"/>
    <w:rsid w:val="00226CB0"/>
    <w:rsid w:val="0022705E"/>
    <w:rsid w:val="002274D7"/>
    <w:rsid w:val="00227508"/>
    <w:rsid w:val="00227887"/>
    <w:rsid w:val="00227B03"/>
    <w:rsid w:val="00227EBE"/>
    <w:rsid w:val="00227F16"/>
    <w:rsid w:val="00227F84"/>
    <w:rsid w:val="00227FB1"/>
    <w:rsid w:val="0023035E"/>
    <w:rsid w:val="0023047E"/>
    <w:rsid w:val="00230484"/>
    <w:rsid w:val="00230609"/>
    <w:rsid w:val="002307B2"/>
    <w:rsid w:val="002308A8"/>
    <w:rsid w:val="002308BC"/>
    <w:rsid w:val="002308E1"/>
    <w:rsid w:val="0023099B"/>
    <w:rsid w:val="002309E8"/>
    <w:rsid w:val="00230AC8"/>
    <w:rsid w:val="00230C63"/>
    <w:rsid w:val="00230ECF"/>
    <w:rsid w:val="002310A7"/>
    <w:rsid w:val="0023116F"/>
    <w:rsid w:val="00231387"/>
    <w:rsid w:val="00231FDB"/>
    <w:rsid w:val="00232703"/>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4EC"/>
    <w:rsid w:val="0023468B"/>
    <w:rsid w:val="00234B4B"/>
    <w:rsid w:val="00235448"/>
    <w:rsid w:val="0023599E"/>
    <w:rsid w:val="00235A3C"/>
    <w:rsid w:val="00235F58"/>
    <w:rsid w:val="002366DD"/>
    <w:rsid w:val="0023677E"/>
    <w:rsid w:val="00237721"/>
    <w:rsid w:val="00237BC1"/>
    <w:rsid w:val="0024010C"/>
    <w:rsid w:val="0024031F"/>
    <w:rsid w:val="0024061C"/>
    <w:rsid w:val="002411E8"/>
    <w:rsid w:val="00241BC8"/>
    <w:rsid w:val="00241D41"/>
    <w:rsid w:val="0024280E"/>
    <w:rsid w:val="00242D5C"/>
    <w:rsid w:val="00243224"/>
    <w:rsid w:val="00243246"/>
    <w:rsid w:val="002434A7"/>
    <w:rsid w:val="00244291"/>
    <w:rsid w:val="00244882"/>
    <w:rsid w:val="00245DCB"/>
    <w:rsid w:val="00246851"/>
    <w:rsid w:val="002468AE"/>
    <w:rsid w:val="00246D02"/>
    <w:rsid w:val="00246D9D"/>
    <w:rsid w:val="00247828"/>
    <w:rsid w:val="002509EE"/>
    <w:rsid w:val="00250D47"/>
    <w:rsid w:val="00251470"/>
    <w:rsid w:val="00251555"/>
    <w:rsid w:val="0025183D"/>
    <w:rsid w:val="00251ACE"/>
    <w:rsid w:val="00251FA9"/>
    <w:rsid w:val="00252017"/>
    <w:rsid w:val="00252036"/>
    <w:rsid w:val="00252804"/>
    <w:rsid w:val="002529DD"/>
    <w:rsid w:val="00252B31"/>
    <w:rsid w:val="00252DC2"/>
    <w:rsid w:val="00253109"/>
    <w:rsid w:val="00253678"/>
    <w:rsid w:val="00253963"/>
    <w:rsid w:val="00253C48"/>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44D"/>
    <w:rsid w:val="00264752"/>
    <w:rsid w:val="00264787"/>
    <w:rsid w:val="002650E3"/>
    <w:rsid w:val="00265B1A"/>
    <w:rsid w:val="00265E58"/>
    <w:rsid w:val="002662C7"/>
    <w:rsid w:val="00266603"/>
    <w:rsid w:val="00266B55"/>
    <w:rsid w:val="0026714A"/>
    <w:rsid w:val="002674BC"/>
    <w:rsid w:val="002678C8"/>
    <w:rsid w:val="00267C19"/>
    <w:rsid w:val="00267EAB"/>
    <w:rsid w:val="00267FCC"/>
    <w:rsid w:val="0027098C"/>
    <w:rsid w:val="00270A70"/>
    <w:rsid w:val="00270C5C"/>
    <w:rsid w:val="00270F23"/>
    <w:rsid w:val="002715EC"/>
    <w:rsid w:val="00271861"/>
    <w:rsid w:val="00271934"/>
    <w:rsid w:val="0027219A"/>
    <w:rsid w:val="002721B5"/>
    <w:rsid w:val="00272416"/>
    <w:rsid w:val="002728B8"/>
    <w:rsid w:val="00272D29"/>
    <w:rsid w:val="00272E37"/>
    <w:rsid w:val="00272E61"/>
    <w:rsid w:val="00273C7F"/>
    <w:rsid w:val="00273DE8"/>
    <w:rsid w:val="00273E61"/>
    <w:rsid w:val="002741A6"/>
    <w:rsid w:val="00274494"/>
    <w:rsid w:val="002756F8"/>
    <w:rsid w:val="002759C5"/>
    <w:rsid w:val="00275D78"/>
    <w:rsid w:val="00275E59"/>
    <w:rsid w:val="002765F4"/>
    <w:rsid w:val="002766E7"/>
    <w:rsid w:val="002769EA"/>
    <w:rsid w:val="00276BA1"/>
    <w:rsid w:val="00276EA0"/>
    <w:rsid w:val="00277B3D"/>
    <w:rsid w:val="002802DC"/>
    <w:rsid w:val="002802F2"/>
    <w:rsid w:val="00280706"/>
    <w:rsid w:val="00280F8D"/>
    <w:rsid w:val="00281606"/>
    <w:rsid w:val="00281E5D"/>
    <w:rsid w:val="00281EC3"/>
    <w:rsid w:val="002820FA"/>
    <w:rsid w:val="00282592"/>
    <w:rsid w:val="00283084"/>
    <w:rsid w:val="00283251"/>
    <w:rsid w:val="002833CC"/>
    <w:rsid w:val="00283421"/>
    <w:rsid w:val="00283D22"/>
    <w:rsid w:val="0028412B"/>
    <w:rsid w:val="00284C17"/>
    <w:rsid w:val="00284EBB"/>
    <w:rsid w:val="00284F64"/>
    <w:rsid w:val="002851FB"/>
    <w:rsid w:val="0028552E"/>
    <w:rsid w:val="002857E1"/>
    <w:rsid w:val="00286073"/>
    <w:rsid w:val="00286239"/>
    <w:rsid w:val="00286461"/>
    <w:rsid w:val="0028663A"/>
    <w:rsid w:val="00286B0E"/>
    <w:rsid w:val="00286B4B"/>
    <w:rsid w:val="00286BD1"/>
    <w:rsid w:val="00287088"/>
    <w:rsid w:val="0028710A"/>
    <w:rsid w:val="00287283"/>
    <w:rsid w:val="0028732F"/>
    <w:rsid w:val="00287517"/>
    <w:rsid w:val="00287590"/>
    <w:rsid w:val="00287BFE"/>
    <w:rsid w:val="00287E08"/>
    <w:rsid w:val="00287FE6"/>
    <w:rsid w:val="00290222"/>
    <w:rsid w:val="00290593"/>
    <w:rsid w:val="0029079D"/>
    <w:rsid w:val="00290C72"/>
    <w:rsid w:val="00290CE2"/>
    <w:rsid w:val="002913B9"/>
    <w:rsid w:val="00291524"/>
    <w:rsid w:val="002917E3"/>
    <w:rsid w:val="002919AB"/>
    <w:rsid w:val="00291A0A"/>
    <w:rsid w:val="00291BF2"/>
    <w:rsid w:val="00291D71"/>
    <w:rsid w:val="00292313"/>
    <w:rsid w:val="00292602"/>
    <w:rsid w:val="00292614"/>
    <w:rsid w:val="002926BF"/>
    <w:rsid w:val="00292A81"/>
    <w:rsid w:val="00292C86"/>
    <w:rsid w:val="002930F5"/>
    <w:rsid w:val="00293C3E"/>
    <w:rsid w:val="00293F49"/>
    <w:rsid w:val="0029439C"/>
    <w:rsid w:val="0029493A"/>
    <w:rsid w:val="00294A4E"/>
    <w:rsid w:val="00294D6F"/>
    <w:rsid w:val="00295279"/>
    <w:rsid w:val="002956CC"/>
    <w:rsid w:val="0029603B"/>
    <w:rsid w:val="0029641D"/>
    <w:rsid w:val="00296675"/>
    <w:rsid w:val="00296A9E"/>
    <w:rsid w:val="00296E62"/>
    <w:rsid w:val="002972DF"/>
    <w:rsid w:val="0029765E"/>
    <w:rsid w:val="002A0633"/>
    <w:rsid w:val="002A0826"/>
    <w:rsid w:val="002A0DD3"/>
    <w:rsid w:val="002A0FC3"/>
    <w:rsid w:val="002A12F1"/>
    <w:rsid w:val="002A1346"/>
    <w:rsid w:val="002A1A21"/>
    <w:rsid w:val="002A1D39"/>
    <w:rsid w:val="002A1D74"/>
    <w:rsid w:val="002A1F07"/>
    <w:rsid w:val="002A2043"/>
    <w:rsid w:val="002A21E4"/>
    <w:rsid w:val="002A25CB"/>
    <w:rsid w:val="002A2C89"/>
    <w:rsid w:val="002A2D73"/>
    <w:rsid w:val="002A339F"/>
    <w:rsid w:val="002A395B"/>
    <w:rsid w:val="002A431A"/>
    <w:rsid w:val="002A432B"/>
    <w:rsid w:val="002A48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8E4"/>
    <w:rsid w:val="002A7AB4"/>
    <w:rsid w:val="002A7E8B"/>
    <w:rsid w:val="002B0C1E"/>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7F"/>
    <w:rsid w:val="002B468E"/>
    <w:rsid w:val="002B4AAD"/>
    <w:rsid w:val="002B4DA6"/>
    <w:rsid w:val="002B4F0D"/>
    <w:rsid w:val="002B5024"/>
    <w:rsid w:val="002B525E"/>
    <w:rsid w:val="002B5898"/>
    <w:rsid w:val="002B58C9"/>
    <w:rsid w:val="002B59CA"/>
    <w:rsid w:val="002B5BA7"/>
    <w:rsid w:val="002B5FB0"/>
    <w:rsid w:val="002B626A"/>
    <w:rsid w:val="002B6676"/>
    <w:rsid w:val="002B69F7"/>
    <w:rsid w:val="002B6BE2"/>
    <w:rsid w:val="002B709D"/>
    <w:rsid w:val="002B70F6"/>
    <w:rsid w:val="002B7189"/>
    <w:rsid w:val="002B7900"/>
    <w:rsid w:val="002B7948"/>
    <w:rsid w:val="002B7C02"/>
    <w:rsid w:val="002C0060"/>
    <w:rsid w:val="002C0078"/>
    <w:rsid w:val="002C0B24"/>
    <w:rsid w:val="002C0B97"/>
    <w:rsid w:val="002C0FD9"/>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02E"/>
    <w:rsid w:val="002C431F"/>
    <w:rsid w:val="002C4C80"/>
    <w:rsid w:val="002C5202"/>
    <w:rsid w:val="002C522F"/>
    <w:rsid w:val="002C6236"/>
    <w:rsid w:val="002C62A6"/>
    <w:rsid w:val="002C6444"/>
    <w:rsid w:val="002C6668"/>
    <w:rsid w:val="002C6677"/>
    <w:rsid w:val="002C6BA0"/>
    <w:rsid w:val="002C6F73"/>
    <w:rsid w:val="002C6FAD"/>
    <w:rsid w:val="002C70A1"/>
    <w:rsid w:val="002C7A39"/>
    <w:rsid w:val="002C7C1A"/>
    <w:rsid w:val="002C7E63"/>
    <w:rsid w:val="002D03B7"/>
    <w:rsid w:val="002D0E5F"/>
    <w:rsid w:val="002D11A3"/>
    <w:rsid w:val="002D16DB"/>
    <w:rsid w:val="002D1748"/>
    <w:rsid w:val="002D18FC"/>
    <w:rsid w:val="002D1953"/>
    <w:rsid w:val="002D19B4"/>
    <w:rsid w:val="002D1C35"/>
    <w:rsid w:val="002D1D3E"/>
    <w:rsid w:val="002D20A7"/>
    <w:rsid w:val="002D20EC"/>
    <w:rsid w:val="002D21DE"/>
    <w:rsid w:val="002D21E4"/>
    <w:rsid w:val="002D22A0"/>
    <w:rsid w:val="002D2B57"/>
    <w:rsid w:val="002D2F09"/>
    <w:rsid w:val="002D33D6"/>
    <w:rsid w:val="002D34BC"/>
    <w:rsid w:val="002D35D0"/>
    <w:rsid w:val="002D3A99"/>
    <w:rsid w:val="002D3F35"/>
    <w:rsid w:val="002D4703"/>
    <w:rsid w:val="002D5044"/>
    <w:rsid w:val="002D535D"/>
    <w:rsid w:val="002D548B"/>
    <w:rsid w:val="002D58E5"/>
    <w:rsid w:val="002D5F47"/>
    <w:rsid w:val="002D60FB"/>
    <w:rsid w:val="002D62EA"/>
    <w:rsid w:val="002D6759"/>
    <w:rsid w:val="002D6996"/>
    <w:rsid w:val="002D6AB5"/>
    <w:rsid w:val="002D771F"/>
    <w:rsid w:val="002D7D47"/>
    <w:rsid w:val="002E0251"/>
    <w:rsid w:val="002E0263"/>
    <w:rsid w:val="002E0B8F"/>
    <w:rsid w:val="002E0C25"/>
    <w:rsid w:val="002E116E"/>
    <w:rsid w:val="002E149C"/>
    <w:rsid w:val="002E1AA5"/>
    <w:rsid w:val="002E1E43"/>
    <w:rsid w:val="002E26B3"/>
    <w:rsid w:val="002E2D95"/>
    <w:rsid w:val="002E31A4"/>
    <w:rsid w:val="002E4172"/>
    <w:rsid w:val="002E455D"/>
    <w:rsid w:val="002E45C6"/>
    <w:rsid w:val="002E4ABD"/>
    <w:rsid w:val="002E652E"/>
    <w:rsid w:val="002E6559"/>
    <w:rsid w:val="002E685A"/>
    <w:rsid w:val="002E6ABC"/>
    <w:rsid w:val="002E72B2"/>
    <w:rsid w:val="002E72DC"/>
    <w:rsid w:val="002E75A6"/>
    <w:rsid w:val="002E75F5"/>
    <w:rsid w:val="002F00FF"/>
    <w:rsid w:val="002F03C5"/>
    <w:rsid w:val="002F0CC6"/>
    <w:rsid w:val="002F0D66"/>
    <w:rsid w:val="002F0FF8"/>
    <w:rsid w:val="002F10AD"/>
    <w:rsid w:val="002F11F3"/>
    <w:rsid w:val="002F148F"/>
    <w:rsid w:val="002F150B"/>
    <w:rsid w:val="002F1911"/>
    <w:rsid w:val="002F1D8C"/>
    <w:rsid w:val="002F1EE5"/>
    <w:rsid w:val="002F261C"/>
    <w:rsid w:val="002F2CDC"/>
    <w:rsid w:val="002F2D68"/>
    <w:rsid w:val="002F3369"/>
    <w:rsid w:val="002F34A4"/>
    <w:rsid w:val="002F3582"/>
    <w:rsid w:val="002F3C64"/>
    <w:rsid w:val="002F3F2F"/>
    <w:rsid w:val="002F43F5"/>
    <w:rsid w:val="002F460A"/>
    <w:rsid w:val="002F46E1"/>
    <w:rsid w:val="002F4D7C"/>
    <w:rsid w:val="002F5026"/>
    <w:rsid w:val="002F50BA"/>
    <w:rsid w:val="002F52A7"/>
    <w:rsid w:val="002F540A"/>
    <w:rsid w:val="002F5568"/>
    <w:rsid w:val="002F5C0F"/>
    <w:rsid w:val="002F6316"/>
    <w:rsid w:val="002F660C"/>
    <w:rsid w:val="002F6A62"/>
    <w:rsid w:val="002F6C84"/>
    <w:rsid w:val="002F6FE1"/>
    <w:rsid w:val="002F7171"/>
    <w:rsid w:val="002F79F4"/>
    <w:rsid w:val="002F7B8F"/>
    <w:rsid w:val="002F7CF2"/>
    <w:rsid w:val="002F7FCB"/>
    <w:rsid w:val="0030063B"/>
    <w:rsid w:val="003006A0"/>
    <w:rsid w:val="003007B5"/>
    <w:rsid w:val="00300AA0"/>
    <w:rsid w:val="0030137B"/>
    <w:rsid w:val="00301405"/>
    <w:rsid w:val="0030172B"/>
    <w:rsid w:val="00301798"/>
    <w:rsid w:val="00301897"/>
    <w:rsid w:val="00301933"/>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89C"/>
    <w:rsid w:val="00304D95"/>
    <w:rsid w:val="00305763"/>
    <w:rsid w:val="00305947"/>
    <w:rsid w:val="00306732"/>
    <w:rsid w:val="00306A0B"/>
    <w:rsid w:val="00307010"/>
    <w:rsid w:val="003070FA"/>
    <w:rsid w:val="00307186"/>
    <w:rsid w:val="003077A5"/>
    <w:rsid w:val="00307F9B"/>
    <w:rsid w:val="00310188"/>
    <w:rsid w:val="003103BE"/>
    <w:rsid w:val="00310409"/>
    <w:rsid w:val="00310F45"/>
    <w:rsid w:val="00311460"/>
    <w:rsid w:val="00311E4A"/>
    <w:rsid w:val="003121A6"/>
    <w:rsid w:val="00312777"/>
    <w:rsid w:val="003127D5"/>
    <w:rsid w:val="00312878"/>
    <w:rsid w:val="00312B67"/>
    <w:rsid w:val="00312DFD"/>
    <w:rsid w:val="00312FF3"/>
    <w:rsid w:val="003131DA"/>
    <w:rsid w:val="00313290"/>
    <w:rsid w:val="003132D1"/>
    <w:rsid w:val="00313783"/>
    <w:rsid w:val="00313B6D"/>
    <w:rsid w:val="00313C71"/>
    <w:rsid w:val="00313C7C"/>
    <w:rsid w:val="00313D44"/>
    <w:rsid w:val="00314563"/>
    <w:rsid w:val="003146A1"/>
    <w:rsid w:val="003148D6"/>
    <w:rsid w:val="00314B9F"/>
    <w:rsid w:val="00314BF3"/>
    <w:rsid w:val="00314C6B"/>
    <w:rsid w:val="003155D2"/>
    <w:rsid w:val="003155D5"/>
    <w:rsid w:val="0031567F"/>
    <w:rsid w:val="00315A8B"/>
    <w:rsid w:val="00315F32"/>
    <w:rsid w:val="0031643E"/>
    <w:rsid w:val="0031671F"/>
    <w:rsid w:val="00316E30"/>
    <w:rsid w:val="003171D9"/>
    <w:rsid w:val="003174A2"/>
    <w:rsid w:val="003177F2"/>
    <w:rsid w:val="00317C18"/>
    <w:rsid w:val="00317DE3"/>
    <w:rsid w:val="00317E09"/>
    <w:rsid w:val="00320048"/>
    <w:rsid w:val="00320566"/>
    <w:rsid w:val="003207BA"/>
    <w:rsid w:val="00320993"/>
    <w:rsid w:val="00320996"/>
    <w:rsid w:val="00320DBB"/>
    <w:rsid w:val="00321823"/>
    <w:rsid w:val="00321887"/>
    <w:rsid w:val="003218FA"/>
    <w:rsid w:val="003223DE"/>
    <w:rsid w:val="003226F3"/>
    <w:rsid w:val="003228AC"/>
    <w:rsid w:val="003228EA"/>
    <w:rsid w:val="00322B57"/>
    <w:rsid w:val="00322DF4"/>
    <w:rsid w:val="00322FCD"/>
    <w:rsid w:val="0032310A"/>
    <w:rsid w:val="00323783"/>
    <w:rsid w:val="00323DC0"/>
    <w:rsid w:val="00323DF3"/>
    <w:rsid w:val="00323F7B"/>
    <w:rsid w:val="003240F6"/>
    <w:rsid w:val="00324208"/>
    <w:rsid w:val="0032458F"/>
    <w:rsid w:val="003245AA"/>
    <w:rsid w:val="00324AF7"/>
    <w:rsid w:val="00325574"/>
    <w:rsid w:val="003259A3"/>
    <w:rsid w:val="00325A7A"/>
    <w:rsid w:val="00325ABC"/>
    <w:rsid w:val="00325DDA"/>
    <w:rsid w:val="003266F4"/>
    <w:rsid w:val="0032670D"/>
    <w:rsid w:val="00326ED8"/>
    <w:rsid w:val="00326F1D"/>
    <w:rsid w:val="00327C83"/>
    <w:rsid w:val="00327D35"/>
    <w:rsid w:val="00330385"/>
    <w:rsid w:val="003308AC"/>
    <w:rsid w:val="00330B40"/>
    <w:rsid w:val="00330B78"/>
    <w:rsid w:val="00330BDF"/>
    <w:rsid w:val="003311C4"/>
    <w:rsid w:val="0033180A"/>
    <w:rsid w:val="0033185B"/>
    <w:rsid w:val="00331FBE"/>
    <w:rsid w:val="00332402"/>
    <w:rsid w:val="0033253F"/>
    <w:rsid w:val="003327A4"/>
    <w:rsid w:val="003327FA"/>
    <w:rsid w:val="0033295D"/>
    <w:rsid w:val="0033296A"/>
    <w:rsid w:val="00332DFF"/>
    <w:rsid w:val="00332E65"/>
    <w:rsid w:val="00333128"/>
    <w:rsid w:val="00333223"/>
    <w:rsid w:val="003346CE"/>
    <w:rsid w:val="00334D0B"/>
    <w:rsid w:val="00334DF1"/>
    <w:rsid w:val="00334F00"/>
    <w:rsid w:val="0033515F"/>
    <w:rsid w:val="00335467"/>
    <w:rsid w:val="00335474"/>
    <w:rsid w:val="003356C8"/>
    <w:rsid w:val="00335AFA"/>
    <w:rsid w:val="0033648A"/>
    <w:rsid w:val="003367B9"/>
    <w:rsid w:val="00336F33"/>
    <w:rsid w:val="00337208"/>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1AED"/>
    <w:rsid w:val="003422F0"/>
    <w:rsid w:val="0034257E"/>
    <w:rsid w:val="00342877"/>
    <w:rsid w:val="00342895"/>
    <w:rsid w:val="0034333F"/>
    <w:rsid w:val="00343DB9"/>
    <w:rsid w:val="0034449F"/>
    <w:rsid w:val="00344502"/>
    <w:rsid w:val="003450C4"/>
    <w:rsid w:val="0034538F"/>
    <w:rsid w:val="00345754"/>
    <w:rsid w:val="00345983"/>
    <w:rsid w:val="003459BC"/>
    <w:rsid w:val="00345A10"/>
    <w:rsid w:val="00345B71"/>
    <w:rsid w:val="00345D1B"/>
    <w:rsid w:val="0034689D"/>
    <w:rsid w:val="003469F1"/>
    <w:rsid w:val="00346A8C"/>
    <w:rsid w:val="00346C96"/>
    <w:rsid w:val="00346F98"/>
    <w:rsid w:val="00347009"/>
    <w:rsid w:val="00347992"/>
    <w:rsid w:val="00347A62"/>
    <w:rsid w:val="00347D0F"/>
    <w:rsid w:val="00347DA7"/>
    <w:rsid w:val="00347E52"/>
    <w:rsid w:val="003501F6"/>
    <w:rsid w:val="00350E74"/>
    <w:rsid w:val="00351D3A"/>
    <w:rsid w:val="00352335"/>
    <w:rsid w:val="00352505"/>
    <w:rsid w:val="00352839"/>
    <w:rsid w:val="003528AE"/>
    <w:rsid w:val="00352904"/>
    <w:rsid w:val="00352962"/>
    <w:rsid w:val="00352A62"/>
    <w:rsid w:val="00352B17"/>
    <w:rsid w:val="00352D3C"/>
    <w:rsid w:val="0035309B"/>
    <w:rsid w:val="0035327A"/>
    <w:rsid w:val="0035403B"/>
    <w:rsid w:val="0035452D"/>
    <w:rsid w:val="0035494E"/>
    <w:rsid w:val="00354A12"/>
    <w:rsid w:val="00354FD7"/>
    <w:rsid w:val="00355116"/>
    <w:rsid w:val="00355379"/>
    <w:rsid w:val="00355AC5"/>
    <w:rsid w:val="0035613B"/>
    <w:rsid w:val="003561CB"/>
    <w:rsid w:val="00356253"/>
    <w:rsid w:val="00356756"/>
    <w:rsid w:val="00356AA4"/>
    <w:rsid w:val="003571FB"/>
    <w:rsid w:val="00357382"/>
    <w:rsid w:val="0035750A"/>
    <w:rsid w:val="0035764B"/>
    <w:rsid w:val="00357680"/>
    <w:rsid w:val="003576F7"/>
    <w:rsid w:val="00357771"/>
    <w:rsid w:val="00357982"/>
    <w:rsid w:val="00357D33"/>
    <w:rsid w:val="003603FD"/>
    <w:rsid w:val="0036050D"/>
    <w:rsid w:val="0036059C"/>
    <w:rsid w:val="003607C5"/>
    <w:rsid w:val="00360AD9"/>
    <w:rsid w:val="00360CF1"/>
    <w:rsid w:val="00360DA1"/>
    <w:rsid w:val="00360DAA"/>
    <w:rsid w:val="00360EB6"/>
    <w:rsid w:val="0036118F"/>
    <w:rsid w:val="003611C4"/>
    <w:rsid w:val="003614B0"/>
    <w:rsid w:val="003617B8"/>
    <w:rsid w:val="003617B9"/>
    <w:rsid w:val="00361E66"/>
    <w:rsid w:val="00362919"/>
    <w:rsid w:val="00362A91"/>
    <w:rsid w:val="00362B31"/>
    <w:rsid w:val="00362C4B"/>
    <w:rsid w:val="00362D1B"/>
    <w:rsid w:val="00362EDC"/>
    <w:rsid w:val="00363169"/>
    <w:rsid w:val="003634EA"/>
    <w:rsid w:val="00363A15"/>
    <w:rsid w:val="00363B9E"/>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360"/>
    <w:rsid w:val="00370645"/>
    <w:rsid w:val="00370B30"/>
    <w:rsid w:val="00370CBF"/>
    <w:rsid w:val="00371090"/>
    <w:rsid w:val="003716BA"/>
    <w:rsid w:val="00371A5B"/>
    <w:rsid w:val="003725BF"/>
    <w:rsid w:val="00372773"/>
    <w:rsid w:val="003728D7"/>
    <w:rsid w:val="00372FE6"/>
    <w:rsid w:val="0037312C"/>
    <w:rsid w:val="00373170"/>
    <w:rsid w:val="003731C3"/>
    <w:rsid w:val="00373709"/>
    <w:rsid w:val="00373F94"/>
    <w:rsid w:val="00374200"/>
    <w:rsid w:val="00374235"/>
    <w:rsid w:val="00374242"/>
    <w:rsid w:val="003742E9"/>
    <w:rsid w:val="00374549"/>
    <w:rsid w:val="00374761"/>
    <w:rsid w:val="0037484D"/>
    <w:rsid w:val="00374C13"/>
    <w:rsid w:val="003750C2"/>
    <w:rsid w:val="00375211"/>
    <w:rsid w:val="003756A8"/>
    <w:rsid w:val="0037647F"/>
    <w:rsid w:val="00376809"/>
    <w:rsid w:val="00376B6A"/>
    <w:rsid w:val="0037705C"/>
    <w:rsid w:val="003773CC"/>
    <w:rsid w:val="0037744F"/>
    <w:rsid w:val="003777E2"/>
    <w:rsid w:val="00377A00"/>
    <w:rsid w:val="00377E05"/>
    <w:rsid w:val="00377FF1"/>
    <w:rsid w:val="0038054D"/>
    <w:rsid w:val="00380731"/>
    <w:rsid w:val="00380981"/>
    <w:rsid w:val="00381046"/>
    <w:rsid w:val="00381260"/>
    <w:rsid w:val="00381AEA"/>
    <w:rsid w:val="00381F15"/>
    <w:rsid w:val="0038207B"/>
    <w:rsid w:val="003821E7"/>
    <w:rsid w:val="00382326"/>
    <w:rsid w:val="003824DE"/>
    <w:rsid w:val="0038251E"/>
    <w:rsid w:val="00382526"/>
    <w:rsid w:val="0038258C"/>
    <w:rsid w:val="00382636"/>
    <w:rsid w:val="00382F70"/>
    <w:rsid w:val="00382F73"/>
    <w:rsid w:val="003831BC"/>
    <w:rsid w:val="003832AD"/>
    <w:rsid w:val="00383731"/>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141"/>
    <w:rsid w:val="00387EAE"/>
    <w:rsid w:val="00387EC3"/>
    <w:rsid w:val="00387EF4"/>
    <w:rsid w:val="003900E9"/>
    <w:rsid w:val="0039064C"/>
    <w:rsid w:val="00390685"/>
    <w:rsid w:val="0039114E"/>
    <w:rsid w:val="00391591"/>
    <w:rsid w:val="00391716"/>
    <w:rsid w:val="0039191D"/>
    <w:rsid w:val="00391ABF"/>
    <w:rsid w:val="00391E30"/>
    <w:rsid w:val="00391E36"/>
    <w:rsid w:val="00392145"/>
    <w:rsid w:val="0039226A"/>
    <w:rsid w:val="003922C1"/>
    <w:rsid w:val="0039248A"/>
    <w:rsid w:val="0039249B"/>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DA0"/>
    <w:rsid w:val="00395F99"/>
    <w:rsid w:val="0039634F"/>
    <w:rsid w:val="00396437"/>
    <w:rsid w:val="0039687E"/>
    <w:rsid w:val="00396A34"/>
    <w:rsid w:val="00396DC3"/>
    <w:rsid w:val="0039769A"/>
    <w:rsid w:val="00397910"/>
    <w:rsid w:val="003A0277"/>
    <w:rsid w:val="003A0316"/>
    <w:rsid w:val="003A063D"/>
    <w:rsid w:val="003A090B"/>
    <w:rsid w:val="003A0E93"/>
    <w:rsid w:val="003A12D7"/>
    <w:rsid w:val="003A13DE"/>
    <w:rsid w:val="003A17C3"/>
    <w:rsid w:val="003A1D1C"/>
    <w:rsid w:val="003A219B"/>
    <w:rsid w:val="003A21F8"/>
    <w:rsid w:val="003A24D1"/>
    <w:rsid w:val="003A284B"/>
    <w:rsid w:val="003A293A"/>
    <w:rsid w:val="003A2A56"/>
    <w:rsid w:val="003A2D67"/>
    <w:rsid w:val="003A34E4"/>
    <w:rsid w:val="003A3642"/>
    <w:rsid w:val="003A36CE"/>
    <w:rsid w:val="003A39C8"/>
    <w:rsid w:val="003A4430"/>
    <w:rsid w:val="003A444D"/>
    <w:rsid w:val="003A46E9"/>
    <w:rsid w:val="003A472D"/>
    <w:rsid w:val="003A4968"/>
    <w:rsid w:val="003A4F03"/>
    <w:rsid w:val="003A4FFA"/>
    <w:rsid w:val="003A5101"/>
    <w:rsid w:val="003A510B"/>
    <w:rsid w:val="003A53D3"/>
    <w:rsid w:val="003A550E"/>
    <w:rsid w:val="003A58DC"/>
    <w:rsid w:val="003A5C62"/>
    <w:rsid w:val="003A5CEA"/>
    <w:rsid w:val="003A5D6F"/>
    <w:rsid w:val="003A5D88"/>
    <w:rsid w:val="003A5F79"/>
    <w:rsid w:val="003A63DB"/>
    <w:rsid w:val="003A684C"/>
    <w:rsid w:val="003A6A5D"/>
    <w:rsid w:val="003A6EBC"/>
    <w:rsid w:val="003A77A6"/>
    <w:rsid w:val="003A7D3E"/>
    <w:rsid w:val="003A7FA5"/>
    <w:rsid w:val="003B01FF"/>
    <w:rsid w:val="003B0B3A"/>
    <w:rsid w:val="003B0DB6"/>
    <w:rsid w:val="003B0E84"/>
    <w:rsid w:val="003B10A8"/>
    <w:rsid w:val="003B1280"/>
    <w:rsid w:val="003B161E"/>
    <w:rsid w:val="003B1636"/>
    <w:rsid w:val="003B197A"/>
    <w:rsid w:val="003B2537"/>
    <w:rsid w:val="003B3072"/>
    <w:rsid w:val="003B41FC"/>
    <w:rsid w:val="003B45C0"/>
    <w:rsid w:val="003B4634"/>
    <w:rsid w:val="003B4DB9"/>
    <w:rsid w:val="003B51ED"/>
    <w:rsid w:val="003B5958"/>
    <w:rsid w:val="003B61EE"/>
    <w:rsid w:val="003B6FEC"/>
    <w:rsid w:val="003B70FD"/>
    <w:rsid w:val="003B769E"/>
    <w:rsid w:val="003B78D8"/>
    <w:rsid w:val="003B7C0A"/>
    <w:rsid w:val="003B7C15"/>
    <w:rsid w:val="003C0190"/>
    <w:rsid w:val="003C021F"/>
    <w:rsid w:val="003C048B"/>
    <w:rsid w:val="003C08F5"/>
    <w:rsid w:val="003C0C33"/>
    <w:rsid w:val="003C0E9A"/>
    <w:rsid w:val="003C0FB8"/>
    <w:rsid w:val="003C105F"/>
    <w:rsid w:val="003C12B8"/>
    <w:rsid w:val="003C1FD4"/>
    <w:rsid w:val="003C2DBF"/>
    <w:rsid w:val="003C2F67"/>
    <w:rsid w:val="003C30BF"/>
    <w:rsid w:val="003C33A6"/>
    <w:rsid w:val="003C37A3"/>
    <w:rsid w:val="003C3FD1"/>
    <w:rsid w:val="003C41B5"/>
    <w:rsid w:val="003C4669"/>
    <w:rsid w:val="003C4BBF"/>
    <w:rsid w:val="003C4C2D"/>
    <w:rsid w:val="003C4D39"/>
    <w:rsid w:val="003C521E"/>
    <w:rsid w:val="003C54A5"/>
    <w:rsid w:val="003C571A"/>
    <w:rsid w:val="003C590E"/>
    <w:rsid w:val="003C594E"/>
    <w:rsid w:val="003C6565"/>
    <w:rsid w:val="003C7091"/>
    <w:rsid w:val="003C7212"/>
    <w:rsid w:val="003C733C"/>
    <w:rsid w:val="003C7E88"/>
    <w:rsid w:val="003D04D6"/>
    <w:rsid w:val="003D05BD"/>
    <w:rsid w:val="003D0662"/>
    <w:rsid w:val="003D0685"/>
    <w:rsid w:val="003D068D"/>
    <w:rsid w:val="003D0AB5"/>
    <w:rsid w:val="003D0BAF"/>
    <w:rsid w:val="003D0C96"/>
    <w:rsid w:val="003D0D3C"/>
    <w:rsid w:val="003D1163"/>
    <w:rsid w:val="003D1257"/>
    <w:rsid w:val="003D188F"/>
    <w:rsid w:val="003D1C3F"/>
    <w:rsid w:val="003D1E1C"/>
    <w:rsid w:val="003D1FF9"/>
    <w:rsid w:val="003D23D5"/>
    <w:rsid w:val="003D2A68"/>
    <w:rsid w:val="003D2DC7"/>
    <w:rsid w:val="003D2FBE"/>
    <w:rsid w:val="003D3EC6"/>
    <w:rsid w:val="003D43F0"/>
    <w:rsid w:val="003D583D"/>
    <w:rsid w:val="003D58FC"/>
    <w:rsid w:val="003D5A9B"/>
    <w:rsid w:val="003D5AB0"/>
    <w:rsid w:val="003D5C44"/>
    <w:rsid w:val="003D5E6C"/>
    <w:rsid w:val="003D5F07"/>
    <w:rsid w:val="003D5FAC"/>
    <w:rsid w:val="003D6813"/>
    <w:rsid w:val="003D6A9A"/>
    <w:rsid w:val="003D6AE2"/>
    <w:rsid w:val="003D6B51"/>
    <w:rsid w:val="003D6D4F"/>
    <w:rsid w:val="003D765F"/>
    <w:rsid w:val="003D771E"/>
    <w:rsid w:val="003D7742"/>
    <w:rsid w:val="003D780C"/>
    <w:rsid w:val="003D7AE6"/>
    <w:rsid w:val="003D7EDD"/>
    <w:rsid w:val="003E0112"/>
    <w:rsid w:val="003E020B"/>
    <w:rsid w:val="003E039A"/>
    <w:rsid w:val="003E0406"/>
    <w:rsid w:val="003E0471"/>
    <w:rsid w:val="003E0988"/>
    <w:rsid w:val="003E0D0D"/>
    <w:rsid w:val="003E10F4"/>
    <w:rsid w:val="003E126E"/>
    <w:rsid w:val="003E151E"/>
    <w:rsid w:val="003E1535"/>
    <w:rsid w:val="003E15BD"/>
    <w:rsid w:val="003E1C08"/>
    <w:rsid w:val="003E1C42"/>
    <w:rsid w:val="003E1DC0"/>
    <w:rsid w:val="003E2428"/>
    <w:rsid w:val="003E289B"/>
    <w:rsid w:val="003E2D0C"/>
    <w:rsid w:val="003E31BE"/>
    <w:rsid w:val="003E35CF"/>
    <w:rsid w:val="003E3B0F"/>
    <w:rsid w:val="003E3CBD"/>
    <w:rsid w:val="003E3E94"/>
    <w:rsid w:val="003E3E9A"/>
    <w:rsid w:val="003E4721"/>
    <w:rsid w:val="003E5015"/>
    <w:rsid w:val="003E5158"/>
    <w:rsid w:val="003E526A"/>
    <w:rsid w:val="003E5405"/>
    <w:rsid w:val="003E5CDE"/>
    <w:rsid w:val="003E6344"/>
    <w:rsid w:val="003E6423"/>
    <w:rsid w:val="003E6513"/>
    <w:rsid w:val="003E710B"/>
    <w:rsid w:val="003E7A91"/>
    <w:rsid w:val="003E7B17"/>
    <w:rsid w:val="003F12CE"/>
    <w:rsid w:val="003F1776"/>
    <w:rsid w:val="003F1843"/>
    <w:rsid w:val="003F1B52"/>
    <w:rsid w:val="003F20A4"/>
    <w:rsid w:val="003F20DE"/>
    <w:rsid w:val="003F23B4"/>
    <w:rsid w:val="003F2764"/>
    <w:rsid w:val="003F2C1E"/>
    <w:rsid w:val="003F3325"/>
    <w:rsid w:val="003F340D"/>
    <w:rsid w:val="003F3C35"/>
    <w:rsid w:val="003F3FAB"/>
    <w:rsid w:val="003F40D1"/>
    <w:rsid w:val="003F4F84"/>
    <w:rsid w:val="003F50E0"/>
    <w:rsid w:val="003F516E"/>
    <w:rsid w:val="003F5716"/>
    <w:rsid w:val="003F60C2"/>
    <w:rsid w:val="003F649F"/>
    <w:rsid w:val="003F698E"/>
    <w:rsid w:val="003F69C9"/>
    <w:rsid w:val="003F6A94"/>
    <w:rsid w:val="003F704B"/>
    <w:rsid w:val="003F74D8"/>
    <w:rsid w:val="003F76F6"/>
    <w:rsid w:val="003F7758"/>
    <w:rsid w:val="003F7B4F"/>
    <w:rsid w:val="0040009D"/>
    <w:rsid w:val="004003C6"/>
    <w:rsid w:val="004008A0"/>
    <w:rsid w:val="00400D9C"/>
    <w:rsid w:val="00400E28"/>
    <w:rsid w:val="00401287"/>
    <w:rsid w:val="00401DF7"/>
    <w:rsid w:val="0040218F"/>
    <w:rsid w:val="00402274"/>
    <w:rsid w:val="004026AA"/>
    <w:rsid w:val="00402AD4"/>
    <w:rsid w:val="00402BA7"/>
    <w:rsid w:val="004031C8"/>
    <w:rsid w:val="00403D3C"/>
    <w:rsid w:val="00403F36"/>
    <w:rsid w:val="004040FE"/>
    <w:rsid w:val="00404785"/>
    <w:rsid w:val="00404F2A"/>
    <w:rsid w:val="0040554F"/>
    <w:rsid w:val="00405A1A"/>
    <w:rsid w:val="00405FB4"/>
    <w:rsid w:val="004062D7"/>
    <w:rsid w:val="004063BD"/>
    <w:rsid w:val="00406B8E"/>
    <w:rsid w:val="00406E86"/>
    <w:rsid w:val="004071AA"/>
    <w:rsid w:val="004071E1"/>
    <w:rsid w:val="00407691"/>
    <w:rsid w:val="00407B1E"/>
    <w:rsid w:val="00407B24"/>
    <w:rsid w:val="00410386"/>
    <w:rsid w:val="00410511"/>
    <w:rsid w:val="004105C1"/>
    <w:rsid w:val="00410BBB"/>
    <w:rsid w:val="00410DC1"/>
    <w:rsid w:val="004115F5"/>
    <w:rsid w:val="00411607"/>
    <w:rsid w:val="00411C04"/>
    <w:rsid w:val="00411EB7"/>
    <w:rsid w:val="00411F9F"/>
    <w:rsid w:val="00412366"/>
    <w:rsid w:val="004123F4"/>
    <w:rsid w:val="00412488"/>
    <w:rsid w:val="00413FE1"/>
    <w:rsid w:val="00414424"/>
    <w:rsid w:val="00414636"/>
    <w:rsid w:val="00414936"/>
    <w:rsid w:val="00414D29"/>
    <w:rsid w:val="0041530D"/>
    <w:rsid w:val="00415552"/>
    <w:rsid w:val="00415807"/>
    <w:rsid w:val="00416CB0"/>
    <w:rsid w:val="00416D3B"/>
    <w:rsid w:val="00416F71"/>
    <w:rsid w:val="00417349"/>
    <w:rsid w:val="00417431"/>
    <w:rsid w:val="0041773E"/>
    <w:rsid w:val="00417B83"/>
    <w:rsid w:val="00417C35"/>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500C"/>
    <w:rsid w:val="004256F0"/>
    <w:rsid w:val="004257F8"/>
    <w:rsid w:val="00425B7D"/>
    <w:rsid w:val="00425D6B"/>
    <w:rsid w:val="00426566"/>
    <w:rsid w:val="0042695B"/>
    <w:rsid w:val="004273AC"/>
    <w:rsid w:val="004276C1"/>
    <w:rsid w:val="00427CC2"/>
    <w:rsid w:val="00427DD4"/>
    <w:rsid w:val="00430244"/>
    <w:rsid w:val="00430804"/>
    <w:rsid w:val="00432EBC"/>
    <w:rsid w:val="0043363F"/>
    <w:rsid w:val="00433A2E"/>
    <w:rsid w:val="00434DF3"/>
    <w:rsid w:val="00434F69"/>
    <w:rsid w:val="00434FF6"/>
    <w:rsid w:val="00435BDC"/>
    <w:rsid w:val="00436A99"/>
    <w:rsid w:val="00436ED5"/>
    <w:rsid w:val="00436FF7"/>
    <w:rsid w:val="0043720F"/>
    <w:rsid w:val="00437592"/>
    <w:rsid w:val="00437684"/>
    <w:rsid w:val="00437B42"/>
    <w:rsid w:val="00437C27"/>
    <w:rsid w:val="00437C9C"/>
    <w:rsid w:val="0044008A"/>
    <w:rsid w:val="0044058B"/>
    <w:rsid w:val="0044094B"/>
    <w:rsid w:val="00440C19"/>
    <w:rsid w:val="0044102C"/>
    <w:rsid w:val="00441C5C"/>
    <w:rsid w:val="00441E22"/>
    <w:rsid w:val="00442016"/>
    <w:rsid w:val="00442327"/>
    <w:rsid w:val="004426ED"/>
    <w:rsid w:val="00442947"/>
    <w:rsid w:val="00442EB8"/>
    <w:rsid w:val="00442EC8"/>
    <w:rsid w:val="0044308C"/>
    <w:rsid w:val="00443C91"/>
    <w:rsid w:val="00443F4D"/>
    <w:rsid w:val="0044443D"/>
    <w:rsid w:val="00444B47"/>
    <w:rsid w:val="00444B5E"/>
    <w:rsid w:val="00445260"/>
    <w:rsid w:val="004456B2"/>
    <w:rsid w:val="00445DE3"/>
    <w:rsid w:val="00446087"/>
    <w:rsid w:val="0044611D"/>
    <w:rsid w:val="00446284"/>
    <w:rsid w:val="00446AF2"/>
    <w:rsid w:val="00446D39"/>
    <w:rsid w:val="00446FAD"/>
    <w:rsid w:val="00447064"/>
    <w:rsid w:val="0044726D"/>
    <w:rsid w:val="004476C3"/>
    <w:rsid w:val="00450428"/>
    <w:rsid w:val="00450AF0"/>
    <w:rsid w:val="00450C2E"/>
    <w:rsid w:val="00450C3E"/>
    <w:rsid w:val="00450C9D"/>
    <w:rsid w:val="00450D05"/>
    <w:rsid w:val="00450FB6"/>
    <w:rsid w:val="004510C4"/>
    <w:rsid w:val="0045182B"/>
    <w:rsid w:val="004519EA"/>
    <w:rsid w:val="00452A0A"/>
    <w:rsid w:val="00452B48"/>
    <w:rsid w:val="00452B89"/>
    <w:rsid w:val="00452EB4"/>
    <w:rsid w:val="004538E3"/>
    <w:rsid w:val="00453B5B"/>
    <w:rsid w:val="00453C6F"/>
    <w:rsid w:val="004544DA"/>
    <w:rsid w:val="00454591"/>
    <w:rsid w:val="004546AB"/>
    <w:rsid w:val="0045476B"/>
    <w:rsid w:val="0045548A"/>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A93"/>
    <w:rsid w:val="00461ABB"/>
    <w:rsid w:val="0046299E"/>
    <w:rsid w:val="0046305C"/>
    <w:rsid w:val="00463435"/>
    <w:rsid w:val="00463536"/>
    <w:rsid w:val="00463BE8"/>
    <w:rsid w:val="00464220"/>
    <w:rsid w:val="0046433D"/>
    <w:rsid w:val="00464399"/>
    <w:rsid w:val="00464E85"/>
    <w:rsid w:val="0046517B"/>
    <w:rsid w:val="00465293"/>
    <w:rsid w:val="00465503"/>
    <w:rsid w:val="00465C2D"/>
    <w:rsid w:val="00466490"/>
    <w:rsid w:val="004666A1"/>
    <w:rsid w:val="00466E88"/>
    <w:rsid w:val="004672E8"/>
    <w:rsid w:val="00467B5D"/>
    <w:rsid w:val="00467C0F"/>
    <w:rsid w:val="00467D56"/>
    <w:rsid w:val="00470144"/>
    <w:rsid w:val="00470802"/>
    <w:rsid w:val="00471044"/>
    <w:rsid w:val="0047110B"/>
    <w:rsid w:val="0047136B"/>
    <w:rsid w:val="00471AFF"/>
    <w:rsid w:val="00472108"/>
    <w:rsid w:val="00472192"/>
    <w:rsid w:val="00472374"/>
    <w:rsid w:val="00472C8E"/>
    <w:rsid w:val="004730B6"/>
    <w:rsid w:val="0047333D"/>
    <w:rsid w:val="00473624"/>
    <w:rsid w:val="00473671"/>
    <w:rsid w:val="004738EA"/>
    <w:rsid w:val="00473CFC"/>
    <w:rsid w:val="00473E5F"/>
    <w:rsid w:val="00473FB2"/>
    <w:rsid w:val="00474190"/>
    <w:rsid w:val="0047429B"/>
    <w:rsid w:val="0047450B"/>
    <w:rsid w:val="0047467E"/>
    <w:rsid w:val="00474A51"/>
    <w:rsid w:val="00474B33"/>
    <w:rsid w:val="00474C30"/>
    <w:rsid w:val="00474D75"/>
    <w:rsid w:val="00475139"/>
    <w:rsid w:val="004751CA"/>
    <w:rsid w:val="00475935"/>
    <w:rsid w:val="004762B1"/>
    <w:rsid w:val="0047667D"/>
    <w:rsid w:val="00476972"/>
    <w:rsid w:val="00476A84"/>
    <w:rsid w:val="00476EA6"/>
    <w:rsid w:val="004772AB"/>
    <w:rsid w:val="0047739F"/>
    <w:rsid w:val="00477E57"/>
    <w:rsid w:val="00477EBD"/>
    <w:rsid w:val="00480867"/>
    <w:rsid w:val="00481794"/>
    <w:rsid w:val="00481BA3"/>
    <w:rsid w:val="004822A7"/>
    <w:rsid w:val="0048239B"/>
    <w:rsid w:val="0048258F"/>
    <w:rsid w:val="00482706"/>
    <w:rsid w:val="00482834"/>
    <w:rsid w:val="00482BBD"/>
    <w:rsid w:val="00482C31"/>
    <w:rsid w:val="004831A3"/>
    <w:rsid w:val="004836FA"/>
    <w:rsid w:val="0048374D"/>
    <w:rsid w:val="00483758"/>
    <w:rsid w:val="004838CA"/>
    <w:rsid w:val="0048432C"/>
    <w:rsid w:val="004843F9"/>
    <w:rsid w:val="004848A1"/>
    <w:rsid w:val="00484FD5"/>
    <w:rsid w:val="004852D0"/>
    <w:rsid w:val="00485F83"/>
    <w:rsid w:val="004860B6"/>
    <w:rsid w:val="00486140"/>
    <w:rsid w:val="0048770D"/>
    <w:rsid w:val="004877B8"/>
    <w:rsid w:val="00487C22"/>
    <w:rsid w:val="00487D34"/>
    <w:rsid w:val="004900D9"/>
    <w:rsid w:val="00490118"/>
    <w:rsid w:val="004905CA"/>
    <w:rsid w:val="00490BDA"/>
    <w:rsid w:val="004910DF"/>
    <w:rsid w:val="004912AA"/>
    <w:rsid w:val="00491B2C"/>
    <w:rsid w:val="00491C77"/>
    <w:rsid w:val="00492045"/>
    <w:rsid w:val="0049239F"/>
    <w:rsid w:val="004924F5"/>
    <w:rsid w:val="004926E3"/>
    <w:rsid w:val="00492AA2"/>
    <w:rsid w:val="00492E2D"/>
    <w:rsid w:val="00492F01"/>
    <w:rsid w:val="00493172"/>
    <w:rsid w:val="00493487"/>
    <w:rsid w:val="00493ECF"/>
    <w:rsid w:val="00493F1B"/>
    <w:rsid w:val="004943BF"/>
    <w:rsid w:val="00494DB5"/>
    <w:rsid w:val="0049505E"/>
    <w:rsid w:val="00495175"/>
    <w:rsid w:val="00495181"/>
    <w:rsid w:val="00495402"/>
    <w:rsid w:val="0049558A"/>
    <w:rsid w:val="00495834"/>
    <w:rsid w:val="00495A27"/>
    <w:rsid w:val="00495B68"/>
    <w:rsid w:val="00495DAB"/>
    <w:rsid w:val="00495E00"/>
    <w:rsid w:val="004960DF"/>
    <w:rsid w:val="00496263"/>
    <w:rsid w:val="0049685F"/>
    <w:rsid w:val="00496D4F"/>
    <w:rsid w:val="00497465"/>
    <w:rsid w:val="004974A2"/>
    <w:rsid w:val="0049770D"/>
    <w:rsid w:val="00497C8D"/>
    <w:rsid w:val="00497E65"/>
    <w:rsid w:val="004A01ED"/>
    <w:rsid w:val="004A0B68"/>
    <w:rsid w:val="004A0D0A"/>
    <w:rsid w:val="004A1263"/>
    <w:rsid w:val="004A12BA"/>
    <w:rsid w:val="004A2129"/>
    <w:rsid w:val="004A2327"/>
    <w:rsid w:val="004A23DA"/>
    <w:rsid w:val="004A23DE"/>
    <w:rsid w:val="004A26AB"/>
    <w:rsid w:val="004A2ADC"/>
    <w:rsid w:val="004A2B24"/>
    <w:rsid w:val="004A2C55"/>
    <w:rsid w:val="004A2CA7"/>
    <w:rsid w:val="004A2E2E"/>
    <w:rsid w:val="004A37A5"/>
    <w:rsid w:val="004A3A7D"/>
    <w:rsid w:val="004A3C0E"/>
    <w:rsid w:val="004A3D2F"/>
    <w:rsid w:val="004A3E7A"/>
    <w:rsid w:val="004A48E2"/>
    <w:rsid w:val="004A4C27"/>
    <w:rsid w:val="004A4F19"/>
    <w:rsid w:val="004A4F6D"/>
    <w:rsid w:val="004A4F80"/>
    <w:rsid w:val="004A522D"/>
    <w:rsid w:val="004A53C8"/>
    <w:rsid w:val="004A5F53"/>
    <w:rsid w:val="004A63A3"/>
    <w:rsid w:val="004A66BC"/>
    <w:rsid w:val="004A68E7"/>
    <w:rsid w:val="004A6A3E"/>
    <w:rsid w:val="004A6BFE"/>
    <w:rsid w:val="004A6D02"/>
    <w:rsid w:val="004A7491"/>
    <w:rsid w:val="004A7552"/>
    <w:rsid w:val="004A7C0B"/>
    <w:rsid w:val="004A7C75"/>
    <w:rsid w:val="004B059F"/>
    <w:rsid w:val="004B0E6E"/>
    <w:rsid w:val="004B0F6F"/>
    <w:rsid w:val="004B1019"/>
    <w:rsid w:val="004B1282"/>
    <w:rsid w:val="004B1566"/>
    <w:rsid w:val="004B1638"/>
    <w:rsid w:val="004B19D0"/>
    <w:rsid w:val="004B1D47"/>
    <w:rsid w:val="004B1ECA"/>
    <w:rsid w:val="004B1F23"/>
    <w:rsid w:val="004B239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AFB"/>
    <w:rsid w:val="004B5CF3"/>
    <w:rsid w:val="004B5DD7"/>
    <w:rsid w:val="004B6B35"/>
    <w:rsid w:val="004B70E6"/>
    <w:rsid w:val="004B7280"/>
    <w:rsid w:val="004B7AC0"/>
    <w:rsid w:val="004B7BA2"/>
    <w:rsid w:val="004B7CC1"/>
    <w:rsid w:val="004C03A3"/>
    <w:rsid w:val="004C04D9"/>
    <w:rsid w:val="004C05AD"/>
    <w:rsid w:val="004C0850"/>
    <w:rsid w:val="004C0857"/>
    <w:rsid w:val="004C0A0D"/>
    <w:rsid w:val="004C147B"/>
    <w:rsid w:val="004C161C"/>
    <w:rsid w:val="004C1AB2"/>
    <w:rsid w:val="004C1F0F"/>
    <w:rsid w:val="004C3057"/>
    <w:rsid w:val="004C3C92"/>
    <w:rsid w:val="004C43DB"/>
    <w:rsid w:val="004C469A"/>
    <w:rsid w:val="004C47F9"/>
    <w:rsid w:val="004C4900"/>
    <w:rsid w:val="004C4CF6"/>
    <w:rsid w:val="004C5886"/>
    <w:rsid w:val="004C5C3B"/>
    <w:rsid w:val="004C5C6B"/>
    <w:rsid w:val="004C6114"/>
    <w:rsid w:val="004C6307"/>
    <w:rsid w:val="004C6949"/>
    <w:rsid w:val="004C69CF"/>
    <w:rsid w:val="004C7495"/>
    <w:rsid w:val="004D0024"/>
    <w:rsid w:val="004D0614"/>
    <w:rsid w:val="004D0B12"/>
    <w:rsid w:val="004D0EE9"/>
    <w:rsid w:val="004D0F5F"/>
    <w:rsid w:val="004D1193"/>
    <w:rsid w:val="004D13B9"/>
    <w:rsid w:val="004D16F6"/>
    <w:rsid w:val="004D19AD"/>
    <w:rsid w:val="004D1BE3"/>
    <w:rsid w:val="004D1F83"/>
    <w:rsid w:val="004D2158"/>
    <w:rsid w:val="004D21A7"/>
    <w:rsid w:val="004D255A"/>
    <w:rsid w:val="004D261C"/>
    <w:rsid w:val="004D2696"/>
    <w:rsid w:val="004D26DB"/>
    <w:rsid w:val="004D3381"/>
    <w:rsid w:val="004D3610"/>
    <w:rsid w:val="004D387F"/>
    <w:rsid w:val="004D390D"/>
    <w:rsid w:val="004D3AFB"/>
    <w:rsid w:val="004D40C2"/>
    <w:rsid w:val="004D4540"/>
    <w:rsid w:val="004D4635"/>
    <w:rsid w:val="004D4C9D"/>
    <w:rsid w:val="004D52DC"/>
    <w:rsid w:val="004D59C6"/>
    <w:rsid w:val="004D5AE9"/>
    <w:rsid w:val="004D5C91"/>
    <w:rsid w:val="004D5F68"/>
    <w:rsid w:val="004D5FC8"/>
    <w:rsid w:val="004D6533"/>
    <w:rsid w:val="004D67E4"/>
    <w:rsid w:val="004D6B48"/>
    <w:rsid w:val="004D6C5B"/>
    <w:rsid w:val="004D723D"/>
    <w:rsid w:val="004D7871"/>
    <w:rsid w:val="004D7ABB"/>
    <w:rsid w:val="004E000C"/>
    <w:rsid w:val="004E060A"/>
    <w:rsid w:val="004E0699"/>
    <w:rsid w:val="004E0884"/>
    <w:rsid w:val="004E1821"/>
    <w:rsid w:val="004E2195"/>
    <w:rsid w:val="004E2446"/>
    <w:rsid w:val="004E29CE"/>
    <w:rsid w:val="004E2A51"/>
    <w:rsid w:val="004E2B62"/>
    <w:rsid w:val="004E2D6C"/>
    <w:rsid w:val="004E2D89"/>
    <w:rsid w:val="004E2E92"/>
    <w:rsid w:val="004E30D1"/>
    <w:rsid w:val="004E32ED"/>
    <w:rsid w:val="004E32FD"/>
    <w:rsid w:val="004E3677"/>
    <w:rsid w:val="004E3823"/>
    <w:rsid w:val="004E3D10"/>
    <w:rsid w:val="004E4013"/>
    <w:rsid w:val="004E407C"/>
    <w:rsid w:val="004E41AF"/>
    <w:rsid w:val="004E41B1"/>
    <w:rsid w:val="004E473F"/>
    <w:rsid w:val="004E47B0"/>
    <w:rsid w:val="004E49A5"/>
    <w:rsid w:val="004E4A0D"/>
    <w:rsid w:val="004E4B1E"/>
    <w:rsid w:val="004E4C1A"/>
    <w:rsid w:val="004E4DFC"/>
    <w:rsid w:val="004E502E"/>
    <w:rsid w:val="004E52AE"/>
    <w:rsid w:val="004E56B0"/>
    <w:rsid w:val="004E586C"/>
    <w:rsid w:val="004E5C32"/>
    <w:rsid w:val="004E5ECA"/>
    <w:rsid w:val="004E6444"/>
    <w:rsid w:val="004E6DB4"/>
    <w:rsid w:val="004E6E17"/>
    <w:rsid w:val="004E6FB5"/>
    <w:rsid w:val="004E71FB"/>
    <w:rsid w:val="004E75AC"/>
    <w:rsid w:val="004E789C"/>
    <w:rsid w:val="004E7A0E"/>
    <w:rsid w:val="004E7A65"/>
    <w:rsid w:val="004E7AEF"/>
    <w:rsid w:val="004E7F14"/>
    <w:rsid w:val="004F0486"/>
    <w:rsid w:val="004F0563"/>
    <w:rsid w:val="004F0A14"/>
    <w:rsid w:val="004F0BE1"/>
    <w:rsid w:val="004F0C1C"/>
    <w:rsid w:val="004F10AF"/>
    <w:rsid w:val="004F1142"/>
    <w:rsid w:val="004F15FC"/>
    <w:rsid w:val="004F18DB"/>
    <w:rsid w:val="004F1BA0"/>
    <w:rsid w:val="004F1BA2"/>
    <w:rsid w:val="004F260D"/>
    <w:rsid w:val="004F30C8"/>
    <w:rsid w:val="004F327D"/>
    <w:rsid w:val="004F32DA"/>
    <w:rsid w:val="004F3359"/>
    <w:rsid w:val="004F38F7"/>
    <w:rsid w:val="004F3DC4"/>
    <w:rsid w:val="004F405D"/>
    <w:rsid w:val="004F42CB"/>
    <w:rsid w:val="004F448E"/>
    <w:rsid w:val="004F4600"/>
    <w:rsid w:val="004F463B"/>
    <w:rsid w:val="004F4855"/>
    <w:rsid w:val="004F4A04"/>
    <w:rsid w:val="004F4C1D"/>
    <w:rsid w:val="004F4CD0"/>
    <w:rsid w:val="004F4D99"/>
    <w:rsid w:val="004F4F6D"/>
    <w:rsid w:val="004F4F84"/>
    <w:rsid w:val="004F50BF"/>
    <w:rsid w:val="004F5807"/>
    <w:rsid w:val="004F596C"/>
    <w:rsid w:val="004F5B10"/>
    <w:rsid w:val="004F601B"/>
    <w:rsid w:val="004F60FB"/>
    <w:rsid w:val="004F649F"/>
    <w:rsid w:val="004F6AAD"/>
    <w:rsid w:val="004F6C98"/>
    <w:rsid w:val="004F6E6C"/>
    <w:rsid w:val="004F78D8"/>
    <w:rsid w:val="004F7901"/>
    <w:rsid w:val="004F7CB4"/>
    <w:rsid w:val="00500220"/>
    <w:rsid w:val="0050170E"/>
    <w:rsid w:val="00501A4C"/>
    <w:rsid w:val="00501D99"/>
    <w:rsid w:val="00501FB0"/>
    <w:rsid w:val="00501FDE"/>
    <w:rsid w:val="0050226E"/>
    <w:rsid w:val="005028D9"/>
    <w:rsid w:val="00502B2A"/>
    <w:rsid w:val="00502FF6"/>
    <w:rsid w:val="005030F5"/>
    <w:rsid w:val="00503394"/>
    <w:rsid w:val="00503919"/>
    <w:rsid w:val="00503CDD"/>
    <w:rsid w:val="00503D57"/>
    <w:rsid w:val="00503DB3"/>
    <w:rsid w:val="00503FD2"/>
    <w:rsid w:val="005047DA"/>
    <w:rsid w:val="00504CFC"/>
    <w:rsid w:val="00505979"/>
    <w:rsid w:val="00505E15"/>
    <w:rsid w:val="00505EEF"/>
    <w:rsid w:val="00506131"/>
    <w:rsid w:val="00506466"/>
    <w:rsid w:val="005067BD"/>
    <w:rsid w:val="00506B18"/>
    <w:rsid w:val="00507B8B"/>
    <w:rsid w:val="00507D3E"/>
    <w:rsid w:val="00507DFB"/>
    <w:rsid w:val="00510B81"/>
    <w:rsid w:val="00510C15"/>
    <w:rsid w:val="00511241"/>
    <w:rsid w:val="00512072"/>
    <w:rsid w:val="0051299C"/>
    <w:rsid w:val="005129E1"/>
    <w:rsid w:val="00512D4C"/>
    <w:rsid w:val="00512F79"/>
    <w:rsid w:val="005130FA"/>
    <w:rsid w:val="00513872"/>
    <w:rsid w:val="005142BD"/>
    <w:rsid w:val="00514D63"/>
    <w:rsid w:val="005153DF"/>
    <w:rsid w:val="00515452"/>
    <w:rsid w:val="0051589A"/>
    <w:rsid w:val="00515E02"/>
    <w:rsid w:val="00515E0D"/>
    <w:rsid w:val="0051617A"/>
    <w:rsid w:val="00516AC0"/>
    <w:rsid w:val="00517010"/>
    <w:rsid w:val="0051720A"/>
    <w:rsid w:val="005176D2"/>
    <w:rsid w:val="00517E80"/>
    <w:rsid w:val="005202C6"/>
    <w:rsid w:val="0052094C"/>
    <w:rsid w:val="00520B77"/>
    <w:rsid w:val="00520E13"/>
    <w:rsid w:val="00521089"/>
    <w:rsid w:val="00521302"/>
    <w:rsid w:val="005213BD"/>
    <w:rsid w:val="005215E0"/>
    <w:rsid w:val="0052254F"/>
    <w:rsid w:val="005225C4"/>
    <w:rsid w:val="005230C5"/>
    <w:rsid w:val="005230E3"/>
    <w:rsid w:val="0052325A"/>
    <w:rsid w:val="00523956"/>
    <w:rsid w:val="0052419D"/>
    <w:rsid w:val="00524627"/>
    <w:rsid w:val="00524C31"/>
    <w:rsid w:val="00524C4E"/>
    <w:rsid w:val="00524C5F"/>
    <w:rsid w:val="00524E8A"/>
    <w:rsid w:val="00525066"/>
    <w:rsid w:val="005250A4"/>
    <w:rsid w:val="005257E0"/>
    <w:rsid w:val="00525A58"/>
    <w:rsid w:val="00525ABA"/>
    <w:rsid w:val="0052769F"/>
    <w:rsid w:val="0052795F"/>
    <w:rsid w:val="00527DBD"/>
    <w:rsid w:val="00527E0E"/>
    <w:rsid w:val="00527F62"/>
    <w:rsid w:val="0053033B"/>
    <w:rsid w:val="005303FF"/>
    <w:rsid w:val="005310AB"/>
    <w:rsid w:val="00531481"/>
    <w:rsid w:val="00531898"/>
    <w:rsid w:val="00531C1D"/>
    <w:rsid w:val="0053208E"/>
    <w:rsid w:val="0053224B"/>
    <w:rsid w:val="005325AA"/>
    <w:rsid w:val="00532A26"/>
    <w:rsid w:val="00532A7B"/>
    <w:rsid w:val="00532A9E"/>
    <w:rsid w:val="005330CC"/>
    <w:rsid w:val="005336A8"/>
    <w:rsid w:val="00533735"/>
    <w:rsid w:val="00533BF8"/>
    <w:rsid w:val="00534333"/>
    <w:rsid w:val="00534404"/>
    <w:rsid w:val="005344D1"/>
    <w:rsid w:val="00534515"/>
    <w:rsid w:val="0053528F"/>
    <w:rsid w:val="00535F02"/>
    <w:rsid w:val="00535FF6"/>
    <w:rsid w:val="0053613F"/>
    <w:rsid w:val="00536315"/>
    <w:rsid w:val="00536362"/>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796"/>
    <w:rsid w:val="005428A2"/>
    <w:rsid w:val="00542B7D"/>
    <w:rsid w:val="00542C45"/>
    <w:rsid w:val="00542F75"/>
    <w:rsid w:val="00543432"/>
    <w:rsid w:val="0054344F"/>
    <w:rsid w:val="00543700"/>
    <w:rsid w:val="00544086"/>
    <w:rsid w:val="005441B0"/>
    <w:rsid w:val="00544569"/>
    <w:rsid w:val="00544655"/>
    <w:rsid w:val="00544A5D"/>
    <w:rsid w:val="00544BC9"/>
    <w:rsid w:val="00544CA6"/>
    <w:rsid w:val="00544DAE"/>
    <w:rsid w:val="00545183"/>
    <w:rsid w:val="005455C1"/>
    <w:rsid w:val="005457F0"/>
    <w:rsid w:val="0054585F"/>
    <w:rsid w:val="00545B21"/>
    <w:rsid w:val="00545B72"/>
    <w:rsid w:val="0054615F"/>
    <w:rsid w:val="00546427"/>
    <w:rsid w:val="0054674E"/>
    <w:rsid w:val="00546851"/>
    <w:rsid w:val="00546BA8"/>
    <w:rsid w:val="005472B4"/>
    <w:rsid w:val="0054750A"/>
    <w:rsid w:val="00547893"/>
    <w:rsid w:val="00547A70"/>
    <w:rsid w:val="00547A8E"/>
    <w:rsid w:val="00547B35"/>
    <w:rsid w:val="00547EB0"/>
    <w:rsid w:val="00550495"/>
    <w:rsid w:val="005507E3"/>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876"/>
    <w:rsid w:val="005529A0"/>
    <w:rsid w:val="00552A0C"/>
    <w:rsid w:val="00552AB1"/>
    <w:rsid w:val="00552ABE"/>
    <w:rsid w:val="00552D04"/>
    <w:rsid w:val="0055339A"/>
    <w:rsid w:val="005537A5"/>
    <w:rsid w:val="005538DB"/>
    <w:rsid w:val="00553949"/>
    <w:rsid w:val="00553B47"/>
    <w:rsid w:val="0055406E"/>
    <w:rsid w:val="00554240"/>
    <w:rsid w:val="00554689"/>
    <w:rsid w:val="0055479B"/>
    <w:rsid w:val="00554A8C"/>
    <w:rsid w:val="00554B01"/>
    <w:rsid w:val="00554F37"/>
    <w:rsid w:val="0055619C"/>
    <w:rsid w:val="005562D5"/>
    <w:rsid w:val="005572C8"/>
    <w:rsid w:val="005579E9"/>
    <w:rsid w:val="00557CAA"/>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67E01"/>
    <w:rsid w:val="005703D9"/>
    <w:rsid w:val="00571100"/>
    <w:rsid w:val="005719EB"/>
    <w:rsid w:val="00571AE6"/>
    <w:rsid w:val="00571E22"/>
    <w:rsid w:val="00571FBA"/>
    <w:rsid w:val="005720BF"/>
    <w:rsid w:val="0057219E"/>
    <w:rsid w:val="00572583"/>
    <w:rsid w:val="00572729"/>
    <w:rsid w:val="00573193"/>
    <w:rsid w:val="005731B3"/>
    <w:rsid w:val="0057323E"/>
    <w:rsid w:val="00573521"/>
    <w:rsid w:val="00573848"/>
    <w:rsid w:val="0057385B"/>
    <w:rsid w:val="00573D49"/>
    <w:rsid w:val="00573E58"/>
    <w:rsid w:val="0057428B"/>
    <w:rsid w:val="00574629"/>
    <w:rsid w:val="00574874"/>
    <w:rsid w:val="005748E7"/>
    <w:rsid w:val="0057514C"/>
    <w:rsid w:val="00575155"/>
    <w:rsid w:val="005757AF"/>
    <w:rsid w:val="0057587A"/>
    <w:rsid w:val="0057630C"/>
    <w:rsid w:val="0057641E"/>
    <w:rsid w:val="00576678"/>
    <w:rsid w:val="005769A0"/>
    <w:rsid w:val="00576FB0"/>
    <w:rsid w:val="0057734E"/>
    <w:rsid w:val="005777E2"/>
    <w:rsid w:val="005778ED"/>
    <w:rsid w:val="005779EC"/>
    <w:rsid w:val="005809B6"/>
    <w:rsid w:val="005810DD"/>
    <w:rsid w:val="00581B40"/>
    <w:rsid w:val="00581E9D"/>
    <w:rsid w:val="0058205F"/>
    <w:rsid w:val="005820A2"/>
    <w:rsid w:val="0058226A"/>
    <w:rsid w:val="00582418"/>
    <w:rsid w:val="0058263C"/>
    <w:rsid w:val="00582A25"/>
    <w:rsid w:val="00582C47"/>
    <w:rsid w:val="00583050"/>
    <w:rsid w:val="0058316E"/>
    <w:rsid w:val="00583294"/>
    <w:rsid w:val="005834C8"/>
    <w:rsid w:val="00583522"/>
    <w:rsid w:val="0058454D"/>
    <w:rsid w:val="00584742"/>
    <w:rsid w:val="00584AEF"/>
    <w:rsid w:val="00584BC4"/>
    <w:rsid w:val="00585A6A"/>
    <w:rsid w:val="00585C46"/>
    <w:rsid w:val="00585EF3"/>
    <w:rsid w:val="00586078"/>
    <w:rsid w:val="005860FF"/>
    <w:rsid w:val="0058640C"/>
    <w:rsid w:val="00586460"/>
    <w:rsid w:val="00586A14"/>
    <w:rsid w:val="00586E40"/>
    <w:rsid w:val="00587207"/>
    <w:rsid w:val="005873B3"/>
    <w:rsid w:val="005874FE"/>
    <w:rsid w:val="00587BC4"/>
    <w:rsid w:val="00587BDA"/>
    <w:rsid w:val="0059089C"/>
    <w:rsid w:val="00590904"/>
    <w:rsid w:val="005911E9"/>
    <w:rsid w:val="005912D3"/>
    <w:rsid w:val="0059135E"/>
    <w:rsid w:val="00591C6D"/>
    <w:rsid w:val="00592401"/>
    <w:rsid w:val="00592768"/>
    <w:rsid w:val="00592D85"/>
    <w:rsid w:val="005932B0"/>
    <w:rsid w:val="005932EE"/>
    <w:rsid w:val="005933A4"/>
    <w:rsid w:val="00593B83"/>
    <w:rsid w:val="00593CD5"/>
    <w:rsid w:val="00593E46"/>
    <w:rsid w:val="00593E9C"/>
    <w:rsid w:val="0059421A"/>
    <w:rsid w:val="00594532"/>
    <w:rsid w:val="005947B3"/>
    <w:rsid w:val="00595004"/>
    <w:rsid w:val="00595A3A"/>
    <w:rsid w:val="00595C0F"/>
    <w:rsid w:val="00595E52"/>
    <w:rsid w:val="00596021"/>
    <w:rsid w:val="005960CB"/>
    <w:rsid w:val="005962BE"/>
    <w:rsid w:val="0059643F"/>
    <w:rsid w:val="00596609"/>
    <w:rsid w:val="005972D9"/>
    <w:rsid w:val="00597493"/>
    <w:rsid w:val="00597973"/>
    <w:rsid w:val="005A143F"/>
    <w:rsid w:val="005A1B46"/>
    <w:rsid w:val="005A22E4"/>
    <w:rsid w:val="005A280D"/>
    <w:rsid w:val="005A29A0"/>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16DF"/>
    <w:rsid w:val="005B177E"/>
    <w:rsid w:val="005B2635"/>
    <w:rsid w:val="005B297B"/>
    <w:rsid w:val="005B2CF0"/>
    <w:rsid w:val="005B2E57"/>
    <w:rsid w:val="005B3065"/>
    <w:rsid w:val="005B334B"/>
    <w:rsid w:val="005B338D"/>
    <w:rsid w:val="005B39DF"/>
    <w:rsid w:val="005B3A75"/>
    <w:rsid w:val="005B3F08"/>
    <w:rsid w:val="005B40D8"/>
    <w:rsid w:val="005B486F"/>
    <w:rsid w:val="005B49F6"/>
    <w:rsid w:val="005B5078"/>
    <w:rsid w:val="005B526F"/>
    <w:rsid w:val="005B5389"/>
    <w:rsid w:val="005B567D"/>
    <w:rsid w:val="005B5D50"/>
    <w:rsid w:val="005B6C31"/>
    <w:rsid w:val="005B6DE4"/>
    <w:rsid w:val="005B6E88"/>
    <w:rsid w:val="005B7363"/>
    <w:rsid w:val="005B76CF"/>
    <w:rsid w:val="005B7BBB"/>
    <w:rsid w:val="005B7F43"/>
    <w:rsid w:val="005C0708"/>
    <w:rsid w:val="005C07E6"/>
    <w:rsid w:val="005C0AEE"/>
    <w:rsid w:val="005C0E12"/>
    <w:rsid w:val="005C1159"/>
    <w:rsid w:val="005C1871"/>
    <w:rsid w:val="005C1B6B"/>
    <w:rsid w:val="005C254C"/>
    <w:rsid w:val="005C25AC"/>
    <w:rsid w:val="005C2B04"/>
    <w:rsid w:val="005C3076"/>
    <w:rsid w:val="005C3215"/>
    <w:rsid w:val="005C3478"/>
    <w:rsid w:val="005C36ED"/>
    <w:rsid w:val="005C38AA"/>
    <w:rsid w:val="005C3A65"/>
    <w:rsid w:val="005C4129"/>
    <w:rsid w:val="005C41CA"/>
    <w:rsid w:val="005C4406"/>
    <w:rsid w:val="005C44B9"/>
    <w:rsid w:val="005C46FB"/>
    <w:rsid w:val="005C4D49"/>
    <w:rsid w:val="005C5107"/>
    <w:rsid w:val="005C51EE"/>
    <w:rsid w:val="005C552A"/>
    <w:rsid w:val="005C5E9F"/>
    <w:rsid w:val="005C61AE"/>
    <w:rsid w:val="005C6354"/>
    <w:rsid w:val="005C64EE"/>
    <w:rsid w:val="005C6566"/>
    <w:rsid w:val="005C6ED4"/>
    <w:rsid w:val="005C6F0E"/>
    <w:rsid w:val="005C7123"/>
    <w:rsid w:val="005C747A"/>
    <w:rsid w:val="005C7718"/>
    <w:rsid w:val="005C779C"/>
    <w:rsid w:val="005C77AD"/>
    <w:rsid w:val="005C78B7"/>
    <w:rsid w:val="005C79A0"/>
    <w:rsid w:val="005C7F00"/>
    <w:rsid w:val="005D02DD"/>
    <w:rsid w:val="005D0834"/>
    <w:rsid w:val="005D0DFF"/>
    <w:rsid w:val="005D0E2A"/>
    <w:rsid w:val="005D1436"/>
    <w:rsid w:val="005D149D"/>
    <w:rsid w:val="005D14F8"/>
    <w:rsid w:val="005D174B"/>
    <w:rsid w:val="005D1BB0"/>
    <w:rsid w:val="005D200F"/>
    <w:rsid w:val="005D2675"/>
    <w:rsid w:val="005D27D1"/>
    <w:rsid w:val="005D2AD0"/>
    <w:rsid w:val="005D2B18"/>
    <w:rsid w:val="005D2B6F"/>
    <w:rsid w:val="005D2BB1"/>
    <w:rsid w:val="005D2BB5"/>
    <w:rsid w:val="005D2EE7"/>
    <w:rsid w:val="005D3760"/>
    <w:rsid w:val="005D4904"/>
    <w:rsid w:val="005D4A61"/>
    <w:rsid w:val="005D5790"/>
    <w:rsid w:val="005D5C1C"/>
    <w:rsid w:val="005D646D"/>
    <w:rsid w:val="005D6614"/>
    <w:rsid w:val="005D68F3"/>
    <w:rsid w:val="005D6DC6"/>
    <w:rsid w:val="005D6DD6"/>
    <w:rsid w:val="005D6E68"/>
    <w:rsid w:val="005D70A9"/>
    <w:rsid w:val="005D737F"/>
    <w:rsid w:val="005D7598"/>
    <w:rsid w:val="005D7714"/>
    <w:rsid w:val="005D78C0"/>
    <w:rsid w:val="005D78F6"/>
    <w:rsid w:val="005D79E2"/>
    <w:rsid w:val="005D7A3A"/>
    <w:rsid w:val="005D7B99"/>
    <w:rsid w:val="005D7BD2"/>
    <w:rsid w:val="005D7D23"/>
    <w:rsid w:val="005D7FBF"/>
    <w:rsid w:val="005E0938"/>
    <w:rsid w:val="005E1786"/>
    <w:rsid w:val="005E1CEA"/>
    <w:rsid w:val="005E2129"/>
    <w:rsid w:val="005E2150"/>
    <w:rsid w:val="005E262D"/>
    <w:rsid w:val="005E2F8E"/>
    <w:rsid w:val="005E35B3"/>
    <w:rsid w:val="005E3BA1"/>
    <w:rsid w:val="005E3C66"/>
    <w:rsid w:val="005E48AA"/>
    <w:rsid w:val="005E4BDC"/>
    <w:rsid w:val="005E51EC"/>
    <w:rsid w:val="005E52D8"/>
    <w:rsid w:val="005E536F"/>
    <w:rsid w:val="005E5652"/>
    <w:rsid w:val="005E5790"/>
    <w:rsid w:val="005E588A"/>
    <w:rsid w:val="005E5C7E"/>
    <w:rsid w:val="005E6556"/>
    <w:rsid w:val="005E67B7"/>
    <w:rsid w:val="005E6B16"/>
    <w:rsid w:val="005E6DE2"/>
    <w:rsid w:val="005E6E01"/>
    <w:rsid w:val="005E7032"/>
    <w:rsid w:val="005E7452"/>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41A2"/>
    <w:rsid w:val="005F4706"/>
    <w:rsid w:val="005F4A18"/>
    <w:rsid w:val="005F4A75"/>
    <w:rsid w:val="005F4C07"/>
    <w:rsid w:val="005F4D4A"/>
    <w:rsid w:val="005F516C"/>
    <w:rsid w:val="005F52E4"/>
    <w:rsid w:val="005F536D"/>
    <w:rsid w:val="005F57E1"/>
    <w:rsid w:val="005F5AFE"/>
    <w:rsid w:val="005F5C22"/>
    <w:rsid w:val="005F5E57"/>
    <w:rsid w:val="005F5EDF"/>
    <w:rsid w:val="005F6183"/>
    <w:rsid w:val="005F62B6"/>
    <w:rsid w:val="005F6462"/>
    <w:rsid w:val="005F6842"/>
    <w:rsid w:val="005F6ED8"/>
    <w:rsid w:val="005F7039"/>
    <w:rsid w:val="005F7809"/>
    <w:rsid w:val="005F783A"/>
    <w:rsid w:val="005F7C6A"/>
    <w:rsid w:val="005F7F36"/>
    <w:rsid w:val="00600371"/>
    <w:rsid w:val="00600462"/>
    <w:rsid w:val="006005CA"/>
    <w:rsid w:val="0060090C"/>
    <w:rsid w:val="00600E75"/>
    <w:rsid w:val="00600F2E"/>
    <w:rsid w:val="006011CA"/>
    <w:rsid w:val="00601619"/>
    <w:rsid w:val="006017BC"/>
    <w:rsid w:val="006017FE"/>
    <w:rsid w:val="00601A8A"/>
    <w:rsid w:val="00601B5D"/>
    <w:rsid w:val="00601CEB"/>
    <w:rsid w:val="00602099"/>
    <w:rsid w:val="006023B2"/>
    <w:rsid w:val="006025A2"/>
    <w:rsid w:val="00602664"/>
    <w:rsid w:val="0060295B"/>
    <w:rsid w:val="006029E9"/>
    <w:rsid w:val="00602AF4"/>
    <w:rsid w:val="00603633"/>
    <w:rsid w:val="00603696"/>
    <w:rsid w:val="0060373A"/>
    <w:rsid w:val="00603A0F"/>
    <w:rsid w:val="00603B10"/>
    <w:rsid w:val="00603C76"/>
    <w:rsid w:val="00603DCC"/>
    <w:rsid w:val="00603E5F"/>
    <w:rsid w:val="006046D0"/>
    <w:rsid w:val="00604FFD"/>
    <w:rsid w:val="006055D6"/>
    <w:rsid w:val="00605C47"/>
    <w:rsid w:val="00605CBD"/>
    <w:rsid w:val="006061F9"/>
    <w:rsid w:val="006069D1"/>
    <w:rsid w:val="00606C49"/>
    <w:rsid w:val="00606E67"/>
    <w:rsid w:val="006078FA"/>
    <w:rsid w:val="00610CFC"/>
    <w:rsid w:val="00610E2B"/>
    <w:rsid w:val="00611445"/>
    <w:rsid w:val="00611BC7"/>
    <w:rsid w:val="00611C73"/>
    <w:rsid w:val="00611F42"/>
    <w:rsid w:val="00611FC2"/>
    <w:rsid w:val="00612238"/>
    <w:rsid w:val="006122DF"/>
    <w:rsid w:val="006123FE"/>
    <w:rsid w:val="00612622"/>
    <w:rsid w:val="0061263E"/>
    <w:rsid w:val="00612A69"/>
    <w:rsid w:val="00612BD2"/>
    <w:rsid w:val="00612BE6"/>
    <w:rsid w:val="00612E46"/>
    <w:rsid w:val="00613131"/>
    <w:rsid w:val="006132AD"/>
    <w:rsid w:val="006132B6"/>
    <w:rsid w:val="00613838"/>
    <w:rsid w:val="00613CB4"/>
    <w:rsid w:val="00613E94"/>
    <w:rsid w:val="00614107"/>
    <w:rsid w:val="00614245"/>
    <w:rsid w:val="00615141"/>
    <w:rsid w:val="00615609"/>
    <w:rsid w:val="00615882"/>
    <w:rsid w:val="006159EC"/>
    <w:rsid w:val="00615C61"/>
    <w:rsid w:val="0061656E"/>
    <w:rsid w:val="00616875"/>
    <w:rsid w:val="0061747B"/>
    <w:rsid w:val="006176E8"/>
    <w:rsid w:val="00620068"/>
    <w:rsid w:val="00620121"/>
    <w:rsid w:val="006201C8"/>
    <w:rsid w:val="00620541"/>
    <w:rsid w:val="006208F8"/>
    <w:rsid w:val="00620CBA"/>
    <w:rsid w:val="00620D68"/>
    <w:rsid w:val="006218AB"/>
    <w:rsid w:val="006218C5"/>
    <w:rsid w:val="0062248D"/>
    <w:rsid w:val="00622978"/>
    <w:rsid w:val="00622988"/>
    <w:rsid w:val="00622CE0"/>
    <w:rsid w:val="00622E40"/>
    <w:rsid w:val="00622ED3"/>
    <w:rsid w:val="00623146"/>
    <w:rsid w:val="00623C25"/>
    <w:rsid w:val="006240C0"/>
    <w:rsid w:val="0062480D"/>
    <w:rsid w:val="00624B0A"/>
    <w:rsid w:val="00624B65"/>
    <w:rsid w:val="00624B6F"/>
    <w:rsid w:val="006251CC"/>
    <w:rsid w:val="00625367"/>
    <w:rsid w:val="0062554B"/>
    <w:rsid w:val="006258D0"/>
    <w:rsid w:val="00625F92"/>
    <w:rsid w:val="00626E22"/>
    <w:rsid w:val="00626E78"/>
    <w:rsid w:val="006277F0"/>
    <w:rsid w:val="006277F1"/>
    <w:rsid w:val="00627E1A"/>
    <w:rsid w:val="00630263"/>
    <w:rsid w:val="0063079A"/>
    <w:rsid w:val="00630BB7"/>
    <w:rsid w:val="006313F5"/>
    <w:rsid w:val="00631A22"/>
    <w:rsid w:val="00632098"/>
    <w:rsid w:val="006326B6"/>
    <w:rsid w:val="00632A7C"/>
    <w:rsid w:val="006337CF"/>
    <w:rsid w:val="006339CF"/>
    <w:rsid w:val="00633AC8"/>
    <w:rsid w:val="00633DCA"/>
    <w:rsid w:val="00633EBC"/>
    <w:rsid w:val="0063407D"/>
    <w:rsid w:val="0063466E"/>
    <w:rsid w:val="006346DA"/>
    <w:rsid w:val="00634E6E"/>
    <w:rsid w:val="006350DD"/>
    <w:rsid w:val="006351FE"/>
    <w:rsid w:val="006359A0"/>
    <w:rsid w:val="00636106"/>
    <w:rsid w:val="00636E8C"/>
    <w:rsid w:val="00637120"/>
    <w:rsid w:val="00637316"/>
    <w:rsid w:val="006373F0"/>
    <w:rsid w:val="00637449"/>
    <w:rsid w:val="006374D2"/>
    <w:rsid w:val="00637509"/>
    <w:rsid w:val="006377DF"/>
    <w:rsid w:val="00637956"/>
    <w:rsid w:val="006401DE"/>
    <w:rsid w:val="00640336"/>
    <w:rsid w:val="00640382"/>
    <w:rsid w:val="006404D3"/>
    <w:rsid w:val="00640515"/>
    <w:rsid w:val="006406C5"/>
    <w:rsid w:val="0064070B"/>
    <w:rsid w:val="006407D9"/>
    <w:rsid w:val="006409BE"/>
    <w:rsid w:val="00640C41"/>
    <w:rsid w:val="00640E88"/>
    <w:rsid w:val="0064105C"/>
    <w:rsid w:val="006410E4"/>
    <w:rsid w:val="0064117F"/>
    <w:rsid w:val="00641630"/>
    <w:rsid w:val="00641AD8"/>
    <w:rsid w:val="00641B27"/>
    <w:rsid w:val="00641DE1"/>
    <w:rsid w:val="00641E96"/>
    <w:rsid w:val="00642308"/>
    <w:rsid w:val="0064262F"/>
    <w:rsid w:val="00642693"/>
    <w:rsid w:val="00642D37"/>
    <w:rsid w:val="00642E4F"/>
    <w:rsid w:val="00642F62"/>
    <w:rsid w:val="00643006"/>
    <w:rsid w:val="00643A18"/>
    <w:rsid w:val="00643BE2"/>
    <w:rsid w:val="00643C85"/>
    <w:rsid w:val="00643D49"/>
    <w:rsid w:val="00644868"/>
    <w:rsid w:val="00644A3B"/>
    <w:rsid w:val="00644C14"/>
    <w:rsid w:val="00644C9F"/>
    <w:rsid w:val="00645472"/>
    <w:rsid w:val="00645637"/>
    <w:rsid w:val="006459E2"/>
    <w:rsid w:val="00645C60"/>
    <w:rsid w:val="0064663C"/>
    <w:rsid w:val="006469D6"/>
    <w:rsid w:val="00646D13"/>
    <w:rsid w:val="00647BC9"/>
    <w:rsid w:val="00647C5A"/>
    <w:rsid w:val="00647D67"/>
    <w:rsid w:val="00647EF2"/>
    <w:rsid w:val="00650173"/>
    <w:rsid w:val="006502E3"/>
    <w:rsid w:val="0065101E"/>
    <w:rsid w:val="006512C1"/>
    <w:rsid w:val="006512CB"/>
    <w:rsid w:val="0065142A"/>
    <w:rsid w:val="00651688"/>
    <w:rsid w:val="0065178C"/>
    <w:rsid w:val="006518B7"/>
    <w:rsid w:val="00651AEA"/>
    <w:rsid w:val="00651B15"/>
    <w:rsid w:val="00651EE2"/>
    <w:rsid w:val="00652356"/>
    <w:rsid w:val="006527C9"/>
    <w:rsid w:val="00652FD7"/>
    <w:rsid w:val="00653F82"/>
    <w:rsid w:val="006545D7"/>
    <w:rsid w:val="006546B7"/>
    <w:rsid w:val="00654BAE"/>
    <w:rsid w:val="00654BDE"/>
    <w:rsid w:val="00654EF6"/>
    <w:rsid w:val="00655CCC"/>
    <w:rsid w:val="0065616D"/>
    <w:rsid w:val="006562D0"/>
    <w:rsid w:val="006563F3"/>
    <w:rsid w:val="006566AA"/>
    <w:rsid w:val="0065671C"/>
    <w:rsid w:val="00656F28"/>
    <w:rsid w:val="00656F80"/>
    <w:rsid w:val="006573BE"/>
    <w:rsid w:val="0066038B"/>
    <w:rsid w:val="00660BFA"/>
    <w:rsid w:val="00660D10"/>
    <w:rsid w:val="00661066"/>
    <w:rsid w:val="00661608"/>
    <w:rsid w:val="0066262B"/>
    <w:rsid w:val="00662949"/>
    <w:rsid w:val="00662CA5"/>
    <w:rsid w:val="0066355E"/>
    <w:rsid w:val="00663580"/>
    <w:rsid w:val="00663607"/>
    <w:rsid w:val="00663DFF"/>
    <w:rsid w:val="00663E55"/>
    <w:rsid w:val="00663E99"/>
    <w:rsid w:val="00664277"/>
    <w:rsid w:val="006644BB"/>
    <w:rsid w:val="0066452B"/>
    <w:rsid w:val="00664960"/>
    <w:rsid w:val="00664AA1"/>
    <w:rsid w:val="00664FE6"/>
    <w:rsid w:val="006651B5"/>
    <w:rsid w:val="0066581A"/>
    <w:rsid w:val="006659AB"/>
    <w:rsid w:val="006659D5"/>
    <w:rsid w:val="00665CD1"/>
    <w:rsid w:val="00665E06"/>
    <w:rsid w:val="00665E22"/>
    <w:rsid w:val="0066673C"/>
    <w:rsid w:val="00666D8E"/>
    <w:rsid w:val="006671B4"/>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C9A"/>
    <w:rsid w:val="00671EA0"/>
    <w:rsid w:val="00671EF1"/>
    <w:rsid w:val="006730F1"/>
    <w:rsid w:val="00673763"/>
    <w:rsid w:val="006738EC"/>
    <w:rsid w:val="00673905"/>
    <w:rsid w:val="006739B9"/>
    <w:rsid w:val="00673B65"/>
    <w:rsid w:val="00673C12"/>
    <w:rsid w:val="00673C8D"/>
    <w:rsid w:val="00673DA1"/>
    <w:rsid w:val="00674898"/>
    <w:rsid w:val="006750FE"/>
    <w:rsid w:val="00675229"/>
    <w:rsid w:val="0067525C"/>
    <w:rsid w:val="00675504"/>
    <w:rsid w:val="0067554D"/>
    <w:rsid w:val="00675A2C"/>
    <w:rsid w:val="006765D1"/>
    <w:rsid w:val="006766BB"/>
    <w:rsid w:val="006767A3"/>
    <w:rsid w:val="00676984"/>
    <w:rsid w:val="006769CD"/>
    <w:rsid w:val="0067704A"/>
    <w:rsid w:val="006772D2"/>
    <w:rsid w:val="006772E5"/>
    <w:rsid w:val="006773DB"/>
    <w:rsid w:val="0067754A"/>
    <w:rsid w:val="00677650"/>
    <w:rsid w:val="00677A30"/>
    <w:rsid w:val="00677D1E"/>
    <w:rsid w:val="0068006C"/>
    <w:rsid w:val="006800A3"/>
    <w:rsid w:val="00680295"/>
    <w:rsid w:val="006806EE"/>
    <w:rsid w:val="0068092A"/>
    <w:rsid w:val="00680A23"/>
    <w:rsid w:val="00680E3C"/>
    <w:rsid w:val="006819B7"/>
    <w:rsid w:val="006820D2"/>
    <w:rsid w:val="00682544"/>
    <w:rsid w:val="006825B6"/>
    <w:rsid w:val="00682846"/>
    <w:rsid w:val="006834D6"/>
    <w:rsid w:val="0068360F"/>
    <w:rsid w:val="006843CF"/>
    <w:rsid w:val="00684486"/>
    <w:rsid w:val="00684686"/>
    <w:rsid w:val="0068474B"/>
    <w:rsid w:val="006854AB"/>
    <w:rsid w:val="00685D68"/>
    <w:rsid w:val="00686786"/>
    <w:rsid w:val="00686C3D"/>
    <w:rsid w:val="00686E9D"/>
    <w:rsid w:val="006871EE"/>
    <w:rsid w:val="006872C3"/>
    <w:rsid w:val="0068782D"/>
    <w:rsid w:val="00687A7F"/>
    <w:rsid w:val="00687AE3"/>
    <w:rsid w:val="00687CC2"/>
    <w:rsid w:val="00687E95"/>
    <w:rsid w:val="006902B2"/>
    <w:rsid w:val="00690729"/>
    <w:rsid w:val="00690CB1"/>
    <w:rsid w:val="006910DB"/>
    <w:rsid w:val="0069138B"/>
    <w:rsid w:val="006913A8"/>
    <w:rsid w:val="006914A3"/>
    <w:rsid w:val="00691E79"/>
    <w:rsid w:val="00692332"/>
    <w:rsid w:val="006926EB"/>
    <w:rsid w:val="00692D73"/>
    <w:rsid w:val="00693853"/>
    <w:rsid w:val="006938A8"/>
    <w:rsid w:val="00693ABF"/>
    <w:rsid w:val="00693B86"/>
    <w:rsid w:val="00694E22"/>
    <w:rsid w:val="00695207"/>
    <w:rsid w:val="00695271"/>
    <w:rsid w:val="00695359"/>
    <w:rsid w:val="006959B5"/>
    <w:rsid w:val="00696061"/>
    <w:rsid w:val="006966C6"/>
    <w:rsid w:val="0069699C"/>
    <w:rsid w:val="006969DB"/>
    <w:rsid w:val="00696A1E"/>
    <w:rsid w:val="00696A4A"/>
    <w:rsid w:val="00697554"/>
    <w:rsid w:val="00697A80"/>
    <w:rsid w:val="00697CCF"/>
    <w:rsid w:val="00697CE8"/>
    <w:rsid w:val="00697DE5"/>
    <w:rsid w:val="00697FA5"/>
    <w:rsid w:val="006A092C"/>
    <w:rsid w:val="006A0F57"/>
    <w:rsid w:val="006A1646"/>
    <w:rsid w:val="006A175A"/>
    <w:rsid w:val="006A24A8"/>
    <w:rsid w:val="006A29AB"/>
    <w:rsid w:val="006A2C0D"/>
    <w:rsid w:val="006A2F05"/>
    <w:rsid w:val="006A3412"/>
    <w:rsid w:val="006A393E"/>
    <w:rsid w:val="006A40A6"/>
    <w:rsid w:val="006A464C"/>
    <w:rsid w:val="006A4916"/>
    <w:rsid w:val="006A4B26"/>
    <w:rsid w:val="006A4C58"/>
    <w:rsid w:val="006A4CD3"/>
    <w:rsid w:val="006A5414"/>
    <w:rsid w:val="006A55A3"/>
    <w:rsid w:val="006A5DBD"/>
    <w:rsid w:val="006A5EBB"/>
    <w:rsid w:val="006A6273"/>
    <w:rsid w:val="006A6605"/>
    <w:rsid w:val="006A668B"/>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1D7B"/>
    <w:rsid w:val="006B231E"/>
    <w:rsid w:val="006B25A9"/>
    <w:rsid w:val="006B2877"/>
    <w:rsid w:val="006B2893"/>
    <w:rsid w:val="006B2AC8"/>
    <w:rsid w:val="006B38FD"/>
    <w:rsid w:val="006B3CDF"/>
    <w:rsid w:val="006B3E5B"/>
    <w:rsid w:val="006B456F"/>
    <w:rsid w:val="006B49F1"/>
    <w:rsid w:val="006B5302"/>
    <w:rsid w:val="006B5413"/>
    <w:rsid w:val="006B5414"/>
    <w:rsid w:val="006B5769"/>
    <w:rsid w:val="006B596F"/>
    <w:rsid w:val="006B5F44"/>
    <w:rsid w:val="006B619C"/>
    <w:rsid w:val="006B61A4"/>
    <w:rsid w:val="006B6C73"/>
    <w:rsid w:val="006B7331"/>
    <w:rsid w:val="006B73D7"/>
    <w:rsid w:val="006B7491"/>
    <w:rsid w:val="006B7561"/>
    <w:rsid w:val="006B783F"/>
    <w:rsid w:val="006B7896"/>
    <w:rsid w:val="006B78E1"/>
    <w:rsid w:val="006B7AA0"/>
    <w:rsid w:val="006C00AA"/>
    <w:rsid w:val="006C0766"/>
    <w:rsid w:val="006C0E2F"/>
    <w:rsid w:val="006C0EC1"/>
    <w:rsid w:val="006C1227"/>
    <w:rsid w:val="006C12B6"/>
    <w:rsid w:val="006C137C"/>
    <w:rsid w:val="006C1412"/>
    <w:rsid w:val="006C14DD"/>
    <w:rsid w:val="006C177D"/>
    <w:rsid w:val="006C1FDD"/>
    <w:rsid w:val="006C247C"/>
    <w:rsid w:val="006C2599"/>
    <w:rsid w:val="006C2766"/>
    <w:rsid w:val="006C2939"/>
    <w:rsid w:val="006C2E2C"/>
    <w:rsid w:val="006C3583"/>
    <w:rsid w:val="006C393A"/>
    <w:rsid w:val="006C437E"/>
    <w:rsid w:val="006C4C17"/>
    <w:rsid w:val="006C5571"/>
    <w:rsid w:val="006C5904"/>
    <w:rsid w:val="006C5B9B"/>
    <w:rsid w:val="006C5CC4"/>
    <w:rsid w:val="006C6301"/>
    <w:rsid w:val="006C6454"/>
    <w:rsid w:val="006C685E"/>
    <w:rsid w:val="006C6904"/>
    <w:rsid w:val="006C697F"/>
    <w:rsid w:val="006C6B15"/>
    <w:rsid w:val="006C6EC7"/>
    <w:rsid w:val="006C6FA0"/>
    <w:rsid w:val="006C72DD"/>
    <w:rsid w:val="006C73D3"/>
    <w:rsid w:val="006C7507"/>
    <w:rsid w:val="006C7771"/>
    <w:rsid w:val="006C7BE5"/>
    <w:rsid w:val="006C7D05"/>
    <w:rsid w:val="006C7F94"/>
    <w:rsid w:val="006D0BDE"/>
    <w:rsid w:val="006D0CF1"/>
    <w:rsid w:val="006D0F26"/>
    <w:rsid w:val="006D0F7A"/>
    <w:rsid w:val="006D12C3"/>
    <w:rsid w:val="006D15FC"/>
    <w:rsid w:val="006D17D3"/>
    <w:rsid w:val="006D1B21"/>
    <w:rsid w:val="006D20D6"/>
    <w:rsid w:val="006D22DD"/>
    <w:rsid w:val="006D245A"/>
    <w:rsid w:val="006D2624"/>
    <w:rsid w:val="006D276D"/>
    <w:rsid w:val="006D2795"/>
    <w:rsid w:val="006D289D"/>
    <w:rsid w:val="006D2981"/>
    <w:rsid w:val="006D2984"/>
    <w:rsid w:val="006D29C4"/>
    <w:rsid w:val="006D2D35"/>
    <w:rsid w:val="006D3C67"/>
    <w:rsid w:val="006D3E32"/>
    <w:rsid w:val="006D4343"/>
    <w:rsid w:val="006D47B6"/>
    <w:rsid w:val="006D4848"/>
    <w:rsid w:val="006D4A20"/>
    <w:rsid w:val="006D4B11"/>
    <w:rsid w:val="006D4CF0"/>
    <w:rsid w:val="006D4DFF"/>
    <w:rsid w:val="006D52F9"/>
    <w:rsid w:val="006D550F"/>
    <w:rsid w:val="006D5568"/>
    <w:rsid w:val="006D5571"/>
    <w:rsid w:val="006D5D69"/>
    <w:rsid w:val="006D5EDF"/>
    <w:rsid w:val="006D62B8"/>
    <w:rsid w:val="006D634A"/>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7E7"/>
    <w:rsid w:val="006E4980"/>
    <w:rsid w:val="006E4BEE"/>
    <w:rsid w:val="006E4EC9"/>
    <w:rsid w:val="006E50B3"/>
    <w:rsid w:val="006E55DF"/>
    <w:rsid w:val="006E5CE9"/>
    <w:rsid w:val="006E5DF8"/>
    <w:rsid w:val="006E5E74"/>
    <w:rsid w:val="006E659F"/>
    <w:rsid w:val="006E6BCB"/>
    <w:rsid w:val="006E6CDD"/>
    <w:rsid w:val="006E7146"/>
    <w:rsid w:val="006E7211"/>
    <w:rsid w:val="006E7383"/>
    <w:rsid w:val="006E758C"/>
    <w:rsid w:val="006E759D"/>
    <w:rsid w:val="006E769B"/>
    <w:rsid w:val="006E77B9"/>
    <w:rsid w:val="006E79CE"/>
    <w:rsid w:val="006F01B1"/>
    <w:rsid w:val="006F038E"/>
    <w:rsid w:val="006F0AF2"/>
    <w:rsid w:val="006F0B96"/>
    <w:rsid w:val="006F0F39"/>
    <w:rsid w:val="006F0F5C"/>
    <w:rsid w:val="006F0F97"/>
    <w:rsid w:val="006F0F9E"/>
    <w:rsid w:val="006F15FC"/>
    <w:rsid w:val="006F1B12"/>
    <w:rsid w:val="006F1D69"/>
    <w:rsid w:val="006F1F01"/>
    <w:rsid w:val="006F20F6"/>
    <w:rsid w:val="006F2283"/>
    <w:rsid w:val="006F22B9"/>
    <w:rsid w:val="006F26A9"/>
    <w:rsid w:val="006F2738"/>
    <w:rsid w:val="006F2B76"/>
    <w:rsid w:val="006F3029"/>
    <w:rsid w:val="006F3100"/>
    <w:rsid w:val="006F325F"/>
    <w:rsid w:val="006F3367"/>
    <w:rsid w:val="006F3422"/>
    <w:rsid w:val="006F3593"/>
    <w:rsid w:val="006F383D"/>
    <w:rsid w:val="006F391B"/>
    <w:rsid w:val="006F3CE8"/>
    <w:rsid w:val="006F42DC"/>
    <w:rsid w:val="006F4714"/>
    <w:rsid w:val="006F47A1"/>
    <w:rsid w:val="006F4B59"/>
    <w:rsid w:val="006F4BB0"/>
    <w:rsid w:val="006F5356"/>
    <w:rsid w:val="006F577D"/>
    <w:rsid w:val="006F585E"/>
    <w:rsid w:val="006F6D10"/>
    <w:rsid w:val="006F72AE"/>
    <w:rsid w:val="006F7B86"/>
    <w:rsid w:val="006F7CD7"/>
    <w:rsid w:val="0070074B"/>
    <w:rsid w:val="0070088A"/>
    <w:rsid w:val="00700D8E"/>
    <w:rsid w:val="00700F26"/>
    <w:rsid w:val="007011C5"/>
    <w:rsid w:val="00701A32"/>
    <w:rsid w:val="00701C0D"/>
    <w:rsid w:val="00701C2C"/>
    <w:rsid w:val="00701ED8"/>
    <w:rsid w:val="00701EFE"/>
    <w:rsid w:val="0070227C"/>
    <w:rsid w:val="00702425"/>
    <w:rsid w:val="007027E3"/>
    <w:rsid w:val="007027E9"/>
    <w:rsid w:val="0070287F"/>
    <w:rsid w:val="00702FD5"/>
    <w:rsid w:val="007032CA"/>
    <w:rsid w:val="007035DC"/>
    <w:rsid w:val="007037D6"/>
    <w:rsid w:val="007038F8"/>
    <w:rsid w:val="00703BAB"/>
    <w:rsid w:val="00703D6E"/>
    <w:rsid w:val="00704F37"/>
    <w:rsid w:val="00706419"/>
    <w:rsid w:val="00706638"/>
    <w:rsid w:val="00706D7E"/>
    <w:rsid w:val="00707357"/>
    <w:rsid w:val="00707F24"/>
    <w:rsid w:val="007100C5"/>
    <w:rsid w:val="00710166"/>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E18"/>
    <w:rsid w:val="00714093"/>
    <w:rsid w:val="00714593"/>
    <w:rsid w:val="00714598"/>
    <w:rsid w:val="00715061"/>
    <w:rsid w:val="00715076"/>
    <w:rsid w:val="00715326"/>
    <w:rsid w:val="007153BB"/>
    <w:rsid w:val="00715799"/>
    <w:rsid w:val="00715B99"/>
    <w:rsid w:val="00715E35"/>
    <w:rsid w:val="0071711A"/>
    <w:rsid w:val="0071791A"/>
    <w:rsid w:val="00717BCE"/>
    <w:rsid w:val="00717F14"/>
    <w:rsid w:val="00720008"/>
    <w:rsid w:val="0072024F"/>
    <w:rsid w:val="0072034F"/>
    <w:rsid w:val="0072054F"/>
    <w:rsid w:val="00720D17"/>
    <w:rsid w:val="00721099"/>
    <w:rsid w:val="00721626"/>
    <w:rsid w:val="00721773"/>
    <w:rsid w:val="0072177B"/>
    <w:rsid w:val="00721925"/>
    <w:rsid w:val="00721A5F"/>
    <w:rsid w:val="00721ABB"/>
    <w:rsid w:val="00721C73"/>
    <w:rsid w:val="00721C88"/>
    <w:rsid w:val="00721FE1"/>
    <w:rsid w:val="00721FED"/>
    <w:rsid w:val="00722237"/>
    <w:rsid w:val="00722543"/>
    <w:rsid w:val="00722915"/>
    <w:rsid w:val="00722CAF"/>
    <w:rsid w:val="00722EB4"/>
    <w:rsid w:val="00722EBA"/>
    <w:rsid w:val="00723170"/>
    <w:rsid w:val="00723504"/>
    <w:rsid w:val="00723B70"/>
    <w:rsid w:val="00723C22"/>
    <w:rsid w:val="007244BA"/>
    <w:rsid w:val="00724E53"/>
    <w:rsid w:val="0072535D"/>
    <w:rsid w:val="00725689"/>
    <w:rsid w:val="007259EF"/>
    <w:rsid w:val="0072652D"/>
    <w:rsid w:val="00726F58"/>
    <w:rsid w:val="007276FE"/>
    <w:rsid w:val="00727F69"/>
    <w:rsid w:val="0073012E"/>
    <w:rsid w:val="00730518"/>
    <w:rsid w:val="007306CA"/>
    <w:rsid w:val="00730714"/>
    <w:rsid w:val="00730817"/>
    <w:rsid w:val="00730BA6"/>
    <w:rsid w:val="00730F79"/>
    <w:rsid w:val="007312E9"/>
    <w:rsid w:val="007314D0"/>
    <w:rsid w:val="00731650"/>
    <w:rsid w:val="0073167D"/>
    <w:rsid w:val="00731DEA"/>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905"/>
    <w:rsid w:val="00740D08"/>
    <w:rsid w:val="0074132B"/>
    <w:rsid w:val="0074155B"/>
    <w:rsid w:val="00741B84"/>
    <w:rsid w:val="00741CA7"/>
    <w:rsid w:val="007421B8"/>
    <w:rsid w:val="00742419"/>
    <w:rsid w:val="007427BF"/>
    <w:rsid w:val="00742CE6"/>
    <w:rsid w:val="007434F1"/>
    <w:rsid w:val="00743AE4"/>
    <w:rsid w:val="00743D6F"/>
    <w:rsid w:val="007442AF"/>
    <w:rsid w:val="0074495E"/>
    <w:rsid w:val="00744A17"/>
    <w:rsid w:val="00744C0B"/>
    <w:rsid w:val="00744CD0"/>
    <w:rsid w:val="00744E23"/>
    <w:rsid w:val="00744F08"/>
    <w:rsid w:val="00745192"/>
    <w:rsid w:val="00745421"/>
    <w:rsid w:val="00745F15"/>
    <w:rsid w:val="00745FC7"/>
    <w:rsid w:val="00746185"/>
    <w:rsid w:val="00746482"/>
    <w:rsid w:val="0074655C"/>
    <w:rsid w:val="007466D0"/>
    <w:rsid w:val="00746A18"/>
    <w:rsid w:val="00746DCD"/>
    <w:rsid w:val="00747053"/>
    <w:rsid w:val="00747106"/>
    <w:rsid w:val="0074733C"/>
    <w:rsid w:val="00747F08"/>
    <w:rsid w:val="00747F28"/>
    <w:rsid w:val="00747F2F"/>
    <w:rsid w:val="00747F8A"/>
    <w:rsid w:val="00747FB9"/>
    <w:rsid w:val="007507AB"/>
    <w:rsid w:val="00750DBD"/>
    <w:rsid w:val="00751024"/>
    <w:rsid w:val="00751FE8"/>
    <w:rsid w:val="007527D2"/>
    <w:rsid w:val="00752AC2"/>
    <w:rsid w:val="00752B9E"/>
    <w:rsid w:val="0075321D"/>
    <w:rsid w:val="007534B1"/>
    <w:rsid w:val="00753FA6"/>
    <w:rsid w:val="007541E6"/>
    <w:rsid w:val="00754472"/>
    <w:rsid w:val="007547DE"/>
    <w:rsid w:val="00754C17"/>
    <w:rsid w:val="007554E8"/>
    <w:rsid w:val="007556F5"/>
    <w:rsid w:val="00755890"/>
    <w:rsid w:val="00755B76"/>
    <w:rsid w:val="00755E5D"/>
    <w:rsid w:val="007563C9"/>
    <w:rsid w:val="0075662D"/>
    <w:rsid w:val="00756BA2"/>
    <w:rsid w:val="00756C45"/>
    <w:rsid w:val="007578FE"/>
    <w:rsid w:val="00757B85"/>
    <w:rsid w:val="00757CA5"/>
    <w:rsid w:val="00757E63"/>
    <w:rsid w:val="0076072A"/>
    <w:rsid w:val="007608C3"/>
    <w:rsid w:val="007612B0"/>
    <w:rsid w:val="00761B1E"/>
    <w:rsid w:val="007623EB"/>
    <w:rsid w:val="0076258B"/>
    <w:rsid w:val="007626D6"/>
    <w:rsid w:val="00762CE9"/>
    <w:rsid w:val="00762F17"/>
    <w:rsid w:val="007631D5"/>
    <w:rsid w:val="00763A71"/>
    <w:rsid w:val="007642C0"/>
    <w:rsid w:val="007656A8"/>
    <w:rsid w:val="00765759"/>
    <w:rsid w:val="00765C70"/>
    <w:rsid w:val="00765F75"/>
    <w:rsid w:val="007662B2"/>
    <w:rsid w:val="007667A1"/>
    <w:rsid w:val="007669E0"/>
    <w:rsid w:val="00766DB0"/>
    <w:rsid w:val="00767CEB"/>
    <w:rsid w:val="00767E82"/>
    <w:rsid w:val="0077017C"/>
    <w:rsid w:val="007709DA"/>
    <w:rsid w:val="00770B47"/>
    <w:rsid w:val="00770C53"/>
    <w:rsid w:val="00770E20"/>
    <w:rsid w:val="00771135"/>
    <w:rsid w:val="007713EE"/>
    <w:rsid w:val="007722A8"/>
    <w:rsid w:val="00772654"/>
    <w:rsid w:val="00772D23"/>
    <w:rsid w:val="00772FEB"/>
    <w:rsid w:val="00773150"/>
    <w:rsid w:val="0077344F"/>
    <w:rsid w:val="00773788"/>
    <w:rsid w:val="00773C2C"/>
    <w:rsid w:val="00774441"/>
    <w:rsid w:val="007752A9"/>
    <w:rsid w:val="007754A4"/>
    <w:rsid w:val="0077573C"/>
    <w:rsid w:val="00775746"/>
    <w:rsid w:val="007758E2"/>
    <w:rsid w:val="00775AAC"/>
    <w:rsid w:val="00775B76"/>
    <w:rsid w:val="00775F9F"/>
    <w:rsid w:val="00776211"/>
    <w:rsid w:val="00776590"/>
    <w:rsid w:val="0077677F"/>
    <w:rsid w:val="00776EE9"/>
    <w:rsid w:val="007770D0"/>
    <w:rsid w:val="007778C5"/>
    <w:rsid w:val="007800A3"/>
    <w:rsid w:val="007800A6"/>
    <w:rsid w:val="007804F8"/>
    <w:rsid w:val="0078103E"/>
    <w:rsid w:val="007811CE"/>
    <w:rsid w:val="00781BDB"/>
    <w:rsid w:val="00781C30"/>
    <w:rsid w:val="007830EB"/>
    <w:rsid w:val="007831D8"/>
    <w:rsid w:val="007835AF"/>
    <w:rsid w:val="007835E7"/>
    <w:rsid w:val="007836BA"/>
    <w:rsid w:val="007836FD"/>
    <w:rsid w:val="007837C5"/>
    <w:rsid w:val="0078384C"/>
    <w:rsid w:val="00783D36"/>
    <w:rsid w:val="00784227"/>
    <w:rsid w:val="007846A1"/>
    <w:rsid w:val="007849FE"/>
    <w:rsid w:val="00785009"/>
    <w:rsid w:val="007850CC"/>
    <w:rsid w:val="007857A2"/>
    <w:rsid w:val="0078594D"/>
    <w:rsid w:val="00785B98"/>
    <w:rsid w:val="0078602F"/>
    <w:rsid w:val="00786288"/>
    <w:rsid w:val="007863E4"/>
    <w:rsid w:val="007867C4"/>
    <w:rsid w:val="00786B7C"/>
    <w:rsid w:val="00786FC1"/>
    <w:rsid w:val="007872EF"/>
    <w:rsid w:val="00787374"/>
    <w:rsid w:val="0078797B"/>
    <w:rsid w:val="007905AE"/>
    <w:rsid w:val="007907AE"/>
    <w:rsid w:val="007908E6"/>
    <w:rsid w:val="00790966"/>
    <w:rsid w:val="007909A2"/>
    <w:rsid w:val="00790F7F"/>
    <w:rsid w:val="00790F82"/>
    <w:rsid w:val="00791055"/>
    <w:rsid w:val="00791068"/>
    <w:rsid w:val="007912CD"/>
    <w:rsid w:val="00791663"/>
    <w:rsid w:val="00791ADB"/>
    <w:rsid w:val="00791C11"/>
    <w:rsid w:val="007921AC"/>
    <w:rsid w:val="007924C4"/>
    <w:rsid w:val="00792A08"/>
    <w:rsid w:val="00792A77"/>
    <w:rsid w:val="00792C19"/>
    <w:rsid w:val="00792D43"/>
    <w:rsid w:val="00792D7F"/>
    <w:rsid w:val="007930C3"/>
    <w:rsid w:val="00793574"/>
    <w:rsid w:val="00793942"/>
    <w:rsid w:val="007939AE"/>
    <w:rsid w:val="00793A5A"/>
    <w:rsid w:val="007944BF"/>
    <w:rsid w:val="00794A2E"/>
    <w:rsid w:val="00794AA0"/>
    <w:rsid w:val="00794EA4"/>
    <w:rsid w:val="00794FC8"/>
    <w:rsid w:val="007950E3"/>
    <w:rsid w:val="0079527C"/>
    <w:rsid w:val="0079545D"/>
    <w:rsid w:val="007954C1"/>
    <w:rsid w:val="00795694"/>
    <w:rsid w:val="0079574A"/>
    <w:rsid w:val="00795A6B"/>
    <w:rsid w:val="00795CC9"/>
    <w:rsid w:val="0079658D"/>
    <w:rsid w:val="00796831"/>
    <w:rsid w:val="007969A7"/>
    <w:rsid w:val="00796AA4"/>
    <w:rsid w:val="00796DBE"/>
    <w:rsid w:val="00797135"/>
    <w:rsid w:val="00797F24"/>
    <w:rsid w:val="007A01DE"/>
    <w:rsid w:val="007A0226"/>
    <w:rsid w:val="007A0A3B"/>
    <w:rsid w:val="007A13F1"/>
    <w:rsid w:val="007A143E"/>
    <w:rsid w:val="007A1619"/>
    <w:rsid w:val="007A1D8A"/>
    <w:rsid w:val="007A20A4"/>
    <w:rsid w:val="007A2778"/>
    <w:rsid w:val="007A2A31"/>
    <w:rsid w:val="007A2E9B"/>
    <w:rsid w:val="007A3837"/>
    <w:rsid w:val="007A3BA1"/>
    <w:rsid w:val="007A3E3E"/>
    <w:rsid w:val="007A442E"/>
    <w:rsid w:val="007A45EF"/>
    <w:rsid w:val="007A4896"/>
    <w:rsid w:val="007A5C98"/>
    <w:rsid w:val="007A5CA4"/>
    <w:rsid w:val="007A5E38"/>
    <w:rsid w:val="007A6005"/>
    <w:rsid w:val="007A6050"/>
    <w:rsid w:val="007A618F"/>
    <w:rsid w:val="007A63BE"/>
    <w:rsid w:val="007A6400"/>
    <w:rsid w:val="007A688C"/>
    <w:rsid w:val="007A715D"/>
    <w:rsid w:val="007A721A"/>
    <w:rsid w:val="007A7446"/>
    <w:rsid w:val="007A7525"/>
    <w:rsid w:val="007A7E58"/>
    <w:rsid w:val="007A7E9B"/>
    <w:rsid w:val="007B02DA"/>
    <w:rsid w:val="007B03F4"/>
    <w:rsid w:val="007B0869"/>
    <w:rsid w:val="007B0B13"/>
    <w:rsid w:val="007B0CF4"/>
    <w:rsid w:val="007B103F"/>
    <w:rsid w:val="007B11D4"/>
    <w:rsid w:val="007B1478"/>
    <w:rsid w:val="007B1DF4"/>
    <w:rsid w:val="007B1F6F"/>
    <w:rsid w:val="007B2D9F"/>
    <w:rsid w:val="007B2F75"/>
    <w:rsid w:val="007B3489"/>
    <w:rsid w:val="007B39F5"/>
    <w:rsid w:val="007B3A36"/>
    <w:rsid w:val="007B3A96"/>
    <w:rsid w:val="007B3AC3"/>
    <w:rsid w:val="007B3F6C"/>
    <w:rsid w:val="007B4685"/>
    <w:rsid w:val="007B468B"/>
    <w:rsid w:val="007B48AA"/>
    <w:rsid w:val="007B48AC"/>
    <w:rsid w:val="007B4919"/>
    <w:rsid w:val="007B4F6F"/>
    <w:rsid w:val="007B4FFA"/>
    <w:rsid w:val="007B5201"/>
    <w:rsid w:val="007B54D2"/>
    <w:rsid w:val="007B55D6"/>
    <w:rsid w:val="007B58A7"/>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19B"/>
    <w:rsid w:val="007C11E9"/>
    <w:rsid w:val="007C1293"/>
    <w:rsid w:val="007C1620"/>
    <w:rsid w:val="007C1E6F"/>
    <w:rsid w:val="007C2157"/>
    <w:rsid w:val="007C236A"/>
    <w:rsid w:val="007C2429"/>
    <w:rsid w:val="007C2609"/>
    <w:rsid w:val="007C282B"/>
    <w:rsid w:val="007C28A6"/>
    <w:rsid w:val="007C28B1"/>
    <w:rsid w:val="007C32CF"/>
    <w:rsid w:val="007C32D4"/>
    <w:rsid w:val="007C334A"/>
    <w:rsid w:val="007C34C8"/>
    <w:rsid w:val="007C35E6"/>
    <w:rsid w:val="007C3DE4"/>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6994"/>
    <w:rsid w:val="007C6F1E"/>
    <w:rsid w:val="007C73EA"/>
    <w:rsid w:val="007C74D8"/>
    <w:rsid w:val="007C794C"/>
    <w:rsid w:val="007C7A59"/>
    <w:rsid w:val="007C7C08"/>
    <w:rsid w:val="007C7DC9"/>
    <w:rsid w:val="007C7FC9"/>
    <w:rsid w:val="007C7FCC"/>
    <w:rsid w:val="007D09E0"/>
    <w:rsid w:val="007D12C0"/>
    <w:rsid w:val="007D13F7"/>
    <w:rsid w:val="007D1917"/>
    <w:rsid w:val="007D1EAC"/>
    <w:rsid w:val="007D29E3"/>
    <w:rsid w:val="007D29F7"/>
    <w:rsid w:val="007D2ACF"/>
    <w:rsid w:val="007D34E0"/>
    <w:rsid w:val="007D3A2E"/>
    <w:rsid w:val="007D3AAB"/>
    <w:rsid w:val="007D40B5"/>
    <w:rsid w:val="007D4641"/>
    <w:rsid w:val="007D4B1B"/>
    <w:rsid w:val="007D57CD"/>
    <w:rsid w:val="007D5844"/>
    <w:rsid w:val="007D63C8"/>
    <w:rsid w:val="007D65A0"/>
    <w:rsid w:val="007D6A3D"/>
    <w:rsid w:val="007D6AEE"/>
    <w:rsid w:val="007D6FED"/>
    <w:rsid w:val="007D7110"/>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5BA"/>
    <w:rsid w:val="007E2961"/>
    <w:rsid w:val="007E31A2"/>
    <w:rsid w:val="007E3DF7"/>
    <w:rsid w:val="007E3F5C"/>
    <w:rsid w:val="007E3F70"/>
    <w:rsid w:val="007E4433"/>
    <w:rsid w:val="007E4530"/>
    <w:rsid w:val="007E5332"/>
    <w:rsid w:val="007E53F0"/>
    <w:rsid w:val="007E562A"/>
    <w:rsid w:val="007E58C5"/>
    <w:rsid w:val="007E5958"/>
    <w:rsid w:val="007E5DA7"/>
    <w:rsid w:val="007E5F51"/>
    <w:rsid w:val="007E67C2"/>
    <w:rsid w:val="007E6AD8"/>
    <w:rsid w:val="007E6C37"/>
    <w:rsid w:val="007E7924"/>
    <w:rsid w:val="007E7C28"/>
    <w:rsid w:val="007E7C34"/>
    <w:rsid w:val="007E7D4F"/>
    <w:rsid w:val="007E7DEE"/>
    <w:rsid w:val="007F0108"/>
    <w:rsid w:val="007F02E5"/>
    <w:rsid w:val="007F0439"/>
    <w:rsid w:val="007F04ED"/>
    <w:rsid w:val="007F0B5C"/>
    <w:rsid w:val="007F1042"/>
    <w:rsid w:val="007F11E4"/>
    <w:rsid w:val="007F144B"/>
    <w:rsid w:val="007F14F6"/>
    <w:rsid w:val="007F22BD"/>
    <w:rsid w:val="007F27A9"/>
    <w:rsid w:val="007F2EAE"/>
    <w:rsid w:val="007F2FDA"/>
    <w:rsid w:val="007F3353"/>
    <w:rsid w:val="007F3412"/>
    <w:rsid w:val="007F357E"/>
    <w:rsid w:val="007F3847"/>
    <w:rsid w:val="007F3DD7"/>
    <w:rsid w:val="007F3E20"/>
    <w:rsid w:val="007F464F"/>
    <w:rsid w:val="007F4742"/>
    <w:rsid w:val="007F4991"/>
    <w:rsid w:val="007F4ABA"/>
    <w:rsid w:val="007F4E4F"/>
    <w:rsid w:val="007F4ED5"/>
    <w:rsid w:val="007F5575"/>
    <w:rsid w:val="007F590E"/>
    <w:rsid w:val="007F59E8"/>
    <w:rsid w:val="007F5E12"/>
    <w:rsid w:val="007F607E"/>
    <w:rsid w:val="007F62C7"/>
    <w:rsid w:val="007F630C"/>
    <w:rsid w:val="007F6397"/>
    <w:rsid w:val="007F63CC"/>
    <w:rsid w:val="007F68E4"/>
    <w:rsid w:val="007F6926"/>
    <w:rsid w:val="007F6A16"/>
    <w:rsid w:val="007F7532"/>
    <w:rsid w:val="007F7737"/>
    <w:rsid w:val="007F785F"/>
    <w:rsid w:val="007F7BB0"/>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57"/>
    <w:rsid w:val="008057CD"/>
    <w:rsid w:val="00805D34"/>
    <w:rsid w:val="00805F9F"/>
    <w:rsid w:val="00805FEE"/>
    <w:rsid w:val="008063E0"/>
    <w:rsid w:val="00806438"/>
    <w:rsid w:val="008066CB"/>
    <w:rsid w:val="008069EA"/>
    <w:rsid w:val="00806C88"/>
    <w:rsid w:val="00806D82"/>
    <w:rsid w:val="00806F50"/>
    <w:rsid w:val="00807166"/>
    <w:rsid w:val="008072EF"/>
    <w:rsid w:val="0080732E"/>
    <w:rsid w:val="00807414"/>
    <w:rsid w:val="008077F3"/>
    <w:rsid w:val="00807E70"/>
    <w:rsid w:val="00810220"/>
    <w:rsid w:val="00810479"/>
    <w:rsid w:val="0081062E"/>
    <w:rsid w:val="008108F9"/>
    <w:rsid w:val="00810ACB"/>
    <w:rsid w:val="00810B2A"/>
    <w:rsid w:val="00811310"/>
    <w:rsid w:val="00811C9D"/>
    <w:rsid w:val="00811D74"/>
    <w:rsid w:val="0081209B"/>
    <w:rsid w:val="008121E3"/>
    <w:rsid w:val="00812D9E"/>
    <w:rsid w:val="00812E80"/>
    <w:rsid w:val="00812E9C"/>
    <w:rsid w:val="008135CF"/>
    <w:rsid w:val="00813713"/>
    <w:rsid w:val="0081372B"/>
    <w:rsid w:val="008137A8"/>
    <w:rsid w:val="00814E53"/>
    <w:rsid w:val="00815058"/>
    <w:rsid w:val="00815271"/>
    <w:rsid w:val="008152E0"/>
    <w:rsid w:val="00815903"/>
    <w:rsid w:val="00816152"/>
    <w:rsid w:val="0081675F"/>
    <w:rsid w:val="00816949"/>
    <w:rsid w:val="00816984"/>
    <w:rsid w:val="00817787"/>
    <w:rsid w:val="00817B1F"/>
    <w:rsid w:val="00820151"/>
    <w:rsid w:val="0082030A"/>
    <w:rsid w:val="0082055C"/>
    <w:rsid w:val="008206FE"/>
    <w:rsid w:val="00820BD9"/>
    <w:rsid w:val="008219AC"/>
    <w:rsid w:val="0082287F"/>
    <w:rsid w:val="00822DD5"/>
    <w:rsid w:val="00822F1E"/>
    <w:rsid w:val="00822FAF"/>
    <w:rsid w:val="008235E1"/>
    <w:rsid w:val="008237B4"/>
    <w:rsid w:val="00823BCC"/>
    <w:rsid w:val="00823C1F"/>
    <w:rsid w:val="0082464A"/>
    <w:rsid w:val="00824FD2"/>
    <w:rsid w:val="008254FB"/>
    <w:rsid w:val="00825568"/>
    <w:rsid w:val="00825680"/>
    <w:rsid w:val="00825768"/>
    <w:rsid w:val="00825E6D"/>
    <w:rsid w:val="00825E8F"/>
    <w:rsid w:val="00825FD4"/>
    <w:rsid w:val="0082604B"/>
    <w:rsid w:val="0082644B"/>
    <w:rsid w:val="00826D9D"/>
    <w:rsid w:val="00827083"/>
    <w:rsid w:val="00827086"/>
    <w:rsid w:val="00827136"/>
    <w:rsid w:val="00827545"/>
    <w:rsid w:val="008275D5"/>
    <w:rsid w:val="00827A84"/>
    <w:rsid w:val="008302B3"/>
    <w:rsid w:val="008303C3"/>
    <w:rsid w:val="008304F7"/>
    <w:rsid w:val="00830D84"/>
    <w:rsid w:val="008314E2"/>
    <w:rsid w:val="0083198D"/>
    <w:rsid w:val="00831BC2"/>
    <w:rsid w:val="00832C15"/>
    <w:rsid w:val="00832C19"/>
    <w:rsid w:val="00832D9B"/>
    <w:rsid w:val="00833020"/>
    <w:rsid w:val="0083328B"/>
    <w:rsid w:val="00833425"/>
    <w:rsid w:val="00833957"/>
    <w:rsid w:val="00833AC6"/>
    <w:rsid w:val="008340BD"/>
    <w:rsid w:val="00834200"/>
    <w:rsid w:val="008347EA"/>
    <w:rsid w:val="0083493A"/>
    <w:rsid w:val="00834DF1"/>
    <w:rsid w:val="00834EA9"/>
    <w:rsid w:val="008356CA"/>
    <w:rsid w:val="0083583A"/>
    <w:rsid w:val="00835903"/>
    <w:rsid w:val="00835BD3"/>
    <w:rsid w:val="0083619E"/>
    <w:rsid w:val="00836799"/>
    <w:rsid w:val="00836EFA"/>
    <w:rsid w:val="0083701C"/>
    <w:rsid w:val="0083752B"/>
    <w:rsid w:val="008376EB"/>
    <w:rsid w:val="008402CC"/>
    <w:rsid w:val="008402D3"/>
    <w:rsid w:val="0084043A"/>
    <w:rsid w:val="0084076B"/>
    <w:rsid w:val="0084121E"/>
    <w:rsid w:val="0084133E"/>
    <w:rsid w:val="00841923"/>
    <w:rsid w:val="00841B2E"/>
    <w:rsid w:val="00842869"/>
    <w:rsid w:val="00842BE1"/>
    <w:rsid w:val="00842CD6"/>
    <w:rsid w:val="00842F01"/>
    <w:rsid w:val="008434FC"/>
    <w:rsid w:val="00843DCF"/>
    <w:rsid w:val="00844297"/>
    <w:rsid w:val="0084459A"/>
    <w:rsid w:val="008445B5"/>
    <w:rsid w:val="008446F3"/>
    <w:rsid w:val="008447BB"/>
    <w:rsid w:val="00844A9A"/>
    <w:rsid w:val="00844EDC"/>
    <w:rsid w:val="00844F8A"/>
    <w:rsid w:val="008453AD"/>
    <w:rsid w:val="0084545D"/>
    <w:rsid w:val="00845673"/>
    <w:rsid w:val="00846048"/>
    <w:rsid w:val="00846312"/>
    <w:rsid w:val="008463AC"/>
    <w:rsid w:val="00846654"/>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2369"/>
    <w:rsid w:val="008526FA"/>
    <w:rsid w:val="00852887"/>
    <w:rsid w:val="00852BA9"/>
    <w:rsid w:val="00852C1E"/>
    <w:rsid w:val="00852E8E"/>
    <w:rsid w:val="008539A9"/>
    <w:rsid w:val="00853A9F"/>
    <w:rsid w:val="00853DE9"/>
    <w:rsid w:val="00853E14"/>
    <w:rsid w:val="00853EED"/>
    <w:rsid w:val="00854544"/>
    <w:rsid w:val="008547D1"/>
    <w:rsid w:val="008549AF"/>
    <w:rsid w:val="008549EB"/>
    <w:rsid w:val="008551D8"/>
    <w:rsid w:val="00855637"/>
    <w:rsid w:val="008557D6"/>
    <w:rsid w:val="00855A74"/>
    <w:rsid w:val="00855E2E"/>
    <w:rsid w:val="00855E33"/>
    <w:rsid w:val="00856459"/>
    <w:rsid w:val="0085703F"/>
    <w:rsid w:val="00857272"/>
    <w:rsid w:val="00857331"/>
    <w:rsid w:val="00860018"/>
    <w:rsid w:val="00860077"/>
    <w:rsid w:val="00860283"/>
    <w:rsid w:val="0086058E"/>
    <w:rsid w:val="00860C34"/>
    <w:rsid w:val="00861196"/>
    <w:rsid w:val="008616A5"/>
    <w:rsid w:val="00861DF7"/>
    <w:rsid w:val="0086263A"/>
    <w:rsid w:val="00862F65"/>
    <w:rsid w:val="00862FC7"/>
    <w:rsid w:val="0086342F"/>
    <w:rsid w:val="0086360A"/>
    <w:rsid w:val="008638F0"/>
    <w:rsid w:val="00863A21"/>
    <w:rsid w:val="00863B9C"/>
    <w:rsid w:val="00864760"/>
    <w:rsid w:val="00864860"/>
    <w:rsid w:val="008648D5"/>
    <w:rsid w:val="00864A63"/>
    <w:rsid w:val="00864A7D"/>
    <w:rsid w:val="008658E1"/>
    <w:rsid w:val="00865C99"/>
    <w:rsid w:val="00865D9B"/>
    <w:rsid w:val="0086601D"/>
    <w:rsid w:val="0086614C"/>
    <w:rsid w:val="0086638D"/>
    <w:rsid w:val="0086659C"/>
    <w:rsid w:val="008666EC"/>
    <w:rsid w:val="00867060"/>
    <w:rsid w:val="00867137"/>
    <w:rsid w:val="0086785E"/>
    <w:rsid w:val="00867997"/>
    <w:rsid w:val="0087073A"/>
    <w:rsid w:val="0087115D"/>
    <w:rsid w:val="008711EA"/>
    <w:rsid w:val="00871235"/>
    <w:rsid w:val="00871C5A"/>
    <w:rsid w:val="00871CED"/>
    <w:rsid w:val="00871DC9"/>
    <w:rsid w:val="00871E74"/>
    <w:rsid w:val="00871F11"/>
    <w:rsid w:val="00872119"/>
    <w:rsid w:val="008721DC"/>
    <w:rsid w:val="0087221C"/>
    <w:rsid w:val="0087262F"/>
    <w:rsid w:val="008726DF"/>
    <w:rsid w:val="00872BAD"/>
    <w:rsid w:val="00872F22"/>
    <w:rsid w:val="00872F59"/>
    <w:rsid w:val="00873133"/>
    <w:rsid w:val="00873403"/>
    <w:rsid w:val="00873909"/>
    <w:rsid w:val="0087404B"/>
    <w:rsid w:val="00874583"/>
    <w:rsid w:val="00874A5E"/>
    <w:rsid w:val="00874B4C"/>
    <w:rsid w:val="00874B50"/>
    <w:rsid w:val="00874F29"/>
    <w:rsid w:val="00875351"/>
    <w:rsid w:val="0087541F"/>
    <w:rsid w:val="00875D4D"/>
    <w:rsid w:val="008764A6"/>
    <w:rsid w:val="00876903"/>
    <w:rsid w:val="00876AEB"/>
    <w:rsid w:val="008779C5"/>
    <w:rsid w:val="00877C13"/>
    <w:rsid w:val="0088035A"/>
    <w:rsid w:val="0088099A"/>
    <w:rsid w:val="00880B7C"/>
    <w:rsid w:val="00880FA5"/>
    <w:rsid w:val="008811CC"/>
    <w:rsid w:val="0088175C"/>
    <w:rsid w:val="008818EB"/>
    <w:rsid w:val="00881E57"/>
    <w:rsid w:val="008825A2"/>
    <w:rsid w:val="0088296D"/>
    <w:rsid w:val="00882A3B"/>
    <w:rsid w:val="00883518"/>
    <w:rsid w:val="00883F3D"/>
    <w:rsid w:val="00884539"/>
    <w:rsid w:val="008845B3"/>
    <w:rsid w:val="00884629"/>
    <w:rsid w:val="00884FAA"/>
    <w:rsid w:val="008851D2"/>
    <w:rsid w:val="0088520E"/>
    <w:rsid w:val="00885467"/>
    <w:rsid w:val="00885BA7"/>
    <w:rsid w:val="008861A9"/>
    <w:rsid w:val="00886250"/>
    <w:rsid w:val="00886964"/>
    <w:rsid w:val="00886A72"/>
    <w:rsid w:val="00886DC6"/>
    <w:rsid w:val="00886F07"/>
    <w:rsid w:val="00886F21"/>
    <w:rsid w:val="00890574"/>
    <w:rsid w:val="00890ABB"/>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37D"/>
    <w:rsid w:val="00895896"/>
    <w:rsid w:val="008959BF"/>
    <w:rsid w:val="00895C85"/>
    <w:rsid w:val="00895CF0"/>
    <w:rsid w:val="0089630C"/>
    <w:rsid w:val="00896666"/>
    <w:rsid w:val="00897630"/>
    <w:rsid w:val="008977AF"/>
    <w:rsid w:val="00897C58"/>
    <w:rsid w:val="008A004D"/>
    <w:rsid w:val="008A0115"/>
    <w:rsid w:val="008A0416"/>
    <w:rsid w:val="008A0698"/>
    <w:rsid w:val="008A0B6B"/>
    <w:rsid w:val="008A0F17"/>
    <w:rsid w:val="008A10DB"/>
    <w:rsid w:val="008A11E3"/>
    <w:rsid w:val="008A12A0"/>
    <w:rsid w:val="008A1319"/>
    <w:rsid w:val="008A1855"/>
    <w:rsid w:val="008A1E33"/>
    <w:rsid w:val="008A1FAD"/>
    <w:rsid w:val="008A23E6"/>
    <w:rsid w:val="008A2B9F"/>
    <w:rsid w:val="008A3048"/>
    <w:rsid w:val="008A31C9"/>
    <w:rsid w:val="008A31DB"/>
    <w:rsid w:val="008A3C6A"/>
    <w:rsid w:val="008A3CFB"/>
    <w:rsid w:val="008A3D5E"/>
    <w:rsid w:val="008A3D9C"/>
    <w:rsid w:val="008A409C"/>
    <w:rsid w:val="008A425B"/>
    <w:rsid w:val="008A48C5"/>
    <w:rsid w:val="008A4C37"/>
    <w:rsid w:val="008A5DB5"/>
    <w:rsid w:val="008A5DEE"/>
    <w:rsid w:val="008A62E6"/>
    <w:rsid w:val="008A717A"/>
    <w:rsid w:val="008A721A"/>
    <w:rsid w:val="008A7866"/>
    <w:rsid w:val="008A7E22"/>
    <w:rsid w:val="008B008A"/>
    <w:rsid w:val="008B0368"/>
    <w:rsid w:val="008B0376"/>
    <w:rsid w:val="008B0414"/>
    <w:rsid w:val="008B0CDC"/>
    <w:rsid w:val="008B0F2C"/>
    <w:rsid w:val="008B1299"/>
    <w:rsid w:val="008B13D9"/>
    <w:rsid w:val="008B14C2"/>
    <w:rsid w:val="008B158E"/>
    <w:rsid w:val="008B171F"/>
    <w:rsid w:val="008B219F"/>
    <w:rsid w:val="008B2ECE"/>
    <w:rsid w:val="008B3041"/>
    <w:rsid w:val="008B3407"/>
    <w:rsid w:val="008B3886"/>
    <w:rsid w:val="008B42B9"/>
    <w:rsid w:val="008B47F0"/>
    <w:rsid w:val="008B48DB"/>
    <w:rsid w:val="008B4BF0"/>
    <w:rsid w:val="008B5078"/>
    <w:rsid w:val="008B51FF"/>
    <w:rsid w:val="008B5235"/>
    <w:rsid w:val="008B598F"/>
    <w:rsid w:val="008B5B97"/>
    <w:rsid w:val="008B5C19"/>
    <w:rsid w:val="008B5EA8"/>
    <w:rsid w:val="008B6130"/>
    <w:rsid w:val="008B621E"/>
    <w:rsid w:val="008B6536"/>
    <w:rsid w:val="008B6735"/>
    <w:rsid w:val="008B6977"/>
    <w:rsid w:val="008B6B7F"/>
    <w:rsid w:val="008B7069"/>
    <w:rsid w:val="008B710F"/>
    <w:rsid w:val="008B7129"/>
    <w:rsid w:val="008B72F8"/>
    <w:rsid w:val="008B7683"/>
    <w:rsid w:val="008C0C29"/>
    <w:rsid w:val="008C0F4C"/>
    <w:rsid w:val="008C1510"/>
    <w:rsid w:val="008C26B2"/>
    <w:rsid w:val="008C29DD"/>
    <w:rsid w:val="008C29E2"/>
    <w:rsid w:val="008C322F"/>
    <w:rsid w:val="008C3287"/>
    <w:rsid w:val="008C34B6"/>
    <w:rsid w:val="008C3773"/>
    <w:rsid w:val="008C3806"/>
    <w:rsid w:val="008C3AE0"/>
    <w:rsid w:val="008C3C72"/>
    <w:rsid w:val="008C3DBA"/>
    <w:rsid w:val="008C3F0B"/>
    <w:rsid w:val="008C3F7C"/>
    <w:rsid w:val="008C44B3"/>
    <w:rsid w:val="008C4723"/>
    <w:rsid w:val="008C4844"/>
    <w:rsid w:val="008C5577"/>
    <w:rsid w:val="008C5B54"/>
    <w:rsid w:val="008C5C83"/>
    <w:rsid w:val="008C634F"/>
    <w:rsid w:val="008C64AD"/>
    <w:rsid w:val="008C6762"/>
    <w:rsid w:val="008C6863"/>
    <w:rsid w:val="008C7537"/>
    <w:rsid w:val="008C7877"/>
    <w:rsid w:val="008C7892"/>
    <w:rsid w:val="008C79B0"/>
    <w:rsid w:val="008C7C99"/>
    <w:rsid w:val="008C7CBE"/>
    <w:rsid w:val="008C7DB0"/>
    <w:rsid w:val="008C7F05"/>
    <w:rsid w:val="008D03BF"/>
    <w:rsid w:val="008D0967"/>
    <w:rsid w:val="008D09E4"/>
    <w:rsid w:val="008D126E"/>
    <w:rsid w:val="008D129B"/>
    <w:rsid w:val="008D14A2"/>
    <w:rsid w:val="008D195A"/>
    <w:rsid w:val="008D19FC"/>
    <w:rsid w:val="008D1D8D"/>
    <w:rsid w:val="008D208A"/>
    <w:rsid w:val="008D258E"/>
    <w:rsid w:val="008D2725"/>
    <w:rsid w:val="008D2732"/>
    <w:rsid w:val="008D2767"/>
    <w:rsid w:val="008D2C43"/>
    <w:rsid w:val="008D3242"/>
    <w:rsid w:val="008D3345"/>
    <w:rsid w:val="008D3C38"/>
    <w:rsid w:val="008D3F63"/>
    <w:rsid w:val="008D4597"/>
    <w:rsid w:val="008D4656"/>
    <w:rsid w:val="008D4AE9"/>
    <w:rsid w:val="008D4C51"/>
    <w:rsid w:val="008D4D07"/>
    <w:rsid w:val="008D4F97"/>
    <w:rsid w:val="008D514B"/>
    <w:rsid w:val="008D5DEB"/>
    <w:rsid w:val="008D5E46"/>
    <w:rsid w:val="008D6553"/>
    <w:rsid w:val="008D663D"/>
    <w:rsid w:val="008D6B90"/>
    <w:rsid w:val="008D6B9B"/>
    <w:rsid w:val="008D75D3"/>
    <w:rsid w:val="008D77E3"/>
    <w:rsid w:val="008D7B53"/>
    <w:rsid w:val="008D7E24"/>
    <w:rsid w:val="008E018E"/>
    <w:rsid w:val="008E05DB"/>
    <w:rsid w:val="008E06E8"/>
    <w:rsid w:val="008E0789"/>
    <w:rsid w:val="008E0A8C"/>
    <w:rsid w:val="008E0B9E"/>
    <w:rsid w:val="008E14A6"/>
    <w:rsid w:val="008E1600"/>
    <w:rsid w:val="008E1B9B"/>
    <w:rsid w:val="008E1C2A"/>
    <w:rsid w:val="008E1E30"/>
    <w:rsid w:val="008E20DB"/>
    <w:rsid w:val="008E2493"/>
    <w:rsid w:val="008E2576"/>
    <w:rsid w:val="008E30B6"/>
    <w:rsid w:val="008E3533"/>
    <w:rsid w:val="008E3594"/>
    <w:rsid w:val="008E3968"/>
    <w:rsid w:val="008E3AF1"/>
    <w:rsid w:val="008E4091"/>
    <w:rsid w:val="008E411C"/>
    <w:rsid w:val="008E43CA"/>
    <w:rsid w:val="008E44D2"/>
    <w:rsid w:val="008E4761"/>
    <w:rsid w:val="008E4A8A"/>
    <w:rsid w:val="008E4B64"/>
    <w:rsid w:val="008E4D07"/>
    <w:rsid w:val="008E5262"/>
    <w:rsid w:val="008E58B9"/>
    <w:rsid w:val="008E5A5A"/>
    <w:rsid w:val="008E5B41"/>
    <w:rsid w:val="008E5F5E"/>
    <w:rsid w:val="008E63CD"/>
    <w:rsid w:val="008E6483"/>
    <w:rsid w:val="008E66C1"/>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761"/>
    <w:rsid w:val="008F1887"/>
    <w:rsid w:val="008F26A5"/>
    <w:rsid w:val="008F28BB"/>
    <w:rsid w:val="008F2B79"/>
    <w:rsid w:val="008F2DA1"/>
    <w:rsid w:val="008F3B8B"/>
    <w:rsid w:val="008F3FAC"/>
    <w:rsid w:val="008F4B52"/>
    <w:rsid w:val="008F53BA"/>
    <w:rsid w:val="008F55B0"/>
    <w:rsid w:val="008F6729"/>
    <w:rsid w:val="008F67F4"/>
    <w:rsid w:val="008F686A"/>
    <w:rsid w:val="008F6DC3"/>
    <w:rsid w:val="008F7515"/>
    <w:rsid w:val="008F7547"/>
    <w:rsid w:val="00900140"/>
    <w:rsid w:val="0090088A"/>
    <w:rsid w:val="009008A3"/>
    <w:rsid w:val="009008E8"/>
    <w:rsid w:val="00900B9A"/>
    <w:rsid w:val="00900DA2"/>
    <w:rsid w:val="009011AE"/>
    <w:rsid w:val="009011B7"/>
    <w:rsid w:val="00901D44"/>
    <w:rsid w:val="009021D7"/>
    <w:rsid w:val="0090269C"/>
    <w:rsid w:val="0090278B"/>
    <w:rsid w:val="00902B00"/>
    <w:rsid w:val="00902BCF"/>
    <w:rsid w:val="00903D2A"/>
    <w:rsid w:val="00904362"/>
    <w:rsid w:val="00904B95"/>
    <w:rsid w:val="00905146"/>
    <w:rsid w:val="009051D6"/>
    <w:rsid w:val="009051E6"/>
    <w:rsid w:val="0090527B"/>
    <w:rsid w:val="0090532F"/>
    <w:rsid w:val="00905A4C"/>
    <w:rsid w:val="00905F6A"/>
    <w:rsid w:val="00906319"/>
    <w:rsid w:val="00906775"/>
    <w:rsid w:val="009069CF"/>
    <w:rsid w:val="00907024"/>
    <w:rsid w:val="00907067"/>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3B5"/>
    <w:rsid w:val="00914494"/>
    <w:rsid w:val="009157F2"/>
    <w:rsid w:val="0091589F"/>
    <w:rsid w:val="00915AAF"/>
    <w:rsid w:val="009165C1"/>
    <w:rsid w:val="00916814"/>
    <w:rsid w:val="0091691D"/>
    <w:rsid w:val="00917388"/>
    <w:rsid w:val="009175D4"/>
    <w:rsid w:val="00917925"/>
    <w:rsid w:val="00917961"/>
    <w:rsid w:val="00920A39"/>
    <w:rsid w:val="00920F25"/>
    <w:rsid w:val="009211DF"/>
    <w:rsid w:val="00921252"/>
    <w:rsid w:val="00921528"/>
    <w:rsid w:val="0092178D"/>
    <w:rsid w:val="00921872"/>
    <w:rsid w:val="00921EC9"/>
    <w:rsid w:val="00921FF2"/>
    <w:rsid w:val="0092246D"/>
    <w:rsid w:val="00922919"/>
    <w:rsid w:val="009229A4"/>
    <w:rsid w:val="00922A7C"/>
    <w:rsid w:val="00922EE3"/>
    <w:rsid w:val="00923082"/>
    <w:rsid w:val="009230E2"/>
    <w:rsid w:val="0092380B"/>
    <w:rsid w:val="00923C96"/>
    <w:rsid w:val="00924157"/>
    <w:rsid w:val="0092437C"/>
    <w:rsid w:val="0092479E"/>
    <w:rsid w:val="00924B1A"/>
    <w:rsid w:val="00924B5F"/>
    <w:rsid w:val="00924CF3"/>
    <w:rsid w:val="00924DFB"/>
    <w:rsid w:val="00924EF7"/>
    <w:rsid w:val="00925F10"/>
    <w:rsid w:val="00926204"/>
    <w:rsid w:val="0092621F"/>
    <w:rsid w:val="0092692E"/>
    <w:rsid w:val="00927516"/>
    <w:rsid w:val="0092797D"/>
    <w:rsid w:val="00927A37"/>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BE"/>
    <w:rsid w:val="009323D9"/>
    <w:rsid w:val="009327C6"/>
    <w:rsid w:val="00932BFE"/>
    <w:rsid w:val="00932C1A"/>
    <w:rsid w:val="00932CEB"/>
    <w:rsid w:val="009330DF"/>
    <w:rsid w:val="009333C4"/>
    <w:rsid w:val="00933656"/>
    <w:rsid w:val="00933B80"/>
    <w:rsid w:val="00933CB6"/>
    <w:rsid w:val="0093415B"/>
    <w:rsid w:val="009341A0"/>
    <w:rsid w:val="009341D8"/>
    <w:rsid w:val="0093508E"/>
    <w:rsid w:val="0093520C"/>
    <w:rsid w:val="0093552B"/>
    <w:rsid w:val="00935740"/>
    <w:rsid w:val="009357D0"/>
    <w:rsid w:val="009358A9"/>
    <w:rsid w:val="00936130"/>
    <w:rsid w:val="009378CD"/>
    <w:rsid w:val="00937975"/>
    <w:rsid w:val="00940044"/>
    <w:rsid w:val="00940654"/>
    <w:rsid w:val="0094067B"/>
    <w:rsid w:val="00940C04"/>
    <w:rsid w:val="0094106C"/>
    <w:rsid w:val="00941297"/>
    <w:rsid w:val="00941BA3"/>
    <w:rsid w:val="00942079"/>
    <w:rsid w:val="00942243"/>
    <w:rsid w:val="00942798"/>
    <w:rsid w:val="00942BC1"/>
    <w:rsid w:val="00942DB0"/>
    <w:rsid w:val="00943365"/>
    <w:rsid w:val="009433FC"/>
    <w:rsid w:val="009436EA"/>
    <w:rsid w:val="009438A4"/>
    <w:rsid w:val="009438E3"/>
    <w:rsid w:val="00943E62"/>
    <w:rsid w:val="0094411A"/>
    <w:rsid w:val="009444C2"/>
    <w:rsid w:val="009445D8"/>
    <w:rsid w:val="00944AE7"/>
    <w:rsid w:val="00944B5A"/>
    <w:rsid w:val="00944B7A"/>
    <w:rsid w:val="00945048"/>
    <w:rsid w:val="0094565C"/>
    <w:rsid w:val="00945D9A"/>
    <w:rsid w:val="00946076"/>
    <w:rsid w:val="009462BB"/>
    <w:rsid w:val="00946360"/>
    <w:rsid w:val="0094665B"/>
    <w:rsid w:val="00946B20"/>
    <w:rsid w:val="00947082"/>
    <w:rsid w:val="00947354"/>
    <w:rsid w:val="009473DA"/>
    <w:rsid w:val="00947464"/>
    <w:rsid w:val="00950077"/>
    <w:rsid w:val="0095015A"/>
    <w:rsid w:val="00950547"/>
    <w:rsid w:val="0095066B"/>
    <w:rsid w:val="00950A2A"/>
    <w:rsid w:val="00950D6D"/>
    <w:rsid w:val="00950DC6"/>
    <w:rsid w:val="00950EA7"/>
    <w:rsid w:val="009518F2"/>
    <w:rsid w:val="00951A3C"/>
    <w:rsid w:val="00951B60"/>
    <w:rsid w:val="00951CC7"/>
    <w:rsid w:val="00951FB0"/>
    <w:rsid w:val="009528A1"/>
    <w:rsid w:val="009528C9"/>
    <w:rsid w:val="00952CC5"/>
    <w:rsid w:val="00952CCE"/>
    <w:rsid w:val="00953037"/>
    <w:rsid w:val="009532B7"/>
    <w:rsid w:val="009536B6"/>
    <w:rsid w:val="009536E6"/>
    <w:rsid w:val="0095387A"/>
    <w:rsid w:val="00953886"/>
    <w:rsid w:val="00953B99"/>
    <w:rsid w:val="00953F9D"/>
    <w:rsid w:val="009544CB"/>
    <w:rsid w:val="00954B96"/>
    <w:rsid w:val="00955113"/>
    <w:rsid w:val="009554C1"/>
    <w:rsid w:val="009558E6"/>
    <w:rsid w:val="009559B4"/>
    <w:rsid w:val="00955A6B"/>
    <w:rsid w:val="00955B9C"/>
    <w:rsid w:val="00955E00"/>
    <w:rsid w:val="00955E61"/>
    <w:rsid w:val="009560B3"/>
    <w:rsid w:val="00956235"/>
    <w:rsid w:val="00956969"/>
    <w:rsid w:val="00956C16"/>
    <w:rsid w:val="00956ED4"/>
    <w:rsid w:val="0095710B"/>
    <w:rsid w:val="009575C4"/>
    <w:rsid w:val="009578AA"/>
    <w:rsid w:val="00957CD8"/>
    <w:rsid w:val="00957F40"/>
    <w:rsid w:val="009608D0"/>
    <w:rsid w:val="00960A50"/>
    <w:rsid w:val="00960B83"/>
    <w:rsid w:val="00961291"/>
    <w:rsid w:val="0096133D"/>
    <w:rsid w:val="00961C40"/>
    <w:rsid w:val="0096227F"/>
    <w:rsid w:val="009623C9"/>
    <w:rsid w:val="00962651"/>
    <w:rsid w:val="00962707"/>
    <w:rsid w:val="00962A6D"/>
    <w:rsid w:val="009635E0"/>
    <w:rsid w:val="00963ABD"/>
    <w:rsid w:val="00963ACA"/>
    <w:rsid w:val="00963BFA"/>
    <w:rsid w:val="00963EF5"/>
    <w:rsid w:val="0096447C"/>
    <w:rsid w:val="00964499"/>
    <w:rsid w:val="009644BF"/>
    <w:rsid w:val="00964E2F"/>
    <w:rsid w:val="0096527C"/>
    <w:rsid w:val="009654AF"/>
    <w:rsid w:val="009659B2"/>
    <w:rsid w:val="00965D4F"/>
    <w:rsid w:val="009661AB"/>
    <w:rsid w:val="00966511"/>
    <w:rsid w:val="009669B0"/>
    <w:rsid w:val="00966A36"/>
    <w:rsid w:val="00966C90"/>
    <w:rsid w:val="00966CFF"/>
    <w:rsid w:val="00967793"/>
    <w:rsid w:val="00967960"/>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0D3"/>
    <w:rsid w:val="00975374"/>
    <w:rsid w:val="009756A8"/>
    <w:rsid w:val="009756DC"/>
    <w:rsid w:val="009758A9"/>
    <w:rsid w:val="00975A47"/>
    <w:rsid w:val="00975E26"/>
    <w:rsid w:val="00976109"/>
    <w:rsid w:val="0097630B"/>
    <w:rsid w:val="00976695"/>
    <w:rsid w:val="009769A6"/>
    <w:rsid w:val="00977296"/>
    <w:rsid w:val="00977BC7"/>
    <w:rsid w:val="00980088"/>
    <w:rsid w:val="009802BE"/>
    <w:rsid w:val="00980680"/>
    <w:rsid w:val="00980797"/>
    <w:rsid w:val="00980AE9"/>
    <w:rsid w:val="00981022"/>
    <w:rsid w:val="009811B6"/>
    <w:rsid w:val="009812A4"/>
    <w:rsid w:val="00981D53"/>
    <w:rsid w:val="00981EE5"/>
    <w:rsid w:val="00981EF8"/>
    <w:rsid w:val="0098227B"/>
    <w:rsid w:val="009822BF"/>
    <w:rsid w:val="00982413"/>
    <w:rsid w:val="0098252D"/>
    <w:rsid w:val="009826E4"/>
    <w:rsid w:val="00982C74"/>
    <w:rsid w:val="009830B8"/>
    <w:rsid w:val="00983300"/>
    <w:rsid w:val="009834C6"/>
    <w:rsid w:val="00983722"/>
    <w:rsid w:val="009837CE"/>
    <w:rsid w:val="009838B0"/>
    <w:rsid w:val="00983BB5"/>
    <w:rsid w:val="0098483F"/>
    <w:rsid w:val="00984D06"/>
    <w:rsid w:val="00984DAA"/>
    <w:rsid w:val="00985131"/>
    <w:rsid w:val="00985F6E"/>
    <w:rsid w:val="0098699F"/>
    <w:rsid w:val="009869B5"/>
    <w:rsid w:val="00986C76"/>
    <w:rsid w:val="0098791E"/>
    <w:rsid w:val="00987C10"/>
    <w:rsid w:val="00987DDA"/>
    <w:rsid w:val="009901E7"/>
    <w:rsid w:val="00990290"/>
    <w:rsid w:val="00990335"/>
    <w:rsid w:val="0099071D"/>
    <w:rsid w:val="00990AD3"/>
    <w:rsid w:val="00990C99"/>
    <w:rsid w:val="00991369"/>
    <w:rsid w:val="009919CD"/>
    <w:rsid w:val="00991CD6"/>
    <w:rsid w:val="0099210B"/>
    <w:rsid w:val="009937D3"/>
    <w:rsid w:val="009939A1"/>
    <w:rsid w:val="00994057"/>
    <w:rsid w:val="00994286"/>
    <w:rsid w:val="009945AF"/>
    <w:rsid w:val="00994682"/>
    <w:rsid w:val="0099470F"/>
    <w:rsid w:val="00994C67"/>
    <w:rsid w:val="00994D65"/>
    <w:rsid w:val="0099537E"/>
    <w:rsid w:val="009960D3"/>
    <w:rsid w:val="009967D6"/>
    <w:rsid w:val="00996B27"/>
    <w:rsid w:val="00996D56"/>
    <w:rsid w:val="00996DBB"/>
    <w:rsid w:val="00996E7F"/>
    <w:rsid w:val="0099766E"/>
    <w:rsid w:val="00997CBE"/>
    <w:rsid w:val="009A0794"/>
    <w:rsid w:val="009A07E9"/>
    <w:rsid w:val="009A0CB4"/>
    <w:rsid w:val="009A1083"/>
    <w:rsid w:val="009A17FB"/>
    <w:rsid w:val="009A18C3"/>
    <w:rsid w:val="009A191D"/>
    <w:rsid w:val="009A1A75"/>
    <w:rsid w:val="009A1E12"/>
    <w:rsid w:val="009A1FF2"/>
    <w:rsid w:val="009A23B8"/>
    <w:rsid w:val="009A39E8"/>
    <w:rsid w:val="009A3C7B"/>
    <w:rsid w:val="009A405A"/>
    <w:rsid w:val="009A4150"/>
    <w:rsid w:val="009A43FD"/>
    <w:rsid w:val="009A4A1D"/>
    <w:rsid w:val="009A4E04"/>
    <w:rsid w:val="009A51B1"/>
    <w:rsid w:val="009A5678"/>
    <w:rsid w:val="009A5751"/>
    <w:rsid w:val="009A5766"/>
    <w:rsid w:val="009A583C"/>
    <w:rsid w:val="009A58B2"/>
    <w:rsid w:val="009A5D84"/>
    <w:rsid w:val="009A60D0"/>
    <w:rsid w:val="009A60D8"/>
    <w:rsid w:val="009A65CC"/>
    <w:rsid w:val="009A65D1"/>
    <w:rsid w:val="009A6671"/>
    <w:rsid w:val="009A6783"/>
    <w:rsid w:val="009A6CE5"/>
    <w:rsid w:val="009A6E7C"/>
    <w:rsid w:val="009A7810"/>
    <w:rsid w:val="009A7933"/>
    <w:rsid w:val="009B0249"/>
    <w:rsid w:val="009B03E6"/>
    <w:rsid w:val="009B08A9"/>
    <w:rsid w:val="009B1151"/>
    <w:rsid w:val="009B18A7"/>
    <w:rsid w:val="009B1996"/>
    <w:rsid w:val="009B2949"/>
    <w:rsid w:val="009B2AF4"/>
    <w:rsid w:val="009B34C7"/>
    <w:rsid w:val="009B3592"/>
    <w:rsid w:val="009B3FD0"/>
    <w:rsid w:val="009B438C"/>
    <w:rsid w:val="009B43CA"/>
    <w:rsid w:val="009B4B40"/>
    <w:rsid w:val="009B4BB8"/>
    <w:rsid w:val="009B4CF4"/>
    <w:rsid w:val="009B4F00"/>
    <w:rsid w:val="009B6FF9"/>
    <w:rsid w:val="009B70CF"/>
    <w:rsid w:val="009B72CE"/>
    <w:rsid w:val="009C0245"/>
    <w:rsid w:val="009C070C"/>
    <w:rsid w:val="009C0AC2"/>
    <w:rsid w:val="009C0E26"/>
    <w:rsid w:val="009C0E59"/>
    <w:rsid w:val="009C0F2E"/>
    <w:rsid w:val="009C1AD3"/>
    <w:rsid w:val="009C1C26"/>
    <w:rsid w:val="009C1DC9"/>
    <w:rsid w:val="009C21F4"/>
    <w:rsid w:val="009C2751"/>
    <w:rsid w:val="009C278B"/>
    <w:rsid w:val="009C2A92"/>
    <w:rsid w:val="009C2B18"/>
    <w:rsid w:val="009C332F"/>
    <w:rsid w:val="009C3688"/>
    <w:rsid w:val="009C4042"/>
    <w:rsid w:val="009C4106"/>
    <w:rsid w:val="009C41CC"/>
    <w:rsid w:val="009C4268"/>
    <w:rsid w:val="009C4631"/>
    <w:rsid w:val="009C4C72"/>
    <w:rsid w:val="009C4C78"/>
    <w:rsid w:val="009C4FC1"/>
    <w:rsid w:val="009C4FEA"/>
    <w:rsid w:val="009C55B3"/>
    <w:rsid w:val="009C574A"/>
    <w:rsid w:val="009C666E"/>
    <w:rsid w:val="009C6966"/>
    <w:rsid w:val="009C6A0E"/>
    <w:rsid w:val="009C6A2C"/>
    <w:rsid w:val="009C6C76"/>
    <w:rsid w:val="009C6D2D"/>
    <w:rsid w:val="009C6FF8"/>
    <w:rsid w:val="009C7161"/>
    <w:rsid w:val="009C7A5C"/>
    <w:rsid w:val="009C7A61"/>
    <w:rsid w:val="009C7ED1"/>
    <w:rsid w:val="009C7EF3"/>
    <w:rsid w:val="009D035E"/>
    <w:rsid w:val="009D0A5C"/>
    <w:rsid w:val="009D0A99"/>
    <w:rsid w:val="009D0E73"/>
    <w:rsid w:val="009D19F9"/>
    <w:rsid w:val="009D2282"/>
    <w:rsid w:val="009D2551"/>
    <w:rsid w:val="009D34E7"/>
    <w:rsid w:val="009D355E"/>
    <w:rsid w:val="009D3B21"/>
    <w:rsid w:val="009D3BDB"/>
    <w:rsid w:val="009D3FC3"/>
    <w:rsid w:val="009D457B"/>
    <w:rsid w:val="009D483E"/>
    <w:rsid w:val="009D4BF2"/>
    <w:rsid w:val="009D4CFD"/>
    <w:rsid w:val="009D55BF"/>
    <w:rsid w:val="009D5985"/>
    <w:rsid w:val="009D5BA1"/>
    <w:rsid w:val="009D5E33"/>
    <w:rsid w:val="009D601F"/>
    <w:rsid w:val="009D632B"/>
    <w:rsid w:val="009D6DD3"/>
    <w:rsid w:val="009D6EEA"/>
    <w:rsid w:val="009D6FAD"/>
    <w:rsid w:val="009D749D"/>
    <w:rsid w:val="009D7A63"/>
    <w:rsid w:val="009D7DE9"/>
    <w:rsid w:val="009D7FD4"/>
    <w:rsid w:val="009D7FD6"/>
    <w:rsid w:val="009E0411"/>
    <w:rsid w:val="009E077F"/>
    <w:rsid w:val="009E0BDC"/>
    <w:rsid w:val="009E134F"/>
    <w:rsid w:val="009E151B"/>
    <w:rsid w:val="009E16A1"/>
    <w:rsid w:val="009E1AFA"/>
    <w:rsid w:val="009E1B14"/>
    <w:rsid w:val="009E1DC4"/>
    <w:rsid w:val="009E203F"/>
    <w:rsid w:val="009E2064"/>
    <w:rsid w:val="009E2088"/>
    <w:rsid w:val="009E2401"/>
    <w:rsid w:val="009E30A0"/>
    <w:rsid w:val="009E3373"/>
    <w:rsid w:val="009E3506"/>
    <w:rsid w:val="009E3570"/>
    <w:rsid w:val="009E36A0"/>
    <w:rsid w:val="009E389F"/>
    <w:rsid w:val="009E3CB6"/>
    <w:rsid w:val="009E48EB"/>
    <w:rsid w:val="009E4AA8"/>
    <w:rsid w:val="009E4D0E"/>
    <w:rsid w:val="009E4D22"/>
    <w:rsid w:val="009E5180"/>
    <w:rsid w:val="009E5380"/>
    <w:rsid w:val="009E5490"/>
    <w:rsid w:val="009E58BD"/>
    <w:rsid w:val="009E5C2A"/>
    <w:rsid w:val="009E65B9"/>
    <w:rsid w:val="009E69AB"/>
    <w:rsid w:val="009E6ABC"/>
    <w:rsid w:val="009E7AF4"/>
    <w:rsid w:val="009E7CEE"/>
    <w:rsid w:val="009E7CFF"/>
    <w:rsid w:val="009E7EC6"/>
    <w:rsid w:val="009E7F33"/>
    <w:rsid w:val="009F08A1"/>
    <w:rsid w:val="009F0D0E"/>
    <w:rsid w:val="009F1267"/>
    <w:rsid w:val="009F1418"/>
    <w:rsid w:val="009F1A2B"/>
    <w:rsid w:val="009F1A40"/>
    <w:rsid w:val="009F1B8D"/>
    <w:rsid w:val="009F20A2"/>
    <w:rsid w:val="009F243B"/>
    <w:rsid w:val="009F2A71"/>
    <w:rsid w:val="009F2CEC"/>
    <w:rsid w:val="009F3292"/>
    <w:rsid w:val="009F37B5"/>
    <w:rsid w:val="009F3F39"/>
    <w:rsid w:val="009F418F"/>
    <w:rsid w:val="009F4407"/>
    <w:rsid w:val="009F4A6E"/>
    <w:rsid w:val="009F4DC0"/>
    <w:rsid w:val="009F502C"/>
    <w:rsid w:val="009F50A5"/>
    <w:rsid w:val="009F5151"/>
    <w:rsid w:val="009F5AC0"/>
    <w:rsid w:val="009F619D"/>
    <w:rsid w:val="009F634F"/>
    <w:rsid w:val="009F65B7"/>
    <w:rsid w:val="009F6886"/>
    <w:rsid w:val="009F69B9"/>
    <w:rsid w:val="009F6C0F"/>
    <w:rsid w:val="009F7915"/>
    <w:rsid w:val="009F7F65"/>
    <w:rsid w:val="00A00670"/>
    <w:rsid w:val="00A00D88"/>
    <w:rsid w:val="00A01108"/>
    <w:rsid w:val="00A01304"/>
    <w:rsid w:val="00A01CAF"/>
    <w:rsid w:val="00A01CF8"/>
    <w:rsid w:val="00A020EF"/>
    <w:rsid w:val="00A02115"/>
    <w:rsid w:val="00A022FA"/>
    <w:rsid w:val="00A02667"/>
    <w:rsid w:val="00A02A04"/>
    <w:rsid w:val="00A02A58"/>
    <w:rsid w:val="00A02CAF"/>
    <w:rsid w:val="00A03205"/>
    <w:rsid w:val="00A034B4"/>
    <w:rsid w:val="00A036F4"/>
    <w:rsid w:val="00A037CA"/>
    <w:rsid w:val="00A037EC"/>
    <w:rsid w:val="00A03BCA"/>
    <w:rsid w:val="00A03E8F"/>
    <w:rsid w:val="00A0429A"/>
    <w:rsid w:val="00A046A3"/>
    <w:rsid w:val="00A04D4D"/>
    <w:rsid w:val="00A051A6"/>
    <w:rsid w:val="00A0544B"/>
    <w:rsid w:val="00A05596"/>
    <w:rsid w:val="00A05CC0"/>
    <w:rsid w:val="00A05FB8"/>
    <w:rsid w:val="00A063EA"/>
    <w:rsid w:val="00A066C9"/>
    <w:rsid w:val="00A06775"/>
    <w:rsid w:val="00A0681A"/>
    <w:rsid w:val="00A06BED"/>
    <w:rsid w:val="00A07B83"/>
    <w:rsid w:val="00A10779"/>
    <w:rsid w:val="00A110AF"/>
    <w:rsid w:val="00A11A80"/>
    <w:rsid w:val="00A11AC5"/>
    <w:rsid w:val="00A11BC6"/>
    <w:rsid w:val="00A11D5F"/>
    <w:rsid w:val="00A11E9A"/>
    <w:rsid w:val="00A11E9D"/>
    <w:rsid w:val="00A121B0"/>
    <w:rsid w:val="00A12367"/>
    <w:rsid w:val="00A124EF"/>
    <w:rsid w:val="00A12BF2"/>
    <w:rsid w:val="00A12C60"/>
    <w:rsid w:val="00A13154"/>
    <w:rsid w:val="00A13448"/>
    <w:rsid w:val="00A146EA"/>
    <w:rsid w:val="00A1478E"/>
    <w:rsid w:val="00A1495C"/>
    <w:rsid w:val="00A149E6"/>
    <w:rsid w:val="00A14C95"/>
    <w:rsid w:val="00A14F77"/>
    <w:rsid w:val="00A14F88"/>
    <w:rsid w:val="00A14F8D"/>
    <w:rsid w:val="00A15090"/>
    <w:rsid w:val="00A1513E"/>
    <w:rsid w:val="00A155BB"/>
    <w:rsid w:val="00A15F91"/>
    <w:rsid w:val="00A15FD9"/>
    <w:rsid w:val="00A16145"/>
    <w:rsid w:val="00A1642B"/>
    <w:rsid w:val="00A1667B"/>
    <w:rsid w:val="00A16707"/>
    <w:rsid w:val="00A167F5"/>
    <w:rsid w:val="00A16A6C"/>
    <w:rsid w:val="00A1743B"/>
    <w:rsid w:val="00A17500"/>
    <w:rsid w:val="00A175FA"/>
    <w:rsid w:val="00A17CA8"/>
    <w:rsid w:val="00A202ED"/>
    <w:rsid w:val="00A20823"/>
    <w:rsid w:val="00A209C5"/>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B95"/>
    <w:rsid w:val="00A22C40"/>
    <w:rsid w:val="00A231C3"/>
    <w:rsid w:val="00A23A2A"/>
    <w:rsid w:val="00A23DDA"/>
    <w:rsid w:val="00A24536"/>
    <w:rsid w:val="00A24828"/>
    <w:rsid w:val="00A24D10"/>
    <w:rsid w:val="00A24E85"/>
    <w:rsid w:val="00A250A2"/>
    <w:rsid w:val="00A251E0"/>
    <w:rsid w:val="00A25561"/>
    <w:rsid w:val="00A25793"/>
    <w:rsid w:val="00A2583C"/>
    <w:rsid w:val="00A258BA"/>
    <w:rsid w:val="00A25C82"/>
    <w:rsid w:val="00A25D37"/>
    <w:rsid w:val="00A25E0F"/>
    <w:rsid w:val="00A25FA6"/>
    <w:rsid w:val="00A2609C"/>
    <w:rsid w:val="00A2630F"/>
    <w:rsid w:val="00A265DF"/>
    <w:rsid w:val="00A26770"/>
    <w:rsid w:val="00A268B0"/>
    <w:rsid w:val="00A26D43"/>
    <w:rsid w:val="00A26D6D"/>
    <w:rsid w:val="00A27501"/>
    <w:rsid w:val="00A30449"/>
    <w:rsid w:val="00A305C7"/>
    <w:rsid w:val="00A309C0"/>
    <w:rsid w:val="00A30CE6"/>
    <w:rsid w:val="00A30F5E"/>
    <w:rsid w:val="00A31196"/>
    <w:rsid w:val="00A3119D"/>
    <w:rsid w:val="00A316FB"/>
    <w:rsid w:val="00A317E2"/>
    <w:rsid w:val="00A319BC"/>
    <w:rsid w:val="00A31A4A"/>
    <w:rsid w:val="00A31ABA"/>
    <w:rsid w:val="00A31C4C"/>
    <w:rsid w:val="00A31F25"/>
    <w:rsid w:val="00A321DF"/>
    <w:rsid w:val="00A32332"/>
    <w:rsid w:val="00A32C2C"/>
    <w:rsid w:val="00A32D11"/>
    <w:rsid w:val="00A32EF3"/>
    <w:rsid w:val="00A338DA"/>
    <w:rsid w:val="00A33D39"/>
    <w:rsid w:val="00A33E06"/>
    <w:rsid w:val="00A3404D"/>
    <w:rsid w:val="00A343BC"/>
    <w:rsid w:val="00A348CD"/>
    <w:rsid w:val="00A34DE4"/>
    <w:rsid w:val="00A34E55"/>
    <w:rsid w:val="00A3507F"/>
    <w:rsid w:val="00A354C9"/>
    <w:rsid w:val="00A356FA"/>
    <w:rsid w:val="00A357E2"/>
    <w:rsid w:val="00A35807"/>
    <w:rsid w:val="00A35CE4"/>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857"/>
    <w:rsid w:val="00A41F8C"/>
    <w:rsid w:val="00A42132"/>
    <w:rsid w:val="00A42691"/>
    <w:rsid w:val="00A42880"/>
    <w:rsid w:val="00A42B91"/>
    <w:rsid w:val="00A42CD1"/>
    <w:rsid w:val="00A43052"/>
    <w:rsid w:val="00A43091"/>
    <w:rsid w:val="00A4347A"/>
    <w:rsid w:val="00A43945"/>
    <w:rsid w:val="00A439D0"/>
    <w:rsid w:val="00A43CE7"/>
    <w:rsid w:val="00A441EA"/>
    <w:rsid w:val="00A4466A"/>
    <w:rsid w:val="00A44ACC"/>
    <w:rsid w:val="00A44B23"/>
    <w:rsid w:val="00A453F3"/>
    <w:rsid w:val="00A45B6D"/>
    <w:rsid w:val="00A45BDD"/>
    <w:rsid w:val="00A45CE8"/>
    <w:rsid w:val="00A46091"/>
    <w:rsid w:val="00A46391"/>
    <w:rsid w:val="00A470D1"/>
    <w:rsid w:val="00A470FB"/>
    <w:rsid w:val="00A4768D"/>
    <w:rsid w:val="00A4781D"/>
    <w:rsid w:val="00A47A32"/>
    <w:rsid w:val="00A50494"/>
    <w:rsid w:val="00A50C66"/>
    <w:rsid w:val="00A50DA3"/>
    <w:rsid w:val="00A512D8"/>
    <w:rsid w:val="00A51441"/>
    <w:rsid w:val="00A51CB7"/>
    <w:rsid w:val="00A52DCC"/>
    <w:rsid w:val="00A52EC8"/>
    <w:rsid w:val="00A5306E"/>
    <w:rsid w:val="00A530CB"/>
    <w:rsid w:val="00A53144"/>
    <w:rsid w:val="00A532E7"/>
    <w:rsid w:val="00A53819"/>
    <w:rsid w:val="00A53E58"/>
    <w:rsid w:val="00A5430C"/>
    <w:rsid w:val="00A544FE"/>
    <w:rsid w:val="00A54B42"/>
    <w:rsid w:val="00A55981"/>
    <w:rsid w:val="00A55D6D"/>
    <w:rsid w:val="00A55FD3"/>
    <w:rsid w:val="00A56266"/>
    <w:rsid w:val="00A564E8"/>
    <w:rsid w:val="00A56EBD"/>
    <w:rsid w:val="00A5756B"/>
    <w:rsid w:val="00A5765C"/>
    <w:rsid w:val="00A57A37"/>
    <w:rsid w:val="00A609CD"/>
    <w:rsid w:val="00A60A1E"/>
    <w:rsid w:val="00A60C96"/>
    <w:rsid w:val="00A60D11"/>
    <w:rsid w:val="00A60F2C"/>
    <w:rsid w:val="00A613B1"/>
    <w:rsid w:val="00A61773"/>
    <w:rsid w:val="00A620E5"/>
    <w:rsid w:val="00A62188"/>
    <w:rsid w:val="00A62699"/>
    <w:rsid w:val="00A62731"/>
    <w:rsid w:val="00A627E9"/>
    <w:rsid w:val="00A62C5D"/>
    <w:rsid w:val="00A636FC"/>
    <w:rsid w:val="00A6386C"/>
    <w:rsid w:val="00A638B5"/>
    <w:rsid w:val="00A63DF9"/>
    <w:rsid w:val="00A6486F"/>
    <w:rsid w:val="00A64FFD"/>
    <w:rsid w:val="00A6520F"/>
    <w:rsid w:val="00A652B3"/>
    <w:rsid w:val="00A6545D"/>
    <w:rsid w:val="00A65566"/>
    <w:rsid w:val="00A65B41"/>
    <w:rsid w:val="00A66663"/>
    <w:rsid w:val="00A66842"/>
    <w:rsid w:val="00A66EEA"/>
    <w:rsid w:val="00A6706E"/>
    <w:rsid w:val="00A671B2"/>
    <w:rsid w:val="00A671F3"/>
    <w:rsid w:val="00A6733E"/>
    <w:rsid w:val="00A67653"/>
    <w:rsid w:val="00A679D7"/>
    <w:rsid w:val="00A70077"/>
    <w:rsid w:val="00A705EC"/>
    <w:rsid w:val="00A70B34"/>
    <w:rsid w:val="00A70BF9"/>
    <w:rsid w:val="00A71583"/>
    <w:rsid w:val="00A71AA3"/>
    <w:rsid w:val="00A71D4E"/>
    <w:rsid w:val="00A71E6A"/>
    <w:rsid w:val="00A71ED3"/>
    <w:rsid w:val="00A71FEF"/>
    <w:rsid w:val="00A7212B"/>
    <w:rsid w:val="00A724D9"/>
    <w:rsid w:val="00A724F2"/>
    <w:rsid w:val="00A72E80"/>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B76"/>
    <w:rsid w:val="00A77D13"/>
    <w:rsid w:val="00A77F41"/>
    <w:rsid w:val="00A77FE1"/>
    <w:rsid w:val="00A8030D"/>
    <w:rsid w:val="00A80650"/>
    <w:rsid w:val="00A80679"/>
    <w:rsid w:val="00A80739"/>
    <w:rsid w:val="00A807F7"/>
    <w:rsid w:val="00A80819"/>
    <w:rsid w:val="00A80B2F"/>
    <w:rsid w:val="00A810B2"/>
    <w:rsid w:val="00A8136E"/>
    <w:rsid w:val="00A815A3"/>
    <w:rsid w:val="00A81848"/>
    <w:rsid w:val="00A81AA9"/>
    <w:rsid w:val="00A8204E"/>
    <w:rsid w:val="00A823C1"/>
    <w:rsid w:val="00A8247C"/>
    <w:rsid w:val="00A8254C"/>
    <w:rsid w:val="00A827C4"/>
    <w:rsid w:val="00A829FA"/>
    <w:rsid w:val="00A82DCC"/>
    <w:rsid w:val="00A82FF1"/>
    <w:rsid w:val="00A831AB"/>
    <w:rsid w:val="00A836E9"/>
    <w:rsid w:val="00A846F4"/>
    <w:rsid w:val="00A84D67"/>
    <w:rsid w:val="00A84DFE"/>
    <w:rsid w:val="00A85036"/>
    <w:rsid w:val="00A85343"/>
    <w:rsid w:val="00A853A3"/>
    <w:rsid w:val="00A85766"/>
    <w:rsid w:val="00A85817"/>
    <w:rsid w:val="00A85C22"/>
    <w:rsid w:val="00A862BF"/>
    <w:rsid w:val="00A862F6"/>
    <w:rsid w:val="00A863B6"/>
    <w:rsid w:val="00A863E0"/>
    <w:rsid w:val="00A86682"/>
    <w:rsid w:val="00A86D8F"/>
    <w:rsid w:val="00A86FBA"/>
    <w:rsid w:val="00A87910"/>
    <w:rsid w:val="00A87B77"/>
    <w:rsid w:val="00A9040F"/>
    <w:rsid w:val="00A9043D"/>
    <w:rsid w:val="00A90783"/>
    <w:rsid w:val="00A90A42"/>
    <w:rsid w:val="00A90B09"/>
    <w:rsid w:val="00A90D80"/>
    <w:rsid w:val="00A912F1"/>
    <w:rsid w:val="00A9146B"/>
    <w:rsid w:val="00A9196A"/>
    <w:rsid w:val="00A91CDF"/>
    <w:rsid w:val="00A9316B"/>
    <w:rsid w:val="00A93C7D"/>
    <w:rsid w:val="00A93ED0"/>
    <w:rsid w:val="00A943ED"/>
    <w:rsid w:val="00A9478B"/>
    <w:rsid w:val="00A949DB"/>
    <w:rsid w:val="00A94B3F"/>
    <w:rsid w:val="00A95004"/>
    <w:rsid w:val="00A958D5"/>
    <w:rsid w:val="00A95B32"/>
    <w:rsid w:val="00A95BC5"/>
    <w:rsid w:val="00A962A4"/>
    <w:rsid w:val="00A962CB"/>
    <w:rsid w:val="00A962E6"/>
    <w:rsid w:val="00A969BF"/>
    <w:rsid w:val="00A974BB"/>
    <w:rsid w:val="00A977EC"/>
    <w:rsid w:val="00AA0121"/>
    <w:rsid w:val="00AA0268"/>
    <w:rsid w:val="00AA0B03"/>
    <w:rsid w:val="00AA0DE7"/>
    <w:rsid w:val="00AA0EB9"/>
    <w:rsid w:val="00AA1075"/>
    <w:rsid w:val="00AA1809"/>
    <w:rsid w:val="00AA194B"/>
    <w:rsid w:val="00AA225E"/>
    <w:rsid w:val="00AA2272"/>
    <w:rsid w:val="00AA234C"/>
    <w:rsid w:val="00AA2382"/>
    <w:rsid w:val="00AA26AE"/>
    <w:rsid w:val="00AA34A9"/>
    <w:rsid w:val="00AA3555"/>
    <w:rsid w:val="00AA390E"/>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6C2E"/>
    <w:rsid w:val="00AA72CF"/>
    <w:rsid w:val="00AA7A05"/>
    <w:rsid w:val="00AA7D67"/>
    <w:rsid w:val="00AB012B"/>
    <w:rsid w:val="00AB015C"/>
    <w:rsid w:val="00AB0569"/>
    <w:rsid w:val="00AB0938"/>
    <w:rsid w:val="00AB0D93"/>
    <w:rsid w:val="00AB0FF4"/>
    <w:rsid w:val="00AB103B"/>
    <w:rsid w:val="00AB132C"/>
    <w:rsid w:val="00AB152A"/>
    <w:rsid w:val="00AB18C2"/>
    <w:rsid w:val="00AB1FFB"/>
    <w:rsid w:val="00AB2716"/>
    <w:rsid w:val="00AB2A29"/>
    <w:rsid w:val="00AB33B6"/>
    <w:rsid w:val="00AB37BB"/>
    <w:rsid w:val="00AB395A"/>
    <w:rsid w:val="00AB3E57"/>
    <w:rsid w:val="00AB403C"/>
    <w:rsid w:val="00AB40DD"/>
    <w:rsid w:val="00AB40F3"/>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202"/>
    <w:rsid w:val="00AC0218"/>
    <w:rsid w:val="00AC02DB"/>
    <w:rsid w:val="00AC041F"/>
    <w:rsid w:val="00AC064B"/>
    <w:rsid w:val="00AC0DF3"/>
    <w:rsid w:val="00AC1105"/>
    <w:rsid w:val="00AC1AF7"/>
    <w:rsid w:val="00AC1D80"/>
    <w:rsid w:val="00AC1F50"/>
    <w:rsid w:val="00AC2226"/>
    <w:rsid w:val="00AC29F8"/>
    <w:rsid w:val="00AC34BD"/>
    <w:rsid w:val="00AC3B67"/>
    <w:rsid w:val="00AC3E8A"/>
    <w:rsid w:val="00AC460D"/>
    <w:rsid w:val="00AC469E"/>
    <w:rsid w:val="00AC4921"/>
    <w:rsid w:val="00AC4E36"/>
    <w:rsid w:val="00AC4E43"/>
    <w:rsid w:val="00AC50BE"/>
    <w:rsid w:val="00AC5299"/>
    <w:rsid w:val="00AC59C2"/>
    <w:rsid w:val="00AC5F49"/>
    <w:rsid w:val="00AC5FF4"/>
    <w:rsid w:val="00AC60E9"/>
    <w:rsid w:val="00AC6690"/>
    <w:rsid w:val="00AC75A7"/>
    <w:rsid w:val="00AC7CE8"/>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3A"/>
    <w:rsid w:val="00AD139A"/>
    <w:rsid w:val="00AD15EE"/>
    <w:rsid w:val="00AD173A"/>
    <w:rsid w:val="00AD1E90"/>
    <w:rsid w:val="00AD1F8F"/>
    <w:rsid w:val="00AD2AFB"/>
    <w:rsid w:val="00AD2C41"/>
    <w:rsid w:val="00AD2FF3"/>
    <w:rsid w:val="00AD31C6"/>
    <w:rsid w:val="00AD3371"/>
    <w:rsid w:val="00AD3A33"/>
    <w:rsid w:val="00AD44BD"/>
    <w:rsid w:val="00AD44EE"/>
    <w:rsid w:val="00AD4655"/>
    <w:rsid w:val="00AD4BC1"/>
    <w:rsid w:val="00AD4FFB"/>
    <w:rsid w:val="00AD550E"/>
    <w:rsid w:val="00AD5630"/>
    <w:rsid w:val="00AD5714"/>
    <w:rsid w:val="00AD5855"/>
    <w:rsid w:val="00AD59B0"/>
    <w:rsid w:val="00AD5AAB"/>
    <w:rsid w:val="00AD5BE7"/>
    <w:rsid w:val="00AD5F2F"/>
    <w:rsid w:val="00AD5FDB"/>
    <w:rsid w:val="00AD658E"/>
    <w:rsid w:val="00AD6E7C"/>
    <w:rsid w:val="00AD752B"/>
    <w:rsid w:val="00AD7A3A"/>
    <w:rsid w:val="00AD7D86"/>
    <w:rsid w:val="00AD7DC2"/>
    <w:rsid w:val="00AE05EF"/>
    <w:rsid w:val="00AE0A60"/>
    <w:rsid w:val="00AE0FC2"/>
    <w:rsid w:val="00AE13F4"/>
    <w:rsid w:val="00AE1710"/>
    <w:rsid w:val="00AE1A9F"/>
    <w:rsid w:val="00AE1B44"/>
    <w:rsid w:val="00AE1D35"/>
    <w:rsid w:val="00AE1FB1"/>
    <w:rsid w:val="00AE20D0"/>
    <w:rsid w:val="00AE2386"/>
    <w:rsid w:val="00AE27DE"/>
    <w:rsid w:val="00AE2AEE"/>
    <w:rsid w:val="00AE30C8"/>
    <w:rsid w:val="00AE3A95"/>
    <w:rsid w:val="00AE3D09"/>
    <w:rsid w:val="00AE4F58"/>
    <w:rsid w:val="00AE5425"/>
    <w:rsid w:val="00AE596B"/>
    <w:rsid w:val="00AE5C10"/>
    <w:rsid w:val="00AE5D9C"/>
    <w:rsid w:val="00AE5EBB"/>
    <w:rsid w:val="00AE6012"/>
    <w:rsid w:val="00AE68E2"/>
    <w:rsid w:val="00AE6ADF"/>
    <w:rsid w:val="00AE703D"/>
    <w:rsid w:val="00AE7480"/>
    <w:rsid w:val="00AF005D"/>
    <w:rsid w:val="00AF0309"/>
    <w:rsid w:val="00AF041E"/>
    <w:rsid w:val="00AF04ED"/>
    <w:rsid w:val="00AF0690"/>
    <w:rsid w:val="00AF077C"/>
    <w:rsid w:val="00AF0A1D"/>
    <w:rsid w:val="00AF0CC6"/>
    <w:rsid w:val="00AF0FE7"/>
    <w:rsid w:val="00AF1BC5"/>
    <w:rsid w:val="00AF1C33"/>
    <w:rsid w:val="00AF1F2C"/>
    <w:rsid w:val="00AF2397"/>
    <w:rsid w:val="00AF2D3C"/>
    <w:rsid w:val="00AF3309"/>
    <w:rsid w:val="00AF33A3"/>
    <w:rsid w:val="00AF364F"/>
    <w:rsid w:val="00AF36FD"/>
    <w:rsid w:val="00AF3761"/>
    <w:rsid w:val="00AF37E8"/>
    <w:rsid w:val="00AF39CE"/>
    <w:rsid w:val="00AF3C98"/>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899"/>
    <w:rsid w:val="00AF6CA2"/>
    <w:rsid w:val="00AF6D72"/>
    <w:rsid w:val="00AF6E01"/>
    <w:rsid w:val="00AF6F55"/>
    <w:rsid w:val="00AF6F57"/>
    <w:rsid w:val="00AF7A9D"/>
    <w:rsid w:val="00B00AD3"/>
    <w:rsid w:val="00B00B78"/>
    <w:rsid w:val="00B00F85"/>
    <w:rsid w:val="00B00FBC"/>
    <w:rsid w:val="00B0122F"/>
    <w:rsid w:val="00B012F4"/>
    <w:rsid w:val="00B0137C"/>
    <w:rsid w:val="00B014A4"/>
    <w:rsid w:val="00B014D4"/>
    <w:rsid w:val="00B01532"/>
    <w:rsid w:val="00B016B8"/>
    <w:rsid w:val="00B01F39"/>
    <w:rsid w:val="00B03A5D"/>
    <w:rsid w:val="00B03F6E"/>
    <w:rsid w:val="00B0409E"/>
    <w:rsid w:val="00B0464D"/>
    <w:rsid w:val="00B04BAD"/>
    <w:rsid w:val="00B054EA"/>
    <w:rsid w:val="00B05852"/>
    <w:rsid w:val="00B06B4A"/>
    <w:rsid w:val="00B0735F"/>
    <w:rsid w:val="00B0746F"/>
    <w:rsid w:val="00B07D7C"/>
    <w:rsid w:val="00B07E63"/>
    <w:rsid w:val="00B108C5"/>
    <w:rsid w:val="00B10C6F"/>
    <w:rsid w:val="00B1112B"/>
    <w:rsid w:val="00B11596"/>
    <w:rsid w:val="00B11D0C"/>
    <w:rsid w:val="00B120C1"/>
    <w:rsid w:val="00B12100"/>
    <w:rsid w:val="00B1234C"/>
    <w:rsid w:val="00B12889"/>
    <w:rsid w:val="00B12AAA"/>
    <w:rsid w:val="00B12C58"/>
    <w:rsid w:val="00B13141"/>
    <w:rsid w:val="00B13188"/>
    <w:rsid w:val="00B131F5"/>
    <w:rsid w:val="00B13331"/>
    <w:rsid w:val="00B13B7E"/>
    <w:rsid w:val="00B13E87"/>
    <w:rsid w:val="00B1424B"/>
    <w:rsid w:val="00B14495"/>
    <w:rsid w:val="00B14D8B"/>
    <w:rsid w:val="00B15202"/>
    <w:rsid w:val="00B15321"/>
    <w:rsid w:val="00B15684"/>
    <w:rsid w:val="00B1593E"/>
    <w:rsid w:val="00B15ABC"/>
    <w:rsid w:val="00B15E87"/>
    <w:rsid w:val="00B16A40"/>
    <w:rsid w:val="00B170D8"/>
    <w:rsid w:val="00B17440"/>
    <w:rsid w:val="00B176F5"/>
    <w:rsid w:val="00B17A42"/>
    <w:rsid w:val="00B17D52"/>
    <w:rsid w:val="00B2040C"/>
    <w:rsid w:val="00B2063E"/>
    <w:rsid w:val="00B20F73"/>
    <w:rsid w:val="00B21AA3"/>
    <w:rsid w:val="00B222AA"/>
    <w:rsid w:val="00B2248F"/>
    <w:rsid w:val="00B22599"/>
    <w:rsid w:val="00B22644"/>
    <w:rsid w:val="00B22C00"/>
    <w:rsid w:val="00B22D32"/>
    <w:rsid w:val="00B22E0A"/>
    <w:rsid w:val="00B22E59"/>
    <w:rsid w:val="00B23038"/>
    <w:rsid w:val="00B233E0"/>
    <w:rsid w:val="00B2467D"/>
    <w:rsid w:val="00B24AF7"/>
    <w:rsid w:val="00B24E89"/>
    <w:rsid w:val="00B2592F"/>
    <w:rsid w:val="00B25E48"/>
    <w:rsid w:val="00B25E77"/>
    <w:rsid w:val="00B26C38"/>
    <w:rsid w:val="00B26C7A"/>
    <w:rsid w:val="00B26FEF"/>
    <w:rsid w:val="00B2771D"/>
    <w:rsid w:val="00B279EA"/>
    <w:rsid w:val="00B307F6"/>
    <w:rsid w:val="00B307F8"/>
    <w:rsid w:val="00B30B7E"/>
    <w:rsid w:val="00B30C5F"/>
    <w:rsid w:val="00B30E80"/>
    <w:rsid w:val="00B3105D"/>
    <w:rsid w:val="00B31069"/>
    <w:rsid w:val="00B31273"/>
    <w:rsid w:val="00B3149A"/>
    <w:rsid w:val="00B316D7"/>
    <w:rsid w:val="00B317A4"/>
    <w:rsid w:val="00B31901"/>
    <w:rsid w:val="00B31EBC"/>
    <w:rsid w:val="00B324D0"/>
    <w:rsid w:val="00B3344B"/>
    <w:rsid w:val="00B339AB"/>
    <w:rsid w:val="00B33D3B"/>
    <w:rsid w:val="00B33EFA"/>
    <w:rsid w:val="00B34C88"/>
    <w:rsid w:val="00B34CF7"/>
    <w:rsid w:val="00B35C88"/>
    <w:rsid w:val="00B3642C"/>
    <w:rsid w:val="00B3655A"/>
    <w:rsid w:val="00B36703"/>
    <w:rsid w:val="00B3677B"/>
    <w:rsid w:val="00B368FE"/>
    <w:rsid w:val="00B36AE3"/>
    <w:rsid w:val="00B36E65"/>
    <w:rsid w:val="00B3745E"/>
    <w:rsid w:val="00B375CF"/>
    <w:rsid w:val="00B37741"/>
    <w:rsid w:val="00B37873"/>
    <w:rsid w:val="00B40176"/>
    <w:rsid w:val="00B411AC"/>
    <w:rsid w:val="00B416C6"/>
    <w:rsid w:val="00B422C1"/>
    <w:rsid w:val="00B423AA"/>
    <w:rsid w:val="00B42405"/>
    <w:rsid w:val="00B42586"/>
    <w:rsid w:val="00B42BC5"/>
    <w:rsid w:val="00B42BE1"/>
    <w:rsid w:val="00B42D26"/>
    <w:rsid w:val="00B42D55"/>
    <w:rsid w:val="00B42F6B"/>
    <w:rsid w:val="00B431BD"/>
    <w:rsid w:val="00B4325E"/>
    <w:rsid w:val="00B43B7D"/>
    <w:rsid w:val="00B43D36"/>
    <w:rsid w:val="00B43FEC"/>
    <w:rsid w:val="00B441F3"/>
    <w:rsid w:val="00B4554E"/>
    <w:rsid w:val="00B45904"/>
    <w:rsid w:val="00B45A02"/>
    <w:rsid w:val="00B45C67"/>
    <w:rsid w:val="00B45CF8"/>
    <w:rsid w:val="00B45FD1"/>
    <w:rsid w:val="00B46006"/>
    <w:rsid w:val="00B46326"/>
    <w:rsid w:val="00B4661A"/>
    <w:rsid w:val="00B46A98"/>
    <w:rsid w:val="00B46C25"/>
    <w:rsid w:val="00B5007C"/>
    <w:rsid w:val="00B504DA"/>
    <w:rsid w:val="00B50764"/>
    <w:rsid w:val="00B51611"/>
    <w:rsid w:val="00B5173B"/>
    <w:rsid w:val="00B51B14"/>
    <w:rsid w:val="00B51C7E"/>
    <w:rsid w:val="00B51CED"/>
    <w:rsid w:val="00B5227A"/>
    <w:rsid w:val="00B5228A"/>
    <w:rsid w:val="00B52440"/>
    <w:rsid w:val="00B524F2"/>
    <w:rsid w:val="00B526F1"/>
    <w:rsid w:val="00B5274C"/>
    <w:rsid w:val="00B52B61"/>
    <w:rsid w:val="00B5317B"/>
    <w:rsid w:val="00B531A1"/>
    <w:rsid w:val="00B53C70"/>
    <w:rsid w:val="00B53D00"/>
    <w:rsid w:val="00B53D9A"/>
    <w:rsid w:val="00B53E2E"/>
    <w:rsid w:val="00B5438C"/>
    <w:rsid w:val="00B543A6"/>
    <w:rsid w:val="00B54496"/>
    <w:rsid w:val="00B54A6B"/>
    <w:rsid w:val="00B5526E"/>
    <w:rsid w:val="00B55334"/>
    <w:rsid w:val="00B5588A"/>
    <w:rsid w:val="00B55B94"/>
    <w:rsid w:val="00B55C61"/>
    <w:rsid w:val="00B5602E"/>
    <w:rsid w:val="00B56213"/>
    <w:rsid w:val="00B564F7"/>
    <w:rsid w:val="00B5677E"/>
    <w:rsid w:val="00B56D26"/>
    <w:rsid w:val="00B56F6D"/>
    <w:rsid w:val="00B570EE"/>
    <w:rsid w:val="00B5726B"/>
    <w:rsid w:val="00B572E1"/>
    <w:rsid w:val="00B57391"/>
    <w:rsid w:val="00B57558"/>
    <w:rsid w:val="00B57791"/>
    <w:rsid w:val="00B57B27"/>
    <w:rsid w:val="00B57E69"/>
    <w:rsid w:val="00B57EAB"/>
    <w:rsid w:val="00B60E0A"/>
    <w:rsid w:val="00B61319"/>
    <w:rsid w:val="00B617B7"/>
    <w:rsid w:val="00B61DDB"/>
    <w:rsid w:val="00B622BB"/>
    <w:rsid w:val="00B622D7"/>
    <w:rsid w:val="00B6263B"/>
    <w:rsid w:val="00B62687"/>
    <w:rsid w:val="00B627F2"/>
    <w:rsid w:val="00B62A90"/>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530"/>
    <w:rsid w:val="00B70F0F"/>
    <w:rsid w:val="00B710B7"/>
    <w:rsid w:val="00B711B7"/>
    <w:rsid w:val="00B712E9"/>
    <w:rsid w:val="00B71787"/>
    <w:rsid w:val="00B71840"/>
    <w:rsid w:val="00B71B2C"/>
    <w:rsid w:val="00B71C28"/>
    <w:rsid w:val="00B71CD0"/>
    <w:rsid w:val="00B7216E"/>
    <w:rsid w:val="00B721C1"/>
    <w:rsid w:val="00B722E2"/>
    <w:rsid w:val="00B7237B"/>
    <w:rsid w:val="00B7295A"/>
    <w:rsid w:val="00B729ED"/>
    <w:rsid w:val="00B72C53"/>
    <w:rsid w:val="00B72CB5"/>
    <w:rsid w:val="00B73149"/>
    <w:rsid w:val="00B73154"/>
    <w:rsid w:val="00B731FE"/>
    <w:rsid w:val="00B738B5"/>
    <w:rsid w:val="00B73913"/>
    <w:rsid w:val="00B73E3F"/>
    <w:rsid w:val="00B742B7"/>
    <w:rsid w:val="00B746AD"/>
    <w:rsid w:val="00B74755"/>
    <w:rsid w:val="00B74A4E"/>
    <w:rsid w:val="00B74B99"/>
    <w:rsid w:val="00B75217"/>
    <w:rsid w:val="00B7571F"/>
    <w:rsid w:val="00B75D76"/>
    <w:rsid w:val="00B76283"/>
    <w:rsid w:val="00B76A77"/>
    <w:rsid w:val="00B775A2"/>
    <w:rsid w:val="00B77E22"/>
    <w:rsid w:val="00B80053"/>
    <w:rsid w:val="00B80B4B"/>
    <w:rsid w:val="00B80D4F"/>
    <w:rsid w:val="00B81017"/>
    <w:rsid w:val="00B81A70"/>
    <w:rsid w:val="00B81C07"/>
    <w:rsid w:val="00B81CB9"/>
    <w:rsid w:val="00B820CA"/>
    <w:rsid w:val="00B826AE"/>
    <w:rsid w:val="00B82994"/>
    <w:rsid w:val="00B83046"/>
    <w:rsid w:val="00B83C1E"/>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9C3"/>
    <w:rsid w:val="00B87F32"/>
    <w:rsid w:val="00B87F6D"/>
    <w:rsid w:val="00B90146"/>
    <w:rsid w:val="00B9086F"/>
    <w:rsid w:val="00B908BC"/>
    <w:rsid w:val="00B909E2"/>
    <w:rsid w:val="00B90A53"/>
    <w:rsid w:val="00B90B28"/>
    <w:rsid w:val="00B90E8B"/>
    <w:rsid w:val="00B915C3"/>
    <w:rsid w:val="00B91D95"/>
    <w:rsid w:val="00B92116"/>
    <w:rsid w:val="00B921E4"/>
    <w:rsid w:val="00B92206"/>
    <w:rsid w:val="00B9230F"/>
    <w:rsid w:val="00B92320"/>
    <w:rsid w:val="00B92444"/>
    <w:rsid w:val="00B92750"/>
    <w:rsid w:val="00B92B9C"/>
    <w:rsid w:val="00B92BC8"/>
    <w:rsid w:val="00B92CDE"/>
    <w:rsid w:val="00B93521"/>
    <w:rsid w:val="00B937EC"/>
    <w:rsid w:val="00B93D6C"/>
    <w:rsid w:val="00B946D9"/>
    <w:rsid w:val="00B94752"/>
    <w:rsid w:val="00B947BB"/>
    <w:rsid w:val="00B9485D"/>
    <w:rsid w:val="00B94A00"/>
    <w:rsid w:val="00B94B08"/>
    <w:rsid w:val="00B94F30"/>
    <w:rsid w:val="00B94FA7"/>
    <w:rsid w:val="00B9507A"/>
    <w:rsid w:val="00B950A8"/>
    <w:rsid w:val="00B9510F"/>
    <w:rsid w:val="00B95244"/>
    <w:rsid w:val="00B95740"/>
    <w:rsid w:val="00B95A41"/>
    <w:rsid w:val="00B95BD2"/>
    <w:rsid w:val="00B95E6B"/>
    <w:rsid w:val="00B96269"/>
    <w:rsid w:val="00B96407"/>
    <w:rsid w:val="00B96468"/>
    <w:rsid w:val="00B96C1F"/>
    <w:rsid w:val="00B96FB0"/>
    <w:rsid w:val="00B970FC"/>
    <w:rsid w:val="00B977D0"/>
    <w:rsid w:val="00B97810"/>
    <w:rsid w:val="00B97BC3"/>
    <w:rsid w:val="00BA001D"/>
    <w:rsid w:val="00BA0360"/>
    <w:rsid w:val="00BA07DA"/>
    <w:rsid w:val="00BA0F85"/>
    <w:rsid w:val="00BA12DD"/>
    <w:rsid w:val="00BA14D8"/>
    <w:rsid w:val="00BA155C"/>
    <w:rsid w:val="00BA16DC"/>
    <w:rsid w:val="00BA1834"/>
    <w:rsid w:val="00BA1A61"/>
    <w:rsid w:val="00BA1C8A"/>
    <w:rsid w:val="00BA1CFA"/>
    <w:rsid w:val="00BA1EB8"/>
    <w:rsid w:val="00BA26D9"/>
    <w:rsid w:val="00BA3AC2"/>
    <w:rsid w:val="00BA3CD9"/>
    <w:rsid w:val="00BA3FAE"/>
    <w:rsid w:val="00BA416B"/>
    <w:rsid w:val="00BA4F09"/>
    <w:rsid w:val="00BA5077"/>
    <w:rsid w:val="00BA5180"/>
    <w:rsid w:val="00BA5453"/>
    <w:rsid w:val="00BA576F"/>
    <w:rsid w:val="00BA5B05"/>
    <w:rsid w:val="00BA5C56"/>
    <w:rsid w:val="00BA5D57"/>
    <w:rsid w:val="00BA6642"/>
    <w:rsid w:val="00BA6738"/>
    <w:rsid w:val="00BA77E9"/>
    <w:rsid w:val="00BA79B5"/>
    <w:rsid w:val="00BA7A2B"/>
    <w:rsid w:val="00BB00D2"/>
    <w:rsid w:val="00BB01A4"/>
    <w:rsid w:val="00BB03BF"/>
    <w:rsid w:val="00BB09C9"/>
    <w:rsid w:val="00BB0EE7"/>
    <w:rsid w:val="00BB1066"/>
    <w:rsid w:val="00BB119F"/>
    <w:rsid w:val="00BB1341"/>
    <w:rsid w:val="00BB141D"/>
    <w:rsid w:val="00BB1B0E"/>
    <w:rsid w:val="00BB1EB6"/>
    <w:rsid w:val="00BB1FE1"/>
    <w:rsid w:val="00BB2479"/>
    <w:rsid w:val="00BB26FB"/>
    <w:rsid w:val="00BB2A0F"/>
    <w:rsid w:val="00BB355C"/>
    <w:rsid w:val="00BB3B82"/>
    <w:rsid w:val="00BB3CDD"/>
    <w:rsid w:val="00BB41C9"/>
    <w:rsid w:val="00BB4350"/>
    <w:rsid w:val="00BB463E"/>
    <w:rsid w:val="00BB46A2"/>
    <w:rsid w:val="00BB4F2C"/>
    <w:rsid w:val="00BB5054"/>
    <w:rsid w:val="00BB521F"/>
    <w:rsid w:val="00BB58F3"/>
    <w:rsid w:val="00BB5CE6"/>
    <w:rsid w:val="00BB6393"/>
    <w:rsid w:val="00BB66B4"/>
    <w:rsid w:val="00BB6A57"/>
    <w:rsid w:val="00BB73FD"/>
    <w:rsid w:val="00BB7629"/>
    <w:rsid w:val="00BB7A07"/>
    <w:rsid w:val="00BC083A"/>
    <w:rsid w:val="00BC0FBB"/>
    <w:rsid w:val="00BC13BD"/>
    <w:rsid w:val="00BC1B87"/>
    <w:rsid w:val="00BC1CB9"/>
    <w:rsid w:val="00BC1DEC"/>
    <w:rsid w:val="00BC2233"/>
    <w:rsid w:val="00BC266B"/>
    <w:rsid w:val="00BC279E"/>
    <w:rsid w:val="00BC2A03"/>
    <w:rsid w:val="00BC2AD2"/>
    <w:rsid w:val="00BC30C7"/>
    <w:rsid w:val="00BC331B"/>
    <w:rsid w:val="00BC3CF6"/>
    <w:rsid w:val="00BC3D7B"/>
    <w:rsid w:val="00BC40CA"/>
    <w:rsid w:val="00BC425B"/>
    <w:rsid w:val="00BC4273"/>
    <w:rsid w:val="00BC45DB"/>
    <w:rsid w:val="00BC49B6"/>
    <w:rsid w:val="00BC4AD2"/>
    <w:rsid w:val="00BC4E65"/>
    <w:rsid w:val="00BC4EAB"/>
    <w:rsid w:val="00BC5110"/>
    <w:rsid w:val="00BC5326"/>
    <w:rsid w:val="00BC55CC"/>
    <w:rsid w:val="00BC5661"/>
    <w:rsid w:val="00BC586C"/>
    <w:rsid w:val="00BC5CD5"/>
    <w:rsid w:val="00BC629F"/>
    <w:rsid w:val="00BC650D"/>
    <w:rsid w:val="00BC6709"/>
    <w:rsid w:val="00BC6776"/>
    <w:rsid w:val="00BC68F9"/>
    <w:rsid w:val="00BC6C97"/>
    <w:rsid w:val="00BC7050"/>
    <w:rsid w:val="00BC707F"/>
    <w:rsid w:val="00BC71B2"/>
    <w:rsid w:val="00BC71D2"/>
    <w:rsid w:val="00BC720F"/>
    <w:rsid w:val="00BC726F"/>
    <w:rsid w:val="00BC7758"/>
    <w:rsid w:val="00BC7798"/>
    <w:rsid w:val="00BC7B34"/>
    <w:rsid w:val="00BC7C97"/>
    <w:rsid w:val="00BD006A"/>
    <w:rsid w:val="00BD012A"/>
    <w:rsid w:val="00BD07B6"/>
    <w:rsid w:val="00BD1B09"/>
    <w:rsid w:val="00BD1BB7"/>
    <w:rsid w:val="00BD1F8B"/>
    <w:rsid w:val="00BD202B"/>
    <w:rsid w:val="00BD20E7"/>
    <w:rsid w:val="00BD26ED"/>
    <w:rsid w:val="00BD2A49"/>
    <w:rsid w:val="00BD2ED8"/>
    <w:rsid w:val="00BD2FDD"/>
    <w:rsid w:val="00BD3338"/>
    <w:rsid w:val="00BD34AE"/>
    <w:rsid w:val="00BD3954"/>
    <w:rsid w:val="00BD3DF5"/>
    <w:rsid w:val="00BD433C"/>
    <w:rsid w:val="00BD4615"/>
    <w:rsid w:val="00BD46F3"/>
    <w:rsid w:val="00BD48E0"/>
    <w:rsid w:val="00BD4BCC"/>
    <w:rsid w:val="00BD604B"/>
    <w:rsid w:val="00BD60A0"/>
    <w:rsid w:val="00BD6183"/>
    <w:rsid w:val="00BD61EE"/>
    <w:rsid w:val="00BD6591"/>
    <w:rsid w:val="00BD659D"/>
    <w:rsid w:val="00BD6D2D"/>
    <w:rsid w:val="00BD7999"/>
    <w:rsid w:val="00BD7AB6"/>
    <w:rsid w:val="00BD7D14"/>
    <w:rsid w:val="00BD7DE3"/>
    <w:rsid w:val="00BE010F"/>
    <w:rsid w:val="00BE0906"/>
    <w:rsid w:val="00BE09B7"/>
    <w:rsid w:val="00BE0B40"/>
    <w:rsid w:val="00BE180F"/>
    <w:rsid w:val="00BE1B91"/>
    <w:rsid w:val="00BE223F"/>
    <w:rsid w:val="00BE232B"/>
    <w:rsid w:val="00BE23EF"/>
    <w:rsid w:val="00BE2565"/>
    <w:rsid w:val="00BE25F2"/>
    <w:rsid w:val="00BE2860"/>
    <w:rsid w:val="00BE2EEF"/>
    <w:rsid w:val="00BE3041"/>
    <w:rsid w:val="00BE3B9C"/>
    <w:rsid w:val="00BE3E56"/>
    <w:rsid w:val="00BE45EE"/>
    <w:rsid w:val="00BE46A0"/>
    <w:rsid w:val="00BE4764"/>
    <w:rsid w:val="00BE4EB9"/>
    <w:rsid w:val="00BE502D"/>
    <w:rsid w:val="00BE53FF"/>
    <w:rsid w:val="00BE5571"/>
    <w:rsid w:val="00BE57DB"/>
    <w:rsid w:val="00BE67D3"/>
    <w:rsid w:val="00BE6E8C"/>
    <w:rsid w:val="00BE706D"/>
    <w:rsid w:val="00BE7596"/>
    <w:rsid w:val="00BE7681"/>
    <w:rsid w:val="00BE78B9"/>
    <w:rsid w:val="00BF02F3"/>
    <w:rsid w:val="00BF0518"/>
    <w:rsid w:val="00BF0E98"/>
    <w:rsid w:val="00BF0FC2"/>
    <w:rsid w:val="00BF122D"/>
    <w:rsid w:val="00BF1466"/>
    <w:rsid w:val="00BF178F"/>
    <w:rsid w:val="00BF1A35"/>
    <w:rsid w:val="00BF1CCE"/>
    <w:rsid w:val="00BF1E82"/>
    <w:rsid w:val="00BF2B49"/>
    <w:rsid w:val="00BF2E71"/>
    <w:rsid w:val="00BF3335"/>
    <w:rsid w:val="00BF3340"/>
    <w:rsid w:val="00BF33FD"/>
    <w:rsid w:val="00BF3B2C"/>
    <w:rsid w:val="00BF3E55"/>
    <w:rsid w:val="00BF42B9"/>
    <w:rsid w:val="00BF4654"/>
    <w:rsid w:val="00BF47D6"/>
    <w:rsid w:val="00BF4816"/>
    <w:rsid w:val="00BF49C5"/>
    <w:rsid w:val="00BF4E96"/>
    <w:rsid w:val="00BF4FF6"/>
    <w:rsid w:val="00BF5528"/>
    <w:rsid w:val="00BF5569"/>
    <w:rsid w:val="00BF5E8D"/>
    <w:rsid w:val="00BF6052"/>
    <w:rsid w:val="00BF6098"/>
    <w:rsid w:val="00BF643B"/>
    <w:rsid w:val="00BF6873"/>
    <w:rsid w:val="00BF69A5"/>
    <w:rsid w:val="00BF6CBD"/>
    <w:rsid w:val="00BF6E5C"/>
    <w:rsid w:val="00BF6FF1"/>
    <w:rsid w:val="00BF72AB"/>
    <w:rsid w:val="00BF7497"/>
    <w:rsid w:val="00BF770E"/>
    <w:rsid w:val="00BF7719"/>
    <w:rsid w:val="00BF7BC9"/>
    <w:rsid w:val="00BF7F78"/>
    <w:rsid w:val="00C00552"/>
    <w:rsid w:val="00C00891"/>
    <w:rsid w:val="00C00D48"/>
    <w:rsid w:val="00C0100F"/>
    <w:rsid w:val="00C01F38"/>
    <w:rsid w:val="00C01F42"/>
    <w:rsid w:val="00C02147"/>
    <w:rsid w:val="00C0216B"/>
    <w:rsid w:val="00C021AE"/>
    <w:rsid w:val="00C0255B"/>
    <w:rsid w:val="00C028E8"/>
    <w:rsid w:val="00C0326B"/>
    <w:rsid w:val="00C0351A"/>
    <w:rsid w:val="00C03A30"/>
    <w:rsid w:val="00C0411A"/>
    <w:rsid w:val="00C04231"/>
    <w:rsid w:val="00C043C9"/>
    <w:rsid w:val="00C046A0"/>
    <w:rsid w:val="00C04927"/>
    <w:rsid w:val="00C052FF"/>
    <w:rsid w:val="00C0535A"/>
    <w:rsid w:val="00C055F4"/>
    <w:rsid w:val="00C05818"/>
    <w:rsid w:val="00C0656C"/>
    <w:rsid w:val="00C066C5"/>
    <w:rsid w:val="00C06951"/>
    <w:rsid w:val="00C06FA9"/>
    <w:rsid w:val="00C0706B"/>
    <w:rsid w:val="00C071E7"/>
    <w:rsid w:val="00C07342"/>
    <w:rsid w:val="00C07553"/>
    <w:rsid w:val="00C078C7"/>
    <w:rsid w:val="00C07DCB"/>
    <w:rsid w:val="00C10831"/>
    <w:rsid w:val="00C10F01"/>
    <w:rsid w:val="00C11047"/>
    <w:rsid w:val="00C111A1"/>
    <w:rsid w:val="00C11910"/>
    <w:rsid w:val="00C11E95"/>
    <w:rsid w:val="00C12105"/>
    <w:rsid w:val="00C125F5"/>
    <w:rsid w:val="00C126B6"/>
    <w:rsid w:val="00C126CB"/>
    <w:rsid w:val="00C12942"/>
    <w:rsid w:val="00C129DE"/>
    <w:rsid w:val="00C12ACC"/>
    <w:rsid w:val="00C12DCE"/>
    <w:rsid w:val="00C13031"/>
    <w:rsid w:val="00C1343B"/>
    <w:rsid w:val="00C13734"/>
    <w:rsid w:val="00C13D56"/>
    <w:rsid w:val="00C140E0"/>
    <w:rsid w:val="00C147AC"/>
    <w:rsid w:val="00C15138"/>
    <w:rsid w:val="00C1537A"/>
    <w:rsid w:val="00C1548A"/>
    <w:rsid w:val="00C15677"/>
    <w:rsid w:val="00C15798"/>
    <w:rsid w:val="00C15FB8"/>
    <w:rsid w:val="00C15FBE"/>
    <w:rsid w:val="00C16672"/>
    <w:rsid w:val="00C168B2"/>
    <w:rsid w:val="00C16B84"/>
    <w:rsid w:val="00C16CF1"/>
    <w:rsid w:val="00C17233"/>
    <w:rsid w:val="00C175F2"/>
    <w:rsid w:val="00C17942"/>
    <w:rsid w:val="00C1795B"/>
    <w:rsid w:val="00C179C4"/>
    <w:rsid w:val="00C179E6"/>
    <w:rsid w:val="00C17A3B"/>
    <w:rsid w:val="00C17C40"/>
    <w:rsid w:val="00C17CE1"/>
    <w:rsid w:val="00C20097"/>
    <w:rsid w:val="00C20158"/>
    <w:rsid w:val="00C201FE"/>
    <w:rsid w:val="00C20369"/>
    <w:rsid w:val="00C20CBA"/>
    <w:rsid w:val="00C20CEC"/>
    <w:rsid w:val="00C20DAE"/>
    <w:rsid w:val="00C20E20"/>
    <w:rsid w:val="00C210C2"/>
    <w:rsid w:val="00C21146"/>
    <w:rsid w:val="00C215AA"/>
    <w:rsid w:val="00C21775"/>
    <w:rsid w:val="00C21784"/>
    <w:rsid w:val="00C21AB5"/>
    <w:rsid w:val="00C21E30"/>
    <w:rsid w:val="00C22278"/>
    <w:rsid w:val="00C22325"/>
    <w:rsid w:val="00C2245D"/>
    <w:rsid w:val="00C22701"/>
    <w:rsid w:val="00C22EEC"/>
    <w:rsid w:val="00C22F9F"/>
    <w:rsid w:val="00C23006"/>
    <w:rsid w:val="00C23090"/>
    <w:rsid w:val="00C2333D"/>
    <w:rsid w:val="00C23713"/>
    <w:rsid w:val="00C237EE"/>
    <w:rsid w:val="00C23B06"/>
    <w:rsid w:val="00C23E99"/>
    <w:rsid w:val="00C2404A"/>
    <w:rsid w:val="00C24160"/>
    <w:rsid w:val="00C244D8"/>
    <w:rsid w:val="00C246D6"/>
    <w:rsid w:val="00C25316"/>
    <w:rsid w:val="00C25F3D"/>
    <w:rsid w:val="00C25F7F"/>
    <w:rsid w:val="00C26493"/>
    <w:rsid w:val="00C266E3"/>
    <w:rsid w:val="00C269F2"/>
    <w:rsid w:val="00C26BB6"/>
    <w:rsid w:val="00C27466"/>
    <w:rsid w:val="00C27697"/>
    <w:rsid w:val="00C27C9F"/>
    <w:rsid w:val="00C3057F"/>
    <w:rsid w:val="00C30A93"/>
    <w:rsid w:val="00C30ABC"/>
    <w:rsid w:val="00C30B7F"/>
    <w:rsid w:val="00C30C8D"/>
    <w:rsid w:val="00C30D03"/>
    <w:rsid w:val="00C31EE5"/>
    <w:rsid w:val="00C320F2"/>
    <w:rsid w:val="00C322C9"/>
    <w:rsid w:val="00C322E5"/>
    <w:rsid w:val="00C32E68"/>
    <w:rsid w:val="00C3312E"/>
    <w:rsid w:val="00C33642"/>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F1C"/>
    <w:rsid w:val="00C375D0"/>
    <w:rsid w:val="00C37A99"/>
    <w:rsid w:val="00C37D32"/>
    <w:rsid w:val="00C37F12"/>
    <w:rsid w:val="00C37F2D"/>
    <w:rsid w:val="00C400D0"/>
    <w:rsid w:val="00C40489"/>
    <w:rsid w:val="00C40D00"/>
    <w:rsid w:val="00C40D5A"/>
    <w:rsid w:val="00C40FED"/>
    <w:rsid w:val="00C41190"/>
    <w:rsid w:val="00C414A0"/>
    <w:rsid w:val="00C41C47"/>
    <w:rsid w:val="00C42284"/>
    <w:rsid w:val="00C42A1F"/>
    <w:rsid w:val="00C42B0F"/>
    <w:rsid w:val="00C42B2F"/>
    <w:rsid w:val="00C42DA7"/>
    <w:rsid w:val="00C43144"/>
    <w:rsid w:val="00C43293"/>
    <w:rsid w:val="00C4355C"/>
    <w:rsid w:val="00C43A0A"/>
    <w:rsid w:val="00C43B99"/>
    <w:rsid w:val="00C43BFE"/>
    <w:rsid w:val="00C43C58"/>
    <w:rsid w:val="00C43DE6"/>
    <w:rsid w:val="00C44018"/>
    <w:rsid w:val="00C442B6"/>
    <w:rsid w:val="00C449DE"/>
    <w:rsid w:val="00C44ABB"/>
    <w:rsid w:val="00C45077"/>
    <w:rsid w:val="00C4509C"/>
    <w:rsid w:val="00C454D4"/>
    <w:rsid w:val="00C45545"/>
    <w:rsid w:val="00C45B73"/>
    <w:rsid w:val="00C45C2F"/>
    <w:rsid w:val="00C45F38"/>
    <w:rsid w:val="00C4608B"/>
    <w:rsid w:val="00C46AF2"/>
    <w:rsid w:val="00C46C1A"/>
    <w:rsid w:val="00C46EB8"/>
    <w:rsid w:val="00C47193"/>
    <w:rsid w:val="00C471B9"/>
    <w:rsid w:val="00C47993"/>
    <w:rsid w:val="00C47C63"/>
    <w:rsid w:val="00C50262"/>
    <w:rsid w:val="00C508C5"/>
    <w:rsid w:val="00C50A6C"/>
    <w:rsid w:val="00C50AB2"/>
    <w:rsid w:val="00C50C30"/>
    <w:rsid w:val="00C510E8"/>
    <w:rsid w:val="00C513A8"/>
    <w:rsid w:val="00C5172F"/>
    <w:rsid w:val="00C51B4B"/>
    <w:rsid w:val="00C51DB6"/>
    <w:rsid w:val="00C51FDE"/>
    <w:rsid w:val="00C52079"/>
    <w:rsid w:val="00C527E5"/>
    <w:rsid w:val="00C52C6C"/>
    <w:rsid w:val="00C5304F"/>
    <w:rsid w:val="00C53460"/>
    <w:rsid w:val="00C5391F"/>
    <w:rsid w:val="00C5393E"/>
    <w:rsid w:val="00C53977"/>
    <w:rsid w:val="00C53DCD"/>
    <w:rsid w:val="00C54070"/>
    <w:rsid w:val="00C545D9"/>
    <w:rsid w:val="00C54BEA"/>
    <w:rsid w:val="00C54D15"/>
    <w:rsid w:val="00C55629"/>
    <w:rsid w:val="00C55BEB"/>
    <w:rsid w:val="00C564CB"/>
    <w:rsid w:val="00C5698E"/>
    <w:rsid w:val="00C56C9D"/>
    <w:rsid w:val="00C56CE0"/>
    <w:rsid w:val="00C5710C"/>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072"/>
    <w:rsid w:val="00C6231D"/>
    <w:rsid w:val="00C627F3"/>
    <w:rsid w:val="00C62C6A"/>
    <w:rsid w:val="00C63094"/>
    <w:rsid w:val="00C635F3"/>
    <w:rsid w:val="00C637EF"/>
    <w:rsid w:val="00C638DD"/>
    <w:rsid w:val="00C63967"/>
    <w:rsid w:val="00C63D36"/>
    <w:rsid w:val="00C63F92"/>
    <w:rsid w:val="00C646DB"/>
    <w:rsid w:val="00C64FA6"/>
    <w:rsid w:val="00C64FBF"/>
    <w:rsid w:val="00C65505"/>
    <w:rsid w:val="00C656B5"/>
    <w:rsid w:val="00C65930"/>
    <w:rsid w:val="00C65A63"/>
    <w:rsid w:val="00C65A98"/>
    <w:rsid w:val="00C65FBD"/>
    <w:rsid w:val="00C67146"/>
    <w:rsid w:val="00C67501"/>
    <w:rsid w:val="00C67758"/>
    <w:rsid w:val="00C67AAB"/>
    <w:rsid w:val="00C70082"/>
    <w:rsid w:val="00C70250"/>
    <w:rsid w:val="00C704A4"/>
    <w:rsid w:val="00C707EA"/>
    <w:rsid w:val="00C707FA"/>
    <w:rsid w:val="00C70A5C"/>
    <w:rsid w:val="00C70BC8"/>
    <w:rsid w:val="00C70BFA"/>
    <w:rsid w:val="00C70C0D"/>
    <w:rsid w:val="00C71265"/>
    <w:rsid w:val="00C7192B"/>
    <w:rsid w:val="00C71CC7"/>
    <w:rsid w:val="00C72141"/>
    <w:rsid w:val="00C72554"/>
    <w:rsid w:val="00C72B92"/>
    <w:rsid w:val="00C7305F"/>
    <w:rsid w:val="00C7325E"/>
    <w:rsid w:val="00C735B9"/>
    <w:rsid w:val="00C7452A"/>
    <w:rsid w:val="00C749C9"/>
    <w:rsid w:val="00C74C29"/>
    <w:rsid w:val="00C75518"/>
    <w:rsid w:val="00C75896"/>
    <w:rsid w:val="00C76EAE"/>
    <w:rsid w:val="00C7714F"/>
    <w:rsid w:val="00C77152"/>
    <w:rsid w:val="00C77366"/>
    <w:rsid w:val="00C77627"/>
    <w:rsid w:val="00C777DA"/>
    <w:rsid w:val="00C77A33"/>
    <w:rsid w:val="00C77B1D"/>
    <w:rsid w:val="00C77FA9"/>
    <w:rsid w:val="00C8041C"/>
    <w:rsid w:val="00C80588"/>
    <w:rsid w:val="00C8067D"/>
    <w:rsid w:val="00C8078B"/>
    <w:rsid w:val="00C8080F"/>
    <w:rsid w:val="00C8106E"/>
    <w:rsid w:val="00C81A4D"/>
    <w:rsid w:val="00C81D76"/>
    <w:rsid w:val="00C8234F"/>
    <w:rsid w:val="00C823F2"/>
    <w:rsid w:val="00C826BE"/>
    <w:rsid w:val="00C8280A"/>
    <w:rsid w:val="00C82D1F"/>
    <w:rsid w:val="00C833D1"/>
    <w:rsid w:val="00C834F0"/>
    <w:rsid w:val="00C8396A"/>
    <w:rsid w:val="00C83AF2"/>
    <w:rsid w:val="00C83B15"/>
    <w:rsid w:val="00C83BDD"/>
    <w:rsid w:val="00C84400"/>
    <w:rsid w:val="00C85774"/>
    <w:rsid w:val="00C85A2E"/>
    <w:rsid w:val="00C8609F"/>
    <w:rsid w:val="00C861A6"/>
    <w:rsid w:val="00C862BB"/>
    <w:rsid w:val="00C8670F"/>
    <w:rsid w:val="00C86CC9"/>
    <w:rsid w:val="00C86FD9"/>
    <w:rsid w:val="00C8717D"/>
    <w:rsid w:val="00C872E1"/>
    <w:rsid w:val="00C876B2"/>
    <w:rsid w:val="00C87A05"/>
    <w:rsid w:val="00C87A3F"/>
    <w:rsid w:val="00C87B97"/>
    <w:rsid w:val="00C90135"/>
    <w:rsid w:val="00C90337"/>
    <w:rsid w:val="00C904D6"/>
    <w:rsid w:val="00C905C7"/>
    <w:rsid w:val="00C910C3"/>
    <w:rsid w:val="00C91A09"/>
    <w:rsid w:val="00C91A7B"/>
    <w:rsid w:val="00C91E33"/>
    <w:rsid w:val="00C91FBD"/>
    <w:rsid w:val="00C92804"/>
    <w:rsid w:val="00C92CCE"/>
    <w:rsid w:val="00C9320F"/>
    <w:rsid w:val="00C93A92"/>
    <w:rsid w:val="00C93EFA"/>
    <w:rsid w:val="00C9412E"/>
    <w:rsid w:val="00C94169"/>
    <w:rsid w:val="00C94657"/>
    <w:rsid w:val="00C94955"/>
    <w:rsid w:val="00C94AE9"/>
    <w:rsid w:val="00C94BAB"/>
    <w:rsid w:val="00C950E1"/>
    <w:rsid w:val="00C95767"/>
    <w:rsid w:val="00C95800"/>
    <w:rsid w:val="00C959DF"/>
    <w:rsid w:val="00C95AE1"/>
    <w:rsid w:val="00C95B42"/>
    <w:rsid w:val="00C95EBC"/>
    <w:rsid w:val="00C965B2"/>
    <w:rsid w:val="00C967AA"/>
    <w:rsid w:val="00C96C86"/>
    <w:rsid w:val="00C96DF2"/>
    <w:rsid w:val="00C97183"/>
    <w:rsid w:val="00C97427"/>
    <w:rsid w:val="00C979C5"/>
    <w:rsid w:val="00C97F8D"/>
    <w:rsid w:val="00CA00D8"/>
    <w:rsid w:val="00CA0157"/>
    <w:rsid w:val="00CA05B3"/>
    <w:rsid w:val="00CA0DB9"/>
    <w:rsid w:val="00CA10B1"/>
    <w:rsid w:val="00CA148B"/>
    <w:rsid w:val="00CA1DD8"/>
    <w:rsid w:val="00CA2264"/>
    <w:rsid w:val="00CA2374"/>
    <w:rsid w:val="00CA2552"/>
    <w:rsid w:val="00CA2AFC"/>
    <w:rsid w:val="00CA2C80"/>
    <w:rsid w:val="00CA2E2B"/>
    <w:rsid w:val="00CA2F8A"/>
    <w:rsid w:val="00CA3BE7"/>
    <w:rsid w:val="00CA3C5E"/>
    <w:rsid w:val="00CA3F97"/>
    <w:rsid w:val="00CA3FF1"/>
    <w:rsid w:val="00CA467D"/>
    <w:rsid w:val="00CA47C7"/>
    <w:rsid w:val="00CA4CD9"/>
    <w:rsid w:val="00CA4D54"/>
    <w:rsid w:val="00CA4D76"/>
    <w:rsid w:val="00CA4F92"/>
    <w:rsid w:val="00CA4FD1"/>
    <w:rsid w:val="00CA550F"/>
    <w:rsid w:val="00CA5666"/>
    <w:rsid w:val="00CA5BB7"/>
    <w:rsid w:val="00CA6D54"/>
    <w:rsid w:val="00CA7297"/>
    <w:rsid w:val="00CA796E"/>
    <w:rsid w:val="00CA7A89"/>
    <w:rsid w:val="00CA7CD5"/>
    <w:rsid w:val="00CA7E99"/>
    <w:rsid w:val="00CB017E"/>
    <w:rsid w:val="00CB031B"/>
    <w:rsid w:val="00CB0AAA"/>
    <w:rsid w:val="00CB12EE"/>
    <w:rsid w:val="00CB1432"/>
    <w:rsid w:val="00CB187C"/>
    <w:rsid w:val="00CB1935"/>
    <w:rsid w:val="00CB1DC2"/>
    <w:rsid w:val="00CB1EDC"/>
    <w:rsid w:val="00CB217A"/>
    <w:rsid w:val="00CB2680"/>
    <w:rsid w:val="00CB2AA6"/>
    <w:rsid w:val="00CB3139"/>
    <w:rsid w:val="00CB3248"/>
    <w:rsid w:val="00CB3284"/>
    <w:rsid w:val="00CB330B"/>
    <w:rsid w:val="00CB35A0"/>
    <w:rsid w:val="00CB3756"/>
    <w:rsid w:val="00CB3C23"/>
    <w:rsid w:val="00CB3E76"/>
    <w:rsid w:val="00CB4273"/>
    <w:rsid w:val="00CB477D"/>
    <w:rsid w:val="00CB4A37"/>
    <w:rsid w:val="00CB4DFE"/>
    <w:rsid w:val="00CB50D4"/>
    <w:rsid w:val="00CB5412"/>
    <w:rsid w:val="00CB567B"/>
    <w:rsid w:val="00CB5EBF"/>
    <w:rsid w:val="00CB5FB2"/>
    <w:rsid w:val="00CB606B"/>
    <w:rsid w:val="00CB60BC"/>
    <w:rsid w:val="00CB626A"/>
    <w:rsid w:val="00CB63D6"/>
    <w:rsid w:val="00CB68F4"/>
    <w:rsid w:val="00CB6A1F"/>
    <w:rsid w:val="00CB6A51"/>
    <w:rsid w:val="00CB6DC2"/>
    <w:rsid w:val="00CB6DE3"/>
    <w:rsid w:val="00CB71EB"/>
    <w:rsid w:val="00CB7AD4"/>
    <w:rsid w:val="00CB7D73"/>
    <w:rsid w:val="00CB7E15"/>
    <w:rsid w:val="00CC028B"/>
    <w:rsid w:val="00CC05C4"/>
    <w:rsid w:val="00CC063C"/>
    <w:rsid w:val="00CC0763"/>
    <w:rsid w:val="00CC0B03"/>
    <w:rsid w:val="00CC1071"/>
    <w:rsid w:val="00CC10F9"/>
    <w:rsid w:val="00CC1155"/>
    <w:rsid w:val="00CC11DD"/>
    <w:rsid w:val="00CC12A1"/>
    <w:rsid w:val="00CC1469"/>
    <w:rsid w:val="00CC1C1A"/>
    <w:rsid w:val="00CC1D82"/>
    <w:rsid w:val="00CC296B"/>
    <w:rsid w:val="00CC2E9D"/>
    <w:rsid w:val="00CC342D"/>
    <w:rsid w:val="00CC369B"/>
    <w:rsid w:val="00CC41DD"/>
    <w:rsid w:val="00CC46AA"/>
    <w:rsid w:val="00CC4B60"/>
    <w:rsid w:val="00CC4D5B"/>
    <w:rsid w:val="00CC4FEA"/>
    <w:rsid w:val="00CC5665"/>
    <w:rsid w:val="00CC5A69"/>
    <w:rsid w:val="00CC5CA8"/>
    <w:rsid w:val="00CC6682"/>
    <w:rsid w:val="00CC6977"/>
    <w:rsid w:val="00CC6C7B"/>
    <w:rsid w:val="00CC71AB"/>
    <w:rsid w:val="00CC76DC"/>
    <w:rsid w:val="00CC7C47"/>
    <w:rsid w:val="00CD0D77"/>
    <w:rsid w:val="00CD0FB3"/>
    <w:rsid w:val="00CD139C"/>
    <w:rsid w:val="00CD1B95"/>
    <w:rsid w:val="00CD1BDF"/>
    <w:rsid w:val="00CD1E04"/>
    <w:rsid w:val="00CD257C"/>
    <w:rsid w:val="00CD25F6"/>
    <w:rsid w:val="00CD2B5B"/>
    <w:rsid w:val="00CD3593"/>
    <w:rsid w:val="00CD3604"/>
    <w:rsid w:val="00CD3909"/>
    <w:rsid w:val="00CD3F89"/>
    <w:rsid w:val="00CD435D"/>
    <w:rsid w:val="00CD498F"/>
    <w:rsid w:val="00CD4B8D"/>
    <w:rsid w:val="00CD4BB1"/>
    <w:rsid w:val="00CD4D60"/>
    <w:rsid w:val="00CD4EB7"/>
    <w:rsid w:val="00CD5175"/>
    <w:rsid w:val="00CD550C"/>
    <w:rsid w:val="00CD5CB0"/>
    <w:rsid w:val="00CD5E5D"/>
    <w:rsid w:val="00CD6107"/>
    <w:rsid w:val="00CD62C6"/>
    <w:rsid w:val="00CD6440"/>
    <w:rsid w:val="00CD65E9"/>
    <w:rsid w:val="00CD6630"/>
    <w:rsid w:val="00CD67E0"/>
    <w:rsid w:val="00CD6BD0"/>
    <w:rsid w:val="00CD6F3E"/>
    <w:rsid w:val="00CD77EA"/>
    <w:rsid w:val="00CD7D29"/>
    <w:rsid w:val="00CE09C2"/>
    <w:rsid w:val="00CE0A59"/>
    <w:rsid w:val="00CE0A95"/>
    <w:rsid w:val="00CE0BBA"/>
    <w:rsid w:val="00CE0CE4"/>
    <w:rsid w:val="00CE0D8E"/>
    <w:rsid w:val="00CE0E56"/>
    <w:rsid w:val="00CE1041"/>
    <w:rsid w:val="00CE10A4"/>
    <w:rsid w:val="00CE17DD"/>
    <w:rsid w:val="00CE1A52"/>
    <w:rsid w:val="00CE1F85"/>
    <w:rsid w:val="00CE1FF3"/>
    <w:rsid w:val="00CE219F"/>
    <w:rsid w:val="00CE2448"/>
    <w:rsid w:val="00CE2FF0"/>
    <w:rsid w:val="00CE32C6"/>
    <w:rsid w:val="00CE3322"/>
    <w:rsid w:val="00CE3773"/>
    <w:rsid w:val="00CE420A"/>
    <w:rsid w:val="00CE4780"/>
    <w:rsid w:val="00CE5087"/>
    <w:rsid w:val="00CE5938"/>
    <w:rsid w:val="00CE5BC9"/>
    <w:rsid w:val="00CE5C2B"/>
    <w:rsid w:val="00CE6922"/>
    <w:rsid w:val="00CE720B"/>
    <w:rsid w:val="00CE7505"/>
    <w:rsid w:val="00CE7642"/>
    <w:rsid w:val="00CE7787"/>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2D4E"/>
    <w:rsid w:val="00CF3446"/>
    <w:rsid w:val="00CF3507"/>
    <w:rsid w:val="00CF3526"/>
    <w:rsid w:val="00CF3E93"/>
    <w:rsid w:val="00CF5012"/>
    <w:rsid w:val="00CF5AA9"/>
    <w:rsid w:val="00CF692D"/>
    <w:rsid w:val="00CF6BD3"/>
    <w:rsid w:val="00CF7110"/>
    <w:rsid w:val="00CF7220"/>
    <w:rsid w:val="00CF722A"/>
    <w:rsid w:val="00CF739C"/>
    <w:rsid w:val="00CF7630"/>
    <w:rsid w:val="00CF7788"/>
    <w:rsid w:val="00CF7BBE"/>
    <w:rsid w:val="00D00D39"/>
    <w:rsid w:val="00D00D87"/>
    <w:rsid w:val="00D0155A"/>
    <w:rsid w:val="00D01866"/>
    <w:rsid w:val="00D018AA"/>
    <w:rsid w:val="00D01907"/>
    <w:rsid w:val="00D01B41"/>
    <w:rsid w:val="00D01FC0"/>
    <w:rsid w:val="00D02619"/>
    <w:rsid w:val="00D027CA"/>
    <w:rsid w:val="00D02945"/>
    <w:rsid w:val="00D02B57"/>
    <w:rsid w:val="00D02CE3"/>
    <w:rsid w:val="00D032E1"/>
    <w:rsid w:val="00D033A4"/>
    <w:rsid w:val="00D036D7"/>
    <w:rsid w:val="00D03AEC"/>
    <w:rsid w:val="00D04478"/>
    <w:rsid w:val="00D04546"/>
    <w:rsid w:val="00D046B5"/>
    <w:rsid w:val="00D04A4E"/>
    <w:rsid w:val="00D04AE8"/>
    <w:rsid w:val="00D05177"/>
    <w:rsid w:val="00D0523C"/>
    <w:rsid w:val="00D052AB"/>
    <w:rsid w:val="00D0533D"/>
    <w:rsid w:val="00D054A7"/>
    <w:rsid w:val="00D054DD"/>
    <w:rsid w:val="00D05800"/>
    <w:rsid w:val="00D05B8E"/>
    <w:rsid w:val="00D05BF2"/>
    <w:rsid w:val="00D05C53"/>
    <w:rsid w:val="00D061B4"/>
    <w:rsid w:val="00D0637F"/>
    <w:rsid w:val="00D0662D"/>
    <w:rsid w:val="00D06785"/>
    <w:rsid w:val="00D067B0"/>
    <w:rsid w:val="00D076BB"/>
    <w:rsid w:val="00D077F3"/>
    <w:rsid w:val="00D07C57"/>
    <w:rsid w:val="00D07E51"/>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98"/>
    <w:rsid w:val="00D12BA0"/>
    <w:rsid w:val="00D12FC5"/>
    <w:rsid w:val="00D13021"/>
    <w:rsid w:val="00D13AD2"/>
    <w:rsid w:val="00D13AF0"/>
    <w:rsid w:val="00D13B7E"/>
    <w:rsid w:val="00D13B91"/>
    <w:rsid w:val="00D13E64"/>
    <w:rsid w:val="00D13FFE"/>
    <w:rsid w:val="00D14B98"/>
    <w:rsid w:val="00D14F87"/>
    <w:rsid w:val="00D1526E"/>
    <w:rsid w:val="00D158D8"/>
    <w:rsid w:val="00D15DD9"/>
    <w:rsid w:val="00D15ECF"/>
    <w:rsid w:val="00D160B8"/>
    <w:rsid w:val="00D164A3"/>
    <w:rsid w:val="00D165C4"/>
    <w:rsid w:val="00D166DA"/>
    <w:rsid w:val="00D1674B"/>
    <w:rsid w:val="00D16C91"/>
    <w:rsid w:val="00D16EAF"/>
    <w:rsid w:val="00D170CB"/>
    <w:rsid w:val="00D1712F"/>
    <w:rsid w:val="00D171B2"/>
    <w:rsid w:val="00D174FE"/>
    <w:rsid w:val="00D1763A"/>
    <w:rsid w:val="00D1786F"/>
    <w:rsid w:val="00D17A79"/>
    <w:rsid w:val="00D17AC2"/>
    <w:rsid w:val="00D17AF1"/>
    <w:rsid w:val="00D17DAA"/>
    <w:rsid w:val="00D17DAC"/>
    <w:rsid w:val="00D17F9C"/>
    <w:rsid w:val="00D20700"/>
    <w:rsid w:val="00D207D8"/>
    <w:rsid w:val="00D20A1E"/>
    <w:rsid w:val="00D20FD4"/>
    <w:rsid w:val="00D21187"/>
    <w:rsid w:val="00D212BF"/>
    <w:rsid w:val="00D2131D"/>
    <w:rsid w:val="00D214DE"/>
    <w:rsid w:val="00D21523"/>
    <w:rsid w:val="00D219CE"/>
    <w:rsid w:val="00D21A24"/>
    <w:rsid w:val="00D21C1F"/>
    <w:rsid w:val="00D22203"/>
    <w:rsid w:val="00D23263"/>
    <w:rsid w:val="00D2345B"/>
    <w:rsid w:val="00D2376D"/>
    <w:rsid w:val="00D237E2"/>
    <w:rsid w:val="00D23A6F"/>
    <w:rsid w:val="00D24145"/>
    <w:rsid w:val="00D24191"/>
    <w:rsid w:val="00D24192"/>
    <w:rsid w:val="00D2455A"/>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27EA9"/>
    <w:rsid w:val="00D301A2"/>
    <w:rsid w:val="00D301F6"/>
    <w:rsid w:val="00D30AE0"/>
    <w:rsid w:val="00D30AE8"/>
    <w:rsid w:val="00D30BB3"/>
    <w:rsid w:val="00D30FAA"/>
    <w:rsid w:val="00D3114C"/>
    <w:rsid w:val="00D3170E"/>
    <w:rsid w:val="00D32155"/>
    <w:rsid w:val="00D3239C"/>
    <w:rsid w:val="00D3296E"/>
    <w:rsid w:val="00D329A1"/>
    <w:rsid w:val="00D32D2D"/>
    <w:rsid w:val="00D3307C"/>
    <w:rsid w:val="00D331A9"/>
    <w:rsid w:val="00D331F1"/>
    <w:rsid w:val="00D33581"/>
    <w:rsid w:val="00D33AC0"/>
    <w:rsid w:val="00D342D7"/>
    <w:rsid w:val="00D3434A"/>
    <w:rsid w:val="00D34379"/>
    <w:rsid w:val="00D3468E"/>
    <w:rsid w:val="00D34FB1"/>
    <w:rsid w:val="00D350AF"/>
    <w:rsid w:val="00D35339"/>
    <w:rsid w:val="00D3546A"/>
    <w:rsid w:val="00D358BB"/>
    <w:rsid w:val="00D35E15"/>
    <w:rsid w:val="00D35EFE"/>
    <w:rsid w:val="00D36107"/>
    <w:rsid w:val="00D3613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E44"/>
    <w:rsid w:val="00D42293"/>
    <w:rsid w:val="00D42591"/>
    <w:rsid w:val="00D42D25"/>
    <w:rsid w:val="00D4312C"/>
    <w:rsid w:val="00D433C8"/>
    <w:rsid w:val="00D4402D"/>
    <w:rsid w:val="00D440A8"/>
    <w:rsid w:val="00D44136"/>
    <w:rsid w:val="00D4421B"/>
    <w:rsid w:val="00D447BF"/>
    <w:rsid w:val="00D4542C"/>
    <w:rsid w:val="00D45A59"/>
    <w:rsid w:val="00D45F34"/>
    <w:rsid w:val="00D462E4"/>
    <w:rsid w:val="00D4664A"/>
    <w:rsid w:val="00D4689C"/>
    <w:rsid w:val="00D46E9E"/>
    <w:rsid w:val="00D46F37"/>
    <w:rsid w:val="00D47228"/>
    <w:rsid w:val="00D472FC"/>
    <w:rsid w:val="00D473AE"/>
    <w:rsid w:val="00D50510"/>
    <w:rsid w:val="00D50DED"/>
    <w:rsid w:val="00D511DD"/>
    <w:rsid w:val="00D516AB"/>
    <w:rsid w:val="00D51C16"/>
    <w:rsid w:val="00D5282D"/>
    <w:rsid w:val="00D52E71"/>
    <w:rsid w:val="00D5302B"/>
    <w:rsid w:val="00D536F1"/>
    <w:rsid w:val="00D5380F"/>
    <w:rsid w:val="00D53815"/>
    <w:rsid w:val="00D540FA"/>
    <w:rsid w:val="00D54599"/>
    <w:rsid w:val="00D54D41"/>
    <w:rsid w:val="00D54E09"/>
    <w:rsid w:val="00D551FD"/>
    <w:rsid w:val="00D55561"/>
    <w:rsid w:val="00D55B36"/>
    <w:rsid w:val="00D55CAA"/>
    <w:rsid w:val="00D55CED"/>
    <w:rsid w:val="00D55FD1"/>
    <w:rsid w:val="00D5678D"/>
    <w:rsid w:val="00D56A30"/>
    <w:rsid w:val="00D56AD9"/>
    <w:rsid w:val="00D56CA6"/>
    <w:rsid w:val="00D5794B"/>
    <w:rsid w:val="00D57A61"/>
    <w:rsid w:val="00D57C03"/>
    <w:rsid w:val="00D60077"/>
    <w:rsid w:val="00D601E6"/>
    <w:rsid w:val="00D60296"/>
    <w:rsid w:val="00D605CB"/>
    <w:rsid w:val="00D60DE4"/>
    <w:rsid w:val="00D60E3E"/>
    <w:rsid w:val="00D6125B"/>
    <w:rsid w:val="00D613D5"/>
    <w:rsid w:val="00D61583"/>
    <w:rsid w:val="00D61F26"/>
    <w:rsid w:val="00D6224C"/>
    <w:rsid w:val="00D622F2"/>
    <w:rsid w:val="00D6239D"/>
    <w:rsid w:val="00D62412"/>
    <w:rsid w:val="00D62613"/>
    <w:rsid w:val="00D6267B"/>
    <w:rsid w:val="00D632D1"/>
    <w:rsid w:val="00D634B7"/>
    <w:rsid w:val="00D635A7"/>
    <w:rsid w:val="00D63938"/>
    <w:rsid w:val="00D63AA4"/>
    <w:rsid w:val="00D63D8D"/>
    <w:rsid w:val="00D63EEE"/>
    <w:rsid w:val="00D6438E"/>
    <w:rsid w:val="00D6441B"/>
    <w:rsid w:val="00D647A5"/>
    <w:rsid w:val="00D647B3"/>
    <w:rsid w:val="00D649DE"/>
    <w:rsid w:val="00D64D7A"/>
    <w:rsid w:val="00D64E6F"/>
    <w:rsid w:val="00D65148"/>
    <w:rsid w:val="00D65430"/>
    <w:rsid w:val="00D65C6F"/>
    <w:rsid w:val="00D66130"/>
    <w:rsid w:val="00D66600"/>
    <w:rsid w:val="00D66A2A"/>
    <w:rsid w:val="00D66E79"/>
    <w:rsid w:val="00D67515"/>
    <w:rsid w:val="00D67AD0"/>
    <w:rsid w:val="00D67C6B"/>
    <w:rsid w:val="00D67CAC"/>
    <w:rsid w:val="00D70C0A"/>
    <w:rsid w:val="00D717BB"/>
    <w:rsid w:val="00D718B4"/>
    <w:rsid w:val="00D71D41"/>
    <w:rsid w:val="00D7226F"/>
    <w:rsid w:val="00D722F2"/>
    <w:rsid w:val="00D72391"/>
    <w:rsid w:val="00D7242A"/>
    <w:rsid w:val="00D7279E"/>
    <w:rsid w:val="00D727F1"/>
    <w:rsid w:val="00D72902"/>
    <w:rsid w:val="00D72D42"/>
    <w:rsid w:val="00D72FA2"/>
    <w:rsid w:val="00D73626"/>
    <w:rsid w:val="00D73795"/>
    <w:rsid w:val="00D73849"/>
    <w:rsid w:val="00D738D4"/>
    <w:rsid w:val="00D73926"/>
    <w:rsid w:val="00D73AE7"/>
    <w:rsid w:val="00D73B6D"/>
    <w:rsid w:val="00D74197"/>
    <w:rsid w:val="00D74352"/>
    <w:rsid w:val="00D74913"/>
    <w:rsid w:val="00D74EF0"/>
    <w:rsid w:val="00D752C0"/>
    <w:rsid w:val="00D755EE"/>
    <w:rsid w:val="00D75740"/>
    <w:rsid w:val="00D757D9"/>
    <w:rsid w:val="00D75B73"/>
    <w:rsid w:val="00D75DFA"/>
    <w:rsid w:val="00D76007"/>
    <w:rsid w:val="00D76A39"/>
    <w:rsid w:val="00D76FBD"/>
    <w:rsid w:val="00D77217"/>
    <w:rsid w:val="00D774A9"/>
    <w:rsid w:val="00D77582"/>
    <w:rsid w:val="00D801C7"/>
    <w:rsid w:val="00D80359"/>
    <w:rsid w:val="00D8053C"/>
    <w:rsid w:val="00D80BB0"/>
    <w:rsid w:val="00D80CC9"/>
    <w:rsid w:val="00D80ECF"/>
    <w:rsid w:val="00D80FF9"/>
    <w:rsid w:val="00D8148B"/>
    <w:rsid w:val="00D8184C"/>
    <w:rsid w:val="00D81900"/>
    <w:rsid w:val="00D82110"/>
    <w:rsid w:val="00D823E4"/>
    <w:rsid w:val="00D82472"/>
    <w:rsid w:val="00D829E0"/>
    <w:rsid w:val="00D82AAF"/>
    <w:rsid w:val="00D83081"/>
    <w:rsid w:val="00D83A5E"/>
    <w:rsid w:val="00D8434E"/>
    <w:rsid w:val="00D84418"/>
    <w:rsid w:val="00D84527"/>
    <w:rsid w:val="00D84B36"/>
    <w:rsid w:val="00D84D13"/>
    <w:rsid w:val="00D84E86"/>
    <w:rsid w:val="00D8514E"/>
    <w:rsid w:val="00D85D8D"/>
    <w:rsid w:val="00D86127"/>
    <w:rsid w:val="00D862A5"/>
    <w:rsid w:val="00D869EC"/>
    <w:rsid w:val="00D8705E"/>
    <w:rsid w:val="00D871A8"/>
    <w:rsid w:val="00D877B9"/>
    <w:rsid w:val="00D87988"/>
    <w:rsid w:val="00D879A6"/>
    <w:rsid w:val="00D901B9"/>
    <w:rsid w:val="00D9027C"/>
    <w:rsid w:val="00D90718"/>
    <w:rsid w:val="00D90961"/>
    <w:rsid w:val="00D90A7E"/>
    <w:rsid w:val="00D90D3F"/>
    <w:rsid w:val="00D90DAB"/>
    <w:rsid w:val="00D90DD3"/>
    <w:rsid w:val="00D90E3F"/>
    <w:rsid w:val="00D911C5"/>
    <w:rsid w:val="00D912CC"/>
    <w:rsid w:val="00D915E4"/>
    <w:rsid w:val="00D915EC"/>
    <w:rsid w:val="00D9162B"/>
    <w:rsid w:val="00D917C7"/>
    <w:rsid w:val="00D91A6D"/>
    <w:rsid w:val="00D91EAA"/>
    <w:rsid w:val="00D921F8"/>
    <w:rsid w:val="00D92316"/>
    <w:rsid w:val="00D925B0"/>
    <w:rsid w:val="00D92AA1"/>
    <w:rsid w:val="00D92CA2"/>
    <w:rsid w:val="00D92E04"/>
    <w:rsid w:val="00D93832"/>
    <w:rsid w:val="00D93902"/>
    <w:rsid w:val="00D93C62"/>
    <w:rsid w:val="00D94814"/>
    <w:rsid w:val="00D948E4"/>
    <w:rsid w:val="00D94BE4"/>
    <w:rsid w:val="00D95017"/>
    <w:rsid w:val="00D953CC"/>
    <w:rsid w:val="00D953FD"/>
    <w:rsid w:val="00D95578"/>
    <w:rsid w:val="00D9568C"/>
    <w:rsid w:val="00D9623F"/>
    <w:rsid w:val="00D96415"/>
    <w:rsid w:val="00D9648C"/>
    <w:rsid w:val="00D964C0"/>
    <w:rsid w:val="00D9660B"/>
    <w:rsid w:val="00D966FB"/>
    <w:rsid w:val="00D967E9"/>
    <w:rsid w:val="00D96BC1"/>
    <w:rsid w:val="00D96C63"/>
    <w:rsid w:val="00D96CD6"/>
    <w:rsid w:val="00D96EB1"/>
    <w:rsid w:val="00D9718F"/>
    <w:rsid w:val="00D971BC"/>
    <w:rsid w:val="00D972D1"/>
    <w:rsid w:val="00D97347"/>
    <w:rsid w:val="00D973CF"/>
    <w:rsid w:val="00D97E94"/>
    <w:rsid w:val="00DA0018"/>
    <w:rsid w:val="00DA02EE"/>
    <w:rsid w:val="00DA0497"/>
    <w:rsid w:val="00DA0678"/>
    <w:rsid w:val="00DA0A37"/>
    <w:rsid w:val="00DA0B54"/>
    <w:rsid w:val="00DA0CDD"/>
    <w:rsid w:val="00DA1133"/>
    <w:rsid w:val="00DA1A47"/>
    <w:rsid w:val="00DA1C12"/>
    <w:rsid w:val="00DA2661"/>
    <w:rsid w:val="00DA2864"/>
    <w:rsid w:val="00DA28D4"/>
    <w:rsid w:val="00DA2E11"/>
    <w:rsid w:val="00DA2FAF"/>
    <w:rsid w:val="00DA356B"/>
    <w:rsid w:val="00DA3584"/>
    <w:rsid w:val="00DA3719"/>
    <w:rsid w:val="00DA39AF"/>
    <w:rsid w:val="00DA41D7"/>
    <w:rsid w:val="00DA4322"/>
    <w:rsid w:val="00DA4467"/>
    <w:rsid w:val="00DA49C7"/>
    <w:rsid w:val="00DA4BA5"/>
    <w:rsid w:val="00DA4FCB"/>
    <w:rsid w:val="00DA5265"/>
    <w:rsid w:val="00DA5848"/>
    <w:rsid w:val="00DA5E25"/>
    <w:rsid w:val="00DA5F3B"/>
    <w:rsid w:val="00DA5FC3"/>
    <w:rsid w:val="00DA6004"/>
    <w:rsid w:val="00DA607A"/>
    <w:rsid w:val="00DA6122"/>
    <w:rsid w:val="00DA68C4"/>
    <w:rsid w:val="00DA6DB6"/>
    <w:rsid w:val="00DA7016"/>
    <w:rsid w:val="00DA7E90"/>
    <w:rsid w:val="00DB006F"/>
    <w:rsid w:val="00DB0078"/>
    <w:rsid w:val="00DB04A8"/>
    <w:rsid w:val="00DB0659"/>
    <w:rsid w:val="00DB0851"/>
    <w:rsid w:val="00DB0B74"/>
    <w:rsid w:val="00DB0BF4"/>
    <w:rsid w:val="00DB1447"/>
    <w:rsid w:val="00DB2612"/>
    <w:rsid w:val="00DB2745"/>
    <w:rsid w:val="00DB2808"/>
    <w:rsid w:val="00DB28C9"/>
    <w:rsid w:val="00DB2B5E"/>
    <w:rsid w:val="00DB334F"/>
    <w:rsid w:val="00DB33AC"/>
    <w:rsid w:val="00DB36B3"/>
    <w:rsid w:val="00DB36D3"/>
    <w:rsid w:val="00DB3EB7"/>
    <w:rsid w:val="00DB410A"/>
    <w:rsid w:val="00DB41E6"/>
    <w:rsid w:val="00DB46E1"/>
    <w:rsid w:val="00DB4A63"/>
    <w:rsid w:val="00DB54DC"/>
    <w:rsid w:val="00DB5596"/>
    <w:rsid w:val="00DB5C18"/>
    <w:rsid w:val="00DB5C7A"/>
    <w:rsid w:val="00DB5F08"/>
    <w:rsid w:val="00DB60D5"/>
    <w:rsid w:val="00DB6122"/>
    <w:rsid w:val="00DB627F"/>
    <w:rsid w:val="00DB6463"/>
    <w:rsid w:val="00DB66D5"/>
    <w:rsid w:val="00DB6ADD"/>
    <w:rsid w:val="00DB7236"/>
    <w:rsid w:val="00DB78E1"/>
    <w:rsid w:val="00DB7E87"/>
    <w:rsid w:val="00DC00C5"/>
    <w:rsid w:val="00DC0453"/>
    <w:rsid w:val="00DC0C44"/>
    <w:rsid w:val="00DC1550"/>
    <w:rsid w:val="00DC199A"/>
    <w:rsid w:val="00DC19D3"/>
    <w:rsid w:val="00DC2068"/>
    <w:rsid w:val="00DC231A"/>
    <w:rsid w:val="00DC2643"/>
    <w:rsid w:val="00DC2675"/>
    <w:rsid w:val="00DC2757"/>
    <w:rsid w:val="00DC28E0"/>
    <w:rsid w:val="00DC2CF9"/>
    <w:rsid w:val="00DC2E05"/>
    <w:rsid w:val="00DC2EF5"/>
    <w:rsid w:val="00DC2F7A"/>
    <w:rsid w:val="00DC30FF"/>
    <w:rsid w:val="00DC3147"/>
    <w:rsid w:val="00DC330D"/>
    <w:rsid w:val="00DC33A5"/>
    <w:rsid w:val="00DC342A"/>
    <w:rsid w:val="00DC3582"/>
    <w:rsid w:val="00DC3B80"/>
    <w:rsid w:val="00DC4385"/>
    <w:rsid w:val="00DC456C"/>
    <w:rsid w:val="00DC4CA6"/>
    <w:rsid w:val="00DC4DE8"/>
    <w:rsid w:val="00DC5174"/>
    <w:rsid w:val="00DC60CC"/>
    <w:rsid w:val="00DC6786"/>
    <w:rsid w:val="00DC6E69"/>
    <w:rsid w:val="00DC725F"/>
    <w:rsid w:val="00DC727A"/>
    <w:rsid w:val="00DC73DA"/>
    <w:rsid w:val="00DC78E1"/>
    <w:rsid w:val="00DC7D19"/>
    <w:rsid w:val="00DC7D98"/>
    <w:rsid w:val="00DC7E68"/>
    <w:rsid w:val="00DD0368"/>
    <w:rsid w:val="00DD03F5"/>
    <w:rsid w:val="00DD06CA"/>
    <w:rsid w:val="00DD0860"/>
    <w:rsid w:val="00DD0B1B"/>
    <w:rsid w:val="00DD0FCD"/>
    <w:rsid w:val="00DD10AF"/>
    <w:rsid w:val="00DD148D"/>
    <w:rsid w:val="00DD17BD"/>
    <w:rsid w:val="00DD193F"/>
    <w:rsid w:val="00DD1C41"/>
    <w:rsid w:val="00DD1EEF"/>
    <w:rsid w:val="00DD256F"/>
    <w:rsid w:val="00DD2D0E"/>
    <w:rsid w:val="00DD3899"/>
    <w:rsid w:val="00DD3DD1"/>
    <w:rsid w:val="00DD401E"/>
    <w:rsid w:val="00DD47C9"/>
    <w:rsid w:val="00DD4A14"/>
    <w:rsid w:val="00DD4AB7"/>
    <w:rsid w:val="00DD4F9E"/>
    <w:rsid w:val="00DD50C0"/>
    <w:rsid w:val="00DD5E51"/>
    <w:rsid w:val="00DD63C8"/>
    <w:rsid w:val="00DD6BDF"/>
    <w:rsid w:val="00DD6D0E"/>
    <w:rsid w:val="00DD76EF"/>
    <w:rsid w:val="00DD7ED7"/>
    <w:rsid w:val="00DE0386"/>
    <w:rsid w:val="00DE0635"/>
    <w:rsid w:val="00DE1136"/>
    <w:rsid w:val="00DE1186"/>
    <w:rsid w:val="00DE120C"/>
    <w:rsid w:val="00DE1743"/>
    <w:rsid w:val="00DE19FA"/>
    <w:rsid w:val="00DE22A9"/>
    <w:rsid w:val="00DE2320"/>
    <w:rsid w:val="00DE2958"/>
    <w:rsid w:val="00DE2AD2"/>
    <w:rsid w:val="00DE2D50"/>
    <w:rsid w:val="00DE2F92"/>
    <w:rsid w:val="00DE367F"/>
    <w:rsid w:val="00DE3829"/>
    <w:rsid w:val="00DE38AB"/>
    <w:rsid w:val="00DE3AA0"/>
    <w:rsid w:val="00DE3EE9"/>
    <w:rsid w:val="00DE4318"/>
    <w:rsid w:val="00DE4401"/>
    <w:rsid w:val="00DE476D"/>
    <w:rsid w:val="00DE4842"/>
    <w:rsid w:val="00DE59DA"/>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063E"/>
    <w:rsid w:val="00DF08CF"/>
    <w:rsid w:val="00DF12C9"/>
    <w:rsid w:val="00DF13E0"/>
    <w:rsid w:val="00DF1677"/>
    <w:rsid w:val="00DF2375"/>
    <w:rsid w:val="00DF271C"/>
    <w:rsid w:val="00DF273A"/>
    <w:rsid w:val="00DF2791"/>
    <w:rsid w:val="00DF279B"/>
    <w:rsid w:val="00DF2941"/>
    <w:rsid w:val="00DF2A36"/>
    <w:rsid w:val="00DF2CBB"/>
    <w:rsid w:val="00DF2FEE"/>
    <w:rsid w:val="00DF35AC"/>
    <w:rsid w:val="00DF35B5"/>
    <w:rsid w:val="00DF3CEC"/>
    <w:rsid w:val="00DF3F04"/>
    <w:rsid w:val="00DF3F7E"/>
    <w:rsid w:val="00DF41D0"/>
    <w:rsid w:val="00DF44F1"/>
    <w:rsid w:val="00DF4698"/>
    <w:rsid w:val="00DF4808"/>
    <w:rsid w:val="00DF4D9C"/>
    <w:rsid w:val="00DF4E30"/>
    <w:rsid w:val="00DF54BA"/>
    <w:rsid w:val="00DF56C1"/>
    <w:rsid w:val="00DF583C"/>
    <w:rsid w:val="00DF590A"/>
    <w:rsid w:val="00DF596D"/>
    <w:rsid w:val="00DF5A38"/>
    <w:rsid w:val="00DF5D0E"/>
    <w:rsid w:val="00DF60FF"/>
    <w:rsid w:val="00DF6603"/>
    <w:rsid w:val="00DF6660"/>
    <w:rsid w:val="00DF666E"/>
    <w:rsid w:val="00DF6A01"/>
    <w:rsid w:val="00DF79C7"/>
    <w:rsid w:val="00E00098"/>
    <w:rsid w:val="00E0068D"/>
    <w:rsid w:val="00E00733"/>
    <w:rsid w:val="00E00749"/>
    <w:rsid w:val="00E00863"/>
    <w:rsid w:val="00E00C2D"/>
    <w:rsid w:val="00E00F61"/>
    <w:rsid w:val="00E0128A"/>
    <w:rsid w:val="00E0145F"/>
    <w:rsid w:val="00E01461"/>
    <w:rsid w:val="00E014D4"/>
    <w:rsid w:val="00E01786"/>
    <w:rsid w:val="00E01AD6"/>
    <w:rsid w:val="00E01F91"/>
    <w:rsid w:val="00E02134"/>
    <w:rsid w:val="00E021BF"/>
    <w:rsid w:val="00E0272B"/>
    <w:rsid w:val="00E027CF"/>
    <w:rsid w:val="00E03C28"/>
    <w:rsid w:val="00E03CB6"/>
    <w:rsid w:val="00E0421C"/>
    <w:rsid w:val="00E04537"/>
    <w:rsid w:val="00E045E4"/>
    <w:rsid w:val="00E046E7"/>
    <w:rsid w:val="00E047AF"/>
    <w:rsid w:val="00E049E7"/>
    <w:rsid w:val="00E04C46"/>
    <w:rsid w:val="00E04CA6"/>
    <w:rsid w:val="00E0561E"/>
    <w:rsid w:val="00E0574C"/>
    <w:rsid w:val="00E05880"/>
    <w:rsid w:val="00E06409"/>
    <w:rsid w:val="00E06615"/>
    <w:rsid w:val="00E06FCB"/>
    <w:rsid w:val="00E07227"/>
    <w:rsid w:val="00E07CCC"/>
    <w:rsid w:val="00E1000D"/>
    <w:rsid w:val="00E1005D"/>
    <w:rsid w:val="00E10711"/>
    <w:rsid w:val="00E108C9"/>
    <w:rsid w:val="00E11264"/>
    <w:rsid w:val="00E114CB"/>
    <w:rsid w:val="00E116D2"/>
    <w:rsid w:val="00E118A2"/>
    <w:rsid w:val="00E11FC1"/>
    <w:rsid w:val="00E121A1"/>
    <w:rsid w:val="00E1246E"/>
    <w:rsid w:val="00E12579"/>
    <w:rsid w:val="00E125D4"/>
    <w:rsid w:val="00E128FD"/>
    <w:rsid w:val="00E12BA1"/>
    <w:rsid w:val="00E12C60"/>
    <w:rsid w:val="00E12F98"/>
    <w:rsid w:val="00E12FF6"/>
    <w:rsid w:val="00E1301E"/>
    <w:rsid w:val="00E135B7"/>
    <w:rsid w:val="00E138F6"/>
    <w:rsid w:val="00E141A4"/>
    <w:rsid w:val="00E14302"/>
    <w:rsid w:val="00E14D8B"/>
    <w:rsid w:val="00E155E7"/>
    <w:rsid w:val="00E15851"/>
    <w:rsid w:val="00E160D6"/>
    <w:rsid w:val="00E16109"/>
    <w:rsid w:val="00E16427"/>
    <w:rsid w:val="00E170BD"/>
    <w:rsid w:val="00E17ED4"/>
    <w:rsid w:val="00E2002D"/>
    <w:rsid w:val="00E20BBC"/>
    <w:rsid w:val="00E20CB9"/>
    <w:rsid w:val="00E20E9A"/>
    <w:rsid w:val="00E20EFC"/>
    <w:rsid w:val="00E20F5A"/>
    <w:rsid w:val="00E21195"/>
    <w:rsid w:val="00E219D9"/>
    <w:rsid w:val="00E21E83"/>
    <w:rsid w:val="00E223B9"/>
    <w:rsid w:val="00E22433"/>
    <w:rsid w:val="00E232E9"/>
    <w:rsid w:val="00E2392C"/>
    <w:rsid w:val="00E23FA5"/>
    <w:rsid w:val="00E2432B"/>
    <w:rsid w:val="00E243D5"/>
    <w:rsid w:val="00E24790"/>
    <w:rsid w:val="00E24C59"/>
    <w:rsid w:val="00E24E26"/>
    <w:rsid w:val="00E24EE8"/>
    <w:rsid w:val="00E24F16"/>
    <w:rsid w:val="00E25371"/>
    <w:rsid w:val="00E254E6"/>
    <w:rsid w:val="00E25819"/>
    <w:rsid w:val="00E25B68"/>
    <w:rsid w:val="00E261B2"/>
    <w:rsid w:val="00E26254"/>
    <w:rsid w:val="00E2651F"/>
    <w:rsid w:val="00E26643"/>
    <w:rsid w:val="00E269D1"/>
    <w:rsid w:val="00E26C03"/>
    <w:rsid w:val="00E26CDF"/>
    <w:rsid w:val="00E27D34"/>
    <w:rsid w:val="00E27EFF"/>
    <w:rsid w:val="00E3038C"/>
    <w:rsid w:val="00E307B5"/>
    <w:rsid w:val="00E30A6F"/>
    <w:rsid w:val="00E30C61"/>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BBA"/>
    <w:rsid w:val="00E34E25"/>
    <w:rsid w:val="00E35484"/>
    <w:rsid w:val="00E354AB"/>
    <w:rsid w:val="00E35692"/>
    <w:rsid w:val="00E3575D"/>
    <w:rsid w:val="00E36708"/>
    <w:rsid w:val="00E36B77"/>
    <w:rsid w:val="00E36F20"/>
    <w:rsid w:val="00E37307"/>
    <w:rsid w:val="00E37A4F"/>
    <w:rsid w:val="00E37D9F"/>
    <w:rsid w:val="00E37DEB"/>
    <w:rsid w:val="00E4062A"/>
    <w:rsid w:val="00E40630"/>
    <w:rsid w:val="00E407DE"/>
    <w:rsid w:val="00E40A22"/>
    <w:rsid w:val="00E40CEE"/>
    <w:rsid w:val="00E40DAD"/>
    <w:rsid w:val="00E4167D"/>
    <w:rsid w:val="00E41853"/>
    <w:rsid w:val="00E418FF"/>
    <w:rsid w:val="00E41923"/>
    <w:rsid w:val="00E41A36"/>
    <w:rsid w:val="00E42757"/>
    <w:rsid w:val="00E42AC8"/>
    <w:rsid w:val="00E42B53"/>
    <w:rsid w:val="00E42BB6"/>
    <w:rsid w:val="00E42CB4"/>
    <w:rsid w:val="00E42FD6"/>
    <w:rsid w:val="00E43074"/>
    <w:rsid w:val="00E43FB3"/>
    <w:rsid w:val="00E445FC"/>
    <w:rsid w:val="00E449DE"/>
    <w:rsid w:val="00E44A7C"/>
    <w:rsid w:val="00E44B80"/>
    <w:rsid w:val="00E44CC3"/>
    <w:rsid w:val="00E44EE9"/>
    <w:rsid w:val="00E44F95"/>
    <w:rsid w:val="00E45721"/>
    <w:rsid w:val="00E45B61"/>
    <w:rsid w:val="00E45BBC"/>
    <w:rsid w:val="00E45DA8"/>
    <w:rsid w:val="00E45E04"/>
    <w:rsid w:val="00E45E0C"/>
    <w:rsid w:val="00E46574"/>
    <w:rsid w:val="00E465AD"/>
    <w:rsid w:val="00E46A02"/>
    <w:rsid w:val="00E46AC9"/>
    <w:rsid w:val="00E47CE8"/>
    <w:rsid w:val="00E50071"/>
    <w:rsid w:val="00E50651"/>
    <w:rsid w:val="00E50A0E"/>
    <w:rsid w:val="00E50A93"/>
    <w:rsid w:val="00E50B5D"/>
    <w:rsid w:val="00E50DB2"/>
    <w:rsid w:val="00E512FB"/>
    <w:rsid w:val="00E514E7"/>
    <w:rsid w:val="00E522B2"/>
    <w:rsid w:val="00E5252D"/>
    <w:rsid w:val="00E529C3"/>
    <w:rsid w:val="00E52B68"/>
    <w:rsid w:val="00E5340D"/>
    <w:rsid w:val="00E5363B"/>
    <w:rsid w:val="00E539DD"/>
    <w:rsid w:val="00E53DDA"/>
    <w:rsid w:val="00E53E2C"/>
    <w:rsid w:val="00E54169"/>
    <w:rsid w:val="00E543E0"/>
    <w:rsid w:val="00E545C6"/>
    <w:rsid w:val="00E54AAC"/>
    <w:rsid w:val="00E54F16"/>
    <w:rsid w:val="00E5576B"/>
    <w:rsid w:val="00E55858"/>
    <w:rsid w:val="00E5595E"/>
    <w:rsid w:val="00E55AF7"/>
    <w:rsid w:val="00E55E9A"/>
    <w:rsid w:val="00E55F17"/>
    <w:rsid w:val="00E55F57"/>
    <w:rsid w:val="00E5619B"/>
    <w:rsid w:val="00E56F6A"/>
    <w:rsid w:val="00E57056"/>
    <w:rsid w:val="00E5764A"/>
    <w:rsid w:val="00E57777"/>
    <w:rsid w:val="00E5793B"/>
    <w:rsid w:val="00E57B75"/>
    <w:rsid w:val="00E57D64"/>
    <w:rsid w:val="00E57E87"/>
    <w:rsid w:val="00E60CDD"/>
    <w:rsid w:val="00E60CF7"/>
    <w:rsid w:val="00E60DDF"/>
    <w:rsid w:val="00E614D2"/>
    <w:rsid w:val="00E61BEC"/>
    <w:rsid w:val="00E622C3"/>
    <w:rsid w:val="00E6250E"/>
    <w:rsid w:val="00E629A2"/>
    <w:rsid w:val="00E62BE9"/>
    <w:rsid w:val="00E632BF"/>
    <w:rsid w:val="00E640D4"/>
    <w:rsid w:val="00E6453A"/>
    <w:rsid w:val="00E64823"/>
    <w:rsid w:val="00E648B5"/>
    <w:rsid w:val="00E648C7"/>
    <w:rsid w:val="00E649E0"/>
    <w:rsid w:val="00E64D22"/>
    <w:rsid w:val="00E64DDF"/>
    <w:rsid w:val="00E6503E"/>
    <w:rsid w:val="00E650AC"/>
    <w:rsid w:val="00E65ABE"/>
    <w:rsid w:val="00E65BB4"/>
    <w:rsid w:val="00E65C6C"/>
    <w:rsid w:val="00E66123"/>
    <w:rsid w:val="00E66931"/>
    <w:rsid w:val="00E66E01"/>
    <w:rsid w:val="00E66F88"/>
    <w:rsid w:val="00E67342"/>
    <w:rsid w:val="00E676B0"/>
    <w:rsid w:val="00E676E9"/>
    <w:rsid w:val="00E67853"/>
    <w:rsid w:val="00E67ADA"/>
    <w:rsid w:val="00E67B81"/>
    <w:rsid w:val="00E67BE8"/>
    <w:rsid w:val="00E67D2A"/>
    <w:rsid w:val="00E67EF5"/>
    <w:rsid w:val="00E70378"/>
    <w:rsid w:val="00E705CC"/>
    <w:rsid w:val="00E7099A"/>
    <w:rsid w:val="00E70B71"/>
    <w:rsid w:val="00E70DED"/>
    <w:rsid w:val="00E71220"/>
    <w:rsid w:val="00E71602"/>
    <w:rsid w:val="00E718C9"/>
    <w:rsid w:val="00E71B05"/>
    <w:rsid w:val="00E7244E"/>
    <w:rsid w:val="00E727D2"/>
    <w:rsid w:val="00E72815"/>
    <w:rsid w:val="00E73258"/>
    <w:rsid w:val="00E73627"/>
    <w:rsid w:val="00E73768"/>
    <w:rsid w:val="00E73A5D"/>
    <w:rsid w:val="00E740E5"/>
    <w:rsid w:val="00E7461D"/>
    <w:rsid w:val="00E747AC"/>
    <w:rsid w:val="00E74B50"/>
    <w:rsid w:val="00E74CC8"/>
    <w:rsid w:val="00E754E4"/>
    <w:rsid w:val="00E7583A"/>
    <w:rsid w:val="00E75D52"/>
    <w:rsid w:val="00E77038"/>
    <w:rsid w:val="00E77C00"/>
    <w:rsid w:val="00E77EB8"/>
    <w:rsid w:val="00E77F0A"/>
    <w:rsid w:val="00E77FE6"/>
    <w:rsid w:val="00E80004"/>
    <w:rsid w:val="00E800ED"/>
    <w:rsid w:val="00E80590"/>
    <w:rsid w:val="00E8072F"/>
    <w:rsid w:val="00E80C87"/>
    <w:rsid w:val="00E80CCD"/>
    <w:rsid w:val="00E80D20"/>
    <w:rsid w:val="00E811DB"/>
    <w:rsid w:val="00E8171D"/>
    <w:rsid w:val="00E81877"/>
    <w:rsid w:val="00E819A1"/>
    <w:rsid w:val="00E81BA8"/>
    <w:rsid w:val="00E81CA7"/>
    <w:rsid w:val="00E81EF7"/>
    <w:rsid w:val="00E8212C"/>
    <w:rsid w:val="00E82162"/>
    <w:rsid w:val="00E823AB"/>
    <w:rsid w:val="00E82E5B"/>
    <w:rsid w:val="00E835B4"/>
    <w:rsid w:val="00E836B2"/>
    <w:rsid w:val="00E83949"/>
    <w:rsid w:val="00E83BFB"/>
    <w:rsid w:val="00E83CFD"/>
    <w:rsid w:val="00E83D05"/>
    <w:rsid w:val="00E83E67"/>
    <w:rsid w:val="00E84598"/>
    <w:rsid w:val="00E848C5"/>
    <w:rsid w:val="00E84EF4"/>
    <w:rsid w:val="00E84FAC"/>
    <w:rsid w:val="00E852CF"/>
    <w:rsid w:val="00E8565A"/>
    <w:rsid w:val="00E85675"/>
    <w:rsid w:val="00E86939"/>
    <w:rsid w:val="00E86C3F"/>
    <w:rsid w:val="00E86CA8"/>
    <w:rsid w:val="00E8766F"/>
    <w:rsid w:val="00E90156"/>
    <w:rsid w:val="00E9042B"/>
    <w:rsid w:val="00E90E1D"/>
    <w:rsid w:val="00E91032"/>
    <w:rsid w:val="00E9112C"/>
    <w:rsid w:val="00E9136C"/>
    <w:rsid w:val="00E9149B"/>
    <w:rsid w:val="00E918B9"/>
    <w:rsid w:val="00E91DEC"/>
    <w:rsid w:val="00E91E40"/>
    <w:rsid w:val="00E928B7"/>
    <w:rsid w:val="00E92BB9"/>
    <w:rsid w:val="00E92BC1"/>
    <w:rsid w:val="00E92C0F"/>
    <w:rsid w:val="00E92C24"/>
    <w:rsid w:val="00E93069"/>
    <w:rsid w:val="00E934BF"/>
    <w:rsid w:val="00E93772"/>
    <w:rsid w:val="00E94187"/>
    <w:rsid w:val="00E9447C"/>
    <w:rsid w:val="00E94CC7"/>
    <w:rsid w:val="00E94D73"/>
    <w:rsid w:val="00E9503B"/>
    <w:rsid w:val="00E9535E"/>
    <w:rsid w:val="00E95695"/>
    <w:rsid w:val="00E95C7C"/>
    <w:rsid w:val="00E96351"/>
    <w:rsid w:val="00E9658E"/>
    <w:rsid w:val="00E9681B"/>
    <w:rsid w:val="00E96B58"/>
    <w:rsid w:val="00E96E5B"/>
    <w:rsid w:val="00E97737"/>
    <w:rsid w:val="00E97754"/>
    <w:rsid w:val="00E97AC6"/>
    <w:rsid w:val="00E97BD4"/>
    <w:rsid w:val="00EA0135"/>
    <w:rsid w:val="00EA05D5"/>
    <w:rsid w:val="00EA06D9"/>
    <w:rsid w:val="00EA0A5B"/>
    <w:rsid w:val="00EA0AB0"/>
    <w:rsid w:val="00EA10A5"/>
    <w:rsid w:val="00EA17B6"/>
    <w:rsid w:val="00EA18F1"/>
    <w:rsid w:val="00EA1945"/>
    <w:rsid w:val="00EA1B17"/>
    <w:rsid w:val="00EA1C3D"/>
    <w:rsid w:val="00EA1DBB"/>
    <w:rsid w:val="00EA1E33"/>
    <w:rsid w:val="00EA1E84"/>
    <w:rsid w:val="00EA25FF"/>
    <w:rsid w:val="00EA28CD"/>
    <w:rsid w:val="00EA2901"/>
    <w:rsid w:val="00EA2AC6"/>
    <w:rsid w:val="00EA2D7E"/>
    <w:rsid w:val="00EA348D"/>
    <w:rsid w:val="00EA35C4"/>
    <w:rsid w:val="00EA369E"/>
    <w:rsid w:val="00EA3A34"/>
    <w:rsid w:val="00EA412F"/>
    <w:rsid w:val="00EA4424"/>
    <w:rsid w:val="00EA4475"/>
    <w:rsid w:val="00EA48F9"/>
    <w:rsid w:val="00EA4B34"/>
    <w:rsid w:val="00EA4BAE"/>
    <w:rsid w:val="00EA5772"/>
    <w:rsid w:val="00EA5C88"/>
    <w:rsid w:val="00EA619E"/>
    <w:rsid w:val="00EA68A4"/>
    <w:rsid w:val="00EA6D75"/>
    <w:rsid w:val="00EA7284"/>
    <w:rsid w:val="00EA7960"/>
    <w:rsid w:val="00EA7C4C"/>
    <w:rsid w:val="00EB0CC9"/>
    <w:rsid w:val="00EB0CDC"/>
    <w:rsid w:val="00EB0D9A"/>
    <w:rsid w:val="00EB0DC3"/>
    <w:rsid w:val="00EB1098"/>
    <w:rsid w:val="00EB1330"/>
    <w:rsid w:val="00EB1B98"/>
    <w:rsid w:val="00EB2188"/>
    <w:rsid w:val="00EB23AE"/>
    <w:rsid w:val="00EB2F03"/>
    <w:rsid w:val="00EB3135"/>
    <w:rsid w:val="00EB349D"/>
    <w:rsid w:val="00EB40F5"/>
    <w:rsid w:val="00EB45A7"/>
    <w:rsid w:val="00EB4683"/>
    <w:rsid w:val="00EB4F59"/>
    <w:rsid w:val="00EB4FB8"/>
    <w:rsid w:val="00EB543F"/>
    <w:rsid w:val="00EB56B1"/>
    <w:rsid w:val="00EB5A30"/>
    <w:rsid w:val="00EB5CF1"/>
    <w:rsid w:val="00EB68F8"/>
    <w:rsid w:val="00EB6A6A"/>
    <w:rsid w:val="00EB77C4"/>
    <w:rsid w:val="00EB7A55"/>
    <w:rsid w:val="00EB7F43"/>
    <w:rsid w:val="00EC0A5C"/>
    <w:rsid w:val="00EC105F"/>
    <w:rsid w:val="00EC1675"/>
    <w:rsid w:val="00EC18E6"/>
    <w:rsid w:val="00EC243C"/>
    <w:rsid w:val="00EC25D8"/>
    <w:rsid w:val="00EC2929"/>
    <w:rsid w:val="00EC2A27"/>
    <w:rsid w:val="00EC3264"/>
    <w:rsid w:val="00EC33FA"/>
    <w:rsid w:val="00EC3B8D"/>
    <w:rsid w:val="00EC3F4B"/>
    <w:rsid w:val="00EC434C"/>
    <w:rsid w:val="00EC4379"/>
    <w:rsid w:val="00EC442A"/>
    <w:rsid w:val="00EC458C"/>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1F6D"/>
    <w:rsid w:val="00ED2AEE"/>
    <w:rsid w:val="00ED3125"/>
    <w:rsid w:val="00ED31E8"/>
    <w:rsid w:val="00ED372A"/>
    <w:rsid w:val="00ED383D"/>
    <w:rsid w:val="00ED3B6B"/>
    <w:rsid w:val="00ED3B98"/>
    <w:rsid w:val="00ED42B5"/>
    <w:rsid w:val="00ED44A3"/>
    <w:rsid w:val="00ED4814"/>
    <w:rsid w:val="00ED4A1A"/>
    <w:rsid w:val="00ED50DE"/>
    <w:rsid w:val="00ED53EB"/>
    <w:rsid w:val="00ED5637"/>
    <w:rsid w:val="00ED5C72"/>
    <w:rsid w:val="00ED5D07"/>
    <w:rsid w:val="00ED5DFB"/>
    <w:rsid w:val="00ED5EA8"/>
    <w:rsid w:val="00ED6F4E"/>
    <w:rsid w:val="00ED7106"/>
    <w:rsid w:val="00ED71F7"/>
    <w:rsid w:val="00ED74A5"/>
    <w:rsid w:val="00ED7570"/>
    <w:rsid w:val="00ED759E"/>
    <w:rsid w:val="00ED75A9"/>
    <w:rsid w:val="00EE01DB"/>
    <w:rsid w:val="00EE039E"/>
    <w:rsid w:val="00EE0439"/>
    <w:rsid w:val="00EE0619"/>
    <w:rsid w:val="00EE0A56"/>
    <w:rsid w:val="00EE0AD6"/>
    <w:rsid w:val="00EE0B85"/>
    <w:rsid w:val="00EE0BAC"/>
    <w:rsid w:val="00EE1474"/>
    <w:rsid w:val="00EE1991"/>
    <w:rsid w:val="00EE1B6B"/>
    <w:rsid w:val="00EE1DA3"/>
    <w:rsid w:val="00EE217F"/>
    <w:rsid w:val="00EE252D"/>
    <w:rsid w:val="00EE2DDA"/>
    <w:rsid w:val="00EE2E1D"/>
    <w:rsid w:val="00EE300F"/>
    <w:rsid w:val="00EE3199"/>
    <w:rsid w:val="00EE3B57"/>
    <w:rsid w:val="00EE4103"/>
    <w:rsid w:val="00EE42C3"/>
    <w:rsid w:val="00EE487A"/>
    <w:rsid w:val="00EE4DA6"/>
    <w:rsid w:val="00EE4DB1"/>
    <w:rsid w:val="00EE520D"/>
    <w:rsid w:val="00EE5AC7"/>
    <w:rsid w:val="00EE6137"/>
    <w:rsid w:val="00EE634C"/>
    <w:rsid w:val="00EE674B"/>
    <w:rsid w:val="00EE6757"/>
    <w:rsid w:val="00EE6D8C"/>
    <w:rsid w:val="00EE71C8"/>
    <w:rsid w:val="00EE737F"/>
    <w:rsid w:val="00EE767B"/>
    <w:rsid w:val="00EE767E"/>
    <w:rsid w:val="00EE76ED"/>
    <w:rsid w:val="00EE7B24"/>
    <w:rsid w:val="00EF0013"/>
    <w:rsid w:val="00EF0369"/>
    <w:rsid w:val="00EF0BC9"/>
    <w:rsid w:val="00EF11D4"/>
    <w:rsid w:val="00EF1526"/>
    <w:rsid w:val="00EF2092"/>
    <w:rsid w:val="00EF29FE"/>
    <w:rsid w:val="00EF2F49"/>
    <w:rsid w:val="00EF3097"/>
    <w:rsid w:val="00EF310B"/>
    <w:rsid w:val="00EF3A75"/>
    <w:rsid w:val="00EF3D0C"/>
    <w:rsid w:val="00EF450D"/>
    <w:rsid w:val="00EF45D7"/>
    <w:rsid w:val="00EF4611"/>
    <w:rsid w:val="00EF47C3"/>
    <w:rsid w:val="00EF48BC"/>
    <w:rsid w:val="00EF4967"/>
    <w:rsid w:val="00EF4ACE"/>
    <w:rsid w:val="00EF4B4A"/>
    <w:rsid w:val="00EF541C"/>
    <w:rsid w:val="00EF59EE"/>
    <w:rsid w:val="00EF5A9C"/>
    <w:rsid w:val="00EF5C74"/>
    <w:rsid w:val="00EF6CBF"/>
    <w:rsid w:val="00EF6F49"/>
    <w:rsid w:val="00EF6FB7"/>
    <w:rsid w:val="00EF6FC3"/>
    <w:rsid w:val="00EF71BD"/>
    <w:rsid w:val="00EF72CB"/>
    <w:rsid w:val="00EF736B"/>
    <w:rsid w:val="00EF74A5"/>
    <w:rsid w:val="00EF7696"/>
    <w:rsid w:val="00EF7AA8"/>
    <w:rsid w:val="00F0039A"/>
    <w:rsid w:val="00F0063F"/>
    <w:rsid w:val="00F008B6"/>
    <w:rsid w:val="00F0093A"/>
    <w:rsid w:val="00F00CD6"/>
    <w:rsid w:val="00F00F8C"/>
    <w:rsid w:val="00F01233"/>
    <w:rsid w:val="00F017E4"/>
    <w:rsid w:val="00F01F50"/>
    <w:rsid w:val="00F02370"/>
    <w:rsid w:val="00F02871"/>
    <w:rsid w:val="00F02900"/>
    <w:rsid w:val="00F029BA"/>
    <w:rsid w:val="00F02AC7"/>
    <w:rsid w:val="00F02C83"/>
    <w:rsid w:val="00F0301F"/>
    <w:rsid w:val="00F032DC"/>
    <w:rsid w:val="00F03DFF"/>
    <w:rsid w:val="00F03E8D"/>
    <w:rsid w:val="00F0422A"/>
    <w:rsid w:val="00F047FD"/>
    <w:rsid w:val="00F049B0"/>
    <w:rsid w:val="00F049F3"/>
    <w:rsid w:val="00F04AF2"/>
    <w:rsid w:val="00F04B38"/>
    <w:rsid w:val="00F04E85"/>
    <w:rsid w:val="00F04EE0"/>
    <w:rsid w:val="00F050AF"/>
    <w:rsid w:val="00F05273"/>
    <w:rsid w:val="00F05C75"/>
    <w:rsid w:val="00F05E9D"/>
    <w:rsid w:val="00F066B5"/>
    <w:rsid w:val="00F066D7"/>
    <w:rsid w:val="00F0681C"/>
    <w:rsid w:val="00F06B37"/>
    <w:rsid w:val="00F06DF9"/>
    <w:rsid w:val="00F06F97"/>
    <w:rsid w:val="00F07174"/>
    <w:rsid w:val="00F0728D"/>
    <w:rsid w:val="00F0752F"/>
    <w:rsid w:val="00F077ED"/>
    <w:rsid w:val="00F07843"/>
    <w:rsid w:val="00F07953"/>
    <w:rsid w:val="00F07F57"/>
    <w:rsid w:val="00F10131"/>
    <w:rsid w:val="00F107B8"/>
    <w:rsid w:val="00F10A31"/>
    <w:rsid w:val="00F10BFD"/>
    <w:rsid w:val="00F10D66"/>
    <w:rsid w:val="00F10FBB"/>
    <w:rsid w:val="00F112BC"/>
    <w:rsid w:val="00F11EC8"/>
    <w:rsid w:val="00F11FB1"/>
    <w:rsid w:val="00F12084"/>
    <w:rsid w:val="00F12702"/>
    <w:rsid w:val="00F128CE"/>
    <w:rsid w:val="00F12C6F"/>
    <w:rsid w:val="00F13286"/>
    <w:rsid w:val="00F1478E"/>
    <w:rsid w:val="00F14A28"/>
    <w:rsid w:val="00F14A98"/>
    <w:rsid w:val="00F14C76"/>
    <w:rsid w:val="00F14CBB"/>
    <w:rsid w:val="00F15510"/>
    <w:rsid w:val="00F15596"/>
    <w:rsid w:val="00F15AD5"/>
    <w:rsid w:val="00F15F0F"/>
    <w:rsid w:val="00F161E1"/>
    <w:rsid w:val="00F1621C"/>
    <w:rsid w:val="00F164D6"/>
    <w:rsid w:val="00F16BFF"/>
    <w:rsid w:val="00F17518"/>
    <w:rsid w:val="00F176A0"/>
    <w:rsid w:val="00F20241"/>
    <w:rsid w:val="00F207D3"/>
    <w:rsid w:val="00F20D01"/>
    <w:rsid w:val="00F20D46"/>
    <w:rsid w:val="00F21296"/>
    <w:rsid w:val="00F21486"/>
    <w:rsid w:val="00F217FD"/>
    <w:rsid w:val="00F21906"/>
    <w:rsid w:val="00F2193C"/>
    <w:rsid w:val="00F21983"/>
    <w:rsid w:val="00F21E9D"/>
    <w:rsid w:val="00F22117"/>
    <w:rsid w:val="00F221BC"/>
    <w:rsid w:val="00F22357"/>
    <w:rsid w:val="00F2235F"/>
    <w:rsid w:val="00F22726"/>
    <w:rsid w:val="00F22860"/>
    <w:rsid w:val="00F228E8"/>
    <w:rsid w:val="00F23340"/>
    <w:rsid w:val="00F23397"/>
    <w:rsid w:val="00F2356E"/>
    <w:rsid w:val="00F23D17"/>
    <w:rsid w:val="00F2482F"/>
    <w:rsid w:val="00F25143"/>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3BE4"/>
    <w:rsid w:val="00F3431C"/>
    <w:rsid w:val="00F35D62"/>
    <w:rsid w:val="00F36097"/>
    <w:rsid w:val="00F36151"/>
    <w:rsid w:val="00F3664C"/>
    <w:rsid w:val="00F36826"/>
    <w:rsid w:val="00F36AF3"/>
    <w:rsid w:val="00F37149"/>
    <w:rsid w:val="00F3745C"/>
    <w:rsid w:val="00F3748B"/>
    <w:rsid w:val="00F37B45"/>
    <w:rsid w:val="00F37C4B"/>
    <w:rsid w:val="00F37C80"/>
    <w:rsid w:val="00F37DFC"/>
    <w:rsid w:val="00F400D4"/>
    <w:rsid w:val="00F40220"/>
    <w:rsid w:val="00F4046C"/>
    <w:rsid w:val="00F406F8"/>
    <w:rsid w:val="00F4077C"/>
    <w:rsid w:val="00F409B2"/>
    <w:rsid w:val="00F40D4A"/>
    <w:rsid w:val="00F40F3E"/>
    <w:rsid w:val="00F416A5"/>
    <w:rsid w:val="00F41BD5"/>
    <w:rsid w:val="00F41FAA"/>
    <w:rsid w:val="00F42261"/>
    <w:rsid w:val="00F42366"/>
    <w:rsid w:val="00F42C90"/>
    <w:rsid w:val="00F42F9A"/>
    <w:rsid w:val="00F43508"/>
    <w:rsid w:val="00F43679"/>
    <w:rsid w:val="00F43826"/>
    <w:rsid w:val="00F43E2B"/>
    <w:rsid w:val="00F43F8B"/>
    <w:rsid w:val="00F442B1"/>
    <w:rsid w:val="00F44467"/>
    <w:rsid w:val="00F447CE"/>
    <w:rsid w:val="00F447F3"/>
    <w:rsid w:val="00F44806"/>
    <w:rsid w:val="00F44AA0"/>
    <w:rsid w:val="00F44C34"/>
    <w:rsid w:val="00F45303"/>
    <w:rsid w:val="00F456A8"/>
    <w:rsid w:val="00F459E9"/>
    <w:rsid w:val="00F45BD1"/>
    <w:rsid w:val="00F45C32"/>
    <w:rsid w:val="00F45CB9"/>
    <w:rsid w:val="00F45CE2"/>
    <w:rsid w:val="00F45D39"/>
    <w:rsid w:val="00F4637F"/>
    <w:rsid w:val="00F46506"/>
    <w:rsid w:val="00F46726"/>
    <w:rsid w:val="00F4689B"/>
    <w:rsid w:val="00F46B54"/>
    <w:rsid w:val="00F46E96"/>
    <w:rsid w:val="00F472F6"/>
    <w:rsid w:val="00F475EE"/>
    <w:rsid w:val="00F4760C"/>
    <w:rsid w:val="00F4777D"/>
    <w:rsid w:val="00F47A2C"/>
    <w:rsid w:val="00F47E96"/>
    <w:rsid w:val="00F5009E"/>
    <w:rsid w:val="00F50478"/>
    <w:rsid w:val="00F508C1"/>
    <w:rsid w:val="00F50CB5"/>
    <w:rsid w:val="00F50F36"/>
    <w:rsid w:val="00F5138E"/>
    <w:rsid w:val="00F517FD"/>
    <w:rsid w:val="00F51B4E"/>
    <w:rsid w:val="00F51E29"/>
    <w:rsid w:val="00F5204E"/>
    <w:rsid w:val="00F52181"/>
    <w:rsid w:val="00F529BF"/>
    <w:rsid w:val="00F53903"/>
    <w:rsid w:val="00F53B49"/>
    <w:rsid w:val="00F53C64"/>
    <w:rsid w:val="00F53DDB"/>
    <w:rsid w:val="00F53F7F"/>
    <w:rsid w:val="00F5409B"/>
    <w:rsid w:val="00F545FE"/>
    <w:rsid w:val="00F54874"/>
    <w:rsid w:val="00F54942"/>
    <w:rsid w:val="00F54AF1"/>
    <w:rsid w:val="00F55157"/>
    <w:rsid w:val="00F55209"/>
    <w:rsid w:val="00F55344"/>
    <w:rsid w:val="00F55726"/>
    <w:rsid w:val="00F55C12"/>
    <w:rsid w:val="00F55EC6"/>
    <w:rsid w:val="00F55FF7"/>
    <w:rsid w:val="00F56754"/>
    <w:rsid w:val="00F56AF3"/>
    <w:rsid w:val="00F56D12"/>
    <w:rsid w:val="00F56D85"/>
    <w:rsid w:val="00F56DD4"/>
    <w:rsid w:val="00F56DFE"/>
    <w:rsid w:val="00F571F2"/>
    <w:rsid w:val="00F574A1"/>
    <w:rsid w:val="00F57B24"/>
    <w:rsid w:val="00F602AB"/>
    <w:rsid w:val="00F603CA"/>
    <w:rsid w:val="00F6052F"/>
    <w:rsid w:val="00F60903"/>
    <w:rsid w:val="00F60E89"/>
    <w:rsid w:val="00F610C5"/>
    <w:rsid w:val="00F61EE4"/>
    <w:rsid w:val="00F62891"/>
    <w:rsid w:val="00F6318B"/>
    <w:rsid w:val="00F6377A"/>
    <w:rsid w:val="00F642F0"/>
    <w:rsid w:val="00F64703"/>
    <w:rsid w:val="00F647C9"/>
    <w:rsid w:val="00F64B4C"/>
    <w:rsid w:val="00F64E64"/>
    <w:rsid w:val="00F651A3"/>
    <w:rsid w:val="00F65BC4"/>
    <w:rsid w:val="00F65EFE"/>
    <w:rsid w:val="00F6615C"/>
    <w:rsid w:val="00F668DF"/>
    <w:rsid w:val="00F66B2E"/>
    <w:rsid w:val="00F66DE6"/>
    <w:rsid w:val="00F6751F"/>
    <w:rsid w:val="00F67A7B"/>
    <w:rsid w:val="00F67D61"/>
    <w:rsid w:val="00F700D7"/>
    <w:rsid w:val="00F70486"/>
    <w:rsid w:val="00F7080E"/>
    <w:rsid w:val="00F70862"/>
    <w:rsid w:val="00F70B38"/>
    <w:rsid w:val="00F70F8D"/>
    <w:rsid w:val="00F710A1"/>
    <w:rsid w:val="00F7121D"/>
    <w:rsid w:val="00F712B8"/>
    <w:rsid w:val="00F7139E"/>
    <w:rsid w:val="00F7144B"/>
    <w:rsid w:val="00F7147B"/>
    <w:rsid w:val="00F71693"/>
    <w:rsid w:val="00F718A1"/>
    <w:rsid w:val="00F722D9"/>
    <w:rsid w:val="00F722FC"/>
    <w:rsid w:val="00F72744"/>
    <w:rsid w:val="00F72EBF"/>
    <w:rsid w:val="00F73201"/>
    <w:rsid w:val="00F73467"/>
    <w:rsid w:val="00F73505"/>
    <w:rsid w:val="00F735CD"/>
    <w:rsid w:val="00F736EB"/>
    <w:rsid w:val="00F73C3D"/>
    <w:rsid w:val="00F73E18"/>
    <w:rsid w:val="00F74231"/>
    <w:rsid w:val="00F7437E"/>
    <w:rsid w:val="00F7438A"/>
    <w:rsid w:val="00F746AF"/>
    <w:rsid w:val="00F746FB"/>
    <w:rsid w:val="00F748FD"/>
    <w:rsid w:val="00F74B88"/>
    <w:rsid w:val="00F74F5C"/>
    <w:rsid w:val="00F751FD"/>
    <w:rsid w:val="00F75CF8"/>
    <w:rsid w:val="00F75D5E"/>
    <w:rsid w:val="00F75F63"/>
    <w:rsid w:val="00F7606B"/>
    <w:rsid w:val="00F7637D"/>
    <w:rsid w:val="00F763BC"/>
    <w:rsid w:val="00F763F3"/>
    <w:rsid w:val="00F7691F"/>
    <w:rsid w:val="00F772D0"/>
    <w:rsid w:val="00F77630"/>
    <w:rsid w:val="00F779BA"/>
    <w:rsid w:val="00F77A1B"/>
    <w:rsid w:val="00F77C4D"/>
    <w:rsid w:val="00F77F4A"/>
    <w:rsid w:val="00F807C9"/>
    <w:rsid w:val="00F80B9E"/>
    <w:rsid w:val="00F80F70"/>
    <w:rsid w:val="00F813BA"/>
    <w:rsid w:val="00F8174F"/>
    <w:rsid w:val="00F817A3"/>
    <w:rsid w:val="00F81E30"/>
    <w:rsid w:val="00F821B2"/>
    <w:rsid w:val="00F82630"/>
    <w:rsid w:val="00F82C75"/>
    <w:rsid w:val="00F8347D"/>
    <w:rsid w:val="00F838EB"/>
    <w:rsid w:val="00F83A8A"/>
    <w:rsid w:val="00F83F45"/>
    <w:rsid w:val="00F83FBE"/>
    <w:rsid w:val="00F8473A"/>
    <w:rsid w:val="00F847EA"/>
    <w:rsid w:val="00F848EF"/>
    <w:rsid w:val="00F849E3"/>
    <w:rsid w:val="00F85125"/>
    <w:rsid w:val="00F852BD"/>
    <w:rsid w:val="00F852F4"/>
    <w:rsid w:val="00F85662"/>
    <w:rsid w:val="00F85CCF"/>
    <w:rsid w:val="00F85F59"/>
    <w:rsid w:val="00F86526"/>
    <w:rsid w:val="00F866A0"/>
    <w:rsid w:val="00F866B1"/>
    <w:rsid w:val="00F8690F"/>
    <w:rsid w:val="00F86B55"/>
    <w:rsid w:val="00F870E3"/>
    <w:rsid w:val="00F874A9"/>
    <w:rsid w:val="00F877EA"/>
    <w:rsid w:val="00F90A38"/>
    <w:rsid w:val="00F90B95"/>
    <w:rsid w:val="00F91020"/>
    <w:rsid w:val="00F913CB"/>
    <w:rsid w:val="00F91465"/>
    <w:rsid w:val="00F91683"/>
    <w:rsid w:val="00F9187E"/>
    <w:rsid w:val="00F91A45"/>
    <w:rsid w:val="00F91D9A"/>
    <w:rsid w:val="00F91E3F"/>
    <w:rsid w:val="00F922F5"/>
    <w:rsid w:val="00F9259F"/>
    <w:rsid w:val="00F92A0C"/>
    <w:rsid w:val="00F92B0B"/>
    <w:rsid w:val="00F92BBE"/>
    <w:rsid w:val="00F92C3F"/>
    <w:rsid w:val="00F92C73"/>
    <w:rsid w:val="00F92E27"/>
    <w:rsid w:val="00F93325"/>
    <w:rsid w:val="00F93EE5"/>
    <w:rsid w:val="00F94B6A"/>
    <w:rsid w:val="00F94B93"/>
    <w:rsid w:val="00F958E3"/>
    <w:rsid w:val="00F959DB"/>
    <w:rsid w:val="00F95C16"/>
    <w:rsid w:val="00F95F51"/>
    <w:rsid w:val="00F96144"/>
    <w:rsid w:val="00F96228"/>
    <w:rsid w:val="00F96290"/>
    <w:rsid w:val="00F968AC"/>
    <w:rsid w:val="00F968C9"/>
    <w:rsid w:val="00F96B30"/>
    <w:rsid w:val="00F96FB5"/>
    <w:rsid w:val="00F974F7"/>
    <w:rsid w:val="00FA04FF"/>
    <w:rsid w:val="00FA106C"/>
    <w:rsid w:val="00FA12C0"/>
    <w:rsid w:val="00FA17DE"/>
    <w:rsid w:val="00FA1C96"/>
    <w:rsid w:val="00FA20B3"/>
    <w:rsid w:val="00FA2148"/>
    <w:rsid w:val="00FA2344"/>
    <w:rsid w:val="00FA2603"/>
    <w:rsid w:val="00FA2A38"/>
    <w:rsid w:val="00FA2A61"/>
    <w:rsid w:val="00FA2A6E"/>
    <w:rsid w:val="00FA2DB9"/>
    <w:rsid w:val="00FA2E58"/>
    <w:rsid w:val="00FA331F"/>
    <w:rsid w:val="00FA34AE"/>
    <w:rsid w:val="00FA3E1D"/>
    <w:rsid w:val="00FA46C1"/>
    <w:rsid w:val="00FA4B12"/>
    <w:rsid w:val="00FA4DD8"/>
    <w:rsid w:val="00FA4E1E"/>
    <w:rsid w:val="00FA5411"/>
    <w:rsid w:val="00FA54C8"/>
    <w:rsid w:val="00FA59A4"/>
    <w:rsid w:val="00FA618C"/>
    <w:rsid w:val="00FA61D8"/>
    <w:rsid w:val="00FA6B30"/>
    <w:rsid w:val="00FA6B48"/>
    <w:rsid w:val="00FA6B6A"/>
    <w:rsid w:val="00FA6DEA"/>
    <w:rsid w:val="00FA77A5"/>
    <w:rsid w:val="00FA788D"/>
    <w:rsid w:val="00FA7955"/>
    <w:rsid w:val="00FA7E79"/>
    <w:rsid w:val="00FB0089"/>
    <w:rsid w:val="00FB0C6E"/>
    <w:rsid w:val="00FB0DF4"/>
    <w:rsid w:val="00FB125E"/>
    <w:rsid w:val="00FB150D"/>
    <w:rsid w:val="00FB165F"/>
    <w:rsid w:val="00FB1BAA"/>
    <w:rsid w:val="00FB20CD"/>
    <w:rsid w:val="00FB222A"/>
    <w:rsid w:val="00FB2564"/>
    <w:rsid w:val="00FB29F6"/>
    <w:rsid w:val="00FB2BA3"/>
    <w:rsid w:val="00FB2FD0"/>
    <w:rsid w:val="00FB33AC"/>
    <w:rsid w:val="00FB3400"/>
    <w:rsid w:val="00FB3509"/>
    <w:rsid w:val="00FB3688"/>
    <w:rsid w:val="00FB37E8"/>
    <w:rsid w:val="00FB3D8A"/>
    <w:rsid w:val="00FB3E31"/>
    <w:rsid w:val="00FB43F0"/>
    <w:rsid w:val="00FB4913"/>
    <w:rsid w:val="00FB4EF8"/>
    <w:rsid w:val="00FB50A7"/>
    <w:rsid w:val="00FB5CF2"/>
    <w:rsid w:val="00FB5E10"/>
    <w:rsid w:val="00FB624E"/>
    <w:rsid w:val="00FB648A"/>
    <w:rsid w:val="00FB65F9"/>
    <w:rsid w:val="00FB66B3"/>
    <w:rsid w:val="00FB6D52"/>
    <w:rsid w:val="00FB6DE2"/>
    <w:rsid w:val="00FB6F8A"/>
    <w:rsid w:val="00FB6FC5"/>
    <w:rsid w:val="00FB715E"/>
    <w:rsid w:val="00FB72E4"/>
    <w:rsid w:val="00FB73C0"/>
    <w:rsid w:val="00FB7784"/>
    <w:rsid w:val="00FB7F41"/>
    <w:rsid w:val="00FC0206"/>
    <w:rsid w:val="00FC0C72"/>
    <w:rsid w:val="00FC0D62"/>
    <w:rsid w:val="00FC0EB1"/>
    <w:rsid w:val="00FC1549"/>
    <w:rsid w:val="00FC1618"/>
    <w:rsid w:val="00FC18FD"/>
    <w:rsid w:val="00FC19B0"/>
    <w:rsid w:val="00FC1C79"/>
    <w:rsid w:val="00FC23DD"/>
    <w:rsid w:val="00FC2950"/>
    <w:rsid w:val="00FC3475"/>
    <w:rsid w:val="00FC37B9"/>
    <w:rsid w:val="00FC38B2"/>
    <w:rsid w:val="00FC3A49"/>
    <w:rsid w:val="00FC42B0"/>
    <w:rsid w:val="00FC42D3"/>
    <w:rsid w:val="00FC4686"/>
    <w:rsid w:val="00FC486B"/>
    <w:rsid w:val="00FC4C85"/>
    <w:rsid w:val="00FC520C"/>
    <w:rsid w:val="00FC534A"/>
    <w:rsid w:val="00FC54D5"/>
    <w:rsid w:val="00FC5540"/>
    <w:rsid w:val="00FC564A"/>
    <w:rsid w:val="00FC63EA"/>
    <w:rsid w:val="00FC6553"/>
    <w:rsid w:val="00FC6B4A"/>
    <w:rsid w:val="00FC6D1B"/>
    <w:rsid w:val="00FC7375"/>
    <w:rsid w:val="00FC7C90"/>
    <w:rsid w:val="00FD0088"/>
    <w:rsid w:val="00FD0142"/>
    <w:rsid w:val="00FD0291"/>
    <w:rsid w:val="00FD04B7"/>
    <w:rsid w:val="00FD0851"/>
    <w:rsid w:val="00FD0E93"/>
    <w:rsid w:val="00FD0EBA"/>
    <w:rsid w:val="00FD107E"/>
    <w:rsid w:val="00FD1D87"/>
    <w:rsid w:val="00FD2F0A"/>
    <w:rsid w:val="00FD33B5"/>
    <w:rsid w:val="00FD33D9"/>
    <w:rsid w:val="00FD35CC"/>
    <w:rsid w:val="00FD36DB"/>
    <w:rsid w:val="00FD3F5B"/>
    <w:rsid w:val="00FD4426"/>
    <w:rsid w:val="00FD447A"/>
    <w:rsid w:val="00FD46A6"/>
    <w:rsid w:val="00FD4887"/>
    <w:rsid w:val="00FD5010"/>
    <w:rsid w:val="00FD508A"/>
    <w:rsid w:val="00FD51AE"/>
    <w:rsid w:val="00FD546D"/>
    <w:rsid w:val="00FD549B"/>
    <w:rsid w:val="00FD57C2"/>
    <w:rsid w:val="00FD5A4D"/>
    <w:rsid w:val="00FD6286"/>
    <w:rsid w:val="00FD6458"/>
    <w:rsid w:val="00FD645D"/>
    <w:rsid w:val="00FD68DC"/>
    <w:rsid w:val="00FD6B34"/>
    <w:rsid w:val="00FD76C3"/>
    <w:rsid w:val="00FD7B72"/>
    <w:rsid w:val="00FD7DB2"/>
    <w:rsid w:val="00FE0679"/>
    <w:rsid w:val="00FE07ED"/>
    <w:rsid w:val="00FE0844"/>
    <w:rsid w:val="00FE0F1B"/>
    <w:rsid w:val="00FE14CF"/>
    <w:rsid w:val="00FE172D"/>
    <w:rsid w:val="00FE1985"/>
    <w:rsid w:val="00FE199C"/>
    <w:rsid w:val="00FE1BE6"/>
    <w:rsid w:val="00FE1E3E"/>
    <w:rsid w:val="00FE2142"/>
    <w:rsid w:val="00FE21D2"/>
    <w:rsid w:val="00FE2375"/>
    <w:rsid w:val="00FE2B13"/>
    <w:rsid w:val="00FE2C1B"/>
    <w:rsid w:val="00FE2CBB"/>
    <w:rsid w:val="00FE2F90"/>
    <w:rsid w:val="00FE31EB"/>
    <w:rsid w:val="00FE33BD"/>
    <w:rsid w:val="00FE34B7"/>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7129"/>
    <w:rsid w:val="00FE767F"/>
    <w:rsid w:val="00FE78FD"/>
    <w:rsid w:val="00FE790C"/>
    <w:rsid w:val="00FE7BCC"/>
    <w:rsid w:val="00FE7FA6"/>
    <w:rsid w:val="00FF022D"/>
    <w:rsid w:val="00FF028A"/>
    <w:rsid w:val="00FF03F3"/>
    <w:rsid w:val="00FF08AB"/>
    <w:rsid w:val="00FF092E"/>
    <w:rsid w:val="00FF0EE5"/>
    <w:rsid w:val="00FF10F0"/>
    <w:rsid w:val="00FF122A"/>
    <w:rsid w:val="00FF1869"/>
    <w:rsid w:val="00FF1D12"/>
    <w:rsid w:val="00FF1FCB"/>
    <w:rsid w:val="00FF2047"/>
    <w:rsid w:val="00FF26F6"/>
    <w:rsid w:val="00FF278D"/>
    <w:rsid w:val="00FF2BCF"/>
    <w:rsid w:val="00FF2C73"/>
    <w:rsid w:val="00FF31F9"/>
    <w:rsid w:val="00FF3610"/>
    <w:rsid w:val="00FF3859"/>
    <w:rsid w:val="00FF3BA1"/>
    <w:rsid w:val="00FF42EE"/>
    <w:rsid w:val="00FF433E"/>
    <w:rsid w:val="00FF4458"/>
    <w:rsid w:val="00FF4512"/>
    <w:rsid w:val="00FF491A"/>
    <w:rsid w:val="00FF4D52"/>
    <w:rsid w:val="00FF4F84"/>
    <w:rsid w:val="00FF55CD"/>
    <w:rsid w:val="00FF618D"/>
    <w:rsid w:val="00FF6388"/>
    <w:rsid w:val="00FF64BD"/>
    <w:rsid w:val="00FF6869"/>
    <w:rsid w:val="00FF6C1C"/>
    <w:rsid w:val="00FF6CB1"/>
    <w:rsid w:val="00FF6F11"/>
    <w:rsid w:val="00FF7537"/>
    <w:rsid w:val="00FF75EC"/>
    <w:rsid w:val="034A36E7"/>
    <w:rsid w:val="1E495A54"/>
    <w:rsid w:val="3D8877E6"/>
    <w:rsid w:val="40821E6D"/>
    <w:rsid w:val="4E245800"/>
    <w:rsid w:val="5A4649C7"/>
    <w:rsid w:val="69B540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2A92FA"/>
  <w15:docId w15:val="{0A0DA670-5B34-4795-AD57-975D968A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eastAsia="宋体" w:hAnsi="宋体" w:cs="宋体"/>
      <w:sz w:val="21"/>
      <w:szCs w:val="24"/>
    </w:rPr>
  </w:style>
  <w:style w:type="paragraph" w:styleId="10">
    <w:name w:val="heading 1"/>
    <w:basedOn w:val="a"/>
    <w:next w:val="a"/>
    <w:link w:val="11"/>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0"/>
    <w:qFormat/>
    <w:pPr>
      <w:keepNext/>
      <w:keepLines/>
      <w:widowControl w:val="0"/>
      <w:numPr>
        <w:numId w:val="1"/>
      </w:numPr>
      <w:spacing w:line="360" w:lineRule="auto"/>
      <w:jc w:val="both"/>
      <w:outlineLvl w:val="1"/>
    </w:pPr>
    <w:rPr>
      <w:b/>
      <w:bCs/>
    </w:rPr>
  </w:style>
  <w:style w:type="paragraph" w:styleId="3">
    <w:name w:val="heading 3"/>
    <w:basedOn w:val="a"/>
    <w:next w:val="a"/>
    <w:link w:val="30"/>
    <w:uiPriority w:val="9"/>
    <w:qFormat/>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0"/>
    <w:uiPriority w:val="9"/>
    <w:qFormat/>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uiPriority w:val="99"/>
    <w:qFormat/>
    <w:pPr>
      <w:widowControl w:val="0"/>
      <w:jc w:val="center"/>
    </w:pPr>
    <w:rPr>
      <w:rFonts w:ascii="Times New Roman" w:hAnsi="Times New Roman" w:cs="Times New Roman"/>
      <w:kern w:val="2"/>
      <w:szCs w:val="21"/>
    </w:rPr>
  </w:style>
  <w:style w:type="paragraph" w:styleId="a5">
    <w:name w:val="Normal Indent"/>
    <w:basedOn w:val="a"/>
    <w:qFormat/>
    <w:pPr>
      <w:widowControl w:val="0"/>
      <w:ind w:firstLineChars="200" w:firstLine="420"/>
      <w:jc w:val="both"/>
    </w:pPr>
    <w:rPr>
      <w:rFonts w:ascii="Times New Roman" w:hAnsi="Times New Roman" w:cs="Times New Roman"/>
      <w:kern w:val="2"/>
      <w:szCs w:val="21"/>
    </w:rPr>
  </w:style>
  <w:style w:type="paragraph" w:styleId="a6">
    <w:name w:val="Document Map"/>
    <w:basedOn w:val="a"/>
    <w:link w:val="a7"/>
    <w:uiPriority w:val="99"/>
    <w:semiHidden/>
    <w:unhideWhenUsed/>
    <w:qFormat/>
    <w:pPr>
      <w:widowControl w:val="0"/>
      <w:jc w:val="both"/>
    </w:pPr>
    <w:rPr>
      <w:rFonts w:hAnsi="Calibri" w:cs="Times New Roman"/>
      <w:kern w:val="2"/>
      <w:sz w:val="18"/>
      <w:szCs w:val="18"/>
    </w:rPr>
  </w:style>
  <w:style w:type="paragraph" w:styleId="a8">
    <w:name w:val="toa heading"/>
    <w:basedOn w:val="a"/>
    <w:next w:val="a"/>
    <w:semiHidden/>
    <w:qFormat/>
    <w:pPr>
      <w:widowControl w:val="0"/>
      <w:spacing w:before="120"/>
      <w:jc w:val="both"/>
    </w:pPr>
    <w:rPr>
      <w:rFonts w:ascii="Arial" w:hAnsi="Arial" w:cs="Times New Roman"/>
      <w:b/>
      <w:bCs/>
      <w:kern w:val="2"/>
      <w:szCs w:val="21"/>
    </w:rPr>
  </w:style>
  <w:style w:type="paragraph" w:styleId="a9">
    <w:name w:val="annotation text"/>
    <w:basedOn w:val="a"/>
    <w:link w:val="aa"/>
    <w:qFormat/>
    <w:pPr>
      <w:widowControl w:val="0"/>
    </w:pPr>
    <w:rPr>
      <w:rFonts w:ascii="Times New Roman" w:hAnsi="Times New Roman" w:cs="Times New Roman"/>
      <w:kern w:val="2"/>
      <w:szCs w:val="21"/>
    </w:rPr>
  </w:style>
  <w:style w:type="paragraph" w:styleId="ab">
    <w:name w:val="Salutation"/>
    <w:basedOn w:val="a"/>
    <w:next w:val="a"/>
    <w:link w:val="ac"/>
    <w:uiPriority w:val="99"/>
    <w:qFormat/>
    <w:pPr>
      <w:widowControl w:val="0"/>
      <w:jc w:val="both"/>
    </w:pPr>
    <w:rPr>
      <w:rFonts w:ascii="Times New Roman" w:hAnsi="Times New Roman" w:cs="Times New Roman"/>
      <w:kern w:val="2"/>
      <w:szCs w:val="21"/>
    </w:rPr>
  </w:style>
  <w:style w:type="paragraph" w:styleId="31">
    <w:name w:val="List Bullet 3"/>
    <w:basedOn w:val="a"/>
    <w:qFormat/>
    <w:pPr>
      <w:widowControl w:val="0"/>
      <w:tabs>
        <w:tab w:val="left" w:pos="1200"/>
      </w:tabs>
      <w:jc w:val="both"/>
    </w:pPr>
    <w:rPr>
      <w:rFonts w:ascii="Times New Roman" w:hAnsi="Times New Roman" w:cs="Times New Roman"/>
      <w:kern w:val="2"/>
      <w:szCs w:val="21"/>
    </w:rPr>
  </w:style>
  <w:style w:type="paragraph" w:styleId="ad">
    <w:name w:val="Body Text"/>
    <w:basedOn w:val="a"/>
    <w:link w:val="ae"/>
    <w:uiPriority w:val="99"/>
    <w:qFormat/>
    <w:pPr>
      <w:widowControl w:val="0"/>
      <w:spacing w:after="120"/>
      <w:jc w:val="both"/>
    </w:pPr>
    <w:rPr>
      <w:rFonts w:ascii="Times New Roman" w:hAnsi="Times New Roman" w:cs="Times New Roman"/>
      <w:kern w:val="2"/>
      <w:szCs w:val="21"/>
    </w:rPr>
  </w:style>
  <w:style w:type="paragraph" w:styleId="TOC5">
    <w:name w:val="toc 5"/>
    <w:basedOn w:val="a"/>
    <w:next w:val="a"/>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uiPriority w:val="39"/>
    <w:unhideWhenUsed/>
    <w:qFormat/>
    <w:pPr>
      <w:spacing w:after="100" w:line="276" w:lineRule="auto"/>
      <w:ind w:left="440"/>
    </w:pPr>
    <w:rPr>
      <w:rFonts w:ascii="Calibri" w:hAnsi="Calibri" w:cs="Times New Roman"/>
      <w:sz w:val="22"/>
      <w:szCs w:val="22"/>
    </w:rPr>
  </w:style>
  <w:style w:type="paragraph" w:styleId="af">
    <w:name w:val="Plain Text"/>
    <w:basedOn w:val="a"/>
    <w:link w:val="af0"/>
    <w:qFormat/>
    <w:pPr>
      <w:widowControl w:val="0"/>
      <w:jc w:val="both"/>
    </w:pPr>
    <w:rPr>
      <w:rFonts w:hAnsi="Courier New" w:cs="Times New Roman"/>
      <w:kern w:val="2"/>
      <w:szCs w:val="20"/>
    </w:rPr>
  </w:style>
  <w:style w:type="paragraph" w:styleId="TOC8">
    <w:name w:val="toc 8"/>
    <w:basedOn w:val="a"/>
    <w:next w:val="a"/>
    <w:uiPriority w:val="39"/>
    <w:unhideWhenUsed/>
    <w:pPr>
      <w:widowControl w:val="0"/>
      <w:ind w:leftChars="1400" w:left="2940"/>
      <w:jc w:val="both"/>
    </w:pPr>
    <w:rPr>
      <w:rFonts w:asciiTheme="minorHAnsi" w:eastAsiaTheme="minorEastAsia" w:hAnsiTheme="minorHAnsi" w:cstheme="minorBidi"/>
      <w:kern w:val="2"/>
      <w:szCs w:val="22"/>
    </w:rPr>
  </w:style>
  <w:style w:type="paragraph" w:styleId="af1">
    <w:name w:val="Date"/>
    <w:basedOn w:val="a"/>
    <w:next w:val="a"/>
    <w:link w:val="af2"/>
    <w:uiPriority w:val="99"/>
    <w:qFormat/>
    <w:pPr>
      <w:widowControl w:val="0"/>
      <w:ind w:leftChars="2500" w:left="100"/>
      <w:jc w:val="both"/>
    </w:pPr>
    <w:rPr>
      <w:rFonts w:ascii="Times New Roman" w:hAnsi="Times New Roman" w:cs="Times New Roman"/>
      <w:kern w:val="2"/>
      <w:szCs w:val="21"/>
    </w:rPr>
  </w:style>
  <w:style w:type="paragraph" w:styleId="af3">
    <w:name w:val="endnote text"/>
    <w:basedOn w:val="a"/>
    <w:link w:val="af4"/>
    <w:uiPriority w:val="99"/>
    <w:semiHidden/>
    <w:unhideWhenUsed/>
    <w:pPr>
      <w:snapToGrid w:val="0"/>
    </w:pPr>
  </w:style>
  <w:style w:type="paragraph" w:styleId="af5">
    <w:name w:val="Balloon Text"/>
    <w:basedOn w:val="a"/>
    <w:link w:val="af6"/>
    <w:uiPriority w:val="99"/>
    <w:unhideWhenUsed/>
    <w:qFormat/>
    <w:pPr>
      <w:widowControl w:val="0"/>
      <w:jc w:val="both"/>
    </w:pPr>
    <w:rPr>
      <w:rFonts w:ascii="Calibri" w:hAnsi="Calibri" w:cs="Times New Roman"/>
      <w:kern w:val="2"/>
      <w:sz w:val="18"/>
      <w:szCs w:val="18"/>
    </w:rPr>
  </w:style>
  <w:style w:type="paragraph" w:styleId="af7">
    <w:name w:val="footer"/>
    <w:basedOn w:val="a"/>
    <w:link w:val="af8"/>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styleId="af9">
    <w:name w:val="header"/>
    <w:basedOn w:val="a"/>
    <w:link w:val="af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TOC1">
    <w:name w:val="toc 1"/>
    <w:basedOn w:val="a"/>
    <w:next w:val="a"/>
    <w:uiPriority w:val="39"/>
    <w:qFormat/>
    <w:pPr>
      <w:widowControl w:val="0"/>
      <w:tabs>
        <w:tab w:val="left" w:pos="1260"/>
        <w:tab w:val="right" w:leader="dot" w:pos="8823"/>
      </w:tabs>
      <w:spacing w:line="480" w:lineRule="auto"/>
      <w:jc w:val="both"/>
    </w:pPr>
    <w:rPr>
      <w:rFonts w:ascii="Times New Roman" w:hAnsi="Times New Roman" w:cs="Times New Roman"/>
      <w:kern w:val="2"/>
      <w:szCs w:val="21"/>
    </w:rPr>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uiPriority w:val="39"/>
    <w:qFormat/>
    <w:pPr>
      <w:widowControl w:val="0"/>
      <w:ind w:leftChars="200" w:left="420"/>
      <w:jc w:val="both"/>
    </w:pPr>
    <w:rPr>
      <w:rFonts w:ascii="Times New Roman" w:hAnsi="Times New Roman" w:cs="Times New Roman"/>
      <w:kern w:val="2"/>
      <w:szCs w:val="21"/>
    </w:rPr>
  </w:style>
  <w:style w:type="paragraph" w:styleId="TOC9">
    <w:name w:val="toc 9"/>
    <w:basedOn w:val="a"/>
    <w:next w:val="a"/>
    <w:uiPriority w:val="39"/>
    <w:unhideWhenUsed/>
    <w:pPr>
      <w:widowControl w:val="0"/>
      <w:ind w:leftChars="1600" w:left="3360"/>
      <w:jc w:val="both"/>
    </w:pPr>
    <w:rPr>
      <w:rFonts w:asciiTheme="minorHAnsi" w:eastAsiaTheme="minorEastAsia" w:hAnsiTheme="minorHAnsi" w:cstheme="minorBidi"/>
      <w:kern w:val="2"/>
      <w:szCs w:val="22"/>
    </w:rPr>
  </w:style>
  <w:style w:type="paragraph" w:styleId="afb">
    <w:name w:val="Normal (Web)"/>
    <w:basedOn w:val="a"/>
    <w:uiPriority w:val="99"/>
    <w:qFormat/>
    <w:pPr>
      <w:spacing w:before="100" w:beforeAutospacing="1" w:after="100" w:afterAutospacing="1"/>
    </w:pPr>
    <w:rPr>
      <w:sz w:val="24"/>
    </w:rPr>
  </w:style>
  <w:style w:type="paragraph" w:styleId="12">
    <w:name w:val="index 1"/>
    <w:basedOn w:val="a"/>
    <w:next w:val="a"/>
    <w:semiHidden/>
    <w:qFormat/>
    <w:pPr>
      <w:ind w:firstLineChars="200" w:firstLine="420"/>
    </w:pPr>
    <w:rPr>
      <w:rFonts w:cs="Times New Roman"/>
      <w:color w:val="000000"/>
      <w:szCs w:val="21"/>
    </w:rPr>
  </w:style>
  <w:style w:type="paragraph" w:styleId="afc">
    <w:name w:val="Title"/>
    <w:basedOn w:val="a"/>
    <w:next w:val="a"/>
    <w:link w:val="afd"/>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e">
    <w:name w:val="annotation subject"/>
    <w:basedOn w:val="a9"/>
    <w:next w:val="a9"/>
    <w:link w:val="aff"/>
    <w:uiPriority w:val="99"/>
    <w:unhideWhenUsed/>
    <w:qFormat/>
    <w:rPr>
      <w:rFonts w:ascii="Calibri" w:hAnsi="Calibri"/>
      <w:b/>
      <w:bCs/>
      <w:szCs w:val="22"/>
    </w:rPr>
  </w:style>
  <w:style w:type="table" w:styleId="aff0">
    <w:name w:val="Table Grid"/>
    <w:basedOn w:val="a1"/>
    <w:uiPriority w:val="5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endnote reference"/>
    <w:basedOn w:val="a0"/>
    <w:uiPriority w:val="99"/>
    <w:semiHidden/>
    <w:unhideWhenUsed/>
    <w:qFormat/>
    <w:rPr>
      <w:vertAlign w:val="superscript"/>
    </w:rPr>
  </w:style>
  <w:style w:type="character" w:styleId="aff2">
    <w:name w:val="Hyperlink"/>
    <w:basedOn w:val="a0"/>
    <w:uiPriority w:val="99"/>
    <w:qFormat/>
    <w:rPr>
      <w:rFonts w:cs="Times New Roman"/>
      <w:color w:val="0000FF"/>
      <w:u w:val="single"/>
    </w:rPr>
  </w:style>
  <w:style w:type="character" w:styleId="aff3">
    <w:name w:val="annotation reference"/>
    <w:basedOn w:val="a0"/>
    <w:uiPriority w:val="99"/>
    <w:rPr>
      <w:rFonts w:eastAsia="宋体" w:cs="Times New Roman"/>
      <w:kern w:val="2"/>
      <w:sz w:val="21"/>
      <w:szCs w:val="21"/>
      <w:lang w:val="en-US" w:eastAsia="zh-CN" w:bidi="ar-SA"/>
    </w:rPr>
  </w:style>
  <w:style w:type="character" w:customStyle="1" w:styleId="11">
    <w:name w:val="标题 1 字符"/>
    <w:basedOn w:val="a0"/>
    <w:link w:val="10"/>
    <w:uiPriority w:val="99"/>
    <w:rPr>
      <w:rFonts w:eastAsia="黑体"/>
      <w:b/>
      <w:bCs/>
      <w:kern w:val="44"/>
      <w:sz w:val="28"/>
      <w:szCs w:val="44"/>
    </w:rPr>
  </w:style>
  <w:style w:type="character" w:customStyle="1" w:styleId="20">
    <w:name w:val="标题 2 字符"/>
    <w:basedOn w:val="a0"/>
    <w:link w:val="2"/>
    <w:rPr>
      <w:rFonts w:ascii="宋体" w:eastAsia="宋体" w:hAnsi="宋体" w:cs="宋体"/>
      <w:b/>
      <w:bCs/>
      <w:sz w:val="21"/>
      <w:szCs w:val="24"/>
    </w:rPr>
  </w:style>
  <w:style w:type="character" w:customStyle="1" w:styleId="30">
    <w:name w:val="标题 3 字符"/>
    <w:basedOn w:val="a0"/>
    <w:link w:val="3"/>
    <w:uiPriority w:val="9"/>
    <w:rPr>
      <w:b/>
      <w:bCs/>
      <w:kern w:val="2"/>
      <w:sz w:val="21"/>
      <w:szCs w:val="32"/>
    </w:rPr>
  </w:style>
  <w:style w:type="character" w:customStyle="1" w:styleId="40">
    <w:name w:val="标题 4 字符"/>
    <w:basedOn w:val="a0"/>
    <w:link w:val="4"/>
    <w:uiPriority w:val="9"/>
    <w:rPr>
      <w:rFonts w:ascii="Cambria" w:hAnsi="Cambria"/>
      <w:b/>
      <w:bCs/>
      <w:kern w:val="2"/>
      <w:sz w:val="21"/>
      <w:szCs w:val="28"/>
    </w:rPr>
  </w:style>
  <w:style w:type="character" w:customStyle="1" w:styleId="50">
    <w:name w:val="标题 5 字符"/>
    <w:basedOn w:val="a0"/>
    <w:link w:val="5"/>
    <w:uiPriority w:val="9"/>
    <w:rPr>
      <w:b/>
      <w:bCs/>
      <w:kern w:val="2"/>
      <w:sz w:val="21"/>
      <w:szCs w:val="28"/>
    </w:rPr>
  </w:style>
  <w:style w:type="paragraph" w:customStyle="1" w:styleId="TOC10">
    <w:name w:val="TOC 标题1"/>
    <w:basedOn w:val="10"/>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a">
    <w:name w:val="批注文字 字符"/>
    <w:basedOn w:val="a0"/>
    <w:link w:val="a9"/>
    <w:qFormat/>
    <w:rPr>
      <w:rFonts w:ascii="Times New Roman" w:eastAsia="宋体" w:hAnsi="Times New Roman" w:cs="Times New Roman"/>
      <w:szCs w:val="21"/>
    </w:rPr>
  </w:style>
  <w:style w:type="character" w:customStyle="1" w:styleId="af6">
    <w:name w:val="批注框文本 字符"/>
    <w:basedOn w:val="a0"/>
    <w:link w:val="af5"/>
    <w:uiPriority w:val="99"/>
    <w:qFormat/>
    <w:rPr>
      <w:rFonts w:ascii="Calibri" w:eastAsia="宋体" w:hAnsi="Calibri" w:cs="Times New Roman"/>
      <w:sz w:val="18"/>
      <w:szCs w:val="18"/>
    </w:rPr>
  </w:style>
  <w:style w:type="character" w:customStyle="1" w:styleId="ac">
    <w:name w:val="称呼 字符"/>
    <w:basedOn w:val="a0"/>
    <w:link w:val="ab"/>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hAnsi="Times New Roman" w:cs="Times New Roman"/>
      <w:sz w:val="18"/>
      <w:szCs w:val="18"/>
    </w:rPr>
  </w:style>
  <w:style w:type="paragraph" w:styleId="aff4">
    <w:name w:val="List Paragraph"/>
    <w:basedOn w:val="a"/>
    <w:uiPriority w:val="34"/>
    <w:qFormat/>
    <w:pPr>
      <w:widowControl w:val="0"/>
      <w:ind w:firstLineChars="200" w:firstLine="420"/>
      <w:jc w:val="both"/>
    </w:pPr>
    <w:rPr>
      <w:rFonts w:ascii="Calibri" w:hAnsi="Calibri" w:cs="Times New Roman"/>
      <w:kern w:val="2"/>
      <w:szCs w:val="22"/>
    </w:rPr>
  </w:style>
  <w:style w:type="character" w:customStyle="1" w:styleId="aff">
    <w:name w:val="批注主题 字符"/>
    <w:basedOn w:val="aa"/>
    <w:link w:val="afe"/>
    <w:uiPriority w:val="99"/>
    <w:qFormat/>
    <w:rPr>
      <w:rFonts w:ascii="Calibri" w:eastAsia="宋体" w:hAnsi="Calibri" w:cs="Times New Roman"/>
      <w:b/>
      <w:bCs/>
      <w:szCs w:val="21"/>
    </w:rPr>
  </w:style>
  <w:style w:type="character" w:customStyle="1" w:styleId="afa">
    <w:name w:val="页眉 字符"/>
    <w:basedOn w:val="a0"/>
    <w:link w:val="af9"/>
    <w:uiPriority w:val="99"/>
    <w:qFormat/>
    <w:rPr>
      <w:rFonts w:ascii="Calibri" w:eastAsia="宋体" w:hAnsi="Calibri" w:cs="Times New Roman"/>
      <w:sz w:val="18"/>
      <w:szCs w:val="18"/>
    </w:rPr>
  </w:style>
  <w:style w:type="character" w:customStyle="1" w:styleId="af8">
    <w:name w:val="页脚 字符"/>
    <w:basedOn w:val="a0"/>
    <w:link w:val="af7"/>
    <w:uiPriority w:val="99"/>
    <w:qFormat/>
    <w:rPr>
      <w:rFonts w:ascii="Calibri" w:eastAsia="宋体" w:hAnsi="Calibri" w:cs="Times New Roman"/>
      <w:sz w:val="18"/>
      <w:szCs w:val="18"/>
    </w:rPr>
  </w:style>
  <w:style w:type="character" w:customStyle="1" w:styleId="af0">
    <w:name w:val="纯文本 字符"/>
    <w:basedOn w:val="a0"/>
    <w:link w:val="af"/>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e">
    <w:name w:val="正文文本 字符"/>
    <w:basedOn w:val="a0"/>
    <w:link w:val="ad"/>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af2">
    <w:name w:val="日期 字符"/>
    <w:basedOn w:val="a0"/>
    <w:link w:val="af1"/>
    <w:uiPriority w:val="99"/>
    <w:qFormat/>
    <w:rPr>
      <w:rFonts w:ascii="Times New Roman" w:eastAsia="宋体" w:hAnsi="Times New Roman" w:cs="Times New Roman"/>
      <w:szCs w:val="21"/>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customStyle="1" w:styleId="51">
    <w:name w:val="标题5"/>
    <w:basedOn w:val="a"/>
    <w:qFormat/>
    <w:pPr>
      <w:keepNext/>
      <w:keepLines/>
      <w:widowControl w:val="0"/>
      <w:spacing w:before="60" w:after="60"/>
      <w:ind w:hangingChars="200" w:hanging="420"/>
      <w:jc w:val="both"/>
      <w:outlineLvl w:val="4"/>
    </w:pPr>
    <w:rPr>
      <w:rFonts w:cs="Times New Roman"/>
      <w:b/>
      <w:bCs/>
      <w:kern w:val="2"/>
      <w:szCs w:val="21"/>
    </w:rPr>
  </w:style>
  <w:style w:type="paragraph" w:customStyle="1" w:styleId="13">
    <w:name w:val="修订1"/>
    <w:hidden/>
    <w:uiPriority w:val="99"/>
    <w:semiHidden/>
    <w:qFormat/>
    <w:rPr>
      <w:rFonts w:ascii="Calibri" w:eastAsia="宋体" w:hAnsi="Calibri" w:cs="Times New Roman"/>
      <w:kern w:val="2"/>
      <w:sz w:val="21"/>
      <w:szCs w:val="22"/>
    </w:rPr>
  </w:style>
  <w:style w:type="character" w:customStyle="1" w:styleId="Char">
    <w:name w:val="正文的样式 Char"/>
    <w:basedOn w:val="a0"/>
    <w:link w:val="aff5"/>
    <w:qFormat/>
    <w:rPr>
      <w:kern w:val="2"/>
      <w:sz w:val="21"/>
      <w:szCs w:val="24"/>
    </w:rPr>
  </w:style>
  <w:style w:type="paragraph" w:customStyle="1" w:styleId="aff5">
    <w:name w:val="正文的样式"/>
    <w:basedOn w:val="a"/>
    <w:link w:val="Char"/>
    <w:qFormat/>
    <w:pPr>
      <w:widowControl w:val="0"/>
      <w:spacing w:before="100" w:after="100"/>
      <w:jc w:val="both"/>
    </w:pPr>
    <w:rPr>
      <w:rFonts w:ascii="Calibri" w:hAnsi="Calibri" w:cs="Times New Roman"/>
      <w:kern w:val="2"/>
    </w:rPr>
  </w:style>
  <w:style w:type="character" w:customStyle="1" w:styleId="a7">
    <w:name w:val="文档结构图 字符"/>
    <w:basedOn w:val="a0"/>
    <w:link w:val="a6"/>
    <w:uiPriority w:val="99"/>
    <w:semiHidden/>
    <w:qFormat/>
    <w:rPr>
      <w:rFonts w:ascii="宋体"/>
      <w:kern w:val="2"/>
      <w:sz w:val="18"/>
      <w:szCs w:val="18"/>
    </w:rPr>
  </w:style>
  <w:style w:type="character" w:styleId="aff6">
    <w:name w:val="Placeholder Text"/>
    <w:basedOn w:val="a0"/>
    <w:uiPriority w:val="99"/>
    <w:semiHidden/>
    <w:qFormat/>
    <w:rPr>
      <w:color w:val="auto"/>
    </w:rPr>
  </w:style>
  <w:style w:type="character" w:customStyle="1" w:styleId="afd">
    <w:name w:val="标题 字符"/>
    <w:basedOn w:val="a0"/>
    <w:link w:val="afc"/>
    <w:uiPriority w:val="10"/>
    <w:qFormat/>
    <w:rPr>
      <w:rFonts w:asciiTheme="majorHAnsi" w:hAnsiTheme="majorHAnsi" w:cstheme="majorBidi"/>
      <w:b/>
      <w:bCs/>
      <w:kern w:val="2"/>
      <w:sz w:val="32"/>
      <w:szCs w:val="32"/>
    </w:rPr>
  </w:style>
  <w:style w:type="paragraph" w:styleId="aff7">
    <w:name w:val="No Spacing"/>
    <w:uiPriority w:val="1"/>
    <w:qFormat/>
    <w:pPr>
      <w:widowControl w:val="0"/>
      <w:jc w:val="both"/>
    </w:pPr>
    <w:rPr>
      <w:rFonts w:ascii="Calibri" w:eastAsia="宋体" w:hAnsi="Calibri" w:cs="Times New Roman"/>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uiPriority w:val="99"/>
    <w:semiHidden/>
    <w:qFormat/>
    <w:rPr>
      <w:rFonts w:ascii="Times New Roman" w:eastAsia="宋体" w:hAnsi="Times New Roman" w:cs="Times New Roman"/>
      <w:b/>
      <w:bCs/>
      <w:szCs w:val="21"/>
    </w:rPr>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qFormat/>
    <w:rPr>
      <w:rFonts w:ascii="Times New Roman" w:hAnsi="Times New Roman"/>
      <w:b/>
      <w:kern w:val="2"/>
      <w:sz w:val="21"/>
      <w:szCs w:val="24"/>
    </w:rPr>
  </w:style>
  <w:style w:type="character" w:customStyle="1" w:styleId="14">
    <w:name w:val="批注主题 字符1"/>
    <w:basedOn w:val="aa"/>
    <w:uiPriority w:val="99"/>
    <w:semiHidden/>
    <w:qFormat/>
    <w:rPr>
      <w:rFonts w:ascii="Times New Roman" w:eastAsia="宋体" w:hAnsi="Times New Roman" w:cs="Times New Roman"/>
      <w:b/>
      <w:bCs/>
      <w:szCs w:val="21"/>
    </w:rPr>
  </w:style>
  <w:style w:type="character" w:customStyle="1" w:styleId="70">
    <w:name w:val="标题 7 字符"/>
    <w:basedOn w:val="a0"/>
    <w:link w:val="7"/>
    <w:uiPriority w:val="9"/>
    <w:qFormat/>
    <w:rPr>
      <w:rFonts w:ascii="宋体" w:hAnsi="宋体" w:cs="宋体"/>
      <w:b/>
      <w:bCs/>
      <w:sz w:val="24"/>
      <w:szCs w:val="24"/>
    </w:rPr>
  </w:style>
  <w:style w:type="character" w:customStyle="1" w:styleId="span">
    <w:name w:val="span_"/>
    <w:basedOn w:val="a0"/>
    <w:qFormat/>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f4"/>
    <w:uiPriority w:val="34"/>
    <w:qFormat/>
    <w:pPr>
      <w:widowControl w:val="0"/>
      <w:ind w:firstLineChars="200" w:firstLine="420"/>
      <w:jc w:val="both"/>
    </w:pPr>
    <w:rPr>
      <w:rFonts w:ascii="Calibri" w:hAnsi="Calibri" w:cs="Times New Roman"/>
      <w:kern w:val="2"/>
      <w:szCs w:val="22"/>
    </w:rPr>
  </w:style>
  <w:style w:type="paragraph" w:customStyle="1" w:styleId="33">
    <w:name w:val="3"/>
    <w:basedOn w:val="a"/>
    <w:next w:val="aff4"/>
    <w:uiPriority w:val="34"/>
    <w:qFormat/>
    <w:pPr>
      <w:widowControl w:val="0"/>
      <w:ind w:firstLineChars="200" w:firstLine="420"/>
      <w:jc w:val="both"/>
    </w:pPr>
    <w:rPr>
      <w:rFonts w:ascii="Calibri" w:hAnsi="Calibri" w:cs="Times New Roman"/>
      <w:kern w:val="2"/>
      <w:szCs w:val="22"/>
    </w:rPr>
  </w:style>
  <w:style w:type="character" w:customStyle="1" w:styleId="3Char0">
    <w:name w:val="标题 3 Char"/>
    <w:uiPriority w:val="9"/>
    <w:qFormat/>
    <w:rPr>
      <w:b/>
      <w:bCs/>
      <w:kern w:val="2"/>
      <w:sz w:val="21"/>
      <w:szCs w:val="32"/>
    </w:rPr>
  </w:style>
  <w:style w:type="paragraph" w:customStyle="1" w:styleId="21">
    <w:name w:val="2"/>
    <w:basedOn w:val="a"/>
    <w:next w:val="aff4"/>
    <w:uiPriority w:val="34"/>
    <w:qFormat/>
    <w:pPr>
      <w:widowControl w:val="0"/>
      <w:ind w:firstLineChars="200" w:firstLine="420"/>
      <w:jc w:val="both"/>
    </w:pPr>
    <w:rPr>
      <w:rFonts w:ascii="Calibri" w:hAnsi="Calibri" w:cs="Times New Roman"/>
      <w:kern w:val="2"/>
      <w:szCs w:val="22"/>
    </w:rPr>
  </w:style>
  <w:style w:type="paragraph" w:customStyle="1" w:styleId="15">
    <w:name w:val="1"/>
    <w:basedOn w:val="a"/>
    <w:next w:val="aff4"/>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uiPriority w:val="99"/>
    <w:qFormat/>
    <w:rPr>
      <w:rFonts w:ascii="Times New Roman" w:hAnsi="Times New Roman"/>
      <w:kern w:val="2"/>
      <w:sz w:val="21"/>
      <w:szCs w:val="21"/>
    </w:rPr>
  </w:style>
  <w:style w:type="character" w:customStyle="1" w:styleId="5Char">
    <w:name w:val="标题 5 Char"/>
    <w:uiPriority w:val="9"/>
    <w:qFormat/>
    <w:rPr>
      <w:b/>
      <w:bCs/>
      <w:kern w:val="2"/>
      <w:sz w:val="21"/>
      <w:szCs w:val="28"/>
    </w:rPr>
  </w:style>
  <w:style w:type="character" w:customStyle="1" w:styleId="Char10">
    <w:name w:val="批注文字 Char1"/>
    <w:qFormat/>
    <w:rPr>
      <w:rFonts w:ascii="Times New Roman" w:hAnsi="Times New Roman"/>
      <w:kern w:val="2"/>
      <w:sz w:val="21"/>
      <w:szCs w:val="21"/>
    </w:rPr>
  </w:style>
  <w:style w:type="character" w:customStyle="1" w:styleId="2Char">
    <w:name w:val="标题 2 Char"/>
    <w:rPr>
      <w:rFonts w:ascii="Arial" w:hAnsi="Arial"/>
      <w:b/>
      <w:bCs/>
      <w:kern w:val="2"/>
      <w:sz w:val="21"/>
      <w:szCs w:val="21"/>
    </w:rPr>
  </w:style>
  <w:style w:type="table" w:customStyle="1" w:styleId="g1">
    <w:name w:val="g1"/>
    <w:uiPriority w:val="99"/>
    <w:semiHidden/>
    <w:unhideWhenUsed/>
    <w:qFormat/>
    <w:tblPr>
      <w:tblCellMar>
        <w:top w:w="0" w:type="dxa"/>
        <w:left w:w="108" w:type="dxa"/>
        <w:bottom w:w="0" w:type="dxa"/>
        <w:right w:w="108" w:type="dxa"/>
      </w:tblCellMar>
    </w:tblPr>
  </w:style>
  <w:style w:type="paragraph" w:customStyle="1" w:styleId="95">
    <w:name w:val="95"/>
    <w:qFormat/>
    <w:rPr>
      <w:rFonts w:ascii="宋体" w:eastAsia="宋体" w:hAnsi="宋体" w:cs="宋体"/>
      <w:sz w:val="21"/>
      <w:szCs w:val="24"/>
    </w:rPr>
  </w:style>
  <w:style w:type="table" w:customStyle="1" w:styleId="87">
    <w:name w:val="87"/>
    <w:uiPriority w:val="99"/>
    <w:semiHidden/>
    <w:unhideWhenUsed/>
    <w:qFormat/>
    <w:tblPr>
      <w:tblCellMar>
        <w:top w:w="0" w:type="dxa"/>
        <w:left w:w="108" w:type="dxa"/>
        <w:bottom w:w="0" w:type="dxa"/>
        <w:right w:w="108" w:type="dxa"/>
      </w:tblCellMar>
    </w:tblPr>
  </w:style>
  <w:style w:type="character" w:customStyle="1" w:styleId="16">
    <w:name w:val="未处理的提及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宋体" w:eastAsia="宋体" w:hAnsi="宋体" w:cs="宋体"/>
      <w:sz w:val="21"/>
      <w:szCs w:val="24"/>
    </w:rPr>
  </w:style>
  <w:style w:type="table" w:customStyle="1" w:styleId="g2">
    <w:name w:val="g2"/>
    <w:uiPriority w:val="99"/>
    <w:semiHidden/>
    <w:unhideWhenUsed/>
    <w:qFormat/>
    <w:tblPr>
      <w:tblCellMar>
        <w:top w:w="0" w:type="dxa"/>
        <w:left w:w="108" w:type="dxa"/>
        <w:bottom w:w="0" w:type="dxa"/>
        <w:right w:w="108" w:type="dxa"/>
      </w:tblCellMar>
    </w:tblPr>
  </w:style>
  <w:style w:type="table" w:customStyle="1" w:styleId="g3">
    <w:name w:val="g3"/>
    <w:uiPriority w:val="5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5">
    <w:name w:val="g5"/>
    <w:rPr>
      <w:rFonts w:ascii="Times New Roman" w:eastAsia="Times New Roman" w:hAnsi="Times New Roman"/>
    </w:rPr>
    <w:tblPr>
      <w:tblCellMar>
        <w:top w:w="0" w:type="dxa"/>
        <w:left w:w="0" w:type="dxa"/>
        <w:bottom w:w="0" w:type="dxa"/>
        <w:right w:w="0" w:type="dxa"/>
      </w:tblCellMar>
    </w:tblPr>
  </w:style>
  <w:style w:type="paragraph" w:customStyle="1" w:styleId="97">
    <w:name w:val="97"/>
    <w:qFormat/>
    <w:rPr>
      <w:rFonts w:ascii="宋体" w:hAnsi="宋体" w:cs="宋体"/>
      <w:sz w:val="21"/>
      <w:szCs w:val="24"/>
    </w:rPr>
  </w:style>
  <w:style w:type="paragraph" w:customStyle="1" w:styleId="96">
    <w:name w:val="96"/>
    <w:basedOn w:val="97"/>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97"/>
    <w:qFormat/>
    <w:pPr>
      <w:keepNext/>
      <w:keepLines/>
      <w:widowControl w:val="0"/>
      <w:numPr>
        <w:numId w:val="2"/>
      </w:numPr>
      <w:spacing w:line="360" w:lineRule="auto"/>
      <w:jc w:val="both"/>
      <w:outlineLvl w:val="1"/>
    </w:pPr>
    <w:rPr>
      <w:b/>
      <w:bCs/>
    </w:rPr>
  </w:style>
  <w:style w:type="paragraph" w:customStyle="1" w:styleId="94">
    <w:name w:val="94"/>
    <w:basedOn w:val="97"/>
    <w:uiPriority w:val="9"/>
    <w:qFormat/>
    <w:pPr>
      <w:keepNext/>
      <w:keepLines/>
      <w:widowControl w:val="0"/>
      <w:spacing w:before="60" w:after="60"/>
      <w:jc w:val="both"/>
      <w:outlineLvl w:val="2"/>
    </w:pPr>
    <w:rPr>
      <w:rFonts w:ascii="Calibri" w:hAnsi="Calibri" w:cs="Times New Roman"/>
      <w:b/>
      <w:bCs/>
      <w:kern w:val="2"/>
      <w:szCs w:val="32"/>
    </w:rPr>
  </w:style>
  <w:style w:type="paragraph" w:customStyle="1" w:styleId="93">
    <w:name w:val="93"/>
    <w:basedOn w:val="97"/>
    <w:uiPriority w:val="9"/>
    <w:qFormat/>
    <w:pPr>
      <w:keepNext/>
      <w:keepLines/>
      <w:widowControl w:val="0"/>
      <w:spacing w:before="60" w:after="60"/>
      <w:jc w:val="both"/>
      <w:outlineLvl w:val="3"/>
    </w:pPr>
    <w:rPr>
      <w:rFonts w:ascii="Cambria" w:hAnsi="Cambria" w:cs="Times New Roman"/>
      <w:b/>
      <w:bCs/>
      <w:kern w:val="2"/>
      <w:szCs w:val="28"/>
    </w:rPr>
  </w:style>
  <w:style w:type="paragraph" w:customStyle="1" w:styleId="92">
    <w:name w:val="92"/>
    <w:basedOn w:val="97"/>
    <w:uiPriority w:val="9"/>
    <w:qFormat/>
    <w:pPr>
      <w:keepNext/>
      <w:keepLines/>
      <w:widowControl w:val="0"/>
      <w:spacing w:before="60" w:after="60"/>
      <w:jc w:val="both"/>
      <w:outlineLvl w:val="4"/>
    </w:pPr>
    <w:rPr>
      <w:rFonts w:ascii="Calibri" w:hAnsi="Calibri" w:cs="Times New Roman"/>
      <w:b/>
      <w:bCs/>
      <w:kern w:val="2"/>
      <w:szCs w:val="28"/>
    </w:rPr>
  </w:style>
  <w:style w:type="paragraph" w:customStyle="1" w:styleId="91">
    <w:name w:val="91"/>
    <w:basedOn w:val="97"/>
    <w:uiPriority w:val="9"/>
    <w:unhideWhenUsed/>
    <w:qFormat/>
    <w:pPr>
      <w:keepNext/>
      <w:keepLines/>
      <w:spacing w:before="60" w:after="60"/>
      <w:outlineLvl w:val="5"/>
    </w:pPr>
    <w:rPr>
      <w:rFonts w:asciiTheme="majorHAnsi" w:hAnsiTheme="majorHAnsi" w:cstheme="majorBidi"/>
      <w:b/>
      <w:bCs/>
    </w:rPr>
  </w:style>
  <w:style w:type="paragraph" w:customStyle="1" w:styleId="90">
    <w:name w:val="90"/>
    <w:basedOn w:val="97"/>
    <w:uiPriority w:val="9"/>
    <w:unhideWhenUsed/>
    <w:qFormat/>
    <w:pPr>
      <w:keepNext/>
      <w:keepLines/>
      <w:spacing w:before="240" w:after="64" w:line="320" w:lineRule="auto"/>
      <w:outlineLvl w:val="6"/>
    </w:pPr>
    <w:rPr>
      <w:b/>
      <w:bCs/>
      <w:sz w:val="24"/>
    </w:rPr>
  </w:style>
  <w:style w:type="character" w:customStyle="1" w:styleId="89">
    <w:name w:val="89"/>
    <w:uiPriority w:val="1"/>
    <w:semiHidden/>
    <w:unhideWhenUsed/>
  </w:style>
  <w:style w:type="table" w:customStyle="1" w:styleId="88">
    <w:name w:val="88"/>
    <w:uiPriority w:val="99"/>
    <w:semiHidden/>
    <w:unhideWhenUsed/>
    <w:qFormat/>
    <w:tblPr>
      <w:tblCellMar>
        <w:top w:w="0" w:type="dxa"/>
        <w:left w:w="108" w:type="dxa"/>
        <w:bottom w:w="0" w:type="dxa"/>
        <w:right w:w="108" w:type="dxa"/>
      </w:tblCellMar>
    </w:tblPr>
  </w:style>
  <w:style w:type="character" w:customStyle="1" w:styleId="85">
    <w:name w:val="85"/>
    <w:basedOn w:val="89"/>
    <w:uiPriority w:val="99"/>
    <w:rPr>
      <w:rFonts w:eastAsia="黑体"/>
      <w:b/>
      <w:bCs/>
      <w:kern w:val="44"/>
      <w:sz w:val="28"/>
      <w:szCs w:val="44"/>
    </w:rPr>
  </w:style>
  <w:style w:type="character" w:customStyle="1" w:styleId="2CharCharCharChar1">
    <w:name w:val="标题 2 Char Char Char Char1"/>
    <w:basedOn w:val="89"/>
    <w:rPr>
      <w:rFonts w:ascii="宋体" w:hAnsi="宋体" w:cs="宋体"/>
      <w:b/>
      <w:bCs/>
      <w:sz w:val="21"/>
      <w:szCs w:val="24"/>
    </w:rPr>
  </w:style>
  <w:style w:type="character" w:customStyle="1" w:styleId="84">
    <w:name w:val="84"/>
    <w:basedOn w:val="89"/>
    <w:uiPriority w:val="9"/>
    <w:rPr>
      <w:b/>
      <w:bCs/>
      <w:kern w:val="2"/>
      <w:sz w:val="21"/>
      <w:szCs w:val="32"/>
    </w:rPr>
  </w:style>
  <w:style w:type="character" w:customStyle="1" w:styleId="83">
    <w:name w:val="83"/>
    <w:basedOn w:val="89"/>
    <w:uiPriority w:val="9"/>
    <w:qFormat/>
    <w:rPr>
      <w:rFonts w:ascii="Cambria" w:hAnsi="Cambria"/>
      <w:b/>
      <w:bCs/>
      <w:kern w:val="2"/>
      <w:sz w:val="21"/>
      <w:szCs w:val="28"/>
    </w:rPr>
  </w:style>
  <w:style w:type="character" w:customStyle="1" w:styleId="82">
    <w:name w:val="82"/>
    <w:basedOn w:val="89"/>
    <w:uiPriority w:val="9"/>
    <w:qFormat/>
    <w:rPr>
      <w:b/>
      <w:bCs/>
      <w:kern w:val="2"/>
      <w:sz w:val="21"/>
      <w:szCs w:val="28"/>
    </w:rPr>
  </w:style>
  <w:style w:type="paragraph" w:customStyle="1" w:styleId="81">
    <w:name w:val="81"/>
    <w:basedOn w:val="96"/>
    <w:uiPriority w:val="39"/>
    <w:qFormat/>
    <w:pPr>
      <w:widowControl/>
      <w:spacing w:before="480" w:after="0" w:line="276" w:lineRule="auto"/>
      <w:outlineLvl w:val="9"/>
    </w:pPr>
    <w:rPr>
      <w:rFonts w:ascii="Cambria" w:eastAsia="宋体" w:hAnsi="Cambria"/>
      <w:color w:val="365F91"/>
      <w:kern w:val="0"/>
      <w:szCs w:val="28"/>
    </w:rPr>
  </w:style>
  <w:style w:type="paragraph" w:customStyle="1" w:styleId="80">
    <w:name w:val="80"/>
    <w:basedOn w:val="97"/>
    <w:uiPriority w:val="39"/>
    <w:qFormat/>
    <w:pPr>
      <w:widowControl w:val="0"/>
      <w:tabs>
        <w:tab w:val="left" w:pos="1260"/>
        <w:tab w:val="right" w:leader="dot" w:pos="8823"/>
      </w:tabs>
      <w:spacing w:line="480" w:lineRule="auto"/>
      <w:jc w:val="both"/>
    </w:pPr>
    <w:rPr>
      <w:rFonts w:ascii="Times New Roman" w:hAnsi="Times New Roman" w:cs="Times New Roman"/>
      <w:kern w:val="2"/>
      <w:szCs w:val="21"/>
    </w:rPr>
  </w:style>
  <w:style w:type="paragraph" w:customStyle="1" w:styleId="79">
    <w:name w:val="79"/>
    <w:basedOn w:val="97"/>
    <w:uiPriority w:val="39"/>
    <w:qFormat/>
    <w:pPr>
      <w:widowControl w:val="0"/>
      <w:ind w:leftChars="200" w:left="420"/>
      <w:jc w:val="both"/>
    </w:pPr>
    <w:rPr>
      <w:rFonts w:ascii="Times New Roman" w:hAnsi="Times New Roman" w:cs="Times New Roman"/>
      <w:kern w:val="2"/>
      <w:szCs w:val="21"/>
    </w:rPr>
  </w:style>
  <w:style w:type="character" w:customStyle="1" w:styleId="78">
    <w:name w:val="78"/>
    <w:basedOn w:val="89"/>
    <w:uiPriority w:val="99"/>
    <w:qFormat/>
    <w:rPr>
      <w:rFonts w:cs="Times New Roman"/>
      <w:color w:val="0000FF"/>
      <w:u w:val="single"/>
    </w:rPr>
  </w:style>
  <w:style w:type="character" w:customStyle="1" w:styleId="77">
    <w:name w:val="77"/>
    <w:basedOn w:val="89"/>
    <w:uiPriority w:val="99"/>
    <w:qFormat/>
    <w:rPr>
      <w:rFonts w:eastAsia="宋体" w:cs="Times New Roman"/>
      <w:kern w:val="2"/>
      <w:sz w:val="21"/>
      <w:szCs w:val="21"/>
      <w:lang w:val="en-US" w:eastAsia="zh-CN" w:bidi="ar-SA"/>
    </w:rPr>
  </w:style>
  <w:style w:type="paragraph" w:customStyle="1" w:styleId="76">
    <w:name w:val="76"/>
    <w:basedOn w:val="97"/>
    <w:qFormat/>
    <w:pPr>
      <w:widowControl w:val="0"/>
    </w:pPr>
    <w:rPr>
      <w:rFonts w:ascii="Times New Roman" w:hAnsi="Times New Roman" w:cs="Times New Roman"/>
      <w:kern w:val="2"/>
      <w:szCs w:val="21"/>
    </w:rPr>
  </w:style>
  <w:style w:type="character" w:customStyle="1" w:styleId="75">
    <w:name w:val="75"/>
    <w:basedOn w:val="89"/>
    <w:qFormat/>
    <w:rPr>
      <w:rFonts w:ascii="Times New Roman" w:eastAsia="宋体" w:hAnsi="Times New Roman" w:cs="Times New Roman"/>
      <w:szCs w:val="21"/>
    </w:rPr>
  </w:style>
  <w:style w:type="table" w:customStyle="1" w:styleId="74">
    <w:name w:val="74"/>
    <w:basedOn w:val="88"/>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3">
    <w:name w:val="73"/>
    <w:basedOn w:val="97"/>
    <w:uiPriority w:val="99"/>
    <w:unhideWhenUsed/>
    <w:qFormat/>
    <w:pPr>
      <w:widowControl w:val="0"/>
      <w:jc w:val="both"/>
    </w:pPr>
    <w:rPr>
      <w:rFonts w:ascii="Calibri" w:hAnsi="Calibri" w:cs="Times New Roman"/>
      <w:kern w:val="2"/>
      <w:sz w:val="18"/>
      <w:szCs w:val="18"/>
    </w:rPr>
  </w:style>
  <w:style w:type="character" w:customStyle="1" w:styleId="72">
    <w:name w:val="72"/>
    <w:basedOn w:val="89"/>
    <w:uiPriority w:val="99"/>
    <w:qFormat/>
    <w:rPr>
      <w:rFonts w:ascii="Calibri" w:eastAsia="宋体" w:hAnsi="Calibri" w:cs="Times New Roman"/>
      <w:sz w:val="18"/>
      <w:szCs w:val="18"/>
    </w:rPr>
  </w:style>
  <w:style w:type="paragraph" w:customStyle="1" w:styleId="71">
    <w:name w:val="71"/>
    <w:basedOn w:val="97"/>
    <w:uiPriority w:val="99"/>
    <w:qFormat/>
    <w:pPr>
      <w:widowControl w:val="0"/>
      <w:jc w:val="both"/>
    </w:pPr>
    <w:rPr>
      <w:rFonts w:ascii="Times New Roman" w:hAnsi="Times New Roman" w:cs="Times New Roman"/>
      <w:kern w:val="2"/>
      <w:szCs w:val="21"/>
    </w:rPr>
  </w:style>
  <w:style w:type="character" w:customStyle="1" w:styleId="700">
    <w:name w:val="70"/>
    <w:basedOn w:val="89"/>
    <w:uiPriority w:val="99"/>
    <w:qFormat/>
    <w:rPr>
      <w:rFonts w:ascii="Times New Roman" w:eastAsia="宋体" w:hAnsi="Times New Roman" w:cs="Times New Roman"/>
      <w:szCs w:val="21"/>
    </w:rPr>
  </w:style>
  <w:style w:type="character" w:customStyle="1" w:styleId="69">
    <w:name w:val="69"/>
    <w:basedOn w:val="89"/>
    <w:uiPriority w:val="99"/>
    <w:rPr>
      <w:rFonts w:eastAsia="宋体" w:cs="Times New Roman"/>
      <w:color w:val="FF0000"/>
      <w:kern w:val="2"/>
      <w:sz w:val="24"/>
      <w:szCs w:val="24"/>
      <w:lang w:val="en-US" w:eastAsia="zh-CN" w:bidi="ar-SA"/>
    </w:rPr>
  </w:style>
  <w:style w:type="paragraph" w:customStyle="1" w:styleId="68">
    <w:name w:val="68"/>
    <w:basedOn w:val="97"/>
    <w:uiPriority w:val="99"/>
    <w:qFormat/>
    <w:pPr>
      <w:spacing w:before="100" w:after="100"/>
      <w:jc w:val="right"/>
    </w:pPr>
    <w:rPr>
      <w:rFonts w:ascii="Arial Unicode MS" w:eastAsia="Arial Unicode MS" w:hAnsi="Times New Roman" w:cs="Times New Roman"/>
      <w:sz w:val="18"/>
      <w:szCs w:val="18"/>
    </w:rPr>
  </w:style>
  <w:style w:type="paragraph" w:customStyle="1" w:styleId="67">
    <w:name w:val="67"/>
    <w:basedOn w:val="97"/>
    <w:uiPriority w:val="99"/>
    <w:qFormat/>
    <w:pPr>
      <w:widowControl w:val="0"/>
      <w:ind w:firstLineChars="200" w:firstLine="420"/>
      <w:jc w:val="both"/>
    </w:pPr>
    <w:rPr>
      <w:rFonts w:ascii="Calibri" w:hAnsi="Calibri" w:cs="Times New Roman"/>
      <w:kern w:val="2"/>
      <w:szCs w:val="22"/>
    </w:rPr>
  </w:style>
  <w:style w:type="character" w:customStyle="1" w:styleId="66">
    <w:name w:val="66"/>
    <w:basedOn w:val="75"/>
    <w:uiPriority w:val="99"/>
    <w:qFormat/>
    <w:rPr>
      <w:rFonts w:ascii="Calibri" w:eastAsia="宋体" w:hAnsi="Calibri" w:cs="Times New Roman"/>
      <w:b/>
      <w:bCs/>
      <w:szCs w:val="21"/>
    </w:rPr>
  </w:style>
  <w:style w:type="paragraph" w:customStyle="1" w:styleId="65">
    <w:name w:val="65"/>
    <w:basedOn w:val="76"/>
    <w:uiPriority w:val="99"/>
    <w:unhideWhenUsed/>
    <w:qFormat/>
    <w:rPr>
      <w:rFonts w:ascii="Calibri" w:hAnsi="Calibri"/>
      <w:b/>
      <w:bCs/>
      <w:szCs w:val="22"/>
    </w:rPr>
  </w:style>
  <w:style w:type="paragraph" w:customStyle="1" w:styleId="64">
    <w:name w:val="64"/>
    <w:basedOn w:val="97"/>
    <w:uiPriority w:val="39"/>
    <w:unhideWhenUsed/>
    <w:qFormat/>
    <w:pPr>
      <w:spacing w:after="100" w:line="276" w:lineRule="auto"/>
      <w:ind w:left="440"/>
    </w:pPr>
    <w:rPr>
      <w:rFonts w:ascii="Calibri" w:hAnsi="Calibri" w:cs="Times New Roman"/>
      <w:sz w:val="22"/>
      <w:szCs w:val="22"/>
    </w:rPr>
  </w:style>
  <w:style w:type="paragraph" w:customStyle="1" w:styleId="63">
    <w:name w:val="63"/>
    <w:basedOn w:val="97"/>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62">
    <w:name w:val="62"/>
    <w:basedOn w:val="89"/>
    <w:uiPriority w:val="99"/>
    <w:rPr>
      <w:rFonts w:ascii="Calibri" w:eastAsia="宋体" w:hAnsi="Calibri" w:cs="Times New Roman"/>
      <w:sz w:val="18"/>
      <w:szCs w:val="18"/>
    </w:rPr>
  </w:style>
  <w:style w:type="paragraph" w:customStyle="1" w:styleId="61">
    <w:name w:val="61"/>
    <w:basedOn w:val="97"/>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600">
    <w:name w:val="60"/>
    <w:basedOn w:val="89"/>
    <w:uiPriority w:val="99"/>
    <w:qFormat/>
    <w:rPr>
      <w:rFonts w:ascii="Calibri" w:eastAsia="宋体" w:hAnsi="Calibri" w:cs="Times New Roman"/>
      <w:sz w:val="18"/>
      <w:szCs w:val="18"/>
    </w:rPr>
  </w:style>
  <w:style w:type="paragraph" w:customStyle="1" w:styleId="59">
    <w:name w:val="59"/>
    <w:basedOn w:val="97"/>
    <w:pPr>
      <w:widowControl w:val="0"/>
      <w:jc w:val="both"/>
    </w:pPr>
    <w:rPr>
      <w:rFonts w:hAnsi="Courier New" w:cs="Times New Roman"/>
      <w:kern w:val="2"/>
      <w:szCs w:val="20"/>
    </w:rPr>
  </w:style>
  <w:style w:type="character" w:customStyle="1" w:styleId="58">
    <w:name w:val="58"/>
    <w:basedOn w:val="89"/>
    <w:qFormat/>
    <w:rPr>
      <w:rFonts w:ascii="宋体" w:eastAsia="宋体" w:hAnsi="Courier New" w:cs="Times New Roman"/>
      <w:szCs w:val="20"/>
    </w:rPr>
  </w:style>
  <w:style w:type="character" w:customStyle="1" w:styleId="57">
    <w:name w:val="57"/>
    <w:basedOn w:val="89"/>
    <w:qFormat/>
    <w:rPr>
      <w:rFonts w:eastAsia="宋体" w:cs="Times New Roman"/>
      <w:kern w:val="2"/>
      <w:sz w:val="24"/>
      <w:szCs w:val="24"/>
      <w:lang w:val="en-US" w:eastAsia="zh-CN" w:bidi="ar-SA"/>
    </w:rPr>
  </w:style>
  <w:style w:type="paragraph" w:customStyle="1" w:styleId="56">
    <w:name w:val="56"/>
    <w:basedOn w:val="97"/>
    <w:uiPriority w:val="99"/>
    <w:qFormat/>
    <w:pPr>
      <w:widowControl w:val="0"/>
      <w:spacing w:after="120"/>
      <w:jc w:val="both"/>
    </w:pPr>
    <w:rPr>
      <w:rFonts w:ascii="Times New Roman" w:hAnsi="Times New Roman" w:cs="Times New Roman"/>
      <w:kern w:val="2"/>
      <w:szCs w:val="21"/>
    </w:rPr>
  </w:style>
  <w:style w:type="character" w:customStyle="1" w:styleId="55">
    <w:name w:val="55"/>
    <w:basedOn w:val="89"/>
    <w:uiPriority w:val="99"/>
    <w:qFormat/>
    <w:rPr>
      <w:rFonts w:ascii="Times New Roman" w:eastAsia="宋体" w:hAnsi="Times New Roman" w:cs="Times New Roman"/>
      <w:szCs w:val="21"/>
    </w:rPr>
  </w:style>
  <w:style w:type="paragraph" w:customStyle="1" w:styleId="54">
    <w:name w:val="54"/>
    <w:basedOn w:val="97"/>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53">
    <w:name w:val="53"/>
    <w:basedOn w:val="97"/>
    <w:uiPriority w:val="99"/>
    <w:qFormat/>
    <w:pPr>
      <w:widowControl w:val="0"/>
      <w:ind w:leftChars="2500" w:left="100"/>
      <w:jc w:val="both"/>
    </w:pPr>
    <w:rPr>
      <w:rFonts w:ascii="Times New Roman" w:hAnsi="Times New Roman" w:cs="Times New Roman"/>
      <w:kern w:val="2"/>
      <w:szCs w:val="21"/>
    </w:rPr>
  </w:style>
  <w:style w:type="character" w:customStyle="1" w:styleId="52">
    <w:name w:val="52"/>
    <w:basedOn w:val="89"/>
    <w:uiPriority w:val="99"/>
    <w:rPr>
      <w:rFonts w:ascii="Times New Roman" w:eastAsia="宋体" w:hAnsi="Times New Roman" w:cs="Times New Roman"/>
      <w:szCs w:val="21"/>
    </w:rPr>
  </w:style>
  <w:style w:type="paragraph" w:customStyle="1" w:styleId="510">
    <w:name w:val="51"/>
    <w:basedOn w:val="97"/>
    <w:uiPriority w:val="99"/>
    <w:qFormat/>
    <w:pPr>
      <w:widowControl w:val="0"/>
      <w:jc w:val="center"/>
    </w:pPr>
    <w:rPr>
      <w:rFonts w:ascii="Times New Roman" w:hAnsi="Times New Roman" w:cs="Times New Roman"/>
      <w:kern w:val="2"/>
      <w:szCs w:val="21"/>
    </w:rPr>
  </w:style>
  <w:style w:type="character" w:customStyle="1" w:styleId="500">
    <w:name w:val="50"/>
    <w:basedOn w:val="89"/>
    <w:uiPriority w:val="99"/>
    <w:qFormat/>
    <w:rPr>
      <w:rFonts w:ascii="Times New Roman" w:eastAsia="宋体" w:hAnsi="Times New Roman" w:cs="Times New Roman"/>
      <w:szCs w:val="21"/>
    </w:rPr>
  </w:style>
  <w:style w:type="paragraph" w:customStyle="1" w:styleId="49">
    <w:name w:val="49"/>
    <w:basedOn w:val="97"/>
    <w:semiHidden/>
    <w:qFormat/>
    <w:pPr>
      <w:widowControl w:val="0"/>
      <w:spacing w:before="120"/>
      <w:jc w:val="both"/>
    </w:pPr>
    <w:rPr>
      <w:rFonts w:ascii="Arial" w:hAnsi="Arial" w:cs="Times New Roman"/>
      <w:b/>
      <w:bCs/>
      <w:kern w:val="2"/>
      <w:szCs w:val="21"/>
    </w:rPr>
  </w:style>
  <w:style w:type="paragraph" w:customStyle="1" w:styleId="48">
    <w:name w:val="48"/>
    <w:basedOn w:val="97"/>
    <w:qFormat/>
    <w:pPr>
      <w:keepNext/>
      <w:keepLines/>
      <w:widowControl w:val="0"/>
      <w:spacing w:before="60" w:after="60"/>
      <w:ind w:hangingChars="200" w:hanging="420"/>
      <w:jc w:val="both"/>
      <w:outlineLvl w:val="4"/>
    </w:pPr>
    <w:rPr>
      <w:rFonts w:cs="Times New Roman"/>
      <w:b/>
      <w:bCs/>
      <w:kern w:val="2"/>
      <w:szCs w:val="21"/>
    </w:rPr>
  </w:style>
  <w:style w:type="paragraph" w:customStyle="1" w:styleId="47">
    <w:name w:val="47"/>
    <w:hidden/>
    <w:uiPriority w:val="99"/>
    <w:semiHidden/>
    <w:qFormat/>
    <w:rPr>
      <w:kern w:val="2"/>
      <w:sz w:val="21"/>
      <w:szCs w:val="22"/>
    </w:rPr>
  </w:style>
  <w:style w:type="character" w:customStyle="1" w:styleId="46">
    <w:name w:val="46"/>
    <w:basedOn w:val="89"/>
    <w:qFormat/>
    <w:rPr>
      <w:kern w:val="2"/>
      <w:sz w:val="21"/>
      <w:szCs w:val="24"/>
    </w:rPr>
  </w:style>
  <w:style w:type="paragraph" w:customStyle="1" w:styleId="45">
    <w:name w:val="45"/>
    <w:basedOn w:val="97"/>
    <w:qFormat/>
    <w:pPr>
      <w:widowControl w:val="0"/>
      <w:spacing w:before="100" w:after="100"/>
      <w:jc w:val="both"/>
    </w:pPr>
    <w:rPr>
      <w:rFonts w:ascii="Calibri" w:hAnsi="Calibri" w:cs="Times New Roman"/>
      <w:kern w:val="2"/>
    </w:rPr>
  </w:style>
  <w:style w:type="paragraph" w:customStyle="1" w:styleId="44">
    <w:name w:val="44"/>
    <w:basedOn w:val="97"/>
    <w:uiPriority w:val="99"/>
    <w:semiHidden/>
    <w:unhideWhenUsed/>
    <w:qFormat/>
    <w:pPr>
      <w:widowControl w:val="0"/>
      <w:jc w:val="both"/>
    </w:pPr>
    <w:rPr>
      <w:rFonts w:hAnsi="Calibri" w:cs="Times New Roman"/>
      <w:kern w:val="2"/>
      <w:sz w:val="18"/>
      <w:szCs w:val="18"/>
    </w:rPr>
  </w:style>
  <w:style w:type="character" w:customStyle="1" w:styleId="43">
    <w:name w:val="43"/>
    <w:basedOn w:val="89"/>
    <w:uiPriority w:val="99"/>
    <w:semiHidden/>
    <w:qFormat/>
    <w:rPr>
      <w:rFonts w:ascii="宋体"/>
      <w:kern w:val="2"/>
      <w:sz w:val="18"/>
      <w:szCs w:val="18"/>
    </w:rPr>
  </w:style>
  <w:style w:type="character" w:customStyle="1" w:styleId="42">
    <w:name w:val="42"/>
    <w:basedOn w:val="89"/>
    <w:uiPriority w:val="99"/>
    <w:semiHidden/>
    <w:rPr>
      <w:color w:val="auto"/>
    </w:rPr>
  </w:style>
  <w:style w:type="paragraph" w:customStyle="1" w:styleId="400">
    <w:name w:val="40"/>
    <w:basedOn w:val="97"/>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39">
    <w:name w:val="39"/>
    <w:basedOn w:val="89"/>
    <w:uiPriority w:val="10"/>
    <w:qFormat/>
    <w:rPr>
      <w:rFonts w:asciiTheme="majorHAnsi" w:hAnsiTheme="majorHAnsi" w:cstheme="majorBidi"/>
      <w:b/>
      <w:bCs/>
      <w:kern w:val="2"/>
      <w:sz w:val="32"/>
      <w:szCs w:val="32"/>
    </w:rPr>
  </w:style>
  <w:style w:type="paragraph" w:customStyle="1" w:styleId="38">
    <w:name w:val="38"/>
    <w:uiPriority w:val="1"/>
    <w:qFormat/>
    <w:pPr>
      <w:widowControl w:val="0"/>
      <w:jc w:val="both"/>
    </w:pPr>
    <w:rPr>
      <w:kern w:val="2"/>
      <w:sz w:val="21"/>
      <w:szCs w:val="22"/>
    </w:rPr>
  </w:style>
  <w:style w:type="paragraph" w:customStyle="1" w:styleId="37">
    <w:name w:val="37"/>
    <w:basedOn w:val="97"/>
    <w:uiPriority w:val="39"/>
    <w:unhideWhenUsed/>
    <w:qFormat/>
    <w:pPr>
      <w:widowControl w:val="0"/>
      <w:ind w:leftChars="600" w:left="1260"/>
      <w:jc w:val="both"/>
    </w:pPr>
    <w:rPr>
      <w:rFonts w:asciiTheme="minorHAnsi" w:hAnsiTheme="minorHAnsi" w:cstheme="minorBidi"/>
      <w:kern w:val="2"/>
      <w:szCs w:val="22"/>
    </w:rPr>
  </w:style>
  <w:style w:type="paragraph" w:customStyle="1" w:styleId="36">
    <w:name w:val="36"/>
    <w:basedOn w:val="97"/>
    <w:uiPriority w:val="39"/>
    <w:unhideWhenUsed/>
    <w:pPr>
      <w:widowControl w:val="0"/>
      <w:ind w:leftChars="800" w:left="1680"/>
      <w:jc w:val="both"/>
    </w:pPr>
    <w:rPr>
      <w:rFonts w:asciiTheme="minorHAnsi" w:hAnsiTheme="minorHAnsi" w:cstheme="minorBidi"/>
      <w:kern w:val="2"/>
      <w:szCs w:val="22"/>
    </w:rPr>
  </w:style>
  <w:style w:type="paragraph" w:customStyle="1" w:styleId="35">
    <w:name w:val="35"/>
    <w:basedOn w:val="97"/>
    <w:uiPriority w:val="39"/>
    <w:unhideWhenUsed/>
    <w:qFormat/>
    <w:pPr>
      <w:widowControl w:val="0"/>
      <w:ind w:leftChars="1000" w:left="2100"/>
      <w:jc w:val="both"/>
    </w:pPr>
    <w:rPr>
      <w:rFonts w:asciiTheme="minorHAnsi" w:hAnsiTheme="minorHAnsi" w:cstheme="minorBidi"/>
      <w:kern w:val="2"/>
      <w:szCs w:val="22"/>
    </w:rPr>
  </w:style>
  <w:style w:type="paragraph" w:customStyle="1" w:styleId="34">
    <w:name w:val="34"/>
    <w:basedOn w:val="97"/>
    <w:uiPriority w:val="39"/>
    <w:unhideWhenUsed/>
    <w:pPr>
      <w:widowControl w:val="0"/>
      <w:ind w:leftChars="1200" w:left="2520"/>
      <w:jc w:val="both"/>
    </w:pPr>
    <w:rPr>
      <w:rFonts w:asciiTheme="minorHAnsi" w:hAnsiTheme="minorHAnsi" w:cstheme="minorBidi"/>
      <w:kern w:val="2"/>
      <w:szCs w:val="22"/>
    </w:rPr>
  </w:style>
  <w:style w:type="paragraph" w:customStyle="1" w:styleId="330">
    <w:name w:val="33"/>
    <w:basedOn w:val="97"/>
    <w:uiPriority w:val="39"/>
    <w:unhideWhenUsed/>
    <w:qFormat/>
    <w:pPr>
      <w:widowControl w:val="0"/>
      <w:ind w:leftChars="1400" w:left="2940"/>
      <w:jc w:val="both"/>
    </w:pPr>
    <w:rPr>
      <w:rFonts w:asciiTheme="minorHAnsi" w:hAnsiTheme="minorHAnsi" w:cstheme="minorBidi"/>
      <w:kern w:val="2"/>
      <w:szCs w:val="22"/>
    </w:rPr>
  </w:style>
  <w:style w:type="paragraph" w:customStyle="1" w:styleId="320">
    <w:name w:val="32"/>
    <w:basedOn w:val="97"/>
    <w:uiPriority w:val="39"/>
    <w:unhideWhenUsed/>
    <w:qFormat/>
    <w:pPr>
      <w:widowControl w:val="0"/>
      <w:ind w:leftChars="1600" w:left="3360"/>
      <w:jc w:val="both"/>
    </w:pPr>
    <w:rPr>
      <w:rFonts w:asciiTheme="minorHAnsi" w:hAnsiTheme="minorHAnsi" w:cstheme="minorBidi"/>
      <w:kern w:val="2"/>
      <w:szCs w:val="22"/>
    </w:rPr>
  </w:style>
  <w:style w:type="character" w:customStyle="1" w:styleId="310">
    <w:name w:val="31"/>
    <w:basedOn w:val="89"/>
    <w:uiPriority w:val="9"/>
    <w:rPr>
      <w:rFonts w:asciiTheme="majorHAnsi" w:hAnsiTheme="majorHAnsi" w:cstheme="majorBidi"/>
      <w:b/>
      <w:bCs/>
      <w:sz w:val="21"/>
      <w:szCs w:val="24"/>
    </w:rPr>
  </w:style>
  <w:style w:type="paragraph" w:customStyle="1" w:styleId="300">
    <w:name w:val="30"/>
    <w:basedOn w:val="97"/>
    <w:uiPriority w:val="99"/>
    <w:qFormat/>
    <w:pPr>
      <w:spacing w:before="100" w:beforeAutospacing="1" w:after="100" w:afterAutospacing="1"/>
    </w:pPr>
    <w:rPr>
      <w:sz w:val="24"/>
    </w:rPr>
  </w:style>
  <w:style w:type="paragraph" w:customStyle="1" w:styleId="29">
    <w:name w:val="29"/>
    <w:basedOn w:val="97"/>
    <w:uiPriority w:val="99"/>
    <w:semiHidden/>
    <w:unhideWhenUsed/>
    <w:pPr>
      <w:snapToGrid w:val="0"/>
    </w:pPr>
  </w:style>
  <w:style w:type="character" w:customStyle="1" w:styleId="28">
    <w:name w:val="28"/>
    <w:basedOn w:val="89"/>
    <w:uiPriority w:val="99"/>
    <w:semiHidden/>
    <w:qFormat/>
    <w:rPr>
      <w:rFonts w:ascii="宋体" w:hAnsi="宋体" w:cs="宋体"/>
      <w:sz w:val="21"/>
      <w:szCs w:val="24"/>
    </w:rPr>
  </w:style>
  <w:style w:type="character" w:customStyle="1" w:styleId="27">
    <w:name w:val="27"/>
    <w:basedOn w:val="89"/>
    <w:uiPriority w:val="99"/>
    <w:semiHidden/>
    <w:unhideWhenUsed/>
    <w:qFormat/>
    <w:rPr>
      <w:vertAlign w:val="superscript"/>
    </w:rPr>
  </w:style>
  <w:style w:type="character" w:customStyle="1" w:styleId="26">
    <w:name w:val="26"/>
    <w:basedOn w:val="75"/>
    <w:uiPriority w:val="99"/>
    <w:semiHidden/>
    <w:qFormat/>
    <w:rPr>
      <w:rFonts w:ascii="Times New Roman" w:eastAsia="宋体" w:hAnsi="Times New Roman" w:cs="Times New Roman"/>
      <w:b/>
      <w:bCs/>
      <w:szCs w:val="21"/>
    </w:rPr>
  </w:style>
  <w:style w:type="paragraph" w:customStyle="1" w:styleId="25">
    <w:name w:val="25"/>
    <w:basedOn w:val="97"/>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24">
    <w:name w:val="24"/>
    <w:basedOn w:val="89"/>
    <w:qFormat/>
    <w:rPr>
      <w:rFonts w:ascii="Times New Roman" w:hAnsi="Times New Roman"/>
      <w:b/>
      <w:kern w:val="2"/>
      <w:sz w:val="21"/>
      <w:szCs w:val="24"/>
    </w:rPr>
  </w:style>
  <w:style w:type="character" w:customStyle="1" w:styleId="23">
    <w:name w:val="23"/>
    <w:basedOn w:val="75"/>
    <w:uiPriority w:val="99"/>
    <w:semiHidden/>
    <w:qFormat/>
    <w:rPr>
      <w:rFonts w:ascii="Times New Roman" w:eastAsia="宋体" w:hAnsi="Times New Roman" w:cs="Times New Roman"/>
      <w:b/>
      <w:bCs/>
      <w:szCs w:val="21"/>
    </w:rPr>
  </w:style>
  <w:style w:type="character" w:customStyle="1" w:styleId="22">
    <w:name w:val="22"/>
    <w:basedOn w:val="89"/>
    <w:uiPriority w:val="9"/>
    <w:qFormat/>
    <w:rPr>
      <w:rFonts w:ascii="宋体" w:hAnsi="宋体" w:cs="宋体"/>
      <w:b/>
      <w:bCs/>
      <w:sz w:val="24"/>
      <w:szCs w:val="24"/>
    </w:rPr>
  </w:style>
  <w:style w:type="paragraph" w:customStyle="1" w:styleId="210">
    <w:name w:val="21"/>
    <w:basedOn w:val="97"/>
    <w:semiHidden/>
    <w:qFormat/>
    <w:pPr>
      <w:ind w:firstLineChars="200" w:firstLine="420"/>
    </w:pPr>
    <w:rPr>
      <w:rFonts w:cs="Times New Roman"/>
      <w:color w:val="000000"/>
      <w:szCs w:val="21"/>
    </w:rPr>
  </w:style>
  <w:style w:type="character" w:customStyle="1" w:styleId="200">
    <w:name w:val="20"/>
    <w:basedOn w:val="89"/>
  </w:style>
  <w:style w:type="paragraph" w:customStyle="1" w:styleId="19">
    <w:name w:val="19"/>
    <w:basedOn w:val="97"/>
    <w:qFormat/>
    <w:pPr>
      <w:widowControl w:val="0"/>
      <w:ind w:firstLineChars="200" w:firstLine="420"/>
      <w:jc w:val="both"/>
    </w:pPr>
    <w:rPr>
      <w:rFonts w:ascii="Times New Roman" w:hAnsi="Times New Roman" w:cs="Times New Roman"/>
      <w:kern w:val="2"/>
      <w:szCs w:val="21"/>
    </w:rPr>
  </w:style>
  <w:style w:type="paragraph" w:customStyle="1" w:styleId="18">
    <w:name w:val="18"/>
    <w:basedOn w:val="97"/>
    <w:pPr>
      <w:widowControl w:val="0"/>
      <w:tabs>
        <w:tab w:val="left" w:pos="1200"/>
      </w:tabs>
      <w:jc w:val="both"/>
    </w:pPr>
    <w:rPr>
      <w:rFonts w:ascii="Times New Roman" w:hAnsi="Times New Roman" w:cs="Times New Roman"/>
      <w:kern w:val="2"/>
      <w:szCs w:val="21"/>
    </w:rPr>
  </w:style>
  <w:style w:type="paragraph" w:customStyle="1" w:styleId="17">
    <w:name w:val="17"/>
    <w:basedOn w:val="97"/>
    <w:uiPriority w:val="34"/>
    <w:qFormat/>
    <w:pPr>
      <w:widowControl w:val="0"/>
      <w:ind w:firstLineChars="200" w:firstLine="420"/>
      <w:jc w:val="both"/>
    </w:pPr>
    <w:rPr>
      <w:rFonts w:ascii="Calibri" w:hAnsi="Calibri" w:cs="Times New Roman"/>
      <w:kern w:val="2"/>
      <w:szCs w:val="22"/>
    </w:rPr>
  </w:style>
  <w:style w:type="paragraph" w:customStyle="1" w:styleId="160">
    <w:name w:val="16"/>
    <w:basedOn w:val="97"/>
    <w:uiPriority w:val="34"/>
    <w:qFormat/>
    <w:pPr>
      <w:widowControl w:val="0"/>
      <w:ind w:firstLineChars="200" w:firstLine="420"/>
      <w:jc w:val="both"/>
    </w:pPr>
    <w:rPr>
      <w:rFonts w:ascii="Calibri" w:hAnsi="Calibri" w:cs="Times New Roman"/>
      <w:kern w:val="2"/>
      <w:szCs w:val="22"/>
    </w:rPr>
  </w:style>
  <w:style w:type="paragraph" w:customStyle="1" w:styleId="150">
    <w:name w:val="15"/>
    <w:basedOn w:val="97"/>
    <w:uiPriority w:val="34"/>
    <w:qFormat/>
    <w:pPr>
      <w:widowControl w:val="0"/>
      <w:ind w:firstLineChars="200" w:firstLine="420"/>
      <w:jc w:val="both"/>
    </w:pPr>
    <w:rPr>
      <w:rFonts w:ascii="Calibri" w:hAnsi="Calibri" w:cs="Times New Roman"/>
      <w:kern w:val="2"/>
      <w:szCs w:val="22"/>
    </w:rPr>
  </w:style>
  <w:style w:type="paragraph" w:customStyle="1" w:styleId="140">
    <w:name w:val="14"/>
    <w:basedOn w:val="97"/>
    <w:uiPriority w:val="34"/>
    <w:qFormat/>
    <w:pPr>
      <w:widowControl w:val="0"/>
      <w:ind w:firstLineChars="200" w:firstLine="420"/>
      <w:jc w:val="both"/>
    </w:pPr>
    <w:rPr>
      <w:rFonts w:ascii="Calibri" w:hAnsi="Calibri" w:cs="Times New Roman"/>
      <w:kern w:val="2"/>
      <w:szCs w:val="22"/>
    </w:rPr>
  </w:style>
  <w:style w:type="paragraph" w:customStyle="1" w:styleId="130">
    <w:name w:val="13"/>
    <w:basedOn w:val="97"/>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2CharCharCharChar">
    <w:name w:val="标题 2 Char Char Char Char"/>
    <w:qFormat/>
    <w:rPr>
      <w:rFonts w:ascii="Arial" w:hAnsi="Arial"/>
      <w:b/>
      <w:bCs/>
      <w:kern w:val="2"/>
      <w:sz w:val="21"/>
      <w:szCs w:val="21"/>
    </w:rPr>
  </w:style>
  <w:style w:type="paragraph" w:customStyle="1" w:styleId="120">
    <w:name w:val="12"/>
    <w:qFormat/>
    <w:rPr>
      <w:rFonts w:ascii="宋体" w:hAnsi="宋体"/>
      <w:sz w:val="21"/>
      <w:szCs w:val="21"/>
    </w:rPr>
  </w:style>
  <w:style w:type="paragraph" w:customStyle="1" w:styleId="110">
    <w:name w:val="11"/>
    <w:basedOn w:val="97"/>
    <w:qFormat/>
    <w:pPr>
      <w:widowControl w:val="0"/>
      <w:ind w:firstLineChars="200" w:firstLine="420"/>
      <w:jc w:val="both"/>
    </w:pPr>
    <w:rPr>
      <w:rFonts w:ascii="Times New Roman" w:hAnsi="Times New Roman" w:cs="Times New Roman"/>
      <w:kern w:val="2"/>
      <w:szCs w:val="21"/>
    </w:rPr>
  </w:style>
  <w:style w:type="paragraph" w:customStyle="1" w:styleId="100">
    <w:name w:val="10"/>
    <w:basedOn w:val="97"/>
    <w:qFormat/>
    <w:pPr>
      <w:widowControl w:val="0"/>
      <w:jc w:val="both"/>
    </w:pPr>
    <w:rPr>
      <w:rFonts w:ascii="Calibri" w:hAnsi="Calibri" w:cs="Times New Roman"/>
      <w:kern w:val="2"/>
      <w:szCs w:val="21"/>
    </w:rPr>
  </w:style>
  <w:style w:type="paragraph" w:customStyle="1" w:styleId="9">
    <w:name w:val="9"/>
    <w:basedOn w:val="97"/>
    <w:qFormat/>
    <w:rPr>
      <w:rFonts w:cs="Times New Roman"/>
      <w:szCs w:val="21"/>
    </w:rPr>
  </w:style>
  <w:style w:type="paragraph" w:customStyle="1" w:styleId="8">
    <w:name w:val="8"/>
    <w:basedOn w:val="9"/>
    <w:pPr>
      <w:keepNext/>
      <w:keepLines/>
      <w:widowControl w:val="0"/>
      <w:spacing w:before="60" w:after="60"/>
      <w:jc w:val="both"/>
      <w:outlineLvl w:val="3"/>
    </w:pPr>
    <w:rPr>
      <w:b/>
      <w:bCs/>
      <w:kern w:val="2"/>
    </w:rPr>
  </w:style>
  <w:style w:type="paragraph" w:customStyle="1" w:styleId="7a">
    <w:name w:val="7"/>
    <w:basedOn w:val="97"/>
    <w:qFormat/>
    <w:pPr>
      <w:widowControl w:val="0"/>
      <w:ind w:firstLineChars="200" w:firstLine="420"/>
      <w:jc w:val="both"/>
    </w:pPr>
    <w:rPr>
      <w:rFonts w:ascii="Calibri" w:hAnsi="Calibri" w:cs="Times New Roman"/>
      <w:kern w:val="2"/>
      <w:szCs w:val="21"/>
    </w:rPr>
  </w:style>
  <w:style w:type="paragraph" w:customStyle="1" w:styleId="6a">
    <w:name w:val="6"/>
    <w:basedOn w:val="97"/>
    <w:qFormat/>
    <w:pPr>
      <w:widowControl w:val="0"/>
      <w:spacing w:before="100" w:beforeAutospacing="1" w:after="120"/>
      <w:jc w:val="both"/>
    </w:pPr>
    <w:rPr>
      <w:rFonts w:ascii="Times New Roman" w:hAnsi="Times New Roman" w:cs="Times New Roman"/>
      <w:kern w:val="2"/>
      <w:szCs w:val="21"/>
    </w:rPr>
  </w:style>
  <w:style w:type="paragraph" w:customStyle="1" w:styleId="5a">
    <w:name w:val="5"/>
    <w:basedOn w:val="97"/>
    <w:qFormat/>
    <w:rPr>
      <w:rFonts w:cs="Times New Roman"/>
      <w:szCs w:val="21"/>
    </w:rPr>
  </w:style>
  <w:style w:type="paragraph" w:customStyle="1" w:styleId="1a">
    <w:name w:val="正文1"/>
    <w:qFormat/>
    <w:pPr>
      <w:jc w:val="both"/>
    </w:pPr>
    <w:rPr>
      <w:rFonts w:ascii="Times New Roman" w:eastAsia="宋体" w:hAnsi="Times New Roman" w:cs="Times New Roman"/>
      <w:kern w:val="2"/>
      <w:sz w:val="21"/>
      <w:szCs w:val="21"/>
    </w:rPr>
  </w:style>
  <w:style w:type="character" w:customStyle="1" w:styleId="fontstyle01">
    <w:name w:val="fontstyle01"/>
    <w:basedOn w:val="a0"/>
    <w:rsid w:val="003A34E4"/>
    <w:rPr>
      <w:rFonts w:ascii="Times New Roman" w:hAnsi="Times New Roman" w:cs="Times New Roman" w:hint="default"/>
      <w:b w:val="0"/>
      <w:bCs w:val="0"/>
      <w:i w:val="0"/>
      <w:iCs w:val="0"/>
      <w:color w:val="000000"/>
      <w:sz w:val="24"/>
      <w:szCs w:val="24"/>
    </w:rPr>
  </w:style>
  <w:style w:type="paragraph" w:styleId="TOC">
    <w:name w:val="TOC Heading"/>
    <w:basedOn w:val="10"/>
    <w:next w:val="a"/>
    <w:uiPriority w:val="39"/>
    <w:qFormat/>
    <w:rsid w:val="004B5CF3"/>
    <w:pPr>
      <w:widowControl/>
      <w:spacing w:before="480" w:after="0" w:line="276" w:lineRule="auto"/>
      <w:outlineLvl w:val="9"/>
    </w:pPr>
    <w:rPr>
      <w:rFonts w:ascii="Cambria" w:eastAsia="宋体" w:hAnsi="Cambria"/>
      <w:color w:val="365F91"/>
      <w:kern w:val="0"/>
      <w:szCs w:val="28"/>
    </w:rPr>
  </w:style>
  <w:style w:type="paragraph" w:styleId="aff8">
    <w:name w:val="Revision"/>
    <w:hidden/>
    <w:uiPriority w:val="99"/>
    <w:semiHidden/>
    <w:rsid w:val="004B5CF3"/>
    <w:rPr>
      <w:rFonts w:ascii="Calibri" w:eastAsia="宋体" w:hAnsi="Calibri" w:cs="Times New Roman"/>
      <w:kern w:val="2"/>
      <w:sz w:val="21"/>
      <w:szCs w:val="22"/>
    </w:rPr>
  </w:style>
  <w:style w:type="numbering" w:customStyle="1" w:styleId="1">
    <w:name w:val="样式1"/>
    <w:uiPriority w:val="99"/>
    <w:rsid w:val="004B5CF3"/>
    <w:pPr>
      <w:numPr>
        <w:numId w:val="154"/>
      </w:numPr>
    </w:pPr>
  </w:style>
  <w:style w:type="table" w:customStyle="1" w:styleId="211">
    <w:name w:val="无格式表格 21"/>
    <w:basedOn w:val="a1"/>
    <w:uiPriority w:val="42"/>
    <w:rsid w:val="004B5CF3"/>
    <w:rPr>
      <w:rFonts w:ascii="Calibri" w:eastAsia="宋体" w:hAnsi="Calibri"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837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sse.com.cn"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ir@efort.com.cn"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ort-955\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01F40" w:rsidRDefault="00001F40">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001F40" w:rsidRDefault="00001F40">
          <w:r>
            <w:rPr>
              <w:rStyle w:val="a3"/>
              <w:rFonts w:hint="eastAsia"/>
              <w:color w:val="333399"/>
              <w:u w:val="single"/>
            </w:rPr>
            <w:t xml:space="preserve">　　　</w:t>
          </w:r>
        </w:p>
      </w:docPartBody>
    </w:docPart>
    <w:docPart>
      <w:docPartPr>
        <w:name w:val="5711CAB911854C038DC4649BD92CDCCA"/>
        <w:category>
          <w:name w:val="常规"/>
          <w:gallery w:val="placeholder"/>
        </w:category>
        <w:types>
          <w:type w:val="bbPlcHdr"/>
        </w:types>
        <w:behaviors>
          <w:behavior w:val="content"/>
        </w:behaviors>
        <w:guid w:val="{DFAE4F38-0B55-4CFA-ADDC-7929EC60CCF7}"/>
      </w:docPartPr>
      <w:docPartBody>
        <w:p w:rsidR="00001F40" w:rsidRDefault="00001F40">
          <w:pPr>
            <w:pStyle w:val="5711CAB911854C038DC4649BD92CDCCA"/>
          </w:pPr>
          <w:r>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0BC8583A-9321-4CB9-8A86-FD0829CE945D}"/>
      </w:docPartPr>
      <w:docPartBody>
        <w:p w:rsidR="00001F40" w:rsidRDefault="00001F40">
          <w:r>
            <w:rPr>
              <w:rStyle w:val="a3"/>
              <w:rFonts w:hint="eastAsia"/>
            </w:rPr>
            <w:t>单击或点击此处输入文字。</w:t>
          </w:r>
        </w:p>
      </w:docPartBody>
    </w:docPart>
    <w:docPart>
      <w:docPartPr>
        <w:name w:val="C1EECFCEDCD7466396AFCD2389873F4B"/>
        <w:category>
          <w:name w:val="常规"/>
          <w:gallery w:val="placeholder"/>
        </w:category>
        <w:types>
          <w:type w:val="bbPlcHdr"/>
        </w:types>
        <w:behaviors>
          <w:behavior w:val="content"/>
        </w:behaviors>
        <w:guid w:val="{0A053A37-1F94-4B7A-9E8C-639F098FB8A5}"/>
      </w:docPartPr>
      <w:docPartBody>
        <w:p w:rsidR="00001F40" w:rsidRDefault="00001F40">
          <w:r>
            <w:rPr>
              <w:rStyle w:val="a3"/>
              <w:rFonts w:hint="eastAsia"/>
            </w:rPr>
            <w:t xml:space="preserve">　</w:t>
          </w:r>
        </w:p>
      </w:docPartBody>
    </w:docPart>
    <w:docPart>
      <w:docPartPr>
        <w:name w:val="B302370E9419499BB0279458F108A179"/>
        <w:category>
          <w:name w:val="常规"/>
          <w:gallery w:val="placeholder"/>
        </w:category>
        <w:types>
          <w:type w:val="bbPlcHdr"/>
        </w:types>
        <w:behaviors>
          <w:behavior w:val="content"/>
        </w:behaviors>
        <w:guid w:val="{6D276DA0-8C97-410A-8579-003437912E45}"/>
      </w:docPartPr>
      <w:docPartBody>
        <w:p w:rsidR="00001F40" w:rsidRDefault="00001F40">
          <w:r>
            <w:rPr>
              <w:rStyle w:val="a3"/>
              <w:rFonts w:hint="eastAsia"/>
            </w:rPr>
            <w:t xml:space="preserve">　</w:t>
          </w:r>
        </w:p>
      </w:docPartBody>
    </w:docPart>
    <w:docPart>
      <w:docPartPr>
        <w:name w:val="E9A8024A633D42ABB711AC97288CB50F"/>
        <w:category>
          <w:name w:val="常规"/>
          <w:gallery w:val="placeholder"/>
        </w:category>
        <w:types>
          <w:type w:val="bbPlcHdr"/>
        </w:types>
        <w:behaviors>
          <w:behavior w:val="content"/>
        </w:behaviors>
        <w:guid w:val="{703CAE58-4890-480F-B54B-EE9414548500}"/>
      </w:docPartPr>
      <w:docPartBody>
        <w:p w:rsidR="00001F40" w:rsidRDefault="00001F40">
          <w:r>
            <w:rPr>
              <w:rStyle w:val="a3"/>
              <w:rFonts w:hint="eastAsia"/>
            </w:rPr>
            <w:t xml:space="preserve">　</w:t>
          </w:r>
        </w:p>
      </w:docPartBody>
    </w:docPart>
    <w:docPart>
      <w:docPartPr>
        <w:name w:val="8674576BA4FA4E4899255BF3DB28D683"/>
        <w:category>
          <w:name w:val="常规"/>
          <w:gallery w:val="placeholder"/>
        </w:category>
        <w:types>
          <w:type w:val="bbPlcHdr"/>
        </w:types>
        <w:behaviors>
          <w:behavior w:val="content"/>
        </w:behaviors>
        <w:guid w:val="{496B54AB-C73D-4EB4-8BAA-84B9DC0664FB}"/>
      </w:docPartPr>
      <w:docPartBody>
        <w:p w:rsidR="00001F40" w:rsidRDefault="00001F40">
          <w:r>
            <w:rPr>
              <w:rStyle w:val="a3"/>
              <w:rFonts w:hint="eastAsia"/>
            </w:rPr>
            <w:t xml:space="preserve">　</w:t>
          </w:r>
        </w:p>
      </w:docPartBody>
    </w:docPart>
    <w:docPart>
      <w:docPartPr>
        <w:name w:val="342DD6AB4B29434686FAF6EEF551079C"/>
        <w:category>
          <w:name w:val="常规"/>
          <w:gallery w:val="placeholder"/>
        </w:category>
        <w:types>
          <w:type w:val="bbPlcHdr"/>
        </w:types>
        <w:behaviors>
          <w:behavior w:val="content"/>
        </w:behaviors>
        <w:guid w:val="{37C4B16F-1D6A-4EA4-A255-20341819D9E4}"/>
      </w:docPartPr>
      <w:docPartBody>
        <w:p w:rsidR="00001F40" w:rsidRDefault="00001F40">
          <w:pPr>
            <w:pStyle w:val="83DF988284E74DCC99735F5BC3D02B96"/>
          </w:pPr>
          <w:r>
            <w:rPr>
              <w:rStyle w:val="a3"/>
              <w:rFonts w:hint="eastAsia"/>
              <w:color w:val="333399"/>
              <w:u w:val="single"/>
            </w:rPr>
            <w:t xml:space="preserve">　　　</w:t>
          </w:r>
        </w:p>
      </w:docPartBody>
    </w:docPart>
    <w:docPart>
      <w:docPartPr>
        <w:name w:val="83DF988284E74DCC99735F5BC3D02B96"/>
        <w:category>
          <w:name w:val="常规"/>
          <w:gallery w:val="placeholder"/>
        </w:category>
        <w:types>
          <w:type w:val="bbPlcHdr"/>
        </w:types>
        <w:behaviors>
          <w:behavior w:val="content"/>
        </w:behaviors>
        <w:guid w:val="{C5B059C1-8014-4FC8-9F91-7BF756C140E4}"/>
      </w:docPartPr>
      <w:docPartBody>
        <w:p w:rsidR="00001F40" w:rsidRDefault="00001F40">
          <w:pPr>
            <w:pStyle w:val="1F3F23D637DB4438AC1713FC1D8E2925"/>
          </w:pPr>
          <w:r>
            <w:rPr>
              <w:rStyle w:val="a3"/>
              <w:rFonts w:hint="eastAsia"/>
            </w:rPr>
            <w:t xml:space="preserve">　</w:t>
          </w:r>
        </w:p>
      </w:docPartBody>
    </w:docPart>
    <w:docPart>
      <w:docPartPr>
        <w:name w:val="3A65F854120B43E899D6CF91EA45B837"/>
        <w:category>
          <w:name w:val="常规"/>
          <w:gallery w:val="placeholder"/>
        </w:category>
        <w:types>
          <w:type w:val="bbPlcHdr"/>
        </w:types>
        <w:behaviors>
          <w:behavior w:val="content"/>
        </w:behaviors>
        <w:guid w:val="{206D397B-26E9-41D7-9B47-CE4106F7AA5E}"/>
      </w:docPartPr>
      <w:docPartBody>
        <w:p w:rsidR="00001F40" w:rsidRDefault="00001F40">
          <w:pPr>
            <w:pStyle w:val="0FED930F821B47BFBC4BBF4B0D582EE1"/>
          </w:pPr>
          <w:r>
            <w:rPr>
              <w:rStyle w:val="a3"/>
              <w:rFonts w:hint="eastAsia"/>
            </w:rPr>
            <w:t xml:space="preserve">　</w:t>
          </w:r>
        </w:p>
      </w:docPartBody>
    </w:docPart>
    <w:docPart>
      <w:docPartPr>
        <w:name w:val="ADDA64B773594EB29606BF9AD0EBD8BB"/>
        <w:category>
          <w:name w:val="常规"/>
          <w:gallery w:val="placeholder"/>
        </w:category>
        <w:types>
          <w:type w:val="bbPlcHdr"/>
        </w:types>
        <w:behaviors>
          <w:behavior w:val="content"/>
        </w:behaviors>
        <w:guid w:val="{B5A24072-C732-4404-96F4-873462934765}"/>
      </w:docPartPr>
      <w:docPartBody>
        <w:p w:rsidR="00001F40" w:rsidRDefault="00001F40">
          <w:pPr>
            <w:pStyle w:val="311DA2043DBC4AF8AEE3BDF7F545BC0B"/>
          </w:pPr>
          <w:r>
            <w:rPr>
              <w:rStyle w:val="a3"/>
              <w:rFonts w:hint="eastAsia"/>
            </w:rPr>
            <w:t xml:space="preserve">　</w:t>
          </w:r>
        </w:p>
      </w:docPartBody>
    </w:docPart>
    <w:docPart>
      <w:docPartPr>
        <w:name w:val="A4528EFEC66744BA8FAE7BAA98C6930F"/>
        <w:category>
          <w:name w:val="常规"/>
          <w:gallery w:val="placeholder"/>
        </w:category>
        <w:types>
          <w:type w:val="bbPlcHdr"/>
        </w:types>
        <w:behaviors>
          <w:behavior w:val="content"/>
        </w:behaviors>
        <w:guid w:val="{894132E2-D6FB-4D0C-A7C4-CC26E30BD065}"/>
      </w:docPartPr>
      <w:docPartBody>
        <w:p w:rsidR="00001F40" w:rsidRDefault="00001F40">
          <w:r>
            <w:rPr>
              <w:rStyle w:val="a3"/>
              <w:rFonts w:hint="eastAsia"/>
            </w:rPr>
            <w:t xml:space="preserve">　</w:t>
          </w:r>
        </w:p>
      </w:docPartBody>
    </w:docPart>
    <w:docPart>
      <w:docPartPr>
        <w:name w:val="243100C5E28B4770A5A9D520F9D48099"/>
        <w:category>
          <w:name w:val="常规"/>
          <w:gallery w:val="placeholder"/>
        </w:category>
        <w:types>
          <w:type w:val="bbPlcHdr"/>
        </w:types>
        <w:behaviors>
          <w:behavior w:val="content"/>
        </w:behaviors>
        <w:guid w:val="{D0DC9C2F-E178-4DC3-8DAA-4764D6775B70}"/>
      </w:docPartPr>
      <w:docPartBody>
        <w:p w:rsidR="00001F40" w:rsidRDefault="00001F40">
          <w:r>
            <w:rPr>
              <w:rStyle w:val="a3"/>
              <w:rFonts w:hint="eastAsia"/>
            </w:rPr>
            <w:t xml:space="preserve">　</w:t>
          </w:r>
        </w:p>
      </w:docPartBody>
    </w:docPart>
    <w:docPart>
      <w:docPartPr>
        <w:name w:val="9C01A8DAEC2C4CF58F42F6A81B660C1A"/>
        <w:category>
          <w:name w:val="常规"/>
          <w:gallery w:val="placeholder"/>
        </w:category>
        <w:types>
          <w:type w:val="bbPlcHdr"/>
        </w:types>
        <w:behaviors>
          <w:behavior w:val="content"/>
        </w:behaviors>
        <w:guid w:val="{F7E36359-A10D-4CC9-A68D-5EFCF29242AD}"/>
      </w:docPartPr>
      <w:docPartBody>
        <w:p w:rsidR="00001F40" w:rsidRDefault="00001F40">
          <w:pPr>
            <w:pStyle w:val="9C01A8DAEC2C4CF58F42F6A81B660C1A"/>
          </w:pPr>
          <w:r>
            <w:rPr>
              <w:rStyle w:val="a3"/>
              <w:rFonts w:hint="eastAsia"/>
              <w:color w:val="333399"/>
              <w:u w:val="single"/>
            </w:rPr>
            <w:t xml:space="preserve">　　　</w:t>
          </w:r>
        </w:p>
      </w:docPartBody>
    </w:docPart>
    <w:docPart>
      <w:docPartPr>
        <w:name w:val="A92BD3C6A98D467F9D08676458FB04BB"/>
        <w:category>
          <w:name w:val="常规"/>
          <w:gallery w:val="placeholder"/>
        </w:category>
        <w:types>
          <w:type w:val="bbPlcHdr"/>
        </w:types>
        <w:behaviors>
          <w:behavior w:val="content"/>
        </w:behaviors>
        <w:guid w:val="{6D4C59DE-F514-4532-A63F-FD3E1E7FC909}"/>
      </w:docPartPr>
      <w:docPartBody>
        <w:p w:rsidR="00001F40" w:rsidRDefault="00001F40">
          <w:pPr>
            <w:pStyle w:val="A92BD3C6A98D467F9D08676458FB04BB"/>
          </w:pPr>
          <w:r>
            <w:rPr>
              <w:rStyle w:val="a3"/>
              <w:rFonts w:hint="eastAsia"/>
              <w:color w:val="333399"/>
              <w:u w:val="single"/>
            </w:rPr>
            <w:t xml:space="preserve">　　　</w:t>
          </w:r>
        </w:p>
      </w:docPartBody>
    </w:docPart>
    <w:docPart>
      <w:docPartPr>
        <w:name w:val="EF58270FA2494D1D8FEF6BA1D8354049"/>
        <w:category>
          <w:name w:val="常规"/>
          <w:gallery w:val="placeholder"/>
        </w:category>
        <w:types>
          <w:type w:val="bbPlcHdr"/>
        </w:types>
        <w:behaviors>
          <w:behavior w:val="content"/>
        </w:behaviors>
        <w:guid w:val="{C78449F3-BD81-4C86-9BBD-3FE4847405FC}"/>
      </w:docPartPr>
      <w:docPartBody>
        <w:p w:rsidR="00001F40" w:rsidRDefault="00001F40">
          <w:pPr>
            <w:pStyle w:val="EF58270FA2494D1D8FEF6BA1D8354049"/>
          </w:pPr>
          <w:r>
            <w:rPr>
              <w:rStyle w:val="a3"/>
              <w:rFonts w:hint="eastAsia"/>
              <w:color w:val="333399"/>
              <w:u w:val="single"/>
            </w:rPr>
            <w:t xml:space="preserve">　　　</w:t>
          </w:r>
        </w:p>
      </w:docPartBody>
    </w:docPart>
    <w:docPart>
      <w:docPartPr>
        <w:name w:val="5071577309264E009986CE33C5408954"/>
        <w:category>
          <w:name w:val="常规"/>
          <w:gallery w:val="placeholder"/>
        </w:category>
        <w:types>
          <w:type w:val="bbPlcHdr"/>
        </w:types>
        <w:behaviors>
          <w:behavior w:val="content"/>
        </w:behaviors>
        <w:guid w:val="{2822A068-01D0-4C66-B9B7-48F5A4F10500}"/>
      </w:docPartPr>
      <w:docPartBody>
        <w:p w:rsidR="00001F40" w:rsidRDefault="00001F40">
          <w:pPr>
            <w:pStyle w:val="49AC989A029F4B9A8E600AFA5F811864"/>
          </w:pPr>
          <w:r>
            <w:rPr>
              <w:rStyle w:val="a3"/>
              <w:rFonts w:hint="eastAsia"/>
              <w:color w:val="333399"/>
              <w:u w:val="single"/>
            </w:rPr>
            <w:t xml:space="preserve">　　　</w:t>
          </w:r>
        </w:p>
      </w:docPartBody>
    </w:docPart>
    <w:docPart>
      <w:docPartPr>
        <w:name w:val="1C3D15D0A65B441EBCEC00A9879688B3"/>
        <w:category>
          <w:name w:val="常规"/>
          <w:gallery w:val="placeholder"/>
        </w:category>
        <w:types>
          <w:type w:val="bbPlcHdr"/>
        </w:types>
        <w:behaviors>
          <w:behavior w:val="content"/>
        </w:behaviors>
        <w:guid w:val="{F5DAADBD-447E-4794-B3F5-D40FA04FB3EC}"/>
      </w:docPartPr>
      <w:docPartBody>
        <w:p w:rsidR="00001F40" w:rsidRDefault="00001F40">
          <w:pPr>
            <w:pStyle w:val="9AEBC47D13D947419E91F533F678728D"/>
          </w:pPr>
          <w:r>
            <w:rPr>
              <w:rStyle w:val="a3"/>
              <w:rFonts w:hint="eastAsia"/>
            </w:rPr>
            <w:t xml:space="preserve">　</w:t>
          </w:r>
        </w:p>
      </w:docPartBody>
    </w:docPart>
    <w:docPart>
      <w:docPartPr>
        <w:name w:val="5ED90FD259E4492FA6CB826CA9A130E1"/>
        <w:category>
          <w:name w:val="常规"/>
          <w:gallery w:val="placeholder"/>
        </w:category>
        <w:types>
          <w:type w:val="bbPlcHdr"/>
        </w:types>
        <w:behaviors>
          <w:behavior w:val="content"/>
        </w:behaviors>
        <w:guid w:val="{0C98277A-D0DC-4C60-90A5-201FB87D2965}"/>
      </w:docPartPr>
      <w:docPartBody>
        <w:p w:rsidR="00001F40" w:rsidRDefault="00001F40">
          <w:pPr>
            <w:pStyle w:val="8884F2889E494521A6CF8C3A2019BD0A"/>
          </w:pPr>
          <w:r>
            <w:rPr>
              <w:rStyle w:val="a3"/>
              <w:rFonts w:hint="eastAsia"/>
            </w:rPr>
            <w:t xml:space="preserve">　</w:t>
          </w:r>
        </w:p>
      </w:docPartBody>
    </w:docPart>
    <w:docPart>
      <w:docPartPr>
        <w:name w:val="D0826D0C676C40F79F80CB08B04A5616"/>
        <w:category>
          <w:name w:val="常规"/>
          <w:gallery w:val="placeholder"/>
        </w:category>
        <w:types>
          <w:type w:val="bbPlcHdr"/>
        </w:types>
        <w:behaviors>
          <w:behavior w:val="content"/>
        </w:behaviors>
        <w:guid w:val="{196C2C4E-281E-45E5-814E-7A0302A36EED}"/>
      </w:docPartPr>
      <w:docPartBody>
        <w:p w:rsidR="00001F40" w:rsidRDefault="00001F40">
          <w:pPr>
            <w:pStyle w:val="057EB621C0DC4E6884C3F1B5A72E55E7"/>
          </w:pPr>
          <w:r>
            <w:rPr>
              <w:rStyle w:val="a3"/>
              <w:rFonts w:hint="eastAsia"/>
            </w:rPr>
            <w:t xml:space="preserve">　</w:t>
          </w:r>
        </w:p>
      </w:docPartBody>
    </w:docPart>
    <w:docPart>
      <w:docPartPr>
        <w:name w:val="0EA23DAC54FF4B3EA2E9FEE9E0E35C58"/>
        <w:category>
          <w:name w:val="常规"/>
          <w:gallery w:val="placeholder"/>
        </w:category>
        <w:types>
          <w:type w:val="bbPlcHdr"/>
        </w:types>
        <w:behaviors>
          <w:behavior w:val="content"/>
        </w:behaviors>
        <w:guid w:val="{2F9830BC-D6CD-442E-BD62-3FEE6AD93F8A}"/>
      </w:docPartPr>
      <w:docPartBody>
        <w:p w:rsidR="00001F40" w:rsidRDefault="00001F40">
          <w:pPr>
            <w:pStyle w:val="E3EC7B045FAC4D77921EFAB1D0B41689"/>
          </w:pPr>
          <w:r>
            <w:rPr>
              <w:rStyle w:val="a3"/>
              <w:rFonts w:hint="eastAsia"/>
            </w:rPr>
            <w:t xml:space="preserve">　</w:t>
          </w:r>
        </w:p>
      </w:docPartBody>
    </w:docPart>
    <w:docPart>
      <w:docPartPr>
        <w:name w:val="7F29199B8304440189C5F32A78E4547C"/>
        <w:category>
          <w:name w:val="常规"/>
          <w:gallery w:val="placeholder"/>
        </w:category>
        <w:types>
          <w:type w:val="bbPlcHdr"/>
        </w:types>
        <w:behaviors>
          <w:behavior w:val="content"/>
        </w:behaviors>
        <w:guid w:val="{71B5771F-A69A-4BA3-AC47-0FED7BD57566}"/>
      </w:docPartPr>
      <w:docPartBody>
        <w:p w:rsidR="00001F40" w:rsidRDefault="00001F40">
          <w:pPr>
            <w:pStyle w:val="DCF8941B2B254B17B738314799341AFF"/>
          </w:pPr>
          <w:r>
            <w:rPr>
              <w:rStyle w:val="a3"/>
              <w:rFonts w:hint="eastAsia"/>
            </w:rPr>
            <w:t xml:space="preserve">　</w:t>
          </w:r>
        </w:p>
      </w:docPartBody>
    </w:docPart>
    <w:docPart>
      <w:docPartPr>
        <w:name w:val="F321493A056049A9BE98C5DF44400239"/>
        <w:category>
          <w:name w:val="常规"/>
          <w:gallery w:val="placeholder"/>
        </w:category>
        <w:types>
          <w:type w:val="bbPlcHdr"/>
        </w:types>
        <w:behaviors>
          <w:behavior w:val="content"/>
        </w:behaviors>
        <w:guid w:val="{3A730893-3CFB-4B83-B797-876821A8FBEA}"/>
      </w:docPartPr>
      <w:docPartBody>
        <w:p w:rsidR="00001F40" w:rsidRDefault="00001F40">
          <w:pPr>
            <w:pStyle w:val="9581A9A0AA6F487DB9D938917D565C84"/>
          </w:pPr>
          <w:r>
            <w:rPr>
              <w:rStyle w:val="a3"/>
              <w:rFonts w:hint="eastAsia"/>
            </w:rPr>
            <w:t xml:space="preserve">　</w:t>
          </w:r>
        </w:p>
      </w:docPartBody>
    </w:docPart>
    <w:docPart>
      <w:docPartPr>
        <w:name w:val="B9FFAAA6AE9F4960800353409D4C5D33"/>
        <w:category>
          <w:name w:val="常规"/>
          <w:gallery w:val="placeholder"/>
        </w:category>
        <w:types>
          <w:type w:val="bbPlcHdr"/>
        </w:types>
        <w:behaviors>
          <w:behavior w:val="content"/>
        </w:behaviors>
        <w:guid w:val="{D371073D-2F60-4760-A9FB-8A0544990490}"/>
      </w:docPartPr>
      <w:docPartBody>
        <w:p w:rsidR="00001F40" w:rsidRDefault="00001F40">
          <w:pPr>
            <w:pStyle w:val="BD03748146ED43BEA71869DA6577BA52"/>
          </w:pPr>
          <w:r>
            <w:rPr>
              <w:rStyle w:val="a3"/>
              <w:rFonts w:hint="eastAsia"/>
            </w:rPr>
            <w:t xml:space="preserve">　</w:t>
          </w:r>
        </w:p>
      </w:docPartBody>
    </w:docPart>
    <w:docPart>
      <w:docPartPr>
        <w:name w:val="000D87A5955D43439AAF4A874591B3B3"/>
        <w:category>
          <w:name w:val="常规"/>
          <w:gallery w:val="placeholder"/>
        </w:category>
        <w:types>
          <w:type w:val="bbPlcHdr"/>
        </w:types>
        <w:behaviors>
          <w:behavior w:val="content"/>
        </w:behaviors>
        <w:guid w:val="{166DA45F-E8C0-4A3E-B916-BDD50FDD4F28}"/>
      </w:docPartPr>
      <w:docPartBody>
        <w:p w:rsidR="00001F40" w:rsidRDefault="00001F40">
          <w:pPr>
            <w:pStyle w:val="66786C3445A24923B36996716BA4832F"/>
          </w:pPr>
          <w:r>
            <w:rPr>
              <w:rStyle w:val="a3"/>
              <w:rFonts w:hint="eastAsia"/>
            </w:rPr>
            <w:t xml:space="preserve">　</w:t>
          </w:r>
        </w:p>
      </w:docPartBody>
    </w:docPart>
    <w:docPart>
      <w:docPartPr>
        <w:name w:val="F0199A4F463943BDA96E98D8D8549BF3"/>
        <w:category>
          <w:name w:val="常规"/>
          <w:gallery w:val="placeholder"/>
        </w:category>
        <w:types>
          <w:type w:val="bbPlcHdr"/>
        </w:types>
        <w:behaviors>
          <w:behavior w:val="content"/>
        </w:behaviors>
        <w:guid w:val="{5EDC4DCD-78F8-4585-BD9C-871EE7AFC7BD}"/>
      </w:docPartPr>
      <w:docPartBody>
        <w:p w:rsidR="00001F40" w:rsidRDefault="00001F40">
          <w:pPr>
            <w:pStyle w:val="EFBDC0718FB943AEA1764B0413BC5338"/>
          </w:pPr>
          <w:r>
            <w:rPr>
              <w:rStyle w:val="a3"/>
              <w:rFonts w:hint="eastAsia"/>
            </w:rPr>
            <w:t xml:space="preserve">　</w:t>
          </w:r>
        </w:p>
      </w:docPartBody>
    </w:docPart>
    <w:docPart>
      <w:docPartPr>
        <w:name w:val="8437A33A9CB3489590FBE52C46FF8223"/>
        <w:category>
          <w:name w:val="常规"/>
          <w:gallery w:val="placeholder"/>
        </w:category>
        <w:types>
          <w:type w:val="bbPlcHdr"/>
        </w:types>
        <w:behaviors>
          <w:behavior w:val="content"/>
        </w:behaviors>
        <w:guid w:val="{89F5B833-0B45-49FC-9798-2AD43F2EF275}"/>
      </w:docPartPr>
      <w:docPartBody>
        <w:p w:rsidR="00001F40" w:rsidRDefault="00001F40">
          <w:pPr>
            <w:pStyle w:val="E647C621B1774FF9ABA251A9AB9C6108"/>
          </w:pPr>
          <w:r>
            <w:rPr>
              <w:rStyle w:val="a3"/>
              <w:rFonts w:hint="eastAsia"/>
            </w:rPr>
            <w:t xml:space="preserve">　</w:t>
          </w:r>
        </w:p>
      </w:docPartBody>
    </w:docPart>
    <w:docPart>
      <w:docPartPr>
        <w:name w:val="BA0D5740144B44BC8E56B5F7A3B420BF"/>
        <w:category>
          <w:name w:val="常规"/>
          <w:gallery w:val="placeholder"/>
        </w:category>
        <w:types>
          <w:type w:val="bbPlcHdr"/>
        </w:types>
        <w:behaviors>
          <w:behavior w:val="content"/>
        </w:behaviors>
        <w:guid w:val="{BAC00C5B-F250-4CF9-82D1-0CD19BA2D90E}"/>
      </w:docPartPr>
      <w:docPartBody>
        <w:p w:rsidR="00001F40" w:rsidRDefault="00001F40">
          <w:pPr>
            <w:pStyle w:val="8705F1FD7EF14D348E399B5867B871E1"/>
          </w:pPr>
          <w:r>
            <w:rPr>
              <w:rStyle w:val="a3"/>
              <w:rFonts w:hint="eastAsia"/>
            </w:rPr>
            <w:t xml:space="preserve">　</w:t>
          </w:r>
        </w:p>
      </w:docPartBody>
    </w:docPart>
    <w:docPart>
      <w:docPartPr>
        <w:name w:val="2B404A3386C94D9382CF53024B64A5B4"/>
        <w:category>
          <w:name w:val="常规"/>
          <w:gallery w:val="placeholder"/>
        </w:category>
        <w:types>
          <w:type w:val="bbPlcHdr"/>
        </w:types>
        <w:behaviors>
          <w:behavior w:val="content"/>
        </w:behaviors>
        <w:guid w:val="{555005FF-8F30-466D-B418-0C70D9018C5A}"/>
      </w:docPartPr>
      <w:docPartBody>
        <w:p w:rsidR="00001F40" w:rsidRDefault="00001F40">
          <w:pPr>
            <w:pStyle w:val="5B69F907B02846C1B0E8B74847D9BD9D"/>
          </w:pPr>
          <w:r>
            <w:rPr>
              <w:rStyle w:val="a3"/>
              <w:rFonts w:hint="eastAsia"/>
            </w:rPr>
            <w:t xml:space="preserve">　</w:t>
          </w:r>
        </w:p>
      </w:docPartBody>
    </w:docPart>
    <w:docPart>
      <w:docPartPr>
        <w:name w:val="ECAED67AC4344F73B0EE9E212858A56E"/>
        <w:category>
          <w:name w:val="常规"/>
          <w:gallery w:val="placeholder"/>
        </w:category>
        <w:types>
          <w:type w:val="bbPlcHdr"/>
        </w:types>
        <w:behaviors>
          <w:behavior w:val="content"/>
        </w:behaviors>
        <w:guid w:val="{6578C978-6451-44AF-8BED-659F57286329}"/>
      </w:docPartPr>
      <w:docPartBody>
        <w:p w:rsidR="00001F40" w:rsidRDefault="00001F40">
          <w:pPr>
            <w:pStyle w:val="6A3545BE3B6945ABBCE61D586EA6A302"/>
          </w:pPr>
          <w:r>
            <w:rPr>
              <w:rStyle w:val="a3"/>
              <w:rFonts w:hint="eastAsia"/>
            </w:rPr>
            <w:t xml:space="preserve">　</w:t>
          </w:r>
        </w:p>
      </w:docPartBody>
    </w:docPart>
    <w:docPart>
      <w:docPartPr>
        <w:name w:val="808A683A33B4426382D758ED824FA477"/>
        <w:category>
          <w:name w:val="常规"/>
          <w:gallery w:val="placeholder"/>
        </w:category>
        <w:types>
          <w:type w:val="bbPlcHdr"/>
        </w:types>
        <w:behaviors>
          <w:behavior w:val="content"/>
        </w:behaviors>
        <w:guid w:val="{C6993900-FF0F-4E9B-828F-67A9CD28C59E}"/>
      </w:docPartPr>
      <w:docPartBody>
        <w:p w:rsidR="00001F40" w:rsidRDefault="00001F40">
          <w:pPr>
            <w:pStyle w:val="0F2299B3514C4EE5BDFA562EA5C190AC"/>
          </w:pPr>
          <w:r>
            <w:rPr>
              <w:rStyle w:val="a3"/>
              <w:rFonts w:hint="eastAsia"/>
            </w:rPr>
            <w:t xml:space="preserve">　</w:t>
          </w:r>
        </w:p>
      </w:docPartBody>
    </w:docPart>
    <w:docPart>
      <w:docPartPr>
        <w:name w:val="49AC989A029F4B9A8E600AFA5F811864"/>
        <w:category>
          <w:name w:val="常规"/>
          <w:gallery w:val="placeholder"/>
        </w:category>
        <w:types>
          <w:type w:val="bbPlcHdr"/>
        </w:types>
        <w:behaviors>
          <w:behavior w:val="content"/>
        </w:behaviors>
        <w:guid w:val="{A5698578-49DC-4856-BFCA-B849396C5480}"/>
      </w:docPartPr>
      <w:docPartBody>
        <w:p w:rsidR="00001F40" w:rsidRDefault="00001F40">
          <w:pPr>
            <w:pStyle w:val="435B1399345E480CA5F777765CE11F31"/>
          </w:pPr>
          <w:r>
            <w:rPr>
              <w:rStyle w:val="a3"/>
              <w:rFonts w:hint="eastAsia"/>
            </w:rPr>
            <w:t xml:space="preserve">　</w:t>
          </w:r>
        </w:p>
      </w:docPartBody>
    </w:docPart>
    <w:docPart>
      <w:docPartPr>
        <w:name w:val="8884F2889E494521A6CF8C3A2019BD0A"/>
        <w:category>
          <w:name w:val="常规"/>
          <w:gallery w:val="placeholder"/>
        </w:category>
        <w:types>
          <w:type w:val="bbPlcHdr"/>
        </w:types>
        <w:behaviors>
          <w:behavior w:val="content"/>
        </w:behaviors>
        <w:guid w:val="{16F17CEC-A00B-4B24-A189-DAD54601EDDC}"/>
      </w:docPartPr>
      <w:docPartBody>
        <w:p w:rsidR="00001F40" w:rsidRDefault="00001F40">
          <w:r>
            <w:rPr>
              <w:rStyle w:val="a3"/>
              <w:rFonts w:hint="eastAsia"/>
            </w:rPr>
            <w:t xml:space="preserve">　</w:t>
          </w:r>
        </w:p>
      </w:docPartBody>
    </w:docPart>
    <w:docPart>
      <w:docPartPr>
        <w:name w:val="057EB621C0DC4E6884C3F1B5A72E55E7"/>
        <w:category>
          <w:name w:val="常规"/>
          <w:gallery w:val="placeholder"/>
        </w:category>
        <w:types>
          <w:type w:val="bbPlcHdr"/>
        </w:types>
        <w:behaviors>
          <w:behavior w:val="content"/>
        </w:behaviors>
        <w:guid w:val="{FFB8FEC9-6026-422A-A6D5-991E8CD8189B}"/>
      </w:docPartPr>
      <w:docPartBody>
        <w:p w:rsidR="00001F40" w:rsidRDefault="00001F40">
          <w:r>
            <w:rPr>
              <w:rStyle w:val="a3"/>
              <w:rFonts w:hint="eastAsia"/>
            </w:rPr>
            <w:t>单击或点击此处输入文字。</w:t>
          </w:r>
        </w:p>
      </w:docPartBody>
    </w:docPart>
    <w:docPart>
      <w:docPartPr>
        <w:name w:val="E3EC7B045FAC4D77921EFAB1D0B41689"/>
        <w:category>
          <w:name w:val="常规"/>
          <w:gallery w:val="placeholder"/>
        </w:category>
        <w:types>
          <w:type w:val="bbPlcHdr"/>
        </w:types>
        <w:behaviors>
          <w:behavior w:val="content"/>
        </w:behaviors>
        <w:guid w:val="{32D76CCC-6D22-49C6-983C-E7565AF04F8E}"/>
      </w:docPartPr>
      <w:docPartBody>
        <w:p w:rsidR="00001F40" w:rsidRDefault="00001F40">
          <w:r>
            <w:rPr>
              <w:rStyle w:val="a3"/>
              <w:rFonts w:hint="eastAsia"/>
            </w:rPr>
            <w:t>单击或点击此处输入文字。</w:t>
          </w:r>
        </w:p>
      </w:docPartBody>
    </w:docPart>
    <w:docPart>
      <w:docPartPr>
        <w:name w:val="DCF8941B2B254B17B738314799341AFF"/>
        <w:category>
          <w:name w:val="常规"/>
          <w:gallery w:val="placeholder"/>
        </w:category>
        <w:types>
          <w:type w:val="bbPlcHdr"/>
        </w:types>
        <w:behaviors>
          <w:behavior w:val="content"/>
        </w:behaviors>
        <w:guid w:val="{5E3000F0-820E-4E48-987C-3EDA3B023FCB}"/>
      </w:docPartPr>
      <w:docPartBody>
        <w:p w:rsidR="00001F40" w:rsidRDefault="00001F40">
          <w:r>
            <w:rPr>
              <w:rStyle w:val="a3"/>
              <w:rFonts w:hint="eastAsia"/>
            </w:rPr>
            <w:t xml:space="preserve">　</w:t>
          </w:r>
        </w:p>
      </w:docPartBody>
    </w:docPart>
    <w:docPart>
      <w:docPartPr>
        <w:name w:val="9581A9A0AA6F487DB9D938917D565C84"/>
        <w:category>
          <w:name w:val="常规"/>
          <w:gallery w:val="placeholder"/>
        </w:category>
        <w:types>
          <w:type w:val="bbPlcHdr"/>
        </w:types>
        <w:behaviors>
          <w:behavior w:val="content"/>
        </w:behaviors>
        <w:guid w:val="{09D2F0E6-C432-41DA-8641-090126E12761}"/>
      </w:docPartPr>
      <w:docPartBody>
        <w:p w:rsidR="00001F40" w:rsidRDefault="00001F40">
          <w:r>
            <w:rPr>
              <w:rStyle w:val="a3"/>
              <w:rFonts w:hint="eastAsia"/>
            </w:rPr>
            <w:t>单击或点击此处输入文字。</w:t>
          </w:r>
        </w:p>
      </w:docPartBody>
    </w:docPart>
    <w:docPart>
      <w:docPartPr>
        <w:name w:val="BD03748146ED43BEA71869DA6577BA52"/>
        <w:category>
          <w:name w:val="常规"/>
          <w:gallery w:val="placeholder"/>
        </w:category>
        <w:types>
          <w:type w:val="bbPlcHdr"/>
        </w:types>
        <w:behaviors>
          <w:behavior w:val="content"/>
        </w:behaviors>
        <w:guid w:val="{21E63607-6963-4148-B4FB-D550C66EC751}"/>
      </w:docPartPr>
      <w:docPartBody>
        <w:p w:rsidR="00001F40" w:rsidRDefault="00001F40">
          <w:r>
            <w:rPr>
              <w:rStyle w:val="a3"/>
              <w:rFonts w:hint="eastAsia"/>
            </w:rPr>
            <w:t>单击或点击此处输入文字。</w:t>
          </w:r>
        </w:p>
      </w:docPartBody>
    </w:docPart>
    <w:docPart>
      <w:docPartPr>
        <w:name w:val="66786C3445A24923B36996716BA4832F"/>
        <w:category>
          <w:name w:val="常规"/>
          <w:gallery w:val="placeholder"/>
        </w:category>
        <w:types>
          <w:type w:val="bbPlcHdr"/>
        </w:types>
        <w:behaviors>
          <w:behavior w:val="content"/>
        </w:behaviors>
        <w:guid w:val="{76E36E92-5A6C-4199-BCE1-D580F8AAA515}"/>
      </w:docPartPr>
      <w:docPartBody>
        <w:p w:rsidR="00001F40" w:rsidRDefault="00001F40">
          <w:r>
            <w:rPr>
              <w:rStyle w:val="a3"/>
              <w:rFonts w:hint="eastAsia"/>
            </w:rPr>
            <w:t xml:space="preserve">　</w:t>
          </w:r>
        </w:p>
      </w:docPartBody>
    </w:docPart>
    <w:docPart>
      <w:docPartPr>
        <w:name w:val="6400F56DEEAD4270BD794C1DD7439495"/>
        <w:category>
          <w:name w:val="常规"/>
          <w:gallery w:val="placeholder"/>
        </w:category>
        <w:types>
          <w:type w:val="bbPlcHdr"/>
        </w:types>
        <w:behaviors>
          <w:behavior w:val="content"/>
        </w:behaviors>
        <w:guid w:val="{DAFBCD43-4715-4A09-9353-5A9F93CCA1CB}"/>
      </w:docPartPr>
      <w:docPartBody>
        <w:p w:rsidR="00001F40" w:rsidRDefault="00001F40">
          <w:pPr>
            <w:pStyle w:val="47A2014400584F0B82BB6E31AB31940C"/>
          </w:pPr>
          <w:r>
            <w:rPr>
              <w:rStyle w:val="a3"/>
              <w:rFonts w:hint="eastAsia"/>
              <w:color w:val="333399"/>
              <w:u w:val="single"/>
            </w:rPr>
            <w:t xml:space="preserve">　　　</w:t>
          </w:r>
        </w:p>
      </w:docPartBody>
    </w:docPart>
    <w:docPart>
      <w:docPartPr>
        <w:name w:val="A67D7A506E7F488D81CA0107F5314620"/>
        <w:category>
          <w:name w:val="General"/>
          <w:gallery w:val="placeholder"/>
        </w:category>
        <w:types>
          <w:type w:val="bbPlcHdr"/>
        </w:types>
        <w:behaviors>
          <w:behavior w:val="content"/>
        </w:behaviors>
        <w:guid w:val="{A46B455D-B95F-4D3F-9B08-7BA8C630581A}"/>
      </w:docPartPr>
      <w:docPartBody>
        <w:p w:rsidR="00001F40" w:rsidRDefault="00001F40">
          <w:r>
            <w:rPr>
              <w:rStyle w:val="a3"/>
              <w:rFonts w:hint="eastAsia"/>
              <w:color w:val="333399"/>
              <w:u w:val="single"/>
            </w:rPr>
            <w:t xml:space="preserve">　　　</w:t>
          </w:r>
        </w:p>
      </w:docPartBody>
    </w:docPart>
    <w:docPart>
      <w:docPartPr>
        <w:name w:val="2A9D3154404E46B0A9E2B06D58944033"/>
        <w:category>
          <w:name w:val="常规"/>
          <w:gallery w:val="placeholder"/>
        </w:category>
        <w:types>
          <w:type w:val="bbPlcHdr"/>
        </w:types>
        <w:behaviors>
          <w:behavior w:val="content"/>
        </w:behaviors>
        <w:guid w:val="{7D126866-1924-4A9C-945F-22EA41839677}"/>
      </w:docPartPr>
      <w:docPartBody>
        <w:p w:rsidR="00001F40" w:rsidRDefault="00001F40">
          <w:pPr>
            <w:pStyle w:val="34E318F847694E86BE647EB629C1CF3C"/>
          </w:pPr>
          <w:r>
            <w:rPr>
              <w:rStyle w:val="a3"/>
              <w:rFonts w:hint="eastAsia"/>
              <w:color w:val="333399"/>
              <w:u w:val="single"/>
            </w:rPr>
            <w:t xml:space="preserve">　　　</w:t>
          </w:r>
        </w:p>
      </w:docPartBody>
    </w:docPart>
    <w:docPart>
      <w:docPartPr>
        <w:name w:val="47A2014400584F0B82BB6E31AB31940C"/>
        <w:category>
          <w:name w:val="General"/>
          <w:gallery w:val="placeholder"/>
        </w:category>
        <w:types>
          <w:type w:val="bbPlcHdr"/>
        </w:types>
        <w:behaviors>
          <w:behavior w:val="content"/>
        </w:behaviors>
        <w:guid w:val="{1ED76DBE-3CA7-479B-9C7B-0C8BECECB188}"/>
      </w:docPartPr>
      <w:docPartBody>
        <w:p w:rsidR="00001F40" w:rsidRDefault="00001F40">
          <w:pPr>
            <w:pStyle w:val="105BC744046645F4A0DECA43F36AE0DE"/>
          </w:pPr>
          <w:r>
            <w:rPr>
              <w:rStyle w:val="a3"/>
              <w:rFonts w:hint="eastAsia"/>
            </w:rPr>
            <w:t xml:space="preserve">　</w:t>
          </w:r>
        </w:p>
      </w:docPartBody>
    </w:docPart>
    <w:docPart>
      <w:docPartPr>
        <w:name w:val="34E318F847694E86BE647EB629C1CF3C"/>
        <w:category>
          <w:name w:val="General"/>
          <w:gallery w:val="placeholder"/>
        </w:category>
        <w:types>
          <w:type w:val="bbPlcHdr"/>
        </w:types>
        <w:behaviors>
          <w:behavior w:val="content"/>
        </w:behaviors>
        <w:guid w:val="{A15C1B6F-E775-44BB-BBEC-18BE02401EBE}"/>
      </w:docPartPr>
      <w:docPartBody>
        <w:p w:rsidR="00001F40" w:rsidRDefault="00001F40">
          <w:pPr>
            <w:pStyle w:val="319281D018D54F84B1521313D0717732"/>
          </w:pPr>
          <w:r>
            <w:rPr>
              <w:rStyle w:val="a3"/>
              <w:rFonts w:hint="eastAsia"/>
            </w:rPr>
            <w:t xml:space="preserve">　</w:t>
          </w:r>
        </w:p>
      </w:docPartBody>
    </w:docPart>
    <w:docPart>
      <w:docPartPr>
        <w:name w:val="105BC744046645F4A0DECA43F36AE0DE"/>
        <w:category>
          <w:name w:val="General"/>
          <w:gallery w:val="placeholder"/>
        </w:category>
        <w:types>
          <w:type w:val="bbPlcHdr"/>
        </w:types>
        <w:behaviors>
          <w:behavior w:val="content"/>
        </w:behaviors>
        <w:guid w:val="{3483ED2C-75A8-491F-ABE6-935D6D7EC23C}"/>
      </w:docPartPr>
      <w:docPartBody>
        <w:p w:rsidR="00001F40" w:rsidRDefault="00001F40">
          <w:pPr>
            <w:pStyle w:val="027C1C82ED9F479DAAF34B47D59320D8"/>
          </w:pPr>
          <w:r>
            <w:rPr>
              <w:rStyle w:val="a3"/>
              <w:rFonts w:hint="eastAsia"/>
            </w:rPr>
            <w:t xml:space="preserve">　</w:t>
          </w:r>
        </w:p>
      </w:docPartBody>
    </w:docPart>
    <w:docPart>
      <w:docPartPr>
        <w:name w:val="319281D018D54F84B1521313D0717732"/>
        <w:category>
          <w:name w:val="General"/>
          <w:gallery w:val="placeholder"/>
        </w:category>
        <w:types>
          <w:type w:val="bbPlcHdr"/>
        </w:types>
        <w:behaviors>
          <w:behavior w:val="content"/>
        </w:behaviors>
        <w:guid w:val="{76FFC7EF-31E2-46E0-B80F-5FC2763195F0}"/>
      </w:docPartPr>
      <w:docPartBody>
        <w:p w:rsidR="00001F40" w:rsidRDefault="00001F40">
          <w:pPr>
            <w:pStyle w:val="8E2DBE4EF8DE46EEA7A5336DDCEE3FF4"/>
          </w:pPr>
          <w:r>
            <w:rPr>
              <w:rStyle w:val="a3"/>
              <w:rFonts w:hint="eastAsia"/>
            </w:rPr>
            <w:t>单击或点击此处输入文字。</w:t>
          </w:r>
        </w:p>
      </w:docPartBody>
    </w:docPart>
    <w:docPart>
      <w:docPartPr>
        <w:name w:val="027C1C82ED9F479DAAF34B47D59320D8"/>
        <w:category>
          <w:name w:val="常规"/>
          <w:gallery w:val="placeholder"/>
        </w:category>
        <w:types>
          <w:type w:val="bbPlcHdr"/>
        </w:types>
        <w:behaviors>
          <w:behavior w:val="content"/>
        </w:behaviors>
        <w:guid w:val="{D543FA38-9469-4385-9277-EFF5BF1AABBB}"/>
      </w:docPartPr>
      <w:docPartBody>
        <w:p w:rsidR="00001F40" w:rsidRDefault="00001F40">
          <w:pPr>
            <w:pStyle w:val="87794A301E73492C8E1FA48B1E2139E0"/>
          </w:pPr>
          <w:r>
            <w:rPr>
              <w:rStyle w:val="a3"/>
              <w:rFonts w:hint="eastAsia"/>
            </w:rPr>
            <w:t>单击或点击此处输入文字。</w:t>
          </w:r>
        </w:p>
      </w:docPartBody>
    </w:docPart>
    <w:docPart>
      <w:docPartPr>
        <w:name w:val="8E2DBE4EF8DE46EEA7A5336DDCEE3FF4"/>
        <w:category>
          <w:name w:val="常规"/>
          <w:gallery w:val="placeholder"/>
        </w:category>
        <w:types>
          <w:type w:val="bbPlcHdr"/>
        </w:types>
        <w:behaviors>
          <w:behavior w:val="content"/>
        </w:behaviors>
        <w:guid w:val="{454CDB59-4850-40F7-81DE-5039BBC2700A}"/>
      </w:docPartPr>
      <w:docPartBody>
        <w:p w:rsidR="00001F40" w:rsidRDefault="00001F40">
          <w:pPr>
            <w:pStyle w:val="799AA9D4769045988175E479DE37F087"/>
          </w:pPr>
          <w:r>
            <w:rPr>
              <w:rStyle w:val="a3"/>
              <w:rFonts w:hint="eastAsia"/>
              <w:color w:val="333399"/>
              <w:u w:val="single"/>
            </w:rPr>
            <w:t xml:space="preserve">　　　</w:t>
          </w:r>
        </w:p>
      </w:docPartBody>
    </w:docPart>
    <w:docPart>
      <w:docPartPr>
        <w:name w:val="87794A301E73492C8E1FA48B1E2139E0"/>
        <w:category>
          <w:name w:val="常规"/>
          <w:gallery w:val="placeholder"/>
        </w:category>
        <w:types>
          <w:type w:val="bbPlcHdr"/>
        </w:types>
        <w:behaviors>
          <w:behavior w:val="content"/>
        </w:behaviors>
        <w:guid w:val="{D95230EC-B0FF-49CC-A49C-2B8890B1B1D9}"/>
      </w:docPartPr>
      <w:docPartBody>
        <w:p w:rsidR="00001F40" w:rsidRDefault="00001F40">
          <w:pPr>
            <w:pStyle w:val="59BE1E313AF54CC3984BDB2DAE7B9623"/>
          </w:pPr>
          <w:r>
            <w:rPr>
              <w:rStyle w:val="a3"/>
              <w:rFonts w:hint="eastAsia"/>
              <w:color w:val="333399"/>
              <w:u w:val="single"/>
            </w:rPr>
            <w:t xml:space="preserve">　　　</w:t>
          </w:r>
        </w:p>
      </w:docPartBody>
    </w:docPart>
    <w:docPart>
      <w:docPartPr>
        <w:name w:val="799AA9D4769045988175E479DE37F087"/>
        <w:category>
          <w:name w:val="General"/>
          <w:gallery w:val="placeholder"/>
        </w:category>
        <w:types>
          <w:type w:val="bbPlcHdr"/>
        </w:types>
        <w:behaviors>
          <w:behavior w:val="content"/>
        </w:behaviors>
        <w:guid w:val="{C0350AE1-EDE7-4E57-BD7C-D24798637DFF}"/>
      </w:docPartPr>
      <w:docPartBody>
        <w:p w:rsidR="00001F40" w:rsidRDefault="00001F40">
          <w:pPr>
            <w:pStyle w:val="894FD3009F3F4510A2373DCC81DF39EC"/>
          </w:pPr>
          <w:r>
            <w:rPr>
              <w:rStyle w:val="a3"/>
              <w:rFonts w:hint="eastAsia"/>
            </w:rPr>
            <w:t>单击或点击此处输入文字。</w:t>
          </w:r>
        </w:p>
      </w:docPartBody>
    </w:docPart>
    <w:docPart>
      <w:docPartPr>
        <w:name w:val="59BE1E313AF54CC3984BDB2DAE7B9623"/>
        <w:category>
          <w:name w:val="General"/>
          <w:gallery w:val="placeholder"/>
        </w:category>
        <w:types>
          <w:type w:val="bbPlcHdr"/>
        </w:types>
        <w:behaviors>
          <w:behavior w:val="content"/>
        </w:behaviors>
        <w:guid w:val="{27200435-84A5-4B19-8A27-F68C0C1888D8}"/>
      </w:docPartPr>
      <w:docPartBody>
        <w:p w:rsidR="00001F40" w:rsidRDefault="00001F40">
          <w:pPr>
            <w:pStyle w:val="9608A7165F204615AF819B9120394927"/>
          </w:pPr>
          <w:r>
            <w:rPr>
              <w:rStyle w:val="a3"/>
              <w:rFonts w:hint="eastAsia"/>
              <w:color w:val="333399"/>
              <w:u w:val="single"/>
            </w:rPr>
            <w:t xml:space="preserve">　　　</w:t>
          </w:r>
        </w:p>
      </w:docPartBody>
    </w:docPart>
    <w:docPart>
      <w:docPartPr>
        <w:name w:val="894FD3009F3F4510A2373DCC81DF39EC"/>
        <w:category>
          <w:name w:val="General"/>
          <w:gallery w:val="placeholder"/>
        </w:category>
        <w:types>
          <w:type w:val="bbPlcHdr"/>
        </w:types>
        <w:behaviors>
          <w:behavior w:val="content"/>
        </w:behaviors>
        <w:guid w:val="{EFC48CDC-0B31-4171-ADCD-5BD113EBDBE7}"/>
      </w:docPartPr>
      <w:docPartBody>
        <w:p w:rsidR="00001F40" w:rsidRDefault="00001F40">
          <w:pPr>
            <w:pStyle w:val="881A785771BB49169BBD633AE28BB366"/>
          </w:pPr>
          <w:r>
            <w:rPr>
              <w:rStyle w:val="a3"/>
              <w:rFonts w:hint="eastAsia"/>
            </w:rPr>
            <w:t>单击或点击此处输入文字。</w:t>
          </w:r>
        </w:p>
      </w:docPartBody>
    </w:docPart>
    <w:docPart>
      <w:docPartPr>
        <w:name w:val="CCD8449F4CD34BA392F57D411A502F28"/>
        <w:category>
          <w:name w:val="General"/>
          <w:gallery w:val="placeholder"/>
        </w:category>
        <w:types>
          <w:type w:val="bbPlcHdr"/>
        </w:types>
        <w:behaviors>
          <w:behavior w:val="content"/>
        </w:behaviors>
        <w:guid w:val="{DB4E796B-C0FD-47B1-9A26-268073DD793A}"/>
      </w:docPartPr>
      <w:docPartBody>
        <w:p w:rsidR="00001F40" w:rsidRDefault="00001F40">
          <w:pPr>
            <w:pStyle w:val="CCCB5659A54B4E22984475FA92B57C2D"/>
          </w:pPr>
          <w:r>
            <w:rPr>
              <w:rStyle w:val="a3"/>
              <w:rFonts w:hint="eastAsia"/>
              <w:color w:val="333399"/>
              <w:u w:val="single"/>
            </w:rPr>
            <w:t xml:space="preserve">　　　</w:t>
          </w:r>
        </w:p>
      </w:docPartBody>
    </w:docPart>
    <w:docPart>
      <w:docPartPr>
        <w:name w:val="EAE753A0BF2E467289889F69A4F083FA"/>
        <w:category>
          <w:name w:val="General"/>
          <w:gallery w:val="placeholder"/>
        </w:category>
        <w:types>
          <w:type w:val="bbPlcHdr"/>
        </w:types>
        <w:behaviors>
          <w:behavior w:val="content"/>
        </w:behaviors>
        <w:guid w:val="{8BE924BC-891C-4C4D-A844-3A832AB60B4E}"/>
      </w:docPartPr>
      <w:docPartBody>
        <w:p w:rsidR="00001F40" w:rsidRDefault="00001F40">
          <w:pPr>
            <w:pStyle w:val="4AC37DCA11FF44EB9E353C20335EAF9E"/>
          </w:pPr>
          <w:r>
            <w:rPr>
              <w:rStyle w:val="a3"/>
              <w:rFonts w:hint="eastAsia"/>
            </w:rPr>
            <w:t xml:space="preserve">　</w:t>
          </w:r>
        </w:p>
      </w:docPartBody>
    </w:docPart>
    <w:docPart>
      <w:docPartPr>
        <w:name w:val="CCCB5659A54B4E22984475FA92B57C2D"/>
        <w:category>
          <w:name w:val="General"/>
          <w:gallery w:val="placeholder"/>
        </w:category>
        <w:types>
          <w:type w:val="bbPlcHdr"/>
        </w:types>
        <w:behaviors>
          <w:behavior w:val="content"/>
        </w:behaviors>
        <w:guid w:val="{94E20EF4-B65C-4B26-A954-B6B7CEA59A33}"/>
      </w:docPartPr>
      <w:docPartBody>
        <w:p w:rsidR="00001F40" w:rsidRDefault="00001F40">
          <w:pPr>
            <w:pStyle w:val="3CFB5CE425494A0B845369A112A16B3A"/>
          </w:pPr>
          <w:r>
            <w:rPr>
              <w:rStyle w:val="a3"/>
              <w:rFonts w:hint="eastAsia"/>
            </w:rPr>
            <w:t>单击或点击此处输入文字。</w:t>
          </w:r>
        </w:p>
      </w:docPartBody>
    </w:docPart>
    <w:docPart>
      <w:docPartPr>
        <w:name w:val="4AC37DCA11FF44EB9E353C20335EAF9E"/>
        <w:category>
          <w:name w:val="General"/>
          <w:gallery w:val="placeholder"/>
        </w:category>
        <w:types>
          <w:type w:val="bbPlcHdr"/>
        </w:types>
        <w:behaviors>
          <w:behavior w:val="content"/>
        </w:behaviors>
        <w:guid w:val="{C278C712-BE69-4A3D-9CC7-7FBEB1448D87}"/>
      </w:docPartPr>
      <w:docPartBody>
        <w:p w:rsidR="00001F40" w:rsidRDefault="00001F40">
          <w:pPr>
            <w:pStyle w:val="7041693B10EC48CEACCE0A324D8FD2D3"/>
          </w:pPr>
          <w:r>
            <w:rPr>
              <w:rStyle w:val="a3"/>
              <w:rFonts w:hint="eastAsia"/>
            </w:rPr>
            <w:t>单击或点击此处输入文字。</w:t>
          </w:r>
        </w:p>
      </w:docPartBody>
    </w:docPart>
    <w:docPart>
      <w:docPartPr>
        <w:name w:val="3CFB5CE425494A0B845369A112A16B3A"/>
        <w:category>
          <w:name w:val="常规"/>
          <w:gallery w:val="placeholder"/>
        </w:category>
        <w:types>
          <w:type w:val="bbPlcHdr"/>
        </w:types>
        <w:behaviors>
          <w:behavior w:val="content"/>
        </w:behaviors>
        <w:guid w:val="{E76BF606-A488-4980-BA11-449773349B5C}"/>
      </w:docPartPr>
      <w:docPartBody>
        <w:p w:rsidR="00001F40" w:rsidRDefault="00001F40">
          <w:pPr>
            <w:pStyle w:val="C8957A88CEBB4392A86C8BA8D20C7BFC"/>
          </w:pPr>
          <w:r>
            <w:rPr>
              <w:rStyle w:val="a3"/>
              <w:rFonts w:hint="eastAsia"/>
            </w:rPr>
            <w:t xml:space="preserve">　</w:t>
          </w:r>
        </w:p>
      </w:docPartBody>
    </w:docPart>
    <w:docPart>
      <w:docPartPr>
        <w:name w:val="7041693B10EC48CEACCE0A324D8FD2D3"/>
        <w:category>
          <w:name w:val="常规"/>
          <w:gallery w:val="placeholder"/>
        </w:category>
        <w:types>
          <w:type w:val="bbPlcHdr"/>
        </w:types>
        <w:behaviors>
          <w:behavior w:val="content"/>
        </w:behaviors>
        <w:guid w:val="{23287B01-9D36-4C42-B7F2-BC84B9F4E5AF}"/>
      </w:docPartPr>
      <w:docPartBody>
        <w:p w:rsidR="00001F40" w:rsidRDefault="00001F40">
          <w:r>
            <w:rPr>
              <w:rStyle w:val="a3"/>
              <w:rFonts w:hint="eastAsia"/>
              <w:color w:val="333399"/>
              <w:u w:val="single"/>
            </w:rPr>
            <w:t xml:space="preserve">　　　</w:t>
          </w:r>
        </w:p>
      </w:docPartBody>
    </w:docPart>
    <w:docPart>
      <w:docPartPr>
        <w:name w:val="C8957A88CEBB4392A86C8BA8D20C7BFC"/>
        <w:category>
          <w:name w:val="常规"/>
          <w:gallery w:val="placeholder"/>
        </w:category>
        <w:types>
          <w:type w:val="bbPlcHdr"/>
        </w:types>
        <w:behaviors>
          <w:behavior w:val="content"/>
        </w:behaviors>
        <w:guid w:val="{7FE67875-2FE6-4D13-8AD8-132B199A240E}"/>
      </w:docPartPr>
      <w:docPartBody>
        <w:p w:rsidR="00001F40" w:rsidRDefault="00001F40">
          <w:r>
            <w:rPr>
              <w:rStyle w:val="a3"/>
              <w:rFonts w:hint="eastAsia"/>
            </w:rPr>
            <w:t xml:space="preserve">　</w:t>
          </w:r>
        </w:p>
      </w:docPartBody>
    </w:docPart>
    <w:docPart>
      <w:docPartPr>
        <w:name w:val="5D5279A6C01C4E5996E5D4757996064A"/>
        <w:category>
          <w:name w:val="常规"/>
          <w:gallery w:val="placeholder"/>
        </w:category>
        <w:types>
          <w:type w:val="bbPlcHdr"/>
        </w:types>
        <w:behaviors>
          <w:behavior w:val="content"/>
        </w:behaviors>
        <w:guid w:val="{188DA965-3978-454A-A653-81544078F223}"/>
      </w:docPartPr>
      <w:docPartBody>
        <w:p w:rsidR="00001F40" w:rsidRDefault="00001F40">
          <w:r>
            <w:rPr>
              <w:rStyle w:val="a3"/>
              <w:rFonts w:hint="eastAsia"/>
            </w:rPr>
            <w:t>单击或点击此处输入文字。</w:t>
          </w:r>
        </w:p>
      </w:docPartBody>
    </w:docPart>
    <w:docPart>
      <w:docPartPr>
        <w:name w:val="5B68ABA754954C778DCA2507CA6093C3"/>
        <w:category>
          <w:name w:val="常规"/>
          <w:gallery w:val="placeholder"/>
        </w:category>
        <w:types>
          <w:type w:val="bbPlcHdr"/>
        </w:types>
        <w:behaviors>
          <w:behavior w:val="content"/>
        </w:behaviors>
        <w:guid w:val="{EF203D62-4B85-40FD-B351-6388A4EE1597}"/>
      </w:docPartPr>
      <w:docPartBody>
        <w:p w:rsidR="00001F40" w:rsidRDefault="00001F40">
          <w:r>
            <w:rPr>
              <w:rStyle w:val="a3"/>
              <w:rFonts w:hint="eastAsia"/>
            </w:rPr>
            <w:t xml:space="preserve">　</w:t>
          </w:r>
        </w:p>
      </w:docPartBody>
    </w:docPart>
    <w:docPart>
      <w:docPartPr>
        <w:name w:val="9D7E0BE2E2374D86857EE55A0D2AC543"/>
        <w:category>
          <w:name w:val="常规"/>
          <w:gallery w:val="placeholder"/>
        </w:category>
        <w:types>
          <w:type w:val="bbPlcHdr"/>
        </w:types>
        <w:behaviors>
          <w:behavior w:val="content"/>
        </w:behaviors>
        <w:guid w:val="{5BDDEA23-6981-4713-BCDF-A4387374B8E0}"/>
      </w:docPartPr>
      <w:docPartBody>
        <w:p w:rsidR="00001F40" w:rsidRDefault="00001F40">
          <w:r>
            <w:rPr>
              <w:rStyle w:val="a3"/>
              <w:rFonts w:hint="eastAsia"/>
            </w:rPr>
            <w:t xml:space="preserve">　</w:t>
          </w:r>
        </w:p>
      </w:docPartBody>
    </w:docPart>
    <w:docPart>
      <w:docPartPr>
        <w:name w:val="CE95EC368EA04B9AA70656BD23FABCB4"/>
        <w:category>
          <w:name w:val="常规"/>
          <w:gallery w:val="placeholder"/>
        </w:category>
        <w:types>
          <w:type w:val="bbPlcHdr"/>
        </w:types>
        <w:behaviors>
          <w:behavior w:val="content"/>
        </w:behaviors>
        <w:guid w:val="{91988AA0-EA22-4687-A09D-85078BB41921}"/>
      </w:docPartPr>
      <w:docPartBody>
        <w:p w:rsidR="00001F40" w:rsidRDefault="00001F40">
          <w:r>
            <w:rPr>
              <w:rStyle w:val="a3"/>
              <w:rFonts w:hint="eastAsia"/>
            </w:rPr>
            <w:t xml:space="preserve">　</w:t>
          </w:r>
        </w:p>
      </w:docPartBody>
    </w:docPart>
    <w:docPart>
      <w:docPartPr>
        <w:name w:val="5995BC93850D4D409BD1E25BE68498C3"/>
        <w:category>
          <w:name w:val="常规"/>
          <w:gallery w:val="placeholder"/>
        </w:category>
        <w:types>
          <w:type w:val="bbPlcHdr"/>
        </w:types>
        <w:behaviors>
          <w:behavior w:val="content"/>
        </w:behaviors>
        <w:guid w:val="{FE86972D-59B9-48B0-975F-ABDF23067429}"/>
      </w:docPartPr>
      <w:docPartBody>
        <w:p w:rsidR="00001F40" w:rsidRDefault="00001F40">
          <w:r>
            <w:rPr>
              <w:rStyle w:val="a3"/>
              <w:rFonts w:hint="eastAsia"/>
            </w:rPr>
            <w:t xml:space="preserve">　</w:t>
          </w:r>
        </w:p>
      </w:docPartBody>
    </w:docPart>
    <w:docPart>
      <w:docPartPr>
        <w:name w:val="3D389CDA4F73410DBB79708820FF6E48"/>
        <w:category>
          <w:name w:val="常规"/>
          <w:gallery w:val="placeholder"/>
        </w:category>
        <w:types>
          <w:type w:val="bbPlcHdr"/>
        </w:types>
        <w:behaviors>
          <w:behavior w:val="content"/>
        </w:behaviors>
        <w:guid w:val="{9E01C044-5FFF-4156-9770-B92C85E68A1B}"/>
      </w:docPartPr>
      <w:docPartBody>
        <w:p w:rsidR="00001F40" w:rsidRDefault="00001F40">
          <w:r>
            <w:rPr>
              <w:rStyle w:val="a3"/>
              <w:rFonts w:hint="eastAsia"/>
            </w:rPr>
            <w:t xml:space="preserve">　</w:t>
          </w:r>
        </w:p>
      </w:docPartBody>
    </w:docPart>
    <w:docPart>
      <w:docPartPr>
        <w:name w:val="9020FC83FF48435595096EAF0D4F2F6B"/>
        <w:category>
          <w:name w:val="常规"/>
          <w:gallery w:val="placeholder"/>
        </w:category>
        <w:types>
          <w:type w:val="bbPlcHdr"/>
        </w:types>
        <w:behaviors>
          <w:behavior w:val="content"/>
        </w:behaviors>
        <w:guid w:val="{04708D63-350A-4EC0-9246-1233895703B1}"/>
      </w:docPartPr>
      <w:docPartBody>
        <w:p w:rsidR="00001F40" w:rsidRDefault="00001F40">
          <w:r>
            <w:rPr>
              <w:rStyle w:val="a3"/>
              <w:rFonts w:hint="eastAsia"/>
            </w:rPr>
            <w:t xml:space="preserve">　</w:t>
          </w:r>
        </w:p>
      </w:docPartBody>
    </w:docPart>
    <w:docPart>
      <w:docPartPr>
        <w:name w:val="91377C7FCC8C4608B195336E474F6B8A"/>
        <w:category>
          <w:name w:val="常规"/>
          <w:gallery w:val="placeholder"/>
        </w:category>
        <w:types>
          <w:type w:val="bbPlcHdr"/>
        </w:types>
        <w:behaviors>
          <w:behavior w:val="content"/>
        </w:behaviors>
        <w:guid w:val="{E9F0F3C2-6A6B-4075-A924-6C4DF0CFD697}"/>
      </w:docPartPr>
      <w:docPartBody>
        <w:p w:rsidR="00001F40" w:rsidRDefault="00001F40">
          <w:r>
            <w:rPr>
              <w:rStyle w:val="a3"/>
              <w:rFonts w:hint="eastAsia"/>
            </w:rPr>
            <w:t>单击或点击此处输入文字。</w:t>
          </w:r>
        </w:p>
      </w:docPartBody>
    </w:docPart>
    <w:docPart>
      <w:docPartPr>
        <w:name w:val="D80F2277D28C4EC8B05D5BE451B3E87D"/>
        <w:category>
          <w:name w:val="常规"/>
          <w:gallery w:val="placeholder"/>
        </w:category>
        <w:types>
          <w:type w:val="bbPlcHdr"/>
        </w:types>
        <w:behaviors>
          <w:behavior w:val="content"/>
        </w:behaviors>
        <w:guid w:val="{CF12E495-1BB0-4CA3-B396-CD93E574E7E9}"/>
      </w:docPartPr>
      <w:docPartBody>
        <w:p w:rsidR="00001F40" w:rsidRDefault="00001F40">
          <w:r>
            <w:rPr>
              <w:rStyle w:val="a3"/>
              <w:rFonts w:hint="eastAsia"/>
            </w:rPr>
            <w:t xml:space="preserve">　</w:t>
          </w:r>
        </w:p>
      </w:docPartBody>
    </w:docPart>
    <w:docPart>
      <w:docPartPr>
        <w:name w:val="AFAB9365B57541B8B5F078A6C2FD8AFB"/>
        <w:category>
          <w:name w:val="常规"/>
          <w:gallery w:val="placeholder"/>
        </w:category>
        <w:types>
          <w:type w:val="bbPlcHdr"/>
        </w:types>
        <w:behaviors>
          <w:behavior w:val="content"/>
        </w:behaviors>
        <w:guid w:val="{57CFACC3-D387-4CF6-81EF-45FD5A8832F1}"/>
      </w:docPartPr>
      <w:docPartBody>
        <w:p w:rsidR="00001F40" w:rsidRDefault="00001F40">
          <w:r>
            <w:rPr>
              <w:rStyle w:val="a3"/>
              <w:rFonts w:hint="eastAsia"/>
            </w:rPr>
            <w:t xml:space="preserve">　</w:t>
          </w:r>
        </w:p>
      </w:docPartBody>
    </w:docPart>
    <w:docPart>
      <w:docPartPr>
        <w:name w:val="E37EF5F8ED1D4C5C84ED4E73E2F0A94B"/>
        <w:category>
          <w:name w:val="常规"/>
          <w:gallery w:val="placeholder"/>
        </w:category>
        <w:types>
          <w:type w:val="bbPlcHdr"/>
        </w:types>
        <w:behaviors>
          <w:behavior w:val="content"/>
        </w:behaviors>
        <w:guid w:val="{0448417F-73CC-4732-B33E-A2AD44FD5FB9}"/>
      </w:docPartPr>
      <w:docPartBody>
        <w:p w:rsidR="00001F40" w:rsidRDefault="00001F40">
          <w:r>
            <w:rPr>
              <w:rStyle w:val="a3"/>
              <w:rFonts w:hint="eastAsia"/>
            </w:rPr>
            <w:t xml:space="preserve">　</w:t>
          </w:r>
        </w:p>
      </w:docPartBody>
    </w:docPart>
    <w:docPart>
      <w:docPartPr>
        <w:name w:val="57F7A0C70450418683358BC5156540B0"/>
        <w:category>
          <w:name w:val="常规"/>
          <w:gallery w:val="placeholder"/>
        </w:category>
        <w:types>
          <w:type w:val="bbPlcHdr"/>
        </w:types>
        <w:behaviors>
          <w:behavior w:val="content"/>
        </w:behaviors>
        <w:guid w:val="{FBFB6D81-FBC7-47D5-9565-9A868FDCB365}"/>
      </w:docPartPr>
      <w:docPartBody>
        <w:p w:rsidR="00001F40" w:rsidRDefault="00001F40">
          <w:r>
            <w:rPr>
              <w:rStyle w:val="a3"/>
              <w:rFonts w:hint="eastAsia"/>
            </w:rPr>
            <w:t xml:space="preserve">　</w:t>
          </w:r>
        </w:p>
      </w:docPartBody>
    </w:docPart>
    <w:docPart>
      <w:docPartPr>
        <w:name w:val="F03F793F8CF64A9DB51B5B8532C94310"/>
        <w:category>
          <w:name w:val="常规"/>
          <w:gallery w:val="placeholder"/>
        </w:category>
        <w:types>
          <w:type w:val="bbPlcHdr"/>
        </w:types>
        <w:behaviors>
          <w:behavior w:val="content"/>
        </w:behaviors>
        <w:guid w:val="{32724DD5-9951-421D-9F2B-D845CD1D99B4}"/>
      </w:docPartPr>
      <w:docPartBody>
        <w:p w:rsidR="00001F40" w:rsidRDefault="00001F40">
          <w:r>
            <w:rPr>
              <w:rStyle w:val="a3"/>
              <w:rFonts w:hint="eastAsia"/>
            </w:rPr>
            <w:t xml:space="preserve">　</w:t>
          </w:r>
        </w:p>
      </w:docPartBody>
    </w:docPart>
    <w:docPart>
      <w:docPartPr>
        <w:name w:val="0BA96B03235042C1ADB8059F4A532F9D"/>
        <w:category>
          <w:name w:val="常规"/>
          <w:gallery w:val="placeholder"/>
        </w:category>
        <w:types>
          <w:type w:val="bbPlcHdr"/>
        </w:types>
        <w:behaviors>
          <w:behavior w:val="content"/>
        </w:behaviors>
        <w:guid w:val="{9DE3D98D-D82C-487F-878C-F50BE0A08B27}"/>
      </w:docPartPr>
      <w:docPartBody>
        <w:p w:rsidR="00001F40" w:rsidRDefault="00001F40">
          <w:r>
            <w:rPr>
              <w:rStyle w:val="a3"/>
              <w:rFonts w:hint="eastAsia"/>
            </w:rPr>
            <w:t xml:space="preserve">　</w:t>
          </w:r>
        </w:p>
      </w:docPartBody>
    </w:docPart>
    <w:docPart>
      <w:docPartPr>
        <w:name w:val="6330C08F3B3042F59A0D2F31EA125BE5"/>
        <w:category>
          <w:name w:val="常规"/>
          <w:gallery w:val="placeholder"/>
        </w:category>
        <w:types>
          <w:type w:val="bbPlcHdr"/>
        </w:types>
        <w:behaviors>
          <w:behavior w:val="content"/>
        </w:behaviors>
        <w:guid w:val="{AF2F40E2-607F-4D55-A7B2-0D3AFF7B7F9E}"/>
      </w:docPartPr>
      <w:docPartBody>
        <w:p w:rsidR="00001F40" w:rsidRDefault="00001F40">
          <w:pPr>
            <w:pStyle w:val="6330C08F3B3042F59A0D2F31EA125BE5"/>
          </w:pPr>
          <w:r>
            <w:rPr>
              <w:rStyle w:val="a3"/>
              <w:rFonts w:hint="eastAsia"/>
              <w:color w:val="333399"/>
              <w:u w:val="single"/>
            </w:rPr>
            <w:t xml:space="preserve">　　　</w:t>
          </w:r>
        </w:p>
      </w:docPartBody>
    </w:docPart>
    <w:docPart>
      <w:docPartPr>
        <w:name w:val="A95DFAAFAB1D45A3940348CFB1A08D89"/>
        <w:category>
          <w:name w:val="常规"/>
          <w:gallery w:val="placeholder"/>
        </w:category>
        <w:types>
          <w:type w:val="bbPlcHdr"/>
        </w:types>
        <w:behaviors>
          <w:behavior w:val="content"/>
        </w:behaviors>
        <w:guid w:val="{D6A0705B-37B4-4CEA-BB24-DB802934A0B8}"/>
      </w:docPartPr>
      <w:docPartBody>
        <w:p w:rsidR="00001F40" w:rsidRDefault="00001F40">
          <w:pPr>
            <w:pStyle w:val="A95DFAAFAB1D45A3940348CFB1A08D89"/>
          </w:pPr>
          <w:r>
            <w:rPr>
              <w:rStyle w:val="a3"/>
              <w:rFonts w:hint="eastAsia"/>
            </w:rPr>
            <w:t>单击或点击此处输入文字。</w:t>
          </w:r>
        </w:p>
      </w:docPartBody>
    </w:docPart>
    <w:docPart>
      <w:docPartPr>
        <w:name w:val="304C43BCF33141239166530FE418699A"/>
        <w:category>
          <w:name w:val="常规"/>
          <w:gallery w:val="placeholder"/>
        </w:category>
        <w:types>
          <w:type w:val="bbPlcHdr"/>
        </w:types>
        <w:behaviors>
          <w:behavior w:val="content"/>
        </w:behaviors>
        <w:guid w:val="{3267AA7B-843B-497E-98C9-EC21DDB37047}"/>
      </w:docPartPr>
      <w:docPartBody>
        <w:p w:rsidR="004969CB" w:rsidRDefault="00720AFD" w:rsidP="00720AFD">
          <w:pPr>
            <w:pStyle w:val="304C43BCF33141239166530FE418699A"/>
          </w:pPr>
          <w:r w:rsidRPr="002524F4">
            <w:rPr>
              <w:rStyle w:val="a3"/>
              <w:rFonts w:hint="eastAsia"/>
              <w:color w:val="333399"/>
              <w:u w:val="single"/>
            </w:rPr>
            <w:t xml:space="preserve">　　　</w:t>
          </w:r>
        </w:p>
      </w:docPartBody>
    </w:docPart>
    <w:docPart>
      <w:docPartPr>
        <w:name w:val="7714A8A8CA9E4E48AE72ACF461BF3D2A"/>
        <w:category>
          <w:name w:val="常规"/>
          <w:gallery w:val="placeholder"/>
        </w:category>
        <w:types>
          <w:type w:val="bbPlcHdr"/>
        </w:types>
        <w:behaviors>
          <w:behavior w:val="content"/>
        </w:behaviors>
        <w:guid w:val="{16C056DF-61DE-41D7-90E8-82F151E17A69}"/>
      </w:docPartPr>
      <w:docPartBody>
        <w:p w:rsidR="008E78D3" w:rsidRDefault="003618D4">
          <w:r w:rsidRPr="000C6AE7">
            <w:rPr>
              <w:rStyle w:val="a3"/>
              <w:rFonts w:hint="eastAsia"/>
            </w:rPr>
            <w:t xml:space="preserve">　</w:t>
          </w:r>
        </w:p>
      </w:docPartBody>
    </w:docPart>
    <w:docPart>
      <w:docPartPr>
        <w:name w:val="3EE5F8C51AE94506A6CE3E5B833AC73C"/>
        <w:category>
          <w:name w:val="常规"/>
          <w:gallery w:val="placeholder"/>
        </w:category>
        <w:types>
          <w:type w:val="bbPlcHdr"/>
        </w:types>
        <w:behaviors>
          <w:behavior w:val="content"/>
        </w:behaviors>
        <w:guid w:val="{D008FC67-E338-4339-9B28-CD6C2C033E05}"/>
      </w:docPartPr>
      <w:docPartBody>
        <w:p w:rsidR="008E78D3" w:rsidRDefault="003618D4">
          <w:r w:rsidRPr="000C6AE7">
            <w:rPr>
              <w:rStyle w:val="a3"/>
              <w:rFonts w:hint="eastAsia"/>
            </w:rPr>
            <w:t xml:space="preserve">　</w:t>
          </w:r>
        </w:p>
      </w:docPartBody>
    </w:docPart>
    <w:docPart>
      <w:docPartPr>
        <w:name w:val="DEFE4EFAD2374586B6FE076F26C02972"/>
        <w:category>
          <w:name w:val="常规"/>
          <w:gallery w:val="placeholder"/>
        </w:category>
        <w:types>
          <w:type w:val="bbPlcHdr"/>
        </w:types>
        <w:behaviors>
          <w:behavior w:val="content"/>
        </w:behaviors>
        <w:guid w:val="{7F80C039-9FAD-4400-894A-34FF3221999C}"/>
      </w:docPartPr>
      <w:docPartBody>
        <w:p w:rsidR="008E78D3" w:rsidRDefault="003618D4">
          <w:r w:rsidRPr="000C6AE7">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FFFFFFFF" w:usb1="E9FFFFFF" w:usb2="0000003F" w:usb3="00000000" w:csb0="603F01FF" w:csb1="FFFF0000"/>
  </w:font>
  <w:font w:name="Helvetica-Narrow">
    <w:altName w:val="Segoe Print"/>
    <w:charset w:val="00"/>
    <w:family w:val="swiss"/>
    <w:pitch w:val="default"/>
    <w:sig w:usb0="00000000"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楷体_GB2312">
    <w:altName w:val="微软雅黑"/>
    <w:charset w:val="86"/>
    <w:family w:val="modern"/>
    <w:pitch w:val="default"/>
    <w:sig w:usb0="00000001" w:usb1="080E0000" w:usb2="00000000" w:usb3="00000000" w:csb0="00040000" w:csb1="00000000"/>
  </w:font>
  <w:font w:name="宋体-方正超大字符集">
    <w:altName w:val="宋体"/>
    <w:charset w:val="86"/>
    <w:family w:val="script"/>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E43"/>
    <w:rsid w:val="0000161E"/>
    <w:rsid w:val="00001F40"/>
    <w:rsid w:val="00002689"/>
    <w:rsid w:val="0000578B"/>
    <w:rsid w:val="00006480"/>
    <w:rsid w:val="00006B48"/>
    <w:rsid w:val="00011C18"/>
    <w:rsid w:val="00011E75"/>
    <w:rsid w:val="00012653"/>
    <w:rsid w:val="000126A0"/>
    <w:rsid w:val="00012A0F"/>
    <w:rsid w:val="00013B71"/>
    <w:rsid w:val="00020357"/>
    <w:rsid w:val="00020D37"/>
    <w:rsid w:val="00021BC4"/>
    <w:rsid w:val="000234EA"/>
    <w:rsid w:val="0002361B"/>
    <w:rsid w:val="000236A0"/>
    <w:rsid w:val="0002595C"/>
    <w:rsid w:val="0002605F"/>
    <w:rsid w:val="000305A3"/>
    <w:rsid w:val="00030812"/>
    <w:rsid w:val="00031EC1"/>
    <w:rsid w:val="00032504"/>
    <w:rsid w:val="00032ECB"/>
    <w:rsid w:val="000336AB"/>
    <w:rsid w:val="000353DC"/>
    <w:rsid w:val="0003608F"/>
    <w:rsid w:val="000373E9"/>
    <w:rsid w:val="000403D5"/>
    <w:rsid w:val="00040A6F"/>
    <w:rsid w:val="00041709"/>
    <w:rsid w:val="00044179"/>
    <w:rsid w:val="00044916"/>
    <w:rsid w:val="00045444"/>
    <w:rsid w:val="000554CD"/>
    <w:rsid w:val="00055561"/>
    <w:rsid w:val="0005740A"/>
    <w:rsid w:val="00061F65"/>
    <w:rsid w:val="000633F4"/>
    <w:rsid w:val="00063874"/>
    <w:rsid w:val="00063CC6"/>
    <w:rsid w:val="00065B5A"/>
    <w:rsid w:val="000667C2"/>
    <w:rsid w:val="00067DCC"/>
    <w:rsid w:val="00070ACB"/>
    <w:rsid w:val="00070BF0"/>
    <w:rsid w:val="00076D57"/>
    <w:rsid w:val="0007717F"/>
    <w:rsid w:val="00077530"/>
    <w:rsid w:val="00077D2E"/>
    <w:rsid w:val="000802FD"/>
    <w:rsid w:val="00081D6E"/>
    <w:rsid w:val="00082580"/>
    <w:rsid w:val="00083A50"/>
    <w:rsid w:val="00083B00"/>
    <w:rsid w:val="00083C63"/>
    <w:rsid w:val="00084E8F"/>
    <w:rsid w:val="00087193"/>
    <w:rsid w:val="00087F7B"/>
    <w:rsid w:val="0009029E"/>
    <w:rsid w:val="00090A6F"/>
    <w:rsid w:val="00091B0E"/>
    <w:rsid w:val="000921AF"/>
    <w:rsid w:val="00093BE5"/>
    <w:rsid w:val="000958C3"/>
    <w:rsid w:val="00096466"/>
    <w:rsid w:val="000A31F9"/>
    <w:rsid w:val="000A5A1A"/>
    <w:rsid w:val="000B0688"/>
    <w:rsid w:val="000B3464"/>
    <w:rsid w:val="000B5761"/>
    <w:rsid w:val="000B5C82"/>
    <w:rsid w:val="000C50BC"/>
    <w:rsid w:val="000C5E8F"/>
    <w:rsid w:val="000C5F2F"/>
    <w:rsid w:val="000C656D"/>
    <w:rsid w:val="000D0276"/>
    <w:rsid w:val="000D3E3A"/>
    <w:rsid w:val="000E18BB"/>
    <w:rsid w:val="000E3728"/>
    <w:rsid w:val="000E5940"/>
    <w:rsid w:val="000E7091"/>
    <w:rsid w:val="000E7B4D"/>
    <w:rsid w:val="000F147D"/>
    <w:rsid w:val="000F3B57"/>
    <w:rsid w:val="000F41A3"/>
    <w:rsid w:val="000F440D"/>
    <w:rsid w:val="000F7993"/>
    <w:rsid w:val="001002C0"/>
    <w:rsid w:val="00101C5F"/>
    <w:rsid w:val="00101EE7"/>
    <w:rsid w:val="00103415"/>
    <w:rsid w:val="00105693"/>
    <w:rsid w:val="00105B3C"/>
    <w:rsid w:val="00110AE1"/>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6DD"/>
    <w:rsid w:val="00142A6C"/>
    <w:rsid w:val="00142BBE"/>
    <w:rsid w:val="00143BEA"/>
    <w:rsid w:val="00144665"/>
    <w:rsid w:val="00151EE9"/>
    <w:rsid w:val="00152DC3"/>
    <w:rsid w:val="00152F0F"/>
    <w:rsid w:val="0015578A"/>
    <w:rsid w:val="00156761"/>
    <w:rsid w:val="00157128"/>
    <w:rsid w:val="00162B35"/>
    <w:rsid w:val="00167914"/>
    <w:rsid w:val="00167B4F"/>
    <w:rsid w:val="001705F9"/>
    <w:rsid w:val="00176497"/>
    <w:rsid w:val="001812E2"/>
    <w:rsid w:val="00183634"/>
    <w:rsid w:val="00184093"/>
    <w:rsid w:val="0018427A"/>
    <w:rsid w:val="00186ABA"/>
    <w:rsid w:val="00186BA5"/>
    <w:rsid w:val="00190BFB"/>
    <w:rsid w:val="00191577"/>
    <w:rsid w:val="00191DA7"/>
    <w:rsid w:val="00191ED7"/>
    <w:rsid w:val="00192056"/>
    <w:rsid w:val="001940A4"/>
    <w:rsid w:val="001967D6"/>
    <w:rsid w:val="00197019"/>
    <w:rsid w:val="00197942"/>
    <w:rsid w:val="001A2D80"/>
    <w:rsid w:val="001A3E54"/>
    <w:rsid w:val="001A4390"/>
    <w:rsid w:val="001A4BF1"/>
    <w:rsid w:val="001A57A7"/>
    <w:rsid w:val="001A5C0B"/>
    <w:rsid w:val="001A77D1"/>
    <w:rsid w:val="001A79B6"/>
    <w:rsid w:val="001B1217"/>
    <w:rsid w:val="001B2FBB"/>
    <w:rsid w:val="001B3DB4"/>
    <w:rsid w:val="001B40F8"/>
    <w:rsid w:val="001B64A1"/>
    <w:rsid w:val="001B7441"/>
    <w:rsid w:val="001B7C3F"/>
    <w:rsid w:val="001C18E2"/>
    <w:rsid w:val="001C2312"/>
    <w:rsid w:val="001D261F"/>
    <w:rsid w:val="001D2ED1"/>
    <w:rsid w:val="001E2A87"/>
    <w:rsid w:val="001E7AC2"/>
    <w:rsid w:val="001F792E"/>
    <w:rsid w:val="001F7AEB"/>
    <w:rsid w:val="00202BF5"/>
    <w:rsid w:val="00203E4B"/>
    <w:rsid w:val="002040F5"/>
    <w:rsid w:val="00207E70"/>
    <w:rsid w:val="002118F6"/>
    <w:rsid w:val="002157E5"/>
    <w:rsid w:val="002203AB"/>
    <w:rsid w:val="00222C1F"/>
    <w:rsid w:val="00223F84"/>
    <w:rsid w:val="002308B6"/>
    <w:rsid w:val="002318AF"/>
    <w:rsid w:val="00233273"/>
    <w:rsid w:val="00235A03"/>
    <w:rsid w:val="00235CE8"/>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56C01"/>
    <w:rsid w:val="00265478"/>
    <w:rsid w:val="00265777"/>
    <w:rsid w:val="0026700C"/>
    <w:rsid w:val="00267758"/>
    <w:rsid w:val="0027269C"/>
    <w:rsid w:val="00277A8A"/>
    <w:rsid w:val="002806A5"/>
    <w:rsid w:val="00282709"/>
    <w:rsid w:val="00291691"/>
    <w:rsid w:val="0029280B"/>
    <w:rsid w:val="002939B4"/>
    <w:rsid w:val="00295B2D"/>
    <w:rsid w:val="00296AA3"/>
    <w:rsid w:val="0029751F"/>
    <w:rsid w:val="002A01D2"/>
    <w:rsid w:val="002A133C"/>
    <w:rsid w:val="002A1B3D"/>
    <w:rsid w:val="002A3D43"/>
    <w:rsid w:val="002B0D5C"/>
    <w:rsid w:val="002B2E1D"/>
    <w:rsid w:val="002B7219"/>
    <w:rsid w:val="002C052B"/>
    <w:rsid w:val="002C1384"/>
    <w:rsid w:val="002C1FA8"/>
    <w:rsid w:val="002C4EDD"/>
    <w:rsid w:val="002C60AD"/>
    <w:rsid w:val="002C74B0"/>
    <w:rsid w:val="002C7F45"/>
    <w:rsid w:val="002D0DD9"/>
    <w:rsid w:val="002D1456"/>
    <w:rsid w:val="002D36DA"/>
    <w:rsid w:val="002D3F31"/>
    <w:rsid w:val="002D5902"/>
    <w:rsid w:val="002D6EFF"/>
    <w:rsid w:val="002D76CF"/>
    <w:rsid w:val="002D7E9D"/>
    <w:rsid w:val="002E52A1"/>
    <w:rsid w:val="002F2BCD"/>
    <w:rsid w:val="0030473E"/>
    <w:rsid w:val="003052E1"/>
    <w:rsid w:val="003076E0"/>
    <w:rsid w:val="003107C9"/>
    <w:rsid w:val="00311067"/>
    <w:rsid w:val="00313916"/>
    <w:rsid w:val="003145A5"/>
    <w:rsid w:val="003161CE"/>
    <w:rsid w:val="00321D6D"/>
    <w:rsid w:val="0032625F"/>
    <w:rsid w:val="003262C7"/>
    <w:rsid w:val="00326ECB"/>
    <w:rsid w:val="003309A1"/>
    <w:rsid w:val="003333AF"/>
    <w:rsid w:val="00335DE6"/>
    <w:rsid w:val="003371CD"/>
    <w:rsid w:val="00342477"/>
    <w:rsid w:val="00343D04"/>
    <w:rsid w:val="00343DEF"/>
    <w:rsid w:val="00344D91"/>
    <w:rsid w:val="003505A2"/>
    <w:rsid w:val="003527AA"/>
    <w:rsid w:val="00353AE0"/>
    <w:rsid w:val="00356A92"/>
    <w:rsid w:val="00357D61"/>
    <w:rsid w:val="003618D4"/>
    <w:rsid w:val="0037315D"/>
    <w:rsid w:val="00374D45"/>
    <w:rsid w:val="00377616"/>
    <w:rsid w:val="003804EA"/>
    <w:rsid w:val="00381BC0"/>
    <w:rsid w:val="00382F4F"/>
    <w:rsid w:val="00384E92"/>
    <w:rsid w:val="00386864"/>
    <w:rsid w:val="0039064D"/>
    <w:rsid w:val="003908FA"/>
    <w:rsid w:val="0039324D"/>
    <w:rsid w:val="00395528"/>
    <w:rsid w:val="003962B1"/>
    <w:rsid w:val="003967B0"/>
    <w:rsid w:val="003A2DE3"/>
    <w:rsid w:val="003A4370"/>
    <w:rsid w:val="003A5ECC"/>
    <w:rsid w:val="003A61DE"/>
    <w:rsid w:val="003A650C"/>
    <w:rsid w:val="003A738C"/>
    <w:rsid w:val="003B0FE4"/>
    <w:rsid w:val="003B21B6"/>
    <w:rsid w:val="003B2E3D"/>
    <w:rsid w:val="003B4A6B"/>
    <w:rsid w:val="003B4D40"/>
    <w:rsid w:val="003C0C12"/>
    <w:rsid w:val="003C1982"/>
    <w:rsid w:val="003C1EE8"/>
    <w:rsid w:val="003C4106"/>
    <w:rsid w:val="003C56E7"/>
    <w:rsid w:val="003D0725"/>
    <w:rsid w:val="003D3C5F"/>
    <w:rsid w:val="003D3FEC"/>
    <w:rsid w:val="003D5E62"/>
    <w:rsid w:val="003D7851"/>
    <w:rsid w:val="003D7CE7"/>
    <w:rsid w:val="003E10E0"/>
    <w:rsid w:val="003E169C"/>
    <w:rsid w:val="003E29F3"/>
    <w:rsid w:val="003E3750"/>
    <w:rsid w:val="003E7481"/>
    <w:rsid w:val="003F10C8"/>
    <w:rsid w:val="003F1975"/>
    <w:rsid w:val="003F3961"/>
    <w:rsid w:val="003F3A03"/>
    <w:rsid w:val="003F61C2"/>
    <w:rsid w:val="0040287B"/>
    <w:rsid w:val="004069C3"/>
    <w:rsid w:val="004073B3"/>
    <w:rsid w:val="00410006"/>
    <w:rsid w:val="004140D9"/>
    <w:rsid w:val="00414CEC"/>
    <w:rsid w:val="004158B7"/>
    <w:rsid w:val="00415A60"/>
    <w:rsid w:val="004223B5"/>
    <w:rsid w:val="00424A0C"/>
    <w:rsid w:val="00425135"/>
    <w:rsid w:val="0043080F"/>
    <w:rsid w:val="00432A1F"/>
    <w:rsid w:val="004336EF"/>
    <w:rsid w:val="0043488A"/>
    <w:rsid w:val="00440F19"/>
    <w:rsid w:val="0044105B"/>
    <w:rsid w:val="00442316"/>
    <w:rsid w:val="00442E13"/>
    <w:rsid w:val="0044341D"/>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748E5"/>
    <w:rsid w:val="004755DA"/>
    <w:rsid w:val="004808A5"/>
    <w:rsid w:val="00480CD1"/>
    <w:rsid w:val="0048763F"/>
    <w:rsid w:val="00491337"/>
    <w:rsid w:val="0049223A"/>
    <w:rsid w:val="00492496"/>
    <w:rsid w:val="00492A9F"/>
    <w:rsid w:val="00493BA3"/>
    <w:rsid w:val="00494271"/>
    <w:rsid w:val="004942F5"/>
    <w:rsid w:val="0049694C"/>
    <w:rsid w:val="004969CB"/>
    <w:rsid w:val="004A0313"/>
    <w:rsid w:val="004A20D7"/>
    <w:rsid w:val="004B03EC"/>
    <w:rsid w:val="004B2CA4"/>
    <w:rsid w:val="004B2FA4"/>
    <w:rsid w:val="004B3148"/>
    <w:rsid w:val="004B44B8"/>
    <w:rsid w:val="004B4CFF"/>
    <w:rsid w:val="004B54E9"/>
    <w:rsid w:val="004B59D6"/>
    <w:rsid w:val="004B6A92"/>
    <w:rsid w:val="004C0CD8"/>
    <w:rsid w:val="004C13E9"/>
    <w:rsid w:val="004C43A4"/>
    <w:rsid w:val="004C559B"/>
    <w:rsid w:val="004C7259"/>
    <w:rsid w:val="004C76CE"/>
    <w:rsid w:val="004C7821"/>
    <w:rsid w:val="004D13C4"/>
    <w:rsid w:val="004D1741"/>
    <w:rsid w:val="004D20EE"/>
    <w:rsid w:val="004D2666"/>
    <w:rsid w:val="004D2E52"/>
    <w:rsid w:val="004D5A7E"/>
    <w:rsid w:val="004D6AE4"/>
    <w:rsid w:val="004D7489"/>
    <w:rsid w:val="004D7840"/>
    <w:rsid w:val="004E04F7"/>
    <w:rsid w:val="004E10F6"/>
    <w:rsid w:val="004E19E9"/>
    <w:rsid w:val="004E3AF1"/>
    <w:rsid w:val="004E7288"/>
    <w:rsid w:val="004F009B"/>
    <w:rsid w:val="004F0706"/>
    <w:rsid w:val="004F207A"/>
    <w:rsid w:val="004F2904"/>
    <w:rsid w:val="004F6AED"/>
    <w:rsid w:val="004F7002"/>
    <w:rsid w:val="005027B4"/>
    <w:rsid w:val="005027F0"/>
    <w:rsid w:val="00504773"/>
    <w:rsid w:val="00506383"/>
    <w:rsid w:val="005068BC"/>
    <w:rsid w:val="00516D73"/>
    <w:rsid w:val="00520485"/>
    <w:rsid w:val="00522F6B"/>
    <w:rsid w:val="00523110"/>
    <w:rsid w:val="00524D62"/>
    <w:rsid w:val="00525721"/>
    <w:rsid w:val="00526766"/>
    <w:rsid w:val="005268E0"/>
    <w:rsid w:val="00527DB2"/>
    <w:rsid w:val="005313CD"/>
    <w:rsid w:val="00533650"/>
    <w:rsid w:val="00533F72"/>
    <w:rsid w:val="00536A57"/>
    <w:rsid w:val="00537979"/>
    <w:rsid w:val="0054155F"/>
    <w:rsid w:val="005422E3"/>
    <w:rsid w:val="00542A0E"/>
    <w:rsid w:val="0054615B"/>
    <w:rsid w:val="005472A5"/>
    <w:rsid w:val="00550C78"/>
    <w:rsid w:val="00550DEC"/>
    <w:rsid w:val="00551DFD"/>
    <w:rsid w:val="00552952"/>
    <w:rsid w:val="00556A44"/>
    <w:rsid w:val="00557403"/>
    <w:rsid w:val="0055746E"/>
    <w:rsid w:val="00560A87"/>
    <w:rsid w:val="00562685"/>
    <w:rsid w:val="00564CD3"/>
    <w:rsid w:val="0056541D"/>
    <w:rsid w:val="005654AC"/>
    <w:rsid w:val="00565DA6"/>
    <w:rsid w:val="005670C9"/>
    <w:rsid w:val="00567462"/>
    <w:rsid w:val="00567CB4"/>
    <w:rsid w:val="00567D9E"/>
    <w:rsid w:val="00567F61"/>
    <w:rsid w:val="00571479"/>
    <w:rsid w:val="005752A8"/>
    <w:rsid w:val="00575D97"/>
    <w:rsid w:val="00576019"/>
    <w:rsid w:val="005779AE"/>
    <w:rsid w:val="00581E8C"/>
    <w:rsid w:val="005821C1"/>
    <w:rsid w:val="005822A8"/>
    <w:rsid w:val="00582E12"/>
    <w:rsid w:val="005856BC"/>
    <w:rsid w:val="0058588D"/>
    <w:rsid w:val="0059545D"/>
    <w:rsid w:val="00595E0C"/>
    <w:rsid w:val="005A192B"/>
    <w:rsid w:val="005A2A2E"/>
    <w:rsid w:val="005A2E6F"/>
    <w:rsid w:val="005A455D"/>
    <w:rsid w:val="005A6D6C"/>
    <w:rsid w:val="005A6ED8"/>
    <w:rsid w:val="005A721D"/>
    <w:rsid w:val="005B2C3C"/>
    <w:rsid w:val="005B3CB6"/>
    <w:rsid w:val="005B5439"/>
    <w:rsid w:val="005B6E28"/>
    <w:rsid w:val="005C015A"/>
    <w:rsid w:val="005C028E"/>
    <w:rsid w:val="005C2D90"/>
    <w:rsid w:val="005C4B09"/>
    <w:rsid w:val="005C5DA2"/>
    <w:rsid w:val="005D64A0"/>
    <w:rsid w:val="005D6837"/>
    <w:rsid w:val="005D6C4C"/>
    <w:rsid w:val="005E2D1E"/>
    <w:rsid w:val="005E3B88"/>
    <w:rsid w:val="005E4703"/>
    <w:rsid w:val="005E61F9"/>
    <w:rsid w:val="005E7CE3"/>
    <w:rsid w:val="005F0430"/>
    <w:rsid w:val="005F1E03"/>
    <w:rsid w:val="005F3BA5"/>
    <w:rsid w:val="005F589F"/>
    <w:rsid w:val="006008DC"/>
    <w:rsid w:val="00601FDC"/>
    <w:rsid w:val="0060301F"/>
    <w:rsid w:val="006039F3"/>
    <w:rsid w:val="006126EC"/>
    <w:rsid w:val="006153B0"/>
    <w:rsid w:val="00617EEA"/>
    <w:rsid w:val="0062450B"/>
    <w:rsid w:val="00624558"/>
    <w:rsid w:val="00624AF3"/>
    <w:rsid w:val="00626F2D"/>
    <w:rsid w:val="00626F33"/>
    <w:rsid w:val="006271F1"/>
    <w:rsid w:val="00627316"/>
    <w:rsid w:val="00632279"/>
    <w:rsid w:val="00640DE1"/>
    <w:rsid w:val="0064157C"/>
    <w:rsid w:val="006416B8"/>
    <w:rsid w:val="006433CC"/>
    <w:rsid w:val="00643FA8"/>
    <w:rsid w:val="0064473F"/>
    <w:rsid w:val="00644CC2"/>
    <w:rsid w:val="00653689"/>
    <w:rsid w:val="00653904"/>
    <w:rsid w:val="00653AC9"/>
    <w:rsid w:val="00654ABD"/>
    <w:rsid w:val="0065606C"/>
    <w:rsid w:val="00664E7A"/>
    <w:rsid w:val="006679B5"/>
    <w:rsid w:val="00667ED8"/>
    <w:rsid w:val="0067183E"/>
    <w:rsid w:val="00671DB1"/>
    <w:rsid w:val="00672440"/>
    <w:rsid w:val="00674B33"/>
    <w:rsid w:val="0067564A"/>
    <w:rsid w:val="00675684"/>
    <w:rsid w:val="00676119"/>
    <w:rsid w:val="0068287F"/>
    <w:rsid w:val="006904E0"/>
    <w:rsid w:val="0069152F"/>
    <w:rsid w:val="006946EC"/>
    <w:rsid w:val="006954F5"/>
    <w:rsid w:val="00696D0B"/>
    <w:rsid w:val="006A05A7"/>
    <w:rsid w:val="006A20D1"/>
    <w:rsid w:val="006A2991"/>
    <w:rsid w:val="006A2B21"/>
    <w:rsid w:val="006A6E01"/>
    <w:rsid w:val="006A7E2E"/>
    <w:rsid w:val="006B1968"/>
    <w:rsid w:val="006B25FE"/>
    <w:rsid w:val="006B2F1C"/>
    <w:rsid w:val="006B2F7C"/>
    <w:rsid w:val="006B428F"/>
    <w:rsid w:val="006B5B2D"/>
    <w:rsid w:val="006B5E23"/>
    <w:rsid w:val="006B626E"/>
    <w:rsid w:val="006B6737"/>
    <w:rsid w:val="006B6DE4"/>
    <w:rsid w:val="006B7983"/>
    <w:rsid w:val="006C0371"/>
    <w:rsid w:val="006C425B"/>
    <w:rsid w:val="006C4D76"/>
    <w:rsid w:val="006C4F96"/>
    <w:rsid w:val="006C5037"/>
    <w:rsid w:val="006C59BD"/>
    <w:rsid w:val="006C7EDF"/>
    <w:rsid w:val="006D0081"/>
    <w:rsid w:val="006D0624"/>
    <w:rsid w:val="006D0751"/>
    <w:rsid w:val="006D1682"/>
    <w:rsid w:val="006D2E8E"/>
    <w:rsid w:val="006D61A3"/>
    <w:rsid w:val="006D6795"/>
    <w:rsid w:val="006D7649"/>
    <w:rsid w:val="006E290F"/>
    <w:rsid w:val="006E5795"/>
    <w:rsid w:val="006E6B2E"/>
    <w:rsid w:val="006E7EC9"/>
    <w:rsid w:val="006F09DE"/>
    <w:rsid w:val="006F13FA"/>
    <w:rsid w:val="006F39D6"/>
    <w:rsid w:val="006F4FF6"/>
    <w:rsid w:val="00702CE8"/>
    <w:rsid w:val="00703C57"/>
    <w:rsid w:val="00703DD7"/>
    <w:rsid w:val="00705C49"/>
    <w:rsid w:val="00710A14"/>
    <w:rsid w:val="00711502"/>
    <w:rsid w:val="00712509"/>
    <w:rsid w:val="0071327A"/>
    <w:rsid w:val="00720AFD"/>
    <w:rsid w:val="00731723"/>
    <w:rsid w:val="0073275D"/>
    <w:rsid w:val="00732BBD"/>
    <w:rsid w:val="00734566"/>
    <w:rsid w:val="007355F3"/>
    <w:rsid w:val="00737F41"/>
    <w:rsid w:val="00740175"/>
    <w:rsid w:val="00742B8F"/>
    <w:rsid w:val="00742C82"/>
    <w:rsid w:val="007433AC"/>
    <w:rsid w:val="00743F53"/>
    <w:rsid w:val="0074600A"/>
    <w:rsid w:val="007534BD"/>
    <w:rsid w:val="00753789"/>
    <w:rsid w:val="0075396A"/>
    <w:rsid w:val="007571F3"/>
    <w:rsid w:val="00764A07"/>
    <w:rsid w:val="00765FF6"/>
    <w:rsid w:val="00766BF6"/>
    <w:rsid w:val="007675EA"/>
    <w:rsid w:val="007729B5"/>
    <w:rsid w:val="00772AF0"/>
    <w:rsid w:val="0077360B"/>
    <w:rsid w:val="0077366C"/>
    <w:rsid w:val="007737FB"/>
    <w:rsid w:val="00774E2F"/>
    <w:rsid w:val="00775421"/>
    <w:rsid w:val="00776D56"/>
    <w:rsid w:val="00780475"/>
    <w:rsid w:val="00781FC8"/>
    <w:rsid w:val="00782201"/>
    <w:rsid w:val="00782C46"/>
    <w:rsid w:val="00784D7A"/>
    <w:rsid w:val="0079002E"/>
    <w:rsid w:val="00790D3F"/>
    <w:rsid w:val="007945B6"/>
    <w:rsid w:val="00795C0E"/>
    <w:rsid w:val="00796406"/>
    <w:rsid w:val="007A0A96"/>
    <w:rsid w:val="007B135F"/>
    <w:rsid w:val="007B1B69"/>
    <w:rsid w:val="007B4384"/>
    <w:rsid w:val="007B5F58"/>
    <w:rsid w:val="007C0882"/>
    <w:rsid w:val="007C1043"/>
    <w:rsid w:val="007C4BE1"/>
    <w:rsid w:val="007C57B7"/>
    <w:rsid w:val="007D419F"/>
    <w:rsid w:val="007D6F29"/>
    <w:rsid w:val="007D735A"/>
    <w:rsid w:val="007E3A9C"/>
    <w:rsid w:val="007F0584"/>
    <w:rsid w:val="007F11B8"/>
    <w:rsid w:val="007F3ADC"/>
    <w:rsid w:val="007F3EEA"/>
    <w:rsid w:val="007F6D36"/>
    <w:rsid w:val="007F776F"/>
    <w:rsid w:val="00801A03"/>
    <w:rsid w:val="00802845"/>
    <w:rsid w:val="00802CB7"/>
    <w:rsid w:val="00803299"/>
    <w:rsid w:val="00804F6D"/>
    <w:rsid w:val="00805068"/>
    <w:rsid w:val="00811EE1"/>
    <w:rsid w:val="00815B2E"/>
    <w:rsid w:val="008165EA"/>
    <w:rsid w:val="00816907"/>
    <w:rsid w:val="00816CF0"/>
    <w:rsid w:val="0081790A"/>
    <w:rsid w:val="008201BA"/>
    <w:rsid w:val="00821CF3"/>
    <w:rsid w:val="00822E96"/>
    <w:rsid w:val="00825D16"/>
    <w:rsid w:val="0083006E"/>
    <w:rsid w:val="008306E9"/>
    <w:rsid w:val="00830A74"/>
    <w:rsid w:val="00830E37"/>
    <w:rsid w:val="008339EF"/>
    <w:rsid w:val="008348F3"/>
    <w:rsid w:val="00836E4C"/>
    <w:rsid w:val="00837A15"/>
    <w:rsid w:val="00841C07"/>
    <w:rsid w:val="0084242F"/>
    <w:rsid w:val="00842CC1"/>
    <w:rsid w:val="00842FF3"/>
    <w:rsid w:val="0084344B"/>
    <w:rsid w:val="00846C3B"/>
    <w:rsid w:val="00850ABF"/>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1373"/>
    <w:rsid w:val="0089283A"/>
    <w:rsid w:val="0089696C"/>
    <w:rsid w:val="00897A46"/>
    <w:rsid w:val="008A12DA"/>
    <w:rsid w:val="008A5DB2"/>
    <w:rsid w:val="008B1A1A"/>
    <w:rsid w:val="008B1FF2"/>
    <w:rsid w:val="008B231B"/>
    <w:rsid w:val="008B4BFE"/>
    <w:rsid w:val="008C255E"/>
    <w:rsid w:val="008C6BFC"/>
    <w:rsid w:val="008D091F"/>
    <w:rsid w:val="008D4FC7"/>
    <w:rsid w:val="008E0178"/>
    <w:rsid w:val="008E0994"/>
    <w:rsid w:val="008E42C5"/>
    <w:rsid w:val="008E78D3"/>
    <w:rsid w:val="008F0B49"/>
    <w:rsid w:val="008F16CD"/>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06CA"/>
    <w:rsid w:val="00941728"/>
    <w:rsid w:val="009422D4"/>
    <w:rsid w:val="009457DA"/>
    <w:rsid w:val="00945BA6"/>
    <w:rsid w:val="0095041C"/>
    <w:rsid w:val="00952EAE"/>
    <w:rsid w:val="009535A7"/>
    <w:rsid w:val="00953A46"/>
    <w:rsid w:val="0095529C"/>
    <w:rsid w:val="0096111A"/>
    <w:rsid w:val="00967C28"/>
    <w:rsid w:val="00974A56"/>
    <w:rsid w:val="00976D34"/>
    <w:rsid w:val="009773C2"/>
    <w:rsid w:val="009779C3"/>
    <w:rsid w:val="00977D39"/>
    <w:rsid w:val="009821AB"/>
    <w:rsid w:val="009862E9"/>
    <w:rsid w:val="00986A33"/>
    <w:rsid w:val="00991F79"/>
    <w:rsid w:val="0099362A"/>
    <w:rsid w:val="00995F52"/>
    <w:rsid w:val="009966D6"/>
    <w:rsid w:val="00996906"/>
    <w:rsid w:val="00997435"/>
    <w:rsid w:val="009A550B"/>
    <w:rsid w:val="009A58AB"/>
    <w:rsid w:val="009A5B98"/>
    <w:rsid w:val="009A67AF"/>
    <w:rsid w:val="009A6C69"/>
    <w:rsid w:val="009A6CCE"/>
    <w:rsid w:val="009B293C"/>
    <w:rsid w:val="009B3A1B"/>
    <w:rsid w:val="009B472A"/>
    <w:rsid w:val="009B4FB0"/>
    <w:rsid w:val="009C0F45"/>
    <w:rsid w:val="009C2F06"/>
    <w:rsid w:val="009C64EC"/>
    <w:rsid w:val="009D05C1"/>
    <w:rsid w:val="009D15B0"/>
    <w:rsid w:val="009D3FDD"/>
    <w:rsid w:val="009D6F4A"/>
    <w:rsid w:val="009D7FD4"/>
    <w:rsid w:val="009E0E59"/>
    <w:rsid w:val="009E0F04"/>
    <w:rsid w:val="009E3402"/>
    <w:rsid w:val="009E3473"/>
    <w:rsid w:val="009E4101"/>
    <w:rsid w:val="009E4398"/>
    <w:rsid w:val="009E49FB"/>
    <w:rsid w:val="009E5DAB"/>
    <w:rsid w:val="009F07FF"/>
    <w:rsid w:val="009F0978"/>
    <w:rsid w:val="009F367F"/>
    <w:rsid w:val="009F5450"/>
    <w:rsid w:val="009F7222"/>
    <w:rsid w:val="00A01D8D"/>
    <w:rsid w:val="00A02BBC"/>
    <w:rsid w:val="00A02ED9"/>
    <w:rsid w:val="00A044B5"/>
    <w:rsid w:val="00A04892"/>
    <w:rsid w:val="00A04BB1"/>
    <w:rsid w:val="00A057BC"/>
    <w:rsid w:val="00A07390"/>
    <w:rsid w:val="00A0798E"/>
    <w:rsid w:val="00A10C4B"/>
    <w:rsid w:val="00A13335"/>
    <w:rsid w:val="00A15424"/>
    <w:rsid w:val="00A15BB3"/>
    <w:rsid w:val="00A24107"/>
    <w:rsid w:val="00A24A10"/>
    <w:rsid w:val="00A262B8"/>
    <w:rsid w:val="00A270B9"/>
    <w:rsid w:val="00A27792"/>
    <w:rsid w:val="00A30A00"/>
    <w:rsid w:val="00A32526"/>
    <w:rsid w:val="00A37AF9"/>
    <w:rsid w:val="00A41AB8"/>
    <w:rsid w:val="00A423C8"/>
    <w:rsid w:val="00A42B52"/>
    <w:rsid w:val="00A52BC4"/>
    <w:rsid w:val="00A5314E"/>
    <w:rsid w:val="00A54F3D"/>
    <w:rsid w:val="00A653BB"/>
    <w:rsid w:val="00A65574"/>
    <w:rsid w:val="00A677A4"/>
    <w:rsid w:val="00A70728"/>
    <w:rsid w:val="00A749E3"/>
    <w:rsid w:val="00A74CBD"/>
    <w:rsid w:val="00A75E22"/>
    <w:rsid w:val="00A76206"/>
    <w:rsid w:val="00A80295"/>
    <w:rsid w:val="00A80F35"/>
    <w:rsid w:val="00A83E9B"/>
    <w:rsid w:val="00A85F41"/>
    <w:rsid w:val="00A85F54"/>
    <w:rsid w:val="00A93100"/>
    <w:rsid w:val="00A93989"/>
    <w:rsid w:val="00A97E2B"/>
    <w:rsid w:val="00AA1E6B"/>
    <w:rsid w:val="00AA2031"/>
    <w:rsid w:val="00AA2955"/>
    <w:rsid w:val="00AB3FDB"/>
    <w:rsid w:val="00AB431D"/>
    <w:rsid w:val="00AB49FC"/>
    <w:rsid w:val="00AB4F81"/>
    <w:rsid w:val="00AB7B8D"/>
    <w:rsid w:val="00AB7DCC"/>
    <w:rsid w:val="00AC3C53"/>
    <w:rsid w:val="00AC5F56"/>
    <w:rsid w:val="00AC65C2"/>
    <w:rsid w:val="00AC7870"/>
    <w:rsid w:val="00AD55AC"/>
    <w:rsid w:val="00AD57A4"/>
    <w:rsid w:val="00AE0032"/>
    <w:rsid w:val="00AE09D4"/>
    <w:rsid w:val="00AE29CD"/>
    <w:rsid w:val="00AE33B7"/>
    <w:rsid w:val="00AE4374"/>
    <w:rsid w:val="00AE47A4"/>
    <w:rsid w:val="00AE65CF"/>
    <w:rsid w:val="00AF2026"/>
    <w:rsid w:val="00AF2317"/>
    <w:rsid w:val="00AF2C0F"/>
    <w:rsid w:val="00AF3746"/>
    <w:rsid w:val="00AF4E8C"/>
    <w:rsid w:val="00AF514D"/>
    <w:rsid w:val="00AF7CDE"/>
    <w:rsid w:val="00B00E2E"/>
    <w:rsid w:val="00B018BE"/>
    <w:rsid w:val="00B02D4F"/>
    <w:rsid w:val="00B0308E"/>
    <w:rsid w:val="00B0508A"/>
    <w:rsid w:val="00B0575F"/>
    <w:rsid w:val="00B10F3E"/>
    <w:rsid w:val="00B116E7"/>
    <w:rsid w:val="00B21CCF"/>
    <w:rsid w:val="00B235ED"/>
    <w:rsid w:val="00B24F71"/>
    <w:rsid w:val="00B251A2"/>
    <w:rsid w:val="00B25A6D"/>
    <w:rsid w:val="00B2605C"/>
    <w:rsid w:val="00B269B5"/>
    <w:rsid w:val="00B30435"/>
    <w:rsid w:val="00B314C5"/>
    <w:rsid w:val="00B331CF"/>
    <w:rsid w:val="00B355DA"/>
    <w:rsid w:val="00B35B8F"/>
    <w:rsid w:val="00B421E5"/>
    <w:rsid w:val="00B426EF"/>
    <w:rsid w:val="00B42EF5"/>
    <w:rsid w:val="00B43D29"/>
    <w:rsid w:val="00B4425C"/>
    <w:rsid w:val="00B474C7"/>
    <w:rsid w:val="00B541D3"/>
    <w:rsid w:val="00B54516"/>
    <w:rsid w:val="00B56E85"/>
    <w:rsid w:val="00B57015"/>
    <w:rsid w:val="00B627D0"/>
    <w:rsid w:val="00B62872"/>
    <w:rsid w:val="00B64214"/>
    <w:rsid w:val="00B64A90"/>
    <w:rsid w:val="00B657AC"/>
    <w:rsid w:val="00B703D9"/>
    <w:rsid w:val="00B705F1"/>
    <w:rsid w:val="00B71517"/>
    <w:rsid w:val="00B719E8"/>
    <w:rsid w:val="00B72BF0"/>
    <w:rsid w:val="00B730A9"/>
    <w:rsid w:val="00B75B52"/>
    <w:rsid w:val="00B80537"/>
    <w:rsid w:val="00B81785"/>
    <w:rsid w:val="00B843E3"/>
    <w:rsid w:val="00B84645"/>
    <w:rsid w:val="00B85C61"/>
    <w:rsid w:val="00B917D9"/>
    <w:rsid w:val="00B966FB"/>
    <w:rsid w:val="00BA1623"/>
    <w:rsid w:val="00BA3F3A"/>
    <w:rsid w:val="00BA45EF"/>
    <w:rsid w:val="00BA4FBE"/>
    <w:rsid w:val="00BB2FE6"/>
    <w:rsid w:val="00BB64AF"/>
    <w:rsid w:val="00BC175A"/>
    <w:rsid w:val="00BC2079"/>
    <w:rsid w:val="00BC285D"/>
    <w:rsid w:val="00BC37E4"/>
    <w:rsid w:val="00BC44A2"/>
    <w:rsid w:val="00BC6582"/>
    <w:rsid w:val="00BD038E"/>
    <w:rsid w:val="00BD1760"/>
    <w:rsid w:val="00BD272F"/>
    <w:rsid w:val="00BE0542"/>
    <w:rsid w:val="00BE5E61"/>
    <w:rsid w:val="00BF278F"/>
    <w:rsid w:val="00BF4D3D"/>
    <w:rsid w:val="00BF5B4E"/>
    <w:rsid w:val="00BF5D15"/>
    <w:rsid w:val="00BF7208"/>
    <w:rsid w:val="00C003A4"/>
    <w:rsid w:val="00C054C7"/>
    <w:rsid w:val="00C0767E"/>
    <w:rsid w:val="00C078B0"/>
    <w:rsid w:val="00C100A3"/>
    <w:rsid w:val="00C101D1"/>
    <w:rsid w:val="00C15DC5"/>
    <w:rsid w:val="00C16784"/>
    <w:rsid w:val="00C16A2C"/>
    <w:rsid w:val="00C20CD3"/>
    <w:rsid w:val="00C23E2C"/>
    <w:rsid w:val="00C23EC6"/>
    <w:rsid w:val="00C2637F"/>
    <w:rsid w:val="00C3021A"/>
    <w:rsid w:val="00C307D6"/>
    <w:rsid w:val="00C30B4B"/>
    <w:rsid w:val="00C31799"/>
    <w:rsid w:val="00C3290A"/>
    <w:rsid w:val="00C36099"/>
    <w:rsid w:val="00C360F6"/>
    <w:rsid w:val="00C36EEA"/>
    <w:rsid w:val="00C371D5"/>
    <w:rsid w:val="00C41406"/>
    <w:rsid w:val="00C418B6"/>
    <w:rsid w:val="00C43F05"/>
    <w:rsid w:val="00C4655D"/>
    <w:rsid w:val="00C508E4"/>
    <w:rsid w:val="00C52C02"/>
    <w:rsid w:val="00C53EF3"/>
    <w:rsid w:val="00C5468E"/>
    <w:rsid w:val="00C54E4F"/>
    <w:rsid w:val="00C62834"/>
    <w:rsid w:val="00C63576"/>
    <w:rsid w:val="00C63BD2"/>
    <w:rsid w:val="00C63E3B"/>
    <w:rsid w:val="00C64B4D"/>
    <w:rsid w:val="00C653A2"/>
    <w:rsid w:val="00C66ECB"/>
    <w:rsid w:val="00C70C3B"/>
    <w:rsid w:val="00C746FA"/>
    <w:rsid w:val="00C76429"/>
    <w:rsid w:val="00C82982"/>
    <w:rsid w:val="00C84339"/>
    <w:rsid w:val="00C846DB"/>
    <w:rsid w:val="00C86AAC"/>
    <w:rsid w:val="00C87130"/>
    <w:rsid w:val="00C953FB"/>
    <w:rsid w:val="00C97345"/>
    <w:rsid w:val="00CA08D7"/>
    <w:rsid w:val="00CA2544"/>
    <w:rsid w:val="00CA2B37"/>
    <w:rsid w:val="00CA3008"/>
    <w:rsid w:val="00CB0F42"/>
    <w:rsid w:val="00CB3D3E"/>
    <w:rsid w:val="00CB55CF"/>
    <w:rsid w:val="00CB5A04"/>
    <w:rsid w:val="00CC1CBA"/>
    <w:rsid w:val="00CC2B0C"/>
    <w:rsid w:val="00CC4507"/>
    <w:rsid w:val="00CC4686"/>
    <w:rsid w:val="00CC71B4"/>
    <w:rsid w:val="00CD1620"/>
    <w:rsid w:val="00CD368A"/>
    <w:rsid w:val="00CD4579"/>
    <w:rsid w:val="00CD477E"/>
    <w:rsid w:val="00CD6909"/>
    <w:rsid w:val="00CE0424"/>
    <w:rsid w:val="00CE1EAA"/>
    <w:rsid w:val="00CE47FD"/>
    <w:rsid w:val="00CE4FC8"/>
    <w:rsid w:val="00CE6A40"/>
    <w:rsid w:val="00CE6C5B"/>
    <w:rsid w:val="00CF1B4D"/>
    <w:rsid w:val="00CF3CEB"/>
    <w:rsid w:val="00CF5F3A"/>
    <w:rsid w:val="00D00B95"/>
    <w:rsid w:val="00D0472A"/>
    <w:rsid w:val="00D049E9"/>
    <w:rsid w:val="00D05F1A"/>
    <w:rsid w:val="00D13563"/>
    <w:rsid w:val="00D13C3D"/>
    <w:rsid w:val="00D162E1"/>
    <w:rsid w:val="00D177F3"/>
    <w:rsid w:val="00D21CC4"/>
    <w:rsid w:val="00D22C1E"/>
    <w:rsid w:val="00D27E80"/>
    <w:rsid w:val="00D31746"/>
    <w:rsid w:val="00D323FD"/>
    <w:rsid w:val="00D3384A"/>
    <w:rsid w:val="00D346A9"/>
    <w:rsid w:val="00D347F3"/>
    <w:rsid w:val="00D36009"/>
    <w:rsid w:val="00D40381"/>
    <w:rsid w:val="00D40765"/>
    <w:rsid w:val="00D411E6"/>
    <w:rsid w:val="00D44153"/>
    <w:rsid w:val="00D443FF"/>
    <w:rsid w:val="00D46FDF"/>
    <w:rsid w:val="00D514A5"/>
    <w:rsid w:val="00D52307"/>
    <w:rsid w:val="00D57F45"/>
    <w:rsid w:val="00D658E6"/>
    <w:rsid w:val="00D668BC"/>
    <w:rsid w:val="00D679CB"/>
    <w:rsid w:val="00D67C1C"/>
    <w:rsid w:val="00D7004A"/>
    <w:rsid w:val="00D70462"/>
    <w:rsid w:val="00D725E7"/>
    <w:rsid w:val="00D727F0"/>
    <w:rsid w:val="00D749EE"/>
    <w:rsid w:val="00D74C05"/>
    <w:rsid w:val="00D75C3F"/>
    <w:rsid w:val="00D76320"/>
    <w:rsid w:val="00D77C39"/>
    <w:rsid w:val="00D81DF1"/>
    <w:rsid w:val="00D8279D"/>
    <w:rsid w:val="00D82E7A"/>
    <w:rsid w:val="00D8504A"/>
    <w:rsid w:val="00D866A6"/>
    <w:rsid w:val="00D87B29"/>
    <w:rsid w:val="00D94305"/>
    <w:rsid w:val="00D945A7"/>
    <w:rsid w:val="00D9649C"/>
    <w:rsid w:val="00DA16AE"/>
    <w:rsid w:val="00DA6EC7"/>
    <w:rsid w:val="00DA7FA8"/>
    <w:rsid w:val="00DB03AF"/>
    <w:rsid w:val="00DB1758"/>
    <w:rsid w:val="00DB2FA7"/>
    <w:rsid w:val="00DC08D5"/>
    <w:rsid w:val="00DC1EB4"/>
    <w:rsid w:val="00DC1FE5"/>
    <w:rsid w:val="00DC5A17"/>
    <w:rsid w:val="00DC639E"/>
    <w:rsid w:val="00DC7D1C"/>
    <w:rsid w:val="00DD0A6A"/>
    <w:rsid w:val="00DD4CDB"/>
    <w:rsid w:val="00DD58AC"/>
    <w:rsid w:val="00DD6A35"/>
    <w:rsid w:val="00DD6FDE"/>
    <w:rsid w:val="00DD7C5E"/>
    <w:rsid w:val="00DE68D4"/>
    <w:rsid w:val="00DE7148"/>
    <w:rsid w:val="00DF0AA5"/>
    <w:rsid w:val="00DF5F98"/>
    <w:rsid w:val="00DF64A7"/>
    <w:rsid w:val="00DF6DB3"/>
    <w:rsid w:val="00DF7366"/>
    <w:rsid w:val="00E00C93"/>
    <w:rsid w:val="00E02EBD"/>
    <w:rsid w:val="00E0415A"/>
    <w:rsid w:val="00E11CBA"/>
    <w:rsid w:val="00E1473C"/>
    <w:rsid w:val="00E1571C"/>
    <w:rsid w:val="00E15924"/>
    <w:rsid w:val="00E17B79"/>
    <w:rsid w:val="00E22970"/>
    <w:rsid w:val="00E22EA6"/>
    <w:rsid w:val="00E25603"/>
    <w:rsid w:val="00E275B7"/>
    <w:rsid w:val="00E30789"/>
    <w:rsid w:val="00E3194B"/>
    <w:rsid w:val="00E33C52"/>
    <w:rsid w:val="00E33FB8"/>
    <w:rsid w:val="00E35136"/>
    <w:rsid w:val="00E4054F"/>
    <w:rsid w:val="00E40A31"/>
    <w:rsid w:val="00E42BE9"/>
    <w:rsid w:val="00E45DB2"/>
    <w:rsid w:val="00E45E79"/>
    <w:rsid w:val="00E46646"/>
    <w:rsid w:val="00E46EFE"/>
    <w:rsid w:val="00E50E43"/>
    <w:rsid w:val="00E525E5"/>
    <w:rsid w:val="00E533AE"/>
    <w:rsid w:val="00E6177C"/>
    <w:rsid w:val="00E61C6A"/>
    <w:rsid w:val="00E66266"/>
    <w:rsid w:val="00E71DB2"/>
    <w:rsid w:val="00E750F1"/>
    <w:rsid w:val="00E80852"/>
    <w:rsid w:val="00E822A7"/>
    <w:rsid w:val="00E83CCB"/>
    <w:rsid w:val="00E86DC6"/>
    <w:rsid w:val="00E87146"/>
    <w:rsid w:val="00E91C6E"/>
    <w:rsid w:val="00E928CB"/>
    <w:rsid w:val="00E93248"/>
    <w:rsid w:val="00E96494"/>
    <w:rsid w:val="00E9726D"/>
    <w:rsid w:val="00EA35D2"/>
    <w:rsid w:val="00EA3BC2"/>
    <w:rsid w:val="00EA4000"/>
    <w:rsid w:val="00EA4F59"/>
    <w:rsid w:val="00EB0325"/>
    <w:rsid w:val="00EB03F0"/>
    <w:rsid w:val="00EB07C7"/>
    <w:rsid w:val="00EB271D"/>
    <w:rsid w:val="00EB3C2E"/>
    <w:rsid w:val="00EC07FA"/>
    <w:rsid w:val="00EC152B"/>
    <w:rsid w:val="00EC7F75"/>
    <w:rsid w:val="00ED1BD9"/>
    <w:rsid w:val="00ED27AA"/>
    <w:rsid w:val="00ED4CA9"/>
    <w:rsid w:val="00EE14AE"/>
    <w:rsid w:val="00EE425E"/>
    <w:rsid w:val="00EE58C6"/>
    <w:rsid w:val="00EF2A21"/>
    <w:rsid w:val="00EF40AB"/>
    <w:rsid w:val="00EF5435"/>
    <w:rsid w:val="00EF5A56"/>
    <w:rsid w:val="00EF6749"/>
    <w:rsid w:val="00F002E1"/>
    <w:rsid w:val="00F00B5C"/>
    <w:rsid w:val="00F03828"/>
    <w:rsid w:val="00F04B76"/>
    <w:rsid w:val="00F06716"/>
    <w:rsid w:val="00F0728E"/>
    <w:rsid w:val="00F1025B"/>
    <w:rsid w:val="00F104E1"/>
    <w:rsid w:val="00F11BD4"/>
    <w:rsid w:val="00F12194"/>
    <w:rsid w:val="00F127D0"/>
    <w:rsid w:val="00F15795"/>
    <w:rsid w:val="00F1774F"/>
    <w:rsid w:val="00F23E66"/>
    <w:rsid w:val="00F24689"/>
    <w:rsid w:val="00F25976"/>
    <w:rsid w:val="00F303F9"/>
    <w:rsid w:val="00F32418"/>
    <w:rsid w:val="00F35E39"/>
    <w:rsid w:val="00F37A07"/>
    <w:rsid w:val="00F42EEF"/>
    <w:rsid w:val="00F44285"/>
    <w:rsid w:val="00F45171"/>
    <w:rsid w:val="00F476B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531C"/>
    <w:rsid w:val="00F9117D"/>
    <w:rsid w:val="00F94EB2"/>
    <w:rsid w:val="00F9648E"/>
    <w:rsid w:val="00F97CEB"/>
    <w:rsid w:val="00FA0FA6"/>
    <w:rsid w:val="00FA33ED"/>
    <w:rsid w:val="00FA410E"/>
    <w:rsid w:val="00FA5149"/>
    <w:rsid w:val="00FB17A2"/>
    <w:rsid w:val="00FB1807"/>
    <w:rsid w:val="00FB2B02"/>
    <w:rsid w:val="00FB3EC4"/>
    <w:rsid w:val="00FB4311"/>
    <w:rsid w:val="00FB43DA"/>
    <w:rsid w:val="00FB5A3B"/>
    <w:rsid w:val="00FB73D8"/>
    <w:rsid w:val="00FC1107"/>
    <w:rsid w:val="00FC19AC"/>
    <w:rsid w:val="00FC30EB"/>
    <w:rsid w:val="00FC3C8C"/>
    <w:rsid w:val="00FC417B"/>
    <w:rsid w:val="00FC5034"/>
    <w:rsid w:val="00FC5619"/>
    <w:rsid w:val="00FC786E"/>
    <w:rsid w:val="00FC7A92"/>
    <w:rsid w:val="00FD3565"/>
    <w:rsid w:val="00FE03EB"/>
    <w:rsid w:val="00FE125F"/>
    <w:rsid w:val="00FF064B"/>
    <w:rsid w:val="00FF24FC"/>
    <w:rsid w:val="00FF28D2"/>
    <w:rsid w:val="00FF53A6"/>
    <w:rsid w:val="00FF57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3618D4"/>
    <w:rPr>
      <w:color w:val="auto"/>
    </w:rPr>
  </w:style>
  <w:style w:type="paragraph" w:customStyle="1" w:styleId="5711CAB911854C038DC4649BD92CDCCA">
    <w:name w:val="5711CAB911854C038DC4649BD92CDCCA"/>
    <w:pPr>
      <w:widowControl w:val="0"/>
      <w:jc w:val="both"/>
    </w:pPr>
    <w:rPr>
      <w:kern w:val="2"/>
      <w:sz w:val="21"/>
      <w:szCs w:val="22"/>
    </w:rPr>
  </w:style>
  <w:style w:type="paragraph" w:customStyle="1" w:styleId="9C01A8DAEC2C4CF58F42F6A81B660C1A">
    <w:name w:val="9C01A8DAEC2C4CF58F42F6A81B660C1A"/>
    <w:qFormat/>
    <w:pPr>
      <w:widowControl w:val="0"/>
      <w:jc w:val="both"/>
    </w:pPr>
    <w:rPr>
      <w:kern w:val="2"/>
      <w:sz w:val="21"/>
      <w:szCs w:val="22"/>
    </w:rPr>
  </w:style>
  <w:style w:type="paragraph" w:customStyle="1" w:styleId="83DF988284E74DCC99735F5BC3D02B96">
    <w:name w:val="83DF988284E74DCC99735F5BC3D02B96"/>
    <w:qFormat/>
    <w:pPr>
      <w:widowControl w:val="0"/>
      <w:jc w:val="both"/>
    </w:pPr>
    <w:rPr>
      <w:kern w:val="2"/>
      <w:sz w:val="21"/>
      <w:szCs w:val="22"/>
    </w:rPr>
  </w:style>
  <w:style w:type="paragraph" w:customStyle="1" w:styleId="A92BD3C6A98D467F9D08676458FB04BB">
    <w:name w:val="A92BD3C6A98D467F9D08676458FB04BB"/>
    <w:qFormat/>
    <w:pPr>
      <w:widowControl w:val="0"/>
      <w:jc w:val="both"/>
    </w:pPr>
    <w:rPr>
      <w:kern w:val="2"/>
      <w:sz w:val="21"/>
      <w:szCs w:val="22"/>
    </w:rPr>
  </w:style>
  <w:style w:type="paragraph" w:customStyle="1" w:styleId="EF58270FA2494D1D8FEF6BA1D8354049">
    <w:name w:val="EF58270FA2494D1D8FEF6BA1D8354049"/>
    <w:qFormat/>
    <w:pPr>
      <w:widowControl w:val="0"/>
      <w:jc w:val="both"/>
    </w:pPr>
    <w:rPr>
      <w:kern w:val="2"/>
      <w:sz w:val="21"/>
      <w:szCs w:val="22"/>
    </w:rPr>
  </w:style>
  <w:style w:type="paragraph" w:customStyle="1" w:styleId="1F3F23D637DB4438AC1713FC1D8E2925">
    <w:name w:val="1F3F23D637DB4438AC1713FC1D8E2925"/>
    <w:qFormat/>
    <w:pPr>
      <w:widowControl w:val="0"/>
      <w:jc w:val="both"/>
    </w:pPr>
    <w:rPr>
      <w:kern w:val="2"/>
      <w:sz w:val="21"/>
      <w:szCs w:val="22"/>
    </w:rPr>
  </w:style>
  <w:style w:type="paragraph" w:customStyle="1" w:styleId="0FED930F821B47BFBC4BBF4B0D582EE1">
    <w:name w:val="0FED930F821B47BFBC4BBF4B0D582EE1"/>
    <w:qFormat/>
    <w:pPr>
      <w:widowControl w:val="0"/>
      <w:jc w:val="both"/>
    </w:pPr>
    <w:rPr>
      <w:kern w:val="2"/>
      <w:sz w:val="21"/>
      <w:szCs w:val="22"/>
    </w:rPr>
  </w:style>
  <w:style w:type="paragraph" w:customStyle="1" w:styleId="311DA2043DBC4AF8AEE3BDF7F545BC0B">
    <w:name w:val="311DA2043DBC4AF8AEE3BDF7F545BC0B"/>
    <w:pPr>
      <w:widowControl w:val="0"/>
      <w:jc w:val="both"/>
    </w:pPr>
    <w:rPr>
      <w:kern w:val="2"/>
      <w:sz w:val="21"/>
      <w:szCs w:val="22"/>
    </w:rPr>
  </w:style>
  <w:style w:type="paragraph" w:customStyle="1" w:styleId="49AC989A029F4B9A8E600AFA5F811864">
    <w:name w:val="49AC989A029F4B9A8E600AFA5F811864"/>
    <w:qFormat/>
    <w:pPr>
      <w:widowControl w:val="0"/>
      <w:jc w:val="both"/>
    </w:pPr>
    <w:rPr>
      <w:kern w:val="2"/>
      <w:sz w:val="21"/>
      <w:szCs w:val="22"/>
    </w:rPr>
  </w:style>
  <w:style w:type="paragraph" w:customStyle="1" w:styleId="9AEBC47D13D947419E91F533F678728D">
    <w:name w:val="9AEBC47D13D947419E91F533F678728D"/>
    <w:qFormat/>
    <w:pPr>
      <w:widowControl w:val="0"/>
      <w:jc w:val="both"/>
    </w:pPr>
    <w:rPr>
      <w:kern w:val="2"/>
      <w:sz w:val="21"/>
      <w:szCs w:val="22"/>
    </w:rPr>
  </w:style>
  <w:style w:type="paragraph" w:customStyle="1" w:styleId="8884F2889E494521A6CF8C3A2019BD0A">
    <w:name w:val="8884F2889E494521A6CF8C3A2019BD0A"/>
    <w:qFormat/>
    <w:pPr>
      <w:widowControl w:val="0"/>
      <w:jc w:val="both"/>
    </w:pPr>
    <w:rPr>
      <w:kern w:val="2"/>
      <w:sz w:val="21"/>
      <w:szCs w:val="22"/>
    </w:rPr>
  </w:style>
  <w:style w:type="paragraph" w:customStyle="1" w:styleId="057EB621C0DC4E6884C3F1B5A72E55E7">
    <w:name w:val="057EB621C0DC4E6884C3F1B5A72E55E7"/>
    <w:pPr>
      <w:widowControl w:val="0"/>
      <w:jc w:val="both"/>
    </w:pPr>
    <w:rPr>
      <w:kern w:val="2"/>
      <w:sz w:val="21"/>
      <w:szCs w:val="22"/>
    </w:rPr>
  </w:style>
  <w:style w:type="paragraph" w:customStyle="1" w:styleId="E3EC7B045FAC4D77921EFAB1D0B41689">
    <w:name w:val="E3EC7B045FAC4D77921EFAB1D0B41689"/>
    <w:qFormat/>
    <w:pPr>
      <w:widowControl w:val="0"/>
      <w:jc w:val="both"/>
    </w:pPr>
    <w:rPr>
      <w:kern w:val="2"/>
      <w:sz w:val="21"/>
      <w:szCs w:val="22"/>
    </w:rPr>
  </w:style>
  <w:style w:type="paragraph" w:customStyle="1" w:styleId="DCF8941B2B254B17B738314799341AFF">
    <w:name w:val="DCF8941B2B254B17B738314799341AFF"/>
    <w:pPr>
      <w:widowControl w:val="0"/>
      <w:jc w:val="both"/>
    </w:pPr>
    <w:rPr>
      <w:kern w:val="2"/>
      <w:sz w:val="21"/>
      <w:szCs w:val="22"/>
    </w:rPr>
  </w:style>
  <w:style w:type="paragraph" w:customStyle="1" w:styleId="9581A9A0AA6F487DB9D938917D565C84">
    <w:name w:val="9581A9A0AA6F487DB9D938917D565C84"/>
    <w:qFormat/>
    <w:pPr>
      <w:widowControl w:val="0"/>
      <w:jc w:val="both"/>
    </w:pPr>
    <w:rPr>
      <w:kern w:val="2"/>
      <w:sz w:val="21"/>
      <w:szCs w:val="22"/>
    </w:rPr>
  </w:style>
  <w:style w:type="paragraph" w:customStyle="1" w:styleId="BD03748146ED43BEA71869DA6577BA52">
    <w:name w:val="BD03748146ED43BEA71869DA6577BA52"/>
    <w:qFormat/>
    <w:pPr>
      <w:widowControl w:val="0"/>
      <w:jc w:val="both"/>
    </w:pPr>
    <w:rPr>
      <w:kern w:val="2"/>
      <w:sz w:val="21"/>
      <w:szCs w:val="22"/>
    </w:rPr>
  </w:style>
  <w:style w:type="paragraph" w:customStyle="1" w:styleId="66786C3445A24923B36996716BA4832F">
    <w:name w:val="66786C3445A24923B36996716BA4832F"/>
    <w:qFormat/>
    <w:pPr>
      <w:widowControl w:val="0"/>
      <w:jc w:val="both"/>
    </w:pPr>
    <w:rPr>
      <w:kern w:val="2"/>
      <w:sz w:val="21"/>
      <w:szCs w:val="22"/>
    </w:rPr>
  </w:style>
  <w:style w:type="paragraph" w:customStyle="1" w:styleId="EFBDC0718FB943AEA1764B0413BC5338">
    <w:name w:val="EFBDC0718FB943AEA1764B0413BC5338"/>
    <w:pPr>
      <w:widowControl w:val="0"/>
      <w:jc w:val="both"/>
    </w:pPr>
    <w:rPr>
      <w:kern w:val="2"/>
      <w:sz w:val="21"/>
      <w:szCs w:val="22"/>
    </w:rPr>
  </w:style>
  <w:style w:type="paragraph" w:customStyle="1" w:styleId="E647C621B1774FF9ABA251A9AB9C6108">
    <w:name w:val="E647C621B1774FF9ABA251A9AB9C6108"/>
    <w:qFormat/>
    <w:pPr>
      <w:widowControl w:val="0"/>
      <w:jc w:val="both"/>
    </w:pPr>
    <w:rPr>
      <w:kern w:val="2"/>
      <w:sz w:val="21"/>
      <w:szCs w:val="22"/>
    </w:rPr>
  </w:style>
  <w:style w:type="paragraph" w:customStyle="1" w:styleId="8705F1FD7EF14D348E399B5867B871E1">
    <w:name w:val="8705F1FD7EF14D348E399B5867B871E1"/>
    <w:qFormat/>
    <w:pPr>
      <w:widowControl w:val="0"/>
      <w:jc w:val="both"/>
    </w:pPr>
    <w:rPr>
      <w:kern w:val="2"/>
      <w:sz w:val="21"/>
      <w:szCs w:val="22"/>
    </w:rPr>
  </w:style>
  <w:style w:type="paragraph" w:customStyle="1" w:styleId="5B69F907B02846C1B0E8B74847D9BD9D">
    <w:name w:val="5B69F907B02846C1B0E8B74847D9BD9D"/>
    <w:qFormat/>
    <w:pPr>
      <w:widowControl w:val="0"/>
      <w:jc w:val="both"/>
    </w:pPr>
    <w:rPr>
      <w:kern w:val="2"/>
      <w:sz w:val="21"/>
      <w:szCs w:val="22"/>
    </w:rPr>
  </w:style>
  <w:style w:type="paragraph" w:customStyle="1" w:styleId="6A3545BE3B6945ABBCE61D586EA6A302">
    <w:name w:val="6A3545BE3B6945ABBCE61D586EA6A302"/>
    <w:qFormat/>
    <w:pPr>
      <w:widowControl w:val="0"/>
      <w:jc w:val="both"/>
    </w:pPr>
    <w:rPr>
      <w:kern w:val="2"/>
      <w:sz w:val="21"/>
      <w:szCs w:val="22"/>
    </w:rPr>
  </w:style>
  <w:style w:type="paragraph" w:customStyle="1" w:styleId="0F2299B3514C4EE5BDFA562EA5C190AC">
    <w:name w:val="0F2299B3514C4EE5BDFA562EA5C190AC"/>
    <w:qFormat/>
    <w:pPr>
      <w:widowControl w:val="0"/>
      <w:jc w:val="both"/>
    </w:pPr>
    <w:rPr>
      <w:kern w:val="2"/>
      <w:sz w:val="21"/>
      <w:szCs w:val="22"/>
    </w:rPr>
  </w:style>
  <w:style w:type="paragraph" w:customStyle="1" w:styleId="435B1399345E480CA5F777765CE11F31">
    <w:name w:val="435B1399345E480CA5F777765CE11F31"/>
    <w:qFormat/>
    <w:pPr>
      <w:widowControl w:val="0"/>
      <w:jc w:val="both"/>
    </w:pPr>
    <w:rPr>
      <w:kern w:val="2"/>
      <w:sz w:val="21"/>
      <w:szCs w:val="22"/>
    </w:rPr>
  </w:style>
  <w:style w:type="paragraph" w:customStyle="1" w:styleId="47A2014400584F0B82BB6E31AB31940C">
    <w:name w:val="47A2014400584F0B82BB6E31AB31940C"/>
    <w:qFormat/>
    <w:pPr>
      <w:spacing w:after="160" w:line="259" w:lineRule="auto"/>
    </w:pPr>
    <w:rPr>
      <w:sz w:val="22"/>
      <w:szCs w:val="22"/>
    </w:rPr>
  </w:style>
  <w:style w:type="paragraph" w:customStyle="1" w:styleId="34E318F847694E86BE647EB629C1CF3C">
    <w:name w:val="34E318F847694E86BE647EB629C1CF3C"/>
    <w:qFormat/>
    <w:pPr>
      <w:spacing w:after="160" w:line="259" w:lineRule="auto"/>
    </w:pPr>
    <w:rPr>
      <w:sz w:val="22"/>
      <w:szCs w:val="22"/>
    </w:rPr>
  </w:style>
  <w:style w:type="paragraph" w:customStyle="1" w:styleId="105BC744046645F4A0DECA43F36AE0DE">
    <w:name w:val="105BC744046645F4A0DECA43F36AE0DE"/>
    <w:pPr>
      <w:spacing w:after="160" w:line="259" w:lineRule="auto"/>
    </w:pPr>
    <w:rPr>
      <w:sz w:val="22"/>
      <w:szCs w:val="22"/>
    </w:rPr>
  </w:style>
  <w:style w:type="paragraph" w:customStyle="1" w:styleId="319281D018D54F84B1521313D0717732">
    <w:name w:val="319281D018D54F84B1521313D0717732"/>
    <w:qFormat/>
    <w:pPr>
      <w:spacing w:after="160" w:line="259" w:lineRule="auto"/>
    </w:pPr>
    <w:rPr>
      <w:sz w:val="22"/>
      <w:szCs w:val="22"/>
    </w:rPr>
  </w:style>
  <w:style w:type="paragraph" w:customStyle="1" w:styleId="027C1C82ED9F479DAAF34B47D59320D8">
    <w:name w:val="027C1C82ED9F479DAAF34B47D59320D8"/>
    <w:qFormat/>
    <w:pPr>
      <w:widowControl w:val="0"/>
      <w:jc w:val="both"/>
    </w:pPr>
    <w:rPr>
      <w:kern w:val="2"/>
      <w:sz w:val="21"/>
      <w:szCs w:val="22"/>
    </w:rPr>
  </w:style>
  <w:style w:type="paragraph" w:customStyle="1" w:styleId="8E2DBE4EF8DE46EEA7A5336DDCEE3FF4">
    <w:name w:val="8E2DBE4EF8DE46EEA7A5336DDCEE3FF4"/>
    <w:pPr>
      <w:widowControl w:val="0"/>
      <w:jc w:val="both"/>
    </w:pPr>
    <w:rPr>
      <w:kern w:val="2"/>
      <w:sz w:val="21"/>
      <w:szCs w:val="22"/>
    </w:rPr>
  </w:style>
  <w:style w:type="paragraph" w:customStyle="1" w:styleId="87794A301E73492C8E1FA48B1E2139E0">
    <w:name w:val="87794A301E73492C8E1FA48B1E2139E0"/>
    <w:qFormat/>
    <w:pPr>
      <w:widowControl w:val="0"/>
      <w:jc w:val="both"/>
    </w:pPr>
    <w:rPr>
      <w:kern w:val="2"/>
      <w:sz w:val="21"/>
      <w:szCs w:val="22"/>
    </w:rPr>
  </w:style>
  <w:style w:type="paragraph" w:customStyle="1" w:styleId="799AA9D4769045988175E479DE37F087">
    <w:name w:val="799AA9D4769045988175E479DE37F087"/>
    <w:pPr>
      <w:spacing w:after="160" w:line="259" w:lineRule="auto"/>
    </w:pPr>
    <w:rPr>
      <w:sz w:val="22"/>
      <w:szCs w:val="22"/>
    </w:rPr>
  </w:style>
  <w:style w:type="paragraph" w:customStyle="1" w:styleId="59BE1E313AF54CC3984BDB2DAE7B9623">
    <w:name w:val="59BE1E313AF54CC3984BDB2DAE7B9623"/>
    <w:qFormat/>
    <w:pPr>
      <w:spacing w:after="160" w:line="259" w:lineRule="auto"/>
    </w:pPr>
    <w:rPr>
      <w:sz w:val="22"/>
      <w:szCs w:val="22"/>
    </w:rPr>
  </w:style>
  <w:style w:type="paragraph" w:customStyle="1" w:styleId="894FD3009F3F4510A2373DCC81DF39EC">
    <w:name w:val="894FD3009F3F4510A2373DCC81DF39EC"/>
    <w:qFormat/>
    <w:pPr>
      <w:spacing w:after="160" w:line="259" w:lineRule="auto"/>
    </w:pPr>
    <w:rPr>
      <w:sz w:val="22"/>
      <w:szCs w:val="22"/>
    </w:rPr>
  </w:style>
  <w:style w:type="paragraph" w:customStyle="1" w:styleId="9608A7165F204615AF819B9120394927">
    <w:name w:val="9608A7165F204615AF819B9120394927"/>
    <w:pPr>
      <w:spacing w:after="160" w:line="259" w:lineRule="auto"/>
    </w:pPr>
    <w:rPr>
      <w:sz w:val="22"/>
      <w:szCs w:val="22"/>
    </w:rPr>
  </w:style>
  <w:style w:type="paragraph" w:customStyle="1" w:styleId="881A785771BB49169BBD633AE28BB366">
    <w:name w:val="881A785771BB49169BBD633AE28BB366"/>
    <w:qFormat/>
    <w:pPr>
      <w:spacing w:after="160" w:line="259" w:lineRule="auto"/>
    </w:pPr>
    <w:rPr>
      <w:sz w:val="22"/>
      <w:szCs w:val="22"/>
    </w:rPr>
  </w:style>
  <w:style w:type="paragraph" w:customStyle="1" w:styleId="CCD8449F4CD34BA392F57D411A502F28">
    <w:name w:val="CCD8449F4CD34BA392F57D411A502F28"/>
    <w:qFormat/>
    <w:pPr>
      <w:spacing w:after="160" w:line="259" w:lineRule="auto"/>
    </w:pPr>
    <w:rPr>
      <w:sz w:val="22"/>
      <w:szCs w:val="22"/>
    </w:rPr>
  </w:style>
  <w:style w:type="paragraph" w:customStyle="1" w:styleId="EAE753A0BF2E467289889F69A4F083FA">
    <w:name w:val="EAE753A0BF2E467289889F69A4F083FA"/>
    <w:qFormat/>
    <w:pPr>
      <w:spacing w:after="160" w:line="259" w:lineRule="auto"/>
    </w:pPr>
    <w:rPr>
      <w:sz w:val="22"/>
      <w:szCs w:val="22"/>
    </w:rPr>
  </w:style>
  <w:style w:type="paragraph" w:customStyle="1" w:styleId="CCCB5659A54B4E22984475FA92B57C2D">
    <w:name w:val="CCCB5659A54B4E22984475FA92B57C2D"/>
    <w:qFormat/>
    <w:pPr>
      <w:spacing w:after="160" w:line="259" w:lineRule="auto"/>
    </w:pPr>
    <w:rPr>
      <w:sz w:val="22"/>
      <w:szCs w:val="22"/>
    </w:rPr>
  </w:style>
  <w:style w:type="paragraph" w:customStyle="1" w:styleId="4AC37DCA11FF44EB9E353C20335EAF9E">
    <w:name w:val="4AC37DCA11FF44EB9E353C20335EAF9E"/>
    <w:qFormat/>
    <w:pPr>
      <w:spacing w:after="160" w:line="259" w:lineRule="auto"/>
    </w:pPr>
    <w:rPr>
      <w:sz w:val="22"/>
      <w:szCs w:val="22"/>
    </w:rPr>
  </w:style>
  <w:style w:type="paragraph" w:customStyle="1" w:styleId="3CFB5CE425494A0B845369A112A16B3A">
    <w:name w:val="3CFB5CE425494A0B845369A112A16B3A"/>
    <w:qFormat/>
    <w:pPr>
      <w:widowControl w:val="0"/>
      <w:jc w:val="both"/>
    </w:pPr>
    <w:rPr>
      <w:kern w:val="2"/>
      <w:sz w:val="21"/>
      <w:szCs w:val="22"/>
    </w:rPr>
  </w:style>
  <w:style w:type="paragraph" w:customStyle="1" w:styleId="7041693B10EC48CEACCE0A324D8FD2D3">
    <w:name w:val="7041693B10EC48CEACCE0A324D8FD2D3"/>
    <w:pPr>
      <w:widowControl w:val="0"/>
      <w:jc w:val="both"/>
    </w:pPr>
    <w:rPr>
      <w:kern w:val="2"/>
      <w:sz w:val="21"/>
      <w:szCs w:val="22"/>
    </w:rPr>
  </w:style>
  <w:style w:type="paragraph" w:customStyle="1" w:styleId="C8957A88CEBB4392A86C8BA8D20C7BFC">
    <w:name w:val="C8957A88CEBB4392A86C8BA8D20C7BFC"/>
    <w:qFormat/>
    <w:pPr>
      <w:widowControl w:val="0"/>
      <w:jc w:val="both"/>
    </w:pPr>
    <w:rPr>
      <w:kern w:val="2"/>
      <w:sz w:val="21"/>
      <w:szCs w:val="22"/>
    </w:rPr>
  </w:style>
  <w:style w:type="paragraph" w:customStyle="1" w:styleId="6330C08F3B3042F59A0D2F31EA125BE5">
    <w:name w:val="6330C08F3B3042F59A0D2F31EA125BE5"/>
    <w:qFormat/>
    <w:pPr>
      <w:widowControl w:val="0"/>
      <w:jc w:val="both"/>
    </w:pPr>
    <w:rPr>
      <w:kern w:val="2"/>
      <w:sz w:val="21"/>
      <w:szCs w:val="22"/>
    </w:rPr>
  </w:style>
  <w:style w:type="paragraph" w:customStyle="1" w:styleId="A95DFAAFAB1D45A3940348CFB1A08D89">
    <w:name w:val="A95DFAAFAB1D45A3940348CFB1A08D89"/>
    <w:qFormat/>
    <w:pPr>
      <w:widowControl w:val="0"/>
      <w:jc w:val="both"/>
    </w:pPr>
    <w:rPr>
      <w:kern w:val="2"/>
      <w:sz w:val="21"/>
      <w:szCs w:val="22"/>
    </w:rPr>
  </w:style>
  <w:style w:type="paragraph" w:customStyle="1" w:styleId="C92200BCEC6645BDB25AB87575EDC6CF">
    <w:name w:val="C92200BCEC6645BDB25AB87575EDC6CF"/>
    <w:rsid w:val="00041709"/>
    <w:pPr>
      <w:spacing w:after="160" w:line="259" w:lineRule="auto"/>
    </w:pPr>
    <w:rPr>
      <w:sz w:val="22"/>
      <w:szCs w:val="22"/>
    </w:rPr>
  </w:style>
  <w:style w:type="paragraph" w:customStyle="1" w:styleId="304C43BCF33141239166530FE418699A">
    <w:name w:val="304C43BCF33141239166530FE418699A"/>
    <w:rsid w:val="00720AFD"/>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埃夫特智能装备股份有限公司</clcid-cgi:GongSiFaDingZhongWenMingCheng>
  <clcid-mr:GongSiFuZeRenXingMing xmlns:clcid-mr="clcid-mr">许礼进 </clcid-mr:GongSiFuZeRenXingMing>
  <clcid-mr:ZhuGuanKuaiJiGongZuoFuZeRenXingMing xmlns:clcid-mr="clcid-mr">康斌 </clcid-mr:ZhuGuanKuaiJiGongZuoFuZeRenXingMing>
  <clcid-mr:KuaiJiJiGouFuZeRenXingMing xmlns:clcid-mr="clcid-mr">汪洋</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415,888.37</clcid-pte:FeiLiuDongXingZiChanChuZhiSunYiBaoKuoYiJiTiZiChanJianZhiZhunBeiDeChongXiaoBuFenFeiJingChangXingSunYiXiangMu>
  <clcid-pte:FeiJingChangXingSunYiZhongYueQuanShenPiHuoWuZhengShiPiZhunWenJianDeShuiShouFanHuanJianMian xmlns:clcid-pte="clcid-pte">-</clcid-pte:FeiJingChangXingSunYiZhongYueQuanShenPiHuoWuZhengShiPiZhunWenJianDeShuiShouFanHuanJianMian>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7,108,423.27</clcid-pte:FeiJingChangXingSunYiZhongGeZhongXingShiDeZhengFuBuTie>
  <clcid-pte:FeiJingChangXingSunYiZhongGeZhongXingShiDeZhengFuBuTieShuoMing xmlns:clcid-pte="clcid-pte"/>
  <clcid-pte:JiRuDangQiSunYiDeDuiFeiJinRongQiYeShouQuDeZiJinZhanYongFeiFeiJingChangXingSunYiXiangMu xmlns:clcid-pte="clcid-pte">-</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clcid-pte:FeiJingChangXingSunYiZhongZiChanZhiHuanSunYi>
  <clcid-pte:FeiJingChangXingSunYiZhongZiChanZhiHuanSunYiShuoMing xmlns:clcid-pte="clcid-pte"/>
  <clcid-pte:WeiTuoTaRenTouZiHuoGuanLiZiChanDeSunYiFeiJingChangXingSunYiXiangMu xmlns:clcid-pte="clcid-pte">-</clcid-pte:WeiTuoTaRenTouZiHuoGuanLiZiChanDeSunYiFeiJingChangXingSunYiXiangMu>
  <clcid-pte:WeiTuoTaRenTouZiHuoGuanLiZiChanDeSunYiFeiJingChangXingSunYiXiangMuShuoMing xmlns:clcid-pte="clcid-pte"/>
  <clcid-pte:FeiJingChangXingSunYiZhongJiTiDeGeXiangZiChanJianZhiZhunBei xmlns:clcid-pte="clcid-pte">-</clcid-pte:FeiJingChangXingSunYiZhongJiTiDeGeXiangZiChanJianZhiZhunBei>
  <clcid-pte:FeiJingChangXingSunYiZhongJiTiDeGeXiangZiChanJianZhiZhunBeiShuoMing xmlns:clcid-pte="clcid-pte"/>
  <clcid-pte:FeiJingChangXingSunYiZhongZhaiWuZhongZuSunYi xmlns:clcid-pte="clcid-pte">-</clcid-pte:FeiJingChangXingSunYiZhongZhaiWuZhongZuSunYi>
  <clcid-pte:FeiJingChangXingSunYiZhongZhaiWuZhongZuSunYiShuoMing xmlns:clcid-pte="clcid-pte"/>
  <clcid-pte:QiYeZhongZuFeiYongRuAnZhiZhiGongDeZhiChuZhengHeFeiYongDeng xmlns:clcid-pte="clcid-pte">-</clcid-pte:QiYeZhongZuFeiYongRuAnZhiZhiGongDeZhiChuZhengHeFeiYongDeng>
  <clcid-pte:QiYeZhongZuFeiYongRuAnZhiZhiGongDeZhiChuZhengHeFeiYongDengShuoMing xmlns:clcid-pte="clcid-pte"/>
  <clcid-pte:FeiJingChangXingSunYiZhongJiaoYiJiaGeXianShiGongYunDeJiaoYiChanShengDeSunYi xmlns:clcid-pte="clcid-pte">-</clcid-pte:FeiJingChangXingSunYiZhongJiaoYiJiaGeXianShiGongYunDeJiaoYiChanShengDeSunYi>
  <clcid-pte:FeiJingChangXingSunYiZhongJiaoYiJiaGeXianShiGongYunDeJiaoYiChanShengDeSunYiShuoMing xmlns:clcid-pte="clcid-pte"/>
  <clcid-pte:TongYiKongZhiXiaQiYeHeBingChanShengDeZiGongSiQiChuZhiHeBingRiDeDangQiJingSunYi xmlns:clcid-pte="clcid-pte">-</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clcid-pte:YuGongSiZhuYingYeWuWuGuanDeYuJiFuZhaiChanShengDeSunYi>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clcid-pte:DuiWaiWeiTuoDaiKuanQuDeDeSunYi>
  <clcid-pte:DuiWaiWeiTuoDaiKuanQuDeDeSunYiShuoMing xmlns:clcid-pte="clcid-pte"/>
  <clcid-pte:CaiYongGongYunJiaZhiMoShiJinXingHouXuJiLiangDeTouZiXingFangDiChanGongYunJiaZhiBianDongChanShengDeSunYi xmlns:clcid-pte="clcid-pte">-</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clcid-pte:GenJuShuiShouKuaiJiDengFaLvFaGuiDeYaoQiuDuiDangQiSunYiJinXingYiCiXingTiaoZhengDuiDangQiSunYiDeYingXiang>
  <clcid-pte:GenJuShuiShouKuaiJiDengFaLvFaGuiDeYaoQiuDuiDangQiSunYiJinXingYiCiXingTiaoZhengDuiDangQiSunYiDeYingXiangShuoMing xmlns:clcid-pte="clcid-pte"/>
  <clcid-pte:ShouTuoJingYingQuDeDeTuoGuanFeiShouRu xmlns:clcid-pte="clcid-pte">-</clcid-pte:ShouTuoJingYingQuDeDeTuoGuanFeiShouRu>
  <clcid-pte:ShouTuoJingYingQuDeDeTuoGuanFeiShouRuShuoMing xmlns:clcid-pte="clcid-pte"/>
  <clcid-pte:ChuShangShuGeXiangZhiWaiDeQiTaYingYeWaiShouZhiJingE xmlns:clcid-pte="clcid-pte">4,898,543.95</clcid-pte:ChuShangShuGeXiangZhiWaiDeQiTaYingYeWaiShouZhiJingE>
  <clcid-pte:ChuShangShuGeXiangZhiWaiDeQiTaYingYeWaiShouZhiJingEShuoMing xmlns:clcid-pte="clcid-pte"/>
  <clcid-pte:QiTaFeiJingChangXingSunYiXiangMu xmlns:clcid-pte="clcid-pte">-</clcid-pte:QiTaFeiJingChangXingSunYiXiangMu>
  <clcid-pte:QiTaFeiJingChangXingSunYiXiangMuShuoMing xmlns:clcid-pte="clcid-pte"/>
  <clcid-pte:FeiJingChangXingSunYiXiangMuZhongShaoShuGuDongQuanYiYingXiangE xmlns:clcid-pte="clcid-pte">-7,757.81</clcid-pte:FeiJingChangXingSunYiXiangMuZhongShaoShuGuDongQuanYiYingXiangE>
  <clcid-pte:FeiJingChangXingSunYiXiangMuZhongShaoShuGuDongQuanYiYingXiangEShuoMing xmlns:clcid-pte="clcid-pte"/>
  <clcid-pte:FeiJingChangXingSunYiDeKouChuXiangMuDuiSuoDeShuiDeYingXiang xmlns:clcid-pte="clcid-pte">-6,011,381.47</clcid-pte:FeiJingChangXingSunYiDeKouChuXiangMuDuiSuoDeShuiDeYingXiang>
  <clcid-pte:FeiJingChangXingSunYiDeKouChuXiangMuDuiSuoDeShuiDeYingXiangShuoMing xmlns:clcid-pte="clcid-pte"/>
  <clcid-pte:KouChuDeFeiJingChangXingSunYiHeJi xmlns:clcid-pte="clcid-pte">25,675,370.14</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3.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1" optimized="true" originalVersion="0.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58e9ebeea20347aa8472ed52d3ebfb83" helpId="101001001" primarySection="_SEC_d5e0e82062cc4f3cb5a290078031cbd7" optionText="公司保证本报告内容的真实、准确、完整" optionGroupTitle="董事会及董事声明情况" afterEmptyParagraphs="1">
      <m:item xlName="_GBC_6c6da163383e4e4c92758ff24076a138" concept="clcid-mr:DongShiKuaiJiDongShiShengMing" label="董事会及董事声明"/>
    </m:section>
    <m:section xlName="_SEC_d289b74961cd4e19abf2c16dd76cf909" title="重大风险提示" helpId="112001203" helpText="请公司遵循重要性原则，披露需要予以重点提示的风险事项。上市公司尚未盈利的，应当重点披露，结合行业特点，充分披露尚未盈利的原因，以及对公司现金流、业务拓展、人才吸引、团队稳定性、研发投入、战略性投入、生产经营可持续性等方面的影响。">
      <m:item xlName="_GBC_a92ea1e98f114605a77a44817ca7cfd8" concept="clcid-mr:ZhongDaFengXianTiShi" label="重大风险提示"/>
    </m:section>
    <m:section xlName="_GBC_c39714d4523c4f26bc10a8bd552c9a0c" title="董事、监事、高级管理人员无法保证的声明" checkKey="无法保证" summaryGuid="_SEC_58e9ebeea20347aa8472ed52d3ebfb83" helpId="101001002" primarySection="_SEC_d5e0e82062cc4f3cb5a290078031cbd7" optionText="公司无法保证本报告内容的真实、准确、完整" optionGroupTitle="董事会及董事声明情况">
      <m:item xlName="_GBC_7a65fa08bc8543a7beefb0aa93647c7c" concept="clcid-mr:DuiBaoGaoCunZaiYiYiDeDongShiXingMing" label="对报告存在异议的董事姓名"/>
      <m:item xlName="_GBC_8d02449f005e4a57895ba32ea4dd914b" concept="clcid-mr:DongShiYiYiLiYou" label="董事异议理由"/>
    </m:section>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placeholder xlName="_GBC_2e0ee33ebae04a83b92e8b1aa6754169"/>
    </m:section>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placeholder xlName="_PLD_4fd2187038c54a10891c6a02123e0bb0" addr="T0R0C0S1_1"/>
      <m:placeholder xlName="_PLD_6ef743c59f184a1e9f63d3748f6485f4" addr="T0R0C1S1_1"/>
      <m:placeholder xlName="_PLD_8b91f4fec321494b8910f926fe58f4eb" addr="T0R0C2S1_1"/>
      <m:placeholder xlName="_PLD_615ccae56dbb4425a397a07cb9449e78" addr="T0R0C3S1_1"/>
      <m:tuple xlName="_GBC_8c20f14c620b47e8b17eab91c975c05c" concept="clcid-mr:WeiChuXiDongShiQingKuang" default_row="2" addr="T0R1C">
        <m:item xlName="_GBC_e30e2702d06b45d5aed22a44824a9d37" concept="clcid-mr:WeiChuXiDongShiZhiWu" label="未出席董事职务" selectOptions="36777190428d496eaa304bd35e9c9698" addr="T0R1C0S1_1" controlType="Combobox" cellConvertType="1"/>
        <m:item xlName="_GBC_ff1c81eda2cf4c6bbc6a5b900111db55" concept="clcid-mr:WeiChuXiDongShiXingMing" label="未出席董事姓名" addr="T0R1C1S1_1"/>
        <m:item xlName="_GBC_47662188b3f4447fada8c6daf2ea527b" concept="clcid-mr:WeiChuXiDongShiDeShuoMing" label="未出席董事的说明" addr="T0R1C2S1_1"/>
        <m:item xlName="_GBC_6ad515df3779481d8ba1143747f854a0" concept="clcid-mr:BeiWeiTuoRenXingMing" label="被委托人姓名" addr="T0R1C3S1_1"/>
      </m:tuple>
    </m:section>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placeholder xlName="_GBC_be15b7a71d95430e82193d4cab461623"/>
    </m:section>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item xlName="_GBC_c5939d6e2574427abc0522f8d8a91b7a" concept="clcid-cgi:GongSiPinQingDeJingNeiKuaiJiShiShiWuSuoMingCheng" label="公司聘请的境内会计师事务所名称"/>
      <m:item xlName="_GBC_a2982a98498f4228b277f43707288da5" concept="clcid-ar:ShenJiYiJianLeiXing" label="会计师事务所审计意见类型" selectOptions="dd75537e2ef54efdbfcad4442bb331b7" controlType="Combobox"/>
      <m:item xlName="_GBC_e99524b0dc684fc6b7a6d8038a5a522c" concept="clcid-mr:CaiWuBaoGaoShenJiQingKuangShuoMing" label="财务报告审计情况声明"/>
    </m:section>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item xlName="_GBC_fe7ca524cc9e410eaea22d2d83fa32c0" concept="clcid-cgi:GongSiPinQingDeJingNeiKuaiJiShiShiWuSuoMingCheng" label="公司聘请的境内会计师事务所名称"/>
      <m:item xlName="_GBC_dd093940e8da4c81bbf9f497e13bec3c" concept="clcid-ar:ShenJiYiJianLeiXing" label="会计师事务所审计意见类型" selectOptions="169036816290436b9cc418ab4cf2b5f3" controlType="Combobox"/>
    </m:section>
    <m:section xlName="_GBC_04b137e7f87b43b8812b2c33bd605e04" title="公司负责人等声明" helpId="101001005">
      <m:item xlName="_GBC_ee6b72f666bb497bbe8fc037096654d2" concept="clcid-mr:GongSiFuZeRenXingMing" label="公司负责人姓名" binding="true">
        <m:simpleRule dataType="Any" comparator="None" minOccurs="1"/>
      </m:item>
      <m:item xlName="_GBC_51ed55c6ff134dadaa6756998c964cdf" concept="clcid-mr:ZhuGuanKuaiJiGongZuoFuZeRenXingMing" label="主管会计工作负责人姓名" binding="true">
        <m:simpleRule dataType="Any" comparator="None" minOccurs="1"/>
      </m:item>
      <m:item xlName="_GBC_aa7d9e44d6e64b9abdcdefb4a3968427" concept="clcid-mr:KuaiJiJiGouFuZeRenXingMing" label="会计机构负责人姓名" binding="true">
        <m:simpleRule dataType="Any" comparator="None" minOccurs="1"/>
      </m:item>
    </m:section>
    <m:section xlName="_GBC_21c095fa67114a208ee8411405e3a22a" title="经董事会审议的报告期利润分配预案或公积金转增股本预案" convertSummaryRule="NoConvert" helpId="101001007">
      <m:item xlName="_GBC_7676626d447143468bebcc8d267ec746" concept="clcid-mr:JingDongShiHuiShenYiDeBaoGaoQiLiRunFenPeiYuAnHuoGongJiJinZhuanZengGuBenYuAn" label="经董事会审议的报告期利润分配预案或公积金转增股本预案" summaryGuid="_GBC_da435ac3abd24b2f95f66733e645daae"/>
    </m:section>
    <m:section xlName="_SEC_2679260b05a148c89859774873975e4e" title="是否存在公司治理特殊安排等重要事项" helpText="若公司属于红筹企业，存在协议控制架构或者表决权差异安排等公司治理特殊安排的，应当予以说明。\n“公司治理特殊安排情况” 为多选项。">
      <m:item xlName="_GBC_a5391eb2962043ca9bd4b462a9df92bf" concept="clcid-ci-ar:ShiFouShiYongShiFouCunZaiGongSiZhiLiTeShuAnPaiDengZhongYaoShiXiang" label="是否适用：是否存在公司治理特殊安排等重要事项" selectOptions="_buildInAppliance" controlType="CustomCheckbox" cRanges="[{&quot;StartName&quot;:&quot;_GBC_a5391eb2962043ca9bd4b462a9df92bf&quot;,&quot;EndName&quot;:&quot;_GBC_63d210446c6f4789a2fb426f1b070015&quot;,&quot;CType&quot;:1}]"/>
      <m:item xlName="_GBC_9a4e3b9ae07e41d493f1e056d8cddd67" concept="clcid-mr:BenGongSiWeiHongChouQiYe" label="本公司为红筹企业" selectOptions="4f6102461f504069a51dabdc3f85d6ad" controlType="SingleCheckbox" appId="_GBC_a5391eb2962043ca9bd4b462a9df92bf"/>
      <m:item xlName="_GBC_f1c4f9d2bb864f1a94d2d0cb01279b72" concept="clcid-mr:BenGongSiCunZaiXieYiKongZhiJiaGou" label="本公司存在协议控制架构" selectOptions="88fe80c8645043f296c45a76dfd3e2d2" controlType="SingleCheckbox" appId="_GBC_a5391eb2962043ca9bd4b462a9df92bf"/>
      <m:item xlName="_GBC_1544bf99c732434cbb6a6e6727c75667" concept="clcid-mr:BenGongSiCunZaiBiaoJueQuanChaYiAnPai" label="本公司存在表决权差异安排" selectOptions="e39f1712448d4760b565a04a5daff45a" controlType="SingleCheckbox" appId="_GBC_a5391eb2962043ca9bd4b462a9df92bf"/>
      <m:item xlName="_GBC_63d210446c6f4789a2fb426f1b070015" concept="clcid-mr:GongSiZhiLiTeShuAnPaiQingKuangDeShuoMing" label="公司治理特殊安排情况的说明" appId="_GBC_a5391eb2962043ca9bd4b462a9df92bf"/>
    </m:section>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item xlName="_GBC_6a28949332914149bda7cc0225d614b7" concept="clcid-ci-ar:ShiFouShiYongQianZhanXingChenShuDeFengXianShengMing" label="是否适用：前瞻性陈述的风险声明" selectOptions="_buildInAppliance" controlType="CustomCheckbox" cRanges="{&quot;StartName&quot;:&quot;_GBC_6a28949332914149bda7cc0225d614b7&quot;,&quot;EndName&quot;:&quot;_GBC_6511b5aecc604062ad93b5fbd25fd19b&quot;,&quot;CType&quot;:1,&quot;DisplayText&quot;:null}"/>
      <m:item xlName="_GBC_6511b5aecc604062ad93b5fbd25fd19b" concept="clcid-mr:GongSiDuiBaoGaoSheJiWeiLaiJiHuaDengQianZhanXingChenShuDeShengMing" label="公司对报告涉及未来计划等前瞻性陈述的声明" appId="_GBC_6a28949332914149bda7cc0225d614b7"/>
    </m:section>
    <m:section xlName="_GBC_70f733efbc484640a48089ddc49bf2b9" title="是否存在被控股股东及其关联方非经营性占用资金情况">
      <m:item xlName="_GBC_a32400ff33ee44d89632e0d79a7f2c42" concept="clcid-mr:BenGongSiShiFouCunZaiDaGuDongZhanYongZiJinQingKuang" label="本公司是否存在大股东占用资金情况" selectOptions="_buildInYesNo" controlType="Combobox"/>
    </m:section>
    <m:section xlName="_GBC_0b5725dfa5c04f85874bece4083eddb4" title="是否存在违反规定决策程序对外提供担保的情况" convertSummaryRule="NoConvert">
      <m:item xlName="_GBC_3bc3f02bd342494aa2858bb9a39d8458" concept="clcid-mr:BenGongSiShiFouCunZaiWeiFanGuiDingJueCeChengXuDuiWaiTiGongDanBaoDeQingKuang" label="本公司是否存在违反规定决策程序对外提供担保的情况" selectOptions="_buildInYesNo" controlType="Combobox"/>
    </m:section>
    <m:section xlName="_SEC_f3d90b018fb74509a6e51e7c86960c43" title="是否存在半数以上董事无法保证公司所披露年度报告的真实性、准确性和完整性">
      <m:item xlName="_GBC_12af6d6c23f7426692c9e0628778ec1c"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12af6d6c23f7426692c9e0628778ec1c&quot;,&quot;EndName&quot;:&quot;_PLD_a88eb0def8594293b56b20d6321e259d&quot;,&quot;CType&quot;:1}]">
        <m:simpleRule dataType="Any" comparator="None" level="Fatal" minOccurs="1"/>
      </m:item>
      <m:placeholder xlName="_PLD_a88eb0def8594293b56b20d6321e259d"/>
    </m:section>
    <m:section xlName="_GBC_b8bb35c675b44fbdaf150c1114447d89" title="重要提示的其他情况说明">
      <m:item xlName="_GBC_3a91363d913942688077b069148debc5" concept="clcid-ci-ar:ShiFouShiYongQiTaZhongYaoTiShi" label="是否适用：其他重要提示" selectOptions="_buildInAppliance" controlType="CustomCheckbox" cRanges="{&quot;StartName&quot;:&quot;_GBC_3a91363d913942688077b069148debc5&quot;,&quot;EndName&quot;:&quot;_GBC_d8e4ca6963364e3194f6533b437a5a96&quot;,&quot;CType&quot;:1,&quot;DisplayText&quot;:null}"/>
      <m:item xlName="_GBC_d8e4ca6963364e3194f6533b437a5a96" concept="clcid-mr:ZhongYaoTiShiDeQiTaQingKuangShuoMing" label="重要提示的其他情况说明" appId="_GBC_3a91363d913942688077b069148debc5"/>
    </m:section>
    <m:section xlName="_SEC_ef26d90e8ac949ad930d36c731da27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tuple xlName="_TUP_73075a500b154dca9e589cd56f1cec75" concept="clcid-gcd:BeiChaWenJianQingKuang" default_row="3" usage="5" addr="T0R0C">
        <m:placeholder xlName="_PLD_33609dba91e94c189f89be0dc3f017f7" autoRowSpan="true" addr="T0R0C0S3_1"/>
        <m:item xlName="_GBC_a5fdb756f9f84699a04e4830bab3b5ae" concept="clcid-gcd:BeiChaWenJianMuLu" label="备查文件目录" addr="T0R0C1S1_1" tagAction="1"/>
      </m:tuple>
    </m:section>
    <m:section xlName="_GBC_5d2d156d1e654b289921f6ca279d0332" title="释义" ignorePeriod="1" convertSummaryRule="NoConvert" helpId="101001008" helpText="常见缩写可省略，突出技术专业名词的解释。">
      <m:placeholder xlName="_PLD_d73bff14187b49a1b1c86b56316c5e47" addr="T0R0C0S1_3"/>
      <m:tuple xlName="_GBC_ca5c2cb7a4e545e2b2d9d1b94b528746" concept="clcid-mr:ShiYi" default_row="2" addr="T0R1C">
        <m:item xlName="_GBC_c69fa7c1244840708cb11cdff80e2e4a" concept="clcid-mr:ChangYongCiYu" label="常用词语" addr="T0R1C0S1_1">
          <m:simpleRule dataType="Any" comparator="None" minOccurs="1"/>
        </m:item>
        <m:placeholder xlName="_PLD_289cf7e5c3a845d59c038a21dcd4a571" addr="T0R1C1S1_1"/>
        <m:item xlName="_GBC_b625dd71b03542c3b074c2ce59de70ad" concept="clcid-mr:ChangYongCiYuShiYi" label="常用词语释义" addr="T0R1C2S1_1" tagAction="1">
          <m:simpleRule dataType="Any" comparator="None" minOccurs="1"/>
        </m:item>
      </m:tuple>
    </m:section>
    <m:section xlName="_SEC_b2285d7e9f7f40e687452b08d10f596c" title="公司基本情况">
      <m:placeholder xlName="_PLD_bad126009df143b0b0e5380732900c4f" addr="T0R0C0S1_1"/>
      <m:item xlName="_GBC_79441fb1ebeb4559ae0922781c58e21b" concept="clcid-cgi:GongSiFaDingZhongWenMingCheng" label="公司法定中文名称" addr="T0R0C1S1_1" tagAction="1">
        <m:simpleRule dataType="Any" comparator="None" minOccurs="1"/>
      </m:item>
      <m:placeholder xlName="_PLD_b7881c5c0da645969d4fdb338d6fc061" addr="T0R1C0S1_1"/>
      <m:item xlName="_GBC_219041d30d564cfc803dd0aa725859d1" concept="clcid-cgi:GongSiFaDingZhongWenJianCheng" label="公司法定中文简称" addr="T0R1C1S1_1">
        <m:simpleRule dataType="Any" comparator="None" minOccurs="1"/>
      </m:item>
      <m:placeholder xlName="_PLD_fb6cff6332ab4590b00f8af2677fb340" addr="T0R2C0S1_1"/>
      <m:item xlName="_GBC_a229374ce2dc41209c45558839890bc1" concept="clcid-cgi:GongSiFaDingYingWenMingCheng" label="公司法定英文名称" addr="T0R2C1S1_1"/>
      <m:placeholder xlName="_PLD_0f9e49e8650042ec9b8c21ec5745e8fb" addr="T0R3C0S1_1"/>
      <m:item xlName="_GBC_c1704098b48e464688db4e79b2f0c101" concept="clcid-cgi:GongSiFaDingYingWenMingChengSuoXie" label="公司法定英文名称缩写" addr="T0R3C1S1_1"/>
      <m:placeholder xlName="_PLD_0a355bec727a4b57973a85395f5b5218" addr="T0R4C0S1_1"/>
      <m:item xlName="_GBC_a8195c81342547c3a8fd7dae27c9752f" concept="clcid-cgi:GongSiFaDingDaiBiaoRen" label="公司法定代表人" addr="T0R4C1S1_1">
        <m:simpleRule dataType="Any" comparator="None" minOccurs="1"/>
      </m:item>
      <m:placeholder xlName="_PLD_1eee9472f73240b6886637ff8496e0af" addr="T0R5C0S1_1"/>
      <m:item xlName="_GBC_8660b7546b3943d6bd9e6f3b442c3d92" concept="clcid-cgi:GongSiZhuCeDiZhi" label="公司注册地址" addr="T0R5C1S1_1">
        <m:simpleRule dataType="Any" comparator="None" minOccurs="1"/>
      </m:item>
      <m:placeholder xlName="_PLD_7e8efc1fcfdf4b0d948b488cdce8f258" addr="T0R6C0S1_1"/>
      <m:item xlName="_GBC_2cf8091ee8e04f1aa2a3e12bcc753905" concept="clcid-cgi:GongSiZhuCeDiZhiDeLiShiBianGengQingKuang" label="公司注册地址的历史变更情况" addr="T0R6C1S1_1"/>
      <m:placeholder xlName="_PLD_fe7b9f4f318643168118457a12e0c67e" addr="T0R7C0S1_1"/>
      <m:item xlName="_GBC_fb320ae41f704e249b7a0f18a7a7bcdf" concept="clcid-cgi:GongSiBanGongDiZhi" label="公司办公地址" addr="T0R7C1S1_1">
        <m:simpleRule dataType="Any" comparator="None" minOccurs="1"/>
      </m:item>
      <m:placeholder xlName="_PLD_51de3710b3d74624b615230197e3d63a" addr="T0R8C0S1_1"/>
      <m:item xlName="_GBC_1bc3b075f4a9438c9c5dc6d968bd2de7" concept="clcid-cgi:GongSiBanGongDiZhiYouZhengBianMa" label="公司办公地址邮政编码" addr="T0R8C1S1_1"/>
      <m:placeholder xlName="_PLD_42ba5800e2804210abe095307917d109" addr="T0R9C0S1_1"/>
      <m:item xlName="_GBC_48a37c994fc7459bbcda59cddd80eda4" concept="clcid-cgi:GongSiGuoJiHuLianWangWangZhi" label="公司国际互联网网址" addr="T0R9C1S1_1"/>
      <m:placeholder xlName="_PLD_6fc91174c2f5423b8efe824d1c103fed" addr="T0R10C0S1_1"/>
      <m:item xlName="_GBC_828a7e62208e443b9510e5aae5f95ea8" concept="clcid-cgi:GongSiDianZiXinXiang" label="公司电子信箱" addr="T0R10C1S1_1"/>
      <m:placeholder xlName="_PLD_5feb529ab1a6493ea712c360c1230a77" addr="T0R11C0S1_1"/>
      <m:item xlName="_GBC_586dcbfd196448fe91738a1449ffaa64" concept="clcid-cgi:GongSiJiBenQingKuangBaoGaoQiNeiBianGengChaXunSuoYin" label="公司基本情况报告期内变更查询索引" addr="T0R11C1S1_1"/>
      <m:tuple xlName="_TUP_3f5fab27fbc24aa0ad274a0a7ca40754" concept="clcid-cgi:GongSiJiBenQingKuangMingXi" addr="T0R12C">
        <m:item xlName="_GBC_ec936a5ab6064aacafd83913ea75f723" concept="clcid-cgi:GongSiJiBenXinXiMingCheng" label="公司基本信息名称" addr="T0R12C0S1_1"/>
        <m:item xlName="_GBC_df74e8b3cb624b2aa438283672469d96" concept="clcid-cgi:GongSiJiBenQingKuangNeiRong" label="公司基本情况内容" addr="T0R12C1S1_1"/>
      </m:tuple>
    </m:section>
    <m:section xlName="_GBC_c68db6bd18a148f3a9683d04b791123b" title="联系人和联系方式" ignorePeriod="1" convertSummaryRule="NoConvert" helpId="102001002">
      <m:placeholder xlName="_PLD_40ee7e78ae754409b6b50e1b819c6047" addr="T0R0C1S1_1"/>
      <m:placeholder xlName="_PLD_3a25396416c14d2cb0688ae0ac8a1d4d" addr="T0R0C2S1_1"/>
      <m:placeholder xlName="_PLD_c18fe8824f6a4cb6b9318e599fe71657" addr="T0R1C0S1_1"/>
      <m:item xlName="_GBC_cac0fb0ee4d0495699c4e8dd8009b5ca" concept="clcid-cgi:GongSiDongShiHuiMiShuXingMing" label="公司董事会秘书姓名" addr="T0R1C1S1_1" tupleRef="clcid-cgi:DongShiHuiMiShuQingKuang" cellConvertType="3"/>
      <m:item xlName="_GBC_70a26fa96d8a40d39d18f0eafbed4a17" concept="clcid-cgi:GongSiZhengQuanShiWuDaiBiaoXingMing" label="公司证券事务代表姓名" addr="T0R1C2S1_1" tupleRef="clcid-cgi:ZhengQuanShiWuDaiBiaoQingKuang" cellConvertType="3"/>
      <m:placeholder xlName="_PLD_7d3032f58380420991f3cbceac5e81fd" addr="T0R2C0S1_1"/>
      <m:item xlName="_GBC_da00edc9edfd4e12abfd953a8f45ecd1" concept="clcid-cgi:GongSiDongShiHuiMiShuLianXiDiZhi" label="公司董事会秘书联系地址" addr="T0R2C1S1_1" tupleRef="clcid-cgi:DongShiHuiMiShuQingKuang" cellConvertType="3"/>
      <m:item xlName="_GBC_3adcc9d1aa664f27a97cc756d390649c" concept="clcid-cgi:GongSiZhengQuanShiWuDaiBiaoLianXiDiZhi" label="公司证券事务代表联系地址" addr="T0R2C2S1_1" tupleRef="clcid-cgi:ZhengQuanShiWuDaiBiaoQingKuang" cellConvertType="3"/>
      <m:placeholder xlName="_PLD_84ed4619f9cd46ba8ed261c2524b976d" addr="T0R3C0S1_1"/>
      <m:item xlName="_GBC_a03b44a2aeb641db9208ad0940e9b248" concept="clcid-cgi:GongSiDongShiHuiMiShuDianHua" label="公司董事会秘书电话" addr="T0R3C1S1_1" tupleRef="clcid-cgi:DongShiHuiMiShuQingKuang" cellConvertType="3"/>
      <m:item xlName="_GBC_6902b4b9534e46ef906c46cc54c81432" concept="clcid-cgi:GongSiZhengQuanShiWuDaiBiaoDianHua" label="公司证券事务代表电话" addr="T0R3C2S1_1" tupleRef="clcid-cgi:ZhengQuanShiWuDaiBiaoQingKuang" cellConvertType="3"/>
      <m:placeholder xlName="_PLD_53ff1b9808534a99b3bbc1bc09dac246" addr="T0R4C0S1_1"/>
      <m:item xlName="_GBC_03560dc980424f4aa2d9832b0fb18d8d" concept="clcid-cgi:GongSiDongShiHuiMiShuChuanZhen" label="公司董事会秘书传真" addr="T0R4C1S1_1" tupleRef="clcid-cgi:DongShiHuiMiShuQingKuang" cellConvertType="3"/>
      <m:item xlName="_GBC_fa537b03ba9e4cb5a37f2170eae641b0" concept="clcid-cgi:GongSiZhengQuanShiWuDaiBiaoChuanZhen" label="公司证券事务代表传真" addr="T0R4C2S1_1" tupleRef="clcid-cgi:ZhengQuanShiWuDaiBiaoQingKuang" cellConvertType="3"/>
      <m:placeholder xlName="_PLD_18165b6e55e1423db094125dc7ac3ad0" addr="T0R5C0S1_1"/>
      <m:item xlName="_GBC_5f9d2117b526463192a29912849968c2" concept="clcid-cgi:GongSiDongShiHuiMiShuDianZiXinXiang" label="公司董事会秘书电子信箱" addr="T0R5C1S1_1" tupleRef="clcid-cgi:DongShiHuiMiShuQingKuang" cellConvertType="3"/>
      <m:item xlName="_GBC_bedfc63a281248468aa1efc5a07a5efb"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GBC_20a39c6141734cc19616660ebf1a0dfa" title="信息披露及备置地点变更情况简介" ignorePeriod="1" convertSummaryRule="NoConvert" helpId="102001004">
      <m:placeholder xlName="_PLD_5a9e1277ac2b48eb8d7aa1b69c532d31" addr="T0R0C0S1_1"/>
      <m:item xlName="_GBC_ea25303a54e24033a0a9a380e9688e98" concept="clcid-cgi:GongSiXuanDingDeXinXiPiLuBaoZhiMingCheng" label="公司选定的信息披露报纸名称" addr="T0R0C1S1_1" tagAction="1" cellConvertType="1">
        <m:simpleRule dataType="Any" comparator="None" minOccurs="1"/>
      </m:item>
      <m:placeholder xlName="_PLD_34ad3e071c96488fa36dcc1913587c39" addr="T0R1C0S1_1"/>
      <m:item xlName="_GBC_4b6bb026dc8f4d8cbc0b758784efbc03" concept="clcid-cgi:DengZaiDingQiBaoGaoDeZhongGuoZhengJianHuiZhiDingWangZhanDeWangZhi" label="登载定期报告的中国证监会指定网站的网址" addr="T0R1C1S1_1" cellConvertType="1">
        <m:simpleRule dataType="Any" comparator="None" minOccurs="1"/>
      </m:item>
      <m:placeholder xlName="_PLD_533f230e5c504d15b6024014067b6306" addr="T0R2C0S1_1"/>
      <m:item xlName="_GBC_d97f7bcfbb644b17b1594081653d6090" concept="clcid-cgi:GongSiDingQiBaoGaoBeiZhiDiDian" label="公司定期报告备置地点" addr="T0R2C1S1_1" cellConvertType="1">
        <m:simpleRule dataType="Any" comparator="None" minOccurs="1"/>
      </m:item>
      <m:placeholder xlName="_PLD_71b3b22b33f543709c7346090ee03414" addr="T0R3C0S1_1"/>
      <m:item xlName="_GBC_13ebb9c022d044bab9ba38dcffdfaa76" concept="clcid-cgi:GongSiXinXiPiLuJiBeiZhiDiDianBaoGaoQiNeiBianGengChaXunSuoYin" label="公司信息披露及备置地点报告期内变更查询索引" addr="T0R3C1S1_1" cellConvertType="1"/>
    </m:section>
    <m:section xlName="_SEC_5312e31acd7547adb43c6abb47f3b5c1" title="公司股票简况" helpId="102001005">
      <m:item xlName="_GBC_9990f9c707c04cafa68f80707c06040e" concept="clcid-ci-ar:ShiFouShiYongGongSiGuPiaoJianKuang" label="是否适用：公司股票简况" selectOptions="_buildInAppliance" controlType="CustomCheckbox" cRanges="[{&quot;StartName&quot;:&quot;_GBC_9990f9c707c04cafa68f80707c06040e&quot;,&quot;EndName&quot;:&quot;_GBC_b5986ed5d3c8404294b1fd6109f49762&quot;,&quot;CType&quot;:1}]"/>
      <m:placeholder xlName="_PLD_ff4c23f6371f4a1f9d52bcc965a7478c" addr="T0R0C0S1_5"/>
      <m:placeholder xlName="_PLD_2fd06bfb1197432eb6ae0612bb92e411" addr="T0R1C0S1_1"/>
      <m:placeholder xlName="_PLD_2d21521b81bc45ae8daaf3942767c474" addr="T0R1C1S1_1"/>
      <m:placeholder xlName="_PLD_3c517e55e52845a9ab2326a3a30dc08d" addr="T0R1C2S1_1"/>
      <m:placeholder xlName="_PLD_3a98b4b719cc45f2b778dd7d0511f1ec" addr="T0R1C3S1_1"/>
      <m:placeholder xlName="_PLD_d7d29afe954742b6be5616e81eeabf19" addr="T0R1C4S1_1"/>
      <m:tuple xlName="_TUP_55489ad8124743fd86974eb59f4b6853" concept="clcid-cgi:GongSiQiTaGuPiaoJianKuang" addr="T0R2C">
        <m:item xlName="_GBC_2025c9a6438b4f6c9488475a475cfc70" concept="clcid-cgi:GongSiQiTaGuPiaoZhongLei" label="公司其他股票种类" addr="T0R2C0S1_1" appId="_GBC_9990f9c707c04cafa68f80707c06040e">
          <m:simpleRule dataType="Any" comparator="None" minOccurs="1"/>
        </m:item>
        <m:item xlName="_GBC_67f90bc283714f8082ee2cfbcc09ad53" concept="clcid-cgi:GongSiQiTaGuPiaoShangShiJiaoYiSuo" label="公司其他股票上市交易所" addr="T0R2C1S1_1" appId="_GBC_9990f9c707c04cafa68f80707c06040e">
          <m:simpleRule dataType="Any" comparator="None" minOccurs="1"/>
        </m:item>
        <m:item xlName="_GBC_86ab9005382a44d2839ae4492379b285" concept="clcid-cgi:GongSiQiTaGuPiaoJianCheng" label="公司其他股票简称" addr="T0R2C2S1_1" appId="_GBC_9990f9c707c04cafa68f80707c06040e">
          <m:simpleRule dataType="Any" comparator="None" minOccurs="1"/>
        </m:item>
        <m:item xlName="_GBC_b3ab855ddef84f859476d029d31818b4" concept="clcid-cgi:GongSiQiTaGuPiaoDaiMa" label="公司其他股票代码" addr="T0R2C3S1_1" appId="_GBC_9990f9c707c04cafa68f80707c06040e">
          <m:simpleRule dataType="Any" comparator="None" minOccurs="1"/>
        </m:item>
        <m:item xlName="_GBC_b5986ed5d3c8404294b1fd6109f49762" concept="clcid-cgi:GongSiQiTaGuPiaoBianGengQianDeJianCheng" label="公司其他股票变更前的简称" addr="T0R2C4S1_1" cellConvertType="1" appId="_GBC_9990f9c707c04cafa68f80707c06040e"/>
      </m:tuple>
    </m:section>
    <m:section xlName="_SEC_b930d956d3014db8852adeefc5de5f27" title="公司存托凭证简况" helpText="转换比例格式填写为：X:X">
      <m:item xlName="_GBC_bbcaca45c892498faf4513265395b492" concept="clcid-ci-ar:ShiFouShiYongGongSiCunTuoPingZhengJianKuang" label="是否适用：公司存托凭证简况" selectOptions="_buildInAppliance" controlType="CustomCheckbox" formatStyle="Comma" cRanges="[{&quot;StartName&quot;:&quot;_GBC_bbcaca45c892498faf4513265395b492&quot;,&quot;EndName&quot;:&quot;_GBC_c202611e9cd54507a182eedf73a132a2&quot;,&quot;CType&quot;:1}]"/>
      <m:placeholder xlName="_PLD_ea1b31bd805a49e6ad9c37749c2d992c" addr="T0R0C0S1_6"/>
      <m:placeholder xlName="_PLD_9281dacab9b041c88bd46cec8c8d0bed" addr="T0R1C0S1_1"/>
      <m:placeholder xlName="_PLD_2df5cf32522f44309f662b730b550e43" addr="T0R1C1S1_1"/>
      <m:placeholder xlName="_PLD_9867982bcb18482e95b7818147774d15" addr="T0R1C2S1_1"/>
      <m:placeholder xlName="_PLD_33da73e5d1fd4f989a3eb37f652676f7" addr="T0R1C3S1_1"/>
      <m:placeholder xlName="_PLD_0ebc4c60dfa249e398a37adeaa1bbf36" addr="T0R1C4S1_1"/>
      <m:placeholder xlName="_PLD_8563d759093840008230abb2c818a3db" addr="T0R1C5S1_1"/>
      <m:tuple xlName="_TUP_66d0f7de976e4059967ef49ae4ce254f" concept="clcid-cgi:GongSiCunTuoPingZhengJianKuangMingXi" default_row="2" addr="T0R2C">
        <m:item xlName="_GBC_532d23c0fb3a41aca199470047310222" concept="clcid-cgi:GongSiCunTuoPingZhengJianKuangMingXiZhengQuanZhongLei" label="公司存托凭证简况明细_证券种类" addr="T0R2C0S1_1" appId="_GBC_bbcaca45c892498faf4513265395b492"/>
        <m:item xlName="_GBC_df05bb6daabc4e428a0e5f211b54068b" concept="clcid-cgi:GongSiCunTuoPingZhengJianKuangMingXiCunTuoPingZhengYuJiChuGuPiaoDeZhuanHuanBiLi" label="公司存托凭证简况明细_存托凭证与基础股票的转换比例" addr="T0R2C1S1_1" appId="_GBC_bbcaca45c892498faf4513265395b492"/>
        <m:item xlName="_GBC_67d932fb3a2d4ab9a8abd4dc6bfabe38" concept="clcid-cgi:GongSiCunTuoPingZhengJianKuangMingXiCunTuoPingZhengShangShiJiaoYiSuoJiBanKuai" label="公司存托凭证简况明细_存托凭证上市交易所及板块" addr="T0R2C2S1_1" appId="_GBC_bbcaca45c892498faf4513265395b492"/>
        <m:item xlName="_GBC_fb88b57c0bc147959cee92e2d24d12ee" concept="clcid-cgi:GongSiCunTuoPingZhengJianKuangMingXiCunTuoPingZhengJianCheng" label="公司存托凭证简况明细_存托凭证简称" addr="T0R2C3S1_1" appId="_GBC_bbcaca45c892498faf4513265395b492"/>
        <m:item xlName="_GBC_6ef97b74531e4c0f8ef559d386b917a6" concept="clcid-cgi:GongSiCunTuoPingZhengJianKuangMingXiCunTuoPingZhengDaiMa" label="公司存托凭证简况明细_存托凭证代码" addr="T0R2C4S1_1" appId="_GBC_bbcaca45c892498faf4513265395b492"/>
        <m:item xlName="_GBC_c0dc0bf681a743fcbe439c685f27d69a" concept="clcid-cgi:GongSiCunTuoPingZhengJianKuangMingXiBianGengQianCunTuoPingZhengJianCheng" label="公司存托凭证简况明细_变更前存托凭证简称" addr="T0R2C5S1_1" appId="_GBC_bbcaca45c892498faf4513265395b492"/>
      </m:tuple>
      <m:placeholder xlName="_PLD_009c972b3aff47d2bf9117632d544d84" addr="T1R0C0S3_1"/>
      <m:placeholder xlName="_PLD_5d5840e85a0142c4979b6e2d34177b39" addr="T1R0C1S1_1"/>
      <m:item xlName="_GBC_ac88bac624254e6287b6e111b8b26ea0" concept="clcid-cgi:GongSiCunTuoPingZhengCunTuoJiGouMingXiMingCheng" label="公司存托凭证存托机构明细_名称" addr="T1R0C2S1_1" tagAction="1" formatStyle="Comma" appId="_GBC_bbcaca45c892498faf4513265395b492" rowGroupKey="存托凭证存托机构" groupRowType="1" rowGroupTuple="clcid-cgi:GongSiCunTuoPingZhengCunTuoJiGouMingXi"/>
      <m:placeholder xlName="_PLD_1dc22bf6a7c74e25af3783264c9aa271" addr="T1R1C1S1_1"/>
      <m:item xlName="_GBC_4056b1eb73384963a44773d6673b9e4f" concept="clcid-cgi:GongSiCunTuoPingZhengCunTuoJiGouMingXiBanGongDiZhi" label="公司存托凭证存托机构明细_办公地址" addr="T1R1C2S1_1" formatStyle="Comma" appId="_GBC_bbcaca45c892498faf4513265395b492" rowGroupKey="存托凭证存托机构" groupRowType="4" rowGroupTuple="clcid-cgi:GongSiCunTuoPingZhengCunTuoJiGouMingXi"/>
      <m:placeholder xlName="_PLD_d21e8ae2b41649fb8197412f2859c6e8" addr="T1R2C1S1_1"/>
      <m:item xlName="_GBC_6f97abf517f340cf9434e30ccf1d69e6" concept="clcid-cgi:GongSiCunTuoPingZhengCunTuoJiGouMingXiJingBanRen" label="公司存托凭证存托机构明细_经办人" addr="T1R2C2S1_1" formatStyle="Comma" appId="_GBC_bbcaca45c892498faf4513265395b492" rowGroupKey="存托凭证存托机构" groupRowType="5" rowGroupTuple="clcid-cgi:GongSiCunTuoPingZhengCunTuoJiGouMingXi"/>
      <m:placeholder xlName="_PLD_283a58c9af1d4ae3ac8392dc6f35816c" addr="T1R3C0S3_1"/>
      <m:placeholder xlName="_PLD_5d53f6bc7c4a4ec982cbe25155299c6f" addr="T1R3C1S1_1"/>
      <m:item xlName="_GBC_43989342c98c47d1ad45a45c6d16c255" concept="clcid-cgi:GongSiCunTuoPingZhengTuoGuanJiGouMingXiMingCheng" label="公司存托凭证托管机构明细_名称" addr="T1R3C2S1_1" formatStyle="Comma" appId="_GBC_bbcaca45c892498faf4513265395b492" rowGroupKey="存托凭证托管机构" groupRowType="1" rowGroupTuple="clcid-cgi:GongSiCunTuoPingZhengTuoGuanJiGouMingXi"/>
      <m:placeholder xlName="_PLD_aea6e22f7f1947d5973adbdee593900f" addr="T1R4C1S1_1"/>
      <m:item xlName="_GBC_51adaacbc8164ae9aacf7925c25ba8d1" concept="clcid-cgi:GongSiCunTuoPingZhengTuoGuanJiGouMingXiBanGongDiZhi" label="公司存托凭证托管机构明细_办公地址" addr="T1R4C2S1_1" formatStyle="Comma" appId="_GBC_bbcaca45c892498faf4513265395b492" rowGroupKey="存托凭证托管机构" groupRowType="4" rowGroupTuple="clcid-cgi:GongSiCunTuoPingZhengTuoGuanJiGouMingXi"/>
      <m:placeholder xlName="_PLD_6dbdd9c5132c48a483451d20397d3e1e" addr="T1R5C1S1_1"/>
      <m:item xlName="_GBC_c202611e9cd54507a182eedf73a132a2" concept="clcid-cgi:GongSiCunTuoPingZhengTuoGuanJiGouMingXiJingBanRen" label="公司存托凭证托管机构明细_经办人" addr="T1R5C2S1_1" formatStyle="Comma" appId="_GBC_bbcaca45c892498faf4513265395b492" rowGroupKey="存托凭证托管机构" groupRowType="5" rowGroupTuple="clcid-cgi:GongSiCunTuoPingZhengTuoGuanJiGouMingXi"/>
    </m:section>
    <m:section xlName="_GBC_cd186ef4acaf4e28b71fed998e691ebd" title="其他有关资料" ignorePeriod="1" convertSummaryRule="NoConvert" helpId="102001008">
      <m:item xlName="_GBC_78c3cc115c0d4dd3bf5e7c57142e5e68" concept="clcid-ci-ar:ShiFouShiYongQiTaYouGuanZiLiao" label="是否适用：其他有关资料" selectOptions="_buildInAppliance" controlType="CustomCheckbox" cRanges="{&quot;StartName&quot;:&quot;_GBC_78c3cc115c0d4dd3bf5e7c57142e5e68&quot;,&quot;EndName&quot;:&quot;_GBC_2e5f79011fd44589b010b5b927248a22&quot;,&quot;CType&quot;:1,&quot;DisplayText&quot;:null}"/>
      <m:item xlName="_GBC_2e5f79011fd44589b010b5b927248a22" concept="clcid-cgi:GongSiQiTaJiBenQingKuang" label="公司其他基本情况" appId="_GBC_78c3cc115c0d4dd3bf5e7c57142e5e68"/>
    </m:section>
    <m:item xlName="_GBC_c7cd0dd826b247dbba8cc8b1a811aefb" concept="clcid-ci-ar:DanWeiBaoGaoQiMoGongSiQianSanNianZhuYaoKuaiJiShuJuHeCaiWuZhiBiao" label="单位：报告期末公司前三年主要会计数据和财务指标" selectOptions="_buildInScales" controlType="Combobox" cellType="Scale"/>
    <m:item xlName="_GBC_2df6a5d441324c13bcf6c4c54ac41eb0"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placeholder xlName="_PLD_e63d02b963714237aa4678b1878c888d" addr="T0R0C0S1_1"/>
      <m:placeholder xlName="_PLD_913ae157f7e74eee947ea98d96be3599" addr="T0R0C1S1_1"/>
      <m:placeholder xlName="_PLD_0f32665f64034720b1ecd674058f4d8b" addr="T0R0C2S1_1"/>
      <m:placeholder xlName="_PLD_e634aa67fe8c44038b152224d8a245d6" addr="T0R0C3S1_1"/>
      <m:placeholder xlName="_PLD_601d7d8438f74f1c9abca1ce60a4f163" addr="T0R1C0S1_1"/>
      <m:item xlName="_GBC_710985d8bd6047cc9011fc334cf8089b" concept="clcid-pte:YingYeShouRu" label="营业收入" mulRef="_GBC_c7cd0dd826b247dbba8cc8b1a811aefb" unitRef="_GBC_2df6a5d441324c13bcf6c4c54ac41eb0" addr="T0R1C1S1_1" formatStyle="Comma"/>
      <m:item xlName="_GBC_7c5da886e3a04f318f97bf5b3df41719" concept="clcid-pte:YingYeShouRu" label="营业收入" periodRef="上年同期数" mulRef="_GBC_c7cd0dd826b247dbba8cc8b1a811aefb" unitRef="_GBC_2df6a5d441324c13bcf6c4c54ac41eb0" addr="T0R1C2S1_1" formatStyle="Comma"/>
      <m:item xlName="_GBC_56b732ec8d414b90b7d6ca5cf88091fd" concept="clcid-pte:YingYeShouRuBenQiBiShangQiZengJian" label="营业收入本期比上期增减" addr="T0R1C3S1_1" baseScale="0.01" formatStyle="Comma">
        <m:complexRule comparator="Eq" title="3.1_营业收入本期比上期增减" test=" (  $_GBC_710985d8bd6047cc9011fc334cf8089b -  $_GBC_7c5da886e3a04f318f97bf5b3df41719 )  /  $_GBC_7c5da886e3a04f318f97bf5b3df41719" id="C30c0bdf27890459a99c9160e19d23063" general="true" denoGt0="true">
          <m:precondition id="CON_2cc20ffeeb4f4bed80780ff8a970d94a" desc="营业收入_上期数大于0" test=" $_GBC_7c5da886e3a04f318f97bf5b3df41719 &gt;  0 "/>
        </m:complexRule>
      </m:item>
      <m:placeholder xlName="_PLD_1825ec6c60fc481f877063c3cecfffca" addr="T0R2C0S1_1"/>
      <m:item xlName="_GBC_27b2cd64da26423d8bb15f0785df93b0" concept="clcid-pte:GuiShuYuMuGongSiSuoYouZheDeJingLiRun" label="归属于母公司所有者的净利润" mulRef="_GBC_c7cd0dd826b247dbba8cc8b1a811aefb" unitRef="_GBC_2df6a5d441324c13bcf6c4c54ac41eb0" addr="T0R2C1S1_1" formatStyle="Comma"/>
      <m:item xlName="_GBC_3730fdab291446f69786b3732d6fa348" concept="clcid-pte:GuiShuYuMuGongSiSuoYouZheDeJingLiRun" label="归属于母公司所有者的净利润" periodRef="上年同期数" mulRef="_GBC_c7cd0dd826b247dbba8cc8b1a811aefb" unitRef="_GBC_2df6a5d441324c13bcf6c4c54ac41eb0" addr="T0R2C2S1_1" formatStyle="Comma"/>
      <m:item xlName="_GBC_eecdd10196e7480384e0632db98938d0" concept="clcid-pte:JingLiRunBenQiBiShangQiZengJian" label="净利润本期比上期增减" addr="T0R2C3S1_1" baseScale="0.01" formatStyle="Comma">
        <m:complexRule comparator="Eq" title="3.1_净利润 本期比上期增减" test=" (  $_GBC_27b2cd64da26423d8bb15f0785df93b0 -  $_GBC_3730fdab291446f69786b3732d6fa348 )  /  $_GBC_3730fdab291446f69786b3732d6fa348" id="Cb75b58efa0a34de7903c63d27a89c21a" general="true" denoGt0="true">
          <m:precondition id="CON_657ce831c12f4f5781f276dad93ed67d" desc="归属净利润大于0" test=" $_GBC_3730fdab291446f69786b3732d6fa348 &gt;  0 "/>
        </m:complexRule>
      </m:item>
      <m:placeholder xlName="_PLD_f59cc08add024388b79135816e85f0a1" addr="T0R3C0S1_1"/>
      <m:item xlName="_GBC_8519431eaa1d47388093b90a9296ce4c" concept="clcid-pte:KouChuFeiJingChangXingSunYiHouDeJingLiRun" label="扣除非经常性损益后的净利润" mulRef="_GBC_c7cd0dd826b247dbba8cc8b1a811aefb" unitRef="_GBC_2df6a5d441324c13bcf6c4c54ac41eb0" addr="T0R3C1S1_1" formatStyle="Comma">
        <m:complexRule comparator="Eq" title="3.1_扣除非经常性损益后的净利润" test=" $_GBC_27b2cd64da26423d8bb15f0785df93b0 -  $_GBC_e2cff98a6a8340f9a4fa5cbe44ef0eec" id="Cd014f493b5e54ee9aceac9b9388d8c37" general="true"/>
      </m:item>
      <m:item xlName="_GBC_9a2bb710bc064c538a123f1d4d9adca0" concept="clcid-pte:KouChuFeiJingChangXingSunYiHouDeJingLiRun" label="扣除非经常性损益后的净利润" periodRef="上年同期数" mulRef="_GBC_c7cd0dd826b247dbba8cc8b1a811aefb" unitRef="_GBC_2df6a5d441324c13bcf6c4c54ac41eb0" addr="T0R3C2S1_1" formatStyle="Comma"/>
      <m:item xlName="_GBC_1d13791dbbcf4bed92bb4394d4cea471" concept="clcid-pte:KouChuFeiJingChangXingSunYiDeJingLiRunBenQiBiShangQiZengJian" label="扣除非经常性损益的净利润本期比上期增减" addr="T0R3C3S1_1" baseScale="0.01" formatStyle="Comma">
        <m:complexRule comparator="Eq" title="3.1_扣除非经常性损益后的净利润本期比上期增减" test=" (  $_GBC_8519431eaa1d47388093b90a9296ce4c -  $_GBC_9a2bb710bc064c538a123f1d4d9adca0 )  /  $_GBC_9a2bb710bc064c538a123f1d4d9adca0" id="C9fc9a9d896e940cba7cee24f6496cd58" general="true" denoGt0="true">
          <m:precondition id="CON_6f9fe1fdf3be45bbaebeadd971a87dfa" desc="扣后净利润_上期数大于0" test=" $_GBC_9a2bb710bc064c538a123f1d4d9adca0 &gt;  0 "/>
        </m:complexRule>
      </m:item>
      <m:placeholder xlName="_PLD_895da6708d8042d69e93b2530ead8964" addr="T0R4C0S1_1"/>
      <m:item xlName="_GBC_18350a03bac449a8bf9de353501df757" concept="clcid-pte:JingYingHuoDongXianJinLiuLiangJingE" label="经营活动现金流量净额" mulRef="_GBC_c7cd0dd826b247dbba8cc8b1a811aefb" unitRef="_GBC_2df6a5d441324c13bcf6c4c54ac41eb0" addr="T0R4C1S1_1" formatStyle="Comma"/>
      <m:item xlName="_GBC_7e2906a118e24d74ad326fa7837a253e" concept="clcid-pte:JingYingHuoDongXianJinLiuLiangJingE" label="经营活动现金流量净额" periodRef="上年同期数" mulRef="_GBC_c7cd0dd826b247dbba8cc8b1a811aefb" unitRef="_GBC_2df6a5d441324c13bcf6c4c54ac41eb0" addr="T0R4C2S1_1" formatStyle="Comma"/>
      <m:item xlName="_GBC_bc517a22470b43708c54d8d84e53258d" concept="clcid-pte:JingYingHuoDongXianJinLiuLiangJingEBenQiBiShangQiZengJian" label="经营活动现金流量净额本期比上期增减" addr="T0R4C3S1_1" baseScale="0.01" formatStyle="Comma">
        <m:complexRule comparator="Eq" title="经营活动现金流量净额本期比上期增减" test=" (  $_GBC_18350a03bac449a8bf9de353501df757 -  $_GBC_7e2906a118e24d74ad326fa7837a253e )  /  $_GBC_7e2906a118e24d74ad326fa7837a253e" id="Ca7ada3e7ff7f47eea9c3577c3dea92cc" general="true" denoGt0="true">
          <m:precondition id="CON_1f24cc28d6644f418d0a01b59a545342" desc="经营现金流量_上期数大于0" test=" $_GBC_7e2906a118e24d74ad326fa7837a253e &gt;  0 "/>
        </m:complexRule>
      </m:item>
      <m:tuple xlName="_GBC_4b6455b0069141d59ef27889062d8c76" concept="clcid-pte:ZhuYaoShiQiShuKuaiJiShuJu" default_row="2" addr="T0R5C">
        <m:item xlName="_GBC_dac135d2d268405fb5642592e17b0f80" concept="clcid-pte:ZhuYaoShiQiShuKuaiJiShuJuKeMuMingCheng" label="主要时期数会计数据科目名称" addr="T0R5C0S1_1" cellConvertType="1"/>
        <m:item xlName="_GBC_620335aa90ba4c379283a93537351e10" concept="clcid-pte:ZhuYaoShiQiShuKuaiJiShuJuKeMuZhi" label="主要时期数会计数据科目值" mulRef="_GBC_c7cd0dd826b247dbba8cc8b1a811aefb" unitRef="_GBC_2df6a5d441324c13bcf6c4c54ac41eb0" addr="T0R5C1S1_1" formatStyle="Comma"/>
        <m:item xlName="_GBC_e8444c4c2a674a088a44e450b3c604be" concept="clcid-pte:ZhuYaoShiQiShuKuaiJiShuJuKeMuZhi" label="主要时期数会计数据科目值" periodRef="上年同期数" mulRef="_GBC_c7cd0dd826b247dbba8cc8b1a811aefb" unitRef="_GBC_2df6a5d441324c13bcf6c4c54ac41eb0" addr="T0R5C2S1_1" formatStyle="Comma"/>
        <m:item xlName="_GBC_f14580cc7efa4109b780021e843f3128" concept="clcid-pte:ZhuYaoShiQiShuKuaiJiShuJuKeMuZhiBenQiBiShangQiZengJian" label="主要时期数会计数据科目值本期比上期增减" addr="T0R5C3S1_1" baseScale="0.01" formatStyle="Comma">
          <m:complexRule comparator="Eq" title="主要时期数会计数据科目值本期比上期增减" test=" (  $_GBC_620335aa90ba4c379283a93537351e10 -  $_GBC_e8444c4c2a674a088a44e450b3c604be )  / abs (  $_GBC_e8444c4c2a674a088a44e450b3c604be ) " id="C2547fdc8cd9f4d2f9845d623e52f7632" denoGt0="true"/>
        </m:item>
      </m:tuple>
      <m:placeholder xlName="_PLD_b75e9aa554cc48539ab9de572d244f45" addr="T0R7C1S1_1"/>
      <m:placeholder xlName="_PLD_7425b2bc6a39452296814978a781ba72" addr="T0R7C2S1_1"/>
      <m:placeholder xlName="_PLD_7a1ba9a6d9b54e51bd320f47b6233184" addr="T0R7C3S1_1"/>
      <m:placeholder xlName="_PLD_c12ab31af03f46e4bd02eb659877c070" addr="T0R8C0S1_1"/>
      <m:item xlName="_GBC_c264e53177a646a89bab23ee6a122aac" concept="clcid-pte:GuiShuYuMuGongSiSuoYouZheQuanYiHeJi" label="归属于母公司所有者权益合计" mulRef="_GBC_c7cd0dd826b247dbba8cc8b1a811aefb" unitRef="_GBC_2df6a5d441324c13bcf6c4c54ac41eb0" addr="T0R8C1S1_1" formatStyle="Comma"/>
      <m:item xlName="_GBC_8d9460019b644ac19fb31e97c9b4647e" concept="clcid-pte:GuiShuYuMuGongSiSuoYouZheQuanYiHeJi" label="归属于母公司所有者权益合计" periodRef="上年度期末数" mulRef="_GBC_c7cd0dd826b247dbba8cc8b1a811aefb" unitRef="_GBC_2df6a5d441324c13bcf6c4c54ac41eb0" addr="T0R8C2S1_1" formatStyle="Comma"/>
      <m:item xlName="_GBC_4612e6cd36eb4c05848b0ee6de70a8ea" concept="clcid-pte:GuDongQuanYiBenQiBiShangQiZengJian" label="股东权益本期比上期增减" addr="T0R8C3S1_1" baseScale="0.01" formatStyle="Comma">
        <m:complexRule comparator="Eq" title="3.1_股东权益本期比上期增减" test=" (  $_GBC_c264e53177a646a89bab23ee6a122aac -  $_GBC_8d9460019b644ac19fb31e97c9b4647e )  /  $_GBC_8d9460019b644ac19fb31e97c9b4647e" id="C4d41f59b31614a37b1df2ae0c3b2fb7b" general="true" denoGt0="true">
          <m:precondition id="CON_197fec41ec98488498dfbe498be59a74" desc="股东权益上年末数大于0" test=" $_GBC_8d9460019b644ac19fb31e97c9b4647e &gt;  0 "/>
        </m:complexRule>
      </m:item>
      <m:placeholder xlName="_PLD_c9e79cad72304cada434a9145656a31f" addr="T0R9C0S1_1"/>
      <m:item xlName="_GBC_36328a382ae4482b8662418745db7d55" concept="clcid-pte:ZiChanZongJi" label="资产总计" mulRef="_GBC_c7cd0dd826b247dbba8cc8b1a811aefb" unitRef="_GBC_2df6a5d441324c13bcf6c4c54ac41eb0" addr="T0R9C1S1_1" formatStyle="Comma"/>
      <m:item xlName="_GBC_6c7912ed42714421ab5f733f008d5f76" concept="clcid-pte:ZiChanZongJi" label="资产总计" periodRef="上年度期末数" mulRef="_GBC_c7cd0dd826b247dbba8cc8b1a811aefb" unitRef="_GBC_2df6a5d441324c13bcf6c4c54ac41eb0" addr="T0R9C2S1_1" formatStyle="Comma"/>
      <m:item xlName="_GBC_791a4ce1c61443cd8010d235ccb5b010" concept="clcid-pte:ZongZiChanBenQiBiShangQiZengJian" label="总资产本期比上期增减" addr="T0R9C3S1_1" baseScale="0.01" formatStyle="Comma">
        <m:complexRule comparator="Eq" title="3.1_总资产本期比上期增减" test=" (  $_GBC_36328a382ae4482b8662418745db7d55 -  $_GBC_6c7912ed42714421ab5f733f008d5f76 )  /  $_GBC_6c7912ed42714421ab5f733f008d5f76" id="C8ac8f366582d48eeb7d8709c1df4e477" general="true" denoGt0="true">
          <m:precondition id="CON_af473f7d20304c22995363c757f6daf0" desc="资产上年末数大于0" test=" $_GBC_6c7912ed42714421ab5f733f008d5f76 &gt;  0 "/>
        </m:complexRule>
      </m:item>
      <m:tuple xlName="_GBC_877718f5f04343928e782034404a85ba" concept="clcid-pte:ZhuYaoShiDianShuKuaiJiShuJu" default_row="2" addr="T0R10C">
        <m:item xlName="_GBC_30dff8d648e1473483b3c0c61ff745ae" concept="clcid-pte:ZhuYaoShiDianShuKuaiJiShuJuKeMuMingCheng" label="主要时点数会计数据科目名称" addr="T0R10C0S1_1" cellConvertType="1"/>
        <m:item xlName="_GBC_53bba3fb73cd40b3b036feda929aff66" concept="clcid-pte:ZhuYaoShiDianShuKuaiJiShuJuKeMuZhi" label="主要时点数会计数据科目值" mulRef="_GBC_c7cd0dd826b247dbba8cc8b1a811aefb" unitRef="_GBC_2df6a5d441324c13bcf6c4c54ac41eb0" addr="T0R10C1S1_1" formatStyle="Comma"/>
        <m:item xlName="_GBC_75da7034bd44486895b7fea8af312d1d" concept="clcid-pte:ZhuYaoShiDianShuKuaiJiShuJuKeMuZhi" label="主要时点数会计数据科目值" periodRef="上年度期末数" mulRef="_GBC_c7cd0dd826b247dbba8cc8b1a811aefb" unitRef="_GBC_2df6a5d441324c13bcf6c4c54ac41eb0" addr="T0R10C2S1_1" formatStyle="Comma"/>
        <m:item xlName="_GBC_bde94a131e784a4d863f342d68b44711" concept="clcid-pte:ZhuYaoShiDianShuKuaiJiShuJuKeMuZhiBenQiBiShangQiZengJian" label="主要时点数会计数据科目值本期比上期增减" addr="T0R10C3S1_1" baseScale="0.01" formatStyle="Comma">
          <m:complexRule comparator="Eq" title="主要时点数会计数据科目值本期比上期增减" test=" (  $_GBC_53bba3fb73cd40b3b036feda929aff66 -  $_GBC_75da7034bd44486895b7fea8af312d1d )  / abs (  $_GBC_75da7034bd44486895b7fea8af312d1d ) " id="Ccda03d0dfaff442aa10a764a4dba1ca5" denoGt0="true"/>
        </m:item>
      </m:tuple>
    </m:section>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placeholder xlName="_PLD_9a892ddb7f784060a3faccb4c3beadce" addr="T0R0C0S2_1"/>
      <m:placeholder xlName="_PLD_c1037fd91103435795ea62def760a024" addr="T0R0C1S2_1"/>
      <m:placeholder xlName="_PLD_bab30e1b543c4fbf9c30f9a629245ebf" addr="T0R0C2S1_2"/>
      <m:placeholder xlName="_PLD_939281d443df430dae16ace9baf8e6ea" addr="T0R0C4S2_1"/>
      <m:placeholder xlName="_PLD_ea077e6e667b40c889b036ebdde32f06" addr="T0R1C2S1_1"/>
      <m:placeholder xlName="_PLD_8d00c2e24647428c8ce791bbc0b90f87" addr="T0R1C3S1_1"/>
      <m:placeholder xlName="_PLD_d6fe8f04567e4b74ba93eab901204586" addr="T0R2C0S1_1"/>
      <m:item xlName="_GBC_ab72ada34e3f4a13827283553d336eac" concept="clcid-pte:YingYeShouRu" label="营业收入" mulRef="_GBC_c7cd0dd826b247dbba8cc8b1a811aefb" unitRef="_GBC_2df6a5d441324c13bcf6c4c54ac41eb0" addr="T0R2C1S1_1" formatStyle="Comma"/>
      <m:item xlName="_GBC_e42c961372af4b4bb6aa2fccee064fd0" concept="clcid-pte:YingYeShouRu" label="营业收入" periodRef="上年同期数" mulRef="_GBC_c7cd0dd826b247dbba8cc8b1a811aefb" unitRef="_GBC_2df6a5d441324c13bcf6c4c54ac41eb0" addr="T0R2C2S1_1" formatStyle="Comma"/>
      <m:item xlName="_GBC_36f7a295b7fe4854a3ae47d7d1f730ad" concept="clcid-pte:YingYeShouRu" label="营业收入" periodRef="上年同期数" mulRef="_GBC_c7cd0dd826b247dbba8cc8b1a811aefb" unitRef="_GBC_2df6a5d441324c13bcf6c4c54ac41eb0" addr="T0R2C3S1_1" formatStyle="Comma">
        <m:axisValue occRef="调整前的值"/>
      </m:item>
      <m:item xlName="_GBC_0278e08996fe480ab1abe0c2db8aaf05" concept="clcid-pte:YingYeShouRuBenQiBiShangQiZengJian" label="营业收入本期比上期增减" addr="T0R2C4S1_1" baseScale="0.01" formatStyle="Comma">
        <m:complexRule comparator="Eq" title="营业收入本期比上期增减" id="Cd49dedf1f808463bbb133873c63e1d45" denoGt0="true"/>
      </m:item>
      <m:placeholder xlName="_PLD_992c24f1e02e446b8aefeb9054d25359" addr="T0R3C0S1_1"/>
      <m:item xlName="_GBC_89c0391bc1654de5bf4abb4576789a29" concept="clcid-pte:GuiShuYuMuGongSiSuoYouZheDeJingLiRun" label="归属于母公司所有者的净利润" mulRef="_GBC_c7cd0dd826b247dbba8cc8b1a811aefb" unitRef="_GBC_2df6a5d441324c13bcf6c4c54ac41eb0" addr="T0R3C1S1_1" formatStyle="Comma"/>
      <m:item xlName="_GBC_b1868fdbdeea4c0183c4b4976f1d651c" concept="clcid-pte:GuiShuYuMuGongSiSuoYouZheDeJingLiRun" label="归属于母公司所有者的净利润" periodRef="上年同期数" mulRef="_GBC_c7cd0dd826b247dbba8cc8b1a811aefb" unitRef="_GBC_2df6a5d441324c13bcf6c4c54ac41eb0" addr="T0R3C2S1_1" formatStyle="Comma"/>
      <m:item xlName="_GBC_f54fa42199e744aaaa0f5a0846cff821" concept="clcid-pte:GuiShuYuMuGongSiSuoYouZheDeJingLiRun" label="归属于母公司所有者的净利润" periodRef="上年同期数" mulRef="_GBC_c7cd0dd826b247dbba8cc8b1a811aefb" unitRef="_GBC_2df6a5d441324c13bcf6c4c54ac41eb0" addr="T0R3C3S1_1" formatStyle="Comma">
        <m:axisValue occRef="调整前的值"/>
      </m:item>
      <m:item xlName="_GBC_53f59bd097864e15b75684289d9439ca" concept="clcid-pte:JingLiRunBenQiBiShangQiZengJian" label="净利润本期比上期增减" addr="T0R3C4S1_1" baseScale="0.01" formatStyle="Comma">
        <m:complexRule comparator="Eq" title="净利润本期比上期增减" id="C237358fdfc3c47b89b087c4f4fa54de6" denoGt0="true"/>
      </m:item>
      <m:placeholder xlName="_PLD_5881cdcf54224948be30960900f28cf5" addr="T0R4C0S1_1"/>
      <m:item xlName="_GBC_bd931979bfd54c01b7c60c12c1c4352c" concept="clcid-pte:KouChuFeiJingChangXingSunYiHouDeJingLiRun" label="扣除非经常性损益后的净利润" mulRef="_GBC_c7cd0dd826b247dbba8cc8b1a811aefb" unitRef="_GBC_2df6a5d441324c13bcf6c4c54ac41eb0" addr="T0R4C1S1_1" formatStyle="Comma">
        <m:complexRule comparator="Eq" title="扣除非经常性损益后的净利润" test=" $_GBC_89c0391bc1654de5bf4abb4576789a29 -  $_GBC_e2cff98a6a8340f9a4fa5cbe44ef0eec" id="Cd5a320cd7ee04ddd916dc57bfe814dce"/>
      </m:item>
      <m:item xlName="_GBC_2db39bcb9d984e54a671cf0f318f75f0" concept="clcid-pte:KouChuFeiJingChangXingSunYiHouDeJingLiRun" label="扣除非经常性损益后的净利润" periodRef="上年同期数" mulRef="_GBC_c7cd0dd826b247dbba8cc8b1a811aefb" unitRef="_GBC_2df6a5d441324c13bcf6c4c54ac41eb0" addr="T0R4C2S1_1" formatStyle="Comma"/>
      <m:item xlName="_GBC_5c20ef8351ac4709a3a7ca3d2a8fdf87" concept="clcid-pte:KouChuFeiJingChangXingSunYiHouDeJingLiRun" label="扣除非经常性损益后的净利润" periodRef="上年同期数" mulRef="_GBC_c7cd0dd826b247dbba8cc8b1a811aefb" unitRef="_GBC_2df6a5d441324c13bcf6c4c54ac41eb0" addr="T0R4C3S1_1" formatStyle="Comma">
        <m:axisValue occRef="调整前的值"/>
      </m:item>
      <m:item xlName="_GBC_8371e4e2a8e44d5b8fe8d9245065babe" concept="clcid-pte:KouChuFeiJingChangXingSunYiDeJingLiRunBenQiBiShangQiZengJian" label="扣除非经常性损益的净利润本期比上期增减" addr="T0R4C4S1_1" baseScale="0.01" formatStyle="Comma">
        <m:complexRule comparator="Eq" title="扣除非经常性损益的净利润本期比上期增减" id="Cd8d52b280f5d4ce8bac7715f91b1a6d3" denoGt0="true"/>
      </m:item>
      <m:placeholder xlName="_PLD_dcc7a40166e74d48ae3a32c7262060e1" addr="T0R5C0S1_1"/>
      <m:item xlName="_GBC_f427913e78604eae8b80fc6fc53ed97a" concept="clcid-pte:JingYingHuoDongXianJinLiuLiangJingE" label="经营活动现金流量净额" mulRef="_GBC_c7cd0dd826b247dbba8cc8b1a811aefb" unitRef="_GBC_2df6a5d441324c13bcf6c4c54ac41eb0" addr="T0R5C1S1_1" formatStyle="Comma"/>
      <m:item xlName="_GBC_f787816728db4188ac8dac3ad2a1bc91" concept="clcid-pte:JingYingHuoDongXianJinLiuLiangJingE" label="经营活动现金流量净额" periodRef="上年同期数" mulRef="_GBC_c7cd0dd826b247dbba8cc8b1a811aefb" unitRef="_GBC_2df6a5d441324c13bcf6c4c54ac41eb0" addr="T0R5C2S1_1" formatStyle="Comma"/>
      <m:item xlName="_GBC_0ff6e71034b448f5ad76fd5794708b95" concept="clcid-pte:JingYingHuoDongXianJinLiuLiangJingE" label="经营活动现金流量净额" periodRef="上年同期数" mulRef="_GBC_c7cd0dd826b247dbba8cc8b1a811aefb" unitRef="_GBC_2df6a5d441324c13bcf6c4c54ac41eb0" addr="T0R5C3S1_1" formatStyle="Comma">
        <m:axisValue occRef="调整前的值"/>
      </m:item>
      <m:item xlName="_GBC_fdc589d330a94ca8817760ac8cd84700" concept="clcid-pte:JingYingHuoDongXianJinLiuLiangJingEBenQiBiShangQiZengJian" label="经营活动现金流量净额本期比上期增减" addr="T0R5C4S1_1" baseScale="0.01" formatStyle="Comma">
        <m:complexRule comparator="Eq" title="经营活动现金流量净额本期比上期增减" id="Caaaac4e792e1445dadacf1c05c81aa8d" denoGt0="true"/>
      </m:item>
      <m:tuple xlName="_GBC_70bc7d09018e4f488f2822fb56b2c224" concept="clcid-pte:ZhuYaoShiQiShuKuaiJiShuJu" default_row="2" addr="T0R6C">
        <m:item xlName="_GBC_9c2ac50be875486cac099dae4276b478" concept="clcid-pte:ZhuYaoShiQiShuKuaiJiShuJuKeMuMingCheng" label="主要时期数会计数据科目名称" addr="T0R6C0S1_1" cellConvertType="1"/>
        <m:item xlName="_GBC_51260db3555e496a9bc47b525374cce0" concept="clcid-pte:ZhuYaoShiQiShuKuaiJiShuJuKeMuZhi" label="主要时期数会计数据科目值" mulRef="_GBC_c7cd0dd826b247dbba8cc8b1a811aefb" unitRef="_GBC_2df6a5d441324c13bcf6c4c54ac41eb0" addr="T0R6C1S1_1" formatStyle="Comma"/>
        <m:item xlName="_GBC_ff8a9128335e425ab1d64d79d3dfcf7d" concept="clcid-pte:ZhuYaoShiQiShuKuaiJiShuJuKeMuZhi" label="主要时期数会计数据科目值" periodRef="上年同期数" mulRef="_GBC_c7cd0dd826b247dbba8cc8b1a811aefb" unitRef="_GBC_2df6a5d441324c13bcf6c4c54ac41eb0" addr="T0R6C2S1_1" formatStyle="Comma"/>
        <m:item xlName="_GBC_e717432211ae43758982f857d96654d5" concept="clcid-pte:ZhuYaoShiQiShuKuaiJiShuJuKeMuZhi" label="主要时期数会计数据科目值" periodRef="上年同期数" mulRef="_GBC_c7cd0dd826b247dbba8cc8b1a811aefb" unitRef="_GBC_2df6a5d441324c13bcf6c4c54ac41eb0" addr="T0R6C3S1_1" formatStyle="Comma">
          <m:axisValue occRef="调整前的值"/>
        </m:item>
        <m:item xlName="_GBC_f8a8071534504109ad4d2df876d87abd" concept="clcid-pte:ZhuYaoShiQiShuKuaiJiShuJuKeMuZhiBenQiBiShangQiZengJian" label="主要时期数会计数据科目值本期比上期增减" addr="T0R6C4S1_1" baseScale="0.01" formatStyle="Comma">
          <m:complexRule comparator="Eq" title="主要时期数会计数据科目值本期比上期增减" test=" (  $_GBC_51260db3555e496a9bc47b525374cce0 -  $_GBC_ff8a9128335e425ab1d64d79d3dfcf7d )  / abs (  $_GBC_ff8a9128335e425ab1d64d79d3dfcf7d ) " id="C13f26d4d6f484774aa6237ce35760c67" denoGt0="true"/>
        </m:item>
      </m:tuple>
      <m:placeholder xlName="_PLD_c7b7068cbc2d423f9bca32e0ef1279a4" addr="T0R8C1S2_1"/>
      <m:placeholder xlName="_PLD_8051a782c26646bb91b35d3d6e9b3f15" addr="T0R8C2S1_2"/>
      <m:placeholder xlName="_PLD_8358d5c4e2fb4bba98618c7ec8bb3fc2" addr="T0R8C4S2_1"/>
      <m:placeholder xlName="_PLD_afd37870086f47d9b2dbc63bd02cb0d5" addr="T0R9C2S1_1"/>
      <m:placeholder xlName="_PLD_5ac02f67d8c64007ab312248cec82d6d" addr="T0R9C3S1_1"/>
      <m:placeholder xlName="_PLD_649c619a12754e7e88c2829af2557897" addr="T0R10C0S1_1"/>
      <m:item xlName="_GBC_283652a974364496b1631f1db2b80c63" concept="clcid-pte:GuiShuYuMuGongSiSuoYouZheQuanYiHeJi" label="归属于母公司所有者权益合计" mulRef="_GBC_c7cd0dd826b247dbba8cc8b1a811aefb" unitRef="_GBC_2df6a5d441324c13bcf6c4c54ac41eb0" addr="T0R10C1S1_1" formatStyle="Comma"/>
      <m:item xlName="_GBC_622f442c326c4d76aa05bf29a561df59" concept="clcid-pte:GuiShuYuMuGongSiSuoYouZheQuanYiHeJi" label="归属于母公司所有者权益合计" periodRef="上年度期末数" mulRef="_GBC_c7cd0dd826b247dbba8cc8b1a811aefb" unitRef="_GBC_2df6a5d441324c13bcf6c4c54ac41eb0" addr="T0R10C2S1_1" formatStyle="Comma"/>
      <m:item xlName="_GBC_7f1e62a169be419b85ee2e494791f400" concept="clcid-pte:GuiShuYuMuGongSiSuoYouZheQuanYiHeJi" label="归属于母公司所有者权益合计" periodRef="上年度期末数" mulRef="_GBC_c7cd0dd826b247dbba8cc8b1a811aefb" unitRef="_GBC_2df6a5d441324c13bcf6c4c54ac41eb0" addr="T0R10C3S1_1" formatStyle="Comma">
        <m:axisValue occRef="调整前的值"/>
      </m:item>
      <m:item xlName="_GBC_525270a640e449a1894fe13b8114bb29" concept="clcid-pte:GuDongQuanYiBenQiBiShangQiZengJian" label="股东权益本期比上期增减" addr="T0R10C4S1_1" baseScale="0.01" formatStyle="Comma">
        <m:complexRule comparator="Eq" title="股东权益本期比上期增减" id="C44d1191f6ad2469299b618de78644c23" denoGt0="true"/>
      </m:item>
      <m:placeholder xlName="_PLD_8fe1d1223da1450492e298a0b1a56014" addr="T0R11C0S1_1"/>
      <m:item xlName="_GBC_63c24971794948bfaa16bfb0a4ef742c" concept="clcid-pte:ZiChanZongJi" label="资产总计" mulRef="_GBC_c7cd0dd826b247dbba8cc8b1a811aefb" unitRef="_GBC_2df6a5d441324c13bcf6c4c54ac41eb0" addr="T0R11C1S1_1" formatStyle="Comma"/>
      <m:item xlName="_GBC_688977bee3124bf895412334e5780af3" concept="clcid-pte:ZiChanZongJi" label="资产总计" periodRef="上年度期末数" mulRef="_GBC_c7cd0dd826b247dbba8cc8b1a811aefb" unitRef="_GBC_2df6a5d441324c13bcf6c4c54ac41eb0" addr="T0R11C2S1_1" formatStyle="Comma"/>
      <m:item xlName="_GBC_5813545ca80442d09e3ec0a105f85bbe" concept="clcid-pte:ZiChanZongJi" label="资产总计" periodRef="上年度期末数" mulRef="_GBC_c7cd0dd826b247dbba8cc8b1a811aefb" unitRef="_GBC_2df6a5d441324c13bcf6c4c54ac41eb0" addr="T0R11C3S1_1" formatStyle="Comma">
        <m:axisValue occRef="调整前的值"/>
      </m:item>
      <m:item xlName="_GBC_f5773c18784942a7be2003a08e37238d" concept="clcid-pte:ZongZiChanBenQiBiShangQiZengJian" label="总资产本期比上期增减" addr="T0R11C4S1_1" baseScale="0.01" formatStyle="Comma">
        <m:complexRule comparator="Eq" title="总资产本期比上期增减" id="Cc21a46aa62e043b38515f2237e10b43b" denoGt0="true"/>
      </m:item>
      <m:tuple xlName="_GBC_588da0966fef46ed8a96712f4b7c93bc" concept="clcid-pte:ZhuYaoShiDianShuKuaiJiShuJu" default_row="2" addr="T0R12C">
        <m:item xlName="_GBC_95fc1c201fb64997beee6a8fda83915f" concept="clcid-pte:ZhuYaoShiDianShuKuaiJiShuJuKeMuMingCheng" label="主要时点数会计数据科目名称" addr="T0R12C0S1_1" cellConvertType="1"/>
        <m:item xlName="_GBC_6502db17267c4ad6abae9fd54fd25724" concept="clcid-pte:ZhuYaoShiDianShuKuaiJiShuJuKeMuZhi" label="主要时点数会计数据科目值" mulRef="_GBC_c7cd0dd826b247dbba8cc8b1a811aefb" unitRef="_GBC_2df6a5d441324c13bcf6c4c54ac41eb0" addr="T0R12C1S1_1" formatStyle="Comma"/>
        <m:item xlName="_GBC_d12c8ca9dfb24e3cba310f2423cae94f" concept="clcid-pte:ZhuYaoShiDianShuKuaiJiShuJuKeMuZhi" label="主要时点数会计数据科目值" periodRef="上年度期末数" mulRef="_GBC_c7cd0dd826b247dbba8cc8b1a811aefb" unitRef="_GBC_2df6a5d441324c13bcf6c4c54ac41eb0" addr="T0R12C2S1_1" formatStyle="Comma"/>
        <m:item xlName="_GBC_41b965aeb7fd4cffbe5e96bd7e65a758" concept="clcid-pte:ZhuYaoShiDianShuKuaiJiShuJuKeMuZhi" label="主要时点数会计数据科目值" periodRef="上年度期末数" mulRef="_GBC_c7cd0dd826b247dbba8cc8b1a811aefb" unitRef="_GBC_2df6a5d441324c13bcf6c4c54ac41eb0" addr="T0R12C3S1_1" formatStyle="Comma">
          <m:axisValue occRef="调整前的值"/>
        </m:item>
        <m:item xlName="_GBC_ec6a2e2425094e51a1ddca336bf9bfb7" concept="clcid-pte:ZhuYaoShiDianShuKuaiJiShuJuKeMuZhiBenQiBiShangQiZengJian" label="主要时点数会计数据科目值本期比上期增减" addr="T0R12C4S1_1" baseScale="0.01" formatStyle="Comma">
          <m:complexRule comparator="Eq" title="主要时点数会计数据科目值本期比上期增减" test=" (  $_GBC_6502db17267c4ad6abae9fd54fd25724 -  $_GBC_d12c8ca9dfb24e3cba310f2423cae94f )  / abs (  $_GBC_d12c8ca9dfb24e3cba310f2423cae94f ) " id="Cbe8db81ba3fe4914bfaec3b0a1939027" denoGt0="true"/>
        </m:item>
      </m:tuple>
    </m:section>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placeholder xlName="_PLD_b12e929543994adfbc7a21fe743cd125" addr="T0R0C0S1_1"/>
      <m:placeholder xlName="_PLD_d04f89449ff14c5fa39e871117b7e9e2" addr="T0R0C1S1_1"/>
      <m:placeholder xlName="_PLD_bdb91a2a58254a0e945eecc5aef91521" addr="T0R0C2S1_1"/>
      <m:placeholder xlName="_PLD_08306889e5b040aa83784b3f6db386f1" addr="T0R0C3S1_1"/>
      <m:placeholder xlName="_PLD_089671b43cd048bda3f42f7ff187200a" addr="T0R1C0S1_1"/>
      <m:item xlName="_GBC_86b6918c0f8e42f3a3a51d625c5323d9" concept="clcid-pte:JiBenMeiGuShouYi" label="基本每股收益" unitRef="_GBC_2df6a5d441324c13bcf6c4c54ac41eb0" addr="T0R1C1S1_1" formatStyle="Comma" fixedType="EPS"/>
      <m:item xlName="_GBC_584729723e57485398b1976834ccf5b0" concept="clcid-pte:JiBenMeiGuShouYi" label="基本每股收益" periodRef="上年同期数" unitRef="_GBC_2df6a5d441324c13bcf6c4c54ac41eb0" addr="T0R1C2S1_1" formatStyle="Comma" fixedType="EPS"/>
      <m:item xlName="_GBC_0d000d5701d949d59919557aaf321501" concept="clcid-pte:JiBenMeiGuShouYiBenQiBiShangQiZengJian" label="基本每股收益本期比上期增减" addr="T0R1C3S1_1" baseScale="0.01" formatStyle="Comma">
        <m:complexRule comparator="Eq" title="3.1基本每股收益本期比上期增减" test=" (  $_GBC_86b6918c0f8e42f3a3a51d625c5323d9 -  $_GBC_584729723e57485398b1976834ccf5b0 )  /  $_GBC_584729723e57485398b1976834ccf5b0" id="Cc7747c819c964aa88a2de4068d426202" general="true" denoGt0="true">
          <m:precondition id="CON_ceb1e7fd6bcb47e1a04cca6f6c20ac51" desc="基本每股收益上期数大于0" test=" $_GBC_584729723e57485398b1976834ccf5b0 &gt;  0 "/>
        </m:complexRule>
      </m:item>
      <m:placeholder xlName="_PLD_b53c618810f6494198af9022cf5f9c92" addr="T0R2C0S1_1"/>
      <m:item xlName="_GBC_5479873b0db84b57b2c9109ebc6bff5d" concept="clcid-pte:XiShiMeiGuShouYi" label="稀释每股收益" unitRef="_GBC_2df6a5d441324c13bcf6c4c54ac41eb0" addr="T0R2C1S1_1" formatStyle="Comma" fixedType="EPS"/>
      <m:item xlName="_GBC_df6801dbb6554f788e5691b1275ddc0c" concept="clcid-pte:XiShiMeiGuShouYi" label="稀释每股收益" periodRef="上年同期数" unitRef="_GBC_2df6a5d441324c13bcf6c4c54ac41eb0" addr="T0R2C2S1_1" formatStyle="Comma" fixedType="EPS"/>
      <m:item xlName="_GBC_86627f486c5a49a1abb59e3a3e01b83b" concept="clcid-pte:XiShiMeiGuShouYiBenQiBiShangQiZengJian" label="稀释每股收益本期比上期增减" addr="T0R2C3S1_1" baseScale="0.01" formatStyle="Comma">
        <m:complexRule comparator="Eq" title="3.1稀释每股收益本期比上期增减" test=" (  $_GBC_5479873b0db84b57b2c9109ebc6bff5d -  $_GBC_df6801dbb6554f788e5691b1275ddc0c )  /  $_GBC_df6801dbb6554f788e5691b1275ddc0c" id="C7b695255b60e46f68ab417e345bfdf3e" general="true" denoGt0="true">
          <m:precondition id="CON_a61b951a5f0c465ba40b9b17e981dbcd" desc="稀释每股收益上期数大于0" test=" $_GBC_df6801dbb6554f788e5691b1275ddc0c &gt;  0 "/>
        </m:complexRule>
      </m:item>
      <m:placeholder xlName="_PLD_7995656a90ee4448a470f6a06fe39000" addr="T0R3C0S1_1"/>
      <m:item xlName="_GBC_6c577dfdf67549a0855d0bd22c06e2b0" concept="clcid-pte:KouChuFeiJingChangXingSunYiHouGuiShuYuGongSiPuTongGuGuDongDeJingLiRunJiBenMeiGuShouYi" label="扣除非经常性损益后归属于公司普通股股东的净利润基本每股收益" unitRef="_GBC_2df6a5d441324c13bcf6c4c54ac41eb0" addr="T0R3C1S1_1" formatStyle="Comma" fixedType="EPS"/>
      <m:item xlName="_GBC_b9acb6b637744de2b3a128c6e247d5bf" concept="clcid-pte:KouChuFeiJingChangXingSunYiHouGuiShuYuGongSiPuTongGuGuDongDeJingLiRunJiBenMeiGuShouYi" label="扣除非经常性损益后归属于公司普通股股东的净利润基本每股收益" periodRef="上年同期数" unitRef="_GBC_2df6a5d441324c13bcf6c4c54ac41eb0" addr="T0R3C2S1_1" formatStyle="Comma" fixedType="EPS"/>
      <m:item xlName="_GBC_dc6bbda91ee7417e99cf32335654cd50"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3.1_扣除非经常性损益后归属于公司普通股股东的净利润基本每股收益本期比上期增减" test=" (  $_GBC_6c577dfdf67549a0855d0bd22c06e2b0 -  $_GBC_b9acb6b637744de2b3a128c6e247d5bf )  /  $_GBC_b9acb6b637744de2b3a128c6e247d5bf" id="Cedfc92e9f08449c9962cde5719f40ad3" general="true" denoGt0="true">
          <m:precondition id="CON_cb528b2dd3f44a8abfa014ef24c74987" desc="扣后基本每股收益上期数大于0" test=" $_GBC_b9acb6b637744de2b3a128c6e247d5bf &gt;  0 "/>
        </m:complexRule>
      </m:item>
      <m:placeholder xlName="_PLD_7ae3fa8992794ff1bdf49e4e770ce96d" addr="T0R4C0S1_1"/>
      <m:item xlName="_GBC_be8f2bb2db4c47da980cf7896fd83788" concept="clcid-pte:JingLiRunJiaQuanPingJunJingZiChanShouYiLv" label="净利润_加权平均_净资产收益率" addr="T0R4C1S1_1" baseScale="0.01" formatStyle="Comma"/>
      <m:item xlName="_GBC_6b55be276ca046f5a3dfe96bc442fd7b" concept="clcid-pte:JingLiRunJiaQuanPingJunJingZiChanShouYiLv" label="净利润_加权平均_净资产收益率" periodRef="上年同期数" addr="T0R4C2S1_1" baseScale="0.01" formatStyle="Comma"/>
      <m:item xlName="_GBC_468db081c149493781273a86261664a1" concept="clcid-pte:JingZiChanShouYiLvJiaQuanPingJunBenQiBiShangQiZengJian" label="净资产收益率加权平均本期比上期增减" addr="T0R4C3S1_1" baseScale="0.01" formatStyle="PercentChange">
        <m:complexRule comparator="Eq" title="3.1_净资产收益率加权平均本期比上期增减" test=" $_GBC_be8f2bb2db4c47da980cf7896fd83788 -  $_GBC_6b55be276ca046f5a3dfe96bc442fd7b" id="C81308c1d934446548ac5bcd5586d0e68" general="true" denoGt0="true"/>
      </m:item>
      <m:placeholder xlName="_PLD_37d92f3112bf450196ad8233f93a5237" addr="T0R5C0S1_1"/>
      <m:item xlName="_GBC_a0d55b6fada3443284a2ce51553f0c61" concept="clcid-pte:KouChuFeiJingChangXingSunYiDeJingLiRunDeJiaQuanPingJunJingZiChanShouYiLv" label="扣除非经常性损益的净利润的加权平均净资产收益率" addr="T0R5C1S1_1" baseScale="0.01" formatStyle="Comma"/>
      <m:item xlName="_GBC_6d7b28657fa541d989bda63824c9b1d4" concept="clcid-pte:KouChuFeiJingChangXingSunYiDeJingLiRunDeJiaQuanPingJunJingZiChanShouYiLv" label="扣除非经常性损益的净利润的加权平均净资产收益率" periodRef="上年同期数" addr="T0R5C2S1_1" baseScale="0.01" formatStyle="Comma"/>
      <m:item xlName="_GBC_56ff8a96a6e14e4dafd9a9f394541065" concept="clcid-pte:KouChuDeJingLiRunDeJingZiChanShouYiLvJiaQuanPingJunBenQiBiShangQiZengJian" label="扣除的净利润的净资产收益率加权平均本期比上期增减" addr="T0R5C3S1_1" baseScale="0.01" formatStyle="PercentChange">
        <m:complexRule comparator="Eq" title="3.1_扣除的净利润的净资产收益率加权平均本期比上期增减" test=" $_GBC_a0d55b6fada3443284a2ce51553f0c61 -  $_GBC_6d7b28657fa541d989bda63824c9b1d4" id="Cf68b6a64b0614c9891088c848e5934a2" general="true" denoGt0="true"/>
      </m:item>
      <m:placeholder xlName="_PLD_a142584ba0b24f70b1e37295f59c9f19" addr="T0R6C0S1_1"/>
      <m:item xlName="_GBC_1bdb5688f7744643bff08830526f9ca3" concept="clcid-pte:YanFaZhiChuZongEZhanYingYeShouRuBiLi" label="研发投入总额占营业收入比例" addr="T0R6C1S1_1" baseScale="0.01" formatStyle="Comma"/>
      <m:item xlName="_GBC_504230c389bd4948880fc584508660b7" concept="clcid-pte:YanFaZhiChuZongEZhanYingYeShouRuBiLi" label="研发投入总额占营业收入比例" periodRef="上年同期数" addr="T0R6C2S1_1" baseScale="0.01" formatStyle="Comma"/>
      <m:item xlName="_GBC_aa19cbad845b4a5bba8a12ab604c4529" concept="clcid-pte:YanFaTouRuZhanYingYeShouRuDeBiLiBenQiBiShangQiZengJian" label="研发投入占营业收入的比例本期比上期增减" addr="T0R6C3S1_1" baseScale="0.01" formatStyle="PercentChange"/>
      <m:tuple xlName="_GBC_f8966eaa1e1e407dbeb4d749d5193700" concept="clcid-pte:ZhuYaoCaiWuZhiBiao" default_row="2" addr="T0R7C">
        <m:item xlName="_GBC_c63a04ee0e744c85bc81aa013cc37974" concept="clcid-pte:ZhuYaoCaiWuZhiBiaoMingCheng" label="主要财务指标名称" addr="T0R7C0S1_1" cellConvertType="1"/>
        <m:item xlName="_GBC_23cea084586e4f9cb83fb7896c93da68" concept="clcid-pte:ZhuYaoCaiWuZhiBiaoZhi" label="主要财务指标值" unitRef="_GBC_2df6a5d441324c13bcf6c4c54ac41eb0" addr="T0R7C1S1_1" formatStyle="Comma"/>
        <m:item xlName="_GBC_2df29f006716426685136cf15f0c821b" concept="clcid-pte:ZhuYaoCaiWuZhiBiaoZhi" label="主要财务指标值" periodRef="上年同期数" unitRef="_GBC_2df6a5d441324c13bcf6c4c54ac41eb0" addr="T0R7C2S1_1" formatStyle="Comma"/>
        <m:item xlName="_GBC_8b14bde79db14f97b98b4c5d7edb7b9a" concept="clcid-pte:ZhuYaoCaiWuZhiBiaoZhiBenQiBiShangQiZengJian" label="主要财务指标值本期比上期增减" addr="T0R7C3S1_1" baseScale="0.01" formatStyle="Comma">
          <m:complexRule comparator="Eq" title="主要财务指标值本期比上期增减" id="Cda2c841418954ddda9e5e273285beda2" denoGt0="true"/>
        </m:item>
      </m:tuple>
    </m:section>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placeholder xlName="_PLD_6d7b3bceaaf34a96ba27ea0ea25e3754" addr="T0R0C0S2_1"/>
      <m:placeholder xlName="_PLD_6cbdd89f333d439db5e4664ea2fa7505" addr="T0R0C1S2_1"/>
      <m:placeholder xlName="_PLD_e1230dd33a1d4fd998be9bc3948d5d04" addr="T0R0C2S1_2"/>
      <m:placeholder xlName="_PLD_aabe4942f79647c28adb31e2e1670f48" addr="T0R0C4S2_1"/>
      <m:placeholder xlName="_PLD_402d0455fb6c423a9b6175ae7803ccd9" addr="T0R1C2S1_1"/>
      <m:placeholder xlName="_PLD_6bfef4b21a324688ae42fb4419ff855c" addr="T0R1C3S1_1"/>
      <m:placeholder xlName="_PLD_92a9a64fe9c042fcaad92acda96451ea" addr="T0R2C0S1_1"/>
      <m:item xlName="_GBC_0ce7c6368e7446fda9639f0ff0b626e5" concept="clcid-pte:JiBenMeiGuShouYi" label="基本每股收益" unitRef="_GBC_2df6a5d441324c13bcf6c4c54ac41eb0" addr="T0R2C1S1_1" formatStyle="Comma" fixedType="EPS"/>
      <m:item xlName="_GBC_0d382039a2a3435cb3774e9f008f8989" concept="clcid-pte:JiBenMeiGuShouYi" label="基本每股收益" periodRef="上年同期数" unitRef="_GBC_2df6a5d441324c13bcf6c4c54ac41eb0" addr="T0R2C2S1_1" formatStyle="Comma" fixedType="EPS"/>
      <m:item xlName="_GBC_d0e2d8794ce046ae8c73dc174cb6c210" concept="clcid-pte:JiBenMeiGuShouYi" label="基本每股收益" periodRef="上年同期数" unitRef="_GBC_2df6a5d441324c13bcf6c4c54ac41eb0" addr="T0R2C3S1_1" formatStyle="Comma" fixedType="EPS">
        <m:axisValue occRef="调整前的值"/>
      </m:item>
      <m:item xlName="_GBC_036f0bd519ef47478e56a842af33349e" concept="clcid-pte:JiBenMeiGuShouYiBenQiBiShangQiZengJian" label="基本每股收益本期比上期增减" addr="T0R2C4S1_1" baseScale="0.01" formatStyle="Comma">
        <m:complexRule comparator="Eq" title="基本每股收益本期比上期增减" id="C9087348974e54ffaa3418a4c0728a2d0" denoGt0="true"/>
      </m:item>
      <m:placeholder xlName="_PLD_8c6b8202d696467bb8dec8c0454e4bc6" addr="T0R3C0S1_1"/>
      <m:item xlName="_GBC_9c4f539f15224a68912e057ae49517d6" concept="clcid-pte:XiShiMeiGuShouYi" label="稀释每股收益" unitRef="_GBC_2df6a5d441324c13bcf6c4c54ac41eb0" addr="T0R3C1S1_1" formatStyle="Comma" fixedType="EPS"/>
      <m:item xlName="_GBC_666e27f0ea1c49a2af24beddbfabae78" concept="clcid-pte:XiShiMeiGuShouYi" label="稀释每股收益" periodRef="上年同期数" unitRef="_GBC_2df6a5d441324c13bcf6c4c54ac41eb0" addr="T0R3C2S1_1" formatStyle="Comma" fixedType="EPS"/>
      <m:item xlName="_GBC_7ebc3ae6d4ac4d87bc83bfb6b15d3f1e" concept="clcid-pte:XiShiMeiGuShouYi" label="稀释每股收益" periodRef="上年同期数" unitRef="_GBC_2df6a5d441324c13bcf6c4c54ac41eb0" addr="T0R3C3S1_1" formatStyle="Comma" fixedType="EPS">
        <m:axisValue occRef="调整前的值"/>
      </m:item>
      <m:item xlName="_GBC_006cc35086d9473ba4f15ea66906a5f4" concept="clcid-pte:XiShiMeiGuShouYiBenQiBiShangQiZengJian" label="稀释每股收益本期比上期增减" addr="T0R3C4S1_1" baseScale="0.01" formatStyle="Comma">
        <m:complexRule comparator="Eq" title="稀释每股收益本期比上期增减" id="C6f303dfd6e334b7eb5f980d1bbfea351" denoGt0="true"/>
      </m:item>
      <m:placeholder xlName="_PLD_cfb315b9a9094f35b16230c45756d137" addr="T0R4C0S1_1"/>
      <m:item xlName="_GBC_1d0923a887cf4a8abdacdcbe60c525c2" concept="clcid-pte:KouChuFeiJingChangXingSunYiHouGuiShuYuGongSiPuTongGuGuDongDeJingLiRunJiBenMeiGuShouYi" label="扣除非经常性损益后归属于公司普通股股东的净利润基本每股收益" unitRef="_GBC_2df6a5d441324c13bcf6c4c54ac41eb0" addr="T0R4C1S1_1" formatStyle="Comma" fixedType="EPS"/>
      <m:item xlName="_GBC_14b939ee122e4162bb950783d56054f2" concept="clcid-pte:KouChuFeiJingChangXingSunYiHouGuiShuYuGongSiPuTongGuGuDongDeJingLiRunJiBenMeiGuShouYi" label="扣除非经常性损益后归属于公司普通股股东的净利润基本每股收益" periodRef="上年同期数" unitRef="_GBC_2df6a5d441324c13bcf6c4c54ac41eb0" addr="T0R4C2S1_1" formatStyle="Comma" fixedType="EPS"/>
      <m:item xlName="_GBC_cd710e2550bf43fd967ed07dd09d2092" concept="clcid-pte:KouChuFeiJingChangXingSunYiHouGuiShuYuGongSiPuTongGuGuDongDeJingLiRunJiBenMeiGuShouYi" label="扣除非经常性损益后归属于公司普通股股东的净利润基本每股收益" periodRef="上年同期数" unitRef="_GBC_2df6a5d441324c13bcf6c4c54ac41eb0" addr="T0R4C3S1_1" formatStyle="Comma" fixedType="EPS">
        <m:axisValue occRef="调整前的值"/>
      </m:item>
      <m:item xlName="_GBC_68ffc33d6a4f4d989c0025a76402b689"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complexRule comparator="Eq" title="扣除非经常性损益后归属于公司普通股股东的净利润基本每股收益本期比上期增减" id="Cea417e719bfa43cc9c2bbd0cd3694c73" denoGt0="true"/>
      </m:item>
      <m:placeholder xlName="_PLD_418a1757a4d246178676bae5be46a7cc" addr="T0R5C0S1_1"/>
      <m:item xlName="_GBC_14ae5ca4e54b48d29651fac58edacd4d" concept="clcid-pte:JingLiRunJiaQuanPingJunJingZiChanShouYiLv" label="净利润_加权平均_净资产收益率" addr="T0R5C1S1_1" baseScale="0.01" formatStyle="Comma"/>
      <m:item xlName="_GBC_63d5307896f94957bbe8e9a53227ea39" concept="clcid-pte:JingLiRunJiaQuanPingJunJingZiChanShouYiLv" label="净利润_加权平均_净资产收益率" periodRef="上年同期数" addr="T0R5C2S1_1" baseScale="0.01" formatStyle="Comma"/>
      <m:item xlName="_GBC_568ce2f2cfc3428ebeb4fe1f440224d0" concept="clcid-pte:JingLiRunJiaQuanPingJunJingZiChanShouYiLv" label="净利润_加权平均_净资产收益率" periodRef="上年同期数" addr="T0R5C3S1_1" baseScale="0.01" formatStyle="Comma">
        <m:axisValue occRef="调整前的值"/>
      </m:item>
      <m:item xlName="_GBC_a696601b94914c81a817460c3e8d1ab8" concept="clcid-pte:JingZiChanShouYiLvJiaQuanPingJunBenQiBiShangQiZengJian" label="净资产收益率加权平均本期比上期增减" addr="T0R5C4S1_1" baseScale="0.01" formatStyle="PercentChange">
        <m:complexRule comparator="Eq" title="净资产收益率加权平均本期比上期增减" id="C97f4487f16044f38ad5157a4337c2c80" denoGt0="true"/>
      </m:item>
      <m:placeholder xlName="_PLD_49e03256cb984f7683140d10985296fd" addr="T0R6C0S1_1"/>
      <m:item xlName="_GBC_2802a86f5e634987a0db0cc1675361d5" concept="clcid-pte:KouChuFeiJingChangXingSunYiDeJingLiRunDeJiaQuanPingJunJingZiChanShouYiLv" label="扣除非经常性损益的净利润的加权平均净资产收益率" addr="T0R6C1S1_1" baseScale="0.01" formatStyle="Comma"/>
      <m:item xlName="_GBC_167b42b3b31f4b2eaa4e79a2ce9c3c37" concept="clcid-pte:KouChuFeiJingChangXingSunYiDeJingLiRunDeJiaQuanPingJunJingZiChanShouYiLv" label="扣除非经常性损益的净利润的加权平均净资产收益率" periodRef="上年同期数" addr="T0R6C2S1_1" baseScale="0.01" formatStyle="Comma"/>
      <m:item xlName="_GBC_9252ff053293456fb0d6a874d59dbc5d"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19e9e82edac4106b59e8075efc22804" concept="clcid-pte:KouChuDeJingLiRunDeJingZiChanShouYiLvJiaQuanPingJunBenQiBiShangQiZengJian" label="扣除的净利润的净资产收益率加权平均本期比上期增减" addr="T0R6C4S1_1" baseScale="0.01" formatStyle="PercentChange">
        <m:complexRule comparator="Eq" title="扣除的净利润的净资产收益率加权平均本期比上期增减" id="C7c935667f659446ab3170a873200a5ac" denoGt0="true"/>
      </m:item>
      <m:placeholder xlName="_PLD_6aa701c9aad143a0a2f5b03c0b62ebd8" addr="T0R7C0S1_1"/>
      <m:item xlName="_GBC_d57010309a164090b663f116642928de" concept="clcid-pte:YanFaZhiChuZongEZhanYingYeShouRuBiLi" label="研发投入总额占营业收入比例" addr="T0R7C1S1_1" baseScale="0.01" formatStyle="Comma"/>
      <m:item xlName="_GBC_cfb56ec5f88c4b038e2cc8c0f7d54e49" concept="clcid-pte:YanFaZhiChuZongEZhanYingYeShouRuBiLi" label="研发投入总额占营业收入比例" periodRef="上年同期数" addr="T0R7C2S1_1" baseScale="0.01" formatStyle="Comma"/>
      <m:item xlName="_GBC_b9b2d025063e40f7b1a4cf7ffe616df8" concept="clcid-pte:YanFaZhiChuZongEZhanYingYeShouRuBiLi" label="研发投入总额占营业收入比例" periodRef="上年同期数" addr="T0R7C3S1_1" baseScale="0.01" formatStyle="Comma">
        <m:axisValue occRef="调整前的值"/>
      </m:item>
      <m:item xlName="_GBC_1141dda6f75d463895b8d4cdb1908050" concept="clcid-pte:YanFaTouRuZhanYingYeShouRuDeBiLiBenQiBiShangQiZengJian" label="研发投入占营业收入的比例本期比上期增减" addr="T0R7C4S1_1" baseScale="0.01" formatStyle="PercentChange"/>
      <m:tuple xlName="_GBC_bc8f489aae1647998f6e3fa61d4c3653" concept="clcid-pte:ZhuYaoCaiWuZhiBiao" default_row="2" addr="T0R8C">
        <m:item xlName="_GBC_3eb71ed15094491e870fc41e7bf118b9" concept="clcid-pte:ZhuYaoCaiWuZhiBiaoMingCheng" label="主要财务指标名称" addr="T0R8C0S1_1" cellConvertType="1"/>
        <m:item xlName="_GBC_153dce1b59b44677adf72da116cf159b" concept="clcid-pte:ZhuYaoCaiWuZhiBiaoZhi" label="主要财务指标值" unitRef="_GBC_2df6a5d441324c13bcf6c4c54ac41eb0" addr="T0R8C1S1_1" formatStyle="Comma"/>
        <m:item xlName="_GBC_aca8332fdde94ce69babcf2843ae8717" concept="clcid-pte:ZhuYaoCaiWuZhiBiaoZhi" label="主要财务指标值" periodRef="上年同期数" unitRef="_GBC_2df6a5d441324c13bcf6c4c54ac41eb0" addr="T0R8C2S1_1" formatStyle="Comma"/>
        <m:item xlName="_GBC_f258ef88db3a411280c3a22672670ad1" concept="clcid-pte:ZhuYaoCaiWuZhiBiaoZhi" label="主要财务指标值" periodRef="上年同期数" unitRef="_GBC_2df6a5d441324c13bcf6c4c54ac41eb0" addr="T0R8C3S1_1" formatStyle="Comma">
          <m:axisValue occRef="调整前的值"/>
        </m:item>
        <m:item xlName="_GBC_39f5c8b1b83440888b9378b0ca00eee6" concept="clcid-pte:ZhuYaoCaiWuZhiBiaoZhiBenQiBiShangQiZengJian" label="主要财务指标值本期比上期增减" addr="T0R8C4S1_1" baseScale="0.01" formatStyle="Comma">
          <m:complexRule comparator="Eq" title="主要财务指标值本期比上期增减" id="C62da26f305354559aa2d128418abaef6" denoGt0="true"/>
        </m:item>
      </m:tuple>
    </m:section>
    <m:section xlName="_GBC_89dd4b4cf79140928f55be83e164f009" title="公司主要会计数据和财务指标的说明" rules="R2015_R2_001" convertSummaryRule="NoConvert" helpId="103004001">
      <m:item xlName="_GBC_cfe99dae5f804f6f8f02eb429483f98a" concept="clcid-ci-ar:ShiFouShiYongGongSiZhuYaoKuaiJiShuJuHeCaiWuZhiBiaoDeShuoMing" label="是否适用：公司主要会计数据和财务指标的说明" selectOptions="_buildInAppliance" controlType="CustomCheckbox" cRanges="{&quot;StartName&quot;:&quot;_GBC_cfe99dae5f804f6f8f02eb429483f98a&quot;,&quot;EndName&quot;:&quot;_GBC_97608ceee0dd4babbeaf5daeb2216ce1&quot;,&quot;CType&quot;:1,&quot;DisplayText&quot;:null}"/>
      <m:item xlName="_GBC_97608ceee0dd4babbeaf5daeb2216ce1" concept="clcid-pte:GongSiZhuYaoKuaiJiShuJuHeCaiWuZhiBiaoDeShuoMing" label="公司主要会计数据和财务指标的说明" appId="_GBC_cfe99dae5f804f6f8f02eb429483f98a"/>
    </m:section>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item xlName="_GBC_5b46dcc1f6b14657b59c11801ec8e4a9"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5b46dcc1f6b14657b59c11801ec8e4a9&quot;,&quot;EndName&quot;:&quot;_GBC_63f56145229c42249fb7f589115010ef&quot;,&quot;CType&quot;:1,&quot;DisplayText&quot;:null}"/>
      <m:item xlName="_GBC_c49fe527432143159bb93abb982605d3"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5b46dcc1f6b14657b59c11801ec8e4a9"/>
      <m:item xlName="_GBC_69b863ee893e4df9a5e1cc38c34e63d9"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5b46dcc1f6b14657b59c11801ec8e4a9"/>
      <m:placeholder xlName="_PLD_d728963507634cae9b655b4b50f781ca" addr="T0R0C1S1_2"/>
      <m:placeholder xlName="_PLD_c08de9b4c2c74f08a1a86ea3f7064954" addr="T0R0C3S1_2"/>
      <m:placeholder xlName="_PLD_4257e7e6f64b4670bc467051a4d524b3" addr="T0R1C1S1_1"/>
      <m:placeholder xlName="_PLD_aedb846cdc8c4565973cd18ae345f3f2" addr="T0R1C2S1_1"/>
      <m:placeholder xlName="_PLD_dc3a296a61374d01b17e1e28ef0934be" addr="T0R1C3S1_1"/>
      <m:placeholder xlName="_PLD_f6c7f5d7735b4a27ae6f6140f1d27666" addr="T0R1C4S1_1"/>
      <m:placeholder xlName="_PLD_1f4ddd2ee7c046aca6b08a319e21488f" addr="T0R2C0S1_1"/>
      <m:item xlName="_GBC_e78c1cc703ce443a9b929c60fbcc1c4e" concept="clcid-pte:GuiShuYuMuGongSiSuoYouZheDeJingLiRun" label="归属于母公司所有者的净利润" mulRef="_GBC_c49fe527432143159bb93abb982605d3" unitRef="_GBC_69b863ee893e4df9a5e1cc38c34e63d9" addr="T0R2C1S1_1" formatStyle="Comma" cellConvertType="8" appId="_GBC_5b46dcc1f6b14657b59c11801ec8e4a9"/>
      <m:item xlName="_GBC_4b1aa116fd484ce7b3b103ac70641108" concept="clcid-pte:GuiShuYuMuGongSiSuoYouZheDeJingLiRun" label="归属于母公司所有者的净利润" periodRef="上年同期数" mulRef="_GBC_c49fe527432143159bb93abb982605d3" unitRef="_GBC_69b863ee893e4df9a5e1cc38c34e63d9" addr="T0R2C2S1_1" formatStyle="Comma" appId="_GBC_5b46dcc1f6b14657b59c11801ec8e4a9"/>
      <m:item xlName="_GBC_9f76239c1d6742aeadb49f23a98f7e7f" concept="clcid-pte:GuiShuYuMuGongSiSuoYouZheQuanYiHeJi" label="归属于母公司所有者权益合计" mulRef="_GBC_c49fe527432143159bb93abb982605d3" unitRef="_GBC_69b863ee893e4df9a5e1cc38c34e63d9" addr="T0R2C3S1_1" formatStyle="Comma" appId="_GBC_5b46dcc1f6b14657b59c11801ec8e4a9"/>
      <m:item xlName="_GBC_42a8c89485b94df49c9a68108c7c6369" concept="clcid-pte:GuiShuYuMuGongSiSuoYouZheQuanYiHeJi" label="归属于母公司所有者权益合计" periodRef="本期期初数" mulRef="_GBC_c49fe527432143159bb93abb982605d3" unitRef="_GBC_69b863ee893e4df9a5e1cc38c34e63d9" addr="T0R2C4S1_1" formatStyle="Comma" appId="_GBC_5b46dcc1f6b14657b59c11801ec8e4a9"/>
      <m:placeholder xlName="_PLD_225d9d4e51bd45a7a5b1b61a9eead850" addr="T0R3C0S1_5"/>
      <m:tuple xlName="_GBC_235da7e256724849b20e66b43107dd7e" concept="clcid-pte:AnGuoJiKuaiJiZhunZeTiaoZhengDeJingLiRunHeGuDongQuanYiMingXi" default_row="2" primaryConcept="clcid-pte:AnGuoJiKuaiJiZhunZeTiaoZhengDeJingLiRunHeGuDongQuanYiMingXiXiangMu" addr="T0R4C">
        <m:item xlName="_GBC_2e7116150b45430bad193a0bf356e5d9" concept="clcid-pte:AnGuoJiKuaiJiZhunZeTiaoZhengDeJingLiRunHeGuDongQuanYiMingXiXiangMu" label="按国际会计准则调整的净利润和股东权益明细-项目" addr="T0R4C0S1_1" cellConvertType="1" appId="_GBC_5b46dcc1f6b14657b59c11801ec8e4a9"/>
        <m:item xlName="_GBC_73a56ce5e20743168bfb47dae3e161e3" concept="clcid-pte:AnGuoJiKuaiJiZhunZeTiaoZhengDeJingLiRunHeGuDongQuanYiMingXiJingLiRun" label="按国际会计准则调整的净利润和股东权益明细-净利润" mulRef="_GBC_c49fe527432143159bb93abb982605d3" unitRef="_GBC_69b863ee893e4df9a5e1cc38c34e63d9" addr="T0R4C1S1_1" formatStyle="Comma" appId="_GBC_5b46dcc1f6b14657b59c11801ec8e4a9"/>
        <m:item xlName="_GBC_4d232d1b05524769b1e8298485479111" concept="clcid-pte:AnGuoJiKuaiJiZhunZeTiaoZhengDeJingLiRunHeGuDongQuanYiMingXiJingLiRun" label="按国际会计准则调整的净利润和股东权益明细-净利润" periodRef="上年同期数" mulRef="_GBC_c49fe527432143159bb93abb982605d3" unitRef="_GBC_69b863ee893e4df9a5e1cc38c34e63d9" addr="T0R4C2S1_1" formatStyle="Comma" appId="_GBC_5b46dcc1f6b14657b59c11801ec8e4a9"/>
        <m:item xlName="_GBC_154f4c2a022d4f86b489d2d6eb2f0603" concept="clcid-pte:AnGuoJiKuaiJiZhunZeTiaoZhengDeJingLiRunHeGuDongQuanYiMingXiGuDongQuanYi" label="按国际会计准则调整的净利润和股东权益明细-股东权益" mulRef="_GBC_c49fe527432143159bb93abb982605d3" unitRef="_GBC_69b863ee893e4df9a5e1cc38c34e63d9" addr="T0R4C3S1_1" formatStyle="Comma" appId="_GBC_5b46dcc1f6b14657b59c11801ec8e4a9"/>
        <m:item xlName="_GBC_d95199641ea84d348bb871a4090fd893" concept="clcid-pte:AnGuoJiKuaiJiZhunZeTiaoZhengDeJingLiRunHeGuDongQuanYiMingXiGuDongQuanYi" label="按国际会计准则调整的净利润和股东权益明细-股东权益" periodRef="本期期初数" mulRef="_GBC_c49fe527432143159bb93abb982605d3" unitRef="_GBC_69b863ee893e4df9a5e1cc38c34e63d9" addr="T0R4C4S1_1" formatStyle="Comma" appId="_GBC_5b46dcc1f6b14657b59c11801ec8e4a9"/>
      </m:tuple>
      <m:placeholder xlName="_PLD_ba6cdca7ac7c4cd8a41587f1b9e598fc" addr="T0R6C0S1_1"/>
      <m:item xlName="_GBC_3ba828f9c7ed4d8fa4ec83e9ba838a0a" concept="clcid-pte:AnGuoJiKuaiJiZhunZeTiaoZhengDeJingLiRunHeJi" label="按国际会计准则调整的净利润合计" mulRef="_GBC_c49fe527432143159bb93abb982605d3" unitRef="_GBC_69b863ee893e4df9a5e1cc38c34e63d9" addr="T0R6C1S1_1" formatStyle="Comma" appId="_GBC_5b46dcc1f6b14657b59c11801ec8e4a9"/>
      <m:item xlName="_GBC_29b64037453b4237a991693ff98557ad" concept="clcid-pte:AnGuoJiKuaiJiZhunZeTiaoZhengDeJingLiRunHeJi" label="按国际会计准则调整的净利润合计" periodRef="上年同期数" mulRef="_GBC_c49fe527432143159bb93abb982605d3" unitRef="_GBC_69b863ee893e4df9a5e1cc38c34e63d9" addr="T0R6C2S1_1" formatStyle="Comma" appId="_GBC_5b46dcc1f6b14657b59c11801ec8e4a9"/>
      <m:item xlName="_GBC_c21cb9f5660645f986a886fb7c67baf8" concept="clcid-pte:AnGuoJiKuaiJiZhunZeTiaoZhengDeGuDongQuanYiHeJi" label="按国际会计准则调整的股东权益合计" mulRef="_GBC_c49fe527432143159bb93abb982605d3" unitRef="_GBC_69b863ee893e4df9a5e1cc38c34e63d9" addr="T0R6C3S1_1" formatStyle="Comma" appId="_GBC_5b46dcc1f6b14657b59c11801ec8e4a9"/>
      <m:item xlName="_GBC_63f56145229c42249fb7f589115010ef" concept="clcid-pte:AnGuoJiKuaiJiZhunZeTiaoZhengDeGuDongQuanYiHeJi" label="按国际会计准则调整的股东权益合计" periodRef="本期期初数" mulRef="_GBC_c49fe527432143159bb93abb982605d3" unitRef="_GBC_69b863ee893e4df9a5e1cc38c34e63d9" addr="T0R6C4S1_1" formatStyle="Comma" appId="_GBC_5b46dcc1f6b14657b59c11801ec8e4a9"/>
    </m:section>
    <m:section xlName="_GBC_2f705e4eae72458eb00a3440cec6f7c7" title="同时按照境外会计准则与按中国会计准则披露的差异" rules="R2015_R2_002" convertSummaryRule="NoConvert" helpId="103002001" helpText="注：境内外会计准则下会计数据差异填列合并报表数据。">
      <m:item xlName="_GBC_5c3657028afa4856ae676bad317ac6b1"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5c3657028afa4856ae676bad317ac6b1&quot;,&quot;EndName&quot;:&quot;_GBC_7d47ce5b6391443a9fa8c072de2a9c33&quot;,&quot;CType&quot;:1,&quot;DisplayText&quot;:null}"/>
      <m:item xlName="_GBC_1b08d1fadf734079b379a0def3776845"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5c3657028afa4856ae676bad317ac6b1"/>
      <m:item xlName="_GBC_d223b0f8325043ebbb2458910b204a51"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5c3657028afa4856ae676bad317ac6b1"/>
      <m:placeholder xlName="_PLD_b48429a11e634047aaf4cfb31180c8ac" addr="T0R0C1S1_2"/>
      <m:placeholder xlName="_PLD_4893fe8975bf4db5873b6ef125ae5e6b" addr="T0R0C3S1_2"/>
      <m:placeholder xlName="_PLD_a5de4b0f63b34b46966a2f8dbd2aa917" addr="T0R1C1S1_1"/>
      <m:placeholder xlName="_PLD_d4f35502fe054738a92ae5001f338614" addr="T0R1C2S1_1"/>
      <m:placeholder xlName="_PLD_5e62397185474adca295890b22d3692a" addr="T0R1C3S1_1"/>
      <m:placeholder xlName="_PLD_bd597d279a534dac9d58d7aca1049afd" addr="T0R1C4S1_1"/>
      <m:placeholder xlName="_PLD_a84e7dad14d34c40ac6849c4cf2ec0bf" addr="T0R2C0S1_1"/>
      <m:item xlName="_GBC_8c824d07708348a99c48fbe63d7a3c80" concept="clcid-pte:GuiShuYuMuGongSiSuoYouZheDeJingLiRun" label="归属于母公司所有者的净利润" mulRef="_GBC_1b08d1fadf734079b379a0def3776845" unitRef="_GBC_d223b0f8325043ebbb2458910b204a51" addr="T0R2C1S1_1" formatStyle="Comma" cellConvertType="8" appId="_GBC_5c3657028afa4856ae676bad317ac6b1"/>
      <m:item xlName="_GBC_cde29b946a4b4d7ab2353db21ca0e4c1" concept="clcid-pte:GuiShuYuMuGongSiSuoYouZheDeJingLiRun" label="归属于母公司所有者的净利润" periodRef="上年同期数" mulRef="_GBC_1b08d1fadf734079b379a0def3776845" unitRef="_GBC_d223b0f8325043ebbb2458910b204a51" addr="T0R2C2S1_1" formatStyle="Comma" appId="_GBC_5c3657028afa4856ae676bad317ac6b1"/>
      <m:item xlName="_GBC_085269002ef14d5285779bfe2a3ae017" concept="clcid-pte:GuiShuYuMuGongSiSuoYouZheQuanYiHeJi" label="归属于母公司所有者权益合计" mulRef="_GBC_1b08d1fadf734079b379a0def3776845" unitRef="_GBC_d223b0f8325043ebbb2458910b204a51" addr="T0R2C3S1_1" formatStyle="Comma" appId="_GBC_5c3657028afa4856ae676bad317ac6b1"/>
      <m:item xlName="_GBC_4e6832bf2e1445e9be011488ec613956" concept="clcid-pte:GuiShuYuMuGongSiSuoYouZheQuanYiHeJi" label="归属于母公司所有者权益合计" periodRef="本期期初数" mulRef="_GBC_1b08d1fadf734079b379a0def3776845" unitRef="_GBC_d223b0f8325043ebbb2458910b204a51" addr="T0R2C4S1_1" formatStyle="Comma" appId="_GBC_5c3657028afa4856ae676bad317ac6b1"/>
      <m:placeholder xlName="_PLD_90b1a142d1dd449783d093826a907254" addr="T0R3C0S1_5"/>
      <m:tuple xlName="_GBC_a9fc82e89bd74509adabb40065df8b69" concept="clcid-pte:AnJingWaiKuaiJiZhunZeTiaoZhengDeJingLiRunHeGuDongQuanYi" default_row="2" primaryConcept="clcid-pte:GuoNeiWaiKuaiJiZhunZeChaYiTiaoZhengXiangMu" addr="T0R4C">
        <m:item xlName="_GBC_3b80226709124640a8d3ca260e485326" concept="clcid-pte:GuoNeiWaiKuaiJiZhunZeChaYiTiaoZhengXiangMu" label="国内外会计准则差异调整项目" addr="T0R4C0S1_1" appId="_GBC_5c3657028afa4856ae676bad317ac6b1"/>
        <m:item xlName="_GBC_43863937d23149a0895fe7a3ba2fdf82" concept="clcid-pte:AnJingWaiKuaiJiZhunZeTiaoZhengDeJingLiRun" label="按境外会计准则调整的净利润" mulRef="_GBC_1b08d1fadf734079b379a0def3776845" unitRef="_GBC_d223b0f8325043ebbb2458910b204a51" addr="T0R4C1S1_1" formatStyle="Comma" appId="_GBC_5c3657028afa4856ae676bad317ac6b1"/>
        <m:item xlName="_GBC_92b9b96097204efc85df4d3a9b51729b" concept="clcid-pte:AnJingWaiKuaiJiZhunZeTiaoZhengDeJingLiRun" label="按境外会计准则调整的净利润" periodRef="上年同期数" mulRef="_GBC_1b08d1fadf734079b379a0def3776845" unitRef="_GBC_d223b0f8325043ebbb2458910b204a51" addr="T0R4C2S1_1" formatStyle="Comma" appId="_GBC_5c3657028afa4856ae676bad317ac6b1"/>
        <m:item xlName="_GBC_e8d1eed205ba45a4b195f5cd5f6841e6" concept="clcid-pte:AnJingWaiKuaiJiZhunZeTiaoZhengDeGuDongQuanYi" label="按境外会计准则调整的股东权益" mulRef="_GBC_1b08d1fadf734079b379a0def3776845" unitRef="_GBC_d223b0f8325043ebbb2458910b204a51" addr="T0R4C3S1_1" formatStyle="Comma" appId="_GBC_5c3657028afa4856ae676bad317ac6b1"/>
        <m:item xlName="_GBC_cf751edb049e4832aa4fc66e9a9d5c36" concept="clcid-pte:AnJingWaiKuaiJiZhunZeTiaoZhengDeGuDongQuanYi" label="按境外会计准则调整的股东权益" periodRef="本期期初数" mulRef="_GBC_1b08d1fadf734079b379a0def3776845" unitRef="_GBC_d223b0f8325043ebbb2458910b204a51" addr="T0R4C4S1_1" formatStyle="Comma" appId="_GBC_5c3657028afa4856ae676bad317ac6b1"/>
      </m:tuple>
      <m:placeholder xlName="_PLD_127422ad98f14591b62c9511a6fb9023" addr="T0R6C0S1_1"/>
      <m:item xlName="_GBC_f6fc3ecaabc742bc89499ac2ecb8228e" concept="clcid-pte:AnJingWaiKuaiJiZhunZeTiaoZhengDeJingLiRunHeJi" label="按境外会计准则调整的净利润合计" mulRef="_GBC_1b08d1fadf734079b379a0def3776845" unitRef="_GBC_d223b0f8325043ebbb2458910b204a51" addr="T0R6C1S1_1" formatStyle="Comma" appId="_GBC_5c3657028afa4856ae676bad317ac6b1"/>
      <m:item xlName="_GBC_f8f50e8c812d454998f6522da05ba6b1" concept="clcid-pte:AnJingWaiKuaiJiZhunZeTiaoZhengDeJingLiRunHeJi" label="按境外会计准则调整的净利润合计" periodRef="上年同期数" mulRef="_GBC_1b08d1fadf734079b379a0def3776845" unitRef="_GBC_d223b0f8325043ebbb2458910b204a51" addr="T0R6C2S1_1" formatStyle="Comma" appId="_GBC_5c3657028afa4856ae676bad317ac6b1"/>
      <m:item xlName="_GBC_52d7c84c7d6642168916704da4d3078d" concept="clcid-pte:AnJingWaiKuaiJiZhunZeTiaoZhengDeGuDongQuanYiHeJi" label="按境外会计准则调整的股东权益合计" mulRef="_GBC_1b08d1fadf734079b379a0def3776845" unitRef="_GBC_d223b0f8325043ebbb2458910b204a51" addr="T0R6C3S1_1" formatStyle="Comma" appId="_GBC_5c3657028afa4856ae676bad317ac6b1"/>
      <m:item xlName="_GBC_7d47ce5b6391443a9fa8c072de2a9c33" concept="clcid-pte:AnJingWaiKuaiJiZhunZeTiaoZhengDeGuDongQuanYiHeJi" label="按境外会计准则调整的股东权益合计" periodRef="本期期初数" mulRef="_GBC_1b08d1fadf734079b379a0def3776845" unitRef="_GBC_d223b0f8325043ebbb2458910b204a51" addr="T0R6C4S1_1" formatStyle="Comma" appId="_GBC_5c3657028afa4856ae676bad317ac6b1"/>
    </m:section>
    <m:section xlName="_GBC_b29c1fea910b4dfca31323fe84213a44" title="境内外会计准则差异的说明" rules="R2015_R2_002" convertSummaryRule="NoConvert" helpId="103002001">
      <m:item xlName="_GBC_3d955fa1dbd946d48d6214dc2ab5669f" concept="clcid-ci-ar:ShiFouShiYongJingNeiWaiHuiJiZhunZeChaYiDeShuoMing" label="是否适用：境内外会计准则差异的说明" selectOptions="_buildInAppliance" controlType="CustomCheckbox" cRanges="{&quot;StartName&quot;:&quot;_GBC_3d955fa1dbd946d48d6214dc2ab5669f&quot;,&quot;EndName&quot;:&quot;_GBC_4504a362785b41d08475c32028895cba&quot;,&quot;CType&quot;:1,&quot;DisplayText&quot;:null}"/>
      <m:item xlName="_GBC_4504a362785b41d08475c32028895cba" concept="clcid-pte:GuoNeiWaiKuaiJiZhunZeChaYiDeShuoMing" label="国内外会计准则差异的说明" cellConvertType="8" appId="_GBC_3d955fa1dbd946d48d6214dc2ab5669f"/>
    </m:section>
    <m:section xlName="_GBC_cc768cb4b3324e91897639bcc1eabf3a" title="非经常性损益项目和金额" rules="R2015_R2_003" convertSummaryRule="NoConvert" helpId="103003001" helpText="注：1.公司在编报招股说明书、定期报告或发行证券的申报材料时，应对照非经常性损益的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其他符合非经常性损益定义的损益项目”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 \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73788dbb480b4eb4a9ce7ed83af2d844" concept="clcid-ci-ar:ShiFouShiYongKouChuFeiJingChangXingSunYiXiangMuHeJinE" label="是否适用：扣除非经常性损益项目和金额" selectOptions="_buildInAppliance" controlType="CustomCheckbox" cRanges="{&quot;StartName&quot;:&quot;_GBC_73788dbb480b4eb4a9ce7ed83af2d844&quot;,&quot;EndName&quot;:&quot;_GBC_edf1a6d8b1b1499cba1936783b9a9eb2&quot;,&quot;CType&quot;:1,&quot;DisplayText&quot;:null}"/>
      <m:item xlName="_GBC_4e9158759d174bf5a404e9d2ad2cb849" concept="clcid-ci-ar:DanWeiKouChuFeiJingChangXingSunYiXiangMuHeJinE" label="单位：扣除非经常性损益项目和金额" selectOptions="_buildInScales" controlType="Combobox" cellType="Scale" appId="_GBC_73788dbb480b4eb4a9ce7ed83af2d844"/>
      <m:item xlName="_GBC_afe0377f3c754b5092310bd32f09f447" concept="clcid-ci-ar:BiZhongKouChuFeiJingChangXingSunYiXiangMuHeJinE" label="币种：扣除非经常性损益项目和金额" selectOptions="_buildInISO4217" controlType="Combobox" cellType="Measure" appId="_GBC_73788dbb480b4eb4a9ce7ed83af2d844"/>
      <m:placeholder xlName="_PLD_46af532b652e45b49bf4f28412917df0" addr="T0R0C0S1_1"/>
      <m:placeholder xlName="_PLD_61b9b734635d488db996440c136563c8" addr="T0R0C1S1_1"/>
      <m:placeholder xlName="_PLD_9e5d4505fc224fa08bc94ae2dc6cd081" addr="T0R0C2S1_1"/>
      <m:placeholder xlName="_PLD_1ec9e925297d478d84779a68eec2bcd9" addr="T0R1C0S1_1"/>
      <m:item xlName="_GBC_88821ccd097941f39575cbe1924d6ffa" concept="clcid-pte:FeiLiuDongXingZiChanChuZhiSunYiBaoKuoYiJiTiZiChanJianZhiZhunBeiDeChongXiaoBuFenFeiJingChangXingSunYiXiangMu" label="非流动性资产处置损益，包括已计提资产减值准备的冲销部分（非经常性损益项目）" mulRef="_GBC_4e9158759d174bf5a404e9d2ad2cb849" unitRef="_GBC_afe0377f3c754b5092310bd32f09f447" addr="T0R1C1S1_1" formatStyle="Comma" appId="_GBC_73788dbb480b4eb4a9ce7ed83af2d844"/>
      <m:item xlName="_GBC_03a88d397472407b9cddc91938012a19" concept="clcid-pte:FeiLiuDongXingZiChanChuZhiSunYiBaoKuoYiJiTiZiChanJianZhiZhunBeiDeChongXiaoBuFenFeiJingChangXingSunYiXiangMuShuoMing" label="非流动性资产处置损益，包括已计提资产减值准备的冲销部分的说明（非经常性损益项目）" addr="T0R1C2S1_1" cellConvertType="3" appId="_GBC_73788dbb480b4eb4a9ce7ed83af2d844"/>
      <m:placeholder xlName="_PLD_69edea550024421a884da164740efd47" addr="T0R2C0S1_1"/>
      <m:item xlName="_GBC_b213faa2f39c4579a88a3c74badd3ac2" concept="clcid-pte:FeiJingChangXingSunYiZhongYueQuanShenPiHuoWuZhengShiPiZhunWenJianDeShuiShouFanHuanJianMian" label="越权审批，或无正式批准文件，或偶发性的税收返还、减免（非经常性损益项目）" mulRef="_GBC_4e9158759d174bf5a404e9d2ad2cb849" unitRef="_GBC_afe0377f3c754b5092310bd32f09f447" addr="T0R2C1S1_1" formatStyle="Comma" appId="_GBC_73788dbb480b4eb4a9ce7ed83af2d844"/>
      <m:item xlName="_GBC_0f4295777fd34af1841d620da05837c2" concept="clcid-pte:FeiJingChangXingSunYiZhongYueQuanShenPiHuoWuZhengShiPiZhunWenJianDeShuiShouFanHuanJianMianShuoMing" label="越权审批，或无正式批准文件，或偶发性的税收返还、减免的说明（非经常性损益项目）" addr="T0R2C2S1_1" cellConvertType="3" appId="_GBC_73788dbb480b4eb4a9ce7ed83af2d844"/>
      <m:placeholder xlName="_PLD_02595b9db1a84694900203cf9656bfe9" addr="T0R3C0S1_1"/>
      <m:item xlName="_GBC_6e41ae6b2113475b96b35e3172f6b4c8" concept="clcid-pte:FeiJingChangXingSunYiZhongGeZhongXingShiDeZhengFuBuTie" label="计入当期损益的政府补助，但与公司正常经营业务密切相关，符合国家政策规定、按照一定标准定额或定量持续享受的政府补助除外（非经常性损益项目）" mulRef="_GBC_4e9158759d174bf5a404e9d2ad2cb849" unitRef="_GBC_afe0377f3c754b5092310bd32f09f447" addr="T0R3C1S1_1" formatStyle="Comma" appId="_GBC_73788dbb480b4eb4a9ce7ed83af2d844"/>
      <m:item xlName="_GBC_249eff4ce6344c2c8cdaf6a59ebbd769"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cellConvertType="3" appId="_GBC_73788dbb480b4eb4a9ce7ed83af2d844"/>
      <m:placeholder xlName="_PLD_e255b5bb064c4c0694bb65440d7bb1c2" addr="T0R4C0S1_1"/>
      <m:item xlName="_GBC_85722b772dd44f26b3bd0444ed36af69" concept="clcid-pte:JiRuDangQiSunYiDeDuiFeiJinRongQiYeShouQuDeZiJinZhanYongFeiFeiJingChangXingSunYiXiangMu" label="计入当期损益的对非金融企业收取的资金占用费（非经常性损益项目）" mulRef="_GBC_4e9158759d174bf5a404e9d2ad2cb849" unitRef="_GBC_afe0377f3c754b5092310bd32f09f447" addr="T0R4C1S1_1" formatStyle="Comma" appId="_GBC_73788dbb480b4eb4a9ce7ed83af2d844"/>
      <m:item xlName="_GBC_4748603d2a4d4f12b7a13a98d37598e7" concept="clcid-pte:JiRuDangQiSunYiDeDuiFeiJinRongQiYeShouQuDeZiJinZhanYongFeiFeiJingChangXingSunYiXiangMuShuoMing" label="计入当期损益的对非金融企业收取的资金占用费的说明（非经常性损益项目）" addr="T0R4C2S1_1" cellConvertType="3" appId="_GBC_73788dbb480b4eb4a9ce7ed83af2d844"/>
      <m:placeholder xlName="_PLD_09b4af3349af48359dce87b8be6a224a" addr="T0R5C0S1_1"/>
      <m:item xlName="_GBC_7279af5ac31e4c9b81944c270d7b5a1f"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e9158759d174bf5a404e9d2ad2cb849" unitRef="_GBC_afe0377f3c754b5092310bd32f09f447" addr="T0R5C1S1_1" formatStyle="Comma" appId="_GBC_73788dbb480b4eb4a9ce7ed83af2d844"/>
      <m:item xlName="_GBC_d119b9063f0c4a3597e8639f17bfcf72"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cellConvertType="3" appId="_GBC_73788dbb480b4eb4a9ce7ed83af2d844"/>
      <m:placeholder xlName="_PLD_428e8a6b0f714a4895facab4d1ebbbd6" addr="T0R6C0S1_1"/>
      <m:item xlName="_GBC_c044bbcf53c849d38b2d48beb1fde5c5" concept="clcid-pte:FeiJingChangXingSunYiZhongZiChanZhiHuanSunYi" label="非货币性资产交换损益（非经常性损益项目）" mulRef="_GBC_4e9158759d174bf5a404e9d2ad2cb849" unitRef="_GBC_afe0377f3c754b5092310bd32f09f447" addr="T0R6C1S1_1" formatStyle="Comma" appId="_GBC_73788dbb480b4eb4a9ce7ed83af2d844"/>
      <m:item xlName="_GBC_9d95227087dd4145bea346744483b458" concept="clcid-pte:FeiJingChangXingSunYiZhongZiChanZhiHuanSunYiShuoMing" label="非货币性资产交换损益的说明（非经常性损益项目）" addr="T0R6C2S1_1" cellConvertType="3" appId="_GBC_73788dbb480b4eb4a9ce7ed83af2d844"/>
      <m:placeholder xlName="_PLD_9cc3804b94354fc1b0925734be3d281a" addr="T0R7C0S1_1"/>
      <m:item xlName="_GBC_444bbe3533064cb581dd069ab20c2fb7" concept="clcid-pte:WeiTuoTaRenTouZiHuoGuanLiZiChanDeSunYiFeiJingChangXingSunYiXiangMu" label="委托他人投资或管理资产的损益（非经常性损益项目）" mulRef="_GBC_4e9158759d174bf5a404e9d2ad2cb849" unitRef="_GBC_afe0377f3c754b5092310bd32f09f447" addr="T0R7C1S1_1" formatStyle="Comma" appId="_GBC_73788dbb480b4eb4a9ce7ed83af2d844"/>
      <m:item xlName="_GBC_866f0dd0bb4b423e926f7f9d4979cd0e" concept="clcid-pte:WeiTuoTaRenTouZiHuoGuanLiZiChanDeSunYiFeiJingChangXingSunYiXiangMuShuoMing" label="委托他人投资或管理资产的损益的说明（非经常性损益项目）" addr="T0R7C2S1_1" cellConvertType="3" appId="_GBC_73788dbb480b4eb4a9ce7ed83af2d844"/>
      <m:placeholder xlName="_PLD_fecca44b524c43b6a0e1f89ecfc4895f" addr="T0R8C0S1_1"/>
      <m:item xlName="_GBC_e140ba923da443428d7566d2018ea932" concept="clcid-pte:FeiJingChangXingSunYiZhongJiTiDeGeXiangZiChanJianZhiZhunBei" label="因不可抗力因素，如遭受自然灾害而计提的各项资产减值准备（非经常性损益项目）" mulRef="_GBC_4e9158759d174bf5a404e9d2ad2cb849" unitRef="_GBC_afe0377f3c754b5092310bd32f09f447" addr="T0R8C1S1_1" formatStyle="Comma" appId="_GBC_73788dbb480b4eb4a9ce7ed83af2d844"/>
      <m:item xlName="_GBC_5a4ada27e0f14f5e8b8791a49b539295" concept="clcid-pte:FeiJingChangXingSunYiZhongJiTiDeGeXiangZiChanJianZhiZhunBeiShuoMing" label="因不可抗力因素，如遭受自然灾害而计提的各项资产减值准备的说明（非经常性损益项目）" addr="T0R8C2S1_1" cellConvertType="3" appId="_GBC_73788dbb480b4eb4a9ce7ed83af2d844"/>
      <m:placeholder xlName="_PLD_c626abd827544a1fb3e7de188e0e31cd" addr="T0R9C0S1_1"/>
      <m:item xlName="_GBC_ff86fbdb028e464e86a0a4dfbfdf764a" concept="clcid-pte:FeiJingChangXingSunYiZhongZhaiWuZhongZuSunYi" label="债务重组损益（非经常性损益项目）" mulRef="_GBC_4e9158759d174bf5a404e9d2ad2cb849" unitRef="_GBC_afe0377f3c754b5092310bd32f09f447" addr="T0R9C1S1_1" formatStyle="Comma" appId="_GBC_73788dbb480b4eb4a9ce7ed83af2d844"/>
      <m:item xlName="_GBC_96b146956b3040f49daeec94b4e34026" concept="clcid-pte:FeiJingChangXingSunYiZhongZhaiWuZhongZuSunYiShuoMing" label="债务重组损益的说明（非经常性损益项目）" addr="T0R9C2S1_1" cellConvertType="3" appId="_GBC_73788dbb480b4eb4a9ce7ed83af2d844"/>
      <m:placeholder xlName="_PLD_ae9b12ee17354afbb6160dc193b1ac86" addr="T0R10C0S1_1"/>
      <m:item xlName="_GBC_697dd1c86cf546278160642c85935420" concept="clcid-pte:QiYeZhongZuFeiYongRuAnZhiZhiGongDeZhiChuZhengHeFeiYongDeng" label="企业重组费用，如安置职工的支出、整合费用等（非经常性损益项目）" mulRef="_GBC_4e9158759d174bf5a404e9d2ad2cb849" unitRef="_GBC_afe0377f3c754b5092310bd32f09f447" addr="T0R10C1S1_1" formatStyle="Comma" appId="_GBC_73788dbb480b4eb4a9ce7ed83af2d844"/>
      <m:item xlName="_GBC_545d2534afb3450eb168f9ba33ba1815" concept="clcid-pte:QiYeZhongZuFeiYongRuAnZhiZhiGongDeZhiChuZhengHeFeiYongDengShuoMing" label="企业重组费用，如安置职工的支出、整合费用等的说明（非经常性损益项目）" addr="T0R10C2S1_1" cellConvertType="3" appId="_GBC_73788dbb480b4eb4a9ce7ed83af2d844"/>
      <m:placeholder xlName="_PLD_d593e972b89d4f63b162bd30012b012a" addr="T0R11C0S1_1"/>
      <m:item xlName="_GBC_1bfc1cd589fc412bae81ea232e980705" concept="clcid-pte:FeiJingChangXingSunYiZhongJiaoYiJiaGeXianShiGongYunDeJiaoYiChanShengDeSunYi" label="交易价格显失公允的交易产生的超过公允价值部分的损益（非经常性损益项目）" mulRef="_GBC_4e9158759d174bf5a404e9d2ad2cb849" unitRef="_GBC_afe0377f3c754b5092310bd32f09f447" addr="T0R11C1S1_1" formatStyle="Comma" appId="_GBC_73788dbb480b4eb4a9ce7ed83af2d844"/>
      <m:item xlName="_GBC_879655eb1de045eeaa1ec843d77d8099" concept="clcid-pte:FeiJingChangXingSunYiZhongJiaoYiJiaGeXianShiGongYunDeJiaoYiChanShengDeSunYiShuoMing" label="交易价格显失公允的交易产生的超过公允价值部分的损益的说明（非经常性损益项目）" addr="T0R11C2S1_1" cellConvertType="3" appId="_GBC_73788dbb480b4eb4a9ce7ed83af2d844"/>
      <m:placeholder xlName="_PLD_d0759855140a42e887b44ac9b84eefb5" addr="T0R12C0S1_1"/>
      <m:item xlName="_GBC_6d647ebdb6654e49ba597cc5b61eef3d" concept="clcid-pte:TongYiKongZhiXiaQiYeHeBingChanShengDeZiGongSiQiChuZhiHeBingRiDeDangQiJingSunYi" label="同一控制下企业合并产生的子公司期初至合并日的当期净损益（非经常性损益项目）" mulRef="_GBC_4e9158759d174bf5a404e9d2ad2cb849" unitRef="_GBC_afe0377f3c754b5092310bd32f09f447" addr="T0R12C1S1_1" formatStyle="Comma" appId="_GBC_73788dbb480b4eb4a9ce7ed83af2d844"/>
      <m:item xlName="_GBC_a08161adfce749e5b8bae2be82854672" concept="clcid-pte:TongYiKongZhiXiaQiYeHeBingChanShengDeZiGongSiQiChuZhiHeBingRiDeDangQiJingSunYiShuoMing" label="同一控制下企业合并产生的子公司期初至合并日的当期净损益的说明（非经常性损益项目）" addr="T0R12C2S1_1" cellConvertType="3" appId="_GBC_73788dbb480b4eb4a9ce7ed83af2d844"/>
      <m:placeholder xlName="_PLD_0eefeb426a104d448899cf6f7c9f4fae" addr="T0R13C0S1_1"/>
      <m:item xlName="_GBC_698ae1d9bd294109b6e981c1fb6ab359" concept="clcid-pte:YuGongSiZhuYingYeWuWuGuanDeYuJiFuZhaiChanShengDeSunYi" label="与公司正常经营业务无关的或有事项产生的损益（非经常性损益项目）" mulRef="_GBC_4e9158759d174bf5a404e9d2ad2cb849" unitRef="_GBC_afe0377f3c754b5092310bd32f09f447" addr="T0R13C1S1_1" formatStyle="Comma" appId="_GBC_73788dbb480b4eb4a9ce7ed83af2d844"/>
      <m:item xlName="_GBC_562dcf4dc64d4a08b82ebd36237ea112" concept="clcid-pte:YuGongSiZhuYingYeWuWuGuanDeYuJiFuZhaiChanShengDeSunYiShuoMing" label="与公司正常经营业务无关的或有事项产生的损益的说明（非经常性损益项目）" addr="T0R13C2S1_1" cellConvertType="3" appId="_GBC_73788dbb480b4eb4a9ce7ed83af2d844"/>
      <m:placeholder xlName="_PLD_9013c99948ab4bafbc5ae7fb21987377" addr="T0R14C0S1_1"/>
      <m:item xlName="_GBC_b38a7514e15e499e918265b4672dd5b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e9158759d174bf5a404e9d2ad2cb849" unitRef="_GBC_afe0377f3c754b5092310bd32f09f447" addr="T0R14C1S1_1" formatStyle="Comma" appId="_GBC_73788dbb480b4eb4a9ce7ed83af2d844"/>
      <m:item xlName="_GBC_20f04fd5178c4bcd8d1f2edc23c53c7b"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appId="_GBC_73788dbb480b4eb4a9ce7ed83af2d844"/>
      <m:placeholder xlName="_PLD_07983e73f75f4d6380526934b80f9026" addr="T0R15C0S1_1"/>
      <m:item xlName="_GBC_9b86d57df29547f18f953b0cc8c1c5e1" concept="clcid-pte:DanDuJinXingJianZhiCeShiDeYingShouKuanXiangHeTongZiChanJianZhiZhunBeiZhuanHuiFeiJingChangXingSunYiXiangMu" label="单独进行减值测试的应收款项、合同资产减值准备转回（非经常性损益项目） " mulRef="_GBC_4e9158759d174bf5a404e9d2ad2cb849" unitRef="_GBC_afe0377f3c754b5092310bd32f09f447" addr="T0R15C1S1_1" formatStyle="Comma" appId="_GBC_73788dbb480b4eb4a9ce7ed83af2d844"/>
      <m:item xlName="_GBC_bad7c98154a64afe8bf80aee3a621494" concept="clcid-pte:DanDuJinXingJianZhiCeShiDeYingShouKuanXiangHeTongZiChanJianZhiZhunBeiZhuanHuiDeShuoMingFeiJingChangXingSunYiXiangMu" label="单独进行减值测试的应收款项、合同资产减值准备转回的说明（非经常性损益项目）" addr="T0R15C2S1_1" binding="true" appId="_GBC_73788dbb480b4eb4a9ce7ed83af2d844"/>
      <m:placeholder xlName="_PLD_299f6d9f507d4cb48114acd837ad8359" addr="T0R16C0S1_1"/>
      <m:item xlName="_GBC_7e74538741214a9eb2fedaa1d2ce74c0" concept="clcid-pte:DuiWaiWeiTuoDaiKuanQuDeDeSunYi" label="对外委托贷款取得的损益（非经常性损益项目）" mulRef="_GBC_4e9158759d174bf5a404e9d2ad2cb849" unitRef="_GBC_afe0377f3c754b5092310bd32f09f447" addr="T0R16C1S1_1" formatStyle="Comma" appId="_GBC_73788dbb480b4eb4a9ce7ed83af2d844"/>
      <m:item xlName="_GBC_4418ea9c69e54870be1e6e6b08b332b5" concept="clcid-pte:DuiWaiWeiTuoDaiKuanQuDeDeSunYiShuoMing" label="对外委托贷款取得的损益的说明（非经常性损益项目）" addr="T0R16C2S1_1" cellConvertType="3" appId="_GBC_73788dbb480b4eb4a9ce7ed83af2d844"/>
      <m:placeholder xlName="_PLD_72cb907064dc458eba67ef7a85130648" addr="T0R17C0S1_1"/>
      <m:item xlName="_GBC_3018e09ee4db4cd5845e952d4a028c7f" concept="clcid-pte:CaiYongGongYunJiaZhiMoShiJinXingHouXuJiLiangDeTouZiXingFangDiChanGongYunJiaZhiBianDongChanShengDeSunYi" label="采用公允价值模式进行后续计量的投资性房地产公允价值变动产生的损益（非经常性损益项目）" mulRef="_GBC_4e9158759d174bf5a404e9d2ad2cb849" unitRef="_GBC_afe0377f3c754b5092310bd32f09f447" addr="T0R17C1S1_1" formatStyle="Comma" appId="_GBC_73788dbb480b4eb4a9ce7ed83af2d844"/>
      <m:item xlName="_GBC_282c7b6d565249bb9e7f718ceca89aeb" concept="clcid-pte:CaiYongGongYunJiaZhiMoShiJinXingHouXuJiLiangDeTouZiXingFangDiChanGongYunJiaZhiBianDongChanShengDeSunYiShuoMing" label="采用公允价值模式进行后续计量的投资性房地产公允价值变动产生的损益的说明（非经常性损益项目）" addr="T0R17C2S1_1" cellConvertType="3" appId="_GBC_73788dbb480b4eb4a9ce7ed83af2d844"/>
      <m:placeholder xlName="_PLD_aa0be028e1d94d7091c2fcdebb5010f4" addr="T0R18C0S1_1"/>
      <m:item xlName="_GBC_6dee0fe80b174238b8e062814d31156d" concept="clcid-pte:GenJuShuiShouKuaiJiDengFaLvFaGuiDeYaoQiuDuiDangQiSunYiJinXingYiCiXingTiaoZhengDuiDangQiSunYiDeYingXiang" label="根据税收、会计等法律、法规的要求对当期损益进行一次性调整对当期损益的影响（非经常性损益项目）" mulRef="_GBC_4e9158759d174bf5a404e9d2ad2cb849" unitRef="_GBC_afe0377f3c754b5092310bd32f09f447" addr="T0R18C1S1_1" formatStyle="Comma" appId="_GBC_73788dbb480b4eb4a9ce7ed83af2d844"/>
      <m:item xlName="_GBC_fcd636d859ad42b2853461c41e61666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cellConvertType="3" appId="_GBC_73788dbb480b4eb4a9ce7ed83af2d844"/>
      <m:placeholder xlName="_PLD_c52efb594a7b40eeacf6cee54ea027cd" addr="T0R19C0S1_1"/>
      <m:item xlName="_GBC_65dea9b7ce82482d8f12efc6d8ed1e12" concept="clcid-pte:ShouTuoJingYingQuDeDeTuoGuanFeiShouRu" label="受托经营取得的托管费收入（非经常性损益项目）" mulRef="_GBC_4e9158759d174bf5a404e9d2ad2cb849" unitRef="_GBC_afe0377f3c754b5092310bd32f09f447" addr="T0R19C1S1_1" formatStyle="Comma" appId="_GBC_73788dbb480b4eb4a9ce7ed83af2d844"/>
      <m:item xlName="_GBC_a1cd5619597449e4a607fe158e8dbff4" concept="clcid-pte:ShouTuoJingYingQuDeDeTuoGuanFeiShouRuShuoMing" label="受托经营取得的托管费收入的说明（非经常性损益项目）" addr="T0R19C2S1_1" cellConvertType="3" appId="_GBC_73788dbb480b4eb4a9ce7ed83af2d844"/>
      <m:placeholder xlName="_PLD_65d777c46bf342c69b250c467e00507e" addr="T0R20C0S1_1"/>
      <m:item xlName="_GBC_cc1b0a9b75264bbcb78de9ddd6a76a28" concept="clcid-pte:ChuShangShuGeXiangZhiWaiDeQiTaYingYeWaiShouZhiJingE" label="除上述各项之外的其他营业外收入和支出（非经常性损益项目）" mulRef="_GBC_4e9158759d174bf5a404e9d2ad2cb849" unitRef="_GBC_afe0377f3c754b5092310bd32f09f447" addr="T0R20C1S1_1" formatStyle="Comma" appId="_GBC_73788dbb480b4eb4a9ce7ed83af2d844"/>
      <m:item xlName="_GBC_fd193c8a11244c6fb4035c0c2fda6aac" concept="clcid-pte:ChuShangShuGeXiangZhiWaiDeQiTaYingYeWaiShouZhiJingEShuoMing" label="除上述各项之外的其他营业外收入和支出的说明（非经常性损益项目）" addr="T0R20C2S1_1" cellConvertType="3" appId="_GBC_73788dbb480b4eb4a9ce7ed83af2d844"/>
      <m:placeholder xlName="_PLD_0bcc4b6356f34adeb11de3e851d72079" addr="T0R21C0S1_1"/>
      <m:item xlName="_GBC_3ac2127474964d1390647db1bace7057" concept="clcid-pte:QiTaFeiJingChangXingSunYiXiangMu" label="其他符合非经常性损益定义的损益项目（非经常性损益项目）" mulRef="_GBC_4e9158759d174bf5a404e9d2ad2cb849" unitRef="_GBC_afe0377f3c754b5092310bd32f09f447" addr="T0R21C1S1_1" formatStyle="Comma" appId="_GBC_73788dbb480b4eb4a9ce7ed83af2d844"/>
      <m:item xlName="_GBC_e2fbee6f26b6445d8f26ab5f501e125b" concept="clcid-pte:QiTaFeiJingChangXingSunYiXiangMuShuoMing" label="其他符合非经常性损益定义的损益项目说明（非经常性损益项目）" addr="T0R21C2S1_1" cellConvertType="3" appId="_GBC_73788dbb480b4eb4a9ce7ed83af2d844"/>
      <m:tuple xlName="_GBC_c3958f9f8abb422090b4451e6f5d9973" concept="clcid-pte:KouChuFeiJingChangXingSunYi" default_row="2" primaryConcept="clcid-pte:KouChuFeiJingChangXingSunYiXiangMu" addr="T0R22C">
        <m:item xlName="_GBC_2486a4a3c37142b487e3d6743ec0364d" concept="clcid-pte:KouChuFeiJingChangXingSunYiXiangMu" label="扣除的非经常性损益项目" addr="T0R22C0S1_1" appId="_GBC_73788dbb480b4eb4a9ce7ed83af2d844"/>
        <m:item xlName="_GBC_a722d12fc9864cb7918ab7a01aa02bda" concept="clcid-pte:KouChuFeiJingChangXingSunYiXiangMuJinE" label="扣除的非经常性损益项目金额" mulRef="_GBC_4e9158759d174bf5a404e9d2ad2cb849" unitRef="_GBC_afe0377f3c754b5092310bd32f09f447" addr="T0R22C1S1_1" formatStyle="Comma" appId="_GBC_73788dbb480b4eb4a9ce7ed83af2d844"/>
        <m:item xlName="_GBC_34c5094a320846d4a223741c11d086ff" concept="clcid-pte:KouChuFeiJingChangXingSunYiXiangMuShuoMing" label="扣除的非经常性损益明细－项目说明" addr="T0R22C2S1_1" cellConvertType="3" appId="_GBC_73788dbb480b4eb4a9ce7ed83af2d844"/>
      </m:tuple>
      <m:placeholder xlName="_PLD_4e0667d68c0b417b952eb294efd204d7" addr="T0R24C0S1_1"/>
      <m:item xlName="_GBC_9bc8066996cb441aaf92747b2bd12b25" concept="clcid-pte:FeiJingChangXingSunYiXiangMuZhongShaoShuGuDongQuanYiYingXiangE" label="少数股东权益影响额（非经常性损益项目）" mulRef="_GBC_4e9158759d174bf5a404e9d2ad2cb849" unitRef="_GBC_afe0377f3c754b5092310bd32f09f447" addr="T0R24C1S1_1" formatStyle="Comma" appId="_GBC_73788dbb480b4eb4a9ce7ed83af2d844"/>
      <m:item xlName="_GBC_097db8c8e0a84650a51b5bf3a7c6d590" concept="clcid-pte:FeiJingChangXingSunYiXiangMuZhongShaoShuGuDongQuanYiYingXiangEShuoMing" label="少数股东权益影响额的说明（非经常性损益项目）" addr="T0R24C2S1_1" cellConvertType="3" appId="_GBC_73788dbb480b4eb4a9ce7ed83af2d844"/>
      <m:placeholder xlName="_PLD_f67b3fcceba046d6ad67b7ce52c94054" addr="T0R25C0S1_1"/>
      <m:item xlName="_GBC_37fd12b4bcb240c98ae90e9738dc4a85" concept="clcid-pte:FeiJingChangXingSunYiDeKouChuXiangMuDuiSuoDeShuiDeYingXiang" label="非经常性损益_对所得税的影响" mulRef="_GBC_4e9158759d174bf5a404e9d2ad2cb849" unitRef="_GBC_afe0377f3c754b5092310bd32f09f447" addr="T0R25C1S1_1" formatStyle="Comma" appId="_GBC_73788dbb480b4eb4a9ce7ed83af2d844"/>
      <m:item xlName="_GBC_3d2b5ae70b0c4c5e8f5a4c63a727c8c9" concept="clcid-pte:FeiJingChangXingSunYiDeKouChuXiangMuDuiSuoDeShuiDeYingXiangShuoMing" label="所得税影响额的说明（非经常性损益项目）" addr="T0R25C2S1_1" cellConvertType="3" appId="_GBC_73788dbb480b4eb4a9ce7ed83af2d844"/>
      <m:placeholder xlName="_PLD_196ea10929cc45b2a25a10ce3f3fd3ad" addr="T0R26C0S1_1"/>
      <m:item xlName="_GBC_e2cff98a6a8340f9a4fa5cbe44ef0eec" concept="clcid-pte:KouChuDeFeiJingChangXingSunYiHeJi" label="扣除的非经常性损益合计" mulRef="_GBC_4e9158759d174bf5a404e9d2ad2cb849" unitRef="_GBC_afe0377f3c754b5092310bd32f09f447" addr="T0R26C1S1_1" formatStyle="Comma" appId="_GBC_73788dbb480b4eb4a9ce7ed83af2d844">
        <m:complexRule comparator="Eq" title="3.3_扣除的非经常性损益合计" test=" $_GBC_88821ccd097941f39575cbe1924d6ffa +  $_GBC_b213faa2f39c4579a88a3c74badd3ac2 +  $_GBC_6e41ae6b2113475b96b35e3172f6b4c8 +  $_GBC_85722b772dd44f26b3bd0444ed36af69 +  $_GBC_7279af5ac31e4c9b81944c270d7b5a1f +  $_GBC_c044bbcf53c849d38b2d48beb1fde5c5 +  $_GBC_444bbe3533064cb581dd069ab20c2fb7 +  $_GBC_e140ba923da443428d7566d2018ea932 +  $_GBC_ff86fbdb028e464e86a0a4dfbfdf764a +  $_GBC_697dd1c86cf546278160642c85935420 +  $_GBC_1bfc1cd589fc412bae81ea232e980705 +  $_GBC_6d647ebdb6654e49ba597cc5b61eef3d +  $_GBC_698ae1d9bd294109b6e981c1fb6ab359 +  $_GBC_b38a7514e15e499e918265b4672dd5b0 +  $_GBC_9b86d57df29547f18f953b0cc8c1c5e1 +  $_GBC_7e74538741214a9eb2fedaa1d2ce74c0 +  $_GBC_3018e09ee4db4cd5845e952d4a028c7f +  $_GBC_6dee0fe80b174238b8e062814d31156d +  $_GBC_65dea9b7ce82482d8f12efc6d8ed1e12 +  $_GBC_cc1b0a9b75264bbcb78de9ddd6a76a28 +  $_GBC_3ac2127474964d1390647db1bace7057 +  $_GBC_a722d12fc9864cb7918ab7a01aa02bda +  $_GBC_9bc8066996cb441aaf92747b2bd12b25 +  $_GBC_37fd12b4bcb240c98ae90e9738dc4a85" id="Cad041278ee9c4334b765b55cd0f2e2bb"/>
      </m:item>
      <m:item xlName="_GBC_edf1a6d8b1b1499cba1936783b9a9eb2" concept="clcid-pte:KouChuDeFeiJingChangXingSunYiHeJiShuoMing" label="扣除的非经常性损益合计说明" addr="T0R26C2S1_1" cellConvertType="3" appId="_GBC_73788dbb480b4eb4a9ce7ed83af2d844"/>
    </m:section>
    <m:section xlName="_SEC_6c403613f02b40eba21786ea5695593b" title="非企业会计准则业绩指标说明" helpText="公司可以自愿编制并披露非企业会计准则业绩指标（例如在净利润的基础上，对股权激励费用、股权投资收益、公允价值计量损益和资产处置损益等进行调整），但应当同时披露与该指标最可比的、基于企业会计准则编制的业绩指标，以及相关的调整过程。">
      <m:item xlName="_GBC_679aea099c1d400f96e53eb44112035b" concept="clcid-ci-ar:ShiFouShiYongFeiQiYeHuiJiZhunZeYeJiZhiBiaoShuoMing" label="是否适用：非企业会计准则业绩指标说明" selectOptions="_buildInAppliance" controlType="CustomCheckbox" cRanges="[{&quot;StartName&quot;:&quot;_GBC_679aea099c1d400f96e53eb44112035b&quot;,&quot;EndName&quot;:&quot;_GBC_c1e9b31187f64b628c3bf7acab1fed45&quot;,&quot;CType&quot;:1}]"/>
      <m:item xlName="_GBC_c1e9b31187f64b628c3bf7acab1fed45" concept="clcid-pte:FeiQiYeHuiJiZhunZeYeJiZhiBiaoShuoMing" label="非企业会计准则业绩指标说明" appId="_GBC_679aea099c1d400f96e53eb44112035b"/>
    </m:section>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item xlName="_GBC_5c28d6f46eea48f892bed0c5fc99ab60" concept="clcid-mr:BaoGaoQiNeiGongSiSuoCongShiDeZhuYaoYeWuJingYingMoShiJiXingYeQingKuangShuoMing" label="报告期内公司所从事的主要业务、经营模式及行业情况说明">
        <m:simpleRule dataType="Any" comparator="None" minOccurs="1"/>
      </m:item>
    </m:section>
    <m:section xlName="_SEC_f6b0c9161b7b473e931020c4a93e3239" title="核心技术及其先进性以及报告期内的变化情况">
      <m:item xlName="_GBC_9499a9c1815b43368641f4c8a725d048" concept="clcid-mr:HeXinJiShuJiQiXianJinXingYiJiBaoGaoQiNeiDeBianHuaQingKuang" label="核心技术及其先进性以及报告期内的变化情况"/>
    </m:section>
    <m:section xlName="_SEC_bfc6d852ec364ccd8d2af81ade4bfb2f" title="报告期内获得的研发成果" helpText="披露报告期内获得重要奖项、相关权利证书或者批准文件、承担的重大科研项目、核心学术期刊论文发表情况等以及公司在其中的贡献程度。">
      <m:item xlName="_GBC_d2d7491b19b14e958bbccca821c1de07" concept="clcid-mr:BaoGaoQiNeiHuoDeDeYanFaChengGuo" label="报告期内获得的研发成果"/>
    </m:section>
    <m:section xlName="_SEC_90037acfce13454aab573152215623e5" title="报告期内获得的知识产权列表">
      <m:placeholder xlName="_PLD_c8c997092a254a67843ee052d2940ab8" addr="T0R0C1S1_2"/>
      <m:placeholder xlName="_PLD_675eed6f83ed41d48a51f9c262bbf062" addr="T0R0C3S1_2"/>
      <m:placeholder xlName="_PLD_c184a2a5f94347ccb6957daebb9320a2" addr="T0R1C1S1_1"/>
      <m:placeholder xlName="_PLD_5b49ad967d8b4fbb8ba5a5cc0ac81259" addr="T0R1C2S1_1"/>
      <m:placeholder xlName="_PLD_b842ab07372a4358892eb17662568ff2" addr="T0R1C3S1_1"/>
      <m:placeholder xlName="_PLD_66fd56dbabbf4ca5ba2633a2f633aff6" addr="T0R1C4S1_1"/>
      <m:placeholder xlName="_PLD_ff9c3f2f9e5d42af875792c0e551f3c0" addr="T0R2C0S1_1"/>
      <m:item xlName="_GBC_5c08aa201a67400cb4d4c464cc6fdaf3" concept="clcid-mr:BenNianXinZengFaMingZhuanLiShenQingShu" label="本年新增发明专利申请数" addr="T0R2C1S1_1" formatStyle="Comma"/>
      <m:item xlName="_GBC_6614d8ff6daf474c9859937b04ad967a" concept="clcid-mr:BenNianXinZengFaMingZhuanLiHuoDeShu" label="本年新增发明专利获得数" addr="T0R2C2S1_1" formatStyle="Comma"/>
      <m:item xlName="_GBC_cb043552b38847b9b195dddc845a630e" concept="clcid-mr:FaMingZhuanLiShenQingShuLeiJiShuLiang" label="发明专利申请数累计数量" addr="T0R2C3S1_1" formatStyle="Comma"/>
      <m:item xlName="_GBC_27475433e6c545e69977c3f6849b6156" concept="clcid-mr:FaMingZhuanLiHuoDeShuLeiJiShuLiang" label="发明专利获得数累计数量" addr="T0R2C4S1_1" formatStyle="Comma"/>
      <m:placeholder xlName="_PLD_01472211d81b463ca347216867748eea" addr="T0R3C0S1_1"/>
      <m:item xlName="_GBC_0d06e306b9874e458fc67aa7cc323919" concept="clcid-mr:BenNianXinZengShiYongXinXingZhuanLiShenQingShu" label="本年新增实用新型专利申请数" addr="T0R3C1S1_1" formatStyle="Comma"/>
      <m:item xlName="_GBC_e8cc73d71ad8465fb2d3da91c63c3054" concept="clcid-mr:BenNianXinZengShiYongXinXingZhuanLiHuoDeShu" label="本年新增实用新型专利获得数" addr="T0R3C2S1_1" formatStyle="Comma"/>
      <m:item xlName="_GBC_e865e0882d9a468688a719a0e6fe7d5a" concept="clcid-mr:ShiYongXinXingZhuanLiShenQingShuLeiJiShuLiang" label="实用新型专利申请数累计数量" addr="T0R3C3S1_1" formatStyle="Comma"/>
      <m:item xlName="_GBC_1c619077d0eb4e92a41acaeed9089fe7" concept="clcid-mr:ShiYongXinXingZhuanLiHuoDeShuLeiJiShuLiang" label="实用新型专利获得数累计数量" addr="T0R3C4S1_1" formatStyle="Comma"/>
      <m:placeholder xlName="_PLD_1454386759c44c2ca7ad9b0f72ae8cbb" addr="T0R4C0S1_1"/>
      <m:item xlName="_GBC_0426d4bcf6d24c838ae0aa574157b906" concept="clcid-mr:BenNianXinZengWaiGuanSheJiZhuanLiShenQingShu" label="本年新增外观设计专利申请数" addr="T0R4C1S1_1" formatStyle="Comma"/>
      <m:item xlName="_GBC_3ec6f612f0864e0390d517002430b990" concept="clcid-mr:BenNianXinZengWaiGuanSheJiZhuanLiHuoDeShu" label="本年新增外观设计专利获得数" addr="T0R4C2S1_1" formatStyle="Comma"/>
      <m:item xlName="_GBC_0ce30dea78a54fe297d48b8469b6297f" concept="clcid-mr:WaiGuanSheJiZhuanLiShenQingShuLeiJiShuLiang" label="外观设计专利申请数累计数量" addr="T0R4C3S1_1" formatStyle="Comma"/>
      <m:item xlName="_GBC_20ae4d498d0f4d3baf98a9743805bdc7" concept="clcid-mr:WaiGuanSheJiZhuanLiHuoDeShuLeiJiShuLiang" label="外观设计专利获得数累计数量" addr="T0R4C4S1_1" formatStyle="Comma"/>
      <m:placeholder xlName="_PLD_8a0aa28dfa7d4eb0bf33209f5e5ef4d8" addr="T0R5C0S1_1"/>
      <m:item xlName="_GBC_19db4163e58a40c5ba5c01cb9979ea60" concept="clcid-mr:BenNianXinZengRuanJianZhuZuoQuanShenQingShu" label="本年新增软件著作权申请数" addr="T0R5C1S1_1" formatStyle="Comma"/>
      <m:item xlName="_GBC_3a5359776e8b481e814f64f4d5c3c6a5" concept="clcid-mr:BenNianXinZengRuanJianZhuZuoQuanHuoDeShu" label="本年新增软件著作权获得数" addr="T0R5C2S1_1" formatStyle="Comma"/>
      <m:item xlName="_GBC_9bb88b279c9d47658d315fc3ea8c757a" concept="clcid-mr:RuanJianZhuZuoQuanShenQingShuLeiJiShuLiang" label="软件著作权申请数累计数量" addr="T0R5C3S1_1" formatStyle="Comma"/>
      <m:item xlName="_GBC_e0f0cfd3eca34deba5e3b77d9d7c73f4" concept="clcid-mr:RuanJianZhuZuoQuanHuoDeShuLeiJiShuLiang" label="软件著作权获得数累计数量" addr="T0R5C4S1_1" formatStyle="Comma"/>
      <m:placeholder xlName="_PLD_924ecf71be5c4c93bde83ed169ac52ac" addr="T0R6C0S1_1"/>
      <m:item xlName="_GBC_e49e186544e449eea5e27000da694023" concept="clcid-mr:BenNianXinZengQiTaZhuanLiShenQingShu" label="本年新增其他专利申请数" addr="T0R6C1S1_1" formatStyle="Comma"/>
      <m:item xlName="_GBC_92e33d328e3c4606a1dbec8ece04557a" concept="clcid-mr:BenNianXinZengQiTaZhuanLiHuoDeShu" label="本年新增其他专利获得数" addr="T0R6C2S1_1" formatStyle="Comma"/>
      <m:item xlName="_GBC_1971dc84fc424745bd13d7095340d31e" concept="clcid-mr:QiTaZhuanLiShenQingShuLeiJiShuLiang" label="其他专利申请数累计数量" addr="T0R6C3S1_1" formatStyle="Comma"/>
      <m:item xlName="_GBC_067748be9ae443caa367c6ae83d58c6a" concept="clcid-mr:QiTaZhuanLiHuoDeShuLeiJiShuLiang" label="其他专利获得数累计数量" addr="T0R6C4S1_1" formatStyle="Comma"/>
      <m:placeholder xlName="_PLD_5f7c34f963564a3c94a0f014ea60de80" addr="T0R7C0S1_1"/>
      <m:item xlName="_GBC_41a445b11f0a49da997f31bd841273e5" concept="clcid-mr:BenNianXinZengZhiShiChanQuanShenQingShu" label="本年新增知识产权申请数" addr="T0R7C1S1_1" formatStyle="Comma">
        <m:complexRule comparator="Eq" title="本年新增知识产权申请数" test=" $_GBC_5c08aa201a67400cb4d4c464cc6fdaf3 +  $_GBC_0d06e306b9874e458fc67aa7cc323919 +  $_GBC_0426d4bcf6d24c838ae0aa574157b906 +  $_GBC_e49e186544e449eea5e27000da694023 +  $_GBC_19db4163e58a40c5ba5c01cb9979ea60" id="C007487cbdeeb4bf4879665ff457f3f79"/>
      </m:item>
      <m:item xlName="_GBC_f99236d95a3844ae8ef5c62e959f40b0" concept="clcid-mr:BenNianXinZengZhiShiChanQuanHuoDeShu" label="本年新增知识产权获得数" addr="T0R7C2S1_1" formatStyle="Comma">
        <m:complexRule comparator="Eq" title="本年新增知识产权获得数" test=" $_GBC_6614d8ff6daf474c9859937b04ad967a +  $_GBC_e8cc73d71ad8465fb2d3da91c63c3054 +  $_GBC_3ec6f612f0864e0390d517002430b990 +  $_GBC_92e33d328e3c4606a1dbec8ece04557a +  $_GBC_3a5359776e8b481e814f64f4d5c3c6a5" id="C95010a1c878548d2bb83fe0359a41d17"/>
      </m:item>
      <m:item xlName="_GBC_7072dd3877a8417b93860abe53a683e6" concept="clcid-mr:ZhiShiChanQuanShenQingShuLeiJiShuLiang" label="知识产权申请数累计数量" addr="T0R7C3S1_1" formatStyle="Comma">
        <m:complexRule comparator="Eq" title="知识产权申请数累计数量" test=" $_GBC_cb043552b38847b9b195dddc845a630e +  $_GBC_e865e0882d9a468688a719a0e6fe7d5a +  $_GBC_0ce30dea78a54fe297d48b8469b6297f +  $_GBC_1971dc84fc424745bd13d7095340d31e +  $_GBC_9bb88b279c9d47658d315fc3ea8c757a" id="C61593f72d9f84bde9163986767a1f8e1"/>
      </m:item>
      <m:item xlName="_GBC_169f4245b3ac4f68bc0b3199c5593524" concept="clcid-mr:ZhiShiChanQuanHuoDeShuLeiJiShuLiang" label="知识产权获得数累计数量" addr="T0R7C4S1_1" formatStyle="Comma">
        <m:complexRule comparator="Eq" title="知识产权获得数累计数量" test=" $_GBC_27475433e6c545e69977c3f6849b6156 +  $_GBC_1c619077d0eb4e92a41acaeed9089fe7 +  $_GBC_20ae4d498d0f4d3baf98a9743805bdc7 +  $_GBC_067748be9ae443caa367c6ae83d58c6a +  $_GBC_e0f0cfd3eca34deba5e3b77d9d7c73f4" id="Ce9cd27e9ef744f77bcd01c71a35904c9"/>
      </m:item>
    </m:section>
    <m:section xlName="_SEC_bc25c0a5e23e49e784c4d9a8036f442c" title="研发投入情况表">
      <m:item xlName="_GBC_29a25e303028474e810e030d02f2ba54" concept="clcid-ci-ar:DanWeiYanFaZhiChu" label="单位：研发支出" selectOptions="_buildInScales" controlType="Combobox" cellType="Scale"/>
      <m:placeholder xlName="_PLD_f807e9ef6bde4e67a448470738e6a377" addr="T0R0C1S1_1"/>
      <m:placeholder xlName="_PLD_6fac5f4eb49c4d6f90418dc6e0206e54" addr="T0R0C2S1_1"/>
      <m:placeholder xlName="_PLD_400ad4cc43fe4d92bce6292988483976" addr="T0R0C3S1_1"/>
      <m:placeholder xlName="_PLD_abc284ee24884b24a5f42f40c40051f3" addr="T0R1C0S1_1"/>
      <m:item xlName="_GBC_35b0a68d3cc34f61bce1c9e9b479b2b4" concept="clcid-pte:FeiYongHuaYanFaZhiChu" label="费用化研发投入" mulRef="_GBC_29a25e303028474e810e030d02f2ba54" addr="T0R1C1S1_1" formatStyle="Comma"/>
      <m:item xlName="_GBC_0052352690744d2da7c16d23ba6a67db" concept="clcid-pte:FeiYongHuaYanFaZhiChu" label="费用化研发投入" periodRef="上年同期数" mulRef="_GBC_29a25e303028474e810e030d02f2ba54" addr="T0R1C2S1_1" formatStyle="Comma"/>
      <m:item xlName="_GBC_c0f7d774e54f461db518843f0d4afed3" concept="clcid-pte:FeiYongHuaYanFaTouRuBianHuaFuDu" label="费用化研发投入变化幅度" addr="T0R1C3S1_1" baseScale="0.01" formatStyle="Comma"/>
      <m:placeholder xlName="_PLD_d910a2fd45d3414e8ca31e2341d7855d" addr="T0R2C0S1_1"/>
      <m:item xlName="_GBC_be979eb2cd04475aaf55d31cfda5368f" concept="clcid-pte:ZiBenHuaYanFaZhiChu" label="资本化研发投入" mulRef="_GBC_29a25e303028474e810e030d02f2ba54" addr="T0R2C1S1_1" formatStyle="Comma"/>
      <m:item xlName="_GBC_190095ca3874414f8990c60c84587a51" concept="clcid-pte:ZiBenHuaYanFaZhiChu" label="资本化研发投入" periodRef="上年同期数" mulRef="_GBC_29a25e303028474e810e030d02f2ba54" addr="T0R2C2S1_1" formatStyle="Comma"/>
      <m:item xlName="_GBC_617543e348ba4f558bc2e20ac36bfc0e" concept="clcid-pte:ZiBenHuaYanFaTouRuBianHuaFuDu" label="资本化研发投入变化幅度" addr="T0R2C3S1_1" baseScale="0.01" formatStyle="Comma"/>
      <m:placeholder xlName="_PLD_6cdeecbeab5749b1a05c1b55ab9b6ff2" addr="T0R3C0S1_1"/>
      <m:item xlName="_GBC_b5ed7e13ab31497490518152eb9a7e5e" concept="clcid-pte:YanFaZhiChu" label="研发支出" mulRef="_GBC_29a25e303028474e810e030d02f2ba54" addr="T0R3C1S1_1" formatStyle="Comma">
        <m:complexRule comparator="Eq" title="研发支出" test=" $_GBC_35b0a68d3cc34f61bce1c9e9b479b2b4 +  $_GBC_be979eb2cd04475aaf55d31cfda5368f" id="C7ab1db4c9b0f4735a7fb88954b609acf"/>
      </m:item>
      <m:item xlName="_GBC_26ee30f8fdbc4308bcae5c3696065bc4" concept="clcid-pte:YanFaZhiChu" label="研发支出" periodRef="上年同期数" mulRef="_GBC_29a25e303028474e810e030d02f2ba54" addr="T0R3C2S1_1" formatStyle="Comma"/>
      <m:item xlName="_GBC_0df04479557f4051b5527d47a3e67700" concept="clcid-pte:YanFaTouRuBianHuaFuDu" label="研发投入变化幅度" addr="T0R3C3S1_1" baseScale="0.01" formatStyle="Comma"/>
      <m:placeholder xlName="_PLD_a80f05869f6f4d6eb2b13c87cf03bf64" addr="T0R4C0S1_1"/>
      <m:item xlName="_GBC_3bd9865eb55649118ea700493b49d4d6" concept="clcid-pte:YanFaZhiChuZongEZhanYingYeShouRuBiLi" label="研发投入总额占营业收入比例" addr="T0R4C1S1_1" baseScale="0.01" formatStyle="Comma">
        <m:complexRule comparator="Eq" title="研发投入总额占营业收入比例" id="C89e727189a964d2f853d930e134231a6" denoGt0="true"/>
      </m:item>
      <m:item xlName="_GBC_b4632a3ffa0b4878aa380b4250bc1c59" concept="clcid-pte:YanFaZhiChuZongEZhanYingYeShouRuBiLi" label="研发投入总额占营业收入比例" periodRef="上年同期数" addr="T0R4C2S1_1" baseScale="0.01" formatStyle="Comma"/>
      <m:item xlName="_GBC_60268ba73d5c46959edbbace5aec2c7e" concept="clcid-pte:YanFaTouRuZongEZhanYingYeShouRuBiLiBianHuaFuDu" label="研发投入总额占营业收入比例变化幅度" addr="T0R4C3S1_1" baseScale="0.01" formatStyle="Comma"/>
      <m:placeholder xlName="_PLD_ba5be98d3ab54fef97e05b87422f937a" addr="T0R5C0S1_1"/>
      <m:item xlName="_GBC_42355ea449cb4a09b5b63a5bd595c824" concept="clcid-pte:YanFaTouRuZiBenHuaDeBiZhong" label="研发投入资本化的比重" addr="T0R5C1S1_1" baseScale="0.01" formatStyle="Comma"/>
      <m:item xlName="_GBC_f87866abf8484692a8c9911f0f8f4077" concept="clcid-pte:YanFaTouRuZiBenHuaDeBiZhong" label="研发投入资本化的比重" periodRef="上年度期末数" addr="T0R5C2S1_1" baseScale="0.01" formatStyle="Comma"/>
      <m:item xlName="_GBC_245327a235ef43b6a48adba8e8d9ab96" concept="clcid-pte:YanFaTouRuZiBenHuaDeBiZhongBianHuaFuDu" label="研发投入资本化的比重变化幅度" addr="T0R5C3S1_1" baseScale="0.01" formatStyle="Comma"/>
    </m:section>
    <m:section xlName="_SEC_830eb93e5dc64ef4bd975b2acc17564a" title="研发投入总额较上年发生重大变化的原因" helpText="研发投入总额较上年同比变动在30%以上的，应当说明原因。">
      <m:item xlName="_GBC_ca7b0d730a4e4eabb0e335c246db9952" concept="clcid-ci-ar:ShiFouShiYongYanFaTouRuZongEJiaoShangNianFaShengZhongDaBianHuaDeYuanYin" label="是否适用：研发投入总额较上年发生重大变化的原因" selectOptions="_buildInAppliance" controlType="CustomCheckbox" cRanges="[{&quot;StartName&quot;:&quot;_GBC_ca7b0d730a4e4eabb0e335c246db9952&quot;,&quot;EndName&quot;:&quot;_GBC_156f5a0311364d4db2201cc4c88c27d2&quot;,&quot;CType&quot;:1}]"/>
      <m:item xlName="_GBC_156f5a0311364d4db2201cc4c88c27d2" concept="clcid-mr:YanFaTouRuZongEJiaoShangNianFaShengZhongDaBianHuaDeYuanYin" label="研发投入总额较上年发生重大变化的原因" appId="_GBC_ca7b0d730a4e4eabb0e335c246db9952"/>
    </m:section>
    <m:section xlName="_SEC_e8f20007f61c4d80942a9b2561a5d39b" title="研发投入资本化的比重大幅变动的原因及其合理性说明" helpText="研发投入资本化政策发生变化、资本化比重变动超过5个百分点的，应当说明原因及合理性。">
      <m:item xlName="_GBC_5816fe49eead4f4e99863524ffdbe55b" concept="clcid-ci-ar:ShiFouShiYongYanFaTouRuZiBenHuaDeBiZhongDaFuBianDongDeYuanYinJiQiHeLiXingShuoMing" label="是否适用：研发投入资本化的比重大幅变动的原因及其合理性说明" selectOptions="_buildInAppliance" controlType="CustomCheckbox" cRanges="[{&quot;StartName&quot;:&quot;_GBC_5816fe49eead4f4e99863524ffdbe55b&quot;,&quot;EndName&quot;:&quot;_GBC_243c41efce0d47f58657dacdb7bdff9c&quot;,&quot;CType&quot;:1}]"/>
      <m:item xlName="_GBC_243c41efce0d47f58657dacdb7bdff9c" concept="clcid-mr:YanFaTouRuZiBenHuaDeBiZhongDaFuBianDongDeYuanYinJiQiHeLiXingShuoMing" label="研发投入资本化的比重大幅变动的原因及其合理性说明" appId="_GBC_5816fe49eead4f4e99863524ffdbe55b"/>
    </m:section>
    <m:section xlName="_SEC_4205c3b70eea471a95a362c209eb94a6" title="在研项目情况">
      <m:item xlName="_GBC_32a479cbe7be491292860518537abaee" concept="clcid-ci-ar:ShiFouShiYongZaiYanXiangMuQingKuang" label="是否适用：在研项目情况" selectOptions="_buildInAppliance" controlType="CustomCheckbox" cRanges="[{&quot;StartName&quot;:&quot;_GBC_32a479cbe7be491292860518537abaee&quot;,&quot;EndName&quot;:&quot;_GBC_009d4753b3f142b5b1189dd8f655cbd9&quot;,&quot;CType&quot;:1}]"/>
      <m:item xlName="_GBC_e3f1bb544a334b08aca7a93e9b88440e" concept="clcid-ci-ar:DanWeiZaiYanXiangMuQingKuang" label="单位：在研项目情况" selectOptions="_buildInScales" controlType="Combobox" cellType="Scale" appId="_GBC_32a479cbe7be491292860518537abaee"/>
      <m:placeholder xlName="_PLD_b9392addd70446e4b077a92aa408c245" addr="T0R0C0S1_1"/>
      <m:placeholder xlName="_PLD_26d6c8b5251f4407b59b321345390203" addr="T0R0C1S1_1"/>
      <m:placeholder xlName="_PLD_c198e0ecff0b470e91b6c6ea6422b513" addr="T0R0C2S1_1"/>
      <m:placeholder xlName="_PLD_84be2a6faf354001b76d10a7b2286e93" addr="T0R0C3S1_1"/>
      <m:placeholder xlName="_PLD_0ac1f3050a2d4b4bb6c34b951c96b3f6" addr="T0R0C4S1_1"/>
      <m:placeholder xlName="_PLD_1b211320015e470f96c6b44d5279c624" addr="T0R0C5S1_1"/>
      <m:placeholder xlName="_PLD_95fc6e5046ad4199be7ccb049fcd5133" addr="T0R0C6S1_1"/>
      <m:placeholder xlName="_PLD_3828bc0bf4f04288b1b9769f9b495a0a" addr="T0R0C7S1_1"/>
      <m:placeholder xlName="_PLD_8f169df836364c3ebbe60e92cdc6e443" addr="T0R0C8S1_1"/>
      <m:tuple xlName="_TUP_9ddfad86f77e4024ab38f89df3f23e23" concept="clcid-mr:ZaiYanXiangMuQingKuangMingXi" default_row="2" addr="T0R1C">
        <m:item xlName="_GBC_706c4e9fc4f24d4fbb61f24656b1e9a2" concept="clcid-mr:ZaiYanXiangMuQingKuangMingXiXuHao" label="在研项目情况明细_序号" addr="T0R1C0S1_1" appId="_GBC_32a479cbe7be491292860518537abaee"/>
        <m:item xlName="_GBC_b3a3b47aab304486b38f6c0efbd5cd52" concept="clcid-mr:ZaiYanXiangMuQingKuangMingXiXiangMuMingCheng" label="在研项目情况明细_项目名称" addr="T0R1C1S1_1" appId="_GBC_32a479cbe7be491292860518537abaee"/>
        <m:item xlName="_GBC_77f4fbe077ad41a7a5a529e824e2efc5" concept="clcid-mr:ZaiYanXiangMuQingKuangMingXiYuJiZongTouZiGuiMo" label="在研项目情况明细_预计总投资规模" mulRef="_GBC_e3f1bb544a334b08aca7a93e9b88440e" addr="T0R1C2S1_1" formatStyle="Comma" appId="_GBC_32a479cbe7be491292860518537abaee"/>
        <m:item xlName="_GBC_e980f127aa24424b81ce32023791f271" concept="clcid-mr:ZaiYanXiangMuQingKuangMingXiBenQiTouRuJinE" label="在研项目情况明细_本期投入金额" mulRef="_GBC_e3f1bb544a334b08aca7a93e9b88440e" addr="T0R1C3S1_1" formatStyle="Comma" appId="_GBC_32a479cbe7be491292860518537abaee"/>
        <m:item xlName="_GBC_467f5c7b42bd429eb10cbd5694d8b32b" concept="clcid-mr:ZaiYanXiangMuQingKuangMingXiLeiJiTouRuJinE" label="在研项目情况明细_累计投入金额" mulRef="_GBC_e3f1bb544a334b08aca7a93e9b88440e" addr="T0R1C4S1_1" formatStyle="Comma" appId="_GBC_32a479cbe7be491292860518537abaee"/>
        <m:item xlName="_GBC_b7f6b2bb24634c759bf6c96b53978b9f" concept="clcid-mr:ZaiYanXiangMuQingKuangMingXiJinZhanHuoJieDuanXingChengGuo" label="在研项目情况明细_进展或阶段性成果" addr="T0R1C5S1_1" appId="_GBC_32a479cbe7be491292860518537abaee"/>
        <m:item xlName="_GBC_ba336c0c563140ab8b03ec228af974ad" concept="clcid-mr:ZaiYanXiangMuQingKuangMingXiNiDaDaoMuBiao" label="在研项目情况明细_拟达到目标" addr="T0R1C6S1_1" appId="_GBC_32a479cbe7be491292860518537abaee"/>
        <m:item xlName="_GBC_a12d0b6769ee496a99973c1377dffd43" concept="clcid-mr:ZaiYanXiangMuQingKuangMingXiJiShuShuiPing" label="在研项目情况明细_技术水平" addr="T0R1C7S1_1" appId="_GBC_32a479cbe7be491292860518537abaee"/>
        <m:item xlName="_GBC_8a4a333819f048329fbca2c1156e979b" concept="clcid-mr:ZaiYanXiangMuQingKuangMingXiJuTiYingYongQianJing" label="在研项目情况明细_具体应用前景" addr="T0R1C8S1_1" appId="_GBC_32a479cbe7be491292860518537abaee"/>
      </m:tuple>
      <m:placeholder xlName="_PLD_bce037e65d0647e195723178957cda5b" addr="T0R3C0S1_1"/>
      <m:item xlName="_GBC_24dd286c65f848429eb17191b9a74a11" concept="clcid-mr:ZaiYanXiangMuYuJiZongTouZiGuiMoHeJi" label="在研项目预计总投资规模合计" mulRef="_GBC_e3f1bb544a334b08aca7a93e9b88440e" addr="T0R3C2S1_1" formatStyle="Comma" appId="_GBC_32a479cbe7be491292860518537abaee">
        <m:complexRule comparator="Eq" title="在研项目预计总投资规模合计" test=" $_GBC_77f4fbe077ad41a7a5a529e824e2efc5" id="C4e4dc56421704f4784982d22484f9157"/>
      </m:item>
      <m:item xlName="_GBC_edb9a76959464937a58ee7c36028216d" concept="clcid-mr:ZaiYanXiangMuBenQiTouRuJinEHeJi" label="在研项目本期投入金额合计" mulRef="_GBC_e3f1bb544a334b08aca7a93e9b88440e" addr="T0R3C3S1_1" formatStyle="Comma" appId="_GBC_32a479cbe7be491292860518537abaee">
        <m:complexRule comparator="Eq" title="在研项目本期投入金额合计" test=" $_GBC_e980f127aa24424b81ce32023791f271" id="Cd654e6ec3628441297f1eb3d0885e707"/>
      </m:item>
      <m:item xlName="_GBC_009d4753b3f142b5b1189dd8f655cbd9" concept="clcid-mr:ZaiYanXiangMuLeiJiTouRuJinEHeJi" label="在研项目累计投入金额合计" mulRef="_GBC_e3f1bb544a334b08aca7a93e9b88440e" addr="T0R3C4S1_1" formatStyle="Comma" appId="_GBC_32a479cbe7be491292860518537abaee">
        <m:complexRule comparator="Eq" title="在研项目累计投入金额合计" test=" $_GBC_467f5c7b42bd429eb10cbd5694d8b32b" id="C06a1573ccad848f1853574baa7f0b072"/>
      </m:item>
    </m:section>
    <m:section xlName="_SEC_b8beff14ec524c15a77c3970b8f4f408" title="研发人员情况">
      <m:item xlName="_GBC_1e2db2322f604700ad96ca07b5788b03" concept="clcid-ci-ar:DanWeiYanFaRenYuanXinChouQingKuang" label="单位：研发人员薪酬情况" selectOptions="_buildInScales" controlType="Combobox" cellType="Scale"/>
      <m:item xlName="_GBC_08e2f37be5a04a22801963fd1ee26429" concept="clcid-ci-ar:BiZhongYanFaRenYuanXinChouQingKuang" label="币种：研发人员薪酬情况" selectOptions="_buildInISO4217" controlType="Combobox" cellType="Measure"/>
      <m:placeholder xlName="_PLD_3e648f37caae4f14b618827bfb180aef" addr="T0R0C0S1_3"/>
      <m:placeholder xlName="_PLD_ea8f5226711d4900b8c4dbe1a73f8a06" addr="T0R1C1S1_1"/>
      <m:placeholder xlName="_PLD_d4612407817545d9a0ec42091d2b5ca4" addr="T0R1C2S1_1"/>
      <m:placeholder xlName="_PLD_cfa4f00c6b644aa2a9808d9ad8d016d5" addr="T0R2C0S1_1"/>
      <m:item xlName="_GBC_a27de3fd94a746abaae618506bba198b" concept="clcid-pte:GongSiYanFaRenYuanDeShuLiang" label="公司研发人员的数量" addr="T0R2C1S1_1" formatStyle="Comma"/>
      <m:item xlName="_GBC_5b064eacfcc3488083bd88459f31a8f4" concept="clcid-pte:GongSiYanFaRenYuanDeShuLiang" label="公司研发人员的数量" periodRef="上年度期末数" addr="T0R2C2S1_1" formatStyle="Comma"/>
      <m:placeholder xlName="_PLD_5f4f5743f97c45beaea46767fc48a69f" addr="T0R3C0S1_1"/>
      <m:item xlName="_GBC_1175595915094d53b72f3648de7ac720" concept="clcid-pte:YanFaRenYuanShuLiangZhanGongSiZongRenShuDeBiLi" label="研发人员数量占公司总人数的比例" addr="T0R3C1S1_1" formatStyle="Comma"/>
      <m:item xlName="_GBC_d987ddc89a884231a010b6cf88833ce4" concept="clcid-pte:YanFaRenYuanShuLiangZhanGongSiZongRenShuDeBiLi" label="研发人员数量占公司总人数的比例" periodRef="上年度期末数" addr="T0R3C2S1_1" formatStyle="Comma"/>
      <m:placeholder xlName="_PLD_d5db6229da914388af38ea386cfdc3f5" addr="T0R4C0S1_1"/>
      <m:item xlName="_GBC_32a39b3657d04b6a8fecb0918a88fdd6" concept="clcid-mr:YanFaRenYuanXinChouHeJi" label="研发人员薪酬合计" mulRef="_GBC_1e2db2322f604700ad96ca07b5788b03" unitRef="_GBC_08e2f37be5a04a22801963fd1ee26429" addr="T0R4C1S1_1" formatStyle="Comma"/>
      <m:item xlName="_GBC_6e39eb67094d48109fcd567be1ee52fd" concept="clcid-mr:YanFaRenYuanXinChouHeJi" label="研发人员薪酬合计" periodRef="上年度期末数" mulRef="_GBC_1e2db2322f604700ad96ca07b5788b03" unitRef="_GBC_08e2f37be5a04a22801963fd1ee26429" addr="T0R4C2S1_1" formatStyle="Comma"/>
      <m:placeholder xlName="_PLD_34ba9e1e0d5145a183da3aae9bec2f51" addr="T0R5C0S1_1"/>
      <m:item xlName="_GBC_77ab28d1ff324c9d8e612aaf0ffbd595" concept="clcid-mr:YanFaRenYuanPingJunXinChou" label="研发人员平均薪酬" mulRef="_GBC_1e2db2322f604700ad96ca07b5788b03" unitRef="_GBC_08e2f37be5a04a22801963fd1ee26429" addr="T0R5C1S1_1" formatStyle="Comma"/>
      <m:item xlName="_GBC_effea7035c1a45eb8b9dfc70df2b9584" concept="clcid-mr:YanFaRenYuanPingJunXinChou" label="研发人员平均薪酬" periodRef="上年度期末数" mulRef="_GBC_1e2db2322f604700ad96ca07b5788b03" unitRef="_GBC_08e2f37be5a04a22801963fd1ee26429" addr="T0R5C2S1_1" formatStyle="Comma"/>
      <m:placeholder xlName="_PLD_4020927f5086431c9de6bd2c36643f24" addr="T1R0C0S1_3"/>
      <m:placeholder xlName="_PLD_632abf64c8e04b23bd517408efdf0ac6" addr="T1R1C0S1_1"/>
      <m:placeholder xlName="_PLD_37d1edd68d7949959a7125d951bbadd8" addr="T1R1C1S1_1"/>
      <m:placeholder xlName="_PLD_ab85521ad13b4f068162b405bdd3a974" addr="T1R1C2S1_1"/>
      <m:tuple xlName="_TUP_51f6b62a0c464ae7b3bd8c2423dbb5c3" concept="clcid-mr:YanFaRenYuanJiaoYuChengDuQingKuangMingXi" default_row="2" addr="T1R2C">
        <m:item xlName="_GBC_2e87920d6ee447b988b11cc4eba112d3" concept="clcid-mr:YanFaRenYuanJiaoYuChengDuQingKuangMingXiXueLiGouCheng" label="研发人员教育程度情况明细_学历构成" addr="T1R2C0S1_1"/>
        <m:item xlName="_GBC_0e4bea02ad97436a8bdd48c446441f18" concept="clcid-mr:YanFaRenYuanJiaoYuChengDuQingKuangMingXiRenShu" label="研发人员教育程度情况明细_人数" addr="T1R2C1S1_1" formatStyle="Comma"/>
        <m:item xlName="_GBC_7e799debca7e40a587e71ad71d0c73e2" concept="clcid-mr:YanFaRenYuanJiaoYuChengDuQingKuangMingXiSuoZhanBiLi" label="研发人员教育程度情况明细_所占比例" addr="T1R2C2S1_1" baseScale="0.01" formatStyle="Comma"/>
      </m:tuple>
      <m:placeholder xlName="_PLD_f16d061b0b0c426bb82a671a68313ff5" addr="T1R4C0S1_1"/>
      <m:item xlName="_GBC_750d04299bb846c6b14e42774285be33" concept="clcid-mr:YanFaRenYuanAnJiaoYuChengDuTongJiDeRenShuHeJi" label="研发人员按教育程度统计的人数合计" addr="T1R4C1S1_1" formatStyle="Comma"/>
      <m:item xlName="_GBC_09f448f5873249d0bbbb3637a118dfd1" concept="clcid-mr:YanFaRenYuanAnJiaoYuChengDuTongJiDeRenShuSuoZhanBiLiHeJi" label="研发人员按教育程度统计的人数所占比例合计" addr="T1R4C2S1_1" baseScale="0.01" formatStyle="Comma"/>
      <m:placeholder xlName="_PLD_7de742a459964137b2095fcaac303401" addr="T1R5C0S1_3"/>
      <m:placeholder xlName="_PLD_8ae67d163f4c4f97a94e9edaf591b2b0" addr="T1R6C0S1_1"/>
      <m:placeholder xlName="_PLD_e43716f5e5f84f759972232c3f45da77" addr="T1R6C1S1_1"/>
      <m:placeholder xlName="_PLD_f98e00970e554451bae7764721837814" addr="T1R6C2S1_1"/>
      <m:tuple xlName="_TUP_ba03b6704ae64d42893f5c677b2b5ac1" concept="clcid-mr:YanFaRenYuanNianLingJieGouQingKuangMingXi" default_row="2" addr="T1R7C">
        <m:item xlName="_GBC_8fe7a1fed7854ec0ac49856c8058f055" concept="clcid-mr:YanFaRenYuanNianLingJieGouQingKuangMingXiNianLingQuJian" label="研发人员年龄结构情况明细_年龄区间" addr="T1R7C0S1_1"/>
        <m:item xlName="_GBC_01d2270611614ce4ae749dfd11ad3640" concept="clcid-mr:YanFaRenYuanNianLingJieGouQingKuangMingXiRenShu" label="研发人员年龄结构情况明细_人数" addr="T1R7C1S1_1" formatStyle="Comma"/>
        <m:item xlName="_GBC_5a7e1df5e05b486a8bf26d138bf05e97" concept="clcid-mr:YanFaRenYuanNianLingJieGouQingKuangMingXiSuoZhanBiLi" label="研发人员年龄结构情况明细_所占比例" addr="T1R7C2S1_1" baseScale="0.01" formatStyle="Comma"/>
      </m:tuple>
      <m:placeholder xlName="_PLD_85fef01ffc2d431badad87087aecd36c" addr="T1R9C0S1_1"/>
      <m:item xlName="_GBC_f4f86df4ef2a4532bc3750dc4b3359f3" concept="clcid-mr:YanFaRenYuanAnNianLingJieGouTongJiDeRenShuHeJi" label="研发人员按年龄结构统计的人数合计" addr="T1R9C1S1_1" formatStyle="Comma"/>
      <m:item xlName="_GBC_f0712059582549789dcad28dff988d59" concept="clcid-mr:YanFaRenYuanAnNianLingJieGouTongJiDeRenShuSuoZhanBiLiHeJi" label="研发人员按年龄结构统计的人数所占比例合计" addr="T1R9C2S1_1" baseScale="0.01" formatStyle="Comma"/>
    </m:section>
    <m:section xlName="_SEC_2b0047910d6a4f4aab71492020e0a01c" title="研发人员情况说明">
      <m:item xlName="_GBC_dfb930818f264444a804ad9b6a1534d1" concept="clcid-ci-ar:ShiFouShiYongHeXinJiShuYuYanFaJinZhanDeQiTaShuoMing" label="是否适用：核心技术与研发进展的其他说明" selectOptions="_buildInAppliance" controlType="CustomCheckbox" cRanges="[{&quot;StartName&quot;:&quot;_GBC_dfb930818f264444a804ad9b6a1534d1&quot;,&quot;EndName&quot;:&quot;_GBC_6d301524af754cc785bf615e00f2fb33&quot;,&quot;CType&quot;:1}]"/>
      <m:item xlName="_GBC_6d301524af754cc785bf615e00f2fb33" concept="clcid-mr:HeXinJiShuYuYanFaJinZhanDeQiTaShuoMing" label="核心技术与研发进展的其他说明" appId="_GBC_dfb930818f264444a804ad9b6a1534d1"/>
    </m:section>
    <m:section xlName="_SEC_894a60b996734f37bd0eeeb512ab3f7a" title="核心竞争力分析"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item xlName="_GBC_e35c2d300efd4806a41a236bb894ef98" concept="clcid-ci-ar:ShiFouShiYongBaoGaoQiNeiHeXinJingZhengLiFenXi" label="是否适用：报告期内核心竞争力分析" selectOptions="_buildInAppliance" controlType="CustomCheckbox" cRanges="[{&quot;StartName&quot;:&quot;_GBC_e35c2d300efd4806a41a236bb894ef98&quot;,&quot;EndName&quot;:&quot;_GBC_792fc85c6e76488c9abf835c437aa61f&quot;,&quot;CType&quot;:1}]"/>
      <m:item xlName="_GBC_792fc85c6e76488c9abf835c437aa61f" concept="clcid-mr:BaoGaoQiNeiHeXinJingZhengLiFenXi" label="报告期内核心竞争力分析" appId="_GBC_e35c2d300efd4806a41a236bb894ef98"/>
    </m:section>
    <m:section xlName="_SEC_7f1b97683e054fbfaef9f58029f13cd6" title="报告期内发生的导致公司核心竞争力受到严重影响的事件、影响分析及应对措施" helpText="公司应当披露报告期内核心竞争力（包括核心管理团队、技术团队、核心技术人员、专有设备、专利、非专利技术、特许经营权、独特经营方式和盈利模式、允许他人使用自己所有的资源要素或作为被许可方使用他人资源要素等）的重要变化及对公司所产生的影响。">
      <m:item xlName="_GBC_eab112557a194c1586b12b14d226b03c" concept="clcid-ci-ar:ShiFouShiYongBaoGaoQiNeiFaShengDeDaoZhiGongSiHeXinJingZhengLiShouDaoYanZhongYingXiangDeShiJianYingXiangFenXiJiYingDuiCuoShi" label="是否适用：报告期内发生的导致公司核心竞争力受到严重影响的事件、影响分析及应对措施" selectOptions="_buildInAppliance" controlType="CustomCheckbox" cRanges="[{&quot;StartName&quot;:&quot;_GBC_eab112557a194c1586b12b14d226b03c&quot;,&quot;EndName&quot;:&quot;_GBC_162dbba936ce452280f1af42de1a10fa&quot;,&quot;CType&quot;:1}]"/>
      <m:item xlName="_GBC_162dbba936ce452280f1af42de1a10fa" concept="clcid-mr:BaoGaoQiNeiFaShengDeDaoZhiGongSiHeXinJingZhengLiShouDaoYanZhongYingXiangDeShiJianYingXiangFenXiJiYingDuiCuoShi" label="报告期内发生的导致公司核心竞争力受到严重影响的事件、影响分析及应对措施" appId="_GBC_eab112557a194c1586b12b14d226b03c"/>
    </m:section>
    <m:section xlName="_GBC_ba3734a9f27a452095f3115c17f4b09e" title="经营情况的讨论与分析" convertSummaryRule="NoConvert" helpId="104001002">
      <m:item xlName="_GBC_886258ec69e240da99b57ac102afbda6" concept="clcid-mr:GuanLiCengTaoLunYuFenXi" label="管理层讨论与分析" summaryGuid="_GBC_d345fcc3bb074a82b96454f57cc985a6"/>
    </m:section>
    <m:section xlName="_SEC_75e2f75de3214784a91afc7e0358d58a" title="报告期内公司经营情况的重大变化，以及报告期内发生的对公司经营情况有重大影响和预计未来会有重大影响的事项" helpId="110002108">
      <m:item xlName="_GBC_fda2c2f2d5f64eb780a04e738caa31ed" concept="clcid-ci-ar:ShiFouShiYongBaoGaoQiNeiGongSiJingYingQingKuangDeZhongDaBianHuaYiJiBaoGaoQiNeiFaShengDeDuiGongSiJingYingQingKuangYouZhongDaYingXiangHeYuJiWeiLaiHuiYouZhongDaYingXiangDeShiXiang" label="是否适用：报告期内公司经营情况的重大变化，以及报告期内发生的对公司经营情况有重大影响和预计未来会有重大影响的事项" selectOptions="_buildInAppliance" controlType="CustomCheckbox" cRanges="[{&quot;StartName&quot;:&quot;_GBC_fda2c2f2d5f64eb780a04e738caa31ed&quot;,&quot;EndName&quot;:&quot;_GBC_1cac53a6f4534dbe92ef7a6bcc81cd1d&quot;,&quot;CType&quot;:1}]"/>
      <m:item xlName="_GBC_1cac53a6f4534dbe92ef7a6bcc81cd1d" concept="clcid-mr:BaoGaoQiNeiGongSiJingYingQingKuangDeZhongDaBianHuaYiJiBaoGaoQiNeiFaShengDeDuiGongSiJingYingQingKuangYouZhongDaYingXiangHeYuJiWeiLaiHuiYouZhongDaYingXiangDeShiXiang" label="报告期内公司经营情况的重大变化，以及报告期内发生的对公司经营情况有重大影响和预计未来会有重大影响的事项" appId="_GBC_fda2c2f2d5f64eb780a04e738caa31ed"/>
    </m:section>
    <m:section xlName="_SEC_56fe48db58754846bb0d22e4cdf96f24" title="">
      <m:item xlName="_GBC_81cab950498b4e86bd80c8a56e7591fa" concept="clcid-ci-ar:ShiFouShiYongFengXianYinSu" label="是否适用：风险因素" selectOptions="_buildInAppliance" controlType="CustomCheckbox" cRanges="[{&quot;StartName&quot;:&quot;_GBC_81cab950498b4e86bd80c8a56e7591fa&quot;,&quot;EndName&quot;:&quot;_GBC_d38541cd34d44f85ac2ba9c85822670f&quot;,&quot;CType&quot;:1}]"/>
      <m:item xlName="_GBC_d38541cd34d44f85ac2ba9c85822670f" concept="clcid-mr:FengXianYinSu" label="风险因素" appId="_GBC_81cab950498b4e86bd80c8a56e7591fa"/>
    </m:section>
    <m:section xlName="_SEC_ddf4c954311a4e418bcb95c4c2c9cc88" title="报告期内主要经营情况" helpId="108001001" otherKeyActions="{&quot;KeyCode&quot;:&quot;ShareChildren:主要经营情况&quot;,&quot;KeyAction&quot;:31,&quot;KeyActionTitle&quot;:null,&quot;OtherActions&quot;:null}">
      <m:item xlName="_GBC_62f836101e86411f92678b57daae9e03" concept="clcid-mr:BaoGaoQiNeiZhuYaoJingYingQingKuang" label="报告期内主要经营情况">
        <m:simpleRule dataType="Any" comparator="None" minOccurs="1"/>
      </m:item>
    </m:section>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注3：如需删除变动原因说明，请通过模块-删除段落进行删除。" editSection="_GBC_d946d01b34d4418f87d2ffa61f8ee353">
      <m:item xlName="_GBC_ece1a77905b94e6db0c76206578fe2db" concept="clcid-ci-ar:DanWeiLiRunBiaoJiXianJinLiuLiangBiaoXiangGuanKeMuBianDongFenXiBiao" label="单位：利润表及现金流量表相关科目变动分析表" selectOptions="_buildInScales" controlType="Combobox" cellType="Scale"/>
      <m:item xlName="_GBC_6c86f79f9e2349b09f37ad908cd43f73" concept="clcid-ci-ar:BiZhongLiRunBiaoJiXianJinLiuLiangBiaoXiangGuanKeMuBianDongFenXiBiao" label="币种：利润表及现金流量表相关科目变动分析表" selectOptions="_buildInISO4217" controlType="Combobox" cellType="Measure"/>
      <m:placeholder xlName="_PLD_2e2e0d1bb8d44a278061305ea6808979" addr="T0R0C0S1_1"/>
      <m:placeholder xlName="_PLD_37391874ab08430b841a55f53c4d20e6" addr="T0R0C1S1_1"/>
      <m:placeholder xlName="_PLD_d061bf6d7e824e93a5540d2e36feb15d" addr="T0R0C2S1_1"/>
      <m:placeholder xlName="_PLD_1792b71106c34c75af22292391c96e49" addr="T0R0C3S1_1"/>
      <m:placeholder xlName="_PLD_c7aabd73356d4df6ad6c67395e690823" addr="T0R1C0S1_1"/>
      <m:item xlName="_GBC_283b61edf59b4dbb9b63f6a06d12c146" concept="clcid-pte:YingYeShouRu" label="营业收入" mulRef="_GBC_ece1a77905b94e6db0c76206578fe2db" unitRef="_GBC_6c86f79f9e2349b09f37ad908cd43f73" addr="T0R1C1S1_1" formatStyle="Comma"/>
      <m:item xlName="_GBC_0e0abb8c6f85409f9d259fa06e0bf68f" concept="clcid-pte:YingYeShouRu" label="营业收入" periodRef="上年同期数" mulRef="_GBC_ece1a77905b94e6db0c76206578fe2db" unitRef="_GBC_6c86f79f9e2349b09f37ad908cd43f73" addr="T0R1C2S1_1" formatStyle="Comma"/>
      <m:item xlName="_GBC_093d8a02de794f0d9d718943636775de" concept="clcid-pte:YingYeShouRuBenQiBiShangQiZengJian" label="营业收入本期比上期增减" addr="T0R1C3S1_1" baseScale="0.01" formatStyle="Comma">
        <m:complexRule comparator="Eq" title="营业收入本期比上期增减" test=" (  $_GBC_283b61edf59b4dbb9b63f6a06d12c146 -  $_GBC_0e0abb8c6f85409f9d259fa06e0bf68f )  / abs (  $_GBC_0e0abb8c6f85409f9d259fa06e0bf68f ) " id="C335ee86123ba4b10ba27599f0a152545" denoGt0="true"/>
      </m:item>
      <m:placeholder xlName="_PLD_143930b444784190b0545eacad3472d8" addr="T0R2C0S1_1"/>
      <m:item xlName="_GBC_f54a70a804014d4abd28005001a963eb" concept="clcid-pte:YingYeChengBen" label="营业成本" mulRef="_GBC_ece1a77905b94e6db0c76206578fe2db" unitRef="_GBC_6c86f79f9e2349b09f37ad908cd43f73" addr="T0R2C1S1_1" formatStyle="Comma"/>
      <m:item xlName="_GBC_2c92b9cfbd8d40c4915f5be6161ee93e" concept="clcid-pte:YingYeChengBen" label="营业成本" periodRef="上年同期数" mulRef="_GBC_ece1a77905b94e6db0c76206578fe2db" unitRef="_GBC_6c86f79f9e2349b09f37ad908cd43f73" addr="T0R2C2S1_1" formatStyle="Comma"/>
      <m:item xlName="_GBC_263a2ed169e547d4ba0d6bc2bea8d4d9" concept="clcid-pte:YingYeChengBenBenQiBiShangQiZengJian" label="营业成本本期比上期增减" addr="T0R2C3S1_1" baseScale="0.01" formatStyle="Comma">
        <m:complexRule comparator="Eq" title="营业成本本期比上期增减" test=" (  $_GBC_f54a70a804014d4abd28005001a963eb -  $_GBC_2c92b9cfbd8d40c4915f5be6161ee93e )  / abs (  $_GBC_2c92b9cfbd8d40c4915f5be6161ee93e ) " id="Cdb612719f21948029e89bb9c875f3405" denoGt0="true"/>
      </m:item>
      <m:placeholder xlName="_PLD_3140de3631dd486996919c00b7b71b20" addr="T0R3C0S1_1"/>
      <m:item xlName="_GBC_c6823e89e06348839959d57edf210be4" concept="clcid-pte:XiaoShouFeiYong" label="销售费用" mulRef="_GBC_ece1a77905b94e6db0c76206578fe2db" unitRef="_GBC_6c86f79f9e2349b09f37ad908cd43f73" addr="T0R3C1S1_1" formatStyle="Comma"/>
      <m:item xlName="_GBC_2318ec79af8e475fbbdf13fa642a04e5" concept="clcid-pte:XiaoShouFeiYong" label="销售费用" periodRef="上年同期数" mulRef="_GBC_ece1a77905b94e6db0c76206578fe2db" unitRef="_GBC_6c86f79f9e2349b09f37ad908cd43f73" addr="T0R3C2S1_1" formatStyle="Comma"/>
      <m:item xlName="_GBC_cf5dfa2e5d5b4d4b89f011c5aeb118b0" concept="clcid-pte:XiaoShouFeiYongBenQiBiShangQiZengJian" label="销售费用本期比上期增减" addr="T0R3C3S1_1" baseScale="0.01" formatStyle="Comma">
        <m:complexRule comparator="Eq" title="销售费用本期比上期增减" test=" (  $_GBC_c6823e89e06348839959d57edf210be4 -  $_GBC_2318ec79af8e475fbbdf13fa642a04e5 )  / abs (  $_GBC_2318ec79af8e475fbbdf13fa642a04e5 ) " id="Cc6745b9f82bb47d5927462559224fb44" denoGt0="true"/>
      </m:item>
      <m:placeholder xlName="_PLD_6448b6c19be4461084a37286c6a46673" addr="T0R4C0S1_1"/>
      <m:item xlName="_GBC_00089b2a95df421f93517681aec1cee3" concept="clcid-pte:GuanLiFeiYong" label="管理费用" mulRef="_GBC_ece1a77905b94e6db0c76206578fe2db" unitRef="_GBC_6c86f79f9e2349b09f37ad908cd43f73" addr="T0R4C1S1_1" formatStyle="Comma"/>
      <m:item xlName="_GBC_0156f37ce44c44c18405916264b3e9e7" concept="clcid-pte:GuanLiFeiYong" label="管理费用" periodRef="上年同期数" mulRef="_GBC_ece1a77905b94e6db0c76206578fe2db" unitRef="_GBC_6c86f79f9e2349b09f37ad908cd43f73" addr="T0R4C2S1_1" formatStyle="Comma"/>
      <m:item xlName="_GBC_057d96f62ed246e69a846591ef421106" concept="clcid-pte:GuanLiFeiYongBenQiBiShangQiZengJian" label="管理费用本期比上期增减" addr="T0R4C3S1_1" baseScale="0.01" formatStyle="Comma">
        <m:complexRule comparator="Eq" title="管理费用本期比上期增减" test=" (  $_GBC_00089b2a95df421f93517681aec1cee3 -  $_GBC_0156f37ce44c44c18405916264b3e9e7 )  / abs (  $_GBC_0156f37ce44c44c18405916264b3e9e7 ) " id="Cb997020797b443fb89768155d2c9142a" denoGt0="true"/>
      </m:item>
      <m:placeholder xlName="_PLD_d989f363470245b8a8044d51af95f876" addr="T0R5C0S1_1"/>
      <m:item xlName="_GBC_4af543a2a63c4b0a875e17456442465d" concept="clcid-pte:CaiWuFeiYong" label="财务费用" mulRef="_GBC_ece1a77905b94e6db0c76206578fe2db" unitRef="_GBC_6c86f79f9e2349b09f37ad908cd43f73" addr="T0R5C1S1_1" formatStyle="Comma"/>
      <m:item xlName="_GBC_74c1e61030ce4f06aa939fdca298084c" concept="clcid-pte:CaiWuFeiYong" label="财务费用" periodRef="上年同期数" mulRef="_GBC_ece1a77905b94e6db0c76206578fe2db" unitRef="_GBC_6c86f79f9e2349b09f37ad908cd43f73" addr="T0R5C2S1_1" formatStyle="Comma"/>
      <m:item xlName="_GBC_d23ec654384d4f8f8421df66b462f2c0" concept="clcid-pte:CaiWuFeiYongBenQiBiShangQiZengJian" label="财务费用本期比上期增减" addr="T0R5C3S1_1" baseScale="0.01" formatStyle="Comma">
        <m:complexRule comparator="Eq" title="财务费用本期比上期增减" test=" (  $_GBC_4af543a2a63c4b0a875e17456442465d -  $_GBC_74c1e61030ce4f06aa939fdca298084c )  / abs (  $_GBC_74c1e61030ce4f06aa939fdca298084c ) " id="C6c0aa9d6a3104d7d8c0be296ee0259b7" denoGt0="true"/>
      </m:item>
      <m:placeholder xlName="_PLD_79aac573eb414fcbb6f291d963446057" addr="T0R6C0S1_1"/>
      <m:item xlName="_GBC_3127a5dab9e14d4091521f41345ce248" concept="clcid-pte:YanFaFeiYong" label="研发费用" mulRef="_GBC_ece1a77905b94e6db0c76206578fe2db" unitRef="_GBC_6c86f79f9e2349b09f37ad908cd43f73" addr="T0R6C1S1_1" formatStyle="Comma"/>
      <m:item xlName="_GBC_4584b85f5b0149c6b61cd6249ae8472b" concept="clcid-pte:YanFaFeiYong" label="研发费用" periodRef="上年同期数" mulRef="_GBC_ece1a77905b94e6db0c76206578fe2db" unitRef="_GBC_6c86f79f9e2349b09f37ad908cd43f73" addr="T0R6C2S1_1" formatStyle="Comma"/>
      <m:item xlName="_GBC_86673c67647148c190bfad96efd57800" concept="clcid-pte:YanFaFeiYongBenQiBiShangQiZengJian" label="研发费用本期比上期增减" addr="T0R6C3S1_1" baseScale="0.01" formatStyle="Comma">
        <m:complexRule comparator="Eq" title="研发支出本期比上期增减" test=" (  $_GBC_3127a5dab9e14d4091521f41345ce248 -  $_GBC_4584b85f5b0149c6b61cd6249ae8472b )  / abs (  $_GBC_4584b85f5b0149c6b61cd6249ae8472b ) " id="Cb732b7f594204327a63d45f4f5fa578e" denoGt0="true"/>
      </m:item>
      <m:placeholder xlName="_PLD_3e652539acb44f708b4f7202c302af4f" addr="T0R7C0S1_1"/>
      <m:item xlName="_GBC_314f2eca333f4bdfa9035ba05dcb0d16" concept="clcid-pte:JingYingHuoDongXianJinLiuLiangJingE" label="经营活动现金流量净额" mulRef="_GBC_ece1a77905b94e6db0c76206578fe2db" unitRef="_GBC_6c86f79f9e2349b09f37ad908cd43f73" addr="T0R7C1S1_1" formatStyle="Comma"/>
      <m:item xlName="_GBC_f7f2a915dbbc4320b70bb6d50fb898f1" concept="clcid-pte:JingYingHuoDongXianJinLiuLiangJingE" label="经营活动现金流量净额" periodRef="上年同期数" mulRef="_GBC_ece1a77905b94e6db0c76206578fe2db" unitRef="_GBC_6c86f79f9e2349b09f37ad908cd43f73" addr="T0R7C2S1_1" formatStyle="Comma"/>
      <m:item xlName="_GBC_cf159a552b5f4623b944d2393dec119c" concept="clcid-pte:JingYingHuoDongXianJinLiuLiangJingEBenQiBiShangQiZengJian" label="经营活动现金流量净额本期比上期增减" addr="T0R7C3S1_1" baseScale="0.01" formatStyle="Comma">
        <m:complexRule comparator="Eq" title="经营活动现金流量净额本期比上期增减" test=" (  $_GBC_314f2eca333f4bdfa9035ba05dcb0d16 -  $_GBC_f7f2a915dbbc4320b70bb6d50fb898f1 )  / abs (  $_GBC_f7f2a915dbbc4320b70bb6d50fb898f1 ) " id="Cfaaee81af6b746269f660bef46e5498d" denoGt0="true"/>
      </m:item>
      <m:placeholder xlName="_PLD_93331660aee640afb46a84edc7e2d2a4" addr="T0R8C0S1_1"/>
      <m:item xlName="_GBC_889c087d1e4a4e748af568203d735338" concept="clcid-pte:TouZiHuoDongChanShengDeXianJinLiuLiangJingE" label="投资活动产生的现金流量净额" mulRef="_GBC_ece1a77905b94e6db0c76206578fe2db" unitRef="_GBC_6c86f79f9e2349b09f37ad908cd43f73" addr="T0R8C1S1_1" formatStyle="Comma"/>
      <m:item xlName="_GBC_486dc36f18cb420ea295042488537484" concept="clcid-pte:TouZiHuoDongChanShengDeXianJinLiuLiangJingE" label="投资活动产生的现金流量净额" periodRef="上年同期数" mulRef="_GBC_ece1a77905b94e6db0c76206578fe2db" unitRef="_GBC_6c86f79f9e2349b09f37ad908cd43f73" addr="T0R8C2S1_1" formatStyle="Comma"/>
      <m:item xlName="_GBC_56d5b355d724434dbb3684e49a6a889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89c087d1e4a4e748af568203d735338 -  $_GBC_486dc36f18cb420ea295042488537484 )  / abs (  $_GBC_486dc36f18cb420ea295042488537484 ) " id="C00ae245bb1fa4fd2855bd441f1b569c9" denoGt0="true"/>
      </m:item>
      <m:placeholder xlName="_PLD_8e32eafcb28041f58b5df53597b43172" addr="T0R9C0S1_1"/>
      <m:item xlName="_GBC_c2196bea72b9429396522dcaa0ee65ab" concept="clcid-pte:ChouZiHuoDongChanShengDeXianJinLiuLiangJingE" label="筹资活动产生的现金流量净额" mulRef="_GBC_ece1a77905b94e6db0c76206578fe2db" unitRef="_GBC_6c86f79f9e2349b09f37ad908cd43f73" addr="T0R9C1S1_1" formatStyle="Comma"/>
      <m:item xlName="_GBC_c13dcd3681454a1faa3144af4aafe590" concept="clcid-pte:ChouZiHuoDongChanShengDeXianJinLiuLiangJingE" label="筹资活动产生的现金流量净额" periodRef="上年同期数" mulRef="_GBC_ece1a77905b94e6db0c76206578fe2db" unitRef="_GBC_6c86f79f9e2349b09f37ad908cd43f73" addr="T0R9C2S1_1" formatStyle="Comma"/>
      <m:item xlName="_GBC_df074cc4ab0f4b61a28f33bbb86160c5"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c2196bea72b9429396522dcaa0ee65ab -  $_GBC_c13dcd3681454a1faa3144af4aafe590 )  / abs (  $_GBC_c13dcd3681454a1faa3144af4aafe590 ) " id="C2909e34cc9dc4b97a79e3144c897f129" denoGt0="true"/>
      </m:item>
      <m:tuple xlName="_GBC_9dad03000e404d87a1422bfe9c7debe2" concept="clcid-pte:LiRunBiaoJiXianJinLiuLiangBiaoXiangGuanKeMuBianDongFenXi" default_row="2" primaryConcept="clcid-pte:LiRunBiaoJiXianJinLiuLiangBiaoXiangGuanKeMuBianDongFenXiKeMuMingCheng" addr="T0R10C">
        <m:item xlName="_GBC_3934d8e5ff7745789b083fcb0be6e26b" concept="clcid-pte:LiRunBiaoJiXianJinLiuLiangBiaoXiangGuanKeMuBianDongFenXiKeMuMingCheng" label="利润表及现金流量表相关科目变动分析-科目名称" addr="T0R10C0S1_1" cellConvertType="1"/>
        <m:item xlName="_GBC_b9a7be035895422dbe3da1dbb65354a1" concept="clcid-pte:LiRunBiaoJiXianJinLiuLiangBiaoXiangGuanKeMuBianDongFenXiKeMuZhi" label="利润表及现金流量表相关科目变动分析-科目值" mulRef="_GBC_ece1a77905b94e6db0c76206578fe2db" unitRef="_GBC_6c86f79f9e2349b09f37ad908cd43f73" addr="T0R10C1S1_1" formatStyle="Comma"/>
        <m:item xlName="_GBC_93fab54661fd4017b0abd8f660665324" concept="clcid-pte:LiRunBiaoJiXianJinLiuLiangBiaoXiangGuanKeMuBianDongFenXiKeMuZhi" label="利润表及现金流量表相关科目变动分析-科目值" periodRef="上年同期数" mulRef="_GBC_ece1a77905b94e6db0c76206578fe2db" unitRef="_GBC_6c86f79f9e2349b09f37ad908cd43f73" addr="T0R10C2S1_1" formatStyle="Comma"/>
        <m:item xlName="_GBC_905f7606959d41bc80ce145eb9ae7e53"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b9a7be035895422dbe3da1dbb65354a1 -  $_GBC_93fab54661fd4017b0abd8f660665324 )  / abs (  $_GBC_93fab54661fd4017b0abd8f660665324 ) " id="C6965c122db75422e8b56584dd56e4ffa" denoGt0="true"/>
        </m:item>
      </m:tuple>
      <m:item xlName="_GBC_f42c61e6c2ef46fe886ea6ecdd4ea15b" concept="clcid-pte:YingYeShouRuBianDongYuanYinShuoMing" label="营业收入变动原因说明" cellConvertType="1"/>
      <m:item xlName="_GBC_4ab47071f9844da58abe164f6bd272aa" concept="clcid-pte:YingYeChengBenBianDongYuanYinShuoMing" label="营业成本变动原因说明" cellConvertType="1"/>
      <m:item xlName="_GBC_d8f3d3236009445ca57b171f1c954fae" concept="clcid-pte:XiaoShouFeiYongBianDongYuanYinShuoMing" label="销售费用变动原因说明" cellConvertType="1"/>
      <m:item xlName="_GBC_13103bbe23ee4770b17eecdee03d38a1" concept="clcid-pte:GuanLiFeiYongBianDongYuanYinShuoMing" label="管理费用变动原因说明" cellConvertType="1"/>
      <m:item xlName="_GBC_2876360f1d844724b6ba84d6b9756580" concept="clcid-pte:CaiWuFeiYongBianDongYuanYinShuoMing" label="财务费用变动原因说明" cellConvertType="1"/>
      <m:item xlName="_GBC_b0b71742eb3f4715afa18751ce433454" concept="clcid-pte:YanFaFeiYongBianDongYuanYinShuoMing" label="研发费用变动原因说明"/>
      <m:item xlName="_GBC_309323bb8b0046e9bb6afe0231994d50" concept="clcid-pte:JingYingHuoDongChanShengDeXianJinLiuLiangJingEBianDongYuanYinShuoMing" label="经营活动产生的现金流量净额变动原因说明" cellConvertType="1"/>
      <m:item xlName="_GBC_981bcb9573814b8080b52fae435fb1b0" concept="clcid-pte:TouZiHuoDongChanShengDeXianJinLiuLiangJingEBianDongYuanYinShuoMing" label="投资活动产生的现金流量净额变动原因说明" cellConvertType="1"/>
      <m:item xlName="_GBC_900a9d8acfac4ec18a35c4034161c13e" concept="clcid-pte:ChouZiHuoDongChanShengDeXianJinLiuLiangJingEBianDongYuanYinShuoMing" label="筹资活动产生的现金流量净额变动原因说明" cellConvertType="1"/>
      <m:tuple xlName="_GBC_94f5ff32e4ce4847911acff5a0adb36c" concept="clcid-pte:LiRunBiaoJiXianJinLiuLiangBiaoXiangGuanKeMuBianDongFenXi" default_row="3" usage="3" primaryConcept="clcid-pte:LiRunBiaoJiXianJinLiuLiangBiaoXiangGuanKeMuBianDongFenXiKeMuMingCheng">
        <m:item xlName="_GBC_764a55650aaf4240a584071ddd35a587" concept="clcid-pte:LiRunBiaoJiXianJinLiuLiangBiaoXiangGuanKeMuBianDongFenXiKeMuMingCheng" label="利润表及现金流量表相关科目变动分析-科目名称" cellConvertType="1" emptyDecision="false"/>
        <m:item xlName="_GBC_1f225b75164341838c2f2de40a1ee736" concept="clcid-pte:LiRunBiaoJiXianJinLiuLiangBiaoXiangGuanKeMuBianDongFenXiBianDongYuanYinShuoMing" label="利润表及现金流量表相关科目变动分析-变动原因说明" cellConvertType="1"/>
      </m:tuple>
    </m:section>
    <m:section xlName="_GBC_2346c2f60a0d447bb4e68d1cdeb1ae6e" title="公司利润构成或利润来源发生重大变动的详细说明" convertSummaryRule="NoConvert" helpId="108001001">
      <m:item xlName="_GBC_cf62b49cb7b54052a77aa6c4ec7218c8" concept="clcid-ci-ar:ShiFouShiYongGongSiLiRunGouChengHuoLiRunLaiYuanFaShengZhongDaBianDongDeXiangXiShuoMing" label="是否适用：公司利润构成或利润来源发生重大变动的详细说明" selectOptions="_buildInAppliance" controlType="CustomCheckbox" cRanges="{&quot;StartName&quot;:&quot;_GBC_cf62b49cb7b54052a77aa6c4ec7218c8&quot;,&quot;EndName&quot;:&quot;_GBC_41b59ccce05a44b68f8d6cbcf3c41007&quot;,&quot;CType&quot;:1,&quot;DisplayText&quot;:null}"/>
      <m:item xlName="_GBC_41b59ccce05a44b68f8d6cbcf3c41007" concept="clcid-pte:ZhuYingYeWuGouChengQingKuangDeShuoMing" label="主营业务构成情况的说明" appId="_GBC_cf62b49cb7b54052a77aa6c4ec7218c8"/>
    </m:section>
    <m:section xlName="_SEC_8eca3e31ebef41f0bccb8c1e5fae0579" title="非主营业务导致利润重大变化的说明" helpId="108005007">
      <m:item xlName="_GBC_45f0580c6f114551af0270412b25ccd0" concept="clcid-ci-ar:ShiFouShiYongFeiZhuYingYeWuLaiYuanFenXi" label="是否适用：非主营业务来源分析" selectOptions="_buildInAppliance" controlType="CustomCheckbox" cRanges="{&quot;StartName&quot;:&quot;_GBC_45f0580c6f114551af0270412b25ccd0&quot;,&quot;EndName&quot;:&quot;_GBC_7dd535a8775b496390613215adb5a07f&quot;,&quot;CType&quot;:1,&quot;DisplayText&quot;:null}"/>
      <m:item xlName="_GBC_7dd535a8775b496390613215adb5a07f" concept="clcid-mr:FeiZhuYingYeWuLaiYuanFenXi" label="非主营业务来源分析" appId="_GBC_45f0580c6f114551af0270412b25ccd0"/>
    </m:section>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2666a78ea4e94400a6b7b71f88db296f&quot;,&quot;CType&quot;:1}]"/>
    <m:section xlName="_SEC_2666a78ea4e94400a6b7b71f88db296f" title="资产及负债状况" helpId="108005004">
      <m:item xlName="_GBC_19581b936bf8465fa7e5e06b2a70d6d8" concept="clcid-ci-ar:DanWeiZiChanFuZhaiZhuangKuangFenXi" label="单位：资产负债状况分析" selectOptions="_buildInScales" controlType="Combobox" cellType="Scale" appId="_GBC_7e768f46f428417e8696bff3cfaf9902"/>
      <m:placeholder xlName="_PLD_1941ef01d5d944b5b924d1f9a0aa1a72" addr="T0R0C0S1_1"/>
      <m:placeholder xlName="_PLD_69c7315d8062483da876a15059f5f722" addr="T0R0C1S1_1"/>
      <m:placeholder xlName="_PLD_3427c4e291a747cb88a6f83717782a65" addr="T0R0C2S1_1"/>
      <m:placeholder xlName="_PLD_2b5a2a6c284c4986a4f3bf4a346610f5" addr="T0R0C3S1_1"/>
      <m:placeholder xlName="_PLD_03656abc85e1431da04d2e83a1a33130" addr="T0R0C4S1_1"/>
      <m:placeholder xlName="_PLD_8f275209a3cb440abe89b09003385cc5" addr="T0R0C5S1_1"/>
      <m:placeholder xlName="_PLD_fbba136ab14144e0b1b987799cc35064" addr="T0R0C6S1_1"/>
      <m:placeholder xlName="_PLD_99bb7655683b481682a6ad6de398a58f" addr="T0R1C0S1_1"/>
      <m:item xlName="_GBC_eb608e8d672545c28c364f8928df5cd0" concept="clcid-pte:HuoBiZiJin" label="货币资金" mulRef="_GBC_19581b936bf8465fa7e5e06b2a70d6d8" addr="T0R1C1S1_1" formatStyle="Comma" appId="_GBC_7e768f46f428417e8696bff3cfaf9902"/>
      <m:item xlName="_GBC_239458c3605b4e3bb96cd64de7669090" concept="clcid-mr:HuoBiZiJinZhanZongZiChanDeBiLi" label="货币资金占总资产的比例" addr="T0R1C2S1_1" baseScale="0.01" formatStyle="Comma" appId="_GBC_7e768f46f428417e8696bff3cfaf9902"/>
      <m:item xlName="_GBC_b13314bfbf1348f2a3cc2868cb0af370" concept="clcid-pte:HuoBiZiJin" label="货币资金" periodRef="上年度期末数" mulRef="_GBC_19581b936bf8465fa7e5e06b2a70d6d8" addr="T0R1C3S1_1" formatStyle="Comma" appId="_GBC_7e768f46f428417e8696bff3cfaf9902"/>
      <m:item xlName="_GBC_41a742873ff94ba7945de84a208aa703" concept="clcid-mr:HuoBiZiJinZhanZongZiChanDeBiLi" label="货币资金占总资产的比例" periodRef="上年度期末数" addr="T0R1C4S1_1" baseScale="0.01" formatStyle="Comma" appId="_GBC_7e768f46f428417e8696bff3cfaf9902"/>
      <m:item xlName="_GBC_008ebcb57943462db7abc099a0828006" concept="clcid-mr:HuoBiZiJinJiaoShangNianQiMoBianDongBiLi" label="货币资金较上年期末变动比例" addr="T0R1C5S1_1" baseScale="0.01" formatStyle="Comma" appId="_GBC_7e768f46f428417e8696bff3cfaf9902"/>
      <m:item xlName="_GBC_72b84de45a7541a98bf06567ce250227" concept="clcid-mr:HuoBiZiJinQingKuangShuoMing" label="货币资金情况说明" addr="T0R1C6S1_1" appId="_GBC_7e768f46f428417e8696bff3cfaf9902"/>
      <m:placeholder xlName="_PLD_6339254f2c1e4461ba4b9675ed13c631" addr="T0R2C0S1_1"/>
      <m:item xlName="_GBC_721f4bf6337a4bbea07b4110e13f2f53" concept="clcid-sce:YingShouKuanXiang" label="应收款项" mulRef="_GBC_19581b936bf8465fa7e5e06b2a70d6d8" addr="T0R2C1S1_1" formatStyle="Comma" appId="_GBC_7e768f46f428417e8696bff3cfaf9902"/>
      <m:item xlName="_GBC_e95c9ac622fa4be09422ccd95f1c4a02" concept="clcid-mr:YingShouKuanXiangZhanZongZiChanDeBiLi" label="应收款项占总资产的比例" addr="T0R2C2S1_1" baseScale="0.01" formatStyle="Comma" appId="_GBC_7e768f46f428417e8696bff3cfaf9902"/>
      <m:item xlName="_GBC_408f56fc50484677aa11fe13bf72e654" concept="clcid-sce:YingShouKuanXiang" label="应收款项" periodRef="上年度期末数" mulRef="_GBC_19581b936bf8465fa7e5e06b2a70d6d8" addr="T0R2C3S1_1" formatStyle="Comma" appId="_GBC_7e768f46f428417e8696bff3cfaf9902"/>
      <m:item xlName="_GBC_e78a70e7ad204addbbfb61c098d68392" concept="clcid-mr:YingShouKuanXiangZhanZongZiChanDeBiLi" label="应收款项占总资产的比例" periodRef="上年度期末数" addr="T0R2C4S1_1" baseScale="0.01" formatStyle="Comma" appId="_GBC_7e768f46f428417e8696bff3cfaf9902"/>
      <m:item xlName="_GBC_70bcc49284a6461690fa9c42ef89ddc1" concept="clcid-mr:YingShouKuanXiangJiaoShangNianQiMoBianDongBiLi" label="应收款项较上年期末变动比例" addr="T0R2C5S1_1" baseScale="0.01" formatStyle="Comma" appId="_GBC_7e768f46f428417e8696bff3cfaf9902"/>
      <m:item xlName="_GBC_4d3cb26fd77e4c20935a2e962baea255" concept="clcid-mr:YingShouKuanXiangQingKuangShuoMing" label="应收款项情况说明" addr="T0R2C6S1_1" appId="_GBC_7e768f46f428417e8696bff3cfaf9902"/>
      <m:placeholder xlName="_PLD_6c601817802e4e698b3ebe6c38296e5c" addr="T0R3C0S1_1"/>
      <m:item xlName="_GBC_4fb140d6c231453eaa8b96c30a68026e" concept="clcid-pte:CunHuo" label="存货" mulRef="_GBC_19581b936bf8465fa7e5e06b2a70d6d8" addr="T0R3C1S1_1" formatStyle="Comma" appId="_GBC_7e768f46f428417e8696bff3cfaf9902"/>
      <m:item xlName="_GBC_11945c4f76ff44489486dbf4a4f1ec3e" concept="clcid-mr:CunHuoZhanZongZiChanDeBiLi" label="存货占总资产的比例" addr="T0R3C2S1_1" baseScale="0.01" formatStyle="Comma" appId="_GBC_7e768f46f428417e8696bff3cfaf9902"/>
      <m:item xlName="_GBC_f80ef4ccd1ff48ad9dad5ec0ccf4961f" concept="clcid-pte:CunHuo" label="存货" periodRef="上年度期末数" mulRef="_GBC_19581b936bf8465fa7e5e06b2a70d6d8" addr="T0R3C3S1_1" formatStyle="Comma" appId="_GBC_7e768f46f428417e8696bff3cfaf9902"/>
      <m:item xlName="_GBC_b9d482f825894fa7aa8fcfc9390d9ba1" concept="clcid-mr:CunHuoZhanZongZiChanDeBiLi" label="存货占总资产的比例" periodRef="上年度期末数" addr="T0R3C4S1_1" baseScale="0.01" formatStyle="Comma" appId="_GBC_7e768f46f428417e8696bff3cfaf9902"/>
      <m:item xlName="_GBC_793768151c564854ad30d68e287b5a6f" concept="clcid-mr:CunHuoJiaoShangNianQiMoBianDongBiLi" label="存货较上年期末变动比例" addr="T0R3C5S1_1" baseScale="0.01" formatStyle="Comma" appId="_GBC_7e768f46f428417e8696bff3cfaf9902"/>
      <m:item xlName="_GBC_2987d080d73849d8a26f980fbb6e5ee3" concept="clcid-mr:CunHuoQingKuangShuoMing" label="存货情况说明" addr="T0R3C6S1_1" appId="_GBC_7e768f46f428417e8696bff3cfaf9902"/>
      <m:placeholder xlName="_PLD_f74d46cfa312457a9e7f953b3ebec3e1" addr="T0R4C0S1_1"/>
      <m:item xlName="_GBC_4a8b40d39ce944ce9fcd56b9ba0b24a6" concept="clcid-pte:HeTongZiChan" label="合同资产" mulRef="_GBC_19581b936bf8465fa7e5e06b2a70d6d8" addr="T0R4C1S1_1" formatStyle="Comma" appId="_GBC_7e768f46f428417e8696bff3cfaf9902"/>
      <m:item xlName="_GBC_7d124412e78b4ee6b7048619c9493dc0" concept="clcid-mr:HeTongZiChanZhanZongZiChanDeBiLi" label="合同资产占总资产的比例" addr="T0R4C2S1_1" baseScale="0.01" formatStyle="Comma" appId="_GBC_7e768f46f428417e8696bff3cfaf9902"/>
      <m:item xlName="_GBC_dc96eee6950a4c009a34b00368844d5c" concept="clcid-pte:HeTongZiChan" label="合同资产" periodRef="上年度期末数" mulRef="_GBC_19581b936bf8465fa7e5e06b2a70d6d8" addr="T0R4C3S1_1" formatStyle="Comma" appId="_GBC_7e768f46f428417e8696bff3cfaf9902"/>
      <m:item xlName="_GBC_d10d837c1e604cdb8b2a3481d93e8d30" concept="clcid-mr:HeTongZiChanZhanZongZiChanDeBiLi" label="合同资产占总资产的比例" periodRef="上年度期末数" addr="T0R4C4S1_1" baseScale="0.01" formatStyle="Comma" appId="_GBC_7e768f46f428417e8696bff3cfaf9902"/>
      <m:item xlName="_GBC_970ca38521694097bf6e3b99e86127dc" concept="clcid-mr:HeTongZiChanJiaoShangNianQiMoBianDongBiLi" label="合同资产较上年期末变动比例" addr="T0R4C5S1_1" baseScale="0.01" formatStyle="Comma" appId="_GBC_7e768f46f428417e8696bff3cfaf9902"/>
      <m:item xlName="_GBC_ea30a8a62708499ba5938c0ffdba75af" concept="clcid-mr:HeTongZiChanQingKuangShuoMing" label="合同资产情况说明" addr="T0R4C6S1_1" appId="_GBC_7e768f46f428417e8696bff3cfaf9902"/>
      <m:placeholder xlName="_PLD_36e18b9521c14669943c99857d1f75ef" addr="T0R5C0S1_1"/>
      <m:item xlName="_GBC_bc84fc2afb10474c9265fd3101d75536" concept="clcid-pte:TouZiXingFangDiChan" label="投资性房地产" mulRef="_GBC_19581b936bf8465fa7e5e06b2a70d6d8" addr="T0R5C1S1_1" formatStyle="Comma" appId="_GBC_7e768f46f428417e8696bff3cfaf9902"/>
      <m:item xlName="_GBC_b5d23651b29a4291a44c19e5f6013445" concept="clcid-mr:TouZiXingFangDiChanZhanZongZiChanDeBiLi" label="投资性房地产占总资产的比例" addr="T0R5C2S1_1" baseScale="0.01" formatStyle="Comma" appId="_GBC_7e768f46f428417e8696bff3cfaf9902"/>
      <m:item xlName="_GBC_d4a5ab180b964a408463a6bd1fd9ba30" concept="clcid-pte:TouZiXingFangDiChan" label="投资性房地产" periodRef="上年度期末数" mulRef="_GBC_19581b936bf8465fa7e5e06b2a70d6d8" addr="T0R5C3S1_1" formatStyle="Comma" appId="_GBC_7e768f46f428417e8696bff3cfaf9902"/>
      <m:item xlName="_GBC_d2ede4dbeb1142cc98750af26b53c241" concept="clcid-mr:TouZiXingFangDiChanZhanZongZiChanDeBiLi" label="投资性房地产占总资产的比例" periodRef="上年度期末数" addr="T0R5C4S1_1" baseScale="0.01" formatStyle="Comma" appId="_GBC_7e768f46f428417e8696bff3cfaf9902"/>
      <m:item xlName="_GBC_6f11c6859f13482ca15845605b45f257" concept="clcid-mr:TouZiXingFangDiChanJiaoShangNianQiMoBianDongBiLi" label="投资性房地产较上年期末变动比例" addr="T0R5C5S1_1" baseScale="0.01" formatStyle="Comma" appId="_GBC_7e768f46f428417e8696bff3cfaf9902"/>
      <m:item xlName="_GBC_2fe20fcd95bd437ca9fed2ce2f619361" concept="clcid-mr:TouZiXingFangDiChanQingKuangShuoMing" label="投资性房地产情况说明" addr="T0R5C6S1_1" appId="_GBC_7e768f46f428417e8696bff3cfaf9902"/>
      <m:placeholder xlName="_PLD_a83536cc89c4453184e19f5cf4e21863" addr="T0R6C0S1_1"/>
      <m:item xlName="_GBC_dc5ab5984b1f46c38a5ea4c4b9e3ec89" concept="clcid-pte:ChangQiGuQuanTouZi" label="长期股权投资" mulRef="_GBC_19581b936bf8465fa7e5e06b2a70d6d8" addr="T0R6C1S1_1" formatStyle="Comma" appId="_GBC_7e768f46f428417e8696bff3cfaf9902"/>
      <m:item xlName="_GBC_0b04c31067014147a57e684f33fb1fcc" concept="clcid-mr:ChangQiGuQuanTouZiZhanZongZiChanDeBiLi" label="长期股权投资占总资产的比例" addr="T0R6C2S1_1" baseScale="0.01" formatStyle="Comma" appId="_GBC_7e768f46f428417e8696bff3cfaf9902"/>
      <m:item xlName="_GBC_f87ea4b743284abea142a14e41efc39c" concept="clcid-pte:ChangQiGuQuanTouZi" label="长期股权投资" periodRef="上年度期末数" mulRef="_GBC_19581b936bf8465fa7e5e06b2a70d6d8" addr="T0R6C3S1_1" formatStyle="Comma" appId="_GBC_7e768f46f428417e8696bff3cfaf9902"/>
      <m:item xlName="_GBC_f1e1aaebbf2e458a941d2e49fdc65378" concept="clcid-mr:ChangQiGuQuanTouZiZhanZongZiChanDeBiLi" label="长期股权投资占总资产的比例" periodRef="上年度期末数" addr="T0R6C4S1_1" baseScale="0.01" formatStyle="Comma" appId="_GBC_7e768f46f428417e8696bff3cfaf9902"/>
      <m:item xlName="_GBC_12a67d92644442e68dda15f1d29fc481" concept="clcid-mr:ChangQiGuQuanTouZiJiaoShangNianQiMoBianDongBiLi" label="长期股权投资较上年期末变动比例" addr="T0R6C5S1_1" baseScale="0.01" formatStyle="Comma" appId="_GBC_7e768f46f428417e8696bff3cfaf9902"/>
      <m:item xlName="_GBC_0d16ebf87cce41aea1b31219fd4b927d" concept="clcid-mr:ChangQiGuQuanTouZiQingKuangShuoMing" label="长期股权投资情况说明" addr="T0R6C6S1_1" appId="_GBC_7e768f46f428417e8696bff3cfaf9902"/>
      <m:placeholder xlName="_PLD_df611aa852d1402d85e5852d861e551b" addr="T0R7C0S1_1"/>
      <m:item xlName="_GBC_5fc72d5ffcbc442cb210aaef635f223d" concept="clcid-pte:GuDingZiChanJingE" label="固定资产净额" mulRef="_GBC_19581b936bf8465fa7e5e06b2a70d6d8" addr="T0R7C1S1_1" formatStyle="Comma" appId="_GBC_7e768f46f428417e8696bff3cfaf9902"/>
      <m:item xlName="_GBC_cd6fc171ee4e40f4a4ab372ddee1cea0" concept="clcid-mr:GuDingZiChanZhanZongZiChanDeBiLi" label="固定资产占总资产的比例" addr="T0R7C2S1_1" baseScale="0.01" formatStyle="Comma" appId="_GBC_7e768f46f428417e8696bff3cfaf9902"/>
      <m:item xlName="_GBC_da53059e583d48f682ebaa99b54e3d54" concept="clcid-pte:GuDingZiChanJingE" label="固定资产净额" periodRef="上年度期末数" mulRef="_GBC_19581b936bf8465fa7e5e06b2a70d6d8" addr="T0R7C3S1_1" formatStyle="Comma" appId="_GBC_7e768f46f428417e8696bff3cfaf9902"/>
      <m:item xlName="_GBC_999bae6949444be2a9541e17e6cb07fd" concept="clcid-mr:GuDingZiChanZhanZongZiChanDeBiLi" label="固定资产占总资产的比例" periodRef="上年度期末数" addr="T0R7C4S1_1" baseScale="0.01" formatStyle="Comma" appId="_GBC_7e768f46f428417e8696bff3cfaf9902"/>
      <m:item xlName="_GBC_215fbbcf39874de8a314a988342b298a" concept="clcid-mr:GuDingZiChanJiaoShangNianQiMoBianDongBiLi" label="固定资产较上年期末变动比例" addr="T0R7C5S1_1" baseScale="0.01" formatStyle="Comma" appId="_GBC_7e768f46f428417e8696bff3cfaf9902"/>
      <m:item xlName="_GBC_f36210187512428d81e459fb29394d18" concept="clcid-mr:GuDingZiChanQingKuangShuoMing" label="固定资产情况说明" addr="T0R7C6S1_1" appId="_GBC_7e768f46f428417e8696bff3cfaf9902"/>
      <m:placeholder xlName="_PLD_c319f50b6d304ebdb2c00b3c55a0e19e" addr="T0R8C0S1_1"/>
      <m:item xlName="_GBC_0965ea4952d64d29a1c345f62989d19d" concept="clcid-pte:ZaiJianGongCheng" label="在建工程" mulRef="_GBC_19581b936bf8465fa7e5e06b2a70d6d8" addr="T0R8C1S1_1" formatStyle="Comma" appId="_GBC_7e768f46f428417e8696bff3cfaf9902"/>
      <m:item xlName="_GBC_969e4e1cbe4f45de908d9f9d6ad9ee9d" concept="clcid-mr:ZaiJianGongChengZhanZongZiChanDeBiLi" label="在建工程占总资产的比例" addr="T0R8C2S1_1" baseScale="0.01" formatStyle="Comma" appId="_GBC_7e768f46f428417e8696bff3cfaf9902"/>
      <m:item xlName="_GBC_9c39771ac44c47dea2a7de1fa895311d" concept="clcid-pte:ZaiJianGongCheng" label="在建工程" periodRef="上年度期末数" mulRef="_GBC_19581b936bf8465fa7e5e06b2a70d6d8" addr="T0R8C3S1_1" formatStyle="Comma" appId="_GBC_7e768f46f428417e8696bff3cfaf9902"/>
      <m:item xlName="_GBC_7f14f1d2939a4ddd9ecf359adf532047" concept="clcid-mr:ZaiJianGongChengZhanZongZiChanDeBiLi" label="在建工程占总资产的比例" periodRef="上年度期末数" addr="T0R8C4S1_1" baseScale="0.01" formatStyle="Comma" appId="_GBC_7e768f46f428417e8696bff3cfaf9902"/>
      <m:item xlName="_GBC_714299c574c0444194d2148330e0376f" concept="clcid-mr:ZaiJianGongChengJiaoShangNianQiMoBianDongBiLi" label="在建工程较上年期末变动比例" addr="T0R8C5S1_1" baseScale="0.01" formatStyle="Comma" appId="_GBC_7e768f46f428417e8696bff3cfaf9902"/>
      <m:item xlName="_GBC_a85d84bb7f4f49a6826b23de63324dda" concept="clcid-mr:ZaiJianGongChengQingKuangShuoMing" label="在建工程情况说明" addr="T0R8C6S1_1" appId="_GBC_7e768f46f428417e8696bff3cfaf9902"/>
      <m:placeholder xlName="_PLD_9d06ec35736b4ad5888eb4c893278c1c" addr="T0R9C0S1_1"/>
      <m:item xlName="_GBC_c5c910fc21f14e09b551c4438c88bfb1" concept="clcid-pte:ShiYongQuanZiChan" label="使用权资产" mulRef="_GBC_19581b936bf8465fa7e5e06b2a70d6d8" addr="T0R9C1S1_1" formatStyle="Comma" appId="_GBC_7e768f46f428417e8696bff3cfaf9902"/>
      <m:item xlName="_GBC_af735a2eb3f74b42bbbe0410b1ed9f50" concept="clcid-mr:ShiYongQuanZiChanZhanZongZiChanDeBiLi" label="使用权资产占总资产的比例" addr="T0R9C2S1_1" baseScale="0.01" formatStyle="Comma" appId="_GBC_7e768f46f428417e8696bff3cfaf9902"/>
      <m:item xlName="_GBC_6325896edb4a4dc68631462bda43f74b" concept="clcid-pte:ShiYongQuanZiChan" label="使用权资产" periodRef="上年度期末数" mulRef="_GBC_19581b936bf8465fa7e5e06b2a70d6d8" addr="T0R9C3S1_1" formatStyle="Comma" appId="_GBC_7e768f46f428417e8696bff3cfaf9902"/>
      <m:item xlName="_GBC_2fab1a86340c475f994d5d86ad207deb" concept="clcid-mr:ShiYongQuanZiChanZhanZongZiChanDeBiLi" label="使用权资产占总资产的比例" periodRef="上年度期末数" addr="T0R9C4S1_1" baseScale="0.01" formatStyle="Comma" appId="_GBC_7e768f46f428417e8696bff3cfaf9902"/>
      <m:item xlName="_GBC_008f86c198634f1aa273f74ba79a7289" concept="clcid-mr:ShiYongQuanZiChanJiaoShangNianQiMoBianDongBiLi" label="使用权资产较上年期末变动比例" addr="T0R9C5S1_1" baseScale="0.01" formatStyle="Comma" appId="_GBC_7e768f46f428417e8696bff3cfaf9902"/>
      <m:item xlName="_GBC_2e6d7597c40f482db133ec6d293e065d" concept="clcid-mr:ShiYongQuanZiChanQingKuangShuoMing" label="使用权资产情况说明" addr="T0R9C6S1_1" appId="_GBC_7e768f46f428417e8696bff3cfaf9902"/>
      <m:placeholder xlName="_PLD_864ddbcdaf4e4542ae7a62b9b7f506ed" addr="T0R10C0S1_1"/>
      <m:item xlName="_GBC_a903130da2044985b819e68cf9c112a1" concept="clcid-pte:DuanQiJieKuan" label="短期借款" mulRef="_GBC_19581b936bf8465fa7e5e06b2a70d6d8" addr="T0R10C1S1_1" formatStyle="Comma" appId="_GBC_7e768f46f428417e8696bff3cfaf9902"/>
      <m:item xlName="_GBC_5b3d6b15102b42e3b79074961740b843" concept="clcid-mr:DuanQiJieKuanZhanZongZiChanDeBiLi" label="短期借款占总资产的比例" addr="T0R10C2S1_1" baseScale="0.01" formatStyle="Comma" appId="_GBC_7e768f46f428417e8696bff3cfaf9902"/>
      <m:item xlName="_GBC_d7a911b90366410d93a1ed72c64d53eb" concept="clcid-pte:DuanQiJieKuan" label="短期借款" periodRef="上年度期末数" mulRef="_GBC_19581b936bf8465fa7e5e06b2a70d6d8" addr="T0R10C3S1_1" formatStyle="Comma" appId="_GBC_7e768f46f428417e8696bff3cfaf9902"/>
      <m:item xlName="_GBC_902ff47c4cdf401e8f7caa98d6037a9d" concept="clcid-mr:DuanQiJieKuanZhanZongZiChanDeBiLi" label="短期借款占总资产的比例" periodRef="上年度期末数" addr="T0R10C4S1_1" baseScale="0.01" formatStyle="Comma" appId="_GBC_7e768f46f428417e8696bff3cfaf9902"/>
      <m:item xlName="_GBC_9696a01641c94991b6efbd50c02afc46" concept="clcid-mr:DuanQiJieKuanJiaoShangNianQiMoBianDongBiLi" label="短期借款较上年期末变动比例" addr="T0R10C5S1_1" baseScale="0.01" formatStyle="Comma" appId="_GBC_7e768f46f428417e8696bff3cfaf9902"/>
      <m:item xlName="_GBC_92e9899fc13e4e08ac117386b8e6f7ae" concept="clcid-mr:DuanQiJieKuanQingKuangShuoMing" label="短期借款情况说明" addr="T0R10C6S1_1" appId="_GBC_7e768f46f428417e8696bff3cfaf9902"/>
      <m:placeholder xlName="_PLD_793d83c68eba4f748f2b21349cf3375c" addr="T0R11C0S1_1"/>
      <m:item xlName="_GBC_7d610acb3e7a4fa58c152083ef8c7fed" concept="clcid-pte:HeTongFuZhai" label="合同负债" mulRef="_GBC_19581b936bf8465fa7e5e06b2a70d6d8" addr="T0R11C1S1_1" formatStyle="Comma" appId="_GBC_7e768f46f428417e8696bff3cfaf9902"/>
      <m:item xlName="_GBC_cf1d170b2477494b82ef69635ea85407" concept="clcid-mr:HeTongFuZhaiZhanZongZiChanDeBiLi" label="合同负债占总资产的比例" addr="T0R11C2S1_1" baseScale="0.01" formatStyle="Comma" appId="_GBC_7e768f46f428417e8696bff3cfaf9902"/>
      <m:item xlName="_GBC_c6505815875d490dbc394178f01d3349" concept="clcid-pte:HeTongFuZhai" label="合同负债" periodRef="上年度期末数" mulRef="_GBC_19581b936bf8465fa7e5e06b2a70d6d8" addr="T0R11C3S1_1" formatStyle="Comma" appId="_GBC_7e768f46f428417e8696bff3cfaf9902"/>
      <m:item xlName="_GBC_47858db6ee1b4982ae268b865a56432b" concept="clcid-mr:HeTongFuZhaiZhanZongZiChanDeBiLi" label="合同负债占总资产的比例" periodRef="上年度期末数" addr="T0R11C4S1_1" baseScale="0.01" formatStyle="Comma" appId="_GBC_7e768f46f428417e8696bff3cfaf9902"/>
      <m:item xlName="_GBC_6407b6b36a264ccb92da5d52e44198e4" concept="clcid-mr:HeTongFuZhaiJiaoShangNianQiMoBianDongBiLi" label="合同负债较上年期末变动比例" addr="T0R11C5S1_1" baseScale="0.01" formatStyle="Comma" appId="_GBC_7e768f46f428417e8696bff3cfaf9902"/>
      <m:item xlName="_GBC_a0b3eb6f70a94ea892488326d3af8145" concept="clcid-mr:HeTongFuZhaiQingKuangShuoMing" label="合同负债情况说明" addr="T0R11C6S1_1" appId="_GBC_7e768f46f428417e8696bff3cfaf9902"/>
      <m:placeholder xlName="_PLD_f3d82365fa424705920d8ed83afb2d04" addr="T0R12C0S1_1"/>
      <m:item xlName="_GBC_89bf34a262844d3d876e7dcec38825f2" concept="clcid-pte:ChangQiJieKuan" label="长期借款" mulRef="_GBC_19581b936bf8465fa7e5e06b2a70d6d8" addr="T0R12C1S1_1" formatStyle="Comma" appId="_GBC_7e768f46f428417e8696bff3cfaf9902"/>
      <m:item xlName="_GBC_741a23c2c2fc402db057931305946b89" concept="clcid-mr:ChangQiJieKuanZhanZongZiChanDeBiLi" label="长期借款占总资产的比例" addr="T0R12C2S1_1" baseScale="0.01" formatStyle="Comma" appId="_GBC_7e768f46f428417e8696bff3cfaf9902"/>
      <m:item xlName="_GBC_19d12338903a455ea41898679c89223a" concept="clcid-pte:ChangQiJieKuan" label="长期借款" periodRef="上年度期末数" mulRef="_GBC_19581b936bf8465fa7e5e06b2a70d6d8" addr="T0R12C3S1_1" formatStyle="Comma" appId="_GBC_7e768f46f428417e8696bff3cfaf9902"/>
      <m:item xlName="_GBC_32fa13d1d15940feb4234aadfaeadbe8" concept="clcid-mr:ChangQiJieKuanZhanZongZiChanDeBiLi" label="长期借款占总资产的比例" periodRef="上年度期末数" addr="T0R12C4S1_1" baseScale="0.01" formatStyle="Comma" appId="_GBC_7e768f46f428417e8696bff3cfaf9902"/>
      <m:item xlName="_GBC_29d91c877a5844c198bff62cbb7c7578" concept="clcid-mr:ChangQiJieKuanJiaoShangNianQiMoBianDongBiLi" label="长期借款较上年期末变动比例" addr="T0R12C5S1_1" baseScale="0.01" formatStyle="Comma" appId="_GBC_7e768f46f428417e8696bff3cfaf9902"/>
      <m:item xlName="_GBC_1ffd5f40973a439ea579078b687b3938" concept="clcid-mr:ChangQiJieKuanQingKuangShuoMing" label="长期借款情况说明" addr="T0R12C6S1_1" appId="_GBC_7e768f46f428417e8696bff3cfaf9902"/>
      <m:placeholder xlName="_PLD_f5ea3f1c02a94ed7a25db91990328227" addr="T0R13C0S1_1"/>
      <m:item xlName="_GBC_49f8eab27be74975af399419ce36aca1" concept="clcid-pte:ZuLinFuZhai" label="租赁负债" mulRef="_GBC_19581b936bf8465fa7e5e06b2a70d6d8" addr="T0R13C1S1_1" formatStyle="Comma" appId="_GBC_7e768f46f428417e8696bff3cfaf9902"/>
      <m:item xlName="_GBC_22fabd77d7544f38bed8a29069aa5cc9" concept="clcid-mr:ZuLinFuZhaiZhanZongZiChanDeBiLi" label="租赁负债占总资产的比例" addr="T0R13C2S1_1" baseScale="0.01" formatStyle="Comma" appId="_GBC_7e768f46f428417e8696bff3cfaf9902"/>
      <m:item xlName="_GBC_9f518611d44045a0ad099eeaffa088ce" concept="clcid-pte:ZuLinFuZhai" label="租赁负债" periodRef="上年度期末数" mulRef="_GBC_19581b936bf8465fa7e5e06b2a70d6d8" addr="T0R13C3S1_1" formatStyle="Comma" appId="_GBC_7e768f46f428417e8696bff3cfaf9902"/>
      <m:item xlName="_GBC_bcc8b0945f494baf90e8dd8839d173d7" concept="clcid-mr:ZuLinFuZhaiZhanZongZiChanDeBiLi" label="租赁负债占总资产的比例" periodRef="上年度期末数" addr="T0R13C4S1_1" baseScale="0.01" formatStyle="Comma" appId="_GBC_7e768f46f428417e8696bff3cfaf9902"/>
      <m:item xlName="_GBC_28d324e431f94647a2e3d64efc135c2a" concept="clcid-mr:ZuLinFuZhaiJiaoShangNianQiMoBianDongBiLi" label="租赁负债较上年期末变动比例" addr="T0R13C5S1_1" baseScale="0.01" formatStyle="Comma" appId="_GBC_7e768f46f428417e8696bff3cfaf9902"/>
      <m:item xlName="_GBC_528626f71a304c7d9c21c90e715006ac" concept="clcid-mr:ZuLinFuZhaiQingKuangShuoMing" label="租赁负债情况说明" addr="T0R13C6S1_1" appId="_GBC_7e768f46f428417e8696bff3cfaf9902"/>
      <m:tuple xlName="_TUP_2e95cd096ed246caad84867c40e0f97c" concept="clcid-mr:ZiChanFuZhaiZhuangKuangFenXi" default_row="2" addr="T0R14C">
        <m:item xlName="_GBC_2339ccea755948b58577e4564b015846" concept="clcid-mr:ZiChanFuZhaiZhuangKuangFenXiXiangMuMingCheng" label="资产负债状况分析-项目名称" addr="T0R14C0S1_1" appId="_GBC_7e768f46f428417e8696bff3cfaf9902"/>
        <m:item xlName="_GBC_ceb0ce74d8ec41038219d7435f328e0a" concept="clcid-mr:ZiChanFuZhaiZhuangKuangFenXiXiangMuJinE" label="资产负债状况分析-项目金额" mulRef="_GBC_19581b936bf8465fa7e5e06b2a70d6d8" addr="T0R14C1S1_1" formatStyle="Comma" appId="_GBC_7e768f46f428417e8696bff3cfaf9902"/>
        <m:item xlName="_GBC_6d290559720645adb9ab1cfa5724570e" concept="clcid-mr:ZiChanFuZhaiZhuangKuangFenXiXiangMuJinEZhanZongZiChanDeBiLi" label="资产负债状况分析-项目金额占总资产的比例" addr="T0R14C2S1_1" baseScale="0.01" formatStyle="Comma" appId="_GBC_7e768f46f428417e8696bff3cfaf9902"/>
        <m:item xlName="_GBC_97612cc1c6d7431cb434b0638aed0a16" concept="clcid-mr:ZiChanFuZhaiZhuangKuangFenXiXiangMuJinE" label="资产负债状况分析-项目金额" periodRef="上年度期末数" mulRef="_GBC_19581b936bf8465fa7e5e06b2a70d6d8" addr="T0R14C3S1_1" formatStyle="Comma" appId="_GBC_7e768f46f428417e8696bff3cfaf9902"/>
        <m:item xlName="_GBC_9b9e72418305448eb41f8dee6c89bc78" concept="clcid-mr:ZiChanFuZhaiZhuangKuangFenXiXiangMuJinEZhanZongZiChanDeBiLi" label="资产负债状况分析-项目金额占总资产的比例" periodRef="上年度期末数" addr="T0R14C4S1_1" baseScale="0.01" formatStyle="Comma" appId="_GBC_7e768f46f428417e8696bff3cfaf9902"/>
        <m:item xlName="_GBC_d2126097277547f69cab942ae140756f" concept="clcid-mr:ZiChanFuZhaiZhuangKuangFenXiXiangMuJinEBenQiBiShangQiZengJianBiLi" label="资产负债状况分析-项目金额本期比上期增减比例" addr="T0R14C5S1_1" baseScale="0.01" formatStyle="Comma" appId="_GBC_7e768f46f428417e8696bff3cfaf9902"/>
        <m:item xlName="_GBC_affafc441be44fbcaba325abc3396008" concept="clcid-mr:ZiChanFuZhaiZhuangKuangFenXiQingKuangShuoMing" label="资产负债状况分析-情况说明" addr="T0R14C6S1_1" appId="_GBC_7e768f46f428417e8696bff3cfaf9902"/>
      </m:tuple>
      <m:item xlName="_GBC_2ffa3aa9267e4b978e057c452d702d00" concept="clcid-ci-ar:ZiChanJiFuZhaiZhuangKuangDeQiTaShuoMing" label="资产及负债状况的其他说明" appId="_GBC_7e768f46f428417e8696bff3cfaf9902"/>
    </m:section>
    <m:item xlName="_GBC_ba22f570fe984e60bf7a92d86203cd76" concept="clcid-ci-ar:ShiFouShiYongJingWaiZiChanQingKuang" label="是否适用：境外资产情况 " selectOptions="_buildInAppliance" controlType="CustomCheckbox" cRanges="[{&quot;StartName&quot;:&quot;_GBC_ba22f570fe984e60bf7a92d86203cd76&quot;,&quot;EndName&quot;:&quot;_SEC_01276a57ef0445ffb19c3e736db575f0&quot;,&quot;CType&quot;:1}]"/>
    <m:section xlName="_SEC_44650ff9f4bc4c658aea1a4b581e0b09" title="资产规模" helpId="108005004">
      <m:item xlName="_GBC_74e10d52c08f4305a0ce8175b8621119" concept="clcid-mr:BaoGaoQiNeiGongSiJingWaiZiChanBianHua" label="报告期内公司境外资产变化" mulRef="_GBC_718198279cdf4db9acccf33283f5b97e" unitRef="_GBC_b70e7f12b1664c528ef6f9778ac7b180" formatStyle="Comma" appId="_GBC_7e768f46f428417e8696bff3cfaf9902"/>
      <m:item xlName="_GBC_718198279cdf4db9acccf33283f5b97e" concept="clcid-ci-ar:DanWeiBaoGaoQiNeiGongSiJingWaiZiChanBianHua" label="单位：报告期内公司境外资产变化" selectOptions="_buildInScales" controlType="Combobox" cellType="Scale" appId="_GBC_7e768f46f428417e8696bff3cfaf9902"/>
      <m:item xlName="_GBC_b70e7f12b1664c528ef6f9778ac7b180" concept="clcid-ci-ar:BiZhongBaoGaoQiNeiGongSiJingWaiZiChanBianHua" label="币种：报告期内公司境外资产变化" selectOptions="_buildInISO4217" controlType="Combobox" cellType="Measure" appId="_GBC_7e768f46f428417e8696bff3cfaf9902"/>
      <m:item xlName="_GBC_5f07c8c7f5ab4f7791ffa702bc423543" concept="clcid-mr:BaoGaoQiNeiGongSiJingWaiZiChanBianHuaZhanZongZiChanDeBiLi" label="报告期内公司境外资产变化占总资产的比例" baseScale="0.01" formatStyle="Comma" appId="_GBC_7e768f46f428417e8696bff3cfaf9902"/>
    </m:section>
    <m:section xlName="_SEC_01276a57ef0445ffb19c3e736db575f0" title="境外资产相关说明" helpId="108005004" helpText="若境外资产占比较高的，应当披露境外资产形成原因、运营模式、收益状况等。">
      <m:item xlName="_GBC_c6a0e5304c5c465eb0d24b8187880e84" concept="clcid-ci-ar:ShiFouShiYongJingWaiZiChanXiangGuanShuoMing" label="是否适用：境外资产相关说明 " selectOptions="_buildInAppliance" controlType="CustomCheckbox" cRanges="[{&quot;StartName&quot;:&quot;_GBC_c6a0e5304c5c465eb0d24b8187880e84&quot;,&quot;EndName&quot;:&quot;_GBC_5d832528aa69475193d89e04f290ccce&quot;,&quot;CType&quot;:1}]"/>
      <m:item xlName="_GBC_5d832528aa69475193d89e04f290ccce" concept="clcid-mr:JingWaiZiChanXiangGuanShuoMing" label="境外资产相关说明 " appId="_GBC_c6a0e5304c5c465eb0d24b8187880e84"/>
    </m:section>
    <m:section xlName="_SEC_390cddc4349f46b4bcccd468c3e69d14" title="截至报告期末主要资产受限情" helpId="108005004">
      <m:item xlName="_GBC_e9f1a2b3f13345eaac848c40837fffbb" concept="clcid-ci-ar:ShiFouShiYongZhuYaoZiChanShouXianQingKuang" label="是否适用：主要资产受限情况" selectOptions="_buildInAppliance" controlType="CustomCheckbox" cRanges="{&quot;StartName&quot;:&quot;_GBC_e9f1a2b3f13345eaac848c40837fffbb&quot;,&quot;EndName&quot;:&quot;_GBC_a45de9537ca94b758cc1d9c201a60b53&quot;,&quot;CType&quot;:1,&quot;DisplayText&quot;:null}"/>
      <m:item xlName="_GBC_a45de9537ca94b758cc1d9c201a60b53" concept="clcid-mr:ZhuYaoZiChanShouXianQingKuang" label="主要资产受限情况" appId="_GBC_e9f1a2b3f13345eaac848c40837fffbb"/>
    </m:section>
    <m:section xlName="_SEC_a3069c29080242b4a4de48db80a4164e" title="其他说明" helpId="108005004">
      <m:item xlName="_GBC_ba674147d80648fba521aedf33ce0b27" concept="clcid-ci-ar:ShiFouShiYongZiChanJiFuZhaiZhuangKuangDeQiTaShuoMing" label="是否适用：资产及负债状况的其他说明" selectOptions="_buildInAppliance" controlType="CustomCheckbox" cRanges="{&quot;StartName&quot;:&quot;_GBC_ba674147d80648fba521aedf33ce0b27&quot;,&quot;EndName&quot;:&quot;_GBC_c76402abcb084333912be41804c53ad0&quot;,&quot;CType&quot;:1,&quot;DisplayText&quot;:null}"/>
      <m:item xlName="_GBC_c76402abcb084333912be41804c53ad0" concept="clcid-mr:ZiChanJiFuZhaiZhuangKuangDeQiTaShuoMing" label="资产及负债状况的其他说明" appId="_GBC_ba674147d80648fba521aedf33ce0b27"/>
    </m:section>
    <m:section xlName="_SEC_e7a08c655c9844a8b5127e2ae800064c" title="对外股权投资总体分析" convertSummaryRule="NoConvert" helpId="108005001" helpText="公司应当介绍本半年度投资情况，分析报告期内公司投资额同比变化情况。">
      <m:item xlName="_GBC_d1852fb41d2a420f9f1d78c35235341a" concept="clcid-ci-ar:ShiFouShiYongDuiWaiGuQuanTouZiZongTiFenXi" label="是否适用：对外股权投资总体分析" selectOptions="_buildInAppliance" controlType="CustomCheckbox" cRanges="{&quot;StartName&quot;:&quot;_GBC_d1852fb41d2a420f9f1d78c35235341a&quot;,&quot;EndName&quot;:&quot;_GBC_cef6637b11fc44ed960eb269931b50e8&quot;,&quot;CType&quot;:1,&quot;DisplayText&quot;:null}"/>
      <m:item xlName="_GBC_cef6637b11fc44ed960eb269931b50e8" concept="clcid-mr:DuiWaiGuQuanTouZiZongTiFenXi" label="对外股权投资总体分析" appId="_GBC_d1852fb41d2a420f9f1d78c35235341a"/>
    </m:section>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item xlName="_GBC_f8bfa224d9f34f9e99e6f78de51aa576" concept="clcid-ci-ar:ShiFouShiYongZhongDaDeGuQuanTouZi" label="是否适用：重大的股权投资" selectOptions="_buildInAppliance" controlType="CustomCheckbox" cRanges="{&quot;StartName&quot;:&quot;_GBC_f8bfa224d9f34f9e99e6f78de51aa576&quot;,&quot;EndName&quot;:&quot;_GBC_66534194d2ce4e8885ec7560835fd79f&quot;,&quot;CType&quot;:1,&quot;DisplayText&quot;:null}"/>
      <m:item xlName="_GBC_66534194d2ce4e8885ec7560835fd79f" concept="clcid-mr:ZhongDaDeGuQuanTouZiQingKuang" label="重大的股权投资情况" appId="_GBC_f8bfa224d9f34f9e99e6f78de51aa576"/>
    </m:section>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item xlName="_GBC_ea7fdcb7583549f38c0db41e73af0a8b" concept="clcid-ci-ar:ShiFouShiYongZhongDaDeFeiGuQuanTouZi" label="是否适用：重大的非股权投资" selectOptions="_buildInAppliance" controlType="CustomCheckbox" cRanges="{&quot;StartName&quot;:&quot;_GBC_ea7fdcb7583549f38c0db41e73af0a8b&quot;,&quot;EndName&quot;:&quot;_GBC_d28e129cc391444a84f9be6de7f0cfa8&quot;,&quot;CType&quot;:1,&quot;DisplayText&quot;:null}"/>
      <m:item xlName="_GBC_d28e129cc391444a84f9be6de7f0cfa8" concept="clcid-mr:ZhongDaDeFeiGuQuanTouZiQingKuang" label="重大的非股权投资情况" appId="_GBC_ea7fdcb7583549f38c0db41e73af0a8b"/>
    </m:section>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item xlName="_GBC_b79a1e16dad54b258983c3fa6da7033b" concept="clcid-ci-ar:ShiFouShiYongYiGongYunJiaZhiJiLiangDeJinRongZiChan" label="是否适用：以公允价值计量的金融资产" selectOptions="_buildInAppliance" controlType="CustomCheckbox" cRanges="{&quot;StartName&quot;:&quot;_GBC_b79a1e16dad54b258983c3fa6da7033b&quot;,&quot;EndName&quot;:&quot;_GBC_13d8538a1f944759907f2b446bfead94&quot;,&quot;CType&quot;:1,&quot;DisplayText&quot;:null}"/>
      <m:item xlName="_GBC_13d8538a1f944759907f2b446bfead94" concept="clcid-mr:YiGongYunJiaZhiJiLiangDeJinRongZiChanQingKuang" label="以公允价值计量的金融资产情况" appId="_GBC_b79a1e16dad54b258983c3fa6da7033b"/>
    </m:section>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item xlName="_GBC_f566f251245e49238092032f065852be" concept="clcid-ci-ar:ShiFouShiYongZhongDaZiChanHeGuQuanChuShou" label="是否适用：重大资产和股权出售" selectOptions="_buildInAppliance" controlType="CustomCheckbox" cRanges="{&quot;StartName&quot;:&quot;_GBC_f566f251245e49238092032f065852be&quot;,&quot;EndName&quot;:&quot;_GBC_9cd8839732f849f198bbcd5d106cb7c4&quot;,&quot;CType&quot;:1,&quot;DisplayText&quot;:null}"/>
      <m:item xlName="_GBC_9cd8839732f849f198bbcd5d106cb7c4" concept="clcid-mr:ZhongDaZiChanHeGuQuanChuShouQingKuang" label="重大资产和股权出售情况" appId="_GBC_f566f251245e49238092032f065852be"/>
    </m:section>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item xlName="_GBC_3f3bd67865a44413bcd1143c0df7558d" concept="clcid-ci-ar:ShiFouShiYongZhuYaoKongGuCanGuGongSiFenXi" label="是否适用：主要控股参股公司分析" selectOptions="_buildInAppliance" controlType="CustomCheckbox" cRanges="{&quot;StartName&quot;:&quot;_GBC_3f3bd67865a44413bcd1143c0df7558d&quot;,&quot;EndName&quot;:&quot;_GBC_839e73df2f5d460cbcde577c1623d15c&quot;,&quot;CType&quot;:1,&quot;DisplayText&quot;:null}"/>
      <m:item xlName="_GBC_839e73df2f5d460cbcde577c1623d15c" concept="clcid-mr:ZhuYaoZiGongSiCanGuGongSiFenXi" label="主要子公司、参股公司分析" appId="_GBC_3f3bd67865a44413bcd1143c0df7558d"/>
    </m:section>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item xlName="_GBC_6dee8f13bc9a4596ad3e5af6f90f0b8b" concept="clcid-ci-ar:ShiFouShiYongGongSiKongZhiDeJieGouHuaZhuTiQingKuang" label="是否适用：公司控制的结构化主体情况" selectOptions="_buildInAppliance" controlType="CustomCheckbox" cRanges="{&quot;StartName&quot;:&quot;_GBC_6dee8f13bc9a4596ad3e5af6f90f0b8b&quot;,&quot;EndName&quot;:&quot;_GBC_1272ff16a11e42f5b10c9b0499f093f9&quot;,&quot;CType&quot;:1,&quot;DisplayText&quot;:null}"/>
      <m:item xlName="_GBC_1272ff16a11e42f5b10c9b0499f093f9" concept="clcid-mr:GongSiKongZhiDeTeShuMuDeZhuTiQingKuang" label="公司控制的特殊目的主体情况" appId="_GBC_6dee8f13bc9a4596ad3e5af6f90f0b8b"/>
    </m:section>
    <m:section xlName="_SEC_2d00d0d8a1b7409b884a0beb6a447e0d" title="其他披露事项">
      <m:item xlName="_GBC_4bd5ba6bf4044aee9ecd40a0c2fc29bf" concept="clcid-ci-ar:ShiFouShiYongDongShiHuiQiTaXuYaoPiLuDeShiXiang" label="是否适用：董事会其他需要披露的事项" selectOptions="_buildInAppliance" controlType="CustomCheckbox" cRanges="{&quot;StartName&quot;:&quot;_GBC_4bd5ba6bf4044aee9ecd40a0c2fc29bf&quot;,&quot;EndName&quot;:&quot;_GBC_1751869900474e38a4456794ea384b7e&quot;,&quot;CType&quot;:1,&quot;DisplayText&quot;:null}"/>
      <m:item xlName="_GBC_1751869900474e38a4456794ea384b7e" concept="clcid-mr:DongShiHuiQiTaXuYaoPiLuDeShiXiang" label="董事会其他需要披露的事项" appId="_GBC_4bd5ba6bf4044aee9ecd40a0c2fc29bf"/>
    </m:section>
    <m:section xlName="_SEC_3ae22d0bfcd94a15aff38fa624550b48" title="股东大会情况简介" helpId="110004001">
      <m:placeholder xlName="_PLD_1cc20ffce09e4c6f9177bb14ea86e7d0" addr="T0R0C0S1_1"/>
      <m:placeholder xlName="_PLD_5131bed02b6844c0b5c01da7fd041fdf" addr="T0R0C1S1_1"/>
      <m:placeholder xlName="_PLD_ac686bea69a24374b72f5cb24ad75278" addr="T0R0C2S1_1"/>
      <m:placeholder xlName="_PLD_847128bdbe6f44d0a995f094abd3685c" addr="T0R0C3S1_1"/>
      <m:placeholder xlName="_PLD_5cc39fa068bc40a789bc695b30e58036" addr="T0R0C4S1_1"/>
      <m:tuple xlName="_TUP_23eb487759fc41b6a2a06b40dd3fe0d9" concept="clcid-mr:NianDuGuDongDaHuiQingKuang" default_row="2" addr="T0R1C">
        <m:item xlName="_GBC_6bc4a484fcfc4c8f80baa59de8a4270a" concept="clcid-mr:NianDuGuDongDaKuaiJieCi" label="股东大会届次" addr="T0R1C0S1_1"/>
        <m:item xlName="_GBC_2566bd9b889e42218b24ce9747441ec3" concept="clcid-mr:NianDuGuDongDaHuiZhaoKaiRiQi" label="股东大会召开日期" addr="T0R1C1S1_1" keyAction="38"/>
        <m:item xlName="_GBC_90d7a06e403b46a796247e2dc340a1b2" concept="clcid-mr:NianDuGuDongDaHuiJueYiKanDengDeZhiDingWangZhanDeChaXunSuoYin" label="股东大会决议刊登的指定网站的查询索引" addr="T0R1C2S1_1"/>
        <m:item xlName="_GBC_ce6d4d63473b42f886e5789f3bc479a8" concept="clcid-mr:NianDuGuDongDaHuiJueYiKanDengDeXinXiPiLuRiQi" label="股东大会决议刊登的信息披露日期" addr="T0R1C3S1_1" keyAction="38"/>
        <m:item xlName="_GBC_78f1aeeb0cb34568b80553ec514dbf8c" concept="clcid-mr:GuDongDaHuiHuiYiJueYi" label="股东大会会议决议" addr="T0R1C4S1_1"/>
      </m:tuple>
    </m:section>
    <m:section xlName="_SEC_8e44b2942f754443ac31e7cb555b7491" title="表决权恢复的优先股股东请求召开临时股东大会" helpId="110004001">
      <m:item xlName="_GBC_70dfd1bc9cc44ceba57525fb1a867294" concept="clcid-ci-ar:ShiFouShiYongBiaoJueQuanHuiFuDeYouXianGuGuDongQingQiuZhaoKaiLinShiGuDongDaHui" label="是否适用：表决权恢复的优先股股东请求召开临时股东大会" selectOptions="_buildInAppliance" controlType="CustomCheckbox" cRanges="[{&quot;StartName&quot;:&quot;_GBC_70dfd1bc9cc44ceba57525fb1a867294&quot;,&quot;EndName&quot;:&quot;_GBC_1c0fd4daef3d48ee9cc778090b5fef00&quot;,&quot;CType&quot;:1}]"/>
      <m:item xlName="_GBC_1c0fd4daef3d48ee9cc778090b5fef00" concept="clcid-mr:BiaoJueQuanHuiFuDeYouXianGuGuDongQingQiuZhaoKaiLinShiGuDongDaHui" label="表决权恢复的优先股股东请求召开临时股东大会" appId="_GBC_70dfd1bc9cc44ceba57525fb1a867294"/>
    </m:section>
    <m:section xlName="_SEC_bf1ce0d19a464ce2a3d1a1d438ffde42" title="股东大会情况说明" helpId="110004001">
      <m:item xlName="_GBC_bc06fc78c35044b0a848192606e2a5ad" concept="clcid-ci-ar:ShiFouShiYongGuDongDaHuiQingKuangShuoMing" label="是否适用：股东大会情况说明" selectOptions="_buildInAppliance" controlType="CustomCheckbox" cRanges="{&quot;StartName&quot;:&quot;_GBC_bc06fc78c35044b0a848192606e2a5ad&quot;,&quot;EndName&quot;:&quot;_GBC_f97651ca2866412b9255a1ff13fdc83d&quot;,&quot;CType&quot;:1,&quot;DisplayText&quot;:null}"/>
      <m:item xlName="_GBC_f97651ca2866412b9255a1ff13fdc83d" concept="clcid-mr:NianDuGuDongDaHuiQingKuangDeShuoMing" label="年度股东大会情况的说明" appId="_GBC_bc06fc78c35044b0a848192606e2a5ad"/>
    </m:section>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n3、公司应当汇总披露报告期内核心技术人员离职的情况，并综合评估影响；报告期内核心技术人员数量较期初下降超过50%的，应当充分揭示核心技术人员变动风险，进一步说明公司维护研发人员稳定的合理措施。">
      <m:item xlName="_GBC_001d837207464f1aaa52a7fb8cd9d226" concept="clcid-ci-ar:ShiFouShiYongGongSiDongShiJianShiGaoJiGuanLiRenYuanBianDongQingKuang" label="是否适用：公司董事、监事、高级管理人员变动情况" selectOptions="_buildInAppliance" controlType="CustomCheckbox" cRanges="{&quot;StartName&quot;:&quot;_GBC_001d837207464f1aaa52a7fb8cd9d226&quot;,&quot;EndName&quot;:&quot;_GBC_466f24fb36cc4d949be4225fed8d37c7&quot;,&quot;CType&quot;:1,&quot;DisplayText&quot;:null}"/>
      <m:placeholder xlName="_PLD_8d21520223e04755b8822b634d237604" addr="T0R0C0S1_1"/>
      <m:placeholder xlName="_PLD_fbd3bf633b6f43caac5e618a32167462" addr="T0R0C1S1_1"/>
      <m:placeholder xlName="_PLD_32b7efb7e5ea42b9a9c73ad4470b3d12" addr="T0R0C2S1_1"/>
      <m:tuple xlName="_GBC_f8245c93a5574f05bb6e0a400a7c4f3b" concept="clcid-cgi:GongSiDongShiJianShiGaoJiGuanLiRenYuanBianDongQingKuang" default_row="2" addr="T0R1C">
        <m:item xlName="_GBC_d397c51f2d3a411c9f47f42464ed1868" concept="clcid-cgi:LiRenDeDongShiJianShiGaoJiGuanLiRenYuanXingMing" label="在报告期内离任的董事、监事、高级管理人员姓名" addr="T0R1C0S1_1" cellConvertType="1" appId="_GBC_001d837207464f1aaa52a7fb8cd9d226" keyAction="37"/>
        <m:item xlName="_GBC_aa77cd30b13947f0841f49b0b279211b" concept="clcid-cgi:LiRenDeDongShiJianShiGaoJiGuanLiRenYuanZhiWu" label="离任的董事监事高级管理人员职务" addr="T0R1C1S1_1" appId="_GBC_001d837207464f1aaa52a7fb8cd9d226"/>
        <m:item xlName="_GBC_466f24fb36cc4d949be4225fed8d37c7" concept="clcid-cgi:GongSiDongShiJianShiGaoJiGuanLiRenYuanDeBianDongQingXing" label="公司董事、监事、高级管理人员的变动情形" selectOptions="8b675857e16447efa57df9bec21bb7e9" addr="T0R1C2S1_1" controlType="Combobox" appId="_GBC_001d837207464f1aaa52a7fb8cd9d226"/>
      </m:tuple>
    </m:section>
    <m:section xlName="_SEC_9d764ab9e1c44e0e972e846b8ecf0813" title="公司董事、监事、高级管理人员变动的情况说明" helpId="105001004">
      <m:placeholder xlName="_PLD_b6840d7d81b046b6ad8c8450e72a4eae"/>
      <m:item xlName="_GBC_1eda708e71a542fa89f6ad1bb8abbf70" concept="clcid-ci-ar:ShiFouShiYongGongSiDongShiJianShiGaoJiGuanLiRenYuanBianDongDeQingKuangShuoMing" label="是否适用：公司董事、监事、高级管理人员变动的情况说明 " selectOptions="_buildInAppliance" controlType="CustomCheckbox" cRanges="{&quot;StartName&quot;:&quot;_GBC_1eda708e71a542fa89f6ad1bb8abbf70&quot;,&quot;EndName&quot;:&quot;_GBC_f2e7651aeda04cb8847fc3d49af6315f&quot;,&quot;CType&quot;:1,&quot;DisplayText&quot;:null}"/>
      <m:item xlName="_GBC_f2e7651aeda04cb8847fc3d49af6315f" concept="clcid-cgi:GongSiDongShiJianShiGaoJiGuanLiRenYuanBianDongDeQingKuangShuoMing" label="公司董事、监事、高级管理人员变动的情况说明" appId="_GBC_1eda708e71a542fa89f6ad1bb8abbf70"/>
    </m:section>
    <m:section xlName="_SEC_1ec8a567377248df9ff10f5f16e7fa64" title="公司核心技术人员的认定情况说明" helpText="科创公司应当披露核心技术人员的认定情况,公司若新增技术负责人、研发负责人或履行类似职责的人员，但未认定为核心技术人员的，应当说明理由。">
      <m:item xlName="_GBC_839cf0df3ca441499e1252be9fbe5fea" concept="clcid-ci-ar:ShiFouShiYongGongSiHeXinJiShuRenYuanDeRenDingQingKuangShuoMing" label="是否适用：公司核心技术人员的认定情况说明" selectOptions="_buildInAppliance" controlType="CustomCheckbox" cRanges="[{&quot;StartName&quot;:&quot;_GBC_839cf0df3ca441499e1252be9fbe5fea&quot;,&quot;EndName&quot;:&quot;_GBC_1ea03c378dc34a4190de09d1c5ed680f&quot;,&quot;CType&quot;:1}]"/>
      <m:item xlName="_GBC_1ea03c378dc34a4190de09d1c5ed680f" concept="clcid-cgi:GongSiHeXinJiShuRenYuanDeRenDingQingKuangShuoMing" label="公司核心技术人员的认定情况说明" appId="_GBC_839cf0df3ca441499e1252be9fbe5fea"/>
    </m:section>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placeholder xlName="_PLD_dee68179c02c4ccc8a9b8d7e3f70f2c6" addr="T0R0C0S1_1"/>
      <m:item xlName="_GBC_1aa3bb539f35454da0536200efcc4f60" concept="clcid-mr:ShiFouFenPeiHuoZhuanZeng" label="是否分配或转增" selectOptions="_buildInYesNo" addr="T0R0C1S1_1" controlType="Combobox" tagAction="1">
        <m:simpleRule dataType="Any" comparator="None" minOccurs="1"/>
      </m:item>
      <m:placeholder xlName="_PLD_bd901803dd924026b7c6f59fdd31aad5" addr="T0R1C0S1_1"/>
      <m:item xlName="_GBC_54fb48b48c14430f8f30bee0cfcc8cb9" concept="clcid-mr:Mei10GuSongHongGuShu" label="每10股送红股数" addr="T0R1C1S1_1" formatStyle="Comma"/>
      <m:placeholder xlName="_PLD_6cbe2a97f01847b28eeb312b29d1d347" addr="T0R2C0S1_1"/>
      <m:item xlName="_GBC_299a7ab7d38741f6bb828dfda18f3f3b" concept="clcid-mr:Mei10GuPaiXiShuHanShui" label="每10股派息数（含税）" addr="T0R2C1S1_1" formatStyle="Comma"/>
      <m:placeholder xlName="_PLD_ea0844d0f72e40a392aba3e62b2e7e9c" addr="T0R3C0S1_1"/>
      <m:item xlName="_GBC_728534984b704837b292c32c939dab97" concept="clcid-mr:Mei10GuZhuanZengShu" label="每10股转增数" addr="T0R3C1S1_1" formatStyle="Comma"/>
      <m:placeholder xlName="_PLD_6f4b1db2793f4d00b5b11589fa8a57fc" addr="T0R4C0S1_2"/>
      <m:item xlName="_GBC_94bed1d7442547dda64f3e2963ffc525" concept="clcid-mr:LiRunFenPeiHuoZiBenGongJiJinZhuanZengYuAnXiangXiQingKuang" label="利润分配或资本公积金转增预案详细情况" addr="T0R5C0S1_2" tagAction="1"/>
    </m:section>
    <m:section xlName="_SEC_411f00cbba714819bb6b4829850672c8" title="相关股权激励事项已在临时公告披露且后续实施无进展或变化" rules="R2015_R5_008" convertSummaryRule="NoConvert" helpId="110005001">
      <m:item xlName="_GBC_6d3d46ffc441429fa473c06ffa671d27"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6d3d46ffc441429fa473c06ffa671d27&quot;,&quot;EndName&quot;:&quot;_GBC_6af956127e6740cea5467d4e50572b39&quot;,&quot;CType&quot;:1,&quot;DisplayText&quot;:null}"/>
      <m:placeholder xlName="_PLD_92e7c4b9e326491387834a4bc27f34be" addr="T0R0C0S1_1"/>
      <m:placeholder xlName="_PLD_40db94ecb82a4b879a7968ac049b499f" addr="T0R0C1S1_1"/>
      <m:tuple xlName="_TUP_e8025a5d1a1a4d2e8fd1882ab8dc9742" concept="clcid-ie:GuQuanJiLiShiXiangYiZaiLinShiBaoGaoPiLuQieHouXuShiShiWuJinZhanHuoBianHuaDe" default_row="2" addr="T0R1C">
        <m:item xlName="_GBC_24140e5d71e94b5fb3949601eeb94b0c" concept="clcid-ie:GuQuanJiLiShiXiangYiZaiLinShiBaoGaoPiLuQieHouXuShiShiWuJinZhanHuoBianHuaDeShiXiangGaiShu" label="股权激励事项已在临时报告披露且后续实施无进展或变化的-事项概述" addr="T0R1C0S1_1" appId="_GBC_6d3d46ffc441429fa473c06ffa671d27"/>
        <m:item xlName="_GBC_6af956127e6740cea5467d4e50572b39" concept="clcid-ie:GuQuanJiLiShiXiangYiZaiLinShiBaoGaoPiLuQieHouXuShiShiWuJinZhanHuoBianHuaDeChaXunSuoYin" label="股权激励事项已在临时报告披露且后续实施无进展或变化的-查询索引" addr="T0R1C1S1_1" appId="_GBC_6d3d46ffc441429fa473c06ffa671d27"/>
      </m:tuple>
    </m:section>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item xlName="_GBC_2be8a18b4d5b45c385f4527a80458a60" concept="clcid-ie:GuQuanJiLiJiHuaNianFen" label="股权激励计划年份" appId="_GBC_388221bc7be24cdca55be337256c8bc1"/>
      <m:item xlName="_GBC_635f1eb71e684d8fa6d412cf1e9fbb4b" concept="clcid-ie:GuQuanJiLiJiHuaZhiXingCiShu" label="股权激励计划执行次数" appId="_GBC_388221bc7be24cdca55be337256c8bc1"/>
      <m:item xlName="_GBC_02f849c96878498d90d4430663351fbe" concept="clcid-ie:GongSiGuQuanJiLiFangShi" label="公司股权激励方式" selectOptions="31f9a55218dc45b59d4a83b85005c091" controlType="Combobox" appId="_GBC_388221bc7be24cdca55be337256c8bc1"/>
      <m:item xlName="_GBC_2d5be467b7dc4ac0b64b8932a99620f0" concept="clcid-ie:GongSiGuQuanJiLiDeBiaoDiGuPiaoLaiYuan" label="公司股权激励的标的股票来源" selectOptions="c09e8ce720e644a3b4820b5b802bfc69" controlType="Combobox" appId="_GBC_388221bc7be24cdca55be337256c8bc1"/>
      <m:placeholder xlName="_PLD_2e387271b37540e5b7ba29c28fbd0994" addr="T0R0C0S1_1"/>
      <m:item xlName="_GBC_bbc051c4bcd04b6ba2b7b5a15c793746" concept="clcid-ie:GongSiGuQuanJiLiQuanYiGongJuGongYunJiaZhiDeJiLiangFangFaDeShuoMing" label="公司股权激励权益工具公允价值的计量方法的说明" addr="T0R0C1S1_1" tagAction="1" appId="_GBC_388221bc7be24cdca55be337256c8bc1"/>
      <m:placeholder xlName="_PLD_a0b9d9ffefe345a98362cac81df15505" addr="T0R1C0S1_1"/>
      <m:item xlName="_GBC_fba539e7e9724eb7a0b1173a7f6af7ec" concept="clcid-ie:GongSiGuQuanJiLiGuZhiJiShuCaiYongDeMoXingCanShuJiXuanQuBiaoZhunDeShuoMing" label="公司股权激励估值技术采用的参数说明" addr="T0R1C1S1_1" appId="_GBC_388221bc7be24cdca55be337256c8bc1"/>
      <m:placeholder xlName="_PLD_a6f3fd9df22a4b7db3850fe7636ebe18" addr="T0R2C0S1_1"/>
      <m:item xlName="_GBC_b292b7c491924507bd66d8c121d45ea3" concept="clcid-ie:GongSiGuQuanJiLiQuanYiGongJuGongYunJiaZhiDeFenTanQiJianJiJieGuoDeShuoMing" label="公司股权激励权益工具公允价值计量结果的说明" addr="T0R2C1S1_1" appId="_GBC_388221bc7be24cdca55be337256c8bc1"/>
    </m:section>
    <m:section xlName="_SEC_a417a9b40b6a4adeba436d511837e016" title="股权激励情况的说明" helpId="110005001">
      <m:item xlName="_GBC_e5a032ecd3e24335b29a38809f65a990" concept="clcid-ci-ar:ShiFouShiYongGuQuanJiLiQingKuangDeShuoMing" label="是否适用：股权激励情况的说明" selectOptions="_buildInAppliance" controlType="CustomCheckbox" cRanges="{&quot;StartName&quot;:&quot;_GBC_e5a032ecd3e24335b29a38809f65a990&quot;,&quot;EndName&quot;:&quot;_GBC_be9fb7d8997f40ba95ab4f85bf0f7784&quot;,&quot;CType&quot;:1,&quot;DisplayText&quot;:null}"/>
      <m:item xlName="_GBC_be9fb7d8997f40ba95ab4f85bf0f7784" concept="clcid-ie:GuQuanJiLiQingKuangDeShuoMing" label="股权激励情况的说明" appId="_GBC_e5a032ecd3e24335b29a38809f65a990"/>
    </m:section>
    <m:section xlName="_SEC_70861e225efc4a6aa2a87c82bdeffa60" title="员工持股计划情况" rules="R2015_R5_008" helpId="110005001">
      <m:item xlName="_GBC_60a13b60efda4715a83fed9c5960ee3b" concept="clcid-ci-ar:ShiFouShiYongYuanGongChiGuJiHuaQingKuang" label="是否适用：员工持股计划情况" selectOptions="_buildInAppliance" controlType="CustomCheckbox" cRanges="{&quot;StartName&quot;:&quot;_GBC_60a13b60efda4715a83fed9c5960ee3b&quot;,&quot;EndName&quot;:&quot;_GBC_6911b4679674421a905d46935917d77c&quot;,&quot;CType&quot;:1,&quot;DisplayText&quot;:null}"/>
      <m:item xlName="_GBC_6911b4679674421a905d46935917d77c" concept="clcid-ie:YuanGongChiGuJiHuaQingKuang" label="员工持股计划情况" appId="_GBC_60a13b60efda4715a83fed9c5960ee3b"/>
    </m:section>
    <m:section xlName="_SEC_63920368dc0b49e9a257b190129bf278" title="其他激励措施" rules="R2015_R5_008" helpId="110005001">
      <m:item xlName="_GBC_87e3c04518ac4bed97846d84cc8784e1" concept="clcid-ci-ar:ShiFouShiYongQiTaJiLiCuoShi" label="是否适用：其他激励措施" selectOptions="_buildInAppliance" controlType="CustomCheckbox" cRanges="{&quot;StartName&quot;:&quot;_GBC_87e3c04518ac4bed97846d84cc8784e1&quot;,&quot;EndName&quot;:&quot;_GBC_62a8eb113acf43f78cd82bf2a0509eb8&quot;,&quot;CType&quot;:1,&quot;DisplayText&quot;:null}"/>
      <m:item xlName="_GBC_62a8eb113acf43f78cd82bf2a0509eb8" concept="clcid-ie:QiTaJiLiCuoShi" label="其他激励措施" appId="_GBC_87e3c04518ac4bed97846d84cc8784e1"/>
    </m:section>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item xlName="_GBC_44bbf262c38141458fba6072b4e5b459" concept="clcid-mr:ShiFouShiYongPaiWuXinXi" label="是否适用：排污信息" selectOptions="_buildInAppliance" controlType="CustomCheckbox" cRanges="[{&quot;StartName&quot;:&quot;_GBC_44bbf262c38141458fba6072b4e5b459&quot;,&quot;EndName&quot;:&quot;_GBC_28890c46cf8446cc95bd08ae7c7a17dc&quot;,&quot;CType&quot;:1}]"/>
      <m:item xlName="_GBC_28890c46cf8446cc95bd08ae7c7a17dc" concept="clcid-mr:PaiWuXinXi" label="排污信息" appId="_GBC_44bbf262c38141458fba6072b4e5b459"/>
    </m:section>
    <m:section xlName="_SEC_9647358b46c84a02b09d75557c728419" title="防治污染设施的建设和运行情况" helpId="104002008">
      <m:item xlName="_GBC_e5a6ee71f2e449e58d9301e4ca07981f" concept="clcid-mr:ShiFouShiYongFangZhiWuRanSheShiDeJianSheHeYunHangQingKuang" label="是否适用：防治污染设施的建设和运行情况" selectOptions="_buildInAppliance" controlType="CustomCheckbox" cRanges="[{&quot;StartName&quot;:&quot;_GBC_e5a6ee71f2e449e58d9301e4ca07981f&quot;,&quot;EndName&quot;:&quot;_GBC_1c83977b65834eaa98d6c63b6e3074af&quot;,&quot;CType&quot;:1}]"/>
      <m:item xlName="_GBC_1c83977b65834eaa98d6c63b6e3074af" concept="clcid-mr:FangZhiWuRanSheShiDeJianSheHeYunHangQingKuang" label="防治污染设施的建设和运行情况" appId="_GBC_e5a6ee71f2e449e58d9301e4ca07981f"/>
    </m:section>
    <m:section xlName="_SEC_2708d5a25473420b9cd1646eac86c715" title="建设项目环境影响评价及其他环境保护行政许可情况" helpId="104002008">
      <m:item xlName="_GBC_3824fd66ff4141358cbb17c1d49124d4" concept="clcid-mr:ShiFouShiYongHuanJingYingXiangPingJiaJiQiTaHuanJingBaoHuXingZhengXuKe" label="是否适用：环境影响评价及其他环境保护行政许可" selectOptions="_buildInAppliance" controlType="CustomCheckbox" cRanges="[{&quot;StartName&quot;:&quot;_GBC_3824fd66ff4141358cbb17c1d49124d4&quot;,&quot;EndName&quot;:&quot;_GBC_8592b333277f43349f710f284bb4c167&quot;,&quot;CType&quot;:1}]"/>
      <m:item xlName="_GBC_8592b333277f43349f710f284bb4c167" concept="clcid-mr:HuanJingYingXiangPingJiaJiQiTaHuanJingBaoHuXingZhengXuKe" label="环境影响评价及其他环境保护行政许可" appId="_GBC_3824fd66ff4141358cbb17c1d49124d4"/>
    </m:section>
    <m:section xlName="_SEC_8a186947e6794ae7a56369fd5232b227" title="突发环境事件应急预案" helpId="104002008">
      <m:item xlName="_GBC_df8be27e0fe04478b8e2d99d253dbf26" concept="clcid-mr:ShiFouShiYongTuFaHuanJingShiJianYingJiYuAn" label="是否适用：突发环境事件应急预案" selectOptions="_buildInAppliance" controlType="CustomCheckbox" cRanges="[{&quot;StartName&quot;:&quot;_GBC_df8be27e0fe04478b8e2d99d253dbf26&quot;,&quot;EndName&quot;:&quot;_GBC_2185e6aced094c6c8ba2229f13fa085b&quot;,&quot;CType&quot;:1}]"/>
      <m:item xlName="_GBC_2185e6aced094c6c8ba2229f13fa085b" concept="clcid-mr:TuFaHuanJingShiJianYingJiYuAn" label="突发环境事件应急预案" appId="_GBC_df8be27e0fe04478b8e2d99d253dbf26"/>
    </m:section>
    <m:section xlName="_SEC_9756f3e7d2714d9788f7344c9c15bb49" title="环境自行监测方案" helpId="104002008">
      <m:item xlName="_GBC_8282bd073e454f33b6fa8f66542c0ea4" concept="clcid-mr:ShiFouShiYongHuanJingZiXingJianCeFangAn" label="是否适用：环境自行监测方案" selectOptions="_buildInAppliance" controlType="CustomCheckbox" cRanges="[{&quot;StartName&quot;:&quot;_GBC_8282bd073e454f33b6fa8f66542c0ea4&quot;,&quot;EndName&quot;:&quot;_GBC_fcc9259ff58741f496af8580b408371e&quot;,&quot;CType&quot;:1}]"/>
      <m:item xlName="_GBC_fcc9259ff58741f496af8580b408371e" concept="clcid-mr:HuanJingZiXingJianCeFangAn" label="环境自行监测方案" appId="_GBC_8282bd073e454f33b6fa8f66542c0ea4"/>
    </m:section>
    <m:section xlName="_SEC_2094765316644ee09ff2f419a5122e6f" title="报告期内因环境问题受到行政处罚的情况" helpId="104002008">
      <m:item xlName="_GBC_20aead1171914ec4a33ea64e675da346" concept="clcid-ci-ar:ShiFouShiYongBaoGaoQiNeiYinHuanJingWenTiShouDaoXingZhengChuFaDeQingKuang" label="是否适用：报告期内因环境问题受到行政处罚的情况" selectOptions="_buildInAppliance" controlType="CustomCheckbox" cRanges="[{&quot;StartName&quot;:&quot;_GBC_20aead1171914ec4a33ea64e675da346&quot;,&quot;EndName&quot;:&quot;_GBC_cc5050a191b2414bb52a7a338116c89c&quot;,&quot;CType&quot;:1}]"/>
      <m:item xlName="_GBC_cc5050a191b2414bb52a7a338116c89c" concept="clcid-mr:BaoGaoQiNeiYinHuanJingWenTiShouDaoXingZhengChuFaDeQingKuang" label="报告期内因环境问题受到行政处罚的情况" appId="_GBC_20aead1171914ec4a33ea64e675da346"/>
    </m:section>
    <m:section xlName="_SEC_c87c813c87604960a2e846d148a1280c" title="其他应当公开的环境信息" helpId="104002008">
      <m:item xlName="_GBC_b667f965a34943718106b9347a0b30af" concept="clcid-mr:ShiFouShiYongQiTaYingDangGongKaiDeHuanJingXinXi" label="是否适用：其他应当公开的环境信息" selectOptions="_buildInAppliance" controlType="CustomCheckbox" cRanges="[{&quot;StartName&quot;:&quot;_GBC_b667f965a34943718106b9347a0b30af&quot;,&quot;EndName&quot;:&quot;_GBC_e8dd35c2f7204faaacb629f84279b445&quot;,&quot;CType&quot;:1}]"/>
      <m:item xlName="_GBC_e8dd35c2f7204faaacb629f84279b445" concept="clcid-mr:QiTaYingDangGongKaiDeHuanJingXinXi" label="其他应当公开的环境信息" appId="_GBC_b667f965a34943718106b9347a0b30af"/>
    </m:section>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fd7fbb417a7049a5af4e52366b08db81" title="因环境问题受到行政处罚的情况" helpId="104002008">
      <m:item xlName="_GBC_ca9717316f9f4101ba7b4474aaf12e47" concept="clcid-ci-ar:ShiFouShiYongZhongDianPaiWuDanWeiZhiWaiDeGongSiYinHuanJingWenTiShouDaoXingZhengChuFaDeQingKuang" label="是否适用：重点排污单位之外的公司因环境问题受到行政处罚的情况" selectOptions="_buildInAppliance" controlType="CustomCheckbox" cRanges="[{&quot;StartName&quot;:&quot;_GBC_ca9717316f9f4101ba7b4474aaf12e47&quot;,&quot;EndName&quot;:&quot;_GBC_637505620f694e5a993ea658348cc4e3&quot;,&quot;CType&quot;:1}]"/>
      <m:item xlName="_GBC_637505620f694e5a993ea658348cc4e3" concept="clcid-mr:ZhongDianPaiWuDanWeiZhiWaiDeGongSiYinHuanJingWenTiShouDaoXingZhengChuFaDeQingKuang" label="重点排污单位之外的公司因环境问题受到行政处罚的情况" appId="_GBC_ca9717316f9f4101ba7b4474aaf12e47"/>
    </m:section>
    <m:section xlName="_SEC_475228aae9c0477fb04de068c19b8bcf" title="参照重点排污单位披露其它环境信息" helpId="104002008">
      <m:item xlName="_GBC_355ed967cc26456486d653710695763e" concept="clcid-ci-ar:ShiFouShiYongCanZhaoZhongDianPaiWuDanWeiPiLuQiTaHuanJingXinXi" label="是否适用：参照重点排污单位披露其它环境信息" selectOptions="_buildInAppliance" controlType="CustomCheckbox" cRanges="[{&quot;StartName&quot;:&quot;_GBC_355ed967cc26456486d653710695763e&quot;,&quot;EndName&quot;:&quot;_GBC_49978a99956a49fcafd9258e710d862d&quot;,&quot;CType&quot;:1}]"/>
      <m:item xlName="_GBC_49978a99956a49fcafd9258e710d862d" concept="clcid-mr:CanZhaoZhongDianPaiWuDanWeiPiLuQiTaHuanJingXinXi" label="参照重点排污单位披露其它环境信息" appId="_GBC_355ed967cc26456486d653710695763e"/>
    </m:section>
    <m:section xlName="_SEC_dbf114d9dfed451c943c0db36f9761bc" title="重点排污单位之外的公司未披露环境信息的原因说明" helpId="104002008">
      <m:item xlName="_GBC_31106daab34d41698243bfe90ff75054" concept="clcid-mr:ShiFouShiYongZhongDianPaiWuDanWeiZhiWaiDeGongSiWeiPiLuHuanJingXinXiDeYuanYin" label="是否适用：重点排污单位之外的公司未披露环境信息的原因" selectOptions="_buildInAppliance" controlType="CustomCheckbox" cRanges="[{&quot;StartName&quot;:&quot;_GBC_31106daab34d41698243bfe90ff75054&quot;,&quot;EndName&quot;:&quot;_GBC_0636d353cc134ffa96bbfa3feee9e11d&quot;,&quot;CType&quot;:1}]"/>
      <m:item xlName="_GBC_0636d353cc134ffa96bbfa3feee9e11d" concept="clcid-mr:ZhongDianPaiWuDanWeiZhiWaiDeGongSiWeiPiLuHuanJingXinXiDeYuanYin" label="重点排污单位之外的公司未披露环境信息的原因" appId="_GBC_31106daab34d41698243bfe90ff75054"/>
    </m:section>
    <m:section xlName="_SEC_3c63bb32177f4f368bb662e3b696830a" title="报告期内披露环境信息内容的后续进展或变化情况的说明" helpId="104002008">
      <m:item xlName="_GBC_451a415ae7344df7ba110ec71bce5279" concept="clcid-mr:ShiFouShiYongPiLuHuanJingXinXiNeiRongDeHouXuJinZhanHuoBianHuaQingKuang" label="是否适用：披露环境信息内容的后续进展或变化情况" selectOptions="_buildInAppliance" controlType="CustomCheckbox" cRanges="[{&quot;StartName&quot;:&quot;_GBC_451a415ae7344df7ba110ec71bce5279&quot;,&quot;EndName&quot;:&quot;_GBC_a3943679baef4c6dbfdc1d5fe9939452&quot;,&quot;CType&quot;:1}]"/>
      <m:item xlName="_GBC_a3943679baef4c6dbfdc1d5fe9939452" concept="clcid-mr:PiLuHuanJingXinXiNeiRongDeHouXuJinZhanHuoBianHuaQingKuang" label="披露环境信息内容的后续进展或变化情况" appId="_GBC_451a415ae7344df7ba110ec71bce5279"/>
    </m:section>
    <m:section xlName="_SEC_5b95e1a5813e4d0e872e00845b188799" title=" 有利于保护生态、防治污染、履行环境责任的相关信息" helpId="104002008">
      <m:item xlName="_GBC_99a24efb78da44d7a2f4200f8862dd8c" concept="clcid-ci-ar:ShiFouShiYongYouLiYuBaoHuShengTaiFangZhiWuRanLvXingHuanJingZeRenDeXiangGuanXinXi" label="是否适用：有利于保护生态、防治污染、履行环境责任的相关信息" selectOptions="_buildInAppliance" controlType="CustomCheckbox" cRanges="[{&quot;StartName&quot;:&quot;_GBC_99a24efb78da44d7a2f4200f8862dd8c&quot;,&quot;EndName&quot;:&quot;_GBC_20b88dfc41cf4c5aa5ca2e4edbc71f23&quot;,&quot;CType&quot;:1}]"/>
      <m:item xlName="_GBC_20b88dfc41cf4c5aa5ca2e4edbc71f23" concept="clcid-mr:YouLiYuBaoHuShengTaiFangZhiWuRanLvXingHuanJingZeRenDeXiangGuanXinXi" label="有利于保护生态、防治污染、履行环境责任的相关信息" appId="_GBC_99a24efb78da44d7a2f4200f8862dd8c"/>
    </m:section>
    <m:section xlName="_SEC_4936fba95425454c9ef9c630f8e0cad5" title="在报告期内为减少其碳排放所采取的措施及效果" helpId="104002008">
      <m:item xlName="_GBC_28dc363b63c54f1fb9b62d6df4c4b960" concept="clcid-ci-ar:ShiFouShiYongZaiBaoGaoQiNeiWeiJianShaoQiTanPaiFangSuoCaiQuDeCuoShiJiXiaoGuo" label="是否适用：在报告期内为减少其碳排放所采取的措施及效果 " selectOptions="_buildInAppliance" controlType="CustomCheckbox" cRanges="[{&quot;StartName&quot;:&quot;_GBC_28dc363b63c54f1fb9b62d6df4c4b960&quot;,&quot;EndName&quot;:&quot;_GBC_269d02b0cd834011947767cf9e2b2334&quot;,&quot;CType&quot;:1}]"/>
      <m:item xlName="_GBC_269d02b0cd834011947767cf9e2b2334" concept="clcid-mr:ZaiBaoGaoQiNeiWeiJianShaoQiTanPaiFangSuoCaiQuDeCuoShiJiXiaoGuo" label="在报告期内为减少其碳排放所采取的措施及效果 " appId="_GBC_28dc363b63c54f1fb9b62d6df4c4b960"/>
    </m:section>
    <m:section xlName="_SEC_c8d976478eb44a01af40344be530a193" title="巩固拓展脱贫攻坚成果、乡村振兴工作具体情况" helpId="104002004">
      <m:item xlName="_GBC_e5c7d010e7f249f2950982e56838aae2" concept="clcid-ci-ar:ShiFouShiYongGongGuTuoZhanTuoPinGongJianChengGuoXiangCunZhenXingGongZuoJuTiQingKuang" label="是否适用：巩固拓展脱贫攻坚成果、乡村振兴工作具体情况" selectOptions="_buildInAppliance" controlType="CustomCheckbox" cRanges="[{&quot;StartName&quot;:&quot;_GBC_e5c7d010e7f249f2950982e56838aae2&quot;,&quot;EndName&quot;:&quot;_GBC_8dca4bac0bf94e26a929d2e1ccb70d62&quot;,&quot;CType&quot;:1}]"/>
      <m:item xlName="_GBC_8dca4bac0bf94e26a929d2e1ccb70d62" concept="clcid-mr:GongGuTuoZhanTuoPinGongJianChengGuoXiangCunZhenXingGongZuoJuTiQingKuang" label="巩固拓展脱贫攻坚成果、乡村振兴工作具体情况" appId="_GBC_e5c7d010e7f249f2950982e56838aae2"/>
    </m:section>
    <m:section xlName="_SEC_0b5886e57afd437b88c6e55a33dbccb9" title="公司实际控制人、股东、关联方、收购人以及公司等承诺相关方在报..." helpId="112001217" axisType="Column">
      <m:item xlName="_GBC_1f306de554d7473c98965061dbefd05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1f306de554d7473c98965061dbefd050&quot;,&quot;EndName&quot;:&quot;_GBC_ea5c4f56c11c451ebacc6466b6589903&quot;,&quot;CType&quot;:1}]"/>
      <m:placeholder xlName="_PLD_7cf4be735507474ea2ffb334536196ae" addr="T0R0C0S1_1"/>
      <m:placeholder xlName="_PLD_77809d9b500842ee846f5b9234afaf2c" addr="T0R0C1S1_1"/>
      <m:placeholder xlName="_PLD_d21f336f76d6499095ebb0491402a947" addr="T0R0C2S1_1"/>
      <m:placeholder xlName="_PLD_edc023441e514f09b2c6745eaeed4f1d" addr="T0R0C3S1_1"/>
      <m:placeholder xlName="_PLD_d398e2f412b141208b0742084901cc8c" addr="T0R0C4S1_1"/>
      <m:placeholder xlName="_PLD_1bb30cce0850445480f1557cc607067b" addr="T0R0C5S1_1"/>
      <m:placeholder xlName="_PLD_163d41dca4704f5ea4aae2d6d04db88e" addr="T0R0C6S1_1"/>
      <m:placeholder xlName="_PLD_f0ee8c5125074149961859e986fb6c43" addr="T0R0C7S1_1"/>
      <m:placeholder xlName="_PLD_a7e59e23ed90488abff575e2b4f10711" addr="T0R0C8S1_1"/>
      <m:tuple xlName="_TUP_398700eccd054de5893161a2bf5cab9b" concept="clcid-ie:YuShouGouBaoGaoShuHuoQuanYiBianDongBaoGaoShuXiangGuanChengNuo" default_row="2" addr="T0R1C">
        <m:placeholder xlName="_PLD_2fee745b02784f188f1ebc20b737c886" autoRowSpan="true" addr="T0R1C0S2_1"/>
        <m:item xlName="_GBC_e85a2539ff6f4c0393f66f2fa3e6970d" concept="clcid-ie:YuShouGouBaoGaoShuHuoQuanYiBianDongBaoGaoShuXiangGuanChengNuoChengNuoLeiXing" label="与收购报告书或权益变动报告书相关承诺-承诺类型" selectOptions="004bc57b3f89403c92ad45ef1ca044f9" addr="T0R1C1S1_1" controlType="Combobox" appId="_GBC_1f306de554d7473c98965061dbefd050"/>
        <m:item xlName="_GBC_dfbe359eb33e46849180adc08acbc406" concept="clcid-ie:YuShouGouBaoGaoShuHuoQuanYiBianDongBaoGaoShuXiangGuanChengNuoChengNuoFang" label="与收购报告书或权益变动报告书相关承诺-承诺方" addr="T0R1C2S1_1" appId="_GBC_1f306de554d7473c98965061dbefd050"/>
        <m:item xlName="_GBC_2d5225133a854498a95a123f5572337a" concept="clcid-ie:YuShouGouBaoGaoShuHuoQuanYiBianDongBaoGaoShuXiangGuanChengNuoChengNuoNeiRong" label="与收购报告书或权益变动报告书相关承诺-承诺内容" addr="T0R1C3S1_1" appId="_GBC_1f306de554d7473c98965061dbefd050"/>
        <m:item xlName="_GBC_e05a9a1a7b1249e7a043944c6cc91265" concept="clcid-ie:YuShouGouBaoGaoShuHuoQuanYiBianDongBaoGaoShuXiangGuanChengNuoChengNuoShiJianJiQiXian" label="与收购报告书或权益变动报告书相关承诺-承诺时间及期限" addr="T0R1C4S1_1" appId="_GBC_1f306de554d7473c98965061dbefd050"/>
        <m:item xlName="_GBC_e3c53a81843746098b3d32e7645ee92f" concept="clcid-ie:YuShouGouBaoGaoShuHuoQuanYiBianDongBaoGaoShuXiangGuanChengNuoShiFouYouLvXingQiXian" label="与收购报告书或权益变动报告书相关承诺-是否有履行期限" selectOptions="_buildInYesNo" addr="T0R1C5S1_1" controlType="Combobox" appId="_GBC_1f306de554d7473c98965061dbefd050"/>
        <m:item xlName="_GBC_273adbc65ae043908b43ba0e0c47d626" concept="clcid-ie:YuShouGouBaoGaoShuHuoQuanYiBianDongBaoGaoShuXiangGuanChengNuoShiFouJiShiYanGeLvXing" label="与收购报告书或权益变动报告书相关承诺-是否及时严格履行" selectOptions="_buildInYesNo" addr="T0R1C6S1_1" controlType="Combobox" appId="_GBC_1f306de554d7473c98965061dbefd050"/>
        <m:item xlName="_GBC_e4e7c97aa91b49718b2096884a9c0fa1" concept="clcid-ie:YuShouGouBaoGaoShuHuoQuanYiBianDongBaoGaoShuXiangGuanChengNuoRuWeiNengJiShiLvXingYingShuoMingWeiWanChengLvXingDeJuTiYuanYin" label="与收购报告书或权益变动报告书相关承诺-如未能及时履行应说明未完成履行的具体原因" addr="T0R1C7S1_1" appId="_GBC_1f306de554d7473c98965061dbefd050"/>
        <m:item xlName="_GBC_1f91f9e8844241c1b5eb827e645abb11" concept="clcid-ie:YuShouGouBaoGaoShuHuoQuanYiBianDongBaoGaoShuXiangGuanChengNuoRuWeiNengJiShiLvXingYingShuoMingXiaYiBuJiHua" label="与收购报告书或权益变动报告书相关承诺-如未能及时履行应说明下一步计划" addr="T0R1C8S1_1" appId="_GBC_1f306de554d7473c98965061dbefd050"/>
      </m:tuple>
      <m:tuple xlName="_TUP_4c417fa2ad9d4d839a60365e09497e73" concept="clcid-ie:YuZhongDaZiChanZhongZuXiangGuanDeChengNuo" default_row="2" addr="T0R3C">
        <m:placeholder xlName="_PLD_7ff959e26b5741d09fa7dec10fcd2389" autoRowSpan="true" addr="T0R3C0S2_1"/>
        <m:item xlName="_GBC_c986a55468114c2fbf6186df07b763ce" concept="clcid-ie:YuZhongDaZiChanZhongZuXiangGuanDeChengNuoChengNuoLeiXing" label="与重大资产重组相关的承诺-承诺类型" selectOptions="004bc57b3f89403c92ad45ef1ca044f9" addr="T0R3C1S1_1" controlType="Combobox" appId="_GBC_1f306de554d7473c98965061dbefd050"/>
        <m:item xlName="_GBC_2bbff882ebe34d1fadfbb20525645734" concept="clcid-ie:YuZhongDaZiChanZhongZuXiangGuanDeChengNuoChengNuoFang" label="与重大资产重组相关的承诺-承诺方" addr="T0R3C2S1_1" appId="_GBC_1f306de554d7473c98965061dbefd050"/>
        <m:item xlName="_GBC_38381aa64a20446fbdac75a02dcea70c" concept="clcid-ie:YuZhongDaZiChanZhongZuXiangGuanDeChengNuoChengNuoNeiRong" label="与重大资产重组相关的承诺-承诺内容" addr="T0R3C3S1_1" appId="_GBC_1f306de554d7473c98965061dbefd050"/>
        <m:item xlName="_GBC_6013a3a0402547d5a92e329efac48310" concept="clcid-ie:YuZhongDaZiChanZhongZuXiangGuanDeChengNuoChengNuoShiJianJiQiXian" label="与重大资产重组相关的承诺-承诺时间及期限" addr="T0R3C4S1_1" appId="_GBC_1f306de554d7473c98965061dbefd050"/>
        <m:item xlName="_GBC_79e4c1ac8ad34fc58bc66e725cb673e1" concept="clcid-ie:YuZhongDaZiChanZhongZuXiangGuanDeChengNuoShiFouYouLvXingQiXian" label="与重大资产重组相关的承诺-是否有履行期限" selectOptions="_buildInYesNo" addr="T0R3C5S1_1" controlType="Combobox" appId="_GBC_1f306de554d7473c98965061dbefd050"/>
        <m:item xlName="_GBC_1aabacc96fa447b3965eabf1922b74c1" concept="clcid-ie:YuZhongDaZiChanZhongZuXiangGuanDeChengNuoShiFouJiShiYanGeLvXing" label="与重大资产重组相关的承诺-是否及时严格履行" selectOptions="_buildInYesNo" addr="T0R3C6S1_1" controlType="Combobox" appId="_GBC_1f306de554d7473c98965061dbefd050"/>
        <m:item xlName="_GBC_56d3e154177946d191fe6462add8eddb" concept="clcid-ie:YuZhongDaZiChanZhongZuXiangGuanDeChengNuoRuWeiNengJiShiLvXingYingShuoMingWeiWanChengLvXingDeJuTiYuanYin" label="与重大资产重组相关的承诺-如未能及时履行应说明未完成履行的具体原因" addr="T0R3C7S1_1" appId="_GBC_1f306de554d7473c98965061dbefd050"/>
        <m:item xlName="_GBC_8b3ef2da9e0246b5b788037e78568d83" concept="clcid-ie:YuZhongDaZiChanZhongZuXiangGuanDeChengNuoRuWeiNengJiShiLvXingYingShuoMingXiaYiBuJiHua" label="与重大资产重组相关的承诺-如未能及时履行应说明下一步计划" addr="T0R3C8S1_1" appId="_GBC_1f306de554d7473c98965061dbefd050"/>
      </m:tuple>
      <m:tuple xlName="_TUP_98b30934a40c44fe822f4cc26616e99c" concept="clcid-ie:YuShouCiGongKaiFaXingXiangGuanDeChengNuo" default_row="2" addr="T0R5C">
        <m:placeholder xlName="_PLD_a3bb0de076044bf4af956e5654049bfc" autoRowSpan="true" addr="T0R5C0S2_1"/>
        <m:item xlName="_GBC_f0b3976fba3f46e4affc4364f69d8f5a" concept="clcid-ie:YuShouCiGongKaiFaXingXiangGuanDeChengNuoChengNuoLeiXing" label="与首次公开发行相关的承诺-承诺类型" selectOptions="004bc57b3f89403c92ad45ef1ca044f9" addr="T0R5C1S1_1" controlType="Combobox" appId="_GBC_1f306de554d7473c98965061dbefd050"/>
        <m:item xlName="_GBC_b0d1268ae9044ac6bddad531b779c6e0" concept="clcid-ie:YuShouCiGongKaiFaXingXiangGuanDeChengNuoChengNuoFang" label="与首次公开发行相关的承诺-承诺方" addr="T0R5C2S1_1" appId="_GBC_1f306de554d7473c98965061dbefd050"/>
        <m:item xlName="_GBC_0317554a610a4423b66b98b24db5f3e7" concept="clcid-ie:YuShouCiGongKaiFaXingXiangGuanDeChengNuoChengNuoNeiRong" label="与首次公开发行相关的承诺-承诺内容" addr="T0R5C3S1_1" appId="_GBC_1f306de554d7473c98965061dbefd050"/>
        <m:item xlName="_GBC_40668689945045bfbf2e47e9883ac7ed" concept="clcid-ie:YuShouCiGongKaiFaXingXiangGuanDeChengNuoChengNuoShiJianJiQiXian" label="与首次公开发行相关的承诺-承诺时间及期限" addr="T0R5C4S1_1" appId="_GBC_1f306de554d7473c98965061dbefd050"/>
        <m:item xlName="_GBC_1a64033131a64daa8e3bdd128e9385c8" concept="clcid-ie:YuShouCiGongKaiFaXingXiangGuanDeChengNuoShiFouYouLvXingQiXian" label="与首次公开发行相关的承诺-是否有履行期限" selectOptions="_buildInYesNo" addr="T0R5C5S1_1" controlType="Combobox" appId="_GBC_1f306de554d7473c98965061dbefd050"/>
        <m:item xlName="_GBC_72e17878bcd24bdb95a1b0936940ee48" concept="clcid-ie:YuShouCiGongKaiFaXingXiangGuanDeChengNuoShiFouJiShiYanGeLvXing" label="与首次公开发行相关的承诺-是否及时严格履行" selectOptions="_buildInYesNo" addr="T0R5C6S1_1" controlType="Combobox" appId="_GBC_1f306de554d7473c98965061dbefd050"/>
        <m:item xlName="_GBC_20c3c2d6229b4dfcafe981e4608bc8c5" concept="clcid-ie:YuShouCiGongKaiFaXingXiangGuanDeChengNuoRuWeiNengJiShiLvXingYingShuoMingWeiWanChengLvXingDeJuTiYuanYin" label="与首次公开发行相关的承诺-如未能及时履行应说明未完成履行的具体原因" addr="T0R5C7S1_1" appId="_GBC_1f306de554d7473c98965061dbefd050"/>
        <m:item xlName="_GBC_b0e03e6bdf664c0995cf10e2c1d82987" concept="clcid-ie:YuShouCiGongKaiFaXingXiangGuanDeChengNuoRuWeiNengJiShiLvXingYingShuoMingXiaYiBuJiHua" label="与首次公开发行相关的承诺-如未能及时履行应说明下一步计划" addr="T0R5C8S1_1" appId="_GBC_1f306de554d7473c98965061dbefd050"/>
      </m:tuple>
      <m:tuple xlName="_TUP_0676323f2b9043339330c71dd933876a" concept="clcid-ie:YuZaiRongZiXiangGuanDeChengNuo" default_row="2" addr="T0R7C">
        <m:placeholder xlName="_PLD_e1964063cb86498486e1bb7869b34cad" autoRowSpan="true" addr="T0R7C0S2_1"/>
        <m:item xlName="_GBC_51fc7c8c3d5a45708a58624d814ebea4" concept="clcid-ie:YuZaiRongZiXiangGuanDeChengNuoChengNuoLeiXing" label="与再融资相关的承诺-承诺类型" selectOptions="004bc57b3f89403c92ad45ef1ca044f9" addr="T0R7C1S1_1" controlType="Combobox" appId="_GBC_1f306de554d7473c98965061dbefd050"/>
        <m:item xlName="_GBC_5428d6239c554a188e7184528d0a4629" concept="clcid-ie:YuZaiRongZiXiangGuanDeChengNuoChengNuoFang" label="与再融资相关的承诺-承诺方" addr="T0R7C2S1_1" appId="_GBC_1f306de554d7473c98965061dbefd050"/>
        <m:item xlName="_GBC_e9ef1cd33a6b4fa3b7e413660c4ae66a" concept="clcid-ie:YuZaiRongZiXiangGuanDeChengNuoChengNuoNeiRong" label="与再融资相关的承诺-承诺内容" addr="T0R7C3S1_1" appId="_GBC_1f306de554d7473c98965061dbefd050"/>
        <m:item xlName="_GBC_250f75b63c514c95985efd18ae7aec11" concept="clcid-ie:YuZaiRongZiXiangGuanDeChengNuoChengNuoShiJianJiQiXian" label="与再融资相关的承诺-承诺时间及期限" addr="T0R7C4S1_1" appId="_GBC_1f306de554d7473c98965061dbefd050"/>
        <m:item xlName="_GBC_61a129f65e5345a9a2449bccefe4fc4f" concept="clcid-ie:YuZaiRongZiXiangGuanDeChengNuoShiFouYouLvXingQiXian" label="与再融资相关的承诺-是否有履行期限" selectOptions="_buildInYesNo" addr="T0R7C5S1_1" controlType="Combobox" appId="_GBC_1f306de554d7473c98965061dbefd050"/>
        <m:item xlName="_GBC_b85129af82754ffea8b356787ace9197" concept="clcid-ie:YuZaiRongZiXiangGuanDeChengNuoShiFouJiShiYanGeLvXing" label="与再融资相关的承诺-是否及时严格履行" selectOptions="_buildInYesNo" addr="T0R7C6S1_1" controlType="Combobox" appId="_GBC_1f306de554d7473c98965061dbefd050"/>
        <m:item xlName="_GBC_a922257400544de8b5713cd1790903f7" concept="clcid-ie:YuZaiRongZiXiangGuanDeChengNuoRuWeiNengJiShiLvXingYingShuoMingWeiWanChengLvXingDeJuTiYuanYin" label="与再融资相关的承诺-如未能及时履行应说明未完成履行的具体原因" addr="T0R7C7S1_1" appId="_GBC_1f306de554d7473c98965061dbefd050"/>
        <m:item xlName="_GBC_19af48729b184ccd890869af53586640" concept="clcid-ie:YuZaiRongZiXiangGuanDeChengNuoRuWeiNengJiShiLvXingYingShuoMingXiaYiBuJiHua" label="与再融资相关的承诺-如未能及时履行应说明下一步计划" addr="T0R7C8S1_1" appId="_GBC_1f306de554d7473c98965061dbefd050"/>
      </m:tuple>
      <m:tuple xlName="_TUP_e138763c046443efa540bf5281cda933" concept="clcid-ie:YuGuQuanJiLiXiangGuanDeChengNuo" default_row="2" addr="T0R9C">
        <m:placeholder xlName="_PLD_15e1c21b94e24bdf967c3e671246d7e2" autoRowSpan="true" addr="T0R9C0S2_1"/>
        <m:item xlName="_GBC_9ba54e7567274866a1f4d04b9882cd3a" concept="clcid-ie:YuGuQuanJiLiXiangGuanDeChengNuoChengNuoLeiXing" label="与股权激励相关的承诺-承诺类型" selectOptions="004bc57b3f89403c92ad45ef1ca044f9" addr="T0R9C1S1_1" controlType="Combobox" appId="_GBC_1f306de554d7473c98965061dbefd050"/>
        <m:item xlName="_GBC_e22af9f26b86414199370478f4ce4677" concept="clcid-ie:YuGuQuanJiLiXiangGuanDeChengNuoChengNuoFang" label="与股权激励相关的承诺-承诺方" addr="T0R9C2S1_1" appId="_GBC_1f306de554d7473c98965061dbefd050"/>
        <m:item xlName="_GBC_5640c6d512e1481b90ac13c0aee97ed2" concept="clcid-ie:YuGuQuanJiLiXiangGuanDeChengNuoChengNuoNeiRong" label="与股权激励相关的承诺-承诺内容" addr="T0R9C3S1_1" appId="_GBC_1f306de554d7473c98965061dbefd050"/>
        <m:item xlName="_GBC_a093a208308b4cc5811bfbc327bdbb40" concept="clcid-ie:YuGuQuanJiLiXiangGuanDeChengNuoChengNuoShiJianJiQiXian" label="与股权激励相关的承诺-承诺时间及期限" addr="T0R9C4S1_1" appId="_GBC_1f306de554d7473c98965061dbefd050"/>
        <m:item xlName="_GBC_6d2982ad15394f19a8815f43af82f1c7" concept="clcid-ie:YuGuQuanJiLiXiangGuanDeChengNuoShiFouYouLvXingQiXian" label="与股权激励相关的承诺-是否有履行期限" selectOptions="_buildInYesNo" addr="T0R9C5S1_1" controlType="Combobox" appId="_GBC_1f306de554d7473c98965061dbefd050"/>
        <m:item xlName="_GBC_e5e6a81918f347e191ffd587f0c13d84" concept="clcid-ie:YuGuQuanJiLiXiangGuanDeChengNuoShiFouJiShiYanGeLvXing" label="与股权激励相关的承诺-是否及时严格履行" selectOptions="_buildInYesNo" addr="T0R9C6S1_1" controlType="Combobox" appId="_GBC_1f306de554d7473c98965061dbefd050"/>
        <m:item xlName="_GBC_3e1c29a6f1f549908f1b5e7d6efcfee3" concept="clcid-ie:YuGuQuanJiLiXiangGuanDeChengNuoRuWeiNengJiShiLvXingYingShuoMingWeiWanChengLvXingDeJuTiYuanYin" label="与股权激励相关的承诺-如未能及时履行应说明未完成履行的具体原因" addr="T0R9C7S1_1" appId="_GBC_1f306de554d7473c98965061dbefd050"/>
        <m:item xlName="_GBC_e388f8d0042e4ae3a4ab2a7aef633f62" concept="clcid-ie:YuGuQuanJiLiXiangGuanDeChengNuoRuWeiNengJiShiLvXingYingShuoMingXiaYiBuJiHua" label="与股权激励相关的承诺-如未能及时履行应说明下一步计划" addr="T0R9C8S1_1" appId="_GBC_1f306de554d7473c98965061dbefd050"/>
      </m:tuple>
      <m:tuple xlName="_TUP_d37484fd3478435aaca43f39c2accc88" concept="clcid-ie:QiTaChengNuo" default_row="2" addr="T0R11C">
        <m:placeholder xlName="_PLD_1880e70854ac45f797ec81268119acea" autoRowSpan="true" addr="T0R11C0S2_1"/>
        <m:item xlName="_GBC_e65a7213003a4f408d6fc1dfa824447a" concept="clcid-ie:QiTaChengNuoChengNuoLeiXing" label="其他对公司中小股东所作承诺-承诺类型" selectOptions="004bc57b3f89403c92ad45ef1ca044f9" addr="T0R11C1S1_1" controlType="Combobox" appId="_GBC_1f306de554d7473c98965061dbefd050"/>
        <m:item xlName="_GBC_b1b1230b74f54c1584af00087d06413d" concept="clcid-ie:QiTaChengNuoChengNuoFang" label="其他对公司中小股东所作承诺-承诺方" addr="T0R11C2S1_1" appId="_GBC_1f306de554d7473c98965061dbefd050"/>
        <m:item xlName="_GBC_fef7694367e9429eb5dbdb61435d02fa" concept="clcid-ie:QiTaChengNuoChengNuoNeiRong" label="其他对公司中小股东所作承诺-承诺内容" addr="T0R11C3S1_1" appId="_GBC_1f306de554d7473c98965061dbefd050"/>
        <m:item xlName="_GBC_c48b0bb26f874b71b384e08f57af49f8" concept="clcid-ie:QiTaChengNuoChengNuoShiJianJiQiXian" label="其他对公司中小股东所作承诺-承诺时间及期限" addr="T0R11C4S1_1" appId="_GBC_1f306de554d7473c98965061dbefd050"/>
        <m:item xlName="_GBC_2c33301a2baf45adb8f8c54a08a4d96d" concept="clcid-ie:QiTaChengNuoShiFouYouLvXingQiXian" label="其他对公司中小股东所作承诺-是否有履行期限" selectOptions="_buildInYesNo" addr="T0R11C5S1_1" controlType="Combobox" appId="_GBC_1f306de554d7473c98965061dbefd050"/>
        <m:item xlName="_GBC_2a38f73275314da0806f1a833da0d7a1" concept="clcid-ie:QiTaChengNuoShiFouJiShiYanGeLvXing" label="其他对公司中小股东所作承诺-是否及时严格履行" selectOptions="_buildInYesNo" addr="T0R11C6S1_1" controlType="Combobox" appId="_GBC_1f306de554d7473c98965061dbefd050"/>
        <m:item xlName="_GBC_8758b134eaac45cda8382c29ddfdc465" concept="clcid-ie:QiTaChengNuoRuWeiNengJiShiLvXingYingShuoMingWeiWanChengLvXingDeJuTiYuanYin" label="其他对公司中小股东所作承诺-如未能及时履行应说明未完成履行的具体原因" addr="T0R11C7S1_1" appId="_GBC_1f306de554d7473c98965061dbefd050"/>
        <m:item xlName="_GBC_35672fb2289d44ec942195a49e3213b7" concept="clcid-ie:QiTaChengNuoRuWeiNengJiShiLvXingYingShuoMingXiaYiBuJiHua" label="其他对公司中小股东所作承诺-如未能及时履行应说明下一步计划" addr="T0R11C8S1_1" appId="_GBC_1f306de554d7473c98965061dbefd050"/>
      </m:tuple>
      <m:tuple xlName="_TUP_9705181143b347298720d0a7d97dfb58" concept="clcid-ie:QiTaChengNuoXiangGuanFangDeChengNuoShiXiang" default_row="2" addr="T0R13C">
        <m:placeholder xlName="_PLD_f94ab0601f364d5da0d0ec9f11f2843c" keyCode="OTHER" keyAction="31" autoRowSpan="true" addr="T0R13C0S2_1"/>
        <m:item xlName="_GBC_f5c45f48e8c643ae90b289b4f3861c10" concept="clcid-ie:QiTaChengNuoXiangGuanFangDeChengNuoShiXiangChengNuoLeiXing" label="其他承诺相关方的承诺事项-承诺类型" selectOptions="004bc57b3f89403c92ad45ef1ca044f9" addr="T0R13C1S1_1" controlType="Combobox" appId="_GBC_1f306de554d7473c98965061dbefd050"/>
        <m:item xlName="_GBC_ece2c0ea7fdc4f019cdf37787ef89d1d" concept="clcid-ie:QiTaChengNuoXiangGuanFangDeChengNuoShiXiangChengNuoFang" label="其他承诺相关方的承诺事项-承诺方" addr="T0R13C2S1_1" appId="_GBC_1f306de554d7473c98965061dbefd050"/>
        <m:item xlName="_GBC_6c5b2650e5b74c2cac5e323ff95a34ae" concept="clcid-ie:QiTaChengNuoXiangGuanFangDeChengNuoShiXiangChengNuoNeiRong" label="其他承诺相关方的承诺事项-承诺内容" addr="T0R13C3S1_1" appId="_GBC_1f306de554d7473c98965061dbefd050"/>
        <m:item xlName="_GBC_87cae5e5e9fd4c87bfa15938f0ad40a6" concept="clcid-ie:QiTaChengNuoXiangGuanFangDeChengNuoShiXiangChengNuoShiJianJiQiXian" label="其他承诺相关方的承诺事项-承诺时间及期限" addr="T0R13C4S1_1" appId="_GBC_1f306de554d7473c98965061dbefd050"/>
        <m:item xlName="_GBC_eea426e94aa64e0d94c932b310318e95" concept="clcid-ie:QiTaChengNuoXiangGuanFangDeChengNuoShiXiangShiFouYouLvXingQiXian" label="其他承诺相关方的承诺事项-是否有履行期限" selectOptions="_buildInYesNo" addr="T0R13C5S1_1" controlType="Combobox" appId="_GBC_1f306de554d7473c98965061dbefd050"/>
        <m:item xlName="_GBC_77946a666c9a4f6a87209acb7df47051" concept="clcid-ie:QiTaChengNuoXiangGuanFangDeChengNuoShiXiangShiFouJiShiYanGeLvXing" label="其他承诺相关方的承诺事项-是否及时严格履行" selectOptions="_buildInYesNo" addr="T0R13C6S1_1" controlType="Combobox" appId="_GBC_1f306de554d7473c98965061dbefd050"/>
        <m:item xlName="_GBC_7d2ac55b77da4318b0255e301aacc93a" concept="clcid-ie:QiTaChengNuoXiangGuanFangDeChengNuoShiXiangRuWeiNengJiShiLvXingYingShuoMingWeiWanChengLvXingDeJuTiYuanYin" label="其他承诺相关方的承诺事项-如未能及时履行应说明未完成履行的具体原因" addr="T0R13C7S1_1" appId="_GBC_1f306de554d7473c98965061dbefd050"/>
        <m:item xlName="_GBC_ea5c4f56c11c451ebacc6466b6589903" concept="clcid-ie:QiTaChengNuoXiangGuanFangDeChengNuoShiXiangRuWeiNengJiShiLvXingYingShuoMingXiaYiBuJiHua" label="其他承诺相关方的承诺事项-如未能及时履行应说明下一步计划" addr="T0R13C8S1_1" appId="_GBC_1f306de554d7473c98965061dbefd050"/>
      </m:tuple>
    </m:section>
    <m:section xlName="_SEC_f3de5be2f3314462bab8fc12bea1f213" title="报告期内控股股东及其他关联方非经营性占用资金情况" helpId="110002101">
      <m:item xlName="_GBC_1b62f06290114a4aae7ceda061124968" concept="clcid-ci-ar:ShiFouShiYongZiJinBeiZhanYongQingKuangJiQingQianJinZhanQingKuang" label="是否适用：资金被占用情况及清欠进展情况" selectOptions="_buildInAppliance" controlType="CustomCheckbox" cRanges="[{&quot;StartName&quot;:&quot;_GBC_1b62f06290114a4aae7ceda061124968&quot;,&quot;EndName&quot;:&quot;_GBC_988bd777df66412db9c14090cd9b60dc&quot;,&quot;CType&quot;:1}]"/>
      <m:item xlName="_GBC_8fd07ec7129b4d7896b2ada23dade64f" concept="clcid-ci-ar:DanWeiBaoGaoQiNeiZiJinBeiZhanYongQingKuangJiQingQianJinZhanQingKuang" label="单位：报告期内资金被占用情况及清欠进展情况" selectOptions="_buildInScales" controlType="Combobox" cellType="Scale" appId="_GBC_1b62f06290114a4aae7ceda061124968"/>
      <m:item xlName="_GBC_e85cdea01be445c9984d17ae3515cf78" concept="clcid-ci-ar:BiZhongBaoGaoQiNeiZiJinBeiZhanYongQingKuangJiQingQianJinZhanQingKuang" label="币种：报告期内资金被占用情况及清欠进展情况" selectOptions="_buildInISO4217" controlType="Combobox" cellType="Measure" appId="_GBC_1b62f06290114a4aae7ceda061124968"/>
      <m:placeholder xlName="_PLD_db9871ef933d4b35bd59e8c8f6d416b0" addr="T0R0C0S1_1"/>
      <m:placeholder xlName="_PLD_257eb69e799e4934bd5d80f43a116322" addr="T0R0C1S1_1"/>
      <m:placeholder xlName="_PLD_26851892e3724ada8717e4e4dad1b2e0" addr="T0R0C2S1_1"/>
      <m:placeholder xlName="_PLD_2f119b65f10345be92969eb5cd5bd4bc" addr="T0R0C3S1_1"/>
      <m:placeholder xlName="_PLD_a02832a511ba4fe3a02904c10d0cc2ee" addr="T0R0C4S1_1"/>
      <m:placeholder xlName="_PLD_4b3ab006e596490283de7a477e119569" addr="T0R0C5S1_2"/>
      <m:placeholder xlName="_PLD_9d2ec877e4304889ae2ce60fb33222a8" addr="T0R0C7S1_1"/>
      <m:placeholder xlName="_PLD_f868f2b2a9234f1681a81a5f1beddd4e" addr="T0R0C8S1_1"/>
      <m:placeholder xlName="_PLD_596a5d92972847719985163904a278c8" addr="T0R0C9S1_1"/>
      <m:placeholder xlName="_PLD_b3fd90ad359a4dd5aa5429a990c03a26" addr="T0R0C10S1_1"/>
      <m:placeholder xlName="_PLD_8df6dccfa4344c558e7948588d61aa1d" addr="T0R0C11S1_1"/>
      <m:placeholder xlName="_PLD_a803e2440a4849caa4a13168b429f388" addr="T0R0C12S1_1"/>
      <m:tuple xlName="_TUP_515187838bc94e69a5b558e11cd1e8aa" concept="clcid-ie:BaoGaoQiNeiKongGuGuDongJiQiTaGuanLianFangFeiJingYingXingZhanYongShangShiGongSiZiJinDeFaShengEMingXi" default_row="2" addr="T0R1C">
        <m:item xlName="_GBC_ea7d9c28fd6546bca7de67506478d9bf" concept="clcid-ie:BaoGaoQiNeiKongGuGuDongJiQiTaGuanLianFangFeiJingYingXingZhanYongShangShiGongSiZiJinDeFaShengEMingXiGuDongHuoGuanLianFangMingCheng" label="报告期内控股股东及其他关联方非经营性占用上市公司资金的发生额明细_股东或关联方名称" addr="T0R1C0S1_1" tagAction="1" appId="_GBC_1b62f06290114a4aae7ceda061124968"/>
        <m:item xlName="_GBC_318f8f1a8d5742d3bfc0c5029a7e9a5c" concept="clcid-ie:BaoGaoQiNeiKongGuGuDongJiQiTaGuanLianFangFeiJingYingXingZhanYongShangShiGongSiZiJinDeFaShengEMingXiGuanLianGuanXi" label="报告期内控股股东及其他关联方非经营性占用上市公司资金的发生额明细_关联关系" selectOptions="fcd3ddde1389477fb273a91e55c8d862" addr="T0R1C1S1_1" controlType="Combobox" appId="_GBC_1b62f06290114a4aae7ceda061124968"/>
        <m:item xlName="_GBC_5cadc097250e40158c25637568da3bb6" concept="clcid-ie:BaoGaoQiNeiKongGuGuDongJiQiTaGuanLianFangFeiJingYingXingZhanYongShangShiGongSiZiJinDeFaShengEMingXi-FaShengShiJian" label="报告期内控股股东及其他关联方非经营性占用上市公司资金的发生额明细-占用时间" addr="T0R1C2S1_1" appId="_GBC_1b62f06290114a4aae7ceda061124968"/>
        <m:item xlName="_GBC_abf44365355e4098bcf98328224ea06b" concept="clcid-ie:BaoGaoQiNeiKongGuGuDongJiQiTaGuanLianFangFeiJingYingXingZhanYongShangShiGongSiZiJinDeFaShengEMingXi-ZhanYongYuanYin" label="报告期内控股股东及其他关联方非经营性占用上市公司资金的发生额明细-发生原因" addr="T0R1C3S1_1" appId="_GBC_1b62f06290114a4aae7ceda061124968"/>
        <m:item xlName="_GBC_a9c9b531d2b542fb809193bdbe976169" concept="clcid-ie:BaoGaoQiNeiKongGuGuDongJiQiTaGuanLianFangFeiJingYingXingZhanYongShangShiGongSiZiJinDeFaShengEMingXiZhanYongZiJinYuE" label="报告期内控股股东及其他关联方非经营性占用上市公司资金的发生额明细_占用资金余额" periodRef="本期期初数" mulRef="_GBC_8fd07ec7129b4d7896b2ada23dade64f" unitRef="_GBC_e85cdea01be445c9984d17ae3515cf78" addr="T0R1C4S1_1" formatStyle="Comma" appId="_GBC_1b62f06290114a4aae7ceda061124968"/>
        <m:item xlName="_GBC_074c42c26a5f42a78f94ea5844f5fe41" concept="clcid-ie:BaoGaoQiNeiKongGuGuDongJiQiTaGuanLianFangFeiJingYingXingZhanYongShangShiGongSiZiJinDeFaShengEMingXiBaoGaoQiXinZengZhanYongJinE" label="报告期内控股股东及其他关联方非经营性占用上市公司资金的发生额明细_报告期新增占用金额" mulRef="_GBC_8fd07ec7129b4d7896b2ada23dade64f" unitRef="_GBC_e85cdea01be445c9984d17ae3515cf78" addr="T0R1C5S1_2" formatStyle="Comma" appId="_GBC_1b62f06290114a4aae7ceda061124968"/>
        <m:item xlName="_GBC_2e9869b2a8224c268fa4526efad06358" concept="clcid-ie:BaoGaoQiNeiKongGuGuDongJiQiTaGuanLianFangFeiJingYingXingZhanYongShangShiGongSiZiJinDeFaShengEMingXiBaoGaoQiChangHuanZongJinE" label="报告期内控股股东及其他关联方非经营性占用上市公司资金的发生额明细_报告期偿还总金额" mulRef="_GBC_8fd07ec7129b4d7896b2ada23dade64f" unitRef="_GBC_e85cdea01be445c9984d17ae3515cf78" addr="T0R1C7S1_1" formatStyle="Comma" appId="_GBC_1b62f06290114a4aae7ceda061124968"/>
        <m:item xlName="_GBC_787aa18ddcf2454fa1e4d3cc54eab83d" concept="clcid-ie:BaoGaoQiNeiKongGuGuDongJiQiTaGuanLianFangFeiJingYingXingZhanYongShangShiGongSiZiJinDeFaShengEMingXiZhanYongZiJinYuE" label="报告期内控股股东及其他关联方非经营性占用上市公司资金的发生额明细_占用资金余额" mulRef="_GBC_8fd07ec7129b4d7896b2ada23dade64f" unitRef="_GBC_e85cdea01be445c9984d17ae3515cf78" addr="T0R1C8S1_1" formatStyle="Comma" appId="_GBC_1b62f06290114a4aae7ceda061124968"/>
        <m:item xlName="_GBC_b55bebe775ba422d8cd670e88778e9c3" concept="clcid-ie:BaoGaoQiNeiKongGuGuDongJiQiTaGuanLianFangFeiJingYingXingZhanYongShangShiGongSiZiJinDeFaShengEMingXiJieZhiBanNianBaoPiLuRiYuE" label="报告期内控股股东及其他关联方非经营性占用上市公司资金的发生额明细_截至半年报披露日余额" mulRef="_GBC_8fd07ec7129b4d7896b2ada23dade64f" unitRef="_GBC_e85cdea01be445c9984d17ae3515cf78" addr="T0R1C9S1_1" formatStyle="Comma" appId="_GBC_1b62f06290114a4aae7ceda061124968"/>
        <m:item xlName="_GBC_501142149e0c4ab2876f3fc2b55c9df2" concept="clcid-ie:BaoGaoQiNeiKongGuGuDongJiQiTaGuanLianFangFeiJingYingXingZhanYongShangShiGongSiZiJinDeFaShengEMingXiYuJiChangHuanFangShi" label="报告期内控股股东及其他关联方非经营性占用上市公司资金的发生额明细_预计偿还方式" addr="T0R1C10S1_1" appId="_GBC_1b62f06290114a4aae7ceda061124968"/>
        <m:item xlName="_GBC_67adaee297434abc89e2609063a9146b" concept="clcid-ie:BaoGaoQiNeiKongGuGuDongJiQiTaGuanLianFangFeiJingYingXingZhanYongShangShiGongSiZiJinDeFaShengEMingXiYuJiChangHuanJinE" label="报告期内控股股东及其他关联方非经营性占用上市公司资金的发生额明细_预计偿还金额" mulRef="_GBC_8fd07ec7129b4d7896b2ada23dade64f" unitRef="_GBC_e85cdea01be445c9984d17ae3515cf78" addr="T0R1C11S1_1" formatStyle="Comma" appId="_GBC_1b62f06290114a4aae7ceda061124968"/>
        <m:item xlName="_GBC_001bf171a4c54f7086c6dbcfff09b053" concept="clcid-ie:BaoGaoQiNeiKongGuGuDongJiQiTaGuanLianFangFeiJingYingXingZhanYongShangShiGongSiZiJinDeFaShengEMingXiYuJiChangHuanShiJian" label="报告期内控股股东及其他关联方非经营性占用上市公司资金的发生额明细_预计偿还时间" addr="T0R1C12S1_1" formatStyle="Comma" appId="_GBC_1b62f06290114a4aae7ceda061124968"/>
      </m:tuple>
      <m:placeholder xlName="_PLD_2d2e4e5f4d9343c18bc35edac243e89b" addr="T0R3C0S1_1"/>
      <m:item xlName="_GBC_e8a4fd320f0846aab688ac6a8486add1" concept="clcid-ie:KongGuGuDongJiQiTaGuanLianFangFeiJingYingXingZhanYongZiJinYuEHeJi" label="控股股东及其他关联方非经营性占用资金余额合计" periodRef="本期期初数" mulRef="_GBC_8fd07ec7129b4d7896b2ada23dade64f" unitRef="_GBC_e85cdea01be445c9984d17ae3515cf78" addr="T0R3C4S1_1" formatStyle="Comma" appId="_GBC_1b62f06290114a4aae7ceda061124968">
        <m:complexRule comparator="Eq" title="控股股东及其他关联方非经营性占用资金余额合计@本期期初数" test=" $_GBC_a9c9b531d2b542fb809193bdbe976169" id="Cdd912cbef79d4e40b9cf7c72c1590fce"/>
      </m:item>
      <m:item xlName="_GBC_21f3ec837094479db39b6a27b92a3d94" concept="clcid-ie:BaoGaoQiNeiKongGuGuDongJiQiTaGuanLianFangFeiJingYingXingZhanYongXinZengJinEHeJi" label="报告期内控股股东及其他关联方非经营性占用新增金额合计" mulRef="_GBC_8fd07ec7129b4d7896b2ada23dade64f" unitRef="_GBC_e85cdea01be445c9984d17ae3515cf78" addr="T0R3C5S1_2" formatStyle="Comma" appId="_GBC_1b62f06290114a4aae7ceda061124968">
        <m:complexRule comparator="Eq" title="报告期内控股股东及其他关联方非经营性占用新增金额合计" test=" $_GBC_074c42c26a5f42a78f94ea5844f5fe41" id="C8ea01be14041436a96e1a743f6a9c83a"/>
      </m:item>
      <m:item xlName="_GBC_e5210df4341d4705b80e1db89c13d101" concept="clcid-ie:BaoGaoQiNeiKongGuGuDongJiQiTaGuanLianFangFeiJingYingXingZhanYongChangHuanZongJinEHeJi" label="报告期内控股股东及其他关联方非经营性占用偿还总金额合计" mulRef="_GBC_8fd07ec7129b4d7896b2ada23dade64f" unitRef="_GBC_e85cdea01be445c9984d17ae3515cf78" addr="T0R3C7S1_1" formatStyle="Comma" appId="_GBC_1b62f06290114a4aae7ceda061124968">
        <m:complexRule comparator="Eq" title="报告期内控股股东及其他关联方非经营性占用偿还总金额合计" test=" $_GBC_2e9869b2a8224c268fa4526efad06358" id="Cde4297792a904e79ae52a68148b449c2"/>
      </m:item>
      <m:item xlName="_GBC_c57ab0f2667c45adbbc8ba245acd162f" concept="clcid-ie:KongGuGuDongJiQiTaGuanLianFangFeiJingYingXingZhanYongZiJinYuEHeJi" label="控股股东及其他关联方非经营性占用资金余额合计" mulRef="_GBC_8fd07ec7129b4d7896b2ada23dade64f" unitRef="_GBC_e85cdea01be445c9984d17ae3515cf78" addr="T0R3C8S1_1" formatStyle="Comma" appId="_GBC_1b62f06290114a4aae7ceda061124968">
        <m:complexRule comparator="Eq" title="控股股东及其他关联方非经营性占用资金余额合计" test=" $_GBC_787aa18ddcf2454fa1e4d3cc54eab83d" id="C5d0c2e2b53794a9ba64dcc5cbc9157e5"/>
      </m:item>
      <m:item xlName="_GBC_0dd3dc37b3384446a0d1ab8d110eec84" concept="clcid-ie:JieZhiBanNianBaoPiLuRiKongGuGuDongJiQiTaGuanLianFangFeiJingYingXingZhanYongZiJinYuEHeJi" label="截至半年报披露日控股股东及其他关联方非经营性占用资金余额合计" mulRef="_GBC_8fd07ec7129b4d7896b2ada23dade64f" unitRef="_GBC_e85cdea01be445c9984d17ae3515cf78" addr="T0R3C9S1_1" formatStyle="Comma" appId="_GBC_1b62f06290114a4aae7ceda061124968">
        <m:complexRule comparator="Eq" title="截至半年报披露日控股股东及其他关联方非经营性占用资金余额合计" test=" $_GBC_b55bebe775ba422d8cd670e88778e9c3" id="C1b2accddd1514453ade0618d0774e651"/>
      </m:item>
      <m:item xlName="_GBC_c691b1185a9c4038b50897f954f0b486" concept="clcid-ie:KongGuGuDongJiQiTaGuanLianFangFeiJingYingXingZhanYongZiJinYuJiChangHuanJinEHeJi" label="控股股东及其他关联方非经营性占用资金预计偿还金额合计" mulRef="_GBC_8fd07ec7129b4d7896b2ada23dade64f" unitRef="_GBC_e85cdea01be445c9984d17ae3515cf78" addr="T0R3C11S1_1" formatStyle="Comma" appId="_GBC_1b62f06290114a4aae7ceda061124968">
        <m:complexRule comparator="Eq" title="控股股东及其他关联方非经营性占用资金预计偿还金额合计" test=" $_GBC_67adaee297434abc89e2609063a9146b" id="Cd34a3dfa982547f2b9bc5bda124dce55"/>
      </m:item>
      <m:item xlName="_GBC_7d7d080754ea499faaebfb864a67cd6e" concept="clcid-ie:QiMoHeJiZhiZhanZuiJinYiQiJingShenJiJingZiChanDeBiLi" label="期末合计值占最近一期经审计净资产的比例" addr="T0R4C6S1_7" formatStyle="Comma" appId="_GBC_1b62f06290114a4aae7ceda061124968"/>
      <m:placeholder xlName="_PLD_ebbf4a76971649ec83ee477ff8f767a3" addr="T0R5C0S1_6"/>
      <m:item xlName="_GBC_c1ac964015d24ac18b7c65eb694d6c34" concept="clcid-ie:KongGuGuDongJiQiGuanLianFangFeiJingYingXingZhanYongZiJinDeJueCeChengXu" label="控股股东及其关联方非经营性占用资金的决策程序" addr="T0R5C6S1_7" appId="_GBC_1b62f06290114a4aae7ceda061124968"/>
      <m:placeholder xlName="_PLD_2fcd8fe8a3064bbca2b7eb337da214f1" addr="T0R6C0S1_6"/>
      <m:item xlName="_GBC_8bd5c54734004d13adf803de236cc7d4" concept="clcid-ie:DangQiXinZengDaGuDongJiQiFuShuQiYeFeiJingYingXingZiJinZhanYongQingKuangDeYuanYinZeRenRenZhuiJiuJiDongShiHuiNiDingCaiQuCuoShiDeQingKuangShuoMing" label="当期新增大股东及其附属企业非经营性资金占用情况的原因、责任人追究及董事会拟定采取措施的情况说明" addr="T0R6C6S1_7" appId="_GBC_1b62f06290114a4aae7ceda061124968"/>
      <m:placeholder xlName="_PLD_7799bf098bc34d29ac3f9a66508718b3" addr="T0R7C0S1_6"/>
      <m:item xlName="_GBC_f35ce39d6ca04102806d403057378c63" concept="clcid-ie:WeiNengAnJiHuaQingChangFeiJingYingXingZiJinZhanYongDeYuanYinZeRenZhuiJiuQingKuangJiDongShiHuiNiDingCaiQuDeCuoShiShuoMing" label="未能按计划清偿非经营性资金占用的原因、责任追究情况及董事会拟定采取的措施说明" addr="T0R7C6S1_7" appId="_GBC_1b62f06290114a4aae7ceda061124968"/>
      <m:placeholder xlName="_PLD_b08cf0a9ef424a069ee16daa51150414" addr="T0R8C0S1_6"/>
      <m:item xlName="_GBC_988bd777df66412db9c14090cd9b60dc" concept="clcid-ie:ZhuCeHuiJiShiDuiZiJinZhanYongDeZhuanXiangShenHeYiJian" label="注册会计师对资金占用的专项审核意见" addr="T0R8C6S1_7" appId="_GBC_1b62f06290114a4aae7ceda061124968"/>
      <m:placeholder xlName="_PLD_69a3b055c4b243219af2ebb3191a3df3" addr="T0R4C0S1_6"/>
    </m:section>
    <m:section xlName="_SEC_727db7a993d3466f81d0adadec1c9aac" title="违规担保情况" helpId="110002102">
      <m:item xlName="_GBC_39005923aba84c2081187108f5da636f" concept="clcid-ci-ar:ShiFouShiYongWeiGuiDanBaoQingKuang" label="是否适用：违规担保情况" selectOptions="_buildInAppliance" controlType="CustomCheckbox" cRanges="[{&quot;StartName&quot;:&quot;_GBC_39005923aba84c2081187108f5da636f&quot;,&quot;EndName&quot;:&quot;_GBC_e717b25640c24b4a8799627c6a9c5dd5&quot;,&quot;CType&quot;:1}]"/>
      <m:item xlName="_GBC_3fa26b91502d4407ae98a24d7182aa5b" concept="clcid-ci-ar:DanWeiWeiGuiDanBaoQingKuang" label="单位：违规担保情况" selectOptions="_buildInScales" controlType="Combobox" cellType="Scale" appId="_GBC_39005923aba84c2081187108f5da636f"/>
      <m:item xlName="_GBC_d46edc7a4ff8450f9a57e558d5c9db8b" concept="clcid-ci-ar:BiZhongWeiGuiDanBaoQingKuang" label="币种：违规担保情况" selectOptions="_buildInISO4217" controlType="Combobox" cellType="Measure" appId="_GBC_39005923aba84c2081187108f5da636f"/>
      <m:placeholder xlName="_PLD_7cc0b8f6619d4c12bc283a831180c578" addr="T0R0C0S1_1"/>
      <m:placeholder xlName="_PLD_d25e6329b5a244229fffc06b22859155" addr="T0R0C1S1_1"/>
      <m:placeholder xlName="_PLD_995aff917dcb4e9c85d8e08e148dcd73" addr="T0R0C2S1_1"/>
      <m:placeholder xlName="_PLD_74d0e6636ccb45088dbc72fabf002340" addr="T0R0C3S1_1"/>
      <m:placeholder xlName="_PLD_14653658ce144378bb90008f628c941c" addr="T0R0C4S1_1"/>
      <m:placeholder xlName="_PLD_c845ff6bd1b344b08a4f4eff8d02b052" addr="T0R0C5S1_1"/>
      <m:placeholder xlName="_PLD_5de8b5ae031d4d3b9c3e12dc5ba8246d" addr="T0R0C6S1_1"/>
      <m:placeholder xlName="_PLD_82c298327f0e4ffe9c3e8895c2636430" addr="T0R0C7S1_1"/>
      <m:placeholder xlName="_PLD_a7ba6724c9924ff3b848d6992e23ecec" addr="T0R0C8S1_1"/>
      <m:placeholder xlName="_PLD_45c9d3a6d1f04b3998af0f509e6028d7" addr="T0R0C9S1_1"/>
      <m:placeholder xlName="_PLD_84a0750a91264e64a7d1a3471d9177b6" addr="T0R0C10S1_1"/>
      <m:tuple xlName="_TUP_d450ef82d24a43d1b3ad0e99919bb288" concept="clcid-ie:WeiGuiDanBaoQingKuang" default_row="2" addr="T0R1C">
        <m:item xlName="_GBC_2f9e342a2a824ed68a15c3eeda423910" concept="clcid-ie:WeiGuiDanBaoQingKuangMingXiDanBaoDuiXiang" label="违规担保情况明细_担保对象" addr="T0R1C0S1_1" appId="_GBC_39005923aba84c2081187108f5da636f"/>
        <m:item xlName="_GBC_9af1f57ba3f941efb1a949f141cb0975" concept="clcid-ie:WeiGuiDanBaoQingKuangMingXiYuShangShiGongSiDeGuanXi" label="违规担保情况明细_与上市公司的关系" addr="T0R1C1S1_1" appId="_GBC_39005923aba84c2081187108f5da636f"/>
        <m:item xlName="_GBC_f094faf95311481eb9f9c2928f998667" concept="clcid-ie:WeiGuiDanBaoQingKuangMingXiDanBaoJinE" label="违规担保情况明细_担保金额" mulRef="_GBC_3fa26b91502d4407ae98a24d7182aa5b" unitRef="_GBC_d46edc7a4ff8450f9a57e558d5c9db8b" addr="T0R1C2S1_1" formatStyle="Comma" appId="_GBC_39005923aba84c2081187108f5da636f"/>
        <m:item xlName="_GBC_f917ee577abb4b76abe303495ab86590" concept="clcid-ie:WeiGuiDanBaoQingKuangMingXiWeiGuiDanBaoJinEZhanZuiJinYiQiJingShenJiJingZiChanDeBiLi" label="违规担保情况明细_违规担保金额占最近一期经审计净资产的比例" addr="T0R1C3S1_1" formatStyle="Comma" appId="_GBC_39005923aba84c2081187108f5da636f"/>
        <m:item xlName="_GBC_769cc1bd7c234f008a29f6ad3930dade" concept="clcid-ie:WeiGuiDanBaoQingKuangMingXiDanBaoLeiXing" label="违规担保情况明细_担保类型" addr="T0R1C4S1_1" appId="_GBC_39005923aba84c2081187108f5da636f"/>
        <m:item xlName="_GBC_c5d3ea03aa1c4dcbabd8986ffe02f39e" concept="clcid-ie:WeiGuiDanBaoQingKuangMingXiDanBaoQi" label="违规担保情况明细_担保期" addr="T0R1C5S1_1" appId="_GBC_39005923aba84c2081187108f5da636f"/>
        <m:item xlName="_GBC_b8ffa5072c0e4b81b8324e079f87a1b3" concept="clcid-ie:WeiGuiDanBaoQingKuangMingXiJieZhiBaoGaoQiMoWeiGuiDanBaoYuE" label="违规担保情况明细_截至报告期末违规担保余额" mulRef="_GBC_3fa26b91502d4407ae98a24d7182aa5b" unitRef="_GBC_d46edc7a4ff8450f9a57e558d5c9db8b" addr="T0R1C6S1_1" formatStyle="Comma" appId="_GBC_39005923aba84c2081187108f5da636f"/>
        <m:item xlName="_GBC_c62f33bd7c814c9e82589af744f8d2de" concept="clcid-ie:WeiGuiDanBaoQingKuangMingXiJieZhiBaoGaoQiMoWeiGuiDanBaoYuEZhanZuiJinYiQiJingShenJiJingZiChanDeBiLi" label="违规担保情况明细_截至报告期末违规担保余额占最近一期经审计净资产的比例" addr="T0R1C7S1_1" formatStyle="Comma" appId="_GBC_39005923aba84c2081187108f5da636f"/>
        <m:item xlName="_GBC_59e476a4b542438282b14bb67a2c6af9" concept="clcid-ie:WeiGuiDanBaoQingKuangMingXiYuJiJieChuFangShi" label="违规担保情况明细_预计解除方式" addr="T0R1C8S1_1" appId="_GBC_39005923aba84c2081187108f5da636f"/>
        <m:item xlName="_GBC_cee451d97cd14a5fb4d1d67db494fcc0" concept="clcid-ie:WeiGuiDanBaoQingKuangMingXiYuJiJieChuJinE" label="违规担保情况明细_预计解除金额" mulRef="_GBC_3fa26b91502d4407ae98a24d7182aa5b" unitRef="_GBC_d46edc7a4ff8450f9a57e558d5c9db8b" addr="T0R1C9S1_1" formatStyle="Comma" appId="_GBC_39005923aba84c2081187108f5da636f"/>
        <m:item xlName="_GBC_90e1e6a9716e4492bd2bfe61e3686336" concept="clcid-ie:WeiGuiDanBaoQingKuangMingXiYuJiJieChuShiJian" label="违规担保情况明细_预计解除时间 " addr="T0R1C10S1_1" appId="_GBC_39005923aba84c2081187108f5da636f"/>
      </m:tuple>
      <m:placeholder xlName="_PLD_ad7151799ad646728c2b1aa5edccbf84" addr="T0R3C0S1_1"/>
      <m:item xlName="_GBC_85d5f309e95a47baa09430b7152db655" concept="clcid-ie:WeiGuiDanBaoJinEHeJi" label="违规担保金额合计" mulRef="_GBC_3fa26b91502d4407ae98a24d7182aa5b" unitRef="_GBC_d46edc7a4ff8450f9a57e558d5c9db8b" addr="T0R3C2S1_1" formatStyle="Comma" appId="_GBC_39005923aba84c2081187108f5da636f"/>
      <m:item xlName="_GBC_851739fe29504c6d8771ebc65369b7db" concept="clcid-ie:JieZhiBaoGaoQiMoWeiGuiDanBaoYuEHeJi" label="截至报告期末违规担保余额合计" mulRef="_GBC_3fa26b91502d4407ae98a24d7182aa5b" unitRef="_GBC_d46edc7a4ff8450f9a57e558d5c9db8b" addr="T0R3C6S1_1" formatStyle="Comma" appId="_GBC_39005923aba84c2081187108f5da636f"/>
      <m:item xlName="_GBC_6898dc02a244448ab1dd235d7febbd6a" concept="clcid-ie:YuJiJieChuJinEHeJi" label="预计解除金额合计" mulRef="_GBC_3fa26b91502d4407ae98a24d7182aa5b" unitRef="_GBC_d46edc7a4ff8450f9a57e558d5c9db8b" addr="T0R3C9S1_1" formatStyle="Comma" appId="_GBC_39005923aba84c2081187108f5da636f"/>
      <m:placeholder xlName="_PLD_19883d79c2be4d2cb8d6ba7b6b688ece" addr="T0R4C0S1_3"/>
      <m:item xlName="_GBC_e65586a410fa45d0bf56a972babf9016" concept="clcid-ie:WeiGuiYuanYin" label="违规原因" addr="T0R4C3S1_8" appId="_GBC_39005923aba84c2081187108f5da636f"/>
      <m:placeholder xlName="_PLD_58b47490f9b445a19f242ba50e60efe9" addr="T0R5C0S1_3"/>
      <m:item xlName="_GBC_e717b25640c24b4a8799627c6a9c5dd5" concept="clcid-ie:YiCaiQuDeJieJueCuoShiJiJinZhan" label="已采取的解决措施及进展 " addr="T0R5C3S1_8" appId="_GBC_39005923aba84c2081187108f5da636f"/>
    </m:section>
    <m:item xlName="_GBC_32bbe73426ca480198b53aef6d41f479" concept="clcid-ci-ar:ShiFouShiYongBanNianBaoShenJiQingKuang" label="是否适用：半年报审计情况  " selectOptions="_buildInAppliance" controlType="CustomCheckbox" cRanges="[{&quot;StartName&quot;:&quot;_GBC_32bbe73426ca480198b53aef6d41f479&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item xlName="_GBC_e563da3651274dd6a705d1da6434db17" concept="clcid-ci-ar:ShiFouShiYongPinRenJiePinHuiJiShiShiWuSuoQingKuang" label="是否适用：聘任、解聘会计师事务所情况" selectOptions="_buildInAppliance" controlType="CustomCheckbox" cRanges="{&quot;StartName&quot;:&quot;_GBC_e563da3651274dd6a705d1da6434db17&quot;,&quot;EndName&quot;:&quot;_GBC_710d2961b9534f8eb9adddf190fd9287&quot;,&quot;CType&quot;:1,&quot;DisplayText&quot;:null}"/>
      <m:item xlName="_GBC_710d2961b9534f8eb9adddf190fd9287" concept="clcid-ie:PinRenJiePinKuaiJiShiShiWuSuoQingKuangShuoMing" label="聘任、解聘会计师事务所情况说明" appId="_GBC_e563da3651274dd6a705d1da6434db17"/>
    </m:section>
    <m:section xlName="_SEC_39a839676dca47f595f0cbe05d986e81" title="审计期间改聘会计师事务所的情况说明" helpId="110009001" helpText="注：公司若改聘、解聘会计师事务所，则必须填写改聘、解聘的情况说明。">
      <m:item xlName="_GBC_b7e7dc4aa79c474aa3d686f172086ee6" concept="clcid-ci-ar:ShiFouShiYongShenJiQiJianGaiPinHuiJiShiShiWuSuoDeQingKuangShuoMing" label="是否适用：审计期间改聘会计师事务所的情况说明" selectOptions="_buildInAppliance" controlType="CustomCheckbox" cRanges="{&quot;StartName&quot;:&quot;_GBC_b7e7dc4aa79c474aa3d686f172086ee6&quot;,&quot;EndName&quot;:&quot;_GBC_0225559c1c3445c19aff63908379270a&quot;,&quot;CType&quot;:1,&quot;DisplayText&quot;:null}"/>
      <m:item xlName="_GBC_0225559c1c3445c19aff63908379270a" concept="clcid-ie:ZaiShenJiQiJianGaiPinJiePinKuaiJiShiShiWuSuoQingKuangShuoMing" label="在审计期间改聘、解聘会计师事务所情况说明" appId="_GBC_b7e7dc4aa79c474aa3d686f172086ee6"/>
    </m:section>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item xlName="_GBC_d326f269313b4caba360515f0154b27f" concept="clcid-ci-ar:ShiFouShiYongDongShiHuiDuiKuaiJiShiShiWuSuoFeiBiaoZhunShenJiBaoGaoDeShuoMing" label="是否适用：董事会对会计师事务所非标准审计报告的说明" selectOptions="_buildInAppliance" controlType="CustomCheckbox" cRanges="{&quot;StartName&quot;:&quot;_GBC_d326f269313b4caba360515f0154b27f&quot;,&quot;EndName&quot;:&quot;_GBC_e8ff717bd5aa48bfbf75fa49c414c87d&quot;,&quot;CType&quot;:1,&quot;DisplayText&quot;:null}"/>
      <m:item xlName="_GBC_e8ff717bd5aa48bfbf75fa49c414c87d" concept="clcid-mr:DongShiHuiDuiKuaiJiShiShiWuSuoFeiBiaoYiJianDeShuoMing" label="董事会对会计师事务所非标意见的说明" appId="_GBC_d326f269313b4caba360515f0154b27f"/>
    </m:section>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item xlName="_GBC_06e0811c47124b6da79369103f766350" concept="clcid-ci-ar:ShiFouShiYongGongSiDuiShangNianNianDuBaoGaoZhongDeCaiWuBaoGaoBeiZhuCeKuaiJiShiChuJuFeiBiaoZhunShenJiBaoGaoDeShuoMing" label="是否适用：公司对上年年度报告中的财务报告被注册会计师出具“非标准审计报告”的说明 " selectOptions="_buildInAppliance" controlType="CustomCheckbox" cRanges="{&quot;StartName&quot;:&quot;_GBC_06e0811c47124b6da79369103f766350&quot;,&quot;EndName&quot;:&quot;_GBC_0821c6178011428895cb6148d494dd66&quot;,&quot;CType&quot;:1,&quot;DisplayText&quot;:null}"/>
      <m:item xlName="_GBC_0821c6178011428895cb6148d494dd66" concept="clcid-ie:GongSiDuiShangNianNianDuBaoGaoZhongDeCaiWuBaoGaoBeiZhuCeKuaiJiShiChuJuFeiBiaoZhunShenJiBaoGaoDeShuoMing" label="公司对上年年度报告中的财务报告被注册会计师出具“非标准审计报告”的说明 " appId="_GBC_06e0811c47124b6da79369103f766350"/>
    </m:section>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c4fc8890d63b44b19353d2188a5bce59" concept="clcid-ci-ar:ShiFouShiYongPoChanZhongZhengXiangGuanShiXiang" label="是否适用：破产重整相关事项" selectOptions="_buildInAppliance" controlType="CustomCheckbox" cRanges="{&quot;StartName&quot;:&quot;_GBC_c4fc8890d63b44b19353d2188a5bce59&quot;,&quot;EndName&quot;:&quot;_GBC_f1419a433e274bdfbd6bfe049aa4b256&quot;,&quot;CType&quot;:1,&quot;DisplayText&quot;:null}"/>
      <m:item xlName="_GBC_f1419a433e274bdfbd6bfe049aa4b256" concept="clcid-ie:PoChanZhongZhengXiangGuanShiXiangDeShuoMing" label="破产重整相关事项的说明" appId="_GBC_c4fc8890d63b44b19353d2188a5bce59"/>
    </m:section>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item xlName="_GBC_1c7697ff89954de38b9736575b9b7dc9" concept="clcid-ci-ar:ShiFouShiYongSuSongZhongCaiShiXiangYiZaiLinShiGongGaoPiLuQieWuHouXuJinZhanDe" label="是否适用：诉讼、仲裁事项已在临时公告披露且无后续进展的" selectOptions="_buildInAppliance" controlType="CustomCheckbox" cRanges="{&quot;StartName&quot;:&quot;_GBC_1c7697ff89954de38b9736575b9b7dc9&quot;,&quot;EndName&quot;:&quot;_GBC_3677486af5cc4df39dc47d837382909d&quot;,&quot;CType&quot;:1,&quot;DisplayText&quot;:null}"/>
      <m:placeholder xlName="_PLD_0c5dadb725f645e88d02a44ed41a1e46" addr="T0R0C0S1_1"/>
      <m:placeholder xlName="_PLD_13af72da876f4221b2dfc2f0cc421987" addr="T0R0C1S1_1"/>
      <m:tuple xlName="_TUP_823c9fa8ad8844c29d56b53bc326a27a" concept="clcid-ie:SuSongZhongCaiHuoMeiTiZhiYiShiXiangYiZaiLinShiBaoGaoPiLuQieWuHouXuJinZhanDe" default_row="2" addr="T0R1C">
        <m:item xlName="_GBC_053e169e6f1e4624ac3ac0ec495c470c" concept="clcid-ie:SuSongZhongCaiHuoMeiTiZhiYiShiXiangYiZaiLinShiBaoGaoPiLuQieWuHouXuJinZhanDeShiXiangGaiShuJiLeiXing" label="诉讼、仲裁或媒体质疑事项已在临时报告披露且无后续进展的-事项概述及类型" addr="T0R1C0S1_1" cellConvertType="1" appId="_GBC_1c7697ff89954de38b9736575b9b7dc9"/>
        <m:item xlName="_GBC_3677486af5cc4df39dc47d837382909d" concept="clcid-ie:SuSongZhongCaiHuoMeiTiZhiYiShiXiangYiZaiLinShiBaoGaoPiLuQieWuHouXuJinZhanDeChaXunSuoYin" label="诉讼、仲裁或媒体质疑事项已在临时报告披露且无后续进展的-查询索引" addr="T0R1C1S1_1" appId="_GBC_1c7697ff89954de38b9736575b9b7dc9"/>
      </m:tuple>
    </m:section>
    <m:section xlName="_SEC_85376178a04b46fb90efc5d6fa2e6a28" title="临时公告未披露或有后续进展的诉讼、仲裁情况" rules="R2015_R5_006" convertSummaryRule="NoConvert" helpId="110001001">
      <m:item xlName="_GBC_3f59cc6ee3354630821313bac686c029" concept="clcid-ci-ar:ShiFouShiYongLinShiGongGaoWeiPiLuHuoYouHouXuJinZhanDeSuSongZhongCaiQingKuang" label="是否适用：临时公告未披露或有后续进展的诉讼、仲裁情况" selectOptions="_buildInAppliance" controlType="CustomCheckbox" cRanges="{&quot;StartName&quot;:&quot;_GBC_3f59cc6ee3354630821313bac686c029&quot;,&quot;EndName&quot;:&quot;_GBC_6b11a31a915c466790c7d764a78c02aa&quot;,&quot;CType&quot;:1,&quot;DisplayText&quot;:null}"/>
      <m:item xlName="_GBC_ab5a46f4fd35408cba7d05de7b668fac" concept="clcid-ci-ar:DanWeiZhongDaSuSongZhongCaiShiXiang" label="单位：重大诉讼仲裁事项" selectOptions="_buildInScales" controlType="Combobox" cellType="Scale" appId="_GBC_3f59cc6ee3354630821313bac686c029"/>
      <m:item xlName="_GBC_67f8b933111740f4867b07d27cbb7862" concept="clcid-ci-ar:BiZhongZhongDaSuSongZhongCaiShiXiang" label="币种：重大诉讼仲裁事项" selectOptions="_buildInISO4217" controlType="Combobox" cellType="Measure" appId="_GBC_3f59cc6ee3354630821313bac686c029"/>
      <m:placeholder xlName="_PLD_542ec69aa4ef4bfab0931fd1db76a6ba" addr="T0R0C0S1_10"/>
      <m:placeholder xlName="_PLD_65530f9e2c974c4caf9f0a8143274a84" addr="T0R1C0S1_1"/>
      <m:placeholder xlName="_PLD_199b4615ac594ea49e4ae790f9604175" addr="T0R1C1S1_1"/>
      <m:placeholder xlName="_PLD_40e0da63dc8243ccadfed7bf52b93f8b" addr="T0R1C2S1_1"/>
      <m:placeholder xlName="_PLD_46f93380e03f45adbc91c2ab3774798c" addr="T0R1C3S1_1"/>
      <m:placeholder xlName="_PLD_29743bdc16de45d8a3449747b5605f16" addr="T0R1C4S1_1"/>
      <m:placeholder xlName="_PLD_cc4909272128469b9b9eb68f21f24563" addr="T0R1C5S1_1"/>
      <m:placeholder xlName="_PLD_314be9ce30c646b1a34851dbc8c947ff" addr="T0R1C6S1_1"/>
      <m:placeholder xlName="_PLD_27f3a3c3699f4caaa599fe2ff85e043a" addr="T0R1C7S1_1"/>
      <m:placeholder xlName="_PLD_670326cb24854b3a8bee381fa766735a" addr="T0R1C8S1_1"/>
      <m:placeholder xlName="_PLD_4b3c312c6ff54512a58be0ff5dc57e46" addr="T0R1C9S1_1"/>
      <m:tuple xlName="_TUP_234d07ec13744d019fad4109a2500e1c" concept="clcid-ie:ZhongDaSuSongZhongCaiShiXiang" default_row="2" addr="T0R2C">
        <m:item xlName="_GBC_fcf3f1cf8283484fa9a05babe3eee81d" concept="clcid-ie:QiSuShenQingFang" label="起诉（申请）方" addr="T0R2C0S1_1" cellConvertType="1" appId="_GBC_3f59cc6ee3354630821313bac686c029"/>
        <m:item xlName="_GBC_ff7b1124a16347f48f5ef95acc94609d" concept="clcid-ie:YingSuBeiShenQingFang" label="应诉（被申请）方" addr="T0R2C1S1_1" appId="_GBC_3f59cc6ee3354630821313bac686c029"/>
        <m:item xlName="_GBC_0b7b1baec5c9419192648d035c156bbe" concept="clcid-ie:ChengDanLianDaiZeRenFang" label="承担连带责任方" addr="T0R2C2S1_1" appId="_GBC_3f59cc6ee3354630821313bac686c029"/>
        <m:item xlName="_GBC_07908306a355454f8fb1fa8b65ebacc0" concept="clcid-ie:SuSongZhongCaiLeiXing" label="诉讼仲裁类型" addr="T0R2C3S1_1" appId="_GBC_3f59cc6ee3354630821313bac686c029"/>
        <m:item xlName="_GBC_43b0e51b774b4a4bb2f83a2f66b226a0" concept="clcid-ie:SuSongZhongCaiJiBenQingKuang" label="诉讼（仲裁）基本情况" addr="T0R2C4S1_1" appId="_GBC_3f59cc6ee3354630821313bac686c029"/>
        <m:item xlName="_GBC_c066bc9581d84296bf8effd1b3ef51f5" concept="clcid-ie:SuSongZhongCaiSheJiJinE" label="诉讼（仲裁）涉及金额" mulRef="_GBC_ab5a46f4fd35408cba7d05de7b668fac" unitRef="_GBC_67f8b933111740f4867b07d27cbb7862" addr="T0R2C5S1_1" formatStyle="Comma" appId="_GBC_3f59cc6ee3354630821313bac686c029"/>
        <m:item xlName="_GBC_bd971cc1872148c2a27b9e679d7e2a3f" concept="clcid-ie:SuSongZhongCaiShiFouXingChengYuJiFuZhaiJiJinE" label="诉讼(仲裁)是否形成预计负债及金额" addr="T0R2C6S1_1" appId="_GBC_3f59cc6ee3354630821313bac686c029"/>
        <m:item xlName="_GBC_ff66a90627f84c65827475e5cb3b2a89" concept="clcid-ie:SuSongZhongCaiJinZhan" label="诉讼（仲裁）进展" addr="T0R2C7S1_1" appId="_GBC_3f59cc6ee3354630821313bac686c029"/>
        <m:item xlName="_GBC_170318dc56d24ab39e3d3551b612726f" concept="clcid-ie:SuSongZhongCaiShenLiJieGuoJiYingXiang" label="诉讼（仲裁）审理结果及影响" addr="T0R2C8S1_1" appId="_GBC_3f59cc6ee3354630821313bac686c029"/>
        <m:item xlName="_GBC_6b11a31a915c466790c7d764a78c02aa" concept="clcid-ie:SuSongZhongCaiPanJueZhiXingQingKuang" label="诉讼（仲裁）判决执行情况" addr="T0R2C9S1_1" appId="_GBC_3f59cc6ee3354630821313bac686c029"/>
      </m:tuple>
    </m:section>
    <m:section xlName="_SEC_c92a88ec21204766afe5f9688cbd21bd" title="其他诉讼仲裁事项说明" rules="R2015_R5_006" convertSummaryRule="NoConvert" helpId="110001001">
      <m:item xlName="_GBC_d8d8aef394564199936be6639c0e21a5" concept="clcid-ci-ar:ShiFouShiYongZhongDaSuSongZhongCaiShiXiangQiTaShuoMing" label="是否适用：重大诉讼、仲裁事项其他说明" selectOptions="_buildInAppliance" controlType="CustomCheckbox" cRanges="{&quot;StartName&quot;:&quot;_GBC_d8d8aef394564199936be6639c0e21a5&quot;,&quot;EndName&quot;:&quot;_GBC_0377356c6b1e420bb624899b7886bbd1&quot;,&quot;CType&quot;:1,&quot;DisplayText&quot;:null}"/>
      <m:item xlName="_GBC_0377356c6b1e420bb624899b7886bbd1" concept="clcid-ie:ZhongDaSuSongZhongCaiShiXiangDeShuoMing" label="重大诉讼、仲裁事项的说明" appId="_GBC_d8d8aef394564199936be6639c0e21a5"/>
    </m:section>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item xlName="_GBC_05b097ae59254d13916df227f563a3ed"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05b097ae59254d13916df227f563a3ed&quot;,&quot;EndName&quot;:&quot;_GBC_cddddc4c26704f2a81b9c244e5424777&quot;,&quot;CType&quot;:1,&quot;DisplayText&quot;:null}"/>
      <m:item xlName="_GBC_cddddc4c26704f2a81b9c244e5424777" concept="clcid-ie:GongSiDongShiHuiDongShiShouChuFaJiZhengGaiQingKuang" label="公司、董事会、董事受处罚及整改情况" appId="_GBC_05b097ae59254d13916df227f563a3ed"/>
    </m:section>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item xlName="_GBC_650ef1e21808426d806ee2024dd14590"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650ef1e21808426d806ee2024dd14590&quot;,&quot;EndName&quot;:&quot;_GBC_29d7055c47724780994aca0175d8a9c8&quot;,&quot;CType&quot;:1,&quot;DisplayText&quot;:null}"/>
      <m:item xlName="_GBC_29d7055c47724780994aca0175d8a9c8" concept="clcid-ie:BaoGaoQiNeiGongSiJiQiKongGuGuDongShiJiKongZhiRenChengXinZhuangKuangDeShuoMing" label="报告期内公司及其控股股东、实际控制人诚信状况的说明" appId="_GBC_650ef1e21808426d806ee2024dd14590"/>
    </m:section>
    <m:section xlName="_SEC_b9489dd6b4c843e6be6e5a97de24b51b" title="已在临时公告披露且后续实施无进展或变化的事项" rules="R2015_R5_009" convertSummaryRule="NoConvert" helpId="110006001">
      <m:item xlName="_GBC_9cce66e2c46445bea6fd259dd8b5277c"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9cce66e2c46445bea6fd259dd8b5277c&quot;,&quot;EndName&quot;:&quot;_GBC_f553e3eb262647018b1cb9d8fee7a927&quot;,&quot;CType&quot;:1,&quot;DisplayText&quot;:null}"/>
      <m:placeholder xlName="_PLD_3978b66ad729485ab420902ac1d8641a" addr="T0R0C0S1_1"/>
      <m:placeholder xlName="_PLD_28c260015cd145a7bdcdc3be1a2f9896" addr="T0R0C1S1_1"/>
      <m:tuple xlName="_TUP_9c260e6d68f140909c4bb894b803a95c" concept="clcid-ie:YuRiChangJingYingXiangGuanDeGuanLianJiaoYiShiXiangYiZaiLinShiBaoGaoPiLuQieHouXuShiShiWuJinZhanHuoBianHuaDe" default_row="2" addr="T0R1C">
        <m:item xlName="_GBC_f7bd19315a764c3b8447b244ce3a8d82"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9cce66e2c46445bea6fd259dd8b5277c"/>
        <m:item xlName="_GBC_f553e3eb262647018b1cb9d8fee7a92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9cce66e2c46445bea6fd259dd8b5277c"/>
      </m:tuple>
    </m:section>
    <m:section xlName="_SEC_ec9777844cc44aa6b3f98c8af0a20f95" title="已在临时公告披露，但有后续实施的进展或变化的事项" rules="R2015_R5_009" convertSummaryRule="NoConvert" helpId="110006001">
      <m:item xlName="_GBC_3d236e76c44140259dd09a3aed77ca15"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3d236e76c44140259dd09a3aed77ca15&quot;,&quot;EndName&quot;:&quot;_GBC_0a4da36928c04bc784d8c97bc6a4a9d9&quot;,&quot;CType&quot;:1,&quot;DisplayText&quot;:null}"/>
      <m:item xlName="_GBC_0a4da36928c04bc784d8c97bc6a4a9d9" concept="clcid-ie:YuRiChangJingYingXiangGuanDeGuanLianJiaoYiShiXiangYiZaiLinShiBaoGaoPiLuHouXuShiShiDeJinZhanHuoBianHua" label="与日常经营相关的关联交易事项已在临时报告披露，后续实施的进展或变化" appId="_GBC_3d236e76c44140259dd09a3aed77ca15"/>
    </m:section>
    <m:section xlName="_SEC_227a4feb5cd045acb20f0e655bf26ea8" title="临时公告未披露的事项" rules="R2015_R5_009" convertSummaryRule="NoConvert" helpId="110006001">
      <m:item xlName="_GBC_91ad548daaa84603a8faa6c0ce358499" concept="clcid-ci-ar:ShiFouShiYongYuRiChangJingYingXiangGuanDeGuanLianJiaoYiLinShiGongGaoWeiPiLuDeShiXiang" label="是否适用：与日常经营相关的关联交易_临时公告未披露的事项" selectOptions="_buildInAppliance" controlType="CustomCheckbox" cRanges="{&quot;StartName&quot;:&quot;_GBC_91ad548daaa84603a8faa6c0ce358499&quot;,&quot;EndName&quot;:&quot;_GBC_78d04779d91642c0bc291b2036dc2f0b&quot;,&quot;CType&quot;:1,&quot;DisplayText&quot;:null}"/>
      <m:item xlName="_GBC_9e8c714ed9bc4713a289824ec6ff931d" concept="clcid-ci-ar:DanWeiYuRiChangJingYingXiangGuanDeGuanLianJiaoYiZhiZhuanHuanQuanWen" label="单位：与日常经营相关的关联交易（只转换全文）" selectOptions="_buildInScales" controlType="Combobox" cellType="Scale" appId="_GBC_91ad548daaa84603a8faa6c0ce358499"/>
      <m:item xlName="_GBC_9eb3cdff7f6941118228167721a35ec1" concept="clcid-ci-ar:BiZhongYuRiChangJingYingXiangGuanDeGuanLianJiaoYiZhiZhuanHuanQuanWen" label="币种：与日常经营相关的关联交易（只转换全文）" selectOptions="_buildInISO4217" controlType="Combobox" cellType="Measure" appId="_GBC_91ad548daaa84603a8faa6c0ce358499"/>
      <m:placeholder xlName="_PLD_cdf8d4e38d1643b698f8c0ba37632dd0" addr="T0R0C0S1_1"/>
      <m:placeholder xlName="_PLD_36c874b218ff4a2b9cce1d518c239f78" addr="T0R0C1S1_1"/>
      <m:placeholder xlName="_PLD_59a5508e1a3f4a9581dde52c3a064d73" addr="T0R0C2S1_1"/>
      <m:placeholder xlName="_PLD_7df6f86957ca4a35ab60b0f54e4c0891" addr="T0R0C3S1_1"/>
      <m:placeholder xlName="_PLD_2de4ca6561d042369ebd53f7766f1af9" addr="T0R0C4S1_1"/>
      <m:placeholder xlName="_PLD_206732c7671b4c2fba589b2ae77e3831" addr="T0R0C5S1_1"/>
      <m:placeholder xlName="_PLD_d4129ba2ae1249adb239b1c1c27630c4" addr="T0R0C6S1_1"/>
      <m:placeholder xlName="_PLD_e11a969c518b411182ddd4afcfb0cbad" addr="T0R0C7S1_1"/>
      <m:placeholder xlName="_PLD_b97782d92e7d4c82b961e8d7e116943d" addr="T0R0C8S1_1"/>
      <m:placeholder xlName="_PLD_1b83f35cd79a4f998851d240bf692b4d" addr="T0R0C9S1_1"/>
      <m:placeholder xlName="_PLD_d16a25e7cbaa45718615a8e08f40e145" addr="T0R0C10S1_1"/>
      <m:tuple xlName="_TUP_850e8f79b29640989828ba4950d3b4dc" concept="clcid-ie:GouXiaoShangPinTiGongHeJieShouLaoWuDeZhongDaGuanLianJiaoYi" default_row="2" addr="T0R1C">
        <m:item xlName="_GBC_1c0794346a52415a831f67af9b406279" concept="clcid-ie:GouXiaoShangPinTiGongHeJieShouLaoWuDeZhongDaGuanLianJiaoYiDeGuanLianFangMingCheng" label="购销商品、提供和接受劳务的重大关联交易的关联方名称" addr="T0R1C0S1_1" cellConvertType="1" appId="_GBC_91ad548daaa84603a8faa6c0ce358499"/>
        <m:item xlName="_GBC_5a6422bd842644b888cea7a0e140e773" concept="clcid-ie:GouXiaoShangPinTiGongHeJieShouLaoWuDeZhongDaGuanLianJiaoYiDeGuanLianFangGuanXi" label="购销商品、提供和接受劳务的重大关联交易的关联方关系" selectOptions="995b2a43652a4ae6ae31062ffd6294a1" addr="T0R1C1S1_1" controlType="Combobox" appId="_GBC_91ad548daaa84603a8faa6c0ce358499" checkOption="Ignore"/>
        <m:item xlName="_GBC_1863ca5fbeef4356b5c008342d545508" concept="clcid-ie:GouXiaoShangPinTiGongHeJieShouLaoWuDeZhongDaGuanLianJiaoYiDeLeiXing" label="购销商品、提供和接受劳务的重大关联交易的类型" selectOptions="e9bd07df2e0143ddad2733ecc6de320e" addr="T0R1C2S1_1" controlType="Combobox" appId="_GBC_91ad548daaa84603a8faa6c0ce358499" checkOption="Ignore"/>
        <m:item xlName="_GBC_e0595014b0804213b968f748ad8d6c1d" concept="clcid-ie:GuanLianJiaoYiNeiRong" label="关联交易内容" addr="T0R1C3S1_1" appId="_GBC_91ad548daaa84603a8faa6c0ce358499"/>
        <m:item xlName="_GBC_b46588925cf44010a1a191093185c02e" concept="clcid-ie:GouXiaoShangPinTiGongHeJieShouLaoWuDeZhongDaGuanLianJiaoYiDeDingJiaYuanZe" label="购销商品、提供和接受劳务的重大关联交易的定价原则" addr="T0R1C4S1_1" appId="_GBC_91ad548daaa84603a8faa6c0ce358499"/>
        <m:item xlName="_GBC_f526ccd5000e48b4baf4493619def993" concept="clcid-ie:GuanLianJiaoYiDeJiaGe" label="关联交易的价格" addr="T0R1C5S1_1" appId="_GBC_91ad548daaa84603a8faa6c0ce358499"/>
        <m:item xlName="_GBC_9ba04efb244c446cb01c30c68244d64a" concept="clcid-ie:GouXiaoShangPinTiGongJieShouLaoWuDeZhongDaGuanLianJiaoYiJinE" label="购销商品提供接受劳务的重大关联交易金额" mulRef="_GBC_9e8c714ed9bc4713a289824ec6ff931d" unitRef="_GBC_9eb3cdff7f6941118228167721a35ec1" addr="T0R1C6S1_1" formatStyle="Comma" appId="_GBC_91ad548daaa84603a8faa6c0ce358499"/>
        <m:item xlName="_GBC_555ab4ea77c240efa6b027563482ed6e" concept="clcid-ie:GouXiaoShangPinTiGongHeJieShouLaoWuDeZhongDaGuanLianJiaoYiZhanTongLeiJiaoYiJinEDeBiLi" label="购销商品、提供和接受劳务的重大关联交易占同类交易金额的比例" addr="T0R1C7S1_1" baseScale="0.01" formatStyle="Comma" appId="_GBC_91ad548daaa84603a8faa6c0ce358499"/>
        <m:item xlName="_GBC_860b4163b6174b209984909cd4d0338e" concept="clcid-ie:GuanLianJiaoYiJieSuanFangShi" label="关联交易结算方式" addr="T0R1C8S1_1" appId="_GBC_91ad548daaa84603a8faa6c0ce358499"/>
        <m:item xlName="_GBC_c59170b5af8a4d7b94e0a67683611e45" concept="clcid-ie:ShiChangJiaGe" label="同类交易市场价格" mulRef="_GBC_9e8c714ed9bc4713a289824ec6ff931d" unitRef="_GBC_9eb3cdff7f6941118228167721a35ec1" addr="T0R1C9S1_1" formatStyle="Comma" appId="_GBC_91ad548daaa84603a8faa6c0ce358499"/>
        <m:item xlName="_GBC_6d1f6b2f6f364988bab711924312f928" concept="clcid-ie:JiaoYiJiaGeYuShiChangCanKaoJiaGeChaYiJiaoDaDeYuanYin" label="交易价格与市场参考价格差异较大的原因" addr="T0R1C10S1_1" appId="_GBC_91ad548daaa84603a8faa6c0ce358499"/>
      </m:tuple>
      <m:placeholder xlName="_PLD_3fe8a8a9fa2644e9ae04b4aaeb7f188a" addr="T0R3C0S1_4"/>
      <m:item xlName="_GBC_fad4acfdbd63457688afb3e2842bddb2" concept="clcid-ie:ZhongDaGuanLianJiaoYiJinEHeJi" label="重大关联交易金额合计" mulRef="_GBC_9e8c714ed9bc4713a289824ec6ff931d" unitRef="_GBC_9eb3cdff7f6941118228167721a35ec1" addr="T0R3C6S1_1" formatStyle="Comma" appId="_GBC_91ad548daaa84603a8faa6c0ce358499"/>
      <m:item xlName="_GBC_16746ac4ae5049679b55147cb1950320" concept="clcid-ie:ZhongDaGuanLianJiaoYiJinEZhanTongLeiJiaoYiJinEDeBiLiHeJi" label="重大关联交易金额占同类交易金额的比例合计" addr="T0R3C7S1_1" baseScale="0.01" formatStyle="Comma" appId="_GBC_91ad548daaa84603a8faa6c0ce358499"/>
      <m:placeholder xlName="_PLD_f5439dcb8af74d44977d23989e851cc8" addr="T0R4C0S1_5"/>
      <m:item xlName="_GBC_be87e4beeec84f88b734df75de5f2f79" concept="clcid-ie:DaEXiaoHuoTuiHuiDeXiangXiQingKuang" label="大额销货退回的详细情况" addr="T0R4C5S1_6" appId="_GBC_91ad548daaa84603a8faa6c0ce358499"/>
      <m:placeholder xlName="_PLD_c648a08cf0f94c3f830efa5bf4a65eb0" addr="T0R5C0S1_5"/>
      <m:item xlName="_GBC_78d04779d91642c0bc291b2036dc2f0b" concept="clcid-ie:GouXiaoShangPinTiGongHeJieShouLaoWuDeZhongDaGuanLianJiaoYiShuoMing" label="购销商品提供和接受劳务的重大关联交易说明" addr="T0R5C5S1_6" appId="_GBC_91ad548daaa84603a8faa6c0ce358499"/>
    </m:section>
    <m:section xlName="_SEC_bf9131838c5b421d81cb3165b3861506" title="已在临时公告披露且后续实施无进展或变化的事项" rules="R2015_R5_009" convertSummaryRule="NoConvert" helpId="110006003">
      <m:item xlName="_GBC_208b69178a984ade8f4f4dd7a3362ae3"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208b69178a984ade8f4f4dd7a3362ae3&quot;,&quot;EndName&quot;:&quot;_GBC_3e2cf0c7de2348b7a9d745824368394a&quot;,&quot;CType&quot;:1,&quot;DisplayText&quot;:null}"/>
      <m:placeholder xlName="_PLD_8c23fd3fbb5e4f64a3e8c04645a2ad17" addr="T0R0C0S1_1"/>
      <m:placeholder xlName="_PLD_33ab4723b35a485a88f0f87d615efe5f" addr="T0R0C1S1_1"/>
      <m:tuple xlName="_TUP_02b62502f0834ef584cdfe6ac293aa5a" concept="clcid-ie:ZiChanShouGouChuShouFaShengDeGuanLianJiaoYiShiXiangYiZaiLinShiBaoGaoPiLuQieHouXuShiShiWuJinZhanHuoBianHuaDe" default_row="2" addr="T0R1C">
        <m:item xlName="_GBC_a836f43b0a1640ce8cbbad47f35c49af"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208b69178a984ade8f4f4dd7a3362ae3"/>
        <m:item xlName="_GBC_3e2cf0c7de2348b7a9d745824368394a"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208b69178a984ade8f4f4dd7a3362ae3"/>
      </m:tuple>
    </m:section>
    <m:section xlName="_SEC_f9a57b14408248c4bc6881cfd0e81074" title="已在临时公告披露，但有后续实施的进展或变化的事项" rules="R2015_R5_009" convertSummaryRule="NoConvert" helpId="110006003">
      <m:item xlName="_GBC_b72de17637e74020b42aa0636b393f25"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b72de17637e74020b42aa0636b393f25&quot;,&quot;EndName&quot;:&quot;_GBC_0ff587dffeb441f7a9a643284ad60301&quot;,&quot;CType&quot;:1,&quot;DisplayText&quot;:null}"/>
      <m:item xlName="_GBC_0ff587dffeb441f7a9a643284ad60301" concept="clcid-ie:ZiChanShouGouChuShouFaShengDeGuanLianJiaoYiShiXiangYiZaiLinShiBaoGaoPiLuHouXuShiShiDeJinZhanHuoBianHua" label="资产收购、出售发生的关联交易事项已在临时报告披露，后续实施的进展或变化" appId="_GBC_b72de17637e74020b42aa0636b393f25"/>
    </m:section>
    <m:section xlName="_SEC_a7b4eef2f39c4550974e81ee8caca798" title="临时公告未披露的事项" rules="R2015_R5_009" convertSummaryRule="NoConvert" helpId="110006003">
      <m:item xlName="_GBC_d3f1f3f5ce564209aee49197432643af"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d3f1f3f5ce564209aee49197432643af&quot;,&quot;EndName&quot;:&quot;_GBC_6590e52a53814fbab4167db2a0d6cd77&quot;,&quot;CType&quot;:1,&quot;DisplayText&quot;:null}"/>
      <m:item xlName="_GBC_9ab58a6bf0d047bb8c4fe95fb164156a" concept="clcid-ci-ar:DanWeiZiChanShouGouChuShouFaShengDeGuanLianJiaoYi" label="单位：资产收购、出售发生的关联交易" selectOptions="_buildInScales" controlType="Combobox" cellType="Scale" appId="_GBC_d3f1f3f5ce564209aee49197432643af"/>
      <m:item xlName="_GBC_43be71762fbf43aaadff32f2c5570eed" concept="clcid-ci-ar:BiZhongZiChanShouGouChuShouFaShengDeGuanLianJiaoYi" label="币种：资产收购、出售发生的关联交易" selectOptions="_buildInISO4217" controlType="Combobox" cellType="Measure" appId="_GBC_d3f1f3f5ce564209aee49197432643af"/>
      <m:placeholder xlName="_PLD_fe6d6ddcfb964766a6be63b7a5d2a94a" addr="T0R0C0S1_1"/>
      <m:placeholder xlName="_PLD_0312dca871f1486d8aba292d201f8728" addr="T0R0C1S1_1"/>
      <m:placeholder xlName="_PLD_6bea793eaf16421d9dadb6b12376a4aa" addr="T0R0C2S1_1"/>
      <m:placeholder xlName="_PLD_06a949e7889b4565b904b1198a2dd23a" addr="T0R0C3S1_1"/>
      <m:placeholder xlName="_PLD_03f2a75eb6b4455d8e599a839fa1e8df" addr="T0R0C4S1_1"/>
      <m:placeholder xlName="_PLD_4159a86884e94b14b5ba91efedefea5a" addr="T0R0C5S1_1"/>
      <m:placeholder xlName="_PLD_bb5bb5d356694ecf8cc5dc1b9f182ce2" addr="T0R0C6S1_1"/>
      <m:placeholder xlName="_PLD_b522453c929a4e8d8ebd116ea926c842" addr="T0R0C7S1_1"/>
      <m:placeholder xlName="_PLD_b63b339e15724f3b9126d1691efe0063" addr="T0R0C8S1_1"/>
      <m:placeholder xlName="_PLD_65c8b03234654e4689bdd8db8b725c6e" addr="T0R0C9S1_1"/>
      <m:placeholder xlName="_PLD_bd88c493e15f40418bf0a6177d297076" addr="T0R0C10S1_1"/>
      <m:placeholder xlName="_PLD_14c7cc1add744c2698ca799af8e26c21" addr="T0R0C11S1_1"/>
      <m:tuple xlName="_TUP_3861b4bb592f4d9bb549f6151b3c06ae" concept="clcid-ie:ZiChanGuQuanZhuanRangDeZhongDaGuanLianJiaoYi" default_row="2" addr="T0R1C">
        <m:item xlName="_GBC_1f50a90c2a5640f0b39de3bdbeba5581" concept="clcid-ie:ZiChanGuQuanZhuanRangDeZhongDaGuanLianJiaoYiDeGuanLianFangMingCheng" label="资产股权转让的重大关联交易的关联方名称" addr="T0R1C0S1_1" cellConvertType="1" appId="_GBC_d3f1f3f5ce564209aee49197432643af"/>
        <m:item xlName="_GBC_0c02378ba6354ac3ac45bc7cdceb866e" concept="clcid-ie:ZiChanGuQuanZhuanRangDeZhongDaGuanLianJiaoYiDeGuanLianFangGuanXi" label="资产股权转让的重大关联交易的关联方关系" selectOptions="219e5edd5d234b23ae31d5c09f9eec07" addr="T0R1C1S1_1" controlType="Combobox" appId="_GBC_d3f1f3f5ce564209aee49197432643af" checkOption="Ignore"/>
        <m:item xlName="_GBC_8cac743ec6a74d9b9c227f5d25804f73" concept="clcid-ie:ZiChanGuQuanZhuanRangDeZhongDaGuanLianJiaoYiDeLeiXing" label="资产股权转让的重大关联交易的类型" selectOptions="3e65a1bc5c0f483db0d1223cfe66568a" addr="T0R1C2S1_1" controlType="Combobox" appId="_GBC_d3f1f3f5ce564209aee49197432643af" checkOption="Ignore"/>
        <m:item xlName="_GBC_05331a930b254c5ba435ed1a5d0ec438" concept="clcid-ie:ZiChanGuQuanZhuanRangDeZhongDaGuanLianJiaoYiDeNeiRong" label="资产股权转让的重大关联交易的内容" addr="T0R1C3S1_1" appId="_GBC_d3f1f3f5ce564209aee49197432643af"/>
        <m:item xlName="_GBC_f74ca2bb92714e2982a53f58fe309ceb" concept="clcid-ie:ZiChanGuQuanZhuanRangDeZhongDaGuanLianJiaoYiDeDingJiaYuanZe" label="资产股权转让的重大关联交易的定价原则" addr="T0R1C4S1_1" appId="_GBC_d3f1f3f5ce564209aee49197432643af"/>
        <m:item xlName="_GBC_7dd72c1dad0147eb86fd2da3d9d32118" concept="clcid-ie:GuanLianJiaoYiZhuanRangZiChanDeZhangMianJiaZhi" label="关联交易转让资产的帐面价值" mulRef="_GBC_9ab58a6bf0d047bb8c4fe95fb164156a" unitRef="_GBC_43be71762fbf43aaadff32f2c5570eed" addr="T0R1C5S1_1" formatStyle="Comma" appId="_GBC_d3f1f3f5ce564209aee49197432643af"/>
        <m:item xlName="_GBC_f852d316f6a844e8a5dc6629d143c796" concept="clcid-ie:GuanLianJiaoYiZhuanRangZiChanDePingGuJiaZhi" label="关联交易转让资产的评估价值" mulRef="_GBC_9ab58a6bf0d047bb8c4fe95fb164156a" unitRef="_GBC_43be71762fbf43aaadff32f2c5570eed" addr="T0R1C6S1_1" formatStyle="Comma" appId="_GBC_d3f1f3f5ce564209aee49197432643af"/>
        <m:item xlName="_GBC_f1b53931dfbb45d5855aa8e2fb61fbae" concept="clcid-ie:ZiChanGuQuanZhuanRangDeZhongDaGuanLianJinE" label="资产、股权转让的重大关联金额" mulRef="_GBC_9ab58a6bf0d047bb8c4fe95fb164156a" unitRef="_GBC_43be71762fbf43aaadff32f2c5570eed" addr="T0R1C7S1_1" formatStyle="Comma" appId="_GBC_d3f1f3f5ce564209aee49197432643af"/>
        <m:item xlName="_GBC_4a28b708d9b640a989e2862c7ddbddf3" concept="clcid-ie:ZiChanGuQuanZhuanRangDeZhongDaGuanLianJiaoYiDeJieSuanFangShi" label="资产股权转让的重大关联交易的结算方式" addr="T0R1C8S1_1" appId="_GBC_d3f1f3f5ce564209aee49197432643af"/>
        <m:item xlName="_GBC_8c0fd8d52c8f4f0cbc0f0d85298b1b3c" concept="clcid-ie:GuanLianJiaoYiZhuanRangZiChanHuoDeDeShouYi" label="关联交易转让资产获得的收益" mulRef="_GBC_9ab58a6bf0d047bb8c4fe95fb164156a" unitRef="_GBC_43be71762fbf43aaadff32f2c5570eed" addr="T0R1C9S1_1" formatStyle="Comma" appId="_GBC_d3f1f3f5ce564209aee49197432643af"/>
        <m:item xlName="_GBC_f89ffb9802184f6d8493e4ccd88be20a" concept="clcid-ie:ZiChanGuQuanZhuanRangDeZhongDaGuanLianJiaoYiDuiGongSiJingYingChengGuoHeCaiWuZhuangKuangDeYingXiangQingKuang" label="资产股权转让的重大关联交易对公司经营成果和财务状况的影响情况" addr="T0R1C10S1_1" appId="_GBC_d3f1f3f5ce564209aee49197432643af"/>
        <m:item xlName="_GBC_5d36eedbdc09476abaa10812238a3883" concept="clcid-ie:ZhuanRangJiaGeYuZhangMianJiaZhiHuoPingGuJiaZhiChaYiJiaoDaDeYuanYin" label="转让价格与帐面价值或评估价值差异较大的原因" addr="T0R1C11S1_1" appId="_GBC_d3f1f3f5ce564209aee49197432643af"/>
      </m:tuple>
      <m:item xlName="_GBC_6590e52a53814fbab4167db2a0d6cd77" concept="clcid-ie:ZiChanGuQuanZhuanRangDeZhongDaGuanLianJiaoYiDeShuoMing" label="资产股权转让的重大关联交易的说明" appId="_GBC_d3f1f3f5ce564209aee49197432643af"/>
    </m:section>
    <m:section xlName="_SEC_e17a03ced9e54c92b773a7e185d85bd3" title="涉及业绩约定的，应当披露报告期内的业绩实现情况" helpId="110006003">
      <m:item xlName="_GBC_0640a8fc3526461ca1eed7810b087c23" concept="clcid-ci-ar:ShiFouShiYongSheJiYeJiYueDingDeYingDangPiLuBaoGaoQiNeiDeYeJiShiXianQingKuang" label="是否适用：涉及业绩约定的，应当披露报告期内的业绩实现情况" selectOptions="_buildInAppliance" controlType="CustomCheckbox" cRanges="{&quot;StartName&quot;:&quot;_GBC_0640a8fc3526461ca1eed7810b087c23&quot;,&quot;EndName&quot;:&quot;_GBC_3affd20c6ab742daaad823b4564d30b2&quot;,&quot;CType&quot;:1,&quot;DisplayText&quot;:null}"/>
      <m:item xlName="_GBC_3affd20c6ab742daaad823b4564d30b2" concept="clcid-ie:clcid-ie_SheJiYeJiYueDingDeYingDangPiLuBaoGaoQiNeiDeYeJiShiXianQingKuang" label="涉及业绩约定的，应当披露报告期内的业绩实现情况" appId="_GBC_0640a8fc3526461ca1eed7810b087c23"/>
    </m:section>
    <m:section xlName="_SEC_d9e67609bdab489e985efba8758860bd" title="已在临时公告披露且后续实施无进展或变化的事项" rules="R2015_R5_009" convertSummaryRule="NoConvert" helpId="110006004">
      <m:item xlName="_GBC_dda9192a67f44f8698afb5d0b3e3c767"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dda9192a67f44f8698afb5d0b3e3c767&quot;,&quot;EndName&quot;:&quot;_GBC_25d6069722994d68a3e15b15accd6d5d&quot;,&quot;CType&quot;:1,&quot;DisplayText&quot;:null}"/>
      <m:placeholder xlName="_PLD_10cfd393590040a98ca84969d8fafe24" addr="T0R0C0S1_1"/>
      <m:placeholder xlName="_PLD_576f7fc87417448b9c783c39e628806a" addr="T0R0C1S1_1"/>
      <m:tuple xlName="_TUP_bc44d43b58344667966e60addfdff7e3" concept="clcid-ie:GongTongDuiWaiTouZiFaShengDeGuanLianJiaoYiShiXiangYiZaiLinShiBaoGaoPiLuQieHouXuShiShiWuJinZhanHuoBianHuaDe" default_row="2" addr="T0R1C">
        <m:item xlName="_GBC_b663564f34404143b4e2b54aab91fd93"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dda9192a67f44f8698afb5d0b3e3c767"/>
        <m:item xlName="_GBC_25d6069722994d68a3e15b15accd6d5d"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dda9192a67f44f8698afb5d0b3e3c767"/>
      </m:tuple>
    </m:section>
    <m:section xlName="_SEC_53e4f8cd2c114fb1a1c9d74236ebd2fc" title="已在临时公告披露，但有后续实施的进展或变化的事项" rules="R2015_R5_009" convertSummaryRule="NoConvert" helpId="110006004">
      <m:item xlName="_GBC_f5354c189ecd4cad9ef1e263c325c0db"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f5354c189ecd4cad9ef1e263c325c0db&quot;,&quot;EndName&quot;:&quot;_GBC_12c091332c97456ba0e3554abf44bc76&quot;,&quot;CType&quot;:1,&quot;DisplayText&quot;:null}"/>
      <m:item xlName="_GBC_12c091332c97456ba0e3554abf44bc76" concept="clcid-ie:GongTongDuiWaiTouZiFaShengDeGuanLianJiaoYiShiXiangYiZaiLinShiBaoGaoPiLuHouXuShiShiDeJinZhanHuoBianHua" label="共同对外投资发生的关联交易事项已在临时报告披露，后续实施的进展或变化" appId="_GBC_f5354c189ecd4cad9ef1e263c325c0db"/>
    </m:section>
    <m:section xlName="_SEC_25e347f9cbc546cbafdf30522b654328" title="临时公告未披露的事项" rules="R2015_R5_009" convertSummaryRule="NoConvert" helpId="110006004">
      <m:item xlName="_GBC_3ac28148c3754202ba544078ad581a24"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3ac28148c3754202ba544078ad581a24&quot;,&quot;EndName&quot;:&quot;_GBC_57879614d5864886be398fa462180f23&quot;,&quot;CType&quot;:1,&quot;DisplayText&quot;:null}"/>
      <m:item xlName="_GBC_56669012df974da088e6f407d1f3edef" concept="clcid-ci-ar:DanWeiGongTongDuiWaiTouZiDeZhongDaGuanLianJiaoYi" label="单位：共同对外投资的重大关联交易" selectOptions="_buildInScales" controlType="Combobox" cellType="Scale" appId="_GBC_3ac28148c3754202ba544078ad581a24"/>
      <m:item xlName="_GBC_fdde50aa0b454cd09c8305bd082a4e5d" concept="clcid-ci-ar:BiZhongGongTongDuiWaiTouZiDeZhongDaGuanLianJiaoYi" label="币种：共同对外投资的重大关联交易" selectOptions="_buildInISO4217" controlType="Combobox" cellType="Measure" appId="_GBC_3ac28148c3754202ba544078ad581a24"/>
      <m:placeholder xlName="_PLD_459124f21fc74aebb0e85a37501bcca7" addr="T0R0C0S1_1"/>
      <m:placeholder xlName="_PLD_87bec2ffe6694b2eab702e82869db544" addr="T0R0C1S1_1"/>
      <m:placeholder xlName="_PLD_07c7848292c04394b811bac68c91987f" addr="T0R0C2S1_1"/>
      <m:placeholder xlName="_PLD_32700ca20d6445949b48e99916faac5e" addr="T0R0C3S1_1"/>
      <m:placeholder xlName="_PLD_e9be4e02e8694fedac4fc0beef498147" addr="T0R0C4S1_1"/>
      <m:placeholder xlName="_PLD_b7cad56e5b40416b8e78bb4ddd0c032d" addr="T0R0C5S1_1"/>
      <m:placeholder xlName="_PLD_9a5992e56398496dbb27250544806868" addr="T0R0C6S1_1"/>
      <m:placeholder xlName="_PLD_b62aba7377f1446ba6d83b57a1d44749" addr="T0R0C7S1_1"/>
      <m:placeholder xlName="_PLD_3973b238758e47dd89d7fb6df4d1b30a" addr="T0R0C8S1_1"/>
      <m:tuple xlName="_TUP_67e1cf29193d4f02a6bbbd283b9da6e7" concept="clcid-ie:GongTongDuiWaiTouZiDeZhongDaGuanLianJiaoYi" default_row="2" addr="T0R1C">
        <m:item xlName="_GBC_906bf66e34034d2b939c4016b152b064" concept="clcid-ie:GongTongDuiWaiTouZiDeZhongDaGuanLianJiaoYiDeGuanLianFangMingCheng" label="共同对外投资的重大关联交易的关联方名称" addr="T0R1C0S1_1" appId="_GBC_3ac28148c3754202ba544078ad581a24"/>
        <m:item xlName="_GBC_97c85dd4cd204e8ea5f1b6a9150b0a29" concept="clcid-ie:GongTongDuiWaiTouZiDeZhongDaGuanLianJiaoYiDeGuanLianFangGuanXi" label="共同对外投资的重大关联交易的关联方关系" selectOptions="995b2a43652a4ae6ae31062ffd6294a1" addr="T0R1C1S1_1" controlType="Combobox" appId="_GBC_3ac28148c3754202ba544078ad581a24" checkOption="Ignore"/>
        <m:item xlName="_GBC_b7fac4937b074b9f976e46f485b18318" concept="clcid-ie:BeiTouZiQiYeDeMingCheng" label="被投资企业的名称" addr="T0R1C2S1_1" appId="_GBC_3ac28148c3754202ba544078ad581a24"/>
        <m:item xlName="_GBC_aae3ddbec90842d58431d7b7e23171c7" concept="clcid-ie:BeiTouZiQiYeDeZhuYingYeWu" label="被投资企业的主营业务" addr="T0R1C3S1_1" appId="_GBC_3ac28148c3754202ba544078ad581a24"/>
        <m:item xlName="_GBC_f6f5bd56d181462b8f4d1b30f57fe11b" concept="clcid-ie:BeiTouZiQiYeDeZhuCeZiBen" label="被投资企业的注册资本" mulRef="_GBC_56669012df974da088e6f407d1f3edef" unitRef="_GBC_fdde50aa0b454cd09c8305bd082a4e5d" addr="T0R1C4S1_1" formatStyle="Comma" appId="_GBC_3ac28148c3754202ba544078ad581a24"/>
        <m:item xlName="_GBC_2466a8963b7a42f5b9f7b072310acf77" concept="clcid-ie:BeiTouZiQiYeDeZongZiChan" label="被投资企业的总资产" mulRef="_GBC_56669012df974da088e6f407d1f3edef" unitRef="_GBC_fdde50aa0b454cd09c8305bd082a4e5d" addr="T0R1C5S1_1" formatStyle="Comma" appId="_GBC_3ac28148c3754202ba544078ad581a24"/>
        <m:item xlName="_GBC_0897d99abb69441a849f83e6f5803db7" concept="clcid-ie:BeiTouZiQiYeDeJingZiChan" label="被投资企业的净资产" mulRef="_GBC_56669012df974da088e6f407d1f3edef" unitRef="_GBC_fdde50aa0b454cd09c8305bd082a4e5d" addr="T0R1C6S1_1" formatStyle="Comma" appId="_GBC_3ac28148c3754202ba544078ad581a24"/>
        <m:item xlName="_GBC_8c8f3adcf2744e80b6b208585e7208b6" concept="clcid-ie:BeiTouZiQiYeDeJingLiRun" label="被投资企业的净利润" mulRef="_GBC_56669012df974da088e6f407d1f3edef" unitRef="_GBC_fdde50aa0b454cd09c8305bd082a4e5d" addr="T0R1C7S1_1" formatStyle="Comma" appId="_GBC_3ac28148c3754202ba544078ad581a24"/>
        <m:item xlName="_GBC_4b32906deefd4534a6374ddd94a11474" concept="clcid-ie:BeiTouZiQiYeDeZhongDaZaiJianXiangMuDeJinZhanQingKuang" label="被投资企业的重大在建项目的进展情况" addr="T0R1C8S1_1" appId="_GBC_3ac28148c3754202ba544078ad581a24"/>
      </m:tuple>
      <m:item xlName="_GBC_57879614d5864886be398fa462180f23" concept="clcid-ie:GongTongDuiWaiTouZiDeZhongDaGuanLianJiaoYiDeShuoMing" label="共同对外投资的重大关联交易的说明" appId="_GBC_3ac28148c3754202ba544078ad581a24"/>
    </m:section>
    <m:section xlName="_SEC_2fd4e717dd2949d2b4b4fb580dfce32a" title="已在临时公告披露且后续实施无进展或变化的事项" rules="R2015_R5_009" convertSummaryRule="NoConvert" helpId="110006005">
      <m:item xlName="_GBC_480ccdae6247445ca78cf6327eb0e24f"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480ccdae6247445ca78cf6327eb0e24f&quot;,&quot;EndName&quot;:&quot;_GBC_1dd0e7f3a7834627abaa33b1c6e5e9b5&quot;,&quot;CType&quot;:1,&quot;DisplayText&quot;:null}"/>
      <m:placeholder xlName="_PLD_641b1d616473417fb552300d6ca71fd6" addr="T0R0C0S1_1"/>
      <m:placeholder xlName="_PLD_f3cd8fe278c448b684f454e30de3ca1f" addr="T0R0C1S1_1"/>
      <m:tuple xlName="_TUP_6246e091e442453faab72c85d5135243" concept="clcid-ie:GuanLianZhaiQuanZhaiWuWangLaiShiXiangYiZaiLinShiBaoGaoPiLuQieHouXuShiShiWuJinZhanHuoBianHuaDe" default_row="2" addr="T0R1C">
        <m:item xlName="_GBC_70660166599f4bc4a05b0ae3d78b5d63" concept="clcid-ie:GuanLianZhaiQuanZhaiWuWangLaiShiXiangYiZaiLinShiBaoGaoPiLuQieHouXuShiShiWuJinZhanHuoBianHuaDeShiXiangGaiShu" label="关联债权债务往来事项已在临时报告披露且后续实施无进展或变化的-事项概述" addr="T0R1C0S1_1" appId="_GBC_480ccdae6247445ca78cf6327eb0e24f"/>
        <m:item xlName="_GBC_1dd0e7f3a7834627abaa33b1c6e5e9b5" concept="clcid-ie:GuanLianZhaiQuanZhaiWuWangLaiShiXiangYiZaiLinShiBaoGaoPiLuQieHouXuShiShiWuJinZhanHuoBianHuaDeChaXunSuoYin" label="关联债权债务往来事项已在临时报告披露且后续实施无进展或变化的-查询索引" addr="T0R1C1S1_1" appId="_GBC_480ccdae6247445ca78cf6327eb0e24f"/>
      </m:tuple>
    </m:section>
    <m:section xlName="_SEC_dcb3650518df4296931e576a9d6fdaf3" title="已在临时公告披露，但有后续实施的进展或变化的事项" rules="R2015_R5_009" convertSummaryRule="NoConvert" helpId="110006005">
      <m:item xlName="_GBC_06dcfbbd6aed49aa878ab07a09b2270b"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06dcfbbd6aed49aa878ab07a09b2270b&quot;,&quot;EndName&quot;:&quot;_GBC_06afb9a67e574eb8b4e25332894ac4b6&quot;,&quot;CType&quot;:1,&quot;DisplayText&quot;:null}"/>
      <m:item xlName="_GBC_06afb9a67e574eb8b4e25332894ac4b6" concept="clcid-ie:GuanLianZhaiQuanZhaiWuWangLaiShiXiangYiZaiLinShiBaoGaoPiLuHouXuShiShiDeJinZhanHuoBianHua" label="关联债权债务往来事项已在临时报告披露，后续实施的进展或变化" appId="_GBC_06dcfbbd6aed49aa878ab07a09b2270b"/>
    </m:section>
    <m:section xlName="_SEC_da19abf815bb4e3a97fcb901c6225551" title="临时公告未披露的事项" rules="R2015_R5_009" isPatch="true"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0f4a6802ca704b49a413888379a91f0b" concept="clcid-ci-ar:ShiFouShiYongGuanLianZhaiQuanZhaiWuWangLaiLinShiGongGaoWeiPiLuDeShiXiang" label="是否适用：关联债权债务往来_临时公告未披露的事项" selectOptions="_buildInAppliance" controlType="CustomCheckbox" cRanges="{&quot;StartName&quot;:&quot;_GBC_0f4a6802ca704b49a413888379a91f0b&quot;,&quot;EndName&quot;:&quot;_GBC_b2138a8ac9394b25bf46f17c9daa5a92&quot;,&quot;CType&quot;:1,&quot;DisplayText&quot;:null}"/>
      <m:item xlName="_GBC_3d4746bf1eac4cb78b4d5e8f638c58a7" concept="clcid-ci-ar:DanWeiGuanLianZhaiQuanZhaiWuWangLai" label="单位：关联债权债务往来" selectOptions="_buildInScales" controlType="Combobox" cellType="Scale" appId="_GBC_0f4a6802ca704b49a413888379a91f0b"/>
      <m:item xlName="_GBC_5091a378d0114c298e9441456458f056" concept="clcid-ci-ar:BiZhongGuanLianZhaiQuanZhaiWuWangLai" label="币种：关联债权债务往来" selectOptions="_buildInISO4217" controlType="Combobox" cellType="Measure" appId="_GBC_0f4a6802ca704b49a413888379a91f0b"/>
      <m:placeholder xlName="_PLD_a03ab7dba8d64a3988ed93cc7ea7faec" addr="T0R0C0S2_1"/>
      <m:placeholder xlName="_PLD_fd7d9e6d29544e1f819ac61e5ffc7800" addr="T0R0C1S2_1"/>
      <m:placeholder xlName="_PLD_ab475f26ae1346059edb39a2aa01b7a0" addr="T0R0C2S1_3"/>
      <m:placeholder xlName="_PLD_563c35dec57c48f3b46f1f62e335b927" addr="T0R0C5S1_3"/>
      <m:placeholder xlName="_PLD_84c4eb576c0841edbba1a279db4bece5" addr="T0R1C2S1_1"/>
      <m:placeholder xlName="_PLD_a0465b18c711498aacc6643f88ec2071" addr="T0R1C3S1_1"/>
      <m:placeholder xlName="_PLD_50c7dd7dd5804b108bed028ac898954a" addr="T0R1C4S1_1"/>
      <m:placeholder xlName="_PLD_c6512bddd9054caeb41c5dab753be8c6" addr="T0R1C5S1_1"/>
      <m:placeholder xlName="_PLD_121e88852b0f4d04b04977cd52578513" addr="T0R1C6S1_1"/>
      <m:placeholder xlName="_PLD_656f31b560d642bdb30b1a1db50f1150" addr="T0R1C7S1_1"/>
      <m:tuple xlName="_TUP_6bcf9c3a79e549839fd3bf2cfdd9967e" concept="clcid-ie:GuanLianZhaiQuanZhaiWuWangLai" default_row="2" addr="T0R2C">
        <m:item xlName="_GBC_e2a25924cb6d4fdd9d1bf7bebc154722" concept="clcid-ie:GuanLianZhaiQuanZhaiWuWangLaiDeGuanLianFangMingCheng" label="关联债权债务往来的关联方名称" addr="T0R2C0S1_1" cellConvertType="1" appId="_GBC_0f4a6802ca704b49a413888379a91f0b"/>
        <m:item xlName="_GBC_679285fa5ad84826afdcbe28cc1f1421" concept="clcid-ie:GuanLianZhaiQuanZhaiWuWangLaiDeGuanLianFangGuanXi" label="关联债权债务往来的关联方关系" selectOptions="995b2a43652a4ae6ae31062ffd6294a1" addr="T0R2C1S1_1" controlType="Combobox" appId="_GBC_0f4a6802ca704b49a413888379a91f0b" checkOption="Ignore"/>
        <m:item xlName="_GBC_9698a79821e14e9cb1c203a6681f2d8c" concept="clcid-ie:XiangGuanLianFangTiGongZiJinYuE" label="向关联方提供资金余额" periodRef="本期期初数" mulRef="_GBC_3d4746bf1eac4cb78b4d5e8f638c58a7" unitRef="_GBC_5091a378d0114c298e9441456458f056" addr="T0R2C2S1_1" formatStyle="Comma" appId="_GBC_0f4a6802ca704b49a413888379a91f0b"/>
        <m:item xlName="_GBC_b0cf833c6ba74c879a0993833319c5ae" concept="clcid-ie:XiangGuanLianFangTiGongZiJinFaShengE" label="向关联方提供资金发生额" mulRef="_GBC_3d4746bf1eac4cb78b4d5e8f638c58a7" unitRef="_GBC_5091a378d0114c298e9441456458f056" addr="T0R2C3S1_1" formatStyle="Comma" appId="_GBC_0f4a6802ca704b49a413888379a91f0b"/>
        <m:item xlName="_GBC_f07f2f336c0e49b6bab9cb1afd6a5c99" concept="clcid-ie:XiangGuanLianFangTiGongZiJinYuE" label="向关联方提供资金余额" mulRef="_GBC_3d4746bf1eac4cb78b4d5e8f638c58a7" unitRef="_GBC_5091a378d0114c298e9441456458f056" addr="T0R2C4S1_1" formatStyle="Comma" appId="_GBC_0f4a6802ca704b49a413888379a91f0b"/>
        <m:item xlName="_GBC_20632358763e4e5d8912f35a6d7bb7b8" concept="clcid-ie:GuanLianFangXiangShangShiGongSiTiGongZiJinYuE" label="关联方向上市公司提供资金余额" periodRef="本期期初数" mulRef="_GBC_3d4746bf1eac4cb78b4d5e8f638c58a7" unitRef="_GBC_5091a378d0114c298e9441456458f056" addr="T0R2C5S1_1" formatStyle="Comma" appId="_GBC_0f4a6802ca704b49a413888379a91f0b"/>
        <m:item xlName="_GBC_14b2c1dd0fdf45cdad4d1506ac8844cc" concept="clcid-ie:GuanLianFangXiangShangShiGongSiTiGongZiJinFaShengE" label="关联方向上市公司提供资金发生额" mulRef="_GBC_3d4746bf1eac4cb78b4d5e8f638c58a7" unitRef="_GBC_5091a378d0114c298e9441456458f056" addr="T0R2C6S1_1" formatStyle="Comma" appId="_GBC_0f4a6802ca704b49a413888379a91f0b"/>
        <m:item xlName="_GBC_ceae9772c5504f35a15a7ac08517a616" concept="clcid-ie:GuanLianFangXiangShangShiGongSiTiGongZiJinYuE" label="关联方向上市公司提供资金余额" mulRef="_GBC_3d4746bf1eac4cb78b4d5e8f638c58a7" unitRef="_GBC_5091a378d0114c298e9441456458f056" addr="T0R2C7S1_1" formatStyle="Comma" appId="_GBC_0f4a6802ca704b49a413888379a91f0b"/>
      </m:tuple>
      <m:placeholder xlName="_PLD_4e6e1213c0fd4d7ea9bcbd8c87bfc6f1" addr="T0R4C0S1_2"/>
      <m:item xlName="_GBC_4d3ef239a3ac42859863597fefdf72b4" concept="clcid-ie:XiangGuanLianFangTiGongZiJinYuEHeJi" label="向关联方提供资金余额合计" periodRef="本期期初数" mulRef="_GBC_3d4746bf1eac4cb78b4d5e8f638c58a7" unitRef="_GBC_5091a378d0114c298e9441456458f056" addr="T0R4C2S1_1" formatStyle="Comma" appId="_GBC_0f4a6802ca704b49a413888379a91f0b"/>
      <m:item xlName="_GBC_82ce42e3b51742f3ba2e5bd8d6357350" concept="clcid-ie:XiangGuanLianFangTiGongZiJinFaShengEHeJi" label="向关联方提供资金发生额合计" mulRef="_GBC_3d4746bf1eac4cb78b4d5e8f638c58a7" unitRef="_GBC_5091a378d0114c298e9441456458f056" addr="T0R4C3S1_1" formatStyle="Comma" appId="_GBC_0f4a6802ca704b49a413888379a91f0b"/>
      <m:item xlName="_GBC_c00bf6a72204447f9dbeb72cf98862ca" concept="clcid-ie:XiangGuanLianFangTiGongZiJinYuEHeJi" label="向关联方提供资金余额合计" mulRef="_GBC_3d4746bf1eac4cb78b4d5e8f638c58a7" unitRef="_GBC_5091a378d0114c298e9441456458f056" addr="T0R4C4S1_1" formatStyle="Comma" appId="_GBC_0f4a6802ca704b49a413888379a91f0b"/>
      <m:item xlName="_GBC_1131bfae40f744909ef498bc65e5871b" concept="clcid-ie:GuanLianFangXiangShangShiGongSiTiGongZiJinYuEHeJi" label="关联方向上市公司提供资金余额合计" periodRef="本期期初数" mulRef="_GBC_3d4746bf1eac4cb78b4d5e8f638c58a7" unitRef="_GBC_5091a378d0114c298e9441456458f056" addr="T0R4C5S1_1" formatStyle="Comma" appId="_GBC_0f4a6802ca704b49a413888379a91f0b"/>
      <m:item xlName="_GBC_486634c3cb114df7a557aa81969e3100" concept="clcid-ie:GuanLianFangXiangShangShiGongSiTiGongZiJinFaShengEHeJi" label="关联方向上市公司提供资金发生额合计" mulRef="_GBC_3d4746bf1eac4cb78b4d5e8f638c58a7" unitRef="_GBC_5091a378d0114c298e9441456458f056" addr="T0R4C6S1_1" formatStyle="Comma" appId="_GBC_0f4a6802ca704b49a413888379a91f0b"/>
      <m:item xlName="_GBC_16208e9d466f478aa8f548c7afc4d157" concept="clcid-ie:GuanLianFangXiangShangShiGongSiTiGongZiJinYuEHeJi" label="关联方向上市公司提供资金余额合计" mulRef="_GBC_3d4746bf1eac4cb78b4d5e8f638c58a7" unitRef="_GBC_5091a378d0114c298e9441456458f056" addr="T0R4C7S1_1" formatStyle="Comma" appId="_GBC_0f4a6802ca704b49a413888379a91f0b"/>
      <m:placeholder xlName="_PLD_0ae9b8c1a1764adf98d6d650be3ad229" addr="T0R5C0S1_2"/>
      <m:item xlName="_GBC_141c258ed4aa4884a97b463a1d5233eb" concept="clcid-ie:GuanLianZhaiQuanZhaiWuXingChengYuanYin" label="关联债权债务形成原因" addr="T0R5C2S1_6" appId="_GBC_0f4a6802ca704b49a413888379a91f0b"/>
      <m:placeholder xlName="_PLD_824080e643bb4ac580353d38c3323862" addr="T0R6C0S1_2"/>
      <m:item xlName="_GBC_b2138a8ac9394b25bf46f17c9daa5a92" concept="clcid-ie:GuanLianZhaiQuanZhaiWuDuiGongSiJingYingChengGuoJiCaiWuZhuangKuangDeYingXiang" label="关联债权债务对公司经营成果及财务状况的影响" addr="T0R6C2S1_6" appId="_GBC_0f4a6802ca704b49a413888379a91f0b"/>
    </m:section>
    <m:item xlName="_GBC_c30997f4333b40188cc0fac7a38dd28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c30997f4333b40188cc0fac7a38dd28c&quot;,&quot;EndName&quot;:&quot;_SEC_b5832e4aefc7433cbab1450be0623b47&quot;,&quot;CType&quot;:1}]"/>
    <m:section xlName="_SEC_2382ae18fad74080a249e80b390146a1" title="存款业务" helpId="110002103">
      <m:item xlName="_GBC_4db272e760df4a7bb2ec9892acb60354" concept="clcid-ci-ar:ShiFouShiYongCunKuanYeWu" label="是否适用：存款业务" selectOptions="_buildInAppliance" controlType="CustomCheckbox" cRanges="[{&quot;StartName&quot;:&quot;_GBC_4db272e760df4a7bb2ec9892acb60354&quot;,&quot;EndName&quot;:&quot;_GBC_4f74c5cbcf06407ba21cc5232dbe3a00&quot;,&quot;CType&quot;:1}]"/>
      <m:item xlName="_GBC_213f279c04274c64a06bfb69108097f4" concept="clcid-ci-ar:DanWeiCunKuanYeWuQingKuang" label="单位：存款业务情况" selectOptions="_buildInScales" controlType="Combobox" cellType="Scale" appId="_GBC_4db272e760df4a7bb2ec9892acb60354"/>
      <m:item xlName="_GBC_4faf01cd033b49898aa71a320f0544b7" concept="clcid-ci-ar:BiZhongCunKuanYeWuQingKuang" label="币种：存款业务情况" selectOptions="_buildInISO4217" controlType="Combobox" cellType="Measure" appId="_GBC_4db272e760df4a7bb2ec9892acb60354"/>
      <m:placeholder xlName="_PLD_a3709ad283e8429bb132259547df7310" addr="T0R0C0S1_1"/>
      <m:placeholder xlName="_PLD_d0ef9d43912549da8c6b8d427cbaf3b3" addr="T0R0C1S1_1"/>
      <m:placeholder xlName="_PLD_e78b74555ae44188abc79e0e4eaa9e17" addr="T0R0C2S1_1"/>
      <m:placeholder xlName="_PLD_332a2c0bf0de482aa83edb1398fab408" addr="T0R0C3S1_1"/>
      <m:placeholder xlName="_PLD_b2d17788a2bc42e58316ff51585d740f" addr="T0R0C4S1_1"/>
      <m:placeholder xlName="_PLD_b6725b24c612477b82574a7e3f3f68ed" addr="T0R0C5S1_1"/>
      <m:placeholder xlName="_PLD_5552f33027a741c1917f30f911169c3e" addr="T0R0C6S1_1"/>
      <m:tuple xlName="_TUP_7b26ab2dd6da41b49ec12a18e7d55563" concept="clcid-ie:CunKuanYeWuQingKuang" default_row="2" addr="T0R1C">
        <m:item xlName="_GBC_f29e4375e3b84b688ed3a8d74d0f6877" concept="clcid-ie:CunKuanYeWuQingKuangMingXiGuanLianFang" label="存款业务情况明细_关联方" addr="T0R1C0S1_1" appId="_GBC_4db272e760df4a7bb2ec9892acb60354"/>
        <m:item xlName="_GBC_516e3f7b48604823b078f2aec4eaae65" concept="clcid-ie:CunKuanYeWuQingKuangMingXiGuanLianGuanXi" label="存款业务情况明细_关联关系" addr="T0R1C1S1_1" appId="_GBC_4db272e760df4a7bb2ec9892acb60354"/>
        <m:item xlName="_GBC_b1ff1f1b8b814a6a917902303b357d62" concept="clcid-ie:CunKuanYeWuQingKuangMingXiMeiRiZuiGaoCunKuanXianE" label="存款业务情况明细_每日最高存款限额" addr="T0R1C2S1_1" appId="_GBC_4db272e760df4a7bb2ec9892acb60354"/>
        <m:item xlName="_GBC_715e0ca30a7446d69256f787a5433531" concept="clcid-ie:CunKuanYeWuQingKuangMingXiCunKuanLiLvFanWei" label="存款业务情况明细_存款利率范围" addr="T0R1C3S1_1" appId="_GBC_4db272e760df4a7bb2ec9892acb60354"/>
        <m:item xlName="_GBC_75348cb72fe14cb7a169eadecc726513" concept="clcid-ie:CunKuanYeWuQingKuangMingXiYuE" label="存款业务情况明细_余额" periodRef="本期期初数" mulRef="_GBC_213f279c04274c64a06bfb69108097f4" unitRef="_GBC_4faf01cd033b49898aa71a320f0544b7" addr="T0R1C4S1_1" formatStyle="Comma" appId="_GBC_4db272e760df4a7bb2ec9892acb60354"/>
        <m:item xlName="_GBC_a1a69084aaea43e0bf21cd210257dc77" concept="clcid-ie:CunKuanYeWuQingKuangMingXiFaShengE" label="存款业务情况明细_发生额" mulRef="_GBC_213f279c04274c64a06bfb69108097f4" unitRef="_GBC_4faf01cd033b49898aa71a320f0544b7" addr="T0R1C5S1_1" formatStyle="Comma" appId="_GBC_4db272e760df4a7bb2ec9892acb60354"/>
        <m:item xlName="_GBC_ca24bee26dc24a81b4f3dff8786da2be" concept="clcid-ie:CunKuanYeWuQingKuangMingXiYuE" label="存款业务情况明细_余额" mulRef="_GBC_213f279c04274c64a06bfb69108097f4" unitRef="_GBC_4faf01cd033b49898aa71a320f0544b7" addr="T0R1C6S1_1" formatStyle="Comma" appId="_GBC_4db272e760df4a7bb2ec9892acb60354"/>
      </m:tuple>
      <m:placeholder xlName="_PLD_b4859e9c6cc04901ace567f75416b120" addr="T0R3C0S1_1"/>
      <m:item xlName="_GBC_567347f226ed4c70b217f2abd0abae9b" concept="clcid-ie:CunKuanYeWuQingKuangYuEHeJi" label="存款业务情况_余额合计" periodRef="本期期初数" mulRef="_GBC_213f279c04274c64a06bfb69108097f4" unitRef="_GBC_4faf01cd033b49898aa71a320f0544b7" addr="T0R3C4S1_1" formatStyle="Comma" appId="_GBC_4db272e760df4a7bb2ec9892acb60354"/>
      <m:item xlName="_GBC_f443e84262b74f4495ef9816796b99aa" concept="clcid-ie:CunKuanYeWuQingKuangFaShengEHeJi" label="存款业务情况_发生额合计" mulRef="_GBC_213f279c04274c64a06bfb69108097f4" unitRef="_GBC_4faf01cd033b49898aa71a320f0544b7" addr="T0R3C5S1_1" formatStyle="Comma" appId="_GBC_4db272e760df4a7bb2ec9892acb60354"/>
      <m:item xlName="_GBC_4f74c5cbcf06407ba21cc5232dbe3a00" concept="clcid-ie:CunKuanYeWuQingKuangYuEHeJi" label="存款业务情况_余额合计" mulRef="_GBC_213f279c04274c64a06bfb69108097f4" unitRef="_GBC_4faf01cd033b49898aa71a320f0544b7" addr="T0R3C6S1_1" formatStyle="Comma" appId="_GBC_4db272e760df4a7bb2ec9892acb60354"/>
    </m:section>
    <m:section xlName="_SEC_17df1739f93e4548a2d2fecf6d4bb78e" title="贷款业务" helpId="110002103">
      <m:item xlName="_GBC_51b95e3c952f498e9843e1f479baa1a6" concept="clcid-ci-ar:ShiFouShiYongDaiKuanYeWu" label="是否适用：贷款业务" selectOptions="_buildInAppliance" controlType="CustomCheckbox" cRanges="[{&quot;StartName&quot;:&quot;_GBC_51b95e3c952f498e9843e1f479baa1a6&quot;,&quot;EndName&quot;:&quot;_GBC_a0dc15b5a9f649439218211b6000d9c2&quot;,&quot;CType&quot;:1}]"/>
      <m:item xlName="_GBC_02645e8aced948e6ac14fbbbb7e95366" concept="clcid-ci-ar:DanWeiDaiKuanYeWuQingKuang" label="单位：贷款业务情况" selectOptions="_buildInScales" controlType="Combobox" cellType="Scale" appId="_GBC_51b95e3c952f498e9843e1f479baa1a6"/>
      <m:item xlName="_GBC_3ab73b80f98f4d2da570c4efea9401b4" concept="clcid-ci-ar:BiZhongDaiKuanYeWuQingKuang" label="币种：贷款业务情况" selectOptions="_buildInISO4217" controlType="Combobox" cellType="Measure" appId="_GBC_51b95e3c952f498e9843e1f479baa1a6"/>
      <m:placeholder xlName="_PLD_83fc05ba47314e03a90ffcf7aefac008" addr="T0R0C0S1_1"/>
      <m:placeholder xlName="_PLD_43c960b01b15488891e2475f593938fc" addr="T0R0C1S1_1"/>
      <m:placeholder xlName="_PLD_b5103435c0e24b7394b971b65ae833ac" addr="T0R0C2S1_1"/>
      <m:placeholder xlName="_PLD_dce56a4b70014ad1b7a2d7fe9a2bfb5a" addr="T0R0C3S1_1"/>
      <m:placeholder xlName="_PLD_f4c6688a1de24d29b43135973c671294" addr="T0R0C4S1_1"/>
      <m:placeholder xlName="_PLD_467baac8839f407586639c6430f9246d" addr="T0R0C5S1_1"/>
      <m:placeholder xlName="_PLD_3ab51b00db77457da63d1e5a06349fc5" addr="T0R0C6S1_1"/>
      <m:tuple xlName="_TUP_e266d621692842949ef0b96e3e34a357" concept="clcid-ie:DaiKuanYeWuQingKuang" default_row="2" addr="T0R1C">
        <m:item xlName="_GBC_b04d7a7fb98f4e79826f21432c695887" concept="clcid-ie:DaiKuanYeWuQingKuangMingXiGuanLianFang" label="贷款业务情况明细_关联方" addr="T0R1C0S1_1" appId="_GBC_51b95e3c952f498e9843e1f479baa1a6"/>
        <m:item xlName="_GBC_1f3a8e0509c54655b2a2faed5e8f98f0" concept="clcid-ie:DaiKuanYeWuQingKuangMingXiGuanLianGuanXi" label="贷款业务情况明细_关联关系" addr="T0R1C1S1_1" appId="_GBC_51b95e3c952f498e9843e1f479baa1a6"/>
        <m:item xlName="_GBC_b4207109ee8942219c235d722a57c21b" concept="clcid-ie:DaiKuanYeWuQingKuangMingXiDaiKuanEDu" label="贷款业务情况明细_贷款额度" addr="T0R1C2S1_1" appId="_GBC_51b95e3c952f498e9843e1f479baa1a6"/>
        <m:item xlName="_GBC_238da0db88aa4091a30554d6e52c5b62" concept="clcid-ie:DaiKuanYeWuQingKuangMingXiDaiKuanLiLvFanWei" label="贷款业务情况明细_贷款利率范围" addr="T0R1C3S1_1" appId="_GBC_51b95e3c952f498e9843e1f479baa1a6"/>
        <m:item xlName="_GBC_a8606ac72cec4789a82657a6bd5411d0" concept="clcid-ie:DaiKuanYeWuQingKuangMingXiYuE" label="贷款业务情况明细_余额" periodRef="本期期初数" mulRef="_GBC_02645e8aced948e6ac14fbbbb7e95366" unitRef="_GBC_3ab73b80f98f4d2da570c4efea9401b4" addr="T0R1C4S1_1" formatStyle="Comma" appId="_GBC_51b95e3c952f498e9843e1f479baa1a6"/>
        <m:item xlName="_GBC_c76d838ffe594db8a808413ebbf0e369" concept="clcid-ie:DaiKuanYeWuQingKuangMingXiFaShengE" label="贷款业务情况明细_发生额" mulRef="_GBC_02645e8aced948e6ac14fbbbb7e95366" unitRef="_GBC_3ab73b80f98f4d2da570c4efea9401b4" addr="T0R1C5S1_1" formatStyle="Comma" appId="_GBC_51b95e3c952f498e9843e1f479baa1a6"/>
        <m:item xlName="_GBC_53a15b5d0c9242f1bc4208a085d820f9" concept="clcid-ie:DaiKuanYeWuQingKuangMingXiYuE" label="贷款业务情况明细_余额" mulRef="_GBC_02645e8aced948e6ac14fbbbb7e95366" unitRef="_GBC_3ab73b80f98f4d2da570c4efea9401b4" addr="T0R1C6S1_1" formatStyle="Comma" appId="_GBC_51b95e3c952f498e9843e1f479baa1a6"/>
      </m:tuple>
      <m:placeholder xlName="_PLD_f25ac3ea0baa4ab1979f282cf6276783" addr="T0R3C0S1_1"/>
      <m:item xlName="_GBC_06adcbeca39e49588a27ff9537f02750" concept="clcid-ie:DaiKuanYeWuQingKuangYuEHeJi" label="贷款业务情况_余额合计" periodRef="本期期初数" mulRef="_GBC_02645e8aced948e6ac14fbbbb7e95366" unitRef="_GBC_3ab73b80f98f4d2da570c4efea9401b4" addr="T0R3C4S1_1" formatStyle="Comma" appId="_GBC_51b95e3c952f498e9843e1f479baa1a6"/>
      <m:item xlName="_GBC_3174e6b4e53f48f0979f698c973130e1" concept="clcid-ie:DaiKuanYeWuQingKuangFaShengEHeJi" label="贷款业务情况_发生额合计" mulRef="_GBC_02645e8aced948e6ac14fbbbb7e95366" unitRef="_GBC_3ab73b80f98f4d2da570c4efea9401b4" addr="T0R3C5S1_1" formatStyle="Comma" appId="_GBC_51b95e3c952f498e9843e1f479baa1a6"/>
      <m:item xlName="_GBC_a0dc15b5a9f649439218211b6000d9c2" concept="clcid-ie:DaiKuanYeWuQingKuangYuEHeJi" label="贷款业务情况_余额合计" mulRef="_GBC_02645e8aced948e6ac14fbbbb7e95366" unitRef="_GBC_3ab73b80f98f4d2da570c4efea9401b4" addr="T0R3C6S1_1" formatStyle="Comma" appId="_GBC_51b95e3c952f498e9843e1f479baa1a6"/>
    </m:section>
    <m:section xlName="_SEC_ca29c177521a45cda33b2f0c7c71ccd8" title="授信业务或其他金融业务" helpId="110002103">
      <m:item xlName="_GBC_4291c903ccc7426dadf139fa8fe7a872" concept="clcid-ci-ar:ShiFouShiYongShouXinYeWuHuoQiTaJinRongYeWu" label="是否适用：授信业务或其他金融业务" selectOptions="_buildInAppliance" controlType="CustomCheckbox" cRanges="[{&quot;StartName&quot;:&quot;_GBC_4291c903ccc7426dadf139fa8fe7a872&quot;,&quot;EndName&quot;:&quot;_GBC_640372d503344b30831b376d740a6f0b&quot;,&quot;CType&quot;:1}]"/>
      <m:item xlName="_GBC_79ee1cbe2ded4824b3810938837666f5" concept="clcid-ci-ar:DanWeiShouXinYeWuHuoQiTaJinRongYeWu" label="单位：授信业务或其他金融业务" selectOptions="_buildInScales" controlType="Combobox" cellType="Scale" appId="_GBC_4291c903ccc7426dadf139fa8fe7a872"/>
      <m:item xlName="_GBC_254d979bb3c9414b8b20076f620cb243" concept="clcid-ci-ar:BiZhongShouXinYeWuHuoQiTaJinRongYeWu" label="币种：授信业务或其他金融业务" selectOptions="_buildInISO4217" controlType="Combobox" cellType="Measure" appId="_GBC_4291c903ccc7426dadf139fa8fe7a872"/>
      <m:placeholder xlName="_PLD_f41b2787347e400ea9e7b63c3c98f200" addr="T0R0C0S1_1"/>
      <m:placeholder xlName="_PLD_f09a3f7cfd014953bee49823c760ead1" addr="T0R0C1S1_1"/>
      <m:placeholder xlName="_PLD_13103cda66ac4bb290ed75ae459229b2" addr="T0R0C2S1_1"/>
      <m:placeholder xlName="_PLD_762212cb1ffd4a9a967df13605eef134" addr="T0R0C3S1_1"/>
      <m:placeholder xlName="_PLD_50edb5162a8a47078adcc9cc5100e132" addr="T0R0C4S1_1"/>
      <m:tuple xlName="_TUP_62a4a589104e486d85119acba9643134" concept="clcid-ie:ShouXinYeWuHuoQiTaJinRongYeWu" default_row="2" addr="T0R1C">
        <m:item xlName="_GBC_766be84bf1464604ab70678d5c997c2e" concept="clcid-ie:ShouXinYeWuHuoQiTaJinRongYeWuMingXiGuanLianFang" label="授信业务或其他金融业务明细_关联方" addr="T0R1C0S1_1" appId="_GBC_4291c903ccc7426dadf139fa8fe7a872"/>
        <m:item xlName="_GBC_e427070a90504e19b2f227fb40f1b0c3" concept="clcid-ie:ShouXinYeWuHuoQiTaJinRongYeWuMingXiGuanLianGuanXi" label="授信业务或其他金融业务明细_关联关系" addr="T0R1C1S1_1" appId="_GBC_4291c903ccc7426dadf139fa8fe7a872"/>
        <m:item xlName="_GBC_81c00b657503404e90b8781118fd83ab" concept="clcid-ie:ShouXinYeWuHuoQiTaJinRongYeWuMingXiYeWuLeiXing" label="授信业务或其他金融业务明细_业务类型" addr="T0R1C2S1_1" appId="_GBC_4291c903ccc7426dadf139fa8fe7a872"/>
        <m:item xlName="_GBC_8fd37c71686d41d6a221c4eabac60e5c" concept="clcid-ie:ShouXinYeWuHuoQiTaJinRongYeWuMingXiZongE" label="授信业务或其他金融业务明细_总额" mulRef="_GBC_79ee1cbe2ded4824b3810938837666f5" unitRef="_GBC_254d979bb3c9414b8b20076f620cb243" addr="T0R1C3S1_1" formatStyle="Comma" appId="_GBC_4291c903ccc7426dadf139fa8fe7a872"/>
        <m:item xlName="_GBC_640372d503344b30831b376d740a6f0b" concept="clcid-ie:ShouXinYeWuHuoQiTaJinRongYeWuMingXiShiJiFaShengE" label="授信业务或其他金融业务明细_实际发生额" mulRef="_GBC_79ee1cbe2ded4824b3810938837666f5" unitRef="_GBC_254d979bb3c9414b8b20076f620cb243" addr="T0R1C4S1_1" formatStyle="Comma" appId="_GBC_4291c903ccc7426dadf139fa8fe7a872"/>
      </m:tuple>
    </m:section>
    <m:section xlName="_SEC_b5832e4aefc7433cbab1450be0623b47" title="其他说明">
      <m:item xlName="_GBC_28e3b1382d804f748f8d62349d0ffca2" concept="clcid-ci-ar:ShiFouShiYongGongSiYuCunZaiGuanLianGuanXiDeCaiWuGongSiGongSiKongGuCaiWuGongSiYuGuanLianFangZhiJianDeJinRongYeWuDeQiTaShuoMing" label="是否适用：公司与存在关联关系的财务公司、公司控股财务公司与关联方之间的金融业务的其他说明" selectOptions="_buildInAppliance" controlType="CustomCheckbox" cRanges="[{&quot;StartName&quot;:&quot;_GBC_28e3b1382d804f748f8d62349d0ffca2&quot;,&quot;EndName&quot;:&quot;_GBC_01cd085d047d42938f75fb16f9825000&quot;,&quot;CType&quot;:1}]"/>
      <m:item xlName="_GBC_01cd085d047d42938f75fb16f9825000" concept="clcid-ie:GongSiYuCunZaiGuanLianGuanXiDeCaiWuGongSiGongSiKongGuCaiWuGongSiYuGuanLianFangZhiJianDeJinRongYeWuDeQiTaShuoMing" label="公司与存在关联关系的财务公司、公司控股财务公司与关联方之间的金融业务的其他说明" appId="_GBC_28e3b1382d804f748f8d62349d0ffca2"/>
    </m:section>
    <m:section xlName="_SEC_d0d528034450466db3d12315559a161a" title="(五) 其他重大关联交易" rules="R2015_R5_009" helpId="104002007">
      <m:item xlName="_GBC_7dd39ac420a244dcb8ea88c29ac07190" concept="clcid-ci-ar:ShiFouShiYongZhongDaGuanLianJiaoYiQiTaShuoMing" label="是否适用：重大关联交易其他说明" selectOptions="_buildInAppliance" controlType="CustomCheckbox" cRanges="{&quot;StartName&quot;:&quot;_GBC_7dd39ac420a244dcb8ea88c29ac07190&quot;,&quot;EndName&quot;:&quot;_GBC_9ac4ce3ff18a48b3ae438340435694a0&quot;,&quot;CType&quot;:1,&quot;DisplayText&quot;:null}"/>
      <m:item xlName="_GBC_9ac4ce3ff18a48b3ae438340435694a0" concept="clcid-ie:QiTaZhongYaoGuanLianJiaoYi" label="其他重要关联交易" appId="_GBC_7dd39ac420a244dcb8ea88c29ac07190"/>
    </m:section>
    <m:section xlName="_SEC_94b5dc0c50e04cae8442e9675bd15742" title="其他">
      <m:item xlName="_GBC_272061194cde466a9c566f0881c76d0d" concept="clcid-ci-ar:ShiFouShiYongZhongDaGuanLianJiaoYiShiXiangQiTaBuChongShuoMing" label="是否适用：重大关联交易事项其他补充说明" selectOptions="_buildInAppliance" controlType="CustomCheckbox" cRanges="{&quot;StartName&quot;:&quot;_GBC_272061194cde466a9c566f0881c76d0d&quot;,&quot;EndName&quot;:&quot;_GBC_d7e81bf863d04b53907fa1dfe08e9124&quot;,&quot;CType&quot;:1,&quot;DisplayText&quot;:null}"/>
      <m:item xlName="_GBC_d7e81bf863d04b53907fa1dfe08e9124" concept="clcid-ie:ZhongDaGuanLianJiaoYiShiXiangQiTaBuChongShuoMing" label="重大关联交易事项其他补充说明" appId="_GBC_272061194cde466a9c566f0881c76d0d"/>
    </m:section>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item xlName="_GBC_5f311928e67641ecb22c63cf8ecda62c" concept="clcid-ci-ar:ShiFouShiYongTuoGuanQingKuang" label="是否适用：托管情况" selectOptions="_buildInAppliance" controlType="CustomCheckbox" cRanges="{&quot;StartName&quot;:&quot;_GBC_5f311928e67641ecb22c63cf8ecda62c&quot;,&quot;EndName&quot;:&quot;_GBC_5eed16ec393348da89b5ea8bfec68130&quot;,&quot;CType&quot;:1,&quot;DisplayText&quot;:null}"/>
      <m:item xlName="_GBC_074fed5597514114ab85d136245235ba" concept="clcid-ci-ar:DanWeiTuoGuanQingKuang" label="单位：托管情况" selectOptions="_buildInScales" controlType="Combobox" cellType="Scale" appId="_GBC_daed561e68674d828a348a97bffbc154"/>
      <m:item xlName="_GBC_152c8298ced347eb9e48f1314b94ca0f" concept="clcid-ci-ar:BiZhongTuoGuanQingKuang" label="币种：托管情况" selectOptions="_buildInISO4217" controlType="Combobox" cellType="Measure" appId="_GBC_daed561e68674d828a348a97bffbc154"/>
      <m:placeholder xlName="_PLD_fcd07b9b2b194ebba67dfcab4ee60ab1" addr="T0R0C0S1_1"/>
      <m:placeholder xlName="_PLD_81ac11c89b33491cbeda1bd793e0422d" addr="T0R0C1S1_1"/>
      <m:placeholder xlName="_PLD_68bd90f498ee4185aa81bf3f8706f2f6" addr="T0R0C2S1_1"/>
      <m:placeholder xlName="_PLD_a41ab99ae2b84bc381cbf3f2aeffae9e" addr="T0R0C3S1_1"/>
      <m:placeholder xlName="_PLD_83e56192e6fb4063ac6daeca59f07ecf" addr="T0R0C4S1_1"/>
      <m:placeholder xlName="_PLD_f4fd4bca8a404904844f88fe93aa433d" addr="T0R0C5S1_1"/>
      <m:placeholder xlName="_PLD_e17e764bd7324555a25f89003e7bafdb" addr="T0R0C6S1_1"/>
      <m:placeholder xlName="_PLD_10470f65493b4afba8cdee6138d52e9b" addr="T0R0C7S1_1"/>
      <m:placeholder xlName="_PLD_6c27ebfece354472b693a7011dcc34c0" addr="T0R0C8S1_1"/>
      <m:placeholder xlName="_PLD_c9564edabc8b44b8a95cde135adf232b" addr="T0R0C9S1_1"/>
      <m:placeholder xlName="_PLD_014683419e4546998e86b66fb4ced004" addr="T0R0C10S1_1"/>
      <m:tuple xlName="_TUP_e35c8bff47a64ce49890442d97a6a1f8" concept="clcid-ie:TuoGuanQingKuang" default_row="2" addr="T0R1C">
        <m:item xlName="_GBC_02d05c1907be418ca04cda262ace115d" concept="clcid-ie:WeiTuoFangMingCheng" label="委托方名称" addr="T0R1C0S1_1" cellConvertType="1" appId="_GBC_5f311928e67641ecb22c63cf8ecda62c"/>
        <m:item xlName="_GBC_8f40652329d1426f8af490b0eb1b9e38" concept="clcid-ie:ShouTuoFangMingCheng" label="受托方名称" addr="T0R1C1S1_1" appId="_GBC_5f311928e67641ecb22c63cf8ecda62c"/>
        <m:item xlName="_GBC_8e9fb889128d44e7914087cb929c55db" concept="clcid-ie:TuoGuanZiChanQingKuang" label="托管资产情况" addr="T0R1C2S1_1" appId="_GBC_5f311928e67641ecb22c63cf8ecda62c"/>
        <m:item xlName="_GBC_1506a8634e5243059224bcfa38401946" concept="clcid-ie:TuoGuanZiChanSheJiJinE" label="托管资产涉及金额" mulRef="_GBC_074fed5597514114ab85d136245235ba" unitRef="_GBC_152c8298ced347eb9e48f1314b94ca0f" addr="T0R1C3S1_1" formatStyle="Comma" appId="_GBC_5f311928e67641ecb22c63cf8ecda62c"/>
        <m:item xlName="_GBC_4e4a4cdcf1e347b9bdb0b533e60fc2f1" concept="clcid-ie:TuoGuanQiShiRi" label="托管起始日" addr="T0R1C4S1_1" appId="_GBC_5f311928e67641ecb22c63cf8ecda62c" keyAction="38"/>
        <m:item xlName="_GBC_a074ed0faf534ad7bd4e5d9b23589f19" concept="clcid-ie:TuoGuanZhongZhiRi" label="托管终止日" addr="T0R1C5S1_1" appId="_GBC_5f311928e67641ecb22c63cf8ecda62c" keyAction="38"/>
        <m:item xlName="_GBC_bb11ac1fd33741939a377b5ffb4d1ffe" concept="clcid-ie:TuoGuanShouYi" label="托管收益" mulRef="_GBC_074fed5597514114ab85d136245235ba" unitRef="_GBC_152c8298ced347eb9e48f1314b94ca0f" addr="T0R1C6S1_1" formatStyle="Comma" appId="_GBC_5f311928e67641ecb22c63cf8ecda62c"/>
        <m:item xlName="_GBC_e8c2e44a26f34a2bbb4fb784390ddd4d" concept="clcid-ie:TuoGuanShouYiQueDingYiJu" label="托管收益确定依据" addr="T0R1C7S1_1" appId="_GBC_5f311928e67641ecb22c63cf8ecda62c"/>
        <m:item xlName="_GBC_44c9ed37a79d47c0894d38f69113fd95" concept="clcid-ie:TuoGuanShouYiDuiGongSiYingXiang" label="托管收益对公司影响" addr="T0R1C8S1_1" appId="_GBC_5f311928e67641ecb22c63cf8ecda62c"/>
        <m:item xlName="_GBC_7a610cdc756345d6823d86ff86c094b9" concept="clcid-ie:TuoGuanShiFouGuanLianJiaoYi" label="托管是否关联交易" selectOptions="_buildInYesNo" addr="T0R1C9S1_1" controlType="Combobox" appId="_GBC_5f311928e67641ecb22c63cf8ecda62c"/>
        <m:item xlName="_GBC_e3428408d99546baa5e58aed94e94f27" concept="clcid-ie:TuoGuanGuanLianGuanXi" label="托管中关联方与本公司关系" selectOptions="995b2a43652a4ae6ae31062ffd6294a1" addr="T0R1C10S1_1" controlType="Combobox" appId="_GBC_5f311928e67641ecb22c63cf8ecda62c" checkOption="Ignore"/>
      </m:tuple>
      <m:item xlName="_GBC_5eed16ec393348da89b5ea8bfec68130" concept="clcid-ie:TuoGuanQingKuangShuoMing" label="托管情况说明" appId="_GBC_5f311928e67641ecb22c63cf8ecda62c"/>
    </m:section>
    <m:section xlName="_SEC_37ed7d66ad1d401d8403e9b54bcb42bc" title="承包情况                         ..." convertSummaryRule="NoConvert" helpId="110007001" helpText="注：为公司带来的利润达到公司本期利润总额10％以上（含10％）的托管、承包、租赁事项">
      <m:item xlName="_GBC_6780ba385e1b4167bc4be5b432f0a825" concept="clcid-ci-ar:ShiFouShiYongChengBaoQingKuang" label="是否适用：承包情况" selectOptions="_buildInAppliance" controlType="CustomCheckbox" cRanges="{&quot;StartName&quot;:&quot;_GBC_6780ba385e1b4167bc4be5b432f0a825&quot;,&quot;EndName&quot;:&quot;_GBC_42530c48f7a5475a826ca9032bc55350&quot;,&quot;CType&quot;:1,&quot;DisplayText&quot;:null}"/>
      <m:item xlName="_GBC_f94203dfe6fd4d868d8d1429e04c1120" concept="clcid-ci-ar:DanWeiChengBaoQingKuang" label="单位：承包情况" selectOptions="_buildInScales" controlType="Combobox" cellType="Scale" appId="_GBC_daed561e68674d828a348a97bffbc154"/>
      <m:item xlName="_GBC_185442d99bb849849a6e8ebe19d081dd" concept="clcid-ci-ar:BiZhongChengBaoQingKuang" label="币种：承包情况" selectOptions="_buildInISO4217" controlType="Combobox" cellType="Measure" appId="_GBC_daed561e68674d828a348a97bffbc154"/>
      <m:placeholder xlName="_PLD_2463b777d532410fa98b33b298629b55" addr="T0R0C0S1_1"/>
      <m:placeholder xlName="_PLD_b5e94fd80a6e476fad3667de80f39919" addr="T0R0C1S1_1"/>
      <m:placeholder xlName="_PLD_7897778da28d42f9a45f058963714099" addr="T0R0C2S1_1"/>
      <m:placeholder xlName="_PLD_5c1674c7959c4ac692bb079e8bd0702d" addr="T0R0C3S1_1"/>
      <m:placeholder xlName="_PLD_ef18e9f0eaaa483cac332fe36cf94ba4" addr="T0R0C4S1_1"/>
      <m:placeholder xlName="_PLD_7fc11a26e4f04b51b95da64c0ccc80e0" addr="T0R0C5S1_1"/>
      <m:placeholder xlName="_PLD_81433c165f97420a84933c8384abd96e" addr="T0R0C6S1_1"/>
      <m:placeholder xlName="_PLD_fc67a39b886f4dd6a620b0aa20423d6a" addr="T0R0C7S1_1"/>
      <m:placeholder xlName="_PLD_1e1dfa6dd0cf49be8930ffd217a29656" addr="T0R0C8S1_1"/>
      <m:placeholder xlName="_PLD_98dec8fe4a024646b43c5016c759db6f" addr="T0R0C9S1_1"/>
      <m:placeholder xlName="_PLD_ff8f6309339e43f0a95286a738e6f2a5" addr="T0R0C10S1_1"/>
      <m:tuple xlName="_TUP_2dc5532d5e644c76b808ad100698fe33" concept="clcid-ie:ChengBaoQingKuang" default_row="2" addr="T0R1C">
        <m:item xlName="_GBC_1a02f3b71e2548b4b445bda500e130fe" concept="clcid-ie:ChuBaoFangMingCheng" label="出包方名称" addr="T0R1C0S1_1" appId="_GBC_6780ba385e1b4167bc4be5b432f0a825"/>
        <m:item xlName="_GBC_3ff89025f4354a21983a184edfe349d3" concept="clcid-ie:ChengBaoFangMingCheng" label="承包方名称" addr="T0R1C1S1_1" appId="_GBC_6780ba385e1b4167bc4be5b432f0a825"/>
        <m:item xlName="_GBC_77967c7b267d4ba3b578533cf8c17900" concept="clcid-ie:ChengBaoZiChanQingKuang" label="承包资产情况" addr="T0R1C2S1_1" appId="_GBC_6780ba385e1b4167bc4be5b432f0a825"/>
        <m:item xlName="_GBC_f03c42098f8f4954b7813464507d9114" concept="clcid-ie:ChengBaoZiChanSheJiJinE" label="承包资产涉及金额" mulRef="_GBC_f94203dfe6fd4d868d8d1429e04c1120" unitRef="_GBC_185442d99bb849849a6e8ebe19d081dd" addr="T0R1C3S1_1" formatStyle="Comma" appId="_GBC_6780ba385e1b4167bc4be5b432f0a825"/>
        <m:item xlName="_GBC_c56d4bd994404ff8ac17696be0a65865" concept="clcid-ie:ChengBaoQiShiRi" label="承包起始日" addr="T0R1C4S1_1" appId="_GBC_6780ba385e1b4167bc4be5b432f0a825" keyAction="38"/>
        <m:item xlName="_GBC_9428ff9e638d445384d97b7dedb10fb2" concept="clcid-ie:ChengBaoZhongZhiRi" label="承包终止日" addr="T0R1C5S1_1" appId="_GBC_6780ba385e1b4167bc4be5b432f0a825" keyAction="38"/>
        <m:item xlName="_GBC_de301245352c404a92e81e88165f6cb3" concept="clcid-ie:ChengBaoShouYi" label="承包收益" mulRef="_GBC_f94203dfe6fd4d868d8d1429e04c1120" unitRef="_GBC_185442d99bb849849a6e8ebe19d081dd" addr="T0R1C6S1_1" formatStyle="Comma" appId="_GBC_6780ba385e1b4167bc4be5b432f0a825"/>
        <m:item xlName="_GBC_f77a75e1340b463391e3f78879adbddc" concept="clcid-ie:ChengBaoShouYiQueDingYiJu" label="承包收益确定依据" addr="T0R1C7S1_1" appId="_GBC_6780ba385e1b4167bc4be5b432f0a825"/>
        <m:item xlName="_GBC_2167a08f71d2450fba8790c2dffaf587" concept="clcid-ie:ChengBaoShouYiDuiGongSiYingXiang" label="承包收益对公司影响" addr="T0R1C8S1_1" appId="_GBC_6780ba385e1b4167bc4be5b432f0a825"/>
        <m:item xlName="_GBC_5ee8518b37aa4c9db43ed0d1febc7c06" concept="clcid-ie:ChengBaoShiFouGuanLianJiaoYi" label="承包是否关联交易" selectOptions="_buildInYesNo" addr="T0R1C9S1_1" controlType="Combobox" appId="_GBC_6780ba385e1b4167bc4be5b432f0a825"/>
        <m:item xlName="_GBC_0a051d52d2774aa19c1427129e17c0c8" concept="clcid-ie:ChengBaoGuanLianGuanXi" label="承包中关联方与本公司关系" selectOptions="995b2a43652a4ae6ae31062ffd6294a1" addr="T0R1C10S1_1" controlType="Combobox" appId="_GBC_6780ba385e1b4167bc4be5b432f0a825" checkOption="Ignore"/>
      </m:tuple>
      <m:item xlName="_GBC_42530c48f7a5475a826ca9032bc55350" concept="clcid-ie:ChengBaoQingKuangShuoMing" label="承包情况说明" appId="_GBC_6780ba385e1b4167bc4be5b432f0a825"/>
    </m:section>
    <m:section xlName="_SEC_c517528524f046abb8a7c1e21d61ed7c" title="租赁情况                         ..." convertSummaryRule="NoConvert" helpId="110007001" helpText="注：为公司带来的利润达到公司本期利润总额10％以上（含10％）的托管、承包、租赁事项">
      <m:item xlName="_GBC_0f311154c0f24dc687b16bed59ae8dd2" concept="clcid-ci-ar:ShiFouShiYongZuLinQingKuang" label="是否适用：租赁情况" selectOptions="_buildInAppliance" controlType="CustomCheckbox" cRanges="{&quot;StartName&quot;:&quot;_GBC_0f311154c0f24dc687b16bed59ae8dd2&quot;,&quot;EndName&quot;:&quot;_GBC_78ed8f0e87184a74aa66d7c9fa59152f&quot;,&quot;CType&quot;:1,&quot;DisplayText&quot;:null}"/>
      <m:item xlName="_GBC_63fc2dfa865d4d9abcc589b6ffc804c0" concept="clcid-ci-ar:DanWeiZuLinQingKuang" label="单位：租赁情况" selectOptions="_buildInScales" controlType="Combobox" cellType="Scale" appId="_GBC_daed561e68674d828a348a97bffbc154"/>
      <m:item xlName="_GBC_31f3470dd3bc4fb5b3acbfac814f56b5" concept="clcid-ci-ar:BiZhongZuLinQingKuang" label="币种：租赁情况" selectOptions="_buildInISO4217" controlType="Combobox" cellType="Measure" appId="_GBC_daed561e68674d828a348a97bffbc154"/>
      <m:placeholder xlName="_PLD_a0c8bbdaddae456dbc6f9a3e5bac1db2" addr="T0R0C0S1_1"/>
      <m:placeholder xlName="_PLD_0c011e9d854249eab869b1b9d913f29d" addr="T0R0C1S1_1"/>
      <m:placeholder xlName="_PLD_281ffe553103424ea14fbe2c87302bde" addr="T0R0C2S1_1"/>
      <m:placeholder xlName="_PLD_0b54c65efcde49618ce3fd665d25360b" addr="T0R0C3S1_1"/>
      <m:placeholder xlName="_PLD_0f6ce51993ee4388ba1d45cca555803a" addr="T0R0C4S1_1"/>
      <m:placeholder xlName="_PLD_0f61648a121e4af78f37f9522cb3380a" addr="T0R0C5S1_1"/>
      <m:placeholder xlName="_PLD_0c8c3c9a2e7a4b0fb7b50eb8a124b65d" addr="T0R0C6S1_1"/>
      <m:placeholder xlName="_PLD_38f4620ed1294f27b9748bb6eb759b32" addr="T0R0C7S1_1"/>
      <m:placeholder xlName="_PLD_7dc799ddc6d4450dac2ce9f00c43299a" addr="T0R0C8S1_1"/>
      <m:placeholder xlName="_PLD_d56e14d9daef418abf4b6f4d1303506c" addr="T0R0C9S1_1"/>
      <m:placeholder xlName="_PLD_b1091c16f1144b24a6a1c37d24533150" addr="T0R0C10S1_1"/>
      <m:tuple xlName="_TUP_55486688f69543b68fa920b1a7c1af71" concept="clcid-ie:ZuLinQingKuang" default_row="2" addr="T0R1C">
        <m:item xlName="_GBC_820d292236ea496cb984818c5715081b" concept="clcid-ie:ChuZuFangMingCheng" label="出租方名称" addr="T0R1C0S1_1" appId="_GBC_0f311154c0f24dc687b16bed59ae8dd2"/>
        <m:item xlName="_GBC_f657f3739a1a4d0e83edcea87c4e74ed" concept="clcid-ie:ChengZuFangMingCheng" label="承租方名称" addr="T0R1C1S1_1" appId="_GBC_0f311154c0f24dc687b16bed59ae8dd2"/>
        <m:item xlName="_GBC_0862ed0f8243483186934fda077bd322" concept="clcid-ie:ZuLinZiChanQingKuang" label="租赁资产情况" addr="T0R1C2S1_1" appId="_GBC_0f311154c0f24dc687b16bed59ae8dd2"/>
        <m:item xlName="_GBC_3777d4ea25c947f38238bce95ccc3ad1" concept="clcid-ie:ZuLinZiChanSheJiJinE" label="租赁资产涉及金额" mulRef="_GBC_63fc2dfa865d4d9abcc589b6ffc804c0" unitRef="_GBC_31f3470dd3bc4fb5b3acbfac814f56b5" addr="T0R1C3S1_1" formatStyle="Comma" appId="_GBC_0f311154c0f24dc687b16bed59ae8dd2"/>
        <m:item xlName="_GBC_eeebe7289ce94f5792f623eabd0c1bfc" concept="clcid-ie:ZuLinQiShiRi" label="租赁起始日" addr="T0R1C4S1_1" appId="_GBC_0f311154c0f24dc687b16bed59ae8dd2" keyAction="38"/>
        <m:item xlName="_GBC_34b444f1dc84449e9783f501566e03e0" concept="clcid-ie:ZuLinZhongZhiRi" label="租赁终止日" addr="T0R1C5S1_1" appId="_GBC_0f311154c0f24dc687b16bed59ae8dd2" keyAction="38"/>
        <m:item xlName="_GBC_0e1740cca02a4909a1d279602194ba10" concept="clcid-ie:ZuLinShouYi" label="租赁收益" mulRef="_GBC_63fc2dfa865d4d9abcc589b6ffc804c0" unitRef="_GBC_31f3470dd3bc4fb5b3acbfac814f56b5" addr="T0R1C6S1_1" formatStyle="Comma" appId="_GBC_0f311154c0f24dc687b16bed59ae8dd2"/>
        <m:item xlName="_GBC_034bd9d1ef3d4e95a546d063cc2c4ec1" concept="clcid-ie:ZuLinShouYiQueDingYiJu" label="租赁收益确定依据" addr="T0R1C7S1_1" appId="_GBC_0f311154c0f24dc687b16bed59ae8dd2"/>
        <m:item xlName="_GBC_9b92f11be4d740ad8b3f1709be7b2101" concept="clcid-ie:ZuLinShouYiDuiGongSiYingXiang" label="租赁收益对公司影响" addr="T0R1C8S1_1" appId="_GBC_0f311154c0f24dc687b16bed59ae8dd2"/>
        <m:item xlName="_GBC_60d041c2218a435e9838147eb1555631" concept="clcid-ie:ZuLinShiFouGuanLianJiaoYi" label="租赁是否关联交易" selectOptions="_buildInYesNo" addr="T0R1C9S1_1" controlType="Combobox" appId="_GBC_0f311154c0f24dc687b16bed59ae8dd2"/>
        <m:item xlName="_GBC_a392a448b118438b858e7600ecdb0e73" concept="clcid-ie:ZuLinGuanLianGuanXi" label="租赁中关联方与本公司关系" selectOptions="995b2a43652a4ae6ae31062ffd6294a1" addr="T0R1C10S1_1" controlType="Combobox" appId="_GBC_0f311154c0f24dc687b16bed59ae8dd2" checkOption="Ignore"/>
      </m:tuple>
      <m:item xlName="_GBC_78ed8f0e87184a74aa66d7c9fa59152f" concept="clcid-ie:ZuLinQingKuangShuoMing" label="租赁情况说明" appId="_GBC_0f311154c0f24dc687b16bed59ae8dd2"/>
    </m:section>
    <m:item xlName="_GBC_aae98b3e30bd49e4b2e1d2643f200047" concept="clcid-ci-ar:ShiFouShiYongDanBaoQingKuang" label="是否适用：担保情况" selectOptions="_buildInAppliance" controlType="CustomCheckbox" cRanges="[{&quot;StartName&quot;:&quot;_GBC_aae98b3e30bd49e4b2e1d2643f200047&quot;,&quot;EndName&quot;:&quot;_SEC_672eb3d72f5f48409f2135bd4724031e&quot;,&quot;CType&quot;:1}]"/>
    <m:section xlName="_SEC_672eb3d72f5f48409f2135bd4724031e" title="报告期末尚未履行及未履行完毕的重大担保情况"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item xlName="_GBC_7dcbc14362c9496891a6dfe2efad76b3" concept="clcid-ci-ar:DanWeiDanBaoQingKuang" label="单位：担保情况" selectOptions="_buildInScales" controlType="Combobox" cellType="Scale" appId="_GBC_aae98b3e30bd49e4b2e1d2643f200047"/>
      <m:item xlName="_GBC_a7c72dda13a447d6b7811edeb4e6bf91" concept="clcid-ci-ar:BiZhongDanBaoQingKuang" label="币种：担保情况" selectOptions="_buildInISO4217" controlType="Combobox" cellType="Measure" appId="_GBC_aae98b3e30bd49e4b2e1d2643f200047"/>
      <m:placeholder xlName="_PLD_b5f6f127afd94cb8a39e3f31b32d9616" addr="T0R0C0S1_29"/>
      <m:placeholder xlName="_PLD_955fd582a9f747e5be1d2683fe57a155" addr="T0R1C0S1_1"/>
      <m:placeholder xlName="_PLD_efdcfb1fb8e24b41aa6a7ba337b59ff1" addr="T0R1C1S1_2"/>
      <m:placeholder xlName="_PLD_e03cb577f1c44a168a104075f5be57c6" addr="T0R1C3S1_2"/>
      <m:placeholder xlName="_PLD_17770348ad4b4f49a19668d242b35b4c" addr="T0R1C5S1_2"/>
      <m:placeholder xlName="_PLD_a673806d16754e19a0e58f158cfdcc53" addr="T0R1C7S1_2"/>
      <m:placeholder xlName="_PLD_9b30e6349711460cb25fdd0c6c865784" addr="T0R1C9S1_1"/>
      <m:placeholder xlName="_PLD_6737596d9f4d4f598528ad00760599af" addr="T0R1C10S1_3"/>
      <m:placeholder xlName="_PLD_f40bc0433c084f0e9bdaae01aaf8f8f5" addr="T0R1C13S1_2"/>
      <m:placeholder xlName="_PLD_bdaaa9237bd743fe8c72b301210c11cd" addr="T0R1C15S1_2"/>
      <m:placeholder xlName="_PLD_bdab7ad611f448f88bb438b32736b9b9" addr="T0R1C17S1_2"/>
      <m:placeholder xlName="_PLD_d7106989cc444e029747a7dbaaf42a55" addr="T0R1C19S1_1"/>
      <m:placeholder xlName="_PLD_729ac64639ec4240a4dae3d71c60b126" addr="T0R1C20S1_2"/>
      <m:placeholder xlName="_PLD_f790bbc8959048ba8def6d8a7b08551c" addr="T0R1C22S1_2"/>
      <m:placeholder xlName="_PLD_a298e01481b04b07923dda3c7dc9df66" addr="T0R1C24S1_2"/>
      <m:placeholder xlName="_PLD_15f7c4a6bea94035afe97e219a30c5d8" addr="T0R1C26S1_2"/>
      <m:placeholder xlName="_PLD_ccadefe527164cd68f303a4db839a80b" addr="T0R1C28S1_1"/>
      <m:tuple xlName="_TUP_0658d40837d5424ba4fd497c44bca6f0" concept="clcid-ie:DanBaoQingKuang" default_row="2" addr="T0R2C">
        <m:item xlName="_GBC_94a5a6892d1647e9b07be473c04f0391" concept="clcid-ie:DanBaoFang" label="担保方" unitRef="_GBC_a7c72dda13a447d6b7811edeb4e6bf91" addr="T0R2C0S1_1" appId="_GBC_aae98b3e30bd49e4b2e1d2643f200047"/>
        <m:item xlName="_GBC_7c01df3fd04844199718ae10794368a1" concept="clcid-ie:DanBaoFangYuShangShiGongSiDeGuanXi" label="担保方与上市公司的关联关系" unitRef="_GBC_a7c72dda13a447d6b7811edeb4e6bf91" selectOptions="19c7f17205c943858ffc12297a4f5be4" addr="T0R2C1S1_2" controlType="Combobox" appId="_GBC_aae98b3e30bd49e4b2e1d2643f200047"/>
        <m:item xlName="_GBC_7a9facc4c9734649b453cb4b074c0c8e" concept="clcid-ie:BeiDanBaoFang" label="被担保方" unitRef="_GBC_a7c72dda13a447d6b7811edeb4e6bf91" addr="T0R2C3S1_2" appId="_GBC_aae98b3e30bd49e4b2e1d2643f200047"/>
        <m:item xlName="_GBC_4ea44f0bf3cc44748f3caac8031a4c27" concept="clcid-ie:DanBaoJinE" label="担保金额" mulRef="_GBC_7dcbc14362c9496891a6dfe2efad76b3" unitRef="_GBC_a7c72dda13a447d6b7811edeb4e6bf91" addr="T0R2C5S1_2" formatStyle="Comma" appId="_GBC_aae98b3e30bd49e4b2e1d2643f200047"/>
        <m:item xlName="_GBC_5ab38ca7dc7c4092823f62bb0c3c97c0" concept="clcid-ie:DanBaoFaShengRiQi" label="担保发生日期" unitRef="_GBC_a7c72dda13a447d6b7811edeb4e6bf91" addr="T0R2C7S1_2" appId="_GBC_aae98b3e30bd49e4b2e1d2643f200047" keyAction="38"/>
        <m:item xlName="_GBC_a27fa5ccd69c43bcb803d370f7d2cacd" concept="clcid-ie:DanBaoQiShiRi" label="担保起始日" unitRef="_GBC_a7c72dda13a447d6b7811edeb4e6bf91" addr="T0R2C9S1_1" appId="_GBC_aae98b3e30bd49e4b2e1d2643f200047" keyAction="38"/>
        <m:item xlName="_GBC_f6a7623014b84776ad80008fa1daf265" concept="clcid-ie:DanBaoDaoQiRi" label="担保到期日" unitRef="_GBC_a7c72dda13a447d6b7811edeb4e6bf91" addr="T0R2C10S1_3" appId="_GBC_aae98b3e30bd49e4b2e1d2643f200047" keyAction="38"/>
        <m:item xlName="_GBC_4517c12b2be149f381f4e3f880a682bd" concept="clcid-ie:DanBaoLeiXing" label="担保类型" unitRef="_GBC_a7c72dda13a447d6b7811edeb4e6bf91" selectOptions="548b377aae8b40e9b01081c4a80f3529" addr="T0R2C13S1_2" controlType="Combobox" appId="_GBC_aae98b3e30bd49e4b2e1d2643f200047" checkOption="Ignore"/>
        <m:item xlName="_GBC_ed4ecb9b1d7742ec9dbbadb3baa83e54" concept="clcid-ie:ZhuZhaiWuQingKuang" label="主债务情况" addr="T0R2C15S1_2" appId="_GBC_aae98b3e30bd49e4b2e1d2643f200047"/>
        <m:item xlName="_GBC_2cefbcc00abc48eb978b1ee81c7e3913" concept="clcid-ie:DanBaoWu" label="担保物" addr="T0R2C17S1_2" appId="_GBC_aae98b3e30bd49e4b2e1d2643f200047"/>
        <m:item xlName="_GBC_e5a257fa21c242a7acd023d1884af5e2" concept="clcid-ie:DanBaoShiFouYiJingLvXingWanBi" label="担保是否已经履行完毕" unitRef="_GBC_a7c72dda13a447d6b7811edeb4e6bf91" selectOptions="_buildInYesNo" addr="T0R2C19S1_1" controlType="Combobox" appId="_GBC_aae98b3e30bd49e4b2e1d2643f200047"/>
        <m:item xlName="_GBC_71d2a48b24bc4246aca87de27f033995" concept="clcid-ie:DanBaoShiFouYuQi" label="担保是否逾期" unitRef="_GBC_a7c72dda13a447d6b7811edeb4e6bf91" selectOptions="_buildInYesNo" addr="T0R2C20S1_2" controlType="Combobox" appId="_GBC_aae98b3e30bd49e4b2e1d2643f200047"/>
        <m:item xlName="_GBC_8fe3fdbcd52041fcb1871026c706c60e" concept="clcid-ie:DanBaoYuQiJinE" label="担保逾期金额" mulRef="_GBC_7dcbc14362c9496891a6dfe2efad76b3" unitRef="_GBC_a7c72dda13a447d6b7811edeb4e6bf91" addr="T0R2C22S1_2" formatStyle="Comma" appId="_GBC_aae98b3e30bd49e4b2e1d2643f200047"/>
        <m:item xlName="_GBC_6320a9f741044d5f89769bfea5c80fe5" concept="clcid-ie:FanDanBaoQingKuang" label="反担保情况" addr="T0R2C24S1_2" appId="_GBC_aae98b3e30bd49e4b2e1d2643f200047"/>
        <m:item xlName="_GBC_f9fb8bf9d1ac4797960b77c5e3eda7be" concept="clcid-ie:ShiFouWeiGuanLianFangDanBao" label="是否为关联方担保" unitRef="_GBC_a7c72dda13a447d6b7811edeb4e6bf91" selectOptions="_buildInYesNo" addr="T0R2C26S1_2" controlType="Combobox" appId="_GBC_aae98b3e30bd49e4b2e1d2643f200047"/>
        <m:item xlName="_GBC_6fae724114004f6c909bd07d0540f60a" concept="clcid-ie:DanBaoGuanLianGuanXi" label="担保中关联方与本公司关系" unitRef="_GBC_a7c72dda13a447d6b7811edeb4e6bf91" selectOptions="995b2a43652a4ae6ae31062ffd6294a1" addr="T0R2C28S1_1" controlType="Combobox" appId="_GBC_aae98b3e30bd49e4b2e1d2643f200047" checkOption="Ignore"/>
      </m:tuple>
      <m:placeholder xlName="_PLD_6226390ba2364cae91e65e0da47387a1" addr="T0R4C0S1_12"/>
      <m:item xlName="_GBC_e7a2c82cff744fa0b7d6a7df9661eaa2" concept="clcid-ie:BaoGaoQiNeiDanBaoFaShengEHeJi" label="报告期内担保发生额合计" mulRef="_GBC_7dcbc14362c9496891a6dfe2efad76b3" unitRef="_GBC_a7c72dda13a447d6b7811edeb4e6bf91" addr="T0R4C12S1_17" formatStyle="Comma" appId="_GBC_aae98b3e30bd49e4b2e1d2643f200047"/>
      <m:placeholder xlName="_PLD_c30c0aeadc7941b7872e6d1a05d65f35" addr="T0R5C0S1_12"/>
      <m:item xlName="_GBC_af1d3995d6874c74808ebb253067810b" concept="clcid-ie:BaoGaoQiMoDanBaoYuEHeJi" label="报告期末担保余额合计" mulRef="_GBC_7dcbc14362c9496891a6dfe2efad76b3" unitRef="_GBC_a7c72dda13a447d6b7811edeb4e6bf91" addr="T0R5C12S1_17" formatStyle="Comma" appId="_GBC_aae98b3e30bd49e4b2e1d2643f200047"/>
      <m:placeholder xlName="_PLD_b37d240771774d139166d0bca634c8bc" addr="T0R6C0S1_29"/>
      <m:placeholder xlName="_PLD_d9d9d49f20fe40569d89afe8bb62f0bc" keyCode="SF_TEC" keyAction="7" addr="T0R7C0S1_2"/>
      <m:placeholder xlName="_PLD_b60eb05f313e4cee9ad6c5b37bbdcc1f" addr="T0R7C2S1_2"/>
      <m:placeholder xlName="_PLD_64d25cb42b144e8499f017e4afa3ffa5" addr="T0R7C4S1_2"/>
      <m:placeholder xlName="_PLD_50da54ed212345d6a1f03ab6d3a14728" addr="T0R7C6S1_2"/>
      <m:placeholder xlName="_PLD_5f34e31d0a7b46fbb523c8cc7358c92a" addr="T0R7C8S1_3"/>
      <m:placeholder xlName="_PLD_85749fd6dcd7420f89611875e794c430" addr="T0R7C11S1_3"/>
      <m:placeholder xlName="_PLD_9a970fe0b0a64f12bbc94130c0f0216a" addr="T0R7C14S1_2"/>
      <m:placeholder xlName="_PLD_3aecaaeda1fa4d15ab3dee734bfc325b" addr="T0R7C16S1_2"/>
      <m:placeholder xlName="_PLD_3d4282fbdd0a44719d6510c6e4d60808" addr="T0R7C18S1_3"/>
      <m:placeholder xlName="_PLD_b0938d1148694e4fac43777d4469aec1" addr="T0R7C21S1_2"/>
      <m:placeholder xlName="_PLD_f8bb01e728504b739c9487a0ba729cfa" addr="T0R7C23S1_2"/>
      <m:placeholder xlName="_PLD_49848cd3b6014271b1e6f0306366794d" addr="T0R7C25S1_2"/>
      <m:placeholder xlName="_PLD_53f490bc28d54869a3ecf998c9c56dba" addr="T0R7C27S1_2"/>
      <m:tuple xlName="_TUP_52e811cb30bd4aa2b339be1a52705c24" concept="clcid-ie:DuiZiGongSiDeDanBaoQingKuangMingXi" default_row="2" addr="T0R8C" keyCode="SF_TEC" keyAction="7">
        <m:item xlName="_GBC_6af64f975e644855a03250dbf5b4adaf" concept="clcid-ie:DuiZiGongSiDeDanBaoQingKuangMingXiDanBaoFang" label="对子公司的担保情况明细_担保方" unitRef="_GBC_a7c72dda13a447d6b7811edeb4e6bf91" addr="T0R8C0S1_2" appId="_GBC_aae98b3e30bd49e4b2e1d2643f200047" keyCode="SF_TEC" keyAction="7"/>
        <m:item xlName="_GBC_2d5a5aa0584c4e9da937f9e5011b2686" concept="clcid-ie:DuiZiGongSiDeDanBaoQingKuangMingXiDanBaoFangYuShangShiGongSiDeGuanXi" label="对子公司的担保情况明细_担保方与上市公司的关系" unitRef="_GBC_a7c72dda13a447d6b7811edeb4e6bf91" selectOptions="19c7f17205c943858ffc12297a4f5be4" addr="T0R8C2S1_2" controlType="Combobox" appId="_GBC_aae98b3e30bd49e4b2e1d2643f200047"/>
        <m:item xlName="_GBC_c467c6e1f6c044aeaa59793996434e51" concept="clcid-ie:DuiZiGongSiDeDanBaoQingKuangMingXiBeiDanBaoFang" label="对子公司的担保情况明细_被担保方" unitRef="_GBC_a7c72dda13a447d6b7811edeb4e6bf91" addr="T0R8C4S1_2" appId="_GBC_aae98b3e30bd49e4b2e1d2643f200047"/>
        <m:item xlName="_GBC_b4d423a38f494d1d8c78b723e7026401" concept="clcid-ie:DuiZiGongSiDeDanBaoQingKuangMingXiBeiDanBaoFangYuShangShiGongSiDeGuanXi" label="对子公司的担保情况明细_被担保方与上市公司的关系" unitRef="_GBC_a7c72dda13a447d6b7811edeb4e6bf91" selectOptions="c7f4ca8b52414c818d9d4c004c0ac626" addr="T0R8C6S1_2" controlType="Combobox" appId="_GBC_aae98b3e30bd49e4b2e1d2643f200047"/>
        <m:item xlName="_GBC_36ebad4454854548918a958ee463e483" concept="clcid-ie:DuiZiGongSiDeDanBaoQingKuangMingXiDanBaoJinE" label="对子公司的担保情况明细_担保金额" mulRef="_GBC_7dcbc14362c9496891a6dfe2efad76b3" unitRef="_GBC_a7c72dda13a447d6b7811edeb4e6bf91" addr="T0R8C8S1_3" formatStyle="Comma" appId="_GBC_aae98b3e30bd49e4b2e1d2643f200047"/>
        <m:item xlName="_GBC_10838be8ae724ddfb66f58566ef8f4a6" concept="clcid-ie:DuiZiGongSiDeDanBaoQingKuangMingXiDanBaoFaShengRiQi" label="对子公司的担保情况明细_担保发生日期" unitRef="_GBC_a7c72dda13a447d6b7811edeb4e6bf91" addr="T0R8C11S1_3" appId="_GBC_aae98b3e30bd49e4b2e1d2643f200047"/>
        <m:item xlName="_GBC_0937484d274b4630a645efc0fb66d1a7" concept="clcid-ie:DuiZiGongSiDeDanBaoQingKuangMingXiDanBaoQiShiRi" label="对子公司的担保情况明细_担保起始日" unitRef="_GBC_a7c72dda13a447d6b7811edeb4e6bf91" addr="T0R8C14S1_2" appId="_GBC_aae98b3e30bd49e4b2e1d2643f200047"/>
        <m:item xlName="_GBC_3bab8e4d549a4ac3a26a9c97e82e8576" concept="clcid-ie:DuiZiGongSiDeDanBaoQingKuangMingXiDanBaoDaoQiRi" label="对子公司的担保情况明细_担保到期日" unitRef="_GBC_a7c72dda13a447d6b7811edeb4e6bf91" addr="T0R8C16S1_2" appId="_GBC_aae98b3e30bd49e4b2e1d2643f200047"/>
        <m:item xlName="_GBC_3446b076a39b4413a5dd382d79423ea1" concept="clcid-ie:DuiZiGongSiDeDanBaoQingKuangMingXiDanBaoLeiXing" label="对子公司的担保情况明细_担保类型" unitRef="_GBC_a7c72dda13a447d6b7811edeb4e6bf91" selectOptions="548b377aae8b40e9b01081c4a80f3529" addr="T0R8C18S1_3" controlType="Combobox" appId="_GBC_aae98b3e30bd49e4b2e1d2643f200047"/>
        <m:item xlName="_GBC_28e7f50d6bbb455aa9b7ca298187d59f" concept="clcid-ie:DuiZiGongSiDeDanBaoQingKuangMingXiDanBaoShiFouYiJingLvXingWanBi" label="对子公司的担保情况明细_担保是否已经履行完毕" unitRef="_GBC_a7c72dda13a447d6b7811edeb4e6bf91" selectOptions="_buildInYesNo" addr="T0R8C21S1_2" controlType="Combobox" appId="_GBC_aae98b3e30bd49e4b2e1d2643f200047"/>
        <m:item xlName="_GBC_33ea8b36e51c47549d7f5b5ca408e922" concept="clcid-ie:DuiZiGongSiDeDanBaoQingKuangMingXiDanBaoShiFouYuQi" label="对子公司的担保情况明细_担保是否逾期" unitRef="_GBC_a7c72dda13a447d6b7811edeb4e6bf91" selectOptions="_buildInYesNo" addr="T0R8C23S1_2" controlType="Combobox" appId="_GBC_aae98b3e30bd49e4b2e1d2643f200047"/>
        <m:item xlName="_GBC_ebb6f96816ca4a93977e0113fd113324" concept="clcid-ie:DuiZiGongSiDeDanBaoQingKuangMingXiDanBaoYuQiJinE" label="对子公司的担保情况明细_担保逾期金额" mulRef="_GBC_7dcbc14362c9496891a6dfe2efad76b3" unitRef="_GBC_a7c72dda13a447d6b7811edeb4e6bf91" addr="T0R8C25S1_2" formatStyle="Comma" appId="_GBC_aae98b3e30bd49e4b2e1d2643f200047"/>
        <m:item xlName="_GBC_c0219dc8a7384ec285d8f32bdb4628e9" concept="clcid-ie:DuiZiGongSiDeDanBaoQingKuangMingXiShiFouCunZaiFanDanBao" label="对子公司的担保情况明细_是否存在反担保" unitRef="_GBC_a7c72dda13a447d6b7811edeb4e6bf91" selectOptions="_buildInYesNo" addr="T0R8C27S1_2" controlType="Combobox" appId="_GBC_aae98b3e30bd49e4b2e1d2643f200047"/>
      </m:tuple>
      <m:placeholder xlName="_PLD_14ba346bf37c4b8387e0a6b08f2e545f" addr="T0R10C0S1_12"/>
      <m:item xlName="_GBC_b3e9f3cc27ed4a31a612a259c06d59b5" concept="clcid-ie:BaoGaoQiNeiDuiKongGuZiGongSiDanBaoFaShengEHeJi" label="报告期内对控股子公司担保发生额合计" mulRef="_GBC_7dcbc14362c9496891a6dfe2efad76b3" unitRef="_GBC_a7c72dda13a447d6b7811edeb4e6bf91" addr="T0R10C12S1_17" formatStyle="Comma" appId="_GBC_aae98b3e30bd49e4b2e1d2643f200047"/>
      <m:placeholder xlName="_PLD_fe9e30f85db9415da882d85d81827939" addr="T0R11C0S1_12"/>
      <m:item xlName="_GBC_278666a5a974423a8c884f99df3c5c84" concept="clcid-ie:BaoGaoQiMoDuiKongGuZiGongSiDanBaoYuEHeJi" label="报告期末对控股子公司担保余额合计" mulRef="_GBC_7dcbc14362c9496891a6dfe2efad76b3" unitRef="_GBC_a7c72dda13a447d6b7811edeb4e6bf91" addr="T0R11C12S1_17" formatStyle="Comma" appId="_GBC_aae98b3e30bd49e4b2e1d2643f200047"/>
      <m:placeholder xlName="_PLD_cd47a5313c6e4cecab53268dd86f95d2" addr="T0R12C0S1_29"/>
      <m:placeholder xlName="_PLD_a418f9b62f9a4cebaa0e458b645e83b4" addr="T0R13C0S1_12"/>
      <m:item xlName="_GBC_daf5b3e8f66d496d91d823da13fe0b01" concept="clcid-ie:DanBaoZongE" label="担保总额" mulRef="_GBC_7dcbc14362c9496891a6dfe2efad76b3" unitRef="_GBC_a7c72dda13a447d6b7811edeb4e6bf91" addr="T0R13C12S1_17" formatStyle="Comma" appId="_GBC_aae98b3e30bd49e4b2e1d2643f200047">
        <m:complexRule comparator="Eq" title="担保总额" test=" $_GBC_af1d3995d6874c74808ebb253067810b +  $_GBC_278666a5a974423a8c884f99df3c5c84" id="C905c05440aa342aca863693ea423d657"/>
      </m:item>
      <m:placeholder xlName="_PLD_1f6320f0790b42d9b6466f8738d76b91" addr="T0R14C0S1_12"/>
      <m:item xlName="_GBC_e4bb759787e943d9a783aa1420d48122" concept="clcid-ie:DanBaoZongEZhanGongSiJingZiChanDeBiLi" label="担保总额占公司净资产的比例" addr="T0R14C12S1_17" baseScale="0.01" formatStyle="Comma" appId="_GBC_aae98b3e30bd49e4b2e1d2643f200047"/>
      <m:placeholder xlName="_PLD_6fed864b6a9842f1b5947276f58c0f65" addr="T0R15C0S1_29"/>
      <m:placeholder xlName="_PLD_d4481733a6b043999a4156038614e911" addr="T0R16C0S1_12"/>
      <m:item xlName="_GBC_3a4a21d31cf147a2ad90e52284da68ba" concept="clcid-ie:WeiGuDongShiJiKongZhiRenJiQiGuanLianFangTiGongDanBaoDeJinE" label="为股东、实际控制人及其关联方提供担保的金额" mulRef="_GBC_7dcbc14362c9496891a6dfe2efad76b3" unitRef="_GBC_a7c72dda13a447d6b7811edeb4e6bf91" addr="T0R16C12S1_17" formatStyle="Comma" appId="_GBC_aae98b3e30bd49e4b2e1d2643f200047"/>
      <m:placeholder xlName="_PLD_74c5df89ce4a4081a781b3e01f45c761" addr="T0R17C0S1_12"/>
      <m:item xlName="_GBC_ac3c00fd2c904f8dacfec76857d6e643" concept="clcid-ie:ZhiJieHuoJianJieWeiZiChanFuZhaiLvChaoGuoBaiFenZhiQiShiDeBeiDanBaoDuiXiangTiGongDeZhaiWuDanBaoJinE" label="直接或间接为资产负债率超过70％的被担保对象提供的债务担保金额" mulRef="_GBC_7dcbc14362c9496891a6dfe2efad76b3" unitRef="_GBC_a7c72dda13a447d6b7811edeb4e6bf91" addr="T0R17C12S1_17" formatStyle="Comma" appId="_GBC_aae98b3e30bd49e4b2e1d2643f200047"/>
      <m:placeholder xlName="_PLD_758679730fba4971be09402c80e542cb" addr="T0R18C0S1_12"/>
      <m:item xlName="_GBC_0068dc04d13a4629a981d875f2453e44" concept="clcid-ie:DanBaoZongEChaoGuoJingZiChanBaiFenZhiWuShiBuFenDeJinE" label="担保总额超过净资产50％部分的金额" mulRef="_GBC_7dcbc14362c9496891a6dfe2efad76b3" unitRef="_GBC_a7c72dda13a447d6b7811edeb4e6bf91" addr="T0R18C12S1_17" formatStyle="Comma" appId="_GBC_aae98b3e30bd49e4b2e1d2643f200047"/>
      <m:placeholder xlName="_PLD_5784c760894b49a7852051772fb316c6" addr="T0R19C0S1_12"/>
      <m:item xlName="_GBC_b76771e39a8d49178f0270fdf524b320" concept="clcid-ie:WeiGuiDanBaoZongE" label="违规担保总额" mulRef="_GBC_7dcbc14362c9496891a6dfe2efad76b3" unitRef="_GBC_a7c72dda13a447d6b7811edeb4e6bf91" addr="T0R19C12S1_17" formatStyle="Comma" appId="_GBC_aae98b3e30bd49e4b2e1d2643f200047">
        <m:complexRule comparator="Eq" title="违规担保总额" test=" $_GBC_3a4a21d31cf147a2ad90e52284da68ba +  $_GBC_ac3c00fd2c904f8dacfec76857d6e643 +  $_GBC_0068dc04d13a4629a981d875f2453e44" id="Cb47bb3b145734ceda3bb9bf108cac4ab"/>
      </m:item>
      <m:placeholder xlName="_PLD_995b56519ff04cddbb551ae65d997daf" addr="T0R20C0S1_12"/>
      <m:item xlName="_GBC_04364e30e4634226a12123c7c1b6795e" concept="clcid-ie:WeiDaoQiDanBaoKeNengChengDanLianDaiQingChangZeRenShuoMing" label="未到期担保可能承担连带清偿责任说明" unitRef="_GBC_a7c72dda13a447d6b7811edeb4e6bf91" addr="T0R20C12S1_17" appId="_GBC_aae98b3e30bd49e4b2e1d2643f200047"/>
      <m:placeholder xlName="_PLD_7bd0acb0276b47dda4ce10a9123aad29" addr="T0R21C0S1_12"/>
      <m:item xlName="_GBC_4142d98a46134149b28871191d3a9058" concept="clcid-ie:DanBaoQingKuangShuoMing" label="担保情况说明" unitRef="_GBC_a7c72dda13a447d6b7811edeb4e6bf91" addr="T0R21C12S1_17" appId="_GBC_aae98b3e30bd49e4b2e1d2643f200047"/>
    </m:section>
    <m:section xlName="_SEC_e046194a1b604165ab4ac9dbd406e6b1" title="其他重大合同" convertSummaryRule="NoConvert" helpId="110007004">
      <m:item xlName="_GBC_23289ac36e3b4aeeaff6a4f1df0c3165" concept="clcid-ci-ar:ShiFouShiYongQiTaZhongDaHeTong" label="是否适用：其他重大合同" selectOptions="_buildInAppliance" controlType="CustomCheckbox" cRanges="{&quot;StartName&quot;:&quot;_GBC_23289ac36e3b4aeeaff6a4f1df0c3165&quot;,&quot;EndName&quot;:&quot;_GBC_b4ae2f60305f4a668d9a371ab1679a83&quot;,&quot;CType&quot;:1,&quot;DisplayText&quot;:null}"/>
      <m:item xlName="_GBC_b4ae2f60305f4a668d9a371ab1679a83" concept="clcid-ie:QiTaZhongDaHeTong" label="其他重大合同" appId="_GBC_23289ac36e3b4aeeaff6a4f1df0c3165"/>
    </m:section>
    <m:section xlName="_SEC_08d52c14430d4acc802332951c98fb5d" title="">
      <m:item xlName="_GBC_aab82a57337f41868f8163d4c16e48f4" concept="clcid-ci-ar:ShiFouShiYongMuJiZiJinShiYongJinZhanShuoMing" label="是否适用：募集资金使用进展说明" selectOptions="_buildInAppliance" controlType="CustomCheckbox" cRanges="[{&quot;StartName&quot;:&quot;_GBC_aab82a57337f41868f8163d4c16e48f4&quot;,&quot;EndName&quot;:&quot;_GBC_0f2788e2a146478ea71b820e6b5233d0&quot;,&quot;CType&quot;:1}]"/>
      <m:item xlName="_GBC_a41db9bb34604003a8b01459acecfc9c" concept="clcid-ci-ar:DanWeiMuJiZiJinShiYongJinZhanShuoMing" label="单位：募集资金使用进展说明" selectOptions="_buildInScales" controlType="Combobox" cellType="Scale" appId="_GBC_aab82a57337f41868f8163d4c16e48f4"/>
      <m:item xlName="_GBC_7ceaf8537d014c1f8b62bfd453222c57" concept="clcid-ci-ar:BiZhongMuJiZiJinShiYongJinZhanShuoMing" label="币种：募集资金使用进展说明" selectOptions="_buildInISO4217" controlType="Combobox" cellType="Measure" appId="_GBC_aab82a57337f41868f8163d4c16e48f4"/>
      <m:placeholder xlName="_PLD_c64810ce70ed4bcaa04c10158a63f34c" addr="T0R0C0S1_3"/>
      <m:item xlName="_GBC_e46bd92cedb24c3199b09a2725095dae" concept="clcid-ie:MuJiZiJinZongE" label="募集资金总额" mulRef="_GBC_a41db9bb34604003a8b01459acecfc9c" unitRef="_GBC_7ceaf8537d014c1f8b62bfd453222c57" addr="T0R0C3S1_3" tagAction="1" formatStyle="Comma" appId="_GBC_aab82a57337f41868f8163d4c16e48f4"/>
      <m:placeholder xlName="_PLD_ba2024a236ba42b1a249a3ae70f526cb" addr="T0R0C6S1_3"/>
      <m:item xlName="_GBC_c8fadc8b3f564965bb0e23c5b936f1aa" concept="clcid-ie:BenNianDuTouRuMuJiZiJinZongE" label="本年度投入募集资金总额" mulRef="_GBC_a41db9bb34604003a8b01459acecfc9c" unitRef="_GBC_7ceaf8537d014c1f8b62bfd453222c57" addr="T0R0C9S1_4" tagAction="1" formatStyle="Comma" appId="_GBC_aab82a57337f41868f8163d4c16e48f4"/>
      <m:placeholder xlName="_PLD_cfd81a35aec441cda42a9932c67fb070" addr="T0R1C0S1_3"/>
      <m:item xlName="_GBC_59192111a79a4b21833abe6258bd8ada" concept="clcid-ie:BianGengYongTuDeMuJiZiJinZongE" label="变更用途的募集资金总额" mulRef="_GBC_a41db9bb34604003a8b01459acecfc9c" unitRef="_GBC_7ceaf8537d014c1f8b62bfd453222c57" addr="T0R1C3S1_3" formatStyle="Comma" appId="_GBC_aab82a57337f41868f8163d4c16e48f4"/>
      <m:placeholder xlName="_PLD_a15de170f15b4acc8e48999894d418a0" addr="T0R1C6S2_3"/>
      <m:item xlName="_GBC_26285d76f8c9459bae3786f43fa7c1b8" concept="clcid-ie:YiLeiJiTouRuMuJiZiJinZongE" label="已累计投入募集资金总额" mulRef="_GBC_a41db9bb34604003a8b01459acecfc9c" unitRef="_GBC_7ceaf8537d014c1f8b62bfd453222c57" addr="T0R1C9S2_4" formatStyle="Comma" appId="_GBC_aab82a57337f41868f8163d4c16e48f4"/>
      <m:placeholder xlName="_PLD_39beeae86e5b4ddc8a754d19c63a63f2" addr="T0R2C0S1_3"/>
      <m:item xlName="_GBC_47a1d802663843c8b03e7042141cc481" concept="clcid-ie:BianGengYongTuDeMuJiZiJinZongEBiLi" label="变更用途的募集资金总额比例" addr="T0R2C3S1_3" baseScale="0.01" formatStyle="Comma" appId="_GBC_aab82a57337f41868f8163d4c16e48f4"/>
      <m:placeholder xlName="_PLD_ac0b72cd01c442fcb245c6dfba1ae5c7" addr="T0R3C0S1_1"/>
      <m:placeholder xlName="_PLD_86f5de50babb4d05979552e3ec0bfa58" addr="T0R3C1S1_1"/>
      <m:placeholder xlName="_PLD_279179463f6a4fd2820ebe83f929e454" addr="T0R3C2S1_1"/>
      <m:placeholder xlName="_PLD_f9fc808ee79948cdbd278691f1b695f7" addr="T0R3C3S1_1"/>
      <m:placeholder xlName="_PLD_f7b14b1bbb1e40f88617d19ae6e4284d" addr="T0R3C4S1_1"/>
      <m:placeholder xlName="_PLD_9e0bbb8681f34277b9ddc311e580ad7c" addr="T0R3C5S1_1"/>
      <m:placeholder xlName="_PLD_ab59d36ffb08411e98f4cfebfa25441c" addr="T0R3C6S1_1"/>
      <m:placeholder xlName="_PLD_237629d888ac4194bd7adf4a215c524b" addr="T0R3C7S1_1"/>
      <m:placeholder xlName="_PLD_34f0a79569fb404697b6c136f4e401af" addr="T0R3C8S1_1"/>
      <m:placeholder xlName="_PLD_0c9f5689d2c940128f8065b5f239d0b7" addr="T0R3C9S1_1"/>
      <m:placeholder xlName="_PLD_b7c0ea5f66194238aa85488efa9874d8" addr="T0R3C10S1_1"/>
      <m:placeholder xlName="_PLD_7962ca626d3b47958f4177849a1c4028" addr="T0R3C11S1_1"/>
      <m:placeholder xlName="_PLD_b8d44d88458347589653da9799f3b3ba" addr="T0R3C12S1_1"/>
      <m:tuple xlName="_TUP_561069bf6ebb4a94a35ce9d1fe9b8e8a" concept="clcid-ie:MuJiZiJinShiYongJinZhanMingXi" default_row="2" addr="T0R4C">
        <m:item xlName="_GBC_e0b02d77669b4d088c77184f5f9d81c1" concept="clcid-ie:MuJiZiJinShiYongJinZhanMingXiChengNuoTouZiXiangMu" label="募集资金使用进展明细_承诺投资项目" addr="T0R4C0S1_1" appId="_GBC_aab82a57337f41868f8163d4c16e48f4"/>
        <m:item xlName="_GBC_472f4ff17cfd4df9bb60854b70abea3f" concept="clcid-ie:MuJiZiJinShiYongJinZhanMingXiYiBianGengXiangMu" label="募集资金使用进展明细_已变更项目" addr="T0R4C1S1_1" appId="_GBC_aab82a57337f41868f8163d4c16e48f4"/>
        <m:item xlName="_GBC_a742a9663e9541d1a0a61058440bc7f7" concept="clcid-ie:MuJiZiJinShiYongJinZhanMingXiMuJiZiJinChengNuoTouZiZongE" label="募集资金使用进展明细_募集资金承诺投资总额" mulRef="_GBC_a41db9bb34604003a8b01459acecfc9c" unitRef="_GBC_7ceaf8537d014c1f8b62bfd453222c57" addr="T0R4C2S1_1" formatStyle="Comma" appId="_GBC_aab82a57337f41868f8163d4c16e48f4"/>
        <m:item xlName="_GBC_8195ddda45d5485683220b272b402e25" concept="clcid-ie:MuJiZiJinShiYongJinZhanMingXiDiaoZhengHouTouZiZongE" label="募集资金使用进展明细_调整后投资总额" mulRef="_GBC_a41db9bb34604003a8b01459acecfc9c" unitRef="_GBC_7ceaf8537d014c1f8b62bfd453222c57" addr="T0R4C3S1_1" formatStyle="Comma" appId="_GBC_aab82a57337f41868f8163d4c16e48f4"/>
        <m:item xlName="_GBC_9610e19967ea42ba83094a02d2dff4d8" concept="clcid-ie:MuJiZiJinShiYongJinZhanMingXiChengNuoTouRuJinE" label="募集资金使用进展明细_承诺投入金额" mulRef="_GBC_a41db9bb34604003a8b01459acecfc9c" unitRef="_GBC_7ceaf8537d014c1f8b62bfd453222c57" addr="T0R4C4S1_1" formatStyle="Comma" appId="_GBC_aab82a57337f41868f8163d4c16e48f4"/>
        <m:item xlName="_GBC_11f1927b27414a68984d64453c6d5359" concept="clcid-ie:MuJiZiJinShiYongJinZhanMingXiTouRuJinE" label="募集资金使用进展明细_投入金额" mulRef="_GBC_a41db9bb34604003a8b01459acecfc9c" unitRef="_GBC_7ceaf8537d014c1f8b62bfd453222c57" addr="T0R4C5S1_1" formatStyle="Comma" appId="_GBC_aab82a57337f41868f8163d4c16e48f4"/>
        <m:item xlName="_GBC_88f722fd4eec449888d6f497d7e90e66" concept="clcid-ie:MuJiZiJinShiYongJinZhanMingXiLeiJiTouRuJinE" label="募集资金使用进展明细_累计投入金额" mulRef="_GBC_a41db9bb34604003a8b01459acecfc9c" unitRef="_GBC_7ceaf8537d014c1f8b62bfd453222c57" addr="T0R4C6S1_1" formatStyle="Comma" appId="_GBC_aab82a57337f41868f8163d4c16e48f4"/>
        <m:item xlName="_GBC_b72ec1734e2849229c9cf3575b459683" concept="clcid-ie:MuJiZiJinShiYongJinZhanMingXiLeiJiTouRuJinEYuChengNuoTouRuJinEDeChaE" label="募集资金使用进展明细_累计投入金额与承诺投入金额的差额" mulRef="_GBC_a41db9bb34604003a8b01459acecfc9c" unitRef="_GBC_7ceaf8537d014c1f8b62bfd453222c57" addr="T0R4C7S1_1" formatStyle="Comma" appId="_GBC_aab82a57337f41868f8163d4c16e48f4">
          <m:complexRule comparator="Eq" title="募集资金使用进展明细_累计投入金额与承诺投入金额的差额" test=" $_GBC_88f722fd4eec449888d6f497d7e90e66 -  $_GBC_9610e19967ea42ba83094a02d2dff4d8" id="C992795a87b4a4fcb8abfc10f295aecfd"/>
        </m:item>
        <m:item xlName="_GBC_7757de7f069e47b79c7f8266f3f9a361" concept="clcid-ie:MuJiZiJinShiYongJinZhanMingXiTouRuJinDu" label="募集资金使用进展明细_投入进度" addr="T0R4C8S1_1" baseScale="0.01" formatStyle="Comma" appId="_GBC_aab82a57337f41868f8163d4c16e48f4"/>
        <m:item xlName="_GBC_309aa23dbe184c46bc4643e215341c7c" concept="clcid-ie:MuJiZiJinShiYongJinZhanMingXiXiangMuDaDaoYuDingKeShiYongZhuangTaiRiQi" label="募集资金使用进展明细_项目达到预定可使用状态日期" addr="T0R4C9S1_1" appId="_GBC_aab82a57337f41868f8163d4c16e48f4"/>
        <m:item xlName="_GBC_e11a1f53158443a1825f9b7d365a5310" concept="clcid-ie:MuJiZiJinShiYongJinZhanMingXiShiXianDeXiaoYi" label="募集资金使用进展明细_实现的效益" mulRef="_GBC_a41db9bb34604003a8b01459acecfc9c" unitRef="_GBC_7ceaf8537d014c1f8b62bfd453222c57" addr="T0R4C10S1_1" formatStyle="Comma" appId="_GBC_aab82a57337f41868f8163d4c16e48f4"/>
        <m:item xlName="_GBC_05397eee74ef45e8b03e91d74a708588" concept="clcid-ie:MuJiZiJinShiYongJinZhanMingXiShiFouDaDaoYuJiXiaoYi" label="募集资金使用进展明细_是否达到预计效益" selectOptions="14ac587059d94c419a8b498f244a1841" addr="T0R4C11S1_1" controlType="Combobox" appId="_GBC_aab82a57337f41868f8163d4c16e48f4"/>
        <m:item xlName="_GBC_b86cf91cf0a84c3e9e3ff7e2aaedab98" concept="clcid-ie:MuJiZiJinShiYongJinZhanMingXiXiangMuKeXingXingShiFouFaShengZhongDaBianHua" label="募集资金使用进展明细_项目可行性是否发生重大变化" selectOptions="_buildInYesNo" addr="T0R4C12S1_1" controlType="Combobox" appId="_GBC_aab82a57337f41868f8163d4c16e48f4"/>
      </m:tuple>
      <m:placeholder xlName="_PLD_1ed8c5ed5c374312ac4f5c3ff505cdd9" addr="T0R6C0S1_1"/>
      <m:placeholder xlName="_PLD_42255d86a6cf4369b92f311b08a6b3c0" addr="T0R6C1S1_1"/>
      <m:item xlName="_GBC_9237d41bfd244008b32300400ba985b9" concept="clcid-ie:MuJiZiJinChengNuoTouZiZongEHeJi" label="募集资金承诺投资总额合计" mulRef="_GBC_a41db9bb34604003a8b01459acecfc9c" unitRef="_GBC_7ceaf8537d014c1f8b62bfd453222c57" addr="T0R6C2S1_1" formatStyle="Comma" appId="_GBC_aab82a57337f41868f8163d4c16e48f4">
        <m:complexRule comparator="Eq" title="募集资金承诺投资总额合计" test=" $_GBC_a742a9663e9541d1a0a61058440bc7f7" id="Cca11019e6b9d4499968cdf6f34537f00"/>
      </m:item>
      <m:item xlName="_GBC_72ac31c25d5b4e2a8d9367c3a558fd9a" concept="clcid-ie:DiaoZhengHouTouZiZongEHeJi" label="调整后投资总额合计" mulRef="_GBC_a41db9bb34604003a8b01459acecfc9c" unitRef="_GBC_7ceaf8537d014c1f8b62bfd453222c57" addr="T0R6C3S1_1" formatStyle="Comma" appId="_GBC_aab82a57337f41868f8163d4c16e48f4">
        <m:complexRule comparator="Eq" title="调整后投资总额合计" test=" $_GBC_8195ddda45d5485683220b272b402e25" id="C97247c8cf0004d608b91858e750ed075"/>
      </m:item>
      <m:item xlName="_GBC_e1344e2d9f70426293dc6e4401445039" concept="clcid-ie:ChengNuoTouRuJinEHeJi" label="承诺投入金额合计" mulRef="_GBC_a41db9bb34604003a8b01459acecfc9c" unitRef="_GBC_7ceaf8537d014c1f8b62bfd453222c57" addr="T0R6C4S1_1" formatStyle="Comma" appId="_GBC_aab82a57337f41868f8163d4c16e48f4">
        <m:complexRule comparator="Eq" title="承诺投入金额合计" test=" $_GBC_9610e19967ea42ba83094a02d2dff4d8" id="C97b82b697e63467886bf4f217a997c3a"/>
      </m:item>
      <m:item xlName="_GBC_90ea49c0c0134296b8cf6a9bb72b78f8" concept="clcid-ie:TouRuJinEHeJi" label="投入金额合计" mulRef="_GBC_a41db9bb34604003a8b01459acecfc9c" unitRef="_GBC_7ceaf8537d014c1f8b62bfd453222c57" addr="T0R6C5S1_1" formatStyle="Comma" appId="_GBC_aab82a57337f41868f8163d4c16e48f4">
        <m:complexRule comparator="Eq" title="投入金额合计" test=" $_GBC_11f1927b27414a68984d64453c6d5359" id="Cea49daa77da047289ab25396bfa7b954"/>
      </m:item>
      <m:item xlName="_GBC_a8034a97ada041368bd0993d6bb1a1ed" concept="clcid-ie:LeiJiTouRuJinEHeJi" label="累计投入金额合计" mulRef="_GBC_a41db9bb34604003a8b01459acecfc9c" unitRef="_GBC_7ceaf8537d014c1f8b62bfd453222c57" addr="T0R6C6S1_1" formatStyle="Comma" appId="_GBC_aab82a57337f41868f8163d4c16e48f4">
        <m:complexRule comparator="Eq" title="累计投入金额合计" test=" $_GBC_88f722fd4eec449888d6f497d7e90e66" id="C8e0ac9b9ca654d9e8e88a1c370c4e155"/>
      </m:item>
      <m:item xlName="_GBC_80e73cd4071d4b1ea75841c3683262ae" concept="clcid-ie:LeiJiTouRuJinEYuChengNuoTouRuJinEDeChaEHeJi" label="累计投入金额与承诺投入金额的差额合计" mulRef="_GBC_a41db9bb34604003a8b01459acecfc9c" unitRef="_GBC_7ceaf8537d014c1f8b62bfd453222c57" addr="T0R6C7S1_1" formatStyle="Comma" appId="_GBC_aab82a57337f41868f8163d4c16e48f4">
        <m:complexRule comparator="Eq" title="累计投入金额与承诺投入金额的差额合计" test=" $_GBC_b72ec1734e2849229c9cf3575b459683" id="C5f32c359db644f3bbeefb4c928b64a03"/>
      </m:item>
      <m:placeholder xlName="_PLD_4936c9d3aacc43c0a1e6d445b28607bc" addr="T0R6C8S1_1"/>
      <m:placeholder xlName="_PLD_e82be0fca1644f5bb36d83139ccfdeeb" addr="T0R6C9S1_1"/>
      <m:item xlName="_GBC_a614412a538c45219f2e9e6677d68293" concept="clcid-ie:ShiXianDeXiaoYiHeJi" label="实现的效益合计" mulRef="_GBC_a41db9bb34604003a8b01459acecfc9c" unitRef="_GBC_7ceaf8537d014c1f8b62bfd453222c57" addr="T0R6C10S1_1" formatStyle="Comma" appId="_GBC_aab82a57337f41868f8163d4c16e48f4">
        <m:complexRule comparator="Eq" title="实现的效益合计" test=" $_GBC_e11a1f53158443a1825f9b7d365a5310" id="Cb912cdd4d935470399b40d2e0fecd894"/>
      </m:item>
      <m:placeholder xlName="_PLD_a73660be8fe24340919e0b6af44ce11d" addr="T0R6C11S1_1"/>
      <m:placeholder xlName="_PLD_be7fc08cad274e43b507aa05e82fc33f" addr="T0R6C12S1_1"/>
      <m:placeholder xlName="_PLD_aa1dc4ffa0744ac08ae1dd5da5c6fa60" addr="T0R7C0S1_4"/>
      <m:item xlName="_GBC_1629fe6d95af42fb91d6042a35bd686f" concept="clcid-ie:WeiDaDaoJiHuaJinDuYuanYin" label="未达到计划进度原因" addr="T0R7C4S1_9" appId="_GBC_aab82a57337f41868f8163d4c16e48f4"/>
      <m:placeholder xlName="_PLD_7d78a0a5e88949399a693d587f4ae130" addr="T0R8C0S1_4"/>
      <m:item xlName="_GBC_3bb0967a1e8e4e2b95f7046715a24a0e" concept="clcid-ie:XiangMuKeXingXingFaShengZhongDaBianHuaDeQingKuangShuoMing" label="项目可行性发生重大变化的情况说明" addr="T0R8C4S1_9" appId="_GBC_aab82a57337f41868f8163d4c16e48f4"/>
      <m:placeholder xlName="_PLD_5e1234d1505e43c1a9c87080b5dde6f1" addr="T0R9C0S1_4"/>
      <m:item xlName="_GBC_e366c32976de4c00b2b33d2020b5012c" concept="clcid-ie:MuJiZiJinTouZiXiangMuXianQiTouRuJiZhiHuanQingKuang" label="募集资金投资项目先期投入及置换情况" addr="T0R9C4S1_9" appId="_GBC_aab82a57337f41868f8163d4c16e48f4"/>
      <m:placeholder xlName="_PLD_f73859f85672434898eca4794b130fc7" addr="T0R10C0S1_4"/>
      <m:item xlName="_GBC_1eb2292f0d5c4ab0a1e53274c352df4b" concept="clcid-ie:YongXianZhiMuJiZiJinZanShiBuChongLiuDongZiJinQingKuang" label="用闲置募集资金暂时补充流动资金情况" addr="T0R10C4S1_9" appId="_GBC_aab82a57337f41868f8163d4c16e48f4"/>
      <m:placeholder xlName="_PLD_401cd8d24e95486e9a8e109dd644f61b" addr="T0R11C0S1_4"/>
      <m:item xlName="_GBC_20be7112fb78424596efd08e35072df4" concept="clcid-ie:DuiXianZhiMuJiZiJinJinXingXianJinGuanLiTouZiXiangGuanChanPinQingKuang" label="对闲置募集资金进行现金管理投资相关产品情况" addr="T0R11C4S1_9" appId="_GBC_aab82a57337f41868f8163d4c16e48f4"/>
      <m:placeholder xlName="_PLD_928954ff22c6440d8830a5d3f6747f85" addr="T0R12C0S1_4"/>
      <m:item xlName="_GBC_dfaf93eb085349d09eb899f0070625bc" concept="clcid-ie:YongChaoMuZiJinYongJiuBuChongLiuDongZiJinHuoGuiHuanYinXingDaiKuanQingKuang" label="用超募资金永久补充流动资金或归还银行贷款情况" addr="T0R12C4S1_9" appId="_GBC_aab82a57337f41868f8163d4c16e48f4"/>
      <m:placeholder xlName="_PLD_93f55823af6d44078132c4e7ea89f44e" addr="T0R13C0S1_4"/>
      <m:item xlName="_GBC_9e1b01443d4546e991de2d82c345aa54" concept="clcid-ie:MuJiZiJinJieYuDeJinEJiXingChengYuanYin" label="募集资金结余的金额及形成原因" addr="T0R13C4S1_9" appId="_GBC_aab82a57337f41868f8163d4c16e48f4"/>
      <m:placeholder xlName="_PLD_e49ee092750f420cb6746dce589fc093" addr="T0R14C0S1_4"/>
      <m:item xlName="_GBC_0f2788e2a146478ea71b820e6b5233d0" concept="clcid-ie:MuJiZiJinQiTaShiYongQingKuang" label="募集资金其他使用情况" addr="T0R14C4S1_9" appId="_GBC_aab82a57337f41868f8163d4c16e48f4"/>
    </m:section>
    <m:section xlName="_SEC_0705015634e74218914134e2680e2a06" title="" helpId="110011001">
      <m:item xlName="_GBC_b6d954366a5c4032a5fd98a1690e59b0" concept="clcid-ci-ar:ShiFouShiYongQiTaZhongDaShiXiangDeShuoMing" label="是否适用：其他重大事项的说明" selectOptions="_buildInAppliance" controlType="CustomCheckbox" cRanges="[{&quot;StartName&quot;:&quot;_GBC_b6d954366a5c4032a5fd98a1690e59b0&quot;,&quot;EndName&quot;:&quot;_GBC_2809eb0700a54f999205fd4b70f6fe1b&quot;,&quot;CType&quot;:1}]"/>
      <m:item xlName="_GBC_2809eb0700a54f999205fd4b70f6fe1b" concept="clcid-ie:QiTaZhongDaShiXiangShuoMing" label="其它重大事项说明" appId="_GBC_b6d954366a5c4032a5fd98a1690e59b0"/>
    </m:section>
    <m:section xlName="_SEC_2b55a7402c1a4ebfa05e217b55f24b63" title="股份变动情况表" helpId="104001001" primarySection="_SEC_3782effb59ab48a69b560d20cb0ee63c" optionText="股份有变化" optionGroupTitle="公司股份变化情况" optionTargetConcept="clcid-ci-ar:ShiFouShiYongGuFenBianDongQingKuangBiao" optionTargetConceptValue="true" otherKeyActions="{&quot;KeyCode&quot;:&quot;SF_TEC&quot;,&quot;KeyAction&quot;:47,&quot;KeyActionTitle&quot;:null,&quot;OtherActions&quot;:null}">
      <m:item xlName="_GBC_a508261a48b3418b953725c3be4eaf67" concept="clcid-ci-ar:DanWeiGuFenBianDongQingKuangBiao" label="单位：股份变动情况表" selectOptions="e5ff0938481c4e57a5dbc66853be82ef" controlType="Combobox" cellType="Scale"/>
      <m:placeholder xlName="_PLD_773774907be2499582cb4a9e52eff244" addr="T0R0C1S1_2"/>
      <m:placeholder xlName="_PLD_f0e43bf6757e47a6849f2f3f9d9c4d69" addr="T0R0C3S1_5"/>
      <m:placeholder xlName="_PLD_c9dd6a9d38c14adca67694e55d813cfe" addr="T0R0C8S1_2"/>
      <m:placeholder xlName="_PLD_5610c4cb75f349b784cbd52236b29d38" addr="T0R1C1S1_1"/>
      <m:placeholder xlName="_PLD_e8fd10c56b064b77a91c9d778dd2739d" addr="T0R1C2S1_1"/>
      <m:placeholder xlName="_PLD_b26af1716c0944c6ad345a3e2c3d1081" addr="T0R1C3S1_1"/>
      <m:placeholder xlName="_PLD_9d29fe901f6f4c338f2055f12dd18d96" addr="T0R1C4S1_1"/>
      <m:placeholder xlName="_PLD_98eb9790d5ea4b609101ba1c32486188" addr="T0R1C5S1_1"/>
      <m:placeholder xlName="_PLD_82b73dc0a0b04af9adc9c08f8c84c882" addr="T0R1C6S1_1"/>
      <m:placeholder xlName="_PLD_19160b60b93b4452b9fc78ae89f95036" addr="T0R1C7S1_1"/>
      <m:placeholder xlName="_PLD_5b0f6a63f56d49c29569edbd07e4f836" addr="T0R1C8S1_1"/>
      <m:placeholder xlName="_PLD_2b4e536793924fabbbc0296c1e810c01" addr="T0R1C9S1_1"/>
      <m:placeholder xlName="_PLD_84223fe71de943388528023a66cbbb5f" addr="T0R2C0S1_1"/>
      <m:item xlName="_GBC_fbeccc857b3f4b97a28445ffa2d08300" concept="clcid-cgi:GuQuanFenZhiGaiGeHouYouXianShouTiaoJianLiuTongGuShu" label="有限售条件流通股数" periodRef="本期期初数" mulRef="_GBC_a508261a48b3418b953725c3be4eaf67" addr="T0R2C1S1_1" formatStyle="Comma">
        <m:complexRule comparator="Eq" title="有限售条件流通股数@本期期初数" test=" $_GBC_7ac9031e98534d2e8efd01303e13d6cf +  $_GBC_3167e5c3e9574cfe9c712a5ef0ba9867 +  $_GBC_06f4c1c105324f9493d1806f253238cf +  $_GBC_865c647edf0e4c30a5a3896827f46b4f" id="C9b25bf2a89d94819a52a9c82a966f3bb"/>
      </m:item>
      <m:item xlName="_GBC_37511f291d324d86890dab2a26a91e63" concept="clcid-cgi:GuQuanFenZhiGaiGeHouYouXianShouTiaoJianLiuTongGuZhanZongGuBenBiLi" label="有限售条件流通股占总股本比例" periodRef="本期期初数" addr="T0R2C2S1_1" baseScale="0.01" formatStyle="Comma">
        <m:complexRule comparator="Eq" title="有限售条件流通股占总股本比例@本期期初数" test=" $_GBC_d22052aa167b486a9f4231e3f39bb1e2 +  $_GBC_46b0fc9bb2104299883e1068a4adb5d3 +  $_GBC_88a0497b8b194748b77ae85dd64ecea5 +  $_GBC_bf5a58287c074b95aee69b374c98e843" id="Ce25a9024180f487d8594c7f98f6b1e7d"/>
      </m:item>
      <m:item xlName="_GBC_e97b0601a9d04ac9a83f6ff94bb70c6e" concept="clcid-cgi:GuQuanFenZhiGaiGeHouYouXianShouTiaoJianLiuTongGuFaXingXinGuBianDongZengJian" label="有限售条件流通股发行新股变动增减" mulRef="_GBC_a508261a48b3418b953725c3be4eaf67" addr="T0R2C3S1_1" formatStyle="Comma">
        <m:complexRule comparator="Eq" title="有限售条件流通股发行新股变动增减" test=" $_GBC_8ac1c1cce3e64d84928c654c1230201d +  $_GBC_2407abe77ed54c10817ef8c20f13e7a8 +  $_GBC_847de085cf1e4471af4ce7e72818b5f6 +  $_GBC_4661208bd1574292b34d63a5623c8e26" id="Cd9f0db7f95154ac088e176cbb56d50d7"/>
      </m:item>
      <m:item xlName="_GBC_4e465a2929534e96ad23455595cf2a9d" concept="clcid-cgi:GuQuanFenZhiGaiGeHouYouXianShouTiaoJianLiuTongGuSongGuBianDongZengJian" label="有限售条件流通股送股变动增减" mulRef="_GBC_a508261a48b3418b953725c3be4eaf67" addr="T0R2C4S1_1" formatStyle="Comma">
        <m:complexRule comparator="Eq" title="有限售条件流通股送股变动增减" test=" $_GBC_c196148320b8401081d3223887fe74f6 +  $_GBC_a8e74558ae744919a706abf4c8946bba +  $_GBC_1e6aa17470c74f8d8add59eca1fad008 +  $_GBC_5cf510342eba4e4682d4efca9aded4a6" id="Cb2c37dee5ba04dd4a8d2db1ed8adc2d5"/>
      </m:item>
      <m:item xlName="_GBC_fc0251cb7e224195b2f7b74940cefad7" concept="clcid-cgi:GuQuanFenZhiGaiGeHouYouXianShouTiaoJianLiuTongGuGongJiJinZhuanGuBianDongZengJian" label="有限售条件流通股公积金转股变动增减" mulRef="_GBC_a508261a48b3418b953725c3be4eaf67" addr="T0R2C5S1_1" formatStyle="Comma">
        <m:complexRule comparator="Eq" title="有限售条件流通股公积金转股变动增减" test=" $_GBC_ceb75205fc884be8aaf90bf0bdd013e4 +  $_GBC_04ed33f3542c4f6da3087fe45bd1c456 +  $_GBC_bd37ec55af1048078a3edd9a9ac1a81f +  $_GBC_750cc3333aac401daa92e49a3ee9de4d" id="C528b4b25ec8a4511883b57ef0932de77"/>
      </m:item>
      <m:item xlName="_GBC_5c4710b4bb0b40629fadc31b222c7871" concept="clcid-cgi:GuQuanFenZhiGaiGeHouYouXianShouTiaoJianLiuTongGuQiTaBianDongZengJian" label="有限售条件流通股其他变动增减" mulRef="_GBC_a508261a48b3418b953725c3be4eaf67" addr="T0R2C6S1_1" formatStyle="Comma">
        <m:complexRule comparator="Eq" title="有限售条件流通股其他变动增减" test=" $_GBC_508c3df527cb4f0abce9be73cd8727aa +  $_GBC_6033a613955849329608b8671e596f95 +  $_GBC_86ca6ae2a5fb489b9e108a03f748fd4c +  $_GBC_257851d83fc44ff5a182b1ec1a682908" id="C06f36b46a3bb4f15aabf691d0b6452c1"/>
      </m:item>
      <m:item xlName="_GBC_a3b5476c5cfd4577863e62c6045eac72" concept="clcid-cgi:GuQuanFenZhiGaiGeHouYouXianShouTiaoJianLiuTongGuBianDongZengJianXiaoJi" label="有限售条件流通股变动增减小计" mulRef="_GBC_a508261a48b3418b953725c3be4eaf67" addr="T0R2C7S1_1" formatStyle="Comma">
        <m:complexRule comparator="Eq" title="有限售条件流通股变动增减小计" test=" $_GBC_2a75482533f847589ca116251d34c0eb +  $_GBC_f4f8f452359642e0afd69f3845054897 +  $_GBC_0e0e835d7a7b43389baea109bde905ea +  $_GBC_41f8f94e0818417db4fcdfdd4001d155" id="Ca8843894950a45b6b7086bbf15819a77"/>
        <m:complexRule comparator="Eq" title="有限售条件流通股变动增减小计" test=" $_GBC_e97b0601a9d04ac9a83f6ff94bb70c6e +  $_GBC_4e465a2929534e96ad23455595cf2a9d +  $_GBC_fc0251cb7e224195b2f7b74940cefad7 +  $_GBC_5c4710b4bb0b40629fadc31b222c7871" id="Cc9f3e00811ff4fbaa54bf107f32a142b"/>
      </m:item>
      <m:item xlName="_GBC_c9f5cea3a39b4132b421cf662e5aa03f" concept="clcid-cgi:GuQuanFenZhiGaiGeHouYouXianShouTiaoJianLiuTongGuShu" label="有限售条件流通股数" mulRef="_GBC_a508261a48b3418b953725c3be4eaf67" addr="T0R2C8S1_1" formatStyle="Comma">
        <m:complexRule comparator="Eq" title="有限售条件流通股数" test=" $_GBC_fbeccc857b3f4b97a28445ffa2d08300 +  $_GBC_a3b5476c5cfd4577863e62c6045eac72" id="Cd9b9a4233fd8457fb17b2d389bd3ae83"/>
        <m:complexRule comparator="Eq" title="有限售条件流通股数" test=" $_GBC_9b67219e86e240e7835ea8ec178a1e87 +  $_GBC_e3d078b97f304dd98ae92b3f6e7eba88 +  $_GBC_3b87c11051964a94bfbae02e3bf74019 +  $_GBC_e144921f165b4e1d8acab8c9ddef1835" id="C375977ac882e4b87af096d98670e4131"/>
      </m:item>
      <m:item xlName="_GBC_a6bfdfc7961d41ef83a4846dd09dc422" concept="clcid-cgi:GuQuanFenZhiGaiGeHouYouXianShouTiaoJianLiuTongGuZhanZongGuBenBiLi" label="有限售条件流通股占总股本比例" addr="T0R2C9S1_1" baseScale="0.01" formatStyle="Comma">
        <m:complexRule comparator="Eq" title="有限售条件流通股占总股本比例" test=" $_GBC_7b778fe4d518432cad942f15f4f16514 +  $_GBC_df5ab3c4413e4bd5abd3f5fb90dd2bef +  $_GBC_c96db50dd4984c8eac102752a84c3012 +  $_GBC_7547c1d7a66e409a87d28af13fa88968" id="Cedcdf50d6d2042889daa258c2fd35ca1"/>
      </m:item>
      <m:placeholder xlName="_PLD_d2494e8625b34f96956b8a9f0b159d31" addr="T0R3C0S1_1"/>
      <m:item xlName="_GBC_7ac9031e98534d2e8efd01303e13d6cf" concept="clcid-cgi:GuQuanFenZhiGaiGeHouYouXianShouTiaoJianLiuTongGuGuoJiaChiYouGuFenShu" label="国家持有的有限售条件流通股份数" periodRef="本期期初数" mulRef="_GBC_a508261a48b3418b953725c3be4eaf67" addr="T0R3C1S1_1" formatStyle="Comma"/>
      <m:item xlName="_GBC_d22052aa167b486a9f4231e3f39bb1e2" concept="clcid-cgi:GuQuanFenZhiGaiGeHouYouXianShouTiaoJianLiuTongGuGuoJiaChiYouGuFenZhanZongGuBenBiLi" label="国家持有的有限售条件流通股份占总股本比例" periodRef="本期期初数" addr="T0R3C2S1_1" baseScale="0.01" formatStyle="Comma"/>
      <m:item xlName="_GBC_8ac1c1cce3e64d84928c654c1230201d" concept="clcid-cgi:GuQuanFenZhiGaiGeHouGuoJiaChiYouDeYouXianShouTiaoJianLiuTongGuFaXingXinGuBianDongZengJian" label="国家持有的有限售条件流通股发行新股变动增减" mulRef="_GBC_a508261a48b3418b953725c3be4eaf67" addr="T0R3C3S1_1" formatStyle="Comma"/>
      <m:item xlName="_GBC_c196148320b8401081d3223887fe74f6" concept="clcid-cgi:GuQuanFenZhiGaiGeHouGuoJiaChiYouDeYouXianShouTiaoJianLiuTongGuSongGuBianDongZengJian" label="国家持有的有限售条件流通股送股变动增减" mulRef="_GBC_a508261a48b3418b953725c3be4eaf67" addr="T0R3C4S1_1" formatStyle="Comma"/>
      <m:item xlName="_GBC_ceb75205fc884be8aaf90bf0bdd013e4" concept="clcid-cgi:GuQuanFenZhiGaiGeHouGuoJiaChiYouDeYouXianShouTiaoJianLiuTongGuGongJiJinZhuanGuBianDongZengJian" label="国家持有的有限售条件流通股公积金转股变动增减" mulRef="_GBC_a508261a48b3418b953725c3be4eaf67" addr="T0R3C5S1_1" formatStyle="Comma"/>
      <m:item xlName="_GBC_508c3df527cb4f0abce9be73cd8727aa" concept="clcid-cgi:GuQuanFenZhiGaiGeHouGuoJiaChiYouDeYouXianShouTiaoJianLiuTongGuQiTaBianDongZengJian" label="国家持有的有限售条件流通股其他变动增减" mulRef="_GBC_a508261a48b3418b953725c3be4eaf67" addr="T0R3C6S1_1" formatStyle="Comma"/>
      <m:item xlName="_GBC_2a75482533f847589ca116251d34c0eb" concept="clcid-cgi:GuQuanFenZhiGaiGeHouGuoJiaChiYouDeYouXianShouTiaoJianLiuTongGuBianDongZengJianXiaoJi" label="国家持有的有限售条件流通股变动增减小计" mulRef="_GBC_a508261a48b3418b953725c3be4eaf67" addr="T0R3C7S1_1" formatStyle="Comma">
        <m:complexRule comparator="Eq" title="国家持有的有限售条件流通股变动增减小计" test=" $_GBC_8ac1c1cce3e64d84928c654c1230201d +  $_GBC_c196148320b8401081d3223887fe74f6 +  $_GBC_ceb75205fc884be8aaf90bf0bdd013e4 +  $_GBC_508c3df527cb4f0abce9be73cd8727aa" id="C834bc53628524aafa2bcca993eb9673b"/>
      </m:item>
      <m:item xlName="_GBC_9b67219e86e240e7835ea8ec178a1e87" concept="clcid-cgi:GuQuanFenZhiGaiGeHouYouXianShouTiaoJianLiuTongGuGuoJiaChiYouGuFenShu" label="国家持有的有限售条件流通股份数" mulRef="_GBC_a508261a48b3418b953725c3be4eaf67" addr="T0R3C8S1_1" formatStyle="Comma">
        <m:complexRule comparator="Eq" title="国家持有的有限售条件流通股份数" test=" $_GBC_7ac9031e98534d2e8efd01303e13d6cf +  $_GBC_2a75482533f847589ca116251d34c0eb" id="Cbb98d95c8a664bb5a8c6da844df3976c"/>
      </m:item>
      <m:item xlName="_GBC_7b778fe4d518432cad942f15f4f16514" concept="clcid-cgi:GuQuanFenZhiGaiGeHouYouXianShouTiaoJianLiuTongGuGuoJiaChiYouGuFenZhanZongGuBenBiLi" label="国家持有的有限售条件流通股份占总股本比例" addr="T0R3C9S1_1" baseScale="0.01" formatStyle="Comma"/>
      <m:placeholder xlName="_PLD_82e303ed7bdb4d5bb394a9b8b8bae0a5" addr="T0R4C0S1_1"/>
      <m:item xlName="_GBC_3167e5c3e9574cfe9c712a5ef0ba9867" concept="clcid-cgi:GuQuanFenZhiGaiGeHouYouXianShouTiaoJianLiuTongGuGuoYouFaRenGuFenShu" label="国有法人持有的有限售条件流通股份数" periodRef="本期期初数" mulRef="_GBC_a508261a48b3418b953725c3be4eaf67" addr="T0R4C1S1_1" formatStyle="Comma"/>
      <m:item xlName="_GBC_46b0fc9bb2104299883e1068a4adb5d3" concept="clcid-cgi:GuQuanFenZhiGaiGeHouYouXianShouTiaoJianLiuTongGuGuoYouFaRenGuFenZhanZongGuBenBiLi" label="国有法人持有的有限售条件流通股份占总股本比例" periodRef="本期期初数" addr="T0R4C2S1_1" baseScale="0.01" formatStyle="Comma"/>
      <m:item xlName="_GBC_2407abe77ed54c10817ef8c20f13e7a8" concept="clcid-cgi:GuQuanFenZhiGaiGeHouGuoYouFaRenChiYouDeYouXianShouTiaoJianLiuTongGuFaXingXinGuBianDongZengJian" label="国有法人持有的有限售条件流通股发行新股变动增减" mulRef="_GBC_a508261a48b3418b953725c3be4eaf67" addr="T0R4C3S1_1" formatStyle="Comma"/>
      <m:item xlName="_GBC_a8e74558ae744919a706abf4c8946bba" concept="clcid-cgi:GuQuanFenZhiGaiGeHouGuoYouFaRenChiYouDeYouXianShouTiaoJianLiuTongGuSongGuBianDongZengJian" label="国有法人持有的有限售条件流通股送股变动增减" mulRef="_GBC_a508261a48b3418b953725c3be4eaf67" addr="T0R4C4S1_1" formatStyle="Comma"/>
      <m:item xlName="_GBC_04ed33f3542c4f6da3087fe45bd1c456" concept="clcid-cgi:GuQuanFenZhiGaiGeHouGuoYouFaRenChiYouDeYouXianShouTiaoJianLiuTongGuGongJiJinZhuanGuBianDongZengJian" label="国有法人持有的有限售条件流通股公积金转股变动增减" mulRef="_GBC_a508261a48b3418b953725c3be4eaf67" addr="T0R4C5S1_1" formatStyle="Comma"/>
      <m:item xlName="_GBC_6033a613955849329608b8671e596f95" concept="clcid-cgi:GuQuanFenZhiGaiGeHouGuoYouFaRenChiYouDeYouXianShouTiaoJianLiuTongGuQiTaBianDongZengJian" label="国有法人持有的有限售条件流通股其他变动增减" mulRef="_GBC_a508261a48b3418b953725c3be4eaf67" addr="T0R4C6S1_1" formatStyle="Comma"/>
      <m:item xlName="_GBC_f4f8f452359642e0afd69f3845054897" concept="clcid-cgi:GuQuanFenZhiGaiGeHouGuoYouFaRenChiYouDeYouXianShouTiaoJianLiuTongGuBianDongZengJianXiaoJi" label="国有法人持有的有限售条件流通股变动增减小计" mulRef="_GBC_a508261a48b3418b953725c3be4eaf67" addr="T0R4C7S1_1" formatStyle="Comma">
        <m:complexRule comparator="Eq" title="国有法人持有的有限售条件流通股变动增减小计" test=" $_GBC_2407abe77ed54c10817ef8c20f13e7a8 +  $_GBC_a8e74558ae744919a706abf4c8946bba +  $_GBC_04ed33f3542c4f6da3087fe45bd1c456 +  $_GBC_6033a613955849329608b8671e596f95" id="C7bea170bcd8645c1ba372f490d0ef420"/>
      </m:item>
      <m:item xlName="_GBC_e3d078b97f304dd98ae92b3f6e7eba88" concept="clcid-cgi:GuQuanFenZhiGaiGeHouYouXianShouTiaoJianLiuTongGuGuoYouFaRenGuFenShu" label="国有法人持有的有限售条件流通股份数" mulRef="_GBC_a508261a48b3418b953725c3be4eaf67" addr="T0R4C8S1_1" formatStyle="Comma">
        <m:complexRule comparator="Eq" title="国有法人持有的有限售条件流通股份数" test=" $_GBC_3167e5c3e9574cfe9c712a5ef0ba9867 +  $_GBC_f4f8f452359642e0afd69f3845054897" id="Cf5017983334642b6a02b39434cf50619"/>
      </m:item>
      <m:item xlName="_GBC_df5ab3c4413e4bd5abd3f5fb90dd2bef" concept="clcid-cgi:GuQuanFenZhiGaiGeHouYouXianShouTiaoJianLiuTongGuGuoYouFaRenGuFenZhanZongGuBenBiLi" label="国有法人持有的有限售条件流通股份占总股本比例" addr="T0R4C9S1_1" baseScale="0.01" formatStyle="Comma"/>
      <m:placeholder xlName="_PLD_b81683aac63445b3b8c77e430006e556" addr="T0R5C0S1_1"/>
      <m:item xlName="_GBC_06f4c1c105324f9493d1806f253238cf" concept="clcid-cgi:GuQuanFenZhiGaiGeHouYouXianShouTiaoJianLiuTongGuQiTaNeiZiGuFenShu" label="其他有限售条件的内资流通股份数" periodRef="本期期初数" mulRef="_GBC_a508261a48b3418b953725c3be4eaf67" addr="T0R5C1S1_1" formatStyle="Comma">
        <m:complexRule comparator="Eq" title="其他有限售条件的内资流通股份数@本期期初数" test=" $_GBC_42ba2904f8c846b7bae70b13ca7316ce +  $_GBC_4296245d360643d98a1f672286e33b82" id="C207488c53d2647c2bbf12feb35a5cfcd"/>
      </m:item>
      <m:item xlName="_GBC_88a0497b8b194748b77ae85dd64ecea5" concept="clcid-cgi:GuQuanFenZhiGaiGeHouYouXianShouTiaoJianLiuTongGuQiTaNeiZiGuFenZhanZongGuBenBiLi" label="其他有限售条件的内资流通股份占总股本比例" periodRef="本期期初数" addr="T0R5C2S1_1" baseScale="0.01" formatStyle="Comma">
        <m:complexRule comparator="Eq" title="其他有限售条件的内资流通股份占总股本比例@本期期初数" test=" $_GBC_b1846b1dec4f429ba47196353a893256 +  $_GBC_aac9d32dff9147dea789e5460555a545" id="C5cf22d228eac4b039c3736f097ed6d46"/>
      </m:item>
      <m:item xlName="_GBC_847de085cf1e4471af4ce7e72818b5f6" concept="clcid-cgi:GuQuanFenZhiGaiGeHouQiTaYouXianShouTiaoJianDeNeiZiLiuTongGuFaXingXinGuBianDongZengJian" label="其他有限售条件的内资流通股发行新股变动增减" mulRef="_GBC_a508261a48b3418b953725c3be4eaf67" addr="T0R5C3S1_1" formatStyle="Comma">
        <m:complexRule comparator="Eq" title="其他有限售条件的内资流通股发行新股变动增减" test=" $_GBC_011afb993c604907ab945ab9ff0172c7 +  $_GBC_f8d3b5ee6d9e434e977cf184b9a96e56" id="C589423fa2fd445acab6ad76a20f453b7"/>
      </m:item>
      <m:item xlName="_GBC_1e6aa17470c74f8d8add59eca1fad008" concept="clcid-cgi:GuQuanFenZhiGaiGeHouQiTaYouXianShouTiaoJianDeNeiZiLiuTongGuSongGuBianDongZengJian" label="其他有限售条件的内资流通股送股变动增减" mulRef="_GBC_a508261a48b3418b953725c3be4eaf67" addr="T0R5C4S1_1" formatStyle="Comma">
        <m:complexRule comparator="Eq" title="其他有限售条件的内资流通股送股变动增减" test=" $_GBC_33bc316a8aaa477d9cd4e1e6fdcc38f5 +  $_GBC_73b3dc54033a4bfaa4bd510dcb82a07e" id="C25e5fd0383ca486f8d68831df13fecd3"/>
      </m:item>
      <m:item xlName="_GBC_bd37ec55af1048078a3edd9a9ac1a81f" concept="clcid-cgi:GuQuanFenZhiGaiGeHouQiTaYouXianShouTiaoJianDeNeiZiLiuTongGuGongJiJinZhuanGuBianDongZengJian" label="其他有限售条件的内资流通股公积金转股变动增减" mulRef="_GBC_a508261a48b3418b953725c3be4eaf67" addr="T0R5C5S1_1" formatStyle="Comma">
        <m:complexRule comparator="Eq" title="其他有限售条件的内资流通股公积金转股变动增减" test=" $_GBC_295dc185f8624200b6365d422a44a03d +  $_GBC_3f7225861f0844a295f1526300a27f7a" id="C6b10f2468cec438aa0b2895f60c071ac"/>
      </m:item>
      <m:item xlName="_GBC_86ca6ae2a5fb489b9e108a03f748fd4c" concept="clcid-cgi:GuQuanFenZhiGaiGeHouQiTaYouXianShouTiaoJianDeNeiZiLiuTongGuQiTaBianDongZengJian" label="其他有限售条件的内资流通股其他变动增减" mulRef="_GBC_a508261a48b3418b953725c3be4eaf67" addr="T0R5C6S1_1" formatStyle="Comma">
        <m:complexRule comparator="Eq" title="其他有限售条件的内资流通股其他变动增减" test=" $_GBC_617b8e0160c2415095a8276bbbb7c12b +  $_GBC_88ff10e0b28c4fdb918b831f94ca6a0a" id="Cd7d93e68a6fb41ff92fbdeb452f96215"/>
      </m:item>
      <m:item xlName="_GBC_0e0e835d7a7b43389baea109bde905ea" concept="clcid-cgi:GuQuanFenZhiGaiGeHouQiTaYouXianShouTiaoJianDeNeiZiLiuTongGuBianDongZengJianXiaoJi" label="其他有限售条件的内资流通股变动增减小计" mulRef="_GBC_a508261a48b3418b953725c3be4eaf67" addr="T0R5C7S1_1" formatStyle="Comma">
        <m:complexRule comparator="Eq" title="其他有限售条件的内资流通股变动增减小计" test=" $_GBC_847de085cf1e4471af4ce7e72818b5f6 +  $_GBC_1e6aa17470c74f8d8add59eca1fad008 +  $_GBC_bd37ec55af1048078a3edd9a9ac1a81f +  $_GBC_86ca6ae2a5fb489b9e108a03f748fd4c" id="Cc8de42f53cb54de6904e03cc58fc592b"/>
        <m:complexRule comparator="Eq" title="其他有限售条件的内资流通股变动增减小计" test=" $_GBC_0a8e228287394634a5d5fe406f323a97 +  $_GBC_1bd8d8eb928d44bbba9855046761a5e3" id="Cee53ce63f03145a58eba3b6396096bb7"/>
      </m:item>
      <m:item xlName="_GBC_3b87c11051964a94bfbae02e3bf74019" concept="clcid-cgi:GuQuanFenZhiGaiGeHouYouXianShouTiaoJianLiuTongGuQiTaNeiZiGuFenShu" label="其他有限售条件的内资流通股份数" mulRef="_GBC_a508261a48b3418b953725c3be4eaf67" addr="T0R5C8S1_1" formatStyle="Comma">
        <m:complexRule comparator="Eq" title="其他有限售条件的内资流通股份数" test=" $_GBC_06f4c1c105324f9493d1806f253238cf +  $_GBC_0e0e835d7a7b43389baea109bde905ea" id="C44983c7ef6d1498cab517e80be14cfb9"/>
        <m:complexRule comparator="Eq" title="其他有限售条件的内资流通股份数" test=" $_GBC_fd591e544dd742639db4bf3e351840d2 +  $_GBC_7412c077bf9d463f93d494bd1a3fcbf1" id="Cfcff5261e752420ab4758bf9e981e13a"/>
      </m:item>
      <m:item xlName="_GBC_c96db50dd4984c8eac102752a84c3012" concept="clcid-cgi:GuQuanFenZhiGaiGeHouYouXianShouTiaoJianLiuTongGuQiTaNeiZiGuFenZhanZongGuBenBiLi" label="其他有限售条件的内资流通股份占总股本比例" addr="T0R5C9S1_1" baseScale="0.01" formatStyle="Comma">
        <m:complexRule comparator="Eq" title="其他有限售条件的内资流通股份占总股本比例" test=" $_GBC_6307f5a1e0d44a888834c26776dad58b +  $_GBC_c99c36e8c411488f899233c5aa7e3070" id="Ce9fa68ffcfed4ff1bceed4dd1278d9be"/>
      </m:item>
      <m:placeholder xlName="_PLD_bc9b49d9fdef4aa5975271065485558f" addr="T0R6C0S1_1"/>
      <m:item xlName="_GBC_42ba2904f8c846b7bae70b13ca7316ce" concept="clcid-cgi:GuQuanFenZhiGaiGeHouYouXianShouTiaoJianLiuTongGuJingNeiFaRenChiYouGuFenShu" label="境内法人持有的有限售条件流通股份数" periodRef="本期期初数" mulRef="_GBC_a508261a48b3418b953725c3be4eaf67" addr="T0R6C1S1_1" formatStyle="Comma"/>
      <m:item xlName="_GBC_b1846b1dec4f429ba47196353a893256" concept="clcid-cgi:GuQuanFenZhiGaiGeHouYouXianShouTiaoJianLiuTongGuJingNeiFaRenChiYouGuFenZhanZongGuBenBiLi" label="境内法人持有的有限售条件流通股份占总股本比例" periodRef="本期期初数" addr="T0R6C2S1_1" baseScale="0.01" formatStyle="Comma"/>
      <m:item xlName="_GBC_011afb993c604907ab945ab9ff0172c7" concept="clcid-cgi:GuQuanFenZhiGaiGeHouJingNeiFaRenChiYouDeYouXianShouTiaoJianLiuTongGuFaXingXinGuBianDongZengJian" label="境内法人持有的有限售条件流通股发行新股变动增减" mulRef="_GBC_a508261a48b3418b953725c3be4eaf67" addr="T0R6C3S1_1" formatStyle="Comma"/>
      <m:item xlName="_GBC_33bc316a8aaa477d9cd4e1e6fdcc38f5" concept="clcid-cgi:GuQuanFenZhiGaiGeHouJingNeiFaRenChiYouDeYouXianShouTiaoJianLiuTongGuSongGuBianDongZengJian" label="境内法人持有的有限售条件流通股送股变动增减" mulRef="_GBC_a508261a48b3418b953725c3be4eaf67" addr="T0R6C4S1_1" formatStyle="Comma"/>
      <m:item xlName="_GBC_295dc185f8624200b6365d422a44a03d" concept="clcid-cgi:GuQuanFenZhiGaiGeHouJingNeiFaRenChiYouDeYouXianShouTiaoJianLiuTongGuGongJiJinZhuanGuBianDongZengJian" label="境内法人持有的有限售条件流通股公积金转股变动增减" mulRef="_GBC_a508261a48b3418b953725c3be4eaf67" addr="T0R6C5S1_1" formatStyle="Comma"/>
      <m:item xlName="_GBC_617b8e0160c2415095a8276bbbb7c12b" concept="clcid-cgi:GuQuanFenZhiGaiGeHouJingNeiFaRenChiYouDeYouXianShouTiaoJianLiuTongGuQiTaBianDongZengJian" label="境内法人持有的有限售条件流通股其他变动增减" mulRef="_GBC_a508261a48b3418b953725c3be4eaf67" addr="T0R6C6S1_1" formatStyle="Comma"/>
      <m:item xlName="_GBC_0a8e228287394634a5d5fe406f323a97" concept="clcid-cgi:GuQuanFenZhiGaiGeHouJingNeiFaRenChiYouDeYouXianShouTiaoJianLiuTongGuBianDongZengJianXiaoJi" label="境内法人持有的有限售条件流通股变动增减小计" mulRef="_GBC_a508261a48b3418b953725c3be4eaf67" addr="T0R6C7S1_1" formatStyle="Comma">
        <m:complexRule comparator="Eq" title="境内法人持有的有限售条件流通股变动增减小计" test=" $_GBC_011afb993c604907ab945ab9ff0172c7 +  $_GBC_33bc316a8aaa477d9cd4e1e6fdcc38f5 +  $_GBC_295dc185f8624200b6365d422a44a03d +  $_GBC_617b8e0160c2415095a8276bbbb7c12b" id="C07bb39446c534bbaa019732737af0a82"/>
      </m:item>
      <m:item xlName="_GBC_fd591e544dd742639db4bf3e351840d2" concept="clcid-cgi:GuQuanFenZhiGaiGeHouYouXianShouTiaoJianLiuTongGuJingNeiFaRenChiYouGuFenShu" label="境内法人持有的有限售条件流通股份数" mulRef="_GBC_a508261a48b3418b953725c3be4eaf67" addr="T0R6C8S1_1" formatStyle="Comma">
        <m:complexRule comparator="Eq" title="境内法人持有的有限售条件流通股份数" test=" $_GBC_42ba2904f8c846b7bae70b13ca7316ce +  $_GBC_0a8e228287394634a5d5fe406f323a97" id="C671f9f8180af444aaae6cfbf77e49982"/>
      </m:item>
      <m:item xlName="_GBC_6307f5a1e0d44a888834c26776dad58b" concept="clcid-cgi:GuQuanFenZhiGaiGeHouYouXianShouTiaoJianLiuTongGuJingNeiFaRenChiYouGuFenZhanZongGuBenBiLi" label="境内法人持有的有限售条件流通股份占总股本比例" addr="T0R6C9S1_1" baseScale="0.01" formatStyle="Comma"/>
      <m:placeholder xlName="_PLD_ab311481a49347bbbf1fa0fdae5ea096" addr="T0R7C0S1_1"/>
      <m:item xlName="_GBC_4296245d360643d98a1f672286e33b82" concept="clcid-cgi:GuQuanFenZhiGaiGeHouYouXianShouTiaoJianLiuTongGuJingNeiZiRanRenChiYouGuFenShu" label="境内自然人持有的有限售条件流通股份数" periodRef="本期期初数" mulRef="_GBC_a508261a48b3418b953725c3be4eaf67" addr="T0R7C1S1_1" formatStyle="Comma"/>
      <m:item xlName="_GBC_aac9d32dff9147dea789e5460555a545" concept="clcid-cgi:GuQuanFenZhiGaiGeHouYouXianShouTiaoJianLiuTongGuJingNeiZiRanRenChiYouGuFenZhanZongGuBenBiLi" label="境内自然人持有的有限售条件流通股份占总股本比例" periodRef="本期期初数" addr="T0R7C2S1_1" baseScale="0.01" formatStyle="Comma"/>
      <m:item xlName="_GBC_f8d3b5ee6d9e434e977cf184b9a96e56" concept="clcid-cgi:GuQuanFenZhiGaiGeHouJingNeiZiRanRenChiYouDeYouXianShouTiaoJianLiuTongGuFaXingXinGuBianDongZengJian" label="境内自然人持有的有限售条件流通股发行新股变动增减" mulRef="_GBC_a508261a48b3418b953725c3be4eaf67" addr="T0R7C3S1_1" formatStyle="Comma"/>
      <m:item xlName="_GBC_73b3dc54033a4bfaa4bd510dcb82a07e" concept="clcid-cgi:GuQuanFenZhiGaiGeHouJingNeiZiRanRenChiYouDeYouXianShouTiaoJianLiuTongGuSongGuBianDongZengJian" label="境内自然人持有的有限售条件流通股送股变动增减" mulRef="_GBC_a508261a48b3418b953725c3be4eaf67" addr="T0R7C4S1_1" formatStyle="Comma"/>
      <m:item xlName="_GBC_3f7225861f0844a295f1526300a27f7a" concept="clcid-cgi:GuQuanFenZhiGaiGeHouJingNeiZiRanRenChiYouDeYouXianShouTiaoJianLiuTongGuGongJiJinZhuanGuBianDongZengJian" label="境内自然人持有的有限售条件流通股公积金转股变动增减" mulRef="_GBC_a508261a48b3418b953725c3be4eaf67" addr="T0R7C5S1_1" formatStyle="Comma"/>
      <m:item xlName="_GBC_88ff10e0b28c4fdb918b831f94ca6a0a" concept="clcid-cgi:GuQuanFenZhiGaiGeHouJingNeiZiRanRenChiYouDeYouXianShouTiaoJianLiuTongGuQiTaBianDongZengJian" label="境内自然人持有的有限售条件流通股其他变动增减" mulRef="_GBC_a508261a48b3418b953725c3be4eaf67" addr="T0R7C6S1_1" formatStyle="Comma"/>
      <m:item xlName="_GBC_1bd8d8eb928d44bbba9855046761a5e3" concept="clcid-cgi:GuQuanFenZhiGaiGeHouJingNeiZiRanRenChiYouDeYouXianShouTiaoJianLiuTongGuBianDongZengJianXiaoJi" label="境内自然人持有的有限售条件流通股变动增减小计" mulRef="_GBC_a508261a48b3418b953725c3be4eaf67" addr="T0R7C7S1_1" formatStyle="Comma">
        <m:complexRule comparator="Eq" title="境内自然人持有的有限售条件流通股变动增减小计" test=" $_GBC_f8d3b5ee6d9e434e977cf184b9a96e56 +  $_GBC_73b3dc54033a4bfaa4bd510dcb82a07e +  $_GBC_3f7225861f0844a295f1526300a27f7a +  $_GBC_88ff10e0b28c4fdb918b831f94ca6a0a" id="C6514133bb8d54834abca86f8840928e6"/>
      </m:item>
      <m:item xlName="_GBC_7412c077bf9d463f93d494bd1a3fcbf1" concept="clcid-cgi:GuQuanFenZhiGaiGeHouYouXianShouTiaoJianLiuTongGuJingNeiZiRanRenChiYouGuFenShu" label="境内自然人持有的有限售条件流通股份数" mulRef="_GBC_a508261a48b3418b953725c3be4eaf67" addr="T0R7C8S1_1" formatStyle="Comma">
        <m:complexRule comparator="Eq" title="境内自然人持有的有限售条件流通股份数" test=" $_GBC_4296245d360643d98a1f672286e33b82 +  $_GBC_1bd8d8eb928d44bbba9855046761a5e3" id="C9fae17f2b7c94acc8561bbff9f5113ca"/>
      </m:item>
      <m:item xlName="_GBC_c99c36e8c411488f899233c5aa7e3070" concept="clcid-cgi:GuQuanFenZhiGaiGeHouYouXianShouTiaoJianLiuTongGuJingNeiZiRanRenChiYouGuFenZhanZongGuBenBiLi" label="境内自然人持有的有限售条件流通股份占总股本比例" addr="T0R7C9S1_1" baseScale="0.01" formatStyle="Comma"/>
      <m:placeholder xlName="_PLD_c996f72b325248aa818db848c7b9d580" addr="T0R8C0S1_1"/>
      <m:item xlName="_GBC_865c647edf0e4c30a5a3896827f46b4f" concept="clcid-cgi:GuQuanFenZhiGaiGeHouYouXianShouTiaoJianLiuTongGuWaiZiGuFenShu" label="有限售条件的外资流通股份数" periodRef="本期期初数" mulRef="_GBC_a508261a48b3418b953725c3be4eaf67" addr="T0R8C1S1_1" formatStyle="Comma">
        <m:complexRule comparator="Eq" title="有限售条件的外资流通股份数@本期期初数" test=" $_GBC_ced87e05430142bb91f4eb1466aa7e43 +  $_GBC_db3708fa0f334c89b24e4cb8049f6b36" id="Cd18f3b601fe14fd5b217383f2f734c63"/>
      </m:item>
      <m:item xlName="_GBC_bf5a58287c074b95aee69b374c98e843" concept="clcid-cgi:GuQuanFenZhiGaiGeHouYouXianShouTiaoJianLiuTongGuWaiZiGuFenZhanZongGuBenBiLi" label="有限售条件的外资流通股份占总股本比例" periodRef="本期期初数" addr="T0R8C2S1_1" baseScale="0.01" formatStyle="Comma">
        <m:complexRule comparator="Eq" title="有限售条件的外资流通股份占总股本比例@本期期初数" test=" $_GBC_3e067d2ffc4c4538a9063ac7c5b49daf +  $_GBC_78e8e85ac22c4c7f8cf6b336039c08f2" id="Cc09d2e730a3b43759306221716de6f09"/>
      </m:item>
      <m:item xlName="_GBC_4661208bd1574292b34d63a5623c8e26" concept="clcid-cgi:GuQuanFenZhiGaiGeHouYouXianShouTiaoJianDeWaiZiLiuTongGuFaXingXinGuBianDongZengJian" label="有限售条件的外资流通股发行新股变动增减" mulRef="_GBC_a508261a48b3418b953725c3be4eaf67" addr="T0R8C3S1_1" formatStyle="Comma">
        <m:complexRule comparator="Eq" title="有限售条件的外资流通股发行新股变动增减" test=" $_GBC_36ebf24774f5446bb444026fc8f636f1 +  $_GBC_e3a67f709f3e439b86d433608bf2806e" id="C856e82796d4f4b7c8c6590be391b55bf"/>
      </m:item>
      <m:item xlName="_GBC_5cf510342eba4e4682d4efca9aded4a6" concept="clcid-cgi:GuQuanFenZhiGaiGeHouYouXianShouTiaoJianDeWaiZiLiuTongGuSongGuBianDongZengJian" label="有限售条件的外资流通股送股变动增减" mulRef="_GBC_a508261a48b3418b953725c3be4eaf67" addr="T0R8C4S1_1" formatStyle="Comma">
        <m:complexRule comparator="Eq" title="有限售条件的外资流通股送股变动增减" test=" $_GBC_501f000491414596878a13a30b2d94b5 +  $_GBC_b542fc67480b4038a4555508d4d6de8f" id="C5be291a5199444399516d5c0530af90f"/>
      </m:item>
      <m:item xlName="_GBC_750cc3333aac401daa92e49a3ee9de4d" concept="clcid-cgi:GuQuanFenZhiGaiGeHouYouXianShouTiaoJianDeWaiZiLiuTongGuGongJiJinZhuanGuBianDongZengJian" label="有限售条件的外资流通股公积金转股变动增减" mulRef="_GBC_a508261a48b3418b953725c3be4eaf67" addr="T0R8C5S1_1" formatStyle="Comma">
        <m:complexRule comparator="Eq" title="有限售条件的外资流通股公积金转股变动增减" test=" $_GBC_2c64b01e49854f71b680b38de96a3805 +  $_GBC_3d1df78507864082ae5dd2a88f7f4afc" id="C0bcd964bdcd24f4f843ea86d2de6518e"/>
      </m:item>
      <m:item xlName="_GBC_257851d83fc44ff5a182b1ec1a682908" concept="clcid-cgi:GuQuanFenZhiGaiGeHouYouXianShouTiaoJianDeWaiZiLiuTongGuQiTaBianDongZengJian" label="有限售条件的外资流通股其他变动增减" mulRef="_GBC_a508261a48b3418b953725c3be4eaf67" addr="T0R8C6S1_1" formatStyle="Comma">
        <m:complexRule comparator="Eq" title="有限售条件的外资流通股其他变动增减" test=" $_GBC_8b9a4fe2476b477493c0baf7fc2e2688 +  $_GBC_25ec28da24a04369b260f20789a0eb44" id="C317cf014e06640e7857793d388462ce7"/>
      </m:item>
      <m:item xlName="_GBC_41f8f94e0818417db4fcdfdd4001d155" concept="clcid-cgi:GuQuanFenZhiGaiGeHouYouXianShouTiaoJianDeWaiZiLiuTongGuBianDongZengJianXiaoJi" label="有限售条件的外资流通股变动增减小计" mulRef="_GBC_a508261a48b3418b953725c3be4eaf67" addr="T0R8C7S1_1" formatStyle="Comma">
        <m:complexRule comparator="Eq" title="有限售条件的外资流通股变动增减小计" test=" $_GBC_4661208bd1574292b34d63a5623c8e26 +  $_GBC_5cf510342eba4e4682d4efca9aded4a6 +  $_GBC_750cc3333aac401daa92e49a3ee9de4d +  $_GBC_257851d83fc44ff5a182b1ec1a682908" id="C89a647c9e4e64b5fb4e30a938ce58607"/>
        <m:complexRule comparator="Eq" title="有限售条件的外资流通股变动增减小计" test=" $_GBC_4be38576ef244cc6ba6d2869003bbe9e +  $_GBC_b8a603df6ee7486ba78838413ce265b0" id="Cbe7f819c5e8d4bb795d2871eea28e0be"/>
      </m:item>
      <m:item xlName="_GBC_e144921f165b4e1d8acab8c9ddef1835" concept="clcid-cgi:GuQuanFenZhiGaiGeHouYouXianShouTiaoJianLiuTongGuWaiZiGuFenShu" label="有限售条件的外资流通股份数" mulRef="_GBC_a508261a48b3418b953725c3be4eaf67" addr="T0R8C8S1_1" formatStyle="Comma">
        <m:complexRule comparator="Eq" title="有限售条件的外资流通股份数" test=" $_GBC_865c647edf0e4c30a5a3896827f46b4f +  $_GBC_41f8f94e0818417db4fcdfdd4001d155" id="Cc67b2345d050415eb6db8e2789f269ba"/>
        <m:complexRule comparator="Eq" title="有限售条件的外资流通股份数" test=" $_GBC_662c8595f4b9407083e8ac4bbebd9483 +  $_GBC_d691721cdbf54121bb4e010a757602f0" id="C73075b344d4c4642a85fe2c02d0b30d6"/>
      </m:item>
      <m:item xlName="_GBC_7547c1d7a66e409a87d28af13fa88968" concept="clcid-cgi:GuQuanFenZhiGaiGeHouYouXianShouTiaoJianLiuTongGuWaiZiGuFenZhanZongGuBenBiLi" label="有限售条件的外资流通股份占总股本比例" addr="T0R8C9S1_1" baseScale="0.01" formatStyle="Comma">
        <m:complexRule comparator="Eq" title="有限售条件的外资流通股份占总股本比例" test=" $_GBC_ddb6360faecb42ca9fa2b5fd92b0fe6d +  $_GBC_bfea7c217054494383a3c3cfe4901efe" id="C3aee58a4d1954d0786fc548c8bf2dca1"/>
      </m:item>
      <m:placeholder xlName="_PLD_741fb74f603d41b09188929823cd29ce" addr="T0R9C0S1_1"/>
      <m:item xlName="_GBC_ced87e05430142bb91f4eb1466aa7e43" concept="clcid-cgi:GuQuanFenZhiGaiGeHouYouXianShouTiaoJianLiuTongGuJingWaiFaRenChiYouGuFenShu" label="境外法人持有的有限售条件流通股份数" periodRef="本期期初数" mulRef="_GBC_a508261a48b3418b953725c3be4eaf67" addr="T0R9C1S1_1" formatStyle="Comma"/>
      <m:item xlName="_GBC_3e067d2ffc4c4538a9063ac7c5b49daf" concept="clcid-cgi:GuQuanFenZhiGaiGeHouYouXianShouTiaoJianLiuTongGuJingWaiFaRenChiYouGuFenZhanZongGuBenBiLi" label="境外法人持有的有限售条件流通股份占总股本比例" periodRef="本期期初数" addr="T0R9C2S1_1" baseScale="0.01" formatStyle="Comma"/>
      <m:item xlName="_GBC_36ebf24774f5446bb444026fc8f636f1" concept="clcid-cgi:GuQuanFenZhiGaiGeHouJingWaiFaRenChiYouDeYouXianShouTiaoJianLiuTongGuFaXingXinGuBianDongZengJian" label="境外法人持有的有限售条件流通股发行新股变动增减" mulRef="_GBC_a508261a48b3418b953725c3be4eaf67" addr="T0R9C3S1_1" formatStyle="Comma"/>
      <m:item xlName="_GBC_501f000491414596878a13a30b2d94b5" concept="clcid-cgi:GuQuanFenZhiGaiGeHouJingWaiFaRenChiYouDeYouXianShouTiaoJianLiuTongGuSongGuBianDongZengJian" label="境外法人持有的有限售条件流通股送股变动增减" mulRef="_GBC_a508261a48b3418b953725c3be4eaf67" addr="T0R9C4S1_1" formatStyle="Comma"/>
      <m:item xlName="_GBC_2c64b01e49854f71b680b38de96a3805" concept="clcid-cgi:GuQuanFenZhiGaiGeHouJingWaiFaRenChiYouDeYouXianShouTiaoJianLiuTongGuGongJiJinZhuanGuBianDongZengJian" label="境外法人持有的有限售条件流通股公积金转股变动增减" mulRef="_GBC_a508261a48b3418b953725c3be4eaf67" addr="T0R9C5S1_1" formatStyle="Comma"/>
      <m:item xlName="_GBC_8b9a4fe2476b477493c0baf7fc2e2688" concept="clcid-cgi:GuQuanFenZhiGaiGeHouJingWaiFaRenChiYouDeYouXianShouTiaoJianLiuTongGuQiTaBianDongZengJian" label="境外法人持有的有限售条件流通股其他变动增减" mulRef="_GBC_a508261a48b3418b953725c3be4eaf67" addr="T0R9C6S1_1" formatStyle="Comma"/>
      <m:item xlName="_GBC_4be38576ef244cc6ba6d2869003bbe9e" concept="clcid-cgi:GuQuanFenZhiGaiGeHouJingWaiFaRenChiYouDeYouXianShouTiaoJianLiuTongGuBianDongZengJianXiaoJi" label="境外法人持有的有限售条件流通股变动增减小计" mulRef="_GBC_a508261a48b3418b953725c3be4eaf67" addr="T0R9C7S1_1" formatStyle="Comma">
        <m:complexRule comparator="Eq" title="境外法人持有的有限售条件流通股变动增减小计" test=" $_GBC_36ebf24774f5446bb444026fc8f636f1 +  $_GBC_501f000491414596878a13a30b2d94b5 +  $_GBC_2c64b01e49854f71b680b38de96a3805 +  $_GBC_8b9a4fe2476b477493c0baf7fc2e2688" id="Cef36167c673046b39b207ae0b0094871"/>
      </m:item>
      <m:item xlName="_GBC_662c8595f4b9407083e8ac4bbebd9483" concept="clcid-cgi:GuQuanFenZhiGaiGeHouYouXianShouTiaoJianLiuTongGuJingWaiFaRenChiYouGuFenShu" label="境外法人持有的有限售条件流通股份数" mulRef="_GBC_a508261a48b3418b953725c3be4eaf67" addr="T0R9C8S1_1" formatStyle="Comma">
        <m:complexRule comparator="Eq" title="境外法人持有的有限售条件流通股份数" test=" $_GBC_ced87e05430142bb91f4eb1466aa7e43 +  $_GBC_4be38576ef244cc6ba6d2869003bbe9e" id="C764a25ce145a4e659dd952b205467876"/>
      </m:item>
      <m:item xlName="_GBC_ddb6360faecb42ca9fa2b5fd92b0fe6d" concept="clcid-cgi:GuQuanFenZhiGaiGeHouYouXianShouTiaoJianLiuTongGuJingWaiFaRenChiYouGuFenZhanZongGuBenBiLi" label="境外法人持有的有限售条件流通股份占总股本比例" addr="T0R9C9S1_1" baseScale="0.01" formatStyle="Comma"/>
      <m:placeholder xlName="_PLD_d6985feb6f8a47a79363e22b4f66e6a6" addr="T0R10C0S1_1"/>
      <m:item xlName="_GBC_db3708fa0f334c89b24e4cb8049f6b36" concept="clcid-cgi:GuQuanFenZhiGaiGeHouYouXianShouTiaoJianLiuTongGuJingWaiZiRanRenChiYouGuFenShu" label="境外自然人持有的有限售条件流通股份数" periodRef="本期期初数" mulRef="_GBC_a508261a48b3418b953725c3be4eaf67" addr="T0R10C1S1_1" formatStyle="Comma"/>
      <m:item xlName="_GBC_78e8e85ac22c4c7f8cf6b336039c08f2" concept="clcid-cgi:GuQuanFenZhiGaiGeHouYouXianShouTiaoJianLiuTongGuJingWaiZiRanRenChiYouGuFenZhanZongGuBenBiLi" label="境外自然人持有的有限售条件流通股份占总股本比例" periodRef="本期期初数" addr="T0R10C2S1_1" baseScale="0.01" formatStyle="Comma"/>
      <m:item xlName="_GBC_e3a67f709f3e439b86d433608bf2806e" concept="clcid-cgi:GuQuanFenZhiGaiGeHouJingWaiZiRanRenChiYouDeYouXianShouTiaoJianLiuTongGuFaXingXinGuBianDongZengJian" label="境外自然人持有的有限售条件流通股发行新股变动增减" mulRef="_GBC_a508261a48b3418b953725c3be4eaf67" addr="T0R10C3S1_1" formatStyle="Comma"/>
      <m:item xlName="_GBC_b542fc67480b4038a4555508d4d6de8f" concept="clcid-cgi:GuQuanFenZhiGaiGeHouJingWaiZiRanRenChiYouDeYouXianShouTiaoJianLiuTongGuSongGuBianDongZengJian" label="境外自然人持有的有限售条件流通股送股变动增减" mulRef="_GBC_a508261a48b3418b953725c3be4eaf67" addr="T0R10C4S1_1" formatStyle="Comma"/>
      <m:item xlName="_GBC_3d1df78507864082ae5dd2a88f7f4afc" concept="clcid-cgi:GuQuanFenZhiGaiGeHouJingWaiZiRanRenChiYouDeYouXianShouTiaoJianLiuTongGuGongJiJinZhuanGuBianDongZengJian" label="境外自然人持有的有限售条件流通股公积金转股变动增减" mulRef="_GBC_a508261a48b3418b953725c3be4eaf67" addr="T0R10C5S1_1" formatStyle="Comma"/>
      <m:item xlName="_GBC_25ec28da24a04369b260f20789a0eb44" concept="clcid-cgi:GuQuanFenZhiGaiGeHouJingWaiZiRanRenChiYouDeYouXianShouTiaoJianLiuTongGuQiTaBianDongZengJian" label="境外自然人持有的有限售条件流通股其他变动增减" mulRef="_GBC_a508261a48b3418b953725c3be4eaf67" addr="T0R10C6S1_1" formatStyle="Comma"/>
      <m:item xlName="_GBC_b8a603df6ee7486ba78838413ce265b0" concept="clcid-cgi:GuQuanFenZhiGaiGeHouJingWaiZiRanRenChiYouDeYouXianShouTiaoJianLiuTongGuBianDongZengJianXiaoJi" label="境外自然人持有的有限售条件流通股变动增减小计" mulRef="_GBC_a508261a48b3418b953725c3be4eaf67" addr="T0R10C7S1_1" formatStyle="Comma">
        <m:complexRule comparator="Eq" title="境外自然人持有的有限售条件流通股变动增减小计" test=" $_GBC_e3a67f709f3e439b86d433608bf2806e +  $_GBC_b542fc67480b4038a4555508d4d6de8f +  $_GBC_3d1df78507864082ae5dd2a88f7f4afc +  $_GBC_25ec28da24a04369b260f20789a0eb44" id="C0c2869bc0a6248a2871ba1d1a114bdf4"/>
      </m:item>
      <m:item xlName="_GBC_d691721cdbf54121bb4e010a757602f0" concept="clcid-cgi:GuQuanFenZhiGaiGeHouYouXianShouTiaoJianLiuTongGuJingWaiZiRanRenChiYouGuFenShu" label="境外自然人持有的有限售条件流通股份数" mulRef="_GBC_a508261a48b3418b953725c3be4eaf67" addr="T0R10C8S1_1" formatStyle="Comma">
        <m:complexRule comparator="Eq" title="境外自然人持有的有限售条件流通股份数" test=" $_GBC_db3708fa0f334c89b24e4cb8049f6b36 +  $_GBC_b8a603df6ee7486ba78838413ce265b0" id="Ca75378c0aaed467ba2bd29e8c60ae3bd"/>
      </m:item>
      <m:item xlName="_GBC_bfea7c217054494383a3c3cfe4901efe" concept="clcid-cgi:GuQuanFenZhiGaiGeHouYouXianShouTiaoJianLiuTongGuJingWaiZiRanRenChiYouGuFenZhanZongGuBenBiLi" label="境外自然人持有的有限售条件流通股份占总股本比例" addr="T0R10C9S1_1" baseScale="0.01" formatStyle="Comma"/>
      <m:placeholder xlName="_PLD_f1f482dad90a4279bb7011c075da9185" addr="T0R11C0S1_1"/>
      <m:item xlName="_GBC_951d387fa6274bc09d58461150514344" concept="clcid-cgi:WuXianShouTiaoJianLiuTongGuFenHeJi" label="无限售条件流通股份合计" periodRef="本期期初数" mulRef="_GBC_a508261a48b3418b953725c3be4eaf67" addr="T0R11C1S1_1" formatStyle="Comma">
        <m:complexRule comparator="Eq" title="无限售条件流通股份合计@本期期初数" test=" $_GBC_4457efd67d804fd1a03009ffad3f3839 +  $_GBC_582535bdbe54452ba1d534efbbecf66c +  $_GBC_0fe3afedcca04220af48dfbcd1ae783d +  $_GBC_eaee7bac453142dbbb786c8bba7e66d6" id="Ccbfaeedd7b1843f49a2035cfa960b21e"/>
      </m:item>
      <m:item xlName="_GBC_a0f8057034cb4a3f8a8c6624e2447ace" concept="clcid-cgi:GuQuanFenZhiGaiGeHouWuXianShouTiaoJianLiuTongGuZhanZongGuBenBiLi" label="无限售条件流通股占总股本比例" periodRef="本期期初数" addr="T0R11C2S1_1" baseScale="0.01" formatStyle="Comma">
        <m:complexRule comparator="Eq" title="无限售条件流通股占总股本比例@本期期初数" test=" $_GBC_4720e1522832460d86ada3b125a828f3 +  $_GBC_94dd8043e1b549b29765b9ed17ca3a21 +  $_GBC_7464084b9a7b44dcb75a2f1144d361e4 +  $_GBC_b413124f136e4543a61e2d951a773a76" id="C68404e89f36644b5b578460742c2f510"/>
      </m:item>
      <m:item xlName="_GBC_a423fcd739044e619a526565da3a3e2c" concept="clcid-cgi:WuXianShouTiaoJianLiuTongGuFenFaXingXinGuBianDongZengJian" label="无限售条件流通股份发行新股变动增减" mulRef="_GBC_a508261a48b3418b953725c3be4eaf67" addr="T0R11C3S1_1" formatStyle="Comma">
        <m:complexRule comparator="Eq" title="无限售条件流通股份发行新股变动增减" test=" $_GBC_594b8cc409504357913f50ca77e9e991 +  $_GBC_3581c2994d004665857fd743f4559e22 +  $_GBC_c19025796efd4aeea3613b51153004cd +  $_GBC_05b68c908d15448391416a7616cc4a96" id="Cacccddd7efa34eb8b3b48a50526cb1a8"/>
      </m:item>
      <m:item xlName="_GBC_0729d70b8f6549709c6ae30e3e62e003" concept="clcid-cgi:WuXianShouTiaoJianLiuTongGuFenSongGuBianDongZengJian" label="无限售条件流通股份送股变动增减" mulRef="_GBC_a508261a48b3418b953725c3be4eaf67" addr="T0R11C4S1_1" formatStyle="Comma">
        <m:complexRule comparator="Eq" title="无限售条件流通股份送股变动增减" test=" $_GBC_87708da6ed0f44efb976778b26e6a3b8 +  $_GBC_09ea540548bb415895fdc6cd25f8214e +  $_GBC_9a50f4e8a10445b99d937af2363ef8e7 +  $_GBC_dc161b4041b041768a45b9c050a17ea0" id="C0aaf9511eb964f778c9b4bfe1130ebf2"/>
      </m:item>
      <m:item xlName="_GBC_78e90546ebc944f4ae8f4f9e8ba43e46" concept="clcid-cgi:WuXianShouTiaoJianLiuTongGuFenGongJiJinZhuanGuBianDongZengJian" label="无限售条件流通股份公积金转股变动增减" mulRef="_GBC_a508261a48b3418b953725c3be4eaf67" addr="T0R11C5S1_1" formatStyle="Comma">
        <m:complexRule comparator="Eq" title="无限售条件流通股份公积金转股变动增减" test=" $_GBC_8ee2552f2d06457aac2ae5489b8f0d5d +  $_GBC_fe3f47c6b3db4146ac42afabcc67cb77 +  $_GBC_c86075dfb967474a808a094a06a53b9e +  $_GBC_9ee52ccbdd64449884c8d60264b671f6" id="Ce54f1688352a45f2ac64101612ab4ef8"/>
      </m:item>
      <m:item xlName="_GBC_08245380720e4213ba94be00ead0575e" concept="clcid-cgi:WuXianShouTiaoJianLiuTongGuFenQiTaBianDongZengJian" label="无限售条件流通股份其他变动增减" mulRef="_GBC_a508261a48b3418b953725c3be4eaf67" addr="T0R11C6S1_1" formatStyle="Comma">
        <m:complexRule comparator="Eq" title="无限售条件流通股份其他变动增减" test=" $_GBC_c95fb0942d3b45a1a314265bd092e56e +  $_GBC_7f7944bbc4b742b7b7be3288814dbc6a +  $_GBC_1528f86fb95041c6b9b0db48b05d88d9 +  $_GBC_7e960f5795694277b8efe1cbde810aa1" id="C4f8089036b4643ab86065f869753adde"/>
      </m:item>
      <m:item xlName="_GBC_16bce148e1d1414f98632cd302898a94" concept="clcid-cgi:WuXianShouTiaoJianLiuTongGuFenBianDongZengJianXiaoJi" label="无限售条件流通股份变动增减小计" mulRef="_GBC_a508261a48b3418b953725c3be4eaf67" addr="T0R11C7S1_1" formatStyle="Comma">
        <m:complexRule comparator="Eq" title="无限售条件流通股份变动增减小计" test=" $_GBC_b528a79df5ec462f92746f65f59f2c69 +  $_GBC_5a80b1f19dbb4bf8a869449c51405f2e +  $_GBC_7b72318b53ca48c5a14e83dbb74cc062 +  $_GBC_5d57fdfd135b4ef8b6826a3dc2579137" id="Cb2f506b4e519415abba1a21a68e7621e"/>
        <m:complexRule comparator="Eq" title="无限售条件流通股份变动增减小计" test=" $_GBC_a423fcd739044e619a526565da3a3e2c +  $_GBC_0729d70b8f6549709c6ae30e3e62e003 +  $_GBC_78e90546ebc944f4ae8f4f9e8ba43e46 +  $_GBC_08245380720e4213ba94be00ead0575e" id="Cdf56db3abd4f4838b1c06c91d16aa396"/>
      </m:item>
      <m:item xlName="_GBC_6b1d9037c71f456299ad93562962ac1b" concept="clcid-cgi:WuXianShouTiaoJianLiuTongGuFenHeJi" label="无限售条件流通股份合计" mulRef="_GBC_a508261a48b3418b953725c3be4eaf67" addr="T0R11C8S1_1" formatStyle="Comma">
        <m:complexRule comparator="Eq" title="无限售条件流通股份合计" test=" $_GBC_951d387fa6274bc09d58461150514344 +  $_GBC_16bce148e1d1414f98632cd302898a94" id="Cb6464fffd8bf4405a8d97390f6855137"/>
        <m:complexRule comparator="Eq" title="无限售条件流通股份合计" test=" $_GBC_0d5fd3f3d85446e5a2f1fa037aab25b1 +  $_GBC_8112c6e58edd4a5daa1bc566f3c978be +  $_GBC_79ff423afe984aa0ab8596a880ab5c27 +  $_GBC_4e9b9c7efe3b4a6db3960fd3b0fc846b" id="C5c0944dd6b234da1b3cafb9e3cc31192"/>
      </m:item>
      <m:item xlName="_GBC_9369df62d5354ef8849fcac8c3076ba2" concept="clcid-cgi:GuQuanFenZhiGaiGeHouWuXianShouTiaoJianLiuTongGuZhanZongGuBenBiLi" label="无限售条件流通股占总股本比例" addr="T0R11C9S1_1" baseScale="0.01" formatStyle="Comma">
        <m:complexRule comparator="Eq" title="无限售条件流通股占总股本比例" test=" $_GBC_64d788ac972e4ce5a8e0395f851dd65b +  $_GBC_ea49461972564da0a90a3da0d91fa9f5 +  $_GBC_3da49152c7444bb1ac6829f1c139d92c +  $_GBC_824474574d08492c8eea7ad45a8ea337" id="C0b2f1d90fdd6448ab0df2f4827d7d61b"/>
      </m:item>
      <m:placeholder xlName="_PLD_b9486787b0d44a7889a387f5227ef265" addr="T0R12C0S1_1"/>
      <m:item xlName="_GBC_4457efd67d804fd1a03009ffad3f3839" concept="clcid-cgi:WuXianShouTiaoJianLiuTongGuRenMinBiPuTongGuShu" label="无限售条件人民币普通股数" periodRef="本期期初数" mulRef="_GBC_a508261a48b3418b953725c3be4eaf67" addr="T0R12C1S1_1" formatStyle="Comma"/>
      <m:item xlName="_GBC_4720e1522832460d86ada3b125a828f3" concept="clcid-cgi:GuQuanFenZhiGaiGeHouWuXianShouTiaoJianLiuTongGuRenMinBiPuTongGuZhanZongGuBenBiLi" label="无限售条件人民币普通股占总股本比例" periodRef="本期期初数" addr="T0R12C2S1_1" baseScale="0.01" formatStyle="Comma"/>
      <m:item xlName="_GBC_594b8cc409504357913f50ca77e9e991" concept="clcid-cgi:WuXianShouTiaoJianRenMinBiPuTongGuFaXingXinGuBianDongZengJian" label="无限售条件人民币普通股发行新股变动增减" mulRef="_GBC_a508261a48b3418b953725c3be4eaf67" addr="T0R12C3S1_1" formatStyle="Comma"/>
      <m:item xlName="_GBC_87708da6ed0f44efb976778b26e6a3b8" concept="clcid-cgi:WuXianShouTiaoJianLiuTongGuRenMinBiPuTongGuSongGuBianDongZengJian" label="无限售条件人民币普通股送股变动增减" mulRef="_GBC_a508261a48b3418b953725c3be4eaf67" addr="T0R12C4S1_1" formatStyle="Comma"/>
      <m:item xlName="_GBC_8ee2552f2d06457aac2ae5489b8f0d5d" concept="clcid-cgi:WuXianShouTiaoJianLiuTongGuRenMinBiPuTongGuGongJiJinZhuanGuBianDongZengJian" label="无限售条件人民币普通股公积金转股变动增减" mulRef="_GBC_a508261a48b3418b953725c3be4eaf67" addr="T0R12C5S1_1" formatStyle="Comma"/>
      <m:item xlName="_GBC_c95fb0942d3b45a1a314265bd092e56e" concept="clcid-cgi:WuXianShouTiaoJianLiuTongGuRenMinBiPuTongGuQiTaBianDongZengJian" label="无限售条件人民币普通股其他变动增减" mulRef="_GBC_a508261a48b3418b953725c3be4eaf67" addr="T0R12C6S1_1" formatStyle="Comma"/>
      <m:item xlName="_GBC_b528a79df5ec462f92746f65f59f2c69" concept="clcid-cgi:WuXianShouTiaoJianLiuTongGuRenMinBiPuTongGuBianDongZengJianXiaoJi" label="无限售条件人民币普通股变动增减小计" mulRef="_GBC_a508261a48b3418b953725c3be4eaf67" addr="T0R12C7S1_1" formatStyle="Comma">
        <m:complexRule comparator="Eq" title="无限售条件人民币普通股变动增减小计" test=" $_GBC_594b8cc409504357913f50ca77e9e991 +  $_GBC_87708da6ed0f44efb976778b26e6a3b8 +  $_GBC_8ee2552f2d06457aac2ae5489b8f0d5d +  $_GBC_c95fb0942d3b45a1a314265bd092e56e" id="Cad0faaf1a5ce4f8ea5d261efc26485d2"/>
      </m:item>
      <m:item xlName="_GBC_0d5fd3f3d85446e5a2f1fa037aab25b1" concept="clcid-cgi:WuXianShouTiaoJianLiuTongGuRenMinBiPuTongGuShu" label="无限售条件人民币普通股数" mulRef="_GBC_a508261a48b3418b953725c3be4eaf67" addr="T0R12C8S1_1" formatStyle="Comma">
        <m:complexRule comparator="Eq" title="无限售条件人民币普通股数" test=" $_GBC_4457efd67d804fd1a03009ffad3f3839 +  $_GBC_b528a79df5ec462f92746f65f59f2c69" id="Cf9cfd636582a4c6c846f16ff228a9543"/>
      </m:item>
      <m:item xlName="_GBC_3da49152c7444bb1ac6829f1c139d92c" concept="clcid-cgi:GuQuanFenZhiGaiGeHouWuXianShouTiaoJianLiuTongGuRenMinBiPuTongGuZhanZongGuBenBiLi" label="无限售条件人民币普通股占总股本比例" addr="T0R12C9S1_1" baseScale="0.01" formatStyle="Comma"/>
      <m:placeholder xlName="_PLD_ab0069b912d142038c3469492e8c0387" addr="T0R13C0S1_1"/>
      <m:item xlName="_GBC_582535bdbe54452ba1d534efbbecf66c" concept="clcid-cgi:WuXianShouTiaoJianLiuTongGuJingNeiShangShiDeWaiZiGuShu" label="无限售条件境内上市的外资股数" periodRef="本期期初数" mulRef="_GBC_a508261a48b3418b953725c3be4eaf67" addr="T0R13C1S1_1" formatStyle="Comma"/>
      <m:item xlName="_GBC_94dd8043e1b549b29765b9ed17ca3a21" concept="clcid-cgi:GuQuanFenZhiGaiGeHouWuXianShouTiaoJianLiuTongGuJingNeiShangShiDeWaiZiGuZhanZongGuBenBiLi" label="无限售条件境内上市的外资股占总股本比例" periodRef="本期期初数" addr="T0R13C2S1_1" baseScale="0.01" formatStyle="Comma"/>
      <m:item xlName="_GBC_3581c2994d004665857fd743f4559e22" concept="clcid-cgi:WuXianShouTiaoJianJingNeiShangShiDeWaiZiGuFaXingXinGuBianDongZengJian" label="无限售条件境内上市的外资股发行新股变动增减" mulRef="_GBC_a508261a48b3418b953725c3be4eaf67" addr="T0R13C3S1_1" formatStyle="Comma"/>
      <m:item xlName="_GBC_09ea540548bb415895fdc6cd25f8214e" concept="clcid-cgi:WuXianShouTiaoJianLiuTongGuJingNeiShangShiDeWaiZiGuSongGuBianDongZengJian" label="无限售条件境内上市的外资股送股变动增减" mulRef="_GBC_a508261a48b3418b953725c3be4eaf67" addr="T0R13C4S1_1" formatStyle="Comma"/>
      <m:item xlName="_GBC_fe3f47c6b3db4146ac42afabcc67cb77" concept="clcid-cgi:WuXianShouTiaoJianLiuTongGuJingNeiShangShiDeWaiZiGuGongJiJinZhuanGuBianDongZengJian" label="无限售条件境内上市的外资股公积金转股变动增减" mulRef="_GBC_a508261a48b3418b953725c3be4eaf67" addr="T0R13C5S1_1" formatStyle="Comma"/>
      <m:item xlName="_GBC_7f7944bbc4b742b7b7be3288814dbc6a" concept="clcid-cgi:WuXianShouTiaoJianLiuTongGuJingNeiShangShiDeWaiZiGuQiTaBianDongZengJian" label="无限售条件境内上市的外资股其他变动增减" mulRef="_GBC_a508261a48b3418b953725c3be4eaf67" addr="T0R13C6S1_1" formatStyle="Comma"/>
      <m:item xlName="_GBC_5a80b1f19dbb4bf8a869449c51405f2e" concept="clcid-cgi:WuXianShouTiaoJianLiuTongGuJingNeiShangShiDeWaiZiGuBianDongZengJianXiaoJi" label="无限售条件境内上市的外资股变动增减小计" mulRef="_GBC_a508261a48b3418b953725c3be4eaf67" addr="T0R13C7S1_1" formatStyle="Comma">
        <m:complexRule comparator="Eq" title="无限售条件境内上市的外资股变动增减小计" test=" $_GBC_3581c2994d004665857fd743f4559e22 +  $_GBC_09ea540548bb415895fdc6cd25f8214e +  $_GBC_fe3f47c6b3db4146ac42afabcc67cb77 +  $_GBC_7f7944bbc4b742b7b7be3288814dbc6a" id="C25549d8eae954afc984ebc6ace2fd7f0"/>
      </m:item>
      <m:item xlName="_GBC_8112c6e58edd4a5daa1bc566f3c978be" concept="clcid-cgi:WuXianShouTiaoJianLiuTongGuJingNeiShangShiDeWaiZiGuShu" label="无限售条件境内上市的外资股数" mulRef="_GBC_a508261a48b3418b953725c3be4eaf67" addr="T0R13C8S1_1" formatStyle="Comma">
        <m:complexRule comparator="Eq" title="无限售条件境内上市的外资股数" test=" $_GBC_582535bdbe54452ba1d534efbbecf66c +  $_GBC_5a80b1f19dbb4bf8a869449c51405f2e" id="Cf9ecd4f23ad94661a31351154c9ccae2"/>
      </m:item>
      <m:item xlName="_GBC_64d788ac972e4ce5a8e0395f851dd65b" concept="clcid-cgi:GuQuanFenZhiGaiGeHouWuXianShouTiaoJianLiuTongGuJingNeiShangShiDeWaiZiGuZhanZongGuBenBiLi" label="无限售条件境内上市的外资股占总股本比例" addr="T0R13C9S1_1" baseScale="0.01" formatStyle="Comma"/>
      <m:placeholder xlName="_PLD_5050a1e4cd0e4bb6b91fcef355654644" addr="T0R14C0S1_1"/>
      <m:item xlName="_GBC_0fe3afedcca04220af48dfbcd1ae783d" concept="clcid-cgi:WuXianShouTiaoJianLiuTongGuJingWaiShangShiDeWaiZiGuShu" label="无限售条件境外上市的外资股数" periodRef="本期期初数" mulRef="_GBC_a508261a48b3418b953725c3be4eaf67" addr="T0R14C1S1_1" formatStyle="Comma"/>
      <m:item xlName="_GBC_7464084b9a7b44dcb75a2f1144d361e4" concept="clcid-cgi:GuQuanFenZhiGaiGeHouWuXianShouTiaoJianLiuTongGuJingWaiShangShiDeWaiZiGuZhanZongGuBenBiLi" label="无限售条件境外上市的外资股占总股本比例" periodRef="本期期初数" addr="T0R14C2S1_1" baseScale="0.01" formatStyle="Comma"/>
      <m:item xlName="_GBC_c19025796efd4aeea3613b51153004cd" concept="clcid-cgi:WuXianShouTiaoJianJingWaiShangShiDeWaiZiGuFaXingXinGuBianDongZengJian" label="无限售条件境外上市的外资股发行新股变动增减" mulRef="_GBC_a508261a48b3418b953725c3be4eaf67" addr="T0R14C3S1_1" formatStyle="Comma"/>
      <m:item xlName="_GBC_9a50f4e8a10445b99d937af2363ef8e7" concept="clcid-cgi:WuXianShouTiaoJianLiuTongGuJingWaiShangShiDeWaiZiGuSongGuBianDongZengJian" label="无限售条件境外上市的外资股送股变动增减" mulRef="_GBC_a508261a48b3418b953725c3be4eaf67" addr="T0R14C4S1_1" formatStyle="Comma"/>
      <m:item xlName="_GBC_c86075dfb967474a808a094a06a53b9e" concept="clcid-cgi:WuXianShouTiaoJianLiuTongGuJingWaiShangShiDeWaiZiGuGongJiJinZhuanGuBianDongZengJian" label="无限售条件境外上市的外资股公积金转股变动增减" mulRef="_GBC_a508261a48b3418b953725c3be4eaf67" addr="T0R14C5S1_1" formatStyle="Comma"/>
      <m:item xlName="_GBC_1528f86fb95041c6b9b0db48b05d88d9" concept="clcid-cgi:WuXianShouTiaoJianLiuTongGuJingWaiShangShiDeWaiZiGuQiTaBianDongZengJian" label="无限售条件境外上市的外资股其他变动增减" mulRef="_GBC_a508261a48b3418b953725c3be4eaf67" addr="T0R14C6S1_1" formatStyle="Comma"/>
      <m:item xlName="_GBC_7b72318b53ca48c5a14e83dbb74cc062" concept="clcid-cgi:WuXianShouTiaoJianLiuTongGuJingWaiShangShiDeWaiZiGuBianDongZengJianXiaoJi" label="无限售条件境外上市的外资股变动增减小计" mulRef="_GBC_a508261a48b3418b953725c3be4eaf67" addr="T0R14C7S1_1" formatStyle="Comma">
        <m:complexRule comparator="Eq" title="无限售条件境外上市的外资股变动增减小计" test=" $_GBC_c19025796efd4aeea3613b51153004cd +  $_GBC_9a50f4e8a10445b99d937af2363ef8e7 +  $_GBC_c86075dfb967474a808a094a06a53b9e +  $_GBC_1528f86fb95041c6b9b0db48b05d88d9" id="Ca3c74e91cbb94f77a2245da347cde5e7"/>
      </m:item>
      <m:item xlName="_GBC_79ff423afe984aa0ab8596a880ab5c27" concept="clcid-cgi:WuXianShouTiaoJianLiuTongGuJingWaiShangShiDeWaiZiGuShu" label="无限售条件境外上市的外资股数" mulRef="_GBC_a508261a48b3418b953725c3be4eaf67" addr="T0R14C8S1_1" formatStyle="Comma">
        <m:complexRule comparator="Eq" title="无限售条件境外上市的外资股数" test=" $_GBC_0fe3afedcca04220af48dfbcd1ae783d +  $_GBC_7b72318b53ca48c5a14e83dbb74cc062" id="C2a6f953a865c40dfbf74476754c495d6"/>
      </m:item>
      <m:item xlName="_GBC_ea49461972564da0a90a3da0d91fa9f5" concept="clcid-cgi:GuQuanFenZhiGaiGeHouWuXianShouTiaoJianLiuTongGuJingWaiShangShiDeWaiZiGuZhanZongGuBenBiLi" label="无限售条件境外上市的外资股占总股本比例" addr="T0R14C9S1_1" baseScale="0.01" formatStyle="Comma"/>
      <m:placeholder xlName="_PLD_9b8d2dfe1b514ac981caded56b0b636b" addr="T0R15C0S1_1"/>
      <m:item xlName="_GBC_eaee7bac453142dbbb786c8bba7e66d6" concept="clcid-cgi:WuXianShouTiaoJianLiuTongGuQiTaYiShangShiLiuTongGuFenShu" label="其他无限售条件已上市流通股份数" periodRef="本期期初数" mulRef="_GBC_a508261a48b3418b953725c3be4eaf67" addr="T0R15C1S1_1" formatStyle="Comma"/>
      <m:item xlName="_GBC_b413124f136e4543a61e2d951a773a76" concept="clcid-cgi:GuQuanFenZhiGaiGeHouWuXianShouTiaoJianLiuTongGuQiTaYiShangShiLiuTongGuFenZhanZongGuBenBiLi" label="其他无限售条件已上市流通股份占总股本比例" periodRef="本期期初数" addr="T0R15C2S1_1" baseScale="0.01" formatStyle="Comma"/>
      <m:item xlName="_GBC_05b68c908d15448391416a7616cc4a96" concept="clcid-cgi:QiTaWuXianShouTiaoJianYiShangShiLiuTongGuFaXingXinGuBianDongZengJian" label="其他无限售条件已上市流通股发行新股变动增减" mulRef="_GBC_a508261a48b3418b953725c3be4eaf67" addr="T0R15C3S1_1" formatStyle="Comma"/>
      <m:item xlName="_GBC_dc161b4041b041768a45b9c050a17ea0" concept="clcid-cgi:WuXianShouTiaoJianLiuTongGuQiTaYiShangShiLiuTongGuSongGuBianDongZengJian" label="其他无限售条件已上市流通股送股变动增减" mulRef="_GBC_a508261a48b3418b953725c3be4eaf67" addr="T0R15C4S1_1" formatStyle="Comma"/>
      <m:item xlName="_GBC_9ee52ccbdd64449884c8d60264b671f6" concept="clcid-cgi:WuXianShouTiaoJianLiuTongGuQiTaYiShangShiLiuTongGuGongJiJinZhuanGuBianDongZengJian" label="其他无限售条件已上市流通股公积金转股变动增减" mulRef="_GBC_a508261a48b3418b953725c3be4eaf67" addr="T0R15C5S1_1" formatStyle="Comma"/>
      <m:item xlName="_GBC_7e960f5795694277b8efe1cbde810aa1" concept="clcid-cgi:WuXianShouTiaoJianLiuTongGuQiTaYiShangShiLiuTongGuQiTaBianDongZengJian" label="其他无限售条件已上市流通股其他变动增减" mulRef="_GBC_a508261a48b3418b953725c3be4eaf67" addr="T0R15C6S1_1" formatStyle="Comma"/>
      <m:item xlName="_GBC_5d57fdfd135b4ef8b6826a3dc2579137" concept="clcid-cgi:WuXianShouTiaoJianLiuTongGuQiTaYiShangShiLiuTongGuBianDongZengJianXiaoJi" label="其他无限售条件已上市流通股变动增减小计" mulRef="_GBC_a508261a48b3418b953725c3be4eaf67" addr="T0R15C7S1_1" formatStyle="Comma">
        <m:complexRule comparator="Eq" title="其他无限售条件已上市流通股变动增减小计" test=" $_GBC_05b68c908d15448391416a7616cc4a96 +  $_GBC_dc161b4041b041768a45b9c050a17ea0 +  $_GBC_9ee52ccbdd64449884c8d60264b671f6 +  $_GBC_7e960f5795694277b8efe1cbde810aa1" id="C3abef7332d37451f9b53b53afe233170"/>
      </m:item>
      <m:item xlName="_GBC_4e9b9c7efe3b4a6db3960fd3b0fc846b" concept="clcid-cgi:WuXianShouTiaoJianLiuTongGuQiTaYiShangShiLiuTongGuFenShu" label="其他无限售条件已上市流通股份数" mulRef="_GBC_a508261a48b3418b953725c3be4eaf67" addr="T0R15C8S1_1" formatStyle="Comma">
        <m:complexRule comparator="Eq" title="其他无限售条件已上市流通股份数" test=" $_GBC_eaee7bac453142dbbb786c8bba7e66d6 +  $_GBC_5d57fdfd135b4ef8b6826a3dc2579137" id="Cdd38654a03494232858db6b5471007da"/>
      </m:item>
      <m:item xlName="_GBC_824474574d08492c8eea7ad45a8ea337" concept="clcid-cgi:GuQuanFenZhiGaiGeHouWuXianShouTiaoJianLiuTongGuQiTaYiShangShiLiuTongGuFenZhanZongGuBenBiLi" label="其他无限售条件已上市流通股份占总股本比例" addr="T0R15C9S1_1" baseScale="0.01" formatStyle="Comma"/>
      <m:placeholder xlName="_PLD_694843be834d40578355fa09da272906" addr="T0R16C0S1_1"/>
      <m:item xlName="_GBC_09b5b729dcca4bb595a5f4f863504f1c" concept="clcid-cgi:GuFenZongShu" label="股份总数" periodRef="本期期初数" mulRef="_GBC_a508261a48b3418b953725c3be4eaf67" addr="T0R16C1S1_1" formatStyle="Comma">
        <m:complexRule comparator="Eq" title="股份总数@本期期初数" test=" $_GBC_fbeccc857b3f4b97a28445ffa2d08300 +  $_GBC_951d387fa6274bc09d58461150514344" id="C1ab921039d8d4d87affb9a4674d2c99b"/>
      </m:item>
      <m:item xlName="_GBC_5fec937138af4a058b626e4b696f35f0" concept="clcid-cgi:GuFenZongShuZhanZongGuBenBiLi" label="股份总数占总股本比例" periodRef="本期期初数" addr="T0R16C2S1_1" baseScale="0.01" formatStyle="Comma">
        <m:complexRule comparator="Eq" title="股份总数占总股本比例@本期期初数" test=" $_GBC_37511f291d324d86890dab2a26a91e63 +  $_GBC_a0f8057034cb4a3f8a8c6624e2447ace" id="C2a7f9b827e0a43ed89b1df1af2b49897"/>
      </m:item>
      <m:item xlName="_GBC_00904a5629084dfeab5238b79b6acc34" concept="clcid-cgi:GuFenZongShuFaXingXinGuBianDongZengJian" label="股份总数发行新股变动增减" mulRef="_GBC_a508261a48b3418b953725c3be4eaf67" addr="T0R16C3S1_1" formatStyle="Comma">
        <m:complexRule comparator="Eq" title="股份总数发行新股变动增减" test=" $_GBC_e97b0601a9d04ac9a83f6ff94bb70c6e +  $_GBC_a423fcd739044e619a526565da3a3e2c" id="C3a775b658da247469287bd2ae7470418"/>
      </m:item>
      <m:item xlName="_GBC_384db6f78b5e4492be60d0b2ef08ac5f" concept="clcid-cgi:GuFenZongShuSongGuBianDongZengJian" label="股份总数送股变动增减" mulRef="_GBC_a508261a48b3418b953725c3be4eaf67" addr="T0R16C4S1_1" formatStyle="Comma">
        <m:complexRule comparator="Eq" title="股份总数送股变动增减" test=" $_GBC_4e465a2929534e96ad23455595cf2a9d +  $_GBC_0729d70b8f6549709c6ae30e3e62e003" id="C9470f620b66d4235a0f9c23ae4e23a4f"/>
      </m:item>
      <m:item xlName="_GBC_1b1036cd708e449ab17a945273c8227d" concept="clcid-cgi:GuFenZongShuGongJiJinZhuanGuBianDongZengJian" label="股份总数公积金转股变动增减" mulRef="_GBC_a508261a48b3418b953725c3be4eaf67" addr="T0R16C5S1_1" formatStyle="Comma">
        <m:complexRule comparator="Eq" title="股份总数公积金转股变动增减" test=" $_GBC_fc0251cb7e224195b2f7b74940cefad7 +  $_GBC_78e90546ebc944f4ae8f4f9e8ba43e46" id="C60f2ae8abc6a40dca970712be57f8a10"/>
      </m:item>
      <m:item xlName="_GBC_63be72c8234c4b09befd62bd44d3525e" concept="clcid-cgi:GuFenZongShuQiTaBianDongZengJian" label="股份总数其他变动增减" mulRef="_GBC_a508261a48b3418b953725c3be4eaf67" addr="T0R16C6S1_1" formatStyle="Comma">
        <m:complexRule comparator="Eq" title="股份总数其他变动增减" test=" $_GBC_5c4710b4bb0b40629fadc31b222c7871 +  $_GBC_08245380720e4213ba94be00ead0575e" id="C4f87f210268e4619b8920b697b72fbf0"/>
      </m:item>
      <m:item xlName="_GBC_b802a0446ab749b5969ce043c622e7d4" concept="clcid-cgi:GuFenZongShuBianDongZengJianXiaoJi" label="股份总数变动增减小计" mulRef="_GBC_a508261a48b3418b953725c3be4eaf67" addr="T0R16C7S1_1" formatStyle="Comma">
        <m:complexRule comparator="Eq" title="股份总数变动增减小计" test=" $_GBC_a3b5476c5cfd4577863e62c6045eac72 +  $_GBC_16bce148e1d1414f98632cd302898a94" id="C0372b227cab44ac592117c575827071b"/>
        <m:complexRule comparator="Eq" title="股份总数变动增减小计" test=" $_GBC_00904a5629084dfeab5238b79b6acc34 +  $_GBC_384db6f78b5e4492be60d0b2ef08ac5f +  $_GBC_1b1036cd708e449ab17a945273c8227d +  $_GBC_63be72c8234c4b09befd62bd44d3525e" id="C38447d4506fd45788985b2be2e09cf12"/>
      </m:item>
      <m:item xlName="_GBC_e278391b9e4540d29e2df95c3690339f" concept="clcid-cgi:GuFenZongShu" label="股份总数" mulRef="_GBC_a508261a48b3418b953725c3be4eaf67" addr="T0R16C8S1_1" formatStyle="Comma">
        <m:complexRule comparator="Eq" title="股份总数" test=" $_GBC_09b5b729dcca4bb595a5f4f863504f1c +  $_GBC_b802a0446ab749b5969ce043c622e7d4" id="C787b7eeca7bb4aaab9b0110add49a6f5"/>
        <m:complexRule comparator="Eq" title="股份总数" test=" $_GBC_c9f5cea3a39b4132b421cf662e5aa03f +  $_GBC_6b1d9037c71f456299ad93562962ac1b" id="Ce11d200b44e349e88855ac3796fce5ab"/>
      </m:item>
      <m:item xlName="_GBC_4846a1d6f03c49d6a5ff5e1e83a36b52" concept="clcid-cgi:GuFenZongShuZhanZongGuBenBiLi" label="股份总数占总股本比例" addr="T0R16C9S1_1" baseScale="0.01" formatStyle="Comma">
        <m:complexRule comparator="Eq" title="股份总数占总股本比例" test=" $_GBC_a6bfdfc7961d41ef83a4846dd09dc422 +  $_GBC_9369df62d5354ef8849fcac8c3076ba2" id="C1ff0103611664ce28d6baf401bb186e0"/>
      </m:item>
    </m:section>
    <m:section xlName="_SEC_3782effb59ab48a69b560d20cb0ee63c" title="报告期内，公司股份总数及股本结构未发生变化" helpId="104001001" primarySection="_SEC_3782effb59ab48a69b560d20cb0ee63c" optionText="股份未变化" optionGroupTitle="公司股份变化情况" optionTargetConcept="clcid-ci-ar:ShiFouShiYongGuFenBianDongQingKuangBiao" optionTargetConceptValue="false" otherKeyActions="{&quot;KeyCode&quot;:&quot;SF_TEC&quot;,&quot;KeyAction&quot;:47,&quot;KeyActionTitle&quot;:null,&quot;OtherActions&quot;:null}"/>
    <m:section xlName="_GBC_11d26f58e47e4a1f997d73362074f464" title="股份变动情况说明" rules="R2015_R6_001" convertSummaryRule="NoConvert" helpId="104001001">
      <m:item xlName="_GBC_28994e6dc9c649e498c0ab9c340777bf" concept="clcid-ci-ar:ShiFouShiYongPuTongGuGuFenBianDongQingKuangShuoMing" label="是否适用：普通股股份变动情况说明" selectOptions="_buildInAppliance" controlType="CustomCheckbox" cRanges="{&quot;StartName&quot;:&quot;_GBC_28994e6dc9c649e498c0ab9c340777bf&quot;,&quot;EndName&quot;:&quot;_GBC_370febd389f14759b2ed3f1114b289a6&quot;,&quot;CType&quot;:1,&quot;DisplayText&quot;:null}"/>
      <m:item xlName="_GBC_370febd389f14759b2ed3f1114b289a6" concept="clcid-cgi:GuFenBianDongQingKuangShuoMing" label="股份变动情况说明" appId="_GBC_28994e6dc9c649e498c0ab9c340777bf"/>
    </m:section>
    <m:section xlName="_GBC_2c9eb79778814e39ab254196ba75dab3" title="报告期后到半年报披露日期间发生股份变动对每股收益等指标影响" rules="R2015_R6_001" convertSummaryRule="NoConvert" helpId="104001001">
      <m:item xlName="_GBC_bb0980f1589b4db8944ca5595f342bf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bb0980f1589b4db8944ca5595f342bfe&quot;,&quot;EndName&quot;:&quot;_GBC_357a4417afe34f56bf112d0f65cd7d39&quot;,&quot;CType&quot;:1,&quot;DisplayText&quot;:null}"/>
      <m:item xlName="_GBC_357a4417afe34f56bf112d0f65cd7d39" concept="clcid-cgi:GuFenBianDongDuiZuiJinYiNianHeZuiJinYiQiCaiWuZhiBiaoDeYingXiang" label="股份变动对最近一年和最近一期财务指标的影响" appId="_GBC_bb0980f1589b4db8944ca5595f342bfe"/>
    </m:section>
    <m:section xlName="_GBC_ea8cea8d08c04df4b51a4a58c86eadd2" title="公司认为必要或证券监管机构要求披露的其他内容" rules="R2015_R6_001" convertSummaryRule="NoConvert" helpId="104001001">
      <m:item xlName="_GBC_7554eed1e25047d282437f24056d532b" concept="clcid-ci-ar:ShiFouShiYongGongSiRenWeiBiYaoHuoZhengQuanJianGuanJiGouYaoQiuPiLuDeQiTaNeiRong" label="是否适用：公司认为必要或证券监管机构要求披露的其他内容" selectOptions="_buildInAppliance" controlType="CustomCheckbox" cRanges="{&quot;StartName&quot;:&quot;_GBC_7554eed1e25047d282437f24056d532b&quot;,&quot;EndName&quot;:&quot;_GBC_498688d3a046460faa5100f61cc25605&quot;,&quot;CType&quot;:1,&quot;DisplayText&quot;:null}"/>
      <m:item xlName="_GBC_498688d3a046460faa5100f61cc25605" concept="clcid-cgi:GuFenBianDongGongSiRenWeiBiYaoHuoZhengQuanJianGuanJiGouYaoQiuPiLuDeQiTaNeiRong" label="股份变动公司认为必要或证券监管机构要求披露的其他内容" appId="_GBC_7554eed1e25047d282437f24056d532b"/>
    </m:section>
    <m:section xlName="_SEC_50388f4758524fb2a455b1039c3d00e6" title="限售股份变动情况" helpId="104001031" helpText="注：（1）若同一股东因不同限售原因或限售期限持有几类限售股份的，应当区别不同的限售原因或解除限售日期填写上表。\n（2）仅因转融通借出、归还股份导致限售股数量发生变动的，无需填写表格。\n（3）年初限售股数和年末限售股数的填写说明：战略配售股东转融通借出股份的，填写包含转融通借出股份的限售股份数量。">
      <m:item xlName="_GBC_6744ef8971f848f3b3b2765f7c8763a6" concept="clcid-ci-ar:ShiFouShiYongXianShouGuFenBianDongQingKuangBiao" label="是否适用：限售股份变动情况表" selectOptions="_buildInAppliance" controlType="CustomCheckbox" cRanges="[{&quot;StartName&quot;:&quot;_GBC_6744ef8971f848f3b3b2765f7c8763a6&quot;,&quot;EndName&quot;:&quot;_SEC_50388f4758524fb2a455b1039c3d00e6&quot;,&quot;CType&quot;:1}]"/>
      <m:item xlName="_GBC_1199f3cb2db743aebda3c737e1262f1c" concept="clcid-ci-ar:DanWeiXianShouGuFenBianDongQingKuangBiao" label="单位：限售股份变动情况表" selectOptions="e5ff0938481c4e57a5dbc66853be82ef" controlType="Combobox" cellType="Scale" appId="_GBC_6744ef8971f848f3b3b2765f7c8763a6"/>
      <m:placeholder xlName="_PLD_dbae5fe2556d419e8146d3f15fc76518" addr="T0R0C0S1_1"/>
      <m:placeholder xlName="_PLD_2b50d8f67617439a9ea4ff20672400f4" addr="T0R0C1S1_1"/>
      <m:placeholder xlName="_PLD_f72810286d87423b92cfea39c3027db1" addr="T0R0C2S1_1"/>
      <m:placeholder xlName="_PLD_2ccb9be9e8374c38a9f0868e94b56d82" addr="T0R0C3S1_1"/>
      <m:placeholder xlName="_PLD_1e56cd03928e46a69f6d85479e1985a7" addr="T0R0C4S1_1"/>
      <m:placeholder xlName="_PLD_4a9a5b4dde324a60be7727481fe88d45" addr="T0R0C5S1_1"/>
      <m:placeholder xlName="_PLD_3e59f0f3bc5e4437ab2943c00cfe9948" addr="T0R0C6S1_1"/>
      <m:tuple xlName="_TUP_c4ea812bafc54ca591d05d1a1025cb5d" concept="clcid-cgi:XianShouGuFenBianDongQingKuangMingXi" default_row="2" addr="T0R1C">
        <m:item xlName="_GBC_98226a8773fa48a4bac331b3501322e2" concept="clcid-cgi:XianShouGuFenBianDongQingKuangMingXiGuDongMingCheng" label="限售股份变动情况明细－股东名称" addr="T0R1C0S1_1" appId="_GBC_6744ef8971f848f3b3b2765f7c8763a6"/>
        <m:item xlName="_GBC_178a3235afdb4710adfde9e74622f2bf" concept="clcid-cgi:XianShouGuFenBianDongQingKuangMingXiXianShouGuFenShuLiang" label="限售股份变动情况明细－限售股份数量" periodRef="本期期初数" mulRef="_GBC_1199f3cb2db743aebda3c737e1262f1c" addr="T0R1C1S1_1" formatStyle="Comma" appId="_GBC_6744ef8971f848f3b3b2765f7c8763a6"/>
        <m:item xlName="_GBC_4f94381348f94423935d0cc46325410e" concept="clcid-cgi:XianShouGuFenBianDongQingKuangMingXiJieChuXianShouGuFenShuLiang" label="限售股份变动情况明细－解除限售股份数量" mulRef="_GBC_1199f3cb2db743aebda3c737e1262f1c" addr="T0R1C2S1_1" formatStyle="Comma" appId="_GBC_6744ef8971f848f3b3b2765f7c8763a6" otherRowSpan="true"/>
        <m:item xlName="_GBC_401a66296d2c4993ac6ff9690c3e94ca" concept="clcid-cgi:XianShouGuFenBianDongQingKuangMingXiZengJiaXianShouGuFenShuLiang" label="限售股份变动情况明细－增加限售股份数量" mulRef="_GBC_1199f3cb2db743aebda3c737e1262f1c" addr="T0R1C3S1_1" formatStyle="Comma" appId="_GBC_6744ef8971f848f3b3b2765f7c8763a6"/>
        <m:item xlName="_GBC_aa543a77d664495f870e2d2019126f4e" concept="clcid-cgi:XianShouGuFenBianDongQingKuangMingXiXianShouGuFenShuLiang" label="限售股份变动情况明细－限售股份数量" mulRef="_GBC_1199f3cb2db743aebda3c737e1262f1c" addr="T0R1C4S1_1" formatStyle="Comma" appId="_GBC_6744ef8971f848f3b3b2765f7c8763a6"/>
        <m:item xlName="_GBC_5a8708c587fb4f7fbc59e226c64a2200" concept="clcid-cgi:XianShouGuFenBianDongQingKuangMingXiXianShouYuanYin" label="限售股份变动情况明细－限售原因" addr="T0R1C5S1_1" appId="_GBC_6744ef8971f848f3b3b2765f7c8763a6"/>
        <m:item xlName="_GBC_1ead5a8839ed4234811ab061c2ee7249" concept="clcid-cgi:XianShouGuFenBianDongQingKuangMingXiJieChuXianShouRiQi" label="限售股份变动情况明细－解除限售日期" addr="T0R1C6S1_1" appId="_GBC_6744ef8971f848f3b3b2765f7c8763a6" keyAction="38"/>
      </m:tuple>
      <m:placeholder xlName="_PLD_026a700db91343f79dad10143124aa86" addr="T0R3C0S1_1"/>
      <m:item xlName="_GBC_bb23b1f071ee4eafabaadba1da855beb" concept="clcid-cgi:XianShouGuFenBianDongQingKuangZhongDeXianShouGuFenShuLiangHeJi" label="限售股份变动情况中的限售股份数量合计" periodRef="本期期初数" mulRef="_GBC_1199f3cb2db743aebda3c737e1262f1c" addr="T0R3C1S1_1" formatStyle="Comma" appId="_GBC_6744ef8971f848f3b3b2765f7c8763a6"/>
      <m:item xlName="_GBC_3f24d2bec5c5403c8e65562c225ed738" concept="clcid-cgi:JieChuXianShouGuFenShuLiangHeJi" label="解除限售股份数量合计" mulRef="_GBC_1199f3cb2db743aebda3c737e1262f1c" addr="T0R3C2S1_1" formatStyle="Comma" appId="_GBC_6744ef8971f848f3b3b2765f7c8763a6"/>
      <m:item xlName="_GBC_bf30927953234ed483d5042854ea4e12" concept="clcid-cgi:ZengJiaXianShouGuFenShuLiangHeJi" label="增加限售股份数量合计" mulRef="_GBC_1199f3cb2db743aebda3c737e1262f1c" addr="T0R3C3S1_1" formatStyle="Comma" appId="_GBC_6744ef8971f848f3b3b2765f7c8763a6"/>
      <m:item xlName="_GBC_72184b49db774f8ea58cca5b7771d57d" concept="clcid-cgi:XianShouGuFenBianDongQingKuangZhongDeXianShouGuFenShuLiangHeJi" label="限售股份变动情况中的限售股份数量合计" mulRef="_GBC_1199f3cb2db743aebda3c737e1262f1c" addr="T0R3C4S1_1" formatStyle="Comma" appId="_GBC_6744ef8971f848f3b3b2765f7c8763a6"/>
    </m:section>
    <m:section xlName="_GBC_ba0ac3b5d31347c0a620e3662112fa62" title="股东总数" rules="R2015_R6_002" convertSummaryRule="NoConvert" helpId="104002001">
      <m:placeholder xlName="_PLD_9206d6884981495295105158630a6172" addr="T0R0C0S1_1"/>
      <m:item xlName="_GBC_9fd402ec66014f4e9716c7fdb0286bd2" concept="clcid-cgi:BaoGaoQiMoGuDongZongShu" label="报告期末股东总数" addr="T0R0C1S1_1" tagAction="1" formatStyle="Comma">
        <m:simpleRule dataType="Any" comparator="None" minOccurs="1"/>
      </m:item>
      <m:placeholder xlName="_PLD_40c51c13ddad420ab635010b5df15a40" addr="T0R1C0S1_1"/>
      <m:item xlName="_GBC_b41615ffc6ff4fa08ac28734990e5cff" concept="clcid-cgi:BaoGaoQiMoBiaoJueQuanHuiFuDeYouXianGuGuDongZongShu" label="报告期末表决权恢复的优先股股东总数" addr="T0R1C1S1_1" formatStyle="Comma"/>
      <m:placeholder xlName="_PLD_e5f7465047a04842b2100db13cb563d9" addr="T0R2C0S1_1"/>
      <m:item xlName="_GBC_82ebdc12e6854c57bfaa69bf2679f099" concept="clcid-cgi:BaoGaoQiMoChiYouTeBieBiaoJueQuanGuFenDeGuDongZongShu" label="报告期末持有特别表决权股份的股东总数" addr="T0R2C1S1_1" formatStyle="Comma"/>
    </m:section>
    <m:section xlName="_SEC_2372e6da5cf344769c6419b142eb9eba" title="存托凭证持有人数量">
      <m:item xlName="_GBC_df7f294f93dc4a95b06e79fc01ec42ae" concept="clcid-ci-ar:ShiFouShiYongCunTuoPingZhengChiYouRenShuLiang" label="是否适用：存托凭证持有人数量" selectOptions="_buildInAppliance" controlType="CustomCheckbox" cRanges="[{&quot;StartName&quot;:&quot;_GBC_df7f294f93dc4a95b06e79fc01ec42ae&quot;,&quot;EndName&quot;:&quot;_GBC_b7f94b4803bd4e24b0a44f3bed05e9a2&quot;,&quot;CType&quot;:1}]"/>
      <m:placeholder xlName="_PLD_b37ec315379b4c92a603849a5a03e7eb" addr="T0R0C0S1_1"/>
      <m:item xlName="_GBC_b7f94b4803bd4e24b0a44f3bed05e9a2" concept="clcid-cgi:BaoGaoQiMoCunTuoPingZhengChiYouRenZongShu" label="报告期末存托凭证持有人总数" addr="T0R0C1S1_1" tagAction="1" formatStyle="Comma" appId="_GBC_df7f294f93dc4a95b06e79fc01ec42ae"/>
    </m:section>
    <m:section xlName="_SEC_6c6be928322a4a02826c66a46fc39818" title="">
      <m:item xlName="_GBC_41f87271fb1b4b8b9a5fa20cc2b8a640" concept="clcid-ci-ar:ShiFouShiYongQianShiMingGuDongTongShiTongGuoPuTongZhengQuanZhangHuHeZhengQuanGongSiKeHuXinYongJiaoYiDanBaoZhengQuanZhangHuChiGuDeQingXing" label="是否适用：前十名股东同时通过普通证券账户和证券公司客户信用交易担保证券账户持股的情形" selectOptions="_buildInAppliance" controlType="CustomCheckbox" cRanges="[{&quot;StartName&quot;:&quot;_GBC_41f87271fb1b4b8b9a5fa20cc2b8a640&quot;,&quot;EndName&quot;:&quot;_GBC_0293331386944a86b10f3b7b39ce8abd&quot;,&quot;CType&quot;:1}]"/>
      <m:item xlName="_GBC_0293331386944a86b10f3b7b39ce8abd" concept="clcid-cgi:QianShiMingGuDongTongShiTongGuoPuTongZhengQuanZhangHuHeZhengQuanGongSiKeHuXinYongJiaoYiDanBaoZhengQuanZhangHuChiGuDeQingXing" label="前十名股东同时通过普通证券账户和证券公司客户信用交易担保证券账户持股的情形" appId="_GBC_41f87271fb1b4b8b9a5fa20cc2b8a640"/>
    </m:section>
    <m:section xlName="_SEC_769166f460cf41719d4a683cd259025b" title="前十名股东持股情况表" helpText="注：\n1.公司股票为融资融券标的证券的，股东同时通过普通证券账户和证券公司客户信用交易担保证券账户持股的，应当按照其通过普通证券账户、信用证券账户持有的股票及其权益数量合并计算。\n2.公司在计算本条所指股东持股数额或比例时,应合并计算普通股和表决权恢复的优先股(如有)。\n3.持有有限售条件股份数量，按照实际持有的限售股数量填写，不包括转融通已借出的股份。\n4.前十名股东顺序，按照“期末持股数量”一列排序。">
      <m:item xlName="_GBC_73996b9ab8f54ba3b3e788593dc65aac" concept="clcid-ci-ar:DanWeiQianShiMingGuDongChiGuQingKuang" label="单位：前十名股东持股情况" selectOptions="e5ff0938481c4e57a5dbc66853be82ef" controlType="Combobox" cellType="Scale"/>
      <m:placeholder xlName="_PLD_25704ae1a4b04ea0932006f1e2b7c151" addr="T0R0C0S1_12"/>
      <m:placeholder xlName="_PLD_febf8ad3cd004ab4abe85ab2eafb4074" addr="T0R1C0S2_1"/>
      <m:placeholder xlName="_PLD_151ed6770493426faeeb883c71d4ccc9" addr="T0R1C1S2_1"/>
      <m:placeholder xlName="_PLD_a175ed5cc9f74becb38c654559617907" addr="T0R1C2S2_1"/>
      <m:placeholder xlName="_PLD_f757752905c344d88c327bcf23558c6c" addr="T0R1C3S2_2"/>
      <m:placeholder xlName="_PLD_979a0b0e13374fcbb24c009c2f18c9ef" addr="T0R1C5S2_1"/>
      <m:placeholder xlName="_PLD_09d909fca153451f8b46de46609562cf" addr="T0R1C6S2_2"/>
      <m:placeholder xlName="_PLD_55c21d6bece2473b9e91a13f1fc3209c" addr="T0R1C8S1_3"/>
      <m:placeholder xlName="_PLD_6e6bb880c9fe4934939cff29906e34fe" addr="T0R1C11S2_1"/>
      <m:placeholder xlName="_PLD_880b15fda366425797944e063400ebda" addr="T0R2C8S1_1"/>
      <m:placeholder xlName="_PLD_beacd55a4fd14a0f8b5ed2fcc2cedf72" addr="T0R2C9S1_2"/>
      <m:tuple xlName="_TUP_b6625b98fb034d219361dd9a07e89023" concept="clcid-cgi:QianShiMingGuDongChiGuQingKuang" default_row="10" addr="T0R3C">
        <m:item xlName="_GBC_faefe6ed4e1f43d38fc852107e836eff" concept="clcid-cgi:QianShiMingGuDongMingCheng" label="前十名股东名称" addr="T0R3C0S1_1" cellConvertType="1"/>
        <m:item xlName="_GBC_f670c2a8f3074da690402e19d758e9d2" concept="clcid-cgi:QianShiMingGuDongBaoGaoQiNeiZengJian" label="前十名股东报告期内增减" mulRef="_GBC_73996b9ab8f54ba3b3e788593dc65aac" addr="T0R3C1S1_1" formatStyle="Comma" keyAction="38"/>
        <m:item xlName="_GBC_00a57ad215d24879a3eb777baf72d468" concept="clcid-cgi:GuDongChiYouGuFenShuLiang" label="股东持有股份数量" mulRef="_GBC_73996b9ab8f54ba3b3e788593dc65aac" addr="T0R3C2S1_1" formatStyle="Comma" keyAction="38"/>
        <m:item xlName="_GBC_f03e6ac7f0c24e71aa5e91c5f912e6ba" concept="clcid-cgi:QianShiMingGuDongChiGuBiLi" label="前十名股东持股比例" addr="T0R3C3S1_2" baseScale="0.01" formatStyle="Comma" keyAction="38"/>
        <m:item xlName="_GBC_228392d0140742db96d9d8c525a6bf77" concept="clcid-cgi:QianShiMingGuDongChiYouYouXianShouTiaoJianGuFenShuLiang" label="前十名股东持有有限售条件股份数量" mulRef="_GBC_73996b9ab8f54ba3b3e788593dc65aac" addr="T0R3C5S1_1" formatStyle="Comma" keyAction="38"/>
        <m:item xlName="_GBC_6cdd1a32307140609c1c79916f4d71ba" concept="clcid-cgi:QianShiMingGuDongBaoHanZhuanRongTongJieChuGuFenDeXianShouGuFenShuLiang" label="前十名股东包含转融通借出股份的限售股份数量" mulRef="_GBC_73996b9ab8f54ba3b3e788593dc65aac" addr="T0R3C6S1_2" formatStyle="Comma"/>
        <m:item xlName="_GBC_601a9cb87dc846af9d4bed69aaea7888" concept="clcid-cgi:QianShiMingGuDongChiYouGuFenZhuangTai" label="前十名股东持有股份状态" selectOptions="6a50f97e0c674873ae4c0acd28a382bf" addr="T0R3C8S1_1" controlType="Combobox" tupleRef="clcid-cgi:QianShiMingGuDongZhiYaHuoDongJieQingKuang" checkOption="Ignore">
          <m:simpleRule dataType="Any" comparator="None" minOccurs="1"/>
        </m:item>
        <m:item xlName="_GBC_e9e277d0328c425a973e2a668ca4b279" concept="clcid-cgi:QianShiMingGuDongChiYouGuFenZhiYaHuoDongJieShuLiang" label="前十名股东持有股份质押或冻结数量" mulRef="_GBC_73996b9ab8f54ba3b3e788593dc65aac" addr="T0R3C9S1_2" formatStyle="Comma" tupleRef="clcid-cgi:QianShiMingGuDongZhiYaHuoDongJieQingKuang" keyAction="38"/>
        <m:item xlName="_GBC_68958727cb594705a259c3dd038cbe2f" concept="clcid-cgi:QianShiMingGuDongDeGuDongXingZhi" label="前十名股东的股东性质" selectOptions="f371909bbdae4d04a10e78aba57d12e7" addr="T0R3C11S1_1" controlType="Combobox" checkOption="Ignore">
          <m:simpleRule dataType="Any" comparator="None" minOccurs="1"/>
        </m:item>
      </m:tuple>
      <m:placeholder xlName="_PLD_c9e6bafac4994fc7871e4eb6c4bef60e" addr="T0R13C0S1_13"/>
      <m:placeholder xlName="_PLD_392c944a7c114c3889557be2a5fbd5e2" addr="T0R14C0S2_4"/>
      <m:placeholder xlName="_PLD_d6e1cfed098f41c9bd47022a76f5fe3c" addr="T0R14C4S2_3"/>
      <m:placeholder xlName="_PLD_a77673e8fdc1415f8fbb60a2f7a2660c" addr="T0R14C7S1_6"/>
      <m:placeholder xlName="_PLD_1dffa6c076534a1999d8549abe4fe883" addr="T0R15C7S1_3"/>
      <m:placeholder xlName="_PLD_77c24846b23f4da78746d1a64bbe819e" addr="T0R15C10S1_3"/>
      <m:tuple xlName="_TUP_9d20dbd91b934a4f974de5220b6d037f" concept="clcid-cgi:QianShiMingWuXianShouTiaoJianGuDongChiGuQingKuang" default_row="10" addr="T0R16C">
        <m:item xlName="_GBC_d7e98f11c3be430b8be8d2c8f0e32e14" concept="clcid-cgi:QianShiMingWuXianShouTiaoJianGuDongDeMingCheng" label="前十名无限售条件股东的名称" addr="T0R16C0S1_4" cellConvertType="1"/>
        <m:item xlName="_GBC_773aebfb1683472ab0df3be247a9f599" concept="clcid-cgi:QianShiMingWuXianShouTiaoJianGuDongQiMoChiYouLiuTongGuDeShuLiang" label="前十名无限售条件股东期末持有流通股的数量" mulRef="_GBC_73996b9ab8f54ba3b3e788593dc65aac" addr="T0R16C4S1_3" formatStyle="Comma" keyAction="38"/>
        <m:item xlName="_GBC_1e9b5cd905ad4aaebdc32a1af6bcccdd" concept="clcid-cgi:QianShiMingWuXianShouTiaoJianGuDongQiMoChiYouLiuTongGuDeZhongLei" label="前十名无限售条件股东期末持有流通股的种类" selectOptions="16b5d517d72d4ea998fd9d66e4a5e3f3" addr="T0R16C7S1_3" controlType="Combobox" tupleRef="clcid-cgi:QianShiMingWuXianShouTiaoJianGuDongQiMoChiYouLiuTongGuDeFenZhongLeiQingKuang" checkOption="Ignore"/>
        <m:item xlName="_GBC_db809ccc5a8a46ad87aa3f920b2c66f1" concept="clcid-cgi:QianShiMingWuXianShouTiaoJianGuDongQiMoChiYouLiuTongGuDeZhongLeiShuLiang" label="前十名无限售条件股东期末持有流通股的种类数量" mulRef="_GBC_73996b9ab8f54ba3b3e788593dc65aac" addr="T0R16C10S1_3" formatStyle="Comma" tupleRef="clcid-cgi:QianShiMingWuXianShouTiaoJianGuDongQiMoChiYouLiuTongGuDeFenZhongLeiQingKuang" keyAction="38"/>
      </m:tuple>
      <m:placeholder xlName="_PLD_eac3023fe0894934bf60a8c6732ab00b" addr="T0R26C0S1_4"/>
      <m:item xlName="_GBC_f5e49ca2fe7c48d9b6e64836d409b102" concept="clcid-cgi:QianShiMingGuDongZhongHuiGouZhuanHuQingKuangShuoMing" label="前十名股东中回购专户情况说明" addr="T0R26C4S1_9"/>
      <m:placeholder xlName="_PLD_aaf5fa38dc18438485a516fe5e503b8c" addr="T0R27C0S1_4"/>
      <m:item xlName="_GBC_e344ed9b20ab4b58a7e458346c1184ff" concept="clcid-cgi:ShangShuGuDongWeiTuoBiaoJueQuanShouTuoBiaoJueQuanFangQiBiaoJueQuanDeShuoMing" label="上述股东委托表决权、受托表决权、放弃表决权的说明" addr="T0R27C4S1_9"/>
      <m:placeholder xlName="_PLD_5aad6b79dfab41378a9b43bdde854967" addr="T0R28C0S1_4"/>
      <m:item xlName="_GBC_657abbba90d7436982991e038823079b" concept="clcid-cgi:GuDongGuanLianGuanXiHuoYiZhiXingDongDeShuoMing" label="股东关联关系或一致行动的说明" addr="T0R28C4S1_9"/>
      <m:placeholder xlName="_PLD_6bdf5e7731c24c4f9b613f95544a4770" addr="T0R29C0S1_4"/>
      <m:item xlName="_GBC_f26040f3873c472da35669e702731f99" concept="clcid-cgi:BiaoJueQuanHuiFuDeYouXianGuGuDongJiChiGuShuLiangDeShuoMing" label="表决权恢复的优先股股东及持股数量的说明" addr="T0R29C4S1_9"/>
      <m:item xlName="_GBC_b0a773d626ca4b029e25d9384983416e" concept="clcid-ci-ar:ShiFouShiYongQianShiMingYouXianShouTiaoJianGuDongChiGuShuLiangJiXianShouTiaoJian" label="是否适用：前十名有限售条件股东持股数量及限售条件" selectOptions="_buildInAppliance" controlType="CustomCheckbox" cRanges="[{&quot;StartName&quot;:&quot;_GBC_b0a773d626ca4b029e25d9384983416e&quot;,&quot;EndName&quot;:&quot;_GBC_2e562a46c6954123824ccc3c900ef2c5&quot;,&quot;CType&quot;:1}]"/>
      <m:item xlName="_GBC_ac6ba0fdd0cf449587ff75f83f29e89c" concept="clcid-ci-ar:DanWeiQianShiMingYouXianShouTiaoJianGuDongChiGuShuLiangJiXianShouTiaoJian" label="单位：前十名有限售条件股东持股数量及限售条件" selectOptions="e5ff0938481c4e57a5dbc66853be82ef" controlType="Combobox" cellType="Scale" appId="_GBC_b0a773d626ca4b029e25d9384983416e"/>
      <m:placeholder xlName="_PLD_23b808729aa6431d9b56fff6b9ee14fd" addr="T1R0C0S2_1"/>
      <m:placeholder xlName="_PLD_e385c0ed798d4d82b7cc1d0ed84a8c8f" addr="T1R0C1S2_1"/>
      <m:placeholder xlName="_PLD_654fa77cfcf6471cabda71c12ddf195d" addr="T1R0C2S2_1"/>
      <m:placeholder xlName="_PLD_67b67b80e8c542e19d1e8761c907c0a9" addr="T1R0C3S1_2"/>
      <m:placeholder xlName="_PLD_72288f5640f74ea785ee5b63c5ac1fa7" addr="T1R0C5S2_1"/>
      <m:placeholder xlName="_PLD_b2c2e0a90da043ec9d47f535a9f409e4" addr="T1R1C3S1_1"/>
      <m:placeholder xlName="_PLD_4de6c6f41f3d42bf95b829e0a9336d8c" addr="T1R1C4S1_1"/>
      <m:tuple xlName="_TUP_448531fe5793474593ff660728e7149f" concept="clcid-cgi:QianShiMingYouXianShouTiaoJianGuDongChiGuShuLiangJiXianShouTiaoJianQingKuang" default_row="10" addr="T1R2C">
        <m:placeholder xlName="_PLD_b8ff1d63a104431ca5399b96b6ac41bb" sequenceName="前十名有限售条件股东持股数量及限售条件" sequenceStep="1" addr="T1R2C0S1_1"/>
        <m:item xlName="_GBC_9829a992004847ec86a0923c06b8acef" concept="clcid-cgi:QianShiMingYouXianShouTiaoJianGuDongMingCheng" label="前十名有限售条件股东名称" addr="T1R2C1S1_1" cellConvertType="1" appId="_GBC_b0a773d626ca4b029e25d9384983416e"/>
        <m:item xlName="_GBC_776bfe3cb1e147e4896dea8d2aef85e6" concept="clcid-cgi:QianShiMingYouXianShouTiaoJianGuDongChiYouDeYouXianShouTiaoJianGuFenShuLiang" label="前十名有限售条件股东持有的有限售条件股份数量" mulRef="_GBC_ac6ba0fdd0cf449587ff75f83f29e89c" addr="T1R2C2S1_1" formatStyle="Comma" appId="_GBC_b0a773d626ca4b029e25d9384983416e" keyAction="38"/>
        <m:item xlName="_GBC_bd1f4f52071c4a0792c33158c0a24c7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b0a773d626ca4b029e25d9384983416e" keyAction="38"/>
        <m:item xlName="_GBC_165d2e61677244d298f8cf0262bf94f3" concept="clcid-cgi:QianShiMingYouXianShouTiaoJianGuDongXinZengKeShangShiJiaoYiGuFenShuLiang" label="前十名有限售条件股东新增可上市交易股份数量" mulRef="_GBC_ac6ba0fdd0cf449587ff75f83f29e89c" addr="T1R2C4S1_1" formatStyle="Comma" tupleRef="clcid-cgi:QianShiMingYouXianShouTiaoJianGuDongChiYouDeYouXianShouTiaoJianGuFenKeShangShiJiaoYiQingKuang" appId="_GBC_b0a773d626ca4b029e25d9384983416e" keyAction="38"/>
        <m:item xlName="_GBC_d6e8d275acbe438494b0e7b111d4064e" concept="clcid-cgi:QianShiMingYouXianShouTiaoJianGuDongXianShouTiaoJian" label="前十名有限售条件股东限售条件" addr="T1R2C5S1_1" appId="_GBC_b0a773d626ca4b029e25d9384983416e"/>
      </m:tuple>
      <m:placeholder xlName="_PLD_93a9569c37f94f3190c8e5fafcc19bae" addr="T1R12C0S1_2"/>
      <m:item xlName="_GBC_2e562a46c6954123824ccc3c900ef2c5" concept="clcid-cgi:YouXianShouTiaoJianGuDongGuanLianGuanXiHuoYiZhiXingDongDeShuoMing" label="有限售条件股东关联关系或一致行动的说明" addr="T1R12C2S1_4" appId="_GBC_b0a773d626ca4b029e25d9384983416e"/>
    </m:section>
    <m:section xlName="_SEC_3102c832a4f14f2dbb09ceb0587d8194" title="截止报告期末公司前10名境内存托凭证持有人情况表" helpText="1、持有有限售条件存托凭证数量，按照实际持有的限售存托凭证数量填写，不包括转融通已借出的存托凭证。\n2.前十名存托凭证持有人顺序，按照“期末持有数量”一列排序">
      <m:item xlName="_GBC_b229d36514754ccdb3833dca0133d89f" concept="clcid-ci-ar:ShiFouShiYongQianShiMingCunTuoPingZhengChiYouRenQingKuang" label="是否适用：前十名存托凭证持有人情况" selectOptions="_buildInAppliance" controlType="CustomCheckbox" cRanges="[{&quot;StartName&quot;:&quot;_GBC_b229d36514754ccdb3833dca0133d89f&quot;,&quot;EndName&quot;:&quot;_GBC_ede8bb16a19548589298d130a3894842&quot;,&quot;CType&quot;:1}]"/>
      <m:item xlName="_GBC_4b348310ecb34b6f83aa17bc33edacde" concept="clcid-ci-ar:DanWeiQianShiMingCunTuoPingZhengChiYouRenQingKuang" label="单位：前十名存托凭证持有人情况" selectOptions="0777cab0bc5245e799ef8aae5969ffcb" controlType="Combobox" cellType="Scale" appId="_GBC_b229d36514754ccdb3833dca0133d89f"/>
      <m:placeholder xlName="_PLD_fd0e44345e0f4d659f338f85eaefec51" addr="T0R0C0S1_11"/>
      <m:placeholder xlName="_PLD_cddc697d6ab648cd854b6f2940d8775a" addr="T0R1C0S2_1"/>
      <m:placeholder xlName="_PLD_056bc851a27a4f9db1dbc1f3cc45418b" addr="T0R1C1S2_1"/>
      <m:placeholder xlName="_PLD_d0eac665ffbe406295a26bf29d9bfd10" addr="T0R1C2S2_2"/>
      <m:placeholder xlName="_PLD_227a9956111b4f09bf5a7950b2baacde" addr="T0R1C4S2_1"/>
      <m:placeholder xlName="_PLD_8fdc30426c2c4e4896ba0db0070650dc" addr="T0R1C5S2_2"/>
      <m:placeholder xlName="_PLD_4bff2d6403234a5fa6610d648e2f6550" addr="T0R1C7S2_1"/>
      <m:placeholder xlName="_PLD_86dff610f89b45b08173ec732073c3eb" addr="T0R1C8S1_2"/>
      <m:placeholder xlName="_PLD_b9b08b4497704675a1b03fc66bf3a20f" addr="T0R1C10S2_1"/>
      <m:placeholder xlName="_PLD_989b2370ee2047d99a38bd07b95cbc3e" addr="T0R2C8S1_1"/>
      <m:placeholder xlName="_PLD_8ea0737a7acc485ebd3f63557c4807d9" addr="T0R2C9S1_1"/>
      <m:tuple xlName="_TUP_398f260ae97c467f8fdda934467d572e" concept="clcid-cgi:QianShiMingCunTuoPingZhengChiYouRenQingKuangMingXi" default_row="10" addr="T0R3C">
        <m:item xlName="_GBC_aecaa87f1fe74c7e973b248dd1fed8c9" concept="clcid-cgi:QianShiMingCunTuoPingZhengChiYouRenMingCheng" label="前十名存托凭证持有人名称" addr="T0R3C0S1_1" appId="_GBC_b229d36514754ccdb3833dca0133d89f"/>
        <m:item xlName="_GBC_c8717f0541064ac79e4401a039936ebc" concept="clcid-cgi:QianShiMingCunTuoPingZhengBaoGaoQiNeiZengJian" label="前十名存托凭证报告期内增减" mulRef="_GBC_4b348310ecb34b6f83aa17bc33edacde" addr="T0R3C1S1_1" formatStyle="Comma" appId="_GBC_b229d36514754ccdb3833dca0133d89f"/>
        <m:item xlName="_GBC_c2dca9e9a8674618833b626358a2c576" concept="clcid-cgi:QianShiMingCunTuoPingZhengChiYouShuLiang" label="前十名存托凭证持有数量" mulRef="_GBC_4b348310ecb34b6f83aa17bc33edacde" addr="T0R3C2S1_2" formatStyle="Comma" appId="_GBC_b229d36514754ccdb3833dca0133d89f"/>
        <m:item xlName="_GBC_b38bbdf99f7e4a538bda77d369c0c5fb" concept="clcid-cgi:QianShiMingChiYouCunTuoPingZhengShuLiangZhanYiFaXingCunTuoPingZhengZongLiangDeBiLi" label="前十名持有存托凭证数量占已发行存托凭证总量的比例" addr="T0R3C4S1_1" baseScale="0.01" formatStyle="Comma" appId="_GBC_b229d36514754ccdb3833dca0133d89f"/>
        <m:item xlName="_GBC_1e1ba9b1b44a42f19c98c24693e8fdc1" concept="clcid-cgi:QianShiMingCunTuoPingZhengChiYouYouXianShouTiaoJianCunTuoPingZhengShuLiang" label="前十名存托凭证持有有限售条件存托凭证数量" mulRef="_GBC_4b348310ecb34b6f83aa17bc33edacde" addr="T0R3C5S1_2" formatStyle="Comma" appId="_GBC_b229d36514754ccdb3833dca0133d89f"/>
        <m:item xlName="_GBC_ddfb75546e7c4f5f9734a36eb9827317" concept="clcid-cgi:QianShiMingCunTuoPingZhengBaoHanZhuanRongTongJieChuCunTuoPingZhengDeXianShouCunTuoPingZhengShuLiang" label="前十名存托凭证包含转融通借出存托凭证的限售存托凭证数量" mulRef="_GBC_4b348310ecb34b6f83aa17bc33edacde" addr="T0R3C7S1_1" formatStyle="Comma" appId="_GBC_b229d36514754ccdb3833dca0133d89f"/>
        <m:item xlName="_GBC_d0237bcac34d4c58a0a0d65a5bc690e8" concept="clcid-cgi:QianShiMingCunTuoPingZhengChiYouCunTuoPingZhengZhuangTai" label="前十名存托凭证持有存托凭证状态" selectOptions="6a50f97e0c674873ae4c0acd28a382bf" addr="T0R3C8S1_1" controlType="Combobox" tupleRef="clcid-cgi:QianShiMingCunTuoPingZhengChiYouCunTuoPingZhengZhiYaHuoDongJieQingKuang" appId="_GBC_b229d36514754ccdb3833dca0133d89f"/>
        <m:item xlName="_GBC_6c422db037d0479aacfa07abe98f85f1" concept="clcid-cgi:QianShiMingCunTuoPingZhengChiYouCunTuoPingZhengZhiYaHuoDongJieShuLiang" label="前十名存托凭证持有存托凭证质押或冻结数量" mulRef="_GBC_4b348310ecb34b6f83aa17bc33edacde" addr="T0R3C9S1_1" formatStyle="Comma" tupleRef="clcid-cgi:QianShiMingCunTuoPingZhengChiYouCunTuoPingZhengZhiYaHuoDongJieQingKuang" appId="_GBC_b229d36514754ccdb3833dca0133d89f"/>
        <m:item xlName="_GBC_8cb4a9878f1d42e3bbe9b237f46b45ea" concept="clcid-cgi:QianShiMingCunTuoPingZhengChiYouRenXingZhi" label="前十名存托凭证持有人性质" selectOptions="f371909bbdae4d04a10e78aba57d12e7" addr="T0R3C10S1_1" controlType="Combobox" appId="_GBC_b229d36514754ccdb3833dca0133d89f"/>
      </m:tuple>
      <m:placeholder xlName="_PLD_df35fda4a5954d0cb1400ba7260a2cb8" addr="T0R13C0S1_11"/>
      <m:placeholder xlName="_PLD_dc463216028449c3aae0ad227bfc6bc1" addr="T0R14C0S2_3"/>
      <m:placeholder xlName="_PLD_08deefc3ac3945948f272517358acd3e" addr="T0R14C3S2_3"/>
      <m:placeholder xlName="_PLD_f832050d663f47dc97d8348e44e772a1" addr="T0R14C6S1_5"/>
      <m:placeholder xlName="_PLD_225ac2f25e0d41b28f2564b02fca86d3" addr="T0R15C6S1_2"/>
      <m:placeholder xlName="_PLD_4bcbbf88806b4f56b59dd3100a3398dd" addr="T0R15C8S1_3"/>
      <m:tuple xlName="_TUP_f754970b7b3d47748ec9f46741bbf343" concept="clcid-cgi:QianShiMingWuXianShouTiaoJianCunTuoPingZhengChiYouRenQingKuangMingXi" default_row="10" addr="T0R16C">
        <m:item xlName="_GBC_f01f3ca5fcfe4195a339c0f05612c418" concept="clcid-cgi:QianShiMingWuXianShouTiaoJianCunTuoPingZhengChiYouRenMingCheng" label="前十名无限售条件存托凭证持有人名称" addr="T0R16C0S1_3" appId="_GBC_b229d36514754ccdb3833dca0133d89f"/>
        <m:item xlName="_GBC_669f890ef1694a21b3039bb2a21a2d76" concept="clcid-cgi:QianShiMingWuXianShouTiaoJianCunTuoPingZhengChiYouWuXianShouTiaoJianCunTuoPingZhengDeShuLiang" label="前十名无限售条件存托凭证持有无限售条件存托凭证的数量" mulRef="_GBC_4b348310ecb34b6f83aa17bc33edacde" addr="T0R16C3S1_3" formatStyle="Comma" appId="_GBC_b229d36514754ccdb3833dca0133d89f"/>
        <m:item xlName="_GBC_eef3c46de4a541388313960f8537e8ca" concept="clcid-cgi:QianShiMingWuXianShouTiaoJianCunTuoPingZhengSuoDaiBiaoDeJiChuGuPiaoDeLeiBie" label="前十名无限售条件存托凭证所代表的基础股票的类别" addr="T0R16C6S1_2" tupleRef="clcid-cgi:QianShiMingWuXianShouTiaoJianCunTuoPingZhengSuoDaiBiaoDeJiChuGuPiaoDeLeiBieJiShuLiangQingKuang" appId="_GBC_b229d36514754ccdb3833dca0133d89f"/>
        <m:item xlName="_GBC_32ecb5e12d074d068b70112881c0ebc0" concept="clcid-cgi:QianShiMingWuXianShouTiaoJianCunTuoPingZhengSuoDaiBiaoDeJiChuGuPiaoDeShuLiang" label="前十名无限售条件存托凭证所代表的基础股票的数量" mulRef="_GBC_4b348310ecb34b6f83aa17bc33edacde" addr="T0R16C8S1_3" formatStyle="Comma" tupleRef="clcid-cgi:QianShiMingWuXianShouTiaoJianCunTuoPingZhengSuoDaiBiaoDeJiChuGuPiaoDeLeiBieJiShuLiangQingKuang" appId="_GBC_b229d36514754ccdb3833dca0133d89f"/>
      </m:tuple>
      <m:placeholder xlName="_PLD_80b31e58aeb64980b4e73d297c03b3b9" addr="T0R26C0S1_3"/>
      <m:item xlName="_GBC_ede8bb16a19548589298d130a3894842" concept="clcid-cgi:CunTuoPingZhengChiYouRenGuanLianGuanXiHuoYiZhiXingDongDeShuoMing" label="存托凭证持有人关联关系或一致行动的说明" addr="T0R26C3S1_8" appId="_GBC_b229d36514754ccdb3833dca0133d89f"/>
    </m:section>
    <m:section xlName="_SEC_2f10486bd0694a4ea2cdff0a42a678bd" title="前十名有限售条件存托凭证持有人持有数量及限售条件">
      <m:item xlName="_GBC_27e12e505ce4481c962e63e880bd9162" concept="clcid-ci-ar:ShiFouShiYongQianShiMingYouXianShouTiaoJianCunTuoPingZhengChiYouRenChiYouShuLiangJiXianShouTiaoJian" label="是否适用：前十名有限售条件存托凭证持有人持有数量及限售条件" selectOptions="_buildInAppliance" controlType="CustomCheckbox" cRanges="[{&quot;StartName&quot;:&quot;_GBC_27e12e505ce4481c962e63e880bd9162&quot;,&quot;EndName&quot;:&quot;_GBC_fd180d13adc346e898ee64d95b816daa&quot;,&quot;CType&quot;:1}]"/>
      <m:item xlName="_GBC_05bfe6c3d80a4411960201fa475693d2" concept="clcid-ci-ar:DanWeiQianShiMingYouXianShouTiaoJianCunTuoPingZhengChiYouRenChiYouShuLiangJiXianShouTiaoJian" label="单位：前十名有限售条件存托凭证持有人持有数量及限售条件" selectOptions="0777cab0bc5245e799ef8aae5969ffcb" controlType="Combobox" cellType="Scale" appId="_GBC_27e12e505ce4481c962e63e880bd9162"/>
      <m:placeholder xlName="_PLD_80fe3f839f1f486d81bdc291ff012492" addr="T0R0C0S2_1"/>
      <m:placeholder xlName="_PLD_eefd23ba9a29401b93595ea764a0ac09" addr="T0R0C1S2_1"/>
      <m:placeholder xlName="_PLD_87d8e9fbd28640c69bfa533d72124183" addr="T0R0C2S2_1"/>
      <m:placeholder xlName="_PLD_226f247ba63e4c9d9508b49924a3bb37" addr="T0R0C3S1_2"/>
      <m:placeholder xlName="_PLD_5923b1a2599c4415926bef2f9463fe17" addr="T0R0C5S2_1"/>
      <m:placeholder xlName="_PLD_12d95aee57d449409261ccee214eaeef" addr="T0R1C3S1_1"/>
      <m:placeholder xlName="_PLD_24f5f1f2e6214cdbb03c0d9f8e1bca93" addr="T0R1C4S1_1"/>
      <m:tuple xlName="_TUP_e7cc5c38026346bcad24da165677ba33" concept="clcid-cgi:QianShiMingYouXianShouTiaoJianCunTuoPingZhengChiYouRenChiYouShuLiangJiXianShouTiaoJianQingKuang" default_row="10" addr="T0R2C">
        <m:placeholder xlName="_PLD_34d843f8c7df424cb17afa2a8e5aeea4" sequenceName="前十名有限售条件存托凭证持有人持有数量及限售条件" sequenceStep="1" addr="T0R2C0S1_1"/>
        <m:item xlName="_GBC_7e61e1eea8ab4e1ab3e85c97d1a74f8f" concept="clcid-cgi:QianShiMingYouXianShouTiaoJianCunTuoPingZhengChiYouRenMingCheng" label="前十名有限售条件存托凭证持有人名称" addr="T0R2C1S1_1" appId="_GBC_27e12e505ce4481c962e63e880bd9162"/>
        <m:item xlName="_GBC_6ad6076f0bd04844bf31c8547369581a" concept="clcid-cgi:QianShiMingYouXianShouTiaoJianCunTuoPingZhengChiYouDeShuLiang" label="前十名有限售条件存托凭证持有的数量" mulRef="_GBC_05bfe6c3d80a4411960201fa475693d2" addr="T0R2C2S1_1" formatStyle="Comma" appId="_GBC_27e12e505ce4481c962e63e880bd9162"/>
        <m:item xlName="_GBC_0952abf7b59a451a8cf68c818365713c" concept="clcid-cgi:QianShiMingYouXianShouTiaoJianCunTuoPingZhengKeShangShiShiJian" label="前十名有限售条件存托凭证可上市时间" addr="T0R2C3S1_1" tupleRef="clcid-cgi:QianShiMingYouXianShouTiaoJianCunTuoPingZhengKeShangShiJiaoYiQingKuang" appId="_GBC_27e12e505ce4481c962e63e880bd9162"/>
        <m:item xlName="_GBC_2e6c0460925648569e2ced4d5228ed88" concept="clcid-cgi:QianShiMingYouXianShouTiaoJianCunTuoPingZhengXinZengKeShangShiJiaoYiCunTuoPingZhengShuLiang" label="前十名有限售条件存托凭证新增可上市交易存托凭证数量" mulRef="_GBC_05bfe6c3d80a4411960201fa475693d2" addr="T0R2C4S1_1" formatStyle="Comma" tupleRef="clcid-cgi:QianShiMingYouXianShouTiaoJianCunTuoPingZhengKeShangShiJiaoYiQingKuang" appId="_GBC_27e12e505ce4481c962e63e880bd9162"/>
        <m:item xlName="_GBC_1787d01d2cb14994ba104796852b8043" concept="clcid-cgi:QianShiMingYouXianShouTiaoJianCunTuoPingZhengChiYouRenXianShouTiaoJian" label="前十名有限售条件存托凭证持有人限售条件" addr="T0R2C5S1_1" appId="_GBC_27e12e505ce4481c962e63e880bd9162"/>
      </m:tuple>
      <m:placeholder xlName="_PLD_b85d5ea9b28b45f19692aa35e0e4c747" addr="T0R12C0S1_2"/>
      <m:item xlName="_GBC_fd180d13adc346e898ee64d95b816daa" concept="clcid-cgi:YouXianShouTiaoJianCunTuoPingZhengChiYouRenGuanLianGuanXiHuoYiZhiXingDongDeShuoMing" label="有限售条件存托凭证持有人关联关系或一致行动的说明" addr="T0R12C2S1_4" appId="_GBC_27e12e505ce4481c962e63e880bd9162"/>
    </m:section>
    <m:section xlName="_SEC_4be4a4a6ff7044f797640792b4cd6635" title="截止报告期末表决权数量前十名股东情况表  单位:股序号..." helpText="仅适用于设置表决权差异安排的公司填写。">
      <m:item xlName="_GBC_5c41ba1e124945bf8aa15cce789fd38b" concept="clcid-ci-ar:ShiFouShiYongBaoGaoQiMoBiaoJueQuanShuLiangQianShiMingGuDongQingKuangBiao" label="是否适用：报告期末表决权数量前十名股东情况表" selectOptions="_buildInAppliance" controlType="CustomCheckbox" cRanges="[{&quot;StartName&quot;:&quot;_GBC_5c41ba1e124945bf8aa15cce789fd38b&quot;,&quot;EndName&quot;:&quot;_GBC_d72be20cf0504ff6bb522f818a73e9fd&quot;,&quot;CType&quot;:1}]"/>
      <m:item xlName="_GBC_b896c8948aa943a099b19ff61ce27595" concept="clcid-ci-ar:DanWeiBaoGaoQiMoBiaoJueQuanShuLiangQianShiMingGuDongQingKuangBiao" label="单位：报告期末表决权数量前十名股东情况表" selectOptions="e5ff0938481c4e57a5dbc66853be82ef" controlType="Combobox" cellType="Scale" appId="_GBC_5c41ba1e124945bf8aa15cce789fd38b"/>
      <m:placeholder xlName="_PLD_4a1788ae7f4f4293ade5189276198463" addr="T0R0C0S2_1"/>
      <m:placeholder xlName="_PLD_b2ea9928d7e54b83b431e1c253091d2b" addr="T0R0C1S2_1"/>
      <m:placeholder xlName="_PLD_b0609de855c846849902a973f20d140a" addr="T0R0C2S1_2"/>
      <m:placeholder xlName="_PLD_cf14a405444f402b8636f3c707aa31de" addr="T0R0C4S2_1"/>
      <m:placeholder xlName="_PLD_fb0e8b6ce8904fc18861d60a3ddcb5f2" addr="T0R0C5S2_1"/>
      <m:placeholder xlName="_PLD_8e98fe9328564476a5980bc3b77dc5f8" addr="T0R0C6S2_1"/>
      <m:placeholder xlName="_PLD_4a88ffb6d6484b3697382bdf72371a76" addr="T0R0C7S2_1"/>
      <m:placeholder xlName="_PLD_9e1c41477fcb43978b66426a7741191c" addr="T0R1C2S1_1"/>
      <m:placeholder xlName="_PLD_3379104f7d3f47f7a92a514121af4537" addr="T0R1C3S1_1"/>
      <m:tuple xlName="_TUP_f54f1ee28e6b410d8bb513e3b0a72e85" concept="clcid-cgi:BiaoJueQuanShuLiangQianShiMingGuDongQingKuangBiaoMingXi" default_row="10" addr="T0R2C">
        <m:placeholder xlName="_PLD_404d746872ba44f2b371ba05c378a8fb" sequenceName="表决权数量前十名股东情况表" sequenceStep="1" addr="T0R2C0S1_1"/>
        <m:item xlName="_GBC_767f3c33bc234219bcd8ac383ac94b20" concept="clcid-cgi:BiaoJueQuanShuLiangQianShiMingGuDongMingCheng" label="表决权数量前十名股东名称" addr="T0R2C1S1_1" appId="_GBC_5c41ba1e124945bf8aa15cce789fd38b"/>
        <m:item xlName="_GBC_2359ee2a59834fe6a7be118ae6c27387" concept="clcid-cgi:BiaoJueQuanShuLiangQianShiMingGuDongChiYouPuTongGuShuLiang" label="表决权数量前十名股东持有普通股数量" mulRef="_GBC_b896c8948aa943a099b19ff61ce27595" addr="T0R2C2S1_1" formatStyle="Comma" tupleRef="clcid-cgi:BiaoJueQuanShuLiangQianShiMingGuDongChiGuShuLiang" appId="_GBC_5c41ba1e124945bf8aa15cce789fd38b"/>
        <m:item xlName="_GBC_5d03e2e5e34647d1ab3622c9cf359d27" concept="clcid-cgi:BiaoJueQuanShuLiangQianShiMingGuDongChiYouTeBieBiaoJueQuanGuFen" label="表决权数量前十名股东持有特别表决权股份" mulRef="_GBC_b896c8948aa943a099b19ff61ce27595" addr="T0R2C3S1_1" formatStyle="Comma" tupleRef="clcid-cgi:BiaoJueQuanShuLiangQianShiMingGuDongChiGuShuLiang" appId="_GBC_5c41ba1e124945bf8aa15cce789fd38b"/>
        <m:item xlName="_GBC_edac6641ee3b4432b3528c8cf2509d47" concept="clcid-cgi:BiaoJueQuanShuLiangQianShiMingGuDongBiaoJueQuanShuLiang" label="表决权数量前十名股东表决权数量" addr="T0R2C4S1_1" formatStyle="Comma" appId="_GBC_5c41ba1e124945bf8aa15cce789fd38b"/>
        <m:item xlName="_GBC_0f92c3e63f3b4fa28ddcfc5c9ed5117e" concept="clcid-cgi:BiaoJueQuanShuLiangQianShiMingGuDongBiaoJueQuanBiLi" label="表决权数量前十名股东表决权比例" addr="T0R2C5S1_1" formatStyle="Comma" appId="_GBC_5c41ba1e124945bf8aa15cce789fd38b"/>
        <m:item xlName="_GBC_a7ba251cc43d464cb2b298fdee634fa9" concept="clcid-cgi:BiaoJueQuanShuLiangQianShiMingGuDongBiaoBaoGaoQiNeiBiaoJueQuanZengJian" label="表决权数量前十名股东表报告期内表决权增减" addr="T0R2C6S1_1" formatStyle="Comma" appId="_GBC_5c41ba1e124945bf8aa15cce789fd38b"/>
        <m:item xlName="_GBC_09c2298758d74969a02800e19154d6cb" concept="clcid-cgi:BiaoJueQuanShuLiangQianShiMingGuDongBiaoBiaoJueQuanShouDaoXianZhiDeQingKuang" label="表决权数量前十名股东表表决权受到限制的情况" addr="T0R2C7S1_1" appId="_GBC_5c41ba1e124945bf8aa15cce789fd38b"/>
      </m:tuple>
      <m:placeholder xlName="_PLD_6ccdb60456a0401ab6c36f8c4e41fdb3" addr="T0R12C0S1_1"/>
      <m:item xlName="_GBC_479bacc097124f30bd77ed176d582000" concept="clcid-cgi:BiaoJueQuanShuLiangQianShiMingGuDongChiYouPuTongGuShuLiangHeJi" label="表决权数量前十名股东持有普通股数量合计" mulRef="_GBC_b896c8948aa943a099b19ff61ce27595" addr="T0R12C2S1_1" formatStyle="Comma" appId="_GBC_5c41ba1e124945bf8aa15cce789fd38b"/>
      <m:item xlName="_GBC_65e420b977df45478e9c84e3f77fa854" concept="clcid-cgi:BiaoJueQuanShuLiangQianShiMingGuDongChiYouTeBieBiaoJueQuanGuFenHeJi" label="表决权数量前十名股东持有特别表决权股份合计" mulRef="_GBC_b896c8948aa943a099b19ff61ce27595" addr="T0R12C3S1_1" formatStyle="Comma" appId="_GBC_5c41ba1e124945bf8aa15cce789fd38b"/>
      <m:item xlName="_GBC_d72be20cf0504ff6bb522f818a73e9fd" concept="clcid-cgi:BiaoJueQuanShuLiangQianShiMingGuDongBiaoJueQuanShuLiangHeJi" label="表决权数量前十名股东表决权数量合计" addr="T0R12C4S1_1" formatStyle="Comma" appId="_GBC_5c41ba1e124945bf8aa15cce789fd38b"/>
    </m:section>
    <m:section xlName="_GBC_e978a717352b4bf6852a761b15c1e95b" title="战略投资者或一般法人因配售新股成为前10名股东" rules="R2015_R6_002" convertSummaryRule="NoConvert" helpId="104001032">
      <m:item xlName="_GBC_fe7bdc72bd78490fb48d0f3eaca6248e" concept="clcid-ci-ar:ShiFouShiYongZhanLueTouZiZheHuoYiBanFaRenYinPeiShouXinGuChengWeiQianMingGuDong" label="是否适用：战略投资者或一般法人因配售新股成为前10名股东" selectOptions="_buildInAppliance" controlType="CustomCheckbox" cRanges="{&quot;StartName&quot;:&quot;_GBC_fe7bdc72bd78490fb48d0f3eaca6248e&quot;,&quot;EndName&quot;:&quot;_GBC_7d08f386794741b0a8e7202eabe9ffd9&quot;,&quot;CType&quot;:1,&quot;DisplayText&quot;:null}"/>
      <m:placeholder xlName="_PLD_b720b370cfc64e7f9d06f6ca11b76758" addr="T0R0C0S1_1"/>
      <m:placeholder xlName="_PLD_1763d66d974943fbb28281aaacc445c1" addr="T0R0C1S1_1"/>
      <m:placeholder xlName="_PLD_7fe7f879a4dc4a669c19a95107185aa0" addr="T0R0C2S1_1"/>
      <m:tuple xlName="_GBC_f3a536665a1248a180d42417489e0a24" concept="clcid-cgi:ZhanLueTouZiZheHuoYiBanFaRenCanYuPeiShouXinGuYueDingChiGuQiXianDeQingKuang" default_row="2" addr="T0R1C">
        <m:item xlName="_GBC_cc478f88393f4f7f9f3c3e5ee8c198da" concept="clcid-cgi:ZhanLueTouZiZheHuoYiBanFaRenDeMingCheng" label="战略投资者或一般法人的名称" addr="T0R1C0S1_1" appId="_GBC_fe7bdc72bd78490fb48d0f3eaca6248e"/>
        <m:item xlName="_GBC_8d10b1e311a94bf7a21e4025e0809a8e" concept="clcid-cgi:ZhanLueTouZiZheHuoYiBanFaRenYueDingChiGuQiShiRiQi" label="战略投资者或一般法人约定持股起始日期" addr="T0R1C1S1_1" appId="_GBC_fe7bdc72bd78490fb48d0f3eaca6248e" keyAction="38"/>
        <m:item xlName="_GBC_2441da6d9ead43f3841dcf1995669795" concept="clcid-cgi:ZhanLueTouZiZheHuoYiBanFaRenYueDingChiGuZhongZhiRiQi" label="战略投资者或一般法人约定持股终止日期" addr="T0R1C2S1_1" appId="_GBC_fe7bdc72bd78490fb48d0f3eaca6248e" keyAction="38"/>
      </m:tuple>
      <m:placeholder xlName="_PLD_c9441d52d6a8490fa4a5f278fb22496f" addr="T0R3C0S1_1"/>
      <m:item xlName="_GBC_7d08f386794741b0a8e7202eabe9ffd9" concept="clcid-cgi:ZhanLueTouZiZheHuoYiBanFaRenCanYuPeiShouXinGuYueDingChiGuQiXianDeShuoMing" label="战略投资者或一般法人参与配售新股约定持股期限的说明" addr="T0R3C1S1_2" appId="_GBC_fe7bdc72bd78490fb48d0f3eaca6248e"/>
    </m:section>
    <m:section xlName="_SEC_7db1a5f2f5b14f7ba7b2f6ddf2786653" title="现任及报告期内离任董事、监事和高级管理人员和核心技术人员持股变动情况" helpId="105001001" axisType="Column">
      <m:item xlName="_GBC_79bbc62621d0452fa8d1c2395ac8948e" concept="clcid-ci-ar:ShiFouShiYongDongShiJianShiHeGaoJiGuanLiRenYuanChiGuBianDong" label="是否适用：董事、监事和高级管理人员持股变动" selectOptions="_buildInAppliance" controlType="CustomCheckbox" cRanges="[{&quot;StartName&quot;:&quot;_GBC_79bbc62621d0452fa8d1c2395ac8948e&quot;,&quot;EndName&quot;:&quot;_GBC_c80cd82eb5e847f5b95c88148eed9bba&quot;,&quot;CType&quot;:1}]"/>
      <m:item xlName="_GBC_3684546c1e4847f68743db1acac30e49" concept="clcid-ci-ar:DanWeiDongShiJianShiGaoJiGuanLiRenYuanJiBenQingKuang" label="单位：董事、监事、高级管理人员基本情况" selectOptions="e5ff0938481c4e57a5dbc66853be82ef" controlType="Combobox" cellType="Scale" appId="_GBC_79bbc62621d0452fa8d1c2395ac8948e"/>
      <m:placeholder xlName="_PLD_a13f0eab174f401982c240421db25caf" addr="T0R0C0S1_1"/>
      <m:placeholder xlName="_PLD_f1927f56803d40dba3870dcb0c4c7163" addr="T0R0C1S1_1"/>
      <m:placeholder xlName="_PLD_c08d10f6c0e6446cbd82a1f9f40d4caf" addr="T0R0C2S1_1"/>
      <m:placeholder xlName="_PLD_385a5e49e81c48709989c0749d87f3c2" addr="T0R0C3S1_1"/>
      <m:placeholder xlName="_PLD_75611515893b48959f2dd6be2a4be472" addr="T0R0C4S1_1"/>
      <m:placeholder xlName="_PLD_165481463bda47a5bfde5a27c293f2a3" addr="T0R0C5S1_1"/>
      <m:tuple xlName="_TUP_38081b9d2ce64e3d887ba3b4c1aa758e" concept="clcid-cgi:DongShiJianShiGaoJiGuanLiRenYuanJiBenQingKuang" default_row="2" addr="T0R1C">
        <m:item xlName="_GBC_80705888b03747faa71f61f06a9aab38" concept="clcid-cgi:DongShiJianShiGaoJiGuanLiRenYuanXingMing" label="董事、监事、高级管理人员姓名" addr="T0R1C0S1_1" appId="_GBC_79bbc62621d0452fa8d1c2395ac8948e" keyAction="37"/>
        <m:item xlName="_GBC_06e3a372390d4279a79c56af75a40fe5" concept="clcid-cgi:DongShiJianShiGaoJiGuanLiRenYuanZhiWu" label="董事、监事、高级管理人员职务" selectOptions="13889f86fbdd4172ae29377326e4544f" addr="T0R1C1S1_1" controlType="Combobox" appId="_GBC_79bbc62621d0452fa8d1c2395ac8948e"/>
        <m:item xlName="_GBC_f0273445251147f0be04ded4e166c146" concept="clcid-cgi:DongShiJianShiGaoJiGuanLiRenYuanChiGuShuLiang" label="董事、监事、高级管理人员持股数量" periodRef="本期期初数" mulRef="_GBC_3684546c1e4847f68743db1acac30e49" addr="T0R1C2S1_1" formatStyle="Comma" appId="_GBC_79bbc62621d0452fa8d1c2395ac8948e"/>
        <m:item xlName="_GBC_d2b1fa8a150d40a992ba018d67e9c02e" concept="clcid-cgi:DongShiJianShiGaoJiGuanLiRenYuanChiGuShuLiang" label="董事、监事、高级管理人员持股数量" mulRef="_GBC_3684546c1e4847f68743db1acac30e49" addr="T0R1C3S1_1" formatStyle="Comma" appId="_GBC_79bbc62621d0452fa8d1c2395ac8948e"/>
        <m:item xlName="_GBC_b7171ca7aaac4adb96e049e5e8836da9" concept="clcid-cgi:DongShiJianShiGaoJiGuanLiRenYuanBaoGaoQiNeiGuFenZengJianBianDongLiang" label="董事、监事、高级管理人员报告期内股份增减变动量" mulRef="_GBC_3684546c1e4847f68743db1acac30e49" addr="T0R1C4S1_1" formatStyle="Comma" appId="_GBC_79bbc62621d0452fa8d1c2395ac8948e"/>
        <m:item xlName="_GBC_c80cd82eb5e847f5b95c88148eed9bba" concept="clcid-cgi:DongShiJianShiGaoJiGuanLiRenYuanBaoGaoQiNeiGuFenZengJianBianDongDeYuanYin" label="董事、监事、高级管理人员报告期内股份增减变动的原因" addr="T0R1C5S1_1" appId="_GBC_79bbc62621d0452fa8d1c2395ac8948e"/>
      </m:tuple>
    </m:section>
    <m:section xlName="_SEC_f2e47ad56c4c4e92b8bc5c50b1b43822" title="其它情况说明" helpText="请说明现任及报告期内离任董事、监事、高级管理人员和核心技术人员的间接持股变动情况。">
      <m:item xlName="_GBC_7dc371f869f94868b51aeed382096acf"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7dc371f869f94868b51aeed382096acf&quot;,&quot;EndName&quot;:&quot;_GBC_24a2a9e88fb847268b17418c0fc7cc7a&quot;,&quot;CType&quot;:1}]"/>
      <m:item xlName="_GBC_24a2a9e88fb847268b17418c0fc7cc7a" concept="clcid-cgi:DongShiJianShiHeGaoJiGuanLiRenYuanChiGuBianDongJiBaoChouQiTaQingKuangShuoMing" label="董事、监事和高级管理人员持股变动及报酬其他情况说明" appId="_GBC_7dc371f869f94868b51aeed382096acf"/>
    </m:section>
    <m:section xlName="_SEC_34711b4b6ddb4b1f95dd2e3de78713a8" title="董事、高级管理人员和核心技术人员报告期内被授予的股权激励情况" helpId="105001001">
      <m:item xlName="_GBC_5b3743757cc7418d9a7b367db78dbdb2"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5b3743757cc7418d9a7b367db78dbdb2&quot;,&quot;EndName&quot;:&quot;_GBC_5f4ef73a94fe44a98058503188c14ccf&quot;,&quot;CType&quot;:1}]"/>
      <m:item xlName="_GBC_b03324f5c763448697e4f97cb71d8473" concept="clcid-ci-ar:DanWeiDongShiJianShiGaoJiGuanLiRenYuanBaoGaoQiNeiBeiShouYuDeGuQuanJiLiQingKuang" label="单位：董事、监事、高级管理人员报告期内被授予的股权激励情况" selectOptions="e5ff0938481c4e57a5dbc66853be82ef" controlType="Combobox" cellType="Scale" appId="_GBC_5b3743757cc7418d9a7b367db78dbdb2"/>
      <m:placeholder xlName="_PLD_076f280062ae41f4a487ac287758ebe1" addr="T0R0C0S1_1"/>
      <m:placeholder xlName="_PLD_eacdab5cce5e401eb73fe676537bc4af" addr="T0R0C1S1_1"/>
      <m:placeholder xlName="_PLD_0963d7241ceb4b98b0ce0978f3b17b39" addr="T0R0C2S1_1"/>
      <m:placeholder xlName="_PLD_bd788ea349784df7a07f278de92b851d" addr="T0R0C3S1_1"/>
      <m:placeholder xlName="_PLD_035ad073dd8e4765977345b65b4a7778" addr="T0R0C4S1_1"/>
      <m:placeholder xlName="_PLD_e0fcaad33a794c9b8f125f7da655661e" addr="T0R0C5S1_1"/>
      <m:placeholder xlName="_PLD_a91983c8a3c845c1b789171097511449" addr="T0R0C6S1_1"/>
      <m:tuple xlName="_TUP_f098df0edf974f8f891448d453297cdf" concept="clcid-cgi:DongShiJianShiGaoJiGuanLiRenYuanBeiShouYuDeGuQuanJiLiQingKuangMingXi" default_row="2" addr="T0R1C">
        <m:item xlName="_GBC_50c1c871bcf14eda8ee4e28bcfe7023f" concept="clcid-cgi:DongShiJianShiGaoJiGuanLiRenYuanBeiShouYuDeGuQuanJiLiQingKuangMingXiXingMing" label="董事、监事、高级管理人员被授予的股权激励情况明细-姓名" addr="T0R1C0S1_1" cellConvertType="1" appId="_GBC_5b3743757cc7418d9a7b367db78dbdb2" keyAction="37"/>
        <m:item xlName="_GBC_31006bbd1f5b403ebbca38fd95c33f3b" concept="clcid-cgi:DongShiJianShiGaoJiGuanLiRenYuanBeiShouYuDeGuQuanJiLiQingKuangMingXiZhiWu" label="董事、监事、高级管理人员被授予的股权激励情况明细-职务" addr="T0R1C1S1_1" appId="_GBC_5b3743757cc7418d9a7b367db78dbdb2"/>
        <m:item xlName="_GBC_fea83964669146c19843dc3896e4486d" concept="clcid-cgi:DongShiJianShiGaoJiGuanLiRenYuanBeiShouYuDeGuQuanJiLiQingKuangMingXiChiYouGuPiaoQiQuanShuLiang" label="董事、监事、高级管理人员被授予的股权激励情况明细-持有股票期权数量" periodRef="本期期初数" mulRef="_GBC_b03324f5c763448697e4f97cb71d8473" addr="T0R1C2S1_1" formatStyle="Comma" appId="_GBC_5b3743757cc7418d9a7b367db78dbdb2"/>
        <m:item xlName="_GBC_f8e6e027880a47ada105af31838ad67c" concept="clcid-cgi:DongShiJianShiGaoJiGuanLiRenYuanBeiShouYuDeGuQuanJiLiQingKuangMingXiXinShouYuGuPiaoQiQuanShuLiang" label="董事、监事、高级管理人员被授予的股权激励情况明细-新授予股票期权数量" mulRef="_GBC_b03324f5c763448697e4f97cb71d8473" addr="T0R1C3S1_1" formatStyle="Comma" appId="_GBC_5b3743757cc7418d9a7b367db78dbdb2"/>
        <m:item xlName="_GBC_a7c5ab6d42cb4fd693f56368423b092e" concept="clcid-cgi:DongShiJianShiGaoJiGuanLiRenYuanBeiShouYuDeGuQuanJiLiQingKuangMingXiKeXingQuanGuShu" label="董事、监事、高级管理人员被授予的股权激励情况明细-可行权股数" mulRef="_GBC_b03324f5c763448697e4f97cb71d8473" addr="T0R1C4S1_1" formatStyle="Comma" appId="_GBC_5b3743757cc7418d9a7b367db78dbdb2"/>
        <m:item xlName="_GBC_3c33bf2e6afa4688b290299f2f5b87a4" concept="clcid-cgi:DongShiJianShiGaoJiGuanLiRenYuanBeiShouYuDeGuQuanJiLiQingKuangMingXiGuPiaoQiQuanXingQuanShuLiang" label="董事、监事、高级管理人员被授予的股权激励情况明细-股票期权行权数量" mulRef="_GBC_b03324f5c763448697e4f97cb71d8473" addr="T0R1C5S1_1" formatStyle="Comma" appId="_GBC_5b3743757cc7418d9a7b367db78dbdb2"/>
        <m:item xlName="_GBC_c0dda0f0d75d4dbbb86e812897aaadee" concept="clcid-cgi:DongShiJianShiGaoJiGuanLiRenYuanBeiShouYuDeGuQuanJiLiQingKuangMingXiChiYouGuPiaoQiQuanShuLiang" label="董事、监事、高级管理人员被授予的股权激励情况明细-持有股票期权数量" mulRef="_GBC_b03324f5c763448697e4f97cb71d8473" addr="T0R1C6S1_1" formatStyle="Comma" appId="_GBC_5b3743757cc7418d9a7b367db78dbdb2"/>
      </m:tuple>
      <m:placeholder xlName="_PLD_964aae8b1e6f469b89dcb814eecfc099" addr="T0R3C0S1_1"/>
      <m:item xlName="_GBC_41b5593780c7494b9390342ae41635ea" concept="clcid-cgi:BeiShouYuGuQuanJiLiDeDongShiJianShiGaoJiGuanLiRenYuanChiYouGuPiaoQiQuanShuLiangHeJi" label="被授予股权激励的董事、监事、高级管理人员持有股票期权数量合计" periodRef="本期期初数" mulRef="_GBC_b03324f5c763448697e4f97cb71d8473" addr="T0R3C2S1_1" formatStyle="Comma" appId="_GBC_5b3743757cc7418d9a7b367db78dbdb2">
        <m:complexRule comparator="Eq" title="被授予股权激励的董事、监事、高级管理人员持有股票期权数量合计@本期期初数" test=" $_GBC_fea83964669146c19843dc3896e4486d" id="C8ba144d7eed541b893ecdfce8ae411a2"/>
      </m:item>
      <m:item xlName="_GBC_56f1867155344091abdd37c584a4fad5" concept="clcid-cgi:BeiShouYuGuQuanJiLiDeDongShiJianShiGaoJiGuanLiRenYuanXinShouYuGuPiaoQiQuanShuLiangHeJi" label="被授予股权激励的董事、监事、高级管理人员新授予股票期权数量合计" mulRef="_GBC_b03324f5c763448697e4f97cb71d8473" addr="T0R3C3S1_1" formatStyle="Comma" appId="_GBC_5b3743757cc7418d9a7b367db78dbdb2">
        <m:complexRule comparator="Eq" title="被授予股权激励的董事、监事、高级管理人员新授予股票期权数量合计" test=" $_GBC_f8e6e027880a47ada105af31838ad67c" id="C4bc6b9f30e1b44de81b9073aa5435a85"/>
      </m:item>
      <m:item xlName="_GBC_3bc5faec0eae43b581299333370f7520" concept="clcid-cgi:BeiShouYuGuQuanJiLiDeDongShiJianShiGaoJiGuanLiRenYuanKeXingQuanGuShuHeJi" label="被授予股权激励的董事、监事、高级管理人员可行权股数合计" mulRef="_GBC_b03324f5c763448697e4f97cb71d8473" addr="T0R3C4S1_1" formatStyle="Comma" appId="_GBC_5b3743757cc7418d9a7b367db78dbdb2">
        <m:complexRule comparator="Eq" title="被授予股权激励的董事、监事、高级管理人员可行权股数合计" test=" $_GBC_a7c5ab6d42cb4fd693f56368423b092e" id="Cbb00439226794c1e954cc6b0a2f86d14"/>
      </m:item>
      <m:item xlName="_GBC_a72ca5eeeea540f2a1e46d4dd3480f32" concept="clcid-cgi:BeiShouYuGuQuanJiLiDeDongShiJianShiGaoJiGuanLiRenYuanGuPiaoQiQuanXingQuanShuLiangHeJi" label="被授予股权激励的董事、监事、高级管理人员股票期权行权数量合计" mulRef="_GBC_b03324f5c763448697e4f97cb71d8473" addr="T0R3C5S1_1" formatStyle="Comma" appId="_GBC_5b3743757cc7418d9a7b367db78dbdb2">
        <m:complexRule comparator="Eq" title="被授予股权激励的董事、监事、高级管理人员股票期权行权数量合计" test=" $_GBC_3c33bf2e6afa4688b290299f2f5b87a4" id="Cdcebe430e028437ba6926ac0cadb01e7"/>
      </m:item>
      <m:item xlName="_GBC_5f4ef73a94fe44a98058503188c14ccf" concept="clcid-cgi:BeiShouYuGuQuanJiLiDeDongShiJianShiGaoJiGuanLiRenYuanChiYouGuPiaoQiQuanShuLiangHeJi" label="被授予股权激励的董事、监事、高级管理人员持有股票期权数量合计" mulRef="_GBC_b03324f5c763448697e4f97cb71d8473" addr="T0R3C6S1_1" formatStyle="Comma" appId="_GBC_5b3743757cc7418d9a7b367db78dbdb2">
        <m:complexRule comparator="Eq" title="被授予股权激励的董事、监事、高级管理人员持有股票期权数量合计" test=" $_GBC_c0dda0f0d75d4dbbb86e812897aaadee" id="C632b99d899234bcd80c0da294884851f"/>
      </m:item>
    </m:section>
    <m:section xlName="_SEC_0ec372d081aa459ea90b6767ac6bd97c" title="第一类限制性股票" helpId="105001001">
      <m:item xlName="_GBC_c35e4bbc69c54f6c97d02e8f691cfbd5" concept="clcid-ci-ar:ShiFouShiYongDiYiLeiXianZhiXingGuPiaoJiLiQingKuang" label="是否适用：第一类限制性股票激励情况" selectOptions="_buildInAppliance" controlType="CustomCheckbox" cRanges="[{&quot;StartName&quot;:&quot;_GBC_c35e4bbc69c54f6c97d02e8f691cfbd5&quot;,&quot;EndName&quot;:&quot;_GBC_2a31e00475b34743b76e240829ff0cfb&quot;,&quot;CType&quot;:1}]"/>
      <m:item xlName="_GBC_f3bbb277bd1f473eb9a45371ecf9a3c4" concept="clcid-ci-ar:DanWeiDongShiJianShiGaoJiGuanLiRenYuanBaoGaoQiNeiBeiShouYuDeGuQuanJiLiQingKuang" label="单位：董事、监事、高级管理人员报告期内被授予的股权激励情况" selectOptions="e5ff0938481c4e57a5dbc66853be82ef" controlType="Combobox" cellType="Scale" appId="_GBC_c35e4bbc69c54f6c97d02e8f691cfbd5"/>
      <m:placeholder xlName="_PLD_73a894b5c79445eda5f8cf10cf4da864" addr="T0R0C0S1_1"/>
      <m:placeholder xlName="_PLD_0e3d37aa162245ac9c762207e92a31c7" addr="T0R0C1S1_1"/>
      <m:placeholder xlName="_PLD_54e004822a7447b2be3651e88a33f127" addr="T0R0C2S1_1"/>
      <m:placeholder xlName="_PLD_7cc67378a1e6497980d6bec085567ab8" addr="T0R0C3S1_1"/>
      <m:placeholder xlName="_PLD_dc2db4db40a04a74a758f0f2c16ce080" addr="T0R0C4S1_1"/>
      <m:placeholder xlName="_PLD_b657efd761fb4464a8bbdfecc01d18f7" addr="T0R0C5S1_1"/>
      <m:placeholder xlName="_PLD_bbce6fa1cf9641b8b3381d7963b70897" addr="T0R0C6S1_1"/>
      <m:tuple xlName="_TUP_dea878e2f2b74cafbf6a54178b3b17cf" concept="clcid-cgi:DongShiJianShiGaoJiGuanLiRenYuanBeiShouYuXianZhiXingGuPiaoQingKuangMingXi" default_row="2" addr="T0R1C">
        <m:item xlName="_GBC_7a754a2a8e524632b797615ea643fee5" concept="clcid-cgi:DongShiJianShiGaoJiGuanLiRenYuanBeiShouYuXianZhiXingGuPiaoQingKuangMingXiXingMing" label="董事、监事、高级管理人员被授予限制性股票情况明细-姓名" addr="T0R1C0S1_1" appId="_GBC_c35e4bbc69c54f6c97d02e8f691cfbd5" keyAction="37"/>
        <m:item xlName="_GBC_df03fc2ca30d4aa8b39eba014915fcb2" concept="clcid-cgi:DongShiJianShiGaoJiGuanLiRenYuanBeiShouYuXianZhiXingGuPiaoQingKuangMingXiZhiWu" label="董事、监事、高级管理人员被授予限制性股票情况明细-职务" addr="T0R1C1S1_1" appId="_GBC_c35e4bbc69c54f6c97d02e8f691cfbd5"/>
        <m:item xlName="_GBC_5ec3a99084bb42948fcad28d906463ce" concept="clcid-cgi:DongShiJianShiGaoJiGuanLiRenYuanBeiShouYuXianZhiXingGuPiaoQingKuangMingXiChiYouXianZhiXingGuPiaoShuLiang" label="董事、监事、高级管理人员被授予限制性股票情况明细-持有限制性股票数量" periodRef="本期期初数" mulRef="_GBC_f3bbb277bd1f473eb9a45371ecf9a3c4" addr="T0R1C2S1_1" formatStyle="Comma" appId="_GBC_c35e4bbc69c54f6c97d02e8f691cfbd5"/>
        <m:item xlName="_GBC_92135bcf76b24be18ac7d224663a5b59" concept="clcid-cgi:DongShiJianShiGaoJiGuanLiRenYuanBeiShouYuXianZhiXingGuPiaoQingKuangMingXiXinShouYuXianZhiXingGuPiaoShuLiang" label="董事、监事、高级管理人员被授予限制性股票情况明细-新授予限制性股票数量" mulRef="_GBC_f3bbb277bd1f473eb9a45371ecf9a3c4" addr="T0R1C3S1_1" formatStyle="Comma" appId="_GBC_c35e4bbc69c54f6c97d02e8f691cfbd5"/>
        <m:item xlName="_GBC_e5d2992bd30545159ac1cdf57aab9255" concept="clcid-cgi:DongShiJianShiGaoJiGuanLiRenYuanBeiShouYuXianZhiXingGuPiaoQingKuangMingXiYiJieSuoGuFen" label="董事、监事、高级管理人员被授予限制性股票情况明细-已解锁股份" mulRef="_GBC_f3bbb277bd1f473eb9a45371ecf9a3c4" addr="T0R1C4S1_1" formatStyle="Comma" appId="_GBC_c35e4bbc69c54f6c97d02e8f691cfbd5"/>
        <m:item xlName="_GBC_5fc8c009f7094b6eb291b7bce0cf39f6" concept="clcid-cgi:DongShiJianShiGaoJiGuanLiRenYuanBeiShouYuXianZhiXingGuPiaoQingKuangMingXiWeiJieSuoGuFen" label="董事、监事、高级管理人员被授予限制性股票情况明细-未解锁股份" mulRef="_GBC_f3bbb277bd1f473eb9a45371ecf9a3c4" addr="T0R1C5S1_1" formatStyle="Comma" appId="_GBC_c35e4bbc69c54f6c97d02e8f691cfbd5"/>
        <m:item xlName="_GBC_642e659d8aeb45af890cc7d39283f6a5" concept="clcid-cgi:DongShiJianShiGaoJiGuanLiRenYuanBeiShouYuXianZhiXingGuPiaoQingKuangMingXiChiYouXianZhiXingGuPiaoShuLiang" label="董事、监事、高级管理人员被授予限制性股票情况明细-持有限制性股票数量" mulRef="_GBC_f3bbb277bd1f473eb9a45371ecf9a3c4" addr="T0R1C6S1_1" formatStyle="Comma" appId="_GBC_c35e4bbc69c54f6c97d02e8f691cfbd5"/>
      </m:tuple>
      <m:placeholder xlName="_PLD_03ccbd9393d0439dbb7e9bc622757efe" addr="T0R3C0S1_1"/>
      <m:item xlName="_GBC_0eb0ccd39a0043c4b7667d38ce5ddad1" concept="clcid-cgi:BeiShouYuGuQuanJiLiDeDongShiJianShiGaoJiGuanLiRenYuanChiYouXianZhiXingGuPiaoShuLiangHeJi" label="被授予股权激励的董事、监事、高级管理人员持有限制性股票数量合计" periodRef="本期期初数" mulRef="_GBC_f3bbb277bd1f473eb9a45371ecf9a3c4" addr="T0R3C2S1_1" formatStyle="Comma" appId="_GBC_c35e4bbc69c54f6c97d02e8f691cfbd5">
        <m:complexRule comparator="Eq" title="被授予股权激励的董事、监事、高级管理人员持有限制性股票数量合计@本期期初数" test=" $_GBC_5ec3a99084bb42948fcad28d906463ce" id="Cc23d92c920e84e10a548ee039e3bfbd0"/>
      </m:item>
      <m:item xlName="_GBC_123afbc1981e42e995859cbadbc1682e" concept="clcid-cgi:BeiShouYuGuQuanJiLiDeDongShiJianShiGaoJiGuanLiRenYuanXinShouYuXianZhiXingGuPiaoShuLiangHeJi" label="被授予股权激励的董事、监事、高级管理人员新授予限制性股票数量合计" mulRef="_GBC_f3bbb277bd1f473eb9a45371ecf9a3c4" addr="T0R3C3S1_1" formatStyle="Comma" appId="_GBC_c35e4bbc69c54f6c97d02e8f691cfbd5">
        <m:complexRule comparator="Eq" title="被授予股权激励的董事、监事、高级管理人员新授予限制性股票数量合计" test=" $_GBC_92135bcf76b24be18ac7d224663a5b59" id="C809cec61e457445c8622d73e6f24a452"/>
      </m:item>
      <m:item xlName="_GBC_f0867829b21548758eb31ece719232ab" concept="clcid-cgi:DongShiJianShiGaoJiGuanLiRenYuanBeiShouYuXianZhiXingGuPiaoYiJieSuoGuFenHeJi" label="董事、监事、高级管理人员被授予限制性股票已解锁股份合计" mulRef="_GBC_f3bbb277bd1f473eb9a45371ecf9a3c4" addr="T0R3C4S1_1" formatStyle="Comma" appId="_GBC_c35e4bbc69c54f6c97d02e8f691cfbd5">
        <m:complexRule comparator="Eq" title="董事、监事、高级管理人员被授予限制性股票已解锁股份合计" test=" $_GBC_e5d2992bd30545159ac1cdf57aab9255" id="Ca1310fa88d0346708fcec823b9130a37"/>
      </m:item>
      <m:item xlName="_GBC_c3724b872fbb4257a503754e9bf7cbaa" concept="clcid-cgi:DongShiJianShiGaoJiGuanLiRenYuanBeiShouYuXianZhiXingGuPiaoWeiJieSuoGuFenHeJi" label="董事、监事、高级管理人员被授予限制性股票未解锁股份合计" mulRef="_GBC_f3bbb277bd1f473eb9a45371ecf9a3c4" addr="T0R3C5S1_1" formatStyle="Comma" appId="_GBC_c35e4bbc69c54f6c97d02e8f691cfbd5">
        <m:complexRule comparator="Eq" title="董事、监事、高级管理人员被授予限制性股票未解锁股份合计" test=" $_GBC_5fc8c009f7094b6eb291b7bce0cf39f6" id="Cb93e48d95abd4c43b050bb132c227b8f"/>
      </m:item>
      <m:item xlName="_GBC_2a31e00475b34743b76e240829ff0cfb" concept="clcid-cgi:BeiShouYuGuQuanJiLiDeDongShiJianShiGaoJiGuanLiRenYuanChiYouXianZhiXingGuPiaoShuLiangHeJi" label="被授予股权激励的董事、监事、高级管理人员持有限制性股票数量合计" mulRef="_GBC_f3bbb277bd1f473eb9a45371ecf9a3c4" addr="T0R3C6S1_1" formatStyle="Comma" appId="_GBC_c35e4bbc69c54f6c97d02e8f691cfbd5">
        <m:complexRule comparator="Eq" title="被授予股权激励的董事、监事、高级管理人员持有限制性股票数量合计" test=" $_GBC_642e659d8aeb45af890cc7d39283f6a5" id="Cbc11d5b7e17a434a9b4597f589d01220"/>
      </m:item>
    </m:section>
    <m:section xlName="_SEC_297773d69e9847dda7d565c422e8233a" title="第二类限制性股票" helpId="105001001">
      <m:item xlName="_GBC_b4f3db446cdb417e98d15780302d7d19" concept="clcid-ci-ar:ShiFouShiYongDiErLeiXianZhiXingGuPiaoJiLiQingKuang" label="是否适用：第二类限制性股票激励情况" selectOptions="_buildInAppliance" controlType="CustomCheckbox" cRanges="[{&quot;StartName&quot;:&quot;_GBC_b4f3db446cdb417e98d15780302d7d19&quot;,&quot;EndName&quot;:&quot;_GBC_f8b2998e411947e4b11baf0f6104c6d9&quot;,&quot;CType&quot;:1}]"/>
      <m:item xlName="_GBC_539351aa0d104ba4bcdbf741f20e3751" concept="clcid-ci-ar:DanWeiDiErLeiXianZhiXingGuPiaoJiLiQingKuang" label="单位：第二类限制性股票激励情况" selectOptions="e5ff0938481c4e57a5dbc66853be82ef" controlType="Combobox" cellType="Scale" appId="_GBC_b4f3db446cdb417e98d15780302d7d19"/>
      <m:placeholder xlName="_PLD_e92648cac21c49e5937a5683b9278e9b" addr="T0R0C0S1_1"/>
      <m:placeholder xlName="_PLD_8071255f876c471385cd443a5ae3692d" addr="T0R0C1S1_1"/>
      <m:placeholder xlName="_PLD_b1c92a51a57b46859d6758e44641b19e" addr="T0R0C2S1_1"/>
      <m:placeholder xlName="_PLD_ef9e475e95c642ccb34508818852d98d" addr="T0R0C3S1_1"/>
      <m:placeholder xlName="_PLD_ce98c2a90b934da692eddc8bc40e0ea7" addr="T0R0C4S1_1"/>
      <m:placeholder xlName="_PLD_5f1ac883b63846d68e91cab7f536a788" addr="T0R0C5S1_1"/>
      <m:placeholder xlName="_PLD_d101b4b669494b4d8ea16f27218369fb" addr="T0R0C6S1_1"/>
      <m:tuple xlName="_TUP_825fb5ab37484ea49d41a5ce62b6c98e" concept="clcid-cgi:DiErLeiXianZhiXingGuPiaoJiLiQingKuangMingXi" default_row="2" addr="T0R1C">
        <m:item xlName="_GBC_248ee8014cf149b1ac3ce81e30a17be2" concept="clcid-cgi:DiErLeiXianZhiXingGuPiaoJiLiQingKuangMingXiXingMing" label="第二类限制性股票激励情况明细_姓名" addr="T0R1C0S1_1" appId="_GBC_b4f3db446cdb417e98d15780302d7d19"/>
        <m:item xlName="_GBC_af3ebd44826745e394e316bac9989f18" concept="clcid-cgi:DiErLeiXianZhiXingGuPiaoJiLiQingKuangMingXiZhiWu" label="第二类限制性股票激励情况明细_职务" addr="T0R1C1S1_1" appId="_GBC_b4f3db446cdb417e98d15780302d7d19"/>
        <m:item xlName="_GBC_043f7e0c2b6c4a3fbf27713b854cf5fb" concept="clcid-cgi:DiErLeiXianZhiXingGuPiaoJiLiQingKuangMingXiYiHuoShouYuXianZhiXingGuPiaoShuLiang" label="第二类限制性股票激励情况明细_已获授予限制性股票数量" periodRef="本期期初数" mulRef="_GBC_539351aa0d104ba4bcdbf741f20e3751" addr="T0R1C2S1_1" formatStyle="Comma" appId="_GBC_b4f3db446cdb417e98d15780302d7d19"/>
        <m:item xlName="_GBC_b68f89b1d7bb452ea6ad403d389e5065" concept="clcid-cgi:DiErLeiXianZhiXingGuPiaoJiLiQingKuangMingXiXinShouYuXianZhiXingGuPiaoShuLiang" label="第二类限制性股票激励情况明细_新授予限制性股票数量" mulRef="_GBC_539351aa0d104ba4bcdbf741f20e3751" addr="T0R1C3S1_1" formatStyle="Comma" appId="_GBC_b4f3db446cdb417e98d15780302d7d19"/>
        <m:item xlName="_GBC_e50c68b80b0f4957af91077216284a8a" concept="clcid-cgi:DiErLeiXianZhiXingGuPiaoJiLiQingKuangMingXiKeGuiShuShuLiang" label="第二类限制性股票激励情况明细_可归属数量" mulRef="_GBC_539351aa0d104ba4bcdbf741f20e3751" addr="T0R1C4S1_1" formatStyle="Comma" appId="_GBC_b4f3db446cdb417e98d15780302d7d19"/>
        <m:item xlName="_GBC_fbb8fc108bfb43e29cee95bbf92946fc" concept="clcid-cgi:DiErLeiXianZhiXingGuPiaoJiLiQingKuangMingXiYiGuiShuShuLiang" label="第二类限制性股票激励情况明细_已归属数量" mulRef="_GBC_539351aa0d104ba4bcdbf741f20e3751" addr="T0R1C5S1_1" formatStyle="Comma" appId="_GBC_b4f3db446cdb417e98d15780302d7d19"/>
        <m:item xlName="_GBC_12c4af20f70e4a06a9b5655a1f7677f8" concept="clcid-cgi:DiErLeiXianZhiXingGuPiaoJiLiQingKuangMingXiYiHuoShouYuXianZhiXingGuPiaoShuLiang" label="第二类限制性股票激励情况明细_已获授予限制性股票数量" mulRef="_GBC_539351aa0d104ba4bcdbf741f20e3751" addr="T0R1C6S1_1" formatStyle="Comma" appId="_GBC_b4f3db446cdb417e98d15780302d7d19"/>
      </m:tuple>
      <m:placeholder xlName="_PLD_ad21c982040a4de09f38dc62b3789950" addr="T0R3C0S1_1"/>
      <m:item xlName="_GBC_accfc3c22fcc499e8a495ad3e834468b" concept="clcid-cgi:DiErLeiXianZhiXingGuPiaoJiLiYiHuoShouYuXianZhiXingGuPiaoShuLiangHeJi" label="第二类限制性股票激励已获授予限制性股票数量合计" periodRef="本期期初数" mulRef="_GBC_539351aa0d104ba4bcdbf741f20e3751" addr="T0R3C2S1_1" formatStyle="Comma" appId="_GBC_b4f3db446cdb417e98d15780302d7d19"/>
      <m:item xlName="_GBC_587ce9d84bc94745bff7cd1461f95dbb" concept="clcid-cgi:DiErLeiXianZhiXingGuPiaoJiLiXinShouYuXianZhiXingGuPiaoShuLiangHeJi" label="第二类限制性股票激励新授予限制性股票数量合计" mulRef="_GBC_539351aa0d104ba4bcdbf741f20e3751" addr="T0R3C3S1_1" formatStyle="Comma" appId="_GBC_b4f3db446cdb417e98d15780302d7d19"/>
      <m:item xlName="_GBC_95922560593c438cbb7107d6a4c99088" concept="clcid-cgi:DiErLeiXianZhiXingGuPiaoJiLiKeGuiShuShuLiangHeJi" label="第二类限制性股票激励可归属数量合计" mulRef="_GBC_539351aa0d104ba4bcdbf741f20e3751" addr="T0R3C4S1_1" formatStyle="Comma" appId="_GBC_b4f3db446cdb417e98d15780302d7d19"/>
      <m:item xlName="_GBC_b5f8993147f94d75bcf97f2afef6c7e0" concept="clcid-cgi:DiErLeiXianZhiXingGuPiaoJiLiYiGuiShuShuLiangHeJi" label="第二类限制性股票激励已归属数量合计" mulRef="_GBC_539351aa0d104ba4bcdbf741f20e3751" addr="T0R3C5S1_1" formatStyle="Comma" appId="_GBC_b4f3db446cdb417e98d15780302d7d19"/>
      <m:item xlName="_GBC_f8b2998e411947e4b11baf0f6104c6d9" concept="clcid-cgi:DiErLeiXianZhiXingGuPiaoJiLiYiHuoShouYuXianZhiXingGuPiaoShuLiangHeJi" label="第二类限制性股票激励已获授予限制性股票数量合计" mulRef="_GBC_539351aa0d104ba4bcdbf741f20e3751" addr="T0R3C6S1_1" formatStyle="Comma" appId="_GBC_b4f3db446cdb417e98d15780302d7d19"/>
    </m:section>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item xlName="_GBC_8e7eb434c4c34c1b86cdb9f39b70c323" concept="clcid-ci-ar:ShiFouShiYongQiTaDongShiJianShiGaoJiGuanLiRenYuanQingKuangShuoMing" label="是否适用：其他董事、监事、高级管理人员情况说明" selectOptions="_buildInAppliance" controlType="CustomCheckbox" cRanges="[{&quot;StartName&quot;:&quot;_GBC_8e7eb434c4c34c1b86cdb9f39b70c323&quot;,&quot;EndName&quot;:&quot;_GBC_a5a4778a51ce40048f554d6cea81407d&quot;,&quot;CType&quot;:1}]"/>
      <m:item xlName="_GBC_a5a4778a51ce40048f554d6cea81407d" concept="clcid-cgi:QiTaDongShiJianShiGaoJiGuanLiRenYuanHeYuanGongQingKuang" label="其他董事、监事、高级管理人员和员工情况 " appId="_GBC_8e7eb434c4c34c1b86cdb9f39b70c323"/>
    </m:section>
    <m:section xlName="_GBC_2e7a202224f3494aa0093f3bd0f39d33" title="控股股东及实际控制人变更情况" rules="R2015_R6_003" convertSummaryRule="ConvertDefinedText" convertText="本报告期内公司控股股东或实际控制人没有发生变更。" helpId="104002003">
      <m:item xlName="_GBC_84ff369a3f714dbbbec5a13460906f4b" concept="clcid-ci-ar:ShiFouShiYongKongGuGuDongJiShiJiKongZhiRenBianGengQingKuang" label="是否适用：控股股东及实际控制人变更情况" selectOptions="_buildInAppliance" controlType="CustomCheckbox" cRanges="{&quot;StartName&quot;:&quot;_GBC_84ff369a3f714dbbbec5a13460906f4b&quot;,&quot;EndName&quot;:&quot;_GBC_db3293a3f4914ea99da4a950773b97c9&quot;,&quot;CType&quot;:1,&quot;DisplayText&quot;:null}"/>
      <m:placeholder xlName="_PLD_40d7aaa3ed984961a43c9fd08ec3bb43" addr="T0R0C0S1_1"/>
      <m:item xlName="_GBC_eed20957deba465f94e8b4992960e48e" concept="clcid-cgi:XinKongGuGuDongMingCheng" label="新控股股东名称" addr="T0R0C1S1_1" tagAction="1" appId="_GBC_84ff369a3f714dbbbec5a13460906f4b"/>
      <m:placeholder xlName="_PLD_f9da1f816ea842a197eedadc3a6ec937" addr="T0R1C0S1_1"/>
      <m:item xlName="_GBC_27fd7c3ebbd14af2911c90ae05c4aa49" concept="clcid-cgi:XinShiJiKongZhiRenMingCheng" label="新实际控制人名称" addr="T0R1C1S1_1" appId="_GBC_84ff369a3f714dbbbec5a13460906f4b"/>
      <m:placeholder xlName="_PLD_77d93c01292f4344b4bb2c108329c177" addr="T0R2C0S1_1"/>
      <m:item xlName="_GBC_6940332825534bbcbd86aa93ab24af32" concept="clcid-cgi:KongGuGuDongHuoShiJiKongZhiRenBianGengRiQi" label="控股股东或实际控制人变更日期" addr="T0R2C1S1_1" appId="_GBC_84ff369a3f714dbbbec5a13460906f4b" keyAction="38"/>
      <m:placeholder xlName="_PLD_5ce3d1c21d1c4ad9a115361c5d5c4c89" addr="T0R3C0S1_1"/>
      <m:item xlName="_GBC_db3293a3f4914ea99da4a950773b97c9" concept="clcid-cgi:KongGuGuDongHuoShiJiKongZhiRenBianGengZhiDingWangZhanChaXunSuoYinJiRiQi" label="控股股东或实际控制人变更指定网站查询索引及日期" addr="T0R3C1S1_1" appId="_GBC_84ff369a3f714dbbbec5a13460906f4b"/>
    </m:section>
    <m:section xlName="_SEC_5c8a071aabbc4d98aae73fb4dfb27993" title="存托凭证相关安排在报告期的实施和变化情况" helpText="发行存托凭证的公司，应当披露存托凭证存托、托管相关安排在报告期内的实施和变化情况。">
      <m:item xlName="_GBC_5cefafb99f2249708f119d012fbb8ab0" concept="clcid-ci-ar:ShiFouShiYongCunTuoPingZhengXiangGuanAnPaiZaiBaoGaoQiDeShiShiHeBianHuaQingKuang" label="是否适用：存托凭证相关安排在报告期的实施和变化情况" selectOptions="_buildInAppliance" controlType="CustomCheckbox" cRanges="[{&quot;StartName&quot;:&quot;_GBC_5cefafb99f2249708f119d012fbb8ab0&quot;,&quot;EndName&quot;:&quot;_GBC_1fc12921547d428898d6b42d08f442b2&quot;,&quot;CType&quot;:1}]"/>
      <m:item xlName="_GBC_1fc12921547d428898d6b42d08f442b2" concept="clcid-cgi:CunTuoPingZhengXiangGuanAnPaiZaiBaoGaoQiDeShiShiHeBianHuaQingKuang" label="存托凭证相关安排在报告期的实施和变化情况" appId="_GBC_5cefafb99f2249708f119d012fbb8ab0"/>
    </m:section>
    <m:placeholder xlName="_PLD_0c55c3d318e44094a168e491a4922b0a"/>
    <m:item xlName="_GBC_064214f93975455697672c9c39d0503b" concept="clcid-ci-ar:ShiFouShiYongTeBieBiaoJueQuanGuFenQingKuang" label="是否适用：特别表决权股份情况" selectOptions="_buildInAppliance" controlType="CustomCheckbox" cRanges="[{&quot;StartName&quot;:&quot;_GBC_064214f93975455697672c9c39d0503b&quot;,&quot;EndName&quot;:&quot;_SEC_1af2635e7686443581ce907ec8be8f3d&quot;,&quot;CType&quot;:1}]"/>
    <m:section xlName="_SEC_7057df25bf8e40b2aba44afc0fa7107d" title="特别表决权设置的基本安排">
      <m:item xlName="_GBC_25474813845442f2aaf8cdb37fe27679" concept="clcid-ci-ar:ShiFouShiYongTeBieBiaoJueQuanSheZhiDeJiBenAnPai" label="是否适用：特别表决权设置的基本安排" selectOptions="_buildInAppliance" controlType="CustomCheckbox" cRanges="[{&quot;StartName&quot;:&quot;_GBC_25474813845442f2aaf8cdb37fe27679&quot;,&quot;EndName&quot;:&quot;_GBC_f5fdd6d214db46c189dfeda7bf58028c&quot;,&quot;CType&quot;:1}]"/>
      <m:item xlName="_GBC_f5fdd6d214db46c189dfeda7bf58028c" concept="clcid-cgi:TeBieBiaoJueQuanSheZhiDeJiBenAnPai" label="特别表决权设置的基本安排" appId="_GBC_25474813845442f2aaf8cdb37fe27679"/>
    </m:section>
    <m:section xlName="_SEC_655ca1c114734fcba28deb19daa1fede" title="特别表决权持有情况" helpText="若股东为自然人的，填写自然人职务；若股东为法人等持股主体，填写该等主体实际控制人在公司的职务。">
      <m:item xlName="_GBC_a779dca689894f4fa87da9de70f08112" concept="clcid-ci-ar:ShiFouShiYongTeBieBiaoJueQuanChiYouQingKuang" label="是否适用：特别表决权持有情况" selectOptions="_buildInAppliance" controlType="CustomCheckbox" cRanges="[{&quot;StartName&quot;:&quot;_GBC_a779dca689894f4fa87da9de70f08112&quot;,&quot;EndName&quot;:&quot;_GBC_6facd059ce394958b5699b1ce964879c&quot;,&quot;CType&quot;:1}]"/>
      <m:item xlName="_GBC_44a0ba6702734315b08c601985d7a5fd" concept="clcid-ci-ar:DanWeiTeBieBiaoJueQuanChiYouQingKuang" label="单位：特别表决权持有情况" selectOptions="e5ff0938481c4e57a5dbc66853be82ef" controlType="Combobox" cellType="Scale" appId="_GBC_a779dca689894f4fa87da9de70f08112"/>
      <m:placeholder xlName="_PLD_76d563a0f2ef4a00b914e38feb42ee58" addr="T0R0C0S1_1"/>
      <m:placeholder xlName="_PLD_5de76424fd834c188a9175b63d69148f" addr="T0R0C1S1_1"/>
      <m:placeholder xlName="_PLD_cc51d2acb4d8421bbd63c63d6cc5df84" addr="T0R0C2S1_1"/>
      <m:placeholder xlName="_PLD_5a529428e30e42c5a16a917d9d11cc21" addr="T0R0C3S1_1"/>
      <m:placeholder xlName="_PLD_806359f3247a451dbeba9f8e12fc9687" addr="T0R0C4S1_1"/>
      <m:placeholder xlName="_PLD_477127e391944f2dae55347185fc708e" addr="T0R0C5S1_1"/>
      <m:tuple xlName="_TUP_39f387d3b43c4824a77168d935a4225c" concept="clcid-cgi:TeBieBiaoJueQuanChiYouQingKuangMingXi" default_row="2" addr="T0R1C">
        <m:item xlName="_GBC_3865693ed0f64b0e96c0fc4d28a0f674" concept="clcid-cgi:TeBieBiaoJueQuanChiYouQingKuangMingXiGuDongMingCheng" label="特别表决权持有情况明细_股东名称" addr="T0R1C0S1_1" appId="_GBC_a779dca689894f4fa87da9de70f08112"/>
        <m:item xlName="_GBC_a18db7b7bba143ff997a63f091e5ac75" concept="clcid-cgi:TeBieBiaoJueQuanChiYouQingKuangMingXiGuDongZhiWu" label="特别表决权持有情况明细_股东职务" addr="T0R1C1S1_1" appId="_GBC_a779dca689894f4fa87da9de70f08112"/>
        <m:item xlName="_GBC_9d75acf7a31d4b59968bff39284e113b" concept="clcid-cgi:TeBieBiaoJueQuanChiYouQingKuangMingXiChiYouTeBieBiaoJueQuanGuFenShuLiang" label="特别表决权持有情况明细_持有特别表决权股份数量" mulRef="_GBC_44a0ba6702734315b08c601985d7a5fd" addr="T0R1C2S1_1" formatStyle="Comma" appId="_GBC_a779dca689894f4fa87da9de70f08112"/>
        <m:item xlName="_GBC_aff6e9b6584f4a7981906c4b999d8457" concept="clcid-cgi:TeBieBiaoJueQuanChiYouQingKuangMingXiMeiFenTeBieBiaoJueQuanGuFenDeBiaoJueQuanShuLiang" label="特别表决权持有情况明细_每份特别表决权股份的表决权数量" addr="T0R1C3S1_1" formatStyle="Comma" appId="_GBC_a779dca689894f4fa87da9de70f08112"/>
        <m:item xlName="_GBC_5e2720167a7949169c4f51ad20d3b6d8" concept="clcid-cgi:TeBieBiaoJueQuanChiYouQingKuangMingXiHeJiChiYouBiaoJueQuanShuLiang" label="特别表决权持有情况明细_合计持有表决权数量" addr="T0R1C4S1_1" formatStyle="Comma" appId="_GBC_a779dca689894f4fa87da9de70f08112"/>
        <m:item xlName="_GBC_6facd059ce394958b5699b1ce964879c" concept="clcid-cgi:TeBieBiaoJueQuanChiYouQingKuangMingXiHeJiChiYouBiaoJueQuanBiLi" label="特别表决权持有情况明细_合计持有表决权比例" addr="T0R1C5S1_1" baseScale="0.01" formatStyle="Comma" appId="_GBC_a779dca689894f4fa87da9de70f08112"/>
      </m:tuple>
    </m:section>
    <m:section xlName="_SEC_9eb832056b6146e29a79ce95479a85e2" title="特别表决权股份拥有的表决权数量与普通股股份拥有表决权数量的比例安排">
      <m:item xlName="_GBC_fa97d477a02d46faa1d61587fb5b966e" concept="clcid-ci-ar:ShiFouShiYongTeBieBiaoJueQuanGuFenYongYouDeBiaoJueQuanShuLiangYuPuTongGuGuFenYongYouBiaoJueQuanShuLiangDeBiLiAnPai" label="是否适用：特别表决权股份拥有的表决权数量与普通股股份拥有表决权数量的比例安排" selectOptions="_buildInAppliance" controlType="CustomCheckbox" cRanges="[{&quot;StartName&quot;:&quot;_GBC_fa97d477a02d46faa1d61587fb5b966e&quot;,&quot;EndName&quot;:&quot;_GBC_5243f54339434efe831473a373fc0d39&quot;,&quot;CType&quot;:1}]"/>
      <m:item xlName="_GBC_5243f54339434efe831473a373fc0d39" concept="clcid-cgi:TeBieBiaoJueQuanGuFenYongYouDeBiaoJueQuanShuLiangYuPuTongGuGuFenYongYouBiaoJueQuanShuLiangDeBiLiAnPai" label="特别表决权股份拥有的表决权数量与普通股股份拥有表决权数量的比例安排" appId="_GBC_fa97d477a02d46faa1d61587fb5b966e"/>
    </m:section>
    <m:section xlName="_SEC_29b7fcb5d4bd40829542290f5b19c6ee" title="其他安排">
      <m:item xlName="_GBC_d26947ccd75e426e9c19cbf3bfe54888" concept="clcid-ci-ar:ShiFouShiYongTeBieBiaoJueQuanSheZhiQingKuangQiTaAnPai" label="是否适用：特别表决权设置情况其他安排" selectOptions="_buildInAppliance" controlType="CustomCheckbox" cRanges="[{&quot;StartName&quot;:&quot;_GBC_d26947ccd75e426e9c19cbf3bfe54888&quot;,&quot;EndName&quot;:&quot;_GBC_6d1ce69a8ecf4558b540919a90dfb1f0&quot;,&quot;CType&quot;:1}]"/>
      <m:item xlName="_GBC_6d1ce69a8ecf4558b540919a90dfb1f0" concept="clcid-cgi:TeBieBiaoJueQuanSheZhiQingKuangQiTaAnPai" label="特别表决权设置情况其他安排" appId="_GBC_d26947ccd75e426e9c19cbf3bfe54888"/>
    </m:section>
    <m:section xlName="_SEC_0ccc3e776fd643dcaa3f7f511eb3ea64" title=" 特别表决权股份数量、比例变动、特别表决权股份转换为普通股份等情况">
      <m:item xlName="_GBC_9a1449e668c84e16ac7a8f38a66e2ab9" concept="clcid-ci-ar:ShiFouShiYongTeBieBiaoJueQuanGuFenShuLiangBiLiBianDongTeBieBiaoJueQuanGuFenZhuanHuanWeiPuTongGuFenDengQingKuang" label="是否适用：特别表决权股份数量、比例变动、特别表决权股份转换为普通股份等情况" selectOptions="_buildInAppliance" controlType="CustomCheckbox" cRanges="[{&quot;StartName&quot;:&quot;_GBC_9a1449e668c84e16ac7a8f38a66e2ab9&quot;,&quot;EndName&quot;:&quot;_GBC_09574d463d4048f6a5fd9c09903de1a5&quot;,&quot;CType&quot;:1}]"/>
      <m:item xlName="_GBC_09574d463d4048f6a5fd9c09903de1a5" concept="clcid-cgi:TeBieBiaoJueQuanGuFenShuLiangBiLiBianDongTeBieBiaoJueQuanGuFenZhuanHuanWeiPuTongGuFenDengQingKuang" label="特别表决权股份数量、比例变动、特别表决权股份转换为普通股份等情况" appId="_GBC_9a1449e668c84e16ac7a8f38a66e2ab9"/>
    </m:section>
    <m:section xlName="_SEC_e30f668ff36446719a806fa0df9a8375" title="报告期内表决权差异安排的其他变化情况">
      <m:item xlName="_GBC_0ad95770d7da4f7eba66f7ae3373663c" concept="clcid-ci-ar:ShiFouShiYongBaoGaoQiNeiBiaoJueQuanChaYiAnPaiDeQiTaBianHuaQingKuang" label="是否适用：报告期内表决权差异安排的其他变化情况" selectOptions="_buildInAppliance" controlType="CustomCheckbox" cRanges="[{&quot;StartName&quot;:&quot;_GBC_0ad95770d7da4f7eba66f7ae3373663c&quot;,&quot;EndName&quot;:&quot;_GBC_63fee4db32f342e39b9b0f917bbb83c5&quot;,&quot;CType&quot;:1}]"/>
      <m:item xlName="_GBC_63fee4db32f342e39b9b0f917bbb83c5" concept="clcid-cgi:BaoGaoQiNeiBiaoJueQuanChaYiAnPaiDeQiTaBianHuaQingKuang" label="报告期内表决权差异安排的其他变化情况" appId="_GBC_0ad95770d7da4f7eba66f7ae3373663c"/>
    </m:section>
    <m:section xlName="_SEC_1af2635e7686443581ce907ec8be8f3d" title="特别表决权股份情况的其他说明">
      <m:item xlName="_GBC_58f886f59ec74e81b194ec27177a5aad" concept="clcid-ci-ar:ShiFouShiYongTeBieBiaoJueQuanGuFenQingKuangQiTaShuoMing" label="是否适用：特别表决权股份情况其他说明" selectOptions="_buildInAppliance" controlType="CustomCheckbox" cRanges="[{&quot;StartName&quot;:&quot;_GBC_58f886f59ec74e81b194ec27177a5aad&quot;,&quot;EndName&quot;:&quot;_GBC_9325e187f40c47ccb0e6b9460d33e075&quot;,&quot;CType&quot;:1}]"/>
      <m:item xlName="_GBC_9325e187f40c47ccb0e6b9460d33e075" concept="clcid-cgi:TeBieBiaoJueQuanGuFenQingKuangQiTaShuoMing" label="特别表决权股份情况其他说明" appId="_GBC_58f886f59ec74e81b194ec27177a5aad"/>
    </m:section>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item xlName="_GBC_25b0b48da6ad4a60a4bed2a61942b045" concept="clcid-ci-ar:DanWeiBaoGaoQiNeiYouXianGuFaXingYuShangShiQingKuang" label="单位：报告期内优先股发行与上市情况" selectOptions="d77b6f208ee14a709921a73c3dfde76d" controlType="Combobox" cellType="Scale" appId="_GBC_2113adbee8464e1c828b3d6d35c60abf"/>
      <m:placeholder xlName="_PLD_a58ddc26bb7d4f4797b5996702c0eb7c" addr="T0R0C0S1_1"/>
      <m:placeholder xlName="_PLD_e4d71577591b4c70826541c1393c8308" addr="T0R0C1S1_1"/>
      <m:placeholder xlName="_PLD_cfee354af7b84d45b4176da86b7c3fa0" addr="T0R0C2S1_1"/>
      <m:placeholder xlName="_PLD_d27edeb91197432eb76f637d8ec889b9" addr="T0R0C3S1_1"/>
      <m:placeholder xlName="_PLD_96b123e9c2eb4765b8edee3c452d822f" addr="T0R0C4S1_1"/>
      <m:placeholder xlName="_PLD_4ba91d37f08c430c95e5515d7aaa243d" addr="T0R0C5S1_1"/>
      <m:placeholder xlName="_PLD_4fa731a6a89544b0922f63ab296e38dd" addr="T0R0C6S1_1"/>
      <m:placeholder xlName="_PLD_4351353ae16c426994c8a788426966b7" addr="T0R0C7S1_1"/>
      <m:placeholder xlName="_PLD_94a6f216374e4d0f9bd21fe819a74ac8" addr="T0R0C8S1_1"/>
      <m:tuple xlName="_GBC_7a48564403dd4b888392453860718745" concept="clcid-cgi:YouXianGuFaXingYuShangShiQingKuangMingXi" default_row="2" addr="T0R1C">
        <m:item xlName="_GBC_66f719a08fe74eea833fe3650ebd0f63" concept="clcid-cgi:YouXianGuFaXingYuShangShiQingKuangMingXiYouXianGuDaiMa" label="优先股发行与上市情况明细-优先股代码" addr="T0R1C0S1_1" appId="_GBC_2113adbee8464e1c828b3d6d35c60abf"/>
        <m:item xlName="_GBC_a532ef8c49bc42a7ac267d42de8205b6" concept="clcid-cgi:YouXianGuFaXingYuShangShiQingKuangMingXiYouXianGuJianCheng" label="优先股发行与上市情况明细-优先股简称" addr="T0R1C1S1_1" appId="_GBC_2113adbee8464e1c828b3d6d35c60abf"/>
        <m:item xlName="_GBC_b46df565726a43199a3ef88eea33aa2b" concept="clcid-cgi:YouXianGuFaXingYuShangShiQingKuangMingXiFaXingRiQi" label="优先股发行与上市情况明细-发行日期" addr="T0R1C2S1_1" appId="_GBC_2113adbee8464e1c828b3d6d35c60abf" keyAction="38"/>
        <m:item xlName="_GBC_c7b5f75a861e41cdb5a73a2ededc4d09" concept="clcid-cgi:YouXianGuFaXingYuShangShiQingKuangMingXiFaXingJiaGe" label="优先股发行与上市情况明细-发行价格" addr="T0R1C3S1_1" formatStyle="Comma" appId="_GBC_2113adbee8464e1c828b3d6d35c60abf"/>
        <m:item xlName="_GBC_d1642d27baca485da55b067d5ae45cf1" concept="clcid-cgi:YouXianGuFaXingYuShangShiQingKuangMingXiPiaoMianGuXiLv" label="优先股发行与上市情况明细-票面股息率" addr="T0R1C4S1_1" baseScale="0.01" formatStyle="Comma" appId="_GBC_2113adbee8464e1c828b3d6d35c60abf"/>
        <m:item xlName="_GBC_2ac1b0c2105d467f97deee3f99bcd059" concept="clcid-cgi:YouXianGuFaXingYuShangShiQingKuangMingXiFaXingShuLiang" label="优先股发行与上市情况明细-发行数量" mulRef="_GBC_25b0b48da6ad4a60a4bed2a61942b045" addr="T0R1C5S1_1" formatStyle="Comma" appId="_GBC_2113adbee8464e1c828b3d6d35c60abf"/>
        <m:item xlName="_GBC_700b7fddf88340abbb77b80b11e9694b" concept="clcid-cgi:YouXianGuFaXingYuShangShiQingKuangMingXiShangShiRiQi" label="优先股发行与上市情况明细-上市日期" addr="T0R1C6S1_1" appId="_GBC_2113adbee8464e1c828b3d6d35c60abf" keyAction="38"/>
        <m:item xlName="_GBC_108df99d728e416cb67314523e57e7a0" concept="clcid-cgi:YouXianGuFaXingYuShangShiQingKuangMingXiHuoZhunShangShiJiaoYiShuLiang" label="优先股发行与上市情况明细-获准上市交易数量" mulRef="_GBC_25b0b48da6ad4a60a4bed2a61942b045" addr="T0R1C7S1_1" formatStyle="Comma" appId="_GBC_2113adbee8464e1c828b3d6d35c60abf"/>
        <m:item xlName="_GBC_136d303369d3418486b081085ddc87a3" concept="clcid-cgi:YouXianGuFaXingYuShangShiQingKuangMingXiZhongZhiShangShiRiQi" label="优先股发行与上市情况明细-终止上市日期" addr="T0R1C8S1_1" appId="_GBC_2113adbee8464e1c828b3d6d35c60abf" keyAction="38"/>
      </m:tuple>
      <m:placeholder xlName="_PLD_ccb6b2c846a34be7bc54f3d8c21c51ba" addr="T0R3C0S1_3"/>
      <m:item xlName="_GBC_fa6d6f04a10b4c8ea9bc963792d56454" concept="clcid-cgi:MuJiZiJinShiYongJinZhanJiBianGengQingKuang" label="募集资金使用进展及变更情况" addr="T0R3C3S1_6" appId="_GBC_2113adbee8464e1c828b3d6d35c60abf"/>
    </m:section>
    <m:section xlName="_SEC_06f6e496e41a4dd7b512420d36b8c6ef" title="优先股股东情况" tupleConcept="clcid-cgi:QianShiMingYouXianGuGuDongQingKuangMingXi" repeatable="1" helpId="104002009">
      <m:placeholder xlName="_PLD_869f3e9d58224e3bba58417731327ff6" addr="T0R0C0S1_1"/>
      <m:item xlName="_GBC_6e92c6ed5ad54f86a4fd599d179d2d8d" concept="clcid-cgi:BaoGaoQiMoYouXianGuGuDongZongShu" label="报告期末优先股股东总数" addr="T0R0C1S1_1" tagAction="1" formatStyle="Comma" appId="_GBC_2113adbee8464e1c828b3d6d35c60abf"/>
      <m:item xlName="_GBC_98bd99ab8d9c407989a21acf83618632" concept="clcid-cgi:DanWeiChiYouGongSiBaiFenZhiWuYiShangYouXianGuGuFenDeQianShiMingGuDongQingKuang" label="单位：持有公司5%以上优先股股份的前十名股东情况" selectOptions="d77b6f208ee14a709921a73c3dfde76d" controlType="Combobox" cellType="Scale" appId="_GBC_2113adbee8464e1c828b3d6d35c60abf"/>
      <m:placeholder xlName="_PLD_b7ff5da165fa4b30a23f293a5c305430" addr="T1R0C0S1_8"/>
      <m:placeholder xlName="_PLD_9e8a08957ccd42218fd2c429d9faf37d" addr="T1R1C0S2_1"/>
      <m:placeholder xlName="_PLD_d8af46c1fea54ca8814001bc1fc03bf3" addr="T1R1C1S2_1"/>
      <m:placeholder xlName="_PLD_7232dfd9262048fb9e68b018fa7858ec" addr="T1R1C2S2_1"/>
      <m:placeholder xlName="_PLD_3e3c7f752f974a15aa7ea61adef2263b" addr="T1R1C3S2_1"/>
      <m:placeholder xlName="_PLD_5b5d6320dc6147418a1be70a7e67bff0" addr="T1R1C4S2_1"/>
      <m:placeholder xlName="_PLD_569d5ebde14546cd8ac2909e9dd5def2" addr="T1R1C5S1_2"/>
      <m:placeholder xlName="_PLD_00581796fd894867b4dceb4fc74cb146" addr="T1R1C7S2_1"/>
      <m:placeholder xlName="_PLD_49d9fd325dda4f9fa162b9a58c7bc711" addr="T1R2C5S1_1"/>
      <m:placeholder xlName="_PLD_034df3504eb749b2b41334eed9bb5d6e" addr="T1R2C6S1_1"/>
      <m:tuple xlName="_GBC_00e7a8c9e2e1422d8e52729c36ca93b0" concept="clcid-cgi:ChiYouGongSiBaiFenZhiWuYiShangYouXianGuGuFenDeQianShiMingGuDongQingKuang" default_row="10" addr="T1R3C">
        <m:item xlName="_GBC_b174fd9c73964e8cb3ded666b304c803" concept="clcid-cgi:ChiYouGongSiBaiFenZhiWuYiShangYouXianGuGuFenDeQianShiMingGuDongMingCheng" label="持有公司5%以上优先股股份的前十名股东名称" addr="T1R3C0S1_1" appId="_GBC_2113adbee8464e1c828b3d6d35c60abf"/>
        <m:item xlName="_GBC_7f94133e204f4adc8c330194f154d4aa" concept="clcid-cgi:ChiYouGongSiBaiFenZhiWuYiShangYouXianGuGuFenDeQianShiMingGuDongBaoGaoQiNeiGuFenZengJian" label="持有公司5%以上优先股股份的前十名股东报告期内股份增减" mulRef="_GBC_98bd99ab8d9c407989a21acf83618632" addr="T1R3C1S1_1" formatStyle="Comma" appId="_GBC_2113adbee8464e1c828b3d6d35c60abf"/>
        <m:item xlName="_GBC_8be28624eda1486d8545c274045376c3" concept="clcid-cgi:ChiYouGongSiBaiFenZhiWuYiShangYouXianGuGuFenDeQianShiMingGuDongChiYouGuFenShuLiang" label="持有公司5%以上优先股股份的前十名股东持有股份数量" mulRef="_GBC_98bd99ab8d9c407989a21acf83618632" addr="T1R3C2S1_1" formatStyle="Comma" appId="_GBC_2113adbee8464e1c828b3d6d35c60abf"/>
        <m:item xlName="_GBC_39ee4faa81674cce8c3f24102e422411" concept="clcid-cgi:ChiYouGongSiBaiFenZhiWuYiShangYouXianGuGuFenDeQianShiMingGuDongChiGuBiLi" label="持有公司5%以上优先股股份的前十名股东持股比例" addr="T1R3C3S1_1" baseScale="0.01" formatStyle="Comma" appId="_GBC_2113adbee8464e1c828b3d6d35c60abf"/>
        <m:item xlName="_GBC_ebda53481a52449ea70b43b5b57b275d" concept="clcid-cgi:ChiYouGongSiBaiFenZhiWuYiShangYouXianGuGuFenDeQianShiMingGuDongChiYouGuFenZhongLei" label="持有公司5%以上优先股股份的前十名股东持有股份种类" addr="T1R3C4S1_1" appId="_GBC_2113adbee8464e1c828b3d6d35c60abf"/>
        <m:item xlName="_GBC_4100bad373f145d783c1bbcd8dc3656f"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2113adbee8464e1c828b3d6d35c60abf"/>
        <m:item xlName="_GBC_34c29611d151401aad9bec6f8ec08e39" concept="clcid-cgi:ChiYouGongSiBaiFenZhiWuYiShangYouXianGuGuFenDeQianShiMingGuDongChiYouGuFenZhiYaHuoDongJieShuLiang" label="持有公司5%以上优先股股份的前十名股东持有股份质押或冻结数量" mulRef="_GBC_98bd99ab8d9c407989a21acf83618632" addr="T1R3C6S1_1" formatStyle="Comma" tupleRef="clcid-cgi:ChiYouGongSiBaiFenZhiWuYiShangYouXianGuGuFenDeQianShiMingGuDongZhiYaHuoDongJieQingKuang" appId="_GBC_2113adbee8464e1c828b3d6d35c60abf"/>
        <m:item xlName="_GBC_e5594dc9e7564f678c0323068dafa7d1" concept="clcid-cgi:ChiYouGongSiBaiFenZhiWuYiShangYouXianGuGuFenDeQianShiMingGuDongXingZhi" label="持有公司5%以上优先股股份的前十名股东性质" selectOptions="7afad5edcbc647d29c3ff9e58d3cefd1" addr="T1R3C7S1_1" controlType="Combobox" appId="_GBC_2113adbee8464e1c828b3d6d35c60abf"/>
      </m:tuple>
      <m:placeholder xlName="_PLD_052fc430d08a467199c95aa306b46e92" addr="T1R13C0S1_3"/>
      <m:item xlName="_GBC_1d55d605aeb246beabaed9057347175f"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3C3S1_5" appId="_GBC_2113adbee8464e1c828b3d6d35c60abf"/>
    </m:section>
    <m:section xlName="_GBC_cdbecede1d44433785be1be860bc785b" title="其他优先股股东情况说明" rules="R2015_R7_001" helpId="110008001">
      <m:item xlName="_GBC_eb4084438deb4ca599023787e2249972" concept="clcid-ci-ar:ShiFouShiYongYouXianGuQiTaQingKuangShuoMing" label="是否适用：优先股其他情况说明" selectOptions="_buildInAppliance" controlType="CustomCheckbox" cRanges="{&quot;StartName&quot;:&quot;_GBC_eb4084438deb4ca599023787e2249972&quot;,&quot;EndName&quot;:&quot;_GBC_514cc815d98c4b46b944e95be78f18d5&quot;,&quot;CType&quot;:1,&quot;DisplayText&quot;:null}"/>
      <m:item xlName="_GBC_514cc815d98c4b46b944e95be78f18d5" concept="clcid-cgi:QiTaYouXianGuGuDongQingKuangDeShuoMing" label="其他优先股股东情况的说明" appId="_GBC_eb4084438deb4ca599023787e2249972"/>
    </m:section>
    <m:section xlName="_GBC_dd0252a8df9640e89dc854d849426857" title="回购情况" rules="R2015_R7_001" helpId="112001230">
      <m:item xlName="_GBC_2f9ff8f06b474273a023c313caa92b6e" concept="clcid-ci-ar:ShiFouShiYongHuiGouQingKuang" label="是否适用：回购情况" selectOptions="_buildInAppliance" controlType="CustomCheckbox" cRanges="{&quot;StartName&quot;:&quot;_GBC_2f9ff8f06b474273a023c313caa92b6e&quot;,&quot;EndName&quot;:&quot;_GBC_5eb9154a53a4451fa32bc03ccc39d0e1&quot;,&quot;CType&quot;:1,&quot;DisplayText&quot;:null}"/>
      <m:placeholder xlName="_PLD_305aa6a1d05d4ac586982235ed39bc0b" addr="T0R0C0S1_1"/>
      <m:placeholder xlName="_PLD_3a12bf9dc1124e7798478ed440ca2041" addr="T0R0C1S1_1"/>
      <m:placeholder xlName="_PLD_870d723184ef46c7993b6cd734b43f4f" addr="T0R0C2S1_1"/>
      <m:placeholder xlName="_PLD_5b3fa6644908460593cb997948fc3831" addr="T0R0C3S1_1"/>
      <m:placeholder xlName="_PLD_758ea0e1c1594e978fb7faaa671f7a73" addr="T0R0C4S1_1"/>
      <m:placeholder xlName="_PLD_f0d0906dbc204d30bcba654c5f034cc3" addr="T0R0C5S1_1"/>
      <m:placeholder xlName="_PLD_20b14b8befb74850be36e46b510e40de" addr="T0R0C6S1_1"/>
      <m:placeholder xlName="_PLD_43713e187d204e4dbf282f8bb5db7c5a" addr="T0R0C7S1_1"/>
      <m:placeholder xlName="_PLD_2414968d2337497b98c10e176d804b93" addr="T0R0C8S1_1"/>
      <m:placeholder xlName="_PLD_604be90d088840bf81755a8e5aae35c5" addr="T0R0C9S1_1"/>
      <m:placeholder xlName="_PLD_024aab2ac5314bc9a8e9fdaddb0c6692" addr="T0R0C10S1_1"/>
      <m:placeholder xlName="_PLD_9a4b04ee2a2544d589b934432a7dfc48" addr="T0R0C11S1_1"/>
      <m:tuple xlName="_GBC_6294da70ad06475c8f90b35c075d26f2" concept="clcid-cgi:YouXianGuHuiGouQingKuangMingXi" default_row="2" addr="T0R1C">
        <m:item xlName="_GBC_4e1d0857428740dcafc87fb0cb8f6888" concept="clcid-cgi:YouXianGuHuiGouQingKuangMingXiYouXianGuDaiMa" label="优先股回购情况明细-优先股代码" addr="T0R1C0S1_1" appId="_GBC_2f9ff8f06b474273a023c313caa92b6e"/>
        <m:item xlName="_GBC_8ae2334e61b54c17bff0b27b49655687" concept="clcid-cgi:YouXianGuHuiGouQingKuangMingXiYouXianGuJianCheng" label="优先股回购情况明细-优先股简称" addr="T0R1C1S1_1" appId="_GBC_2f9ff8f06b474273a023c313caa92b6e"/>
        <m:item xlName="_GBC_e9cfcca9d3f54be4ab9ac9bdcdf2d714" concept="clcid-cgi:YouXianGuHuiGouQingKuangMingXiHuiGouQiJian" label="优先股回购情况明细-回购期间" addr="T0R1C2S1_1" appId="_GBC_2f9ff8f06b474273a023c313caa92b6e"/>
        <m:item xlName="_GBC_3094c09fcba640e597c0e9ef28debfcf" concept="clcid-cgi:YouXianGuHuiGouQingKuangMingXiHuiGouJiaGe" label="优先股回购情况明细-回购价格" addr="T0R1C3S1_1" formatStyle="Comma" appId="_GBC_2f9ff8f06b474273a023c313caa92b6e"/>
        <m:item xlName="_GBC_a11e86e01bd0431c82427ecbe143521d" concept="clcid-cgi:YouXianGuHuiGouQingKuangMingXiDingJiaYuanZe" label="优先股回购情况明细-定价原则" addr="T0R1C4S1_1" appId="_GBC_2f9ff8f06b474273a023c313caa92b6e"/>
        <m:item xlName="_GBC_ee89a0a123534f3ea57a21f320280b9f" concept="clcid-cgi:YouXianGuHuiGouQingKuangMingXiHuiGouShuLiang" label="优先股回购情况明细-回购数量" addr="T0R1C5S1_1" formatStyle="Comma" appId="_GBC_2f9ff8f06b474273a023c313caa92b6e"/>
        <m:item xlName="_GBC_d54c6bf366fb4d5ea9c0bb1d0097ce24" concept="clcid-cgi:YouXianGuHuiGouQingKuangMingXiHuiGouBiLi" label="优先股回购情况明细-回购比例" addr="T0R1C6S1_1" baseScale="0.01" formatStyle="Comma" appId="_GBC_2f9ff8f06b474273a023c313caa92b6e"/>
        <m:item xlName="_GBC_e6f4a2cd736344d89aeac5c7b94b4c0d" concept="clcid-cgi:YouXianGuHuiGouQingKuangMingXiHuiGouZiJinZongE" label="优先股回购情况明细-回购资金总额" addr="T0R1C7S1_1" formatStyle="Comma" appId="_GBC_2f9ff8f06b474273a023c313caa92b6e"/>
        <m:item xlName="_GBC_8b6892dc8dd340be89c1737e490b468e" concept="clcid-cgi:YouXianGuHuiGouQingKuangMingXiHuiGouZiJinLaiYuan" label="优先股回购情况明细-回购资金来源" addr="T0R1C8S1_1" appId="_GBC_2f9ff8f06b474273a023c313caa92b6e"/>
        <m:item xlName="_GBC_132ed824dfe442148361067a2b173675" concept="clcid-cgi:YouXianGuHuiGouQingKuangMingXiHuiGouGuFenDeQiXian" label="优先股回购情况明细-回购股份的期限" addr="T0R1C9S1_1" appId="_GBC_2f9ff8f06b474273a023c313caa92b6e"/>
        <m:item xlName="_GBC_ecfcf4a56ef74ac3bb1e4b683840818c" concept="clcid-cgi:YouXianGuHuiGouQingKuangMingXiHuiGouXuanZeQuanDeXingShiZhuTi" label="优先股回购情况明细-回购选择权的行使主体" addr="T0R1C10S1_1" appId="_GBC_2f9ff8f06b474273a023c313caa92b6e"/>
        <m:item xlName="_GBC_7ae127409960416fabff4b3ef7c1f00a" concept="clcid-cgi:YouXianGuHuiGouQingKuangMingXiDuiGongSiGuBenDeYingXiang" label="优先股回购情况明细-对公司股本结构的影响" addr="T0R1C11S1_1" appId="_GBC_2f9ff8f06b474273a023c313caa92b6e"/>
      </m:tuple>
      <m:item xlName="_GBC_5eb9154a53a4451fa32bc03ccc39d0e1" concept="clcid-cgi:YouXianGuHuiGouShenYiChengXuDengQingKuangDeShuoMing" label="优先股回购审议程序等情况的说明" appId="_GBC_2f9ff8f06b474273a023c313caa92b6e"/>
    </m:section>
    <m:section xlName="_GBC_bfe4b4f422a94baaa8274d70ba44bfb9" title="转换情况" rules="R2015_R7_001" helpId="112001229">
      <m:item xlName="_GBC_212197cf1b0948f18e42c0d5ac9594b2" concept="clcid-ci-ar:ShiFouShiYongZhuanHuanQingKuang" label="是否适用：转换情况" selectOptions="_buildInAppliance" controlType="CustomCheckbox" cRanges="{&quot;StartName&quot;:&quot;_GBC_212197cf1b0948f18e42c0d5ac9594b2&quot;,&quot;EndName&quot;:&quot;_GBC_520c1a8990d34d898dc146231eb38648&quot;,&quot;CType&quot;:1,&quot;DisplayText&quot;:null}"/>
      <m:placeholder xlName="_PLD_9a3d30147c1f4fe1bc6814afd097c5ee" addr="T0R0C0S1_1"/>
      <m:placeholder xlName="_PLD_a4739edc06d1485c98bc74515a8ee80e" addr="T0R0C1S1_1"/>
      <m:placeholder xlName="_PLD_93fadb9415ae46eba3c1faa9d044ede6" addr="T0R0C2S1_1"/>
      <m:placeholder xlName="_PLD_cadd85f61389444cbca3698f7c2bb43b" addr="T0R0C3S1_1"/>
      <m:placeholder xlName="_PLD_07a7d401e8da4ea7a14802451b85108c" addr="T0R0C4S1_1"/>
      <m:placeholder xlName="_PLD_755700b722bb43cea4e3850e76b6e508" addr="T0R0C5S1_1"/>
      <m:placeholder xlName="_PLD_d112571d60124710bd3992c1f2ef336c" addr="T0R0C6S1_1"/>
      <m:placeholder xlName="_PLD_15b350e2702b416094719af45295b4a0" addr="T0R0C7S1_1"/>
      <m:tuple xlName="_GBC_9db17eacc7b44289a6dcc0f7d5e8b5be" concept="clcid-cgi:YouXianGuZhuanHuanQingKuangMingXi" default_row="2" addr="T0R1C">
        <m:item xlName="_GBC_ff049848c19348b286e63eb61f1efc60" concept="clcid-cgi:YouXianGuZhuanHuanQingKuangMingXiYouXianGuDaiMa" label="优先股转换情况明细-优先股代码" addr="T0R1C0S1_1" appId="_GBC_212197cf1b0948f18e42c0d5ac9594b2"/>
        <m:item xlName="_GBC_219ab6a36b254911bba63db18ddf5f9c" concept="clcid-cgi:YouXianGuZhuanHuanQingKuangMingXiYouXianGuJianCheng" label="优先股转换情况明细-优先股简称" addr="T0R1C1S1_1" appId="_GBC_212197cf1b0948f18e42c0d5ac9594b2"/>
        <m:item xlName="_GBC_14367822a2734dfe83d7cab8fdf7c07a" concept="clcid-cgi:YouXianGuZhuanHuanQingKuangMingXiZhuanGuTiaoJian" label="优先股转换情况明细-转股条件" addr="T0R1C2S1_1" appId="_GBC_212197cf1b0948f18e42c0d5ac9594b2"/>
        <m:item xlName="_GBC_bf16ba90bccd4829be6f76cf672999ba" concept="clcid-cgi:YouXianGuZhuanHuanQingKuangMingXiZhuanGuJiaGe" label="优先股转换情况明细-转股价格" addr="T0R1C3S1_1" formatStyle="Comma" appId="_GBC_212197cf1b0948f18e42c0d5ac9594b2"/>
        <m:item xlName="_GBC_d6e1951f5c604acba1f583a13ee5cfb2" concept="clcid-cgi:YouXianGuZhuanHuanQingKuangMingXiZhuanGuShuLiang" label="优先股转换情况明细-转股数量" addr="T0R1C4S1_1" formatStyle="Comma" appId="_GBC_212197cf1b0948f18e42c0d5ac9594b2"/>
        <m:item xlName="_GBC_9c0ed31ec237453398a6cb813ae92a82" concept="clcid-cgi:YouXianGuZhuanHuanQingKuangMingXiZhuanHuanBiLi" label="优先股转换情况明细-转换比例" addr="T0R1C5S1_1" baseScale="0.01" formatStyle="Comma" appId="_GBC_212197cf1b0948f18e42c0d5ac9594b2"/>
        <m:item xlName="_GBC_ee2b147085734b55a25031141ee0e41e" concept="clcid-cgi:YouXianGuZhuanHuanQingKuangMingXiZhuanHuanXuanZeQuanDeXingShiZhuTi" label="优先股转换情况明细-转换选择权的行使主体" addr="T0R1C6S1_1" appId="_GBC_212197cf1b0948f18e42c0d5ac9594b2"/>
        <m:item xlName="_GBC_61e0810d5f6949ef931db7137433c6ff" concept="clcid-cgi:YouXianGuZhuanHuanQingKuangMingXiDuiGongSiGuBenDeYingXiang" label="优先股转换情况明细-对公司股本结构的影响" addr="T0R1C7S1_1" appId="_GBC_212197cf1b0948f18e42c0d5ac9594b2"/>
      </m:tuple>
      <m:item xlName="_GBC_520c1a8990d34d898dc146231eb38648" concept="clcid-cgi:YouXianGuZhuanHuanShenYiChengXuDengQingKuangDeShuoMing" label="优先股转换审议程序等情况的说明" appId="_GBC_212197cf1b0948f18e42c0d5ac9594b2"/>
    </m:section>
    <m:section xlName="_GBC_ddb96eb7a92a4d6285f620d33674775f" title="报告期内存在优先股表决权恢复的，公司应当披露相关表决权的恢复情况" rules="R2015_R7_001" helpId="112001231">
      <m:item xlName="_GBC_2e38ae2684b04ca49b1f676f870dd2b5"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2e38ae2684b04ca49b1f676f870dd2b5&quot;,&quot;EndName&quot;:&quot;_GBC_6156a521739a47bb8e3991055cef854b&quot;,&quot;CType&quot;:1,&quot;DisplayText&quot;:null}"/>
      <m:item xlName="_GBC_6156a521739a47bb8e3991055cef854b" concept="clcid-cgi:BaoGaoQiNeiYouXianGuBiaoJueQuanDeHuiFuXingShiQingKuangShuoMing" label="报告期内优先股表决权的恢复、行使情况说明" appId="_GBC_2e38ae2684b04ca49b1f676f870dd2b5"/>
    </m:section>
    <m:section xlName="_GBC_8c2b7a1d2d1b4786b4822d8ec9c8c28f" title="公司对优先股采取的会计政策及理由" rules="R2015_R7_001" helpId="112001232">
      <m:item xlName="_GBC_12f6536eb7d742189d939f43058ec430" concept="clcid-ci-ar:ShiFouShiYongGongSiDuiYouXianGuCaiQuDeHuiJiZhengCeJiLiYou" label="是否适用：公司对优先股采取的会计政策及理由" selectOptions="_buildInAppliance" controlType="CustomCheckbox" cRanges="{&quot;StartName&quot;:&quot;_GBC_12f6536eb7d742189d939f43058ec430&quot;,&quot;EndName&quot;:&quot;_GBC_aa4e54f11c3f4ba9a26c0199f93b1771&quot;,&quot;CType&quot;:1,&quot;DisplayText&quot;:null}"/>
      <m:item xlName="_GBC_aa4e54f11c3f4ba9a26c0199f93b1771" concept="clcid-cgi:DuiYouXianGuCaiQuDeKuaiJiZhengCeJiLiYou" label="对优先股采取的会计政策及理由" appId="_GBC_12f6536eb7d742189d939f43058ec430"/>
    </m:section>
    <m:section xlName="_GBC_8fb06e980aee40a3b1b78ccabb3fc0e3" title="其他优先股相关情况" rules="R2015_R7_001">
      <m:item xlName="_GBC_078cb390d131444bbf961b340883f36f" concept="clcid-ci-ar:ShiFouShiYongYouXianGuQiTaXiangGuanQingKuangShuoMing" label="是否适用：优先股其他相关情况说明" selectOptions="_buildInAppliance" controlType="CustomCheckbox" cRanges="{&quot;StartName&quot;:&quot;_GBC_078cb390d131444bbf961b340883f36f&quot;,&quot;EndName&quot;:&quot;_GBC_18c37e6311d54979981817836db177bf&quot;,&quot;CType&quot;:1,&quot;DisplayText&quot;:null}"/>
      <m:item xlName="_GBC_18c37e6311d54979981817836db177bf" concept="clcid-cgi:QiTaYouXianGuXiangGuanQingKuangDeShuoMing" label="其他优先股相关情况的说明" appId="_GBC_078cb390d131444bbf961b340883f36f"/>
    </m:section>
    <m:item xlName="_GBC_c53f32323b154afe81e2b4f409f87ab4" helpId="112500014" concept="clcid-ci-ar:ShiFouShiYongZhaiQuanXiangGuanQingKuang" label="是否适用：债券相关情况" selectOptions="_buildInAppliance" controlType="CustomCheckbox" cRanges="[{&quot;StartName&quot;:&quot;_GBC_c53f32323b154afe81e2b4f409f87ab4&quot;,&quot;EndName&quot;:&quot;_SEC_b0aca99e2f514c6eacb0e9b65356b09f&quot;,&quot;CType&quot;:1}]"/>
    <m:item xlName="_GBC_04aa2599cc3f4737a9847ed1ecf27fde" concept="clcid-ci-ar:ShiFouShiYongQiYeZhaiQuanXiangGuanQingKuang" label="是否适用：企业债券相关情况" selectOptions="_buildInAppliance" controlType="CustomCheckbox" cRanges="[{&quot;StartName&quot;:&quot;_GBC_04aa2599cc3f4737a9847ed1ecf27fde&quot;,&quot;EndName&quot;:&quot;_SEC_aef75d5356194d55918be6e3241b765f&quot;,&quot;CType&quot;:1}]">
      <m:axisValue occRef="企业债券"/>
    </m:item>
    <m:section xlName="_SEC_17d86ae75d674ea5852634043eb81fb5" title="企业债券基本情况" convertSummaryRule="NoConvert" helpId="112500001">
      <m:item xlName="_GBC_a3cdd6941a614ac9b8ef8e6e82910ad3" concept="clcid-ci-ar:DanWeiCaiWuFuZhuGongSiZhaiQuanJiBenQingKuang" label="单位：财务附注：公司债券基本情况" selectOptions="_buildInScales" controlType="Combobox" cellType="Scale" appId="_GBC_04aa2599cc3f4737a9847ed1ecf27fde">
        <m:axisValue occRef="企业债券"/>
      </m:item>
      <m:item xlName="_GBC_0f60ccef1d714c14bd9cdeb8b078d2bc" concept="clcid-ci-ar:BiZhongCaiWuFuZhuGongSiZhaiQuanJiBenQingKuang" label="币种：财务附注：公司债券基本情况" selectOptions="_buildInISO4217" controlType="Combobox" cellType="Measure" appId="_GBC_04aa2599cc3f4737a9847ed1ecf27fde">
        <m:axisValue occRef="企业债券"/>
      </m:item>
      <m:placeholder xlName="_PLD_b26ae7e411b34319bf1a7876b43775e3" addr="T0R0C0S1_1"/>
      <m:placeholder xlName="_PLD_3501efd392374939a23b8322b26deaba" addr="T0R0C1S1_1"/>
      <m:placeholder xlName="_PLD_472dfb7ed9dc4252a345fb13abc7efac" addr="T0R0C2S1_1"/>
      <m:placeholder xlName="_PLD_94938599f6c54697a7226ba1a4bdb4b1" addr="T0R0C3S1_1"/>
      <m:placeholder xlName="_PLD_87a03a1452f440069559a7fa6d1ceb7e" addr="T0R0C4S1_1"/>
      <m:placeholder xlName="_PLD_ca56c895d7894b84b77d23dddeda5688" addr="T0R0C5S1_1"/>
      <m:placeholder xlName="_PLD_0f6dab4960af4835adde3c5278af691b" addr="T0R0C6S1_1"/>
      <m:placeholder xlName="_PLD_42cdcd5b77074141a7b9a1dd78e3a83e" addr="T0R0C7S1_1"/>
      <m:placeholder xlName="_PLD_9cd9bc007da8445098fae46ed4eaf235" addr="T0R0C8S1_1"/>
      <m:placeholder xlName="_PLD_4e667f06933c4d31955288c3f0feb361" addr="T0R0C9S1_1"/>
      <m:placeholder xlName="_PLD_cc3fef17a06142e6af3a11d42e621f96" addr="T0R0C10S1_1"/>
      <m:placeholder xlName="_PLD_e97f255b96e54db3972c428d086123a3" addr="T0R0C11S1_1"/>
      <m:placeholder xlName="_PLD_f955f334ba6c4e3ea7e0f8753c676cc6" addr="T0R0C12S1_1"/>
      <m:tuple xlName="_TUP_90e83ea80b0d468eafed99e6223538ef" concept="clcid-cgi:GongSiZhaiQuanJiBenQingKuangMingXi" default_row="2" addr="T0R1C">
        <m:item xlName="_GBC_f410ff26ecf74da4bc401be573a6a461" concept="clcid-cgi:GongSiZhaiQuanJiBenQingKuangMingXiZhaiQuanMingCheng" label="公司债券基本情况明细_债券名称" addr="T0R1C0S1_1" appId="_GBC_04aa2599cc3f4737a9847ed1ecf27fde">
          <m:axisValue occRef="企业债券"/>
        </m:item>
        <m:item xlName="_GBC_dfc2dcab15574a3291f8c0010aa7b55a" concept="clcid-cgi:GongSiZhaiQuanJiBenQingKuangMingXiJianCheng" label="公司债券基本情况明细_简称" addr="T0R1C1S1_1" appId="_GBC_04aa2599cc3f4737a9847ed1ecf27fde">
          <m:axisValue occRef="企业债券"/>
        </m:item>
        <m:item xlName="_GBC_89e3124b176045fdb859799af122300a" concept="clcid-cgi:GongSiZhaiQuanJiBenQingKuangMingXiDaiMa" label="公司债券基本情况明细_代码" addr="T0R1C2S1_1" appId="_GBC_04aa2599cc3f4737a9847ed1ecf27fde">
          <m:axisValue occRef="企业债券"/>
        </m:item>
        <m:item xlName="_GBC_ae5ca9386d5840128eddbbd0d374c5f8" concept="clcid-cgi:GongSiZhaiQuanJiBenQingKuangMingXiFaXingRi" label="公司债券基本情况明细_发行日" addr="T0R1C3S1_1" appId="_GBC_04aa2599cc3f4737a9847ed1ecf27fde" keyAction="38">
          <m:axisValue occRef="企业债券"/>
        </m:item>
        <m:item xlName="_GBC_4c427671c1e44275a737baf837f94be8" concept="clcid-cgi:GongSiZhaiQuanJiBenQingKuangMingXiQiXiRi" label="公司债券基本情况明细_起息日" addr="T0R1C4S1_1" appId="_GBC_04aa2599cc3f4737a9847ed1ecf27fde">
          <m:axisValue occRef="企业债券"/>
        </m:item>
        <m:item xlName="_GBC_72ff7125386347bbbec013aff89ee6fd" concept="clcid-cgi:GongSiZhaiQuanJiBenQingKuangMingXiDaoQiRi" label="公司债券基本情况明细_到期日" addr="T0R1C5S1_1" appId="_GBC_04aa2599cc3f4737a9847ed1ecf27fde" keyAction="38">
          <m:axisValue occRef="企业债券"/>
        </m:item>
        <m:item xlName="_GBC_38be0c79f777497b8108a898a43f5609" concept="clcid-cgi:GongSiZhaiQuanJiBenQingKuangMingXiZhaiQuanYuE" label="公司债券基本情况明细_债券余额" mulRef="_GBC_a3cdd6941a614ac9b8ef8e6e82910ad3" unitRef="_GBC_0f60ccef1d714c14bd9cdeb8b078d2bc" addr="T0R1C6S1_1" formatStyle="Comma" appId="_GBC_04aa2599cc3f4737a9847ed1ecf27fde">
          <m:axisValue occRef="企业债券"/>
        </m:item>
        <m:item xlName="_GBC_db3289bee18d4f66a7a3104a611df423" concept="clcid-cgi:GongSiZhaiQuanJiBenQingKuangMingXiLiLv" label="公司债券基本情况明细_利率" addr="T0R1C7S1_1" baseScale="0.01" formatStyle="Comma" appId="_GBC_04aa2599cc3f4737a9847ed1ecf27fde">
          <m:axisValue occRef="企业债券"/>
        </m:item>
        <m:item xlName="_GBC_f4b0a2ff4b9747799c9e451d68ab09fc" concept="clcid-cgi:GongSiZhaiQuanJiBenQingKuangMingXiHuanBenFuXiFangShi" label="公司债券基本情况明细_还本付息方式" addr="T0R1C8S1_1" appId="_GBC_04aa2599cc3f4737a9847ed1ecf27fde">
          <m:axisValue occRef="企业债券"/>
        </m:item>
        <m:item xlName="_GBC_202e548f056247a7af246a8a1d22a829" concept="clcid-cgi:GongSiZhaiQuanJiBenQingKuangMingXiJiaoYiChangSuo" label="公司债券基本情况明细_交易场所" addr="T0R1C9S1_1" appId="_GBC_04aa2599cc3f4737a9847ed1ecf27fde">
          <m:axisValue occRef="企业债券"/>
        </m:item>
        <m:item xlName="_GBC_cf75ec8ccfa64b89b8c4de863e18349f" concept="clcid-cgi:GongSiZhaiQuanJiBenQingKuangMingXiTouZiZheShiDangXingAnPai" label="公司债券基本情况明细_投资者适当性安排" addr="T0R1C10S1_1" appId="_GBC_04aa2599cc3f4737a9847ed1ecf27fde">
          <m:axisValue occRef="企业债券"/>
        </m:item>
        <m:item xlName="_GBC_69e893c64f1f42258834abf0a830193a" concept="clcid-cgi:GongSiZhaiQuanJiBenQingKuangMingXiJiaoYiJiZhi" label="公司债券基本情况明细_交易机制" addr="T0R1C11S1_1" appId="_GBC_04aa2599cc3f4737a9847ed1ecf27fde">
          <m:axisValue occRef="企业债券"/>
        </m:item>
        <m:item xlName="_GBC_21a5aa792f7847e68d0be384449fa29a" concept="clcid-cgi:GongSiZhaiQuanJiBenQingKuangMingXiShiFouCunZaiZhongZhiShangShiJiaoYiDeFengXian" label="公司债券基本情况明细_是否存在终止上市交易的风险 " selectOptions="_buildInYesNo" addr="T0R1C12S1_1" controlType="Combobox" appId="_GBC_04aa2599cc3f4737a9847ed1ecf27fde">
          <m:axisValue occRef="企业债券"/>
        </m:item>
      </m:tuple>
    </m:section>
    <m:section xlName="_SEC_6f6ba3b01d704363bef3f04e2cfe009e" title="公司对债券终止上市交易风险的应对措施" helpId="112500001">
      <m:item xlName="_GBC_182e58c8f04b4e01bc680712dce652c0" concept="clcid-ci-ar:ShiFouShiYongGongSiDuiZhaiQuanZhongZhiShangShiJiaoYiFengXianDeYingDuiCuoShi" label="是否适用：公司对债券终止上市交易风险的应对措施 " selectOptions="_buildInAppliance" controlType="CustomCheckbox" cRanges="[{&quot;StartName&quot;:&quot;_GBC_182e58c8f04b4e01bc680712dce652c0&quot;,&quot;EndName&quot;:&quot;_GBC_c9aff040e2ba4521b6e83678970b881a&quot;,&quot;CType&quot;:1}]">
        <m:axisValue occRef="企业债券"/>
      </m:item>
      <m:item xlName="_GBC_c9aff040e2ba4521b6e83678970b881a" concept="clcid-cgi:GongSiDuiZhaiQuanZhongZhiShangShiJiaoYiFengXianDeYingDuiCuoShi" label="公司对债券终止上市交易风险的应对措施 " appId="_GBC_182e58c8f04b4e01bc680712dce652c0">
        <m:axisValue occRef="企业债券"/>
      </m:item>
    </m:section>
    <m:section xlName="_SEC_b3837a98d3664b5ea712bb2f2d85b310" title="逾期未偿还债券" helpId="112500009">
      <m:item xlName="_GBC_d60655e1a3ba4356918e178f7182a203" concept="clcid-ci-ar:ShiFouShiYongYuQiWeiChangHuanZhaiQuan" label="是否适用：逾期未偿还债券" selectOptions="_buildInAppliance" controlType="CustomCheckbox" cRanges="[{&quot;StartName&quot;:&quot;_GBC_d60655e1a3ba4356918e178f7182a203&quot;,&quot;EndName&quot;:&quot;_GBC_8e403fd7797b44d4a4ef2081f51bb110&quot;,&quot;CType&quot;:1}]">
        <m:axisValue occRef="企业债券"/>
      </m:item>
      <m:item xlName="_GBC_ecc8d87119034ba292ac56d1ac7260a5" concept="clcid-ci-ar:DanWeiYuQiWeiChangHuanZhaiQuan" label="单位：逾期未偿还债券" selectOptions="_buildInScales" controlType="Combobox" cellType="Scale" appId="_GBC_d60655e1a3ba4356918e178f7182a203">
        <m:axisValue occRef="企业债券"/>
      </m:item>
      <m:item xlName="_GBC_ce9d994a5c2a4f4a854a34152aa7d975" concept="clcid-ci-ar:BiZhongYuQiWeiChangHuanZhaiQuan" label="币种：逾期未偿还债券" selectOptions="_buildInISO4217" controlType="Combobox" cellType="Measure" appId="_GBC_d60655e1a3ba4356918e178f7182a203">
        <m:axisValue occRef="企业债券"/>
      </m:item>
      <m:placeholder xlName="_PLD_70b0fb55b51246868919a6b510306911" addr="T0R0C0S1_1"/>
      <m:placeholder xlName="_PLD_e3144b81c60a400b9ce3cfcfabbb73ed" addr="T0R0C1S1_1"/>
      <m:placeholder xlName="_PLD_056524b0c7114bc486c115e50f51744c" addr="T0R0C2S1_1"/>
      <m:placeholder xlName="_PLD_4b9be18a7a8c45a7a0f09f9e1a3f9e82" addr="T0R0C3S1_1"/>
      <m:tuple xlName="_TUP_5d9afe3e76a2481fa43003344d338049" concept="clcid-cgi:YuQiWeiChangHuanZhaiQuan" default_row="2" addr="T0R1C">
        <m:item xlName="_GBC_f39b52d231484ab2af143c719c90766f" concept="clcid-cgi:YuQiWeiChangHuanZhaiQuanMingXiZhaiQuanMingCheng" label="逾期未偿还债券明细_债券名称" addr="T0R1C0S1_1" appId="_GBC_d60655e1a3ba4356918e178f7182a203">
          <m:axisValue occRef="企业债券"/>
        </m:item>
        <m:item xlName="_GBC_f4a49c98dc624e2ca62a2de4a557e4e3" concept="clcid-cgi:YuQiWeiChangHuanZhaiQuanMingXiWeiChangHuanYuE" label="逾期未偿还债券明细_未偿还余额" mulRef="_GBC_ecc8d87119034ba292ac56d1ac7260a5" unitRef="_GBC_ce9d994a5c2a4f4a854a34152aa7d975" addr="T0R1C1S1_1" formatStyle="Comma" appId="_GBC_d60655e1a3ba4356918e178f7182a203">
          <m:axisValue occRef="企业债券"/>
        </m:item>
        <m:item xlName="_GBC_7bc50b64c2ce4775a9a9e9aa2363452a" concept="clcid-cgi:YuQiWeiChangHuanZhaiQuanMingXiWeiAnQiChangHuanDeYuanYin" label="逾期未偿还债券明细_未按期偿还的原因" addr="T0R1C2S1_1" appId="_GBC_d60655e1a3ba4356918e178f7182a203">
          <m:axisValue occRef="企业债券"/>
        </m:item>
        <m:item xlName="_GBC_8e403fd7797b44d4a4ef2081f51bb110" concept="clcid-cgi:YuQiWeiChangHuanZhaiQuanMingXiChuZhiJinZhan" label="逾期未偿还债券明细_处置进展" addr="T0R1C3S1_1" appId="_GBC_d60655e1a3ba4356918e178f7182a203">
          <m:axisValue occRef="企业债券"/>
        </m:item>
      </m:tuple>
    </m:section>
    <m:section xlName="_SEC_0e3d2f9bcc80416e9afacdff85299dbf" title="关于逾期债项的说明" helpId="112500009">
      <m:item xlName="_GBC_e0590a0d07c2433981d75af8398c0586" concept="clcid-ci-ar:ShiFouShiYongGuanYuYuQiZhaiXiangDeShuoMing" label="是否适用：关于逾期债项的说明 " selectOptions="_buildInAppliance" controlType="CustomCheckbox" cRanges="[{&quot;StartName&quot;:&quot;_GBC_e0590a0d07c2433981d75af8398c0586&quot;,&quot;EndName&quot;:&quot;_GBC_39ece42599894fb58fb8e519f0910fc8&quot;,&quot;CType&quot;:1}]">
        <m:axisValue occRef="企业债券"/>
      </m:item>
      <m:item xlName="_GBC_39ece42599894fb58fb8e519f0910fc8" concept="clcid-cgi:GuanYuYuQiZhaiXiangDeShuoMing" label="关于逾期债项的说明" summaryGuid="_GBC_c9eed19c4e9b406c85ab9e57fc87d21c" appId="_GBC_e0590a0d07c2433981d75af8398c0586">
        <m:axisValue occRef="企业债券"/>
      </m:item>
    </m:section>
    <m:section xlName="_SEC_fd7a0dccbd7c4812be4270f60bae5c7b" title="企业债券 发行人或投资者选择权条款、投资者保护条款的触发和执行情况" helpId="110002105">
      <m:item xlName="_GBC_6a0970801b644e4680e9c86e4e11554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6a0970801b644e4680e9c86e4e115546&quot;,&quot;EndName&quot;:&quot;_GBC_596929e847104cc7a8292e091b712c60&quot;,&quot;CType&quot;:1}]">
        <m:axisValue occRef="企业债券"/>
      </m:item>
      <m:item xlName="_GBC_596929e847104cc7a8292e091b712c60" concept="clcid-cgi:FaXingRenHuoTouZiZheXuanZeQuanTiaoKuanTouZiZheBaoHuTiaoKuanDeChuFaHeZhiXingQingKuang" label="发行人或投资者选择权条款、投资者保护条款的触发和执行情况" appId="_GBC_6a0970801b644e4680e9c86e4e115546">
        <m:axisValue occRef="企业债券"/>
      </m:item>
    </m:section>
    <m:section xlName="_SEC_84ca243134164605a8e1c8d70b0af5ac" title="企业债券 信用评级结果调整情况" helpId="112500004">
      <m:item xlName="_GBC_22109ce8ee1148c4bceeb3eff16f1bf6" concept="clcid-ci-ar:ShiFouShiYongGongSiZhaiQuanPingJiQingKuang" label="是否适用：公司债券评级情况" selectOptions="_buildInAppliance" controlType="CustomCheckbox" cRanges="[{&quot;StartName&quot;:&quot;_GBC_22109ce8ee1148c4bceeb3eff16f1bf6&quot;,&quot;EndName&quot;:&quot;_GBC_31c39c7fdac145f5876fb658da3cd1de&quot;,&quot;CType&quot;:1}]">
        <m:axisValue occRef="企业债券"/>
      </m:item>
      <m:item xlName="_GBC_31c39c7fdac145f5876fb658da3cd1de" concept="clcid-cgi:GongSiZhaiQuanZiXinPingJiJiGouQingKuang" label="公司债券资信评级机构情况" appId="_GBC_22109ce8ee1148c4bceeb3eff16f1bf6">
        <m:axisValue occRef="企业债券"/>
      </m:item>
    </m:section>
    <m:section xlName="_SEC_c86bd88b9afb4d629e92f3d297720444" title="企业债券 担保情况、偿债计划及其他偿债保障措施在报告期内的执行和变化情况及其影响" helpId="110002106">
      <m:item xlName="_GBC_86299b239f974b6ca108b64a1d627160"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86299b239f974b6ca108b64a1d627160&quot;,&quot;EndName&quot;:&quot;_GBC_0581cb412b4147a1966133d3ed54c48f&quot;,&quot;CType&quot;:1}]">
        <m:axisValue occRef="企业债券"/>
      </m:item>
      <m:item xlName="_GBC_0581cb412b4147a1966133d3ed54c48f"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86299b239f974b6ca108b64a1d627160">
        <m:axisValue occRef="企业债券"/>
      </m:item>
    </m:section>
    <m:section xlName="_SEC_aef75d5356194d55918be6e3241b765f" title="企业债券其他情况的说明">
      <m:item xlName="_GBC_69d8cd0e5f4d4ca7ab6d9ab4816a2227" concept="clcid-ci-ar:ShiFouShiYongQiYeZhaiQuanQiTaQingKuangDeShuoMing" label="是否适用：企业债券其他情况的说明" selectOptions="_buildInAppliance" controlType="CustomCheckbox" cRanges="[{&quot;StartName&quot;:&quot;_GBC_69d8cd0e5f4d4ca7ab6d9ab4816a2227&quot;,&quot;EndName&quot;:&quot;_GBC_cc2bac2d96a1451e87fc9c5d28c00236&quot;,&quot;CType&quot;:1}]"/>
      <m:item xlName="_GBC_cc2bac2d96a1451e87fc9c5d28c00236" concept="clcid-cgi:QiYeZhaiQuanQiTaQingKuangDeShuoMing" label="企业债券其他情况的说明" appId="_GBC_69d8cd0e5f4d4ca7ab6d9ab4816a2227"/>
    </m:section>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3d3a55590cec43f4b069d2b58131a260&quot;,&quot;CType&quot;:1}]"/>
    <m:section xlName="_SEC_2b5575b46a6047aab03d4df828d6b6b1" title="公司债券基本情况" convertSummaryRule="NoConvert" helpId="112500001">
      <m:item xlName="_GBC_2b48d725e0684ff384608a27bd46609d" concept="clcid-ci-ar:DanWeiCaiWuFuZhuGongSiZhaiQuanJiBenQingKuang" label="单位：财务附注：公司债券基本情况" selectOptions="_buildInScales" controlType="Combobox" cellType="Scale" appId="_GBC_0aefba4fc6d84d32a7c7d372906dfb2e"/>
      <m:item xlName="_GBC_7ea5423512da451f87d5c19cec776e7e" concept="clcid-ci-ar:BiZhongCaiWuFuZhuGongSiZhaiQuanJiBenQingKuang" label="币种：财务附注：公司债券基本情况" selectOptions="_buildInISO4217" controlType="Combobox" cellType="Measure" appId="_GBC_0aefba4fc6d84d32a7c7d372906dfb2e"/>
      <m:placeholder xlName="_PLD_63a4a923e92b4cc5ac8e4e34be705f1b" addr="T0R0C0S1_1"/>
      <m:placeholder xlName="_PLD_a8a5b6138a0e4b44a36ef63e7f005363" addr="T0R0C1S1_1"/>
      <m:placeholder xlName="_PLD_b0a907cbfe004a81bd091c1ad20e8839" addr="T0R0C2S1_1"/>
      <m:placeholder xlName="_PLD_600a075e567f43f7bf4d58e3e627d5c2" addr="T0R0C3S1_1"/>
      <m:placeholder xlName="_PLD_84b7f1b1c90c4aebbdb8c9d64c02a367" addr="T0R0C4S1_1"/>
      <m:placeholder xlName="_PLD_0ecad9613bc548ff9f9b7e9216be8efc" addr="T0R0C5S1_1"/>
      <m:placeholder xlName="_PLD_168f8602ce174ad790d968271369c7dc" addr="T0R0C6S1_1"/>
      <m:placeholder xlName="_PLD_25bcdb8e907c4320977865304928d76b" addr="T0R0C7S1_1"/>
      <m:placeholder xlName="_PLD_2e22b72698904432b9d4b552484e42f6" addr="T0R0C8S1_1"/>
      <m:placeholder xlName="_PLD_390f37cdaa764f7ba1575719ef1cb559" addr="T0R0C9S1_1"/>
      <m:placeholder xlName="_PLD_7e374aff77b247eaa6fb543f941047f6" addr="T0R0C10S1_1"/>
      <m:placeholder xlName="_PLD_b3e1b1514529458381a5b7e035324170" addr="T0R0C11S1_1"/>
      <m:placeholder xlName="_PLD_30c49eb8bc304e64a8b4febd93f75f2f" addr="T0R0C12S1_1"/>
      <m:tuple xlName="_TUP_cf73f49aea024b528d9d1d1c7d7bb018" concept="clcid-cgi:GongSiZhaiQuanJiBenQingKuangMingXi" default_row="2" addr="T0R1C">
        <m:item xlName="_GBC_d51bfe4af9034677a067fa59518efcbd" concept="clcid-cgi:GongSiZhaiQuanJiBenQingKuangMingXiZhaiQuanMingCheng" label="公司债券基本情况明细_债券名称" addr="T0R1C0S1_1" appId="_GBC_0aefba4fc6d84d32a7c7d372906dfb2e"/>
        <m:item xlName="_GBC_8db12df89ae04acc955afe09c52bb884" concept="clcid-cgi:GongSiZhaiQuanJiBenQingKuangMingXiJianCheng" label="公司债券基本情况明细_简称" addr="T0R1C1S1_1" appId="_GBC_0aefba4fc6d84d32a7c7d372906dfb2e"/>
        <m:item xlName="_GBC_73cc178328314abc97bb4fda625e6e91" concept="clcid-cgi:GongSiZhaiQuanJiBenQingKuangMingXiDaiMa" label="公司债券基本情况明细_代码" addr="T0R1C2S1_1" appId="_GBC_0aefba4fc6d84d32a7c7d372906dfb2e"/>
        <m:item xlName="_GBC_ce41464449674b4b8550480d6268e5a9" concept="clcid-cgi:GongSiZhaiQuanJiBenQingKuangMingXiFaXingRi" label="公司债券基本情况明细_发行日" addr="T0R1C3S1_1" appId="_GBC_0aefba4fc6d84d32a7c7d372906dfb2e" keyAction="38"/>
        <m:item xlName="_GBC_651851affa8f4d589ecccea088af1c90" concept="clcid-cgi:GongSiZhaiQuanJiBenQingKuangMingXiQiXiRi" label="公司债券基本情况明细_起息日" addr="T0R1C4S1_1" appId="_GBC_0aefba4fc6d84d32a7c7d372906dfb2e"/>
        <m:item xlName="_GBC_569e84965e5d42129bce4dfd41fa5a44" concept="clcid-cgi:GongSiZhaiQuanJiBenQingKuangMingXiDaoQiRi" label="公司债券基本情况明细_到期日" addr="T0R1C5S1_1" appId="_GBC_0aefba4fc6d84d32a7c7d372906dfb2e" keyAction="38"/>
        <m:item xlName="_GBC_eec798450f554ed9a5abab82bfd48464" concept="clcid-cgi:GongSiZhaiQuanJiBenQingKuangMingXiZhaiQuanYuE" label="公司债券基本情况明细_债券余额" mulRef="_GBC_2b48d725e0684ff384608a27bd46609d" unitRef="_GBC_7ea5423512da451f87d5c19cec776e7e" addr="T0R1C6S1_1" formatStyle="Comma" appId="_GBC_0aefba4fc6d84d32a7c7d372906dfb2e"/>
        <m:item xlName="_GBC_c8411b80d8974f659035a6f8a30e01d2" concept="clcid-cgi:GongSiZhaiQuanJiBenQingKuangMingXiLiLv" label="公司债券基本情况明细_利率" addr="T0R1C7S1_1" baseScale="0.01" formatStyle="Comma" appId="_GBC_0aefba4fc6d84d32a7c7d372906dfb2e"/>
        <m:item xlName="_GBC_01332d185a5440c08f7306247dc10aa9" concept="clcid-cgi:GongSiZhaiQuanJiBenQingKuangMingXiHuanBenFuXiFangShi" label="公司债券基本情况明细_还本付息方式" addr="T0R1C8S1_1" appId="_GBC_0aefba4fc6d84d32a7c7d372906dfb2e"/>
        <m:item xlName="_GBC_d6a8df167c3e4d2fb2f28058d14774d5" concept="clcid-cgi:GongSiZhaiQuanJiBenQingKuangMingXiJiaoYiChangSuo" label="公司债券基本情况明细_交易场所" addr="T0R1C9S1_1" appId="_GBC_0aefba4fc6d84d32a7c7d372906dfb2e"/>
        <m:item xlName="_GBC_b916f5bb14044ef6929382531bfb5a8e" concept="clcid-cgi:GongSiZhaiQuanJiBenQingKuangMingXiTouZiZheShiDangXingAnPai" label="公司债券基本情况明细_投资者适当性安排" addr="T0R1C10S1_1" appId="_GBC_0aefba4fc6d84d32a7c7d372906dfb2e"/>
        <m:item xlName="_GBC_8d17ed695d904958abb6157c27239d0a" concept="clcid-cgi:GongSiZhaiQuanJiBenQingKuangMingXiJiaoYiJiZhi" label="公司债券基本情况明细_交易机制" addr="T0R1C11S1_1" appId="_GBC_0aefba4fc6d84d32a7c7d372906dfb2e"/>
        <m:item xlName="_GBC_e69e301c74de4e9e8910b0a231eacd2a" concept="clcid-cgi:GongSiZhaiQuanJiBenQingKuangMingXiShiFouCunZaiZhongZhiShangShiJiaoYiDeFengXian" label="公司债券基本情况明细_是否存在终止上市交易的风险 " selectOptions="_buildInYesNo" addr="T0R1C12S1_1" controlType="Combobox" appId="_GBC_0aefba4fc6d84d32a7c7d372906dfb2e"/>
      </m:tuple>
    </m:section>
    <m:section xlName="_SEC_1c91d1b9910148cea10126f2586e3b0d" title="公司对债券终止上市交易风险的应对措施" helpId="112500001">
      <m:item xlName="_GBC_878a9003348d4ba3aee8757f4a9f88c6" concept="clcid-ci-ar:ShiFouShiYongGongSiDuiZhaiQuanZhongZhiShangShiJiaoYiFengXianDeYingDuiCuoShi" label="是否适用：公司对债券终止上市交易风险的应对措施 " selectOptions="_buildInAppliance" controlType="CustomCheckbox" cRanges="[{&quot;StartName&quot;:&quot;_GBC_878a9003348d4ba3aee8757f4a9f88c6&quot;,&quot;EndName&quot;:&quot;_GBC_bdc6ca021b7b4ab1b245ea5fac17c39c&quot;,&quot;CType&quot;:1}]"/>
      <m:item xlName="_GBC_bdc6ca021b7b4ab1b245ea5fac17c39c" concept="clcid-cgi:GongSiDuiZhaiQuanZhongZhiShangShiJiaoYiFengXianDeYingDuiCuoShi" label="公司对债券终止上市交易风险的应对措施 " appId="_GBC_878a9003348d4ba3aee8757f4a9f88c6"/>
    </m:section>
    <m:section xlName="_SEC_4cd3d85c8eea4369b33297664919fd5b" title="逾期未偿还债券" helpId="112500009">
      <m:item xlName="_GBC_bedb50df21ad4a46bc06b7be8d40bef0" concept="clcid-ci-ar:ShiFouShiYongYuQiWeiChangHuanZhaiQuan" label="是否适用：逾期未偿还债券" selectOptions="_buildInAppliance" controlType="CustomCheckbox" cRanges="[{&quot;StartName&quot;:&quot;_GBC_bedb50df21ad4a46bc06b7be8d40bef0&quot;,&quot;EndName&quot;:&quot;_GBC_c4f213fd3cb84ed9b80b57887aa23f60&quot;,&quot;CType&quot;:1}]"/>
      <m:item xlName="_GBC_4d7760eaa21b401785faad5474e2dfd9" concept="clcid-ci-ar:DanWeiYuQiWeiChangHuanZhaiQuan" label="单位：逾期未偿还债券" selectOptions="_buildInScales" controlType="Combobox" cellType="Scale" appId="_GBC_bedb50df21ad4a46bc06b7be8d40bef0"/>
      <m:item xlName="_GBC_2952116014a844d8a237accd8f5329e1" concept="clcid-ci-ar:BiZhongYuQiWeiChangHuanZhaiQuan" label="币种：逾期未偿还债券" selectOptions="_buildInISO4217" controlType="Combobox" cellType="Measure" appId="_GBC_bedb50df21ad4a46bc06b7be8d40bef0"/>
      <m:placeholder xlName="_PLD_162b0d26e61c4cf2883a6d2aca5929df" addr="T0R0C0S1_1"/>
      <m:placeholder xlName="_PLD_521de51da23345258831f5ad8f82c540" addr="T0R0C1S1_1"/>
      <m:placeholder xlName="_PLD_52d1be3a8274418cb15e4d7e3da3fcdf" addr="T0R0C2S1_1"/>
      <m:placeholder xlName="_PLD_2ca01699c05c4105abaed54305a57bf1" addr="T0R0C3S1_1"/>
      <m:tuple xlName="_TUP_26ddf0de68d248f391c61faa60b3c8ff" concept="clcid-cgi:YuQiWeiChangHuanZhaiQuan" default_row="2" addr="T0R1C">
        <m:item xlName="_GBC_26924c478a864b44b829b495f23e1328" concept="clcid-cgi:YuQiWeiChangHuanZhaiQuanMingXiZhaiQuanMingCheng" label="逾期未偿还债券明细_债券名称" addr="T0R1C0S1_1" appId="_GBC_bedb50df21ad4a46bc06b7be8d40bef0"/>
        <m:item xlName="_GBC_9127822df8c948b3803aaf100422a414" concept="clcid-cgi:YuQiWeiChangHuanZhaiQuanMingXiWeiChangHuanYuE" label="逾期未偿还债券明细_未偿还余额" mulRef="_GBC_4d7760eaa21b401785faad5474e2dfd9" unitRef="_GBC_2952116014a844d8a237accd8f5329e1" addr="T0R1C1S1_1" formatStyle="Comma" appId="_GBC_bedb50df21ad4a46bc06b7be8d40bef0"/>
        <m:item xlName="_GBC_d64923eb392540789224af7db0ae1035" concept="clcid-cgi:YuQiWeiChangHuanZhaiQuanMingXiWeiAnQiChangHuanDeYuanYin" label="逾期未偿还债券明细_未按期偿还的原因" addr="T0R1C2S1_1" appId="_GBC_bedb50df21ad4a46bc06b7be8d40bef0"/>
        <m:item xlName="_GBC_c4f213fd3cb84ed9b80b57887aa23f60" concept="clcid-cgi:YuQiWeiChangHuanZhaiQuanMingXiChuZhiJinZhan" label="逾期未偿还债券明细_处置进展" addr="T0R1C3S1_1" appId="_GBC_bedb50df21ad4a46bc06b7be8d40bef0"/>
      </m:tuple>
    </m:section>
    <m:section xlName="_SEC_f9e57a65bb6d43a8b9accff3f347fde1" title="关于逾期债项的说明" helpId="112500009">
      <m:item xlName="_GBC_cab132349665466794fd5031e5662ccc" concept="clcid-ci-ar:ShiFouShiYongGuanYuYuQiZhaiXiangDeShuoMing" label="是否适用：关于逾期债项的说明 " selectOptions="_buildInAppliance" controlType="CustomCheckbox" cRanges="[{&quot;StartName&quot;:&quot;_GBC_cab132349665466794fd5031e5662ccc&quot;,&quot;EndName&quot;:&quot;_GBC_176595d8c79747bdb5f6fabae6f0d810&quot;,&quot;CType&quot;:1}]"/>
      <m:item xlName="_GBC_176595d8c79747bdb5f6fabae6f0d810" concept="clcid-cgi:GuanYuYuQiZhaiXiangDeShuoMing" label="关于逾期债项的说明" summaryGuid="_GBC_c9eed19c4e9b406c85ab9e57fc87d21c" appId="_GBC_cab132349665466794fd5031e5662ccc"/>
    </m:section>
    <m:section xlName="_SEC_5440f0f10a104279ac7b056b169f41b2" title="发行人或投资者选择权条款、投资者保护条款的触发和执行情况" helpId="110002105">
      <m:item xlName="_GBC_074c88b3a1ff4bca9f59893a3a0b9b9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074c88b3a1ff4bca9f59893a3a0b9b96&quot;,&quot;EndName&quot;:&quot;_GBC_f52e5ae938314208896b8c208421d285&quot;,&quot;CType&quot;:1}]"/>
      <m:item xlName="_GBC_f52e5ae938314208896b8c208421d285" concept="clcid-cgi:FaXingRenHuoTouZiZheXuanZeQuanTiaoKuanTouZiZheBaoHuTiaoKuanDeChuFaHeZhiXingQingKuang" label="发行人或投资者选择权条款、投资者保护条款的触发和执行情况" appId="_GBC_074c88b3a1ff4bca9f59893a3a0b9b96"/>
    </m:section>
    <m:section xlName="_SEC_a4e8ed512587475dac5c8f310866f20f" title="信用评级结果调整情况" helpId="112500004">
      <m:item xlName="_GBC_688e67c30fa74cd1a1253dbef1c9d86c" concept="clcid-ci-ar:ShiFouShiYongGongSiZhaiQuanPingJiQingKuang" label="是否适用：公司债券评级情况" selectOptions="_buildInAppliance" controlType="CustomCheckbox" cRanges="[{&quot;StartName&quot;:&quot;_GBC_688e67c30fa74cd1a1253dbef1c9d86c&quot;,&quot;EndName&quot;:&quot;_GBC_ed58583b066e4333ab650857e558819c&quot;,&quot;CType&quot;:1}]"/>
      <m:item xlName="_GBC_ed58583b066e4333ab650857e558819c" concept="clcid-cgi:GongSiZhaiQuanZiXinPingJiJiGouQingKuang" label="公司债券资信评级机构情况" appId="_GBC_688e67c30fa74cd1a1253dbef1c9d86c"/>
    </m:section>
    <m:section xlName="_SEC_d30ab5990b564744843c202b11ffbdc0" title="担保情况、偿债计划及其他偿债保障措施在报告期内的执行和变化情况及其影响" helpId="110002106">
      <m:item xlName="_GBC_293573d47c6e4c61b86658b6f0f50586"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293573d47c6e4c61b86658b6f0f50586&quot;,&quot;EndName&quot;:&quot;_GBC_3467608cf5344ff7a575108be2028c1f&quot;,&quot;CType&quot;:1}]"/>
      <m:item xlName="_GBC_3467608cf5344ff7a575108be2028c1f"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293573d47c6e4c61b86658b6f0f50586"/>
    </m:section>
    <m:section xlName="_SEC_3d3a55590cec43f4b069d2b58131a260" title="公司债券其他情况的说明">
      <m:item xlName="_GBC_ef95b34048e34fed9d01af61038fd106" concept="clcid-ci-ar:ShiFouShiYongGongSiZhaiQuanQiTaQingKuangDeShuoMing" label="是否适用：公司债券其他情况的说明" selectOptions="_buildInAppliance" controlType="CustomCheckbox" cRanges="[{&quot;StartName&quot;:&quot;_GBC_ef95b34048e34fed9d01af61038fd106&quot;,&quot;EndName&quot;:&quot;_GBC_71bfeb75c4bf4700b0c94563d5fe5504&quot;,&quot;CType&quot;:1}]"/>
      <m:item xlName="_GBC_71bfeb75c4bf4700b0c94563d5fe5504" concept="clcid-cgi:GongSiZhaiQuanQiTaQingKuangDeShuoMing" label="公司债券其他情况的说明" appId="_GBC_ef95b34048e34fed9d01af61038fd106"/>
    </m:section>
    <m:item xlName="_GBC_630a382c3b49436dbffd3fbab3b8f500" concept="clcid-ci-ar:ShiFouShiYongYinXingJianZhaiQuanShiChangFeiJinRongQiYeZhaiWuRongZiGongJuXiangGuanQingKuang" label="是否适用：银行间债券市场非金融企业债务融资工具相关情况" selectOptions="_buildInAppliance" controlType="CustomCheckbox" cRanges="[{&quot;StartName&quot;:&quot;_GBC_630a382c3b49436dbffd3fbab3b8f500&quot;,&quot;EndName&quot;:&quot;_SEC_72da7ff25de247d28a958c0c936add98&quot;,&quot;CType&quot;:1}]">
      <m:axisValue occRef="非金融企业债务融资工具"/>
    </m:item>
    <m:section xlName="_SEC_a2f05b35a5204a7888f79d9278f578d2" title="非金融企业债务融资工具基本情况" convertSummaryRule="NoConvert" helpId="112500001">
      <m:item xlName="_GBC_d2eba947fc1e41b690de948c94178af9" concept="clcid-ci-ar:DanWeiCaiWuFuZhuGongSiZhaiQuanJiBenQingKuang" label="单位：财务附注：公司债券基本情况" selectOptions="_buildInScales" controlType="Combobox" cellType="Scale" appId="_GBC_630a382c3b49436dbffd3fbab3b8f500">
        <m:axisValue occRef="非金融企业债务融资工具"/>
      </m:item>
      <m:item xlName="_GBC_b474624c0a0f41dba4550424c43a6610" concept="clcid-ci-ar:BiZhongCaiWuFuZhuGongSiZhaiQuanJiBenQingKuang" label="币种：财务附注：公司债券基本情况" selectOptions="_buildInISO4217" controlType="Combobox" cellType="Measure" appId="_GBC_630a382c3b49436dbffd3fbab3b8f500">
        <m:axisValue occRef="非金融企业债务融资工具"/>
      </m:item>
      <m:placeholder xlName="_PLD_84c8341323fe49ea8fc4ebbf140ab49d" addr="T0R0C0S1_1"/>
      <m:placeholder xlName="_PLD_341d2049eec04d4192854542ad368fef" addr="T0R0C1S1_1"/>
      <m:placeholder xlName="_PLD_b468ecb4a91547d7a161f492a881b771" addr="T0R0C2S1_1"/>
      <m:placeholder xlName="_PLD_5fb50518b5a2479892b329d9d29e87e8" addr="T0R0C3S1_1"/>
      <m:placeholder xlName="_PLD_50e5261b36404b059dceb17b1227008a" addr="T0R0C4S1_1"/>
      <m:placeholder xlName="_PLD_03e50e0071724e0eba9f10b4f2d7ea9b" addr="T0R0C5S1_1"/>
      <m:placeholder xlName="_PLD_b97897ae8f134b6daf1ea349136b3351" addr="T0R0C6S1_1"/>
      <m:placeholder xlName="_PLD_66bfaf4930ae4a009411fa2ea7076926" addr="T0R0C7S1_1"/>
      <m:placeholder xlName="_PLD_a2ddeefe3db34a37b52215217ccb1498" addr="T0R0C8S1_1"/>
      <m:placeholder xlName="_PLD_f162f3a66c364fec8b68b508dd65038d" addr="T0R0C9S1_1"/>
      <m:placeholder xlName="_PLD_902408fb6a8c46eea5b8ab2b0313e719" addr="T0R0C10S1_1"/>
      <m:placeholder xlName="_PLD_15919084a8bf4b8d90fa43e605f9007e" addr="T0R0C11S1_1"/>
      <m:placeholder xlName="_PLD_78fb5c313db34f5fa1b9a59c169227da" addr="T0R0C12S1_1"/>
      <m:tuple xlName="_TUP_8176e4f396c2453cae7d91ab575eed70" concept="clcid-cgi:GongSiZhaiQuanJiBenQingKuangMingXi" default_row="2" addr="T0R1C">
        <m:item xlName="_GBC_77e731fc3a0249b9a9464f3ae0d55247" concept="clcid-cgi:GongSiZhaiQuanJiBenQingKuangMingXiZhaiQuanMingCheng" label="公司债券基本情况明细_债券名称" addr="T0R1C0S1_1" appId="_GBC_630a382c3b49436dbffd3fbab3b8f500">
          <m:axisValue occRef="非金融企业债务融资工具"/>
        </m:item>
        <m:item xlName="_GBC_62f33140a05e47f9b2ddc92308dde4a7" concept="clcid-cgi:GongSiZhaiQuanJiBenQingKuangMingXiJianCheng" label="公司债券基本情况明细_简称" addr="T0R1C1S1_1" appId="_GBC_630a382c3b49436dbffd3fbab3b8f500">
          <m:axisValue occRef="非金融企业债务融资工具"/>
        </m:item>
        <m:item xlName="_GBC_10e9d07fd74042f4958221a3b3b1b2f3" concept="clcid-cgi:GongSiZhaiQuanJiBenQingKuangMingXiDaiMa" label="公司债券基本情况明细_代码" addr="T0R1C2S1_1" appId="_GBC_630a382c3b49436dbffd3fbab3b8f500">
          <m:axisValue occRef="非金融企业债务融资工具"/>
        </m:item>
        <m:item xlName="_GBC_198d4188863a44f1865f3e1884d20ac4" concept="clcid-cgi:GongSiZhaiQuanJiBenQingKuangMingXiFaXingRi" label="公司债券基本情况明细_发行日" addr="T0R1C3S1_1" appId="_GBC_630a382c3b49436dbffd3fbab3b8f500" keyAction="38">
          <m:axisValue occRef="非金融企业债务融资工具"/>
        </m:item>
        <m:item xlName="_GBC_da1d2f0838234d8ca78ceb70fe6ddfdf" concept="clcid-cgi:GongSiZhaiQuanJiBenQingKuangMingXiQiXiRi" label="公司债券基本情况明细_起息日" addr="T0R1C4S1_1" appId="_GBC_630a382c3b49436dbffd3fbab3b8f500">
          <m:axisValue occRef="非金融企业债务融资工具"/>
        </m:item>
        <m:item xlName="_GBC_48d45ecee4104f32a00e3025ac91d71e" concept="clcid-cgi:GongSiZhaiQuanJiBenQingKuangMingXiDaoQiRi" label="公司债券基本情况明细_到期日" addr="T0R1C5S1_1" appId="_GBC_630a382c3b49436dbffd3fbab3b8f500" keyAction="38">
          <m:axisValue occRef="非金融企业债务融资工具"/>
        </m:item>
        <m:item xlName="_GBC_7e31d560b6f44ee097c16091e7b522e1" concept="clcid-cgi:GongSiZhaiQuanJiBenQingKuangMingXiZhaiQuanYuE" label="公司债券基本情况明细_债券余额" mulRef="_GBC_d2eba947fc1e41b690de948c94178af9" unitRef="_GBC_b474624c0a0f41dba4550424c43a6610" addr="T0R1C6S1_1" formatStyle="Comma" appId="_GBC_630a382c3b49436dbffd3fbab3b8f500">
          <m:axisValue occRef="非金融企业债务融资工具"/>
        </m:item>
        <m:item xlName="_GBC_eeea64681c56437883a0960fdc6c79aa" concept="clcid-cgi:GongSiZhaiQuanJiBenQingKuangMingXiLiLv" label="公司债券基本情况明细_利率" addr="T0R1C7S1_1" baseScale="0.01" formatStyle="Comma" appId="_GBC_630a382c3b49436dbffd3fbab3b8f500">
          <m:axisValue occRef="非金融企业债务融资工具"/>
        </m:item>
        <m:item xlName="_GBC_6d223b0a69e242c18aeeae226b2ec0cc" concept="clcid-cgi:GongSiZhaiQuanJiBenQingKuangMingXiHuanBenFuXiFangShi" label="公司债券基本情况明细_还本付息方式" addr="T0R1C8S1_1" appId="_GBC_630a382c3b49436dbffd3fbab3b8f500">
          <m:axisValue occRef="非金融企业债务融资工具"/>
        </m:item>
        <m:item xlName="_GBC_6e6b770570a149bd93c2806ca0be46af" concept="clcid-cgi:GongSiZhaiQuanJiBenQingKuangMingXiJiaoYiChangSuo" label="公司债券基本情况明细_交易场所" addr="T0R1C9S1_1" appId="_GBC_630a382c3b49436dbffd3fbab3b8f500">
          <m:axisValue occRef="非金融企业债务融资工具"/>
        </m:item>
        <m:item xlName="_GBC_cda51e84842147cca8812a82d1225126" concept="clcid-cgi:GongSiZhaiQuanJiBenQingKuangMingXiTouZiZheShiDangXingAnPai" label="公司债券基本情况明细_投资者适当性安排" addr="T0R1C10S1_1" appId="_GBC_630a382c3b49436dbffd3fbab3b8f500">
          <m:axisValue occRef="非金融企业债务融资工具"/>
        </m:item>
        <m:item xlName="_GBC_3613d129850445699f2d58af74d8a7db" concept="clcid-cgi:GongSiZhaiQuanJiBenQingKuangMingXiJiaoYiJiZhi" label="公司债券基本情况明细_交易机制" addr="T0R1C11S1_1" appId="_GBC_630a382c3b49436dbffd3fbab3b8f500">
          <m:axisValue occRef="非金融企业债务融资工具"/>
        </m:item>
        <m:item xlName="_GBC_ada546533b7147a19d6081ddfed6fbf1" concept="clcid-cgi:GongSiZhaiQuanJiBenQingKuangMingXiShiFouCunZaiZhongZhiShangShiJiaoYiDeFengXian" label="公司债券基本情况明细_是否存在终止上市交易的风险 " selectOptions="_buildInYesNo" addr="T0R1C12S1_1" controlType="Combobox" appId="_GBC_630a382c3b49436dbffd3fbab3b8f500">
          <m:axisValue occRef="非金融企业债务融资工具"/>
        </m:item>
      </m:tuple>
    </m:section>
    <m:section xlName="_SEC_a1c729a7454a4175bd4a3748a046c76c" title="非金融企业债务融资工具 公司对债券终止上市交易风险的应对措施" helpId="112500001">
      <m:item xlName="_GBC_0f16f25b2a1f4fe28e9f414e05a2a462" concept="clcid-ci-ar:ShiFouShiYongGongSiDuiZhaiQuanZhongZhiShangShiJiaoYiFengXianDeYingDuiCuoShi" label="是否适用：公司对债券终止上市交易风险的应对措施 " selectOptions="_buildInAppliance" controlType="CustomCheckbox" cRanges="[{&quot;StartName&quot;:&quot;_GBC_0f16f25b2a1f4fe28e9f414e05a2a462&quot;,&quot;EndName&quot;:&quot;_GBC_314697f6134f409fa3f7f84da9782f38&quot;,&quot;CType&quot;:1}]">
        <m:axisValue occRef="非金融企业债务融资工具"/>
      </m:item>
      <m:item xlName="_GBC_314697f6134f409fa3f7f84da9782f38" concept="clcid-cgi:GongSiDuiZhaiQuanZhongZhiShangShiJiaoYiFengXianDeYingDuiCuoShi" label="公司对债券终止上市交易风险的应对措施 " appId="_GBC_0f16f25b2a1f4fe28e9f414e05a2a462">
        <m:axisValue occRef="非金融企业债务融资工具"/>
      </m:item>
    </m:section>
    <m:section xlName="_SEC_3f1ecd55df674853b08a271545ffcae9" title="非金融企业债务融资工具逾期未偿还债券" helpId="112500009">
      <m:item xlName="_GBC_c5153d6bfb924f5ab32dc42c13d371ef" concept="clcid-ci-ar:ShiFouShiYongYuQiWeiChangHuanZhaiQuan" label="是否适用：逾期未偿还债券" selectOptions="_buildInAppliance" controlType="CustomCheckbox" cRanges="[{&quot;StartName&quot;:&quot;_GBC_c5153d6bfb924f5ab32dc42c13d371ef&quot;,&quot;EndName&quot;:&quot;_GBC_0b0eac5f3b8c449e91ae59c4689c8be3&quot;,&quot;CType&quot;:1}]">
        <m:axisValue occRef="非金融企业债务融资工具"/>
      </m:item>
      <m:item xlName="_GBC_cc0db92029f844309ef20acaa49ab8f0" concept="clcid-ci-ar:DanWeiYuQiWeiChangHuanZhaiQuan" label="单位：逾期未偿还债券" selectOptions="_buildInScales" controlType="Combobox" cellType="Scale" appId="_GBC_c5153d6bfb924f5ab32dc42c13d371ef">
        <m:axisValue occRef="非金融企业债务融资工具"/>
      </m:item>
      <m:item xlName="_GBC_e2b3184a886048da8abb19fa25f52e54" concept="clcid-ci-ar:BiZhongYuQiWeiChangHuanZhaiQuan" label="币种：逾期未偿还债券" selectOptions="_buildInISO4217" controlType="Combobox" cellType="Measure" appId="_GBC_c5153d6bfb924f5ab32dc42c13d371ef">
        <m:axisValue occRef="非金融企业债务融资工具"/>
      </m:item>
      <m:placeholder xlName="_PLD_6f4ad86cbcb2482e903658c58b7331e7" addr="T0R0C0S1_1"/>
      <m:placeholder xlName="_PLD_739387a5ede945c3b939bb355d06ac85" addr="T0R0C1S1_1"/>
      <m:placeholder xlName="_PLD_d6f1f6eb403442069674ae28fc655a65" addr="T0R0C2S1_1"/>
      <m:placeholder xlName="_PLD_4f6c5904b0b3458a80d5e7181c23ae50" addr="T0R0C3S1_1"/>
      <m:tuple xlName="_TUP_d4609e9085e0424fa006741e6eccf2e5" concept="clcid-cgi:YuQiWeiChangHuanZhaiQuan" default_row="2" addr="T0R1C">
        <m:item xlName="_GBC_7eaa9aa44c2b41bca779cdc8e2f6ea75" concept="clcid-cgi:YuQiWeiChangHuanZhaiQuanMingXiZhaiQuanMingCheng" label="逾期未偿还债券明细_债券名称" addr="T0R1C0S1_1" appId="_GBC_c5153d6bfb924f5ab32dc42c13d371ef">
          <m:axisValue occRef="非金融企业债务融资工具"/>
        </m:item>
        <m:item xlName="_GBC_823ee29c78504fc289722996a13177a3" concept="clcid-cgi:YuQiWeiChangHuanZhaiQuanMingXiWeiChangHuanYuE" label="逾期未偿还债券明细_未偿还余额" mulRef="_GBC_cc0db92029f844309ef20acaa49ab8f0" unitRef="_GBC_e2b3184a886048da8abb19fa25f52e54" addr="T0R1C1S1_1" formatStyle="Comma" appId="_GBC_c5153d6bfb924f5ab32dc42c13d371ef">
          <m:axisValue occRef="非金融企业债务融资工具"/>
        </m:item>
        <m:item xlName="_GBC_df8ce81de426495dad650ab7055b165b" concept="clcid-cgi:YuQiWeiChangHuanZhaiQuanMingXiWeiAnQiChangHuanDeYuanYin" label="逾期未偿还债券明细_未按期偿还的原因" addr="T0R1C2S1_1" appId="_GBC_c5153d6bfb924f5ab32dc42c13d371ef">
          <m:axisValue occRef="非金融企业债务融资工具"/>
        </m:item>
        <m:item xlName="_GBC_0b0eac5f3b8c449e91ae59c4689c8be3" concept="clcid-cgi:YuQiWeiChangHuanZhaiQuanMingXiChuZhiJinZhan" label="逾期未偿还债券明细_处置进展" addr="T0R1C3S1_1" appId="_GBC_c5153d6bfb924f5ab32dc42c13d371ef">
          <m:axisValue occRef="非金融企业债务融资工具"/>
        </m:item>
      </m:tuple>
    </m:section>
    <m:section xlName="_SEC_78ddea24989947da8d8a5f9377510388" title="非金融企业债务融资工具关于逾期债项的说明" helpId="112500009">
      <m:item xlName="_GBC_960388905c1d4fb7b5f5e8b29e2b76f3" concept="clcid-ci-ar:ShiFouShiYongGuanYuYuQiZhaiXiangDeShuoMing" label="是否适用：关于逾期债项的说明 " selectOptions="_buildInAppliance" controlType="CustomCheckbox" cRanges="[{&quot;StartName&quot;:&quot;_GBC_960388905c1d4fb7b5f5e8b29e2b76f3&quot;,&quot;EndName&quot;:&quot;_GBC_f4bb2699582c40e2b9cd86e70af8f219&quot;,&quot;CType&quot;:1}]">
        <m:axisValue occRef="非金融企业债务融资工具"/>
      </m:item>
      <m:item xlName="_GBC_f4bb2699582c40e2b9cd86e70af8f219" concept="clcid-cgi:GuanYuYuQiZhaiXiangDeShuoMing" label="关于逾期债项的说明" summaryGuid="_GBC_c9eed19c4e9b406c85ab9e57fc87d21c" appId="_GBC_960388905c1d4fb7b5f5e8b29e2b76f3">
        <m:axisValue occRef="非金融企业债务融资工具"/>
      </m:item>
    </m:section>
    <m:section xlName="_SEC_b87e14954dc84658b521003c28d1ec1c" title="非金融企业债务融资工具发行人或投资者选择权条款、投资者保护条款的触发和执行情况" helpId="110002105">
      <m:item xlName="_GBC_5d8d59c39552404184fd2aab841b8903"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5d8d59c39552404184fd2aab841b8903&quot;,&quot;EndName&quot;:&quot;_GBC_4538a9a04cab40608293f00a231d6ad8&quot;,&quot;CType&quot;:1}]">
        <m:axisValue occRef="非金融企业债务融资工具"/>
      </m:item>
      <m:item xlName="_GBC_4538a9a04cab40608293f00a231d6ad8" concept="clcid-cgi:FaXingRenHuoTouZiZheXuanZeQuanTiaoKuanTouZiZheBaoHuTiaoKuanDeChuFaHeZhiXingQingKuang" label="发行人或投资者选择权条款、投资者保护条款的触发和执行情况" appId="_GBC_5d8d59c39552404184fd2aab841b8903">
        <m:axisValue occRef="非金融企业债务融资工具"/>
      </m:item>
    </m:section>
    <m:section xlName="_SEC_cb63a2135d2040988fcaf60ef0328dc4" title="非金融企业债务融资工具信用评级结果调整情况" helpId="112500004">
      <m:item xlName="_GBC_4798112221124f4394c6924c4840fb34" concept="clcid-ci-ar:ShiFouShiYongGongSiZhaiQuanPingJiQingKuang" label="是否适用：公司债券评级情况" selectOptions="_buildInAppliance" controlType="CustomCheckbox" cRanges="[{&quot;StartName&quot;:&quot;_GBC_4798112221124f4394c6924c4840fb34&quot;,&quot;EndName&quot;:&quot;_GBC_b2642697c13145a9ad6c296edcc9559c&quot;,&quot;CType&quot;:1}]">
        <m:axisValue occRef="非金融企业债务融资工具"/>
      </m:item>
      <m:item xlName="_GBC_b2642697c13145a9ad6c296edcc9559c" concept="clcid-cgi:GongSiZhaiQuanZiXinPingJiJiGouQingKuang" label="公司债券资信评级机构情况" appId="_GBC_4798112221124f4394c6924c4840fb34">
        <m:axisValue occRef="非金融企业债务融资工具"/>
      </m:item>
    </m:section>
    <m:section xlName="_SEC_82d33dc95303429b91673e80b78063b8" title="非金融企业债务融资工具担保情况、偿债计划及其他偿债保障措施在报告期内的执行和变化情况及其影响" helpId="110002106">
      <m:item xlName="_GBC_276ae58fd8604663b39f92240821c760"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276ae58fd8604663b39f92240821c760&quot;,&quot;EndName&quot;:&quot;_GBC_5d7763d92b444184a1979616014c3856&quot;,&quot;CType&quot;:1}]">
        <m:axisValue occRef="非金融企业债务融资工具"/>
      </m:item>
      <m:item xlName="_GBC_5d7763d92b444184a1979616014c3856"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276ae58fd8604663b39f92240821c760">
        <m:axisValue occRef="非金融企业债务融资工具"/>
      </m:item>
    </m:section>
    <m:section xlName="_SEC_72da7ff25de247d28a958c0c936add98" title="非金融企业债务融资工具其他情况的说明">
      <m:item xlName="_GBC_387954b2c1fe4cf282c81a2d57caa2fd" concept="clcid-ci-ar:ShiFouShiYongFeiJinRongQiYeZhaiWuRongZiGongJuQiTaQingKuangDeShuoMing" label="是否适用：非金融企业债务融资工具其他情况的说明" selectOptions="_buildInAppliance" controlType="CustomCheckbox" cRanges="[{&quot;StartName&quot;:&quot;_GBC_387954b2c1fe4cf282c81a2d57caa2fd&quot;,&quot;EndName&quot;:&quot;_GBC_78d5382ae51e46ee9c1112038c1aeb96&quot;,&quot;CType&quot;:1}]"/>
      <m:item xlName="_GBC_78d5382ae51e46ee9c1112038c1aeb96" concept="clcid-cgi:FeiJinRongQiYeZhaiWuRongZiGongJuQiTaQingKuangDeShuoMing" label="非金融企业债务融资工具其他情况的说明" appId="_GBC_387954b2c1fe4cf282c81a2d57caa2fd"/>
    </m:section>
    <m:section xlName="_SEC_04b21011d0374366b00fbe107d3cfd40" title="公司报告期内合并报表范围亏损超过上年末净资产10%" helpId="110002107">
      <m:item xlName="_GBC_38df33b2f3ea44978d6b9431700077e9" concept="clcid-ci-ar:ShiFouShiYongGongSiBaoGaoQiNeiHeBingBaoBiaoFanWeiKuiSunChaoGuoShangNianMoJingZiChanBaiFenZhiShi" label="是否适用：公司报告期内合并报表范围亏损超过上年末净资产10% " selectOptions="_buildInAppliance" controlType="CustomCheckbox" cRanges="[{&quot;StartName&quot;:&quot;_GBC_38df33b2f3ea44978d6b9431700077e9&quot;,&quot;EndName&quot;:&quot;_GBC_c657cd36952c4e188e479d08e8cd1021&quot;,&quot;CType&quot;:1}]"/>
      <m:placeholder xlName="_PLD_6a166cd20af3474b967f483af364d27f" addr="T0R0C0S1_1"/>
      <m:item xlName="_GBC_5a8622956f6f40449dfcde70a3ff88f4" concept="clcid-cgi:GongSiBaoGaoQiNeiHeBingBaoBiaoFanWeiKuiSunQingKuang" label="公司报告期内合并报表范围亏损情况" addr="T0R0C1S1_1" tagAction="1" appId="_GBC_38df33b2f3ea44978d6b9431700077e9"/>
      <m:placeholder xlName="_PLD_2b1090b672d84d618a1cb38b19a27c48" addr="T0R1C0S1_1"/>
      <m:item xlName="_GBC_10197c26dea8469f8aeb3c76d6583b8c" concept="clcid-cgi:GongSiBaoGaoQiNeiHeBingBaoBiaoFanWeiKuiSunYuanYin" label="公司报告期内合并报表范围亏损原因" addr="T0R1C1S1_1" appId="_GBC_38df33b2f3ea44978d6b9431700077e9"/>
      <m:placeholder xlName="_PLD_398bb6d2e6a14cc9be6cb893eb06a7f3" addr="T0R2C0S1_1"/>
      <m:item xlName="_GBC_c657cd36952c4e188e479d08e8cd1021" concept="clcid-cgi:GongSiBaoGaoQiNeiHeBingBaoBiaoFanWeiKuiSunDuiGongSiShengChanJingYingHeChangZhaiNengLiDeYingXiang" label="公司报告期内合并报表范围亏损对公司生产经营和偿债能力的影响" addr="T0R2C1S1_1" appId="_GBC_38df33b2f3ea44978d6b9431700077e9"/>
    </m:section>
    <m:section xlName="_SEC_b0aca99e2f514c6eacb0e9b65356b09f" title="主要会计数据和财务指标 " helpId="112500008">
      <m:item xlName="_GBC_e9dfc5f671b14e3498e65ece634f0436" concept="clcid-ci-ar:ShiFouShiYongJieZhiBaoGaoQiMoHeShangNianMoHuoBenBaoGaoQiHeShangNianTongQiXiaLieKuaiJiShuJuHeCaiWuZhiBiao" label="是否适用：截至报告期末和上年末（或本报告期和上年同期）下列会计数据和财务指标 " selectOptions="_buildInAppliance" controlType="CustomCheckbox" cRanges="[{&quot;StartName&quot;:&quot;_GBC_e9dfc5f671b14e3498e65ece634f0436&quot;,&quot;EndName&quot;:&quot;_GBC_d25204c3411f4fff8c00a90035f3cc5d&quot;,&quot;CType&quot;:1}]"/>
      <m:item xlName="_GBC_04d4a3ac98874cfe9c322ee500a22b45" concept="clcid-ci-ar:DanWeiCaiWuFuZhuJieZhiBaoGaoQiMoGongSiJinNianDeHuiJiShuJuHeCaiWuZhiBiao" label="单位：财务附注：截至报告期末公司近2年的会计数据和财务指标" selectOptions="_buildInScales" controlType="Combobox" cellType="Scale" appId="_GBC_e9dfc5f671b14e3498e65ece634f0436"/>
      <m:item xlName="_GBC_f0635c75628c4c1ebde3e60f0f77ae84" concept="clcid-ci-ar:BiZhongCaiWuFuZhuJieZhiBaoGaoQiMoGongSiJinNianDeHuiJiShuJuHeCaiWuZhiBiao" label="币种：财务附注：截至报告期末公司近2年的会计数据和财务指标" selectOptions="_buildInISO4217" controlType="Combobox" cellType="Measure" appId="_GBC_e9dfc5f671b14e3498e65ece634f0436"/>
      <m:placeholder xlName="_PLD_1226b8f2c1864a0baf8962c0eabc3da5" addr="T0R0C0S1_1"/>
      <m:placeholder xlName="_PLD_419534f18b894f1f919a17911c83b231" addr="T0R0C1S1_1"/>
      <m:placeholder xlName="_PLD_93473e10dd424b448e464f5b873ec61b" addr="T0R0C2S1_1"/>
      <m:placeholder xlName="_PLD_7d7e7821d69a4bf39400950eb027014f" addr="T0R0C3S1_1"/>
      <m:placeholder xlName="_PLD_903472c785b14fc092ab6568fb501d91" addr="T0R0C4S1_1"/>
      <m:placeholder xlName="_PLD_d68455cbe7f446b29d8c80c11ccabbed" addr="T0R1C0S1_1"/>
      <m:item xlName="_GBC_9fec5f1c79394356b522ec782478b331" concept="clcid-pte:LiuDongBiLv" label="流动比率" addr="T0R1C1S1_1" formatStyle="Comma" appId="_GBC_e9dfc5f671b14e3498e65ece634f0436"/>
      <m:item xlName="_GBC_2b7259af9c37448c883dc9aefa68b925" concept="clcid-pte:LiuDongBiLv" label="流动比率" periodRef="上年度期末数" addr="T0R1C2S1_1" formatStyle="Comma" appId="_GBC_e9dfc5f671b14e3498e65ece634f0436"/>
      <m:item xlName="_GBC_01810bb6433f465487d35fd2390b0f26" concept="clcid-pte:LiuDongBiLvBenQiBiShangNianTongQiZengJian" label="流动比率本期比上年同期增减" addr="T0R1C3S1_1" baseScale="0.01" formatStyle="Comma" appId="_GBC_e9dfc5f671b14e3498e65ece634f0436"/>
      <m:item xlName="_GBC_3fe834fb89584cbda456945c8a39ba96" concept="clcid-pte:LiuDongBiLvBianDongYuanYin" label="流动比率变动原因" addr="T0R1C4S1_1" appId="_GBC_e9dfc5f671b14e3498e65ece634f0436"/>
      <m:placeholder xlName="_PLD_7777d5aaa956471bb1ebfe86788b64fb" addr="T0R2C0S1_1"/>
      <m:item xlName="_GBC_098d1a532c5245a88afb01365f34764d" concept="clcid-pte:SuDongBiLv" label="速动比率" addr="T0R2C1S1_1" formatStyle="Comma" appId="_GBC_e9dfc5f671b14e3498e65ece634f0436"/>
      <m:item xlName="_GBC_ff021133944d4486a3269e1267b2f7cf" concept="clcid-pte:SuDongBiLv" label="速动比率" periodRef="上年度期末数" addr="T0R2C2S1_1" formatStyle="Comma" appId="_GBC_e9dfc5f671b14e3498e65ece634f0436"/>
      <m:item xlName="_GBC_929ce729c1664211be7c67d8369437f1" concept="clcid-pte:SuDongBiLvBenQiBiShangNianTongQiZengJian" label="速动比率本期比上年同期增减" addr="T0R2C3S1_1" baseScale="0.01" formatStyle="Comma" appId="_GBC_e9dfc5f671b14e3498e65ece634f0436"/>
      <m:item xlName="_GBC_f4e7f4beb12b4425987f93069d6f3739" concept="clcid-pte:SuDongBiLvBianDongYuanYin" label="速动比率变动原因" addr="T0R2C4S1_1" appId="_GBC_e9dfc5f671b14e3498e65ece634f0436"/>
      <m:placeholder xlName="_PLD_45b8ea87bf614db295ffeeb10bd9f90c" addr="T0R3C0S1_1"/>
      <m:item xlName="_GBC_b39ff719bf384c18b6a73f798bc64963" concept="clcid-pte:ZiChanFuZhaiLv" label="资产负债率" addr="T0R3C1S1_1" baseScale="0.01" formatStyle="Comma" appId="_GBC_e9dfc5f671b14e3498e65ece634f0436"/>
      <m:item xlName="_GBC_7c268351b6ba4f7fa24a924da8cdaf10" concept="clcid-pte:ZiChanFuZhaiLv" label="资产负债率" periodRef="上年度期末数" addr="T0R3C2S1_1" baseScale="0.01" formatStyle="Comma" appId="_GBC_e9dfc5f671b14e3498e65ece634f0436"/>
      <m:item xlName="_GBC_63d68873c83c49a2ade63a62d6a078a1" concept="clcid-pte:ZiChanFuZhaiLvBenQiBiShangQiZengJian" label="资产负债率本期比上期增减" addr="T0R3C3S1_1" baseScale="0.01" formatStyle="Comma" appId="_GBC_e9dfc5f671b14e3498e65ece634f0436"/>
      <m:item xlName="_GBC_86bd838b2ced44b4819cb62dd6f7853c" concept="clcid-pte:ZiChanFuZhaiLvBianDongYuanYin" label="资产负债率变动原因" addr="T0R3C4S1_1" appId="_GBC_e9dfc5f671b14e3498e65ece634f0436"/>
      <m:tuple xlName="_TUP_266526fedc62435b9de2f5cefcf77747" concept="clcid-pte:GongSiZhaiQuanDeZhuYaoShiDianHuiJiShuJuMingXi" default_row="2" addr="T0R4C">
        <m:item xlName="_GBC_83152f1dc511445eba3f4576416b03c8" concept="clcid-pte:GongSiZhaiQuanDeZhuYaoShiDianHuiJiShuJuZhuYaoZhiBiao" label="公司债券的主要时点会计数据_主要指标" addr="T0R4C0S1_1" appId="_GBC_e9dfc5f671b14e3498e65ece634f0436"/>
        <m:item xlName="_GBC_b4929afefc2d4a75a2e21840dbace372" concept="clcid-pte:GongSiZhaiQuanDeZhuYaoShiDianHuiJiShuJuKeMuZhi" label="公司债券的主要时点会计数据_科目值" addr="T0R4C1S1_1" formatStyle="Comma" appId="_GBC_e9dfc5f671b14e3498e65ece634f0436"/>
        <m:item xlName="_GBC_76d9e77902f5448599e4f3bf10c7d315" concept="clcid-pte:GongSiZhaiQuanDeZhuYaoShiDianHuiJiShuJuKeMuZhi" label="公司债券的主要时点会计数据_科目值" periodRef="上年度期末数" addr="T0R4C2S1_1" formatStyle="Comma" appId="_GBC_e9dfc5f671b14e3498e65ece634f0436"/>
        <m:item xlName="_GBC_15404f4b499c4b51a5030d1e79ffc539" concept="clcid-pte:GongSiZhaiQuanDeZhuYaoShiDianHuiJiShuJuBenBaoGaoQiMoBiShangNianDuMoZengJian" label="公司债券的主要时点会计数据_本报告期末比上年度末增减" addr="T0R4C3S1_1" baseScale="0.01" formatStyle="Comma" appId="_GBC_e9dfc5f671b14e3498e65ece634f0436">
          <m:complexRule comparator="Eq" title="公司债券的主要时点会计数据_本报告期末比上年度末增减" id="Ca216aec905014760b1baaaffb1b4178e"/>
        </m:item>
        <m:item xlName="_GBC_e88a0843ed5741d1b6bcf466fba32f07" concept="clcid-pte:GongSiZhaiQuanDeZhuYaoShiDianHuiJiShuJuBianDongYuanYin" label="公司债券的主要时点会计数据_变动原因" addr="T0R4C4S1_1" appId="_GBC_e9dfc5f671b14e3498e65ece634f0436"/>
      </m:tuple>
      <m:placeholder xlName="_PLD_c36025a8ad1543e5bebc28358dd446d1" addr="T0R6C1S1_1"/>
      <m:placeholder xlName="_PLD_db088301a17a4559987fb22b20b0f908" addr="T0R6C2S1_1"/>
      <m:placeholder xlName="_PLD_82b282e0d89441aabdffaa6a61094048" addr="T0R6C3S1_1"/>
      <m:placeholder xlName="_PLD_1c65025460ee4acb97959aa820b5e7f7" addr="T0R6C4S1_1"/>
      <m:placeholder xlName="_PLD_a8cfe20bbdc444d9abd9453f2602eb88" addr="T0R7C0S1_1"/>
      <m:item xlName="_GBC_d8d2eb8f539c463f827ab8de290f30a3" concept="clcid-pte:KouChuFeiJingChangXingSunYiHouDeJingLiRun" label="扣除非经常性损益后的净利润" mulRef="_GBC_04d4a3ac98874cfe9c322ee500a22b45" unitRef="_GBC_f0635c75628c4c1ebde3e60f0f77ae84" addr="T0R7C1S1_1" formatStyle="Comma" appId="_GBC_e9dfc5f671b14e3498e65ece634f0436"/>
      <m:item xlName="_GBC_bf24a11c8432472e91ffb6721438f367" concept="clcid-pte:KouChuFeiJingChangXingSunYiHouDeJingLiRun" label="扣除非经常性损益后的净利润" periodRef="上年同期数" mulRef="_GBC_04d4a3ac98874cfe9c322ee500a22b45" unitRef="_GBC_f0635c75628c4c1ebde3e60f0f77ae84" addr="T0R7C2S1_1" formatStyle="Comma" appId="_GBC_e9dfc5f671b14e3498e65ece634f0436"/>
      <m:item xlName="_GBC_3923708fa3e84955831ed03f9b1a6ce4" concept="clcid-pte:KouChuFeiJingChangXingSunYiDeJingLiRunBenQiBiShangQiZengJian" label="扣除非经常性损益的净利润本期比上期增减" addr="T0R7C3S1_1" baseScale="0.01" formatStyle="Comma" appId="_GBC_e9dfc5f671b14e3498e65ece634f0436"/>
      <m:item xlName="_GBC_2ae42b11edfc433eb4a8d7982f5cc14e" concept="clcid-pte:KouChuFeiJingChangXingSunYiHouDeJingLiRunZengJianBianDongYuanYin" label="扣除非经常性损益后的净利润增减变动原因" addr="T0R7C4S1_1" appId="_GBC_e9dfc5f671b14e3498e65ece634f0436"/>
      <m:placeholder xlName="_PLD_2233f91283ca4c3785a898e014622dfa" addr="T0R8C0S1_1"/>
      <m:item xlName="_GBC_0ce7bee90b8f4501990bd49eb2a0a8ad" concept="clcid-pte:EBITDAQuanBuZhaiWuBi" label="EBITDA全部债务比" addr="T0R8C1S1_1" formatStyle="Comma" appId="_GBC_e9dfc5f671b14e3498e65ece634f0436"/>
      <m:item xlName="_GBC_c5dc8780537c462b966e4fb6934d0e52" concept="clcid-pte:EBITDAQuanBuZhaiWuBi" label="EBITDA全部债务比" periodRef="上年期末数" addr="T0R8C2S1_1" formatStyle="Comma" appId="_GBC_e9dfc5f671b14e3498e65ece634f0436"/>
      <m:item xlName="_GBC_c0ed1228782c437c9e124e8424fa921e" concept="clcid-pte:EBITDAQuanBuZhaiWuBiBenQiBiShangNianTongQiZengJian" label="EBITDA全部债务比本期比上年同期增减" addr="T0R8C3S1_1" baseScale="0.01" formatStyle="Comma" appId="_GBC_e9dfc5f671b14e3498e65ece634f0436"/>
      <m:item xlName="_GBC_b91884de4aa2479da122dbef6ea2ee35" concept="clcid-pte:EBITDAQuanBuZhaiWuBiBianDongYuanYin" label="EBITDA全部债务比变动原因" addr="T0R8C4S1_1" appId="_GBC_e9dfc5f671b14e3498e65ece634f0436"/>
      <m:placeholder xlName="_PLD_9c945d39cedf4a7983f78245133950f7" addr="T0R9C0S1_1"/>
      <m:item xlName="_GBC_6a19e8fd76f34e388f9eb4b45282fbb7" concept="clcid-pte:LiXiBaoZhangBeiShu" label="利息保障倍数" addr="T0R9C1S1_1" formatStyle="Comma" appId="_GBC_e9dfc5f671b14e3498e65ece634f0436"/>
      <m:item xlName="_GBC_635dbb766511493a9e6173814cb5ba33" concept="clcid-pte:LiXiBaoZhangBeiShu" label="利息保障倍数" periodRef="上年同期期末数" addr="T0R9C2S1_1" formatStyle="Comma" appId="_GBC_e9dfc5f671b14e3498e65ece634f0436"/>
      <m:item xlName="_GBC_6b83c4fe4d674af585ead8dd16600df8" concept="clcid-pte:LiXiBaoZhangBeiShuBenQiBiShangNianTongQiZengJian" label="利息保障倍数本期比上年同期增减" addr="T0R9C3S1_1" baseScale="0.01" formatStyle="Comma" appId="_GBC_e9dfc5f671b14e3498e65ece634f0436"/>
      <m:item xlName="_GBC_b3b5c24ed20d433da9d7c2a196ed94a3" concept="clcid-pte:LiXiBaoZhangBeiShuBianDongYuanYin" label="利息保障倍数变动原因" addr="T0R9C4S1_1" appId="_GBC_e9dfc5f671b14e3498e65ece634f0436"/>
      <m:placeholder xlName="_PLD_29fa6186183847b3a1602cd1f0a5cc54" addr="T0R10C0S1_1"/>
      <m:item xlName="_GBC_7cbdf73b45d44f51b6d748585f9955ed" concept="clcid-pte:XianJinLiXiBaoZhangBeiShu" label="现金利息保障倍数" addr="T0R10C1S1_1" formatStyle="Comma" appId="_GBC_e9dfc5f671b14e3498e65ece634f0436"/>
      <m:item xlName="_GBC_11d56d34b601421b92b75c1cc3655a47" concept="clcid-pte:XianJinLiXiBaoZhangBeiShu" label="现金利息保障倍数" periodRef="上年同期期末数" addr="T0R10C2S1_1" formatStyle="Comma" appId="_GBC_e9dfc5f671b14e3498e65ece634f0436"/>
      <m:item xlName="_GBC_271a24bc06d6425aa9a5be044f2bd799" concept="clcid-pte:XianJinLiXiBaoZhangBeiShuBenQiBiShangNianTongQiZengJian" label="现金利息保障倍数本期比上年同期增减" addr="T0R10C3S1_1" formatStyle="Comma" appId="_GBC_e9dfc5f671b14e3498e65ece634f0436"/>
      <m:item xlName="_GBC_9f8f56a15ce94c01bc76703d94956a31" concept="clcid-pte:XianJinLiXiBaoZhangBeiShuBianDongYuanYin" label="现金利息保障倍数变动原因" addr="T0R10C4S1_1" appId="_GBC_e9dfc5f671b14e3498e65ece634f0436"/>
      <m:placeholder xlName="_PLD_d0f14573c1fa407382ed754873d31657" addr="T0R11C0S1_1"/>
      <m:item xlName="_GBC_6f9a4f0a024144479a1af7921c921c26" concept="clcid-pte:EBITDALiXiBaoZhangBeiShu" label="EBITDA利息保障倍数" addr="T0R11C1S1_1" formatStyle="Comma" appId="_GBC_e9dfc5f671b14e3498e65ece634f0436">
        <m:complexRule comparator="Eq" title="EBITDA利息保障倍数" id="Ce2bc4245fb3e45229d007841e594f45f"/>
      </m:item>
      <m:item xlName="_GBC_1719779f2ce74f68afce1f417dd82eec" concept="clcid-pte:EBITDALiXiBaoZhangBeiShu" label="EBITDA利息保障倍数" periodRef="上年同期期末数" addr="T0R11C2S1_1" formatStyle="Comma" appId="_GBC_e9dfc5f671b14e3498e65ece634f0436"/>
      <m:item xlName="_GBC_1865adb191d94bf084d29f0e2b154af8" concept="clcid-pte:EBITDALiXiBaoZhangBeiShuBenQiBiShangNianTongQiZengJian" label="EBITDA利息保障倍数本期比上年同期增减" addr="T0R11C3S1_1" baseScale="0.01" formatStyle="Comma" appId="_GBC_e9dfc5f671b14e3498e65ece634f0436"/>
      <m:item xlName="_GBC_ed2e52f2caf6485c85b9f60a5d97be70" concept="clcid-pte:EBITDALiXiBaoZhangBeiShuBianDongYuanYin" label="EBITDA利息保障倍数变动原因" addr="T0R11C4S1_1" appId="_GBC_e9dfc5f671b14e3498e65ece634f0436"/>
      <m:placeholder xlName="_PLD_fd51a0f36dd34e4a9449f4cb98afa25f" addr="T0R12C0S1_1"/>
      <m:item xlName="_GBC_a1a7031fb9aa4346b2010b8b5c2ff249" concept="clcid-pte:DaiKuanChangHuanLv" label="贷款偿还率" addr="T0R12C1S1_1" baseScale="0.01" formatStyle="Comma" appId="_GBC_e9dfc5f671b14e3498e65ece634f0436"/>
      <m:item xlName="_GBC_9dfcb634f1a44572b8bfd5c9c2fccbe4" concept="clcid-pte:DaiKuanChangHuanLv" label="贷款偿还率" periodRef="上年期末数" addr="T0R12C2S1_1" baseScale="0.01" formatStyle="Comma" appId="_GBC_e9dfc5f671b14e3498e65ece634f0436"/>
      <m:item xlName="_GBC_c0c6a7f03a33450ab11b2604efe18893" concept="clcid-pte:DaiKuanChangHuanLvBenQiBiShangNianTongQiZengJian" label="贷款偿还率本期比上年同期增减" addr="T0R12C3S1_1" baseScale="0.01" formatStyle="Comma" appId="_GBC_e9dfc5f671b14e3498e65ece634f0436"/>
      <m:item xlName="_GBC_4851c758f87c41628f7c29b11c5c4f6e" concept="clcid-pte:DaiKuanChangHuanLvBianDongYuanYin" label="贷款偿还率变动原因" addr="T0R12C4S1_1" appId="_GBC_e9dfc5f671b14e3498e65ece634f0436"/>
      <m:placeholder xlName="_PLD_e58e744f94504bb2a3bf4035553d4b2a" addr="T0R13C0S1_1"/>
      <m:item xlName="_GBC_9f233b314b8341b689fdd0ebb2b37c21" concept="clcid-pte:LiXiChangFuLv" label="利息偿付率" addr="T0R13C1S1_1" baseScale="0.01" formatStyle="Comma" appId="_GBC_e9dfc5f671b14e3498e65ece634f0436"/>
      <m:item xlName="_GBC_3fa6912a3b0f4497968e3d30710f3cf5" concept="clcid-pte:LiXiChangFuLv" label="利息偿付率" periodRef="上年同期期末数" addr="T0R13C2S1_1" baseScale="0.01" formatStyle="Comma" appId="_GBC_e9dfc5f671b14e3498e65ece634f0436"/>
      <m:item xlName="_GBC_bbe1b646d65c4c7980245e295b08a2f1" concept="clcid-pte:LiXiChangFuLvBenQiBiShangNianTongQiZengJian" label="利息偿付率本期比上年同期增减" addr="T0R13C3S1_1" baseScale="0.01" formatStyle="Comma" appId="_GBC_e9dfc5f671b14e3498e65ece634f0436"/>
      <m:item xlName="_GBC_cc6558e189f64c4b8112af97c3789c54" concept="clcid-pte:LiXiChangFuLvBianDongYuanYin" label="利息偿付率变动原因" addr="T0R13C4S1_1" appId="_GBC_e9dfc5f671b14e3498e65ece634f0436"/>
      <m:tuple xlName="_TUP_feb16acb46864177b9302c225bd93917" concept="clcid-pte:GongSiZhaiQuanDeZhuYaoShiQiHuiJiShuJuMingXi" default_row="2" addr="T0R14C">
        <m:item xlName="_GBC_ee8ac2856c35400aa5a59a3848ae6397" concept="clcid-pte:GongSiZhaiQuanDeZhuYaoShiQiHuiJiShuJuZhuYaoZhiBiao" label="公司债券的主要时期会计数据_主要指标" addr="T0R14C0S1_1" appId="_GBC_e9dfc5f671b14e3498e65ece634f0436"/>
        <m:item xlName="_GBC_3ff17dbcc66c425dae6bc7aa5daebafa" concept="clcid-pte:GongSiZhaiQuanDeZhuYaoShiQiHuiJiShuJuKeMuZhi" label="公司债券的主要时期会计数据_科目值" addr="T0R14C1S1_1" formatStyle="Comma" appId="_GBC_e9dfc5f671b14e3498e65ece634f0436"/>
        <m:item xlName="_GBC_5e326b216cf4459baa8b92d33a56b947" concept="clcid-pte:GongSiZhaiQuanDeZhuYaoShiQiHuiJiShuJuKeMuZhi" label="公司债券的主要时期会计数据_科目值" periodRef="上年同期期末数" addr="T0R14C2S1_1" formatStyle="Comma" appId="_GBC_e9dfc5f671b14e3498e65ece634f0436"/>
        <m:item xlName="_GBC_19521673fb2a4bb1bf8485989af0d52b" concept="clcid-pte:GongSiZhaiQuanDeZhuYaoShiQiHuiJiShuJuBenBaoGaoQiMoBiShangNianDuMoZengJian" label="公司债券的主要时期会计数据_本报告期末比上年度末增减" addr="T0R14C3S1_1" baseScale="0.01" formatStyle="Comma" appId="_GBC_e9dfc5f671b14e3498e65ece634f0436"/>
        <m:item xlName="_GBC_d25204c3411f4fff8c00a90035f3cc5d" concept="clcid-pte:GongSiZhaiQuanDeZhuYaoShiQiHuiJiShuJuBianDongYuanYin" label="公司债券的主要时期会计数据_变动原因" addr="T0R14C4S1_1" appId="_GBC_e9dfc5f671b14e3498e65ece634f0436"/>
      </m:tuple>
    </m:section>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item xlName="_GBC_c48c5ecb20504e2580dc7d98ed5264b7" concept="clcid-cgi:ZhuanZhaiFaXingQingKuang" label="转债发行情况" appId="_GBC_6a49e99841294af3b87ba6216b1997d9"/>
    </m:section>
    <m:section xlName="_SEC_7f82abb841ec4e91b7d333b30060eb09" title="报告期转债持有人及担保人情况" tupleConcept="clcid-cgi:BaoGaoQiZhuanZhaiChiYouRenJiDanBaoRenQingKuangMingXi" repeatable="1">
      <m:placeholder xlName="_PLD_170ef4a273bd483fb036b247c3082d71" addr="T0R0C0S1_1"/>
      <m:item xlName="_GBC_0cd9fa5721dc4fe78595e98b4d30bff8" concept="clcid-cgi:KeZhuanHuanGongSiZhaiQuanMingCheng" label="可转换公司债券名称" addr="T0R0C1S1_2" tagAction="1" appId="_GBC_6a49e99841294af3b87ba6216b1997d9"/>
      <m:placeholder xlName="_PLD_ef880fd207214d5997d220133d4bfadf" addr="T0R1C0S1_1"/>
      <m:item xlName="_GBC_a1f0451e446947c4b0b0ca433010a483" concept="clcid-cgi:GongSiQiMoKeZhuanZhaiChiYouRenShu" label="公司期末可转债持有人数" addr="T0R1C1S1_2" formatStyle="Comma" appId="_GBC_6a49e99841294af3b87ba6216b1997d9"/>
      <m:placeholder xlName="_PLD_a5e209f92d5a44829a53889ca1fe2bef" addr="T0R2C0S1_1"/>
      <m:item xlName="_GBC_df97260cd42143eab461ab5d76aa97c6" concept="clcid-cgi:BenGongSiZhuanZhaiDeDanBaoRen" label="本公司转债的担保人" addr="T0R2C1S1_2" appId="_GBC_6a49e99841294af3b87ba6216b1997d9"/>
      <m:placeholder xlName="_PLD_5cb94d7bffe04ec78b72583467fb646c" addr="T0R3C0S1_1"/>
      <m:item xlName="_GBC_5a4857fb854441d6b1491c47f761d3f6" concept="clcid-cgi:DanBaoRenYingLiNengLiZiChanZhuangKuangHeXinYongZhuangKuangZhongDaBianHuaQingKuang" label="担保人盈利能力、资产状况和信用状况重大变化情况 " addr="T0R3C1S1_2" appId="_GBC_6a49e99841294af3b87ba6216b1997d9"/>
      <m:placeholder xlName="_PLD_fbb2edc5a82444e183fcca4df57c5d2d" addr="T0R4C0S1_3"/>
      <m:placeholder xlName="_PLD_8de4de1739d04f52b96bac0ddb0c3eb3" addr="T0R5C0S1_1"/>
      <m:placeholder xlName="_PLD_a631100d3f854e6891be4185f557936f" addr="T0R5C1S1_1"/>
      <m:placeholder xlName="_PLD_39a80ddddb604fd8ae2e3911097b816d" addr="T0R5C2S1_1"/>
      <m:tuple xlName="_TUP_253c98858873455dae56ed3a2581ff2f" concept="clcid-cgi:GongSiQianShiMingKeZhuanZhaiChiYouRenQingKuang" default_row="2" addr="T0R6C">
        <m:item xlName="_GBC_d34afc1a1bf242bc944f65dc87ee1527" concept="clcid-cgi:KeZhuanHuanGongSiZhaiQuanChiYouRenMingCheng" label="可转换公司债券持有人名称" addr="T0R6C0S1_1" appId="_GBC_6a49e99841294af3b87ba6216b1997d9"/>
        <m:item xlName="_GBC_5a0a2862f5d841a488d836527a480709" concept="clcid-cgi:KeZhuanHuanGongSiZhaiQuanChiYouRenQiMoChiZhaiShuLiang" label="可转换公司债券持有人期末持债数量" addr="T0R6C1S1_1" formatStyle="Comma" appId="_GBC_6a49e99841294af3b87ba6216b1997d9"/>
        <m:item xlName="_GBC_0bb9a18d010e49b0ac8b7f4eda38bee0" concept="clcid-cgi:KeZhuanHuanGongSiZhaiQuanChiYouRenQiMoChiYouBiLi" label="可转换公司债券持有人期末持有比例" addr="T0R6C2S1_1" baseScale="0.01" formatStyle="Comma" appId="_GBC_6a49e99841294af3b87ba6216b1997d9"/>
      </m:tuple>
    </m:section>
    <m:section xlName="_SEC_b9f22fe710ea43fdac5cd3b3d1602d99" title="报告期转债变动情况" convertSummaryRule="NoConvert">
      <m:item xlName="_GBC_20aa060b9df94daea38be4c0d73f0a82" concept="clcid-ci-ar:DanWeiBaoGaoQiZhuanZhaiBianDongQingKuang" label="单位：报告期转债变动情况" selectOptions="_buildInScales" controlType="Combobox" cellType="Scale" appId="_GBC_6a49e99841294af3b87ba6216b1997d9"/>
      <m:item xlName="_GBC_b9d22a6176be49788e99c7c2d55b1b80" concept="clcid-ci-ar:BiZhongBaoGaoQiZhuanZhaiBianDongQingKuang" label="币种：报告期转债变动情况" selectOptions="_buildInISO4217" controlType="Combobox" cellType="Measure" appId="_GBC_6a49e99841294af3b87ba6216b1997d9"/>
      <m:placeholder xlName="_PLD_573d4237b63241268ca631e7322d51bb" addr="T0R0C0S2_1"/>
      <m:placeholder xlName="_PLD_b7c0a00dc63a4366b1bf69c47b361e58" addr="T0R0C1S2_1"/>
      <m:placeholder xlName="_PLD_97993887cd984aeba7bb223218a3cabd" addr="T0R0C2S1_3"/>
      <m:placeholder xlName="_PLD_0cddd6f9e08245228fe9c0fa331ba6ee" addr="T0R0C5S2_1"/>
      <m:placeholder xlName="_PLD_0b7a166d91cd40ffac148b3b0dff5827" addr="T0R1C2S1_1"/>
      <m:placeholder xlName="_PLD_09b291325ae34b88a9d26a34a6da15d4" addr="T0R1C3S1_1"/>
      <m:placeholder xlName="_PLD_fc738779773b4fbe955cbc836a6cd62a" addr="T0R1C4S1_1"/>
      <m:tuple xlName="_TUP_0dd50df215074837981e871144652c3c" concept="clcid-cgi:BaoGaoQiZhuanZhaiBianDongQingKuangMingXi" default_row="2" addr="T0R2C">
        <m:item xlName="_GBC_6ac56be3257641e68e3e09eb502a373d" concept="clcid-cgi:KeZhuanHuanGongSiZhaiQuanMingCheng" label="可转换公司债券名称" addr="T0R2C0S1_1" tagAction="1" appId="_GBC_6a49e99841294af3b87ba6216b1997d9"/>
        <m:item xlName="_GBC_e9f417544c8140349b966375d0031b23" concept="clcid-cgi:BenCiBianDongQianKeZhuanZhai" label="本次变动前可转债" periodRef="本期期初数" mulRef="_GBC_20aa060b9df94daea38be4c0d73f0a82" unitRef="_GBC_b9d22a6176be49788e99c7c2d55b1b80" addr="T0R2C1S1_1" tagAction="1" formatStyle="Comma" appId="_GBC_6a49e99841294af3b87ba6216b1997d9"/>
        <m:item xlName="_GBC_7f88fa363d644e859e1b4c58d0be440a" concept="clcid-cgi:KeZhuanZhaiBenCiZhuanGu" label="可转债本次转股" mulRef="_GBC_20aa060b9df94daea38be4c0d73f0a82" unitRef="_GBC_b9d22a6176be49788e99c7c2d55b1b80" addr="T0R2C2S1_1" tagAction="1" formatStyle="Comma" appId="_GBC_6a49e99841294af3b87ba6216b1997d9"/>
        <m:item xlName="_GBC_59d1faf132de415b859bb4b7936fda9e" concept="clcid-cgi:KeZhuanZhaiBenCiShuHui" label="可转债本次赎回" mulRef="_GBC_20aa060b9df94daea38be4c0d73f0a82" unitRef="_GBC_b9d22a6176be49788e99c7c2d55b1b80" addr="T0R2C3S1_1" tagAction="1" formatStyle="Comma" appId="_GBC_6a49e99841294af3b87ba6216b1997d9"/>
        <m:item xlName="_GBC_518f33698af34d51b957b3f851676651" concept="clcid-cgi:KeZhuanZhaiBenCiHuiShou" label="可转债本次回售" mulRef="_GBC_20aa060b9df94daea38be4c0d73f0a82" unitRef="_GBC_b9d22a6176be49788e99c7c2d55b1b80" addr="T0R2C4S1_1" tagAction="1" formatStyle="Comma" appId="_GBC_6a49e99841294af3b87ba6216b1997d9"/>
        <m:item xlName="_GBC_78cf82238fc34e7e99a5827a7aff0e4b" concept="clcid-cgi:BenCiBianDongHouKeZhuanZhai" label="本次变动后可转债" mulRef="_GBC_20aa060b9df94daea38be4c0d73f0a82" unitRef="_GBC_b9d22a6176be49788e99c7c2d55b1b80" addr="T0R2C5S1_1" tagAction="1" formatStyle="Comma" appId="_GBC_6a49e99841294af3b87ba6216b1997d9"/>
      </m:tuple>
    </m:section>
    <m:section xlName="_SEC_9efab8215ecb4674a0bf11385b12d00f" title="报告期转债累计转股情况" tupleConcept="clcid-cgi:BaoGaoQiZhuanZhaiLeiJiZhuanGuQingKuangMingXi" repeatable="1">
      <m:placeholder xlName="_PLD_f6f62a3b6d1b4f1cab42a020313a0bf2" addr="T0R0C0S1_1"/>
      <m:item xlName="_GBC_ad21249926cd421faa1aaf74e271ce08" concept="clcid-cgi:KeZhuanHuanGongSiZhaiQuanMingCheng" label="可转换公司债券名称" addr="T0R0C1S1_1" tagAction="1" appId="_GBC_6a49e99841294af3b87ba6216b1997d9"/>
      <m:placeholder xlName="_PLD_a32893b2bdcf4a9295cc2e3ad78263f3" addr="T0R1C0S1_1"/>
      <m:item xlName="_GBC_e3cdc9010a774ad2a4f0df3f1ee4dbd4" concept="clcid-cgi:BenBaoGaoQiZhuanGuE" label="本报告期转股额" addr="T0R1C1S1_1" formatStyle="Comma" appId="_GBC_6a49e99841294af3b87ba6216b1997d9"/>
      <m:placeholder xlName="_PLD_54ce99de4f934c338910fe334d4cf3ef" addr="T0R2C0S1_1"/>
      <m:item xlName="_GBC_e6016a85fdcf416b98fda4915f387446" concept="clcid-cgi:BenBaoGaoQiZhuanGuShu" label="本报告期转股数" addr="T0R2C1S1_1" formatStyle="Comma" appId="_GBC_6a49e99841294af3b87ba6216b1997d9"/>
      <m:placeholder xlName="_PLD_3c474fb2c3ae4fd1abc454bc2f3fca67" addr="T0R3C0S1_1"/>
      <m:item xlName="_GBC_7021d60a3c0148dc8b0734c5156c98ec" concept="clcid-cgi:LeiJiZhuanGuShu" label="累计转股数" addr="T0R3C1S1_1" formatStyle="Comma" appId="_GBC_6a49e99841294af3b87ba6216b1997d9"/>
      <m:placeholder xlName="_PLD_d18a0c6f21bb4f5ea6bf92ca6c7d3c48" addr="T0R4C0S1_1"/>
      <m:item xlName="_GBC_c41ec184f3724a178526cba4face35fd" concept="clcid-cgi:LeiJiZhuanGuShuZhanZhuanGuQianGongSiYiFaXingGuFenZongShu" label="累计转股数占转股前公司已发行股份总数" addr="T0R4C1S1_1" baseScale="0.01" formatStyle="Comma" appId="_GBC_6a49e99841294af3b87ba6216b1997d9"/>
      <m:placeholder xlName="_PLD_10e7da7f1db340bb9034442492c6c520" addr="T0R5C0S1_1"/>
      <m:item xlName="_GBC_9321e41e99344250a7924e1d435d8eeb" concept="clcid-cgi:ShangWeiZhuanGuE" label="尚未转股额" addr="T0R5C1S1_1" formatStyle="Comma" appId="_GBC_6a49e99841294af3b87ba6216b1997d9"/>
      <m:placeholder xlName="_PLD_5674ab20737041e0a79ba52793b9eac7" addr="T0R6C0S1_1"/>
      <m:item xlName="_GBC_64a13768412c4ee5a4a19e2c176b5942" concept="clcid-cgi:WeiZhuanGuZhanZhuanZhaiFaXingZongLiang" label="未转股占转债发行总量" addr="T0R6C1S1_1" baseScale="0.01" formatStyle="Comma" appId="_GBC_6a49e99841294af3b87ba6216b1997d9"/>
    </m:section>
    <m:item xlName="_GBC_00961fb4f3ee4a1694a243600402a0a9" concept="clcid-ci-ar:DanWeiZhuanGuJiaGeLiCiTiaoZhengQingKuang" label="单位：转股价格历次调整情况" selectOptions="_buildInScales" controlType="Combobox" cellType="Scale" appId="_GBC_6a49e99841294af3b87ba6216b1997d9"/>
    <m:item xlName="_GBC_a431a6b0a18c49efa3d2e8d3c8bd1e7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placeholder xlName="_PLD_75f1438856c1483589b9d1eaad628ec9" addr="T0R0C0S1_3"/>
      <m:item xlName="_GBC_7708b799fadb48289076b614c48e86f3" concept="clcid-cgi:KeZhuanHuanGongSiZhaiQuanMingCheng" label="可转换公司债券名称" addr="T0R0C3S1_3" tagAction="1" appId="_GBC_6a49e99841294af3b87ba6216b1997d9"/>
      <m:placeholder xlName="_PLD_a0d9acb5e8a945c3aa95226d8becf9be" addr="T0R1C0S1_1"/>
      <m:placeholder xlName="_PLD_dc00d5aafbda40849eed8f3447abe562" addr="T0R1C1S1_1"/>
      <m:placeholder xlName="_PLD_86ba5cf9244a46938639efd1838cb943" addr="T0R1C2S1_2"/>
      <m:placeholder xlName="_PLD_b3a447cd95eb40d296123fd22ef80722" addr="T0R1C4S1_1"/>
      <m:placeholder xlName="_PLD_d880b5d21fdc4c46b4379a62c35eaf7a" addr="T0R1C5S1_1"/>
      <m:tuple xlName="_TUP_364b4f8ef8254c4ea599a0d04df0ac2e" concept="clcid-cgi:ZhuanGuJiaGeLiCiTiaoZhengQingKuang" default_row="2" addr="T0R2C">
        <m:item xlName="_GBC_1a7b38f123b043a6a8b43caf7f43b793" concept="clcid-cgi:ZhuanGuJiaGeTiaoZhengRi" label="转股价格调整日" addr="T0R2C0S1_1" appId="_GBC_6a49e99841294af3b87ba6216b1997d9" keyAction="38"/>
        <m:item xlName="_GBC_e678e56b9afb46739916798e610f5ecc" concept="clcid-cgi:TiaoZhengHouZhuanGuJiaGe" label="调整后转股价格" mulRef="_GBC_00961fb4f3ee4a1694a243600402a0a9" unitRef="_GBC_a431a6b0a18c49efa3d2e8d3c8bd1e70" addr="T0R2C1S1_1" formatStyle="Comma" appId="_GBC_6a49e99841294af3b87ba6216b1997d9"/>
        <m:item xlName="_GBC_49f3d6a027e0487eb7f992996cd145ea" concept="clcid-cgi:ZhuanGuJiaGeTiaoZhengPiLuShiJian" label="转股价格调整披露时间" addr="T0R2C2S1_2" appId="_GBC_6a49e99841294af3b87ba6216b1997d9" keyAction="38"/>
        <m:item xlName="_GBC_4f38fc6b0783434c9030b16abcf9a039" concept="clcid-cgi:ZhuanGuJiaGeTiaoZhengPiLuMeiTi" label="转股价格调整披露媒体" addr="T0R2C4S1_1" appId="_GBC_6a49e99841294af3b87ba6216b1997d9"/>
        <m:item xlName="_GBC_83ed6be4b0614604bd8ec717400e71b5" concept="clcid-cgi:ZhuanGuJiaGeTiaoZhengShuoMing" label="转股价格调整说明" addr="T0R2C5S1_1" appId="_GBC_6a49e99841294af3b87ba6216b1997d9"/>
      </m:tuple>
      <m:placeholder xlName="_PLD_bd458a48499547659f64ed447b0b432d" addr="T0R4C0S1_2"/>
      <m:item xlName="_GBC_81599be8b8874b298e22b3c06697a8aa" concept="clcid-cgi:JieZhiBenBaoGaoQiMoZuiXinZhuanGuJiaGe" label="截止本报告期末最新转股价格" mulRef="_GBC_00961fb4f3ee4a1694a243600402a0a9" unitRef="_GBC_a431a6b0a18c49efa3d2e8d3c8bd1e70" addr="T0R4C2S1_4" formatStyle="Comma" appId="_GBC_6a49e99841294af3b87ba6216b1997d9"/>
    </m:section>
    <m:section xlName="_SEC_61331536cfaf4da0a6a270818a4ab35b" title="公司的负债情况、资信变化情况及在未来年度还债的现金安排" convertSummaryRule="NoConvert">
      <m:item xlName="_GBC_951dbf66b34846a29c9fa97d2846a033" concept="clcid-cgi:BenGongSiZhuanZhaiFaXingRenDeQingKuangShuoMing" label="本公司转债发行人的情况说明" appId="_GBC_6a49e99841294af3b87ba6216b1997d9"/>
    </m:section>
    <m:section xlName="_SEC_cc036ec1e45042a4a4bce38515d23fb4" title="转债其他情况说明" convertSummaryRule="NoConvert">
      <m:item xlName="_GBC_05671db70130497585085fbe2a037412" concept="clcid-cgi:QiTaZhuanZhaiQingKuangShuoMing" label="其他转债情况说明" appId="_GBC_6a49e99841294af3b87ba6216b1997d9"/>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33dac3baf6634fba91e3026ebaaad280" concept="clcid-ci-ar:ShiFouShiYongShenJiBaoGao" label="是否适用：审计报告" selectOptions="_buildInAppliance" controlType="CustomCheckbox" cRanges="{&quot;StartName&quot;:&quot;_GBC_33dac3baf6634fba91e3026ebaaad280&quot;,&quot;EndName&quot;:&quot;_GBC_08aaee8d8997491cb4fc7ef77b493e65&quot;,&quot;CType&quot;:1,&quot;DisplayText&quot;:null}"/>
      <m:item xlName="_GBC_08aaee8d8997491cb4fc7ef77b493e65" concept="clcid-ar:ShenJiBaoGaoQuanWen" label="审计报告全文" appId="_GBC_33dac3baf6634fba91e3026ebaaad280"/>
    </m:section>
    <m:section xlName="_GBC_f3d43b26b5d34a4c88db3cb7d81650cc"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m:region xlName="_GBC_b84409e42f904bdab44813a972d54149" title="合并资产负债表&#10;" helpId="112001001">
        <m:item xlName="_GBC_76dae7aa62d842859c05c05e750163c2" concept="clcid-cgi:GongSiFaDingZhongWenMingCheng" label="公司法定中文名称" binding="true"/>
        <m:item xlName="_GBC_710dced47e5943589779e071c78c5512" concept="clcid-ci-ar:DanWeiHeBingZiChanFuZhaiBiao" label="单位：合并资产负债表" selectOptions="_buildInScales" controlType="Combobox" cellType="Scale"/>
        <m:item xlName="_GBC_7e2679155b104d33ba04158c7414bcff" concept="clcid-ci-ar:BiZhongHeBingZiChanFuZhaiBiao" label="币种：合并资产负债表" selectOptions="_buildInISO4217" controlType="Combobox" cellType="Measure"/>
        <m:placeholder xlName="_PLD_1d3f74748a444e6ea0d191e81e54edca" addr="T0R0C0S1_1"/>
        <m:placeholder xlName="_PLD_da216b439a53487e85f12225916c5563" addr="T0R0C1S1_1"/>
        <m:placeholder xlName="_PLD_21df1d74f3114abf83688ef31bc4d9a7" addr="T0R0C2S1_1"/>
        <m:placeholder xlName="_PLD_d92c936206d34a64b4b2139999e7311b" addr="T0R0C3S1_1"/>
        <m:placeholder xlName="_PLD_c47a329e79ad491ca413bdaf35b1f19b" addr="T0R1C0S1_1"/>
        <m:placeholder xlName="_PLD_36a7056a6e314e22ba0fd39d033ba0ea" addr="T0R2C0S1_1"/>
        <m:item xlName="_GBC_b129bb68c07b4eafa56d63b40c518cd0" concept="clcid-ci-ar:FuZhu_HuoBiZiJin" label="附注_货币资金" addr="T0R2C1S1_1"/>
        <m:item xlName="_GBC_405321b51bdf4098912f70d96acd44da" concept="clcid-pte:HuoBiZiJin" label="货币资金" mulRef="_GBC_710dced47e5943589779e071c78c5512" unitRef="_GBC_7e2679155b104d33ba04158c7414bcff" addr="T0R2C2S1_1" formatStyle="Comma"/>
        <m:item xlName="_GBC_9a415952020e4e1fb6c4e1faf41143f8" concept="clcid-pte:HuoBiZiJin" label="货币资金" periodRef="上年期末数" mulRef="_GBC_710dced47e5943589779e071c78c5512" unitRef="_GBC_7e2679155b104d33ba04158c7414bcff" addr="T0R2C3S1_1" formatStyle="Comma"/>
        <m:placeholder xlName="_PLD_eeecea89787644c581a60f0ab1e1e353" addr="T0R3C0S1_1"/>
        <m:item xlName="_GBC_c6676cbd660643e496038ffdc8956a1f" concept="clcid-ci-ar:FuZhu_JieSuanBeiFuJin" label="附注_结算备付金" addr="T0R3C1S1_1"/>
        <m:item xlName="_GBC_5e22df72c8ac4a4bb82ace8f629d4c93" concept="clcid-pte:JieSuanBeiFuJin" label="结算备付金" mulRef="_GBC_710dced47e5943589779e071c78c5512" unitRef="_GBC_7e2679155b104d33ba04158c7414bcff" addr="T0R3C2S1_1" formatStyle="Comma"/>
        <m:item xlName="_GBC_29dcfc574c7244cb94bfbf12ecb7ef9c" concept="clcid-pte:JieSuanBeiFuJin" label="结算备付金" periodRef="上年期末数" mulRef="_GBC_710dced47e5943589779e071c78c5512" unitRef="_GBC_7e2679155b104d33ba04158c7414bcff" addr="T0R3C3S1_1" formatStyle="Comma"/>
        <m:placeholder xlName="_PLD_879bf785eb864905ac5a35d3fcf6fc5e" addr="T0R4C0S1_1"/>
        <m:item xlName="_GBC_a3822977219a408a809580849bcd3f65" concept="clcid-ci-ar:FuZhu_ChaiChuZiJin" label="附注_拆出资金" addr="T0R4C1S1_1"/>
        <m:item xlName="_GBC_f0ffab9724c1423a9e28a05347e07acb" concept="clcid-pte:ChaiChuZiJin" label="拆出资金" mulRef="_GBC_710dced47e5943589779e071c78c5512" unitRef="_GBC_7e2679155b104d33ba04158c7414bcff" addr="T0R4C2S1_1" formatStyle="Comma"/>
        <m:item xlName="_GBC_2b1d67b1ef0b4abaa6cb4ef42d93828c" concept="clcid-pte:ChaiChuZiJin" label="拆出资金" periodRef="上年期末数" mulRef="_GBC_710dced47e5943589779e071c78c5512" unitRef="_GBC_7e2679155b104d33ba04158c7414bcff" addr="T0R4C3S1_1" formatStyle="Comma"/>
        <m:placeholder xlName="_PLD_06d63ef987134b32b553402ba76eef23" addr="T0R5C0S1_1"/>
        <m:item xlName="_GBC_2a11b280ba2b475fada4f557fac076db" concept="clcid-ci-ar:FuZhu_JiaoYiXingJinRongZiChan" label="附注_交易性金融资产" addr="T0R5C1S1_1"/>
        <m:item xlName="_GBC_0d18f4503b4f4df5a4028ab736c3d0f0" concept="clcid-pte:JiaoYiXingJinRongZiChan" label="交易性金融资产" mulRef="_GBC_710dced47e5943589779e071c78c5512" unitRef="_GBC_7e2679155b104d33ba04158c7414bcff" addr="T0R5C2S1_1" formatStyle="Comma"/>
        <m:item xlName="_GBC_5518998d0307476c814dcb7e1c1eb0f7" concept="clcid-pte:JiaoYiXingJinRongZiChan" label="交易性金融资产" periodRef="上年期末数" mulRef="_GBC_710dced47e5943589779e071c78c5512" unitRef="_GBC_7e2679155b104d33ba04158c7414bcff" addr="T0R5C3S1_1" formatStyle="Comma"/>
        <m:placeholder xlName="_PLD_a2a2e8b160574a929568047f67b21dba" addr="T0R6C0S1_1"/>
        <m:item xlName="_GBC_26726865a3cc499db0c8546eec8ccd4a" concept="clcid-ci-ar:FuZhuYanShengJinRongZiChan" label="附注_衍生金融资产" addr="T0R6C1S1_1"/>
        <m:item xlName="_GBC_763af95e170e44849d50d9e816f3b1ed" concept="clcid-pte:YanShengJinRongZiChan" label="衍生金融资产" mulRef="_GBC_710dced47e5943589779e071c78c5512" unitRef="_GBC_7e2679155b104d33ba04158c7414bcff" addr="T0R6C2S1_1" formatStyle="Comma"/>
        <m:item xlName="_GBC_d547f422082f48de8d3dfff3b31d13d9" concept="clcid-pte:YanShengJinRongZiChan" label="衍生金融资产" periodRef="上年期末数" mulRef="_GBC_710dced47e5943589779e071c78c5512" unitRef="_GBC_7e2679155b104d33ba04158c7414bcff" addr="T0R6C3S1_1" formatStyle="Comma"/>
        <m:placeholder xlName="_PLD_b4275fbbd6c24380aaa849df8e4a5394" addr="T0R7C0S1_1"/>
        <m:item xlName="_GBC_299fd47da4e3470f816c912509737b6c" concept="clcid-ci-ar:FuZhu_YingShouPiaoJu" label="附注_应收票据" addr="T0R7C1S1_1"/>
        <m:item xlName="_GBC_50cc891bdd7a48228b9d44d8aff098c1" concept="clcid-pte:YingShouPiaoJu" label="应收票据" mulRef="_GBC_710dced47e5943589779e071c78c5512" unitRef="_GBC_7e2679155b104d33ba04158c7414bcff" addr="T0R7C2S1_1" formatStyle="Comma"/>
        <m:item xlName="_GBC_7dcb0d5708444614bea5c63e9fcddd41" concept="clcid-pte:YingShouPiaoJu" label="应收票据" periodRef="上年期末数" mulRef="_GBC_710dced47e5943589779e071c78c5512" unitRef="_GBC_7e2679155b104d33ba04158c7414bcff" addr="T0R7C3S1_1" formatStyle="Comma"/>
        <m:placeholder xlName="_PLD_916701d47616495dad873446e57f88f1" addr="T0R8C0S1_1"/>
        <m:item xlName="_GBC_22211e25151242c5801c5f9f31021f46" concept="clcid-ci-ar:FuZhu_YingShouZhangKuan" label="附注_应收帐款" addr="T0R8C1S1_1"/>
        <m:item xlName="_GBC_675190e8b1124e30b7187c65bfa389df" concept="clcid-pte:YingShouZhangKuan" label="应收帐款" mulRef="_GBC_710dced47e5943589779e071c78c5512" unitRef="_GBC_7e2679155b104d33ba04158c7414bcff" addr="T0R8C2S1_1" formatStyle="Comma"/>
        <m:item xlName="_GBC_2a1fdc7610b24747b70fe707220a4d06" concept="clcid-pte:YingShouZhangKuan" label="应收帐款" periodRef="上年期末数" mulRef="_GBC_710dced47e5943589779e071c78c5512" unitRef="_GBC_7e2679155b104d33ba04158c7414bcff" addr="T0R8C3S1_1" formatStyle="Comma"/>
        <m:placeholder xlName="_PLD_d1ffdf4cf3084797bec970e07c957549" addr="T0R9C0S1_1"/>
        <m:item xlName="_GBC_98cce5c55810473ca41b298500f2ad16" concept="clcid-ci-ar:FuZhu_YingShouKuanXiangRongZi" label="附注_应收款项融资" addr="T0R9C1S1_1"/>
        <m:item xlName="_GBC_03af4029252b4b48b3c51090b4f0ddf9" concept="clcid-pte:YingShouKuanXiangRongZi" label="应收款项融资" mulRef="_GBC_710dced47e5943589779e071c78c5512" unitRef="_GBC_7e2679155b104d33ba04158c7414bcff" addr="T0R9C2S1_1" formatStyle="Comma"/>
        <m:item xlName="_GBC_9ccb55ebb53f4255a715ed3ffd8bd741" concept="clcid-pte:YingShouKuanXiangRongZi" label="应收款项融资" periodRef="上年期末数" mulRef="_GBC_710dced47e5943589779e071c78c5512" unitRef="_GBC_7e2679155b104d33ba04158c7414bcff" addr="T0R9C3S1_1" formatStyle="Comma"/>
        <m:placeholder xlName="_PLD_eff32a719f7a407f8e2bd0fc67579696" addr="T0R10C0S1_1"/>
        <m:item xlName="_GBC_0dec3008dfd4451eb7629fa9673fc014" concept="clcid-ci-ar:FuZhu_YuFuZhangKuan" label="附注_预付帐款" addr="T0R10C1S1_1"/>
        <m:item xlName="_GBC_835b98cd0a184187ab66af6d5e50702b" concept="clcid-pte:YuFuZhangKuan" label="预付帐款" mulRef="_GBC_710dced47e5943589779e071c78c5512" unitRef="_GBC_7e2679155b104d33ba04158c7414bcff" addr="T0R10C2S1_1" formatStyle="Comma"/>
        <m:item xlName="_GBC_448f691a636344e0a17973c530dd4ad7" concept="clcid-pte:YuFuZhangKuan" label="预付帐款" periodRef="上年期末数" mulRef="_GBC_710dced47e5943589779e071c78c5512" unitRef="_GBC_7e2679155b104d33ba04158c7414bcff" addr="T0R10C3S1_1" formatStyle="Comma"/>
        <m:placeholder xlName="_PLD_a40cfdfb0ba6490cb057d30f2eced3ad" addr="T0R11C0S1_1"/>
        <m:item xlName="_GBC_93941c30b7404ad6bddba02cf64e9a4a" concept="clcid-ci-ar:FuZhu_YingShouBaoFei" label="附注_应收保费" addr="T0R11C1S1_1"/>
        <m:item xlName="_GBC_389cfba501c949e0b8468ff719a0b072" concept="clcid-pte:YingShouBaoFei" label="应收保费" mulRef="_GBC_710dced47e5943589779e071c78c5512" unitRef="_GBC_7e2679155b104d33ba04158c7414bcff" addr="T0R11C2S1_1" formatStyle="Comma"/>
        <m:item xlName="_GBC_530b0f3dcd6343f7bc93b08ded5d0c06" concept="clcid-pte:YingShouBaoFei" label="应收保费" periodRef="上年期末数" mulRef="_GBC_710dced47e5943589779e071c78c5512" unitRef="_GBC_7e2679155b104d33ba04158c7414bcff" addr="T0R11C3S1_1" formatStyle="Comma"/>
        <m:placeholder xlName="_PLD_78ae33502cc54f38ad943e4f0832ea8d" addr="T0R12C0S1_1"/>
        <m:item xlName="_GBC_bdaa2c064b4f4648ac10b7fe1f307df9" concept="clcid-ci-ar:FuZhu_YingShouFenBaoZhangKuan" label="附注_应收分保账款" addr="T0R12C1S1_1"/>
        <m:item xlName="_GBC_74e0cb47bdec48b894df50bd7089a3b2" concept="clcid-pte:YingShouFenBaoZhangKuan" label="应收分保账款" mulRef="_GBC_710dced47e5943589779e071c78c5512" unitRef="_GBC_7e2679155b104d33ba04158c7414bcff" addr="T0R12C2S1_1" formatStyle="Comma"/>
        <m:item xlName="_GBC_ac1801b93e3d4664921a526228904e99" concept="clcid-pte:YingShouFenBaoZhangKuan" label="应收分保账款" periodRef="上年期末数" mulRef="_GBC_710dced47e5943589779e071c78c5512" unitRef="_GBC_7e2679155b104d33ba04158c7414bcff" addr="T0R12C3S1_1" formatStyle="Comma"/>
        <m:placeholder xlName="_PLD_c81dfd1c51694e04be879fd98e2f222f" addr="T0R13C0S1_1"/>
        <m:item xlName="_GBC_284eeeba062f4c52b260760933f67d44" concept="clcid-ci-ar:FuZhu_YingShouFenBaoHeTongZhunBeiJin" label="附注_应收分保合同准备金" addr="T0R13C1S1_1"/>
        <m:item xlName="_GBC_e554b8b87f084caeb38c83cc16cc4853" concept="clcid-pte:YingShouFenBaoHeTongZhunBeiJin" label="应收分保合同准备金" mulRef="_GBC_710dced47e5943589779e071c78c5512" unitRef="_GBC_7e2679155b104d33ba04158c7414bcff" addr="T0R13C2S1_1" formatStyle="Comma"/>
        <m:item xlName="_GBC_12ad7b4c2c8b4c58b1e353591a6c81ad" concept="clcid-pte:YingShouFenBaoHeTongZhunBeiJin" label="应收分保合同准备金" periodRef="上年期末数" mulRef="_GBC_710dced47e5943589779e071c78c5512" unitRef="_GBC_7e2679155b104d33ba04158c7414bcff" addr="T0R13C3S1_1" formatStyle="Comma"/>
        <m:placeholder xlName="_PLD_14b6c1004ee94e9c86f6872629ce8ec5" addr="T0R14C0S1_1"/>
        <m:item xlName="_GBC_6441aecbe40646bb9357f36d6157337a" concept="clcid-ci-ar:FuZhu_QiTaYingShouKuan" label="附注_其他应收款" addr="T0R14C1S1_1"/>
        <m:item xlName="_GBC_331f9d2606af48bba9becb91b66d380d" concept="clcid-pte:QiTaYingShouKuan" label="其他应收款" mulRef="_GBC_710dced47e5943589779e071c78c5512" unitRef="_GBC_7e2679155b104d33ba04158c7414bcff" addr="T0R14C2S1_1" formatStyle="Comma"/>
        <m:item xlName="_GBC_b99d93bcb2664e34b566c0c2573517ad" concept="clcid-pte:QiTaYingShouKuan" label="其他应收款" periodRef="上年期末数" mulRef="_GBC_710dced47e5943589779e071c78c5512" unitRef="_GBC_7e2679155b104d33ba04158c7414bcff" addr="T0R14C3S1_1" formatStyle="Comma"/>
        <m:placeholder xlName="_PLD_f7b8b5cf09f34b18bdaa893a720147a3" addr="T0R15C0S1_1"/>
        <m:item xlName="_GBC_d6b10121db2441b69cca20db51cf560c" concept="clcid-ci-ar:FuZhu_YingShouLiXi" label="附注_应收利息" addr="T0R15C1S1_1"/>
        <m:item xlName="_GBC_bc464f2553a7476e9d7d3f73cace8e76" concept="clcid-pte:YingShouLiXi" label="应收利息" mulRef="_GBC_710dced47e5943589779e071c78c5512" unitRef="_GBC_7e2679155b104d33ba04158c7414bcff" addr="T0R15C2S1_1" formatStyle="Comma"/>
        <m:item xlName="_GBC_b4aafda7c13a43d0b5619ebf74fa297b" concept="clcid-pte:YingShouLiXi" label="应收利息" periodRef="上年期末数" mulRef="_GBC_710dced47e5943589779e071c78c5512" unitRef="_GBC_7e2679155b104d33ba04158c7414bcff" addr="T0R15C3S1_1" formatStyle="Comma"/>
        <m:placeholder xlName="_PLD_4d3fdbd13bd44399aedfc802cf2f5e84" addr="T0R16C0S1_1"/>
        <m:item xlName="_GBC_3274c8d289084c7a994f58b7efd5abeb" concept="clcid-ci-ar:FuZhu_YingShouGuLi" label="附注_应收股利" addr="T0R16C1S1_1"/>
        <m:item xlName="_GBC_b1e58aa531dd4d8c877c72630a013717" concept="clcid-pte:YingShouGuLi" label="应收股利" mulRef="_GBC_710dced47e5943589779e071c78c5512" unitRef="_GBC_7e2679155b104d33ba04158c7414bcff" addr="T0R16C2S1_1" formatStyle="Comma"/>
        <m:item xlName="_GBC_fd9046f2a6e441e69fae9ab0f105fadb" concept="clcid-pte:YingShouGuLi" label="应收股利" periodRef="上年期末数" mulRef="_GBC_710dced47e5943589779e071c78c5512" unitRef="_GBC_7e2679155b104d33ba04158c7414bcff" addr="T0R16C3S1_1" formatStyle="Comma"/>
        <m:placeholder xlName="_PLD_150565b75bcd4f3c8e385b838e4135fa" addr="T0R17C0S1_1"/>
        <m:item xlName="_GBC_8c90504b420c49668e1d2f3c316b780a" concept="clcid-ci-ar:FuZhu_MaiRuFanShouJinRongZiChan" label="附注_买入返售金融资产" addr="T0R17C1S1_1"/>
        <m:item xlName="_GBC_4ca5a41e56834ebcb195d162375db613" concept="clcid-pte:MaiRuFanShouJinRongZiChan" label="买入返售金融资产" mulRef="_GBC_710dced47e5943589779e071c78c5512" unitRef="_GBC_7e2679155b104d33ba04158c7414bcff" addr="T0R17C2S1_1" formatStyle="Comma"/>
        <m:item xlName="_GBC_e91a235778ab428d88650e62209cca72" concept="clcid-pte:MaiRuFanShouJinRongZiChan" label="买入返售金融资产" periodRef="上年期末数" mulRef="_GBC_710dced47e5943589779e071c78c5512" unitRef="_GBC_7e2679155b104d33ba04158c7414bcff" addr="T0R17C3S1_1" formatStyle="Comma"/>
        <m:placeholder xlName="_PLD_0967af437eee4294b4f611b5abd91937" addr="T0R18C0S1_1"/>
        <m:item xlName="_GBC_ad60a2e9b1cf496c8bb2aacc7ba50f2d" concept="clcid-ci-ar:FuZhu_CunHuo" label="附注_存货" addr="T0R18C1S1_1"/>
        <m:item xlName="_GBC_1c15d618709c44aba5187e70e6846bfb" concept="clcid-pte:CunHuo" label="存货" mulRef="_GBC_710dced47e5943589779e071c78c5512" unitRef="_GBC_7e2679155b104d33ba04158c7414bcff" addr="T0R18C2S1_1" formatStyle="Comma"/>
        <m:item xlName="_GBC_efbff5add04d4af4b53338cd8033fcae" concept="clcid-pte:CunHuo" label="存货" periodRef="上年期末数" mulRef="_GBC_710dced47e5943589779e071c78c5512" unitRef="_GBC_7e2679155b104d33ba04158c7414bcff" addr="T0R18C3S1_1" formatStyle="Comma"/>
        <m:placeholder xlName="_PLD_9ecfb75d6b6f43eaab87b9fe006ab819" addr="T0R19C0S1_1"/>
        <m:item xlName="_GBC_cceb8956570c4f7fa266a6c487528464" concept="clcid-ci-ar:FuZhu_HeTongZiChan" label="附注_合同资产" addr="T0R19C1S1_1"/>
        <m:item xlName="_GBC_e294ffb5155c4f2c8b03aadd848a3189" concept="clcid-pte:HeTongZiChan" label="合同资产" mulRef="_GBC_710dced47e5943589779e071c78c5512" unitRef="_GBC_7e2679155b104d33ba04158c7414bcff" addr="T0R19C2S1_1" formatStyle="Comma"/>
        <m:item xlName="_GBC_376b7334a9b8488f9bc94e34a2877694" concept="clcid-pte:HeTongZiChan" label="合同资产" periodRef="上年期末数" mulRef="_GBC_710dced47e5943589779e071c78c5512" unitRef="_GBC_7e2679155b104d33ba04158c7414bcff" addr="T0R19C3S1_1" formatStyle="Comma"/>
        <m:placeholder xlName="_PLD_20a26361e8f8463bbf996022971e66c0" addr="T0R20C0S1_1"/>
        <m:item xlName="_GBC_31bdf453fd3d4919a76e4d51964427ba" concept="clcid-ci-ar:FuZhuHuaFenWeiChiYouDaiShouDeZiChan" label="附注_划分为持有待售的资产" addr="T0R20C1S1_1"/>
        <m:item xlName="_GBC_3232b820dd2649e8bf5b1bd3bc6a587b" concept="clcid-pte:HuaFenWeiChiYouDaiShouDeZiChan" label="划分为持有待售的资产" mulRef="_GBC_710dced47e5943589779e071c78c5512" unitRef="_GBC_7e2679155b104d33ba04158c7414bcff" addr="T0R20C2S1_1" formatStyle="Comma"/>
        <m:item xlName="_GBC_a8f641ab3fbf43b38c47517a2283c3ef" concept="clcid-pte:HuaFenWeiChiYouDaiShouDeZiChan" label="划分为持有待售的资产" periodRef="上年期末数" mulRef="_GBC_710dced47e5943589779e071c78c5512" unitRef="_GBC_7e2679155b104d33ba04158c7414bcff" addr="T0R20C3S1_1" formatStyle="Comma"/>
        <m:placeholder xlName="_PLD_85034baf09ae473db2e4694be7430d29" addr="T0R21C0S1_1"/>
        <m:item xlName="_GBC_633cd6754ad346faad661dfc0aff710a" concept="clcid-ci-ar:FuZhu_YiNianNeiDaoQiDeFeiLiuDongZiChan" label="附注_一年内到期的非流动资产" addr="T0R21C1S1_1"/>
        <m:item xlName="_GBC_cff18044084f49a6b807ce11cbd59d7d" concept="clcid-pte:YiNianNeiDaoQiDeFeiLiuDongZiChan" label="一年内到期的非流动资产" mulRef="_GBC_710dced47e5943589779e071c78c5512" unitRef="_GBC_7e2679155b104d33ba04158c7414bcff" addr="T0R21C2S1_1" formatStyle="Comma"/>
        <m:item xlName="_GBC_598d7d3306c94d939428071c1e87b347" concept="clcid-pte:YiNianNeiDaoQiDeFeiLiuDongZiChan" label="一年内到期的非流动资产" periodRef="上年期末数" mulRef="_GBC_710dced47e5943589779e071c78c5512" unitRef="_GBC_7e2679155b104d33ba04158c7414bcff" addr="T0R21C3S1_1" formatStyle="Comma"/>
        <m:placeholder xlName="_PLD_59111301b0474503970c30d14c6c16c1" addr="T0R22C0S1_1"/>
        <m:item xlName="_GBC_c47ff333642f487eb742ddb651a9739a" concept="clcid-ci-ar:FuZhu_QiTaLiuDongZiChan" label="附注_其他流动资产" addr="T0R22C1S1_1"/>
        <m:item xlName="_GBC_bebe65c01a614357930856c38fc46dcf" concept="clcid-pte:QiTaLiuDongZiChan" label="其他流动资产" mulRef="_GBC_710dced47e5943589779e071c78c5512" unitRef="_GBC_7e2679155b104d33ba04158c7414bcff" addr="T0R22C2S1_1" formatStyle="Comma"/>
        <m:item xlName="_GBC_f6ec0b2f65f54ab5b066c767a9f9f731" concept="clcid-pte:QiTaLiuDongZiChan" label="其他流动资产" periodRef="上年期末数" mulRef="_GBC_710dced47e5943589779e071c78c5512" unitRef="_GBC_7e2679155b104d33ba04158c7414bcff" addr="T0R22C3S1_1" formatStyle="Comma"/>
        <m:placeholder xlName="_PLD_e89c5fc1115a4751868d93f96af78d12" addr="T0R23C0S1_1"/>
        <m:item xlName="_GBC_11499744e08143559b68042a841ecfdb" concept="clcid-ci-ar:FuZhu_LiuDongZiChanHeJi" label="附注_流动资产合计" addr="T0R23C1S1_1"/>
        <m:item xlName="_GBC_dc111c69eafc43819221194075daccb8" concept="clcid-pte:LiuDongZiChanHeJi" label="流动资产合计" mulRef="_GBC_710dced47e5943589779e071c78c5512" unitRef="_GBC_7e2679155b104d33ba04158c7414bcff" addr="T0R23C2S1_1" formatStyle="Comma">
          <m:complexRule comparator="Eq" title="流动资产合计" test=" $_GBC_405321b51bdf4098912f70d96acd44da +  $_GBC_5e22df72c8ac4a4bb82ace8f629d4c93 +  $_GBC_f0ffab9724c1423a9e28a05347e07acb +  $_GBC_0d18f4503b4f4df5a4028ab736c3d0f0 +  $_GBC_763af95e170e44849d50d9e816f3b1ed +  $_GBC_50cc891bdd7a48228b9d44d8aff098c1 +  $_GBC_675190e8b1124e30b7187c65bfa389df +  $_GBC_03af4029252b4b48b3c51090b4f0ddf9 +  $_GBC_835b98cd0a184187ab66af6d5e50702b +  $_GBC_389cfba501c949e0b8468ff719a0b072 +  $_GBC_74e0cb47bdec48b894df50bd7089a3b2 +  $_GBC_e554b8b87f084caeb38c83cc16cc4853 +  $_GBC_331f9d2606af48bba9becb91b66d380d +  $_GBC_4ca5a41e56834ebcb195d162375db613 +  $_GBC_1c15d618709c44aba5187e70e6846bfb +  $_GBC_e294ffb5155c4f2c8b03aadd848a3189 +  $_GBC_3232b820dd2649e8bf5b1bd3bc6a587b +  $_GBC_cff18044084f49a6b807ce11cbd59d7d +  $_GBC_bebe65c01a614357930856c38fc46dcf" id="Cb2fa0812e37743438c5d99b1a8c933aa"/>
        </m:item>
        <m:item xlName="_GBC_f75ac84f62bd4e088401c46cf82c6ce9" concept="clcid-pte:LiuDongZiChanHeJi" label="流动资产合计" periodRef="上年期末数" mulRef="_GBC_710dced47e5943589779e071c78c5512" unitRef="_GBC_7e2679155b104d33ba04158c7414bcff" addr="T0R23C3S1_1" formatStyle="Comma">
          <m:complexRule comparator="Eq" title="流动资产合计@上年期末数" test=" $_GBC_9a415952020e4e1fb6c4e1faf41143f8 +  $_GBC_29dcfc574c7244cb94bfbf12ecb7ef9c +  $_GBC_2b1d67b1ef0b4abaa6cb4ef42d93828c +  $_GBC_5518998d0307476c814dcb7e1c1eb0f7 +  $_GBC_d547f422082f48de8d3dfff3b31d13d9 +  $_GBC_7dcb0d5708444614bea5c63e9fcddd41 +  $_GBC_2a1fdc7610b24747b70fe707220a4d06 +  $_GBC_9ccb55ebb53f4255a715ed3ffd8bd741 +  $_GBC_448f691a636344e0a17973c530dd4ad7 +  $_GBC_530b0f3dcd6343f7bc93b08ded5d0c06 +  $_GBC_ac1801b93e3d4664921a526228904e99 +  $_GBC_12ad7b4c2c8b4c58b1e353591a6c81ad +  $_GBC_b99d93bcb2664e34b566c0c2573517ad +  $_GBC_e91a235778ab428d88650e62209cca72 +  $_GBC_efbff5add04d4af4b53338cd8033fcae +  $_GBC_376b7334a9b8488f9bc94e34a2877694 +  $_GBC_a8f641ab3fbf43b38c47517a2283c3ef +  $_GBC_598d7d3306c94d939428071c1e87b347 +  $_GBC_f6ec0b2f65f54ab5b066c767a9f9f731" id="C588cb6e7a1304a57bad745b7db72a8ae"/>
        </m:item>
        <m:placeholder xlName="_PLD_66ac6acc14e74939b5cc43190a3afd2b" addr="T0R24C0S1_1"/>
        <m:placeholder xlName="_PLD_22aa48a975974ca794a64ae94835362c" addr="T0R25C0S1_1"/>
        <m:item xlName="_GBC_43fbcc46c2ab431695dcb4116eaea1db" concept="clcid-ci-ar:FuZhu_FaFangDaiKuanJiDianKuan" label="附注_发放贷款及垫款" addr="T0R25C1S1_1"/>
        <m:item xlName="_GBC_ba6fcdca2eb344deb12090fca4a7fafe" concept="clcid-pte:FaFangDaiKuanHeDianKuan" label="发放贷款和垫款" mulRef="_GBC_710dced47e5943589779e071c78c5512" unitRef="_GBC_7e2679155b104d33ba04158c7414bcff" addr="T0R25C2S1_1" formatStyle="Comma"/>
        <m:item xlName="_GBC_497ef354674043f0a7aad5883dc1c6fd" concept="clcid-pte:FaFangDaiKuanHeDianKuan" label="发放贷款和垫款" periodRef="上年期末数" mulRef="_GBC_710dced47e5943589779e071c78c5512" unitRef="_GBC_7e2679155b104d33ba04158c7414bcff" addr="T0R25C3S1_1" formatStyle="Comma"/>
        <m:placeholder xlName="_PLD_bb4e85a6b3e74bac9cd4834b80365bf5" addr="T0R26C0S1_1"/>
        <m:item xlName="_GBC_ce01f4f56489496fb46202690cf1e0d9" concept="clcid-ci-ar:FuZhu_ZhaiQuanTouZi" label="附注_债权投资" addr="T0R26C1S1_1"/>
        <m:item xlName="_GBC_edefd4d48b2d48029e68a2fa35867340" concept="clcid-pte:ZhaiQuanTouZi" label="债权投资" mulRef="_GBC_710dced47e5943589779e071c78c5512" unitRef="_GBC_7e2679155b104d33ba04158c7414bcff" addr="T0R26C2S1_1" formatStyle="Comma"/>
        <m:item xlName="_GBC_9395cdbe363545aeaa06bea7f09bec20" concept="clcid-pte:ZhaiQuanTouZi" label="债权投资" periodRef="上年期末数" mulRef="_GBC_710dced47e5943589779e071c78c5512" unitRef="_GBC_7e2679155b104d33ba04158c7414bcff" addr="T0R26C3S1_1" formatStyle="Comma"/>
        <m:placeholder xlName="_PLD_1a42e80c658846cda83a637d16a3300f" addr="T0R27C0S1_1"/>
        <m:item xlName="_GBC_3fcbf18c83114c4d9f87199c1f27132c" concept="clcid-ci-ar:FuZhu_QiTaZhaiQuanTouZi" label="附注_其他债权投资" addr="T0R27C1S1_1"/>
        <m:item xlName="_GBC_8a78e08b4946474a87ee959c99479430" concept="clcid-pte:QiTaZhaiQuanTouZi" label="其他债权投资" mulRef="_GBC_710dced47e5943589779e071c78c5512" unitRef="_GBC_7e2679155b104d33ba04158c7414bcff" addr="T0R27C2S1_1" formatStyle="Comma"/>
        <m:item xlName="_GBC_80b9ea3fbfde4a74a795551c5978f171" concept="clcid-pte:QiTaZhaiQuanTouZi" label="其他债权投资" periodRef="上年期末数" mulRef="_GBC_710dced47e5943589779e071c78c5512" unitRef="_GBC_7e2679155b104d33ba04158c7414bcff" addr="T0R27C3S1_1" formatStyle="Comma"/>
        <m:placeholder xlName="_PLD_235e8def5b4b4c7abc05596f3566e5ca" addr="T0R28C0S1_1"/>
        <m:item xlName="_GBC_88339d75411a40799dac7cdb2a34ba95" concept="clcid-ci-ar:FuZhu_ChangQiYingShouKuan" label="附注_长期应收款" addr="T0R28C1S1_1"/>
        <m:item xlName="_GBC_41324c4bf3cd4c12a90b5eda3f3b6cea" concept="clcid-pte:ChangQiYingShouKuan" label="长期应收款" mulRef="_GBC_710dced47e5943589779e071c78c5512" unitRef="_GBC_7e2679155b104d33ba04158c7414bcff" addr="T0R28C2S1_1" formatStyle="Comma"/>
        <m:item xlName="_GBC_b58f0f6acdf940d589db071ddd8d3d97" concept="clcid-pte:ChangQiYingShouKuan" label="长期应收款" periodRef="上年期末数" mulRef="_GBC_710dced47e5943589779e071c78c5512" unitRef="_GBC_7e2679155b104d33ba04158c7414bcff" addr="T0R28C3S1_1" formatStyle="Comma"/>
        <m:placeholder xlName="_PLD_a03693997f484cfcaa912b0e71d5709d" addr="T0R29C0S1_1"/>
        <m:item xlName="_GBC_ea3bc2a988224408a6ffe6b633957a4f" concept="clcid-ci-ar:FuZhu_ChangQiGuQuanTouZi" label="附注_长期股权投资" addr="T0R29C1S1_1"/>
        <m:item xlName="_GBC_f18be2917e9c42dea6bafed8bbcab83e" concept="clcid-pte:ChangQiGuQuanTouZi" label="长期股权投资" mulRef="_GBC_710dced47e5943589779e071c78c5512" unitRef="_GBC_7e2679155b104d33ba04158c7414bcff" addr="T0R29C2S1_1" formatStyle="Comma"/>
        <m:item xlName="_GBC_5397a886f5f04a4c981d8ed07298edfb" concept="clcid-pte:ChangQiGuQuanTouZi" label="长期股权投资" periodRef="上年期末数" mulRef="_GBC_710dced47e5943589779e071c78c5512" unitRef="_GBC_7e2679155b104d33ba04158c7414bcff" addr="T0R29C3S1_1" formatStyle="Comma"/>
        <m:placeholder xlName="_PLD_3c57523e7f9d4490b8fc01da554e0edf" addr="T0R30C0S1_1"/>
        <m:item xlName="_GBC_ee2595cc09494398ab7255ee88952abc" concept="clcid-ci-ar:FuZhu_QiTaQuanYiGongJuTouZi" label="附注_其他权益工具投资" addr="T0R30C1S1_1"/>
        <m:item xlName="_GBC_22eaf9f5efb94f10abc827becfc06c01" concept="clcid-pte:QiTaQuanYiGongJuTouZi" label="其他权益工具投资" mulRef="_GBC_710dced47e5943589779e071c78c5512" unitRef="_GBC_7e2679155b104d33ba04158c7414bcff" addr="T0R30C2S1_1" formatStyle="Comma"/>
        <m:item xlName="_GBC_32ae8cebd63c42b8981eed9b36c8c41e" concept="clcid-pte:QiTaQuanYiGongJuTouZi" label="其他权益工具投资" periodRef="上年期末数" mulRef="_GBC_710dced47e5943589779e071c78c5512" unitRef="_GBC_7e2679155b104d33ba04158c7414bcff" addr="T0R30C3S1_1" formatStyle="Comma"/>
        <m:placeholder xlName="_PLD_989d47082a034512856b0d9af89eed72" addr="T0R31C0S1_1"/>
        <m:item xlName="_GBC_6fe6ec75ed914a45933b39e74ae95db1" concept="clcid-ci-ar:FuZhu_QiTaFeiLiuDongJinRongZiChan" label="附注_其他非流动金融资产" addr="T0R31C1S1_1"/>
        <m:item xlName="_GBC_c8c65f0af3c049e7b7362bd63adb9cf7" concept="clcid-pte:QiTaFeiLiuDongJinRongZiChan" label="其他非流动金融资产" mulRef="_GBC_710dced47e5943589779e071c78c5512" unitRef="_GBC_7e2679155b104d33ba04158c7414bcff" addr="T0R31C2S1_1" formatStyle="Comma"/>
        <m:item xlName="_GBC_e5ad6931b032432e852d176e61102eb2" concept="clcid-pte:QiTaFeiLiuDongJinRongZiChan" label="其他非流动金融资产" periodRef="上年期末数" mulRef="_GBC_710dced47e5943589779e071c78c5512" unitRef="_GBC_7e2679155b104d33ba04158c7414bcff" addr="T0R31C3S1_1" formatStyle="Comma"/>
        <m:placeholder xlName="_PLD_4684cd13f34942aabf4f5a55f1148c84" addr="T0R32C0S1_1"/>
        <m:item xlName="_GBC_db79fe9224c644d982d5521336f35bca" concept="clcid-ci-ar:FuZhu_TouZiXingFangDiChan" label="附注_投资性房地产" addr="T0R32C1S1_1"/>
        <m:item xlName="_GBC_650fc03ed65b483ebfbce58beff4a040" concept="clcid-pte:TouZiXingFangDiChan" label="投资性房地产" mulRef="_GBC_710dced47e5943589779e071c78c5512" unitRef="_GBC_7e2679155b104d33ba04158c7414bcff" addr="T0R32C2S1_1" formatStyle="Comma"/>
        <m:item xlName="_GBC_f227ff74bd504428b8eefeeb35b85dd5" concept="clcid-pte:TouZiXingFangDiChan" label="投资性房地产" periodRef="上年期末数" mulRef="_GBC_710dced47e5943589779e071c78c5512" unitRef="_GBC_7e2679155b104d33ba04158c7414bcff" addr="T0R32C3S1_1" formatStyle="Comma"/>
        <m:placeholder xlName="_PLD_ea85d42312a14428bf960d1d9ac28904" addr="T0R33C0S1_1"/>
        <m:item xlName="_GBC_f1d622eece2f4f079fe46532db9a0e1a" concept="clcid-ci-ar:FuZhu_GuDingZiChanJingE" label="附注_固定资产净额" addr="T0R33C1S1_1"/>
        <m:item xlName="_GBC_d070396dd75c4200ac6c5037b5dacb21" concept="clcid-pte:GuDingZiChanJingE" label="固定资产净额" mulRef="_GBC_710dced47e5943589779e071c78c5512" unitRef="_GBC_7e2679155b104d33ba04158c7414bcff" addr="T0R33C2S1_1" formatStyle="Comma"/>
        <m:item xlName="_GBC_ea69583fe19e4401a0d17f120b2a7c0d" concept="clcid-pte:GuDingZiChanJingE" label="固定资产净额" periodRef="上年期末数" mulRef="_GBC_710dced47e5943589779e071c78c5512" unitRef="_GBC_7e2679155b104d33ba04158c7414bcff" addr="T0R33C3S1_1" formatStyle="Comma"/>
        <m:placeholder xlName="_PLD_6572a20e6bfc4146a00336e842a92a6c" addr="T0R34C0S1_1"/>
        <m:item xlName="_GBC_ba00b2afb3a5416f8300d71d53549128" concept="clcid-ci-ar:FuZhu_ZaiJianGongCheng" label="附注_在建工程" addr="T0R34C1S1_1"/>
        <m:item xlName="_GBC_f280090492fe476581288324a7645bf7" concept="clcid-pte:ZaiJianGongCheng" label="在建工程" mulRef="_GBC_710dced47e5943589779e071c78c5512" unitRef="_GBC_7e2679155b104d33ba04158c7414bcff" addr="T0R34C2S1_1" formatStyle="Comma"/>
        <m:item xlName="_GBC_12611b95cffb4a0382051694f894579c" concept="clcid-pte:ZaiJianGongCheng" label="在建工程" periodRef="上年期末数" mulRef="_GBC_710dced47e5943589779e071c78c5512" unitRef="_GBC_7e2679155b104d33ba04158c7414bcff" addr="T0R34C3S1_1" formatStyle="Comma"/>
        <m:placeholder xlName="_PLD_681c8940563045f7a9114e64a64c0cbb" addr="T0R35C0S1_1"/>
        <m:item xlName="_GBC_3c8ee7f441f24e15ac5916bd6b8928f2" concept="clcid-ci-ar:FuZhu_ShengChanXingShengWuZiChan" label="附注_生产性生物资产" addr="T0R35C1S1_1"/>
        <m:item xlName="_GBC_2041aac9a2804f63910544419af09432" concept="clcid-pte:ShengChanXingShengWuZiChan" label="生产性生物资产" mulRef="_GBC_710dced47e5943589779e071c78c5512" unitRef="_GBC_7e2679155b104d33ba04158c7414bcff" addr="T0R35C2S1_1" formatStyle="Comma"/>
        <m:item xlName="_GBC_32ac7fecad9340f89be8f8b1b66d755c" concept="clcid-pte:ShengChanXingShengWuZiChan" label="生产性生物资产" periodRef="上年期末数" mulRef="_GBC_710dced47e5943589779e071c78c5512" unitRef="_GBC_7e2679155b104d33ba04158c7414bcff" addr="T0R35C3S1_1" formatStyle="Comma"/>
        <m:placeholder xlName="_PLD_86e2225c67a84720afd738287a9c2365" addr="T0R36C0S1_1"/>
        <m:item xlName="_GBC_d5ed5dca94ea4064bb6c1d9e67d3ff84" concept="clcid-ci-ar:FuZhu_YouQiZiChan" label="附注_油气资产" addr="T0R36C1S1_1"/>
        <m:item xlName="_GBC_dfa6a08f2a6241a892de9a7aa6010ae2" concept="clcid-pte:YouQiZiChan" label="油气资产" mulRef="_GBC_710dced47e5943589779e071c78c5512" unitRef="_GBC_7e2679155b104d33ba04158c7414bcff" addr="T0R36C2S1_1" formatStyle="Comma"/>
        <m:item xlName="_GBC_83de3c61d43f47a18e356ff42105f0c2" concept="clcid-pte:YouQiZiChan" label="油气资产" periodRef="上年期末数" mulRef="_GBC_710dced47e5943589779e071c78c5512" unitRef="_GBC_7e2679155b104d33ba04158c7414bcff" addr="T0R36C3S1_1" formatStyle="Comma"/>
        <m:placeholder xlName="_PLD_eb039fa9358a43b398f3274466785fc8" addr="T0R37C0S1_1"/>
        <m:item xlName="_GBC_b5df1a62c9a04df38d71efd61c12c40b" concept="clcid-ci-ar:FuZhu_ShiYongQuanZiChan" label="附注_使用权资产" addr="T0R37C1S1_1"/>
        <m:item xlName="_GBC_60b43fc03e014bf3bcf6ad191ccb87b9" concept="clcid-pte:ShiYongQuanZiChan" label="使用权资产" mulRef="_GBC_710dced47e5943589779e071c78c5512" unitRef="_GBC_7e2679155b104d33ba04158c7414bcff" addr="T0R37C2S1_1" formatStyle="Comma"/>
        <m:item xlName="_GBC_80dcb24939ec40efbc7b3f781842db06" concept="clcid-pte:ShiYongQuanZiChan" label="使用权资产" periodRef="上年期末数" mulRef="_GBC_710dced47e5943589779e071c78c5512" unitRef="_GBC_7e2679155b104d33ba04158c7414bcff" addr="T0R37C3S1_1" formatStyle="Comma"/>
        <m:placeholder xlName="_PLD_f9f0cc8ce8dc4387b1611032921da1ea" addr="T0R38C0S1_1"/>
        <m:item xlName="_GBC_1b2bad4bef0249c9bcb3fc2f9666d89d" concept="clcid-ci-ar:FuZhu_WuXingZiChan" label="附注_无形资产" addr="T0R38C1S1_1"/>
        <m:item xlName="_GBC_0bb05f6624784fbfb71bfba3b267ece3" concept="clcid-pte:WuXingZiChan" label="无形资产" mulRef="_GBC_710dced47e5943589779e071c78c5512" unitRef="_GBC_7e2679155b104d33ba04158c7414bcff" addr="T0R38C2S1_1" formatStyle="Comma"/>
        <m:item xlName="_GBC_d52216a8239c48268e3da9e8465f5a1f" concept="clcid-pte:WuXingZiChan" label="无形资产" periodRef="上年期末数" mulRef="_GBC_710dced47e5943589779e071c78c5512" unitRef="_GBC_7e2679155b104d33ba04158c7414bcff" addr="T0R38C3S1_1" formatStyle="Comma"/>
        <m:placeholder xlName="_PLD_9e19501f4749495c8e2c099358304536" addr="T0R39C0S1_1"/>
        <m:item xlName="_GBC_3d536a64bfe14912800ef0c1a10e77ec" concept="clcid-ci-ar:FuZhu_KaiFaZhiChu" label="附注_开发支出" addr="T0R39C1S1_1"/>
        <m:item xlName="_GBC_3e7bcbfb79474a44a0c806a49f0d4f2a" concept="clcid-pte:KaiFaZhiChu" label="开发支出" mulRef="_GBC_710dced47e5943589779e071c78c5512" unitRef="_GBC_7e2679155b104d33ba04158c7414bcff" addr="T0R39C2S1_1" formatStyle="Comma"/>
        <m:item xlName="_GBC_cb91824c65bb456c82de586c275a15a6" concept="clcid-pte:KaiFaZhiChu" label="开发支出" periodRef="上年期末数" mulRef="_GBC_710dced47e5943589779e071c78c5512" unitRef="_GBC_7e2679155b104d33ba04158c7414bcff" addr="T0R39C3S1_1" formatStyle="Comma"/>
        <m:placeholder xlName="_PLD_f8ed91a88675406ea5643bb20525ebab" addr="T0R40C0S1_1"/>
        <m:item xlName="_GBC_2e3dbe602f2f4da1bd18dd8a65e91df9" concept="clcid-ci-ar:FuZhu_ShangYu" label="附注_商誉" addr="T0R40C1S1_1"/>
        <m:item xlName="_GBC_56574edcf21341e18423741330a1a04b" concept="clcid-pte:ShangYu" label="商誉" mulRef="_GBC_710dced47e5943589779e071c78c5512" unitRef="_GBC_7e2679155b104d33ba04158c7414bcff" addr="T0R40C2S1_1" formatStyle="Comma"/>
        <m:item xlName="_GBC_0c00dbd7bd5f4dcdab6b2d77c77c956b" concept="clcid-pte:ShangYu" label="商誉" periodRef="上年期末数" mulRef="_GBC_710dced47e5943589779e071c78c5512" unitRef="_GBC_7e2679155b104d33ba04158c7414bcff" addr="T0R40C3S1_1" formatStyle="Comma"/>
        <m:placeholder xlName="_PLD_c7616aaf37e541948f0c2ca1f9b68af9" addr="T0R41C0S1_1"/>
        <m:item xlName="_GBC_6155bdc83d814d3fb12fd75d7a53904b" concept="clcid-ci-ar:FuZhu_ChangQiDaiTanFeiYong" label="附注_长期待摊费用" addr="T0R41C1S1_1"/>
        <m:item xlName="_GBC_3150ede79fd34d09a073af9d5de34061" concept="clcid-pte:ChangQiDaiTanFeiYong" label="长期待摊费用" mulRef="_GBC_710dced47e5943589779e071c78c5512" unitRef="_GBC_7e2679155b104d33ba04158c7414bcff" addr="T0R41C2S1_1" formatStyle="Comma"/>
        <m:item xlName="_GBC_8aad697a2b0a4dd6a3cf0bda419a6319" concept="clcid-pte:ChangQiDaiTanFeiYong" label="长期待摊费用" periodRef="上年期末数" mulRef="_GBC_710dced47e5943589779e071c78c5512" unitRef="_GBC_7e2679155b104d33ba04158c7414bcff" addr="T0R41C3S1_1" formatStyle="Comma"/>
        <m:placeholder xlName="_PLD_831746b98bdc4418bed3ce5f97331371" addr="T0R42C0S1_1"/>
        <m:item xlName="_GBC_bb162c6d9bac4e318556e24bd8415e0b" concept="clcid-ci-ar:FuZhu_DiYanShuiKuanJieXiangHeJi" label="附注_递延税款借项合计" addr="T0R42C1S1_1"/>
        <m:item xlName="_GBC_cc279e164e484f32b08ccb6ec317318f" concept="clcid-pte:DiYanShuiKuanJieXiangHeJi" label="递延税款借项合计" mulRef="_GBC_710dced47e5943589779e071c78c5512" unitRef="_GBC_7e2679155b104d33ba04158c7414bcff" addr="T0R42C2S1_1" formatStyle="Comma"/>
        <m:item xlName="_GBC_bec4421fb3964bb494230a137ffe1fc0" concept="clcid-pte:DiYanShuiKuanJieXiangHeJi" label="递延税款借项合计" periodRef="上年期末数" mulRef="_GBC_710dced47e5943589779e071c78c5512" unitRef="_GBC_7e2679155b104d33ba04158c7414bcff" addr="T0R42C3S1_1" formatStyle="Comma"/>
        <m:placeholder xlName="_PLD_b16d4dbbdf9e4712984ce3d90131c10b" addr="T0R43C0S1_1"/>
        <m:item xlName="_GBC_b95b09b9741348c493c82fef3ac3b406" concept="clcid-ci-ar:FuZhu_QiTaChangQiZiChan" label="附注_其他长期资产" addr="T0R43C1S1_1"/>
        <m:item xlName="_GBC_3fb2f8bb657f4ff0a9bbb5927331b613" concept="clcid-pte:QiTaChangQiZiChan" label="其他长期资产" mulRef="_GBC_710dced47e5943589779e071c78c5512" unitRef="_GBC_7e2679155b104d33ba04158c7414bcff" addr="T0R43C2S1_1" formatStyle="Comma"/>
        <m:item xlName="_GBC_82b858e59ff14a4daeea5d4b0abf36fb" concept="clcid-pte:QiTaChangQiZiChan" label="其他长期资产" periodRef="上年期末数" mulRef="_GBC_710dced47e5943589779e071c78c5512" unitRef="_GBC_7e2679155b104d33ba04158c7414bcff" addr="T0R43C3S1_1" formatStyle="Comma"/>
        <m:placeholder xlName="_PLD_244b63fab9214d849ab2fc2afd25f0a8" addr="T0R44C0S1_1"/>
        <m:item xlName="_GBC_23f8abdd7db142e5bda0d70e9ee6dd85" concept="clcid-ci-ar:FuZhu_FeiLiuDongZiChanHeJi" label="附注_非流动资产合计" addr="T0R44C1S1_1"/>
        <m:item xlName="_GBC_c487f2261b074feb85a7294cf46ffe73" concept="clcid-pte:FeiLiuDongZiChanHeJi" label="非流动资产合计" mulRef="_GBC_710dced47e5943589779e071c78c5512" unitRef="_GBC_7e2679155b104d33ba04158c7414bcff" addr="T0R44C2S1_1" formatStyle="Comma">
          <m:complexRule comparator="Eq" title="非流动资产合计" test=" $_GBC_ba6fcdca2eb344deb12090fca4a7fafe +  $_GBC_edefd4d48b2d48029e68a2fa35867340 +  $_GBC_8a78e08b4946474a87ee959c99479430 +  $_GBC_41324c4bf3cd4c12a90b5eda3f3b6cea +  $_GBC_f18be2917e9c42dea6bafed8bbcab83e +  $_GBC_22eaf9f5efb94f10abc827becfc06c01 +  $_GBC_c8c65f0af3c049e7b7362bd63adb9cf7 +  $_GBC_650fc03ed65b483ebfbce58beff4a040 +  $_GBC_d070396dd75c4200ac6c5037b5dacb21 +  $_GBC_f280090492fe476581288324a7645bf7 +  $_GBC_2041aac9a2804f63910544419af09432 +  $_GBC_dfa6a08f2a6241a892de9a7aa6010ae2 +  $_GBC_60b43fc03e014bf3bcf6ad191ccb87b9 +  $_GBC_0bb05f6624784fbfb71bfba3b267ece3 +  $_GBC_3e7bcbfb79474a44a0c806a49f0d4f2a +  $_GBC_56574edcf21341e18423741330a1a04b +  $_GBC_3150ede79fd34d09a073af9d5de34061 +  $_GBC_cc279e164e484f32b08ccb6ec317318f +  $_GBC_3fb2f8bb657f4ff0a9bbb5927331b613" id="C3bf5cd1aa7374c7183b8ef10dde3ebc7"/>
        </m:item>
        <m:item xlName="_GBC_26a36b103b874c209001c3df79eec9bc" concept="clcid-pte:FeiLiuDongZiChanHeJi" label="非流动资产合计" periodRef="上年期末数" mulRef="_GBC_710dced47e5943589779e071c78c5512" unitRef="_GBC_7e2679155b104d33ba04158c7414bcff" addr="T0R44C3S1_1" formatStyle="Comma">
          <m:complexRule comparator="Eq" title="非流动资产合计@上年期末数" test=" $_GBC_497ef354674043f0a7aad5883dc1c6fd +  $_GBC_9395cdbe363545aeaa06bea7f09bec20 +  $_GBC_80b9ea3fbfde4a74a795551c5978f171 +  $_GBC_b58f0f6acdf940d589db071ddd8d3d97 +  $_GBC_5397a886f5f04a4c981d8ed07298edfb +  $_GBC_32ae8cebd63c42b8981eed9b36c8c41e +  $_GBC_e5ad6931b032432e852d176e61102eb2 +  $_GBC_f227ff74bd504428b8eefeeb35b85dd5 +  $_GBC_ea69583fe19e4401a0d17f120b2a7c0d +  $_GBC_12611b95cffb4a0382051694f894579c +  $_GBC_32ac7fecad9340f89be8f8b1b66d755c +  $_GBC_83de3c61d43f47a18e356ff42105f0c2 +  $_GBC_80dcb24939ec40efbc7b3f781842db06 +  $_GBC_d52216a8239c48268e3da9e8465f5a1f +  $_GBC_cb91824c65bb456c82de586c275a15a6 +  $_GBC_0c00dbd7bd5f4dcdab6b2d77c77c956b +  $_GBC_8aad697a2b0a4dd6a3cf0bda419a6319 +  $_GBC_bec4421fb3964bb494230a137ffe1fc0 +  $_GBC_82b858e59ff14a4daeea5d4b0abf36fb" id="Cf425c5a078ba4d0c95c33423398460fb"/>
        </m:item>
        <m:placeholder xlName="_PLD_6e563319c2e4471398624f06f1db4a4e" addr="T0R45C0S1_1"/>
        <m:item xlName="_GBC_fec5c916b5f2453b9e3ca63fb831042f" concept="clcid-ci-ar:FuZhu_ZiChanZongJi" label="附注_资产总计" addr="T0R45C1S1_1"/>
        <m:item xlName="_GBC_818baf872bc741fc93539225845dada4" concept="clcid-pte:ZiChanZongJi" label="资产总计" mulRef="_GBC_710dced47e5943589779e071c78c5512" unitRef="_GBC_7e2679155b104d33ba04158c7414bcff" addr="T0R45C2S1_1" formatStyle="Comma">
          <m:complexRule comparator="Eq" test=" $_GBC_dc111c69eafc43819221194075daccb8 +  $_GBC_c487f2261b074feb85a7294cf46ffe73" id="Cee7cd141b1b649e397c512abeae099af"/>
          <m:complexRule comparator="Eq" test=" $_GBC_f23bf6303aab4537ba6a3dfae3647f7d" id="Ca661529ce8f640bd954b47e945a59e5d"/>
        </m:item>
        <m:item xlName="_GBC_11bc34435b5f4d448ad0096693e18480" concept="clcid-pte:ZiChanZongJi" label="资产总计" periodRef="上年期末数" mulRef="_GBC_710dced47e5943589779e071c78c5512" unitRef="_GBC_7e2679155b104d33ba04158c7414bcff" addr="T0R45C3S1_1" formatStyle="Comma">
          <m:complexRule comparator="Eq" test=" $_GBC_f75ac84f62bd4e088401c46cf82c6ce9 +  $_GBC_26a36b103b874c209001c3df79eec9bc" id="C45dbf2a5a2d44b6aaa034ac622ca3d8d"/>
          <m:complexRule comparator="Eq" test=" $_GBC_16090d37ea1642ada5d28b1d536be596" id="C72b9eb99da19466fba9b9c6542a0419c"/>
        </m:item>
        <m:placeholder xlName="_PLD_9375d0f637964c329fb26d2b4f648745" addr="T0R46C0S1_1"/>
        <m:placeholder xlName="_PLD_2fd37dc37d5e4c28b5b0dbe25be93232" addr="T0R47C0S1_1"/>
        <m:item xlName="_GBC_291459066b874e069e11ad6c785d3506" concept="clcid-ci-ar:FuZhu_DuanQiJieKuan" label="附注_短期借款" addr="T0R47C1S1_1"/>
        <m:item xlName="_GBC_727280fd38954a4da96253f60f652817" concept="clcid-pte:DuanQiJieKuan" label="短期借款" mulRef="_GBC_710dced47e5943589779e071c78c5512" unitRef="_GBC_7e2679155b104d33ba04158c7414bcff" addr="T0R47C2S1_1" formatStyle="Comma"/>
        <m:item xlName="_GBC_fd9f91d26a884230b8535b031e4881b5" concept="clcid-pte:DuanQiJieKuan" label="短期借款" periodRef="上年期末数" mulRef="_GBC_710dced47e5943589779e071c78c5512" unitRef="_GBC_7e2679155b104d33ba04158c7414bcff" addr="T0R47C3S1_1" formatStyle="Comma"/>
        <m:placeholder xlName="_PLD_d4d41992aeff449e841a25d78244a217" addr="T0R48C0S1_1"/>
        <m:item xlName="_GBC_56eedbe416314c7e959ba3b401c55de5" concept="clcid-ci-ar:FuZhu_XiangZhongYangYinHangJieKuan" label="附注_向中央银行借款" addr="T0R48C1S1_1"/>
        <m:item xlName="_GBC_7932df86c6d246e889441cc57d74feb8" concept="clcid-pte:XiangZhongYangYinHangJieKuan" label="向中央银行借款" mulRef="_GBC_710dced47e5943589779e071c78c5512" unitRef="_GBC_7e2679155b104d33ba04158c7414bcff" addr="T0R48C2S1_1" formatStyle="Comma"/>
        <m:item xlName="_GBC_5936dedc7baa43f4a872d950c33f22b7" concept="clcid-pte:XiangZhongYangYinHangJieKuan" label="向中央银行借款" periodRef="上年期末数" mulRef="_GBC_710dced47e5943589779e071c78c5512" unitRef="_GBC_7e2679155b104d33ba04158c7414bcff" addr="T0R48C3S1_1" formatStyle="Comma"/>
        <m:placeholder xlName="_PLD_aa8e7d1680b146519de30874741a7d72" addr="T0R49C0S1_1"/>
        <m:item xlName="_GBC_0d8bbaa09b2c4b75ae0afff8ca7721d0" concept="clcid-ci-ar:FuZhu_ChaiRuZiJin" label="附注_拆入资金" addr="T0R49C1S1_1"/>
        <m:item xlName="_GBC_b09233ce8e9c4f73bf34abee80bdb853" concept="clcid-pte:ChaiRuZiJin" label="拆入资金" mulRef="_GBC_710dced47e5943589779e071c78c5512" unitRef="_GBC_7e2679155b104d33ba04158c7414bcff" addr="T0R49C2S1_1" formatStyle="Comma"/>
        <m:item xlName="_GBC_480c90f6c938403eb3610e958571f71c" concept="clcid-pte:ChaiRuZiJin" label="拆入资金" periodRef="上年期末数" mulRef="_GBC_710dced47e5943589779e071c78c5512" unitRef="_GBC_7e2679155b104d33ba04158c7414bcff" addr="T0R49C3S1_1" formatStyle="Comma"/>
        <m:placeholder xlName="_PLD_e695121b86514004a89ae09bf4805868" addr="T0R50C0S1_1"/>
        <m:item xlName="_GBC_6ba18b596f9d4a4b876f2044d1070017" concept="clcid-ci-ar:FuZhu_JiaoYiXingJinRongFuZhai" label="附注_交易性金融负债" addr="T0R50C1S1_1"/>
        <m:item xlName="_GBC_b672351d9d9744f1a768b784a144c18b" concept="clcid-pte:JiaoYiXingJinRongFuZhai" label="交易性金融负债" mulRef="_GBC_710dced47e5943589779e071c78c5512" unitRef="_GBC_7e2679155b104d33ba04158c7414bcff" addr="T0R50C2S1_1" formatStyle="Comma"/>
        <m:item xlName="_GBC_6e10f46236e742aea26d5b43372c45ff" concept="clcid-pte:JiaoYiXingJinRongFuZhai" label="交易性金融负债" periodRef="上年期末数" mulRef="_GBC_710dced47e5943589779e071c78c5512" unitRef="_GBC_7e2679155b104d33ba04158c7414bcff" addr="T0R50C3S1_1" formatStyle="Comma"/>
        <m:placeholder xlName="_PLD_24e5d5bfa7f841d1bd60fddcb2e66c58" addr="T0R51C0S1_1"/>
        <m:item xlName="_GBC_671e37764a164b6e862244086a64e23c" concept="clcid-ci-ar:FuZhuYanShengJinRongFuZhai" label="附注_衍生金融负债" addr="T0R51C1S1_1"/>
        <m:item xlName="_GBC_2885f00532ca424ca0afe0f5be9b5971" concept="clcid-pte:YanShengJinRongFuZhai" label="衍生金融负债" mulRef="_GBC_710dced47e5943589779e071c78c5512" unitRef="_GBC_7e2679155b104d33ba04158c7414bcff" addr="T0R51C2S1_1" formatStyle="Comma"/>
        <m:item xlName="_GBC_7d424fbd67b64946a30fa95ce01d07fb" concept="clcid-pte:YanShengJinRongFuZhai" label="衍生金融负债" periodRef="上年期末数" mulRef="_GBC_710dced47e5943589779e071c78c5512" unitRef="_GBC_7e2679155b104d33ba04158c7414bcff" addr="T0R51C3S1_1" formatStyle="Comma"/>
        <m:placeholder xlName="_PLD_a1ccdf0c4f4443b685142442e1c3f8f6" addr="T0R52C0S1_1"/>
        <m:item xlName="_GBC_724709b5ddf445c493783c4a8d4d9d79" concept="clcid-ci-ar:FuZhu_YingFuPiaoJu" label="附注_应付票据" addr="T0R52C1S1_1"/>
        <m:item xlName="_GBC_5d6b364e58b84e11bdbca036572cfdfa" concept="clcid-pte:YingFuPiaoJu" label="应付票据" mulRef="_GBC_710dced47e5943589779e071c78c5512" unitRef="_GBC_7e2679155b104d33ba04158c7414bcff" addr="T0R52C2S1_1" formatStyle="Comma"/>
        <m:item xlName="_GBC_cb755f83d93344d6984f34ac6f696270" concept="clcid-pte:YingFuPiaoJu" label="应付票据" periodRef="上年期末数" mulRef="_GBC_710dced47e5943589779e071c78c5512" unitRef="_GBC_7e2679155b104d33ba04158c7414bcff" addr="T0R52C3S1_1" formatStyle="Comma"/>
        <m:placeholder xlName="_PLD_63f7bc90fdbe4fe9b76159c57157c382" addr="T0R53C0S1_1"/>
        <m:item xlName="_GBC_4cb082f193544caea44d3629551ded92" concept="clcid-ci-ar:FuZhu_YingFuZhangKuan" label="附注_应付帐款" addr="T0R53C1S1_1"/>
        <m:item xlName="_GBC_1174f3618f9a4d16b289ff0e9527c41b" concept="clcid-pte:YingFuZhangKuan" label="应付帐款" mulRef="_GBC_710dced47e5943589779e071c78c5512" unitRef="_GBC_7e2679155b104d33ba04158c7414bcff" addr="T0R53C2S1_1" formatStyle="Comma"/>
        <m:item xlName="_GBC_981a2f69542d443380e891fc8c21aec3" concept="clcid-pte:YingFuZhangKuan" label="应付帐款" periodRef="上年期末数" mulRef="_GBC_710dced47e5943589779e071c78c5512" unitRef="_GBC_7e2679155b104d33ba04158c7414bcff" addr="T0R53C3S1_1" formatStyle="Comma"/>
        <m:placeholder xlName="_PLD_3652c9d68fee4d45b2cd80abc417bcfd" addr="T0R54C0S1_1"/>
        <m:item xlName="_GBC_d336259807cd454f956ada72c6991d2f" concept="clcid-ci-ar:FuZhu_YuShouZhangKuan" label="附注_预收帐款" addr="T0R54C1S1_1"/>
        <m:item xlName="_GBC_9a95f1aedb394f27aa809290e6271b23" concept="clcid-pte:YuShouZhangKuan" label="预收帐款" mulRef="_GBC_710dced47e5943589779e071c78c5512" unitRef="_GBC_7e2679155b104d33ba04158c7414bcff" addr="T0R54C2S1_1" formatStyle="Comma"/>
        <m:item xlName="_GBC_8b8eaac32e55481e9264b9666fbc31f9" concept="clcid-pte:YuShouZhangKuan" label="预收帐款" periodRef="上年期末数" mulRef="_GBC_710dced47e5943589779e071c78c5512" unitRef="_GBC_7e2679155b104d33ba04158c7414bcff" addr="T0R54C3S1_1" formatStyle="Comma"/>
        <m:placeholder xlName="_PLD_c16bfcfaac284e66b961859169968520" addr="T0R55C0S1_1"/>
        <m:item xlName="_GBC_65a089d530d541d0b38261443b067387" concept="clcid-ci-ar:FuZhu_HeTongFuZhai" label="附注_合同负债" addr="T0R55C1S1_1"/>
        <m:item xlName="_GBC_0e4bdea2b03c489fa7f799c2cbf72520" concept="clcid-pte:HeTongFuZhai" label="合同负债" mulRef="_GBC_710dced47e5943589779e071c78c5512" unitRef="_GBC_7e2679155b104d33ba04158c7414bcff" addr="T0R55C2S1_1" formatStyle="Comma"/>
        <m:item xlName="_GBC_764fff335ba643a09a58466777011682" concept="clcid-pte:HeTongFuZhai" label="合同负债" periodRef="上年期末数" mulRef="_GBC_710dced47e5943589779e071c78c5512" unitRef="_GBC_7e2679155b104d33ba04158c7414bcff" addr="T0R55C3S1_1" formatStyle="Comma"/>
        <m:placeholder xlName="_PLD_be5eec398fb24e96b51c778e07be994c" addr="T0R56C0S1_1"/>
        <m:item xlName="_GBC_a835342e06574ec48337ae5c5be0c261" concept="clcid-ci-ar:FuZhu_MaiChuHuiGouJinRongZiChanKuan" label="附注_卖出回购金融资产款" addr="T0R56C1S1_1"/>
        <m:item xlName="_GBC_8cc2da1f100a45ac92780b441e605ff5" concept="clcid-pte:MaiChuHuiGouJinRongZiChanKuan" label="卖出回购金融资产款" mulRef="_GBC_710dced47e5943589779e071c78c5512" unitRef="_GBC_7e2679155b104d33ba04158c7414bcff" addr="T0R56C2S1_1" formatStyle="Comma"/>
        <m:item xlName="_GBC_0cc3edc04d8749aeaf1f9fd77d608ded" concept="clcid-pte:MaiChuHuiGouJinRongZiChanKuan" label="卖出回购金融资产款" periodRef="上年期末数" mulRef="_GBC_710dced47e5943589779e071c78c5512" unitRef="_GBC_7e2679155b104d33ba04158c7414bcff" addr="T0R56C3S1_1" formatStyle="Comma"/>
        <m:placeholder xlName="_PLD_c96881e9f0ab40769bcc86283e6097ff" addr="T0R57C0S1_1"/>
        <m:item xlName="_GBC_400e8794dd494dc8bb1beba38ac9c056" concept="clcid-ci-ar:FuZhu_XiShouCunKuanJiTongYeCunFang" label="附注_吸收存款及同业存放" addr="T0R57C1S1_1"/>
        <m:item xlName="_GBC_2a669c6a17f6423a8cd8604f4fffc076" concept="clcid-pte:XiShouCunKuanJiTongYeCunFang" label="吸收存款及同业存放" mulRef="_GBC_710dced47e5943589779e071c78c5512" unitRef="_GBC_7e2679155b104d33ba04158c7414bcff" addr="T0R57C2S1_1" formatStyle="Comma"/>
        <m:item xlName="_GBC_a0bb88bb7ce0403f9c876afb831dd7e5" concept="clcid-pte:XiShouCunKuanJiTongYeCunFang" label="吸收存款及同业存放" periodRef="上年期末数" mulRef="_GBC_710dced47e5943589779e071c78c5512" unitRef="_GBC_7e2679155b104d33ba04158c7414bcff" addr="T0R57C3S1_1" formatStyle="Comma"/>
        <m:placeholder xlName="_PLD_f52e1d03b4c642029c957ce402548b4d" addr="T0R58C0S1_1"/>
        <m:item xlName="_GBC_c6626e33f770489c9c68cc7c9c251285" concept="clcid-ci-ar:FuZhu_DaiLiMaiMaiZhengQuanKuan" label="附注_代理买卖证券款" addr="T0R58C1S1_1"/>
        <m:item xlName="_GBC_307d571b09d74feb8ba2d3ad3bc74759" concept="clcid-pte:DaiLiMaiMaiZhengQuanKuan" label="代理买卖证券款" mulRef="_GBC_710dced47e5943589779e071c78c5512" unitRef="_GBC_7e2679155b104d33ba04158c7414bcff" addr="T0R58C2S1_1" formatStyle="Comma"/>
        <m:item xlName="_GBC_ffc5589878f74aa691977ad98db8ace3" concept="clcid-pte:DaiLiMaiMaiZhengQuanKuan" label="代理买卖证券款" periodRef="上年期末数" mulRef="_GBC_710dced47e5943589779e071c78c5512" unitRef="_GBC_7e2679155b104d33ba04158c7414bcff" addr="T0R58C3S1_1" formatStyle="Comma"/>
        <m:placeholder xlName="_PLD_eac3eaf64a174f42beaddc0b3be0ef73" addr="T0R59C0S1_1"/>
        <m:item xlName="_GBC_4c3b3de3af8f4ba8b7d870c9551fc2c1" concept="clcid-ci-ar:FuZhu_DaiLiChengXiaoZhengQuanKuan" label="附注_代理承销证券款" addr="T0R59C1S1_1"/>
        <m:item xlName="_GBC_86674acf3fb74af2a4d3a625e9e7f883" concept="clcid-pte:DaiLiChengXiaoZhengQuanKuan" label="代理承销证券款" mulRef="_GBC_710dced47e5943589779e071c78c5512" unitRef="_GBC_7e2679155b104d33ba04158c7414bcff" addr="T0R59C2S1_1" formatStyle="Comma"/>
        <m:item xlName="_GBC_27a9a7e52ced47bfa5acc76727fa1702" concept="clcid-pte:DaiLiChengXiaoZhengQuanKuan" label="代理承销证券款" periodRef="上年期末数" mulRef="_GBC_710dced47e5943589779e071c78c5512" unitRef="_GBC_7e2679155b104d33ba04158c7414bcff" addr="T0R59C3S1_1" formatStyle="Comma"/>
        <m:placeholder xlName="_PLD_b46164c72e3e41ec9fc7c62554dc88df" addr="T0R60C0S1_1"/>
        <m:item xlName="_GBC_0cdd9788b61146bfa62e36d72f247d8c" concept="clcid-ci-ar:FuZhu_YingFuZhiGongXinChou" label="附注_应付职工薪酬" addr="T0R60C1S1_1"/>
        <m:item xlName="_GBC_c1321b650db14a4eb6677a1a8da2aaab" concept="clcid-pte:YingFuZhiGongXinChou" label="应付职工薪酬" mulRef="_GBC_710dced47e5943589779e071c78c5512" unitRef="_GBC_7e2679155b104d33ba04158c7414bcff" addr="T0R60C2S1_1" formatStyle="Comma"/>
        <m:item xlName="_GBC_d41cf3f6a28d40caa85a07ed6e6f93c2" concept="clcid-pte:YingFuZhiGongXinChou" label="应付职工薪酬" periodRef="上年期末数" mulRef="_GBC_710dced47e5943589779e071c78c5512" unitRef="_GBC_7e2679155b104d33ba04158c7414bcff" addr="T0R60C3S1_1" formatStyle="Comma"/>
        <m:placeholder xlName="_PLD_da4e94adb66d4e528e4e8867ce4f2302" addr="T0R61C0S1_1"/>
        <m:item xlName="_GBC_69396418e81f4da5ae887914bc85eb93" concept="clcid-ci-ar:FuZhu_YingJiaoShuiJin" label="附注_应交税金" addr="T0R61C1S1_1"/>
        <m:item xlName="_GBC_5382f54a58eb4bad8a5e399706ca0652" concept="clcid-pte:YingJiaoShuiJin" label="应交税金" mulRef="_GBC_710dced47e5943589779e071c78c5512" unitRef="_GBC_7e2679155b104d33ba04158c7414bcff" addr="T0R61C2S1_1" formatStyle="Comma"/>
        <m:item xlName="_GBC_03cd714a26a04e4bb164d25974a87371" concept="clcid-pte:YingJiaoShuiJin" label="应交税金" periodRef="上年期末数" mulRef="_GBC_710dced47e5943589779e071c78c5512" unitRef="_GBC_7e2679155b104d33ba04158c7414bcff" addr="T0R61C3S1_1" formatStyle="Comma"/>
        <m:placeholder xlName="_PLD_f1bb75ef275f4cabafc790de2f817512" addr="T0R62C0S1_1"/>
        <m:item xlName="_GBC_491fff510b484a9da4afb9a06407689a" concept="clcid-ci-ar:FuZhu_QiTaYingFuKuan" label="附注_其他应付款" addr="T0R62C1S1_1"/>
        <m:item xlName="_GBC_3f0e28eae6ed4ed3aa948e6885344be2" concept="clcid-pte:QiTaYingFuKuan" label="其他应付款" mulRef="_GBC_710dced47e5943589779e071c78c5512" unitRef="_GBC_7e2679155b104d33ba04158c7414bcff" addr="T0R62C2S1_1" formatStyle="Comma"/>
        <m:item xlName="_GBC_19240245110a43cd83f8bcbe8b0ad71d" concept="clcid-pte:QiTaYingFuKuan" label="其他应付款" periodRef="上年期末数" mulRef="_GBC_710dced47e5943589779e071c78c5512" unitRef="_GBC_7e2679155b104d33ba04158c7414bcff" addr="T0R62C3S1_1" formatStyle="Comma"/>
        <m:placeholder xlName="_PLD_c2d9be160e384569b83c6b4fa8a1aa71" addr="T0R63C0S1_1"/>
        <m:item xlName="_GBC_0b251d386d284bb39e78cdde209ac15d" concept="clcid-ci-ar:FuZhu_YingFuLiXi" label="附注_应付利息" addr="T0R63C1S1_1"/>
        <m:item xlName="_GBC_45208f5516214b39980b4d04b79de348" concept="clcid-pte:YingFuLiXi" label="应付利息" mulRef="_GBC_710dced47e5943589779e071c78c5512" unitRef="_GBC_7e2679155b104d33ba04158c7414bcff" addr="T0R63C2S1_1" formatStyle="Comma"/>
        <m:item xlName="_GBC_5c518184bc8c4cb48fb2e17192341685" concept="clcid-pte:YingFuLiXi" label="应付利息" periodRef="上年期末数" mulRef="_GBC_710dced47e5943589779e071c78c5512" unitRef="_GBC_7e2679155b104d33ba04158c7414bcff" addr="T0R63C3S1_1" formatStyle="Comma"/>
        <m:placeholder xlName="_PLD_d687f45d03d4450780c80600a9c2e9d5" addr="T0R64C0S1_1"/>
        <m:item xlName="_GBC_5847aa978d2440fc9443edc4b9ecc929" concept="clcid-ci-ar:FuZhu_YingFuGuLi" label="附注_应付股利" addr="T0R64C1S1_1"/>
        <m:item xlName="_GBC_bcbee0875864478e85c6fdcafcd44ab2" concept="clcid-pte:YingFuGuLi" label="应付股利" mulRef="_GBC_710dced47e5943589779e071c78c5512" unitRef="_GBC_7e2679155b104d33ba04158c7414bcff" addr="T0R64C2S1_1" formatStyle="Comma"/>
        <m:item xlName="_GBC_93d44944e21c411086d5ad11854d5d06" concept="clcid-pte:YingFuGuLi" label="应付股利" periodRef="上年期末数" mulRef="_GBC_710dced47e5943589779e071c78c5512" unitRef="_GBC_7e2679155b104d33ba04158c7414bcff" addr="T0R64C3S1_1" formatStyle="Comma"/>
        <m:placeholder xlName="_PLD_92ed0ec1441a49ed9ae726f88f149d23" addr="T0R65C0S1_1"/>
        <m:item xlName="_GBC_414a12eda5924c309f15373c7e257da3" concept="clcid-ci-ar:FuZhu_YingFuShouXuFeiJiYongJin" label="附注_应付手续费及佣金" addr="T0R65C1S1_1"/>
        <m:item xlName="_GBC_ea57f0c1458440d88db047136ad4a988" concept="clcid-pte:YingFuShouXuFeiJiYongJin" label="应付手续费及佣金" mulRef="_GBC_710dced47e5943589779e071c78c5512" unitRef="_GBC_7e2679155b104d33ba04158c7414bcff" addr="T0R65C2S1_1" formatStyle="Comma"/>
        <m:item xlName="_GBC_b91a9604e0194655a8f53576f0b795fb" concept="clcid-pte:YingFuShouXuFeiJiYongJin" label="应付手续费及佣金" periodRef="上年期末数" mulRef="_GBC_710dced47e5943589779e071c78c5512" unitRef="_GBC_7e2679155b104d33ba04158c7414bcff" addr="T0R65C3S1_1" formatStyle="Comma"/>
        <m:placeholder xlName="_PLD_3cd74a6b00ca416da58e99206b2a6150" addr="T0R66C0S1_1"/>
        <m:item xlName="_GBC_342cce3427a24e759df3afbf0acbcf49" concept="clcid-ci-ar:FuZhu_YingFuFenBaoZhangKuan" label="附注_应付分保账款" addr="T0R66C1S1_1"/>
        <m:item xlName="_GBC_b3dcbaf6e766466e9fb68e823b52833c" concept="clcid-pte:YingFuFenBaoZhangKuan" label="应付分保账款" mulRef="_GBC_710dced47e5943589779e071c78c5512" unitRef="_GBC_7e2679155b104d33ba04158c7414bcff" addr="T0R66C2S1_1" formatStyle="Comma"/>
        <m:item xlName="_GBC_fcd1aa399c2e4cb19e9ec0ff2d8505e6" concept="clcid-pte:YingFuFenBaoZhangKuan" label="应付分保账款" periodRef="上年期末数" mulRef="_GBC_710dced47e5943589779e071c78c5512" unitRef="_GBC_7e2679155b104d33ba04158c7414bcff" addr="T0R66C3S1_1" formatStyle="Comma"/>
        <m:placeholder xlName="_PLD_e2e76edca1004352bfa9fe9ea4f74480" addr="T0R67C0S1_1"/>
        <m:item xlName="_GBC_3bb88a463e7340eb855e1007be0f6595" concept="clcid-ci-ar:FuZhuHuaFenWeiChiYouDaiShouDeFuZhai" label="附注_划分为持有待售的负债" addr="T0R67C1S1_1"/>
        <m:item xlName="_GBC_c520dd227bbb47098f4fc05b885c31ef" concept="clcid-pte:HuaFenWeiChiYouDaiShouDeFuZhai" label="划分为持有待售的负债" mulRef="_GBC_710dced47e5943589779e071c78c5512" unitRef="_GBC_7e2679155b104d33ba04158c7414bcff" addr="T0R67C2S1_1" formatStyle="Comma"/>
        <m:item xlName="_GBC_1115ec1080784f34927f4d80768fd42c" concept="clcid-pte:HuaFenWeiChiYouDaiShouDeFuZhai" label="划分为持有待售的负债" periodRef="上年期末数" mulRef="_GBC_710dced47e5943589779e071c78c5512" unitRef="_GBC_7e2679155b104d33ba04158c7414bcff" addr="T0R67C3S1_1" formatStyle="Comma"/>
        <m:placeholder xlName="_PLD_3d84ac3419c14af1a70409a1e659bc33" addr="T0R68C0S1_1"/>
        <m:item xlName="_GBC_3b60f0e0c5584710994f5b0391d095dc" concept="clcid-ci-ar:FuZhu_YiNianNeiDaoQiDeChangQiFuZhai" label="附注_一年内到期的长期负债" addr="T0R68C1S1_1"/>
        <m:item xlName="_GBC_7da44e6eed0e4f72b8480d0118b9287b" concept="clcid-pte:YiNianNeiDaoQiDeChangQiFuZhai" label="一年内到期的长期负债" mulRef="_GBC_710dced47e5943589779e071c78c5512" unitRef="_GBC_7e2679155b104d33ba04158c7414bcff" addr="T0R68C2S1_1" formatStyle="Comma"/>
        <m:item xlName="_GBC_6fb9b5b1e27745cf8395f3bbde46c3fe" concept="clcid-pte:YiNianNeiDaoQiDeChangQiFuZhai" label="一年内到期的长期负债" periodRef="上年期末数" mulRef="_GBC_710dced47e5943589779e071c78c5512" unitRef="_GBC_7e2679155b104d33ba04158c7414bcff" addr="T0R68C3S1_1" formatStyle="Comma"/>
        <m:placeholder xlName="_PLD_d98d6b8169c447a0bc0b1ae069d60a30" addr="T0R69C0S1_1"/>
        <m:item xlName="_GBC_b23fb562ff2248d6a77ea5cde94eb6a9" concept="clcid-ci-ar:FuZhu_QiTaLiuDongFuZhai" label="附注_其他流动负债" addr="T0R69C1S1_1"/>
        <m:item xlName="_GBC_3a9508170942412281feb1560b4d61f8" concept="clcid-pte:QiTaLiuDongFuZhai" label="其他流动负债" mulRef="_GBC_710dced47e5943589779e071c78c5512" unitRef="_GBC_7e2679155b104d33ba04158c7414bcff" addr="T0R69C2S1_1" formatStyle="Comma"/>
        <m:item xlName="_GBC_6698fdc06763409190e7834d0f0d9d2a" concept="clcid-pte:QiTaLiuDongFuZhai" label="其他流动负债" periodRef="上年期末数" mulRef="_GBC_710dced47e5943589779e071c78c5512" unitRef="_GBC_7e2679155b104d33ba04158c7414bcff" addr="T0R69C3S1_1" formatStyle="Comma"/>
        <m:placeholder xlName="_PLD_d6387f8c45ce4f8599c26d4b88544573" addr="T0R70C0S1_1"/>
        <m:item xlName="_GBC_cc5c8476696647fd9d04f4ec6fe3d493" concept="clcid-ci-ar:FuZhu_LiuDongFuZhaiHeJi" label="附注_流动负债合计" addr="T0R70C1S1_1"/>
        <m:item xlName="_GBC_077ee38acbb145969711b796f5289147" concept="clcid-pte:LiuDongFuZhaiHeJi" label="流动负债合计" mulRef="_GBC_710dced47e5943589779e071c78c5512" unitRef="_GBC_7e2679155b104d33ba04158c7414bcff" addr="T0R70C2S1_1" formatStyle="Comma">
          <m:complexRule comparator="Eq" title="流动负债合计" test=" $_GBC_727280fd38954a4da96253f60f652817 +  $_GBC_7932df86c6d246e889441cc57d74feb8 +  $_GBC_b09233ce8e9c4f73bf34abee80bdb853 +  $_GBC_b672351d9d9744f1a768b784a144c18b +  $_GBC_2885f00532ca424ca0afe0f5be9b5971 +  $_GBC_5d6b364e58b84e11bdbca036572cfdfa +  $_GBC_1174f3618f9a4d16b289ff0e9527c41b +  $_GBC_9a95f1aedb394f27aa809290e6271b23 +  $_GBC_0e4bdea2b03c489fa7f799c2cbf72520 +  $_GBC_8cc2da1f100a45ac92780b441e605ff5 +  $_GBC_2a669c6a17f6423a8cd8604f4fffc076 +  $_GBC_307d571b09d74feb8ba2d3ad3bc74759 +  $_GBC_86674acf3fb74af2a4d3a625e9e7f883 +  $_GBC_c1321b650db14a4eb6677a1a8da2aaab +  $_GBC_5382f54a58eb4bad8a5e399706ca0652 +  $_GBC_3f0e28eae6ed4ed3aa948e6885344be2 +  $_GBC_ea57f0c1458440d88db047136ad4a988 +  $_GBC_b3dcbaf6e766466e9fb68e823b52833c +  $_GBC_c520dd227bbb47098f4fc05b885c31ef +  $_GBC_7da44e6eed0e4f72b8480d0118b9287b +  $_GBC_3a9508170942412281feb1560b4d61f8" id="C9eafe888999d434f889e6ba3af1225ee"/>
        </m:item>
        <m:item xlName="_GBC_0ee7399b10f240db9b3a1df3c56911ae" concept="clcid-pte:LiuDongFuZhaiHeJi" label="流动负债合计" periodRef="上年期末数" mulRef="_GBC_710dced47e5943589779e071c78c5512" unitRef="_GBC_7e2679155b104d33ba04158c7414bcff" addr="T0R70C3S1_1" formatStyle="Comma">
          <m:complexRule comparator="Eq" title="流动负债合计@上年期末数" test=" $_GBC_fd9f91d26a884230b8535b031e4881b5 +  $_GBC_5936dedc7baa43f4a872d950c33f22b7 +  $_GBC_480c90f6c938403eb3610e958571f71c +  $_GBC_6e10f46236e742aea26d5b43372c45ff +  $_GBC_7d424fbd67b64946a30fa95ce01d07fb +  $_GBC_cb755f83d93344d6984f34ac6f696270 +  $_GBC_981a2f69542d443380e891fc8c21aec3 +  $_GBC_8b8eaac32e55481e9264b9666fbc31f9 +  $_GBC_764fff335ba643a09a58466777011682 +  $_GBC_0cc3edc04d8749aeaf1f9fd77d608ded +  $_GBC_a0bb88bb7ce0403f9c876afb831dd7e5 +  $_GBC_ffc5589878f74aa691977ad98db8ace3 +  $_GBC_27a9a7e52ced47bfa5acc76727fa1702 +  $_GBC_d41cf3f6a28d40caa85a07ed6e6f93c2 +  $_GBC_03cd714a26a04e4bb164d25974a87371 +  $_GBC_19240245110a43cd83f8bcbe8b0ad71d +  $_GBC_b91a9604e0194655a8f53576f0b795fb +  $_GBC_fcd1aa399c2e4cb19e9ec0ff2d8505e6 +  $_GBC_1115ec1080784f34927f4d80768fd42c +  $_GBC_6fb9b5b1e27745cf8395f3bbde46c3fe +  $_GBC_6698fdc06763409190e7834d0f0d9d2a" id="Ceed17e62fb354ab6b4ae7f6e0605939e"/>
        </m:item>
        <m:placeholder xlName="_PLD_e92d79badc1945afbed8782cdacf599f" addr="T0R71C0S1_1"/>
        <m:placeholder xlName="_PLD_4515eae7d3ee403aac2fdade1a6ff71a" addr="T0R72C0S1_1"/>
        <m:item xlName="_GBC_d2959fc41b2a4afcb5e3a56ae166ba66" concept="clcid-ci-ar:FuZhu_BaoXianHeTongZhunBeiJin" label="附注_保险合同准备金" addr="T0R72C1S1_1"/>
        <m:item xlName="_GBC_b81d676808cb49e0811bc0e9526b4ce8" concept="clcid-pte:BaoXianHeTongZhunBeiJin" label="保险合同准备金" mulRef="_GBC_710dced47e5943589779e071c78c5512" unitRef="_GBC_7e2679155b104d33ba04158c7414bcff" addr="T0R72C2S1_1" formatStyle="Comma"/>
        <m:item xlName="_GBC_76f580e2287f4bc28841afafa3f9eb29" concept="clcid-pte:BaoXianHeTongZhunBeiJin" label="保险合同准备金" periodRef="上年期末数" mulRef="_GBC_710dced47e5943589779e071c78c5512" unitRef="_GBC_7e2679155b104d33ba04158c7414bcff" addr="T0R72C3S1_1" formatStyle="Comma"/>
        <m:placeholder xlName="_PLD_0b8d7682584443f4bae26e2ed50f8040" addr="T0R73C0S1_1"/>
        <m:item xlName="_GBC_12f4f6c01a194852b4a7f4f8f3098fe6" concept="clcid-ci-ar:FuZhu_ChangQiJieKuan" label="附注_长期借款" addr="T0R73C1S1_1"/>
        <m:item xlName="_GBC_c373487e8b034a1e9e2d28ec2cadf491" concept="clcid-pte:ChangQiJieKuan" label="长期借款" mulRef="_GBC_710dced47e5943589779e071c78c5512" unitRef="_GBC_7e2679155b104d33ba04158c7414bcff" addr="T0R73C2S1_1" formatStyle="Comma"/>
        <m:item xlName="_GBC_eca8afdc053749e4b519bf23d6549c1b" concept="clcid-pte:ChangQiJieKuan" label="长期借款" periodRef="上年期末数" mulRef="_GBC_710dced47e5943589779e071c78c5512" unitRef="_GBC_7e2679155b104d33ba04158c7414bcff" addr="T0R73C3S1_1" formatStyle="Comma"/>
        <m:placeholder xlName="_PLD_21503c6281dc48d19440b9f16f150ec0" addr="T0R74C0S1_1"/>
        <m:item xlName="_GBC_72b61abb90d94716829ca3ef62b23204" concept="clcid-ci-ar:FuZhu_YingFuZhaiQuan" label="附注_应付债券" addr="T0R74C1S1_1"/>
        <m:item xlName="_GBC_46fd7f40f7b3433ebbda0903b0feae4c" concept="clcid-pte:YingFuZhaiQuan" label="应付债券" mulRef="_GBC_710dced47e5943589779e071c78c5512" unitRef="_GBC_7e2679155b104d33ba04158c7414bcff" addr="T0R74C2S1_1" formatStyle="Comma"/>
        <m:item xlName="_GBC_aece512e352a4c42a7d5f58b8975e27a" concept="clcid-pte:YingFuZhaiQuan" label="应付债券" periodRef="上年期末数" mulRef="_GBC_710dced47e5943589779e071c78c5512" unitRef="_GBC_7e2679155b104d33ba04158c7414bcff" addr="T0R74C3S1_1" formatStyle="Comma"/>
        <m:placeholder xlName="_PLD_cfeff2e31a4d4689842e8f9ce5e8b342" addr="T0R75C0S1_1"/>
        <m:item xlName="_GBC_a09bc8b5feee4ffbbca605d0b80d7914" concept="clcid-ci-ar:FuZhuQiZhongYouXianGu" label="附注_其中：优先股" addr="T0R75C1S1_1"/>
        <m:item xlName="_GBC_08b2ca749b2a4487b6cc0e86ff63c6e1" concept="clcid-pte:QiZhongYouXianGu" label="其中：优先股" mulRef="_GBC_710dced47e5943589779e071c78c5512" unitRef="_GBC_7e2679155b104d33ba04158c7414bcff" addr="T0R75C2S1_1" formatStyle="Comma"/>
        <m:item xlName="_GBC_12294dd497024c3ca1a51d0172e89e93" concept="clcid-pte:QiZhongYouXianGu" label="其中：优先股" periodRef="上年期末数" mulRef="_GBC_710dced47e5943589779e071c78c5512" unitRef="_GBC_7e2679155b104d33ba04158c7414bcff" addr="T0R75C3S1_1" formatStyle="Comma"/>
        <m:placeholder xlName="_PLD_36b6cba673904261afdd80fbfbf5d1b4" addr="T0R76C0S1_1"/>
        <m:item xlName="_GBC_e85168910a9645dd90b57db485d23a18" concept="clcid-ci-ar:FuZhuYongXuZhai" label="附注_永续债" addr="T0R76C1S1_1"/>
        <m:item xlName="_GBC_d1b8331943d842a4b4a4a58e05afd907" concept="clcid-pte:YongXuZhai" label="永续债" mulRef="_GBC_710dced47e5943589779e071c78c5512" unitRef="_GBC_7e2679155b104d33ba04158c7414bcff" addr="T0R76C2S1_1" formatStyle="Comma"/>
        <m:item xlName="_GBC_d916809cf46540a3956f76c2af430e6c" concept="clcid-pte:YongXuZhai" label="永续债" periodRef="上年期末数" mulRef="_GBC_710dced47e5943589779e071c78c5512" unitRef="_GBC_7e2679155b104d33ba04158c7414bcff" addr="T0R76C3S1_1" formatStyle="Comma"/>
        <m:placeholder xlName="_PLD_35f24a143dea468283877b9adfce049b" addr="T0R77C0S1_1"/>
        <m:item xlName="_GBC_c72e5c206d49457588e2bcfe224e2c8e" concept="clcid-ci-ar:FuZhu_ZuLinFuZhai" label="附注_租赁负债" addr="T0R77C1S1_1"/>
        <m:item xlName="_GBC_ded3f05599a24aa38a8eecc8eae8952e" concept="clcid-pte:ZuLinFuZhai" label="租赁负债" mulRef="_GBC_710dced47e5943589779e071c78c5512" unitRef="_GBC_7e2679155b104d33ba04158c7414bcff" addr="T0R77C2S1_1" formatStyle="Comma"/>
        <m:item xlName="_GBC_0040cd2ecb7c47b29c393437d81902a4" concept="clcid-pte:ZuLinFuZhai" label="租赁负债" periodRef="上年期末数" mulRef="_GBC_710dced47e5943589779e071c78c5512" unitRef="_GBC_7e2679155b104d33ba04158c7414bcff" addr="T0R77C3S1_1" formatStyle="Comma"/>
        <m:placeholder xlName="_PLD_e7eb803a0fb248e2b8805e67dbe2336f" addr="T0R78C0S1_1"/>
        <m:item xlName="_GBC_701cbe6b3dfa4dee939d85d90d220382" concept="clcid-ci-ar:FuZhu_ChangQiYingFuKuan" label="附注_长期应付款" addr="T0R78C1S1_1"/>
        <m:item xlName="_GBC_58e83817ed604be5bd19f5597319ad86" concept="clcid-pte:ChangQiYingFuKuan" label="长期应付款" mulRef="_GBC_710dced47e5943589779e071c78c5512" unitRef="_GBC_7e2679155b104d33ba04158c7414bcff" addr="T0R78C2S1_1" formatStyle="Comma"/>
        <m:item xlName="_GBC_14cff56048f44c609cd30d2a1feae211" concept="clcid-pte:ChangQiYingFuKuan" label="长期应付款" periodRef="上年期末数" mulRef="_GBC_710dced47e5943589779e071c78c5512" unitRef="_GBC_7e2679155b104d33ba04158c7414bcff" addr="T0R78C3S1_1" formatStyle="Comma"/>
        <m:placeholder xlName="_PLD_5eafba3923544dfc81be450ef6e000ee" addr="T0R79C0S1_1"/>
        <m:item xlName="_GBC_7a20133c180447b78e4f551d06d70880" concept="clcid-ci-ar:FuZhu_ChangQiYingFuZhiGongXinChou" label="附注_长期应付职工薪酬" addr="T0R79C1S1_1"/>
        <m:item xlName="_GBC_d23e68400f2f40b9b45786409b22109f" concept="clcid-pte:ChangQiYingFuZhiGongXinChou" label="长期应付职工薪酬" mulRef="_GBC_710dced47e5943589779e071c78c5512" unitRef="_GBC_7e2679155b104d33ba04158c7414bcff" addr="T0R79C2S1_1" formatStyle="Comma"/>
        <m:item xlName="_GBC_baa230c7bf3a48149ecd91d27f9dbe37" concept="clcid-pte:ChangQiYingFuZhiGongXinChou" label="长期应付职工薪酬" periodRef="上年期末数" mulRef="_GBC_710dced47e5943589779e071c78c5512" unitRef="_GBC_7e2679155b104d33ba04158c7414bcff" addr="T0R79C3S1_1" formatStyle="Comma"/>
        <m:placeholder xlName="_PLD_ed2d2511d3684ed0ac593049a3abc203" addr="T0R80C0S1_1"/>
        <m:item xlName="_GBC_8c9cfe65446548219bbcb1fc9e84ecf9" concept="clcid-ci-ar:FuZhu_YuJiFuZhai" label="附注_预计负债" addr="T0R80C1S1_1"/>
        <m:item xlName="_GBC_3afb48e2d4ff4002a10d37b9f5c0c841" concept="clcid-pte:YuJiFuZhai" label="预计负债" mulRef="_GBC_710dced47e5943589779e071c78c5512" unitRef="_GBC_7e2679155b104d33ba04158c7414bcff" addr="T0R80C2S1_1" formatStyle="Comma"/>
        <m:item xlName="_GBC_99ee846933ba40e2ac24b19cd9c0ff5c" concept="clcid-pte:YuJiFuZhai" label="预计负债" periodRef="上年期末数" mulRef="_GBC_710dced47e5943589779e071c78c5512" unitRef="_GBC_7e2679155b104d33ba04158c7414bcff" addr="T0R80C3S1_1" formatStyle="Comma"/>
        <m:placeholder xlName="_PLD_ee1b0ee29ae24aa09d29da2690e141a2" addr="T0R81C0S1_1"/>
        <m:item xlName="_GBC_dc8706b689f843eeabdb28aa54235a1c" concept="clcid-ci-ar:FuZhuDiYanShouYi" label="附注_递延收益" addr="T0R81C1S1_1" formatStyle="Comma"/>
        <m:item xlName="_GBC_f4fa9226e95f460bac4e4f0e90f42c26" concept="clcid-pte:DiYanShouYi" label="递延收益" mulRef="_GBC_710dced47e5943589779e071c78c5512" unitRef="_GBC_7e2679155b104d33ba04158c7414bcff" addr="T0R81C2S1_1" formatStyle="Comma"/>
        <m:item xlName="_GBC_061994be48fb4229bb3a76ea7f337c8b" concept="clcid-pte:DiYanShouYi" label="递延收益" periodRef="上年期末数" mulRef="_GBC_710dced47e5943589779e071c78c5512" unitRef="_GBC_7e2679155b104d33ba04158c7414bcff" addr="T0R81C3S1_1" formatStyle="Comma"/>
        <m:placeholder xlName="_PLD_f6e51ce85b734d1984a9495c17250c42" addr="T0R82C0S1_1"/>
        <m:item xlName="_GBC_ba4da0b8123b42c28578ce74df908beb" concept="clcid-ci-ar:FuZhu_DiYanShuiKuanDaiXiangHeJi" label="附注_递延税款贷项合计" addr="T0R82C1S1_1"/>
        <m:item xlName="_GBC_8fa120f806e84ab4884f1794df5d381b" concept="clcid-pte:DiYanShuiKuanDaiXiangHeJi" label="递延税款贷项合计" mulRef="_GBC_710dced47e5943589779e071c78c5512" unitRef="_GBC_7e2679155b104d33ba04158c7414bcff" addr="T0R82C2S1_1" formatStyle="Comma"/>
        <m:item xlName="_GBC_e287cdfec78645e78a4ec65dab5906ff" concept="clcid-pte:DiYanShuiKuanDaiXiangHeJi" label="递延税款贷项合计" periodRef="上年期末数" mulRef="_GBC_710dced47e5943589779e071c78c5512" unitRef="_GBC_7e2679155b104d33ba04158c7414bcff" addr="T0R82C3S1_1" formatStyle="Comma"/>
        <m:placeholder xlName="_PLD_4811ce5907e64a868d871af763ddc347" addr="T0R83C0S1_1"/>
        <m:item xlName="_GBC_4e2ecd8dfc4b484d8a508992ca44928e" concept="clcid-ci-ar:FuZhu_QiTaChangQiFuZhai" label="附注_其他长期负债" addr="T0R83C1S1_1"/>
        <m:item xlName="_GBC_00e534abbb03489186fc467e32a5f810" concept="clcid-pte:QiTaChangQiFuZhai" label="其他长期负债" mulRef="_GBC_710dced47e5943589779e071c78c5512" unitRef="_GBC_7e2679155b104d33ba04158c7414bcff" addr="T0R83C2S1_1" formatStyle="Comma"/>
        <m:item xlName="_GBC_25992b244141417f862ca99a434fe373" concept="clcid-pte:QiTaChangQiFuZhai" label="其他长期负债" periodRef="上年期末数" mulRef="_GBC_710dced47e5943589779e071c78c5512" unitRef="_GBC_7e2679155b104d33ba04158c7414bcff" addr="T0R83C3S1_1" formatStyle="Comma"/>
        <m:placeholder xlName="_PLD_9a037ee272c84e11aebdce23c3e2fab7" addr="T0R84C0S1_1"/>
        <m:item xlName="_GBC_988c5a8703e940eea34e4f9a8c23841b" concept="clcid-ci-ar:FuZhu_ChangQiFuZhaiHeJi" label="附注_长期负债合计" addr="T0R84C1S1_1"/>
        <m:item xlName="_GBC_b0704b1d31b74e71b192afa3c58893e1" concept="clcid-pte:ChangQiFuZhaiHeJi" label="长期负债合计" mulRef="_GBC_710dced47e5943589779e071c78c5512" unitRef="_GBC_7e2679155b104d33ba04158c7414bcff" addr="T0R84C2S1_1" formatStyle="Comma">
          <m:complexRule comparator="Eq" title="长期负债合计" test=" $_GBC_b81d676808cb49e0811bc0e9526b4ce8 +  $_GBC_c373487e8b034a1e9e2d28ec2cadf491 +  $_GBC_46fd7f40f7b3433ebbda0903b0feae4c +  $_GBC_ded3f05599a24aa38a8eecc8eae8952e +  $_GBC_58e83817ed604be5bd19f5597319ad86 +  $_GBC_d23e68400f2f40b9b45786409b22109f +  $_GBC_3afb48e2d4ff4002a10d37b9f5c0c841 +  $_GBC_f4fa9226e95f460bac4e4f0e90f42c26 +  $_GBC_8fa120f806e84ab4884f1794df5d381b +  $_GBC_00e534abbb03489186fc467e32a5f810" id="C7758ae1894f8455882ac666792dc07f7"/>
        </m:item>
        <m:item xlName="_GBC_9ce03f1401284eb09bda8b70ba5a270e" concept="clcid-pte:ChangQiFuZhaiHeJi" label="长期负债合计" periodRef="上年期末数" mulRef="_GBC_710dced47e5943589779e071c78c5512" unitRef="_GBC_7e2679155b104d33ba04158c7414bcff" addr="T0R84C3S1_1" formatStyle="Comma">
          <m:complexRule comparator="Eq" title="长期负债合计@上年期末数" test=" $_GBC_76f580e2287f4bc28841afafa3f9eb29 +  $_GBC_eca8afdc053749e4b519bf23d6549c1b +  $_GBC_aece512e352a4c42a7d5f58b8975e27a +  $_GBC_0040cd2ecb7c47b29c393437d81902a4 +  $_GBC_14cff56048f44c609cd30d2a1feae211 +  $_GBC_baa230c7bf3a48149ecd91d27f9dbe37 +  $_GBC_99ee846933ba40e2ac24b19cd9c0ff5c +  $_GBC_061994be48fb4229bb3a76ea7f337c8b +  $_GBC_e287cdfec78645e78a4ec65dab5906ff +  $_GBC_25992b244141417f862ca99a434fe373" id="Cbab82fd26dca42faba82ebf662b67c8a"/>
        </m:item>
        <m:placeholder xlName="_PLD_233108162bf84d59baba5ef73da9dcd0" addr="T0R85C0S1_1"/>
        <m:item xlName="_GBC_4d3eb5805e9f4c39af01f78fa342f37e" concept="clcid-ci-ar:FuZhu_FuZhaiHeJi" label="附注_负债合计" addr="T0R85C1S1_1"/>
        <m:item xlName="_GBC_97f7c28ffb684630a4a64df7621b0667" concept="clcid-pte:FuZhaiHeJi" label="负债合计" mulRef="_GBC_710dced47e5943589779e071c78c5512" unitRef="_GBC_7e2679155b104d33ba04158c7414bcff" addr="T0R85C2S1_1" formatStyle="Comma">
          <m:complexRule comparator="Eq" test=" $_GBC_077ee38acbb145969711b796f5289147 +  $_GBC_b0704b1d31b74e71b192afa3c58893e1" id="Cf875e0e8ca494ae487eabd0c37fb2d03"/>
        </m:item>
        <m:item xlName="_GBC_2e95072946fb4cca8382374203e06593" concept="clcid-pte:FuZhaiHeJi" label="负债合计" periodRef="上年期末数" mulRef="_GBC_710dced47e5943589779e071c78c5512" unitRef="_GBC_7e2679155b104d33ba04158c7414bcff" addr="T0R85C3S1_1" formatStyle="Comma">
          <m:complexRule comparator="Eq" title="合并报表_年初_负债合计" test=" $_GBC_0ee7399b10f240db9b3a1df3c56911ae +  $_GBC_9ce03f1401284eb09bda8b70ba5a270e" id="Cbc7c2f1bdd8b47cf84bfd9791fd6eb11"/>
        </m:item>
        <m:placeholder xlName="_PLD_4fe68479676b4c8c840de2211f0c67b8" addr="T0R86C0S1_1"/>
        <m:placeholder xlName="_PLD_b456a8ee715b430f8ed57755440db66b" addr="T0R87C0S1_1"/>
        <m:item xlName="_GBC_353b4c2783ec4d8f989cdddce48220b3" concept="clcid-ci-ar:FuZhu_GuBen" label="附注_股本" addr="T0R87C1S1_1"/>
        <m:item xlName="_GBC_2ab8e3649d8d4af08b9051ebc8770278" concept="clcid-pte:GuBen" label="股本" mulRef="_GBC_710dced47e5943589779e071c78c5512" unitRef="_GBC_7e2679155b104d33ba04158c7414bcff" addr="T0R87C2S1_1" formatStyle="Comma"/>
        <m:item xlName="_GBC_d67aa1956eb14dd09305431ca9cf34db" concept="clcid-pte:GuBen" label="股本" periodRef="上年期末数" mulRef="_GBC_710dced47e5943589779e071c78c5512" unitRef="_GBC_7e2679155b104d33ba04158c7414bcff" addr="T0R87C3S1_1" formatStyle="Comma"/>
        <m:placeholder xlName="_PLD_f03411a9f0b84565a295b92424cbb955" addr="T0R88C0S1_1"/>
        <m:item xlName="_GBC_cf2b692d30c348859b13b3045a0c000c" concept="clcid-ci-ar:FuZhuQiTaQuanYiGongJu" label="附注_其他权益工具" addr="T0R88C1S1_1"/>
        <m:item xlName="_GBC_2ada24087c524a2bb5328b03473aa1f8" concept="clcid-pte:QiTaQuanYiGongJu" label="其他权益工具" mulRef="_GBC_710dced47e5943589779e071c78c5512" unitRef="_GBC_7e2679155b104d33ba04158c7414bcff" addr="T0R88C2S1_1" formatStyle="Comma"/>
        <m:item xlName="_GBC_7accd8a1deea401ea0ca0e266e543028" concept="clcid-pte:QiTaQuanYiGongJu" label="其他权益工具" periodRef="上年期末数" mulRef="_GBC_710dced47e5943589779e071c78c5512" unitRef="_GBC_7e2679155b104d33ba04158c7414bcff" addr="T0R88C3S1_1" formatStyle="Comma"/>
        <m:placeholder xlName="_PLD_c9ec7a87a13f488c86dc6eef623b59eb" addr="T0R89C0S1_1"/>
        <m:item xlName="_GBC_c235481858c24c079e90943e1dd73dc7" concept="clcid-ci-ar:FuZhuQiTaQuanYiGongJuQiZhongYouXianGu" label="附注_其他权益工具-其中：优先股" addr="T0R89C1S1_1"/>
        <m:item xlName="_GBC_f9cd133a50b7492185118e4d2a37e089" concept="clcid-pte:QiTaQuanYiGongJuQiZhongYouXianGu" label="其他权益工具-其中：优先股" mulRef="_GBC_710dced47e5943589779e071c78c5512" unitRef="_GBC_7e2679155b104d33ba04158c7414bcff" addr="T0R89C2S1_1" formatStyle="Comma"/>
        <m:item xlName="_GBC_cef8bfeeea4247d7b93e74acf3c55f8a" concept="clcid-pte:QiTaQuanYiGongJuQiZhongYouXianGu" label="其他权益工具-其中：优先股" periodRef="上年期末数" mulRef="_GBC_710dced47e5943589779e071c78c5512" unitRef="_GBC_7e2679155b104d33ba04158c7414bcff" addr="T0R89C3S1_1" formatStyle="Comma"/>
        <m:placeholder xlName="_PLD_cb955a4562374c1795f3fa8ff4b3341b" addr="T0R90C0S1_1"/>
        <m:item xlName="_GBC_b1a51f447a9544a1bde5c2c68b6232db" concept="clcid-ci-ar:FuZhuQiTaQuanYiGongJuYongXuZhai" label="附注_其他权益工具-永续债" addr="T0R90C1S1_1"/>
        <m:item xlName="_GBC_d22db856d24c46139232fc426fa92c7c" concept="clcid-pte:QiTaQuanYiGongJuYongXuZhai" label="其他权益工具-永续债" mulRef="_GBC_710dced47e5943589779e071c78c5512" unitRef="_GBC_7e2679155b104d33ba04158c7414bcff" addr="T0R90C2S1_1" formatStyle="Comma"/>
        <m:item xlName="_GBC_29e597fc77fd446fb3ac5aa0940f8218" concept="clcid-pte:QiTaQuanYiGongJuYongXuZhai" label="其他权益工具-永续债" periodRef="上年期末数" mulRef="_GBC_710dced47e5943589779e071c78c5512" unitRef="_GBC_7e2679155b104d33ba04158c7414bcff" addr="T0R90C3S1_1" formatStyle="Comma"/>
        <m:placeholder xlName="_PLD_e6837305adaf4d9aba334aa74c5bef79" addr="T0R91C0S1_1"/>
        <m:item xlName="_GBC_7eb90ee7ca02420a8c79cf6bdb9ebae7" concept="clcid-ci-ar:FuZhu_ZiBenGongJi" label="附注_资本公积" addr="T0R91C1S1_1"/>
        <m:item xlName="_GBC_809afcf40b3d4627bf4a34745d457b5a" concept="clcid-pte:ZiBenGongJi" label="资本公积" mulRef="_GBC_710dced47e5943589779e071c78c5512" unitRef="_GBC_7e2679155b104d33ba04158c7414bcff" addr="T0R91C2S1_1" formatStyle="Comma"/>
        <m:item xlName="_GBC_3a4050bdd9bf49fa8b53bb8b04eca01f" concept="clcid-pte:ZiBenGongJi" label="资本公积" periodRef="上年期末数" mulRef="_GBC_710dced47e5943589779e071c78c5512" unitRef="_GBC_7e2679155b104d33ba04158c7414bcff" addr="T0R91C3S1_1" formatStyle="Comma"/>
        <m:placeholder xlName="_PLD_a0bc7febf8c447638471a1616647725d" addr="T0R92C0S1_1"/>
        <m:item xlName="_GBC_b478c6152c8246df94eaec6f666ac729" concept="clcid-ci-ar:FuZhu_JianKuCunGu" label="附注_减：库存股" addr="T0R92C1S1_1"/>
        <m:item xlName="_GBC_a5dd07df480f4e97892c872b0710e91a" concept="clcid-pte:KuCunGu" label="库存股" mulRef="_GBC_710dced47e5943589779e071c78c5512" unitRef="_GBC_7e2679155b104d33ba04158c7414bcff" addr="T0R92C2S1_1" formatStyle="Comma"/>
        <m:item xlName="_GBC_ef83d2903fcc4163988a6860668d0061" concept="clcid-pte:KuCunGu" label="库存股" periodRef="上年期末数" mulRef="_GBC_710dced47e5943589779e071c78c5512" unitRef="_GBC_7e2679155b104d33ba04158c7414bcff" addr="T0R92C3S1_1" formatStyle="Comma"/>
        <m:placeholder xlName="_PLD_ed778b8c2aaa425cb45af63fe0d20a4d" addr="T0R93C0S1_1"/>
        <m:item xlName="_GBC_ba0c2c97f677495da2412322c51550fc" concept="clcid-ci-ar:FuZhuQiTaZongHeShouYiZiChanFuZhaiBiaoXiangMu" label="附注_其他综合收益（资产负债表项目）" addr="T0R93C1S1_1"/>
        <m:item xlName="_GBC_021fd7c06c9548979b547fc64e482006" concept="clcid-pte:QiTaZongHeShouYiZiChanFuZhaiBiaoXiangMu" label="其他综合收益（资产负债表项目）" mulRef="_GBC_710dced47e5943589779e071c78c5512" unitRef="_GBC_7e2679155b104d33ba04158c7414bcff" addr="T0R93C2S1_1" formatStyle="Comma"/>
        <m:item xlName="_GBC_500d881092ac42eeb87adc8eadfbc6ce" concept="clcid-pte:QiTaZongHeShouYiZiChanFuZhaiBiaoXiangMu" label="其他综合收益（资产负债表项目）" periodRef="上年期末数" mulRef="_GBC_710dced47e5943589779e071c78c5512" unitRef="_GBC_7e2679155b104d33ba04158c7414bcff" addr="T0R93C3S1_1" formatStyle="Comma"/>
        <m:placeholder xlName="_PLD_88ef3a1b7ae6448183de3fe2b91f7cd5" addr="T0R94C0S1_1"/>
        <m:item xlName="_GBC_08751f8a50b940d0a48f55715a1e0852" concept="clcid-ci-ar:FuZhu_ZhuanXiangChuBei" label="附注_专项储备" addr="T0R94C1S1_1"/>
        <m:item xlName="_GBC_b48391003e6941caadc7867c2c681c23" concept="clcid-pte:ZhuanXiangChuBei" label="专项储备" mulRef="_GBC_710dced47e5943589779e071c78c5512" unitRef="_GBC_7e2679155b104d33ba04158c7414bcff" addr="T0R94C2S1_1" formatStyle="Comma"/>
        <m:item xlName="_GBC_a4b681a8586e42fcb4dadf641e4cfd56" concept="clcid-pte:ZhuanXiangChuBei" label="专项储备" periodRef="上年期末数" mulRef="_GBC_710dced47e5943589779e071c78c5512" unitRef="_GBC_7e2679155b104d33ba04158c7414bcff" addr="T0R94C3S1_1" formatStyle="Comma"/>
        <m:placeholder xlName="_PLD_9f1157091e4b41f7b980273a3e11b2e5" addr="T0R95C0S1_1"/>
        <m:item xlName="_GBC_e3ad30b8a2054ab9b9614a2b585c2640" concept="clcid-ci-ar:FuZhu_YingYuGongJi" label="附注_盈余公积" addr="T0R95C1S1_1"/>
        <m:item xlName="_GBC_2ae939a3611c474680002fe1637c05b3" concept="clcid-pte:YingYuGongJi" label="盈余公积" mulRef="_GBC_710dced47e5943589779e071c78c5512" unitRef="_GBC_7e2679155b104d33ba04158c7414bcff" addr="T0R95C2S1_1" formatStyle="Comma"/>
        <m:item xlName="_GBC_f52de319583f436b87bb8111c0143994" concept="clcid-pte:YingYuGongJi" label="盈余公积" periodRef="上年期末数" mulRef="_GBC_710dced47e5943589779e071c78c5512" unitRef="_GBC_7e2679155b104d33ba04158c7414bcff" addr="T0R95C3S1_1" formatStyle="Comma"/>
        <m:placeholder xlName="_PLD_c223f5905b0e4651a5a022690a7a5a1c" addr="T0R96C0S1_1"/>
        <m:item xlName="_GBC_3414640c137e4b88a44b40ff409f4e3a" concept="clcid-ci-ar:FuZhu_YiBanFengXianZhunBei" label="附注_一般风险准备" addr="T0R96C1S1_1"/>
        <m:item xlName="_GBC_ed2e47e312e74bd89f5f74693ed91970" concept="clcid-pte:YiBanFengXianZhunBei" label="一般风险准备" mulRef="_GBC_710dced47e5943589779e071c78c5512" unitRef="_GBC_7e2679155b104d33ba04158c7414bcff" addr="T0R96C2S1_1" formatStyle="Comma"/>
        <m:item xlName="_GBC_7a509288b63a4ad493a7c281f9df021b" concept="clcid-pte:YiBanFengXianZhunBei" label="一般风险准备" periodRef="上年期末数" mulRef="_GBC_710dced47e5943589779e071c78c5512" unitRef="_GBC_7e2679155b104d33ba04158c7414bcff" addr="T0R96C3S1_1" formatStyle="Comma"/>
        <m:placeholder xlName="_PLD_c329719465d9412cab74b5424ac30bd4" addr="T0R97C0S1_1"/>
        <m:item xlName="_GBC_7a6d455ca66c467e962bcc940ab1a84f" concept="clcid-ci-ar:FuZhu_WeiFenPeiLiRun" label="附注_未分配利润" addr="T0R97C1S1_1"/>
        <m:item xlName="_GBC_fc8037a28f7242be9c9a373150496244" concept="clcid-pte:WeiFenPeiLiRun" label="未分配利润" mulRef="_GBC_710dced47e5943589779e071c78c5512" unitRef="_GBC_7e2679155b104d33ba04158c7414bcff" addr="T0R97C2S1_1" formatStyle="Comma"/>
        <m:item xlName="_GBC_8c8b8c6d963e435ab04baac5bd8e3ad4" concept="clcid-pte:WeiFenPeiLiRun" label="未分配利润" periodRef="上年期末数" mulRef="_GBC_710dced47e5943589779e071c78c5512" unitRef="_GBC_7e2679155b104d33ba04158c7414bcff" addr="T0R97C3S1_1" formatStyle="Comma"/>
        <m:placeholder xlName="_PLD_09fcb4ca82f14307ab214d34a90b9ef2" addr="T0R98C0S1_1"/>
        <m:item xlName="_GBC_d68124809a9a40cc9aa1bc15387b03e0" concept="clcid-ci-ar:FuZhu_GuiShuYuMuGongSiSuoYouZheQuanYiHeJi" label="附注_归属于母公司所有者权益合计" addr="T0R98C1S1_1"/>
        <m:item xlName="_GBC_dc395cc862f24b5eb885a53d7c84d856" concept="clcid-pte:GuiShuYuMuGongSiSuoYouZheQuanYiHeJi" label="归属于母公司所有者权益合计" mulRef="_GBC_710dced47e5943589779e071c78c5512" unitRef="_GBC_7e2679155b104d33ba04158c7414bcff" addr="T0R98C2S1_1" formatStyle="Comma">
          <m:complexRule comparator="Eq" title="归属于母公司所有者权益合计" test=" $_GBC_2ab8e3649d8d4af08b9051ebc8770278 +  $_GBC_2ada24087c524a2bb5328b03473aa1f8 +  $_GBC_809afcf40b3d4627bf4a34745d457b5a -  $_GBC_a5dd07df480f4e97892c872b0710e91a +  $_GBC_021fd7c06c9548979b547fc64e482006 +  $_GBC_b48391003e6941caadc7867c2c681c23 +  $_GBC_2ae939a3611c474680002fe1637c05b3 +  $_GBC_ed2e47e312e74bd89f5f74693ed91970 +  $_GBC_fc8037a28f7242be9c9a373150496244" id="Ca46a0b7af50041acb6344cd75baba1d8"/>
        </m:item>
        <m:item xlName="_GBC_5b4b43588aa242e48d56d5e095dcf09e" concept="clcid-pte:GuiShuYuMuGongSiSuoYouZheQuanYiHeJi" label="归属于母公司所有者权益合计" periodRef="上年期末数" mulRef="_GBC_710dced47e5943589779e071c78c5512" unitRef="_GBC_7e2679155b104d33ba04158c7414bcff" addr="T0R98C3S1_1" formatStyle="Comma">
          <m:complexRule comparator="Eq" title="归属于母公司所有者权益合计@上年期末数" test=" $_GBC_d67aa1956eb14dd09305431ca9cf34db +  $_GBC_7accd8a1deea401ea0ca0e266e543028 +  $_GBC_3a4050bdd9bf49fa8b53bb8b04eca01f -  $_GBC_ef83d2903fcc4163988a6860668d0061 +  $_GBC_500d881092ac42eeb87adc8eadfbc6ce +  $_GBC_a4b681a8586e42fcb4dadf641e4cfd56 +  $_GBC_f52de319583f436b87bb8111c0143994 +  $_GBC_7a509288b63a4ad493a7c281f9df021b +  $_GBC_8c8b8c6d963e435ab04baac5bd8e3ad4" id="Cb0fc628a601349c49893f14e0b3bb0fe"/>
        </m:item>
        <m:placeholder xlName="_PLD_ba9844f67b5f427c8b672b584512bc30" addr="T0R99C0S1_1"/>
        <m:item xlName="_GBC_df04df0d57424e278906a6cd927ca416" concept="clcid-ci-ar:FuZhu_ShaoShuGuDongQuanYi" label="附注_少数股东权益" addr="T0R99C1S1_1"/>
        <m:item xlName="_GBC_8624d16257614ebc928129adafec4b6c" concept="clcid-pte:ShaoShuGuDongQuanYi" label="少数股东权益" mulRef="_GBC_710dced47e5943589779e071c78c5512" unitRef="_GBC_7e2679155b104d33ba04158c7414bcff" addr="T0R99C2S1_1" formatStyle="Comma"/>
        <m:item xlName="_GBC_ea8735b735654176a31fbd66131995ee" concept="clcid-pte:ShaoShuGuDongQuanYi" label="少数股东权益" periodRef="上年期末数" mulRef="_GBC_710dced47e5943589779e071c78c5512" unitRef="_GBC_7e2679155b104d33ba04158c7414bcff" addr="T0R99C3S1_1" formatStyle="Comma"/>
        <m:placeholder xlName="_PLD_49d0693ecf324c179ed30b3065d9fd15" addr="T0R100C0S1_1"/>
        <m:item xlName="_GBC_a6e97780f35642f08f7fdbf7250a8124" concept="clcid-ci-ar:FuZhu_GuDongQuanYiHeJi" label="附注_股东权益合计" addr="T0R100C1S1_1"/>
        <m:item xlName="_GBC_7287ac05058e449e8b78660817c06b95" concept="clcid-pte:GuDongQuanYiHeJi" label="股东权益合计" mulRef="_GBC_710dced47e5943589779e071c78c5512" unitRef="_GBC_7e2679155b104d33ba04158c7414bcff" addr="T0R100C2S1_1" formatStyle="Comma">
          <m:complexRule comparator="Eq" title="股东权益合计" test=" $_GBC_dc395cc862f24b5eb885a53d7c84d856 +  $_GBC_8624d16257614ebc928129adafec4b6c" id="Cf44ea06dc2cd47a78303380387ac429c"/>
        </m:item>
        <m:item xlName="_GBC_1de94e2759f44905844b8a41ebbfb1d7" concept="clcid-pte:GuDongQuanYiHeJi" label="股东权益合计" periodRef="上年期末数" mulRef="_GBC_710dced47e5943589779e071c78c5512" unitRef="_GBC_7e2679155b104d33ba04158c7414bcff" addr="T0R100C3S1_1" formatStyle="Comma">
          <m:complexRule comparator="Eq" title="股东权益合计@上年期末数" test=" $_GBC_5b4b43588aa242e48d56d5e095dcf09e +  $_GBC_ea8735b735654176a31fbd66131995ee" id="C4952a8f58edd4d8aad388cf2c70cdbdd"/>
        </m:item>
        <m:placeholder xlName="_PLD_def9f9081ac845ec93bbb1e70817d650" addr="T0R101C0S1_1"/>
        <m:item xlName="_GBC_6824cd502dd0463e9909e8b172f27f11" concept="clcid-ci-ar:FuZhu_FuZhaiHeGuDongQuanYiHeJi" label="附注_负债和股东权益合计" addr="T0R101C1S1_1"/>
        <m:item xlName="_GBC_f23bf6303aab4537ba6a3dfae3647f7d" concept="clcid-pte:FuZhaiHeGuDongQuanYiHeJi" label="负债和股东权益合计" mulRef="_GBC_710dced47e5943589779e071c78c5512" unitRef="_GBC_7e2679155b104d33ba04158c7414bcff" addr="T0R101C2S1_1" formatStyle="Comma">
          <m:complexRule comparator="Eq" title="负债和股东权益合计" test=" $_GBC_97f7c28ffb684630a4a64df7621b0667 +  $_GBC_7287ac05058e449e8b78660817c06b95" id="Cb5815ec3541a4b9e9619247372994494"/>
        </m:item>
        <m:item xlName="_GBC_16090d37ea1642ada5d28b1d536be596" concept="clcid-pte:FuZhaiHeGuDongQuanYiHeJi" label="负债和股东权益合计" periodRef="上年期末数" mulRef="_GBC_710dced47e5943589779e071c78c5512" unitRef="_GBC_7e2679155b104d33ba04158c7414bcff" addr="T0R101C3S1_1" formatStyle="Comma">
          <m:complexRule comparator="Eq" title="负债和股东权益合计@上年期末数" test=" $_GBC_2e95072946fb4cca8382374203e06593 +  $_GBC_1de94e2759f44905844b8a41ebbfb1d7" id="C510fa37d609c44178cf3d9635dd213ca"/>
        </m:item>
        <m:item xlName="_GBC_82350876809b4479afe9f3c55db147dd" concept="clcid-mr:GongSiFuZeRenXingMing" label="公司负责人姓名" binding="true"/>
        <m:item xlName="_GBC_9caf2fff268b41a7b3fe74fc4a3d6533" concept="clcid-mr:ZhuGuanKuaiJiGongZuoFuZeRenXingMing" label="主管会计工作负责人姓名" binding="true"/>
        <m:item xlName="_GBC_8cacbe4a6fcc41699e67ce809516ec50"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GBC_af8c8d1094d041008b00be724891aff3" title="母公司资产负债表 &#10;" helpId="112001001">
        <m:item xlName="_GBC_824a3e7402834e78aa66a9ee77d287bc" concept="clcid-cgi:GongSiFaDingZhongWenMingCheng" label="公司法定中文名称" binding="true"/>
        <m:item xlName="_GBC_7be010b1a07f4048a3805d40208ccda4" concept="clcid-ci-ar:DanWeiMuGongSiZiChanFuZhaiBiao" label="单位：母公司资产负债表" selectOptions="_buildInScales" controlType="Combobox" cellType="Scale"/>
        <m:item xlName="_GBC_ecd35f8ce6f84d6f8ad30e1e244c15ff" concept="clcid-ci-ar:BiZhongMuGongSiZiChanFuZhaiBiao" label="币种：母公司资产负债表" selectOptions="_buildInISO4217" controlType="Combobox" cellType="Measure"/>
        <m:placeholder xlName="_PLD_7b231a79acb54050b640bf23dd34ab8c" addr="T1R0C0S1_1"/>
        <m:placeholder xlName="_PLD_5e370aa08a144a709185abd9b2f11c20" addr="T1R0C1S1_1"/>
        <m:placeholder xlName="_PLD_0aa0a7a0cd4c45afa7cfb1bcfbba36c3" addr="T1R0C2S1_1"/>
        <m:placeholder xlName="_PLD_e986dda0dbc74346a9296e5a4646b696" addr="T1R0C3S1_1"/>
        <m:placeholder xlName="_PLD_64ae72669eea4837a1a220d585585bdf" addr="T1R1C0S1_1"/>
        <m:placeholder xlName="_PLD_9b78743cdab64576b5cd6da9a3a930fa" addr="T1R2C0S1_1"/>
        <m:item xlName="_GBC_6e0331d97f884d04809ce69e8479e6db" concept="clcid-ci-ar:FuZhu_HuoBiZiJin" label="附注_货币资金" addr="T1R2C1S1_1">
          <m:axisValue occRef="母公司"/>
        </m:item>
        <m:item xlName="_GBC_ec30a5604b9d46f3a76aceb728c079c6" concept="clcid-pte:HuoBiZiJin" label="货币资金" mulRef="_GBC_7be010b1a07f4048a3805d40208ccda4" unitRef="_GBC_ecd35f8ce6f84d6f8ad30e1e244c15ff" addr="T1R2C2S1_1" formatStyle="Comma">
          <m:axisValue occRef="母公司"/>
        </m:item>
        <m:item xlName="_GBC_81d70c7b40f74549a95d44eb2463b3c7" concept="clcid-pte:HuoBiZiJin" label="货币资金" periodRef="上年期末数" mulRef="_GBC_7be010b1a07f4048a3805d40208ccda4" unitRef="_GBC_ecd35f8ce6f84d6f8ad30e1e244c15ff" addr="T1R2C3S1_1" formatStyle="Comma">
          <m:axisValue occRef="母公司"/>
        </m:item>
        <m:placeholder xlName="_PLD_9110b32630da4518a6cd2897b5ab904c" addr="T1R3C0S1_1"/>
        <m:item xlName="_GBC_ea3b3ca8ccee4535ac232066a267f5a5" concept="clcid-ci-ar:FuZhu_JiaoYiXingJinRongZiChan" label="附注_交易性金融资产" addr="T1R3C1S1_1">
          <m:axisValue occRef="母公司"/>
        </m:item>
        <m:item xlName="_GBC_23e8c5643a044eee97e373643ab53f65" concept="clcid-pte:JiaoYiXingJinRongZiChan" label="交易性金融资产" mulRef="_GBC_7be010b1a07f4048a3805d40208ccda4" unitRef="_GBC_ecd35f8ce6f84d6f8ad30e1e244c15ff" addr="T1R3C2S1_1" formatStyle="Comma">
          <m:axisValue occRef="母公司"/>
        </m:item>
        <m:item xlName="_GBC_22c3883d0ba744b8b9c1bfa6196f4b5d" concept="clcid-pte:JiaoYiXingJinRongZiChan" label="交易性金融资产" periodRef="上年期末数" mulRef="_GBC_7be010b1a07f4048a3805d40208ccda4" unitRef="_GBC_ecd35f8ce6f84d6f8ad30e1e244c15ff" addr="T1R3C3S1_1" formatStyle="Comma">
          <m:axisValue occRef="母公司"/>
        </m:item>
        <m:placeholder xlName="_PLD_1bfca77991c7445a99252c547d869547" addr="T1R4C0S1_1"/>
        <m:item xlName="_GBC_4262b1ae57704a9b91c486033cb00919" concept="clcid-ci-ar:FuZhuYanShengJinRongZiChan" label="附注_衍生金融资产" addr="T1R4C1S1_1">
          <m:axisValue occRef="母公司"/>
        </m:item>
        <m:item xlName="_GBC_7340916e8e3d48d9acdd60677ea234e5" concept="clcid-pte:YanShengJinRongZiChan" label="衍生金融资产" mulRef="_GBC_7be010b1a07f4048a3805d40208ccda4" unitRef="_GBC_ecd35f8ce6f84d6f8ad30e1e244c15ff" addr="T1R4C2S1_1" formatStyle="Comma">
          <m:axisValue occRef="母公司"/>
        </m:item>
        <m:item xlName="_GBC_cb7c4d45a017416c9ededcd741afbe3c" concept="clcid-pte:YanShengJinRongZiChan" label="衍生金融资产" periodRef="上年期末数" mulRef="_GBC_7be010b1a07f4048a3805d40208ccda4" unitRef="_GBC_ecd35f8ce6f84d6f8ad30e1e244c15ff" addr="T1R4C3S1_1" formatStyle="Comma">
          <m:axisValue occRef="母公司"/>
        </m:item>
        <m:placeholder xlName="_PLD_ff993f326eb24b209c608805e7d5452d" addr="T1R5C0S1_1"/>
        <m:item xlName="_GBC_e12c6ededd1d4bce9fff523e5721b3e4" concept="clcid-ci-ar:FuZhu_YingShouPiaoJu" label="附注_应收票据" addr="T1R5C1S1_1">
          <m:axisValue occRef="母公司"/>
        </m:item>
        <m:item xlName="_GBC_68bc0b7641f5403ea3c993b1157756a5" concept="clcid-pte:YingShouPiaoJu" label="应收票据" mulRef="_GBC_7be010b1a07f4048a3805d40208ccda4" unitRef="_GBC_ecd35f8ce6f84d6f8ad30e1e244c15ff" addr="T1R5C2S1_1" formatStyle="Comma">
          <m:axisValue occRef="母公司"/>
        </m:item>
        <m:item xlName="_GBC_9a0294db638a484cbe9cf5037b516d09" concept="clcid-pte:YingShouPiaoJu" label="应收票据" periodRef="上年期末数" mulRef="_GBC_7be010b1a07f4048a3805d40208ccda4" unitRef="_GBC_ecd35f8ce6f84d6f8ad30e1e244c15ff" addr="T1R5C3S1_1" formatStyle="Comma">
          <m:axisValue occRef="母公司"/>
        </m:item>
        <m:placeholder xlName="_PLD_e1b51c42e6ff4b2b89ce73b84b0ca8c1" addr="T1R6C0S1_1"/>
        <m:item xlName="_GBC_33e512a291a943adb9bb2c24c4442104" concept="clcid-ci-ar:FuZhu_YingShouZhangKuan" label="附注_应收帐款" addr="T1R6C1S1_1">
          <m:axisValue occRef="母公司"/>
        </m:item>
        <m:item xlName="_GBC_a57f9ca94b2647e2b178451a28740b0b" concept="clcid-pte:YingShouZhangKuan" label="应收帐款" mulRef="_GBC_7be010b1a07f4048a3805d40208ccda4" unitRef="_GBC_ecd35f8ce6f84d6f8ad30e1e244c15ff" addr="T1R6C2S1_1" formatStyle="Comma">
          <m:axisValue occRef="母公司"/>
        </m:item>
        <m:item xlName="_GBC_a2dd69ad774b41ba9ebc98183dc7ce3d" concept="clcid-pte:YingShouZhangKuan" label="应收帐款" periodRef="上年期末数" mulRef="_GBC_7be010b1a07f4048a3805d40208ccda4" unitRef="_GBC_ecd35f8ce6f84d6f8ad30e1e244c15ff" addr="T1R6C3S1_1" formatStyle="Comma">
          <m:axisValue occRef="母公司"/>
        </m:item>
        <m:placeholder xlName="_PLD_a11cc65422d84c058777e9f23de9aaef" addr="T1R7C0S1_1"/>
        <m:item xlName="_GBC_6deae49dcd1c4fc2ad5caa480a7779bf" concept="clcid-ci-ar:FuZhu_YingShouKuanXiangRongZi" label="附注_应收款项融资" addr="T1R7C1S1_1">
          <m:axisValue occRef="母公司"/>
        </m:item>
        <m:item xlName="_GBC_cc554a3a14324485b701770af49500ec" concept="clcid-pte:YingShouKuanXiangRongZi" label="应收款项融资" mulRef="_GBC_7be010b1a07f4048a3805d40208ccda4" unitRef="_GBC_ecd35f8ce6f84d6f8ad30e1e244c15ff" addr="T1R7C2S1_1" formatStyle="Comma">
          <m:axisValue occRef="母公司"/>
        </m:item>
        <m:item xlName="_GBC_d395d352eb72429c812a368614af59e1" concept="clcid-pte:YingShouKuanXiangRongZi" label="应收款项融资" periodRef="上年期末数" mulRef="_GBC_7be010b1a07f4048a3805d40208ccda4" unitRef="_GBC_ecd35f8ce6f84d6f8ad30e1e244c15ff" addr="T1R7C3S1_1" formatStyle="Comma">
          <m:axisValue occRef="母公司"/>
        </m:item>
        <m:placeholder xlName="_PLD_805b2d340ad24fae990479b422656525" addr="T1R8C0S1_1"/>
        <m:item xlName="_GBC_6e030aab21f54118a1d725ab295a07cb" concept="clcid-ci-ar:FuZhu_YuFuZhangKuan" label="附注_预付帐款" addr="T1R8C1S1_1">
          <m:axisValue occRef="母公司"/>
        </m:item>
        <m:item xlName="_GBC_0dea1c4c75f843e7baea2d35063d5ae6" concept="clcid-pte:YuFuZhangKuan" label="预付帐款" mulRef="_GBC_7be010b1a07f4048a3805d40208ccda4" unitRef="_GBC_ecd35f8ce6f84d6f8ad30e1e244c15ff" addr="T1R8C2S1_1" formatStyle="Comma">
          <m:axisValue occRef="母公司"/>
        </m:item>
        <m:item xlName="_GBC_27d668447e50451688dea6cb21427331" concept="clcid-pte:YuFuZhangKuan" label="预付帐款" periodRef="上年期末数" mulRef="_GBC_7be010b1a07f4048a3805d40208ccda4" unitRef="_GBC_ecd35f8ce6f84d6f8ad30e1e244c15ff" addr="T1R8C3S1_1" formatStyle="Comma">
          <m:axisValue occRef="母公司"/>
        </m:item>
        <m:placeholder xlName="_PLD_cf9f116dabbb48b2a5a0f3ba0b4772cd" addr="T1R9C0S1_1"/>
        <m:item xlName="_GBC_17033d6659fc4e64bfdcc6c242133012" concept="clcid-ci-ar:FuZhu_QiTaYingShouKuan" label="附注_其他应收款" addr="T1R9C1S1_1">
          <m:axisValue occRef="母公司"/>
        </m:item>
        <m:item xlName="_GBC_de21d65c70ec4237b74adcba708ff6d2" concept="clcid-pte:QiTaYingShouKuan" label="其他应收款" mulRef="_GBC_7be010b1a07f4048a3805d40208ccda4" unitRef="_GBC_ecd35f8ce6f84d6f8ad30e1e244c15ff" addr="T1R9C2S1_1" formatStyle="Comma">
          <m:axisValue occRef="母公司"/>
        </m:item>
        <m:item xlName="_GBC_8edfc45c22ff48b89f5eee9632fd85dc" concept="clcid-pte:QiTaYingShouKuan" label="其他应收款" periodRef="上年期末数" mulRef="_GBC_7be010b1a07f4048a3805d40208ccda4" unitRef="_GBC_ecd35f8ce6f84d6f8ad30e1e244c15ff" addr="T1R9C3S1_1" formatStyle="Comma">
          <m:axisValue occRef="母公司"/>
        </m:item>
        <m:placeholder xlName="_PLD_b55f9182bb0f4ff099725b83128277f5" addr="T1R10C0S1_1"/>
        <m:item xlName="_GBC_81b6e925a5324172a6b05418c627df05" concept="clcid-ci-ar:FuZhu_YingShouLiXi" label="附注_应收利息" addr="T1R10C1S1_1">
          <m:axisValue occRef="母公司"/>
        </m:item>
        <m:item xlName="_GBC_b5eff6239c0e4e328c12fe0583644089" concept="clcid-pte:YingShouLiXi" label="应收利息" mulRef="_GBC_7be010b1a07f4048a3805d40208ccda4" unitRef="_GBC_ecd35f8ce6f84d6f8ad30e1e244c15ff" addr="T1R10C2S1_1" formatStyle="Comma">
          <m:axisValue occRef="母公司"/>
        </m:item>
        <m:item xlName="_GBC_619ec5823c394d3cb185212807d03b8e" concept="clcid-pte:YingShouLiXi" label="应收利息" periodRef="上年期末数" mulRef="_GBC_7be010b1a07f4048a3805d40208ccda4" unitRef="_GBC_ecd35f8ce6f84d6f8ad30e1e244c15ff" addr="T1R10C3S1_1" formatStyle="Comma">
          <m:axisValue occRef="母公司"/>
        </m:item>
        <m:placeholder xlName="_PLD_e9ef2df028eb46cbb98922f7b2e9c423" addr="T1R11C0S1_1"/>
        <m:item xlName="_GBC_0ffd46f212804d3ca5b9cb85f00e6bd9" concept="clcid-ci-ar:FuZhu_YingShouGuLi" label="附注_应收股利" addr="T1R11C1S1_1">
          <m:axisValue occRef="母公司"/>
        </m:item>
        <m:item xlName="_GBC_af45886a5f5b4e949dad5d0d7ec9d88c" concept="clcid-pte:YingShouGuLi" label="应收股利" mulRef="_GBC_7be010b1a07f4048a3805d40208ccda4" unitRef="_GBC_ecd35f8ce6f84d6f8ad30e1e244c15ff" addr="T1R11C2S1_1" formatStyle="Comma">
          <m:axisValue occRef="母公司"/>
        </m:item>
        <m:item xlName="_GBC_bffb1600d1d94499bc2ac28224dcbc4e" concept="clcid-pte:YingShouGuLi" label="应收股利" periodRef="上年期末数" mulRef="_GBC_7be010b1a07f4048a3805d40208ccda4" unitRef="_GBC_ecd35f8ce6f84d6f8ad30e1e244c15ff" addr="T1R11C3S1_1" formatStyle="Comma">
          <m:axisValue occRef="母公司"/>
        </m:item>
        <m:placeholder xlName="_PLD_6cc0aeaf59b04efabb1f01b5c63b990f" addr="T1R12C0S1_1"/>
        <m:item xlName="_GBC_a6370efb809c409e8b2f29d9965528b9" concept="clcid-ci-ar:FuZhu_CunHuo" label="附注_存货" addr="T1R12C1S1_1">
          <m:axisValue occRef="母公司"/>
        </m:item>
        <m:item xlName="_GBC_d64350e7541241b6b7c27ac45d999012" concept="clcid-pte:CunHuo" label="存货" mulRef="_GBC_7be010b1a07f4048a3805d40208ccda4" unitRef="_GBC_ecd35f8ce6f84d6f8ad30e1e244c15ff" addr="T1R12C2S1_1" formatStyle="Comma">
          <m:axisValue occRef="母公司"/>
        </m:item>
        <m:item xlName="_GBC_7f09b3bffe034f2d9fb3b5d6df815da3" concept="clcid-pte:CunHuo" label="存货" periodRef="上年期末数" mulRef="_GBC_7be010b1a07f4048a3805d40208ccda4" unitRef="_GBC_ecd35f8ce6f84d6f8ad30e1e244c15ff" addr="T1R12C3S1_1" formatStyle="Comma">
          <m:axisValue occRef="母公司"/>
        </m:item>
        <m:placeholder xlName="_PLD_de3d0e1008ca4d3b96e66b5c92068d38" addr="T1R13C0S1_1"/>
        <m:item xlName="_GBC_406c800e736a4f558c22968bbc7b775b" concept="clcid-ci-ar:FuZhu_HeTongZiChan" label="附注_合同资产" addr="T1R13C1S1_1">
          <m:axisValue occRef="母公司"/>
        </m:item>
        <m:item xlName="_GBC_d18bd28fea04483cb9239b566656284b" concept="clcid-pte:HeTongZiChan" label="合同资产" mulRef="_GBC_7be010b1a07f4048a3805d40208ccda4" unitRef="_GBC_ecd35f8ce6f84d6f8ad30e1e244c15ff" addr="T1R13C2S1_1" formatStyle="Comma">
          <m:axisValue occRef="母公司"/>
        </m:item>
        <m:item xlName="_GBC_c9a76f16a87441fb9f5d4bd17edf4072" concept="clcid-pte:HeTongZiChan" label="合同资产" periodRef="上年期末数" mulRef="_GBC_7be010b1a07f4048a3805d40208ccda4" unitRef="_GBC_ecd35f8ce6f84d6f8ad30e1e244c15ff" addr="T1R13C3S1_1" formatStyle="Comma">
          <m:axisValue occRef="母公司"/>
        </m:item>
        <m:placeholder xlName="_PLD_a0e80251eb49414f8ed0e4f3efcb5263" addr="T1R14C0S1_1"/>
        <m:item xlName="_GBC_633352faf986419cb3345d57e8e7371a" concept="clcid-ci-ar:FuZhuHuaFenWeiChiYouDaiShouDeZiChan" label="附注_划分为持有待售的资产" addr="T1R14C1S1_1">
          <m:axisValue occRef="母公司"/>
        </m:item>
        <m:item xlName="_GBC_152038e7b7fd497cbf07f31df1af516a" concept="clcid-pte:HuaFenWeiChiYouDaiShouDeZiChan" label="划分为持有待售的资产" mulRef="_GBC_7be010b1a07f4048a3805d40208ccda4" unitRef="_GBC_ecd35f8ce6f84d6f8ad30e1e244c15ff" addr="T1R14C2S1_1" formatStyle="Comma">
          <m:axisValue occRef="母公司"/>
        </m:item>
        <m:item xlName="_GBC_1197d758318b41de9d4f8c977074013b" concept="clcid-pte:HuaFenWeiChiYouDaiShouDeZiChan" label="划分为持有待售的资产" periodRef="上年期末数" mulRef="_GBC_7be010b1a07f4048a3805d40208ccda4" unitRef="_GBC_ecd35f8ce6f84d6f8ad30e1e244c15ff" addr="T1R14C3S1_1" formatStyle="Comma">
          <m:axisValue occRef="母公司"/>
        </m:item>
        <m:placeholder xlName="_PLD_b0b228c115df478088a29f03f8d7ad59" addr="T1R15C0S1_1"/>
        <m:item xlName="_GBC_c089d2cc31834923b04446a67fc435a0" concept="clcid-ci-ar:FuZhu_YiNianNeiDaoQiDeFeiLiuDongZiChan" label="附注_一年内到期的非流动资产" addr="T1R15C1S1_1">
          <m:axisValue occRef="母公司"/>
        </m:item>
        <m:item xlName="_GBC_0e5794ec9c3a4aa49ee7e612f4073b77" concept="clcid-pte:YiNianNeiDaoQiDeFeiLiuDongZiChan" label="一年内到期的非流动资产" mulRef="_GBC_7be010b1a07f4048a3805d40208ccda4" unitRef="_GBC_ecd35f8ce6f84d6f8ad30e1e244c15ff" addr="T1R15C2S1_1" formatStyle="Comma">
          <m:axisValue occRef="母公司"/>
        </m:item>
        <m:item xlName="_GBC_7688eec2b75746d086f48197dfd22006" concept="clcid-pte:YiNianNeiDaoQiDeFeiLiuDongZiChan" label="一年内到期的非流动资产" periodRef="上年期末数" mulRef="_GBC_7be010b1a07f4048a3805d40208ccda4" unitRef="_GBC_ecd35f8ce6f84d6f8ad30e1e244c15ff" addr="T1R15C3S1_1" formatStyle="Comma">
          <m:axisValue occRef="母公司"/>
        </m:item>
        <m:placeholder xlName="_PLD_62c79909426d483f990fd7869da0a773" addr="T1R16C0S1_1"/>
        <m:item xlName="_GBC_41bf3b99dcd34292b8ca219c3b9cf98d" concept="clcid-ci-ar:FuZhu_QiTaLiuDongZiChan" label="附注_其他流动资产" addr="T1R16C1S1_1">
          <m:axisValue occRef="母公司"/>
        </m:item>
        <m:item xlName="_GBC_d3041db831a1472eb22db1c12aeede0b" concept="clcid-pte:QiTaLiuDongZiChan" label="其他流动资产" mulRef="_GBC_7be010b1a07f4048a3805d40208ccda4" unitRef="_GBC_ecd35f8ce6f84d6f8ad30e1e244c15ff" addr="T1R16C2S1_1" formatStyle="Comma">
          <m:axisValue occRef="母公司"/>
        </m:item>
        <m:item xlName="_GBC_3f6c09b7e82f4203b3e26251c6dd3d4e" concept="clcid-pte:QiTaLiuDongZiChan" label="其他流动资产" periodRef="上年期末数" mulRef="_GBC_7be010b1a07f4048a3805d40208ccda4" unitRef="_GBC_ecd35f8ce6f84d6f8ad30e1e244c15ff" addr="T1R16C3S1_1" formatStyle="Comma">
          <m:axisValue occRef="母公司"/>
        </m:item>
        <m:placeholder xlName="_PLD_b5f1546085cd4f41ba16ec6a8b42ac7f" addr="T1R17C0S1_1"/>
        <m:item xlName="_GBC_c144a8bae69940feb445f26596b47915" concept="clcid-ci-ar:FuZhu_LiuDongZiChanHeJi" label="附注_流动资产合计" addr="T1R17C1S1_1">
          <m:axisValue occRef="母公司"/>
        </m:item>
        <m:item xlName="_GBC_ce16b1bc49d94465891d24cf2b36c365" concept="clcid-pte:LiuDongZiChanHeJi" label="流动资产合计" mulRef="_GBC_7be010b1a07f4048a3805d40208ccda4" unitRef="_GBC_ecd35f8ce6f84d6f8ad30e1e244c15ff" addr="T1R17C2S1_1" formatStyle="Comma">
          <m:complexRule comparator="Eq" title="流动资产合计" test=" $_GBC_ec30a5604b9d46f3a76aceb728c079c6 +  $_GBC_23e8c5643a044eee97e373643ab53f65 +  $_GBC_7340916e8e3d48d9acdd60677ea234e5 +  $_GBC_68bc0b7641f5403ea3c993b1157756a5 +  $_GBC_a57f9ca94b2647e2b178451a28740b0b +  $_GBC_cc554a3a14324485b701770af49500ec +  $_GBC_0dea1c4c75f843e7baea2d35063d5ae6 +  $_GBC_de21d65c70ec4237b74adcba708ff6d2 +  $_GBC_d64350e7541241b6b7c27ac45d999012 +  $_GBC_d18bd28fea04483cb9239b566656284b +  $_GBC_152038e7b7fd497cbf07f31df1af516a +  $_GBC_0e5794ec9c3a4aa49ee7e612f4073b77 +  $_GBC_d3041db831a1472eb22db1c12aeede0b" id="C33e1850f9c0144aaa83151a9cfe04506"/>
          <m:axisValue occRef="母公司"/>
        </m:item>
        <m:item xlName="_GBC_f037e3bf5cad4fa595ad935087a228ab" concept="clcid-pte:LiuDongZiChanHeJi" label="流动资产合计" periodRef="上年期末数" mulRef="_GBC_7be010b1a07f4048a3805d40208ccda4" unitRef="_GBC_ecd35f8ce6f84d6f8ad30e1e244c15ff" addr="T1R17C3S1_1" formatStyle="Comma">
          <m:complexRule comparator="Eq" title="流动资产合计@本期期初数" test=" $_GBC_81d70c7b40f74549a95d44eb2463b3c7 +  $_GBC_22c3883d0ba744b8b9c1bfa6196f4b5d +  $_GBC_cb7c4d45a017416c9ededcd741afbe3c +  $_GBC_9a0294db638a484cbe9cf5037b516d09 +  $_GBC_a2dd69ad774b41ba9ebc98183dc7ce3d +  $_GBC_d395d352eb72429c812a368614af59e1 +  $_GBC_27d668447e50451688dea6cb21427331 +  $_GBC_8edfc45c22ff48b89f5eee9632fd85dc +  $_GBC_7f09b3bffe034f2d9fb3b5d6df815da3 +  $_GBC_c9a76f16a87441fb9f5d4bd17edf4072 +  $_GBC_1197d758318b41de9d4f8c977074013b +  $_GBC_7688eec2b75746d086f48197dfd22006 +  $_GBC_3f6c09b7e82f4203b3e26251c6dd3d4e" id="C239d13c099c14182bbe9f268536e3f48"/>
          <m:axisValue occRef="母公司"/>
        </m:item>
        <m:placeholder xlName="_PLD_71f45ac7535d4ffeaa6273d6527bae0d" addr="T1R18C0S1_1"/>
        <m:placeholder xlName="_PLD_ac2fbd80d951495a9e6e271d71a458e3" addr="T1R19C0S1_1"/>
        <m:item xlName="_GBC_1b46f0b4698c4b21bfee94785e524a39" concept="clcid-ci-ar:FuZhu_ZhaiQuanTouZi" label="附注_债权投资" addr="T1R19C1S1_1">
          <m:axisValue occRef="母公司"/>
        </m:item>
        <m:item xlName="_GBC_421e80078ffa4b85bc860404f17ddf04" concept="clcid-pte:ZhaiQuanTouZi" label="债权投资" mulRef="_GBC_7be010b1a07f4048a3805d40208ccda4" unitRef="_GBC_ecd35f8ce6f84d6f8ad30e1e244c15ff" addr="T1R19C2S1_1" formatStyle="Comma">
          <m:axisValue occRef="母公司"/>
        </m:item>
        <m:item xlName="_GBC_97c956397d81438f86ad9c9f0b8ea6f5" concept="clcid-pte:ZhaiQuanTouZi" label="债权投资" periodRef="上年期末数" mulRef="_GBC_7be010b1a07f4048a3805d40208ccda4" unitRef="_GBC_ecd35f8ce6f84d6f8ad30e1e244c15ff" addr="T1R19C3S1_1" formatStyle="Comma">
          <m:axisValue occRef="母公司"/>
        </m:item>
        <m:placeholder xlName="_PLD_0e13bbca7370496690a32404c8d408c7" addr="T1R20C0S1_1"/>
        <m:item xlName="_GBC_410151fa51a5454688ccdfa6e0dcfa6a" concept="clcid-ci-ar:FuZhu_QiTaZhaiQuanTouZi" label="附注_其他债权投资" addr="T1R20C1S1_1">
          <m:axisValue occRef="母公司"/>
        </m:item>
        <m:item xlName="_GBC_e18cfd89e319444b8ba7c64774f205ff" concept="clcid-pte:QiTaZhaiQuanTouZi" label="其他债权投资" mulRef="_GBC_7be010b1a07f4048a3805d40208ccda4" unitRef="_GBC_ecd35f8ce6f84d6f8ad30e1e244c15ff" addr="T1R20C2S1_1" formatStyle="Comma">
          <m:axisValue occRef="母公司"/>
        </m:item>
        <m:item xlName="_GBC_e3818e37dd2d40dba48d4e5383d72aeb" concept="clcid-pte:QiTaZhaiQuanTouZi" label="其他债权投资" periodRef="上年期末数" mulRef="_GBC_7be010b1a07f4048a3805d40208ccda4" unitRef="_GBC_ecd35f8ce6f84d6f8ad30e1e244c15ff" addr="T1R20C3S1_1" formatStyle="Comma">
          <m:axisValue occRef="母公司"/>
        </m:item>
        <m:placeholder xlName="_PLD_6305d0ab634c4b40bd8df81ff23c8d0d" addr="T1R21C0S1_1"/>
        <m:item xlName="_GBC_411998d1adff49739d33397a2b216d2a" concept="clcid-ci-ar:FuZhu_ChangQiYingShouKuan" label="附注_长期应收款" addr="T1R21C1S1_1">
          <m:axisValue occRef="母公司"/>
        </m:item>
        <m:item xlName="_GBC_1a65f165458c46b296c049061289d950" concept="clcid-pte:ChangQiYingShouKuan" label="长期应收款" mulRef="_GBC_7be010b1a07f4048a3805d40208ccda4" unitRef="_GBC_ecd35f8ce6f84d6f8ad30e1e244c15ff" addr="T1R21C2S1_1" formatStyle="Comma">
          <m:axisValue occRef="母公司"/>
        </m:item>
        <m:item xlName="_GBC_e3b2799b01f44c3ca14e0fdfa6fea1ca" concept="clcid-pte:ChangQiYingShouKuan" label="长期应收款" periodRef="上年期末数" mulRef="_GBC_7be010b1a07f4048a3805d40208ccda4" unitRef="_GBC_ecd35f8ce6f84d6f8ad30e1e244c15ff" addr="T1R21C3S1_1" formatStyle="Comma">
          <m:axisValue occRef="母公司"/>
        </m:item>
        <m:placeholder xlName="_PLD_fa3d0d37a62a4d8890171550ab1664b1" addr="T1R22C0S1_1"/>
        <m:item xlName="_GBC_1815535049014044a29be3b7f7e677ae" concept="clcid-ci-ar:FuZhu_ChangQiGuQuanTouZi" label="附注_长期股权投资" addr="T1R22C1S1_1">
          <m:axisValue occRef="母公司"/>
        </m:item>
        <m:item xlName="_GBC_e8065ddd805c43d7b00c975804f23a15" concept="clcid-pte:ChangQiGuQuanTouZi" label="长期股权投资" mulRef="_GBC_7be010b1a07f4048a3805d40208ccda4" unitRef="_GBC_ecd35f8ce6f84d6f8ad30e1e244c15ff" addr="T1R22C2S1_1" formatStyle="Comma">
          <m:axisValue occRef="母公司"/>
        </m:item>
        <m:item xlName="_GBC_d936279aef594d928f0f66bbaee46535" concept="clcid-pte:ChangQiGuQuanTouZi" label="长期股权投资" periodRef="上年期末数" mulRef="_GBC_7be010b1a07f4048a3805d40208ccda4" unitRef="_GBC_ecd35f8ce6f84d6f8ad30e1e244c15ff" addr="T1R22C3S1_1" formatStyle="Comma">
          <m:axisValue occRef="母公司"/>
        </m:item>
        <m:placeholder xlName="_PLD_aff348e432d64b2db9dfbd6062b82eb5" addr="T1R23C0S1_1"/>
        <m:item xlName="_GBC_aebe3d32f4ff415bb901663d0914393b" concept="clcid-ci-ar:FuZhu_QiTaQuanYiGongJuTouZi" label="附注_其他权益工具投资" addr="T1R23C1S1_1">
          <m:axisValue occRef="母公司"/>
        </m:item>
        <m:item xlName="_GBC_74809966459f488f9ff62f1523025b66" concept="clcid-pte:QiTaQuanYiGongJuTouZi" label="其他权益工具投资" mulRef="_GBC_7be010b1a07f4048a3805d40208ccda4" unitRef="_GBC_ecd35f8ce6f84d6f8ad30e1e244c15ff" addr="T1R23C2S1_1" formatStyle="Comma">
          <m:axisValue occRef="母公司"/>
        </m:item>
        <m:item xlName="_GBC_bd1b51b7e52047dca0d092cc3f65b487" concept="clcid-pte:QiTaQuanYiGongJuTouZi" label="其他权益工具投资" periodRef="上年期末数" mulRef="_GBC_7be010b1a07f4048a3805d40208ccda4" unitRef="_GBC_ecd35f8ce6f84d6f8ad30e1e244c15ff" addr="T1R23C3S1_1" formatStyle="Comma">
          <m:axisValue occRef="母公司"/>
        </m:item>
        <m:placeholder xlName="_PLD_d3127ce1ff284582992a5980b440c217" addr="T1R24C0S1_1"/>
        <m:item xlName="_GBC_6c2e197bb440493a870859c56b74ad2c" concept="clcid-ci-ar:FuZhu_QiTaFeiLiuDongJinRongZiChan" label="附注_其他非流动金融资产" addr="T1R24C1S1_1">
          <m:axisValue occRef="母公司"/>
        </m:item>
        <m:item xlName="_GBC_d8e1be3055544e2c893b553bbdd36d97" concept="clcid-pte:QiTaFeiLiuDongJinRongZiChan" label="其他非流动金融资产" mulRef="_GBC_7be010b1a07f4048a3805d40208ccda4" unitRef="_GBC_ecd35f8ce6f84d6f8ad30e1e244c15ff" addr="T1R24C2S1_1" formatStyle="Comma">
          <m:axisValue occRef="母公司"/>
        </m:item>
        <m:item xlName="_GBC_b429f821f9df42978ed6dc690492c1dc" concept="clcid-pte:QiTaFeiLiuDongJinRongZiChan" label="其他非流动金融资产" periodRef="上年期末数" mulRef="_GBC_7be010b1a07f4048a3805d40208ccda4" unitRef="_GBC_ecd35f8ce6f84d6f8ad30e1e244c15ff" addr="T1R24C3S1_1" formatStyle="Comma">
          <m:axisValue occRef="母公司"/>
        </m:item>
        <m:placeholder xlName="_PLD_d598b192b9aa4c77b3dbe14be0a567ae" addr="T1R25C0S1_1"/>
        <m:item xlName="_GBC_991aac9298b249c1a038c5b7be06f090" concept="clcid-ci-ar:FuZhu_TouZiXingFangDiChan" label="附注_投资性房地产" addr="T1R25C1S1_1">
          <m:axisValue occRef="母公司"/>
        </m:item>
        <m:item xlName="_GBC_4db84045e9b24cd4b0d46766a044ebc1" concept="clcid-pte:TouZiXingFangDiChan" label="投资性房地产" mulRef="_GBC_7be010b1a07f4048a3805d40208ccda4" unitRef="_GBC_ecd35f8ce6f84d6f8ad30e1e244c15ff" addr="T1R25C2S1_1" formatStyle="Comma">
          <m:axisValue occRef="母公司"/>
        </m:item>
        <m:item xlName="_GBC_a5fe376f077e435f98ae561fbf5c506c" concept="clcid-pte:TouZiXingFangDiChan" label="投资性房地产" periodRef="上年期末数" mulRef="_GBC_7be010b1a07f4048a3805d40208ccda4" unitRef="_GBC_ecd35f8ce6f84d6f8ad30e1e244c15ff" addr="T1R25C3S1_1" formatStyle="Comma">
          <m:axisValue occRef="母公司"/>
        </m:item>
        <m:placeholder xlName="_PLD_36c5e0c04606490d92af21e793463b46" addr="T1R26C0S1_1"/>
        <m:item xlName="_GBC_15bcb0c787e747adbbed25ac0c13d359" concept="clcid-ci-ar:FuZhu_GuDingZiChanJingE" label="附注_固定资产净额" addr="T1R26C1S1_1">
          <m:axisValue occRef="母公司"/>
        </m:item>
        <m:item xlName="_GBC_6655ae96224c441aba9a16982b4e84f7" concept="clcid-pte:GuDingZiChanJingE" label="固定资产净额" mulRef="_GBC_7be010b1a07f4048a3805d40208ccda4" unitRef="_GBC_ecd35f8ce6f84d6f8ad30e1e244c15ff" addr="T1R26C2S1_1" formatStyle="Comma">
          <m:axisValue occRef="母公司"/>
        </m:item>
        <m:item xlName="_GBC_fe0f6f7d2fe24063b53099a555486cc2" concept="clcid-pte:GuDingZiChanJingE" label="固定资产净额" periodRef="上年期末数" mulRef="_GBC_7be010b1a07f4048a3805d40208ccda4" unitRef="_GBC_ecd35f8ce6f84d6f8ad30e1e244c15ff" addr="T1R26C3S1_1" formatStyle="Comma">
          <m:axisValue occRef="母公司"/>
        </m:item>
        <m:placeholder xlName="_PLD_81cd0ff44d5a4f0e8701c556dd24e59c" addr="T1R27C0S1_1"/>
        <m:item xlName="_GBC_9cfb4f2e8b5c4024933a537e117c38c7" concept="clcid-ci-ar:FuZhu_ZaiJianGongCheng" label="附注_在建工程" addr="T1R27C1S1_1">
          <m:axisValue occRef="母公司"/>
        </m:item>
        <m:item xlName="_GBC_89e52290b76742778f1e30ef07fb5a26" concept="clcid-pte:ZaiJianGongCheng" label="在建工程" mulRef="_GBC_7be010b1a07f4048a3805d40208ccda4" unitRef="_GBC_ecd35f8ce6f84d6f8ad30e1e244c15ff" addr="T1R27C2S1_1" formatStyle="Comma">
          <m:axisValue occRef="母公司"/>
        </m:item>
        <m:item xlName="_GBC_77c6804097214cb2bc9ea583c4887dce" concept="clcid-pte:ZaiJianGongCheng" label="在建工程" periodRef="上年期末数" mulRef="_GBC_7be010b1a07f4048a3805d40208ccda4" unitRef="_GBC_ecd35f8ce6f84d6f8ad30e1e244c15ff" addr="T1R27C3S1_1" formatStyle="Comma">
          <m:axisValue occRef="母公司"/>
        </m:item>
        <m:placeholder xlName="_PLD_74c33ad5ce6d42528b0c43102a02972c" addr="T1R28C0S1_1"/>
        <m:item xlName="_GBC_97f1c506cc434b1097206dfb09ea762a" concept="clcid-ci-ar:FuZhu_ShengChanXingShengWuZiChan" label="附注_生产性生物资产" addr="T1R28C1S1_1">
          <m:axisValue occRef="母公司"/>
        </m:item>
        <m:item xlName="_GBC_f0df30185c4a4250b898f0680cf91462" concept="clcid-pte:ShengChanXingShengWuZiChan" label="生产性生物资产" mulRef="_GBC_7be010b1a07f4048a3805d40208ccda4" unitRef="_GBC_ecd35f8ce6f84d6f8ad30e1e244c15ff" addr="T1R28C2S1_1" formatStyle="Comma">
          <m:axisValue occRef="母公司"/>
        </m:item>
        <m:item xlName="_GBC_2abf0ce7722a4ea9a56a683e308c1950" concept="clcid-pte:ShengChanXingShengWuZiChan" label="生产性生物资产" periodRef="上年期末数" mulRef="_GBC_7be010b1a07f4048a3805d40208ccda4" unitRef="_GBC_ecd35f8ce6f84d6f8ad30e1e244c15ff" addr="T1R28C3S1_1" formatStyle="Comma">
          <m:axisValue occRef="母公司"/>
        </m:item>
        <m:placeholder xlName="_PLD_edcc58c83399408895b0a6d09d9073f2" addr="T1R29C0S1_1"/>
        <m:item xlName="_GBC_07e2fe6bf519495b91d8fec1eaa45d73" concept="clcid-ci-ar:FuZhu_YouQiZiChan" label="附注_油气资产" addr="T1R29C1S1_1">
          <m:axisValue occRef="母公司"/>
        </m:item>
        <m:item xlName="_GBC_7db328e11f984d01a148035c43414959" concept="clcid-pte:YouQiZiChan" label="油气资产" mulRef="_GBC_7be010b1a07f4048a3805d40208ccda4" unitRef="_GBC_ecd35f8ce6f84d6f8ad30e1e244c15ff" addr="T1R29C2S1_1" formatStyle="Comma">
          <m:axisValue occRef="母公司"/>
        </m:item>
        <m:item xlName="_GBC_12967a746706412cb64bdfa98f631378" concept="clcid-pte:YouQiZiChan" label="油气资产" periodRef="上年期末数" mulRef="_GBC_7be010b1a07f4048a3805d40208ccda4" unitRef="_GBC_ecd35f8ce6f84d6f8ad30e1e244c15ff" addr="T1R29C3S1_1" formatStyle="Comma">
          <m:axisValue occRef="母公司"/>
        </m:item>
        <m:placeholder xlName="_PLD_ad2c3b675df54b0b89d82ab1b691d06c" addr="T1R30C0S1_1"/>
        <m:item xlName="_GBC_c9afe3b25bff4255bfaa7a466c471395" concept="clcid-ci-ar:FuZhu_ShiYongQuanZiChan" label="附注_使用权资产" addr="T1R30C1S1_1">
          <m:axisValue occRef="母公司"/>
        </m:item>
        <m:item xlName="_GBC_5559e30902ae460bac7b56fb26fca6e4" concept="clcid-pte:ShiYongQuanZiChan" label="使用权资产" mulRef="_GBC_7be010b1a07f4048a3805d40208ccda4" unitRef="_GBC_ecd35f8ce6f84d6f8ad30e1e244c15ff" addr="T1R30C2S1_1" formatStyle="Comma">
          <m:axisValue occRef="母公司"/>
        </m:item>
        <m:item xlName="_GBC_5b5ebfe06fea4835a0737f0a6092bc71" concept="clcid-pte:ShiYongQuanZiChan" label="使用权资产" periodRef="上年期末数" mulRef="_GBC_7be010b1a07f4048a3805d40208ccda4" unitRef="_GBC_ecd35f8ce6f84d6f8ad30e1e244c15ff" addr="T1R30C3S1_1" formatStyle="Comma">
          <m:axisValue occRef="母公司"/>
        </m:item>
        <m:placeholder xlName="_PLD_e97c32de07ca406c995520445e6dffbf" addr="T1R31C0S1_1"/>
        <m:item xlName="_GBC_80ce9801490e4274ac6aa410bc011219" concept="clcid-ci-ar:FuZhu_WuXingZiChan" label="附注_无形资产" addr="T1R31C1S1_1">
          <m:axisValue occRef="母公司"/>
        </m:item>
        <m:item xlName="_GBC_b4480b0f9c1a4f7eb818c1915e42bd93" concept="clcid-pte:WuXingZiChan" label="无形资产" mulRef="_GBC_7be010b1a07f4048a3805d40208ccda4" unitRef="_GBC_ecd35f8ce6f84d6f8ad30e1e244c15ff" addr="T1R31C2S1_1" formatStyle="Comma">
          <m:axisValue occRef="母公司"/>
        </m:item>
        <m:item xlName="_GBC_237a4f14de3e48d7b14c1135f166e1a4" concept="clcid-pte:WuXingZiChan" label="无形资产" periodRef="上年期末数" mulRef="_GBC_7be010b1a07f4048a3805d40208ccda4" unitRef="_GBC_ecd35f8ce6f84d6f8ad30e1e244c15ff" addr="T1R31C3S1_1" formatStyle="Comma">
          <m:axisValue occRef="母公司"/>
        </m:item>
        <m:placeholder xlName="_PLD_f4ffd10790ec4e6bb2e54090fd20cdea" addr="T1R32C0S1_1"/>
        <m:item xlName="_GBC_9725d790e9f84cb5ad755e01a3f756ea" concept="clcid-ci-ar:FuZhu_KaiFaZhiChu" label="附注_开发支出" addr="T1R32C1S1_1">
          <m:axisValue occRef="母公司"/>
        </m:item>
        <m:item xlName="_GBC_32c680832b2b43d2a6dacdc0fc3dd365" concept="clcid-pte:KaiFaZhiChu" label="开发支出" mulRef="_GBC_7be010b1a07f4048a3805d40208ccda4" unitRef="_GBC_ecd35f8ce6f84d6f8ad30e1e244c15ff" addr="T1R32C2S1_1" formatStyle="Comma">
          <m:axisValue occRef="母公司"/>
        </m:item>
        <m:item xlName="_GBC_698efe39e45d47d6ac95c2b417a3547c" concept="clcid-pte:KaiFaZhiChu" label="开发支出" periodRef="上年期末数" mulRef="_GBC_7be010b1a07f4048a3805d40208ccda4" unitRef="_GBC_ecd35f8ce6f84d6f8ad30e1e244c15ff" addr="T1R32C3S1_1" formatStyle="Comma">
          <m:axisValue occRef="母公司"/>
        </m:item>
        <m:placeholder xlName="_PLD_8ab7a8967dca44f3b2bd0ec65150e937" addr="T1R33C0S1_1"/>
        <m:item xlName="_GBC_cf73c916f65942c8b43e759316d07f0a" concept="clcid-ci-ar:FuZhu_ShangYu" label="附注_商誉" addr="T1R33C1S1_1">
          <m:axisValue occRef="母公司"/>
        </m:item>
        <m:item xlName="_GBC_8438b14b6fa74237ac0a5acd83882440" concept="clcid-pte:ShangYu" label="商誉" mulRef="_GBC_7be010b1a07f4048a3805d40208ccda4" unitRef="_GBC_ecd35f8ce6f84d6f8ad30e1e244c15ff" addr="T1R33C2S1_1" formatStyle="Comma">
          <m:axisValue occRef="母公司"/>
        </m:item>
        <m:item xlName="_GBC_7fd9da07c8d243d78fc29c33de687bb7" concept="clcid-pte:ShangYu" label="商誉" periodRef="上年期末数" mulRef="_GBC_7be010b1a07f4048a3805d40208ccda4" unitRef="_GBC_ecd35f8ce6f84d6f8ad30e1e244c15ff" addr="T1R33C3S1_1" formatStyle="Comma">
          <m:axisValue occRef="母公司"/>
        </m:item>
        <m:placeholder xlName="_PLD_c056001bc1b3464fb0b5268a537d7ec4" addr="T1R34C0S1_1"/>
        <m:item xlName="_GBC_825d1d53341142ad8f9057fc3d9a630f" concept="clcid-ci-ar:FuZhu_ChangQiDaiTanFeiYong" label="附注_长期待摊费用" addr="T1R34C1S1_1">
          <m:axisValue occRef="母公司"/>
        </m:item>
        <m:item xlName="_GBC_622a9ee459254239ad4d68a65fa84325" concept="clcid-pte:ChangQiDaiTanFeiYong" label="长期待摊费用" mulRef="_GBC_7be010b1a07f4048a3805d40208ccda4" unitRef="_GBC_ecd35f8ce6f84d6f8ad30e1e244c15ff" addr="T1R34C2S1_1" formatStyle="Comma">
          <m:axisValue occRef="母公司"/>
        </m:item>
        <m:item xlName="_GBC_4a7e76e20db148ce8d24aa0271d92831" concept="clcid-pte:ChangQiDaiTanFeiYong" label="长期待摊费用" periodRef="上年期末数" mulRef="_GBC_7be010b1a07f4048a3805d40208ccda4" unitRef="_GBC_ecd35f8ce6f84d6f8ad30e1e244c15ff" addr="T1R34C3S1_1" formatStyle="Comma">
          <m:axisValue occRef="母公司"/>
        </m:item>
        <m:placeholder xlName="_PLD_8c08fa756eba4bf89ad37621da0216df" addr="T1R35C0S1_1"/>
        <m:item xlName="_GBC_9af701c2047b4610905fb1caa3d7d966" concept="clcid-ci-ar:FuZhu_DiYanShuiKuanJieXiangHeJi" label="附注_递延税款借项合计" addr="T1R35C1S1_1">
          <m:axisValue occRef="母公司"/>
        </m:item>
        <m:item xlName="_GBC_8e6f4e671bf0443484019c01b851fcbd" concept="clcid-pte:DiYanShuiKuanJieXiangHeJi" label="递延税款借项合计" mulRef="_GBC_7be010b1a07f4048a3805d40208ccda4" unitRef="_GBC_ecd35f8ce6f84d6f8ad30e1e244c15ff" addr="T1R35C2S1_1" formatStyle="Comma">
          <m:axisValue occRef="母公司"/>
        </m:item>
        <m:item xlName="_GBC_f1134fd860444bb2bc335e8d45b81af7" concept="clcid-pte:DiYanShuiKuanJieXiangHeJi" label="递延税款借项合计" periodRef="上年期末数" mulRef="_GBC_7be010b1a07f4048a3805d40208ccda4" unitRef="_GBC_ecd35f8ce6f84d6f8ad30e1e244c15ff" addr="T1R35C3S1_1" formatStyle="Comma">
          <m:axisValue occRef="母公司"/>
        </m:item>
        <m:placeholder xlName="_PLD_2c72539456a6441ab49e4634f35d3b45" addr="T1R36C0S1_1"/>
        <m:item xlName="_GBC_296a24c0f32449cb98550c5167a28ef9" concept="clcid-ci-ar:FuZhu_QiTaChangQiZiChan" label="附注_其他长期资产" addr="T1R36C1S1_1">
          <m:axisValue occRef="母公司"/>
        </m:item>
        <m:item xlName="_GBC_3ea3ec73b78947d3aebbbca4c023550e" concept="clcid-pte:QiTaChangQiZiChan" label="其他长期资产" mulRef="_GBC_7be010b1a07f4048a3805d40208ccda4" unitRef="_GBC_ecd35f8ce6f84d6f8ad30e1e244c15ff" addr="T1R36C2S1_1" formatStyle="Comma">
          <m:axisValue occRef="母公司"/>
        </m:item>
        <m:item xlName="_GBC_c04f6443be6943ee96f0c2bd0014f544" concept="clcid-pte:QiTaChangQiZiChan" label="其他长期资产" periodRef="上年期末数" mulRef="_GBC_7be010b1a07f4048a3805d40208ccda4" unitRef="_GBC_ecd35f8ce6f84d6f8ad30e1e244c15ff" addr="T1R36C3S1_1" formatStyle="Comma">
          <m:axisValue occRef="母公司"/>
        </m:item>
        <m:placeholder xlName="_PLD_0584991385414bca8cca9a7a9f5fabfd" addr="T1R37C0S1_1"/>
        <m:item xlName="_GBC_4ba577a3c101490fbdd96c04c4e3962f" concept="clcid-ci-ar:FuZhu_FeiLiuDongZiChanHeJi" label="附注_非流动资产合计" addr="T1R37C1S1_1">
          <m:axisValue occRef="母公司"/>
        </m:item>
        <m:item xlName="_GBC_1cfb7f702200406a9adc05e75536f57b" concept="clcid-pte:FeiLiuDongZiChanHeJi" label="非流动资产合计" mulRef="_GBC_7be010b1a07f4048a3805d40208ccda4" unitRef="_GBC_ecd35f8ce6f84d6f8ad30e1e244c15ff" addr="T1R37C2S1_1" formatStyle="Comma">
          <m:complexRule comparator="Eq" title="非流动资产合计" test=" $_GBC_421e80078ffa4b85bc860404f17ddf04 +  $_GBC_e18cfd89e319444b8ba7c64774f205ff +  $_GBC_1a65f165458c46b296c049061289d950 +  $_GBC_e8065ddd805c43d7b00c975804f23a15 +  $_GBC_74809966459f488f9ff62f1523025b66 +  $_GBC_d8e1be3055544e2c893b553bbdd36d97 +  $_GBC_4db84045e9b24cd4b0d46766a044ebc1 +  $_GBC_6655ae96224c441aba9a16982b4e84f7 +  $_GBC_89e52290b76742778f1e30ef07fb5a26 +  $_GBC_f0df30185c4a4250b898f0680cf91462 +  $_GBC_7db328e11f984d01a148035c43414959 +  $_GBC_5559e30902ae460bac7b56fb26fca6e4 +  $_GBC_b4480b0f9c1a4f7eb818c1915e42bd93 +  $_GBC_32c680832b2b43d2a6dacdc0fc3dd365 +  $_GBC_8438b14b6fa74237ac0a5acd83882440 +  $_GBC_622a9ee459254239ad4d68a65fa84325 +  $_GBC_8e6f4e671bf0443484019c01b851fcbd +  $_GBC_3ea3ec73b78947d3aebbbca4c023550e" id="C99cd543f564846b283b187fe243ce1fa"/>
          <m:axisValue occRef="母公司"/>
        </m:item>
        <m:item xlName="_GBC_4ec7b96ea39c4f2cb40a90de283b9372" concept="clcid-pte:FeiLiuDongZiChanHeJi" label="非流动资产合计" periodRef="上年期末数" mulRef="_GBC_7be010b1a07f4048a3805d40208ccda4" unitRef="_GBC_ecd35f8ce6f84d6f8ad30e1e244c15ff" addr="T1R37C3S1_1" formatStyle="Comma">
          <m:complexRule comparator="Eq" title="非流动资产合计@本期期初数" test=" $_GBC_97c956397d81438f86ad9c9f0b8ea6f5 +  $_GBC_e3818e37dd2d40dba48d4e5383d72aeb +  $_GBC_e3b2799b01f44c3ca14e0fdfa6fea1ca +  $_GBC_d936279aef594d928f0f66bbaee46535 +  $_GBC_bd1b51b7e52047dca0d092cc3f65b487 +  $_GBC_b429f821f9df42978ed6dc690492c1dc +  $_GBC_a5fe376f077e435f98ae561fbf5c506c +  $_GBC_fe0f6f7d2fe24063b53099a555486cc2 +  $_GBC_77c6804097214cb2bc9ea583c4887dce +  $_GBC_2abf0ce7722a4ea9a56a683e308c1950 +  $_GBC_12967a746706412cb64bdfa98f631378 +  $_GBC_5b5ebfe06fea4835a0737f0a6092bc71 +  $_GBC_237a4f14de3e48d7b14c1135f166e1a4 +  $_GBC_698efe39e45d47d6ac95c2b417a3547c +  $_GBC_7fd9da07c8d243d78fc29c33de687bb7 +  $_GBC_4a7e76e20db148ce8d24aa0271d92831 +  $_GBC_f1134fd860444bb2bc335e8d45b81af7 +  $_GBC_c04f6443be6943ee96f0c2bd0014f544" id="C0a18dd6a41714555bad2caa79862b834"/>
          <m:axisValue occRef="母公司"/>
        </m:item>
        <m:placeholder xlName="_PLD_064f3b6fe172472c8abf2e1bf1a2b68a" addr="T1R38C0S1_1"/>
        <m:item xlName="_GBC_dfb93cfe84da4dbe9fbb3f99db0cd29a" concept="clcid-ci-ar:FuZhu_ZiChanZongJi" label="附注_资产总计" addr="T1R38C1S1_1">
          <m:axisValue occRef="母公司"/>
        </m:item>
        <m:item xlName="_GBC_d67a35f16f654188bb38388ee8e7c5bf" concept="clcid-pte:ZiChanZongJi" label="资产总计" mulRef="_GBC_7be010b1a07f4048a3805d40208ccda4" unitRef="_GBC_ecd35f8ce6f84d6f8ad30e1e244c15ff" addr="T1R38C2S1_1" formatStyle="Comma">
          <m:complexRule comparator="Eq" title="合并报表_期末_资产总计" test=" $_GBC_ce16b1bc49d94465891d24cf2b36c365 +  $_GBC_1cfb7f702200406a9adc05e75536f57b" id="C13d80b0b390247fb8ca92c00cf1059a7"/>
          <m:complexRule comparator="Eq" title="合并报表_期末_资产总计公式2" test=" $_GBC_b612d1ae0baf48518139b0bc71753075" id="Cedb9bf529d68468eac0366fba0c59dc6"/>
          <m:axisValue occRef="母公司"/>
        </m:item>
        <m:item xlName="_GBC_66f291ec5a4247be8e9436f16a06b23d" concept="clcid-pte:ZiChanZongJi" label="资产总计" periodRef="上年期末数" mulRef="_GBC_7be010b1a07f4048a3805d40208ccda4" unitRef="_GBC_ecd35f8ce6f84d6f8ad30e1e244c15ff" addr="T1R38C3S1_1" formatStyle="Comma">
          <m:complexRule comparator="Eq" title="合并报表_年初_资产总计" test=" $_GBC_f037e3bf5cad4fa595ad935087a228ab +  $_GBC_4ec7b96ea39c4f2cb40a90de283b9372" id="C1cc6fa935f6c4b55a2041423d37b6259"/>
          <m:complexRule comparator="Eq" title="合并报表_年初_资产总计公式2" test=" $_GBC_fa78ecb4ed904e5e9f53bd81b23ac1bc" id="Cfd28aea9ae7a49c68ab9127f7291960f"/>
          <m:axisValue occRef="母公司"/>
        </m:item>
        <m:placeholder xlName="_PLD_380943e088034c15ad8af33927d58d1b" addr="T1R39C0S1_1"/>
        <m:placeholder xlName="_PLD_43de8e9c3fff4ed09c99de434527ef0d" addr="T1R40C0S1_1"/>
        <m:item xlName="_GBC_51f616fecd094b07a013556a6fa41e52" concept="clcid-ci-ar:FuZhu_DuanQiJieKuan" label="附注_短期借款" addr="T1R40C1S1_1">
          <m:axisValue occRef="母公司"/>
        </m:item>
        <m:item xlName="_GBC_62336a2dd24b42feb7b92e1d3a2f8a16" concept="clcid-pte:DuanQiJieKuan" label="短期借款" mulRef="_GBC_7be010b1a07f4048a3805d40208ccda4" unitRef="_GBC_ecd35f8ce6f84d6f8ad30e1e244c15ff" addr="T1R40C2S1_1" formatStyle="Comma">
          <m:axisValue occRef="母公司"/>
        </m:item>
        <m:item xlName="_GBC_842b53c5dbf44c4eabf156246577dc25" concept="clcid-pte:DuanQiJieKuan" label="短期借款" periodRef="上年期末数" mulRef="_GBC_7be010b1a07f4048a3805d40208ccda4" unitRef="_GBC_ecd35f8ce6f84d6f8ad30e1e244c15ff" addr="T1R40C3S1_1" formatStyle="Comma">
          <m:axisValue occRef="母公司"/>
        </m:item>
        <m:placeholder xlName="_PLD_ec16a31b429943b78fc30663bc4be1b8" addr="T1R41C0S1_1"/>
        <m:item xlName="_GBC_2e2e9f2f13284eeead8b343b252b81bc" concept="clcid-ci-ar:FuZhu_JiaoYiXingJinRongFuZhai" label="附注_交易性金融负债" addr="T1R41C1S1_1">
          <m:axisValue occRef="母公司"/>
        </m:item>
        <m:item xlName="_GBC_0366d582e23243e7b9f9c27b10d61e75" concept="clcid-pte:JiaoYiXingJinRongFuZhai" label="交易性金融负债" mulRef="_GBC_7be010b1a07f4048a3805d40208ccda4" unitRef="_GBC_ecd35f8ce6f84d6f8ad30e1e244c15ff" addr="T1R41C2S1_1" formatStyle="Comma">
          <m:axisValue occRef="母公司"/>
        </m:item>
        <m:item xlName="_GBC_03a4da4fdca1412faab5054c5df9399a" concept="clcid-pte:JiaoYiXingJinRongFuZhai" label="交易性金融负债" periodRef="上年期末数" mulRef="_GBC_7be010b1a07f4048a3805d40208ccda4" unitRef="_GBC_ecd35f8ce6f84d6f8ad30e1e244c15ff" addr="T1R41C3S1_1" formatStyle="Comma">
          <m:axisValue occRef="母公司"/>
        </m:item>
        <m:placeholder xlName="_PLD_9ca7ab0d48474bdbb62e5ad7f94b7c27" addr="T1R42C0S1_1"/>
        <m:item xlName="_GBC_fcdc6768e2fb4c3f97012220cf3ffcc7" concept="clcid-ci-ar:FuZhuYanShengJinRongFuZhai" label="附注_衍生金融负债" addr="T1R42C1S1_1">
          <m:axisValue occRef="母公司"/>
        </m:item>
        <m:item xlName="_GBC_d39f202412f6490fb24a8f65970955e8" concept="clcid-pte:YanShengJinRongFuZhai" label="衍生金融负债" mulRef="_GBC_7be010b1a07f4048a3805d40208ccda4" unitRef="_GBC_ecd35f8ce6f84d6f8ad30e1e244c15ff" addr="T1R42C2S1_1" formatStyle="Comma">
          <m:axisValue occRef="母公司"/>
        </m:item>
        <m:item xlName="_GBC_44cab6005cd74c3eb94eca62c263418e" concept="clcid-pte:YanShengJinRongFuZhai" label="衍生金融负债" periodRef="上年期末数" mulRef="_GBC_7be010b1a07f4048a3805d40208ccda4" unitRef="_GBC_ecd35f8ce6f84d6f8ad30e1e244c15ff" addr="T1R42C3S1_1" formatStyle="Comma">
          <m:axisValue occRef="母公司"/>
        </m:item>
        <m:placeholder xlName="_PLD_ef54e09967474f6490bedae105a3d5af" addr="T1R43C0S1_1"/>
        <m:item xlName="_GBC_f117241caa424d8baa8cc4efdbd7f6ad" concept="clcid-ci-ar:FuZhu_YingFuPiaoJu" label="附注_应付票据" addr="T1R43C1S1_1">
          <m:axisValue occRef="母公司"/>
        </m:item>
        <m:item xlName="_GBC_6559d7c62bcf4fddb297db0a7ca194a3" concept="clcid-pte:YingFuPiaoJu" label="应付票据" mulRef="_GBC_7be010b1a07f4048a3805d40208ccda4" unitRef="_GBC_ecd35f8ce6f84d6f8ad30e1e244c15ff" addr="T1R43C2S1_1" formatStyle="Comma">
          <m:axisValue occRef="母公司"/>
        </m:item>
        <m:item xlName="_GBC_6252bc81347d448c81cb913b770a115b" concept="clcid-pte:YingFuPiaoJu" label="应付票据" periodRef="上年期末数" mulRef="_GBC_7be010b1a07f4048a3805d40208ccda4" unitRef="_GBC_ecd35f8ce6f84d6f8ad30e1e244c15ff" addr="T1R43C3S1_1" formatStyle="Comma">
          <m:axisValue occRef="母公司"/>
        </m:item>
        <m:placeholder xlName="_PLD_73f601396ff94f55ba0d9f4f04bea3f7" addr="T1R44C0S1_1"/>
        <m:item xlName="_GBC_1f1e7712212444b1ac638ac25174e9a6" concept="clcid-ci-ar:FuZhu_YingFuZhangKuan" label="附注_应付帐款" addr="T1R44C1S1_1">
          <m:axisValue occRef="母公司"/>
        </m:item>
        <m:item xlName="_GBC_bf28feb64f3c477e8e7a74ea5f88181a" concept="clcid-pte:YingFuZhangKuan" label="应付帐款" mulRef="_GBC_7be010b1a07f4048a3805d40208ccda4" unitRef="_GBC_ecd35f8ce6f84d6f8ad30e1e244c15ff" addr="T1R44C2S1_1" formatStyle="Comma">
          <m:axisValue occRef="母公司"/>
        </m:item>
        <m:item xlName="_GBC_be43d2a72c20477a9ae629edfde8aebb" concept="clcid-pte:YingFuZhangKuan" label="应付帐款" periodRef="上年期末数" mulRef="_GBC_7be010b1a07f4048a3805d40208ccda4" unitRef="_GBC_ecd35f8ce6f84d6f8ad30e1e244c15ff" addr="T1R44C3S1_1" formatStyle="Comma">
          <m:axisValue occRef="母公司"/>
        </m:item>
        <m:placeholder xlName="_PLD_8d33cba97f8f47758fee51d65c9dfe52" addr="T1R45C0S1_1"/>
        <m:item xlName="_GBC_5d2ce6ccf05c40b79e6908067d2fa1f7" concept="clcid-ci-ar:FuZhu_YuShouZhangKuan" label="附注_预收帐款" addr="T1R45C1S1_1">
          <m:axisValue occRef="母公司"/>
        </m:item>
        <m:item xlName="_GBC_37ff47ceb6524910a11ac92345a94452" concept="clcid-pte:YuShouZhangKuan" label="预收帐款" mulRef="_GBC_7be010b1a07f4048a3805d40208ccda4" unitRef="_GBC_ecd35f8ce6f84d6f8ad30e1e244c15ff" addr="T1R45C2S1_1" formatStyle="Comma">
          <m:axisValue occRef="母公司"/>
        </m:item>
        <m:item xlName="_GBC_b3c2bce51c444555bc1cab3f35eb79e9" concept="clcid-pte:YuShouZhangKuan" label="预收帐款" periodRef="上年期末数" mulRef="_GBC_7be010b1a07f4048a3805d40208ccda4" unitRef="_GBC_ecd35f8ce6f84d6f8ad30e1e244c15ff" addr="T1R45C3S1_1" formatStyle="Comma">
          <m:axisValue occRef="母公司"/>
        </m:item>
        <m:placeholder xlName="_PLD_57a9889c00684dd48ad945fce53e8274" addr="T1R46C0S1_1"/>
        <m:item xlName="_GBC_c274110cc82f4424aac790a8bab824c6" concept="clcid-ci-ar:FuZhu_HeTongFuZhai" label="附注_合同负债" addr="T1R46C1S1_1">
          <m:axisValue occRef="母公司"/>
        </m:item>
        <m:item xlName="_GBC_3f70af19c6e5495a9a3be78cb002392c" concept="clcid-pte:HeTongFuZhai" label="合同负债" mulRef="_GBC_7be010b1a07f4048a3805d40208ccda4" unitRef="_GBC_ecd35f8ce6f84d6f8ad30e1e244c15ff" addr="T1R46C2S1_1" formatStyle="Comma">
          <m:axisValue occRef="母公司"/>
        </m:item>
        <m:item xlName="_GBC_e47f7fc0519d4641b3d3e5a4a35541e3" concept="clcid-pte:HeTongFuZhai" label="合同负债" periodRef="上年期末数" mulRef="_GBC_7be010b1a07f4048a3805d40208ccda4" unitRef="_GBC_ecd35f8ce6f84d6f8ad30e1e244c15ff" addr="T1R46C3S1_1" formatStyle="Comma">
          <m:axisValue occRef="母公司"/>
        </m:item>
        <m:placeholder xlName="_PLD_5179db1f484045d98b88860edc153236" addr="T1R47C0S1_1"/>
        <m:item xlName="_GBC_85f5aec86dfd4fbc803ab4716257b313" concept="clcid-ci-ar:FuZhu_YingFuZhiGongXinChou" label="附注_应付职工薪酬" addr="T1R47C1S1_1">
          <m:axisValue occRef="母公司"/>
        </m:item>
        <m:item xlName="_GBC_afa012ac0e0b4f07ade3ff0b33ef7ee0" concept="clcid-pte:YingFuZhiGongXinChou" label="应付职工薪酬" mulRef="_GBC_7be010b1a07f4048a3805d40208ccda4" unitRef="_GBC_ecd35f8ce6f84d6f8ad30e1e244c15ff" addr="T1R47C2S1_1" formatStyle="Comma">
          <m:axisValue occRef="母公司"/>
        </m:item>
        <m:item xlName="_GBC_f4f169c96bd54569ae957c0cf697f1d5" concept="clcid-pte:YingFuZhiGongXinChou" label="应付职工薪酬" periodRef="上年期末数" mulRef="_GBC_7be010b1a07f4048a3805d40208ccda4" unitRef="_GBC_ecd35f8ce6f84d6f8ad30e1e244c15ff" addr="T1R47C3S1_1" formatStyle="Comma">
          <m:axisValue occRef="母公司"/>
        </m:item>
        <m:placeholder xlName="_PLD_f9c6f095658e40b2a72d3d8b778fd72b" addr="T1R48C0S1_1"/>
        <m:item xlName="_GBC_842c3dc2a4624043ac4837396347726e" concept="clcid-ci-ar:FuZhu_YingJiaoShuiJin" label="附注_应交税金" addr="T1R48C1S1_1">
          <m:axisValue occRef="母公司"/>
        </m:item>
        <m:item xlName="_GBC_315658adfc1f4dd18546ed0cb4d23864" concept="clcid-pte:YingJiaoShuiJin" label="应交税金" mulRef="_GBC_7be010b1a07f4048a3805d40208ccda4" unitRef="_GBC_ecd35f8ce6f84d6f8ad30e1e244c15ff" addr="T1R48C2S1_1" formatStyle="Comma">
          <m:axisValue occRef="母公司"/>
        </m:item>
        <m:item xlName="_GBC_08e50210cb6f43d7847a24eb416e3759" concept="clcid-pte:YingJiaoShuiJin" label="应交税金" periodRef="上年期末数" mulRef="_GBC_7be010b1a07f4048a3805d40208ccda4" unitRef="_GBC_ecd35f8ce6f84d6f8ad30e1e244c15ff" addr="T1R48C3S1_1" formatStyle="Comma">
          <m:axisValue occRef="母公司"/>
        </m:item>
        <m:placeholder xlName="_PLD_c490ad2cbccd426084cbcc4f5ffff983" addr="T1R49C0S1_1"/>
        <m:item xlName="_GBC_b35f6488f4674adbb5f90922b30d0e5c" concept="clcid-ci-ar:FuZhu_QiTaYingFuKuan" label="附注_其他应付款" addr="T1R49C1S1_1">
          <m:axisValue occRef="母公司"/>
        </m:item>
        <m:item xlName="_GBC_d7b0634853334ce9b6005eb33f580f40" concept="clcid-pte:QiTaYingFuKuan" label="其他应付款" mulRef="_GBC_7be010b1a07f4048a3805d40208ccda4" unitRef="_GBC_ecd35f8ce6f84d6f8ad30e1e244c15ff" addr="T1R49C2S1_1" formatStyle="Comma">
          <m:axisValue occRef="母公司"/>
        </m:item>
        <m:item xlName="_GBC_33d66508a20548118598e9d80ea9c18d" concept="clcid-pte:QiTaYingFuKuan" label="其他应付款" periodRef="上年期末数" mulRef="_GBC_7be010b1a07f4048a3805d40208ccda4" unitRef="_GBC_ecd35f8ce6f84d6f8ad30e1e244c15ff" addr="T1R49C3S1_1" formatStyle="Comma">
          <m:axisValue occRef="母公司"/>
        </m:item>
        <m:placeholder xlName="_PLD_33305757c71a4e02885ac4b4bd4dd023" addr="T1R50C0S1_1"/>
        <m:item xlName="_GBC_49d13eac15e74901b1439bb6711f3324" concept="clcid-ci-ar:FuZhu_YingFuLiXi" label="附注_应付利息" addr="T1R50C1S1_1">
          <m:axisValue occRef="母公司"/>
        </m:item>
        <m:item xlName="_GBC_c438f8285ec944ec896a8cdacf812e78" concept="clcid-pte:YingFuLiXi" label="应付利息" mulRef="_GBC_7be010b1a07f4048a3805d40208ccda4" unitRef="_GBC_ecd35f8ce6f84d6f8ad30e1e244c15ff" addr="T1R50C2S1_1" formatStyle="Comma">
          <m:axisValue occRef="母公司"/>
        </m:item>
        <m:item xlName="_GBC_92ab3e3729a146db8a473b90fe81bd1e" concept="clcid-pte:YingFuLiXi" label="应付利息" periodRef="上年期末数" mulRef="_GBC_7be010b1a07f4048a3805d40208ccda4" unitRef="_GBC_ecd35f8ce6f84d6f8ad30e1e244c15ff" addr="T1R50C3S1_1" formatStyle="Comma">
          <m:axisValue occRef="母公司"/>
        </m:item>
        <m:placeholder xlName="_PLD_af17ddcf0f4c41d7ad5d3631e95d7da2" addr="T1R51C0S1_1"/>
        <m:item xlName="_GBC_8df230e86c5646718f5f5ef536e1b86c" concept="clcid-ci-ar:FuZhu_YingFuGuLi" label="附注_应付股利" addr="T1R51C1S1_1">
          <m:axisValue occRef="母公司"/>
        </m:item>
        <m:item xlName="_GBC_f01ec43a0b90413ea479a60a573b3163" concept="clcid-pte:YingFuGuLi" label="应付股利" mulRef="_GBC_7be010b1a07f4048a3805d40208ccda4" unitRef="_GBC_ecd35f8ce6f84d6f8ad30e1e244c15ff" addr="T1R51C2S1_1" formatStyle="Comma">
          <m:axisValue occRef="母公司"/>
        </m:item>
        <m:item xlName="_GBC_3afe7a9f8ddc490ca37e1df43275e11a" concept="clcid-pte:YingFuGuLi" label="应付股利" periodRef="上年期末数" mulRef="_GBC_7be010b1a07f4048a3805d40208ccda4" unitRef="_GBC_ecd35f8ce6f84d6f8ad30e1e244c15ff" addr="T1R51C3S1_1" formatStyle="Comma">
          <m:axisValue occRef="母公司"/>
        </m:item>
        <m:placeholder xlName="_PLD_f77f7dcdf9d04cd9ae289b7b3f5b7b02" addr="T1R52C0S1_1"/>
        <m:item xlName="_GBC_c8a6b99b678c43fb9a698d9377d18b24" concept="clcid-ci-ar:FuZhuHuaFenWeiChiYouDaiShouDeFuZhai" label="附注_划分为持有待售的负债" addr="T1R52C1S1_1">
          <m:axisValue occRef="母公司"/>
        </m:item>
        <m:item xlName="_GBC_2cd17d65ce3a461581008333a69da982" concept="clcid-pte:HuaFenWeiChiYouDaiShouDeFuZhai" label="划分为持有待售的负债" mulRef="_GBC_7be010b1a07f4048a3805d40208ccda4" unitRef="_GBC_ecd35f8ce6f84d6f8ad30e1e244c15ff" addr="T1R52C2S1_1" formatStyle="Comma">
          <m:axisValue occRef="母公司"/>
        </m:item>
        <m:item xlName="_GBC_82f2fab076a146e4bad5c66f91669213" concept="clcid-pte:HuaFenWeiChiYouDaiShouDeFuZhai" label="划分为持有待售的负债" periodRef="上年期末数" mulRef="_GBC_7be010b1a07f4048a3805d40208ccda4" unitRef="_GBC_ecd35f8ce6f84d6f8ad30e1e244c15ff" addr="T1R52C3S1_1" formatStyle="Comma">
          <m:axisValue occRef="母公司"/>
        </m:item>
        <m:placeholder xlName="_PLD_a29046fb2b7d4844a6a2146909afbe96" addr="T1R53C0S1_1"/>
        <m:item xlName="_GBC_b5de71f5a9fa40399d029f21a00c989b" concept="clcid-ci-ar:FuZhu_YiNianNeiDaoQiDeChangQiFuZhai" label="附注_一年内到期的长期负债" addr="T1R53C1S1_1">
          <m:axisValue occRef="母公司"/>
        </m:item>
        <m:item xlName="_GBC_c3fc0c8137b040e6a9f73bbd8f818a66" concept="clcid-pte:YiNianNeiDaoQiDeChangQiFuZhai" label="一年内到期的长期负债" mulRef="_GBC_7be010b1a07f4048a3805d40208ccda4" unitRef="_GBC_ecd35f8ce6f84d6f8ad30e1e244c15ff" addr="T1R53C2S1_1" formatStyle="Comma">
          <m:axisValue occRef="母公司"/>
        </m:item>
        <m:item xlName="_GBC_6f6a3c16f2f94692b1471c74f1e8dcb1" concept="clcid-pte:YiNianNeiDaoQiDeChangQiFuZhai" label="一年内到期的长期负债" periodRef="上年期末数" mulRef="_GBC_7be010b1a07f4048a3805d40208ccda4" unitRef="_GBC_ecd35f8ce6f84d6f8ad30e1e244c15ff" addr="T1R53C3S1_1" formatStyle="Comma">
          <m:axisValue occRef="母公司"/>
        </m:item>
        <m:placeholder xlName="_PLD_29a119c77a3042f187a5aba37b5deecc" addr="T1R54C0S1_1"/>
        <m:item xlName="_GBC_d9c915642e3d44ad8d349a52c6721bf6" concept="clcid-ci-ar:FuZhu_QiTaLiuDongFuZhai" label="附注_其他流动负债" addr="T1R54C1S1_1">
          <m:axisValue occRef="母公司"/>
        </m:item>
        <m:item xlName="_GBC_adafd42482254a4280b9b3d7a74761b2" concept="clcid-pte:QiTaLiuDongFuZhai" label="其他流动负债" mulRef="_GBC_7be010b1a07f4048a3805d40208ccda4" unitRef="_GBC_ecd35f8ce6f84d6f8ad30e1e244c15ff" addr="T1R54C2S1_1" formatStyle="Comma">
          <m:axisValue occRef="母公司"/>
        </m:item>
        <m:item xlName="_GBC_6cc8d545f7af47e185e83e17c87e0b89" concept="clcid-pte:QiTaLiuDongFuZhai" label="其他流动负债" periodRef="上年期末数" mulRef="_GBC_7be010b1a07f4048a3805d40208ccda4" unitRef="_GBC_ecd35f8ce6f84d6f8ad30e1e244c15ff" addr="T1R54C3S1_1" formatStyle="Comma">
          <m:axisValue occRef="母公司"/>
        </m:item>
        <m:placeholder xlName="_PLD_fd497b996a3c46b99eb5112ec0f3d649" addr="T1R55C0S1_1"/>
        <m:item xlName="_GBC_7d987be008e54e92a812772df54b7a37" concept="clcid-ci-ar:FuZhu_LiuDongFuZhaiHeJi" label="附注_流动负债合计" addr="T1R55C1S1_1">
          <m:axisValue occRef="母公司"/>
        </m:item>
        <m:item xlName="_GBC_ffe4bb9696e5433eb2728cb4dd73bb9b" concept="clcid-pte:LiuDongFuZhaiHeJi" label="流动负债合计" mulRef="_GBC_7be010b1a07f4048a3805d40208ccda4" unitRef="_GBC_ecd35f8ce6f84d6f8ad30e1e244c15ff" addr="T1R55C2S1_1" formatStyle="Comma">
          <m:complexRule comparator="Eq" title="流动负债合计" test=" $_GBC_62336a2dd24b42feb7b92e1d3a2f8a16 +  $_GBC_0366d582e23243e7b9f9c27b10d61e75 +  $_GBC_d39f202412f6490fb24a8f65970955e8 +  $_GBC_6559d7c62bcf4fddb297db0a7ca194a3 +  $_GBC_bf28feb64f3c477e8e7a74ea5f88181a +  $_GBC_37ff47ceb6524910a11ac92345a94452 +  $_GBC_3f70af19c6e5495a9a3be78cb002392c +  $_GBC_afa012ac0e0b4f07ade3ff0b33ef7ee0 +  $_GBC_315658adfc1f4dd18546ed0cb4d23864 +  $_GBC_d7b0634853334ce9b6005eb33f580f40 +  $_GBC_2cd17d65ce3a461581008333a69da982 +  $_GBC_c3fc0c8137b040e6a9f73bbd8f818a66 +  $_GBC_adafd42482254a4280b9b3d7a74761b2" id="C005b05e61c0c4b2797b4b04793d42688"/>
          <m:axisValue occRef="母公司"/>
        </m:item>
        <m:item xlName="_GBC_eaf8447833a04672bb82ce33e22e58c4" concept="clcid-pte:LiuDongFuZhaiHeJi" label="流动负债合计" periodRef="上年期末数" mulRef="_GBC_7be010b1a07f4048a3805d40208ccda4" unitRef="_GBC_ecd35f8ce6f84d6f8ad30e1e244c15ff" addr="T1R55C3S1_1" formatStyle="Comma">
          <m:complexRule comparator="Eq" title="流动负债合计@本期期初数" test=" $_GBC_842b53c5dbf44c4eabf156246577dc25 +  $_GBC_03a4da4fdca1412faab5054c5df9399a +  $_GBC_44cab6005cd74c3eb94eca62c263418e +  $_GBC_6252bc81347d448c81cb913b770a115b +  $_GBC_be43d2a72c20477a9ae629edfde8aebb +  $_GBC_b3c2bce51c444555bc1cab3f35eb79e9 +  $_GBC_e47f7fc0519d4641b3d3e5a4a35541e3 +  $_GBC_f4f169c96bd54569ae957c0cf697f1d5 +  $_GBC_08e50210cb6f43d7847a24eb416e3759 +  $_GBC_33d66508a20548118598e9d80ea9c18d +  $_GBC_82f2fab076a146e4bad5c66f91669213 +  $_GBC_6f6a3c16f2f94692b1471c74f1e8dcb1 +  $_GBC_6cc8d545f7af47e185e83e17c87e0b89" id="C18ac8c99df4b4f12b4586690e8d43682"/>
          <m:axisValue occRef="母公司"/>
        </m:item>
        <m:placeholder xlName="_PLD_e62929b21cd4456494013c9cb0dc5b16" addr="T1R56C0S1_1"/>
        <m:placeholder xlName="_PLD_dc705bf824d14c06a0f0ff2183f061bb" addr="T1R57C0S1_1"/>
        <m:item xlName="_GBC_ac82998de0644de5b4af3319c0ff42ed" concept="clcid-ci-ar:FuZhu_ChangQiJieKuan" label="附注_长期借款" addr="T1R57C1S1_1">
          <m:axisValue occRef="母公司"/>
        </m:item>
        <m:item xlName="_GBC_91ee244e2eb14c47895384b6bc863ae5" concept="clcid-pte:ChangQiJieKuan" label="长期借款" mulRef="_GBC_7be010b1a07f4048a3805d40208ccda4" unitRef="_GBC_ecd35f8ce6f84d6f8ad30e1e244c15ff" addr="T1R57C2S1_1" formatStyle="Comma">
          <m:axisValue occRef="母公司"/>
        </m:item>
        <m:item xlName="_GBC_e712a47c2b1f4884b3159b58cc2997af" concept="clcid-pte:ChangQiJieKuan" label="长期借款" periodRef="上年期末数" mulRef="_GBC_7be010b1a07f4048a3805d40208ccda4" unitRef="_GBC_ecd35f8ce6f84d6f8ad30e1e244c15ff" addr="T1R57C3S1_1" formatStyle="Comma">
          <m:axisValue occRef="母公司"/>
        </m:item>
        <m:placeholder xlName="_PLD_338e61244aeb4a06b85c45422b5d2e25" addr="T1R58C0S1_1"/>
        <m:item xlName="_GBC_af7833ce92974c04b28cad91d232d5b5" concept="clcid-ci-ar:FuZhu_YingFuZhaiQuan" label="附注_应付债券" addr="T1R58C1S1_1">
          <m:axisValue occRef="母公司"/>
        </m:item>
        <m:item xlName="_GBC_4edb7a93e4df412eab13522131afa51c" concept="clcid-pte:YingFuZhaiQuan" label="应付债券" mulRef="_GBC_7be010b1a07f4048a3805d40208ccda4" unitRef="_GBC_ecd35f8ce6f84d6f8ad30e1e244c15ff" addr="T1R58C2S1_1" formatStyle="Comma">
          <m:axisValue occRef="母公司"/>
        </m:item>
        <m:item xlName="_GBC_a32f2ba01e534d708bd4730ca5111eed" concept="clcid-pte:YingFuZhaiQuan" label="应付债券" periodRef="上年期末数" mulRef="_GBC_7be010b1a07f4048a3805d40208ccda4" unitRef="_GBC_ecd35f8ce6f84d6f8ad30e1e244c15ff" addr="T1R58C3S1_1" formatStyle="Comma">
          <m:axisValue occRef="母公司"/>
        </m:item>
        <m:placeholder xlName="_PLD_314bd73553e7420a8c904cb2018c47e8" addr="T1R59C0S1_1"/>
        <m:item xlName="_GBC_1c8c7a8eb26c46969e2fbd956b69a769" concept="clcid-ci-ar:FuZhuQiZhongYouXianGu" label="附注_其中：优先股" addr="T1R59C1S1_1">
          <m:axisValue occRef="母公司"/>
        </m:item>
        <m:item xlName="_GBC_b5371ac1d12c4e67bd9061105559a1d8" concept="clcid-pte:QiZhongYouXianGu" label="其中：优先股" mulRef="_GBC_7be010b1a07f4048a3805d40208ccda4" unitRef="_GBC_ecd35f8ce6f84d6f8ad30e1e244c15ff" addr="T1R59C2S1_1" formatStyle="Comma">
          <m:axisValue occRef="母公司"/>
        </m:item>
        <m:item xlName="_GBC_ebe0006b60f24f38863eaa3979d980ca" concept="clcid-pte:QiZhongYouXianGu" label="其中：优先股" periodRef="上年期末数" mulRef="_GBC_7be010b1a07f4048a3805d40208ccda4" unitRef="_GBC_ecd35f8ce6f84d6f8ad30e1e244c15ff" addr="T1R59C3S1_1" formatStyle="Comma">
          <m:axisValue occRef="母公司"/>
        </m:item>
        <m:placeholder xlName="_PLD_5044e414e8a34f969372ff67406d75ff" addr="T1R60C0S1_1"/>
        <m:item xlName="_GBC_b77f33795c564e238a858f6cc2b18dc7" concept="clcid-ci-ar:FuZhuYongXuZhai" label="附注_永续债" addr="T1R60C1S1_1">
          <m:axisValue occRef="母公司"/>
        </m:item>
        <m:item xlName="_GBC_b4275e8aaa5742fd81d1b0a448cc29b5" concept="clcid-pte:YongXuZhai" label="永续债" mulRef="_GBC_7be010b1a07f4048a3805d40208ccda4" unitRef="_GBC_ecd35f8ce6f84d6f8ad30e1e244c15ff" addr="T1R60C2S1_1" formatStyle="Comma">
          <m:axisValue occRef="母公司"/>
        </m:item>
        <m:item xlName="_GBC_bb7272cb3b00499f81536d949776b5bc" concept="clcid-pte:YongXuZhai" label="永续债" periodRef="上年期末数" mulRef="_GBC_7be010b1a07f4048a3805d40208ccda4" unitRef="_GBC_ecd35f8ce6f84d6f8ad30e1e244c15ff" addr="T1R60C3S1_1" formatStyle="Comma">
          <m:axisValue occRef="母公司"/>
        </m:item>
        <m:placeholder xlName="_PLD_7b2441d86aba45d4ab5739ca0af69796" addr="T1R61C0S1_1"/>
        <m:item xlName="_GBC_b6f0865299f04e038b9965e460bcf3b0" concept="clcid-ci-ar:FuZhu_ZuLinFuZhai" label="附注_租赁负债" addr="T1R61C1S1_1">
          <m:axisValue occRef="母公司"/>
        </m:item>
        <m:item xlName="_GBC_969ee4b7364b4a9781cf641c9aa176cf" concept="clcid-pte:ZuLinFuZhai" label="租赁负债" mulRef="_GBC_7be010b1a07f4048a3805d40208ccda4" unitRef="_GBC_ecd35f8ce6f84d6f8ad30e1e244c15ff" addr="T1R61C2S1_1" formatStyle="Comma">
          <m:axisValue occRef="母公司"/>
        </m:item>
        <m:item xlName="_GBC_42f69fde69b24ab58fa62d9384035b6b" concept="clcid-pte:ZuLinFuZhai" label="租赁负债" periodRef="上年期末数" mulRef="_GBC_7be010b1a07f4048a3805d40208ccda4" unitRef="_GBC_ecd35f8ce6f84d6f8ad30e1e244c15ff" addr="T1R61C3S1_1" formatStyle="Comma">
          <m:axisValue occRef="母公司"/>
        </m:item>
        <m:placeholder xlName="_PLD_d268871ae8f24f1d920dd95b56180bba" addr="T1R62C0S1_1"/>
        <m:item xlName="_GBC_3758a72f6cf24d7cbe3b624dffd05d04" concept="clcid-ci-ar:FuZhu_ChangQiYingFuKuan" label="附注_长期应付款" addr="T1R62C1S1_1">
          <m:axisValue occRef="母公司"/>
        </m:item>
        <m:item xlName="_GBC_534976efb6b04d42907daacb765f4c0f" concept="clcid-pte:ChangQiYingFuKuan" label="长期应付款" mulRef="_GBC_7be010b1a07f4048a3805d40208ccda4" unitRef="_GBC_ecd35f8ce6f84d6f8ad30e1e244c15ff" addr="T1R62C2S1_1" formatStyle="Comma">
          <m:axisValue occRef="母公司"/>
        </m:item>
        <m:item xlName="_GBC_02e15f9b1e0743f39f60e3f1f38efd95" concept="clcid-pte:ChangQiYingFuKuan" label="长期应付款" periodRef="上年期末数" mulRef="_GBC_7be010b1a07f4048a3805d40208ccda4" unitRef="_GBC_ecd35f8ce6f84d6f8ad30e1e244c15ff" addr="T1R62C3S1_1" formatStyle="Comma">
          <m:axisValue occRef="母公司"/>
        </m:item>
        <m:placeholder xlName="_PLD_200b2b0412114e3b932260eef9b4c6fe" addr="T1R63C0S1_1"/>
        <m:item xlName="_GBC_2c137f1ca3944a358fa02b531eeb87ee" concept="clcid-ci-ar:FuZhu_ChangQiYingFuZhiGongXinChou" label="附注_长期应付职工薪酬" addr="T1R63C1S1_1">
          <m:axisValue occRef="母公司"/>
        </m:item>
        <m:item xlName="_GBC_1d1f51dd2b9d4229bce26dcd73d244bd" concept="clcid-pte:ChangQiYingFuZhiGongXinChou" label="长期应付职工薪酬" mulRef="_GBC_7be010b1a07f4048a3805d40208ccda4" unitRef="_GBC_ecd35f8ce6f84d6f8ad30e1e244c15ff" addr="T1R63C2S1_1" formatStyle="Comma">
          <m:axisValue occRef="母公司"/>
        </m:item>
        <m:item xlName="_GBC_0b8dc90522394e088ac9b53a7652de7d" concept="clcid-pte:ChangQiYingFuZhiGongXinChou" label="长期应付职工薪酬" periodRef="上年期末数" mulRef="_GBC_7be010b1a07f4048a3805d40208ccda4" unitRef="_GBC_ecd35f8ce6f84d6f8ad30e1e244c15ff" addr="T1R63C3S1_1" formatStyle="Comma">
          <m:axisValue occRef="母公司"/>
        </m:item>
        <m:placeholder xlName="_PLD_175206d9834f4332bb966826e2fc6cf7" addr="T1R64C0S1_1"/>
        <m:item xlName="_GBC_e0f651bd9ad1493b9efe371900c2907f" concept="clcid-ci-ar:FuZhu_YuJiFuZhai" label="附注_预计负债" addr="T1R64C1S1_1">
          <m:axisValue occRef="母公司"/>
        </m:item>
        <m:item xlName="_GBC_e5d3a15061314257be9b343f05945a45" concept="clcid-pte:YuJiFuZhai" label="预计负债" mulRef="_GBC_7be010b1a07f4048a3805d40208ccda4" unitRef="_GBC_ecd35f8ce6f84d6f8ad30e1e244c15ff" addr="T1R64C2S1_1" formatStyle="Comma">
          <m:axisValue occRef="母公司"/>
        </m:item>
        <m:item xlName="_GBC_71e387132cea41a08de3630c7caa9f5b" concept="clcid-pte:YuJiFuZhai" label="预计负债" periodRef="上年期末数" mulRef="_GBC_7be010b1a07f4048a3805d40208ccda4" unitRef="_GBC_ecd35f8ce6f84d6f8ad30e1e244c15ff" addr="T1R64C3S1_1" formatStyle="Comma">
          <m:axisValue occRef="母公司"/>
        </m:item>
        <m:placeholder xlName="_PLD_eab00dbf5a03497493b7cecfc307a4f7" addr="T1R65C0S1_1"/>
        <m:item xlName="_GBC_cebfff3d632a4a38a5fb285b0fbe42e7" concept="clcid-ci-ar:FuZhuDiYanShouYi" label="附注_递延收益" addr="T1R65C1S1_1" formatStyle="Comma">
          <m:axisValue occRef="母公司"/>
        </m:item>
        <m:item xlName="_GBC_b4853e8ab9174ce3821adb56d7a92ee4" concept="clcid-pte:DiYanShouYi" label="递延收益" mulRef="_GBC_7be010b1a07f4048a3805d40208ccda4" unitRef="_GBC_ecd35f8ce6f84d6f8ad30e1e244c15ff" addr="T1R65C2S1_1" formatStyle="Comma">
          <m:axisValue occRef="母公司"/>
        </m:item>
        <m:item xlName="_GBC_f4266c65e57a4191821df12e3af1338c" concept="clcid-pte:DiYanShouYi" label="递延收益" periodRef="上年期末数" mulRef="_GBC_7be010b1a07f4048a3805d40208ccda4" unitRef="_GBC_ecd35f8ce6f84d6f8ad30e1e244c15ff" addr="T1R65C3S1_1" formatStyle="Comma">
          <m:axisValue occRef="母公司"/>
        </m:item>
        <m:placeholder xlName="_PLD_b27860a290d6473991cd09d203f00279" addr="T1R66C0S1_1"/>
        <m:item xlName="_GBC_6c38e048965e4a54bc156877a62a5e15" concept="clcid-ci-ar:FuZhu_DiYanShuiKuanDaiXiangHeJi" label="附注_递延税款贷项合计" addr="T1R66C1S1_1">
          <m:axisValue occRef="母公司"/>
        </m:item>
        <m:item xlName="_GBC_b879e036b2d54647a29e4cfd43e9619d" concept="clcid-pte:DiYanShuiKuanDaiXiangHeJi" label="递延税款贷项合计" mulRef="_GBC_7be010b1a07f4048a3805d40208ccda4" unitRef="_GBC_ecd35f8ce6f84d6f8ad30e1e244c15ff" addr="T1R66C2S1_1" formatStyle="Comma">
          <m:axisValue occRef="母公司"/>
        </m:item>
        <m:item xlName="_GBC_21dbf90bccff45f6bfdbf613ef4282a9" concept="clcid-pte:DiYanShuiKuanDaiXiangHeJi" label="递延税款贷项合计" periodRef="上年期末数" mulRef="_GBC_7be010b1a07f4048a3805d40208ccda4" unitRef="_GBC_ecd35f8ce6f84d6f8ad30e1e244c15ff" addr="T1R66C3S1_1" formatStyle="Comma">
          <m:axisValue occRef="母公司"/>
        </m:item>
        <m:placeholder xlName="_PLD_4e68f69147854f91a45d2da03b70d4d5" addr="T1R67C0S1_1"/>
        <m:item xlName="_GBC_e826a0cfebe64b78956004e67c010820" concept="clcid-ci-ar:FuZhu_QiTaChangQiFuZhai" label="附注_其他长期负债" addr="T1R67C1S1_1">
          <m:axisValue occRef="母公司"/>
        </m:item>
        <m:item xlName="_GBC_f96b48298dfc43458c70cf200ae40214" concept="clcid-pte:QiTaChangQiFuZhai" label="其他长期负债" mulRef="_GBC_7be010b1a07f4048a3805d40208ccda4" unitRef="_GBC_ecd35f8ce6f84d6f8ad30e1e244c15ff" addr="T1R67C2S1_1" formatStyle="Comma">
          <m:axisValue occRef="母公司"/>
        </m:item>
        <m:item xlName="_GBC_c19a0a77711a4c6c94b0767fba595f04" concept="clcid-pte:QiTaChangQiFuZhai" label="其他长期负债" periodRef="上年期末数" mulRef="_GBC_7be010b1a07f4048a3805d40208ccda4" unitRef="_GBC_ecd35f8ce6f84d6f8ad30e1e244c15ff" addr="T1R67C3S1_1" formatStyle="Comma">
          <m:axisValue occRef="母公司"/>
        </m:item>
        <m:placeholder xlName="_PLD_2c899ef8da434424b5289e4324851489" addr="T1R68C0S1_1"/>
        <m:item xlName="_GBC_8da64a7871b24dcab1eb9dd74abfb702" concept="clcid-ci-ar:FuZhu_ChangQiFuZhaiHeJi" label="附注_长期负债合计" addr="T1R68C1S1_1">
          <m:axisValue occRef="母公司"/>
        </m:item>
        <m:item xlName="_GBC_7ad4992e90c345f4b559590c8f03e2ac" concept="clcid-pte:ChangQiFuZhaiHeJi" label="长期负债合计" mulRef="_GBC_7be010b1a07f4048a3805d40208ccda4" unitRef="_GBC_ecd35f8ce6f84d6f8ad30e1e244c15ff" addr="T1R68C2S1_1" formatStyle="Comma">
          <m:complexRule comparator="Eq" title="母公司长期负债合计" test=" $_GBC_91ee244e2eb14c47895384b6bc863ae5 +  $_GBC_4edb7a93e4df412eab13522131afa51c +  $_GBC_969ee4b7364b4a9781cf641c9aa176cf +  $_GBC_534976efb6b04d42907daacb765f4c0f +  $_GBC_1d1f51dd2b9d4229bce26dcd73d244bd +  $_GBC_e5d3a15061314257be9b343f05945a45 +  $_GBC_b4853e8ab9174ce3821adb56d7a92ee4 +  $_GBC_b879e036b2d54647a29e4cfd43e9619d +  $_GBC_f96b48298dfc43458c70cf200ae40214" id="C9b86de615391437690e62397fff89ca6"/>
          <m:axisValue occRef="母公司"/>
        </m:item>
        <m:item xlName="_GBC_c56d5a9f5f6a498c9e65a18a09c959a7" concept="clcid-pte:ChangQiFuZhaiHeJi" label="长期负债合计" periodRef="上年期末数" mulRef="_GBC_7be010b1a07f4048a3805d40208ccda4" unitRef="_GBC_ecd35f8ce6f84d6f8ad30e1e244c15ff" addr="T1R68C3S1_1" formatStyle="Comma">
          <m:complexRule comparator="Eq" title="母公司长期负债合计@上年期末数" test=" $_GBC_e712a47c2b1f4884b3159b58cc2997af +  $_GBC_a32f2ba01e534d708bd4730ca5111eed +  $_GBC_42f69fde69b24ab58fa62d9384035b6b +  $_GBC_02e15f9b1e0743f39f60e3f1f38efd95 +  $_GBC_0b8dc90522394e088ac9b53a7652de7d +  $_GBC_71e387132cea41a08de3630c7caa9f5b +  $_GBC_f4266c65e57a4191821df12e3af1338c +  $_GBC_21dbf90bccff45f6bfdbf613ef4282a9 +  $_GBC_c19a0a77711a4c6c94b0767fba595f04" id="C1a57260f68074994b3847d46a67b4094"/>
          <m:axisValue occRef="母公司"/>
        </m:item>
        <m:placeholder xlName="_PLD_e2102ad9792147f2bf11ec884c204033" addr="T1R69C0S1_1"/>
        <m:item xlName="_GBC_ca91e01ea7c7441e98e3dd1bb5fc9bd3" concept="clcid-ci-ar:FuZhu_FuZhaiHeJi" label="附注_负债合计" addr="T1R69C1S1_1">
          <m:axisValue occRef="母公司"/>
        </m:item>
        <m:item xlName="_GBC_b2b45c6778a74e739ba9c519f94f8ed6" concept="clcid-pte:FuZhaiHeJi" label="负债合计" mulRef="_GBC_7be010b1a07f4048a3805d40208ccda4" unitRef="_GBC_ecd35f8ce6f84d6f8ad30e1e244c15ff" addr="T1R69C2S1_1" formatStyle="Comma">
          <m:complexRule comparator="Eq" title="合并报表_期末_负债合计" test=" $_GBC_ffe4bb9696e5433eb2728cb4dd73bb9b +  $_GBC_7ad4992e90c345f4b559590c8f03e2ac" id="Cb77398c9528843e3a6b869cde09097db"/>
          <m:axisValue occRef="母公司"/>
        </m:item>
        <m:item xlName="_GBC_d35c2cc5db2942bd86cd412db203f99f" concept="clcid-pte:FuZhaiHeJi" label="负债合计" periodRef="上年期末数" mulRef="_GBC_7be010b1a07f4048a3805d40208ccda4" unitRef="_GBC_ecd35f8ce6f84d6f8ad30e1e244c15ff" addr="T1R69C3S1_1" formatStyle="Comma">
          <m:complexRule comparator="Eq" title="合并报表_年初_负债合计" test=" $_GBC_eaf8447833a04672bb82ce33e22e58c4 +  $_GBC_c56d5a9f5f6a498c9e65a18a09c959a7" id="C43b83d6497244d878f632f79b43862a7"/>
          <m:axisValue occRef="母公司"/>
        </m:item>
        <m:placeholder xlName="_PLD_b3c95ee428314f8b8091bd15dff2a83d" addr="T1R70C0S1_1"/>
        <m:placeholder xlName="_PLD_4dc50e71aa7b412096aaa176abd95e28" addr="T1R71C0S1_1"/>
        <m:item xlName="_GBC_247c957202284ec4acebc453b3e8ed85" concept="clcid-ci-ar:FuZhu_GuBen" label="附注_股本" addr="T1R71C1S1_1">
          <m:axisValue occRef="母公司"/>
        </m:item>
        <m:item xlName="_GBC_a27a847b75484abca7a8040317518381" concept="clcid-pte:GuBen" label="股本" mulRef="_GBC_7be010b1a07f4048a3805d40208ccda4" unitRef="_GBC_ecd35f8ce6f84d6f8ad30e1e244c15ff" addr="T1R71C2S1_1" formatStyle="Comma">
          <m:axisValue occRef="母公司"/>
        </m:item>
        <m:item xlName="_GBC_e4941b3f1eb0497c9ee1ce1c924158e9" concept="clcid-pte:GuBen" label="股本" periodRef="上年期末数" mulRef="_GBC_7be010b1a07f4048a3805d40208ccda4" unitRef="_GBC_ecd35f8ce6f84d6f8ad30e1e244c15ff" addr="T1R71C3S1_1" formatStyle="Comma">
          <m:axisValue occRef="母公司"/>
        </m:item>
        <m:placeholder xlName="_PLD_f36127e51236487893688b464544872d" addr="T1R72C0S1_1"/>
        <m:item xlName="_GBC_08fe6482d68447529b48833117ebe738" concept="clcid-ci-ar:FuZhuQiTaQuanYiGongJu" label="附注_其他权益工具" addr="T1R72C1S1_1">
          <m:axisValue occRef="母公司"/>
        </m:item>
        <m:item xlName="_GBC_942ff51010ea4bc38f5b8b2a074c05c3" concept="clcid-pte:QiTaQuanYiGongJu" label="其他权益工具" mulRef="_GBC_7be010b1a07f4048a3805d40208ccda4" unitRef="_GBC_ecd35f8ce6f84d6f8ad30e1e244c15ff" addr="T1R72C2S1_1" formatStyle="Comma">
          <m:axisValue occRef="母公司"/>
        </m:item>
        <m:item xlName="_GBC_cad33397f92e48d88cd5f056219af782" concept="clcid-pte:QiTaQuanYiGongJu" label="其他权益工具" periodRef="上年期末数" mulRef="_GBC_7be010b1a07f4048a3805d40208ccda4" unitRef="_GBC_ecd35f8ce6f84d6f8ad30e1e244c15ff" addr="T1R72C3S1_1" formatStyle="Comma">
          <m:axisValue occRef="母公司"/>
        </m:item>
        <m:placeholder xlName="_PLD_6ff9fed10f5e4421b4d017b86f339700" addr="T1R73C0S1_1"/>
        <m:item xlName="_GBC_efe7af5486484ae79b65088be0a44aa5" concept="clcid-ci-ar:FuZhuQiTaQuanYiGongJuQiZhongYouXianGu" label="附注_其他权益工具-其中：优先股" addr="T1R73C1S1_1">
          <m:axisValue occRef="母公司"/>
        </m:item>
        <m:item xlName="_GBC_6c1aded1bc6447e8ac9206d4dd3973a8" concept="clcid-pte:QiTaQuanYiGongJuQiZhongYouXianGu" label="其他权益工具-其中：优先股" mulRef="_GBC_7be010b1a07f4048a3805d40208ccda4" unitRef="_GBC_ecd35f8ce6f84d6f8ad30e1e244c15ff" addr="T1R73C2S1_1" formatStyle="Comma">
          <m:axisValue occRef="母公司"/>
        </m:item>
        <m:item xlName="_GBC_81eb4227406e4537bc9abec144eaf013" concept="clcid-pte:QiTaQuanYiGongJuQiZhongYouXianGu" label="其他权益工具-其中：优先股" periodRef="上年期末数" mulRef="_GBC_7be010b1a07f4048a3805d40208ccda4" unitRef="_GBC_ecd35f8ce6f84d6f8ad30e1e244c15ff" addr="T1R73C3S1_1" formatStyle="Comma">
          <m:axisValue occRef="母公司"/>
        </m:item>
        <m:placeholder xlName="_PLD_a53508683d034577843778ba9d06a615" addr="T1R74C0S1_1"/>
        <m:item xlName="_GBC_51c61d09026c4ba7a8e3da1cc8a6d159" concept="clcid-ci-ar:FuZhuQiTaQuanYiGongJuYongXuZhai" label="附注_其他权益工具-永续债" addr="T1R74C1S1_1">
          <m:axisValue occRef="母公司"/>
        </m:item>
        <m:item xlName="_GBC_489776e54aeb4df0965a9fabbf2d505e" concept="clcid-pte:QiTaQuanYiGongJuYongXuZhai" label="其他权益工具-永续债" mulRef="_GBC_7be010b1a07f4048a3805d40208ccda4" unitRef="_GBC_ecd35f8ce6f84d6f8ad30e1e244c15ff" addr="T1R74C2S1_1" formatStyle="Comma">
          <m:axisValue occRef="母公司"/>
        </m:item>
        <m:item xlName="_GBC_35dd4a04662f43c08dc662ddb12b2c12" concept="clcid-pte:QiTaQuanYiGongJuYongXuZhai" label="其他权益工具-永续债" periodRef="上年期末数" mulRef="_GBC_7be010b1a07f4048a3805d40208ccda4" unitRef="_GBC_ecd35f8ce6f84d6f8ad30e1e244c15ff" addr="T1R74C3S1_1" formatStyle="Comma">
          <m:axisValue occRef="母公司"/>
        </m:item>
        <m:placeholder xlName="_PLD_08724ab7c9244a1186a8219085238e9f" addr="T1R75C0S1_1"/>
        <m:item xlName="_GBC_30575200eef3455882f87a7948af26be" concept="clcid-ci-ar:FuZhu_ZiBenGongJi" label="附注_资本公积" addr="T1R75C1S1_1">
          <m:axisValue occRef="母公司"/>
        </m:item>
        <m:item xlName="_GBC_a11ec38a7d974c83af7c5acc62c76725" concept="clcid-pte:ZiBenGongJi" label="资本公积" mulRef="_GBC_7be010b1a07f4048a3805d40208ccda4" unitRef="_GBC_ecd35f8ce6f84d6f8ad30e1e244c15ff" addr="T1R75C2S1_1" formatStyle="Comma">
          <m:axisValue occRef="母公司"/>
        </m:item>
        <m:item xlName="_GBC_3f84526a366544c0893deb16b4317e96" concept="clcid-pte:ZiBenGongJi" label="资本公积" periodRef="上年期末数" mulRef="_GBC_7be010b1a07f4048a3805d40208ccda4" unitRef="_GBC_ecd35f8ce6f84d6f8ad30e1e244c15ff" addr="T1R75C3S1_1" formatStyle="Comma">
          <m:axisValue occRef="母公司"/>
        </m:item>
        <m:placeholder xlName="_PLD_acf5eb5023ce48a38a6314aa3a59978b" addr="T1R76C0S1_1"/>
        <m:item xlName="_GBC_88d33d8dac1841c7bf26ef33ca6f8522" concept="clcid-ci-ar:FuZhu_JianKuCunGu" label="附注_减：库存股" addr="T1R76C1S1_1">
          <m:axisValue occRef="母公司"/>
        </m:item>
        <m:item xlName="_GBC_680116aa994647068508157837c0af94" concept="clcid-pte:KuCunGu" label="库存股" mulRef="_GBC_7be010b1a07f4048a3805d40208ccda4" unitRef="_GBC_ecd35f8ce6f84d6f8ad30e1e244c15ff" addr="T1R76C2S1_1" formatStyle="Comma">
          <m:axisValue occRef="母公司"/>
        </m:item>
        <m:item xlName="_GBC_8c50494ac90048ddaaa34e553ca08339" concept="clcid-pte:KuCunGu" label="库存股" periodRef="上年期末数" mulRef="_GBC_7be010b1a07f4048a3805d40208ccda4" unitRef="_GBC_ecd35f8ce6f84d6f8ad30e1e244c15ff" addr="T1R76C3S1_1" formatStyle="Comma">
          <m:axisValue occRef="母公司"/>
        </m:item>
        <m:placeholder xlName="_PLD_b511319799ae49febdfc2f1e81f6d67c" addr="T1R77C0S1_1"/>
        <m:item xlName="_GBC_c6a76c8e1152499c9a4910716c521f40" concept="clcid-ci-ar:FuZhuQiTaZongHeShouYiZiChanFuZhaiBiaoXiangMu" label="附注_其他综合收益（资产负债表项目）" addr="T1R77C1S1_1">
          <m:axisValue occRef="母公司"/>
        </m:item>
        <m:item xlName="_GBC_d8c60b6c95e2494ba06a3a273bb2c106" concept="clcid-pte:QiTaZongHeShouYiZiChanFuZhaiBiaoXiangMu" label="其他综合收益（资产负债表项目）" mulRef="_GBC_7be010b1a07f4048a3805d40208ccda4" unitRef="_GBC_ecd35f8ce6f84d6f8ad30e1e244c15ff" addr="T1R77C2S1_1" formatStyle="Comma">
          <m:axisValue occRef="母公司"/>
        </m:item>
        <m:item xlName="_GBC_b09e7b015b8f4ccf8c48a74821982c02" concept="clcid-pte:QiTaZongHeShouYiZiChanFuZhaiBiaoXiangMu" label="其他综合收益（资产负债表项目）" periodRef="上年期末数" mulRef="_GBC_7be010b1a07f4048a3805d40208ccda4" unitRef="_GBC_ecd35f8ce6f84d6f8ad30e1e244c15ff" addr="T1R77C3S1_1" formatStyle="Comma">
          <m:axisValue occRef="母公司"/>
        </m:item>
        <m:placeholder xlName="_PLD_485864b6f1a24685a2635ee51b952005" addr="T1R78C0S1_1"/>
        <m:item xlName="_GBC_c515bcba9355449aafe05c1ff561315d" concept="clcid-ci-ar:FuZhu_ZhuanXiangChuBei" label="附注_专项储备" addr="T1R78C1S1_1">
          <m:axisValue occRef="母公司"/>
        </m:item>
        <m:item xlName="_GBC_4063f6b972c94ff9ab4f88c7b97bdcc2" concept="clcid-pte:ZhuanXiangChuBei" label="专项储备" mulRef="_GBC_7be010b1a07f4048a3805d40208ccda4" unitRef="_GBC_ecd35f8ce6f84d6f8ad30e1e244c15ff" addr="T1R78C2S1_1" formatStyle="Comma">
          <m:axisValue occRef="母公司"/>
        </m:item>
        <m:item xlName="_GBC_953cd77147f8487fa4b888671faae8b2" concept="clcid-pte:ZhuanXiangChuBei" label="专项储备" periodRef="上年期末数" mulRef="_GBC_7be010b1a07f4048a3805d40208ccda4" unitRef="_GBC_ecd35f8ce6f84d6f8ad30e1e244c15ff" addr="T1R78C3S1_1" formatStyle="Comma">
          <m:axisValue occRef="母公司"/>
        </m:item>
        <m:placeholder xlName="_PLD_81d459a1820947dd8bb91df8e71c615b" addr="T1R79C0S1_1"/>
        <m:item xlName="_GBC_860a9f80abe444fa8475460532449a25" concept="clcid-ci-ar:FuZhu_YingYuGongJi" label="附注_盈余公积" addr="T1R79C1S1_1">
          <m:axisValue occRef="母公司"/>
        </m:item>
        <m:item xlName="_GBC_e2337bfe8cc84bd784fea3e4a4a15d42" concept="clcid-pte:YingYuGongJi" label="盈余公积" mulRef="_GBC_7be010b1a07f4048a3805d40208ccda4" unitRef="_GBC_ecd35f8ce6f84d6f8ad30e1e244c15ff" addr="T1R79C2S1_1" formatStyle="Comma">
          <m:axisValue occRef="母公司"/>
        </m:item>
        <m:item xlName="_GBC_9414241703774580b1b23d7ddf9dfbc7" concept="clcid-pte:YingYuGongJi" label="盈余公积" periodRef="上年期末数" mulRef="_GBC_7be010b1a07f4048a3805d40208ccda4" unitRef="_GBC_ecd35f8ce6f84d6f8ad30e1e244c15ff" addr="T1R79C3S1_1" formatStyle="Comma">
          <m:axisValue occRef="母公司"/>
        </m:item>
        <m:placeholder xlName="_PLD_9bf3fa2bf87240889853d8e32c117a77" addr="T1R80C0S1_1"/>
        <m:item xlName="_GBC_66b2889187604285aba7751b5cdca472" concept="clcid-ci-ar:FuZhu_WeiFenPeiLiRun" label="附注_未分配利润" addr="T1R80C1S1_1">
          <m:axisValue occRef="母公司"/>
        </m:item>
        <m:item xlName="_GBC_315d5da91ce54ae896477d891b05b230" concept="clcid-pte:WeiFenPeiLiRun" label="未分配利润" mulRef="_GBC_7be010b1a07f4048a3805d40208ccda4" unitRef="_GBC_ecd35f8ce6f84d6f8ad30e1e244c15ff" addr="T1R80C2S1_1" formatStyle="Comma">
          <m:axisValue occRef="母公司"/>
        </m:item>
        <m:item xlName="_GBC_6b178ba756c64b0ca74aa675cbcd3ee4" concept="clcid-pte:WeiFenPeiLiRun" label="未分配利润" periodRef="上年期末数" mulRef="_GBC_7be010b1a07f4048a3805d40208ccda4" unitRef="_GBC_ecd35f8ce6f84d6f8ad30e1e244c15ff" addr="T1R80C3S1_1" formatStyle="Comma">
          <m:axisValue occRef="母公司"/>
        </m:item>
        <m:placeholder xlName="_PLD_a8e701b7d2f8447c8bb34870babce384" addr="T1R81C0S1_1"/>
        <m:item xlName="_GBC_3e00e6f698ec418289b6e0e06399a44a" concept="clcid-ci-ar:FuZhu_GuDongQuanYiHeJi" label="附注_股东权益合计" addr="T1R81C1S1_1">
          <m:axisValue occRef="母公司"/>
        </m:item>
        <m:item xlName="_GBC_a0c6b1a1f9ca43bdb76c3097b24f74b8" concept="clcid-pte:GuDongQuanYiHeJi" label="股东权益合计" mulRef="_GBC_7be010b1a07f4048a3805d40208ccda4" unitRef="_GBC_ecd35f8ce6f84d6f8ad30e1e244c15ff" addr="T1R81C2S1_1" formatStyle="Comma">
          <m:complexRule comparator="Eq" title="母公司股东权益合计" test=" $_GBC_a27a847b75484abca7a8040317518381 +  $_GBC_942ff51010ea4bc38f5b8b2a074c05c3 +  $_GBC_a11ec38a7d974c83af7c5acc62c76725 -  $_GBC_680116aa994647068508157837c0af94 +  $_GBC_d8c60b6c95e2494ba06a3a273bb2c106 +  $_GBC_4063f6b972c94ff9ab4f88c7b97bdcc2 +  $_GBC_e2337bfe8cc84bd784fea3e4a4a15d42 +  $_GBC_315d5da91ce54ae896477d891b05b230" id="C49c4feb0d690481db53e8c13f7d2a895"/>
          <m:axisValue occRef="母公司"/>
        </m:item>
        <m:item xlName="_GBC_6e584df3109a4f949d05ab19de0c8772" concept="clcid-pte:GuDongQuanYiHeJi" label="股东权益合计" periodRef="上年期末数" mulRef="_GBC_7be010b1a07f4048a3805d40208ccda4" unitRef="_GBC_ecd35f8ce6f84d6f8ad30e1e244c15ff" addr="T1R81C3S1_1" formatStyle="Comma">
          <m:complexRule comparator="Eq" title="母公司股东权益合计@上年期末数" test=" $_GBC_e4941b3f1eb0497c9ee1ce1c924158e9 +  $_GBC_cad33397f92e48d88cd5f056219af782 +  $_GBC_3f84526a366544c0893deb16b4317e96 -  $_GBC_8c50494ac90048ddaaa34e553ca08339 +  $_GBC_b09e7b015b8f4ccf8c48a74821982c02 +  $_GBC_953cd77147f8487fa4b888671faae8b2 +  $_GBC_9414241703774580b1b23d7ddf9dfbc7 +  $_GBC_6b178ba756c64b0ca74aa675cbcd3ee4" id="C2f188095034447bfa53d379f7c8a4ac6"/>
          <m:axisValue occRef="母公司"/>
        </m:item>
        <m:placeholder xlName="_PLD_448d7a5f1f6c488cb5525aa8d0d88441" addr="T1R82C0S1_1"/>
        <m:item xlName="_GBC_586551fd136d4cfc85c294ffa47b3c29" concept="clcid-ci-ar:FuZhu_FuZhaiHeGuDongQuanYiHeJi" label="附注_负债和股东权益合计" addr="T1R82C1S1_1">
          <m:axisValue occRef="母公司"/>
        </m:item>
        <m:item xlName="_GBC_b612d1ae0baf48518139b0bc71753075" concept="clcid-pte:FuZhaiHeGuDongQuanYiHeJi" label="负债和股东权益合计" mulRef="_GBC_7be010b1a07f4048a3805d40208ccda4" unitRef="_GBC_ecd35f8ce6f84d6f8ad30e1e244c15ff" addr="T1R82C2S1_1" formatStyle="Comma">
          <m:complexRule comparator="Eq" title="合并报表_期末_负债和所有者权益总计" test=" $_GBC_b2b45c6778a74e739ba9c519f94f8ed6 +  $_GBC_a0c6b1a1f9ca43bdb76c3097b24f74b8" id="C7ddb0c414f3e423ba2d7d7b102ae5da5"/>
          <m:axisValue occRef="母公司"/>
        </m:item>
        <m:item xlName="_GBC_fa78ecb4ed904e5e9f53bd81b23ac1bc" concept="clcid-pte:FuZhaiHeGuDongQuanYiHeJi" label="负债和股东权益合计" periodRef="上年期末数" mulRef="_GBC_7be010b1a07f4048a3805d40208ccda4" unitRef="_GBC_ecd35f8ce6f84d6f8ad30e1e244c15ff" addr="T1R82C3S1_1" formatStyle="Comma">
          <m:complexRule comparator="Eq" title="合并报表_年初_负债和所有者权益总计" test=" $_GBC_d35c2cc5db2942bd86cd412db203f99f +  $_GBC_6e584df3109a4f949d05ab19de0c8772" id="C1125c02ab44f48d48a0c3ed8ea2cc546"/>
          <m:axisValue occRef="母公司"/>
        </m:item>
        <m:item xlName="_GBC_f43f422c96ec4e009c3976ce8e58b778" concept="clcid-mr:GongSiFuZeRenXingMing" label="公司负责人姓名" binding="true"/>
        <m:item xlName="_GBC_3ac751c8378d4424bbdf4c74057683d9" concept="clcid-mr:ZhuGuanKuaiJiGongZuoFuZeRenXingMing" label="主管会计工作负责人姓名" binding="true"/>
        <m:item xlName="_GBC_182ff185180a4ea4b9c93bbd4b01de2c"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GBC_1503eb297d3448c582e8e9dc7031b2c7"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无需编制合并报表" optionGroupTitle="是否需要合并报表" optionTargetConcept="clcid-ci-ar:ShiFouXuYaoHeBingBaoBiao" optionTargetConceptValue="false" keyAction="57">
      <m:item xlName="_GBC_ca007c517fec4710928b9ee43c847e8b" concept="clcid-cgi:GongSiFaDingZhongWenMingCheng" label="公司法定中文名称" binding="true"/>
      <m:item xlName="_GBC_93410f9f0f51403686d6c566dbb4be50" concept="clcid-ci-ar:DanWeiMuGongSiZiChanFuZhaiBiao" label="单位：母公司资产负债表" selectOptions="_buildInScales" controlType="Combobox" cellType="Scale"/>
      <m:item xlName="_GBC_03019b8a6970478d9879831b9f35ad89" concept="clcid-ci-ar:BiZhongMuGongSiZiChanFuZhaiBiao" label="币种：母公司资产负债表" selectOptions="_buildInISO4217" controlType="Combobox" cellType="Measure"/>
      <m:placeholder xlName="_PLD_ad8299a6c3f642fbbc16dc72f9c49e28" addr="T0R0C0S1_1"/>
      <m:placeholder xlName="_PLD_51b18d94be67483ea556e16aad563288" addr="T0R0C1S1_1"/>
      <m:placeholder xlName="_PLD_816b8be63abc41dcb7fd2dca77d7199f" addr="T0R0C2S1_1"/>
      <m:placeholder xlName="_PLD_1c56c975edc141cf913c937d9078e84a" addr="T0R0C3S1_1"/>
      <m:placeholder xlName="_PLD_ecdb66c3e3c94250b7b78dc968a6598f" addr="T0R1C0S1_1"/>
      <m:placeholder xlName="_PLD_5afd81315c45457d9bb0993ef98cb75a" addr="T0R2C0S1_1"/>
      <m:item xlName="_GBC_9e9d25c9008e4275b1e68f05b21b24b8" concept="clcid-ci-ar:FuZhu_HuoBiZiJin" label="附注_货币资金" addr="T0R2C1S1_1"/>
      <m:item xlName="_GBC_bbcd3bbbdd86484dbe4e90825ffe9bce" concept="clcid-pte:HuoBiZiJin" label="货币资金" mulRef="_GBC_93410f9f0f51403686d6c566dbb4be50" unitRef="_GBC_03019b8a6970478d9879831b9f35ad89" addr="T0R2C2S1_1" formatStyle="Comma"/>
      <m:item xlName="_GBC_f7332f1a5409490f9a2177908d4cae0c" concept="clcid-pte:HuoBiZiJin" label="货币资金" periodRef="上年期末数" mulRef="_GBC_93410f9f0f51403686d6c566dbb4be50" unitRef="_GBC_03019b8a6970478d9879831b9f35ad89" addr="T0R2C3S1_1" formatStyle="Comma"/>
      <m:placeholder xlName="_PLD_0aad984f2da4436fb5adc8f9032e7d1d" addr="T0R3C0S1_1"/>
      <m:item xlName="_GBC_c6c9cb16bd9b488986efe462af454ef5" concept="clcid-ci-ar:FuZhu_JiaoYiXingJinRongZiChan" label="附注_交易性金融资产" addr="T0R3C1S1_1"/>
      <m:item xlName="_GBC_0c6797454c5841a28436be15a2d6eefc" concept="clcid-pte:JiaoYiXingJinRongZiChan" label="交易性金融资产" mulRef="_GBC_93410f9f0f51403686d6c566dbb4be50" unitRef="_GBC_03019b8a6970478d9879831b9f35ad89" addr="T0R3C2S1_1" formatStyle="Comma"/>
      <m:item xlName="_GBC_5ea490aba0b84343ab26285b479fdf4a" concept="clcid-pte:JiaoYiXingJinRongZiChan" label="交易性金融资产" periodRef="上年期末数" mulRef="_GBC_93410f9f0f51403686d6c566dbb4be50" unitRef="_GBC_03019b8a6970478d9879831b9f35ad89" addr="T0R3C3S1_1" formatStyle="Comma"/>
      <m:placeholder xlName="_PLD_69c1a88592ca44e08673a2b0edd192be" addr="T0R4C0S1_1"/>
      <m:item xlName="_GBC_e11486669b8c4777bc02ff0a9b829dca" concept="clcid-ci-ar:FuZhuYanShengJinRongZiChan" label="附注_衍生金融资产" addr="T0R4C1S1_1"/>
      <m:item xlName="_GBC_5201c809b8e44e04b2b1e2ac95443039" concept="clcid-pte:YanShengJinRongZiChan" label="衍生金融资产" mulRef="_GBC_93410f9f0f51403686d6c566dbb4be50" unitRef="_GBC_03019b8a6970478d9879831b9f35ad89" addr="T0R4C2S1_1" formatStyle="Comma"/>
      <m:item xlName="_GBC_f96ff7b662c0480aa18309b71c233bef" concept="clcid-pte:YanShengJinRongZiChan" label="衍生金融资产" periodRef="上年期末数" mulRef="_GBC_93410f9f0f51403686d6c566dbb4be50" unitRef="_GBC_03019b8a6970478d9879831b9f35ad89" addr="T0R4C3S1_1" formatStyle="Comma"/>
      <m:placeholder xlName="_PLD_730e85442aef4d2dbbedb7e41f5d610e" addr="T0R5C0S1_1"/>
      <m:item xlName="_GBC_3fff111bb44d458482b18f881a6c0c4a" concept="clcid-ci-ar:FuZhu_YingShouPiaoJu" label="附注_应收票据" addr="T0R5C1S1_1"/>
      <m:item xlName="_GBC_10ab8ca5725e483d99a8bc077ca37cfa" concept="clcid-pte:YingShouPiaoJu" label="应收票据" mulRef="_GBC_93410f9f0f51403686d6c566dbb4be50" unitRef="_GBC_03019b8a6970478d9879831b9f35ad89" addr="T0R5C2S1_1" formatStyle="Comma"/>
      <m:item xlName="_GBC_e1306ae244a54bc1bbb957d82e6c977a" concept="clcid-pte:YingShouPiaoJu" label="应收票据" periodRef="上年期末数" mulRef="_GBC_93410f9f0f51403686d6c566dbb4be50" unitRef="_GBC_03019b8a6970478d9879831b9f35ad89" addr="T0R5C3S1_1" formatStyle="Comma"/>
      <m:placeholder xlName="_PLD_4840ce9a702341d8a8bcaeb1f3e31580" addr="T0R6C0S1_1"/>
      <m:item xlName="_GBC_17a298e658004f1f87367c553f5abbad" concept="clcid-ci-ar:FuZhu_YingShouZhangKuan" label="附注_应收帐款" addr="T0R6C1S1_1"/>
      <m:item xlName="_GBC_f098b4dfa18a4de7b1db8e3a8930a7bd" concept="clcid-pte:YingShouZhangKuan" label="应收帐款" mulRef="_GBC_93410f9f0f51403686d6c566dbb4be50" unitRef="_GBC_03019b8a6970478d9879831b9f35ad89" addr="T0R6C2S1_1" formatStyle="Comma"/>
      <m:item xlName="_GBC_bc660306b309469e9aa26408159d3ce5" concept="clcid-pte:YingShouZhangKuan" label="应收帐款" periodRef="上年期末数" mulRef="_GBC_93410f9f0f51403686d6c566dbb4be50" unitRef="_GBC_03019b8a6970478d9879831b9f35ad89" addr="T0R6C3S1_1" formatStyle="Comma"/>
      <m:placeholder xlName="_PLD_437ba7095bc141328a9a1e02221f345a" addr="T0R7C0S1_1"/>
      <m:item xlName="_GBC_4353a0bf0227440e81e276a22e4927ee" concept="clcid-ci-ar:FuZhu_YingShouKuanXiangRongZi" label="附注_应收款项融资" addr="T0R7C1S1_1"/>
      <m:item xlName="_GBC_c5cc463dc34c4993b1571dcfeea86147" concept="clcid-pte:YingShouKuanXiangRongZi" label="应收款项融资" mulRef="_GBC_93410f9f0f51403686d6c566dbb4be50" unitRef="_GBC_03019b8a6970478d9879831b9f35ad89" addr="T0R7C2S1_1" formatStyle="Comma"/>
      <m:item xlName="_GBC_9814cbd95d42470e8cf661e496b709bc" concept="clcid-pte:YingShouKuanXiangRongZi" label="应收款项融资" periodRef="上年期末数" mulRef="_GBC_93410f9f0f51403686d6c566dbb4be50" unitRef="_GBC_03019b8a6970478d9879831b9f35ad89" addr="T0R7C3S1_1" formatStyle="Comma"/>
      <m:placeholder xlName="_PLD_117fd594bb554978aa1d00ede5bbc1d6" addr="T0R8C0S1_1"/>
      <m:item xlName="_GBC_16ff432abf1f444ea9287aa7a55f6208" concept="clcid-ci-ar:FuZhu_YuFuZhangKuan" label="附注_预付帐款" addr="T0R8C1S1_1"/>
      <m:item xlName="_GBC_99e272dcf7994b21abeccc187129320e" concept="clcid-pte:YuFuZhangKuan" label="预付帐款" mulRef="_GBC_93410f9f0f51403686d6c566dbb4be50" unitRef="_GBC_03019b8a6970478d9879831b9f35ad89" addr="T0R8C2S1_1" formatStyle="Comma"/>
      <m:item xlName="_GBC_72a40a0098ff4f2eb37b04c596b34e8b" concept="clcid-pte:YuFuZhangKuan" label="预付帐款" periodRef="上年期末数" mulRef="_GBC_93410f9f0f51403686d6c566dbb4be50" unitRef="_GBC_03019b8a6970478d9879831b9f35ad89" addr="T0R8C3S1_1" formatStyle="Comma"/>
      <m:placeholder xlName="_PLD_370f0f7a969941d29a8a24a015de6ae5" addr="T0R9C0S1_1"/>
      <m:item xlName="_GBC_660d9c68830449d4a6748fc050a25b92" concept="clcid-ci-ar:FuZhu_QiTaYingShouKuan" label="附注_其他应收款" addr="T0R9C1S1_1"/>
      <m:item xlName="_GBC_3b4305bd146a4674add665c471407ea8" concept="clcid-pte:QiTaYingShouKuan" label="其他应收款" mulRef="_GBC_93410f9f0f51403686d6c566dbb4be50" unitRef="_GBC_03019b8a6970478d9879831b9f35ad89" addr="T0R9C2S1_1" formatStyle="Comma"/>
      <m:item xlName="_GBC_bd347cd78dce419eb130001b30196010" concept="clcid-pte:QiTaYingShouKuan" label="其他应收款" periodRef="上年期末数" mulRef="_GBC_93410f9f0f51403686d6c566dbb4be50" unitRef="_GBC_03019b8a6970478d9879831b9f35ad89" addr="T0R9C3S1_1" formatStyle="Comma"/>
      <m:placeholder xlName="_PLD_047ad47d5c4846088c27c90f03f73892" addr="T0R10C0S1_1"/>
      <m:item xlName="_GBC_2e60489ead734a18960957f197dce2f5" concept="clcid-ci-ar:FuZhu_YingShouLiXi" label="附注_应收利息" addr="T0R10C1S1_1"/>
      <m:item xlName="_GBC_a1c713dd8fc24490ad041e17d7345e95" concept="clcid-pte:YingShouLiXi" label="应收利息" mulRef="_GBC_93410f9f0f51403686d6c566dbb4be50" unitRef="_GBC_03019b8a6970478d9879831b9f35ad89" addr="T0R10C2S1_1" formatStyle="Comma"/>
      <m:item xlName="_GBC_3e37bcf50bcc4afa80e3e55acc092399" concept="clcid-pte:YingShouLiXi" label="应收利息" periodRef="上年期末数" mulRef="_GBC_93410f9f0f51403686d6c566dbb4be50" unitRef="_GBC_03019b8a6970478d9879831b9f35ad89" addr="T0R10C3S1_1" formatStyle="Comma"/>
      <m:placeholder xlName="_PLD_c379780bdab04b7789d29b6b3b0f1ea8" addr="T0R11C0S1_1"/>
      <m:item xlName="_GBC_d434b3d0f7aa427683ccd2be4333a9ac" concept="clcid-ci-ar:FuZhu_YingShouGuLi" label="附注_应收股利" addr="T0R11C1S1_1"/>
      <m:item xlName="_GBC_f6d17e75ce3741d683dfab3766ae7e8e" concept="clcid-pte:YingShouGuLi" label="应收股利" mulRef="_GBC_93410f9f0f51403686d6c566dbb4be50" unitRef="_GBC_03019b8a6970478d9879831b9f35ad89" addr="T0R11C2S1_1" formatStyle="Comma"/>
      <m:item xlName="_GBC_7d5fd92ca5804966a843578212f3e095" concept="clcid-pte:YingShouGuLi" label="应收股利" periodRef="上年期末数" mulRef="_GBC_93410f9f0f51403686d6c566dbb4be50" unitRef="_GBC_03019b8a6970478d9879831b9f35ad89" addr="T0R11C3S1_1" formatStyle="Comma"/>
      <m:placeholder xlName="_PLD_4b506cdaf1c0468bae6bcd5fc04d8b5f" addr="T0R12C0S1_1"/>
      <m:item xlName="_GBC_0029dac80d8f4b88aa2ff392b969ab19" concept="clcid-ci-ar:FuZhu_CunHuo" label="附注_存货" addr="T0R12C1S1_1"/>
      <m:item xlName="_GBC_d740bad1ca274261a4abcfb562d1c330" concept="clcid-pte:CunHuo" label="存货" mulRef="_GBC_93410f9f0f51403686d6c566dbb4be50" unitRef="_GBC_03019b8a6970478d9879831b9f35ad89" addr="T0R12C2S1_1" formatStyle="Comma"/>
      <m:item xlName="_GBC_de592d9599ba4a3eb620dc280db29bbc" concept="clcid-pte:CunHuo" label="存货" periodRef="上年期末数" mulRef="_GBC_93410f9f0f51403686d6c566dbb4be50" unitRef="_GBC_03019b8a6970478d9879831b9f35ad89" addr="T0R12C3S1_1" formatStyle="Comma"/>
      <m:placeholder xlName="_PLD_3625d7c3eec84e15b488d7466ec8bbf2" addr="T0R13C0S1_1"/>
      <m:item xlName="_GBC_7dab647be85d44679cb9b49a700198d7" concept="clcid-ci-ar:FuZhu_HeTongZiChan" label="附注_合同资产" addr="T0R13C1S1_1"/>
      <m:item xlName="_GBC_6b145c574cd44db5a0d5313c28cf7095" concept="clcid-pte:HeTongZiChan" label="合同资产" mulRef="_GBC_93410f9f0f51403686d6c566dbb4be50" unitRef="_GBC_03019b8a6970478d9879831b9f35ad89" addr="T0R13C2S1_1" formatStyle="Comma"/>
      <m:item xlName="_GBC_f62f09ebe2234d5e8f39e1f2b0481a11" concept="clcid-pte:HeTongZiChan" label="合同资产" periodRef="上年期末数" mulRef="_GBC_93410f9f0f51403686d6c566dbb4be50" unitRef="_GBC_03019b8a6970478d9879831b9f35ad89" addr="T0R13C3S1_1" formatStyle="Comma"/>
      <m:placeholder xlName="_PLD_eae39802f33b4f23b59243d9367378e4" addr="T0R14C0S1_1"/>
      <m:item xlName="_GBC_48a3c6f3677e4808b20e80cf562ce9e8" concept="clcid-ci-ar:FuZhuHuaFenWeiChiYouDaiShouDeZiChan" label="附注_划分为持有待售的资产" addr="T0R14C1S1_1"/>
      <m:item xlName="_GBC_a28e610c40804133b555daf12c0bb1b4" concept="clcid-pte:HuaFenWeiChiYouDaiShouDeZiChan" label="划分为持有待售的资产" mulRef="_GBC_93410f9f0f51403686d6c566dbb4be50" unitRef="_GBC_03019b8a6970478d9879831b9f35ad89" addr="T0R14C2S1_1" formatStyle="Comma"/>
      <m:item xlName="_GBC_f116f00b86214a20bf65b6ef246bb690" concept="clcid-pte:HuaFenWeiChiYouDaiShouDeZiChan" label="划分为持有待售的资产" periodRef="上年期末数" mulRef="_GBC_93410f9f0f51403686d6c566dbb4be50" unitRef="_GBC_03019b8a6970478d9879831b9f35ad89" addr="T0R14C3S1_1" formatStyle="Comma"/>
      <m:placeholder xlName="_PLD_6bf51957d1c04743a2b494a3fb4a444a" addr="T0R15C0S1_1"/>
      <m:item xlName="_GBC_bfff563462dd43d3b44d846beb27a7f5" concept="clcid-ci-ar:FuZhu_YiNianNeiDaoQiDeFeiLiuDongZiChan" label="附注_一年内到期的非流动资产" addr="T0R15C1S1_1"/>
      <m:item xlName="_GBC_f44ee470f7d646b293d3f59aa862b85f" concept="clcid-pte:YiNianNeiDaoQiDeFeiLiuDongZiChan" label="一年内到期的非流动资产" mulRef="_GBC_93410f9f0f51403686d6c566dbb4be50" unitRef="_GBC_03019b8a6970478d9879831b9f35ad89" addr="T0R15C2S1_1" formatStyle="Comma"/>
      <m:item xlName="_GBC_15b8913d408240fa8c9ceee871f8a120" concept="clcid-pte:YiNianNeiDaoQiDeFeiLiuDongZiChan" label="一年内到期的非流动资产" periodRef="上年期末数" mulRef="_GBC_93410f9f0f51403686d6c566dbb4be50" unitRef="_GBC_03019b8a6970478d9879831b9f35ad89" addr="T0R15C3S1_1" formatStyle="Comma"/>
      <m:placeholder xlName="_PLD_894b91b39a604c66b255d96562a2b9d0" addr="T0R16C0S1_1"/>
      <m:item xlName="_GBC_5c7986fba9c1429f9e4cf109bc8c0eae" concept="clcid-ci-ar:FuZhu_QiTaLiuDongZiChan" label="附注_其他流动资产" addr="T0R16C1S1_1"/>
      <m:item xlName="_GBC_feb8885b283a4605810066220ee67505" concept="clcid-pte:QiTaLiuDongZiChan" label="其他流动资产" mulRef="_GBC_93410f9f0f51403686d6c566dbb4be50" unitRef="_GBC_03019b8a6970478d9879831b9f35ad89" addr="T0R16C2S1_1" formatStyle="Comma"/>
      <m:item xlName="_GBC_4b400be56b334a2cbb6dc280415d53cd" concept="clcid-pte:QiTaLiuDongZiChan" label="其他流动资产" periodRef="上年期末数" mulRef="_GBC_93410f9f0f51403686d6c566dbb4be50" unitRef="_GBC_03019b8a6970478d9879831b9f35ad89" addr="T0R16C3S1_1" formatStyle="Comma"/>
      <m:placeholder xlName="_PLD_154ec55ee4194ede881f7c7bea33c838" addr="T0R17C0S1_1"/>
      <m:item xlName="_GBC_b1baea6c828c4f569da5aa74a700ab0c" concept="clcid-ci-ar:FuZhu_LiuDongZiChanHeJi" label="附注_流动资产合计" addr="T0R17C1S1_1"/>
      <m:item xlName="_GBC_516d50f45d9f4f0fb1b4538041ad4475" concept="clcid-pte:LiuDongZiChanHeJi" label="流动资产合计" mulRef="_GBC_93410f9f0f51403686d6c566dbb4be50" unitRef="_GBC_03019b8a6970478d9879831b9f35ad89" addr="T0R17C2S1_1" formatStyle="Comma">
        <m:complexRule comparator="Eq" title="流动资产合计" test=" $_GBC_bbcd3bbbdd86484dbe4e90825ffe9bce +  $_GBC_0c6797454c5841a28436be15a2d6eefc +  $_GBC_5201c809b8e44e04b2b1e2ac95443039 +  $_GBC_10ab8ca5725e483d99a8bc077ca37cfa +  $_GBC_f098b4dfa18a4de7b1db8e3a8930a7bd +  $_GBC_c5cc463dc34c4993b1571dcfeea86147 +  $_GBC_99e272dcf7994b21abeccc187129320e +  $_GBC_3b4305bd146a4674add665c471407ea8 +  $_GBC_d740bad1ca274261a4abcfb562d1c330 +  $_GBC_6b145c574cd44db5a0d5313c28cf7095 +  $_GBC_a28e610c40804133b555daf12c0bb1b4 +  $_GBC_f44ee470f7d646b293d3f59aa862b85f +  $_GBC_feb8885b283a4605810066220ee67505" id="Cf44d13bb963b4d369dd16673e3e09b52"/>
      </m:item>
      <m:item xlName="_GBC_50074caf619a40879672e3176a59e6fa" concept="clcid-pte:LiuDongZiChanHeJi" label="流动资产合计" periodRef="上年期末数" mulRef="_GBC_93410f9f0f51403686d6c566dbb4be50" unitRef="_GBC_03019b8a6970478d9879831b9f35ad89" addr="T0R17C3S1_1" formatStyle="Comma">
        <m:complexRule comparator="Eq" title="流动资产合计@上年期末数" test=" $_GBC_f7332f1a5409490f9a2177908d4cae0c +  $_GBC_5ea490aba0b84343ab26285b479fdf4a +  $_GBC_f96ff7b662c0480aa18309b71c233bef +  $_GBC_e1306ae244a54bc1bbb957d82e6c977a +  $_GBC_bc660306b309469e9aa26408159d3ce5 +  $_GBC_9814cbd95d42470e8cf661e496b709bc +  $_GBC_72a40a0098ff4f2eb37b04c596b34e8b +  $_GBC_bd347cd78dce419eb130001b30196010 +  $_GBC_de592d9599ba4a3eb620dc280db29bbc +  $_GBC_f62f09ebe2234d5e8f39e1f2b0481a11 +  $_GBC_f116f00b86214a20bf65b6ef246bb690 +  $_GBC_15b8913d408240fa8c9ceee871f8a120 +  $_GBC_4b400be56b334a2cbb6dc280415d53cd" id="C99747898097249d78dfda1a2118498fc"/>
      </m:item>
      <m:placeholder xlName="_PLD_3e163770d3d54684a90d1dc1f6649873" addr="T0R18C0S1_1"/>
      <m:placeholder xlName="_PLD_8fe69f7e0c214f46a06cdb8f3278db14" addr="T0R19C0S1_1"/>
      <m:item xlName="_GBC_a7ad6ba85e224284ae86b521f90b1dec" concept="clcid-ci-ar:FuZhu_ZhaiQuanTouZi" label="附注_债权投资" addr="T0R19C1S1_1"/>
      <m:item xlName="_GBC_c8e34156f04c4c349d161466b21d6a6a" concept="clcid-pte:ZhaiQuanTouZi" label="债权投资" mulRef="_GBC_93410f9f0f51403686d6c566dbb4be50" unitRef="_GBC_03019b8a6970478d9879831b9f35ad89" addr="T0R19C2S1_1" formatStyle="Comma"/>
      <m:item xlName="_GBC_36f13d491e7e49c5bc0cca8a7d26bf6e" concept="clcid-pte:ZhaiQuanTouZi" label="债权投资" periodRef="上年期末数" mulRef="_GBC_93410f9f0f51403686d6c566dbb4be50" unitRef="_GBC_03019b8a6970478d9879831b9f35ad89" addr="T0R19C3S1_1" formatStyle="Comma"/>
      <m:placeholder xlName="_PLD_69872a2523d54f909ada3ebc7beaeaf2" addr="T0R20C0S1_1"/>
      <m:item xlName="_GBC_eb1a21fcbdef4949a2c5d701393f282f" concept="clcid-ci-ar:FuZhu_QiTaZhaiQuanTouZi" label="附注_其他债权投资" addr="T0R20C1S1_1"/>
      <m:item xlName="_GBC_22882acdf4aa4e5b8a9314713ccc9fdb" concept="clcid-pte:QiTaZhaiQuanTouZi" label="其他债权投资" mulRef="_GBC_93410f9f0f51403686d6c566dbb4be50" unitRef="_GBC_03019b8a6970478d9879831b9f35ad89" addr="T0R20C2S1_1" formatStyle="Comma"/>
      <m:item xlName="_GBC_f4a13160f41648b7a2c0a19ddcd2de61" concept="clcid-pte:QiTaZhaiQuanTouZi" label="其他债权投资" periodRef="上年期末数" mulRef="_GBC_93410f9f0f51403686d6c566dbb4be50" unitRef="_GBC_03019b8a6970478d9879831b9f35ad89" addr="T0R20C3S1_1" formatStyle="Comma"/>
      <m:placeholder xlName="_PLD_e0e7120129044c6dabb5a07c9ed5c4c9" addr="T0R21C0S1_1"/>
      <m:item xlName="_GBC_e81bd1b9269c4e9a8a0a55a289b74cd4" concept="clcid-ci-ar:FuZhu_ChangQiYingShouKuan" label="附注_长期应收款" addr="T0R21C1S1_1"/>
      <m:item xlName="_GBC_103e51eaae524881a1673fee9ead9f85" concept="clcid-pte:ChangQiYingShouKuan" label="长期应收款" mulRef="_GBC_93410f9f0f51403686d6c566dbb4be50" unitRef="_GBC_03019b8a6970478d9879831b9f35ad89" addr="T0R21C2S1_1" formatStyle="Comma"/>
      <m:item xlName="_GBC_6f9f71ce970c41b799a56256118e1a59" concept="clcid-pte:ChangQiYingShouKuan" label="长期应收款" periodRef="上年期末数" mulRef="_GBC_93410f9f0f51403686d6c566dbb4be50" unitRef="_GBC_03019b8a6970478d9879831b9f35ad89" addr="T0R21C3S1_1" formatStyle="Comma"/>
      <m:placeholder xlName="_PLD_e72149c309b34cd38581ff1282b11ab3" addr="T0R22C0S1_1"/>
      <m:item xlName="_GBC_cd864c95308e44c2aa8cbc5a9c7ec2d7" concept="clcid-ci-ar:FuZhu_ChangQiGuQuanTouZi" label="附注_长期股权投资" addr="T0R22C1S1_1"/>
      <m:item xlName="_GBC_1c123ff1753548a1bc108722726063c4" concept="clcid-pte:ChangQiGuQuanTouZi" label="长期股权投资" mulRef="_GBC_93410f9f0f51403686d6c566dbb4be50" unitRef="_GBC_03019b8a6970478d9879831b9f35ad89" addr="T0R22C2S1_1" formatStyle="Comma"/>
      <m:item xlName="_GBC_1039070d835344fb9acf8bb51a9b4b20" concept="clcid-pte:ChangQiGuQuanTouZi" label="长期股权投资" periodRef="上年期末数" mulRef="_GBC_93410f9f0f51403686d6c566dbb4be50" unitRef="_GBC_03019b8a6970478d9879831b9f35ad89" addr="T0R22C3S1_1" formatStyle="Comma"/>
      <m:placeholder xlName="_PLD_61559ead0e0a4fe4813ad5eb44e4c8dd" addr="T0R23C0S1_1"/>
      <m:item xlName="_GBC_5d0c5d9785e446158c6fa3444e6e6362" concept="clcid-ci-ar:FuZhu_QiTaQuanYiGongJuTouZi" label="附注_其他权益工具投资" addr="T0R23C1S1_1"/>
      <m:item xlName="_GBC_8379668b5ee14ef7a442d4d2a8579ec4" concept="clcid-pte:QiTaQuanYiGongJuTouZi" label="其他权益工具投资" mulRef="_GBC_93410f9f0f51403686d6c566dbb4be50" unitRef="_GBC_03019b8a6970478d9879831b9f35ad89" addr="T0R23C2S1_1" formatStyle="Comma"/>
      <m:item xlName="_GBC_f5709095127c4067ba9ac99bb97aa74f" concept="clcid-pte:QiTaQuanYiGongJuTouZi" label="其他权益工具投资" periodRef="上年期末数" mulRef="_GBC_93410f9f0f51403686d6c566dbb4be50" unitRef="_GBC_03019b8a6970478d9879831b9f35ad89" addr="T0R23C3S1_1" formatStyle="Comma"/>
      <m:placeholder xlName="_PLD_aead8e218acd4e709d879cfac2b90fa7" addr="T0R24C0S1_1"/>
      <m:item xlName="_GBC_68c8664839644f15b7be2b2c309c6b20" concept="clcid-ci-ar:FuZhu_QiTaFeiLiuDongJinRongZiChan" label="附注_其他非流动金融资产" addr="T0R24C1S1_1"/>
      <m:item xlName="_GBC_5313bbe4093647f8ae9660e1fd35bf93" concept="clcid-pte:QiTaFeiLiuDongJinRongZiChan" label="其他非流动金融资产" mulRef="_GBC_93410f9f0f51403686d6c566dbb4be50" unitRef="_GBC_03019b8a6970478d9879831b9f35ad89" addr="T0R24C2S1_1" formatStyle="Comma"/>
      <m:item xlName="_GBC_c2b4539617964e79ab0a6093649ce5bd" concept="clcid-pte:QiTaFeiLiuDongJinRongZiChan" label="其他非流动金融资产" periodRef="上年期末数" mulRef="_GBC_93410f9f0f51403686d6c566dbb4be50" unitRef="_GBC_03019b8a6970478d9879831b9f35ad89" addr="T0R24C3S1_1" formatStyle="Comma"/>
      <m:placeholder xlName="_PLD_daeede39cc4846e5a82bf4181e14ffc3" addr="T0R25C0S1_1"/>
      <m:item xlName="_GBC_0ea835db729044afbd303c3af068bd2a" concept="clcid-ci-ar:FuZhu_TouZiXingFangDiChan" label="附注_投资性房地产" addr="T0R25C1S1_1"/>
      <m:item xlName="_GBC_e164b90d5267410495f26b3b6f6cdb1f" concept="clcid-pte:TouZiXingFangDiChan" label="投资性房地产" mulRef="_GBC_93410f9f0f51403686d6c566dbb4be50" unitRef="_GBC_03019b8a6970478d9879831b9f35ad89" addr="T0R25C2S1_1" formatStyle="Comma"/>
      <m:item xlName="_GBC_2751c53ed92243088a91013d385ab568" concept="clcid-pte:TouZiXingFangDiChan" label="投资性房地产" periodRef="上年期末数" mulRef="_GBC_93410f9f0f51403686d6c566dbb4be50" unitRef="_GBC_03019b8a6970478d9879831b9f35ad89" addr="T0R25C3S1_1" formatStyle="Comma"/>
      <m:placeholder xlName="_PLD_b76a2a0330c8400cb7ee73b87bb86540" addr="T0R26C0S1_1"/>
      <m:item xlName="_GBC_2263d4ec500f48e98bb7c6ea4af7a7fb" concept="clcid-ci-ar:FuZhu_GuDingZiChanJingE" label="附注_固定资产净额" addr="T0R26C1S1_1"/>
      <m:item xlName="_GBC_20f7f21852b1438c97fd7f32b76f31c0" concept="clcid-pte:GuDingZiChanJingE" label="固定资产净额" mulRef="_GBC_93410f9f0f51403686d6c566dbb4be50" unitRef="_GBC_03019b8a6970478d9879831b9f35ad89" addr="T0R26C2S1_1" formatStyle="Comma"/>
      <m:item xlName="_GBC_77b700a24d94493f9a59794526620e64" concept="clcid-pte:GuDingZiChanJingE" label="固定资产净额" periodRef="上年期末数" mulRef="_GBC_93410f9f0f51403686d6c566dbb4be50" unitRef="_GBC_03019b8a6970478d9879831b9f35ad89" addr="T0R26C3S1_1" formatStyle="Comma"/>
      <m:placeholder xlName="_PLD_a974ca898a914fb2aa3e3bfad12a8c57" addr="T0R27C0S1_1"/>
      <m:item xlName="_GBC_542a7795bde445d68e53c31d7b83c48c" concept="clcid-ci-ar:FuZhu_ZaiJianGongCheng" label="附注_在建工程" addr="T0R27C1S1_1"/>
      <m:item xlName="_GBC_d662f1fadf114902afc0c6c7867e5f56" concept="clcid-pte:ZaiJianGongCheng" label="在建工程" mulRef="_GBC_93410f9f0f51403686d6c566dbb4be50" unitRef="_GBC_03019b8a6970478d9879831b9f35ad89" addr="T0R27C2S1_1" formatStyle="Comma"/>
      <m:item xlName="_GBC_b8a61e06072944c68e728a0c0008aa1e" concept="clcid-pte:ZaiJianGongCheng" label="在建工程" periodRef="上年期末数" mulRef="_GBC_93410f9f0f51403686d6c566dbb4be50" unitRef="_GBC_03019b8a6970478d9879831b9f35ad89" addr="T0R27C3S1_1" formatStyle="Comma"/>
      <m:placeholder xlName="_PLD_17609f7e0cf04c30a90c562339ab4cd0" addr="T0R28C0S1_1"/>
      <m:item xlName="_GBC_b2568a7250db40cdb41fd678e11256b2" concept="clcid-ci-ar:FuZhu_ShengChanXingShengWuZiChan" label="附注_生产性生物资产" addr="T0R28C1S1_1"/>
      <m:item xlName="_GBC_f2823dabb748427c9efe5d8d19ab2c4a" concept="clcid-pte:ShengChanXingShengWuZiChan" label="生产性生物资产" mulRef="_GBC_93410f9f0f51403686d6c566dbb4be50" unitRef="_GBC_03019b8a6970478d9879831b9f35ad89" addr="T0R28C2S1_1" formatStyle="Comma"/>
      <m:item xlName="_GBC_87a01f1e23514421a14b271573d435d7" concept="clcid-pte:ShengChanXingShengWuZiChan" label="生产性生物资产" periodRef="上年期末数" mulRef="_GBC_93410f9f0f51403686d6c566dbb4be50" unitRef="_GBC_03019b8a6970478d9879831b9f35ad89" addr="T0R28C3S1_1" formatStyle="Comma"/>
      <m:placeholder xlName="_PLD_38c49725962445a78932a6f1c165323a" addr="T0R29C0S1_1"/>
      <m:item xlName="_GBC_0b1dcf34da6e4e32935837618058d234" concept="clcid-ci-ar:FuZhu_YouQiZiChan" label="附注_油气资产" addr="T0R29C1S1_1"/>
      <m:item xlName="_GBC_edb119e295f94a5da1c10e7313811ddf" concept="clcid-pte:YouQiZiChan" label="油气资产" mulRef="_GBC_93410f9f0f51403686d6c566dbb4be50" unitRef="_GBC_03019b8a6970478d9879831b9f35ad89" addr="T0R29C2S1_1" formatStyle="Comma"/>
      <m:item xlName="_GBC_665206a484a04c4294ace21d5dd6f2a0" concept="clcid-pte:YouQiZiChan" label="油气资产" periodRef="上年期末数" mulRef="_GBC_93410f9f0f51403686d6c566dbb4be50" unitRef="_GBC_03019b8a6970478d9879831b9f35ad89" addr="T0R29C3S1_1" formatStyle="Comma"/>
      <m:placeholder xlName="_PLD_be9b3f2ccf404b25af674aaeee6a067b" addr="T0R30C0S1_1"/>
      <m:item xlName="_GBC_1682d18ba6a24e84bdc365680ac8aace" concept="clcid-ci-ar:FuZhu_ShiYongQuanZiChan" label="附注_使用权资产" addr="T0R30C1S1_1"/>
      <m:item xlName="_GBC_797a2ec499424da481a4d5f14ec72136" concept="clcid-pte:ShiYongQuanZiChan" label="使用权资产" mulRef="_GBC_93410f9f0f51403686d6c566dbb4be50" unitRef="_GBC_03019b8a6970478d9879831b9f35ad89" addr="T0R30C2S1_1" formatStyle="Comma"/>
      <m:item xlName="_GBC_14d16eddfd574afa9e095174af851e7d" concept="clcid-pte:ShiYongQuanZiChan" label="使用权资产" periodRef="上年期末数" mulRef="_GBC_93410f9f0f51403686d6c566dbb4be50" unitRef="_GBC_03019b8a6970478d9879831b9f35ad89" addr="T0R30C3S1_1" formatStyle="Comma"/>
      <m:placeholder xlName="_PLD_77d8ed0918404ad4b7c94cc8cafad9f6" addr="T0R31C0S1_1"/>
      <m:item xlName="_GBC_c61ceb3fbacc4e6a91ab4ed10940f4cb" concept="clcid-ci-ar:FuZhu_WuXingZiChan" label="附注_无形资产" addr="T0R31C1S1_1"/>
      <m:item xlName="_GBC_17c860cf769841a1a929b5d459664512" concept="clcid-pte:WuXingZiChan" label="无形资产" mulRef="_GBC_93410f9f0f51403686d6c566dbb4be50" unitRef="_GBC_03019b8a6970478d9879831b9f35ad89" addr="T0R31C2S1_1" formatStyle="Comma"/>
      <m:item xlName="_GBC_696f50e2a49f4b0fb9a02bb27b6cb50b" concept="clcid-pte:WuXingZiChan" label="无形资产" periodRef="上年期末数" mulRef="_GBC_93410f9f0f51403686d6c566dbb4be50" unitRef="_GBC_03019b8a6970478d9879831b9f35ad89" addr="T0R31C3S1_1" formatStyle="Comma"/>
      <m:placeholder xlName="_PLD_13c0359efaa04a1585567a9e23466080" addr="T0R32C0S1_1"/>
      <m:item xlName="_GBC_3a28b3f37a3147ec9359a903acf3e94e" concept="clcid-ci-ar:FuZhu_KaiFaZhiChu" label="附注_开发支出" addr="T0R32C1S1_1"/>
      <m:item xlName="_GBC_02725730b97045f3b58d9c58bba59e0b" concept="clcid-pte:KaiFaZhiChu" label="开发支出" mulRef="_GBC_93410f9f0f51403686d6c566dbb4be50" unitRef="_GBC_03019b8a6970478d9879831b9f35ad89" addr="T0R32C2S1_1" formatStyle="Comma"/>
      <m:item xlName="_GBC_a9b50cf2e4f9473f82bdced6f412fe8a" concept="clcid-pte:KaiFaZhiChu" label="开发支出" periodRef="上年期末数" mulRef="_GBC_93410f9f0f51403686d6c566dbb4be50" unitRef="_GBC_03019b8a6970478d9879831b9f35ad89" addr="T0R32C3S1_1" formatStyle="Comma"/>
      <m:placeholder xlName="_PLD_db23323cc9ba457aa2b1c74f01b651f3" addr="T0R33C0S1_1"/>
      <m:item xlName="_GBC_75d6ac0c7fb54175ba096fcf67671861" concept="clcid-ci-ar:FuZhu_ShangYu" label="附注_商誉" addr="T0R33C1S1_1"/>
      <m:item xlName="_GBC_d7e7dc9dbd164e2eb5380037341d9798" concept="clcid-pte:ShangYu" label="商誉" mulRef="_GBC_93410f9f0f51403686d6c566dbb4be50" unitRef="_GBC_03019b8a6970478d9879831b9f35ad89" addr="T0R33C2S1_1" formatStyle="Comma"/>
      <m:item xlName="_GBC_81ec13eb9cad4bebb7957a3be5fc1e98" concept="clcid-pte:ShangYu" label="商誉" periodRef="上年期末数" mulRef="_GBC_93410f9f0f51403686d6c566dbb4be50" unitRef="_GBC_03019b8a6970478d9879831b9f35ad89" addr="T0R33C3S1_1" formatStyle="Comma"/>
      <m:placeholder xlName="_PLD_84ce19029bf7466cb7414cfdd6421c09" addr="T0R34C0S1_1"/>
      <m:item xlName="_GBC_ce296c86c70e4fa4816e7ebb5e8072bc" concept="clcid-ci-ar:FuZhu_ChangQiDaiTanFeiYong" label="附注_长期待摊费用" addr="T0R34C1S1_1"/>
      <m:item xlName="_GBC_e6c7a46799244b2f8eddac3baaf4cf63" concept="clcid-pte:ChangQiDaiTanFeiYong" label="长期待摊费用" mulRef="_GBC_93410f9f0f51403686d6c566dbb4be50" unitRef="_GBC_03019b8a6970478d9879831b9f35ad89" addr="T0R34C2S1_1" formatStyle="Comma"/>
      <m:item xlName="_GBC_8bee3d31626249efbfa40d27dc713804" concept="clcid-pte:ChangQiDaiTanFeiYong" label="长期待摊费用" periodRef="上年期末数" mulRef="_GBC_93410f9f0f51403686d6c566dbb4be50" unitRef="_GBC_03019b8a6970478d9879831b9f35ad89" addr="T0R34C3S1_1" formatStyle="Comma"/>
      <m:placeholder xlName="_PLD_7b98326170894576892800d3239749e8" addr="T0R35C0S1_1"/>
      <m:item xlName="_GBC_4083249b12fe4882ae55d208ab26eb42" concept="clcid-ci-ar:FuZhu_DiYanShuiKuanJieXiangHeJi" label="附注_递延税款借项合计" addr="T0R35C1S1_1"/>
      <m:item xlName="_GBC_ac751ce8e2c74cdc9d2f0aa95aad6ce9" concept="clcid-pte:DiYanShuiKuanJieXiangHeJi" label="递延税款借项合计" mulRef="_GBC_93410f9f0f51403686d6c566dbb4be50" unitRef="_GBC_03019b8a6970478d9879831b9f35ad89" addr="T0R35C2S1_1" formatStyle="Comma"/>
      <m:item xlName="_GBC_81979a3e18334e69affc08f5004c2056" concept="clcid-pte:DiYanShuiKuanJieXiangHeJi" label="递延税款借项合计" periodRef="上年期末数" mulRef="_GBC_93410f9f0f51403686d6c566dbb4be50" unitRef="_GBC_03019b8a6970478d9879831b9f35ad89" addr="T0R35C3S1_1" formatStyle="Comma"/>
      <m:placeholder xlName="_PLD_115ae0dba1f74ad8bda1ccec43dbe01c" addr="T0R36C0S1_1"/>
      <m:item xlName="_GBC_859d84de315e45858fe9542d1111734c" concept="clcid-ci-ar:FuZhu_QiTaChangQiZiChan" label="附注_其他长期资产" addr="T0R36C1S1_1"/>
      <m:item xlName="_GBC_82ad9de229d04852a02518cf2ada554f" concept="clcid-pte:QiTaChangQiZiChan" label="其他长期资产" mulRef="_GBC_93410f9f0f51403686d6c566dbb4be50" unitRef="_GBC_03019b8a6970478d9879831b9f35ad89" addr="T0R36C2S1_1" formatStyle="Comma"/>
      <m:item xlName="_GBC_6f5f68c50e3a4d7c825674344ffa34a8" concept="clcid-pte:QiTaChangQiZiChan" label="其他长期资产" periodRef="上年期末数" mulRef="_GBC_93410f9f0f51403686d6c566dbb4be50" unitRef="_GBC_03019b8a6970478d9879831b9f35ad89" addr="T0R36C3S1_1" formatStyle="Comma"/>
      <m:placeholder xlName="_PLD_3b07f7b4ca40483f88457b3967eb6ce5" addr="T0R37C0S1_1"/>
      <m:item xlName="_GBC_09b63525c52d490baed74f6141dd52be" concept="clcid-ci-ar:FuZhu_FeiLiuDongZiChanHeJi" label="附注_非流动资产合计" addr="T0R37C1S1_1"/>
      <m:item xlName="_GBC_b37c3c591c1c479ea6554eb7de816862" concept="clcid-pte:FeiLiuDongZiChanHeJi" label="非流动资产合计" mulRef="_GBC_93410f9f0f51403686d6c566dbb4be50" unitRef="_GBC_03019b8a6970478d9879831b9f35ad89" addr="T0R37C2S1_1" formatStyle="Comma">
        <m:complexRule comparator="Eq" title="非流动资产合计" test=" $_GBC_c8e34156f04c4c349d161466b21d6a6a +  $_GBC_22882acdf4aa4e5b8a9314713ccc9fdb +  $_GBC_103e51eaae524881a1673fee9ead9f85 +  $_GBC_1c123ff1753548a1bc108722726063c4 +  $_GBC_8379668b5ee14ef7a442d4d2a8579ec4 +  $_GBC_5313bbe4093647f8ae9660e1fd35bf93 +  $_GBC_e164b90d5267410495f26b3b6f6cdb1f +  $_GBC_20f7f21852b1438c97fd7f32b76f31c0 +  $_GBC_d662f1fadf114902afc0c6c7867e5f56 +  $_GBC_f2823dabb748427c9efe5d8d19ab2c4a +  $_GBC_edb119e295f94a5da1c10e7313811ddf +  $_GBC_797a2ec499424da481a4d5f14ec72136 +  $_GBC_17c860cf769841a1a929b5d459664512 +  $_GBC_02725730b97045f3b58d9c58bba59e0b +  $_GBC_d7e7dc9dbd164e2eb5380037341d9798 +  $_GBC_e6c7a46799244b2f8eddac3baaf4cf63 +  $_GBC_ac751ce8e2c74cdc9d2f0aa95aad6ce9 +  $_GBC_82ad9de229d04852a02518cf2ada554f" id="C83e1410a8b794b4ebb6c2495ed5c8d64"/>
      </m:item>
      <m:item xlName="_GBC_17ece8c63c40483e99ac87ae56207c2a" concept="clcid-pte:FeiLiuDongZiChanHeJi" label="非流动资产合计" periodRef="上年期末数" mulRef="_GBC_93410f9f0f51403686d6c566dbb4be50" unitRef="_GBC_03019b8a6970478d9879831b9f35ad89" addr="T0R37C3S1_1" formatStyle="Comma">
        <m:complexRule comparator="Eq" title="非流动资产合计@上年期末数" test=" $_GBC_36f13d491e7e49c5bc0cca8a7d26bf6e +  $_GBC_f4a13160f41648b7a2c0a19ddcd2de61 +  $_GBC_6f9f71ce970c41b799a56256118e1a59 +  $_GBC_1039070d835344fb9acf8bb51a9b4b20 +  $_GBC_f5709095127c4067ba9ac99bb97aa74f +  $_GBC_c2b4539617964e79ab0a6093649ce5bd +  $_GBC_2751c53ed92243088a91013d385ab568 +  $_GBC_77b700a24d94493f9a59794526620e64 +  $_GBC_b8a61e06072944c68e728a0c0008aa1e +  $_GBC_87a01f1e23514421a14b271573d435d7 +  $_GBC_665206a484a04c4294ace21d5dd6f2a0 +  $_GBC_14d16eddfd574afa9e095174af851e7d +  $_GBC_696f50e2a49f4b0fb9a02bb27b6cb50b +  $_GBC_a9b50cf2e4f9473f82bdced6f412fe8a +  $_GBC_81ec13eb9cad4bebb7957a3be5fc1e98 +  $_GBC_8bee3d31626249efbfa40d27dc713804 +  $_GBC_81979a3e18334e69affc08f5004c2056 +  $_GBC_6f5f68c50e3a4d7c825674344ffa34a8" id="Cd9954683b12e4acca50cc3c9d7133646"/>
      </m:item>
      <m:placeholder xlName="_PLD_26f62e02eb844ec0943afadf2a3636b8" addr="T0R38C0S1_1"/>
      <m:item xlName="_GBC_0d6193a48018492f8151889204693753" concept="clcid-ci-ar:FuZhu_ZiChanZongJi" label="附注_资产总计" addr="T0R38C1S1_1"/>
      <m:item xlName="_GBC_170b7aa3cb724da8a12cb28e8a246274" concept="clcid-pte:ZiChanZongJi" label="资产总计" mulRef="_GBC_93410f9f0f51403686d6c566dbb4be50" unitRef="_GBC_03019b8a6970478d9879831b9f35ad89" addr="T0R38C2S1_1" formatStyle="Comma">
        <m:complexRule comparator="Eq" test=" $_GBC_516d50f45d9f4f0fb1b4538041ad4475 +  $_GBC_b37c3c591c1c479ea6554eb7de816862" id="Cdd651ef619054949aea6c851bf66dcad"/>
        <m:complexRule comparator="Eq" test=" $_GBC_ea8b08e8586b40399581c75eeb61452e" id="Cf5b1d0021f0c42da9bc551994d28f192"/>
      </m:item>
      <m:item xlName="_GBC_6d4edbc8fba4414ab0501f9e1c76a925" concept="clcid-pte:ZiChanZongJi" label="资产总计" periodRef="上年期末数" mulRef="_GBC_93410f9f0f51403686d6c566dbb4be50" unitRef="_GBC_03019b8a6970478d9879831b9f35ad89" addr="T0R38C3S1_1" formatStyle="Comma">
        <m:complexRule comparator="Eq" test=" $_GBC_50074caf619a40879672e3176a59e6fa +  $_GBC_17ece8c63c40483e99ac87ae56207c2a" id="Ce7e4f94494324bf3859a45d34a559718"/>
        <m:complexRule comparator="Eq" test=" $_GBC_978683121f774b28a31b0c5bfd5ff0d5" id="C12235d9c8d1048e4adbf164d5fd744a0"/>
      </m:item>
      <m:placeholder xlName="_PLD_a7ae1e3ddc6640b39cf5364848c34a1d" addr="T0R39C0S1_1"/>
      <m:placeholder xlName="_PLD_245a775d2713410c870d5bdbf2e7cceb" addr="T0R40C0S1_1"/>
      <m:item xlName="_GBC_38d72362293b4a589a9ec5b6bc059245" concept="clcid-ci-ar:FuZhu_DuanQiJieKuan" label="附注_短期借款" addr="T0R40C1S1_1"/>
      <m:item xlName="_GBC_67fa7fb66a394fbd9a181f2b8eb9cb93" concept="clcid-pte:DuanQiJieKuan" label="短期借款" mulRef="_GBC_93410f9f0f51403686d6c566dbb4be50" unitRef="_GBC_03019b8a6970478d9879831b9f35ad89" addr="T0R40C2S1_1" formatStyle="Comma"/>
      <m:item xlName="_GBC_e5ed73d4cfd8444f9baff57ee10c0457" concept="clcid-pte:DuanQiJieKuan" label="短期借款" periodRef="上年期末数" mulRef="_GBC_93410f9f0f51403686d6c566dbb4be50" unitRef="_GBC_03019b8a6970478d9879831b9f35ad89" addr="T0R40C3S1_1" formatStyle="Comma"/>
      <m:placeholder xlName="_PLD_d308ad10357344f5ac83886075651837" addr="T0R41C0S1_1"/>
      <m:item xlName="_GBC_d1099f268da9440689fe96b8f4a2eb24" concept="clcid-ci-ar:FuZhu_JiaoYiXingJinRongFuZhai" label="附注_交易性金融负债" addr="T0R41C1S1_1"/>
      <m:item xlName="_GBC_15070a24fc75433382231ff8205815ae" concept="clcid-pte:JiaoYiXingJinRongFuZhai" label="交易性金融负债" mulRef="_GBC_93410f9f0f51403686d6c566dbb4be50" unitRef="_GBC_03019b8a6970478d9879831b9f35ad89" addr="T0R41C2S1_1" formatStyle="Comma"/>
      <m:item xlName="_GBC_7035067dc8234f029a5a88c7954305a5" concept="clcid-pte:JiaoYiXingJinRongFuZhai" label="交易性金融负债" periodRef="上年期末数" mulRef="_GBC_93410f9f0f51403686d6c566dbb4be50" unitRef="_GBC_03019b8a6970478d9879831b9f35ad89" addr="T0R41C3S1_1" formatStyle="Comma"/>
      <m:placeholder xlName="_PLD_a8e9d38f48d14370b433a1928705b198" addr="T0R42C0S1_1"/>
      <m:item xlName="_GBC_28d148d54a504586be4e34b89a695dd4" concept="clcid-ci-ar:FuZhuYanShengJinRongFuZhai" label="附注_衍生金融负债" addr="T0R42C1S1_1"/>
      <m:item xlName="_GBC_da976cbdec354debada56d9df5f45d9d" concept="clcid-pte:YanShengJinRongFuZhai" label="衍生金融负债" mulRef="_GBC_93410f9f0f51403686d6c566dbb4be50" unitRef="_GBC_03019b8a6970478d9879831b9f35ad89" addr="T0R42C2S1_1" formatStyle="Comma"/>
      <m:item xlName="_GBC_6337f7a1919c475f9a1daa4a3a8b9f8e" concept="clcid-pte:YanShengJinRongFuZhai" label="衍生金融负债" periodRef="上年期末数" mulRef="_GBC_93410f9f0f51403686d6c566dbb4be50" unitRef="_GBC_03019b8a6970478d9879831b9f35ad89" addr="T0R42C3S1_1" formatStyle="Comma"/>
      <m:placeholder xlName="_PLD_eacb1247f8c2472da2d5baaf7483f788" addr="T0R43C0S1_1"/>
      <m:item xlName="_GBC_a86ec3a3734e464f957d3fd5e4443451" concept="clcid-ci-ar:FuZhu_YingFuPiaoJu" label="附注_应付票据" addr="T0R43C1S1_1"/>
      <m:item xlName="_GBC_5defbfd470c241b1b02e39b93941afeb" concept="clcid-pte:YingFuPiaoJu" label="应付票据" mulRef="_GBC_93410f9f0f51403686d6c566dbb4be50" unitRef="_GBC_03019b8a6970478d9879831b9f35ad89" addr="T0R43C2S1_1" formatStyle="Comma"/>
      <m:item xlName="_GBC_5c309c9839a54a60a63842fe35cc7713" concept="clcid-pte:YingFuPiaoJu" label="应付票据" periodRef="上年期末数" mulRef="_GBC_93410f9f0f51403686d6c566dbb4be50" unitRef="_GBC_03019b8a6970478d9879831b9f35ad89" addr="T0R43C3S1_1" formatStyle="Comma"/>
      <m:placeholder xlName="_PLD_9d9a4f7bd62d4728872e76c3b2d70732" addr="T0R44C0S1_1"/>
      <m:item xlName="_GBC_f4e3bdc5ef99463495340292ac914786" concept="clcid-ci-ar:FuZhu_YingFuZhangKuan" label="附注_应付帐款" addr="T0R44C1S1_1"/>
      <m:item xlName="_GBC_d1190e72629f496594d4449eeb66a585" concept="clcid-pte:YingFuZhangKuan" label="应付帐款" mulRef="_GBC_93410f9f0f51403686d6c566dbb4be50" unitRef="_GBC_03019b8a6970478d9879831b9f35ad89" addr="T0R44C2S1_1" formatStyle="Comma"/>
      <m:item xlName="_GBC_a12e0d5766cf44fc9abb687c4c03a061" concept="clcid-pte:YingFuZhangKuan" label="应付帐款" periodRef="上年期末数" mulRef="_GBC_93410f9f0f51403686d6c566dbb4be50" unitRef="_GBC_03019b8a6970478d9879831b9f35ad89" addr="T0R44C3S1_1" formatStyle="Comma"/>
      <m:placeholder xlName="_PLD_50a11ec01b8a40c19678b3c7dc9b89ab" addr="T0R45C0S1_1"/>
      <m:item xlName="_GBC_bae89ab0735047959b028f77faf2bc05" concept="clcid-ci-ar:FuZhu_YuShouZhangKuan" label="附注_预收帐款" addr="T0R45C1S1_1"/>
      <m:item xlName="_GBC_ddcb192046b84718b96aaf659b1ebb47" concept="clcid-pte:YuShouZhangKuan" label="预收帐款" mulRef="_GBC_93410f9f0f51403686d6c566dbb4be50" unitRef="_GBC_03019b8a6970478d9879831b9f35ad89" addr="T0R45C2S1_1" formatStyle="Comma"/>
      <m:item xlName="_GBC_606d9d9574214624a66db06f5fc58ae6" concept="clcid-pte:YuShouZhangKuan" label="预收帐款" periodRef="上年期末数" mulRef="_GBC_93410f9f0f51403686d6c566dbb4be50" unitRef="_GBC_03019b8a6970478d9879831b9f35ad89" addr="T0R45C3S1_1" formatStyle="Comma"/>
      <m:placeholder xlName="_PLD_b5b3e56f66d647269a03b878b0ffae60" addr="T0R46C0S1_1"/>
      <m:item xlName="_GBC_ba66c688619144bd8c3d7f29cf1332ed" concept="clcid-ci-ar:FuZhu_HeTongFuZhai" label="附注_合同负债" addr="T0R46C1S1_1"/>
      <m:item xlName="_GBC_a2ca8f46be52411084a8bc9038a74088" concept="clcid-pte:HeTongFuZhai" label="合同负债" mulRef="_GBC_93410f9f0f51403686d6c566dbb4be50" unitRef="_GBC_03019b8a6970478d9879831b9f35ad89" addr="T0R46C2S1_1" formatStyle="Comma"/>
      <m:item xlName="_GBC_a93e56de394b404aab1b6aded107bef1" concept="clcid-pte:HeTongFuZhai" label="合同负债" periodRef="上年期末数" mulRef="_GBC_93410f9f0f51403686d6c566dbb4be50" unitRef="_GBC_03019b8a6970478d9879831b9f35ad89" addr="T0R46C3S1_1" formatStyle="Comma"/>
      <m:placeholder xlName="_PLD_cfb20863651e4684b300f9298f4d2d0d" addr="T0R47C0S1_1"/>
      <m:item xlName="_GBC_777f7a4697834b94a58f73f931eff0fa" concept="clcid-ci-ar:FuZhu_YingFuZhiGongXinChou" label="附注_应付职工薪酬" addr="T0R47C1S1_1"/>
      <m:item xlName="_GBC_3a15be5aca454b4c9737a571b20950fc" concept="clcid-pte:YingFuZhiGongXinChou" label="应付职工薪酬" mulRef="_GBC_93410f9f0f51403686d6c566dbb4be50" unitRef="_GBC_03019b8a6970478d9879831b9f35ad89" addr="T0R47C2S1_1" formatStyle="Comma"/>
      <m:item xlName="_GBC_03fb34a2a3b2468e85e79cc3bf1961c6" concept="clcid-pte:YingFuZhiGongXinChou" label="应付职工薪酬" periodRef="上年期末数" mulRef="_GBC_93410f9f0f51403686d6c566dbb4be50" unitRef="_GBC_03019b8a6970478d9879831b9f35ad89" addr="T0R47C3S1_1" formatStyle="Comma"/>
      <m:placeholder xlName="_PLD_965b9e533de542d8b970ceb985db2a13" addr="T0R48C0S1_1"/>
      <m:item xlName="_GBC_3e13f7beeef14e8583a4ebc06e6fd4ed" concept="clcid-ci-ar:FuZhu_YingJiaoShuiJin" label="附注_应交税金" addr="T0R48C1S1_1"/>
      <m:item xlName="_GBC_187a3cb72c914b32b12681313b0a6b7f" concept="clcid-pte:YingJiaoShuiJin" label="应交税金" mulRef="_GBC_93410f9f0f51403686d6c566dbb4be50" unitRef="_GBC_03019b8a6970478d9879831b9f35ad89" addr="T0R48C2S1_1" formatStyle="Comma"/>
      <m:item xlName="_GBC_b82315a5387946ea83ce0598efb1f9c4" concept="clcid-pte:YingJiaoShuiJin" label="应交税金" periodRef="上年期末数" mulRef="_GBC_93410f9f0f51403686d6c566dbb4be50" unitRef="_GBC_03019b8a6970478d9879831b9f35ad89" addr="T0R48C3S1_1" formatStyle="Comma"/>
      <m:placeholder xlName="_PLD_4f134431101648d1bd47ae0a416c3243" addr="T0R49C0S1_1"/>
      <m:item xlName="_GBC_a0c2a13ecad4473f88dad7051a6e79db" concept="clcid-ci-ar:FuZhu_QiTaYingFuKuan" label="附注_其他应付款" addr="T0R49C1S1_1"/>
      <m:item xlName="_GBC_e7fb45ca78e24b8aad5a89f7f36286f4" concept="clcid-pte:QiTaYingFuKuan" label="其他应付款" mulRef="_GBC_93410f9f0f51403686d6c566dbb4be50" unitRef="_GBC_03019b8a6970478d9879831b9f35ad89" addr="T0R49C2S1_1" formatStyle="Comma"/>
      <m:item xlName="_GBC_2cee6af94744450ebd94bd8099dcf48b" concept="clcid-pte:QiTaYingFuKuan" label="其他应付款" periodRef="上年期末数" mulRef="_GBC_93410f9f0f51403686d6c566dbb4be50" unitRef="_GBC_03019b8a6970478d9879831b9f35ad89" addr="T0R49C3S1_1" formatStyle="Comma"/>
      <m:placeholder xlName="_PLD_4be8fe72123d400986e7555284a5187e" addr="T0R50C0S1_1"/>
      <m:item xlName="_GBC_af184315d16640a49785c5627475c463" concept="clcid-ci-ar:FuZhu_YingFuLiXi" label="附注_应付利息" addr="T0R50C1S1_1"/>
      <m:item xlName="_GBC_dc36c32ce6fd4a99b681de8d6255ccc4" concept="clcid-pte:YingFuLiXi" label="应付利息" mulRef="_GBC_93410f9f0f51403686d6c566dbb4be50" unitRef="_GBC_03019b8a6970478d9879831b9f35ad89" addr="T0R50C2S1_1" formatStyle="Comma"/>
      <m:item xlName="_GBC_a9ad7062e2d14a47a1a0180a348de499" concept="clcid-pte:YingFuLiXi" label="应付利息" periodRef="上年期末数" mulRef="_GBC_93410f9f0f51403686d6c566dbb4be50" unitRef="_GBC_03019b8a6970478d9879831b9f35ad89" addr="T0R50C3S1_1" formatStyle="Comma"/>
      <m:placeholder xlName="_PLD_4efa6d7c804e4dd58ba5ad94c40564ca" addr="T0R51C0S1_1"/>
      <m:item xlName="_GBC_0e4331414c15472088bce75f106a008a" concept="clcid-ci-ar:FuZhu_YingFuGuLi" label="附注_应付股利" addr="T0R51C1S1_1"/>
      <m:item xlName="_GBC_0274c37a27c64c3986b16df0ca33ac56" concept="clcid-pte:YingFuGuLi" label="应付股利" mulRef="_GBC_93410f9f0f51403686d6c566dbb4be50" unitRef="_GBC_03019b8a6970478d9879831b9f35ad89" addr="T0R51C2S1_1" formatStyle="Comma"/>
      <m:item xlName="_GBC_73ffa7fa9ab949438a01546b422b25a4" concept="clcid-pte:YingFuGuLi" label="应付股利" periodRef="上年期末数" mulRef="_GBC_93410f9f0f51403686d6c566dbb4be50" unitRef="_GBC_03019b8a6970478d9879831b9f35ad89" addr="T0R51C3S1_1" formatStyle="Comma"/>
      <m:placeholder xlName="_PLD_17049e5b36dc41bdb5a2f878020b211c" addr="T0R52C0S1_1"/>
      <m:item xlName="_GBC_a27976db8c1e4b639da54639e76f9602" concept="clcid-ci-ar:FuZhuHuaFenWeiChiYouDaiShouDeFuZhai" label="附注_划分为持有待售的负债" addr="T0R52C1S1_1"/>
      <m:item xlName="_GBC_595264e7123b4c06b502e137e598e6ac" concept="clcid-pte:HuaFenWeiChiYouDaiShouDeFuZhai" label="划分为持有待售的负债" mulRef="_GBC_93410f9f0f51403686d6c566dbb4be50" unitRef="_GBC_03019b8a6970478d9879831b9f35ad89" addr="T0R52C2S1_1" formatStyle="Comma"/>
      <m:item xlName="_GBC_4c176d67a6a84b65bd50e14d00d9f529" concept="clcid-pte:HuaFenWeiChiYouDaiShouDeFuZhai" label="划分为持有待售的负债" periodRef="上年期末数" mulRef="_GBC_93410f9f0f51403686d6c566dbb4be50" unitRef="_GBC_03019b8a6970478d9879831b9f35ad89" addr="T0R52C3S1_1" formatStyle="Comma"/>
      <m:placeholder xlName="_PLD_cc44a8eca8e645eeb0abe3f680b3ebbe" addr="T0R53C0S1_1"/>
      <m:item xlName="_GBC_bd7d713218714625826df3d5a3bcfca8" concept="clcid-ci-ar:FuZhu_YiNianNeiDaoQiDeChangQiFuZhai" label="附注_一年内到期的长期负债" addr="T0R53C1S1_1"/>
      <m:item xlName="_GBC_5393745a21b14fc0a0333d24d8947136" concept="clcid-pte:YiNianNeiDaoQiDeChangQiFuZhai" label="一年内到期的长期负债" mulRef="_GBC_93410f9f0f51403686d6c566dbb4be50" unitRef="_GBC_03019b8a6970478d9879831b9f35ad89" addr="T0R53C2S1_1" formatStyle="Comma"/>
      <m:item xlName="_GBC_564b81bfd7d143fba9d20477f26c39a1" concept="clcid-pte:YiNianNeiDaoQiDeChangQiFuZhai" label="一年内到期的长期负债" periodRef="上年期末数" mulRef="_GBC_93410f9f0f51403686d6c566dbb4be50" unitRef="_GBC_03019b8a6970478d9879831b9f35ad89" addr="T0R53C3S1_1" formatStyle="Comma"/>
      <m:placeholder xlName="_PLD_0b2a393d4ec640b3b30af0ad5e01a375" addr="T0R54C0S1_1"/>
      <m:item xlName="_GBC_98f82388b9f644489c873efa6e964b1b" concept="clcid-ci-ar:FuZhu_QiTaLiuDongFuZhai" label="附注_其他流动负债" addr="T0R54C1S1_1"/>
      <m:item xlName="_GBC_1a693973ad124d688380af4b148c6fdb" concept="clcid-pte:QiTaLiuDongFuZhai" label="其他流动负债" mulRef="_GBC_93410f9f0f51403686d6c566dbb4be50" unitRef="_GBC_03019b8a6970478d9879831b9f35ad89" addr="T0R54C2S1_1" formatStyle="Comma"/>
      <m:item xlName="_GBC_43fd79ed4a7445cf9346e51166f16382" concept="clcid-pte:QiTaLiuDongFuZhai" label="其他流动负债" periodRef="上年期末数" mulRef="_GBC_93410f9f0f51403686d6c566dbb4be50" unitRef="_GBC_03019b8a6970478d9879831b9f35ad89" addr="T0R54C3S1_1" formatStyle="Comma"/>
      <m:placeholder xlName="_PLD_97f7087256d645e09747ad768b53c901" addr="T0R55C0S1_1"/>
      <m:item xlName="_GBC_d63c300fd5244f6e8725a9d35673a742" concept="clcid-ci-ar:FuZhu_LiuDongFuZhaiHeJi" label="附注_流动负债合计" addr="T0R55C1S1_1"/>
      <m:item xlName="_GBC_97d3142046a7430cafcf3d85156be4b8" concept="clcid-pte:LiuDongFuZhaiHeJi" label="流动负债合计" mulRef="_GBC_93410f9f0f51403686d6c566dbb4be50" unitRef="_GBC_03019b8a6970478d9879831b9f35ad89" addr="T0R55C2S1_1" formatStyle="Comma">
        <m:complexRule comparator="Eq" title="流动负债合计" test=" $_GBC_67fa7fb66a394fbd9a181f2b8eb9cb93 +  $_GBC_15070a24fc75433382231ff8205815ae +  $_GBC_da976cbdec354debada56d9df5f45d9d +  $_GBC_5defbfd470c241b1b02e39b93941afeb +  $_GBC_d1190e72629f496594d4449eeb66a585 +  $_GBC_ddcb192046b84718b96aaf659b1ebb47 +  $_GBC_a2ca8f46be52411084a8bc9038a74088 +  $_GBC_3a15be5aca454b4c9737a571b20950fc +  $_GBC_187a3cb72c914b32b12681313b0a6b7f +  $_GBC_e7fb45ca78e24b8aad5a89f7f36286f4 +  $_GBC_595264e7123b4c06b502e137e598e6ac +  $_GBC_5393745a21b14fc0a0333d24d8947136 +  $_GBC_1a693973ad124d688380af4b148c6fdb" id="C8d011e3a06d54141a09a16d01463380d"/>
      </m:item>
      <m:item xlName="_GBC_8061d9fe1b014b249c69519ba740ec72" concept="clcid-pte:LiuDongFuZhaiHeJi" label="流动负债合计" periodRef="上年期末数" mulRef="_GBC_93410f9f0f51403686d6c566dbb4be50" unitRef="_GBC_03019b8a6970478d9879831b9f35ad89" addr="T0R55C3S1_1" formatStyle="Comma">
        <m:complexRule comparator="Eq" title="流动负债合计@上年期末数" test=" $_GBC_e5ed73d4cfd8444f9baff57ee10c0457 +  $_GBC_7035067dc8234f029a5a88c7954305a5 +  $_GBC_6337f7a1919c475f9a1daa4a3a8b9f8e +  $_GBC_5c309c9839a54a60a63842fe35cc7713 +  $_GBC_a12e0d5766cf44fc9abb687c4c03a061 +  $_GBC_606d9d9574214624a66db06f5fc58ae6 +  $_GBC_a93e56de394b404aab1b6aded107bef1 +  $_GBC_03fb34a2a3b2468e85e79cc3bf1961c6 +  $_GBC_b82315a5387946ea83ce0598efb1f9c4 +  $_GBC_2cee6af94744450ebd94bd8099dcf48b +  $_GBC_4c176d67a6a84b65bd50e14d00d9f529 +  $_GBC_564b81bfd7d143fba9d20477f26c39a1 +  $_GBC_43fd79ed4a7445cf9346e51166f16382" id="C83c0c66672644a7bb9c5699323c83f6f"/>
      </m:item>
      <m:placeholder xlName="_PLD_49d0c3a322474260b38240800906e014" addr="T0R56C0S1_1"/>
      <m:placeholder xlName="_PLD_51960b4f6a6f4b80ae2a2e3cbef567b1" addr="T0R57C0S1_1"/>
      <m:item xlName="_GBC_c0781a35a1184a16944b3f726b805621" concept="clcid-ci-ar:FuZhu_ChangQiJieKuan" label="附注_长期借款" addr="T0R57C1S1_1"/>
      <m:item xlName="_GBC_d71b6041cd7a434ca7f817824e7bf426" concept="clcid-pte:ChangQiJieKuan" label="长期借款" mulRef="_GBC_93410f9f0f51403686d6c566dbb4be50" unitRef="_GBC_03019b8a6970478d9879831b9f35ad89" addr="T0R57C2S1_1" formatStyle="Comma"/>
      <m:item xlName="_GBC_466f6e6c61e048d6a685ac64e839c209" concept="clcid-pte:ChangQiJieKuan" label="长期借款" periodRef="上年期末数" mulRef="_GBC_93410f9f0f51403686d6c566dbb4be50" unitRef="_GBC_03019b8a6970478d9879831b9f35ad89" addr="T0R57C3S1_1" formatStyle="Comma"/>
      <m:placeholder xlName="_PLD_7f1f145b6a89485ca211fe62d66d2981" addr="T0R58C0S1_1"/>
      <m:item xlName="_GBC_643986bc80d24b01aafa8bda198d88c6" concept="clcid-ci-ar:FuZhu_YingFuZhaiQuan" label="附注_应付债券" addr="T0R58C1S1_1"/>
      <m:item xlName="_GBC_f588f5a70e4243b2bfecc4fce14f69aa" concept="clcid-pte:YingFuZhaiQuan" label="应付债券" mulRef="_GBC_93410f9f0f51403686d6c566dbb4be50" unitRef="_GBC_03019b8a6970478d9879831b9f35ad89" addr="T0R58C2S1_1" formatStyle="Comma"/>
      <m:item xlName="_GBC_4d22f658754a408e82f985127f824daa" concept="clcid-pte:YingFuZhaiQuan" label="应付债券" periodRef="上年期末数" mulRef="_GBC_93410f9f0f51403686d6c566dbb4be50" unitRef="_GBC_03019b8a6970478d9879831b9f35ad89" addr="T0R58C3S1_1" formatStyle="Comma"/>
      <m:placeholder xlName="_PLD_c579cf57fa08459a86b423a4c41d29f1" addr="T0R59C0S1_1"/>
      <m:item xlName="_GBC_a0b45f1a1e5e4d71bf634aca7f441476" concept="clcid-ci-ar:FuZhuQiZhongYouXianGu" label="附注_其中：优先股" addr="T0R59C1S1_1"/>
      <m:item xlName="_GBC_2ee48c03548c42d281394f7c1840a2d8" concept="clcid-pte:QiZhongYouXianGu" label="其中：优先股" mulRef="_GBC_93410f9f0f51403686d6c566dbb4be50" unitRef="_GBC_03019b8a6970478d9879831b9f35ad89" addr="T0R59C2S1_1" formatStyle="Comma"/>
      <m:item xlName="_GBC_afeaa01a2bd546289ada5f03b72dde50" concept="clcid-pte:QiZhongYouXianGu" label="其中：优先股" periodRef="上年期末数" mulRef="_GBC_93410f9f0f51403686d6c566dbb4be50" unitRef="_GBC_03019b8a6970478d9879831b9f35ad89" addr="T0R59C3S1_1" formatStyle="Comma"/>
      <m:placeholder xlName="_PLD_97eef335caaf4f6280b8fe560f552114" addr="T0R60C0S1_1"/>
      <m:item xlName="_GBC_01e886f0d4d446929c926c01bb0e50f6" concept="clcid-ci-ar:FuZhuYongXuZhai" label="附注_永续债" addr="T0R60C1S1_1"/>
      <m:item xlName="_GBC_d6f2d558913d4d998ac0b0a6875fdea4" concept="clcid-pte:YongXuZhai" label="永续债" mulRef="_GBC_93410f9f0f51403686d6c566dbb4be50" unitRef="_GBC_03019b8a6970478d9879831b9f35ad89" addr="T0R60C2S1_1" formatStyle="Comma"/>
      <m:item xlName="_GBC_4aff5ce8bc8d40cfaa51da934b0201d1" concept="clcid-pte:YongXuZhai" label="永续债" periodRef="上年期末数" mulRef="_GBC_93410f9f0f51403686d6c566dbb4be50" unitRef="_GBC_03019b8a6970478d9879831b9f35ad89" addr="T0R60C3S1_1" formatStyle="Comma"/>
      <m:placeholder xlName="_PLD_41ab8199dac646ffb977a5d042e830f0" addr="T0R61C0S1_1"/>
      <m:item xlName="_GBC_6de8fb848adc40a79396dac5a1b1a4a6" concept="clcid-ci-ar:FuZhu_ZuLinFuZhai" label="附注_租赁负债" addr="T0R61C1S1_1"/>
      <m:item xlName="_GBC_22d1b9e25fd5491abb8bfae6269fe7a8" concept="clcid-pte:ZuLinFuZhai" label="租赁负债" mulRef="_GBC_93410f9f0f51403686d6c566dbb4be50" unitRef="_GBC_03019b8a6970478d9879831b9f35ad89" addr="T0R61C2S1_1" formatStyle="Comma"/>
      <m:item xlName="_GBC_3370ac46bc9748a5828c4f5f8f05be9b" concept="clcid-pte:ZuLinFuZhai" label="租赁负债" periodRef="上年期末数" mulRef="_GBC_93410f9f0f51403686d6c566dbb4be50" unitRef="_GBC_03019b8a6970478d9879831b9f35ad89" addr="T0R61C3S1_1" formatStyle="Comma"/>
      <m:placeholder xlName="_PLD_dac9c0c0507644bb986a71db7e16442e" addr="T0R62C0S1_1"/>
      <m:item xlName="_GBC_123aa4c379164bd38697484922cff823" concept="clcid-ci-ar:FuZhu_ChangQiYingFuKuan" label="附注_长期应付款" addr="T0R62C1S1_1"/>
      <m:item xlName="_GBC_8481a76a6d074ae680dba2d7ef9662c8" concept="clcid-pte:ChangQiYingFuKuan" label="长期应付款" mulRef="_GBC_93410f9f0f51403686d6c566dbb4be50" unitRef="_GBC_03019b8a6970478d9879831b9f35ad89" addr="T0R62C2S1_1" formatStyle="Comma"/>
      <m:item xlName="_GBC_f383dae3c9c74830a3e957afd8cfb8ef" concept="clcid-pte:ChangQiYingFuKuan" label="长期应付款" periodRef="上年期末数" mulRef="_GBC_93410f9f0f51403686d6c566dbb4be50" unitRef="_GBC_03019b8a6970478d9879831b9f35ad89" addr="T0R62C3S1_1" formatStyle="Comma"/>
      <m:placeholder xlName="_PLD_7ca3d691c4bb445d987b435cc923498d" addr="T0R63C0S1_1"/>
      <m:item xlName="_GBC_efc27220a7364141b8c6eb6b73ab91d2" concept="clcid-ci-ar:FuZhu_ChangQiYingFuZhiGongXinChou" label="附注_长期应付职工薪酬" addr="T0R63C1S1_1"/>
      <m:item xlName="_GBC_69b00437e61143fcbb48120b129a982a" concept="clcid-pte:ChangQiYingFuZhiGongXinChou" label="长期应付职工薪酬" mulRef="_GBC_93410f9f0f51403686d6c566dbb4be50" unitRef="_GBC_03019b8a6970478d9879831b9f35ad89" addr="T0R63C2S1_1" formatStyle="Comma"/>
      <m:item xlName="_GBC_8301e99e48f04986a3d5fae91fcd8540" concept="clcid-pte:ChangQiYingFuZhiGongXinChou" label="长期应付职工薪酬" periodRef="上年期末数" mulRef="_GBC_93410f9f0f51403686d6c566dbb4be50" unitRef="_GBC_03019b8a6970478d9879831b9f35ad89" addr="T0R63C3S1_1" formatStyle="Comma"/>
      <m:placeholder xlName="_PLD_5ef03772c31044a0ae66979c92546498" addr="T0R64C0S1_1"/>
      <m:item xlName="_GBC_ded34a3fee3c4e9e9ce388bf776d5e1f" concept="clcid-ci-ar:FuZhu_YuJiFuZhai" label="附注_预计负债" addr="T0R64C1S1_1"/>
      <m:item xlName="_GBC_16981749120d49fa884c31c2d71a610b" concept="clcid-pte:YuJiFuZhai" label="预计负债" mulRef="_GBC_93410f9f0f51403686d6c566dbb4be50" unitRef="_GBC_03019b8a6970478d9879831b9f35ad89" addr="T0R64C2S1_1" formatStyle="Comma"/>
      <m:item xlName="_GBC_0926d609da0f4090895107c04c49aaaa" concept="clcid-pte:YuJiFuZhai" label="预计负债" periodRef="上年期末数" mulRef="_GBC_93410f9f0f51403686d6c566dbb4be50" unitRef="_GBC_03019b8a6970478d9879831b9f35ad89" addr="T0R64C3S1_1" formatStyle="Comma"/>
      <m:placeholder xlName="_PLD_bc55ecc9f2e94e21a4479f854daab3d1" addr="T0R65C0S1_1"/>
      <m:item xlName="_GBC_476bdf6abc2740229657f8f9a1c8d30e" concept="clcid-ci-ar:FuZhuDiYanShouYi" label="附注_递延收益" addr="T0R65C1S1_1" formatStyle="Comma"/>
      <m:item xlName="_GBC_2788ef7125b945738a9f187ce60e1394" concept="clcid-pte:DiYanShouYi" label="递延收益" mulRef="_GBC_93410f9f0f51403686d6c566dbb4be50" unitRef="_GBC_03019b8a6970478d9879831b9f35ad89" addr="T0R65C2S1_1" formatStyle="Comma"/>
      <m:item xlName="_GBC_cfca2aa0411a40dda8878ff828fa9f29" concept="clcid-pte:DiYanShouYi" label="递延收益" periodRef="上年期末数" mulRef="_GBC_93410f9f0f51403686d6c566dbb4be50" unitRef="_GBC_03019b8a6970478d9879831b9f35ad89" addr="T0R65C3S1_1" formatStyle="Comma"/>
      <m:placeholder xlName="_PLD_c14f6997e887464193403db957749a14" addr="T0R66C0S1_1"/>
      <m:item xlName="_GBC_a63e47a407954ef4a8eb6ef1a5408428" concept="clcid-ci-ar:FuZhu_DiYanShuiKuanDaiXiangHeJi" label="附注_递延税款贷项合计" addr="T0R66C1S1_1"/>
      <m:item xlName="_GBC_df2c9d985a994a5796591912de2395cb" concept="clcid-pte:DiYanShuiKuanDaiXiangHeJi" label="递延税款贷项合计" mulRef="_GBC_93410f9f0f51403686d6c566dbb4be50" unitRef="_GBC_03019b8a6970478d9879831b9f35ad89" addr="T0R66C2S1_1" formatStyle="Comma"/>
      <m:item xlName="_GBC_3a753f15c2794427b76032b4210e617b" concept="clcid-pte:DiYanShuiKuanDaiXiangHeJi" label="递延税款贷项合计" periodRef="上年期末数" mulRef="_GBC_93410f9f0f51403686d6c566dbb4be50" unitRef="_GBC_03019b8a6970478d9879831b9f35ad89" addr="T0R66C3S1_1" formatStyle="Comma"/>
      <m:placeholder xlName="_PLD_9b678e67119f4c8c82b6f662daff6c28" addr="T0R67C0S1_1"/>
      <m:item xlName="_GBC_2a18ac7be3454c26a3bdde070fadf619" concept="clcid-ci-ar:FuZhu_QiTaChangQiFuZhai" label="附注_其他长期负债" addr="T0R67C1S1_1"/>
      <m:item xlName="_GBC_99b3e706013e4e11bd8e780cd7ab9ded" concept="clcid-pte:QiTaChangQiFuZhai" label="其他长期负债" mulRef="_GBC_93410f9f0f51403686d6c566dbb4be50" unitRef="_GBC_03019b8a6970478d9879831b9f35ad89" addr="T0R67C2S1_1" formatStyle="Comma"/>
      <m:item xlName="_GBC_10baf880f0a145b788bfc9ccf792ad9c" concept="clcid-pte:QiTaChangQiFuZhai" label="其他长期负债" periodRef="上年期末数" mulRef="_GBC_93410f9f0f51403686d6c566dbb4be50" unitRef="_GBC_03019b8a6970478d9879831b9f35ad89" addr="T0R67C3S1_1" formatStyle="Comma"/>
      <m:placeholder xlName="_PLD_ce66435b024e40e694bc897ac00062aa" addr="T0R68C0S1_1"/>
      <m:item xlName="_GBC_3b374852febd4dc0b74214fa2d232488" concept="clcid-ci-ar:FuZhu_ChangQiFuZhaiHeJi" label="附注_长期负债合计" addr="T0R68C1S1_1"/>
      <m:item xlName="_GBC_f4f4d1a2ef0b41e5878ebc00b59134a1" concept="clcid-pte:ChangQiFuZhaiHeJi" label="长期负债合计" mulRef="_GBC_93410f9f0f51403686d6c566dbb4be50" unitRef="_GBC_03019b8a6970478d9879831b9f35ad89" addr="T0R68C2S1_1" formatStyle="Comma">
        <m:complexRule comparator="Eq" title="长期负债合计" test=" $_GBC_d71b6041cd7a434ca7f817824e7bf426 +  $_GBC_f588f5a70e4243b2bfecc4fce14f69aa +  $_GBC_22d1b9e25fd5491abb8bfae6269fe7a8 +  $_GBC_8481a76a6d074ae680dba2d7ef9662c8 +  $_GBC_69b00437e61143fcbb48120b129a982a +  $_GBC_16981749120d49fa884c31c2d71a610b +  $_GBC_2788ef7125b945738a9f187ce60e1394 +  $_GBC_df2c9d985a994a5796591912de2395cb +  $_GBC_99b3e706013e4e11bd8e780cd7ab9ded" id="Cd3b965e20c3b48f08ed59c3e0a79fe27"/>
      </m:item>
      <m:item xlName="_GBC_7b7e5a1fbb3a42ca9f64f0bdca0872f2" concept="clcid-pte:ChangQiFuZhaiHeJi" label="长期负债合计" periodRef="上年期末数" mulRef="_GBC_93410f9f0f51403686d6c566dbb4be50" unitRef="_GBC_03019b8a6970478d9879831b9f35ad89" addr="T0R68C3S1_1" formatStyle="Comma">
        <m:complexRule comparator="Eq" title="长期负债合计@上年期末数" test=" $_GBC_466f6e6c61e048d6a685ac64e839c209 +  $_GBC_4d22f658754a408e82f985127f824daa +  $_GBC_3370ac46bc9748a5828c4f5f8f05be9b +  $_GBC_f383dae3c9c74830a3e957afd8cfb8ef +  $_GBC_8301e99e48f04986a3d5fae91fcd8540 +  $_GBC_0926d609da0f4090895107c04c49aaaa +  $_GBC_cfca2aa0411a40dda8878ff828fa9f29 +  $_GBC_3a753f15c2794427b76032b4210e617b +  $_GBC_10baf880f0a145b788bfc9ccf792ad9c" id="C0b6715f42a78413c8d3d189fd246d986"/>
      </m:item>
      <m:placeholder xlName="_PLD_0743c590808645dda421e25e2ecf433f" addr="T0R69C0S1_1"/>
      <m:item xlName="_GBC_a496238cfe4b4c77ad0de506fe6a2ba5" concept="clcid-ci-ar:FuZhu_FuZhaiHeJi" label="附注_负债合计" addr="T0R69C1S1_1"/>
      <m:item xlName="_GBC_cdb6f59bc75c4a72a6273b9cede092fc" concept="clcid-pte:FuZhaiHeJi" label="负债合计" mulRef="_GBC_93410f9f0f51403686d6c566dbb4be50" unitRef="_GBC_03019b8a6970478d9879831b9f35ad89" addr="T0R69C2S1_1" formatStyle="Comma">
        <m:complexRule comparator="Eq" title="负债合计" test=" $_GBC_97d3142046a7430cafcf3d85156be4b8 +  $_GBC_f4f4d1a2ef0b41e5878ebc00b59134a1" id="Cdf435adf05c54d2ba0da9252adf8b6e4"/>
      </m:item>
      <m:item xlName="_GBC_89f1c141771540ee8a49b141717c50e8" concept="clcid-pte:FuZhaiHeJi" label="负债合计" periodRef="上年期末数" mulRef="_GBC_93410f9f0f51403686d6c566dbb4be50" unitRef="_GBC_03019b8a6970478d9879831b9f35ad89" addr="T0R69C3S1_1" formatStyle="Comma">
        <m:complexRule comparator="Eq" title="负债合计@上年期末数" test=" $_GBC_8061d9fe1b014b249c69519ba740ec72 +  $_GBC_7b7e5a1fbb3a42ca9f64f0bdca0872f2" id="C47e970149cf44396a69f4b469c82e2be"/>
      </m:item>
      <m:placeholder xlName="_PLD_b5480890f3e74e1f8319641dcc8c7889" addr="T0R70C0S1_1"/>
      <m:placeholder xlName="_PLD_a99b335f08c74de5ab130a45a4f6cf3d" addr="T0R71C0S1_1"/>
      <m:item xlName="_GBC_86f47a55e2b24eec96faa06764b3eff5" concept="clcid-ci-ar:FuZhu_GuBen" label="附注_股本" addr="T0R71C1S1_1"/>
      <m:item xlName="_GBC_e92585d7d1c84495883233f9411fa66f" concept="clcid-pte:GuBen" label="股本" mulRef="_GBC_93410f9f0f51403686d6c566dbb4be50" unitRef="_GBC_03019b8a6970478d9879831b9f35ad89" addr="T0R71C2S1_1" formatStyle="Comma"/>
      <m:item xlName="_GBC_554e9ce4bfac437b86e662d56aef7494" concept="clcid-pte:GuBen" label="股本" periodRef="上年期末数" mulRef="_GBC_93410f9f0f51403686d6c566dbb4be50" unitRef="_GBC_03019b8a6970478d9879831b9f35ad89" addr="T0R71C3S1_1" formatStyle="Comma"/>
      <m:placeholder xlName="_PLD_2127fe17302841f0889cbb1d2ef8acfd" addr="T0R72C0S1_1"/>
      <m:item xlName="_GBC_4c46a79356914c388f1f42cc47c016ea" concept="clcid-ci-ar:FuZhuQiTaQuanYiGongJu" label="附注_其他权益工具" addr="T0R72C1S1_1"/>
      <m:item xlName="_GBC_9d92818115974914a94e31e23d13c2a2" concept="clcid-pte:QiTaQuanYiGongJu" label="其他权益工具" mulRef="_GBC_93410f9f0f51403686d6c566dbb4be50" unitRef="_GBC_03019b8a6970478d9879831b9f35ad89" addr="T0R72C2S1_1" formatStyle="Comma"/>
      <m:item xlName="_GBC_9a0dcc97c67f4cd3966f2fa9264e5fce" concept="clcid-pte:QiTaQuanYiGongJu" label="其他权益工具" periodRef="上年期末数" mulRef="_GBC_93410f9f0f51403686d6c566dbb4be50" unitRef="_GBC_03019b8a6970478d9879831b9f35ad89" addr="T0R72C3S1_1" formatStyle="Comma"/>
      <m:placeholder xlName="_PLD_5e1a280ea31b490fb03af54c17558b49" addr="T0R73C0S1_1"/>
      <m:item xlName="_GBC_bb9e9c7c4d2148f68949677bbdd8ecd1" concept="clcid-ci-ar:FuZhuQiTaQuanYiGongJuQiZhongYouXianGu" label="附注_其他权益工具-其中：优先股" addr="T0R73C1S1_1"/>
      <m:item xlName="_GBC_f415d9038d004f57b31e142093c4e074" concept="clcid-pte:QiTaQuanYiGongJuQiZhongYouXianGu" label="其他权益工具-其中：优先股" mulRef="_GBC_93410f9f0f51403686d6c566dbb4be50" unitRef="_GBC_03019b8a6970478d9879831b9f35ad89" addr="T0R73C2S1_1" formatStyle="Comma"/>
      <m:item xlName="_GBC_94449c609aa0427993cb7254ef71cb7f" concept="clcid-pte:QiTaQuanYiGongJuQiZhongYouXianGu" label="其他权益工具-其中：优先股" periodRef="上年期末数" mulRef="_GBC_93410f9f0f51403686d6c566dbb4be50" unitRef="_GBC_03019b8a6970478d9879831b9f35ad89" addr="T0R73C3S1_1" formatStyle="Comma"/>
      <m:placeholder xlName="_PLD_38cdd76d8ff448d4a63f7685a6073fd2" addr="T0R74C0S1_1"/>
      <m:item xlName="_GBC_b8369d122f4f487993fb64b4f71175ab" concept="clcid-ci-ar:FuZhuQiTaQuanYiGongJuYongXuZhai" label="附注_其他权益工具-永续债" addr="T0R74C1S1_1"/>
      <m:item xlName="_GBC_1a1cf62bef4248c2840cbff4449a7802" concept="clcid-pte:QiTaQuanYiGongJuYongXuZhai" label="其他权益工具-永续债" mulRef="_GBC_93410f9f0f51403686d6c566dbb4be50" unitRef="_GBC_03019b8a6970478d9879831b9f35ad89" addr="T0R74C2S1_1" formatStyle="Comma"/>
      <m:item xlName="_GBC_fcd5b443637346739e83837c6ca677e0" concept="clcid-pte:QiTaQuanYiGongJuYongXuZhai" label="其他权益工具-永续债" periodRef="上年期末数" mulRef="_GBC_93410f9f0f51403686d6c566dbb4be50" unitRef="_GBC_03019b8a6970478d9879831b9f35ad89" addr="T0R74C3S1_1" formatStyle="Comma"/>
      <m:placeholder xlName="_PLD_7907a3c4c9a146698636bdc9065d4809" addr="T0R75C0S1_1"/>
      <m:item xlName="_GBC_7bb603361a044106a965a51dd231ad1b" concept="clcid-ci-ar:FuZhu_ZiBenGongJi" label="附注_资本公积" addr="T0R75C1S1_1"/>
      <m:item xlName="_GBC_19a535803c4a424aa845364e30602ec6" concept="clcid-pte:ZiBenGongJi" label="资本公积" mulRef="_GBC_93410f9f0f51403686d6c566dbb4be50" unitRef="_GBC_03019b8a6970478d9879831b9f35ad89" addr="T0R75C2S1_1" formatStyle="Comma"/>
      <m:item xlName="_GBC_76b75d8bf7764e3098652b5648e8a6eb" concept="clcid-pte:ZiBenGongJi" label="资本公积" periodRef="上年期末数" mulRef="_GBC_93410f9f0f51403686d6c566dbb4be50" unitRef="_GBC_03019b8a6970478d9879831b9f35ad89" addr="T0R75C3S1_1" formatStyle="Comma"/>
      <m:placeholder xlName="_PLD_768375a39ab3485bbf4e75f8fef6cf4c" addr="T0R76C0S1_1"/>
      <m:item xlName="_GBC_4f1801fca4174ca990f0bf758fe8565a" concept="clcid-ci-ar:FuZhu_JianKuCunGu" label="附注_减：库存股" addr="T0R76C1S1_1"/>
      <m:item xlName="_GBC_a4d8cc0b305e4a789c3e3e34422a16bd" concept="clcid-pte:KuCunGu" label="库存股" mulRef="_GBC_93410f9f0f51403686d6c566dbb4be50" unitRef="_GBC_03019b8a6970478d9879831b9f35ad89" addr="T0R76C2S1_1" formatStyle="Comma"/>
      <m:item xlName="_GBC_5c9ee87f1c73483f88be28ece3353615" concept="clcid-pte:KuCunGu" label="库存股" periodRef="上年期末数" mulRef="_GBC_93410f9f0f51403686d6c566dbb4be50" unitRef="_GBC_03019b8a6970478d9879831b9f35ad89" addr="T0R76C3S1_1" formatStyle="Comma"/>
      <m:placeholder xlName="_PLD_3633769805cf46ae8a4e9f3d48952c95" addr="T0R77C0S1_1"/>
      <m:item xlName="_GBC_c0b76e6ff656442890859e001416582e" concept="clcid-ci-ar:FuZhuQiTaZongHeShouYiZiChanFuZhaiBiaoXiangMu" label="附注_其他综合收益（资产负债表项目）" addr="T0R77C1S1_1"/>
      <m:item xlName="_GBC_97082c67576747cd912e1bc91224d66d" concept="clcid-pte:QiTaZongHeShouYiZiChanFuZhaiBiaoXiangMu" label="其他综合收益（资产负债表项目）" mulRef="_GBC_93410f9f0f51403686d6c566dbb4be50" unitRef="_GBC_03019b8a6970478d9879831b9f35ad89" addr="T0R77C2S1_1" formatStyle="Comma"/>
      <m:item xlName="_GBC_80135c664a63485794475d0f5bcd68ce" concept="clcid-pte:QiTaZongHeShouYiZiChanFuZhaiBiaoXiangMu" label="其他综合收益（资产负债表项目）" periodRef="上年期末数" mulRef="_GBC_93410f9f0f51403686d6c566dbb4be50" unitRef="_GBC_03019b8a6970478d9879831b9f35ad89" addr="T0R77C3S1_1" formatStyle="Comma"/>
      <m:placeholder xlName="_PLD_af4f6b21ff5b4beea281ea103e092b80" addr="T0R78C0S1_1"/>
      <m:item xlName="_GBC_45b33cb36eb94728aff00f1c234fe510" concept="clcid-ci-ar:FuZhu_ZhuanXiangChuBei" label="附注_专项储备" addr="T0R78C1S1_1"/>
      <m:item xlName="_GBC_940535635b6c4f178132bf9ffb857826" concept="clcid-pte:ZhuanXiangChuBei" label="专项储备" mulRef="_GBC_93410f9f0f51403686d6c566dbb4be50" unitRef="_GBC_03019b8a6970478d9879831b9f35ad89" addr="T0R78C2S1_1" formatStyle="Comma"/>
      <m:item xlName="_GBC_fa94edc254504f1c96d0c443e1bb626c" concept="clcid-pte:ZhuanXiangChuBei" label="专项储备" periodRef="上年期末数" mulRef="_GBC_93410f9f0f51403686d6c566dbb4be50" unitRef="_GBC_03019b8a6970478d9879831b9f35ad89" addr="T0R78C3S1_1" formatStyle="Comma"/>
      <m:placeholder xlName="_PLD_bd3d7e23e018478ebc815abbb57882e7" addr="T0R79C0S1_1"/>
      <m:item xlName="_GBC_f1fe2b250bed4acb832e6ed34279b74e" concept="clcid-ci-ar:FuZhu_YingYuGongJi" label="附注_盈余公积" addr="T0R79C1S1_1"/>
      <m:item xlName="_GBC_80d90776b347495e9e3afe4efbd2ce6f" concept="clcid-pte:YingYuGongJi" label="盈余公积" mulRef="_GBC_93410f9f0f51403686d6c566dbb4be50" unitRef="_GBC_03019b8a6970478d9879831b9f35ad89" addr="T0R79C2S1_1" formatStyle="Comma"/>
      <m:item xlName="_GBC_062bc3d07f414596914ba7d8e0cad53b" concept="clcid-pte:YingYuGongJi" label="盈余公积" periodRef="上年期末数" mulRef="_GBC_93410f9f0f51403686d6c566dbb4be50" unitRef="_GBC_03019b8a6970478d9879831b9f35ad89" addr="T0R79C3S1_1" formatStyle="Comma"/>
      <m:placeholder xlName="_PLD_a65ea5fe50dd479792e4e274dd1278b0" addr="T0R80C0S1_1"/>
      <m:item xlName="_GBC_17d136cf93ca42439c62ac60e3cb37e0" concept="clcid-ci-ar:FuZhu_WeiFenPeiLiRun" label="附注_未分配利润" addr="T0R80C1S1_1"/>
      <m:item xlName="_GBC_adaea59392904366a4f33b81bdf7b570" concept="clcid-pte:WeiFenPeiLiRun" label="未分配利润" mulRef="_GBC_93410f9f0f51403686d6c566dbb4be50" unitRef="_GBC_03019b8a6970478d9879831b9f35ad89" addr="T0R80C2S1_1" formatStyle="Comma"/>
      <m:item xlName="_GBC_4f896587c8d24bc29fd39616437b34cf" concept="clcid-pte:WeiFenPeiLiRun" label="未分配利润" periodRef="上年期末数" mulRef="_GBC_93410f9f0f51403686d6c566dbb4be50" unitRef="_GBC_03019b8a6970478d9879831b9f35ad89" addr="T0R80C3S1_1" formatStyle="Comma"/>
      <m:placeholder xlName="_PLD_1b3d6775da41478eaafcdf4cb5a5168f" addr="T0R81C0S1_1"/>
      <m:item xlName="_GBC_602c0d88c185431298171b7612d0c2c1" concept="clcid-ci-ar:FuZhu_GuDongQuanYiHeJi" label="附注_股东权益合计" addr="T0R81C1S1_1"/>
      <m:item xlName="_GBC_18205091c0554f92b552a006aeecfead" concept="clcid-pte:GuDongQuanYiHeJi" label="股东权益合计" mulRef="_GBC_93410f9f0f51403686d6c566dbb4be50" unitRef="_GBC_03019b8a6970478d9879831b9f35ad89" addr="T0R81C2S1_1" formatStyle="Comma">
        <m:complexRule comparator="Eq" title="股东权益合计" test=" $_GBC_e92585d7d1c84495883233f9411fa66f +  $_GBC_9d92818115974914a94e31e23d13c2a2 +  $_GBC_19a535803c4a424aa845364e30602ec6 -  $_GBC_a4d8cc0b305e4a789c3e3e34422a16bd +  $_GBC_97082c67576747cd912e1bc91224d66d +  $_GBC_940535635b6c4f178132bf9ffb857826 +  $_GBC_80d90776b347495e9e3afe4efbd2ce6f +  $_GBC_adaea59392904366a4f33b81bdf7b570" id="Cd6d2394779904d12a8bb6b6e2e718334"/>
      </m:item>
      <m:item xlName="_GBC_2d3cfb78b631408eaa7f4b2e054b3771" concept="clcid-pte:GuDongQuanYiHeJi" label="股东权益合计" periodRef="上年期末数" mulRef="_GBC_93410f9f0f51403686d6c566dbb4be50" unitRef="_GBC_03019b8a6970478d9879831b9f35ad89" addr="T0R81C3S1_1" formatStyle="Comma">
        <m:complexRule comparator="Eq" title="股东权益合计@上年期末数" test=" $_GBC_554e9ce4bfac437b86e662d56aef7494 +  $_GBC_9a0dcc97c67f4cd3966f2fa9264e5fce +  $_GBC_76b75d8bf7764e3098652b5648e8a6eb -  $_GBC_5c9ee87f1c73483f88be28ece3353615 +  $_GBC_80135c664a63485794475d0f5bcd68ce +  $_GBC_fa94edc254504f1c96d0c443e1bb626c +  $_GBC_062bc3d07f414596914ba7d8e0cad53b +  $_GBC_4f896587c8d24bc29fd39616437b34cf" id="Ce34fe578daf0416c99d07f84a417222c"/>
      </m:item>
      <m:placeholder xlName="_PLD_a2bb78cfb02d43f485c86d2ff2541822" addr="T0R82C0S1_1"/>
      <m:item xlName="_GBC_9004945191504a09a6c38e2df53f4909" concept="clcid-ci-ar:FuZhu_FuZhaiHeGuDongQuanYiHeJi" label="附注_负债和股东权益合计" addr="T0R82C1S1_1"/>
      <m:item xlName="_GBC_ea8b08e8586b40399581c75eeb61452e" concept="clcid-pte:FuZhaiHeGuDongQuanYiHeJi" label="负债和股东权益合计" mulRef="_GBC_93410f9f0f51403686d6c566dbb4be50" unitRef="_GBC_03019b8a6970478d9879831b9f35ad89" addr="T0R82C2S1_1" formatStyle="Comma">
        <m:complexRule comparator="Eq" title="负债和股东权益合计" test=" $_GBC_cdb6f59bc75c4a72a6273b9cede092fc +  $_GBC_18205091c0554f92b552a006aeecfead" id="C8b84c3b24fc34085a5e9d5abf8394edb"/>
      </m:item>
      <m:item xlName="_GBC_978683121f774b28a31b0c5bfd5ff0d5" concept="clcid-pte:FuZhaiHeGuDongQuanYiHeJi" label="负债和股东权益合计" periodRef="上年期末数" mulRef="_GBC_93410f9f0f51403686d6c566dbb4be50" unitRef="_GBC_03019b8a6970478d9879831b9f35ad89" addr="T0R82C3S1_1" formatStyle="Comma">
        <m:complexRule comparator="Eq" title="负债和股东权益合计@上年期末数" test=" $_GBC_89f1c141771540ee8a49b141717c50e8 +  $_GBC_2d3cfb78b631408eaa7f4b2e054b3771" id="Cdf2ecb85531a44cb9ff5781f87919d0c"/>
      </m:item>
      <m:item xlName="_GBC_a8870336d3c140dbad30113f0782c9fe" concept="clcid-mr:GongSiFuZeRenXingMing" label="公司负责人姓名" binding="true"/>
      <m:item xlName="_GBC_9437e30593f649668dfd65b9a8ea89d5" concept="clcid-mr:ZhuGuanKuaiJiGongZuoFuZeRenXingMing" label="主管会计工作负责人姓名" binding="true"/>
      <m:item xlName="_GBC_8aa686c1e59046a6873a3e16ede05e4b" concept="clcid-mr:KuaiJiJiGouFuZeRenXingMing" label="会计机构负责人姓名" binding="true"/>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m:region xlName="_GBC_cc363e9840a448cbaf363887668cbe2a" title="合并利润表&#10;" helpId="112001001" helpText="注：财务费用涉及金融业务需单独列示汇兑收益项目">
        <m:item xlName="_GBC_4fec24feb4834b768c484fe556046382" concept="clcid-ci-ar:DanWeiHeBingLiRunBiao" label="单位：合并利润表" selectOptions="_buildInScales" controlType="Combobox" cellType="Scale"/>
        <m:item xlName="_GBC_ae5c0d79e5694eb28ba1b8160e27a464" concept="clcid-ci-ar:BiZhongHeBingLiRunBiao" label="币种：合并利润表" selectOptions="_buildInISO4217" controlType="Combobox" cellType="Measure"/>
        <m:placeholder xlName="_PLD_ea01e0b0c9224fe59426c375515c2359" addr="T0R0C0S1_1"/>
        <m:placeholder xlName="_PLD_e4f45f42e79e4a4aba892e3a7a7b123d" addr="T0R0C1S1_1"/>
        <m:placeholder xlName="_PLD_41682cdf00e5450394986df99de953d1" addr="T0R0C2S1_1"/>
        <m:placeholder xlName="_PLD_f020215569a54a6db2bd3d5298280e01" addr="T0R0C3S1_1"/>
        <m:placeholder xlName="_PLD_2d877c352d5440b8bf7dcd1940d9f85b"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m:item xlName="_GBC_73ecaede37bb436896b169e8ec982ef1" concept="clcid-pte:XinYongJianZhiSunShi" label="信用减值损失" periodRef="上年同期数" mulRef="_GBC_4fec24feb4834b768c484fe556046382" unitRef="_GBC_ae5c0d79e5694eb28ba1b8160e27a464" addr="T0R29C3S1_1" formatStyle="Comma"/>
        <m:placeholder xlName="_PLD_fe82d7189b7a42a6ae64dd80ca9bbe8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m:item xlName="_GBC_e059c7036a23422f88cd0c8871a3894a" concept="clcid-pte:ZiChanJianZhiSunShi" label="资产减值损失" periodRef="上年同期数" mulRef="_GBC_4fec24feb4834b768c484fe556046382" unitRef="_GBC_ae5c0d79e5694eb28ba1b8160e27a464" addr="T0R30C3S1_1" formatStyle="Comma"/>
        <m:placeholder xlName="_PLD_60761ec4a82c4bc298a64deee215586d"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addr="T0R38C0S1_4"/>
        <m:placeholder xlName="_PLD_0cbbecfa36204e9cb4a8afb27df49afc"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addr="T0R41C0S1_4"/>
        <m:placeholder xlName="_PLD_d4f7c178814a4729a89415435ac2aac1"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addr="T0R63C0S1_1"/>
        <m:placeholder xlName="_PLD_16d9b9d4e8c34e3b874fbdaedc91588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concept="clcid-ci-ar:DanWeiMuGongSiLiRunBiao" label="单位：母公司利润表" selectOptions="_buildInScales" controlType="Combobox" cellType="Scale"/>
        <m:item xlName="_GBC_125a2547934143ccb384434361f57d37" concept="clcid-ci-ar:BiZhongMuGongSiLiRunBiao" label="币种：母公司利润表" selectOptions="_buildInISO4217" controlType="Combobox" cellType="Measure"/>
        <m:placeholder xlName="_PLD_2746da9ce382479bbcc34de94cc91419" addr="T1R0C0S1_1"/>
        <m:placeholder xlName="_PLD_353d1b95815e4cb9bce619c23384aae7" addr="T1R0C1S1_1"/>
        <m:placeholder xlName="_PLD_aa6da19e961f4f0aa9c1f47a5d8bdb21" addr="T1R0C2S1_1"/>
        <m:placeholder xlName="_PLD_fd6f3d63a7544a05b6f572cee64f39fb" addr="T1R0C3S1_1"/>
        <m:placeholder xlName="_PLD_064cf96d2f1c4cf0927ae1121cfbe089"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m:axisValue occRef="母公司"/>
        </m:item>
        <m:placeholder xlName="_PLD_16430dcabb93489da19dede13b679da4"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m:axisValue occRef="母公司"/>
        </m:item>
        <m:placeholder xlName="_PLD_907d21105eff451b99c14b026296e12a"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addr="T1R42C0S1_1"/>
        <m:placeholder xlName="_PLD_02c58dc4adaa4ac0a7ec8d49dda16ebf"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m:item xlName="_GBC_34e415c837e84eed8e46839f812af522" concept="clcid-ci-ar:DanWeiMuGongSiLiRunBiao" label="单位：母公司利润表" selectOptions="_buildInScales" controlType="Combobox" cellType="Scale"/>
      <m:item xlName="_GBC_f2660c2586654164b26a3e8fde13a87d" concept="clcid-ci-ar:BiZhongMuGongSiLiRunBiao" label="币种：母公司利润表" selectOptions="_buildInISO4217" controlType="Combobox" cellType="Measure"/>
      <m:placeholder xlName="_PLD_42c7124592634575bf1875a5f79c841e" addr="T0R0C0S1_1"/>
      <m:placeholder xlName="_PLD_878de5e7f2ca4197bfc1e7602a88d464" addr="T0R0C1S1_1"/>
      <m:placeholder xlName="_PLD_a43dd58a77a947378d6af01754c38b83" addr="T0R0C2S1_1"/>
      <m:placeholder xlName="_PLD_217f1b22ae8a433f8b90c4be999ff13e" addr="T0R0C3S1_1"/>
      <m:placeholder xlName="_PLD_dfc3610af5294a20b1b08f6bffd9ad36" addr="T0R1C0S1_1"/>
      <m:item xlName="_GBC_2ea01ca71df947aa846ffbdb85370a45" concept="clcid-ci-ar:FuZhu_YingYeShouRu" label="附注_营业收入" addr="T0R1C1S1_1"/>
      <m:item xlName="_GBC_0c94a738588b4283aad79c9e817c6112" concept="clcid-pte:YingYeShouRu" label="营业收入" mulRef="_GBC_34e415c837e84eed8e46839f812af522" unitRef="_GBC_f2660c2586654164b26a3e8fde13a87d" addr="T0R1C2S1_1" formatStyle="Comma"/>
      <m:item xlName="_GBC_87ee8e7acf164cb1bfdac617cc1e4401" concept="clcid-pte:YingYeShouRu" label="营业收入" periodRef="上年同期数" mulRef="_GBC_34e415c837e84eed8e46839f812af522" unitRef="_GBC_f2660c2586654164b26a3e8fde13a87d" addr="T0R1C3S1_1" formatStyle="Comma"/>
      <m:placeholder xlName="_PLD_d1944006b3f04f768d17bc13c73fedc6" addr="T0R2C0S1_1"/>
      <m:item xlName="_GBC_b367adbc03c747f7b7c48862a95a2bbc" concept="clcid-ci-ar:FuZhu_YingYeChengBen" label="附注_营业成本" addr="T0R2C1S1_1"/>
      <m:item xlName="_GBC_67f4b18a7cf44528a56f26a64bd053d0" concept="clcid-pte:YingYeChengBen" label="营业成本" mulRef="_GBC_34e415c837e84eed8e46839f812af522" unitRef="_GBC_f2660c2586654164b26a3e8fde13a87d" addr="T0R2C2S1_1" baseScale="-1" formatStyle="Comma"/>
      <m:item xlName="_GBC_6afb54b0059c43a7bb2844c9461f19b2" concept="clcid-pte:YingYeChengBen" label="营业成本" periodRef="上年同期数" mulRef="_GBC_34e415c837e84eed8e46839f812af522" unitRef="_GBC_f2660c2586654164b26a3e8fde13a87d" addr="T0R2C3S1_1" baseScale="-1" formatStyle="Comma"/>
      <m:placeholder xlName="_PLD_a7027b2d01dd4787ab95dddb0966bdef" addr="T0R3C0S1_1"/>
      <m:item xlName="_GBC_1553da5138a644d595c4abe06fd31bac" concept="clcid-ci-ar:FuZhu_YingYeShuiJinJiFuJia" label="附注_税金及附加" addr="T0R3C1S1_1"/>
      <m:item xlName="_GBC_ce0ab56da2d04f8a82d77400262fc8c6" concept="clcid-pte:YingYeShuiJinJiFuJia" label="税金及附加" mulRef="_GBC_34e415c837e84eed8e46839f812af522" unitRef="_GBC_f2660c2586654164b26a3e8fde13a87d" addr="T0R3C2S1_1" baseScale="-1" formatStyle="Comma"/>
      <m:item xlName="_GBC_172b9efc0d81428299a3454eb0ff31ee" concept="clcid-pte:YingYeShuiJinJiFuJia" label="税金及附加" periodRef="上年同期数" mulRef="_GBC_34e415c837e84eed8e46839f812af522" unitRef="_GBC_f2660c2586654164b26a3e8fde13a87d" addr="T0R3C3S1_1" baseScale="-1" formatStyle="Comma"/>
      <m:placeholder xlName="_PLD_ed06054af99742a59cb39381effddbc5" addr="T0R4C0S1_1"/>
      <m:item xlName="_GBC_6defc7e48d5a42f08b9a9dd5bec13043" concept="clcid-ci-ar:FuZhu_XiaoShouFeiYong" label="附注_销售费用" addr="T0R4C1S1_1"/>
      <m:item xlName="_GBC_c4d98e31cfae4b9dabff631631c45a8e" concept="clcid-pte:XiaoShouFeiYong" label="销售费用" mulRef="_GBC_34e415c837e84eed8e46839f812af522" unitRef="_GBC_f2660c2586654164b26a3e8fde13a87d" addr="T0R4C2S1_1" baseScale="-1" formatStyle="Comma"/>
      <m:item xlName="_GBC_7d7f418de9d94fb699256bc663ecf0e9" concept="clcid-pte:XiaoShouFeiYong" label="销售费用" periodRef="上年同期数" mulRef="_GBC_34e415c837e84eed8e46839f812af522" unitRef="_GBC_f2660c2586654164b26a3e8fde13a87d" addr="T0R4C3S1_1" baseScale="-1" formatStyle="Comma"/>
      <m:placeholder xlName="_PLD_112d68f42f104711a452b09b43bb0461" addr="T0R5C0S1_1"/>
      <m:item xlName="_GBC_f30f41f9034640e491b226c4e71af68c" concept="clcid-ci-ar:FuZhu_GuanLiFeiYong" label="附注_管理费用" addr="T0R5C1S1_1"/>
      <m:item xlName="_GBC_6c10ab4fa4b34a4ba641ab3ec37adb3f" concept="clcid-pte:GuanLiFeiYong" label="管理费用" mulRef="_GBC_34e415c837e84eed8e46839f812af522" unitRef="_GBC_f2660c2586654164b26a3e8fde13a87d" addr="T0R5C2S1_1" baseScale="-1" formatStyle="Comma"/>
      <m:item xlName="_GBC_a331d3d6326043aa9fe9ce6c22d9c2bc" concept="clcid-pte:GuanLiFeiYong" label="管理费用" periodRef="上年同期数" mulRef="_GBC_34e415c837e84eed8e46839f812af522" unitRef="_GBC_f2660c2586654164b26a3e8fde13a87d" addr="T0R5C3S1_1" baseScale="-1" formatStyle="Comma"/>
      <m:placeholder xlName="_PLD_7893e7b73b01492584ac85310855aadc" addr="T0R6C0S1_1"/>
      <m:item xlName="_GBC_ac2fdba955ad47e1a09f51b703f34e2d" concept="clcid-ci-ar:FuZhu_YanFaFeiYong" label="附注_研发费用" addr="T0R6C1S1_1"/>
      <m:item xlName="_GBC_ecf081bc6f644b9480c89b2b0165d28d" concept="clcid-pte:YanFaFeiYong" label="研发费用" mulRef="_GBC_34e415c837e84eed8e46839f812af522" unitRef="_GBC_f2660c2586654164b26a3e8fde13a87d" addr="T0R6C2S1_1" baseScale="-1" formatStyle="Comma"/>
      <m:item xlName="_GBC_0b5f5f32a42e477c867845aa59149eab" concept="clcid-pte:YanFaFeiYong" label="研发费用" periodRef="上年同期数" mulRef="_GBC_34e415c837e84eed8e46839f812af522" unitRef="_GBC_f2660c2586654164b26a3e8fde13a87d" addr="T0R6C3S1_1" baseScale="-1" formatStyle="Comma"/>
      <m:placeholder xlName="_PLD_395d95ea583c4b63871b7c92cea690c4" addr="T0R7C0S1_1"/>
      <m:item xlName="_GBC_f2fca7bbfc0040809840af8889f60460" concept="clcid-ci-ar:FuZhu_CaiWuFeiYong" label="附注_财务费用" addr="T0R7C1S1_1"/>
      <m:item xlName="_GBC_4d8dcdc00956496281fdf280eeb1cb5e" concept="clcid-pte:CaiWuFeiYong" label="财务费用" mulRef="_GBC_34e415c837e84eed8e46839f812af522" unitRef="_GBC_f2660c2586654164b26a3e8fde13a87d" addr="T0R7C2S1_1" baseScale="-1" formatStyle="Comma"/>
      <m:item xlName="_GBC_5916f1241a604221a623f8437ae666fb" concept="clcid-pte:CaiWuFeiYong" label="财务费用" periodRef="上年同期数" mulRef="_GBC_34e415c837e84eed8e46839f812af522" unitRef="_GBC_f2660c2586654164b26a3e8fde13a87d" addr="T0R7C3S1_1" baseScale="-1" formatStyle="Comma"/>
      <m:placeholder xlName="_PLD_b6a0f1127c3b48e6a42b271f40db72a1" addr="T0R8C0S1_1"/>
      <m:item xlName="_GBC_dd9aeb82c37841b6b8c0e1b2f56fe3a0" concept="clcid-ci-ar:FuZhu_CaiWuFeiYongLiXiFeiYong" label="附注_财务费用利息费用" addr="T0R8C1S1_1"/>
      <m:item xlName="_GBC_03106a48edec472eb50291a54b91b3c8" concept="clcid-pte:LiXiZhiChu" label="利息支出" mulRef="_GBC_34e415c837e84eed8e46839f812af522" unitRef="_GBC_f2660c2586654164b26a3e8fde13a87d" addr="T0R8C2S1_1" baseScale="-1" formatStyle="Comma"/>
      <m:item xlName="_GBC_62d27f8d305c4ca882e568ace7f57f92" concept="clcid-pte:LiXiZhiChu" label="利息支出" periodRef="上年同期数" mulRef="_GBC_34e415c837e84eed8e46839f812af522" unitRef="_GBC_f2660c2586654164b26a3e8fde13a87d" addr="T0R8C3S1_1" baseScale="-1" formatStyle="Comma"/>
      <m:placeholder xlName="_PLD_06d8dbe57ce54d95b7840e704db816ee" addr="T0R9C0S1_1"/>
      <m:item xlName="_GBC_b9fefff16aef4d3d90461d78126b4bb7" concept="clcid-ci-ar:FuZhu_CaiWuFeiYongLiXiShouRu" label="附注_财务费用利息收入" addr="T0R9C1S1_1"/>
      <m:item xlName="_GBC_a7d6222e5fda442a8fc34666b4e8d507" concept="clcid-pte:LiXiShouRu" label="利息收入" mulRef="_GBC_34e415c837e84eed8e46839f812af522" unitRef="_GBC_f2660c2586654164b26a3e8fde13a87d" addr="T0R9C2S1_1" baseScale="-1" formatStyle="Comma"/>
      <m:item xlName="_GBC_07a28a8ca4b843c280869debd1ad1882" concept="clcid-pte:LiXiShouRu" label="利息收入" periodRef="上年同期数" mulRef="_GBC_34e415c837e84eed8e46839f812af522" unitRef="_GBC_f2660c2586654164b26a3e8fde13a87d" addr="T0R9C3S1_1" baseScale="-1" formatStyle="Comma"/>
      <m:placeholder xlName="_PLD_b08f0510a9be49258be65ba76ea0bbac" addr="T0R10C0S1_1"/>
      <m:item xlName="_GBC_8e73a240602648c9950121b459d487bd" concept="clcid-ci-ar:FuZhuQiTaShouYi" label="附注_其他收益" addr="T0R10C1S1_1"/>
      <m:item xlName="_GBC_ec5a7e97cf4541e2b67c8ef67643c278" concept="clcid-pte:QiTaShouYi" label="其他收益" mulRef="_GBC_34e415c837e84eed8e46839f812af522" unitRef="_GBC_f2660c2586654164b26a3e8fde13a87d" addr="T0R10C2S1_1" formatStyle="Comma"/>
      <m:item xlName="_GBC_18b0df639ed74966ad72ec79dd3f06d0" concept="clcid-pte:QiTaShouYi" label="其他收益" periodRef="上年同期数" mulRef="_GBC_34e415c837e84eed8e46839f812af522" unitRef="_GBC_f2660c2586654164b26a3e8fde13a87d" addr="T0R10C3S1_1" formatStyle="Comma"/>
      <m:placeholder xlName="_PLD_64599bac50fe4c26978ea66ba255b69e" addr="T0R11C0S1_1"/>
      <m:item xlName="_GBC_95c7e9b406ba4001a4bc6cfcb2eb5598" concept="clcid-ci-ar:FuZhu_TouZiShouYi" label="附注_投资收益" addr="T0R11C1S1_1"/>
      <m:item xlName="_GBC_645d905bcdc847c6a02bc50e19fa2f06" concept="clcid-pte:TouZiShouYi" label="投资收益" mulRef="_GBC_34e415c837e84eed8e46839f812af522" unitRef="_GBC_f2660c2586654164b26a3e8fde13a87d" addr="T0R11C2S1_1" formatStyle="Comma"/>
      <m:item xlName="_GBC_e9e6e634426c413b9501f54e5f3e8d56" concept="clcid-pte:TouZiShouYi" label="投资收益" periodRef="上年同期数" mulRef="_GBC_34e415c837e84eed8e46839f812af522" unitRef="_GBC_f2660c2586654164b26a3e8fde13a87d" addr="T0R11C3S1_1" formatStyle="Comma"/>
      <m:placeholder xlName="_PLD_999f3c26118e410ab4f20376b56770c2" addr="T0R12C0S1_1"/>
      <m:item xlName="_GBC_d275cad80fcb42f5aa224fe2f1678456" concept="clcid-ci-ar:FuZhu_DuiLianYingQiYeHeHeYingQiYeDeTouZiShouYi" label="附注_对联营企业和合营企业的投资收益" addr="T0R12C1S1_1"/>
      <m:item xlName="_GBC_cd2e2de2fa334d59be4a2e9cf06d2c1b" concept="clcid-pte:DuiLianYingQiYeHeHeYingQiYeDeTouZiShouYi" label="对联营企业和合营企业的投资收益" mulRef="_GBC_34e415c837e84eed8e46839f812af522" unitRef="_GBC_f2660c2586654164b26a3e8fde13a87d" addr="T0R12C2S1_1" formatStyle="Comma"/>
      <m:item xlName="_GBC_f0f700463ee1408ea311ae75a1282048" concept="clcid-pte:DuiLianYingQiYeHeHeYingQiYeDeTouZiShouYi" label="对联营企业和合营企业的投资收益" periodRef="上年同期数" mulRef="_GBC_34e415c837e84eed8e46839f812af522" unitRef="_GBC_f2660c2586654164b26a3e8fde13a87d" addr="T0R12C3S1_1" formatStyle="Comma"/>
      <m:placeholder xlName="_PLD_39f79a6ced9845378419c6126ff4ba76" addr="T0R13C0S1_1"/>
      <m:item xlName="_GBC_f4338199477c4dada16a2d785c401341" concept="clcid-ci-ar:FuZhu_YiTanYuChengBenJiLiangDeJinRongZiChanZhongZhiQueRenChanShengDeShouYi" label="附注_以摊余成本计量的金融资产终止确认产生的收益" addr="T0R13C1S1_1"/>
      <m:item xlName="_GBC_4dc90490a3c34365b0a3984eb879ca71" concept="clcid-pte:YiTanYuChengBenJiLiangDeJinRongZiChanZhongZhiQueRenChanShengDeShouYi" label="以摊余成本计量的金融资产终止确认产生的收益" mulRef="_GBC_34e415c837e84eed8e46839f812af522" unitRef="_GBC_f2660c2586654164b26a3e8fde13a87d" addr="T0R13C2S1_1" formatStyle="Comma"/>
      <m:item xlName="_GBC_03347c417c834c25b6439fd21fe63c07" concept="clcid-pte:YiTanYuChengBenJiLiangDeJinRongZiChanZhongZhiQueRenChanShengDeShouYi" label="以摊余成本计量的金融资产终止确认产生的收益" periodRef="上年同期数" mulRef="_GBC_34e415c837e84eed8e46839f812af522" unitRef="_GBC_f2660c2586654164b26a3e8fde13a87d" addr="T0R13C3S1_1" formatStyle="Comma"/>
      <m:placeholder xlName="_PLD_67a5a52abbc947f5a6c2cbec1be51128" addr="T0R14C0S1_1"/>
      <m:item xlName="_GBC_ac488e844e5b405cbf0a2405956ee77e" concept="clcid-ci-ar:FuZhu_JingChangKouTaoQiShouYi" label="附注_净敞口套期收益" addr="T0R14C1S1_1"/>
      <m:item xlName="_GBC_44d85cbe2559458a8614065af11dfb52" concept="clcid-pte:JingChangKouTaoQiShouYi" label="净敞口套期收益" mulRef="_GBC_34e415c837e84eed8e46839f812af522" unitRef="_GBC_f2660c2586654164b26a3e8fde13a87d" addr="T0R14C2S1_1" formatStyle="Comma"/>
      <m:item xlName="_GBC_b923dc46d98c42c4b03127d8165d2895" concept="clcid-pte:JingChangKouTaoQiShouYi" label="净敞口套期收益" periodRef="上年同期数" mulRef="_GBC_34e415c837e84eed8e46839f812af522" unitRef="_GBC_f2660c2586654164b26a3e8fde13a87d" addr="T0R14C3S1_1" formatStyle="Comma"/>
      <m:placeholder xlName="_PLD_7f50e4e6ee3946c397a7f2c6d1011f3f" addr="T0R15C0S1_1"/>
      <m:item xlName="_GBC_a9ac401043c34686aeaf76713c499378" concept="clcid-ci-ar:FuZhu_GongYunJiaZhiBianDongShouYi" label="附注_公允价值变动收益" addr="T0R15C1S1_1"/>
      <m:item xlName="_GBC_45655da37e5840c99860b65a07d38eb4" concept="clcid-pte:GongYunJiaZhiBianDongShouYi" label="公允价值变动收益" mulRef="_GBC_34e415c837e84eed8e46839f812af522" unitRef="_GBC_f2660c2586654164b26a3e8fde13a87d" addr="T0R15C2S1_1" formatStyle="Comma"/>
      <m:item xlName="_GBC_d14a0db98bca42ad924dead6616e7fce" concept="clcid-pte:GongYunJiaZhiBianDongShouYi" label="公允价值变动收益" periodRef="上年同期数" mulRef="_GBC_34e415c837e84eed8e46839f812af522" unitRef="_GBC_f2660c2586654164b26a3e8fde13a87d" addr="T0R15C3S1_1" formatStyle="Comma"/>
      <m:placeholder xlName="_PLD_bbf77086302546e39a3b28942547e40d" addr="T0R16C0S1_1"/>
      <m:item xlName="_GBC_e7fb2bd5e0fa4be7b90d64f851dddc28" concept="clcid-ci-ar:FuZhu_XinYongJianZhiSunShi" label="附注_信用减值损失" addr="T0R16C1S1_1"/>
      <m:item xlName="_GBC_5b1e1d60bb4e40cf82d8f98ff3f87679" concept="clcid-pte:XinYongJianZhiSunShi" label="信用减值损失" mulRef="_GBC_34e415c837e84eed8e46839f812af522" unitRef="_GBC_f2660c2586654164b26a3e8fde13a87d" addr="T0R16C2S1_1" formatStyle="Comma"/>
      <m:item xlName="_GBC_d2130d4ad74c4b4aaaf0a2666b442fcb" concept="clcid-pte:XinYongJianZhiSunShi" label="信用减值损失" periodRef="上年同期数" mulRef="_GBC_34e415c837e84eed8e46839f812af522" unitRef="_GBC_f2660c2586654164b26a3e8fde13a87d" addr="T0R16C3S1_1" formatStyle="Comma"/>
      <m:placeholder xlName="_PLD_2db16ca959a14199ba6c302f65633f05" addr="T0R17C0S1_1"/>
      <m:item xlName="_GBC_ffab0db18a5b4c0cbe0225fe238cf1be" concept="clcid-ci-ar:FuZhu_ZiChanJianZhiSunShi" label="附注_资产减值损失" addr="T0R17C1S1_1"/>
      <m:item xlName="_GBC_8799e93d6fe647c682a19af23a2101d6" concept="clcid-pte:ZiChanJianZhiSunShi" label="资产减值损失" mulRef="_GBC_34e415c837e84eed8e46839f812af522" unitRef="_GBC_f2660c2586654164b26a3e8fde13a87d" addr="T0R17C2S1_1" formatStyle="Comma"/>
      <m:item xlName="_GBC_b703db0220c54ab0883fda89f66370c4" concept="clcid-pte:ZiChanJianZhiSunShi" label="资产减值损失" periodRef="上年同期数" mulRef="_GBC_34e415c837e84eed8e46839f812af522" unitRef="_GBC_f2660c2586654164b26a3e8fde13a87d" addr="T0R17C3S1_1" formatStyle="Comma"/>
      <m:placeholder xlName="_PLD_0da901017f4943e09f4423d7155d9c3d" addr="T0R18C0S1_1"/>
      <m:item xlName="_GBC_d37dec915f1440fe9e81493aba8f5a71" concept="clcid-ci-ar:FuZhu_ZiChanChuZhiSHouYi" label="附注_资产处置收益" addr="T0R18C1S1_1"/>
      <m:item xlName="_GBC_6523d35bb7c342e6ad1399026bb4d0e2" concept="clcid-pte:ZiChanChuZhiSHouYi" label="资产处置收益" mulRef="_GBC_34e415c837e84eed8e46839f812af522" unitRef="_GBC_f2660c2586654164b26a3e8fde13a87d" addr="T0R18C2S1_1" formatStyle="Comma"/>
      <m:item xlName="_GBC_761f27925ad449b6914373a324a2a984" concept="clcid-pte:ZiChanChuZhiSHouYi" label="资产处置收益" periodRef="上年同期数" mulRef="_GBC_34e415c837e84eed8e46839f812af522" unitRef="_GBC_f2660c2586654164b26a3e8fde13a87d" addr="T0R18C3S1_1" formatStyle="Comma"/>
      <m:placeholder xlName="_PLD_2896cb68b55b4be8b101bf791b9c8e7a" addr="T0R19C0S1_1"/>
      <m:item xlName="_GBC_905a930029664953b49fd0b631557869" concept="clcid-ci-ar:FuZhu_YingYeLiRun" label="附注_营业利润" addr="T0R19C1S1_1"/>
      <m:item xlName="_GBC_41ff04d32ce546a2ba90454ff0f776f8" concept="clcid-pte:YingYeLiRun" label="营业利润" mulRef="_GBC_34e415c837e84eed8e46839f812af522" unitRef="_GBC_f2660c2586654164b26a3e8fde13a87d" addr="T0R19C2S1_1" formatStyle="Comma">
        <m:complexRule comparator="Eq" title="营业利润" test=" $_GBC_0c94a738588b4283aad79c9e817c6112 -  $_GBC_67f4b18a7cf44528a56f26a64bd053d0 -  $_GBC_ce0ab56da2d04f8a82d77400262fc8c6 -  $_GBC_c4d98e31cfae4b9dabff631631c45a8e -  $_GBC_6c10ab4fa4b34a4ba641ab3ec37adb3f -  $_GBC_ecf081bc6f644b9480c89b2b0165d28d -  $_GBC_4d8dcdc00956496281fdf280eeb1cb5e +  $_GBC_8799e93d6fe647c682a19af23a2101d6 +  $_GBC_5b1e1d60bb4e40cf82d8f98ff3f87679 +  $_GBC_45655da37e5840c99860b65a07d38eb4 +  $_GBC_645d905bcdc847c6a02bc50e19fa2f06 +  $_GBC_6523d35bb7c342e6ad1399026bb4d0e2 +  $_GBC_ec5a7e97cf4541e2b67c8ef67643c278 +  $_GBC_44d85cbe2559458a8614065af11dfb52" id="Cd44417960b1a4f818b4d3f293c10f6e2"/>
      </m:item>
      <m:item xlName="_GBC_075cb5bb2cd5438aa898bd1647aa60f3" concept="clcid-pte:YingYeLiRun" label="营业利润" periodRef="上年同期数" mulRef="_GBC_34e415c837e84eed8e46839f812af522" unitRef="_GBC_f2660c2586654164b26a3e8fde13a87d" addr="T0R19C3S1_1" formatStyle="Comma">
        <m:complexRule comparator="Eq" title="营业利润@上年同期数" test=" $_GBC_87ee8e7acf164cb1bfdac617cc1e4401 -  $_GBC_6afb54b0059c43a7bb2844c9461f19b2 -  $_GBC_172b9efc0d81428299a3454eb0ff31ee -  $_GBC_7d7f418de9d94fb699256bc663ecf0e9 -  $_GBC_a331d3d6326043aa9fe9ce6c22d9c2bc -  $_GBC_0b5f5f32a42e477c867845aa59149eab -  $_GBC_5916f1241a604221a623f8437ae666fb +  $_GBC_b703db0220c54ab0883fda89f66370c4 +  $_GBC_d2130d4ad74c4b4aaaf0a2666b442fcb +  $_GBC_d14a0db98bca42ad924dead6616e7fce +  $_GBC_e9e6e634426c413b9501f54e5f3e8d56 +  $_GBC_761f27925ad449b6914373a324a2a984 +  $_GBC_18b0df639ed74966ad72ec79dd3f06d0 +  $_GBC_b923dc46d98c42c4b03127d8165d2895" id="Ca984aae4b19b4af6accec4a2707752ce"/>
      </m:item>
      <m:placeholder xlName="_PLD_f086f69ce54d475e8df59b16304563ea" addr="T0R20C0S1_1"/>
      <m:item xlName="_GBC_db8c06612e3043f7986c9c80ac66c72b" concept="clcid-ci-ar:FuZhu_YingYeWaiShouRu" label="附注_营业外收入" addr="T0R20C1S1_1"/>
      <m:item xlName="_GBC_618c2ad9d8a548939468ab2bed9e2cec" concept="clcid-pte:YingYeWaiShouRu" label="营业外收入" mulRef="_GBC_34e415c837e84eed8e46839f812af522" unitRef="_GBC_f2660c2586654164b26a3e8fde13a87d" addr="T0R20C2S1_1" formatStyle="Comma"/>
      <m:item xlName="_GBC_f7f93a60d0e249738d79d156197faa59" concept="clcid-pte:YingYeWaiShouRu" label="营业外收入" periodRef="上年同期数" mulRef="_GBC_34e415c837e84eed8e46839f812af522" unitRef="_GBC_f2660c2586654164b26a3e8fde13a87d" addr="T0R20C3S1_1" formatStyle="Comma"/>
      <m:placeholder xlName="_PLD_c12b38e6b1d4483a8ddb8cc8356c2aab" addr="T0R21C0S1_1"/>
      <m:item xlName="_GBC_5f1cd5a73732464ea194dadc3471a167" concept="clcid-ci-ar:FuZhu_YingYeWaiZhiChu" label="附注_营业外支出" addr="T0R21C1S1_1"/>
      <m:item xlName="_GBC_4a705f9f45b548b6aadfb55fd480d459" concept="clcid-pte:YingYeWaiZhiChu" label="营业外支出" mulRef="_GBC_34e415c837e84eed8e46839f812af522" unitRef="_GBC_f2660c2586654164b26a3e8fde13a87d" addr="T0R21C2S1_1" baseScale="-1" formatStyle="Comma"/>
      <m:item xlName="_GBC_086883be89054c6eaa18dd2ae5bab4d6" concept="clcid-pte:YingYeWaiZhiChu" label="营业外支出" periodRef="上年同期数" mulRef="_GBC_34e415c837e84eed8e46839f812af522" unitRef="_GBC_f2660c2586654164b26a3e8fde13a87d" addr="T0R21C3S1_1" baseScale="-1" formatStyle="Comma"/>
      <m:placeholder xlName="_PLD_2235e61337534d40b5056b8beaa230aa" addr="T0R22C0S1_1"/>
      <m:item xlName="_GBC_6a6b3d2284e24e9f8ebdeca546121e52" concept="clcid-ci-ar:FuZhu_LiRunZongE" label="附注_利润总额" addr="T0R22C1S1_1"/>
      <m:item xlName="_GBC_1cc6694e3a34411688470a4312787000" concept="clcid-pte:LiRunZongE" label="利润总额" mulRef="_GBC_34e415c837e84eed8e46839f812af522" unitRef="_GBC_f2660c2586654164b26a3e8fde13a87d" addr="T0R22C2S1_1" formatStyle="Comma">
        <m:complexRule comparator="Eq" title="利润总额" test=" $_GBC_41ff04d32ce546a2ba90454ff0f776f8 +  $_GBC_618c2ad9d8a548939468ab2bed9e2cec -  $_GBC_4a705f9f45b548b6aadfb55fd480d459" id="C599c893f33d848f3a31f746133e600f1"/>
      </m:item>
      <m:item xlName="_GBC_27329acb691842d6b53d71c4cb00a928" concept="clcid-pte:LiRunZongE" label="利润总额" periodRef="上年同期数" mulRef="_GBC_34e415c837e84eed8e46839f812af522" unitRef="_GBC_f2660c2586654164b26a3e8fde13a87d" addr="T0R22C3S1_1" formatStyle="Comma">
        <m:complexRule comparator="Eq" title="利润总额@上年同期数" test=" $_GBC_075cb5bb2cd5438aa898bd1647aa60f3 +  $_GBC_f7f93a60d0e249738d79d156197faa59 -  $_GBC_086883be89054c6eaa18dd2ae5bab4d6" id="C88147e4b71bc4e48a7039dc64f27a769"/>
      </m:item>
      <m:placeholder xlName="_PLD_8b411e04585846a2bfa8c9512ae426bd" addr="T0R23C0S1_1"/>
      <m:item xlName="_GBC_ee825a5079994ad19bb08d2148517f56" concept="clcid-ci-ar:FuZhu_SuoDeShui" label="附注_所得税" addr="T0R23C1S1_1"/>
      <m:item xlName="_GBC_3281acd611b3493eab8e9a92f1654bed" concept="clcid-pte:SuoDeShui" label="所得税" mulRef="_GBC_34e415c837e84eed8e46839f812af522" unitRef="_GBC_f2660c2586654164b26a3e8fde13a87d" addr="T0R23C2S1_1" baseScale="-1" formatStyle="Comma"/>
      <m:item xlName="_GBC_d4232ae8381043d89b5624610ce634c6" concept="clcid-pte:SuoDeShui" label="所得税" periodRef="上年同期数" mulRef="_GBC_34e415c837e84eed8e46839f812af522" unitRef="_GBC_f2660c2586654164b26a3e8fde13a87d" addr="T0R23C3S1_1" baseScale="-1" formatStyle="Comma"/>
      <m:placeholder xlName="_PLD_59dccf047b764f4ca443935735c169ae" addr="T0R24C0S1_1"/>
      <m:item xlName="_GBC_d28f9a41f81d42dc82d1ea1c245dbc04" concept="clcid-ci-ar:FuZhu_JingLiRun" label="附注_净利润" addr="T0R24C1S1_1"/>
      <m:item xlName="_GBC_0b1d0a12ef16473b85c4e2388d3339d6" concept="clcid-pte:JingLiRun" label="净利润" mulRef="_GBC_34e415c837e84eed8e46839f812af522" unitRef="_GBC_f2660c2586654164b26a3e8fde13a87d" addr="T0R24C2S1_1" formatStyle="Comma">
        <m:complexRule comparator="Eq" title="净利润" test=" $_GBC_1cc6694e3a34411688470a4312787000 -  $_GBC_3281acd611b3493eab8e9a92f1654bed" id="Caf9d5d66fb9942d9883fe836473d3fc0"/>
        <m:complexRule comparator="Eq" title="净利润纵向公式" test=" $_GBC_9be7e1af47894d248ee5eca5bd106824 +  $_GBC_e2a01cdbc8944b55a2a4d6935bdc6185" id="C6abe963ed3e544a8ad47c72dd166b68b"/>
      </m:item>
      <m:item xlName="_GBC_708e0a46243d419c9a46b5f76de03e96" concept="clcid-pte:JingLiRun" label="净利润" periodRef="上年同期数" mulRef="_GBC_34e415c837e84eed8e46839f812af522" unitRef="_GBC_f2660c2586654164b26a3e8fde13a87d" addr="T0R24C3S1_1" formatStyle="Comma">
        <m:complexRule comparator="Eq" title="净利润@上年同期数" test=" $_GBC_27329acb691842d6b53d71c4cb00a928 -  $_GBC_d4232ae8381043d89b5624610ce634c6" id="C8ed14bfc76ab44cebca07d4125a312e7"/>
        <m:complexRule comparator="Eq" title="净利润@上年同期数纵向公式" test=" $_GBC_6cdce91caee344df9db39ee53a6d4b68 +  $_GBC_3179ec2b531548f0bd52fb4272cb2c49" id="Ce04776a24c5f4b57967dd69ae06eb394"/>
      </m:item>
      <m:placeholder xlName="_PLD_725887e6bd744ca88b90f1eec942800d" addr="T0R25C0S1_1"/>
      <m:item xlName="_GBC_e0681443ce0941059acb9b3e923e1249" concept="clcid-ci-ar:FuZhu_ChiXuJingYingJingLiRun" label="附注_持续经营净利润" addr="T0R25C1S1_1"/>
      <m:item xlName="_GBC_9be7e1af47894d248ee5eca5bd106824" concept="clcid-pte:ChiXuJingYingJingLiRun" label="持续经营净利润" mulRef="_GBC_34e415c837e84eed8e46839f812af522" unitRef="_GBC_f2660c2586654164b26a3e8fde13a87d" addr="T0R25C2S1_1" formatStyle="Comma"/>
      <m:item xlName="_GBC_6cdce91caee344df9db39ee53a6d4b68" concept="clcid-pte:ChiXuJingYingJingLiRun" label="持续经营净利润" periodRef="上年同期数" mulRef="_GBC_34e415c837e84eed8e46839f812af522" unitRef="_GBC_f2660c2586654164b26a3e8fde13a87d" addr="T0R25C3S1_1" formatStyle="Comma"/>
      <m:placeholder xlName="_PLD_fc8c889230794bfca4bfb383f6c4a450" addr="T0R26C0S1_1"/>
      <m:item xlName="_GBC_30b5b82f850141ecba4f3dcb8ef202bc" concept="clcid-ci-ar:FuZhu_ZhongZhiJingYingJingLiRun" label="附注_终止经营净利润" addr="T0R26C1S1_1"/>
      <m:item xlName="_GBC_e2a01cdbc8944b55a2a4d6935bdc6185" concept="clcid-pte:ZhongZhiJingYingJingLiRun" label="终止经营净利润" mulRef="_GBC_34e415c837e84eed8e46839f812af522" unitRef="_GBC_f2660c2586654164b26a3e8fde13a87d" addr="T0R26C2S1_1" formatStyle="Comma"/>
      <m:item xlName="_GBC_3179ec2b531548f0bd52fb4272cb2c49" concept="clcid-pte:ZhongZhiJingYingJingLiRun" label="终止经营净利润" periodRef="上年同期数" mulRef="_GBC_34e415c837e84eed8e46839f812af522" unitRef="_GBC_f2660c2586654164b26a3e8fde13a87d" addr="T0R26C3S1_1" formatStyle="Comma"/>
      <m:placeholder xlName="_PLD_0ac1c35db0be40279d37827ea108dc2d" addr="T0R27C0S1_1"/>
      <m:item xlName="_GBC_c86517b05ab24db8970f52073e5a5af5" concept="clcid-ci-ar:FuZhuQiTaZongHeShouYiDeShuiHouJingE" label="附注_其他综合收益的税后净额" addr="T0R27C1S1_1"/>
      <m:item xlName="_GBC_725d40c986084f0bab6f21b2df16fbc8" concept="clcid-pte:QiTaZongHeShouYiDeShuiHouJingE" label="其他综合收益的税后净额" mulRef="_GBC_34e415c837e84eed8e46839f812af522" unitRef="_GBC_f2660c2586654164b26a3e8fde13a87d" addr="T0R27C2S1_1" formatStyle="Comma">
        <m:complexRule comparator="Eq" title="其他综合收益的税后净额" test=" $_GBC_41ded7f5369f499d9c0be33d2b0863bb +  $_GBC_b79452178597485fb895fe9948ced6d8" id="Ca22c9df885d44200a474399def67b737"/>
      </m:item>
      <m:item xlName="_GBC_62093512858b42189b86e146872201a8" concept="clcid-pte:QiTaZongHeShouYiDeShuiHouJingE" label="其他综合收益的税后净额" periodRef="上年同期数" mulRef="_GBC_34e415c837e84eed8e46839f812af522" unitRef="_GBC_f2660c2586654164b26a3e8fde13a87d" addr="T0R27C3S1_1" formatStyle="Comma">
        <m:complexRule comparator="Eq" title="其他综合收益的税后净额@上年同期数" test=" $_GBC_aea08a2b49a54c9fa29256409872481e +  $_GBC_fd13d6d834324587908c059cce925aa8" id="Cccaece1794924c308d23e0c6be5994fc"/>
      </m:item>
      <m:placeholder xlName="_PLD_b15de0347a9c4dceabcdd43d356bf8a5" addr="T0R28C0S1_1"/>
      <m:item xlName="_GBC_659c4d664b1347c0ac7c526799e45123" concept="clcid-ci-ar:FuZhuYiHouBuNengZhongFenLeiJinSunYiDeQiTaZongHeShouYi" label="附注_以后不能重分类进损益的其他综合收益" addr="T0R28C1S1_1"/>
      <m:item xlName="_GBC_41ded7f5369f499d9c0be33d2b0863bb" concept="clcid-pte:YiHouBuNengZhongFenLeiJinSunYiDeQiTaZongHeShouYi" label="以后不能重分类进损益的其他综合收益" mulRef="_GBC_34e415c837e84eed8e46839f812af522" unitRef="_GBC_f2660c2586654164b26a3e8fde13a87d" addr="T0R28C2S1_1" formatStyle="Comma">
        <m:complexRule comparator="Eq" title="以后不能重分类进损益的其他综合收益" test=" $_GBC_eaf8df8838f3478bb240c8bb34ff6876 +  $_GBC_3d1926f20e4442d3a36ddbb3b6a8c96b +  $_GBC_20762d23106c41a986677721fd7a1908 +  $_GBC_df2fcb146dcb49bc8b966b9d12cdd949" id="C573b450285cc44f29124ca81b1d51fc2"/>
      </m:item>
      <m:item xlName="_GBC_aea08a2b49a54c9fa29256409872481e" concept="clcid-pte:YiHouBuNengZhongFenLeiJinSunYiDeQiTaZongHeShouYi" label="以后不能重分类进损益的其他综合收益" periodRef="上年同期数" mulRef="_GBC_34e415c837e84eed8e46839f812af522" unitRef="_GBC_f2660c2586654164b26a3e8fde13a87d" addr="T0R28C3S1_1" formatStyle="Comma">
        <m:complexRule comparator="Eq" title="以后不能重分类进损益的其他综合收益@上年同期数" test=" $_GBC_ebb8295a29e846dca9efa8ee95fc5555 +  $_GBC_9bf0ed915ab9497fa7567d98602453cb +  $_GBC_e105af53662c4bfda41bab6cbb52182c +  $_GBC_3d258f75387e4c87a471a0ea68e6c0cf" id="Ce05dba4e0bf7432687dbd6c9f2d1a7cc"/>
      </m:item>
      <m:placeholder xlName="_PLD_f6892a1041254feca2cb5243222ae046" addr="T0R29C0S1_1"/>
      <m:item xlName="_GBC_1a39438f51dc4a91bc0613ed4f4ec77f" concept="clcid-ci-ar:FuZhuZhongXinJiLiangSheDingShouYiJiHuaJingFuZhaiHuoJingZiChanDeBianDong" label="附注_重新计量设定受益计划净负债或净资产的变动" addr="T0R29C1S1_1"/>
      <m:item xlName="_GBC_eaf8df8838f3478bb240c8bb34ff6876" concept="clcid-pte:ChongXinJiLiangSheDingShouYiJiHuaJingFuZhaiHuoJingZiChanDeBianDong" label="重新计量设定受益计划净负债或净资产的变动" mulRef="_GBC_34e415c837e84eed8e46839f812af522" unitRef="_GBC_f2660c2586654164b26a3e8fde13a87d" addr="T0R29C2S1_1" formatStyle="Comma"/>
      <m:item xlName="_GBC_ebb8295a29e846dca9efa8ee95fc5555" concept="clcid-pte:ChongXinJiLiangSheDingShouYiJiHuaJingFuZhaiHuoJingZiChanDeBianDong" label="重新计量设定受益计划净负债或净资产的变动" periodRef="上年同期数" mulRef="_GBC_34e415c837e84eed8e46839f812af522" unitRef="_GBC_f2660c2586654164b26a3e8fde13a87d" addr="T0R29C3S1_1" formatStyle="Comma"/>
      <m:placeholder xlName="_PLD_0a2c4dc69c4c430c995a908418af56dd" addr="T0R30C0S1_1"/>
      <m:item xlName="_GBC_feaf6367012845b89e373b49e1661afc" concept="clcid-ci-ar:FuZhuQuanYiFaXiaZaiBeiTouZiDanWeiBuNengZhongFenLeiJinSunYiDeQiTaZongHeShouYiZhongXiangYouDeFenE" label="附注_权益法下在被投资单位不能重分类进损益的其他综合收益中享有的份额" addr="T0R30C1S1_1"/>
      <m:item xlName="_GBC_3d1926f20e4442d3a36ddbb3b6a8c96b" concept="clcid-pte:QuanYiFaXiaZaiBeiTouZiDanWeiBuNengZhongFenLeiJinSunYiDeQiTaZongHeShouYiZhongXiangYouDeFenE" label="权益法下在被投资单位不能重分类进损益的其他综合收益中享有的份额" mulRef="_GBC_34e415c837e84eed8e46839f812af522" unitRef="_GBC_f2660c2586654164b26a3e8fde13a87d" addr="T0R30C2S1_1" formatStyle="Comma"/>
      <m:item xlName="_GBC_9bf0ed915ab9497fa7567d98602453cb" concept="clcid-pte:QuanYiFaXiaZaiBeiTouZiDanWeiBuNengZhongFenLeiJinSunYiDeQiTaZongHeShouYiZhongXiangYouDeFenE" label="权益法下在被投资单位不能重分类进损益的其他综合收益中享有的份额" periodRef="上年同期数" mulRef="_GBC_34e415c837e84eed8e46839f812af522" unitRef="_GBC_f2660c2586654164b26a3e8fde13a87d" addr="T0R30C3S1_1" formatStyle="Comma"/>
      <m:placeholder xlName="_PLD_76962e762f6a4bf1b0bed82972524958" addr="T0R31C0S1_1"/>
      <m:item xlName="_GBC_7262a446ad9a4f80be84850e1f68a81c" concept="clcid-ci-ar:FuZhu_QiTaQuanYiGongJuTouZiGongYunJiaZhiBianDong" label="附注_其他权益工具投资公允价值变动" addr="T0R31C1S1_1"/>
      <m:item xlName="_GBC_20762d23106c41a986677721fd7a1908" concept="clcid-pte:QiTaQuanYiGongJuTouZiGongYunJiaZhiBianDong" label="其他权益工具投资公允价值变动" mulRef="_GBC_34e415c837e84eed8e46839f812af522" unitRef="_GBC_f2660c2586654164b26a3e8fde13a87d" addr="T0R31C2S1_1" formatStyle="Comma"/>
      <m:item xlName="_GBC_e105af53662c4bfda41bab6cbb52182c" concept="clcid-pte:QiTaQuanYiGongJuTouZiGongYunJiaZhiBianDong" label="其他权益工具投资公允价值变动" periodRef="上年同期数" mulRef="_GBC_34e415c837e84eed8e46839f812af522" unitRef="_GBC_f2660c2586654164b26a3e8fde13a87d" addr="T0R31C3S1_1" formatStyle="Comma"/>
      <m:placeholder xlName="_PLD_d63f4e60a14d4625b078951960773edb" addr="T0R32C0S1_1"/>
      <m:item xlName="_GBC_633b0d9c53ca4ad0852310c358d2062a" concept="clcid-ci-ar:FuZhu_QiYeZiShenXinYongFengXianGongYunJiaZhiBianDong" label="附注_企业自身信用风险公允价值变动" addr="T0R32C1S1_1"/>
      <m:item xlName="_GBC_df2fcb146dcb49bc8b966b9d12cdd949" concept="clcid-pte:QiYeZiShenXinYongFengXianGongYunJiaZhiBianDong" label="企业自身信用风险公允价值变动" mulRef="_GBC_34e415c837e84eed8e46839f812af522" unitRef="_GBC_f2660c2586654164b26a3e8fde13a87d" addr="T0R32C2S1_1" formatStyle="Comma"/>
      <m:item xlName="_GBC_3d258f75387e4c87a471a0ea68e6c0cf" concept="clcid-pte:QiYeZiShenXinYongFengXianGongYunJiaZhiBianDong" label="企业自身信用风险公允价值变动" periodRef="上年同期数" mulRef="_GBC_34e415c837e84eed8e46839f812af522" unitRef="_GBC_f2660c2586654164b26a3e8fde13a87d" addr="T0R32C3S1_1" formatStyle="Comma"/>
      <m:placeholder xlName="_PLD_91309bb911f54967aaa215b2b868c3f4" addr="T0R33C0S1_1"/>
      <m:item xlName="_GBC_f9285d2fe2bf44aa8b7a829da4033937" concept="clcid-ci-ar:FuZhuYiHouJiangZhongFenLeiJinSunYiDeQiTaZongHeShouYi" label="附注_以后将重分类进损益的其他综合收益" addr="T0R33C1S1_1"/>
      <m:item xlName="_GBC_b79452178597485fb895fe9948ced6d8" concept="clcid-pte:YiHouJiangZhongFenLeiJinSunYiDeQiTaZongHeShouYi" label="以后将重分类进损益的其他综合收益" mulRef="_GBC_34e415c837e84eed8e46839f812af522" unitRef="_GBC_f2660c2586654164b26a3e8fde13a87d" addr="T0R33C2S1_1" formatStyle="Comma">
        <m:complexRule comparator="Eq" title="以后将重分类进损益的其他综合收益" test=" $_GBC_701d5838d922406eb050155987be39fa +  $_GBC_322599bd3ba84e44a6aa1cea77db747a +  $_GBC_29c3d491013a4bddb808865c7cf1a428 +  $_GBC_435eda10d027414c86f12240926c79bb +  $_GBC_e03f7e90971b402d89ee49cd7648490c +  $_GBC_6fe1ea6ee47945399a0393dd73e2924b +  $_GBC_240b11c6575b40b28bcf6d250d0910fe" id="C24edfd5b521543cb8be04df914944f49"/>
      </m:item>
      <m:item xlName="_GBC_fd13d6d834324587908c059cce925aa8" concept="clcid-pte:YiHouJiangZhongFenLeiJinSunYiDeQiTaZongHeShouYi" label="以后将重分类进损益的其他综合收益" periodRef="上年同期数" mulRef="_GBC_34e415c837e84eed8e46839f812af522" unitRef="_GBC_f2660c2586654164b26a3e8fde13a87d" addr="T0R33C3S1_1" formatStyle="Comma">
        <m:complexRule comparator="Eq" title="以后将重分类进损益的其他综合收益@上年同期数" test=" $_GBC_af7f498876a04ce6acae7ad3f173d864 +  $_GBC_fda596a561ed475b938ba6a9a125f66b +  $_GBC_78f297db256942ff8d44a442868b4258 +  $_GBC_03881a889c7d4022805da955c70bf745 +  $_GBC_725a149020a74ac599afb6ba8d7ff50a +  $_GBC_55e2d75ade764aba90fc16ebbf7c92fe +  $_GBC_5eea2ff9909a40308748879eb61f91ae" id="C69d2a15301c14ef48065c0a886ed3f48"/>
      </m:item>
      <m:placeholder xlName="_PLD_fac84df184f84681bb09df0beba12ed8" addr="T0R34C0S1_1"/>
      <m:item xlName="_GBC_15f1924bc33249738da00cc8a689e716" concept="clcid-ci-ar:FuZhuQuanYiFaXiaZaiBeiTouZiDanWeiYiHouJiangZhongFenLeiJinSunYiDeQiTaZongHeShouYiZhongXiangYouDeFenE" label="附注_权益法下在被投资单位以后将重分类进损益的其他综合收益中享有的份额" addr="T0R34C1S1_1"/>
      <m:item xlName="_GBC_701d5838d922406eb050155987be39fa" concept="clcid-pte:QuanYiFaXiaZaiBeiTouZiDanWeiYiHouJiangZhongFenLeiJinSunYiDeQiTaZongHeShouYiZhongXiangYouDeFenE" label="权益法下在被投资单位以后将重分类进损益的其他综合收益中享有的份额" mulRef="_GBC_34e415c837e84eed8e46839f812af522" unitRef="_GBC_f2660c2586654164b26a3e8fde13a87d" addr="T0R34C2S1_1" formatStyle="Comma"/>
      <m:item xlName="_GBC_af7f498876a04ce6acae7ad3f173d864" concept="clcid-pte:QuanYiFaXiaZaiBeiTouZiDanWeiYiHouJiangZhongFenLeiJinSunYiDeQiTaZongHeShouYiZhongXiangYouDeFenE" label="权益法下在被投资单位以后将重分类进损益的其他综合收益中享有的份额" periodRef="上年同期数" mulRef="_GBC_34e415c837e84eed8e46839f812af522" unitRef="_GBC_f2660c2586654164b26a3e8fde13a87d" addr="T0R34C3S1_1" formatStyle="Comma"/>
      <m:placeholder xlName="_PLD_85c4c3177d5e4028b90fe424d1deabc3" addr="T0R35C0S1_1"/>
      <m:item xlName="_GBC_d53f28f2ffe740119de1a466dfa549a9" concept="clcid-ci-ar:FuZhu_QiTaZhaiQuanTouZiGongYunJiaZhiBianDong" label="附注_其他债权投资公允价值变动" addr="T0R35C1S1_1"/>
      <m:item xlName="_GBC_322599bd3ba84e44a6aa1cea77db747a" concept="clcid-pte:QiTaZhaiQuanTouZiGongYunJiaZhiBianDong" label="其他债权投资公允价值变动" mulRef="_GBC_34e415c837e84eed8e46839f812af522" unitRef="_GBC_f2660c2586654164b26a3e8fde13a87d" addr="T0R35C2S1_1" formatStyle="Comma"/>
      <m:item xlName="_GBC_fda596a561ed475b938ba6a9a125f66b" concept="clcid-pte:QiTaZhaiQuanTouZiGongYunJiaZhiBianDong" label="其他债权投资公允价值变动" periodRef="上年同期数" mulRef="_GBC_34e415c837e84eed8e46839f812af522" unitRef="_GBC_f2660c2586654164b26a3e8fde13a87d" addr="T0R35C3S1_1" formatStyle="Comma"/>
      <m:placeholder xlName="_PLD_0f95411f0bca4aae92a720c3cb7defb1" addr="T0R36C0S1_1"/>
      <m:item xlName="_GBC_35986d052c2345f5b9bac677c5171c5a" concept="clcid-ci-ar:FuZhu_JinRongZiChanChongFenLeiJiRuQiTaZongHeShouYiDeJinE" label="附注_金融资产重分类计入其他综合收益的金额" addr="T0R36C1S1_1"/>
      <m:item xlName="_GBC_29c3d491013a4bddb808865c7cf1a428" concept="clcid-pte:JinRongZiChanChongFenLeiJiRuQiTaZongHeShouYiDeJinE" label="金融资产重分类计入其他综合收益的金额" mulRef="_GBC_34e415c837e84eed8e46839f812af522" unitRef="_GBC_f2660c2586654164b26a3e8fde13a87d" addr="T0R36C2S1_1" formatStyle="Comma"/>
      <m:item xlName="_GBC_78f297db256942ff8d44a442868b4258" concept="clcid-pte:JinRongZiChanChongFenLeiJiRuQiTaZongHeShouYiDeJinE" label="金融资产重分类计入其他综合收益的金额" periodRef="上年同期数" mulRef="_GBC_34e415c837e84eed8e46839f812af522" unitRef="_GBC_f2660c2586654164b26a3e8fde13a87d" addr="T0R36C3S1_1" formatStyle="Comma"/>
      <m:placeholder xlName="_PLD_40debdabc6224488ac054d508f4e8994" addr="T0R37C0S1_1"/>
      <m:item xlName="_GBC_f0a61aa1e1b14449b31c8981e5d231c5" concept="clcid-ci-ar:FuZhu_QiTaZhaiQuanTouZiXinYongJianZhiZhunBei" label="附注_其他债权投资信用减值准备" addr="T0R37C1S1_1"/>
      <m:item xlName="_GBC_435eda10d027414c86f12240926c79bb" concept="clcid-pte:QiTaZhaiQuanTouZiXinYongJianZhiZhunBei" label="其他债权投资信用减值准备" mulRef="_GBC_34e415c837e84eed8e46839f812af522" unitRef="_GBC_f2660c2586654164b26a3e8fde13a87d" addr="T0R37C2S1_1" formatStyle="Comma"/>
      <m:item xlName="_GBC_03881a889c7d4022805da955c70bf745" concept="clcid-pte:QiTaZhaiQuanTouZiXinYongJianZhiZhunBei" label="其他债权投资信用减值准备" periodRef="上年同期数" mulRef="_GBC_34e415c837e84eed8e46839f812af522" unitRef="_GBC_f2660c2586654164b26a3e8fde13a87d" addr="T0R37C3S1_1" formatStyle="Comma"/>
      <m:placeholder xlName="_PLD_ff358146787f48d08377e607183648e5" addr="T0R38C0S1_1"/>
      <m:item xlName="_GBC_a05bb4c8120f4fb6a24fed2fbaad26a0" concept="clcid-ci-ar:FuZhuXianJinLiuLiangTaoQiSunYiDeYouXiaoBuFen" label="附注_现金流量套期损益的有效部分" addr="T0R38C1S1_1"/>
      <m:item xlName="_GBC_e03f7e90971b402d89ee49cd7648490c" concept="clcid-pte:XianJinLiuLiangTaoQiSunYiDeYouXiaoBuFen" label="现金流量套期损益的有效部分" mulRef="_GBC_34e415c837e84eed8e46839f812af522" unitRef="_GBC_f2660c2586654164b26a3e8fde13a87d" addr="T0R38C2S1_1" formatStyle="Comma"/>
      <m:item xlName="_GBC_725a149020a74ac599afb6ba8d7ff50a" concept="clcid-pte:XianJinLiuLiangTaoQiSunYiDeYouXiaoBuFen" label="现金流量套期损益的有效部分" periodRef="上年同期数" mulRef="_GBC_34e415c837e84eed8e46839f812af522" unitRef="_GBC_f2660c2586654164b26a3e8fde13a87d" addr="T0R38C3S1_1" formatStyle="Comma"/>
      <m:placeholder xlName="_PLD_ce99240744f94443a12372f5bebcdc7d" addr="T0R39C0S1_1"/>
      <m:item xlName="_GBC_804270eadce64a4fa12a5b920f0fd4c9" concept="clcid-ci-ar:FuZhuWaiBiCaiWuBaoBiaoZheSuanChaE" label="附注_外币财务报表折算差额" addr="T0R39C1S1_1"/>
      <m:item xlName="_GBC_6fe1ea6ee47945399a0393dd73e2924b" concept="clcid-pte:WaiBiCaiWuBaoBiaoZheSuanChaE" label="外币财务报表折算差额" mulRef="_GBC_34e415c837e84eed8e46839f812af522" unitRef="_GBC_f2660c2586654164b26a3e8fde13a87d" addr="T0R39C2S1_1" formatStyle="Comma"/>
      <m:item xlName="_GBC_55e2d75ade764aba90fc16ebbf7c92fe" concept="clcid-pte:WaiBiCaiWuBaoBiaoZheSuanChaE" label="外币财务报表折算差额" periodRef="上年同期数" mulRef="_GBC_34e415c837e84eed8e46839f812af522" unitRef="_GBC_f2660c2586654164b26a3e8fde13a87d" addr="T0R39C3S1_1" formatStyle="Comma"/>
      <m:placeholder xlName="_PLD_f4eca88a48ed4bd89ba8d1a8e74e46d0" addr="T0R40C0S1_1"/>
      <m:item xlName="_GBC_0f343c5925094766ab38149f57878565" concept="clcid-ci-ar:FuZhuYiHouJiangZhongFenLeiJinSunYiDeQiTaZongHeShouYiQiTa" label="附注_以后将重分类进损益的其他综合收益-其他" addr="T0R40C1S1_1"/>
      <m:item xlName="_GBC_240b11c6575b40b28bcf6d250d0910fe" concept="clcid-pte:YiHouJiangZhongFenLeiJinSunYiDeQiTaZongHeShouYiQiTa" label="以后将重分类进损益的其他综合收益-其他" mulRef="_GBC_34e415c837e84eed8e46839f812af522" unitRef="_GBC_f2660c2586654164b26a3e8fde13a87d" addr="T0R40C2S1_1" formatStyle="Comma"/>
      <m:item xlName="_GBC_5eea2ff9909a40308748879eb61f91ae" concept="clcid-pte:YiHouJiangZhongFenLeiJinSunYiDeQiTaZongHeShouYiQiTa" label="以后将重分类进损益的其他综合收益-其他" periodRef="上年同期数" mulRef="_GBC_34e415c837e84eed8e46839f812af522" unitRef="_GBC_f2660c2586654164b26a3e8fde13a87d" addr="T0R40C3S1_1" formatStyle="Comma"/>
      <m:placeholder xlName="_PLD_706116c01cf64156a997a131153c4494" addr="T0R41C0S1_1"/>
      <m:item xlName="_GBC_4c00bfcd3a2f4e92b37452e44d9a68cb" concept="clcid-ci-ar:FuZhu_ZongHeShouYiZongE" label="附注_综合收益总额" addr="T0R41C1S1_1"/>
      <m:item xlName="_GBC_26b8e5fc98f6468aa87997f6cd48d625" concept="clcid-pte:ZongHeShouYiZongE" label="综合收益总额" mulRef="_GBC_34e415c837e84eed8e46839f812af522" unitRef="_GBC_f2660c2586654164b26a3e8fde13a87d" addr="T0R41C2S1_1" formatStyle="Comma"/>
      <m:item xlName="_GBC_12bd0fb623734840ad6657fe08a69a51" concept="clcid-pte:ZongHeShouYiZongE" label="综合收益总额" periodRef="上年同期数" mulRef="_GBC_34e415c837e84eed8e46839f812af522" unitRef="_GBC_f2660c2586654164b26a3e8fde13a87d" addr="T0R41C3S1_1" formatStyle="Comma"/>
      <m:placeholder xlName="_PLD_66ab9c261d1b4be9a4c22d7bcb216450" addr="T0R42C0S1_1"/>
      <m:placeholder xlName="_PLD_8585e9b578034e76a9a78cf0a1d79e08" addr="T0R43C0S1_1"/>
      <m:item xlName="_GBC_f7c54f3767ac464f9e112a13e8806e54" concept="clcid-ci-ar:FuZhu_JiBenMeiGuShouYi" label="附注_基本每股收益" addr="T0R43C1S1_1"/>
      <m:item xlName="_GBC_3d9c7e9e75094d38b6518c331f48f8e2" concept="clcid-pte:JiBenMeiGuShouYi" label="基本每股收益" unitRef="_GBC_125a2547934143ccb384434361f57d37" addr="T0R43C2S1_1" formatStyle="Comma" fixedType="EPS"/>
      <m:item xlName="_GBC_d7742a4b58b74b1f8aa3f205134bce04" concept="clcid-pte:JiBenMeiGuShouYi" label="基本每股收益" periodRef="上年同期数" unitRef="_GBC_125a2547934143ccb384434361f57d37" addr="T0R43C3S1_1" formatStyle="Comma" fixedType="EPS"/>
      <m:placeholder xlName="_PLD_1d01c68025744a66a934152331de3b45" addr="T0R44C0S1_1"/>
      <m:item xlName="_GBC_cfb074f41b664fdd826202b8478f3221" concept="clcid-ci-ar:FuZhu_XiShiMeiGuShouYi" label="附注_稀释每股收益" addr="T0R44C1S1_1"/>
      <m:item xlName="_GBC_e75cc435be0c44e68f635cce900e7217" concept="clcid-pte:XiShiMeiGuShouYi" label="稀释每股收益" unitRef="_GBC_125a2547934143ccb384434361f57d37" addr="T0R44C2S1_1" formatStyle="Comma" fixedType="EPS"/>
      <m:item xlName="_GBC_df818ea6b1864a8db2967ed4152c97df" concept="clcid-pte:XiShiMeiGuShouYi" label="稀释每股收益" periodRef="上年同期数" unitRef="_GBC_125a2547934143ccb384434361f57d37" addr="T0R44C3S1_1" formatStyle="Comma" fixedType="EPS"/>
      <m:item xlName="_GBC_9d6caf56e21745d3978217539d3945c2" concept="clcid-mr:GongSiFuZeRenXingMing" label="公司负责人姓名" binding="true"/>
      <m:item xlName="_GBC_f6ea3ac8976c47519c0433d2c66ed20f" concept="clcid-mr:ZhuGuanKuaiJiGongZuoFuZeRenXingMing" label="主管会计工作负责人姓名" binding="true"/>
      <m:item xlName="_GBC_014f49147db6456caf4538fd5d691051" concept="clcid-mr:KuaiJiJiGouFuZeRenXingMing" label="会计机构负责人姓名" binding="true"/>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m:region xlName="_GBC_17c43da24c7845d3aa093910aeaf2348" title="合并现金流量表" helpId="112001001">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2a3b6af3ab824e2db1022630f7a58e18" addr="T0R0C0S1_1"/>
        <m:placeholder xlName="_PLD_49df1a6f5a224085bdcd56671a898d47" addr="T0R0C1S1_1"/>
        <m:placeholder xlName="_PLD_aba5e14092764f689b78fdbe9892bc51" addr="T0R0C2S1_1"/>
        <m:placeholder xlName="_PLD_8cac70c6f00c4266a9b8cff482cc71cc" addr="T0R0C3S1_1"/>
        <m:placeholder xlName="_PLD_ffd119a1ffa641c1a00397806a78ee23" addr="T0R1C0S1_1"/>
        <m:placeholder xlName="_PLD_3737bef37bc541e2b41571186e0af02f"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addr="T0R28C0S1_1"/>
        <m:placeholder xlName="_PLD_95fbf0328fd24ef59c8541003255b0f4"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addr="T0R42C0S1_1"/>
        <m:placeholder xlName="_PLD_d87e16dcff524c8fab8d4804bc3560eb"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20ae0904ed714106892a5beddfe5846a" addr="T1R0C0S1_1"/>
        <m:placeholder xlName="_PLD_9cb87427e0de42d2b7e58a286ff58290" addr="T1R0C1S1_1"/>
        <m:placeholder xlName="_PLD_514bbce28b6040e393e59c5ec50c3820" addr="T1R0C2S1_1"/>
        <m:placeholder xlName="_PLD_de39c3f730c74ecca3c9a890bc08a2c1" addr="T1R0C3S1_1"/>
        <m:placeholder xlName="_PLD_575fd724a7cb4261a6c80660162ce2fb" addr="T1R1C0S1_1"/>
        <m:placeholder xlName="_PLD_82863635c2aa4636ad77b92e44fbd77d"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addr="T1R12C0S1_1"/>
        <m:placeholder xlName="_PLD_beb5ade569574a3c87ebe15ef758047a"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addr="T1R25C0S1_1"/>
        <m:placeholder xlName="_PLD_12516ea91b664cd98125761df9d8009e"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582279cbdaae4511a910f48f9e3dffa3" addr="T0R0C0S1_1"/>
      <m:placeholder xlName="_PLD_4014aed37d9d46cca4d66ef80014e8b7" addr="T0R0C1S1_1"/>
      <m:placeholder xlName="_PLD_d6ece740e8844ecdb51ff56d7f7ef2cd" addr="T0R0C2S1_1"/>
      <m:placeholder xlName="_PLD_1901f018b5294ca78c0b455e031d6731" addr="T0R0C3S1_1"/>
      <m:placeholder xlName="_PLD_d28755f4a0b44158a4a55fc1b01b3765" addr="T0R1C0S1_1"/>
      <m:placeholder xlName="_PLD_97f6445b38fe4e84bfb6923114bfadd9" addr="T0R2C0S1_1"/>
      <m:item xlName="_GBC_3a1b2dcd4eab47eb994323f3ac11a3f0" concept="clcid-ci-ar:FuZhu_XiaoShouShangPinTiGongLaoWuShouDaoDeXianJin" label="附注_销售商品提供劳务收到的现金" addr="T0R2C1S1_1"/>
      <m:item xlName="_GBC_1b70b3c1d618465e9bf933d03ac07122" concept="clcid-pte:XiaoShouShangPinTiGongLaoWuShouDaoDeXianJin" label="销售商品提供劳务收到的现金" mulRef="_GBC_72a5fd28efa142459207d964e7abe8be" unitRef="_GBC_7e7d8c5ee26d4ee886fa73f729cc8f8d" addr="T0R2C2S1_1" formatStyle="Comma"/>
      <m:item xlName="_GBC_4eaa16449e7c4591bbdc6a3440e02492" concept="clcid-pte:XiaoShouShangPinTiGongLaoWuShouDaoDeXianJin" label="销售商品提供劳务收到的现金" periodRef="上年同期数" mulRef="_GBC_72a5fd28efa142459207d964e7abe8be" unitRef="_GBC_7e7d8c5ee26d4ee886fa73f729cc8f8d" addr="T0R2C3S1_1" formatStyle="Comma"/>
      <m:placeholder xlName="_PLD_2d1c334884a64b22bfca56fcbfd287b1" addr="T0R3C0S1_1"/>
      <m:item xlName="_GBC_f771fd1bf8ca4c76930a4a10368d5b24" concept="clcid-ci-ar:FuZhu_ShouDaoDeShuiFeiFanHuan" label="附注_收到的税费返还" addr="T0R3C1S1_1"/>
      <m:item xlName="_GBC_5de61d793e03440fbbb20ab8589a3fe4" concept="clcid-pte:ShouDaoDeShuiFeiFanHuan" label="收到的税费返还" mulRef="_GBC_72a5fd28efa142459207d964e7abe8be" unitRef="_GBC_7e7d8c5ee26d4ee886fa73f729cc8f8d" addr="T0R3C2S1_1" formatStyle="Comma"/>
      <m:item xlName="_GBC_c4daf7b1db2a48eb99d4fb786b376ca8" concept="clcid-pte:ShouDaoDeShuiFeiFanHuan" label="收到的税费返还" periodRef="上年同期数" mulRef="_GBC_72a5fd28efa142459207d964e7abe8be" unitRef="_GBC_7e7d8c5ee26d4ee886fa73f729cc8f8d" addr="T0R3C3S1_1" formatStyle="Comma"/>
      <m:placeholder xlName="_PLD_c83dcb52974b4ad3b497e5d78da2a42b" addr="T0R4C0S1_1"/>
      <m:item xlName="_GBC_2dba4b40527b4ff78474822d565df42d" concept="clcid-ci-ar:FuZhu_ShouDaoDeQiTaYuJingYingHuoDongYouGuanDeXianJin" label="附注_收到的其他与经营活动有关的现金" addr="T0R4C1S1_1"/>
      <m:item xlName="_GBC_f501a984886d49dcb2cc3e921b543204" concept="clcid-pte:ShouDaoDeQiTaYuJingYingHuoDongYouGuanDeXianJin" label="收到的其他与经营活动有关的现金" mulRef="_GBC_72a5fd28efa142459207d964e7abe8be" unitRef="_GBC_7e7d8c5ee26d4ee886fa73f729cc8f8d" addr="T0R4C2S1_1" formatStyle="Comma"/>
      <m:item xlName="_GBC_2c21aa08a1e7476f9b35c66dfbed36de"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9b23dad44723489cbb7787e39753be7c" addr="T0R5C0S1_1"/>
      <m:item xlName="_GBC_1c2b886a90484cb9933c62fd6a4c51a9" concept="clcid-ci-ar:FuZhu_JingYingHuoDongXianJinLiuRuXiaoJi" label="附注_经营活动现金流入小计" addr="T0R5C1S1_1"/>
      <m:item xlName="_GBC_3aff201d39af4049b5120d333c5b5159" concept="clcid-pte:JingYingHuoDongXianJinLiuRuXiaoJi" label="经营活动现金流入小计" mulRef="_GBC_72a5fd28efa142459207d964e7abe8be" unitRef="_GBC_7e7d8c5ee26d4ee886fa73f729cc8f8d" addr="T0R5C2S1_1" formatStyle="Comma">
        <m:complexRule comparator="Eq" title="经营活动现金流入小计" test=" $_GBC_1b70b3c1d618465e9bf933d03ac07122 +  $_GBC_5de61d793e03440fbbb20ab8589a3fe4 +  $_GBC_f501a984886d49dcb2cc3e921b543204" id="C092bf20fa8b04dacb6c41c18bed4db02" radius="0.0001"/>
      </m:item>
      <m:item xlName="_GBC_6094279fa58544c6825cf406fc4b6282"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4eaa16449e7c4591bbdc6a3440e02492 +  $_GBC_c4daf7b1db2a48eb99d4fb786b376ca8 +  $_GBC_2c21aa08a1e7476f9b35c66dfbed36de" id="C9a90ffeb4d324292b4bbbfba980bf8b5" radius="0.0001"/>
      </m:item>
      <m:placeholder xlName="_PLD_24553cad381d48c09e0f2d5a3849a8cd" addr="T0R6C0S1_1"/>
      <m:item xlName="_GBC_1694cb1fb84c4b0eb8aa437a6fd2ca18" concept="clcid-ci-ar:FuZhu_GouMaiShangPinJieShouLaoWuZhiFuDeXianJin" label="附注_购买商品接受劳务支付的现金" addr="T0R6C1S1_1"/>
      <m:item xlName="_GBC_76e8288b0d0b48068ffc3b6c84ee624f" concept="clcid-pte:GouMaiShangPinJieShouLaoWuZhiFuDeXianJin" label="购买商品接受劳务支付的现金" mulRef="_GBC_72a5fd28efa142459207d964e7abe8be" unitRef="_GBC_7e7d8c5ee26d4ee886fa73f729cc8f8d" addr="T0R6C2S1_1" baseScale="-1" formatStyle="Comma"/>
      <m:item xlName="_GBC_2ce48ac55e06401ea348d6c813339a56"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2dce4b735147432e9a23049f9ed2ac6e" addr="T0R7C0S1_1"/>
      <m:item xlName="_GBC_e0e1a1bebac543dfa88c049f4323fda5" concept="clcid-ci-ar:FuZhu_ZhiFuGeiZhiGongYiJiWeiZhiGongZhiFuDeXianJin" label="附注_支付给职工以及为职工支付的现金" addr="T0R7C1S1_1"/>
      <m:item xlName="_GBC_1c316ce3ecf0478aafa72e8fc8643140" concept="clcid-pte:ZhiFuGeiZhiGongYiJiWeiZhiGongZhiFuDeXianJin" label="支付给职工以及为职工支付的现金" mulRef="_GBC_72a5fd28efa142459207d964e7abe8be" unitRef="_GBC_7e7d8c5ee26d4ee886fa73f729cc8f8d" addr="T0R7C2S1_1" baseScale="-1" formatStyle="Comma"/>
      <m:item xlName="_GBC_9ba9343e8ca9455e98058beb60f57fb0"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a0208822de284354a6e95edb4e83b4fd" addr="T0R8C0S1_1"/>
      <m:item xlName="_GBC_611dcfc432c6467aa87b1a9715ef3a47" concept="clcid-ci-ar:FuZhu_ZhiFuDeGeXiangShuiFei" label="附注_支付的各项税费" addr="T0R8C1S1_1"/>
      <m:item xlName="_GBC_b3b2db08ac2e459ea46162c9dc6157d0" concept="clcid-pte:ZhiFuDeGeXiangShuiFei" label="支付的各项税费" mulRef="_GBC_72a5fd28efa142459207d964e7abe8be" unitRef="_GBC_7e7d8c5ee26d4ee886fa73f729cc8f8d" addr="T0R8C2S1_1" baseScale="-1" formatStyle="Comma"/>
      <m:item xlName="_GBC_e5c17189b64c4f438832b3af5c166e79" concept="clcid-pte:ZhiFuDeGeXiangShuiFei" label="支付的各项税费" periodRef="上年同期数" mulRef="_GBC_72a5fd28efa142459207d964e7abe8be" unitRef="_GBC_7e7d8c5ee26d4ee886fa73f729cc8f8d" addr="T0R8C3S1_1" baseScale="-1" formatStyle="Comma"/>
      <m:placeholder xlName="_PLD_42147e8896974d0f8d3cdacf2e9da3c3" addr="T0R9C0S1_1"/>
      <m:item xlName="_GBC_e9c2d460b4d6458389851b5bee33f36a" concept="clcid-ci-ar:FuZhu_ZhiFuDeQiTaYuJingYingHuoDongYouGuanDeXianJin" label="附注_支付的其他与经营活动有关的现金" addr="T0R9C1S1_1"/>
      <m:item xlName="_GBC_ffe0f3db9e0648f28cc834c46a18b95e" concept="clcid-pte:ZhiFuDeQiTaYuJingYingHuoDongYouGuanDeXianJin" label="支付的其他与经营活动有关的现金" mulRef="_GBC_72a5fd28efa142459207d964e7abe8be" unitRef="_GBC_7e7d8c5ee26d4ee886fa73f729cc8f8d" addr="T0R9C2S1_1" baseScale="-1" formatStyle="Comma"/>
      <m:item xlName="_GBC_69b2771c888043f88806697b64d60c24"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fc91d68653d4c0884518659b433f5eb" addr="T0R10C0S1_1"/>
      <m:item xlName="_GBC_26e349df7a5043df91deedc08445e821" concept="clcid-ci-ar:FuZhu_JingYingHuoDongXianJinLiuChuXiaoJi" label="附注_经营活动现金流出小计" addr="T0R10C1S1_1"/>
      <m:item xlName="_GBC_b530f46f8ee94449aef78a5c72c2cbf5"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76e8288b0d0b48068ffc3b6c84ee624f +  $_GBC_1c316ce3ecf0478aafa72e8fc8643140 +  $_GBC_b3b2db08ac2e459ea46162c9dc6157d0 +  $_GBC_ffe0f3db9e0648f28cc834c46a18b95e" id="Cb3de4845eedf4c8286985121437ca255" radius="0.0001"/>
      </m:item>
      <m:item xlName="_GBC_b23d50c6f9994ba28c6ff8c996977da0"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2ce48ac55e06401ea348d6c813339a56 +  $_GBC_9ba9343e8ca9455e98058beb60f57fb0 +  $_GBC_e5c17189b64c4f438832b3af5c166e79 +  $_GBC_69b2771c888043f88806697b64d60c24" id="C7629def2098b4ec0990b49764cd09c3a" radius="0.0001"/>
      </m:item>
      <m:placeholder xlName="_PLD_dafe981259d241a3a8630ec654d2fa40" addr="T0R11C0S1_1"/>
      <m:item xlName="_GBC_50d3589d66564e02b56d61f307d127b9" concept="clcid-ci-ar:FuZhu_JingYingHuoDongXianJinLiuLiangJingE" label="附注_经营活动现金流量净额" addr="T0R11C1S1_1"/>
      <m:item xlName="_GBC_be61c1f84b7d4ef493ba7eb40c0a738f"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3aff201d39af4049b5120d333c5b5159 -  $_GBC_b530f46f8ee94449aef78a5c72c2cbf5" id="C6e66175597564898b46ac8a180c23dfa" radius="0.0001"/>
      </m:item>
      <m:item xlName="_GBC_80755df3e41b4045bbe32eb72e37355b"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6094279fa58544c6825cf406fc4b6282 -  $_GBC_b23d50c6f9994ba28c6ff8c996977da0" id="C3053a523e70d4d21bfd7b4aed94a1908" radius="0.0001"/>
      </m:item>
      <m:placeholder xlName="_PLD_b65f34da66e9479188f99629e36111a7" addr="T0R12C0S1_1"/>
      <m:placeholder xlName="_PLD_21aec0576a234d79bb9d774d3bb7f015" addr="T0R13C0S1_1"/>
      <m:item xlName="_GBC_7f9d38959f05467c9add119ea6f5488c" concept="clcid-ci-ar:FuZhu_ShouHuiTouZiSuoShouDaoDeXianJin" label="附注_收回投资所收到的现金" addr="T0R13C1S1_1"/>
      <m:item xlName="_GBC_8ee57aa45e4a48e8b0f192a358163a1a" concept="clcid-pte:ShouHuiTouZiSuoShouDaoDeXianJin" label="收回投资所收到的现金" mulRef="_GBC_72a5fd28efa142459207d964e7abe8be" unitRef="_GBC_7e7d8c5ee26d4ee886fa73f729cc8f8d" addr="T0R13C2S1_1" formatStyle="Comma"/>
      <m:item xlName="_GBC_c463a92bd9384548b3b9e8793e693b32" concept="clcid-pte:ShouHuiTouZiSuoShouDaoDeXianJin" label="收回投资所收到的现金" periodRef="上年同期数" mulRef="_GBC_72a5fd28efa142459207d964e7abe8be" unitRef="_GBC_7e7d8c5ee26d4ee886fa73f729cc8f8d" addr="T0R13C3S1_1" formatStyle="Comma"/>
      <m:placeholder xlName="_PLD_576d55ead546486786e72ff8e08d9869" addr="T0R14C0S1_1"/>
      <m:item xlName="_GBC_2a62198708d64fe786aa1137be969f05" concept="clcid-ci-ar:FuZhu_QuDeTouZiShouYiSuoShouDaoDeXianJin" label="附注_取得投资收益所收到的现金" addr="T0R14C1S1_1"/>
      <m:item xlName="_GBC_408e5fed25324d3a9bc2ed6872f61783" concept="clcid-pte:QuDeTouZiShouYiSuoShouDaoDeXianJin" label="取得投资收益所收到的现金" mulRef="_GBC_72a5fd28efa142459207d964e7abe8be" unitRef="_GBC_7e7d8c5ee26d4ee886fa73f729cc8f8d" addr="T0R14C2S1_1" formatStyle="Comma"/>
      <m:item xlName="_GBC_096bdb98741d470a9dd27179767e4d9b" concept="clcid-pte:QuDeTouZiShouYiSuoShouDaoDeXianJin" label="取得投资收益所收到的现金" periodRef="上年同期数" mulRef="_GBC_72a5fd28efa142459207d964e7abe8be" unitRef="_GBC_7e7d8c5ee26d4ee886fa73f729cc8f8d" addr="T0R14C3S1_1" formatStyle="Comma"/>
      <m:placeholder xlName="_PLD_642655cce6184d7ba734ec64e50b938b" addr="T0R15C0S1_1"/>
      <m:item xlName="_GBC_40083d78cd3d4df1a7d05eeebff6ebf0" concept="clcid-ci-ar:FuZhu_ChuZhiGuDingZiChanWuXingZiChanHeQiTaChangQiZiChanErShouHuiDeXianJin" label="附注_处置固定资产无形资产和其他长期资产而收回的现金" addr="T0R15C1S1_1"/>
      <m:item xlName="_GBC_72c4887db71e4b748081fbcd60bf2920"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97f53e119f9a428dba1fcabdd7018731"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72141d22dcec4159838e8163a779b221" addr="T0R16C0S1_1"/>
      <m:item xlName="_GBC_6be80551c4074418b5498ea0b29cc898" concept="clcid-ci-ar:FuZhu_ShouHuiTouZiSuoShouDaoDeXianJinZhongDeChuShouZiGongSiShouDaoDeXianJin" label="附注_收回投资所收到的现金中的出售子公司收到的现金" addr="T0R16C1S1_1"/>
      <m:item xlName="_GBC_bc040773fa384b27b9ad607f944614ac"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d2fbffd3bc024663948bbce1c8655332"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cb60df5bc16e490dbecbc6a592794e35" addr="T0R17C0S1_1"/>
      <m:item xlName="_GBC_aa0361137edd4a14a3054734b257303b" concept="clcid-ci-ar:FuZhu_ShouDaoDeQiTaYuTouZiHuoDongYouGuanDeXianJin" label="附注_收到的其他与投资活动有关的现金" addr="T0R17C1S1_1"/>
      <m:item xlName="_GBC_18cdcd6e8b5743d79321b890bbfbefc6" concept="clcid-pte:ShouDaoDeQiTaYuTouZiHuoDongYouGuanDeXianJin" label="收到的其他与投资活动有关的现金" mulRef="_GBC_72a5fd28efa142459207d964e7abe8be" unitRef="_GBC_7e7d8c5ee26d4ee886fa73f729cc8f8d" addr="T0R17C2S1_1" formatStyle="Comma"/>
      <m:item xlName="_GBC_7269ab800c4749b88e8d1255ca3db640"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8cc1d0ac5e464467b68487845419aff4" addr="T0R18C0S1_1"/>
      <m:item xlName="_GBC_036acb994e9d4ce09065aa842fcc7f91" concept="clcid-ci-ar:FuZhu_TouZiHuoDongXianJinLiuRuXiaoJi" label="附注_投资活动现金流入小计" addr="T0R18C1S1_1"/>
      <m:item xlName="_GBC_f55585a046704c768fdec935ce6df939" concept="clcid-pte:TouZiHuoDongXianJinLiuRuXiaoJi" label="投资活动现金流入小计" mulRef="_GBC_72a5fd28efa142459207d964e7abe8be" unitRef="_GBC_7e7d8c5ee26d4ee886fa73f729cc8f8d" addr="T0R18C2S1_1" formatStyle="Comma">
        <m:complexRule comparator="Eq" title="投资活动现金流入小计" test=" $_GBC_8ee57aa45e4a48e8b0f192a358163a1a +  $_GBC_408e5fed25324d3a9bc2ed6872f61783 +  $_GBC_72c4887db71e4b748081fbcd60bf2920 +  $_GBC_bc040773fa384b27b9ad607f944614ac +  $_GBC_18cdcd6e8b5743d79321b890bbfbefc6" id="Cac48011766804a56a12ca561669d6288" radius="0.0001"/>
      </m:item>
      <m:item xlName="_GBC_01d4506b3d644c1eba43d65b70556f46"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c463a92bd9384548b3b9e8793e693b32 +  $_GBC_096bdb98741d470a9dd27179767e4d9b +  $_GBC_97f53e119f9a428dba1fcabdd7018731 +  $_GBC_d2fbffd3bc024663948bbce1c8655332 +  $_GBC_7269ab800c4749b88e8d1255ca3db640" id="C7d8f39003c6b428d9ef261f0b066d683" radius="0.0001"/>
      </m:item>
      <m:placeholder xlName="_PLD_99a466adfeb34e39876eb9fa2eec52c3" addr="T0R19C0S1_1"/>
      <m:item xlName="_GBC_8f5882f106f14156ba046cb0480bbb0a" concept="clcid-ci-ar:FuZhu_GouJianGuDingZiChanWuXingZiChanHeQiTaChangQiZiChanSuoZhiFuDeXianJin" label="附注_购建固定资产无形资产和其他长期资产所支付的现金" addr="T0R19C1S1_1"/>
      <m:item xlName="_GBC_ae3d9eb25adf4305bdd8f9a0cdd7d17a"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184b5cee8454ea1b6c8f0777dbd51a8"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b8938eecaf5b456c935c7d5ac6b817b2" addr="T0R20C0S1_1"/>
      <m:item xlName="_GBC_e2de975a85784da7b6ca18d55aea8cde" concept="clcid-ci-ar:FuZhu_TouZiSuoZhiFuDeXianJin" label="附注_投资所支付的现金" addr="T0R20C1S1_1"/>
      <m:item xlName="_GBC_014f76ad30e14b4581bf705f3e781ba5" concept="clcid-pte:TouZiSuoZhiFuDeXianJin" label="投资所支付的现金" mulRef="_GBC_72a5fd28efa142459207d964e7abe8be" unitRef="_GBC_7e7d8c5ee26d4ee886fa73f729cc8f8d" addr="T0R20C2S1_1" baseScale="-1" formatStyle="Comma"/>
      <m:item xlName="_GBC_3cdc11b3ebbf4768a05235ccd1a18b53" concept="clcid-pte:TouZiSuoZhiFuDeXianJin" label="投资所支付的现金" periodRef="上年同期数" mulRef="_GBC_72a5fd28efa142459207d964e7abe8be" unitRef="_GBC_7e7d8c5ee26d4ee886fa73f729cc8f8d" addr="T0R20C3S1_1" baseScale="-1" formatStyle="Comma"/>
      <m:placeholder xlName="_PLD_405f0e582b7147e2898034098f57f11a" addr="T0R21C0S1_1"/>
      <m:item xlName="_GBC_6bc8f105dea643dd8f7cf7c153db337d" concept="clcid-ci-ar:FuZhu_QuDeZiGongSiJiQiTaYingYeDanWeiZhiFuDeXianJinJingE" label="附注_取得子公司及其他营业单位支付的现金净额" addr="T0R21C1S1_1"/>
      <m:item xlName="_GBC_77951b24b0d549cb93cb0ff329785ca1" concept="clcid-pte:QuDeZiGongSiJiQiTaYingYeDanWeiZhiFuDeXianJinJingE" label="取得子公司及其他营业单位支付的现金净额" mulRef="_GBC_72a5fd28efa142459207d964e7abe8be" unitRef="_GBC_7e7d8c5ee26d4ee886fa73f729cc8f8d" addr="T0R21C2S1_1" baseScale="-1" formatStyle="Comma"/>
      <m:item xlName="_GBC_cf6c230ce1414b2a836ac447a1b87e95"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ade8d1961a984621b7f8bf880628bb0a" addr="T0R22C0S1_1"/>
      <m:item xlName="_GBC_65858ae1b0cb49948c2730b030fa8a98" concept="clcid-ci-ar:FuZhu_ZhiFuDeQiTaYuTouZiHuoDongYouGuanDeXianJin" label="附注_支付的其他与投资活动有关的现金" addr="T0R22C1S1_1"/>
      <m:item xlName="_GBC_28b9ebab6de84f42a1d6e4528868ce2d" concept="clcid-pte:ZhiFuDeQiTaYuTouZiHuoDongYouGuanDeXianJin" label="支付的其他与投资活动有关的现金" mulRef="_GBC_72a5fd28efa142459207d964e7abe8be" unitRef="_GBC_7e7d8c5ee26d4ee886fa73f729cc8f8d" addr="T0R22C2S1_1" baseScale="-1" formatStyle="Comma"/>
      <m:item xlName="_GBC_d323366f3100413daa31a1023a7e9f32"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a13847526bcc465697141f60a5b0feb9" addr="T0R23C0S1_1"/>
      <m:item xlName="_GBC_876d35acfc0b4dddab6c759a2cedfe97" concept="clcid-ci-ar:FuZhu_TouZiHuoDongXianJinLiuChuXiaoJi" label="附注_投资活动现金流出小计" addr="T0R23C1S1_1"/>
      <m:item xlName="_GBC_139d7c653f794eaf83e82ad36b1d1a79"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ae3d9eb25adf4305bdd8f9a0cdd7d17a +  $_GBC_014f76ad30e14b4581bf705f3e781ba5 +  $_GBC_77951b24b0d549cb93cb0ff329785ca1 +  $_GBC_28b9ebab6de84f42a1d6e4528868ce2d" id="C30507f3507074b77bce16325541e596c" radius="0.0001"/>
      </m:item>
      <m:item xlName="_GBC_515f5c031e944f0e99fd74dc21c81127"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184b5cee8454ea1b6c8f0777dbd51a8 +  $_GBC_3cdc11b3ebbf4768a05235ccd1a18b53 +  $_GBC_cf6c230ce1414b2a836ac447a1b87e95 +  $_GBC_d323366f3100413daa31a1023a7e9f32" id="C47a3de8c6c0246f38a4d157a04083651" radius="0.0001"/>
      </m:item>
      <m:placeholder xlName="_PLD_e8f235f558474b018a62f4ae55a51158" addr="T0R24C0S1_1"/>
      <m:item xlName="_GBC_1f9c324cdf7c472ea094a0640c8f9cd8" concept="clcid-ci-ar:FuZhu_TouZiHuoDongChanShengDeXianJinLiuLiangJingE" label="附注_投资活动产生的现金流量净额" addr="T0R24C1S1_1"/>
      <m:item xlName="_GBC_9c91a8dcc0da411891e22566e80f90a4"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f55585a046704c768fdec935ce6df939 -  $_GBC_139d7c653f794eaf83e82ad36b1d1a79" id="C0764484ceb2342ed8ab2d060fcf5d67d" radius="0.0001"/>
      </m:item>
      <m:item xlName="_GBC_041a27483ba246e8a58ec0040594ab5e"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01d4506b3d644c1eba43d65b70556f46 -  $_GBC_515f5c031e944f0e99fd74dc21c81127" id="C8086d1b49d154aef8fe9367226f88946" radius="0.0001"/>
      </m:item>
      <m:placeholder xlName="_PLD_2589efdecc964cd3ada15ef4753cd296" addr="T0R25C0S1_1"/>
      <m:placeholder xlName="_PLD_58050462e4dd44dc8f25c91afe603986" addr="T0R26C0S1_1"/>
      <m:item xlName="_GBC_9cdefe870c6e49e683a22bf325189071" concept="clcid-ci-ar:FuZhu_XiShouTouZiSuoShouDaoDeXianJin" label="附注_吸收投资所收到的现金" addr="T0R26C1S1_1"/>
      <m:item xlName="_GBC_1eba22c45de146fbac5fc3e1d6bf1cd9" concept="clcid-pte:XiShouTouZiSuoShouDaoDeXianJin" label="吸收投资所收到的现金" mulRef="_GBC_72a5fd28efa142459207d964e7abe8be" unitRef="_GBC_7e7d8c5ee26d4ee886fa73f729cc8f8d" addr="T0R26C2S1_1" formatStyle="Comma"/>
      <m:item xlName="_GBC_b4af50f6a5a94352914d34df75bef3cb" concept="clcid-pte:XiShouTouZiSuoShouDaoDeXianJin" label="吸收投资所收到的现金" periodRef="上年同期数" mulRef="_GBC_72a5fd28efa142459207d964e7abe8be" unitRef="_GBC_7e7d8c5ee26d4ee886fa73f729cc8f8d" addr="T0R26C3S1_1" formatStyle="Comma"/>
      <m:placeholder xlName="_PLD_acb1fe2d52794f538fc4610717bd7214" addr="T0R27C0S1_1"/>
      <m:item xlName="_GBC_3bd14bbd3a564332a5562af7baa8e1f1" concept="clcid-ci-ar:FuZhu_JieKuanSuoShouDaoDeXianJin" label="附注_借款所收到的现金" addr="T0R27C1S1_1"/>
      <m:item xlName="_GBC_388b7e4f0ef445cdacec95a4328d1046" concept="clcid-pte:JieKuanSuoShouDaoDeXianJin" label="借款所收到的现金" mulRef="_GBC_72a5fd28efa142459207d964e7abe8be" unitRef="_GBC_7e7d8c5ee26d4ee886fa73f729cc8f8d" addr="T0R27C2S1_1" formatStyle="Comma"/>
      <m:item xlName="_GBC_29920d0535e04c36bfa6fbe446e2f2e4" concept="clcid-pte:JieKuanSuoShouDaoDeXianJin" label="借款所收到的现金" periodRef="上年同期数" mulRef="_GBC_72a5fd28efa142459207d964e7abe8be" unitRef="_GBC_7e7d8c5ee26d4ee886fa73f729cc8f8d" addr="T0R27C3S1_1" formatStyle="Comma"/>
      <m:placeholder xlName="_PLD_e0d098508c9c403594b69ad220d3b4c8" addr="T0R28C0S1_1"/>
      <m:item xlName="_GBC_2fbf2a1fad5644f18438d8c59be8a8ee" concept="clcid-ci-ar:FuZhu_ShouDaoQiTaYuChouZiHuoDongYouGuanDeXianJin" label="附注_收到其他与筹资活动有关的现金" addr="T0R28C1S1_1"/>
      <m:item xlName="_GBC_8ee03c70bbdf4170be36e75f74635741" concept="clcid-pte:ShouDaoQiTaYuChouZiHuoDongYouGuanDeXianJin" label="收到其他与筹资活动有关的现金" mulRef="_GBC_72a5fd28efa142459207d964e7abe8be" unitRef="_GBC_7e7d8c5ee26d4ee886fa73f729cc8f8d" addr="T0R28C2S1_1" formatStyle="Comma"/>
      <m:item xlName="_GBC_ffb0708155d2433981708c65f442da16" concept="clcid-pte:ShouDaoQiTaYuChouZiHuoDongYouGuanDeXianJin" label="收到其他与筹资活动有关的现金" periodRef="上年同期数" mulRef="_GBC_72a5fd28efa142459207d964e7abe8be" unitRef="_GBC_7e7d8c5ee26d4ee886fa73f729cc8f8d" addr="T0R28C3S1_1" formatStyle="Comma"/>
      <m:placeholder xlName="_PLD_0643c9a6084c413ea72dc60c892dcc4f" addr="T0R29C0S1_1"/>
      <m:item xlName="_GBC_6fcde1a56c6f42518d86afa11e00fe8e" concept="clcid-ci-ar:FuZhu_ChouZiHuoDongXianJinLiuRuXiaoJi" label="附注_筹资活动现金流入小计" addr="T0R29C1S1_1"/>
      <m:item xlName="_GBC_be1e69e5446b42659d4b683baa89cdb2" concept="clcid-pte:ChouZiHuoDongXianJinLiuRuXiaoJi" label="筹资活动现金流入小计" mulRef="_GBC_72a5fd28efa142459207d964e7abe8be" unitRef="_GBC_7e7d8c5ee26d4ee886fa73f729cc8f8d" addr="T0R29C2S1_1" formatStyle="Comma">
        <m:complexRule comparator="Eq" title="筹资活动现金流入小计" test=" $_GBC_1eba22c45de146fbac5fc3e1d6bf1cd9 +  $_GBC_388b7e4f0ef445cdacec95a4328d1046 +  $_GBC_8ee03c70bbdf4170be36e75f74635741" id="C402265d930b3476da65a152069d868d0" radius="0.0001"/>
      </m:item>
      <m:item xlName="_GBC_f16acfc9a53d432aa9afe11beff1235c"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b4af50f6a5a94352914d34df75bef3cb +  $_GBC_29920d0535e04c36bfa6fbe446e2f2e4 +  $_GBC_ffb0708155d2433981708c65f442da16" id="C5b2a7750a49b451e8461b047e9b00c56" radius="0.0001"/>
      </m:item>
      <m:placeholder xlName="_PLD_c04a379d54304c55958dee7d1f1a4ed4" addr="T0R30C0S1_1"/>
      <m:item xlName="_GBC_043593c50a17476bb219dfce1f7eb14b" concept="clcid-ci-ar:FuZhu_ChangHuanZhaiWuSuoZhiFuDeXianJin" label="附注_偿还债务所支付的现金" addr="T0R30C1S1_1"/>
      <m:item xlName="_GBC_d8a50db8db7148eaaf5681df605bd972" concept="clcid-pte:ChangHuanZhaiWuSuoZhiFuDeXianJin" label="偿还债务所支付的现金" mulRef="_GBC_72a5fd28efa142459207d964e7abe8be" unitRef="_GBC_7e7d8c5ee26d4ee886fa73f729cc8f8d" addr="T0R30C2S1_1" baseScale="-1" formatStyle="Comma"/>
      <m:item xlName="_GBC_8e1bc57085d648abafebe64355aedeb3" concept="clcid-pte:ChangHuanZhaiWuSuoZhiFuDeXianJin" label="偿还债务所支付的现金" periodRef="上年同期数" mulRef="_GBC_72a5fd28efa142459207d964e7abe8be" unitRef="_GBC_7e7d8c5ee26d4ee886fa73f729cc8f8d" addr="T0R30C3S1_1" baseScale="-1" formatStyle="Comma"/>
      <m:placeholder xlName="_PLD_b3c11959ecd9441cad73cf742461eec4" addr="T0R31C0S1_1"/>
      <m:item xlName="_GBC_06200e9f131349ba9cc408c725f52e51" concept="clcid-ci-ar:FuZhu_FenPeiGuLiLiRunHuoChangFuLiXiSuoZhiFuDeXianJin" label="附注_分配股利利润或偿付利息所支付的现金" addr="T0R31C1S1_1"/>
      <m:item xlName="_GBC_e124033e73b2492d889e63efa2cde172" concept="clcid-pte:FenPeiGuLiLiRunHuoChangFuLiXiSuoZhiFuDeXianJin" label="分配股利利润或偿付利息所支付的现金" mulRef="_GBC_72a5fd28efa142459207d964e7abe8be" unitRef="_GBC_7e7d8c5ee26d4ee886fa73f729cc8f8d" addr="T0R31C2S1_1" baseScale="-1" formatStyle="Comma"/>
      <m:item xlName="_GBC_1c111b8b9f1b4d87a8fac304d3af717c"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f50aacd25549428bb4819ed22550500f" addr="T0R32C0S1_1"/>
      <m:item xlName="_GBC_dc1e655f715b43a499ce13b2ae1b8683" concept="clcid-ci-ar:FuZhu_ZhiFuDeQiTaYuChouZiHuoDongYouGuanDeXianJin" label="附注_支付的其他与筹资活动有关的现金" addr="T0R32C1S1_1"/>
      <m:item xlName="_GBC_2627c8d53e7c4116af88deae0f1815b1" concept="clcid-pte:ZhiFuDeQiTaYuChouZiHuoDongYouGuanDeXianJin" label="支付的其他与筹资活动有关的现金" mulRef="_GBC_72a5fd28efa142459207d964e7abe8be" unitRef="_GBC_7e7d8c5ee26d4ee886fa73f729cc8f8d" addr="T0R32C2S1_1" baseScale="-1" formatStyle="Comma"/>
      <m:item xlName="_GBC_0337a189f7a847fe81447772b93f2e7f"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fed2d6c86e72415a842a1582fbeeacd1" addr="T0R33C0S1_1"/>
      <m:item xlName="_GBC_a21e822a2d454cfd86affaff681acefe" concept="clcid-ci-ar:FuZhu_ChouZiHuoDongXianJinLiuChuXiaoJi" label="附注_筹资活动现金流出小计" addr="T0R33C1S1_1"/>
      <m:item xlName="_GBC_bac7956f9889438883c6a017bed1da8e"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d8a50db8db7148eaaf5681df605bd972 +  $_GBC_e124033e73b2492d889e63efa2cde172 +  $_GBC_2627c8d53e7c4116af88deae0f1815b1" id="Ce5cd4549151a484db68cd063e8f723d1" radius="0.0001"/>
      </m:item>
      <m:item xlName="_GBC_472bede436ca4403ad649a7e7fe0a1e0"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8e1bc57085d648abafebe64355aedeb3 +  $_GBC_1c111b8b9f1b4d87a8fac304d3af717c +  $_GBC_0337a189f7a847fe81447772b93f2e7f" id="C4f9401765ade4df29ce85b72944a9cfa" radius="0.0001"/>
      </m:item>
      <m:placeholder xlName="_PLD_870d5c04e3304041b4798a33945e3615" addr="T0R34C0S1_1"/>
      <m:item xlName="_GBC_e464bc9064ec4487af6261de363ebba0" concept="clcid-ci-ar:FuZhu_ChouZiHuoDongChanShengDeXianJinLiuLiangJingE" label="附注_筹资活动产生的现金流量净额" addr="T0R34C1S1_1"/>
      <m:item xlName="_GBC_9cfd3f2e341e4e6b80b78cc8aac7f2e2"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be1e69e5446b42659d4b683baa89cdb2 -  $_GBC_bac7956f9889438883c6a017bed1da8e" id="C03e9484f28ae41dfbe0c00322df11b5d" radius="0.0001"/>
      </m:item>
      <m:item xlName="_GBC_9c3866dd58464c049101c14993133403"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f16acfc9a53d432aa9afe11beff1235c -  $_GBC_472bede436ca4403ad649a7e7fe0a1e0" id="Cbe901fff601e4123b9fb18cfb2a68d3c" radius="0.0001"/>
      </m:item>
      <m:placeholder xlName="_PLD_4612f56bc27d415b9da7abb51b638a37" addr="T0R35C0S1_1"/>
      <m:item xlName="_GBC_7f2549dcad3c4708982d6225465167df" concept="clcid-ci-ar:FuZhu_HuiLvBianDongDuiXianJinDeYingXiang" label="附注_汇率变动对现金的影响" addr="T0R35C1S1_1"/>
      <m:item xlName="_GBC_761a9857f6794588a360ed802cb6da99" concept="clcid-pte:HuiLvBianDongDuiXianJinDeYingXiang" label="汇率变动对现金的影响" mulRef="_GBC_72a5fd28efa142459207d964e7abe8be" unitRef="_GBC_7e7d8c5ee26d4ee886fa73f729cc8f8d" addr="T0R35C2S1_1" formatStyle="Comma"/>
      <m:item xlName="_GBC_209a488637654cc1ac4c6842b4d594cc" concept="clcid-pte:HuiLvBianDongDuiXianJinDeYingXiang" label="汇率变动对现金的影响" periodRef="上年同期数" mulRef="_GBC_72a5fd28efa142459207d964e7abe8be" unitRef="_GBC_7e7d8c5ee26d4ee886fa73f729cc8f8d" addr="T0R35C3S1_1" formatStyle="Comma"/>
      <m:placeholder xlName="_PLD_37fac1530fc84ad6ba0070c5a3df708d" addr="T0R36C0S1_1"/>
      <m:item xlName="_GBC_73bd54a91ce248fdbfc50ecc38a4e919" concept="clcid-ci-ar:FuZhu_XianJinJiXianJinDengJiaWuJingZengJiaE" label="附注_现金及现金等价物净增加额" addr="T0R36C1S1_1"/>
      <m:item xlName="_GBC_ac5b0140f81a4bb1aaf8ffd0c19386c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be61c1f84b7d4ef493ba7eb40c0a738f +  $_GBC_9c91a8dcc0da411891e22566e80f90a4 +  $_GBC_9cfd3f2e341e4e6b80b78cc8aac7f2e2 +  $_GBC_761a9857f6794588a360ed802cb6da99" id="C4048c3bab7aa4b9dbfe163c2dd50dd55" radius="0.0001"/>
      </m:item>
      <m:item xlName="_GBC_8047741ed8094dbbb195c0ffa984b762"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80755df3e41b4045bbe32eb72e37355b +  $_GBC_041a27483ba246e8a58ec0040594ab5e +  $_GBC_9c3866dd58464c049101c14993133403 +  $_GBC_209a488637654cc1ac4c6842b4d594cc" id="C37d92cb9b8aa455794041ee142bbc641" radius="0.0001"/>
      </m:item>
      <m:placeholder xlName="_PLD_6567d2f1f02c456589f542cb3bfecd56" addr="T0R37C0S1_1"/>
      <m:item xlName="_GBC_0f3797bff7004e8bb1611fa68534ca5f" concept="clcid-ci-ar:FuZhu_XianJinJiXianJinDengJiaWuYuE" label="附注_现金及现金等价物余额" periodRef="本期期初数" addr="T0R37C1S1_1"/>
      <m:item xlName="_GBC_c199f5f82a5c46a8af894baf9e4f8bf7" concept="clcid-pte:XianJinJiXianJinDengJiaWuYuE" label="现金及现金等价物余额" periodRef="本期期初数" mulRef="_GBC_72a5fd28efa142459207d964e7abe8be" unitRef="_GBC_7e7d8c5ee26d4ee886fa73f729cc8f8d" addr="T0R37C2S1_1" formatStyle="Comma"/>
      <m:item xlName="_GBC_8904216bc75041c39104b2d957436873" concept="clcid-pte:XianJinJiXianJinDengJiaWuYuE" label="现金及现金等价物余额" periodRef="上年同期期初数" mulRef="_GBC_72a5fd28efa142459207d964e7abe8be" unitRef="_GBC_7e7d8c5ee26d4ee886fa73f729cc8f8d" addr="T0R37C3S1_1" formatStyle="Comma"/>
      <m:placeholder xlName="_PLD_48e1b4290559452c91aaeb95b80c1336" addr="T0R38C0S1_1"/>
      <m:item xlName="_GBC_2f2481be0784406e9f7ac29e22d2df3b" concept="clcid-ci-ar:FuZhu_XianJinJiXianJinDengJiaWuYuE" label="附注_现金及现金等价物余额" addr="T0R38C1S1_1"/>
      <m:item xlName="_GBC_ca8a755d332641f086d162c45c770e7e" concept="clcid-pte:XianJinJiXianJinDengJiaWuYuE" label="现金及现金等价物余额" mulRef="_GBC_72a5fd28efa142459207d964e7abe8be" unitRef="_GBC_7e7d8c5ee26d4ee886fa73f729cc8f8d" addr="T0R38C2S1_1" formatStyle="Comma">
        <m:complexRule comparator="Eq" title="现金及现金等价物余额" test=" $_GBC_ac5b0140f81a4bb1aaf8ffd0c19386c7 +  $_GBC_c199f5f82a5c46a8af894baf9e4f8bf7" id="Ca25e728a94ec4ed49157de66caf78a5a" radius="0.0001"/>
      </m:item>
      <m:item xlName="_GBC_993231b983b949be80df12d05bb6918f"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8047741ed8094dbbb195c0ffa984b762 +  $_GBC_8904216bc75041c39104b2d957436873" id="C8a62c0577d914eb893ea201320236ad7" radius="0.0001"/>
      </m:item>
      <m:item xlName="_GBC_9bcd12ca2dba4274a8524b6947572f4f" concept="clcid-mr:GongSiFuZeRenXingMing" label="公司负责人姓名"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5bd68ed5796041328d1a003c1362ceaf" addr="T0R0C0S4_1"/>
        <m:placeholder xlName="_PLD_70c71cd0427542b1b96a0fa943173d3d" addr="T0R0C1S1_15"/>
        <m:placeholder xlName="_PLD_e146ec74496c4c03a714dcef40faa972" addr="T0R1C1S1_13"/>
        <m:placeholder xlName="_PLD_b1ca85c50c1341e59b4b412e92d87f2f" addr="T0R1C14S3_1"/>
        <m:placeholder xlName="_PLD_0e252e0d00f04386b93d4e3064ba423d" addr="T0R1C15S3_1"/>
        <m:placeholder xlName="_PLD_1605afb5a60946a9ba86cca783d492d3" addr="T0R2C1S2_1"/>
        <m:placeholder xlName="_PLD_78f5e518a65d422c99d27d23e96afb9e" addr="T0R2C2S1_3"/>
        <m:placeholder xlName="_PLD_f67d05ac9f6f4daaafdf90084911dcee" addr="T0R2C5S2_1"/>
        <m:placeholder xlName="_PLD_21df11f52b3443acacf7dd8421b5cc67" addr="T0R2C6S2_1"/>
        <m:placeholder xlName="_PLD_bdc12fd277ea4fbe9c90f9480d9ecddb" addr="T0R2C7S2_1"/>
        <m:placeholder xlName="_PLD_b4aa95f4be904a02958b77b5542bb78d" addr="T0R2C8S2_1"/>
        <m:placeholder xlName="_PLD_1ee8f47ee38e4000af64e781a1a0e729" addr="T0R2C9S2_1"/>
        <m:placeholder xlName="_PLD_b09258af0aa4494b8e88e711ca2dd7b8" addr="T0R2C10S2_1"/>
        <m:placeholder xlName="_PLD_f20054bead0a491aafe7bb5a5952f48f" addr="T0R2C11S2_1"/>
        <m:placeholder xlName="_PLD_ee763dfa69fd4fa3bec927cefa83eadc" addr="T0R2C12S2_1"/>
        <m:placeholder xlName="_PLD_97c92cf2be1e4f36880a16a2c16704b4" addr="T0R2C13S2_1"/>
        <m:placeholder xlName="_PLD_7b6493af25ff4e3986120f711cb3be4e" addr="T0R3C2S1_1"/>
        <m:placeholder xlName="_PLD_446c35c8857c4ad0bb648db82e104141" addr="T0R3C3S1_1"/>
        <m:placeholder xlName="_PLD_e8048d05ab294ec8a2a849ca1f70a7c9" addr="T0R3C4S1_1"/>
        <m:placeholder xlName="_PLD_1f22f69e67ea4292afb08dec65f863c7"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addr="T1R0C0S4_1"/>
        <m:placeholder xlName="_PLD_95c0e6e5f75a49daa1b601f67b7dd704" addr="T1R0C1S1_15"/>
        <m:placeholder xlName="_PLD_3c5d65171933469ea16eac46afc03a54" addr="T1R1C1S1_13"/>
        <m:placeholder xlName="_PLD_ba7b1c99b1634f48939c500d6c46ce09" addr="T1R1C14S3_1"/>
        <m:placeholder xlName="_PLD_fb367567c5f141a5863649df07435b71" addr="T1R1C15S3_1"/>
        <m:placeholder xlName="_PLD_36b3a5c009c04b53b0bd25afc2596e7e" addr="T1R2C1S2_1"/>
        <m:placeholder xlName="_PLD_c0579a9940424a129a85d26955bb30bc" addr="T1R2C2S1_3"/>
        <m:placeholder xlName="_PLD_f728bf12d1d64c4fa04dfc828a7a0411" addr="T1R2C5S2_1"/>
        <m:placeholder xlName="_PLD_8c191e0685ac4367b113504c484a11e9" addr="T1R2C6S2_1"/>
        <m:placeholder xlName="_PLD_68ae3206209542ea8491f40d49bafeb7" addr="T1R2C7S2_1"/>
        <m:placeholder xlName="_PLD_6402f064d7a041d58973d8b8205096d0" addr="T1R2C8S2_1"/>
        <m:placeholder xlName="_PLD_b1d22d8686164205bfa14ef647cebfcd" addr="T1R2C9S2_1"/>
        <m:placeholder xlName="_PLD_c5c57d0195b14864b413898a9c76e89d" addr="T1R2C10S2_1"/>
        <m:placeholder xlName="_PLD_c9bffd2027d24ca1955db036ad79f5ea" addr="T1R2C11S2_1"/>
        <m:placeholder xlName="_PLD_de6da1e2128f48e49564e44af75ff7ab" addr="T1R2C12S2_1">
          <m:placeholder xlName="_PLD_ff5e808cf3794086a9aee4c489a9f6eb"/>
        </m:placeholder>
        <m:placeholder xlName="_PLD_e6df9793a438430a8df9730b2cdd8a99" addr="T1R2C13S2_1"/>
        <m:placeholder xlName="_PLD_052ae87eff474159aaedec0c5ce4bb50" addr="T1R3C2S1_1"/>
        <m:placeholder xlName="_PLD_f40d311f528a48d8a47457e11ad5ccd5" addr="T1R3C3S1_1"/>
        <m:placeholder xlName="_PLD_90f98adf8eaf44078005d57f570c4291" addr="T1R3C4S1_1"/>
        <m:placeholder xlName="_PLD_7e9607e7cfb34d74bf0fce08e0866d34"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e16babcb874e4410be91226aac3d24db" addr="T2R0C0S3_1"/>
        <m:placeholder xlName="_PLD_f6e21c3ce66d4e148eea3bf743a653b8" addr="T2R0C1S1_11"/>
        <m:placeholder xlName="_PLD_0b6e9703ed65458cb162afd47e6cc9f5" addr="T2R1C1S2_1"/>
        <m:placeholder xlName="_PLD_385a3413585444238bb59d181b958311" addr="T2R1C2S1_3"/>
        <m:placeholder xlName="_PLD_670488de432c4150880353e82f6ebb21" addr="T2R1C5S2_1"/>
        <m:placeholder xlName="_PLD_c1c25c4e521b4e8aba5ccfef16a558c5" addr="T2R1C6S2_1"/>
        <m:placeholder xlName="_PLD_4ef83c170ca54a08ac6fcebc6a487dcd" addr="T2R1C7S2_1"/>
        <m:placeholder xlName="_PLD_5a42f2a835d44138928915520fc5e902" addr="T2R1C8S2_1"/>
        <m:placeholder xlName="_PLD_dbef0e1514f54b8ab8b43e975d3451b6" addr="T2R1C9S2_1"/>
        <m:placeholder xlName="_PLD_63b6c2969ec64e7abb1802f027c1069a" addr="T2R1C10S2_1"/>
        <m:placeholder xlName="_PLD_cdd38492b3a84e28b52c6700432babfd" addr="T2R1C11S2_1"/>
        <m:placeholder xlName="_PLD_90c1cf3c29414463ba491093caed23a7" addr="T2R2C2S1_1"/>
        <m:placeholder xlName="_PLD_7dac20c025664b94b7a2176be4c24d00" addr="T2R2C3S1_1"/>
        <m:placeholder xlName="_PLD_23829f284d5149ee92e64b94083b1ade" addr="T2R2C4S1_1"/>
        <m:placeholder xlName="_PLD_b5131b53bda244fcbd76916797d6b666"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addr="T3R0C0S3_1"/>
        <m:placeholder xlName="_PLD_35246b22171846ac8ef46c5dfa1d1663" addr="T3R0C1S1_11"/>
        <m:placeholder xlName="_PLD_5da9900c5a9e46a085487ea972f44796" addr="T3R1C1S2_1"/>
        <m:placeholder xlName="_PLD_fc0bce3be00144ff950606755a048a76" addr="T3R1C2S1_3"/>
        <m:placeholder xlName="_PLD_b31d07f97db344b1b180738b22a76467" addr="T3R1C5S2_1"/>
        <m:placeholder xlName="_PLD_244676dcaf4245bd9119f474a4e885f9" addr="T3R1C6S2_1"/>
        <m:placeholder xlName="_PLD_01eab1b775574165b2820a19e72d2ad0" addr="T3R1C7S2_1"/>
        <m:placeholder xlName="_PLD_13f17e2c8a7a404da876af1bac2ae6d1" addr="T3R1C8S2_1"/>
        <m:placeholder xlName="_PLD_9578f3812cf04a34965a5bdc9ee82115" addr="T3R1C9S2_1"/>
        <m:placeholder xlName="_PLD_5d835cd98ccc4304aec553a0b6a56628" addr="T3R1C10S2_1"/>
        <m:placeholder xlName="_PLD_1cbb8af374a54430ad1f29ed83c69cd0" addr="T3R1C11S2_1"/>
        <m:placeholder xlName="_PLD_dcc9ba0f815c4a99a7c4c9fe219d232e" addr="T3R2C2S1_1"/>
        <m:placeholder xlName="_PLD_42f56a6e995041a8b03e0979c7b2350c" addr="T3R2C3S1_1"/>
        <m:placeholder xlName="_PLD_30aa853463c54004a69a2235554ee8fd" addr="T3R2C4S1_1"/>
        <m:placeholder xlName="_PLD_b00b327c7ecc4ad1bfafd8f9c1a6ce86"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m:item xlName="_GBC_375aa5b655854a6fa4ef44766a5a9d36" concept="clcid-ci-ar:DanWeiMuGongSiGuDongQuanYiDiaoJieBiao" label="单位：母公司股东权益调节表" selectOptions="_buildInScales" controlType="Combobox" cellType="Scale"/>
      <m:item xlName="_GBC_6053d48a4e214ab7b17d03b28b93cb76" concept="clcid-ci-ar:BiZhongMuGongSiGuDongQuanYiDiaoJieBiao" label="币种：母公司股东权益调节表" selectOptions="_buildInISO4217" controlType="Combobox" cellType="Measure"/>
      <m:placeholder xlName="_PLD_9c6708a7002d422c916d211ae5f9b279" addr="T0R0C0S3_1"/>
      <m:placeholder xlName="_PLD_4ddaa2873c264a53989f6da1b300c62a" addr="T0R0C1S1_11"/>
      <m:placeholder xlName="_PLD_a7cb908850c4471f9f52788d082f4c90" addr="T0R1C1S2_1"/>
      <m:placeholder xlName="_PLD_14d5a7dd4f6f44479172333c00d3204a" addr="T0R1C2S1_3"/>
      <m:placeholder xlName="_PLD_110c333252644e3f8210e1f30c0911de" addr="T0R1C5S2_1"/>
      <m:placeholder xlName="_PLD_580ebc98acda4879acd4a2c40ab1e2f6" addr="T0R1C6S2_1"/>
      <m:placeholder xlName="_PLD_bb2eecef1d164cf6bee211fc7ee697ad" addr="T0R1C7S2_1"/>
      <m:placeholder xlName="_PLD_848377f1c7c74a22ad498cca750eac77" addr="T0R1C8S2_1"/>
      <m:placeholder xlName="_PLD_aaca0bab6b584caa8af7e631d5c7c617" addr="T0R1C9S2_1"/>
      <m:placeholder xlName="_PLD_8f583b3c039540af9aae044b94430096" addr="T0R1C10S2_1"/>
      <m:placeholder xlName="_PLD_cd2c91ba227a49098fb783bbd66f216a" addr="T0R1C11S2_1"/>
      <m:placeholder xlName="_PLD_4b29ec2da49c4657aa87dd5b01b68ed8" addr="T0R2C2S1_1"/>
      <m:placeholder xlName="_PLD_af71df91aad041ee987803f63137eb06" addr="T0R2C3S1_1"/>
      <m:placeholder xlName="_PLD_424f66ec64c946639e27f275624cbe42" addr="T0R2C4S1_1"/>
      <m:placeholder xlName="_PLD_0d87c15f05744da78334fba21043a12e" addr="T0R3C0S1_1"/>
      <m:item xlName="_GBC_23568514de5b454f892a18ef4e365d97" concept="clcid-pte:GuBen" label="股本" periodRef="上年度期末数" mulRef="_GBC_375aa5b655854a6fa4ef44766a5a9d36" unitRef="_GBC_6053d48a4e214ab7b17d03b28b93cb76" addr="T0R3C1S1_1" formatStyle="Comma">
        <m:axisValue occRef="调整前的值"/>
      </m:item>
      <m:item xlName="_GBC_c34a20865d884b79a7b607bb57556bd0" concept="clcid-pte:QiTaQuanYiGongJuQiZhongYouXianGu" label="其他权益工具-其中：优先股" periodRef="上年度期末数" mulRef="_GBC_375aa5b655854a6fa4ef44766a5a9d36" unitRef="_GBC_6053d48a4e214ab7b17d03b28b93cb76" addr="T0R3C2S1_1" formatStyle="Comma">
        <m:axisValue occRef="调整前的值"/>
      </m:item>
      <m:item xlName="_GBC_33807ab593324748b5c45fcc58c3f75f" concept="clcid-pte:QiTaQuanYiGongJuYongXuZhai" label="其他权益工具-永续债" periodRef="上年度期末数" mulRef="_GBC_375aa5b655854a6fa4ef44766a5a9d36" unitRef="_GBC_6053d48a4e214ab7b17d03b28b93cb76" addr="T0R3C3S1_1" formatStyle="Comma">
        <m:axisValue occRef="调整前的值"/>
      </m:item>
      <m:item xlName="_GBC_fd503e0613444b0fa06d6471c06c460c" concept="clcid-pte:QiTaQuanYiGongJuQiTa" label="其他权益工具-其他" periodRef="上年度期末数" mulRef="_GBC_375aa5b655854a6fa4ef44766a5a9d36" unitRef="_GBC_6053d48a4e214ab7b17d03b28b93cb76" addr="T0R3C4S1_1" formatStyle="Comma">
        <m:axisValue occRef="调整前的值"/>
      </m:item>
      <m:item xlName="_GBC_39e95eda4c45445c9c61fdb63976df90" concept="clcid-pte:ZiBenGongJi" label="资本公积" periodRef="上年度期末数" mulRef="_GBC_375aa5b655854a6fa4ef44766a5a9d36" unitRef="_GBC_6053d48a4e214ab7b17d03b28b93cb76" addr="T0R3C5S1_1" formatStyle="Comma">
        <m:axisValue occRef="调整前的值"/>
      </m:item>
      <m:item xlName="_GBC_86efe48c81a04c18917d40e58153ecab" concept="clcid-pte:KuCunGu" label="库存股" periodRef="上年度期末数" mulRef="_GBC_375aa5b655854a6fa4ef44766a5a9d36" unitRef="_GBC_6053d48a4e214ab7b17d03b28b93cb76" addr="T0R3C6S1_1" formatStyle="Comma">
        <m:axisValue occRef="调整前的值"/>
      </m:item>
      <m:item xlName="_GBC_0d21dbde91b74c1cba93a246300f22e9" concept="clcid-pte:QiTaZongHeShouYiZiChanFuZhaiBiaoXiangMu" label="其他综合收益（资产负债表项目）" periodRef="上年度期末数" mulRef="_GBC_375aa5b655854a6fa4ef44766a5a9d36" unitRef="_GBC_6053d48a4e214ab7b17d03b28b93cb76" addr="T0R3C7S1_1" formatStyle="Comma">
        <m:axisValue occRef="调整前的值"/>
      </m:item>
      <m:item xlName="_GBC_de31d06e15454fda8270bf171d6505fb" concept="clcid-pte:ZhuanXiangChuBei" label="专项储备" periodRef="上年度期末数" mulRef="_GBC_375aa5b655854a6fa4ef44766a5a9d36" unitRef="_GBC_6053d48a4e214ab7b17d03b28b93cb76" addr="T0R3C8S1_1" formatStyle="Comma">
        <m:axisValue occRef="调整前的值"/>
      </m:item>
      <m:item xlName="_GBC_0ab8dc4570a04620818a2023dd1aa95c" concept="clcid-pte:YingYuGongJi" label="盈余公积" periodRef="上年度期末数" mulRef="_GBC_375aa5b655854a6fa4ef44766a5a9d36" unitRef="_GBC_6053d48a4e214ab7b17d03b28b93cb76" addr="T0R3C9S1_1" formatStyle="Comma">
        <m:axisValue occRef="调整前的值"/>
      </m:item>
      <m:item xlName="_GBC_d99a05751c6b44988a1ee25001d06794" concept="clcid-pte:WeiFenPeiLiRun" label="未分配利润" periodRef="上年度期末数" mulRef="_GBC_375aa5b655854a6fa4ef44766a5a9d36" unitRef="_GBC_6053d48a4e214ab7b17d03b28b93cb76" addr="T0R3C10S1_1" formatStyle="Comma">
        <m:axisValue occRef="调整前的值"/>
      </m:item>
      <m:item xlName="_GBC_5447b2b0fbd14a6ea3e6dcdfaa8f64c7" concept="clcid-pte:GuDongQuanYiHeJi" label="股东权益合计" periodRef="上年度期末数" mulRef="_GBC_375aa5b655854a6fa4ef44766a5a9d36" unitRef="_GBC_6053d48a4e214ab7b17d03b28b93cb76" addr="T0R3C11S1_1" formatStyle="Comma">
        <m:axisValue occRef="调整前的值"/>
      </m:item>
      <m:placeholder xlName="_PLD_55b8300613d44d3ea3180f56a4d54c61" addr="T0R4C0S1_1"/>
      <m:item xlName="_GBC_cb6c5f7249224098888b4e4e291e1780" concept="clcid-pte:KuaiJiZhengCeBianGengDaoZhiShiShouZiBenHuoGuBenJingEBianDongJinE" label="会计政策变更导致实收资本（或股本）净额变动金额" periodRef="本期期初数" mulRef="_GBC_375aa5b655854a6fa4ef44766a5a9d36" unitRef="_GBC_6053d48a4e214ab7b17d03b28b93cb76" addr="T0R4C1S1_1" formatStyle="Comma"/>
      <m:item xlName="_GBC_2736dd3976c8447f98e6fd78c293db7a" concept="clcid-pte:HuiJiZhengCeBianGengDaoZhiYouXianGuBianDongJinE" label="会计政策变更导致优先股变动金额" periodRef="本期期初数" mulRef="_GBC_375aa5b655854a6fa4ef44766a5a9d36" unitRef="_GBC_6053d48a4e214ab7b17d03b28b93cb76" addr="T0R4C2S1_1" formatStyle="Comma"/>
      <m:item xlName="_GBC_76f20ac865bc4dccbf4fad725f42310c" concept="clcid-pte:HuiJiZhengCeBianGengDaoZhiYongXuZhaiBianDongJinE" label="会计政策变更导致永续债变动金额" periodRef="本期期初数" mulRef="_GBC_375aa5b655854a6fa4ef44766a5a9d36" unitRef="_GBC_6053d48a4e214ab7b17d03b28b93cb76" addr="T0R4C3S1_1" formatStyle="Comma"/>
      <m:item xlName="_GBC_351959fb28ba4e05b552decc8030bb4b" concept="clcid-pte:HuiJiZhengCeBianGengDaoZhiQiTaQuanYiGongJuZhongDeQiTaBianDongJinE" label="会计政策变更导致其他权益工具中的其他变动金额" periodRef="本期期初数" mulRef="_GBC_375aa5b655854a6fa4ef44766a5a9d36" unitRef="_GBC_6053d48a4e214ab7b17d03b28b93cb76" addr="T0R4C4S1_1" formatStyle="Comma"/>
      <m:item xlName="_GBC_05b83dea315f4bfdae7dedba928d4a44" concept="clcid-pte:KuaiJiZhengCeBianGengDaoZhiZiBenGongJiBianDongJinE" label="会计政策变更导致资本公积变动金额" periodRef="本期期初数" mulRef="_GBC_375aa5b655854a6fa4ef44766a5a9d36" unitRef="_GBC_6053d48a4e214ab7b17d03b28b93cb76" addr="T0R4C5S1_1" formatStyle="Comma"/>
      <m:item xlName="_GBC_bdb7cb6651ff493a83894b39c35f7e7c" concept="clcid-pte:KuaiJiZhengCeBianGengDaoZhiKuCunGuBianDongJinE" label="会计政策变更导致库存股变动金额" periodRef="本期期初数" mulRef="_GBC_375aa5b655854a6fa4ef44766a5a9d36" unitRef="_GBC_6053d48a4e214ab7b17d03b28b93cb76" addr="T0R4C6S1_1" formatStyle="Comma"/>
      <m:item xlName="_GBC_684ff774441d4faebb782582bc8f0aa2" concept="clcid-pte:HuiJiZhengCeBianGengDaoZhiQiTaZongHeShouYiBianDongJinE" label="会计政策变更导致其他综合收益变动金额" periodRef="本期期初数" mulRef="_GBC_375aa5b655854a6fa4ef44766a5a9d36" unitRef="_GBC_6053d48a4e214ab7b17d03b28b93cb76" addr="T0R4C7S1_1" formatStyle="Comma"/>
      <m:item xlName="_GBC_22ffa690d66b4fe1a01c5a0f3d723e1f" concept="clcid-pte:KuaiJiZhengCeBianGengDaoZhiZhuanXiangChuBeiBianDongJinE" label="会计政策变更导致专项储备变动金额" periodRef="本期期初数" mulRef="_GBC_375aa5b655854a6fa4ef44766a5a9d36" unitRef="_GBC_6053d48a4e214ab7b17d03b28b93cb76" addr="T0R4C8S1_1" formatStyle="Comma"/>
      <m:item xlName="_GBC_fcdb9594b57c4382bd28fc75f260b6e8" concept="clcid-pte:KuaiJiZhengCeBianGengDaoZhiYingYuGongJiBianDongJinE" label="会计政策变更导致盈余公积变动金额" periodRef="本期期初数" mulRef="_GBC_375aa5b655854a6fa4ef44766a5a9d36" unitRef="_GBC_6053d48a4e214ab7b17d03b28b93cb76" addr="T0R4C9S1_1" formatStyle="Comma"/>
      <m:item xlName="_GBC_edb7f3197dd14593856e7511c60cf7ae" concept="clcid-pte:KuaiJiZhengCeBianGengDaoZhiWeiFenPeiLiRunBianDongJinE" label="会计政策变更导致未分配利润变动金额" periodRef="本期期初数" mulRef="_GBC_375aa5b655854a6fa4ef44766a5a9d36" unitRef="_GBC_6053d48a4e214ab7b17d03b28b93cb76" addr="T0R4C10S1_1" formatStyle="Comma"/>
      <m:item xlName="_GBC_2524f873be8a4b54ac8de2ee8a5a7722" concept="clcid-pte:KuaiJiZhengCeBianGengDaoZhiGuDongQuanYiHeJiBianDongJinE" label="会计政策变更导致股东权益合计变动金额" periodRef="本期期初数" mulRef="_GBC_375aa5b655854a6fa4ef44766a5a9d36" unitRef="_GBC_6053d48a4e214ab7b17d03b28b93cb76" addr="T0R4C11S1_1" formatStyle="Comma"/>
      <m:placeholder xlName="_PLD_4e339f4515754044a20256ab0334c6ac" addr="T0R5C0S1_1"/>
      <m:item xlName="_GBC_84afcadaf68044e682e49a25eea052d9" concept="clcid-pte:QianQiChaCuoGengZhengDaoZhiShiShouZiBenHuoGuBenJingEBianDongJinE" label="前期差错更正导致实收资本（或股本）净额变动金额" periodRef="本期期初数" mulRef="_GBC_375aa5b655854a6fa4ef44766a5a9d36" unitRef="_GBC_6053d48a4e214ab7b17d03b28b93cb76" addr="T0R5C1S1_1" formatStyle="Comma"/>
      <m:item xlName="_GBC_9e34c2fbaedc41348f8a92c18fdeb484" concept="clcid-pte:QianQiChaCuoGengZhengDaoZhiYouXianGuBianDongJinE" label="前期差错更正导致优先股变动金额" periodRef="本期期初数" mulRef="_GBC_375aa5b655854a6fa4ef44766a5a9d36" unitRef="_GBC_6053d48a4e214ab7b17d03b28b93cb76" addr="T0R5C2S1_1" formatStyle="Comma"/>
      <m:item xlName="_GBC_0f7e9739c6f9406a97ed9d87eb2aa580" concept="clcid-pte:QianQiChaCuoGengZhengDaoZhiYongXuZhaiBianDongJinE" label="前期差错更正导致永续债变动金额" periodRef="本期期初数" mulRef="_GBC_375aa5b655854a6fa4ef44766a5a9d36" unitRef="_GBC_6053d48a4e214ab7b17d03b28b93cb76" addr="T0R5C3S1_1" formatStyle="Comma"/>
      <m:item xlName="_GBC_c09a7191e564486883198444730ec26e" concept="clcid-pte:QianQiChaCuoGengZhengDaoZhiQiTaQuanYiGongJuZhongDeQiTaBianDongJinE" label="前期差错更正导致其他权益工具中的其他变动金额" periodRef="本期期初数" mulRef="_GBC_375aa5b655854a6fa4ef44766a5a9d36" unitRef="_GBC_6053d48a4e214ab7b17d03b28b93cb76" addr="T0R5C4S1_1" formatStyle="Comma"/>
      <m:item xlName="_GBC_81f6663dd5f04cb69e6ada2d35d2ec3a" concept="clcid-pte:QianQiChaCuoGengZhengDaoZhiZiBenGongJiBianDongJinE" label="前期差错更正导致资本公积变动金额" periodRef="本期期初数" mulRef="_GBC_375aa5b655854a6fa4ef44766a5a9d36" unitRef="_GBC_6053d48a4e214ab7b17d03b28b93cb76" addr="T0R5C5S1_1" formatStyle="Comma"/>
      <m:item xlName="_GBC_6286ad2d5ffb44038feec5aba61982e2" concept="clcid-pte:QianQiChaCuoGengZhengDaoZhiKuCunGuBianDongJinE" label="前期差错更正导致库存股变动金额" periodRef="本期期初数" mulRef="_GBC_375aa5b655854a6fa4ef44766a5a9d36" unitRef="_GBC_6053d48a4e214ab7b17d03b28b93cb76" addr="T0R5C6S1_1" formatStyle="Comma"/>
      <m:item xlName="_GBC_ae1eee33aa574cdf9588dcec8276869c" concept="clcid-pte:QianQiChaCuoGengZhengDaoZhiQiTaZongHeShouYiBianDongJinE" label="前期差错更正导致其他综合收益变动金额" periodRef="本期期初数" mulRef="_GBC_375aa5b655854a6fa4ef44766a5a9d36" unitRef="_GBC_6053d48a4e214ab7b17d03b28b93cb76" addr="T0R5C7S1_1" formatStyle="Comma"/>
      <m:item xlName="_GBC_8d1ef808fba54f7d948ab5e20315f4f7" concept="clcid-pte:QianQiChaCuoGengZhengDaoZhiZhuanXiangChuBeiBianDongJinE" label="前期差错更正导致专项储备变动金额" periodRef="本期期初数" mulRef="_GBC_375aa5b655854a6fa4ef44766a5a9d36" unitRef="_GBC_6053d48a4e214ab7b17d03b28b93cb76" addr="T0R5C8S1_1" formatStyle="Comma"/>
      <m:item xlName="_GBC_d4426cf7248e4f9093a099de53dd1da2" concept="clcid-pte:QianQiChaCuoGengZhengDaoZhiYingYuGongJiBianDongJinE" label="前期差错更正导致盈余公积变动金额" periodRef="本期期初数" mulRef="_GBC_375aa5b655854a6fa4ef44766a5a9d36" unitRef="_GBC_6053d48a4e214ab7b17d03b28b93cb76" addr="T0R5C9S1_1" formatStyle="Comma"/>
      <m:item xlName="_GBC_fc123b0733d84ef5a2b9e127c8ad84f5" concept="clcid-pte:QianQiChaCuoGengZhengDaoZhiWeiFenPeiLiRunBianDongJinE" label="前期差错更正导致未分配利润变动金额" periodRef="本期期初数" mulRef="_GBC_375aa5b655854a6fa4ef44766a5a9d36" unitRef="_GBC_6053d48a4e214ab7b17d03b28b93cb76" addr="T0R5C10S1_1" formatStyle="Comma"/>
      <m:item xlName="_GBC_abbde7119e814e84b924c8fe4784ec03" concept="clcid-pte:QianQiChaCuoGengZhengDaoZhiGuDongQuanYiHeJiBianDongJinE" label="前期差错更正导致股东权益合计变动金额" periodRef="本期期初数" mulRef="_GBC_375aa5b655854a6fa4ef44766a5a9d36" unitRef="_GBC_6053d48a4e214ab7b17d03b28b93cb76" addr="T0R5C11S1_1" formatStyle="Comma"/>
      <m:placeholder xlName="_PLD_be807341d82f49d284531ccfec3a2d1b" addr="T0R6C0S1_1"/>
      <m:item xlName="_GBC_9e3831a92e074e7b9bf3ef964e790dff" concept="clcid-pte:QiTaZhuiSuTiaoZhengDaoZhiShiShouZiBenBianDongJinE" label="实收资本变动金额（其他追溯调整）" periodRef="本期期初数" mulRef="_GBC_375aa5b655854a6fa4ef44766a5a9d36" unitRef="_GBC_6053d48a4e214ab7b17d03b28b93cb76" addr="T0R6C1S1_1" formatStyle="Comma"/>
      <m:item xlName="_GBC_23e87c7c2b264289b98cd2fa772969d8" concept="clcid-pte:YouXianGuBianDongJinEQiTaZhuiSuDiaoZheng" label="优先股变动金额（其他追溯调整）" periodRef="本期期初数" mulRef="_GBC_375aa5b655854a6fa4ef44766a5a9d36" unitRef="_GBC_6053d48a4e214ab7b17d03b28b93cb76" addr="T0R6C2S1_1" formatStyle="Comma"/>
      <m:item xlName="_GBC_73a4d821c0aa42e8aa2d3ee36f252a88" concept="clcid-pte:YongXuZhaiBianDongJinEQiTaZhuiSuDiaoZheng" label="永续债变动金额（其他追溯调整）" periodRef="本期期初数" mulRef="_GBC_375aa5b655854a6fa4ef44766a5a9d36" unitRef="_GBC_6053d48a4e214ab7b17d03b28b93cb76" addr="T0R6C3S1_1" formatStyle="Comma"/>
      <m:item xlName="_GBC_568140ca0a104009ab66816821a63d1e" concept="clcid-pte:QiTaQuanYiGongJuZhongDeQiTaBianDongJinEQiTaZhuiSuDiaoZheng" label="其他权益工具中的其他变动金额（其他追溯调整）" periodRef="本期期初数" mulRef="_GBC_375aa5b655854a6fa4ef44766a5a9d36" unitRef="_GBC_6053d48a4e214ab7b17d03b28b93cb76" addr="T0R6C4S1_1" formatStyle="Comma"/>
      <m:item xlName="_GBC_e8dd8117e9704b1981d63478bcb3dc5f" concept="clcid-pte:QiTaZhuiSuTiaoZhengDaoZhiZiBenGongJiBianDongJinE" label="资本公积变动金额（其他追溯调整）" periodRef="本期期初数" mulRef="_GBC_375aa5b655854a6fa4ef44766a5a9d36" unitRef="_GBC_6053d48a4e214ab7b17d03b28b93cb76" addr="T0R6C5S1_1" formatStyle="Comma"/>
      <m:item xlName="_GBC_4901a4a3c8e64061b9bb65218703ae2d" concept="clcid-pte:QiTaZhuiSuTiaoZhengDaoZhiKuCunGuBianDongJinE" label="库存股变动金额（其他追溯调整）" periodRef="本期期初数" mulRef="_GBC_375aa5b655854a6fa4ef44766a5a9d36" unitRef="_GBC_6053d48a4e214ab7b17d03b28b93cb76" addr="T0R6C6S1_1" formatStyle="Comma"/>
      <m:item xlName="_GBC_8c29a0c58c484c65b42774f0399fbc74" concept="clcid-pte:QiTaZongHeShouYiBianDongJinEQiTaZhuiSuDiaoZheng" label="其他综合收益变动金额（其他追溯调整）" periodRef="本期期初数" mulRef="_GBC_375aa5b655854a6fa4ef44766a5a9d36" unitRef="_GBC_6053d48a4e214ab7b17d03b28b93cb76" addr="T0R6C7S1_1" formatStyle="Comma"/>
      <m:item xlName="_GBC_a4d0a14f0d8241109bd8501a8331f223" concept="clcid-pte:QiTaZhuiSuTiaoZhengDaoZhiZhuanXiangChuBeiBianDongJinE" label="专项储备变动金额（其他追溯调整）" periodRef="本期期初数" mulRef="_GBC_375aa5b655854a6fa4ef44766a5a9d36" unitRef="_GBC_6053d48a4e214ab7b17d03b28b93cb76" addr="T0R6C8S1_1" formatStyle="Comma"/>
      <m:item xlName="_GBC_6a3329ee461f4c1a8a21ed64a683ea46" concept="clcid-pte:QiTaZhuiSuTiaoZhengDaoZhiYingYuGongJiBianDongJinE" label="盈余公积变动金额（其他追溯调整）" periodRef="本期期初数" mulRef="_GBC_375aa5b655854a6fa4ef44766a5a9d36" unitRef="_GBC_6053d48a4e214ab7b17d03b28b93cb76" addr="T0R6C9S1_1" formatStyle="Comma"/>
      <m:item xlName="_GBC_b5893a78e63a488ca67e075cc0ed6749" concept="clcid-pte:QiTaZhuiSuTiaoZhengDaoZhiWeiFenPeiLiRunBianDongJinE" label="未分配利润变动金额（其他追溯调整）" periodRef="本期期初数" mulRef="_GBC_375aa5b655854a6fa4ef44766a5a9d36" unitRef="_GBC_6053d48a4e214ab7b17d03b28b93cb76" addr="T0R6C10S1_1" formatStyle="Comma"/>
      <m:item xlName="_GBC_320e9c03896b46b09bae3f3a43aa4ec2" concept="clcid-pte:QiTaZhuiSuTiaoZhengDaoZhiGuDongQuanYiBianDongJinE" label="股东权益变动金额（其他追溯调整）" periodRef="本期期初数" mulRef="_GBC_375aa5b655854a6fa4ef44766a5a9d36" unitRef="_GBC_6053d48a4e214ab7b17d03b28b93cb76" addr="T0R6C11S1_1" formatStyle="Comma"/>
      <m:placeholder xlName="_PLD_eebe87779d734963a90e4cb624783829" addr="T0R7C0S1_1"/>
      <m:item xlName="_GBC_d12936e8e22e496680bfe639b9b1299b" concept="clcid-pte:GuBen" label="股本" periodRef="本期期初数" mulRef="_GBC_375aa5b655854a6fa4ef44766a5a9d36" unitRef="_GBC_6053d48a4e214ab7b17d03b28b93cb76" addr="T0R7C1S1_1" formatStyle="Comma">
        <m:complexRule comparator="Eq" title="股本@本期期初数" test=" $_GBC_23568514de5b454f892a18ef4e365d97 +  $_GBC_cb6c5f7249224098888b4e4e291e1780 +  $_GBC_84afcadaf68044e682e49a25eea052d9 +  $_GBC_9e3831a92e074e7b9bf3ef964e790dff" id="C24ac10fc5765430883e78760bf6b991a"/>
      </m:item>
      <m:item xlName="_GBC_601e5586a3294aa69348a921e57be185" concept="clcid-pte:QiTaQuanYiGongJuQiZhongYouXianGu" label="其他权益工具-其中：优先股" periodRef="本期期初数" mulRef="_GBC_375aa5b655854a6fa4ef44766a5a9d36" unitRef="_GBC_6053d48a4e214ab7b17d03b28b93cb76" addr="T0R7C2S1_1" formatStyle="Comma">
        <m:complexRule comparator="Eq" title="其他权益工具-其中：优先股@本期期初数" test=" $_GBC_c34a20865d884b79a7b607bb57556bd0 +  $_GBC_2736dd3976c8447f98e6fd78c293db7a +  $_GBC_9e34c2fbaedc41348f8a92c18fdeb484 +  $_GBC_23e87c7c2b264289b98cd2fa772969d8" id="C32a5f886119747c9ac16ffa447c6090b"/>
      </m:item>
      <m:item xlName="_GBC_836a78ae20854c08bbee94bd431102f1" concept="clcid-pte:QiTaQuanYiGongJuYongXuZhai" label="其他权益工具-永续债" periodRef="本期期初数" mulRef="_GBC_375aa5b655854a6fa4ef44766a5a9d36" unitRef="_GBC_6053d48a4e214ab7b17d03b28b93cb76" addr="T0R7C3S1_1" formatStyle="Comma">
        <m:complexRule comparator="Eq" title="其他权益工具-永续债@本期期初数" test=" $_GBC_33807ab593324748b5c45fcc58c3f75f +  $_GBC_76f20ac865bc4dccbf4fad725f42310c +  $_GBC_0f7e9739c6f9406a97ed9d87eb2aa580 +  $_GBC_73a4d821c0aa42e8aa2d3ee36f252a88" id="Ce35f7be517eb4532b0db9f5eeea61b44"/>
      </m:item>
      <m:item xlName="_GBC_8e4b6ed172cc4da0ab3d432af5d28ed4" concept="clcid-pte:QiTaQuanYiGongJuQiTa" label="其他权益工具-其他" periodRef="本期期初数" mulRef="_GBC_375aa5b655854a6fa4ef44766a5a9d36" unitRef="_GBC_6053d48a4e214ab7b17d03b28b93cb76" addr="T0R7C4S1_1" formatStyle="Comma">
        <m:complexRule comparator="Eq" title="其他权益工具-其他@本期期初数" test=" $_GBC_fd503e0613444b0fa06d6471c06c460c +  $_GBC_351959fb28ba4e05b552decc8030bb4b +  $_GBC_c09a7191e564486883198444730ec26e +  $_GBC_568140ca0a104009ab66816821a63d1e" id="Ced5b758f075346e88876fe2b39395257"/>
      </m:item>
      <m:item xlName="_GBC_e9f25233de5e48c2bbc214424560101c" concept="clcid-pte:ZiBenGongJi" label="资本公积" periodRef="本期期初数" mulRef="_GBC_375aa5b655854a6fa4ef44766a5a9d36" unitRef="_GBC_6053d48a4e214ab7b17d03b28b93cb76" addr="T0R7C5S1_1" formatStyle="Comma">
        <m:complexRule comparator="Eq" title="资本公积@本期期初数" test=" $_GBC_39e95eda4c45445c9c61fdb63976df90 +  $_GBC_05b83dea315f4bfdae7dedba928d4a44 +  $_GBC_81f6663dd5f04cb69e6ada2d35d2ec3a +  $_GBC_e8dd8117e9704b1981d63478bcb3dc5f" id="C87bf3a91a2c44f00b081962854c15e81"/>
      </m:item>
      <m:item xlName="_GBC_822ae18f0d2a4bab94a9778e9c42668f" concept="clcid-pte:KuCunGu" label="库存股" periodRef="本期期初数" mulRef="_GBC_375aa5b655854a6fa4ef44766a5a9d36" unitRef="_GBC_6053d48a4e214ab7b17d03b28b93cb76" addr="T0R7C6S1_1" formatStyle="Comma">
        <m:complexRule comparator="Eq" title="库存股@本期期初数" test=" $_GBC_86efe48c81a04c18917d40e58153ecab +  $_GBC_bdb7cb6651ff493a83894b39c35f7e7c +  $_GBC_6286ad2d5ffb44038feec5aba61982e2 +  $_GBC_4901a4a3c8e64061b9bb65218703ae2d" id="C1a98531299b9409c8f28cf5bd71870f5"/>
      </m:item>
      <m:item xlName="_GBC_8f3fd69c3ef841269eaf2300a3cdae72" concept="clcid-pte:QiTaZongHeShouYiZiChanFuZhaiBiaoXiangMu" label="其他综合收益（资产负债表项目）" periodRef="本期期初数" mulRef="_GBC_375aa5b655854a6fa4ef44766a5a9d36" unitRef="_GBC_6053d48a4e214ab7b17d03b28b93cb76" addr="T0R7C7S1_1" formatStyle="Comma">
        <m:complexRule comparator="Eq" title="其他综合收益（资产负债表项目）@本期期初数" test=" $_GBC_0d21dbde91b74c1cba93a246300f22e9 +  $_GBC_684ff774441d4faebb782582bc8f0aa2 +  $_GBC_ae1eee33aa574cdf9588dcec8276869c +  $_GBC_8c29a0c58c484c65b42774f0399fbc74" id="C85e677e4bf6445efb88db78bbb6bf097"/>
      </m:item>
      <m:item xlName="_GBC_f6108c36759f4739b89b699df117de6e" concept="clcid-pte:ZhuanXiangChuBei" label="专项储备" periodRef="本期期初数" mulRef="_GBC_375aa5b655854a6fa4ef44766a5a9d36" unitRef="_GBC_6053d48a4e214ab7b17d03b28b93cb76" addr="T0R7C8S1_1" formatStyle="Comma">
        <m:complexRule comparator="Eq" title="专项储备@本期期初数" test=" $_GBC_de31d06e15454fda8270bf171d6505fb +  $_GBC_22ffa690d66b4fe1a01c5a0f3d723e1f +  $_GBC_8d1ef808fba54f7d948ab5e20315f4f7 +  $_GBC_a4d0a14f0d8241109bd8501a8331f223" id="C4870eb5431944f1f923e73573f63c63a"/>
      </m:item>
      <m:item xlName="_GBC_6df3bacdabf24f63a7412eea261be55b" concept="clcid-pte:YingYuGongJi" label="盈余公积" periodRef="本期期初数" mulRef="_GBC_375aa5b655854a6fa4ef44766a5a9d36" unitRef="_GBC_6053d48a4e214ab7b17d03b28b93cb76" addr="T0R7C9S1_1" formatStyle="Comma">
        <m:complexRule comparator="Eq" title="盈余公积@本期期初数" test=" $_GBC_0ab8dc4570a04620818a2023dd1aa95c +  $_GBC_fcdb9594b57c4382bd28fc75f260b6e8 +  $_GBC_d4426cf7248e4f9093a099de53dd1da2 +  $_GBC_6a3329ee461f4c1a8a21ed64a683ea46" id="Cff065af33d234533b4ba2a33aa319efb"/>
      </m:item>
      <m:item xlName="_GBC_0613a1fead3441c199b03f9b2931538a" concept="clcid-pte:WeiFenPeiLiRun" label="未分配利润" periodRef="本期期初数" mulRef="_GBC_375aa5b655854a6fa4ef44766a5a9d36" unitRef="_GBC_6053d48a4e214ab7b17d03b28b93cb76" addr="T0R7C10S1_1" formatStyle="Comma">
        <m:complexRule comparator="Eq" title="未分配利润@本期期初数" test=" $_GBC_d99a05751c6b44988a1ee25001d06794 +  $_GBC_edb7f3197dd14593856e7511c60cf7ae +  $_GBC_fc123b0733d84ef5a2b9e127c8ad84f5 +  $_GBC_b5893a78e63a488ca67e075cc0ed6749" id="C287c577889ed4b9c9292b69dcb8c9e4b"/>
      </m:item>
      <m:item xlName="_GBC_c4dbd281faa347f7b7916cc55e9f465c" concept="clcid-pte:GuDongQuanYiHeJi" label="股东权益合计" periodRef="本期期初数" mulRef="_GBC_375aa5b655854a6fa4ef44766a5a9d36" unitRef="_GBC_6053d48a4e214ab7b17d03b28b93cb76" addr="T0R7C11S1_1" formatStyle="Comma">
        <m:complexRule comparator="Eq" title="股东权益合计@本期期初数" test=" $_GBC_5447b2b0fbd14a6ea3e6dcdfaa8f64c7 +  $_GBC_2524f873be8a4b54ac8de2ee8a5a7722 +  $_GBC_abbde7119e814e84b924c8fe4784ec03 +  $_GBC_320e9c03896b46b09bae3f3a43aa4ec2" id="C78f649fc5f984608bdd3b75eb041d2dc"/>
      </m:item>
      <m:placeholder xlName="_PLD_7556ae6e86924c778b1c2bbbc04797e1" addr="T0R8C0S1_1"/>
      <m:item xlName="_GBC_ba3a0d6c7d374c6eb6dd959316360ab7" concept="clcid-pte:ShiShouZiBenHuoGuBenJingEZengJianBianDongJinE" label="实收资本（或股本）净额增减变动金额" mulRef="_GBC_375aa5b655854a6fa4ef44766a5a9d36" unitRef="_GBC_6053d48a4e214ab7b17d03b28b93cb76" addr="T0R8C1S1_1" formatStyle="Comma">
        <m:complexRule comparator="Eq" title="实收资本（或股本）净额增减变动金额" test=" $_GBC_4cbd3a1fa1064f3ea2d137bed6d217d3 +  $_GBC_e987abcca56c48ceb2d06301df3c57d8 +  $_GBC_6b105a342197442b95dd406e73392c41 +  $_GBC_a36fa024612c4f1f8d1cff14a4afb89b +  $_GBC_1cda7744763e4d66aa9f02d0333e63ea +  $_GBC_3528a1dd6df6476186b38986f8394587" id="C5abe531600c342b8bd389a9a6bb2a42f"/>
      </m:item>
      <m:item xlName="_GBC_d04fc2b721d445aeb9b16d0cb24c29b1" concept="clcid-pte:QiTaQuanYiGongJuZhongDeYouXianGuZengJianBianDongJinE" label="其他权益工具中的优先股增减变动金额" mulRef="_GBC_375aa5b655854a6fa4ef44766a5a9d36" unitRef="_GBC_6053d48a4e214ab7b17d03b28b93cb76" addr="T0R8C2S1_1" formatStyle="Comma">
        <m:complexRule comparator="Eq" title="其他权益工具中的优先股增减变动金额" test=" $_GBC_6b66ddea2fc749ea92713526d1f0de01 +  $_GBC_a33abc47762d4fe69bb1201a97e51eda +  $_GBC_784b6a37199f4028b93e4f05dda5799d +  $_GBC_7a3ee2b77b184b0ab579602b3534acd2 +  $_GBC_6e27022d26d24fd88db2d1c3fb65d735 +  $_GBC_4cbc1352fcb34ac9b1fab0948bae2283" id="C100c7073d847427c864dcbae5848c74a"/>
      </m:item>
      <m:item xlName="_GBC_a10de934ef0f46c0981398a834499dc6" concept="clcid-pte:QiTaQuanYiGongJuZhongDeYongXuZhaiZengJianBianDongJinE" label="其他权益工具中的永续债增减变动金额" mulRef="_GBC_375aa5b655854a6fa4ef44766a5a9d36" unitRef="_GBC_6053d48a4e214ab7b17d03b28b93cb76" addr="T0R8C3S1_1" formatStyle="Comma">
        <m:complexRule comparator="Eq" title="其他权益工具中的永续债增减变动金额" test=" $_GBC_8495e58c3a1d4f45a9af34ffe578c152 +  $_GBC_5ff9de74e8684ad88f4387503a5f01db +  $_GBC_e87afe27ff6d446aa3c709ecff4eecd6 +  $_GBC_4e9c00ccf69d497c8dfcf5082c414f90 +  $_GBC_df78ddf6c22e46c1a5817cbc43b21618 +  $_GBC_0daa97dbcffc4acfb57675ed8c11d852" id="C4906b09f6572491085e2ede071e554c9"/>
      </m:item>
      <m:item xlName="_GBC_75e8e45c8c084f7fa05027cfbbeb49a9" concept="clcid-pte:QiTaQuanYiGongJuZhongDeQiTaZengJianBianDongJinE" label="其他权益工具中的其他增减变动金额" mulRef="_GBC_375aa5b655854a6fa4ef44766a5a9d36" unitRef="_GBC_6053d48a4e214ab7b17d03b28b93cb76" addr="T0R8C4S1_1" formatStyle="Comma">
        <m:complexRule comparator="Eq" title="其他权益工具中的其他增减变动金额" test=" $_GBC_90375b112f584398a5ff64c177eb4dc6 +  $_GBC_c569f58abae24c66861c15a10d84674e +  $_GBC_2de6c99db11c4ac688df168bfda60547 +  $_GBC_ae977af92b684c44bdf338b0507515d2 +  $_GBC_cf503f21da614ca8950eeb5d62fed06d +  $_GBC_d49c108f09ec4ed8955de5be2acd1444" id="Ca7fed60228ac41bd956ea13f5130b8c2"/>
      </m:item>
      <m:item xlName="_GBC_d6e2bf1bb1f547178f86fdb2e81bea01" concept="clcid-pte:ZiBenGongJiZengJianBianDongJinE" label="资本公积增减变动金额" mulRef="_GBC_375aa5b655854a6fa4ef44766a5a9d36" unitRef="_GBC_6053d48a4e214ab7b17d03b28b93cb76" addr="T0R8C5S1_1" formatStyle="Comma">
        <m:complexRule comparator="Eq" title="资本公积增减变动金额" test=" $_GBC_f39d782282e8473ebea7a1aad1564a8d +  $_GBC_4059a2d18a1c4f2aba62bf34dc4536fb +  $_GBC_b05b4e7b3bb543b5a76ead7b367bc73c +  $_GBC_5f926490ade5412d9a77c297b45fbf73 +  $_GBC_e599f55d658343a783b2a12304305844 +  $_GBC_8935d5c4d75f497e804819e0a17060d4" id="C2b23b9777597445f8d94b93dc622ff36"/>
      </m:item>
      <m:item xlName="_GBC_740d59c820794f33bd00782914697ea1" concept="clcid-pte:KuCunGuZengJianBianDongJinE" label="库存股增减变动金额" mulRef="_GBC_375aa5b655854a6fa4ef44766a5a9d36" unitRef="_GBC_6053d48a4e214ab7b17d03b28b93cb76" addr="T0R8C6S1_1" formatStyle="Comma">
        <m:complexRule comparator="Eq" title="库存股增减变动金额" test=" $_GBC_0671ffb4a69946039a36943d4a3d9efb +  $_GBC_6e97719fb4a14eb2b2c7d5d45ca56eb6 +  $_GBC_87442702c7b442c4bc588d4efb6f2a84 +  $_GBC_a7f0c6e13bd34921b1f72186a6051ee3 +  $_GBC_f2ae66a9a3284d1ab2fdf1bca44d13a8 +  $_GBC_56e1caf39e1b4d9090dfaf8d66523905" id="Cff5bf38bdf3c4015969cbb97079e6e5c"/>
      </m:item>
      <m:item xlName="_GBC_07271d90a63b46eaad1a5122cbce9331" concept="clcid-pte:QiTaZongHeShouYiZengJianBianDongJinE" label="其他综合收益增减变动金额" mulRef="_GBC_375aa5b655854a6fa4ef44766a5a9d36" unitRef="_GBC_6053d48a4e214ab7b17d03b28b93cb76" addr="T0R8C7S1_1" formatStyle="Comma">
        <m:complexRule comparator="Eq" title="其他综合收益增减变动金额" test=" $_GBC_252347d00d9e4bbb8ba4901a4e6520cf +  $_GBC_917424a18757406da66fccf9987ce462 +  $_GBC_2bb973c188404964a33b84558243654c +  $_GBC_cdde0602f9354035ada898e7c4307caf +  $_GBC_863c74b9c11c404086044a4ff6016717 +  $_GBC_b7b033edb1e94ecb8512ec1b9cb7fa18" id="C5cf0cddfdc8545159b298b332e2d4ceb"/>
      </m:item>
      <m:item xlName="_GBC_43c8359de72447e59cf49e009fced8fe" concept="clcid-pte:ZhuanXiangChuBeiZengJianBianDongJinE" label="专项储备增减变动金额" mulRef="_GBC_375aa5b655854a6fa4ef44766a5a9d36" unitRef="_GBC_6053d48a4e214ab7b17d03b28b93cb76" addr="T0R8C8S1_1" formatStyle="Comma">
        <m:complexRule comparator="Eq" title="专项储备增减变动金额" test=" $_GBC_f5287a59a2e84f5ea5e9a99a9df22303 +  $_GBC_b82048cf64e74990adbb44ab3d46893a +  $_GBC_d30274d906ed4f48b8024a9ad09c0a12 +  $_GBC_608958c908994401bd17136a118121ae +  $_GBC_ffefd3d3cf6b42b39654b846b4eb5524 +  $_GBC_0aac65ba71d54447bce3ce4d84ad309a" id="C7b58bc953b3447849f2bd74e477a7f25"/>
      </m:item>
      <m:item xlName="_GBC_62e634a4f43b4bfb853224e1c71ac0cb" concept="clcid-pte:YingYuGongJiZengJianBianDongJinE" label="盈余公积增减变动金额" mulRef="_GBC_375aa5b655854a6fa4ef44766a5a9d36" unitRef="_GBC_6053d48a4e214ab7b17d03b28b93cb76" addr="T0R8C9S1_1" formatStyle="Comma">
        <m:complexRule comparator="Eq" title="盈余公积增减变动金额" test=" $_GBC_0c6b0ece4ca3456e898b3adb0f76a3e7 +  $_GBC_3ddd384933744021b232467263336d80 +  $_GBC_40a46a8e959247189730bd50f64ddf04 +  $_GBC_4dd8d9b006b74bdeb3da672c82a23e4d +  $_GBC_49fededab3164c96bbc4956692cb1deb +  $_GBC_cc0f967b4f214ae18a49bc71751fd967" id="Ca36d6586715b4bf0af4f836a7ea03369"/>
      </m:item>
      <m:item xlName="_GBC_f2b8116812324e43a6776da3eb366106" concept="clcid-pte:WeiFenPeiLiRunZengJianBianDongJinE" label="未分配利润增减变动金额" mulRef="_GBC_375aa5b655854a6fa4ef44766a5a9d36" unitRef="_GBC_6053d48a4e214ab7b17d03b28b93cb76" addr="T0R8C10S1_1" formatStyle="Comma">
        <m:complexRule comparator="Eq" title="未分配利润增减变动金额" test=" $_GBC_670b83bc7cbe4e669aee8a4486a1480f +  $_GBC_748ce735e299444caad96bb928e9e8e1 +  $_GBC_14ddc1b72d224d8cb631f204c12e0e7b +  $_GBC_ca1ffdd628204eac9c010d2b56a8b418 +  $_GBC_a12ec3b82eb44b799b8099894f960c9e +  $_GBC_79b45aa72adf4e9682398fac705787cf" id="C8e50098ef86f40ea9905238b14003908"/>
      </m:item>
      <m:item xlName="_GBC_05cad73814084fbdb65718569e03bf5f" concept="clcid-pte:GuDongQuanYiHeJiZengJianBianDongJinE" label="股东权益合计增减变动金额" mulRef="_GBC_375aa5b655854a6fa4ef44766a5a9d36" unitRef="_GBC_6053d48a4e214ab7b17d03b28b93cb76" addr="T0R8C11S1_1" formatStyle="Comma">
        <m:complexRule comparator="Eq" title="股东权益合计增减变动金额" test=" $_GBC_fdd5cb737e2f4fc3a2a08fe7891aca04 +  $_GBC_805a3e8121a04265976e834a5299d1e3 +  $_GBC_60a15e732c8b4502b3a9e77633de1d86 +  $_GBC_f38b59b2f1d748e2a5480639c30a964e +  $_GBC_0a490045e6a040b699e2b5d552fa20cd +  $_GBC_1267314c0762456ca0f986543c3cd151" id="C343958a2e4994adda0e1ecf234ed8c9a"/>
      </m:item>
      <m:placeholder xlName="_PLD_f5625f77aa0e4d6a86f3588d1c84e3d6" addr="T0R9C0S1_1"/>
      <m:item xlName="_GBC_4cbd3a1fa1064f3ea2d137bed6d217d3" concept="clcid-pte:ZongHeShouYiZongEDaoZhiGuBenBianDongJinE" label="综合收益总额导致股本变动金额" mulRef="_GBC_375aa5b655854a6fa4ef44766a5a9d36" unitRef="_GBC_6053d48a4e214ab7b17d03b28b93cb76" addr="T0R9C1S1_1" formatStyle="Comma"/>
      <m:item xlName="_GBC_6b66ddea2fc749ea92713526d1f0de01" concept="clcid-pte:ZongHeShouYiZongEDaoZhiYouXianGuBianDongJinE" label="综合收益总额导致优先股变动金额" mulRef="_GBC_375aa5b655854a6fa4ef44766a5a9d36" unitRef="_GBC_6053d48a4e214ab7b17d03b28b93cb76" addr="T0R9C2S1_1" formatStyle="Comma"/>
      <m:item xlName="_GBC_8495e58c3a1d4f45a9af34ffe578c152" concept="clcid-pte:ZongHeShouYiZongEDaoZhiYongXuZhaiBianDongJinE" label="综合收益总额导致永续债变动金额" mulRef="_GBC_375aa5b655854a6fa4ef44766a5a9d36" unitRef="_GBC_6053d48a4e214ab7b17d03b28b93cb76" addr="T0R9C3S1_1" formatStyle="Comma"/>
      <m:item xlName="_GBC_90375b112f584398a5ff64c177eb4dc6" concept="clcid-pte:ZongHeShouYiZongEDaoZhiQiTaQuanYiGongJuZhongDeQiTaBianDongJinE" label="综合收益总额导致其他权益工具中的其他变动金额" mulRef="_GBC_375aa5b655854a6fa4ef44766a5a9d36" unitRef="_GBC_6053d48a4e214ab7b17d03b28b93cb76" addr="T0R9C4S1_1" formatStyle="Comma"/>
      <m:item xlName="_GBC_f39d782282e8473ebea7a1aad1564a8d" concept="clcid-pte:ZongHeShouYiZongEDaoZhiZiBenGongJiBianDongJinE" label="综合收益总额导致资本公积变动金额" mulRef="_GBC_375aa5b655854a6fa4ef44766a5a9d36" unitRef="_GBC_6053d48a4e214ab7b17d03b28b93cb76" addr="T0R9C5S1_1" formatStyle="Comma"/>
      <m:item xlName="_GBC_0671ffb4a69946039a36943d4a3d9efb" concept="clcid-pte:ZongHeShouYiZongEDaoZhiKuCunGuBianDongJinE" label="综合收益总额导致库存股变动金额" mulRef="_GBC_375aa5b655854a6fa4ef44766a5a9d36" unitRef="_GBC_6053d48a4e214ab7b17d03b28b93cb76" addr="T0R9C6S1_1" formatStyle="Comma"/>
      <m:item xlName="_GBC_252347d00d9e4bbb8ba4901a4e6520cf" concept="clcid-pte:ZongHeShouYiZongEDaoZhiQiTaZongHeShouYiBianDongJinE" label="综合收益总额导致其他综合收益变动金额" mulRef="_GBC_375aa5b655854a6fa4ef44766a5a9d36" unitRef="_GBC_6053d48a4e214ab7b17d03b28b93cb76" addr="T0R9C7S1_1" formatStyle="Comma"/>
      <m:item xlName="_GBC_f5287a59a2e84f5ea5e9a99a9df22303" concept="clcid-pte:ZongHeShouYiZongEDaoZhiZhuanXiangChuBeiBianDongJinE" label="综合收益总额导致专项储备变动金额" mulRef="_GBC_375aa5b655854a6fa4ef44766a5a9d36" unitRef="_GBC_6053d48a4e214ab7b17d03b28b93cb76" addr="T0R9C8S1_1" formatStyle="Comma"/>
      <m:item xlName="_GBC_0c6b0ece4ca3456e898b3adb0f76a3e7" concept="clcid-pte:ZongHeShouYiZongEDaoZhiYingYuGongJiBianDongJinE" label="综合收益总额导致盈余公积变动金额" mulRef="_GBC_375aa5b655854a6fa4ef44766a5a9d36" unitRef="_GBC_6053d48a4e214ab7b17d03b28b93cb76" addr="T0R9C9S1_1" formatStyle="Comma"/>
      <m:item xlName="_GBC_670b83bc7cbe4e669aee8a4486a1480f" concept="clcid-pte:ZongHeShouYiZongEDaoZhiWeiFenPeiLiRunBianDongJinE" label="综合收益总额导致未分配利润变动金额" mulRef="_GBC_375aa5b655854a6fa4ef44766a5a9d36" unitRef="_GBC_6053d48a4e214ab7b17d03b28b93cb76" addr="T0R9C10S1_1" formatStyle="Comma"/>
      <m:item xlName="_GBC_fdd5cb737e2f4fc3a2a08fe7891aca04" concept="clcid-pte:ZongHeShouYiZongEDaoZhiGuDongQuanYiHeJiBianDongJinE" label="综合收益总额导致股东权益合计变动金额" mulRef="_GBC_375aa5b655854a6fa4ef44766a5a9d36" unitRef="_GBC_6053d48a4e214ab7b17d03b28b93cb76" addr="T0R9C11S1_1" formatStyle="Comma"/>
      <m:placeholder xlName="_PLD_8e4ba029527848aca94e23bbc2204451" addr="T0R10C0S1_1"/>
      <m:item xlName="_GBC_e987abcca56c48ceb2d06301df3c57d8" concept="clcid-pte:SuoYouZheTouRuHeJianShaoZiBenDaoZhiShiShouZiBenHuoGuBenJingEBianDongJinE" label="所有者投入和减少资本导致实收资本（或股本）净额变动金额" mulRef="_GBC_375aa5b655854a6fa4ef44766a5a9d36" unitRef="_GBC_6053d48a4e214ab7b17d03b28b93cb76" addr="T0R10C1S1_1" formatStyle="Comma">
        <m:complexRule comparator="Eq" title="所有者投入和减少资本导致实收资本（或股本）净额变动金额" test=" $_GBC_6cf7bf30e28c46598a70ec63565b7731 +  $_GBC_0b86d3c3d1954aceb34e60a6b95e8bb1 +  $_GBC_b75c02f359284ac0bfa7d4b517bf8fe4 +  $_GBC_34fd3f3ee298490797a4d58d502944f9" id="C256d33f25e834c7b9fbbb1cc5577563e"/>
      </m:item>
      <m:item xlName="_GBC_a33abc47762d4fe69bb1201a97e51eda" concept="clcid-pte:SuoYouZheTouRuHeJianShaoZiBenDaoZhiQiTaQuanYiGongJuZhongDeYouXianGuBianDongJinE" label="所有者投入和减少资本导致其他权益工具中的优先股变动金额" mulRef="_GBC_375aa5b655854a6fa4ef44766a5a9d36" unitRef="_GBC_6053d48a4e214ab7b17d03b28b93cb76" addr="T0R10C2S1_1" formatStyle="Comma">
        <m:complexRule comparator="Eq" title="所有者投入和减少资本导致其他权益工具中的优先股变动金额" test=" $_GBC_cb716fe9c6c943a88ff010d4744aec05 +  $_GBC_69256fe266f44a9dbd47328b0dfeb8a0 +  $_GBC_10b2f3bc231943bbb3bd0d23efc183a5 +  $_GBC_5124a0fd40c9404e84c52d51ff13d290" id="Caeab840abb3740ba99630e2fbce4771c"/>
      </m:item>
      <m:item xlName="_GBC_5ff9de74e8684ad88f4387503a5f01db" concept="clcid-pte:SuoYouZheTouRuHeJianShaoZiBenDaoZhiQiTaQuanYiGongJuZhongDeYongXuZhaiBianDongJinE" label="所有者投入和减少资本导致其他权益工具中的永续债变动金额" mulRef="_GBC_375aa5b655854a6fa4ef44766a5a9d36" unitRef="_GBC_6053d48a4e214ab7b17d03b28b93cb76" addr="T0R10C3S1_1" formatStyle="Comma">
        <m:complexRule comparator="Eq" title="所有者投入和减少资本导致其他权益工具中的永续债变动金额" test=" $_GBC_1a86ca92f4c1427ca480aeb8c5c575db +  $_GBC_e5f2636b3dde46f5b74a93a43db9c2d2 +  $_GBC_93c7d3f14c7b4a4a84dc879d227c8b43 +  $_GBC_bc80feac6d8e40adbb2f04cce9cb4e13" id="C17b682cc68b74a3c9502e4ebb5d58b36"/>
      </m:item>
      <m:item xlName="_GBC_c569f58abae24c66861c15a10d84674e" concept="clcid-pte:SuoYouZheTouRuHeJianShaoZiBenDaoZhiQiTaQuanYiGongJuZhongDeQiTaBianDongJinE" label="所有者投入和减少资本导致其他权益工具中的其他变动金额" mulRef="_GBC_375aa5b655854a6fa4ef44766a5a9d36" unitRef="_GBC_6053d48a4e214ab7b17d03b28b93cb76" addr="T0R10C4S1_1" formatStyle="Comma">
        <m:complexRule comparator="Eq" title="所有者投入和减少资本导致其他权益工具中的其他变动金额" test=" $_GBC_3e31b4561b174c78be0439051e894cba +  $_GBC_e0af570acd834466afce0713e70be3cb +  $_GBC_bd2f41ebddab43c49c4024dec26b94ff +  $_GBC_ae48bff1778647fe925ac23e662b45c3" id="C770776b8a1244d07b8bfe0ad5bc0a122"/>
      </m:item>
      <m:item xlName="_GBC_4059a2d18a1c4f2aba62bf34dc4536fb" concept="clcid-pte:SuoYouZheTouRuHeJianShaoZiBenDaoZhiZiBenGongJiBianDongJinE" label="所有者投入和减少资本导致资本公积变动金额" mulRef="_GBC_375aa5b655854a6fa4ef44766a5a9d36" unitRef="_GBC_6053d48a4e214ab7b17d03b28b93cb76" addr="T0R10C5S1_1" formatStyle="Comma">
        <m:complexRule comparator="Eq" title="所有者投入和减少资本导致资本公积变动金额" test=" $_GBC_bf507b0f322e4be19d7181ca0fa75e1d +  $_GBC_6e88fdea664643d3b5a0367ed1196e0a +  $_GBC_c9405d0e79754ac09c1f92b532dac6fc +  $_GBC_54ea9c0af0a64ba08f99f1ba5b3174e8" id="C1889243e9227446ba8f5372271ec867c"/>
      </m:item>
      <m:item xlName="_GBC_6e97719fb4a14eb2b2c7d5d45ca56eb6" concept="clcid-pte:SuoYouZheTouRuHeJianShaoZiBenDaoZhiKuCunGuBianDongJinE" label="所有者投入和减少资本导致库存股变动金额" mulRef="_GBC_375aa5b655854a6fa4ef44766a5a9d36" unitRef="_GBC_6053d48a4e214ab7b17d03b28b93cb76" addr="T0R10C6S1_1" formatStyle="Comma">
        <m:complexRule comparator="Eq" title="所有者投入和减少资本导致库存股变动金额" test=" $_GBC_ffa7d612019540fcbe0351c50c4799c8 +  $_GBC_e42f82800d924998b52c991b52447a79 +  $_GBC_554f1934a568422c8a968a4eec4d3340 +  $_GBC_abb162725337422b96d0d58d97f56fd3" id="Cb5e0e837499d440db64bc0a38be5945b"/>
      </m:item>
      <m:item xlName="_GBC_917424a18757406da66fccf9987ce462" concept="clcid-pte:SuoYouZheTouRuHeJianShaoZiBenDaoZhiQiTaZongHeShouYiBianDongJinE" label="所有者投入和减少资本导致其他综合收益变动金额" mulRef="_GBC_375aa5b655854a6fa4ef44766a5a9d36" unitRef="_GBC_6053d48a4e214ab7b17d03b28b93cb76" addr="T0R10C7S1_1" formatStyle="Comma">
        <m:complexRule comparator="Eq" title="所有者投入和减少资本导致其他综合收益变动金额" test=" $_GBC_e68402aab2a34a5d8c5fcdaf69e8235a +  $_GBC_1b3c0d59ca054a8f811f4ee52825488e +  $_GBC_5e07c0e720c84ff9ae4a866bd6de2f2b +  $_GBC_c6a1c6cc1c2647c397d619eb8c920664" id="Cb0bd26b2bf9f44f29699f8c41591d8f5"/>
      </m:item>
      <m:item xlName="_GBC_b82048cf64e74990adbb44ab3d46893a" concept="clcid-pte:SuoYouZheTouRuHeJianShaoZiBenDaoZhiZhuanXiangChuBeiBianDongJinE" label="所有者投入和减少资本导致专项储备变动金额" mulRef="_GBC_375aa5b655854a6fa4ef44766a5a9d36" unitRef="_GBC_6053d48a4e214ab7b17d03b28b93cb76" addr="T0R10C8S1_1" formatStyle="Comma">
        <m:complexRule comparator="Eq" title="所有者投入和减少资本导致专项储备变动金额" test=" $_GBC_e905cbe047854dc6a178029d2fb1fb7c +  $_GBC_1739ef3b441e42a3bc4076ec515fbb05 +  $_GBC_14ee58c3ecdf451eb678be46b8d6acbb +  $_GBC_12d2d9f04fb240dc9b494c54b5b0365e" id="C91f2f02bebfc48a282d3e33feb7acc19"/>
      </m:item>
      <m:item xlName="_GBC_3ddd384933744021b232467263336d80" concept="clcid-pte:SuoYouZheTouRuHeJianShaoZiBenDaoZhiYingYuGongJiBianDongJinE" label="所有者投入和减少资本导致盈余公积变动金额" mulRef="_GBC_375aa5b655854a6fa4ef44766a5a9d36" unitRef="_GBC_6053d48a4e214ab7b17d03b28b93cb76" addr="T0R10C9S1_1" formatStyle="Comma">
        <m:complexRule comparator="Eq" title="所有者投入和减少资本导致盈余公积变动金额" test=" $_GBC_5ca0e846ac024ae6bcbcba4c8499ebeb +  $_GBC_613b261cd6764a11aaada0a8ff63169f +  $_GBC_12394ba1196f4ff3a985135f52778cef +  $_GBC_7d3c71ac03d04f00a0d9ea75dfb6fc2c" id="Caebd779e175842a8a53daf9d301afe6a"/>
      </m:item>
      <m:item xlName="_GBC_748ce735e299444caad96bb928e9e8e1" concept="clcid-pte:SuoYouZheTouRuHeJianShaoZiBenDaoZhiWeiFenPeiLiRunBianDongJinE" label="所有者投入和减少资本导致未分配利润变动金额" mulRef="_GBC_375aa5b655854a6fa4ef44766a5a9d36" unitRef="_GBC_6053d48a4e214ab7b17d03b28b93cb76" addr="T0R10C10S1_1" formatStyle="Comma">
        <m:complexRule comparator="Eq" title="所有者投入和减少资本导致未分配利润变动金额" test=" $_GBC_77044cf15d324c059cd2ac1125fd1d8c +  $_GBC_5621479378e94492806f0a8f8aa87db7 +  $_GBC_158c04df51da4038ac953f7b3f120920 +  $_GBC_e40c72d6f48e4b0f91994c9dd6ef4ea7" id="Cb4b30e8ffab74ac68487a2543cc0af0e"/>
      </m:item>
      <m:item xlName="_GBC_805a3e8121a04265976e834a5299d1e3" concept="clcid-pte:SuoYouZheTouRuHeJianShaoZiBenDaoZhiGuDongQuanYiHeJiBianDongJinE" label="所有者投入和减少资本导致股东权益合计变动金额" mulRef="_GBC_375aa5b655854a6fa4ef44766a5a9d36" unitRef="_GBC_6053d48a4e214ab7b17d03b28b93cb76" addr="T0R10C11S1_1" formatStyle="Comma">
        <m:complexRule comparator="Eq" title="所有者投入和减少资本导致股东权益合计变动金额" test=" $_GBC_09621d1261df48f48c4c3fcdea3d7f96 +  $_GBC_0b044e992a244500b9070ebc3ac678fd +  $_GBC_aa4dafdc7faf4604866bea3dc7d1727a +  $_GBC_effa9c2e776547079c82a55a138feef0" id="C9d7f6dc602ad47ba9cb9ebc6b74e4e6e"/>
      </m:item>
      <m:placeholder xlName="_PLD_783d26573ecc48e6a0103ac30f6bfc54" addr="T0R11C0S1_1"/>
      <m:item xlName="_GBC_6cf7bf30e28c46598a70ec63565b7731" concept="clcid-pte:GuDongTouRuDePuTongGuDaoZhiGuBenBianDongJinE" label="股东投入的普通股导致股本变动金额" mulRef="_GBC_375aa5b655854a6fa4ef44766a5a9d36" unitRef="_GBC_6053d48a4e214ab7b17d03b28b93cb76" addr="T0R11C1S1_1" formatStyle="Comma"/>
      <m:item xlName="_GBC_cb716fe9c6c943a88ff010d4744aec05" concept="clcid-pte:GuDongTouRuDePuTongGuDaoZhiYouXianGuBianDongJinE" label="股东投入的普通股导致优先股变动金额" mulRef="_GBC_375aa5b655854a6fa4ef44766a5a9d36" unitRef="_GBC_6053d48a4e214ab7b17d03b28b93cb76" addr="T0R11C2S1_1" formatStyle="Comma"/>
      <m:item xlName="_GBC_1a86ca92f4c1427ca480aeb8c5c575db" concept="clcid-pte:GuDongTouRuDePuTongGuDaoZhiYongXuZhaiBianDongJinE" label="股东投入的普通股导致永续债变动金额" mulRef="_GBC_375aa5b655854a6fa4ef44766a5a9d36" unitRef="_GBC_6053d48a4e214ab7b17d03b28b93cb76" addr="T0R11C3S1_1" formatStyle="Comma"/>
      <m:item xlName="_GBC_3e31b4561b174c78be0439051e894cba" concept="clcid-pte:GuDongTouRuDePuTongGuDaoZhiQiTaQuanYiGongJuZhongDeQiTaBianDongJinE" label="股东投入的普通股导致其他权益工具中的其他变动金额" mulRef="_GBC_375aa5b655854a6fa4ef44766a5a9d36" unitRef="_GBC_6053d48a4e214ab7b17d03b28b93cb76" addr="T0R11C4S1_1" formatStyle="Comma"/>
      <m:item xlName="_GBC_bf507b0f322e4be19d7181ca0fa75e1d" concept="clcid-pte:GuDongTouRuDePuTongGuDaoZhiZiBenGongJiBianDongJinE" label="股东投入的普通股导致资本公积变动金额" mulRef="_GBC_375aa5b655854a6fa4ef44766a5a9d36" unitRef="_GBC_6053d48a4e214ab7b17d03b28b93cb76" addr="T0R11C5S1_1" formatStyle="Comma"/>
      <m:item xlName="_GBC_ffa7d612019540fcbe0351c50c4799c8" concept="clcid-pte:GuDongTouRuDePuTongGuDaoZhiKuCunGuBianDongJinE" label="股东投入的普通股导致库存股变动金额" mulRef="_GBC_375aa5b655854a6fa4ef44766a5a9d36" unitRef="_GBC_6053d48a4e214ab7b17d03b28b93cb76" addr="T0R11C6S1_1" formatStyle="Comma"/>
      <m:item xlName="_GBC_e68402aab2a34a5d8c5fcdaf69e8235a" concept="clcid-pte:GuDongTouRuDePuTongGuDaoZhiQiTaZongHeShouYiBianDongJinE" label="股东投入的普通股导致其他综合收益变动金额" mulRef="_GBC_375aa5b655854a6fa4ef44766a5a9d36" unitRef="_GBC_6053d48a4e214ab7b17d03b28b93cb76" addr="T0R11C7S1_1" formatStyle="Comma"/>
      <m:item xlName="_GBC_e905cbe047854dc6a178029d2fb1fb7c" concept="clcid-pte:GuDongTouRuDePuTongGuDaoZhiZhuanXiangChuBeiBianDongJinE" label="股东投入的普通股导致专项储备变动金额" mulRef="_GBC_375aa5b655854a6fa4ef44766a5a9d36" unitRef="_GBC_6053d48a4e214ab7b17d03b28b93cb76" addr="T0R11C8S1_1" formatStyle="Comma"/>
      <m:item xlName="_GBC_5ca0e846ac024ae6bcbcba4c8499ebeb" concept="clcid-pte:GuDongTouRuDePuTongGuDaoZhiYingYuGongJiBianDongJinE" label="股东投入的普通股导致盈余公积变动金额" mulRef="_GBC_375aa5b655854a6fa4ef44766a5a9d36" unitRef="_GBC_6053d48a4e214ab7b17d03b28b93cb76" addr="T0R11C9S1_1" formatStyle="Comma"/>
      <m:item xlName="_GBC_77044cf15d324c059cd2ac1125fd1d8c" concept="clcid-pte:GuDongTouRuDePuTongGuDaoZhiWeiFenPeiLiRunBianDongJinE" label="股东投入的普通股导致未分配利润变动金额" mulRef="_GBC_375aa5b655854a6fa4ef44766a5a9d36" unitRef="_GBC_6053d48a4e214ab7b17d03b28b93cb76" addr="T0R11C10S1_1" formatStyle="Comma"/>
      <m:item xlName="_GBC_09621d1261df48f48c4c3fcdea3d7f96" concept="clcid-pte:GuDongTouRuDePuTongGuDaoZhiGuDongQuanYiHeJiBianDongJinE" label="股东投入的普通股导致股东权益合计变动金额" mulRef="_GBC_375aa5b655854a6fa4ef44766a5a9d36" unitRef="_GBC_6053d48a4e214ab7b17d03b28b93cb76" addr="T0R11C11S1_1" formatStyle="Comma"/>
      <m:placeholder xlName="_PLD_d36bbe3060a34cf585782aba53171501" addr="T0R12C0S1_1"/>
      <m:item xlName="_GBC_0b86d3c3d1954aceb34e60a6b95e8bb1" concept="clcid-pte:QiTaQuanYiGongJuChiYouZheTouRuZiBenDaoZhiGuBenBianDongJinE" label="其他权益工具持有者投入资本导致股本变动金额" mulRef="_GBC_375aa5b655854a6fa4ef44766a5a9d36" unitRef="_GBC_6053d48a4e214ab7b17d03b28b93cb76" addr="T0R12C1S1_1" formatStyle="Comma"/>
      <m:item xlName="_GBC_69256fe266f44a9dbd47328b0dfeb8a0" concept="clcid-pte:QiTaQuanYiGongJuChiYouZheTouRuZiBenDaoZhiYouXianGuBianDongJinE" label="其他权益工具持有者投入资本导致优先股变动金额" mulRef="_GBC_375aa5b655854a6fa4ef44766a5a9d36" unitRef="_GBC_6053d48a4e214ab7b17d03b28b93cb76" addr="T0R12C2S1_1" formatStyle="Comma"/>
      <m:item xlName="_GBC_e5f2636b3dde46f5b74a93a43db9c2d2" concept="clcid-pte:QiTaQuanYiGongJuChiYouZheTouRuZiBenDaoZhiYongXuZhaiBianDongJinE" label="其他权益工具持有者投入资本导致永续债变动金额" mulRef="_GBC_375aa5b655854a6fa4ef44766a5a9d36" unitRef="_GBC_6053d48a4e214ab7b17d03b28b93cb76" addr="T0R12C3S1_1" formatStyle="Comma"/>
      <m:item xlName="_GBC_e0af570acd834466afce0713e70be3cb" concept="clcid-pte:QiTaQuanYiGongJuChiYouZheTouRuZiBenDaoZhiQiTaQuanYiGongJuZhongDeQiTaBianDongJinE" label="其他权益工具持有者投入资本导致其他权益工具中的其他变动金额" mulRef="_GBC_375aa5b655854a6fa4ef44766a5a9d36" unitRef="_GBC_6053d48a4e214ab7b17d03b28b93cb76" addr="T0R12C4S1_1" formatStyle="Comma"/>
      <m:item xlName="_GBC_6e88fdea664643d3b5a0367ed1196e0a" concept="clcid-pte:QiTaQuanYiGongJuChiYouZheTouRuZiBenDaoZhiZiBenGongJiBianDongJinE" label="其他权益工具持有者投入资本导致资本公积变动金额" mulRef="_GBC_375aa5b655854a6fa4ef44766a5a9d36" unitRef="_GBC_6053d48a4e214ab7b17d03b28b93cb76" addr="T0R12C5S1_1" formatStyle="Comma"/>
      <m:item xlName="_GBC_e42f82800d924998b52c991b52447a79" concept="clcid-pte:QiTaQuanYiGongJuChiYouZheTouRuZiBenDaoZhiKuCunGuBianDongJinE" label="其他权益工具持有者投入资本导致库存股变动金额" mulRef="_GBC_375aa5b655854a6fa4ef44766a5a9d36" unitRef="_GBC_6053d48a4e214ab7b17d03b28b93cb76" addr="T0R12C6S1_1" formatStyle="Comma"/>
      <m:item xlName="_GBC_1b3c0d59ca054a8f811f4ee52825488e" concept="clcid-pte:QiTaQuanYiGongJuChiYouZheTouRuZiBenDaoZhiQiTaZongHeShouYiBianDongJinE" label="其他权益工具持有者投入资本导致其他综合收益变动金额" mulRef="_GBC_375aa5b655854a6fa4ef44766a5a9d36" unitRef="_GBC_6053d48a4e214ab7b17d03b28b93cb76" addr="T0R12C7S1_1" formatStyle="Comma"/>
      <m:item xlName="_GBC_1739ef3b441e42a3bc4076ec515fbb05" concept="clcid-pte:QiTaQuanYiGongJuChiYouZheTouRuZiBenDaoZhiZhuanXiangChuBeiBianDongJinE" label="其他权益工具持有者投入资本导致专项储备变动金额" mulRef="_GBC_375aa5b655854a6fa4ef44766a5a9d36" unitRef="_GBC_6053d48a4e214ab7b17d03b28b93cb76" addr="T0R12C8S1_1" formatStyle="Comma"/>
      <m:item xlName="_GBC_613b261cd6764a11aaada0a8ff63169f" concept="clcid-pte:QiTaQuanYiGongJuChiYouZheTouRuZiBenDaoZhiYingYuGongJiBianDongJinE" label="其他权益工具持有者投入资本导致盈余公积变动金额" mulRef="_GBC_375aa5b655854a6fa4ef44766a5a9d36" unitRef="_GBC_6053d48a4e214ab7b17d03b28b93cb76" addr="T0R12C9S1_1" formatStyle="Comma"/>
      <m:item xlName="_GBC_5621479378e94492806f0a8f8aa87db7" concept="clcid-pte:QiTaQuanYiGongJuChiYouZheTouRuZiBenDaoZhiWeiFenPeiLiRunBianDongJinE" label="其他权益工具持有者投入资本导致未分配利润变动金额" mulRef="_GBC_375aa5b655854a6fa4ef44766a5a9d36" unitRef="_GBC_6053d48a4e214ab7b17d03b28b93cb76" addr="T0R12C10S1_1" formatStyle="Comma"/>
      <m:item xlName="_GBC_0b044e992a244500b9070ebc3ac678fd" concept="clcid-pte:QiTaQuanYiGongJuChiYouZheTouRuZiBenDaoZhiGuDongQuanYiHeJiBianDongJinE" label="其他权益工具持有者投入资本导致股东权益合计变动金额" mulRef="_GBC_375aa5b655854a6fa4ef44766a5a9d36" unitRef="_GBC_6053d48a4e214ab7b17d03b28b93cb76" addr="T0R12C11S1_1" formatStyle="Comma"/>
      <m:placeholder xlName="_PLD_1821dddd3bfb4816b7692a66c691e0cc" addr="T0R13C0S1_1"/>
      <m:item xlName="_GBC_b75c02f359284ac0bfa7d4b517bf8fe4" concept="clcid-pte:GuFenZhiFuJiRuSuoYouZheQuanYiDeJinEDaoZhiShiShouZiBenHuoGuBenJingEBianDongJinE" label="股份支付计入所有者权益的金额导致实收资本（或股本）净额变动金额" mulRef="_GBC_375aa5b655854a6fa4ef44766a5a9d36" unitRef="_GBC_6053d48a4e214ab7b17d03b28b93cb76" addr="T0R13C1S1_1" formatStyle="Comma"/>
      <m:item xlName="_GBC_10b2f3bc231943bbb3bd0d23efc183a5" concept="clcid-pte:GuFenZhiFuJiRuSuoYouZheQuanYiDeJinEDaoZhiQiTaQuanYiGongJuZhongDeYouXianGuBianDongJinE" label="股份支付计入所有者权益的金额导致其他权益工具中的优先股变动金额" mulRef="_GBC_375aa5b655854a6fa4ef44766a5a9d36" unitRef="_GBC_6053d48a4e214ab7b17d03b28b93cb76" addr="T0R13C2S1_1" formatStyle="Comma"/>
      <m:item xlName="_GBC_93c7d3f14c7b4a4a84dc879d227c8b43" concept="clcid-pte:GuFenZhiFuJiRuSuoYouZheQuanYiDeJinEDaoZhiQiTaQuanYiGongJuZhongDeYongXuZhaiBianDongJinE" label="股份支付计入所有者权益的金额导致其他权益工具中的永续债变动金额" mulRef="_GBC_375aa5b655854a6fa4ef44766a5a9d36" unitRef="_GBC_6053d48a4e214ab7b17d03b28b93cb76" addr="T0R13C3S1_1" formatStyle="Comma"/>
      <m:item xlName="_GBC_bd2f41ebddab43c49c4024dec26b94ff" concept="clcid-pte:GuFenZhiFuJiRuSuoYouZheQuanYiDeJinEDaoZhiQiTaQuanYiGongJuZhongDeQiTaBianDongJinE" label="股份支付计入所有者权益的金额导致其他权益工具中的其他变动金额" mulRef="_GBC_375aa5b655854a6fa4ef44766a5a9d36" unitRef="_GBC_6053d48a4e214ab7b17d03b28b93cb76" addr="T0R13C4S1_1" formatStyle="Comma"/>
      <m:item xlName="_GBC_c9405d0e79754ac09c1f92b532dac6fc" concept="clcid-pte:GuFenZhiFuJiRuSuoYouZheQuanYiDeJinEDaoZhiZiBenGongJiBianDongJinE" label="股份支付计入所有者权益的金额导致资本公积变动金额" mulRef="_GBC_375aa5b655854a6fa4ef44766a5a9d36" unitRef="_GBC_6053d48a4e214ab7b17d03b28b93cb76" addr="T0R13C5S1_1" formatStyle="Comma"/>
      <m:item xlName="_GBC_554f1934a568422c8a968a4eec4d3340" concept="clcid-pte:GuFenZhiFuJiRuSuoYouZheQuanYiDeJinEDaoZhiKuCunGuBianDongJinE" label="股份支付计入所有者权益的金额导致库存股变动金额" mulRef="_GBC_375aa5b655854a6fa4ef44766a5a9d36" unitRef="_GBC_6053d48a4e214ab7b17d03b28b93cb76" addr="T0R13C6S1_1" formatStyle="Comma"/>
      <m:item xlName="_GBC_5e07c0e720c84ff9ae4a866bd6de2f2b" concept="clcid-pte:GuFenZhiFuJiRuSuoYouZheQuanYiDeJinEDaoZhiQiTaZongHeShouYiBianDongJinE" label="股份支付计入所有者权益的金额导致其他综合收益变动金额" mulRef="_GBC_375aa5b655854a6fa4ef44766a5a9d36" unitRef="_GBC_6053d48a4e214ab7b17d03b28b93cb76" addr="T0R13C7S1_1" formatStyle="Comma"/>
      <m:item xlName="_GBC_14ee58c3ecdf451eb678be46b8d6acbb" concept="clcid-pte:GuFenZhiFuJiRuSuoYouZheQuanYiDeJinEDaoZhiZhuanXiangChuBeiBianDongJinE" label="股份支付计入所有者权益的金额导致专项储备变动金额" mulRef="_GBC_375aa5b655854a6fa4ef44766a5a9d36" unitRef="_GBC_6053d48a4e214ab7b17d03b28b93cb76" addr="T0R13C8S1_1" formatStyle="Comma"/>
      <m:item xlName="_GBC_12394ba1196f4ff3a985135f52778cef" concept="clcid-pte:GuFenZhiFuJiRuSuoYouZheQuanYiDeJinEDaoZhiYingYuGongJiBianDongJinE" label="股份支付计入所有者权益的金额导致盈余公积变动金额" mulRef="_GBC_375aa5b655854a6fa4ef44766a5a9d36" unitRef="_GBC_6053d48a4e214ab7b17d03b28b93cb76" addr="T0R13C9S1_1" formatStyle="Comma"/>
      <m:item xlName="_GBC_158c04df51da4038ac953f7b3f120920" concept="clcid-pte:GuFenZhiFuJiRuSuoYouZheQuanYiDeJinEDaoZhiWeiFenPeiLiRunBianDongJinE" label="股份支付计入所有者权益的金额导致未分配利润变动金额" mulRef="_GBC_375aa5b655854a6fa4ef44766a5a9d36" unitRef="_GBC_6053d48a4e214ab7b17d03b28b93cb76" addr="T0R13C10S1_1" formatStyle="Comma"/>
      <m:item xlName="_GBC_aa4dafdc7faf4604866bea3dc7d1727a" concept="clcid-pte:GuFenZhiFuJiRuSuoYouZheQuanYiDeJinEDaoZhiGuDongQuanYiHeJiBianDongJinE" label="股份支付计入所有者权益的金额导致股东权益合计变动金额" mulRef="_GBC_375aa5b655854a6fa4ef44766a5a9d36" unitRef="_GBC_6053d48a4e214ab7b17d03b28b93cb76" addr="T0R13C11S1_1" formatStyle="Comma"/>
      <m:placeholder xlName="_PLD_542fcbb713d641459b721e99a18c18b5" addr="T0R14C0S1_1"/>
      <m:item xlName="_GBC_34fd3f3ee298490797a4d58d502944f9" concept="clcid-pte:QiTaSuoYouZheTouRuHeJianShaoZiBenDaoZhiShiShouZiBenHuoGuBenJingEBianDongJinE" label="其他所有者投入和减少资本导致实收资本（或股本）净额变动金额" mulRef="_GBC_375aa5b655854a6fa4ef44766a5a9d36" unitRef="_GBC_6053d48a4e214ab7b17d03b28b93cb76" addr="T0R14C1S1_1" formatStyle="Comma"/>
      <m:item xlName="_GBC_5124a0fd40c9404e84c52d51ff13d290" concept="clcid-pte:QiTaSuoYouZheTouRuHeJianShaoZiBenDaoZhiQiTaQuanYiGongJuZhongDeYouXianGuBianDongJinE" label="其他所有者投入和减少资本导致其他权益工具中的优先股变动金额" mulRef="_GBC_375aa5b655854a6fa4ef44766a5a9d36" unitRef="_GBC_6053d48a4e214ab7b17d03b28b93cb76" addr="T0R14C2S1_1" formatStyle="Comma"/>
      <m:item xlName="_GBC_bc80feac6d8e40adbb2f04cce9cb4e13" concept="clcid-pte:QiTaSuoYouZheTouRuHeJianShaoZiBenDaoZhiQiTaQuanYiGongJuZhongDeYongXuZhaiBianDongJinE" label="其他所有者投入和减少资本导致其他权益工具中的永续债变动金额" mulRef="_GBC_375aa5b655854a6fa4ef44766a5a9d36" unitRef="_GBC_6053d48a4e214ab7b17d03b28b93cb76" addr="T0R14C3S1_1" formatStyle="Comma"/>
      <m:item xlName="_GBC_ae48bff1778647fe925ac23e662b45c3" concept="clcid-pte:QiTaSuoYouZheTouRuHeJianShaoZiBenDaoZhiQiTaQuanYiGongJuZhongDeQiTaBianDongJinE" label="其他所有者投入和减少资本导致其他权益工具中的其他变动金额" mulRef="_GBC_375aa5b655854a6fa4ef44766a5a9d36" unitRef="_GBC_6053d48a4e214ab7b17d03b28b93cb76" addr="T0R14C4S1_1" formatStyle="Comma"/>
      <m:item xlName="_GBC_54ea9c0af0a64ba08f99f1ba5b3174e8" concept="clcid-pte:QiTaSuoYouZheTouRuHeJianShaoZiBenDaoZhiZiBenGongJiBianDongJinE" label="其他所有者投入和减少资本导致资本公积变动金额" mulRef="_GBC_375aa5b655854a6fa4ef44766a5a9d36" unitRef="_GBC_6053d48a4e214ab7b17d03b28b93cb76" addr="T0R14C5S1_1" formatStyle="Comma"/>
      <m:item xlName="_GBC_abb162725337422b96d0d58d97f56fd3" concept="clcid-pte:QiTaSuoYouZheTouRuHeJianShaoZiBenDaoZhiKuCunGuBianDongJinE" label="其他所有者投入和减少资本导致库存股变动金额" mulRef="_GBC_375aa5b655854a6fa4ef44766a5a9d36" unitRef="_GBC_6053d48a4e214ab7b17d03b28b93cb76" addr="T0R14C6S1_1" formatStyle="Comma"/>
      <m:item xlName="_GBC_c6a1c6cc1c2647c397d619eb8c920664" concept="clcid-pte:QiTaSuoYouZheTouRuHeJianShaoZiBenDaoZhiQiTaZongHeShouYiBianDongJinE" label="其他所有者投入和减少资本导致其他综合收益变动金额" mulRef="_GBC_375aa5b655854a6fa4ef44766a5a9d36" unitRef="_GBC_6053d48a4e214ab7b17d03b28b93cb76" addr="T0R14C7S1_1" formatStyle="Comma"/>
      <m:item xlName="_GBC_12d2d9f04fb240dc9b494c54b5b0365e" concept="clcid-pte:QiTaSuoYouZheTouRuHeJianShaoZiBenDaoZhiZhuanXiangChuBeiBianDongJinE" label="其他所有者投入和减少资本导致专项储备变动金额" mulRef="_GBC_375aa5b655854a6fa4ef44766a5a9d36" unitRef="_GBC_6053d48a4e214ab7b17d03b28b93cb76" addr="T0R14C8S1_1" formatStyle="Comma"/>
      <m:item xlName="_GBC_7d3c71ac03d04f00a0d9ea75dfb6fc2c" concept="clcid-pte:QiTaSuoYouZheTouRuHeJianShaoZiBenDaoZhiYingYuGongJiBianDongJinE" label="其他所有者投入和减少资本导致盈余公积变动金额" mulRef="_GBC_375aa5b655854a6fa4ef44766a5a9d36" unitRef="_GBC_6053d48a4e214ab7b17d03b28b93cb76" addr="T0R14C9S1_1" formatStyle="Comma"/>
      <m:item xlName="_GBC_e40c72d6f48e4b0f91994c9dd6ef4ea7" concept="clcid-pte:QiTaSuoYouZheTouRuHeJianShaoZiBenDaoZhiWeiFenPeiLiRunBianDongJinE" label="其他所有者投入和减少资本导致未分配利润变动金额" mulRef="_GBC_375aa5b655854a6fa4ef44766a5a9d36" unitRef="_GBC_6053d48a4e214ab7b17d03b28b93cb76" addr="T0R14C10S1_1" formatStyle="Comma"/>
      <m:item xlName="_GBC_effa9c2e776547079c82a55a138feef0" concept="clcid-pte:QiTaSuoYouZheTouRuHeJianShaoZiBenDaoZhiGuDongQuanYiHeJiBianDongJinE" label="其他所有者投入和减少资本导致股东权益合计变动金额" mulRef="_GBC_375aa5b655854a6fa4ef44766a5a9d36" unitRef="_GBC_6053d48a4e214ab7b17d03b28b93cb76" addr="T0R14C11S1_1" formatStyle="Comma"/>
      <m:placeholder xlName="_PLD_04a7d4766dbf4992953be7bc20ff01a9" addr="T0R15C0S1_1"/>
      <m:item xlName="_GBC_6b105a342197442b95dd406e73392c41" concept="clcid-pte:LiRunFenPeiDaoZhiShiShouZiBenHuoGuBenJingEBianDongJinE" label="利润分配导致实收资本（或股本）净额变动金额" mulRef="_GBC_375aa5b655854a6fa4ef44766a5a9d36" unitRef="_GBC_6053d48a4e214ab7b17d03b28b93cb76" addr="T0R15C1S1_1" formatStyle="Comma">
        <m:complexRule comparator="Eq" title="利润分配导致实收资本（或股本）净额变动金额" test=" $_GBC_d8bc311574494262bb740d4f2bcededd +  $_GBC_b09cbfde7f264652885dea6b7d0aa184 +  $_GBC_b8caa29cb27845719743c25572d8001e" id="Cb6dfe341b9b64cb29254b9c892f1944e"/>
      </m:item>
      <m:item xlName="_GBC_784b6a37199f4028b93e4f05dda5799d" concept="clcid-pte:LiRunFenPeiDaoZhiQiTaQuanYiGongJuZhongDeYouXianGuBianDongJinE" label="利润分配导致其他权益工具中的优先股变动金额" mulRef="_GBC_375aa5b655854a6fa4ef44766a5a9d36" unitRef="_GBC_6053d48a4e214ab7b17d03b28b93cb76" addr="T0R15C2S1_1" formatStyle="Comma">
        <m:complexRule comparator="Eq" title="利润分配导致其他权益工具中的优先股变动金额" test=" $_GBC_b3fd25c542444e4182240207cee5008e +  $_GBC_25383360baf64eafb0762fa8e6ace9b3 +  $_GBC_86ecb0a462ae471e8805c9f39256b505" id="Ced70a216bbb64f62b9d0802aafecd14d"/>
      </m:item>
      <m:item xlName="_GBC_e87afe27ff6d446aa3c709ecff4eecd6" concept="clcid-pte:LiRunFenPeiDaoZhiQiTaQuanYiGongJuZhongDeYongXuZhaiBianDongJinE" label="利润分配导致其他权益工具中的永续债变动金额" mulRef="_GBC_375aa5b655854a6fa4ef44766a5a9d36" unitRef="_GBC_6053d48a4e214ab7b17d03b28b93cb76" addr="T0R15C3S1_1" formatStyle="Comma">
        <m:complexRule comparator="Eq" title="利润分配导致其他权益工具中的永续债变动金额" test=" $_GBC_6ab9137c5ebc4c55b934a7125a59f175 +  $_GBC_ef7d0a93c28e4306833d7ab1b79641a6 +  $_GBC_13f8d2a177c94ec6a768f3d02888f297" id="C61ff635face04589b761cc500f485def"/>
      </m:item>
      <m:item xlName="_GBC_2de6c99db11c4ac688df168bfda60547" concept="clcid-pte:LiRunFenPeiDaoZhiQiTaQuanYiGongJuZhongDeQiTaBianDongJinE" label="利润分配导致其他权益工具中的其他变动金额" mulRef="_GBC_375aa5b655854a6fa4ef44766a5a9d36" unitRef="_GBC_6053d48a4e214ab7b17d03b28b93cb76" addr="T0R15C4S1_1" formatStyle="Comma">
        <m:complexRule comparator="Eq" title="利润分配导致其他权益工具中的其他变动金额" test=" $_GBC_2e52cd209e6f405981d7c265137d4d51 +  $_GBC_dfc4c4c50f8442cb9de04f4e27742cff +  $_GBC_77946b5baecc47c38f3ed38abb4dc9b6" id="C4eb907ab55ca4b869785f6b1bf97d7d8"/>
      </m:item>
      <m:item xlName="_GBC_b05b4e7b3bb543b5a76ead7b367bc73c" concept="clcid-pte:LiRunFenPeiDaoZhiZiBenGongJiBianDongJinE" label="利润分配导致资本公积变动金额" mulRef="_GBC_375aa5b655854a6fa4ef44766a5a9d36" unitRef="_GBC_6053d48a4e214ab7b17d03b28b93cb76" addr="T0R15C5S1_1" formatStyle="Comma">
        <m:complexRule comparator="Eq" title="利润分配导致资本公积变动金额" test=" $_GBC_08cca1da49b1470ca71f3e949d0cd28f +  $_GBC_eec3b6c4fa4c4241bde3bb16efcf97c8 +  $_GBC_506c9537baa84a61b6f1b675c528c721" id="C2dc0cdb3cd174e36a21fd7b528c5c4c1"/>
      </m:item>
      <m:item xlName="_GBC_87442702c7b442c4bc588d4efb6f2a84" concept="clcid-pte:LiRunFenPeiDaoZhiKuCunGuBianDongJinE" label="利润分配导致库存股变动金额" mulRef="_GBC_375aa5b655854a6fa4ef44766a5a9d36" unitRef="_GBC_6053d48a4e214ab7b17d03b28b93cb76" addr="T0R15C6S1_1" formatStyle="Comma">
        <m:complexRule comparator="Eq" title="利润分配导致库存股变动金额" test=" $_GBC_663d8036678d4ba09a62b278428eb528 +  $_GBC_622a0f258c1841af987a5e2a7dbe6877 +  $_GBC_503d51ead3fa4568a231c95dabb6df74" id="Ce2f1bedc45fe4373ab2e7dc4f79ebf09"/>
      </m:item>
      <m:item xlName="_GBC_2bb973c188404964a33b84558243654c" concept="clcid-pte:LiRunFenPeiDaoZhiQiTaZongHeShouYiBianDongJinE" label="利润分配导致其他综合收益变动金额" mulRef="_GBC_375aa5b655854a6fa4ef44766a5a9d36" unitRef="_GBC_6053d48a4e214ab7b17d03b28b93cb76" addr="T0R15C7S1_1" formatStyle="Comma">
        <m:complexRule comparator="Eq" title="利润分配导致其他综合收益变动金额" test=" $_GBC_234f9538e1d14e4c888c5d1517b2b8d8 +  $_GBC_fcfe00cd02f5415ca0218d8db7d284db +  $_GBC_7809131f515f457f9efdb3a5cd0c3833" id="C059f054cc24d4c078a341612b010d567"/>
      </m:item>
      <m:item xlName="_GBC_d30274d906ed4f48b8024a9ad09c0a12" concept="clcid-pte:LiRunFenPeiDaoZhiZhuanXiangChuBeiBianDongJinE" label="利润分配导致专项储备变动金额" mulRef="_GBC_375aa5b655854a6fa4ef44766a5a9d36" unitRef="_GBC_6053d48a4e214ab7b17d03b28b93cb76" addr="T0R15C8S1_1" formatStyle="Comma">
        <m:complexRule comparator="Eq" title="利润分配导致专项储备变动金额" test=" $_GBC_c5bb42b05b254777a0267dfa4565cf85 +  $_GBC_3348843f2f7d4bec8b9f3b4f03aa5845 +  $_GBC_74f977e143b3431ea92545b3d8ab31ca" id="C973c0ee6443843af8e475ea8a389f06b"/>
      </m:item>
      <m:item xlName="_GBC_40a46a8e959247189730bd50f64ddf04" concept="clcid-pte:LiRunFenPeiDaoZhiYingYuGongJiBianDongJinE" label="利润分配导致盈余公积变动金额" mulRef="_GBC_375aa5b655854a6fa4ef44766a5a9d36" unitRef="_GBC_6053d48a4e214ab7b17d03b28b93cb76" addr="T0R15C9S1_1" formatStyle="Comma">
        <m:complexRule comparator="Eq" title="利润分配导致盈余公积变动金额" test=" $_GBC_6fc22582ad0e41efbd92db89e32f0c27 +  $_GBC_bb19ded61b514aed9e9edbbc1dd7d86e +  $_GBC_b1c66f5ad5df4c74bb4e3937265f40b6" id="C353f681857bb418d817759b18abd8ea1"/>
      </m:item>
      <m:item xlName="_GBC_14ddc1b72d224d8cb631f204c12e0e7b" concept="clcid-pte:LiRunFenPeiDaoZhiWeiFenPeiLiRunBianDongJinE" label="利润分配导致未分配利润变动金额" mulRef="_GBC_375aa5b655854a6fa4ef44766a5a9d36" unitRef="_GBC_6053d48a4e214ab7b17d03b28b93cb76" addr="T0R15C10S1_1" formatStyle="Comma">
        <m:complexRule comparator="Eq" title="利润分配导致未分配利润变动金额" test=" $_GBC_6e73d9aa75bf48d4bc0ae6b87b28418f +  $_GBC_5a90e57a296e45f19cf97e7d8040eac5 +  $_GBC_d372233802824215bb7f46b06a46a5ce" id="C11fee2b52b9d43e68cb60f87c3dcc5dd"/>
      </m:item>
      <m:item xlName="_GBC_60a15e732c8b4502b3a9e77633de1d86" concept="clcid-pte:LiRunFenPeiDaoZhiGuDongQuanYiHeJiBianDongJinE" label="利润分配导致股东权益合计变动金额" mulRef="_GBC_375aa5b655854a6fa4ef44766a5a9d36" unitRef="_GBC_6053d48a4e214ab7b17d03b28b93cb76" addr="T0R15C11S1_1" formatStyle="Comma">
        <m:complexRule comparator="Eq" title="利润分配导致股东权益合计变动金额" test=" $_GBC_b1b13438710940b091e49bde4df7e5ea +  $_GBC_df3890e140dd4c71b3e13826750cbfd7 +  $_GBC_ba887f5602d9485c888c179d326071d2" id="Cd91526fa19804269ae99fe8aca2f8a28"/>
      </m:item>
      <m:placeholder xlName="_PLD_9e9b8c98cff043eda1536a692c00db6a" addr="T0R16C0S1_1"/>
      <m:item xlName="_GBC_d8bc311574494262bb740d4f2bcededd" concept="clcid-pte:TiQuYingYuGongJiDaoZhiShiShouZiBenHuoGuBenJingEBianDongJinE" label="提取盈余公积导致实收资本（或股本）净额变动金额" mulRef="_GBC_375aa5b655854a6fa4ef44766a5a9d36" unitRef="_GBC_6053d48a4e214ab7b17d03b28b93cb76" addr="T0R16C1S1_1" formatStyle="Comma"/>
      <m:item xlName="_GBC_b3fd25c542444e4182240207cee5008e" concept="clcid-pte:TiQuYingYuGongJiDaoZhiQiTaQuanYiGongJuZhongDeYouXianGuBianDongJinE" label="提取盈余公积导致其他权益工具中的优先股变动金额" mulRef="_GBC_375aa5b655854a6fa4ef44766a5a9d36" unitRef="_GBC_6053d48a4e214ab7b17d03b28b93cb76" addr="T0R16C2S1_1" formatStyle="Comma"/>
      <m:item xlName="_GBC_6ab9137c5ebc4c55b934a7125a59f175" concept="clcid-pte:TiQuYingYuGongJiDaoZhiQiTaQuanYiGongJuZhongDeYongXuZhaiBianDongJinE" label="提取盈余公积导致其他权益工具中的永续债变动金额" mulRef="_GBC_375aa5b655854a6fa4ef44766a5a9d36" unitRef="_GBC_6053d48a4e214ab7b17d03b28b93cb76" addr="T0R16C3S1_1" formatStyle="Comma"/>
      <m:item xlName="_GBC_2e52cd209e6f405981d7c265137d4d51" concept="clcid-pte:TiQuYingYuGongJiDaoZhiQiTaQuanYiGongJuZhongDeQiTaBianDongJinE" label="提取盈余公积导致其他权益工具中的其他变动金额" mulRef="_GBC_375aa5b655854a6fa4ef44766a5a9d36" unitRef="_GBC_6053d48a4e214ab7b17d03b28b93cb76" addr="T0R16C4S1_1" formatStyle="Comma"/>
      <m:item xlName="_GBC_08cca1da49b1470ca71f3e949d0cd28f" concept="clcid-pte:TiQuYingYuGongJiDaoZhiZiBenGongJiBianDongJinE" label="提取盈余公积导致资本公积变动金额" mulRef="_GBC_375aa5b655854a6fa4ef44766a5a9d36" unitRef="_GBC_6053d48a4e214ab7b17d03b28b93cb76" addr="T0R16C5S1_1" formatStyle="Comma"/>
      <m:item xlName="_GBC_663d8036678d4ba09a62b278428eb528" concept="clcid-pte:TiQuYingYuGongJiDaoZhiKuCunGuBianDongJinE" label="提取盈余公积导致库存股变动金额" mulRef="_GBC_375aa5b655854a6fa4ef44766a5a9d36" unitRef="_GBC_6053d48a4e214ab7b17d03b28b93cb76" addr="T0R16C6S1_1" formatStyle="Comma"/>
      <m:item xlName="_GBC_234f9538e1d14e4c888c5d1517b2b8d8" concept="clcid-pte:TiQuYingYuGongJiDaoZhiQiTaZongHeShouYiBianDongJinE" label="提取盈余公积导致其他综合收益变动金额" mulRef="_GBC_375aa5b655854a6fa4ef44766a5a9d36" unitRef="_GBC_6053d48a4e214ab7b17d03b28b93cb76" addr="T0R16C7S1_1" formatStyle="Comma"/>
      <m:item xlName="_GBC_c5bb42b05b254777a0267dfa4565cf85" concept="clcid-pte:TiQuYingYuGongJiDaoZhiZhuanXiangChuBeiBianDongJinE" label="提取盈余公积导致专项储备变动金额" mulRef="_GBC_375aa5b655854a6fa4ef44766a5a9d36" unitRef="_GBC_6053d48a4e214ab7b17d03b28b93cb76" addr="T0R16C8S1_1" formatStyle="Comma"/>
      <m:item xlName="_GBC_6fc22582ad0e41efbd92db89e32f0c27" concept="clcid-pte:TiQuYingYuGongJiDaoZhiYingYuGongJiBianDongJinE" label="提取盈余公积导致盈余公积变动金额" mulRef="_GBC_375aa5b655854a6fa4ef44766a5a9d36" unitRef="_GBC_6053d48a4e214ab7b17d03b28b93cb76" addr="T0R16C9S1_1" formatStyle="Comma"/>
      <m:item xlName="_GBC_6e73d9aa75bf48d4bc0ae6b87b28418f" concept="clcid-pte:TiQuYingYuGongJiDaoZhiWeiFenPeiLiRunBianDongJinE" label="提取盈余公积导致未分配利润变动金额" mulRef="_GBC_375aa5b655854a6fa4ef44766a5a9d36" unitRef="_GBC_6053d48a4e214ab7b17d03b28b93cb76" addr="T0R16C10S1_1" formatStyle="Comma"/>
      <m:item xlName="_GBC_b1b13438710940b091e49bde4df7e5ea" concept="clcid-pte:TiQuYingYuGongJiDaoZhiGuDongQuanYiHeJiBianDongJinE" label="提取盈余公积导致股东权益合计变动金额" mulRef="_GBC_375aa5b655854a6fa4ef44766a5a9d36" unitRef="_GBC_6053d48a4e214ab7b17d03b28b93cb76" addr="T0R16C11S1_1" formatStyle="Comma"/>
      <m:placeholder xlName="_PLD_fcad247a79d04842b4e7afa47d3934b8" addr="T0R17C0S1_1"/>
      <m:item xlName="_GBC_b09cbfde7f264652885dea6b7d0aa184" concept="clcid-pte:DuiSuoYouZheHuoGuDongDeFenPeiDaoZhiShiShouZiBenHuoGuBenJingEBianDongJinE" label="对所有者（或股东）的分配导致实收资本（或股本）净额变动金额" mulRef="_GBC_375aa5b655854a6fa4ef44766a5a9d36" unitRef="_GBC_6053d48a4e214ab7b17d03b28b93cb76" addr="T0R17C1S1_1" formatStyle="Comma"/>
      <m:item xlName="_GBC_25383360baf64eafb0762fa8e6ace9b3" concept="clcid-pte:DuiSuoYouZheHuoGuDongDeFenPeiDaoZhiQiTaQuanYiGongJuZhongDeYouXianGuBianDongJinE" label="对所有者（或股东）的分配导致其他权益工具中的优先股变动金额" mulRef="_GBC_375aa5b655854a6fa4ef44766a5a9d36" unitRef="_GBC_6053d48a4e214ab7b17d03b28b93cb76" addr="T0R17C2S1_1" formatStyle="Comma"/>
      <m:item xlName="_GBC_ef7d0a93c28e4306833d7ab1b79641a6" concept="clcid-pte:DuiSuoYouZheHuoGuDongDeFenPeiDaoZhiQiTaQuanYiGongJuZhongDeYongXuZhaiBianDongJinE" label="对所有者（或股东）的分配导致其他权益工具中的永续债变动金额" mulRef="_GBC_375aa5b655854a6fa4ef44766a5a9d36" unitRef="_GBC_6053d48a4e214ab7b17d03b28b93cb76" addr="T0R17C3S1_1" formatStyle="Comma"/>
      <m:item xlName="_GBC_dfc4c4c50f8442cb9de04f4e27742cff" concept="clcid-pte:DuiSuoYouZheHuoGuDongDeFenPeiDaoZhiQiTaQuanYiGongJuZhongDeQiTaBianDongJinE" label="对所有者（或股东）的分配导致其他权益工具中的其他变动金额" mulRef="_GBC_375aa5b655854a6fa4ef44766a5a9d36" unitRef="_GBC_6053d48a4e214ab7b17d03b28b93cb76" addr="T0R17C4S1_1" formatStyle="Comma"/>
      <m:item xlName="_GBC_eec3b6c4fa4c4241bde3bb16efcf97c8" concept="clcid-pte:DuiSuoYouZheHuoGuDongDeFenPeiDaoZhiZiBenGongJiBianDongJinE" label="对所有者（或股东）的分配导致资本公积变动金额" mulRef="_GBC_375aa5b655854a6fa4ef44766a5a9d36" unitRef="_GBC_6053d48a4e214ab7b17d03b28b93cb76" addr="T0R17C5S1_1" formatStyle="Comma"/>
      <m:item xlName="_GBC_622a0f258c1841af987a5e2a7dbe6877" concept="clcid-pte:DuiSuoYouZheHuoGuDongDeFenPeiDaoZhiKuCunGuBianDongJinE" label="对所有者（或股东）的分配导致库存股变动金额" mulRef="_GBC_375aa5b655854a6fa4ef44766a5a9d36" unitRef="_GBC_6053d48a4e214ab7b17d03b28b93cb76" addr="T0R17C6S1_1" formatStyle="Comma"/>
      <m:item xlName="_GBC_fcfe00cd02f5415ca0218d8db7d284db" concept="clcid-pte:DuiSuoYouZheHuoGuDongDeFenPeiDaoZhiQiTaZongHeShouYiBianDongJinE" label="对所有者（或股东）的分配导致其他综合收益变动金额" mulRef="_GBC_375aa5b655854a6fa4ef44766a5a9d36" unitRef="_GBC_6053d48a4e214ab7b17d03b28b93cb76" addr="T0R17C7S1_1" formatStyle="Comma"/>
      <m:item xlName="_GBC_3348843f2f7d4bec8b9f3b4f03aa5845" concept="clcid-pte:DuiSuoYouZheHuoGuDongDeFenPeiDaoZhiZhuanXiangChuBeiBianDongJinE" label="对所有者（或股东）的分配导致专项储备变动金额" mulRef="_GBC_375aa5b655854a6fa4ef44766a5a9d36" unitRef="_GBC_6053d48a4e214ab7b17d03b28b93cb76" addr="T0R17C8S1_1" formatStyle="Comma"/>
      <m:item xlName="_GBC_bb19ded61b514aed9e9edbbc1dd7d86e" concept="clcid-pte:DuiSuoYouZheHuoGuDongDeFenPeiDaoZhiYingYuGongJiBianDongJinE" label="对所有者（或股东）的分配导致盈余公积变动金额" mulRef="_GBC_375aa5b655854a6fa4ef44766a5a9d36" unitRef="_GBC_6053d48a4e214ab7b17d03b28b93cb76" addr="T0R17C9S1_1" formatStyle="Comma"/>
      <m:item xlName="_GBC_5a90e57a296e45f19cf97e7d8040eac5" concept="clcid-pte:DuiSuoYouZheHuoGuDongDeFenPeiDaoZhiWeiFenPeiLiRunBianDongJinE" label="对所有者（或股东）的分配导致未分配利润变动金额" mulRef="_GBC_375aa5b655854a6fa4ef44766a5a9d36" unitRef="_GBC_6053d48a4e214ab7b17d03b28b93cb76" addr="T0R17C10S1_1" formatStyle="Comma"/>
      <m:item xlName="_GBC_df3890e140dd4c71b3e13826750cbfd7" concept="clcid-pte:DuiSuoYouZheHuoGuDongDeFenPeiDaoZhiGuDongQuanYiHeJiBianDongJinE" label="对所有者（或股东）的分配导致股东权益合计变动金额" mulRef="_GBC_375aa5b655854a6fa4ef44766a5a9d36" unitRef="_GBC_6053d48a4e214ab7b17d03b28b93cb76" addr="T0R17C11S1_1" formatStyle="Comma"/>
      <m:placeholder xlName="_PLD_85c02828ea504114a094ae2458971a07" addr="T0R18C0S1_1"/>
      <m:item xlName="_GBC_b8caa29cb27845719743c25572d8001e" concept="clcid-pte:QiTaLiRunFenPeiDaoZhiShiShouZiBenHuoGuBenJingEBianDongJinE" label="其他利润分配导致实收资本（或股本）净额变动金额" mulRef="_GBC_375aa5b655854a6fa4ef44766a5a9d36" unitRef="_GBC_6053d48a4e214ab7b17d03b28b93cb76" addr="T0R18C1S1_1" formatStyle="Comma"/>
      <m:item xlName="_GBC_86ecb0a462ae471e8805c9f39256b505" concept="clcid-pte:QiTaLiRunFenPeiDaoZhiQiTaQuanYiGongJuZhongDeYouXianGuBianDongJinE" label="其他利润分配导致其他权益工具中的优先股变动金额" mulRef="_GBC_375aa5b655854a6fa4ef44766a5a9d36" unitRef="_GBC_6053d48a4e214ab7b17d03b28b93cb76" addr="T0R18C2S1_1" formatStyle="Comma"/>
      <m:item xlName="_GBC_13f8d2a177c94ec6a768f3d02888f297" concept="clcid-pte:QiTaLiRunFenPeiDaoZhiQiTaQuanYiGongJuZhongDeYongXuZhaiBianDongJinE" label="其他利润分配导致其他权益工具中的永续债变动金额" mulRef="_GBC_375aa5b655854a6fa4ef44766a5a9d36" unitRef="_GBC_6053d48a4e214ab7b17d03b28b93cb76" addr="T0R18C3S1_1" formatStyle="Comma"/>
      <m:item xlName="_GBC_77946b5baecc47c38f3ed38abb4dc9b6" concept="clcid-pte:QiTaLiRunFenPeiDaoZhiQiTaQuanYiGongJuZhongDeQiTaBianDongJinE" label="其他利润分配导致其他权益工具中的其他变动金额" mulRef="_GBC_375aa5b655854a6fa4ef44766a5a9d36" unitRef="_GBC_6053d48a4e214ab7b17d03b28b93cb76" addr="T0R18C4S1_1" formatStyle="Comma"/>
      <m:item xlName="_GBC_506c9537baa84a61b6f1b675c528c721" concept="clcid-pte:QiTaLiRunFenPeiDaoZhiZiBenGongJiBianDongJinE" label="其他利润分配导致资本公积变动金额" mulRef="_GBC_375aa5b655854a6fa4ef44766a5a9d36" unitRef="_GBC_6053d48a4e214ab7b17d03b28b93cb76" addr="T0R18C5S1_1" formatStyle="Comma"/>
      <m:item xlName="_GBC_503d51ead3fa4568a231c95dabb6df74" concept="clcid-pte:QiTaLiRunFenPeiDaoZhiKuCunGuBianDongJinE" label="其他利润分配导致库存股变动金额" mulRef="_GBC_375aa5b655854a6fa4ef44766a5a9d36" unitRef="_GBC_6053d48a4e214ab7b17d03b28b93cb76" addr="T0R18C6S1_1" formatStyle="Comma"/>
      <m:item xlName="_GBC_7809131f515f457f9efdb3a5cd0c3833" concept="clcid-pte:QiTaLiRunFenPeiDaoZhiQiTaZongHeShouYiBianDongJinE" label="其他利润分配导致其他综合收益变动金额" mulRef="_GBC_375aa5b655854a6fa4ef44766a5a9d36" unitRef="_GBC_6053d48a4e214ab7b17d03b28b93cb76" addr="T0R18C7S1_1" formatStyle="Comma"/>
      <m:item xlName="_GBC_74f977e143b3431ea92545b3d8ab31ca" concept="clcid-pte:QiTaLiRunFenPeiDaoZhiZhuanXiangChuBeiBianDongJinE" label="其他利润分配导致专项储备变动金额" mulRef="_GBC_375aa5b655854a6fa4ef44766a5a9d36" unitRef="_GBC_6053d48a4e214ab7b17d03b28b93cb76" addr="T0R18C8S1_1" formatStyle="Comma"/>
      <m:item xlName="_GBC_b1c66f5ad5df4c74bb4e3937265f40b6" concept="clcid-pte:QiTaLiRunFenPeiDaoZhiYingYuGongJiBianDongJinE" label="其他利润分配导致盈余公积变动金额" mulRef="_GBC_375aa5b655854a6fa4ef44766a5a9d36" unitRef="_GBC_6053d48a4e214ab7b17d03b28b93cb76" addr="T0R18C9S1_1" formatStyle="Comma"/>
      <m:item xlName="_GBC_d372233802824215bb7f46b06a46a5ce" concept="clcid-pte:QiTaLiRunFenPeiDaoZhiWeiFenPeiLiRunBianDongJinE" label="其他利润分配导致未分配利润变动金额" mulRef="_GBC_375aa5b655854a6fa4ef44766a5a9d36" unitRef="_GBC_6053d48a4e214ab7b17d03b28b93cb76" addr="T0R18C10S1_1" formatStyle="Comma"/>
      <m:item xlName="_GBC_ba887f5602d9485c888c179d326071d2" concept="clcid-pte:QiTaLiRunFenPeiDaoZhiGuDongQuanYiHeJiBianDongJinE" label="其他利润分配导致股东权益合计变动金额" mulRef="_GBC_375aa5b655854a6fa4ef44766a5a9d36" unitRef="_GBC_6053d48a4e214ab7b17d03b28b93cb76" addr="T0R18C11S1_1" formatStyle="Comma"/>
      <m:placeholder xlName="_PLD_c3be67cae9e74853ba9a120fabb0f553" addr="T0R19C0S1_1"/>
      <m:item xlName="_GBC_a36fa024612c4f1f8d1cff14a4afb89b" concept="clcid-pte:SuoYouZheQuanYiNeiBuJieZhuanDaoZhiShiShouZiBenHuoGuBenJingEBianDongJinE" label="所有者权益内部结转导致实收资本（或股本）净额变动金额" mulRef="_GBC_375aa5b655854a6fa4ef44766a5a9d36" unitRef="_GBC_6053d48a4e214ab7b17d03b28b93cb76" addr="T0R19C1S1_1" formatStyle="Comma">
        <m:complexRule comparator="Eq" title="所有者权益内部结转导致实收资本（或股本）净额变动金额" test="$_GBC_b37dd2b7e3e0484399228a51af4ca955+$_GBC_305e4f8a723841259b999a63492de912+$_GBC_8ee5cdee88c64553a32abbbedd28a285+$_GBC_538241c523764e7f9081600e14a9f4e6+$_GBC_2a782142c84943f08fbaf2f221610866+$_GBC_1af00afe837e4aafa9687101a2e842b7" id="C52f6cca463044a6aaec39d65ca0b5fad"/>
      </m:item>
      <m:item xlName="_GBC_7a3ee2b77b184b0ab579602b3534acd2" concept="clcid-pte:SuoYouZheQuanYiNeiBuJieZhuanDaoZhiQiTaQuanYiGongJuZhongDeYouXianGuBianDongJinE" label="所有者权益内部结转导致其他权益工具中的优先股变动金额" mulRef="_GBC_375aa5b655854a6fa4ef44766a5a9d36" unitRef="_GBC_6053d48a4e214ab7b17d03b28b93cb76" addr="T0R19C2S1_1" formatStyle="Comma">
        <m:complexRule comparator="Eq" title="所有者权益内部结转导致其他权益工具中的优先股变动金额" test="$_GBC_70ce4270a3e248478ff2cfd737cd3f65+$_GBC_9f965b654082407880da0631fcc48b4f+$_GBC_df8ad92bf96d447ea916f0452edcead1+$_GBC_5a4616f27a824d32affd8dbc4b18e857+$_GBC_ad5338e2ecb845f5b4563c1e2def3c5a+$_GBC_b3b5882dbbd34de88ea6bc6c8cae4cd6" id="C71ea0a55f3aa414f86a4bbd5b6f6436a"/>
      </m:item>
      <m:item xlName="_GBC_4e9c00ccf69d497c8dfcf5082c414f90" concept="clcid-pte:SuoYouZheQuanYiNeiBuJieZhuanDaoZhiQiTaQuanYiGongJuZhongDeYongXuZhaiBianDongJinE" label="所有者权益内部结转导致其他权益工具中的永续债变动金额" mulRef="_GBC_375aa5b655854a6fa4ef44766a5a9d36" unitRef="_GBC_6053d48a4e214ab7b17d03b28b93cb76" addr="T0R19C3S1_1" formatStyle="Comma">
        <m:complexRule comparator="Eq" title="所有者权益内部结转导致其他权益工具中的永续债变动金额" test="$_GBC_1fb4ef474b1146d39ea6e7cbc134ccd3+$_GBC_fb6d1f09b92f4ba6ba1341c54378f7f6+$_GBC_85f353149ff5444a85bfb925f3b193ef+$_GBC_65ab1102c7a440769553693cdfb2871e+$_GBC_d3796268021b4b4f8b4ad23a315252e2+$_GBC_68e2dcae8f80411287a67604980d370c" id="C148ec1b100404ee9806389dc3a71da69"/>
      </m:item>
      <m:item xlName="_GBC_ae977af92b684c44bdf338b0507515d2" concept="clcid-pte:SuoYouZheQuanYiNeiBuJieZhuanDaoZhiQiTaQuanYiGongJuZhongDeQiTaBianDongJinE" label="所有者权益内部结转导致其他权益工具中的其他变动金额" mulRef="_GBC_375aa5b655854a6fa4ef44766a5a9d36" unitRef="_GBC_6053d48a4e214ab7b17d03b28b93cb76" addr="T0R19C4S1_1" formatStyle="Comma">
        <m:complexRule comparator="Eq" title="所有者权益内部结转导致其他权益工具中的其他变动金额" test="$_GBC_ab53882405144967aa6c7a76bf8211b0+$_GBC_f72fb90fc39741b9a949dee4aa5cc1ec+$_GBC_915af9f7b19341aea93418efd914e5d0+$_GBC_8bc38e044b45405eaa89545ebb70d176+$_GBC_1f1ac4006e904282b76a2ae6f51774d8+$_GBC_4d1f7a8f40ff45bba70cc248523cddd8" id="C77351fda3b1c49aeb387afb6083b14c1"/>
      </m:item>
      <m:item xlName="_GBC_5f926490ade5412d9a77c297b45fbf73" concept="clcid-pte:SuoYouZheQuanYiNeiBuJieZhuanDaoZhiZiBenGongJiBianDongJinE" label="所有者权益内部结转导致资本公积变动金额" mulRef="_GBC_375aa5b655854a6fa4ef44766a5a9d36" unitRef="_GBC_6053d48a4e214ab7b17d03b28b93cb76" addr="T0R19C5S1_1" formatStyle="Comma">
        <m:complexRule comparator="Eq" title="所有者权益内部结转导致资本公积变动金额" test="$_GBC_a997f4e1d1e046b49520e6542ff98399+$_GBC_ecb3f8e590dc43db895573d19e2ea376+$_GBC_a1225d3f66cf4a53a5ce20577974bcaa+$_GBC_21e87021bfc84d71b300351066d42cbf+$_GBC_f6e71ec80bc9477c8d881ee8344f7392+$_GBC_6af2eb372f8b4cd5ad50c3b1a76a185b" id="Caea9d7a65ae44ddcb1c2ca507acc377a"/>
      </m:item>
      <m:item xlName="_GBC_a7f0c6e13bd34921b1f72186a6051ee3" concept="clcid-pte:SuoYouZheQuanYiNeiBuJieZhuanDaoZhiKuCunGuBianDongJinE" label="所有者权益内部结转导致库存股变动金额" mulRef="_GBC_375aa5b655854a6fa4ef44766a5a9d36" unitRef="_GBC_6053d48a4e214ab7b17d03b28b93cb76" addr="T0R19C6S1_1" formatStyle="Comma">
        <m:complexRule comparator="Eq" title="所有者权益内部结转导致库存股变动金额" test="$_GBC_c9666fffa3f84148b66ac4291ecc334c+$_GBC_ddcd906cbd98438ebde77f9199b207cb+$_GBC_644456d8d5d34a2ea51c4b112415ad26+$_GBC_08683b762621445c83bc34d8f27cf8d0+$_GBC_5ee0b29150224583bd8bc23005cab887+$_GBC_1f20017ee5d145f2bc0640f3d08dcb83" id="C18d67624a39145c293dbaa49d280cdfc"/>
      </m:item>
      <m:item xlName="_GBC_cdde0602f9354035ada898e7c4307caf" concept="clcid-pte:SuoYouZheQuanYiNeiBuJieZhuanDaoZhiQiTaZongHeShouYiBianDongJinE" label="所有者权益内部结转导致其他综合收益变动金额" mulRef="_GBC_375aa5b655854a6fa4ef44766a5a9d36" unitRef="_GBC_6053d48a4e214ab7b17d03b28b93cb76" addr="T0R19C7S1_1" formatStyle="Comma">
        <m:complexRule comparator="Eq" title="所有者权益内部结转导致其他综合收益变动金额" test="$_GBC_104cb078ad724c639c85c88ff586687a+$_GBC_a51338e6363545f6b4481a694ebb7f03+$_GBC_1bdf3936aab043cca62f1ff969cea8ea+$_GBC_06f2ff67e485434b9e579c2d60122fd6+$_GBC_d1f080691a6f4b4e8524954835821c5e+$_GBC_55a0fefced38408dbe178e553543b824" id="C9aee8f1672d3467bad4080486160d2fc"/>
      </m:item>
      <m:item xlName="_GBC_608958c908994401bd17136a118121ae" concept="clcid-pte:SuoYouZheQuanYiNeiBuJieZhuanDaoZhiZhuanXiangChuBeiBianDongJinE" label="所有者权益内部结转导致专项储备变动金额" mulRef="_GBC_375aa5b655854a6fa4ef44766a5a9d36" unitRef="_GBC_6053d48a4e214ab7b17d03b28b93cb76" addr="T0R19C8S1_1" formatStyle="Comma">
        <m:complexRule comparator="Eq" title="所有者权益内部结转导致专项储备变动金额" test="$_GBC_e1e92cd7917f48c499910a406120eb12+$_GBC_36cce676368441ba8daea53407300819+$_GBC_a7d06456bb834027bdbc659f4418af0c+$_GBC_7acf044c96a948ef99f5a9f2c23c7074+$_GBC_56a9698254e349528564ae6afb101e99+$_GBC_4f8431347a504740a9770d76650ac2f0" id="Cdd79a59f1af54257826721722ec07122"/>
      </m:item>
      <m:item xlName="_GBC_4dd8d9b006b74bdeb3da672c82a23e4d" concept="clcid-pte:SuoYouZheQuanYiNeiBuJieZhuanDaoZhiYingYuGongJiBianDongJinE" label="所有者权益内部结转导致盈余公积变动金额" mulRef="_GBC_375aa5b655854a6fa4ef44766a5a9d36" unitRef="_GBC_6053d48a4e214ab7b17d03b28b93cb76" addr="T0R19C9S1_1" formatStyle="Comma">
        <m:complexRule comparator="Eq" title="所有者权益内部结转导致盈余公积变动金额" test="$_GBC_75325d62e8b34d54b47ae533ff105dd9+$_GBC_cc9189e3fe8044d8b8cb9cc581828cc6+$_GBC_f972136d3ad14ba09df8844fe5c092ab+$_GBC_27ed319d81c34bab95e3437210b71c5d+$_GBC_3d4aefff8d344f23b6a3dcd5d66d0c5a+$_GBC_0b0a83dcbb584a149c6239b8ded61c73" id="C110bdee2c06d471a9c7e3d200a2d3e3d"/>
      </m:item>
      <m:item xlName="_GBC_ca1ffdd628204eac9c010d2b56a8b418" concept="clcid-pte:SuoYouZheQuanYiNeiBuJieZhuanDaoZhiWeiFenPeiLiRunBianDongJinE" label="所有者权益内部结转导致未分配利润变动金额" mulRef="_GBC_375aa5b655854a6fa4ef44766a5a9d36" unitRef="_GBC_6053d48a4e214ab7b17d03b28b93cb76" addr="T0R19C10S1_1" formatStyle="Comma">
        <m:complexRule comparator="Eq" title="所有者权益内部结转导致未分配利润变动金额" test="$_GBC_c81f1885483c4f268580de6396258f15+$_GBC_7c053148526b44c1be94991f24f7dd9d+$_GBC_b6375f1431fd4ef4b0d78b19dfa5219a+$_GBC_69e9eea09cda44a58d90389ad4c7c858+$_GBC_49db7d45de3a42f6b3df92247bdb41f2+$_GBC_2110322da6794fe8b4e2de9c406787aa" id="C0e6a4ca486614caaaa2a7ce32dcdc522"/>
      </m:item>
      <m:item xlName="_GBC_f38b59b2f1d748e2a5480639c30a964e" concept="clcid-pte:SuoYouZheQuanYiNeiBuJieZhuanDaoZhiGuDongQuanYiHeJiBianDongJinE" label="所有者权益内部结转导致股东权益合计变动金额" mulRef="_GBC_375aa5b655854a6fa4ef44766a5a9d36" unitRef="_GBC_6053d48a4e214ab7b17d03b28b93cb76" addr="T0R19C11S1_1" formatStyle="Comma">
        <m:complexRule comparator="Eq" title="所有者权益内部结转导致股东权益合计变动金额" test="$_GBC_1e374e55101b4450917c000544eb8f6d+$_GBC_7afa813c0e324c458894ad30f1be95b3+$_GBC_08d8e2161c014371b90b2a4707bd7b89+$_GBC_7e8ec15a42ca49ef81a824fda2ef405a+$_GBC_5001a59e5d1a4f6c94ebef0af5cfdf03+$_GBC_2052396c10334ede88fb8cae686eb089" id="C0c5ef7b440e44f8c88095c6ed72b316b"/>
      </m:item>
      <m:placeholder xlName="_PLD_75ad473081fe4f2a999e7cc7ffc253c7" addr="T0R20C0S1_1"/>
      <m:item xlName="_GBC_b37dd2b7e3e0484399228a51af4ca955" concept="clcid-pte:ZiBenGongJiZhuanZengZiBenHuoGuBenDaoZhiShiShouZiBenHuoGuBenJingEBianDongJinE" label="资本公积转增资本（或股本）导致实收资本（或股本）净额变动金额" mulRef="_GBC_375aa5b655854a6fa4ef44766a5a9d36" unitRef="_GBC_6053d48a4e214ab7b17d03b28b93cb76" addr="T0R20C1S1_1" formatStyle="Comma"/>
      <m:item xlName="_GBC_70ce4270a3e248478ff2cfd737cd3f65" concept="clcid-pte:ZiBenGongJiZhuanZengZiBenHuoGuBenDaoZhiQiTaQuanYiGongJuZhongDeYouXianGuBianDongJinE" label="资本公积转增资本（或股本）导致其他权益工具中的优先股变动金额" mulRef="_GBC_375aa5b655854a6fa4ef44766a5a9d36" unitRef="_GBC_6053d48a4e214ab7b17d03b28b93cb76" addr="T0R20C2S1_1" formatStyle="Comma"/>
      <m:item xlName="_GBC_1fb4ef474b1146d39ea6e7cbc134ccd3" concept="clcid-pte:ZiBenGongJiZhuanZengZiBenHuoGuBenDaoZhiQiTaQuanYiGongJuZhongDeYongXuZhaiBianDongJinE" label="资本公积转增资本（或股本）导致其他权益工具中的永续债变动金额" mulRef="_GBC_375aa5b655854a6fa4ef44766a5a9d36" unitRef="_GBC_6053d48a4e214ab7b17d03b28b93cb76" addr="T0R20C3S1_1" formatStyle="Comma"/>
      <m:item xlName="_GBC_ab53882405144967aa6c7a76bf8211b0" concept="clcid-pte:ZiBenGongJiZhuanZengZiBenHuoGuBenDaoZhiQiTaQuanYiGongJuZhongDeQiTaBianDongJinE" label="资本公积转增资本（或股本）导致其他权益工具中的其他变动金额" mulRef="_GBC_375aa5b655854a6fa4ef44766a5a9d36" unitRef="_GBC_6053d48a4e214ab7b17d03b28b93cb76" addr="T0R20C4S1_1" formatStyle="Comma"/>
      <m:item xlName="_GBC_a997f4e1d1e046b49520e6542ff98399" concept="clcid-pte:ZiBenGongJiZhuanZengZiBenHuoGuBenDaoZhiZiBenGongJiBianDongJinE" label="资本公积转增资本（或股本）导致资本公积变动金额" mulRef="_GBC_375aa5b655854a6fa4ef44766a5a9d36" unitRef="_GBC_6053d48a4e214ab7b17d03b28b93cb76" addr="T0R20C5S1_1" formatStyle="Comma"/>
      <m:item xlName="_GBC_c9666fffa3f84148b66ac4291ecc334c" concept="clcid-pte:ZiBenGongJiZhuanZengZiBenHuoGuBenDaoZhiKuCunGuBianDongJinE" label="资本公积转增资本（或股本）导致库存股变动金额" mulRef="_GBC_375aa5b655854a6fa4ef44766a5a9d36" unitRef="_GBC_6053d48a4e214ab7b17d03b28b93cb76" addr="T0R20C6S1_1" formatStyle="Comma"/>
      <m:item xlName="_GBC_104cb078ad724c639c85c88ff586687a" concept="clcid-pte:ZiBenGongJiZhuanZengZiBenHuoGuBenDaoZhiQiTaZongHeShouYiBianDongJinE" label="资本公积转增资本（或股本）导致其他综合收益变动金额" mulRef="_GBC_375aa5b655854a6fa4ef44766a5a9d36" unitRef="_GBC_6053d48a4e214ab7b17d03b28b93cb76" addr="T0R20C7S1_1" formatStyle="Comma"/>
      <m:item xlName="_GBC_e1e92cd7917f48c499910a406120eb12" concept="clcid-pte:ZiBenGongJiZhuanZengZiBenHuoGuBenDaoZhiZhuanXiangChuBeiBianDongJinE" label="资本公积转增资本（或股本）导致专项储备变动金额" mulRef="_GBC_375aa5b655854a6fa4ef44766a5a9d36" unitRef="_GBC_6053d48a4e214ab7b17d03b28b93cb76" addr="T0R20C8S1_1" formatStyle="Comma"/>
      <m:item xlName="_GBC_75325d62e8b34d54b47ae533ff105dd9" concept="clcid-pte:ZiBenGongJiZhuanZengZiBenHuoGuBenDaoZhiYingYuGongJiBianDongJinE" label="资本公积转增资本（或股本）导致盈余公积变动金额" mulRef="_GBC_375aa5b655854a6fa4ef44766a5a9d36" unitRef="_GBC_6053d48a4e214ab7b17d03b28b93cb76" addr="T0R20C9S1_1" formatStyle="Comma"/>
      <m:item xlName="_GBC_c81f1885483c4f268580de6396258f15" concept="clcid-pte:ZiBenGongJiZhuanZengZiBenHuoGuBenDaoZhiWeiFenPeiLiRunBianDongJinE" label="资本公积转增资本（或股本）导致未分配利润变动金额" mulRef="_GBC_375aa5b655854a6fa4ef44766a5a9d36" unitRef="_GBC_6053d48a4e214ab7b17d03b28b93cb76" addr="T0R20C10S1_1" formatStyle="Comma"/>
      <m:item xlName="_GBC_1e374e55101b4450917c000544eb8f6d" concept="clcid-pte:ZiBenGongJiZhuanZengZiBenHuoGuBenDaoZhiGuDongQuanYiHeJiBianDongJinE" label="资本公积转增资本（或股本）导致股东权益合计变动金额" mulRef="_GBC_375aa5b655854a6fa4ef44766a5a9d36" unitRef="_GBC_6053d48a4e214ab7b17d03b28b93cb76" addr="T0R20C11S1_1" formatStyle="Comma"/>
      <m:placeholder xlName="_PLD_ca73cb424253495c8d90ce7ad04a1839" addr="T0R21C0S1_1"/>
      <m:item xlName="_GBC_305e4f8a723841259b999a63492de912" concept="clcid-pte:YingYuGongJiZhuanZengZiBenHuoGuBenDaoZhiShiShouZiBenHuoGuBenJingEBianDongJinE" label="盈余公积转增资本（或股本）导致实收资本（或股本）净额变动金额" mulRef="_GBC_375aa5b655854a6fa4ef44766a5a9d36" unitRef="_GBC_6053d48a4e214ab7b17d03b28b93cb76" addr="T0R21C1S1_1" formatStyle="Comma"/>
      <m:item xlName="_GBC_9f965b654082407880da0631fcc48b4f" concept="clcid-pte:YingYuGongJiZhuanZengZiBenHuoGuBenDaoZhiQiTaQuanYiGongJuZhongDeYouXianGuBianDongJinE" label="盈余公积转增资本（或股本）导致其他权益工具中的优先股变动金额" mulRef="_GBC_375aa5b655854a6fa4ef44766a5a9d36" unitRef="_GBC_6053d48a4e214ab7b17d03b28b93cb76" addr="T0R21C2S1_1" formatStyle="Comma"/>
      <m:item xlName="_GBC_fb6d1f09b92f4ba6ba1341c54378f7f6" concept="clcid-pte:YingYuGongJiZhuanZengZiBenHuoGuBenDaoZhiQiTaQuanYiGongJuZhongDeYongXuZhaiBianDongJinE" label="盈余公积转增资本（或股本）导致其他权益工具中的永续债变动金额" mulRef="_GBC_375aa5b655854a6fa4ef44766a5a9d36" unitRef="_GBC_6053d48a4e214ab7b17d03b28b93cb76" addr="T0R21C3S1_1" formatStyle="Comma"/>
      <m:item xlName="_GBC_f72fb90fc39741b9a949dee4aa5cc1ec" concept="clcid-pte:YingYuGongJiZhuanZengZiBenHuoGuBenDaoZhiQiTaQuanYiGongJuZhongDeQiTaBianDongJinE" label="盈余公积转增资本（或股本）导致其他权益工具中的其他变动金额" mulRef="_GBC_375aa5b655854a6fa4ef44766a5a9d36" unitRef="_GBC_6053d48a4e214ab7b17d03b28b93cb76" addr="T0R21C4S1_1" formatStyle="Comma"/>
      <m:item xlName="_GBC_ecb3f8e590dc43db895573d19e2ea376" concept="clcid-pte:YingYuGongJiZhuanZengZiBenHuoGuBenDaoZhiZiBenGongJiBianDongJinE" label="盈余公积转增资本（或股本）导致资本公积变动金额" mulRef="_GBC_375aa5b655854a6fa4ef44766a5a9d36" unitRef="_GBC_6053d48a4e214ab7b17d03b28b93cb76" addr="T0R21C5S1_1" formatStyle="Comma"/>
      <m:item xlName="_GBC_ddcd906cbd98438ebde77f9199b207cb" concept="clcid-pte:YingYuGongJiZhuanZengZiBenHuoGuBenDaoZhiKuCunGuBianDongJinE" label="盈余公积转增资本（或股本）导致库存股变动金额" mulRef="_GBC_375aa5b655854a6fa4ef44766a5a9d36" unitRef="_GBC_6053d48a4e214ab7b17d03b28b93cb76" addr="T0R21C6S1_1" formatStyle="Comma"/>
      <m:item xlName="_GBC_a51338e6363545f6b4481a694ebb7f03" concept="clcid-pte:YingYuGongJiZhuanZengZiBenHuoGuBenDaoZhiQiTaZongHeShouYiBianDongJinE" label="盈余公积转增资本（或股本）导致其他综合收益变动金额" mulRef="_GBC_375aa5b655854a6fa4ef44766a5a9d36" unitRef="_GBC_6053d48a4e214ab7b17d03b28b93cb76" addr="T0R21C7S1_1" formatStyle="Comma"/>
      <m:item xlName="_GBC_36cce676368441ba8daea53407300819" concept="clcid-pte:YingYuGongJiZhuanZengZiBenHuoGuBenDaoZhiZhuanXiangChuBeiBianDongJinE" label="盈余公积转增资本（或股本）导致专项储备变动金额" mulRef="_GBC_375aa5b655854a6fa4ef44766a5a9d36" unitRef="_GBC_6053d48a4e214ab7b17d03b28b93cb76" addr="T0R21C8S1_1" formatStyle="Comma"/>
      <m:item xlName="_GBC_cc9189e3fe8044d8b8cb9cc581828cc6" concept="clcid-pte:YingYuGongJiZhuanZengZiBenHuoGuBenDaoZhiYingYuGongJiBianDongJinE" label="盈余公积转增资本（或股本）导致盈余公积变动金额" mulRef="_GBC_375aa5b655854a6fa4ef44766a5a9d36" unitRef="_GBC_6053d48a4e214ab7b17d03b28b93cb76" addr="T0R21C9S1_1" formatStyle="Comma"/>
      <m:item xlName="_GBC_7c053148526b44c1be94991f24f7dd9d" concept="clcid-pte:YingYuGongJiZhuanZengZiBenHuoGuBenDaoZhiWeiFenPeiLiRunBianDongJinE" label="盈余公积转增资本（或股本）导致未分配利润变动金额" mulRef="_GBC_375aa5b655854a6fa4ef44766a5a9d36" unitRef="_GBC_6053d48a4e214ab7b17d03b28b93cb76" addr="T0R21C10S1_1" formatStyle="Comma"/>
      <m:item xlName="_GBC_7afa813c0e324c458894ad30f1be95b3" concept="clcid-pte:YingYuGongJiZhuanZengZiBenHuoGuBenDaoZhiGuDongQuanYiHeJiBianDongJinE" label="盈余公积转增资本（或股本）导致股东权益合计变动金额" mulRef="_GBC_375aa5b655854a6fa4ef44766a5a9d36" unitRef="_GBC_6053d48a4e214ab7b17d03b28b93cb76" addr="T0R21C11S1_1" formatStyle="Comma"/>
      <m:placeholder xlName="_PLD_113975ccc28d48e68ca44d41c04949c4" addr="T0R22C0S1_1"/>
      <m:item xlName="_GBC_8ee5cdee88c64553a32abbbedd28a285" concept="clcid-pte:YingYuGongJiMiBuKuiSunDaoZhiShiShouZiBenHuoGuBenJingEBianDongJinE" label="盈余公积弥补亏损导致实收资本（或股本）净额变动金额" mulRef="_GBC_375aa5b655854a6fa4ef44766a5a9d36" unitRef="_GBC_6053d48a4e214ab7b17d03b28b93cb76" addr="T0R22C1S1_1" formatStyle="Comma"/>
      <m:item xlName="_GBC_df8ad92bf96d447ea916f0452edcead1" concept="clcid-pte:YingYuGongJiMiBuKuiSunDaoZhiQiTaQuanYiGongJuZhongDeYouXianGuBianDongJinE" label="盈余公积弥补亏损导致其他权益工具中的优先股变动金额" mulRef="_GBC_375aa5b655854a6fa4ef44766a5a9d36" unitRef="_GBC_6053d48a4e214ab7b17d03b28b93cb76" addr="T0R22C2S1_1" formatStyle="Comma"/>
      <m:item xlName="_GBC_85f353149ff5444a85bfb925f3b193ef" concept="clcid-pte:YingYuGongJiMiBuKuiSunDaoZhiQiTaQuanYiGongJuZhongDeYongXuZhaiBianDongJinE" label="盈余公积弥补亏损导致其他权益工具中的永续债变动金额" mulRef="_GBC_375aa5b655854a6fa4ef44766a5a9d36" unitRef="_GBC_6053d48a4e214ab7b17d03b28b93cb76" addr="T0R22C3S1_1" formatStyle="Comma"/>
      <m:item xlName="_GBC_915af9f7b19341aea93418efd914e5d0" concept="clcid-pte:YingYuGongJiMiBuKuiSunDaoZhiQiTaQuanYiGongJuZhongDeQiTaBianDongJinE" label="盈余公积弥补亏损导致其他权益工具中的其他变动金额" mulRef="_GBC_375aa5b655854a6fa4ef44766a5a9d36" unitRef="_GBC_6053d48a4e214ab7b17d03b28b93cb76" addr="T0R22C4S1_1" formatStyle="Comma"/>
      <m:item xlName="_GBC_a1225d3f66cf4a53a5ce20577974bcaa" concept="clcid-pte:YingYuGongJiMiBuKuiSunDaoZhiZiBenGongJiBianDongJinE" label="盈余公积弥补亏损导致资本公积变动金额" mulRef="_GBC_375aa5b655854a6fa4ef44766a5a9d36" unitRef="_GBC_6053d48a4e214ab7b17d03b28b93cb76" addr="T0R22C5S1_1" formatStyle="Comma"/>
      <m:item xlName="_GBC_644456d8d5d34a2ea51c4b112415ad26" concept="clcid-pte:YingYuGongJiMiBuKuiSunDaoZhiKuCunGuBianDongJinE" label="盈余公积弥补亏损导致库存股变动金额" mulRef="_GBC_375aa5b655854a6fa4ef44766a5a9d36" unitRef="_GBC_6053d48a4e214ab7b17d03b28b93cb76" addr="T0R22C6S1_1" formatStyle="Comma"/>
      <m:item xlName="_GBC_1bdf3936aab043cca62f1ff969cea8ea" concept="clcid-pte:YingYuGongJiMiBuKuiSunDaoZhiQiTaZongHeShouYiBianDongJinE" label="盈余公积弥补亏损导致其他综合收益变动金额" mulRef="_GBC_375aa5b655854a6fa4ef44766a5a9d36" unitRef="_GBC_6053d48a4e214ab7b17d03b28b93cb76" addr="T0R22C7S1_1" formatStyle="Comma"/>
      <m:item xlName="_GBC_a7d06456bb834027bdbc659f4418af0c" concept="clcid-pte:YingYuGongJiMiBuKuiSunDaoZhiZhuanXiangChuBeiBianDongJinE" label="盈余公积弥补亏损导致专项储备变动金额" mulRef="_GBC_375aa5b655854a6fa4ef44766a5a9d36" unitRef="_GBC_6053d48a4e214ab7b17d03b28b93cb76" addr="T0R22C8S1_1" formatStyle="Comma"/>
      <m:item xlName="_GBC_f972136d3ad14ba09df8844fe5c092ab" concept="clcid-pte:YingYuGongJiMiBuKuiSunDaoZhiYingYuGongJiBianDongJinE" label="盈余公积弥补亏损导致盈余公积变动金额" mulRef="_GBC_375aa5b655854a6fa4ef44766a5a9d36" unitRef="_GBC_6053d48a4e214ab7b17d03b28b93cb76" addr="T0R22C9S1_1" formatStyle="Comma"/>
      <m:item xlName="_GBC_b6375f1431fd4ef4b0d78b19dfa5219a" concept="clcid-pte:YingYuGongJiMiBuKuiSunDaoZhiWeiFenPeiLiRunBianDongJinE" label="盈余公积弥补亏损导致未分配利润变动金额" mulRef="_GBC_375aa5b655854a6fa4ef44766a5a9d36" unitRef="_GBC_6053d48a4e214ab7b17d03b28b93cb76" addr="T0R22C10S1_1" formatStyle="Comma"/>
      <m:item xlName="_GBC_08d8e2161c014371b90b2a4707bd7b89" concept="clcid-pte:YingYuGongJiMiBuKuiSunDaoZhiGuDongQuanYiHeJiBianDongJinE" label="盈余公积弥补亏损导致股东权益合计变动金额" mulRef="_GBC_375aa5b655854a6fa4ef44766a5a9d36" unitRef="_GBC_6053d48a4e214ab7b17d03b28b93cb76" addr="T0R22C11S1_1" formatStyle="Comma"/>
      <m:placeholder xlName="_PLD_f6fd3c5869ad484b9081a5f816c79c15" addr="T0R23C0S1_1"/>
      <m:item xlName="_GBC_538241c523764e7f9081600e14a9f4e6" concept="clcid-pte:SheDingShouYiJiHuaBianDongEJieZhuanLiuCunShouYiDaoZhiShiShouZiBenHuoGuBenJingEBianDongJinE" label="设定受益计划变动额结转留存收益导致实收资本（或股本）净额变动金额" mulRef="_GBC_375aa5b655854a6fa4ef44766a5a9d36" unitRef="_GBC_6053d48a4e214ab7b17d03b28b93cb76" addr="T0R23C1S1_1" formatStyle="Comma"/>
      <m:item xlName="_GBC_5a4616f27a824d32affd8dbc4b18e857" concept="clcid-pte:SheDingShouYiJiHuaBianDongEJieZhuanLiuCunShouYiDaoZhiQiTaQuanYiGongJuZhongDeYouXianGuBianDongJinE" label="设定受益计划变动额结转留存收益导致其他权益工具中的优先股变动金额" mulRef="_GBC_375aa5b655854a6fa4ef44766a5a9d36" unitRef="_GBC_6053d48a4e214ab7b17d03b28b93cb76" addr="T0R23C2S1_1" formatStyle="Comma"/>
      <m:item xlName="_GBC_65ab1102c7a440769553693cdfb2871e" concept="clcid-pte:SheDingShouYiJiHuaBianDongEJieZhuanLiuCunShouYiDaoZhiQiTaQuanYiGongJuZhongDeYongXuZhaiBianDongJinE" label="设定受益计划变动额结转留存收益导致其他权益工具中的永续债变动金额" mulRef="_GBC_375aa5b655854a6fa4ef44766a5a9d36" unitRef="_GBC_6053d48a4e214ab7b17d03b28b93cb76" addr="T0R23C3S1_1" formatStyle="Comma"/>
      <m:item xlName="_GBC_8bc38e044b45405eaa89545ebb70d176" concept="clcid-pte:SheDingShouYiJiHuaBianDongEJieZhuanLiuCunShouYiDaoZhiQiTaQuanYiGongJuZhongDeQiTaBianDongJinE" label="设定受益计划变动额结转留存收益导致其他权益工具中的其他变动金额" mulRef="_GBC_375aa5b655854a6fa4ef44766a5a9d36" unitRef="_GBC_6053d48a4e214ab7b17d03b28b93cb76" addr="T0R23C4S1_1" formatStyle="Comma"/>
      <m:item xlName="_GBC_21e87021bfc84d71b300351066d42cbf" concept="clcid-pte:SheDingShouYiJiHuaBianDongEJieZhuanLiuCunShouYiDaoZhiZiBenGongJiBianDongJinE" label="设定受益计划变动额结转留存收益导致资本公积变动金额" mulRef="_GBC_375aa5b655854a6fa4ef44766a5a9d36" unitRef="_GBC_6053d48a4e214ab7b17d03b28b93cb76" addr="T0R23C5S1_1" formatStyle="Comma"/>
      <m:item xlName="_GBC_08683b762621445c83bc34d8f27cf8d0" concept="clcid-pte:SheDingShouYiJiHuaBianDongEJieZhuanLiuCunShouYiDaoZhiKuCunGuBianDongJinE" label="设定受益计划变动额结转留存收益导致库存股变动金额" mulRef="_GBC_375aa5b655854a6fa4ef44766a5a9d36" unitRef="_GBC_6053d48a4e214ab7b17d03b28b93cb76" addr="T0R23C6S1_1" formatStyle="Comma"/>
      <m:item xlName="_GBC_06f2ff67e485434b9e579c2d60122fd6" concept="clcid-pte:SheDingShouYiJiHuaBianDongEJieZhuanLiuCunShouYiDaoZhiQiTaZongHeShouYiBianDongJinE" label="设定受益计划变动额结转留存收益导致其他综合收益变动金额" mulRef="_GBC_375aa5b655854a6fa4ef44766a5a9d36" unitRef="_GBC_6053d48a4e214ab7b17d03b28b93cb76" addr="T0R23C7S1_1" formatStyle="Comma"/>
      <m:item xlName="_GBC_7acf044c96a948ef99f5a9f2c23c7074" concept="clcid-pte:SheDingShouYiJiHuaBianDongEJieZhuanLiuCunShouYiDaoZhiZhuanXiangChuBeiBianDongJinE" label="设定受益计划变动额结转留存收益导致专项储备变动金额" mulRef="_GBC_375aa5b655854a6fa4ef44766a5a9d36" unitRef="_GBC_6053d48a4e214ab7b17d03b28b93cb76" addr="T0R23C8S1_1" formatStyle="Comma"/>
      <m:item xlName="_GBC_27ed319d81c34bab95e3437210b71c5d" concept="clcid-pte:SheDingShouYiJiHuaBianDongEJieZhuanLiuCunShouYiDaoZhiYingYuGongJiBianDongJinE" label="设定受益计划变动额结转留存收益导致盈余公积变动金额" mulRef="_GBC_375aa5b655854a6fa4ef44766a5a9d36" unitRef="_GBC_6053d48a4e214ab7b17d03b28b93cb76" addr="T0R23C9S1_1" formatStyle="Comma"/>
      <m:item xlName="_GBC_69e9eea09cda44a58d90389ad4c7c858" concept="clcid-pte:SheDingShouYiJiHuaBianDongEJieZhuanLiuCunShouYiDaoZhiWeiFenPeiLiRunBianDongJinE" label="设定受益计划变动额结转留存收益导致未分配利润变动金额" mulRef="_GBC_375aa5b655854a6fa4ef44766a5a9d36" unitRef="_GBC_6053d48a4e214ab7b17d03b28b93cb76" addr="T0R23C10S1_1" formatStyle="Comma"/>
      <m:item xlName="_GBC_7e8ec15a42ca49ef81a824fda2ef405a" concept="clcid-pte:SheDingShouYiJiHuaBianDongEJieZhuanLiuCunShouYiDaoZhiGuDongQuanYiHeJiBianDongJinE" label="设定受益计划变动额结转留存收益导致股东权益合计变动金额" mulRef="_GBC_375aa5b655854a6fa4ef44766a5a9d36" unitRef="_GBC_6053d48a4e214ab7b17d03b28b93cb76" addr="T0R23C11S1_1" formatStyle="Comma"/>
      <m:placeholder xlName="_PLD_2f303a649f0347059a68f52a12ec37a1" addr="T0R24C0S1_1"/>
      <m:item xlName="_GBC_2a782142c84943f08fbaf2f221610866" concept="clcid-pte:QiTaZongHeShouYiJieZhuanLiuCunShouYiDaoZhiShiShouZiBenHuoGuBenJingEBianDongJinE" label="其他综合收益结转留存收益导致实收资本（或股本）净额变动金额" mulRef="_GBC_375aa5b655854a6fa4ef44766a5a9d36" unitRef="_GBC_6053d48a4e214ab7b17d03b28b93cb76" addr="T0R24C1S1_1" formatStyle="Comma"/>
      <m:item xlName="_GBC_ad5338e2ecb845f5b4563c1e2def3c5a" concept="clcid-pte:QiTaZongHeShouYiJieZhuanLiuCunShouYiDaoZhiQiTaQuanYiGongJuZhongDeYouXianGuBianDongJinE" label="其他综合收益结转留存收益导致其他权益工具中的优先股变动金额" mulRef="_GBC_375aa5b655854a6fa4ef44766a5a9d36" unitRef="_GBC_6053d48a4e214ab7b17d03b28b93cb76" addr="T0R24C2S1_1" formatStyle="Comma"/>
      <m:item xlName="_GBC_d3796268021b4b4f8b4ad23a315252e2" concept="clcid-pte:QiTaZongHeShouYiJieZhuanLiuCunShouYiDaoZhiQiTaQuanYiGongJuZhongDeYongXuZhaiBianDongJinE" label="其他综合收益结转留存收益导致其他权益工具中的永续债变动金额" mulRef="_GBC_375aa5b655854a6fa4ef44766a5a9d36" unitRef="_GBC_6053d48a4e214ab7b17d03b28b93cb76" addr="T0R24C3S1_1" formatStyle="Comma"/>
      <m:item xlName="_GBC_1f1ac4006e904282b76a2ae6f51774d8" concept="clcid-pte:QiTaZongHeShouYiJieZhuanLiuCunShouYiDaoZhiQiTaQuanYiGongJuZhongDeQiTaBianDongJinE" label="其他综合收益结转留存收益导致其他权益工具中的其他变动金额" mulRef="_GBC_375aa5b655854a6fa4ef44766a5a9d36" unitRef="_GBC_6053d48a4e214ab7b17d03b28b93cb76" addr="T0R24C4S1_1" formatStyle="Comma"/>
      <m:item xlName="_GBC_f6e71ec80bc9477c8d881ee8344f7392" concept="clcid-pte:QiTaZongHeShouYiJieZhuanLiuCunShouYiDaoZhiZiBenGongJiBianDongJinE" label="其他综合收益结转留存收益导致资本公积变动金额" mulRef="_GBC_375aa5b655854a6fa4ef44766a5a9d36" unitRef="_GBC_6053d48a4e214ab7b17d03b28b93cb76" addr="T0R24C5S1_1" formatStyle="Comma"/>
      <m:item xlName="_GBC_5ee0b29150224583bd8bc23005cab887" concept="clcid-pte:QiTaZongHeShouYiJieZhuanLiuCunShouYiDaoZhiKuCunGuBianDongJinE" label="其他综合收益结转留存收益导致库存股变动金额" mulRef="_GBC_375aa5b655854a6fa4ef44766a5a9d36" unitRef="_GBC_6053d48a4e214ab7b17d03b28b93cb76" addr="T0R24C6S1_1" formatStyle="Comma"/>
      <m:item xlName="_GBC_d1f080691a6f4b4e8524954835821c5e" concept="clcid-pte:QiTaZongHeShouYiJieZhuanLiuCunShouYiDaoZhiQiTaZongHeShouYiBianDongJinE" label="其他综合收益结转留存收益导致其他综合收益变动金额" mulRef="_GBC_375aa5b655854a6fa4ef44766a5a9d36" unitRef="_GBC_6053d48a4e214ab7b17d03b28b93cb76" addr="T0R24C7S1_1" formatStyle="Comma"/>
      <m:item xlName="_GBC_56a9698254e349528564ae6afb101e99" concept="clcid-pte:QiTaZongHeShouYiJieZhuanLiuCunShouYiDaoZhiZhuanXiangChuBeiBianDongJinE" label="其他综合收益结转留存收益导致专项储备变动金额" mulRef="_GBC_375aa5b655854a6fa4ef44766a5a9d36" unitRef="_GBC_6053d48a4e214ab7b17d03b28b93cb76" addr="T0R24C8S1_1" formatStyle="Comma"/>
      <m:item xlName="_GBC_3d4aefff8d344f23b6a3dcd5d66d0c5a" concept="clcid-pte:QiTaZongHeShouYiJieZhuanLiuCunShouYiDaoZhiYingYuGongJiBianDongJinE" label="其他综合收益结转留存收益导致盈余公积变动金额" mulRef="_GBC_375aa5b655854a6fa4ef44766a5a9d36" unitRef="_GBC_6053d48a4e214ab7b17d03b28b93cb76" addr="T0R24C9S1_1" formatStyle="Comma"/>
      <m:item xlName="_GBC_49db7d45de3a42f6b3df92247bdb41f2" concept="clcid-pte:QiTaZongHeShouYiJieZhuanLiuCunShouYiDaoZhiWeiFenPeiLiRunBianDongJinE" label="其他综合收益结转留存收益导致未分配利润变动金额" mulRef="_GBC_375aa5b655854a6fa4ef44766a5a9d36" unitRef="_GBC_6053d48a4e214ab7b17d03b28b93cb76" addr="T0R24C10S1_1" formatStyle="Comma"/>
      <m:item xlName="_GBC_5001a59e5d1a4f6c94ebef0af5cfdf03" concept="clcid-pte:QiTaZongHeShouYiJieZhuanLiuCunShouYiDaoZhiGuDongQuanYiHeJiBianDongJinE" label="其他综合收益结转留存收益导致股东权益合计变动金额" mulRef="_GBC_375aa5b655854a6fa4ef44766a5a9d36" unitRef="_GBC_6053d48a4e214ab7b17d03b28b93cb76" addr="T0R24C11S1_1" formatStyle="Comma"/>
      <m:placeholder xlName="_PLD_28161533c8114f39bcc326830b0e2068" addr="T0R25C0S1_1"/>
      <m:item xlName="_GBC_1af00afe837e4aafa9687101a2e842b7" concept="clcid-pte:QiTaSuoYouZheQuanYiNeiBuJieZhuanDaoZhiShiShouZiBenHuoGuBenJingEBianDongJinE" label="其他所有者权益内部结转导致实收资本（或股本）净额变动金额" mulRef="_GBC_375aa5b655854a6fa4ef44766a5a9d36" unitRef="_GBC_6053d48a4e214ab7b17d03b28b93cb76" addr="T0R25C1S1_1" formatStyle="Comma"/>
      <m:item xlName="_GBC_b3b5882dbbd34de88ea6bc6c8cae4cd6" concept="clcid-pte:QiTaSuoYouZheQuanYiNeiBuJieZhuanDaoZhiQiTaQuanYiGongJuZhongDeYouXianGuBianDongJinE" label="其他所有者权益内部结转导致其他权益工具中的优先股变动金额" mulRef="_GBC_375aa5b655854a6fa4ef44766a5a9d36" unitRef="_GBC_6053d48a4e214ab7b17d03b28b93cb76" addr="T0R25C2S1_1" formatStyle="Comma"/>
      <m:item xlName="_GBC_68e2dcae8f80411287a67604980d370c" concept="clcid-pte:QiTaSuoYouZheQuanYiNeiBuJieZhuanDaoZhiQiTaQuanYiGongJuZhongDeYongXuZhaiBianDongJinE" label="其他所有者权益内部结转导致其他权益工具中的永续债变动金额" mulRef="_GBC_375aa5b655854a6fa4ef44766a5a9d36" unitRef="_GBC_6053d48a4e214ab7b17d03b28b93cb76" addr="T0R25C3S1_1" formatStyle="Comma"/>
      <m:item xlName="_GBC_4d1f7a8f40ff45bba70cc248523cddd8" concept="clcid-pte:QiTaSuoYouZheQuanYiNeiBuJieZhuanDaoZhiQiTaQuanYiGongJuZhongDeQiTaBianDongJinE" label="其他所有者权益内部结转导致其他权益工具中的其他变动金额" mulRef="_GBC_375aa5b655854a6fa4ef44766a5a9d36" unitRef="_GBC_6053d48a4e214ab7b17d03b28b93cb76" addr="T0R25C4S1_1" formatStyle="Comma"/>
      <m:item xlName="_GBC_6af2eb372f8b4cd5ad50c3b1a76a185b" concept="clcid-pte:QiTaSuoYouZheQuanYiNeiBuJieZhuanDaoZhiZiBenGongJiBianDongJinE" label="其他所有者权益内部结转导致资本公积变动金额" mulRef="_GBC_375aa5b655854a6fa4ef44766a5a9d36" unitRef="_GBC_6053d48a4e214ab7b17d03b28b93cb76" addr="T0R25C5S1_1" formatStyle="Comma"/>
      <m:item xlName="_GBC_1f20017ee5d145f2bc0640f3d08dcb83" concept="clcid-pte:QiTaSuoYouZheQuanYiNeiBuJieZhuanDaoZhiKuCunGuBianDongJinE" label="其他所有者权益内部结转导致库存股变动金额" mulRef="_GBC_375aa5b655854a6fa4ef44766a5a9d36" unitRef="_GBC_6053d48a4e214ab7b17d03b28b93cb76" addr="T0R25C6S1_1" formatStyle="Comma"/>
      <m:item xlName="_GBC_55a0fefced38408dbe178e553543b824" concept="clcid-pte:QiTaSuoYouZheQuanYiNeiBuJieZhuanDaoZhiQiTaZongHeShouYiBianDongJinE" label="其他所有者权益内部结转导致其他综合收益变动金额" mulRef="_GBC_375aa5b655854a6fa4ef44766a5a9d36" unitRef="_GBC_6053d48a4e214ab7b17d03b28b93cb76" addr="T0R25C7S1_1" formatStyle="Comma"/>
      <m:item xlName="_GBC_4f8431347a504740a9770d76650ac2f0" concept="clcid-pte:QiTaSuoYouZheQuanYiNeiBuJieZhuanDaoZhiZhuanXiangChuBeiBianDongJinE" label="其他所有者权益内部结转导致专项储备变动金额" mulRef="_GBC_375aa5b655854a6fa4ef44766a5a9d36" unitRef="_GBC_6053d48a4e214ab7b17d03b28b93cb76" addr="T0R25C8S1_1" formatStyle="Comma"/>
      <m:item xlName="_GBC_0b0a83dcbb584a149c6239b8ded61c73" concept="clcid-pte:QiTaSuoYouZheQuanYiNeiBuJieZhuanDaoZhiYingYuGongJiBianDongJinE" label="其他所有者权益内部结转导致盈余公积变动金额" mulRef="_GBC_375aa5b655854a6fa4ef44766a5a9d36" unitRef="_GBC_6053d48a4e214ab7b17d03b28b93cb76" addr="T0R25C9S1_1" formatStyle="Comma"/>
      <m:item xlName="_GBC_2110322da6794fe8b4e2de9c406787aa" concept="clcid-pte:QiTaSuoYouZheQuanYiNeiBuJieZhuanDaoZhiWeiFenPeiLiRunBianDongJinE" label="其他所有者权益内部结转导致未分配利润变动金额" mulRef="_GBC_375aa5b655854a6fa4ef44766a5a9d36" unitRef="_GBC_6053d48a4e214ab7b17d03b28b93cb76" addr="T0R25C10S1_1" formatStyle="Comma"/>
      <m:item xlName="_GBC_2052396c10334ede88fb8cae686eb089" concept="clcid-pte:QiTaSuoYouZheQuanYiNeiBuJieZhuanDaoZhiGuDongQuanYiHeJiBianDongJinE" label="其他所有者权益内部结转导致股东权益合计变动金额" mulRef="_GBC_375aa5b655854a6fa4ef44766a5a9d36" unitRef="_GBC_6053d48a4e214ab7b17d03b28b93cb76" addr="T0R25C11S1_1" formatStyle="Comma"/>
      <m:placeholder xlName="_PLD_7128a3651c424daea231f9011504b39f" addr="T0R26C0S1_1"/>
      <m:item xlName="_GBC_1cda7744763e4d66aa9f02d0333e63ea" concept="clcid-pte:ZhuanXiangChuBeiDaoZhiShiShouZiBenHuoGuBenJingEBianDongJinE" label="专项储备导致实收资本（或股本）净额变动金额" mulRef="_GBC_375aa5b655854a6fa4ef44766a5a9d36" unitRef="_GBC_6053d48a4e214ab7b17d03b28b93cb76" addr="T0R26C1S1_1" formatStyle="Comma">
        <m:complexRule comparator="Eq" title="专项储备导致实收资本（或股本）净额变动金额" test=" $_GBC_db7adff7155341bca464f9a838602032 -  $_GBC_f8bb0532ecfc4185ac90021df6d94e76" id="Cf55a2e1ecd204a1da02c46bbfc77a079"/>
      </m:item>
      <m:item xlName="_GBC_6e27022d26d24fd88db2d1c3fb65d735" concept="clcid-pte:ZhuanXiangChuBeiDaoZhiQiTaQuanYiGongJuZhongDeYouXianGuBianDongJinE" label="专项储备导致其他权益工具中的优先股变动金额" mulRef="_GBC_375aa5b655854a6fa4ef44766a5a9d36" unitRef="_GBC_6053d48a4e214ab7b17d03b28b93cb76" addr="T0R26C2S1_1" formatStyle="Comma">
        <m:complexRule comparator="Eq" title="专项储备导致其他权益工具中的优先股变动金额" test=" $_GBC_951f7c260ac24b478022f5ee1ed1c3c3 -  $_GBC_8c941d7013f74389baa868fcfcd3b780" id="C659bfbcde03f438483c8a6bf6c920169"/>
      </m:item>
      <m:item xlName="_GBC_df78ddf6c22e46c1a5817cbc43b21618" concept="clcid-pte:ZhuanXiangChuBeiDaoZhiQiTaQuanYiGongJuZhongDeYongXuZhaiBianDongJinE" label="专项储备导致其他权益工具中的永续债变动金额" mulRef="_GBC_375aa5b655854a6fa4ef44766a5a9d36" unitRef="_GBC_6053d48a4e214ab7b17d03b28b93cb76" addr="T0R26C3S1_1" formatStyle="Comma">
        <m:complexRule comparator="Eq" title="专项储备导致其他权益工具中的永续债变动金额" test=" $_GBC_8cd2f50e3dc84a49a943dca599f9471d -  $_GBC_e86ef0afefdb492889310f23a49fb81b" id="Cb61f7b93093e4ae6991834dcb8cadeac"/>
      </m:item>
      <m:item xlName="_GBC_cf503f21da614ca8950eeb5d62fed06d" concept="clcid-pte:ZhuanXiangChuBeiDaoZhiQiTaQuanYiGongJuZhongDeQiTaBianDongJinE" label="专项储备导致其他权益工具中的其他变动金额" mulRef="_GBC_375aa5b655854a6fa4ef44766a5a9d36" unitRef="_GBC_6053d48a4e214ab7b17d03b28b93cb76" addr="T0R26C4S1_1" formatStyle="Comma">
        <m:complexRule comparator="Eq" title="专项储备导致其他权益工具中的其他变动金额" test=" $_GBC_986b1244288545b4b6da238f37c09bed -  $_GBC_740827cb599c40bc999cc34803e113fb" id="Ca6ea9a125302490592afa6fe307a75d9"/>
      </m:item>
      <m:item xlName="_GBC_e599f55d658343a783b2a12304305844" concept="clcid-pte:ZhuanXiangChuBeiDaoZhiZiBenGongJiBianDongJinE" label="专项储备导致资本公积变动金额" mulRef="_GBC_375aa5b655854a6fa4ef44766a5a9d36" unitRef="_GBC_6053d48a4e214ab7b17d03b28b93cb76" addr="T0R26C5S1_1" formatStyle="Comma">
        <m:complexRule comparator="Eq" title="专项储备导致资本公积变动金额" test=" $_GBC_d2831e6021c74154b8a4fd557f839cf1 -  $_GBC_57ca46b10949437e8bbeca2c9df7c5be" id="Cb4760f0c2c00490789f6c0c0fec8128c"/>
      </m:item>
      <m:item xlName="_GBC_f2ae66a9a3284d1ab2fdf1bca44d13a8" concept="clcid-pte:ZhuanXiangChuBeiDaoZhiKuCunGuBianDongJinE" label="专项储备导致库存股变动金额" mulRef="_GBC_375aa5b655854a6fa4ef44766a5a9d36" unitRef="_GBC_6053d48a4e214ab7b17d03b28b93cb76" addr="T0R26C6S1_1" formatStyle="Comma">
        <m:complexRule comparator="Eq" title="专项储备导致库存股变动金额" test=" $_GBC_4f60029451364e97b99fbb5444528910 -  $_GBC_486e1bbab1e944c2b5a067998ad1592b" id="C802db30ade844225a45174cfd3501344"/>
      </m:item>
      <m:item xlName="_GBC_863c74b9c11c404086044a4ff6016717" concept="clcid-pte:ZhuanXiangChuBeiDaoZhiQiTaZongHeShouYiBianDongJinE" label="专项储备导致其他综合收益变动金额" mulRef="_GBC_375aa5b655854a6fa4ef44766a5a9d36" unitRef="_GBC_6053d48a4e214ab7b17d03b28b93cb76" addr="T0R26C7S1_1" formatStyle="Comma">
        <m:complexRule comparator="Eq" title="专项储备导致其他综合收益变动金额" test=" $_GBC_24c3d4d29ff1479096dd68284306bfab -  $_GBC_b7b033edb1e94ecb8512ec1b9cb7fa18" id="C055f712dfb4646049d38af78ad88fcc4"/>
      </m:item>
      <m:item xlName="_GBC_ffefd3d3cf6b42b39654b846b4eb5524" concept="clcid-pte:ZhuanXiangChuBeiDaoZhiZhuanXiangChuBeiBianDongJinE" label="专项储备导致专项储备变动金额" mulRef="_GBC_375aa5b655854a6fa4ef44766a5a9d36" unitRef="_GBC_6053d48a4e214ab7b17d03b28b93cb76" addr="T0R26C8S1_1" formatStyle="Comma">
        <m:complexRule comparator="Eq" title="专项储备导致专项储备变动金额" test=" $_GBC_0a69771ca7c24307b3e7d27a7eecafed -  $_GBC_6865053468d2443095ac8cef5bd74bf7" id="Cad1215dbe0b14666bfc965d5b6a002d1"/>
      </m:item>
      <m:item xlName="_GBC_49fededab3164c96bbc4956692cb1deb" concept="clcid-pte:ZhuanXiangChuBeiDaoZhiYingYuGongJiBianDongJinE" label="专项储备导致盈余公积变动金额" mulRef="_GBC_375aa5b655854a6fa4ef44766a5a9d36" unitRef="_GBC_6053d48a4e214ab7b17d03b28b93cb76" addr="T0R26C9S1_1" formatStyle="Comma">
        <m:complexRule comparator="Eq" title="专项储备导致盈余公积变动金额" test=" $_GBC_000045ed7dc544febadb716e323e0074 -  $_GBC_0e4c213f74824be6a910c040a87ac0f8" id="Cfdd46d702f514c00924b12a0f0102cb1"/>
      </m:item>
      <m:item xlName="_GBC_a12ec3b82eb44b799b8099894f960c9e" concept="clcid-pte:ZhuanXiangChuBeiDaoZhiWeiFenPeiLiRunBianDongJinE" label="专项储备导致未分配利润变动金额" mulRef="_GBC_375aa5b655854a6fa4ef44766a5a9d36" unitRef="_GBC_6053d48a4e214ab7b17d03b28b93cb76" addr="T0R26C10S1_1" formatStyle="Comma">
        <m:complexRule comparator="Eq" title="专项储备导致未分配利润变动金额" test=" $_GBC_8ac93acbede74c82ab18ba5a8c396c7e -  $_GBC_76aa956540aa4c28956468c34c23ea78" id="Cea508a1cdb2d4a7fa91fab6186989a22"/>
      </m:item>
      <m:item xlName="_GBC_0a490045e6a040b699e2b5d552fa20cd" concept="clcid-pte:ZhuanXiangChuBeiDaoZhiGuDongQuanYiHeJiBianDongJinE" label="专项储备导致股东权益合计变动金额" mulRef="_GBC_375aa5b655854a6fa4ef44766a5a9d36" unitRef="_GBC_6053d48a4e214ab7b17d03b28b93cb76" addr="T0R26C11S1_1" formatStyle="Comma">
        <m:complexRule comparator="Eq" title="专项储备导致股东权益合计变动金额" test=" $_GBC_61aa1bc9e88048fb944c98ad35a22926 -  $_GBC_51898930bbd849a984d86d25e6e244f6" id="Cd575ffc34e5d4efcbded3ba8203761b3"/>
      </m:item>
      <m:placeholder xlName="_PLD_d841ec79074541e883cbcfadf2e154f1" addr="T0R27C0S1_1"/>
      <m:item xlName="_GBC_db7adff7155341bca464f9a838602032" concept="clcid-pte:TiQuDaoZhiShiShouZiBenHuoGuBenJingEBianDongJinE" label="提取导致实收资本（或股本）净额变动金额" mulRef="_GBC_375aa5b655854a6fa4ef44766a5a9d36" unitRef="_GBC_6053d48a4e214ab7b17d03b28b93cb76" addr="T0R27C1S1_1" formatStyle="Comma"/>
      <m:item xlName="_GBC_951f7c260ac24b478022f5ee1ed1c3c3" concept="clcid-pte:TiQuDaoZhiQiTaQuanYiGongJuZhongDeYouXianGuBianDongJinE" label="提取导致其他权益工具中的优先股变动金额" mulRef="_GBC_375aa5b655854a6fa4ef44766a5a9d36" unitRef="_GBC_6053d48a4e214ab7b17d03b28b93cb76" addr="T0R27C2S1_1" formatStyle="Comma"/>
      <m:item xlName="_GBC_8cd2f50e3dc84a49a943dca599f9471d" concept="clcid-pte:TiQuDaoZhiQiTaQuanYiGongJuZhongDeYongXuZhaiBianDongJinE" label="提取导致其他权益工具中的永续债变动金额" mulRef="_GBC_375aa5b655854a6fa4ef44766a5a9d36" unitRef="_GBC_6053d48a4e214ab7b17d03b28b93cb76" addr="T0R27C3S1_1" formatStyle="Comma"/>
      <m:item xlName="_GBC_986b1244288545b4b6da238f37c09bed" concept="clcid-pte:TiQuDaoZhiQiTaQuanYiGongJuZhongDeQiTaBianDongJinE" label="提取导致其他权益工具中的其他变动金额" mulRef="_GBC_375aa5b655854a6fa4ef44766a5a9d36" unitRef="_GBC_6053d48a4e214ab7b17d03b28b93cb76" addr="T0R27C4S1_1" formatStyle="Comma"/>
      <m:item xlName="_GBC_d2831e6021c74154b8a4fd557f839cf1" concept="clcid-pte:TiQuDaoZhiZiBenGongJiBianDongJinE" label="提取导致资本公积变动金额" mulRef="_GBC_375aa5b655854a6fa4ef44766a5a9d36" unitRef="_GBC_6053d48a4e214ab7b17d03b28b93cb76" addr="T0R27C5S1_1" formatStyle="Comma"/>
      <m:item xlName="_GBC_4f60029451364e97b99fbb5444528910" concept="clcid-pte:TiQuDaoZhiKuCunGuBianDongJinE" label="提取导致库存股变动金额" mulRef="_GBC_375aa5b655854a6fa4ef44766a5a9d36" unitRef="_GBC_6053d48a4e214ab7b17d03b28b93cb76" addr="T0R27C6S1_1" formatStyle="Comma"/>
      <m:item xlName="_GBC_24c3d4d29ff1479096dd68284306bfab" concept="clcid-pte:TiQuDaoZhiQiTaZongHeShouYiBianDongJinE" label="提取导致其他综合收益变动金额" mulRef="_GBC_375aa5b655854a6fa4ef44766a5a9d36" unitRef="_GBC_6053d48a4e214ab7b17d03b28b93cb76" addr="T0R27C7S1_1" formatStyle="Comma"/>
      <m:item xlName="_GBC_0a69771ca7c24307b3e7d27a7eecafed" concept="clcid-pte:TiQuDaoZhiZhuanXiangChuBeiBianDongJinE" label="提取导致专项储备变动金额" mulRef="_GBC_375aa5b655854a6fa4ef44766a5a9d36" unitRef="_GBC_6053d48a4e214ab7b17d03b28b93cb76" addr="T0R27C8S1_1" formatStyle="Comma"/>
      <m:item xlName="_GBC_000045ed7dc544febadb716e323e0074" concept="clcid-pte:TiQuDaoZhiYingYuGongJiBianDongJinE" label="提取导致盈余公积变动金额" mulRef="_GBC_375aa5b655854a6fa4ef44766a5a9d36" unitRef="_GBC_6053d48a4e214ab7b17d03b28b93cb76" addr="T0R27C9S1_1" formatStyle="Comma"/>
      <m:item xlName="_GBC_8ac93acbede74c82ab18ba5a8c396c7e" concept="clcid-pte:TiQuDaoZhiWeiFenPeiLiRunBianDongJinE" label="提取导致未分配利润变动金额" mulRef="_GBC_375aa5b655854a6fa4ef44766a5a9d36" unitRef="_GBC_6053d48a4e214ab7b17d03b28b93cb76" addr="T0R27C10S1_1" formatStyle="Comma"/>
      <m:item xlName="_GBC_61aa1bc9e88048fb944c98ad35a22926" concept="clcid-pte:TiQuDaoZhiGuDongQuanYiHeJiBianDongJinE" label="提取导致股东权益合计变动金额" mulRef="_GBC_375aa5b655854a6fa4ef44766a5a9d36" unitRef="_GBC_6053d48a4e214ab7b17d03b28b93cb76" addr="T0R27C11S1_1" formatStyle="Comma"/>
      <m:placeholder xlName="_PLD_44f8d6cb554a472eb4220cff36ff0cf6" addr="T0R28C0S1_1"/>
      <m:item xlName="_GBC_f8bb0532ecfc4185ac90021df6d94e76" concept="clcid-pte:ShiYongDaoZhiShiShouZiBenHuoGuBenJingEBianDongJinE" label="使用导致实收资本（或股本）净额变动金额" mulRef="_GBC_375aa5b655854a6fa4ef44766a5a9d36" unitRef="_GBC_6053d48a4e214ab7b17d03b28b93cb76" addr="T0R28C1S1_1" formatStyle="Comma"/>
      <m:item xlName="_GBC_8c941d7013f74389baa868fcfcd3b780" concept="clcid-pte:ShiYongDaoZhiQiTaQuanYiGongJuZhongDeYouXianGuBianDongJinE" label="使用导致其他权益工具中的优先股变动金额" mulRef="_GBC_375aa5b655854a6fa4ef44766a5a9d36" unitRef="_GBC_6053d48a4e214ab7b17d03b28b93cb76" addr="T0R28C2S1_1" formatStyle="Comma"/>
      <m:item xlName="_GBC_e86ef0afefdb492889310f23a49fb81b" concept="clcid-pte:ShiYongDaoZhiQiTaQuanYiGongJuZhongDeYongXuZhaiBianDongJinE" label="使用导致其他权益工具中的永续债变动金额" mulRef="_GBC_375aa5b655854a6fa4ef44766a5a9d36" unitRef="_GBC_6053d48a4e214ab7b17d03b28b93cb76" addr="T0R28C3S1_1" formatStyle="Comma"/>
      <m:item xlName="_GBC_740827cb599c40bc999cc34803e113fb" concept="clcid-pte:ShiYongDaoZhiQiTaQuanYiGongJuZhongDeQiTaBianDongJinE" label="使用导致其他权益工具中的其他变动金额" mulRef="_GBC_375aa5b655854a6fa4ef44766a5a9d36" unitRef="_GBC_6053d48a4e214ab7b17d03b28b93cb76" addr="T0R28C4S1_1" formatStyle="Comma"/>
      <m:item xlName="_GBC_57ca46b10949437e8bbeca2c9df7c5be" concept="clcid-pte:ShiYongDaoZhiZiBenGongJiBianDongJinE" label="使用导致资本公积变动金额" mulRef="_GBC_375aa5b655854a6fa4ef44766a5a9d36" unitRef="_GBC_6053d48a4e214ab7b17d03b28b93cb76" addr="T0R28C5S1_1" formatStyle="Comma"/>
      <m:item xlName="_GBC_486e1bbab1e944c2b5a067998ad1592b" concept="clcid-pte:ShiYongDaoZhiKuCunGuBianDongJinE" label="使用导致库存股变动金额" mulRef="_GBC_375aa5b655854a6fa4ef44766a5a9d36" unitRef="_GBC_6053d48a4e214ab7b17d03b28b93cb76" addr="T0R28C6S1_1" formatStyle="Comma"/>
      <m:item xlName="_GBC_520c218a224e4beda4e596b0a45b01b3" concept="clcid-pte:ShiYongDaoZhiQiTaZongHeShouYiBianDongJinE" label="使用导致其他综合收益变动金额" mulRef="_GBC_375aa5b655854a6fa4ef44766a5a9d36" unitRef="_GBC_6053d48a4e214ab7b17d03b28b93cb76" addr="T0R28C7S1_1" formatStyle="Comma"/>
      <m:item xlName="_GBC_6865053468d2443095ac8cef5bd74bf7" concept="clcid-pte:ShiYongDaoZhiZhuanXiangChuBeiBianDongJinE" label="使用导致专项储备变动金额" mulRef="_GBC_375aa5b655854a6fa4ef44766a5a9d36" unitRef="_GBC_6053d48a4e214ab7b17d03b28b93cb76" addr="T0R28C8S1_1" formatStyle="Comma"/>
      <m:item xlName="_GBC_0e4c213f74824be6a910c040a87ac0f8" concept="clcid-pte:ShiYongDaoZhiYingYuGongJiBianDongJinE" label="使用导致盈余公积变动金额" mulRef="_GBC_375aa5b655854a6fa4ef44766a5a9d36" unitRef="_GBC_6053d48a4e214ab7b17d03b28b93cb76" addr="T0R28C9S1_1" formatStyle="Comma"/>
      <m:item xlName="_GBC_76aa956540aa4c28956468c34c23ea78" concept="clcid-pte:ShiYongDaoZhiWeiFenPeiLiRunBianDongJinE" label="使用导致未分配利润变动金额" mulRef="_GBC_375aa5b655854a6fa4ef44766a5a9d36" unitRef="_GBC_6053d48a4e214ab7b17d03b28b93cb76" addr="T0R28C10S1_1" formatStyle="Comma"/>
      <m:item xlName="_GBC_51898930bbd849a984d86d25e6e244f6" concept="clcid-pte:ShiYongDaoZhiGuDongQuanYiHeJiBianDongJinE" label="使用导致股东权益合计变动金额" mulRef="_GBC_375aa5b655854a6fa4ef44766a5a9d36" unitRef="_GBC_6053d48a4e214ab7b17d03b28b93cb76" addr="T0R28C11S1_1" formatStyle="Comma"/>
      <m:placeholder xlName="_PLD_c43269f873724864b6d1b3fe9c1d9494" addr="T0R29C0S1_1"/>
      <m:item xlName="_GBC_3528a1dd6df6476186b38986f8394587" concept="clcid-pte:QiTaDaoZhiShiShouZiBenHuoGuBenJingEBianDongJinE" label="其他导致实收资本（或股本）净额变动金额" mulRef="_GBC_375aa5b655854a6fa4ef44766a5a9d36" unitRef="_GBC_6053d48a4e214ab7b17d03b28b93cb76" addr="T0R29C1S1_1" formatStyle="Comma"/>
      <m:item xlName="_GBC_4cbc1352fcb34ac9b1fab0948bae2283" concept="clcid-pte:QiTaDaoZhiQiTaQuanYiGongJuZhongDeYouXianGuBianDongJinE" label="其他导致其他权益工具中的优先股变动金额" mulRef="_GBC_375aa5b655854a6fa4ef44766a5a9d36" unitRef="_GBC_6053d48a4e214ab7b17d03b28b93cb76" addr="T0R29C2S1_1" formatStyle="Comma"/>
      <m:item xlName="_GBC_0daa97dbcffc4acfb57675ed8c11d852" concept="clcid-pte:QiTaDaoZhiQiTaQuanYiGongJuZhongDeYongXuZhaiBianDongJinE" label="其他导致其他权益工具中的永续债变动金额" mulRef="_GBC_375aa5b655854a6fa4ef44766a5a9d36" unitRef="_GBC_6053d48a4e214ab7b17d03b28b93cb76" addr="T0R29C3S1_1" formatStyle="Comma"/>
      <m:item xlName="_GBC_d49c108f09ec4ed8955de5be2acd1444" concept="clcid-pte:QiTaDaoZhiQiTaQuanYiGongJuZhongDeQiTaBianDongJinE" label="其他导致其他权益工具中的其他变动金额" mulRef="_GBC_375aa5b655854a6fa4ef44766a5a9d36" unitRef="_GBC_6053d48a4e214ab7b17d03b28b93cb76" addr="T0R29C4S1_1" formatStyle="Comma"/>
      <m:item xlName="_GBC_8935d5c4d75f497e804819e0a17060d4" concept="clcid-pte:QiTaDaoZhiZiBenGongJiBianDongJinE" label="其他导致资本公积变动金额" mulRef="_GBC_375aa5b655854a6fa4ef44766a5a9d36" unitRef="_GBC_6053d48a4e214ab7b17d03b28b93cb76" addr="T0R29C5S1_1" formatStyle="Comma"/>
      <m:item xlName="_GBC_56e1caf39e1b4d9090dfaf8d66523905" concept="clcid-pte:QiTaDaoZhiKuCunGuBianDongJinE" label="其他导致库存股变动金额" mulRef="_GBC_375aa5b655854a6fa4ef44766a5a9d36" unitRef="_GBC_6053d48a4e214ab7b17d03b28b93cb76" addr="T0R29C6S1_1" formatStyle="Comma"/>
      <m:item xlName="_GBC_b7b033edb1e94ecb8512ec1b9cb7fa18" concept="clcid-pte:QiTaDaoZhiQiTaZongHeShouYiBianDongJinE" label="其他导致其他综合收益变动金额" mulRef="_GBC_375aa5b655854a6fa4ef44766a5a9d36" unitRef="_GBC_6053d48a4e214ab7b17d03b28b93cb76" addr="T0R29C7S1_1" formatStyle="Comma"/>
      <m:item xlName="_GBC_0aac65ba71d54447bce3ce4d84ad309a" concept="clcid-pte:QiTaDaoZhiZhuanXiangChuBeiBianDongJinE" label="其他导致专项储备变动金额" mulRef="_GBC_375aa5b655854a6fa4ef44766a5a9d36" unitRef="_GBC_6053d48a4e214ab7b17d03b28b93cb76" addr="T0R29C8S1_1" formatStyle="Comma"/>
      <m:item xlName="_GBC_cc0f967b4f214ae18a49bc71751fd967" concept="clcid-pte:QiTaDaoZhiYingYuGongJiBianDongJinE" label="其他导致盈余公积变动金额" mulRef="_GBC_375aa5b655854a6fa4ef44766a5a9d36" unitRef="_GBC_6053d48a4e214ab7b17d03b28b93cb76" addr="T0R29C9S1_1" formatStyle="Comma"/>
      <m:item xlName="_GBC_79b45aa72adf4e9682398fac705787cf" concept="clcid-pte:QiTaDaoZhiWeiFenPeiLiRunBianDongJinE" label="其他导致未分配利润变动金额" mulRef="_GBC_375aa5b655854a6fa4ef44766a5a9d36" unitRef="_GBC_6053d48a4e214ab7b17d03b28b93cb76" addr="T0R29C10S1_1" formatStyle="Comma"/>
      <m:item xlName="_GBC_1267314c0762456ca0f986543c3cd151" concept="clcid-pte:QiTaDaoZhiGuDongQuanYiHeJiBianDongJinE" label="其他导致股东权益合计变动金额" mulRef="_GBC_375aa5b655854a6fa4ef44766a5a9d36" unitRef="_GBC_6053d48a4e214ab7b17d03b28b93cb76" addr="T0R29C11S1_1" formatStyle="Comma"/>
      <m:placeholder xlName="_PLD_cf5de05731e34ef7bac4d631f7e88feb" addr="T0R30C0S1_1"/>
      <m:item xlName="_GBC_ddf9bab422904d09ad316abf9b0b5565" concept="clcid-pte:GuBen" label="股本" mulRef="_GBC_375aa5b655854a6fa4ef44766a5a9d36" unitRef="_GBC_6053d48a4e214ab7b17d03b28b93cb76" addr="T0R30C1S1_1" formatStyle="Comma">
        <m:complexRule comparator="Eq" title="股本" test=" $_GBC_d12936e8e22e496680bfe639b9b1299b +  $_GBC_ba3a0d6c7d374c6eb6dd959316360ab7" id="C409661cac48c482da0c54eab139b161c"/>
      </m:item>
      <m:item xlName="_GBC_56a01137e8ec471db398b1a455cf4b3a" concept="clcid-pte:QiTaQuanYiGongJuQiZhongYouXianGu" label="其他权益工具-其中：优先股" mulRef="_GBC_375aa5b655854a6fa4ef44766a5a9d36" unitRef="_GBC_6053d48a4e214ab7b17d03b28b93cb76" addr="T0R30C2S1_1" formatStyle="Comma">
        <m:complexRule comparator="Eq" title="其他权益工具-其中：优先股" test=" $_GBC_601e5586a3294aa69348a921e57be185 +  $_GBC_d04fc2b721d445aeb9b16d0cb24c29b1" id="C7a54128bd6b040e08628f02dfbcc13dd"/>
      </m:item>
      <m:item xlName="_GBC_32271e306a594e41bb9f0a916eef7896" concept="clcid-pte:QiTaQuanYiGongJuYongXuZhai" label="其他权益工具-永续债" mulRef="_GBC_375aa5b655854a6fa4ef44766a5a9d36" unitRef="_GBC_6053d48a4e214ab7b17d03b28b93cb76" addr="T0R30C3S1_1" formatStyle="Comma">
        <m:complexRule comparator="Eq" title="其他权益工具-永续债" test=" $_GBC_836a78ae20854c08bbee94bd431102f1 +  $_GBC_a10de934ef0f46c0981398a834499dc6" id="C1ee27bc1ca194bdb8833ff3a87491ff2"/>
      </m:item>
      <m:item xlName="_GBC_fed889528b0b46d2b7995c0a443df62a" concept="clcid-pte:QiTaQuanYiGongJuQiTa" label="其他权益工具-其他" mulRef="_GBC_375aa5b655854a6fa4ef44766a5a9d36" unitRef="_GBC_6053d48a4e214ab7b17d03b28b93cb76" addr="T0R30C4S1_1" formatStyle="Comma">
        <m:complexRule comparator="Eq" title="其他权益工具-其他" test=" $_GBC_8e4b6ed172cc4da0ab3d432af5d28ed4 +  $_GBC_75e8e45c8c084f7fa05027cfbbeb49a9" id="Cbc8eae1dc3bb47729f042f69d3964c8d"/>
      </m:item>
      <m:item xlName="_GBC_dea3e857a5064960a71cf80a8aa4f3be" concept="clcid-pte:ZiBenGongJi" label="资本公积" mulRef="_GBC_375aa5b655854a6fa4ef44766a5a9d36" unitRef="_GBC_6053d48a4e214ab7b17d03b28b93cb76" addr="T0R30C5S1_1" formatStyle="Comma">
        <m:complexRule comparator="Eq" title="资本公积" test=" $_GBC_e9f25233de5e48c2bbc214424560101c +  $_GBC_d6e2bf1bb1f547178f86fdb2e81bea01" id="C7dee292515124769b7600e4886a18c1c"/>
      </m:item>
      <m:item xlName="_GBC_d71a4048127945c88a106237f4e04b39" concept="clcid-pte:KuCunGu" label="库存股" mulRef="_GBC_375aa5b655854a6fa4ef44766a5a9d36" unitRef="_GBC_6053d48a4e214ab7b17d03b28b93cb76" addr="T0R30C6S1_1" formatStyle="Comma">
        <m:complexRule comparator="Eq" title="库存股" test=" $_GBC_822ae18f0d2a4bab94a9778e9c42668f +  $_GBC_740d59c820794f33bd00782914697ea1" id="Cce1460b4869a4e6d9403f294836d34a1"/>
      </m:item>
      <m:item xlName="_GBC_900f483b38ce43e289478711fb789e71" concept="clcid-pte:QiTaZongHeShouYiZiChanFuZhaiBiaoXiangMu" label="其他综合收益（资产负债表项目）" mulRef="_GBC_375aa5b655854a6fa4ef44766a5a9d36" unitRef="_GBC_6053d48a4e214ab7b17d03b28b93cb76" addr="T0R30C7S1_1" formatStyle="Comma">
        <m:complexRule comparator="Eq" title="其他综合收益（资产负债表项目）" test=" $_GBC_8f3fd69c3ef841269eaf2300a3cdae72 +  $_GBC_07271d90a63b46eaad1a5122cbce9331" id="C0dc30e8e4e8c4cb881dd94232c97513a"/>
      </m:item>
      <m:item xlName="_GBC_76d5768c93ac4c3683f77612e99473dd" concept="clcid-pte:ZhuanXiangChuBei" label="专项储备" mulRef="_GBC_375aa5b655854a6fa4ef44766a5a9d36" unitRef="_GBC_6053d48a4e214ab7b17d03b28b93cb76" addr="T0R30C8S1_1" formatStyle="Comma">
        <m:complexRule comparator="Eq" title="专项储备" test=" $_GBC_f6108c36759f4739b89b699df117de6e +  $_GBC_43c8359de72447e59cf49e009fced8fe" id="Cd9f5473c772e46d9be3f432388b3717b"/>
      </m:item>
      <m:item xlName="_GBC_aa61430af9394b7bab0debbe2068fe4f" concept="clcid-pte:YingYuGongJi" label="盈余公积" mulRef="_GBC_375aa5b655854a6fa4ef44766a5a9d36" unitRef="_GBC_6053d48a4e214ab7b17d03b28b93cb76" addr="T0R30C9S1_1" formatStyle="Comma">
        <m:complexRule comparator="Eq" title="盈余公积" test=" $_GBC_6df3bacdabf24f63a7412eea261be55b +  $_GBC_62e634a4f43b4bfb853224e1c71ac0cb" id="C793e6204dfde4123ba220f259ce8a59a"/>
      </m:item>
      <m:item xlName="_GBC_a3abb017ee9944a8952acade5f156767" concept="clcid-pte:WeiFenPeiLiRun" label="未分配利润" mulRef="_GBC_375aa5b655854a6fa4ef44766a5a9d36" unitRef="_GBC_6053d48a4e214ab7b17d03b28b93cb76" addr="T0R30C10S1_1" formatStyle="Comma">
        <m:complexRule comparator="Eq" title="未分配利润" test=" $_GBC_0613a1fead3441c199b03f9b2931538a +  $_GBC_f2b8116812324e43a6776da3eb366106" id="Ce4edc7cbcf7e4a1c97eafab1b773da59"/>
      </m:item>
      <m:item xlName="_GBC_0144ec417556407f8fdfc5f86c10bcae" concept="clcid-pte:GuDongQuanYiHeJi" label="股东权益合计" mulRef="_GBC_375aa5b655854a6fa4ef44766a5a9d36" unitRef="_GBC_6053d48a4e214ab7b17d03b28b93cb76" addr="T0R30C11S1_1" formatStyle="Comma">
        <m:complexRule comparator="Eq" title="股东权益合计" test=" $_GBC_c4dbd281faa347f7b7916cc55e9f465c +  $_GBC_05cad73814084fbdb65718569e03bf5f" id="Cca50bf2899434428a8dbcc0071f50180"/>
      </m:item>
      <m:placeholder xlName="_PLD_13d5f85138bd418a9259aa1d58c0c42b" addr="T1R0C0S3_1"/>
      <m:placeholder xlName="_PLD_51f93e7fadff434cb8fff3792fa73c0a" addr="T1R0C1S1_11"/>
      <m:placeholder xlName="_PLD_024a5f81a79a4592958478af7f96749a" addr="T1R1C1S2_1"/>
      <m:placeholder xlName="_PLD_18912ea4827f4cd5affb2ca92061cd36" addr="T1R1C2S1_3"/>
      <m:placeholder xlName="_PLD_b1fb26aeb03347e59dab53b6ba72c7c7" addr="T1R1C5S2_1"/>
      <m:placeholder xlName="_PLD_2ed7cb5cac034c318c85838ea5c161a3" addr="T1R1C6S2_1"/>
      <m:placeholder xlName="_PLD_c830e321039143d790927ecf7b993698" addr="T1R1C7S2_1"/>
      <m:placeholder xlName="_PLD_f9a2bad84247474da30135b668de767d" addr="T1R1C8S2_1"/>
      <m:placeholder xlName="_PLD_e548e52ec0554a639a44d16518e49474" addr="T1R1C9S2_1"/>
      <m:placeholder xlName="_PLD_99530d2df58f41a888608ab9f07bac08" addr="T1R1C10S2_1"/>
      <m:placeholder xlName="_PLD_634bbd300395475fbc775470a30e40b8" addr="T1R1C11S2_1"/>
      <m:placeholder xlName="_PLD_270844e398714819aa329ef9a3ea74e6" addr="T1R2C2S1_1"/>
      <m:placeholder xlName="_PLD_18da4fcafd0b424bac20482499485c6c" addr="T1R2C3S1_1"/>
      <m:placeholder xlName="_PLD_520eff40d6494895981f63e3263f50f9" addr="T1R2C4S1_1"/>
      <m:placeholder xlName="_PLD_d2dc166e479b4415ad5d5ef28a3c6c62" addr="T1R3C0S1_1"/>
      <m:item xlName="_GBC_790cce9c908f441ca9f4b974a2833a80" concept="clcid-pte:GuBen" label="股本" periodRef="上上年度期末数" mulRef="_GBC_375aa5b655854a6fa4ef44766a5a9d36" unitRef="_GBC_6053d48a4e214ab7b17d03b28b93cb76" addr="T1R3C1S1_1" formatStyle="Comma">
        <m:axisValue occRef="调整前的值"/>
      </m:item>
      <m:item xlName="_GBC_7bfa4351bc8648bb982325a2d4bac34c" concept="clcid-pte:QiTaQuanYiGongJuQiZhongYouXianGu" label="其他权益工具-其中：优先股" periodRef="上上年度期末数" mulRef="_GBC_375aa5b655854a6fa4ef44766a5a9d36" unitRef="_GBC_6053d48a4e214ab7b17d03b28b93cb76" addr="T1R3C2S1_1" formatStyle="Comma">
        <m:axisValue occRef="调整前的值"/>
      </m:item>
      <m:item xlName="_GBC_0dd21262e718482cbe18689390cb66fd" concept="clcid-pte:QiTaQuanYiGongJuYongXuZhai" label="其他权益工具-永续债" periodRef="上上年度期末数" mulRef="_GBC_375aa5b655854a6fa4ef44766a5a9d36" unitRef="_GBC_6053d48a4e214ab7b17d03b28b93cb76" addr="T1R3C3S1_1" formatStyle="Comma">
        <m:axisValue occRef="调整前的值"/>
      </m:item>
      <m:item xlName="_GBC_eb97cd556cc44339a20013ca4ef01d9b" concept="clcid-pte:QiTaQuanYiGongJuQiTa" label="其他权益工具-其他" periodRef="上上年度期末数" mulRef="_GBC_375aa5b655854a6fa4ef44766a5a9d36" unitRef="_GBC_6053d48a4e214ab7b17d03b28b93cb76" addr="T1R3C4S1_1" formatStyle="Comma">
        <m:axisValue occRef="调整前的值"/>
      </m:item>
      <m:item xlName="_GBC_e826a68eb3ba4d1e9c55c3ed3116bcfc" concept="clcid-pte:ZiBenGongJi" label="资本公积" periodRef="上上年度期末数" mulRef="_GBC_375aa5b655854a6fa4ef44766a5a9d36" unitRef="_GBC_6053d48a4e214ab7b17d03b28b93cb76" addr="T1R3C5S1_1" formatStyle="Comma">
        <m:axisValue occRef="调整前的值"/>
      </m:item>
      <m:item xlName="_GBC_67a79eb29a0a446f9e42677fe22ba787" concept="clcid-pte:KuCunGu" label="库存股" periodRef="上上年度期末数" mulRef="_GBC_375aa5b655854a6fa4ef44766a5a9d36" unitRef="_GBC_6053d48a4e214ab7b17d03b28b93cb76" addr="T1R3C6S1_1" formatStyle="Comma">
        <m:axisValue occRef="调整前的值"/>
      </m:item>
      <m:item xlName="_GBC_e66c3faf036946a8a1513684c31f93b6" concept="clcid-pte:QiTaZongHeShouYiZiChanFuZhaiBiaoXiangMu" label="其他综合收益（资产负债表项目）" periodRef="上上年度期末数" mulRef="_GBC_375aa5b655854a6fa4ef44766a5a9d36" unitRef="_GBC_6053d48a4e214ab7b17d03b28b93cb76" addr="T1R3C7S1_1" formatStyle="Comma">
        <m:axisValue occRef="调整前的值"/>
      </m:item>
      <m:item xlName="_GBC_e7a9483f8d7846c0af438f8c4a5c4c5f" concept="clcid-pte:ZhuanXiangChuBei" label="专项储备" periodRef="上上年度期末数" mulRef="_GBC_375aa5b655854a6fa4ef44766a5a9d36" unitRef="_GBC_6053d48a4e214ab7b17d03b28b93cb76" addr="T1R3C8S1_1" formatStyle="Comma">
        <m:axisValue occRef="调整前的值"/>
      </m:item>
      <m:item xlName="_GBC_2ed07d9ebe884f2e8d2ac02d9b02fd9f" concept="clcid-pte:YingYuGongJi" label="盈余公积" periodRef="上上年度期末数" mulRef="_GBC_375aa5b655854a6fa4ef44766a5a9d36" unitRef="_GBC_6053d48a4e214ab7b17d03b28b93cb76" addr="T1R3C9S1_1" formatStyle="Comma">
        <m:axisValue occRef="调整前的值"/>
      </m:item>
      <m:item xlName="_GBC_134512d9f9fa414ea0417f650e4455ed" concept="clcid-pte:WeiFenPeiLiRun" label="未分配利润" periodRef="上上年度期末数" mulRef="_GBC_375aa5b655854a6fa4ef44766a5a9d36" unitRef="_GBC_6053d48a4e214ab7b17d03b28b93cb76" addr="T1R3C10S1_1" formatStyle="Comma">
        <m:axisValue occRef="调整前的值"/>
      </m:item>
      <m:item xlName="_GBC_b71e6b22087c44849b9ba6139badf22f" concept="clcid-pte:GuDongQuanYiHeJi" label="股东权益合计" periodRef="上上年度期末数" mulRef="_GBC_375aa5b655854a6fa4ef44766a5a9d36" unitRef="_GBC_6053d48a4e214ab7b17d03b28b93cb76" addr="T1R3C11S1_1" formatStyle="Comma">
        <m:axisValue occRef="调整前的值"/>
      </m:item>
      <m:placeholder xlName="_PLD_32757b94e95046e384a30c9cd83ddddd" addr="T1R4C0S1_1"/>
      <m:item xlName="_GBC_21a77af7768243d8b7a69816ddbe0c89" concept="clcid-pte:KuaiJiZhengCeBianGengDaoZhiShiShouZiBenHuoGuBenJingEBianDongJinE" label="会计政策变更导致实收资本（或股本）净额变动金额" periodRef="上年同期期初数" mulRef="_GBC_375aa5b655854a6fa4ef44766a5a9d36" unitRef="_GBC_6053d48a4e214ab7b17d03b28b93cb76" addr="T1R4C1S1_1" formatStyle="Comma"/>
      <m:item xlName="_GBC_c47233a4eceb4ec6898adbf5652ea410" concept="clcid-pte:HuiJiZhengCeBianGengDaoZhiYouXianGuBianDongJinE" label="会计政策变更导致优先股变动金额" periodRef="上年同期期初数" mulRef="_GBC_375aa5b655854a6fa4ef44766a5a9d36" unitRef="_GBC_6053d48a4e214ab7b17d03b28b93cb76" addr="T1R4C2S1_1" formatStyle="Comma"/>
      <m:item xlName="_GBC_6e322b8f473f4e17bdebcfe262f27bc2" concept="clcid-pte:HuiJiZhengCeBianGengDaoZhiYongXuZhaiBianDongJinE" label="会计政策变更导致永续债变动金额" periodRef="上年同期期初数" mulRef="_GBC_375aa5b655854a6fa4ef44766a5a9d36" unitRef="_GBC_6053d48a4e214ab7b17d03b28b93cb76" addr="T1R4C3S1_1" formatStyle="Comma"/>
      <m:item xlName="_GBC_bfaf7f8decd34bedad6fa1c9024a511d" concept="clcid-pte:HuiJiZhengCeBianGengDaoZhiQiTaQuanYiGongJuZhongDeQiTaBianDongJinE" label="会计政策变更导致其他权益工具中的其他变动金额" periodRef="上年同期期初数" mulRef="_GBC_375aa5b655854a6fa4ef44766a5a9d36" unitRef="_GBC_6053d48a4e214ab7b17d03b28b93cb76" addr="T1R4C4S1_1" formatStyle="Comma"/>
      <m:item xlName="_GBC_ab7c38bba1204055bfd5a931a9149ce3" concept="clcid-pte:KuaiJiZhengCeBianGengDaoZhiZiBenGongJiBianDongJinE" label="会计政策变更导致资本公积变动金额" periodRef="上年同期期初数" mulRef="_GBC_375aa5b655854a6fa4ef44766a5a9d36" unitRef="_GBC_6053d48a4e214ab7b17d03b28b93cb76" addr="T1R4C5S1_1" formatStyle="Comma"/>
      <m:item xlName="_GBC_121623186e864ded8962096896395fed" concept="clcid-pte:KuaiJiZhengCeBianGengDaoZhiKuCunGuBianDongJinE" label="会计政策变更导致库存股变动金额" periodRef="上年同期期初数" mulRef="_GBC_375aa5b655854a6fa4ef44766a5a9d36" unitRef="_GBC_6053d48a4e214ab7b17d03b28b93cb76" addr="T1R4C6S1_1" formatStyle="Comma"/>
      <m:item xlName="_GBC_47954fc74e6e420b8269f697c09321f5" concept="clcid-pte:HuiJiZhengCeBianGengDaoZhiQiTaZongHeShouYiBianDongJinE" label="会计政策变更导致其他综合收益变动金额" periodRef="上年同期期初数" mulRef="_GBC_375aa5b655854a6fa4ef44766a5a9d36" unitRef="_GBC_6053d48a4e214ab7b17d03b28b93cb76" addr="T1R4C7S1_1" formatStyle="Comma"/>
      <m:item xlName="_GBC_e113aa3213a3474498f4bed2b577ed21" concept="clcid-pte:KuaiJiZhengCeBianGengDaoZhiZhuanXiangChuBeiBianDongJinE" label="会计政策变更导致专项储备变动金额" periodRef="上年同期期初数" mulRef="_GBC_375aa5b655854a6fa4ef44766a5a9d36" unitRef="_GBC_6053d48a4e214ab7b17d03b28b93cb76" addr="T1R4C8S1_1" formatStyle="Comma"/>
      <m:item xlName="_GBC_389f59c97f4043858ed5986deb489203" concept="clcid-pte:KuaiJiZhengCeBianGengDaoZhiYingYuGongJiBianDongJinE" label="会计政策变更导致盈余公积变动金额" periodRef="上年同期期初数" mulRef="_GBC_375aa5b655854a6fa4ef44766a5a9d36" unitRef="_GBC_6053d48a4e214ab7b17d03b28b93cb76" addr="T1R4C9S1_1" formatStyle="Comma"/>
      <m:item xlName="_GBC_b0f9f485a9b140e0a7ffe252b3cc0831" concept="clcid-pte:KuaiJiZhengCeBianGengDaoZhiWeiFenPeiLiRunBianDongJinE" label="会计政策变更导致未分配利润变动金额" periodRef="上年同期期初数" mulRef="_GBC_375aa5b655854a6fa4ef44766a5a9d36" unitRef="_GBC_6053d48a4e214ab7b17d03b28b93cb76" addr="T1R4C10S1_1" formatStyle="Comma"/>
      <m:item xlName="_GBC_64b6e5761c184ebdb52880faf05c8898" concept="clcid-pte:KuaiJiZhengCeBianGengDaoZhiGuDongQuanYiHeJiBianDongJinE" label="会计政策变更导致股东权益合计变动金额" periodRef="上年同期期初数" mulRef="_GBC_375aa5b655854a6fa4ef44766a5a9d36" unitRef="_GBC_6053d48a4e214ab7b17d03b28b93cb76" addr="T1R4C11S1_1" formatStyle="Comma"/>
      <m:placeholder xlName="_PLD_c254581bfa564d21b6e66ec55e49c128" addr="T1R5C0S1_1"/>
      <m:item xlName="_GBC_abeac182dcae4b698d866b6a8820a444" concept="clcid-pte:QianQiChaCuoGengZhengDaoZhiShiShouZiBenHuoGuBenJingEBianDongJinE" label="前期差错更正导致实收资本（或股本）净额变动金额" periodRef="上年同期期初数" mulRef="_GBC_375aa5b655854a6fa4ef44766a5a9d36" unitRef="_GBC_6053d48a4e214ab7b17d03b28b93cb76" addr="T1R5C1S1_1" formatStyle="Comma"/>
      <m:item xlName="_GBC_6302bccb70fe4f60b05c07530cc1b379" concept="clcid-pte:QianQiChaCuoGengZhengDaoZhiYouXianGuBianDongJinE" label="前期差错更正导致优先股变动金额" periodRef="上年同期期初数" mulRef="_GBC_375aa5b655854a6fa4ef44766a5a9d36" unitRef="_GBC_6053d48a4e214ab7b17d03b28b93cb76" addr="T1R5C2S1_1" formatStyle="Comma"/>
      <m:item xlName="_GBC_74a73b2d0a9d47389359a65d625cbe14" concept="clcid-pte:QianQiChaCuoGengZhengDaoZhiYongXuZhaiBianDongJinE" label="前期差错更正导致永续债变动金额" periodRef="上年同期期初数" mulRef="_GBC_375aa5b655854a6fa4ef44766a5a9d36" unitRef="_GBC_6053d48a4e214ab7b17d03b28b93cb76" addr="T1R5C3S1_1" formatStyle="Comma"/>
      <m:item xlName="_GBC_770d927ff2ae4be0902c20a757ecb74a" concept="clcid-pte:QianQiChaCuoGengZhengDaoZhiQiTaQuanYiGongJuZhongDeQiTaBianDongJinE" label="前期差错更正导致其他权益工具中的其他变动金额" periodRef="上年同期期初数" mulRef="_GBC_375aa5b655854a6fa4ef44766a5a9d36" unitRef="_GBC_6053d48a4e214ab7b17d03b28b93cb76" addr="T1R5C4S1_1" formatStyle="Comma"/>
      <m:item xlName="_GBC_7e01211779b44d51a5c3963fcfe1ddec" concept="clcid-pte:QianQiChaCuoGengZhengDaoZhiZiBenGongJiBianDongJinE" label="前期差错更正导致资本公积变动金额" periodRef="上年同期期初数" mulRef="_GBC_375aa5b655854a6fa4ef44766a5a9d36" unitRef="_GBC_6053d48a4e214ab7b17d03b28b93cb76" addr="T1R5C5S1_1" formatStyle="Comma"/>
      <m:item xlName="_GBC_2bc6d3f6a37e476e9a38fbe1f60d6cd2" concept="clcid-pte:QianQiChaCuoGengZhengDaoZhiKuCunGuBianDongJinE" label="前期差错更正导致库存股变动金额" periodRef="上年同期期初数" mulRef="_GBC_375aa5b655854a6fa4ef44766a5a9d36" unitRef="_GBC_6053d48a4e214ab7b17d03b28b93cb76" addr="T1R5C6S1_1" formatStyle="Comma"/>
      <m:item xlName="_GBC_04895e05906e4215afe765139b35d1f3" concept="clcid-pte:QianQiChaCuoGengZhengDaoZhiQiTaZongHeShouYiBianDongJinE" label="前期差错更正导致其他综合收益变动金额" periodRef="上年同期期初数" mulRef="_GBC_375aa5b655854a6fa4ef44766a5a9d36" unitRef="_GBC_6053d48a4e214ab7b17d03b28b93cb76" addr="T1R5C7S1_1" formatStyle="Comma"/>
      <m:item xlName="_GBC_a15b1ed44297456fa7529a6be8aa2959" concept="clcid-pte:QianQiChaCuoGengZhengDaoZhiZhuanXiangChuBeiBianDongJinE" label="前期差错更正导致专项储备变动金额" periodRef="上年同期期初数" mulRef="_GBC_375aa5b655854a6fa4ef44766a5a9d36" unitRef="_GBC_6053d48a4e214ab7b17d03b28b93cb76" addr="T1R5C8S1_1" formatStyle="Comma"/>
      <m:item xlName="_GBC_ef20f81169e047089ef1a61d12582154" concept="clcid-pte:QianQiChaCuoGengZhengDaoZhiYingYuGongJiBianDongJinE" label="前期差错更正导致盈余公积变动金额" periodRef="上年同期期初数" mulRef="_GBC_375aa5b655854a6fa4ef44766a5a9d36" unitRef="_GBC_6053d48a4e214ab7b17d03b28b93cb76" addr="T1R5C9S1_1" formatStyle="Comma"/>
      <m:item xlName="_GBC_e9f9d3b98d3e4082a160f5ffc645ec6d" concept="clcid-pte:QianQiChaCuoGengZhengDaoZhiWeiFenPeiLiRunBianDongJinE" label="前期差错更正导致未分配利润变动金额" periodRef="上年同期期初数" mulRef="_GBC_375aa5b655854a6fa4ef44766a5a9d36" unitRef="_GBC_6053d48a4e214ab7b17d03b28b93cb76" addr="T1R5C10S1_1" formatStyle="Comma"/>
      <m:item xlName="_GBC_cf62b49cc5544ea288be0a299a252204" concept="clcid-pte:QianQiChaCuoGengZhengDaoZhiGuDongQuanYiHeJiBianDongJinE" label="前期差错更正导致股东权益合计变动金额" periodRef="上年同期期初数" mulRef="_GBC_375aa5b655854a6fa4ef44766a5a9d36" unitRef="_GBC_6053d48a4e214ab7b17d03b28b93cb76" addr="T1R5C11S1_1" formatStyle="Comma"/>
      <m:placeholder xlName="_PLD_bebed8425fe64eeaa28ab5a4881743c3" addr="T1R6C0S1_1"/>
      <m:item xlName="_GBC_bfd8386292d84fd5b7bb747c490961a3" concept="clcid-pte:QiTaZhuiSuTiaoZhengDaoZhiShiShouZiBenBianDongJinE" label="实收资本变动金额（其他追溯调整）" periodRef="上年同期期初数" mulRef="_GBC_375aa5b655854a6fa4ef44766a5a9d36" unitRef="_GBC_6053d48a4e214ab7b17d03b28b93cb76" addr="T1R6C1S1_1" formatStyle="Comma"/>
      <m:item xlName="_GBC_47708927326c4c0091893a67df7e8122" concept="clcid-pte:YouXianGuBianDongJinEQiTaZhuiSuDiaoZheng" label="优先股变动金额（其他追溯调整）" periodRef="上年同期期初数" mulRef="_GBC_375aa5b655854a6fa4ef44766a5a9d36" unitRef="_GBC_6053d48a4e214ab7b17d03b28b93cb76" addr="T1R6C2S1_1" formatStyle="Comma"/>
      <m:item xlName="_GBC_250ba860421c48408d4d223661dc2d86" concept="clcid-pte:YongXuZhaiBianDongJinEQiTaZhuiSuDiaoZheng" label="永续债变动金额（其他追溯调整）" periodRef="上年同期期初数" mulRef="_GBC_375aa5b655854a6fa4ef44766a5a9d36" unitRef="_GBC_6053d48a4e214ab7b17d03b28b93cb76" addr="T1R6C3S1_1" formatStyle="Comma"/>
      <m:item xlName="_GBC_5f9422fd1fc541ab93441f590dd12652" concept="clcid-pte:QiTaQuanYiGongJuZhongDeQiTaBianDongJinEQiTaZhuiSuDiaoZheng" label="其他权益工具中的其他变动金额（其他追溯调整）" periodRef="上年同期期初数" mulRef="_GBC_375aa5b655854a6fa4ef44766a5a9d36" unitRef="_GBC_6053d48a4e214ab7b17d03b28b93cb76" addr="T1R6C4S1_1" formatStyle="Comma"/>
      <m:item xlName="_GBC_9df974b8c1954a3f9d6ee33aa41afa61" concept="clcid-pte:QiTaZhuiSuTiaoZhengDaoZhiZiBenGongJiBianDongJinE" label="资本公积变动金额（其他追溯调整）" periodRef="上年同期期初数" mulRef="_GBC_375aa5b655854a6fa4ef44766a5a9d36" unitRef="_GBC_6053d48a4e214ab7b17d03b28b93cb76" addr="T1R6C5S1_1" formatStyle="Comma"/>
      <m:item xlName="_GBC_693c6b0cd0654c589e5060ca196e420e" concept="clcid-pte:QiTaZhuiSuTiaoZhengDaoZhiKuCunGuBianDongJinE" label="库存股变动金额（其他追溯调整）" periodRef="上年同期期初数" mulRef="_GBC_375aa5b655854a6fa4ef44766a5a9d36" unitRef="_GBC_6053d48a4e214ab7b17d03b28b93cb76" addr="T1R6C6S1_1" formatStyle="Comma"/>
      <m:item xlName="_GBC_1acf3236fe0b4e76a5f0957a3bc29168" concept="clcid-pte:QiTaZongHeShouYiBianDongJinEQiTaZhuiSuDiaoZheng" label="其他综合收益变动金额（其他追溯调整）" periodRef="上年同期期初数" mulRef="_GBC_375aa5b655854a6fa4ef44766a5a9d36" unitRef="_GBC_6053d48a4e214ab7b17d03b28b93cb76" addr="T1R6C7S1_1" formatStyle="Comma"/>
      <m:item xlName="_GBC_877310c591574f4f8bc64f3c21d1d468" concept="clcid-pte:QiTaZhuiSuTiaoZhengDaoZhiZhuanXiangChuBeiBianDongJinE" label="专项储备变动金额（其他追溯调整）" periodRef="上年同期期初数" mulRef="_GBC_375aa5b655854a6fa4ef44766a5a9d36" unitRef="_GBC_6053d48a4e214ab7b17d03b28b93cb76" addr="T1R6C8S1_1" formatStyle="Comma"/>
      <m:item xlName="_GBC_1566a00048c347b99ca60797291a5b0d" concept="clcid-pte:QiTaZhuiSuTiaoZhengDaoZhiYingYuGongJiBianDongJinE" label="盈余公积变动金额（其他追溯调整）" periodRef="上年同期期初数" mulRef="_GBC_375aa5b655854a6fa4ef44766a5a9d36" unitRef="_GBC_6053d48a4e214ab7b17d03b28b93cb76" addr="T1R6C9S1_1" formatStyle="Comma"/>
      <m:item xlName="_GBC_2f353f9de680407a88dbd1b11d840e6a" concept="clcid-pte:QiTaZhuiSuTiaoZhengDaoZhiWeiFenPeiLiRunBianDongJinE" label="未分配利润变动金额（其他追溯调整）" periodRef="上年同期期初数" mulRef="_GBC_375aa5b655854a6fa4ef44766a5a9d36" unitRef="_GBC_6053d48a4e214ab7b17d03b28b93cb76" addr="T1R6C10S1_1" formatStyle="Comma"/>
      <m:item xlName="_GBC_a62bc4ee91a4415aa9353e961a6a8883" concept="clcid-pte:QiTaZhuiSuTiaoZhengDaoZhiGuDongQuanYiBianDongJinE" label="股东权益变动金额（其他追溯调整）" periodRef="上年同期期初数" mulRef="_GBC_375aa5b655854a6fa4ef44766a5a9d36" unitRef="_GBC_6053d48a4e214ab7b17d03b28b93cb76" addr="T1R6C11S1_1" formatStyle="Comma"/>
      <m:placeholder xlName="_PLD_422e4d21bbcf4e4dba739c7dc3edc168" addr="T1R7C0S1_1"/>
      <m:item xlName="_GBC_64af9c9dd2c34b9eb34295b3c5c38442" concept="clcid-pte:GuBen" label="股本" periodRef="上年同期期初数" mulRef="_GBC_375aa5b655854a6fa4ef44766a5a9d36" unitRef="_GBC_6053d48a4e214ab7b17d03b28b93cb76" addr="T1R7C1S1_1" formatStyle="Comma">
        <m:complexRule comparator="Eq" title="股本@上年同期期初数" test=" $_GBC_790cce9c908f441ca9f4b974a2833a80 +  $_GBC_21a77af7768243d8b7a69816ddbe0c89 +  $_GBC_abeac182dcae4b698d866b6a8820a444 +  $_GBC_bfd8386292d84fd5b7bb747c490961a3" id="C10100727388c475296ca2aeb0b0d07a2"/>
      </m:item>
      <m:item xlName="_GBC_5414879d5d1f48ed9990290373895c7d" concept="clcid-pte:QiTaQuanYiGongJuQiZhongYouXianGu" label="其他权益工具-其中：优先股" periodRef="上年同期期初数" mulRef="_GBC_375aa5b655854a6fa4ef44766a5a9d36" unitRef="_GBC_6053d48a4e214ab7b17d03b28b93cb76" addr="T1R7C2S1_1" formatStyle="Comma">
        <m:complexRule comparator="Eq" title="其他权益工具-其中：优先股@上年同期期初数" test=" $_GBC_7bfa4351bc8648bb982325a2d4bac34c +  $_GBC_c47233a4eceb4ec6898adbf5652ea410 +  $_GBC_6302bccb70fe4f60b05c07530cc1b379 +  $_GBC_47708927326c4c0091893a67df7e8122" id="Cf491a58d164749d9be8d91c9f8b14d3c"/>
      </m:item>
      <m:item xlName="_GBC_db14aa9a8b32428a999a5b2dbac8d0ed" concept="clcid-pte:QiTaQuanYiGongJuYongXuZhai" label="其他权益工具-永续债" periodRef="上年同期期初数" mulRef="_GBC_375aa5b655854a6fa4ef44766a5a9d36" unitRef="_GBC_6053d48a4e214ab7b17d03b28b93cb76" addr="T1R7C3S1_1" formatStyle="Comma">
        <m:complexRule comparator="Eq" title="其他权益工具-永续债@上年同期期初数" test=" $_GBC_0dd21262e718482cbe18689390cb66fd +  $_GBC_6e322b8f473f4e17bdebcfe262f27bc2 +  $_GBC_74a73b2d0a9d47389359a65d625cbe14 +  $_GBC_250ba860421c48408d4d223661dc2d86" id="C26db97f26b144d529a6f9c0191944be4"/>
      </m:item>
      <m:item xlName="_GBC_c4261e81263e431bb657e0440482ce49" concept="clcid-pte:QiTaQuanYiGongJuQiTa" label="其他权益工具-其他" periodRef="上年同期期初数" mulRef="_GBC_375aa5b655854a6fa4ef44766a5a9d36" unitRef="_GBC_6053d48a4e214ab7b17d03b28b93cb76" addr="T1R7C4S1_1" formatStyle="Comma">
        <m:complexRule comparator="Eq" title="其他权益工具-其他@上年同期期初数" test=" $_GBC_eb97cd556cc44339a20013ca4ef01d9b +  $_GBC_bfaf7f8decd34bedad6fa1c9024a511d +  $_GBC_770d927ff2ae4be0902c20a757ecb74a +  $_GBC_5f9422fd1fc541ab93441f590dd12652" id="C2921c1320cc4411a87c5f3301ada331f"/>
      </m:item>
      <m:item xlName="_GBC_db782dfd2bae45d396a0e0fef2f61a58" concept="clcid-pte:ZiBenGongJi" label="资本公积" periodRef="上年同期期初数" mulRef="_GBC_375aa5b655854a6fa4ef44766a5a9d36" unitRef="_GBC_6053d48a4e214ab7b17d03b28b93cb76" addr="T1R7C5S1_1" formatStyle="Comma">
        <m:complexRule comparator="Eq" title="资本公积@上年同期期初数" test=" $_GBC_e826a68eb3ba4d1e9c55c3ed3116bcfc +  $_GBC_ab7c38bba1204055bfd5a931a9149ce3 +  $_GBC_7e01211779b44d51a5c3963fcfe1ddec +  $_GBC_9df974b8c1954a3f9d6ee33aa41afa61" id="C027fbedd9ef344089f457b2a5fc2269e"/>
      </m:item>
      <m:item xlName="_GBC_97131a0dce19455facc205df4ca5a400" concept="clcid-pte:KuCunGu" label="库存股" periodRef="上年同期期初数" mulRef="_GBC_375aa5b655854a6fa4ef44766a5a9d36" unitRef="_GBC_6053d48a4e214ab7b17d03b28b93cb76" addr="T1R7C6S1_1" formatStyle="Comma">
        <m:complexRule comparator="Eq" title="库存股@上年同期期初数" test=" $_GBC_67a79eb29a0a446f9e42677fe22ba787 +  $_GBC_121623186e864ded8962096896395fed +  $_GBC_2bc6d3f6a37e476e9a38fbe1f60d6cd2 +  $_GBC_693c6b0cd0654c589e5060ca196e420e" id="C9d1816d23a2b4099b8568696bf71a500"/>
      </m:item>
      <m:item xlName="_GBC_5ce2fdb56aeb4150b6b0e26da9c6f244" concept="clcid-pte:QiTaZongHeShouYiZiChanFuZhaiBiaoXiangMu" label="其他综合收益（资产负债表项目）" periodRef="上年同期期初数" mulRef="_GBC_375aa5b655854a6fa4ef44766a5a9d36" unitRef="_GBC_6053d48a4e214ab7b17d03b28b93cb76" addr="T1R7C7S1_1" formatStyle="Comma">
        <m:complexRule comparator="Eq" title="其他综合收益（资产负债表项目）@上年同期期初数" test=" $_GBC_e66c3faf036946a8a1513684c31f93b6 +  $_GBC_47954fc74e6e420b8269f697c09321f5 +  $_GBC_04895e05906e4215afe765139b35d1f3 +  $_GBC_1acf3236fe0b4e76a5f0957a3bc29168" id="C6196993639b94820a088014deb8af622"/>
      </m:item>
      <m:item xlName="_GBC_a91a55653c76489ab7f160dcf2f9ba0d" concept="clcid-pte:ZhuanXiangChuBei" label="专项储备" periodRef="上年同期期初数" mulRef="_GBC_375aa5b655854a6fa4ef44766a5a9d36" unitRef="_GBC_6053d48a4e214ab7b17d03b28b93cb76" addr="T1R7C8S1_1" formatStyle="Comma">
        <m:complexRule comparator="Eq" title="专项储备@上年同期期初数" test=" $_GBC_e7a9483f8d7846c0af438f8c4a5c4c5f +  $_GBC_e113aa3213a3474498f4bed2b577ed21 +  $_GBC_a15b1ed44297456fa7529a6be8aa2959 +  $_GBC_877310c591574f4f8bc64f3c21d1d468" id="C00b59e3e4d5e4be1944366d8aca9afb9"/>
      </m:item>
      <m:item xlName="_GBC_7e2304643380463cbca662749b0c790e" concept="clcid-pte:YingYuGongJi" label="盈余公积" periodRef="上年同期期初数" mulRef="_GBC_375aa5b655854a6fa4ef44766a5a9d36" unitRef="_GBC_6053d48a4e214ab7b17d03b28b93cb76" addr="T1R7C9S1_1" formatStyle="Comma">
        <m:complexRule comparator="Eq" title="盈余公积@上年同期期初数" test=" $_GBC_2ed07d9ebe884f2e8d2ac02d9b02fd9f +  $_GBC_389f59c97f4043858ed5986deb489203 +  $_GBC_ef20f81169e047089ef1a61d12582154 +  $_GBC_1566a00048c347b99ca60797291a5b0d" id="Cc257fb55138d4b7494e865026c56b97b"/>
      </m:item>
      <m:item xlName="_GBC_bb7c8abbcc634403bfc379fe31f87f40" concept="clcid-pte:WeiFenPeiLiRun" label="未分配利润" periodRef="上年同期期初数" mulRef="_GBC_375aa5b655854a6fa4ef44766a5a9d36" unitRef="_GBC_6053d48a4e214ab7b17d03b28b93cb76" addr="T1R7C10S1_1" formatStyle="Comma">
        <m:complexRule comparator="Eq" title="未分配利润@上年同期期初数" test=" $_GBC_134512d9f9fa414ea0417f650e4455ed +  $_GBC_b0f9f485a9b140e0a7ffe252b3cc0831 +  $_GBC_e9f9d3b98d3e4082a160f5ffc645ec6d +  $_GBC_2f353f9de680407a88dbd1b11d840e6a" id="Ce5a77a24a00e46f09242b61b2a50cb0d"/>
      </m:item>
      <m:item xlName="_GBC_b74c9f872b7d4b5f8d697a8dfc72012e" concept="clcid-pte:GuDongQuanYiHeJi" label="股东权益合计" periodRef="上年同期期初数" mulRef="_GBC_375aa5b655854a6fa4ef44766a5a9d36" unitRef="_GBC_6053d48a4e214ab7b17d03b28b93cb76" addr="T1R7C11S1_1" formatStyle="Comma">
        <m:complexRule comparator="Eq" title="股东权益合计@上年同期期初数" test=" $_GBC_b71e6b22087c44849b9ba6139badf22f +  $_GBC_64b6e5761c184ebdb52880faf05c8898 +  $_GBC_cf62b49cc5544ea288be0a299a252204 +  $_GBC_a62bc4ee91a4415aa9353e961a6a8883" id="C4a6d8648fd96494faa683a22e12d8837"/>
      </m:item>
      <m:placeholder xlName="_PLD_575c20e6dc91491cb25a743b66daa15e" addr="T1R8C0S1_1"/>
      <m:item xlName="_GBC_4632b070e6cd423c8a67e0fd30fc59d9" concept="clcid-pte:ShiShouZiBenHuoGuBenJingEZengJianBianDongJinE" label="实收资本（或股本）净额增减变动金额" periodRef="上年同期数" mulRef="_GBC_375aa5b655854a6fa4ef44766a5a9d36" unitRef="_GBC_6053d48a4e214ab7b17d03b28b93cb76" addr="T1R8C1S1_1" formatStyle="Comma">
        <m:complexRule comparator="Eq" title="实收资本（或股本）净额增减变动金额@上年同期数" test=" $_GBC_2892f80677ed496bb3d7f72ec49d79b9 +  $_GBC_41d567e5f0604eebaf533b2028e70a7b +  $_GBC_a2f75c6494704f6fa9b38aeb100187be +  $_GBC_deeeaffa86744a999c7982346bbb8047 +  $_GBC_5ccd917c435143ffb689bea20171bf84 +  $_GBC_152fc8a431174e9bb3580244827a78b7" id="C112d8093db27475380c52e579c05b586"/>
      </m:item>
      <m:item xlName="_GBC_7d40071ac5d14d978b2598f956174cf4" concept="clcid-pte:QiTaQuanYiGongJuZhongDeYouXianGuZengJianBianDongJinE" label="其他权益工具中的优先股增减变动金额" periodRef="上年同期数" mulRef="_GBC_375aa5b655854a6fa4ef44766a5a9d36" unitRef="_GBC_6053d48a4e214ab7b17d03b28b93cb76" addr="T1R8C2S1_1" formatStyle="Comma">
        <m:complexRule comparator="Eq" title="其他权益工具中的优先股增减变动金额@上年同期数" test=" $_GBC_4a2aa70d6da240ccb096bcd7c62b4685 +  $_GBC_f5b1de65fc05410bb0593b738271a4d4 +  $_GBC_83f2812de66b48409b06e875a958a1e2 +  $_GBC_3ce1205f8dcc41a3be49d8fcab6feb87 +  $_GBC_722216750e364e9291456f7f2c9a7b52 +  $_GBC_b6808a7fa8b942deb4ee0bfaa3092b13" id="C91f603fc41864d5f88430cbb38928455"/>
      </m:item>
      <m:item xlName="_GBC_3f699d2795d44e41a659654f2560a4d8" concept="clcid-pte:QiTaQuanYiGongJuZhongDeYongXuZhaiZengJianBianDongJinE" label="其他权益工具中的永续债增减变动金额" periodRef="上年同期数" mulRef="_GBC_375aa5b655854a6fa4ef44766a5a9d36" unitRef="_GBC_6053d48a4e214ab7b17d03b28b93cb76" addr="T1R8C3S1_1" formatStyle="Comma">
        <m:complexRule comparator="Eq" title="其他权益工具中的永续债增减变动金额@上年同期数" test=" $_GBC_39cd3c2e050e4500a4f616f2d9466946 +  $_GBC_4003022a52954cbbb815fa7e9aa5390e +  $_GBC_1146331d3d4344b1a4e2e9dcafe0b09d +  $_GBC_6c9c4781647a465d956201573df817e2 +  $_GBC_4c0ad0b1f8084594adfdddfd9d11b255 +  $_GBC_a61fd4810b784b80a5c8f2d723b1df2a" id="C2c0059d72477487999cb581cd100c3e5"/>
      </m:item>
      <m:item xlName="_GBC_15c11a29d0d145af970a854f513e6c1f" concept="clcid-pte:QiTaQuanYiGongJuZhongDeQiTaZengJianBianDongJinE" label="其他权益工具中的其他增减变动金额" periodRef="上年同期数" mulRef="_GBC_375aa5b655854a6fa4ef44766a5a9d36" unitRef="_GBC_6053d48a4e214ab7b17d03b28b93cb76" addr="T1R8C4S1_1" formatStyle="Comma">
        <m:complexRule comparator="Eq" title="其他权益工具中的其他增减变动金额@上年同期数" test=" $_GBC_9703ddaa5398402e835003a6fd4abc9e +  $_GBC_80e8f3a48a0a4b8fb8b1871d0b6e7757 +  $_GBC_2b9709a4d60b4d5ba80d5f46e540bf61 +  $_GBC_39fda005591246d68e56f5bbef7bfa49 +  $_GBC_b3ed8c3db4ec42978cf5eb95c1f748ac +  $_GBC_95813de16a7e4c719b0196e8c683e758" id="Caa9b27e92a584639aa87f34bd9dc1f70"/>
      </m:item>
      <m:item xlName="_GBC_153cb689e384495c8dbbe4cdad581f26" concept="clcid-pte:ZiBenGongJiZengJianBianDongJinE" label="资本公积增减变动金额" periodRef="上年同期数" mulRef="_GBC_375aa5b655854a6fa4ef44766a5a9d36" unitRef="_GBC_6053d48a4e214ab7b17d03b28b93cb76" addr="T1R8C5S1_1" formatStyle="Comma">
        <m:complexRule comparator="Eq" title="资本公积增减变动金额@上年同期数" test=" $_GBC_8c00f504c192491ca83cd17fdc45b279 +  $_GBC_a4674e89b53d4b8189aaf0807dcc3b28 +  $_GBC_2c5f20087899460882b1649adf7dce88 +  $_GBC_10ad6e3161204e30be33be9dae8c5ecb +  $_GBC_0e3650254e5e4859b9159233dbc92aa4 +  $_GBC_fc56918d24d24005a1668ccae0df5e5b" id="C7751e9ac9a424f808528a0a70ae2c0b8"/>
      </m:item>
      <m:item xlName="_GBC_11812d49465e4d00ab2dce0312776272" concept="clcid-pte:KuCunGuZengJianBianDongJinE" label="库存股增减变动金额" periodRef="上年同期数" mulRef="_GBC_375aa5b655854a6fa4ef44766a5a9d36" unitRef="_GBC_6053d48a4e214ab7b17d03b28b93cb76" addr="T1R8C6S1_1" formatStyle="Comma">
        <m:complexRule comparator="Eq" title="库存股增减变动金额@上年同期数" test=" $_GBC_c1e89b5e83d2441481e9f62cf8bf36e1 +  $_GBC_9b49554677cf4f3fa67b94e962205d18 +  $_GBC_09eb7202caf841c98cd53f3fa65afe84 +  $_GBC_34c53ea6bd7b4251b98b2467bd9e6ae1 +  $_GBC_33852a180fcb452fa274b580b5669596 +  $_GBC_c00d228790d647b8a4c31635fb659ba1" id="C204906dab7a8483ca313eccfc4a32d90"/>
      </m:item>
      <m:item xlName="_GBC_a76bbf5cca184f4e9730df79b64b1bbc" concept="clcid-pte:QiTaZongHeShouYiZengJianBianDongJinE" label="其他综合收益增减变动金额" periodRef="上年同期数" mulRef="_GBC_375aa5b655854a6fa4ef44766a5a9d36" unitRef="_GBC_6053d48a4e214ab7b17d03b28b93cb76" addr="T1R8C7S1_1" formatStyle="Comma">
        <m:complexRule comparator="Eq" title="其他综合收益增减变动金额@上年同期数" test=" $_GBC_7ea0b586e4ac4e329c0207a851d66145 +  $_GBC_337b1390975e4a80a7e6263a38f817e3 +  $_GBC_e5d740dcaeb5493d8a251fbcff6338e6 +  $_GBC_edb15b0ed5534331b9a8182e5115432d +  $_GBC_3162b534a9e4408ea5b388292f5b8fc4 +  $_GBC_4994353ccbdf47f9b9719b1484111bed" id="Ca1516eccdac04eac86a59e7a271d9df5"/>
      </m:item>
      <m:item xlName="_GBC_2fe7145f225c4ba494a58c098bc28b39" concept="clcid-pte:ZhuanXiangChuBeiZengJianBianDongJinE" label="专项储备增减变动金额" periodRef="上年同期数" mulRef="_GBC_375aa5b655854a6fa4ef44766a5a9d36" unitRef="_GBC_6053d48a4e214ab7b17d03b28b93cb76" addr="T1R8C8S1_1" formatStyle="Comma">
        <m:complexRule comparator="Eq" title="专项储备增减变动金额@上年同期数" test=" $_GBC_54b6277dff2841b08fec532756272e01 +  $_GBC_6bb1ae663ac34197994f6df1ce23d632 +  $_GBC_eb6fa047c7514172a30b87200d81f96f +  $_GBC_23fcb462ec074fdc8723949c46072dfd +  $_GBC_ee7b4b94027442c5baca639370f4f254 +  $_GBC_0ec199af41f9457fb29981454e41a6e5" id="Cb6e75d86f89b463ba31edc98f7cbdc8e"/>
      </m:item>
      <m:item xlName="_GBC_a778918dd9c046d9aeea8c0081a957ed" concept="clcid-pte:YingYuGongJiZengJianBianDongJinE" label="盈余公积增减变动金额" periodRef="上年同期数" mulRef="_GBC_375aa5b655854a6fa4ef44766a5a9d36" unitRef="_GBC_6053d48a4e214ab7b17d03b28b93cb76" addr="T1R8C9S1_1" formatStyle="Comma">
        <m:complexRule comparator="Eq" title="盈余公积增减变动金额@上年同期数" test=" $_GBC_8639b74462a3488ebe4a4e24880b6754 +  $_GBC_83852ac53a3646218042c85d82ed2601 +  $_GBC_1c07886a9bf341cf9d53adf2da2c62c6 +  $_GBC_2d8bda8d7b214a8e91165670e0f23bdd +  $_GBC_9cf19b3fc7844c76950cf20cc635c318 +  $_GBC_91c9d9a60100466ba2b3f5a91aaa7ef4" id="C23eaff9dd13f41dcb1de112a9182f338"/>
      </m:item>
      <m:item xlName="_GBC_66a7795a07724631b91b6f58d5aa4ff8" concept="clcid-pte:WeiFenPeiLiRunZengJianBianDongJinE" label="未分配利润增减变动金额" periodRef="上年同期数" mulRef="_GBC_375aa5b655854a6fa4ef44766a5a9d36" unitRef="_GBC_6053d48a4e214ab7b17d03b28b93cb76" addr="T1R8C10S1_1" formatStyle="Comma">
        <m:complexRule comparator="Eq" title="未分配利润增减变动金额@上年同期数" test=" $_GBC_7b7c1258be4f4f368c6b59f3aeff63c5 +  $_GBC_59e1584e662642189dafc2ef6f89f299 +  $_GBC_b69ded4e747540be8c40cae8dfc623be +  $_GBC_de71243253ef4048b2f40827938e51bc +  $_GBC_6935588e80ce4065b9e12ec79dfd14ad +  $_GBC_46d7b23c085c49c483c11ba7bfefff2a" id="C0636e6cab5024e4a99580015377a44e8"/>
      </m:item>
      <m:item xlName="_GBC_f459f68e03564ab09751a863e95f1441" concept="clcid-pte:GuDongQuanYiHeJiZengJianBianDongJinE" label="股东权益合计增减变动金额" periodRef="上年同期数" mulRef="_GBC_375aa5b655854a6fa4ef44766a5a9d36" unitRef="_GBC_6053d48a4e214ab7b17d03b28b93cb76" addr="T1R8C11S1_1" formatStyle="Comma">
        <m:complexRule comparator="Eq" title="股东权益合计增减变动金额@上年同期数" test=" $_GBC_0e3ddbd1be7a4b95b89ef691f7d00cf4 +  $_GBC_d038aa4244504e69839ff2e7c908eb78 +  $_GBC_02a11e8faf82407a8e1048fc636c9364 +  $_GBC_6f2ead75b86c4131b907328590dd9bf0 +  $_GBC_b6cae47f9b834bef982107154bdde7cb +  $_GBC_1c6d3b4dc83f4ae4a05ca332a7d6fd7f" id="C7716dc5cc5a14a7e8772be9a5280b003"/>
      </m:item>
      <m:placeholder xlName="_PLD_b5c171f4f94043988b7c341329feab45" addr="T1R9C0S1_1"/>
      <m:item xlName="_GBC_2892f80677ed496bb3d7f72ec49d79b9" concept="clcid-pte:ZongHeShouYiZongEDaoZhiGuBenBianDongJinE" label="综合收益总额导致股本变动金额" periodRef="上年同期数" mulRef="_GBC_375aa5b655854a6fa4ef44766a5a9d36" unitRef="_GBC_6053d48a4e214ab7b17d03b28b93cb76" addr="T1R9C1S1_1" formatStyle="Comma"/>
      <m:item xlName="_GBC_4a2aa70d6da240ccb096bcd7c62b4685" concept="clcid-pte:ZongHeShouYiZongEDaoZhiYouXianGuBianDongJinE" label="综合收益总额导致优先股变动金额" periodRef="上年同期数" mulRef="_GBC_375aa5b655854a6fa4ef44766a5a9d36" unitRef="_GBC_6053d48a4e214ab7b17d03b28b93cb76" addr="T1R9C2S1_1" formatStyle="Comma"/>
      <m:item xlName="_GBC_39cd3c2e050e4500a4f616f2d9466946" concept="clcid-pte:ZongHeShouYiZongEDaoZhiYongXuZhaiBianDongJinE" label="综合收益总额导致永续债变动金额" periodRef="上年同期数" mulRef="_GBC_375aa5b655854a6fa4ef44766a5a9d36" unitRef="_GBC_6053d48a4e214ab7b17d03b28b93cb76" addr="T1R9C3S1_1" formatStyle="Comma"/>
      <m:item xlName="_GBC_9703ddaa5398402e835003a6fd4abc9e" concept="clcid-pte:ZongHeShouYiZongEDaoZhiQiTaQuanYiGongJuZhongDeQiTaBianDongJinE" label="综合收益总额导致其他权益工具中的其他变动金额" periodRef="上年同期数" mulRef="_GBC_375aa5b655854a6fa4ef44766a5a9d36" unitRef="_GBC_6053d48a4e214ab7b17d03b28b93cb76" addr="T1R9C4S1_1" formatStyle="Comma"/>
      <m:item xlName="_GBC_8c00f504c192491ca83cd17fdc45b279" concept="clcid-pte:ZongHeShouYiZongEDaoZhiZiBenGongJiBianDongJinE" label="综合收益总额导致资本公积变动金额" periodRef="上年同期数" mulRef="_GBC_375aa5b655854a6fa4ef44766a5a9d36" unitRef="_GBC_6053d48a4e214ab7b17d03b28b93cb76" addr="T1R9C5S1_1" formatStyle="Comma"/>
      <m:item xlName="_GBC_c1e89b5e83d2441481e9f62cf8bf36e1" concept="clcid-pte:ZongHeShouYiZongEDaoZhiKuCunGuBianDongJinE" label="综合收益总额导致库存股变动金额" periodRef="上年同期数" mulRef="_GBC_375aa5b655854a6fa4ef44766a5a9d36" unitRef="_GBC_6053d48a4e214ab7b17d03b28b93cb76" addr="T1R9C6S1_1" formatStyle="Comma"/>
      <m:item xlName="_GBC_7ea0b586e4ac4e329c0207a851d66145" concept="clcid-pte:ZongHeShouYiZongEDaoZhiQiTaZongHeShouYiBianDongJinE" label="综合收益总额导致其他综合收益变动金额" periodRef="上年同期数" mulRef="_GBC_375aa5b655854a6fa4ef44766a5a9d36" unitRef="_GBC_6053d48a4e214ab7b17d03b28b93cb76" addr="T1R9C7S1_1" formatStyle="Comma"/>
      <m:item xlName="_GBC_54b6277dff2841b08fec532756272e01" concept="clcid-pte:ZongHeShouYiZongEDaoZhiZhuanXiangChuBeiBianDongJinE" label="综合收益总额导致专项储备变动金额" periodRef="上年同期数" mulRef="_GBC_375aa5b655854a6fa4ef44766a5a9d36" unitRef="_GBC_6053d48a4e214ab7b17d03b28b93cb76" addr="T1R9C8S1_1" formatStyle="Comma"/>
      <m:item xlName="_GBC_8639b74462a3488ebe4a4e24880b6754" concept="clcid-pte:ZongHeShouYiZongEDaoZhiYingYuGongJiBianDongJinE" label="综合收益总额导致盈余公积变动金额" periodRef="上年同期数" mulRef="_GBC_375aa5b655854a6fa4ef44766a5a9d36" unitRef="_GBC_6053d48a4e214ab7b17d03b28b93cb76" addr="T1R9C9S1_1" formatStyle="Comma"/>
      <m:item xlName="_GBC_7b7c1258be4f4f368c6b59f3aeff63c5" concept="clcid-pte:ZongHeShouYiZongEDaoZhiWeiFenPeiLiRunBianDongJinE" label="综合收益总额导致未分配利润变动金额" periodRef="上年同期数" mulRef="_GBC_375aa5b655854a6fa4ef44766a5a9d36" unitRef="_GBC_6053d48a4e214ab7b17d03b28b93cb76" addr="T1R9C10S1_1" formatStyle="Comma"/>
      <m:item xlName="_GBC_0e3ddbd1be7a4b95b89ef691f7d00cf4" concept="clcid-pte:ZongHeShouYiZongEDaoZhiGuDongQuanYiHeJiBianDongJinE" label="综合收益总额导致股东权益合计变动金额" periodRef="上年同期数" mulRef="_GBC_375aa5b655854a6fa4ef44766a5a9d36" unitRef="_GBC_6053d48a4e214ab7b17d03b28b93cb76" addr="T1R9C11S1_1" formatStyle="Comma"/>
      <m:placeholder xlName="_PLD_0b53ce7a3d2044b2bb58f3499f89ecc9" addr="T1R10C0S1_1"/>
      <m:item xlName="_GBC_41d567e5f0604eebaf533b2028e70a7b" concept="clcid-pte:SuoYouZheTouRuHeJianShaoZiBenDaoZhiShiShouZiBenHuoGuBenJingEBianDongJinE" label="所有者投入和减少资本导致实收资本（或股本）净额变动金额" periodRef="上年同期数" mulRef="_GBC_375aa5b655854a6fa4ef44766a5a9d36" unitRef="_GBC_6053d48a4e214ab7b17d03b28b93cb76" addr="T1R10C1S1_1" formatStyle="Comma">
        <m:complexRule comparator="Eq" title="所有者投入和减少资本导致实收资本（或股本）净额变动金额@上年同期数" test=" $_GBC_d7430467dce643b8a5fb18bfb9db00b1 +  $_GBC_08763337cfb84f9692ff8cd1f532b001 +  $_GBC_5088408e8a4a447f9baf897808ba768e +  $_GBC_6eb48174a8d34ec2ae806b660f83d94e" id="C81ace5efd89d4a598863d925cbfb52f6"/>
      </m:item>
      <m:item xlName="_GBC_f5b1de65fc05410bb0593b738271a4d4" concept="clcid-pte:SuoYouZheTouRuHeJianShaoZiBenDaoZhiQiTaQuanYiGongJuZhongDeYouXianGuBianDongJinE" label="所有者投入和减少资本导致其他权益工具中的优先股变动金额" periodRef="上年同期数" mulRef="_GBC_375aa5b655854a6fa4ef44766a5a9d36" unitRef="_GBC_6053d48a4e214ab7b17d03b28b93cb76" addr="T1R10C2S1_1" formatStyle="Comma">
        <m:complexRule comparator="Eq" title="所有者投入和减少资本导致其他权益工具中的优先股变动金额@上年同期数" test=" $_GBC_316dac0916fb45a0b4d1d5d23dcf91c9 +  $_GBC_9e82125b4aba4ae8ad9a19a6caf09e16 +  $_GBC_079ad6f945e1430e8464dc501d34d411 +  $_GBC_4c8acb992ac04e8b815a27ec6acae2e7" id="C8621f90712234ad0bacb2cce3d3ab38f"/>
      </m:item>
      <m:item xlName="_GBC_4003022a52954cbbb815fa7e9aa5390e" concept="clcid-pte:SuoYouZheTouRuHeJianShaoZiBenDaoZhiQiTaQuanYiGongJuZhongDeYongXuZhaiBianDongJinE" label="所有者投入和减少资本导致其他权益工具中的永续债变动金额" periodRef="上年同期数" mulRef="_GBC_375aa5b655854a6fa4ef44766a5a9d36" unitRef="_GBC_6053d48a4e214ab7b17d03b28b93cb76" addr="T1R10C3S1_1" formatStyle="Comma">
        <m:complexRule comparator="Eq" title="所有者投入和减少资本导致其他权益工具中的永续债变动金额@上年同期数" test=" $_GBC_7753d1183e8847979c0a629bfd063555 +  $_GBC_6dc58bd3231441fdbed1fae37eb573df +  $_GBC_c25af45c5d5d461e8fc882541282cb73 +  $_GBC_57b598d9858f4f269d6ffeba75aa3c58" id="C6d96856971884606b11b1a3e4d48efab"/>
      </m:item>
      <m:item xlName="_GBC_80e8f3a48a0a4b8fb8b1871d0b6e7757" concept="clcid-pte:SuoYouZheTouRuHeJianShaoZiBenDaoZhiQiTaQuanYiGongJuZhongDeQiTaBianDongJinE" label="所有者投入和减少资本导致其他权益工具中的其他变动金额" periodRef="上年同期数" mulRef="_GBC_375aa5b655854a6fa4ef44766a5a9d36" unitRef="_GBC_6053d48a4e214ab7b17d03b28b93cb76" addr="T1R10C4S1_1" formatStyle="Comma">
        <m:complexRule comparator="Eq" title="所有者投入和减少资本导致其他权益工具中的其他变动金额@上年同期数" test=" $_GBC_985acc5aca0f4f91bfbe7ef58a5d85df +  $_GBC_b27badddb2484389afd752fb7f108979 +  $_GBC_4a9ed69e185b4e70a918f8a5e437277a +  $_GBC_2b8dbdf68df14c50ac6404a6d3b8b7c5" id="C4c01f74809ac471cab6eab1d86e568ed"/>
      </m:item>
      <m:item xlName="_GBC_a4674e89b53d4b8189aaf0807dcc3b28" concept="clcid-pte:SuoYouZheTouRuHeJianShaoZiBenDaoZhiZiBenGongJiBianDongJinE" label="所有者投入和减少资本导致资本公积变动金额" periodRef="上年同期数" mulRef="_GBC_375aa5b655854a6fa4ef44766a5a9d36" unitRef="_GBC_6053d48a4e214ab7b17d03b28b93cb76" addr="T1R10C5S1_1" formatStyle="Comma">
        <m:complexRule comparator="Eq" title="所有者投入和减少资本导致资本公积变动金额@上年同期数" test=" $_GBC_2a402a12db754279b16aee17f3d9f524 +  $_GBC_f19becf955c24816863244aeb3b9b189 +  $_GBC_a12ba4967df84db1976c312a508ae074 +  $_GBC_80d83ca4b1494055891753bb2e40cb49" id="C7bdff0e99ad4481d83955181c972b9dd"/>
      </m:item>
      <m:item xlName="_GBC_9b49554677cf4f3fa67b94e962205d18" concept="clcid-pte:SuoYouZheTouRuHeJianShaoZiBenDaoZhiKuCunGuBianDongJinE" label="所有者投入和减少资本导致库存股变动金额" periodRef="上年同期数" mulRef="_GBC_375aa5b655854a6fa4ef44766a5a9d36" unitRef="_GBC_6053d48a4e214ab7b17d03b28b93cb76" addr="T1R10C6S1_1" formatStyle="Comma">
        <m:complexRule comparator="Eq" title="所有者投入和减少资本导致库存股变动金额@上年同期数" test=" $_GBC_443452fcf68245a58eddc5b8d98ea19f +  $_GBC_9692b8b495704dc598207de4fde36b12 +  $_GBC_2886e78c87ba414aab1f5b9241c08e34 +  $_GBC_cdfd075f4c1b4e1697fece2f0f17a8c7" id="C3b0a6fc4b04241d2a18eb56a8d7d5d9e"/>
      </m:item>
      <m:item xlName="_GBC_337b1390975e4a80a7e6263a38f817e3" concept="clcid-pte:SuoYouZheTouRuHeJianShaoZiBenDaoZhiQiTaZongHeShouYiBianDongJinE" label="所有者投入和减少资本导致其他综合收益变动金额" periodRef="上年同期数" mulRef="_GBC_375aa5b655854a6fa4ef44766a5a9d36" unitRef="_GBC_6053d48a4e214ab7b17d03b28b93cb76" addr="T1R10C7S1_1" formatStyle="Comma">
        <m:complexRule comparator="Eq" title="所有者投入和减少资本导致其他综合收益变动金额@上年同期数" test=" $_GBC_38c0be2566c74133ab38b6be561ff97a +  $_GBC_6cabad98c99a4bb3acfb194aff21714a +  $_GBC_7188b948d01d445d958bf9dd643e3522 +  $_GBC_4e3fa8f94f704bf383fa8a6cc1b957f6" id="C6a7311f5a61c44289e210a5fb2ef81b6"/>
      </m:item>
      <m:item xlName="_GBC_6bb1ae663ac34197994f6df1ce23d632" concept="clcid-pte:SuoYouZheTouRuHeJianShaoZiBenDaoZhiZhuanXiangChuBeiBianDongJinE" label="所有者投入和减少资本导致专项储备变动金额" periodRef="上年同期数" mulRef="_GBC_375aa5b655854a6fa4ef44766a5a9d36" unitRef="_GBC_6053d48a4e214ab7b17d03b28b93cb76" addr="T1R10C8S1_1" formatStyle="Comma">
        <m:complexRule comparator="Eq" title="所有者投入和减少资本导致专项储备变动金额@上年同期数" test=" $_GBC_eb7845c6827c44f6b67148883cbac3cf +  $_GBC_4a75325684a0433eb32c2cee658083f1 +  $_GBC_5282f698fe5341ab941bca0aed6abe80 +  $_GBC_e89524ed0e8e44d59bcc9bb24fd70348" id="Ca036ebfe5415498f9c32da3a23aa10ce"/>
      </m:item>
      <m:item xlName="_GBC_83852ac53a3646218042c85d82ed2601" concept="clcid-pte:SuoYouZheTouRuHeJianShaoZiBenDaoZhiYingYuGongJiBianDongJinE" label="所有者投入和减少资本导致盈余公积变动金额" periodRef="上年同期数" mulRef="_GBC_375aa5b655854a6fa4ef44766a5a9d36" unitRef="_GBC_6053d48a4e214ab7b17d03b28b93cb76" addr="T1R10C9S1_1" formatStyle="Comma">
        <m:complexRule comparator="Eq" title="所有者投入和减少资本导致盈余公积变动金额@上年同期数" test=" $_GBC_6c33fceff84c4c4a80cc75af02212282 +  $_GBC_f286d1e4eeff48728b0b3cf3a031a6b0 +  $_GBC_0323ecb36ea644e282537b6b0cc87013 +  $_GBC_d4db81ae350a4cfbb9386bd99f920604" id="C8543fe1022d547ebaa35b586ca507b23"/>
      </m:item>
      <m:item xlName="_GBC_59e1584e662642189dafc2ef6f89f299" concept="clcid-pte:SuoYouZheTouRuHeJianShaoZiBenDaoZhiWeiFenPeiLiRunBianDongJinE" label="所有者投入和减少资本导致未分配利润变动金额" periodRef="上年同期数" mulRef="_GBC_375aa5b655854a6fa4ef44766a5a9d36" unitRef="_GBC_6053d48a4e214ab7b17d03b28b93cb76" addr="T1R10C10S1_1" formatStyle="Comma">
        <m:complexRule comparator="Eq" title="所有者投入和减少资本导致未分配利润变动金额@上年同期数" test=" $_GBC_24d933b941194907a23f7b8a3d6a3a31 +  $_GBC_edb973ecda5b4ef7bd6f58ac54e70fc8 +  $_GBC_8499c8255b9c4e08856ffc59756ab6f4 +  $_GBC_7d6d1a6e5bb449fd9b2fd38bec1b5ba1" id="C1bdd3789b4f34ee5a10e91bb3d14dd86"/>
      </m:item>
      <m:item xlName="_GBC_d038aa4244504e69839ff2e7c908eb78" concept="clcid-pte:SuoYouZheTouRuHeJianShaoZiBenDaoZhiGuDongQuanYiHeJiBianDongJinE" label="所有者投入和减少资本导致股东权益合计变动金额" periodRef="上年同期数" mulRef="_GBC_375aa5b655854a6fa4ef44766a5a9d36" unitRef="_GBC_6053d48a4e214ab7b17d03b28b93cb76" addr="T1R10C11S1_1" formatStyle="Comma">
        <m:complexRule comparator="Eq" title="所有者投入和减少资本导致股东权益合计变动金额@上年同期数" test=" $_GBC_28cbed1064df4a89ae4de664a574c515 +  $_GBC_fe955b7c89184575a76bb67df4131a28 +  $_GBC_c1f2541c6e4740dfa32751193551f27b +  $_GBC_a6482641c8a34518b0d71d52d7643750" id="Cb7fc81848f0d4ce8845e65411b7aff51"/>
      </m:item>
      <m:placeholder xlName="_PLD_73aa07b01b61441e918ea2ac1e1bccbd" addr="T1R11C0S1_1"/>
      <m:item xlName="_GBC_d7430467dce643b8a5fb18bfb9db00b1" concept="clcid-pte:GuDongTouRuDePuTongGuDaoZhiGuBenBianDongJinE" label="股东投入的普通股导致股本变动金额" periodRef="上年同期数" mulRef="_GBC_375aa5b655854a6fa4ef44766a5a9d36" unitRef="_GBC_6053d48a4e214ab7b17d03b28b93cb76" addr="T1R11C1S1_1" formatStyle="Comma"/>
      <m:item xlName="_GBC_316dac0916fb45a0b4d1d5d23dcf91c9" concept="clcid-pte:GuDongTouRuDePuTongGuDaoZhiYouXianGuBianDongJinE" label="股东投入的普通股导致优先股变动金额" periodRef="上年同期数" mulRef="_GBC_375aa5b655854a6fa4ef44766a5a9d36" unitRef="_GBC_6053d48a4e214ab7b17d03b28b93cb76" addr="T1R11C2S1_1" formatStyle="Comma"/>
      <m:item xlName="_GBC_7753d1183e8847979c0a629bfd063555" concept="clcid-pte:GuDongTouRuDePuTongGuDaoZhiYongXuZhaiBianDongJinE" label="股东投入的普通股导致永续债变动金额" periodRef="上年同期数" mulRef="_GBC_375aa5b655854a6fa4ef44766a5a9d36" unitRef="_GBC_6053d48a4e214ab7b17d03b28b93cb76" addr="T1R11C3S1_1" formatStyle="Comma"/>
      <m:item xlName="_GBC_985acc5aca0f4f91bfbe7ef58a5d85df" concept="clcid-pte:GuDongTouRuDePuTongGuDaoZhiQiTaQuanYiGongJuZhongDeQiTaBianDongJinE" label="股东投入的普通股导致其他权益工具中的其他变动金额" periodRef="上年同期数" mulRef="_GBC_375aa5b655854a6fa4ef44766a5a9d36" unitRef="_GBC_6053d48a4e214ab7b17d03b28b93cb76" addr="T1R11C4S1_1" formatStyle="Comma"/>
      <m:item xlName="_GBC_2a402a12db754279b16aee17f3d9f524" concept="clcid-pte:GuDongTouRuDePuTongGuDaoZhiZiBenGongJiBianDongJinE" label="股东投入的普通股导致资本公积变动金额" periodRef="上年同期数" mulRef="_GBC_375aa5b655854a6fa4ef44766a5a9d36" unitRef="_GBC_6053d48a4e214ab7b17d03b28b93cb76" addr="T1R11C5S1_1" formatStyle="Comma"/>
      <m:item xlName="_GBC_443452fcf68245a58eddc5b8d98ea19f" concept="clcid-pte:GuDongTouRuDePuTongGuDaoZhiKuCunGuBianDongJinE" label="股东投入的普通股导致库存股变动金额" periodRef="上年同期数" mulRef="_GBC_375aa5b655854a6fa4ef44766a5a9d36" unitRef="_GBC_6053d48a4e214ab7b17d03b28b93cb76" addr="T1R11C6S1_1" formatStyle="Comma"/>
      <m:item xlName="_GBC_38c0be2566c74133ab38b6be561ff97a" concept="clcid-pte:GuDongTouRuDePuTongGuDaoZhiQiTaZongHeShouYiBianDongJinE" label="股东投入的普通股导致其他综合收益变动金额" periodRef="上年同期数" mulRef="_GBC_375aa5b655854a6fa4ef44766a5a9d36" unitRef="_GBC_6053d48a4e214ab7b17d03b28b93cb76" addr="T1R11C7S1_1" formatStyle="Comma"/>
      <m:item xlName="_GBC_eb7845c6827c44f6b67148883cbac3cf" concept="clcid-pte:GuDongTouRuDePuTongGuDaoZhiZhuanXiangChuBeiBianDongJinE" label="股东投入的普通股导致专项储备变动金额" periodRef="上年同期数" mulRef="_GBC_375aa5b655854a6fa4ef44766a5a9d36" unitRef="_GBC_6053d48a4e214ab7b17d03b28b93cb76" addr="T1R11C8S1_1" formatStyle="Comma"/>
      <m:item xlName="_GBC_6c33fceff84c4c4a80cc75af02212282" concept="clcid-pte:GuDongTouRuDePuTongGuDaoZhiYingYuGongJiBianDongJinE" label="股东投入的普通股导致盈余公积变动金额" periodRef="上年同期数" mulRef="_GBC_375aa5b655854a6fa4ef44766a5a9d36" unitRef="_GBC_6053d48a4e214ab7b17d03b28b93cb76" addr="T1R11C9S1_1" formatStyle="Comma"/>
      <m:item xlName="_GBC_24d933b941194907a23f7b8a3d6a3a31" concept="clcid-pte:GuDongTouRuDePuTongGuDaoZhiWeiFenPeiLiRunBianDongJinE" label="股东投入的普通股导致未分配利润变动金额" periodRef="上年同期数" mulRef="_GBC_375aa5b655854a6fa4ef44766a5a9d36" unitRef="_GBC_6053d48a4e214ab7b17d03b28b93cb76" addr="T1R11C10S1_1" formatStyle="Comma"/>
      <m:item xlName="_GBC_28cbed1064df4a89ae4de664a574c515" concept="clcid-pte:GuDongTouRuDePuTongGuDaoZhiGuDongQuanYiHeJiBianDongJinE" label="股东投入的普通股导致股东权益合计变动金额" periodRef="上年同期数" mulRef="_GBC_375aa5b655854a6fa4ef44766a5a9d36" unitRef="_GBC_6053d48a4e214ab7b17d03b28b93cb76" addr="T1R11C11S1_1" formatStyle="Comma"/>
      <m:placeholder xlName="_PLD_4608a67717054986954d0fb15dc8ec88" addr="T1R12C0S1_1"/>
      <m:item xlName="_GBC_08763337cfb84f9692ff8cd1f532b001" concept="clcid-pte:QiTaQuanYiGongJuChiYouZheTouRuZiBenDaoZhiGuBenBianDongJinE" label="其他权益工具持有者投入资本导致股本变动金额" periodRef="上年同期数" mulRef="_GBC_375aa5b655854a6fa4ef44766a5a9d36" unitRef="_GBC_6053d48a4e214ab7b17d03b28b93cb76" addr="T1R12C1S1_1" formatStyle="Comma"/>
      <m:item xlName="_GBC_9e82125b4aba4ae8ad9a19a6caf09e16" concept="clcid-pte:QiTaQuanYiGongJuChiYouZheTouRuZiBenDaoZhiYouXianGuBianDongJinE" label="其他权益工具持有者投入资本导致优先股变动金额" periodRef="上年同期数" mulRef="_GBC_375aa5b655854a6fa4ef44766a5a9d36" unitRef="_GBC_6053d48a4e214ab7b17d03b28b93cb76" addr="T1R12C2S1_1" formatStyle="Comma"/>
      <m:item xlName="_GBC_6dc58bd3231441fdbed1fae37eb573df" concept="clcid-pte:QiTaQuanYiGongJuChiYouZheTouRuZiBenDaoZhiYongXuZhaiBianDongJinE" label="其他权益工具持有者投入资本导致永续债变动金额" periodRef="上年同期数" mulRef="_GBC_375aa5b655854a6fa4ef44766a5a9d36" unitRef="_GBC_6053d48a4e214ab7b17d03b28b93cb76" addr="T1R12C3S1_1" formatStyle="Comma"/>
      <m:item xlName="_GBC_b27badddb2484389afd752fb7f108979" concept="clcid-pte:QiTaQuanYiGongJuChiYouZheTouRuZiBenDaoZhiQiTaQuanYiGongJuZhongDeQiTaBianDongJinE" label="其他权益工具持有者投入资本导致其他权益工具中的其他变动金额" periodRef="上年同期数" mulRef="_GBC_375aa5b655854a6fa4ef44766a5a9d36" unitRef="_GBC_6053d48a4e214ab7b17d03b28b93cb76" addr="T1R12C4S1_1" formatStyle="Comma"/>
      <m:item xlName="_GBC_f19becf955c24816863244aeb3b9b189" concept="clcid-pte:QiTaQuanYiGongJuChiYouZheTouRuZiBenDaoZhiZiBenGongJiBianDongJinE" label="其他权益工具持有者投入资本导致资本公积变动金额" periodRef="上年同期数" mulRef="_GBC_375aa5b655854a6fa4ef44766a5a9d36" unitRef="_GBC_6053d48a4e214ab7b17d03b28b93cb76" addr="T1R12C5S1_1" formatStyle="Comma"/>
      <m:item xlName="_GBC_9692b8b495704dc598207de4fde36b12" concept="clcid-pte:QiTaQuanYiGongJuChiYouZheTouRuZiBenDaoZhiKuCunGuBianDongJinE" label="其他权益工具持有者投入资本导致库存股变动金额" periodRef="上年同期数" mulRef="_GBC_375aa5b655854a6fa4ef44766a5a9d36" unitRef="_GBC_6053d48a4e214ab7b17d03b28b93cb76" addr="T1R12C6S1_1" formatStyle="Comma"/>
      <m:item xlName="_GBC_6cabad98c99a4bb3acfb194aff21714a" concept="clcid-pte:QiTaQuanYiGongJuChiYouZheTouRuZiBenDaoZhiQiTaZongHeShouYiBianDongJinE" label="其他权益工具持有者投入资本导致其他综合收益变动金额" periodRef="上年同期数" mulRef="_GBC_375aa5b655854a6fa4ef44766a5a9d36" unitRef="_GBC_6053d48a4e214ab7b17d03b28b93cb76" addr="T1R12C7S1_1" formatStyle="Comma"/>
      <m:item xlName="_GBC_4a75325684a0433eb32c2cee658083f1" concept="clcid-pte:QiTaQuanYiGongJuChiYouZheTouRuZiBenDaoZhiZhuanXiangChuBeiBianDongJinE" label="其他权益工具持有者投入资本导致专项储备变动金额" periodRef="上年同期数" mulRef="_GBC_375aa5b655854a6fa4ef44766a5a9d36" unitRef="_GBC_6053d48a4e214ab7b17d03b28b93cb76" addr="T1R12C8S1_1" formatStyle="Comma"/>
      <m:item xlName="_GBC_f286d1e4eeff48728b0b3cf3a031a6b0" concept="clcid-pte:QiTaQuanYiGongJuChiYouZheTouRuZiBenDaoZhiYingYuGongJiBianDongJinE" label="其他权益工具持有者投入资本导致盈余公积变动金额" periodRef="上年同期数" mulRef="_GBC_375aa5b655854a6fa4ef44766a5a9d36" unitRef="_GBC_6053d48a4e214ab7b17d03b28b93cb76" addr="T1R12C9S1_1" formatStyle="Comma"/>
      <m:item xlName="_GBC_edb973ecda5b4ef7bd6f58ac54e70fc8" concept="clcid-pte:QiTaQuanYiGongJuChiYouZheTouRuZiBenDaoZhiWeiFenPeiLiRunBianDongJinE" label="其他权益工具持有者投入资本导致未分配利润变动金额" periodRef="上年同期数" mulRef="_GBC_375aa5b655854a6fa4ef44766a5a9d36" unitRef="_GBC_6053d48a4e214ab7b17d03b28b93cb76" addr="T1R12C10S1_1" formatStyle="Comma"/>
      <m:item xlName="_GBC_fe955b7c89184575a76bb67df4131a28" concept="clcid-pte:QiTaQuanYiGongJuChiYouZheTouRuZiBenDaoZhiGuDongQuanYiHeJiBianDongJinE" label="其他权益工具持有者投入资本导致股东权益合计变动金额" periodRef="上年同期数" mulRef="_GBC_375aa5b655854a6fa4ef44766a5a9d36" unitRef="_GBC_6053d48a4e214ab7b17d03b28b93cb76" addr="T1R12C11S1_1" formatStyle="Comma"/>
      <m:placeholder xlName="_PLD_a2a740dcabb74d96903a32fad6615d12" addr="T1R13C0S1_1"/>
      <m:item xlName="_GBC_5088408e8a4a447f9baf897808ba768e" concept="clcid-pte:GuFenZhiFuJiRuSuoYouZheQuanYiDeJinEDaoZhiShiShouZiBenHuoGuBenJingEBianDongJinE" label="股份支付计入所有者权益的金额导致实收资本（或股本）净额变动金额" periodRef="上年同期数" mulRef="_GBC_375aa5b655854a6fa4ef44766a5a9d36" unitRef="_GBC_6053d48a4e214ab7b17d03b28b93cb76" addr="T1R13C1S1_1" formatStyle="Comma"/>
      <m:item xlName="_GBC_079ad6f945e1430e8464dc501d34d411" concept="clcid-pte:GuFenZhiFuJiRuSuoYouZheQuanYiDeJinEDaoZhiQiTaQuanYiGongJuZhongDeYouXianGuBianDongJinE" label="股份支付计入所有者权益的金额导致其他权益工具中的优先股变动金额" periodRef="上年同期数" mulRef="_GBC_375aa5b655854a6fa4ef44766a5a9d36" unitRef="_GBC_6053d48a4e214ab7b17d03b28b93cb76" addr="T1R13C2S1_1" formatStyle="Comma"/>
      <m:item xlName="_GBC_c25af45c5d5d461e8fc882541282cb73" concept="clcid-pte:GuFenZhiFuJiRuSuoYouZheQuanYiDeJinEDaoZhiQiTaQuanYiGongJuZhongDeYongXuZhaiBianDongJinE" label="股份支付计入所有者权益的金额导致其他权益工具中的永续债变动金额" periodRef="上年同期数" mulRef="_GBC_375aa5b655854a6fa4ef44766a5a9d36" unitRef="_GBC_6053d48a4e214ab7b17d03b28b93cb76" addr="T1R13C3S1_1" formatStyle="Comma"/>
      <m:item xlName="_GBC_4a9ed69e185b4e70a918f8a5e437277a" concept="clcid-pte:GuFenZhiFuJiRuSuoYouZheQuanYiDeJinEDaoZhiQiTaQuanYiGongJuZhongDeQiTaBianDongJinE" label="股份支付计入所有者权益的金额导致其他权益工具中的其他变动金额" periodRef="上年同期数" mulRef="_GBC_375aa5b655854a6fa4ef44766a5a9d36" unitRef="_GBC_6053d48a4e214ab7b17d03b28b93cb76" addr="T1R13C4S1_1" formatStyle="Comma"/>
      <m:item xlName="_GBC_a12ba4967df84db1976c312a508ae074" concept="clcid-pte:GuFenZhiFuJiRuSuoYouZheQuanYiDeJinEDaoZhiZiBenGongJiBianDongJinE" label="股份支付计入所有者权益的金额导致资本公积变动金额" periodRef="上年同期数" mulRef="_GBC_375aa5b655854a6fa4ef44766a5a9d36" unitRef="_GBC_6053d48a4e214ab7b17d03b28b93cb76" addr="T1R13C5S1_1" formatStyle="Comma"/>
      <m:item xlName="_GBC_2886e78c87ba414aab1f5b9241c08e34" concept="clcid-pte:GuFenZhiFuJiRuSuoYouZheQuanYiDeJinEDaoZhiKuCunGuBianDongJinE" label="股份支付计入所有者权益的金额导致库存股变动金额" periodRef="上年同期数" mulRef="_GBC_375aa5b655854a6fa4ef44766a5a9d36" unitRef="_GBC_6053d48a4e214ab7b17d03b28b93cb76" addr="T1R13C6S1_1" formatStyle="Comma"/>
      <m:item xlName="_GBC_7188b948d01d445d958bf9dd643e3522" concept="clcid-pte:GuFenZhiFuJiRuSuoYouZheQuanYiDeJinEDaoZhiQiTaZongHeShouYiBianDongJinE" label="股份支付计入所有者权益的金额导致其他综合收益变动金额" periodRef="上年同期数" mulRef="_GBC_375aa5b655854a6fa4ef44766a5a9d36" unitRef="_GBC_6053d48a4e214ab7b17d03b28b93cb76" addr="T1R13C7S1_1" formatStyle="Comma"/>
      <m:item xlName="_GBC_5282f698fe5341ab941bca0aed6abe80" concept="clcid-pte:GuFenZhiFuJiRuSuoYouZheQuanYiDeJinEDaoZhiZhuanXiangChuBeiBianDongJinE" label="股份支付计入所有者权益的金额导致专项储备变动金额" periodRef="上年同期数" mulRef="_GBC_375aa5b655854a6fa4ef44766a5a9d36" unitRef="_GBC_6053d48a4e214ab7b17d03b28b93cb76" addr="T1R13C8S1_1" formatStyle="Comma"/>
      <m:item xlName="_GBC_0323ecb36ea644e282537b6b0cc87013" concept="clcid-pte:GuFenZhiFuJiRuSuoYouZheQuanYiDeJinEDaoZhiYingYuGongJiBianDongJinE" label="股份支付计入所有者权益的金额导致盈余公积变动金额" periodRef="上年同期数" mulRef="_GBC_375aa5b655854a6fa4ef44766a5a9d36" unitRef="_GBC_6053d48a4e214ab7b17d03b28b93cb76" addr="T1R13C9S1_1" formatStyle="Comma"/>
      <m:item xlName="_GBC_8499c8255b9c4e08856ffc59756ab6f4" concept="clcid-pte:GuFenZhiFuJiRuSuoYouZheQuanYiDeJinEDaoZhiWeiFenPeiLiRunBianDongJinE" label="股份支付计入所有者权益的金额导致未分配利润变动金额" periodRef="上年同期数" mulRef="_GBC_375aa5b655854a6fa4ef44766a5a9d36" unitRef="_GBC_6053d48a4e214ab7b17d03b28b93cb76" addr="T1R13C10S1_1" formatStyle="Comma"/>
      <m:item xlName="_GBC_c1f2541c6e4740dfa32751193551f27b" concept="clcid-pte:GuFenZhiFuJiRuSuoYouZheQuanYiDeJinEDaoZhiGuDongQuanYiHeJiBianDongJinE" label="股份支付计入所有者权益的金额导致股东权益合计变动金额" periodRef="上年同期数" mulRef="_GBC_375aa5b655854a6fa4ef44766a5a9d36" unitRef="_GBC_6053d48a4e214ab7b17d03b28b93cb76" addr="T1R13C11S1_1" formatStyle="Comma"/>
      <m:placeholder xlName="_PLD_39f55cfa11b64ba8861d78b4bcd816e6" addr="T1R14C0S1_1"/>
      <m:item xlName="_GBC_6eb48174a8d34ec2ae806b660f83d94e" concept="clcid-pte:QiTaSuoYouZheTouRuHeJianShaoZiBenDaoZhiShiShouZiBenHuoGuBenJingEBianDongJinE" label="其他所有者投入和减少资本导致实收资本（或股本）净额变动金额" periodRef="上年同期数" mulRef="_GBC_375aa5b655854a6fa4ef44766a5a9d36" unitRef="_GBC_6053d48a4e214ab7b17d03b28b93cb76" addr="T1R14C1S1_1" formatStyle="Comma"/>
      <m:item xlName="_GBC_4c8acb992ac04e8b815a27ec6acae2e7" concept="clcid-pte:QiTaSuoYouZheTouRuHeJianShaoZiBenDaoZhiQiTaQuanYiGongJuZhongDeYouXianGuBianDongJinE" label="其他所有者投入和减少资本导致其他权益工具中的优先股变动金额" periodRef="上年同期数" mulRef="_GBC_375aa5b655854a6fa4ef44766a5a9d36" unitRef="_GBC_6053d48a4e214ab7b17d03b28b93cb76" addr="T1R14C2S1_1" formatStyle="Comma"/>
      <m:item xlName="_GBC_57b598d9858f4f269d6ffeba75aa3c58" concept="clcid-pte:QiTaSuoYouZheTouRuHeJianShaoZiBenDaoZhiQiTaQuanYiGongJuZhongDeYongXuZhaiBianDongJinE" label="其他所有者投入和减少资本导致其他权益工具中的永续债变动金额" periodRef="上年同期数" mulRef="_GBC_375aa5b655854a6fa4ef44766a5a9d36" unitRef="_GBC_6053d48a4e214ab7b17d03b28b93cb76" addr="T1R14C3S1_1" formatStyle="Comma"/>
      <m:item xlName="_GBC_2b8dbdf68df14c50ac6404a6d3b8b7c5" concept="clcid-pte:QiTaSuoYouZheTouRuHeJianShaoZiBenDaoZhiQiTaQuanYiGongJuZhongDeQiTaBianDongJinE" label="其他所有者投入和减少资本导致其他权益工具中的其他变动金额" periodRef="上年同期数" mulRef="_GBC_375aa5b655854a6fa4ef44766a5a9d36" unitRef="_GBC_6053d48a4e214ab7b17d03b28b93cb76" addr="T1R14C4S1_1" formatStyle="Comma"/>
      <m:item xlName="_GBC_80d83ca4b1494055891753bb2e40cb49" concept="clcid-pte:QiTaSuoYouZheTouRuHeJianShaoZiBenDaoZhiZiBenGongJiBianDongJinE" label="其他所有者投入和减少资本导致资本公积变动金额" periodRef="上年同期数" mulRef="_GBC_375aa5b655854a6fa4ef44766a5a9d36" unitRef="_GBC_6053d48a4e214ab7b17d03b28b93cb76" addr="T1R14C5S1_1" formatStyle="Comma"/>
      <m:item xlName="_GBC_cdfd075f4c1b4e1697fece2f0f17a8c7" concept="clcid-pte:QiTaSuoYouZheTouRuHeJianShaoZiBenDaoZhiKuCunGuBianDongJinE" label="其他所有者投入和减少资本导致库存股变动金额" periodRef="上年同期数" mulRef="_GBC_375aa5b655854a6fa4ef44766a5a9d36" unitRef="_GBC_6053d48a4e214ab7b17d03b28b93cb76" addr="T1R14C6S1_1" formatStyle="Comma"/>
      <m:item xlName="_GBC_4e3fa8f94f704bf383fa8a6cc1b957f6" concept="clcid-pte:QiTaSuoYouZheTouRuHeJianShaoZiBenDaoZhiQiTaZongHeShouYiBianDongJinE" label="其他所有者投入和减少资本导致其他综合收益变动金额" periodRef="上年同期数" mulRef="_GBC_375aa5b655854a6fa4ef44766a5a9d36" unitRef="_GBC_6053d48a4e214ab7b17d03b28b93cb76" addr="T1R14C7S1_1" formatStyle="Comma"/>
      <m:item xlName="_GBC_e89524ed0e8e44d59bcc9bb24fd70348" concept="clcid-pte:QiTaSuoYouZheTouRuHeJianShaoZiBenDaoZhiZhuanXiangChuBeiBianDongJinE" label="其他所有者投入和减少资本导致专项储备变动金额" periodRef="上年同期数" mulRef="_GBC_375aa5b655854a6fa4ef44766a5a9d36" unitRef="_GBC_6053d48a4e214ab7b17d03b28b93cb76" addr="T1R14C8S1_1" formatStyle="Comma"/>
      <m:item xlName="_GBC_d4db81ae350a4cfbb9386bd99f920604" concept="clcid-pte:QiTaSuoYouZheTouRuHeJianShaoZiBenDaoZhiYingYuGongJiBianDongJinE" label="其他所有者投入和减少资本导致盈余公积变动金额" periodRef="上年同期数" mulRef="_GBC_375aa5b655854a6fa4ef44766a5a9d36" unitRef="_GBC_6053d48a4e214ab7b17d03b28b93cb76" addr="T1R14C9S1_1" formatStyle="Comma"/>
      <m:item xlName="_GBC_7d6d1a6e5bb449fd9b2fd38bec1b5ba1" concept="clcid-pte:QiTaSuoYouZheTouRuHeJianShaoZiBenDaoZhiWeiFenPeiLiRunBianDongJinE" label="其他所有者投入和减少资本导致未分配利润变动金额" periodRef="上年同期数" mulRef="_GBC_375aa5b655854a6fa4ef44766a5a9d36" unitRef="_GBC_6053d48a4e214ab7b17d03b28b93cb76" addr="T1R14C10S1_1" formatStyle="Comma"/>
      <m:item xlName="_GBC_a6482641c8a34518b0d71d52d7643750" concept="clcid-pte:QiTaSuoYouZheTouRuHeJianShaoZiBenDaoZhiGuDongQuanYiHeJiBianDongJinE" label="其他所有者投入和减少资本导致股东权益合计变动金额" periodRef="上年同期数" mulRef="_GBC_375aa5b655854a6fa4ef44766a5a9d36" unitRef="_GBC_6053d48a4e214ab7b17d03b28b93cb76" addr="T1R14C11S1_1" formatStyle="Comma"/>
      <m:placeholder xlName="_PLD_c9441762df184843aaf2512ba995688e" addr="T1R15C0S1_1"/>
      <m:item xlName="_GBC_a2f75c6494704f6fa9b38aeb100187be" concept="clcid-pte:LiRunFenPeiDaoZhiShiShouZiBenHuoGuBenJingEBianDongJinE" label="利润分配导致实收资本（或股本）净额变动金额" periodRef="上年同期数" mulRef="_GBC_375aa5b655854a6fa4ef44766a5a9d36" unitRef="_GBC_6053d48a4e214ab7b17d03b28b93cb76" addr="T1R15C1S1_1" formatStyle="Comma">
        <m:complexRule comparator="Eq" title="利润分配导致实收资本（或股本）净额变动金额@上年同期数" test=" $_GBC_c1730a1528554467912ca775200505aa +  $_GBC_731631deea2348b88970452927286401 +  $_GBC_528ec424cfee455985f246a4321c6aa9" id="Cef4b2d742ee546419fe5ab5950251e1b"/>
      </m:item>
      <m:item xlName="_GBC_83f2812de66b48409b06e875a958a1e2" concept="clcid-pte:LiRunFenPeiDaoZhiQiTaQuanYiGongJuZhongDeYouXianGuBianDongJinE" label="利润分配导致其他权益工具中的优先股变动金额" periodRef="上年同期数" mulRef="_GBC_375aa5b655854a6fa4ef44766a5a9d36" unitRef="_GBC_6053d48a4e214ab7b17d03b28b93cb76" addr="T1R15C2S1_1" formatStyle="Comma">
        <m:complexRule comparator="Eq" title="利润分配导致其他权益工具中的优先股变动金额@上年同期数" test=" $_GBC_43b3919f6d854ae4a493ba10cc8a761f +  $_GBC_dc0f26f6d0f442d789305f6d1be21ad8 +  $_GBC_f71151a73e27400bac0a21dace9af92d" id="C770bb915e8744ed4a3556f6a44acd490"/>
      </m:item>
      <m:item xlName="_GBC_1146331d3d4344b1a4e2e9dcafe0b09d" concept="clcid-pte:LiRunFenPeiDaoZhiQiTaQuanYiGongJuZhongDeYongXuZhaiBianDongJinE" label="利润分配导致其他权益工具中的永续债变动金额" periodRef="上年同期数" mulRef="_GBC_375aa5b655854a6fa4ef44766a5a9d36" unitRef="_GBC_6053d48a4e214ab7b17d03b28b93cb76" addr="T1R15C3S1_1" formatStyle="Comma">
        <m:complexRule comparator="Eq" title="利润分配导致其他权益工具中的永续债变动金额@上年同期数" test=" $_GBC_619d6a356dc74b2fb97b47c09f2e8aa1 +  $_GBC_c7716f9ceb9542adad34f2e1f4fac18d +  $_GBC_d3d6ae4aabc944b49fae3838de366a08" id="C4ae9cf40ed864857bc3068342f4373c6"/>
      </m:item>
      <m:item xlName="_GBC_2b9709a4d60b4d5ba80d5f46e540bf61" concept="clcid-pte:LiRunFenPeiDaoZhiQiTaQuanYiGongJuZhongDeQiTaBianDongJinE" label="利润分配导致其他权益工具中的其他变动金额" periodRef="上年同期数" mulRef="_GBC_375aa5b655854a6fa4ef44766a5a9d36" unitRef="_GBC_6053d48a4e214ab7b17d03b28b93cb76" addr="T1R15C4S1_1" formatStyle="Comma">
        <m:complexRule comparator="Eq" title="利润分配导致其他权益工具中的其他变动金额@上年同期数" test=" $_GBC_a991ad1b51d74c8faf3d2974d6ded284 +  $_GBC_9e0a91ad5858451a8a140b6cbd6b569d +  $_GBC_40725482328a4df0ad7dcb9c84b0c613" id="C8e91eba481cd4fd09922edbc2304b659"/>
      </m:item>
      <m:item xlName="_GBC_2c5f20087899460882b1649adf7dce88" concept="clcid-pte:LiRunFenPeiDaoZhiZiBenGongJiBianDongJinE" label="利润分配导致资本公积变动金额" periodRef="上年同期数" mulRef="_GBC_375aa5b655854a6fa4ef44766a5a9d36" unitRef="_GBC_6053d48a4e214ab7b17d03b28b93cb76" addr="T1R15C5S1_1" formatStyle="Comma">
        <m:complexRule comparator="Eq" title="利润分配导致资本公积变动金额@上年同期数" test=" $_GBC_ddc4aa6bdd1044cfbed5f5f1ac451b4f +  $_GBC_b6517e6056674d7d953ad295771de7b6 +  $_GBC_35c843d73724444684fcbc538505cca3" id="C7333b4cc14ae44f2811450918169c7c4"/>
      </m:item>
      <m:item xlName="_GBC_09eb7202caf841c98cd53f3fa65afe84" concept="clcid-pte:LiRunFenPeiDaoZhiKuCunGuBianDongJinE" label="利润分配导致库存股变动金额" periodRef="上年同期数" mulRef="_GBC_375aa5b655854a6fa4ef44766a5a9d36" unitRef="_GBC_6053d48a4e214ab7b17d03b28b93cb76" addr="T1R15C6S1_1" formatStyle="Comma">
        <m:complexRule comparator="Eq" title="利润分配导致库存股变动金额@上年同期数" test=" $_GBC_fa02c334770d46f79ca962d7c0a44856 +  $_GBC_bbf417c505e7424b96ccea89b6d748af +  $_GBC_101a78d3e01f43c5bb806208288b63e1" id="Cfab54f7a2e60488295b4236389133953"/>
      </m:item>
      <m:item xlName="_GBC_e5d740dcaeb5493d8a251fbcff6338e6" concept="clcid-pte:LiRunFenPeiDaoZhiQiTaZongHeShouYiBianDongJinE" label="利润分配导致其他综合收益变动金额" periodRef="上年同期数" mulRef="_GBC_375aa5b655854a6fa4ef44766a5a9d36" unitRef="_GBC_6053d48a4e214ab7b17d03b28b93cb76" addr="T1R15C7S1_1" formatStyle="Comma">
        <m:complexRule comparator="Eq" title="利润分配导致其他综合收益变动金额@上年同期数" test=" $_GBC_6a275f307adb40aa818ccc8a988f5946 +  $_GBC_9738995c21f1406c9ea24e7a8dcbef86 +  $_GBC_974968c2e4a648fcbed653591eeab7a2" id="C4bdaecbf80e64d9f87b1b16e9830bd41"/>
      </m:item>
      <m:item xlName="_GBC_eb6fa047c7514172a30b87200d81f96f" concept="clcid-pte:LiRunFenPeiDaoZhiZhuanXiangChuBeiBianDongJinE" label="利润分配导致专项储备变动金额" periodRef="上年同期数" mulRef="_GBC_375aa5b655854a6fa4ef44766a5a9d36" unitRef="_GBC_6053d48a4e214ab7b17d03b28b93cb76" addr="T1R15C8S1_1" formatStyle="Comma">
        <m:complexRule comparator="Eq" title="利润分配导致专项储备变动金额@上年同期数" test=" $_GBC_32c2bb59505541e4a312ef41114b39ea +  $_GBC_4fae31a1fb53442f92afb561fee4cf6d +  $_GBC_8abd4482f8744ad5a5d8b7735b084700" id="C66731709ca634d03a6f8abfb6b25fd89"/>
      </m:item>
      <m:item xlName="_GBC_1c07886a9bf341cf9d53adf2da2c62c6" concept="clcid-pte:LiRunFenPeiDaoZhiYingYuGongJiBianDongJinE" label="利润分配导致盈余公积变动金额" periodRef="上年同期数" mulRef="_GBC_375aa5b655854a6fa4ef44766a5a9d36" unitRef="_GBC_6053d48a4e214ab7b17d03b28b93cb76" addr="T1R15C9S1_1" formatStyle="Comma">
        <m:complexRule comparator="Eq" title="利润分配导致盈余公积变动金额@上年同期数" test=" $_GBC_91eca9126a774e22b64b51fc83cdea53 +  $_GBC_be461e90161242239cf73e25904ddf3f +  $_GBC_d3db7c1e320843a0b01009c7a74981e7" id="Ca4c85c1650024f84905191fdf3a6e596"/>
      </m:item>
      <m:item xlName="_GBC_b69ded4e747540be8c40cae8dfc623be" concept="clcid-pte:LiRunFenPeiDaoZhiWeiFenPeiLiRunBianDongJinE" label="利润分配导致未分配利润变动金额" periodRef="上年同期数" mulRef="_GBC_375aa5b655854a6fa4ef44766a5a9d36" unitRef="_GBC_6053d48a4e214ab7b17d03b28b93cb76" addr="T1R15C10S1_1" formatStyle="Comma">
        <m:complexRule comparator="Eq" title="利润分配导致未分配利润变动金额@上年同期数" test=" $_GBC_26af10bf54eb40d5a3e9e45a723ac25d +  $_GBC_91728d0499944b86bef79e5e5544df43 +  $_GBC_61b71e28b8b54e26983a1ae655230df7" id="C4595275ab83b4c078ba4c6bd7a9ff2eb"/>
      </m:item>
      <m:item xlName="_GBC_02a11e8faf82407a8e1048fc636c9364" concept="clcid-pte:LiRunFenPeiDaoZhiGuDongQuanYiHeJiBianDongJinE" label="利润分配导致股东权益合计变动金额" periodRef="上年同期数" mulRef="_GBC_375aa5b655854a6fa4ef44766a5a9d36" unitRef="_GBC_6053d48a4e214ab7b17d03b28b93cb76" addr="T1R15C11S1_1" formatStyle="Comma">
        <m:complexRule comparator="Eq" title="利润分配导致股东权益合计变动金额@上年同期数" test=" $_GBC_3d687d4b34634d40a8373b9c6b2b4d0a +  $_GBC_8b4297ad26c3493f866aa33eaef86fd7 +  $_GBC_61240fad331949a2b4de39f6d7a69fbc" id="C5fe85d4642d24749a41de8a97a944c46"/>
      </m:item>
      <m:placeholder xlName="_PLD_d87dd075163640c3ae567d4bc3179e04" addr="T1R16C0S1_1"/>
      <m:item xlName="_GBC_c1730a1528554467912ca775200505aa" concept="clcid-pte:TiQuYingYuGongJiDaoZhiShiShouZiBenHuoGuBenJingEBianDongJinE" label="提取盈余公积导致实收资本（或股本）净额变动金额" periodRef="上年同期数" mulRef="_GBC_375aa5b655854a6fa4ef44766a5a9d36" unitRef="_GBC_6053d48a4e214ab7b17d03b28b93cb76" addr="T1R16C1S1_1" formatStyle="Comma"/>
      <m:item xlName="_GBC_43b3919f6d854ae4a493ba10cc8a761f" concept="clcid-pte:TiQuYingYuGongJiDaoZhiQiTaQuanYiGongJuZhongDeYouXianGuBianDongJinE" label="提取盈余公积导致其他权益工具中的优先股变动金额" periodRef="上年同期数" mulRef="_GBC_375aa5b655854a6fa4ef44766a5a9d36" unitRef="_GBC_6053d48a4e214ab7b17d03b28b93cb76" addr="T1R16C2S1_1" formatStyle="Comma"/>
      <m:item xlName="_GBC_619d6a356dc74b2fb97b47c09f2e8aa1" concept="clcid-pte:TiQuYingYuGongJiDaoZhiQiTaQuanYiGongJuZhongDeYongXuZhaiBianDongJinE" label="提取盈余公积导致其他权益工具中的永续债变动金额" periodRef="上年同期数" mulRef="_GBC_375aa5b655854a6fa4ef44766a5a9d36" unitRef="_GBC_6053d48a4e214ab7b17d03b28b93cb76" addr="T1R16C3S1_1" formatStyle="Comma"/>
      <m:item xlName="_GBC_a991ad1b51d74c8faf3d2974d6ded284" concept="clcid-pte:TiQuYingYuGongJiDaoZhiQiTaQuanYiGongJuZhongDeQiTaBianDongJinE" label="提取盈余公积导致其他权益工具中的其他变动金额" periodRef="上年同期数" mulRef="_GBC_375aa5b655854a6fa4ef44766a5a9d36" unitRef="_GBC_6053d48a4e214ab7b17d03b28b93cb76" addr="T1R16C4S1_1" formatStyle="Comma"/>
      <m:item xlName="_GBC_ddc4aa6bdd1044cfbed5f5f1ac451b4f" concept="clcid-pte:TiQuYingYuGongJiDaoZhiZiBenGongJiBianDongJinE" label="提取盈余公积导致资本公积变动金额" periodRef="上年同期数" mulRef="_GBC_375aa5b655854a6fa4ef44766a5a9d36" unitRef="_GBC_6053d48a4e214ab7b17d03b28b93cb76" addr="T1R16C5S1_1" formatStyle="Comma"/>
      <m:item xlName="_GBC_fa02c334770d46f79ca962d7c0a44856" concept="clcid-pte:TiQuYingYuGongJiDaoZhiKuCunGuBianDongJinE" label="提取盈余公积导致库存股变动金额" periodRef="上年同期数" mulRef="_GBC_375aa5b655854a6fa4ef44766a5a9d36" unitRef="_GBC_6053d48a4e214ab7b17d03b28b93cb76" addr="T1R16C6S1_1" formatStyle="Comma"/>
      <m:item xlName="_GBC_6a275f307adb40aa818ccc8a988f5946" concept="clcid-pte:TiQuYingYuGongJiDaoZhiQiTaZongHeShouYiBianDongJinE" label="提取盈余公积导致其他综合收益变动金额" periodRef="上年同期数" mulRef="_GBC_375aa5b655854a6fa4ef44766a5a9d36" unitRef="_GBC_6053d48a4e214ab7b17d03b28b93cb76" addr="T1R16C7S1_1" formatStyle="Comma"/>
      <m:item xlName="_GBC_32c2bb59505541e4a312ef41114b39ea" concept="clcid-pte:TiQuYingYuGongJiDaoZhiZhuanXiangChuBeiBianDongJinE" label="提取盈余公积导致专项储备变动金额" periodRef="上年同期数" mulRef="_GBC_375aa5b655854a6fa4ef44766a5a9d36" unitRef="_GBC_6053d48a4e214ab7b17d03b28b93cb76" addr="T1R16C8S1_1" formatStyle="Comma"/>
      <m:item xlName="_GBC_91eca9126a774e22b64b51fc83cdea53" concept="clcid-pte:TiQuYingYuGongJiDaoZhiYingYuGongJiBianDongJinE" label="提取盈余公积导致盈余公积变动金额" periodRef="上年同期数" mulRef="_GBC_375aa5b655854a6fa4ef44766a5a9d36" unitRef="_GBC_6053d48a4e214ab7b17d03b28b93cb76" addr="T1R16C9S1_1" formatStyle="Comma"/>
      <m:item xlName="_GBC_26af10bf54eb40d5a3e9e45a723ac25d" concept="clcid-pte:TiQuYingYuGongJiDaoZhiWeiFenPeiLiRunBianDongJinE" label="提取盈余公积导致未分配利润变动金额" periodRef="上年同期数" mulRef="_GBC_375aa5b655854a6fa4ef44766a5a9d36" unitRef="_GBC_6053d48a4e214ab7b17d03b28b93cb76" addr="T1R16C10S1_1" formatStyle="Comma"/>
      <m:item xlName="_GBC_3d687d4b34634d40a8373b9c6b2b4d0a" concept="clcid-pte:TiQuYingYuGongJiDaoZhiGuDongQuanYiHeJiBianDongJinE" label="提取盈余公积导致股东权益合计变动金额" periodRef="上年同期数" mulRef="_GBC_375aa5b655854a6fa4ef44766a5a9d36" unitRef="_GBC_6053d48a4e214ab7b17d03b28b93cb76" addr="T1R16C11S1_1" formatStyle="Comma"/>
      <m:placeholder xlName="_PLD_e9329e7292da4914ace5b19d064ed448" addr="T1R17C0S1_1"/>
      <m:item xlName="_GBC_731631deea2348b88970452927286401" concept="clcid-pte:DuiSuoYouZheHuoGuDongDeFenPeiDaoZhiShiShouZiBenHuoGuBenJingEBianDongJinE" label="对所有者（或股东）的分配导致实收资本（或股本）净额变动金额" periodRef="上年同期数" mulRef="_GBC_375aa5b655854a6fa4ef44766a5a9d36" unitRef="_GBC_6053d48a4e214ab7b17d03b28b93cb76" addr="T1R17C1S1_1" formatStyle="Comma"/>
      <m:item xlName="_GBC_dc0f26f6d0f442d789305f6d1be21ad8" concept="clcid-pte:DuiSuoYouZheHuoGuDongDeFenPeiDaoZhiQiTaQuanYiGongJuZhongDeYouXianGuBianDongJinE" label="对所有者（或股东）的分配导致其他权益工具中的优先股变动金额" periodRef="上年同期数" mulRef="_GBC_375aa5b655854a6fa4ef44766a5a9d36" unitRef="_GBC_6053d48a4e214ab7b17d03b28b93cb76" addr="T1R17C2S1_1" formatStyle="Comma"/>
      <m:item xlName="_GBC_c7716f9ceb9542adad34f2e1f4fac18d" concept="clcid-pte:DuiSuoYouZheHuoGuDongDeFenPeiDaoZhiQiTaQuanYiGongJuZhongDeYongXuZhaiBianDongJinE" label="对所有者（或股东）的分配导致其他权益工具中的永续债变动金额" periodRef="上年同期数" mulRef="_GBC_375aa5b655854a6fa4ef44766a5a9d36" unitRef="_GBC_6053d48a4e214ab7b17d03b28b93cb76" addr="T1R17C3S1_1" formatStyle="Comma"/>
      <m:item xlName="_GBC_9e0a91ad5858451a8a140b6cbd6b569d" concept="clcid-pte:DuiSuoYouZheHuoGuDongDeFenPeiDaoZhiQiTaQuanYiGongJuZhongDeQiTaBianDongJinE" label="对所有者（或股东）的分配导致其他权益工具中的其他变动金额" periodRef="上年同期数" mulRef="_GBC_375aa5b655854a6fa4ef44766a5a9d36" unitRef="_GBC_6053d48a4e214ab7b17d03b28b93cb76" addr="T1R17C4S1_1" formatStyle="Comma"/>
      <m:item xlName="_GBC_b6517e6056674d7d953ad295771de7b6" concept="clcid-pte:DuiSuoYouZheHuoGuDongDeFenPeiDaoZhiZiBenGongJiBianDongJinE" label="对所有者（或股东）的分配导致资本公积变动金额" periodRef="上年同期数" mulRef="_GBC_375aa5b655854a6fa4ef44766a5a9d36" unitRef="_GBC_6053d48a4e214ab7b17d03b28b93cb76" addr="T1R17C5S1_1" formatStyle="Comma"/>
      <m:item xlName="_GBC_bbf417c505e7424b96ccea89b6d748af" concept="clcid-pte:DuiSuoYouZheHuoGuDongDeFenPeiDaoZhiKuCunGuBianDongJinE" label="对所有者（或股东）的分配导致库存股变动金额" periodRef="上年同期数" mulRef="_GBC_375aa5b655854a6fa4ef44766a5a9d36" unitRef="_GBC_6053d48a4e214ab7b17d03b28b93cb76" addr="T1R17C6S1_1" formatStyle="Comma"/>
      <m:item xlName="_GBC_9738995c21f1406c9ea24e7a8dcbef86" concept="clcid-pte:DuiSuoYouZheHuoGuDongDeFenPeiDaoZhiQiTaZongHeShouYiBianDongJinE" label="对所有者（或股东）的分配导致其他综合收益变动金额" periodRef="上年同期数" mulRef="_GBC_375aa5b655854a6fa4ef44766a5a9d36" unitRef="_GBC_6053d48a4e214ab7b17d03b28b93cb76" addr="T1R17C7S1_1" formatStyle="Comma"/>
      <m:item xlName="_GBC_4fae31a1fb53442f92afb561fee4cf6d" concept="clcid-pte:DuiSuoYouZheHuoGuDongDeFenPeiDaoZhiZhuanXiangChuBeiBianDongJinE" label="对所有者（或股东）的分配导致专项储备变动金额" periodRef="上年同期数" mulRef="_GBC_375aa5b655854a6fa4ef44766a5a9d36" unitRef="_GBC_6053d48a4e214ab7b17d03b28b93cb76" addr="T1R17C8S1_1" formatStyle="Comma"/>
      <m:item xlName="_GBC_be461e90161242239cf73e25904ddf3f" concept="clcid-pte:DuiSuoYouZheHuoGuDongDeFenPeiDaoZhiYingYuGongJiBianDongJinE" label="对所有者（或股东）的分配导致盈余公积变动金额" periodRef="上年同期数" mulRef="_GBC_375aa5b655854a6fa4ef44766a5a9d36" unitRef="_GBC_6053d48a4e214ab7b17d03b28b93cb76" addr="T1R17C9S1_1" formatStyle="Comma"/>
      <m:item xlName="_GBC_91728d0499944b86bef79e5e5544df43" concept="clcid-pte:DuiSuoYouZheHuoGuDongDeFenPeiDaoZhiWeiFenPeiLiRunBianDongJinE" label="对所有者（或股东）的分配导致未分配利润变动金额" periodRef="上年同期数" mulRef="_GBC_375aa5b655854a6fa4ef44766a5a9d36" unitRef="_GBC_6053d48a4e214ab7b17d03b28b93cb76" addr="T1R17C10S1_1" formatStyle="Comma"/>
      <m:item xlName="_GBC_8b4297ad26c3493f866aa33eaef86fd7" concept="clcid-pte:DuiSuoYouZheHuoGuDongDeFenPeiDaoZhiGuDongQuanYiHeJiBianDongJinE" label="对所有者（或股东）的分配导致股东权益合计变动金额" periodRef="上年同期数" mulRef="_GBC_375aa5b655854a6fa4ef44766a5a9d36" unitRef="_GBC_6053d48a4e214ab7b17d03b28b93cb76" addr="T1R17C11S1_1" formatStyle="Comma"/>
      <m:placeholder xlName="_PLD_55973683bce44ed1924649a83df19c20" addr="T1R18C0S1_1"/>
      <m:item xlName="_GBC_528ec424cfee455985f246a4321c6aa9" concept="clcid-pte:QiTaLiRunFenPeiDaoZhiShiShouZiBenHuoGuBenJingEBianDongJinE" label="其他利润分配导致实收资本（或股本）净额变动金额" periodRef="上年同期数" mulRef="_GBC_375aa5b655854a6fa4ef44766a5a9d36" unitRef="_GBC_6053d48a4e214ab7b17d03b28b93cb76" addr="T1R18C1S1_1" formatStyle="Comma"/>
      <m:item xlName="_GBC_f71151a73e27400bac0a21dace9af92d" concept="clcid-pte:QiTaLiRunFenPeiDaoZhiQiTaQuanYiGongJuZhongDeYouXianGuBianDongJinE" label="其他利润分配导致其他权益工具中的优先股变动金额" periodRef="上年同期数" mulRef="_GBC_375aa5b655854a6fa4ef44766a5a9d36" unitRef="_GBC_6053d48a4e214ab7b17d03b28b93cb76" addr="T1R18C2S1_1" formatStyle="Comma"/>
      <m:item xlName="_GBC_d3d6ae4aabc944b49fae3838de366a08" concept="clcid-pte:QiTaLiRunFenPeiDaoZhiQiTaQuanYiGongJuZhongDeYongXuZhaiBianDongJinE" label="其他利润分配导致其他权益工具中的永续债变动金额" periodRef="上年同期数" mulRef="_GBC_375aa5b655854a6fa4ef44766a5a9d36" unitRef="_GBC_6053d48a4e214ab7b17d03b28b93cb76" addr="T1R18C3S1_1" formatStyle="Comma"/>
      <m:item xlName="_GBC_40725482328a4df0ad7dcb9c84b0c613" concept="clcid-pte:QiTaLiRunFenPeiDaoZhiQiTaQuanYiGongJuZhongDeQiTaBianDongJinE" label="其他利润分配导致其他权益工具中的其他变动金额" periodRef="上年同期数" mulRef="_GBC_375aa5b655854a6fa4ef44766a5a9d36" unitRef="_GBC_6053d48a4e214ab7b17d03b28b93cb76" addr="T1R18C4S1_1" formatStyle="Comma"/>
      <m:item xlName="_GBC_35c843d73724444684fcbc538505cca3" concept="clcid-pte:QiTaLiRunFenPeiDaoZhiZiBenGongJiBianDongJinE" label="其他利润分配导致资本公积变动金额" periodRef="上年同期数" mulRef="_GBC_375aa5b655854a6fa4ef44766a5a9d36" unitRef="_GBC_6053d48a4e214ab7b17d03b28b93cb76" addr="T1R18C5S1_1" formatStyle="Comma"/>
      <m:item xlName="_GBC_101a78d3e01f43c5bb806208288b63e1" concept="clcid-pte:QiTaLiRunFenPeiDaoZhiKuCunGuBianDongJinE" label="其他利润分配导致库存股变动金额" periodRef="上年同期数" mulRef="_GBC_375aa5b655854a6fa4ef44766a5a9d36" unitRef="_GBC_6053d48a4e214ab7b17d03b28b93cb76" addr="T1R18C6S1_1" formatStyle="Comma"/>
      <m:item xlName="_GBC_974968c2e4a648fcbed653591eeab7a2" concept="clcid-pte:QiTaLiRunFenPeiDaoZhiQiTaZongHeShouYiBianDongJinE" label="其他利润分配导致其他综合收益变动金额" periodRef="上年同期数" mulRef="_GBC_375aa5b655854a6fa4ef44766a5a9d36" unitRef="_GBC_6053d48a4e214ab7b17d03b28b93cb76" addr="T1R18C7S1_1" formatStyle="Comma"/>
      <m:item xlName="_GBC_8abd4482f8744ad5a5d8b7735b084700" concept="clcid-pte:QiTaLiRunFenPeiDaoZhiZhuanXiangChuBeiBianDongJinE" label="其他利润分配导致专项储备变动金额" periodRef="上年同期数" mulRef="_GBC_375aa5b655854a6fa4ef44766a5a9d36" unitRef="_GBC_6053d48a4e214ab7b17d03b28b93cb76" addr="T1R18C8S1_1" formatStyle="Comma"/>
      <m:item xlName="_GBC_d3db7c1e320843a0b01009c7a74981e7" concept="clcid-pte:QiTaLiRunFenPeiDaoZhiYingYuGongJiBianDongJinE" label="其他利润分配导致盈余公积变动金额" periodRef="上年同期数" mulRef="_GBC_375aa5b655854a6fa4ef44766a5a9d36" unitRef="_GBC_6053d48a4e214ab7b17d03b28b93cb76" addr="T1R18C9S1_1" formatStyle="Comma"/>
      <m:item xlName="_GBC_61b71e28b8b54e26983a1ae655230df7" concept="clcid-pte:QiTaLiRunFenPeiDaoZhiShaoShuGuDongQuanYiBianDongJinE" label="其他利润分配导致少数股东权益变动金额" periodRef="上年同期数" mulRef="_GBC_375aa5b655854a6fa4ef44766a5a9d36" unitRef="_GBC_6053d48a4e214ab7b17d03b28b93cb76" addr="T1R18C10S1_1" formatStyle="Comma"/>
      <m:item xlName="_GBC_61240fad331949a2b4de39f6d7a69fbc" concept="clcid-pte:QiTaLiRunFenPeiDaoZhiGuDongQuanYiHeJiBianDongJinE" label="其他利润分配导致股东权益合计变动金额" periodRef="上年同期数" mulRef="_GBC_375aa5b655854a6fa4ef44766a5a9d36" unitRef="_GBC_6053d48a4e214ab7b17d03b28b93cb76" addr="T1R18C11S1_1" formatStyle="Comma"/>
      <m:placeholder xlName="_PLD_ab9adc99d6bf448fbe46cf9da78c46a0" addr="T1R19C0S1_1"/>
      <m:item xlName="_GBC_deeeaffa86744a999c7982346bbb8047" concept="clcid-pte:SuoYouZheQuanYiNeiBuJieZhuanDaoZhiShiShouZiBenHuoGuBenJingEBianDongJinE" label="所有者权益内部结转导致实收资本（或股本）净额变动金额" periodRef="上年同期数" mulRef="_GBC_375aa5b655854a6fa4ef44766a5a9d36" unitRef="_GBC_6053d48a4e214ab7b17d03b28b93cb76" addr="T1R19C1S1_1" formatStyle="Comma">
        <m:complexRule comparator="Eq" title="所有者权益内部结转导致实收资本（或股本）净额变动金额@上年同期数" test="$_GBC_11b5e9a77cef477a9a29a63bd26fefe6+$_GBC_fcc953b17ddb4375b868692db92d736c+$_GBC_8c658b1f29e341b4a5cdb2850f5bb509+$_GBC_3401aed4cf7645c688d2628b5617cf12+$_GBC_290c7785ede54cf98918b61ef454279a+$_GBC_46d4566df1c748f899191ee5bc491159" id="C4b7629ff5daa431fb53104ffea94ae4d"/>
      </m:item>
      <m:item xlName="_GBC_3ce1205f8dcc41a3be49d8fcab6feb87" concept="clcid-pte:SuoYouZheQuanYiNeiBuJieZhuanDaoZhiQiTaQuanYiGongJuZhongDeYouXianGuBianDongJinE" label="所有者权益内部结转导致其他权益工具中的优先股变动金额" periodRef="上年同期数" mulRef="_GBC_375aa5b655854a6fa4ef44766a5a9d36" unitRef="_GBC_6053d48a4e214ab7b17d03b28b93cb76" addr="T1R19C2S1_1" formatStyle="Comma">
        <m:complexRule comparator="Eq" title="所有者权益内部结转导致其他权益工具中的优先股变动金额@上年同期数" test="$_GBC_b39c16c0fc024ecba8b9e9cf3b3c1334+$_GBC_15c735c189664e90b128bfc292a7cc0a+$_GBC_935038e15d044c30a102fbf9822d014b+$_GBC_50a19bf6904f4924ba9a9a96b6966c6b+$_GBC_9e4919878fe24749be13bfb7f772c8d1+$_GBC_c13bf3c46f77405292ce2da77f841c3a" id="C074452d951eb4d2988f3eaa6d2910574"/>
      </m:item>
      <m:item xlName="_GBC_6c9c4781647a465d956201573df817e2" concept="clcid-pte:SuoYouZheQuanYiNeiBuJieZhuanDaoZhiQiTaQuanYiGongJuZhongDeYongXuZhaiBianDongJinE" label="所有者权益内部结转导致其他权益工具中的永续债变动金额" periodRef="上年同期数" mulRef="_GBC_375aa5b655854a6fa4ef44766a5a9d36" unitRef="_GBC_6053d48a4e214ab7b17d03b28b93cb76" addr="T1R19C3S1_1" formatStyle="Comma">
        <m:complexRule comparator="Eq" title="所有者权益内部结转导致其他权益工具中的永续债变动金额@上年同期数" test="$_GBC_19ea632af751457c876b0eab9971b25f+$_GBC_74d9b3fdba7943c38ab94959def460c6+$_GBC_bbd2e639abed4c398609bdb19d598a3d+$_GBC_a46fa3b41d4949c4995b6c9bc7e9f8b1+$_GBC_393e007b380f49c9a73e6e65b6520861+$_GBC_e9d95dc690024ae5996d0b36d123c7b8" id="Cdc4587379032468e9a12fe4006023468"/>
      </m:item>
      <m:item xlName="_GBC_39fda005591246d68e56f5bbef7bfa49" concept="clcid-pte:SuoYouZheQuanYiNeiBuJieZhuanDaoZhiQiTaQuanYiGongJuZhongDeQiTaBianDongJinE" label="所有者权益内部结转导致其他权益工具中的其他变动金额" periodRef="上年同期数" mulRef="_GBC_375aa5b655854a6fa4ef44766a5a9d36" unitRef="_GBC_6053d48a4e214ab7b17d03b28b93cb76" addr="T1R19C4S1_1" formatStyle="Comma">
        <m:complexRule comparator="Eq" title="所有者权益内部结转导致其他权益工具中的其他变动金额@上年同期数" test="$_GBC_18b73b594ff24730b5a1f62c33097b06+$_GBC_7c4012c43e674cec8207f6e14580c86b+$_GBC_4989dd8e9e8c4af09f7890720e8d74fc+$_GBC_bff32cda50b34b01865fb98ad714490f+$_GBC_342d8d7784e04f57844ae3aff7ab30d9+$_GBC_71c4d37a30f64b9c804170e506e17d3a" id="C2973561348574a61976eeda65cb0ff75"/>
      </m:item>
      <m:item xlName="_GBC_10ad6e3161204e30be33be9dae8c5ecb" concept="clcid-pte:SuoYouZheQuanYiNeiBuJieZhuanDaoZhiZiBenGongJiBianDongJinE" label="所有者权益内部结转导致资本公积变动金额" periodRef="上年同期数" mulRef="_GBC_375aa5b655854a6fa4ef44766a5a9d36" unitRef="_GBC_6053d48a4e214ab7b17d03b28b93cb76" addr="T1R19C5S1_1" formatStyle="Comma">
        <m:complexRule comparator="Eq" title="所有者权益内部结转导致资本公积变动金额@上年同期数" test="$_GBC_5c469c9457c449e1b42fafe8284c145e+$_GBC_ac6d72e98b4646e882512c484295434f+$_GBC_c8e113c2df16458c9c43f56a2bea14d3+$_GBC_ea3a76152f5e4f2c9ccd977b4aeeb5cf+$_GBC_2306967e95e8494aa937b0483a940580+$_GBC_610de9092122489c810de46b59449d93" id="C189fbe3e7f154e348af1620e6d1b1225"/>
      </m:item>
      <m:item xlName="_GBC_34c53ea6bd7b4251b98b2467bd9e6ae1" concept="clcid-pte:SuoYouZheQuanYiNeiBuJieZhuanDaoZhiKuCunGuBianDongJinE" label="所有者权益内部结转导致库存股变动金额" periodRef="上年同期数" mulRef="_GBC_375aa5b655854a6fa4ef44766a5a9d36" unitRef="_GBC_6053d48a4e214ab7b17d03b28b93cb76" addr="T1R19C6S1_1" formatStyle="Comma">
        <m:complexRule comparator="Eq" title="所有者权益内部结转导致库存股变动金额@上年同期数" test="$_GBC_e95afe76c29d47c4b4edef455c4cf60f+$_GBC_41df2fdd189248e4a3f7da42202508b5+$_GBC_4c9557d5fdff43a3b4b7fba23d140ff7+$_GBC_1f869b4c6813446f83bf29c9a1d41191+$_GBC_9c5be5707e4f4a6e873ce2f5fbc294e5+$_GBC_6c1fd16301a34f0ab458049d2c270744" id="Cb00e12ec927e437ca7e3de1f631081fe"/>
      </m:item>
      <m:item xlName="_GBC_edb15b0ed5534331b9a8182e5115432d" concept="clcid-pte:SuoYouZheQuanYiNeiBuJieZhuanDaoZhiQiTaZongHeShouYiBianDongJinE" label="所有者权益内部结转导致其他综合收益变动金额" periodRef="上年同期数" mulRef="_GBC_375aa5b655854a6fa4ef44766a5a9d36" unitRef="_GBC_6053d48a4e214ab7b17d03b28b93cb76" addr="T1R19C7S1_1" formatStyle="Comma">
        <m:complexRule comparator="Eq" title="所有者权益内部结转导致其他综合收益变动金额@上年同期数" test="$_GBC_ff0a417574b9431ebdc90c82cf6d4084+$_GBC_18229ce26e5d47579f8a792c13089e3d+$_GBC_5501828ddaa44771be75a40748dd91be+$_GBC_6792b80c4b784b3aac76053b15eacd7f+$_GBC_ae6975a1be3c4db6968dd1a0577506b6+$_GBC_f9317df42e4c47949ec94175bcd99004" id="Ca47b08dbfcfc4c08b4240d4975da49ae"/>
      </m:item>
      <m:item xlName="_GBC_23fcb462ec074fdc8723949c46072dfd" concept="clcid-pte:SuoYouZheQuanYiNeiBuJieZhuanDaoZhiZhuanXiangChuBeiBianDongJinE" label="所有者权益内部结转导致专项储备变动金额" periodRef="上年同期数" mulRef="_GBC_375aa5b655854a6fa4ef44766a5a9d36" unitRef="_GBC_6053d48a4e214ab7b17d03b28b93cb76" addr="T1R19C8S1_1" formatStyle="Comma">
        <m:complexRule comparator="Eq" title="所有者权益内部结转导致专项储备变动金额@上年同期数" test="$_GBC_2486ba6fcdd3486ca481038350636bd8+$_GBC_8e81ac01076f4cdcaf8c430ab14862d6+$_GBC_be7a81a3ace449cfac5ac0684d2d8118+$_GBC_3b9725f1dc714932948ad14b36978d64+$_GBC_20f3c91bd5044f96a8e19177a5e5bad4+$_GBC_f60ab977dee64dfcab2230bf60b5068a" id="C6df336e0764f4b4e8f6821d7b09a0c10"/>
      </m:item>
      <m:item xlName="_GBC_2d8bda8d7b214a8e91165670e0f23bdd" concept="clcid-pte:SuoYouZheQuanYiNeiBuJieZhuanDaoZhiYingYuGongJiBianDongJinE" label="所有者权益内部结转导致盈余公积变动金额" periodRef="上年同期数" mulRef="_GBC_375aa5b655854a6fa4ef44766a5a9d36" unitRef="_GBC_6053d48a4e214ab7b17d03b28b93cb76" addr="T1R19C9S1_1" formatStyle="Comma">
        <m:complexRule comparator="Eq" title="所有者权益内部结转导致盈余公积变动金额@上年同期数" test="$_GBC_df81c712caf34ed1b05e7c885a4432fb+$_GBC_165e4220e7d3439f95a07a8bad69288c+$_GBC_46d3861dd60748e1ad5b36076b7a8e81+$_GBC_af0cbc56571d432c8a4c9d86dbc492f2+$_GBC_a747fec0951041ffa1e39a6a6282fa6f+$_GBC_ab98cd8099024e58950f56819b818a3d" id="Cb9f222072b9b4701861c95c457ba35b9"/>
      </m:item>
      <m:item xlName="_GBC_de71243253ef4048b2f40827938e51bc" concept="clcid-pte:SuoYouZheQuanYiNeiBuJieZhuanDaoZhiWeiFenPeiLiRunBianDongJinE" label="所有者权益内部结转导致未分配利润变动金额" periodRef="上年同期数" mulRef="_GBC_375aa5b655854a6fa4ef44766a5a9d36" unitRef="_GBC_6053d48a4e214ab7b17d03b28b93cb76" addr="T1R19C10S1_1" formatStyle="Comma">
        <m:complexRule comparator="Eq" title="所有者权益内部结转导致未分配利润变动金额@上年同期数" test="$_GBC_f3a8f62c79734c369028a9e0a94ffd3c+$_GBC_a7cd8867a5ed41fa900e116994365938+$_GBC_c7ccc40a6eb8483e80059a491db07b83+$_GBC_2070d9055ac843bb8fddc66192520ea0+$_GBC_8e6b6c8d371c45abbcbdb3141cc525ad+$_GBC_7e341195f967482eac129c454e8cef16" id="C702dd4ad6ad14dac83820b936ca68a5e"/>
      </m:item>
      <m:item xlName="_GBC_6f2ead75b86c4131b907328590dd9bf0" concept="clcid-pte:SuoYouZheQuanYiNeiBuJieZhuanDaoZhiGuDongQuanYiHeJiBianDongJinE" label="所有者权益内部结转导致股东权益合计变动金额" periodRef="上年同期数" mulRef="_GBC_375aa5b655854a6fa4ef44766a5a9d36" unitRef="_GBC_6053d48a4e214ab7b17d03b28b93cb76" addr="T1R19C11S1_1" formatStyle="Comma">
        <m:complexRule comparator="Eq" title="所有者权益内部结转导致股东权益合计变动金额@上年同期数" test="$_GBC_66d14f1c0d0f41c8b22382a1f7a4e49a+$_GBC_01c5ec9d5ecf4e60b8df8cd2d68b1894+$_GBC_4c521d2e66a14dc08a770cdc49356a34+$_GBC_b244d56bb82d4b4e9988429e13b02c3e+$_GBC_83e9562abc364135ac388120b5ed9b78+$_GBC_1387062fa99942b29fef45d6a3ce3cdb" id="C1afc8c610d394f408ed0f9187d8e11dc"/>
      </m:item>
      <m:placeholder xlName="_PLD_181e5500f988481a841dd1b3a97bf56d" addr="T1R20C0S1_1"/>
      <m:item xlName="_GBC_11b5e9a77cef477a9a29a63bd26fefe6" concept="clcid-pte:ZiBenGongJiZhuanZengZiBenHuoGuBenDaoZhiShiShouZiBenHuoGuBenJingEBianDongJinE" label="资本公积转增资本（或股本）导致实收资本（或股本）净额变动金额" periodRef="上年同期数" mulRef="_GBC_375aa5b655854a6fa4ef44766a5a9d36" unitRef="_GBC_6053d48a4e214ab7b17d03b28b93cb76" addr="T1R20C1S1_1" formatStyle="Comma"/>
      <m:item xlName="_GBC_b39c16c0fc024ecba8b9e9cf3b3c1334" concept="clcid-pte:ZiBenGongJiZhuanZengZiBenHuoGuBenDaoZhiQiTaQuanYiGongJuZhongDeYouXianGuBianDongJinE" label="资本公积转增资本（或股本）导致其他权益工具中的优先股变动金额" periodRef="上年同期数" mulRef="_GBC_375aa5b655854a6fa4ef44766a5a9d36" unitRef="_GBC_6053d48a4e214ab7b17d03b28b93cb76" addr="T1R20C2S1_1" formatStyle="Comma"/>
      <m:item xlName="_GBC_19ea632af751457c876b0eab9971b25f" concept="clcid-pte:ZiBenGongJiZhuanZengZiBenHuoGuBenDaoZhiQiTaQuanYiGongJuZhongDeYongXuZhaiBianDongJinE" label="资本公积转增资本（或股本）导致其他权益工具中的永续债变动金额" periodRef="上年同期数" mulRef="_GBC_375aa5b655854a6fa4ef44766a5a9d36" unitRef="_GBC_6053d48a4e214ab7b17d03b28b93cb76" addr="T1R20C3S1_1" formatStyle="Comma"/>
      <m:item xlName="_GBC_18b73b594ff24730b5a1f62c33097b06" concept="clcid-pte:ZiBenGongJiZhuanZengZiBenHuoGuBenDaoZhiQiTaQuanYiGongJuZhongDeQiTaBianDongJinE" label="资本公积转增资本（或股本）导致其他权益工具中的其他变动金额" periodRef="上年同期数" mulRef="_GBC_375aa5b655854a6fa4ef44766a5a9d36" unitRef="_GBC_6053d48a4e214ab7b17d03b28b93cb76" addr="T1R20C4S1_1" formatStyle="Comma"/>
      <m:item xlName="_GBC_5c469c9457c449e1b42fafe8284c145e" concept="clcid-pte:ZiBenGongJiZhuanZengZiBenHuoGuBenDaoZhiZiBenGongJiBianDongJinE" label="资本公积转增资本（或股本）导致资本公积变动金额" periodRef="上年同期数" mulRef="_GBC_375aa5b655854a6fa4ef44766a5a9d36" unitRef="_GBC_6053d48a4e214ab7b17d03b28b93cb76" addr="T1R20C5S1_1" formatStyle="Comma"/>
      <m:item xlName="_GBC_e95afe76c29d47c4b4edef455c4cf60f" concept="clcid-pte:ZiBenGongJiZhuanZengZiBenHuoGuBenDaoZhiKuCunGuBianDongJinE" label="资本公积转增资本（或股本）导致库存股变动金额" periodRef="上年同期数" mulRef="_GBC_375aa5b655854a6fa4ef44766a5a9d36" unitRef="_GBC_6053d48a4e214ab7b17d03b28b93cb76" addr="T1R20C6S1_1" formatStyle="Comma"/>
      <m:item xlName="_GBC_ff0a417574b9431ebdc90c82cf6d4084" concept="clcid-pte:ZiBenGongJiZhuanZengZiBenHuoGuBenDaoZhiQiTaZongHeShouYiBianDongJinE" label="资本公积转增资本（或股本）导致其他综合收益变动金额" periodRef="上年同期数" mulRef="_GBC_375aa5b655854a6fa4ef44766a5a9d36" unitRef="_GBC_6053d48a4e214ab7b17d03b28b93cb76" addr="T1R20C7S1_1" formatStyle="Comma"/>
      <m:item xlName="_GBC_2486ba6fcdd3486ca481038350636bd8" concept="clcid-pte:ZiBenGongJiZhuanZengZiBenHuoGuBenDaoZhiZhuanXiangChuBeiBianDongJinE" label="资本公积转增资本（或股本）导致专项储备变动金额" periodRef="上年同期数" mulRef="_GBC_375aa5b655854a6fa4ef44766a5a9d36" unitRef="_GBC_6053d48a4e214ab7b17d03b28b93cb76" addr="T1R20C8S1_1" formatStyle="Comma"/>
      <m:item xlName="_GBC_df81c712caf34ed1b05e7c885a4432fb" concept="clcid-pte:ZiBenGongJiZhuanZengZiBenHuoGuBenDaoZhiYingYuGongJiBianDongJinE" label="资本公积转增资本（或股本）导致盈余公积变动金额" periodRef="上年同期数" mulRef="_GBC_375aa5b655854a6fa4ef44766a5a9d36" unitRef="_GBC_6053d48a4e214ab7b17d03b28b93cb76" addr="T1R20C9S1_1" formatStyle="Comma"/>
      <m:item xlName="_GBC_f3a8f62c79734c369028a9e0a94ffd3c" concept="clcid-pte:ZiBenGongJiZhuanZengZiBenHuoGuBenDaoZhiWeiFenPeiLiRunBianDongJinE" label="资本公积转增资本（或股本）导致未分配利润变动金额" periodRef="上年同期数" mulRef="_GBC_375aa5b655854a6fa4ef44766a5a9d36" unitRef="_GBC_6053d48a4e214ab7b17d03b28b93cb76" addr="T1R20C10S1_1" formatStyle="Comma"/>
      <m:item xlName="_GBC_66d14f1c0d0f41c8b22382a1f7a4e49a" concept="clcid-pte:ZiBenGongJiZhuanZengZiBenHuoGuBenDaoZhiGuDongQuanYiHeJiBianDongJinE" label="资本公积转增资本（或股本）导致股东权益合计变动金额" periodRef="上年同期数" mulRef="_GBC_375aa5b655854a6fa4ef44766a5a9d36" unitRef="_GBC_6053d48a4e214ab7b17d03b28b93cb76" addr="T1R20C11S1_1" formatStyle="Comma"/>
      <m:placeholder xlName="_PLD_aa3413d02af44aee801c9519e1242634" addr="T1R21C0S1_1"/>
      <m:item xlName="_GBC_fcc953b17ddb4375b868692db92d736c" concept="clcid-pte:YingYuGongJiZhuanZengZiBenHuoGuBenDaoZhiShiShouZiBenHuoGuBenJingEBianDongJinE" label="盈余公积转增资本（或股本）导致实收资本（或股本）净额变动金额" periodRef="上年同期数" mulRef="_GBC_375aa5b655854a6fa4ef44766a5a9d36" unitRef="_GBC_6053d48a4e214ab7b17d03b28b93cb76" addr="T1R21C1S1_1" formatStyle="Comma"/>
      <m:item xlName="_GBC_15c735c189664e90b128bfc292a7cc0a" concept="clcid-pte:YingYuGongJiZhuanZengZiBenHuoGuBenDaoZhiQiTaQuanYiGongJuZhongDeYouXianGuBianDongJinE" label="盈余公积转增资本（或股本）导致其他权益工具中的优先股变动金额" periodRef="上年同期数" mulRef="_GBC_375aa5b655854a6fa4ef44766a5a9d36" unitRef="_GBC_6053d48a4e214ab7b17d03b28b93cb76" addr="T1R21C2S1_1" formatStyle="Comma"/>
      <m:item xlName="_GBC_74d9b3fdba7943c38ab94959def460c6" concept="clcid-pte:YingYuGongJiZhuanZengZiBenHuoGuBenDaoZhiQiTaQuanYiGongJuZhongDeYongXuZhaiBianDongJinE" label="盈余公积转增资本（或股本）导致其他权益工具中的永续债变动金额" periodRef="上年同期数" mulRef="_GBC_375aa5b655854a6fa4ef44766a5a9d36" unitRef="_GBC_6053d48a4e214ab7b17d03b28b93cb76" addr="T1R21C3S1_1" formatStyle="Comma"/>
      <m:item xlName="_GBC_7c4012c43e674cec8207f6e14580c86b" concept="clcid-pte:YingYuGongJiZhuanZengZiBenHuoGuBenDaoZhiQiTaQuanYiGongJuZhongDeQiTaBianDongJinE" label="盈余公积转增资本（或股本）导致其他权益工具中的其他变动金额" periodRef="上年同期数" mulRef="_GBC_375aa5b655854a6fa4ef44766a5a9d36" unitRef="_GBC_6053d48a4e214ab7b17d03b28b93cb76" addr="T1R21C4S1_1" formatStyle="Comma"/>
      <m:item xlName="_GBC_ac6d72e98b4646e882512c484295434f" concept="clcid-pte:YingYuGongJiZhuanZengZiBenHuoGuBenDaoZhiZiBenGongJiBianDongJinE" label="盈余公积转增资本（或股本）导致资本公积变动金额" periodRef="上年同期数" mulRef="_GBC_375aa5b655854a6fa4ef44766a5a9d36" unitRef="_GBC_6053d48a4e214ab7b17d03b28b93cb76" addr="T1R21C5S1_1" formatStyle="Comma"/>
      <m:item xlName="_GBC_41df2fdd189248e4a3f7da42202508b5" concept="clcid-pte:YingYuGongJiZhuanZengZiBenHuoGuBenDaoZhiKuCunGuBianDongJinE" label="盈余公积转增资本（或股本）导致库存股变动金额" periodRef="上年同期数" mulRef="_GBC_375aa5b655854a6fa4ef44766a5a9d36" unitRef="_GBC_6053d48a4e214ab7b17d03b28b93cb76" addr="T1R21C6S1_1" formatStyle="Comma"/>
      <m:item xlName="_GBC_18229ce26e5d47579f8a792c13089e3d" concept="clcid-pte:YingYuGongJiZhuanZengZiBenHuoGuBenDaoZhiQiTaZongHeShouYiBianDongJinE" label="盈余公积转增资本（或股本）导致其他综合收益变动金额" periodRef="上年同期数" mulRef="_GBC_375aa5b655854a6fa4ef44766a5a9d36" unitRef="_GBC_6053d48a4e214ab7b17d03b28b93cb76" addr="T1R21C7S1_1" formatStyle="Comma"/>
      <m:item xlName="_GBC_8e81ac01076f4cdcaf8c430ab14862d6" concept="clcid-pte:YingYuGongJiZhuanZengZiBenHuoGuBenDaoZhiZhuanXiangChuBeiBianDongJinE" label="盈余公积转增资本（或股本）导致专项储备变动金额" periodRef="上年同期数" mulRef="_GBC_375aa5b655854a6fa4ef44766a5a9d36" unitRef="_GBC_6053d48a4e214ab7b17d03b28b93cb76" addr="T1R21C8S1_1" formatStyle="Comma"/>
      <m:item xlName="_GBC_165e4220e7d3439f95a07a8bad69288c" concept="clcid-pte:YingYuGongJiZhuanZengZiBenHuoGuBenDaoZhiYingYuGongJiBianDongJinE" label="盈余公积转增资本（或股本）导致盈余公积变动金额" periodRef="上年同期数" mulRef="_GBC_375aa5b655854a6fa4ef44766a5a9d36" unitRef="_GBC_6053d48a4e214ab7b17d03b28b93cb76" addr="T1R21C9S1_1" formatStyle="Comma"/>
      <m:item xlName="_GBC_a7cd8867a5ed41fa900e116994365938" concept="clcid-pte:YingYuGongJiZhuanZengZiBenHuoGuBenDaoZhiWeiFenPeiLiRunBianDongJinE" label="盈余公积转增资本（或股本）导致未分配利润变动金额" periodRef="上年同期数" mulRef="_GBC_375aa5b655854a6fa4ef44766a5a9d36" unitRef="_GBC_6053d48a4e214ab7b17d03b28b93cb76" addr="T1R21C10S1_1" formatStyle="Comma"/>
      <m:item xlName="_GBC_01c5ec9d5ecf4e60b8df8cd2d68b1894" concept="clcid-pte:YingYuGongJiZhuanZengZiBenHuoGuBenDaoZhiGuDongQuanYiHeJiBianDongJinE" label="盈余公积转增资本（或股本）导致股东权益合计变动金额" periodRef="上年同期数" mulRef="_GBC_375aa5b655854a6fa4ef44766a5a9d36" unitRef="_GBC_6053d48a4e214ab7b17d03b28b93cb76" addr="T1R21C11S1_1" formatStyle="Comma"/>
      <m:placeholder xlName="_PLD_c1ed45a152bb4685838c37394a2a4e66" addr="T1R22C0S1_1"/>
      <m:item xlName="_GBC_8c658b1f29e341b4a5cdb2850f5bb509" concept="clcid-pte:YingYuGongJiMiBuKuiSunDaoZhiShiShouZiBenHuoGuBenJingEBianDongJinE" label="盈余公积弥补亏损导致实收资本（或股本）净额变动金额" periodRef="上年同期数" mulRef="_GBC_375aa5b655854a6fa4ef44766a5a9d36" unitRef="_GBC_6053d48a4e214ab7b17d03b28b93cb76" addr="T1R22C1S1_1" formatStyle="Comma"/>
      <m:item xlName="_GBC_935038e15d044c30a102fbf9822d014b" concept="clcid-pte:YingYuGongJiMiBuKuiSunDaoZhiQiTaQuanYiGongJuZhongDeYouXianGuBianDongJinE" label="盈余公积弥补亏损导致其他权益工具中的优先股变动金额" periodRef="上年同期数" mulRef="_GBC_375aa5b655854a6fa4ef44766a5a9d36" unitRef="_GBC_6053d48a4e214ab7b17d03b28b93cb76" addr="T1R22C2S1_1" formatStyle="Comma"/>
      <m:item xlName="_GBC_bbd2e639abed4c398609bdb19d598a3d" concept="clcid-pte:YingYuGongJiMiBuKuiSunDaoZhiQiTaQuanYiGongJuZhongDeYongXuZhaiBianDongJinE" label="盈余公积弥补亏损导致其他权益工具中的永续债变动金额" periodRef="上年同期数" mulRef="_GBC_375aa5b655854a6fa4ef44766a5a9d36" unitRef="_GBC_6053d48a4e214ab7b17d03b28b93cb76" addr="T1R22C3S1_1" formatStyle="Comma"/>
      <m:item xlName="_GBC_4989dd8e9e8c4af09f7890720e8d74fc" concept="clcid-pte:YingYuGongJiMiBuKuiSunDaoZhiQiTaQuanYiGongJuZhongDeQiTaBianDongJinE" label="盈余公积弥补亏损导致其他权益工具中的其他变动金额" periodRef="上年同期数" mulRef="_GBC_375aa5b655854a6fa4ef44766a5a9d36" unitRef="_GBC_6053d48a4e214ab7b17d03b28b93cb76" addr="T1R22C4S1_1" formatStyle="Comma"/>
      <m:item xlName="_GBC_c8e113c2df16458c9c43f56a2bea14d3" concept="clcid-pte:YingYuGongJiMiBuKuiSunDaoZhiZiBenGongJiBianDongJinE" label="盈余公积弥补亏损导致资本公积变动金额" periodRef="上年同期数" mulRef="_GBC_375aa5b655854a6fa4ef44766a5a9d36" unitRef="_GBC_6053d48a4e214ab7b17d03b28b93cb76" addr="T1R22C5S1_1" formatStyle="Comma"/>
      <m:item xlName="_GBC_4c9557d5fdff43a3b4b7fba23d140ff7" concept="clcid-pte:YingYuGongJiMiBuKuiSunDaoZhiKuCunGuBianDongJinE" label="盈余公积弥补亏损导致库存股变动金额" periodRef="上年同期数" mulRef="_GBC_375aa5b655854a6fa4ef44766a5a9d36" unitRef="_GBC_6053d48a4e214ab7b17d03b28b93cb76" addr="T1R22C6S1_1" formatStyle="Comma"/>
      <m:item xlName="_GBC_5501828ddaa44771be75a40748dd91be" concept="clcid-pte:YingYuGongJiMiBuKuiSunDaoZhiQiTaZongHeShouYiBianDongJinE" label="盈余公积弥补亏损导致其他综合收益变动金额" periodRef="上年同期数" mulRef="_GBC_375aa5b655854a6fa4ef44766a5a9d36" unitRef="_GBC_6053d48a4e214ab7b17d03b28b93cb76" addr="T1R22C7S1_1" formatStyle="Comma"/>
      <m:item xlName="_GBC_be7a81a3ace449cfac5ac0684d2d8118" concept="clcid-pte:YingYuGongJiMiBuKuiSunDaoZhiZhuanXiangChuBeiBianDongJinE" label="盈余公积弥补亏损导致专项储备变动金额" periodRef="上年同期数" mulRef="_GBC_375aa5b655854a6fa4ef44766a5a9d36" unitRef="_GBC_6053d48a4e214ab7b17d03b28b93cb76" addr="T1R22C8S1_1" formatStyle="Comma"/>
      <m:item xlName="_GBC_46d3861dd60748e1ad5b36076b7a8e81" concept="clcid-pte:YingYuGongJiMiBuKuiSunDaoZhiYingYuGongJiBianDongJinE" label="盈余公积弥补亏损导致盈余公积变动金额" periodRef="上年同期数" mulRef="_GBC_375aa5b655854a6fa4ef44766a5a9d36" unitRef="_GBC_6053d48a4e214ab7b17d03b28b93cb76" addr="T1R22C9S1_1" formatStyle="Comma"/>
      <m:item xlName="_GBC_c7ccc40a6eb8483e80059a491db07b83" concept="clcid-pte:YingYuGongJiMiBuKuiSunDaoZhiWeiFenPeiLiRunBianDongJinE" label="盈余公积弥补亏损导致未分配利润变动金额" periodRef="上年同期数" mulRef="_GBC_375aa5b655854a6fa4ef44766a5a9d36" unitRef="_GBC_6053d48a4e214ab7b17d03b28b93cb76" addr="T1R22C10S1_1" formatStyle="Comma"/>
      <m:item xlName="_GBC_4c521d2e66a14dc08a770cdc49356a34" concept="clcid-pte:YingYuGongJiMiBuKuiSunDaoZhiGuDongQuanYiHeJiBianDongJinE" label="盈余公积弥补亏损导致股东权益合计变动金额" periodRef="上年同期数" mulRef="_GBC_375aa5b655854a6fa4ef44766a5a9d36" unitRef="_GBC_6053d48a4e214ab7b17d03b28b93cb76" addr="T1R22C11S1_1" formatStyle="Comma"/>
      <m:placeholder xlName="_PLD_a706f1497dda41e89fb985405491b0ea" addr="T1R23C0S1_1"/>
      <m:item xlName="_GBC_3401aed4cf7645c688d2628b5617cf12" concept="clcid-pte:SheDingShouYiJiHuaBianDongEJieZhuanLiuCunShouYiDaoZhiShiShouZiBenHuoGuBenJingEBianDongJinE" label="设定受益计划变动额结转留存收益导致实收资本（或股本）净额变动金额" periodRef="上年同期数" mulRef="_GBC_375aa5b655854a6fa4ef44766a5a9d36" unitRef="_GBC_6053d48a4e214ab7b17d03b28b93cb76" addr="T1R23C1S1_1" formatStyle="Comma"/>
      <m:item xlName="_GBC_50a19bf6904f4924ba9a9a96b6966c6b" concept="clcid-pte:SheDingShouYiJiHuaBianDongEJieZhuanLiuCunShouYiDaoZhiQiTaQuanYiGongJuZhongDeYouXianGuBianDongJinE" label="设定受益计划变动额结转留存收益导致其他权益工具中的优先股变动金额" periodRef="上年同期数" mulRef="_GBC_375aa5b655854a6fa4ef44766a5a9d36" unitRef="_GBC_6053d48a4e214ab7b17d03b28b93cb76" addr="T1R23C2S1_1" formatStyle="Comma"/>
      <m:item xlName="_GBC_a46fa3b41d4949c4995b6c9bc7e9f8b1" concept="clcid-pte:SheDingShouYiJiHuaBianDongEJieZhuanLiuCunShouYiDaoZhiQiTaQuanYiGongJuZhongDeYongXuZhaiBianDongJinE" label="设定受益计划变动额结转留存收益导致其他权益工具中的永续债变动金额" periodRef="上年同期数" mulRef="_GBC_375aa5b655854a6fa4ef44766a5a9d36" unitRef="_GBC_6053d48a4e214ab7b17d03b28b93cb76" addr="T1R23C3S1_1" formatStyle="Comma"/>
      <m:item xlName="_GBC_bff32cda50b34b01865fb98ad714490f" concept="clcid-pte:SheDingShouYiJiHuaBianDongEJieZhuanLiuCunShouYiDaoZhiQiTaQuanYiGongJuZhongDeQiTaBianDongJinE" label="设定受益计划变动额结转留存收益导致其他权益工具中的其他变动金额" periodRef="上年同期数" mulRef="_GBC_375aa5b655854a6fa4ef44766a5a9d36" unitRef="_GBC_6053d48a4e214ab7b17d03b28b93cb76" addr="T1R23C4S1_1" formatStyle="Comma"/>
      <m:item xlName="_GBC_ea3a76152f5e4f2c9ccd977b4aeeb5cf" concept="clcid-pte:SheDingShouYiJiHuaBianDongEJieZhuanLiuCunShouYiDaoZhiZiBenGongJiBianDongJinE" label="设定受益计划变动额结转留存收益导致资本公积变动金额" periodRef="上年同期数" mulRef="_GBC_375aa5b655854a6fa4ef44766a5a9d36" unitRef="_GBC_6053d48a4e214ab7b17d03b28b93cb76" addr="T1R23C5S1_1" formatStyle="Comma"/>
      <m:item xlName="_GBC_1f869b4c6813446f83bf29c9a1d41191" concept="clcid-pte:SheDingShouYiJiHuaBianDongEJieZhuanLiuCunShouYiDaoZhiKuCunGuBianDongJinE" label="设定受益计划变动额结转留存收益导致库存股变动金额" periodRef="上年同期数" mulRef="_GBC_375aa5b655854a6fa4ef44766a5a9d36" unitRef="_GBC_6053d48a4e214ab7b17d03b28b93cb76" addr="T1R23C6S1_1" formatStyle="Comma"/>
      <m:item xlName="_GBC_6792b80c4b784b3aac76053b15eacd7f" concept="clcid-pte:SheDingShouYiJiHuaBianDongEJieZhuanLiuCunShouYiDaoZhiQiTaZongHeShouYiBianDongJinE" label="设定受益计划变动额结转留存收益导致其他综合收益变动金额" periodRef="上年同期数" mulRef="_GBC_375aa5b655854a6fa4ef44766a5a9d36" unitRef="_GBC_6053d48a4e214ab7b17d03b28b93cb76" addr="T1R23C7S1_1" formatStyle="Comma"/>
      <m:item xlName="_GBC_3b9725f1dc714932948ad14b36978d64" concept="clcid-pte:SheDingShouYiJiHuaBianDongEJieZhuanLiuCunShouYiDaoZhiZhuanXiangChuBeiBianDongJinE" label="设定受益计划变动额结转留存收益导致专项储备变动金额" periodRef="上年同期数" mulRef="_GBC_375aa5b655854a6fa4ef44766a5a9d36" unitRef="_GBC_6053d48a4e214ab7b17d03b28b93cb76" addr="T1R23C8S1_1" formatStyle="Comma"/>
      <m:item xlName="_GBC_af0cbc56571d432c8a4c9d86dbc492f2" concept="clcid-pte:SheDingShouYiJiHuaBianDongEJieZhuanLiuCunShouYiDaoZhiYingYuGongJiBianDongJinE" label="设定受益计划变动额结转留存收益导致盈余公积变动金额" periodRef="上年同期数" mulRef="_GBC_375aa5b655854a6fa4ef44766a5a9d36" unitRef="_GBC_6053d48a4e214ab7b17d03b28b93cb76" addr="T1R23C9S1_1" formatStyle="Comma"/>
      <m:item xlName="_GBC_2070d9055ac843bb8fddc66192520ea0" concept="clcid-pte:SheDingShouYiJiHuaBianDongEJieZhuanLiuCunShouYiDaoZhiWeiFenPeiLiRunBianDongJinE" label="设定受益计划变动额结转留存收益导致未分配利润变动金额" periodRef="上年同期数" mulRef="_GBC_375aa5b655854a6fa4ef44766a5a9d36" unitRef="_GBC_6053d48a4e214ab7b17d03b28b93cb76" addr="T1R23C10S1_1" formatStyle="Comma"/>
      <m:item xlName="_GBC_b244d56bb82d4b4e9988429e13b02c3e" concept="clcid-pte:SheDingShouYiJiHuaBianDongEJieZhuanLiuCunShouYiDaoZhiGuDongQuanYiHeJiBianDongJinE" label="设定受益计划变动额结转留存收益导致股东权益合计变动金额" periodRef="上年同期数" mulRef="_GBC_375aa5b655854a6fa4ef44766a5a9d36" unitRef="_GBC_6053d48a4e214ab7b17d03b28b93cb76" addr="T1R23C11S1_1" formatStyle="Comma"/>
      <m:placeholder xlName="_PLD_fe254484eb8a4baf939050bc327244a8" addr="T1R24C0S1_1"/>
      <m:item xlName="_GBC_290c7785ede54cf98918b61ef454279a" concept="clcid-pte:QiTaZongHeShouYiJieZhuanLiuCunShouYiDaoZhiShiShouZiBenHuoGuBenJingEBianDongJinE" label="其他综合收益结转留存收益导致实收资本（或股本）净额变动金额" periodRef="上年同期数" mulRef="_GBC_375aa5b655854a6fa4ef44766a5a9d36" unitRef="_GBC_6053d48a4e214ab7b17d03b28b93cb76" addr="T1R24C1S1_1" formatStyle="Comma"/>
      <m:item xlName="_GBC_9e4919878fe24749be13bfb7f772c8d1" concept="clcid-pte:QiTaZongHeShouYiJieZhuanLiuCunShouYiDaoZhiQiTaQuanYiGongJuZhongDeYouXianGuBianDongJinE" label="其他综合收益结转留存收益导致其他权益工具中的优先股变动金额" periodRef="上年同期数" mulRef="_GBC_375aa5b655854a6fa4ef44766a5a9d36" unitRef="_GBC_6053d48a4e214ab7b17d03b28b93cb76" addr="T1R24C2S1_1" formatStyle="Comma"/>
      <m:item xlName="_GBC_393e007b380f49c9a73e6e65b6520861" concept="clcid-pte:QiTaZongHeShouYiJieZhuanLiuCunShouYiDaoZhiQiTaQuanYiGongJuZhongDeYongXuZhaiBianDongJinE" label="其他综合收益结转留存收益导致其他权益工具中的永续债变动金额" periodRef="上年同期数" mulRef="_GBC_375aa5b655854a6fa4ef44766a5a9d36" unitRef="_GBC_6053d48a4e214ab7b17d03b28b93cb76" addr="T1R24C3S1_1" formatStyle="Comma"/>
      <m:item xlName="_GBC_342d8d7784e04f57844ae3aff7ab30d9" concept="clcid-pte:QiTaZongHeShouYiJieZhuanLiuCunShouYiDaoZhiQiTaQuanYiGongJuZhongDeQiTaBianDongJinE" label="其他综合收益结转留存收益导致其他权益工具中的其他变动金额" periodRef="上年同期数" mulRef="_GBC_375aa5b655854a6fa4ef44766a5a9d36" unitRef="_GBC_6053d48a4e214ab7b17d03b28b93cb76" addr="T1R24C4S1_1" formatStyle="Comma"/>
      <m:item xlName="_GBC_2306967e95e8494aa937b0483a940580" concept="clcid-pte:QiTaZongHeShouYiJieZhuanLiuCunShouYiDaoZhiZiBenGongJiBianDongJinE" label="其他综合收益结转留存收益导致资本公积变动金额" periodRef="上年同期数" mulRef="_GBC_375aa5b655854a6fa4ef44766a5a9d36" unitRef="_GBC_6053d48a4e214ab7b17d03b28b93cb76" addr="T1R24C5S1_1" formatStyle="Comma"/>
      <m:item xlName="_GBC_9c5be5707e4f4a6e873ce2f5fbc294e5" concept="clcid-pte:QiTaZongHeShouYiJieZhuanLiuCunShouYiDaoZhiKuCunGuBianDongJinE" label="其他综合收益结转留存收益导致库存股变动金额" periodRef="上年同期数" mulRef="_GBC_375aa5b655854a6fa4ef44766a5a9d36" unitRef="_GBC_6053d48a4e214ab7b17d03b28b93cb76" addr="T1R24C6S1_1" formatStyle="Comma"/>
      <m:item xlName="_GBC_ae6975a1be3c4db6968dd1a0577506b6" concept="clcid-pte:QiTaZongHeShouYiJieZhuanLiuCunShouYiDaoZhiQiTaZongHeShouYiBianDongJinE" label="其他综合收益结转留存收益导致其他综合收益变动金额" periodRef="上年同期数" mulRef="_GBC_375aa5b655854a6fa4ef44766a5a9d36" unitRef="_GBC_6053d48a4e214ab7b17d03b28b93cb76" addr="T1R24C7S1_1" formatStyle="Comma"/>
      <m:item xlName="_GBC_20f3c91bd5044f96a8e19177a5e5bad4" concept="clcid-pte:QiTaZongHeShouYiJieZhuanLiuCunShouYiDaoZhiZhuanXiangChuBeiBianDongJinE" label="其他综合收益结转留存收益导致专项储备变动金额" periodRef="上年同期数" mulRef="_GBC_375aa5b655854a6fa4ef44766a5a9d36" unitRef="_GBC_6053d48a4e214ab7b17d03b28b93cb76" addr="T1R24C8S1_1" formatStyle="Comma"/>
      <m:item xlName="_GBC_a747fec0951041ffa1e39a6a6282fa6f" concept="clcid-pte:QiTaZongHeShouYiJieZhuanLiuCunShouYiDaoZhiYingYuGongJiBianDongJinE" label="其他综合收益结转留存收益导致盈余公积变动金额" periodRef="上年同期数" mulRef="_GBC_375aa5b655854a6fa4ef44766a5a9d36" unitRef="_GBC_6053d48a4e214ab7b17d03b28b93cb76" addr="T1R24C9S1_1" formatStyle="Comma"/>
      <m:item xlName="_GBC_8e6b6c8d371c45abbcbdb3141cc525ad" concept="clcid-pte:QiTaZongHeShouYiJieZhuanLiuCunShouYiDaoZhiWeiFenPeiLiRunBianDongJinE" label="其他综合收益结转留存收益导致未分配利润变动金额" periodRef="上年同期数" mulRef="_GBC_375aa5b655854a6fa4ef44766a5a9d36" unitRef="_GBC_6053d48a4e214ab7b17d03b28b93cb76" addr="T1R24C10S1_1" formatStyle="Comma"/>
      <m:item xlName="_GBC_83e9562abc364135ac388120b5ed9b78" concept="clcid-pte:QiTaZongHeShouYiJieZhuanLiuCunShouYiDaoZhiGuDongQuanYiHeJiBianDongJinE" label="其他综合收益结转留存收益导致股东权益合计变动金额" periodRef="上年同期数" mulRef="_GBC_375aa5b655854a6fa4ef44766a5a9d36" unitRef="_GBC_6053d48a4e214ab7b17d03b28b93cb76" addr="T1R24C11S1_1" formatStyle="Comma"/>
      <m:placeholder xlName="_PLD_d9711a6aba384cc4abd4af1fb22f36f8" addr="T1R25C0S1_1"/>
      <m:item xlName="_GBC_46d4566df1c748f899191ee5bc491159" concept="clcid-pte:QiTaSuoYouZheQuanYiNeiBuJieZhuanDaoZhiShiShouZiBenHuoGuBenJingEBianDongJinE" label="其他所有者权益内部结转导致实收资本（或股本）净额变动金额" periodRef="上年同期数" mulRef="_GBC_375aa5b655854a6fa4ef44766a5a9d36" unitRef="_GBC_6053d48a4e214ab7b17d03b28b93cb76" addr="T1R25C1S1_1" formatStyle="Comma"/>
      <m:item xlName="_GBC_c13bf3c46f77405292ce2da77f841c3a" concept="clcid-pte:QiTaSuoYouZheQuanYiNeiBuJieZhuanDaoZhiQiTaQuanYiGongJuZhongDeYouXianGuBianDongJinE" label="其他所有者权益内部结转导致其他权益工具中的优先股变动金额" periodRef="上年同期数" mulRef="_GBC_375aa5b655854a6fa4ef44766a5a9d36" unitRef="_GBC_6053d48a4e214ab7b17d03b28b93cb76" addr="T1R25C2S1_1" formatStyle="Comma"/>
      <m:item xlName="_GBC_e9d95dc690024ae5996d0b36d123c7b8" concept="clcid-pte:QiTaSuoYouZheQuanYiNeiBuJieZhuanDaoZhiQiTaQuanYiGongJuZhongDeYongXuZhaiBianDongJinE" label="其他所有者权益内部结转导致其他权益工具中的永续债变动金额" periodRef="上年同期数" mulRef="_GBC_375aa5b655854a6fa4ef44766a5a9d36" unitRef="_GBC_6053d48a4e214ab7b17d03b28b93cb76" addr="T1R25C3S1_1" formatStyle="Comma"/>
      <m:item xlName="_GBC_71c4d37a30f64b9c804170e506e17d3a" concept="clcid-pte:QiTaSuoYouZheQuanYiNeiBuJieZhuanDaoZhiQiTaQuanYiGongJuZhongDeQiTaBianDongJinE" label="其他所有者权益内部结转导致其他权益工具中的其他变动金额" periodRef="上年同期数" mulRef="_GBC_375aa5b655854a6fa4ef44766a5a9d36" unitRef="_GBC_6053d48a4e214ab7b17d03b28b93cb76" addr="T1R25C4S1_1" formatStyle="Comma"/>
      <m:item xlName="_GBC_610de9092122489c810de46b59449d93" concept="clcid-pte:QiTaSuoYouZheQuanYiNeiBuJieZhuanDaoZhiZiBenGongJiBianDongJinE" label="其他所有者权益内部结转导致资本公积变动金额" periodRef="上年同期数" mulRef="_GBC_375aa5b655854a6fa4ef44766a5a9d36" unitRef="_GBC_6053d48a4e214ab7b17d03b28b93cb76" addr="T1R25C5S1_1" formatStyle="Comma"/>
      <m:item xlName="_GBC_6c1fd16301a34f0ab458049d2c270744" concept="clcid-pte:QiTaSuoYouZheQuanYiNeiBuJieZhuanDaoZhiKuCunGuBianDongJinE" label="其他所有者权益内部结转导致库存股变动金额" periodRef="上年同期数" mulRef="_GBC_375aa5b655854a6fa4ef44766a5a9d36" unitRef="_GBC_6053d48a4e214ab7b17d03b28b93cb76" addr="T1R25C6S1_1" formatStyle="Comma"/>
      <m:item xlName="_GBC_f9317df42e4c47949ec94175bcd99004" concept="clcid-pte:QiTaSuoYouZheQuanYiNeiBuJieZhuanDaoZhiQiTaZongHeShouYiBianDongJinE" label="其他所有者权益内部结转导致其他综合收益变动金额" periodRef="上年同期数" mulRef="_GBC_375aa5b655854a6fa4ef44766a5a9d36" unitRef="_GBC_6053d48a4e214ab7b17d03b28b93cb76" addr="T1R25C7S1_1" formatStyle="Comma"/>
      <m:item xlName="_GBC_f60ab977dee64dfcab2230bf60b5068a" concept="clcid-pte:QiTaSuoYouZheQuanYiNeiBuJieZhuanDaoZhiZhuanXiangChuBeiBianDongJinE" label="其他所有者权益内部结转导致专项储备变动金额" periodRef="上年同期数" mulRef="_GBC_375aa5b655854a6fa4ef44766a5a9d36" unitRef="_GBC_6053d48a4e214ab7b17d03b28b93cb76" addr="T1R25C8S1_1" formatStyle="Comma"/>
      <m:item xlName="_GBC_ab98cd8099024e58950f56819b818a3d" concept="clcid-pte:QiTaSuoYouZheQuanYiNeiBuJieZhuanDaoZhiYingYuGongJiBianDongJinE" label="其他所有者权益内部结转导致盈余公积变动金额" periodRef="上年同期数" mulRef="_GBC_375aa5b655854a6fa4ef44766a5a9d36" unitRef="_GBC_6053d48a4e214ab7b17d03b28b93cb76" addr="T1R25C9S1_1" formatStyle="Comma"/>
      <m:item xlName="_GBC_7e341195f967482eac129c454e8cef16" concept="clcid-pte:QiTaSuoYouZheQuanYiNeiBuJieZhuanDaoZhiWeiFenPeiLiRunBianDongJinE" label="其他所有者权益内部结转导致未分配利润变动金额" periodRef="上年同期数" mulRef="_GBC_375aa5b655854a6fa4ef44766a5a9d36" unitRef="_GBC_6053d48a4e214ab7b17d03b28b93cb76" addr="T1R25C10S1_1" formatStyle="Comma"/>
      <m:item xlName="_GBC_1387062fa99942b29fef45d6a3ce3cdb" concept="clcid-pte:QiTaSuoYouZheQuanYiNeiBuJieZhuanDaoZhiGuDongQuanYiHeJiBianDongJinE" label="其他所有者权益内部结转导致股东权益合计变动金额" periodRef="上年同期数" mulRef="_GBC_375aa5b655854a6fa4ef44766a5a9d36" unitRef="_GBC_6053d48a4e214ab7b17d03b28b93cb76" addr="T1R25C11S1_1" formatStyle="Comma"/>
      <m:placeholder xlName="_PLD_c9744530102e4c9b8cc5eb84b38ea627" addr="T1R26C0S1_1"/>
      <m:item xlName="_GBC_5ccd917c435143ffb689bea20171bf84" concept="clcid-pte:ZhuanXiangChuBeiDaoZhiShiShouZiBenHuoGuBenJingEBianDongJinE" label="专项储备导致实收资本（或股本）净额变动金额" periodRef="上年同期数" mulRef="_GBC_375aa5b655854a6fa4ef44766a5a9d36" unitRef="_GBC_6053d48a4e214ab7b17d03b28b93cb76" addr="T1R26C1S1_1" formatStyle="Comma">
        <m:complexRule comparator="Eq" title="专项储备导致实收资本（或股本）净额变动金额@上年同期数" test=" $_GBC_c458b1083d1949d0bf89a0f4e1f9bd94 -  $_GBC_0f4633358e154abeb89d925ee29e48e3" id="Cf77570de90f34d8db4df04543156d1c3"/>
      </m:item>
      <m:item xlName="_GBC_722216750e364e9291456f7f2c9a7b52" concept="clcid-pte:ZhuanXiangChuBeiDaoZhiQiTaQuanYiGongJuZhongDeYouXianGuBianDongJinE" label="专项储备导致其他权益工具中的优先股变动金额" periodRef="上年同期数" mulRef="_GBC_375aa5b655854a6fa4ef44766a5a9d36" unitRef="_GBC_6053d48a4e214ab7b17d03b28b93cb76" addr="T1R26C2S1_1" formatStyle="Comma">
        <m:complexRule comparator="Eq" title="专项储备导致其他权益工具中的优先股变动金额@上年同期数" test=" $_GBC_160fcad2caca4eb4b9d345cf0095ecbd -  $_GBC_901fe116f463442cbe36c34cb0a4a27b" id="C13020a1ae92a4c0387dd2d8c26585a53"/>
      </m:item>
      <m:item xlName="_GBC_4c0ad0b1f8084594adfdddfd9d11b255" concept="clcid-pte:ZhuanXiangChuBeiDaoZhiQiTaQuanYiGongJuZhongDeYongXuZhaiBianDongJinE" label="专项储备导致其他权益工具中的永续债变动金额" periodRef="上年同期数" mulRef="_GBC_375aa5b655854a6fa4ef44766a5a9d36" unitRef="_GBC_6053d48a4e214ab7b17d03b28b93cb76" addr="T1R26C3S1_1" formatStyle="Comma">
        <m:complexRule comparator="Eq" title="专项储备导致其他权益工具中的永续债变动金额@上年同期数" test=" $_GBC_eb6357459087479b8603236897a01193 -  $_GBC_ceda1b4d3a4149748655dc6d13607fd4" id="Ccb2d49a8d9e14168a988fbc543c17ed1"/>
      </m:item>
      <m:item xlName="_GBC_b3ed8c3db4ec42978cf5eb95c1f748ac" concept="clcid-pte:ZhuanXiangChuBeiDaoZhiQiTaQuanYiGongJuZhongDeQiTaBianDongJinE" label="专项储备导致其他权益工具中的其他变动金额" periodRef="上年同期数" mulRef="_GBC_375aa5b655854a6fa4ef44766a5a9d36" unitRef="_GBC_6053d48a4e214ab7b17d03b28b93cb76" addr="T1R26C4S1_1" formatStyle="Comma">
        <m:complexRule comparator="Eq" title="专项储备导致其他权益工具中的其他变动金额@上年同期数" test=" $_GBC_9a2b33e390a6483b95ab540b06605bd0 -  $_GBC_60fe795a740345a2ab23e2db8f370be1" id="C8ba7ecd81da549d88e8b001cb4e8efa3"/>
      </m:item>
      <m:item xlName="_GBC_0e3650254e5e4859b9159233dbc92aa4" concept="clcid-pte:ZhuanXiangChuBeiDaoZhiZiBenGongJiBianDongJinE" label="专项储备导致资本公积变动金额" periodRef="上年同期数" mulRef="_GBC_375aa5b655854a6fa4ef44766a5a9d36" unitRef="_GBC_6053d48a4e214ab7b17d03b28b93cb76" addr="T1R26C5S1_1" formatStyle="Comma">
        <m:complexRule comparator="Eq" title="专项储备导致资本公积变动金额@上年同期数" test=" $_GBC_8ce5c4ac413d43c1a4fedd8276b4f51a -  $_GBC_bbaed526ad3f4fdc9238cba3bd792ffa" id="C3f3050b8d42045248751f4c2c22ebeb7"/>
      </m:item>
      <m:item xlName="_GBC_33852a180fcb452fa274b580b5669596" concept="clcid-pte:ZhuanXiangChuBeiDaoZhiKuCunGuBianDongJinE" label="专项储备导致库存股变动金额" periodRef="上年同期数" mulRef="_GBC_375aa5b655854a6fa4ef44766a5a9d36" unitRef="_GBC_6053d48a4e214ab7b17d03b28b93cb76" addr="T1R26C6S1_1" formatStyle="Comma">
        <m:complexRule comparator="Eq" title="专项储备导致库存股变动金额@上年同期数" test=" $_GBC_c898f5b0d913480a9b4bf368d7967562 -  $_GBC_54c3fbc8f66f43af9e93da6f311a17c2" id="Cdbbbb7e937d84e3ca76557e5a9152ac3"/>
      </m:item>
      <m:item xlName="_GBC_3162b534a9e4408ea5b388292f5b8fc4" concept="clcid-pte:ZhuanXiangChuBeiDaoZhiQiTaZongHeShouYiBianDongJinE" label="专项储备导致其他综合收益变动金额" periodRef="上年同期数" mulRef="_GBC_375aa5b655854a6fa4ef44766a5a9d36" unitRef="_GBC_6053d48a4e214ab7b17d03b28b93cb76" addr="T1R26C7S1_1" formatStyle="Comma">
        <m:complexRule comparator="Eq" title="专项储备导致其他综合收益变动金额@上年同期数" test=" $_GBC_515f57066cc84478854f675fe8daeed1 -  $_GBC_1fe6395ab99745019526392194217ac3" id="C315632a312fd4f65b91545e07bb2339a"/>
      </m:item>
      <m:item xlName="_GBC_ee7b4b94027442c5baca639370f4f254" concept="clcid-pte:ZhuanXiangChuBeiDaoZhiZhuanXiangChuBeiBianDongJinE" label="专项储备导致专项储备变动金额" periodRef="上年同期数" mulRef="_GBC_375aa5b655854a6fa4ef44766a5a9d36" unitRef="_GBC_6053d48a4e214ab7b17d03b28b93cb76" addr="T1R26C8S1_1" formatStyle="Comma">
        <m:complexRule comparator="Eq" title="专项储备导致专项储备变动金额@上年同期数" test=" $_GBC_7a1ef57b6745475c95d9cc769a8aeb61 -  $_GBC_e6d28ab7880f4b4fa4b80981f48bca61" id="Cfcc775a8053e46238e06b798d2109120"/>
      </m:item>
      <m:item xlName="_GBC_9cf19b3fc7844c76950cf20cc635c318" concept="clcid-pte:ZhuanXiangChuBeiDaoZhiYingYuGongJiBianDongJinE" label="专项储备导致盈余公积变动金额" periodRef="上年同期数" mulRef="_GBC_375aa5b655854a6fa4ef44766a5a9d36" unitRef="_GBC_6053d48a4e214ab7b17d03b28b93cb76" addr="T1R26C9S1_1" formatStyle="Comma">
        <m:complexRule comparator="Eq" title="专项储备导致盈余公积变动金额@上年同期数" test=" $_GBC_dec480f704ae4b229f4499fa2476c0d4 -  $_GBC_8d1e2f5925db4bef8f96008d4561a0b2" id="C5a0db2c272de4524b1b29e2c9eec53ce"/>
      </m:item>
      <m:item xlName="_GBC_6935588e80ce4065b9e12ec79dfd14ad" concept="clcid-pte:ZhuanXiangChuBeiDaoZhiWeiFenPeiLiRunBianDongJinE" label="专项储备导致未分配利润变动金额" periodRef="上年同期数" mulRef="_GBC_375aa5b655854a6fa4ef44766a5a9d36" unitRef="_GBC_6053d48a4e214ab7b17d03b28b93cb76" addr="T1R26C10S1_1" formatStyle="Comma">
        <m:complexRule comparator="Eq" title="专项储备导致未分配利润变动金额@上年同期数" test=" $_GBC_8760d194d9de4571b5819b21c70ce533 -  $_GBC_e15adffe3baa4bc2b25a7ca435aacc06" id="C5bf56ba764bb429f993b4300034e804c"/>
      </m:item>
      <m:item xlName="_GBC_b6cae47f9b834bef982107154bdde7cb" concept="clcid-pte:ZhuanXiangChuBeiDaoZhiGuDongQuanYiHeJiBianDongJinE" label="专项储备导致股东权益合计变动金额" periodRef="上年同期数" mulRef="_GBC_375aa5b655854a6fa4ef44766a5a9d36" unitRef="_GBC_6053d48a4e214ab7b17d03b28b93cb76" addr="T1R26C11S1_1" formatStyle="Comma">
        <m:complexRule comparator="Eq" title="专项储备导致股东权益合计变动金额@上年同期数" test=" $_GBC_5071c9bee4474e68930cd3520b2fecbb -  $_GBC_40ac708789904de98136e5e660c86796" id="C3ba83abdf6b747a5a7a406d45874f13e"/>
      </m:item>
      <m:placeholder xlName="_PLD_a29878b2055540dca452b78c217c1ad2" addr="T1R27C0S1_1"/>
      <m:item xlName="_GBC_c458b1083d1949d0bf89a0f4e1f9bd94" concept="clcid-pte:TiQuDaoZhiShiShouZiBenHuoGuBenJingEBianDongJinE" label="提取导致实收资本（或股本）净额变动金额" periodRef="上年同期数" mulRef="_GBC_375aa5b655854a6fa4ef44766a5a9d36" unitRef="_GBC_6053d48a4e214ab7b17d03b28b93cb76" addr="T1R27C1S1_1" formatStyle="Comma"/>
      <m:item xlName="_GBC_160fcad2caca4eb4b9d345cf0095ecbd" concept="clcid-pte:TiQuDaoZhiQiTaQuanYiGongJuZhongDeYouXianGuBianDongJinE" label="提取导致其他权益工具中的优先股变动金额" periodRef="上年同期数" mulRef="_GBC_375aa5b655854a6fa4ef44766a5a9d36" unitRef="_GBC_6053d48a4e214ab7b17d03b28b93cb76" addr="T1R27C2S1_1" formatStyle="Comma"/>
      <m:item xlName="_GBC_eb6357459087479b8603236897a01193" concept="clcid-pte:TiQuDaoZhiQiTaQuanYiGongJuZhongDeYongXuZhaiBianDongJinE" label="提取导致其他权益工具中的永续债变动金额" periodRef="上年同期数" mulRef="_GBC_375aa5b655854a6fa4ef44766a5a9d36" unitRef="_GBC_6053d48a4e214ab7b17d03b28b93cb76" addr="T1R27C3S1_1" formatStyle="Comma"/>
      <m:item xlName="_GBC_9a2b33e390a6483b95ab540b06605bd0" concept="clcid-pte:TiQuDaoZhiQiTaQuanYiGongJuZhongDeQiTaBianDongJinE" label="提取导致其他权益工具中的其他变动金额" periodRef="上年同期数" mulRef="_GBC_375aa5b655854a6fa4ef44766a5a9d36" unitRef="_GBC_6053d48a4e214ab7b17d03b28b93cb76" addr="T1R27C4S1_1" formatStyle="Comma"/>
      <m:item xlName="_GBC_8ce5c4ac413d43c1a4fedd8276b4f51a" concept="clcid-pte:TiQuDaoZhiZiBenGongJiBianDongJinE" label="提取导致资本公积变动金额" periodRef="上年同期数" mulRef="_GBC_375aa5b655854a6fa4ef44766a5a9d36" unitRef="_GBC_6053d48a4e214ab7b17d03b28b93cb76" addr="T1R27C5S1_1" formatStyle="Comma"/>
      <m:item xlName="_GBC_c898f5b0d913480a9b4bf368d7967562" concept="clcid-pte:TiQuDaoZhiKuCunGuBianDongJinE" label="提取导致库存股变动金额" periodRef="上年同期数" mulRef="_GBC_375aa5b655854a6fa4ef44766a5a9d36" unitRef="_GBC_6053d48a4e214ab7b17d03b28b93cb76" addr="T1R27C6S1_1" formatStyle="Comma"/>
      <m:item xlName="_GBC_515f57066cc84478854f675fe8daeed1" concept="clcid-pte:TiQuDaoZhiQiTaZongHeShouYiBianDongJinE" label="提取导致其他综合收益变动金额" periodRef="上年同期数" mulRef="_GBC_375aa5b655854a6fa4ef44766a5a9d36" unitRef="_GBC_6053d48a4e214ab7b17d03b28b93cb76" addr="T1R27C7S1_1" formatStyle="Comma"/>
      <m:item xlName="_GBC_7a1ef57b6745475c95d9cc769a8aeb61" concept="clcid-pte:TiQuDaoZhiZhuanXiangChuBeiBianDongJinE" label="提取导致专项储备变动金额" periodRef="上年同期数" mulRef="_GBC_375aa5b655854a6fa4ef44766a5a9d36" unitRef="_GBC_6053d48a4e214ab7b17d03b28b93cb76" addr="T1R27C8S1_1" formatStyle="Comma"/>
      <m:item xlName="_GBC_dec480f704ae4b229f4499fa2476c0d4" concept="clcid-pte:TiQuDaoZhiYingYuGongJiBianDongJinE" label="提取导致盈余公积变动金额" periodRef="上年同期数" mulRef="_GBC_375aa5b655854a6fa4ef44766a5a9d36" unitRef="_GBC_6053d48a4e214ab7b17d03b28b93cb76" addr="T1R27C9S1_1" formatStyle="Comma"/>
      <m:item xlName="_GBC_8760d194d9de4571b5819b21c70ce533" concept="clcid-pte:TiQuDaoZhiWeiFenPeiLiRunBianDongJinE" label="提取导致未分配利润变动金额" periodRef="上年同期数" mulRef="_GBC_375aa5b655854a6fa4ef44766a5a9d36" unitRef="_GBC_6053d48a4e214ab7b17d03b28b93cb76" addr="T1R27C10S1_1" formatStyle="Comma"/>
      <m:item xlName="_GBC_5071c9bee4474e68930cd3520b2fecbb" concept="clcid-pte:TiQuDaoZhiGuDongQuanYiHeJiBianDongJinE" label="提取导致股东权益合计变动金额" periodRef="上年同期数" mulRef="_GBC_375aa5b655854a6fa4ef44766a5a9d36" unitRef="_GBC_6053d48a4e214ab7b17d03b28b93cb76" addr="T1R27C11S1_1" formatStyle="Comma"/>
      <m:placeholder xlName="_PLD_35f335e717a244d4a0e58cb726b983f6" addr="T1R28C0S1_1"/>
      <m:item xlName="_GBC_0f4633358e154abeb89d925ee29e48e3" concept="clcid-pte:ShiYongDaoZhiShiShouZiBenHuoGuBenJingEBianDongJinE" label="使用导致实收资本（或股本）净额变动金额" periodRef="上年同期数" mulRef="_GBC_375aa5b655854a6fa4ef44766a5a9d36" unitRef="_GBC_6053d48a4e214ab7b17d03b28b93cb76" addr="T1R28C1S1_1" formatStyle="Comma"/>
      <m:item xlName="_GBC_901fe116f463442cbe36c34cb0a4a27b" concept="clcid-pte:ShiYongDaoZhiQiTaQuanYiGongJuZhongDeYouXianGuBianDongJinE" label="使用导致其他权益工具中的优先股变动金额" periodRef="上年同期数" mulRef="_GBC_375aa5b655854a6fa4ef44766a5a9d36" unitRef="_GBC_6053d48a4e214ab7b17d03b28b93cb76" addr="T1R28C2S1_1" formatStyle="Comma"/>
      <m:item xlName="_GBC_ceda1b4d3a4149748655dc6d13607fd4" concept="clcid-pte:ShiYongDaoZhiQiTaQuanYiGongJuZhongDeYongXuZhaiBianDongJinE" label="使用导致其他权益工具中的永续债变动金额" periodRef="上年同期数" mulRef="_GBC_375aa5b655854a6fa4ef44766a5a9d36" unitRef="_GBC_6053d48a4e214ab7b17d03b28b93cb76" addr="T1R28C3S1_1" formatStyle="Comma"/>
      <m:item xlName="_GBC_60fe795a740345a2ab23e2db8f370be1" concept="clcid-pte:ShiYongDaoZhiQiTaQuanYiGongJuZhongDeQiTaBianDongJinE" label="使用导致其他权益工具中的其他变动金额" periodRef="上年同期数" mulRef="_GBC_375aa5b655854a6fa4ef44766a5a9d36" unitRef="_GBC_6053d48a4e214ab7b17d03b28b93cb76" addr="T1R28C4S1_1" formatStyle="Comma"/>
      <m:item xlName="_GBC_bbaed526ad3f4fdc9238cba3bd792ffa" concept="clcid-pte:ShiYongDaoZhiZiBenGongJiBianDongJinE" label="使用导致资本公积变动金额" periodRef="上年同期数" mulRef="_GBC_375aa5b655854a6fa4ef44766a5a9d36" unitRef="_GBC_6053d48a4e214ab7b17d03b28b93cb76" addr="T1R28C5S1_1" formatStyle="Comma"/>
      <m:item xlName="_GBC_54c3fbc8f66f43af9e93da6f311a17c2" concept="clcid-pte:ShiYongDaoZhiKuCunGuBianDongJinE" label="使用导致库存股变动金额" periodRef="上年同期数" mulRef="_GBC_375aa5b655854a6fa4ef44766a5a9d36" unitRef="_GBC_6053d48a4e214ab7b17d03b28b93cb76" addr="T1R28C6S1_1" formatStyle="Comma"/>
      <m:item xlName="_GBC_1fe6395ab99745019526392194217ac3" concept="clcid-pte:ShiYongDaoZhiQiTaZongHeShouYiBianDongJinE" label="使用导致其他综合收益变动金额" periodRef="上年同期数" mulRef="_GBC_375aa5b655854a6fa4ef44766a5a9d36" unitRef="_GBC_6053d48a4e214ab7b17d03b28b93cb76" addr="T1R28C7S1_1" formatStyle="Comma"/>
      <m:item xlName="_GBC_e6d28ab7880f4b4fa4b80981f48bca61" concept="clcid-pte:ShiYongDaoZhiZhuanXiangChuBeiBianDongJinE" label="使用导致专项储备变动金额" periodRef="上年同期数" mulRef="_GBC_375aa5b655854a6fa4ef44766a5a9d36" unitRef="_GBC_6053d48a4e214ab7b17d03b28b93cb76" addr="T1R28C8S1_1" formatStyle="Comma"/>
      <m:item xlName="_GBC_8d1e2f5925db4bef8f96008d4561a0b2" concept="clcid-pte:ShiYongDaoZhiYingYuGongJiBianDongJinE" label="使用导致盈余公积变动金额" periodRef="上年同期数" mulRef="_GBC_375aa5b655854a6fa4ef44766a5a9d36" unitRef="_GBC_6053d48a4e214ab7b17d03b28b93cb76" addr="T1R28C9S1_1" formatStyle="Comma"/>
      <m:item xlName="_GBC_e15adffe3baa4bc2b25a7ca435aacc06" concept="clcid-pte:ShiYongDaoZhiWeiFenPeiLiRunBianDongJinE" label="使用导致未分配利润变动金额" periodRef="上年同期数" mulRef="_GBC_375aa5b655854a6fa4ef44766a5a9d36" unitRef="_GBC_6053d48a4e214ab7b17d03b28b93cb76" addr="T1R28C10S1_1" formatStyle="Comma"/>
      <m:item xlName="_GBC_40ac708789904de98136e5e660c86796" concept="clcid-pte:ShiYongDaoZhiGuDongQuanYiHeJiBianDongJinE" label="使用导致股东权益合计变动金额" periodRef="上年同期数" mulRef="_GBC_375aa5b655854a6fa4ef44766a5a9d36" unitRef="_GBC_6053d48a4e214ab7b17d03b28b93cb76" addr="T1R28C11S1_1" formatStyle="Comma"/>
      <m:placeholder xlName="_PLD_958b3d85247646cea7c0fb7c4b37e1be" addr="T1R29C0S1_1"/>
      <m:item xlName="_GBC_152fc8a431174e9bb3580244827a78b7" concept="clcid-pte:QiTaDaoZhiShiShouZiBenHuoGuBenJingEBianDongJinE" label="其他导致实收资本（或股本）净额变动金额" periodRef="上年同期数" mulRef="_GBC_375aa5b655854a6fa4ef44766a5a9d36" unitRef="_GBC_6053d48a4e214ab7b17d03b28b93cb76" addr="T1R29C1S1_1" formatStyle="Comma"/>
      <m:item xlName="_GBC_b6808a7fa8b942deb4ee0bfaa3092b13" concept="clcid-pte:QiTaDaoZhiQiTaQuanYiGongJuZhongDeYouXianGuBianDongJinE" label="其他导致其他权益工具中的优先股变动金额" periodRef="上年同期数" mulRef="_GBC_375aa5b655854a6fa4ef44766a5a9d36" unitRef="_GBC_6053d48a4e214ab7b17d03b28b93cb76" addr="T1R29C2S1_1" formatStyle="Comma"/>
      <m:item xlName="_GBC_a61fd4810b784b80a5c8f2d723b1df2a" concept="clcid-pte:QiTaDaoZhiQiTaQuanYiGongJuZhongDeYongXuZhaiBianDongJinE" label="其他导致其他权益工具中的永续债变动金额" periodRef="上年同期数" mulRef="_GBC_375aa5b655854a6fa4ef44766a5a9d36" unitRef="_GBC_6053d48a4e214ab7b17d03b28b93cb76" addr="T1R29C3S1_1" formatStyle="Comma"/>
      <m:item xlName="_GBC_95813de16a7e4c719b0196e8c683e758" concept="clcid-pte:QiTaDaoZhiQiTaQuanYiGongJuZhongDeQiTaBianDongJinE" label="其他导致其他权益工具中的其他变动金额" periodRef="上年同期数" mulRef="_GBC_375aa5b655854a6fa4ef44766a5a9d36" unitRef="_GBC_6053d48a4e214ab7b17d03b28b93cb76" addr="T1R29C4S1_1" formatStyle="Comma"/>
      <m:item xlName="_GBC_fc56918d24d24005a1668ccae0df5e5b" concept="clcid-pte:QiTaDaoZhiZiBenGongJiBianDongJinE" label="其他导致资本公积变动金额" periodRef="上年同期数" mulRef="_GBC_375aa5b655854a6fa4ef44766a5a9d36" unitRef="_GBC_6053d48a4e214ab7b17d03b28b93cb76" addr="T1R29C5S1_1" formatStyle="Comma"/>
      <m:item xlName="_GBC_c00d228790d647b8a4c31635fb659ba1" concept="clcid-pte:QiTaDaoZhiKuCunGuBianDongJinE" label="其他导致库存股变动金额" periodRef="上年同期数" mulRef="_GBC_375aa5b655854a6fa4ef44766a5a9d36" unitRef="_GBC_6053d48a4e214ab7b17d03b28b93cb76" addr="T1R29C6S1_1" formatStyle="Comma"/>
      <m:item xlName="_GBC_4994353ccbdf47f9b9719b1484111bed" concept="clcid-pte:QiTaDaoZhiQiTaZongHeShouYiBianDongJinE" label="其他导致其他综合收益变动金额" periodRef="上年同期数" mulRef="_GBC_375aa5b655854a6fa4ef44766a5a9d36" unitRef="_GBC_6053d48a4e214ab7b17d03b28b93cb76" addr="T1R29C7S1_1" formatStyle="Comma"/>
      <m:item xlName="_GBC_0ec199af41f9457fb29981454e41a6e5" concept="clcid-pte:QiTaDaoZhiZhuanXiangChuBeiBianDongJinE" label="其他导致专项储备变动金额" periodRef="上年同期数" mulRef="_GBC_375aa5b655854a6fa4ef44766a5a9d36" unitRef="_GBC_6053d48a4e214ab7b17d03b28b93cb76" addr="T1R29C8S1_1" formatStyle="Comma"/>
      <m:item xlName="_GBC_91c9d9a60100466ba2b3f5a91aaa7ef4" concept="clcid-pte:QiTaDaoZhiYingYuGongJiBianDongJinE" label="其他导致盈余公积变动金额" periodRef="上年同期数" mulRef="_GBC_375aa5b655854a6fa4ef44766a5a9d36" unitRef="_GBC_6053d48a4e214ab7b17d03b28b93cb76" addr="T1R29C9S1_1" formatStyle="Comma"/>
      <m:item xlName="_GBC_46d7b23c085c49c483c11ba7bfefff2a" concept="clcid-pte:QiTaDaoZhiWeiFenPeiLiRunBianDongJinE" label="其他导致未分配利润变动金额" periodRef="上年同期数" mulRef="_GBC_375aa5b655854a6fa4ef44766a5a9d36" unitRef="_GBC_6053d48a4e214ab7b17d03b28b93cb76" addr="T1R29C10S1_1" formatStyle="Comma"/>
      <m:item xlName="_GBC_1c6d3b4dc83f4ae4a05ca332a7d6fd7f" concept="clcid-pte:QiTaDaoZhiGuDongQuanYiHeJiBianDongJinE" label="其他导致股东权益合计变动金额" periodRef="上年同期数" mulRef="_GBC_375aa5b655854a6fa4ef44766a5a9d36" unitRef="_GBC_6053d48a4e214ab7b17d03b28b93cb76" addr="T1R29C11S1_1" formatStyle="Comma"/>
      <m:placeholder xlName="_PLD_2ab46175bfff4e6ba56c4cf6a9432cba" addr="T1R30C0S1_1"/>
      <m:item xlName="_GBC_61e1483787614945b29d1485e8914f3b" concept="clcid-pte:GuBen" label="股本" periodRef="上年同期期末数" mulRef="_GBC_375aa5b655854a6fa4ef44766a5a9d36" unitRef="_GBC_6053d48a4e214ab7b17d03b28b93cb76" addr="T1R30C1S1_1" formatStyle="Comma">
        <m:complexRule comparator="Eq" title="股本@上年同期期末数" test=" $_GBC_64af9c9dd2c34b9eb34295b3c5c38442 +  $_GBC_4632b070e6cd423c8a67e0fd30fc59d9" id="C2578a9ec54b845f4ad37bc40dd612bac"/>
      </m:item>
      <m:item xlName="_GBC_2cc18d1037bf41178429f7f9e98b54a1" concept="clcid-pte:QiTaQuanYiGongJuQiZhongYouXianGu" label="其他权益工具-其中：优先股" periodRef="上年同期期末数" mulRef="_GBC_375aa5b655854a6fa4ef44766a5a9d36" unitRef="_GBC_6053d48a4e214ab7b17d03b28b93cb76" addr="T1R30C2S1_1" formatStyle="Comma">
        <m:complexRule comparator="Eq" title="其他权益工具-其中：优先股@上年同期期末数" test=" $_GBC_7d40071ac5d14d978b2598f956174cf4 +  $_GBC_5414879d5d1f48ed9990290373895c7d" id="C74a600b1e28146ac8f965e1ed22266f0"/>
      </m:item>
      <m:item xlName="_GBC_e95bb64131e247a89cc4e0f6bc67befd" concept="clcid-pte:QiTaQuanYiGongJuYongXuZhai" label="其他权益工具-永续债" periodRef="上年同期期末数" mulRef="_GBC_375aa5b655854a6fa4ef44766a5a9d36" unitRef="_GBC_6053d48a4e214ab7b17d03b28b93cb76" addr="T1R30C3S1_1" formatStyle="Comma">
        <m:complexRule comparator="Eq" title="其他权益工具-永续债@上年同期期末数" test=" $_GBC_db14aa9a8b32428a999a5b2dbac8d0ed +  $_GBC_3f699d2795d44e41a659654f2560a4d8" id="C6e81621fc50f471499fea4d21abfc35b"/>
      </m:item>
      <m:item xlName="_GBC_26ed5b56029c4bb0b668962c0b176893" concept="clcid-pte:QiTaQuanYiGongJuQiTa" label="其他权益工具-其他" periodRef="上年同期期末数" mulRef="_GBC_375aa5b655854a6fa4ef44766a5a9d36" unitRef="_GBC_6053d48a4e214ab7b17d03b28b93cb76" addr="T1R30C4S1_1" formatStyle="Comma">
        <m:complexRule comparator="Eq" title="其他权益工具-其他@上年同期期末数" test=" $_GBC_c4261e81263e431bb657e0440482ce49 +  $_GBC_15c11a29d0d145af970a854f513e6c1f" id="C3ab166944371457f909103732b54ce36"/>
      </m:item>
      <m:item xlName="_GBC_427dacf1aeb84468acc1b0de02dc1bf7" concept="clcid-pte:ZiBenGongJi" label="资本公积" periodRef="上年同期期末数" mulRef="_GBC_375aa5b655854a6fa4ef44766a5a9d36" unitRef="_GBC_6053d48a4e214ab7b17d03b28b93cb76" addr="T1R30C5S1_1" formatStyle="Comma">
        <m:complexRule comparator="Eq" title="资本公积@上年同期期末数" test=" $_GBC_db782dfd2bae45d396a0e0fef2f61a58 +  $_GBC_153cb689e384495c8dbbe4cdad581f26" id="C58c2d800ab9b4d5380798b50436bb2a6"/>
      </m:item>
      <m:item xlName="_GBC_f246a5e75e71468aa5af2a1dec44d0a9" concept="clcid-pte:KuCunGu" label="库存股" periodRef="上年同期期末数" mulRef="_GBC_375aa5b655854a6fa4ef44766a5a9d36" unitRef="_GBC_6053d48a4e214ab7b17d03b28b93cb76" addr="T1R30C6S1_1" formatStyle="Comma">
        <m:complexRule comparator="Eq" title="库存股@上年同期期末数" test=" $_GBC_97131a0dce19455facc205df4ca5a400 +  $_GBC_11812d49465e4d00ab2dce0312776272" id="C30d4713b5dc1443086efcc459ed03577"/>
      </m:item>
      <m:item xlName="_GBC_fd4e8a62ed004ba9ac00a0285a2e4f85" concept="clcid-pte:QiTaZongHeShouYiZiChanFuZhaiBiaoXiangMu" label="其他综合收益（资产负债表项目）" periodRef="上年同期期末数" mulRef="_GBC_375aa5b655854a6fa4ef44766a5a9d36" unitRef="_GBC_6053d48a4e214ab7b17d03b28b93cb76" addr="T1R30C7S1_1" formatStyle="Comma">
        <m:complexRule comparator="Eq" title="其他综合收益（资产负债表项目）@上年同期期末数" test=" $_GBC_5ce2fdb56aeb4150b6b0e26da9c6f244 +  $_GBC_a76bbf5cca184f4e9730df79b64b1bbc" id="C48d1357c3ed445aeb77092ea1c103aa5"/>
      </m:item>
      <m:item xlName="_GBC_e7be11552c2d405d9f838a67fe7411e8" concept="clcid-pte:ZhuanXiangChuBei" label="专项储备" periodRef="上年同期期末数" mulRef="_GBC_375aa5b655854a6fa4ef44766a5a9d36" unitRef="_GBC_6053d48a4e214ab7b17d03b28b93cb76" addr="T1R30C8S1_1" formatStyle="Comma">
        <m:complexRule comparator="Eq" title="专项储备@上年同期期末数" test=" $_GBC_a91a55653c76489ab7f160dcf2f9ba0d +  $_GBC_2fe7145f225c4ba494a58c098bc28b39" id="Ca9e7db6e04c943c694ae8947ab5741df"/>
      </m:item>
      <m:item xlName="_GBC_5ae4d6a3bf5d4303b080363bdb2157d4" concept="clcid-pte:YingYuGongJi" label="盈余公积" periodRef="上年同期期末数" mulRef="_GBC_375aa5b655854a6fa4ef44766a5a9d36" unitRef="_GBC_6053d48a4e214ab7b17d03b28b93cb76" addr="T1R30C9S1_1" formatStyle="Comma">
        <m:complexRule comparator="Eq" title="盈余公积@上年同期期末数" test=" $_GBC_7e2304643380463cbca662749b0c790e +  $_GBC_a778918dd9c046d9aeea8c0081a957ed" id="C44efb54211914aa19ed236c787063f58"/>
      </m:item>
      <m:item xlName="_GBC_0771790bde2d4530bcce788e1c67c652" concept="clcid-pte:WeiFenPeiLiRun" label="未分配利润" periodRef="上年同期期末数" mulRef="_GBC_375aa5b655854a6fa4ef44766a5a9d36" unitRef="_GBC_6053d48a4e214ab7b17d03b28b93cb76" addr="T1R30C10S1_1" formatStyle="Comma">
        <m:complexRule comparator="Eq" title="未分配利润@上年同期期末数" test=" $_GBC_bb7c8abbcc634403bfc379fe31f87f40 +  $_GBC_66a7795a07724631b91b6f58d5aa4ff8" id="Caf1794e3bcf043128b0a198eac1ced40"/>
      </m:item>
      <m:item xlName="_GBC_15ee50e0f71f4e5e87f6c2c54b1cf19b" concept="clcid-pte:GuDongQuanYiHeJi" label="股东权益合计" periodRef="上年同期期末数" mulRef="_GBC_375aa5b655854a6fa4ef44766a5a9d36" unitRef="_GBC_6053d48a4e214ab7b17d03b28b93cb76" addr="T1R30C11S1_1" formatStyle="Comma">
        <m:complexRule comparator="Eq" title="股东权益合计@上年同期期末数" test=" $_GBC_b74c9f872b7d4b5f8d697a8dfc72012e +  $_GBC_f459f68e03564ab09751a863e95f1441" id="Ca33818759b644652af1212c2a151007f"/>
      </m:item>
      <m:item xlName="_GBC_a003c6ca7ced435f875f75f166523520" concept="clcid-mr:GongSiFuZeRenXingMing" label="公司负责人姓名" binding="true"/>
      <m:item xlName="_GBC_eb01d1da334f4e8c9bd9fc6f62c15e98" concept="clcid-mr:ZhuGuanKuaiJiGongZuoFuZeRenXingMing" label="主管会计工作负责人姓名" binding="true"/>
      <m:item xlName="_GBC_4fecf9c6979f43bdb70043d3f9c804d2" concept="clcid-mr:KuaiJiJiGouFuZeRenXingMing" label="会计机构负责人姓名" binding="true"/>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item xlName="_GBC_2e5fe5b3ed964f468989da49e4242039" concept="clcid-ci-ar:ShiFouShiYongGongSiGaiKuang" label="是否适用：公司概况" selectOptions="_buildInAppliance" controlType="CustomCheckbox" cRanges="{&quot;StartName&quot;:&quot;_GBC_2e5fe5b3ed964f468989da49e4242039&quot;,&quot;EndName&quot;:&quot;_GBC_dfec127af3a7441dade8cb0f67119e66&quot;,&quot;CType&quot;:1,&quot;DisplayText&quot;:null}"/>
      <m:item xlName="_GBC_dfec127af3a7441dade8cb0f67119e66" concept="clcid-pte:GongSiGaiKuang" label="公司概况" appId="_GBC_2e5fe5b3ed964f468989da49e4242039"/>
      <m:item xlName="_GBC_ea2f3ec3b347465c8c563d4599124150" concept="clcid-ci-ar:ShiFouShiYongHeBingCaiWuBaoBiaoFanWei" label="是否适用：合并财务报表范围" selectOptions="_buildInAppliance" controlType="CustomCheckbox" cRanges="{&quot;StartName&quot;:&quot;_GBC_ea2f3ec3b347465c8c563d4599124150&quot;,&quot;EndName&quot;:&quot;_GBC_696c121eead146fba6371fa5b371b2fc&quot;,&quot;CType&quot;:1,&quot;DisplayText&quot;:null}"/>
      <m:item xlName="_GBC_696c121eead146fba6371fa5b371b2fc" concept="clcid-pte:BenNianDuHeBingCaiWuBaoBiaoFanWei" label="本年度合并财务报表范围" appId="_GBC_ea2f3ec3b347465c8c563d4599124150"/>
    </m:section>
    <m:section xlName="_GBC_6d12949d3695402592266a78137dcfb5" title="财务报表的编制基础" helpId="112001007">
      <m:item xlName="_GBC_1dc2375ed7ab49628f5badf2d5006405" concept="clcid-pte:CaiWuBaoBiaoDeBianZhiJiChu" label="财务报表的编制基础"/>
    </m:section>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item xlName="_GBC_7a7bd82392314f508ef1adfe80947192" concept="clcid-ci-ar:ShiFouShiYongChiXuJingYing" label="是否适用：持续经营" selectOptions="_buildInAppliance" controlType="CustomCheckbox" cRanges="{&quot;StartName&quot;:&quot;_GBC_7a7bd82392314f508ef1adfe80947192&quot;,&quot;EndName&quot;:&quot;_GBC_dc876c24006b428987a041949eb554f3&quot;,&quot;CType&quot;:1,&quot;DisplayText&quot;:null}"/>
      <m:item xlName="_GBC_dc876c24006b428987a041949eb554f3" concept="clcid-pte:ChiXuJingYing" label="持续经营" appId="_GBC_7a7bd82392314f508ef1adfe80947192"/>
    </m:section>
    <m:section xlName="_GBC_03d97fea34d045cb980749ccc6860a5a" title="具体会计政策和会计估计提示" rules="R2015_R11_001" helpId="112001010" helpText="注：公司根据实际生产经营特点制定的具体会计政策和会计估计，应在本节开始部分对相关事项进行提示。">
      <m:item xlName="_GBC_77c62823e3884e1fbfb236cea1f9f425" concept="clcid-ci-ar:ShiFouShiYongJuTiHuiJiZhengCeHeHuiJiGuJiTiShi" label="是否适用：具体会计政策和会计估计提示" selectOptions="_buildInAppliance" controlType="CustomCheckbox" cRanges="{&quot;StartName&quot;:&quot;_GBC_77c62823e3884e1fbfb236cea1f9f425&quot;,&quot;EndName&quot;:&quot;_GBC_caddaeaf0d1a454ab0bede37f0db7782&quot;,&quot;CType&quot;:1,&quot;DisplayText&quot;:null}"/>
      <m:item xlName="_GBC_caddaeaf0d1a454ab0bede37f0db7782" concept="clcid-pte:JuTiHuiJiZhengCeHeHuiJiGuJiTiShi" label="具体会计政策和会计估计提示" appId="_GBC_77c62823e3884e1fbfb236cea1f9f425"/>
    </m:section>
    <m:section xlName="_GBC_a0afbb5b3a444bce84ee78a2a282cb28" title="遵循企业会计准则的声明" helpId="112001010">
      <m:item xlName="_GBC_a350b889163a4ef3bb500c021e6a6b47" concept="clcid-pte:KuaiJiZhunZeHeKuaiJiZhiDu" label="会计准则和会计制度"/>
    </m:section>
    <m:section xlName="_GBC_2d7f332501c8461ea731797db5588ee5" title="会计期间" helpId="112001010">
      <m:item xlName="_GBC_fc896fba50b143f8a06984831f5d5600" concept="clcid-pte:KuaiJiNianDu" label="会计年度"/>
    </m:section>
    <m:section xlName="_GBC_b045784ca7904d52a060134ffec0d88c" title="营业周期" ignorePeriod="1" helpId="112001012" helpText="注：公司对营业周期不同于12个月，并以营业周期作为资产和负债的流动性划分标准的，应说明营业周期及确定依据。">
      <m:item xlName="_GBC_1668f7f497234cf886206b57711c4c87" concept="clcid-ci-ar:ShiFouShiYongYingYeZhouQi" label="是否适用：营业周期" selectOptions="_buildInAppliance" controlType="CustomCheckbox" cRanges="{&quot;StartName&quot;:&quot;_GBC_1668f7f497234cf886206b57711c4c87&quot;,&quot;EndName&quot;:&quot;_GBC_e145e43187d9463889884f48e9e0b234&quot;,&quot;CType&quot;:1,&quot;DisplayText&quot;:null}"/>
      <m:item xlName="_GBC_e145e43187d9463889884f48e9e0b234" concept="clcid-pte:YingYeZhouQi" label="营业周期" appId="_GBC_1668f7f497234cf886206b57711c4c87"/>
    </m:section>
    <m:section xlName="_GBC_13b1061968754e20bebf2099281ed54f" title="记账本位币" helpId="112001010">
      <m:item xlName="_GBC_3749a2357eba44e8b968cb41cda75ff1" concept="clcid-pte:JiZhangBenWeiBi" label="记账本位币"/>
    </m:section>
    <m:section xlName="_GBC_f44e1e76b2a3457ea36bc088adcbb4c3" title="同一控制下和非同一控制下企业合并的会计处理方法" ignorePeriod="1" convertSummaryRule="NoConvert" helpId="112001010">
      <m:item xlName="_GBC_15953b39483a4ce1a5c96869e4a0ae9c" concept="clcid-ci-ar:ShiFouShiYongTongYiKongZhiXiaHeFeiTongYiKongZhiXiaQiYeHeBingDeHuiJiChuLiFangFa" label="是否适用：同一控制下和非同一控制下企业合并的会计处理方法" selectOptions="_buildInAppliance" controlType="CustomCheckbox" cRanges="{&quot;StartName&quot;:&quot;_GBC_15953b39483a4ce1a5c96869e4a0ae9c&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15953b39483a4ce1a5c96869e4a0ae9c"/>
    </m:section>
    <m:section xlName="_GBC_c23be25e527044f689b710dabd312b04" title="合并财务报表的编制方法" ignorePeriod="1" helpId="112001010">
      <m:item xlName="_GBC_dad2e053cc8c4461a681b3e4926c48a6" concept="clcid-ci-ar:ShiFouShiYongHeBingCaiWuBaoBiaoDeBianZhiFangFa" label="是否适用：合并财务报表的编制方法" selectOptions="_buildInAppliance" controlType="CustomCheckbox" cRanges="{&quot;StartName&quot;:&quot;_GBC_dad2e053cc8c4461a681b3e4926c48a6&quot;,&quot;EndName&quot;:&quot;_GBC_5201beca0c0944939b4a0d8d100d6fcf&quot;,&quot;CType&quot;:1,&quot;DisplayText&quot;:null}"/>
      <m:item xlName="_GBC_5201beca0c0944939b4a0d8d100d6fcf" concept="clcid-pte:QiYeHeBingJiHeBingCaiWuBaoBiaoDeShuoMing" label="企业合并及合并财务报表的说明" appId="_GBC_dad2e053cc8c4461a681b3e4926c48a6"/>
    </m:section>
    <m:section xlName="_GBC_a6643877dd0341e39dee12c064dc6fdc" title="合营安排分类及共同经营会计处理方法" ignorePeriod="1" helpId="112001010">
      <m:item xlName="_GBC_f94c8519453541fe9de852d3064d61d5" concept="clcid-ci-ar:ShiFouShiYongHeYingAnPaiFenLeiJiGongTongJingYingHuiJiChuLiFangFa" label="是否适用：合营安排分类及共同经营会计处理方法" selectOptions="_buildInAppliance" controlType="CustomCheckbox" cRanges="{&quot;StartName&quot;:&quot;_GBC_f94c8519453541fe9de852d3064d61d5&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f94c8519453541fe9de852d3064d61d5"/>
    </m:section>
    <m:section xlName="_GBC_9f2dfe6521c4434b9ad3e7bb1a8a52b7" title="现金及现金等价物的确定标准" helpId="112001010">
      <m:item xlName="_GBC_54f6bc3e44e840bc85cb3872600823b5" concept="clcid-pte:XianJinJiXianJinDengJiaWuDeQueDingBiaoZhun" label="现金及现金等价物的确定标准"/>
    </m:section>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item xlName="_GBC_cd1fc5c05f5e49ed9ea2fffe41d0d113" concept="clcid-ci-ar:ShiFouShiYongWaiBiYeWuHeWaiBiBaoBiaoZheSuan" label="是否适用：外币业务和外币报表折算" selectOptions="_buildInAppliance" controlType="CustomCheckbox" cRanges="{&quot;StartName&quot;:&quot;_GBC_cd1fc5c05f5e49ed9ea2fffe41d0d113&quot;,&quot;EndName&quot;:&quot;_GBC_1703fe5fc56b42a8972c0906a4ac6d6b&quot;,&quot;CType&quot;:1,&quot;DisplayText&quot;:null}"/>
      <m:item xlName="_GBC_1703fe5fc56b42a8972c0906a4ac6d6b" concept="clcid-pte:WaiBiYeWuHeSuanFangFa" label="外币业务核算方法" appId="_GBC_cd1fc5c05f5e49ed9ea2fffe41d0d113"/>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285bdf73a629411f9c5d05731712b876" concept="clcid-ci-ar:ShiFouShiYongJinRongGongJuZhongYaoHuiJiZhengCeHeGuJi" label="是否适用：金融工具_重要会计政策和估计" selectOptions="_buildInAppliance" controlType="CustomCheckbox" cRanges="{&quot;StartName&quot;:&quot;_GBC_285bdf73a629411f9c5d05731712b876&quot;,&quot;EndName&quot;:&quot;_GBC_b358067bbe2a49bf880c383a5db50d8a&quot;,&quot;CType&quot;:1,&quot;DisplayText&quot;:null}"/>
      <m:item xlName="_GBC_b358067bbe2a49bf880c383a5db50d8a" concept="clcid-pte:JinRongZiChanHeJinRongFuZhaiDeHeSuanFangFa" label="金融资产和金融负债的核算方法" appId="_GBC_285bdf73a629411f9c5d05731712b876"/>
    </m:section>
    <m:section xlName="_SEC_fe6dfe1a730f4d3183b25ca057cb8f6a" title="应收票据应收票据的预期信用损失的确定方法及会计处理方法" ignorePeriod="1">
      <m:item xlName="_GBC_ba8bc88e72f44e2da5528a3b21ae6dd5" concept="clcid-ci-ar:ShiFouShiYongYingShouPiaoJuDeYuQiXinYongSunShiDeQueDingFangFaJiKuaiJiChuLiFangFa" label="是否适用：应收票据的预期信用损失的确定方法及会计处理方法" selectOptions="_buildInAppliance" controlType="CustomCheckbox" cRanges="[{&quot;StartName&quot;:&quot;_GBC_ba8bc88e72f44e2da5528a3b21ae6dd5&quot;,&quot;EndName&quot;:&quot;_GBC_f420e4838a724012bb788c3daa8cb419&quot;,&quot;CType&quot;:1}]"/>
      <m:item xlName="_GBC_f420e4838a724012bb788c3daa8cb419" concept="clcid-pte:YingShouPiaoJuDeYuQiXinYongSunShiDeQueDingFangFaJiKuaiJiChuLiFangFa" label="应收票据的预期信用损失的确定方法及会计处理方法" appId="_GBC_ba8bc88e72f44e2da5528a3b21ae6dd5"/>
    </m:section>
    <m:section xlName="_SEC_6a9a70c8b5914d5d85ea9b8f86eb6ec8" title="应收账款应收账款的预期信用损失的确定方法及会计处理方法" ignorePeriod="1">
      <m:item xlName="_GBC_85321f727b7446de9dc351948c740baa" concept="clcid-ci-ar:ShiFouShiYongYingShouZhangKuanDeYuQiXinYongSunShiDeQueDingFangFaJiKuaiJiChuLiFangFa" label="是否适用：应收账款的预期信用损失的确定方法及会计处理方法" selectOptions="_buildInAppliance" controlType="CustomCheckbox" cRanges="[{&quot;StartName&quot;:&quot;_GBC_85321f727b7446de9dc351948c740baa&quot;,&quot;EndName&quot;:&quot;_GBC_36dd56898f2645fc967bf4d53ee8ecdb&quot;,&quot;CType&quot;:1}]"/>
      <m:item xlName="_GBC_36dd56898f2645fc967bf4d53ee8ecdb" concept="clcid-pte:YingShouZhangKuanDeYuQiXinYongSunShiDeQueDingFangFaJiKuaiJiChuLiFangFa" label="应收账款的预期信用损失的确定方法及会计处理方法" appId="_GBC_85321f727b7446de9dc351948c740baa"/>
    </m:section>
    <m:section xlName="_SEC_6779da9334294ce2a6d1ffc1b4a6e588" title="应收款项融资" ignorePeriod="1">
      <m:item xlName="_GBC_02210df6587d4e47b6149386c3665a46" concept="clcid-ci-ar:ShiFouShiYongYingShouKuanXiangRongZiZhongYaoKuaiJiZhengCeHeGuJi" label="是否适用：应收款项融资_重要会计政策和估计" selectOptions="_buildInAppliance" controlType="CustomCheckbox" cRanges="[{&quot;StartName&quot;:&quot;_GBC_02210df6587d4e47b6149386c3665a46&quot;,&quot;EndName&quot;:&quot;_GBC_3d9742ff6b694e4d9e006762ef5f07f0&quot;,&quot;CType&quot;:1}]"/>
      <m:item xlName="_GBC_3d9742ff6b694e4d9e006762ef5f07f0" concept="clcid-pte:YingShouKuanXiangRongZiDeHeSuanFangFa" label="应收款项融资的核算方法" appId="_GBC_02210df6587d4e47b6149386c3665a46"/>
    </m:section>
    <m:section xlName="_SEC_225822c587b74cc6b807038a0533c4e3" title="其他应收款" ignorePeriod="1">
      <m:item xlName="_GBC_1ba082baa43e450992b52fcf687a8134" concept="clcid-ci-ar:ShiFouShiYongQiTaYingShouKuanYuQiXinYongSunShiDeQueDingFangFaJiKuaiJiChuLiFangFa" label="是否适用：其他应收款预期信用损失的确定方法及会计处理方法" selectOptions="_buildInAppliance" controlType="CustomCheckbox" cRanges="[{&quot;StartName&quot;:&quot;_GBC_1ba082baa43e450992b52fcf687a8134&quot;,&quot;EndName&quot;:&quot;_GBC_7e531bd2a2f947b3a00ec81ad0969c5e&quot;,&quot;CType&quot;:1}]"/>
      <m:item xlName="_GBC_7e531bd2a2f947b3a00ec81ad0969c5e" concept="clcid-pte:QiTaYingShouKuanYuQiXinYongSunShiDeQueDingFangFaJiKuaiJiChuLiFangFa" label="其他应收款预期信用损失的确定方法及会计处理方法" appId="_GBC_1ba082baa43e450992b52fcf687a8134"/>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5c493df9664440ecbc3f3fa5d917221a" concept="clcid-ci-ar:ShiFouShiYongCunHuoZhongYaoHuiJiZhengCeHeGuJi" label="是否适用：存货_重要会计政策和估计" selectOptions="_buildInAppliance" controlType="CustomCheckbox" cRanges="{&quot;StartName&quot;:&quot;_GBC_5c493df9664440ecbc3f3fa5d917221a&quot;,&quot;EndName&quot;:&quot;_GBC_553fb8cba06d4979b05ae3dabe788fa6&quot;,&quot;CType&quot;:1,&quot;DisplayText&quot;:null}"/>
      <m:item xlName="_GBC_553fb8cba06d4979b05ae3dabe788fa6" concept="clcid-pte:CunHuoDeHeSuanFangFa" label="存货的核算方法" appId="_GBC_5c493df9664440ecbc3f3fa5d917221a"/>
    </m:section>
    <m:section xlName="_SEC_c8278ca8e95a4a1fb97258ed9c2842ff" title="合同资产" ignorePeriod="1">
      <m:item xlName="_GBC_9daae386f9a94543beb70aace93dc36d" concept="clcid-ci-ar:ShiFouShiYongHeTongZiChanDeQueDingFangFaTanXiaoFangFaHeJianZhiCeShiFangFa" label="是否适用：合同资产的确定方法、摊销方法和减值测试方法" selectOptions="_buildInAppliance" controlType="CustomCheckbox" cRanges="[{&quot;StartName&quot;:&quot;_GBC_9daae386f9a94543beb70aace93dc36d&quot;,&quot;EndName&quot;:&quot;_GBC_509139300ad14da0961ff5023dc7e8f7&quot;,&quot;CType&quot;:1}]"/>
      <m:item xlName="_GBC_509139300ad14da0961ff5023dc7e8f7" concept="clcid-pte:HeTongZiChanDeQueDingFangFaTanXiaoFangFaHeJianZhiCeShiFangFa" label="合同资产的确定方法、摊销方法和减值测试方法" appId="_GBC_9daae386f9a94543beb70aace93dc36d"/>
    </m:section>
    <m:section xlName="_SEC_c2bb2c97fdb4423db069686155694c4c" title="合同资产预期信用损失的确定方法及会计处理方法" ignorePeriod="1">
      <m:item xlName="_GBC_c1227cf6e2f0432a85c32b611a40fa7f" concept="clcid-ci-ar:ShiFouShiYongHeTongZiChanYuQiXinYongSunShiDeQueDingFangFaJiKuaiJiChuLiFangFa" label="是否适用：合同资产预期信用损失的确定方法及会计处理方法" selectOptions="_buildInAppliance" controlType="CustomCheckbox" cRanges="[{&quot;StartName&quot;:&quot;_GBC_c1227cf6e2f0432a85c32b611a40fa7f&quot;,&quot;EndName&quot;:&quot;_GBC_ec035a84f2ae41b08fe408f3623243ab&quot;,&quot;CType&quot;:1}]"/>
      <m:item xlName="_GBC_ec035a84f2ae41b08fe408f3623243ab" concept="clcid-pte:HeTongZiChanYuQiXinYongSunShiDeQueDingFangFaJiKuaiJiChuLiFangFa" label="合同资产预期信用损失的确定方法及会计处理方法" appId="_GBC_c1227cf6e2f0432a85c32b611a40fa7f"/>
    </m:section>
    <m:section xlName="_GBC_a1a86a762feb43c3bed478ce8a19ae7c" title="划分为持有待售资产" ignorePeriod="1" helpId="112001017" helpText="注：说明划分为持有待售资产的确认标准。">
      <m:item xlName="_GBC_7d21fae1fb15414bac10a5567ebb7aca" concept="clcid-ci-ar:ShiFouShiYongHuaFenWeiChiYouDaiShouZiChanZhongYaoHuiJiZhengCeHeGuJi" label="是否适用：划分为持有待售资产_重要会计政策和估计" selectOptions="_buildInAppliance" controlType="CustomCheckbox" cRanges="{&quot;StartName&quot;:&quot;_GBC_7d21fae1fb15414bac10a5567ebb7aca&quot;,&quot;EndName&quot;:&quot;_GBC_d8726eddbed2465794ccdff8edd6a7cc&quot;,&quot;CType&quot;:1,&quot;DisplayText&quot;:null}"/>
      <m:item xlName="_GBC_d8726eddbed2465794ccdff8edd6a7cc" concept="clcid-pte:HuaFenWeiChiYouDaiShouZiChanDeQueRenBiaoZhun" label="划分为持有待售资产的确认标准" appId="_GBC_7d21fae1fb15414bac10a5567ebb7aca"/>
    </m:section>
    <m:section xlName="_SEC_64972cc74e5349aa855fec98c6609582" title="债权投资" ignorePeriod="1">
      <m:item xlName="_GBC_acf0a46e8a8248e9a7f548194ba5ca2d" concept="clcid-ci-ar:ShiFouShiYongZhaiQuanTouZiYuQiXinYongSunShiDeQueDingFangFaJiKuaiJiChuLiFangFa" label="是否适用：债权投资预期信用损失的确定方法及会计处理方法" selectOptions="_buildInAppliance" controlType="CustomCheckbox" cRanges="[{&quot;StartName&quot;:&quot;_GBC_acf0a46e8a8248e9a7f548194ba5ca2d&quot;,&quot;EndName&quot;:&quot;_GBC_a17d0b9c6dbb44f898ff06167e0b197e&quot;,&quot;CType&quot;:1}]"/>
      <m:item xlName="_GBC_a17d0b9c6dbb44f898ff06167e0b197e" concept="clcid-pte:ZhaiQuanTouZiYuQiXinYongSunShiDeQueDingFangFaJiKuaiJiChuLiFangFa" label="债权投资预期信用损失的确定方法及会计处理方法" appId="_GBC_acf0a46e8a8248e9a7f548194ba5ca2d"/>
    </m:section>
    <m:section xlName="_SEC_41586dd479b54f07aeed675230b384c8" title="其他债权投资" ignorePeriod="1">
      <m:item xlName="_GBC_c8b7f631f3734e4e873d374c0e3e2936" concept="clcid-ci-ar:ShiFouShiYongQiTaZhaiQuanTouZiYuQiXinYongSunShiDeQueDingFangFaJiKuaiJiChuLiFangFa" label="是否适用：其他债权投资预期信用损失的确定方法及会计处理方法" selectOptions="_buildInAppliance" controlType="CustomCheckbox" cRanges="[{&quot;StartName&quot;:&quot;_GBC_c8b7f631f3734e4e873d374c0e3e2936&quot;,&quot;EndName&quot;:&quot;_GBC_86a4188f80854b7fb0167793548d71e2&quot;,&quot;CType&quot;:1}]"/>
      <m:item xlName="_GBC_86a4188f80854b7fb0167793548d71e2" concept="clcid-pte:QiTaZhaiQuanTouZiYuQiXinYongSunShiDeQueDingFangFaJiKuaiJiChuLiFangFa" label="其他债权投资预期信用损失的确定方法及会计处理方法" appId="_GBC_c8b7f631f3734e4e873d374c0e3e2936"/>
    </m:section>
    <m:section xlName="_SEC_ef0b5e87e2254c638e2a6672bcd1eac8" title="长期应收款" ignorePeriod="1">
      <m:item xlName="_GBC_9cf76ec2aae6484cbb983cf468a375bc" concept="clcid-ci-ar:ShiFouShiYongChangQiYingShouKuanYuQiXinYongSunShiDeQueDingFangFaJiKuaiJiChuLiFangFa" label="是否适用：长期应收款预期信用损失的确定方法及会计处理方法" selectOptions="_buildInAppliance" controlType="CustomCheckbox" cRanges="[{&quot;StartName&quot;:&quot;_GBC_9cf76ec2aae6484cbb983cf468a375bc&quot;,&quot;EndName&quot;:&quot;_GBC_9325ee65dfbd4ae48e56465d290e3a50&quot;,&quot;CType&quot;:1}]"/>
      <m:item xlName="_GBC_9325ee65dfbd4ae48e56465d290e3a50" concept="clcid-pte:ChangQiYingShouKuanYuQiXinYongSunShiDeQueDingFangFaJiKuaiJiChuLiFangFa" label="长期应收款预期信用损失的确定方法及会计处理方法" appId="_GBC_9cf76ec2aae6484cbb983cf468a375bc"/>
    </m:section>
    <m:section xlName="_GBC_d82c12cf13554acd90dfb7880244798c" title="长期股权投资" ignorePeriod="1" helpId="112001018" helpText="注：说明共同控制、重要影响的判断标准，长期股权投资的初始投资成本确定、后续计量及损益确认方法。">
      <m:item xlName="_GBC_a2b657853ac547afaaad118dec96d0e1" concept="clcid-ci-ar:ShiFouShiYongChangQiGuQuanTouZiZhongYaoHuiJiZhengCeHeGuJi" label="是否适用：长期股权投资_重要会计政策和估计" selectOptions="_buildInAppliance" controlType="CustomCheckbox" cRanges="{&quot;StartName&quot;:&quot;_GBC_a2b657853ac547afaaad118dec96d0e1&quot;,&quot;EndName&quot;:&quot;_GBC_3e77074cd50946b1bccdff9bc1c9556f&quot;,&quot;CType&quot;:1,&quot;DisplayText&quot;:null}"/>
      <m:item xlName="_GBC_3e77074cd50946b1bccdff9bc1c9556f" concept="clcid-pte:ChangQiGuQuanTouZiDeHeSuanFangFa" label="长期股权投资的核算方法" appId="_GBC_a2b657853ac547afaaad118dec96d0e1"/>
    </m:section>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item xlName="_GBC_5b2898357289426780691d99ea19aa67" concept="clcid-pte:CaiYongChengBenJiLiangMoShiDeZheJiuHuoTanXiaoFangFa" label="采用成本计量模式的折旧或摊销方法"/>
    </m:section>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placeholder xlName="_PLD_2184b7576e914eab9a60f92a290f95d2"/>
    </m:section>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662771796da549e1b2a02fb7d497f077" title="固定资产确认条件" ignorePeriod="1" helpId="112001019">
      <m:item xlName="_GBC_45cce032cd1f43bfad18a80dd94e9cc4" concept="clcid-ci-ar:ShiFouShiYongGuDingZiChanQueRenTiaoJian" label="是否适用：固定资产确认条件" selectOptions="_buildInAppliance" controlType="CustomCheckbox" cRanges="{&quot;StartName&quot;:&quot;_GBC_45cce032cd1f43bfad18a80dd94e9cc4&quot;,&quot;EndName&quot;:&quot;_GBC_3044d53470b143fa9477fa34b85d4ec5&quot;,&quot;CType&quot;:1,&quot;DisplayText&quot;:null}"/>
      <m:item xlName="_GBC_3044d53470b143fa9477fa34b85d4ec5" concept="clcid-pte:GuDingZiChanQueRenTiaoJian" label="固定资产确认条件" appId="_GBC_45cce032cd1f43bfad18a80dd94e9cc4"/>
    </m:section>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c221ef38ff6a4242aab725946697311c" concept="clcid-ci-ar:ShiFouShiYongGuDingZiChanZheJiuFangFa" label="是否适用：固定资产折旧方法" selectOptions="_buildInAppliance" controlType="CustomCheckbox" cRanges="{&quot;StartName&quot;:&quot;_GBC_c221ef38ff6a4242aab725946697311c&quot;,&quot;EndName&quot;:&quot;_GBC_58d98c7dc02f49118e0a3b88e17eda01&quot;,&quot;CType&quot;:1,&quot;DisplayText&quot;:null}"/>
      <m:placeholder xlName="_PLD_d39db65ac15c4d7583d7fe75cb893517" addr="T0R0C0S1_1"/>
      <m:placeholder xlName="_PLD_1b5147121b9948e5a115c7a4d6c95995" addr="T0R0C1S1_1"/>
      <m:placeholder xlName="_PLD_65441224aa3f4fd3be4ca0650b16b1aa" addr="T0R0C2S1_1"/>
      <m:placeholder xlName="_PLD_1c82a37539a842289bf80f2937f33bee" addr="T0R0C3S1_1"/>
      <m:placeholder xlName="_PLD_a67e8338c181496fa22b9944b63ec82c" addr="T0R0C4S1_1"/>
      <m:tuple xlName="_GBC_f1ad6125c5d74d2a98f593d2ba574474" concept="clcid-pte:QiTaGuDingZiChanJiJiaZheJiuJianZhiFangFa" default_row="2" addr="T0R1C">
        <m:item xlName="_GBC_a35d877f25bc40f3994d41d8763e2a50" concept="clcid-pte:GuDingZiChanLeiBie" label="固定资产类别" addr="T0R1C0S1_1" appId="_GBC_c221ef38ff6a4242aab725946697311c"/>
        <m:item xlName="_GBC_9b84b623c81948d4be1abe781ca5da73" concept="clcid-pte:GuDingZiChanZheJiuFangFa" label="固定资产折旧方法" addr="T0R1C1S1_1" appId="_GBC_c221ef38ff6a4242aab725946697311c"/>
        <m:item xlName="_GBC_3b6f8ca8242140bca158d6718f6e4a67" concept="clcid-pte:GuDingZiChanLeiBieDeZheJiuNianXian" label="固定资产类别的折旧年限" addr="T0R1C2S1_1" appId="_GBC_c221ef38ff6a4242aab725946697311c"/>
        <m:item xlName="_GBC_76af0d0da53c455f9b0a413f033af92e" concept="clcid-pte:GuDingZiChanLeiBieDeCanZhiLv" label="固定资产类别的残值率" addr="T0R1C3S1_1" formatStyle="Comma" appId="_GBC_c221ef38ff6a4242aab725946697311c"/>
        <m:item xlName="_GBC_58d98c7dc02f49118e0a3b88e17eda01" concept="clcid-pte:GuDingZiChanLeiBieDeNianZheJiuLv" label="固定资产类别的年折旧率" addr="T0R1C4S1_1" appId="_GBC_c221ef38ff6a4242aab725946697311c"/>
      </m:tuple>
    </m:section>
    <m:section xlName="_GBC_a1560089c32f441f92e145c3cdc25289" title="固定资产计价和折旧方法及减值准备的计提方法" convertSummaryRule="NoConvert" helpId="112001019" helpText="未执行新租赁准则的公司填写">
      <m:item xlName="_GBC_16fcfe6546324a2bb6bf5a46c9363b25" concept="clcid-ci-ar:ShiFouShiYongRongZiZuRuGuDingZiChanDeRenDingYiJuJiJiaHeZheJiuFangFa" label="是否适用：融资租入固定资产的认定依据、计价和折旧方法" selectOptions="_buildInAppliance" controlType="CustomCheckbox" cRanges="{&quot;StartName&quot;:&quot;_GBC_16fcfe6546324a2bb6bf5a46c9363b25&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16fcfe6546324a2bb6bf5a46c9363b25"/>
    </m:section>
    <m:section xlName="_GBC_3eb5f960df3e47f0a4bf3af0bc67ca96" title="在建工程会计处理方法" ignorePeriod="1" convertSummaryRule="NoConvert" helpId="112001020" helpText="注：说明在建工程结转为固定资产的标准和时点。">
      <m:item xlName="_GBC_d9803b41f65e4a7fbebb412a259d9bf9" concept="clcid-ci-ar:ShiFouShiYongZaiJianGongChengZhongYaoHuiJiZhengCeHeGuJi" label="是否适用：在建工程_重要会计政策和估计" selectOptions="_buildInAppliance" controlType="CustomCheckbox" cRanges="{&quot;StartName&quot;:&quot;_GBC_d9803b41f65e4a7fbebb412a259d9bf9&quot;,&quot;EndName&quot;:&quot;_GBC_ed79f983df814c58add61776fe84c76e&quot;,&quot;CType&quot;:1,&quot;DisplayText&quot;:null}"/>
      <m:item xlName="_GBC_ed79f983df814c58add61776fe84c76e" concept="clcid-pte:ZaiJianGongChengHeSuanFangFa" label="在建工程核算方法" appId="_GBC_d9803b41f65e4a7fbebb412a259d9bf9"/>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3f3db73e5cb247009b3840143b5e6627" concept="clcid-ci-ar:ShiFouShiYongJieKuanFeiYongZhongYaoHuiJiZhengCeHeGuJi" label="是否适用：借款费用_重要会计政策和估计" selectOptions="_buildInAppliance" controlType="CustomCheckbox" cRanges="{&quot;StartName&quot;:&quot;_GBC_3f3db73e5cb247009b3840143b5e6627&quot;,&quot;EndName&quot;:&quot;_GBC_2101c32d32c64f39a8b8fcd2b72dbb0a&quot;,&quot;CType&quot;:1,&quot;DisplayText&quot;:null}"/>
      <m:item xlName="_GBC_2101c32d32c64f39a8b8fcd2b72dbb0a" concept="clcid-pte:JieKuanFeiYongDeKuaiJiChuLiFangFa" label="借款费用的会计处理方法" appId="_GBC_3f3db73e5cb247009b3840143b5e6627"/>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3c525bb9dd0340978b83e74317a40315" concept="clcid-ci-ar:ShiFouShiYongShengWuZiChanZhongYaoHuiJiZhengCeHeGuJi" label="是否适用：生物资产_重要会计政策和估计" selectOptions="_buildInAppliance" controlType="CustomCheckbox" cRanges="{&quot;StartName&quot;:&quot;_GBC_3c525bb9dd0340978b83e74317a40315&quot;,&quot;EndName&quot;:&quot;_GBC_803a1acb18364df5935823f466cbe845&quot;,&quot;CType&quot;:1,&quot;DisplayText&quot;:null}"/>
      <m:item xlName="_GBC_803a1acb18364df5935823f466cbe845" concept="clcid-pte:ShengWuZiChanDeHeSuanFangFa" label="生物资产的核算方法" appId="_GBC_3c525bb9dd0340978b83e74317a4031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60d99a70431c4b868b6e953077cbfe88" concept="clcid-ci-ar:ShiFouShiYongYouQiZiChanZhongYaoHuiJiZhengCeHeGuJi" label="是否适用：油气资产_重要会计政策和估计" selectOptions="_buildInAppliance" controlType="CustomCheckbox" cRanges="{&quot;StartName&quot;:&quot;_GBC_60d99a70431c4b868b6e953077cbfe88&quot;,&quot;EndName&quot;:&quot;_GBC_f5ee74c30627469eb7b966796985b90e&quot;,&quot;CType&quot;:1,&quot;DisplayText&quot;:null}"/>
      <m:item xlName="_GBC_f5ee74c30627469eb7b966796985b90e" concept="clcid-pte:YouQiZiChanDeHeSuanFangFa" label="油气资产的核算方法" appId="_GBC_60d99a70431c4b868b6e953077cbfe88"/>
    </m:section>
    <m:section xlName="_SEC_90a021f24056469493c41c33bb5760c5" title="使用权资产" ignorePeriod="1">
      <m:item xlName="_GBC_bbd2545b6bca43cea34e43a28caeae1a" concept="clcid-ci-ar:ShiFouShiYongShiYongQuanZiChanZhongYaoKuaiJiZhengCeHeGuJi" label="是否适用：使用权资产_重要会计政策和估计" selectOptions="_buildInAppliance" controlType="CustomCheckbox" cRanges="[{&quot;StartName&quot;:&quot;_GBC_bbd2545b6bca43cea34e43a28caeae1a&quot;,&quot;EndName&quot;:&quot;_GBC_3bb46fd024784bf2b06e4f7d7b903751&quot;,&quot;CType&quot;:1}]"/>
      <m:item xlName="_GBC_3bb46fd024784bf2b06e4f7d7b903751" concept="clcid-pte:ShiYongQuanZiChanDeHeSuanFangFa" label="使用权资产的核算方法" appId="_GBC_bbd2545b6bca43cea34e43a28caeae1a"/>
    </m:section>
    <m:section xlName="_GBC_0a8b293ff9e94173b2e385f4ef2a8c89" title="无形资产会计处理方法" ignorePeriod="1" convertSummaryRule="NoConvert" helpId="112001024">
      <m:item xlName="_GBC_a82698fb1ffd4e75b46a9c35938b4cf4" concept="clcid-ci-ar:ShiFouShiYongWuXingZiChanJiJiaFangFaShiYongShouMingJianZhiCeShi" label="是否适用：无形资产计价方法、使用寿命、减值测试" selectOptions="_buildInAppliance" controlType="CustomCheckbox" cRanges="{&quot;StartName&quot;:&quot;_GBC_a82698fb1ffd4e75b46a9c35938b4cf4&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a82698fb1ffd4e75b46a9c35938b4cf4"/>
      <m:item xlName="_GBC_c3cef4c9f19749b8a53b7f49d3b7bac3" concept="clcid-ci-ar:ShiFouShiYongWuXingZiChanNeiBuYanJiuKaiFaZhiChuHuiJiZhengCe" label="是否适用：无形资产内部研究开发支出会计政策" selectOptions="_buildInAppliance" controlType="CustomCheckbox" cRanges="{&quot;StartName&quot;:&quot;_GBC_c3cef4c9f19749b8a53b7f49d3b7bac3&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c3cef4c9f19749b8a53b7f49d3b7bac3"/>
    </m:section>
    <m:section xlName="_SEC_c11b0580b6b040ca9dbb882b383dfc03" title="长期资产减值">
      <m:item xlName="_GBC_d0feb744f96144ffa5335cd194c6cdf9" concept="clcid-ci-ar:ShiFouShiYongChangQiZiChanJianZhiZhongYaoHuiJiZhengCeHeGuJi" label="是否适用：长期资产减值_重要会计政策和估计" selectOptions="_buildInAppliance" controlType="CustomCheckbox" cRanges="[{&quot;StartName&quot;:&quot;_GBC_d0feb744f96144ffa5335cd194c6cdf9&quot;,&quot;EndName&quot;:&quot;_GBC_e8cb396d7101453b9e9cd1bc11b8633e&quot;,&quot;CType&quot;:1}]"/>
      <m:item xlName="_GBC_e8cb396d7101453b9e9cd1bc11b8633e" concept="clcid-pte:FeiJinRongChangQiZiChanJianZhiCeShiFangFaJiKuaiJiChuLiFangFa" label="非金融长期资产减值测试方法及会计处理方法" appId="_GBC_d0feb744f96144ffa5335cd194c6cdf9"/>
    </m:section>
    <m:section xlName="_SEC_716e5dd4aef549d9b8815a4e1474e63d" title="长期待摊费用">
      <m:item xlName="_GBC_75739ccc62204f0490525060b33e330f" concept="clcid-ci-ar:ShiFouShiYongChangQiDaiTanFeiYongZhongYaoHuiJiZhengCeHeGuJi" label="是否适用：长期待摊费用_重要会计政策和估计" selectOptions="_buildInAppliance" controlType="CustomCheckbox" cRanges="[{&quot;StartName&quot;:&quot;_GBC_75739ccc62204f0490525060b33e330f&quot;,&quot;EndName&quot;:&quot;_GBC_e4e695ce4aea4c878acb6f8ad7190139&quot;,&quot;CType&quot;:1}]"/>
      <m:item xlName="_GBC_e4e695ce4aea4c878acb6f8ad7190139" concept="clcid-pte:KaiBanFeiChangQiDaiTanFeiYongTanXiaoFangFa" label="开办费、长期待摊费用摊销方法" appId="_GBC_75739ccc62204f0490525060b33e330f"/>
    </m:section>
    <m:section xlName="_SEC_2988762bdf3a48178e0180a615cb7705" title="合同负债" ignorePeriod="1">
      <m:item xlName="_GBC_f210968f2ea04a338a3253827b172c25" concept="clcid-ci-ar:ShiFouShiYongHeTongFuZhaiDeQueDingFangFaTanXiaoFangFaHeJianZhiCeShiFangFa" label="是否适用：合同负债的确定方法、摊销方法和减值测试方法" selectOptions="_buildInAppliance" controlType="CustomCheckbox" cRanges="[{&quot;StartName&quot;:&quot;_GBC_f210968f2ea04a338a3253827b172c25&quot;,&quot;EndName&quot;:&quot;_GBC_adbfb902bae348178906cb42c1932267&quot;,&quot;CType&quot;:1}]"/>
      <m:item xlName="_GBC_adbfb902bae348178906cb42c1932267" concept="clcid-pte:HeTongFuZhaiDeQueDingFangFaTanXiaoFangFaHeJianZhiCeShiFangFa" label="合同负债的确定方法、摊销方法和减值测试方法" appId="_GBC_f210968f2ea04a338a3253827b172c25"/>
    </m:section>
    <m:section xlName="_GBC_8ec8855eb4d5447ab785e4bd4b0b73aa" title="职工薪酬" ignorePeriod="1" helpId="112001010">
      <m:item xlName="_GBC_eefed2a465e349b6a35598930bd9541d" concept="clcid-ci-ar:ShiFouShiYongDuanQiXinChouDeHuiJiChuLiFangFa" label="是否适用：短期薪酬的会计处理方法" selectOptions="_buildInAppliance" controlType="CustomCheckbox" cRanges="{&quot;StartName&quot;:&quot;_GBC_eefed2a465e349b6a35598930bd9541d&quot;,&quot;EndName&quot;:&quot;_GBC_8fdf44b194ac45fb945d36b9896df796&quot;,&quot;CType&quot;:1,&quot;DisplayText&quot;:null}"/>
      <m:item xlName="_GBC_8fdf44b194ac45fb945d36b9896df796" concept="clcid-pte:DuanQiXinChouDeKuaiJiChuLiFangFa" label="短期薪酬的会计处理方法" appId="_GBC_eefed2a465e349b6a35598930bd9541d"/>
      <m:item xlName="_GBC_35bbae299fda438d9e595058bbecbcdc" concept="clcid-ci-ar:ShiFouShiYongLiZhiHouFuLiDeHuiJiChuLiFangFa" label="是否适用：离职后福利的会计处理方法" selectOptions="_buildInAppliance" controlType="CustomCheckbox" cRanges="{&quot;StartName&quot;:&quot;_GBC_35bbae299fda438d9e595058bbecbcdc&quot;,&quot;EndName&quot;:&quot;_GBC_3b0bafa6ef784ba99c829e2f60cf828e&quot;,&quot;CType&quot;:1,&quot;DisplayText&quot;:null}"/>
      <m:item xlName="_GBC_3b0bafa6ef784ba99c829e2f60cf828e" concept="clcid-pte:LiZhiHouFuLiDeKuaiJiChuLiFangFa" label="离职后福利的会计处理方法" appId="_GBC_35bbae299fda438d9e595058bbecbcdc"/>
      <m:item xlName="_GBC_b6be1c30b6144d54b0e20b3cb9d3a691" concept="clcid-ci-ar:ShiFouShiYongCiTuiFuLiDeHuiJiChuLiFangFa" label="是否适用：辞退福利的会计处理方法" selectOptions="_buildInAppliance" controlType="CustomCheckbox" cRanges="{&quot;StartName&quot;:&quot;_GBC_b6be1c30b6144d54b0e20b3cb9d3a691&quot;,&quot;EndName&quot;:&quot;_GBC_a93705fb60b24bceb25c88a68ed87432&quot;,&quot;CType&quot;:1,&quot;DisplayText&quot;:null}"/>
      <m:item xlName="_GBC_a93705fb60b24bceb25c88a68ed87432" concept="clcid-pte:CiTuiFuLiDeKuaiJiChuLiFangFa" label="辞退福利的会计处理方法" appId="_GBC_b6be1c30b6144d54b0e20b3cb9d3a691"/>
      <m:item xlName="_GBC_6650f3bc6a474b318e05b9d60314cb7f" concept="clcid-ci-ar:ShiFouShiYongQiTaChangQiZhiGongFuLiDeHuiJiChuLiFangFa" label="是否适用：其他长期职工福利的会计处理方法" selectOptions="_buildInAppliance" controlType="CustomCheckbox" cRanges="{&quot;StartName&quot;:&quot;_GBC_6650f3bc6a474b318e05b9d60314cb7f&quot;,&quot;EndName&quot;:&quot;_GBC_0e549e9400284de7b64ddf6ecc255dea&quot;,&quot;CType&quot;:1,&quot;DisplayText&quot;:null}"/>
      <m:item xlName="_GBC_0e549e9400284de7b64ddf6ecc255dea" concept="clcid-pte:QiTaChangQiZhiGongFuLiDeKuaiJiChuLiFangFa" label="其他长期职工福利的会计处理方法" appId="_GBC_6650f3bc6a474b318e05b9d60314cb7f"/>
    </m:section>
    <m:section xlName="_SEC_d8e7208bcd04489eb6a8b588ac7c08d7" title="租赁负债" ignorePeriod="1">
      <m:item xlName="_GBC_34c8994db6c04aa0821b8100fc152679" concept="clcid-ci-ar:ShiFouShiYongZuLinFuZhaiZhongYaoKuaiJiZhengCeHeGuJi" label="是否适用：租赁负债_重要会计政策和估计" selectOptions="_buildInAppliance" controlType="CustomCheckbox" cRanges="[{&quot;StartName&quot;:&quot;_GBC_34c8994db6c04aa0821b8100fc152679&quot;,&quot;EndName&quot;:&quot;_GBC_f93840fd38604e669d3682eeebba46a7&quot;,&quot;CType&quot;:1}]"/>
      <m:item xlName="_GBC_f93840fd38604e669d3682eeebba46a7" concept="clcid-pte:ZuLinFuZhaiDeHeSuanFangFa" label="租赁负债的核算方法" appId="_GBC_34c8994db6c04aa0821b8100fc152679"/>
    </m:section>
    <m:section xlName="_GBC_b5b71a4d3cc1425c80f55e751e7e18c2" title="预计负债会计处理方法" ignorePeriod="1" convertSummaryRule="NoConvert" helpId="112001027" helpText="注：说明预计负债的确认标准和各类预计负债的计量方法。">
      <m:item xlName="_GBC_60f7f598e5d5458986c0f06775dc38fd" concept="clcid-ci-ar:ShiFouShiYongYuJiFuZhaiZhongYaoHuiJiZhengCeHeGuJi" label="是否适用：预计负债_重要会计政策和估计" selectOptions="_buildInAppliance" controlType="CustomCheckbox" cRanges="{&quot;StartName&quot;:&quot;_GBC_60f7f598e5d5458986c0f06775dc38fd&quot;,&quot;EndName&quot;:&quot;_GBC_d6934772e41e485d9e00e349486f9d7e&quot;,&quot;CType&quot;:1,&quot;DisplayText&quot;:null}"/>
      <m:item xlName="_GBC_d6934772e41e485d9e00e349486f9d7e" concept="clcid-pte:YuJiFuZhaiDeHeSuanFangFa" label="预计负债的核算方法" appId="_GBC_60f7f598e5d5458986c0f06775dc38fd"/>
    </m:section>
    <m:section xlName="_GBC_5300d3ce4b5f4c1690fe13bde0a610e3" title="股份支付" ignorePeriod="1" helpId="112001028" helpText="注：说明股份支付计划的会计处理方法，包括修改或终止股份支付计划的相关会计处理。">
      <m:item xlName="_GBC_cfe00a6b35f24950855f2412f34bcf7a" concept="clcid-ci-ar:ShiFouShiYongGuFenZhiFuZhongYaoHuiJiZhengCeHeGuJi" label="是否适用：股份支付_重要会计政策和估计" selectOptions="_buildInAppliance" controlType="CustomCheckbox" cRanges="{&quot;StartName&quot;:&quot;_GBC_cfe00a6b35f24950855f2412f34bcf7a&quot;,&quot;EndName&quot;:&quot;_GBC_99e197c555ed4cf8aa00bbd5da2fe98b&quot;,&quot;CType&quot;:1,&quot;DisplayText&quot;:null}"/>
      <m:item xlName="_GBC_99e197c555ed4cf8aa00bbd5da2fe98b" concept="clcid-pte:GuFenZhiFuDeHeSuanFangFa" label="股份支付的核算方法" appId="_GBC_cfe00a6b35f24950855f2412f34bcf7a"/>
    </m:section>
    <m:section xlName="_GBC_d3c9524999e647d78f354bb216cfb1aa" title="优先股、永续债" ignorePeriod="1" helpId="112001029" helpText="注：说明优先股、永续债等其他金融工具的会计处理方法">
      <m:item xlName="_GBC_34eb80e2168144958293aa1351780303" concept="clcid-ci-ar:ShiFouShiYongYouXianGuYongXuZhaiDengQiTaJinRongGongJu" label="是否适用：优先股、永续债等其他金融工具" selectOptions="_buildInAppliance" controlType="CustomCheckbox" cRanges="{&quot;StartName&quot;:&quot;_GBC_34eb80e2168144958293aa1351780303&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34eb80e2168144958293aa1351780303"/>
    </m:section>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item xlName="_GBC_b6eb71cc057645f3b05fb68d8273c681" concept="clcid-ci-ar:ShiFouShiYongShouRuQueRenHeJiLiangSuoCaiYongDeKuaiJiZhengCe" label="是否适用：收入确认和计量所采用的会计政策" selectOptions="_buildInAppliance" controlType="CustomCheckbox" cRanges="[{&quot;StartName&quot;:&quot;_GBC_b6eb71cc057645f3b05fb68d8273c681&quot;,&quot;EndName&quot;:&quot;_GBC_c9c2b3029c08405387c460d2d7eacc7d&quot;,&quot;CType&quot;:1}]"/>
      <m:item xlName="_GBC_c9c2b3029c08405387c460d2d7eacc7d" concept="clcid-pte:ShouRuQueRenHeJiLiangSuoCaiYongDeKuaiJiZhengCe" label="收入确认和计量所采用的会计政策" appId="_GBC_b6eb71cc057645f3b05fb68d8273c681"/>
    </m:section>
    <m:section xlName="_SEC_d90e7184f27046ff9caab68c045539c7" title="同类业务采用不同经营模式导致收入确认会计政策存在差异的情况" ignorePeriod="1">
      <m:item xlName="_GBC_f4f4337356c44180a833322bec4248a8"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f4f4337356c44180a833322bec4248a8&quot;,&quot;EndName&quot;:&quot;_GBC_7acccdb5c4b74eea966ff1844cb85072&quot;,&quot;CType&quot;:1}]"/>
      <m:item xlName="_GBC_7acccdb5c4b74eea966ff1844cb85072" concept="clcid-pte:TongLeiYeWuCaiYongBuTongJingYingMoShiDaoZhiShouRuQueRenKuaiJiZhengCeCunZaiChaYiDeQingKuang" label="同类业务采用不同经营模式导致收入确认会计政策存在差异的情况" appId="_GBC_f4f4337356c44180a833322bec4248a8"/>
    </m:section>
    <m:section xlName="_SEC_1a8f2a657b9d471d80373f3b25cb1dfe" title="合同成本" ignorePeriod="1">
      <m:item xlName="_GBC_d7752b20e4914f04bf87bad019929fe8" concept="clcid-ci-ar:ShiFouShiYongHeTongChengBenZhongYaoKuaiJiZhengCeHeGuJi" label="是否适用：合同成本_重要会计政策和估计" selectOptions="_buildInAppliance" controlType="CustomCheckbox" cRanges="[{&quot;StartName&quot;:&quot;_GBC_d7752b20e4914f04bf87bad019929fe8&quot;,&quot;EndName&quot;:&quot;_GBC_6936a4a013d94bae8da35405dbef11fd&quot;,&quot;CType&quot;:1}]"/>
      <m:item xlName="_GBC_6936a4a013d94bae8da35405dbef11fd" concept="clcid-pte:HeTongChengBenZhongYaoKuaiJiZhengCeHeGuJi" label="合同成本_重要会计政策和估计" appId="_GBC_d7752b20e4914f04bf87bad019929fe8"/>
    </m:section>
    <m:section xlName="_GBC_b03bd816e50b42ae97b660897ca33234" title="政府补助会计处理方法" ignorePeriod="1" convertSummaryRule="NoConvert" helpId="112001010">
      <m:item xlName="_GBC_09d5ec3540ea4d9a8e10c93326c490a0" concept="clcid-ci-ar:ShiFouShiYongZhengFuBuZhuZhongYaoKuaiJiZhengCeHeGuJi" label="是否适用：政府补助_重要会计政策和估计" selectOptions="_buildInAppliance" controlType="CustomCheckbox" cRanges="[{&quot;StartName&quot;:&quot;_GBC_09d5ec3540ea4d9a8e10c93326c490a0&quot;,&quot;EndName&quot;:&quot;_GBC_f313a7b8b81b4ed0845a3af1ac57e5e8&quot;,&quot;CType&quot;:1}]"/>
      <m:item xlName="_GBC_f313a7b8b81b4ed0845a3af1ac57e5e8" concept="clcid-pte:ZhengFuBuZhuZhongYaoKuaiJiZhengCeHeGuJi" label="政府补助_重要会计政策和估计" appId="_GBC_09d5ec3540ea4d9a8e10c93326c490a0"/>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3e4bb828d17944599248216201e65683" concept="clcid-ci-ar:ShiFouShiYongSuoDeShuiDeHuiJiChuLiFangFa" label="是否适用：所得税的会计处理方法" selectOptions="_buildInAppliance" controlType="CustomCheckbox" cRanges="{&quot;StartName&quot;:&quot;_GBC_3e4bb828d17944599248216201e65683&quot;,&quot;EndName&quot;:&quot;_GBC_545dd84ed2b9458fa5e2b87aa1e1cc1c&quot;,&quot;CType&quot;:1,&quot;DisplayText&quot;:null}"/>
      <m:item xlName="_GBC_545dd84ed2b9458fa5e2b87aa1e1cc1c" concept="clcid-pte:SuoDeShuiDeKuaiJiChuLiFangFa" label="所得税的会计处理方法" appId="_GBC_3e4bb828d17944599248216201e65683"/>
    </m:section>
    <m:section xlName="_GBC_f9ff4c1b9d1748b8854889b1fd9b076c" title="经营租赁、融资租赁会计处理方法" ignorePeriod="1" convertSummaryRule="NoConvert" helpId="112001010" helpText="未执行新租赁准则的公司填写">
      <m:item xlName="_GBC_e2074b0f384d4bba80c32083627e5bdd" concept="clcid-ci-ar:ShiFouShiYongJingYingZuLinDeHuiJiChuLiFangFa" label="是否适用：经营租赁的会计处理方法" selectOptions="_buildInAppliance" controlType="CustomCheckbox" cRanges="{&quot;StartName&quot;:&quot;_GBC_e2074b0f384d4bba80c32083627e5bdd&quot;,&quot;EndName&quot;:&quot;_GBC_95879bb481f644fd959d3a5843c3b06a&quot;,&quot;CType&quot;:1,&quot;DisplayText&quot;:null}"/>
      <m:item xlName="_GBC_95879bb481f644fd959d3a5843c3b06a" concept="clcid-pte:JingYingZuLinDeKuaiJiChuLiFangFa" label="经营租赁的会计处理方法" appId="_GBC_e2074b0f384d4bba80c32083627e5bdd"/>
      <m:item xlName="_GBC_e6743f781bfc4763acf7f9821c740304" concept="clcid-ci-ar:ShiFouShiYongRongZiZuLinDeHuiJiChuLiFangFa" label="是否适用：融资租赁的会计处理方法" selectOptions="_buildInAppliance" controlType="CustomCheckbox" cRanges="{&quot;StartName&quot;:&quot;_GBC_e6743f781bfc4763acf7f9821c740304&quot;,&quot;EndName&quot;:&quot;_GBC_b569fbdb600447ad8fef8d88dedd81cc&quot;,&quot;CType&quot;:1,&quot;DisplayText&quot;:null}"/>
      <m:item xlName="_GBC_b569fbdb600447ad8fef8d88dedd81cc" concept="clcid-pte:RongZiZuLinDeKuaiJiChuLiFangFa" label="融资租赁的会计处理方法" appId="_GBC_e6743f781bfc4763acf7f9821c740304"/>
    </m:section>
    <m:section xlName="_SEC_8bc58354e42542c7bbad4c16498c3080" title="新租赁准则下租赁的确定方法及会计处理方法">
      <m:item xlName="_GBC_9214d33ec34c41b68ccb23415b029371" concept="clcid-ci-ar:ShiFouShiYongXinZuLinZhunZeXiaZuLinDeQueDingFangFaJiHuiJiChuLiFangFa" label="是否适用：新租赁准则下租赁的确定方法及会计处理方法" selectOptions="_buildInAppliance" controlType="CustomCheckbox" cRanges="[{&quot;StartName&quot;:&quot;_GBC_9214d33ec34c41b68ccb23415b029371&quot;,&quot;EndName&quot;:&quot;_GBC_ccaa4235b3124a2f9a3b351187d42720&quot;,&quot;CType&quot;:1}]"/>
      <m:item xlName="_GBC_ccaa4235b3124a2f9a3b351187d42720" concept="clcid-pte:XinZuLinZhunZeXiaZuLinDeQueDingFangFaJiHuiJiChuLiFangFaDeShuoMing" label="新租赁准则下租赁的确定方法及会计处理方法的说明 " appId="_GBC_9214d33ec34c41b68ccb23415b029371"/>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b4281f4538de4623a036697d3903e1f8" concept="clcid-ci-ar:ShiFouShiYongQiTaZhongYaoDeHuiJiZhengCeHeHuiJiGuJi" label="是否适用：其他重要的会计政策和会计估计" selectOptions="_buildInAppliance" controlType="CustomCheckbox" cRanges="{&quot;StartName&quot;:&quot;_GBC_b4281f4538de4623a036697d3903e1f8&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281f4538de4623a036697d3903e1f8"/>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placeholder xlName="_PLD_daa059e86d644c38a64c2363d44d41a6" addr="T0R0C0S1_1"/>
      <m:placeholder xlName="_PLD_1a94328f786e442083b01d246c327f25" addr="T0R0C1S1_1"/>
      <m:placeholder xlName="_PLD_de432e748e8c4df0b4c141bfafe34ee9"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placeholder xlName="_PLD_7f079622e1e34eb393a5870ddaff9840" addr="T0R0C0S1_1"/>
      <m:placeholder xlName="_PLD_5dbcb8bfab534f5588117c58d685f2ea" addr="T0R0C1S1_1"/>
      <m:placeholder xlName="_PLD_cdb554b4a0cd4f2eb0ac87dab62d09f5" addr="T0R0C2S1_1"/>
      <m:placeholder xlName="_PLD_1ddcfa9feb874e6aa6dd3d67bb6f4b4b"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3eb14b79700f4ec8a99bc143c5b8016c" concept="clcid-pte:KuaiJiGuJiDeBianGengDeQiTaShuoMing" label="会计估计的变更的其他说明" appId="_GBC_902f08bd36774074945386d2d1f9b67d"/>
    </m:section>
    <m:section xlName="_SEC_e1c98e5fd61d48c4bc25ea1a7cf45164"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需要编制合并报表" optionGroupTitle="是否需要合并报表" optionTargetConcept="clcid-ci-ar:ShiFouXuYaoHeBingBaoBiao" optionTargetConceptValue="true">
      <m:item xlName="_GBC_5ea888705f7c4c0f98e8769d2197c0de"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5ea888705f7c4c0f98e8769d2197c0de&quot;,&quot;EndName&quot;:&quot;_GBC_d0fbabdfa28a42cc85d9e88c82f80510&quot;,&quot;CType&quot;:1}]"/>
      <m:region xlName="_SEC_41a4f1020a3c418c935a7cb510dee401" title="合并资产负债表&#10;">
        <m:item xlName="_GBC_d28e3b675fc048afb747681dc6d939c2" concept="clcid-ci-ar:DanWeiHeBingZiChanFuZhaiBiao" label="单位：合并资产负债表" selectOptions="_buildInScales" controlType="Combobox" cellType="Scale" appId="_GBC_5ea888705f7c4c0f98e8769d2197c0de"/>
        <m:item xlName="_GBC_e3316f7d89b24ba1bb4a783fd180bf77" concept="clcid-ci-ar:BiZhongHeBingZiChanFuZhaiBiao" label="币种：合并资产负债表" selectOptions="_buildInISO4217" controlType="Combobox" cellType="Measure" appId="_GBC_5ea888705f7c4c0f98e8769d2197c0de"/>
        <m:placeholder xlName="_PLD_f722f6dfc20745adb2d46c44c80bfac1" addr="T0R0C0S1_1"/>
        <m:placeholder xlName="_PLD_f4bb71216cbe4aa2b7c307a16214d769" addr="T0R0C1S1_1"/>
        <m:placeholder xlName="_PLD_117c3036ee174d36950551d0e65ed7fe" addr="T0R0C2S1_1"/>
        <m:placeholder xlName="_PLD_81596488beb14108bcc1a644f7064c86" addr="T0R0C3S1_1"/>
        <m:placeholder xlName="_PLD_56fc53346a344cb18c42cf14da6a0ab8" addr="T0R1C0S1_1"/>
        <m:placeholder xlName="_PLD_4275c997fab34b31bdc237110f7ac4b5" addr="T0R2C0S1_1"/>
        <m:item xlName="_GBC_03d75a16da894a4fb45128b4c4e6087c" concept="clcid-pte:HuoBiZiJin" label="货币资金" periodRef="上年期末数" mulRef="_GBC_d28e3b675fc048afb747681dc6d939c2" unitRef="_GBC_e3316f7d89b24ba1bb4a783fd180bf77" addr="T0R2C1S1_1" formatStyle="Comma" appId="_GBC_5ea888705f7c4c0f98e8769d2197c0de"/>
        <m:item xlName="_GBC_696630dfedcd4b708e381fc19ebffd9f" concept="clcid-pte:HuoBiZiJin" label="货币资金" periodRef="本期期初数" mulRef="_GBC_d28e3b675fc048afb747681dc6d939c2" unitRef="_GBC_e3316f7d89b24ba1bb4a783fd180bf77" addr="T0R2C2S1_1" formatStyle="Comma" appId="_GBC_5ea888705f7c4c0f98e8769d2197c0de">
          <m:complexRule comparator="Eq" title="货币资金@本期期初数" test=" $_GBC_03d75a16da894a4fb45128b4c4e6087c +  $_GBC_8d10e7cf6d6e41098697ca73190a6393" id="Cfd167edc7535494587a084aa0a573056"/>
        </m:item>
        <m:item xlName="_GBC_8d10e7cf6d6e41098697ca73190a6393" concept="clcid-pte:HuoBiZiJin" label="货币资金" mulRef="_GBC_d28e3b675fc048afb747681dc6d939c2" unitRef="_GBC_e3316f7d89b24ba1bb4a783fd180bf77" addr="T0R2C3S1_1" formatStyle="Comma" appId="_GBC_5ea888705f7c4c0f98e8769d2197c0de">
          <m:axisValue occRef="调整数"/>
        </m:item>
        <m:placeholder xlName="_PLD_cfb3ce8aaf844f20bade494f8de16d9c" addr="T0R3C0S1_1"/>
        <m:item xlName="_GBC_4daa5532164348eaa242beea4d640659" concept="clcid-pte:JieSuanBeiFuJin" label="结算备付金" periodRef="上年期末数" mulRef="_GBC_d28e3b675fc048afb747681dc6d939c2" unitRef="_GBC_e3316f7d89b24ba1bb4a783fd180bf77" addr="T0R3C1S1_1" formatStyle="Comma" appId="_GBC_5ea888705f7c4c0f98e8769d2197c0de"/>
        <m:item xlName="_GBC_9b0b4d43971b4aea83e09105c5ac515d" concept="clcid-pte:JieSuanBeiFuJin" label="结算备付金" periodRef="本期期初数" mulRef="_GBC_d28e3b675fc048afb747681dc6d939c2" unitRef="_GBC_e3316f7d89b24ba1bb4a783fd180bf77" addr="T0R3C2S1_1" formatStyle="Comma" appId="_GBC_5ea888705f7c4c0f98e8769d2197c0de">
          <m:complexRule comparator="Eq" title="结算备付金@本期期初数" test="$_GBC_4daa5532164348eaa242beea4d640659 + $_GBC_15bf9d66100b4b09b82d3a1b3909aeb7" id="C3bba505a20f947c5b5763e8175bd32d8"/>
        </m:item>
        <m:item xlName="_GBC_15bf9d66100b4b09b82d3a1b3909aeb7" concept="clcid-pte:JieSuanBeiFuJin" label="结算备付金" mulRef="_GBC_d28e3b675fc048afb747681dc6d939c2" unitRef="_GBC_e3316f7d89b24ba1bb4a783fd180bf77" addr="T0R3C3S1_1" formatStyle="Comma" appId="_GBC_5ea888705f7c4c0f98e8769d2197c0de">
          <m:axisValue occRef="调整数"/>
        </m:item>
        <m:placeholder xlName="_PLD_73f305bc0dad42a48574344b88169c52" addr="T0R4C0S1_1"/>
        <m:item xlName="_GBC_6a55fe81a23f47fdb9c67f17289b68b9" concept="clcid-pte:ChaiChuZiJin" label="拆出资金" periodRef="上年期末数" mulRef="_GBC_d28e3b675fc048afb747681dc6d939c2" unitRef="_GBC_e3316f7d89b24ba1bb4a783fd180bf77" addr="T0R4C1S1_1" formatStyle="Comma" appId="_GBC_5ea888705f7c4c0f98e8769d2197c0de"/>
        <m:item xlName="_GBC_ecc632a93ec84d49ba2c323073d02fb2" concept="clcid-pte:ChaiChuZiJin" label="拆出资金" periodRef="本期期初数" mulRef="_GBC_d28e3b675fc048afb747681dc6d939c2" unitRef="_GBC_e3316f7d89b24ba1bb4a783fd180bf77" addr="T0R4C2S1_1" formatStyle="Comma" appId="_GBC_5ea888705f7c4c0f98e8769d2197c0de">
          <m:complexRule comparator="Eq" title="拆出资金@本期期初数" test="$_GBC_6a55fe81a23f47fdb9c67f17289b68b9 + $_GBC_cd91fae2679f40f5aa2c4860b3b82b3e" id="C25a22949428947f18af7893a38753b22"/>
        </m:item>
        <m:item xlName="_GBC_cd91fae2679f40f5aa2c4860b3b82b3e" concept="clcid-pte:ChaiChuZiJin" label="拆出资金" mulRef="_GBC_d28e3b675fc048afb747681dc6d939c2" unitRef="_GBC_e3316f7d89b24ba1bb4a783fd180bf77" addr="T0R4C3S1_1" formatStyle="Comma" appId="_GBC_5ea888705f7c4c0f98e8769d2197c0de">
          <m:axisValue occRef="调整数"/>
        </m:item>
        <m:placeholder xlName="_PLD_e9406744239a488ea72665c240337f9e" addr="T0R5C0S1_1"/>
        <m:item xlName="_GBC_a8cc3f5deb664e5e953bca4d151ca733" concept="clcid-pte:JiaoYiXingJinRongZiChan" label="交易性金融资产" periodRef="上年期末数" mulRef="_GBC_d28e3b675fc048afb747681dc6d939c2" unitRef="_GBC_e3316f7d89b24ba1bb4a783fd180bf77" addr="T0R5C1S1_1" formatStyle="Comma" appId="_GBC_5ea888705f7c4c0f98e8769d2197c0de"/>
        <m:item xlName="_GBC_58dfb8912e1e41918ecf1e96e6965264" concept="clcid-pte:JiaoYiXingJinRongZiChan" label="交易性金融资产" periodRef="本期期初数" mulRef="_GBC_d28e3b675fc048afb747681dc6d939c2" unitRef="_GBC_e3316f7d89b24ba1bb4a783fd180bf77" addr="T0R5C2S1_1" formatStyle="Comma" appId="_GBC_5ea888705f7c4c0f98e8769d2197c0de">
          <m:complexRule comparator="Eq" title="交易性金融资产@本期期初数" test="$_GBC_a8cc3f5deb664e5e953bca4d151ca733 + $_GBC_64f194011f964c1e820b816761f03dd6" id="C728ff9400b3b43aab915106b56ebd153"/>
        </m:item>
        <m:item xlName="_GBC_64f194011f964c1e820b816761f03dd6" concept="clcid-pte:JiaoYiXingJinRongZiChan" label="交易性金融资产" mulRef="_GBC_d28e3b675fc048afb747681dc6d939c2" unitRef="_GBC_e3316f7d89b24ba1bb4a783fd180bf77" addr="T0R5C3S1_1" formatStyle="Comma" appId="_GBC_5ea888705f7c4c0f98e8769d2197c0de">
          <m:axisValue occRef="调整数"/>
        </m:item>
        <m:placeholder xlName="_PLD_f2ca4ecabe52459c89f3b3b833b28992" addr="T0R6C0S1_1"/>
        <m:item xlName="_GBC_21c0bf05c0b545e284aa830f1209cce4" concept="clcid-pte:YanShengJinRongZiChan" label="衍生金融资产" periodRef="上年期末数" mulRef="_GBC_d28e3b675fc048afb747681dc6d939c2" unitRef="_GBC_e3316f7d89b24ba1bb4a783fd180bf77" addr="T0R6C1S1_1" formatStyle="Comma" appId="_GBC_5ea888705f7c4c0f98e8769d2197c0de"/>
        <m:item xlName="_GBC_0689165167b54b64a7afc709a6054458" concept="clcid-pte:YanShengJinRongZiChan" label="衍生金融资产" periodRef="本期期初数" mulRef="_GBC_d28e3b675fc048afb747681dc6d939c2" unitRef="_GBC_e3316f7d89b24ba1bb4a783fd180bf77" addr="T0R6C2S1_1" formatStyle="Comma" appId="_GBC_5ea888705f7c4c0f98e8769d2197c0de">
          <m:complexRule comparator="Eq" title="衍生金融资产@本期期初数" test=" $_GBC_21c0bf05c0b545e284aa830f1209cce4 +  $_GBC_3051186b5108409a81df3f08eba72ffb" id="C33aa08eb6e094e2795d2278d6b987796"/>
        </m:item>
        <m:item xlName="_GBC_3051186b5108409a81df3f08eba72ffb" concept="clcid-pte:YanShengJinRongZiChan" label="衍生金融资产" mulRef="_GBC_d28e3b675fc048afb747681dc6d939c2" unitRef="_GBC_e3316f7d89b24ba1bb4a783fd180bf77" addr="T0R6C3S1_1" formatStyle="Comma" appId="_GBC_5ea888705f7c4c0f98e8769d2197c0de">
          <m:axisValue occRef="调整数"/>
        </m:item>
        <m:placeholder xlName="_PLD_404cf6ab6df04bccadc6e50b430c5ad1" addr="T0R7C0S1_1"/>
        <m:item xlName="_GBC_7a7677dac68e44ce8af4f7050070f2bb" concept="clcid-pte:YingShouPiaoJu" label="应收票据" periodRef="上年期末数" mulRef="_GBC_d28e3b675fc048afb747681dc6d939c2" unitRef="_GBC_e3316f7d89b24ba1bb4a783fd180bf77" addr="T0R7C1S1_1" formatStyle="Comma" appId="_GBC_5ea888705f7c4c0f98e8769d2197c0de"/>
        <m:item xlName="_GBC_8bb51793356948e2bb9ed906cf61d8ab" concept="clcid-pte:YingShouPiaoJu" label="应收票据" periodRef="本期期初数" mulRef="_GBC_d28e3b675fc048afb747681dc6d939c2" unitRef="_GBC_e3316f7d89b24ba1bb4a783fd180bf77" addr="T0R7C2S1_1" formatStyle="Comma" appId="_GBC_5ea888705f7c4c0f98e8769d2197c0de">
          <m:complexRule comparator="Eq" title="应收票据@本期期初数" test="$_GBC_7a7677dac68e44ce8af4f7050070f2bb + $_GBC_64ad04846ead4575af32c8103c2b208c" id="Ca205ae7e37874054bd122616e50c78f5"/>
        </m:item>
        <m:item xlName="_GBC_64ad04846ead4575af32c8103c2b208c" concept="clcid-pte:YingShouPiaoJu" label="应收票据" mulRef="_GBC_d28e3b675fc048afb747681dc6d939c2" unitRef="_GBC_e3316f7d89b24ba1bb4a783fd180bf77" addr="T0R7C3S1_1" formatStyle="Comma" appId="_GBC_5ea888705f7c4c0f98e8769d2197c0de">
          <m:axisValue occRef="调整数"/>
        </m:item>
        <m:placeholder xlName="_PLD_60c7fd7f05404a5aa4d1bd82df1525bf" addr="T0R8C0S1_1"/>
        <m:item xlName="_GBC_a030850c519443d6acb7eb74ee812c1c" concept="clcid-pte:YingShouZhangKuan" label="应收帐款" periodRef="上年期末数" mulRef="_GBC_d28e3b675fc048afb747681dc6d939c2" unitRef="_GBC_e3316f7d89b24ba1bb4a783fd180bf77" addr="T0R8C1S1_1" formatStyle="Comma" appId="_GBC_5ea888705f7c4c0f98e8769d2197c0de"/>
        <m:item xlName="_GBC_acbe26e873314e369486b624c4c38ea1" concept="clcid-pte:YingShouZhangKuan" label="应收帐款" periodRef="本期期初数" mulRef="_GBC_d28e3b675fc048afb747681dc6d939c2" unitRef="_GBC_e3316f7d89b24ba1bb4a783fd180bf77" addr="T0R8C2S1_1" formatStyle="Comma" appId="_GBC_5ea888705f7c4c0f98e8769d2197c0de">
          <m:complexRule comparator="Eq" title="应收帐款@本期期初数" test="$_GBC_a030850c519443d6acb7eb74ee812c1c + $_GBC_ea943f82faae4e7aa5fa5a46c605a791" id="C905acfecb93e46c9a06a155ceade879e"/>
        </m:item>
        <m:item xlName="_GBC_ea943f82faae4e7aa5fa5a46c605a791" concept="clcid-pte:YingShouZhangKuan" label="应收帐款" mulRef="_GBC_d28e3b675fc048afb747681dc6d939c2" unitRef="_GBC_e3316f7d89b24ba1bb4a783fd180bf77" addr="T0R8C3S1_1" formatStyle="Comma" appId="_GBC_5ea888705f7c4c0f98e8769d2197c0de">
          <m:axisValue occRef="调整数"/>
        </m:item>
        <m:placeholder xlName="_PLD_dfda8af118d94152a3fe4a70f28db8ca" addr="T0R9C0S1_1"/>
        <m:item xlName="_GBC_6ec383a84a8b4dbea29277e51847c5da" concept="clcid-pte:YingShouKuanXiangRongZi" label="应收款项融资" periodRef="上年期末数" mulRef="_GBC_d28e3b675fc048afb747681dc6d939c2" unitRef="_GBC_e3316f7d89b24ba1bb4a783fd180bf77" addr="T0R9C1S1_1" formatStyle="Comma" appId="_GBC_5ea888705f7c4c0f98e8769d2197c0de"/>
        <m:item xlName="_GBC_9d5c248e75764e94a06be9d62c1c92a3" concept="clcid-pte:YingShouKuanXiangRongZi" label="应收款项融资" periodRef="本期期初数" mulRef="_GBC_d28e3b675fc048afb747681dc6d939c2" unitRef="_GBC_e3316f7d89b24ba1bb4a783fd180bf77" addr="T0R9C2S1_1" formatStyle="Comma" appId="_GBC_5ea888705f7c4c0f98e8769d2197c0de"/>
        <m:item xlName="_GBC_a84d30f6d5f348ee95733cccf1d451a1" concept="clcid-pte:YingShouKuanXiangRongZi" label="应收款项融资" mulRef="_GBC_d28e3b675fc048afb747681dc6d939c2" unitRef="_GBC_e3316f7d89b24ba1bb4a783fd180bf77" addr="T0R9C3S1_1" formatStyle="Comma" appId="_GBC_5ea888705f7c4c0f98e8769d2197c0de">
          <m:axisValue occRef="调整数"/>
        </m:item>
        <m:placeholder xlName="_PLD_932119a1f2724f0296ba583a176a5b7f" addr="T0R10C0S1_1"/>
        <m:item xlName="_GBC_e5dfd58448674c7e9cb95f726336c36a" concept="clcid-pte:YuFuZhangKuan" label="预付帐款" periodRef="上年期末数" mulRef="_GBC_d28e3b675fc048afb747681dc6d939c2" unitRef="_GBC_e3316f7d89b24ba1bb4a783fd180bf77" addr="T0R10C1S1_1" formatStyle="Comma" appId="_GBC_5ea888705f7c4c0f98e8769d2197c0de"/>
        <m:item xlName="_GBC_95bde15a905f44dd82ef005dfd6829e1" concept="clcid-pte:YuFuZhangKuan" label="预付帐款" periodRef="本期期初数" mulRef="_GBC_d28e3b675fc048afb747681dc6d939c2" unitRef="_GBC_e3316f7d89b24ba1bb4a783fd180bf77" addr="T0R10C2S1_1" formatStyle="Comma" appId="_GBC_5ea888705f7c4c0f98e8769d2197c0de">
          <m:complexRule comparator="Eq" title="预付帐款@本期期初数" test="$_GBC_e5dfd58448674c7e9cb95f726336c36a + $_GBC_9985055e891241d49fcfaff3f9c8c9bd" id="Cc9712b1a4fef4f36b021b4884314cb7e"/>
        </m:item>
        <m:item xlName="_GBC_9985055e891241d49fcfaff3f9c8c9bd" concept="clcid-pte:YuFuZhangKuan" label="预付帐款" mulRef="_GBC_d28e3b675fc048afb747681dc6d939c2" unitRef="_GBC_e3316f7d89b24ba1bb4a783fd180bf77" addr="T0R10C3S1_1" formatStyle="Comma" appId="_GBC_5ea888705f7c4c0f98e8769d2197c0de">
          <m:axisValue occRef="调整数"/>
        </m:item>
        <m:placeholder xlName="_PLD_9890145bbb06470fbff7552efd27f5cb" addr="T0R11C0S1_1"/>
        <m:item xlName="_GBC_eb698764d94043eba4fc7c8632d70cdf" concept="clcid-pte:YingShouBaoFei" label="应收保费" periodRef="上年期末数" mulRef="_GBC_d28e3b675fc048afb747681dc6d939c2" unitRef="_GBC_e3316f7d89b24ba1bb4a783fd180bf77" addr="T0R11C1S1_1" formatStyle="Comma" appId="_GBC_5ea888705f7c4c0f98e8769d2197c0de"/>
        <m:item xlName="_GBC_64db3d2c4c944f4bb78787dcba19742b" concept="clcid-pte:YingShouBaoFei" label="应收保费" periodRef="本期期初数" mulRef="_GBC_d28e3b675fc048afb747681dc6d939c2" unitRef="_GBC_e3316f7d89b24ba1bb4a783fd180bf77" addr="T0R11C2S1_1" formatStyle="Comma" appId="_GBC_5ea888705f7c4c0f98e8769d2197c0de">
          <m:complexRule comparator="Eq" title="应收保费@本期期初数" test="$_GBC_eb698764d94043eba4fc7c8632d70cdf + $_GBC_975d52506b3e41a9abb859a48c94e820" id="Ca8a89f842d9e47e69eca71a8737bcf98"/>
        </m:item>
        <m:item xlName="_GBC_975d52506b3e41a9abb859a48c94e820" concept="clcid-pte:YingShouBaoFei" label="应收保费" mulRef="_GBC_d28e3b675fc048afb747681dc6d939c2" unitRef="_GBC_e3316f7d89b24ba1bb4a783fd180bf77" addr="T0R11C3S1_1" formatStyle="Comma" appId="_GBC_5ea888705f7c4c0f98e8769d2197c0de">
          <m:axisValue occRef="调整数"/>
        </m:item>
        <m:placeholder xlName="_PLD_adbed6db890948269b00aa5269ca43ef" addr="T0R12C0S1_1"/>
        <m:item xlName="_GBC_0b55ac670fac43af87b4c5d5a3a39d2f" concept="clcid-pte:YingShouFenBaoZhangKuan" label="应收分保账款" periodRef="上年期末数" mulRef="_GBC_d28e3b675fc048afb747681dc6d939c2" unitRef="_GBC_e3316f7d89b24ba1bb4a783fd180bf77" addr="T0R12C1S1_1" formatStyle="Comma" appId="_GBC_5ea888705f7c4c0f98e8769d2197c0de"/>
        <m:item xlName="_GBC_f939d86352bd4974ab7e0bd065d05ef0" concept="clcid-pte:YingShouFenBaoZhangKuan" label="应收分保账款" periodRef="本期期初数" mulRef="_GBC_d28e3b675fc048afb747681dc6d939c2" unitRef="_GBC_e3316f7d89b24ba1bb4a783fd180bf77" addr="T0R12C2S1_1" formatStyle="Comma" appId="_GBC_5ea888705f7c4c0f98e8769d2197c0de">
          <m:complexRule comparator="Eq" title="应收分保账款@本期期初数" test="$_GBC_0b55ac670fac43af87b4c5d5a3a39d2f + $_GBC_f51b1633ff894157bc987704f1791599" id="C155db93a5b4b43ffb010d81315017b23"/>
        </m:item>
        <m:item xlName="_GBC_f51b1633ff894157bc987704f1791599" concept="clcid-pte:YingShouFenBaoZhangKuan" label="应收分保账款" mulRef="_GBC_d28e3b675fc048afb747681dc6d939c2" unitRef="_GBC_e3316f7d89b24ba1bb4a783fd180bf77" addr="T0R12C3S1_1" formatStyle="Comma" appId="_GBC_5ea888705f7c4c0f98e8769d2197c0de">
          <m:axisValue occRef="调整数"/>
        </m:item>
        <m:placeholder xlName="_PLD_8d39fe01970f447399435e529e8f3c76" addr="T0R13C0S1_1"/>
        <m:item xlName="_GBC_b6b500fe6e72411cbc584d897340d142" concept="clcid-pte:YingShouFenBaoHeTongZhunBeiJin" label="应收分保合同准备金" periodRef="上年期末数" mulRef="_GBC_d28e3b675fc048afb747681dc6d939c2" unitRef="_GBC_e3316f7d89b24ba1bb4a783fd180bf77" addr="T0R13C1S1_1" formatStyle="Comma" appId="_GBC_5ea888705f7c4c0f98e8769d2197c0de"/>
        <m:item xlName="_GBC_80cb33f499c6439f9148c99a5ae9c0a0" concept="clcid-pte:YingShouFenBaoHeTongZhunBeiJin" label="应收分保合同准备金" periodRef="本期期初数" mulRef="_GBC_d28e3b675fc048afb747681dc6d939c2" unitRef="_GBC_e3316f7d89b24ba1bb4a783fd180bf77" addr="T0R13C2S1_1" formatStyle="Comma" appId="_GBC_5ea888705f7c4c0f98e8769d2197c0de">
          <m:complexRule comparator="Eq" title="应收分保合同准备金@本期期初数" test="$_GBC_b6b500fe6e72411cbc584d897340d142 + $_GBC_a859d1526ad84039af4a18584787f736" id="C33fa4f60110a45d895f9993331aa65e2"/>
        </m:item>
        <m:item xlName="_GBC_a859d1526ad84039af4a18584787f736" concept="clcid-pte:YingShouFenBaoHeTongZhunBeiJin" label="应收分保合同准备金" mulRef="_GBC_d28e3b675fc048afb747681dc6d939c2" unitRef="_GBC_e3316f7d89b24ba1bb4a783fd180bf77" addr="T0R13C3S1_1" formatStyle="Comma" appId="_GBC_5ea888705f7c4c0f98e8769d2197c0de">
          <m:axisValue occRef="调整数"/>
        </m:item>
        <m:placeholder xlName="_PLD_1c11d90f36904ee99e2d2614e1985d9f" addr="T0R14C0S1_1"/>
        <m:item xlName="_GBC_48831c2e79be421ca6de75ea61e753f0" concept="clcid-pte:QiTaYingShouKuan" label="其他应收款" periodRef="上年期末数" mulRef="_GBC_d28e3b675fc048afb747681dc6d939c2" unitRef="_GBC_e3316f7d89b24ba1bb4a783fd180bf77" addr="T0R14C1S1_1" formatStyle="Comma" appId="_GBC_5ea888705f7c4c0f98e8769d2197c0de"/>
        <m:item xlName="_GBC_347fe48152974baabe3fc62eaaec6a34" concept="clcid-pte:QiTaYingShouKuan" label="其他应收款" periodRef="本期期初数" mulRef="_GBC_d28e3b675fc048afb747681dc6d939c2" unitRef="_GBC_e3316f7d89b24ba1bb4a783fd180bf77" addr="T0R14C2S1_1" formatStyle="Comma" appId="_GBC_5ea888705f7c4c0f98e8769d2197c0de">
          <m:complexRule comparator="Eq" title="其他应收款@本期期初数" test="$_GBC_48831c2e79be421ca6de75ea61e753f0 + $_GBC_9a3113b1c60d4b48807b39dc657c1e9f" id="C0f974d6b92f84e5fa0c9ebc805a3e00c"/>
        </m:item>
        <m:item xlName="_GBC_9a3113b1c60d4b48807b39dc657c1e9f" concept="clcid-pte:QiTaYingShouKuan" label="其他应收款" mulRef="_GBC_d28e3b675fc048afb747681dc6d939c2" unitRef="_GBC_e3316f7d89b24ba1bb4a783fd180bf77" addr="T0R14C3S1_1" formatStyle="Comma" appId="_GBC_5ea888705f7c4c0f98e8769d2197c0de">
          <m:axisValue occRef="调整数"/>
        </m:item>
        <m:placeholder xlName="_PLD_b725da7877314ffbb440022473aa4771" addr="T0R15C0S1_1"/>
        <m:item xlName="_GBC_5b4a70a9bd2640149ccd379a380ecea4" concept="clcid-pte:YingShouLiXi" label="应收利息" periodRef="上年期末数" mulRef="_GBC_d28e3b675fc048afb747681dc6d939c2" unitRef="_GBC_e3316f7d89b24ba1bb4a783fd180bf77" addr="T0R15C1S1_1" formatStyle="Comma" appId="_GBC_5ea888705f7c4c0f98e8769d2197c0de"/>
        <m:item xlName="_GBC_9d85e65f8e49405694d700411f38a607" concept="clcid-pte:YingShouLiXi" label="应收利息" periodRef="本期期初数" mulRef="_GBC_d28e3b675fc048afb747681dc6d939c2" unitRef="_GBC_e3316f7d89b24ba1bb4a783fd180bf77" addr="T0R15C2S1_1" formatStyle="Comma" appId="_GBC_5ea888705f7c4c0f98e8769d2197c0de">
          <m:complexRule comparator="Eq" title="应收利息@本期期初数" test="$_GBC_5b4a70a9bd2640149ccd379a380ecea4 + $_GBC_52c20f2575e64c71a6bb36a99b09e12a" id="C541163c6d96441dc9225d449bb070737"/>
        </m:item>
        <m:item xlName="_GBC_52c20f2575e64c71a6bb36a99b09e12a" concept="clcid-pte:YingShouLiXi" label="应收利息" mulRef="_GBC_d28e3b675fc048afb747681dc6d939c2" unitRef="_GBC_e3316f7d89b24ba1bb4a783fd180bf77" addr="T0R15C3S1_1" formatStyle="Comma" appId="_GBC_5ea888705f7c4c0f98e8769d2197c0de">
          <m:axisValue occRef="调整数"/>
        </m:item>
        <m:placeholder xlName="_PLD_c5bd1b6582fc46a4af5fd9ca75d2de9e" addr="T0R16C0S1_1"/>
        <m:item xlName="_GBC_18bc53cdab9945eaa86eba9afa760ed2" concept="clcid-pte:YingShouGuLi" label="应收股利" periodRef="上年期末数" mulRef="_GBC_d28e3b675fc048afb747681dc6d939c2" unitRef="_GBC_e3316f7d89b24ba1bb4a783fd180bf77" addr="T0R16C1S1_1" formatStyle="Comma" appId="_GBC_5ea888705f7c4c0f98e8769d2197c0de"/>
        <m:item xlName="_GBC_b23320f7788841acbe0df7bfbd5eb158" concept="clcid-pte:YingShouGuLi" label="应收股利" periodRef="本期期初数" mulRef="_GBC_d28e3b675fc048afb747681dc6d939c2" unitRef="_GBC_e3316f7d89b24ba1bb4a783fd180bf77" addr="T0R16C2S1_1" formatStyle="Comma" appId="_GBC_5ea888705f7c4c0f98e8769d2197c0de">
          <m:complexRule comparator="Eq" title="应收股利@本期期初数" test="$_GBC_18bc53cdab9945eaa86eba9afa760ed2 + $_GBC_6e78213e865542c9af21f92ef4c45c43" id="Cc75a61bd8a224a5e850137c296a74e39"/>
        </m:item>
        <m:item xlName="_GBC_6e78213e865542c9af21f92ef4c45c43" concept="clcid-pte:YingShouGuLi" label="应收股利" mulRef="_GBC_d28e3b675fc048afb747681dc6d939c2" unitRef="_GBC_e3316f7d89b24ba1bb4a783fd180bf77" addr="T0R16C3S1_1" formatStyle="Comma" appId="_GBC_5ea888705f7c4c0f98e8769d2197c0de">
          <m:axisValue occRef="调整数"/>
        </m:item>
        <m:placeholder xlName="_PLD_bd9b6785a63f4b75a55acaea5b3931e8" addr="T0R17C0S1_1"/>
        <m:item xlName="_GBC_bbbf866a7bd14ba986a6197dd11ba515" concept="clcid-pte:MaiRuFanShouJinRongZiChan" label="买入返售金融资产" periodRef="上年期末数" mulRef="_GBC_d28e3b675fc048afb747681dc6d939c2" unitRef="_GBC_e3316f7d89b24ba1bb4a783fd180bf77" addr="T0R17C1S1_1" formatStyle="Comma" appId="_GBC_5ea888705f7c4c0f98e8769d2197c0de"/>
        <m:item xlName="_GBC_e0465f6f65ef483c8c09ba171b8ca1c2" concept="clcid-pte:MaiRuFanShouJinRongZiChan" label="买入返售金融资产" periodRef="本期期初数" mulRef="_GBC_d28e3b675fc048afb747681dc6d939c2" unitRef="_GBC_e3316f7d89b24ba1bb4a783fd180bf77" addr="T0R17C2S1_1" formatStyle="Comma" appId="_GBC_5ea888705f7c4c0f98e8769d2197c0de">
          <m:complexRule comparator="Eq" title="买入返售金融资产@本期期初数" test="$_GBC_bbbf866a7bd14ba986a6197dd11ba515 + $_GBC_9fcbc440d4d4449d92fa6b437ed55abc" id="C5dfa157333934694a384863acfde007e"/>
        </m:item>
        <m:item xlName="_GBC_9fcbc440d4d4449d92fa6b437ed55abc" concept="clcid-pte:MaiRuFanShouJinRongZiChan" label="买入返售金融资产" mulRef="_GBC_d28e3b675fc048afb747681dc6d939c2" unitRef="_GBC_e3316f7d89b24ba1bb4a783fd180bf77" addr="T0R17C3S1_1" formatStyle="Comma" appId="_GBC_5ea888705f7c4c0f98e8769d2197c0de">
          <m:axisValue occRef="调整数"/>
        </m:item>
        <m:placeholder xlName="_PLD_1b93e8fafaee4160b39625362d84eff2" addr="T0R18C0S1_1"/>
        <m:item xlName="_GBC_973b78aa04204b01909bc6c8c801e09c" concept="clcid-pte:CunHuo" label="存货" periodRef="上年期末数" mulRef="_GBC_d28e3b675fc048afb747681dc6d939c2" unitRef="_GBC_e3316f7d89b24ba1bb4a783fd180bf77" addr="T0R18C1S1_1" formatStyle="Comma" appId="_GBC_5ea888705f7c4c0f98e8769d2197c0de"/>
        <m:item xlName="_GBC_40db3bdf53b8492194acd93541971f8c" concept="clcid-pte:CunHuo" label="存货" periodRef="本期期初数" mulRef="_GBC_d28e3b675fc048afb747681dc6d939c2" unitRef="_GBC_e3316f7d89b24ba1bb4a783fd180bf77" addr="T0R18C2S1_1" formatStyle="Comma" appId="_GBC_5ea888705f7c4c0f98e8769d2197c0de">
          <m:complexRule comparator="Eq" title="存货@本期期初数" test="$_GBC_973b78aa04204b01909bc6c8c801e09c + $_GBC_7cfeb2340ba747359a1bbe31f867c6f0" id="C722b3a5c4b344c749df6a8bda62e639e"/>
        </m:item>
        <m:item xlName="_GBC_7cfeb2340ba747359a1bbe31f867c6f0" concept="clcid-pte:CunHuo" label="存货" mulRef="_GBC_d28e3b675fc048afb747681dc6d939c2" unitRef="_GBC_e3316f7d89b24ba1bb4a783fd180bf77" addr="T0R18C3S1_1" formatStyle="Comma" appId="_GBC_5ea888705f7c4c0f98e8769d2197c0de">
          <m:axisValue occRef="调整数"/>
        </m:item>
        <m:placeholder xlName="_PLD_2d2ee0df5ae54e54a7746259b5f3c9e7" addr="T0R19C0S1_1"/>
        <m:item xlName="_GBC_2cf4e44f09d3458783dce8cb568de20f" concept="clcid-pte:HeTongZiChan" label="合同资产" periodRef="上年期末数" mulRef="_GBC_d28e3b675fc048afb747681dc6d939c2" unitRef="_GBC_e3316f7d89b24ba1bb4a783fd180bf77" addr="T0R19C1S1_1" formatStyle="Comma" appId="_GBC_5ea888705f7c4c0f98e8769d2197c0de"/>
        <m:item xlName="_GBC_d41de0fa89844c24b8b1b1dc237add0c" concept="clcid-pte:HeTongZiChan" label="合同资产" periodRef="本期期初数" mulRef="_GBC_d28e3b675fc048afb747681dc6d939c2" unitRef="_GBC_e3316f7d89b24ba1bb4a783fd180bf77" addr="T0R19C2S1_1" formatStyle="Comma" appId="_GBC_5ea888705f7c4c0f98e8769d2197c0de">
          <m:complexRule comparator="Eq" title="合同资产@本期期初数" test="$_GBC_2cf4e44f09d3458783dce8cb568de20f + $_GBC_68c70571541d42f2b76bc6d3006cb01d" id="C8a261b2b3fd2471ab17523263d47441c"/>
        </m:item>
        <m:item xlName="_GBC_68c70571541d42f2b76bc6d3006cb01d" concept="clcid-pte:HeTongZiChan" label="合同资产" mulRef="_GBC_d28e3b675fc048afb747681dc6d939c2" unitRef="_GBC_e3316f7d89b24ba1bb4a783fd180bf77" addr="T0R19C3S1_1" formatStyle="Comma" appId="_GBC_5ea888705f7c4c0f98e8769d2197c0de">
          <m:axisValue occRef="调整数"/>
        </m:item>
        <m:placeholder xlName="_PLD_8a57b7a7a7634e5a9125443734f3650f" addr="T0R20C0S1_1"/>
        <m:item xlName="_GBC_1adff851afc44f3abdb4dfb7dacf66d7" concept="clcid-pte:HuaFenWeiChiYouDaiShouDeZiChan" label="划分为持有待售的资产" periodRef="上年期末数" mulRef="_GBC_d28e3b675fc048afb747681dc6d939c2" unitRef="_GBC_e3316f7d89b24ba1bb4a783fd180bf77" addr="T0R20C1S1_1" formatStyle="Comma" appId="_GBC_5ea888705f7c4c0f98e8769d2197c0de"/>
        <m:item xlName="_GBC_3122a59395e54b8995c8543e7abd757f" concept="clcid-pte:HuaFenWeiChiYouDaiShouDeZiChan" label="划分为持有待售的资产" periodRef="本期期初数" mulRef="_GBC_d28e3b675fc048afb747681dc6d939c2" unitRef="_GBC_e3316f7d89b24ba1bb4a783fd180bf77" addr="T0R20C2S1_1" formatStyle="Comma" appId="_GBC_5ea888705f7c4c0f98e8769d2197c0de">
          <m:complexRule comparator="Eq" title="划分为持有待售的资产@本期期初数" test="$_GBC_1adff851afc44f3abdb4dfb7dacf66d7 + $_GBC_4b668ee9d63b4599a666192148f92fc5" id="C812d323105b14b75a8c50a1be979af77"/>
        </m:item>
        <m:item xlName="_GBC_4b668ee9d63b4599a666192148f92fc5" concept="clcid-pte:HuaFenWeiChiYouDaiShouDeZiChan" label="划分为持有待售的资产" mulRef="_GBC_d28e3b675fc048afb747681dc6d939c2" unitRef="_GBC_e3316f7d89b24ba1bb4a783fd180bf77" addr="T0R20C3S1_1" formatStyle="Comma" appId="_GBC_5ea888705f7c4c0f98e8769d2197c0de">
          <m:axisValue occRef="调整数"/>
        </m:item>
        <m:placeholder xlName="_PLD_d43a546c640541ada3d4b1513dd8e53e" addr="T0R21C0S1_1"/>
        <m:item xlName="_GBC_5b4e88e0dd894a6db39d571ebc89843a" concept="clcid-pte:YiNianNeiDaoQiDeFeiLiuDongZiChan" label="一年内到期的非流动资产" periodRef="上年期末数" mulRef="_GBC_d28e3b675fc048afb747681dc6d939c2" unitRef="_GBC_e3316f7d89b24ba1bb4a783fd180bf77" addr="T0R21C1S1_1" formatStyle="Comma" appId="_GBC_5ea888705f7c4c0f98e8769d2197c0de"/>
        <m:item xlName="_GBC_d4c4812be698462489099e05583e2fe7" concept="clcid-pte:YiNianNeiDaoQiDeFeiLiuDongZiChan" label="一年内到期的非流动资产" periodRef="本期期初数" mulRef="_GBC_d28e3b675fc048afb747681dc6d939c2" unitRef="_GBC_e3316f7d89b24ba1bb4a783fd180bf77" addr="T0R21C2S1_1" formatStyle="Comma" appId="_GBC_5ea888705f7c4c0f98e8769d2197c0de">
          <m:complexRule comparator="Eq" title="一年内到期的非流动资产@本期期初数" test="$_GBC_5b4e88e0dd894a6db39d571ebc89843a + $_GBC_b1dce1d72c5049aab2c5b3a6a8476811" id="Cccbf67a0a6ab403889449875b3275ce8"/>
        </m:item>
        <m:item xlName="_GBC_b1dce1d72c5049aab2c5b3a6a8476811" concept="clcid-pte:YiNianNeiDaoQiDeFeiLiuDongZiChan" label="一年内到期的非流动资产" mulRef="_GBC_d28e3b675fc048afb747681dc6d939c2" unitRef="_GBC_e3316f7d89b24ba1bb4a783fd180bf77" addr="T0R21C3S1_1" formatStyle="Comma" appId="_GBC_5ea888705f7c4c0f98e8769d2197c0de">
          <m:axisValue occRef="调整数"/>
        </m:item>
        <m:placeholder xlName="_PLD_c639adcbe40b4a05b0dabb81fab2af29" addr="T0R22C0S1_1"/>
        <m:item xlName="_GBC_9b0bde90ae2543d4a3c2589a1fd27f8d" concept="clcid-pte:QiTaLiuDongZiChan" label="其他流动资产" periodRef="上年期末数" mulRef="_GBC_d28e3b675fc048afb747681dc6d939c2" unitRef="_GBC_e3316f7d89b24ba1bb4a783fd180bf77" addr="T0R22C1S1_1" formatStyle="Comma" appId="_GBC_5ea888705f7c4c0f98e8769d2197c0de"/>
        <m:item xlName="_GBC_c638a8eab3194e5a907ff2d3661692db" concept="clcid-pte:QiTaLiuDongZiChan" label="其他流动资产" periodRef="本期期初数" mulRef="_GBC_d28e3b675fc048afb747681dc6d939c2" unitRef="_GBC_e3316f7d89b24ba1bb4a783fd180bf77" addr="T0R22C2S1_1" formatStyle="Comma" appId="_GBC_5ea888705f7c4c0f98e8769d2197c0de">
          <m:complexRule comparator="Eq" title="其他流动资产@本期期初数" test="$_GBC_9b0bde90ae2543d4a3c2589a1fd27f8d + $_GBC_b68a8f8dab6a41f0b312f623cfb682b9" id="C75cf4d908bb8482eb75f81b492e481a4"/>
        </m:item>
        <m:item xlName="_GBC_b68a8f8dab6a41f0b312f623cfb682b9" concept="clcid-pte:QiTaLiuDongZiChan" label="其他流动资产" mulRef="_GBC_d28e3b675fc048afb747681dc6d939c2" unitRef="_GBC_e3316f7d89b24ba1bb4a783fd180bf77" addr="T0R22C3S1_1" formatStyle="Comma" appId="_GBC_5ea888705f7c4c0f98e8769d2197c0de">
          <m:axisValue occRef="调整数"/>
        </m:item>
        <m:placeholder xlName="_PLD_e3f264539b5943aeb4e53e3500a11c95" addr="T0R23C0S1_1"/>
        <m:item xlName="_GBC_b314cf5b723c440f857428dcdf96689c" concept="clcid-pte:LiuDongZiChanHeJi" label="流动资产合计" periodRef="上年期末数" mulRef="_GBC_d28e3b675fc048afb747681dc6d939c2" unitRef="_GBC_e3316f7d89b24ba1bb4a783fd180bf77" addr="T0R23C1S1_1" formatStyle="Comma" appId="_GBC_5ea888705f7c4c0f98e8769d2197c0de">
          <m:complexRule comparator="Eq" title="流动资产合计@上年期末数" test=" $_GBC_03d75a16da894a4fb45128b4c4e6087c +  $_GBC_4daa5532164348eaa242beea4d640659 +  $_GBC_6a55fe81a23f47fdb9c67f17289b68b9 +  $_GBC_a8cc3f5deb664e5e953bca4d151ca733 +  $_GBC_21c0bf05c0b545e284aa830f1209cce4 +  $_GBC_7a7677dac68e44ce8af4f7050070f2bb +  $_GBC_a030850c519443d6acb7eb74ee812c1c +  $_GBC_6ec383a84a8b4dbea29277e51847c5da +  $_GBC_e5dfd58448674c7e9cb95f726336c36a +  $_GBC_eb698764d94043eba4fc7c8632d70cdf +  $_GBC_0b55ac670fac43af87b4c5d5a3a39d2f +  $_GBC_b6b500fe6e72411cbc584d897340d142 +  $_GBC_48831c2e79be421ca6de75ea61e753f0 +  $_GBC_bbbf866a7bd14ba986a6197dd11ba515 +  $_GBC_973b78aa04204b01909bc6c8c801e09c +  $_GBC_2cf4e44f09d3458783dce8cb568de20f +  $_GBC_1adff851afc44f3abdb4dfb7dacf66d7 +  $_GBC_5b4e88e0dd894a6db39d571ebc89843a +  $_GBC_9b0bde90ae2543d4a3c2589a1fd27f8d" id="Cd1e4b35df4084b2487619b6fa992fbea"/>
        </m:item>
        <m:item xlName="_GBC_6cbb9a16f96b46c4bc8445f1c233a911" concept="clcid-pte:LiuDongZiChanHeJi" label="流动资产合计" periodRef="本期期初数" mulRef="_GBC_d28e3b675fc048afb747681dc6d939c2" unitRef="_GBC_e3316f7d89b24ba1bb4a783fd180bf77" addr="T0R23C2S1_1" formatStyle="Comma" appId="_GBC_5ea888705f7c4c0f98e8769d2197c0de">
          <m:complexRule comparator="Eq" title="流动资产合计@本期期初数" test=" $_GBC_696630dfedcd4b708e381fc19ebffd9f +  $_GBC_9b0b4d43971b4aea83e09105c5ac515d +  $_GBC_ecc632a93ec84d49ba2c323073d02fb2 +  $_GBC_58dfb8912e1e41918ecf1e96e6965264 +  $_GBC_0689165167b54b64a7afc709a6054458 +  $_GBC_8bb51793356948e2bb9ed906cf61d8ab +  $_GBC_acbe26e873314e369486b624c4c38ea1 +  $_GBC_9d5c248e75764e94a06be9d62c1c92a3 +  $_GBC_95bde15a905f44dd82ef005dfd6829e1 +  $_GBC_64db3d2c4c944f4bb78787dcba19742b +  $_GBC_f939d86352bd4974ab7e0bd065d05ef0 +  $_GBC_80cb33f499c6439f9148c99a5ae9c0a0 +  $_GBC_347fe48152974baabe3fc62eaaec6a34 +  $_GBC_e0465f6f65ef483c8c09ba171b8ca1c2 +  $_GBC_40db3bdf53b8492194acd93541971f8c +  $_GBC_d41de0fa89844c24b8b1b1dc237add0c +  $_GBC_3122a59395e54b8995c8543e7abd757f +  $_GBC_d4c4812be698462489099e05583e2fe7 +  $_GBC_c638a8eab3194e5a907ff2d3661692db" id="C9add787e214f447382c3f9db766a84ab"/>
        </m:item>
        <m:item xlName="_GBC_7d0a35b6ac0145dabf906bae67731567" concept="clcid-pte:LiuDongZiChanHeJi" label="流动资产合计" mulRef="_GBC_d28e3b675fc048afb747681dc6d939c2" unitRef="_GBC_e3316f7d89b24ba1bb4a783fd180bf77" addr="T0R23C3S1_1" formatStyle="Comma" appId="_GBC_5ea888705f7c4c0f98e8769d2197c0de">
          <m:complexRule comparator="Eq" title="流动资产合计(调整数)" test=" $_GBC_8d10e7cf6d6e41098697ca73190a6393 +  $_GBC_15bf9d66100b4b09b82d3a1b3909aeb7 +  $_GBC_cd91fae2679f40f5aa2c4860b3b82b3e +  $_GBC_64f194011f964c1e820b816761f03dd6 +  $_GBC_3051186b5108409a81df3f08eba72ffb +  $_GBC_64ad04846ead4575af32c8103c2b208c +  $_GBC_ea943f82faae4e7aa5fa5a46c605a791 +  $_GBC_a84d30f6d5f348ee95733cccf1d451a1 +  $_GBC_9985055e891241d49fcfaff3f9c8c9bd +  $_GBC_975d52506b3e41a9abb859a48c94e820 +  $_GBC_f51b1633ff894157bc987704f1791599 +  $_GBC_a859d1526ad84039af4a18584787f736 +  $_GBC_9a3113b1c60d4b48807b39dc657c1e9f +  $_GBC_9fcbc440d4d4449d92fa6b437ed55abc +  $_GBC_7cfeb2340ba747359a1bbe31f867c6f0 +  $_GBC_68c70571541d42f2b76bc6d3006cb01d +  $_GBC_4b668ee9d63b4599a666192148f92fc5 +  $_GBC_b1dce1d72c5049aab2c5b3a6a8476811 +  $_GBC_b68a8f8dab6a41f0b312f623cfb682b9" id="C370d997ea7074f6ab93bd1dec5786bbc"/>
          <m:axisValue occRef="调整数"/>
        </m:item>
        <m:placeholder xlName="_PLD_caf9cfa49da24a91b1a36ce2bbed2585" addr="T0R24C0S1_4"/>
        <m:placeholder xlName="_PLD_385c89a19e074f6b802c0fb55810b9de" addr="T0R25C0S1_1"/>
        <m:item xlName="_GBC_7172d9fa99754bcbae6d4fc5d8168a93" concept="clcid-pte:FaFangDaiKuanHeDianKuan" label="发放贷款和垫款" periodRef="上年期末数" mulRef="_GBC_d28e3b675fc048afb747681dc6d939c2" unitRef="_GBC_e3316f7d89b24ba1bb4a783fd180bf77" addr="T0R25C1S1_1" formatStyle="Comma" appId="_GBC_5ea888705f7c4c0f98e8769d2197c0de"/>
        <m:item xlName="_GBC_79a2bf1b4d304dca8f38dc5ca7b1f244" concept="clcid-pte:FaFangDaiKuanHeDianKuan" label="发放贷款和垫款" periodRef="本期期初数" mulRef="_GBC_d28e3b675fc048afb747681dc6d939c2" unitRef="_GBC_e3316f7d89b24ba1bb4a783fd180bf77" addr="T0R25C2S1_1" formatStyle="Comma" appId="_GBC_5ea888705f7c4c0f98e8769d2197c0de"/>
        <m:item xlName="_GBC_57715b0e5f294712812177585fc949df" concept="clcid-pte:FaFangDaiKuanHeDianKuan" label="发放贷款和垫款" mulRef="_GBC_d28e3b675fc048afb747681dc6d939c2" unitRef="_GBC_e3316f7d89b24ba1bb4a783fd180bf77" addr="T0R25C3S1_1" formatStyle="Comma" appId="_GBC_5ea888705f7c4c0f98e8769d2197c0de">
          <m:axisValue occRef="调整数"/>
        </m:item>
        <m:placeholder xlName="_PLD_4902c7da17da47d69102fd6a56432b9c" addr="T0R26C0S1_1"/>
        <m:item xlName="_GBC_e813384c9dfe4ef68b80ab2c9fed10f6" concept="clcid-pte:ZhaiQuanTouZi" label="债权投资" periodRef="上年期末数" mulRef="_GBC_d28e3b675fc048afb747681dc6d939c2" unitRef="_GBC_e3316f7d89b24ba1bb4a783fd180bf77" addr="T0R26C1S1_1" formatStyle="Comma" appId="_GBC_5ea888705f7c4c0f98e8769d2197c0de"/>
        <m:item xlName="_GBC_39fc7046a5794161a26d4aa1a4ea806c" concept="clcid-pte:ZhaiQuanTouZi" label="债权投资" periodRef="本期期初数" mulRef="_GBC_d28e3b675fc048afb747681dc6d939c2" unitRef="_GBC_e3316f7d89b24ba1bb4a783fd180bf77" addr="T0R26C2S1_1" formatStyle="Comma" appId="_GBC_5ea888705f7c4c0f98e8769d2197c0de"/>
        <m:item xlName="_GBC_2f43ed99e7574ae1bc3eceb78cfb477e" concept="clcid-pte:ZhaiQuanTouZi" label="债权投资" mulRef="_GBC_d28e3b675fc048afb747681dc6d939c2" unitRef="_GBC_e3316f7d89b24ba1bb4a783fd180bf77" addr="T0R26C3S1_1" formatStyle="Comma" appId="_GBC_5ea888705f7c4c0f98e8769d2197c0de">
          <m:axisValue occRef="调整数"/>
        </m:item>
        <m:placeholder xlName="_PLD_db45365dadf84c00bea18ec23cf0f117" addr="T0R27C0S1_1"/>
        <m:item xlName="_GBC_a44556e55b524517b6df8fa21ce232ec" concept="clcid-pte:QiTaZhaiQuanTouZi" label="其他债权投资" periodRef="上年期末数" mulRef="_GBC_d28e3b675fc048afb747681dc6d939c2" unitRef="_GBC_e3316f7d89b24ba1bb4a783fd180bf77" addr="T0R27C1S1_1" formatStyle="Comma" appId="_GBC_5ea888705f7c4c0f98e8769d2197c0de"/>
        <m:item xlName="_GBC_e7bc8b8ba58043e1ae846c354fa572f6" concept="clcid-pte:QiTaZhaiQuanTouZi" label="其他债权投资" periodRef="本期期初数" mulRef="_GBC_d28e3b675fc048afb747681dc6d939c2" unitRef="_GBC_e3316f7d89b24ba1bb4a783fd180bf77" addr="T0R27C2S1_1" formatStyle="Comma" appId="_GBC_5ea888705f7c4c0f98e8769d2197c0de"/>
        <m:item xlName="_GBC_6ba0c5c70a394b6ab186afdf708b9b4f" concept="clcid-pte:QiTaZhaiQuanTouZi" label="其他债权投资" mulRef="_GBC_d28e3b675fc048afb747681dc6d939c2" unitRef="_GBC_e3316f7d89b24ba1bb4a783fd180bf77" addr="T0R27C3S1_1" formatStyle="Comma" appId="_GBC_5ea888705f7c4c0f98e8769d2197c0de">
          <m:axisValue occRef="调整数"/>
        </m:item>
        <m:placeholder xlName="_PLD_27a33778347f497ca160519a6e6b8c7c" addr="T0R28C0S1_1"/>
        <m:item xlName="_GBC_6fe4bb2d79ae43d185077fe1eee8e133" concept="clcid-pte:ChangQiYingShouKuan" label="长期应收款" periodRef="上年期末数" mulRef="_GBC_d28e3b675fc048afb747681dc6d939c2" unitRef="_GBC_e3316f7d89b24ba1bb4a783fd180bf77" addr="T0R28C1S1_1" formatStyle="Comma" appId="_GBC_5ea888705f7c4c0f98e8769d2197c0de"/>
        <m:item xlName="_GBC_d30024d374864147a0ee0e1aba22fed8" concept="clcid-pte:ChangQiYingShouKuan" label="长期应收款" periodRef="本期期初数" mulRef="_GBC_d28e3b675fc048afb747681dc6d939c2" unitRef="_GBC_e3316f7d89b24ba1bb4a783fd180bf77" addr="T0R28C2S1_1" formatStyle="Comma" appId="_GBC_5ea888705f7c4c0f98e8769d2197c0de"/>
        <m:item xlName="_GBC_a86c299fad95429d9e519a0aaf7b2810" concept="clcid-pte:ChangQiYingShouKuan" label="长期应收款" mulRef="_GBC_d28e3b675fc048afb747681dc6d939c2" unitRef="_GBC_e3316f7d89b24ba1bb4a783fd180bf77" addr="T0R28C3S1_1" formatStyle="Comma" appId="_GBC_5ea888705f7c4c0f98e8769d2197c0de">
          <m:axisValue occRef="调整数"/>
        </m:item>
        <m:placeholder xlName="_PLD_2c2f80b155914d9cbb35f3ee70f3962e" addr="T0R29C0S1_1"/>
        <m:item xlName="_GBC_07002c09351741f39eb5903a12d17bf6" concept="clcid-pte:ChangQiGuQuanTouZi" label="长期股权投资" periodRef="上年期末数" mulRef="_GBC_d28e3b675fc048afb747681dc6d939c2" unitRef="_GBC_e3316f7d89b24ba1bb4a783fd180bf77" addr="T0R29C1S1_1" formatStyle="Comma" appId="_GBC_5ea888705f7c4c0f98e8769d2197c0de"/>
        <m:item xlName="_GBC_8ca4a9ec77ff41779f87fe483c010699" concept="clcid-pte:ChangQiGuQuanTouZi" label="长期股权投资" periodRef="本期期初数" mulRef="_GBC_d28e3b675fc048afb747681dc6d939c2" unitRef="_GBC_e3316f7d89b24ba1bb4a783fd180bf77" addr="T0R29C2S1_1" formatStyle="Comma" appId="_GBC_5ea888705f7c4c0f98e8769d2197c0de"/>
        <m:item xlName="_GBC_a42fb9f1319b469e8d80200d1d7784f4" concept="clcid-pte:ChangQiGuQuanTouZi" label="长期股权投资" mulRef="_GBC_d28e3b675fc048afb747681dc6d939c2" unitRef="_GBC_e3316f7d89b24ba1bb4a783fd180bf77" addr="T0R29C3S1_1" formatStyle="Comma" appId="_GBC_5ea888705f7c4c0f98e8769d2197c0de">
          <m:axisValue occRef="调整数"/>
        </m:item>
        <m:placeholder xlName="_PLD_5236fe62569441f3928324583015cc4a" addr="T0R30C0S1_1"/>
        <m:item xlName="_GBC_5639565a30274598be1b77a14cc2e018" concept="clcid-pte:QiTaQuanYiGongJuTouZi" label="其他权益工具投资" periodRef="上年期末数" mulRef="_GBC_d28e3b675fc048afb747681dc6d939c2" unitRef="_GBC_e3316f7d89b24ba1bb4a783fd180bf77" addr="T0R30C1S1_1" formatStyle="Comma" appId="_GBC_5ea888705f7c4c0f98e8769d2197c0de"/>
        <m:item xlName="_GBC_c42241a866924592abbf1bb2a352e44d" concept="clcid-pte:QiTaQuanYiGongJuTouZi" label="其他权益工具投资" periodRef="本期期初数" mulRef="_GBC_d28e3b675fc048afb747681dc6d939c2" unitRef="_GBC_e3316f7d89b24ba1bb4a783fd180bf77" addr="T0R30C2S1_1" formatStyle="Comma" appId="_GBC_5ea888705f7c4c0f98e8769d2197c0de"/>
        <m:item xlName="_GBC_95ef79245ecf404da5ab64f9c073e7bf" concept="clcid-pte:QiTaQuanYiGongJuTouZi" label="其他权益工具投资" mulRef="_GBC_d28e3b675fc048afb747681dc6d939c2" unitRef="_GBC_e3316f7d89b24ba1bb4a783fd180bf77" addr="T0R30C3S1_1" formatStyle="Comma" appId="_GBC_5ea888705f7c4c0f98e8769d2197c0de">
          <m:axisValue occRef="调整数"/>
        </m:item>
        <m:placeholder xlName="_PLD_7c34d68c92104ce0a76208c820a73f6e" addr="T0R31C0S1_1"/>
        <m:item xlName="_GBC_5d3244097a3a4dd696b2f40fa56cea7e" concept="clcid-pte:QiTaFeiLiuDongJinRongZiChan" label="其他非流动金融资产" periodRef="上年期末数" mulRef="_GBC_d28e3b675fc048afb747681dc6d939c2" unitRef="_GBC_e3316f7d89b24ba1bb4a783fd180bf77" addr="T0R31C1S1_1" formatStyle="Comma" appId="_GBC_5ea888705f7c4c0f98e8769d2197c0de"/>
        <m:item xlName="_GBC_440f53772f0e4c81b6d5430494433c11" concept="clcid-pte:QiTaFeiLiuDongJinRongZiChan" label="其他非流动金融资产" periodRef="本期期初数" mulRef="_GBC_d28e3b675fc048afb747681dc6d939c2" unitRef="_GBC_e3316f7d89b24ba1bb4a783fd180bf77" addr="T0R31C2S1_1" formatStyle="Comma" appId="_GBC_5ea888705f7c4c0f98e8769d2197c0de"/>
        <m:item xlName="_GBC_a99ce940d7a14bb181e0d165aeeaf0f3" concept="clcid-pte:QiTaFeiLiuDongJinRongZiChan" label="其他非流动金融资产" mulRef="_GBC_d28e3b675fc048afb747681dc6d939c2" unitRef="_GBC_e3316f7d89b24ba1bb4a783fd180bf77" addr="T0R31C3S1_1" formatStyle="Comma" appId="_GBC_5ea888705f7c4c0f98e8769d2197c0de">
          <m:axisValue occRef="调整数"/>
        </m:item>
        <m:placeholder xlName="_PLD_20779687e71044edbf48bf6d72fd659d" addr="T0R32C0S1_1"/>
        <m:item xlName="_GBC_6f7a37ab308748e39780f270e459c673" concept="clcid-pte:TouZiXingFangDiChan" label="投资性房地产" periodRef="上年期末数" mulRef="_GBC_d28e3b675fc048afb747681dc6d939c2" unitRef="_GBC_e3316f7d89b24ba1bb4a783fd180bf77" addr="T0R32C1S1_1" formatStyle="Comma" appId="_GBC_5ea888705f7c4c0f98e8769d2197c0de"/>
        <m:item xlName="_GBC_d6c3969793744d429830650c6c4bf387" concept="clcid-pte:TouZiXingFangDiChan" label="投资性房地产" periodRef="本期期初数" mulRef="_GBC_d28e3b675fc048afb747681dc6d939c2" unitRef="_GBC_e3316f7d89b24ba1bb4a783fd180bf77" addr="T0R32C2S1_1" formatStyle="Comma" appId="_GBC_5ea888705f7c4c0f98e8769d2197c0de"/>
        <m:item xlName="_GBC_5937315a0fba4c1889bfa2e3a01045cc" concept="clcid-pte:TouZiXingFangDiChan" label="投资性房地产" mulRef="_GBC_d28e3b675fc048afb747681dc6d939c2" unitRef="_GBC_e3316f7d89b24ba1bb4a783fd180bf77" addr="T0R32C3S1_1" formatStyle="Comma" appId="_GBC_5ea888705f7c4c0f98e8769d2197c0de">
          <m:axisValue occRef="调整数"/>
        </m:item>
        <m:placeholder xlName="_PLD_b4d3d3f9c80a46518df6b927f85638a8" addr="T0R33C0S1_1"/>
        <m:item xlName="_GBC_07726f42a8254627ac5d03afb69be452" concept="clcid-pte:GuDingZiChanJingE" label="固定资产净额" periodRef="上年期末数" mulRef="_GBC_d28e3b675fc048afb747681dc6d939c2" unitRef="_GBC_e3316f7d89b24ba1bb4a783fd180bf77" addr="T0R33C1S1_1" formatStyle="Comma" appId="_GBC_5ea888705f7c4c0f98e8769d2197c0de"/>
        <m:item xlName="_GBC_0a0bda28d00b4f18b4ddca17842aa538" concept="clcid-pte:GuDingZiChanJingE" label="固定资产净额" periodRef="本期期初数" mulRef="_GBC_d28e3b675fc048afb747681dc6d939c2" unitRef="_GBC_e3316f7d89b24ba1bb4a783fd180bf77" addr="T0R33C2S1_1" formatStyle="Comma" appId="_GBC_5ea888705f7c4c0f98e8769d2197c0de"/>
        <m:item xlName="_GBC_71f7748f2bd24d47801e5e8addbf9dd4" concept="clcid-pte:GuDingZiChanJingE" label="固定资产净额" mulRef="_GBC_d28e3b675fc048afb747681dc6d939c2" unitRef="_GBC_e3316f7d89b24ba1bb4a783fd180bf77" addr="T0R33C3S1_1" formatStyle="Comma" appId="_GBC_5ea888705f7c4c0f98e8769d2197c0de">
          <m:axisValue occRef="调整数"/>
        </m:item>
        <m:placeholder xlName="_PLD_0b3a7e34c3ee4ba5a49df4a07c4c3528" addr="T0R34C0S1_1"/>
        <m:item xlName="_GBC_961905c4fdfe438cb01f4778b2bdc971" concept="clcid-pte:ZaiJianGongCheng" label="在建工程" periodRef="上年期末数" mulRef="_GBC_d28e3b675fc048afb747681dc6d939c2" unitRef="_GBC_e3316f7d89b24ba1bb4a783fd180bf77" addr="T0R34C1S1_1" formatStyle="Comma" appId="_GBC_5ea888705f7c4c0f98e8769d2197c0de"/>
        <m:item xlName="_GBC_00e5f4dfe1144e479871008f7bfbcd42" concept="clcid-pte:ZaiJianGongCheng" label="在建工程" periodRef="本期期初数" mulRef="_GBC_d28e3b675fc048afb747681dc6d939c2" unitRef="_GBC_e3316f7d89b24ba1bb4a783fd180bf77" addr="T0R34C2S1_1" formatStyle="Comma" appId="_GBC_5ea888705f7c4c0f98e8769d2197c0de"/>
        <m:item xlName="_GBC_7c0f7f1fa4a146718822f0b99c9a08b3" concept="clcid-pte:ZaiJianGongCheng" label="在建工程" mulRef="_GBC_d28e3b675fc048afb747681dc6d939c2" unitRef="_GBC_e3316f7d89b24ba1bb4a783fd180bf77" addr="T0R34C3S1_1" formatStyle="Comma" appId="_GBC_5ea888705f7c4c0f98e8769d2197c0de">
          <m:axisValue occRef="调整数"/>
        </m:item>
        <m:placeholder xlName="_PLD_10586227ba0045bda765cf5dffd72833" addr="T0R35C0S1_1"/>
        <m:item xlName="_GBC_fa66c4be70da485c95e485dde92dab7e" concept="clcid-pte:ShengChanXingShengWuZiChan" label="生产性生物资产" periodRef="上年期末数" mulRef="_GBC_d28e3b675fc048afb747681dc6d939c2" unitRef="_GBC_e3316f7d89b24ba1bb4a783fd180bf77" addr="T0R35C1S1_1" formatStyle="Comma" appId="_GBC_5ea888705f7c4c0f98e8769d2197c0de"/>
        <m:item xlName="_GBC_6a53c8c33b014fa5b3e4928cfc2c34f0" concept="clcid-pte:ShengChanXingShengWuZiChan" label="生产性生物资产" periodRef="本期期初数" mulRef="_GBC_d28e3b675fc048afb747681dc6d939c2" unitRef="_GBC_e3316f7d89b24ba1bb4a783fd180bf77" addr="T0R35C2S1_1" formatStyle="Comma" appId="_GBC_5ea888705f7c4c0f98e8769d2197c0de"/>
        <m:item xlName="_GBC_838da63fe22b48b0a98d46b6395bc3de" concept="clcid-pte:ShengChanXingShengWuZiChan" label="生产性生物资产" mulRef="_GBC_d28e3b675fc048afb747681dc6d939c2" unitRef="_GBC_e3316f7d89b24ba1bb4a783fd180bf77" addr="T0R35C3S1_1" formatStyle="Comma" appId="_GBC_5ea888705f7c4c0f98e8769d2197c0de">
          <m:axisValue occRef="调整数"/>
        </m:item>
        <m:placeholder xlName="_PLD_30a8780f1a6a40ed8bd7c72fd4e95a58" addr="T0R36C0S1_1"/>
        <m:item xlName="_GBC_40f78642a409495a841827510738afe8" concept="clcid-pte:YouQiZiChan" label="油气资产" periodRef="上年期末数" mulRef="_GBC_d28e3b675fc048afb747681dc6d939c2" unitRef="_GBC_e3316f7d89b24ba1bb4a783fd180bf77" addr="T0R36C1S1_1" formatStyle="Comma" appId="_GBC_5ea888705f7c4c0f98e8769d2197c0de"/>
        <m:item xlName="_GBC_08dd59e9ae674ec4a285b635e006bf18" concept="clcid-pte:YouQiZiChan" label="油气资产" periodRef="本期期初数" mulRef="_GBC_d28e3b675fc048afb747681dc6d939c2" unitRef="_GBC_e3316f7d89b24ba1bb4a783fd180bf77" addr="T0R36C2S1_1" formatStyle="Comma" appId="_GBC_5ea888705f7c4c0f98e8769d2197c0de"/>
        <m:item xlName="_GBC_da5673e2697c4bbab5881f42259a8ad6" concept="clcid-pte:YouQiZiChan" label="油气资产" mulRef="_GBC_d28e3b675fc048afb747681dc6d939c2" unitRef="_GBC_e3316f7d89b24ba1bb4a783fd180bf77" addr="T0R36C3S1_1" formatStyle="Comma" appId="_GBC_5ea888705f7c4c0f98e8769d2197c0de">
          <m:axisValue occRef="调整数"/>
        </m:item>
        <m:placeholder xlName="_PLD_78155493935647008a2703b03dfc7652" addr="T0R37C0S1_1"/>
        <m:item xlName="_GBC_a7cefe07988e4a62be40298e0bd19f1a" concept="clcid-pte:ShiYongQuanZiChan" label="使用权资产" periodRef="上年期末数" mulRef="_GBC_d28e3b675fc048afb747681dc6d939c2" unitRef="_GBC_e3316f7d89b24ba1bb4a783fd180bf77" addr="T0R37C1S1_1" formatStyle="Comma" appId="_GBC_5ea888705f7c4c0f98e8769d2197c0de"/>
        <m:item xlName="_GBC_d10eb0ef770644fea27894b609d2a898" concept="clcid-pte:ShiYongQuanZiChan" label="使用权资产" periodRef="本期期初数" mulRef="_GBC_d28e3b675fc048afb747681dc6d939c2" unitRef="_GBC_e3316f7d89b24ba1bb4a783fd180bf77" addr="T0R37C2S1_1" formatStyle="Comma" appId="_GBC_5ea888705f7c4c0f98e8769d2197c0de"/>
        <m:item xlName="_GBC_ed5f9d841950435b8d25c028afd80238" concept="clcid-pte:ShiYongQuanZiChan" label="使用权资产" mulRef="_GBC_d28e3b675fc048afb747681dc6d939c2" unitRef="_GBC_e3316f7d89b24ba1bb4a783fd180bf77" addr="T0R37C3S1_1" formatStyle="Comma" appId="_GBC_5ea888705f7c4c0f98e8769d2197c0de">
          <m:axisValue occRef="调整数"/>
        </m:item>
        <m:placeholder xlName="_PLD_e197206e3cda421f90e7c968c373824e" addr="T0R38C0S1_1"/>
        <m:item xlName="_GBC_35a14fe3068744b1aff2ccb1057d66a0" concept="clcid-pte:WuXingZiChan" label="无形资产" periodRef="上年期末数" mulRef="_GBC_d28e3b675fc048afb747681dc6d939c2" unitRef="_GBC_e3316f7d89b24ba1bb4a783fd180bf77" addr="T0R38C1S1_1" formatStyle="Comma" appId="_GBC_5ea888705f7c4c0f98e8769d2197c0de"/>
        <m:item xlName="_GBC_7652f53997a54b2890dc6be2ee1be309" concept="clcid-pte:WuXingZiChan" label="无形资产" periodRef="本期期初数" mulRef="_GBC_d28e3b675fc048afb747681dc6d939c2" unitRef="_GBC_e3316f7d89b24ba1bb4a783fd180bf77" addr="T0R38C2S1_1" formatStyle="Comma" appId="_GBC_5ea888705f7c4c0f98e8769d2197c0de"/>
        <m:item xlName="_GBC_1b666aec67a44fc0bdc95f4c524e5a66" concept="clcid-pte:WuXingZiChan" label="无形资产" mulRef="_GBC_d28e3b675fc048afb747681dc6d939c2" unitRef="_GBC_e3316f7d89b24ba1bb4a783fd180bf77" addr="T0R38C3S1_1" formatStyle="Comma" appId="_GBC_5ea888705f7c4c0f98e8769d2197c0de">
          <m:axisValue occRef="调整数"/>
        </m:item>
        <m:placeholder xlName="_PLD_9507736e67ff483cad3c4777f5e536b4" addr="T0R39C0S1_1"/>
        <m:item xlName="_GBC_2824d6ab98c74c6484d6714198609192" concept="clcid-pte:KaiFaZhiChu" label="开发支出" periodRef="上年期末数" mulRef="_GBC_d28e3b675fc048afb747681dc6d939c2" unitRef="_GBC_e3316f7d89b24ba1bb4a783fd180bf77" addr="T0R39C1S1_1" formatStyle="Comma" appId="_GBC_5ea888705f7c4c0f98e8769d2197c0de"/>
        <m:item xlName="_GBC_1f7bbaffcaaf43c9987f088ae97d5876" concept="clcid-pte:KaiFaZhiChu" label="开发支出" periodRef="本期期初数" mulRef="_GBC_d28e3b675fc048afb747681dc6d939c2" unitRef="_GBC_e3316f7d89b24ba1bb4a783fd180bf77" addr="T0R39C2S1_1" formatStyle="Comma" appId="_GBC_5ea888705f7c4c0f98e8769d2197c0de"/>
        <m:item xlName="_GBC_235e8c07f0984f5994e118f640e99146" concept="clcid-pte:KaiFaZhiChu" label="开发支出" mulRef="_GBC_d28e3b675fc048afb747681dc6d939c2" unitRef="_GBC_e3316f7d89b24ba1bb4a783fd180bf77" addr="T0R39C3S1_1" formatStyle="Comma" appId="_GBC_5ea888705f7c4c0f98e8769d2197c0de">
          <m:axisValue occRef="调整数"/>
        </m:item>
        <m:placeholder xlName="_PLD_6db764bcb49749d8ae12e0b82de90e57" addr="T0R40C0S1_1"/>
        <m:item xlName="_GBC_5c4a4873648b46beb688d2d85a15ac02" concept="clcid-pte:ShangYu" label="商誉" periodRef="上年期末数" mulRef="_GBC_d28e3b675fc048afb747681dc6d939c2" unitRef="_GBC_e3316f7d89b24ba1bb4a783fd180bf77" addr="T0R40C1S1_1" formatStyle="Comma" appId="_GBC_5ea888705f7c4c0f98e8769d2197c0de"/>
        <m:item xlName="_GBC_237f0d92092a4ce6bc4686d00f6755c8" concept="clcid-pte:ShangYu" label="商誉" periodRef="本期期初数" mulRef="_GBC_d28e3b675fc048afb747681dc6d939c2" unitRef="_GBC_e3316f7d89b24ba1bb4a783fd180bf77" addr="T0R40C2S1_1" formatStyle="Comma" appId="_GBC_5ea888705f7c4c0f98e8769d2197c0de"/>
        <m:item xlName="_GBC_cb39dbef62d04b80b1f74b98ee9d95b0" concept="clcid-pte:ShangYu" label="商誉" mulRef="_GBC_d28e3b675fc048afb747681dc6d939c2" unitRef="_GBC_e3316f7d89b24ba1bb4a783fd180bf77" addr="T0R40C3S1_1" formatStyle="Comma" appId="_GBC_5ea888705f7c4c0f98e8769d2197c0de">
          <m:axisValue occRef="调整数"/>
        </m:item>
        <m:placeholder xlName="_PLD_ee338cdcd96a4fe9aa3a900a05d86d62" addr="T0R41C0S1_1"/>
        <m:item xlName="_GBC_e6787165c9414402a7632418dffb1bc1" concept="clcid-pte:ChangQiDaiTanFeiYong" label="长期待摊费用" periodRef="上年期末数" mulRef="_GBC_d28e3b675fc048afb747681dc6d939c2" unitRef="_GBC_e3316f7d89b24ba1bb4a783fd180bf77" addr="T0R41C1S1_1" formatStyle="Comma" appId="_GBC_5ea888705f7c4c0f98e8769d2197c0de"/>
        <m:item xlName="_GBC_d55d70c91ea843418ef9ce8932d6cb05" concept="clcid-pte:ChangQiDaiTanFeiYong" label="长期待摊费用" periodRef="本期期初数" mulRef="_GBC_d28e3b675fc048afb747681dc6d939c2" unitRef="_GBC_e3316f7d89b24ba1bb4a783fd180bf77" addr="T0R41C2S1_1" formatStyle="Comma" appId="_GBC_5ea888705f7c4c0f98e8769d2197c0de"/>
        <m:item xlName="_GBC_256e0f6055be4d2eba887d421a578edc" concept="clcid-pte:ChangQiDaiTanFeiYong" label="长期待摊费用" mulRef="_GBC_d28e3b675fc048afb747681dc6d939c2" unitRef="_GBC_e3316f7d89b24ba1bb4a783fd180bf77" addr="T0R41C3S1_1" formatStyle="Comma" appId="_GBC_5ea888705f7c4c0f98e8769d2197c0de">
          <m:axisValue occRef="调整数"/>
        </m:item>
        <m:placeholder xlName="_PLD_ff748a0e2f2a4598b0245a7b2a5f8cb9" addr="T0R42C0S1_1"/>
        <m:item xlName="_GBC_77bab0bcf10248cf8a61337b24fb6641" concept="clcid-pte:DiYanShuiKuanJieXiangHeJi" label="递延税款借项合计" periodRef="上年期末数" mulRef="_GBC_d28e3b675fc048afb747681dc6d939c2" unitRef="_GBC_e3316f7d89b24ba1bb4a783fd180bf77" addr="T0R42C1S1_1" formatStyle="Comma" appId="_GBC_5ea888705f7c4c0f98e8769d2197c0de"/>
        <m:item xlName="_GBC_db1da4e688ee47b3af76cd6a381bb500" concept="clcid-pte:DiYanShuiKuanJieXiangHeJi" label="递延税款借项合计" periodRef="本期期初数" mulRef="_GBC_d28e3b675fc048afb747681dc6d939c2" unitRef="_GBC_e3316f7d89b24ba1bb4a783fd180bf77" addr="T0R42C2S1_1" formatStyle="Comma" appId="_GBC_5ea888705f7c4c0f98e8769d2197c0de"/>
        <m:item xlName="_GBC_9b2199b23e714b0388040e2a803e266b" concept="clcid-pte:DiYanShuiKuanJieXiangHeJi" label="递延税款借项合计" mulRef="_GBC_d28e3b675fc048afb747681dc6d939c2" unitRef="_GBC_e3316f7d89b24ba1bb4a783fd180bf77" addr="T0R42C3S1_1" formatStyle="Comma" appId="_GBC_5ea888705f7c4c0f98e8769d2197c0de">
          <m:axisValue occRef="调整数"/>
        </m:item>
        <m:placeholder xlName="_PLD_58edba0eddc644959242154db461c42a" addr="T0R43C0S1_1"/>
        <m:item xlName="_GBC_05c32b288b1445ff89879dd9ec06e085" concept="clcid-pte:QiTaChangQiZiChan" label="其他长期资产" periodRef="上年期末数" mulRef="_GBC_d28e3b675fc048afb747681dc6d939c2" unitRef="_GBC_e3316f7d89b24ba1bb4a783fd180bf77" addr="T0R43C1S1_1" formatStyle="Comma" appId="_GBC_5ea888705f7c4c0f98e8769d2197c0de"/>
        <m:item xlName="_GBC_1b1a16fd63994d28b446d9c827c6d9e1" concept="clcid-pte:QiTaChangQiZiChan" label="其他长期资产" periodRef="本期期初数" mulRef="_GBC_d28e3b675fc048afb747681dc6d939c2" unitRef="_GBC_e3316f7d89b24ba1bb4a783fd180bf77" addr="T0R43C2S1_1" formatStyle="Comma" appId="_GBC_5ea888705f7c4c0f98e8769d2197c0de"/>
        <m:item xlName="_GBC_425044b1d6c540f2a4771fdf6346d382" concept="clcid-pte:QiTaChangQiZiChan" label="其他长期资产" mulRef="_GBC_d28e3b675fc048afb747681dc6d939c2" unitRef="_GBC_e3316f7d89b24ba1bb4a783fd180bf77" addr="T0R43C3S1_1" formatStyle="Comma" appId="_GBC_5ea888705f7c4c0f98e8769d2197c0de">
          <m:axisValue occRef="调整数"/>
        </m:item>
        <m:placeholder xlName="_PLD_a381a26adc92401cacf197178c3d49bb" addr="T0R44C0S1_1"/>
        <m:item xlName="_GBC_886d1ffb4a2a4760a878feadc4f12b3d" concept="clcid-pte:FeiLiuDongZiChanHeJi" label="非流动资产合计" periodRef="上年期末数" mulRef="_GBC_d28e3b675fc048afb747681dc6d939c2" unitRef="_GBC_e3316f7d89b24ba1bb4a783fd180bf77" addr="T0R44C1S1_1" formatStyle="Comma" appId="_GBC_5ea888705f7c4c0f98e8769d2197c0de">
          <m:complexRule comparator="Eq" title="非流动资产合计" test=" $_GBC_7172d9fa99754bcbae6d4fc5d8168a93 +  $_GBC_e813384c9dfe4ef68b80ab2c9fed10f6 +  $_GBC_a44556e55b524517b6df8fa21ce232ec +  $_GBC_6fe4bb2d79ae43d185077fe1eee8e133 +  $_GBC_07002c09351741f39eb5903a12d17bf6 +  $_GBC_5639565a30274598be1b77a14cc2e018 +  $_GBC_5d3244097a3a4dd696b2f40fa56cea7e +  $_GBC_6f7a37ab308748e39780f270e459c673 +  $_GBC_07726f42a8254627ac5d03afb69be452 +  $_GBC_961905c4fdfe438cb01f4778b2bdc971 +  $_GBC_fa66c4be70da485c95e485dde92dab7e +  $_GBC_40f78642a409495a841827510738afe8 +  $_GBC_a7cefe07988e4a62be40298e0bd19f1a +  $_GBC_35a14fe3068744b1aff2ccb1057d66a0 +  $_GBC_2824d6ab98c74c6484d6714198609192 +  $_GBC_5c4a4873648b46beb688d2d85a15ac02 +  $_GBC_e6787165c9414402a7632418dffb1bc1 +  $_GBC_77bab0bcf10248cf8a61337b24fb6641 +  $_GBC_05c32b288b1445ff89879dd9ec06e085" id="Cc02f5c833949461f81889ed9b05a0d5d"/>
        </m:item>
        <m:item xlName="_GBC_9e5da8f84e20400fafc32225833d2a2d" concept="clcid-pte:FeiLiuDongZiChanHeJi" label="非流动资产合计" periodRef="本期期初数" mulRef="_GBC_d28e3b675fc048afb747681dc6d939c2" unitRef="_GBC_e3316f7d89b24ba1bb4a783fd180bf77" addr="T0R44C2S1_1" formatStyle="Comma" appId="_GBC_5ea888705f7c4c0f98e8769d2197c0de">
          <m:complexRule comparator="Eq" title="非流动资产合计@本期期初数" test=" $_GBC_79a2bf1b4d304dca8f38dc5ca7b1f244 +  $_GBC_39fc7046a5794161a26d4aa1a4ea806c +  $_GBC_e7bc8b8ba58043e1ae846c354fa572f6 +  $_GBC_d30024d374864147a0ee0e1aba22fed8 +  $_GBC_8ca4a9ec77ff41779f87fe483c010699 +  $_GBC_c42241a866924592abbf1bb2a352e44d +  $_GBC_440f53772f0e4c81b6d5430494433c11 +  $_GBC_d6c3969793744d429830650c6c4bf387 +  $_GBC_0a0bda28d00b4f18b4ddca17842aa538 +  $_GBC_00e5f4dfe1144e479871008f7bfbcd42 +  $_GBC_6a53c8c33b014fa5b3e4928cfc2c34f0 +  $_GBC_08dd59e9ae674ec4a285b635e006bf18 +  $_GBC_d10eb0ef770644fea27894b609d2a898 +  $_GBC_7652f53997a54b2890dc6be2ee1be309 +  $_GBC_1f7bbaffcaaf43c9987f088ae97d5876 +  $_GBC_237f0d92092a4ce6bc4686d00f6755c8 +  $_GBC_d55d70c91ea843418ef9ce8932d6cb05 +  $_GBC_db1da4e688ee47b3af76cd6a381bb500 +  $_GBC_1b1a16fd63994d28b446d9c827c6d9e1" id="C5d03422015da405fa5a18a7508629019"/>
        </m:item>
        <m:item xlName="_GBC_77c7d3eda5fe481b8faac2b9e9a19dc5" concept="clcid-pte:FeiLiuDongZiChanHeJi" label="非流动资产合计" mulRef="_GBC_d28e3b675fc048afb747681dc6d939c2" unitRef="_GBC_e3316f7d89b24ba1bb4a783fd180bf77" addr="T0R44C3S1_1" formatStyle="Comma" appId="_GBC_5ea888705f7c4c0f98e8769d2197c0de">
          <m:complexRule comparator="Eq" title="非流动资产合计" test=" $_GBC_57715b0e5f294712812177585fc949df +  $_GBC_2f43ed99e7574ae1bc3eceb78cfb477e +  $_GBC_6ba0c5c70a394b6ab186afdf708b9b4f +  $_GBC_a86c299fad95429d9e519a0aaf7b2810 +  $_GBC_a42fb9f1319b469e8d80200d1d7784f4 +  $_GBC_95ef79245ecf404da5ab64f9c073e7bf +  $_GBC_a99ce940d7a14bb181e0d165aeeaf0f3 +  $_GBC_5937315a0fba4c1889bfa2e3a01045cc +  $_GBC_71f7748f2bd24d47801e5e8addbf9dd4 +  $_GBC_7c0f7f1fa4a146718822f0b99c9a08b3 +  $_GBC_838da63fe22b48b0a98d46b6395bc3de +  $_GBC_da5673e2697c4bbab5881f42259a8ad6 +  $_GBC_ed5f9d841950435b8d25c028afd80238 +  $_GBC_1b666aec67a44fc0bdc95f4c524e5a66 +  $_GBC_235e8c07f0984f5994e118f640e99146 +  $_GBC_cb39dbef62d04b80b1f74b98ee9d95b0 +  $_GBC_256e0f6055be4d2eba887d421a578edc +  $_GBC_9b2199b23e714b0388040e2a803e266b +  $_GBC_425044b1d6c540f2a4771fdf6346d382" id="C535a6bd5097447c39d08e09f16ab0e5e"/>
          <m:axisValue occRef="调整数"/>
        </m:item>
        <m:placeholder xlName="_PLD_fe9d973bac6b4be6b5d2293c60039e19" addr="T0R45C0S1_1"/>
        <m:item xlName="_GBC_ab2327b13fe1408e95575e9c958f0eb1" concept="clcid-pte:ZiChanZongJi" label="资产总计" periodRef="上年期末数" mulRef="_GBC_d28e3b675fc048afb747681dc6d939c2" unitRef="_GBC_e3316f7d89b24ba1bb4a783fd180bf77" addr="T0R45C1S1_1" formatStyle="Comma" appId="_GBC_5ea888705f7c4c0f98e8769d2197c0de">
          <m:complexRule comparator="Eq" title="资产总计" test=" $_GBC_b314cf5b723c440f857428dcdf96689c +  $_GBC_886d1ffb4a2a4760a878feadc4f12b3d" id="C7164e478c66d4ef494b6fa96972a596e"/>
          <m:complexRule comparator="Eq" title="资产总计" test=" $_GBC_3d592c467ea84c04be00c5c02d541fc2" id="C0702c20da66d4bc2a9773424174397e7"/>
        </m:item>
        <m:item xlName="_GBC_106694ddacf64c648398b5cd8b0161ac" concept="clcid-pte:ZiChanZongJi" label="资产总计" periodRef="本期期初数" mulRef="_GBC_d28e3b675fc048afb747681dc6d939c2" unitRef="_GBC_e3316f7d89b24ba1bb4a783fd180bf77" addr="T0R45C2S1_1" formatStyle="Comma" appId="_GBC_5ea888705f7c4c0f98e8769d2197c0de">
          <m:complexRule comparator="Eq" title="资产总计@本期期初数" test=" $_GBC_6cbb9a16f96b46c4bc8445f1c233a911 +  $_GBC_9e5da8f84e20400fafc32225833d2a2d" id="C34d2488d8f0741c78a11eb5270b30d06"/>
          <m:complexRule comparator="Eq" title="资产总计@本期期初数" test=" $_GBC_3feec9bdf0784fb28552fb0bde233da6" id="C55066534e63942c0a1d01e3cba4f30dd"/>
        </m:item>
        <m:item xlName="_GBC_6b4e152b8f154c70bfbbd58c838d920b" concept="clcid-pte:ZiChanZongJi" label="资产总计" mulRef="_GBC_d28e3b675fc048afb747681dc6d939c2" unitRef="_GBC_e3316f7d89b24ba1bb4a783fd180bf77" addr="T0R45C3S1_1" formatStyle="Comma" appId="_GBC_5ea888705f7c4c0f98e8769d2197c0de">
          <m:complexRule comparator="Eq" title="资产总计" test=" $_GBC_c71cb5adf2fc4a1682e72f45665b658b" id="Cb8d2106e52304e0b9b5e3b6b4f4a6e9f"/>
          <m:complexRule comparator="Eq" title="资产总计" test=" $_GBC_77c7d3eda5fe481b8faac2b9e9a19dc5 +  $_GBC_7d0a35b6ac0145dabf906bae67731567" id="Cb7cf9506a5564fc19b5be0db8ed2662a"/>
          <m:axisValue occRef="调整数"/>
        </m:item>
        <m:placeholder xlName="_PLD_882c67f0356e4caa843229106fd31aac" addr="T0R46C0S1_4"/>
        <m:placeholder xlName="_PLD_0efba9adef604cadac8599fe5a7c8c43" addr="T0R47C0S1_1"/>
        <m:item xlName="_GBC_8ad8d985f42d44cc8d644aee0c215710" concept="clcid-pte:DuanQiJieKuan" label="短期借款" periodRef="上年期末数" mulRef="_GBC_d28e3b675fc048afb747681dc6d939c2" unitRef="_GBC_e3316f7d89b24ba1bb4a783fd180bf77" addr="T0R47C1S1_1" formatStyle="Comma" appId="_GBC_5ea888705f7c4c0f98e8769d2197c0de"/>
        <m:item xlName="_GBC_a3bbc645626e4d24ae16a8db87ccc9b7" concept="clcid-pte:DuanQiJieKuan" label="短期借款" periodRef="本期期初数" mulRef="_GBC_d28e3b675fc048afb747681dc6d939c2" unitRef="_GBC_e3316f7d89b24ba1bb4a783fd180bf77" addr="T0R47C2S1_1" formatStyle="Comma" appId="_GBC_5ea888705f7c4c0f98e8769d2197c0de"/>
        <m:item xlName="_GBC_ac229029fa314a52a9b196611bf06f11" concept="clcid-pte:DuanQiJieKuan" label="短期借款" mulRef="_GBC_d28e3b675fc048afb747681dc6d939c2" unitRef="_GBC_e3316f7d89b24ba1bb4a783fd180bf77" addr="T0R47C3S1_1" formatStyle="Comma" appId="_GBC_5ea888705f7c4c0f98e8769d2197c0de">
          <m:axisValue occRef="调整数"/>
        </m:item>
        <m:placeholder xlName="_PLD_372c190edf714f90bd9700557e8da87c" addr="T0R48C0S1_1"/>
        <m:item xlName="_GBC_28ec40d7f36346f6aa7960bb22bf78ec" concept="clcid-pte:XiangZhongYangYinHangJieKuan" label="向中央银行借款" periodRef="上年期末数" mulRef="_GBC_d28e3b675fc048afb747681dc6d939c2" unitRef="_GBC_e3316f7d89b24ba1bb4a783fd180bf77" addr="T0R48C1S1_1" formatStyle="Comma" appId="_GBC_5ea888705f7c4c0f98e8769d2197c0de"/>
        <m:item xlName="_GBC_7a976dee19b84b39a7c6af1d6db4381c" concept="clcid-pte:XiangZhongYangYinHangJieKuan" label="向中央银行借款" periodRef="本期期初数" mulRef="_GBC_d28e3b675fc048afb747681dc6d939c2" unitRef="_GBC_e3316f7d89b24ba1bb4a783fd180bf77" addr="T0R48C2S1_1" formatStyle="Comma" appId="_GBC_5ea888705f7c4c0f98e8769d2197c0de"/>
        <m:item xlName="_GBC_317624156b00482f95afa46f243bd2b1" concept="clcid-pte:XiangZhongYangYinHangJieKuan" label="向中央银行借款" mulRef="_GBC_d28e3b675fc048afb747681dc6d939c2" unitRef="_GBC_e3316f7d89b24ba1bb4a783fd180bf77" addr="T0R48C3S1_1" formatStyle="Comma" appId="_GBC_5ea888705f7c4c0f98e8769d2197c0de">
          <m:axisValue occRef="调整数"/>
        </m:item>
        <m:placeholder xlName="_PLD_61ae2c221b6e47ecbeeeeba07bff4d7f" addr="T0R49C0S1_1"/>
        <m:item xlName="_GBC_4cd08543374e4dd9906c474ee72c06aa" concept="clcid-pte:ChaiRuZiJin" label="拆入资金" periodRef="上年期末数" mulRef="_GBC_d28e3b675fc048afb747681dc6d939c2" unitRef="_GBC_e3316f7d89b24ba1bb4a783fd180bf77" addr="T0R49C1S1_1" formatStyle="Comma" appId="_GBC_5ea888705f7c4c0f98e8769d2197c0de"/>
        <m:item xlName="_GBC_9897b4563e494198a511c3276c21d8d2" concept="clcid-pte:ChaiRuZiJin" label="拆入资金" periodRef="本期期初数" mulRef="_GBC_d28e3b675fc048afb747681dc6d939c2" unitRef="_GBC_e3316f7d89b24ba1bb4a783fd180bf77" addr="T0R49C2S1_1" formatStyle="Comma" appId="_GBC_5ea888705f7c4c0f98e8769d2197c0de"/>
        <m:item xlName="_GBC_2d05854a8d274b99b93e412e3b2e420d" concept="clcid-pte:ChaiRuZiJin" label="拆入资金" mulRef="_GBC_d28e3b675fc048afb747681dc6d939c2" unitRef="_GBC_e3316f7d89b24ba1bb4a783fd180bf77" addr="T0R49C3S1_1" formatStyle="Comma" appId="_GBC_5ea888705f7c4c0f98e8769d2197c0de">
          <m:axisValue occRef="调整数"/>
        </m:item>
        <m:placeholder xlName="_PLD_97398b5d39b54be687530653a38c8f3f" addr="T0R50C0S1_1"/>
        <m:item xlName="_GBC_d80fdef7b9654972b761ab2dd1298e84" concept="clcid-pte:JiaoYiXingJinRongFuZhai" label="交易性金融负债" periodRef="上年期末数" mulRef="_GBC_d28e3b675fc048afb747681dc6d939c2" unitRef="_GBC_e3316f7d89b24ba1bb4a783fd180bf77" addr="T0R50C1S1_1" formatStyle="Comma" appId="_GBC_5ea888705f7c4c0f98e8769d2197c0de"/>
        <m:item xlName="_GBC_97a63b6265a0466d9027a4a94531afe3" concept="clcid-pte:JiaoYiXingJinRongFuZhai" label="交易性金融负债" periodRef="本期期初数" mulRef="_GBC_d28e3b675fc048afb747681dc6d939c2" unitRef="_GBC_e3316f7d89b24ba1bb4a783fd180bf77" addr="T0R50C2S1_1" formatStyle="Comma" appId="_GBC_5ea888705f7c4c0f98e8769d2197c0de"/>
        <m:item xlName="_GBC_a973da9a40ca4d0f9f49352c3cee73ef" concept="clcid-pte:JiaoYiXingJinRongFuZhai" label="交易性金融负债" mulRef="_GBC_d28e3b675fc048afb747681dc6d939c2" unitRef="_GBC_e3316f7d89b24ba1bb4a783fd180bf77" addr="T0R50C3S1_1" formatStyle="Comma" appId="_GBC_5ea888705f7c4c0f98e8769d2197c0de">
          <m:axisValue occRef="调整数"/>
        </m:item>
        <m:placeholder xlName="_PLD_6ce332098ad34f168a7fed2abb15b157" addr="T0R51C0S1_1"/>
        <m:item xlName="_GBC_cceb3bdcde68421f907dab1269440b00" concept="clcid-pte:YanShengJinRongFuZhai" label="衍生金融负债" periodRef="上年期末数" mulRef="_GBC_d28e3b675fc048afb747681dc6d939c2" unitRef="_GBC_e3316f7d89b24ba1bb4a783fd180bf77" addr="T0R51C1S1_1" formatStyle="Comma" appId="_GBC_5ea888705f7c4c0f98e8769d2197c0de"/>
        <m:item xlName="_GBC_d9e4f3abafd2484cb7812b94b6eaf3c2" concept="clcid-pte:YanShengJinRongFuZhai" label="衍生金融负债" periodRef="本期期初数" mulRef="_GBC_d28e3b675fc048afb747681dc6d939c2" unitRef="_GBC_e3316f7d89b24ba1bb4a783fd180bf77" addr="T0R51C2S1_1" formatStyle="Comma" appId="_GBC_5ea888705f7c4c0f98e8769d2197c0de"/>
        <m:item xlName="_GBC_d718ae256b2940b9a9ee3f190cffa4a4" concept="clcid-pte:YanShengJinRongFuZhai" label="衍生金融负债" mulRef="_GBC_d28e3b675fc048afb747681dc6d939c2" unitRef="_GBC_e3316f7d89b24ba1bb4a783fd180bf77" addr="T0R51C3S1_1" formatStyle="Comma" appId="_GBC_5ea888705f7c4c0f98e8769d2197c0de">
          <m:axisValue occRef="调整数"/>
        </m:item>
        <m:placeholder xlName="_PLD_9cd44978a5d84ceaa422cb600962bad4" addr="T0R52C0S1_1"/>
        <m:item xlName="_GBC_57f813da285743e285f22fd2caca35fe" concept="clcid-pte:YingFuPiaoJu" label="应付票据" periodRef="上年期末数" mulRef="_GBC_d28e3b675fc048afb747681dc6d939c2" unitRef="_GBC_e3316f7d89b24ba1bb4a783fd180bf77" addr="T0R52C1S1_1" formatStyle="Comma" appId="_GBC_5ea888705f7c4c0f98e8769d2197c0de"/>
        <m:item xlName="_GBC_5720f2b7a15f4acfbb614e707bae685b" concept="clcid-pte:YingFuPiaoJu" label="应付票据" periodRef="本期期初数" mulRef="_GBC_d28e3b675fc048afb747681dc6d939c2" unitRef="_GBC_e3316f7d89b24ba1bb4a783fd180bf77" addr="T0R52C2S1_1" formatStyle="Comma" appId="_GBC_5ea888705f7c4c0f98e8769d2197c0de"/>
        <m:item xlName="_GBC_c3829925f9314603b1e3a6ac9b5a5462" concept="clcid-pte:YingFuPiaoJu" label="应付票据" mulRef="_GBC_d28e3b675fc048afb747681dc6d939c2" unitRef="_GBC_e3316f7d89b24ba1bb4a783fd180bf77" addr="T0R52C3S1_1" formatStyle="Comma" appId="_GBC_5ea888705f7c4c0f98e8769d2197c0de">
          <m:axisValue occRef="调整数"/>
        </m:item>
        <m:placeholder xlName="_PLD_7fa39fd4bb1d4ff29a7f4c24bbfc9eec" addr="T0R53C0S1_1"/>
        <m:item xlName="_GBC_3677e9a263dd4b569e0db0aac43a1309" concept="clcid-pte:YingFuZhangKuan" label="应付帐款" periodRef="上年期末数" mulRef="_GBC_d28e3b675fc048afb747681dc6d939c2" unitRef="_GBC_e3316f7d89b24ba1bb4a783fd180bf77" addr="T0R53C1S1_1" formatStyle="Comma" appId="_GBC_5ea888705f7c4c0f98e8769d2197c0de"/>
        <m:item xlName="_GBC_7e1251bbf2eb43c4bd5dec74c370d446" concept="clcid-pte:YingFuZhangKuan" label="应付帐款" periodRef="本期期初数" mulRef="_GBC_d28e3b675fc048afb747681dc6d939c2" unitRef="_GBC_e3316f7d89b24ba1bb4a783fd180bf77" addr="T0R53C2S1_1" formatStyle="Comma" appId="_GBC_5ea888705f7c4c0f98e8769d2197c0de"/>
        <m:item xlName="_GBC_20cdf36063a9444daa28a17833147d66" concept="clcid-pte:YingFuZhangKuan" label="应付帐款" mulRef="_GBC_d28e3b675fc048afb747681dc6d939c2" unitRef="_GBC_e3316f7d89b24ba1bb4a783fd180bf77" addr="T0R53C3S1_1" formatStyle="Comma" appId="_GBC_5ea888705f7c4c0f98e8769d2197c0de">
          <m:axisValue occRef="调整数"/>
        </m:item>
        <m:placeholder xlName="_PLD_f40c73421eb94e3bb75da0dba5756c7b" addr="T0R54C0S1_1"/>
        <m:item xlName="_GBC_b9068be1ae57441882f49706c28e1fc9" concept="clcid-pte:YuShouZhangKuan" label="预收帐款" periodRef="上年期末数" mulRef="_GBC_d28e3b675fc048afb747681dc6d939c2" unitRef="_GBC_e3316f7d89b24ba1bb4a783fd180bf77" addr="T0R54C1S1_1" formatStyle="Comma" appId="_GBC_5ea888705f7c4c0f98e8769d2197c0de"/>
        <m:item xlName="_GBC_0210e28a3d46430aaf64368d3a2f3a8e" concept="clcid-pte:YuShouZhangKuan" label="预收帐款" periodRef="本期期初数" mulRef="_GBC_d28e3b675fc048afb747681dc6d939c2" unitRef="_GBC_e3316f7d89b24ba1bb4a783fd180bf77" addr="T0R54C2S1_1" formatStyle="Comma" appId="_GBC_5ea888705f7c4c0f98e8769d2197c0de"/>
        <m:item xlName="_GBC_c3797111ed0a404eb9d5cf7c74460581" concept="clcid-pte:YuShouZhangKuan" label="预收帐款" mulRef="_GBC_d28e3b675fc048afb747681dc6d939c2" unitRef="_GBC_e3316f7d89b24ba1bb4a783fd180bf77" addr="T0R54C3S1_1" formatStyle="Comma" appId="_GBC_5ea888705f7c4c0f98e8769d2197c0de">
          <m:axisValue occRef="调整数"/>
        </m:item>
        <m:placeholder xlName="_PLD_e962ca996b5d4bcca79fbcae92731704" addr="T0R55C0S1_1"/>
        <m:item xlName="_GBC_d4542f4c9566433a996da805cef4d563" concept="clcid-pte:HeTongFuZhai" label="合同负债" periodRef="上年期末数" mulRef="_GBC_d28e3b675fc048afb747681dc6d939c2" unitRef="_GBC_e3316f7d89b24ba1bb4a783fd180bf77" addr="T0R55C1S1_1" formatStyle="Comma" appId="_GBC_5ea888705f7c4c0f98e8769d2197c0de"/>
        <m:item xlName="_GBC_2922c63b6f2b4eed95a5e23b824bc469" concept="clcid-pte:HeTongFuZhai" label="合同负债" periodRef="本期期初数" mulRef="_GBC_d28e3b675fc048afb747681dc6d939c2" unitRef="_GBC_e3316f7d89b24ba1bb4a783fd180bf77" addr="T0R55C2S1_1" formatStyle="Comma" appId="_GBC_5ea888705f7c4c0f98e8769d2197c0de"/>
        <m:item xlName="_GBC_79cf61f4e15a4c629ed5306d68d0fd8a" concept="clcid-pte:HeTongFuZhai" label="合同负债" mulRef="_GBC_d28e3b675fc048afb747681dc6d939c2" unitRef="_GBC_e3316f7d89b24ba1bb4a783fd180bf77" addr="T0R55C3S1_1" formatStyle="Comma" appId="_GBC_5ea888705f7c4c0f98e8769d2197c0de">
          <m:axisValue occRef="调整数"/>
        </m:item>
        <m:placeholder xlName="_PLD_e022b367ef5841dba277837ed003eacd" addr="T0R56C0S1_1"/>
        <m:item xlName="_GBC_ff7d87572b344738bf6310d1e0873559" concept="clcid-pte:MaiChuHuiGouJinRongZiChanKuan" label="卖出回购金融资产款" periodRef="上年期末数" mulRef="_GBC_d28e3b675fc048afb747681dc6d939c2" unitRef="_GBC_e3316f7d89b24ba1bb4a783fd180bf77" addr="T0R56C1S1_1" formatStyle="Comma" appId="_GBC_5ea888705f7c4c0f98e8769d2197c0de"/>
        <m:item xlName="_GBC_90c2bd1eebde4c95835d3ac31845908a" concept="clcid-pte:MaiChuHuiGouJinRongZiChanKuan" label="卖出回购金融资产款" periodRef="本期期初数" mulRef="_GBC_d28e3b675fc048afb747681dc6d939c2" unitRef="_GBC_e3316f7d89b24ba1bb4a783fd180bf77" addr="T0R56C2S1_1" formatStyle="Comma" appId="_GBC_5ea888705f7c4c0f98e8769d2197c0de"/>
        <m:item xlName="_GBC_46530a3666f049ff8e3b7fe130e3ff8c" concept="clcid-pte:MaiChuHuiGouJinRongZiChanKuan" label="卖出回购金融资产款" mulRef="_GBC_d28e3b675fc048afb747681dc6d939c2" unitRef="_GBC_e3316f7d89b24ba1bb4a783fd180bf77" addr="T0R56C3S1_1" formatStyle="Comma" appId="_GBC_5ea888705f7c4c0f98e8769d2197c0de">
          <m:axisValue occRef="调整数"/>
        </m:item>
        <m:placeholder xlName="_PLD_74d4dc9a763540cf9519a67b2a7b02ae" addr="T0R57C0S1_1"/>
        <m:item xlName="_GBC_c5a0a9e4ea8640398f188d3dbf56a49a" concept="clcid-pte:XiShouCunKuanJiTongYeCunFang" label="吸收存款及同业存放" periodRef="上年期末数" mulRef="_GBC_d28e3b675fc048afb747681dc6d939c2" unitRef="_GBC_e3316f7d89b24ba1bb4a783fd180bf77" addr="T0R57C1S1_1" formatStyle="Comma" appId="_GBC_5ea888705f7c4c0f98e8769d2197c0de"/>
        <m:item xlName="_GBC_1b0c4aba5ed94cae99933a32213efc65" concept="clcid-pte:XiShouCunKuanJiTongYeCunFang" label="吸收存款及同业存放" periodRef="本期期初数" mulRef="_GBC_d28e3b675fc048afb747681dc6d939c2" unitRef="_GBC_e3316f7d89b24ba1bb4a783fd180bf77" addr="T0R57C2S1_1" formatStyle="Comma" appId="_GBC_5ea888705f7c4c0f98e8769d2197c0de"/>
        <m:item xlName="_GBC_dc9bccea97e74a76a2a8c129c03554a9" concept="clcid-pte:XiShouCunKuanJiTongYeCunFang" label="吸收存款及同业存放" mulRef="_GBC_d28e3b675fc048afb747681dc6d939c2" unitRef="_GBC_e3316f7d89b24ba1bb4a783fd180bf77" addr="T0R57C3S1_1" formatStyle="Comma" appId="_GBC_5ea888705f7c4c0f98e8769d2197c0de">
          <m:axisValue occRef="调整数"/>
        </m:item>
        <m:placeholder xlName="_PLD_3c7f7227298a479f925e3109384a9004" addr="T0R58C0S1_1"/>
        <m:item xlName="_GBC_1b8c94bea861487ea7d23465001ccd57" concept="clcid-pte:DaiLiMaiMaiZhengQuanKuan" label="代理买卖证券款" periodRef="上年期末数" mulRef="_GBC_d28e3b675fc048afb747681dc6d939c2" unitRef="_GBC_e3316f7d89b24ba1bb4a783fd180bf77" addr="T0R58C1S1_1" formatStyle="Comma" appId="_GBC_5ea888705f7c4c0f98e8769d2197c0de"/>
        <m:item xlName="_GBC_718ddad2c74b4c6daf7aede5b5cf4abb" concept="clcid-pte:DaiLiMaiMaiZhengQuanKuan" label="代理买卖证券款" periodRef="本期期初数" mulRef="_GBC_d28e3b675fc048afb747681dc6d939c2" unitRef="_GBC_e3316f7d89b24ba1bb4a783fd180bf77" addr="T0R58C2S1_1" formatStyle="Comma" appId="_GBC_5ea888705f7c4c0f98e8769d2197c0de"/>
        <m:item xlName="_GBC_d8b85fe7489d4f88a032890fe228fe14" concept="clcid-pte:DaiLiMaiMaiZhengQuanKuan" label="代理买卖证券款" mulRef="_GBC_d28e3b675fc048afb747681dc6d939c2" unitRef="_GBC_e3316f7d89b24ba1bb4a783fd180bf77" addr="T0R58C3S1_1" formatStyle="Comma" appId="_GBC_5ea888705f7c4c0f98e8769d2197c0de">
          <m:axisValue occRef="调整数"/>
        </m:item>
        <m:placeholder xlName="_PLD_c753a74c55b14657b44ff96fd1a588c5" addr="T0R59C0S1_1"/>
        <m:item xlName="_GBC_8a014837c6c74296b741694e81fb3811" concept="clcid-pte:DaiLiChengXiaoZhengQuanKuan" label="代理承销证券款" periodRef="上年期末数" mulRef="_GBC_d28e3b675fc048afb747681dc6d939c2" unitRef="_GBC_e3316f7d89b24ba1bb4a783fd180bf77" addr="T0R59C1S1_1" formatStyle="Comma" appId="_GBC_5ea888705f7c4c0f98e8769d2197c0de"/>
        <m:item xlName="_GBC_8bfb4bb234db4d37b71a77b86b25fb21" concept="clcid-pte:DaiLiChengXiaoZhengQuanKuan" label="代理承销证券款" periodRef="本期期初数" mulRef="_GBC_d28e3b675fc048afb747681dc6d939c2" unitRef="_GBC_e3316f7d89b24ba1bb4a783fd180bf77" addr="T0R59C2S1_1" formatStyle="Comma" appId="_GBC_5ea888705f7c4c0f98e8769d2197c0de"/>
        <m:item xlName="_GBC_80767c1ecdde445cacc5e517080a6e93" concept="clcid-pte:DaiLiChengXiaoZhengQuanKuan" label="代理承销证券款" mulRef="_GBC_d28e3b675fc048afb747681dc6d939c2" unitRef="_GBC_e3316f7d89b24ba1bb4a783fd180bf77" addr="T0R59C3S1_1" formatStyle="Comma" appId="_GBC_5ea888705f7c4c0f98e8769d2197c0de">
          <m:axisValue occRef="调整数"/>
        </m:item>
        <m:placeholder xlName="_PLD_645872124b78478895ac8ca50bf1fb8a" addr="T0R60C0S1_1"/>
        <m:item xlName="_GBC_acaaf004bfc44eb0a3012e4b041fdca8" concept="clcid-pte:YingFuZhiGongXinChou" label="应付职工薪酬" periodRef="上年期末数" mulRef="_GBC_d28e3b675fc048afb747681dc6d939c2" unitRef="_GBC_e3316f7d89b24ba1bb4a783fd180bf77" addr="T0R60C1S1_1" formatStyle="Comma" appId="_GBC_5ea888705f7c4c0f98e8769d2197c0de"/>
        <m:item xlName="_GBC_981a0d33cd1946ad94e04e3145a99732" concept="clcid-pte:YingFuZhiGongXinChou" label="应付职工薪酬" periodRef="本期期初数" mulRef="_GBC_d28e3b675fc048afb747681dc6d939c2" unitRef="_GBC_e3316f7d89b24ba1bb4a783fd180bf77" addr="T0R60C2S1_1" formatStyle="Comma" appId="_GBC_5ea888705f7c4c0f98e8769d2197c0de"/>
        <m:item xlName="_GBC_191b7918e37548beb8b5ee08e81895e4" concept="clcid-pte:YingFuZhiGongXinChou" label="应付职工薪酬" mulRef="_GBC_d28e3b675fc048afb747681dc6d939c2" unitRef="_GBC_e3316f7d89b24ba1bb4a783fd180bf77" addr="T0R60C3S1_1" formatStyle="Comma" appId="_GBC_5ea888705f7c4c0f98e8769d2197c0de">
          <m:axisValue occRef="调整数"/>
        </m:item>
        <m:placeholder xlName="_PLD_d3c044defc17425daa2954955510acc7" addr="T0R61C0S1_1"/>
        <m:item xlName="_GBC_56c50505ff7a42bfa3a78eb175b1de1c" concept="clcid-pte:YingJiaoShuiJin" label="应交税金" periodRef="上年期末数" mulRef="_GBC_d28e3b675fc048afb747681dc6d939c2" unitRef="_GBC_e3316f7d89b24ba1bb4a783fd180bf77" addr="T0R61C1S1_1" formatStyle="Comma" appId="_GBC_5ea888705f7c4c0f98e8769d2197c0de"/>
        <m:item xlName="_GBC_607d7318553a4f1d8c701497ff1e4d69" concept="clcid-pte:YingJiaoShuiJin" label="应交税金" periodRef="本期期初数" mulRef="_GBC_d28e3b675fc048afb747681dc6d939c2" unitRef="_GBC_e3316f7d89b24ba1bb4a783fd180bf77" addr="T0R61C2S1_1" formatStyle="Comma" appId="_GBC_5ea888705f7c4c0f98e8769d2197c0de"/>
        <m:item xlName="_GBC_087e1e277a444256aa95cd2a66bbe942" concept="clcid-pte:YingJiaoShuiJin" label="应交税金" mulRef="_GBC_d28e3b675fc048afb747681dc6d939c2" unitRef="_GBC_e3316f7d89b24ba1bb4a783fd180bf77" addr="T0R61C3S1_1" formatStyle="Comma" appId="_GBC_5ea888705f7c4c0f98e8769d2197c0de">
          <m:axisValue occRef="调整数"/>
        </m:item>
        <m:placeholder xlName="_PLD_2463a98e91ab4940a86070ef84c09928" addr="T0R62C0S1_1"/>
        <m:item xlName="_GBC_f47b982a9ef344f9a1a9c3895bd76dde" concept="clcid-pte:QiTaYingFuKuan" label="其他应付款" periodRef="上年期末数" mulRef="_GBC_d28e3b675fc048afb747681dc6d939c2" unitRef="_GBC_e3316f7d89b24ba1bb4a783fd180bf77" addr="T0R62C1S1_1" formatStyle="Comma" appId="_GBC_5ea888705f7c4c0f98e8769d2197c0de"/>
        <m:item xlName="_GBC_7f9f969c96a246ccab2c0e59d956ffaf" concept="clcid-pte:QiTaYingFuKuan" label="其他应付款" periodRef="本期期初数" mulRef="_GBC_d28e3b675fc048afb747681dc6d939c2" unitRef="_GBC_e3316f7d89b24ba1bb4a783fd180bf77" addr="T0R62C2S1_1" formatStyle="Comma" appId="_GBC_5ea888705f7c4c0f98e8769d2197c0de"/>
        <m:item xlName="_GBC_a4bbc5f686444b0294a29febf4b89a12" concept="clcid-pte:QiTaYingFuKuan" label="其他应付款" mulRef="_GBC_d28e3b675fc048afb747681dc6d939c2" unitRef="_GBC_e3316f7d89b24ba1bb4a783fd180bf77" addr="T0R62C3S1_1" formatStyle="Comma" appId="_GBC_5ea888705f7c4c0f98e8769d2197c0de">
          <m:axisValue occRef="调整数"/>
        </m:item>
        <m:placeholder xlName="_PLD_1e3b5010b1644b86a63caa38200d9fc7" addr="T0R63C0S1_1"/>
        <m:item xlName="_GBC_246efa35563a4883bb359e5d64e95c35" concept="clcid-pte:YingFuLiXi" label="应付利息" periodRef="上年期末数" mulRef="_GBC_d28e3b675fc048afb747681dc6d939c2" unitRef="_GBC_e3316f7d89b24ba1bb4a783fd180bf77" addr="T0R63C1S1_1" formatStyle="Comma" appId="_GBC_5ea888705f7c4c0f98e8769d2197c0de"/>
        <m:item xlName="_GBC_e55c34dd53914517b7df87a32026ac5e" concept="clcid-pte:YingFuLiXi" label="应付利息" periodRef="本期期初数" mulRef="_GBC_d28e3b675fc048afb747681dc6d939c2" unitRef="_GBC_e3316f7d89b24ba1bb4a783fd180bf77" addr="T0R63C2S1_1" formatStyle="Comma" appId="_GBC_5ea888705f7c4c0f98e8769d2197c0de"/>
        <m:item xlName="_GBC_39653654bdaf4a7eaa22847d8886cb80" concept="clcid-pte:YingFuLiXi" label="应付利息" mulRef="_GBC_d28e3b675fc048afb747681dc6d939c2" unitRef="_GBC_e3316f7d89b24ba1bb4a783fd180bf77" addr="T0R63C3S1_1" formatStyle="Comma" appId="_GBC_5ea888705f7c4c0f98e8769d2197c0de">
          <m:axisValue occRef="调整数"/>
        </m:item>
        <m:placeholder xlName="_PLD_bb0dd0f249ab4ec4b35a1769f3ab804c" addr="T0R64C0S1_1"/>
        <m:item xlName="_GBC_6165c679466a44d28cf2239216340684" concept="clcid-pte:YingFuGuLi" label="应付股利" periodRef="上年期末数" mulRef="_GBC_d28e3b675fc048afb747681dc6d939c2" unitRef="_GBC_e3316f7d89b24ba1bb4a783fd180bf77" addr="T0R64C1S1_1" formatStyle="Comma" appId="_GBC_5ea888705f7c4c0f98e8769d2197c0de"/>
        <m:item xlName="_GBC_c8bb07a9f3b440c48b41dcda681774e5" concept="clcid-pte:YingFuGuLi" label="应付股利" periodRef="本期期初数" mulRef="_GBC_d28e3b675fc048afb747681dc6d939c2" unitRef="_GBC_e3316f7d89b24ba1bb4a783fd180bf77" addr="T0R64C2S1_1" formatStyle="Comma" appId="_GBC_5ea888705f7c4c0f98e8769d2197c0de"/>
        <m:item xlName="_GBC_0a4eadb205f3424ea6005b56ebe0461b" concept="clcid-pte:YingFuGuLi" label="应付股利" mulRef="_GBC_d28e3b675fc048afb747681dc6d939c2" unitRef="_GBC_e3316f7d89b24ba1bb4a783fd180bf77" addr="T0R64C3S1_1" formatStyle="Comma" appId="_GBC_5ea888705f7c4c0f98e8769d2197c0de">
          <m:axisValue occRef="调整数"/>
        </m:item>
        <m:placeholder xlName="_PLD_69732c7544d04b9b9f9cd67ef9c67522" addr="T0R65C0S1_1"/>
        <m:item xlName="_GBC_057b3f8c272c4e5bb04370f20ac4b850" concept="clcid-pte:YingFuShouXuFeiJiYongJin" label="应付手续费及佣金" periodRef="上年期末数" mulRef="_GBC_d28e3b675fc048afb747681dc6d939c2" unitRef="_GBC_e3316f7d89b24ba1bb4a783fd180bf77" addr="T0R65C1S1_1" formatStyle="Comma" appId="_GBC_5ea888705f7c4c0f98e8769d2197c0de"/>
        <m:item xlName="_GBC_6050f722201d4ce29037815cf214c3e9" concept="clcid-pte:YingFuShouXuFeiJiYongJin" label="应付手续费及佣金" periodRef="本期期初数" mulRef="_GBC_d28e3b675fc048afb747681dc6d939c2" unitRef="_GBC_e3316f7d89b24ba1bb4a783fd180bf77" addr="T0R65C2S1_1" formatStyle="Comma" appId="_GBC_5ea888705f7c4c0f98e8769d2197c0de"/>
        <m:item xlName="_GBC_8d5a8139a88341f292be2ca51ff41208" concept="clcid-pte:YingFuShouXuFeiJiYongJin" label="应付手续费及佣金" mulRef="_GBC_d28e3b675fc048afb747681dc6d939c2" unitRef="_GBC_e3316f7d89b24ba1bb4a783fd180bf77" addr="T0R65C3S1_1" formatStyle="Comma" appId="_GBC_5ea888705f7c4c0f98e8769d2197c0de">
          <m:axisValue occRef="调整数"/>
        </m:item>
        <m:placeholder xlName="_PLD_722fcf0c82c847e58fe7dabb21c96fbe" addr="T0R66C0S1_1"/>
        <m:item xlName="_GBC_806cd105d2ff489497c87985e7a80c5d" concept="clcid-pte:YingFuFenBaoZhangKuan" label="应付分保账款" periodRef="上年期末数" mulRef="_GBC_d28e3b675fc048afb747681dc6d939c2" unitRef="_GBC_e3316f7d89b24ba1bb4a783fd180bf77" addr="T0R66C1S1_1" formatStyle="Comma" appId="_GBC_5ea888705f7c4c0f98e8769d2197c0de"/>
        <m:item xlName="_GBC_9ea963d2b8384486899d40e464bb7adc" concept="clcid-pte:YingFuFenBaoZhangKuan" label="应付分保账款" periodRef="本期期初数" mulRef="_GBC_d28e3b675fc048afb747681dc6d939c2" unitRef="_GBC_e3316f7d89b24ba1bb4a783fd180bf77" addr="T0R66C2S1_1" formatStyle="Comma" appId="_GBC_5ea888705f7c4c0f98e8769d2197c0de"/>
        <m:item xlName="_GBC_f5659078471b4f118172d1eed283b6b3" concept="clcid-pte:YingFuFenBaoZhangKuan" label="应付分保账款" mulRef="_GBC_d28e3b675fc048afb747681dc6d939c2" unitRef="_GBC_e3316f7d89b24ba1bb4a783fd180bf77" addr="T0R66C3S1_1" formatStyle="Comma" appId="_GBC_5ea888705f7c4c0f98e8769d2197c0de">
          <m:axisValue occRef="调整数"/>
        </m:item>
        <m:placeholder xlName="_PLD_3425e5f47d8444608e19b97651415166" addr="T0R67C0S1_1"/>
        <m:item xlName="_GBC_8268e38331bc4c528f591cc350f20f38" concept="clcid-pte:HuaFenWeiChiYouDaiShouDeFuZhai" label="划分为持有待售的负债" periodRef="上年期末数" mulRef="_GBC_d28e3b675fc048afb747681dc6d939c2" unitRef="_GBC_e3316f7d89b24ba1bb4a783fd180bf77" addr="T0R67C1S1_1" formatStyle="Comma" appId="_GBC_5ea888705f7c4c0f98e8769d2197c0de"/>
        <m:item xlName="_GBC_d5737e8adde64ec58fa8289199c49764" concept="clcid-pte:HuaFenWeiChiYouDaiShouDeFuZhai" label="划分为持有待售的负债" periodRef="本期期初数" mulRef="_GBC_d28e3b675fc048afb747681dc6d939c2" unitRef="_GBC_e3316f7d89b24ba1bb4a783fd180bf77" addr="T0R67C2S1_1" formatStyle="Comma" appId="_GBC_5ea888705f7c4c0f98e8769d2197c0de"/>
        <m:item xlName="_GBC_d5627c924b3f4e6f9a6761c49bf0eaf2" concept="clcid-pte:HuaFenWeiChiYouDaiShouDeFuZhai" label="划分为持有待售的负债" mulRef="_GBC_d28e3b675fc048afb747681dc6d939c2" unitRef="_GBC_e3316f7d89b24ba1bb4a783fd180bf77" addr="T0R67C3S1_1" formatStyle="Comma" appId="_GBC_5ea888705f7c4c0f98e8769d2197c0de">
          <m:axisValue occRef="调整数"/>
        </m:item>
        <m:placeholder xlName="_PLD_184262582d204a07b7c7b039008d30a1" addr="T0R68C0S1_1"/>
        <m:item xlName="_GBC_22e2301f55c74bd6bbf76d054af17a8c" concept="clcid-pte:YiNianNeiDaoQiDeChangQiFuZhai" label="一年内到期的长期负债" periodRef="上年期末数" mulRef="_GBC_d28e3b675fc048afb747681dc6d939c2" unitRef="_GBC_e3316f7d89b24ba1bb4a783fd180bf77" addr="T0R68C1S1_1" formatStyle="Comma" appId="_GBC_5ea888705f7c4c0f98e8769d2197c0de"/>
        <m:item xlName="_GBC_9d451dabfb6a46668e85c1ab23f14fa1" concept="clcid-pte:YiNianNeiDaoQiDeChangQiFuZhai" label="一年内到期的长期负债" periodRef="本期期初数" mulRef="_GBC_d28e3b675fc048afb747681dc6d939c2" unitRef="_GBC_e3316f7d89b24ba1bb4a783fd180bf77" addr="T0R68C2S1_1" formatStyle="Comma" appId="_GBC_5ea888705f7c4c0f98e8769d2197c0de"/>
        <m:item xlName="_GBC_1061cd306b194a0f8822176033baac13" concept="clcid-pte:YiNianNeiDaoQiDeChangQiFuZhai" label="一年内到期的长期负债" mulRef="_GBC_d28e3b675fc048afb747681dc6d939c2" unitRef="_GBC_e3316f7d89b24ba1bb4a783fd180bf77" addr="T0R68C3S1_1" formatStyle="Comma" appId="_GBC_5ea888705f7c4c0f98e8769d2197c0de">
          <m:axisValue occRef="调整数"/>
        </m:item>
        <m:placeholder xlName="_PLD_af93e4b207a64595bfc64c7f72b1187a" addr="T0R69C0S1_1"/>
        <m:item xlName="_GBC_ac9b2e73eae84532b13ac71e58de8c70" concept="clcid-pte:QiTaLiuDongFuZhai" label="其他流动负债" periodRef="上年期末数" mulRef="_GBC_d28e3b675fc048afb747681dc6d939c2" unitRef="_GBC_e3316f7d89b24ba1bb4a783fd180bf77" addr="T0R69C1S1_1" formatStyle="Comma" appId="_GBC_5ea888705f7c4c0f98e8769d2197c0de"/>
        <m:item xlName="_GBC_0ce0290b845f48a687fd4982e50b80be" concept="clcid-pte:QiTaLiuDongFuZhai" label="其他流动负债" periodRef="本期期初数" mulRef="_GBC_d28e3b675fc048afb747681dc6d939c2" unitRef="_GBC_e3316f7d89b24ba1bb4a783fd180bf77" addr="T0R69C2S1_1" formatStyle="Comma" appId="_GBC_5ea888705f7c4c0f98e8769d2197c0de"/>
        <m:item xlName="_GBC_e58fcb33c84a4a50b347d86b4c628537" concept="clcid-pte:QiTaLiuDongFuZhai" label="其他流动负债" mulRef="_GBC_d28e3b675fc048afb747681dc6d939c2" unitRef="_GBC_e3316f7d89b24ba1bb4a783fd180bf77" addr="T0R69C3S1_1" formatStyle="Comma" appId="_GBC_5ea888705f7c4c0f98e8769d2197c0de">
          <m:axisValue occRef="调整数"/>
        </m:item>
        <m:placeholder xlName="_PLD_9a3d3ca1f3174615bf9ff36a589d6783" addr="T0R70C0S1_1"/>
        <m:item xlName="_GBC_6e409cd0deda411ebc62ef9da0ad49d5" concept="clcid-pte:LiuDongFuZhaiHeJi" label="流动负债合计" periodRef="上年期末数" mulRef="_GBC_d28e3b675fc048afb747681dc6d939c2" unitRef="_GBC_e3316f7d89b24ba1bb4a783fd180bf77" addr="T0R70C1S1_1" formatStyle="Comma" appId="_GBC_5ea888705f7c4c0f98e8769d2197c0de">
          <m:complexRule comparator="Eq" title="流动负债合计@上年期末数" test=" $_GBC_8ad8d985f42d44cc8d644aee0c215710 +  $_GBC_28ec40d7f36346f6aa7960bb22bf78ec +  $_GBC_4cd08543374e4dd9906c474ee72c06aa +  $_GBC_d80fdef7b9654972b761ab2dd1298e84 +  $_GBC_cceb3bdcde68421f907dab1269440b00 +  $_GBC_57f813da285743e285f22fd2caca35fe +  $_GBC_3677e9a263dd4b569e0db0aac43a1309 +  $_GBC_b9068be1ae57441882f49706c28e1fc9 +  $_GBC_d4542f4c9566433a996da805cef4d563 +  $_GBC_ff7d87572b344738bf6310d1e0873559 +  $_GBC_c5a0a9e4ea8640398f188d3dbf56a49a +  $_GBC_1b8c94bea861487ea7d23465001ccd57 +  $_GBC_8a014837c6c74296b741694e81fb3811 +  $_GBC_acaaf004bfc44eb0a3012e4b041fdca8 +  $_GBC_56c50505ff7a42bfa3a78eb175b1de1c +  $_GBC_f47b982a9ef344f9a1a9c3895bd76dde +  $_GBC_057b3f8c272c4e5bb04370f20ac4b850 +  $_GBC_806cd105d2ff489497c87985e7a80c5d +  $_GBC_8268e38331bc4c528f591cc350f20f38 +  $_GBC_22e2301f55c74bd6bbf76d054af17a8c +  $_GBC_ac9b2e73eae84532b13ac71e58de8c70" id="C51a885efd00347518fbbba14cdd74b4a"/>
        </m:item>
        <m:item xlName="_GBC_052fabb0632d4eda9f1b98589d5e442d" concept="clcid-pte:LiuDongFuZhaiHeJi" label="流动负债合计" periodRef="本期期初数" mulRef="_GBC_d28e3b675fc048afb747681dc6d939c2" unitRef="_GBC_e3316f7d89b24ba1bb4a783fd180bf77" addr="T0R70C2S1_1" formatStyle="Comma" appId="_GBC_5ea888705f7c4c0f98e8769d2197c0de">
          <m:complexRule comparator="Eq" title="流动负债合计@本期期初数" test=" $_GBC_a3bbc645626e4d24ae16a8db87ccc9b7 +  $_GBC_7a976dee19b84b39a7c6af1d6db4381c +  $_GBC_9897b4563e494198a511c3276c21d8d2 +  $_GBC_97a63b6265a0466d9027a4a94531afe3 +  $_GBC_d9e4f3abafd2484cb7812b94b6eaf3c2 +  $_GBC_5720f2b7a15f4acfbb614e707bae685b +  $_GBC_7e1251bbf2eb43c4bd5dec74c370d446 +  $_GBC_0210e28a3d46430aaf64368d3a2f3a8e +  $_GBC_2922c63b6f2b4eed95a5e23b824bc469 +  $_GBC_90c2bd1eebde4c95835d3ac31845908a +  $_GBC_1b0c4aba5ed94cae99933a32213efc65 +  $_GBC_718ddad2c74b4c6daf7aede5b5cf4abb +  $_GBC_8bfb4bb234db4d37b71a77b86b25fb21 +  $_GBC_981a0d33cd1946ad94e04e3145a99732 +  $_GBC_607d7318553a4f1d8c701497ff1e4d69 +  $_GBC_7f9f969c96a246ccab2c0e59d956ffaf +  $_GBC_6050f722201d4ce29037815cf214c3e9 +  $_GBC_9ea963d2b8384486899d40e464bb7adc +  $_GBC_d5737e8adde64ec58fa8289199c49764 +  $_GBC_9d451dabfb6a46668e85c1ab23f14fa1 +  $_GBC_0ce0290b845f48a687fd4982e50b80be" id="C66a7b341d56c48848f0a59a225693d28"/>
        </m:item>
        <m:item xlName="_GBC_5bbfbe5369f847b5a4af207d46c4306f" concept="clcid-pte:LiuDongFuZhaiHeJi" label="流动负债合计" mulRef="_GBC_d28e3b675fc048afb747681dc6d939c2" unitRef="_GBC_e3316f7d89b24ba1bb4a783fd180bf77" addr="T0R70C3S1_1" formatStyle="Comma" appId="_GBC_5ea888705f7c4c0f98e8769d2197c0de">
          <m:complexRule comparator="Eq" title="流动负债合计(调整数)" test=" $_GBC_ac229029fa314a52a9b196611bf06f11 +  $_GBC_317624156b00482f95afa46f243bd2b1 +  $_GBC_2d05854a8d274b99b93e412e3b2e420d +  $_GBC_a973da9a40ca4d0f9f49352c3cee73ef +  $_GBC_d718ae256b2940b9a9ee3f190cffa4a4 +  $_GBC_c3829925f9314603b1e3a6ac9b5a5462 +  $_GBC_20cdf36063a9444daa28a17833147d66 +  $_GBC_c3797111ed0a404eb9d5cf7c74460581 +  $_GBC_79cf61f4e15a4c629ed5306d68d0fd8a +  $_GBC_46530a3666f049ff8e3b7fe130e3ff8c +  $_GBC_dc9bccea97e74a76a2a8c129c03554a9 +  $_GBC_d8b85fe7489d4f88a032890fe228fe14 +  $_GBC_80767c1ecdde445cacc5e517080a6e93 +  $_GBC_191b7918e37548beb8b5ee08e81895e4 +  $_GBC_087e1e277a444256aa95cd2a66bbe942 +  $_GBC_a4bbc5f686444b0294a29febf4b89a12 +  $_GBC_8d5a8139a88341f292be2ca51ff41208 +  $_GBC_f5659078471b4f118172d1eed283b6b3 +  $_GBC_d5627c924b3f4e6f9a6761c49bf0eaf2 +  $_GBC_1061cd306b194a0f8822176033baac13 +  $_GBC_e58fcb33c84a4a50b347d86b4c628537" id="Cac4f136076df4f9e9e9514bff0f3d0e6"/>
          <m:axisValue occRef="调整数"/>
        </m:item>
        <m:placeholder xlName="_PLD_a08e21293f134b168255e7186cb648ba" addr="T0R71C0S1_4"/>
        <m:placeholder xlName="_PLD_4b1c734d983f434b821c521fc2870fe8" addr="T0R72C0S1_1"/>
        <m:item xlName="_GBC_261a0da93f944e0d980de913bcfb9e0b" concept="clcid-pte:BaoXianHeTongZhunBeiJin" label="保险合同准备金" periodRef="上年期末数" mulRef="_GBC_d28e3b675fc048afb747681dc6d939c2" unitRef="_GBC_e3316f7d89b24ba1bb4a783fd180bf77" addr="T0R72C1S1_1" formatStyle="Comma" appId="_GBC_5ea888705f7c4c0f98e8769d2197c0de"/>
        <m:item xlName="_GBC_2e3eb66067ee46a8bf6fcae420dc1f60" concept="clcid-pte:BaoXianHeTongZhunBeiJin" label="保险合同准备金" periodRef="本期期初数" mulRef="_GBC_d28e3b675fc048afb747681dc6d939c2" unitRef="_GBC_e3316f7d89b24ba1bb4a783fd180bf77" addr="T0R72C2S1_1" formatStyle="Comma" appId="_GBC_5ea888705f7c4c0f98e8769d2197c0de"/>
        <m:item xlName="_GBC_c872c6c9a687494c868fb536e792f7bb" concept="clcid-pte:BaoXianHeTongZhunBeiJin" label="保险合同准备金" mulRef="_GBC_d28e3b675fc048afb747681dc6d939c2" unitRef="_GBC_e3316f7d89b24ba1bb4a783fd180bf77" addr="T0R72C3S1_1" formatStyle="Comma" appId="_GBC_5ea888705f7c4c0f98e8769d2197c0de">
          <m:axisValue occRef="调整数"/>
        </m:item>
        <m:placeholder xlName="_PLD_1d1cee5b720049af960e79c80ab30479" addr="T0R73C0S1_1"/>
        <m:item xlName="_GBC_4158134243a34151ba7430f4f2e45b5c" concept="clcid-pte:ChangQiJieKuan" label="长期借款" periodRef="上年期末数" mulRef="_GBC_d28e3b675fc048afb747681dc6d939c2" unitRef="_GBC_e3316f7d89b24ba1bb4a783fd180bf77" addr="T0R73C1S1_1" formatStyle="Comma" appId="_GBC_5ea888705f7c4c0f98e8769d2197c0de"/>
        <m:item xlName="_GBC_98ab61992cf04c4198637079cbff01f8" concept="clcid-pte:ChangQiJieKuan" label="长期借款" periodRef="本期期初数" mulRef="_GBC_d28e3b675fc048afb747681dc6d939c2" unitRef="_GBC_e3316f7d89b24ba1bb4a783fd180bf77" addr="T0R73C2S1_1" formatStyle="Comma" appId="_GBC_5ea888705f7c4c0f98e8769d2197c0de"/>
        <m:item xlName="_GBC_54e2a889e3a14906a8003e2813a70aca" concept="clcid-pte:ChangQiJieKuan" label="长期借款" mulRef="_GBC_d28e3b675fc048afb747681dc6d939c2" unitRef="_GBC_e3316f7d89b24ba1bb4a783fd180bf77" addr="T0R73C3S1_1" formatStyle="Comma" appId="_GBC_5ea888705f7c4c0f98e8769d2197c0de">
          <m:axisValue occRef="调整数"/>
        </m:item>
        <m:placeholder xlName="_PLD_023f317ab6034563a761b5d2ed98eeae" addr="T0R74C0S1_1"/>
        <m:item xlName="_GBC_647a498fa3524a47b368032bf944aa65" concept="clcid-pte:YingFuZhaiQuan" label="应付债券" periodRef="上年期末数" mulRef="_GBC_d28e3b675fc048afb747681dc6d939c2" unitRef="_GBC_e3316f7d89b24ba1bb4a783fd180bf77" addr="T0R74C1S1_1" formatStyle="Comma" appId="_GBC_5ea888705f7c4c0f98e8769d2197c0de"/>
        <m:item xlName="_GBC_1ef8d0f9f3654184be074aa6380ecd77" concept="clcid-pte:YingFuZhaiQuan" label="应付债券" periodRef="本期期初数" mulRef="_GBC_d28e3b675fc048afb747681dc6d939c2" unitRef="_GBC_e3316f7d89b24ba1bb4a783fd180bf77" addr="T0R74C2S1_1" formatStyle="Comma" appId="_GBC_5ea888705f7c4c0f98e8769d2197c0de"/>
        <m:item xlName="_GBC_1eb79922a764412da79de42028510fe6" concept="clcid-pte:YingFuZhaiQuan" label="应付债券" mulRef="_GBC_d28e3b675fc048afb747681dc6d939c2" unitRef="_GBC_e3316f7d89b24ba1bb4a783fd180bf77" addr="T0R74C3S1_1" formatStyle="Comma" appId="_GBC_5ea888705f7c4c0f98e8769d2197c0de">
          <m:axisValue occRef="调整数"/>
        </m:item>
        <m:placeholder xlName="_PLD_3b3edb5f36134af39020a332792fb060" addr="T0R75C0S1_1"/>
        <m:item xlName="_GBC_a08eb71ac00042c08c0276b2ac140c96" concept="clcid-pte:QiZhongYouXianGu" label="其中：优先股" periodRef="上年期末数" mulRef="_GBC_d28e3b675fc048afb747681dc6d939c2" unitRef="_GBC_e3316f7d89b24ba1bb4a783fd180bf77" addr="T0R75C1S1_1" formatStyle="Comma" appId="_GBC_5ea888705f7c4c0f98e8769d2197c0de"/>
        <m:item xlName="_GBC_4e2c6a7a10ed456ea52be03d3e83a8bf" concept="clcid-pte:QiZhongYouXianGu" label="其中：优先股" periodRef="本期期初数" mulRef="_GBC_d28e3b675fc048afb747681dc6d939c2" unitRef="_GBC_e3316f7d89b24ba1bb4a783fd180bf77" addr="T0R75C2S1_1" formatStyle="Comma" appId="_GBC_5ea888705f7c4c0f98e8769d2197c0de"/>
        <m:item xlName="_GBC_3ee19ee3e1f1440ba3c2c82aa2d947e3" concept="clcid-pte:QiZhongYouXianGu" label="其中：优先股" mulRef="_GBC_d28e3b675fc048afb747681dc6d939c2" unitRef="_GBC_e3316f7d89b24ba1bb4a783fd180bf77" addr="T0R75C3S1_1" formatStyle="Comma" appId="_GBC_5ea888705f7c4c0f98e8769d2197c0de">
          <m:axisValue occRef="调整数"/>
        </m:item>
        <m:placeholder xlName="_PLD_d9d94d502e044d5c83dc48388d17f72c" addr="T0R76C0S1_1"/>
        <m:item xlName="_GBC_5717e48dab974a4787bb935fc8893b48" concept="clcid-pte:YongXuZhai" label="永续债" periodRef="上年期末数" mulRef="_GBC_d28e3b675fc048afb747681dc6d939c2" unitRef="_GBC_e3316f7d89b24ba1bb4a783fd180bf77" addr="T0R76C1S1_1" formatStyle="Comma" appId="_GBC_5ea888705f7c4c0f98e8769d2197c0de"/>
        <m:item xlName="_GBC_432d713e85f7433e9f8b7ecf81e600ac" concept="clcid-pte:YongXuZhai" label="永续债" periodRef="本期期初数" mulRef="_GBC_d28e3b675fc048afb747681dc6d939c2" unitRef="_GBC_e3316f7d89b24ba1bb4a783fd180bf77" addr="T0R76C2S1_1" formatStyle="Comma" appId="_GBC_5ea888705f7c4c0f98e8769d2197c0de"/>
        <m:item xlName="_GBC_e9b6b394c15244788cf30551573e2fdf" concept="clcid-pte:YongXuZhai" label="永续债" mulRef="_GBC_d28e3b675fc048afb747681dc6d939c2" unitRef="_GBC_e3316f7d89b24ba1bb4a783fd180bf77" addr="T0R76C3S1_1" formatStyle="Comma" appId="_GBC_5ea888705f7c4c0f98e8769d2197c0de">
          <m:axisValue occRef="调整数"/>
        </m:item>
        <m:placeholder xlName="_PLD_93d73c87b7e3475991fcc1cef4eb2477" addr="T0R77C0S1_1"/>
        <m:item xlName="_GBC_98c6df2f1e1c4f79b84303232f23aefc" concept="clcid-pte:ZuLinFuZhai" label="租赁负债" periodRef="上年期末数" mulRef="_GBC_d28e3b675fc048afb747681dc6d939c2" unitRef="_GBC_e3316f7d89b24ba1bb4a783fd180bf77" addr="T0R77C1S1_1" formatStyle="Comma" appId="_GBC_5ea888705f7c4c0f98e8769d2197c0de"/>
        <m:item xlName="_GBC_60e657d177854dda9dd640b40e086595" concept="clcid-pte:ZuLinFuZhai" label="租赁负债" periodRef="本期期初数" mulRef="_GBC_d28e3b675fc048afb747681dc6d939c2" unitRef="_GBC_e3316f7d89b24ba1bb4a783fd180bf77" addr="T0R77C2S1_1" formatStyle="Comma" appId="_GBC_5ea888705f7c4c0f98e8769d2197c0de"/>
        <m:item xlName="_GBC_fa682e3fe2aa460a99108f7964dfac11" concept="clcid-pte:ZuLinFuZhai" label="租赁负债" mulRef="_GBC_d28e3b675fc048afb747681dc6d939c2" unitRef="_GBC_e3316f7d89b24ba1bb4a783fd180bf77" addr="T0R77C3S1_1" formatStyle="Comma" appId="_GBC_5ea888705f7c4c0f98e8769d2197c0de">
          <m:axisValue occRef="调整数"/>
        </m:item>
        <m:placeholder xlName="_PLD_543dfbcc13f7467bbe938ed47fd08f27" addr="T0R78C0S1_1"/>
        <m:item xlName="_GBC_36add380294b4262b889495537577cab" concept="clcid-pte:ChangQiYingFuKuan" label="长期应付款" periodRef="上年期末数" mulRef="_GBC_d28e3b675fc048afb747681dc6d939c2" unitRef="_GBC_e3316f7d89b24ba1bb4a783fd180bf77" addr="T0R78C1S1_1" formatStyle="Comma" appId="_GBC_5ea888705f7c4c0f98e8769d2197c0de"/>
        <m:item xlName="_GBC_811fb7de8b7741fdae0fa0244cb90489" concept="clcid-pte:ChangQiYingFuKuan" label="长期应付款" periodRef="本期期初数" mulRef="_GBC_d28e3b675fc048afb747681dc6d939c2" unitRef="_GBC_e3316f7d89b24ba1bb4a783fd180bf77" addr="T0R78C2S1_1" formatStyle="Comma" appId="_GBC_5ea888705f7c4c0f98e8769d2197c0de"/>
        <m:item xlName="_GBC_cfb1a8f1ec9c47389ce72d693d221db8" concept="clcid-pte:ChangQiYingFuKuan" label="长期应付款" mulRef="_GBC_d28e3b675fc048afb747681dc6d939c2" unitRef="_GBC_e3316f7d89b24ba1bb4a783fd180bf77" addr="T0R78C3S1_1" formatStyle="Comma" appId="_GBC_5ea888705f7c4c0f98e8769d2197c0de">
          <m:axisValue occRef="调整数"/>
        </m:item>
        <m:placeholder xlName="_PLD_247910bb42db46d9bbfa7a6ba34ed159" addr="T0R79C0S1_1"/>
        <m:item xlName="_GBC_5873592bee6b4d21b4a7c870af113ad2" concept="clcid-pte:ChangQiYingFuZhiGongXinChou" label="长期应付职工薪酬" periodRef="上年期末数" mulRef="_GBC_d28e3b675fc048afb747681dc6d939c2" unitRef="_GBC_e3316f7d89b24ba1bb4a783fd180bf77" addr="T0R79C1S1_1" formatStyle="Comma" appId="_GBC_5ea888705f7c4c0f98e8769d2197c0de"/>
        <m:item xlName="_GBC_ffa59e9a7f604552bfe456b8ec42ee3a" concept="clcid-pte:ChangQiYingFuZhiGongXinChou" label="长期应付职工薪酬" periodRef="本期期初数" mulRef="_GBC_d28e3b675fc048afb747681dc6d939c2" unitRef="_GBC_e3316f7d89b24ba1bb4a783fd180bf77" addr="T0R79C2S1_1" formatStyle="Comma" appId="_GBC_5ea888705f7c4c0f98e8769d2197c0de"/>
        <m:item xlName="_GBC_7c41b328c09043daa1053b906edb0641" concept="clcid-pte:ChangQiYingFuZhiGongXinChou" label="长期应付职工薪酬" mulRef="_GBC_d28e3b675fc048afb747681dc6d939c2" unitRef="_GBC_e3316f7d89b24ba1bb4a783fd180bf77" addr="T0R79C3S1_1" formatStyle="Comma" appId="_GBC_5ea888705f7c4c0f98e8769d2197c0de">
          <m:axisValue occRef="调整数"/>
        </m:item>
        <m:placeholder xlName="_PLD_4b983db901be4c5b82741ed5d0c63202" addr="T0R80C0S1_1"/>
        <m:item xlName="_GBC_6e6767f7b68646528c08ac4db8c580e2" concept="clcid-pte:YuJiFuZhai" label="预计负债" periodRef="上年期末数" mulRef="_GBC_d28e3b675fc048afb747681dc6d939c2" unitRef="_GBC_e3316f7d89b24ba1bb4a783fd180bf77" addr="T0R80C1S1_1" formatStyle="Comma" appId="_GBC_5ea888705f7c4c0f98e8769d2197c0de"/>
        <m:item xlName="_GBC_2431cd90a437487ab191cf0ed762072e" concept="clcid-pte:YuJiFuZhai" label="预计负债" periodRef="本期期初数" mulRef="_GBC_d28e3b675fc048afb747681dc6d939c2" unitRef="_GBC_e3316f7d89b24ba1bb4a783fd180bf77" addr="T0R80C2S1_1" formatStyle="Comma" appId="_GBC_5ea888705f7c4c0f98e8769d2197c0de"/>
        <m:item xlName="_GBC_28595d7eb9f548608ba5279bbffcd604" concept="clcid-pte:YuJiFuZhai" label="预计负债" mulRef="_GBC_d28e3b675fc048afb747681dc6d939c2" unitRef="_GBC_e3316f7d89b24ba1bb4a783fd180bf77" addr="T0R80C3S1_1" formatStyle="Comma" appId="_GBC_5ea888705f7c4c0f98e8769d2197c0de">
          <m:axisValue occRef="调整数"/>
        </m:item>
        <m:placeholder xlName="_PLD_3166959a76864d06b969fe5246da4a21" addr="T0R81C0S1_1"/>
        <m:item xlName="_GBC_af367785428d445b88b008836cc13c10" concept="clcid-pte:DiYanShouYi" label="递延收益" periodRef="上年期末数" mulRef="_GBC_d28e3b675fc048afb747681dc6d939c2" unitRef="_GBC_e3316f7d89b24ba1bb4a783fd180bf77" addr="T0R81C1S1_1" formatStyle="Comma" appId="_GBC_5ea888705f7c4c0f98e8769d2197c0de"/>
        <m:item xlName="_GBC_2bf71a7e3a3f44abb4db1c33f42c0d4d" concept="clcid-pte:DiYanShouYi" label="递延收益" periodRef="本期期初数" mulRef="_GBC_d28e3b675fc048afb747681dc6d939c2" unitRef="_GBC_e3316f7d89b24ba1bb4a783fd180bf77" addr="T0R81C2S1_1" formatStyle="Comma" appId="_GBC_5ea888705f7c4c0f98e8769d2197c0de"/>
        <m:item xlName="_GBC_d17ad5d3f8db43808e9c7e1609fb2f4f" concept="clcid-pte:DiYanShouYi" label="递延收益" mulRef="_GBC_d28e3b675fc048afb747681dc6d939c2" unitRef="_GBC_e3316f7d89b24ba1bb4a783fd180bf77" addr="T0R81C3S1_1" formatStyle="Comma" appId="_GBC_5ea888705f7c4c0f98e8769d2197c0de">
          <m:axisValue occRef="调整数"/>
        </m:item>
        <m:placeholder xlName="_PLD_60af60b77da940acae56c08bb05a1240" addr="T0R82C0S1_1"/>
        <m:item xlName="_GBC_0d3a12c85eb444eca54a8123d54e7dcf" concept="clcid-pte:DiYanShuiKuanDaiXiangHeJi" label="递延税款贷项合计" periodRef="上年期末数" mulRef="_GBC_d28e3b675fc048afb747681dc6d939c2" unitRef="_GBC_e3316f7d89b24ba1bb4a783fd180bf77" addr="T0R82C1S1_1" formatStyle="Comma" appId="_GBC_5ea888705f7c4c0f98e8769d2197c0de"/>
        <m:item xlName="_GBC_2233c421c55f41658fb8858f1c616ac9" concept="clcid-pte:DiYanShuiKuanDaiXiangHeJi" label="递延税款贷项合计" periodRef="本期期初数" mulRef="_GBC_d28e3b675fc048afb747681dc6d939c2" unitRef="_GBC_e3316f7d89b24ba1bb4a783fd180bf77" addr="T0R82C2S1_1" formatStyle="Comma" appId="_GBC_5ea888705f7c4c0f98e8769d2197c0de"/>
        <m:item xlName="_GBC_c934a2bb4c8a4c538062a16e8785b754" concept="clcid-pte:DiYanShuiKuanDaiXiangHeJi" label="递延税款贷项合计" mulRef="_GBC_d28e3b675fc048afb747681dc6d939c2" unitRef="_GBC_e3316f7d89b24ba1bb4a783fd180bf77" addr="T0R82C3S1_1" formatStyle="Comma" appId="_GBC_5ea888705f7c4c0f98e8769d2197c0de">
          <m:axisValue occRef="调整数"/>
        </m:item>
        <m:placeholder xlName="_PLD_ab4f0b1cb85d41959d54d3d841246bca" addr="T0R83C0S1_1"/>
        <m:item xlName="_GBC_a29f17e9cb2b4469bca6cc782bc44548" concept="clcid-pte:QiTaChangQiFuZhai" label="其他长期负债" periodRef="上年期末数" mulRef="_GBC_d28e3b675fc048afb747681dc6d939c2" unitRef="_GBC_e3316f7d89b24ba1bb4a783fd180bf77" addr="T0R83C1S1_1" formatStyle="Comma" appId="_GBC_5ea888705f7c4c0f98e8769d2197c0de"/>
        <m:item xlName="_GBC_5fac086c7fe142b189010c169903705c" concept="clcid-pte:QiTaChangQiFuZhai" label="其他长期负债" periodRef="本期期初数" mulRef="_GBC_d28e3b675fc048afb747681dc6d939c2" unitRef="_GBC_e3316f7d89b24ba1bb4a783fd180bf77" addr="T0R83C2S1_1" formatStyle="Comma" appId="_GBC_5ea888705f7c4c0f98e8769d2197c0de"/>
        <m:item xlName="_GBC_556b4bf9381c461a901f5c1b96b7f0c2" concept="clcid-pte:QiTaChangQiFuZhai" label="其他长期负债" mulRef="_GBC_d28e3b675fc048afb747681dc6d939c2" unitRef="_GBC_e3316f7d89b24ba1bb4a783fd180bf77" addr="T0R83C3S1_1" formatStyle="Comma" appId="_GBC_5ea888705f7c4c0f98e8769d2197c0de">
          <m:axisValue occRef="调整数"/>
        </m:item>
        <m:placeholder xlName="_PLD_70c7b2aa7d7a4f77a7e65d8722de302c" addr="T0R84C0S1_1"/>
        <m:item xlName="_GBC_bcca34a8a616485daa93027ae181455f" concept="clcid-pte:ChangQiFuZhaiHeJi" label="长期负债合计" periodRef="上年期末数" mulRef="_GBC_d28e3b675fc048afb747681dc6d939c2" unitRef="_GBC_e3316f7d89b24ba1bb4a783fd180bf77" addr="T0R84C1S1_1" formatStyle="Comma" appId="_GBC_5ea888705f7c4c0f98e8769d2197c0de">
          <m:complexRule comparator="Eq" title="长期负债合计" test=" $_GBC_261a0da93f944e0d980de913bcfb9e0b +  $_GBC_4158134243a34151ba7430f4f2e45b5c +  $_GBC_647a498fa3524a47b368032bf944aa65 +  $_GBC_36add380294b4262b889495537577cab +  $_GBC_6e6767f7b68646528c08ac4db8c580e2 +  $_GBC_98c6df2f1e1c4f79b84303232f23aefc +  $_GBC_0d3a12c85eb444eca54a8123d54e7dcf +  $_GBC_a29f17e9cb2b4469bca6cc782bc44548 +  $_GBC_af367785428d445b88b008836cc13c10 +  $_GBC_5873592bee6b4d21b4a7c870af113ad2" id="C65fe01939b4f43a790b2a6bd2b357be1"/>
        </m:item>
        <m:item xlName="_GBC_f761f18af1ef4dd0bbd16e3267a50a7b" concept="clcid-pte:ChangQiFuZhaiHeJi" label="长期负债合计" periodRef="本期期初数" mulRef="_GBC_d28e3b675fc048afb747681dc6d939c2" unitRef="_GBC_e3316f7d89b24ba1bb4a783fd180bf77" addr="T0R84C2S1_1" formatStyle="Comma" appId="_GBC_5ea888705f7c4c0f98e8769d2197c0de">
          <m:complexRule comparator="Eq" title="长期负债合计@本期期初数" test=" $_GBC_2e3eb66067ee46a8bf6fcae420dc1f60 +  $_GBC_98ab61992cf04c4198637079cbff01f8 +  $_GBC_1ef8d0f9f3654184be074aa6380ecd77 +  $_GBC_811fb7de8b7741fdae0fa0244cb90489 +  $_GBC_2431cd90a437487ab191cf0ed762072e +  $_GBC_60e657d177854dda9dd640b40e086595 +  $_GBC_2233c421c55f41658fb8858f1c616ac9 +  $_GBC_5fac086c7fe142b189010c169903705c +  $_GBC_2bf71a7e3a3f44abb4db1c33f42c0d4d +  $_GBC_ffa59e9a7f604552bfe456b8ec42ee3a" id="Cda6feae8d2994b7f8ca6844a7389ba70"/>
        </m:item>
        <m:item xlName="_GBC_8d340a08faa84454bff6a821c1e27adc" concept="clcid-pte:ChangQiFuZhaiHeJi" label="长期负债合计" mulRef="_GBC_d28e3b675fc048afb747681dc6d939c2" unitRef="_GBC_e3316f7d89b24ba1bb4a783fd180bf77" addr="T0R84C3S1_1" formatStyle="Comma" appId="_GBC_5ea888705f7c4c0f98e8769d2197c0de">
          <m:complexRule comparator="Eq" title="长期负债合计(调整数)" test=" $_GBC_c872c6c9a687494c868fb536e792f7bb +  $_GBC_54e2a889e3a14906a8003e2813a70aca +  $_GBC_1eb79922a764412da79de42028510fe6 +  $_GBC_cfb1a8f1ec9c47389ce72d693d221db8 +  $_GBC_7c41b328c09043daa1053b906edb0641 +  $_GBC_28595d7eb9f548608ba5279bbffcd604 +  $_GBC_fa682e3fe2aa460a99108f7964dfac11 +  $_GBC_d17ad5d3f8db43808e9c7e1609fb2f4f +  $_GBC_c934a2bb4c8a4c538062a16e8785b754 +  $_GBC_556b4bf9381c461a901f5c1b96b7f0c2" id="C6d0386bcafe040dbabb1c1f8cccf3d44"/>
          <m:axisValue occRef="调整数"/>
        </m:item>
        <m:placeholder xlName="_PLD_b5b63f46391c494fa54363a343e3a61a" addr="T0R85C0S1_1"/>
        <m:item xlName="_GBC_b776363b31514154ad2aef776e6ca993" concept="clcid-pte:FuZhaiHeJi" label="负债合计" periodRef="上年期末数" mulRef="_GBC_d28e3b675fc048afb747681dc6d939c2" unitRef="_GBC_e3316f7d89b24ba1bb4a783fd180bf77" addr="T0R85C1S1_1" formatStyle="Comma" appId="_GBC_5ea888705f7c4c0f98e8769d2197c0de">
          <m:complexRule comparator="Eq" title="负债合计" test=" $_GBC_6e409cd0deda411ebc62ef9da0ad49d5 +  $_GBC_bcca34a8a616485daa93027ae181455f" id="C6c4196ee5a0549db8e511456e8d586e0"/>
        </m:item>
        <m:item xlName="_GBC_93d39d75a242473e8a48e612a19cf74b" concept="clcid-pte:FuZhaiHeJi" label="负债合计" periodRef="本期期初数" mulRef="_GBC_d28e3b675fc048afb747681dc6d939c2" unitRef="_GBC_e3316f7d89b24ba1bb4a783fd180bf77" addr="T0R85C2S1_1" formatStyle="Comma" appId="_GBC_5ea888705f7c4c0f98e8769d2197c0de">
          <m:complexRule comparator="Eq" title="负债合计@本期期初数" test=" $_GBC_052fabb0632d4eda9f1b98589d5e442d +  $_GBC_f761f18af1ef4dd0bbd16e3267a50a7b" id="Ced6575b7d04544b0931a03018acd3441"/>
        </m:item>
        <m:item xlName="_GBC_7d29c7c4fa3640bba8a63739a7b9d36e" concept="clcid-pte:FuZhaiHeJi" label="负债合计" mulRef="_GBC_d28e3b675fc048afb747681dc6d939c2" unitRef="_GBC_e3316f7d89b24ba1bb4a783fd180bf77" addr="T0R85C3S1_1" formatStyle="Comma" appId="_GBC_5ea888705f7c4c0f98e8769d2197c0de">
          <m:complexRule comparator="Eq" title="负债合计(调整数)" test=" $_GBC_5bbfbe5369f847b5a4af207d46c4306f +  $_GBC_8d340a08faa84454bff6a821c1e27adc" id="C7af924537c124887a71d236d8c859b54"/>
          <m:axisValue occRef="调整数"/>
        </m:item>
        <m:placeholder xlName="_PLD_e8b17808d1b64bcb8659e50a22f17c53" addr="T0R86C0S1_4"/>
        <m:placeholder xlName="_PLD_9010fa9626ed4c1786f7a701883f8faf" addr="T0R87C0S1_1"/>
        <m:item xlName="_GBC_f5e8acb1bc124be486f7613349033cfb" concept="clcid-pte:GuBen" label="股本" periodRef="上年期末数" mulRef="_GBC_d28e3b675fc048afb747681dc6d939c2" unitRef="_GBC_e3316f7d89b24ba1bb4a783fd180bf77" addr="T0R87C1S1_1" formatStyle="Comma" appId="_GBC_5ea888705f7c4c0f98e8769d2197c0de"/>
        <m:item xlName="_GBC_27d8955d34d2457b8e5100aa17520ab9" concept="clcid-pte:GuBen" label="股本" periodRef="本期期初数" mulRef="_GBC_d28e3b675fc048afb747681dc6d939c2" unitRef="_GBC_e3316f7d89b24ba1bb4a783fd180bf77" addr="T0R87C2S1_1" formatStyle="Comma" appId="_GBC_5ea888705f7c4c0f98e8769d2197c0de"/>
        <m:item xlName="_GBC_5cb631e6f0644f078fef55b9c92a5777" concept="clcid-pte:GuBen" label="股本" mulRef="_GBC_d28e3b675fc048afb747681dc6d939c2" unitRef="_GBC_e3316f7d89b24ba1bb4a783fd180bf77" addr="T0R87C3S1_1" formatStyle="Comma" appId="_GBC_5ea888705f7c4c0f98e8769d2197c0de">
          <m:axisValue occRef="调整数"/>
        </m:item>
        <m:placeholder xlName="_PLD_01098027632846aa9c0c57ce79714549" addr="T0R88C0S1_1"/>
        <m:item xlName="_GBC_570d27736cca471493be878ffcfe313d" concept="clcid-pte:QiTaQuanYiGongJu" label="其他权益工具" periodRef="上年期末数" mulRef="_GBC_d28e3b675fc048afb747681dc6d939c2" unitRef="_GBC_e3316f7d89b24ba1bb4a783fd180bf77" addr="T0R88C1S1_1" formatStyle="Comma" appId="_GBC_5ea888705f7c4c0f98e8769d2197c0de"/>
        <m:item xlName="_GBC_0a214afb85324ecb97e02113a4d544e0" concept="clcid-pte:QiTaQuanYiGongJu" label="其他权益工具" periodRef="本期期初数" mulRef="_GBC_d28e3b675fc048afb747681dc6d939c2" unitRef="_GBC_e3316f7d89b24ba1bb4a783fd180bf77" addr="T0R88C2S1_1" formatStyle="Comma" appId="_GBC_5ea888705f7c4c0f98e8769d2197c0de"/>
        <m:item xlName="_GBC_98b313ff8a114ba29d869a9b23298ff5" concept="clcid-pte:QiTaQuanYiGongJu" label="其他权益工具" mulRef="_GBC_d28e3b675fc048afb747681dc6d939c2" unitRef="_GBC_e3316f7d89b24ba1bb4a783fd180bf77" addr="T0R88C3S1_1" formatStyle="Comma" appId="_GBC_5ea888705f7c4c0f98e8769d2197c0de">
          <m:axisValue occRef="调整数"/>
        </m:item>
        <m:placeholder xlName="_PLD_576e62fa6e5a4609989bccbe014f951c" addr="T0R89C0S1_1"/>
        <m:item xlName="_GBC_8703e7a9564b44d3beeae4aeab306a07" concept="clcid-pte:QiTaQuanYiGongJuQiZhongYouXianGu" label="其他权益工具-其中：优先股" periodRef="上年期末数" mulRef="_GBC_d28e3b675fc048afb747681dc6d939c2" unitRef="_GBC_e3316f7d89b24ba1bb4a783fd180bf77" addr="T0R89C1S1_1" formatStyle="Comma" appId="_GBC_5ea888705f7c4c0f98e8769d2197c0de"/>
        <m:item xlName="_GBC_8674af8c5a644b2c9d8e9259d4c20416" concept="clcid-pte:QiTaQuanYiGongJuQiZhongYouXianGu" label="其他权益工具-其中：优先股" periodRef="本期期初数" mulRef="_GBC_d28e3b675fc048afb747681dc6d939c2" unitRef="_GBC_e3316f7d89b24ba1bb4a783fd180bf77" addr="T0R89C2S1_1" formatStyle="Comma" appId="_GBC_5ea888705f7c4c0f98e8769d2197c0de"/>
        <m:item xlName="_GBC_14cf5f3dd4394edbab85e90d58bd15db" concept="clcid-pte:QiTaQuanYiGongJuQiZhongYouXianGu" label="其他权益工具-其中：优先股" mulRef="_GBC_d28e3b675fc048afb747681dc6d939c2" unitRef="_GBC_e3316f7d89b24ba1bb4a783fd180bf77" addr="T0R89C3S1_1" formatStyle="Comma" appId="_GBC_5ea888705f7c4c0f98e8769d2197c0de">
          <m:axisValue occRef="调整数"/>
        </m:item>
        <m:placeholder xlName="_PLD_d231468da9dc4ca99a885c73ca1d80e6" addr="T0R90C0S1_1"/>
        <m:item xlName="_GBC_c2bf99080ba543779d3ff3c4872494fa" concept="clcid-pte:QiTaQuanYiGongJuYongXuZhai" label="其他权益工具-永续债" periodRef="上年期末数" mulRef="_GBC_d28e3b675fc048afb747681dc6d939c2" unitRef="_GBC_e3316f7d89b24ba1bb4a783fd180bf77" addr="T0R90C1S1_1" formatStyle="Comma" appId="_GBC_5ea888705f7c4c0f98e8769d2197c0de"/>
        <m:item xlName="_GBC_ab4a7339ac1c4d22b6451bb5ee1758d8" concept="clcid-pte:QiTaQuanYiGongJuYongXuZhai" label="其他权益工具-永续债" periodRef="本期期初数" mulRef="_GBC_d28e3b675fc048afb747681dc6d939c2" unitRef="_GBC_e3316f7d89b24ba1bb4a783fd180bf77" addr="T0R90C2S1_1" formatStyle="Comma" appId="_GBC_5ea888705f7c4c0f98e8769d2197c0de"/>
        <m:item xlName="_GBC_9dbf0991c2974f6994920d5b2993378b" concept="clcid-pte:QiTaQuanYiGongJuYongXuZhai" label="其他权益工具-永续债" mulRef="_GBC_d28e3b675fc048afb747681dc6d939c2" unitRef="_GBC_e3316f7d89b24ba1bb4a783fd180bf77" addr="T0R90C3S1_1" formatStyle="Comma" appId="_GBC_5ea888705f7c4c0f98e8769d2197c0de">
          <m:axisValue occRef="调整数"/>
        </m:item>
        <m:placeholder xlName="_PLD_67b70496c75d40f19a3cf648170a89dc" addr="T0R91C0S1_1"/>
        <m:item xlName="_GBC_d2dd060e15834f3c83e00c5d6d082832" concept="clcid-pte:ZiBenGongJi" label="资本公积" periodRef="上年期末数" mulRef="_GBC_d28e3b675fc048afb747681dc6d939c2" unitRef="_GBC_e3316f7d89b24ba1bb4a783fd180bf77" addr="T0R91C1S1_1" formatStyle="Comma" appId="_GBC_5ea888705f7c4c0f98e8769d2197c0de"/>
        <m:item xlName="_GBC_2aa70390a28740c286dbd6f43f84f2c8" concept="clcid-pte:ZiBenGongJi" label="资本公积" periodRef="本期期初数" mulRef="_GBC_d28e3b675fc048afb747681dc6d939c2" unitRef="_GBC_e3316f7d89b24ba1bb4a783fd180bf77" addr="T0R91C2S1_1" formatStyle="Comma" appId="_GBC_5ea888705f7c4c0f98e8769d2197c0de"/>
        <m:item xlName="_GBC_70e72686b5804f85a2db0de3789decdd" concept="clcid-pte:ZiBenGongJi" label="资本公积" mulRef="_GBC_d28e3b675fc048afb747681dc6d939c2" unitRef="_GBC_e3316f7d89b24ba1bb4a783fd180bf77" addr="T0R91C3S1_1" formatStyle="Comma" appId="_GBC_5ea888705f7c4c0f98e8769d2197c0de">
          <m:axisValue occRef="调整数"/>
        </m:item>
        <m:placeholder xlName="_PLD_0ecc8c5ac5f64e66aae115c103be5d27" addr="T0R92C0S1_1"/>
        <m:item xlName="_GBC_b37e918ba7054f6c995389d3dfd3fef0" concept="clcid-pte:KuCunGu" label="库存股" periodRef="上年期末数" mulRef="_GBC_d28e3b675fc048afb747681dc6d939c2" unitRef="_GBC_e3316f7d89b24ba1bb4a783fd180bf77" addr="T0R92C1S1_1" formatStyle="Comma" appId="_GBC_5ea888705f7c4c0f98e8769d2197c0de"/>
        <m:item xlName="_GBC_334c4214833c44b787916b406f9ba24e" concept="clcid-pte:KuCunGu" label="库存股" periodRef="本期期初数" mulRef="_GBC_d28e3b675fc048afb747681dc6d939c2" unitRef="_GBC_e3316f7d89b24ba1bb4a783fd180bf77" addr="T0R92C2S1_1" formatStyle="Comma" appId="_GBC_5ea888705f7c4c0f98e8769d2197c0de"/>
        <m:item xlName="_GBC_1b878300347d46a686d84c55fd0049e2" concept="clcid-pte:KuCunGu" label="库存股" mulRef="_GBC_d28e3b675fc048afb747681dc6d939c2" unitRef="_GBC_e3316f7d89b24ba1bb4a783fd180bf77" addr="T0R92C3S1_1" formatStyle="Comma" appId="_GBC_5ea888705f7c4c0f98e8769d2197c0de">
          <m:axisValue occRef="调整数"/>
        </m:item>
        <m:placeholder xlName="_PLD_f8576e43e2ba482da272b161656c0523" addr="T0R93C0S1_1"/>
        <m:item xlName="_GBC_0d70a99476fe4821870aaa178ebe2fda" concept="clcid-pte:QiTaZongHeShouYiZiChanFuZhaiBiaoXiangMu" label="其他综合收益（资产负债表项目）" periodRef="上年期末数" mulRef="_GBC_d28e3b675fc048afb747681dc6d939c2" unitRef="_GBC_e3316f7d89b24ba1bb4a783fd180bf77" addr="T0R93C1S1_1" formatStyle="Comma" appId="_GBC_5ea888705f7c4c0f98e8769d2197c0de"/>
        <m:item xlName="_GBC_f6f75c0bcb6e411e850adc6e8c69d4fb" concept="clcid-pte:QiTaZongHeShouYiZiChanFuZhaiBiaoXiangMu" label="其他综合收益（资产负债表项目）" periodRef="本期期初数" mulRef="_GBC_d28e3b675fc048afb747681dc6d939c2" unitRef="_GBC_e3316f7d89b24ba1bb4a783fd180bf77" addr="T0R93C2S1_1" formatStyle="Comma" appId="_GBC_5ea888705f7c4c0f98e8769d2197c0de"/>
        <m:item xlName="_GBC_2f430818e1174116ae55b6c90d9d4a6d" concept="clcid-pte:QiTaZongHeShouYiZiChanFuZhaiBiaoXiangMu" label="其他综合收益（资产负债表项目）" mulRef="_GBC_d28e3b675fc048afb747681dc6d939c2" unitRef="_GBC_e3316f7d89b24ba1bb4a783fd180bf77" addr="T0R93C3S1_1" formatStyle="Comma" appId="_GBC_5ea888705f7c4c0f98e8769d2197c0de">
          <m:axisValue occRef="调整数"/>
        </m:item>
        <m:placeholder xlName="_PLD_4012b20126624690826c37f7fe5375f3" addr="T0R94C0S1_1"/>
        <m:item xlName="_GBC_bd65fae99943417294c56baf75daadff" concept="clcid-pte:ZhuanXiangChuBei" label="专项储备" periodRef="上年期末数" mulRef="_GBC_d28e3b675fc048afb747681dc6d939c2" unitRef="_GBC_e3316f7d89b24ba1bb4a783fd180bf77" addr="T0R94C1S1_1" formatStyle="Comma" appId="_GBC_5ea888705f7c4c0f98e8769d2197c0de"/>
        <m:item xlName="_GBC_49093eec6d7f4681b73939613fdca294" concept="clcid-pte:ZhuanXiangChuBei" label="专项储备" periodRef="本期期初数" mulRef="_GBC_d28e3b675fc048afb747681dc6d939c2" unitRef="_GBC_e3316f7d89b24ba1bb4a783fd180bf77" addr="T0R94C2S1_1" formatStyle="Comma" appId="_GBC_5ea888705f7c4c0f98e8769d2197c0de"/>
        <m:item xlName="_GBC_bd2cc45a237847a586e30bf56b221bb2" concept="clcid-pte:ZhuanXiangChuBei" label="专项储备" mulRef="_GBC_d28e3b675fc048afb747681dc6d939c2" unitRef="_GBC_e3316f7d89b24ba1bb4a783fd180bf77" addr="T0R94C3S1_1" formatStyle="Comma" appId="_GBC_5ea888705f7c4c0f98e8769d2197c0de">
          <m:axisValue occRef="调整数"/>
        </m:item>
        <m:placeholder xlName="_PLD_f00af6e50b2746e6a098293b64c1d537" addr="T0R95C0S1_1"/>
        <m:item xlName="_GBC_43a4140f3a76484596d8d0145b926ab4" concept="clcid-pte:YingYuGongJi" label="盈余公积" periodRef="上年期末数" mulRef="_GBC_d28e3b675fc048afb747681dc6d939c2" unitRef="_GBC_e3316f7d89b24ba1bb4a783fd180bf77" addr="T0R95C1S1_1" formatStyle="Comma" appId="_GBC_5ea888705f7c4c0f98e8769d2197c0de"/>
        <m:item xlName="_GBC_a1708d5b95e54da99868f68a408a7dc7" concept="clcid-pte:YingYuGongJi" label="盈余公积" periodRef="本期期初数" mulRef="_GBC_d28e3b675fc048afb747681dc6d939c2" unitRef="_GBC_e3316f7d89b24ba1bb4a783fd180bf77" addr="T0R95C2S1_1" formatStyle="Comma" appId="_GBC_5ea888705f7c4c0f98e8769d2197c0de"/>
        <m:item xlName="_GBC_01d5e0b941e04c2e9ca33f5279a0d091" concept="clcid-pte:YingYuGongJi" label="盈余公积" mulRef="_GBC_d28e3b675fc048afb747681dc6d939c2" unitRef="_GBC_e3316f7d89b24ba1bb4a783fd180bf77" addr="T0R95C3S1_1" formatStyle="Comma" appId="_GBC_5ea888705f7c4c0f98e8769d2197c0de">
          <m:axisValue occRef="调整数"/>
        </m:item>
        <m:placeholder xlName="_PLD_2675126dfcc04ee595fa740c9e46f1b6" addr="T0R96C0S1_1"/>
        <m:item xlName="_GBC_bb488e1c603642a6afb1fb52c99c54db" concept="clcid-pte:YiBanFengXianZhunBei" label="一般风险准备" periodRef="上年期末数" mulRef="_GBC_d28e3b675fc048afb747681dc6d939c2" unitRef="_GBC_e3316f7d89b24ba1bb4a783fd180bf77" addr="T0R96C1S1_1" formatStyle="Comma" appId="_GBC_5ea888705f7c4c0f98e8769d2197c0de"/>
        <m:item xlName="_GBC_d5917144ed4649e293a40232b5226dd6" concept="clcid-pte:YiBanFengXianZhunBei" label="一般风险准备" periodRef="本期期初数" mulRef="_GBC_d28e3b675fc048afb747681dc6d939c2" unitRef="_GBC_e3316f7d89b24ba1bb4a783fd180bf77" addr="T0R96C2S1_1" formatStyle="Comma" appId="_GBC_5ea888705f7c4c0f98e8769d2197c0de"/>
        <m:item xlName="_GBC_5030f64791174841a5eda47c667b6bfd" concept="clcid-pte:YiBanFengXianZhunBei" label="一般风险准备" mulRef="_GBC_d28e3b675fc048afb747681dc6d939c2" unitRef="_GBC_e3316f7d89b24ba1bb4a783fd180bf77" addr="T0R96C3S1_1" formatStyle="Comma" appId="_GBC_5ea888705f7c4c0f98e8769d2197c0de">
          <m:axisValue occRef="调整数"/>
        </m:item>
        <m:placeholder xlName="_PLD_69e49e8e03b24f49a4f7055dd6cfe7af" addr="T0R97C0S1_1"/>
        <m:item xlName="_GBC_f5aba0915ea34e859673dda896f483c2" concept="clcid-pte:WeiFenPeiLiRun" label="未分配利润" periodRef="上年期末数" mulRef="_GBC_d28e3b675fc048afb747681dc6d939c2" unitRef="_GBC_e3316f7d89b24ba1bb4a783fd180bf77" addr="T0R97C1S1_1" formatStyle="Comma" appId="_GBC_5ea888705f7c4c0f98e8769d2197c0de"/>
        <m:item xlName="_GBC_511758cc692c41a4b7df13656ba4fc88" concept="clcid-pte:WeiFenPeiLiRun" label="未分配利润" periodRef="本期期初数" mulRef="_GBC_d28e3b675fc048afb747681dc6d939c2" unitRef="_GBC_e3316f7d89b24ba1bb4a783fd180bf77" addr="T0R97C2S1_1" formatStyle="Comma" appId="_GBC_5ea888705f7c4c0f98e8769d2197c0de"/>
        <m:item xlName="_GBC_1664fbc9f14e4ddea0290f8205a7fbd1" concept="clcid-pte:WeiFenPeiLiRun" label="未分配利润" mulRef="_GBC_d28e3b675fc048afb747681dc6d939c2" unitRef="_GBC_e3316f7d89b24ba1bb4a783fd180bf77" addr="T0R97C3S1_1" formatStyle="Comma" appId="_GBC_5ea888705f7c4c0f98e8769d2197c0de">
          <m:axisValue occRef="调整数"/>
        </m:item>
        <m:placeholder xlName="_PLD_51025073495f439fbd66352253d45d1a" addr="T0R98C0S1_1"/>
        <m:item xlName="_GBC_4cbbf22a79ad4d00914758dcaea5a50a" concept="clcid-pte:GuiShuYuMuGongSiSuoYouZheQuanYiHeJi" label="归属于母公司所有者权益合计" periodRef="上年期末数" mulRef="_GBC_d28e3b675fc048afb747681dc6d939c2" unitRef="_GBC_e3316f7d89b24ba1bb4a783fd180bf77" addr="T0R98C1S1_1" formatStyle="Comma" appId="_GBC_5ea888705f7c4c0f98e8769d2197c0de">
          <m:complexRule comparator="Eq" title="归属于母公司所有者权益合计" test=" $_GBC_f5e8acb1bc124be486f7613349033cfb +  $_GBC_d2dd060e15834f3c83e00c5d6d082832 -  $_GBC_b37e918ba7054f6c995389d3dfd3fef0 +  $_GBC_bd65fae99943417294c56baf75daadff +  $_GBC_43a4140f3a76484596d8d0145b926ab4 +  $_GBC_bb488e1c603642a6afb1fb52c99c54db +  $_GBC_f5aba0915ea34e859673dda896f483c2 +  $_GBC_570d27736cca471493be878ffcfe313d +  $_GBC_0d70a99476fe4821870aaa178ebe2fda" id="Ced23daa1cef0465a90f2b6f6dc5beba4"/>
        </m:item>
        <m:item xlName="_GBC_ed6cd6e838bf49bc8c790484573e4a99" concept="clcid-pte:GuiShuYuMuGongSiSuoYouZheQuanYiHeJi" label="归属于母公司所有者权益合计" periodRef="本期期初数" mulRef="_GBC_d28e3b675fc048afb747681dc6d939c2" unitRef="_GBC_e3316f7d89b24ba1bb4a783fd180bf77" addr="T0R98C2S1_1" formatStyle="Comma" appId="_GBC_5ea888705f7c4c0f98e8769d2197c0de">
          <m:complexRule comparator="Eq" title="归属于母公司所有者权益合计@本期期初数" test=" $_GBC_27d8955d34d2457b8e5100aa17520ab9 +  $_GBC_2aa70390a28740c286dbd6f43f84f2c8 -  $_GBC_334c4214833c44b787916b406f9ba24e +  $_GBC_49093eec6d7f4681b73939613fdca294 +  $_GBC_a1708d5b95e54da99868f68a408a7dc7 +  $_GBC_d5917144ed4649e293a40232b5226dd6 +  $_GBC_511758cc692c41a4b7df13656ba4fc88 +  $_GBC_0a214afb85324ecb97e02113a4d544e0 +  $_GBC_f6f75c0bcb6e411e850adc6e8c69d4fb" id="C005d68aeb1f94ab5b2378a49527dc1f3"/>
        </m:item>
        <m:item xlName="_GBC_d34506f3999d4ee09068a74f9a6adab7" concept="clcid-pte:GuiShuYuMuGongSiSuoYouZheQuanYiHeJi" label="归属于母公司所有者权益合计" mulRef="_GBC_d28e3b675fc048afb747681dc6d939c2" unitRef="_GBC_e3316f7d89b24ba1bb4a783fd180bf77" addr="T0R98C3S1_1" formatStyle="Comma" appId="_GBC_5ea888705f7c4c0f98e8769d2197c0de">
          <m:complexRule comparator="Eq" title="归属于母公司所有者权益合计(调整数)" test=" $_GBC_5cb631e6f0644f078fef55b9c92a5777 +  $_GBC_98b313ff8a114ba29d869a9b23298ff5 +  $_GBC_70e72686b5804f85a2db0de3789decdd -  $_GBC_1b878300347d46a686d84c55fd0049e2 +  $_GBC_2f430818e1174116ae55b6c90d9d4a6d +  $_GBC_bd2cc45a237847a586e30bf56b221bb2 +  $_GBC_01d5e0b941e04c2e9ca33f5279a0d091 +  $_GBC_5030f64791174841a5eda47c667b6bfd +  $_GBC_1664fbc9f14e4ddea0290f8205a7fbd1" id="C3fa5e96f30834775b9af18a4ec922518"/>
          <m:axisValue occRef="调整数"/>
        </m:item>
        <m:placeholder xlName="_PLD_9e2a49afb3b740edb7325551ffea197e" addr="T0R99C0S1_1"/>
        <m:item xlName="_GBC_07cb15d77a404d8e839bdd9e40442fc1" concept="clcid-pte:ShaoShuGuDongQuanYi" label="少数股东权益" periodRef="上年期末数" mulRef="_GBC_d28e3b675fc048afb747681dc6d939c2" unitRef="_GBC_e3316f7d89b24ba1bb4a783fd180bf77" addr="T0R99C1S1_1" formatStyle="Comma" appId="_GBC_5ea888705f7c4c0f98e8769d2197c0de"/>
        <m:item xlName="_GBC_60d5eb8fa3ed4abfb4d4f5e0fc4d229a" concept="clcid-pte:ShaoShuGuDongQuanYi" label="少数股东权益" periodRef="本期期初数" mulRef="_GBC_d28e3b675fc048afb747681dc6d939c2" unitRef="_GBC_e3316f7d89b24ba1bb4a783fd180bf77" addr="T0R99C2S1_1" formatStyle="Comma" appId="_GBC_5ea888705f7c4c0f98e8769d2197c0de"/>
        <m:item xlName="_GBC_064d00431d9949b5891db397b884882e" concept="clcid-pte:ShaoShuGuDongQuanYi" label="少数股东权益" mulRef="_GBC_d28e3b675fc048afb747681dc6d939c2" unitRef="_GBC_e3316f7d89b24ba1bb4a783fd180bf77" addr="T0R99C3S1_1" formatStyle="Comma" appId="_GBC_5ea888705f7c4c0f98e8769d2197c0de">
          <m:axisValue occRef="调整数"/>
        </m:item>
        <m:placeholder xlName="_PLD_c8a5be1c81bf40a0b01cb817c0b0e1b9" addr="T0R100C0S1_1"/>
        <m:item xlName="_GBC_6568210ac7214b81bd635d825f73fdd7" concept="clcid-pte:GuDongQuanYiHeJi" label="股东权益合计" periodRef="上年期末数" mulRef="_GBC_d28e3b675fc048afb747681dc6d939c2" unitRef="_GBC_e3316f7d89b24ba1bb4a783fd180bf77" addr="T0R100C1S1_1" formatStyle="Comma" appId="_GBC_5ea888705f7c4c0f98e8769d2197c0de">
          <m:complexRule comparator="Eq" title="股东权益合计" test=" $_GBC_4cbbf22a79ad4d00914758dcaea5a50a +  $_GBC_07cb15d77a404d8e839bdd9e40442fc1" id="C5d52cc86a6d84487a2212721f83800f0"/>
        </m:item>
        <m:item xlName="_GBC_551f6d7162f140bd84ee9f2b41671788" concept="clcid-pte:GuDongQuanYiHeJi" label="股东权益合计" periodRef="本期期初数" mulRef="_GBC_d28e3b675fc048afb747681dc6d939c2" unitRef="_GBC_e3316f7d89b24ba1bb4a783fd180bf77" addr="T0R100C2S1_1" formatStyle="Comma" appId="_GBC_5ea888705f7c4c0f98e8769d2197c0de">
          <m:complexRule comparator="Eq" title="股东权益合计@本期期初数" test=" $_GBC_ed6cd6e838bf49bc8c790484573e4a99 +  $_GBC_60d5eb8fa3ed4abfb4d4f5e0fc4d229a" id="C49d1f1643bc74660acfbd792f8e07a54"/>
        </m:item>
        <m:item xlName="_GBC_ecacb0e8d5204220a0a7f66746150526" concept="clcid-pte:GuDongQuanYiHeJi" label="股东权益合计" mulRef="_GBC_d28e3b675fc048afb747681dc6d939c2" unitRef="_GBC_e3316f7d89b24ba1bb4a783fd180bf77" addr="T0R100C3S1_1" formatStyle="Comma" appId="_GBC_5ea888705f7c4c0f98e8769d2197c0de">
          <m:complexRule comparator="Eq" title="股东权益合计(调整数)" test=" $_GBC_d34506f3999d4ee09068a74f9a6adab7 +  $_GBC_064d00431d9949b5891db397b884882e" id="Cdb5f0917e6da4953acd3bc809718fa1c"/>
          <m:axisValue occRef="调整数"/>
        </m:item>
        <m:placeholder xlName="_PLD_bd6eda07bb8b42c19118fdb7c86bb62b" addr="T0R101C0S1_1"/>
        <m:item xlName="_GBC_3d592c467ea84c04be00c5c02d541fc2" concept="clcid-pte:FuZhaiHeGuDongQuanYiHeJi" label="负债和股东权益合计" periodRef="上年期末数" mulRef="_GBC_d28e3b675fc048afb747681dc6d939c2" unitRef="_GBC_e3316f7d89b24ba1bb4a783fd180bf77" addr="T0R101C1S1_1" formatStyle="Comma" appId="_GBC_5ea888705f7c4c0f98e8769d2197c0de">
          <m:complexRule comparator="Eq" title="负债和股东权益合计" test=" $_GBC_b776363b31514154ad2aef776e6ca993 +  $_GBC_6568210ac7214b81bd635d825f73fdd7" id="C551c5439e6c74c57959b8d4de6cf9ace"/>
        </m:item>
        <m:item xlName="_GBC_3feec9bdf0784fb28552fb0bde233da6" concept="clcid-pte:FuZhaiHeGuDongQuanYiHeJi" label="负债和股东权益合计" periodRef="本期期初数" mulRef="_GBC_d28e3b675fc048afb747681dc6d939c2" unitRef="_GBC_e3316f7d89b24ba1bb4a783fd180bf77" addr="T0R101C2S1_1" formatStyle="Comma" appId="_GBC_5ea888705f7c4c0f98e8769d2197c0de">
          <m:complexRule comparator="Eq" title="负债和股东权益合计@本期期初数" test=" $_GBC_93d39d75a242473e8a48e612a19cf74b +  $_GBC_551f6d7162f140bd84ee9f2b41671788" id="C8e6dbff46fff47f481a5b7c7503b2eaf"/>
        </m:item>
        <m:item xlName="_GBC_c71cb5adf2fc4a1682e72f45665b658b" concept="clcid-pte:FuZhaiHeGuDongQuanYiHeJi" label="负债和股东权益合计" mulRef="_GBC_d28e3b675fc048afb747681dc6d939c2" unitRef="_GBC_e3316f7d89b24ba1bb4a783fd180bf77" addr="T0R101C3S1_1" formatStyle="Comma" appId="_GBC_5ea888705f7c4c0f98e8769d2197c0de">
          <m:complexRule comparator="Eq" title="负债和股东权益合计(调整数)" test=" $_GBC_7d29c7c4fa3640bba8a63739a7b9d36e +  $_GBC_ecacb0e8d5204220a0a7f66746150526" id="Cd468ec9f0ff6405e8e070f595bc6ba76"/>
          <m:axisValue occRef="调整数"/>
        </m:item>
        <m:item xlName="_GBC_78cdedcde0e54953bd93f6d9bfb220a2" concept="clcid-ci-ar:ShiFouShiYongZiChanFuZhaiBiaoGeXiangMuTiaoZhengQingKuangDeShuoMing" label="是否适用：资产负债表各项目调整情况的说明" selectOptions="_buildInAppliance" controlType="CustomCheckbox" cRanges="[{&quot;StartName&quot;:&quot;_GBC_78cdedcde0e54953bd93f6d9bfb220a2&quot;,&quot;EndName&quot;:&quot;_GBC_75838eb883a94dccb56b0a9e60c0074d&quot;,&quot;CType&quot;:1}]"/>
        <m:item xlName="_GBC_75838eb883a94dccb56b0a9e60c0074d" concept="clcid-pte:ZiChanFuZhaiBiaoGeXiangMuTiaoZhengQingKuangDeShuoMing" label="资产负债表各项目调整情况的说明" appId="_GBC_78cdedcde0e54953bd93f6d9bfb220a2"/>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2ac31f2b4fa4fd6a9f6f2a4dec4d231" title="母公司资产负债表 &#10;">
        <m:item xlName="_GBC_12bdcba29eb54af2b8443a5d65e13487" concept="clcid-ci-ar:DanWeiMuGongSiZiChanFuZhaiBiao" label="单位：母公司资产负债表" selectOptions="_buildInScales" controlType="Combobox" cellType="Scale" appId="_GBC_5ea888705f7c4c0f98e8769d2197c0de"/>
        <m:item xlName="_GBC_5ae5b2f3e4c64e05b223351f52f762b8" concept="clcid-ci-ar:BiZhongMuGongSiZiChanFuZhaiBiao" label="币种：母公司资产负债表" selectOptions="_buildInISO4217" controlType="Combobox" cellType="Measure" appId="_GBC_5ea888705f7c4c0f98e8769d2197c0de"/>
        <m:placeholder xlName="_PLD_1862792538844cfebbd7412e518cc3a1" addr="T1R0C0S1_1"/>
        <m:placeholder xlName="_PLD_490733515ea04b4585d8f94ac2bde396" addr="T1R0C1S1_1"/>
        <m:placeholder xlName="_PLD_e87e7f82c0ce4a00b4c3c32f679e366a" addr="T1R0C2S1_1"/>
        <m:placeholder xlName="_PLD_183442aef00f452987866abd92d323be" addr="T1R0C3S1_1"/>
        <m:placeholder xlName="_PLD_d3873035b3234fe09b962abf0385995a" addr="T1R1C0S1_4"/>
        <m:placeholder xlName="_PLD_74d515e6d6184499b93a2f64ac76312a" addr="T1R2C0S1_1"/>
        <m:item xlName="_GBC_5fde2e13b4ae43b09724fd20720b1ff8" concept="clcid-pte:HuoBiZiJin" label="货币资金" periodRef="上年期末数" mulRef="_GBC_12bdcba29eb54af2b8443a5d65e13487" unitRef="_GBC_5ae5b2f3e4c64e05b223351f52f762b8" addr="T1R2C1S1_1" formatStyle="Comma" appId="_GBC_5ea888705f7c4c0f98e8769d2197c0de">
          <m:axisValue occRef="母公司"/>
        </m:item>
        <m:item xlName="_GBC_4faabbd9495540e195ea7ef64486e186" concept="clcid-pte:HuoBiZiJin" label="货币资金" periodRef="本期期初数" mulRef="_GBC_12bdcba29eb54af2b8443a5d65e13487" unitRef="_GBC_5ae5b2f3e4c64e05b223351f52f762b8" addr="T1R2C2S1_1" formatStyle="Comma" appId="_GBC_5ea888705f7c4c0f98e8769d2197c0de">
          <m:axisValue occRef="母公司"/>
        </m:item>
        <m:item xlName="_GBC_69418568306644a8bf38c971faa01e64" concept="clcid-pte:HuoBiZiJin" label="货币资金" mulRef="_GBC_12bdcba29eb54af2b8443a5d65e13487" unitRef="_GBC_5ae5b2f3e4c64e05b223351f52f762b8" addr="T1R2C3S1_1" formatStyle="Comma" appId="_GBC_5ea888705f7c4c0f98e8769d2197c0de">
          <m:axisValue occRef="调整数"/>
          <m:axisValue occRef="母公司"/>
        </m:item>
        <m:placeholder xlName="_PLD_7bce670f2a4240eeaa8e481be0a277f1" addr="T1R3C0S1_1"/>
        <m:item xlName="_GBC_3044cc135ea948978c39c68d807b7dab" concept="clcid-pte:JiaoYiXingJinRongZiChan" label="交易性金融资产" periodRef="上年期末数" mulRef="_GBC_12bdcba29eb54af2b8443a5d65e13487" unitRef="_GBC_5ae5b2f3e4c64e05b223351f52f762b8" addr="T1R3C1S1_1" formatStyle="Comma" appId="_GBC_5ea888705f7c4c0f98e8769d2197c0de">
          <m:axisValue occRef="母公司"/>
        </m:item>
        <m:item xlName="_GBC_266516d23ae64475a8a3e6c2d13bd722" concept="clcid-pte:JiaoYiXingJinRongZiChan" label="交易性金融资产" periodRef="本期期初数" mulRef="_GBC_12bdcba29eb54af2b8443a5d65e13487" unitRef="_GBC_5ae5b2f3e4c64e05b223351f52f762b8" addr="T1R3C2S1_1" formatStyle="Comma" appId="_GBC_5ea888705f7c4c0f98e8769d2197c0de">
          <m:axisValue occRef="母公司"/>
        </m:item>
        <m:item xlName="_GBC_84645aa89696404b920c04f1fa57508a" concept="clcid-pte:JiaoYiXingJinRongZiChan" label="交易性金融资产" mulRef="_GBC_12bdcba29eb54af2b8443a5d65e13487" unitRef="_GBC_5ae5b2f3e4c64e05b223351f52f762b8" addr="T1R3C3S1_1" formatStyle="Comma" appId="_GBC_5ea888705f7c4c0f98e8769d2197c0de">
          <m:axisValue occRef="调整数"/>
          <m:axisValue occRef="母公司"/>
        </m:item>
        <m:placeholder xlName="_PLD_ae75f8d2f5c14936a6818948d6cc2951" addr="T1R4C0S1_1"/>
        <m:item xlName="_GBC_d38502d16200402295ac83b6bae08aff" concept="clcid-pte:YanShengJinRongZiChan" label="衍生金融资产" periodRef="上年期末数" mulRef="_GBC_12bdcba29eb54af2b8443a5d65e13487" unitRef="_GBC_5ae5b2f3e4c64e05b223351f52f762b8" addr="T1R4C1S1_1" formatStyle="Comma" appId="_GBC_5ea888705f7c4c0f98e8769d2197c0de">
          <m:axisValue occRef="母公司"/>
        </m:item>
        <m:item xlName="_GBC_497eac1863cc4974807f1fd23a174e84" concept="clcid-pte:YanShengJinRongZiChan" label="衍生金融资产" periodRef="本期期初数" mulRef="_GBC_12bdcba29eb54af2b8443a5d65e13487" unitRef="_GBC_5ae5b2f3e4c64e05b223351f52f762b8" addr="T1R4C2S1_1" formatStyle="Comma" appId="_GBC_5ea888705f7c4c0f98e8769d2197c0de">
          <m:axisValue occRef="母公司"/>
        </m:item>
        <m:item xlName="_GBC_3cc2a049afb34dc59f66b33ba007b824" concept="clcid-pte:YanShengJinRongZiChan" label="衍生金融资产" mulRef="_GBC_12bdcba29eb54af2b8443a5d65e13487" unitRef="_GBC_5ae5b2f3e4c64e05b223351f52f762b8" addr="T1R4C3S1_1" formatStyle="Comma" appId="_GBC_5ea888705f7c4c0f98e8769d2197c0de">
          <m:axisValue occRef="调整数"/>
          <m:axisValue occRef="母公司"/>
        </m:item>
        <m:placeholder xlName="_PLD_d38796d2735e412fbb2b548202f4f87a" addr="T1R5C0S1_1"/>
        <m:item xlName="_GBC_284748580272466e8a47ad48436d347c" concept="clcid-pte:YingShouPiaoJu" label="应收票据" periodRef="上年期末数" mulRef="_GBC_12bdcba29eb54af2b8443a5d65e13487" unitRef="_GBC_5ae5b2f3e4c64e05b223351f52f762b8" addr="T1R5C1S1_1" formatStyle="Comma" appId="_GBC_5ea888705f7c4c0f98e8769d2197c0de">
          <m:axisValue occRef="母公司"/>
        </m:item>
        <m:item xlName="_GBC_f307345fede24794b181faf4f5b0aa75" concept="clcid-pte:YingShouPiaoJu" label="应收票据" periodRef="本期期初数" mulRef="_GBC_12bdcba29eb54af2b8443a5d65e13487" unitRef="_GBC_5ae5b2f3e4c64e05b223351f52f762b8" addr="T1R5C2S1_1" formatStyle="Comma" appId="_GBC_5ea888705f7c4c0f98e8769d2197c0de">
          <m:axisValue occRef="母公司"/>
        </m:item>
        <m:item xlName="_GBC_bdb9d54f8e984910ac271c3e865795b8" concept="clcid-pte:YingShouPiaoJu" label="应收票据" mulRef="_GBC_12bdcba29eb54af2b8443a5d65e13487" unitRef="_GBC_5ae5b2f3e4c64e05b223351f52f762b8" addr="T1R5C3S1_1" formatStyle="Comma" appId="_GBC_5ea888705f7c4c0f98e8769d2197c0de">
          <m:axisValue occRef="调整数"/>
          <m:axisValue occRef="母公司"/>
        </m:item>
        <m:placeholder xlName="_PLD_330335623c744c63b1ff8fbca1c82725" addr="T1R6C0S1_1"/>
        <m:item xlName="_GBC_80eb2b1d88c6402bb8186cb4757c199c" concept="clcid-pte:YingShouZhangKuan" label="应收帐款" periodRef="上年期末数" mulRef="_GBC_12bdcba29eb54af2b8443a5d65e13487" unitRef="_GBC_5ae5b2f3e4c64e05b223351f52f762b8" addr="T1R6C1S1_1" formatStyle="Comma" appId="_GBC_5ea888705f7c4c0f98e8769d2197c0de">
          <m:axisValue occRef="母公司"/>
        </m:item>
        <m:item xlName="_GBC_b81c2bc5734a49c39bb29d1aeaf81857" concept="clcid-pte:YingShouZhangKuan" label="应收帐款" periodRef="本期期初数" mulRef="_GBC_12bdcba29eb54af2b8443a5d65e13487" unitRef="_GBC_5ae5b2f3e4c64e05b223351f52f762b8" addr="T1R6C2S1_1" formatStyle="Comma" appId="_GBC_5ea888705f7c4c0f98e8769d2197c0de">
          <m:axisValue occRef="母公司"/>
        </m:item>
        <m:item xlName="_GBC_999cdc6a021b4eaf95794dfd8f60b6aa" concept="clcid-pte:YingShouZhangKuan" label="应收帐款" mulRef="_GBC_12bdcba29eb54af2b8443a5d65e13487" unitRef="_GBC_5ae5b2f3e4c64e05b223351f52f762b8" addr="T1R6C3S1_1" formatStyle="Comma" appId="_GBC_5ea888705f7c4c0f98e8769d2197c0de">
          <m:axisValue occRef="调整数"/>
          <m:axisValue occRef="母公司"/>
        </m:item>
        <m:placeholder xlName="_PLD_d9488865268f46f29f059c2d0282e38e" addr="T1R7C0S1_1"/>
        <m:item xlName="_GBC_96448732a05844339020b154b92a1c9b" concept="clcid-pte:YingShouKuanXiangRongZi" label="应收款项融资" periodRef="上年期末数" mulRef="_GBC_12bdcba29eb54af2b8443a5d65e13487" unitRef="_GBC_5ae5b2f3e4c64e05b223351f52f762b8" addr="T1R7C1S1_1" formatStyle="Comma" appId="_GBC_5ea888705f7c4c0f98e8769d2197c0de">
          <m:axisValue occRef="母公司"/>
        </m:item>
        <m:item xlName="_GBC_76ca75dec7f346708e052f2d423db2d2" concept="clcid-pte:YingShouKuanXiangRongZi" label="应收款项融资" periodRef="本期期初数" mulRef="_GBC_12bdcba29eb54af2b8443a5d65e13487" unitRef="_GBC_5ae5b2f3e4c64e05b223351f52f762b8" addr="T1R7C2S1_1" formatStyle="Comma" appId="_GBC_5ea888705f7c4c0f98e8769d2197c0de">
          <m:axisValue occRef="母公司"/>
        </m:item>
        <m:item xlName="_GBC_9dcf750654ce452495c71208de07ca9c" concept="clcid-pte:YingShouKuanXiangRongZi" label="应收款项融资" mulRef="_GBC_12bdcba29eb54af2b8443a5d65e13487" unitRef="_GBC_5ae5b2f3e4c64e05b223351f52f762b8" addr="T1R7C3S1_1" formatStyle="Comma" appId="_GBC_5ea888705f7c4c0f98e8769d2197c0de">
          <m:axisValue occRef="调整数"/>
          <m:axisValue occRef="母公司"/>
        </m:item>
        <m:placeholder xlName="_PLD_075402e44a9d4fec8c80849345f9a7ff" addr="T1R8C0S1_1"/>
        <m:item xlName="_GBC_1053d2ced59d46c38bfbb085e2b8ca7e" concept="clcid-pte:YuFuZhangKuan" label="预付帐款" periodRef="上年期末数" mulRef="_GBC_12bdcba29eb54af2b8443a5d65e13487" unitRef="_GBC_5ae5b2f3e4c64e05b223351f52f762b8" addr="T1R8C1S1_1" formatStyle="Comma" appId="_GBC_5ea888705f7c4c0f98e8769d2197c0de">
          <m:axisValue occRef="母公司"/>
        </m:item>
        <m:item xlName="_GBC_348de190de9f4c8ebe4d26de11f771f2" concept="clcid-pte:YuFuZhangKuan" label="预付帐款" periodRef="本期期初数" mulRef="_GBC_12bdcba29eb54af2b8443a5d65e13487" unitRef="_GBC_5ae5b2f3e4c64e05b223351f52f762b8" addr="T1R8C2S1_1" formatStyle="Comma" appId="_GBC_5ea888705f7c4c0f98e8769d2197c0de">
          <m:axisValue occRef="母公司"/>
        </m:item>
        <m:item xlName="_GBC_d8795d98dd2a46b4b7231d8f5cfee071" concept="clcid-pte:YuFuZhangKuan" label="预付帐款" mulRef="_GBC_12bdcba29eb54af2b8443a5d65e13487" unitRef="_GBC_5ae5b2f3e4c64e05b223351f52f762b8" addr="T1R8C3S1_1" formatStyle="Comma" appId="_GBC_5ea888705f7c4c0f98e8769d2197c0de">
          <m:axisValue occRef="调整数"/>
          <m:axisValue occRef="母公司"/>
        </m:item>
        <m:placeholder xlName="_PLD_c2d0a7a6a8e64d7e876eef520833ed71" addr="T1R9C0S1_1"/>
        <m:item xlName="_GBC_1cd747e06c304f67a36d72ac085b67ea" concept="clcid-pte:QiTaYingShouKuan" label="其他应收款" periodRef="上年期末数" mulRef="_GBC_12bdcba29eb54af2b8443a5d65e13487" unitRef="_GBC_5ae5b2f3e4c64e05b223351f52f762b8" addr="T1R9C1S1_1" formatStyle="Comma" appId="_GBC_5ea888705f7c4c0f98e8769d2197c0de">
          <m:axisValue occRef="母公司"/>
        </m:item>
        <m:item xlName="_GBC_6fc782fbb6e74bf5b0a32f6173cfd713" concept="clcid-pte:QiTaYingShouKuan" label="其他应收款" periodRef="本期期初数" mulRef="_GBC_12bdcba29eb54af2b8443a5d65e13487" unitRef="_GBC_5ae5b2f3e4c64e05b223351f52f762b8" addr="T1R9C2S1_1" formatStyle="Comma" appId="_GBC_5ea888705f7c4c0f98e8769d2197c0de">
          <m:axisValue occRef="母公司"/>
        </m:item>
        <m:item xlName="_GBC_fd5e1a317d8c498e8150f8a16ca02e83" concept="clcid-pte:QiTaYingShouKuan" label="其他应收款" mulRef="_GBC_12bdcba29eb54af2b8443a5d65e13487" unitRef="_GBC_5ae5b2f3e4c64e05b223351f52f762b8" addr="T1R9C3S1_1" formatStyle="Comma" appId="_GBC_5ea888705f7c4c0f98e8769d2197c0de">
          <m:axisValue occRef="调整数"/>
          <m:axisValue occRef="母公司"/>
        </m:item>
        <m:placeholder xlName="_PLD_f4aedbe1c37746bd94298a5fa1ce694d" addr="T1R10C0S1_1"/>
        <m:item xlName="_GBC_04c408d850cd41a5bcec207f02e76a98" concept="clcid-pte:YingShouLiXi" label="应收利息" periodRef="上年期末数" mulRef="_GBC_12bdcba29eb54af2b8443a5d65e13487" unitRef="_GBC_5ae5b2f3e4c64e05b223351f52f762b8" addr="T1R10C1S1_1" formatStyle="Comma" appId="_GBC_5ea888705f7c4c0f98e8769d2197c0de">
          <m:axisValue occRef="母公司"/>
        </m:item>
        <m:item xlName="_GBC_d8732a4f24f248059579e5e094323314" concept="clcid-pte:YingShouLiXi" label="应收利息" periodRef="本期期初数" mulRef="_GBC_12bdcba29eb54af2b8443a5d65e13487" unitRef="_GBC_5ae5b2f3e4c64e05b223351f52f762b8" addr="T1R10C2S1_1" formatStyle="Comma" appId="_GBC_5ea888705f7c4c0f98e8769d2197c0de">
          <m:axisValue occRef="母公司"/>
        </m:item>
        <m:item xlName="_GBC_c3c798af5d2d45f98562b95746ae62ca" concept="clcid-pte:YingShouLiXi" label="应收利息" mulRef="_GBC_12bdcba29eb54af2b8443a5d65e13487" unitRef="_GBC_5ae5b2f3e4c64e05b223351f52f762b8" addr="T1R10C3S1_1" formatStyle="Comma" appId="_GBC_5ea888705f7c4c0f98e8769d2197c0de">
          <m:axisValue occRef="调整数"/>
          <m:axisValue occRef="母公司"/>
        </m:item>
        <m:placeholder xlName="_PLD_52de14b1293c4f25af2be3d116cf9e85" addr="T1R11C0S1_1"/>
        <m:item xlName="_GBC_4edaaeb5e19a459cbac2c1dae03d7415" concept="clcid-pte:YingShouGuLi" label="应收股利" periodRef="上年期末数" mulRef="_GBC_12bdcba29eb54af2b8443a5d65e13487" unitRef="_GBC_5ae5b2f3e4c64e05b223351f52f762b8" addr="T1R11C1S1_1" formatStyle="Comma" appId="_GBC_5ea888705f7c4c0f98e8769d2197c0de">
          <m:axisValue occRef="母公司"/>
        </m:item>
        <m:item xlName="_GBC_7837d963c1d843b5845fd3078ee63bf5" concept="clcid-pte:YingShouGuLi" label="应收股利" periodRef="本期期初数" mulRef="_GBC_12bdcba29eb54af2b8443a5d65e13487" unitRef="_GBC_5ae5b2f3e4c64e05b223351f52f762b8" addr="T1R11C2S1_1" formatStyle="Comma" appId="_GBC_5ea888705f7c4c0f98e8769d2197c0de">
          <m:axisValue occRef="母公司"/>
        </m:item>
        <m:item xlName="_GBC_3276efcac5164596b61b8f1257e4dec0" concept="clcid-pte:YingShouGuLi" label="应收股利" mulRef="_GBC_12bdcba29eb54af2b8443a5d65e13487" unitRef="_GBC_5ae5b2f3e4c64e05b223351f52f762b8" addr="T1R11C3S1_1" formatStyle="Comma" appId="_GBC_5ea888705f7c4c0f98e8769d2197c0de">
          <m:axisValue occRef="调整数"/>
          <m:axisValue occRef="母公司"/>
        </m:item>
        <m:placeholder xlName="_PLD_c7b0b124530948fbb30e06a409fd5565" addr="T1R12C0S1_1"/>
        <m:item xlName="_GBC_6d71d66f17b14e7db99c0173f48d6497" concept="clcid-pte:CunHuo" label="存货" periodRef="上年期末数" mulRef="_GBC_12bdcba29eb54af2b8443a5d65e13487" unitRef="_GBC_5ae5b2f3e4c64e05b223351f52f762b8" addr="T1R12C1S1_1" formatStyle="Comma" appId="_GBC_5ea888705f7c4c0f98e8769d2197c0de">
          <m:axisValue occRef="母公司"/>
        </m:item>
        <m:item xlName="_GBC_99ac839dba814c90928ea17b04f67acb" concept="clcid-pte:CunHuo" label="存货" periodRef="本期期初数" mulRef="_GBC_12bdcba29eb54af2b8443a5d65e13487" unitRef="_GBC_5ae5b2f3e4c64e05b223351f52f762b8" addr="T1R12C2S1_1" formatStyle="Comma" appId="_GBC_5ea888705f7c4c0f98e8769d2197c0de">
          <m:axisValue occRef="母公司"/>
        </m:item>
        <m:item xlName="_GBC_6c12261b1a504de9b9b0def416a1cea5" concept="clcid-pte:CunHuo" label="存货" mulRef="_GBC_12bdcba29eb54af2b8443a5d65e13487" unitRef="_GBC_5ae5b2f3e4c64e05b223351f52f762b8" addr="T1R12C3S1_1" formatStyle="Comma" appId="_GBC_5ea888705f7c4c0f98e8769d2197c0de">
          <m:axisValue occRef="调整数"/>
          <m:axisValue occRef="母公司"/>
        </m:item>
        <m:placeholder xlName="_PLD_c9161e7eb66949c8ae57a598e14e7c20" addr="T1R13C0S1_1"/>
        <m:item xlName="_GBC_f15cb24f3897408a967198a70c550178" concept="clcid-pte:HeTongZiChan" label="合同资产" periodRef="上年期末数" mulRef="_GBC_12bdcba29eb54af2b8443a5d65e13487" unitRef="_GBC_5ae5b2f3e4c64e05b223351f52f762b8" addr="T1R13C1S1_1" formatStyle="Comma" appId="_GBC_5ea888705f7c4c0f98e8769d2197c0de">
          <m:axisValue occRef="母公司"/>
        </m:item>
        <m:item xlName="_GBC_69c4922432904d69933ed9ae7ac6d09d" concept="clcid-pte:HeTongZiChan" label="合同资产" periodRef="本期期初数" mulRef="_GBC_12bdcba29eb54af2b8443a5d65e13487" unitRef="_GBC_5ae5b2f3e4c64e05b223351f52f762b8" addr="T1R13C2S1_1" formatStyle="Comma" appId="_GBC_5ea888705f7c4c0f98e8769d2197c0de">
          <m:axisValue occRef="母公司"/>
        </m:item>
        <m:item xlName="_GBC_a1ac757265164c17acd316412db8dee8" concept="clcid-pte:HeTongZiChan" label="合同资产" mulRef="_GBC_12bdcba29eb54af2b8443a5d65e13487" unitRef="_GBC_5ae5b2f3e4c64e05b223351f52f762b8" addr="T1R13C3S1_1" formatStyle="Comma" appId="_GBC_5ea888705f7c4c0f98e8769d2197c0de">
          <m:axisValue occRef="调整数"/>
          <m:axisValue occRef="母公司"/>
        </m:item>
        <m:placeholder xlName="_PLD_425e5328b0a240e59b878c6d6e9636a3" addr="T1R14C0S1_1"/>
        <m:item xlName="_GBC_cce23ae9f3124f8badff777a4f9c26d3" concept="clcid-pte:HuaFenWeiChiYouDaiShouDeZiChan" label="划分为持有待售的资产" periodRef="上年期末数" mulRef="_GBC_12bdcba29eb54af2b8443a5d65e13487" unitRef="_GBC_5ae5b2f3e4c64e05b223351f52f762b8" addr="T1R14C1S1_1" formatStyle="Comma" appId="_GBC_5ea888705f7c4c0f98e8769d2197c0de">
          <m:axisValue occRef="母公司"/>
        </m:item>
        <m:item xlName="_GBC_a6777573a50849ada33e78b716f58e23" concept="clcid-pte:HuaFenWeiChiYouDaiShouDeZiChan" label="划分为持有待售的资产" periodRef="本期期初数" mulRef="_GBC_12bdcba29eb54af2b8443a5d65e13487" unitRef="_GBC_5ae5b2f3e4c64e05b223351f52f762b8" addr="T1R14C2S1_1" formatStyle="Comma" appId="_GBC_5ea888705f7c4c0f98e8769d2197c0de">
          <m:axisValue occRef="母公司"/>
        </m:item>
        <m:item xlName="_GBC_f23df41fc1a648ab90bc38a961f31cd6" concept="clcid-pte:HuaFenWeiChiYouDaiShouDeZiChan" label="划分为持有待售的资产" mulRef="_GBC_12bdcba29eb54af2b8443a5d65e13487" unitRef="_GBC_5ae5b2f3e4c64e05b223351f52f762b8" addr="T1R14C3S1_1" formatStyle="Comma" appId="_GBC_5ea888705f7c4c0f98e8769d2197c0de">
          <m:axisValue occRef="调整数"/>
          <m:axisValue occRef="母公司"/>
        </m:item>
        <m:placeholder xlName="_PLD_632efccee98548b68b34b43db7e78ee1" addr="T1R15C0S1_1"/>
        <m:item xlName="_GBC_5df882e78fbf461d8f0ae5efa434a0af" concept="clcid-pte:YiNianNeiDaoQiDeFeiLiuDongZiChan" label="一年内到期的非流动资产" periodRef="上年期末数" mulRef="_GBC_12bdcba29eb54af2b8443a5d65e13487" unitRef="_GBC_5ae5b2f3e4c64e05b223351f52f762b8" addr="T1R15C1S1_1" formatStyle="Comma" appId="_GBC_5ea888705f7c4c0f98e8769d2197c0de">
          <m:axisValue occRef="母公司"/>
        </m:item>
        <m:item xlName="_GBC_75747c614fe3431e93f3c6c43ecf8e10" concept="clcid-pte:YiNianNeiDaoQiDeFeiLiuDongZiChan" label="一年内到期的非流动资产" periodRef="本期期初数" mulRef="_GBC_12bdcba29eb54af2b8443a5d65e13487" unitRef="_GBC_5ae5b2f3e4c64e05b223351f52f762b8" addr="T1R15C2S1_1" formatStyle="Comma" appId="_GBC_5ea888705f7c4c0f98e8769d2197c0de">
          <m:axisValue occRef="母公司"/>
        </m:item>
        <m:item xlName="_GBC_154c211360f4485e88582514d39a74a8" concept="clcid-pte:YiNianNeiDaoQiDeFeiLiuDongZiChan" label="一年内到期的非流动资产" mulRef="_GBC_12bdcba29eb54af2b8443a5d65e13487" unitRef="_GBC_5ae5b2f3e4c64e05b223351f52f762b8" addr="T1R15C3S1_1" formatStyle="Comma" appId="_GBC_5ea888705f7c4c0f98e8769d2197c0de">
          <m:axisValue occRef="调整数"/>
          <m:axisValue occRef="母公司"/>
        </m:item>
        <m:placeholder xlName="_PLD_1f0292fdc6a84de4bb5b1513e1206a77" addr="T1R16C0S1_1"/>
        <m:item xlName="_GBC_d9886fa58b8141f4bbda162d4f03cbe5" concept="clcid-pte:QiTaLiuDongZiChan" label="其他流动资产" periodRef="上年期末数" mulRef="_GBC_12bdcba29eb54af2b8443a5d65e13487" unitRef="_GBC_5ae5b2f3e4c64e05b223351f52f762b8" addr="T1R16C1S1_1" formatStyle="Comma" appId="_GBC_5ea888705f7c4c0f98e8769d2197c0de">
          <m:axisValue occRef="母公司"/>
        </m:item>
        <m:item xlName="_GBC_6d76f4b8ac584b659d8055f5065dbdad" concept="clcid-pte:QiTaLiuDongZiChan" label="其他流动资产" periodRef="本期期初数" mulRef="_GBC_12bdcba29eb54af2b8443a5d65e13487" unitRef="_GBC_5ae5b2f3e4c64e05b223351f52f762b8" addr="T1R16C2S1_1" formatStyle="Comma" appId="_GBC_5ea888705f7c4c0f98e8769d2197c0de">
          <m:axisValue occRef="母公司"/>
        </m:item>
        <m:item xlName="_GBC_884c56b06a2f46ed80291956fa6cc26f" concept="clcid-pte:QiTaLiuDongZiChan" label="其他流动资产" mulRef="_GBC_12bdcba29eb54af2b8443a5d65e13487" unitRef="_GBC_5ae5b2f3e4c64e05b223351f52f762b8" addr="T1R16C3S1_1" formatStyle="Comma" appId="_GBC_5ea888705f7c4c0f98e8769d2197c0de">
          <m:axisValue occRef="调整数"/>
          <m:axisValue occRef="母公司"/>
        </m:item>
        <m:placeholder xlName="_PLD_18bb3148590e45af9975783b03139934" addr="T1R17C0S1_1"/>
        <m:item xlName="_GBC_a44f68c4261248ab944f95ab8dda2c7c" concept="clcid-pte:LiuDongZiChanHeJi" label="流动资产合计" periodRef="上年期末数" mulRef="_GBC_12bdcba29eb54af2b8443a5d65e13487" unitRef="_GBC_5ae5b2f3e4c64e05b223351f52f762b8" addr="T1R17C1S1_1" formatStyle="Comma" appId="_GBC_5ea888705f7c4c0f98e8769d2197c0de">
          <m:complexRule comparator="Eq" title="母公司流动资产合计@上年期末数" test=" $_GBC_5fde2e13b4ae43b09724fd20720b1ff8 +  $_GBC_3044cc135ea948978c39c68d807b7dab +  $_GBC_d38502d16200402295ac83b6bae08aff +  $_GBC_284748580272466e8a47ad48436d347c +  $_GBC_80eb2b1d88c6402bb8186cb4757c199c +  $_GBC_96448732a05844339020b154b92a1c9b +  $_GBC_1053d2ced59d46c38bfbb085e2b8ca7e +  $_GBC_1cd747e06c304f67a36d72ac085b67ea +  $_GBC_6d71d66f17b14e7db99c0173f48d6497 +  $_GBC_f15cb24f3897408a967198a70c550178 +  $_GBC_cce23ae9f3124f8badff777a4f9c26d3 +  $_GBC_5df882e78fbf461d8f0ae5efa434a0af +  $_GBC_d9886fa58b8141f4bbda162d4f03cbe5" id="Cbcf9e3500fba473788c59797c473df0e"/>
          <m:axisValue occRef="母公司"/>
        </m:item>
        <m:item xlName="_GBC_9aabc75772744bc19cd24a7d4c481b8c" concept="clcid-pte:LiuDongZiChanHeJi" label="流动资产合计" periodRef="本期期初数" mulRef="_GBC_12bdcba29eb54af2b8443a5d65e13487" unitRef="_GBC_5ae5b2f3e4c64e05b223351f52f762b8" addr="T1R17C2S1_1" formatStyle="Comma" appId="_GBC_5ea888705f7c4c0f98e8769d2197c0de">
          <m:complexRule comparator="Eq" title="母公司流动资产合计@本期期初数" test=" $_GBC_4faabbd9495540e195ea7ef64486e186 +  $_GBC_266516d23ae64475a8a3e6c2d13bd722 +  $_GBC_497eac1863cc4974807f1fd23a174e84 +  $_GBC_f307345fede24794b181faf4f5b0aa75 +  $_GBC_b81c2bc5734a49c39bb29d1aeaf81857 +  $_GBC_76ca75dec7f346708e052f2d423db2d2 +  $_GBC_348de190de9f4c8ebe4d26de11f771f2 +  $_GBC_6fc782fbb6e74bf5b0a32f6173cfd713 +  $_GBC_99ac839dba814c90928ea17b04f67acb +  $_GBC_69c4922432904d69933ed9ae7ac6d09d +  $_GBC_a6777573a50849ada33e78b716f58e23 +  $_GBC_75747c614fe3431e93f3c6c43ecf8e10 +  $_GBC_6d76f4b8ac584b659d8055f5065dbdad" id="Ca91e96fff56b4c6b852e36d757e31439"/>
          <m:axisValue occRef="母公司"/>
        </m:item>
        <m:item xlName="_GBC_ddbd33f78d5d4171bcbea4359e03731d" concept="clcid-pte:LiuDongZiChanHeJi" label="流动资产合计" mulRef="_GBC_12bdcba29eb54af2b8443a5d65e13487" unitRef="_GBC_5ae5b2f3e4c64e05b223351f52f762b8" addr="T1R17C3S1_1" formatStyle="Comma" appId="_GBC_5ea888705f7c4c0f98e8769d2197c0de">
          <m:complexRule comparator="Eq" title="母公司流动资产合计(调整数)" test=" $_GBC_69418568306644a8bf38c971faa01e64 +  $_GBC_84645aa89696404b920c04f1fa57508a +  $_GBC_3cc2a049afb34dc59f66b33ba007b824 +  $_GBC_bdb9d54f8e984910ac271c3e865795b8 +  $_GBC_999cdc6a021b4eaf95794dfd8f60b6aa +  $_GBC_9dcf750654ce452495c71208de07ca9c +  $_GBC_d8795d98dd2a46b4b7231d8f5cfee071 +  $_GBC_fd5e1a317d8c498e8150f8a16ca02e83 +  $_GBC_6c12261b1a504de9b9b0def416a1cea5 +  $_GBC_a1ac757265164c17acd316412db8dee8 +  $_GBC_f23df41fc1a648ab90bc38a961f31cd6 +  $_GBC_154c211360f4485e88582514d39a74a8 +  $_GBC_884c56b06a2f46ed80291956fa6cc26f" id="C53a2809cca2547bea613480cfc1c5e9c"/>
          <m:axisValue occRef="调整数"/>
          <m:axisValue occRef="母公司"/>
        </m:item>
        <m:placeholder xlName="_PLD_32045b1e965f45488a253d2d0cb1dd0d" addr="T1R18C0S1_4"/>
        <m:placeholder xlName="_PLD_bbd781a1b9664fec8afde1775d5cd963" addr="T1R19C0S1_1"/>
        <m:item xlName="_GBC_815c0b5b2b794626ab7c4092ebbaa6d8" concept="clcid-pte:ZhaiQuanTouZi" label="债权投资" periodRef="上年期末数" mulRef="_GBC_12bdcba29eb54af2b8443a5d65e13487" unitRef="_GBC_5ae5b2f3e4c64e05b223351f52f762b8" addr="T1R19C1S1_1" formatStyle="Comma" appId="_GBC_5ea888705f7c4c0f98e8769d2197c0de">
          <m:axisValue occRef="母公司"/>
        </m:item>
        <m:item xlName="_GBC_f396aa0d01014dc0b72dcd0954b88f4c" concept="clcid-pte:ZhaiQuanTouZi" label="债权投资" periodRef="本期期初数" mulRef="_GBC_12bdcba29eb54af2b8443a5d65e13487" unitRef="_GBC_5ae5b2f3e4c64e05b223351f52f762b8" addr="T1R19C2S1_1" formatStyle="Comma" appId="_GBC_5ea888705f7c4c0f98e8769d2197c0de">
          <m:axisValue occRef="母公司"/>
        </m:item>
        <m:item xlName="_GBC_200f67a03f2342b99bfab6435e24d081" concept="clcid-pte:ZhaiQuanTouZi" label="债权投资" mulRef="_GBC_12bdcba29eb54af2b8443a5d65e13487" unitRef="_GBC_5ae5b2f3e4c64e05b223351f52f762b8" addr="T1R19C3S1_1" formatStyle="Comma" appId="_GBC_5ea888705f7c4c0f98e8769d2197c0de">
          <m:axisValue occRef="调整数"/>
          <m:axisValue occRef="母公司"/>
        </m:item>
        <m:placeholder xlName="_PLD_a2f6e093da4342b6984f0c97e8feb021" addr="T1R20C0S1_1"/>
        <m:item xlName="_GBC_9c01b03d6ddb47c081941f5598b17994" concept="clcid-pte:QiTaZhaiQuanTouZi" label="其他债权投资" periodRef="上年期末数" mulRef="_GBC_12bdcba29eb54af2b8443a5d65e13487" unitRef="_GBC_5ae5b2f3e4c64e05b223351f52f762b8" addr="T1R20C1S1_1" formatStyle="Comma" appId="_GBC_5ea888705f7c4c0f98e8769d2197c0de">
          <m:axisValue occRef="母公司"/>
        </m:item>
        <m:item xlName="_GBC_4676e00d051e48d0bf0360fc196d6267" concept="clcid-pte:QiTaZhaiQuanTouZi" label="其他债权投资" periodRef="本期期初数" mulRef="_GBC_12bdcba29eb54af2b8443a5d65e13487" unitRef="_GBC_5ae5b2f3e4c64e05b223351f52f762b8" addr="T1R20C2S1_1" formatStyle="Comma" appId="_GBC_5ea888705f7c4c0f98e8769d2197c0de">
          <m:axisValue occRef="母公司"/>
        </m:item>
        <m:item xlName="_GBC_db0562b7b6f94bc8bb20c40f0cc61b79" concept="clcid-pte:QiTaZhaiQuanTouZi" label="其他债权投资" mulRef="_GBC_12bdcba29eb54af2b8443a5d65e13487" unitRef="_GBC_5ae5b2f3e4c64e05b223351f52f762b8" addr="T1R20C3S1_1" formatStyle="Comma" appId="_GBC_5ea888705f7c4c0f98e8769d2197c0de">
          <m:axisValue occRef="调整数"/>
          <m:axisValue occRef="母公司"/>
        </m:item>
        <m:placeholder xlName="_PLD_b5e78a65ad3e4a80bf6991e93db7bf56" addr="T1R21C0S1_1"/>
        <m:item xlName="_GBC_cd8ecd7bbb9c407cb2c04dba9e7c8fc5" concept="clcid-pte:ChangQiYingShouKuan" label="长期应收款" periodRef="上年期末数" mulRef="_GBC_12bdcba29eb54af2b8443a5d65e13487" unitRef="_GBC_5ae5b2f3e4c64e05b223351f52f762b8" addr="T1R21C1S1_1" formatStyle="Comma" appId="_GBC_5ea888705f7c4c0f98e8769d2197c0de">
          <m:axisValue occRef="母公司"/>
        </m:item>
        <m:item xlName="_GBC_fa4bebe41959400289c4a86b1c79021f" concept="clcid-pte:ChangQiYingShouKuan" label="长期应收款" periodRef="本期期初数" mulRef="_GBC_12bdcba29eb54af2b8443a5d65e13487" unitRef="_GBC_5ae5b2f3e4c64e05b223351f52f762b8" addr="T1R21C2S1_1" formatStyle="Comma" appId="_GBC_5ea888705f7c4c0f98e8769d2197c0de">
          <m:axisValue occRef="母公司"/>
        </m:item>
        <m:item xlName="_GBC_eb3e604b3a434ad8951af380b55717bf" concept="clcid-pte:ChangQiYingShouKuan" label="长期应收款" mulRef="_GBC_12bdcba29eb54af2b8443a5d65e13487" unitRef="_GBC_5ae5b2f3e4c64e05b223351f52f762b8" addr="T1R21C3S1_1" formatStyle="Comma" appId="_GBC_5ea888705f7c4c0f98e8769d2197c0de">
          <m:axisValue occRef="调整数"/>
          <m:axisValue occRef="母公司"/>
        </m:item>
        <m:placeholder xlName="_PLD_977fb30cb6c9428e94fad6ae22cf3201" addr="T1R22C0S1_1"/>
        <m:item xlName="_GBC_69bf262396284a8d8ad62beef3ba3f2d" concept="clcid-pte:ChangQiGuQuanTouZi" label="长期股权投资" periodRef="上年期末数" mulRef="_GBC_12bdcba29eb54af2b8443a5d65e13487" unitRef="_GBC_5ae5b2f3e4c64e05b223351f52f762b8" addr="T1R22C1S1_1" formatStyle="Comma" appId="_GBC_5ea888705f7c4c0f98e8769d2197c0de">
          <m:axisValue occRef="母公司"/>
        </m:item>
        <m:item xlName="_GBC_d314344f83d04a15851b1f5cad8ae4f5" concept="clcid-pte:ChangQiGuQuanTouZi" label="长期股权投资" periodRef="本期期初数" mulRef="_GBC_12bdcba29eb54af2b8443a5d65e13487" unitRef="_GBC_5ae5b2f3e4c64e05b223351f52f762b8" addr="T1R22C2S1_1" formatStyle="Comma" appId="_GBC_5ea888705f7c4c0f98e8769d2197c0de">
          <m:axisValue occRef="母公司"/>
        </m:item>
        <m:item xlName="_GBC_a89421e2c48c42329098bdc600466553" concept="clcid-pte:ChangQiGuQuanTouZi" label="长期股权投资" mulRef="_GBC_12bdcba29eb54af2b8443a5d65e13487" unitRef="_GBC_5ae5b2f3e4c64e05b223351f52f762b8" addr="T1R22C3S1_1" formatStyle="Comma" appId="_GBC_5ea888705f7c4c0f98e8769d2197c0de">
          <m:axisValue occRef="调整数"/>
          <m:axisValue occRef="母公司"/>
        </m:item>
        <m:placeholder xlName="_PLD_8fa4799edfb2488aa60a2aa44ca44c75" addr="T1R23C0S1_1"/>
        <m:item xlName="_GBC_2287f720be1946aa9bca4cc9e1ffa565" concept="clcid-pte:QiTaQuanYiGongJuTouZi" label="其他权益工具投资" periodRef="上年期末数" mulRef="_GBC_12bdcba29eb54af2b8443a5d65e13487" unitRef="_GBC_5ae5b2f3e4c64e05b223351f52f762b8" addr="T1R23C1S1_1" formatStyle="Comma" appId="_GBC_5ea888705f7c4c0f98e8769d2197c0de">
          <m:axisValue occRef="母公司"/>
        </m:item>
        <m:item xlName="_GBC_6b7650ad9e444a77b71174c1c7aabe57" concept="clcid-pte:QiTaQuanYiGongJuTouZi" label="其他权益工具投资" periodRef="本期期初数" mulRef="_GBC_12bdcba29eb54af2b8443a5d65e13487" unitRef="_GBC_5ae5b2f3e4c64e05b223351f52f762b8" addr="T1R23C2S1_1" formatStyle="Comma" appId="_GBC_5ea888705f7c4c0f98e8769d2197c0de">
          <m:axisValue occRef="母公司"/>
        </m:item>
        <m:item xlName="_GBC_c79eae8b36394b82985ffb682bec7bca" concept="clcid-pte:QiTaQuanYiGongJuTouZi" label="其他权益工具投资" mulRef="_GBC_12bdcba29eb54af2b8443a5d65e13487" unitRef="_GBC_5ae5b2f3e4c64e05b223351f52f762b8" addr="T1R23C3S1_1" formatStyle="Comma" appId="_GBC_5ea888705f7c4c0f98e8769d2197c0de">
          <m:axisValue occRef="调整数"/>
          <m:axisValue occRef="母公司"/>
        </m:item>
        <m:placeholder xlName="_PLD_e61844f1a7304fd6b2a6710353978835" addr="T1R24C0S1_1"/>
        <m:item xlName="_GBC_a472a967591c4355af9c4f1657074832" concept="clcid-pte:QiTaFeiLiuDongJinRongZiChan" label="其他非流动金融资产" periodRef="上年期末数" mulRef="_GBC_12bdcba29eb54af2b8443a5d65e13487" unitRef="_GBC_5ae5b2f3e4c64e05b223351f52f762b8" addr="T1R24C1S1_1" formatStyle="Comma" appId="_GBC_5ea888705f7c4c0f98e8769d2197c0de">
          <m:axisValue occRef="母公司"/>
        </m:item>
        <m:item xlName="_GBC_45dd13a89ae54db38210c4783a9a6fad" concept="clcid-pte:QiTaFeiLiuDongJinRongZiChan" label="其他非流动金融资产" periodRef="本期期初数" mulRef="_GBC_12bdcba29eb54af2b8443a5d65e13487" unitRef="_GBC_5ae5b2f3e4c64e05b223351f52f762b8" addr="T1R24C2S1_1" formatStyle="Comma" appId="_GBC_5ea888705f7c4c0f98e8769d2197c0de">
          <m:axisValue occRef="母公司"/>
        </m:item>
        <m:item xlName="_GBC_b2ec0125020c4cfab0ac84bebd87e48b" concept="clcid-pte:QiTaFeiLiuDongJinRongZiChan" label="其他非流动金融资产" mulRef="_GBC_12bdcba29eb54af2b8443a5d65e13487" unitRef="_GBC_5ae5b2f3e4c64e05b223351f52f762b8" addr="T1R24C3S1_1" formatStyle="Comma" appId="_GBC_5ea888705f7c4c0f98e8769d2197c0de">
          <m:axisValue occRef="调整数"/>
          <m:axisValue occRef="母公司"/>
        </m:item>
        <m:placeholder xlName="_PLD_923eb7718b5b46499e26c674a192c4ff" addr="T1R25C0S1_1"/>
        <m:item xlName="_GBC_2d4e96da89134025ace2e9e7583541c1" concept="clcid-pte:TouZiXingFangDiChan" label="投资性房地产" periodRef="上年期末数" mulRef="_GBC_12bdcba29eb54af2b8443a5d65e13487" unitRef="_GBC_5ae5b2f3e4c64e05b223351f52f762b8" addr="T1R25C1S1_1" formatStyle="Comma" appId="_GBC_5ea888705f7c4c0f98e8769d2197c0de">
          <m:axisValue occRef="母公司"/>
        </m:item>
        <m:item xlName="_GBC_b0f27bf57aa04f64aee905e83661831d" concept="clcid-pte:TouZiXingFangDiChan" label="投资性房地产" periodRef="本期期初数" mulRef="_GBC_12bdcba29eb54af2b8443a5d65e13487" unitRef="_GBC_5ae5b2f3e4c64e05b223351f52f762b8" addr="T1R25C2S1_1" formatStyle="Comma" appId="_GBC_5ea888705f7c4c0f98e8769d2197c0de">
          <m:axisValue occRef="母公司"/>
        </m:item>
        <m:item xlName="_GBC_8ea24d7ce863460c9eafca8675a17b9f" concept="clcid-pte:TouZiXingFangDiChan" label="投资性房地产" mulRef="_GBC_12bdcba29eb54af2b8443a5d65e13487" unitRef="_GBC_5ae5b2f3e4c64e05b223351f52f762b8" addr="T1R25C3S1_1" formatStyle="Comma" appId="_GBC_5ea888705f7c4c0f98e8769d2197c0de">
          <m:axisValue occRef="调整数"/>
          <m:axisValue occRef="母公司"/>
        </m:item>
        <m:placeholder xlName="_PLD_f782e0f6f8eb4d55b6200e2b80225924" addr="T1R26C0S1_1"/>
        <m:item xlName="_GBC_8ce4aea4f77248239e42fc603cefdd04" concept="clcid-pte:GuDingZiChanJingE" label="固定资产净额" periodRef="上年期末数" mulRef="_GBC_12bdcba29eb54af2b8443a5d65e13487" unitRef="_GBC_5ae5b2f3e4c64e05b223351f52f762b8" addr="T1R26C1S1_1" formatStyle="Comma" appId="_GBC_5ea888705f7c4c0f98e8769d2197c0de">
          <m:axisValue occRef="母公司"/>
        </m:item>
        <m:item xlName="_GBC_3ecc474ccdb44512ba5102a3bb466080" concept="clcid-pte:GuDingZiChanJingE" label="固定资产净额" periodRef="本期期初数" mulRef="_GBC_12bdcba29eb54af2b8443a5d65e13487" unitRef="_GBC_5ae5b2f3e4c64e05b223351f52f762b8" addr="T1R26C2S1_1" formatStyle="Comma" appId="_GBC_5ea888705f7c4c0f98e8769d2197c0de">
          <m:axisValue occRef="母公司"/>
        </m:item>
        <m:item xlName="_GBC_70c736369e884aefaa51ab906427fb97" concept="clcid-pte:GuDingZiChanJingE" label="固定资产净额" mulRef="_GBC_12bdcba29eb54af2b8443a5d65e13487" unitRef="_GBC_5ae5b2f3e4c64e05b223351f52f762b8" addr="T1R26C3S1_1" formatStyle="Comma" appId="_GBC_5ea888705f7c4c0f98e8769d2197c0de">
          <m:axisValue occRef="调整数"/>
          <m:axisValue occRef="母公司"/>
        </m:item>
        <m:placeholder xlName="_PLD_9888fe85522948d98e1ac835c1f1dd6c" addr="T1R27C0S1_1"/>
        <m:item xlName="_GBC_a845ab59716e432db383f18ab5bb6238" concept="clcid-pte:ZaiJianGongCheng" label="在建工程" periodRef="上年期末数" mulRef="_GBC_12bdcba29eb54af2b8443a5d65e13487" unitRef="_GBC_5ae5b2f3e4c64e05b223351f52f762b8" addr="T1R27C1S1_1" formatStyle="Comma" appId="_GBC_5ea888705f7c4c0f98e8769d2197c0de">
          <m:axisValue occRef="母公司"/>
        </m:item>
        <m:item xlName="_GBC_a3c05253fc824c62b77f9a7d53cb2bbb" concept="clcid-pte:ZaiJianGongCheng" label="在建工程" periodRef="本期期初数" mulRef="_GBC_12bdcba29eb54af2b8443a5d65e13487" unitRef="_GBC_5ae5b2f3e4c64e05b223351f52f762b8" addr="T1R27C2S1_1" formatStyle="Comma" appId="_GBC_5ea888705f7c4c0f98e8769d2197c0de">
          <m:axisValue occRef="母公司"/>
        </m:item>
        <m:item xlName="_GBC_446f7bd881ae4c60a9dc257da4090e60" concept="clcid-pte:ZaiJianGongCheng" label="在建工程" mulRef="_GBC_12bdcba29eb54af2b8443a5d65e13487" unitRef="_GBC_5ae5b2f3e4c64e05b223351f52f762b8" addr="T1R27C3S1_1" formatStyle="Comma" appId="_GBC_5ea888705f7c4c0f98e8769d2197c0de">
          <m:axisValue occRef="调整数"/>
          <m:axisValue occRef="母公司"/>
        </m:item>
        <m:placeholder xlName="_PLD_94a792f6bcab460c9b29439620066ee2" addr="T1R28C0S1_1"/>
        <m:item xlName="_GBC_e14dcd20ec3e400a8a961c077f6e8fed" concept="clcid-pte:ShengChanXingShengWuZiChan" label="生产性生物资产" periodRef="上年期末数" mulRef="_GBC_12bdcba29eb54af2b8443a5d65e13487" unitRef="_GBC_5ae5b2f3e4c64e05b223351f52f762b8" addr="T1R28C1S1_1" formatStyle="Comma" appId="_GBC_5ea888705f7c4c0f98e8769d2197c0de">
          <m:axisValue occRef="母公司"/>
        </m:item>
        <m:item xlName="_GBC_92d4a2a12b8a4535ae618bb0ff60c2a9" concept="clcid-pte:ShengChanXingShengWuZiChan" label="生产性生物资产" periodRef="本期期初数" mulRef="_GBC_12bdcba29eb54af2b8443a5d65e13487" unitRef="_GBC_5ae5b2f3e4c64e05b223351f52f762b8" addr="T1R28C2S1_1" formatStyle="Comma" appId="_GBC_5ea888705f7c4c0f98e8769d2197c0de">
          <m:axisValue occRef="母公司"/>
        </m:item>
        <m:item xlName="_GBC_cdb2f70cec6445bfb000bcaf4bd245be" concept="clcid-pte:ShengChanXingShengWuZiChan" label="生产性生物资产" mulRef="_GBC_12bdcba29eb54af2b8443a5d65e13487" unitRef="_GBC_5ae5b2f3e4c64e05b223351f52f762b8" addr="T1R28C3S1_1" formatStyle="Comma" appId="_GBC_5ea888705f7c4c0f98e8769d2197c0de">
          <m:axisValue occRef="调整数"/>
          <m:axisValue occRef="母公司"/>
        </m:item>
        <m:placeholder xlName="_PLD_ac72a00d096e4d379112e9698d90becc" addr="T1R29C0S1_1"/>
        <m:item xlName="_GBC_5758dbbc83714aa789e943c7fc45eace" concept="clcid-pte:YouQiZiChan" label="油气资产" periodRef="上年期末数" mulRef="_GBC_12bdcba29eb54af2b8443a5d65e13487" unitRef="_GBC_5ae5b2f3e4c64e05b223351f52f762b8" addr="T1R29C1S1_1" formatStyle="Comma" appId="_GBC_5ea888705f7c4c0f98e8769d2197c0de">
          <m:axisValue occRef="母公司"/>
        </m:item>
        <m:item xlName="_GBC_af9ba839163a4cb1932f040a7fd0ec28" concept="clcid-pte:YouQiZiChan" label="油气资产" periodRef="本期期初数" mulRef="_GBC_12bdcba29eb54af2b8443a5d65e13487" unitRef="_GBC_5ae5b2f3e4c64e05b223351f52f762b8" addr="T1R29C2S1_1" formatStyle="Comma" appId="_GBC_5ea888705f7c4c0f98e8769d2197c0de">
          <m:axisValue occRef="母公司"/>
        </m:item>
        <m:item xlName="_GBC_8fedfa0ddf4d4a0a94e9546f3c0d43b8" concept="clcid-pte:YouQiZiChan" label="油气资产" mulRef="_GBC_12bdcba29eb54af2b8443a5d65e13487" unitRef="_GBC_5ae5b2f3e4c64e05b223351f52f762b8" addr="T1R29C3S1_1" formatStyle="Comma" appId="_GBC_5ea888705f7c4c0f98e8769d2197c0de">
          <m:axisValue occRef="调整数"/>
          <m:axisValue occRef="母公司"/>
        </m:item>
        <m:placeholder xlName="_PLD_952b828b5bb84ee7a90fc8e5ec358171" addr="T1R30C0S1_1"/>
        <m:item xlName="_GBC_86cf8c5e2f2a468e8cdfead5f47f3497" concept="clcid-pte:ShiYongQuanZiChan" label="使用权资产" periodRef="上年期末数" mulRef="_GBC_12bdcba29eb54af2b8443a5d65e13487" unitRef="_GBC_5ae5b2f3e4c64e05b223351f52f762b8" addr="T1R30C1S1_1" formatStyle="Comma" appId="_GBC_5ea888705f7c4c0f98e8769d2197c0de">
          <m:axisValue occRef="母公司"/>
        </m:item>
        <m:item xlName="_GBC_fbcb636696714300b3931241b81e25d8" concept="clcid-pte:ShiYongQuanZiChan" label="使用权资产" periodRef="本期期初数" mulRef="_GBC_12bdcba29eb54af2b8443a5d65e13487" unitRef="_GBC_5ae5b2f3e4c64e05b223351f52f762b8" addr="T1R30C2S1_1" formatStyle="Comma" appId="_GBC_5ea888705f7c4c0f98e8769d2197c0de">
          <m:axisValue occRef="母公司"/>
        </m:item>
        <m:item xlName="_GBC_fd11cc49db474182b796c0ad19a0bd4d" concept="clcid-pte:ShiYongQuanZiChan" label="使用权资产" mulRef="_GBC_12bdcba29eb54af2b8443a5d65e13487" unitRef="_GBC_5ae5b2f3e4c64e05b223351f52f762b8" addr="T1R30C3S1_1" formatStyle="Comma" appId="_GBC_5ea888705f7c4c0f98e8769d2197c0de">
          <m:axisValue occRef="调整数"/>
          <m:axisValue occRef="母公司"/>
        </m:item>
        <m:placeholder xlName="_PLD_d3dfcf3e9c1e4ba1a222b98847f77185" addr="T1R31C0S1_1"/>
        <m:item xlName="_GBC_d2f6bfc8af324fedbfa10fb60991c330" concept="clcid-pte:WuXingZiChan" label="无形资产" periodRef="上年期末数" mulRef="_GBC_12bdcba29eb54af2b8443a5d65e13487" unitRef="_GBC_5ae5b2f3e4c64e05b223351f52f762b8" addr="T1R31C1S1_1" formatStyle="Comma" appId="_GBC_5ea888705f7c4c0f98e8769d2197c0de">
          <m:axisValue occRef="母公司"/>
        </m:item>
        <m:item xlName="_GBC_c898ea04d6824cf2a8beb7961e37711b" concept="clcid-pte:WuXingZiChan" label="无形资产" periodRef="本期期初数" mulRef="_GBC_12bdcba29eb54af2b8443a5d65e13487" unitRef="_GBC_5ae5b2f3e4c64e05b223351f52f762b8" addr="T1R31C2S1_1" formatStyle="Comma" appId="_GBC_5ea888705f7c4c0f98e8769d2197c0de">
          <m:axisValue occRef="母公司"/>
        </m:item>
        <m:item xlName="_GBC_091244164bb64e30a6db1f429dc0098a" concept="clcid-pte:WuXingZiChan" label="无形资产" mulRef="_GBC_12bdcba29eb54af2b8443a5d65e13487" unitRef="_GBC_5ae5b2f3e4c64e05b223351f52f762b8" addr="T1R31C3S1_1" formatStyle="Comma" appId="_GBC_5ea888705f7c4c0f98e8769d2197c0de">
          <m:axisValue occRef="调整数"/>
          <m:axisValue occRef="母公司"/>
        </m:item>
        <m:placeholder xlName="_PLD_d8aaf9fbcb124c8883d1d27dcea819e2" addr="T1R32C0S1_1"/>
        <m:item xlName="_GBC_241ace2b87d44790bb1a7ffb0dc3f3e8" concept="clcid-pte:KaiFaZhiChu" label="开发支出" periodRef="上年期末数" mulRef="_GBC_12bdcba29eb54af2b8443a5d65e13487" unitRef="_GBC_5ae5b2f3e4c64e05b223351f52f762b8" addr="T1R32C1S1_1" formatStyle="Comma" appId="_GBC_5ea888705f7c4c0f98e8769d2197c0de">
          <m:axisValue occRef="母公司"/>
        </m:item>
        <m:item xlName="_GBC_0cf4babe72294fad82dfef7012f44e26" concept="clcid-pte:KaiFaZhiChu" label="开发支出" periodRef="本期期初数" mulRef="_GBC_12bdcba29eb54af2b8443a5d65e13487" unitRef="_GBC_5ae5b2f3e4c64e05b223351f52f762b8" addr="T1R32C2S1_1" formatStyle="Comma" appId="_GBC_5ea888705f7c4c0f98e8769d2197c0de">
          <m:axisValue occRef="母公司"/>
        </m:item>
        <m:item xlName="_GBC_bef3c36c5f0341fdb5ff7007a2557659" concept="clcid-pte:KaiFaZhiChu" label="开发支出" mulRef="_GBC_12bdcba29eb54af2b8443a5d65e13487" unitRef="_GBC_5ae5b2f3e4c64e05b223351f52f762b8" addr="T1R32C3S1_1" formatStyle="Comma" appId="_GBC_5ea888705f7c4c0f98e8769d2197c0de">
          <m:axisValue occRef="调整数"/>
          <m:axisValue occRef="母公司"/>
        </m:item>
        <m:placeholder xlName="_PLD_72f3e515cd2543c59ab69795181cf131" addr="T1R33C0S1_1"/>
        <m:item xlName="_GBC_3596e9cf5117418ca83b62457ebbaf58" concept="clcid-pte:ShangYu" label="商誉" periodRef="上年期末数" mulRef="_GBC_12bdcba29eb54af2b8443a5d65e13487" unitRef="_GBC_5ae5b2f3e4c64e05b223351f52f762b8" addr="T1R33C1S1_1" formatStyle="Comma" appId="_GBC_5ea888705f7c4c0f98e8769d2197c0de">
          <m:axisValue occRef="母公司"/>
        </m:item>
        <m:item xlName="_GBC_f72093b864c442969b1e25c26d01711a" concept="clcid-pte:ShangYu" label="商誉" periodRef="本期期初数" mulRef="_GBC_12bdcba29eb54af2b8443a5d65e13487" unitRef="_GBC_5ae5b2f3e4c64e05b223351f52f762b8" addr="T1R33C2S1_1" formatStyle="Comma" appId="_GBC_5ea888705f7c4c0f98e8769d2197c0de">
          <m:axisValue occRef="母公司"/>
        </m:item>
        <m:item xlName="_GBC_b173e4c04cff4c6791c7bd7965ef589a" concept="clcid-pte:ShangYu" label="商誉" mulRef="_GBC_12bdcba29eb54af2b8443a5d65e13487" unitRef="_GBC_5ae5b2f3e4c64e05b223351f52f762b8" addr="T1R33C3S1_1" formatStyle="Comma" appId="_GBC_5ea888705f7c4c0f98e8769d2197c0de">
          <m:axisValue occRef="调整数"/>
          <m:axisValue occRef="母公司"/>
        </m:item>
        <m:placeholder xlName="_PLD_8c2976ac40f54cd396b19fa300ed8008" addr="T1R34C0S1_1"/>
        <m:item xlName="_GBC_a74ffe7523c749c1a0bdad0cfadafa84" concept="clcid-pte:ChangQiDaiTanFeiYong" label="长期待摊费用" periodRef="上年期末数" mulRef="_GBC_12bdcba29eb54af2b8443a5d65e13487" unitRef="_GBC_5ae5b2f3e4c64e05b223351f52f762b8" addr="T1R34C1S1_1" formatStyle="Comma" appId="_GBC_5ea888705f7c4c0f98e8769d2197c0de">
          <m:axisValue occRef="母公司"/>
        </m:item>
        <m:item xlName="_GBC_ee97d2d04c6f4d95b4c4363b301c1469" concept="clcid-pte:ChangQiDaiTanFeiYong" label="长期待摊费用" periodRef="本期期初数" mulRef="_GBC_12bdcba29eb54af2b8443a5d65e13487" unitRef="_GBC_5ae5b2f3e4c64e05b223351f52f762b8" addr="T1R34C2S1_1" formatStyle="Comma" appId="_GBC_5ea888705f7c4c0f98e8769d2197c0de">
          <m:axisValue occRef="母公司"/>
        </m:item>
        <m:item xlName="_GBC_16910ca6eff34c74a969825b5dd331a0" concept="clcid-pte:ChangQiDaiTanFeiYong" label="长期待摊费用" mulRef="_GBC_12bdcba29eb54af2b8443a5d65e13487" unitRef="_GBC_5ae5b2f3e4c64e05b223351f52f762b8" addr="T1R34C3S1_1" formatStyle="Comma" appId="_GBC_5ea888705f7c4c0f98e8769d2197c0de">
          <m:axisValue occRef="调整数"/>
          <m:axisValue occRef="母公司"/>
        </m:item>
        <m:placeholder xlName="_PLD_53d257ee3505443db4987c29f2554910" addr="T1R35C0S1_1"/>
        <m:item xlName="_GBC_4f89ec6dba14421caf9d52f4e6b55a8d" concept="clcid-pte:DiYanShuiKuanJieXiangHeJi" label="递延税款借项合计" periodRef="上年期末数" mulRef="_GBC_12bdcba29eb54af2b8443a5d65e13487" unitRef="_GBC_5ae5b2f3e4c64e05b223351f52f762b8" addr="T1R35C1S1_1" formatStyle="Comma" appId="_GBC_5ea888705f7c4c0f98e8769d2197c0de">
          <m:axisValue occRef="母公司"/>
        </m:item>
        <m:item xlName="_GBC_aea2ab3fb17049faa009dbb98f4ca6ef" concept="clcid-pte:DiYanShuiKuanJieXiangHeJi" label="递延税款借项合计" periodRef="本期期初数" mulRef="_GBC_12bdcba29eb54af2b8443a5d65e13487" unitRef="_GBC_5ae5b2f3e4c64e05b223351f52f762b8" addr="T1R35C2S1_1" formatStyle="Comma" appId="_GBC_5ea888705f7c4c0f98e8769d2197c0de">
          <m:axisValue occRef="母公司"/>
        </m:item>
        <m:item xlName="_GBC_e7c910a69f7f4f948367ce5a90e35922" concept="clcid-pte:DiYanShuiKuanJieXiangHeJi" label="递延税款借项合计" mulRef="_GBC_12bdcba29eb54af2b8443a5d65e13487" unitRef="_GBC_5ae5b2f3e4c64e05b223351f52f762b8" addr="T1R35C3S1_1" formatStyle="Comma" appId="_GBC_5ea888705f7c4c0f98e8769d2197c0de">
          <m:axisValue occRef="调整数"/>
          <m:axisValue occRef="母公司"/>
        </m:item>
        <m:placeholder xlName="_PLD_919069c92934428fbcfd69549ecd9bfe" addr="T1R36C0S1_1"/>
        <m:item xlName="_GBC_e2b44e3cbc634c368a98665b3266f154" concept="clcid-pte:QiTaChangQiZiChan" label="其他长期资产" periodRef="上年期末数" mulRef="_GBC_12bdcba29eb54af2b8443a5d65e13487" unitRef="_GBC_5ae5b2f3e4c64e05b223351f52f762b8" addr="T1R36C1S1_1" formatStyle="Comma" appId="_GBC_5ea888705f7c4c0f98e8769d2197c0de">
          <m:axisValue occRef="母公司"/>
        </m:item>
        <m:item xlName="_GBC_0f0bb1adbbf84aaabad596273ac26344" concept="clcid-pte:QiTaChangQiZiChan" label="其他长期资产" periodRef="本期期初数" mulRef="_GBC_12bdcba29eb54af2b8443a5d65e13487" unitRef="_GBC_5ae5b2f3e4c64e05b223351f52f762b8" addr="T1R36C2S1_1" formatStyle="Comma" appId="_GBC_5ea888705f7c4c0f98e8769d2197c0de">
          <m:axisValue occRef="母公司"/>
        </m:item>
        <m:item xlName="_GBC_29c05747eccd4d0e8d9f9daf463925a8" concept="clcid-pte:QiTaChangQiZiChan" label="其他长期资产" mulRef="_GBC_12bdcba29eb54af2b8443a5d65e13487" unitRef="_GBC_5ae5b2f3e4c64e05b223351f52f762b8" addr="T1R36C3S1_1" formatStyle="Comma" appId="_GBC_5ea888705f7c4c0f98e8769d2197c0de">
          <m:axisValue occRef="调整数"/>
          <m:axisValue occRef="母公司"/>
        </m:item>
        <m:placeholder xlName="_PLD_f24ecc71dadc469a9a36c98fcc2789eb" addr="T1R37C0S1_1"/>
        <m:item xlName="_GBC_8e13195de19c41069d3c2b38bf7f1fda" concept="clcid-pte:FeiLiuDongZiChanHeJi" label="非流动资产合计" periodRef="上年期末数" mulRef="_GBC_12bdcba29eb54af2b8443a5d65e13487" unitRef="_GBC_5ae5b2f3e4c64e05b223351f52f762b8" addr="T1R37C1S1_1" formatStyle="Comma" appId="_GBC_5ea888705f7c4c0f98e8769d2197c0de">
          <m:complexRule comparator="Eq" title="母公司非流动资产合计" test=" $_GBC_cd8ecd7bbb9c407cb2c04dba9e7c8fc5 +  $_GBC_69bf262396284a8d8ad62beef3ba3f2d +  $_GBC_2d4e96da89134025ace2e9e7583541c1 +  $_GBC_8ce4aea4f77248239e42fc603cefdd04 +  $_GBC_a845ab59716e432db383f18ab5bb6238 +  $_GBC_e14dcd20ec3e400a8a961c077f6e8fed +  $_GBC_5758dbbc83714aa789e943c7fc45eace +  $_GBC_86cf8c5e2f2a468e8cdfead5f47f3497 +  $_GBC_d2f6bfc8af324fedbfa10fb60991c330 +  $_GBC_241ace2b87d44790bb1a7ffb0dc3f3e8 +  $_GBC_3596e9cf5117418ca83b62457ebbaf58 +  $_GBC_a74ffe7523c749c1a0bdad0cfadafa84 +  $_GBC_4f89ec6dba14421caf9d52f4e6b55a8d +  $_GBC_e2b44e3cbc634c368a98665b3266f154 +  $_GBC_815c0b5b2b794626ab7c4092ebbaa6d8 +  $_GBC_9c01b03d6ddb47c081941f5598b17994 +  $_GBC_2287f720be1946aa9bca4cc9e1ffa565 +  $_GBC_a472a967591c4355af9c4f1657074832" id="C913704989cdd449e800e13177f752bb9"/>
          <m:axisValue occRef="母公司"/>
        </m:item>
        <m:item xlName="_GBC_d6604809fbcd444587384b35d4b41d44" concept="clcid-pte:FeiLiuDongZiChanHeJi" label="非流动资产合计" periodRef="本期期初数" mulRef="_GBC_12bdcba29eb54af2b8443a5d65e13487" unitRef="_GBC_5ae5b2f3e4c64e05b223351f52f762b8" addr="T1R37C2S1_1" formatStyle="Comma" appId="_GBC_5ea888705f7c4c0f98e8769d2197c0de">
          <m:complexRule comparator="Eq" title="母公司非流动资产合计@本期期初数" test=" $_GBC_fa4bebe41959400289c4a86b1c79021f +  $_GBC_d314344f83d04a15851b1f5cad8ae4f5 +  $_GBC_b0f27bf57aa04f64aee905e83661831d +  $_GBC_3ecc474ccdb44512ba5102a3bb466080 +  $_GBC_a3c05253fc824c62b77f9a7d53cb2bbb +  $_GBC_92d4a2a12b8a4535ae618bb0ff60c2a9 +  $_GBC_af9ba839163a4cb1932f040a7fd0ec28 +  $_GBC_fbcb636696714300b3931241b81e25d8 +  $_GBC_c898ea04d6824cf2a8beb7961e37711b +  $_GBC_0cf4babe72294fad82dfef7012f44e26 +  $_GBC_f72093b864c442969b1e25c26d01711a +  $_GBC_ee97d2d04c6f4d95b4c4363b301c1469 +  $_GBC_aea2ab3fb17049faa009dbb98f4ca6ef +  $_GBC_0f0bb1adbbf84aaabad596273ac26344 +  $_GBC_f396aa0d01014dc0b72dcd0954b88f4c +  $_GBC_4676e00d051e48d0bf0360fc196d6267 +  $_GBC_6b7650ad9e444a77b71174c1c7aabe57 +  $_GBC_45dd13a89ae54db38210c4783a9a6fad" id="C6b4e6bdb6e444fceb409f3459a5dc883"/>
          <m:axisValue occRef="母公司"/>
        </m:item>
        <m:item xlName="_GBC_6094449c854047a5ad47e970860161f5" concept="clcid-pte:FeiLiuDongZiChanHeJi" label="非流动资产合计" mulRef="_GBC_12bdcba29eb54af2b8443a5d65e13487" unitRef="_GBC_5ae5b2f3e4c64e05b223351f52f762b8" addr="T1R37C3S1_1" formatStyle="Comma" appId="_GBC_5ea888705f7c4c0f98e8769d2197c0de">
          <m:complexRule comparator="Eq" title="母公司非流动资产合计(调整数)" test=" $_GBC_200f67a03f2342b99bfab6435e24d081 +  $_GBC_db0562b7b6f94bc8bb20c40f0cc61b79 +  $_GBC_eb3e604b3a434ad8951af380b55717bf +  $_GBC_a89421e2c48c42329098bdc600466553 +  $_GBC_c79eae8b36394b82985ffb682bec7bca +  $_GBC_b2ec0125020c4cfab0ac84bebd87e48b +  $_GBC_8ea24d7ce863460c9eafca8675a17b9f +  $_GBC_70c736369e884aefaa51ab906427fb97 +  $_GBC_446f7bd881ae4c60a9dc257da4090e60 +  $_GBC_cdb2f70cec6445bfb000bcaf4bd245be +  $_GBC_8fedfa0ddf4d4a0a94e9546f3c0d43b8 +  $_GBC_fd11cc49db474182b796c0ad19a0bd4d +  $_GBC_091244164bb64e30a6db1f429dc0098a +  $_GBC_bef3c36c5f0341fdb5ff7007a2557659 +  $_GBC_b173e4c04cff4c6791c7bd7965ef589a +  $_GBC_16910ca6eff34c74a969825b5dd331a0 +  $_GBC_e7c910a69f7f4f948367ce5a90e35922 +  $_GBC_29c05747eccd4d0e8d9f9daf463925a8" id="C0370a43bc3d844f499bbaa788a919b19"/>
          <m:axisValue occRef="调整数"/>
          <m:axisValue occRef="母公司"/>
        </m:item>
        <m:placeholder xlName="_PLD_51977f8ffa3f40279adeb2efeb9bc455" addr="T1R38C0S1_1"/>
        <m:item xlName="_GBC_a3d6e2aeac7a46f8aae046939df6e3cb" concept="clcid-pte:ZiChanZongJi" label="资产总计" periodRef="上年期末数" mulRef="_GBC_12bdcba29eb54af2b8443a5d65e13487" unitRef="_GBC_5ae5b2f3e4c64e05b223351f52f762b8" addr="T1R38C1S1_1" formatStyle="Comma" appId="_GBC_5ea888705f7c4c0f98e8769d2197c0de">
          <m:complexRule comparator="Eq" title="母公司资产总计" test=" $_GBC_a44f68c4261248ab944f95ab8dda2c7c +  $_GBC_8e13195de19c41069d3c2b38bf7f1fda" id="C044d9638710341029a75c1243ce337d1"/>
          <m:complexRule comparator="Eq" title="母公司资产总计" test=" $_GBC_6bb244d4058942ef8ae216ab7fec1d0e" id="Ccd1076495450478e9151d8d542a72a86"/>
          <m:axisValue occRef="母公司"/>
        </m:item>
        <m:item xlName="_GBC_15203444041f4be7b8f4f83e78e5e0b0" concept="clcid-pte:ZiChanZongJi" label="资产总计" periodRef="本期期初数" mulRef="_GBC_12bdcba29eb54af2b8443a5d65e13487" unitRef="_GBC_5ae5b2f3e4c64e05b223351f52f762b8" addr="T1R38C2S1_1" formatStyle="Comma" appId="_GBC_5ea888705f7c4c0f98e8769d2197c0de">
          <m:complexRule comparator="Eq" title="母公司资产总计@本期期初数" test=" $_GBC_9aabc75772744bc19cd24a7d4c481b8c +  $_GBC_d6604809fbcd444587384b35d4b41d44" id="C922dea47b8b043f991398a26c91dc027"/>
          <m:complexRule comparator="Eq" title="母公司资产总计@本期期初数" test=" $_GBC_7623a9795af54305a03d4f79eda01341" id="Cd1ec8a0a1a5b419da7c0495cd8817fc9"/>
          <m:axisValue occRef="母公司"/>
        </m:item>
        <m:item xlName="_GBC_ece840054ffc4c15baa5b64f8cec7db1" concept="clcid-pte:ZiChanZongJi" label="资产总计" mulRef="_GBC_12bdcba29eb54af2b8443a5d65e13487" unitRef="_GBC_5ae5b2f3e4c64e05b223351f52f762b8" addr="T1R38C3S1_1" formatStyle="Comma" appId="_GBC_5ea888705f7c4c0f98e8769d2197c0de">
          <m:complexRule comparator="Eq" title="母公司资产总计(调整数)" test=" $_GBC_ddbd33f78d5d4171bcbea4359e03731d +  $_GBC_6094449c854047a5ad47e970860161f5" id="C48ee318bb7e642b9a9b0a65ae65f5e42"/>
          <m:complexRule comparator="Eq" test=" $_GBC_36e5ba49af9b494d9904ced285d0fac3" id="Cc8cba99a16674e41bba82ce504e7f6fb"/>
          <m:axisValue occRef="调整数"/>
          <m:axisValue occRef="母公司"/>
        </m:item>
        <m:placeholder xlName="_PLD_db8d96c989354c3296a1eda26de6ec79" addr="T1R39C0S1_4"/>
        <m:placeholder xlName="_PLD_3e2e2cae5fe54175954842f21e380792" addr="T1R40C0S1_1"/>
        <m:item xlName="_GBC_77658ae104dc4929b9246c3d94e49a6e" concept="clcid-pte:DuanQiJieKuan" label="短期借款" periodRef="上年期末数" mulRef="_GBC_12bdcba29eb54af2b8443a5d65e13487" unitRef="_GBC_5ae5b2f3e4c64e05b223351f52f762b8" addr="T1R40C1S1_1" formatStyle="Comma" appId="_GBC_5ea888705f7c4c0f98e8769d2197c0de">
          <m:axisValue occRef="母公司"/>
        </m:item>
        <m:item xlName="_GBC_dfd8e5073c5045c98903c14c682e1724" concept="clcid-pte:DuanQiJieKuan" label="短期借款" periodRef="本期期初数" mulRef="_GBC_12bdcba29eb54af2b8443a5d65e13487" unitRef="_GBC_5ae5b2f3e4c64e05b223351f52f762b8" addr="T1R40C2S1_1" formatStyle="Comma" appId="_GBC_5ea888705f7c4c0f98e8769d2197c0de">
          <m:axisValue occRef="母公司"/>
        </m:item>
        <m:item xlName="_GBC_40a89a1144f548d0b4392f2e8dfc4ee6" concept="clcid-pte:DuanQiJieKuan" label="短期借款" mulRef="_GBC_12bdcba29eb54af2b8443a5d65e13487" unitRef="_GBC_5ae5b2f3e4c64e05b223351f52f762b8" addr="T1R40C3S1_1" formatStyle="Comma" appId="_GBC_5ea888705f7c4c0f98e8769d2197c0de">
          <m:axisValue occRef="调整数"/>
          <m:axisValue occRef="母公司"/>
        </m:item>
        <m:placeholder xlName="_PLD_cc94fe40b83d49bf83fb122751e1d1bb" addr="T1R41C0S1_1"/>
        <m:item xlName="_GBC_5ad718bd52ed429fbc25b26aa0425289" concept="clcid-pte:JiaoYiXingJinRongFuZhai" label="交易性金融负债" periodRef="上年期末数" mulRef="_GBC_12bdcba29eb54af2b8443a5d65e13487" unitRef="_GBC_5ae5b2f3e4c64e05b223351f52f762b8" addr="T1R41C1S1_1" formatStyle="Comma" appId="_GBC_5ea888705f7c4c0f98e8769d2197c0de">
          <m:axisValue occRef="母公司"/>
        </m:item>
        <m:item xlName="_GBC_cb96993a8e0e4db692a331fdb6385aa5" concept="clcid-pte:JiaoYiXingJinRongFuZhai" label="交易性金融负债" periodRef="本期期初数" mulRef="_GBC_12bdcba29eb54af2b8443a5d65e13487" unitRef="_GBC_5ae5b2f3e4c64e05b223351f52f762b8" addr="T1R41C2S1_1" formatStyle="Comma" appId="_GBC_5ea888705f7c4c0f98e8769d2197c0de">
          <m:axisValue occRef="母公司"/>
        </m:item>
        <m:item xlName="_GBC_d8fcb9b97b334449b32d0f089d377ac7" concept="clcid-pte:JiaoYiXingJinRongFuZhai" label="交易性金融负债" mulRef="_GBC_12bdcba29eb54af2b8443a5d65e13487" unitRef="_GBC_5ae5b2f3e4c64e05b223351f52f762b8" addr="T1R41C3S1_1" formatStyle="Comma" appId="_GBC_5ea888705f7c4c0f98e8769d2197c0de">
          <m:axisValue occRef="调整数"/>
          <m:axisValue occRef="母公司"/>
        </m:item>
        <m:placeholder xlName="_PLD_c66d4d28400f430283766247212b1db5" addr="T1R42C0S1_1"/>
        <m:item xlName="_GBC_4a7097331c294513b2a2d1cf4ed4e60c" concept="clcid-pte:YanShengJinRongFuZhai" label="衍生金融负债" periodRef="上年期末数" mulRef="_GBC_12bdcba29eb54af2b8443a5d65e13487" unitRef="_GBC_5ae5b2f3e4c64e05b223351f52f762b8" addr="T1R42C1S1_1" formatStyle="Comma" appId="_GBC_5ea888705f7c4c0f98e8769d2197c0de">
          <m:axisValue occRef="母公司"/>
        </m:item>
        <m:item xlName="_GBC_5a788aa9dc844f778121f5ab9b012f74" concept="clcid-pte:YanShengJinRongFuZhai" label="衍生金融负债" periodRef="本期期初数" mulRef="_GBC_12bdcba29eb54af2b8443a5d65e13487" unitRef="_GBC_5ae5b2f3e4c64e05b223351f52f762b8" addr="T1R42C2S1_1" formatStyle="Comma" appId="_GBC_5ea888705f7c4c0f98e8769d2197c0de">
          <m:axisValue occRef="母公司"/>
        </m:item>
        <m:item xlName="_GBC_476bb8d2e74f432cb70bbbb75fe02571" concept="clcid-pte:YanShengJinRongFuZhai" label="衍生金融负债" mulRef="_GBC_12bdcba29eb54af2b8443a5d65e13487" unitRef="_GBC_5ae5b2f3e4c64e05b223351f52f762b8" addr="T1R42C3S1_1" formatStyle="Comma" appId="_GBC_5ea888705f7c4c0f98e8769d2197c0de">
          <m:axisValue occRef="调整数"/>
          <m:axisValue occRef="母公司"/>
        </m:item>
        <m:placeholder xlName="_PLD_6f67648c9cf84e82a7a20c798fe25ca4" addr="T1R43C0S1_1"/>
        <m:item xlName="_GBC_64f19fad12fc48dd8d8f8e58f8550645" concept="clcid-pte:YingFuPiaoJu" label="应付票据" periodRef="上年期末数" mulRef="_GBC_12bdcba29eb54af2b8443a5d65e13487" unitRef="_GBC_5ae5b2f3e4c64e05b223351f52f762b8" addr="T1R43C1S1_1" formatStyle="Comma" appId="_GBC_5ea888705f7c4c0f98e8769d2197c0de">
          <m:axisValue occRef="母公司"/>
        </m:item>
        <m:item xlName="_GBC_93a697695de747bdaa160ee777091333" concept="clcid-pte:YingFuPiaoJu" label="应付票据" periodRef="本期期初数" mulRef="_GBC_12bdcba29eb54af2b8443a5d65e13487" unitRef="_GBC_5ae5b2f3e4c64e05b223351f52f762b8" addr="T1R43C2S1_1" formatStyle="Comma" appId="_GBC_5ea888705f7c4c0f98e8769d2197c0de">
          <m:axisValue occRef="母公司"/>
        </m:item>
        <m:item xlName="_GBC_2514c581f5a048469a4fb8c20eaca209" concept="clcid-pte:YingFuPiaoJu" label="应付票据" mulRef="_GBC_12bdcba29eb54af2b8443a5d65e13487" unitRef="_GBC_5ae5b2f3e4c64e05b223351f52f762b8" addr="T1R43C3S1_1" formatStyle="Comma" appId="_GBC_5ea888705f7c4c0f98e8769d2197c0de">
          <m:axisValue occRef="调整数"/>
          <m:axisValue occRef="母公司"/>
        </m:item>
        <m:placeholder xlName="_PLD_120db261af8f49df8aaf60cf2fb46c78" addr="T1R44C0S1_1"/>
        <m:item xlName="_GBC_ccc75fb65f524684be81e57569a908ef" concept="clcid-pte:YingFuZhangKuan" label="应付帐款" periodRef="上年期末数" mulRef="_GBC_12bdcba29eb54af2b8443a5d65e13487" unitRef="_GBC_5ae5b2f3e4c64e05b223351f52f762b8" addr="T1R44C1S1_1" formatStyle="Comma" appId="_GBC_5ea888705f7c4c0f98e8769d2197c0de">
          <m:axisValue occRef="母公司"/>
        </m:item>
        <m:item xlName="_GBC_a93e966a96e14547b0bf9ab0bc9132ea" concept="clcid-pte:YingFuZhangKuan" label="应付帐款" periodRef="本期期初数" mulRef="_GBC_12bdcba29eb54af2b8443a5d65e13487" unitRef="_GBC_5ae5b2f3e4c64e05b223351f52f762b8" addr="T1R44C2S1_1" formatStyle="Comma" appId="_GBC_5ea888705f7c4c0f98e8769d2197c0de">
          <m:axisValue occRef="母公司"/>
        </m:item>
        <m:item xlName="_GBC_8c7ddb5ec86944f89597055da1de1bba" concept="clcid-pte:YingFuZhangKuan" label="应付帐款" mulRef="_GBC_12bdcba29eb54af2b8443a5d65e13487" unitRef="_GBC_5ae5b2f3e4c64e05b223351f52f762b8" addr="T1R44C3S1_1" formatStyle="Comma" appId="_GBC_5ea888705f7c4c0f98e8769d2197c0de">
          <m:axisValue occRef="调整数"/>
          <m:axisValue occRef="母公司"/>
        </m:item>
        <m:placeholder xlName="_PLD_d034864597704b55a5f3f7f998469d5b" addr="T1R45C0S1_1"/>
        <m:item xlName="_GBC_f4c1b18432774dff91567b96dc425f64" concept="clcid-pte:YuShouZhangKuan" label="预收帐款" periodRef="上年期末数" mulRef="_GBC_12bdcba29eb54af2b8443a5d65e13487" unitRef="_GBC_5ae5b2f3e4c64e05b223351f52f762b8" addr="T1R45C1S1_1" formatStyle="Comma" appId="_GBC_5ea888705f7c4c0f98e8769d2197c0de">
          <m:axisValue occRef="母公司"/>
        </m:item>
        <m:item xlName="_GBC_511f0be2aa9d42fe88f8ea05cb405ada" concept="clcid-pte:YuShouZhangKuan" label="预收帐款" periodRef="本期期初数" mulRef="_GBC_12bdcba29eb54af2b8443a5d65e13487" unitRef="_GBC_5ae5b2f3e4c64e05b223351f52f762b8" addr="T1R45C2S1_1" formatStyle="Comma" appId="_GBC_5ea888705f7c4c0f98e8769d2197c0de">
          <m:axisValue occRef="母公司"/>
        </m:item>
        <m:item xlName="_GBC_f85bc95b314d42aaa2281df222edebd0" concept="clcid-pte:YuShouZhangKuan" label="预收帐款" mulRef="_GBC_12bdcba29eb54af2b8443a5d65e13487" unitRef="_GBC_5ae5b2f3e4c64e05b223351f52f762b8" addr="T1R45C3S1_1" formatStyle="Comma" appId="_GBC_5ea888705f7c4c0f98e8769d2197c0de">
          <m:axisValue occRef="调整数"/>
          <m:axisValue occRef="母公司"/>
        </m:item>
        <m:placeholder xlName="_PLD_8561f0d0a0a34a85828d80c58f692fff" addr="T1R46C0S1_1"/>
        <m:item xlName="_GBC_c11211d5aa6a45ec8af495714b39644a" concept="clcid-pte:HeTongFuZhai" label="合同负债" periodRef="上年期末数" mulRef="_GBC_12bdcba29eb54af2b8443a5d65e13487" unitRef="_GBC_5ae5b2f3e4c64e05b223351f52f762b8" addr="T1R46C1S1_1" formatStyle="Comma" appId="_GBC_5ea888705f7c4c0f98e8769d2197c0de">
          <m:axisValue occRef="母公司"/>
        </m:item>
        <m:item xlName="_GBC_43ae9415b8824e1abadda73d5b15c0af" concept="clcid-pte:HeTongFuZhai" label="合同负债" periodRef="本期期初数" mulRef="_GBC_12bdcba29eb54af2b8443a5d65e13487" unitRef="_GBC_5ae5b2f3e4c64e05b223351f52f762b8" addr="T1R46C2S1_1" formatStyle="Comma" appId="_GBC_5ea888705f7c4c0f98e8769d2197c0de">
          <m:axisValue occRef="母公司"/>
        </m:item>
        <m:item xlName="_GBC_e7e660e5fe844f6fb433f3f66608edaa" concept="clcid-pte:HeTongFuZhai" label="合同负债" mulRef="_GBC_12bdcba29eb54af2b8443a5d65e13487" unitRef="_GBC_5ae5b2f3e4c64e05b223351f52f762b8" addr="T1R46C3S1_1" formatStyle="Comma" appId="_GBC_5ea888705f7c4c0f98e8769d2197c0de">
          <m:axisValue occRef="调整数"/>
          <m:axisValue occRef="母公司"/>
        </m:item>
        <m:placeholder xlName="_PLD_fe577d9706c54cc5a0e6f7a4f5604308" addr="T1R47C0S1_1"/>
        <m:item xlName="_GBC_da5c7643f49a4a4195d0f10d2bcc8b74" concept="clcid-pte:YingFuZhiGongXinChou" label="应付职工薪酬" periodRef="上年期末数" mulRef="_GBC_12bdcba29eb54af2b8443a5d65e13487" unitRef="_GBC_5ae5b2f3e4c64e05b223351f52f762b8" addr="T1R47C1S1_1" formatStyle="Comma" appId="_GBC_5ea888705f7c4c0f98e8769d2197c0de">
          <m:axisValue occRef="母公司"/>
        </m:item>
        <m:item xlName="_GBC_a93b5e0376f74b2190cef3af8a156750" concept="clcid-pte:YingFuZhiGongXinChou" label="应付职工薪酬" periodRef="本期期初数" mulRef="_GBC_12bdcba29eb54af2b8443a5d65e13487" unitRef="_GBC_5ae5b2f3e4c64e05b223351f52f762b8" addr="T1R47C2S1_1" formatStyle="Comma" appId="_GBC_5ea888705f7c4c0f98e8769d2197c0de">
          <m:axisValue occRef="母公司"/>
        </m:item>
        <m:item xlName="_GBC_f380bed82f494837a3dfc584778cfdeb" concept="clcid-pte:YingFuZhiGongXinChou" label="应付职工薪酬" mulRef="_GBC_12bdcba29eb54af2b8443a5d65e13487" unitRef="_GBC_5ae5b2f3e4c64e05b223351f52f762b8" addr="T1R47C3S1_1" formatStyle="Comma" appId="_GBC_5ea888705f7c4c0f98e8769d2197c0de">
          <m:axisValue occRef="调整数"/>
          <m:axisValue occRef="母公司"/>
        </m:item>
        <m:placeholder xlName="_PLD_51b9a6704bb24333afd79a9e810f3762" addr="T1R48C0S1_1"/>
        <m:item xlName="_GBC_5cf3014009684c6784661dcffdb80af8" concept="clcid-pte:YingJiaoShuiJin" label="应交税金" periodRef="上年期末数" mulRef="_GBC_12bdcba29eb54af2b8443a5d65e13487" unitRef="_GBC_5ae5b2f3e4c64e05b223351f52f762b8" addr="T1R48C1S1_1" formatStyle="Comma" appId="_GBC_5ea888705f7c4c0f98e8769d2197c0de">
          <m:axisValue occRef="母公司"/>
        </m:item>
        <m:item xlName="_GBC_aed2626d4e6547daad144c3a2032a735" concept="clcid-pte:YingJiaoShuiJin" label="应交税金" periodRef="本期期初数" mulRef="_GBC_12bdcba29eb54af2b8443a5d65e13487" unitRef="_GBC_5ae5b2f3e4c64e05b223351f52f762b8" addr="T1R48C2S1_1" formatStyle="Comma" appId="_GBC_5ea888705f7c4c0f98e8769d2197c0de">
          <m:axisValue occRef="母公司"/>
        </m:item>
        <m:item xlName="_GBC_82e08704aa07443abe42ff6cfeb58bbd" concept="clcid-pte:YingJiaoShuiJin" label="应交税金" mulRef="_GBC_12bdcba29eb54af2b8443a5d65e13487" unitRef="_GBC_5ae5b2f3e4c64e05b223351f52f762b8" addr="T1R48C3S1_1" formatStyle="Comma" appId="_GBC_5ea888705f7c4c0f98e8769d2197c0de">
          <m:axisValue occRef="调整数"/>
          <m:axisValue occRef="母公司"/>
        </m:item>
        <m:placeholder xlName="_PLD_6c899088837047b59f06e1ea234d6e77" addr="T1R49C0S1_1"/>
        <m:item xlName="_GBC_09a274c86274410ab3b0f6369bee9b7b" concept="clcid-pte:QiTaYingFuKuan" label="其他应付款" periodRef="上年期末数" mulRef="_GBC_12bdcba29eb54af2b8443a5d65e13487" unitRef="_GBC_5ae5b2f3e4c64e05b223351f52f762b8" addr="T1R49C1S1_1" formatStyle="Comma" appId="_GBC_5ea888705f7c4c0f98e8769d2197c0de">
          <m:axisValue occRef="母公司"/>
        </m:item>
        <m:item xlName="_GBC_5deffa41350d4d32b1bcc87f28310323" concept="clcid-pte:QiTaYingFuKuan" label="其他应付款" periodRef="本期期初数" mulRef="_GBC_12bdcba29eb54af2b8443a5d65e13487" unitRef="_GBC_5ae5b2f3e4c64e05b223351f52f762b8" addr="T1R49C2S1_1" formatStyle="Comma" appId="_GBC_5ea888705f7c4c0f98e8769d2197c0de">
          <m:axisValue occRef="母公司"/>
        </m:item>
        <m:item xlName="_GBC_291b606f7a33471daafa22fc87a03db3" concept="clcid-pte:QiTaYingFuKuan" label="其他应付款" mulRef="_GBC_12bdcba29eb54af2b8443a5d65e13487" unitRef="_GBC_5ae5b2f3e4c64e05b223351f52f762b8" addr="T1R49C3S1_1" formatStyle="Comma" appId="_GBC_5ea888705f7c4c0f98e8769d2197c0de">
          <m:axisValue occRef="调整数"/>
          <m:axisValue occRef="母公司"/>
        </m:item>
        <m:placeholder xlName="_PLD_32cf39725ac848019b8f693468e6c1df" addr="T1R50C0S1_1"/>
        <m:item xlName="_GBC_d4e3d3c51c6141fab89b0f58c4007247" concept="clcid-pte:YingFuLiXi" label="应付利息" periodRef="上年期末数" mulRef="_GBC_12bdcba29eb54af2b8443a5d65e13487" unitRef="_GBC_5ae5b2f3e4c64e05b223351f52f762b8" addr="T1R50C1S1_1" formatStyle="Comma" appId="_GBC_5ea888705f7c4c0f98e8769d2197c0de">
          <m:axisValue occRef="母公司"/>
        </m:item>
        <m:item xlName="_GBC_30ced8a32a8d45d1b7937c01bd331101" concept="clcid-pte:YingFuLiXi" label="应付利息" periodRef="本期期初数" mulRef="_GBC_12bdcba29eb54af2b8443a5d65e13487" unitRef="_GBC_5ae5b2f3e4c64e05b223351f52f762b8" addr="T1R50C2S1_1" formatStyle="Comma" appId="_GBC_5ea888705f7c4c0f98e8769d2197c0de">
          <m:axisValue occRef="母公司"/>
        </m:item>
        <m:item xlName="_GBC_b6fdacb0139149c38cc6660ec567765c" concept="clcid-pte:YingFuLiXi" label="应付利息" mulRef="_GBC_12bdcba29eb54af2b8443a5d65e13487" unitRef="_GBC_5ae5b2f3e4c64e05b223351f52f762b8" addr="T1R50C3S1_1" formatStyle="Comma" appId="_GBC_5ea888705f7c4c0f98e8769d2197c0de">
          <m:axisValue occRef="调整数"/>
          <m:axisValue occRef="母公司"/>
        </m:item>
        <m:placeholder xlName="_PLD_d6b3a45e82e14416b52097ea23c99d71" addr="T1R51C0S1_1"/>
        <m:item xlName="_GBC_a5d53072d4be40329fc333580a529a84" concept="clcid-pte:YingFuGuLi" label="应付股利" periodRef="上年期末数" mulRef="_GBC_12bdcba29eb54af2b8443a5d65e13487" unitRef="_GBC_5ae5b2f3e4c64e05b223351f52f762b8" addr="T1R51C1S1_1" formatStyle="Comma" appId="_GBC_5ea888705f7c4c0f98e8769d2197c0de">
          <m:axisValue occRef="母公司"/>
        </m:item>
        <m:item xlName="_GBC_001fe6ece54d4c3796e719d986b7e40d" concept="clcid-pte:YingFuGuLi" label="应付股利" periodRef="本期期初数" mulRef="_GBC_12bdcba29eb54af2b8443a5d65e13487" unitRef="_GBC_5ae5b2f3e4c64e05b223351f52f762b8" addr="T1R51C2S1_1" formatStyle="Comma" appId="_GBC_5ea888705f7c4c0f98e8769d2197c0de">
          <m:axisValue occRef="母公司"/>
        </m:item>
        <m:item xlName="_GBC_3c869f66246d4278b3338e08a419efa4" concept="clcid-pte:YingFuGuLi" label="应付股利" mulRef="_GBC_12bdcba29eb54af2b8443a5d65e13487" unitRef="_GBC_5ae5b2f3e4c64e05b223351f52f762b8" addr="T1R51C3S1_1" formatStyle="Comma" appId="_GBC_5ea888705f7c4c0f98e8769d2197c0de">
          <m:axisValue occRef="调整数"/>
          <m:axisValue occRef="母公司"/>
        </m:item>
        <m:placeholder xlName="_PLD_096b25761952479bbcd407760f4ca6e6" addr="T1R52C0S1_1"/>
        <m:item xlName="_GBC_64b7c6f6765c4b09b7f1c7b0451ef2ed" concept="clcid-pte:HuaFenWeiChiYouDaiShouDeFuZhai" label="划分为持有待售的负债" periodRef="上年期末数" mulRef="_GBC_12bdcba29eb54af2b8443a5d65e13487" unitRef="_GBC_5ae5b2f3e4c64e05b223351f52f762b8" addr="T1R52C1S1_1" formatStyle="Comma" appId="_GBC_5ea888705f7c4c0f98e8769d2197c0de">
          <m:axisValue occRef="母公司"/>
        </m:item>
        <m:item xlName="_GBC_c5338ffeb61e49689889f93ff3cc53e0" concept="clcid-pte:HuaFenWeiChiYouDaiShouDeFuZhai" label="划分为持有待售的负债" periodRef="本期期初数" mulRef="_GBC_12bdcba29eb54af2b8443a5d65e13487" unitRef="_GBC_5ae5b2f3e4c64e05b223351f52f762b8" addr="T1R52C2S1_1" formatStyle="Comma" appId="_GBC_5ea888705f7c4c0f98e8769d2197c0de">
          <m:axisValue occRef="母公司"/>
        </m:item>
        <m:item xlName="_GBC_8ff0f7dd43204c25b2fb814cff76fdf3" concept="clcid-pte:HuaFenWeiChiYouDaiShouDeFuZhai" label="划分为持有待售的负债" mulRef="_GBC_12bdcba29eb54af2b8443a5d65e13487" unitRef="_GBC_5ae5b2f3e4c64e05b223351f52f762b8" addr="T1R52C3S1_1" formatStyle="Comma" appId="_GBC_5ea888705f7c4c0f98e8769d2197c0de">
          <m:axisValue occRef="调整数"/>
          <m:axisValue occRef="母公司"/>
        </m:item>
        <m:placeholder xlName="_PLD_57f107b54d7347ddb70cc3541d45fd9a" addr="T1R53C0S1_1"/>
        <m:item xlName="_GBC_25bb5f38e2ed4bceafd9c936f44099d9" concept="clcid-pte:YiNianNeiDaoQiDeChangQiFuZhai" label="一年内到期的长期负债" periodRef="上年期末数" mulRef="_GBC_12bdcba29eb54af2b8443a5d65e13487" unitRef="_GBC_5ae5b2f3e4c64e05b223351f52f762b8" addr="T1R53C1S1_1" formatStyle="Comma" appId="_GBC_5ea888705f7c4c0f98e8769d2197c0de">
          <m:axisValue occRef="母公司"/>
        </m:item>
        <m:item xlName="_GBC_ef5e6f509a74480db4377bbe35796215" concept="clcid-pte:YiNianNeiDaoQiDeChangQiFuZhai" label="一年内到期的长期负债" periodRef="本期期初数" mulRef="_GBC_12bdcba29eb54af2b8443a5d65e13487" unitRef="_GBC_5ae5b2f3e4c64e05b223351f52f762b8" addr="T1R53C2S1_1" formatStyle="Comma" appId="_GBC_5ea888705f7c4c0f98e8769d2197c0de">
          <m:axisValue occRef="母公司"/>
        </m:item>
        <m:item xlName="_GBC_b7b58105f2be40b08038705e1e04455a" concept="clcid-pte:YiNianNeiDaoQiDeChangQiFuZhai" label="一年内到期的长期负债" mulRef="_GBC_12bdcba29eb54af2b8443a5d65e13487" unitRef="_GBC_5ae5b2f3e4c64e05b223351f52f762b8" addr="T1R53C3S1_1" formatStyle="Comma" appId="_GBC_5ea888705f7c4c0f98e8769d2197c0de">
          <m:axisValue occRef="调整数"/>
          <m:axisValue occRef="母公司"/>
        </m:item>
        <m:placeholder xlName="_PLD_cfb10e5f20a24287a1f812e4f551eb22" addr="T1R54C0S1_1"/>
        <m:item xlName="_GBC_09c23227ba8b4fb78fdb320c46efd8ba" concept="clcid-pte:QiTaLiuDongFuZhai" label="其他流动负债" periodRef="上年期末数" mulRef="_GBC_12bdcba29eb54af2b8443a5d65e13487" unitRef="_GBC_5ae5b2f3e4c64e05b223351f52f762b8" addr="T1R54C1S1_1" formatStyle="Comma" appId="_GBC_5ea888705f7c4c0f98e8769d2197c0de">
          <m:axisValue occRef="母公司"/>
        </m:item>
        <m:item xlName="_GBC_0db9ab2a62354471ab2893bbdd7b4ad8" concept="clcid-pte:QiTaLiuDongFuZhai" label="其他流动负债" periodRef="本期期初数" mulRef="_GBC_12bdcba29eb54af2b8443a5d65e13487" unitRef="_GBC_5ae5b2f3e4c64e05b223351f52f762b8" addr="T1R54C2S1_1" formatStyle="Comma" appId="_GBC_5ea888705f7c4c0f98e8769d2197c0de">
          <m:axisValue occRef="母公司"/>
        </m:item>
        <m:item xlName="_GBC_41f29ce897f447709a25b4b8d8a19f5d" concept="clcid-pte:QiTaLiuDongFuZhai" label="其他流动负债" mulRef="_GBC_12bdcba29eb54af2b8443a5d65e13487" unitRef="_GBC_5ae5b2f3e4c64e05b223351f52f762b8" addr="T1R54C3S1_1" formatStyle="Comma" appId="_GBC_5ea888705f7c4c0f98e8769d2197c0de">
          <m:axisValue occRef="调整数"/>
          <m:axisValue occRef="母公司"/>
        </m:item>
        <m:placeholder xlName="_PLD_bf4cf672283f4e4d98b659444f70f237" addr="T1R55C0S1_1"/>
        <m:item xlName="_GBC_2ad611bf09654475936c615cc1aac888" concept="clcid-pte:LiuDongFuZhaiHeJi" label="流动负债合计" periodRef="上年期末数" mulRef="_GBC_12bdcba29eb54af2b8443a5d65e13487" unitRef="_GBC_5ae5b2f3e4c64e05b223351f52f762b8" addr="T1R55C1S1_1" formatStyle="Comma" appId="_GBC_5ea888705f7c4c0f98e8769d2197c0de">
          <m:complexRule comparator="Eq" title="母公司流动负债合计@上年期末数" test=" $_GBC_77658ae104dc4929b9246c3d94e49a6e +  $_GBC_5ad718bd52ed429fbc25b26aa0425289 +  $_GBC_4a7097331c294513b2a2d1cf4ed4e60c +  $_GBC_64f19fad12fc48dd8d8f8e58f8550645 +  $_GBC_ccc75fb65f524684be81e57569a908ef +  $_GBC_f4c1b18432774dff91567b96dc425f64 +  $_GBC_c11211d5aa6a45ec8af495714b39644a +  $_GBC_da5c7643f49a4a4195d0f10d2bcc8b74 +  $_GBC_5cf3014009684c6784661dcffdb80af8 +  $_GBC_09a274c86274410ab3b0f6369bee9b7b +  $_GBC_64b7c6f6765c4b09b7f1c7b0451ef2ed +  $_GBC_25bb5f38e2ed4bceafd9c936f44099d9 +  $_GBC_09c23227ba8b4fb78fdb320c46efd8ba" id="C473f5e34d5ce4c83a8c9af9b1fc70cc1"/>
          <m:axisValue occRef="母公司"/>
        </m:item>
        <m:item xlName="_GBC_0cbcaaf85a65423682691d0736549831" concept="clcid-pte:LiuDongFuZhaiHeJi" label="流动负债合计" periodRef="本期期初数" mulRef="_GBC_12bdcba29eb54af2b8443a5d65e13487" unitRef="_GBC_5ae5b2f3e4c64e05b223351f52f762b8" addr="T1R55C2S1_1" formatStyle="Comma" appId="_GBC_5ea888705f7c4c0f98e8769d2197c0de">
          <m:complexRule comparator="Eq" title="母公司流动负债合计@本期期初数" test=" $_GBC_dfd8e5073c5045c98903c14c682e1724 +  $_GBC_cb96993a8e0e4db692a331fdb6385aa5 +  $_GBC_5a788aa9dc844f778121f5ab9b012f74 +  $_GBC_93a697695de747bdaa160ee777091333 +  $_GBC_a93e966a96e14547b0bf9ab0bc9132ea +  $_GBC_511f0be2aa9d42fe88f8ea05cb405ada +  $_GBC_43ae9415b8824e1abadda73d5b15c0af +  $_GBC_a93b5e0376f74b2190cef3af8a156750 +  $_GBC_aed2626d4e6547daad144c3a2032a735 +  $_GBC_5deffa41350d4d32b1bcc87f28310323 +  $_GBC_c5338ffeb61e49689889f93ff3cc53e0 +  $_GBC_ef5e6f509a74480db4377bbe35796215 +  $_GBC_0db9ab2a62354471ab2893bbdd7b4ad8" id="C0254ed91a7d7421cb7e05aa56f789972"/>
          <m:axisValue occRef="母公司"/>
        </m:item>
        <m:item xlName="_GBC_d06a4168d9bb4f419c35440369b43406" concept="clcid-pte:LiuDongFuZhaiHeJi" label="流动负债合计" mulRef="_GBC_12bdcba29eb54af2b8443a5d65e13487" unitRef="_GBC_5ae5b2f3e4c64e05b223351f52f762b8" addr="T1R55C3S1_1" formatStyle="Comma" appId="_GBC_5ea888705f7c4c0f98e8769d2197c0de">
          <m:complexRule comparator="Eq" title="母公司流动负债合计(调整数)" test=" $_GBC_40a89a1144f548d0b4392f2e8dfc4ee6 +  $_GBC_d8fcb9b97b334449b32d0f089d377ac7 +  $_GBC_476bb8d2e74f432cb70bbbb75fe02571 +  $_GBC_2514c581f5a048469a4fb8c20eaca209 +  $_GBC_8c7ddb5ec86944f89597055da1de1bba +  $_GBC_f85bc95b314d42aaa2281df222edebd0 +  $_GBC_e7e660e5fe844f6fb433f3f66608edaa +  $_GBC_f380bed82f494837a3dfc584778cfdeb +  $_GBC_82e08704aa07443abe42ff6cfeb58bbd +  $_GBC_291b606f7a33471daafa22fc87a03db3 +  $_GBC_8ff0f7dd43204c25b2fb814cff76fdf3 +  $_GBC_b7b58105f2be40b08038705e1e04455a +  $_GBC_41f29ce897f447709a25b4b8d8a19f5d" id="C8bc1a8fcf0b84225b8aa93be6a7f866f"/>
          <m:axisValue occRef="调整数"/>
          <m:axisValue occRef="母公司"/>
        </m:item>
        <m:placeholder xlName="_PLD_52a22ef7fccb4e379a79ea67a62aaba0" addr="T1R56C0S1_4"/>
        <m:placeholder xlName="_PLD_1b50d6aca4f848b0a201012e1a56c5df" addr="T1R57C0S1_1"/>
        <m:item xlName="_GBC_5f99a36b238c4d5bb64d812ce0d2a80e" concept="clcid-pte:ChangQiJieKuan" label="长期借款" periodRef="上年期末数" mulRef="_GBC_12bdcba29eb54af2b8443a5d65e13487" unitRef="_GBC_5ae5b2f3e4c64e05b223351f52f762b8" addr="T1R57C1S1_1" formatStyle="Comma" appId="_GBC_5ea888705f7c4c0f98e8769d2197c0de">
          <m:axisValue occRef="母公司"/>
        </m:item>
        <m:item xlName="_GBC_5edb8deeea964c74b49fc35321ddb1d3" concept="clcid-pte:ChangQiJieKuan" label="长期借款" periodRef="本期期初数" mulRef="_GBC_12bdcba29eb54af2b8443a5d65e13487" unitRef="_GBC_5ae5b2f3e4c64e05b223351f52f762b8" addr="T1R57C2S1_1" formatStyle="Comma" appId="_GBC_5ea888705f7c4c0f98e8769d2197c0de">
          <m:axisValue occRef="母公司"/>
        </m:item>
        <m:item xlName="_GBC_04ec4a9b17c1494c9e95373b9485c93a" concept="clcid-pte:ChangQiJieKuan" label="长期借款" mulRef="_GBC_12bdcba29eb54af2b8443a5d65e13487" unitRef="_GBC_5ae5b2f3e4c64e05b223351f52f762b8" addr="T1R57C3S1_1" formatStyle="Comma" appId="_GBC_5ea888705f7c4c0f98e8769d2197c0de">
          <m:axisValue occRef="调整数"/>
          <m:axisValue occRef="母公司"/>
        </m:item>
        <m:placeholder xlName="_PLD_f743fead7c3f4b6298b2ba6c4fa6f032" addr="T1R58C0S1_1"/>
        <m:item xlName="_GBC_99327d28914a486a94a63ee69eb50695" concept="clcid-pte:YingFuZhaiQuan" label="应付债券" periodRef="上年期末数" mulRef="_GBC_12bdcba29eb54af2b8443a5d65e13487" unitRef="_GBC_5ae5b2f3e4c64e05b223351f52f762b8" addr="T1R58C1S1_1" formatStyle="Comma" appId="_GBC_5ea888705f7c4c0f98e8769d2197c0de">
          <m:axisValue occRef="母公司"/>
        </m:item>
        <m:item xlName="_GBC_0ad12a6033f04624b75062aac9053095" concept="clcid-pte:YingFuZhaiQuan" label="应付债券" periodRef="本期期初数" mulRef="_GBC_12bdcba29eb54af2b8443a5d65e13487" unitRef="_GBC_5ae5b2f3e4c64e05b223351f52f762b8" addr="T1R58C2S1_1" formatStyle="Comma" appId="_GBC_5ea888705f7c4c0f98e8769d2197c0de">
          <m:axisValue occRef="母公司"/>
        </m:item>
        <m:item xlName="_GBC_e0e0d1b6c0f5489492e5c036cba320fc" concept="clcid-pte:YingFuZhaiQuan" label="应付债券" mulRef="_GBC_12bdcba29eb54af2b8443a5d65e13487" unitRef="_GBC_5ae5b2f3e4c64e05b223351f52f762b8" addr="T1R58C3S1_1" formatStyle="Comma" appId="_GBC_5ea888705f7c4c0f98e8769d2197c0de">
          <m:axisValue occRef="调整数"/>
          <m:axisValue occRef="母公司"/>
        </m:item>
        <m:placeholder xlName="_PLD_b26c3fd416f248bd8f93f66fe4e65e3a" addr="T1R59C0S1_1"/>
        <m:item xlName="_GBC_f5817beeec584198bab6f842c9193ad0" concept="clcid-pte:QiZhongYouXianGu" label="其中：优先股" periodRef="上年期末数" mulRef="_GBC_12bdcba29eb54af2b8443a5d65e13487" unitRef="_GBC_5ae5b2f3e4c64e05b223351f52f762b8" addr="T1R59C1S1_1" formatStyle="Comma" appId="_GBC_5ea888705f7c4c0f98e8769d2197c0de">
          <m:axisValue occRef="母公司"/>
        </m:item>
        <m:item xlName="_GBC_732c56c8150a417da5627263e630cf82" concept="clcid-pte:QiZhongYouXianGu" label="其中：优先股" periodRef="本期期初数" mulRef="_GBC_12bdcba29eb54af2b8443a5d65e13487" unitRef="_GBC_5ae5b2f3e4c64e05b223351f52f762b8" addr="T1R59C2S1_1" formatStyle="Comma" appId="_GBC_5ea888705f7c4c0f98e8769d2197c0de">
          <m:axisValue occRef="母公司"/>
        </m:item>
        <m:item xlName="_GBC_cbafd2fba2744c66876060f2d301bf34" concept="clcid-pte:QiZhongYouXianGu" label="其中：优先股" mulRef="_GBC_12bdcba29eb54af2b8443a5d65e13487" unitRef="_GBC_5ae5b2f3e4c64e05b223351f52f762b8" addr="T1R59C3S1_1" formatStyle="Comma" appId="_GBC_5ea888705f7c4c0f98e8769d2197c0de">
          <m:axisValue occRef="调整数"/>
          <m:axisValue occRef="母公司"/>
        </m:item>
        <m:placeholder xlName="_PLD_cfafb0006816456baad4e5eaa44f8e74" addr="T1R60C0S1_1"/>
        <m:item xlName="_GBC_e7c25ed2a158425da8a3b854cc2a36ff" concept="clcid-pte:YongXuZhai" label="永续债" periodRef="上年期末数" mulRef="_GBC_12bdcba29eb54af2b8443a5d65e13487" unitRef="_GBC_5ae5b2f3e4c64e05b223351f52f762b8" addr="T1R60C1S1_1" formatStyle="Comma" appId="_GBC_5ea888705f7c4c0f98e8769d2197c0de">
          <m:axisValue occRef="母公司"/>
        </m:item>
        <m:item xlName="_GBC_22fc6cc53f584ee59638688cb8d115ad" concept="clcid-pte:YongXuZhai" label="永续债" periodRef="本期期初数" mulRef="_GBC_12bdcba29eb54af2b8443a5d65e13487" unitRef="_GBC_5ae5b2f3e4c64e05b223351f52f762b8" addr="T1R60C2S1_1" formatStyle="Comma" appId="_GBC_5ea888705f7c4c0f98e8769d2197c0de">
          <m:axisValue occRef="母公司"/>
        </m:item>
        <m:item xlName="_GBC_347ac3ddfc984f51a638ba8e062727ea" concept="clcid-pte:YongXuZhai" label="永续债" mulRef="_GBC_12bdcba29eb54af2b8443a5d65e13487" unitRef="_GBC_5ae5b2f3e4c64e05b223351f52f762b8" addr="T1R60C3S1_1" formatStyle="Comma" appId="_GBC_5ea888705f7c4c0f98e8769d2197c0de">
          <m:axisValue occRef="调整数"/>
          <m:axisValue occRef="母公司"/>
        </m:item>
        <m:placeholder xlName="_PLD_57fbe27f38d04e5296f624963d65b0bd" addr="T1R61C0S1_1"/>
        <m:item xlName="_GBC_56eda10867014b479edc0aaee4d8131f" concept="clcid-pte:ZuLinFuZhai" label="租赁负债" periodRef="上年期末数" mulRef="_GBC_12bdcba29eb54af2b8443a5d65e13487" unitRef="_GBC_5ae5b2f3e4c64e05b223351f52f762b8" addr="T1R61C1S1_1" formatStyle="Comma" appId="_GBC_5ea888705f7c4c0f98e8769d2197c0de">
          <m:axisValue occRef="母公司"/>
        </m:item>
        <m:item xlName="_GBC_e578d1a704884c40974cf5a7184f4e1a" concept="clcid-pte:ZuLinFuZhai" label="租赁负债" periodRef="本期期初数" mulRef="_GBC_12bdcba29eb54af2b8443a5d65e13487" unitRef="_GBC_5ae5b2f3e4c64e05b223351f52f762b8" addr="T1R61C2S1_1" formatStyle="Comma" appId="_GBC_5ea888705f7c4c0f98e8769d2197c0de">
          <m:axisValue occRef="母公司"/>
        </m:item>
        <m:item xlName="_GBC_7f44af3e24064f2b9f884b3a48134192" concept="clcid-pte:ZuLinFuZhai" label="租赁负债" mulRef="_GBC_12bdcba29eb54af2b8443a5d65e13487" unitRef="_GBC_5ae5b2f3e4c64e05b223351f52f762b8" addr="T1R61C3S1_1" formatStyle="Comma" appId="_GBC_5ea888705f7c4c0f98e8769d2197c0de">
          <m:axisValue occRef="调整数"/>
          <m:axisValue occRef="母公司"/>
        </m:item>
        <m:placeholder xlName="_PLD_763b001745074e8f80d333aa33c77b1c" addr="T1R62C0S1_1"/>
        <m:item xlName="_GBC_08714e93daef49799765b991312ee16b" concept="clcid-pte:ChangQiYingFuKuan" label="长期应付款" periodRef="上年期末数" mulRef="_GBC_12bdcba29eb54af2b8443a5d65e13487" unitRef="_GBC_5ae5b2f3e4c64e05b223351f52f762b8" addr="T1R62C1S1_1" formatStyle="Comma" appId="_GBC_5ea888705f7c4c0f98e8769d2197c0de">
          <m:axisValue occRef="母公司"/>
        </m:item>
        <m:item xlName="_GBC_13a1829d2c134add9247a6954c1c81fd" concept="clcid-pte:ChangQiYingFuKuan" label="长期应付款" periodRef="本期期初数" mulRef="_GBC_12bdcba29eb54af2b8443a5d65e13487" unitRef="_GBC_5ae5b2f3e4c64e05b223351f52f762b8" addr="T1R62C2S1_1" formatStyle="Comma" appId="_GBC_5ea888705f7c4c0f98e8769d2197c0de">
          <m:axisValue occRef="母公司"/>
        </m:item>
        <m:item xlName="_GBC_8155a78bc06147ffad162bd6bf328ffa" concept="clcid-pte:ChangQiYingFuKuan" label="长期应付款" mulRef="_GBC_12bdcba29eb54af2b8443a5d65e13487" unitRef="_GBC_5ae5b2f3e4c64e05b223351f52f762b8" addr="T1R62C3S1_1" formatStyle="Comma" appId="_GBC_5ea888705f7c4c0f98e8769d2197c0de">
          <m:axisValue occRef="调整数"/>
          <m:axisValue occRef="母公司"/>
        </m:item>
        <m:placeholder xlName="_PLD_54a1b08397c44641a82c6703cc59448a" addr="T1R63C0S1_1"/>
        <m:item xlName="_GBC_d02aaa8444f845f8ac36ba20e53674f8" concept="clcid-pte:ChangQiYingFuZhiGongXinChou" label="长期应付职工薪酬" periodRef="上年期末数" mulRef="_GBC_12bdcba29eb54af2b8443a5d65e13487" unitRef="_GBC_5ae5b2f3e4c64e05b223351f52f762b8" addr="T1R63C1S1_1" formatStyle="Comma" appId="_GBC_5ea888705f7c4c0f98e8769d2197c0de">
          <m:axisValue occRef="母公司"/>
        </m:item>
        <m:item xlName="_GBC_68ce6063a5b84abf8530c98cfec9de58" concept="clcid-pte:ChangQiYingFuZhiGongXinChou" label="长期应付职工薪酬" periodRef="本期期初数" mulRef="_GBC_12bdcba29eb54af2b8443a5d65e13487" unitRef="_GBC_5ae5b2f3e4c64e05b223351f52f762b8" addr="T1R63C2S1_1" formatStyle="Comma" appId="_GBC_5ea888705f7c4c0f98e8769d2197c0de">
          <m:axisValue occRef="母公司"/>
        </m:item>
        <m:item xlName="_GBC_c7e4f946734548a4802f3c7a54801c99" concept="clcid-pte:ChangQiYingFuZhiGongXinChou" label="长期应付职工薪酬" mulRef="_GBC_12bdcba29eb54af2b8443a5d65e13487" unitRef="_GBC_5ae5b2f3e4c64e05b223351f52f762b8" addr="T1R63C3S1_1" formatStyle="Comma" appId="_GBC_5ea888705f7c4c0f98e8769d2197c0de">
          <m:axisValue occRef="调整数"/>
          <m:axisValue occRef="母公司"/>
        </m:item>
        <m:placeholder xlName="_PLD_ef8f7fa162d14efa8d47e7f05d101e03" addr="T1R64C0S1_1"/>
        <m:item xlName="_GBC_26e24a1cf3154e648c8e5e8444a03013" concept="clcid-pte:YuJiFuZhai" label="预计负债" periodRef="上年期末数" mulRef="_GBC_12bdcba29eb54af2b8443a5d65e13487" unitRef="_GBC_5ae5b2f3e4c64e05b223351f52f762b8" addr="T1R64C1S1_1" formatStyle="Comma" appId="_GBC_5ea888705f7c4c0f98e8769d2197c0de">
          <m:axisValue occRef="母公司"/>
        </m:item>
        <m:item xlName="_GBC_455a857780844d04951f678d7d458430" concept="clcid-pte:YuJiFuZhai" label="预计负债" periodRef="本期期初数" mulRef="_GBC_12bdcba29eb54af2b8443a5d65e13487" unitRef="_GBC_5ae5b2f3e4c64e05b223351f52f762b8" addr="T1R64C2S1_1" formatStyle="Comma" appId="_GBC_5ea888705f7c4c0f98e8769d2197c0de">
          <m:axisValue occRef="母公司"/>
        </m:item>
        <m:item xlName="_GBC_65e08cf2f52c42d59e78c943587f5c31" concept="clcid-pte:YuJiFuZhai" label="预计负债" mulRef="_GBC_12bdcba29eb54af2b8443a5d65e13487" unitRef="_GBC_5ae5b2f3e4c64e05b223351f52f762b8" addr="T1R64C3S1_1" formatStyle="Comma" appId="_GBC_5ea888705f7c4c0f98e8769d2197c0de">
          <m:axisValue occRef="调整数"/>
          <m:axisValue occRef="母公司"/>
        </m:item>
        <m:placeholder xlName="_PLD_120d7a5cbf854260b2b6e8f758bd1a73" addr="T1R65C0S1_1"/>
        <m:item xlName="_GBC_effeb579194b49dda47c15cd093d2062" concept="clcid-pte:DiYanShouYi" label="递延收益" periodRef="上年期末数" mulRef="_GBC_12bdcba29eb54af2b8443a5d65e13487" unitRef="_GBC_5ae5b2f3e4c64e05b223351f52f762b8" addr="T1R65C1S1_1" formatStyle="Comma" appId="_GBC_5ea888705f7c4c0f98e8769d2197c0de">
          <m:axisValue occRef="母公司"/>
        </m:item>
        <m:item xlName="_GBC_f4938dad60e749d0a163206300719cf6" concept="clcid-pte:DiYanShouYi" label="递延收益" periodRef="本期期初数" mulRef="_GBC_12bdcba29eb54af2b8443a5d65e13487" unitRef="_GBC_5ae5b2f3e4c64e05b223351f52f762b8" addr="T1R65C2S1_1" formatStyle="Comma" appId="_GBC_5ea888705f7c4c0f98e8769d2197c0de">
          <m:axisValue occRef="母公司"/>
        </m:item>
        <m:item xlName="_GBC_468de964823a4982947960921edadbba" concept="clcid-pte:DiYanShouYi" label="递延收益" mulRef="_GBC_12bdcba29eb54af2b8443a5d65e13487" unitRef="_GBC_5ae5b2f3e4c64e05b223351f52f762b8" addr="T1R65C3S1_1" formatStyle="Comma" appId="_GBC_5ea888705f7c4c0f98e8769d2197c0de">
          <m:axisValue occRef="调整数"/>
          <m:axisValue occRef="母公司"/>
        </m:item>
        <m:placeholder xlName="_PLD_d6cf4310ed7c45cbb6be75b34ac02fd6" addr="T1R66C0S1_1"/>
        <m:item xlName="_GBC_fd93b4f773b340f38590388ccc4ad31d" concept="clcid-pte:DiYanShuiKuanDaiXiangHeJi" label="递延税款贷项合计" periodRef="上年期末数" mulRef="_GBC_12bdcba29eb54af2b8443a5d65e13487" unitRef="_GBC_5ae5b2f3e4c64e05b223351f52f762b8" addr="T1R66C1S1_1" formatStyle="Comma" appId="_GBC_5ea888705f7c4c0f98e8769d2197c0de">
          <m:axisValue occRef="母公司"/>
        </m:item>
        <m:item xlName="_GBC_3ec179cc9aa24112a54a2dc7be2e9e5b" concept="clcid-pte:DiYanShuiKuanDaiXiangHeJi" label="递延税款贷项合计" periodRef="本期期初数" mulRef="_GBC_12bdcba29eb54af2b8443a5d65e13487" unitRef="_GBC_5ae5b2f3e4c64e05b223351f52f762b8" addr="T1R66C2S1_1" formatStyle="Comma" appId="_GBC_5ea888705f7c4c0f98e8769d2197c0de">
          <m:axisValue occRef="母公司"/>
        </m:item>
        <m:item xlName="_GBC_2903d1d506ef4f89807b5981b2f35d6d" concept="clcid-pte:DiYanShuiKuanDaiXiangHeJi" label="递延税款贷项合计" mulRef="_GBC_12bdcba29eb54af2b8443a5d65e13487" unitRef="_GBC_5ae5b2f3e4c64e05b223351f52f762b8" addr="T1R66C3S1_1" formatStyle="Comma" appId="_GBC_5ea888705f7c4c0f98e8769d2197c0de">
          <m:axisValue occRef="调整数"/>
          <m:axisValue occRef="母公司"/>
        </m:item>
        <m:placeholder xlName="_PLD_004e165cb9b945988d1ce02dce8c7a6e" addr="T1R67C0S1_1"/>
        <m:item xlName="_GBC_2ffe976e28594965a6473a48eb608047" concept="clcid-pte:QiTaChangQiFuZhai" label="其他长期负债" periodRef="上年期末数" mulRef="_GBC_12bdcba29eb54af2b8443a5d65e13487" unitRef="_GBC_5ae5b2f3e4c64e05b223351f52f762b8" addr="T1R67C1S1_1" formatStyle="Comma" appId="_GBC_5ea888705f7c4c0f98e8769d2197c0de">
          <m:axisValue occRef="母公司"/>
        </m:item>
        <m:item xlName="_GBC_13fb921e0e524c09aa184f8515e22172" concept="clcid-pte:QiTaChangQiFuZhai" label="其他长期负债" periodRef="本期期初数" mulRef="_GBC_12bdcba29eb54af2b8443a5d65e13487" unitRef="_GBC_5ae5b2f3e4c64e05b223351f52f762b8" addr="T1R67C2S1_1" formatStyle="Comma" appId="_GBC_5ea888705f7c4c0f98e8769d2197c0de">
          <m:axisValue occRef="母公司"/>
        </m:item>
        <m:item xlName="_GBC_09a937e1bbca488dbc1eec1003a502c7" concept="clcid-pte:QiTaChangQiFuZhai" label="其他长期负债" mulRef="_GBC_12bdcba29eb54af2b8443a5d65e13487" unitRef="_GBC_5ae5b2f3e4c64e05b223351f52f762b8" addr="T1R67C3S1_1" formatStyle="Comma" appId="_GBC_5ea888705f7c4c0f98e8769d2197c0de">
          <m:axisValue occRef="调整数"/>
          <m:axisValue occRef="母公司"/>
        </m:item>
        <m:placeholder xlName="_PLD_6b9286d59f434dc3883cb7d8d6f992fb" addr="T1R68C0S1_1"/>
        <m:item xlName="_GBC_30eeeb63be46403b82ab0845079ac71f" concept="clcid-pte:ChangQiFuZhaiHeJi" label="长期负债合计" periodRef="上年期末数" mulRef="_GBC_12bdcba29eb54af2b8443a5d65e13487" unitRef="_GBC_5ae5b2f3e4c64e05b223351f52f762b8" addr="T1R68C1S1_1" formatStyle="Comma" appId="_GBC_5ea888705f7c4c0f98e8769d2197c0de">
          <m:complexRule comparator="Eq" title="母公司长期负债合计@上年期末数" test=" $_GBC_5f99a36b238c4d5bb64d812ce0d2a80e +  $_GBC_99327d28914a486a94a63ee69eb50695 +  $_GBC_56eda10867014b479edc0aaee4d8131f +  $_GBC_08714e93daef49799765b991312ee16b +  $_GBC_d02aaa8444f845f8ac36ba20e53674f8 +  $_GBC_26e24a1cf3154e648c8e5e8444a03013 +  $_GBC_effeb579194b49dda47c15cd093d2062 +  $_GBC_fd93b4f773b340f38590388ccc4ad31d +  $_GBC_2ffe976e28594965a6473a48eb608047" id="C8d9b36d74eb74c888c77164f6d1a4915"/>
          <m:axisValue occRef="母公司"/>
        </m:item>
        <m:item xlName="_GBC_7734c30dd9434584a903865f7451e2e7" concept="clcid-pte:ChangQiFuZhaiHeJi" label="长期负债合计" periodRef="本期期初数" mulRef="_GBC_12bdcba29eb54af2b8443a5d65e13487" unitRef="_GBC_5ae5b2f3e4c64e05b223351f52f762b8" addr="T1R68C2S1_1" formatStyle="Comma" appId="_GBC_5ea888705f7c4c0f98e8769d2197c0de">
          <m:complexRule comparator="Eq" title="母公司长期负债合计@本期期初数" test=" $_GBC_5edb8deeea964c74b49fc35321ddb1d3 +  $_GBC_0ad12a6033f04624b75062aac9053095 +  $_GBC_e578d1a704884c40974cf5a7184f4e1a +  $_GBC_13a1829d2c134add9247a6954c1c81fd +  $_GBC_68ce6063a5b84abf8530c98cfec9de58 +  $_GBC_455a857780844d04951f678d7d458430 +  $_GBC_f4938dad60e749d0a163206300719cf6 +  $_GBC_3ec179cc9aa24112a54a2dc7be2e9e5b +  $_GBC_13fb921e0e524c09aa184f8515e22172" id="Cc5f6ca40600748e498d2c0988b3a235b"/>
          <m:axisValue occRef="母公司"/>
        </m:item>
        <m:item xlName="_GBC_3cccf703a5c847f9a346575ed7aff792" concept="clcid-pte:ChangQiFuZhaiHeJi" label="长期负债合计" mulRef="_GBC_12bdcba29eb54af2b8443a5d65e13487" unitRef="_GBC_5ae5b2f3e4c64e05b223351f52f762b8" addr="T1R68C3S1_1" formatStyle="Comma" appId="_GBC_5ea888705f7c4c0f98e8769d2197c0de">
          <m:complexRule comparator="Eq" title="母公司长期负债合计(调整数)" test=" $_GBC_04ec4a9b17c1494c9e95373b9485c93a +  $_GBC_e0e0d1b6c0f5489492e5c036cba320fc +  $_GBC_7f44af3e24064f2b9f884b3a48134192 +  $_GBC_8155a78bc06147ffad162bd6bf328ffa +  $_GBC_c7e4f946734548a4802f3c7a54801c99 +  $_GBC_65e08cf2f52c42d59e78c943587f5c31 +  $_GBC_468de964823a4982947960921edadbba +  $_GBC_2903d1d506ef4f89807b5981b2f35d6d +  $_GBC_09a937e1bbca488dbc1eec1003a502c7" id="C39ece780f1b9464db27940f3a7b5a636"/>
          <m:axisValue occRef="调整数"/>
          <m:axisValue occRef="母公司"/>
        </m:item>
        <m:placeholder xlName="_PLD_9966b1afdeb54842a8fceb3cacd3ccf5" addr="T1R69C0S1_1"/>
        <m:item xlName="_GBC_e6bf84545a1b4facb5eb7e2aa525424b" concept="clcid-pte:FuZhaiHeJi" label="负债合计" periodRef="上年期末数" mulRef="_GBC_12bdcba29eb54af2b8443a5d65e13487" unitRef="_GBC_5ae5b2f3e4c64e05b223351f52f762b8" addr="T1R69C1S1_1" formatStyle="Comma" appId="_GBC_5ea888705f7c4c0f98e8769d2197c0de">
          <m:complexRule comparator="Eq" title="母公司负债合计" test=" $_GBC_2ad611bf09654475936c615cc1aac888 +  $_GBC_30eeeb63be46403b82ab0845079ac71f" id="Cd1e943300dc44f2da3032d66081030f4"/>
          <m:axisValue occRef="母公司"/>
        </m:item>
        <m:item xlName="_GBC_acfda96878e440498a670cc016280d0c" concept="clcid-pte:FuZhaiHeJi" label="负债合计" periodRef="本期期初数" mulRef="_GBC_12bdcba29eb54af2b8443a5d65e13487" unitRef="_GBC_5ae5b2f3e4c64e05b223351f52f762b8" addr="T1R69C2S1_1" formatStyle="Comma" appId="_GBC_5ea888705f7c4c0f98e8769d2197c0de">
          <m:complexRule comparator="Eq" title="母公司负债合计@本期期初数" test=" $_GBC_0cbcaaf85a65423682691d0736549831 +  $_GBC_7734c30dd9434584a903865f7451e2e7" id="Cef0ecf5778464d6ea1a75ddbbd66b044"/>
          <m:axisValue occRef="母公司"/>
        </m:item>
        <m:item xlName="_GBC_62fe7cf73d5744949ae4b0f30455791e" concept="clcid-pte:FuZhaiHeJi" label="负债合计" mulRef="_GBC_12bdcba29eb54af2b8443a5d65e13487" unitRef="_GBC_5ae5b2f3e4c64e05b223351f52f762b8" addr="T1R69C3S1_1" formatStyle="Comma" appId="_GBC_5ea888705f7c4c0f98e8769d2197c0de">
          <m:complexRule comparator="Eq" title="母公司负债合计(调整数)" test=" $_GBC_3cccf703a5c847f9a346575ed7aff792 +  $_GBC_d06a4168d9bb4f419c35440369b43406" id="C2c16cbea22db4c5f89bc628a3ef130e9"/>
          <m:axisValue occRef="调整数"/>
          <m:axisValue occRef="母公司"/>
        </m:item>
        <m:placeholder xlName="_PLD_27af5114b1374bfaa5ee117b52b2dea6" addr="T1R70C0S1_4"/>
        <m:placeholder xlName="_PLD_8d70171a419341f09876bd7007078e61" addr="T1R71C0S1_1"/>
        <m:item xlName="_GBC_0db0e6924de842afb880ce80b5f78100" concept="clcid-pte:GuBen" label="股本" periodRef="上年期末数" mulRef="_GBC_12bdcba29eb54af2b8443a5d65e13487" unitRef="_GBC_5ae5b2f3e4c64e05b223351f52f762b8" addr="T1R71C1S1_1" formatStyle="Comma" appId="_GBC_5ea888705f7c4c0f98e8769d2197c0de">
          <m:axisValue occRef="母公司"/>
        </m:item>
        <m:item xlName="_GBC_b682dcad4f064056b7b2c335e0d0c324" concept="clcid-pte:GuBen" label="股本" periodRef="本期期初数" mulRef="_GBC_12bdcba29eb54af2b8443a5d65e13487" unitRef="_GBC_5ae5b2f3e4c64e05b223351f52f762b8" addr="T1R71C2S1_1" formatStyle="Comma" appId="_GBC_5ea888705f7c4c0f98e8769d2197c0de">
          <m:axisValue occRef="母公司"/>
        </m:item>
        <m:item xlName="_GBC_4e7d7e48227648e1b89f17c4764e55b7" concept="clcid-pte:GuBen" label="股本" mulRef="_GBC_12bdcba29eb54af2b8443a5d65e13487" unitRef="_GBC_5ae5b2f3e4c64e05b223351f52f762b8" addr="T1R71C3S1_1" formatStyle="Comma" appId="_GBC_5ea888705f7c4c0f98e8769d2197c0de">
          <m:axisValue occRef="调整数"/>
          <m:axisValue occRef="母公司"/>
        </m:item>
        <m:placeholder xlName="_PLD_6a2c5af5b63843e288dac2f4dfa16684" addr="T1R72C0S1_1"/>
        <m:item xlName="_GBC_88df3946de6c493abe040acb94502ec6" concept="clcid-pte:QiTaQuanYiGongJu" label="其他权益工具" periodRef="上年期末数" mulRef="_GBC_12bdcba29eb54af2b8443a5d65e13487" unitRef="_GBC_5ae5b2f3e4c64e05b223351f52f762b8" addr="T1R72C1S1_1" formatStyle="Comma" appId="_GBC_5ea888705f7c4c0f98e8769d2197c0de">
          <m:axisValue occRef="母公司"/>
        </m:item>
        <m:item xlName="_GBC_22e9e60ad5a34e05821e5719a9498893" concept="clcid-pte:QiTaQuanYiGongJu" label="其他权益工具" periodRef="本期期初数" mulRef="_GBC_12bdcba29eb54af2b8443a5d65e13487" unitRef="_GBC_5ae5b2f3e4c64e05b223351f52f762b8" addr="T1R72C2S1_1" formatStyle="Comma" appId="_GBC_5ea888705f7c4c0f98e8769d2197c0de">
          <m:axisValue occRef="母公司"/>
        </m:item>
        <m:item xlName="_GBC_91c57e84abe74b1a94d9d6738d70a85b" concept="clcid-pte:QiTaQuanYiGongJu" label="其他权益工具" mulRef="_GBC_12bdcba29eb54af2b8443a5d65e13487" unitRef="_GBC_5ae5b2f3e4c64e05b223351f52f762b8" addr="T1R72C3S1_1" formatStyle="Comma" appId="_GBC_5ea888705f7c4c0f98e8769d2197c0de">
          <m:axisValue occRef="调整数"/>
          <m:axisValue occRef="母公司"/>
        </m:item>
        <m:placeholder xlName="_PLD_00ac4295a6c1486798f20bf742b8834b" addr="T1R73C0S1_1"/>
        <m:item xlName="_GBC_620ac9cdfee44c79aefefc8348ad3d76" concept="clcid-pte:QiTaQuanYiGongJuQiZhongYouXianGu" label="其他权益工具-其中：优先股" periodRef="上年期末数" mulRef="_GBC_12bdcba29eb54af2b8443a5d65e13487" unitRef="_GBC_5ae5b2f3e4c64e05b223351f52f762b8" addr="T1R73C1S1_1" formatStyle="Comma" appId="_GBC_5ea888705f7c4c0f98e8769d2197c0de">
          <m:axisValue occRef="母公司"/>
        </m:item>
        <m:item xlName="_GBC_f36f7e5b2e11444294314999d4788c32" concept="clcid-pte:QiTaQuanYiGongJuQiZhongYouXianGu" label="其他权益工具-其中：优先股" periodRef="本期期初数" mulRef="_GBC_12bdcba29eb54af2b8443a5d65e13487" unitRef="_GBC_5ae5b2f3e4c64e05b223351f52f762b8" addr="T1R73C2S1_1" formatStyle="Comma" appId="_GBC_5ea888705f7c4c0f98e8769d2197c0de">
          <m:axisValue occRef="母公司"/>
        </m:item>
        <m:item xlName="_GBC_c67c31ae309849549ccd981dabda7cf6" concept="clcid-pte:QiTaQuanYiGongJuQiZhongYouXianGu" label="其他权益工具-其中：优先股" mulRef="_GBC_12bdcba29eb54af2b8443a5d65e13487" unitRef="_GBC_5ae5b2f3e4c64e05b223351f52f762b8" addr="T1R73C3S1_1" formatStyle="Comma" appId="_GBC_5ea888705f7c4c0f98e8769d2197c0de">
          <m:axisValue occRef="调整数"/>
          <m:axisValue occRef="母公司"/>
        </m:item>
        <m:placeholder xlName="_PLD_c2fa35d8e1ac487a949a2fe2d62ba1c1" addr="T1R74C0S1_1"/>
        <m:item xlName="_GBC_59ba1854ae584108a393b991e8d3cb0b" concept="clcid-pte:QiTaQuanYiGongJuYongXuZhai" label="其他权益工具-永续债" periodRef="上年期末数" mulRef="_GBC_12bdcba29eb54af2b8443a5d65e13487" unitRef="_GBC_5ae5b2f3e4c64e05b223351f52f762b8" addr="T1R74C1S1_1" formatStyle="Comma" appId="_GBC_5ea888705f7c4c0f98e8769d2197c0de">
          <m:axisValue occRef="母公司"/>
        </m:item>
        <m:item xlName="_GBC_bfb237ebe58345c5b47d3fd989e24452" concept="clcid-pte:QiTaQuanYiGongJuYongXuZhai" label="其他权益工具-永续债" periodRef="本期期初数" mulRef="_GBC_12bdcba29eb54af2b8443a5d65e13487" unitRef="_GBC_5ae5b2f3e4c64e05b223351f52f762b8" addr="T1R74C2S1_1" formatStyle="Comma" appId="_GBC_5ea888705f7c4c0f98e8769d2197c0de">
          <m:axisValue occRef="母公司"/>
        </m:item>
        <m:item xlName="_GBC_43846cc53b664e74a7f6be8b9742a993" concept="clcid-pte:QiTaQuanYiGongJuYongXuZhai" label="其他权益工具-永续债" mulRef="_GBC_12bdcba29eb54af2b8443a5d65e13487" unitRef="_GBC_5ae5b2f3e4c64e05b223351f52f762b8" addr="T1R74C3S1_1" formatStyle="Comma" appId="_GBC_5ea888705f7c4c0f98e8769d2197c0de">
          <m:axisValue occRef="调整数"/>
          <m:axisValue occRef="母公司"/>
        </m:item>
        <m:placeholder xlName="_PLD_834b3ab77c824936875be7024902ea58" addr="T1R75C0S1_1"/>
        <m:item xlName="_GBC_8ebb195aa84b4546a9ad908cc695ffd1" concept="clcid-pte:ZiBenGongJi" label="资本公积" periodRef="上年期末数" mulRef="_GBC_12bdcba29eb54af2b8443a5d65e13487" unitRef="_GBC_5ae5b2f3e4c64e05b223351f52f762b8" addr="T1R75C1S1_1" formatStyle="Comma" appId="_GBC_5ea888705f7c4c0f98e8769d2197c0de">
          <m:axisValue occRef="母公司"/>
        </m:item>
        <m:item xlName="_GBC_a21a7922136e49b58f271d847e997974" concept="clcid-pte:ZiBenGongJi" label="资本公积" periodRef="本期期初数" mulRef="_GBC_12bdcba29eb54af2b8443a5d65e13487" unitRef="_GBC_5ae5b2f3e4c64e05b223351f52f762b8" addr="T1R75C2S1_1" formatStyle="Comma" appId="_GBC_5ea888705f7c4c0f98e8769d2197c0de">
          <m:axisValue occRef="母公司"/>
        </m:item>
        <m:item xlName="_GBC_185a2ef711bc4fc6b876f42160f323ef" concept="clcid-pte:ZiBenGongJi" label="资本公积" mulRef="_GBC_12bdcba29eb54af2b8443a5d65e13487" unitRef="_GBC_5ae5b2f3e4c64e05b223351f52f762b8" addr="T1R75C3S1_1" formatStyle="Comma" appId="_GBC_5ea888705f7c4c0f98e8769d2197c0de">
          <m:axisValue occRef="调整数"/>
          <m:axisValue occRef="母公司"/>
        </m:item>
        <m:placeholder xlName="_PLD_a70d9354e9a94ab690010aa4bf4fe9dc" addr="T1R76C0S1_1"/>
        <m:item xlName="_GBC_4d22104f9ed441dbbbffc181c3dd6f11" concept="clcid-pte:KuCunGu" label="库存股" periodRef="上年期末数" mulRef="_GBC_12bdcba29eb54af2b8443a5d65e13487" unitRef="_GBC_5ae5b2f3e4c64e05b223351f52f762b8" addr="T1R76C1S1_1" formatStyle="Comma" appId="_GBC_5ea888705f7c4c0f98e8769d2197c0de">
          <m:axisValue occRef="母公司"/>
        </m:item>
        <m:item xlName="_GBC_741ecf0b80bb468581e9dfa03a904e10" concept="clcid-pte:KuCunGu" label="库存股" periodRef="本期期初数" mulRef="_GBC_12bdcba29eb54af2b8443a5d65e13487" unitRef="_GBC_5ae5b2f3e4c64e05b223351f52f762b8" addr="T1R76C2S1_1" formatStyle="Comma" appId="_GBC_5ea888705f7c4c0f98e8769d2197c0de">
          <m:axisValue occRef="母公司"/>
        </m:item>
        <m:item xlName="_GBC_c02fb7dffc0f4d378d1b11a862c49219" concept="clcid-pte:KuCunGu" label="库存股" mulRef="_GBC_12bdcba29eb54af2b8443a5d65e13487" unitRef="_GBC_5ae5b2f3e4c64e05b223351f52f762b8" addr="T1R76C3S1_1" formatStyle="Comma" appId="_GBC_5ea888705f7c4c0f98e8769d2197c0de">
          <m:axisValue occRef="调整数"/>
          <m:axisValue occRef="母公司"/>
        </m:item>
        <m:placeholder xlName="_PLD_4e4dbb75dc1047fead1e2e3d2f27761e" addr="T1R77C0S1_1"/>
        <m:item xlName="_GBC_2f4dd3e767b747a0a9361d9781cc5b2a" concept="clcid-pte:QiTaZongHeShouYiZiChanFuZhaiBiaoXiangMu" label="其他综合收益（资产负债表项目）" periodRef="上年期末数" mulRef="_GBC_12bdcba29eb54af2b8443a5d65e13487" unitRef="_GBC_5ae5b2f3e4c64e05b223351f52f762b8" addr="T1R77C1S1_1" formatStyle="Comma" appId="_GBC_5ea888705f7c4c0f98e8769d2197c0de">
          <m:axisValue occRef="母公司"/>
        </m:item>
        <m:item xlName="_GBC_2fcac0155f95460b8f1163516b2278b7" concept="clcid-pte:QiTaZongHeShouYiZiChanFuZhaiBiaoXiangMu" label="其他综合收益（资产负债表项目）" periodRef="本期期初数" mulRef="_GBC_12bdcba29eb54af2b8443a5d65e13487" unitRef="_GBC_5ae5b2f3e4c64e05b223351f52f762b8" addr="T1R77C2S1_1" formatStyle="Comma" appId="_GBC_5ea888705f7c4c0f98e8769d2197c0de">
          <m:axisValue occRef="母公司"/>
        </m:item>
        <m:item xlName="_GBC_a679d98c43b242c5a39dcc8012fcd765" concept="clcid-pte:QiTaZongHeShouYiZiChanFuZhaiBiaoXiangMu" label="其他综合收益（资产负债表项目）" mulRef="_GBC_12bdcba29eb54af2b8443a5d65e13487" unitRef="_GBC_5ae5b2f3e4c64e05b223351f52f762b8" addr="T1R77C3S1_1" formatStyle="Comma" appId="_GBC_5ea888705f7c4c0f98e8769d2197c0de">
          <m:axisValue occRef="调整数"/>
          <m:axisValue occRef="母公司"/>
        </m:item>
        <m:placeholder xlName="_PLD_6c13a47d776445fc9274525173a52d60" addr="T1R78C0S1_1"/>
        <m:item xlName="_GBC_faeddf48463a435e9e43165709166500" concept="clcid-pte:ZhuanXiangChuBei" label="专项储备" periodRef="上年期末数" mulRef="_GBC_12bdcba29eb54af2b8443a5d65e13487" unitRef="_GBC_5ae5b2f3e4c64e05b223351f52f762b8" addr="T1R78C1S1_1" formatStyle="Comma" appId="_GBC_5ea888705f7c4c0f98e8769d2197c0de">
          <m:axisValue occRef="母公司"/>
        </m:item>
        <m:item xlName="_GBC_0e69dd6e4ca8443ba7a82b01abc2a244" concept="clcid-pte:ZhuanXiangChuBei" label="专项储备" periodRef="本期期初数" mulRef="_GBC_12bdcba29eb54af2b8443a5d65e13487" unitRef="_GBC_5ae5b2f3e4c64e05b223351f52f762b8" addr="T1R78C2S1_1" formatStyle="Comma" appId="_GBC_5ea888705f7c4c0f98e8769d2197c0de">
          <m:axisValue occRef="母公司"/>
        </m:item>
        <m:item xlName="_GBC_1f174fe4b6f54c3690fd0dcff757a99f" concept="clcid-pte:ZhuanXiangChuBei" label="专项储备" mulRef="_GBC_12bdcba29eb54af2b8443a5d65e13487" unitRef="_GBC_5ae5b2f3e4c64e05b223351f52f762b8" addr="T1R78C3S1_1" formatStyle="Comma" appId="_GBC_5ea888705f7c4c0f98e8769d2197c0de">
          <m:axisValue occRef="调整数"/>
          <m:axisValue occRef="母公司"/>
        </m:item>
        <m:placeholder xlName="_PLD_dd11efa46b0146de89d9167f31cbb19b" addr="T1R79C0S1_1"/>
        <m:item xlName="_GBC_6104dd8faf284561af68ff0c417d78c7" concept="clcid-pte:YingYuGongJi" label="盈余公积" periodRef="上年期末数" mulRef="_GBC_12bdcba29eb54af2b8443a5d65e13487" unitRef="_GBC_5ae5b2f3e4c64e05b223351f52f762b8" addr="T1R79C1S1_1" formatStyle="Comma" appId="_GBC_5ea888705f7c4c0f98e8769d2197c0de">
          <m:axisValue occRef="母公司"/>
        </m:item>
        <m:item xlName="_GBC_cd4164a6213d4c0f83af9a8f806fc555" concept="clcid-pte:YingYuGongJi" label="盈余公积" periodRef="本期期初数" mulRef="_GBC_12bdcba29eb54af2b8443a5d65e13487" unitRef="_GBC_5ae5b2f3e4c64e05b223351f52f762b8" addr="T1R79C2S1_1" formatStyle="Comma" appId="_GBC_5ea888705f7c4c0f98e8769d2197c0de">
          <m:axisValue occRef="母公司"/>
        </m:item>
        <m:item xlName="_GBC_dadc7c17c53e4f8194ce169c8edc0d22" concept="clcid-pte:YingYuGongJi" label="盈余公积" mulRef="_GBC_12bdcba29eb54af2b8443a5d65e13487" unitRef="_GBC_5ae5b2f3e4c64e05b223351f52f762b8" addr="T1R79C3S1_1" formatStyle="Comma" appId="_GBC_5ea888705f7c4c0f98e8769d2197c0de">
          <m:axisValue occRef="调整数"/>
          <m:axisValue occRef="母公司"/>
        </m:item>
        <m:placeholder xlName="_PLD_d86bc5971158404eb1d42b4de33e2728" addr="T1R80C0S1_1"/>
        <m:item xlName="_GBC_f608bc1115ad4d10b416e6ac339ca211" concept="clcid-pte:WeiFenPeiLiRun" label="未分配利润" periodRef="上年期末数" mulRef="_GBC_12bdcba29eb54af2b8443a5d65e13487" unitRef="_GBC_5ae5b2f3e4c64e05b223351f52f762b8" addr="T1R80C1S1_1" formatStyle="Comma" appId="_GBC_5ea888705f7c4c0f98e8769d2197c0de">
          <m:axisValue occRef="母公司"/>
        </m:item>
        <m:item xlName="_GBC_f46af43662fc4d96aa3f74d34708afd9" concept="clcid-pte:WeiFenPeiLiRun" label="未分配利润" periodRef="本期期初数" mulRef="_GBC_12bdcba29eb54af2b8443a5d65e13487" unitRef="_GBC_5ae5b2f3e4c64e05b223351f52f762b8" addr="T1R80C2S1_1" formatStyle="Comma" appId="_GBC_5ea888705f7c4c0f98e8769d2197c0de">
          <m:axisValue occRef="母公司"/>
        </m:item>
        <m:item xlName="_GBC_50aad17b7591422dbdfa8e11ff8ab1d5" concept="clcid-pte:WeiFenPeiLiRun" label="未分配利润" mulRef="_GBC_12bdcba29eb54af2b8443a5d65e13487" unitRef="_GBC_5ae5b2f3e4c64e05b223351f52f762b8" addr="T1R80C3S1_1" formatStyle="Comma" appId="_GBC_5ea888705f7c4c0f98e8769d2197c0de">
          <m:axisValue occRef="调整数"/>
          <m:axisValue occRef="母公司"/>
        </m:item>
        <m:placeholder xlName="_PLD_c20899a0afbc45fb9f96c375ae861870" addr="T1R81C0S1_1"/>
        <m:item xlName="_GBC_809a22d4bc2d4495b6494eb39adbcadd" concept="clcid-pte:GuDongQuanYiHeJi" label="股东权益合计" periodRef="上年期末数" mulRef="_GBC_12bdcba29eb54af2b8443a5d65e13487" unitRef="_GBC_5ae5b2f3e4c64e05b223351f52f762b8" addr="T1R81C1S1_1" formatStyle="Comma" appId="_GBC_5ea888705f7c4c0f98e8769d2197c0de">
          <m:complexRule comparator="Eq" title="母公司股东权益合计" test=" $_GBC_0db0e6924de842afb880ce80b5f78100 +  $_GBC_8ebb195aa84b4546a9ad908cc695ffd1 -  $_GBC_4d22104f9ed441dbbbffc181c3dd6f11 +  $_GBC_faeddf48463a435e9e43165709166500 +  $_GBC_6104dd8faf284561af68ff0c417d78c7 +  $_GBC_f608bc1115ad4d10b416e6ac339ca211 +  $_GBC_88df3946de6c493abe040acb94502ec6 +  $_GBC_2f4dd3e767b747a0a9361d9781cc5b2a" id="C3f6e8260dafb4971b6501c41355beb42"/>
          <m:axisValue occRef="母公司"/>
        </m:item>
        <m:item xlName="_GBC_b505bba8bc8e4ed8bf6456d5e0b903e6" concept="clcid-pte:GuDongQuanYiHeJi" label="股东权益合计" periodRef="本期期初数" mulRef="_GBC_12bdcba29eb54af2b8443a5d65e13487" unitRef="_GBC_5ae5b2f3e4c64e05b223351f52f762b8" addr="T1R81C2S1_1" formatStyle="Comma" appId="_GBC_5ea888705f7c4c0f98e8769d2197c0de">
          <m:complexRule comparator="Eq" title="母公司股东权益合计@本期期初数" test=" $_GBC_b682dcad4f064056b7b2c335e0d0c324 +  $_GBC_a21a7922136e49b58f271d847e997974 -  $_GBC_741ecf0b80bb468581e9dfa03a904e10 +  $_GBC_0e69dd6e4ca8443ba7a82b01abc2a244 +  $_GBC_cd4164a6213d4c0f83af9a8f806fc555 +  $_GBC_f46af43662fc4d96aa3f74d34708afd9 +  $_GBC_22e9e60ad5a34e05821e5719a9498893 +  $_GBC_2fcac0155f95460b8f1163516b2278b7" id="C7ad6a5faa01d471aa7a41f0fad0fda6d"/>
          <m:axisValue occRef="母公司"/>
        </m:item>
        <m:item xlName="_GBC_74bc82d057064c348dfce5378ce2cfb1" concept="clcid-pte:GuDongQuanYiHeJi" label="股东权益合计" mulRef="_GBC_12bdcba29eb54af2b8443a5d65e13487" unitRef="_GBC_5ae5b2f3e4c64e05b223351f52f762b8" addr="T1R81C3S1_1" formatStyle="Comma" appId="_GBC_5ea888705f7c4c0f98e8769d2197c0de">
          <m:complexRule comparator="Eq" title="母公司股东权益合计(调整数)" test=" $_GBC_4e7d7e48227648e1b89f17c4764e55b7 +  $_GBC_91c57e84abe74b1a94d9d6738d70a85b +  $_GBC_185a2ef711bc4fc6b876f42160f323ef -  $_GBC_c02fb7dffc0f4d378d1b11a862c49219 +  $_GBC_a679d98c43b242c5a39dcc8012fcd765 +  $_GBC_1f174fe4b6f54c3690fd0dcff757a99f +  $_GBC_dadc7c17c53e4f8194ce169c8edc0d22 +  $_GBC_50aad17b7591422dbdfa8e11ff8ab1d5" id="C0ce686ab6b044ab3a4aa8ac0afd534ef"/>
          <m:axisValue occRef="调整数"/>
          <m:axisValue occRef="母公司"/>
        </m:item>
        <m:placeholder xlName="_PLD_db11ece6f92844b48c8e943a030153d9" addr="T1R82C0S1_1"/>
        <m:item xlName="_GBC_6bb244d4058942ef8ae216ab7fec1d0e" concept="clcid-pte:FuZhaiHeGuDongQuanYiHeJi" label="负债和股东权益合计" periodRef="上年期末数" mulRef="_GBC_12bdcba29eb54af2b8443a5d65e13487" unitRef="_GBC_5ae5b2f3e4c64e05b223351f52f762b8" addr="T1R82C1S1_1" formatStyle="Comma" appId="_GBC_5ea888705f7c4c0f98e8769d2197c0de">
          <m:complexRule comparator="Eq" title="母公司负债和股东权益合计" test=" $_GBC_e6bf84545a1b4facb5eb7e2aa525424b +  $_GBC_809a22d4bc2d4495b6494eb39adbcadd" id="Ca4c931fc33674a78ac6406845fab8d03"/>
          <m:axisValue occRef="母公司"/>
        </m:item>
        <m:item xlName="_GBC_7623a9795af54305a03d4f79eda01341" concept="clcid-pte:FuZhaiHeGuDongQuanYiHeJi" label="负债和股东权益合计" periodRef="本期期初数" mulRef="_GBC_12bdcba29eb54af2b8443a5d65e13487" unitRef="_GBC_5ae5b2f3e4c64e05b223351f52f762b8" addr="T1R82C2S1_1" formatStyle="Comma" appId="_GBC_5ea888705f7c4c0f98e8769d2197c0de">
          <m:complexRule comparator="Eq" title="母公司负债和股东权益合计@本期期初数" test=" $_GBC_acfda96878e440498a670cc016280d0c +  $_GBC_b505bba8bc8e4ed8bf6456d5e0b903e6" id="C19babe3dc7a446d6840dd0a5c481b588"/>
          <m:axisValue occRef="母公司"/>
        </m:item>
        <m:item xlName="_GBC_36e5ba49af9b494d9904ced285d0fac3" concept="clcid-pte:FuZhaiHeGuDongQuanYiHeJi" label="负债和股东权益合计" mulRef="_GBC_12bdcba29eb54af2b8443a5d65e13487" unitRef="_GBC_5ae5b2f3e4c64e05b223351f52f762b8" addr="T1R82C3S1_1" formatStyle="Comma" appId="_GBC_5ea888705f7c4c0f98e8769d2197c0de">
          <m:complexRule comparator="Eq" title="母公司负债和股东权益合计(调整数)" test=" $_GBC_74bc82d057064c348dfce5378ce2cfb1 +  $_GBC_62fe7cf73d5744949ae4b0f30455791e" id="C467eee9cb39543b9b7703438bca8386c"/>
          <m:axisValue occRef="调整数"/>
          <m:axisValue occRef="母公司"/>
        </m:item>
        <m:item xlName="_GBC_4da43801742d47a3ad02db54d198c963" concept="clcid-ci-ar:ShiFouShiYongMuGongSiZiChanFuZhaiBiaoGeXiangMuTiaoZhengQingKuangDeShuoMing" label="是否适用：母公司资产负债表各项目调整情况的说明" selectOptions="_buildInAppliance" controlType="CustomCheckbox" cRanges="[{&quot;StartName&quot;:&quot;_GBC_4da43801742d47a3ad02db54d198c963&quot;,&quot;EndName&quot;:&quot;_GBC_d0fbabdfa28a42cc85d9e88c82f80510&quot;,&quot;CType&quot;:1}]"/>
        <m:item xlName="_GBC_d0fbabdfa28a42cc85d9e88c82f80510" concept="clcid-pte:MuGongSiZiChanFuZhaiBiaoGeXiangMuTiaoZhengQingKuangDeShuoMing" label="母公司资产负债表各项目调整情况的说明" appId="_GBC_4da43801742d47a3ad02db54d198c963"/>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da3186713a03462cb6bb6f3769a46091"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无需编制合并报表" optionGroupTitle="是否需要合并报表" optionTargetConcept="clcid-ci-ar:ShiFouXuYaoHeBingBaoBiao" optionTargetConceptValue="false">
      <m:item xlName="_GBC_0c146c68fc034b599b66830a1b8cd6d2"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0c146c68fc034b599b66830a1b8cd6d2&quot;,&quot;EndName&quot;:&quot;_GBC_c0981d9705734d91b8062b829ca1af11&quot;,&quot;CType&quot;:1}]"/>
      <m:item xlName="_GBC_dcff3d72dff8467cb2c07ad3b3fc27ca" concept="clcid-ci-ar:DanWeiMuGongSiZiChanFuZhaiBiao" label="单位：母公司资产负债表" selectOptions="_buildInScales" controlType="Combobox" cellType="Scale" appId="_GBC_0c146c68fc034b599b66830a1b8cd6d2"/>
      <m:item xlName="_GBC_bba83c9ffe7341af87411641b3c1153d" concept="clcid-ci-ar:BiZhongMuGongSiZiChanFuZhaiBiao" label="币种：母公司资产负债表" selectOptions="_buildInISO4217" controlType="Combobox" cellType="Measure" appId="_GBC_0c146c68fc034b599b66830a1b8cd6d2"/>
      <m:placeholder xlName="_PLD_08de00d5036d423da16b216cce760746" addr="T0R0C0S1_1"/>
      <m:placeholder xlName="_PLD_1b4494bb36d34e31a5ceb9607f310b35" addr="T0R0C1S1_1"/>
      <m:placeholder xlName="_PLD_9926f849e52240fd90deb3cf04126314" addr="T0R0C2S1_1"/>
      <m:placeholder xlName="_PLD_218c0818ec734096a7b500d64769dda3" addr="T0R0C3S1_1"/>
      <m:placeholder xlName="_PLD_87f33fc4ac774fe1a7ec7b0e96856644" addr="T0R1C0S1_4"/>
      <m:placeholder xlName="_PLD_29954ebc17a04d0684e30913cfa0d602" addr="T0R2C0S1_1"/>
      <m:item xlName="_GBC_9beabf1eccaa4d1fb1e78380fc91eb2a" concept="clcid-pte:HuoBiZiJin" label="货币资金" periodRef="上年期末数" mulRef="_GBC_dcff3d72dff8467cb2c07ad3b3fc27ca" unitRef="_GBC_bba83c9ffe7341af87411641b3c1153d" addr="T0R2C1S1_1" formatStyle="Comma" appId="_GBC_0c146c68fc034b599b66830a1b8cd6d2"/>
      <m:item xlName="_GBC_972791ac5d1943b49b72a11bbc10d2f1" concept="clcid-pte:HuoBiZiJin" label="货币资金" periodRef="本期期初数" mulRef="_GBC_dcff3d72dff8467cb2c07ad3b3fc27ca" unitRef="_GBC_bba83c9ffe7341af87411641b3c1153d" addr="T0R2C2S1_1" formatStyle="Comma" appId="_GBC_0c146c68fc034b599b66830a1b8cd6d2"/>
      <m:item xlName="_GBC_83a9c710a04b4a23875bce319d1af271" concept="clcid-pte:HuoBiZiJin" label="货币资金" mulRef="_GBC_dcff3d72dff8467cb2c07ad3b3fc27ca" unitRef="_GBC_bba83c9ffe7341af87411641b3c1153d" addr="T0R2C3S1_1" formatStyle="Comma" appId="_GBC_0c146c68fc034b599b66830a1b8cd6d2">
        <m:axisValue occRef="调整数"/>
      </m:item>
      <m:placeholder xlName="_PLD_42f00ca651f249d18dfeda52e49124bb" addr="T0R3C0S1_1"/>
      <m:item xlName="_GBC_96b9dda4f8a54f4384ab6be601b3976c" concept="clcid-pte:JiaoYiXingJinRongZiChan" label="交易性金融资产" periodRef="上年期末数" mulRef="_GBC_dcff3d72dff8467cb2c07ad3b3fc27ca" unitRef="_GBC_bba83c9ffe7341af87411641b3c1153d" addr="T0R3C1S1_1" formatStyle="Comma" appId="_GBC_0c146c68fc034b599b66830a1b8cd6d2"/>
      <m:item xlName="_GBC_62a524295faa4283a7f30ccfa63d5426" concept="clcid-pte:JiaoYiXingJinRongZiChan" label="交易性金融资产" periodRef="本期期初数" mulRef="_GBC_dcff3d72dff8467cb2c07ad3b3fc27ca" unitRef="_GBC_bba83c9ffe7341af87411641b3c1153d" addr="T0R3C2S1_1" formatStyle="Comma" appId="_GBC_0c146c68fc034b599b66830a1b8cd6d2"/>
      <m:item xlName="_GBC_23726be0c4384afa83de45770f315fe3" concept="clcid-pte:JiaoYiXingJinRongZiChan" label="交易性金融资产" mulRef="_GBC_dcff3d72dff8467cb2c07ad3b3fc27ca" unitRef="_GBC_bba83c9ffe7341af87411641b3c1153d" addr="T0R3C3S1_1" formatStyle="Comma" appId="_GBC_0c146c68fc034b599b66830a1b8cd6d2">
        <m:axisValue occRef="调整数"/>
      </m:item>
      <m:placeholder xlName="_PLD_53c1ecb0a3af478facba0c93765240c2" addr="T0R4C0S1_1"/>
      <m:item xlName="_GBC_64fccfffbbd1476b809b338ff1726c0d" concept="clcid-pte:YanShengJinRongZiChan" label="衍生金融资产" periodRef="上年期末数" mulRef="_GBC_dcff3d72dff8467cb2c07ad3b3fc27ca" unitRef="_GBC_bba83c9ffe7341af87411641b3c1153d" addr="T0R4C1S1_1" formatStyle="Comma" appId="_GBC_0c146c68fc034b599b66830a1b8cd6d2"/>
      <m:item xlName="_GBC_2235f6e15e4f4093b44c4fd80f189e16" concept="clcid-pte:YanShengJinRongZiChan" label="衍生金融资产" periodRef="本期期初数" mulRef="_GBC_dcff3d72dff8467cb2c07ad3b3fc27ca" unitRef="_GBC_bba83c9ffe7341af87411641b3c1153d" addr="T0R4C2S1_1" formatStyle="Comma" appId="_GBC_0c146c68fc034b599b66830a1b8cd6d2"/>
      <m:item xlName="_GBC_4e8179426012451b980cfb4512c6ef11" concept="clcid-pte:YanShengJinRongZiChan" label="衍生金融资产" mulRef="_GBC_dcff3d72dff8467cb2c07ad3b3fc27ca" unitRef="_GBC_bba83c9ffe7341af87411641b3c1153d" addr="T0R4C3S1_1" formatStyle="Comma" appId="_GBC_0c146c68fc034b599b66830a1b8cd6d2">
        <m:axisValue occRef="调整数"/>
      </m:item>
      <m:placeholder xlName="_PLD_3b35a41d246c4af789dd4a776dad4f41" addr="T0R5C0S1_1"/>
      <m:item xlName="_GBC_f1f758b7280f4db4b19b085641f388df" concept="clcid-pte:YingShouPiaoJu" label="应收票据" periodRef="上年期末数" mulRef="_GBC_dcff3d72dff8467cb2c07ad3b3fc27ca" unitRef="_GBC_bba83c9ffe7341af87411641b3c1153d" addr="T0R5C1S1_1" formatStyle="Comma" appId="_GBC_0c146c68fc034b599b66830a1b8cd6d2"/>
      <m:item xlName="_GBC_f8ab9b47ad1d403cb2a7a6b198eb6c6f" concept="clcid-pte:YingShouPiaoJu" label="应收票据" periodRef="本期期初数" mulRef="_GBC_dcff3d72dff8467cb2c07ad3b3fc27ca" unitRef="_GBC_bba83c9ffe7341af87411641b3c1153d" addr="T0R5C2S1_1" formatStyle="Comma" appId="_GBC_0c146c68fc034b599b66830a1b8cd6d2"/>
      <m:item xlName="_GBC_9f9de9cc7230491ea3d5a27db5a09026" concept="clcid-pte:YingShouPiaoJu" label="应收票据" mulRef="_GBC_dcff3d72dff8467cb2c07ad3b3fc27ca" unitRef="_GBC_bba83c9ffe7341af87411641b3c1153d" addr="T0R5C3S1_1" formatStyle="Comma" appId="_GBC_0c146c68fc034b599b66830a1b8cd6d2">
        <m:axisValue occRef="调整数"/>
      </m:item>
      <m:placeholder xlName="_PLD_cfc815e4376d4ffa855de9c0ccf67cda" addr="T0R6C0S1_1"/>
      <m:item xlName="_GBC_d3aa7fa7daa04a53983bcb22a4b28f75" concept="clcid-pte:YingShouZhangKuan" label="应收帐款" periodRef="上年期末数" mulRef="_GBC_dcff3d72dff8467cb2c07ad3b3fc27ca" unitRef="_GBC_bba83c9ffe7341af87411641b3c1153d" addr="T0R6C1S1_1" formatStyle="Comma" appId="_GBC_0c146c68fc034b599b66830a1b8cd6d2"/>
      <m:item xlName="_GBC_81d73c21497944dd90f3ced03cee03ba" concept="clcid-pte:YingShouZhangKuan" label="应收帐款" periodRef="本期期初数" mulRef="_GBC_dcff3d72dff8467cb2c07ad3b3fc27ca" unitRef="_GBC_bba83c9ffe7341af87411641b3c1153d" addr="T0R6C2S1_1" formatStyle="Comma" appId="_GBC_0c146c68fc034b599b66830a1b8cd6d2"/>
      <m:item xlName="_GBC_679b2a5ff7ce40379e88850b11e9cf54" concept="clcid-pte:YingShouZhangKuan" label="应收帐款" mulRef="_GBC_dcff3d72dff8467cb2c07ad3b3fc27ca" unitRef="_GBC_bba83c9ffe7341af87411641b3c1153d" addr="T0R6C3S1_1" formatStyle="Comma" appId="_GBC_0c146c68fc034b599b66830a1b8cd6d2">
        <m:axisValue occRef="调整数"/>
      </m:item>
      <m:placeholder xlName="_PLD_33c7c13b7aaf4358a216ad65edd850ca" addr="T0R7C0S1_1"/>
      <m:item xlName="_GBC_a79a0300671943b7b8ba122cd3e6022b" concept="clcid-pte:YingShouKuanXiangRongZi" label="应收款项融资" periodRef="上年期末数" mulRef="_GBC_dcff3d72dff8467cb2c07ad3b3fc27ca" unitRef="_GBC_bba83c9ffe7341af87411641b3c1153d" addr="T0R7C1S1_1" formatStyle="Comma" appId="_GBC_0c146c68fc034b599b66830a1b8cd6d2"/>
      <m:item xlName="_GBC_fc4f3cd51fbd48ad84fc2a8dc46b5595" concept="clcid-pte:YingShouKuanXiangRongZi" label="应收款项融资" periodRef="本期期初数" mulRef="_GBC_dcff3d72dff8467cb2c07ad3b3fc27ca" unitRef="_GBC_bba83c9ffe7341af87411641b3c1153d" addr="T0R7C2S1_1" formatStyle="Comma" appId="_GBC_0c146c68fc034b599b66830a1b8cd6d2"/>
      <m:item xlName="_GBC_c03fb798fae94ab0ac6eaf690287230c" concept="clcid-pte:YingShouKuanXiangRongZi" label="应收款项融资" mulRef="_GBC_dcff3d72dff8467cb2c07ad3b3fc27ca" unitRef="_GBC_bba83c9ffe7341af87411641b3c1153d" addr="T0R7C3S1_1" formatStyle="Comma" appId="_GBC_0c146c68fc034b599b66830a1b8cd6d2">
        <m:axisValue occRef="调整数"/>
      </m:item>
      <m:placeholder xlName="_PLD_f123b252c73348f09f4751c2b446df85" addr="T0R8C0S1_1"/>
      <m:item xlName="_GBC_af8da6eafac94fee9fdbb1aef21dba2f" concept="clcid-pte:YuFuZhangKuan" label="预付帐款" periodRef="上年期末数" mulRef="_GBC_dcff3d72dff8467cb2c07ad3b3fc27ca" unitRef="_GBC_bba83c9ffe7341af87411641b3c1153d" addr="T0R8C1S1_1" formatStyle="Comma" appId="_GBC_0c146c68fc034b599b66830a1b8cd6d2"/>
      <m:item xlName="_GBC_289dcbd2ace34a4f87ff02034d5aa092" concept="clcid-pte:YuFuZhangKuan" label="预付帐款" periodRef="本期期初数" mulRef="_GBC_dcff3d72dff8467cb2c07ad3b3fc27ca" unitRef="_GBC_bba83c9ffe7341af87411641b3c1153d" addr="T0R8C2S1_1" formatStyle="Comma" appId="_GBC_0c146c68fc034b599b66830a1b8cd6d2"/>
      <m:item xlName="_GBC_b792b50f428446f8a215588bf66e204b" concept="clcid-pte:YuFuZhangKuan" label="预付帐款" mulRef="_GBC_dcff3d72dff8467cb2c07ad3b3fc27ca" unitRef="_GBC_bba83c9ffe7341af87411641b3c1153d" addr="T0R8C3S1_1" formatStyle="Comma" appId="_GBC_0c146c68fc034b599b66830a1b8cd6d2">
        <m:axisValue occRef="调整数"/>
      </m:item>
      <m:placeholder xlName="_PLD_f9eecd36bdbe4763854b3751129ef7db" addr="T0R9C0S1_1"/>
      <m:item xlName="_GBC_59fd9c3e184e478aaa0c599d8b9cb2de" concept="clcid-pte:QiTaYingShouKuan" label="其他应收款" periodRef="上年期末数" mulRef="_GBC_dcff3d72dff8467cb2c07ad3b3fc27ca" unitRef="_GBC_bba83c9ffe7341af87411641b3c1153d" addr="T0R9C1S1_1" formatStyle="Comma" appId="_GBC_0c146c68fc034b599b66830a1b8cd6d2"/>
      <m:item xlName="_GBC_421e15f885e64b32a8ff3f573689d2d3" concept="clcid-pte:QiTaYingShouKuan" label="其他应收款" periodRef="本期期初数" mulRef="_GBC_dcff3d72dff8467cb2c07ad3b3fc27ca" unitRef="_GBC_bba83c9ffe7341af87411641b3c1153d" addr="T0R9C2S1_1" formatStyle="Comma" appId="_GBC_0c146c68fc034b599b66830a1b8cd6d2"/>
      <m:item xlName="_GBC_7b57c586c87f444c9df94f26caaf263f" concept="clcid-pte:QiTaYingShouKuan" label="其他应收款" mulRef="_GBC_dcff3d72dff8467cb2c07ad3b3fc27ca" unitRef="_GBC_bba83c9ffe7341af87411641b3c1153d" addr="T0R9C3S1_1" formatStyle="Comma" appId="_GBC_0c146c68fc034b599b66830a1b8cd6d2">
        <m:axisValue occRef="调整数"/>
      </m:item>
      <m:placeholder xlName="_PLD_e222cb4a9d794216b81d962896df775c" addr="T0R10C0S1_1"/>
      <m:item xlName="_GBC_0f2c0573aa694654853131385bdcf487" concept="clcid-pte:YingShouLiXi" label="应收利息" periodRef="上年期末数" mulRef="_GBC_dcff3d72dff8467cb2c07ad3b3fc27ca" unitRef="_GBC_bba83c9ffe7341af87411641b3c1153d" addr="T0R10C1S1_1" formatStyle="Comma" appId="_GBC_0c146c68fc034b599b66830a1b8cd6d2"/>
      <m:item xlName="_GBC_c93fbbf8cc5a476899d763a755e0ebac" concept="clcid-pte:YingShouLiXi" label="应收利息" periodRef="本期期初数" mulRef="_GBC_dcff3d72dff8467cb2c07ad3b3fc27ca" unitRef="_GBC_bba83c9ffe7341af87411641b3c1153d" addr="T0R10C2S1_1" formatStyle="Comma" appId="_GBC_0c146c68fc034b599b66830a1b8cd6d2"/>
      <m:item xlName="_GBC_c8f7cc9a07ca4ddd9600e0c26610311c" concept="clcid-pte:YingShouLiXi" label="应收利息" mulRef="_GBC_dcff3d72dff8467cb2c07ad3b3fc27ca" unitRef="_GBC_bba83c9ffe7341af87411641b3c1153d" addr="T0R10C3S1_1" formatStyle="Comma" appId="_GBC_0c146c68fc034b599b66830a1b8cd6d2">
        <m:axisValue occRef="调整数"/>
      </m:item>
      <m:placeholder xlName="_PLD_b5072d4cac9645c5a8032b2e8a9a8559" addr="T0R11C0S1_1"/>
      <m:item xlName="_GBC_92f0db47ec93440d92b06bcdf6b876f9" concept="clcid-pte:YingShouGuLi" label="应收股利" periodRef="上年期末数" mulRef="_GBC_dcff3d72dff8467cb2c07ad3b3fc27ca" unitRef="_GBC_bba83c9ffe7341af87411641b3c1153d" addr="T0R11C1S1_1" formatStyle="Comma" appId="_GBC_0c146c68fc034b599b66830a1b8cd6d2"/>
      <m:item xlName="_GBC_9ee1ffac37c34b559745db2ce8b19e7e" concept="clcid-pte:YingShouGuLi" label="应收股利" periodRef="本期期初数" mulRef="_GBC_dcff3d72dff8467cb2c07ad3b3fc27ca" unitRef="_GBC_bba83c9ffe7341af87411641b3c1153d" addr="T0R11C2S1_1" formatStyle="Comma" appId="_GBC_0c146c68fc034b599b66830a1b8cd6d2"/>
      <m:item xlName="_GBC_74192db1fd004d92ad72618a89eea625" concept="clcid-pte:YingShouGuLi" label="应收股利" mulRef="_GBC_dcff3d72dff8467cb2c07ad3b3fc27ca" unitRef="_GBC_bba83c9ffe7341af87411641b3c1153d" addr="T0R11C3S1_1" formatStyle="Comma" appId="_GBC_0c146c68fc034b599b66830a1b8cd6d2">
        <m:axisValue occRef="调整数"/>
      </m:item>
      <m:placeholder xlName="_PLD_e6763617cd81467eb1733c9919037603" addr="T0R12C0S1_1"/>
      <m:item xlName="_GBC_441aeec2e0e1497293900257266eebb9" concept="clcid-pte:CunHuo" label="存货" periodRef="上年期末数" mulRef="_GBC_dcff3d72dff8467cb2c07ad3b3fc27ca" unitRef="_GBC_bba83c9ffe7341af87411641b3c1153d" addr="T0R12C1S1_1" formatStyle="Comma" appId="_GBC_0c146c68fc034b599b66830a1b8cd6d2"/>
      <m:item xlName="_GBC_df5e0463f014473981459bbce2c4b2cb" concept="clcid-pte:CunHuo" label="存货" periodRef="本期期初数" mulRef="_GBC_dcff3d72dff8467cb2c07ad3b3fc27ca" unitRef="_GBC_bba83c9ffe7341af87411641b3c1153d" addr="T0R12C2S1_1" formatStyle="Comma" appId="_GBC_0c146c68fc034b599b66830a1b8cd6d2"/>
      <m:item xlName="_GBC_a6a8243a82154c64b282e185860b031e" concept="clcid-pte:CunHuo" label="存货" mulRef="_GBC_dcff3d72dff8467cb2c07ad3b3fc27ca" unitRef="_GBC_bba83c9ffe7341af87411641b3c1153d" addr="T0R12C3S1_1" formatStyle="Comma" appId="_GBC_0c146c68fc034b599b66830a1b8cd6d2">
        <m:axisValue occRef="调整数"/>
      </m:item>
      <m:placeholder xlName="_PLD_9e319c432b694d8cba89fb4ce099a383" addr="T0R13C0S1_1"/>
      <m:item xlName="_GBC_d29036b5d2d84cd1a6376c99bbb5ca4b" concept="clcid-pte:HeTongZiChan" label="合同资产" periodRef="上年期末数" mulRef="_GBC_dcff3d72dff8467cb2c07ad3b3fc27ca" unitRef="_GBC_bba83c9ffe7341af87411641b3c1153d" addr="T0R13C1S1_1" formatStyle="Comma" appId="_GBC_0c146c68fc034b599b66830a1b8cd6d2"/>
      <m:item xlName="_GBC_71177f00af3d4cc7be8716577e9d6b07" concept="clcid-pte:HeTongZiChan" label="合同资产" periodRef="本期期初数" mulRef="_GBC_dcff3d72dff8467cb2c07ad3b3fc27ca" unitRef="_GBC_bba83c9ffe7341af87411641b3c1153d" addr="T0R13C2S1_1" formatStyle="Comma" appId="_GBC_0c146c68fc034b599b66830a1b8cd6d2"/>
      <m:item xlName="_GBC_31528b6a13f04770a8efa72b1f8975c1" concept="clcid-pte:HeTongZiChan" label="合同资产" mulRef="_GBC_dcff3d72dff8467cb2c07ad3b3fc27ca" unitRef="_GBC_bba83c9ffe7341af87411641b3c1153d" addr="T0R13C3S1_1" formatStyle="Comma" appId="_GBC_0c146c68fc034b599b66830a1b8cd6d2">
        <m:axisValue occRef="调整数"/>
      </m:item>
      <m:placeholder xlName="_PLD_9ca218ad630344e79e4a10581560f428" addr="T0R14C0S1_1"/>
      <m:item xlName="_GBC_8aa4c78a88734c7891e589d8f6fc7c10" concept="clcid-pte:HuaFenWeiChiYouDaiShouDeZiChan" label="划分为持有待售的资产" periodRef="上年期末数" mulRef="_GBC_dcff3d72dff8467cb2c07ad3b3fc27ca" unitRef="_GBC_bba83c9ffe7341af87411641b3c1153d" addr="T0R14C1S1_1" formatStyle="Comma" appId="_GBC_0c146c68fc034b599b66830a1b8cd6d2"/>
      <m:item xlName="_GBC_dfadadef5bf64d79bc63a2d13bb48649" concept="clcid-pte:HuaFenWeiChiYouDaiShouDeZiChan" label="划分为持有待售的资产" periodRef="本期期初数" mulRef="_GBC_dcff3d72dff8467cb2c07ad3b3fc27ca" unitRef="_GBC_bba83c9ffe7341af87411641b3c1153d" addr="T0R14C2S1_1" formatStyle="Comma" appId="_GBC_0c146c68fc034b599b66830a1b8cd6d2"/>
      <m:item xlName="_GBC_60949a25d75548909b32134853ff45bc" concept="clcid-pte:HuaFenWeiChiYouDaiShouDeZiChan" label="划分为持有待售的资产" mulRef="_GBC_dcff3d72dff8467cb2c07ad3b3fc27ca" unitRef="_GBC_bba83c9ffe7341af87411641b3c1153d" addr="T0R14C3S1_1" formatStyle="Comma" appId="_GBC_0c146c68fc034b599b66830a1b8cd6d2">
        <m:axisValue occRef="调整数"/>
      </m:item>
      <m:placeholder xlName="_PLD_b87e65188b0344c5906fddb36011c75e" addr="T0R15C0S1_1"/>
      <m:item xlName="_GBC_4b35d5dc9aeb4d48aa3772339967e77e" concept="clcid-pte:YiNianNeiDaoQiDeFeiLiuDongZiChan" label="一年内到期的非流动资产" periodRef="上年期末数" mulRef="_GBC_dcff3d72dff8467cb2c07ad3b3fc27ca" unitRef="_GBC_bba83c9ffe7341af87411641b3c1153d" addr="T0R15C1S1_1" formatStyle="Comma" appId="_GBC_0c146c68fc034b599b66830a1b8cd6d2"/>
      <m:item xlName="_GBC_5df5f828b4744e0d93a509f4028c40a5" concept="clcid-pte:YiNianNeiDaoQiDeFeiLiuDongZiChan" label="一年内到期的非流动资产" periodRef="本期期初数" mulRef="_GBC_dcff3d72dff8467cb2c07ad3b3fc27ca" unitRef="_GBC_bba83c9ffe7341af87411641b3c1153d" addr="T0R15C2S1_1" formatStyle="Comma" appId="_GBC_0c146c68fc034b599b66830a1b8cd6d2"/>
      <m:item xlName="_GBC_0d330df456854f118e31a93865fc0f79" concept="clcid-pte:YiNianNeiDaoQiDeFeiLiuDongZiChan" label="一年内到期的非流动资产" mulRef="_GBC_dcff3d72dff8467cb2c07ad3b3fc27ca" unitRef="_GBC_bba83c9ffe7341af87411641b3c1153d" addr="T0R15C3S1_1" formatStyle="Comma" appId="_GBC_0c146c68fc034b599b66830a1b8cd6d2">
        <m:axisValue occRef="调整数"/>
      </m:item>
      <m:placeholder xlName="_PLD_1180a8cf327d436281ffea29e3163f4b" addr="T0R16C0S1_1"/>
      <m:item xlName="_GBC_f57f59ccf43c454d95c9f5e078928af0" concept="clcid-pte:QiTaLiuDongZiChan" label="其他流动资产" periodRef="上年期末数" mulRef="_GBC_dcff3d72dff8467cb2c07ad3b3fc27ca" unitRef="_GBC_bba83c9ffe7341af87411641b3c1153d" addr="T0R16C1S1_1" formatStyle="Comma" appId="_GBC_0c146c68fc034b599b66830a1b8cd6d2"/>
      <m:item xlName="_GBC_581c3cc565b94b659cb9acb7832181cd" concept="clcid-pte:QiTaLiuDongZiChan" label="其他流动资产" periodRef="本期期初数" mulRef="_GBC_dcff3d72dff8467cb2c07ad3b3fc27ca" unitRef="_GBC_bba83c9ffe7341af87411641b3c1153d" addr="T0R16C2S1_1" formatStyle="Comma" appId="_GBC_0c146c68fc034b599b66830a1b8cd6d2"/>
      <m:item xlName="_GBC_9ebb38dfaae845d8998dfc1a9ebdaa0a" concept="clcid-pte:QiTaLiuDongZiChan" label="其他流动资产" mulRef="_GBC_dcff3d72dff8467cb2c07ad3b3fc27ca" unitRef="_GBC_bba83c9ffe7341af87411641b3c1153d" addr="T0R16C3S1_1" formatStyle="Comma" appId="_GBC_0c146c68fc034b599b66830a1b8cd6d2">
        <m:axisValue occRef="调整数"/>
      </m:item>
      <m:placeholder xlName="_PLD_245140c81ec84268b6103385a9f7270b" addr="T0R17C0S1_1"/>
      <m:item xlName="_GBC_67117f095d4d4ec4bd2da810406d92ae" concept="clcid-pte:LiuDongZiChanHeJi" label="流动资产合计" periodRef="上年期末数" mulRef="_GBC_dcff3d72dff8467cb2c07ad3b3fc27ca" unitRef="_GBC_bba83c9ffe7341af87411641b3c1153d" addr="T0R17C1S1_1" formatStyle="Comma" appId="_GBC_0c146c68fc034b599b66830a1b8cd6d2">
        <m:complexRule comparator="Eq" title="流动资产合计@上年期末数" test=" $_GBC_9beabf1eccaa4d1fb1e78380fc91eb2a +  $_GBC_96b9dda4f8a54f4384ab6be601b3976c +  $_GBC_64fccfffbbd1476b809b338ff1726c0d +  $_GBC_f1f758b7280f4db4b19b085641f388df +  $_GBC_d3aa7fa7daa04a53983bcb22a4b28f75 +  $_GBC_a79a0300671943b7b8ba122cd3e6022b +  $_GBC_af8da6eafac94fee9fdbb1aef21dba2f +  $_GBC_59fd9c3e184e478aaa0c599d8b9cb2de +  $_GBC_441aeec2e0e1497293900257266eebb9 +  $_GBC_d29036b5d2d84cd1a6376c99bbb5ca4b +  $_GBC_8aa4c78a88734c7891e589d8f6fc7c10 +  $_GBC_4b35d5dc9aeb4d48aa3772339967e77e +  $_GBC_f57f59ccf43c454d95c9f5e078928af0" id="C7ae38be0911f42d68f1637dc19de9157"/>
      </m:item>
      <m:item xlName="_GBC_74f08464c07b4f84aa29c39d17902b90" concept="clcid-pte:LiuDongZiChanHeJi" label="流动资产合计" periodRef="本期期初数" mulRef="_GBC_dcff3d72dff8467cb2c07ad3b3fc27ca" unitRef="_GBC_bba83c9ffe7341af87411641b3c1153d" addr="T0R17C2S1_1" formatStyle="Comma" appId="_GBC_0c146c68fc034b599b66830a1b8cd6d2">
        <m:complexRule comparator="Eq" title="流动资产合计@本期期初数" test=" $_GBC_972791ac5d1943b49b72a11bbc10d2f1 +  $_GBC_62a524295faa4283a7f30ccfa63d5426 +  $_GBC_2235f6e15e4f4093b44c4fd80f189e16 +  $_GBC_f8ab9b47ad1d403cb2a7a6b198eb6c6f +  $_GBC_81d73c21497944dd90f3ced03cee03ba +  $_GBC_fc4f3cd51fbd48ad84fc2a8dc46b5595 +  $_GBC_289dcbd2ace34a4f87ff02034d5aa092 +  $_GBC_421e15f885e64b32a8ff3f573689d2d3 +  $_GBC_df5e0463f014473981459bbce2c4b2cb +  $_GBC_71177f00af3d4cc7be8716577e9d6b07 +  $_GBC_dfadadef5bf64d79bc63a2d13bb48649 +  $_GBC_5df5f828b4744e0d93a509f4028c40a5 +  $_GBC_581c3cc565b94b659cb9acb7832181cd" id="C2cd17e711eec48219dadb9b5bde7caa9"/>
      </m:item>
      <m:item xlName="_GBC_0cd7b8945eba48efa0d49159b26a450a" concept="clcid-pte:LiuDongZiChanHeJi" label="流动资产合计" mulRef="_GBC_dcff3d72dff8467cb2c07ad3b3fc27ca" unitRef="_GBC_bba83c9ffe7341af87411641b3c1153d" addr="T0R17C3S1_1" formatStyle="Comma" appId="_GBC_0c146c68fc034b599b66830a1b8cd6d2">
        <m:complexRule comparator="Eq" title="流动资产合计(调整数)" test=" $_GBC_83a9c710a04b4a23875bce319d1af271 +  $_GBC_23726be0c4384afa83de45770f315fe3 +  $_GBC_4e8179426012451b980cfb4512c6ef11 +  $_GBC_9f9de9cc7230491ea3d5a27db5a09026 +  $_GBC_679b2a5ff7ce40379e88850b11e9cf54 +  $_GBC_c03fb798fae94ab0ac6eaf690287230c +  $_GBC_b792b50f428446f8a215588bf66e204b +  $_GBC_7b57c586c87f444c9df94f26caaf263f +  $_GBC_a6a8243a82154c64b282e185860b031e +  $_GBC_31528b6a13f04770a8efa72b1f8975c1 +  $_GBC_60949a25d75548909b32134853ff45bc +  $_GBC_0d330df456854f118e31a93865fc0f79 +  $_GBC_9ebb38dfaae845d8998dfc1a9ebdaa0a" id="C971a743962f64bdaa4b638f1b77e2484"/>
        <m:axisValue occRef="调整数"/>
      </m:item>
      <m:placeholder xlName="_PLD_f402ebb040a944738332a79e2f4f47c5" addr="T0R18C0S1_4"/>
      <m:placeholder xlName="_PLD_fabd39185a4345b2a7ef313498602cf0" addr="T0R19C0S1_1"/>
      <m:item xlName="_GBC_592671a58fd44114b6ffabb2429e8296" concept="clcid-pte:ZhaiQuanTouZi" label="债权投资" periodRef="上年期末数" mulRef="_GBC_dcff3d72dff8467cb2c07ad3b3fc27ca" unitRef="_GBC_bba83c9ffe7341af87411641b3c1153d" addr="T0R19C1S1_1" formatStyle="Comma" appId="_GBC_0c146c68fc034b599b66830a1b8cd6d2"/>
      <m:item xlName="_GBC_d6e1e43e85ea471482f923fee25f89cf" concept="clcid-pte:ZhaiQuanTouZi" label="债权投资" periodRef="本期期初数" mulRef="_GBC_dcff3d72dff8467cb2c07ad3b3fc27ca" unitRef="_GBC_bba83c9ffe7341af87411641b3c1153d" addr="T0R19C2S1_1" formatStyle="Comma" appId="_GBC_0c146c68fc034b599b66830a1b8cd6d2"/>
      <m:item xlName="_GBC_5f77edeb71e1477bac822b9f82b6a490" concept="clcid-pte:ZhaiQuanTouZi" label="债权投资" mulRef="_GBC_dcff3d72dff8467cb2c07ad3b3fc27ca" unitRef="_GBC_bba83c9ffe7341af87411641b3c1153d" addr="T0R19C3S1_1" formatStyle="Comma" appId="_GBC_0c146c68fc034b599b66830a1b8cd6d2">
        <m:axisValue occRef="调整数"/>
      </m:item>
      <m:placeholder xlName="_PLD_04d92a5406c54b0aa61949df5bd80858" addr="T0R20C0S1_1"/>
      <m:item xlName="_GBC_99c82a0a181246ff922e6a6d626ff8e5" concept="clcid-pte:QiTaZhaiQuanTouZi" label="其他债权投资" periodRef="上年期末数" mulRef="_GBC_dcff3d72dff8467cb2c07ad3b3fc27ca" unitRef="_GBC_bba83c9ffe7341af87411641b3c1153d" addr="T0R20C1S1_1" formatStyle="Comma" appId="_GBC_0c146c68fc034b599b66830a1b8cd6d2"/>
      <m:item xlName="_GBC_2f4520e828894e1aab2755db64303701" concept="clcid-pte:QiTaZhaiQuanTouZi" label="其他债权投资" periodRef="本期期初数" mulRef="_GBC_dcff3d72dff8467cb2c07ad3b3fc27ca" unitRef="_GBC_bba83c9ffe7341af87411641b3c1153d" addr="T0R20C2S1_1" formatStyle="Comma" appId="_GBC_0c146c68fc034b599b66830a1b8cd6d2"/>
      <m:item xlName="_GBC_1040ec516aed4974822bb2452fdac43b" concept="clcid-pte:QiTaZhaiQuanTouZi" label="其他债权投资" mulRef="_GBC_dcff3d72dff8467cb2c07ad3b3fc27ca" unitRef="_GBC_bba83c9ffe7341af87411641b3c1153d" addr="T0R20C3S1_1" formatStyle="Comma" appId="_GBC_0c146c68fc034b599b66830a1b8cd6d2">
        <m:axisValue occRef="调整数"/>
      </m:item>
      <m:placeholder xlName="_PLD_2c66b26470b84e84a2eae1fb7ad8cc4e" addr="T0R21C0S1_1"/>
      <m:item xlName="_GBC_35a96200d608475a96a91ffe8831d718" concept="clcid-pte:ChangQiYingShouKuan" label="长期应收款" periodRef="上年期末数" mulRef="_GBC_dcff3d72dff8467cb2c07ad3b3fc27ca" unitRef="_GBC_bba83c9ffe7341af87411641b3c1153d" addr="T0R21C1S1_1" formatStyle="Comma" appId="_GBC_0c146c68fc034b599b66830a1b8cd6d2"/>
      <m:item xlName="_GBC_a78be59367664fd281b7453b7adf718f" concept="clcid-pte:ChangQiYingShouKuan" label="长期应收款" periodRef="本期期初数" mulRef="_GBC_dcff3d72dff8467cb2c07ad3b3fc27ca" unitRef="_GBC_bba83c9ffe7341af87411641b3c1153d" addr="T0R21C2S1_1" formatStyle="Comma" appId="_GBC_0c146c68fc034b599b66830a1b8cd6d2"/>
      <m:item xlName="_GBC_5976e917f5234af0a9b59cf39de2977a" concept="clcid-pte:ChangQiYingShouKuan" label="长期应收款" mulRef="_GBC_dcff3d72dff8467cb2c07ad3b3fc27ca" unitRef="_GBC_bba83c9ffe7341af87411641b3c1153d" addr="T0R21C3S1_1" formatStyle="Comma" appId="_GBC_0c146c68fc034b599b66830a1b8cd6d2">
        <m:axisValue occRef="调整数"/>
      </m:item>
      <m:placeholder xlName="_PLD_b3bfa2da34bc4a54b5ae8d7e3be0835e" addr="T0R22C0S1_1"/>
      <m:item xlName="_GBC_7529dec8f0224b13b12be53048a7d827" concept="clcid-pte:ChangQiGuQuanTouZi" label="长期股权投资" periodRef="上年期末数" mulRef="_GBC_dcff3d72dff8467cb2c07ad3b3fc27ca" unitRef="_GBC_bba83c9ffe7341af87411641b3c1153d" addr="T0R22C1S1_1" formatStyle="Comma" appId="_GBC_0c146c68fc034b599b66830a1b8cd6d2"/>
      <m:item xlName="_GBC_48a6c5f3fb154826b9524f8e87f3ec52" concept="clcid-pte:ChangQiGuQuanTouZi" label="长期股权投资" periodRef="本期期初数" mulRef="_GBC_dcff3d72dff8467cb2c07ad3b3fc27ca" unitRef="_GBC_bba83c9ffe7341af87411641b3c1153d" addr="T0R22C2S1_1" formatStyle="Comma" appId="_GBC_0c146c68fc034b599b66830a1b8cd6d2"/>
      <m:item xlName="_GBC_1515c84f58cb49f4b89fd5f67419c437" concept="clcid-pte:ChangQiGuQuanTouZi" label="长期股权投资" mulRef="_GBC_dcff3d72dff8467cb2c07ad3b3fc27ca" unitRef="_GBC_bba83c9ffe7341af87411641b3c1153d" addr="T0R22C3S1_1" formatStyle="Comma" appId="_GBC_0c146c68fc034b599b66830a1b8cd6d2">
        <m:axisValue occRef="调整数"/>
      </m:item>
      <m:placeholder xlName="_PLD_dc3ceab010ce47b286ab28fbc673d8c4" addr="T0R23C0S1_1"/>
      <m:item xlName="_GBC_1efffb553a3d448394866b4b3957aa7d" concept="clcid-pte:QiTaQuanYiGongJuTouZi" label="其他权益工具投资" periodRef="上年期末数" mulRef="_GBC_dcff3d72dff8467cb2c07ad3b3fc27ca" unitRef="_GBC_bba83c9ffe7341af87411641b3c1153d" addr="T0R23C1S1_1" formatStyle="Comma" appId="_GBC_0c146c68fc034b599b66830a1b8cd6d2"/>
      <m:item xlName="_GBC_57cc351c6c1a4f2e8dde4b1daf8f3cc8" concept="clcid-pte:QiTaQuanYiGongJuTouZi" label="其他权益工具投资" periodRef="本期期初数" mulRef="_GBC_dcff3d72dff8467cb2c07ad3b3fc27ca" unitRef="_GBC_bba83c9ffe7341af87411641b3c1153d" addr="T0R23C2S1_1" formatStyle="Comma" appId="_GBC_0c146c68fc034b599b66830a1b8cd6d2"/>
      <m:item xlName="_GBC_7fddba8e63fa40b79c507dc46d77ad43" concept="clcid-pte:QiTaQuanYiGongJuTouZi" label="其他权益工具投资" mulRef="_GBC_dcff3d72dff8467cb2c07ad3b3fc27ca" unitRef="_GBC_bba83c9ffe7341af87411641b3c1153d" addr="T0R23C3S1_1" formatStyle="Comma" appId="_GBC_0c146c68fc034b599b66830a1b8cd6d2">
        <m:axisValue occRef="调整数"/>
      </m:item>
      <m:placeholder xlName="_PLD_3ea1657fab04465fa5d6fcd81a08fd8d" addr="T0R24C0S1_1"/>
      <m:item xlName="_GBC_a3d94513984945aeb3a2b45bd3cc62cf" concept="clcid-pte:QiTaFeiLiuDongJinRongZiChan" label="其他非流动金融资产" periodRef="上年期末数" mulRef="_GBC_dcff3d72dff8467cb2c07ad3b3fc27ca" unitRef="_GBC_bba83c9ffe7341af87411641b3c1153d" addr="T0R24C1S1_1" formatStyle="Comma" appId="_GBC_0c146c68fc034b599b66830a1b8cd6d2"/>
      <m:item xlName="_GBC_b13881addf824cdb9fa37fd7d5c862d2" concept="clcid-pte:QiTaFeiLiuDongJinRongZiChan" label="其他非流动金融资产" periodRef="本期期初数" mulRef="_GBC_dcff3d72dff8467cb2c07ad3b3fc27ca" unitRef="_GBC_bba83c9ffe7341af87411641b3c1153d" addr="T0R24C2S1_1" formatStyle="Comma" appId="_GBC_0c146c68fc034b599b66830a1b8cd6d2"/>
      <m:item xlName="_GBC_9088c2c386c8420b80f8ba6a03671858" concept="clcid-pte:QiTaFeiLiuDongJinRongZiChan" label="其他非流动金融资产" mulRef="_GBC_dcff3d72dff8467cb2c07ad3b3fc27ca" unitRef="_GBC_bba83c9ffe7341af87411641b3c1153d" addr="T0R24C3S1_1" formatStyle="Comma" appId="_GBC_0c146c68fc034b599b66830a1b8cd6d2">
        <m:axisValue occRef="调整数"/>
      </m:item>
      <m:placeholder xlName="_PLD_69efcb9347844f569b3f38a01b18eec7" addr="T0R25C0S1_1"/>
      <m:item xlName="_GBC_f7b7b7f2568946fc94eb8f419039a37d" concept="clcid-pte:TouZiXingFangDiChan" label="投资性房地产" periodRef="上年期末数" mulRef="_GBC_dcff3d72dff8467cb2c07ad3b3fc27ca" unitRef="_GBC_bba83c9ffe7341af87411641b3c1153d" addr="T0R25C1S1_1" formatStyle="Comma" appId="_GBC_0c146c68fc034b599b66830a1b8cd6d2"/>
      <m:item xlName="_GBC_1bada74c4cac43878cf2f8b688cca424" concept="clcid-pte:TouZiXingFangDiChan" label="投资性房地产" periodRef="本期期初数" mulRef="_GBC_dcff3d72dff8467cb2c07ad3b3fc27ca" unitRef="_GBC_bba83c9ffe7341af87411641b3c1153d" addr="T0R25C2S1_1" formatStyle="Comma" appId="_GBC_0c146c68fc034b599b66830a1b8cd6d2"/>
      <m:item xlName="_GBC_a89ed75e22924282b923d0b0b1e21132" concept="clcid-pte:TouZiXingFangDiChan" label="投资性房地产" mulRef="_GBC_dcff3d72dff8467cb2c07ad3b3fc27ca" unitRef="_GBC_bba83c9ffe7341af87411641b3c1153d" addr="T0R25C3S1_1" formatStyle="Comma" appId="_GBC_0c146c68fc034b599b66830a1b8cd6d2">
        <m:axisValue occRef="调整数"/>
      </m:item>
      <m:placeholder xlName="_PLD_02bad7f751664a43a0523d33840e54e6" addr="T0R26C0S1_1"/>
      <m:item xlName="_GBC_0e1eacdf12f249439f8cc837c96ca9dd" concept="clcid-pte:GuDingZiChanJingE" label="固定资产净额" periodRef="上年期末数" mulRef="_GBC_dcff3d72dff8467cb2c07ad3b3fc27ca" unitRef="_GBC_bba83c9ffe7341af87411641b3c1153d" addr="T0R26C1S1_1" formatStyle="Comma" appId="_GBC_0c146c68fc034b599b66830a1b8cd6d2"/>
      <m:item xlName="_GBC_c95319469e46404d943f540e9e49d30c" concept="clcid-pte:GuDingZiChanJingE" label="固定资产净额" periodRef="本期期初数" mulRef="_GBC_dcff3d72dff8467cb2c07ad3b3fc27ca" unitRef="_GBC_bba83c9ffe7341af87411641b3c1153d" addr="T0R26C2S1_1" formatStyle="Comma" appId="_GBC_0c146c68fc034b599b66830a1b8cd6d2"/>
      <m:item xlName="_GBC_096c88d7b1cb4a18b8a72965eaa9fd40" concept="clcid-pte:GuDingZiChanJingE" label="固定资产净额" mulRef="_GBC_dcff3d72dff8467cb2c07ad3b3fc27ca" unitRef="_GBC_bba83c9ffe7341af87411641b3c1153d" addr="T0R26C3S1_1" formatStyle="Comma" appId="_GBC_0c146c68fc034b599b66830a1b8cd6d2">
        <m:axisValue occRef="调整数"/>
      </m:item>
      <m:placeholder xlName="_PLD_de855334ce3349f583beeb31fdd6d9de" addr="T0R27C0S1_1"/>
      <m:item xlName="_GBC_cb8f27bf36e14e549d2d9093c94865be" concept="clcid-pte:ZaiJianGongCheng" label="在建工程" periodRef="上年期末数" mulRef="_GBC_dcff3d72dff8467cb2c07ad3b3fc27ca" unitRef="_GBC_bba83c9ffe7341af87411641b3c1153d" addr="T0R27C1S1_1" formatStyle="Comma" appId="_GBC_0c146c68fc034b599b66830a1b8cd6d2"/>
      <m:item xlName="_GBC_870bd8ffaf0a4d9fbed0079be6d5b421" concept="clcid-pte:ZaiJianGongCheng" label="在建工程" periodRef="本期期初数" mulRef="_GBC_dcff3d72dff8467cb2c07ad3b3fc27ca" unitRef="_GBC_bba83c9ffe7341af87411641b3c1153d" addr="T0R27C2S1_1" formatStyle="Comma" appId="_GBC_0c146c68fc034b599b66830a1b8cd6d2"/>
      <m:item xlName="_GBC_57a4fe9b90344368a17f985d190f1581" concept="clcid-pte:ZaiJianGongCheng" label="在建工程" mulRef="_GBC_dcff3d72dff8467cb2c07ad3b3fc27ca" unitRef="_GBC_bba83c9ffe7341af87411641b3c1153d" addr="T0R27C3S1_1" formatStyle="Comma" appId="_GBC_0c146c68fc034b599b66830a1b8cd6d2">
        <m:axisValue occRef="调整数"/>
      </m:item>
      <m:placeholder xlName="_PLD_a8c5bfb60ff04372bdf798453c2bdcf9" addr="T0R28C0S1_1"/>
      <m:item xlName="_GBC_6256ccbc440a41f6a10eccdda374ba9f" concept="clcid-pte:ShengChanXingShengWuZiChan" label="生产性生物资产" periodRef="上年期末数" mulRef="_GBC_dcff3d72dff8467cb2c07ad3b3fc27ca" unitRef="_GBC_bba83c9ffe7341af87411641b3c1153d" addr="T0R28C1S1_1" formatStyle="Comma" appId="_GBC_0c146c68fc034b599b66830a1b8cd6d2"/>
      <m:item xlName="_GBC_974913ae652649ff97a63b95484c50e8" concept="clcid-pte:ShengChanXingShengWuZiChan" label="生产性生物资产" periodRef="本期期初数" mulRef="_GBC_dcff3d72dff8467cb2c07ad3b3fc27ca" unitRef="_GBC_bba83c9ffe7341af87411641b3c1153d" addr="T0R28C2S1_1" formatStyle="Comma" appId="_GBC_0c146c68fc034b599b66830a1b8cd6d2"/>
      <m:item xlName="_GBC_e2d480adb3a5476bbb7f74278ee705b6" concept="clcid-pte:ShengChanXingShengWuZiChan" label="生产性生物资产" mulRef="_GBC_dcff3d72dff8467cb2c07ad3b3fc27ca" unitRef="_GBC_bba83c9ffe7341af87411641b3c1153d" addr="T0R28C3S1_1" formatStyle="Comma" appId="_GBC_0c146c68fc034b599b66830a1b8cd6d2">
        <m:axisValue occRef="调整数"/>
      </m:item>
      <m:placeholder xlName="_PLD_4022ef5d41a0443e8e3037995f0b6829" addr="T0R29C0S1_1"/>
      <m:item xlName="_GBC_4a3f71a1d0404d2ca0c8b2b8db4cc110" concept="clcid-pte:YouQiZiChan" label="油气资产" periodRef="上年期末数" mulRef="_GBC_dcff3d72dff8467cb2c07ad3b3fc27ca" unitRef="_GBC_bba83c9ffe7341af87411641b3c1153d" addr="T0R29C1S1_1" formatStyle="Comma" appId="_GBC_0c146c68fc034b599b66830a1b8cd6d2"/>
      <m:item xlName="_GBC_4ba413a1306c4e6ba37bb7561e9a1f89" concept="clcid-pte:YouQiZiChan" label="油气资产" periodRef="本期期初数" mulRef="_GBC_dcff3d72dff8467cb2c07ad3b3fc27ca" unitRef="_GBC_bba83c9ffe7341af87411641b3c1153d" addr="T0R29C2S1_1" formatStyle="Comma" appId="_GBC_0c146c68fc034b599b66830a1b8cd6d2"/>
      <m:item xlName="_GBC_669d31c8e54b4761b4d05cb0670c9bcd" concept="clcid-pte:YouQiZiChan" label="油气资产" mulRef="_GBC_dcff3d72dff8467cb2c07ad3b3fc27ca" unitRef="_GBC_bba83c9ffe7341af87411641b3c1153d" addr="T0R29C3S1_1" formatStyle="Comma" appId="_GBC_0c146c68fc034b599b66830a1b8cd6d2">
        <m:axisValue occRef="调整数"/>
      </m:item>
      <m:placeholder xlName="_PLD_ca85d700f22e456393b5f539ca9465c3" addr="T0R30C0S1_1"/>
      <m:item xlName="_GBC_631569f4f97c4640832dc5592d3452d2" concept="clcid-pte:ShiYongQuanZiChan" label="使用权资产" periodRef="上年期末数" mulRef="_GBC_dcff3d72dff8467cb2c07ad3b3fc27ca" unitRef="_GBC_bba83c9ffe7341af87411641b3c1153d" addr="T0R30C1S1_1" formatStyle="Comma" appId="_GBC_0c146c68fc034b599b66830a1b8cd6d2"/>
      <m:item xlName="_GBC_cd5e1c30552745fa920dba032a208523" concept="clcid-pte:ShiYongQuanZiChan" label="使用权资产" periodRef="本期期初数" mulRef="_GBC_dcff3d72dff8467cb2c07ad3b3fc27ca" unitRef="_GBC_bba83c9ffe7341af87411641b3c1153d" addr="T0R30C2S1_1" formatStyle="Comma" appId="_GBC_0c146c68fc034b599b66830a1b8cd6d2"/>
      <m:item xlName="_GBC_2ef595e021834dccaa70a3be7275cb6a" concept="clcid-pte:ShiYongQuanZiChan" label="使用权资产" mulRef="_GBC_dcff3d72dff8467cb2c07ad3b3fc27ca" unitRef="_GBC_bba83c9ffe7341af87411641b3c1153d" addr="T0R30C3S1_1" formatStyle="Comma" appId="_GBC_0c146c68fc034b599b66830a1b8cd6d2">
        <m:axisValue occRef="调整数"/>
      </m:item>
      <m:placeholder xlName="_PLD_ff22e21a832e498fb6b9f377d6f0f63e" addr="T0R31C0S1_1"/>
      <m:item xlName="_GBC_a0160f3815b24ed699cde9e7f6444b27" concept="clcid-pte:WuXingZiChan" label="无形资产" periodRef="上年期末数" mulRef="_GBC_dcff3d72dff8467cb2c07ad3b3fc27ca" unitRef="_GBC_bba83c9ffe7341af87411641b3c1153d" addr="T0R31C1S1_1" formatStyle="Comma" appId="_GBC_0c146c68fc034b599b66830a1b8cd6d2"/>
      <m:item xlName="_GBC_1d28a2fb11a749ca9e958fc4e555a743" concept="clcid-pte:WuXingZiChan" label="无形资产" periodRef="本期期初数" mulRef="_GBC_dcff3d72dff8467cb2c07ad3b3fc27ca" unitRef="_GBC_bba83c9ffe7341af87411641b3c1153d" addr="T0R31C2S1_1" formatStyle="Comma" appId="_GBC_0c146c68fc034b599b66830a1b8cd6d2"/>
      <m:item xlName="_GBC_722760fb40db4bf59252e961e966b74a" concept="clcid-pte:WuXingZiChan" label="无形资产" mulRef="_GBC_dcff3d72dff8467cb2c07ad3b3fc27ca" unitRef="_GBC_bba83c9ffe7341af87411641b3c1153d" addr="T0R31C3S1_1" formatStyle="Comma" appId="_GBC_0c146c68fc034b599b66830a1b8cd6d2">
        <m:axisValue occRef="调整数"/>
      </m:item>
      <m:placeholder xlName="_PLD_74e5e10ae5f845fc9aee3091f6476d56" addr="T0R32C0S1_1"/>
      <m:item xlName="_GBC_703c3f4be5e040b3ba1a5c43ef9b8651" concept="clcid-pte:KaiFaZhiChu" label="开发支出" periodRef="上年期末数" mulRef="_GBC_dcff3d72dff8467cb2c07ad3b3fc27ca" unitRef="_GBC_bba83c9ffe7341af87411641b3c1153d" addr="T0R32C1S1_1" formatStyle="Comma" appId="_GBC_0c146c68fc034b599b66830a1b8cd6d2"/>
      <m:item xlName="_GBC_8c6a84bd84994cf38299efd0a6786826" concept="clcid-pte:KaiFaZhiChu" label="开发支出" periodRef="本期期初数" mulRef="_GBC_dcff3d72dff8467cb2c07ad3b3fc27ca" unitRef="_GBC_bba83c9ffe7341af87411641b3c1153d" addr="T0R32C2S1_1" formatStyle="Comma" appId="_GBC_0c146c68fc034b599b66830a1b8cd6d2"/>
      <m:item xlName="_GBC_cf387653fe7c4210bbd8481adcc11fe1" concept="clcid-pte:KaiFaZhiChu" label="开发支出" mulRef="_GBC_dcff3d72dff8467cb2c07ad3b3fc27ca" unitRef="_GBC_bba83c9ffe7341af87411641b3c1153d" addr="T0R32C3S1_1" formatStyle="Comma" appId="_GBC_0c146c68fc034b599b66830a1b8cd6d2">
        <m:axisValue occRef="调整数"/>
      </m:item>
      <m:placeholder xlName="_PLD_a45a49d26d2f4c68947336fd41b32701" addr="T0R33C0S1_1"/>
      <m:item xlName="_GBC_5dce2eb8b49e40efa15e40b1f041af1b" concept="clcid-pte:ShangYu" label="商誉" periodRef="上年期末数" mulRef="_GBC_dcff3d72dff8467cb2c07ad3b3fc27ca" unitRef="_GBC_bba83c9ffe7341af87411641b3c1153d" addr="T0R33C1S1_1" formatStyle="Comma" appId="_GBC_0c146c68fc034b599b66830a1b8cd6d2"/>
      <m:item xlName="_GBC_0c5d2dc3eb0343ca8f60b320ff60d83b" concept="clcid-pte:ShangYu" label="商誉" periodRef="本期期初数" mulRef="_GBC_dcff3d72dff8467cb2c07ad3b3fc27ca" unitRef="_GBC_bba83c9ffe7341af87411641b3c1153d" addr="T0R33C2S1_1" formatStyle="Comma" appId="_GBC_0c146c68fc034b599b66830a1b8cd6d2"/>
      <m:item xlName="_GBC_3988ac1f4ef64934adfc809225b93785" concept="clcid-pte:ShangYu" label="商誉" mulRef="_GBC_dcff3d72dff8467cb2c07ad3b3fc27ca" unitRef="_GBC_bba83c9ffe7341af87411641b3c1153d" addr="T0R33C3S1_1" formatStyle="Comma" appId="_GBC_0c146c68fc034b599b66830a1b8cd6d2">
        <m:axisValue occRef="调整数"/>
      </m:item>
      <m:placeholder xlName="_PLD_6a14ad214aae4e6abae7ddc1201c9ffb" addr="T0R34C0S1_1"/>
      <m:item xlName="_GBC_da0a4549ea3f4ba686dc32b3d0264ef5" concept="clcid-pte:ChangQiDaiTanFeiYong" label="长期待摊费用" periodRef="上年期末数" mulRef="_GBC_dcff3d72dff8467cb2c07ad3b3fc27ca" unitRef="_GBC_bba83c9ffe7341af87411641b3c1153d" addr="T0R34C1S1_1" formatStyle="Comma" appId="_GBC_0c146c68fc034b599b66830a1b8cd6d2"/>
      <m:item xlName="_GBC_be862f9fcceb4871b9b12cea4e40f2b6" concept="clcid-pte:ChangQiDaiTanFeiYong" label="长期待摊费用" periodRef="本期期初数" mulRef="_GBC_dcff3d72dff8467cb2c07ad3b3fc27ca" unitRef="_GBC_bba83c9ffe7341af87411641b3c1153d" addr="T0R34C2S1_1" formatStyle="Comma" appId="_GBC_0c146c68fc034b599b66830a1b8cd6d2"/>
      <m:item xlName="_GBC_487cfb2e03a44a2dad9c8af27184a789" concept="clcid-pte:ChangQiDaiTanFeiYong" label="长期待摊费用" mulRef="_GBC_dcff3d72dff8467cb2c07ad3b3fc27ca" unitRef="_GBC_bba83c9ffe7341af87411641b3c1153d" addr="T0R34C3S1_1" formatStyle="Comma" appId="_GBC_0c146c68fc034b599b66830a1b8cd6d2">
        <m:axisValue occRef="调整数"/>
      </m:item>
      <m:placeholder xlName="_PLD_3cd870f3c904451dadff7920ef0ce9ca" addr="T0R35C0S1_1"/>
      <m:item xlName="_GBC_1760809c1e574c2c9a8c3a462c2f6adc" concept="clcid-pte:DiYanShuiKuanJieXiangHeJi" label="递延税款借项合计" periodRef="上年期末数" mulRef="_GBC_dcff3d72dff8467cb2c07ad3b3fc27ca" unitRef="_GBC_bba83c9ffe7341af87411641b3c1153d" addr="T0R35C1S1_1" formatStyle="Comma" appId="_GBC_0c146c68fc034b599b66830a1b8cd6d2"/>
      <m:item xlName="_GBC_2fc154d8545647d1adeeef7f0170f953" concept="clcid-pte:DiYanShuiKuanJieXiangHeJi" label="递延税款借项合计" periodRef="本期期初数" mulRef="_GBC_dcff3d72dff8467cb2c07ad3b3fc27ca" unitRef="_GBC_bba83c9ffe7341af87411641b3c1153d" addr="T0R35C2S1_1" formatStyle="Comma" appId="_GBC_0c146c68fc034b599b66830a1b8cd6d2"/>
      <m:item xlName="_GBC_a2cc0ae8441043b98881fa2ca8e64255" concept="clcid-pte:DiYanShuiKuanJieXiangHeJi" label="递延税款借项合计" mulRef="_GBC_dcff3d72dff8467cb2c07ad3b3fc27ca" unitRef="_GBC_bba83c9ffe7341af87411641b3c1153d" addr="T0R35C3S1_1" formatStyle="Comma" appId="_GBC_0c146c68fc034b599b66830a1b8cd6d2">
        <m:axisValue occRef="调整数"/>
      </m:item>
      <m:placeholder xlName="_PLD_61d2174d584a4c69a9b7d52cd252fec1" addr="T0R36C0S1_1"/>
      <m:item xlName="_GBC_996173cf920d45baa9ba0e16aea3a18b" concept="clcid-pte:QiTaChangQiZiChan" label="其他长期资产" periodRef="上年期末数" mulRef="_GBC_dcff3d72dff8467cb2c07ad3b3fc27ca" unitRef="_GBC_bba83c9ffe7341af87411641b3c1153d" addr="T0R36C1S1_1" formatStyle="Comma" appId="_GBC_0c146c68fc034b599b66830a1b8cd6d2"/>
      <m:item xlName="_GBC_da29a301ee374d61bd9d619118d40242" concept="clcid-pte:QiTaChangQiZiChan" label="其他长期资产" periodRef="本期期初数" mulRef="_GBC_dcff3d72dff8467cb2c07ad3b3fc27ca" unitRef="_GBC_bba83c9ffe7341af87411641b3c1153d" addr="T0R36C2S1_1" formatStyle="Comma" appId="_GBC_0c146c68fc034b599b66830a1b8cd6d2"/>
      <m:item xlName="_GBC_11b122d370144184adf28d9ee103290e" concept="clcid-pte:QiTaChangQiZiChan" label="其他长期资产" mulRef="_GBC_dcff3d72dff8467cb2c07ad3b3fc27ca" unitRef="_GBC_bba83c9ffe7341af87411641b3c1153d" addr="T0R36C3S1_1" formatStyle="Comma" appId="_GBC_0c146c68fc034b599b66830a1b8cd6d2">
        <m:axisValue occRef="调整数"/>
      </m:item>
      <m:placeholder xlName="_PLD_f33891d7b52a472db491e21905f7cec0" addr="T0R37C0S1_1"/>
      <m:item xlName="_GBC_7d7dba5af4ff4a9f8b3bbe635b089bf8" concept="clcid-pte:FeiLiuDongZiChanHeJi" label="非流动资产合计" periodRef="上年期末数" mulRef="_GBC_dcff3d72dff8467cb2c07ad3b3fc27ca" unitRef="_GBC_bba83c9ffe7341af87411641b3c1153d" addr="T0R37C1S1_1" formatStyle="Comma" appId="_GBC_0c146c68fc034b599b66830a1b8cd6d2">
        <m:complexRule comparator="Eq" title="非流动资产合计" test=" $_GBC_592671a58fd44114b6ffabb2429e8296 +  $_GBC_99c82a0a181246ff922e6a6d626ff8e5 +  $_GBC_35a96200d608475a96a91ffe8831d718 +  $_GBC_7529dec8f0224b13b12be53048a7d827 +  $_GBC_1efffb553a3d448394866b4b3957aa7d +  $_GBC_a3d94513984945aeb3a2b45bd3cc62cf +  $_GBC_f7b7b7f2568946fc94eb8f419039a37d +  $_GBC_0e1eacdf12f249439f8cc837c96ca9dd +  $_GBC_cb8f27bf36e14e549d2d9093c94865be +  $_GBC_6256ccbc440a41f6a10eccdda374ba9f +  $_GBC_4a3f71a1d0404d2ca0c8b2b8db4cc110 +  $_GBC_631569f4f97c4640832dc5592d3452d2 +  $_GBC_a0160f3815b24ed699cde9e7f6444b27 +  $_GBC_703c3f4be5e040b3ba1a5c43ef9b8651 +  $_GBC_5dce2eb8b49e40efa15e40b1f041af1b +  $_GBC_da0a4549ea3f4ba686dc32b3d0264ef5 +  $_GBC_1760809c1e574c2c9a8c3a462c2f6adc +  $_GBC_996173cf920d45baa9ba0e16aea3a18b" id="C379518ba10a942faabb5fc418b2d6a7c"/>
      </m:item>
      <m:item xlName="_GBC_257874c3a2524daa973fdc79942f7d40" concept="clcid-pte:FeiLiuDongZiChanHeJi" label="非流动资产合计" periodRef="本期期初数" mulRef="_GBC_dcff3d72dff8467cb2c07ad3b3fc27ca" unitRef="_GBC_bba83c9ffe7341af87411641b3c1153d" addr="T0R37C2S1_1" formatStyle="Comma" appId="_GBC_0c146c68fc034b599b66830a1b8cd6d2">
        <m:complexRule comparator="Eq" title="非流动资产合计@本期期初数" test=" $_GBC_d6e1e43e85ea471482f923fee25f89cf +  $_GBC_2f4520e828894e1aab2755db64303701 +  $_GBC_a78be59367664fd281b7453b7adf718f +  $_GBC_48a6c5f3fb154826b9524f8e87f3ec52 +  $_GBC_57cc351c6c1a4f2e8dde4b1daf8f3cc8 +  $_GBC_b13881addf824cdb9fa37fd7d5c862d2 +  $_GBC_1bada74c4cac43878cf2f8b688cca424 +  $_GBC_c95319469e46404d943f540e9e49d30c +  $_GBC_870bd8ffaf0a4d9fbed0079be6d5b421 +  $_GBC_974913ae652649ff97a63b95484c50e8 +  $_GBC_4ba413a1306c4e6ba37bb7561e9a1f89 +  $_GBC_cd5e1c30552745fa920dba032a208523 +  $_GBC_1d28a2fb11a749ca9e958fc4e555a743 +  $_GBC_8c6a84bd84994cf38299efd0a6786826 +  $_GBC_0c5d2dc3eb0343ca8f60b320ff60d83b +  $_GBC_be862f9fcceb4871b9b12cea4e40f2b6 +  $_GBC_2fc154d8545647d1adeeef7f0170f953 +  $_GBC_da29a301ee374d61bd9d619118d40242" id="C04cfc24977944a0abc490a5f62b5658d"/>
      </m:item>
      <m:item xlName="_GBC_1abdbe630539479da70ee623f0958d4d" concept="clcid-pte:FeiLiuDongZiChanHeJi" label="非流动资产合计" mulRef="_GBC_dcff3d72dff8467cb2c07ad3b3fc27ca" unitRef="_GBC_bba83c9ffe7341af87411641b3c1153d" addr="T0R37C3S1_1" formatStyle="Comma" appId="_GBC_0c146c68fc034b599b66830a1b8cd6d2">
        <m:complexRule comparator="Eq" title="非流动资产合计(调整数)" test=" $_GBC_5f77edeb71e1477bac822b9f82b6a490 +  $_GBC_1040ec516aed4974822bb2452fdac43b +  $_GBC_5976e917f5234af0a9b59cf39de2977a +  $_GBC_1515c84f58cb49f4b89fd5f67419c437 +  $_GBC_7fddba8e63fa40b79c507dc46d77ad43 +  $_GBC_9088c2c386c8420b80f8ba6a03671858 +  $_GBC_a89ed75e22924282b923d0b0b1e21132 +  $_GBC_096c88d7b1cb4a18b8a72965eaa9fd40 +  $_GBC_57a4fe9b90344368a17f985d190f1581 +  $_GBC_e2d480adb3a5476bbb7f74278ee705b6 +  $_GBC_669d31c8e54b4761b4d05cb0670c9bcd +  $_GBC_2ef595e021834dccaa70a3be7275cb6a +  $_GBC_722760fb40db4bf59252e961e966b74a +  $_GBC_cf387653fe7c4210bbd8481adcc11fe1 +  $_GBC_3988ac1f4ef64934adfc809225b93785 +  $_GBC_487cfb2e03a44a2dad9c8af27184a789 +  $_GBC_a2cc0ae8441043b98881fa2ca8e64255 +  $_GBC_11b122d370144184adf28d9ee103290e" id="Cafd67b8cb19543ea839a3947135956ed"/>
        <m:axisValue occRef="调整数"/>
      </m:item>
      <m:placeholder xlName="_PLD_76e68520cc63418887b6f98c1f6b87c2" addr="T0R38C0S1_1"/>
      <m:item xlName="_GBC_4f5c2c52527646fb8133adc67711253b" concept="clcid-pte:ZiChanZongJi" label="资产总计" periodRef="上年期末数" mulRef="_GBC_dcff3d72dff8467cb2c07ad3b3fc27ca" unitRef="_GBC_bba83c9ffe7341af87411641b3c1153d" addr="T0R38C1S1_1" formatStyle="Comma" appId="_GBC_0c146c68fc034b599b66830a1b8cd6d2">
        <m:complexRule comparator="Eq" title="资产总计" test=" $_GBC_67117f095d4d4ec4bd2da810406d92ae +  $_GBC_7d7dba5af4ff4a9f8b3bbe635b089bf8" id="C50ee0abfae024adfb7cee6769bdbf954"/>
        <m:complexRule comparator="Eq" title="资产总计" test=" $_GBC_9e811db3409f465ca893ea4709a33e4b" id="C3059bc5af5bc40c99581db4a5f86f797"/>
      </m:item>
      <m:item xlName="_GBC_2fce1cd0c99b4fa38c21e6129806edff" concept="clcid-pte:ZiChanZongJi" label="资产总计" periodRef="本期期初数" mulRef="_GBC_dcff3d72dff8467cb2c07ad3b3fc27ca" unitRef="_GBC_bba83c9ffe7341af87411641b3c1153d" addr="T0R38C2S1_1" formatStyle="Comma" appId="_GBC_0c146c68fc034b599b66830a1b8cd6d2">
        <m:complexRule comparator="Eq" title="资产总计@本期期初数" test=" $_GBC_74f08464c07b4f84aa29c39d17902b90 +  $_GBC_257874c3a2524daa973fdc79942f7d40" id="C2c0105af19304a43b3c46264579fe31c"/>
        <m:complexRule comparator="Eq" title="资产总计@本期期初数" test=" $_GBC_e05928b4bb4840d8956ba1c798dcf499" id="C8b9585accd4c485c9e0f14c5de9ffcf0"/>
      </m:item>
      <m:item xlName="_GBC_9de4136900ca41cca44153138ec57096" concept="clcid-pte:ZiChanZongJi" label="资产总计" mulRef="_GBC_dcff3d72dff8467cb2c07ad3b3fc27ca" unitRef="_GBC_bba83c9ffe7341af87411641b3c1153d" addr="T0R38C3S1_1" formatStyle="Comma" appId="_GBC_0c146c68fc034b599b66830a1b8cd6d2">
        <m:complexRule comparator="Eq" title="资产总计(调整数)" test=" $_GBC_0cd7b8945eba48efa0d49159b26a450a +  $_GBC_1abdbe630539479da70ee623f0958d4d" id="C40faac99410a4ee8bb185dda285ac255"/>
        <m:complexRule comparator="Eq" test=" $_GBC_201237931e924bcf85a6943c36038f3f" id="C0bc2880b84ea41ea83f3b99f38d65695"/>
        <m:axisValue occRef="调整数"/>
      </m:item>
      <m:placeholder xlName="_PLD_85f674ac8da64e6dba565443f27ecf89" addr="T0R39C0S1_4"/>
      <m:placeholder xlName="_PLD_d80e10844c314087b2a14e0e07ec96a6" addr="T0R40C0S1_1"/>
      <m:item xlName="_GBC_93141312fd1a4bd8b9a250ebeab766c1" concept="clcid-pte:DuanQiJieKuan" label="短期借款" periodRef="上年期末数" mulRef="_GBC_dcff3d72dff8467cb2c07ad3b3fc27ca" unitRef="_GBC_bba83c9ffe7341af87411641b3c1153d" addr="T0R40C1S1_1" formatStyle="Comma" appId="_GBC_0c146c68fc034b599b66830a1b8cd6d2"/>
      <m:item xlName="_GBC_55f2e5aefda44f27b36e4502a4fb6a9a" concept="clcid-pte:DuanQiJieKuan" label="短期借款" periodRef="本期期初数" mulRef="_GBC_dcff3d72dff8467cb2c07ad3b3fc27ca" unitRef="_GBC_bba83c9ffe7341af87411641b3c1153d" addr="T0R40C2S1_1" formatStyle="Comma" appId="_GBC_0c146c68fc034b599b66830a1b8cd6d2"/>
      <m:item xlName="_GBC_a141cb433b9843b6aab1c6537b44f51a" concept="clcid-pte:DuanQiJieKuan" label="短期借款" mulRef="_GBC_dcff3d72dff8467cb2c07ad3b3fc27ca" unitRef="_GBC_bba83c9ffe7341af87411641b3c1153d" addr="T0R40C3S1_1" formatStyle="Comma" appId="_GBC_0c146c68fc034b599b66830a1b8cd6d2">
        <m:axisValue occRef="调整数"/>
      </m:item>
      <m:placeholder xlName="_PLD_6f520e391fc448cba242eea80388bb27" addr="T0R41C0S1_1"/>
      <m:item xlName="_GBC_7763609f42fd4ff4a3ff5b0f5a30fa52" concept="clcid-pte:JiaoYiXingJinRongFuZhai" label="交易性金融负债" periodRef="上年期末数" mulRef="_GBC_dcff3d72dff8467cb2c07ad3b3fc27ca" unitRef="_GBC_bba83c9ffe7341af87411641b3c1153d" addr="T0R41C1S1_1" formatStyle="Comma" appId="_GBC_0c146c68fc034b599b66830a1b8cd6d2"/>
      <m:item xlName="_GBC_846123f145ed4311af51172bbed14563" concept="clcid-pte:JiaoYiXingJinRongFuZhai" label="交易性金融负债" periodRef="本期期初数" mulRef="_GBC_dcff3d72dff8467cb2c07ad3b3fc27ca" unitRef="_GBC_bba83c9ffe7341af87411641b3c1153d" addr="T0R41C2S1_1" formatStyle="Comma" appId="_GBC_0c146c68fc034b599b66830a1b8cd6d2"/>
      <m:item xlName="_GBC_5d63a5a94b434c51bd8609253e6b2aa5" concept="clcid-pte:JiaoYiXingJinRongFuZhai" label="交易性金融负债" mulRef="_GBC_dcff3d72dff8467cb2c07ad3b3fc27ca" unitRef="_GBC_bba83c9ffe7341af87411641b3c1153d" addr="T0R41C3S1_1" formatStyle="Comma" appId="_GBC_0c146c68fc034b599b66830a1b8cd6d2">
        <m:axisValue occRef="调整数"/>
      </m:item>
      <m:placeholder xlName="_PLD_4f23920868c04142a5980c1fb018e6b0" addr="T0R42C0S1_1"/>
      <m:item xlName="_GBC_106b4d877a6c428b95988af26459e9be" concept="clcid-pte:YanShengJinRongFuZhai" label="衍生金融负债" periodRef="上年期末数" mulRef="_GBC_dcff3d72dff8467cb2c07ad3b3fc27ca" unitRef="_GBC_bba83c9ffe7341af87411641b3c1153d" addr="T0R42C1S1_1" formatStyle="Comma" appId="_GBC_0c146c68fc034b599b66830a1b8cd6d2"/>
      <m:item xlName="_GBC_92e1cd6087c144db9f7347a5a35a8a69" concept="clcid-pte:YanShengJinRongFuZhai" label="衍生金融负债" periodRef="本期期初数" mulRef="_GBC_dcff3d72dff8467cb2c07ad3b3fc27ca" unitRef="_GBC_bba83c9ffe7341af87411641b3c1153d" addr="T0R42C2S1_1" formatStyle="Comma" appId="_GBC_0c146c68fc034b599b66830a1b8cd6d2"/>
      <m:item xlName="_GBC_6a741d9547204dc29650169b960b9449" concept="clcid-pte:YanShengJinRongFuZhai" label="衍生金融负债" mulRef="_GBC_dcff3d72dff8467cb2c07ad3b3fc27ca" unitRef="_GBC_bba83c9ffe7341af87411641b3c1153d" addr="T0R42C3S1_1" formatStyle="Comma" appId="_GBC_0c146c68fc034b599b66830a1b8cd6d2">
        <m:axisValue occRef="调整数"/>
      </m:item>
      <m:placeholder xlName="_PLD_a819e0cd01b84f49b71427ea8732d00a" addr="T0R43C0S1_1"/>
      <m:item xlName="_GBC_7ac5491efdec4b65a1d33029164c0bc0" concept="clcid-pte:YingFuPiaoJu" label="应付票据" periodRef="上年期末数" mulRef="_GBC_dcff3d72dff8467cb2c07ad3b3fc27ca" unitRef="_GBC_bba83c9ffe7341af87411641b3c1153d" addr="T0R43C1S1_1" formatStyle="Comma" appId="_GBC_0c146c68fc034b599b66830a1b8cd6d2"/>
      <m:item xlName="_GBC_1d383768496146c186631277425bffc5" concept="clcid-pte:YingFuPiaoJu" label="应付票据" periodRef="本期期初数" mulRef="_GBC_dcff3d72dff8467cb2c07ad3b3fc27ca" unitRef="_GBC_bba83c9ffe7341af87411641b3c1153d" addr="T0R43C2S1_1" formatStyle="Comma" appId="_GBC_0c146c68fc034b599b66830a1b8cd6d2"/>
      <m:item xlName="_GBC_fe2c89a748874c68a0b2b440f9fe3583" concept="clcid-pte:YingFuPiaoJu" label="应付票据" mulRef="_GBC_dcff3d72dff8467cb2c07ad3b3fc27ca" unitRef="_GBC_bba83c9ffe7341af87411641b3c1153d" addr="T0R43C3S1_1" formatStyle="Comma" appId="_GBC_0c146c68fc034b599b66830a1b8cd6d2">
        <m:axisValue occRef="调整数"/>
      </m:item>
      <m:placeholder xlName="_PLD_6b28fc9adcce48bbb5ed16173f4f9ae6" addr="T0R44C0S1_1"/>
      <m:item xlName="_GBC_dabe0c300f2646f78e871e0956b052ef" concept="clcid-pte:YingFuZhangKuan" label="应付帐款" periodRef="上年期末数" mulRef="_GBC_dcff3d72dff8467cb2c07ad3b3fc27ca" unitRef="_GBC_bba83c9ffe7341af87411641b3c1153d" addr="T0R44C1S1_1" formatStyle="Comma" appId="_GBC_0c146c68fc034b599b66830a1b8cd6d2"/>
      <m:item xlName="_GBC_34f936f8773e4f49883ffce0493cb317" concept="clcid-pte:YingFuZhangKuan" label="应付帐款" periodRef="本期期初数" mulRef="_GBC_dcff3d72dff8467cb2c07ad3b3fc27ca" unitRef="_GBC_bba83c9ffe7341af87411641b3c1153d" addr="T0R44C2S1_1" formatStyle="Comma" appId="_GBC_0c146c68fc034b599b66830a1b8cd6d2"/>
      <m:item xlName="_GBC_073d6465e28f41ffb8e73221ecbddf5b" concept="clcid-pte:YingFuZhangKuan" label="应付帐款" mulRef="_GBC_dcff3d72dff8467cb2c07ad3b3fc27ca" unitRef="_GBC_bba83c9ffe7341af87411641b3c1153d" addr="T0R44C3S1_1" formatStyle="Comma" appId="_GBC_0c146c68fc034b599b66830a1b8cd6d2">
        <m:axisValue occRef="调整数"/>
      </m:item>
      <m:placeholder xlName="_PLD_f2d4398079514b409912cc820d2962bb" addr="T0R45C0S1_1"/>
      <m:item xlName="_GBC_02423467ad56458e974d0095d7644df3" concept="clcid-pte:YuShouZhangKuan" label="预收帐款" periodRef="上年期末数" mulRef="_GBC_dcff3d72dff8467cb2c07ad3b3fc27ca" unitRef="_GBC_bba83c9ffe7341af87411641b3c1153d" addr="T0R45C1S1_1" formatStyle="Comma" appId="_GBC_0c146c68fc034b599b66830a1b8cd6d2"/>
      <m:item xlName="_GBC_a2148fb4b57e44cd8188c60c722bb135" concept="clcid-pte:YuShouZhangKuan" label="预收帐款" periodRef="本期期初数" mulRef="_GBC_dcff3d72dff8467cb2c07ad3b3fc27ca" unitRef="_GBC_bba83c9ffe7341af87411641b3c1153d" addr="T0R45C2S1_1" formatStyle="Comma" appId="_GBC_0c146c68fc034b599b66830a1b8cd6d2"/>
      <m:item xlName="_GBC_dde279efbacb4a62967adce2a51d812c" concept="clcid-pte:YuShouZhangKuan" label="预收帐款" mulRef="_GBC_dcff3d72dff8467cb2c07ad3b3fc27ca" unitRef="_GBC_bba83c9ffe7341af87411641b3c1153d" addr="T0R45C3S1_1" formatStyle="Comma" appId="_GBC_0c146c68fc034b599b66830a1b8cd6d2">
        <m:axisValue occRef="调整数"/>
      </m:item>
      <m:placeholder xlName="_PLD_274ef3fa3172405fabe7b2c32a19fcaf" addr="T0R46C0S1_1"/>
      <m:item xlName="_GBC_8dec18187add4a80adcbf7e2c9e96ceb" concept="clcid-pte:HeTongFuZhai" label="合同负债" periodRef="上年期末数" mulRef="_GBC_dcff3d72dff8467cb2c07ad3b3fc27ca" unitRef="_GBC_bba83c9ffe7341af87411641b3c1153d" addr="T0R46C1S1_1" formatStyle="Comma" appId="_GBC_0c146c68fc034b599b66830a1b8cd6d2"/>
      <m:item xlName="_GBC_591e03fa2f544a82bd42bcb74713ea94" concept="clcid-pte:HeTongFuZhai" label="合同负债" periodRef="本期期初数" mulRef="_GBC_dcff3d72dff8467cb2c07ad3b3fc27ca" unitRef="_GBC_bba83c9ffe7341af87411641b3c1153d" addr="T0R46C2S1_1" formatStyle="Comma" appId="_GBC_0c146c68fc034b599b66830a1b8cd6d2"/>
      <m:item xlName="_GBC_2517fd692c39424083a261c76bcea42f" concept="clcid-pte:HeTongFuZhai" label="合同负债" mulRef="_GBC_dcff3d72dff8467cb2c07ad3b3fc27ca" unitRef="_GBC_bba83c9ffe7341af87411641b3c1153d" addr="T0R46C3S1_1" formatStyle="Comma" appId="_GBC_0c146c68fc034b599b66830a1b8cd6d2">
        <m:axisValue occRef="调整数"/>
      </m:item>
      <m:placeholder xlName="_PLD_197f255ff77e4141b13a9e360f21c311" addr="T0R47C0S1_1"/>
      <m:item xlName="_GBC_0f216625ed334e7ab3885fe6bd56e5b8" concept="clcid-pte:YingFuZhiGongXinChou" label="应付职工薪酬" periodRef="上年期末数" mulRef="_GBC_dcff3d72dff8467cb2c07ad3b3fc27ca" unitRef="_GBC_bba83c9ffe7341af87411641b3c1153d" addr="T0R47C1S1_1" formatStyle="Comma" appId="_GBC_0c146c68fc034b599b66830a1b8cd6d2"/>
      <m:item xlName="_GBC_213fdd2775114707b928ea0c8741a9b4" concept="clcid-pte:YingFuZhiGongXinChou" label="应付职工薪酬" periodRef="本期期初数" mulRef="_GBC_dcff3d72dff8467cb2c07ad3b3fc27ca" unitRef="_GBC_bba83c9ffe7341af87411641b3c1153d" addr="T0R47C2S1_1" formatStyle="Comma" appId="_GBC_0c146c68fc034b599b66830a1b8cd6d2"/>
      <m:item xlName="_GBC_cbc8b97dd895423c963cd292b90eaf83" concept="clcid-pte:YingFuZhiGongXinChou" label="应付职工薪酬" mulRef="_GBC_dcff3d72dff8467cb2c07ad3b3fc27ca" unitRef="_GBC_bba83c9ffe7341af87411641b3c1153d" addr="T0R47C3S1_1" formatStyle="Comma" appId="_GBC_0c146c68fc034b599b66830a1b8cd6d2">
        <m:axisValue occRef="调整数"/>
      </m:item>
      <m:placeholder xlName="_PLD_ff6aeda1f2a44cf98dc7157f7616bd4a" addr="T0R48C0S1_1"/>
      <m:item xlName="_GBC_21d6379904a2477fb0e38152b25f8e6d" concept="clcid-pte:YingJiaoShuiJin" label="应交税金" periodRef="上年期末数" mulRef="_GBC_dcff3d72dff8467cb2c07ad3b3fc27ca" unitRef="_GBC_bba83c9ffe7341af87411641b3c1153d" addr="T0R48C1S1_1" formatStyle="Comma" appId="_GBC_0c146c68fc034b599b66830a1b8cd6d2"/>
      <m:item xlName="_GBC_0ef0360e57da4ffbadfc9c46b13cb899" concept="clcid-pte:YingJiaoShuiJin" label="应交税金" periodRef="本期期初数" mulRef="_GBC_dcff3d72dff8467cb2c07ad3b3fc27ca" unitRef="_GBC_bba83c9ffe7341af87411641b3c1153d" addr="T0R48C2S1_1" formatStyle="Comma" appId="_GBC_0c146c68fc034b599b66830a1b8cd6d2"/>
      <m:item xlName="_GBC_fc8f9905afc24843baf2c77941f0020c" concept="clcid-pte:YingJiaoShuiJin" label="应交税金" mulRef="_GBC_dcff3d72dff8467cb2c07ad3b3fc27ca" unitRef="_GBC_bba83c9ffe7341af87411641b3c1153d" addr="T0R48C3S1_1" formatStyle="Comma" appId="_GBC_0c146c68fc034b599b66830a1b8cd6d2">
        <m:axisValue occRef="调整数"/>
      </m:item>
      <m:placeholder xlName="_PLD_2a956d98f6b84a7b9bfbaa7cf1053b1a" addr="T0R49C0S1_1"/>
      <m:item xlName="_GBC_306d6dbd8cc8456fbcd0abbde9d7cd0a" concept="clcid-pte:QiTaYingFuKuan" label="其他应付款" periodRef="上年期末数" mulRef="_GBC_dcff3d72dff8467cb2c07ad3b3fc27ca" unitRef="_GBC_bba83c9ffe7341af87411641b3c1153d" addr="T0R49C1S1_1" formatStyle="Comma" appId="_GBC_0c146c68fc034b599b66830a1b8cd6d2"/>
      <m:item xlName="_GBC_625bfcaba5654e8686fca1472c9b76a1" concept="clcid-pte:QiTaYingFuKuan" label="其他应付款" periodRef="本期期初数" mulRef="_GBC_dcff3d72dff8467cb2c07ad3b3fc27ca" unitRef="_GBC_bba83c9ffe7341af87411641b3c1153d" addr="T0R49C2S1_1" formatStyle="Comma" appId="_GBC_0c146c68fc034b599b66830a1b8cd6d2"/>
      <m:item xlName="_GBC_e038b61eed5f4ee5869f990502e43d5c" concept="clcid-pte:QiTaYingFuKuan" label="其他应付款" mulRef="_GBC_dcff3d72dff8467cb2c07ad3b3fc27ca" unitRef="_GBC_bba83c9ffe7341af87411641b3c1153d" addr="T0R49C3S1_1" formatStyle="Comma" appId="_GBC_0c146c68fc034b599b66830a1b8cd6d2">
        <m:axisValue occRef="调整数"/>
      </m:item>
      <m:placeholder xlName="_PLD_6ac6190a2f00431ab010c57ba9ef52f3" addr="T0R50C0S1_1"/>
      <m:item xlName="_GBC_abad3ce75a0648b49cbd15efcfcbae3a" concept="clcid-pte:YingFuLiXi" label="应付利息" periodRef="上年期末数" mulRef="_GBC_dcff3d72dff8467cb2c07ad3b3fc27ca" unitRef="_GBC_bba83c9ffe7341af87411641b3c1153d" addr="T0R50C1S1_1" formatStyle="Comma" appId="_GBC_0c146c68fc034b599b66830a1b8cd6d2"/>
      <m:item xlName="_GBC_cc89cf186fd64b4f8386a509123b3705" concept="clcid-pte:YingFuLiXi" label="应付利息" periodRef="本期期初数" mulRef="_GBC_dcff3d72dff8467cb2c07ad3b3fc27ca" unitRef="_GBC_bba83c9ffe7341af87411641b3c1153d" addr="T0R50C2S1_1" formatStyle="Comma" appId="_GBC_0c146c68fc034b599b66830a1b8cd6d2"/>
      <m:item xlName="_GBC_36743336f045418389b02d7dcbb3c687" concept="clcid-pte:YingFuLiXi" label="应付利息" mulRef="_GBC_dcff3d72dff8467cb2c07ad3b3fc27ca" unitRef="_GBC_bba83c9ffe7341af87411641b3c1153d" addr="T0R50C3S1_1" formatStyle="Comma" appId="_GBC_0c146c68fc034b599b66830a1b8cd6d2">
        <m:axisValue occRef="调整数"/>
      </m:item>
      <m:placeholder xlName="_PLD_7dfd296a440d4212b3c2e5e169253ebe" addr="T0R51C0S1_1"/>
      <m:item xlName="_GBC_377f9fa9f9884455abdd0b8054c6bd43" concept="clcid-pte:YingFuGuLi" label="应付股利" periodRef="上年期末数" mulRef="_GBC_dcff3d72dff8467cb2c07ad3b3fc27ca" unitRef="_GBC_bba83c9ffe7341af87411641b3c1153d" addr="T0R51C1S1_1" formatStyle="Comma" appId="_GBC_0c146c68fc034b599b66830a1b8cd6d2"/>
      <m:item xlName="_GBC_d31f911b251643239d3617916b1ad83e" concept="clcid-pte:YingFuGuLi" label="应付股利" periodRef="本期期初数" mulRef="_GBC_dcff3d72dff8467cb2c07ad3b3fc27ca" unitRef="_GBC_bba83c9ffe7341af87411641b3c1153d" addr="T0R51C2S1_1" formatStyle="Comma" appId="_GBC_0c146c68fc034b599b66830a1b8cd6d2"/>
      <m:item xlName="_GBC_9e5e5c75f594446c9ad52eb36fd2b1e1" concept="clcid-pte:YingFuGuLi" label="应付股利" mulRef="_GBC_dcff3d72dff8467cb2c07ad3b3fc27ca" unitRef="_GBC_bba83c9ffe7341af87411641b3c1153d" addr="T0R51C3S1_1" formatStyle="Comma" appId="_GBC_0c146c68fc034b599b66830a1b8cd6d2">
        <m:axisValue occRef="调整数"/>
      </m:item>
      <m:placeholder xlName="_PLD_233fcedbf2774ae38e70a2bcb37fd170" addr="T0R52C0S1_1"/>
      <m:item xlName="_GBC_3ce12b7f92444773baa8f9b697b6f541" concept="clcid-pte:HuaFenWeiChiYouDaiShouDeFuZhai" label="划分为持有待售的负债" periodRef="上年期末数" mulRef="_GBC_dcff3d72dff8467cb2c07ad3b3fc27ca" unitRef="_GBC_bba83c9ffe7341af87411641b3c1153d" addr="T0R52C1S1_1" formatStyle="Comma" appId="_GBC_0c146c68fc034b599b66830a1b8cd6d2"/>
      <m:item xlName="_GBC_8e181aff1ccc4111a80203b77ae86015" concept="clcid-pte:HuaFenWeiChiYouDaiShouDeFuZhai" label="划分为持有待售的负债" periodRef="本期期初数" mulRef="_GBC_dcff3d72dff8467cb2c07ad3b3fc27ca" unitRef="_GBC_bba83c9ffe7341af87411641b3c1153d" addr="T0R52C2S1_1" formatStyle="Comma" appId="_GBC_0c146c68fc034b599b66830a1b8cd6d2"/>
      <m:item xlName="_GBC_0f865df499eb461babe81b4615b4113f" concept="clcid-pte:HuaFenWeiChiYouDaiShouDeFuZhai" label="划分为持有待售的负债" mulRef="_GBC_dcff3d72dff8467cb2c07ad3b3fc27ca" unitRef="_GBC_bba83c9ffe7341af87411641b3c1153d" addr="T0R52C3S1_1" formatStyle="Comma" appId="_GBC_0c146c68fc034b599b66830a1b8cd6d2">
        <m:axisValue occRef="调整数"/>
      </m:item>
      <m:placeholder xlName="_PLD_6b0b710c5ea94f14aa644a705b97d9a6" addr="T0R53C0S1_1"/>
      <m:item xlName="_GBC_03a66430877947a1a42f21084f61f74d" concept="clcid-pte:YiNianNeiDaoQiDeChangQiFuZhai" label="一年内到期的长期负债" periodRef="上年期末数" mulRef="_GBC_dcff3d72dff8467cb2c07ad3b3fc27ca" unitRef="_GBC_bba83c9ffe7341af87411641b3c1153d" addr="T0R53C1S1_1" formatStyle="Comma" appId="_GBC_0c146c68fc034b599b66830a1b8cd6d2"/>
      <m:item xlName="_GBC_713f5c9cc7e54871bc8dbf7722febf01" concept="clcid-pte:YiNianNeiDaoQiDeChangQiFuZhai" label="一年内到期的长期负债" periodRef="本期期初数" mulRef="_GBC_dcff3d72dff8467cb2c07ad3b3fc27ca" unitRef="_GBC_bba83c9ffe7341af87411641b3c1153d" addr="T0R53C2S1_1" formatStyle="Comma" appId="_GBC_0c146c68fc034b599b66830a1b8cd6d2"/>
      <m:item xlName="_GBC_2b8df59e827b41c2b7d38415057b18f6" concept="clcid-pte:YiNianNeiDaoQiDeChangQiFuZhai" label="一年内到期的长期负债" mulRef="_GBC_dcff3d72dff8467cb2c07ad3b3fc27ca" unitRef="_GBC_bba83c9ffe7341af87411641b3c1153d" addr="T0R53C3S1_1" formatStyle="Comma" appId="_GBC_0c146c68fc034b599b66830a1b8cd6d2">
        <m:axisValue occRef="调整数"/>
      </m:item>
      <m:placeholder xlName="_PLD_3c43debdb6044747a64738c3e33627bd" addr="T0R54C0S1_1"/>
      <m:item xlName="_GBC_5f6cd4b0c8ea4d12b932df6ae6221f5b" concept="clcid-pte:QiTaLiuDongFuZhai" label="其他流动负债" periodRef="上年期末数" mulRef="_GBC_dcff3d72dff8467cb2c07ad3b3fc27ca" unitRef="_GBC_bba83c9ffe7341af87411641b3c1153d" addr="T0R54C1S1_1" formatStyle="Comma" appId="_GBC_0c146c68fc034b599b66830a1b8cd6d2"/>
      <m:item xlName="_GBC_0084b14dbc7348439040f4ab7cca58a9" concept="clcid-pte:QiTaLiuDongFuZhai" label="其他流动负债" periodRef="本期期初数" mulRef="_GBC_dcff3d72dff8467cb2c07ad3b3fc27ca" unitRef="_GBC_bba83c9ffe7341af87411641b3c1153d" addr="T0R54C2S1_1" formatStyle="Comma" appId="_GBC_0c146c68fc034b599b66830a1b8cd6d2"/>
      <m:item xlName="_GBC_66e3277068b64a429ea70f9cd891cf3a" concept="clcid-pte:QiTaLiuDongFuZhai" label="其他流动负债" mulRef="_GBC_dcff3d72dff8467cb2c07ad3b3fc27ca" unitRef="_GBC_bba83c9ffe7341af87411641b3c1153d" addr="T0R54C3S1_1" formatStyle="Comma" appId="_GBC_0c146c68fc034b599b66830a1b8cd6d2">
        <m:axisValue occRef="调整数"/>
      </m:item>
      <m:placeholder xlName="_PLD_991f363de0414de4bac26ce6b2a04786" addr="T0R55C0S1_1"/>
      <m:item xlName="_GBC_9eb763d02c614cf488bf5cf321937a51" concept="clcid-pte:LiuDongFuZhaiHeJi" label="流动负债合计" periodRef="上年期末数" mulRef="_GBC_dcff3d72dff8467cb2c07ad3b3fc27ca" unitRef="_GBC_bba83c9ffe7341af87411641b3c1153d" addr="T0R55C1S1_1" formatStyle="Comma" appId="_GBC_0c146c68fc034b599b66830a1b8cd6d2">
        <m:complexRule comparator="Eq" title="流动负债合计@上年期末数" test=" $_GBC_93141312fd1a4bd8b9a250ebeab766c1 +  $_GBC_7763609f42fd4ff4a3ff5b0f5a30fa52 +  $_GBC_106b4d877a6c428b95988af26459e9be +  $_GBC_7ac5491efdec4b65a1d33029164c0bc0 +  $_GBC_dabe0c300f2646f78e871e0956b052ef +  $_GBC_02423467ad56458e974d0095d7644df3 +  $_GBC_8dec18187add4a80adcbf7e2c9e96ceb +  $_GBC_0f216625ed334e7ab3885fe6bd56e5b8 +  $_GBC_21d6379904a2477fb0e38152b25f8e6d +  $_GBC_306d6dbd8cc8456fbcd0abbde9d7cd0a +  $_GBC_3ce12b7f92444773baa8f9b697b6f541 +  $_GBC_03a66430877947a1a42f21084f61f74d +  $_GBC_5f6cd4b0c8ea4d12b932df6ae6221f5b" id="C76b67b870cc2441a83c193089a1918e5"/>
      </m:item>
      <m:item xlName="_GBC_b30d607d960c46f49aa5c690a2a40ce7" concept="clcid-pte:LiuDongFuZhaiHeJi" label="流动负债合计" periodRef="本期期初数" mulRef="_GBC_dcff3d72dff8467cb2c07ad3b3fc27ca" unitRef="_GBC_bba83c9ffe7341af87411641b3c1153d" addr="T0R55C2S1_1" formatStyle="Comma" appId="_GBC_0c146c68fc034b599b66830a1b8cd6d2">
        <m:complexRule comparator="Eq" title="流动负债合计@本期期初数" test=" $_GBC_55f2e5aefda44f27b36e4502a4fb6a9a +  $_GBC_846123f145ed4311af51172bbed14563 +  $_GBC_92e1cd6087c144db9f7347a5a35a8a69 +  $_GBC_1d383768496146c186631277425bffc5 +  $_GBC_34f936f8773e4f49883ffce0493cb317 +  $_GBC_a2148fb4b57e44cd8188c60c722bb135 +  $_GBC_591e03fa2f544a82bd42bcb74713ea94 +  $_GBC_213fdd2775114707b928ea0c8741a9b4 +  $_GBC_0ef0360e57da4ffbadfc9c46b13cb899 +  $_GBC_625bfcaba5654e8686fca1472c9b76a1 +  $_GBC_8e181aff1ccc4111a80203b77ae86015 +  $_GBC_713f5c9cc7e54871bc8dbf7722febf01 +  $_GBC_0084b14dbc7348439040f4ab7cca58a9" id="C4ca3fec4fad94d678796995674d59bca"/>
      </m:item>
      <m:item xlName="_GBC_4c5aebd0dd0c46eda05f9a7bdf32a0af" concept="clcid-pte:LiuDongFuZhaiHeJi" label="流动负债合计" mulRef="_GBC_dcff3d72dff8467cb2c07ad3b3fc27ca" unitRef="_GBC_bba83c9ffe7341af87411641b3c1153d" addr="T0R55C3S1_1" formatStyle="Comma" appId="_GBC_0c146c68fc034b599b66830a1b8cd6d2">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cc8af255e9a4f408cb7b90993ab04bb"/>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244621f41944f54ad95e05a4eab5b96"/>
        <m:axisValue occRef="调整数"/>
      </m:item>
      <m:placeholder xlName="_PLD_24da2da86b1543379f2cdd41175eaf05" addr="T0R56C0S1_4"/>
      <m:placeholder xlName="_PLD_198ac61c6e0d4178aa91476987717766" addr="T0R57C0S1_1"/>
      <m:item xlName="_GBC_03463a9cc8244928997c5166ef4fbb1a" concept="clcid-pte:ChangQiJieKuan" label="长期借款" periodRef="上年期末数" mulRef="_GBC_dcff3d72dff8467cb2c07ad3b3fc27ca" unitRef="_GBC_bba83c9ffe7341af87411641b3c1153d" addr="T0R57C1S1_1" formatStyle="Comma" appId="_GBC_0c146c68fc034b599b66830a1b8cd6d2"/>
      <m:item xlName="_GBC_b26faaae780041059415449a95fa55ab" concept="clcid-pte:ChangQiJieKuan" label="长期借款" periodRef="本期期初数" mulRef="_GBC_dcff3d72dff8467cb2c07ad3b3fc27ca" unitRef="_GBC_bba83c9ffe7341af87411641b3c1153d" addr="T0R57C2S1_1" formatStyle="Comma" appId="_GBC_0c146c68fc034b599b66830a1b8cd6d2"/>
      <m:item xlName="_GBC_7c73c5d7ef96406f99d02df313fd9bc1" concept="clcid-pte:ChangQiJieKuan" label="长期借款" mulRef="_GBC_dcff3d72dff8467cb2c07ad3b3fc27ca" unitRef="_GBC_bba83c9ffe7341af87411641b3c1153d" addr="T0R57C3S1_1" formatStyle="Comma" appId="_GBC_0c146c68fc034b599b66830a1b8cd6d2">
        <m:axisValue occRef="调整数"/>
      </m:item>
      <m:placeholder xlName="_PLD_2bbfca7e8e8d4cf49fc2cc659bca44e8" addr="T0R58C0S1_1"/>
      <m:item xlName="_GBC_5699572fc6f4417f9477ce9fd3e0a51b" concept="clcid-pte:YingFuZhaiQuan" label="应付债券" periodRef="上年期末数" mulRef="_GBC_dcff3d72dff8467cb2c07ad3b3fc27ca" unitRef="_GBC_bba83c9ffe7341af87411641b3c1153d" addr="T0R58C1S1_1" formatStyle="Comma" appId="_GBC_0c146c68fc034b599b66830a1b8cd6d2"/>
      <m:item xlName="_GBC_a49b298eed8d4189aebe44b3663b3c29" concept="clcid-pte:YingFuZhaiQuan" label="应付债券" periodRef="本期期初数" mulRef="_GBC_dcff3d72dff8467cb2c07ad3b3fc27ca" unitRef="_GBC_bba83c9ffe7341af87411641b3c1153d" addr="T0R58C2S1_1" formatStyle="Comma" appId="_GBC_0c146c68fc034b599b66830a1b8cd6d2"/>
      <m:item xlName="_GBC_60675c609f8040e58e120773d7c9678d" concept="clcid-pte:YingFuZhaiQuan" label="应付债券" mulRef="_GBC_dcff3d72dff8467cb2c07ad3b3fc27ca" unitRef="_GBC_bba83c9ffe7341af87411641b3c1153d" addr="T0R58C3S1_1" formatStyle="Comma" appId="_GBC_0c146c68fc034b599b66830a1b8cd6d2">
        <m:axisValue occRef="调整数"/>
      </m:item>
      <m:placeholder xlName="_PLD_26cca77a224743d0a56c6c4f4c4a7a61" addr="T0R59C0S1_1"/>
      <m:item xlName="_GBC_302cef50cb0545edbec70d045f402f01" concept="clcid-pte:QiZhongYouXianGu" label="其中：优先股" periodRef="上年期末数" mulRef="_GBC_dcff3d72dff8467cb2c07ad3b3fc27ca" unitRef="_GBC_bba83c9ffe7341af87411641b3c1153d" addr="T0R59C1S1_1" formatStyle="Comma" appId="_GBC_0c146c68fc034b599b66830a1b8cd6d2"/>
      <m:item xlName="_GBC_6984215a62134c618c502d333a1373b4" concept="clcid-pte:QiZhongYouXianGu" label="其中：优先股" periodRef="本期期初数" mulRef="_GBC_dcff3d72dff8467cb2c07ad3b3fc27ca" unitRef="_GBC_bba83c9ffe7341af87411641b3c1153d" addr="T0R59C2S1_1" formatStyle="Comma" appId="_GBC_0c146c68fc034b599b66830a1b8cd6d2"/>
      <m:item xlName="_GBC_0d5b4af7da30422bbc2fbcfe8d9ff6f8" concept="clcid-pte:QiZhongYouXianGu" label="其中：优先股" mulRef="_GBC_dcff3d72dff8467cb2c07ad3b3fc27ca" unitRef="_GBC_bba83c9ffe7341af87411641b3c1153d" addr="T0R59C3S1_1" formatStyle="Comma" appId="_GBC_0c146c68fc034b599b66830a1b8cd6d2">
        <m:axisValue occRef="调整数"/>
      </m:item>
      <m:placeholder xlName="_PLD_76fe50fef3de4f4aaf5450a119ed672e" addr="T0R60C0S1_1"/>
      <m:item xlName="_GBC_947943565b45468b98d4c42156146fdb" concept="clcid-pte:YongXuZhai" label="永续债" periodRef="上年期末数" mulRef="_GBC_dcff3d72dff8467cb2c07ad3b3fc27ca" unitRef="_GBC_bba83c9ffe7341af87411641b3c1153d" addr="T0R60C1S1_1" formatStyle="Comma" appId="_GBC_0c146c68fc034b599b66830a1b8cd6d2"/>
      <m:item xlName="_GBC_138bd6488acb4fba97ee1adc2e8ae0f6" concept="clcid-pte:YongXuZhai" label="永续债" periodRef="本期期初数" mulRef="_GBC_dcff3d72dff8467cb2c07ad3b3fc27ca" unitRef="_GBC_bba83c9ffe7341af87411641b3c1153d" addr="T0R60C2S1_1" formatStyle="Comma" appId="_GBC_0c146c68fc034b599b66830a1b8cd6d2"/>
      <m:item xlName="_GBC_8a1796cdae1841c18ff75dc409ed42ad" concept="clcid-pte:YongXuZhai" label="永续债" mulRef="_GBC_dcff3d72dff8467cb2c07ad3b3fc27ca" unitRef="_GBC_bba83c9ffe7341af87411641b3c1153d" addr="T0R60C3S1_1" formatStyle="Comma" appId="_GBC_0c146c68fc034b599b66830a1b8cd6d2">
        <m:axisValue occRef="调整数"/>
      </m:item>
      <m:placeholder xlName="_PLD_55b011cc9a4d4ad39e92a9b83c1f1e92" addr="T0R61C0S1_1"/>
      <m:item xlName="_GBC_3d4c74e55dfd40868c9fdaa4c4479500" concept="clcid-pte:ZuLinFuZhai" label="租赁负债" periodRef="上年期末数" mulRef="_GBC_dcff3d72dff8467cb2c07ad3b3fc27ca" unitRef="_GBC_bba83c9ffe7341af87411641b3c1153d" addr="T0R61C1S1_1" formatStyle="Comma" appId="_GBC_0c146c68fc034b599b66830a1b8cd6d2"/>
      <m:item xlName="_GBC_4d7e3cfde2ea4754ad3876ab258042dc" concept="clcid-pte:ZuLinFuZhai" label="租赁负债" periodRef="本期期初数" mulRef="_GBC_dcff3d72dff8467cb2c07ad3b3fc27ca" unitRef="_GBC_bba83c9ffe7341af87411641b3c1153d" addr="T0R61C2S1_1" formatStyle="Comma" appId="_GBC_0c146c68fc034b599b66830a1b8cd6d2"/>
      <m:item xlName="_GBC_922e7ef959f241579c6ab9c9ff9561a8" concept="clcid-pte:ZuLinFuZhai" label="租赁负债" mulRef="_GBC_dcff3d72dff8467cb2c07ad3b3fc27ca" unitRef="_GBC_bba83c9ffe7341af87411641b3c1153d" addr="T0R61C3S1_1" formatStyle="Comma" appId="_GBC_0c146c68fc034b599b66830a1b8cd6d2">
        <m:axisValue occRef="调整数"/>
      </m:item>
      <m:placeholder xlName="_PLD_26f2f47fc08b437499fb75baf1b5c53d" addr="T0R62C0S1_1"/>
      <m:item xlName="_GBC_88615e4056b94b908f88baf5fcf2975f" concept="clcid-pte:ChangQiYingFuKuan" label="长期应付款" periodRef="上年期末数" mulRef="_GBC_dcff3d72dff8467cb2c07ad3b3fc27ca" unitRef="_GBC_bba83c9ffe7341af87411641b3c1153d" addr="T0R62C1S1_1" formatStyle="Comma" appId="_GBC_0c146c68fc034b599b66830a1b8cd6d2"/>
      <m:item xlName="_GBC_a41de5808abe4469af64ceb63678b418" concept="clcid-pte:ChangQiYingFuKuan" label="长期应付款" periodRef="本期期初数" mulRef="_GBC_dcff3d72dff8467cb2c07ad3b3fc27ca" unitRef="_GBC_bba83c9ffe7341af87411641b3c1153d" addr="T0R62C2S1_1" formatStyle="Comma" appId="_GBC_0c146c68fc034b599b66830a1b8cd6d2"/>
      <m:item xlName="_GBC_edfbb964d892422a9e6835f4634ba503" concept="clcid-pte:ChangQiYingFuKuan" label="长期应付款" mulRef="_GBC_dcff3d72dff8467cb2c07ad3b3fc27ca" unitRef="_GBC_bba83c9ffe7341af87411641b3c1153d" addr="T0R62C3S1_1" formatStyle="Comma" appId="_GBC_0c146c68fc034b599b66830a1b8cd6d2">
        <m:axisValue occRef="调整数"/>
      </m:item>
      <m:placeholder xlName="_PLD_ac037a35eee843f0873278089c0a14c3" addr="T0R63C0S1_1"/>
      <m:item xlName="_GBC_cee73033c1a342cb9147f8ca8e7f2eaa" concept="clcid-pte:ChangQiYingFuZhiGongXinChou" label="长期应付职工薪酬" periodRef="上年期末数" mulRef="_GBC_dcff3d72dff8467cb2c07ad3b3fc27ca" unitRef="_GBC_bba83c9ffe7341af87411641b3c1153d" addr="T0R63C1S1_1" formatStyle="Comma" appId="_GBC_0c146c68fc034b599b66830a1b8cd6d2"/>
      <m:item xlName="_GBC_de63fdbbbf664c4d9358540aec535060" concept="clcid-pte:ChangQiYingFuZhiGongXinChou" label="长期应付职工薪酬" periodRef="本期期初数" mulRef="_GBC_dcff3d72dff8467cb2c07ad3b3fc27ca" unitRef="_GBC_bba83c9ffe7341af87411641b3c1153d" addr="T0R63C2S1_1" formatStyle="Comma" appId="_GBC_0c146c68fc034b599b66830a1b8cd6d2"/>
      <m:item xlName="_GBC_b3b6a7f6318c459faaf3b627dc138023" concept="clcid-pte:ChangQiYingFuZhiGongXinChou" label="长期应付职工薪酬" mulRef="_GBC_dcff3d72dff8467cb2c07ad3b3fc27ca" unitRef="_GBC_bba83c9ffe7341af87411641b3c1153d" addr="T0R63C3S1_1" formatStyle="Comma" appId="_GBC_0c146c68fc034b599b66830a1b8cd6d2">
        <m:axisValue occRef="调整数"/>
      </m:item>
      <m:placeholder xlName="_PLD_f69b652e9ef244419b4f4952c1e3d7be" addr="T0R64C0S1_1"/>
      <m:item xlName="_GBC_4030e9c91fe34748afcfcc5e610e3e90" concept="clcid-pte:YuJiFuZhai" label="预计负债" periodRef="上年期末数" mulRef="_GBC_dcff3d72dff8467cb2c07ad3b3fc27ca" unitRef="_GBC_bba83c9ffe7341af87411641b3c1153d" addr="T0R64C1S1_1" formatStyle="Comma" appId="_GBC_0c146c68fc034b599b66830a1b8cd6d2"/>
      <m:item xlName="_GBC_bb8b19f2549e4ee0adc976f8abe034af" concept="clcid-pte:YuJiFuZhai" label="预计负债" periodRef="本期期初数" mulRef="_GBC_dcff3d72dff8467cb2c07ad3b3fc27ca" unitRef="_GBC_bba83c9ffe7341af87411641b3c1153d" addr="T0R64C2S1_1" formatStyle="Comma" appId="_GBC_0c146c68fc034b599b66830a1b8cd6d2"/>
      <m:item xlName="_GBC_ec18459afbac4a3187dda2c3d1eeee53" concept="clcid-pte:YuJiFuZhai" label="预计负债" mulRef="_GBC_dcff3d72dff8467cb2c07ad3b3fc27ca" unitRef="_GBC_bba83c9ffe7341af87411641b3c1153d" addr="T0R64C3S1_1" formatStyle="Comma" appId="_GBC_0c146c68fc034b599b66830a1b8cd6d2">
        <m:axisValue occRef="调整数"/>
      </m:item>
      <m:placeholder xlName="_PLD_f268ff5bb5d7412b8e0c9b75ea2be04f" addr="T0R65C0S1_1"/>
      <m:item xlName="_GBC_0a371e75fdb845d2bf1c617be453b171" concept="clcid-pte:DiYanShouYi" label="递延收益" periodRef="上年期末数" mulRef="_GBC_dcff3d72dff8467cb2c07ad3b3fc27ca" unitRef="_GBC_bba83c9ffe7341af87411641b3c1153d" addr="T0R65C1S1_1" formatStyle="Comma" appId="_GBC_0c146c68fc034b599b66830a1b8cd6d2"/>
      <m:item xlName="_GBC_46bd9ee6d85543bca539b25cf6952858" concept="clcid-pte:DiYanShouYi" label="递延收益" periodRef="本期期初数" mulRef="_GBC_dcff3d72dff8467cb2c07ad3b3fc27ca" unitRef="_GBC_bba83c9ffe7341af87411641b3c1153d" addr="T0R65C2S1_1" formatStyle="Comma" appId="_GBC_0c146c68fc034b599b66830a1b8cd6d2"/>
      <m:item xlName="_GBC_13d2a8c8035c4799a1a9cfc8078019e6" concept="clcid-pte:DiYanShouYi" label="递延收益" mulRef="_GBC_dcff3d72dff8467cb2c07ad3b3fc27ca" unitRef="_GBC_bba83c9ffe7341af87411641b3c1153d" addr="T0R65C3S1_1" formatStyle="Comma" appId="_GBC_0c146c68fc034b599b66830a1b8cd6d2">
        <m:axisValue occRef="调整数"/>
      </m:item>
      <m:placeholder xlName="_PLD_59d63abdfaad46e1bb9851b34f2e1c33" addr="T0R66C0S1_1"/>
      <m:item xlName="_GBC_17f181ee83ce4a9abd300feb9fac1c60" concept="clcid-pte:DiYanShuiKuanDaiXiangHeJi" label="递延税款贷项合计" periodRef="上年期末数" mulRef="_GBC_dcff3d72dff8467cb2c07ad3b3fc27ca" unitRef="_GBC_bba83c9ffe7341af87411641b3c1153d" addr="T0R66C1S1_1" formatStyle="Comma" appId="_GBC_0c146c68fc034b599b66830a1b8cd6d2"/>
      <m:item xlName="_GBC_3c76e36b45fd4e0381fa502f81a85898" concept="clcid-pte:DiYanShuiKuanDaiXiangHeJi" label="递延税款贷项合计" periodRef="本期期初数" mulRef="_GBC_dcff3d72dff8467cb2c07ad3b3fc27ca" unitRef="_GBC_bba83c9ffe7341af87411641b3c1153d" addr="T0R66C2S1_1" formatStyle="Comma" appId="_GBC_0c146c68fc034b599b66830a1b8cd6d2"/>
      <m:item xlName="_GBC_012beb540b5b41819df9724f6b4658d2" concept="clcid-pte:DiYanShuiKuanDaiXiangHeJi" label="递延税款贷项合计" mulRef="_GBC_dcff3d72dff8467cb2c07ad3b3fc27ca" unitRef="_GBC_bba83c9ffe7341af87411641b3c1153d" addr="T0R66C3S1_1" formatStyle="Comma" appId="_GBC_0c146c68fc034b599b66830a1b8cd6d2">
        <m:axisValue occRef="调整数"/>
      </m:item>
      <m:placeholder xlName="_PLD_4facc9c8d0154820bd52f1674d840e30" addr="T0R67C0S1_1"/>
      <m:item xlName="_GBC_a972ba681e4f45179172d1927cee03ad" concept="clcid-pte:QiTaChangQiFuZhai" label="其他长期负债" periodRef="上年期末数" mulRef="_GBC_dcff3d72dff8467cb2c07ad3b3fc27ca" unitRef="_GBC_bba83c9ffe7341af87411641b3c1153d" addr="T0R67C1S1_1" formatStyle="Comma" appId="_GBC_0c146c68fc034b599b66830a1b8cd6d2"/>
      <m:item xlName="_GBC_0c86c3440df64dbe8d1cc32afdbd6fbf" concept="clcid-pte:QiTaChangQiFuZhai" label="其他长期负债" periodRef="本期期初数" mulRef="_GBC_dcff3d72dff8467cb2c07ad3b3fc27ca" unitRef="_GBC_bba83c9ffe7341af87411641b3c1153d" addr="T0R67C2S1_1" formatStyle="Comma" appId="_GBC_0c146c68fc034b599b66830a1b8cd6d2"/>
      <m:item xlName="_GBC_0044f1184ec048d58e2d899a4dc3cfc0" concept="clcid-pte:QiTaChangQiFuZhai" label="其他长期负债" mulRef="_GBC_dcff3d72dff8467cb2c07ad3b3fc27ca" unitRef="_GBC_bba83c9ffe7341af87411641b3c1153d" addr="T0R67C3S1_1" formatStyle="Comma" appId="_GBC_0c146c68fc034b599b66830a1b8cd6d2">
        <m:axisValue occRef="调整数"/>
      </m:item>
      <m:placeholder xlName="_PLD_7bf2c4255d5d4cb89fab0d910ac0408b" addr="T0R68C0S1_1"/>
      <m:item xlName="_GBC_6b626b92f97e4b388c7eeac92ac88611" concept="clcid-pte:ChangQiFuZhaiHeJi" label="长期负债合计" periodRef="上年期末数" mulRef="_GBC_dcff3d72dff8467cb2c07ad3b3fc27ca" unitRef="_GBC_bba83c9ffe7341af87411641b3c1153d" addr="T0R68C1S1_1" formatStyle="Comma" appId="_GBC_0c146c68fc034b599b66830a1b8cd6d2">
        <m:complexRule comparator="Eq" title="长期负债合计" test=" $_GBC_03463a9cc8244928997c5166ef4fbb1a +  $_GBC_5699572fc6f4417f9477ce9fd3e0a51b +  $_GBC_88615e4056b94b908f88baf5fcf2975f +  $_GBC_4030e9c91fe34748afcfcc5e610e3e90 +  $_GBC_3d4c74e55dfd40868c9fdaa4c4479500 +  $_GBC_0a371e75fdb845d2bf1c617be453b171 +  $_GBC_17f181ee83ce4a9abd300feb9fac1c60 +  $_GBC_a972ba681e4f45179172d1927cee03ad +  $_GBC_cee73033c1a342cb9147f8ca8e7f2eaa" id="Cce8a1c9f461e41c08eec8cab5b1a8ad7"/>
      </m:item>
      <m:item xlName="_GBC_a56696536248401fb362bfcf2402798e" concept="clcid-pte:ChangQiFuZhaiHeJi" label="长期负债合计" periodRef="本期期初数" mulRef="_GBC_dcff3d72dff8467cb2c07ad3b3fc27ca" unitRef="_GBC_bba83c9ffe7341af87411641b3c1153d" addr="T0R68C2S1_1" formatStyle="Comma" appId="_GBC_0c146c68fc034b599b66830a1b8cd6d2">
        <m:complexRule comparator="Eq" title="长期负债合计@本期期初数" test=" $_GBC_b26faaae780041059415449a95fa55ab +  $_GBC_a49b298eed8d4189aebe44b3663b3c29 +  $_GBC_a41de5808abe4469af64ceb63678b418 +  $_GBC_bb8b19f2549e4ee0adc976f8abe034af +  $_GBC_4d7e3cfde2ea4754ad3876ab258042dc +  $_GBC_46bd9ee6d85543bca539b25cf6952858 +  $_GBC_3c76e36b45fd4e0381fa502f81a85898 +  $_GBC_0c86c3440df64dbe8d1cc32afdbd6fbf +  $_GBC_de63fdbbbf664c4d9358540aec535060" id="C6d7ab5923e6242f88fbc7bcdd59b24ea"/>
      </m:item>
      <m:item xlName="_GBC_865a85bba7f14abb9ec17c70ca8e1c6e" concept="clcid-pte:ChangQiFuZhaiHeJi" label="长期负债合计" mulRef="_GBC_dcff3d72dff8467cb2c07ad3b3fc27ca" unitRef="_GBC_bba83c9ffe7341af87411641b3c1153d" addr="T0R68C3S1_1" formatStyle="Comma" appId="_GBC_0c146c68fc034b599b66830a1b8cd6d2">
        <m:complexRule comparator="Eq" title="长期负债合计(调整数)" test=" $_GBC_7c73c5d7ef96406f99d02df313fd9bc1 +  $_GBC_60675c609f8040e58e120773d7c9678d +  $_GBC_edfbb964d892422a9e6835f4634ba503 +  $_GBC_b3b6a7f6318c459faaf3b627dc138023 +  $_GBC_ec18459afbac4a3187dda2c3d1eeee53 +  $_GBC_922e7ef959f241579c6ab9c9ff9561a8 +  $_GBC_13d2a8c8035c4799a1a9cfc8078019e6 +  $_GBC_012beb540b5b41819df9724f6b4658d2 +  $_GBC_0044f1184ec048d58e2d899a4dc3cfc0" id="Ca29947fa511b451f991a619aef94980f"/>
        <m:axisValue occRef="调整数"/>
      </m:item>
      <m:placeholder xlName="_PLD_f310429ce77e43bb8a08e771b4b852eb" addr="T0R69C0S1_1"/>
      <m:item xlName="_GBC_ffdc1d1e1d434cc9bae001c99549d915" concept="clcid-pte:FuZhaiHeJi" label="负债合计" periodRef="上年期末数" mulRef="_GBC_dcff3d72dff8467cb2c07ad3b3fc27ca" unitRef="_GBC_bba83c9ffe7341af87411641b3c1153d" addr="T0R69C1S1_1" formatStyle="Comma" appId="_GBC_0c146c68fc034b599b66830a1b8cd6d2">
        <m:complexRule comparator="Eq" title="负债合计" test=" $_GBC_9eb763d02c614cf488bf5cf321937a51 +  $_GBC_6b626b92f97e4b388c7eeac92ac88611" id="C716f1682a9c842a8a381381f2494a899"/>
      </m:item>
      <m:item xlName="_GBC_553b34424fbb46abaf58b318f3591885" concept="clcid-pte:FuZhaiHeJi" label="负债合计" periodRef="本期期初数" mulRef="_GBC_dcff3d72dff8467cb2c07ad3b3fc27ca" unitRef="_GBC_bba83c9ffe7341af87411641b3c1153d" addr="T0R69C2S1_1" formatStyle="Comma" appId="_GBC_0c146c68fc034b599b66830a1b8cd6d2">
        <m:complexRule comparator="Eq" title="负债合计@本期期初数" test=" $_GBC_b30d607d960c46f49aa5c690a2a40ce7 +  $_GBC_a56696536248401fb362bfcf2402798e" id="Cc199c8a8e6d7416fa189d1ffbdda55bf"/>
      </m:item>
      <m:item xlName="_GBC_aa12e0864b9a410eae783265c646a4d0" concept="clcid-pte:FuZhaiHeJi" label="负债合计" mulRef="_GBC_dcff3d72dff8467cb2c07ad3b3fc27ca" unitRef="_GBC_bba83c9ffe7341af87411641b3c1153d" addr="T0R69C3S1_1" formatStyle="Comma" appId="_GBC_0c146c68fc034b599b66830a1b8cd6d2">
        <m:complexRule comparator="Eq" title="负债合计(调整数)" test=" $_GBC_4c5aebd0dd0c46eda05f9a7bdf32a0af +  $_GBC_865a85bba7f14abb9ec17c70ca8e1c6e" id="Ce0ca54a22af5445e91f6f4106da88b65"/>
        <m:axisValue occRef="调整数"/>
      </m:item>
      <m:placeholder xlName="_PLD_23187ad933224e27a0778544edac771b" addr="T0R70C0S1_4"/>
      <m:placeholder xlName="_PLD_3c27438e4c17401287912d3d39522246" addr="T0R71C0S1_1"/>
      <m:item xlName="_GBC_7f512d83a81c479398884b7e28af888d" concept="clcid-pte:GuBen" label="股本" periodRef="上年期末数" mulRef="_GBC_dcff3d72dff8467cb2c07ad3b3fc27ca" unitRef="_GBC_bba83c9ffe7341af87411641b3c1153d" addr="T0R71C1S1_1" formatStyle="Comma" appId="_GBC_0c146c68fc034b599b66830a1b8cd6d2"/>
      <m:item xlName="_GBC_0cb5a1af96c1428a91eca223950a887d" concept="clcid-pte:GuBen" label="股本" periodRef="本期期初数" mulRef="_GBC_dcff3d72dff8467cb2c07ad3b3fc27ca" unitRef="_GBC_bba83c9ffe7341af87411641b3c1153d" addr="T0R71C2S1_1" formatStyle="Comma" appId="_GBC_0c146c68fc034b599b66830a1b8cd6d2"/>
      <m:item xlName="_GBC_d90225092ca84d3d8734d91e1fd79991" concept="clcid-pte:GuBen" label="股本" mulRef="_GBC_dcff3d72dff8467cb2c07ad3b3fc27ca" unitRef="_GBC_bba83c9ffe7341af87411641b3c1153d" addr="T0R71C3S1_1" formatStyle="Comma" appId="_GBC_0c146c68fc034b599b66830a1b8cd6d2">
        <m:axisValue occRef="调整数"/>
      </m:item>
      <m:placeholder xlName="_PLD_219e289aa1864196b209d2a598a1c370" addr="T0R72C0S1_1"/>
      <m:item xlName="_GBC_bb728876b6774fda95f6a657aa921e02" concept="clcid-pte:QiTaQuanYiGongJu" label="其他权益工具" periodRef="上年期末数" mulRef="_GBC_dcff3d72dff8467cb2c07ad3b3fc27ca" unitRef="_GBC_bba83c9ffe7341af87411641b3c1153d" addr="T0R72C1S1_1" formatStyle="Comma" appId="_GBC_0c146c68fc034b599b66830a1b8cd6d2"/>
      <m:item xlName="_GBC_619369e9e0fd4eebac82159f57bd87da" concept="clcid-pte:QiTaQuanYiGongJu" label="其他权益工具" periodRef="本期期初数" mulRef="_GBC_dcff3d72dff8467cb2c07ad3b3fc27ca" unitRef="_GBC_bba83c9ffe7341af87411641b3c1153d" addr="T0R72C2S1_1" formatStyle="Comma" appId="_GBC_0c146c68fc034b599b66830a1b8cd6d2"/>
      <m:item xlName="_GBC_bdd3efe7ce37494cb3d84e29f410094b" concept="clcid-pte:QiTaQuanYiGongJu" label="其他权益工具" mulRef="_GBC_dcff3d72dff8467cb2c07ad3b3fc27ca" unitRef="_GBC_bba83c9ffe7341af87411641b3c1153d" addr="T0R72C3S1_1" formatStyle="Comma" appId="_GBC_0c146c68fc034b599b66830a1b8cd6d2">
        <m:axisValue occRef="调整数"/>
      </m:item>
      <m:placeholder xlName="_PLD_d62d300e33d54dccb14fe8b847ce22ce" addr="T0R73C0S1_1"/>
      <m:item xlName="_GBC_d64e00567e7c48d784fb63a9a1263412" concept="clcid-pte:QiTaQuanYiGongJuQiZhongYouXianGu" label="其他权益工具-其中：优先股" periodRef="上年期末数" mulRef="_GBC_dcff3d72dff8467cb2c07ad3b3fc27ca" unitRef="_GBC_bba83c9ffe7341af87411641b3c1153d" addr="T0R73C1S1_1" formatStyle="Comma" appId="_GBC_0c146c68fc034b599b66830a1b8cd6d2"/>
      <m:item xlName="_GBC_9b81e3992df14a569276e50d9839a411" concept="clcid-pte:QiTaQuanYiGongJuQiZhongYouXianGu" label="其他权益工具-其中：优先股" periodRef="本期期初数" mulRef="_GBC_dcff3d72dff8467cb2c07ad3b3fc27ca" unitRef="_GBC_bba83c9ffe7341af87411641b3c1153d" addr="T0R73C2S1_1" formatStyle="Comma" appId="_GBC_0c146c68fc034b599b66830a1b8cd6d2"/>
      <m:item xlName="_GBC_91d368889ef84234b0f5373ce3defb05" concept="clcid-pte:QiTaQuanYiGongJuQiZhongYouXianGu" label="其他权益工具-其中：优先股" mulRef="_GBC_dcff3d72dff8467cb2c07ad3b3fc27ca" unitRef="_GBC_bba83c9ffe7341af87411641b3c1153d" addr="T0R73C3S1_1" formatStyle="Comma" appId="_GBC_0c146c68fc034b599b66830a1b8cd6d2">
        <m:axisValue occRef="调整数"/>
      </m:item>
      <m:placeholder xlName="_PLD_4727be5dd64e448e9a276fb536cca7df" addr="T0R74C0S1_1"/>
      <m:item xlName="_GBC_18af46cab98044d79d72beba9a508cfa" concept="clcid-pte:QiTaQuanYiGongJuYongXuZhai" label="其他权益工具-永续债" periodRef="上年期末数" mulRef="_GBC_dcff3d72dff8467cb2c07ad3b3fc27ca" unitRef="_GBC_bba83c9ffe7341af87411641b3c1153d" addr="T0R74C1S1_1" formatStyle="Comma" appId="_GBC_0c146c68fc034b599b66830a1b8cd6d2"/>
      <m:item xlName="_GBC_26311f21234c41c0abe1a809af92b554" concept="clcid-pte:QiTaQuanYiGongJuYongXuZhai" label="其他权益工具-永续债" periodRef="本期期初数" mulRef="_GBC_dcff3d72dff8467cb2c07ad3b3fc27ca" unitRef="_GBC_bba83c9ffe7341af87411641b3c1153d" addr="T0R74C2S1_1" formatStyle="Comma" appId="_GBC_0c146c68fc034b599b66830a1b8cd6d2"/>
      <m:item xlName="_GBC_714b42ca178b480a896b4f7111e2d9f3" concept="clcid-pte:QiTaQuanYiGongJuYongXuZhai" label="其他权益工具-永续债" mulRef="_GBC_dcff3d72dff8467cb2c07ad3b3fc27ca" unitRef="_GBC_bba83c9ffe7341af87411641b3c1153d" addr="T0R74C3S1_1" formatStyle="Comma" appId="_GBC_0c146c68fc034b599b66830a1b8cd6d2">
        <m:axisValue occRef="调整数"/>
      </m:item>
      <m:placeholder xlName="_PLD_4eee5b62cf3a4acd8774ea85f2267d0a" addr="T0R75C0S1_1"/>
      <m:item xlName="_GBC_aed327c408fa422aaa9c851ed710dd10" concept="clcid-pte:ZiBenGongJi" label="资本公积" periodRef="上年期末数" mulRef="_GBC_dcff3d72dff8467cb2c07ad3b3fc27ca" unitRef="_GBC_bba83c9ffe7341af87411641b3c1153d" addr="T0R75C1S1_1" formatStyle="Comma" appId="_GBC_0c146c68fc034b599b66830a1b8cd6d2"/>
      <m:item xlName="_GBC_e7bb382c1303402288402a2fe360e0cc" concept="clcid-pte:ZiBenGongJi" label="资本公积" periodRef="本期期初数" mulRef="_GBC_dcff3d72dff8467cb2c07ad3b3fc27ca" unitRef="_GBC_bba83c9ffe7341af87411641b3c1153d" addr="T0R75C2S1_1" formatStyle="Comma" appId="_GBC_0c146c68fc034b599b66830a1b8cd6d2"/>
      <m:item xlName="_GBC_eba0e0fe578d464fb4427d388eb0a4aa" concept="clcid-pte:ZiBenGongJi" label="资本公积" mulRef="_GBC_dcff3d72dff8467cb2c07ad3b3fc27ca" unitRef="_GBC_bba83c9ffe7341af87411641b3c1153d" addr="T0R75C3S1_1" formatStyle="Comma" appId="_GBC_0c146c68fc034b599b66830a1b8cd6d2">
        <m:axisValue occRef="调整数"/>
      </m:item>
      <m:placeholder xlName="_PLD_4b58d38662354efdb77e7c72ba96772f" addr="T0R76C0S1_1"/>
      <m:item xlName="_GBC_9f313f06649c401c9a9de14230f79a76" concept="clcid-pte:KuCunGu" label="库存股" periodRef="上年期末数" mulRef="_GBC_dcff3d72dff8467cb2c07ad3b3fc27ca" unitRef="_GBC_bba83c9ffe7341af87411641b3c1153d" addr="T0R76C1S1_1" formatStyle="Comma" appId="_GBC_0c146c68fc034b599b66830a1b8cd6d2"/>
      <m:item xlName="_GBC_82555bd291e64798bf5d1cea86b0eff6" concept="clcid-pte:KuCunGu" label="库存股" periodRef="本期期初数" mulRef="_GBC_dcff3d72dff8467cb2c07ad3b3fc27ca" unitRef="_GBC_bba83c9ffe7341af87411641b3c1153d" addr="T0R76C2S1_1" formatStyle="Comma" appId="_GBC_0c146c68fc034b599b66830a1b8cd6d2"/>
      <m:item xlName="_GBC_81b699c85e0d4bf1929f9fb4365e91a0" concept="clcid-pte:KuCunGu" label="库存股" mulRef="_GBC_dcff3d72dff8467cb2c07ad3b3fc27ca" unitRef="_GBC_bba83c9ffe7341af87411641b3c1153d" addr="T0R76C3S1_1" formatStyle="Comma" appId="_GBC_0c146c68fc034b599b66830a1b8cd6d2">
        <m:axisValue occRef="调整数"/>
      </m:item>
      <m:placeholder xlName="_PLD_0832a644b0f64622848e9f5c951b4622" addr="T0R77C0S1_1"/>
      <m:item xlName="_GBC_cd1d9f9e048b4e018d53c95a701c77a6" concept="clcid-pte:QiTaZongHeShouYiZiChanFuZhaiBiaoXiangMu" label="其他综合收益（资产负债表项目）" periodRef="上年期末数" mulRef="_GBC_dcff3d72dff8467cb2c07ad3b3fc27ca" unitRef="_GBC_bba83c9ffe7341af87411641b3c1153d" addr="T0R77C1S1_1" formatStyle="Comma" appId="_GBC_0c146c68fc034b599b66830a1b8cd6d2"/>
      <m:item xlName="_GBC_d77065f1684a40fc888612d9dfabb02b" concept="clcid-pte:QiTaZongHeShouYiZiChanFuZhaiBiaoXiangMu" label="其他综合收益（资产负债表项目）" periodRef="本期期初数" mulRef="_GBC_dcff3d72dff8467cb2c07ad3b3fc27ca" unitRef="_GBC_bba83c9ffe7341af87411641b3c1153d" addr="T0R77C2S1_1" formatStyle="Comma" appId="_GBC_0c146c68fc034b599b66830a1b8cd6d2"/>
      <m:item xlName="_GBC_b26e7de9b2a7466a958ecca21a9a71ce" concept="clcid-pte:QiTaZongHeShouYiZiChanFuZhaiBiaoXiangMu" label="其他综合收益（资产负债表项目）" mulRef="_GBC_dcff3d72dff8467cb2c07ad3b3fc27ca" unitRef="_GBC_bba83c9ffe7341af87411641b3c1153d" addr="T0R77C3S1_1" formatStyle="Comma" appId="_GBC_0c146c68fc034b599b66830a1b8cd6d2">
        <m:axisValue occRef="调整数"/>
      </m:item>
      <m:placeholder xlName="_PLD_fd8ae7627f624031a96429026d1b6435" addr="T0R78C0S1_1"/>
      <m:item xlName="_GBC_0d39b36d0c9a40f191157ba1745d2a8f" concept="clcid-pte:ZhuanXiangChuBei" label="专项储备" periodRef="上年期末数" mulRef="_GBC_dcff3d72dff8467cb2c07ad3b3fc27ca" unitRef="_GBC_bba83c9ffe7341af87411641b3c1153d" addr="T0R78C1S1_1" formatStyle="Comma" appId="_GBC_0c146c68fc034b599b66830a1b8cd6d2"/>
      <m:item xlName="_GBC_f71b026d605f444ea3cbbb8485bff6fd" concept="clcid-pte:ZhuanXiangChuBei" label="专项储备" periodRef="本期期初数" mulRef="_GBC_dcff3d72dff8467cb2c07ad3b3fc27ca" unitRef="_GBC_bba83c9ffe7341af87411641b3c1153d" addr="T0R78C2S1_1" formatStyle="Comma" appId="_GBC_0c146c68fc034b599b66830a1b8cd6d2"/>
      <m:item xlName="_GBC_c66ab9ec50524d6c848c2265908b876d" concept="clcid-pte:ZhuanXiangChuBei" label="专项储备" mulRef="_GBC_dcff3d72dff8467cb2c07ad3b3fc27ca" unitRef="_GBC_bba83c9ffe7341af87411641b3c1153d" addr="T0R78C3S1_1" formatStyle="Comma" appId="_GBC_0c146c68fc034b599b66830a1b8cd6d2">
        <m:axisValue occRef="调整数"/>
      </m:item>
      <m:placeholder xlName="_PLD_8f42d18969554ab6b708ec2e3fb20cfd" addr="T0R79C0S1_1"/>
      <m:item xlName="_GBC_3b202a0903a242ed9d7dd60d8129f0f1" concept="clcid-pte:YingYuGongJi" label="盈余公积" periodRef="上年期末数" mulRef="_GBC_dcff3d72dff8467cb2c07ad3b3fc27ca" unitRef="_GBC_bba83c9ffe7341af87411641b3c1153d" addr="T0R79C1S1_1" formatStyle="Comma" appId="_GBC_0c146c68fc034b599b66830a1b8cd6d2"/>
      <m:item xlName="_GBC_b2b15ebeb35d451da6f6419afad8654d" concept="clcid-pte:YingYuGongJi" label="盈余公积" periodRef="本期期初数" mulRef="_GBC_dcff3d72dff8467cb2c07ad3b3fc27ca" unitRef="_GBC_bba83c9ffe7341af87411641b3c1153d" addr="T0R79C2S1_1" formatStyle="Comma" appId="_GBC_0c146c68fc034b599b66830a1b8cd6d2"/>
      <m:item xlName="_GBC_da5dabc1d08744caa1eefe21b780de7d" concept="clcid-pte:YingYuGongJi" label="盈余公积" mulRef="_GBC_dcff3d72dff8467cb2c07ad3b3fc27ca" unitRef="_GBC_bba83c9ffe7341af87411641b3c1153d" addr="T0R79C3S1_1" formatStyle="Comma" appId="_GBC_0c146c68fc034b599b66830a1b8cd6d2">
        <m:axisValue occRef="调整数"/>
      </m:item>
      <m:placeholder xlName="_PLD_2137826bf3624275afdce635adcd1f2e" addr="T0R80C0S1_1"/>
      <m:item xlName="_GBC_afc1593a494e42299a41902dd0df2e62" concept="clcid-pte:WeiFenPeiLiRun" label="未分配利润" periodRef="上年期末数" mulRef="_GBC_dcff3d72dff8467cb2c07ad3b3fc27ca" unitRef="_GBC_bba83c9ffe7341af87411641b3c1153d" addr="T0R80C1S1_1" formatStyle="Comma" appId="_GBC_0c146c68fc034b599b66830a1b8cd6d2"/>
      <m:item xlName="_GBC_f4e1348aa57344bc8f3cf8907e51b07e" concept="clcid-pte:WeiFenPeiLiRun" label="未分配利润" periodRef="本期期初数" mulRef="_GBC_dcff3d72dff8467cb2c07ad3b3fc27ca" unitRef="_GBC_bba83c9ffe7341af87411641b3c1153d" addr="T0R80C2S1_1" formatStyle="Comma" appId="_GBC_0c146c68fc034b599b66830a1b8cd6d2"/>
      <m:item xlName="_GBC_383ec1ff377d4cdfb4386457d9f6ff1b" concept="clcid-pte:WeiFenPeiLiRun" label="未分配利润" mulRef="_GBC_dcff3d72dff8467cb2c07ad3b3fc27ca" unitRef="_GBC_bba83c9ffe7341af87411641b3c1153d" addr="T0R80C3S1_1" formatStyle="Comma" appId="_GBC_0c146c68fc034b599b66830a1b8cd6d2">
        <m:axisValue occRef="调整数"/>
      </m:item>
      <m:placeholder xlName="_PLD_a14461c5dce1429cab04db99893b0689" addr="T0R81C0S1_1"/>
      <m:item xlName="_GBC_80662a498376446fa4b0f57e9bb85e03" concept="clcid-pte:GuDongQuanYiHeJi" label="股东权益合计" periodRef="上年期末数" mulRef="_GBC_dcff3d72dff8467cb2c07ad3b3fc27ca" unitRef="_GBC_bba83c9ffe7341af87411641b3c1153d" addr="T0R81C1S1_1" formatStyle="Comma" appId="_GBC_0c146c68fc034b599b66830a1b8cd6d2">
        <m:complexRule comparator="Eq" title="股东权益合计" test=" $_GBC_7f512d83a81c479398884b7e28af888d +  $_GBC_aed327c408fa422aaa9c851ed710dd10 -  $_GBC_9f313f06649c401c9a9de14230f79a76 +  $_GBC_bb728876b6774fda95f6a657aa921e02 +  $_GBC_cd1d9f9e048b4e018d53c95a701c77a6 +  $_GBC_0d39b36d0c9a40f191157ba1745d2a8f +  $_GBC_3b202a0903a242ed9d7dd60d8129f0f1 +  $_GBC_afc1593a494e42299a41902dd0df2e62" id="Ceb7febb57ad644ababfafafa62027e54"/>
      </m:item>
      <m:item xlName="_GBC_d61dbac5177e4ee2afb5839a2a7bc6c8" concept="clcid-pte:GuDongQuanYiHeJi" label="股东权益合计" periodRef="本期期初数" mulRef="_GBC_dcff3d72dff8467cb2c07ad3b3fc27ca" unitRef="_GBC_bba83c9ffe7341af87411641b3c1153d" addr="T0R81C2S1_1" formatStyle="Comma" appId="_GBC_0c146c68fc034b599b66830a1b8cd6d2">
        <m:complexRule comparator="Eq" title="股东权益合计@本期期初数" test=" $_GBC_0cb5a1af96c1428a91eca223950a887d +  $_GBC_619369e9e0fd4eebac82159f57bd87da -  $_GBC_82555bd291e64798bf5d1cea86b0eff6 +  $_GBC_e7bb382c1303402288402a2fe360e0cc +  $_GBC_d77065f1684a40fc888612d9dfabb02b +  $_GBC_f71b026d605f444ea3cbbb8485bff6fd +  $_GBC_b2b15ebeb35d451da6f6419afad8654d +  $_GBC_f4e1348aa57344bc8f3cf8907e51b07e" id="Cc5794dd9bff540ada52efb2c24bc5d04"/>
      </m:item>
      <m:item xlName="_GBC_800bc7533853496299be325cb7c4c9a7" concept="clcid-pte:GuDongQuanYiHeJi" label="股东权益合计" mulRef="_GBC_dcff3d72dff8467cb2c07ad3b3fc27ca" unitRef="_GBC_bba83c9ffe7341af87411641b3c1153d" addr="T0R81C3S1_1" formatStyle="Comma" appId="_GBC_0c146c68fc034b599b66830a1b8cd6d2">
        <m:complexRule comparator="Eq" title="股东权益合计(调整数)" test=" $_GBC_d90225092ca84d3d8734d91e1fd79991 +  $_GBC_bdd3efe7ce37494cb3d84e29f410094b +  $_GBC_eba0e0fe578d464fb4427d388eb0a4aa -  $_GBC_81b699c85e0d4bf1929f9fb4365e91a0 +  $_GBC_b26e7de9b2a7466a958ecca21a9a71ce +  $_GBC_c66ab9ec50524d6c848c2265908b876d +  $_GBC_da5dabc1d08744caa1eefe21b780de7d +  $_GBC_383ec1ff377d4cdfb4386457d9f6ff1b" id="C82b807953baa4c07906abb9db6720cb9"/>
        <m:axisValue occRef="调整数"/>
      </m:item>
      <m:placeholder xlName="_PLD_dc8ccfead3994bf8a325720d14f075dd" addr="T0R82C0S1_1"/>
      <m:item xlName="_GBC_9e811db3409f465ca893ea4709a33e4b" concept="clcid-pte:FuZhaiHeGuDongQuanYiHeJi" label="负债和股东权益合计" periodRef="上年期末数" mulRef="_GBC_dcff3d72dff8467cb2c07ad3b3fc27ca" unitRef="_GBC_bba83c9ffe7341af87411641b3c1153d" addr="T0R82C1S1_1" formatStyle="Comma" appId="_GBC_0c146c68fc034b599b66830a1b8cd6d2">
        <m:complexRule comparator="Eq" title="负债和股东权益合计" test=" $_GBC_ffdc1d1e1d434cc9bae001c99549d915 +  $_GBC_80662a498376446fa4b0f57e9bb85e03" id="Cdf035eb8d26d4bbea8f4d433a1582e8d"/>
      </m:item>
      <m:item xlName="_GBC_e05928b4bb4840d8956ba1c798dcf499" concept="clcid-pte:FuZhaiHeGuDongQuanYiHeJi" label="负债和股东权益合计" periodRef="本期期初数" mulRef="_GBC_dcff3d72dff8467cb2c07ad3b3fc27ca" unitRef="_GBC_bba83c9ffe7341af87411641b3c1153d" addr="T0R82C2S1_1" formatStyle="Comma" appId="_GBC_0c146c68fc034b599b66830a1b8cd6d2">
        <m:complexRule comparator="Eq" title="负债和股东权益合计@本期期初数" test=" $_GBC_553b34424fbb46abaf58b318f3591885 +  $_GBC_d61dbac5177e4ee2afb5839a2a7bc6c8" id="Cceaa74a4cafb4c349561d97596dda73d"/>
      </m:item>
      <m:item xlName="_GBC_201237931e924bcf85a6943c36038f3f" concept="clcid-pte:FuZhaiHeGuDongQuanYiHeJi" label="负债和股东权益合计" mulRef="_GBC_dcff3d72dff8467cb2c07ad3b3fc27ca" unitRef="_GBC_bba83c9ffe7341af87411641b3c1153d" addr="T0R82C3S1_1" formatStyle="Comma" appId="_GBC_0c146c68fc034b599b66830a1b8cd6d2">
        <m:complexRule comparator="Eq" title="负债和股东权益合计(调整数)" test=" $_GBC_aa12e0864b9a410eae783265c646a4d0 +  $_GBC_800bc7533853496299be325cb7c4c9a7" id="C4ad4fe7ac6a543da9d9de3e2bd1e4ae9"/>
        <m:axisValue occRef="调整数"/>
      </m:item>
      <m:item xlName="_GBC_119d5368c81b45aa9f96d9b58e5a0fb5" concept="clcid-ci-ar:ShiFouShiYongZiChanFuZhaiBiaoGeXiangMuTiaoZhengQingKuangDeShuoMing" label="是否适用：资产负债表各项目调整情况的说明" selectOptions="_buildInAppliance" controlType="CustomCheckbox" cRanges="[{&quot;StartName&quot;:&quot;_GBC_119d5368c81b45aa9f96d9b58e5a0fb5&quot;,&quot;EndName&quot;:&quot;_GBC_c0981d9705734d91b8062b829ca1af11&quot;,&quot;CType&quot;:1}]"/>
      <m:item xlName="_GBC_c0981d9705734d91b8062b829ca1af11" concept="clcid-pte:ZiChanFuZhaiBiaoGeXiangMuTiaoZhengQingKuangDeShuoMing" label="资产负债表各项目调整情况的说明" appId="_GBC_119d5368c81b45aa9f96d9b58e5a0fb5"/>
      <m:rowModel locationConcept="clcid-ci-ar:ZiDingYiKeMuWeiZhi" labelConcept="clcid-ci-ar:ZiDingYiKeMuMingCheng" conceptPrefix="资产负债表" presentationRole="http://www.xbrl-cn.org/cn/lcid/lr/role/ConsolidatedBalanceSheet" presentationParentConcept="clcid-pte:ZiChanFuZhaiBiao" tuplePrefix="项目"/>
    </m:section>
    <m:section xlName="_SEC_a98b82c2763d4798bed73cd0b4fbc809" title="首次执行新金融工具准则、新租赁准则追溯调整前期比较数据的说明">
      <m:item xlName="_GBC_ceaa7ba89e47473da347779a7dc5e772" concept="clcid-ci-ar:ShiFouShiYongShouCiZhiXingXinKuaiJiZhunZeTiaoZhengQianQiBiJiaoShuJuDeShuoMing" label="是否适用：首次执行新会计准则调整前期比较数据的说明" selectOptions="_buildInAppliance" controlType="CustomCheckbox" cRanges="[{&quot;StartName&quot;:&quot;_GBC_ceaa7ba89e47473da347779a7dc5e772&quot;,&quot;EndName&quot;:&quot;_GBC_dff15ce91f374c50a131c086c1410130&quot;,&quot;CType&quot;:1}]"/>
      <m:item xlName="_GBC_dff15ce91f374c50a131c086c1410130" concept="clcid-pte:ShouCiZhiXingXinKuaiJiZhunZeTiaoZhengQianQiBiJiaoShuJuDeShuoMing" label="首次执行新会计准则调整前期比较数据的说明" appId="_GBC_ceaa7ba89e47473da347779a7dc5e772"/>
    </m:section>
    <m:section xlName="_GBC_f9189f2c315949f484bded540173f7a8" title="其他" helpId="112001034">
      <m:item xlName="_GBC_6deb29735f384e0d9a2b017d4265a493" concept="clcid-ci-ar:ShiFouShiYongGongSiZhuYaoHuiJiZhengCeHuiJiGuJiHeQianQiChaCuoDeQiTaShuoMing" label="是否适用：公司主要会计政策、会计估计和前期差错的其他说明" selectOptions="_buildInAppliance" controlType="CustomCheckbox" cRanges="{&quot;StartName&quot;:&quot;_GBC_6deb29735f384e0d9a2b017d4265a493&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6deb29735f384e0d9a2b017d4265a493"/>
    </m:section>
    <m:section xlName="_GBC_21c965fa52af49a9865023fb4e05671a" title="主要税种及税率" convertSummaryRule="NoConvert" helpId="112001036">
      <m:item xlName="_GBC_fd47fa4fd9aa499c8903795268a25582" concept="clcid-ci-ar:ShiFouShiYongZhuYaoShuiZhongJiShuiLvQingKuang" label="是否适用：主要税种及税率情况 " selectOptions="_buildInAppliance" controlType="CustomCheckbox" cRanges="{&quot;StartName&quot;:&quot;_GBC_fd47fa4fd9aa499c8903795268a25582&quot;,&quot;EndName&quot;:&quot;_GBC_ff09195391064ccb8c7ca98d11731bcc&quot;,&quot;CType&quot;:1,&quot;DisplayText&quot;:null}"/>
      <m:region xlName="_GBC_cd48dbef8f724802baa896e009e06b0d" title="税种计税依据税率" mandatory="false" convertSummaryRule="NoConvert" helpId="112001037">
        <m:placeholder xlName="_PLD_e7d49d0412b143bf84fec865b918065a" addr="T0R0C0S1_1"/>
        <m:placeholder xlName="_PLD_e42202809983483baa812ed26e1b27a2" addr="T0R0C1S1_1"/>
        <m:placeholder xlName="_PLD_0cebc7a4c62844c6b35146cd64cd4277" addr="T0R0C2S1_1"/>
        <m:placeholder xlName="_PLD_9ace953dc7aa4938aeb14fdc5cefe531" addr="T0R1C0S1_1"/>
        <m:item xlName="_GBC_11f2a3832d244b0ab73a57a8c8a61bf2" concept="clcid-pte:ZengZhiShuiDeJiShuiYiJu" label="增值税的计税依据" addr="T0R1C1S1_1" appId="_GBC_fd47fa4fd9aa499c8903795268a25582"/>
        <m:item xlName="_GBC_ba800c47453f4253a4567179200d7fdf" concept="clcid-pte:ZengZhiShuiShuiLv" label="增值税税率" addr="T0R1C2S1_1" appId="_GBC_fd47fa4fd9aa499c8903795268a25582"/>
        <m:placeholder xlName="_PLD_81e2cde513d146408625859d885eb577" addr="T0R2C0S1_1"/>
        <m:item xlName="_GBC_5b21ff7c61f6467daea3da8ae8e2ecce" concept="clcid-pte:XiaoFeiShuiDeJiShuiYiJu" label="消费税的计税依据" addr="T0R2C1S1_1" appId="_GBC_fd47fa4fd9aa499c8903795268a25582"/>
        <m:item xlName="_GBC_bd8e8802e0474b94ab048bdd02fd4f47" concept="clcid-pte:XiaoFeiShuiShuiLv" label="消费税税率" addr="T0R2C2S1_1" appId="_GBC_fd47fa4fd9aa499c8903795268a25582"/>
        <m:placeholder xlName="_PLD_6653c9a6095c4d3eaf346beeb35838a0" addr="T0R3C0S1_1"/>
        <m:item xlName="_GBC_3c6a374f8b274931891b9142610590fe" concept="clcid-pte:YingYeShuiDeJiShuiYiJu" label="营业税的计税依据" addr="T0R3C1S1_1" appId="_GBC_fd47fa4fd9aa499c8903795268a25582"/>
        <m:item xlName="_GBC_8cf00eb556844bc2b2211a1c76c8dc8f" concept="clcid-pte:YingYeShuiShuiLv" label="营业税税率" addr="T0R3C2S1_1" appId="_GBC_fd47fa4fd9aa499c8903795268a25582"/>
        <m:placeholder xlName="_PLD_a00c27a54584444dbd90124436528903" addr="T0R4C0S1_1"/>
        <m:item xlName="_GBC_b8adb0d580af4d7cbe52b708530d870e" concept="clcid-pte:ChengJianShuiDeJiShuiYiJu" label="城市维护建设税的计税依据" addr="T0R4C1S1_1" appId="_GBC_fd47fa4fd9aa499c8903795268a25582"/>
        <m:item xlName="_GBC_0bf2ebb5727a4af29d739eff67e0cd9c" concept="clcid-pte:ChengJianShuiShuiLv" label="城建税税率" addr="T0R4C2S1_1" appId="_GBC_fd47fa4fd9aa499c8903795268a25582"/>
        <m:placeholder xlName="_PLD_674fdae0a13a4ed2a46d30b411850225" addr="T0R5C0S1_1"/>
        <m:item xlName="_GBC_fc8438529f7f47089c036c6f62ba0dc7" concept="clcid-pte:QiYeSuoDeShuiDeJiShuiYiJu" label="企业所得税的计税依据" addr="T0R5C1S1_1" appId="_GBC_fd47fa4fd9aa499c8903795268a25582"/>
        <m:item xlName="_GBC_10a877fdd8df46e98ec5e56db75c969a" concept="clcid-pte:QiYeSuoDeShuiShuiLv" label="企业所得税税率" addr="T0R5C2S1_1" appId="_GBC_fd47fa4fd9aa499c8903795268a25582"/>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d47fa4fd9aa499c8903795268a25582"/>
          <m:item xlName="_GBC_36b43cfa1c5b4e56b53e56c3668c2985" concept="clcid-pte:QiTaZhuYaoShuiZhongJiShuiYiJu" label="其他主要税种计税依据" addr="T0R6C1S1_1" appId="_GBC_fd47fa4fd9aa499c8903795268a25582"/>
          <m:item xlName="_GBC_ff09195391064ccb8c7ca98d11731bcc" concept="clcid-pte:QiTaZhuYaoShuiZhongShuiLv" label="其他主要税种税率" addr="T0R6C2S1_1" appId="_GBC_fd47fa4fd9aa499c8903795268a25582"/>
        </m:tuple>
      </m:region>
      <m:item xlName="_GBC_848dc0d1182048ccb5485f3b0d7d1d70" concept="clcid-ci-ar:ShiFouShiYongCunZaiBuTongQiYeSuoDeShuiShuiLvNaShuiZhuTiDePiLuQingKuangShuoMing" label="是否适用：存在不同企业所得税税率纳税主体的，披露情况说明" selectOptions="_buildInAppliance" controlType="CustomCheckbox" cRanges="{&quot;StartName&quot;:&quot;_GBC_848dc0d1182048ccb5485f3b0d7d1d70&quot;,&quot;EndName&quot;:&quot;_GBC_f980f5132fdc420482dec5668738b716&quot;,&quot;CType&quot;:1,&quot;DisplayText&quot;:null}"/>
      <m:placeholder xlName="_PLD_440a50b0d3fa4b22b061006e717665d8" addr="T1R0C0S1_1"/>
      <m:placeholder xlName="_PLD_5c2541995bc04204a53104c1e5a4c9da"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848dc0d1182048ccb5485f3b0d7d1d70"/>
        <m:item xlName="_GBC_f980f5132fdc420482dec5668738b716" concept="clcid-pte:BuTongNaShuiZhuTiSuoDeShuiShuiLvShuoMingMingXiSuoDeShuiShuiLv" label="不同纳税主体所得税税率说明明细-所得税税率" addr="T1R1C1S1_1" baseScale="0.01" formatStyle="Comma" appId="_GBC_848dc0d1182048ccb5485f3b0d7d1d70"/>
      </m:tuple>
    </m:section>
    <m:section xlName="_GBC_8efa381cc976417f9135f0c744d05452" title="税收优惠及批文" convertSummaryRule="NoConvert" helpId="112001036" helpText="注：说明主要税收优惠政策及依据。">
      <m:item xlName="_GBC_f8eb23e7a2e74e448e4eb46519d87bd6" concept="clcid-ci-ar:ShiFouShiYongShuiShouYouHui" label="是否适用：税收优惠" selectOptions="_buildInAppliance" controlType="CustomCheckbox" cRanges="{&quot;StartName&quot;:&quot;_GBC_f8eb23e7a2e74e448e4eb46519d87bd6&quot;,&quot;EndName&quot;:&quot;_GBC_3bbdacdaa3ba421fb8a81b9bda047bb4&quot;,&quot;CType&quot;:1,&quot;DisplayText&quot;:null}"/>
      <m:item xlName="_GBC_3bbdacdaa3ba421fb8a81b9bda047bb4" concept="clcid-pte:YouHuiShuiFuJiPiWen" label="优惠税赋及批文" appId="_GBC_f8eb23e7a2e74e448e4eb46519d87bd6"/>
    </m:section>
    <m:section xlName="_GBC_9fdef48633e142f68e18dc5da08c2deb" title="其他说明" convertSummaryRule="NoConvert" helpId="112001038">
      <m:item xlName="_GBC_566ef0a7141a4b2ca002ad8d0663c462" concept="clcid-ci-ar:ShiFouShiYongShuiXiangShuoMing" label="是否适用：税项说明" selectOptions="_buildInAppliance" controlType="CustomCheckbox" cRanges="{&quot;StartName&quot;:&quot;_GBC_566ef0a7141a4b2ca002ad8d0663c462&quot;,&quot;EndName&quot;:&quot;_GBC_fd5463033ed2495089f9ea62c446326a&quot;,&quot;CType&quot;:1,&quot;DisplayText&quot;:null}"/>
      <m:item xlName="_GBC_fd5463033ed2495089f9ea62c446326a" concept="clcid-pte:ShuiXiangShuoMing" label="税项说明" appId="_GBC_566ef0a7141a4b2ca002ad8d0663c462"/>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919482f2d209490ca80fb081aed88b28" concept="clcid-ci-ar:ShiFouShiYongHuoBiZiJin" label="是否适用：货币资金" selectOptions="_buildInAppliance" controlType="CustomCheckbox" cRanges="{&quot;StartName&quot;:&quot;_GBC_919482f2d209490ca80fb081aed88b28&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919482f2d209490ca80fb081aed88b28"/>
      <m:item xlName="_GBC_6a1d907ad1af44b1a90a92ac03d51b34" concept="clcid-ci-ar:BiZhongCaiWuFuZhuHuoBiZiJin" label="币种：财务附注：货币资金" selectOptions="_buildInISO4217" controlType="Combobox" cellType="Measure" appId="_GBC_919482f2d209490ca80fb081aed88b28"/>
      <m:placeholder xlName="_PLD_970744f8614f4547819947c8fa3cacc3" addr="T0R0C0S1_1"/>
      <m:placeholder xlName="_PLD_e10eddc0fb0b4cf087ec6eb5089b437a" addr="T0R0C1S1_1"/>
      <m:placeholder xlName="_PLD_0e23cd11eeb14296ba53098fcca37e68" addr="T0R0C2S1_1"/>
      <m:placeholder xlName="_PLD_e371e767a9e24245856168b9f4428678" addr="T0R1C0S1_1"/>
      <m:item xlName="_GBC_078ace0cc41f43e9b9f09abcda3268fe" concept="clcid-pte:XianJinHeJi" label="现金合计" mulRef="_GBC_837f4fb04cac4b8aa6bed7dc457a1486" unitRef="_GBC_6a1d907ad1af44b1a90a92ac03d51b34" addr="T0R1C1S1_1" formatStyle="Comma" appId="_GBC_919482f2d209490ca80fb081aed88b28"/>
      <m:item xlName="_GBC_b308afb89aec462b9cd24da49f14cc4d" concept="clcid-pte:XianJinHeJi" label="现金合计" periodRef="本期期初数" mulRef="_GBC_837f4fb04cac4b8aa6bed7dc457a1486" unitRef="_GBC_6a1d907ad1af44b1a90a92ac03d51b34" addr="T0R1C2S1_1" formatStyle="Comma" appId="_GBC_919482f2d209490ca80fb081aed88b28"/>
      <m:placeholder xlName="_PLD_96be3b99d11b4eb5ac959cf1c015f1ae" addr="T0R2C0S1_1"/>
      <m:item xlName="_GBC_93f99114bb2d420c8a80f3ba36189543" concept="clcid-pte:YinHangCunKuanHeJi" label="银行存款合计" mulRef="_GBC_837f4fb04cac4b8aa6bed7dc457a1486" unitRef="_GBC_6a1d907ad1af44b1a90a92ac03d51b34" addr="T0R2C1S1_1" formatStyle="Comma" appId="_GBC_919482f2d209490ca80fb081aed88b28"/>
      <m:item xlName="_GBC_6ab19b1d61884bfebf4579d95be5a835" concept="clcid-pte:YinHangCunKuanHeJi" label="银行存款合计" periodRef="本期期初数" mulRef="_GBC_837f4fb04cac4b8aa6bed7dc457a1486" unitRef="_GBC_6a1d907ad1af44b1a90a92ac03d51b34" addr="T0R2C2S1_1" formatStyle="Comma" appId="_GBC_919482f2d209490ca80fb081aed88b28"/>
      <m:placeholder xlName="_PLD_58c172627e3243edb66fdbc1799a2f1e" addr="T0R3C0S1_1"/>
      <m:item xlName="_GBC_dcf1b58529884295873d0780eecc2d7f" concept="clcid-pte:QiTaHuoBiZiJinHeJi" label="其他货币资金合计" mulRef="_GBC_837f4fb04cac4b8aa6bed7dc457a1486" unitRef="_GBC_6a1d907ad1af44b1a90a92ac03d51b34" addr="T0R3C1S1_1" formatStyle="Comma" appId="_GBC_919482f2d209490ca80fb081aed88b28"/>
      <m:item xlName="_GBC_1da6ce6a8ba3438bb1226fbc27210c72" concept="clcid-pte:QiTaHuoBiZiJinHeJi" label="其他货币资金合计" periodRef="本期期初数" mulRef="_GBC_837f4fb04cac4b8aa6bed7dc457a1486" unitRef="_GBC_6a1d907ad1af44b1a90a92ac03d51b34" addr="T0R3C2S1_1" formatStyle="Comma" appId="_GBC_919482f2d209490ca80fb081aed88b28"/>
      <m:placeholder xlName="_PLD_bfbd7d5ef1f8459e96b267d6ca7d50e2" addr="T0R4C0S1_1"/>
      <m:item xlName="_GBC_c52486554358463c8afdf46ec03fc266" concept="clcid-pte:HuoBiZiJin" label="货币资金" mulRef="_GBC_837f4fb04cac4b8aa6bed7dc457a1486" unitRef="_GBC_6a1d907ad1af44b1a90a92ac03d51b34" addr="T0R4C1S1_1" formatStyle="Comma" appId="_GBC_919482f2d209490ca80fb081aed88b28">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919482f2d209490ca80fb081aed88b28">
        <m:complexRule comparator="Eq" title="货币资金@本期期初数" test=" $_GBC_b308afb89aec462b9cd24da49f14cc4d +  $_GBC_6ab19b1d61884bfebf4579d95be5a835 +  $_GBC_1da6ce6a8ba3438bb1226fbc27210c72" id="C730bb385ce3b410f899429f7ba69cd38"/>
      </m:item>
      <m:placeholder xlName="_PLD_87df45e9697a4beb97831117be4c567a"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919482f2d209490ca80fb081aed88b28"/>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919482f2d209490ca80fb081aed88b28"/>
      <m:item xlName="_GBC_672a863055084dfabbc1ba40f04a68b4" concept="clcid-pte:HuoBiZiJinDeShuoMing" label="货币资金的说明" appId="_GBC_919482f2d209490ca80fb081aed88b28"/>
    </m:section>
    <m:section xlName="_SEC_01904024df9944b092034293cedff1b0" title="交易性金融资产" helpId="112001041">
      <m:item xlName="_GBC_11d582474c724741b6bb067e7b29fffd" concept="clcid-ci-ar:ShiFouShiYongJiaoYiXingJinRongZiChan" label="是否适用：交易性金融资产" selectOptions="_buildInAppliance" controlType="CustomCheckbox" cRanges="[{&quot;StartName&quot;:&quot;_GBC_11d582474c724741b6bb067e7b29fffd&quot;,&quot;EndName&quot;:&quot;_GBC_7716d50aa4ca46fe928f4f87114b2be1&quot;,&quot;CType&quot;:1}]"/>
      <m:item xlName="_GBC_b2d7dc3f69444771a448a311594f8279" concept="clcid-ci-ar:DanWeiCaiWuFuZhuJiaoYiXingJinRongZiChan" label="单位：财务附注：交易性金融资产" selectOptions="_buildInScales" controlType="Combobox" cellType="Scale" appId="_GBC_11d582474c724741b6bb067e7b29fffd"/>
      <m:item xlName="_GBC_88b9006e3e174b8c8076810e5fb1dcc8" concept="clcid-ci-ar:BiZhongCaiWuFuZhuJiaoYiXingJinRongZiChan" label="币种：财务附注：交易性金融资产" selectOptions="_buildInISO4217" controlType="Combobox" cellType="Measure" appId="_GBC_11d582474c724741b6bb067e7b29fffd"/>
      <m:placeholder xlName="_PLD_180b3e7393aa4b579f23eb84c4a7f3d2" addr="T0R0C0S1_1"/>
      <m:placeholder xlName="_PLD_3c39d37503a349249c106423bdc13d7f" addr="T0R0C1S1_1"/>
      <m:placeholder xlName="_PLD_d428152cd6a04122a794515fe299ca7f" addr="T0R0C2S1_1"/>
      <m:placeholder xlName="_PLD_43a852b8fe8245cfab7ad57443d101bd" addr="T0R1C0S1_1"/>
      <m:item xlName="_GBC_089475bc351d4ce1a54950edc3cd31fb" concept="clcid-pte:JiaoYiXingJinRongZiChanZhongYiGongYunJiaZhiJiLiangQieQiBianDongJiRuDangQiSunYiDeJinRongZiChan" label="交易性金融资产中以公允价值计量且其变动计入当期损益的金融资产" mulRef="_GBC_b2d7dc3f69444771a448a311594f8279" unitRef="_GBC_88b9006e3e174b8c8076810e5fb1dcc8" addr="T0R1C1S1_1" formatStyle="Comma" appId="_GBC_11d582474c724741b6bb067e7b29fffd">
        <m:complexRule comparator="Eq" title="交易性金融资产中以公允价值计量且其变动计入当期损益的金融资产" id="C5f9e7ae3031d4005baa9a01d6c6386b7"/>
      </m:item>
      <m:item xlName="_GBC_5d0fdf600a0744c4bece01494e9a17f8" concept="clcid-pte:JiaoYiXingJinRongZiChanZhongYiGongYunJiaZhiJiLiangQieQiBianDongJiRuDangQiSunYiDeJinRongZiChan" label="交易性金融资产中以公允价值计量且其变动计入当期损益的金融资产" periodRef="本期期初数" mulRef="_GBC_b2d7dc3f69444771a448a311594f8279" unitRef="_GBC_88b9006e3e174b8c8076810e5fb1dcc8" addr="T0R1C2S1_1" formatStyle="Comma" appId="_GBC_11d582474c724741b6bb067e7b29fffd"/>
      <m:placeholder xlName="_PLD_3c173ac5b41e4bf58ef2c9e0d063380f" addr="T0R2C0S1_3"/>
      <m:tuple xlName="_TUP_341bdf9f88e5440c90904d1eb6d01724" concept="clcid-pte:JiaoYiXingJinRongZiChanZhongYiGongYunJiaZhiJiLiangQieQiBianDongJiRuDangQiSunYiDeJinRongZiChanMingXi" default_row="2" addr="T0R3C">
        <m:item xlName="_GBC_1c003f8b56bf4922b754efa4d634cd67" concept="clcid-pte:JiaoYiXingJinRongZiChanZhongYiGongYunJiaZhiJiLiangQieQiBianDongJiRuDangQiSunYiDeJinRongZiChanMingXiXiangMu" label="交易性金融资产中以公允价值计量且其变动计入当期损益的金融资产明细-项目" unitRef="_GBC_88b9006e3e174b8c8076810e5fb1dcc8" addr="T0R3C0S1_1" appId="_GBC_11d582474c724741b6bb067e7b29fffd"/>
        <m:item xlName="_GBC_a0e980b6b8ef405a9ec761193e09c856" concept="clcid-pte:JiaoYiXingJinRongZiChanZhongYiGongYunJiaZhiJiLiangQieQiBianDongJiRuDangQiSunYiDeJinRongZiChanMingXiFaShengE" label="交易性金融资产中以公允价值计量且其变动计入当期损益的金融资产明细-发生额" mulRef="_GBC_b2d7dc3f69444771a448a311594f8279" unitRef="_GBC_88b9006e3e174b8c8076810e5fb1dcc8" addr="T0R3C1S1_1" formatStyle="Comma" appId="_GBC_11d582474c724741b6bb067e7b29fffd"/>
        <m:item xlName="_GBC_5cbf8e83769c4c8d8c3df81763dbf3a9" concept="clcid-pte:JiaoYiXingJinRongZiChanZhongYiGongYunJiaZhiJiLiangQieQiBianDongJiRuDangQiSunYiDeJinRongZiChanMingXiFaShengE" label="交易性金融资产中以公允价值计量且其变动计入当期损益的金融资产明细-发生额" periodRef="本期期初数" mulRef="_GBC_b2d7dc3f69444771a448a311594f8279" unitRef="_GBC_88b9006e3e174b8c8076810e5fb1dcc8" addr="T0R3C2S1_1" formatStyle="Comma" appId="_GBC_11d582474c724741b6bb067e7b29fffd"/>
      </m:tuple>
      <m:placeholder xlName="_PLD_9e6f2b0aa18a4f4cb5f0852025201dfc" addr="T0R5C0S1_1"/>
      <m:item xlName="_GBC_028d6fe45f74426a9b824de9fa531d9a" concept="clcid-pte:ZhiDingWeiYiGongYunJiaZhiJiLiangQieQiBianDongJiRuDangQiSunYiDeJinRongZiChan" label="指定为以公允价值计量且其变动计入当期损益的金融资产" mulRef="_GBC_b2d7dc3f69444771a448a311594f8279" unitRef="_GBC_88b9006e3e174b8c8076810e5fb1dcc8" addr="T0R5C1S1_1" formatStyle="Comma" appId="_GBC_11d582474c724741b6bb067e7b29fffd"/>
      <m:item xlName="_GBC_048eacd1f37c4beaaa347fe29a7b8673" concept="clcid-pte:ZhiDingWeiYiGongYunJiaZhiJiLiangQieQiBianDongJiRuDangQiSunYiDeJinRongZiChan" label="指定为以公允价值计量且其变动计入当期损益的金融资产" periodRef="本期期初数" mulRef="_GBC_b2d7dc3f69444771a448a311594f8279" unitRef="_GBC_88b9006e3e174b8c8076810e5fb1dcc8" addr="T0R5C2S1_1" formatStyle="Comma" appId="_GBC_11d582474c724741b6bb067e7b29fffd"/>
      <m:placeholder xlName="_PLD_bd981a7cc7b34c579b38eb2398d385ef" addr="T0R6C0S1_3"/>
      <m:tuple xlName="_TUP_b9dc744bb8d94c30a883c75ab1b55ed5" concept="clcid-pte:ZhiDingWeiYiGongYunJiaZhiJiLiangQieQiBianDongJiRuDangQiSunYiDeJinRongZiChanMingXi" default_row="2" addr="T0R7C">
        <m:item xlName="_GBC_3beaf4167b9f4c558018b45947fed5c2" concept="clcid-pte:ZhiDingWeiYiGongYunJiaZhiJiLiangQieQiBianDongJiRuDangQiSunYiDeJinRongZiChanMingXiXiangMu" label="指定为以公允价值计量且其变动计入当期损益的金融资产明细-项目" unitRef="_GBC_88b9006e3e174b8c8076810e5fb1dcc8" addr="T0R7C0S1_1" appId="_GBC_11d582474c724741b6bb067e7b29fffd"/>
        <m:item xlName="_GBC_9c5f7ff9aa0a4869bd9b4c7b1d46cc63" concept="clcid-pte:ZhiDingWeiYiGongYunJiaZhiJiLiangQieQiBianDongJiRuDangQiSunYiDeJinRongZiChanMingXiGongYunJiaZhi" label="指定为以公允价值计量且其变动计入当期损益的金融资产明细-公允价值" mulRef="_GBC_b2d7dc3f69444771a448a311594f8279" unitRef="_GBC_88b9006e3e174b8c8076810e5fb1dcc8" addr="T0R7C1S1_1" formatStyle="Comma" appId="_GBC_11d582474c724741b6bb067e7b29fffd"/>
        <m:item xlName="_GBC_6d66c3abda2c4f5b916c5c1c050604c5" concept="clcid-pte:ZhiDingWeiYiGongYunJiaZhiJiLiangQieQiBianDongJiRuDangQiSunYiDeJinRongZiChanMingXiGongYunJiaZhi" label="指定为以公允价值计量且其变动计入当期损益的金融资产明细-公允价值" periodRef="本期期初数" mulRef="_GBC_b2d7dc3f69444771a448a311594f8279" unitRef="_GBC_88b9006e3e174b8c8076810e5fb1dcc8" addr="T0R7C2S1_1" formatStyle="Comma" appId="_GBC_11d582474c724741b6bb067e7b29fffd"/>
      </m:tuple>
      <m:placeholder xlName="_PLD_b70930027e2847d98ef556a409fe079a" addr="T0R9C0S1_1"/>
      <m:item xlName="_GBC_c6d694f212c54b8faf47000252adf2f0" concept="clcid-pte:JiaoYiXingJinRongZiChan" label="交易性金融资产" mulRef="_GBC_b2d7dc3f69444771a448a311594f8279" unitRef="_GBC_88b9006e3e174b8c8076810e5fb1dcc8" addr="T0R9C1S1_1" formatStyle="Comma" appId="_GBC_11d582474c724741b6bb067e7b29fffd">
        <m:complexRule comparator="Eq" title="交易性金融资产" test=" $_GBC_089475bc351d4ce1a54950edc3cd31fb +  $_GBC_028d6fe45f74426a9b824de9fa531d9a" id="Ccb1da0f0e8d04c1885dd9e2c0b2c6fbf"/>
      </m:item>
      <m:item xlName="_GBC_a12a59405e984d7780822097cec06090" concept="clcid-pte:JiaoYiXingJinRongZiChan" label="交易性金融资产" periodRef="本期期初数" mulRef="_GBC_b2d7dc3f69444771a448a311594f8279" unitRef="_GBC_88b9006e3e174b8c8076810e5fb1dcc8" addr="T0R9C2S1_1" formatStyle="Comma" appId="_GBC_11d582474c724741b6bb067e7b29fffd">
        <m:complexRule comparator="Eq" title="交易性金融资产@本期期初数" test=" $_GBC_5d0fdf600a0744c4bece01494e9a17f8 +  $_GBC_048eacd1f37c4beaaa347fe29a7b8673" id="C8d27424f3b39405295d983e076417f90"/>
      </m:item>
      <m:item xlName="_GBC_b60651a640d94b5c8581bfe4f49d2891" concept="clcid-ci-ar:ShiFouShiYongJiaoYiXingJinRongZiChanDeShuoMing" label="是否适用：交易性金融资产的说明" selectOptions="_buildInAppliance" controlType="CustomCheckbox" cRanges="[{&quot;StartName&quot;:&quot;_GBC_b60651a640d94b5c8581bfe4f49d2891&quot;,&quot;EndName&quot;:&quot;_GBC_7716d50aa4ca46fe928f4f87114b2be1&quot;,&quot;CType&quot;:1}]"/>
      <m:item xlName="_GBC_7716d50aa4ca46fe928f4f87114b2be1" concept="clcid-pte:JiaoYiXingJinRongZiChanDeShuoMing" label="交易性金融资产的说明" appId="_GBC_b60651a640d94b5c8581bfe4f49d2891"/>
    </m:section>
    <m:section xlName="_GBC_bc314407a9a14c2f8b2b5368638e0a51" title="衍生金融资产" helpId="112001042" helpText="注：说明衍生金融工具形成原因以及相关会计处理等。">
      <m:item xlName="_GBC_7f1559f8ac9a442b81c5479563d9e8bb" concept="clcid-pte:ShiFouShiYongYanShengJinRongZiChan" label="是否适用：衍生金融资产" selectOptions="_buildInAppliance" controlType="CustomCheckbox" helpText="注：如公司衍生金融工具业务具有重要性的，需单独列示该项目" cRanges="{&quot;StartName&quot;:&quot;_GBC_7f1559f8ac9a442b81c5479563d9e8bb&quot;,&quot;EndName&quot;:&quot;_GBC_574e0631f3b94c10a29a699b15198b9b&quot;,&quot;CType&quot;:1,&quot;DisplayText&quot;:null}"/>
      <m:item xlName="_GBC_3f3bba3bc3e94f2bad1466575bd74c45" concept="clcid-ci-ar:DanWeiCaiWuFuZhuYanShengJinRongZiChan" label="单位：财务附注：衍生金融资产" selectOptions="_buildInScales" controlType="Combobox" cellType="Scale" appId="_GBC_7f1559f8ac9a442b81c5479563d9e8bb"/>
      <m:item xlName="_GBC_0693187441624361847559fb6209fa17" concept="clcid-ci-ar:clcid-ci-ar_BiZhongCaiWuFuZhuYanShengJinRongZiChan" label="币种：财务附注：衍生金融资产" selectOptions="_buildInISO4217" controlType="Combobox" cellType="Measure" appId="_GBC_7f1559f8ac9a442b81c5479563d9e8bb"/>
      <m:placeholder xlName="_PLD_27629e26d33e4925a04d0cf891fa9f30" addr="T0R0C0S1_1"/>
      <m:placeholder xlName="_PLD_7d3f8416c773470486110c09639048f1" addr="T0R0C1S1_1"/>
      <m:placeholder xlName="_PLD_8abf28ff36554c948764632257367582" addr="T0R0C2S1_1"/>
      <m:tuple xlName="_GBC_c048b3c5461b4b8083b422fb43a23ffa" concept="clcid-pte:YanShengJinRongZiChanMingXi" default_row="2" addr="T0R1C">
        <m:item xlName="_GBC_ae638b86626649dab87cecb17c521b7f" concept="clcid-pte:YanShengJinRongZiChanMingXiXiangMuMingCheng" label="衍生金融资产明细-项目名称" addr="T0R1C0S1_1" appId="_GBC_7f1559f8ac9a442b81c5479563d9e8bb"/>
        <m:item xlName="_GBC_36ca9bd38aee4589a6f292b63a716be2" concept="clcid-pte:YanShengJinRongZiChanMingXiJinE" label="衍生金融资产明细-金额" mulRef="_GBC_3f3bba3bc3e94f2bad1466575bd74c45" unitRef="_GBC_0693187441624361847559fb6209fa17" addr="T0R1C1S1_1" formatStyle="Comma" appId="_GBC_7f1559f8ac9a442b81c5479563d9e8bb"/>
        <m:item xlName="_GBC_6c9761df2bdb489ebb3f9a2fe6cd1471" concept="clcid-pte:YanShengJinRongZiChanMingXiJinE" label="衍生金融资产明细-金额" periodRef="本期期初数" mulRef="_GBC_3f3bba3bc3e94f2bad1466575bd74c45" unitRef="_GBC_0693187441624361847559fb6209fa17" addr="T0R1C2S1_1" formatStyle="Comma" appId="_GBC_7f1559f8ac9a442b81c5479563d9e8bb"/>
      </m:tuple>
      <m:placeholder xlName="_PLD_cf40f94f58c44b1c8c12c5d75ba72d4c" addr="T0R3C0S1_1"/>
      <m:item xlName="_GBC_633c51e5e4a8424f95eedf5cf6038895" concept="clcid-pte:YanShengJinRongZiChan" label="衍生金融资产" mulRef="_GBC_3f3bba3bc3e94f2bad1466575bd74c45" unitRef="_GBC_0693187441624361847559fb6209fa17" addr="T0R3C1S1_1" formatStyle="Comma" appId="_GBC_7f1559f8ac9a442b81c5479563d9e8bb">
        <m:complexRule comparator="Eq" title="衍生金融资产" test=" $_GBC_36ca9bd38aee4589a6f292b63a716be2" id="Ce4085fa59d084f6ca4ef8b6397a8f462"/>
      </m:item>
      <m:item xlName="_GBC_36e6cb9161224f04a83f48b2f1ea0eb0" concept="clcid-pte:YanShengJinRongZiChan" label="衍生金融资产" periodRef="本期期初数" mulRef="_GBC_3f3bba3bc3e94f2bad1466575bd74c45" unitRef="_GBC_0693187441624361847559fb6209fa17" addr="T0R3C2S1_1" formatStyle="Comma" appId="_GBC_7f1559f8ac9a442b81c5479563d9e8bb">
        <m:complexRule comparator="Eq" title="衍生金融资产@本期期初数" test=" $_GBC_6c9761df2bdb489ebb3f9a2fe6cd1471" id="C62c1f363f67b4a2cb8ae022e98b63e6c"/>
      </m:item>
      <m:item xlName="_GBC_574e0631f3b94c10a29a699b15198b9b" concept="clcid-pte:YanShengJinRongZiChanDeQiTaShuoMing" label="衍生金融资产的其他说明" appId="_GBC_7f1559f8ac9a442b81c5479563d9e8bb"/>
    </m:section>
    <m:section xlName="_GBC_c1ce1fc5bd0f42bca82cd02f3a6b623f" title="应收票据分类" rules="R2015_R11_003" convertSummaryRule="NoConvert" helpId="112001044">
      <m:item xlName="_GBC_3c32a2809ab3476a93b88a8155fb0be8" concept="clcid-ci-ar:ShiFouShiYongYingShouPiaoJuFenLeiLieShi" label="是否适用：应收票据分类列示" selectOptions="_buildInAppliance" controlType="CustomCheckbox" cRanges="{&quot;StartName&quot;:&quot;_GBC_3c32a2809ab3476a93b88a8155fb0be8&quot;,&quot;EndName&quot;:&quot;_GBC_2cdf7f8c9ed1456b8f1c9d2b4531620f&quot;,&quot;CType&quot;:1,&quot;DisplayText&quot;:null}"/>
      <m:item xlName="_GBC_21d6ba5a9ccb41d7aee707ba343741db" concept="clcid-ci-ar:DanWeiCaiWuFuZhuYingShouPiaoJuFenLei" label="单位：财务附注：应收票据分类" selectOptions="_buildInScales" controlType="Combobox" cellType="Scale" appId="_GBC_3c32a2809ab3476a93b88a8155fb0be8"/>
      <m:item xlName="_GBC_08bc82a26735413f8516c3d080579822" concept="clcid-ci-ar:BiZhongCaiWuFuZhuYingShouPiaoJuFenLei" label="币种：财务附注：应收票据分类" selectOptions="_buildInISO4217" controlType="Combobox" cellType="Measure" appId="_GBC_3c32a2809ab3476a93b88a8155fb0be8"/>
      <m:placeholder xlName="_PLD_a48e9b652e5b48b08b05dc5f5dba5744" addr="T0R0C0S1_1"/>
      <m:placeholder xlName="_PLD_c6664062fcf84681af8b24fee4722ae5" addr="T0R0C1S1_1"/>
      <m:placeholder xlName="_PLD_7d93c99ec70e48ac985c37b2b3046178" addr="T0R0C2S1_1"/>
      <m:placeholder xlName="_PLD_eccbe8be962b4f1497dbb55db8b28215" addr="T0R1C0S1_1"/>
      <m:item xlName="_GBC_5cde6ebdff6e404891e94bdf553c99e9" concept="clcid-pte:YinXingChengDuiPiaoJu" label="银行承兑票据" mulRef="_GBC_21d6ba5a9ccb41d7aee707ba343741db" unitRef="_GBC_08bc82a26735413f8516c3d080579822" addr="T0R1C1S1_1" formatStyle="Comma" appId="_GBC_3c32a2809ab3476a93b88a8155fb0be8"/>
      <m:item xlName="_GBC_ed15c19bbd414378bf1ef0cdc0d31129" concept="clcid-pte:YinXingChengDuiPiaoJu" label="银行承兑票据" periodRef="本期期初数" mulRef="_GBC_21d6ba5a9ccb41d7aee707ba343741db" unitRef="_GBC_08bc82a26735413f8516c3d080579822" addr="T0R1C2S1_1" formatStyle="Comma" appId="_GBC_3c32a2809ab3476a93b88a8155fb0be8"/>
      <m:placeholder xlName="_PLD_6fc58c64e5c245528e438ae644ab059a" addr="T0R2C0S1_1"/>
      <m:item xlName="_GBC_c0aabf907a374f5ba11465d31e7446c2" concept="clcid-pte:ShangYeChengDuiPiaoJu" label="商业承兑票据" mulRef="_GBC_21d6ba5a9ccb41d7aee707ba343741db" unitRef="_GBC_08bc82a26735413f8516c3d080579822" addr="T0R2C1S1_1" formatStyle="Comma" appId="_GBC_3c32a2809ab3476a93b88a8155fb0be8"/>
      <m:item xlName="_GBC_50ce2bd858374e59b8e3ff33295f7760" concept="clcid-pte:ShangYeChengDuiPiaoJu" label="商业承兑票据" periodRef="本期期初数" mulRef="_GBC_21d6ba5a9ccb41d7aee707ba343741db" unitRef="_GBC_08bc82a26735413f8516c3d080579822" addr="T0R2C2S1_1" formatStyle="Comma" appId="_GBC_3c32a2809ab3476a93b88a8155fb0be8"/>
      <m:tuple xlName="_GBC_4de34716e24c4574bcd2daf82d6da224" concept="clcid-pte:YingShouPiaoJuMingXi" default_row="2" addr="T0R3C">
        <m:item xlName="_GBC_145eba4a78ab4b5d85467cc74165ab31" concept="clcid-pte:YingShouPiaoJuXiangMu" label="应收票据项目" addr="T0R3C0S1_1" appId="_GBC_3c32a2809ab3476a93b88a8155fb0be8"/>
        <m:item xlName="_GBC_5a9ba3bcee7a4b8e9ec8c43a8a9d64da" concept="clcid-pte:YingShouPiaoJuJinE" label="应收票据金额" mulRef="_GBC_21d6ba5a9ccb41d7aee707ba343741db" unitRef="_GBC_08bc82a26735413f8516c3d080579822" addr="T0R3C1S1_1" formatStyle="Comma" appId="_GBC_3c32a2809ab3476a93b88a8155fb0be8"/>
        <m:item xlName="_GBC_9213edb2a2f14f1199f883e0020bbb79" concept="clcid-pte:YingShouPiaoJuJinE" label="应收票据金额" periodRef="本期期初数" mulRef="_GBC_21d6ba5a9ccb41d7aee707ba343741db" unitRef="_GBC_08bc82a26735413f8516c3d080579822" addr="T0R3C2S1_1" formatStyle="Comma" appId="_GBC_3c32a2809ab3476a93b88a8155fb0be8"/>
      </m:tuple>
      <m:placeholder xlName="_PLD_27fe84ac868644fa846c5f158e59921c" addr="T0R5C0S1_1"/>
      <m:item xlName="_GBC_153559f0032046a49c426e9b90d435a6" concept="clcid-pte:YingShouPiaoJu" label="应收票据" mulRef="_GBC_21d6ba5a9ccb41d7aee707ba343741db" unitRef="_GBC_08bc82a26735413f8516c3d080579822" addr="T0R5C1S1_1" formatStyle="Comma" appId="_GBC_3c32a2809ab3476a93b88a8155fb0be8">
        <m:complexRule comparator="Eq" title="应收票据" test=" $_GBC_5cde6ebdff6e404891e94bdf553c99e9 +  $_GBC_c0aabf907a374f5ba11465d31e7446c2 +  $_GBC_5a9ba3bcee7a4b8e9ec8c43a8a9d64da" id="C19f32a355837493cbd7538f4629582b5"/>
      </m:item>
      <m:item xlName="_GBC_2cdf7f8c9ed1456b8f1c9d2b4531620f" concept="clcid-pte:YingShouPiaoJu" label="应收票据" periodRef="本期期初数" mulRef="_GBC_21d6ba5a9ccb41d7aee707ba343741db" unitRef="_GBC_08bc82a26735413f8516c3d080579822" addr="T0R5C2S1_1" formatStyle="Comma" appId="_GBC_3c32a2809ab3476a93b88a8155fb0be8">
        <m:complexRule comparator="Eq" title="应收票据@本期期初数" test=" $_GBC_ed15c19bbd414378bf1ef0cdc0d31129 +  $_GBC_50ce2bd858374e59b8e3ff33295f7760 +  $_GBC_9213edb2a2f14f1199f883e0020bbb79" id="Cddea97326df444a7bce4d8b6c162a12f"/>
      </m:item>
    </m:section>
    <m:section xlName="_GBC_8fdb3f7098324d0d8b9f6e395abf9009" title="期末公司已质押的应收票据情况" rules="R2015_R11_003" convertSummaryRule="NoConvert" helpId="112001044">
      <m:item xlName="_GBC_3440ef2908e64e51a440106bfa389257" concept="clcid-ci-ar:ShiFouShiYongQiMoGongSiYiZhiYaDeYingShouPiaoJu" label="是否适用：期末公司已质押的应收票据" selectOptions="_buildInAppliance" controlType="CustomCheckbox" cRanges="{&quot;StartName&quot;:&quot;_GBC_3440ef2908e64e51a440106bfa389257&quot;,&quot;EndName&quot;:&quot;_GBC_7d3335a7e13441b9b58274d14e9f3252&quot;,&quot;CType&quot;:1,&quot;DisplayText&quot;:null}"/>
      <m:item xlName="_GBC_dcf6bfd8190844578c54da0afbe3f0bd" concept="clcid-ci-ar:DanWeiCaiWuFuZhuQiMoGongSiYiDiYaDeYingShouPiaoJuQingKuang" label="单位：财务附注：期末公司已抵押的应收票据情况" selectOptions="_buildInScales" controlType="Combobox" cellType="Scale" appId="_GBC_3440ef2908e64e51a440106bfa389257"/>
      <m:item xlName="_GBC_a0246d48f23242afb5a5f90d1baf4d3c" concept="clcid-ci-ar:BiZhongCaiWuFuZhuQiMoGongSiYiDiYaDeYingShouPiaoJuQingKuang" label="币种：财务附注：期末公司已抵押的应收票据情况" selectOptions="_buildInISO4217" controlType="Combobox" cellType="Measure" appId="_GBC_3440ef2908e64e51a440106bfa389257"/>
      <m:placeholder xlName="_PLD_73be9a4514724b05b463de2cb5f300bc" addr="T0R0C0S1_1"/>
      <m:placeholder xlName="_PLD_24264768d1db4569925aabf73c99ba82" addr="T0R0C1S1_1"/>
      <m:placeholder xlName="_PLD_8f27926b94c24b42bbab7299c2b62750" addr="T0R1C0S1_1"/>
      <m:item xlName="_GBC_e08f8b10412142b18d212d1b58471c54" concept="clcid-pte:YinXingChengDuiPiaoJuYiZhiYaJinE" label="银行承兑票据已质押金额" mulRef="_GBC_dcf6bfd8190844578c54da0afbe3f0bd" unitRef="_GBC_a0246d48f23242afb5a5f90d1baf4d3c" addr="T0R1C1S1_1" formatStyle="Comma" appId="_GBC_3440ef2908e64e51a440106bfa389257"/>
      <m:placeholder xlName="_PLD_a6522298a33c416081a771553fbed0ac" addr="T0R2C0S1_1"/>
      <m:item xlName="_GBC_e12b1be83a044c7ab22df78bd6b16507" concept="clcid-pte:ShangYeChengDuiPiaoJuYiZhiYaJinE" label="商业承兑票据已质押金额" mulRef="_GBC_dcf6bfd8190844578c54da0afbe3f0bd" unitRef="_GBC_a0246d48f23242afb5a5f90d1baf4d3c" addr="T0R2C1S1_1" formatStyle="Comma" appId="_GBC_3440ef2908e64e51a440106bfa389257"/>
      <m:tuple xlName="_GBC_9d1e31d9116c4a56b64883f00f3c827d" concept="clcid-pte:QiMoGongSiYiDiYaDeYingShouPiaoJuMingXi" default_row="2" addr="T0R3C">
        <m:item xlName="_GBC_69a674e02fad4df0a38048af592b8c5b" concept="clcid-pte:QiMoGongSiYiDiYaDeYingShouPiaoJuChuPiaoDanWei" label="期末公司已抵押的应收票据出票单位" addr="T0R3C0S1_1" appId="_GBC_3440ef2908e64e51a440106bfa389257"/>
        <m:item xlName="_GBC_803ba64615a24f07a93ee184bdfe1e25" concept="clcid-pte:QiMoGongSiYiDiYaDeYingShouPiaoJuJinE" label="期末公司已抵押的应收票据金额" mulRef="_GBC_dcf6bfd8190844578c54da0afbe3f0bd" unitRef="_GBC_a0246d48f23242afb5a5f90d1baf4d3c" addr="T0R3C1S1_1" formatStyle="Comma" appId="_GBC_3440ef2908e64e51a440106bfa389257"/>
      </m:tuple>
      <m:placeholder xlName="_PLD_a9872261850e4d489bb8b0b488147da2" addr="T0R5C0S1_1"/>
      <m:item xlName="_GBC_7d3335a7e13441b9b58274d14e9f3252" concept="clcid-pte:QiMoGongSiYiZhiYaDeYingShouPiaoJuJinEHeJi" label="期末公司已质押的应收票据金额合计" mulRef="_GBC_dcf6bfd8190844578c54da0afbe3f0bd" unitRef="_GBC_a0246d48f23242afb5a5f90d1baf4d3c" addr="T0R5C1S1_1" formatStyle="Comma" appId="_GBC_3440ef2908e64e51a440106bfa389257">
        <m:complexRule comparator="Eq" title="期末公司已质押的应收票据金额合计" test=" $_GBC_e08f8b10412142b18d212d1b58471c54 +  $_GBC_e12b1be83a044c7ab22df78bd6b16507 +  $_GBC_803ba64615a24f07a93ee184bdfe1e25" id="C59096d8e6b1a4a959bb7edf4194974a2"/>
      </m:item>
    </m:section>
    <m:section xlName="_GBC_d0a9833415574c7baa9ef176fea05ecf" title="因出票人无力履约而将票据转为应收账款的票据，以及期末已背书未到期票据" rules="R2015_R11_003" convertSummaryRule="NoConvert" helpId="112001044">
      <m:item xlName="_GBC_d04f4c30d18f498d986ce6c934ec761c"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d04f4c30d18f498d986ce6c934ec761c&quot;,&quot;EndName&quot;:&quot;_GBC_76ae9802499f49a8979ffc6875d2f732&quot;,&quot;CType&quot;:1,&quot;DisplayText&quot;:null}"/>
      <m:item xlName="_GBC_1a006471fd2344fca1e27a6484895b0f"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d04f4c30d18f498d986ce6c934ec761c"/>
      <m:item xlName="_GBC_394a26f35e05433d88a516241a51f5ba"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d04f4c30d18f498d986ce6c934ec761c"/>
      <m:placeholder xlName="_PLD_7f8eb653a3a24ed29cc795bb9a08fb8e" addr="T0R0C0S1_1"/>
      <m:placeholder xlName="_PLD_96af9fcfe145402ea8d401a1f6c0d081" addr="T0R0C1S1_1"/>
      <m:placeholder xlName="_PLD_2efea7e570304a7e9fb54f87b3247807" addr="T0R0C2S1_1"/>
      <m:placeholder xlName="_PLD_cac37b72ff744837a73dde57c7667850" addr="T0R1C0S1_1"/>
      <m:item xlName="_GBC_88e24bcf401841d2906cfaadf7ec9895" concept="clcid-pte:GongSiYiBeiShuHuoTieXianQieZaiZiChanFuZhaiBiaoRiShangWeiDaoQiDeYingShouPiaoJuYinHangChengDuiPiaoJuQiMoZhongZhiQueRenJinE" label="公司已背书或贴现且在资产负债表日尚未到期的应收票据-银行承兑票据期末终止确认金额" mulRef="_GBC_1a006471fd2344fca1e27a6484895b0f" unitRef="_GBC_394a26f35e05433d88a516241a51f5ba" addr="T0R1C1S1_1" formatStyle="Comma" appId="_GBC_d04f4c30d18f498d986ce6c934ec761c"/>
      <m:item xlName="_GBC_21b640edb4d2433bae3f663cab81aa6c" concept="clcid-pte:GongSiYiBeiShuHuoTieXianQieZaiZiChanFuZhaiBiaoRiShangWeiDaoQiDeYingShouPiaoJuYinHangChengDuiPiaoJuQiMoWeiZhongZhiQueRenJinE" label="公司已背书或贴现且在资产负债表日尚未到期的应收票据-银行承兑票据期末未终止确认金额" mulRef="_GBC_1a006471fd2344fca1e27a6484895b0f" unitRef="_GBC_394a26f35e05433d88a516241a51f5ba" addr="T0R1C2S1_1" formatStyle="Comma" appId="_GBC_d04f4c30d18f498d986ce6c934ec761c"/>
      <m:placeholder xlName="_PLD_57056e05394444c786935252d8a3c35e" addr="T0R2C0S1_1"/>
      <m:item xlName="_GBC_b709380134d64a20a4755e1c374daae6" concept="clcid-pte:GongSiYiBeiShuHuoTieXianQieZaiZiChanFuZhaiBiaoRiShangWeiDaoQiDeYingShouPiaoJuShangYeChengDuiPiaoJuQiMoZhongZhiQueRenJinE" label="公司已背书或贴现且在资产负债表日尚未到期的应收票据-商业承兑票据期末终止确认金额" mulRef="_GBC_1a006471fd2344fca1e27a6484895b0f" unitRef="_GBC_394a26f35e05433d88a516241a51f5ba" addr="T0R2C1S1_1" formatStyle="Comma" appId="_GBC_d04f4c30d18f498d986ce6c934ec761c"/>
      <m:item xlName="_GBC_b1d6937b9c25455cb8b73915927baf93" concept="clcid-pte:GongSiYiBeiShuHuoTieXianQieZaiZiChanFuZhaiBiaoRiShangWeiDaoQiDeYingShouPiaoJuShangYeChengDuiPiaoJuQiMoWeiZhongZhiQueRenJinE" label="公司已背书或贴现且在资产负债表日尚未到期的应收票据-商业承兑票据期末未终止确认金额" mulRef="_GBC_1a006471fd2344fca1e27a6484895b0f" unitRef="_GBC_394a26f35e05433d88a516241a51f5ba" addr="T0R2C2S1_1" formatStyle="Comma" appId="_GBC_d04f4c30d18f498d986ce6c934ec761c"/>
      <m:tuple xlName="_GBC_144521bcfdae44859a355694514eb920" concept="clcid-pte:GongSiYiBeiShuHuoTieXianQieZaiZiChanFuZhaiBiaoRiShangWeiDaoQiDeYingShouPiaoJuMingXi" default_row="2" addr="T0R3C">
        <m:item xlName="_GBC_e1c36e08c6b5412f8dea81f2e54bcf61" concept="clcid-pte:GongSiYiBeiShuHuoTieXianQieZaiZiChanFuZhaiBiaoRiShangWeiDaoQiDeYingShouPiaoJuMingXiXiangMuMingChen" label="公司已背书或贴现且在资产负债表日尚未到期的应收票据明细-项目名称" addr="T0R3C0S1_1" appId="_GBC_d04f4c30d18f498d986ce6c934ec761c"/>
        <m:item xlName="_GBC_eebe30900c194567851301344ddd5257" concept="clcid-pte:GongSiYiBeiShuHuoTieXianQieZaiZiChanFuZhaiBiaoRiShangWeiDaoQiDeYingShouPiaoJuMingXiQiMoZhongZhiQueRenJinE" label="公司已背书或贴现且在资产负债表日尚未到期的应收票据明细-期末终止确认金额" mulRef="_GBC_1a006471fd2344fca1e27a6484895b0f" unitRef="_GBC_394a26f35e05433d88a516241a51f5ba" addr="T0R3C1S1_1" formatStyle="Comma" appId="_GBC_d04f4c30d18f498d986ce6c934ec761c"/>
        <m:item xlName="_GBC_854baa32fc4e416f9cd5b091b09740a0" concept="clcid-pte:GongSiYiBeiShuHuoTieXianQieZaiZiChanFuZhaiBiaoRiShangWeiDaoQiDeYingShouPiaoJuMingXiQiMoWeiZhongZhiQueRenJinE" label="公司已背书或贴现且在资产负债表日尚未到期的应收票据明细-期末未终止确认金额" mulRef="_GBC_1a006471fd2344fca1e27a6484895b0f" unitRef="_GBC_394a26f35e05433d88a516241a51f5ba" addr="T0R3C2S1_1" formatStyle="Comma" appId="_GBC_d04f4c30d18f498d986ce6c934ec761c"/>
      </m:tuple>
      <m:placeholder xlName="_PLD_fe9a2327d66e4c329946796965b1c500" addr="T0R5C0S1_1"/>
      <m:item xlName="_GBC_08ae1658dece49ca989d5033f482f42f" concept="clcid-pte:GongSiYiBeiShuHuoTieXianQieZaiZiChanFuZhaiBiaoRiShangWeiDaoQiDeYingShouPiaoJuQiMoZhongZhiQueRenJinEHeJi" label="公司已背书或贴现且在资产负债表日尚未到期的应收票据期末终止确认金额合计" mulRef="_GBC_1a006471fd2344fca1e27a6484895b0f" unitRef="_GBC_394a26f35e05433d88a516241a51f5ba" addr="T0R5C1S1_1" formatStyle="Comma" appId="_GBC_d04f4c30d18f498d986ce6c934ec761c">
        <m:complexRule comparator="Eq" title="公司已背书或贴现且在资产负债表日尚未到期的应收票据期末终止确认金额合计" test=" $_GBC_88e24bcf401841d2906cfaadf7ec9895 +  $_GBC_b709380134d64a20a4755e1c374daae6 +  $_GBC_eebe30900c194567851301344ddd5257" id="C07b47d4fbdb2430caadbac9ea4935c60"/>
      </m:item>
      <m:item xlName="_GBC_76ae9802499f49a8979ffc6875d2f732" concept="clcid-pte:GongSiYiBeiShuHuoTieXianQieZaiZiChanFuZhaiBiaoRiShangWeiDaoQiDeYingShouPiaoJuQiMoWeiZhongZhiQueRenJinEHeJi" label="公司已背书或贴现且在资产负债表日尚未到期的应收票据期末未终止确认金额合计" mulRef="_GBC_1a006471fd2344fca1e27a6484895b0f" unitRef="_GBC_394a26f35e05433d88a516241a51f5ba" addr="T0R5C2S1_1" formatStyle="Comma" appId="_GBC_d04f4c30d18f498d986ce6c934ec761c">
        <m:complexRule comparator="Eq" title="公司已背书或贴现且在资产负债表日尚未到期的应收票据期末未终止确认金额合计" test=" $_GBC_21b640edb4d2433bae3f663cab81aa6c +  $_GBC_b1d6937b9c25455cb8b73915927baf93 +  $_GBC_854baa32fc4e416f9cd5b091b09740a0" id="C12e6705c8aba4cffb53248713cbf31d8"/>
      </m:item>
    </m:section>
    <m:section xlName="_GBC_83d7650885dc43898bcaaa7b53608492" title="期末公司因出票人无力履约而将其转为应收账款的票据" rules="R2015_R11_003" helpId="112001044">
      <m:item xlName="_GBC_11366a7f124045f8a578f129009f9b83" concept="clcid-ci-ar:ShiFouShiYongQiMoGongSiYinChuPiaoRenWeiLvYueErJiangQiZhuanYingShouZhangKuanDePiaoJu" label="是否适用：期末公司因出票人未履约而将其转应收账款的票据" selectOptions="_buildInAppliance" controlType="CustomCheckbox" cRanges="{&quot;StartName&quot;:&quot;_GBC_11366a7f124045f8a578f129009f9b83&quot;,&quot;EndName&quot;:&quot;_GBC_c90689050c4747c59fe0c6bf81620b20&quot;,&quot;CType&quot;:1,&quot;DisplayText&quot;:null}"/>
      <m:item xlName="_GBC_c0780da99145482da7e28198808424ed" concept="clcid-ci-ar:DanWeiCaiWuFuZhuQiMoGongSiYinChuPiaoRenWuLiLvYueErJiangQiZhuanWeiYingShouZhangKuanDePiaoJu" label="单位：财务附注：期末公司因出票人无力履约而将其转为应收账款的票据" selectOptions="_buildInScales" controlType="Combobox" cellType="Scale" appId="_GBC_11366a7f124045f8a578f129009f9b83"/>
      <m:item xlName="_GBC_4fe14271ee834f8b95e122614cee36db"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11366a7f124045f8a578f129009f9b83"/>
      <m:placeholder xlName="_PLD_54f324e4d1e84c468038b01803e63be4" addr="T0R0C0S1_1"/>
      <m:placeholder xlName="_PLD_a13dd5a67b5b414c9c8b199aa86fab78" addr="T0R0C1S1_1"/>
      <m:placeholder xlName="_PLD_4b7c02cf40174e8792a86aa54510df33" addr="T0R1C0S1_1"/>
      <m:item xlName="_GBC_5dbb8b7ee6834107976af4c5e22030f1" concept="clcid-pte:GongSiYinChuPiaoRenWuLiLvYueErJiangQiZhuanWeiYingShouZhangKuanDePiaoJuShangYeChengDuiPiaoJuJinE" label="公司因出票人无力履约而将其转为应收账款的票据-商业承兑票据金额" mulRef="_GBC_c0780da99145482da7e28198808424ed" unitRef="_GBC_4fe14271ee834f8b95e122614cee36db" addr="T0R1C1S1_1" formatStyle="Comma" appId="_GBC_11366a7f124045f8a578f129009f9b83"/>
      <m:tuple xlName="_GBC_a1174e172b994eef9507d0872f309232" concept="clcid-pte:GongSiYinChuPiaoRenWuLiLvYueErJiangQiZhuanWeiYingShouZhangKuanDePiaoJuMingXi" default_row="2" addr="T0R2C">
        <m:item xlName="_GBC_37ee87a935524b9a95cf3868f64892bd" concept="clcid-pte:GongSiYinChuPiaoRenWuLiLvYueErJiangQiZhuanWeiYingShouZhangKuanDePiaoJuMingXiXiangMuMingChen" label="公司因出票人无力履约而将其转为应收账款的票据明细-项目名称" addr="T0R2C0S1_1" appId="_GBC_11366a7f124045f8a578f129009f9b83"/>
        <m:item xlName="_GBC_817d61a6137243eca36f3018e99b7f6b" concept="clcid-pte:GongSiYinChuPiaoRenWuLiLvYueErJiangQiZhuanWeiYingShouZhangKuanDePiaoJuMingXiJinE" label="公司因出票人无力履约而将其转为应收账款的票据明细-金额" mulRef="_GBC_c0780da99145482da7e28198808424ed" unitRef="_GBC_4fe14271ee834f8b95e122614cee36db" addr="T0R2C1S1_1" formatStyle="Comma" appId="_GBC_11366a7f124045f8a578f129009f9b83"/>
      </m:tuple>
      <m:placeholder xlName="_PLD_2933a38294f049a59ed88cdac7e6d231" addr="T0R4C0S1_1"/>
      <m:item xlName="_GBC_c90689050c4747c59fe0c6bf81620b20" concept="clcid-pte:GongSiYinChuPiaoRenWuLiLvYueErJiangQiZhuanWeiYingShouZhangKuanDePiaoJuJinEHeJi" label="公司因出票人无力履约而将其转为应收账款的票据金额合计" mulRef="_GBC_c0780da99145482da7e28198808424ed" unitRef="_GBC_4fe14271ee834f8b95e122614cee36db" addr="T0R4C1S1_1" formatStyle="Comma" appId="_GBC_11366a7f124045f8a578f129009f9b83">
        <m:complexRule comparator="Eq" title="公司因出票人无力履约而将其转为应收账款的票据金额合计" test=" $_GBC_5dbb8b7ee6834107976af4c5e22030f1 +  $_GBC_817d61a6137243eca36f3018e99b7f6b" id="Cb81a1c7d9de246e39c7affc56595ba40"/>
      </m:item>
    </m:section>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item xlName="_GBC_1ddd4d416c8341618d49da8050568b3a" concept="clcid-ci-ar:DanWeiYingShouPiaoJuAnHuaiZhangJiTiFangFaFenLeiPiLu" label="单位：应收票据按坏账计提方法分类披露" selectOptions="_buildInScales" controlType="Combobox" cellType="Scale" appId="_GBC_064ae6cf552d47d6abf4ad2b5c55d254"/>
      <m:item xlName="_GBC_ee21347c53de4655b7421f9707c0f27c" concept="clcid-ci-ar:BiZhongYingShouPiaoJuAnHuaiZhangJiTiFangFaFenLeiPiLu" label="币种：应收票据按坏账计提方法分类披露" selectOptions="_buildInISO4217" controlType="Combobox" cellType="Measure" appId="_GBC_064ae6cf552d47d6abf4ad2b5c55d254"/>
      <m:placeholder xlName="_PLD_b41ab991b5cb44b284803f0e13680cca" addr="T0R0C0S3_1"/>
      <m:placeholder xlName="_PLD_4250aa21af14465089e9a64950228223" addr="T0R0C1S1_5"/>
      <m:placeholder xlName="_PLD_efdd4dc84ac74beda0c7ce9ee8ac707c" addr="T0R0C6S1_5"/>
      <m:placeholder xlName="_PLD_4d31e977a3b64420aab06ccefa58a768" addr="T0R1C1S1_2"/>
      <m:placeholder xlName="_PLD_ce16034971f3433baf795de55c0fcc02" addr="T0R1C3S1_2"/>
      <m:placeholder xlName="_PLD_13676246dce14cd09ca054f6ed8baa70" addr="T0R1C5S2_1"/>
      <m:placeholder xlName="_PLD_3f5cbfe2ccd14f7a9fa6413579511d78" addr="T0R1C6S1_2"/>
      <m:placeholder xlName="_PLD_063250a22f93425b948b3ffb834d8c5a" addr="T0R1C8S1_2"/>
      <m:placeholder xlName="_PLD_9932dde99a63463ab11a246a2b6129c8" addr="T0R1C10S2_1"/>
      <m:placeholder xlName="_PLD_c0290ae623e744d38ca9b437c3a7f380" addr="T0R2C1S1_1"/>
      <m:placeholder xlName="_PLD_193b3b07b4e0498485bc12534ae975ec" addr="T0R2C2S1_1"/>
      <m:placeholder xlName="_PLD_1f47ced2bea143d39f38cb11c0113cf4" addr="T0R2C3S1_1"/>
      <m:placeholder xlName="_PLD_a23086fe0481444ab724c5dec4a5f19d" addr="T0R2C4S1_1"/>
      <m:placeholder xlName="_PLD_0ebe7a6ebddd49acb12d2e49fbaeb5ef" addr="T0R2C6S1_1"/>
      <m:placeholder xlName="_PLD_f3083b688a88491aaa0236072ce160b8" addr="T0R2C7S1_1"/>
      <m:placeholder xlName="_PLD_1cdb2a199b6d43678bae639c01b9d9cb" addr="T0R2C8S1_1"/>
      <m:placeholder xlName="_PLD_ad76cc2b302a460a8cbeb5e98be19160" addr="T0R2C9S1_1"/>
      <m:placeholder xlName="_PLD_3d5d84fd270044c49211439088db3d30" addr="T0R3C0S1_1"/>
      <m:item xlName="_GBC_3158a56f3f754a61b82d7b85bd78f9ef" concept="clcid-pte:AnDanXiangJiTiHuaiZhangZhunBeiDeYingShouPiaoJuZhangMianYuE" label="按单项计提坏账准备的应收票据账面余额" mulRef="_GBC_1ddd4d416c8341618d49da8050568b3a" unitRef="_GBC_ee21347c53de4655b7421f9707c0f27c" addr="T0R3C1S1_1" formatStyle="Comma" appId="_GBC_064ae6cf552d47d6abf4ad2b5c55d254"/>
      <m:item xlName="_GBC_d69460d6d4294016b2f029587f11f296" concept="clcid-pte:AnDanXiangJiTiHuaiZhangZhunBeiDeYingShouPiaoJuZhangMianYuEBiLi" label="按单项计提坏账准备的应收票据账面余额比例" addr="T0R3C2S1_1" baseScale="0.01" formatStyle="Comma" appId="_GBC_064ae6cf552d47d6abf4ad2b5c55d254"/>
      <m:item xlName="_GBC_379bd0e4684d4d699f29dca19cf56ad4" concept="clcid-pte:AnDanXiangJiTiHuaiZhangZhunBeiDeYingShouPiaoJuHuaiZhangZhunBei" label="按单项计提坏账准备的应收票据坏账准备" mulRef="_GBC_1ddd4d416c8341618d49da8050568b3a" unitRef="_GBC_ee21347c53de4655b7421f9707c0f27c" addr="T0R3C3S1_1" formatStyle="Comma" appId="_GBC_064ae6cf552d47d6abf4ad2b5c55d254"/>
      <m:item xlName="_GBC_96f1d46fa63f4d2497c09666a539eac9" concept="clcid-pte:AnDanXiangJiTiHuaiZhangZhunBeiDeYingShouPiaoJuHuaiZhangZhunBeiJiTiBiLi" label="按单项计提坏账准备的应收票据坏账准备计提比例" addr="T0R3C4S1_1" baseScale="0.01" formatStyle="Comma" appId="_GBC_064ae6cf552d47d6abf4ad2b5c55d254"/>
      <m:item xlName="_GBC_1b4cbf968f8946b7b550fe1b8d01db4a" concept="clcid-pte:AnDanXiangJiTiHuaiZhangZhunBeiDeYingShouPiaoJuZhangMianJiaZhi" label="按单项计提坏账准备的应收票据账面价值" mulRef="_GBC_1ddd4d416c8341618d49da8050568b3a" unitRef="_GBC_ee21347c53de4655b7421f9707c0f27c" addr="T0R3C5S1_1" formatStyle="Comma" appId="_GBC_064ae6cf552d47d6abf4ad2b5c55d254"/>
      <m:item xlName="_GBC_2e2e1bf5f8b14a5192c2a77e427034bd" concept="clcid-pte:AnDanXiangJiTiHuaiZhangZhunBeiDeYingShouPiaoJuZhangMianYuE" label="按单项计提坏账准备的应收票据账面余额" periodRef="本期期初数" mulRef="_GBC_1ddd4d416c8341618d49da8050568b3a" unitRef="_GBC_ee21347c53de4655b7421f9707c0f27c" addr="T0R3C6S1_1" formatStyle="Comma" appId="_GBC_064ae6cf552d47d6abf4ad2b5c55d254"/>
      <m:item xlName="_GBC_ee080f447d8f4d50b939daf7d6f61c47" concept="clcid-pte:AnDanXiangJiTiHuaiZhangZhunBeiDeYingShouPiaoJuZhangMianYuEBiLi" label="按单项计提坏账准备的应收票据账面余额比例" periodRef="本期期初数" addr="T0R3C7S1_1" baseScale="0.01" formatStyle="Comma" appId="_GBC_064ae6cf552d47d6abf4ad2b5c55d254"/>
      <m:item xlName="_GBC_3113895bd71a4151a86bc1d5e8f19ecd" concept="clcid-pte:AnDanXiangJiTiHuaiZhangZhunBeiDeYingShouPiaoJuHuaiZhangZhunBei" label="按单项计提坏账准备的应收票据坏账准备" periodRef="本期期初数" mulRef="_GBC_1ddd4d416c8341618d49da8050568b3a" unitRef="_GBC_ee21347c53de4655b7421f9707c0f27c" addr="T0R3C8S1_1" formatStyle="Comma" appId="_GBC_064ae6cf552d47d6abf4ad2b5c55d254"/>
      <m:item xlName="_GBC_b4e0a5f3065c49bf962b85972ba0b8ed" concept="clcid-pte:AnDanXiangJiTiHuaiZhangZhunBeiDeYingShouPiaoJuHuaiZhangZhunBeiJiTiBiLi" label="按单项计提坏账准备的应收票据坏账准备计提比例" periodRef="本期期初数" addr="T0R3C9S1_1" baseScale="0.01" formatStyle="Comma" appId="_GBC_064ae6cf552d47d6abf4ad2b5c55d254"/>
      <m:item xlName="_GBC_efb52f0fe53647228289a8e1cf3c5a8d" concept="clcid-pte:AnDanXiangJiTiHuaiZhangZhunBeiDeYingShouPiaoJuZhangMianJiaZhi" label="按单项计提坏账准备的应收票据账面价值" periodRef="本期期初数" mulRef="_GBC_1ddd4d416c8341618d49da8050568b3a" unitRef="_GBC_ee21347c53de4655b7421f9707c0f27c" addr="T0R3C10S1_1" formatStyle="Comma" appId="_GBC_064ae6cf552d47d6abf4ad2b5c55d254"/>
      <m:placeholder xlName="_PLD_2a6d1b30f65e462ebca8043195ba30aa" addr="T0R4C0S1_11"/>
      <m:tuple xlName="_TUP_0e6b7c7ca3374c289d5d237781aeaf81" concept="clcid-pte:AnDanXiangJiTiHuaiZhangZhunBeiDeYingShouPiaoJuMingXi" default_row="2" addr="T0R5C">
        <m:item xlName="_GBC_22d2031cbdb84eadae4c63049715879e" contributeOptionTo="_GBC_214b34594661491c9f25c79df3a79a77" concept="clcid-pte:AnDanXiangJiTiHuaiZhangZhunBeiDeYingShouPiaoJuMingXiLeiBie" label="按单项计提坏账准备的应收票据明细-类别" addr="T0R5C0S1_1" tagAction="1" appId="_GBC_064ae6cf552d47d6abf4ad2b5c55d254"/>
        <m:item xlName="_GBC_344c9793710048cba63e3b9ef566a3cc" concept="clcid-pte:AnDanXiangJiTiHuaiZhangZhunBeiDeYingShouPiaoJuMingXiZhangMianYuE" label="按单项计提坏账准备的应收票据明细-账面余额" mulRef="_GBC_1ddd4d416c8341618d49da8050568b3a" unitRef="_GBC_ee21347c53de4655b7421f9707c0f27c" addr="T0R5C1S1_1" formatStyle="Comma" appId="_GBC_064ae6cf552d47d6abf4ad2b5c55d254"/>
        <m:item xlName="_GBC_2b9c10bea0314f5590482b6d6b530459" concept="clcid-pte:AnDanXiangJiTiHuaiZhangZhunBeiDeYingShouPiaoJuMingXiYuEBiLi" label="按单项计提坏账准备的应收票据明细-余额比例" addr="T0R5C2S1_1" baseScale="0.01" formatStyle="Comma" appId="_GBC_064ae6cf552d47d6abf4ad2b5c55d254"/>
        <m:item xlName="_GBC_f70bc081ec5a4f419b734f6edffd6ac4" concept="clcid-pte:AnDanXiangJiTiHuaiZhangZhunBeiDeYingShouPiaoJuMingXiHuaiZhangZhunBei" label="按单项计提坏账准备的应收票据明细-坏账准备" mulRef="_GBC_1ddd4d416c8341618d49da8050568b3a" unitRef="_GBC_ee21347c53de4655b7421f9707c0f27c" addr="T0R5C3S1_1" formatStyle="Comma" appId="_GBC_064ae6cf552d47d6abf4ad2b5c55d254"/>
        <m:item xlName="_GBC_6eb8d460d8184fffa6473b3cc6ecfdff" concept="clcid-pte:AnDanXiangJiTiHuaiZhangZhunBeiDeYingShouPiaoJuMingXiHuaiZhangZhunBeiJiTiBiLi" label="按单项计提坏账准备的应收票据明细-坏账准备计提比例" addr="T0R5C4S1_1" baseScale="0.01" formatStyle="Comma" appId="_GBC_064ae6cf552d47d6abf4ad2b5c55d254"/>
        <m:item xlName="_GBC_cb0177e066e74298abcd95513f0ac51f" concept="clcid-pte:AnDanXiangJiTiHuaiZhangZhunBeiDeYingShouPiaoJuMingXiZhangMianJiaZhi" label="按单项计提坏账准备的应收票据明细-账面价值" mulRef="_GBC_1ddd4d416c8341618d49da8050568b3a" unitRef="_GBC_ee21347c53de4655b7421f9707c0f27c" addr="T0R5C5S1_1" formatStyle="Comma" appId="_GBC_064ae6cf552d47d6abf4ad2b5c55d254"/>
        <m:item xlName="_GBC_d868f9a09b15474987456826a517c90b" concept="clcid-pte:AnDanXiangJiTiHuaiZhangZhunBeiDeYingShouPiaoJuMingXiZhangMianYuE" label="按单项计提坏账准备的应收票据明细-账面余额" periodRef="本期期初数" mulRef="_GBC_1ddd4d416c8341618d49da8050568b3a" unitRef="_GBC_ee21347c53de4655b7421f9707c0f27c" addr="T0R5C6S1_1" formatStyle="Comma" appId="_GBC_064ae6cf552d47d6abf4ad2b5c55d254"/>
        <m:item xlName="_GBC_30945a9a67d34b11b57de8a7cde1d965" concept="clcid-pte:AnDanXiangJiTiHuaiZhangZhunBeiDeYingShouPiaoJuMingXiYuEBiLi" label="按单项计提坏账准备的应收票据明细-余额比例" periodRef="本期期初数" addr="T0R5C7S1_1" baseScale="0.01" formatStyle="Comma" appId="_GBC_064ae6cf552d47d6abf4ad2b5c55d254"/>
        <m:item xlName="_GBC_c376886e11594310b61b3db0eb4468b4" concept="clcid-pte:AnDanXiangJiTiHuaiZhangZhunBeiDeYingShouPiaoJuMingXiHuaiZhangZhunBei" label="按单项计提坏账准备的应收票据明细-坏账准备" periodRef="本期期初数" mulRef="_GBC_1ddd4d416c8341618d49da8050568b3a" unitRef="_GBC_ee21347c53de4655b7421f9707c0f27c" addr="T0R5C8S1_1" formatStyle="Comma" appId="_GBC_064ae6cf552d47d6abf4ad2b5c55d254"/>
        <m:item xlName="_GBC_5ace180f987e46f8b1c9a2ad9f2a619f" concept="clcid-pte:AnDanXiangJiTiHuaiZhangZhunBeiDeYingShouPiaoJuMingXiHuaiZhangZhunBeiJiTiBiLi" label="按单项计提坏账准备的应收票据明细-坏账准备计提比例" periodRef="本期期初数" addr="T0R5C9S1_1" baseScale="0.01" formatStyle="Comma" appId="_GBC_064ae6cf552d47d6abf4ad2b5c55d254"/>
        <m:item xlName="_GBC_47643a1473f84553908481dcbe2b1ea3" concept="clcid-pte:AnDanXiangJiTiHuaiZhangZhunBeiDeYingShouPiaoJuMingXiZhangMianJiaZhi" label="按单项计提坏账准备的应收票据明细-账面价值" periodRef="本期期初数" mulRef="_GBC_1ddd4d416c8341618d49da8050568b3a" unitRef="_GBC_ee21347c53de4655b7421f9707c0f27c" addr="T0R5C10S1_1" formatStyle="Comma" appId="_GBC_064ae6cf552d47d6abf4ad2b5c55d254"/>
      </m:tuple>
      <m:placeholder xlName="_PLD_dfe2f5d58ae444bc99da18392741ac94" addr="T0R7C0S1_1"/>
      <m:item xlName="_GBC_e2a37e709def429ca1ba22860e6ddd6f" concept="clcid-pte:AnZuHeJiTiHuaiZhangZhunBeiDeYingShouPiaoJuZhangMianYuE" label="按组合计提坏账准备的应收票据账面余额" mulRef="_GBC_1ddd4d416c8341618d49da8050568b3a" unitRef="_GBC_ee21347c53de4655b7421f9707c0f27c" addr="T0R7C1S1_1" formatStyle="Comma" appId="_GBC_064ae6cf552d47d6abf4ad2b5c55d254"/>
      <m:item xlName="_GBC_ac6a5f7279d141f2a7a6e9a5e92c7737" concept="clcid-pte:AnZuHeJiTiHuaiZhangZhunBeiDeYingShouPiaoJuZhangMianYuEBiLi" label="按组合计提坏账准备的应收票据账面余额比例" addr="T0R7C2S1_1" baseScale="0.01" formatStyle="Comma" appId="_GBC_064ae6cf552d47d6abf4ad2b5c55d254"/>
      <m:item xlName="_GBC_c5f2d3e7e2b4481fa76b6b3d2b220ec5" concept="clcid-pte:AnZuHeJiTiHuaiZhangZhunBeiDeYingShouPiaoJuHuaiZhangZhunBei" label="按组合计提坏账准备的应收票据坏账准备" mulRef="_GBC_1ddd4d416c8341618d49da8050568b3a" unitRef="_GBC_ee21347c53de4655b7421f9707c0f27c" addr="T0R7C3S1_1" formatStyle="Comma" appId="_GBC_064ae6cf552d47d6abf4ad2b5c55d254"/>
      <m:item xlName="_GBC_0e48a6ab5ba9465490031e08f0341b45" concept="clcid-pte:AnZuHeJiTiHuaiZhangZhunBeiDeYingShouPiaoJuHuaiZhangZhunBeiJiTiBiLi" label="按组合计提坏账准备的应收票据坏账准备计提比例" addr="T0R7C4S1_1" baseScale="0.01" formatStyle="Comma" appId="_GBC_064ae6cf552d47d6abf4ad2b5c55d254"/>
      <m:item xlName="_GBC_63a31241453e40cc8ed4dadcdcbdf0e1" concept="clcid-pte:AnZuHeJiTiHuaiZhangZhunBeiDeYingShouPiaoJuZhangMianJiaZhi" label="按组合计提坏账准备的应收票据账面价值" mulRef="_GBC_1ddd4d416c8341618d49da8050568b3a" unitRef="_GBC_ee21347c53de4655b7421f9707c0f27c" addr="T0R7C5S1_1" formatStyle="Comma" appId="_GBC_064ae6cf552d47d6abf4ad2b5c55d254"/>
      <m:item xlName="_GBC_75b583ec405a4daca6a6586f9b0b6226" concept="clcid-pte:AnZuHeJiTiHuaiZhangZhunBeiDeYingShouPiaoJuZhangMianYuE" label="按组合计提坏账准备的应收票据账面余额" periodRef="本期期初数" mulRef="_GBC_1ddd4d416c8341618d49da8050568b3a" unitRef="_GBC_ee21347c53de4655b7421f9707c0f27c" addr="T0R7C6S1_1" formatStyle="Comma" appId="_GBC_064ae6cf552d47d6abf4ad2b5c55d254"/>
      <m:item xlName="_GBC_8b109c893e784b809a213aedee6fdc99" concept="clcid-pte:AnZuHeJiTiHuaiZhangZhunBeiDeYingShouPiaoJuZhangMianYuEBiLi" label="按组合计提坏账准备的应收票据账面余额比例" periodRef="本期期初数" addr="T0R7C7S1_1" baseScale="0.01" formatStyle="Comma" appId="_GBC_064ae6cf552d47d6abf4ad2b5c55d254"/>
      <m:item xlName="_GBC_c5c74117e3d140b4b5febbefebb9fc96" concept="clcid-pte:AnZuHeJiTiHuaiZhangZhunBeiDeYingShouPiaoJuHuaiZhangZhunBei" label="按组合计提坏账准备的应收票据坏账准备" periodRef="本期期初数" mulRef="_GBC_1ddd4d416c8341618d49da8050568b3a" unitRef="_GBC_ee21347c53de4655b7421f9707c0f27c" addr="T0R7C8S1_1" formatStyle="Comma" appId="_GBC_064ae6cf552d47d6abf4ad2b5c55d254"/>
      <m:item xlName="_GBC_fc15b86624704a86a4c5dd25bf8161e6" concept="clcid-pte:AnZuHeJiTiHuaiZhangZhunBeiDeYingShouPiaoJuHuaiZhangZhunBeiJiTiBiLi" label="按组合计提坏账准备的应收票据坏账准备计提比例" periodRef="本期期初数" addr="T0R7C9S1_1" baseScale="0.01" formatStyle="Comma" appId="_GBC_064ae6cf552d47d6abf4ad2b5c55d254"/>
      <m:item xlName="_GBC_e9e2764ebfd04e07acdffe2c2e43cf1a" concept="clcid-pte:AnZuHeJiTiHuaiZhangZhunBeiDeYingShouPiaoJuZhangMianJiaZhi" label="按组合计提坏账准备的应收票据账面价值" periodRef="本期期初数" mulRef="_GBC_1ddd4d416c8341618d49da8050568b3a" unitRef="_GBC_ee21347c53de4655b7421f9707c0f27c" addr="T0R7C10S1_1" formatStyle="Comma" appId="_GBC_064ae6cf552d47d6abf4ad2b5c55d254"/>
      <m:placeholder xlName="_PLD_6921e0fe3b3b446d887af92fc2bcab4d" addr="T0R8C0S1_11"/>
      <m:tuple xlName="_TUP_2457c54f966e408fa418bc1eed94e738" concept="clcid-pte:AnZuHeJiTiHuaiZhangZhunBeiDeYingShouPiaoJuMingXi" default_row="2" addr="T0R9C">
        <m:item xlName="_GBC_6d9e7457cc694a73a262b35683b9ab0e" contributeOptionTo="_GBC_3ab101eae3824734a1fbf3c7c224edc3" concept="clcid-pte:AnZuHeJiTiHuaiZhangZhunBeiDeYingShouPiaoJuMingXiLeiBie" label="按组合计提坏账准备的应收票据明细-类别" addr="T0R9C0S1_1" tagAction="1" appId="_GBC_064ae6cf552d47d6abf4ad2b5c55d254"/>
        <m:item xlName="_GBC_a87bc5554efc49e0aac06a2779501dc7" concept="clcid-pte:AnZuHeJiTiHuaiZhangZhunBeiDeYingShouPiaoJuMingXiZhangMianYuE" label="按组合计提坏账准备的应收票据明细-账面余额" mulRef="_GBC_1ddd4d416c8341618d49da8050568b3a" unitRef="_GBC_ee21347c53de4655b7421f9707c0f27c" addr="T0R9C1S1_1" formatStyle="Comma" appId="_GBC_064ae6cf552d47d6abf4ad2b5c55d254"/>
        <m:item xlName="_GBC_e13bf70895724b23b2833d3a1ddc7399" concept="clcid-pte:AnZuHeJiTiHuaiZhangZhunBeiDeYingShouPiaoJuMingXiYuEBiLi" label="按组合计提坏账准备的应收票据明细-余额比例" addr="T0R9C2S1_1" baseScale="0.01" formatStyle="Comma" appId="_GBC_064ae6cf552d47d6abf4ad2b5c55d254"/>
        <m:item xlName="_GBC_c765e2c297d643e8889fa15718718e75" concept="clcid-pte:AnZuHeJiTiHuaiZhangZhunBeiDeYingShouPiaoJuMingXiHuaiZhangZhunBei" label="按组合计提坏账准备的应收票据明细-坏账准备" mulRef="_GBC_1ddd4d416c8341618d49da8050568b3a" unitRef="_GBC_ee21347c53de4655b7421f9707c0f27c" addr="T0R9C3S1_1" formatStyle="Comma" appId="_GBC_064ae6cf552d47d6abf4ad2b5c55d254"/>
        <m:item xlName="_GBC_661f67f33f7341c9af743030f5676984" concept="clcid-pte:AnZuHeJiTiHuaiZhangZhunBeiDeYingShouPiaoJuMingXiHuaiZhangZhunBeiJiTiBiLi" label="按组合计提坏账准备的应收票据明细-坏账准备计提比例" addr="T0R9C4S1_1" baseScale="0.01" formatStyle="Comma" appId="_GBC_064ae6cf552d47d6abf4ad2b5c55d254"/>
        <m:item xlName="_GBC_a5dcd14319754d7783bbf0ebb0801384" concept="clcid-pte:AnZuHeJiTiHuaiZhangZhunBeiDeYingShouPiaoJuMingXiZhangMianJiaZhi" label="按组合计提坏账准备的应收票据明细-账面价值" mulRef="_GBC_1ddd4d416c8341618d49da8050568b3a" unitRef="_GBC_ee21347c53de4655b7421f9707c0f27c" addr="T0R9C5S1_1" formatStyle="Comma" appId="_GBC_064ae6cf552d47d6abf4ad2b5c55d254"/>
        <m:item xlName="_GBC_411d5b92869941c4a0aeead4b751fef5" concept="clcid-pte:AnZuHeJiTiHuaiZhangZhunBeiDeYingShouPiaoJuMingXiZhangMianYuE" label="按组合计提坏账准备的应收票据明细-账面余额" periodRef="本期期初数" mulRef="_GBC_1ddd4d416c8341618d49da8050568b3a" unitRef="_GBC_ee21347c53de4655b7421f9707c0f27c" addr="T0R9C6S1_1" formatStyle="Comma" appId="_GBC_064ae6cf552d47d6abf4ad2b5c55d254"/>
        <m:item xlName="_GBC_688fc34c1fcb44e59c7f198dd113bedb" concept="clcid-pte:AnZuHeJiTiHuaiZhangZhunBeiDeYingShouPiaoJuMingXiYuEBiLi" label="按组合计提坏账准备的应收票据明细-余额比例" periodRef="本期期初数" addr="T0R9C7S1_1" baseScale="0.01" formatStyle="Comma" appId="_GBC_064ae6cf552d47d6abf4ad2b5c55d254"/>
        <m:item xlName="_GBC_9e7ad0de952c490aa32312e6d66889ce" concept="clcid-pte:AnZuHeJiTiHuaiZhangZhunBeiDeYingShouPiaoJuMingXiHuaiZhangZhunBei" label="按组合计提坏账准备的应收票据明细-坏账准备" periodRef="本期期初数" mulRef="_GBC_1ddd4d416c8341618d49da8050568b3a" unitRef="_GBC_ee21347c53de4655b7421f9707c0f27c" addr="T0R9C8S1_1" formatStyle="Comma" appId="_GBC_064ae6cf552d47d6abf4ad2b5c55d254"/>
        <m:item xlName="_GBC_bf4886783e7649d6908527ee408c3025" concept="clcid-pte:AnZuHeJiTiHuaiZhangZhunBeiDeYingShouPiaoJuMingXiHuaiZhangZhunBeiJiTiBiLi" label="按组合计提坏账准备的应收票据明细-坏账准备计提比例" periodRef="本期期初数" addr="T0R9C9S1_1" baseScale="0.01" formatStyle="Comma" appId="_GBC_064ae6cf552d47d6abf4ad2b5c55d254"/>
        <m:item xlName="_GBC_774f08bdd544437a81d0b0a4bafce1fc" concept="clcid-pte:AnZuHeJiTiHuaiZhangZhunBeiDeYingShouPiaoJuMingXiZhangMianJiaZhi" label="按组合计提坏账准备的应收票据明细-账面价值" periodRef="本期期初数" mulRef="_GBC_1ddd4d416c8341618d49da8050568b3a" unitRef="_GBC_ee21347c53de4655b7421f9707c0f27c" addr="T0R9C10S1_1" formatStyle="Comma" appId="_GBC_064ae6cf552d47d6abf4ad2b5c55d254"/>
      </m:tuple>
      <m:placeholder xlName="_PLD_dd25c49780ba41c5a3c906e12139b00d" addr="T0R11C0S1_1"/>
      <m:item xlName="_GBC_fc76eaaf443a4faa9479e7fbf79d569f" concept="clcid-pte:YingShouPiaoJuZhangMianYuE" label="应收票据账面余额" mulRef="_GBC_1ddd4d416c8341618d49da8050568b3a" unitRef="_GBC_ee21347c53de4655b7421f9707c0f27c" addr="T0R11C1S1_1" formatStyle="Comma" appId="_GBC_064ae6cf552d47d6abf4ad2b5c55d254">
        <m:complexRule comparator="Eq" title="应收票据账面余额" test=" $_GBC_3158a56f3f754a61b82d7b85bd78f9ef +  $_GBC_e2a37e709def429ca1ba22860e6ddd6f" id="Cc60ac33fbc654059baef2cb600933d43"/>
      </m:item>
      <m:item xlName="_GBC_b372fbb1926743119d992e10d5313ac8" concept="clcid-pte:YingShouPiaoJuHuaiZhangZhunBei" label="应收票据坏账准备" mulRef="_GBC_1ddd4d416c8341618d49da8050568b3a" unitRef="_GBC_ee21347c53de4655b7421f9707c0f27c" addr="T0R11C3S1_1" formatStyle="Comma" appId="_GBC_064ae6cf552d47d6abf4ad2b5c55d254">
        <m:complexRule comparator="Eq" title="应收票据坏账准备" test=" $_GBC_379bd0e4684d4d699f29dca19cf56ad4 +  $_GBC_c5f2d3e7e2b4481fa76b6b3d2b220ec5" id="C904e2b6e8b4c40208a2e0451519279aa"/>
      </m:item>
      <m:item xlName="_GBC_f9f3393a66ba4e0691e05c53267f82bc" concept="clcid-pte:YingShouPiaoJu" label="应收票据" mulRef="_GBC_1ddd4d416c8341618d49da8050568b3a" unitRef="_GBC_ee21347c53de4655b7421f9707c0f27c" addr="T0R11C5S1_1" formatStyle="Comma" appId="_GBC_064ae6cf552d47d6abf4ad2b5c55d254">
        <m:complexRule comparator="Eq" title="应收票据" test=" $_GBC_1b4cbf968f8946b7b550fe1b8d01db4a +  $_GBC_63a31241453e40cc8ed4dadcdcbdf0e1" id="C0f1a4a5775a04d868710d6c60dda6c9b"/>
      </m:item>
      <m:item xlName="_GBC_21b67cedd09e4e529683d661e42d6e50" concept="clcid-pte:YingShouPiaoJuZhangMianYuE" label="应收票据账面余额" periodRef="本期期初数" mulRef="_GBC_1ddd4d416c8341618d49da8050568b3a" unitRef="_GBC_ee21347c53de4655b7421f9707c0f27c" addr="T0R11C6S1_1" formatStyle="Comma" appId="_GBC_064ae6cf552d47d6abf4ad2b5c55d254">
        <m:complexRule comparator="Eq" title="应收票据账面余额@本期期初数" test=" $_GBC_2e2e1bf5f8b14a5192c2a77e427034bd +  $_GBC_75b583ec405a4daca6a6586f9b0b6226" id="C16b8c53b94c441558e7a02e6ce554c5c"/>
      </m:item>
      <m:item xlName="_GBC_5840f6a8db744568b7f1c89899b613c9" concept="clcid-pte:YingShouPiaoJuHuaiZhangZhunBei" label="应收票据坏账准备" periodRef="本期期初数" mulRef="_GBC_1ddd4d416c8341618d49da8050568b3a" unitRef="_GBC_ee21347c53de4655b7421f9707c0f27c" addr="T0R11C8S1_1" formatStyle="Comma" appId="_GBC_064ae6cf552d47d6abf4ad2b5c55d254">
        <m:complexRule comparator="Eq" title="应收票据坏账准备@本期期初数" test=" $_GBC_3113895bd71a4151a86bc1d5e8f19ecd +  $_GBC_c5c74117e3d140b4b5febbefebb9fc96" id="C05679554bf5c439d99b0d8364ac7cb79"/>
      </m:item>
      <m:item xlName="_GBC_1212abb0810f4093b968cc59b8447a1a" concept="clcid-pte:YingShouPiaoJu" label="应收票据" periodRef="本期期初数" mulRef="_GBC_1ddd4d416c8341618d49da8050568b3a" unitRef="_GBC_ee21347c53de4655b7421f9707c0f27c" addr="T0R11C10S1_1" formatStyle="Comma" appId="_GBC_064ae6cf552d47d6abf4ad2b5c55d254">
        <m:complexRule comparator="Eq" title="应收票据@本期期初数" test=" $_GBC_efb52f0fe53647228289a8e1cf3c5a8d +  $_GBC_e9e2764ebfd04e07acdffe2c2e43cf1a" id="C65a8be1abe084a1db5ec867b9d2461e9"/>
      </m:item>
    </m:section>
    <m:section xlName="_SEC_35f0dd53a3094420ab950eaf2d236098" title="按单项计提坏账准备：">
      <m:item xlName="_GBC_90335c20d2434e43b63dbeddbebca5f6" concept="clcid-ci-ar:ShiFouShiYongAnDanXiangJiTiHuaiZhangZhunBeiDeYingShouPiaoJuXiangXiQingKuang" label="是否适用：按单项计提坏账准备的应收票据详细情况" selectOptions="_buildInAppliance" controlType="CustomCheckbox" cRanges="[{&quot;StartName&quot;:&quot;_GBC_90335c20d2434e43b63dbeddbebca5f6&quot;,&quot;EndName&quot;:&quot;_GBC_e362bdb82f154d3cb281cb70e7c333cf&quot;,&quot;CType&quot;:1}]"/>
      <m:item xlName="_GBC_d7e2c6fe77d64f439bb4d28afdcdcb4b" concept="clcid-pte:DanWeiAnDanXiangJiTiHuaiZhangZhunBeiDeYingShouPiaoJuXiangXiQingKuang" label="单位：按单项计提坏账准备的应收票据详细情况" selectOptions="_buildInScales" controlType="Combobox" cellType="Scale" appId="_GBC_90335c20d2434e43b63dbeddbebca5f6"/>
      <m:item xlName="_GBC_490e0f610c414d9cb287aaa929264d83" concept="clcid-pte:BiZhongAnDanXiangJiTiHuaiZhangZhunBeiDeYingShouPiaoJuXiangXiQingKuang" label="币种：按单项计提坏账准备的应收票据详细情况" selectOptions="_buildInISO4217" controlType="Combobox" cellType="Measure" appId="_GBC_90335c20d2434e43b63dbeddbebca5f6"/>
      <m:placeholder xlName="_PLD_ca798ddf8cde4aafad8983ec80020137" addr="T0R0C0S2_1"/>
      <m:placeholder xlName="_PLD_d5802ad7b5144a3fa5a6f7e37b31bc3d" addr="T0R0C1S1_4"/>
      <m:placeholder xlName="_PLD_008b42fe374547178bcee560dac00fbe" addr="T0R1C1S1_1"/>
      <m:placeholder xlName="_PLD_ba3167f8efa04eddb73dba711335a991" addr="T0R1C2S1_1"/>
      <m:placeholder xlName="_PLD_476e84a5455047d889251a4f1d2b9494" addr="T0R1C3S1_1"/>
      <m:placeholder xlName="_PLD_b813482a18804432ae4ae0c683722ade" addr="T0R1C4S1_1"/>
      <m:tuple xlName="_TUP_37f1692dacf2493cbcf585bed9e0c917" concept="clcid-pte:AnDanXiangJiTiHuaiZhangZhunBeiDeYingShouPiaoJuXiangXiMingChengMingXi" default_row="2" addr="T0R2C">
        <m:item xlName="_GBC_58fe0960e6ad45a199bc8892319472f7" concept="clcid-pte:AnDanXiangJiTiHuaiZhangZhunBeiDeYingShouPiaoJuXiangXiMingChengMingXiMingCheng" label="按单项计提坏账准备的应收票据详细名称明细-名称" addr="T0R2C0S1_1" appId="_GBC_90335c20d2434e43b63dbeddbebca5f6"/>
        <m:item xlName="_GBC_9f06abe0af2348a7a18bbe1d6451c994" concept="clcid-pte:AnDanXiangJiTiHuaiZhangZhunBeiDeYingShouPiaoJuXiangXiMingChengMingXiZhangMianYuE" label="按单项计提坏账准备的应收票据详细名称明细-账面余额" mulRef="_GBC_d7e2c6fe77d64f439bb4d28afdcdcb4b" unitRef="_GBC_490e0f610c414d9cb287aaa929264d83" addr="T0R2C1S1_1" formatStyle="Comma" appId="_GBC_90335c20d2434e43b63dbeddbebca5f6"/>
        <m:item xlName="_GBC_08b6a001247e49f19ddca6d30af97e38" concept="clcid-pte:AnDanXiangJiTiHuaiZhangZhunBeiDeYingShouPiaoJuXiangXiMingChengMingXiHuaiZhangZhunBei" label="按单项计提坏账准备的应收票据详细名称明细-坏账准备" mulRef="_GBC_d7e2c6fe77d64f439bb4d28afdcdcb4b" unitRef="_GBC_490e0f610c414d9cb287aaa929264d83" addr="T0R2C2S1_1" formatStyle="Comma" appId="_GBC_90335c20d2434e43b63dbeddbebca5f6"/>
        <m:item xlName="_GBC_551d863fa8304ab587fd824c2e13bee6" concept="clcid-pte:AnDanXiangJiTiHuaiZhangZhunBeiDeYingShouPiaoJuXiangXiMingChengMingXiHuaiZhangZhunBeiJiTiBiLi" label="按单项计提坏账准备的应收票据详细名称明细-坏账准备计提比例" addr="T0R2C3S1_1" baseScale="0.01" formatStyle="Comma" appId="_GBC_90335c20d2434e43b63dbeddbebca5f6"/>
        <m:item xlName="_GBC_f1503010aed345dab535e86dc31ea65c" concept="clcid-pte:AnDanXiangJiTiHuaiZhangZhunBeiDeYingShouPiaoJuXiangXiMingChengMingXiHuaiZhangZhunBeiJiTiLiYou" label="按单项计提坏账准备的应收票据详细名称明细-坏账准备计提理由" addr="T0R2C4S1_1" appId="_GBC_90335c20d2434e43b63dbeddbebca5f6"/>
      </m:tuple>
      <m:placeholder xlName="_PLD_aadd7e0099db400fafa5676961f7a7f9" addr="T0R4C0S1_1"/>
      <m:item xlName="_GBC_c07d65c8a8c04d9d90cefdc8d1998574" concept="clcid-pte:AnDanXiangJiTiHuaiZhangZhunBeiDeYingShouPiaoJuZhangMianYuE" label="按单项计提坏账准备的应收票据账面余额" mulRef="_GBC_d7e2c6fe77d64f439bb4d28afdcdcb4b" unitRef="_GBC_490e0f610c414d9cb287aaa929264d83" addr="T0R4C1S1_1" formatStyle="Comma" appId="_GBC_90335c20d2434e43b63dbeddbebca5f6">
        <m:complexRule comparator="Eq" title="按单项计提坏账准备的应收票据明细-账面余额" test=" $_GBC_9f06abe0af2348a7a18bbe1d6451c994" id="C76e9bc9b35e349c1885a0d555bb76be4"/>
      </m:item>
      <m:item xlName="_GBC_68c4a22534df49d5bfe47b70c0868b38" concept="clcid-pte:AnDanXiangJiTiHuaiZhangZhunBeiDeYingShouPiaoJuHuaiZhangZhunBei" label="按单项计提坏账准备的应收票据坏账准备" mulRef="_GBC_d7e2c6fe77d64f439bb4d28afdcdcb4b" unitRef="_GBC_490e0f610c414d9cb287aaa929264d83" addr="T0R4C2S1_1" formatStyle="Comma" appId="_GBC_90335c20d2434e43b63dbeddbebca5f6">
        <m:complexRule comparator="Eq" title="按单项计提坏账准备的应收票据明细-坏账准备" test=" $_GBC_08b6a001247e49f19ddca6d30af97e38" id="C0781cf4683ba4c57864b5680ea57554b"/>
      </m:item>
      <m:item xlName="_GBC_1fe7531cdd944844a226f0d95a06c36e" concept="clcid-pte:AnDanXiangJiTiHuaiZhangZhunBeiDeYingShouPiaoJuHuaiZhangZhunBeiJiTiBiLi" label="按单项计提坏账准备的应收票据坏账准备计提比例" addr="T0R4C3S1_1" baseScale="0.01" formatStyle="Comma" appId="_GBC_90335c20d2434e43b63dbeddbebca5f6">
        <m:complexRule comparator="Eq" title="按单项计提坏账准备的应收票据明细-坏账准备计提比例" id="C520356fb86054167b181569e6e9f7210"/>
      </m:item>
      <m:item xlName="_GBC_236e8ad7d83340eeb373bdbccde852e9" concept="clcid-pte:ShiFouShiYongAnDanXiangJiTiHuaiZhangZhunBeiDeYingShouPiaoJuShuoMing" label="是否适用：按单项计提坏账准备的应收票据说明" selectOptions="_buildInAppliance" controlType="CustomCheckbox" cRanges="[{&quot;StartName&quot;:&quot;_GBC_236e8ad7d83340eeb373bdbccde852e9&quot;,&quot;EndName&quot;:&quot;_GBC_e362bdb82f154d3cb281cb70e7c333cf&quot;,&quot;CType&quot;:1}]"/>
      <m:item xlName="_GBC_e362bdb82f154d3cb281cb70e7c333cf" concept="clcid-pte:AnDanXiangJiTiHuaiZhangZhunBeiDeYingShouPiaoJuShuoMing" label="按单项计提坏账准备的应收票据说明" appId="_GBC_236e8ad7d83340eeb373bdbccde852e9"/>
    </m:section>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item xlName="_GBC_3ab101eae3824734a1fbf3c7c224edc3" isNeedToFill="true" contributeOptionTo="_GBC_6d9e7457cc694a73a262b35683b9ab0e" concept="clcid-pte:AnZuHeJiTiHuaiZhangZhunBeiDeYingShouPiaoJuMingXiLeiBie" label="按组合计提坏账准备的应收票据明细-类别" controlType="Combobox" appId="_GBC_2b00fe7228b14b11bdb374e735777f02"/>
      <m:item xlName="_GBC_5f3250f84084490c95753d0a165a807b" concept="clcid-pte:DanWeiAnZuHeJiTiHuaiZhangZhunBeiDeYingShouPiaoJuXiangXiQingKuang" label="单位：按组合计提坏账准备的应收票据详细情况" selectOptions="_buildInScales" controlType="Combobox" cellType="Scale" appId="_GBC_2b00fe7228b14b11bdb374e735777f02"/>
      <m:item xlName="_GBC_8b6ba2153795407e8dbbd199bda78b09" concept="clcid-pte:BiZhongAnZuHeJiTiHuaiZhangZhunBeiDeYingShouPiaoJuXiangXiQingKuang" label="币种：按组合计提坏账准备的应收票据详细情况" selectOptions="_buildInISO4217" controlType="Combobox" cellType="Measure" appId="_GBC_2b00fe7228b14b11bdb374e735777f02"/>
      <m:placeholder xlName="_PLD_5376290ef0b041e8bbd7b943461b0a9f" addr="T0R0C0S2_1"/>
      <m:placeholder xlName="_PLD_cb2e8486740a451fbac357ed56dfdf09" addr="T0R0C1S1_3"/>
      <m:placeholder xlName="_PLD_e58334d5cfd94eb3a57462d770bebef2" addr="T0R1C1S1_1"/>
      <m:placeholder xlName="_PLD_bdeedca9dff44f0386291c89e9b9d89b" addr="T0R1C2S1_1"/>
      <m:placeholder xlName="_PLD_f6f1b7e04e5d43bda3afea1cf431ea55" addr="T0R1C3S1_1"/>
      <m:tuple xlName="_TUP_b97e402e2d4c48aca2f398d3bd96c268" concept="clcid-pte:AnZuHeJiTiHuaiZhangZhunBeiDeYingShouPiaoJuXiangXiMingChengMingXi" default_row="2" addr="T0R2C">
        <m:item xlName="_GBC_4bcec82af4bc4490bab50caab4bfcd0e" concept="clcid-pte:AnZuHeJiTiHuaiZhangZhunBeiDeYingShouPiaoJuXiangXiMingChengMingXiMingCheng" label="按组合计提坏账准备的应收票据详细名称明细-名称" addr="T0R2C0S1_1" appId="_GBC_2b00fe7228b14b11bdb374e735777f02"/>
        <m:item xlName="_GBC_01588c63f42f43d087ee48a5a0a43027" concept="clcid-pte:AnZuHeJiTiHuaiZhangZhunBeiDeYingShouPiaoJuXiangXiMingChengMingXiZhangMianYuE" label="按组合计提坏账准备的应收票据详细名称明细-账面余额" mulRef="_GBC_5f3250f84084490c95753d0a165a807b" unitRef="_GBC_8b6ba2153795407e8dbbd199bda78b09" addr="T0R2C1S1_1" formatStyle="Comma" appId="_GBC_2b00fe7228b14b11bdb374e735777f02"/>
        <m:item xlName="_GBC_3f24e6507a974b9288c945f93012f0e1" concept="clcid-pte:AnZuHeJiTiHuaiZhangZhunBeiDeYingShouPiaoJuXiangXiMingChengMingXiHuaiZhangZhunBei" label="按组合计提坏账准备的应收票据详细名称明细-坏账准备" mulRef="_GBC_5f3250f84084490c95753d0a165a807b" unitRef="_GBC_8b6ba2153795407e8dbbd199bda78b09" addr="T0R2C2S1_1" formatStyle="Comma" appId="_GBC_2b00fe7228b14b11bdb374e735777f02"/>
        <m:item xlName="_GBC_ed69d3ed06404b99a52f34cb85b204cc" concept="clcid-pte:AnZuHeJiTiHuaiZhangZhunBeiDeYingShouPiaoJuXiangXiMingChengMingXiHuaiZhangZhunBeiJiTiBiLi" label="按组合计提坏账准备的应收票据详细名称明细-坏账准备计提比例" addr="T0R2C3S1_1" baseScale="0.01" formatStyle="Comma" appId="_GBC_2b00fe7228b14b11bdb374e735777f02"/>
      </m:tuple>
      <m:placeholder xlName="_PLD_da28a703d17240cc83f29b07b490660e" addr="T0R4C0S1_1"/>
      <m:item xlName="_GBC_c0362a32d03c48d39b6ed0c5fb819ffc" concept="clcid-pte:AnZuHeJiTiHuaiZhangZhunBeiDeYingShouPiaoJuMingXiZhangMianYuE" label="按组合计提坏账准备的应收票据明细-账面余额" mulRef="_GBC_5f3250f84084490c95753d0a165a807b" unitRef="_GBC_8b6ba2153795407e8dbbd199bda78b09" addr="T0R4C1S1_1" formatStyle="Comma" appId="_GBC_2b00fe7228b14b11bdb374e735777f02">
        <m:complexRule comparator="Eq" title="按组合计提坏账准备的应收票据明细-账面余额" id="C3ea26d219b124214acc063a3c9345a65"/>
      </m:item>
      <m:item xlName="_GBC_d5a4973b21b4496a841409a1a8d89ec7" concept="clcid-pte:AnZuHeJiTiHuaiZhangZhunBeiDeYingShouPiaoJuMingXiHuaiZhangZhunBei" label="按组合计提坏账准备的应收票据明细-坏账准备" mulRef="_GBC_5f3250f84084490c95753d0a165a807b" unitRef="_GBC_8b6ba2153795407e8dbbd199bda78b09" addr="T0R4C2S1_1" formatStyle="Comma" appId="_GBC_2b00fe7228b14b11bdb374e735777f02">
        <m:complexRule comparator="Eq" title="按组合计提坏账准备的应收票据明细-坏账准备" id="C53d11a81f1154724bb6e0e0961c38e73"/>
      </m:item>
      <m:item xlName="_GBC_661788101dbc40eebc78fb373f8a13c8" concept="clcid-pte:AnZuHeJiTiHuaiZhangZhunBeiDeYingShouPiaoJuMingXiHuaiZhangZhunBeiJiTiBiLi" label="按组合计提坏账准备的应收票据明细-坏账准备计提比例" addr="T0R4C3S1_1" baseScale="0.01" formatStyle="Comma" appId="_GBC_2b00fe7228b14b11bdb374e735777f02">
        <m:complexRule comparator="Eq" title="按组合计提坏账准备的应收票据明细-坏账准备计提比例" id="C5d193eb322834aff96edfd6a831e7c99"/>
      </m:item>
      <m:item xlName="_GBC_ceeb8d4dc9cb454fae5b8d4178caf8a1" concept="clcid-pte:ShiFouShiYongAnZuHeJiTiHuaiZhangZhunBeiDeYingShouPiaoJuQueRenBiaoZhun" label="是否适用：按组合计提坏账准备的应收票据确认标准" selectOptions="_buildInAppliance" controlType="CustomCheckbox" cRanges="[{&quot;StartName&quot;:&quot;_GBC_ceeb8d4dc9cb454fae5b8d4178caf8a1&quot;,&quot;EndName&quot;:&quot;_GBC_dc3a973d909042fc9f9979853a9e2f71&quot;,&quot;CType&quot;:1}]"/>
      <m:item xlName="_GBC_dc3a973d909042fc9f9979853a9e2f71" concept="clcid-pte:AnZuHeJiTiHuaiZhangZhunBeiDeYingShouPiaoJuQueRenBiaoZhun" label="按组合计提坏账准备的应收票据确认标准" appId="_GBC_ceeb8d4dc9cb454fae5b8d4178caf8a1"/>
    </m:section>
    <m:section xlName="_SEC_23c2684d19314a4d9ea4159cf52284dd" title="如按预期信用损失一般模型计提坏账准备，请参照其他应收款披露：">
      <m:item xlName="_GBC_6ee086a94a84425286b6afb613f0881f" concept="clcid-ci-ar:ShiFouShiYongYingShouPiaoJuAnYuQiXinYongSunShiYiBanMoXingJiTiHuaiZhangZhunBei" label="是否适用：应收票据按预期信用损失一般模型计提坏账准备" selectOptions="_buildInAppliance" controlType="CustomCheckbox" cRanges="[{&quot;StartName&quot;:&quot;_GBC_6ee086a94a84425286b6afb613f0881f&quot;,&quot;EndName&quot;:&quot;_GBC_1ca662a1274e4c35afb9b146270f044d&quot;,&quot;CType&quot;:1}]"/>
      <m:item xlName="_GBC_1ca662a1274e4c35afb9b146270f044d" concept="clcid-pte:YingShouPiaoJuAnYuQiXinYongSunShiYiBanMoXingJiTiHuaiZhangZhunBeiDeShuoMing" label="应收票据按预期信用损失一般模型计提坏账准备的说明" appId="_GBC_6ee086a94a84425286b6afb613f0881f"/>
    </m:section>
    <m:section xlName="_SEC_2937dc20348046e2a68416bd27ff1b82" title="坏账准备的情况">
      <m:item xlName="_GBC_065ad100e7534037877c628171a7ddc1" concept="clcid-ci-ar:ShiFouShiYongYingShouPiaoJuHuaiZhangZhunBeiQingKuang" label="是否适用：应收票据坏账准备情况" selectOptions="_buildInAppliance" controlType="CustomCheckbox" cRanges="[{&quot;StartName&quot;:&quot;_GBC_065ad100e7534037877c628171a7ddc1&quot;,&quot;EndName&quot;:&quot;_GBC_0af093c05aa548d68103c1ac22e3200b&quot;,&quot;CType&quot;:1}]"/>
      <m:item xlName="_GBC_95647fcf2f8341ebb79aa1e1a601a5a5" concept="clcid-ci-ar:DanWeiYingShouPiaoJuHuaiZhangZhunBeiQingKuang" label="单位：应收票据坏账准备情况" selectOptions="_buildInScales" controlType="Combobox" cellType="Scale" appId="_GBC_065ad100e7534037877c628171a7ddc1"/>
      <m:item xlName="_GBC_de9986579bac4050bd2468610d3f77d7" concept="clcid-ci-ar:BiZhongYingShouPiaoJuHuaiZhangZhunBeiQingKuang" label="币种：应收票据坏账准备情况" selectOptions="_buildInISO4217" controlType="Combobox" cellType="Measure" appId="_GBC_065ad100e7534037877c628171a7ddc1"/>
      <m:placeholder xlName="_PLD_5e8a3eb39253438ba157e862d0c6f032" addr="T0R0C0S2_1"/>
      <m:placeholder xlName="_PLD_d540f9827b90479dbdd6ad721aed949d" addr="T0R0C1S2_1"/>
      <m:placeholder xlName="_PLD_16251d2db90d410c97382dc5b9878c4c" addr="T0R0C2S1_3"/>
      <m:placeholder xlName="_PLD_9ea180a777a44f74a7617c28ba0aec4a" addr="T0R0C5S2_1"/>
      <m:placeholder xlName="_PLD_9d08a0ae6cbd403495aadbe5ce20dd10" addr="T0R1C2S1_1"/>
      <m:placeholder xlName="_PLD_23d614f8ef694c45b5297d78630d2361" addr="T0R1C3S1_1"/>
      <m:placeholder xlName="_PLD_a92229e00a104d118039b37bce777e92" addr="T0R1C4S1_1"/>
      <m:tuple xlName="_TUP_e2d30f7c998545b1a3d60aac4749e5b0" concept="clcid-pte:YingShouPiaoJuHuaiZhangZhunBeiMingXi" default_row="2" addr="T0R2C">
        <m:item xlName="_GBC_6b030f610e06455b9af85d60933b8325" concept="clcid-pte:YingShouPiaoJuHuaiZhangZhunBeiMingXiLeiBie" label="应收票据坏账准备明细-类别" addr="T0R2C0S1_1" appId="_GBC_065ad100e7534037877c628171a7ddc1"/>
        <m:item xlName="_GBC_512a22f9aee34ffa9de160d08bab3dcd" concept="clcid-pte:YingShouPiaoJuHuaiZhangZhunBeiMingXiJinE" label="应收票据坏账准备明细-金额" periodRef="本期期初数" mulRef="_GBC_95647fcf2f8341ebb79aa1e1a601a5a5" unitRef="_GBC_de9986579bac4050bd2468610d3f77d7" addr="T0R2C1S1_1" formatStyle="Comma" appId="_GBC_065ad100e7534037877c628171a7ddc1"/>
        <m:item xlName="_GBC_240101e197ee495d8d6889695c5301ca" concept="clcid-pte:YingShouPiaoJuHuaiZhangZhunBeiMingXiBenQiJiTiJinE" label="应收票据坏账准备明细-本期计提金额" mulRef="_GBC_95647fcf2f8341ebb79aa1e1a601a5a5" unitRef="_GBC_de9986579bac4050bd2468610d3f77d7" addr="T0R2C2S1_1" formatStyle="Comma" appId="_GBC_065ad100e7534037877c628171a7ddc1"/>
        <m:item xlName="_GBC_a181da11233c49bb904256b2da0e9ad7" concept="clcid-pte:YingShouPiaoJuHuaiZhangZhunBeiMingXiBenQiShouHuiHuoZhuanHuiJinE" label="应收票据坏账准备明细-本期收回或转回金额" mulRef="_GBC_95647fcf2f8341ebb79aa1e1a601a5a5" unitRef="_GBC_de9986579bac4050bd2468610d3f77d7" addr="T0R2C3S1_1" formatStyle="Comma" appId="_GBC_065ad100e7534037877c628171a7ddc1"/>
        <m:item xlName="_GBC_a8201a9289d64114af530b813b3541c6" concept="clcid-pte:YingShouPiaoJuHuaiZhangZhunBeiMingXiBenQiZhuanXiaoHuoHeXiaoJinE" label="应收票据坏账准备明细-本期转销或核销金额" mulRef="_GBC_95647fcf2f8341ebb79aa1e1a601a5a5" unitRef="_GBC_de9986579bac4050bd2468610d3f77d7" addr="T0R2C4S1_1" formatStyle="Comma" appId="_GBC_065ad100e7534037877c628171a7ddc1"/>
        <m:item xlName="_GBC_b7a6b94c25cb4f87b079e2f062e94b96" concept="clcid-pte:YingShouPiaoJuHuaiZhangZhunBeiMingXiJinE" label="应收票据坏账准备明细-金额" mulRef="_GBC_95647fcf2f8341ebb79aa1e1a601a5a5" unitRef="_GBC_de9986579bac4050bd2468610d3f77d7" addr="T0R2C5S1_1" formatStyle="Comma" appId="_GBC_065ad100e7534037877c628171a7ddc1"/>
      </m:tuple>
      <m:placeholder xlName="_PLD_c5f50d678eb14f41b25178f663cf9463" addr="T0R4C0S1_1"/>
      <m:item xlName="_GBC_ee43c434de6244c1b1b5a939c2dbf9b3" concept="clcid-pte:YingShouPiaoJuHuaiZhangZhunBei" label="应收票据坏账准备" periodRef="本期期初数" mulRef="_GBC_95647fcf2f8341ebb79aa1e1a601a5a5" unitRef="_GBC_de9986579bac4050bd2468610d3f77d7" addr="T0R4C1S1_1" formatStyle="Comma" appId="_GBC_065ad100e7534037877c628171a7ddc1">
        <m:complexRule comparator="Eq" title="应收票据坏账准备" test=" $_GBC_512a22f9aee34ffa9de160d08bab3dcd" id="Cb06c141312264ce8a79d2fcba5867d8a"/>
      </m:item>
      <m:item xlName="_GBC_0cd9c4dce7674225b19038854bf35c9d" concept="clcid-pte:YingShouPiaoJuHuaiZhangZhunBeiBenQiJiTi" label="应收票据坏账准备本期计提" mulRef="_GBC_95647fcf2f8341ebb79aa1e1a601a5a5" unitRef="_GBC_de9986579bac4050bd2468610d3f77d7" addr="T0R4C2S1_1" formatStyle="Comma" appId="_GBC_065ad100e7534037877c628171a7ddc1">
        <m:complexRule comparator="Eq" title="应收票据坏账准备本期计提" test=" $_GBC_240101e197ee495d8d6889695c5301ca" id="Cbefaaa4f780f43038d11626a8ca774e8"/>
      </m:item>
      <m:item xlName="_GBC_bb7eb7861c7c4917b4205fc30bac851d" concept="clcid-pte:YingShouPiaoJuHuaiZhangZhunBeiBenQiShouHuiHuoZhuanHui" label="应收票据坏账准备本期收回或转回" mulRef="_GBC_95647fcf2f8341ebb79aa1e1a601a5a5" unitRef="_GBC_de9986579bac4050bd2468610d3f77d7" addr="T0R4C3S1_1" formatStyle="Comma" appId="_GBC_065ad100e7534037877c628171a7ddc1">
        <m:complexRule comparator="Eq" title="应收票据坏账准备本期收回或转回" test=" $_GBC_a181da11233c49bb904256b2da0e9ad7" id="C0f3787f1f3ab408ba96e8cef8660d991"/>
      </m:item>
      <m:item xlName="_GBC_e1c9c0be148d4b5eaff8fd325c9e733a" concept="clcid-pte:YingShouPiaoJuHuaiZhangZhunBeiBenQiZhuanXiaoHuoHeXiao" label="应收票据坏账准备本期转销或核销" mulRef="_GBC_95647fcf2f8341ebb79aa1e1a601a5a5" unitRef="_GBC_de9986579bac4050bd2468610d3f77d7" addr="T0R4C4S1_1" formatStyle="Comma" appId="_GBC_065ad100e7534037877c628171a7ddc1">
        <m:complexRule comparator="Eq" title="应收票据坏账准备本期转销或核销" test=" $_GBC_a8201a9289d64114af530b813b3541c6" id="C1b915d65166f4780ba6e3e91680dea01"/>
      </m:item>
      <m:item xlName="_GBC_e612f86b251c4b6e9e1ac8d71c5e393a" concept="clcid-pte:YingShouPiaoJuHuaiZhangZhunBei" label="应收票据坏账准备" mulRef="_GBC_95647fcf2f8341ebb79aa1e1a601a5a5" unitRef="_GBC_de9986579bac4050bd2468610d3f77d7" addr="T0R4C5S1_1" formatStyle="Comma" appId="_GBC_065ad100e7534037877c628171a7ddc1">
        <m:complexRule comparator="Eq" title="应收票据坏账准备" test=" $_GBC_b7a6b94c25cb4f87b079e2f062e94b96" id="C41fd7360e07043a781c3b6d1842deaeb"/>
      </m:item>
      <m:item xlName="_GBC_36b753268a334bc295295f5b7ef2e253" concept="clcid-ci-ar:ShiFouShiYongYingShouPiaoJuBenQiHuaiZhangZhunBeiShouHuiHuoZhuanHuiJinEZhongYaoDe" label="是否适用：应收票据本期坏账准备收回或转回金额重要的" selectOptions="_buildInAppliance" controlType="CustomCheckbox" cRanges="[{&quot;StartName&quot;:&quot;_GBC_36b753268a334bc295295f5b7ef2e253&quot;,&quot;EndName&quot;:&quot;_GBC_40be801a8a6740b0954c81c987be3f5c&quot;,&quot;CType&quot;:1}]"/>
      <m:item xlName="_GBC_6bf049d792954bd69c7b268bcba9e0e8" concept="clcid-ci-ar:DanWeiYingShouPiaoJuBenQiHuaiZhangZhunBeiShouHuiHuoZhuanHuiJinEZhongYaoDe" label="单位：应收票据本期坏账准备收回或转回金额重要的" selectOptions="_buildInScales" controlType="Combobox" cellType="Scale" appId="_GBC_36b753268a334bc295295f5b7ef2e253"/>
      <m:item xlName="_GBC_00cf59fca5d7499a912ad1c281f33266" concept="clcid-ci-ar:BiZhongYingShouPiaoJuBenQiHuaiZhangZhunBeiShouHuiHuoZhuanHuiJinEZhongYaoDe" label="币种：应收票据本期坏账准备收回或转回金额重要的" selectOptions="_buildInISO4217" controlType="Combobox" cellType="Measure" appId="_GBC_36b753268a334bc295295f5b7ef2e253"/>
      <m:placeholder xlName="_PLD_534594ac6d6b4b0fa9dbee1ace157442" addr="T1R0C0S1_1"/>
      <m:placeholder xlName="_PLD_fa87aceabf2a4853bf24494eeb78d075" addr="T1R0C1S1_1"/>
      <m:placeholder xlName="_PLD_933b2a7071f84c6a80c359852ef10ec1" addr="T1R0C2S1_1"/>
      <m:tuple xlName="_TUP_ef720935ddb043488e43d4686cc2dd73" concept="clcid-pte:YingShouPiaoJuBenQiHuaiZhangZhunBeiShouHuiHuoZhuanHuiJinEZhongYaoMingXi" default_row="2" addr="T1R1C">
        <m:item xlName="_GBC_2a282e15615a4d96a51751bf6a4b278d" concept="clcid-pte:YingShouPiaoJuBenQiHuaiZhangZhunBeiShouHuiHuoZhuanHuiJinEZhongYaoMingXiDanWei" label="应收票据本期坏账准备收回或转回金额重要明细-单位" addr="T1R1C0S1_1" appId="_GBC_36b753268a334bc295295f5b7ef2e253"/>
        <m:item xlName="_GBC_974f11d2bbc649cdad3dd17f2c18cdbb" concept="clcid-pte:YingShouPiaoJuBenQiHuaiZhangZhunBeiShouHuiHuoZhuanHuiJinEZhongYaoMingXiFaShengE" label="应收票据本期坏账准备收回或转回金额重要明细-发生额" mulRef="_GBC_6bf049d792954bd69c7b268bcba9e0e8" unitRef="_GBC_00cf59fca5d7499a912ad1c281f33266" addr="T1R1C1S1_1" formatStyle="Comma" appId="_GBC_36b753268a334bc295295f5b7ef2e253"/>
        <m:item xlName="_GBC_390150c21d4d4e3aa9c832025d536a01" concept="clcid-pte:YingShouPiaoJuBenQiHuaiZhangZhunBeiShouHuiHuoZhuanHuiJinEZhongYaoMingXiShouHuiFangShi" label="应收票据本期坏账准备收回或转回金额重要明细-收回方式" addr="T1R1C2S1_1" appId="_GBC_36b753268a334bc295295f5b7ef2e253"/>
      </m:tuple>
      <m:placeholder xlName="_PLD_adfaab23b9594ed2af135fd78da12374" addr="T1R3C0S1_1"/>
      <m:item xlName="_GBC_40be801a8a6740b0954c81c987be3f5c" concept="clcid-pte:YingShouPiaoJuBenQiHuaiZhangZhunBeiShouHuiHuoZhuanHuiJinEZhongYaoDeJinEHeJi" label="应收票据本期坏账准备收回或转回金额重要的金额合计" mulRef="_GBC_6bf049d792954bd69c7b268bcba9e0e8" unitRef="_GBC_00cf59fca5d7499a912ad1c281f33266" addr="T1R3C1S1_1" formatStyle="Comma" appId="_GBC_36b753268a334bc295295f5b7ef2e253">
        <m:complexRule comparator="Eq" title="应收票据本期坏账准备收回或转回金额重要的金额合计" test=" $_GBC_974f11d2bbc649cdad3dd17f2c18cdbb" id="C376ddfd61b94436196f23a933a4b0830"/>
      </m:item>
      <m:item xlName="_GBC_0af093c05aa548d68103c1ac22e3200b" concept="clcid-pte:YingShouPiaoJuHuaiZhangZhunBeiDeQiTaShuoMing" label="应收票据坏账准备的其他说明" appId="_GBC_065ad100e7534037877c628171a7ddc1"/>
    </m:section>
    <m:section xlName="_SEC_d1d07f77bea54442a58602a5a3e94f42" title="本期实际核销的应收票据情况">
      <m:item xlName="_GBC_d0dcbb36ec68469bb29eac25b4a7af19" concept="clcid-ci-ar:ShiFouShiYongShiJiHeXiaoDeYingShouPiaoJu" label="是否适用：实际核销的应收票据" selectOptions="_buildInAppliance" controlType="CustomCheckbox" cRanges="[{&quot;StartName&quot;:&quot;_GBC_d0dcbb36ec68469bb29eac25b4a7af19&quot;,&quot;EndName&quot;:&quot;_GBC_8c86dcd4a5274b7cbff9fd3c37fa1dfd&quot;,&quot;CType&quot;:1}]"/>
      <m:item xlName="_GBC_d9e4a96b848d4379988e296b93896133" concept="clcid-ci-ar:DanWeiShiJiHeXiaoDeYingShouPiaoJu" label="单位：实际核销的应收票据" selectOptions="_buildInScales" controlType="Combobox" cellType="Scale" appId="_GBC_d0dcbb36ec68469bb29eac25b4a7af19"/>
      <m:item xlName="_GBC_469cbb8cb3704a6c931a42fc28f84fa5" concept="clcid-ci-ar:BiZhongShiJiHeXiaoDeYingShouPiaoJu" label="币种：实际核销的应收票据" selectOptions="_buildInISO4217" controlType="Combobox" cellType="Measure" appId="_GBC_d0dcbb36ec68469bb29eac25b4a7af19"/>
      <m:placeholder xlName="_PLD_424aabd53fd34a378eb774b9020c3ef3" addr="T0R0C0S1_1"/>
      <m:placeholder xlName="_PLD_9ebf473bcb264204993c0b7675e8243c" addr="T0R0C1S1_1"/>
      <m:placeholder xlName="_PLD_112c9624b31c4f318e01037eef5d9fac" addr="T0R1C0S1_1"/>
      <m:item xlName="_GBC_99d275067a8b4cdfb9eeeefc5c8b71dc" concept="clcid-pte:ShiJiHeXiaoDeYingShouPiaoJu" label="实际核销的应收票据" mulRef="_GBC_d9e4a96b848d4379988e296b93896133" unitRef="_GBC_469cbb8cb3704a6c931a42fc28f84fa5" addr="T0R1C1S1_1" formatStyle="Comma" appId="_GBC_d0dcbb36ec68469bb29eac25b4a7af19"/>
      <m:item xlName="_GBC_e2717d0c54ea4f5eb5b1671a3c798609" concept="clcid-ci-ar:ShiFouShiYongZhongYaoDeYingShouPiaoJuHeXiao" label="是否适用：重要的应收票据核销" selectOptions="_buildInAppliance" controlType="CustomCheckbox" cRanges="[{&quot;StartName&quot;:&quot;_GBC_e2717d0c54ea4f5eb5b1671a3c798609&quot;,&quot;EndName&quot;:&quot;_GBC_2ade785dd43345158b63c85a86c4a876&quot;,&quot;CType&quot;:1}]"/>
      <m:item xlName="_GBC_ec0c67b9aae8428a87ce5e3b890057dc" concept="clcid-ci-ar:DanWeiZhongYaoDeYingShouPiaoJuHeXiao" label="单位：重要的应收票据核销" selectOptions="_buildInScales" controlType="Combobox" cellType="Scale" appId="_GBC_e2717d0c54ea4f5eb5b1671a3c798609"/>
      <m:item xlName="_GBC_cd9294a83ec54f1bb4ec03a38f70d8e9" concept="clcid-ci-ar:BiZhongZhongYaoDeYingShouPiaoJuHeXiao" label="币种：重要的应收票据核销" selectOptions="_buildInISO4217" controlType="Combobox" cellType="Measure" appId="_GBC_e2717d0c54ea4f5eb5b1671a3c798609"/>
      <m:placeholder xlName="_PLD_0a19149b2fd342a9bb5f5ec1ad2e3857" addr="T1R0C0S1_1"/>
      <m:placeholder xlName="_PLD_7483db61578e4f62b3f81028a315f1b2" addr="T1R0C1S1_1"/>
      <m:placeholder xlName="_PLD_439512373904476699f9ba69f6bfc9f4" addr="T1R0C2S1_1"/>
      <m:placeholder xlName="_PLD_1574aab55be14ac5b7b98fa6ce1f8f66" addr="T1R0C3S1_1"/>
      <m:placeholder xlName="_PLD_f2a21017eea8470eb02bf2b3159c0dcc" addr="T1R0C4S1_1"/>
      <m:placeholder xlName="_PLD_a2c08bfed40843388290d9a782acc894" addr="T1R0C5S1_1"/>
      <m:tuple xlName="_TUP_3ade2053ed8f4dcc8b96432468c18e93" concept="clcid-pte:ZhongYaoDeYingShouPiaoJuHeXiaoMingXi" default_row="2" addr="T1R1C">
        <m:item xlName="_GBC_a402700394224998a8a6903718b46ac3" concept="clcid-pte:ZhongYaoDeYingShouPiaoJuHeXiaoMingXiDanWei" label="重要的应收票据核销明细-单位" addr="T1R1C0S1_1" appId="_GBC_e2717d0c54ea4f5eb5b1671a3c798609"/>
        <m:item xlName="_GBC_8d2af02990f945f49e1fa5a2fdd22893" concept="clcid-pte:ZhongYaoDeYingShouPiaoJuHeXiaoMingXiXingZhi" label="重要的应收票据核销明细-性质" addr="T1R1C1S1_1" appId="_GBC_e2717d0c54ea4f5eb5b1671a3c798609"/>
        <m:item xlName="_GBC_510af92336e44405aaf6747396807970" concept="clcid-pte:ZhongYaoDeYingShouPiaoJuHeXiaoMingXiHeXiaoJinE" label="重要的应收票据核销明细-核销金额" mulRef="_GBC_ec0c67b9aae8428a87ce5e3b890057dc" unitRef="_GBC_cd9294a83ec54f1bb4ec03a38f70d8e9" addr="T1R1C2S1_1" formatStyle="Comma" appId="_GBC_e2717d0c54ea4f5eb5b1671a3c798609"/>
        <m:item xlName="_GBC_0f584bdfed174c159813c18bafa4e2f4" concept="clcid-pte:ZhongYaoDeYingShouPiaoJuHeXiaoMingXiHeXiaoYuanYin" label="重要的应收票据核销明细-核销原因" addr="T1R1C3S1_1" appId="_GBC_e2717d0c54ea4f5eb5b1671a3c798609"/>
        <m:item xlName="_GBC_4db5007fc7bb48ebae10853f5930d14c" concept="clcid-pte:ZhongYaoDeYingShouPiaoJuHeXiaoMingXiLvXingDeHeXiaoChengXu" label="重要的应收票据核销明细-履行的核销程序" addr="T1R1C4S1_1" appId="_GBC_e2717d0c54ea4f5eb5b1671a3c798609"/>
        <m:item xlName="_GBC_3324e66043b84738a9bba2b50b1bcab2" concept="clcid-pte:ZhongYaoDeYingShouPiaoJuHeXiaoMingXiKuanXiangShiFouYouGuanLianJiaoYiChanSheng" label="重要的应收票据核销明细-款项是否由关联交易产生" selectOptions="_buildInYesNo" addr="T1R1C5S1_1" controlType="Combobox" appId="_GBC_e2717d0c54ea4f5eb5b1671a3c798609"/>
      </m:tuple>
      <m:placeholder xlName="_PLD_e810c06951004aec939ad64dae649f71" addr="T1R3C0S1_1"/>
      <m:item xlName="_GBC_2ade785dd43345158b63c85a86c4a876" concept="clcid-pte:ZhongYaoDeYingShouPiaoJuHeXiaoJinEHeJi" label="重要的应收票据核销金额合计" mulRef="_GBC_ec0c67b9aae8428a87ce5e3b890057dc" unitRef="_GBC_cd9294a83ec54f1bb4ec03a38f70d8e9" addr="T1R3C2S1_1" formatStyle="Comma" appId="_GBC_e2717d0c54ea4f5eb5b1671a3c798609">
        <m:complexRule comparator="Eq" title="重要的应收票据核销金额合计" test=" $_GBC_510af92336e44405aaf6747396807970" id="C663a5c96545c455b9efa43160ffe91bd"/>
      </m:item>
      <m:item xlName="_GBC_60d1268fdde049f1971e1a68d97580f2" concept="clcid-ci-ar:ShiFouShiYongYingShouPiaoJuHeXiaoShuoMing" label="是否适用：应收票据核销说明" selectOptions="_buildInAppliance" controlType="CustomCheckbox" cRanges="[{&quot;StartName&quot;:&quot;_GBC_60d1268fdde049f1971e1a68d97580f2&quot;,&quot;EndName&quot;:&quot;_GBC_8c86dcd4a5274b7cbff9fd3c37fa1dfd&quot;,&quot;CType&quot;:1}]"/>
      <m:item xlName="_GBC_8c86dcd4a5274b7cbff9fd3c37fa1dfd" concept="clcid-pte:YingShouPiaoJuHeXiaoShuoMing" label="应收票据核销说明" appId="_GBC_60d1268fdde049f1971e1a68d97580f2"/>
    </m:section>
    <m:section xlName="_GBC_c7095bafbab543a9bb9dcc587154df29" title="应收票据其他说明" rules="R2015_R11_003" convertSummaryRule="NoConvert" helpId="112001044">
      <m:item xlName="_GBC_704e24e70b65463883e10335ce93a1ac" concept="clcid-ci-ar:ShiFouShiYongYingShouPiaoJuDeShuoMing" label="是否适用：应收票据的说明" selectOptions="_buildInAppliance" controlType="CustomCheckbox" cRanges="{&quot;StartName&quot;:&quot;_GBC_704e24e70b65463883e10335ce93a1ac&quot;,&quot;EndName&quot;:&quot;_GBC_2006e891d63d493bb79a98ee1650c6ff&quot;,&quot;CType&quot;:1,&quot;DisplayText&quot;:null}"/>
      <m:item xlName="_GBC_2006e891d63d493bb79a98ee1650c6ff" concept="clcid-pte:YingShouPiaoJuDeShuoMing" label="应收票据的说明" appId="_GBC_704e24e70b65463883e10335ce93a1ac"/>
    </m:section>
    <m:section xlName="_SEC_18739d0c0efc4fe7a575a32263e5b38b" title="按账龄披露" helpText="表里的“期末账面余额”指的是包含单项计提和组合计提的期末账面余额。">
      <m:item xlName="_GBC_adacd9d7302a46dbb6fb745ac9a87bfe" concept="clcid-ci-ar:ShiFouShiYongZuHeZhongAnZhangLingFenXiFaJiTiHuaiZhangZhunBeiDeYingShouZhangKuan" label="是否适用：组合中，按账龄分析法计提坏账准备的应收账款" selectOptions="_buildInAppliance" controlType="CustomCheckbox" cRanges="[{&quot;StartName&quot;:&quot;_GBC_adacd9d7302a46dbb6fb745ac9a87bfe&quot;,&quot;EndName&quot;:&quot;_GBC_05e33d35fd974c6b9b88f9ee09f1175c&quot;,&quot;CType&quot;:1}]"/>
      <m:item xlName="_GBC_a1aaa8cef4304dbdb3226b0c37d7eaa2"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adacd9d7302a46dbb6fb745ac9a87bfe"/>
      <m:item xlName="_GBC_23501c118c5d42ce875910cc5f1c5fe3"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adacd9d7302a46dbb6fb745ac9a87bfe"/>
      <m:placeholder xlName="_PLD_cc8a2439cf1a40049647e9f82183f02a" addr="T0R0C0S1_1"/>
      <m:placeholder xlName="_PLD_39df8c40c3b34bb795f3dd83e556c1cb" addr="T0R0C1S1_1"/>
      <m:placeholder xlName="_PLD_217c8960e1b142368dda5c59f7dd6b68" addr="T0R1C0S1_2"/>
      <m:placeholder xlName="_PLD_e1f60905870b4ec086c3a5755a91109d" addr="T0R2C0S1_2"/>
      <m:tuple xlName="_TUP_d8c7f05722aa40a58eaedfec7fbecace" concept="clcid-pte:YiNianYiNeiYingShouZhangKuanJinEMingXi" default_row="2" addr="T0R3C">
        <m:item xlName="_GBC_c2830a604ea9442ea8de55aea12bd791" concept="clcid-pte:YiNianYiNeiYingShouZhangKuanZhangLingMingCheng" label="一年以内应收账款金额明细－帐龄名称" addr="T0R3C0S1_1" appId="_GBC_adacd9d7302a46dbb6fb745ac9a87bfe"/>
        <m:item xlName="_GBC_e825c5a781204838b60175b864c7b44e" concept="clcid-pte:YiNianYiNeiYingShouZhangKuanZhangMianYuE" label="一年以内应收账款金额明细－账面余额" mulRef="_GBC_a1aaa8cef4304dbdb3226b0c37d7eaa2" unitRef="_GBC_23501c118c5d42ce875910cc5f1c5fe3" addr="T0R3C1S1_1" formatStyle="Comma" appId="_GBC_adacd9d7302a46dbb6fb745ac9a87bfe"/>
      </m:tuple>
      <m:placeholder xlName="_PLD_c7d182c9cd3f494a90cf99c5a58ab86e" addr="T0R5C0S1_1"/>
      <m:item xlName="_GBC_3a6eb55a6451437fbb54d5db0b2d83ca" concept="clcid-pte:YingShouZhangKuanYiNianYiNeiHeJi" label="应收账款一年以内合计" mulRef="_GBC_a1aaa8cef4304dbdb3226b0c37d7eaa2" unitRef="_GBC_23501c118c5d42ce875910cc5f1c5fe3" addr="T0R5C1S1_1" formatStyle="Comma" appId="_GBC_adacd9d7302a46dbb6fb745ac9a87bfe"/>
      <m:placeholder xlName="_PLD_ddd035f081424c508ec3702ea96caece" addr="T0R6C0S1_1"/>
      <m:item xlName="_GBC_0a4d7449dd19496c9d3566396c3a82a4" concept="clcid-pte:YingShouZhangKuanYiZhiErNianHeJi" label="应收账款一至二年合计" mulRef="_GBC_a1aaa8cef4304dbdb3226b0c37d7eaa2" unitRef="_GBC_23501c118c5d42ce875910cc5f1c5fe3" addr="T0R6C1S1_1" formatStyle="Comma" appId="_GBC_adacd9d7302a46dbb6fb745ac9a87bfe"/>
      <m:placeholder xlName="_PLD_173769cdf4af409b9ed3b84a39f352b3" addr="T0R7C0S1_1"/>
      <m:item xlName="_GBC_d33538e7e05545debd27c26b0e763e92" concept="clcid-pte:YingShouZhangKuanErZhiSanNianHeJi" label="应收账款二至三年合计" mulRef="_GBC_a1aaa8cef4304dbdb3226b0c37d7eaa2" unitRef="_GBC_23501c118c5d42ce875910cc5f1c5fe3" addr="T0R7C1S1_1" formatStyle="Comma" appId="_GBC_adacd9d7302a46dbb6fb745ac9a87bfe"/>
      <m:placeholder xlName="_PLD_7ddcfca835a84663bade28a69e162ec0" addr="T0R8C0S1_1"/>
      <m:item xlName="_GBC_0409754fcbc54357b08e3449cbdd1627" concept="clcid-pte:YingShouZhangKuanSanNianYiShangHeJi" label="应收账款三年以上合计" mulRef="_GBC_a1aaa8cef4304dbdb3226b0c37d7eaa2" unitRef="_GBC_23501c118c5d42ce875910cc5f1c5fe3" addr="T0R8C1S1_1" formatStyle="Comma" appId="_GBC_adacd9d7302a46dbb6fb745ac9a87bfe"/>
      <m:placeholder xlName="_PLD_fd1f00d60b69467bbd45960ac76b73ab" addr="T0R9C0S1_1"/>
      <m:item xlName="_GBC_9799f2c4fa424aed93bdf021b9553421" concept="clcid-pte:YingShouZhangKuanSanZhiSiNianZhangMianYuE" label="应收账款三至四年账面余额" mulRef="_GBC_a1aaa8cef4304dbdb3226b0c37d7eaa2" unitRef="_GBC_23501c118c5d42ce875910cc5f1c5fe3" addr="T0R9C1S1_1" formatStyle="Comma" appId="_GBC_adacd9d7302a46dbb6fb745ac9a87bfe"/>
      <m:placeholder xlName="_PLD_8db7bbb254fd40b486e26e8b3e40a316" addr="T0R10C0S1_1"/>
      <m:item xlName="_GBC_6e58c5ac21c84c83a6a6a79c1eba4afc" concept="clcid-pte:YingShouZhangKuanSiZhiWuNianZhangMianYuE" label="应收账款四至五年账面余额" mulRef="_GBC_a1aaa8cef4304dbdb3226b0c37d7eaa2" unitRef="_GBC_23501c118c5d42ce875910cc5f1c5fe3" addr="T0R10C1S1_1" formatStyle="Comma" appId="_GBC_adacd9d7302a46dbb6fb745ac9a87bfe"/>
      <m:placeholder xlName="_PLD_e4213ce4e1fb477baea80cfbb361b8a7" addr="T0R11C0S1_1"/>
      <m:item xlName="_GBC_b1d70bb2fba64bb490b968b1be373d2b" concept="clcid-pte:YingShouZhangKuanWuNianYiShangZhangMianYuE" label="应收账款五年以上账面余额" mulRef="_GBC_a1aaa8cef4304dbdb3226b0c37d7eaa2" unitRef="_GBC_23501c118c5d42ce875910cc5f1c5fe3" addr="T0R11C1S1_1" formatStyle="Comma" appId="_GBC_adacd9d7302a46dbb6fb745ac9a87bfe"/>
      <m:tuple xlName="_TUP_49a65c8bff8745348a4a277e8da6df2e" concept="clcid-pte:AnZhangLingFenXiFaJiTiHuaiZhangZhunBeiDeYingShouZhangKuanMingXi" default_row="2" addr="T0R12C">
        <m:item xlName="_GBC_7625a2de1dcc4fc6a612fab1f6d7d433" concept="clcid-pte:AnZhangLingFenXiFaJiTiHuaiZhangZhunBeiDeYingShouZhangKuanMingXiZhangLing" label="按账龄分析法计提坏账准备的应收账款明细_账龄" addr="T0R12C0S1_1" appId="_GBC_adacd9d7302a46dbb6fb745ac9a87bfe"/>
        <m:item xlName="_GBC_2a1e98bea343490991e85d7c9ba5ba49" concept="clcid-pte:AnZhangLingFenXiFaJiTiHuaiZhangZhunBeiDeYingShouZhangKuanMingXiYingShouZhangKuan" label="按账龄分析法计提坏账准备的应收账款明细_应收账款" mulRef="_GBC_a1aaa8cef4304dbdb3226b0c37d7eaa2" unitRef="_GBC_23501c118c5d42ce875910cc5f1c5fe3" addr="T0R12C1S1_1" formatStyle="Comma" appId="_GBC_adacd9d7302a46dbb6fb745ac9a87bfe"/>
      </m:tuple>
      <m:placeholder xlName="_PLD_a92bd573499a45f88eb09857cbe19e80" addr="T0R14C0S1_1"/>
      <m:item xlName="_GBC_05e33d35fd974c6b9b88f9ee09f1175c" concept="clcid-pte:DanXiangJinEBuZhongDaDanAnXinYongFengXianTeZhengZuHeHouGaiZuHeDeFengXianJiaoDaDeYingShouZhangKuanHeJi" label="单项金额不重大但按信用风险特征组合后该组合的风险较大的应收账款合计" mulRef="_GBC_a1aaa8cef4304dbdb3226b0c37d7eaa2" unitRef="_GBC_23501c118c5d42ce875910cc5f1c5fe3" addr="T0R14C1S1_1" formatStyle="Comma" appId="_GBC_adacd9d7302a46dbb6fb745ac9a87bfe">
        <m:complexRule comparator="Eq" title="单项金额不重大但按信用风险特征组合后该组合的风险较大的应收账款合计" test=" $_GBC_3a6eb55a6451437fbb54d5db0b2d83ca +  $_GBC_0a4d7449dd19496c9d3566396c3a82a4 +  $_GBC_d33538e7e05545debd27c26b0e763e92 +  $_GBC_0409754fcbc54357b08e3449cbdd1627 +  $_GBC_9799f2c4fa424aed93bdf021b9553421 +  $_GBC_6e58c5ac21c84c83a6a6a79c1eba4afc +  $_GBC_b1d70bb2fba64bb490b968b1be373d2b +  $_GBC_2a1e98bea343490991e85d7c9ba5ba49" id="C7d07218b1b264a5681fa3f22742ba834"/>
      </m:item>
    </m:section>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item xlName="_GBC_13874a7a2d5642bc9d06df2e53ad133f" concept="clcid-ci-ar:DanWeiCaiWuFuZhuYingShouZhangKuanAnZhongLeiPiLu" label="单位：财务附注：应收账款按种类披露" selectOptions="_buildInScales" controlType="Combobox" cellType="Scale" appId="_GBC_fc55e6778e08412caa3e7b9e7a1a0f85"/>
      <m:item xlName="_GBC_a7c9ba83409d4f5ebb3a7b0903842485" concept="clcid-ci-ar:BiZhongCaiWuFuZhuYingShouZhangKuanAnZhongLeiPiLu" label="币种：财务附注：应收账款按种类披露" selectOptions="_buildInISO4217" controlType="Combobox" cellType="Measure" appId="_GBC_fc55e6778e08412caa3e7b9e7a1a0f85"/>
      <m:placeholder xlName="_PLD_a2143754c0e847e9a8bbb40d4548066c" addr="T0R0C0S3_1"/>
      <m:placeholder xlName="_PLD_25d42b68a0be4b6c9079bb6f0b9688f1" addr="T0R0C1S1_5"/>
      <m:placeholder xlName="_PLD_7ebf4817a5864c42bb0897c8ddd0cd9c" addr="T0R0C6S1_5"/>
      <m:placeholder xlName="_PLD_fd64cffe158d4ef48a5ff569de778464" addr="T0R1C1S1_2"/>
      <m:placeholder xlName="_PLD_f0f4adcb95c44cfa884ef7d853d6b134" addr="T0R1C3S1_2"/>
      <m:placeholder xlName="_PLD_4c122527ed0743b8905d9f19514f4328" addr="T0R1C5S2_1"/>
      <m:placeholder xlName="_PLD_fa758d9eb4ae426faef8e328262241b4" addr="T0R1C6S1_2"/>
      <m:placeholder xlName="_PLD_58080bac137d4831ab65bc2f8ca82429" addr="T0R1C8S1_2"/>
      <m:placeholder xlName="_PLD_c015e43e7b384b6ab9bf259155579fa4" addr="T0R1C10S2_1"/>
      <m:placeholder xlName="_PLD_2a622138bde346ccae812608989b472d" addr="T0R2C1S1_1"/>
      <m:placeholder xlName="_PLD_abd0e3a320c240aeb85b1414af26aa00" addr="T0R2C2S1_1"/>
      <m:placeholder xlName="_PLD_d60468b4e5934fb9af3ebf3b3ca06a6b" addr="T0R2C3S1_1"/>
      <m:placeholder xlName="_PLD_743ca215156149608b4d9149bc142cc3" addr="T0R2C4S1_1"/>
      <m:placeholder xlName="_PLD_88061469e7574f3d93ff9dc8f7c03e2d" addr="T0R2C6S1_1"/>
      <m:placeholder xlName="_PLD_c2b4bd19b5284f3481bdd6a3becafce0" addr="T0R2C7S1_1"/>
      <m:placeholder xlName="_PLD_c6874c65e4ac43019002d5903e4b46d6" addr="T0R2C8S1_1"/>
      <m:placeholder xlName="_PLD_0596fb5f4bb147b48d9ab2f32535e71f" addr="T0R2C9S1_1"/>
      <m:placeholder xlName="_PLD_6413454a316c4103ae8bebbae0f082c2" addr="T0R3C0S1_1"/>
      <m:item xlName="_GBC_843a216e9add47078021171b42f9169c" concept="clcid-pte:AnDanXiangJiTiHuaiZhangZhunBeiDeYingShouZhangKuanZhangMianYuE" label="按单项计提坏账准备的应收账款账面余额" mulRef="_GBC_13874a7a2d5642bc9d06df2e53ad133f" unitRef="_GBC_a7c9ba83409d4f5ebb3a7b0903842485" addr="T0R3C1S1_1" formatStyle="Comma" appId="_GBC_fc55e6778e08412caa3e7b9e7a1a0f85"/>
      <m:item xlName="_GBC_cf5615db5f81488a952629074793af4e" concept="clcid-pte:AnDanXiangJiTiHuaiZhangZhunBeiDeYingShouZhangKuanZhangMianYuEBiLi" label="按单项计提坏账准备的应收账款账面余额比例" addr="T0R3C2S1_1" baseScale="0.01" formatStyle="Comma" appId="_GBC_fc55e6778e08412caa3e7b9e7a1a0f85"/>
      <m:item xlName="_GBC_c33abc8641744116ba21018c2532428b" concept="clcid-pte:AnDanXiangJiTiHuaiZhangZhunBeiDeYingShouZhangKuanHuaiZhangZhunBei" label="按单项计提坏账准备的应收账款坏账准备" mulRef="_GBC_13874a7a2d5642bc9d06df2e53ad133f" unitRef="_GBC_a7c9ba83409d4f5ebb3a7b0903842485" addr="T0R3C3S1_1" formatStyle="Comma" appId="_GBC_fc55e6778e08412caa3e7b9e7a1a0f85"/>
      <m:item xlName="_GBC_ac55db04c49348b2a1d3dcdce5e37860" concept="clcid-pte:AnDanXiangJiTiHuaiZhangZhunBeiDeYingShouZhangKuanHuaiZhangZhunBeiJiTiBiLi" label="按单项计提坏账准备的应收账款坏账准备计提比例" addr="T0R3C4S1_1" baseScale="0.01" formatStyle="Comma" appId="_GBC_fc55e6778e08412caa3e7b9e7a1a0f85"/>
      <m:item xlName="_GBC_cb14445407594ee8a5b18026aa3bbb96" concept="clcid-pte:AnDanXiangJiTiHuaiZhangZhunBeiDeYingShouZhangKuanZhangMianJiaZhi" label="按单项计提坏账准备的应收账款账面价值" mulRef="_GBC_13874a7a2d5642bc9d06df2e53ad133f" unitRef="_GBC_a7c9ba83409d4f5ebb3a7b0903842485" addr="T0R3C5S1_1" formatStyle="Comma" appId="_GBC_fc55e6778e08412caa3e7b9e7a1a0f85"/>
      <m:item xlName="_GBC_4e55587b0d014e3baaa1d13efa80f254" concept="clcid-pte:AnDanXiangJiTiHuaiZhangZhunBeiDeYingShouZhangKuanZhangMianYuE" label="按单项计提坏账准备的应收账款账面余额" periodRef="本期期初数" mulRef="_GBC_13874a7a2d5642bc9d06df2e53ad133f" unitRef="_GBC_a7c9ba83409d4f5ebb3a7b0903842485" addr="T0R3C6S1_1" formatStyle="Comma" appId="_GBC_fc55e6778e08412caa3e7b9e7a1a0f85"/>
      <m:item xlName="_GBC_bfd399e1980b4c8db7a1fb83d4861960" concept="clcid-pte:AnDanXiangJiTiHuaiZhangZhunBeiDeYingShouZhangKuanZhangMianYuEBiLi" label="按单项计提坏账准备的应收账款账面余额比例" periodRef="本期期初数" addr="T0R3C7S1_1" baseScale="0.01" formatStyle="Comma" appId="_GBC_fc55e6778e08412caa3e7b9e7a1a0f85"/>
      <m:item xlName="_GBC_46ab32fc8c7d4a62a7de8d02c8b0f105" concept="clcid-pte:AnDanXiangJiTiHuaiZhangZhunBeiDeYingShouZhangKuanHuaiZhangZhunBei" label="按单项计提坏账准备的应收账款坏账准备" periodRef="本期期初数" mulRef="_GBC_13874a7a2d5642bc9d06df2e53ad133f" unitRef="_GBC_a7c9ba83409d4f5ebb3a7b0903842485" addr="T0R3C8S1_1" formatStyle="Comma" appId="_GBC_fc55e6778e08412caa3e7b9e7a1a0f85"/>
      <m:item xlName="_GBC_a1074ebcaf5d44abbdac416d4c19968e" concept="clcid-pte:AnDanXiangJiTiHuaiZhangZhunBeiDeYingShouZhangKuanHuaiZhangZhunBeiJiTiBiLi" label="按单项计提坏账准备的应收账款坏账准备计提比例" periodRef="本期期初数" addr="T0R3C9S1_1" baseScale="0.01" formatStyle="Comma" appId="_GBC_fc55e6778e08412caa3e7b9e7a1a0f85"/>
      <m:item xlName="_GBC_351fd6affccf432bb99c7a0ff27a6856" concept="clcid-pte:AnDanXiangJiTiHuaiZhangZhunBeiDeYingShouZhangKuanZhangMianJiaZhi" label="按单项计提坏账准备的应收账款账面价值" periodRef="本期期初数" mulRef="_GBC_13874a7a2d5642bc9d06df2e53ad133f" unitRef="_GBC_a7c9ba83409d4f5ebb3a7b0903842485" addr="T0R3C10S1_1" formatStyle="Comma" appId="_GBC_fc55e6778e08412caa3e7b9e7a1a0f85"/>
      <m:placeholder xlName="_PLD_a3793487a0154f9a85b0e94e01b6ddbe" addr="T0R4C0S1_11"/>
      <m:tuple xlName="_TUP_3a763938896845f284a4dc7df88bd4af" concept="clcid-pte:AnDanXiangJiTiHuaiZhangZhunBeiDeYingShouZhangKuanMingXi" default_row="2" addr="T0R5C">
        <m:item xlName="_GBC_3399611ce4724e1193aaefa4ea4bde46" contributeOptionTo="_GBC_8f78fdbea12b4ac894e4ebc3eb0fb04b" concept="clcid-pte:AnDanXiangJiTiHuaiZhangZhunBeiDeYingShouZhangKuanMingXiLeiBie" label="按单项计提坏账准备的应收账款明细-类别" addr="T0R5C0S1_1" tagAction="1" appId="_GBC_fc55e6778e08412caa3e7b9e7a1a0f85"/>
        <m:item xlName="_GBC_58835363af3249bca3bf1b011a831e1f" concept="clcid-pte:AnDanXiangJiTiHuaiZhangZhunBeiDeYingShouZhangKuanMingXiZhangMianYuE" label="按单项计提坏账准备的应收账款明细-账面余额" mulRef="_GBC_13874a7a2d5642bc9d06df2e53ad133f" unitRef="_GBC_a7c9ba83409d4f5ebb3a7b0903842485" addr="T0R5C1S1_1" formatStyle="Comma" appId="_GBC_fc55e6778e08412caa3e7b9e7a1a0f85"/>
        <m:item xlName="_GBC_4f8a41cc3c0940bb8e1dfcb912f65230" concept="clcid-pte:AnDanXiangJiTiHuaiZhangZhunBeiDeYingShouZhangKuanMingXiYuEBiLi" label="按单项计提坏账准备的应收账款明细-余额比例" addr="T0R5C2S1_1" baseScale="0.01" formatStyle="Comma" appId="_GBC_fc55e6778e08412caa3e7b9e7a1a0f85"/>
        <m:item xlName="_GBC_c387c768d74342298622671b6ea1b61e" concept="clcid-pte:AnDanXiangJiTiHuaiZhangZhunBeiDeYingShouZhangKuanMingXiHuaiZhangZhunBei" label="按单项计提坏账准备的应收账款明细-坏账准备" mulRef="_GBC_13874a7a2d5642bc9d06df2e53ad133f" unitRef="_GBC_a7c9ba83409d4f5ebb3a7b0903842485" addr="T0R5C3S1_1" formatStyle="Comma" appId="_GBC_fc55e6778e08412caa3e7b9e7a1a0f85"/>
        <m:item xlName="_GBC_195c413d1ce9497dbc9d6835103ef5b0" concept="clcid-pte:AnDanXiangJiTiHuaiZhangZhunBeiDeYingShouZhangKuanMingXiHuaiZhangZhunBeiJiTiBiLi" label="按单项计提坏账准备的应收账款明细-坏账准备计提比例" addr="T0R5C4S1_1" baseScale="0.01" formatStyle="Comma" appId="_GBC_fc55e6778e08412caa3e7b9e7a1a0f85"/>
        <m:item xlName="_GBC_9c6039bd92084e7eb50bb75313cf6e9f" concept="clcid-pte:AnDanXiangJiTiHuaiZhangZhunBeiDeYingShouZhangKuanMingXiZhangMianJiaZhi" label="按单项计提坏账准备的应收账款明细-账面价值" mulRef="_GBC_13874a7a2d5642bc9d06df2e53ad133f" unitRef="_GBC_a7c9ba83409d4f5ebb3a7b0903842485" addr="T0R5C5S1_1" formatStyle="Comma" appId="_GBC_fc55e6778e08412caa3e7b9e7a1a0f85"/>
        <m:item xlName="_GBC_0d9a745bd9184960a514f0e43466b19a" concept="clcid-pte:AnDanXiangJiTiHuaiZhangZhunBeiDeYingShouZhangKuanMingXiZhangMianYuE" label="按单项计提坏账准备的应收账款明细-账面余额" periodRef="本期期初数" mulRef="_GBC_13874a7a2d5642bc9d06df2e53ad133f" unitRef="_GBC_a7c9ba83409d4f5ebb3a7b0903842485" addr="T0R5C6S1_1" formatStyle="Comma" appId="_GBC_fc55e6778e08412caa3e7b9e7a1a0f85"/>
        <m:item xlName="_GBC_ffa553eeb3bf4bef8993e9c393913de6" concept="clcid-pte:AnDanXiangJiTiHuaiZhangZhunBeiDeYingShouZhangKuanMingXiYuEBiLi" label="按单项计提坏账准备的应收账款明细-余额比例" periodRef="本期期初数" addr="T0R5C7S1_1" baseScale="0.01" formatStyle="Comma" appId="_GBC_fc55e6778e08412caa3e7b9e7a1a0f85"/>
        <m:item xlName="_GBC_2434d776b3dc40639506ac04c5551c25" concept="clcid-pte:AnDanXiangJiTiHuaiZhangZhunBeiDeYingShouZhangKuanMingXiHuaiZhangZhunBei" label="按单项计提坏账准备的应收账款明细-坏账准备" periodRef="本期期初数" mulRef="_GBC_13874a7a2d5642bc9d06df2e53ad133f" unitRef="_GBC_a7c9ba83409d4f5ebb3a7b0903842485" addr="T0R5C8S1_1" formatStyle="Comma" appId="_GBC_fc55e6778e08412caa3e7b9e7a1a0f85"/>
        <m:item xlName="_GBC_ff61889030924fd68e340b04f6c83655" concept="clcid-pte:AnDanXiangJiTiHuaiZhangZhunBeiDeYingShouZhangKuanMingXiHuaiZhangZhunBeiJiTiBiLi" label="按单项计提坏账准备的应收账款明细-坏账准备计提比例" periodRef="本期期初数" addr="T0R5C9S1_1" baseScale="0.01" formatStyle="Comma" appId="_GBC_fc55e6778e08412caa3e7b9e7a1a0f85"/>
        <m:item xlName="_GBC_7d61ae03029a4f2ca8a22123c9b9e74a" concept="clcid-pte:AnDanXiangJiTiHuaiZhangZhunBeiDeYingShouZhangKuanMingXiZhangMianJiaZhi" label="按单项计提坏账准备的应收账款明细-账面价值" periodRef="本期期初数" mulRef="_GBC_13874a7a2d5642bc9d06df2e53ad133f" unitRef="_GBC_a7c9ba83409d4f5ebb3a7b0903842485" addr="T0R5C10S1_1" formatStyle="Comma" appId="_GBC_fc55e6778e08412caa3e7b9e7a1a0f85"/>
      </m:tuple>
      <m:placeholder xlName="_PLD_f288fc933fe84e6088cca1ff51abf9b8" addr="T0R7C0S1_1"/>
      <m:item xlName="_GBC_68b2788bdcba4b8ab912404e2432ec39" concept="clcid-pte:AnZuHeJiTiHuaiZhangZhunBeiDeYingShouZhangKuanZhangMianYuE" label="按组合计提坏账准备的应收账款账面余额" mulRef="_GBC_13874a7a2d5642bc9d06df2e53ad133f" unitRef="_GBC_a7c9ba83409d4f5ebb3a7b0903842485" addr="T0R7C1S1_1" formatStyle="Comma" appId="_GBC_fc55e6778e08412caa3e7b9e7a1a0f85"/>
      <m:item xlName="_GBC_b8094811ea734e268ea534eed861c6ac" concept="clcid-pte:AnZuHeJiTiHuaiZhangZhunBeiDeYingShouZhangKuanZhangMianYuEBiLi" label="按组合计提坏账准备的应收账款账面余额比例" addr="T0R7C2S1_1" baseScale="0.01" formatStyle="Comma" appId="_GBC_fc55e6778e08412caa3e7b9e7a1a0f85"/>
      <m:item xlName="_GBC_3250d73456554221a2a71983736ce4d3" concept="clcid-pte:AnZuHeJiTiHuaiZhangZhunBeiDeYingShouZhangKuanHuaiZhangZhunBei" label="按组合计提坏账准备的应收账款坏账准备" mulRef="_GBC_13874a7a2d5642bc9d06df2e53ad133f" unitRef="_GBC_a7c9ba83409d4f5ebb3a7b0903842485" addr="T0R7C3S1_1" formatStyle="Comma" appId="_GBC_fc55e6778e08412caa3e7b9e7a1a0f85"/>
      <m:item xlName="_GBC_2646e72ff27e472586d5f6e1a7790d54" concept="clcid-pte:AnZuHeJiTiHuaiZhangZhunBeiDeYingShouZhangKuanHuaiZhangZhunBeiJiTiBiLi" label="按组合计提坏账准备的应收账款坏账准备计提比例" addr="T0R7C4S1_1" baseScale="0.01" formatStyle="Comma" appId="_GBC_fc55e6778e08412caa3e7b9e7a1a0f85"/>
      <m:item xlName="_GBC_cc6d97fde24d49f59fd7c5d368d1320c" concept="clcid-pte:AnZuHeJiTiHuaiZhangZhunBeiDeYingShouZhangKuanZhangMianJiaZhi" label="按组合计提坏账准备的应收账款账面价值" mulRef="_GBC_13874a7a2d5642bc9d06df2e53ad133f" unitRef="_GBC_a7c9ba83409d4f5ebb3a7b0903842485" addr="T0R7C5S1_1" formatStyle="Comma" appId="_GBC_fc55e6778e08412caa3e7b9e7a1a0f85"/>
      <m:item xlName="_GBC_b89c918b4dc34b52af9e5a18e163bd15" concept="clcid-pte:AnZuHeJiTiHuaiZhangZhunBeiDeYingShouZhangKuanZhangMianYuE" label="按组合计提坏账准备的应收账款账面余额" periodRef="本期期初数" mulRef="_GBC_13874a7a2d5642bc9d06df2e53ad133f" unitRef="_GBC_a7c9ba83409d4f5ebb3a7b0903842485" addr="T0R7C6S1_1" formatStyle="Comma" appId="_GBC_fc55e6778e08412caa3e7b9e7a1a0f85"/>
      <m:item xlName="_GBC_4a4786c060a34436b55f4020c5400f27" concept="clcid-pte:AnZuHeJiTiHuaiZhangZhunBeiDeYingShouZhangKuanZhangMianYuEBiLi" label="按组合计提坏账准备的应收账款账面余额比例" periodRef="本期期初数" addr="T0R7C7S1_1" baseScale="0.01" formatStyle="Comma" appId="_GBC_fc55e6778e08412caa3e7b9e7a1a0f85"/>
      <m:item xlName="_GBC_740364f8daad4433a9929e16f69cdeac" concept="clcid-pte:AnZuHeJiTiHuaiZhangZhunBeiDeYingShouZhangKuanHuaiZhangZhunBei" label="按组合计提坏账准备的应收账款坏账准备" periodRef="本期期初数" mulRef="_GBC_13874a7a2d5642bc9d06df2e53ad133f" unitRef="_GBC_a7c9ba83409d4f5ebb3a7b0903842485" addr="T0R7C8S1_1" formatStyle="Comma" appId="_GBC_fc55e6778e08412caa3e7b9e7a1a0f85"/>
      <m:item xlName="_GBC_05b624e18b304f1ba0fa9e45a8c49d6e" concept="clcid-pte:AnZuHeJiTiHuaiZhangZhunBeiDeYingShouZhangKuanHuaiZhangZhunBeiJiTiBiLi" label="按组合计提坏账准备的应收账款坏账准备计提比例" periodRef="本期期初数" addr="T0R7C9S1_1" baseScale="0.01" formatStyle="Comma" appId="_GBC_fc55e6778e08412caa3e7b9e7a1a0f85"/>
      <m:item xlName="_GBC_c721f4acedb54d95ac81902d7a5309e5" concept="clcid-pte:AnZuHeJiTiHuaiZhangZhunBeiDeYingShouZhangKuanZhangMianJiaZhi" label="按组合计提坏账准备的应收账款账面价值" periodRef="本期期初数" mulRef="_GBC_13874a7a2d5642bc9d06df2e53ad133f" unitRef="_GBC_a7c9ba83409d4f5ebb3a7b0903842485" addr="T0R7C10S1_1" formatStyle="Comma" appId="_GBC_fc55e6778e08412caa3e7b9e7a1a0f85"/>
      <m:placeholder xlName="_PLD_55a01fc28b044e40bd4e4399252665c0" addr="T0R8C0S1_11"/>
      <m:tuple xlName="_TUP_01960bfe94fc450d9a465ddf3f2cfd76" concept="clcid-pte:AnZuHeJiTiHuaiZhangZhunBeiDeYingShouZhangKuanMingXi" default_row="2" addr="T0R9C">
        <m:item xlName="_GBC_c5f1817705f34c9782f585b3ed10e2db" contributeOptionTo="_GBC_fec033684b6e412cabcd0e0ea1c6cb96" concept="clcid-pte:AnZuHeJiTiHuaiZhangZhunBeiDeYingShouZhangKuanMingXiZuHeMingCheng" label="按组合计提坏账准备的应收账款明细-组合名称" addr="T0R9C0S1_1" tagAction="1" appId="_GBC_fc55e6778e08412caa3e7b9e7a1a0f85"/>
        <m:item xlName="_GBC_37992804355f41fbac660f41ba6c77ab" concept="clcid-pte:AnZuHeJiTiHuaiZhangZhunBeiDeYingShouZhangKuanMingXiZhangMianYuE" label="按组合计提坏账准备的应收账款明细-账面余额" mulRef="_GBC_13874a7a2d5642bc9d06df2e53ad133f" unitRef="_GBC_a7c9ba83409d4f5ebb3a7b0903842485" addr="T0R9C1S1_1" formatStyle="Comma" appId="_GBC_fc55e6778e08412caa3e7b9e7a1a0f85"/>
        <m:item xlName="_GBC_91a893ab3f984fe98ec5b01a79ed9d63" concept="clcid-pte:AnZuHeJiTiHuaiZhangZhunBeiDeYingShouZhangKuanMingXiZhangMianYuEBiLi" label="按组合计提坏账准备的应收账款明细-账面余额比例" addr="T0R9C2S1_1" baseScale="0.01" formatStyle="Comma" appId="_GBC_fc55e6778e08412caa3e7b9e7a1a0f85"/>
        <m:item xlName="_GBC_f4fc4b53edad4a5ea386abef258c19fc" concept="clcid-pte:AnZuHeJiTiHuaiZhangZhunBeiDeYingShouZhangKuanMingXiHuaiZhangZhunBeiJinE" label="按组合计提坏账准备的应收账款明细-坏账准备金额" mulRef="_GBC_13874a7a2d5642bc9d06df2e53ad133f" unitRef="_GBC_a7c9ba83409d4f5ebb3a7b0903842485" addr="T0R9C3S1_1" formatStyle="Comma" appId="_GBC_fc55e6778e08412caa3e7b9e7a1a0f85"/>
        <m:item xlName="_GBC_2bf908837e944cf6adb2919c400cfdb7" concept="clcid-pte:AnZuHeJiTiHuaiZhangZhunBeiDeYingShouZhangKuanMingXiHuaiZhangZhunBeiBiLi" label="按组合计提坏账准备的应收账款明细-坏账准备比例" addr="T0R9C4S1_1" baseScale="0.01" formatStyle="Comma" appId="_GBC_fc55e6778e08412caa3e7b9e7a1a0f85"/>
        <m:item xlName="_GBC_4618834c2a1c4537bd7a39beb9722ead" concept="clcid-pte:AnZuHeJiTiHuaiZhangZhunBeiDeYingShouZhangKuanMingXiZhangMianJiaZhi" label="按组合计提坏账准备的应收账款明细-账面价值" mulRef="_GBC_13874a7a2d5642bc9d06df2e53ad133f" unitRef="_GBC_a7c9ba83409d4f5ebb3a7b0903842485" addr="T0R9C5S1_1" formatStyle="Comma" appId="_GBC_fc55e6778e08412caa3e7b9e7a1a0f85"/>
        <m:item xlName="_GBC_211b187a5f66427a817f77b061bebde7" concept="clcid-pte:AnZuHeJiTiHuaiZhangZhunBeiDeYingShouZhangKuanMingXiZhangMianYuE" label="按组合计提坏账准备的应收账款明细-账面余额" periodRef="本期期初数" mulRef="_GBC_13874a7a2d5642bc9d06df2e53ad133f" unitRef="_GBC_a7c9ba83409d4f5ebb3a7b0903842485" addr="T0R9C6S1_1" formatStyle="Comma" appId="_GBC_fc55e6778e08412caa3e7b9e7a1a0f85"/>
        <m:item xlName="_GBC_3af4eb3e22f24472a38d207b85081960" concept="clcid-pte:AnZuHeJiTiHuaiZhangZhunBeiDeYingShouZhangKuanMingXiZhangMianYuEBiLi" label="按组合计提坏账准备的应收账款明细-账面余额比例" periodRef="本期期初数" addr="T0R9C7S1_1" baseScale="0.01" formatStyle="Comma" appId="_GBC_fc55e6778e08412caa3e7b9e7a1a0f85"/>
        <m:item xlName="_GBC_1743940a5dc34b3e8f81691678138555" concept="clcid-pte:AnZuHeJiTiHuaiZhangZhunBeiDeYingShouZhangKuanMingXiHuaiZhangZhunBeiJinE" label="按组合计提坏账准备的应收账款明细-坏账准备金额" periodRef="本期期初数" mulRef="_GBC_13874a7a2d5642bc9d06df2e53ad133f" unitRef="_GBC_a7c9ba83409d4f5ebb3a7b0903842485" addr="T0R9C8S1_1" formatStyle="Comma" appId="_GBC_fc55e6778e08412caa3e7b9e7a1a0f85"/>
        <m:item xlName="_GBC_c714ee77918f438b8646aace32e23066" concept="clcid-pte:AnZuHeJiTiHuaiZhangZhunBeiDeYingShouZhangKuanMingXiHuaiZhangZhunBeiBiLi" label="按组合计提坏账准备的应收账款明细-坏账准备比例" periodRef="本期期初数" addr="T0R9C9S1_1" baseScale="0.01" formatStyle="Comma" appId="_GBC_fc55e6778e08412caa3e7b9e7a1a0f85"/>
        <m:item xlName="_GBC_b89eea991f2c4107b931d08871378cb2" concept="clcid-pte:AnZuHeJiTiHuaiZhangZhunBeiDeYingShouZhangKuanMingXiZhangMianJiaZhi" label="按组合计提坏账准备的应收账款明细-账面价值" periodRef="本期期初数" mulRef="_GBC_13874a7a2d5642bc9d06df2e53ad133f" unitRef="_GBC_a7c9ba83409d4f5ebb3a7b0903842485" addr="T0R9C10S1_1" formatStyle="Comma" appId="_GBC_fc55e6778e08412caa3e7b9e7a1a0f85"/>
      </m:tuple>
      <m:placeholder xlName="_PLD_435141e2dc244009953ee87401ee0c5d" addr="T0R11C0S1_1"/>
      <m:item xlName="_GBC_b68dd064eff848ce8d36b9d1c5cb5942" concept="clcid-pte:YingShouZhangKuanHeJi" label="应收账款合计" mulRef="_GBC_13874a7a2d5642bc9d06df2e53ad133f" unitRef="_GBC_a7c9ba83409d4f5ebb3a7b0903842485" addr="T0R11C1S1_1" formatStyle="Comma" appId="_GBC_fc55e6778e08412caa3e7b9e7a1a0f85">
        <m:complexRule comparator="Eq" title="应收账款合计" test=" $_GBC_843a216e9add47078021171b42f9169c +  $_GBC_68b2788bdcba4b8ab912404e2432ec39" id="Ce32eece96f75462d9f7f3d9c5a32e156"/>
      </m:item>
      <m:item xlName="_GBC_15d7cdaa10654d14bfe42b415811da90" concept="clcid-pte:YingShouZhangKuanJiTiDeHuaiZhangZhunBeiYuE" label="应收账款计提的坏账准备余额" mulRef="_GBC_13874a7a2d5642bc9d06df2e53ad133f" unitRef="_GBC_a7c9ba83409d4f5ebb3a7b0903842485" addr="T0R11C3S1_1" formatStyle="Comma" appId="_GBC_fc55e6778e08412caa3e7b9e7a1a0f85">
        <m:complexRule comparator="Eq" title="应收账款计提的坏账准备余额" test=" $_GBC_c33abc8641744116ba21018c2532428b +  $_GBC_3250d73456554221a2a71983736ce4d3" id="C7b6ddaa49c1f4587a76e30281fe46e95"/>
      </m:item>
      <m:item xlName="_GBC_b2fa2b1ae3964481a8678ce76da6f8c4" concept="clcid-pte:YingShouZhangKuanZhangMianJiaZhiHeJi" label="应收账款账面价值合计" mulRef="_GBC_13874a7a2d5642bc9d06df2e53ad133f" unitRef="_GBC_a7c9ba83409d4f5ebb3a7b0903842485" addr="T0R11C5S1_1" formatStyle="Comma" appId="_GBC_fc55e6778e08412caa3e7b9e7a1a0f85">
        <m:complexRule comparator="Eq" title="应收账款账面价值合计" test=" $_GBC_cb14445407594ee8a5b18026aa3bbb96 +  $_GBC_cc6d97fde24d49f59fd7c5d368d1320c" id="C7ad8cc74e75c4b7e8f71e0de56d1c9b8"/>
      </m:item>
      <m:item xlName="_GBC_04fbb11645ef4ae2960094af968dd848" concept="clcid-pte:YingShouZhangKuanHeJi" label="应收账款合计" periodRef="本期期初数" mulRef="_GBC_13874a7a2d5642bc9d06df2e53ad133f" unitRef="_GBC_a7c9ba83409d4f5ebb3a7b0903842485" addr="T0R11C6S1_1" formatStyle="Comma" appId="_GBC_fc55e6778e08412caa3e7b9e7a1a0f85">
        <m:complexRule comparator="Eq" title="应收账款合计@本期期初数" test=" $_GBC_4e55587b0d014e3baaa1d13efa80f254 +  $_GBC_b89c918b4dc34b52af9e5a18e163bd15" id="C5bb862b3777849cb8fd74b42be2711fa"/>
      </m:item>
      <m:item xlName="_GBC_e49d578e612b44619fc1d17a5386d3b3" concept="clcid-pte:YingShouZhangKuanJiTiDeHuaiZhangZhunBeiYuE" label="应收账款计提的坏账准备余额" periodRef="本期期初数" mulRef="_GBC_13874a7a2d5642bc9d06df2e53ad133f" unitRef="_GBC_a7c9ba83409d4f5ebb3a7b0903842485" addr="T0R11C8S1_1" formatStyle="Comma" appId="_GBC_fc55e6778e08412caa3e7b9e7a1a0f85">
        <m:complexRule comparator="Eq" title="应收账款计提的坏账准备余额@本期期初数" test=" $_GBC_46ab32fc8c7d4a62a7de8d02c8b0f105 +  $_GBC_740364f8daad4433a9929e16f69cdeac" id="C57560a4a70bb4b5ebd95972e5b05f028"/>
      </m:item>
      <m:item xlName="_GBC_df1d1af64f64434fb7017024bdd7e0a3" concept="clcid-pte:YingShouZhangKuanZhangMianJiaZhiHeJi" label="应收账款账面价值合计" periodRef="本期期初数" mulRef="_GBC_13874a7a2d5642bc9d06df2e53ad133f" unitRef="_GBC_a7c9ba83409d4f5ebb3a7b0903842485" addr="T0R11C10S1_1" formatStyle="Comma" appId="_GBC_fc55e6778e08412caa3e7b9e7a1a0f85">
        <m:complexRule comparator="Eq" title="应收账款账面价值合计@本期期初数" test=" $_GBC_351fd6affccf432bb99c7a0ff27a6856 +  $_GBC_c721f4acedb54d95ac81902d7a5309e5" id="C9594905e359b4bbebf5c526e4c27919d"/>
      </m:item>
    </m:section>
    <m:section xlName="_SEC_498beef22f03474fa398c526ee8a934d" title="按单项计提坏账准备：">
      <m:item xlName="_GBC_e07c01cfb2fe4b05a2bb603b7f914946" concept="clcid-ci-ar:ShiFouShiYongAnDanXiangJiTiHuaiZhangZhunBeiDeYingShouZhangKuanXiangXiQingKuang" label="是否适用：按单项计提坏账准备的应收账款详细情况" selectOptions="_buildInAppliance" controlType="CustomCheckbox" cRanges="[{&quot;StartName&quot;:&quot;_GBC_e07c01cfb2fe4b05a2bb603b7f914946&quot;,&quot;EndName&quot;:&quot;_GBC_84f1e5fc17da47acbbd35d1f93f7037a&quot;,&quot;CType&quot;:1}]"/>
      <m:item xlName="_GBC_5737c621553040588c35a299b21bda52" concept="clcid-pte:DanWeiAnDanXiangJiTiHuaiZhangZhunBeiDeYingShouZhangKuanXiangXiQingKuang" label="单位：按单项计提坏账准备的应收账款详细情况" selectOptions="_buildInScales" controlType="Combobox" cellType="Scale" appId="_GBC_e07c01cfb2fe4b05a2bb603b7f914946"/>
      <m:item xlName="_GBC_b6cb9fb35a4a4033912355f7cb997afb" concept="clcid-pte:BiZhongAnDanXiangJiTiHuaiZhangZhunBeiDeYingShouZhangKuanXiangXiQingKuang" label="币种：按单项计提坏账准备的应收账款详细情况" selectOptions="_buildInISO4217" controlType="Combobox" cellType="Measure" appId="_GBC_e07c01cfb2fe4b05a2bb603b7f914946"/>
      <m:placeholder xlName="_PLD_886503527dee421ca2c31b493a41ab31" addr="T0R0C0S2_1"/>
      <m:placeholder xlName="_PLD_e08f6e696f224538a07af6226cb97b93" addr="T0R0C1S1_4"/>
      <m:placeholder xlName="_PLD_464a1be46d05424da4883a8442e8eecd" addr="T0R1C1S1_1"/>
      <m:placeholder xlName="_PLD_3d0d70541d9a48beb1c29f819592f107" addr="T0R1C2S1_1"/>
      <m:placeholder xlName="_PLD_76393245336e41aa891aec8c50271105" addr="T0R1C3S1_1"/>
      <m:placeholder xlName="_PLD_950e8014be3245d1a45783884c32208d" addr="T0R1C4S1_1"/>
      <m:tuple xlName="_TUP_669c106056fb4de3b5f357a932630dad" concept="clcid-pte:AnDanXiangJiTiHuaiZhangZhunBeiDeYingShouZhangKuanXiangXiMingChengMingXi" default_row="2" addr="T0R2C">
        <m:item xlName="_GBC_abfcf6b6fbfd457fa96490924ca16ed8" concept="clcid-pte:AnDanXiangJiTiHuaiZhangZhunBeiDeYingShouZhangKuanXiangXiMingChengMingXiMingCheng" label="按单项计提坏账准备的应收账款详细名称明细-名称" addr="T0R2C0S1_1" appId="_GBC_e07c01cfb2fe4b05a2bb603b7f914946"/>
        <m:item xlName="_GBC_a428c8b4e18b4fe78e6329ee5dce824e" concept="clcid-pte:AnDanXiangJiTiHuaiZhangZhunBeiDeYingShouZhangKuanXiangXiMingChengMingXiZhangMianYuE" label="按单项计提坏账准备的应收账款详细名称明细-账面余额" mulRef="_GBC_5737c621553040588c35a299b21bda52" unitRef="_GBC_b6cb9fb35a4a4033912355f7cb997afb" addr="T0R2C1S1_1" formatStyle="Comma" appId="_GBC_e07c01cfb2fe4b05a2bb603b7f914946"/>
        <m:item xlName="_GBC_347951f4f0aa4c18b60a41e4adfb0b00" concept="clcid-pte:AnDanXiangJiTiHuaiZhangZhunBeiDeYingShouZhangKuanXiangXiMingChengMingXiHuaiZhangZhunBei" label="按单项计提坏账准备的应收账款详细名称明细-坏账准备" mulRef="_GBC_5737c621553040588c35a299b21bda52" unitRef="_GBC_b6cb9fb35a4a4033912355f7cb997afb" addr="T0R2C2S1_1" formatStyle="Comma" appId="_GBC_e07c01cfb2fe4b05a2bb603b7f914946"/>
        <m:item xlName="_GBC_cd37674b97724d2ba31230471472b253" concept="clcid-pte:AnDanXiangJiTiHuaiZhangZhunBeiDeYingShouZhangKuanXiangXiMingChengMingXiHuaiZhangZhunBeiJiTiBiLi" label="按单项计提坏账准备的应收账款详细名称明细-坏账准备计提比例" addr="T0R2C3S1_1" baseScale="0.01" formatStyle="Comma" appId="_GBC_e07c01cfb2fe4b05a2bb603b7f914946"/>
        <m:item xlName="_GBC_f8e2cec195794527827078f5f506a5be" concept="clcid-pte:AnDanXiangJiTiHuaiZhangZhunBeiDeYingShouZhangKuanXiangXiMingChengMingXiHuaiZhangZhunBeiJiTiLiYou" label="按单项计提坏账准备的应收账款详细名称明细-坏账准备计提理由" addr="T0R2C4S1_1" appId="_GBC_e07c01cfb2fe4b05a2bb603b7f914946"/>
      </m:tuple>
      <m:placeholder xlName="_PLD_9ee856e0edf24e449ccd22d8f0f07348" addr="T0R4C0S1_1"/>
      <m:item xlName="_GBC_3f9065d582044bc99f8aceec304f3632" concept="clcid-pte:AnDanXiangJiTiHuaiZhangZhunBeiDeYingShouZhangKuanZhangMianYuE" label="按单项计提坏账准备的应收账款账面余额" mulRef="_GBC_5737c621553040588c35a299b21bda52" unitRef="_GBC_b6cb9fb35a4a4033912355f7cb997afb" addr="T0R4C1S1_1" formatStyle="Comma" appId="_GBC_e07c01cfb2fe4b05a2bb603b7f914946">
        <m:complexRule comparator="Eq" title="按单项计提坏账准备的应收账款明细-账面余额" test=" $_GBC_a428c8b4e18b4fe78e6329ee5dce824e" id="Cb188bbf800044155a81c5fbace58b55a"/>
      </m:item>
      <m:item xlName="_GBC_6937db3fba86497db5a874e4c300ea38" concept="clcid-pte:AnDanXiangJiTiHuaiZhangZhunBeiDeYingShouZhangKuanHuaiZhangZhunBei" label="按单项计提坏账准备的应收账款坏账准备" mulRef="_GBC_5737c621553040588c35a299b21bda52" unitRef="_GBC_b6cb9fb35a4a4033912355f7cb997afb" addr="T0R4C2S1_1" formatStyle="Comma" appId="_GBC_e07c01cfb2fe4b05a2bb603b7f914946">
        <m:complexRule comparator="Eq" title="按单项计提坏账准备的应收账款明细-坏账准备" test=" $_GBC_347951f4f0aa4c18b60a41e4adfb0b00" id="C89081164204040028f9e6f9ae574e6f3"/>
      </m:item>
      <m:item xlName="_GBC_c1f0af30c0414a01b402390529177365" concept="clcid-pte:AnDanXiangJiTiHuaiZhangZhunBeiDeYingShouZhangKuanHuaiZhangZhunBeiJiTiBiLi" label="按单项计提坏账准备的应收账款坏账准备计提比例" addr="T0R4C3S1_1" baseScale="0.01" formatStyle="Comma" appId="_GBC_e07c01cfb2fe4b05a2bb603b7f914946">
        <m:complexRule comparator="Eq" title="按单项计提坏账准备的应收账款明细-坏账准备计提比例" id="Cade35a5ead0a4a10ae05afe0a30c1a85"/>
      </m:item>
      <m:item xlName="_GBC_5058bdcf98524a1ba98e4618d094237d" concept="clcid-pte:ShiFouShiYongAnDanXiangJiTiHuaiZhangZhunBeiDeYingShouZhangKuanShuoMing" label="是否适用：按单项计提坏账准备的应收账款说明" selectOptions="_buildInAppliance" controlType="CustomCheckbox" cRanges="[{&quot;StartName&quot;:&quot;_GBC_5058bdcf98524a1ba98e4618d094237d&quot;,&quot;EndName&quot;:&quot;_GBC_84f1e5fc17da47acbbd35d1f93f7037a&quot;,&quot;CType&quot;:1}]"/>
      <m:item xlName="_GBC_84f1e5fc17da47acbbd35d1f93f7037a" concept="clcid-pte:AnDanXiangJiTiHuaiZhangZhunBeiDeYingShouZhangKuanShuoMing" label="按单项计提坏账准备的应收账款说明" appId="_GBC_5058bdcf98524a1ba98e4618d094237d"/>
    </m:section>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item xlName="_GBC_fec033684b6e412cabcd0e0ea1c6cb96" contributeOptionTo="_GBC_c5f1817705f34c9782f585b3ed10e2db" concept="clcid-pte:AnZuHeJiTiHuaiZhangZhunBeiDeYingShouZhangKuanMingXiZuHeMingCheng" label="按组合计提坏账准备的应收账款明细-组合名称" controlType="Combobox" appId="_GBC_47a07baa9a4f4c5ea6de193ae7b87e74"/>
      <m:item xlName="_GBC_ccac8c131a6748e699800a5f25e5efcf" concept="clcid-pte:DanWeiAnZuHeJiTiHuaiZhangZhunBeiDeYingShouZhangKuanXiangXiQingKuang" label="单位：按组合计提坏账准备的应收账款详细情况" selectOptions="_buildInScales" controlType="Combobox" cellType="Scale" appId="_GBC_47a07baa9a4f4c5ea6de193ae7b87e74"/>
      <m:item xlName="_GBC_f0296899749441bf8c33f5882df60a71" concept="clcid-pte:BiZhongAnZuHeJiTiHuaiZhangZhunBeiDeYingShouZhangKuanXiangXiQingKuang" label="币种：按组合计提坏账准备的应收账款详细情况" selectOptions="_buildInISO4217" controlType="Combobox" cellType="Measure" appId="_GBC_47a07baa9a4f4c5ea6de193ae7b87e74"/>
      <m:placeholder xlName="_PLD_331ca2a43a5247699c45fd6309aee7fd" addr="T0R0C0S2_1"/>
      <m:placeholder xlName="_PLD_271f4f470bff48e385b1a5d9080fde35" addr="T0R0C1S1_3"/>
      <m:placeholder xlName="_PLD_e1c956de9b3b4544a5d0584eaaf6aea2" addr="T0R1C1S1_1"/>
      <m:placeholder xlName="_PLD_0098acb8b7f640f29f65a14017e23f02" addr="T0R1C2S1_1"/>
      <m:placeholder xlName="_PLD_290bbc3bde3c43c487996752ceb95160" addr="T0R1C3S1_1"/>
      <m:tuple xlName="_TUP_787dccbb6b7545edb25916e256cf8697" concept="clcid-pte:AnZuHeJiTiHuaiZhangZhunBeiDeYingShouZhangKuanXiangXiMingChengMingXi" default_row="2" addr="T0R2C">
        <m:item xlName="_GBC_6c971a3913cf49ba965c7967bc94e6ee" concept="clcid-pte:AnZuHeJiTiHuaiZhangZhunBeiDeYingShouZhangKuanXiangXiMingChengMingXiMingCheng" label="按组合计提坏账准备的应收账款详细名称明细-名称" addr="T0R2C0S1_1" appId="_GBC_47a07baa9a4f4c5ea6de193ae7b87e74"/>
        <m:item xlName="_GBC_7dc1f5699f8f4212a3c7d6a165fab7b7" concept="clcid-pte:AnZuHeJiTiHuaiZhangZhunBeiDeYingShouZhangKuanXiangXiMingChengMingXiZhangMianYuE" label="按组合计提坏账准备的应收账款详细名称明细-账面余额" mulRef="_GBC_ccac8c131a6748e699800a5f25e5efcf" unitRef="_GBC_f0296899749441bf8c33f5882df60a71" addr="T0R2C1S1_1" formatStyle="Comma" appId="_GBC_47a07baa9a4f4c5ea6de193ae7b87e74"/>
        <m:item xlName="_GBC_4ac649c534e2484aa71f3bfc54f817c2" concept="clcid-pte:AnZuHeJiTiHuaiZhangZhunBeiDeYingShouZhangKuanXiangXiMingChengMingXiHuaiZhangZhunBei" label="按组合计提坏账准备的应收账款详细名称明细-坏账准备" mulRef="_GBC_ccac8c131a6748e699800a5f25e5efcf" unitRef="_GBC_f0296899749441bf8c33f5882df60a71" addr="T0R2C2S1_1" formatStyle="Comma" appId="_GBC_47a07baa9a4f4c5ea6de193ae7b87e74"/>
        <m:item xlName="_GBC_80143061252d414495a71fd4ec6917e1" concept="clcid-pte:AnZuHeJiTiHuaiZhangZhunBeiDeYingShouZhangKuanXiangXiMingChengMingXiHuaiZhangZhunBeiJiTiBiLi" label="按组合计提坏账准备的应收账款详细名称明细-坏账准备计提比例" addr="T0R2C3S1_1" baseScale="0.01" formatStyle="Comma" appId="_GBC_47a07baa9a4f4c5ea6de193ae7b87e74"/>
      </m:tuple>
      <m:placeholder xlName="_PLD_9a3bf225ae544565ad2cb49381fcaca1" addr="T0R4C0S1_1"/>
      <m:item xlName="_GBC_10f8b852d4ab4149a06b17cede57134f" concept="clcid-pte:AnZuHeJiTiHuaiZhangZhunBeiDeYingShouZhangKuanMingXiZhangMianYuE" label="按组合计提坏账准备的应收账款明细-账面余额" mulRef="_GBC_ccac8c131a6748e699800a5f25e5efcf" unitRef="_GBC_f0296899749441bf8c33f5882df60a71" addr="T0R4C1S1_1" formatStyle="Comma" appId="_GBC_47a07baa9a4f4c5ea6de193ae7b87e74">
        <m:complexRule comparator="Eq" title="按组合计提坏账准备的应收账款明细-账面余额" id="Cb2f7e4d2f0694b688673e34adc1fec4c"/>
      </m:item>
      <m:item xlName="_GBC_503a97e8902d46f58d0cda0545c442c5" concept="clcid-pte:AnZuHeJiTiHuaiZhangZhunBeiDeYingShouZhangKuanMingXiHuaiZhangZhunBeiJinE" label="按组合计提坏账准备的应收账款明细-坏账准备金额" mulRef="_GBC_ccac8c131a6748e699800a5f25e5efcf" unitRef="_GBC_f0296899749441bf8c33f5882df60a71" addr="T0R4C2S1_1" formatStyle="Comma" appId="_GBC_47a07baa9a4f4c5ea6de193ae7b87e74">
        <m:complexRule comparator="Eq" title="按组合计提坏账准备的应收账款明细-坏账准备金额" id="C5fb6d93a4c6f423bb3fbbdeb5691b283"/>
      </m:item>
      <m:item xlName="_GBC_ec982ea8b47148eb8b928302f1393ba7" concept="clcid-pte:AnZuHeJiTiHuaiZhangZhunBeiDeYingShouZhangKuanMingXiHuaiZhangZhunBeiBiLi" label="按组合计提坏账准备的应收账款明细-坏账准备比例" addr="T0R4C3S1_1" baseScale="0.01" formatStyle="Comma" appId="_GBC_47a07baa9a4f4c5ea6de193ae7b87e74">
        <m:complexRule comparator="Eq" title="按组合计提坏账准备的应收账款明细-坏账准备比例" id="C5673cefc128f423eb7de3ae457ec3a7f"/>
      </m:item>
      <m:item xlName="_GBC_8361cfeb973b4073b7fdbd49a393b38c" concept="clcid-pte:ShiFouShiYongAnZuHeJiTiHuaiZhangZhunBeiDeYingShouZhangKuanQueRenBiaoZhun" label="是否适用：按组合计提坏账准备的应收账款确认标准" selectOptions="_buildInAppliance" controlType="CustomCheckbox" cRanges="[{&quot;StartName&quot;:&quot;_GBC_8361cfeb973b4073b7fdbd49a393b38c&quot;,&quot;EndName&quot;:&quot;_GBC_0fdd528f57da417a993d3f091b676d12&quot;,&quot;CType&quot;:1}]"/>
      <m:item xlName="_GBC_0fdd528f57da417a993d3f091b676d12" concept="clcid-pte:AnZuHeJiTiHuaiZhangZhunBeiDeYingShouZhangKuanQueRenBiaoZhun" label="按组合计提坏账准备的应收账款确认标准" appId="_GBC_8361cfeb973b4073b7fdbd49a393b38c"/>
    </m:section>
    <m:section xlName="_SEC_a585c426a16c4a73a2145ded2280b59a" title="如按预期信用损失一般模型计提坏账准备，请参照其他应收款披露：">
      <m:item xlName="_GBC_dbecd76100814214abd6f7c10d1dd2fa" concept="clcid-ci-ar:ShiFouShiYongYingShouZhangKuanAnYiBanYuJiXinYongSunShiMoXingJiTiHuaiZhang" label="是否适用：应收账款按一般预计信用损失模型计提坏账" selectOptions="_buildInAppliance" controlType="CustomCheckbox" cRanges="[{&quot;StartName&quot;:&quot;_GBC_dbecd76100814214abd6f7c10d1dd2fa&quot;,&quot;EndName&quot;:&quot;_GBC_b29500dee0fc4e1890259fb94942b6f3&quot;,&quot;CType&quot;:1}]"/>
      <m:item xlName="_GBC_b29500dee0fc4e1890259fb94942b6f3" concept="clcid-pte:YingShouZhangKuanAnYiBanYuJiXinYongSunShiMoXingJiTiHuaiZhang" label="应收账款按一般预计信用损失模型计提坏账" appId="_GBC_dbecd76100814214abd6f7c10d1dd2fa"/>
    </m:section>
    <m:section xlName="_SEC_585de72ff9a04d78b96f9dd88a2090f9" title="坏账准备的情况">
      <m:item xlName="_GBC_fb482eb90dbc45c4a6420c45e8a46012" concept="clcid-ci-ar:ShiFouShiYongYingShouZhangKuanHuaiZhangZhunBei" label="是否适用：应收账款坏账准备" selectOptions="_buildInAppliance" controlType="CustomCheckbox" cRanges="[{&quot;StartName&quot;:&quot;_GBC_fb482eb90dbc45c4a6420c45e8a46012&quot;,&quot;EndName&quot;:&quot;_GBC_05efe5a1ff614faf808e62240615e84c&quot;,&quot;CType&quot;:1}]"/>
      <m:item xlName="_GBC_f681542ff42f497c9ed44328f301413f" concept="clcid-ci-ar:DanWeiYingShouZhangKuanHuaiZhangZhunBei" label="单位：应收账款坏账准备" selectOptions="_buildInScales" controlType="Combobox" cellType="Scale" appId="_GBC_fb482eb90dbc45c4a6420c45e8a46012"/>
      <m:item xlName="_GBC_79f82daaad1749fbb117cea0941b8667" concept="clcid-ci-ar:BiZhongYingShouZhangKuanHuaiZhangZhunBei" label="币种：应收账款坏账准备" selectOptions="_buildInISO4217" controlType="Combobox" cellType="Measure" appId="_GBC_fb482eb90dbc45c4a6420c45e8a46012"/>
      <m:placeholder xlName="_PLD_82b0419f5c784cbe8b363ff715cfd4eb" addr="T0R0C0S2_1"/>
      <m:placeholder xlName="_PLD_6cba2c33cb334541980e3e13a6ee357d" addr="T0R0C1S2_1"/>
      <m:placeholder xlName="_PLD_ec3d2e2cde2a4ba29c966861f9ca39c7" addr="T0R0C2S1_4"/>
      <m:placeholder xlName="_PLD_9c167d6d72f94e22aecc39ba0e735a78" addr="T0R0C6S2_1"/>
      <m:placeholder xlName="_PLD_6cba23a5661e46c88bed469159b39a72" addr="T0R1C2S1_1"/>
      <m:placeholder xlName="_PLD_eaa82901608843c6947a0e537e8e0700" addr="T0R1C3S1_1"/>
      <m:placeholder xlName="_PLD_4232da6e7f4d498bb5fd03aa253dd7d4" addr="T0R1C4S1_1"/>
      <m:placeholder xlName="_PLD_6a40df7ca60f4ded8af3453519948166" addr="T0R1C5S1_1"/>
      <m:tuple xlName="_TUP_04277916d7e64096951ac7654a59b39a" concept="clcid-pte:YingShouZhangKuanHuaiZhangZhunBeiMingXi" default_row="2" addr="T0R2C">
        <m:item xlName="_GBC_e0baaa6c4504418dbaadf42c4a4c17fd" concept="clcid-pte:YingShouZhangKuanHuaiZhangZhunBeiMingXiLeiBie" label="应收账款坏账准备明细-类别" addr="T0R2C0S1_1" appId="_GBC_fb482eb90dbc45c4a6420c45e8a46012"/>
        <m:item xlName="_GBC_9b1b48fccf63410eac74e797ddf50ae8" concept="clcid-pte:YingShouZhangKuanHuaiZhangZhunBeiMingXiFaShengE" label="应收账款坏账准备明细-发生额" periodRef="本期期初数" mulRef="_GBC_f681542ff42f497c9ed44328f301413f" unitRef="_GBC_79f82daaad1749fbb117cea0941b8667" addr="T0R2C1S1_1" formatStyle="Comma" appId="_GBC_fb482eb90dbc45c4a6420c45e8a46012"/>
        <m:item xlName="_GBC_a0fb6bc03628471c860875ab717e0eb4" concept="clcid-pte:YingShouZhangKuanHuaiZhangZhunBeiMingXiBenQiJiTi" label="应收账款坏账准备明细-本期计提" mulRef="_GBC_f681542ff42f497c9ed44328f301413f" unitRef="_GBC_79f82daaad1749fbb117cea0941b8667" addr="T0R2C2S1_1" formatStyle="Comma" appId="_GBC_fb482eb90dbc45c4a6420c45e8a46012"/>
        <m:item xlName="_GBC_c83191ea64744974836ed6db4c6ba49c" concept="clcid-pte:YingShouZhangKuanHuaiZhangZhunBeiMingXiShouHuiHuoZhuanHui" label="应收账款坏账准备明细-收回或转回" mulRef="_GBC_f681542ff42f497c9ed44328f301413f" unitRef="_GBC_79f82daaad1749fbb117cea0941b8667" addr="T0R2C3S1_1" formatStyle="Comma" appId="_GBC_fb482eb90dbc45c4a6420c45e8a46012"/>
        <m:item xlName="_GBC_38631c2c4bfa4163bd8a2245150b6fac" concept="clcid-pte:YingShouZhangKuanHuaiZhangZhunBeiMingXiZhuanXiaoHuoHeXiao" label="应收账款坏账准备明细-转销或核销" mulRef="_GBC_f681542ff42f497c9ed44328f301413f" unitRef="_GBC_79f82daaad1749fbb117cea0941b8667" addr="T0R2C4S1_1" formatStyle="Comma" appId="_GBC_fb482eb90dbc45c4a6420c45e8a46012"/>
        <m:item xlName="_GBC_baf57ab4a657456cad8dd1558ea05caa" concept="clcid-pte:YingShouZhangKuanHuaiZhangZhunBeiMingXiQiTaBianDong" label="应收账款坏账准备明细-其他变动" mulRef="_GBC_f681542ff42f497c9ed44328f301413f" unitRef="_GBC_79f82daaad1749fbb117cea0941b8667" addr="T0R2C5S1_1" formatStyle="Comma" appId="_GBC_fb482eb90dbc45c4a6420c45e8a46012"/>
        <m:item xlName="_GBC_b2be4fd6cb83443a9c3a07fb7f68d636" concept="clcid-pte:YingShouZhangKuanHuaiZhangZhunBeiMingXiFaShengE" label="应收账款坏账准备明细-发生额" mulRef="_GBC_f681542ff42f497c9ed44328f301413f" unitRef="_GBC_79f82daaad1749fbb117cea0941b8667" addr="T0R2C6S1_1" formatStyle="Comma" appId="_GBC_fb482eb90dbc45c4a6420c45e8a46012"/>
      </m:tuple>
      <m:placeholder xlName="_PLD_8c958a5c94c1486e8139bef49c636c6d" addr="T0R4C0S1_1"/>
      <m:item xlName="_GBC_b97a202f7d324e599e761fd6865d343b" concept="clcid-pte:YingShouZhangKuanJiTiDeHuaiZhangZhunBeiYuE" label="应收账款计提的坏账准备余额" periodRef="本期期初数" mulRef="_GBC_f681542ff42f497c9ed44328f301413f" unitRef="_GBC_79f82daaad1749fbb117cea0941b8667" addr="T0R4C1S1_1" formatStyle="Comma" appId="_GBC_fb482eb90dbc45c4a6420c45e8a46012">
        <m:complexRule comparator="Eq" title="应收账款计提的坏账准备余额@本期期初数" test=" $_GBC_9b1b48fccf63410eac74e797ddf50ae8" id="Cd187a1171c7348aeb3d9a84442380867"/>
      </m:item>
      <m:item xlName="_GBC_87fa9755367842109474abe5b25fe1f4" concept="clcid-pte:YingShouZhangKuanHuaiZhangZhunBeiBenQiJiTi" label="应收账款坏账准备本期计提" mulRef="_GBC_f681542ff42f497c9ed44328f301413f" unitRef="_GBC_79f82daaad1749fbb117cea0941b8667" addr="T0R4C2S1_1" formatStyle="Comma" appId="_GBC_fb482eb90dbc45c4a6420c45e8a46012">
        <m:complexRule comparator="Eq" title="应收账款坏账准备本期计提" test=" $_GBC_a0fb6bc03628471c860875ab717e0eb4" id="Cdd592cfe562f4807a3b4d957e26f6d5b"/>
      </m:item>
      <m:item xlName="_GBC_c8abee7c6eb54d378447bd2db6ca9ef2" concept="clcid-pte:YingShouZhangKuanHuaiZhangZhunBeiBenQiShouHuiHuoZhuanHui" label="应收账款坏账准备本期收回或转回" mulRef="_GBC_f681542ff42f497c9ed44328f301413f" unitRef="_GBC_79f82daaad1749fbb117cea0941b8667" addr="T0R4C3S1_1" formatStyle="Comma" appId="_GBC_fb482eb90dbc45c4a6420c45e8a46012">
        <m:complexRule comparator="Eq" title="应收账款坏账准备本期收回或转回" test=" $_GBC_c83191ea64744974836ed6db4c6ba49c" id="C758dfbbc565d439b90b7515ffc47a018"/>
      </m:item>
      <m:item xlName="_GBC_c5053b082cab4b40b90b21bf64ca16fc" concept="clcid-pte:YingShouZhangKuanHuaiZhangZhunBeiBenQiZhuanXiaoHuoHeXiao" label="应收账款坏账准备本期转销或核销" mulRef="_GBC_f681542ff42f497c9ed44328f301413f" unitRef="_GBC_79f82daaad1749fbb117cea0941b8667" addr="T0R4C4S1_1" formatStyle="Comma" appId="_GBC_fb482eb90dbc45c4a6420c45e8a46012">
        <m:complexRule comparator="Eq" title="应收账款坏账准备本期转销或核销" test=" $_GBC_38631c2c4bfa4163bd8a2245150b6fac" id="Cea7096a5caee4598a19ac8c8af7b9f1c"/>
      </m:item>
      <m:item xlName="_GBC_4c47dccc52d34a3d91f03d8dff9e18ff" concept="clcid-pte:YingShouZhangKuanHuaiZhangZhunBeiBenQiQiTaBianDong" label="应收账款坏账准备本期其他变动" mulRef="_GBC_f681542ff42f497c9ed44328f301413f" unitRef="_GBC_79f82daaad1749fbb117cea0941b8667" addr="T0R4C5S1_1" formatStyle="Comma" appId="_GBC_fb482eb90dbc45c4a6420c45e8a46012"/>
      <m:item xlName="_GBC_05efe5a1ff614faf808e62240615e84c" concept="clcid-pte:YingShouZhangKuanJiTiDeHuaiZhangZhunBeiYuE" label="应收账款计提的坏账准备余额" mulRef="_GBC_f681542ff42f497c9ed44328f301413f" unitRef="_GBC_79f82daaad1749fbb117cea0941b8667" addr="T0R4C6S1_1" formatStyle="Comma" appId="_GBC_fb482eb90dbc45c4a6420c45e8a46012">
        <m:complexRule comparator="Eq" title="应收账款计提的坏账准备余额" test=" $_GBC_b2be4fd6cb83443a9c3a07fb7f68d636" id="C806b2b24e0164ee9ad748a3c765bbad3"/>
      </m:item>
      <m:item xlName="_GBC_362288b01950422da8198293b517eeb5" concept="clcid-ci-ar:ShiFouShiYongQiZhongBenQiHuaiZhangZhunBeiShouHuiHuoZhuanHuiJinEZhongYaoDe" label="是否适用：其中本期坏账准备收回或转回金额重要的" selectOptions="_buildInAppliance" controlType="CustomCheckbox" cRanges="{&quot;StartName&quot;:&quot;_GBC_362288b01950422da8198293b517eeb5&quot;,&quot;EndName&quot;:&quot;_GBC_9e14f841e9254fc49491dc362a5209ff&quot;,&quot;CType&quot;:1,&quot;DisplayText&quot;:null}"/>
      <m:item xlName="_GBC_4d23afad43c848bb8ee4bdc4fec2fc3e" concept="clcid-ci-ar:DanWeiBenQiZhuanHuiHuoShouHuiQingKuang" label="单位：本期转回或收回情况" selectOptions="_buildInScales" controlType="Combobox" cellType="Scale" appId="_GBC_362288b01950422da8198293b517eeb5"/>
      <m:item xlName="_GBC_c887815c0863405bb462c78e55cde498" concept="clcid-ci-ar:BiZhongBenQiZhuanHuiHuoShouHuiQingKuang" label="币种：本期转回或收回情况" selectOptions="_buildInISO4217" controlType="Combobox" cellType="Measure" appId="_GBC_362288b01950422da8198293b517eeb5"/>
      <m:placeholder xlName="_PLD_7bfcdf8072c04f429d0d31fd9a60a2e5" addr="T1R0C0S1_1"/>
      <m:placeholder xlName="_PLD_f35ded3e52fb418e9557ecdba652839c" addr="T1R0C1S1_1"/>
      <m:placeholder xlName="_PLD_67b082679a6749a4b1fd9823a48ba9ea" addr="T1R0C2S1_1"/>
      <m:tuple xlName="_GBC_2bbf8fe5b0d1431aa52ef3231558456c" concept="clcid-pte:ZhuanHuiHuoShouHuiDeYingShouZhangKuanMingXi" default_row="2" addr="T1R1C">
        <m:item xlName="_GBC_a53f957ec3424051a9c3d08ae6e5cddf" concept="clcid-pte:ZhuanHuiHuoShouHuiDeYingShouZhangKuanMingXiDanWeiMingCheng" label="转回或收回的应收账款明细-单位名称" addr="T1R1C0S1_1" appId="_GBC_362288b01950422da8198293b517eeb5"/>
        <m:item xlName="_GBC_6580f1ab8b6b4c558c10bc1b2b456569" concept="clcid-pte:ZhuanHuiHuoShouHuiDeYingShouZhangKuanMingXiZhuanHuiHuoShouHuiJinE" label="转回或收回的应收账款明细-转回或收回金额" mulRef="_GBC_4d23afad43c848bb8ee4bdc4fec2fc3e" unitRef="_GBC_c887815c0863405bb462c78e55cde498" addr="T1R1C1S1_1" formatStyle="Comma" appId="_GBC_362288b01950422da8198293b517eeb5"/>
        <m:item xlName="_GBC_fe6243f322824531b1428f833b3f66ef" concept="clcid-pte:ZhuanHuiHuoShouHuiDeYingShouZhangKuanMingXiShouHuiFangShi" label="转回或收回的应收账款明细-收回方式" addr="T1R1C2S1_1" appId="_GBC_362288b01950422da8198293b517eeb5"/>
      </m:tuple>
      <m:placeholder xlName="_PLD_286d3322cc1a4aa2be2069abcfe83749" addr="T1R3C0S1_1"/>
      <m:item xlName="_GBC_eb000e938e7747e797d4224257bf0257" concept="clcid-pte:HuaiZhangZhunBeiZhuanHuiHuoShouHuiJinEHeJi" label="坏账准备转回或收回金额合计" mulRef="_GBC_4d23afad43c848bb8ee4bdc4fec2fc3e" unitRef="_GBC_c887815c0863405bb462c78e55cde498" addr="T1R3C1S1_1" formatStyle="Comma" appId="_GBC_362288b01950422da8198293b517eeb5">
        <m:complexRule comparator="Eq" title="坏账准备转回或收回金额合计" test=" $_GBC_6580f1ab8b6b4c558c10bc1b2b456569" id="C1c93bc4dac2740edbdcca29eee5ffac5"/>
      </m:item>
      <m:item xlName="_GBC_9e14f841e9254fc49491dc362a5209ff" concept="clcid-pte:YingShouZhangKuanHuaiZhangZhunBeiZhuanHuiHuoShouHuiJinEZhongYaoDeShuoMing" label="应收账款坏账准备转回或收回金额重要的说明" appId="_GBC_362288b01950422da8198293b517eeb5"/>
    </m:section>
    <m:section xlName="_GBC_af8ceb97930d4d7391d4823a068c824b" title="本报告期实际核销的应收账款情况" rules="R2015_R11_004" convertSummaryRule="NoConvert" helpId="112001045">
      <m:item xlName="_GBC_240341a3455747bb87ecabf420d94ec5" concept="clcid-ci-ar:ShiFouShiYongBenQiShiJiHeXiaoDeYingShouZhangKuanQingKuang" label="是否适用：本期实际核销的应收账款情况" selectOptions="_buildInAppliance" controlType="CustomCheckbox" cRanges="{&quot;StartName&quot;:&quot;_GBC_240341a3455747bb87ecabf420d94ec5&quot;,&quot;EndName&quot;:&quot;_GBC_490f0d60b8d649c1ac2d5e002412446c&quot;,&quot;CType&quot;:1,&quot;DisplayText&quot;:null}"/>
      <m:item xlName="_GBC_97f637feeea84b2a8c01321339a44c9e" concept="clcid-ci-ar:DanWeiCaiWuFuZhuBenBaoGaoQiShiJiHeXiaoDeYingShouKuanXiangQingKuang" label="单位：财务附注：本报告期实际核销的应收款项情况" selectOptions="_buildInScales" controlType="Combobox" cellType="Scale" appId="_GBC_240341a3455747bb87ecabf420d94ec5"/>
      <m:item xlName="_GBC_1e69e5173e614c0f8dd12c7f988c2a4e" concept="clcid-ci-ar:BiZhongCaiWuFuZhuBenBaoGaoQiShiJiHeXiaoDeYingShouKuanXiangQingKuang" label="币种：财务附注：本报告期实际核销的应收款项情况" selectOptions="_buildInISO4217" controlType="Combobox" cellType="Measure" appId="_GBC_240341a3455747bb87ecabf420d94ec5"/>
      <m:placeholder xlName="_PLD_a3731fe405bb4134af7ad46e8ca83d7e" addr="T0R0C0S1_1"/>
      <m:placeholder xlName="_PLD_1256a8b0b19c4d908f33771c40d2df26" addr="T0R0C1S1_1"/>
      <m:placeholder xlName="_PLD_a4bcad986cfa4d799cf132234e1a09a1" addr="T0R1C0S1_1"/>
      <m:item xlName="_GBC_75883024ee5f41adb8074939efe74280" concept="clcid-pte:YingShouZhangKuanQianKuanChongXiaoHuaiZhangHeJi" label="应收帐款欠款冲销坏帐合计" mulRef="_GBC_97f637feeea84b2a8c01321339a44c9e" unitRef="_GBC_1e69e5173e614c0f8dd12c7f988c2a4e" addr="T0R1C1S1_1" formatStyle="Comma" appId="_GBC_240341a3455747bb87ecabf420d94ec5"/>
      <m:item xlName="_GBC_8a44f02ff52343a08b5e1e48c8b2cb3d" concept="clcid-ci-ar:ShiFouShiYongQiZhongZhongYaoDeYingShouZhangKuanHeXiaoQingKuang" label="是否适用：其中重要的应收账款核销情况" selectOptions="_buildInAppliance" controlType="CustomCheckbox" cRanges="{&quot;StartName&quot;:&quot;_GBC_8a44f02ff52343a08b5e1e48c8b2cb3d&quot;,&quot;EndName&quot;:&quot;_GBC_333b947419654cb188a8a7e042b558b7&quot;,&quot;CType&quot;:1,&quot;DisplayText&quot;:null}"/>
      <m:item xlName="_GBC_c7a04c444409452ca1a8e2a1e7d7b82c" concept="clcid-ci-ar:DanWeiCaiWuFuZhuBenBaoGaoQiZhongYaoDeYingShouZhangKuanHeXiaoQingKuang" label="单位：财务附注：本报告期重要的应收账款核销情况" selectOptions="_buildInScales" controlType="Combobox" cellType="Scale" appId="_GBC_8a44f02ff52343a08b5e1e48c8b2cb3d"/>
      <m:item xlName="_GBC_d5901c5422f147e18c5adac751eda8b8" concept="clcid-ci-ar:BiZhongCaiWuFuZhuBenBaoGaoQiZhongYaoDeYingShouZhangKuanHeXiaoQingKuang" label="币种：财务附注：本报告期重要的应收账款核销情况" selectOptions="_buildInISO4217" controlType="Combobox" cellType="Measure" appId="_GBC_8a44f02ff52343a08b5e1e48c8b2cb3d"/>
      <m:placeholder xlName="_PLD_fc25e599bc7e48638256aa28f0a466c6" addr="T1R0C0S1_1"/>
      <m:placeholder xlName="_PLD_2fd65197ed6446e9a099b93e765d1057" addr="T1R0C1S1_1"/>
      <m:placeholder xlName="_PLD_7222fb7cad6d4fcaa3919f6127705623" addr="T1R0C2S1_1"/>
      <m:placeholder xlName="_PLD_0483ef9b4d184d2e9c5f03e99e5cdd83" addr="T1R0C3S1_1"/>
      <m:placeholder xlName="_PLD_553be060ba9742d3a69af5978afb1f53" addr="T1R0C4S1_1"/>
      <m:placeholder xlName="_PLD_e17ae73cd0b848f0992d559fd3b68e8a" addr="T1R0C5S1_1"/>
      <m:tuple xlName="_GBC_e862522f5fdf4642a156b78a67c471e1" concept="clcid-pte:ZhongYaoDeYingShouZhangKuanHeXiaoMingXi" default_row="2" addr="T1R1C">
        <m:item xlName="_GBC_76b568e7a2814598a88a4ffecae6f9f8" concept="clcid-pte:ZhongYaoDeYingShouZhangKuanHeXiaoMingXiDanWeiMingCheng" label="重要的应收账款核销明细-单位名称" addr="T1R1C0S1_1" appId="_GBC_8a44f02ff52343a08b5e1e48c8b2cb3d"/>
        <m:item xlName="_GBC_9eb684a4ed6d453fa39b37079680c21f" concept="clcid-pte:ZhongYaoDeYingShouZhangKuanHeXiaoMingXiYingShouZhangKuanXingZhi" label="重要的应收账款核销明细-应收账款性质" addr="T1R1C1S1_1" appId="_GBC_8a44f02ff52343a08b5e1e48c8b2cb3d"/>
        <m:item xlName="_GBC_c4d40d7233824133b36ec73c56b0f9e3" concept="clcid-pte:ZhongYaoDeYingShouZhangKuanHeXiaoMingXiHeXiaoJinE" label="重要的应收账款核销明细-核销金额" mulRef="_GBC_c7a04c444409452ca1a8e2a1e7d7b82c" unitRef="_GBC_d5901c5422f147e18c5adac751eda8b8" addr="T1R1C2S1_1" formatStyle="Comma" appId="_GBC_8a44f02ff52343a08b5e1e48c8b2cb3d"/>
        <m:item xlName="_GBC_d52ee8eff3364e92937873aa8d901431" concept="clcid-pte:ZhongYaoDeYingShouZhangKuanHeXiaoMingXiHeXiaoYuanYin" label="重要的应收账款核销明细-核销原因" addr="T1R1C3S1_1" appId="_GBC_8a44f02ff52343a08b5e1e48c8b2cb3d"/>
        <m:item xlName="_GBC_3f77aa517398479a958a1156cc24a215" concept="clcid-pte:ZhongYaoDeYingShouZhangKuanHeXiaoMingXiLvXingDeHeXiaoChengXu" label="重要的应收账款核销明细-履行的核销程序" addr="T1R1C4S1_1" appId="_GBC_8a44f02ff52343a08b5e1e48c8b2cb3d"/>
        <m:item xlName="_GBC_47d46492c7d54e659c891fc15d95a36e" concept="clcid-pte:ZhongYaoDeYingShouZhangKuanHeXiaoMingXiKuanXiangShiFouYinGuanLianJiaoYiChanSheng" label="重要的应收账款核销明细-款项是否因关联交易产生" selectOptions="_buildInYesNo" addr="T1R1C5S1_1" controlType="Combobox" appId="_GBC_8a44f02ff52343a08b5e1e48c8b2cb3d"/>
      </m:tuple>
      <m:placeholder xlName="_PLD_6d9eb18bf471449fa909d9d314987347" addr="T1R3C0S1_1"/>
      <m:item xlName="_GBC_333b947419654cb188a8a7e042b558b7" concept="clcid-pte:ZhongYaoDeYingShouZhangKuanHeXiaoJinEHeJi" label="重要的应收账款核销金额合计" mulRef="_GBC_c7a04c444409452ca1a8e2a1e7d7b82c" unitRef="_GBC_d5901c5422f147e18c5adac751eda8b8" addr="T1R3C2S1_1" formatStyle="Comma" appId="_GBC_8a44f02ff52343a08b5e1e48c8b2cb3d">
        <m:complexRule comparator="Eq" title="重要的应收账款核销金额合计" test=" $_GBC_c4d40d7233824133b36ec73c56b0f9e3" id="C0bbe38a37c274878b4925743f6be5cb6"/>
      </m:item>
      <m:item xlName="_GBC_69824b683b7348d5abc31b2f2e813757" concept="clcid-ci-ar:ShiFouShiYongYingShouZhangKuanHeXiaoShuoMing" label="是否适用：应收账款核销说明" selectOptions="_buildInAppliance" controlType="CustomCheckbox" cRanges="{&quot;StartName&quot;:&quot;_GBC_69824b683b7348d5abc31b2f2e813757&quot;,&quot;EndName&quot;:&quot;_GBC_490f0d60b8d649c1ac2d5e002412446c&quot;,&quot;CType&quot;:1,&quot;DisplayText&quot;:null}"/>
      <m:item xlName="_GBC_490f0d60b8d649c1ac2d5e002412446c" concept="clcid-pte:YingShouZhangKuanChongXiaoHuaiZhangMingXiDeShuoMing" label="应收帐款冲销坏帐明细的说明" appId="_GBC_69824b683b7348d5abc31b2f2e813757"/>
    </m:section>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26f285dee1444697be56ea61bc5c0578" concept="clcid-ci-ar:ShiFouShiYongAnQianKuanFangGuiJiDeQiMoYuEQianWuMingDeYingShouZhangKuanQingKuang" label="是否适用：按欠款方归集的期末余额前五名的应收账款情况" selectOptions="_buildInAppliance" controlType="CustomCheckbox" cRanges="{&quot;StartName&quot;:&quot;_GBC_26f285dee1444697be56ea61bc5c0578&quot;,&quot;EndName&quot;:&quot;_GBC_064b41eb9e58440dace7a84b96b840f2&quot;,&quot;CType&quot;:1,&quot;DisplayText&quot;:null}"/>
      <m:item xlName="_GBC_064b41eb9e58440dace7a84b96b840f2" concept="clcid-pte:AnQianKuanFangGuiJiDeQiMoYuEQianWuMingDeYingShouZhangKuanQingKuangDeShuoMing" label="按欠款方归集的期末余额前五名的应收账款情况的说明" appId="_GBC_26f285dee1444697be56ea61bc5c0578"/>
    </m:section>
    <m:section xlName="_GBC_79d1ccfd87f84b4ab10a992730026aa0" title="因金融资产转移而终止确认的应收账款" rules="R2015_R11_004" helpId="112001045" helpText="注：说明金融资产转移的方式、终止确认的应收款项金额，及与终止确认相关的利得或损失。">
      <m:item xlName="_GBC_49c226ad97e8410fb7b074c9336b510a" concept="clcid-ci-ar:ShiFouShiYongYinJinRongZiChanZhuanYiErZhongZhiQueRenDeYingShouZhangKuan" label="是否适用：因金融资产转移而终止确认的应收账款" selectOptions="_buildInAppliance" controlType="CustomCheckbox" cRanges="{&quot;StartName&quot;:&quot;_GBC_49c226ad97e8410fb7b074c9336b510a&quot;,&quot;EndName&quot;:&quot;_GBC_cf451aeb99634f8594217d17549c435c&quot;,&quot;CType&quot;:1,&quot;DisplayText&quot;:null}"/>
      <m:item xlName="_GBC_cf451aeb99634f8594217d17549c435c" concept="clcid-pte:YinJinRongZiChanZhuanYiErZhongZhiQueRenDeYingShouZhangKuan" label="因金融资产转移而终止确认的应收账款" formatStyle="Comma" appId="_GBC_49c226ad97e8410fb7b074c9336b510a"/>
    </m:section>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item xlName="_GBC_8916c4a80e024e80ab488fe678c14970" concept="clcid-ci-ar:ShiFouShiYongZhuanYiYingShouZhangKuanQieJiXuSheRuXingChengDeZiChanFuZhaiJinE" label="是否适用：转移应收账款且继续涉入形成的资产、负债金额" selectOptions="_buildInAppliance" controlType="CustomCheckbox" cRanges="{&quot;StartName&quot;:&quot;_GBC_8916c4a80e024e80ab488fe678c14970&quot;,&quot;EndName&quot;:&quot;_GBC_d22c2fe4df1d4fc18fed78a1cc9b9863&quot;,&quot;CType&quot;:1,&quot;DisplayText&quot;:null}"/>
      <m:item xlName="_GBC_d22c2fe4df1d4fc18fed78a1cc9b9863" concept="clcid-pte:ZhuanYiYingShouZhangKuanQieJiXuSheRuDeFenXiangLieShiJiXuSheRuXingChengDeZiChanFuZhaiDeJinE" label="转移应收账款且继续涉入的，分项列示继续涉入形成的资产、负债的金额" formatStyle="Comma" appId="_GBC_8916c4a80e024e80ab488fe678c14970"/>
    </m:section>
    <m:section xlName="_GBC_2f38c172c62a46cfa73776efdf952fad" title="应收账款其他说明" rules="R2015_R11_004" helpId="112001045">
      <m:item xlName="_GBC_c06434ba43c5400a80d620a65b730fd9" concept="clcid-ci-ar:ShiFouShiYongYingShouZhangKuanQiTaShuoMing" label="是否适用：应收账款其他说明" selectOptions="_buildInAppliance" controlType="CustomCheckbox" cRanges="{&quot;StartName&quot;:&quot;_GBC_c06434ba43c5400a80d620a65b730fd9&quot;,&quot;EndName&quot;:&quot;_GBC_fdef34fb2bb94049983408541014eaa4&quot;,&quot;CType&quot;:1,&quot;DisplayText&quot;:null}"/>
      <m:item xlName="_GBC_fdef34fb2bb94049983408541014eaa4" concept="clcid-pte:YingShouZhangKuanQiTaShuoMing" label="应收账款其他说明" appId="_GBC_c06434ba43c5400a80d620a65b730fd9"/>
    </m:section>
    <m:section xlName="_SEC_99a20d0771254b5596c992bd0fe179a3" title="应收款项融资" helpId="112002268">
      <m:item xlName="_GBC_b66c8e5d6d6f4ccf9bd0ebfd1f5495e4" concept="clcid-ci-ar:ShiFouShiYongYingShouKuanXiangRongZi" label="是否适用：应收款项融资" selectOptions="_buildInAppliance" controlType="CustomCheckbox" cRanges="[{&quot;StartName&quot;:&quot;_GBC_b66c8e5d6d6f4ccf9bd0ebfd1f5495e4&quot;,&quot;EndName&quot;:&quot;_GBC_5b7567beb0034de1826f334d9dcf5531&quot;,&quot;CType&quot;:1}]"/>
      <m:item xlName="_GBC_5bc18c9963914ad7b56c2f244f484146" concept="clcid-ci-ar:DanWeiYingShouKuanXiangRongZi" label="单位：应收款项融资" selectOptions="_buildInScales" controlType="Combobox" cellType="Scale" appId="_GBC_b66c8e5d6d6f4ccf9bd0ebfd1f5495e4"/>
      <m:item xlName="_GBC_c66a156107084de19a91dcaaa76213c1" concept="clcid-ci-ar:BiZhongYingShouKuanXiangRongZi" label="币种：应收款项融资" selectOptions="_buildInISO4217" controlType="Combobox" cellType="Measure" appId="_GBC_b66c8e5d6d6f4ccf9bd0ebfd1f5495e4"/>
      <m:placeholder xlName="_PLD_82a62891b4b649e48fb460890f28ac36" addr="T0R0C0S1_1"/>
      <m:placeholder xlName="_PLD_0b8617b6950f47bfae07e4496fdde27e" addr="T0R0C1S1_1"/>
      <m:placeholder xlName="_PLD_8c85f1c835d84ebaa8ca21e687181951" addr="T0R0C2S1_1"/>
      <m:tuple xlName="_TUP_a9787d82372c4ec599a760ae032aaf1f" concept="clcid-pte:YingShouKuanXiangRongZiMingXi" default_row="2" addr="T0R1C">
        <m:item xlName="_GBC_7509d242dfdc48acbbd5a4c3d0983de4" concept="clcid-pte:YingShouKuanXiangRongZiZhongLei" label="应收款项融资种类" addr="T0R1C0S1_1" appId="_GBC_b66c8e5d6d6f4ccf9bd0ebfd1f5495e4"/>
        <m:item xlName="_GBC_8e5859c5de5743fea11f004eed4652e6" concept="clcid-pte:YingShouKuanXiangRongZiJinE" label="应收款项融资金额" mulRef="_GBC_5bc18c9963914ad7b56c2f244f484146" unitRef="_GBC_c66a156107084de19a91dcaaa76213c1" addr="T0R1C1S1_1" formatStyle="Comma" appId="_GBC_b66c8e5d6d6f4ccf9bd0ebfd1f5495e4"/>
        <m:item xlName="_GBC_8d09ef8cade8405baa4052403449c29b" concept="clcid-pte:YingShouKuanXiangRongZiJinE" label="应收款项融资金额" periodRef="本期期初数" mulRef="_GBC_5bc18c9963914ad7b56c2f244f484146" unitRef="_GBC_c66a156107084de19a91dcaaa76213c1" addr="T0R1C2S1_1" formatStyle="Comma" appId="_GBC_b66c8e5d6d6f4ccf9bd0ebfd1f5495e4"/>
      </m:tuple>
      <m:placeholder xlName="_PLD_5299295b2978439ba42b441350bea704" addr="T0R3C0S1_1"/>
      <m:item xlName="_GBC_045b7661ac334cbd991aef3927e4f8ae" concept="clcid-pte:YingShouKuanXiangRongZi" label="应收款项融资" mulRef="_GBC_5bc18c9963914ad7b56c2f244f484146" unitRef="_GBC_c66a156107084de19a91dcaaa76213c1" addr="T0R3C1S1_1" formatStyle="Comma" appId="_GBC_b66c8e5d6d6f4ccf9bd0ebfd1f5495e4">
        <m:complexRule comparator="Eq" title="应收款项融资" test="$_GBC_8e5859c5de5743fea11f004eed4652e6" id="C9b738da199314febb5dc36ecf6211d72"/>
      </m:item>
      <m:item xlName="_GBC_b8a62c05e7784c8c88b27e0c7a9bb85f" concept="clcid-pte:YingShouKuanXiangRongZi" label="应收款项融资" periodRef="本期期初数" mulRef="_GBC_5bc18c9963914ad7b56c2f244f484146" unitRef="_GBC_c66a156107084de19a91dcaaa76213c1" addr="T0R3C2S1_1" formatStyle="Comma" appId="_GBC_b66c8e5d6d6f4ccf9bd0ebfd1f5495e4">
        <m:complexRule comparator="Eq" title="应收款项融资@本期期初数" test="$_GBC_8d09ef8cade8405baa4052403449c29b" id="C5e52e940f8994dcfa2735b9eaf623d95"/>
      </m:item>
      <m:item xlName="_GBC_33fc9f304d4f4155ac67028bc1814e26" concept="clcid-ci-ar:ShiFouShiYongYingShouKuanXiangRongZiBenQiZengJianBianDongJiGongYunJiaZhiBianDongQingKuang" label="是否适用：应收款项融资本期增减变动及公允价值变动情况" selectOptions="_buildInAppliance" controlType="CustomCheckbox" cRanges="[{&quot;StartName&quot;:&quot;_GBC_33fc9f304d4f4155ac67028bc1814e26&quot;,&quot;EndName&quot;:&quot;_GBC_559dddc298d649daafb4cfc86fbc3cad&quot;,&quot;CType&quot;:1}]"/>
      <m:item xlName="_GBC_559dddc298d649daafb4cfc86fbc3cad" concept="clcid-pte:YingShouKuanXiangRongZiBenQiZengJianBianDongJiGongYunJiaZhiBianDongQingKuang" label="应收款项融资本期增减变动及公允价值变动情况" appId="_GBC_33fc9f304d4f4155ac67028bc1814e26"/>
      <m:item xlName="_GBC_5a80268d2f0f436786b31f6c461deb07"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5a80268d2f0f436786b31f6c461deb07&quot;,&quot;EndName&quot;:&quot;_GBC_de92e3527de54d27ae4da21e3a37b0b1&quot;,&quot;CType&quot;:1}]"/>
      <m:item xlName="_GBC_de92e3527de54d27ae4da21e3a37b0b1" concept="clcid-pte:YingShouKuanXiangRongZiYuQiXinYongSunShiDeQueDingFangFaJiKuaiJiChuLiFangFa" label="应收款项融资预期信用损失的确定方法及会计处理方法" appId="_GBC_5a80268d2f0f436786b31f6c461deb07"/>
      <m:item xlName="_GBC_79059c75c4ff4f698741d135a33f5c70" concept="clcid-ci-ar:ShiFouShiYongYingShouKuanXiangRongZiQiTaShuoMing" label="是否适用：应收款项融资其他说明" selectOptions="_buildInAppliance" controlType="CustomCheckbox" cRanges="[{&quot;StartName&quot;:&quot;_GBC_79059c75c4ff4f698741d135a33f5c70&quot;,&quot;EndName&quot;:&quot;_GBC_5b7567beb0034de1826f334d9dcf5531&quot;,&quot;CType&quot;:1}]"/>
      <m:item xlName="_GBC_5b7567beb0034de1826f334d9dcf5531" concept="clcid-pte:YingShouKuanXiangRongZiQiTaShuoMing" label="应收款项融资其他说明" appId="_GBC_79059c75c4ff4f698741d135a33f5c70"/>
    </m:section>
    <m:section xlName="_GBC_4c02994d3bd04bacba6592630552e576" title="预付款项按账龄列示" rules="R2015_R11_005" convertSummaryRule="NoConvert" helpId="112001047">
      <m:item xlName="_GBC_af3b3e24767e48f7a70a5cfa609407a2" concept="clcid-ci-ar:ShiFouShiYongYuFuKuanXiangAnZhangLingLieShi" label="是否适用：预付款项按账龄列示" selectOptions="_buildInAppliance" controlType="CustomCheckbox" cRanges="{&quot;StartName&quot;:&quot;_GBC_af3b3e24767e48f7a70a5cfa609407a2&quot;,&quot;EndName&quot;:&quot;_GBC_174a9654172e49e09cdbf18d854fdd51&quot;,&quot;CType&quot;:1,&quot;DisplayText&quot;:null}"/>
      <m:item xlName="_GBC_9eb28bbf7d374cdf965c7e133b610fb3" concept="clcid-ci-ar:DanWeiCaiWuFuZhuYuFuZhangKuanZhangLing" label="单位：财务附注：预付账款账龄" selectOptions="_buildInScales" controlType="Combobox" cellType="Scale" appId="_GBC_af3b3e24767e48f7a70a5cfa609407a2"/>
      <m:item xlName="_GBC_d491347f74764df5af3312ad7a0a92e5" concept="clcid-ci-ar:BiZhongCaiWuFuZhuYuFuZhangKuanZhangLing" label="币种：财务附注：预付账款账龄" selectOptions="_buildInISO4217" controlType="Combobox" cellType="Measure" appId="_GBC_af3b3e24767e48f7a70a5cfa609407a2"/>
      <m:placeholder xlName="_PLD_159a64f22a4a4b1ab31846b4d6034c4c" addr="T0R0C0S2_1"/>
      <m:placeholder xlName="_PLD_6ca82cba92a649d08c6ceb86dd951ef3" addr="T0R0C1S1_2"/>
      <m:placeholder xlName="_PLD_365dab2f8fd246d79543ed0d2e6dcab7" addr="T0R0C3S1_2"/>
      <m:placeholder xlName="_PLD_a9d7b721cfa446e9ae31149380da5970" addr="T0R1C1S1_1"/>
      <m:placeholder xlName="_PLD_2d8b8f523dcd4c95815b7c8fd528129d" addr="T0R1C2S1_1"/>
      <m:placeholder xlName="_PLD_f01816a56b3f4ec1a7d603d3ac318eb1" addr="T0R1C3S1_1"/>
      <m:placeholder xlName="_PLD_55adcab5f9be4d24b3d0faaf5403e89a" addr="T0R1C4S1_1"/>
      <m:placeholder xlName="_PLD_26543d5743964e32ae30d0d46bd6131c" addr="T0R2C0S1_1"/>
      <m:item xlName="_GBC_85ea1b97951e45bcbaeb9723a3ff1cc0" concept="clcid-pte:YuFuZhangKuanYiNianYiNeiHeJi" label="预付帐款一年以内合计" mulRef="_GBC_9eb28bbf7d374cdf965c7e133b610fb3" unitRef="_GBC_d491347f74764df5af3312ad7a0a92e5" addr="T0R2C1S1_1" formatStyle="Comma" appId="_GBC_af3b3e24767e48f7a70a5cfa609407a2"/>
      <m:item xlName="_GBC_8b235830e9864ba5bca3efe05dcbf46a" concept="clcid-pte:YuFuZhangKuanYiNianYiNeiHeJiBiLi" label="预付帐款一年以内合计比例" addr="T0R2C2S1_1" baseScale="0.01" formatStyle="Comma" appId="_GBC_af3b3e24767e48f7a70a5cfa609407a2"/>
      <m:item xlName="_GBC_bbd78862ec444f758f7c1a800e150875" concept="clcid-pte:YuFuZhangKuanYiNianYiNeiHeJi" label="预付帐款一年以内合计" periodRef="本期期初数" mulRef="_GBC_9eb28bbf7d374cdf965c7e133b610fb3" unitRef="_GBC_d491347f74764df5af3312ad7a0a92e5" addr="T0R2C3S1_1" formatStyle="Comma" appId="_GBC_af3b3e24767e48f7a70a5cfa609407a2"/>
      <m:item xlName="_GBC_9846c577c24d4dc096a025306fe6d1fa" concept="clcid-pte:YuFuZhangKuanYiNianYiNeiHeJiBiLi" label="预付帐款一年以内合计比例" periodRef="本期期初数" addr="T0R2C4S1_1" baseScale="0.01" formatStyle="Comma" appId="_GBC_af3b3e24767e48f7a70a5cfa609407a2"/>
      <m:placeholder xlName="_PLD_fa162d7579db4acd997484df51e51de6" addr="T0R3C0S1_1"/>
      <m:item xlName="_GBC_3b2cd7ab40ac45b88f0c487f91f25b2b" concept="clcid-pte:YuFuZhangKuanYiZhiErNianHeJi" label="预付帐款一至二年合计" mulRef="_GBC_9eb28bbf7d374cdf965c7e133b610fb3" unitRef="_GBC_d491347f74764df5af3312ad7a0a92e5" addr="T0R3C1S1_1" formatStyle="Comma" appId="_GBC_af3b3e24767e48f7a70a5cfa609407a2"/>
      <m:item xlName="_GBC_9ee1d875731c44639dc9efc88b64b2a4" concept="clcid-pte:YuFuZhangKuanYiZhiErNianHeJiBiLi" label="预付帐款一至二年合计比例" addr="T0R3C2S1_1" baseScale="0.01" formatStyle="Comma" appId="_GBC_af3b3e24767e48f7a70a5cfa609407a2"/>
      <m:item xlName="_GBC_a2258d9b3e504a289938134354aeae67" concept="clcid-pte:YuFuZhangKuanYiZhiErNianHeJi" label="预付帐款一至二年合计" periodRef="本期期初数" mulRef="_GBC_9eb28bbf7d374cdf965c7e133b610fb3" unitRef="_GBC_d491347f74764df5af3312ad7a0a92e5" addr="T0R3C3S1_1" formatStyle="Comma" appId="_GBC_af3b3e24767e48f7a70a5cfa609407a2"/>
      <m:item xlName="_GBC_b0e6db75a3434d1d93f2a3b9becc8d4d" concept="clcid-pte:YuFuZhangKuanYiZhiErNianHeJiBiLi" label="预付帐款一至二年合计比例" periodRef="本期期初数" addr="T0R3C4S1_1" baseScale="0.01" formatStyle="Comma" appId="_GBC_af3b3e24767e48f7a70a5cfa609407a2"/>
      <m:placeholder xlName="_PLD_43897a3965694d6691fcba6be58bfd88" addr="T0R4C0S1_1"/>
      <m:item xlName="_GBC_5be2d39f1d244a57948cff5295b1d9da" concept="clcid-pte:YuFuZhangKuanErZhiSanNianHeJi" label="预付帐款二至三年合计" mulRef="_GBC_9eb28bbf7d374cdf965c7e133b610fb3" unitRef="_GBC_d491347f74764df5af3312ad7a0a92e5" addr="T0R4C1S1_1" formatStyle="Comma" appId="_GBC_af3b3e24767e48f7a70a5cfa609407a2"/>
      <m:item xlName="_GBC_d90660541cce46f9ac339627cdff3dac" concept="clcid-pte:YuFuZhangKuanErZhiSanNianHeJiBiLi" label="预付帐款二至三年合计比例" addr="T0R4C2S1_1" baseScale="0.01" formatStyle="Comma" appId="_GBC_af3b3e24767e48f7a70a5cfa609407a2"/>
      <m:item xlName="_GBC_f824494c0b1449c0af62f414dd63b575" concept="clcid-pte:YuFuZhangKuanErZhiSanNianHeJi" label="预付帐款二至三年合计" periodRef="本期期初数" mulRef="_GBC_9eb28bbf7d374cdf965c7e133b610fb3" unitRef="_GBC_d491347f74764df5af3312ad7a0a92e5" addr="T0R4C3S1_1" formatStyle="Comma" appId="_GBC_af3b3e24767e48f7a70a5cfa609407a2"/>
      <m:item xlName="_GBC_da339d911f284e67b8980c9f8e0cca60" concept="clcid-pte:YuFuZhangKuanErZhiSanNianHeJiBiLi" label="预付帐款二至三年合计比例" periodRef="本期期初数" addr="T0R4C4S1_1" baseScale="0.01" formatStyle="Comma" appId="_GBC_af3b3e24767e48f7a70a5cfa609407a2"/>
      <m:placeholder xlName="_PLD_bb596048f7e846139c705c6214cec5e4" addr="T0R5C0S1_1"/>
      <m:item xlName="_GBC_a0e54d8bcc89464e801e2c3df5ba9bb3" concept="clcid-pte:YuFuZhangKuanSanNianYiShangHeJi" label="预付帐款三年以上合计" mulRef="_GBC_9eb28bbf7d374cdf965c7e133b610fb3" unitRef="_GBC_d491347f74764df5af3312ad7a0a92e5" addr="T0R5C1S1_1" formatStyle="Comma" appId="_GBC_af3b3e24767e48f7a70a5cfa609407a2"/>
      <m:item xlName="_GBC_c967ec0f31184047b8f683376f1364cc" concept="clcid-pte:YuFuZhangKuanSanNianYiShangHeJiBiLi" label="预付帐款三年以上合计比例" addr="T0R5C2S1_1" baseScale="0.01" formatStyle="Comma" appId="_GBC_af3b3e24767e48f7a70a5cfa609407a2"/>
      <m:item xlName="_GBC_6f427dc5548d4f5ba2b250b026e1bc65" concept="clcid-pte:YuFuZhangKuanSanNianYiShangHeJi" label="预付帐款三年以上合计" periodRef="本期期初数" mulRef="_GBC_9eb28bbf7d374cdf965c7e133b610fb3" unitRef="_GBC_d491347f74764df5af3312ad7a0a92e5" addr="T0R5C3S1_1" formatStyle="Comma" appId="_GBC_af3b3e24767e48f7a70a5cfa609407a2"/>
      <m:item xlName="_GBC_2499693354d64307b01ed9e279b39ece" concept="clcid-pte:YuFuZhangKuanSanNianYiShangHeJiBiLi" label="预付帐款三年以上合计比例" periodRef="本期期初数" addr="T0R5C4S1_1" baseScale="0.01" formatStyle="Comma" appId="_GBC_af3b3e24767e48f7a70a5cfa609407a2"/>
      <m:tuple xlName="_TUP_9793e4461d1544a0abdec0c8f4f296bd" concept="clcid-pte:YuFuKuanXiangAnZhangLingLieShiMingXi" default_row="2" addr="T0R6C">
        <m:item xlName="_GBC_03dbd24e05c245759721b98c404da620" concept="clcid-pte:YuFuKuanXiangAnZhangLingLieShiMingXiZhangLing" label="预付款项按账龄列示明细_账龄" addr="T0R6C0S1_1" appId="_GBC_af3b3e24767e48f7a70a5cfa609407a2"/>
        <m:item xlName="_GBC_c9830bc4b8a64f88a183667d0c92517a" concept="clcid-pte:YuFuKuanXiangAnZhangLingLieShiMingXiJinE" label="预付款项按账龄列示明细_金额" mulRef="_GBC_9eb28bbf7d374cdf965c7e133b610fb3" unitRef="_GBC_d491347f74764df5af3312ad7a0a92e5" addr="T0R6C1S1_1" formatStyle="Comma" appId="_GBC_af3b3e24767e48f7a70a5cfa609407a2"/>
        <m:item xlName="_GBC_15c82b0290b748a2afea85f00d396f57" concept="clcid-pte:YuFuKuanXiangAnZhangLingLieShiMingXiBiLi" label="预付款项按账龄列示明细_比例" addr="T0R6C2S1_1" baseScale="0.01" formatStyle="Comma" appId="_GBC_af3b3e24767e48f7a70a5cfa609407a2"/>
        <m:item xlName="_GBC_20691e0196f843ae8e1c4b42de16f409" concept="clcid-pte:YuFuKuanXiangAnZhangLingLieShiMingXiJinE" label="预付款项按账龄列示明细_金额" periodRef="本期期初数" mulRef="_GBC_9eb28bbf7d374cdf965c7e133b610fb3" unitRef="_GBC_d491347f74764df5af3312ad7a0a92e5" addr="T0R6C3S1_1" formatStyle="Comma" appId="_GBC_af3b3e24767e48f7a70a5cfa609407a2"/>
        <m:item xlName="_GBC_017a6005a71c4f8c9104d614848a3f55" concept="clcid-pte:YuFuKuanXiangAnZhangLingLieShiMingXiBiLi" label="预付款项按账龄列示明细_比例" periodRef="本期期初数" addr="T0R6C4S1_1" baseScale="0.01" formatStyle="Comma" appId="_GBC_af3b3e24767e48f7a70a5cfa609407a2"/>
      </m:tuple>
      <m:placeholder xlName="_PLD_773a38e1adc44faa97354ca876a6da1b" addr="T0R8C0S1_1"/>
      <m:item xlName="_GBC_2913509521a44efcaeedc578ca1a89a0" concept="clcid-pte:YuFuZhangKuanZhangMianYuE" label="预付账款账面余额" mulRef="_GBC_9eb28bbf7d374cdf965c7e133b610fb3" unitRef="_GBC_d491347f74764df5af3312ad7a0a92e5" addr="T0R8C1S1_1" formatStyle="Comma" appId="_GBC_af3b3e24767e48f7a70a5cfa609407a2">
        <m:complexRule comparator="Eq" title="预付帐款" test=" $_GBC_85ea1b97951e45bcbaeb9723a3ff1cc0 +  $_GBC_3b2cd7ab40ac45b88f0c487f91f25b2b +  $_GBC_5be2d39f1d244a57948cff5295b1d9da +  $_GBC_a0e54d8bcc89464e801e2c3df5ba9bb3 +  $_GBC_c9830bc4b8a64f88a183667d0c92517a" id="C448b6e5149134e7fa76774656f075f00"/>
      </m:item>
      <m:item xlName="_GBC_5bbf1eb9ecd945b3abeacd1bb23d1367" concept="clcid-pte:YuFuZhangKuanHeJiBiLi" label="预付帐款合计比例" addr="T0R8C2S1_1" baseScale="0.01" formatStyle="Comma" appId="_GBC_af3b3e24767e48f7a70a5cfa609407a2"/>
      <m:item xlName="_GBC_dd4e96c34ece407c96496e85e3e7e23c" concept="clcid-pte:YuFuZhangKuanZhangMianYuE" label="预付账款账面余额" periodRef="本期期初数" mulRef="_GBC_9eb28bbf7d374cdf965c7e133b610fb3" unitRef="_GBC_d491347f74764df5af3312ad7a0a92e5" addr="T0R8C3S1_1" formatStyle="Comma" appId="_GBC_af3b3e24767e48f7a70a5cfa609407a2">
        <m:complexRule comparator="Eq" title="预付帐款@本期期初数" test=" $_GBC_bbd78862ec444f758f7c1a800e150875 +  $_GBC_a2258d9b3e504a289938134354aeae67 +  $_GBC_f824494c0b1449c0af62f414dd63b575 +  $_GBC_6f427dc5548d4f5ba2b250b026e1bc65 +  $_GBC_20691e0196f843ae8e1c4b42de16f409" id="C4e1d359e24cd401f858048cd2b57dbb8"/>
      </m:item>
      <m:item xlName="_GBC_b3506b01d1554356a9d40423e3881ba8" concept="clcid-pte:YuFuZhangKuanHeJiBiLi" label="预付帐款合计比例" periodRef="本期期初数" addr="T0R8C4S1_1" baseScale="0.01" formatStyle="Comma" appId="_GBC_af3b3e24767e48f7a70a5cfa609407a2"/>
      <m:item xlName="_GBC_174a9654172e49e09cdbf18d854fdd51" concept="clcid-pte:ZhangLingChaoGuoNianQieJinEZhongYaoDeYuFuKuanXiangWeiJiShiJieSuanYuanYinDeShuoMing" label="账龄超过1年且金额重要的预付款项未及时结算原因的说明" appId="_GBC_af3b3e24767e48f7a70a5cfa609407a2"/>
    </m:section>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a1864f04af6d49bdb434d74a7f29f8c3" concept="clcid-ci-ar:ShiFouShiYongAnYuFuDuiXiangGuiJiDeQiMoYuEQianWuMingDeYuFuKuanQingKuang" label="是否适用：按预付对象归集的期末余额前五名的预付款情况" selectOptions="_buildInAppliance" controlType="CustomCheckbox" cRanges="{&quot;StartName&quot;:&quot;_GBC_a1864f04af6d49bdb434d74a7f29f8c3&quot;,&quot;EndName&quot;:&quot;_GBC_e2f1aa285f174786838e4fcd54656fec&quot;,&quot;CType&quot;:1,&quot;DisplayText&quot;:null}"/>
      <m:item xlName="_GBC_e2f1aa285f174786838e4fcd54656fec" concept="clcid-pte:AnYuFuDuiXiangGuiJiDeQiMoYuEQianWuMingDeYuFuKuanQingKuangDeShuoMing" label="按预付对象归集的期末余额前五名的预付款情况的说明" appId="_GBC_a1864f04af6d49bdb434d74a7f29f8c3"/>
    </m:section>
    <m:section xlName="_GBC_ee9bedfa5e5340c9b02fb474f1a1fc26" title="预付款项的说明" rules="R2015_R11_005" convertSummaryRule="NoConvert" helpId="112001047">
      <m:item xlName="_GBC_c712ee6483d44c77b1f563e552689c6d" concept="clcid-ci-ar:ShiFouShiYongYuFuZhangKuanDeShuoMing" label="是否适用：预付帐款的说明" selectOptions="_buildInAppliance" controlType="CustomCheckbox" cRanges="{&quot;StartName&quot;:&quot;_GBC_c712ee6483d44c77b1f563e552689c6d&quot;,&quot;EndName&quot;:&quot;_GBC_9cd4dbf3da3b458c92ffc167d6c097d5&quot;,&quot;CType&quot;:1,&quot;DisplayText&quot;:null}"/>
      <m:item xlName="_GBC_9cd4dbf3da3b458c92ffc167d6c097d5" concept="clcid-pte:YuFuZhangKuanDeShuoMing" label="预付帐款的说明" appId="_GBC_c712ee6483d44c77b1f563e552689c6d"/>
    </m:section>
    <m:section xlName="_SEC_440b8bdb86984dd89d750fdd7845fe71" title="分类列示">
      <m:item xlName="_GBC_23e3e9ad53624abaaa00fc7f7c24842a" concept="clcid-ci-ar:ShiFouShiYongQiTaYingShouKuanFenLeiLieShi" label="是否适用：其他应收款分类列示" selectOptions="_buildInAppliance" controlType="CustomCheckbox" cRanges="[{&quot;StartName&quot;:&quot;_GBC_23e3e9ad53624abaaa00fc7f7c24842a&quot;,&quot;EndName&quot;:&quot;_GBC_663f1ecf18ef4daaada66501c665c6bf&quot;,&quot;CType&quot;:1}]"/>
      <m:item xlName="_GBC_b73f89c776a341249ed520fe726b4db9" concept="clcid-ci-ar:DanWeiQiTaYingShouKuanFenLeiLieShi" label="单位：其他应收款分类列示" selectOptions="_buildInScales" controlType="Combobox" cellType="Scale" appId="_GBC_23e3e9ad53624abaaa00fc7f7c24842a"/>
      <m:item xlName="_GBC_a23554f2403346ea97b8fb1ef551ebe4" concept="clcid-ci-ar:BiZhongQiTaYingShouKuanFenLeiLieShi" label="币种：其他应收款分类列示" selectOptions="_buildInISO4217" controlType="Combobox" cellType="Measure" appId="_GBC_23e3e9ad53624abaaa00fc7f7c24842a"/>
      <m:placeholder xlName="_PLD_3b049b9a7f344665a70a23c402afbda5" addr="T0R0C0S1_1"/>
      <m:placeholder xlName="_PLD_550a4ba0fb444ea69297bd36780a7618" addr="T0R0C1S1_1"/>
      <m:placeholder xlName="_PLD_d58c3f70487c440b99a9f440a2d57d1e" addr="T0R0C2S1_1"/>
      <m:placeholder xlName="_PLD_6a77c21d56bf4de7bfea2b3078ae9e86" addr="T0R1C0S1_1"/>
      <m:item xlName="_GBC_4f19f9abd8fc43a4b4b714848eca5e3e" concept="clcid-pte:YingShouLiXi" label="应收利息" mulRef="_GBC_b73f89c776a341249ed520fe726b4db9" unitRef="_GBC_a23554f2403346ea97b8fb1ef551ebe4" addr="T0R1C1S1_1" formatStyle="Comma" appId="_GBC_23e3e9ad53624abaaa00fc7f7c24842a"/>
      <m:item xlName="_GBC_8e24c5f9fe084eaca0bb91940a0f93bd" concept="clcid-pte:YingShouLiXi" label="应收利息" periodRef="本期期初数" mulRef="_GBC_b73f89c776a341249ed520fe726b4db9" unitRef="_GBC_a23554f2403346ea97b8fb1ef551ebe4" addr="T0R1C2S1_1" formatStyle="Comma" appId="_GBC_23e3e9ad53624abaaa00fc7f7c24842a"/>
      <m:placeholder xlName="_PLD_d5542663fde44485b06eb5b2144b7f62" addr="T0R2C0S1_1"/>
      <m:item xlName="_GBC_2c7acc7cec0b453c922c3c8db91c3f4d" concept="clcid-pte:YingShouGuLi" label="应收股利" mulRef="_GBC_b73f89c776a341249ed520fe726b4db9" unitRef="_GBC_a23554f2403346ea97b8fb1ef551ebe4" addr="T0R2C1S1_1" formatStyle="Comma" appId="_GBC_23e3e9ad53624abaaa00fc7f7c24842a"/>
      <m:item xlName="_GBC_a0d4783ad0994428a2071797375ff307" concept="clcid-pte:YingShouGuLi" label="应收股利" periodRef="本期期初数" mulRef="_GBC_b73f89c776a341249ed520fe726b4db9" unitRef="_GBC_a23554f2403346ea97b8fb1ef551ebe4" addr="T0R2C2S1_1" formatStyle="Comma" appId="_GBC_23e3e9ad53624abaaa00fc7f7c24842a"/>
      <m:placeholder xlName="_PLD_fadacacf8b7d4e10a081b5eae54fea6b" addr="T0R3C0S1_1" helpText="此处的其他应收款指扣除应收利息、应收股利后的其他应收款"/>
      <m:item xlName="_GBC_2f388a15975249f49f88bde1403f7198" concept="clcid-pte:QiTaYingShouKuanZhangMianJiaZhiHeJi" label="其他应收款账面价值合计" mulRef="_GBC_b73f89c776a341249ed520fe726b4db9" unitRef="_GBC_a23554f2403346ea97b8fb1ef551ebe4" addr="T0R3C1S1_1" formatStyle="Comma" helpText="此处的其他应收款指扣除应收利息、应收股利后的其他应收款" appId="_GBC_23e3e9ad53624abaaa00fc7f7c24842a"/>
      <m:item xlName="_GBC_2bbd8f3e88c24cfeb4712b541f0fef16" concept="clcid-pte:QiTaYingShouKuanZhangMianJiaZhiHeJi" label="其他应收款账面价值合计" periodRef="本期期初数" mulRef="_GBC_b73f89c776a341249ed520fe726b4db9" unitRef="_GBC_a23554f2403346ea97b8fb1ef551ebe4" addr="T0R3C2S1_1" formatStyle="Comma" helpText="此处的其他应收款指扣除应收利息、应收股利后的其他应收款" appId="_GBC_23e3e9ad53624abaaa00fc7f7c24842a"/>
      <m:placeholder xlName="_PLD_7fcd8f78599a4d76a92c6bed7b01aa27" addr="T0R4C0S1_1"/>
      <m:item xlName="_GBC_d91b3f687d904ad6a8b1d8d5dba5e5ac" concept="clcid-pte:QiTaYingShouKuan" label="其他应收款" mulRef="_GBC_b73f89c776a341249ed520fe726b4db9" unitRef="_GBC_a23554f2403346ea97b8fb1ef551ebe4" addr="T0R4C1S1_1" formatStyle="Comma" appId="_GBC_23e3e9ad53624abaaa00fc7f7c24842a">
        <m:complexRule comparator="Eq" title="其他应收款" test=" $_GBC_4f19f9abd8fc43a4b4b714848eca5e3e +  $_GBC_2c7acc7cec0b453c922c3c8db91c3f4d +  $_GBC_2f388a15975249f49f88bde1403f7198" id="C22958b8587de472583ca1423d69c6cd9"/>
      </m:item>
      <m:item xlName="_GBC_5feeaac85c174229b7c5e6019ec9d8fb" concept="clcid-pte:QiTaYingShouKuan" label="其他应收款" periodRef="本期期初数" mulRef="_GBC_b73f89c776a341249ed520fe726b4db9" unitRef="_GBC_a23554f2403346ea97b8fb1ef551ebe4" addr="T0R4C2S1_1" formatStyle="Comma" appId="_GBC_23e3e9ad53624abaaa00fc7f7c24842a">
        <m:complexRule comparator="Eq" title="其他应收款@本期期初数" test=" $_GBC_8e24c5f9fe084eaca0bb91940a0f93bd +  $_GBC_a0d4783ad0994428a2071797375ff307 +  $_GBC_2bbd8f3e88c24cfeb4712b541f0fef16" id="C3104b32a56f8408a87effd2a5ad1b0a7"/>
      </m:item>
      <m:item xlName="_GBC_73a4089b33094d13b0ea7c9bf8cfb58f" concept="clcid-ci-ar:ShiFouShiYongQiTaYingShouKuanQiTaShuoMing" label="是否适用：其他应收款分类列示其他说明" selectOptions="_buildInAppliance" controlType="CustomCheckbox" cRanges="[{&quot;StartName&quot;:&quot;_GBC_73a4089b33094d13b0ea7c9bf8cfb58f&quot;,&quot;EndName&quot;:&quot;_GBC_663f1ecf18ef4daaada66501c665c6bf&quot;,&quot;CType&quot;:1}]"/>
      <m:item xlName="_GBC_663f1ecf18ef4daaada66501c665c6bf" concept="clcid-pte:QiTaYingShouKuanFenLeiLieShiQiTaShuoMing" label="其他应收款分类列示其他说明" appId="_GBC_73a4089b33094d13b0ea7c9bf8cfb58f"/>
    </m:section>
    <m:section xlName="_GBC_6620e2366b444b3fb9e784e1bb6a87fd" title="应收利息" convertSummaryRule="NoConvert" helpId="112001049">
      <m:item xlName="_GBC_86f9e9a81d7d4e07ae6873a88ddf6cc7" concept="clcid-ci-ar:ShiFouShiYongYingShouLiXiFenLei" label="是否适用：应收利息分类" selectOptions="_buildInAppliance" controlType="CustomCheckbox" cRanges="{&quot;StartName&quot;:&quot;_GBC_86f9e9a81d7d4e07ae6873a88ddf6cc7&quot;,&quot;EndName&quot;:&quot;_GBC_337b9ef05bfd45f3abdb75660ec6f663&quot;,&quot;CType&quot;:1,&quot;DisplayText&quot;:null}"/>
      <m:item xlName="_GBC_81846eacbc9946ddbec2bf905b374235" concept="clcid-ci-ar:DanWeiCaiWuFuZhuYingShouLiXi" label="单位：财务附注：应收利息" selectOptions="_buildInScales" controlType="Combobox" cellType="Scale" appId="_GBC_86f9e9a81d7d4e07ae6873a88ddf6cc7"/>
      <m:item xlName="_GBC_54a3d4a928194383b5465e034945e1cc" concept="clcid-ci-ar:BiZhongCaiWuFuZhuYingShouLiXi" label="币种：财务附注：应收利息" selectOptions="_buildInISO4217" controlType="Combobox" cellType="Measure" appId="_GBC_86f9e9a81d7d4e07ae6873a88ddf6cc7"/>
      <m:placeholder xlName="_PLD_d85221ba8492478e88a450d14d1130bb" addr="T0R0C0S1_1"/>
      <m:placeholder xlName="_PLD_7bbe528e96ef48d6be1d6728953af334" addr="T0R0C1S1_1"/>
      <m:placeholder xlName="_PLD_e6cbc7c171bd4286ad1e7578ffc41372" addr="T0R0C2S1_1"/>
      <m:placeholder xlName="_PLD_89dfa7b84fc24b898915c86633e379eb" addr="T0R1C0S1_1"/>
      <m:item xlName="_GBC_40e00165dbd240aabddd21020dc1be8c" concept="clcid-pte:DingQiCunKuanYingShouLiXi" label="定期存款应收利息" mulRef="_GBC_81846eacbc9946ddbec2bf905b374235" unitRef="_GBC_54a3d4a928194383b5465e034945e1cc" addr="T0R1C1S1_1" formatStyle="Comma" appId="_GBC_86f9e9a81d7d4e07ae6873a88ddf6cc7"/>
      <m:item xlName="_GBC_bfc239e93deb421b909951a4ba2a0b7b" concept="clcid-pte:DingQiCunKuanYingShouLiXi" label="定期存款应收利息" periodRef="本期期初数" mulRef="_GBC_81846eacbc9946ddbec2bf905b374235" unitRef="_GBC_54a3d4a928194383b5465e034945e1cc" addr="T0R1C2S1_1" formatStyle="Comma" appId="_GBC_86f9e9a81d7d4e07ae6873a88ddf6cc7"/>
      <m:placeholder xlName="_PLD_e67d7dc553194ed798b8bbbc642de222" addr="T0R2C0S1_1"/>
      <m:item xlName="_GBC_baad85dae4f248b5b692cbe4be7d60d9" concept="clcid-pte:WeiTuoDaiKuanYingShouLiXi" label="委托贷款应收利息" mulRef="_GBC_81846eacbc9946ddbec2bf905b374235" unitRef="_GBC_54a3d4a928194383b5465e034945e1cc" addr="T0R2C1S1_1" formatStyle="Comma" appId="_GBC_86f9e9a81d7d4e07ae6873a88ddf6cc7"/>
      <m:item xlName="_GBC_9f7a74fc98fb4ef094c9565162d0d107" concept="clcid-pte:WeiTuoDaiKuanYingShouLiXi" label="委托贷款应收利息" periodRef="本期期初数" mulRef="_GBC_81846eacbc9946ddbec2bf905b374235" unitRef="_GBC_54a3d4a928194383b5465e034945e1cc" addr="T0R2C2S1_1" formatStyle="Comma" appId="_GBC_86f9e9a81d7d4e07ae6873a88ddf6cc7"/>
      <m:placeholder xlName="_PLD_25b9546d321b4ba98582653bb58a569c" addr="T0R3C0S1_1"/>
      <m:item xlName="_GBC_4c40357cf2234d6d8acc2e0eb99e153d" concept="clcid-pte:ZhaiQuanTouZiYingShouLiXi" label="债券投资应收利息" mulRef="_GBC_81846eacbc9946ddbec2bf905b374235" unitRef="_GBC_54a3d4a928194383b5465e034945e1cc" addr="T0R3C1S1_1" formatStyle="Comma" appId="_GBC_86f9e9a81d7d4e07ae6873a88ddf6cc7"/>
      <m:item xlName="_GBC_85c4d9ee85a54c5aa7845507ffdb80d5" concept="clcid-pte:ZhaiQuanTouZiYingShouLiXi" label="债券投资应收利息" periodRef="本期期初数" mulRef="_GBC_81846eacbc9946ddbec2bf905b374235" unitRef="_GBC_54a3d4a928194383b5465e034945e1cc" addr="T0R3C2S1_1" formatStyle="Comma" appId="_GBC_86f9e9a81d7d4e07ae6873a88ddf6cc7"/>
      <m:tuple xlName="_GBC_6559a149b13647de85819b99395240fb" concept="clcid-pte:YingShouLiXiMingXi" default_row="2" addr="T0R4C">
        <m:item xlName="_GBC_9030efc80e2c4e3a80ab10d792269369" concept="clcid-pte:YingShouLiXiXiangMu" label="应收利息项目" addr="T0R4C0S1_1" appId="_GBC_86f9e9a81d7d4e07ae6873a88ddf6cc7"/>
        <m:item xlName="_GBC_d93f0a0dbc16432794075116c01fba3d" concept="clcid-pte:YingShouLiXiJinE" label="应收利息金额" mulRef="_GBC_81846eacbc9946ddbec2bf905b374235" unitRef="_GBC_54a3d4a928194383b5465e034945e1cc" addr="T0R4C1S1_1" formatStyle="Comma" appId="_GBC_86f9e9a81d7d4e07ae6873a88ddf6cc7"/>
        <m:item xlName="_GBC_62d6b023b09d47288505bf830370497b" concept="clcid-pte:YingShouLiXiJinE" label="应收利息金额" periodRef="本期期初数" mulRef="_GBC_81846eacbc9946ddbec2bf905b374235" unitRef="_GBC_54a3d4a928194383b5465e034945e1cc" addr="T0R4C2S1_1" formatStyle="Comma" appId="_GBC_86f9e9a81d7d4e07ae6873a88ddf6cc7"/>
      </m:tuple>
      <m:placeholder xlName="_PLD_04fe1c3dc87c434280704eb31ff818d1" addr="T0R6C0S1_1"/>
      <m:item xlName="_GBC_9fa4443fb62b4a518a879f17bab011ee" concept="clcid-pte:YingShouLiXi" label="应收利息" mulRef="_GBC_81846eacbc9946ddbec2bf905b374235" unitRef="_GBC_54a3d4a928194383b5465e034945e1cc" addr="T0R6C1S1_1" formatStyle="Comma" appId="_GBC_86f9e9a81d7d4e07ae6873a88ddf6cc7">
        <m:complexRule comparator="Eq" title="一年以上应收未收的应收利息合计" test=" $_GBC_40e00165dbd240aabddd21020dc1be8c +  $_GBC_baad85dae4f248b5b692cbe4be7d60d9 +  $_GBC_4c40357cf2234d6d8acc2e0eb99e153d +  $_GBC_d93f0a0dbc16432794075116c01fba3d" id="C9a65e095236e42f3a428fa5c060ed37e"/>
      </m:item>
      <m:item xlName="_GBC_337b9ef05bfd45f3abdb75660ec6f663" concept="clcid-pte:YingShouLiXi" label="应收利息" periodRef="本期期初数" mulRef="_GBC_81846eacbc9946ddbec2bf905b374235" unitRef="_GBC_54a3d4a928194383b5465e034945e1cc" addr="T0R6C2S1_1" formatStyle="Comma" appId="_GBC_86f9e9a81d7d4e07ae6873a88ddf6cc7">
        <m:complexRule comparator="Eq" title="一年以上应收未收的应收利息合计@本期期初数" test=" $_GBC_bfc239e93deb421b909951a4ba2a0b7b +  $_GBC_9f7a74fc98fb4ef094c9565162d0d107 +  $_GBC_85c4d9ee85a54c5aa7845507ffdb80d5 +  $_GBC_62d6b023b09d47288505bf830370497b" id="Cbc4fc28a173c4e2a8c1c25b087442e73"/>
      </m:item>
    </m:section>
    <m:section xlName="_GBC_bcfcff19f55a43f988e9223dca0728dc" title="逾期利息" convertSummaryRule="NoConvert" helpId="112001049">
      <m:item xlName="_GBC_4554f307ef2241a583829b74df8ef0c3" concept="clcid-ci-ar:ShiFouShiYongZhongYaoYuQiLiXi" label="是否适用：重要逾期利息" selectOptions="_buildInAppliance" controlType="CustomCheckbox" cRanges="{&quot;StartName&quot;:&quot;_GBC_4554f307ef2241a583829b74df8ef0c3&quot;,&quot;EndName&quot;:&quot;_GBC_4ee1adf0b7f446868cf1841fce254ead&quot;,&quot;CType&quot;:1,&quot;DisplayText&quot;:null}"/>
      <m:item xlName="_GBC_a266c360b41d4df2bdd1b6d3bf8287eb" concept="clcid-ci-ar:DanWeiCaiWuFuZhuYuQiLiXi" label="单位：财务附注：逾期利息" selectOptions="_buildInScales" controlType="Combobox" cellType="Scale" appId="_GBC_4554f307ef2241a583829b74df8ef0c3"/>
      <m:item xlName="_GBC_5236ccf1a3b9418992e22f19966fd556" concept="clcid-ci-ar:BiZhongCaiWuFuZhuYuQiLiXi" label="币种：财务附注：逾期利息" selectOptions="_buildInISO4217" controlType="Combobox" cellType="Measure" appId="_GBC_4554f307ef2241a583829b74df8ef0c3"/>
      <m:placeholder xlName="_PLD_e409d75aa490480782fe8110d431b129" addr="T0R0C0S1_1"/>
      <m:placeholder xlName="_PLD_aacc48ef386e469090fa74e04b9a748c" addr="T0R0C1S1_1"/>
      <m:placeholder xlName="_PLD_70492dd0a5f046aebe223601ff2d0d6e" addr="T0R0C2S1_1"/>
      <m:placeholder xlName="_PLD_e8ae8941f466442184849a080c63cc28" addr="T0R0C3S1_1"/>
      <m:placeholder xlName="_PLD_cd4526cf81274c078743ffb53f0d123d" addr="T0R0C4S1_1"/>
      <m:tuple xlName="_GBC_fc7dcbf56a4c49449bf7173b7e285c8a" concept="clcid-pte:YuQiLiXiMingXi" default_row="2" addr="T0R1C">
        <m:item xlName="_GBC_e9ebce5f961f44428aea440e409e1ae7" concept="clcid-pte:YuQiLiXiMingXiDaiKuanDanWei" label="逾期利息明细-贷款单位" addr="T0R1C0S1_1" appId="_GBC_4554f307ef2241a583829b74df8ef0c3"/>
        <m:item xlName="_GBC_670cc8123a3f4bc486c3d0042133f46c" concept="clcid-pte:YuQiLiXiMingXiJinE" label="逾期利息明细-金额" mulRef="_GBC_a266c360b41d4df2bdd1b6d3bf8287eb" unitRef="_GBC_5236ccf1a3b9418992e22f19966fd556" addr="T0R1C1S1_1" formatStyle="Comma" appId="_GBC_4554f307ef2241a583829b74df8ef0c3"/>
        <m:item xlName="_GBC_9141d303d6324da998780dd53483a50b" concept="clcid-pte:YuQiLiXiMingXiYuQiShiJian" label="逾期利息明细-逾期时间" addr="T0R1C2S1_1" appId="_GBC_4554f307ef2241a583829b74df8ef0c3" keyAction="38"/>
        <m:item xlName="_GBC_a6036079e41a41a3b473569597defc7e" concept="clcid-pte:YuQiLiXiMingXiYuQiYuanYin" label="逾期利息明细-逾期原因" addr="T0R1C3S1_1" appId="_GBC_4554f307ef2241a583829b74df8ef0c3"/>
        <m:item xlName="_GBC_dd361338f7384970b31bfe033922010f" concept="clcid-pte:YuQiLiXiMingXiShiFouFaShengJianZhiJiQiPanDuanYiJu" label="逾期利息明细-是否发生减值及其判断依据" addr="T0R1C4S1_1" appId="_GBC_4554f307ef2241a583829b74df8ef0c3"/>
      </m:tuple>
      <m:placeholder xlName="_PLD_f6905780579a48e782f0d758443e8d1e" addr="T0R3C0S1_1"/>
      <m:item xlName="_GBC_4ee1adf0b7f446868cf1841fce254ead" concept="clcid-pte:YuQiLiXiJinEHeJi" label="逾期利息金额合计" mulRef="_GBC_a266c360b41d4df2bdd1b6d3bf8287eb" unitRef="_GBC_5236ccf1a3b9418992e22f19966fd556" addr="T0R3C1S1_1" formatStyle="Comma" appId="_GBC_4554f307ef2241a583829b74df8ef0c3">
        <m:complexRule comparator="Eq" title="逾期利息金额合计" test=" $_GBC_670cc8123a3f4bc486c3d0042133f46c" id="C1743b68c4a0a4e3f94dcff344fc69df9"/>
      </m:item>
    </m:section>
    <m:section xlName="_SEC_61c56552057346dd98026d659f25d3ef" title="坏账准备计提情况">
      <m:item xlName="_GBC_2081adab30854417bcfae25caae8c9f9" concept="clcid-ci-ar:ShiFouShiYongYingShouLiXiHuaiZhangZhunBeiTiaoJieBiao" label="是否适用：应收利息坏账准备调节表" selectOptions="_buildInAppliance" controlType="CustomCheckbox" cRanges="[{&quot;StartName&quot;:&quot;_GBC_2081adab30854417bcfae25caae8c9f9&quot;,&quot;EndName&quot;:&quot;_GBC_a37fe551f9984adfb55d3a57c74e8df2&quot;,&quot;CType&quot;:1}]"/>
      <m:item xlName="_GBC_029fdfe6fdb94f37830a19a4ec6d6e3b" concept="clcid-ci-ar:DanWeiYingShouLiXiHuaiZhangZhunBeiTiaoJieBiao" label="单位：应收利息坏账准备调节表" selectOptions="_buildInScales" controlType="Combobox" cellType="Scale" appId="_GBC_2081adab30854417bcfae25caae8c9f9"/>
      <m:item xlName="_GBC_b236c94c56b6495c883f85d7c0ce7f46" concept="clcid-ci-ar:BiZhongYingShouLiXiHuaiZhangZhunBeiTiaoJieBiao" label="币种：应收利息坏账准备调节表" selectOptions="_buildInISO4217" controlType="Combobox" cellType="Measure" appId="_GBC_2081adab30854417bcfae25caae8c9f9"/>
      <m:placeholder xlName="_PLD_35f7794ad07646e2b8dec2cc7b145cc4" addr="T0R0C0S2_1"/>
      <m:placeholder xlName="_PLD_e883cf3ce2a144b1b646121ec60533d5" addr="T0R0C1S1_1"/>
      <m:placeholder xlName="_PLD_f80a70535be74c44a60325e2f244a55b" addr="T0R0C2S1_1"/>
      <m:placeholder xlName="_PLD_a274bafe62154aee8620ac55a338ec8a" addr="T0R0C3S1_1"/>
      <m:placeholder xlName="_PLD_b3e120e7f20945e588a6f2b4a7b9e374" addr="T0R0C4S2_1"/>
      <m:placeholder xlName="_PLD_e16851a75cf944759436bb7953ad98c7" addr="T0R1C1S1_1"/>
      <m:placeholder xlName="_PLD_c6213a74c7b74d3fab0bc0c84778d2b0" addr="T0R1C2S1_1"/>
      <m:placeholder xlName="_PLD_6c03ee9edc7b4f73b2d8ff6f0520645f" addr="T0R1C3S1_1"/>
      <m:placeholder xlName="_PLD_0b8a0f7af32249c9aeb40fa5589ffd80" addr="T0R2C0S1_1"/>
      <m:item xlName="_GBC_2f189ee7fa664a1ea08670a9befd28b0" concept="clcid-pte:YingShouLiXiHuaiZhangZhunBeiDiYiJieDuan" label="应收利息坏账准备（第一阶段）" periodRef="本期期初数" mulRef="_GBC_029fdfe6fdb94f37830a19a4ec6d6e3b" unitRef="_GBC_b236c94c56b6495c883f85d7c0ce7f46" addr="T0R2C1S1_1" formatStyle="Comma" appId="_GBC_2081adab30854417bcfae25caae8c9f9"/>
      <m:item xlName="_GBC_b9d4a536d7d245d18cb1bd597aac4a1f" concept="clcid-pte:YingShouLiXiHuaiZhangZhunBeiDiErJieDuan" label="应收利息坏账准备（第二阶段）" periodRef="本期期初数" mulRef="_GBC_029fdfe6fdb94f37830a19a4ec6d6e3b" unitRef="_GBC_b236c94c56b6495c883f85d7c0ce7f46" addr="T0R2C2S1_1" formatStyle="Comma" appId="_GBC_2081adab30854417bcfae25caae8c9f9"/>
      <m:item xlName="_GBC_841f04bf3ef14cb3b9f8ef89e96f11d4" concept="clcid-pte:YingShouLiXiHuaiZhangZhunBeiDiSanJieDuan" label="应收利息坏账准备（第三阶段）" periodRef="本期期初数" mulRef="_GBC_029fdfe6fdb94f37830a19a4ec6d6e3b" unitRef="_GBC_b236c94c56b6495c883f85d7c0ce7f46" addr="T0R2C3S1_1" formatStyle="Comma" appId="_GBC_2081adab30854417bcfae25caae8c9f9"/>
      <m:item xlName="_GBC_f00fab4efbff4fa8a1fdb279d3c153ee" concept="clcid-pte:YingShouLiXiHuaiZhangZhunBei" label="应收利息坏账准备" periodRef="本期期初数" mulRef="_GBC_029fdfe6fdb94f37830a19a4ec6d6e3b" unitRef="_GBC_b236c94c56b6495c883f85d7c0ce7f46" addr="T0R2C4S1_1" formatStyle="Comma" appId="_GBC_2081adab30854417bcfae25caae8c9f9"/>
      <m:placeholder xlName="_PLD_15b9e30be07b41659992835091348121" addr="T0R3C0S1_1"/>
      <m:item xlName="_GBC_781f8d5be4984bc2aefcf7a1368aceda" concept="clcid-pte:YingShouLiXiHuaiZhangZhunBeiBenQiZhuanRuHuoZhuanHuiDiYiJieDuan" label="应收利息坏账准备本期转入或转回（第一阶段）" mulRef="_GBC_029fdfe6fdb94f37830a19a4ec6d6e3b" unitRef="_GBC_b236c94c56b6495c883f85d7c0ce7f46" addr="T0R3C1S1_1" formatStyle="Comma" appId="_GBC_2081adab30854417bcfae25caae8c9f9"/>
      <m:item xlName="_GBC_888196542e914265923bebfd7befa08b" concept="clcid-pte:YingShouLiXiHuaiZhangZhunBeiBenQiZhuanRuHuoZhuanHuiDiErJieDuan" label="应收利息坏账准备本期转入或转回（第二阶段）" mulRef="_GBC_029fdfe6fdb94f37830a19a4ec6d6e3b" unitRef="_GBC_b236c94c56b6495c883f85d7c0ce7f46" addr="T0R3C2S1_1" formatStyle="Comma" appId="_GBC_2081adab30854417bcfae25caae8c9f9"/>
      <m:item xlName="_GBC_fc89df8e877a4ec4a7c40f2c52ef795d" concept="clcid-pte:YingShouLiXiHuaiZhangZhunBeiBenQiZhuanRuHuoZhuanHuiDiSanJieDuan" label="应收利息坏账准备本期转入或转回（第三阶段）" mulRef="_GBC_029fdfe6fdb94f37830a19a4ec6d6e3b" unitRef="_GBC_b236c94c56b6495c883f85d7c0ce7f46" addr="T0R3C3S1_1" formatStyle="Comma" appId="_GBC_2081adab30854417bcfae25caae8c9f9"/>
      <m:item xlName="_GBC_e4d8a3402acb41caaa437d4af06b2bcf" concept="clcid-pte:YingShouLiXiHuaiZhangZhunBeiBenQiZhuanRuHuoZhuanHuiJieDuanHeJi" label="应收利息坏账准备本期转入或转回阶段合计" mulRef="_GBC_029fdfe6fdb94f37830a19a4ec6d6e3b" unitRef="_GBC_b236c94c56b6495c883f85d7c0ce7f46" addr="T0R3C4S1_1" formatStyle="Comma" appId="_GBC_2081adab30854417bcfae25caae8c9f9"/>
      <m:placeholder xlName="_PLD_2d953110b7064abba43b3d1b094e0717" addr="T0R4C0S1_1"/>
      <m:item xlName="_GBC_5d275789c4c548cb9863cf916c7a611b" concept="clcid-pte:YingShouLiXiHuaiZhangZhunBeiBenQiZhuanRuDiErJieDuanDiYiJieDuan" label="应收利息坏账准备本期转入第二阶段（第一阶段）" mulRef="_GBC_029fdfe6fdb94f37830a19a4ec6d6e3b" unitRef="_GBC_b236c94c56b6495c883f85d7c0ce7f46" addr="T0R4C1S1_1" formatStyle="Comma" appId="_GBC_2081adab30854417bcfae25caae8c9f9"/>
      <m:item xlName="_GBC_d254df10649c45689c8cc36aca329a31" concept="clcid-pte:YingShouLiXiHuaiZhangZhunBeiBenQiZhuanRuDiErJieDuanDiErJieDuan" label="应收利息坏账准备本期转入第二阶段（第二阶段）" mulRef="_GBC_029fdfe6fdb94f37830a19a4ec6d6e3b" unitRef="_GBC_b236c94c56b6495c883f85d7c0ce7f46" addr="T0R4C2S1_1" formatStyle="Comma" appId="_GBC_2081adab30854417bcfae25caae8c9f9"/>
      <m:item xlName="_GBC_dc1ec51d05d942398bb3f0e41611354e" concept="clcid-pte:YingShouLiXiHuaiZhangZhunBeiBenQiZhuanRuDiErJieDuanDiSanJieDuan" label="应收利息坏账准备本期转入第二阶段（第三阶段）" mulRef="_GBC_029fdfe6fdb94f37830a19a4ec6d6e3b" unitRef="_GBC_b236c94c56b6495c883f85d7c0ce7f46" addr="T0R4C3S1_1" formatStyle="Comma" appId="_GBC_2081adab30854417bcfae25caae8c9f9"/>
      <m:item xlName="_GBC_d802ebc581084ac1a9e0e5591256a004" concept="clcid-pte:YingShouLiXiHuaiZhangZhunBeiBenQiZhuanRuDiErJieDuanJieDuanHeJi" label="应收利息坏账准备本期转入第二阶段阶段合计" mulRef="_GBC_029fdfe6fdb94f37830a19a4ec6d6e3b" unitRef="_GBC_b236c94c56b6495c883f85d7c0ce7f46" addr="T0R4C4S1_1" formatStyle="Comma" appId="_GBC_2081adab30854417bcfae25caae8c9f9"/>
      <m:placeholder xlName="_PLD_4b78045a5ac240e2bda270a6dbc77a26" addr="T0R5C0S1_1"/>
      <m:item xlName="_GBC_d6bb6fcbf6544614a65b8b7346f1a168" concept="clcid-pte:YingShouLiXiHuaiZhangZhunBeiBenQiZhuanRuDiSanJieDuanDiYiJieDuan" label="应收利息坏账准备本期转入第三阶段（第一阶段）" mulRef="_GBC_029fdfe6fdb94f37830a19a4ec6d6e3b" unitRef="_GBC_b236c94c56b6495c883f85d7c0ce7f46" addr="T0R5C1S1_1" formatStyle="Comma" appId="_GBC_2081adab30854417bcfae25caae8c9f9"/>
      <m:item xlName="_GBC_8f67a2a74eb648db97002606047c682c" concept="clcid-pte:YingShouLiXiHuaiZhangZhunBeiBenQiZhuanRuDiSanJieDuanDiErJieDuan" label="应收利息坏账准备本期转入第三阶段（第二阶段）" mulRef="_GBC_029fdfe6fdb94f37830a19a4ec6d6e3b" unitRef="_GBC_b236c94c56b6495c883f85d7c0ce7f46" addr="T0R5C2S1_1" formatStyle="Comma" appId="_GBC_2081adab30854417bcfae25caae8c9f9"/>
      <m:item xlName="_GBC_bb99a86003cf41e493f82ee1afe708bf" concept="clcid-pte:YingShouLiXiHuaiZhangZhunBeiBenQiZhuanRuDiSanJieDuanDiSanJieDuan" label="应收利息坏账准备本期转入第三阶段（第三阶段）" mulRef="_GBC_029fdfe6fdb94f37830a19a4ec6d6e3b" unitRef="_GBC_b236c94c56b6495c883f85d7c0ce7f46" addr="T0R5C3S1_1" formatStyle="Comma" appId="_GBC_2081adab30854417bcfae25caae8c9f9"/>
      <m:item xlName="_GBC_945a0ee3f68b42c49eac404c8d9f2807" concept="clcid-pte:YingShouLiXiHuaiZhangZhunBeiBenQiZhuanRuDiSanJieDuanJieDuanHeJi" label="应收利息坏账准备本期转入第三阶段阶段合计" mulRef="_GBC_029fdfe6fdb94f37830a19a4ec6d6e3b" unitRef="_GBC_b236c94c56b6495c883f85d7c0ce7f46" addr="T0R5C4S1_1" formatStyle="Comma" appId="_GBC_2081adab30854417bcfae25caae8c9f9"/>
      <m:placeholder xlName="_PLD_bbeb194f727b424d878c1e168542c0ea" addr="T0R6C0S1_1"/>
      <m:item xlName="_GBC_cb2ab3df7c3b4da2ab3b3b275f74f9f6" concept="clcid-pte:YingShouLiXiHuaiZhangZhunBeiBenQiZhuanHuiDiErJieDuanDiYiJieDuan" label="应收利息坏账准备本期转回第二阶段（第一阶段）" mulRef="_GBC_029fdfe6fdb94f37830a19a4ec6d6e3b" unitRef="_GBC_b236c94c56b6495c883f85d7c0ce7f46" addr="T0R6C1S1_1" formatStyle="Comma" appId="_GBC_2081adab30854417bcfae25caae8c9f9"/>
      <m:item xlName="_GBC_51fffb02721847deb5a6dd19ec6cf9d2" concept="clcid-pte:YingShouLiXiHuaiZhangZhunBeiBenQiZhuanHuiDiErJieDuanDiErJieDuan" label="应收利息坏账准备本期转回第二阶段（第二阶段）" mulRef="_GBC_029fdfe6fdb94f37830a19a4ec6d6e3b" unitRef="_GBC_b236c94c56b6495c883f85d7c0ce7f46" addr="T0R6C2S1_1" formatStyle="Comma" appId="_GBC_2081adab30854417bcfae25caae8c9f9"/>
      <m:item xlName="_GBC_6de53714de37403680cc74f0dbe54b6a" concept="clcid-pte:YingShouLiXiHuaiZhangZhunBeiBenQiZhuanHuiDiErJieDuanDiSanJieDuan" label="应收利息坏账准备本期转回第二阶段（第三阶段）" mulRef="_GBC_029fdfe6fdb94f37830a19a4ec6d6e3b" unitRef="_GBC_b236c94c56b6495c883f85d7c0ce7f46" addr="T0R6C3S1_1" formatStyle="Comma" appId="_GBC_2081adab30854417bcfae25caae8c9f9"/>
      <m:item xlName="_GBC_c3922fef314c490fb10d77487ba9aa04" concept="clcid-pte:YingShouLiXiHuaiZhangZhunBeiBenQiZhuanHuiDiErJieDuanJieDuanHeJi" label="应收利息坏账准备本期转回第二阶段阶段合计" mulRef="_GBC_029fdfe6fdb94f37830a19a4ec6d6e3b" unitRef="_GBC_b236c94c56b6495c883f85d7c0ce7f46" addr="T0R6C4S1_1" formatStyle="Comma" appId="_GBC_2081adab30854417bcfae25caae8c9f9"/>
      <m:placeholder xlName="_PLD_0826036ac82d4d6397480b074ff03af3" addr="T0R7C0S1_1"/>
      <m:item xlName="_GBC_f558f717321d4f51bf934659fb731a5f" concept="clcid-pte:YingShouLiXiHuaiZhangZhunBeiBenQiZhuanHuiDiYiJieDuanDiYiJieDuan" label="应收利息坏账准备本期转回第一阶段（第一阶段）" mulRef="_GBC_029fdfe6fdb94f37830a19a4ec6d6e3b" unitRef="_GBC_b236c94c56b6495c883f85d7c0ce7f46" addr="T0R7C1S1_1" formatStyle="Comma" appId="_GBC_2081adab30854417bcfae25caae8c9f9"/>
      <m:item xlName="_GBC_50c2a407ee9247fc95c7f14ea3263cdc" concept="clcid-pte:YingShouLiXiHuaiZhangZhunBeiBenQiZhuanHuiDiYiJieDuanDiErJieDuan" label="应收利息坏账准备本期转回第一阶段（第二阶段）" mulRef="_GBC_029fdfe6fdb94f37830a19a4ec6d6e3b" unitRef="_GBC_b236c94c56b6495c883f85d7c0ce7f46" addr="T0R7C2S1_1" formatStyle="Comma" appId="_GBC_2081adab30854417bcfae25caae8c9f9"/>
      <m:item xlName="_GBC_7515234efb3d46629278f419a13bdf34" concept="clcid-pte:YingShouLiXiHuaiZhangZhunBeiBenQiZhuanHuiDiYiJieDuanDiSanJieDuan" label="应收利息坏账准备本期转回第一阶段（第三阶段）" mulRef="_GBC_029fdfe6fdb94f37830a19a4ec6d6e3b" unitRef="_GBC_b236c94c56b6495c883f85d7c0ce7f46" addr="T0R7C3S1_1" formatStyle="Comma" appId="_GBC_2081adab30854417bcfae25caae8c9f9"/>
      <m:item xlName="_GBC_bb43f2d31b344c5da274cbb35e773c1a" concept="clcid-pte:YingShouLiXiHuaiZhangZhunBeiBenQiZhuanHuiDiYiJieDuanJieDuanHeJi" label="应收利息坏账准备本期转回第一阶段阶段合计" mulRef="_GBC_029fdfe6fdb94f37830a19a4ec6d6e3b" unitRef="_GBC_b236c94c56b6495c883f85d7c0ce7f46" addr="T0R7C4S1_1" formatStyle="Comma" appId="_GBC_2081adab30854417bcfae25caae8c9f9"/>
      <m:placeholder xlName="_PLD_5497328fc7d44b728c78470d25cae912" addr="T0R8C0S1_1"/>
      <m:item xlName="_GBC_103a76ce3b81482991bd16e274ea9310" concept="clcid-pte:YingShouLiXiHuaiZhangZhunBeiBenQiXinZengJiTiDiYiJieDuan" label="应收利息坏账准备本期新增计提（第一阶段）" mulRef="_GBC_029fdfe6fdb94f37830a19a4ec6d6e3b" unitRef="_GBC_b236c94c56b6495c883f85d7c0ce7f46" addr="T0R8C1S1_1" formatStyle="Comma" appId="_GBC_2081adab30854417bcfae25caae8c9f9"/>
      <m:item xlName="_GBC_a83e32c25ed6485d933dae7c914a43f6" concept="clcid-pte:YingShouLiXiHuaiZhangZhunBeiBenQiXinZengJiTiDiErJieDuan" label="应收利息坏账准备本期新增计提（第二阶段）" mulRef="_GBC_029fdfe6fdb94f37830a19a4ec6d6e3b" unitRef="_GBC_b236c94c56b6495c883f85d7c0ce7f46" addr="T0R8C2S1_1" formatStyle="Comma" appId="_GBC_2081adab30854417bcfae25caae8c9f9"/>
      <m:item xlName="_GBC_9ea1da04892648369c798e9817a329d1" concept="clcid-pte:YingShouLiXiHuaiZhangZhunBeiBenQiXinZengJiTiDiSanJieDuan" label="应收利息坏账准备本期新增计提（第三阶段）" mulRef="_GBC_029fdfe6fdb94f37830a19a4ec6d6e3b" unitRef="_GBC_b236c94c56b6495c883f85d7c0ce7f46" addr="T0R8C3S1_1" formatStyle="Comma" appId="_GBC_2081adab30854417bcfae25caae8c9f9"/>
      <m:item xlName="_GBC_bac0b8421c04423d8f6da21695896603" concept="clcid-pte:YingShouLiXiHuaiZhangZhunBeiBenQiXinZengJiTiJieDuanHeJi" label="应收利息坏账准备本期新增计提阶段合计" mulRef="_GBC_029fdfe6fdb94f37830a19a4ec6d6e3b" unitRef="_GBC_b236c94c56b6495c883f85d7c0ce7f46" addr="T0R8C4S1_1" formatStyle="Comma" appId="_GBC_2081adab30854417bcfae25caae8c9f9"/>
      <m:placeholder xlName="_PLD_2624fcf7914f412e9eebc086e2ac7505" addr="T0R9C0S1_1"/>
      <m:item xlName="_GBC_d8831f80b6a94e3ab18726cb1b89cd4e" concept="clcid-pte:YingShouLiXiHuaiZhangZhunBeiBenQiZhuanHuiDiYiJieDuan" label="应收利息坏账准备本期转回（第一阶段）" mulRef="_GBC_029fdfe6fdb94f37830a19a4ec6d6e3b" unitRef="_GBC_b236c94c56b6495c883f85d7c0ce7f46" addr="T0R9C1S1_1" formatStyle="Comma" appId="_GBC_2081adab30854417bcfae25caae8c9f9"/>
      <m:item xlName="_GBC_8e269d956bcd4e1cb7172ce5fe58c15c" concept="clcid-pte:YingShouLiXiHuaiZhangZhunBeiBenQiZhuanHuiDiErJieDuan" label="应收利息坏账准备本期转回（第二阶段）" mulRef="_GBC_029fdfe6fdb94f37830a19a4ec6d6e3b" unitRef="_GBC_b236c94c56b6495c883f85d7c0ce7f46" addr="T0R9C2S1_1" formatStyle="Comma" appId="_GBC_2081adab30854417bcfae25caae8c9f9"/>
      <m:item xlName="_GBC_76578313c6cb4dbba4c7e478e8df0662" concept="clcid-pte:YingShouLiXiHuaiZhangZhunBeiBenQiZhuanHuiDiSanJieDuan" label="应收利息坏账准备本期转回（第三阶段）" mulRef="_GBC_029fdfe6fdb94f37830a19a4ec6d6e3b" unitRef="_GBC_b236c94c56b6495c883f85d7c0ce7f46" addr="T0R9C3S1_1" formatStyle="Comma" appId="_GBC_2081adab30854417bcfae25caae8c9f9"/>
      <m:item xlName="_GBC_9ca56029a8094787a8a128ae81d5e8bd" concept="clcid-pte:YingShouLiXiHuaiZhangZhunBeiBenQiZhuanHuiJieDuanHeJi" label="应收利息坏账准备本期转回阶段合计" mulRef="_GBC_029fdfe6fdb94f37830a19a4ec6d6e3b" unitRef="_GBC_b236c94c56b6495c883f85d7c0ce7f46" addr="T0R9C4S1_1" formatStyle="Comma" appId="_GBC_2081adab30854417bcfae25caae8c9f9"/>
      <m:placeholder xlName="_PLD_bb643df1d02c431c82d8c2fe303f7a1e" addr="T0R10C0S1_1"/>
      <m:item xlName="_GBC_8ff9c2485c9d466098e9a3b3d5390654" concept="clcid-pte:YingShouLiXiHuaiZhangZhunBeiBenQiZhuanXiaoDiYiJieDuan" label="应收利息坏账准备本期转销（第一阶段）" mulRef="_GBC_029fdfe6fdb94f37830a19a4ec6d6e3b" unitRef="_GBC_b236c94c56b6495c883f85d7c0ce7f46" addr="T0R10C1S1_1" formatStyle="Comma" appId="_GBC_2081adab30854417bcfae25caae8c9f9"/>
      <m:item xlName="_GBC_0f626203d74342ef80c77f210188b88a" concept="clcid-pte:YingShouLiXiHuaiZhangZhunBeiBenQiZhuanXiaoDiErJieDuan" label="应收利息坏账准备本期转销（第二阶段）" mulRef="_GBC_029fdfe6fdb94f37830a19a4ec6d6e3b" unitRef="_GBC_b236c94c56b6495c883f85d7c0ce7f46" addr="T0R10C2S1_1" formatStyle="Comma" appId="_GBC_2081adab30854417bcfae25caae8c9f9"/>
      <m:item xlName="_GBC_f5f7a39504d344d99813c9e5631208d9" concept="clcid-pte:YingShouLiXiHuaiZhangZhunBeiBenQiZhuanXiaoDiSanJieDuan" label="应收利息坏账准备本期转销（第三阶段）" mulRef="_GBC_029fdfe6fdb94f37830a19a4ec6d6e3b" unitRef="_GBC_b236c94c56b6495c883f85d7c0ce7f46" addr="T0R10C3S1_1" formatStyle="Comma" appId="_GBC_2081adab30854417bcfae25caae8c9f9"/>
      <m:item xlName="_GBC_aad5998916384baca0f356450782b5bb" concept="clcid-pte:YingShouLiXiHuaiZhangZhunBeiBenQiZhuanXiaoJieDuanHeJi" label="应收利息坏账准备本期转销阶段合计" mulRef="_GBC_029fdfe6fdb94f37830a19a4ec6d6e3b" unitRef="_GBC_b236c94c56b6495c883f85d7c0ce7f46" addr="T0R10C4S1_1" formatStyle="Comma" appId="_GBC_2081adab30854417bcfae25caae8c9f9"/>
      <m:placeholder xlName="_PLD_334d848db4ba4c47ad9fc2fc3db468ce" addr="T0R11C0S1_1"/>
      <m:item xlName="_GBC_bb44227d2408490583bb208cf6cec76d" concept="clcid-pte:YingShouLiXiHuaiZhangZhunBeiBenQiHeXiaoDiYiJieDuan" label="应收利息坏账准备本期核销（第一阶段）" mulRef="_GBC_029fdfe6fdb94f37830a19a4ec6d6e3b" unitRef="_GBC_b236c94c56b6495c883f85d7c0ce7f46" addr="T0R11C1S1_1" formatStyle="Comma" appId="_GBC_2081adab30854417bcfae25caae8c9f9"/>
      <m:item xlName="_GBC_875040360dc24e1b82cc30ff7e69af6d" concept="clcid-pte:YingShouLiXiHuaiZhangZhunBeiBenQiHeXiaoDiErJieDuan" label="应收利息坏账准备本期核销（第二阶段）" mulRef="_GBC_029fdfe6fdb94f37830a19a4ec6d6e3b" unitRef="_GBC_b236c94c56b6495c883f85d7c0ce7f46" addr="T0R11C2S1_1" formatStyle="Comma" appId="_GBC_2081adab30854417bcfae25caae8c9f9"/>
      <m:item xlName="_GBC_a7081e639c4c47a09a6f519763ed9ede" concept="clcid-pte:YingShouLiXiHuaiZhangZhunBeiBenQiHeXiaoDiSanJieDuan" label="应收利息坏账准备本期核销（第三阶段）" mulRef="_GBC_029fdfe6fdb94f37830a19a4ec6d6e3b" unitRef="_GBC_b236c94c56b6495c883f85d7c0ce7f46" addr="T0R11C3S1_1" formatStyle="Comma" appId="_GBC_2081adab30854417bcfae25caae8c9f9"/>
      <m:item xlName="_GBC_e93b45ef212e438fba7f1ad6604df1db" concept="clcid-pte:YingShouLiXiHuaiZhangZhunBeiBenQiHeXiaoJieDuanHeJi" label="应收利息坏账准备本期核销阶段合计" mulRef="_GBC_029fdfe6fdb94f37830a19a4ec6d6e3b" unitRef="_GBC_b236c94c56b6495c883f85d7c0ce7f46" addr="T0R11C4S1_1" formatStyle="Comma" appId="_GBC_2081adab30854417bcfae25caae8c9f9"/>
      <m:placeholder xlName="_PLD_26f703e433fb40048bc6c6f3e7afecf7" addr="T0R12C0S1_1"/>
      <m:item xlName="_GBC_faa44200d9694f818bb557bbac6228d3" concept="clcid-pte:YingShouLiXiHuaiZhangZhunBeiBenQiQiTaBianDongDiYiJieDuan" label="应收利息坏账准备本期其他变动（第一阶段）" mulRef="_GBC_029fdfe6fdb94f37830a19a4ec6d6e3b" unitRef="_GBC_b236c94c56b6495c883f85d7c0ce7f46" addr="T0R12C1S1_1" formatStyle="Comma" appId="_GBC_2081adab30854417bcfae25caae8c9f9"/>
      <m:item xlName="_GBC_11e68f26689349f084eff680c852f456" concept="clcid-pte:YingShouLiXiHuaiZhangZhunBeiBenQiQiTaBianDongDiErJieDuan" label="应收利息坏账准备本期其他变动（第二阶段）" mulRef="_GBC_029fdfe6fdb94f37830a19a4ec6d6e3b" unitRef="_GBC_b236c94c56b6495c883f85d7c0ce7f46" addr="T0R12C2S1_1" formatStyle="Comma" appId="_GBC_2081adab30854417bcfae25caae8c9f9"/>
      <m:item xlName="_GBC_468157af13c3486c9ce6215c6253775c" concept="clcid-pte:YingShouLiXiHuaiZhangZhunBeiBenQiQiTaBianDongDiSanJieDuan" label="应收利息坏账准备本期其他变动（第三阶段）" mulRef="_GBC_029fdfe6fdb94f37830a19a4ec6d6e3b" unitRef="_GBC_b236c94c56b6495c883f85d7c0ce7f46" addr="T0R12C3S1_1" formatStyle="Comma" appId="_GBC_2081adab30854417bcfae25caae8c9f9"/>
      <m:item xlName="_GBC_3f51e7e3a339426d8e9bff565ffa896c" concept="clcid-pte:YingShouLiXiHuaiZhangZhunBeiBenQiQiTaBianDongJieDuanHeJi" label="应收利息坏账准备本期其他变动阶段合计" mulRef="_GBC_029fdfe6fdb94f37830a19a4ec6d6e3b" unitRef="_GBC_b236c94c56b6495c883f85d7c0ce7f46" addr="T0R12C4S1_1" formatStyle="Comma" appId="_GBC_2081adab30854417bcfae25caae8c9f9"/>
      <m:placeholder xlName="_PLD_e664946c0e804caea06f3a6093de615e" addr="T0R13C0S1_1"/>
      <m:item xlName="_GBC_784ee81c8a5f41e0816c95ccd983f73f" concept="clcid-pte:YingShouLiXiHuaiZhangZhunBeiDiYiJieDuan" label="应收利息坏账准备（第一阶段）" mulRef="_GBC_029fdfe6fdb94f37830a19a4ec6d6e3b" unitRef="_GBC_b236c94c56b6495c883f85d7c0ce7f46" addr="T0R13C1S1_1" formatStyle="Comma" appId="_GBC_2081adab30854417bcfae25caae8c9f9"/>
      <m:item xlName="_GBC_0cba9fa101954d53910a824d4374c984" concept="clcid-pte:YingShouLiXiHuaiZhangZhunBeiDiErJieDuan" label="应收利息坏账准备（第二阶段）" mulRef="_GBC_029fdfe6fdb94f37830a19a4ec6d6e3b" unitRef="_GBC_b236c94c56b6495c883f85d7c0ce7f46" addr="T0R13C2S1_1" formatStyle="Comma" appId="_GBC_2081adab30854417bcfae25caae8c9f9"/>
      <m:item xlName="_GBC_26ce076257c84395b89c88d36a399d0c" concept="clcid-pte:YingShouLiXiHuaiZhangZhunBeiDiSanJieDuan" label="应收利息坏账准备（第三阶段）" mulRef="_GBC_029fdfe6fdb94f37830a19a4ec6d6e3b" unitRef="_GBC_b236c94c56b6495c883f85d7c0ce7f46" addr="T0R13C3S1_1" formatStyle="Comma" appId="_GBC_2081adab30854417bcfae25caae8c9f9"/>
      <m:item xlName="_GBC_716d36d2b0864eafa3bf28ba18677154" concept="clcid-pte:YingShouLiXiHuaiZhangZhunBei" label="应收利息坏账准备" mulRef="_GBC_029fdfe6fdb94f37830a19a4ec6d6e3b" unitRef="_GBC_b236c94c56b6495c883f85d7c0ce7f46" addr="T0R13C4S1_1" formatStyle="Comma" appId="_GBC_2081adab30854417bcfae25caae8c9f9"/>
      <m:item xlName="_GBC_06212035a995413bb30f5bc9832a5f29"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6212035a995413bb30f5bc9832a5f29&quot;,&quot;EndName&quot;:&quot;_GBC_a37fe551f9984adfb55d3a57c74e8df2&quot;,&quot;CType&quot;:1}]"/>
      <m:item xlName="_GBC_a37fe551f9984adfb55d3a57c74e8df2" concept="clcid-pte:YingShouLiXiBenQiFaShengSunShiZhunBeiBianDongQieZhangMianYuEXianZhuBianDongDeQingKuangShuoMing" label="应收利息本期发生损失准备变动且账面余额显著变动的情况说明" appId="_GBC_06212035a995413bb30f5bc9832a5f29"/>
    </m:section>
    <m:section xlName="_GBC_0dc3bcd06a754f79952657ba82acdc9f" title="应收利息的说明" helpId="112001049">
      <m:item xlName="_GBC_9fcbab94f58048baace4761ca17ae925" concept="clcid-ci-ar:ShiFouShiYongYingShouLiXiDeShuoMing" label="是否适用：应收利息的说明" selectOptions="_buildInAppliance" controlType="CustomCheckbox" cRanges="{&quot;StartName&quot;:&quot;_GBC_9fcbab94f58048baace4761ca17ae925&quot;,&quot;EndName&quot;:&quot;_GBC_b73db34e93ca409bb09e43022b677330&quot;,&quot;CType&quot;:1,&quot;DisplayText&quot;:null}"/>
      <m:item xlName="_GBC_b73db34e93ca409bb09e43022b677330" concept="clcid-pte:YingShouLiXiDeShuoMing" label="应收利息的说明" appId="_GBC_9fcbab94f58048baace4761ca17ae925"/>
    </m:section>
    <m:section xlName="_GBC_94a22362634d47499fd45a0a5577c49b" title="应收股利" helpId="112001050">
      <m:item xlName="_GBC_002b8ba295db406eb34a179aa27a4801" concept="clcid-ci-ar:ShiFouShiYongYingShouGuLi" label="是否适用：应收股利" selectOptions="_buildInAppliance" controlType="CustomCheckbox" cRanges="{&quot;StartName&quot;:&quot;_GBC_002b8ba295db406eb34a179aa27a4801&quot;,&quot;EndName&quot;:&quot;_GBC_7ecfad51f0b64aedaa56099a2168a21f&quot;,&quot;CType&quot;:1,&quot;DisplayText&quot;:null}"/>
      <m:item xlName="_GBC_21cf7178837042889094b06d89cb1845" concept="clcid-ci-ar:DanWeiCaiWuFuZhuYingShouGuLi" label="单位：财务附注：应收股利" selectOptions="_buildInScales" controlType="Combobox" cellType="Scale" appId="_GBC_002b8ba295db406eb34a179aa27a4801"/>
      <m:item xlName="_GBC_d4486348b4bd4056afd97c6bb061623e" concept="clcid-ci-ar:BiZhongCaiWuFuZhuYingShouGuLi" label="币种：财务附注：应收股利" selectOptions="_buildInISO4217" controlType="Combobox" cellType="Measure" appId="_GBC_002b8ba295db406eb34a179aa27a4801"/>
      <m:placeholder xlName="_PLD_a240773011804aa5a4245c98b5f473de" addr="T0R0C0S1_1"/>
      <m:placeholder xlName="_PLD_cadc07ed6f504e63b41def670f3c2338" addr="T0R0C1S1_1"/>
      <m:placeholder xlName="_PLD_33c992e918b546739aa3d8a0d43ef633" addr="T0R0C2S1_1"/>
      <m:tuple xlName="_GBC_dd589831432e474f9c53c063c7fff9a0" concept="clcid-pte:YingShouGuLiMingXi" default_row="2" addr="T0R1C">
        <m:item xlName="_GBC_a58406f1fe44443c87e3c6a752936ec0" concept="clcid-pte:YingShouGuLiXiangMu" label="应收股利项目" addr="T0R1C0S1_1" appId="_GBC_002b8ba295db406eb34a179aa27a4801"/>
        <m:item xlName="_GBC_53d661cd85994c3bb4e84d5e03279192" concept="clcid-pte:YingShouGuLiJinE" label="应收股利金额" mulRef="_GBC_21cf7178837042889094b06d89cb1845" unitRef="_GBC_d4486348b4bd4056afd97c6bb061623e" addr="T0R1C1S1_1" formatStyle="Comma" appId="_GBC_002b8ba295db406eb34a179aa27a4801"/>
        <m:item xlName="_GBC_e487495f15744da3ace6b2afcbc0829e" concept="clcid-pte:YingShouGuLiJinE" label="应收股利金额" periodRef="本期期初数" mulRef="_GBC_21cf7178837042889094b06d89cb1845" unitRef="_GBC_d4486348b4bd4056afd97c6bb061623e" addr="T0R1C2S1_1" formatStyle="Comma" appId="_GBC_002b8ba295db406eb34a179aa27a4801"/>
      </m:tuple>
      <m:placeholder xlName="_PLD_77e2b3c101c64b05b2e3a7d9f730cf25" addr="T0R3C0S1_1"/>
      <m:item xlName="_GBC_5b48e8862567445ba12d58fd2d463eba" concept="clcid-pte:YingShouGuLi" label="应收股利" mulRef="_GBC_21cf7178837042889094b06d89cb1845" unitRef="_GBC_d4486348b4bd4056afd97c6bb061623e" addr="T0R3C1S1_1" formatStyle="Comma" appId="_GBC_002b8ba295db406eb34a179aa27a4801">
        <m:complexRule comparator="Eq" title="应收股利" test=" $_GBC_53d661cd85994c3bb4e84d5e03279192" id="C726fe3d191cd4eaeaae2b5a53b10cee5"/>
      </m:item>
      <m:item xlName="_GBC_7ecfad51f0b64aedaa56099a2168a21f" concept="clcid-pte:YingShouGuLi" label="应收股利" periodRef="本期期初数" mulRef="_GBC_21cf7178837042889094b06d89cb1845" unitRef="_GBC_d4486348b4bd4056afd97c6bb061623e" addr="T0R3C2S1_1" formatStyle="Comma" appId="_GBC_002b8ba295db406eb34a179aa27a4801">
        <m:complexRule comparator="Eq" title="应收股利@本期期初数" test=" $_GBC_e487495f15744da3ace6b2afcbc0829e" id="Cf87cc33ec6704b1bbf18db38aac404c0"/>
      </m:item>
    </m:section>
    <m:section xlName="_GBC_aafe0f2583ac4a35a029d834ee52b5de" title="应收股利" convertSummaryRule="NoConvert" helpId="112001050">
      <m:item xlName="_GBC_9aa7ef4a3c0c40638901a5b7f6224231" concept="clcid-ci-ar:ShiFouShiYongZhongYaoDeZhangLingChaoGuoNianDeYingShouGuLi" label="是否适用：重要的账龄超过1年的应收股利" selectOptions="_buildInAppliance" controlType="CustomCheckbox" cRanges="{&quot;StartName&quot;:&quot;_GBC_9aa7ef4a3c0c40638901a5b7f6224231&quot;,&quot;EndName&quot;:&quot;_GBC_e7b6bc8c271741e084f4e18009907947&quot;,&quot;CType&quot;:1,&quot;DisplayText&quot;:null}"/>
      <m:item xlName="_GBC_f08fb2c53aeb449bb75e121ee3aeca9c" concept="clcid-ci-ar:DanWeiCaiWuFuZhuZhongYaoDeZhangLingChaoGuoNianDeYingShouGuLi" label="单位：财务附注：重要的账龄超过1年的应收股利" selectOptions="_buildInScales" controlType="Combobox" cellType="Scale" appId="_GBC_9aa7ef4a3c0c40638901a5b7f6224231"/>
      <m:item xlName="_GBC_bd52ead6e46444738b8ef3b24c67296e" concept="clcid-ci-ar:BiZhongCaiWuFuZhuZhongYaoDeZhangLingChaoGuoNianDeYingShouGuLi" label="币种：财务附注：重要的账龄超过1年的应收股利" selectOptions="_buildInISO4217" controlType="Combobox" cellType="Measure" appId="_GBC_9aa7ef4a3c0c40638901a5b7f6224231"/>
      <m:placeholder xlName="_PLD_54325778de824e9297cb1c149c22dd25" addr="T0R0C0S1_1"/>
      <m:placeholder xlName="_PLD_3c6fcc2eeb2e43f884e135de407bf935" addr="T0R0C1S1_1"/>
      <m:placeholder xlName="_PLD_5753b571b76c4818b08432ac4b75a19b" addr="T0R0C2S1_1"/>
      <m:placeholder xlName="_PLD_0152ee4fb8ae4030adfa916347591a85" addr="T0R0C3S1_1"/>
      <m:placeholder xlName="_PLD_3bb7e6ec4cc148b7a30573dbbf2a2707" addr="T0R0C4S1_1"/>
      <m:tuple xlName="_GBC_2137fb8977e54f3ab2ae84c7670881b1" concept="clcid-pte:ZhangLingYiNianYiShangDeYingShouGuLiMingXi" default_row="2" addr="T0R1C">
        <m:item xlName="_GBC_e22dadf572f94f1391b8d30d21471338" concept="clcid-pte:ZhangLingYiNianYiShangDeYingShouGuLiMingXiXiangMu" label="账龄一年以上的应收股利明细-项目" addr="T0R1C0S1_1" appId="_GBC_9aa7ef4a3c0c40638901a5b7f6224231"/>
        <m:item xlName="_GBC_4b58ae8fb71e4f20adc77d6244e720e5" concept="clcid-pte:ZhangLingYiNianYiShangDeYingShouGuLiMingXiJinE" label="账龄一年以上的应收股利明细-金额" mulRef="_GBC_f08fb2c53aeb449bb75e121ee3aeca9c" unitRef="_GBC_bd52ead6e46444738b8ef3b24c67296e" addr="T0R1C1S1_1" formatStyle="Comma" appId="_GBC_9aa7ef4a3c0c40638901a5b7f6224231"/>
        <m:item xlName="_GBC_1681d8777ddd4c33ae8c08fe5d42a048" concept="clcid-pte:ZhangLingYiNianYiShangDeYingShouGuLiMingXiZhangLing" label="账龄一年以上的应收股利明细-账龄" addr="T0R1C2S1_1" appId="_GBC_9aa7ef4a3c0c40638901a5b7f6224231"/>
        <m:item xlName="_GBC_1123521aa37f45cb87dd01a84b67637e" concept="clcid-pte:ZhangLingYiNianYiShangDeYingShouGuLiMingXiWeiShouHuiDeYuanYin" label="账龄一年以上的应收股利明细-未收回的原因" addr="T0R1C3S1_1" appId="_GBC_9aa7ef4a3c0c40638901a5b7f6224231"/>
        <m:item xlName="_GBC_e1357b6e4dbc4ecdb39565f028569466" concept="clcid-pte:ZhangLingYiNianYiShangDeYingShouGuLiMingXiXiangGuanKuanXiangShiFouFaShengJianZhiJiQiPanDuanYiJu" label="账龄一年以上的应收股利明细-相关款项是否发生减值及其判断依据" selectOptions="_buildInYesNo" addr="T0R1C4S1_1" controlType="Combobox" appId="_GBC_9aa7ef4a3c0c40638901a5b7f6224231"/>
      </m:tuple>
      <m:placeholder xlName="_PLD_227ae6b8213b4edca76826c879006a58" addr="T0R3C0S1_1"/>
      <m:item xlName="_GBC_e7b6bc8c271741e084f4e18009907947" concept="clcid-pte:ZhangLingYiNianYiShangDeYingShouGuLi" label="账龄一年以上的应收股利" mulRef="_GBC_f08fb2c53aeb449bb75e121ee3aeca9c" unitRef="_GBC_bd52ead6e46444738b8ef3b24c67296e" addr="T0R3C1S1_1" formatStyle="Comma" appId="_GBC_9aa7ef4a3c0c40638901a5b7f6224231">
        <m:complexRule comparator="Eq" title="账龄一年以上的应收股利" test=" $_GBC_4b58ae8fb71e4f20adc77d6244e720e5" id="Cf5fd017f51de47efb9182be13dbcb155"/>
      </m:item>
    </m:section>
    <m:section xlName="_SEC_cce3905839dc4d6ea19cf81ee0af7e4b" title="坏账准备计提情况">
      <m:item xlName="_GBC_5a51eb2bfb0643eb8b9c73cdd0dbec60" concept="clcid-ci-ar:ShiFouShiYongYingShouGuLiHuaiZhangZhunBeiTiaoJieBiao" label="是否适用：应收股利坏账准备调节表" selectOptions="_buildInAppliance" controlType="CustomCheckbox" cRanges="[{&quot;StartName&quot;:&quot;_GBC_5a51eb2bfb0643eb8b9c73cdd0dbec60&quot;,&quot;EndName&quot;:&quot;_GBC_1699701353964e5c8c8b39e7abcf5c51&quot;,&quot;CType&quot;:1}]"/>
      <m:item xlName="_GBC_129dd494b546414b86037683f39a2046" concept="clcid-ci-ar:DanWeiYingShouGuLiHuaiZhangZhunBeiTiaoJieBiao" label="单位：应收股利坏账准备调节表" selectOptions="_buildInScales" controlType="Combobox" cellType="Scale" appId="_GBC_5a51eb2bfb0643eb8b9c73cdd0dbec60"/>
      <m:item xlName="_GBC_672d96b5264744b0a341471d4b6ca030" concept="clcid-ci-ar:BiZhongYingShouGuLiHuaiZhangZhunBeiTiaoJieBiao" label="币种：应收股利坏账准备调节表" selectOptions="_buildInISO4217" controlType="Combobox" cellType="Measure" appId="_GBC_5a51eb2bfb0643eb8b9c73cdd0dbec60"/>
      <m:placeholder xlName="_PLD_57a174bdb24846a68bfb1c48983027d7" addr="T0R0C0S2_1"/>
      <m:placeholder xlName="_PLD_6acd90b3715a4a69b7dbda0c573043b7" addr="T0R0C1S1_1"/>
      <m:placeholder xlName="_PLD_467a877cf5324b35b7bfc0388d44b3d1" addr="T0R0C2S1_1"/>
      <m:placeholder xlName="_PLD_16c0cb9c49744528bad59bec1787aeb8" addr="T0R0C3S1_1"/>
      <m:placeholder xlName="_PLD_fbf5021900c84058b8bcab786ad31c74" addr="T0R0C4S2_1"/>
      <m:placeholder xlName="_PLD_eab2bc0feaef469abbdfbfc9feb82978" addr="T0R1C1S1_1"/>
      <m:placeholder xlName="_PLD_faa5b0a8e4914f7b8a43027c97e83895" addr="T0R1C2S1_1"/>
      <m:placeholder xlName="_PLD_088c022f9083458f9ca88e600b1fbf17" addr="T0R1C3S1_1"/>
      <m:placeholder xlName="_PLD_495a72fefc234f749471d163445e8fe3" addr="T0R2C0S1_1"/>
      <m:item xlName="_GBC_ec9589795b5b41e788057b642206aa03" concept="clcid-pte:YingShouGuLiHuaiZhangZhunBeiDiYiJieDuan" label="应收股利坏账准备（第一阶段）" periodRef="本期期初数" mulRef="_GBC_129dd494b546414b86037683f39a2046" unitRef="_GBC_672d96b5264744b0a341471d4b6ca030" addr="T0R2C1S1_1" formatStyle="Comma" appId="_GBC_5a51eb2bfb0643eb8b9c73cdd0dbec60"/>
      <m:item xlName="_GBC_ebc6c9f8e3e0400c9868e4e41c786a91" concept="clcid-pte:YingShouGuLiHuaiZhangZhunBeiDiErJieDuan" label="应收股利坏账准备（第二阶段）" periodRef="本期期初数" mulRef="_GBC_129dd494b546414b86037683f39a2046" unitRef="_GBC_672d96b5264744b0a341471d4b6ca030" addr="T0R2C2S1_1" formatStyle="Comma" appId="_GBC_5a51eb2bfb0643eb8b9c73cdd0dbec60"/>
      <m:item xlName="_GBC_c1202c7420fc455c9f55904f672264d9" concept="clcid-pte:YingShouGuLiHuaiZhangZhunBeiDiSanJieDuan" label="应收股利坏账准备（第三阶段）" periodRef="本期期初数" mulRef="_GBC_129dd494b546414b86037683f39a2046" unitRef="_GBC_672d96b5264744b0a341471d4b6ca030" addr="T0R2C3S1_1" formatStyle="Comma" appId="_GBC_5a51eb2bfb0643eb8b9c73cdd0dbec60"/>
      <m:item xlName="_GBC_0d19470f5ff2480e9b9a953fb5f48c26" concept="clcid-pte:YingShouGuLiHuaiZhangZhunBei" label="应收股利坏账准备" periodRef="本期期初数" mulRef="_GBC_129dd494b546414b86037683f39a2046" unitRef="_GBC_672d96b5264744b0a341471d4b6ca030" addr="T0R2C4S1_1" formatStyle="Comma" appId="_GBC_5a51eb2bfb0643eb8b9c73cdd0dbec60"/>
      <m:placeholder xlName="_PLD_cf9a9259075642a487df8973c494666a" addr="T0R3C0S1_1"/>
      <m:item xlName="_GBC_2eb2760349ca40c8926f3d43f71d3b73" concept="clcid-pte:YingShouGuLiHuaiZhangZhunBeiBenQiZhuanRuHuoZhuanHuiDiYiJieDuan" label="应收股利坏账准备本期转入或转回（第一阶段）" mulRef="_GBC_129dd494b546414b86037683f39a2046" unitRef="_GBC_672d96b5264744b0a341471d4b6ca030" addr="T0R3C1S1_1" formatStyle="Comma" appId="_GBC_5a51eb2bfb0643eb8b9c73cdd0dbec60"/>
      <m:item xlName="_GBC_5833fdf6ddc14ee78159b98806fcb43a" concept="clcid-pte:YingShouGuLiHuaiZhangZhunBeiBenQiZhuanRuHuoZhuanHuiDiErJieDuan" label="应收股利坏账准备本期转入或转回（第二阶段）" mulRef="_GBC_129dd494b546414b86037683f39a2046" unitRef="_GBC_672d96b5264744b0a341471d4b6ca030" addr="T0R3C2S1_1" formatStyle="Comma" appId="_GBC_5a51eb2bfb0643eb8b9c73cdd0dbec60"/>
      <m:item xlName="_GBC_948a287c27594fc9861ba5b99955908c" concept="clcid-pte:YingShouGuLiHuaiZhangZhunBeiBenQiZhuanRuHuoZhuanHuiDiSanJieDuan" label="应收股利坏账准备本期转入或转回（第三阶段）" mulRef="_GBC_129dd494b546414b86037683f39a2046" unitRef="_GBC_672d96b5264744b0a341471d4b6ca030" addr="T0R3C3S1_1" formatStyle="Comma" appId="_GBC_5a51eb2bfb0643eb8b9c73cdd0dbec60"/>
      <m:item xlName="_GBC_5ef02c1a145b49659618456f06280ab3" concept="clcid-pte:YingShouGuLiHuaiZhangZhunBeiBenQiZhuanRuHuoZhuanHuiJieDuanHeJi" label="应收股利坏账准备本期转入或转回阶段合计" mulRef="_GBC_129dd494b546414b86037683f39a2046" unitRef="_GBC_672d96b5264744b0a341471d4b6ca030" addr="T0R3C4S1_1" formatStyle="Comma" appId="_GBC_5a51eb2bfb0643eb8b9c73cdd0dbec60"/>
      <m:placeholder xlName="_PLD_1467f6d5fb294fdbbb85de2dc4f41eed" addr="T0R4C0S1_1"/>
      <m:item xlName="_GBC_6bf70a45ad144390b477d3d8ab9159cc" concept="clcid-pte:YingShouGuLiHuaiZhangZhunBeiBenQiZhuanRuDiErJieDuanDiYiJieDuan" label="应收股利坏账准备本期转入第二阶段（第一阶段）" mulRef="_GBC_129dd494b546414b86037683f39a2046" unitRef="_GBC_672d96b5264744b0a341471d4b6ca030" addr="T0R4C1S1_1" formatStyle="Comma" appId="_GBC_5a51eb2bfb0643eb8b9c73cdd0dbec60"/>
      <m:item xlName="_GBC_f92b14f5e2724ea0a5a1ebeebbed5fce" concept="clcid-pte:YingShouGuLiHuaiZhangZhunBeiBenQiZhuanRuDiErJieDuanDiErJieDuan" label="应收股利坏账准备本期转入第二阶段（第二阶段）" mulRef="_GBC_129dd494b546414b86037683f39a2046" unitRef="_GBC_672d96b5264744b0a341471d4b6ca030" addr="T0R4C2S1_1" formatStyle="Comma" appId="_GBC_5a51eb2bfb0643eb8b9c73cdd0dbec60"/>
      <m:item xlName="_GBC_d5b0df4dd72644c38cf7eae75209170f" concept="clcid-pte:YingShouGuLiHuaiZhangZhunBeiBenQiZhuanRuDiErJieDuanDiSanJieDuan" label="应收股利坏账准备本期转入第二阶段（第三阶段）" mulRef="_GBC_129dd494b546414b86037683f39a2046" unitRef="_GBC_672d96b5264744b0a341471d4b6ca030" addr="T0R4C3S1_1" formatStyle="Comma" appId="_GBC_5a51eb2bfb0643eb8b9c73cdd0dbec60"/>
      <m:item xlName="_GBC_8b6516e7b2d04166bce7d0a578ee25f9" concept="clcid-pte:YingShouGuLiHuaiZhangZhunBeiBenQiZhuanRuDiErJieDuanJieDuanHeJi" label="应收股利坏账准备本期转入第二阶段阶段合计" mulRef="_GBC_129dd494b546414b86037683f39a2046" unitRef="_GBC_672d96b5264744b0a341471d4b6ca030" addr="T0R4C4S1_1" formatStyle="Comma" appId="_GBC_5a51eb2bfb0643eb8b9c73cdd0dbec60"/>
      <m:placeholder xlName="_PLD_8a1f7514d54e4a2980bc47541c0e754a" addr="T0R5C0S1_1"/>
      <m:item xlName="_GBC_4e25fe29a8e041f992a1df0805dbd73d" concept="clcid-pte:YingShouGuLiHuaiZhangZhunBeiBenQiZhuanRuDiSanJieDuanDiYiJieDuan" label="应收股利坏账准备本期转入第三阶段（第一阶段）" mulRef="_GBC_129dd494b546414b86037683f39a2046" unitRef="_GBC_672d96b5264744b0a341471d4b6ca030" addr="T0R5C1S1_1" formatStyle="Comma" appId="_GBC_5a51eb2bfb0643eb8b9c73cdd0dbec60"/>
      <m:item xlName="_GBC_1f42bdc8b3c741d9a2369b7a4dac2422" concept="clcid-pte:YingShouGuLiHuaiZhangZhunBeiBenQiZhuanRuDiSanJieDuanDiErJieDuan" label="应收股利坏账准备本期转入第三阶段（第二阶段）" mulRef="_GBC_129dd494b546414b86037683f39a2046" unitRef="_GBC_672d96b5264744b0a341471d4b6ca030" addr="T0R5C2S1_1" formatStyle="Comma" appId="_GBC_5a51eb2bfb0643eb8b9c73cdd0dbec60"/>
      <m:item xlName="_GBC_f464f9dc523c4613a6715c3f7f91693d" concept="clcid-pte:YingShouGuLiHuaiZhangZhunBeiBenQiZhuanRuDiSanJieDuanDiSanJieDuan" label="应收股利坏账准备本期转入第三阶段（第三阶段）" mulRef="_GBC_129dd494b546414b86037683f39a2046" unitRef="_GBC_672d96b5264744b0a341471d4b6ca030" addr="T0R5C3S1_1" formatStyle="Comma" appId="_GBC_5a51eb2bfb0643eb8b9c73cdd0dbec60"/>
      <m:item xlName="_GBC_9a1f7f0d9f494d03909be4af7fdcda2a" concept="clcid-pte:YingShouGuLiHuaiZhangZhunBeiBenQiZhuanRuDiSanJieDuanJieDuanHeJi" label="应收股利坏账准备本期转入第三阶段阶段合计" mulRef="_GBC_129dd494b546414b86037683f39a2046" unitRef="_GBC_672d96b5264744b0a341471d4b6ca030" addr="T0R5C4S1_1" formatStyle="Comma" appId="_GBC_5a51eb2bfb0643eb8b9c73cdd0dbec60"/>
      <m:placeholder xlName="_PLD_29b7b023f9b8462f8ee1d55ffa61bb9d" addr="T0R6C0S1_1"/>
      <m:item xlName="_GBC_de72c864b6884b7c9de2b47c3535cf66" concept="clcid-pte:YingShouGuLiHuaiZhangZhunBeiBenQiZhuanHuiDiErJieDuanDiYiJieDuan" label="应收股利坏账准备本期转回第二阶段（第一阶段）" mulRef="_GBC_129dd494b546414b86037683f39a2046" unitRef="_GBC_672d96b5264744b0a341471d4b6ca030" addr="T0R6C1S1_1" formatStyle="Comma" appId="_GBC_5a51eb2bfb0643eb8b9c73cdd0dbec60"/>
      <m:item xlName="_GBC_42146ba75007403889e6c45e0644a9aa" concept="clcid-pte:YingShouGuLiHuaiZhangZhunBeiBenQiZhuanHuiDiErJieDuanDiErJieDuan" label="应收股利坏账准备本期转回第二阶段（第二阶段）" mulRef="_GBC_129dd494b546414b86037683f39a2046" unitRef="_GBC_672d96b5264744b0a341471d4b6ca030" addr="T0R6C2S1_1" formatStyle="Comma" appId="_GBC_5a51eb2bfb0643eb8b9c73cdd0dbec60"/>
      <m:item xlName="_GBC_cb25ba8b3c3e4ee8a9d9f9af55f99922" concept="clcid-pte:YingShouGuLiHuaiZhangZhunBeiBenQiZhuanHuiDiErJieDuanDiSanJieDuan" label="应收股利坏账准备本期转回第二阶段（第三阶段）" mulRef="_GBC_129dd494b546414b86037683f39a2046" unitRef="_GBC_672d96b5264744b0a341471d4b6ca030" addr="T0R6C3S1_1" formatStyle="Comma" appId="_GBC_5a51eb2bfb0643eb8b9c73cdd0dbec60"/>
      <m:item xlName="_GBC_85a2761531a648c898b89f677dd26146" concept="clcid-pte:YingShouGuLiHuaiZhangZhunBeiBenQiZhuanHuiDiErJieDuanJieDuanHeJi" label="应收股利坏账准备本期转回第二阶段阶段合计" mulRef="_GBC_129dd494b546414b86037683f39a2046" unitRef="_GBC_672d96b5264744b0a341471d4b6ca030" addr="T0R6C4S1_1" formatStyle="Comma" appId="_GBC_5a51eb2bfb0643eb8b9c73cdd0dbec60"/>
      <m:placeholder xlName="_PLD_0d08d160fef5474ba6237f670f6fca64" addr="T0R7C0S1_1"/>
      <m:item xlName="_GBC_b77e77a67874484088141b46e41e79ba" concept="clcid-pte:YingShouGuLiHuaiZhangZhunBeiBenQiZhuanHuiDiYiJieDuanDiYiJieDuan" label="应收股利坏账准备本期转回第一阶段（第一阶段）" mulRef="_GBC_129dd494b546414b86037683f39a2046" unitRef="_GBC_672d96b5264744b0a341471d4b6ca030" addr="T0R7C1S1_1" formatStyle="Comma" appId="_GBC_5a51eb2bfb0643eb8b9c73cdd0dbec60"/>
      <m:item xlName="_GBC_0a963e50c71445a7bcb4d637bb0f976f" concept="clcid-pte:YingShouGuLiHuaiZhangZhunBeiBenQiZhuanHuiDiYiJieDuanDiErJieDuan" label="应收股利坏账准备本期转回第一阶段（第二阶段）" mulRef="_GBC_129dd494b546414b86037683f39a2046" unitRef="_GBC_672d96b5264744b0a341471d4b6ca030" addr="T0R7C2S1_1" formatStyle="Comma" appId="_GBC_5a51eb2bfb0643eb8b9c73cdd0dbec60"/>
      <m:item xlName="_GBC_4b2ae115f7464203a14171dced249a04" concept="clcid-pte:YingShouGuLiHuaiZhangZhunBeiBenQiZhuanHuiDiYiJieDuanDiSanJieDuan" label="应收股利坏账准备本期转回第一阶段（第三阶段）" mulRef="_GBC_129dd494b546414b86037683f39a2046" unitRef="_GBC_672d96b5264744b0a341471d4b6ca030" addr="T0R7C3S1_1" formatStyle="Comma" appId="_GBC_5a51eb2bfb0643eb8b9c73cdd0dbec60"/>
      <m:item xlName="_GBC_9ce49380b31d4ed6a35dbeb26fa97fad" concept="clcid-pte:YingShouGuLiHuaiZhangZhunBeiBenQiZhuanHuiDiYiJieDuanJieDuanHeJi" label="应收股利坏账准备本期转回第一阶段阶段合计" mulRef="_GBC_129dd494b546414b86037683f39a2046" unitRef="_GBC_672d96b5264744b0a341471d4b6ca030" addr="T0R7C4S1_1" formatStyle="Comma" appId="_GBC_5a51eb2bfb0643eb8b9c73cdd0dbec60"/>
      <m:placeholder xlName="_PLD_b750a5c09548439dbec53a5e71c07cf7" addr="T0R8C0S1_1"/>
      <m:item xlName="_GBC_094e3852231c4c558d15d364548c79fc" concept="clcid-pte:YingShouGuLiHuaiZhangZhunBeiBenQiXinZengJiTiDiYiJieDuan" label="应收股利坏账准备本期新增计提（第一阶段）" mulRef="_GBC_129dd494b546414b86037683f39a2046" unitRef="_GBC_672d96b5264744b0a341471d4b6ca030" addr="T0R8C1S1_1" formatStyle="Comma" appId="_GBC_5a51eb2bfb0643eb8b9c73cdd0dbec60"/>
      <m:item xlName="_GBC_7f5dd2c91da04abfa3a96980fa047d61" concept="clcid-pte:YingShouGuLiHuaiZhangZhunBeiBenQiXinZengJiTiDiErJieDuan" label="应收股利坏账准备本期新增计提（第二阶段）" mulRef="_GBC_129dd494b546414b86037683f39a2046" unitRef="_GBC_672d96b5264744b0a341471d4b6ca030" addr="T0R8C2S1_1" formatStyle="Comma" appId="_GBC_5a51eb2bfb0643eb8b9c73cdd0dbec60"/>
      <m:item xlName="_GBC_9b039f427e9b42348c3f75e6610b8d44" concept="clcid-pte:YingShouGuLiHuaiZhangZhunBeiBenQiXinZengJiTiDiSanJieDuan" label="应收股利坏账准备本期新增计提（第三阶段）" mulRef="_GBC_129dd494b546414b86037683f39a2046" unitRef="_GBC_672d96b5264744b0a341471d4b6ca030" addr="T0R8C3S1_1" formatStyle="Comma" appId="_GBC_5a51eb2bfb0643eb8b9c73cdd0dbec60"/>
      <m:item xlName="_GBC_ed0be2758db4421d865711710c52f450" concept="clcid-pte:YingShouGuLiHuaiZhangZhunBeiBenQiXinZengJiTiJieDuanHeJi" label="应收股利坏账准备本期新增计提阶段合计" mulRef="_GBC_129dd494b546414b86037683f39a2046" unitRef="_GBC_672d96b5264744b0a341471d4b6ca030" addr="T0R8C4S1_1" formatStyle="Comma" appId="_GBC_5a51eb2bfb0643eb8b9c73cdd0dbec60"/>
      <m:placeholder xlName="_PLD_e2b159107685472daa98fc8c359b2bad" addr="T0R9C0S1_1"/>
      <m:item xlName="_GBC_5ee5bb5e750f49aead39b285b129f498" concept="clcid-pte:YingShouGuLiHuaiZhangZhunBeiBenQiZhuanHuiDiYiJieDuan" label="应收股利坏账准备本期转回（第一阶段）" mulRef="_GBC_129dd494b546414b86037683f39a2046" unitRef="_GBC_672d96b5264744b0a341471d4b6ca030" addr="T0R9C1S1_1" formatStyle="Comma" appId="_GBC_5a51eb2bfb0643eb8b9c73cdd0dbec60"/>
      <m:item xlName="_GBC_c1462dc220c44b2ca98c7de696b5ab10" concept="clcid-pte:YingShouGuLiHuaiZhangZhunBeiBenQiZhuanHuiDiErJieDuan" label="应收股利坏账准备本期转回（第二阶段）" mulRef="_GBC_129dd494b546414b86037683f39a2046" unitRef="_GBC_672d96b5264744b0a341471d4b6ca030" addr="T0R9C2S1_1" formatStyle="Comma" appId="_GBC_5a51eb2bfb0643eb8b9c73cdd0dbec60"/>
      <m:item xlName="_GBC_9aaf0064fddb4c9981beb30496f9f0b4" concept="clcid-pte:YingShouGuLiHuaiZhangZhunBeiBenQiZhuanHuiDiSanJieDuan" label="应收股利坏账准备本期转回（第三阶段）" mulRef="_GBC_129dd494b546414b86037683f39a2046" unitRef="_GBC_672d96b5264744b0a341471d4b6ca030" addr="T0R9C3S1_1" formatStyle="Comma" appId="_GBC_5a51eb2bfb0643eb8b9c73cdd0dbec60"/>
      <m:item xlName="_GBC_0428f0cc9ce9416b8cfdff0064e8f6b8" concept="clcid-pte:YingShouGuLiHuaiZhangZhunBeiBenQiZhuanHuiJieDuanHeJi" label="应收股利坏账准备本期转回阶段合计" mulRef="_GBC_129dd494b546414b86037683f39a2046" unitRef="_GBC_672d96b5264744b0a341471d4b6ca030" addr="T0R9C4S1_1" formatStyle="Comma" appId="_GBC_5a51eb2bfb0643eb8b9c73cdd0dbec60"/>
      <m:placeholder xlName="_PLD_cd375f1d039e465486ca8f3f8249c32a" addr="T0R10C0S1_1"/>
      <m:item xlName="_GBC_52fb08f0bef144ee969ac84472b24dae" concept="clcid-pte:YingShouGuLiHuaiZhangZhunBeiBenQiZhuanXiaoDiYiJieDuan" label="应收股利坏账准备本期转销（第一阶段）" mulRef="_GBC_129dd494b546414b86037683f39a2046" unitRef="_GBC_672d96b5264744b0a341471d4b6ca030" addr="T0R10C1S1_1" formatStyle="Comma" appId="_GBC_5a51eb2bfb0643eb8b9c73cdd0dbec60"/>
      <m:item xlName="_GBC_58cd298ec99f49eb8405e33c084ca0e2" concept="clcid-pte:YingShouGuLiHuaiZhangZhunBeiBenQiZhuanXiaoDiErJieDuan" label="应收股利坏账准备本期转销（第二阶段）" mulRef="_GBC_129dd494b546414b86037683f39a2046" unitRef="_GBC_672d96b5264744b0a341471d4b6ca030" addr="T0R10C2S1_1" formatStyle="Comma" appId="_GBC_5a51eb2bfb0643eb8b9c73cdd0dbec60"/>
      <m:item xlName="_GBC_d7b2ccd46c6544268e1bdcba52fd17db" concept="clcid-pte:YingShouGuLiHuaiZhangZhunBeiBenQiZhuanXiaoDiSanJieDuan" label="应收股利坏账准备本期转销（第三阶段）" mulRef="_GBC_129dd494b546414b86037683f39a2046" unitRef="_GBC_672d96b5264744b0a341471d4b6ca030" addr="T0R10C3S1_1" formatStyle="Comma" appId="_GBC_5a51eb2bfb0643eb8b9c73cdd0dbec60"/>
      <m:item xlName="_GBC_8a55250da61f45e1b53b8de2046afa13" concept="clcid-pte:YingShouGuLiHuaiZhangZhunBeiBenQiZhuanXiaoJieDuanHeJi" label="应收股利坏账准备本期转销阶段合计" mulRef="_GBC_129dd494b546414b86037683f39a2046" unitRef="_GBC_672d96b5264744b0a341471d4b6ca030" addr="T0R10C4S1_1" formatStyle="Comma" appId="_GBC_5a51eb2bfb0643eb8b9c73cdd0dbec60"/>
      <m:placeholder xlName="_PLD_9df1f7bea36c43af8fbf8b85cb51c9ba" addr="T0R11C0S1_1"/>
      <m:item xlName="_GBC_55304b646e0e462782d281cd39ec04c5" concept="clcid-pte:YingShouGuLiHuaiZhangZhunBeiBenQiHeXiaoDiYiJieDuan" label="应收股利坏账准备本期核销（第一阶段）" mulRef="_GBC_129dd494b546414b86037683f39a2046" unitRef="_GBC_672d96b5264744b0a341471d4b6ca030" addr="T0R11C1S1_1" formatStyle="Comma" appId="_GBC_5a51eb2bfb0643eb8b9c73cdd0dbec60"/>
      <m:item xlName="_GBC_bb2bc4a6a3104eb0a2f5d95d121fc76a" concept="clcid-pte:YingShouGuLiHuaiZhangZhunBeiBenQiHeXiaoDiErJieDuan" label="应收股利坏账准备本期核销（第二阶段）" mulRef="_GBC_129dd494b546414b86037683f39a2046" unitRef="_GBC_672d96b5264744b0a341471d4b6ca030" addr="T0R11C2S1_1" formatStyle="Comma" appId="_GBC_5a51eb2bfb0643eb8b9c73cdd0dbec60"/>
      <m:item xlName="_GBC_310fc728dd8b4cf3bbab0fceca4ced73" concept="clcid-pte:YingShouGuLiHuaiZhangZhunBeiBenQiHeXiaoDiSanJieDuan" label="应收股利坏账准备本期核销（第三阶段）" mulRef="_GBC_129dd494b546414b86037683f39a2046" unitRef="_GBC_672d96b5264744b0a341471d4b6ca030" addr="T0R11C3S1_1" formatStyle="Comma" appId="_GBC_5a51eb2bfb0643eb8b9c73cdd0dbec60"/>
      <m:item xlName="_GBC_861429b5f6e448388d70867c05bc879e" concept="clcid-pte:YingShouGuLiHuaiZhangZhunBeiBenQiHeXiaoJieDuanHeJi" label="应收股利坏账准备本期核销阶段合计" mulRef="_GBC_129dd494b546414b86037683f39a2046" unitRef="_GBC_672d96b5264744b0a341471d4b6ca030" addr="T0R11C4S1_1" formatStyle="Comma" appId="_GBC_5a51eb2bfb0643eb8b9c73cdd0dbec60"/>
      <m:placeholder xlName="_PLD_735f07f7e44e41a9bfa3745a101b1e0c" addr="T0R12C0S1_1"/>
      <m:item xlName="_GBC_16c9afb793f0439cb79961fc9da9023b" concept="clcid-pte:YingShouGuLiHuaiZhangZhunBeiBenQiQiTaBianDongDiYiJieDuan" label="应收股利坏账准备本期其他变动（第一阶段）" mulRef="_GBC_129dd494b546414b86037683f39a2046" unitRef="_GBC_672d96b5264744b0a341471d4b6ca030" addr="T0R12C1S1_1" formatStyle="Comma" appId="_GBC_5a51eb2bfb0643eb8b9c73cdd0dbec60"/>
      <m:item xlName="_GBC_7a8a3f9e9f0c476eb7a1875328a67c94" concept="clcid-pte:YingShouGuLiHuaiZhangZhunBeiBenQiQiTaBianDongDiErJieDuan" label="应收股利坏账准备本期其他变动（第二阶段）" mulRef="_GBC_129dd494b546414b86037683f39a2046" unitRef="_GBC_672d96b5264744b0a341471d4b6ca030" addr="T0R12C2S1_1" formatStyle="Comma" appId="_GBC_5a51eb2bfb0643eb8b9c73cdd0dbec60"/>
      <m:item xlName="_GBC_2af338a19f274fcc8d54bb5456f4814f" concept="clcid-pte:YingShouGuLiHuaiZhangZhunBeiBenQiQiTaBianDongDiSanJieDuan" label="应收股利坏账准备本期其他变动（第三阶段）" mulRef="_GBC_129dd494b546414b86037683f39a2046" unitRef="_GBC_672d96b5264744b0a341471d4b6ca030" addr="T0R12C3S1_1" formatStyle="Comma" appId="_GBC_5a51eb2bfb0643eb8b9c73cdd0dbec60"/>
      <m:item xlName="_GBC_5d7645a9448046e3b616474e939df340" concept="clcid-pte:YingShouGuLiHuaiZhangZhunBeiBenQiQiTaBianDongJieDuanHeJi" label="应收股利坏账准备本期其他变动阶段合计" mulRef="_GBC_129dd494b546414b86037683f39a2046" unitRef="_GBC_672d96b5264744b0a341471d4b6ca030" addr="T0R12C4S1_1" formatStyle="Comma" appId="_GBC_5a51eb2bfb0643eb8b9c73cdd0dbec60"/>
      <m:placeholder xlName="_PLD_3de222f55d3c4e46b246b6539103e05f" addr="T0R13C0S1_1"/>
      <m:item xlName="_GBC_97a9bebd75be4e2a80f11b04c5bbbbf1" concept="clcid-pte:YingShouGuLiHuaiZhangZhunBeiDiYiJieDuan" label="应收股利坏账准备（第一阶段）" mulRef="_GBC_129dd494b546414b86037683f39a2046" unitRef="_GBC_672d96b5264744b0a341471d4b6ca030" addr="T0R13C1S1_1" formatStyle="Comma" appId="_GBC_5a51eb2bfb0643eb8b9c73cdd0dbec60"/>
      <m:item xlName="_GBC_19d3d44330154890a694166bf86ee8e4" concept="clcid-pte:YingShouGuLiHuaiZhangZhunBeiDiErJieDuan" label="应收股利坏账准备（第二阶段）" mulRef="_GBC_129dd494b546414b86037683f39a2046" unitRef="_GBC_672d96b5264744b0a341471d4b6ca030" addr="T0R13C2S1_1" formatStyle="Comma" appId="_GBC_5a51eb2bfb0643eb8b9c73cdd0dbec60"/>
      <m:item xlName="_GBC_2ad2563a22cf401f96c526c457476085" concept="clcid-pte:YingShouGuLiHuaiZhangZhunBeiDiSanJieDuan" label="应收股利坏账准备（第三阶段）" mulRef="_GBC_129dd494b546414b86037683f39a2046" unitRef="_GBC_672d96b5264744b0a341471d4b6ca030" addr="T0R13C3S1_1" formatStyle="Comma" appId="_GBC_5a51eb2bfb0643eb8b9c73cdd0dbec60"/>
      <m:item xlName="_GBC_9a714e1ff56b4399a36eba441b46b74e" concept="clcid-pte:YingShouGuLiHuaiZhangZhunBei" label="应收股利坏账准备" mulRef="_GBC_129dd494b546414b86037683f39a2046" unitRef="_GBC_672d96b5264744b0a341471d4b6ca030" addr="T0R13C4S1_1" formatStyle="Comma" appId="_GBC_5a51eb2bfb0643eb8b9c73cdd0dbec60"/>
      <m:item xlName="_GBC_1f4d06e3d6574db490755aec3ddba716"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1f4d06e3d6574db490755aec3ddba716&quot;,&quot;EndName&quot;:&quot;_GBC_1699701353964e5c8c8b39e7abcf5c51&quot;,&quot;CType&quot;:1}]"/>
      <m:item xlName="_GBC_1699701353964e5c8c8b39e7abcf5c51" concept="clcid-pte:YingShouGuLiBenQiFaShengSunShiZhunBeiBianDongQieZhangMianYuEXianZhuBianDongDeQingKuangShuoMing" label="应收股利本期发生损失准备变动且账面余额显著变动的情况说明" appId="_GBC_1f4d06e3d6574db490755aec3ddba716"/>
    </m:section>
    <m:section xlName="_GBC_3543035ac1594f0aaa966ebb907a6f0d" title="应收股利的说明" convertSummaryRule="NoConvert" helpId="112001050">
      <m:item xlName="_GBC_108dd924d7ca4fa78961046db5cd354e" concept="clcid-ci-ar:ShiFouShiYongYingShouGuLiDeShuoMing" label="是否适用：应收股利的说明" selectOptions="_buildInAppliance" controlType="CustomCheckbox" cRanges="{&quot;StartName&quot;:&quot;_GBC_108dd924d7ca4fa78961046db5cd354e&quot;,&quot;EndName&quot;:&quot;_GBC_c29ffdccab234c8fb120aecd6aed6d86&quot;,&quot;CType&quot;:1,&quot;DisplayText&quot;:null}"/>
      <m:item xlName="_GBC_c29ffdccab234c8fb120aecd6aed6d86" concept="clcid-pte:YingShouGuLiDeShuoMing" label="应收股利的说明" appId="_GBC_108dd924d7ca4fa78961046db5cd354e"/>
    </m:section>
    <m:section xlName="_GBC_84907f0c47bb4c62b91a81382adfc126" title="组合中，按账龄分析法计提坏账准备的其他应收账款：" rules="R2015_R11_006" helpId="112001051">
      <m:item xlName="_GBC_14503383cb9a4c528e4dc8ae4e2b1c29" concept="clcid-ci-ar:ShiFouShiYongZuHeZhongAnZhangLingFenXiFaJiTiHuaiZhangZhunBeiDeQiTaYingShouZhangKuan" label="是否适用：组合中，按账龄分析法计提坏账准备的其他应收账款" selectOptions="_buildInAppliance" controlType="CustomCheckbox" cRanges="[{&quot;StartName&quot;:&quot;_GBC_14503383cb9a4c528e4dc8ae4e2b1c29&quot;,&quot;EndName&quot;:&quot;_GBC_cdc8df8bb3c644f78147f794673f1969&quot;,&quot;CType&quot;:1}]"/>
      <m:item xlName="_GBC_6764c0879eca4748ae4bb8a2ce276e1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14503383cb9a4c528e4dc8ae4e2b1c29"/>
      <m:item xlName="_GBC_58c31c61f2a5441db0ca086544f32ce2"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14503383cb9a4c528e4dc8ae4e2b1c29"/>
      <m:placeholder xlName="_PLD_6b0994a4e2bf4d64b8bfa8195d1acb6c" addr="T0R0C0S1_1"/>
      <m:placeholder xlName="_PLD_432b76b66b924b46b150a8c34f250ad2" addr="T0R0C1S1_1"/>
      <m:placeholder xlName="_PLD_1041b49a86da40c3a051ceae58ba8016" addr="T0R1C0S1_2"/>
      <m:placeholder xlName="_PLD_a0ff2716a91b42a6ae2b722f67cab8d3" addr="T0R2C0S1_2"/>
      <m:tuple xlName="_TUP_b427c25173e24fbfaaaef5667baae3a1" concept="clcid-pte:YiNianYiNeiQiTaYingShouKuanJinEMingXi" default_row="2" addr="T0R3C">
        <m:item xlName="_GBC_5922a32bdb5541e08ae9b830f1840cc5" concept="clcid-pte:YiNianYiNeiQiTaYingShouKuanZhangLingMingCheng" label="一年以内其他应收款金额明细－帐龄名称" addr="T0R3C0S1_1" appId="_GBC_14503383cb9a4c528e4dc8ae4e2b1c29"/>
        <m:item xlName="_GBC_b456828aa0ff4466867894c1fa848cf9" concept="clcid-pte:YiNianYiNeiQiTaYingShouKuanZhangMianYuE" label="一年以内其他应收款金额明细－账面余额" mulRef="_GBC_6764c0879eca4748ae4bb8a2ce276e17" unitRef="_GBC_58c31c61f2a5441db0ca086544f32ce2" addr="T0R3C1S1_1" formatStyle="Comma" appId="_GBC_14503383cb9a4c528e4dc8ae4e2b1c29"/>
      </m:tuple>
      <m:placeholder xlName="_PLD_117c27ae49f24df483b32b6cd9c22857" addr="T0R5C0S1_1"/>
      <m:item xlName="_GBC_a295cc4ae8d246b7bdd61207925c7be3" concept="clcid-pte:QiTaYingShouKuanYiNianYiNeiHeJi" label="其他应收款一年以内合计" mulRef="_GBC_6764c0879eca4748ae4bb8a2ce276e17" unitRef="_GBC_58c31c61f2a5441db0ca086544f32ce2" addr="T0R5C1S1_1" formatStyle="Comma" appId="_GBC_14503383cb9a4c528e4dc8ae4e2b1c29"/>
      <m:placeholder xlName="_PLD_eec5fc3899b34bb8ac2c023bb178201d" addr="T0R6C0S1_1"/>
      <m:item xlName="_GBC_cdfe4568db164e35bcfb979ca25cf218" concept="clcid-pte:QiTaYingShouKuanYiZhiErNianHeJi" label="其他应收款一至二年合计" mulRef="_GBC_6764c0879eca4748ae4bb8a2ce276e17" unitRef="_GBC_58c31c61f2a5441db0ca086544f32ce2" addr="T0R6C1S1_1" formatStyle="Comma" appId="_GBC_14503383cb9a4c528e4dc8ae4e2b1c29"/>
      <m:placeholder xlName="_PLD_4147aa219b3044cb87cadcbf20a7f278" addr="T0R7C0S1_1"/>
      <m:item xlName="_GBC_0c5f599636e042b3a5479cff6801b845" concept="clcid-pte:QiTaYingShouKuanErZhiSanNianHeJi" label="其他应收款二至三年合计" mulRef="_GBC_6764c0879eca4748ae4bb8a2ce276e17" unitRef="_GBC_58c31c61f2a5441db0ca086544f32ce2" addr="T0R7C1S1_1" formatStyle="Comma" appId="_GBC_14503383cb9a4c528e4dc8ae4e2b1c29"/>
      <m:placeholder xlName="_PLD_fb935d76867c48c7bf55f3d52575dd91" addr="T0R8C0S1_1"/>
      <m:item xlName="_GBC_1f9b8ac4d5b14bde8d813de91c6b41cd" concept="clcid-pte:QiTaYingShouKuanSanNianYiShangHeJi" label="其他应收款三年以上合计" mulRef="_GBC_6764c0879eca4748ae4bb8a2ce276e17" unitRef="_GBC_58c31c61f2a5441db0ca086544f32ce2" addr="T0R8C1S1_1" formatStyle="Comma" appId="_GBC_14503383cb9a4c528e4dc8ae4e2b1c29"/>
      <m:placeholder xlName="_PLD_66cf044e27544e89bd84871740a65504" addr="T0R9C0S1_1"/>
      <m:item xlName="_GBC_5a5a2bd927044b448cd16c094f8bdac4" concept="clcid-pte:QiTaYingShouKuanSanZhiSiNianZhangMianYuE" label="其他应收款三至四年账面余额" mulRef="_GBC_6764c0879eca4748ae4bb8a2ce276e17" unitRef="_GBC_58c31c61f2a5441db0ca086544f32ce2" addr="T0R9C1S1_1" formatStyle="Comma" appId="_GBC_14503383cb9a4c528e4dc8ae4e2b1c29"/>
      <m:placeholder xlName="_PLD_9c7f07cb7cf1435b8f2137c3fdbbf981" addr="T0R10C0S1_1"/>
      <m:item xlName="_GBC_f3745142af714458865f6134ece87774" concept="clcid-pte:QiTaYingShouKuanSiZhiWuNianZhangMianYuE" label="其他应收款四至五年账面余额" mulRef="_GBC_6764c0879eca4748ae4bb8a2ce276e17" unitRef="_GBC_58c31c61f2a5441db0ca086544f32ce2" addr="T0R10C1S1_1" formatStyle="Comma" appId="_GBC_14503383cb9a4c528e4dc8ae4e2b1c29"/>
      <m:placeholder xlName="_PLD_aec7ac0213fc4614a98de6a3c736e280" addr="T0R11C0S1_1"/>
      <m:item xlName="_GBC_df0d63101e794b27b6e655b216e9f8d1" concept="clcid-pte:QiTaYingShouKuanWuNianYiShangZhangMianYuE" label="其他应收款五年以上账面余额" mulRef="_GBC_6764c0879eca4748ae4bb8a2ce276e17" unitRef="_GBC_58c31c61f2a5441db0ca086544f32ce2" addr="T0R11C1S1_1" formatStyle="Comma" appId="_GBC_14503383cb9a4c528e4dc8ae4e2b1c29"/>
      <m:tuple xlName="_TUP_34db76909f7244b09a55d5c12098c281" concept="clcid-pte:AnZhangLingFenXiFaJiTiHuaiZhangZhunBeiDeQiTaYingShouKuanMingXi" default_row="2" addr="T0R12C">
        <m:item xlName="_GBC_6ff116a09fbb4a3d9145ed42ca2ad6f3" concept="clcid-pte:AnZhangLingFenXiFaJiTiHuaiZhangZhunBeiDeQiTaYingShouKuanMingXiZhangLing" label="按账龄分析法计提坏账准备的其他应收款明细_账龄" addr="T0R12C0S1_1" appId="_GBC_14503383cb9a4c528e4dc8ae4e2b1c29"/>
        <m:item xlName="_GBC_e9fbd238dc14470dabf2d3a9e7aaaf38" concept="clcid-pte:AnZhangLingFenXiFaJiTiHuaiZhangZhunBeiDeQiTaYingShouKuanMingXiQiTaYingShouKuan" label="按账龄分析法计提坏账准备的其他应收款明细_其他应收款" mulRef="_GBC_6764c0879eca4748ae4bb8a2ce276e17" unitRef="_GBC_58c31c61f2a5441db0ca086544f32ce2" addr="T0R12C1S1_1" formatStyle="Comma" appId="_GBC_14503383cb9a4c528e4dc8ae4e2b1c29"/>
      </m:tuple>
      <m:placeholder xlName="_PLD_f4ca1e5588694bda99031e0a5f40083e" addr="T0R14C0S1_1"/>
      <m:item xlName="_GBC_cdc8df8bb3c644f78147f794673f1969" concept="clcid-pte:DanXiangJinEBuZhongDaDanAnXinYongFengXianTeZhengZuHeHouGaiZuHeDeFengXianJiaoDaDeQiTaYingShouZhangKuanHeJi" label="单项金额不重大但按信用风险特征组合后该组合的风险较大的其他应收账款合计" mulRef="_GBC_6764c0879eca4748ae4bb8a2ce276e17" unitRef="_GBC_58c31c61f2a5441db0ca086544f32ce2" addr="T0R14C1S1_1" formatStyle="Comma" appId="_GBC_14503383cb9a4c528e4dc8ae4e2b1c29">
        <m:complexRule comparator="Eq" title="单项金额不重大但按信用风险特征组合后该组合的风险较大的其他应收账款合计" test=" $_GBC_a295cc4ae8d246b7bdd61207925c7be3 +  $_GBC_cdfe4568db164e35bcfb979ca25cf218 +  $_GBC_0c5f599636e042b3a5479cff6801b845 +  $_GBC_1f9b8ac4d5b14bde8d813de91c6b41cd +  $_GBC_5a5a2bd927044b448cd16c094f8bdac4 +  $_GBC_f3745142af714458865f6134ece87774 +  $_GBC_df0d63101e794b27b6e655b216e9f8d1 +  $_GBC_e9fbd238dc14470dabf2d3a9e7aaaf38" id="Ca62adbea76ac44e797ce99721a0a2782"/>
      </m:item>
    </m:section>
    <m:section xlName="_GBC_84d520d656b8446b87c909f5ff2b545d" title="其他应收款按款项性质分类情况" rules="R2015_R11_006" helpId="112001051">
      <m:item xlName="_GBC_43f55a27297f4f93b1b4f668134ac6be" concept="clcid-ci-ar:ShiFouShiYongQiTaYingShouKuanAnKuanXiangXingZhiFenLeiQingKuang" label="是否适用：其他应收款按款项性质分类情况" selectOptions="_buildInAppliance" controlType="CustomCheckbox" cRanges="{&quot;StartName&quot;:&quot;_GBC_43f55a27297f4f93b1b4f668134ac6be&quot;,&quot;EndName&quot;:&quot;_GBC_ddac7e5345bd438e8d5af9d8bc973259&quot;,&quot;CType&quot;:1,&quot;DisplayText&quot;:null}"/>
      <m:item xlName="_GBC_9a3af1171f5640cd83ea2c41e0145167" concept="clcid-ci-ar:DanWeiCaiWuFuZhuQiTaYingShouKuanAnKuanXiangXingZhiFenLeiQingKuang" label="单位：财务附注：其他应收款按款项性质分类情况" selectOptions="_buildInScales" controlType="Combobox" cellType="Scale" appId="_GBC_43f55a27297f4f93b1b4f668134ac6be"/>
      <m:item xlName="_GBC_0d096e7260294092a6e9a8405d01bc70" concept="clcid-ci-ar:BiZhongCaiWuFuZhuQiTaYingShouKuanAnKuanXiangXingZhiFenLeiQingKuang" label="币种：财务附注：其他应收款按款项性质分类情况" selectOptions="_buildInISO4217" controlType="Combobox" cellType="Measure" appId="_GBC_43f55a27297f4f93b1b4f668134ac6be"/>
      <m:placeholder xlName="_PLD_1e66a0098cd34ad6a335156852121360" addr="T0R0C0S1_1"/>
      <m:placeholder xlName="_PLD_51fee06f6d3944a9bbc7bac249ed63b6" addr="T0R0C1S1_1"/>
      <m:placeholder xlName="_PLD_0297dadecff24ff8926a98d0267a917b" addr="T0R0C2S1_1"/>
      <m:tuple xlName="_GBC_936b797bf5094f7da8db3da3acd1de8c" concept="clcid-pte:QiTaYingShouKuanAnKuanXiangXingZhiFenLeiQingKuangMingXi" default_row="2" addr="T0R1C">
        <m:item xlName="_GBC_880f896d8b0b42df802708167fc01b15" concept="clcid-pte:QiTaYingShouKuanAnKuanXiangXingZhiFenLeiQingKuangMingXiKuanXiangXingZhi" label="其他应收款按款项性质分类情况明细-款项性质" addr="T0R1C0S1_1" appId="_GBC_43f55a27297f4f93b1b4f668134ac6be"/>
        <m:item xlName="_GBC_0435c286608844f48f4ef7ebfb5a923c" concept="clcid-pte:QiTaYingShouKuanAnKuanXiangXingZhiFenLeiQingKuangMingXiJinE" label="其他应收款按款项性质分类情况明细-金额" mulRef="_GBC_9a3af1171f5640cd83ea2c41e0145167" unitRef="_GBC_0d096e7260294092a6e9a8405d01bc70" addr="T0R1C1S1_1" formatStyle="Comma" appId="_GBC_43f55a27297f4f93b1b4f668134ac6be"/>
        <m:item xlName="_GBC_a6a3a808ce3142a0984e62d6762c06af" concept="clcid-pte:QiTaYingShouKuanAnKuanXiangXingZhiFenLeiQingKuangMingXiJinE" label="其他应收款按款项性质分类情况明细-金额" periodRef="本期期初数" mulRef="_GBC_9a3af1171f5640cd83ea2c41e0145167" unitRef="_GBC_0d096e7260294092a6e9a8405d01bc70" addr="T0R1C2S1_1" formatStyle="Comma" appId="_GBC_43f55a27297f4f93b1b4f668134ac6be"/>
      </m:tuple>
      <m:placeholder xlName="_PLD_99d40156f33b4b6398b236a0f6461a23" addr="T0R3C0S1_1"/>
      <m:item xlName="_GBC_025b6ff1d536458aa87d8b4902db6cbf" concept="clcid-pte:QiTaYingShouKuanAnKuanXiangXingZhiFenLeiQingKuangJinEHeJi" label="其他应收款按款项性质分类情况金额合计" mulRef="_GBC_9a3af1171f5640cd83ea2c41e0145167" unitRef="_GBC_0d096e7260294092a6e9a8405d01bc70" addr="T0R3C1S1_1" formatStyle="Comma" appId="_GBC_43f55a27297f4f93b1b4f668134ac6be">
        <m:complexRule comparator="Eq" title="其他应收款按款项性质分类情况金额合计" test=" $_GBC_0435c286608844f48f4ef7ebfb5a923c" id="C26c40eb9c1fc44da8d6f4be2233fc1e4"/>
      </m:item>
      <m:item xlName="_GBC_ddac7e5345bd438e8d5af9d8bc973259" concept="clcid-pte:QiTaYingShouKuanAnKuanXiangXingZhiFenLeiQingKuangJinEHeJi" label="其他应收款按款项性质分类情况金额合计" periodRef="本期期初数" mulRef="_GBC_9a3af1171f5640cd83ea2c41e0145167" unitRef="_GBC_0d096e7260294092a6e9a8405d01bc70" addr="T0R3C2S1_1" formatStyle="Comma" appId="_GBC_43f55a27297f4f93b1b4f668134ac6be">
        <m:complexRule comparator="Eq" title="其他应收款按款项性质分类情况金额合计@本期期初数" test=" $_GBC_a6a3a808ce3142a0984e62d6762c06af" id="Cb7215836251a4ce3af574610ecbf1193"/>
      </m:item>
    </m:section>
    <m:section xlName="_SEC_5ff83398df8949c88f89340b5b0e52f6" title="坏账准备计提情况" helpText="如存在坏账准备，应按照财政部企业会计准则第37号第83条规定，披露损失准备期初余额与期末余额的调节表">
      <m:item xlName="_GBC_29d0c5a1588a4f6589b1f8148c9ef180" concept="clcid-ci-ar:ShiFouShiYongQiTaYingShouKuanHuaiZhangZhunBeiTiaoJieBiao" label="是否适用：其他应收款坏账准备调节表" selectOptions="_buildInAppliance" controlType="CustomCheckbox" cRanges="[{&quot;StartName&quot;:&quot;_GBC_29d0c5a1588a4f6589b1f8148c9ef180&quot;,&quot;EndName&quot;:&quot;_GBC_c77e5f8c38ce4ec6a3d7f7da4dfddc19&quot;,&quot;CType&quot;:1}]"/>
      <m:item xlName="_GBC_c65b82e3cfaf4fde8d75eac8c9a6e9f9" concept="clcid-ci-ar:DanWeiQiTaYingShouKuanHuaiZhangZhunBeiTiaoJieBiao" label="单位：其他应收款坏账准备调节表" selectOptions="_buildInScales" controlType="Combobox" cellType="Scale" appId="_GBC_29d0c5a1588a4f6589b1f8148c9ef180"/>
      <m:item xlName="_GBC_08cd78a434cc441cbfff10030c5a8719" concept="clcid-ci-ar:BiZhongQiTaYingShouKuanHuaiZhangZhunBeiTiaoJieBiao" label="币种：其他应收款坏账准备调节表" selectOptions="_buildInISO4217" controlType="Combobox" cellType="Measure" appId="_GBC_29d0c5a1588a4f6589b1f8148c9ef180"/>
      <m:placeholder xlName="_PLD_0df16deeb9614db49d9aa88a31229d9a" addr="T0R0C0S2_1"/>
      <m:placeholder xlName="_PLD_f47baed0f5d14c0486b4530b2aa1cb4c" addr="T0R0C1S1_1"/>
      <m:placeholder xlName="_PLD_a29dd4725bec4eb78b246b92252a24df" addr="T0R0C2S1_1"/>
      <m:placeholder xlName="_PLD_c495a5d3c56f4cb9a0bd5cc9cc9b5410" addr="T0R0C3S1_1"/>
      <m:placeholder xlName="_PLD_0dc8bab0b7424c1295b83fcc97ca7554" addr="T0R0C4S2_1"/>
      <m:placeholder xlName="_PLD_08f8b6a1fd974f0d8ae0c04f27849740" addr="T0R1C1S1_1"/>
      <m:placeholder xlName="_PLD_c85cfe8f6d6a4ab0af13d30e76cd7800" addr="T0R1C2S1_1"/>
      <m:placeholder xlName="_PLD_2df6c7466f224906aa04a411975e6f79" addr="T0R1C3S1_1"/>
      <m:placeholder xlName="_PLD_2d320061b2c04b43aa4ffcb4160cc3e9" addr="T0R2C0S1_1"/>
      <m:item xlName="_GBC_0ea694eb8c5d4ee6854cc2256d9e1c0c" concept="clcid-pte:QiTaYingShouKuanHuaiZhangZhunBeiDiYiJieDuan" label="其他应收款坏账准备（第一阶段）" periodRef="本期期初数" mulRef="_GBC_c65b82e3cfaf4fde8d75eac8c9a6e9f9" unitRef="_GBC_08cd78a434cc441cbfff10030c5a8719" addr="T0R2C1S1_1" formatStyle="Comma" appId="_GBC_29d0c5a1588a4f6589b1f8148c9ef180"/>
      <m:item xlName="_GBC_a4c7451850b34abc80b6f6bbe94f297f" concept="clcid-pte:QiTaYingShouKuanHuaiZhangZhunBeiDiErJieDuan" label="其他应收款坏账准备（第二阶段）" periodRef="本期期初数" mulRef="_GBC_c65b82e3cfaf4fde8d75eac8c9a6e9f9" unitRef="_GBC_08cd78a434cc441cbfff10030c5a8719" addr="T0R2C2S1_1" formatStyle="Comma" appId="_GBC_29d0c5a1588a4f6589b1f8148c9ef180"/>
      <m:item xlName="_GBC_136c38e723444779b5cb47f972a5f6ce" concept="clcid-pte:QiTaYingShouKuanHuaiZhangZhunBeiDiSanJieDuan" label="其他应收款坏账准备（第三阶段）" periodRef="本期期初数" mulRef="_GBC_c65b82e3cfaf4fde8d75eac8c9a6e9f9" unitRef="_GBC_08cd78a434cc441cbfff10030c5a8719" addr="T0R2C3S1_1" formatStyle="Comma" appId="_GBC_29d0c5a1588a4f6589b1f8148c9ef180"/>
      <m:item xlName="_GBC_596999ba1f2f47c8a6cfee9a94d37f10" concept="clcid-pte:QiTaYingShouKuanHuaiZhangZhunBei" label="其他应收款坏账准备" periodRef="本期期初数" mulRef="_GBC_c65b82e3cfaf4fde8d75eac8c9a6e9f9" unitRef="_GBC_08cd78a434cc441cbfff10030c5a8719" addr="T0R2C4S1_1" formatStyle="Comma" appId="_GBC_29d0c5a1588a4f6589b1f8148c9ef180"/>
      <m:placeholder xlName="_PLD_87947ae743a54051a279d9db76e17d3e" addr="T0R3C0S1_1"/>
      <m:item xlName="_GBC_8de9922d347b4b96b867568320b763aa" concept="clcid-pte:QiTaYingShouKuanHuaiZhangZhunBeiBenQiZhuanRuHuoZhuanHuiDiYiJieDuan" label="其他应收款坏账准备本期转入或转回（第一阶段）" mulRef="_GBC_c65b82e3cfaf4fde8d75eac8c9a6e9f9" unitRef="_GBC_08cd78a434cc441cbfff10030c5a8719" addr="T0R3C1S1_1" formatStyle="Comma" appId="_GBC_29d0c5a1588a4f6589b1f8148c9ef180"/>
      <m:item xlName="_GBC_f8da7b9ac3c74019908add4e998641ab" concept="clcid-pte:QiTaYingShouKuanHuaiZhangZhunBeiBenQiZhuanRuHuoZhuanHuiDiErJieDuan" label="其他应收款坏账准备本期转入或转回（第二阶段）" mulRef="_GBC_c65b82e3cfaf4fde8d75eac8c9a6e9f9" unitRef="_GBC_08cd78a434cc441cbfff10030c5a8719" addr="T0R3C2S1_1" formatStyle="Comma" appId="_GBC_29d0c5a1588a4f6589b1f8148c9ef180"/>
      <m:item xlName="_GBC_0c6c20d71d014e2a98458a1678d2a699" concept="clcid-pte:QiTaYingShouKuanHuaiZhangZhunBeiBenQiZhuanRuHuoZhuanHuiDiSanJieDuan" label="其他应收款坏账准备本期转入或转回（第三阶段）" mulRef="_GBC_c65b82e3cfaf4fde8d75eac8c9a6e9f9" unitRef="_GBC_08cd78a434cc441cbfff10030c5a8719" addr="T0R3C3S1_1" formatStyle="Comma" appId="_GBC_29d0c5a1588a4f6589b1f8148c9ef180"/>
      <m:item xlName="_GBC_7fef6d1bc4bf441ab2678d68b04dffb6" concept="clcid-pte:QiTaYingShouKuanHuaiZhangZhunBeiBenQiZhuanRuHuoZhuanHuiJieDuanHeJi" label="其他应收款坏账准备本期转入或转回阶段合计" mulRef="_GBC_c65b82e3cfaf4fde8d75eac8c9a6e9f9" unitRef="_GBC_08cd78a434cc441cbfff10030c5a8719" addr="T0R3C4S1_1" formatStyle="Comma" appId="_GBC_29d0c5a1588a4f6589b1f8148c9ef180"/>
      <m:placeholder xlName="_PLD_038143b9e2e34542b73dcfc1430d95cc" addr="T0R4C0S1_1"/>
      <m:item xlName="_GBC_1ecce60ffa9f43e5b95b6bdd31359e03" concept="clcid-pte:QiTaYingShouKuanHuaiZhangZhunBeiBenQiZhuanRuDiErJieDuanDiYiJieDuan" label="其他应收款坏账准备本期转入第二阶段（第一阶段）" mulRef="_GBC_c65b82e3cfaf4fde8d75eac8c9a6e9f9" unitRef="_GBC_08cd78a434cc441cbfff10030c5a8719" addr="T0R4C1S1_1" formatStyle="Comma" appId="_GBC_29d0c5a1588a4f6589b1f8148c9ef180"/>
      <m:item xlName="_GBC_b2ceebe4b0844f739fd19e8b99c1b14e" concept="clcid-pte:QiTaYingShouKuanHuaiZhangZhunBeiBenQiZhuanRuDiErJieDuanDiErJieDuan" label="其他应收款坏账准备本期转入第二阶段（第二阶段）" mulRef="_GBC_c65b82e3cfaf4fde8d75eac8c9a6e9f9" unitRef="_GBC_08cd78a434cc441cbfff10030c5a8719" addr="T0R4C2S1_1" formatStyle="Comma" appId="_GBC_29d0c5a1588a4f6589b1f8148c9ef180"/>
      <m:item xlName="_GBC_3597ffeacaee48e5a9f323499197efef" concept="clcid-pte:QiTaYingShouKuanHuaiZhangZhunBeiBenQiZhuanRuDiErJieDuanDiSanJieDuan" label="其他应收款坏账准备本期转入第二阶段（第三阶段）" mulRef="_GBC_c65b82e3cfaf4fde8d75eac8c9a6e9f9" unitRef="_GBC_08cd78a434cc441cbfff10030c5a8719" addr="T0R4C3S1_1" formatStyle="Comma" appId="_GBC_29d0c5a1588a4f6589b1f8148c9ef180"/>
      <m:item xlName="_GBC_f215313a7ead4aeeb70be1bcef05dd81" concept="clcid-pte:QiTaYingShouKuanHuaiZhangZhunBeiBenQiZhuanRuDiErJieDuanJieDuanHeJi" label="其他应收款坏账准备本期转入第二阶段阶段合计" mulRef="_GBC_c65b82e3cfaf4fde8d75eac8c9a6e9f9" unitRef="_GBC_08cd78a434cc441cbfff10030c5a8719" addr="T0R4C4S1_1" formatStyle="Comma" appId="_GBC_29d0c5a1588a4f6589b1f8148c9ef180"/>
      <m:placeholder xlName="_PLD_a76d00fce3fe4d29be0ddd475d30b2c0" addr="T0R5C0S1_1"/>
      <m:item xlName="_GBC_7d6e6f7e02ef49598f902a01b8f01147" concept="clcid-pte:QiTaYingShouKuanHuaiZhangZhunBeiBenQiZhuanRuDiSanJieDuanDiYiJieDuan" label="其他应收款坏账准备本期转入第三阶段（第一阶段）" mulRef="_GBC_c65b82e3cfaf4fde8d75eac8c9a6e9f9" unitRef="_GBC_08cd78a434cc441cbfff10030c5a8719" addr="T0R5C1S1_1" formatStyle="Comma" appId="_GBC_29d0c5a1588a4f6589b1f8148c9ef180"/>
      <m:item xlName="_GBC_ade889a37c224f0ebf498406a08bfd02" concept="clcid-pte:QiTaYingShouKuanHuaiZhangZhunBeiBenQiZhuanRuDiSanJieDuanDiErJieDuan" label="其他应收款坏账准备本期转入第三阶段（第二阶段）" mulRef="_GBC_c65b82e3cfaf4fde8d75eac8c9a6e9f9" unitRef="_GBC_08cd78a434cc441cbfff10030c5a8719" addr="T0R5C2S1_1" formatStyle="Comma" appId="_GBC_29d0c5a1588a4f6589b1f8148c9ef180"/>
      <m:item xlName="_GBC_785196d92dc7428d9259aeaf7397b787" concept="clcid-pte:QiTaYingShouKuanHuaiZhangZhunBeiBenQiZhuanRuDiSanJieDuanDiSanJieDuan" label="其他应收款坏账准备本期转入第三阶段（第三阶段）" mulRef="_GBC_c65b82e3cfaf4fde8d75eac8c9a6e9f9" unitRef="_GBC_08cd78a434cc441cbfff10030c5a8719" addr="T0R5C3S1_1" formatStyle="Comma" appId="_GBC_29d0c5a1588a4f6589b1f8148c9ef180"/>
      <m:item xlName="_GBC_8d7edfe9622b4d5d904809b0bd14d665" concept="clcid-pte:QiTaYingShouKuanHuaiZhangZhunBeiBenQiZhuanRuDiSanJieDuanJieDuanHeJi" label="其他应收款坏账准备本期转入第三阶段阶段合计" mulRef="_GBC_c65b82e3cfaf4fde8d75eac8c9a6e9f9" unitRef="_GBC_08cd78a434cc441cbfff10030c5a8719" addr="T0R5C4S1_1" formatStyle="Comma" appId="_GBC_29d0c5a1588a4f6589b1f8148c9ef180"/>
      <m:placeholder xlName="_PLD_7f587129b9194265b30ab5ac06c73ae1" addr="T0R6C0S1_1"/>
      <m:item xlName="_GBC_e092524ff5d64db4bc10ddc1e4b43e13" concept="clcid-pte:QiTaYingShouKuanHuaiZhangZhunBeiBenQiZhuanHuiDiErJieDuanDiYiJieDuan" label="其他应收款坏账准备本期转回第二阶段（第一阶段）" mulRef="_GBC_c65b82e3cfaf4fde8d75eac8c9a6e9f9" unitRef="_GBC_08cd78a434cc441cbfff10030c5a8719" addr="T0R6C1S1_1" formatStyle="Comma" appId="_GBC_29d0c5a1588a4f6589b1f8148c9ef180"/>
      <m:item xlName="_GBC_dfce419fe9db49049d0ba8bcab23029c" concept="clcid-pte:QiTaYingShouKuanHuaiZhangZhunBeiBenQiZhuanHuiDiErJieDuanDiErJieDuan" label="其他应收款坏账准备本期转回第二阶段（第二阶段）" mulRef="_GBC_c65b82e3cfaf4fde8d75eac8c9a6e9f9" unitRef="_GBC_08cd78a434cc441cbfff10030c5a8719" addr="T0R6C2S1_1" formatStyle="Comma" appId="_GBC_29d0c5a1588a4f6589b1f8148c9ef180"/>
      <m:item xlName="_GBC_24e2c3972cdc4670b87448faf9bd4a67" concept="clcid-pte:QiTaYingShouKuanHuaiZhangZhunBeiBenQiZhuanHuiDiErJieDuanDiSanJieDuan" label="其他应收款坏账准备本期转回第二阶段（第三阶段）" mulRef="_GBC_c65b82e3cfaf4fde8d75eac8c9a6e9f9" unitRef="_GBC_08cd78a434cc441cbfff10030c5a8719" addr="T0R6C3S1_1" formatStyle="Comma" appId="_GBC_29d0c5a1588a4f6589b1f8148c9ef180"/>
      <m:item xlName="_GBC_60d20e52b11945208bcf09d87faf64b9" concept="clcid-pte:QiTaYingShouKuanHuaiZhangZhunBeiBenQiZhuanHuiDiErJieDuanJieDuanHeJi" label="其他应收款坏账准备本期转回第二阶段阶段合计" mulRef="_GBC_c65b82e3cfaf4fde8d75eac8c9a6e9f9" unitRef="_GBC_08cd78a434cc441cbfff10030c5a8719" addr="T0R6C4S1_1" formatStyle="Comma" appId="_GBC_29d0c5a1588a4f6589b1f8148c9ef180"/>
      <m:placeholder xlName="_PLD_7b7c467e47354ee5a30772a2b1c39114" addr="T0R7C0S1_1"/>
      <m:item xlName="_GBC_bb19de78a35e4d828c7068a78e277946" concept="clcid-pte:QiTaYingShouKuanHuaiZhangZhunBeiBenQiZhuanHuiDiYiJieDuanDiYiJieDuan" label="其他应收款坏账准备本期转回第一阶段（第一阶段）" mulRef="_GBC_c65b82e3cfaf4fde8d75eac8c9a6e9f9" unitRef="_GBC_08cd78a434cc441cbfff10030c5a8719" addr="T0R7C1S1_1" formatStyle="Comma" appId="_GBC_29d0c5a1588a4f6589b1f8148c9ef180"/>
      <m:item xlName="_GBC_253a517c03b144f9b01226b5cd0e3db5" concept="clcid-pte:QiTaYingShouKuanHuaiZhangZhunBeiBenQiZhuanHuiDiYiJieDuanDiErJieDuan" label="其他应收款坏账准备本期转回第一阶段（第二阶段）" mulRef="_GBC_c65b82e3cfaf4fde8d75eac8c9a6e9f9" unitRef="_GBC_08cd78a434cc441cbfff10030c5a8719" addr="T0R7C2S1_1" formatStyle="Comma" appId="_GBC_29d0c5a1588a4f6589b1f8148c9ef180"/>
      <m:item xlName="_GBC_2a339984ccfc49859dbcd6b918924fe7" concept="clcid-pte:QiTaYingShouKuanHuaiZhangZhunBeiBenQiZhuanHuiDiYiJieDuanDiSanJieDuan" label="其他应收款坏账准备本期转回第一阶段（第三阶段）" mulRef="_GBC_c65b82e3cfaf4fde8d75eac8c9a6e9f9" unitRef="_GBC_08cd78a434cc441cbfff10030c5a8719" addr="T0R7C3S1_1" formatStyle="Comma" appId="_GBC_29d0c5a1588a4f6589b1f8148c9ef180"/>
      <m:item xlName="_GBC_ce7a99c7e02c45f88317093717cef9ee" concept="clcid-pte:QiTaYingShouKuanHuaiZhangZhunBeiBenQiZhuanHuiDiYiJieDuanJieDuanHeJi" label="其他应收款坏账准备本期转回第一阶段阶段合计" mulRef="_GBC_c65b82e3cfaf4fde8d75eac8c9a6e9f9" unitRef="_GBC_08cd78a434cc441cbfff10030c5a8719" addr="T0R7C4S1_1" formatStyle="Comma" appId="_GBC_29d0c5a1588a4f6589b1f8148c9ef180"/>
      <m:placeholder xlName="_PLD_539b03f459c4452c8b986b7b696cbc3f" addr="T0R8C0S1_1"/>
      <m:item xlName="_GBC_10c0c9b6e395460fb00427190c0d2aa3" concept="clcid-pte:QiTaYingShouKuanHuaiZhangZhunBeiBenQiXinZengJiTiDiYiJieDuan" label="其他应收款坏账准备本期新增计提（第一阶段）" mulRef="_GBC_c65b82e3cfaf4fde8d75eac8c9a6e9f9" unitRef="_GBC_08cd78a434cc441cbfff10030c5a8719" addr="T0R8C1S1_1" formatStyle="Comma" appId="_GBC_29d0c5a1588a4f6589b1f8148c9ef180"/>
      <m:item xlName="_GBC_f32870b65a0f41dbbe7f5b380c1c0edb" concept="clcid-pte:QiTaYingShouKuanHuaiZhangZhunBeiBenQiXinZengJiTiDiErJieDuan" label="其他应收款坏账准备本期新增计提（第二阶段）" mulRef="_GBC_c65b82e3cfaf4fde8d75eac8c9a6e9f9" unitRef="_GBC_08cd78a434cc441cbfff10030c5a8719" addr="T0R8C2S1_1" formatStyle="Comma" appId="_GBC_29d0c5a1588a4f6589b1f8148c9ef180"/>
      <m:item xlName="_GBC_f428ff1dac4245ac91112ccf0d10c446" concept="clcid-pte:QiTaYingShouKuanHuaiZhangZhunBeiBenQiXinZengJiTiDiSanJieDuan" label="其他应收款坏账准备本期新增计提（第三阶段）" mulRef="_GBC_c65b82e3cfaf4fde8d75eac8c9a6e9f9" unitRef="_GBC_08cd78a434cc441cbfff10030c5a8719" addr="T0R8C3S1_1" formatStyle="Comma" appId="_GBC_29d0c5a1588a4f6589b1f8148c9ef180"/>
      <m:item xlName="_GBC_adc16033c56e4fbebca34cf1b557421b" concept="clcid-pte:QiTaYingShouKuanHuaiZhangZhunBeiBenQiXinZengJiTiJieDuanHeJi" label="其他应收款坏账准备本期新增计提阶段合计" mulRef="_GBC_c65b82e3cfaf4fde8d75eac8c9a6e9f9" unitRef="_GBC_08cd78a434cc441cbfff10030c5a8719" addr="T0R8C4S1_1" formatStyle="Comma" appId="_GBC_29d0c5a1588a4f6589b1f8148c9ef180"/>
      <m:placeholder xlName="_PLD_ddcd4306bc5c4cc89da3fd6a733c0801" addr="T0R9C0S1_1"/>
      <m:item xlName="_GBC_ee3164cb4e4e4a6c98236cd68f440640" concept="clcid-pte:QiTaYingShouKuanHuaiZhangZhunBeiBenQiZhuanHuiDiYiJieDuan" label="其他应收款坏账准备本期转回（第一阶段）" mulRef="_GBC_c65b82e3cfaf4fde8d75eac8c9a6e9f9" unitRef="_GBC_08cd78a434cc441cbfff10030c5a8719" addr="T0R9C1S1_1" formatStyle="Comma" appId="_GBC_29d0c5a1588a4f6589b1f8148c9ef180"/>
      <m:item xlName="_GBC_ff32adb130b14157ba337f1ab2d83c02" concept="clcid-pte:QiTaYingShouKuanHuaiZhangZhunBeiBenQiZhuanHuiDiErJieDuan" label="其他应收款坏账准备本期转回（第二阶段）" mulRef="_GBC_c65b82e3cfaf4fde8d75eac8c9a6e9f9" unitRef="_GBC_08cd78a434cc441cbfff10030c5a8719" addr="T0R9C2S1_1" formatStyle="Comma" appId="_GBC_29d0c5a1588a4f6589b1f8148c9ef180"/>
      <m:item xlName="_GBC_7102149a37854235b7f6da929b5a9dfe" concept="clcid-pte:QiTaYingShouKuanHuaiZhangZhunBeiBenQiZhuanHuiDiSanJieDuan" label="其他应收款坏账准备本期转回（第三阶段）" mulRef="_GBC_c65b82e3cfaf4fde8d75eac8c9a6e9f9" unitRef="_GBC_08cd78a434cc441cbfff10030c5a8719" addr="T0R9C3S1_1" formatStyle="Comma" appId="_GBC_29d0c5a1588a4f6589b1f8148c9ef180"/>
      <m:item xlName="_GBC_b54ebb3abe6b455993a454ef172fc4b0" concept="clcid-pte:QiTaYingShouKuanHuaiZhangZhunBeiBenQiZhuanHuiJieDuanHeJi" label="其他应收款坏账准备本期转回阶段合计" mulRef="_GBC_c65b82e3cfaf4fde8d75eac8c9a6e9f9" unitRef="_GBC_08cd78a434cc441cbfff10030c5a8719" addr="T0R9C4S1_1" formatStyle="Comma" appId="_GBC_29d0c5a1588a4f6589b1f8148c9ef180"/>
      <m:placeholder xlName="_PLD_1c4657ced479496a86e3dc375f285889" addr="T0R10C0S1_1"/>
      <m:item xlName="_GBC_32cd968cce1044df853ba704754bfbc9" concept="clcid-pte:QiTaYingShouKuanHuaiZhangZhunBeiBenQiZhuanXiaoDiYiJieDuan" label="其他应收款坏账准备本期转销（第一阶段）" mulRef="_GBC_c65b82e3cfaf4fde8d75eac8c9a6e9f9" unitRef="_GBC_08cd78a434cc441cbfff10030c5a8719" addr="T0R10C1S1_1" formatStyle="Comma" appId="_GBC_29d0c5a1588a4f6589b1f8148c9ef180"/>
      <m:item xlName="_GBC_b061efdd6596428caf9a5db6b9b537f6" concept="clcid-pte:QiTaYingShouKuanHuaiZhangZhunBeiBenQiZhuanXiaoDiErJieDuan" label="其他应收款坏账准备本期转销（第二阶段）" mulRef="_GBC_c65b82e3cfaf4fde8d75eac8c9a6e9f9" unitRef="_GBC_08cd78a434cc441cbfff10030c5a8719" addr="T0R10C2S1_1" formatStyle="Comma" appId="_GBC_29d0c5a1588a4f6589b1f8148c9ef180"/>
      <m:item xlName="_GBC_7fa7c5a81a0842f5853f94b5d490cad2" concept="clcid-pte:QiTaYingShouKuanHuaiZhangZhunBeiBenQiZhuanXiaoDiSanJieDuan" label="其他应收款坏账准备本期转销（第三阶段）" mulRef="_GBC_c65b82e3cfaf4fde8d75eac8c9a6e9f9" unitRef="_GBC_08cd78a434cc441cbfff10030c5a8719" addr="T0R10C3S1_1" formatStyle="Comma" appId="_GBC_29d0c5a1588a4f6589b1f8148c9ef180"/>
      <m:item xlName="_GBC_c24fc9ff5ff84dbcaff698f2c3d3ea61" concept="clcid-pte:QiTaYingShouKuanHuaiZhangZhunBeiBenQiZhuanXiaoJieDuanHeJi" label="其他应收款坏账准备本期转销阶段合计" mulRef="_GBC_c65b82e3cfaf4fde8d75eac8c9a6e9f9" unitRef="_GBC_08cd78a434cc441cbfff10030c5a8719" addr="T0R10C4S1_1" formatStyle="Comma" appId="_GBC_29d0c5a1588a4f6589b1f8148c9ef180"/>
      <m:placeholder xlName="_PLD_8a1f66e013df42ccbcaccfe3645b25ea" addr="T0R11C0S1_1"/>
      <m:item xlName="_GBC_4491326945ef4f50a93e0a5544e1afba" concept="clcid-pte:QiTaYingShouKuanHuaiZhangZhunBeiBenQiHeXiaoDiYiJieDuan" label="其他应收款坏账准备本期核销（第一阶段）" mulRef="_GBC_c65b82e3cfaf4fde8d75eac8c9a6e9f9" unitRef="_GBC_08cd78a434cc441cbfff10030c5a8719" addr="T0R11C1S1_1" formatStyle="Comma" appId="_GBC_29d0c5a1588a4f6589b1f8148c9ef180"/>
      <m:item xlName="_GBC_68a6384f65fe428c9ce9deb8aa48047a" concept="clcid-pte:QiTaYingShouKuanHuaiZhangZhunBeiBenQiHeXiaoDiErJieDuan" label="其他应收款坏账准备本期核销（第二阶段）" mulRef="_GBC_c65b82e3cfaf4fde8d75eac8c9a6e9f9" unitRef="_GBC_08cd78a434cc441cbfff10030c5a8719" addr="T0R11C2S1_1" formatStyle="Comma" appId="_GBC_29d0c5a1588a4f6589b1f8148c9ef180"/>
      <m:item xlName="_GBC_ce56826f442d41639624644ef1c9123a" concept="clcid-pte:QiTaYingShouKuanHuaiZhangZhunBeiBenQiHeXiaoDiSanJieDuan" label="其他应收款坏账准备本期核销（第三阶段）" mulRef="_GBC_c65b82e3cfaf4fde8d75eac8c9a6e9f9" unitRef="_GBC_08cd78a434cc441cbfff10030c5a8719" addr="T0R11C3S1_1" formatStyle="Comma" appId="_GBC_29d0c5a1588a4f6589b1f8148c9ef180"/>
      <m:item xlName="_GBC_11fb74251209472aa591833495134172" concept="clcid-pte:QiTaYingShouKuanHuaiZhangZhunBeiBenQiHeXiaoJieDuanHeJi" label="其他应收款坏账准备本期核销阶段合计" mulRef="_GBC_c65b82e3cfaf4fde8d75eac8c9a6e9f9" unitRef="_GBC_08cd78a434cc441cbfff10030c5a8719" addr="T0R11C4S1_1" formatStyle="Comma" appId="_GBC_29d0c5a1588a4f6589b1f8148c9ef180"/>
      <m:placeholder xlName="_PLD_80203c10cb0c468dbd7a48669ddd0f63" addr="T0R12C0S1_1"/>
      <m:item xlName="_GBC_1e890883f55d4e83b7dc1dc802261e5f" concept="clcid-pte:QiTaYingShouKuanHuaiZhangZhunBeiBenQiQiTaBianDongDiYiJieDuan" label="其他应收款坏账准备本期其他变动（第一阶段）" mulRef="_GBC_c65b82e3cfaf4fde8d75eac8c9a6e9f9" unitRef="_GBC_08cd78a434cc441cbfff10030c5a8719" addr="T0R12C1S1_1" formatStyle="Comma" appId="_GBC_29d0c5a1588a4f6589b1f8148c9ef180"/>
      <m:item xlName="_GBC_fd973b6ee8414d30bce19a1bc29f71f5" concept="clcid-pte:QiTaYingShouKuanHuaiZhangZhunBeiBenQiQiTaBianDongDiErJieDuan" label="其他应收款坏账准备本期其他变动（第二阶段）" mulRef="_GBC_c65b82e3cfaf4fde8d75eac8c9a6e9f9" unitRef="_GBC_08cd78a434cc441cbfff10030c5a8719" addr="T0R12C2S1_1" formatStyle="Comma" appId="_GBC_29d0c5a1588a4f6589b1f8148c9ef180"/>
      <m:item xlName="_GBC_7d556740a0fb4a79897d5c7f57e50f8c" concept="clcid-pte:QiTaYingShouKuanHuaiZhangZhunBeiBenQiQiTaBianDongDiSanJieDuan" label="其他应收款坏账准备本期其他变动（第三阶段）" mulRef="_GBC_c65b82e3cfaf4fde8d75eac8c9a6e9f9" unitRef="_GBC_08cd78a434cc441cbfff10030c5a8719" addr="T0R12C3S1_1" formatStyle="Comma" appId="_GBC_29d0c5a1588a4f6589b1f8148c9ef180"/>
      <m:item xlName="_GBC_9ec5b2236094405ab24c756f50e21874" concept="clcid-pte:QiTaYingShouKuanHuaiZhangZhunBeiBenQiQiTaBianDongJieDuanHeJi" label="其他应收款坏账准备本期其他变动阶段合计" mulRef="_GBC_c65b82e3cfaf4fde8d75eac8c9a6e9f9" unitRef="_GBC_08cd78a434cc441cbfff10030c5a8719" addr="T0R12C4S1_1" formatStyle="Comma" appId="_GBC_29d0c5a1588a4f6589b1f8148c9ef180"/>
      <m:placeholder xlName="_PLD_bb669c94f1734a70be90735195c143c3" addr="T0R13C0S1_1"/>
      <m:item xlName="_GBC_fdbd667603b9498ca7a1e5f6e26382b6" concept="clcid-pte:QiTaYingShouKuanHuaiZhangZhunBeiDiYiJieDuan" label="其他应收款坏账准备（第一阶段）" mulRef="_GBC_c65b82e3cfaf4fde8d75eac8c9a6e9f9" unitRef="_GBC_08cd78a434cc441cbfff10030c5a8719" addr="T0R13C1S1_1" formatStyle="Comma" appId="_GBC_29d0c5a1588a4f6589b1f8148c9ef180"/>
      <m:item xlName="_GBC_4357e821e90d46bc85b055d3b0ab4867" concept="clcid-pte:QiTaYingShouKuanHuaiZhangZhunBeiDiErJieDuan" label="其他应收款坏账准备（第二阶段）" mulRef="_GBC_c65b82e3cfaf4fde8d75eac8c9a6e9f9" unitRef="_GBC_08cd78a434cc441cbfff10030c5a8719" addr="T0R13C2S1_1" formatStyle="Comma" appId="_GBC_29d0c5a1588a4f6589b1f8148c9ef180"/>
      <m:item xlName="_GBC_67d11f418ee24058b696c8ca5f83e6f8" concept="clcid-pte:QiTaYingShouKuanHuaiZhangZhunBeiDiSanJieDuan" label="其他应收款坏账准备（第三阶段）" mulRef="_GBC_c65b82e3cfaf4fde8d75eac8c9a6e9f9" unitRef="_GBC_08cd78a434cc441cbfff10030c5a8719" addr="T0R13C3S1_1" formatStyle="Comma" appId="_GBC_29d0c5a1588a4f6589b1f8148c9ef180"/>
      <m:item xlName="_GBC_fd350bf6b9144ba3b96e06cc6cf9f6f3" concept="clcid-pte:QiTaYingShouKuanHuaiZhangZhunBei" label="其他应收款坏账准备" mulRef="_GBC_c65b82e3cfaf4fde8d75eac8c9a6e9f9" unitRef="_GBC_08cd78a434cc441cbfff10030c5a8719" addr="T0R13C4S1_1" formatStyle="Comma" appId="_GBC_29d0c5a1588a4f6589b1f8148c9ef180"/>
      <m:item xlName="_GBC_32e9d68fc5194869baa30fe15720ff13"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32e9d68fc5194869baa30fe15720ff13&quot;,&quot;EndName&quot;:&quot;_GBC_b0dd7f18e55c4caeb6b5121109090a7a&quot;,&quot;CType&quot;:1}]"/>
      <m:item xlName="_GBC_b0dd7f18e55c4caeb6b5121109090a7a" concept="clcid-pte:QiTaYingShouKuanBenQiFaShengSunShiZhunBeiBianDongQieZhangMianYuEXianZhuBianDongDeQingKuangShuoMing" label="其他应收款本期发生损失准备变动且账面余额显著变动的情况说明" appId="_GBC_32e9d68fc5194869baa30fe15720ff13"/>
      <m:item xlName="_GBC_dde26fcf385445edb7b0e96dab2a2b3e"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dde26fcf385445edb7b0e96dab2a2b3e&quot;,&quot;EndName&quot;:&quot;_GBC_c77e5f8c38ce4ec6a3d7f7da4dfddc19&quot;,&quot;CType&quot;:1}]"/>
      <m:item xlName="_GBC_c77e5f8c38ce4ec6a3d7f7da4dfddc19" concept="clcid-pte:QiTaYingShouKuanBenQiHuaiZhangZhunBeiJiTiJinEYiJiPingGuJinRongGongJuDeXinYongFengXianXianZhuZengJiaDeCaiYongYiJu" label="其他应收款本期坏账准备计提金额以及评估金融工具的信用风险显著增加的采用依据" appId="_GBC_dde26fcf385445edb7b0e96dab2a2b3e"/>
    </m:section>
    <m:section xlName="_SEC_93dacca8700c43aaba11477ef4689aa6" title="坏账准备的情况">
      <m:item xlName="_GBC_b3f4f88802a54b1da539ba2563000c5c" concept="clcid-ci-ar:ShiFouShiYongQiTaYingShouKuanHuaiZhangZhunBei" label="是否适用：其他应收款坏账准备" selectOptions="_buildInAppliance" controlType="CustomCheckbox" cRanges="[{&quot;StartName&quot;:&quot;_GBC_b3f4f88802a54b1da539ba2563000c5c&quot;,&quot;EndName&quot;:&quot;_GBC_a1baeaf1f2a74440b96714785b9db8fd&quot;,&quot;CType&quot;:1}]"/>
      <m:item xlName="_GBC_1cb0ccc9627340bb9775e68ec1d11af7" concept="clcid-ci-ar:DanWeiQiTaYingShouKuanHuaiZhangZhunBei" label="单位：其他应收款坏账准备" selectOptions="_buildInScales" controlType="Combobox" cellType="Scale" appId="_GBC_b3f4f88802a54b1da539ba2563000c5c"/>
      <m:item xlName="_GBC_14d59c8ccaef434da24604201125f1f0" concept="clcid-ci-ar:BiZhongQiTaYingShouKuanHuaiZhangZhunBei" label="币种：其他应收款坏账准备" selectOptions="_buildInISO4217" controlType="Combobox" cellType="Measure" appId="_GBC_b3f4f88802a54b1da539ba2563000c5c"/>
      <m:placeholder xlName="_PLD_31bfbbc8809c484e8788c004875b73f7" addr="T0R0C0S2_1"/>
      <m:placeholder xlName="_PLD_8a84de1ffd5c434f9fdf644972838511" addr="T0R0C1S2_1"/>
      <m:placeholder xlName="_PLD_98e8a6b913f14f6ca45be028ca7fe9b3" addr="T0R0C2S1_4"/>
      <m:placeholder xlName="_PLD_79cbcdb53d6946aa8890a6614ae8fa7c" addr="T0R0C6S2_1"/>
      <m:placeholder xlName="_PLD_e690235010e24ffc8796adbde1bb559c" addr="T0R1C2S1_1"/>
      <m:placeholder xlName="_PLD_d059ae406aed4a3a8f46c2d712ef508e" addr="T0R1C3S1_1"/>
      <m:placeholder xlName="_PLD_da780fd6da3646febcd85bf9dbd8b64e" addr="T0R1C4S1_1"/>
      <m:placeholder xlName="_PLD_d6a9b9888c1a49429189a2a72159c309" addr="T0R1C5S1_1"/>
      <m:tuple xlName="_TUP_7a0cb2b2adeb4af281afaba9c5959134" concept="clcid-pte:QiTaYingShouKuanHuaiZhangZhunBeiMingXi" default_row="2" addr="T0R2C">
        <m:item xlName="_GBC_1ed8d45db7cd42f1a2f33488ede4edca" concept="clcid-pte:QiTaYingShouKuanHuaiZhangZhunBeiMingXiLeiBie" label="其他应收款坏账准备明细-类别" addr="T0R2C0S1_1" appId="_GBC_b3f4f88802a54b1da539ba2563000c5c"/>
        <m:item xlName="_GBC_6301e26010c6499197a59229043b7248" concept="clcid-pte:QiTaYingShouKuanHuaiZhangZhunBeiMingXiFaShengE" label="其他应收款坏账准备明细-发生额" periodRef="本期期初数" mulRef="_GBC_1cb0ccc9627340bb9775e68ec1d11af7" unitRef="_GBC_14d59c8ccaef434da24604201125f1f0" addr="T0R2C1S1_1" formatStyle="Comma" appId="_GBC_b3f4f88802a54b1da539ba2563000c5c"/>
        <m:item xlName="_GBC_e6f5658bb7ff4c468289dbee141a6299" concept="clcid-pte:QiTaYingShouKuanHuaiZhangZhunBeiMingXiBenQiJiTi" label="其他应收款坏账准备明细-本期计提" mulRef="_GBC_1cb0ccc9627340bb9775e68ec1d11af7" unitRef="_GBC_14d59c8ccaef434da24604201125f1f0" addr="T0R2C2S1_1" formatStyle="Comma" appId="_GBC_b3f4f88802a54b1da539ba2563000c5c"/>
        <m:item xlName="_GBC_ee8afed20ca342198e9ff606052640d4" concept="clcid-pte:QiTaYingShouKuanHuaiZhangZhunBeiMingXiShouHuiHuoZhuanHui" label="其他应收款坏账准备明细-收回或转回" mulRef="_GBC_1cb0ccc9627340bb9775e68ec1d11af7" unitRef="_GBC_14d59c8ccaef434da24604201125f1f0" addr="T0R2C3S1_1" formatStyle="Comma" appId="_GBC_b3f4f88802a54b1da539ba2563000c5c"/>
        <m:item xlName="_GBC_be87a5e0efb549019cb584c42a69d9ab" concept="clcid-pte:QiTaYingShouKuanHuaiZhangZhunBeiMingXiZhuanXiaoHuoHeXiao" label="其他应收款坏账准备明细-转销或核销" mulRef="_GBC_1cb0ccc9627340bb9775e68ec1d11af7" unitRef="_GBC_14d59c8ccaef434da24604201125f1f0" addr="T0R2C4S1_1" formatStyle="Comma" appId="_GBC_b3f4f88802a54b1da539ba2563000c5c"/>
        <m:item xlName="_GBC_55d2c46b87034b38965fc71fa063cda1" concept="clcid-pte:QiTaYingShouKuanHuaiZhangZhunBeiMingXiQiTaBianDong" label="其他应收款坏账准备明细-其他变动" mulRef="_GBC_1cb0ccc9627340bb9775e68ec1d11af7" unitRef="_GBC_14d59c8ccaef434da24604201125f1f0" addr="T0R2C5S1_1" formatStyle="Comma" appId="_GBC_b3f4f88802a54b1da539ba2563000c5c"/>
        <m:item xlName="_GBC_1dc3d0bce5d84de4805f5387f099562e" concept="clcid-pte:QiTaYingShouKuanHuaiZhangZhunBeiMingXiFaShengE" label="其他应收款坏账准备明细-发生额" mulRef="_GBC_1cb0ccc9627340bb9775e68ec1d11af7" unitRef="_GBC_14d59c8ccaef434da24604201125f1f0" addr="T0R2C6S1_1" formatStyle="Comma" appId="_GBC_b3f4f88802a54b1da539ba2563000c5c"/>
      </m:tuple>
      <m:placeholder xlName="_PLD_338c13f365964c67a7e58b3e079f4171" addr="T0R4C0S1_1"/>
      <m:item xlName="_GBC_f8cc3f067e114c2d821ad016bcc345db" concept="clcid-pte:QiTaYingShouKuanJiTiDeHuaiZhangZhunBeiYuE" label="其他应收款计提的坏账准备余额" periodRef="本期期初数" mulRef="_GBC_1cb0ccc9627340bb9775e68ec1d11af7" unitRef="_GBC_14d59c8ccaef434da24604201125f1f0" addr="T0R4C1S1_1" formatStyle="Comma" appId="_GBC_b3f4f88802a54b1da539ba2563000c5c">
        <m:complexRule comparator="Eq" title="其他应收款计提的坏账准备余额@本期期初数" test=" $_GBC_6301e26010c6499197a59229043b7248" id="Cc9a82ecc6af34de191073f67f46af4f9"/>
      </m:item>
      <m:item xlName="_GBC_3c931ca76133441aa6e142140245d2ad" concept="clcid-pte:QiTaYingShouKuanHuaiZhangZhunBeiBenQiJiTi" label="其他应收款坏账准备本期计提" mulRef="_GBC_1cb0ccc9627340bb9775e68ec1d11af7" unitRef="_GBC_14d59c8ccaef434da24604201125f1f0" addr="T0R4C2S1_1" formatStyle="Comma" appId="_GBC_b3f4f88802a54b1da539ba2563000c5c">
        <m:complexRule comparator="Eq" title="其他应收款坏账准备本期计提" test=" $_GBC_e6f5658bb7ff4c468289dbee141a6299" id="C1fdda03e3a8a4734b73ffb5602e1fcca"/>
      </m:item>
      <m:item xlName="_GBC_0425b7996d074e6a900b0aceadb4ff53" concept="clcid-pte:QiTaYingShouKuanHuaiZhangZhunBeiBenQiShouHuiHuoZhuanHui" label="其他应收款坏账准备本期收回或转回" mulRef="_GBC_1cb0ccc9627340bb9775e68ec1d11af7" unitRef="_GBC_14d59c8ccaef434da24604201125f1f0" addr="T0R4C3S1_1" formatStyle="Comma" appId="_GBC_b3f4f88802a54b1da539ba2563000c5c">
        <m:complexRule comparator="Eq" title="其他应收款坏账准备本期收回或转回" test=" $_GBC_ee8afed20ca342198e9ff606052640d4" id="C2e83e2170e62420ea2f109c4c5b6e51f"/>
      </m:item>
      <m:item xlName="_GBC_351b101c792f4734ab7e92c4378db5cc" concept="clcid-pte:QiTaYingShouKuanHuaiZhangZhunBeiBenQiZhuanXiaoHuoHeXiao" label="其他应收款坏账准备本期转销或核销" mulRef="_GBC_1cb0ccc9627340bb9775e68ec1d11af7" unitRef="_GBC_14d59c8ccaef434da24604201125f1f0" addr="T0R4C4S1_1" formatStyle="Comma" appId="_GBC_b3f4f88802a54b1da539ba2563000c5c">
        <m:complexRule comparator="Eq" title="其他应收款坏账准备本期转销或核销" test=" $_GBC_be87a5e0efb549019cb584c42a69d9ab" id="C74976d30e01546ccb5b384146166edae"/>
      </m:item>
      <m:item xlName="_GBC_30da3b703585403ca7cde5d61ac28adb" concept="clcid-pte:QiTaYingShouKuanHuaiZhangZhunBeiBenQiQiTaBianDong" label="其他应收款坏账准备本期其他变动" mulRef="_GBC_1cb0ccc9627340bb9775e68ec1d11af7" unitRef="_GBC_14d59c8ccaef434da24604201125f1f0" addr="T0R4C5S1_1" formatStyle="Comma" appId="_GBC_b3f4f88802a54b1da539ba2563000c5c"/>
      <m:item xlName="_GBC_a1baeaf1f2a74440b96714785b9db8fd" concept="clcid-pte:QiTaYingShouKuanJiTiDeHuaiZhangZhunBeiYuE" label="其他应收款计提的坏账准备余额" mulRef="_GBC_1cb0ccc9627340bb9775e68ec1d11af7" unitRef="_GBC_14d59c8ccaef434da24604201125f1f0" addr="T0R4C6S1_1" formatStyle="Comma" appId="_GBC_b3f4f88802a54b1da539ba2563000c5c">
        <m:complexRule comparator="Eq" title="其他应收款计提的坏账准备余额" test=" $_GBC_1dc3d0bce5d84de4805f5387f099562e" id="C281421b2abd14f099b63d5c625f66f4b"/>
      </m:item>
      <m:item xlName="_GBC_766264a4e81b4ae6885d7f965ebbcd08"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766264a4e81b4ae6885d7f965ebbcd08&quot;,&quot;EndName&quot;:&quot;_GBC_d8cb1a6220084219ad5ebb2821c462ea&quot;,&quot;CType&quot;:1}]"/>
      <m:item xlName="_GBC_903d472014ee418db60bc082965f047c" concept="clcid-ci-ar:DanWeiZhuanHuiHuoShouHuiQingKuang" label="单位：转回或收回情况" selectOptions="_buildInScales" controlType="Combobox" cellType="Scale" appId="_GBC_766264a4e81b4ae6885d7f965ebbcd08"/>
      <m:item xlName="_GBC_8a7d8aeba4564360b2eca56cc1e36f7e" concept="clcid-ci-ar:BiZhongZhuanHuiHuoShouHuiQingKuang" label="币种：转回或收回情况" selectOptions="_buildInISO4217" controlType="Combobox" cellType="Measure" appId="_GBC_766264a4e81b4ae6885d7f965ebbcd08"/>
      <m:placeholder xlName="_PLD_44c76bab8fa04e8dbbaac07155287365" addr="T1R0C0S1_1"/>
      <m:placeholder xlName="_PLD_ceff436de1e641ffbe7f7db4013aed68" addr="T1R0C1S1_1"/>
      <m:placeholder xlName="_PLD_d6456370a45b40e48fef7ef027b23aa4" addr="T1R0C2S1_1"/>
      <m:tuple xlName="_TUP_c7dc124911374abd937533ce443c95b2" concept="clcid-pte:ZhuanHuiHuoShouHuiDeQiTaYingShouZhangKuanMingXi" default_row="2" addr="T1R1C">
        <m:item xlName="_GBC_f105fd608a0c4387a1da86f3339e1616" concept="clcid-pte:ZhuanHuiHuoShouHuiDeQiTaYingShouZhangKuanMingXiDanWeiMingCheng" label="转回或收回的其他应收账款明细-单位名称" addr="T1R1C0S1_1" appId="_GBC_766264a4e81b4ae6885d7f965ebbcd08"/>
        <m:item xlName="_GBC_2e2641e695a341ab8bf498b3330c53af" concept="clcid-pte:ZhuanHuiHuoShouHuiDeQiTaYingShouZhangKuanMingXiZhuanHuiHuoShouHuiJinE" label="转回或收回的其他应收账款明细-转回或收回金额" mulRef="_GBC_903d472014ee418db60bc082965f047c" unitRef="_GBC_8a7d8aeba4564360b2eca56cc1e36f7e" addr="T1R1C1S1_1" formatStyle="Comma" appId="_GBC_766264a4e81b4ae6885d7f965ebbcd08"/>
        <m:item xlName="_GBC_123968a1a2cd42209fd46641961f4e20" concept="clcid-pte:ZhuanHuiHuoShouHuiDeQiTaYingShouZhangKuanMingXiShouHuiFangShi" label="转回或收回的其他应收账款明细-收回方式" addr="T1R1C2S1_1" appId="_GBC_766264a4e81b4ae6885d7f965ebbcd08"/>
      </m:tuple>
      <m:placeholder xlName="_PLD_0700f6da01e14337815745fa9d9e8586" addr="T1R3C0S1_1"/>
      <m:item xlName="_GBC_d8cb1a6220084219ad5ebb2821c462ea" concept="clcid-pte:BenBaoGaoQiQiTaYingShouKuanHuaiZhangZhunBeiZhuanHuiHuoShouHuiJinEHeJi" label="本报告期其他应收款坏账准备转回或收回金额合计" mulRef="_GBC_903d472014ee418db60bc082965f047c" unitRef="_GBC_8a7d8aeba4564360b2eca56cc1e36f7e" addr="T1R3C1S1_1" formatStyle="Comma" appId="_GBC_766264a4e81b4ae6885d7f965ebbcd08">
        <m:complexRule comparator="Eq" title="本报告期其他应收款坏账准备转回或收回金额合计" test=" $_GBC_2e2641e695a341ab8bf498b3330c53af" id="C4c89e245e525418a86ea2d5bd186f60c"/>
      </m:item>
    </m:section>
    <m:section xlName="_GBC_ca12851378c64f09a5335b8a527df46f" title="本报告期实际核销的其他应收款情况" rules="R2015_R11_006" convertSummaryRule="NoConvert" helpId="112001051">
      <m:item xlName="_GBC_99c0ad513e2447ba8b2267c169be5583" concept="clcid-ci-ar:ShiFouShiYongBenQiShiJiHeXiaoDeQiTaYingShouKuanQingKuang" label="是否适用：本期实际核销的其他应收款情况" selectOptions="_buildInAppliance" controlType="CustomCheckbox" cRanges="{&quot;StartName&quot;:&quot;_GBC_99c0ad513e2447ba8b2267c169be5583&quot;,&quot;EndName&quot;:&quot;_GBC_5f729cb6aaab4ee28a59ca9ad9d809a5&quot;,&quot;CType&quot;:1,&quot;DisplayText&quot;:null}"/>
      <m:item xlName="_GBC_ab04a19baf3a48968d04429328fe957d" concept="clcid-ci-ar:DanWeiCaiWuFuZhuBenBaoGaoQiShiJiHeXiaoDeQiTaYingShouKuanXiangQingKuang" label="单位：财务附注：本报告期实际核销的其他应收款项情况" selectOptions="_buildInScales" controlType="Combobox" cellType="Scale" appId="_GBC_99c0ad513e2447ba8b2267c169be5583"/>
      <m:item xlName="_GBC_8d43ab8d3f0a44d4baf90271ebef5e19" concept="clcid-ci-ar:BiZhongCaiWuFuZhuBenBaoGaoQiShiJiHeXiaoDeQiTaYingShouKuanXiangQingKuang" label="币种：财务附注：本报告期实际核销的其他应收款项情况" selectOptions="_buildInISO4217" controlType="Combobox" cellType="Measure" appId="_GBC_99c0ad513e2447ba8b2267c169be5583"/>
      <m:placeholder xlName="_PLD_ce3497345055466bbb17c2159400fd42" addr="T0R0C0S1_1"/>
      <m:placeholder xlName="_PLD_c988ea530cd249f990ba3faf444225f8" addr="T0R0C1S1_1"/>
      <m:placeholder xlName="_PLD_57d67837e5d3466f81ee33c45729c7fd" addr="T0R1C0S1_1"/>
      <m:item xlName="_GBC_52e7e831abfb41608360644e6b10f3c8" concept="clcid-pte:QiTaYingShouKuanQianKuanChongXiaoHuaiZhangHeJi" label="其他应收款欠款冲销坏帐合计" mulRef="_GBC_ab04a19baf3a48968d04429328fe957d" unitRef="_GBC_8d43ab8d3f0a44d4baf90271ebef5e19" addr="T0R1C1S1_1" formatStyle="Comma" appId="_GBC_99c0ad513e2447ba8b2267c169be5583"/>
      <m:item xlName="_GBC_18f34d9f47f24d07986c3f3568dd2c70" concept="clcid-ci-ar:ShiFouShiYongQiZhongZhongYaoDeQiTaYingShouKuanHeXiaoQingKuang" label="是否适用：其中重要的其他应收款核销情况" selectOptions="_buildInAppliance" controlType="CustomCheckbox" cRanges="{&quot;StartName&quot;:&quot;_GBC_18f34d9f47f24d07986c3f3568dd2c70&quot;,&quot;EndName&quot;:&quot;_GBC_e748be04873c4f55b6253261eb175292&quot;,&quot;CType&quot;:1,&quot;DisplayText&quot;:null}"/>
      <m:item xlName="_GBC_58b8232631dd43c18b266ba317191383" concept="clcid-ci-ar:DanWeiCaiWuFuZhuZhongYaoDeQiTaYingShouZhangKuanHeXiaoQingKuang" label="单位：财务附注：重要的其他应收账款核销情况" selectOptions="_buildInScales" controlType="Combobox" cellType="Scale" appId="_GBC_18f34d9f47f24d07986c3f3568dd2c70"/>
      <m:item xlName="_GBC_3422ef03e82643b3a4448a5c42317b14" concept="clcid-ci-ar:BiZhongCaiWuFuZhuZhongYaoDeQiTaYingShouZhangKuanHeXiaoQingKuang" label="币种：财务附注：重要的其他应收账款核销情况" selectOptions="_buildInISO4217" controlType="Combobox" cellType="Measure" appId="_GBC_18f34d9f47f24d07986c3f3568dd2c70"/>
      <m:placeholder xlName="_PLD_6e7f1d3b561545efbe20b81b430eb816" addr="T1R0C0S1_1"/>
      <m:placeholder xlName="_PLD_cdb271a90e8d46bf9c03193e5a12a027" addr="T1R0C1S1_1"/>
      <m:placeholder xlName="_PLD_007ce649cdec48648bd01d403c32e595" addr="T1R0C2S1_1"/>
      <m:placeholder xlName="_PLD_9939ef531918454989290a239395084a" addr="T1R0C3S1_1"/>
      <m:placeholder xlName="_PLD_52663048b4d5485cb06d8bdae150f60f" addr="T1R0C4S1_1"/>
      <m:placeholder xlName="_PLD_208b44192d33453ab01ad8fbb77b718d" addr="T1R0C5S1_1"/>
      <m:tuple xlName="_GBC_0d9a0e262bb7493fa6d21136a6413786" concept="clcid-pte:ZhongYaoDeQiTaYingShouZhangKuanHeXiaoMingXi" default_row="2" addr="T1R1C">
        <m:item xlName="_GBC_b73d49d02a6c438cafca6b866ef63ba6" concept="clcid-pte:ZhongYaoDeQiTaYingShouZhangKuanHeXiaoMingXiDanWeiMingCheng" label="重要的其他应收账款核销明细-单位名称" addr="T1R1C0S1_1" appId="_GBC_18f34d9f47f24d07986c3f3568dd2c70"/>
        <m:item xlName="_GBC_c8ba1fae46b84104ab52e9d8cc63c797" concept="clcid-pte:ZhongYaoDeQiTaYingShouZhangKuanHeXiaoMingXiQiTaYingShouKuanXingZhi" label="重要的其他应收账款核销明细-其他应收款性质" addr="T1R1C1S1_1" appId="_GBC_18f34d9f47f24d07986c3f3568dd2c70"/>
        <m:item xlName="_GBC_e1705486c222421d98e6d8ff284adb03" concept="clcid-pte:ZhongYaoDeQiTaYingShouZhangKuanHeXiaoMingXiHeXiaoJinE" label="重要的其他应收账款核销明细-核销金额" mulRef="_GBC_58b8232631dd43c18b266ba317191383" unitRef="_GBC_3422ef03e82643b3a4448a5c42317b14" addr="T1R1C2S1_1" formatStyle="Comma" appId="_GBC_18f34d9f47f24d07986c3f3568dd2c70"/>
        <m:item xlName="_GBC_bb2cb59999c8435eb39523416db91755" concept="clcid-pte:ZhongYaoDeQiTaYingShouZhangKuanHeXiaoMingXiHeXiaoYuanYin" label="重要的其他应收账款核销明细-核销原因" addr="T1R1C3S1_1" appId="_GBC_18f34d9f47f24d07986c3f3568dd2c70"/>
        <m:item xlName="_GBC_3e3cb77fdc0c415c882bd298c0092469" concept="clcid-pte:ZhongYaoDeQiTaYingShouZhangKuanHeXiaoMingXiLvXingDeHeXiaoChengXu" label="重要的其他应收账款核销明细-履行的核销程序" addr="T1R1C4S1_1" appId="_GBC_18f34d9f47f24d07986c3f3568dd2c70"/>
        <m:item xlName="_GBC_b3461debae81456c9c7405900ba4b9be" concept="clcid-pte:ZhongYaoDeQiTaYingShouZhangKuanHeXiaoMingXiKuanXiangShiFouYinGuanLianJiaoYiChanSheng" label="重要的其他应收账款核销明细-款项是否因关联交易产生" selectOptions="_buildInYesNo" addr="T1R1C5S1_1" controlType="Combobox" appId="_GBC_18f34d9f47f24d07986c3f3568dd2c70"/>
      </m:tuple>
      <m:placeholder xlName="_PLD_14b6341de19744b497b89431242fed34" addr="T1R3C0S1_1"/>
      <m:item xlName="_GBC_e748be04873c4f55b6253261eb175292" concept="clcid-pte:ZhongYaoDeQiTaYingShouZhangKuanHeXiaoJinEHeJi" label="重要的其他应收账款核销金额合计" mulRef="_GBC_58b8232631dd43c18b266ba317191383" unitRef="_GBC_3422ef03e82643b3a4448a5c42317b14" addr="T1R3C2S1_1" formatStyle="Comma" appId="_GBC_18f34d9f47f24d07986c3f3568dd2c70">
        <m:complexRule comparator="Eq" title="重要的其他应收账款核销金额合计" test=" $_GBC_e1705486c222421d98e6d8ff284adb03" id="C8d53445b1fcb4fe78814a1fed3f06f5b"/>
      </m:item>
      <m:item xlName="_GBC_04f9a50bf0244ec4a466448325e84289" concept="clcid-ci-ar:ShiFouShiYongQiTaYingShouKuanChongXiaoHuaiZhangMingXiDeShuoMing" label="是否适用：其他应收款冲销坏帐明细的说明" selectOptions="_buildInAppliance" controlType="CustomCheckbox" cRanges="{&quot;StartName&quot;:&quot;_GBC_04f9a50bf0244ec4a466448325e84289&quot;,&quot;EndName&quot;:&quot;_GBC_5f729cb6aaab4ee28a59ca9ad9d809a5&quot;,&quot;CType&quot;:1,&quot;DisplayText&quot;:null}"/>
      <m:item xlName="_GBC_5f729cb6aaab4ee28a59ca9ad9d809a5" concept="clcid-pte:QiTaYingShouKuanChongXiaoHuaiZhangMingXiDeShuoMing" label="其他应收款冲销坏帐明细的说明" appId="_GBC_04f9a50bf0244ec4a466448325e84289"/>
    </m:section>
    <m:section xlName="_GBC_a83a3fc7866445d68738701d3998ac0b" title="按欠款方归集的期末余额其中前五名的其他应收款单位情况" rules="R2015_R11_006" helpId="112001051">
      <m:item xlName="_GBC_1ad831584f90441b93cce7d9b7baa3c9" concept="clcid-ci-ar:ShiFouShiYongAnQianKuanFangGuiJiDeQiMoYuEQianWuMingDeQiTaYingShouKuanQingKuang" label="是否适用：按欠款方归集的期末余额前五名的其他应收款情况" selectOptions="_buildInAppliance" controlType="CustomCheckbox" cRanges="{&quot;StartName&quot;:&quot;_GBC_1ad831584f90441b93cce7d9b7baa3c9&quot;,&quot;EndName&quot;:&quot;_GBC_6a102f5da468422087528e205f066ad6&quot;,&quot;CType&quot;:1,&quot;DisplayText&quot;:null}"/>
      <m:item xlName="_GBC_1f85b3036b0644cbaf6c33311b7f159d" concept="clcid-ci-ar:DanWeiCaiWuFuZhuQiTaYingShouZhangKuanQianWuMingQianKuanQingKuang" label="单位财务附注：其他应收账款前五名欠款情况" selectOptions="_buildInScales" controlType="Combobox" cellType="Scale" appId="_GBC_1ad831584f90441b93cce7d9b7baa3c9"/>
      <m:item xlName="_GBC_bc5cf48306144a92af62fef51b293c5a" concept="clcid-ci-ar:BiZhongCaiWuFuZhuQiTaYingShouZhangKuanQianWuMingQianKuanQingKuang" label="币种：财务附注：其他应收账款前五名欠款情况" selectOptions="_buildInISO4217" controlType="Combobox" cellType="Measure" appId="_GBC_1ad831584f90441b93cce7d9b7baa3c9"/>
      <m:placeholder xlName="_PLD_6d371f7abd044db6abe05c7f74810d89" addr="T0R0C0S1_1"/>
      <m:placeholder xlName="_PLD_538171446ab849ca976672ecf5055c60" addr="T0R0C1S1_1"/>
      <m:placeholder xlName="_PLD_9561b3d624ee40c28568fb322a981ebc" addr="T0R0C2S1_1"/>
      <m:placeholder xlName="_PLD_a97392b37d5d4c709a23cfdece48161b" addr="T0R0C3S1_1"/>
      <m:placeholder xlName="_PLD_e2774c827e314521821234a0e399c2c1" addr="T0R0C4S1_1"/>
      <m:placeholder xlName="_PLD_ac7ac1a39d1a46eb9269fc6979d54f6f" addr="T0R0C5S1_1"/>
      <m:tuple xlName="_GBC_a3b4ad6ea89146a79c37c3807ef7a6fd" concept="clcid-pte:QiTaYingShouKuanQianKuanHuMingXi" default_row="2" addr="T0R1C">
        <m:item xlName="_GBC_fd92b3ceab734a6798178f5bb1b45aef" concept="clcid-pte:QiTaYingShouKuanQianKuanHuMingCheng" label="其他应收款欠款户名称" addr="T0R1C0S1_1" appId="_GBC_1ad831584f90441b93cce7d9b7baa3c9"/>
        <m:item xlName="_GBC_60b532219e4245f68e3a2d48b8e4552a" concept="clcid-pte:QiTaYingShouKuanQianKuanHuKuanXiangDeXingZhi" label="其他应收款欠款户款项的性质" addr="T0R1C1S1_1" appId="_GBC_1ad831584f90441b93cce7d9b7baa3c9"/>
        <m:item xlName="_GBC_7bd51dd4729f4e96adb83d3790baa46c" concept="clcid-pte:QiTaYingShouKuanQianKuanHuQianKuanJinE" label="其他应收款欠款户欠款金额" mulRef="_GBC_1f85b3036b0644cbaf6c33311b7f159d" unitRef="_GBC_bc5cf48306144a92af62fef51b293c5a" addr="T0R1C2S1_1" formatStyle="Comma" appId="_GBC_1ad831584f90441b93cce7d9b7baa3c9"/>
        <m:item xlName="_GBC_a72e58f7564b4a268d1ec7075e54f390" concept="clcid-pte:QiTaYingShouKuanQianKuanHuQianKuanShiJian" label="其他应收款欠款户欠款时间" addr="T0R1C3S1_1" appId="_GBC_1ad831584f90441b93cce7d9b7baa3c9"/>
        <m:item xlName="_GBC_508cb5a80f7f456eb7a08c603840f496" concept="clcid-pte:QiTaYingShouZhangKuanQianKuanHuZhanQiTaYingShouZhangKuanZongEDeBiLi" label="其他应收帐款欠款户占其他应收账款总额的比例" addr="T0R1C4S1_1" baseScale="0.01" formatStyle="Comma" appId="_GBC_1ad831584f90441b93cce7d9b7baa3c9"/>
        <m:item xlName="_GBC_c08f10820af64b7ebd3fd9d2e7b5eec7" concept="clcid-pte:QiTaYingShouKuanQianKuanHuHuaiZhangZhunBeiQiMoYuE" label="其他应收款欠款户坏账准备期末余额" mulRef="_GBC_1f85b3036b0644cbaf6c33311b7f159d" unitRef="_GBC_bc5cf48306144a92af62fef51b293c5a" addr="T0R1C5S1_1" formatStyle="Comma" appId="_GBC_1ad831584f90441b93cce7d9b7baa3c9"/>
      </m:tuple>
      <m:placeholder xlName="_PLD_f229cb1d3424499a96c618f3911226c3" addr="T0R3C0S1_1"/>
      <m:item xlName="_GBC_5972f5a7c528481b94ab5bc63b5200da" concept="clcid-pte:QiTaYingShouKuanQianKuanHuQianKuanJinEHeJi" label="其他应收款欠款户欠款金额合计" mulRef="_GBC_1f85b3036b0644cbaf6c33311b7f159d" unitRef="_GBC_bc5cf48306144a92af62fef51b293c5a" addr="T0R3C2S1_1" formatStyle="Comma" appId="_GBC_1ad831584f90441b93cce7d9b7baa3c9">
        <m:complexRule comparator="Eq" title="其他应收款欠款户欠款金额合计" test=" $_GBC_7bd51dd4729f4e96adb83d3790baa46c" id="C4d6571d79849436189a5cce4095faa52"/>
      </m:item>
      <m:item xlName="_GBC_8ab02b2804ea44f68d179b78743854c7" concept="clcid-pte:QiTaYingShouZhangKuanQianKuanHuZhanQiTaYingShouZhangKuanZongEDeBiLiHeJi" label="其他应收帐款欠款户占其他应收账款总额的比例合计" addr="T0R3C4S1_1" baseScale="0.01" formatStyle="Comma" appId="_GBC_1ad831584f90441b93cce7d9b7baa3c9">
        <m:complexRule comparator="Eq" title="其他应收帐款欠款户占其他应收账款总额的比例合计" test=" $_GBC_508cb5a80f7f456eb7a08c603840f496" id="C545352e2b71d45a98938f4fdf393f709"/>
      </m:item>
      <m:item xlName="_GBC_6a102f5da468422087528e205f066ad6" concept="clcid-pte:QiTaYingShouKuanQianKuanHuHuaiZhangZhunBeiQiMoYuEHeJi" label="其他应收款欠款户坏账准备期末余额合计" mulRef="_GBC_1f85b3036b0644cbaf6c33311b7f159d" unitRef="_GBC_bc5cf48306144a92af62fef51b293c5a" addr="T0R3C5S1_1" formatStyle="Comma" appId="_GBC_1ad831584f90441b93cce7d9b7baa3c9">
        <m:complexRule comparator="Eq" title="其他应收款欠款户坏账准备期末余额合计" test=" $_GBC_c08f10820af64b7ebd3fd9d2e7b5eec7" id="Ce2c4930f75a1426d828db378a28c4fac"/>
      </m:item>
    </m:section>
    <m:section xlName="_GBC_0b136aef44064ce4880a47aef5cda04d" title="按应收金额确认的政府补助" rules="R2015_R11_006" helpId="112001051" helpText="注：公司未能在预计时点收到预计金额的政府补助，应说明原因。">
      <m:item xlName="_GBC_bfa30ddd81f643f9b7a3d1064d505e6a" concept="clcid-ci-ar:ShiFouShiYongSheJiZhengFuBuZhuDeYingShouKuanXiang" label="是否适用：涉及政府补助的应收款项" selectOptions="_buildInAppliance" controlType="CustomCheckbox" cRanges="{&quot;StartName&quot;:&quot;_GBC_bfa30ddd81f643f9b7a3d1064d505e6a&quot;,&quot;EndName&quot;:&quot;_GBC_6dc1096f9fea43cdbbbb10ba5780581d&quot;,&quot;CType&quot;:1,&quot;DisplayText&quot;:null}"/>
      <m:item xlName="_GBC_3f6163fdb83c41fdbcb61740b37285b9" concept="clcid-ci-ar:DanWeiCaiWuFuZhuAnYingShouJinEQueRenDeZhengFuBuZhu" label="单位：财务附注：按应收金额确认的政府补助" selectOptions="_buildInScales" controlType="Combobox" cellType="Scale" appId="_GBC_bfa30ddd81f643f9b7a3d1064d505e6a"/>
      <m:item xlName="_GBC_ab0316ed53e54fc4b1b6aeb63dff3b18" concept="clcid-ci-ar:BiZhongCaiWuFuZhuAnYingShouJinEQueRenDeZhengFuBuZhu" label="币种：财务附注：按应收金额确认的政府补助" selectOptions="_buildInISO4217" controlType="Combobox" cellType="Measure" appId="_GBC_bfa30ddd81f643f9b7a3d1064d505e6a"/>
      <m:placeholder xlName="_PLD_e66e6eeece1d43718d4689f5c739778d" addr="T0R0C0S1_1"/>
      <m:placeholder xlName="_PLD_7b40da60580d4bed8a4193729c2f6111" addr="T0R0C1S1_1"/>
      <m:placeholder xlName="_PLD_d4837fa97d31422c92a669c29ea2350c" addr="T0R0C2S1_1"/>
      <m:placeholder xlName="_PLD_c38cd161794f48e682ab33036b813244" addr="T0R0C3S1_1"/>
      <m:placeholder xlName="_PLD_30f56f4ba8e54377843ab193e665845f" addr="T0R0C4S1_1"/>
      <m:tuple xlName="_GBC_fc3af1b6e8d74e55bf16d00e09567416" concept="clcid-pte:AnYingShouJinEQueRenDeZhengFuBuZhuMingXi" default_row="2" addr="T0R1C">
        <m:item xlName="_GBC_9103f5ec82af4b94a3c714a75a02076f" concept="clcid-pte:AnYingShouJinEQueRenDeZhengFuBuZhuDanWeiMingCheng" label="按应收金额确认的政府补助-单位名称" addr="T0R1C0S1_1" appId="_GBC_bfa30ddd81f643f9b7a3d1064d505e6a"/>
        <m:item xlName="_GBC_a7cada4dc02543e5b50af6b8acdbf921" concept="clcid-pte:AnYingShouJinEQueRenDeZhengFuBuZhuXiangMuMingCheng" label="按应收金额确认的政府补助-政府补助项目名称" addr="T0R1C1S1_1" appId="_GBC_bfa30ddd81f643f9b7a3d1064d505e6a"/>
        <m:item xlName="_GBC_bb55f55120ff404cb126c8d7862d7e1b" concept="clcid-pte:AnYingShouJinEQueRenDeZhengFuBuZhu" label="按应收金额确认的政府补助" mulRef="_GBC_3f6163fdb83c41fdbcb61740b37285b9" unitRef="_GBC_ab0316ed53e54fc4b1b6aeb63dff3b18" addr="T0R1C2S1_1" formatStyle="Comma" appId="_GBC_bfa30ddd81f643f9b7a3d1064d505e6a"/>
        <m:item xlName="_GBC_021af7350dd44dd78921047566b47794" concept="clcid-pte:AnYingShouJinEQueRenDeZhengFuBuZhuQiMoZhangLing" label="按应收金额确认的政府补助-期末账龄" addr="T0R1C3S1_1" appId="_GBC_bfa30ddd81f643f9b7a3d1064d505e6a"/>
        <m:item xlName="_GBC_78c97dd82dcc4b189a7cdd4bc9724c4c" concept="clcid-pte:AnYingShouJinEQueRenDeZhengFuBuZhuYuJiShouQuDeShiJianJinEJiYiJu" label="按应收金额确认的政府补助-预计收取的时间、金额及依据" addr="T0R1C4S1_1" appId="_GBC_bfa30ddd81f643f9b7a3d1064d505e6a"/>
      </m:tuple>
      <m:item xlName="_GBC_6dc1096f9fea43cdbbbb10ba5780581d" concept="clcid-pte:SheJiZhengFuBuZhuDeYingShouKuanXiangDeShuoMing" label="涉及政府补助的应收款项说明" appId="_GBC_bfa30ddd81f643f9b7a3d1064d505e6a"/>
    </m:section>
    <m:section xlName="_GBC_73268e67b3d94deab59672a03d2cbd2a" title="因金融资产转移而终止确认的其他应收款" rules="R2015_R11_006" helpId="112001051" helpText="注：说明金融资产转移的方式、终止确认的其他应收款金额，及与终止确认相关的利得或损失。">
      <m:item xlName="_GBC_0451c8b8783146d3a8ab851341e7f35b" concept="clcid-ci-ar:ShiFouShiYongYinJinRongZiChanZhuanYiErZhongZhiQueRenDeQiTaYingShouKuan" label="是否适用：因金融资产转移而终止确认的其他应收款" selectOptions="_buildInAppliance" controlType="CustomCheckbox" cRanges="{&quot;StartName&quot;:&quot;_GBC_0451c8b8783146d3a8ab851341e7f35b&quot;,&quot;EndName&quot;:&quot;_GBC_1046642310954a049bea45b9f30053aa&quot;,&quot;CType&quot;:1,&quot;DisplayText&quot;:null}"/>
      <m:item xlName="_GBC_1046642310954a049bea45b9f30053aa" concept="clcid-pte:YinJinRongZiChanZhuanYiErZhongZhiQueRenDeQiTaYingShouKuan" label="因金融资产转移而终止确认的其他应收款" formatStyle="Comma" appId="_GBC_0451c8b8783146d3a8ab851341e7f35b"/>
    </m:section>
    <m:section xlName="_GBC_05496beed0c54ab3b5c0e91297ee374e" title="转移其他应收款且继续涉入形成的资产、负债金额的说明" rules="R2015_R11_006" helpId="112001051" helpText="注：说明金融资产转移的方式、分项列示继续涉入形成的资产、负债的金额。">
      <m:item xlName="_GBC_e74d63017ee7420b83e7544117beeac6" concept="clcid-ci-ar:ShiFouShiYongZhuanYiQiTaYingShouKuanQieJiXuSheRuXingChengDeZiChanFuZhaiDeJinE" label="是否适用：转移其他应收款且继续涉入形成的资产、负债的金额" selectOptions="_buildInAppliance" controlType="CustomCheckbox" cRanges="{&quot;StartName&quot;:&quot;_GBC_e74d63017ee7420b83e7544117beeac6&quot;,&quot;EndName&quot;:&quot;_GBC_6adfcad12d2747908d3a01b3cadd01cd&quot;,&quot;CType&quot;:1,&quot;DisplayText&quot;:null}"/>
      <m:item xlName="_GBC_6adfcad12d2747908d3a01b3cadd01cd" concept="clcid-pte:ZhuanYiQiTaYingShouKuanQieJiXuSheRuXingChengDeZiChanFuZhaiJinEShuoMing" label="转移其他应收款且继续涉入形成的资产、负债金额的说明" appId="_GBC_e74d63017ee7420b83e7544117beeac6"/>
    </m:section>
    <m:section xlName="_GBC_de4246046d754793a6a2db96dd5bb245" title="其他应收款其他说明" rules="R2015_R11_006" helpId="112001051">
      <m:item xlName="_GBC_55d570440c184744bd13a4938ba488d1" concept="clcid-ci-ar:ShiFouShiYongQiTaYingShouKuanDeQiTaShuoMing" label="是否适用：其他应收款的其他说明" selectOptions="_buildInAppliance" controlType="CustomCheckbox" cRanges="{&quot;StartName&quot;:&quot;_GBC_55d570440c184744bd13a4938ba488d1&quot;,&quot;EndName&quot;:&quot;_GBC_40e60fff300549cfb19532b4da820b49&quot;,&quot;CType&quot;:1,&quot;DisplayText&quot;:null}"/>
      <m:item xlName="_GBC_40e60fff300549cfb19532b4da820b49" concept="clcid-pte:QiTaYingShouKuanDeQiTaShuoMing" label="其他应收款的其他说明" appId="_GBC_55d570440c184744bd13a4938ba488d1"/>
    </m:section>
    <m:section xlName="_GBC_1953ea50f68542df9fa36d84b994cf17" title="存货分类 " rules="R2015_R11_007" convertSummaryRule="NoConvert" helpId="112001053">
      <m:item xlName="_GBC_06c46a03a226418fb8e5e84326c47750" concept="clcid-ci-ar:ShiFouShiYongCunHuoFenLei" label="是否适用：存货分类" selectOptions="_buildInAppliance" controlType="CustomCheckbox" cRanges="[{&quot;StartName&quot;:&quot;_GBC_06c46a03a226418fb8e5e84326c47750&quot;,&quot;EndName&quot;:&quot;_GBC_63c79fdaab7c451cb21e7ffffdbbb8f9&quot;,&quot;CType&quot;:1}]"/>
      <m:item xlName="_GBC_cc6e1ec3be0141cbb25cf999a897b29b" concept="clcid-ci-ar:DanWeiCaiWuFuZhuCunHuoFenLei" label="单位：财务附注：存货分类" selectOptions="_buildInScales" controlType="Combobox" cellType="Scale" appId="_GBC_06c46a03a226418fb8e5e84326c47750"/>
      <m:item xlName="_GBC_d85b2ad6790d4fa2ace1d773934cd4b3" concept="clcid-ci-ar:BiZhongCaiWuFuZhuCunHuoFenLei" label="币种：财务附注：存货分类" selectOptions="_buildInISO4217" controlType="Combobox" cellType="Measure" appId="_GBC_06c46a03a226418fb8e5e84326c47750"/>
      <m:placeholder xlName="_PLD_48d855cd658044389f8d1cbe0016be78" addr="T0R0C0S2_1"/>
      <m:placeholder xlName="_PLD_586606f595aa4fff8214f9b6209260b6" addr="T0R0C1S1_3"/>
      <m:placeholder xlName="_PLD_a1bbc97888494137a790328386c2b9d8" addr="T0R0C4S1_3"/>
      <m:placeholder xlName="_PLD_60368d835c2843d99b5061f4c84f8d8e" addr="T0R1C1S1_1"/>
      <m:placeholder xlName="_PLD_b5c53ce2a5004db988af9e72594f6b6a" addr="T0R1C2S1_1"/>
      <m:placeholder xlName="_PLD_f2691cf723784fbcbc9a900f61c6e250" addr="T0R1C3S1_1"/>
      <m:placeholder xlName="_PLD_df34ec94af0b441bab962cb42fe65b1a" addr="T0R1C4S1_1"/>
      <m:placeholder xlName="_PLD_7a42c47b54924b47b9e161d8fd9fb840" addr="T0R1C5S1_1"/>
      <m:placeholder xlName="_PLD_0db3a7f82db34583bb111dc2a8e88f8c" addr="T0R1C6S1_1"/>
      <m:placeholder xlName="_PLD_fca11404c29f48d0b5900b11850092d7" addr="T0R2C0S1_1"/>
      <m:item xlName="_GBC_b346c6bbc5c6418fa5a79bb381486c7e" concept="clcid-pte:YuanCaiLiaoZhangMianYuE" label="原材料帐面余额" mulRef="_GBC_cc6e1ec3be0141cbb25cf999a897b29b" unitRef="_GBC_d85b2ad6790d4fa2ace1d773934cd4b3" addr="T0R2C1S1_1" formatStyle="Comma" appId="_GBC_06c46a03a226418fb8e5e84326c47750"/>
      <m:item xlName="_GBC_914be8c5df0c48daac6785503d6c85de" concept="clcid-pte:YuanCaiLiaoDieJiaZhunBeiYuE" label="原材料跌价准备余额" mulRef="_GBC_cc6e1ec3be0141cbb25cf999a897b29b" unitRef="_GBC_d85b2ad6790d4fa2ace1d773934cd4b3" addr="T0R2C2S1_1" formatStyle="Comma" appId="_GBC_06c46a03a226418fb8e5e84326c47750"/>
      <m:item xlName="_GBC_54a2a3e1f4cc4b5f8cf058fd54a7a6b6" concept="clcid-pte:YuanCaiLiaoZhangMianJingE" label="原材料帐面净额" mulRef="_GBC_cc6e1ec3be0141cbb25cf999a897b29b" unitRef="_GBC_d85b2ad6790d4fa2ace1d773934cd4b3" addr="T0R2C3S1_1" formatStyle="Comma" appId="_GBC_06c46a03a226418fb8e5e84326c47750"/>
      <m:item xlName="_GBC_0c28315ec1644751bc3684f4bd636767" concept="clcid-pte:YuanCaiLiaoZhangMianYuE" label="原材料帐面余额" periodRef="本期期初数" mulRef="_GBC_cc6e1ec3be0141cbb25cf999a897b29b" unitRef="_GBC_d85b2ad6790d4fa2ace1d773934cd4b3" addr="T0R2C4S1_1" formatStyle="Comma" appId="_GBC_06c46a03a226418fb8e5e84326c47750"/>
      <m:item xlName="_GBC_43a6f5a5e10843fcb26399270f7beb62" concept="clcid-pte:YuanCaiLiaoDieJiaZhunBeiYuE" label="原材料跌价准备余额" periodRef="本期期初数" mulRef="_GBC_cc6e1ec3be0141cbb25cf999a897b29b" unitRef="_GBC_d85b2ad6790d4fa2ace1d773934cd4b3" addr="T0R2C5S1_1" formatStyle="Comma" appId="_GBC_06c46a03a226418fb8e5e84326c47750"/>
      <m:item xlName="_GBC_054ee17e3b1b403ba19ca9429d7689ed" concept="clcid-pte:YuanCaiLiaoZhangMianJingE" label="原材料帐面净额" periodRef="本期期初数" mulRef="_GBC_cc6e1ec3be0141cbb25cf999a897b29b" unitRef="_GBC_d85b2ad6790d4fa2ace1d773934cd4b3" addr="T0R2C6S1_1" formatStyle="Comma" appId="_GBC_06c46a03a226418fb8e5e84326c47750"/>
      <m:placeholder xlName="_PLD_fd1bed46838a4d5189ec9ce131230221" addr="T0R3C0S1_1"/>
      <m:item xlName="_GBC_de39908c4eb44070830443d709c7dd56" concept="clcid-pte:ZaiChanPinZhangMianYuE" label="在产品账面余额" mulRef="_GBC_cc6e1ec3be0141cbb25cf999a897b29b" unitRef="_GBC_d85b2ad6790d4fa2ace1d773934cd4b3" addr="T0R3C1S1_1" formatStyle="Comma" appId="_GBC_06c46a03a226418fb8e5e84326c47750"/>
      <m:item xlName="_GBC_453df9b2293b4f6dba7d180bfd2e148a" concept="clcid-pte:ZaiChanPinDieJiaZhunBei" label="在产品跌价准备" mulRef="_GBC_cc6e1ec3be0141cbb25cf999a897b29b" unitRef="_GBC_d85b2ad6790d4fa2ace1d773934cd4b3" addr="T0R3C2S1_1" formatStyle="Comma" appId="_GBC_06c46a03a226418fb8e5e84326c47750"/>
      <m:item xlName="_GBC_0bf6680940d0457e83fb93924cb04fc3" concept="clcid-pte:ZaiChanPinZhangMianJiaZhi" label="在产品账面价值" mulRef="_GBC_cc6e1ec3be0141cbb25cf999a897b29b" unitRef="_GBC_d85b2ad6790d4fa2ace1d773934cd4b3" addr="T0R3C3S1_1" formatStyle="Comma" appId="_GBC_06c46a03a226418fb8e5e84326c47750"/>
      <m:item xlName="_GBC_e27a6efa14d74ce99eb5c37bbc68de9a" concept="clcid-pte:ZaiChanPinZhangMianYuE" label="在产品账面余额" periodRef="本期期初数" mulRef="_GBC_cc6e1ec3be0141cbb25cf999a897b29b" unitRef="_GBC_d85b2ad6790d4fa2ace1d773934cd4b3" addr="T0R3C4S1_1" formatStyle="Comma" appId="_GBC_06c46a03a226418fb8e5e84326c47750"/>
      <m:item xlName="_GBC_f0557fdcf8fb4bfeaa4cbb866d364f3a" concept="clcid-pte:ZaiChanPinDieJiaZhunBei" label="在产品跌价准备" periodRef="本期期初数" mulRef="_GBC_cc6e1ec3be0141cbb25cf999a897b29b" unitRef="_GBC_d85b2ad6790d4fa2ace1d773934cd4b3" addr="T0R3C5S1_1" formatStyle="Comma" appId="_GBC_06c46a03a226418fb8e5e84326c47750"/>
      <m:item xlName="_GBC_b4b846ec997840d289e51edc061b6a38" concept="clcid-pte:ZaiChanPinZhangMianJiaZhi" label="在产品账面价值" periodRef="本期期初数" mulRef="_GBC_cc6e1ec3be0141cbb25cf999a897b29b" unitRef="_GBC_d85b2ad6790d4fa2ace1d773934cd4b3" addr="T0R3C6S1_1" formatStyle="Comma" appId="_GBC_06c46a03a226418fb8e5e84326c47750"/>
      <m:placeholder xlName="_PLD_f3ef3aac74534d258da438463abf925d" addr="T0R4C0S1_1"/>
      <m:item xlName="_GBC_9e60e7f52c00402886eef3da8f127039" concept="clcid-pte:KuCunShangPinZhangMianYuE" label="库存商品帐面余额" mulRef="_GBC_cc6e1ec3be0141cbb25cf999a897b29b" unitRef="_GBC_d85b2ad6790d4fa2ace1d773934cd4b3" addr="T0R4C1S1_1" formatStyle="Comma" appId="_GBC_06c46a03a226418fb8e5e84326c47750"/>
      <m:item xlName="_GBC_d1c33b07a1644a489b36a959ab32f26f" concept="clcid-pte:KuCunShangPinDieJiaZhunBeiHeJiYuE" label="库存商品跌价准备合计余额" mulRef="_GBC_cc6e1ec3be0141cbb25cf999a897b29b" unitRef="_GBC_d85b2ad6790d4fa2ace1d773934cd4b3" addr="T0R4C2S1_1" formatStyle="Comma" appId="_GBC_06c46a03a226418fb8e5e84326c47750"/>
      <m:item xlName="_GBC_8e609d1396154afeaf6caca8857884ad" concept="clcid-pte:KuCunShangPinZhangMianJingE" label="库存商品帐面净额" mulRef="_GBC_cc6e1ec3be0141cbb25cf999a897b29b" unitRef="_GBC_d85b2ad6790d4fa2ace1d773934cd4b3" addr="T0R4C3S1_1" formatStyle="Comma" appId="_GBC_06c46a03a226418fb8e5e84326c47750"/>
      <m:item xlName="_GBC_d7e2c197c5e9411eaec3002e761c680c" concept="clcid-pte:KuCunShangPinZhangMianYuE" label="库存商品帐面余额" periodRef="本期期初数" mulRef="_GBC_cc6e1ec3be0141cbb25cf999a897b29b" unitRef="_GBC_d85b2ad6790d4fa2ace1d773934cd4b3" addr="T0R4C4S1_1" formatStyle="Comma" appId="_GBC_06c46a03a226418fb8e5e84326c47750"/>
      <m:item xlName="_GBC_359204e1cde946f286f39648a0d9cb58" concept="clcid-pte:KuCunShangPinDieJiaZhunBeiHeJiYuE" label="库存商品跌价准备合计余额" periodRef="本期期初数" mulRef="_GBC_cc6e1ec3be0141cbb25cf999a897b29b" unitRef="_GBC_d85b2ad6790d4fa2ace1d773934cd4b3" addr="T0R4C5S1_1" formatStyle="Comma" appId="_GBC_06c46a03a226418fb8e5e84326c47750"/>
      <m:item xlName="_GBC_d58f1db048b74804bc38242cbe425e77" concept="clcid-pte:KuCunShangPinZhangMianJingE" label="库存商品帐面净额" periodRef="本期期初数" mulRef="_GBC_cc6e1ec3be0141cbb25cf999a897b29b" unitRef="_GBC_d85b2ad6790d4fa2ace1d773934cd4b3" addr="T0R4C6S1_1" formatStyle="Comma" appId="_GBC_06c46a03a226418fb8e5e84326c47750"/>
      <m:placeholder xlName="_PLD_3e735f5b7a3a46db9876dca2e24f8162" addr="T0R5C0S1_1"/>
      <m:item xlName="_GBC_cf79a40c05d5430ea419fffc28702a34" concept="clcid-pte:ZhouZhuanCaiLiaoZhangMianYuE" label="周转材料账面余额" mulRef="_GBC_cc6e1ec3be0141cbb25cf999a897b29b" unitRef="_GBC_d85b2ad6790d4fa2ace1d773934cd4b3" addr="T0R5C1S1_1" formatStyle="Comma" appId="_GBC_06c46a03a226418fb8e5e84326c47750"/>
      <m:item xlName="_GBC_1c5fc5fa706a4d44a4a31ac734ce4174" concept="clcid-pte:ZhouZhuanCaiLiaoDieJiaZhunBei" label="周转材料跌价准备" mulRef="_GBC_cc6e1ec3be0141cbb25cf999a897b29b" unitRef="_GBC_d85b2ad6790d4fa2ace1d773934cd4b3" addr="T0R5C2S1_1" formatStyle="Comma" appId="_GBC_06c46a03a226418fb8e5e84326c47750"/>
      <m:item xlName="_GBC_5c7ee31478cb4ee2b07251e154322d17" concept="clcid-pte:ZhouZhuanCaiLiaoZhangMianJiaZhi" label="周转材料账面价值" mulRef="_GBC_cc6e1ec3be0141cbb25cf999a897b29b" unitRef="_GBC_d85b2ad6790d4fa2ace1d773934cd4b3" addr="T0R5C3S1_1" formatStyle="Comma" appId="_GBC_06c46a03a226418fb8e5e84326c47750"/>
      <m:item xlName="_GBC_40a5847962564699ac07b7d0f054ef28" concept="clcid-pte:ZhouZhuanCaiLiaoZhangMianYuE" label="周转材料账面余额" periodRef="本期期初数" mulRef="_GBC_cc6e1ec3be0141cbb25cf999a897b29b" unitRef="_GBC_d85b2ad6790d4fa2ace1d773934cd4b3" addr="T0R5C4S1_1" formatStyle="Comma" appId="_GBC_06c46a03a226418fb8e5e84326c47750"/>
      <m:item xlName="_GBC_0f18b47c57fe4688a573bd3975b18659" concept="clcid-pte:ZhouZhuanCaiLiaoDieJiaZhunBei" label="周转材料跌价准备" periodRef="本期期初数" mulRef="_GBC_cc6e1ec3be0141cbb25cf999a897b29b" unitRef="_GBC_d85b2ad6790d4fa2ace1d773934cd4b3" addr="T0R5C5S1_1" formatStyle="Comma" appId="_GBC_06c46a03a226418fb8e5e84326c47750"/>
      <m:item xlName="_GBC_209646d1f9214fe8aa148b9d1ca7750e" concept="clcid-pte:ZhouZhuanCaiLiaoZhangMianJiaZhi" label="周转材料账面价值" periodRef="本期期初数" mulRef="_GBC_cc6e1ec3be0141cbb25cf999a897b29b" unitRef="_GBC_d85b2ad6790d4fa2ace1d773934cd4b3" addr="T0R5C6S1_1" formatStyle="Comma" appId="_GBC_06c46a03a226418fb8e5e84326c47750"/>
      <m:placeholder xlName="_PLD_ee9db3c747a445baa6fcc128edeebc0c" addr="T0R6C0S1_1"/>
      <m:item xlName="_GBC_7a39cb0703c048e8881a34b0e42a2fb1" concept="clcid-pte:XiaoHaoXingShengWuZiChanZhangMianYuE" label="消耗性生物资产账面余额" mulRef="_GBC_cc6e1ec3be0141cbb25cf999a897b29b" unitRef="_GBC_d85b2ad6790d4fa2ace1d773934cd4b3" addr="T0R6C1S1_1" formatStyle="Comma" appId="_GBC_06c46a03a226418fb8e5e84326c47750"/>
      <m:item xlName="_GBC_2c12a69b7a864ba6abb108a84aa193f1" concept="clcid-pte:XiaoHaoXingShengWuZiChanDieJiaZhunBei" label="消耗性生物资产跌价准备" mulRef="_GBC_cc6e1ec3be0141cbb25cf999a897b29b" unitRef="_GBC_d85b2ad6790d4fa2ace1d773934cd4b3" addr="T0R6C2S1_1" formatStyle="Comma" appId="_GBC_06c46a03a226418fb8e5e84326c47750"/>
      <m:item xlName="_GBC_a9213dfba1374785a141c0e3fa3e9359" concept="clcid-pte:XiaoHaoXingShengWuZiChanZhangMianJiaZhi" label="消耗性生物资产账面价值" mulRef="_GBC_cc6e1ec3be0141cbb25cf999a897b29b" unitRef="_GBC_d85b2ad6790d4fa2ace1d773934cd4b3" addr="T0R6C3S1_1" formatStyle="Comma" appId="_GBC_06c46a03a226418fb8e5e84326c47750"/>
      <m:item xlName="_GBC_c0fe2dfda1fd4740bcaab33346b9a9f5" concept="clcid-pte:XiaoHaoXingShengWuZiChanZhangMianYuE" label="消耗性生物资产账面余额" periodRef="本期期初数" mulRef="_GBC_cc6e1ec3be0141cbb25cf999a897b29b" unitRef="_GBC_d85b2ad6790d4fa2ace1d773934cd4b3" addr="T0R6C4S1_1" formatStyle="Comma" appId="_GBC_06c46a03a226418fb8e5e84326c47750"/>
      <m:item xlName="_GBC_c7c9202ea4a14e58b829d3cebf1e0d7c" concept="clcid-pte:XiaoHaoXingShengWuZiChanDieJiaZhunBei" label="消耗性生物资产跌价准备" periodRef="本期期初数" mulRef="_GBC_cc6e1ec3be0141cbb25cf999a897b29b" unitRef="_GBC_d85b2ad6790d4fa2ace1d773934cd4b3" addr="T0R6C5S1_1" formatStyle="Comma" appId="_GBC_06c46a03a226418fb8e5e84326c47750"/>
      <m:item xlName="_GBC_bfdb1281453349a2bbb1466b027b97ab" concept="clcid-pte:XiaoHaoXingShengWuZiChanZhangMianJiaZhi" label="消耗性生物资产账面价值" periodRef="本期期初数" mulRef="_GBC_cc6e1ec3be0141cbb25cf999a897b29b" unitRef="_GBC_d85b2ad6790d4fa2ace1d773934cd4b3" addr="T0R6C6S1_1" formatStyle="Comma" appId="_GBC_06c46a03a226418fb8e5e84326c47750"/>
      <m:placeholder xlName="_PLD_d8bc5940917d41038fd2cbcaf9c8bdc5" addr="T0R7C0S1_1"/>
      <m:item xlName="_GBC_8329884645214280a67b81d5ae779efa" concept="clcid-pte:HeTongLvYueChengBenZhangMianYuE" label="合同履约成本帐面余额" mulRef="_GBC_cc6e1ec3be0141cbb25cf999a897b29b" unitRef="_GBC_d85b2ad6790d4fa2ace1d773934cd4b3" addr="T0R7C1S1_1" formatStyle="Comma" appId="_GBC_06c46a03a226418fb8e5e84326c47750"/>
      <m:item xlName="_GBC_422a01a7415a404ca2de0d22d988c4a5" concept="clcid-pte:HeTongLvYueChengBenDieJiaZhunBei" label="合同履约成本跌价准备" mulRef="_GBC_cc6e1ec3be0141cbb25cf999a897b29b" unitRef="_GBC_d85b2ad6790d4fa2ace1d773934cd4b3" addr="T0R7C2S1_1" formatStyle="Comma" appId="_GBC_06c46a03a226418fb8e5e84326c47750"/>
      <m:item xlName="_GBC_49f9d9271ae5434da66c58fce31b7828" concept="clcid-pte:HeTongLvYueChengBenZhangMianJiaZhi" label="合同履约成本账面价值" mulRef="_GBC_cc6e1ec3be0141cbb25cf999a897b29b" unitRef="_GBC_d85b2ad6790d4fa2ace1d773934cd4b3" addr="T0R7C3S1_1" formatStyle="Comma" appId="_GBC_06c46a03a226418fb8e5e84326c47750"/>
      <m:item xlName="_GBC_d95dfd884c9442a3bbde02a25e7ee9a0" concept="clcid-pte:HeTongLvYueChengBenZhangMianYuE" label="合同履约成本帐面余额" periodRef="本期期初数" mulRef="_GBC_cc6e1ec3be0141cbb25cf999a897b29b" unitRef="_GBC_d85b2ad6790d4fa2ace1d773934cd4b3" addr="T0R7C4S1_1" formatStyle="Comma" appId="_GBC_06c46a03a226418fb8e5e84326c47750"/>
      <m:item xlName="_GBC_0911135805a24ac4976eb9c0dc665352" concept="clcid-pte:HeTongLvYueChengBenDieJiaZhunBei" label="合同履约成本跌价准备" periodRef="本期期初数" mulRef="_GBC_cc6e1ec3be0141cbb25cf999a897b29b" unitRef="_GBC_d85b2ad6790d4fa2ace1d773934cd4b3" addr="T0R7C5S1_1" formatStyle="Comma" appId="_GBC_06c46a03a226418fb8e5e84326c47750"/>
      <m:item xlName="_GBC_2e23e29f29b6465e82be9af0dde16330" concept="clcid-pte:HeTongLvYueChengBenZhangMianJiaZhi" label="合同履约成本账面价值" periodRef="本期期初数" mulRef="_GBC_cc6e1ec3be0141cbb25cf999a897b29b" unitRef="_GBC_d85b2ad6790d4fa2ace1d773934cd4b3" addr="T0R7C6S1_1" formatStyle="Comma" appId="_GBC_06c46a03a226418fb8e5e84326c47750"/>
      <m:tuple xlName="_TUP_c1ac2d40d50a4131b1b1c2720e9aef48" concept="clcid-pte:QiTaCunHuo" default_row="2" addr="T0R8C">
        <m:item xlName="_GBC_00b638d7621c4096b107a348ba9fbc92" concept="clcid-pte:QiTaCunHuoXiangMu" label="其他存货项目" addr="T0R8C0S1_1" appId="_GBC_06c46a03a226418fb8e5e84326c47750"/>
        <m:item xlName="_GBC_a81f10440fd4414b8fd861ef5811026d" concept="clcid-pte:QiTaCunHuoZhangMianYuE" label="其他存货帐面余额" mulRef="_GBC_cc6e1ec3be0141cbb25cf999a897b29b" unitRef="_GBC_d85b2ad6790d4fa2ace1d773934cd4b3" addr="T0R8C1S1_1" formatStyle="Comma" appId="_GBC_06c46a03a226418fb8e5e84326c47750"/>
        <m:item xlName="_GBC_b26932142a484a0baf0b6b24b92f0f96" concept="clcid-pte:CunHuoDieJiaZhunBeiQiTaXiangYuE" label="存货跌价准备其他项余额" mulRef="_GBC_cc6e1ec3be0141cbb25cf999a897b29b" unitRef="_GBC_d85b2ad6790d4fa2ace1d773934cd4b3" addr="T0R8C2S1_1" formatStyle="Comma" appId="_GBC_06c46a03a226418fb8e5e84326c47750"/>
        <m:item xlName="_GBC_81e69fa8fe404859a392aca704939c01" concept="clcid-pte:QiTaCunHuoZhangMianJingE" label="其他存货帐面净额" mulRef="_GBC_cc6e1ec3be0141cbb25cf999a897b29b" unitRef="_GBC_d85b2ad6790d4fa2ace1d773934cd4b3" addr="T0R8C3S1_1" formatStyle="Comma" appId="_GBC_06c46a03a226418fb8e5e84326c47750"/>
        <m:item xlName="_GBC_0478e01381914aa49e9a90f012cdded0" concept="clcid-pte:QiTaCunHuoZhangMianYuE" label="其他存货帐面余额" periodRef="本期期初数" mulRef="_GBC_cc6e1ec3be0141cbb25cf999a897b29b" unitRef="_GBC_d85b2ad6790d4fa2ace1d773934cd4b3" addr="T0R8C4S1_1" formatStyle="Comma" appId="_GBC_06c46a03a226418fb8e5e84326c47750"/>
        <m:item xlName="_GBC_1c549d4218eb45819b8061be28294dd1" concept="clcid-pte:CunHuoDieJiaZhunBeiQiTaXiangYuE" label="存货跌价准备其他项余额" periodRef="本期期初数" mulRef="_GBC_cc6e1ec3be0141cbb25cf999a897b29b" unitRef="_GBC_d85b2ad6790d4fa2ace1d773934cd4b3" addr="T0R8C5S1_1" formatStyle="Comma" appId="_GBC_06c46a03a226418fb8e5e84326c47750"/>
        <m:item xlName="_GBC_628d57b8330145588a0d9ebf6b0f7ff4" concept="clcid-pte:QiTaCunHuoZhangMianJingE" label="其他存货帐面净额" periodRef="本期期初数" mulRef="_GBC_cc6e1ec3be0141cbb25cf999a897b29b" unitRef="_GBC_d85b2ad6790d4fa2ace1d773934cd4b3" addr="T0R8C6S1_1" formatStyle="Comma" appId="_GBC_06c46a03a226418fb8e5e84326c47750"/>
      </m:tuple>
      <m:placeholder xlName="_PLD_c7f765ab16d04ed0965df8d114b73cb6" addr="T0R10C0S1_1"/>
      <m:item xlName="_GBC_c0b060dfd753481eaacedc7d70ff1239" concept="clcid-pte:CunHuoZhangMianYuE" label="存货帐面余额" mulRef="_GBC_cc6e1ec3be0141cbb25cf999a897b29b" unitRef="_GBC_d85b2ad6790d4fa2ace1d773934cd4b3" addr="T0R10C1S1_1" formatStyle="Comma" appId="_GBC_06c46a03a226418fb8e5e84326c47750">
        <m:complexRule comparator="Eq" title="存货帐面余额" test=" $_GBC_b346c6bbc5c6418fa5a79bb381486c7e +  $_GBC_de39908c4eb44070830443d709c7dd56 +  $_GBC_9e60e7f52c00402886eef3da8f127039 +  $_GBC_cf79a40c05d5430ea419fffc28702a34 +  $_GBC_7a39cb0703c048e8881a34b0e42a2fb1 +  $_GBC_8329884645214280a67b81d5ae779efa +  $_GBC_a81f10440fd4414b8fd861ef5811026d" id="Ce78a160cc8c8451bb8e2a9a8527dc6fb"/>
      </m:item>
      <m:item xlName="_GBC_ace4d3741f82430289d460ea6f011b91" concept="clcid-pte:CunHuoDieJiaZhunBeiHeJiYuE" label="存货跌价准备合计余额" mulRef="_GBC_cc6e1ec3be0141cbb25cf999a897b29b" unitRef="_GBC_d85b2ad6790d4fa2ace1d773934cd4b3" addr="T0R10C2S1_1" formatStyle="Comma" appId="_GBC_06c46a03a226418fb8e5e84326c47750">
        <m:complexRule comparator="Eq" title="存货跌价准备合计余额" test=" $_GBC_914be8c5df0c48daac6785503d6c85de +  $_GBC_453df9b2293b4f6dba7d180bfd2e148a +  $_GBC_d1c33b07a1644a489b36a959ab32f26f +  $_GBC_1c5fc5fa706a4d44a4a31ac734ce4174 +  $_GBC_2c12a69b7a864ba6abb108a84aa193f1 +  $_GBC_422a01a7415a404ca2de0d22d988c4a5 +  $_GBC_b26932142a484a0baf0b6b24b92f0f96" id="C418ea0e1fb294594b0c9363bb346e25d"/>
      </m:item>
      <m:item xlName="_GBC_d2fa99d35455432da25ecc7f4c282e78" concept="clcid-pte:CunHuo" label="存货" mulRef="_GBC_cc6e1ec3be0141cbb25cf999a897b29b" unitRef="_GBC_d85b2ad6790d4fa2ace1d773934cd4b3" addr="T0R10C3S1_1" formatStyle="Comma" appId="_GBC_06c46a03a226418fb8e5e84326c47750">
        <m:complexRule comparator="Eq" title="存货" test=" $_GBC_54a2a3e1f4cc4b5f8cf058fd54a7a6b6 +  $_GBC_0bf6680940d0457e83fb93924cb04fc3 +  $_GBC_8e609d1396154afeaf6caca8857884ad +  $_GBC_5c7ee31478cb4ee2b07251e154322d17 +  $_GBC_a9213dfba1374785a141c0e3fa3e9359 +  $_GBC_49f9d9271ae5434da66c58fce31b7828 +  $_GBC_81e69fa8fe404859a392aca704939c01" id="C6858778cb1bf4a798379c7269784ca39"/>
      </m:item>
      <m:item xlName="_GBC_9bc996fa23b544c292b80358ff2a8ee3" concept="clcid-pte:CunHuoZhangMianYuE" label="存货帐面余额" periodRef="本期期初数" mulRef="_GBC_cc6e1ec3be0141cbb25cf999a897b29b" unitRef="_GBC_d85b2ad6790d4fa2ace1d773934cd4b3" addr="T0R10C4S1_1" formatStyle="Comma" appId="_GBC_06c46a03a226418fb8e5e84326c47750">
        <m:complexRule comparator="Eq" title="存货帐面余额@本期期初数" test=" $_GBC_0c28315ec1644751bc3684f4bd636767 +  $_GBC_e27a6efa14d74ce99eb5c37bbc68de9a +  $_GBC_d7e2c197c5e9411eaec3002e761c680c +  $_GBC_40a5847962564699ac07b7d0f054ef28 +  $_GBC_c0fe2dfda1fd4740bcaab33346b9a9f5 +  $_GBC_d95dfd884c9442a3bbde02a25e7ee9a0 +  $_GBC_0478e01381914aa49e9a90f012cdded0" id="C3c70e42f1fa340beb837257f3d490a8d"/>
      </m:item>
      <m:item xlName="_GBC_10d6c38f306b41258d64554e7da3d45a" concept="clcid-pte:CunHuoDieJiaZhunBeiHeJiYuE" label="存货跌价准备合计余额" periodRef="本期期初数" mulRef="_GBC_cc6e1ec3be0141cbb25cf999a897b29b" unitRef="_GBC_d85b2ad6790d4fa2ace1d773934cd4b3" addr="T0R10C5S1_1" formatStyle="Comma" appId="_GBC_06c46a03a226418fb8e5e84326c47750">
        <m:complexRule comparator="Eq" title="存货跌价准备合计余额@本期期初数" test=" $_GBC_43a6f5a5e10843fcb26399270f7beb62 +  $_GBC_f0557fdcf8fb4bfeaa4cbb866d364f3a +  $_GBC_359204e1cde946f286f39648a0d9cb58 +  $_GBC_0f18b47c57fe4688a573bd3975b18659 +  $_GBC_c7c9202ea4a14e58b829d3cebf1e0d7c +  $_GBC_0911135805a24ac4976eb9c0dc665352 +  $_GBC_1c549d4218eb45819b8061be28294dd1" id="C833e3165c56e49f08c8ec6d73700dde4"/>
      </m:item>
      <m:item xlName="_GBC_63c79fdaab7c451cb21e7ffffdbbb8f9" concept="clcid-pte:CunHuo" label="存货" periodRef="本期期初数" mulRef="_GBC_cc6e1ec3be0141cbb25cf999a897b29b" unitRef="_GBC_d85b2ad6790d4fa2ace1d773934cd4b3" addr="T0R10C6S1_1" formatStyle="Comma" appId="_GBC_06c46a03a226418fb8e5e84326c47750">
        <m:complexRule comparator="Eq" title="存货@本期期初数" test=" $_GBC_054ee17e3b1b403ba19ca9429d7689ed +  $_GBC_b4b846ec997840d289e51edc061b6a38 +  $_GBC_d58f1db048b74804bc38242cbe425e77 +  $_GBC_209646d1f9214fe8aa148b9d1ca7750e +  $_GBC_bfdb1281453349a2bbb1466b027b97ab +  $_GBC_2e23e29f29b6465e82be9af0dde16330 +  $_GBC_628d57b8330145588a0d9ebf6b0f7ff4" id="C2f0aa65f3a284534831838e1f2d02be0"/>
      </m:item>
    </m:section>
    <m:section xlName="_GBC_d00b46c41ac84794bd1f7b10e97923a0" title="存货跌价准备" rules="R2015_R11_007" convertSummaryRule="NoConvert" helpId="112001053" helpText="注：说明确定可变现净值的具体依据及本期转回或转销存货跌价准备的原因。">
      <m:item xlName="_GBC_b9bd4a0fa089468ebded8bb61a86fbae" concept="clcid-ci-ar:ShiFouShiYongCunHuoDieJiaZhunBei" label="是否适用：存货跌价准备" selectOptions="_buildInAppliance" controlType="CustomCheckbox" cRanges="{&quot;StartName&quot;:&quot;_GBC_b9bd4a0fa089468ebded8bb61a86fbae&quot;,&quot;EndName&quot;:&quot;_GBC_8ee507d7973d42f4b55fced3dc3888fb&quot;,&quot;CType&quot;:1,&quot;DisplayText&quot;:null}"/>
      <m:item xlName="_GBC_42225a9505da4f598594afea08f9738b" concept="clcid-ci-ar:DanWeiCunHuoDieJiaZhunBei" label="单位：存货跌价准备" selectOptions="_buildInScales" controlType="Combobox" cellType="Scale" appId="_GBC_b9bd4a0fa089468ebded8bb61a86fbae"/>
      <m:item xlName="_GBC_4de434e29d00482b8b3175d1e7874ff2" concept="clcid-ci-ar:BiZhongCunHuoDieJiaZhunBei" label="币种：存货跌价准备" selectOptions="_buildInISO4217" controlType="Combobox" cellType="Measure" appId="_GBC_b9bd4a0fa089468ebded8bb61a86fbae"/>
      <m:placeholder xlName="_PLD_08d27e088675483b81e6b09cfaf565b8" addr="T0R0C0S2_1"/>
      <m:placeholder xlName="_PLD_631ae60526c9437f842913d632c47f24" addr="T0R0C1S2_1"/>
      <m:placeholder xlName="_PLD_bc39054479074b8ab34cb8519780a5f1" addr="T0R0C2S1_2"/>
      <m:placeholder xlName="_PLD_a4a235b43e524c0c98a604df05693747" addr="T0R0C4S1_2"/>
      <m:placeholder xlName="_PLD_fcea706dd57f438c8205de888401e160" addr="T0R0C6S2_1"/>
      <m:placeholder xlName="_PLD_9355443eafab4f4a862c075a55d7e279" addr="T0R1C2S1_1"/>
      <m:placeholder xlName="_PLD_e67cdd42c79245c980edb6a9d839ecd0" addr="T0R1C3S1_1"/>
      <m:placeholder xlName="_PLD_d2a5b409858c40b5a77dea8d7f7c8500" addr="T0R1C4S1_1"/>
      <m:placeholder xlName="_PLD_a0a39eeb19a049d18a777b0dc41ab25e" addr="T0R1C5S1_1"/>
      <m:placeholder xlName="_PLD_c1481e0b38784604952d1b8f75adf1fa" addr="T0R2C0S1_1"/>
      <m:item xlName="_GBC_e59267ca92f64ecfa8f52898e05f09ac" concept="clcid-pte:YuanCaiLiaoDieJiaZhunBeiYuE" label="原材料跌价准备余额" periodRef="本期期初数" mulRef="_GBC_42225a9505da4f598594afea08f9738b" unitRef="_GBC_4de434e29d00482b8b3175d1e7874ff2" addr="T0R2C1S1_1" formatStyle="Comma" appId="_GBC_b9bd4a0fa089468ebded8bb61a86fbae"/>
      <m:item xlName="_GBC_59b2b3d906cf4133aea86191974f3930" concept="clcid-pte:YuanCaiLiaoDieJiaZhunBeiYuEJiTiShu" label="原材料跌价准备余额计提数" mulRef="_GBC_42225a9505da4f598594afea08f9738b" unitRef="_GBC_4de434e29d00482b8b3175d1e7874ff2" addr="T0R2C2S1_1" formatStyle="Comma" appId="_GBC_b9bd4a0fa089468ebded8bb61a86fbae"/>
      <m:item xlName="_GBC_ed94272fa104411ba268a145f4e30c86" concept="clcid-pte:YuanCaiLiaoDieJiaZhunBeiBenQiQiTaZengJiaE" label="原材料跌价准备本期其他增加额" mulRef="_GBC_42225a9505da4f598594afea08f9738b" unitRef="_GBC_4de434e29d00482b8b3175d1e7874ff2" addr="T0R2C3S1_1" formatStyle="Comma" appId="_GBC_b9bd4a0fa089468ebded8bb61a86fbae"/>
      <m:item xlName="_GBC_c4615698171f4504a461390ea0b77b1a" concept="clcid-pte:YuanCaiLiaoDieJiaZhunBeiZhuanHuiHuoZhuanXiaoShu" label="原材料跌价准备转回或转销数" mulRef="_GBC_42225a9505da4f598594afea08f9738b" unitRef="_GBC_4de434e29d00482b8b3175d1e7874ff2" addr="T0R2C4S1_1" formatStyle="Comma" appId="_GBC_b9bd4a0fa089468ebded8bb61a86fbae"/>
      <m:item xlName="_GBC_0f2d33d9a60a486abd34f977dbaef00a" concept="clcid-pte:YuanCaiLiaoDieJiaZhunBeiBenQiQiTaJianShaoE" label="原材料跌价准备本期其他减少额" mulRef="_GBC_42225a9505da4f598594afea08f9738b" unitRef="_GBC_4de434e29d00482b8b3175d1e7874ff2" addr="T0R2C5S1_1" formatStyle="Comma" appId="_GBC_b9bd4a0fa089468ebded8bb61a86fbae"/>
      <m:item xlName="_GBC_17ace0f8a6364567be1710211479cfef" concept="clcid-pte:YuanCaiLiaoDieJiaZhunBeiYuE" label="原材料跌价准备余额" mulRef="_GBC_42225a9505da4f598594afea08f9738b" unitRef="_GBC_4de434e29d00482b8b3175d1e7874ff2" addr="T0R2C6S1_1" formatStyle="Comma" appId="_GBC_b9bd4a0fa089468ebded8bb61a86fbae">
        <m:complexRule comparator="Eq" title="原材料跌价准备余额" test=" $_GBC_e59267ca92f64ecfa8f52898e05f09ac +  $_GBC_59b2b3d906cf4133aea86191974f3930 +  $_GBC_ed94272fa104411ba268a145f4e30c86 -  $_GBC_c4615698171f4504a461390ea0b77b1a -  $_GBC_0f2d33d9a60a486abd34f977dbaef00a" id="Cea2c9cfb79bf4684a2769c0859cb9463"/>
      </m:item>
      <m:placeholder xlName="_PLD_caee3bbcb5684298baf9a05a47151d5c" addr="T0R3C0S1_1"/>
      <m:item xlName="_GBC_b3a617ade78b49f48b410a8c7d346461" concept="clcid-pte:ZaiChanPinDieJiaZhunBei" label="在产品跌价准备" periodRef="本期期初数" mulRef="_GBC_42225a9505da4f598594afea08f9738b" unitRef="_GBC_4de434e29d00482b8b3175d1e7874ff2" addr="T0R3C1S1_1" formatStyle="Comma" appId="_GBC_b9bd4a0fa089468ebded8bb61a86fbae"/>
      <m:item xlName="_GBC_665bb5864eab4994bcb84f4fac9705c7" concept="clcid-pte:ZaiChanPinDieJiaZhunBeiJiTiShu" label="在产品跌价准备计提数" mulRef="_GBC_42225a9505da4f598594afea08f9738b" unitRef="_GBC_4de434e29d00482b8b3175d1e7874ff2" addr="T0R3C2S1_1" formatStyle="Comma" appId="_GBC_b9bd4a0fa089468ebded8bb61a86fbae"/>
      <m:item xlName="_GBC_34175905456d48dd94a272f5954ecc1b" concept="clcid-pte:ZaiChanPinDieJiaZhunBeiBenQiQiTaZengJiaE" label="在产品跌价准备本期其他增加额" mulRef="_GBC_42225a9505da4f598594afea08f9738b" unitRef="_GBC_4de434e29d00482b8b3175d1e7874ff2" addr="T0R3C3S1_1" formatStyle="Comma" appId="_GBC_b9bd4a0fa089468ebded8bb61a86fbae"/>
      <m:item xlName="_GBC_added418ca7b4c33824e205f5cd81869" concept="clcid-pte:ZaiChanPinDieJiaZhunBeiZhuanHuiHuoZhuanXiaoShu" label="在产品跌价准备转回或转销数" mulRef="_GBC_42225a9505da4f598594afea08f9738b" unitRef="_GBC_4de434e29d00482b8b3175d1e7874ff2" addr="T0R3C4S1_1" formatStyle="Comma" appId="_GBC_b9bd4a0fa089468ebded8bb61a86fbae"/>
      <m:item xlName="_GBC_49a0c72ddceb4ad5b381c72a1a346181" concept="clcid-pte:ZaiChanPinDieJiaZhunBeiBenQiQiTaJianShaoE" label="在产品跌价准备本期其他减少额" mulRef="_GBC_42225a9505da4f598594afea08f9738b" unitRef="_GBC_4de434e29d00482b8b3175d1e7874ff2" addr="T0R3C5S1_1" formatStyle="Comma" appId="_GBC_b9bd4a0fa089468ebded8bb61a86fbae"/>
      <m:item xlName="_GBC_563d5de3163f47a099e1b2ef61581665" concept="clcid-pte:ZaiChanPinDieJiaZhunBei" label="在产品跌价准备" mulRef="_GBC_42225a9505da4f598594afea08f9738b" unitRef="_GBC_4de434e29d00482b8b3175d1e7874ff2" addr="T0R3C6S1_1" formatStyle="Comma" appId="_GBC_b9bd4a0fa089468ebded8bb61a86fbae">
        <m:complexRule comparator="Eq" title="在产品跌价准备" test=" $_GBC_b3a617ade78b49f48b410a8c7d346461 +  $_GBC_665bb5864eab4994bcb84f4fac9705c7 +  $_GBC_34175905456d48dd94a272f5954ecc1b -  $_GBC_added418ca7b4c33824e205f5cd81869 -  $_GBC_49a0c72ddceb4ad5b381c72a1a346181" id="Cc2858753b0054658a8672b5f37849542"/>
      </m:item>
      <m:placeholder xlName="_PLD_2d5756cc0cf342bb9a74d89236e6d498" addr="T0R4C0S1_1"/>
      <m:item xlName="_GBC_9a69ba76d8b44c1c8fe91ed78b9e7bac" concept="clcid-pte:KuCunShangPinDieJiaZhunBeiHeJiYuE" label="库存商品跌价准备合计余额" periodRef="本期期初数" mulRef="_GBC_42225a9505da4f598594afea08f9738b" unitRef="_GBC_4de434e29d00482b8b3175d1e7874ff2" addr="T0R4C1S1_1" formatStyle="Comma" appId="_GBC_b9bd4a0fa089468ebded8bb61a86fbae"/>
      <m:item xlName="_GBC_75578f235ba041b1a8d8715c0a2a4131" concept="clcid-pte:KuCunShangPinDieJiaZhunBeiJiTiShu" label="库存商品跌价准备计提数" mulRef="_GBC_42225a9505da4f598594afea08f9738b" unitRef="_GBC_4de434e29d00482b8b3175d1e7874ff2" addr="T0R4C2S1_1" formatStyle="Comma" appId="_GBC_b9bd4a0fa089468ebded8bb61a86fbae"/>
      <m:item xlName="_GBC_eef6f74f3dfa40dcaebff0bff5b95879" concept="clcid-pte:KuCunShangPinDieJiaZhunBeiBenQiQiTaZengJiaE" label="库存商品跌价准备本期其他增加额" mulRef="_GBC_42225a9505da4f598594afea08f9738b" unitRef="_GBC_4de434e29d00482b8b3175d1e7874ff2" addr="T0R4C3S1_1" formatStyle="Comma" appId="_GBC_b9bd4a0fa089468ebded8bb61a86fbae"/>
      <m:item xlName="_GBC_3f7ebcd3d9a14cfb80b48ee0500a59b5" concept="clcid-pte:KuCunShangPinDieJiaZhunBeiZhuanHuiHuoZhuanXiaoShu" label="库存商品跌价准备转回或转销数" mulRef="_GBC_42225a9505da4f598594afea08f9738b" unitRef="_GBC_4de434e29d00482b8b3175d1e7874ff2" addr="T0R4C4S1_1" formatStyle="Comma" appId="_GBC_b9bd4a0fa089468ebded8bb61a86fbae"/>
      <m:item xlName="_GBC_faa8b041991f452cb5f0ba39e69d2495" concept="clcid-pte:KuCunShangPinDieJiaZhunBeiBenQiQiTaJianShaoE" label="库存商品跌价准备本期其他减少额" mulRef="_GBC_42225a9505da4f598594afea08f9738b" unitRef="_GBC_4de434e29d00482b8b3175d1e7874ff2" addr="T0R4C5S1_1" formatStyle="Comma" appId="_GBC_b9bd4a0fa089468ebded8bb61a86fbae"/>
      <m:item xlName="_GBC_0f3520fd178340dbab0a49f616bec9a3" concept="clcid-pte:KuCunShangPinDieJiaZhunBeiHeJiYuE" label="库存商品跌价准备合计余额" mulRef="_GBC_42225a9505da4f598594afea08f9738b" unitRef="_GBC_4de434e29d00482b8b3175d1e7874ff2" addr="T0R4C6S1_1" formatStyle="Comma" appId="_GBC_b9bd4a0fa089468ebded8bb61a86fbae">
        <m:complexRule comparator="Eq" title="库存商品跌价准备合计余额" test=" $_GBC_9a69ba76d8b44c1c8fe91ed78b9e7bac +  $_GBC_75578f235ba041b1a8d8715c0a2a4131 +  $_GBC_eef6f74f3dfa40dcaebff0bff5b95879 -  $_GBC_3f7ebcd3d9a14cfb80b48ee0500a59b5 -  $_GBC_faa8b041991f452cb5f0ba39e69d2495" id="C5214c21f404f4cab9a0d37bf77b939e0"/>
      </m:item>
      <m:placeholder xlName="_PLD_0e7f31c3d40a4e26b9ae9d439cd18c3a" addr="T0R5C0S1_1"/>
      <m:item xlName="_GBC_f2d719a68846492e9b3dd12a5501a265" concept="clcid-pte:ZhouZhuanCaiLiaoDieJiaZhunBei" label="周转材料跌价准备" periodRef="本期期初数" mulRef="_GBC_42225a9505da4f598594afea08f9738b" unitRef="_GBC_4de434e29d00482b8b3175d1e7874ff2" addr="T0R5C1S1_1" formatStyle="Comma" appId="_GBC_b9bd4a0fa089468ebded8bb61a86fbae"/>
      <m:item xlName="_GBC_0c3a01121017468490139bd1212a0305" concept="clcid-pte:ZhouZhuanCaiLiaoDieJiaZhunBeiJiTiShu" label="周转材料跌价准备计提数" mulRef="_GBC_42225a9505da4f598594afea08f9738b" unitRef="_GBC_4de434e29d00482b8b3175d1e7874ff2" addr="T0R5C2S1_1" formatStyle="Comma" appId="_GBC_b9bd4a0fa089468ebded8bb61a86fbae"/>
      <m:item xlName="_GBC_38a82cdd7bad4ef2bb07ef9b85654d80" concept="clcid-pte:ZhouZhuanCaiLiaoDieJiaZhunBeiBenQiQiTaZengJiaE" label="周转材料跌价准备本期其他增加额" mulRef="_GBC_42225a9505da4f598594afea08f9738b" unitRef="_GBC_4de434e29d00482b8b3175d1e7874ff2" addr="T0R5C3S1_1" formatStyle="Comma" appId="_GBC_b9bd4a0fa089468ebded8bb61a86fbae"/>
      <m:item xlName="_GBC_6ee7f5118e8e4c749b1a61059d33aeff" concept="clcid-pte:ZhouZhuanCaiLiaoDieJiaZhunBeiZhuanHuiHuoZhuanXiaoShu" label="周转材料跌价准备转回或转销数" mulRef="_GBC_42225a9505da4f598594afea08f9738b" unitRef="_GBC_4de434e29d00482b8b3175d1e7874ff2" addr="T0R5C4S1_1" formatStyle="Comma" appId="_GBC_b9bd4a0fa089468ebded8bb61a86fbae"/>
      <m:item xlName="_GBC_b5bf5edf1fbf4e7b9ab3863970fd4335" concept="clcid-pte:ZhouZhuanCaiLiaoDieJiaZhunBeiBenQiQiTaJianShaoE" label="周转材料跌价准备本期其他减少额" mulRef="_GBC_42225a9505da4f598594afea08f9738b" unitRef="_GBC_4de434e29d00482b8b3175d1e7874ff2" addr="T0R5C5S1_1" formatStyle="Comma" appId="_GBC_b9bd4a0fa089468ebded8bb61a86fbae"/>
      <m:item xlName="_GBC_a620eb2ac8964f1dbcfcf050065febfc" concept="clcid-pte:ZhouZhuanCaiLiaoDieJiaZhunBei" label="周转材料跌价准备" mulRef="_GBC_42225a9505da4f598594afea08f9738b" unitRef="_GBC_4de434e29d00482b8b3175d1e7874ff2" addr="T0R5C6S1_1" formatStyle="Comma" appId="_GBC_b9bd4a0fa089468ebded8bb61a86fbae">
        <m:complexRule comparator="Eq" title="周转材料跌价准备" test=" $_GBC_f2d719a68846492e9b3dd12a5501a265 +  $_GBC_0c3a01121017468490139bd1212a0305 +  $_GBC_38a82cdd7bad4ef2bb07ef9b85654d80 -  $_GBC_6ee7f5118e8e4c749b1a61059d33aeff -  $_GBC_b5bf5edf1fbf4e7b9ab3863970fd4335" id="Cd37e952402bb4570b50ae2627c391380"/>
      </m:item>
      <m:placeholder xlName="_PLD_bcc6f3ed6a0841af94293c37eaaf52f3" addr="T0R6C0S1_1"/>
      <m:item xlName="_GBC_a4b74cfe0bcc40c180dc5c55f060fad8" concept="clcid-pte:XiaoHaoXingShengWuZiChanDieJiaZhunBei" label="消耗性生物资产跌价准备" periodRef="本期期初数" mulRef="_GBC_42225a9505da4f598594afea08f9738b" unitRef="_GBC_4de434e29d00482b8b3175d1e7874ff2" addr="T0R6C1S1_1" formatStyle="Comma" appId="_GBC_b9bd4a0fa089468ebded8bb61a86fbae"/>
      <m:item xlName="_GBC_ee7ad2004e02442f810013a345dbadc2" concept="clcid-pte:XiaoHaoXingShengWuZiChanDieJiaZhunBeiJiTiShu" label="消耗性生物资产跌价准备计提数" mulRef="_GBC_42225a9505da4f598594afea08f9738b" unitRef="_GBC_4de434e29d00482b8b3175d1e7874ff2" addr="T0R6C2S1_1" formatStyle="Comma" appId="_GBC_b9bd4a0fa089468ebded8bb61a86fbae"/>
      <m:item xlName="_GBC_4eacb25793104e7e9f0650426302cd97" concept="clcid-pte:XiaoHaoXingShengWuZiChanDieJiaZhunBeiBenQiQiTaZengJiaE" label="消耗性生物资产跌价准备本期其他增加额" mulRef="_GBC_42225a9505da4f598594afea08f9738b" unitRef="_GBC_4de434e29d00482b8b3175d1e7874ff2" addr="T0R6C3S1_1" formatStyle="Comma" appId="_GBC_b9bd4a0fa089468ebded8bb61a86fbae"/>
      <m:item xlName="_GBC_8ddaebb419a743e8bb98fe72c053c06f" concept="clcid-pte:XiaoHaoXingShengWuZiChanDieJiaZhunBeiZhuanHuiHuoZhuanXiaoShu" label="消耗性生物资产跌价准备转回或转销数" mulRef="_GBC_42225a9505da4f598594afea08f9738b" unitRef="_GBC_4de434e29d00482b8b3175d1e7874ff2" addr="T0R6C4S1_1" formatStyle="Comma" appId="_GBC_b9bd4a0fa089468ebded8bb61a86fbae"/>
      <m:item xlName="_GBC_b617abe6e6734b1a9ecfe2994f4020fc" concept="clcid-pte:XiaoHaoXingShengWuZiChanDieJiaZhunBeiBenQiQiTaJianShaoE" label="消耗性生物资产跌价准备本期其他减少额" mulRef="_GBC_42225a9505da4f598594afea08f9738b" unitRef="_GBC_4de434e29d00482b8b3175d1e7874ff2" addr="T0R6C5S1_1" formatStyle="Comma" appId="_GBC_b9bd4a0fa089468ebded8bb61a86fbae"/>
      <m:item xlName="_GBC_80ed574c1c454a9e8305ee7bec14010d" concept="clcid-pte:XiaoHaoXingShengWuZiChanDieJiaZhunBei" label="消耗性生物资产跌价准备" mulRef="_GBC_42225a9505da4f598594afea08f9738b" unitRef="_GBC_4de434e29d00482b8b3175d1e7874ff2" addr="T0R6C6S1_1" formatStyle="Comma" appId="_GBC_b9bd4a0fa089468ebded8bb61a86fbae">
        <m:complexRule comparator="Eq" title="消耗性生物资产跌价准备" test=" $_GBC_a4b74cfe0bcc40c180dc5c55f060fad8 +  $_GBC_ee7ad2004e02442f810013a345dbadc2 +  $_GBC_4eacb25793104e7e9f0650426302cd97 -  $_GBC_8ddaebb419a743e8bb98fe72c053c06f -  $_GBC_b617abe6e6734b1a9ecfe2994f4020fc" id="C3b7b9b787a8240f0b9036e541b998c61"/>
      </m:item>
      <m:placeholder xlName="_PLD_244840926cbe4a8d87e80a8d9c7cb579" addr="T0R7C0S1_1"/>
      <m:item xlName="_GBC_1db2e20f8d86483ab1964729eca4e1f5" concept="clcid-pte:HeTongLvYueChengBenDieJiaZhunBei" label="合同履约成本跌价准备" periodRef="本期期初数" mulRef="_GBC_42225a9505da4f598594afea08f9738b" unitRef="_GBC_4de434e29d00482b8b3175d1e7874ff2" addr="T0R7C1S1_1" formatStyle="Comma" appId="_GBC_b9bd4a0fa089468ebded8bb61a86fbae"/>
      <m:item xlName="_GBC_58d74aa334c24600b15b96352a402120" concept="clcid-pte:HeTongLvYueChengBenDieJiaZhunBeiJiTiShu" label="合同履约成本跌价准备计提数" mulRef="_GBC_42225a9505da4f598594afea08f9738b" unitRef="_GBC_4de434e29d00482b8b3175d1e7874ff2" addr="T0R7C2S1_1" formatStyle="Comma" appId="_GBC_b9bd4a0fa089468ebded8bb61a86fbae"/>
      <m:item xlName="_GBC_de8ea58c33914ad8b2c87f82990983ae" concept="clcid-pte:HeTongLvYueChengBenDieJiaZhunBeiBenQiQiTaZengJiaE" label="合同履约成本跌价准备本期其他增加额" mulRef="_GBC_42225a9505da4f598594afea08f9738b" unitRef="_GBC_4de434e29d00482b8b3175d1e7874ff2" addr="T0R7C3S1_1" formatStyle="Comma" appId="_GBC_b9bd4a0fa089468ebded8bb61a86fbae"/>
      <m:item xlName="_GBC_ddc9faaba9a248a49e791dc2c970200a" concept="clcid-pte:HeTongLvYueChengBenDieJiaZhunBeiZhuanHuiHuoZhuanXiaoShu" label="合同履约成本跌价准备转回或转销数" mulRef="_GBC_42225a9505da4f598594afea08f9738b" unitRef="_GBC_4de434e29d00482b8b3175d1e7874ff2" addr="T0R7C4S1_1" formatStyle="Comma" appId="_GBC_b9bd4a0fa089468ebded8bb61a86fbae"/>
      <m:item xlName="_GBC_daa4d1743bcf4aa7adf51687e0f1d3e7" concept="clcid-pte:HeTongLvYueChengBenDieJiaZhunBeiBenQiQiTaJianShaoE" label="合同履约成本跌价准备本期其他减少额" mulRef="_GBC_42225a9505da4f598594afea08f9738b" unitRef="_GBC_4de434e29d00482b8b3175d1e7874ff2" addr="T0R7C5S1_1" formatStyle="Comma" appId="_GBC_b9bd4a0fa089468ebded8bb61a86fbae"/>
      <m:item xlName="_GBC_d64533456b9941898d76defdd2687dc4" concept="clcid-pte:HeTongLvYueChengBenDieJiaZhunBei" label="合同履约成本跌价准备" mulRef="_GBC_42225a9505da4f598594afea08f9738b" unitRef="_GBC_4de434e29d00482b8b3175d1e7874ff2" addr="T0R7C6S1_1" formatStyle="Comma" appId="_GBC_b9bd4a0fa089468ebded8bb61a86fbae">
        <m:complexRule comparator="Eq" title="合同履约成本跌价准备" test=" $_GBC_1db2e20f8d86483ab1964729eca4e1f5 +  $_GBC_58d74aa334c24600b15b96352a402120 +  $_GBC_de8ea58c33914ad8b2c87f82990983ae -  $_GBC_ddc9faaba9a248a49e791dc2c970200a -  $_GBC_daa4d1743bcf4aa7adf51687e0f1d3e7" id="C678c4d758fd746c0b14256f3bc8bc437"/>
      </m:item>
      <m:tuple xlName="_GBC_c901c46f630b4db5826ead896c012bf9" concept="clcid-pte:CunHuoDieJiaZhunBeiMingXi" default_row="2" addr="T0R8C">
        <m:item xlName="_GBC_e9a4ede3d61144b79634de949356172f" concept="clcid-pte:CunHuoDieJiaZhunBeiMingXiCunHuoZhongLei" label="存货跌价准备明细-存货种类" addr="T0R8C0S1_1" appId="_GBC_b9bd4a0fa089468ebded8bb61a86fbae"/>
        <m:item xlName="_GBC_acb9b63f49884d85b89eb0214f2c8405" concept="clcid-pte:CunHuoDieJiaZhunBeiMingXiZhangMianYuE" label="存货跌价准备明细-账面余额" periodRef="本期期初数" mulRef="_GBC_42225a9505da4f598594afea08f9738b" unitRef="_GBC_4de434e29d00482b8b3175d1e7874ff2" addr="T0R8C1S1_1" formatStyle="Comma" appId="_GBC_b9bd4a0fa089468ebded8bb61a86fbae"/>
        <m:item xlName="_GBC_da175c796e734ed9ba039be964c7e21d" concept="clcid-pte:CunHuoDieJiaZhunBeiMingXiJiTiE" label="存货跌价准备明细-计提额" mulRef="_GBC_42225a9505da4f598594afea08f9738b" unitRef="_GBC_4de434e29d00482b8b3175d1e7874ff2" addr="T0R8C2S1_1" formatStyle="Comma" appId="_GBC_b9bd4a0fa089468ebded8bb61a86fbae"/>
        <m:item xlName="_GBC_f43f963c934d460ba62ee57027d29a06" concept="clcid-pte:CunHuoDieJiaZhunBeiMingXiBenQiQiTaZengJiaE" label="存货跌价准备明细-本期其他增加额" mulRef="_GBC_42225a9505da4f598594afea08f9738b" unitRef="_GBC_4de434e29d00482b8b3175d1e7874ff2" addr="T0R8C3S1_1" formatStyle="Comma" appId="_GBC_b9bd4a0fa089468ebded8bb61a86fbae"/>
        <m:item xlName="_GBC_40d34eee5fdf455191a6ecbd54cb8424" concept="clcid-pte:CunHuoDieJiaZhunBeiMingXiZhuanHuiHuoZhuanXiaoShu" label="存货跌价准备明细-转回或转销数" mulRef="_GBC_42225a9505da4f598594afea08f9738b" unitRef="_GBC_4de434e29d00482b8b3175d1e7874ff2" addr="T0R8C4S1_1" formatStyle="Comma" appId="_GBC_b9bd4a0fa089468ebded8bb61a86fbae"/>
        <m:item xlName="_GBC_db4c6ea704db442ca9c61498ef479346" concept="clcid-pte:CunHuoDieJiaZhunBeiMingXiBenQiQiTaJianShaoE" label="存货跌价准备明细-本期其他减少额" mulRef="_GBC_42225a9505da4f598594afea08f9738b" unitRef="_GBC_4de434e29d00482b8b3175d1e7874ff2" addr="T0R8C5S1_1" formatStyle="Comma" appId="_GBC_b9bd4a0fa089468ebded8bb61a86fbae"/>
        <m:item xlName="_GBC_516228cfca644aefabda9f6410309dd4" concept="clcid-pte:CunHuoDieJiaZhunBeiMingXiZhangMianYuE" label="存货跌价准备明细-账面余额" mulRef="_GBC_42225a9505da4f598594afea08f9738b" unitRef="_GBC_4de434e29d00482b8b3175d1e7874ff2" addr="T0R8C6S1_1" formatStyle="Comma" appId="_GBC_b9bd4a0fa089468ebded8bb61a86fbae">
          <m:complexRule comparator="Eq" title="存货跌价准备明细-账面余额" test=" $_GBC_acb9b63f49884d85b89eb0214f2c8405 +  $_GBC_da175c796e734ed9ba039be964c7e21d +  $_GBC_f43f963c934d460ba62ee57027d29a06 -  $_GBC_40d34eee5fdf455191a6ecbd54cb8424 -  $_GBC_db4c6ea704db442ca9c61498ef479346" id="C338d95b2f59e4c8bb159a2923846af10"/>
        </m:item>
      </m:tuple>
      <m:placeholder xlName="_PLD_cb1768e916f04c1d8cc6e1efb4624f54" addr="T0R10C0S1_1"/>
      <m:item xlName="_GBC_eb48858203024f8c9fb2aa6c528c84e4" concept="clcid-pte:CunHuoDieJiaZhunBeiHeJiYuE" label="存货跌价准备合计余额" periodRef="本期期初数" mulRef="_GBC_42225a9505da4f598594afea08f9738b" unitRef="_GBC_4de434e29d00482b8b3175d1e7874ff2" addr="T0R10C1S1_1" formatStyle="Comma" appId="_GBC_b9bd4a0fa089468ebded8bb61a86fbae">
        <m:complexRule comparator="Eq" title="存货跌价准备合计余额@本期期初数" test=" $_GBC_e59267ca92f64ecfa8f52898e05f09ac +  $_GBC_b3a617ade78b49f48b410a8c7d346461 +  $_GBC_9a69ba76d8b44c1c8fe91ed78b9e7bac +  $_GBC_f2d719a68846492e9b3dd12a5501a265 +  $_GBC_a4b74cfe0bcc40c180dc5c55f060fad8 +  $_GBC_1db2e20f8d86483ab1964729eca4e1f5 +  $_GBC_acb9b63f49884d85b89eb0214f2c8405" id="C45fe0abd8f564dcd84024e655156d9c7"/>
      </m:item>
      <m:item xlName="_GBC_ba90aeea0fbb4a1ab37b82a05e74131e" concept="clcid-pte:CunHuoDieJiaZhunBeiHeJiYuEJiTiShu" label="存货跌价准备合计余额计提数" mulRef="_GBC_42225a9505da4f598594afea08f9738b" unitRef="_GBC_4de434e29d00482b8b3175d1e7874ff2" addr="T0R10C2S1_1" formatStyle="Comma" appId="_GBC_b9bd4a0fa089468ebded8bb61a86fbae">
        <m:complexRule comparator="Eq" title="存货跌价准备合计余额计提数" test=" $_GBC_59b2b3d906cf4133aea86191974f3930 +  $_GBC_665bb5864eab4994bcb84f4fac9705c7 +  $_GBC_75578f235ba041b1a8d8715c0a2a4131 +  $_GBC_0c3a01121017468490139bd1212a0305 +  $_GBC_ee7ad2004e02442f810013a345dbadc2 +  $_GBC_58d74aa334c24600b15b96352a402120 +  $_GBC_da175c796e734ed9ba039be964c7e21d" id="C891ad599e2c64319831e1569f7c62a25"/>
      </m:item>
      <m:item xlName="_GBC_0c1f1a251f5e4937b5b0682da6a428e2" concept="clcid-pte:CunHuoDieJiaZhunBeiHeJiYuEBenQiQiTaZengJiaE" label="存货跌价准备合计余额本期其他增加额" mulRef="_GBC_42225a9505da4f598594afea08f9738b" unitRef="_GBC_4de434e29d00482b8b3175d1e7874ff2" addr="T0R10C3S1_1" formatStyle="Comma" appId="_GBC_b9bd4a0fa089468ebded8bb61a86fbae">
        <m:complexRule comparator="Eq" title="存货跌价准备合计余额本期其他增加额" test=" $_GBC_ed94272fa104411ba268a145f4e30c86 +  $_GBC_34175905456d48dd94a272f5954ecc1b +  $_GBC_eef6f74f3dfa40dcaebff0bff5b95879 +  $_GBC_38a82cdd7bad4ef2bb07ef9b85654d80 +  $_GBC_4eacb25793104e7e9f0650426302cd97 +  $_GBC_de8ea58c33914ad8b2c87f82990983ae +  $_GBC_f43f963c934d460ba62ee57027d29a06" id="Cbd0c3afd209b40e0a7b67954ab271b11"/>
      </m:item>
      <m:item xlName="_GBC_0f0bf83f717b4703acc834c4e51af5e2" concept="clcid-pte:CunHuoDieJiaZhunBeiHeJiYuEZhuanHuiHuoZhuanXiaoShu" label="存货跌价准备合计余额转回或转销数" mulRef="_GBC_42225a9505da4f598594afea08f9738b" unitRef="_GBC_4de434e29d00482b8b3175d1e7874ff2" addr="T0R10C4S1_1" formatStyle="Comma" appId="_GBC_b9bd4a0fa089468ebded8bb61a86fbae">
        <m:complexRule comparator="Eq" title="存货跌价准备合计余额转回或转销数" test=" $_GBC_c4615698171f4504a461390ea0b77b1a +  $_GBC_added418ca7b4c33824e205f5cd81869 +  $_GBC_3f7ebcd3d9a14cfb80b48ee0500a59b5 +  $_GBC_6ee7f5118e8e4c749b1a61059d33aeff +  $_GBC_8ddaebb419a743e8bb98fe72c053c06f +  $_GBC_ddc9faaba9a248a49e791dc2c970200a +  $_GBC_40d34eee5fdf455191a6ecbd54cb8424" id="Caab749ebeee14840933c9552d7dd496c"/>
      </m:item>
      <m:item xlName="_GBC_4c27fd23cf5b4ba18047e5169032d894" concept="clcid-pte:CunHuoDieJiaZhunBeiHeJiYuEBenQiQiTaJianShaoE" label="存货跌价准备合计余额本期其他减少额" mulRef="_GBC_42225a9505da4f598594afea08f9738b" unitRef="_GBC_4de434e29d00482b8b3175d1e7874ff2" addr="T0R10C5S1_1" formatStyle="Comma" appId="_GBC_b9bd4a0fa089468ebded8bb61a86fbae">
        <m:complexRule comparator="Eq" title="存货跌价准备合计余额本期其他减少额" test=" $_GBC_0f2d33d9a60a486abd34f977dbaef00a +  $_GBC_49a0c72ddceb4ad5b381c72a1a346181 +  $_GBC_faa8b041991f452cb5f0ba39e69d2495 +  $_GBC_b5bf5edf1fbf4e7b9ab3863970fd4335 +  $_GBC_b617abe6e6734b1a9ecfe2994f4020fc +  $_GBC_daa4d1743bcf4aa7adf51687e0f1d3e7 +  $_GBC_db4c6ea704db442ca9c61498ef479346" id="Cc781fdf7f4bf400f8712894162655e2b"/>
      </m:item>
      <m:item xlName="_GBC_8ee507d7973d42f4b55fced3dc3888fb" concept="clcid-pte:CunHuoDieJiaZhunBeiHeJiYuE" label="存货跌价准备合计余额" mulRef="_GBC_42225a9505da4f598594afea08f9738b" unitRef="_GBC_4de434e29d00482b8b3175d1e7874ff2" addr="T0R10C6S1_1" formatStyle="Comma" appId="_GBC_b9bd4a0fa089468ebded8bb61a86fbae">
        <m:complexRule comparator="Eq" title="存货跌价准备合计余额期末期初计算" test=" $_GBC_eb48858203024f8c9fb2aa6c528c84e4 +  $_GBC_ba90aeea0fbb4a1ab37b82a05e74131e +  $_GBC_0c1f1a251f5e4937b5b0682da6a428e2 -  $_GBC_0f0bf83f717b4703acc834c4e51af5e2 -  $_GBC_4c27fd23cf5b4ba18047e5169032d894" id="C5e524871ed4d4d4abbd21366c262e0ad"/>
        <m:complexRule comparator="Eq" title="存货跌价准备合计余额" test=" $_GBC_17ace0f8a6364567be1710211479cfef +  $_GBC_563d5de3163f47a099e1b2ef61581665 +  $_GBC_0f3520fd178340dbab0a49f616bec9a3 +  $_GBC_a620eb2ac8964f1dbcfcf050065febfc +  $_GBC_80ed574c1c454a9e8305ee7bec14010d +  $_GBC_d64533456b9941898d76defdd2687dc4 +  $_GBC_516228cfca644aefabda9f6410309dd4" id="Ce7109f337d0f41c4a3013a306791ac26"/>
      </m:item>
    </m:section>
    <m:section xlName="_GBC_dc559aaf0bf0428386e2f7f2cdeb43ec" title="存货期末余额含有借款费用资本化金额的说明：" rules="R2015_R11_007" helpId="112001053">
      <m:item xlName="_GBC_c4216db560c643b38b29d44401d464c9" concept="clcid-ci-ar:ShiFouShiYongCunHuoQiMoYuEHanYouJieKuanFeiYongZiBenHuaJinEDeShuoMing" label="是否适用：存货期末余额含有借款费用资本化金额的说明" selectOptions="_buildInAppliance" controlType="CustomCheckbox" cRanges="{&quot;StartName&quot;:&quot;_GBC_c4216db560c643b38b29d44401d464c9&quot;,&quot;EndName&quot;:&quot;_GBC_94bd489defb34e6188f3116bd2adeb70&quot;,&quot;CType&quot;:1,&quot;DisplayText&quot;:null}"/>
      <m:item xlName="_GBC_94bd489defb34e6188f3116bd2adeb70" concept="clcid-pte:CunHuoQiMoYuEHanYouJieKuanFeiYongZiBenHuaJinEDeShuoMing" label="存货期末余额含有借款费用资本化金额的说明" appId="_GBC_c4216db560c643b38b29d44401d464c9"/>
    </m:section>
    <m:section xlName="_SEC_8c46917973d94083a642ad0ca746d3cd" title="合同履约成本本期摊销金额的说明">
      <m:item xlName="_GBC_cd3513a7790e48d4a2a156e8ad6a629a" concept="clcid-ci-ar:ShiFouShiYongHeTongLvYueChengBenBenQiTanXiaoJinEDeShuoMing" label="是否适用：合同履约成本本期摊销金额的说明" selectOptions="_buildInAppliance" controlType="CustomCheckbox" cRanges="[{&quot;StartName&quot;:&quot;_GBC_cd3513a7790e48d4a2a156e8ad6a629a&quot;,&quot;EndName&quot;:&quot;_GBC_7c9c1bc126064e8cb2163d830e2f073c&quot;,&quot;CType&quot;:1}]"/>
      <m:item xlName="_GBC_7c9c1bc126064e8cb2163d830e2f073c" concept="clcid-pte:HeTongLvYueChengBenBenQiTanXiaoJinEDeShuoMing" label="合同履约成本本期摊销金额的说明" appId="_GBC_cd3513a7790e48d4a2a156e8ad6a629a"/>
    </m:section>
    <m:section xlName="_SEC_96c2195df56b4f3eb6049f39e6923486" title="存货的其他说明">
      <m:item xlName="_GBC_bd31680428a448ecb64fdd4cbab90a42" concept="clcid-ci-ar:ShiFouShiYongCunHuoDeQiTaShuoMing" label="是否适用：存货的其他说明" selectOptions="_buildInAppliance" controlType="CustomCheckbox" cRanges="[{&quot;StartName&quot;:&quot;_GBC_bd31680428a448ecb64fdd4cbab90a42&quot;,&quot;EndName&quot;:&quot;_GBC_ad879cdee72f496fb83dd2f40a910e28&quot;,&quot;CType&quot;:1}]"/>
      <m:item xlName="_GBC_ad879cdee72f496fb83dd2f40a910e28" concept="clcid-pte:CunHuoDeShuoMing" label="存货的说明" appId="_GBC_bd31680428a448ecb64fdd4cbab90a42"/>
    </m:section>
    <m:section xlName="_SEC_9eb3b6c88c0a41f7a3f6a2f43946f06c" title="合同资产" helpId="112002271">
      <m:item xlName="_GBC_d77156d135184e21a21238cac863494c" concept="clcid-ci-ar:ShiFouShiYongHeTongZiChanQingKuang" label="是否适用：合同资产情况" selectOptions="_buildInAppliance" controlType="CustomCheckbox" cRanges="[{&quot;StartName&quot;:&quot;_GBC_d77156d135184e21a21238cac863494c&quot;,&quot;EndName&quot;:&quot;_GBC_561d72ec7c4a43a59e53e2d75ca846d6&quot;,&quot;CType&quot;:1}]"/>
      <m:item xlName="_GBC_ae95a10d4d37477595fca3e1b67967c8" concept="clcid-ci-ar:DanWeiHeTongZiChanQingKuang" label="单位：合同资产情况" selectOptions="_buildInScales" controlType="Combobox" cellType="Scale" appId="_GBC_d77156d135184e21a21238cac863494c"/>
      <m:item xlName="_GBC_9ad5c0ca85dc4cdba1c71ffd880f6171" concept="clcid-ci-ar:BiZhongHeTongZiChanQingKuang" label="币种：合同资产情况" selectOptions="_buildInISO4217" controlType="Combobox" cellType="Measure" appId="_GBC_d77156d135184e21a21238cac863494c"/>
      <m:placeholder xlName="_PLD_698ecdbdbc3c49ab9876e78d87fab014" addr="T0R0C0S2_1"/>
      <m:placeholder xlName="_PLD_93e08670e7824605b175142b67b4620d" addr="T0R0C1S1_3"/>
      <m:placeholder xlName="_PLD_6d2d3313cee04f6dbf64e6ebda20a177" addr="T0R0C4S1_3"/>
      <m:placeholder xlName="_PLD_4ba78f03bce84447ab0eb03bd654beec" addr="T0R1C1S1_1"/>
      <m:placeholder xlName="_PLD_480e356787b640d5a3d68d85462a53f5" addr="T0R1C2S1_1"/>
      <m:placeholder xlName="_PLD_0b755ec608f14ee8adbc9ef8eaed6809" addr="T0R1C3S1_1"/>
      <m:placeholder xlName="_PLD_4016b640b4a44e87984d3ef911c92d35" addr="T0R1C4S1_1"/>
      <m:placeholder xlName="_PLD_6186b1493bd84df6a9ea9798c63928ef" addr="T0R1C5S1_1"/>
      <m:placeholder xlName="_PLD_b2a17afa2830418baf67c06b4b9af324" addr="T0R1C6S1_1"/>
      <m:tuple xlName="_TUP_8abc62664d0844998470a01940c375aa" concept="clcid-pte:HeTongZiChanQingKuangMingXi" default_row="2" addr="T0R2C">
        <m:item xlName="_GBC_dcade307646a4dacbc163d52f99045bf" concept="clcid-pte:HeTongZiChanQingKuangMingXiXiangMu" label="合同资产情况明细-项目" addr="T0R2C0S1_1" appId="_GBC_d77156d135184e21a21238cac863494c"/>
        <m:item xlName="_GBC_75444e0ca5e64475a097742f7139600a" concept="clcid-pte:HeTongZiChanQingKuangMingXiZhangMianYuE" label="合同资产情况明细-账面余额" mulRef="_GBC_ae95a10d4d37477595fca3e1b67967c8" unitRef="_GBC_9ad5c0ca85dc4cdba1c71ffd880f6171" addr="T0R2C1S1_1" formatStyle="Comma" appId="_GBC_d77156d135184e21a21238cac863494c"/>
        <m:item xlName="_GBC_89051bcf6a924beb925d4435b33d9371" concept="clcid-pte:HeTongZiChanQingKuangMingXiJianZhiZhunBei" label="合同资产情况明细-减值准备" mulRef="_GBC_ae95a10d4d37477595fca3e1b67967c8" unitRef="_GBC_9ad5c0ca85dc4cdba1c71ffd880f6171" addr="T0R2C2S1_1" formatStyle="Comma" appId="_GBC_d77156d135184e21a21238cac863494c"/>
        <m:item xlName="_GBC_36a6714405a34331af263afef190969f" concept="clcid-pte:HeTongZiChanQingKuangMingXiZhangMianJiaZhi" label="合同资产情况明细-账面价值" mulRef="_GBC_ae95a10d4d37477595fca3e1b67967c8" unitRef="_GBC_9ad5c0ca85dc4cdba1c71ffd880f6171" addr="T0R2C3S1_1" formatStyle="Comma" appId="_GBC_d77156d135184e21a21238cac863494c"/>
        <m:item xlName="_GBC_78e764a693f74eeca7028e903b9fad6b" concept="clcid-pte:HeTongZiChanQingKuangMingXiZhangMianYuE" label="合同资产情况明细-账面余额" periodRef="本期期初数" mulRef="_GBC_ae95a10d4d37477595fca3e1b67967c8" unitRef="_GBC_9ad5c0ca85dc4cdba1c71ffd880f6171" addr="T0R2C4S1_1" formatStyle="Comma" appId="_GBC_d77156d135184e21a21238cac863494c"/>
        <m:item xlName="_GBC_f4b760577fcd4c05a9f523d900543962" concept="clcid-pte:HeTongZiChanQingKuangMingXiJianZhiZhunBei" label="合同资产情况明细-减值准备" periodRef="本期期初数" mulRef="_GBC_ae95a10d4d37477595fca3e1b67967c8" unitRef="_GBC_9ad5c0ca85dc4cdba1c71ffd880f6171" addr="T0R2C5S1_1" formatStyle="Comma" appId="_GBC_d77156d135184e21a21238cac863494c"/>
        <m:item xlName="_GBC_77967a80a28747bcabee21fcbc6f2fcd" concept="clcid-pte:HeTongZiChanQingKuangMingXiZhangMianJiaZhi" label="合同资产情况明细-账面价值" periodRef="本期期初数" mulRef="_GBC_ae95a10d4d37477595fca3e1b67967c8" unitRef="_GBC_9ad5c0ca85dc4cdba1c71ffd880f6171" addr="T0R2C6S1_1" formatStyle="Comma" appId="_GBC_d77156d135184e21a21238cac863494c"/>
      </m:tuple>
      <m:placeholder xlName="_PLD_baafd76ab8ac4e758fa5ce7949fcef74" addr="T0R4C0S1_1"/>
      <m:item xlName="_GBC_639a97e720554541af9b97c2ec99214a" concept="clcid-pte:HeTongZiChanZhangMianYuE" label="合同资产账面余额" mulRef="_GBC_ae95a10d4d37477595fca3e1b67967c8" unitRef="_GBC_9ad5c0ca85dc4cdba1c71ffd880f6171" addr="T0R4C1S1_1" formatStyle="Comma" appId="_GBC_d77156d135184e21a21238cac863494c">
        <m:complexRule comparator="Eq" title="合同资产账面余额" test=" $_GBC_75444e0ca5e64475a097742f7139600a" id="Cb411a6a036484ec49abb295bdfe8307f"/>
      </m:item>
      <m:item xlName="_GBC_8686b2149ae24822ba55e4bc1b560ed6" concept="clcid-pte:HeTongZiChanJianZhiZhunBei" label="合同资产减值准备" mulRef="_GBC_ae95a10d4d37477595fca3e1b67967c8" unitRef="_GBC_9ad5c0ca85dc4cdba1c71ffd880f6171" addr="T0R4C2S1_1" formatStyle="Comma" appId="_GBC_d77156d135184e21a21238cac863494c">
        <m:complexRule comparator="Eq" title="合同资产减值准备" test=" $_GBC_89051bcf6a924beb925d4435b33d9371" id="Ccfac77896dce49ee901e6aadfb8402bc"/>
      </m:item>
      <m:item xlName="_GBC_632a898f38ff4c9bb472cca7655b34f4" concept="clcid-pte:HeTongZiChan" label="合同资产" mulRef="_GBC_ae95a10d4d37477595fca3e1b67967c8" unitRef="_GBC_9ad5c0ca85dc4cdba1c71ffd880f6171" addr="T0R4C3S1_1" formatStyle="Comma" appId="_GBC_d77156d135184e21a21238cac863494c">
        <m:complexRule comparator="Eq" title="合同资产" test=" $_GBC_36a6714405a34331af263afef190969f" id="C39b717052651467d87de6c45c0529ed3"/>
      </m:item>
      <m:item xlName="_GBC_ba72197aa0cb46a0ba154953783bc68f" concept="clcid-pte:HeTongZiChanZhangMianYuE" label="合同资产账面余额" periodRef="本期期初数" mulRef="_GBC_ae95a10d4d37477595fca3e1b67967c8" unitRef="_GBC_9ad5c0ca85dc4cdba1c71ffd880f6171" addr="T0R4C4S1_1" formatStyle="Comma" appId="_GBC_d77156d135184e21a21238cac863494c">
        <m:complexRule comparator="Eq" title="合同资产账面余额@本期期初数" test=" $_GBC_78e764a693f74eeca7028e903b9fad6b" id="C6c8ca22cd67345539eca8b291b99f6c7"/>
      </m:item>
      <m:item xlName="_GBC_4c5bb34143d240abbabf3998ae2439b7" concept="clcid-pte:HeTongZiChanJianZhiZhunBei" label="合同资产减值准备" periodRef="本期期初数" mulRef="_GBC_ae95a10d4d37477595fca3e1b67967c8" unitRef="_GBC_9ad5c0ca85dc4cdba1c71ffd880f6171" addr="T0R4C5S1_1" formatStyle="Comma" appId="_GBC_d77156d135184e21a21238cac863494c">
        <m:complexRule comparator="Eq" title="合同资产减值准备@本期期初数" test=" $_GBC_f4b760577fcd4c05a9f523d900543962" id="C6fd78dc9d0cc4b989b3974f3a8d834df"/>
      </m:item>
      <m:item xlName="_GBC_561d72ec7c4a43a59e53e2d75ca846d6" concept="clcid-pte:HeTongZiChan" label="合同资产" periodRef="本期期初数" mulRef="_GBC_ae95a10d4d37477595fca3e1b67967c8" unitRef="_GBC_9ad5c0ca85dc4cdba1c71ffd880f6171" addr="T0R4C6S1_1" formatStyle="Comma" appId="_GBC_d77156d135184e21a21238cac863494c">
        <m:complexRule comparator="Eq" title="合同资产@本期期初数" test=" $_GBC_77967a80a28747bcabee21fcbc6f2fcd" id="Ca767b504146a47829b0ead71e7308ca3"/>
      </m:item>
    </m:section>
    <m:section xlName="_SEC_e8c350da8e69479e93eb03226371923c" title="报告期内账面价值发生重大变动的金额和原因" helpId="112002271">
      <m:item xlName="_GBC_4cdeacc1c4f24682b8d7fe35b510e9c1" concept="clcid-ci-ar:ShiFouShiYongHeTongZiChanZhangMianJiaZhiFaShengZhongDaBianDong" label="是否适用：合同资产账面价值发生重大变动" selectOptions="_buildInAppliance" controlType="CustomCheckbox" cRanges="[{&quot;StartName&quot;:&quot;_GBC_4cdeacc1c4f24682b8d7fe35b510e9c1&quot;,&quot;EndName&quot;:&quot;_GBC_a0804f0fbfa144779f54516819a458d0&quot;,&quot;CType&quot;:1}]"/>
      <m:item xlName="_GBC_01ece3744f2c47c9a8b801d8cb54a7a6" concept="clcid-ci-ar:DanWeiHeTongZiChanZhangMianJiaZhiFaShengZhongDaBianDong" label="单位：合同资产账面价值发生重大变动" selectOptions="_buildInScales" controlType="Combobox" cellType="Scale" appId="_GBC_4cdeacc1c4f24682b8d7fe35b510e9c1"/>
      <m:item xlName="_GBC_1af99682fb0844cab91201acbdd80c02" concept="clcid-ci-ar:BiZhongHeTongZiChanZhangMianJiaZhiFaShengZhongDaBianDong" label="币种：合同资产账面价值发生重大变动" selectOptions="_buildInISO4217" controlType="Combobox" cellType="Measure" appId="_GBC_4cdeacc1c4f24682b8d7fe35b510e9c1"/>
      <m:placeholder xlName="_PLD_e891a6d8b0a54d2ba469b5f2721f21e1" addr="T0R0C0S1_1"/>
      <m:placeholder xlName="_PLD_bdb0c34d9a8041be8b21c30b8ad5decb" addr="T0R0C1S1_1"/>
      <m:placeholder xlName="_PLD_fd0fa533a48c442f84ce27a563f9e6e7" addr="T0R0C2S1_1"/>
      <m:tuple xlName="_TUP_fd9e93f4f8d4410a91b4bfcecde08d14" concept="clcid-pte:HeTongZiChanZhangMianJiaZhiFaShengZhongDaBianDongMingXi" default_row="2" addr="T0R1C">
        <m:item xlName="_GBC_4e02180e2345433291f23e254d6c4998" concept="clcid-pte:HeTongZiChanZhangMianJiaZhiFaShengZhongDaBianDongMingXiXiangMu" label="合同资产账面价值发生重大变动明细-项目" addr="T0R1C0S1_1" appId="_GBC_4cdeacc1c4f24682b8d7fe35b510e9c1"/>
        <m:item xlName="_GBC_a56dfd3f1f6e4c1aa32cf11950049aca" concept="clcid-pte:HeTongZiChanZhangMianJiaZhiFaShengZhongDaBianDongMingXiBianDongJinE" label="合同资产账面价值发生重大变动明细-变动金额" mulRef="_GBC_01ece3744f2c47c9a8b801d8cb54a7a6" unitRef="_GBC_1af99682fb0844cab91201acbdd80c02" addr="T0R1C1S1_1" formatStyle="Comma" appId="_GBC_4cdeacc1c4f24682b8d7fe35b510e9c1"/>
        <m:item xlName="_GBC_766427a288be44898d5909ac23a5c0fd" concept="clcid-pte:HeTongZiChanZhangMianJiaZhiFaShengZhongDaBianDongMingXiBianDongYuanYin" label="合同资产账面价值发生重大变动明细-变动原因" addr="T0R1C2S1_1" appId="_GBC_4cdeacc1c4f24682b8d7fe35b510e9c1"/>
      </m:tuple>
      <m:placeholder xlName="_PLD_fd7bf81da6bf4e6793ff79accd30a1c4" addr="T0R3C0S1_1"/>
      <m:item xlName="_GBC_a0804f0fbfa144779f54516819a458d0" concept="clcid-pte:HeTongZiChanZhangMianJiaZhiFaShengZhongDaBianDongJinEHeJi" label="合同资产账面价值发生重大变动金额合计" mulRef="_GBC_01ece3744f2c47c9a8b801d8cb54a7a6" unitRef="_GBC_1af99682fb0844cab91201acbdd80c02" addr="T0R3C1S1_1" formatStyle="Comma" appId="_GBC_4cdeacc1c4f24682b8d7fe35b510e9c1">
        <m:complexRule comparator="Eq" title="合同资产账面价值发生重大变动金额合计" test=" $_GBC_a56dfd3f1f6e4c1aa32cf11950049aca" id="C67693c2238d144d7b85a006ed82e18fe"/>
      </m:item>
    </m:section>
    <m:section xlName="_SEC_bf3d6e0971b243878381353846199645" title="本期合同资产计提减值准备情况" helpId="112002271">
      <m:item xlName="_GBC_47f239b7a5d442b0a0a358017de09567" concept="clcid-ci-ar:ShiFouShiYongHeTongZiChanJianZhiZhunBei" label="是否适用：合同资产减值准备" selectOptions="_buildInAppliance" controlType="CustomCheckbox" cRanges="[{&quot;StartName&quot;:&quot;_GBC_47f239b7a5d442b0a0a358017de09567&quot;,&quot;EndName&quot;:&quot;_GBC_8f59affc2ab146c28c8a92dd37b68137&quot;,&quot;CType&quot;:1}]"/>
      <m:item xlName="_GBC_cb0a5fd213594e6085dcf2c758153bde" concept="clcid-ci-ar:DanWeiHeTongZiChanJianZhiZhunBei" label="单位：合同资产减值准备" selectOptions="_buildInScales" controlType="Combobox" cellType="Scale" appId="_GBC_47f239b7a5d442b0a0a358017de09567"/>
      <m:item xlName="_GBC_72bcdf5dde024866bb55295ec36c16b7" concept="clcid-ci-ar:BiZhongHeTongZiChanJianZhiZhunBei" label="币种：合同资产减值准备" selectOptions="_buildInISO4217" controlType="Combobox" cellType="Measure" appId="_GBC_47f239b7a5d442b0a0a358017de09567"/>
      <m:placeholder xlName="_PLD_ed703552e81a409b97024b7e4168cd95" addr="T0R0C0S1_1"/>
      <m:placeholder xlName="_PLD_12846361f4fc4229a079e531ce33c7bd" addr="T0R0C1S1_1"/>
      <m:placeholder xlName="_PLD_ec2082583d0a475c869e5f5a70898003" addr="T0R0C2S1_1"/>
      <m:placeholder xlName="_PLD_e4a95a433a3045abb3f0ca11d787adda" addr="T0R0C3S1_1"/>
      <m:placeholder xlName="_PLD_6dd3b321b7f345639798fc3eaf268492" addr="T0R0C4S1_1"/>
      <m:tuple xlName="_TUP_faa2ef98c3d24377a44ef4f5c90c8f56" concept="clcid-pte:HeTongZiChanJianZhiZhunBeiMingXi" default_row="2" addr="T0R1C">
        <m:item xlName="_GBC_f09be5994b614e7eae3f8a5a373c93d5" concept="clcid-pte:HeTongZiChanJianZhiZhunBeiMingXiXiangMu" label="合同资产减值准备明细-项目" addr="T0R1C0S1_1" appId="_GBC_47f239b7a5d442b0a0a358017de09567"/>
        <m:item xlName="_GBC_c84398c279144a1a910b96cf0fdb6a71" concept="clcid-pte:HeTongZiChanJianZhiZhunBeiMingXiBenQiJiTi" label="合同资产减值准备明细-本期计提" mulRef="_GBC_cb0a5fd213594e6085dcf2c758153bde" unitRef="_GBC_72bcdf5dde024866bb55295ec36c16b7" addr="T0R1C1S1_1" formatStyle="Comma" appId="_GBC_47f239b7a5d442b0a0a358017de09567"/>
        <m:item xlName="_GBC_7ed9c56b07aa4e96957ff2ef86586d4d" concept="clcid-pte:HeTongZiChanJianZhiZhunBeiMingXiBenQiZhuanHui" label="合同资产减值准备明细-本期转回" mulRef="_GBC_cb0a5fd213594e6085dcf2c758153bde" unitRef="_GBC_72bcdf5dde024866bb55295ec36c16b7" addr="T0R1C2S1_1" formatStyle="Comma" appId="_GBC_47f239b7a5d442b0a0a358017de09567"/>
        <m:item xlName="_GBC_c321dc83f8b748618512e4124922c0f6" concept="clcid-pte:HeTongZiChanJianZhiZhunBeiMingXiBenQiZhuanXiaoHeXiao" label="合同资产减值准备明细-本期转销/核销" mulRef="_GBC_cb0a5fd213594e6085dcf2c758153bde" unitRef="_GBC_72bcdf5dde024866bb55295ec36c16b7" addr="T0R1C3S1_1" formatStyle="Comma" appId="_GBC_47f239b7a5d442b0a0a358017de09567"/>
        <m:item xlName="_GBC_ca5a99273eff4f688ddd5f09cd7c7125" concept="clcid-pte:HeTongZiChanJianZhiZhunBeiMingXiYuanYin" label="合同资产减值准备明细-原因" addr="T0R1C4S1_1" appId="_GBC_47f239b7a5d442b0a0a358017de09567"/>
      </m:tuple>
      <m:placeholder xlName="_PLD_6ae9e9d3205844dc97746ca84ec6bb42" addr="T0R3C0S1_1"/>
      <m:item xlName="_GBC_1e8918bb5a9b4e5e9bb19a7741b72ed5" concept="clcid-pte:HeTongZiChanJianZhiZhunBeiBenQiJiTi" label="合同资产减值准备本期计提" mulRef="_GBC_cb0a5fd213594e6085dcf2c758153bde" unitRef="_GBC_72bcdf5dde024866bb55295ec36c16b7" addr="T0R3C1S1_1" formatStyle="Comma" appId="_GBC_47f239b7a5d442b0a0a358017de09567">
        <m:complexRule comparator="Eq" title="合同资产减值准备本期计提" test=" $_GBC_c84398c279144a1a910b96cf0fdb6a71" id="C71e974215f634765b075444fc0c11471"/>
      </m:item>
      <m:item xlName="_GBC_2e73cb0bd9e946ab8cec75510d0891af" concept="clcid-pte:HeTongZiChanJianZhiZhunBeiBenQiZhuanHui" label="合同资产减值准备本期转回" mulRef="_GBC_cb0a5fd213594e6085dcf2c758153bde" unitRef="_GBC_72bcdf5dde024866bb55295ec36c16b7" addr="T0R3C2S1_1" formatStyle="Comma" appId="_GBC_47f239b7a5d442b0a0a358017de09567">
        <m:complexRule comparator="Eq" title="合同资产减值准备本期转回" test=" $_GBC_7ed9c56b07aa4e96957ff2ef86586d4d" id="C4549eeb7ca0342b7802970a43ec93dea"/>
      </m:item>
      <m:item xlName="_GBC_3a8488419b7b4fe2907edc3def1fdf0e" concept="clcid-pte:HeTongZiChanJianZhiZhunBeiBenQiZhuanXiaoHeXiao" label="合同资产减值准备本期转销/核销" mulRef="_GBC_cb0a5fd213594e6085dcf2c758153bde" unitRef="_GBC_72bcdf5dde024866bb55295ec36c16b7" addr="T0R3C3S1_1" formatStyle="Comma" appId="_GBC_47f239b7a5d442b0a0a358017de09567">
        <m:complexRule comparator="Eq" title="合同资产减值准备本期转销/核销" test=" $_GBC_c321dc83f8b748618512e4124922c0f6" id="C2e7f24ae8368488493463a4cf1b1cdee"/>
      </m:item>
      <m:item xlName="_GBC_8fdd7a56e6f14d8d81f89e702e67dcdf" concept="clcid-ci-ar:ShiFouShiYongHeTongZiChanAnYiBanYuJiXinYongSunShiMoXingJiTiHuaiZhang" label="是否适用：合同资产按一般预计信用损失模型计提坏账" selectOptions="_buildInAppliance" controlType="CustomCheckbox" cRanges="[{&quot;StartName&quot;:&quot;_GBC_8fdd7a56e6f14d8d81f89e702e67dcdf&quot;,&quot;EndName&quot;:&quot;_GBC_8f59affc2ab146c28c8a92dd37b68137&quot;,&quot;CType&quot;:1}]"/>
      <m:item xlName="_GBC_8f59affc2ab146c28c8a92dd37b68137" concept="clcid-pte:HeTongZiChanAnYiBanYuJiXinYongSunShiMoXingJiTiHuaiZhang" label="合同资产按一般预计信用损失模型计提坏账" appId="_GBC_8fdd7a56e6f14d8d81f89e702e67dcdf"/>
    </m:section>
    <m:section xlName="_SEC_5b10981ad765434eb8d30a4d75bff071" title="其他说明：" helpId="112002271">
      <m:item xlName="_GBC_06cd3c0f93454d76bd0c7e20322e8a49" concept="clcid-ci-ar:ShiFouShiYongHeTongZiChanQiTaShuoMing" label="是否适用：合同资产其他说明" selectOptions="_buildInAppliance" controlType="CustomCheckbox" cRanges="[{&quot;StartName&quot;:&quot;_GBC_06cd3c0f93454d76bd0c7e20322e8a49&quot;,&quot;EndName&quot;:&quot;_GBC_d7159ff4aa1546fdbdaa5a8cf1c3cf3f&quot;,&quot;CType&quot;:1}]"/>
      <m:item xlName="_GBC_d7159ff4aa1546fdbdaa5a8cf1c3cf3f" concept="clcid-pte:HeTongZiChanQiTaShuoMing" label="合同资产其他说明" appId="_GBC_06cd3c0f93454d76bd0c7e20322e8a49"/>
    </m:section>
    <m:section xlName="_GBC_b8017c342539428893a6ec198dd061b3" title="划分为持有待售的资产"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concept="clcid-ci-ar:DanWeiCaiWuFuZhuHuaFenWeiChiYouDaiShouDeZiChan" label="单位：财务附注：划分为持有待售的资产" selectOptions="_buildInScales" controlType="Combobox" cellType="Scale" appId="_GBC_a6517e0f93e04b1caa2e45201c8133b1"/>
      <m:item xlName="_GBC_ec3e5b09d03b43cb8df19df2e9871c4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addr="T0R0C0S1_1"/>
      <m:placeholder xlName="_PLD_27ea1ccc0608499799c2fbc7d123ca18" addr="T0R0C1S1_1"/>
      <m:placeholder xlName="_PLD_1d5aff41e32d4693ba7a47c14d32b748" addr="T0R0C2S1_1"/>
      <m:placeholder xlName="_PLD_913d025fb795406cbc71b48e0072d241" addr="T0R0C3S1_1"/>
      <m:placeholder xlName="_PLD_82f2fda91dad4596a73269d5b0986075" addr="T0R0C4S1_1"/>
      <m:placeholder xlName="_PLD_2300775e809e48daac42e66429ee3eb8" addr="T0R0C5S1_1"/>
      <m:placeholder xlName="_PLD_752b5c1390554f1ca76051e50b687cf7" addr="T0R0C6S1_1"/>
      <m:tuple xlName="_GBC_f6903004ff0a4d3599c4eb5275b558bd" concept="clcid-pte:HuaFenWeiChiYouDaiShouDeZiChanMingXi" default_row="2" addr="T0R1C">
        <m:item xlName="_GBC_cffceeced3504a75abad9568347d817b"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tuple>
      <m:placeholder xlName="_PLD_0f0ba0bb10ae4b5f86c3d3c5bdd47de5"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item xlName="_GBC_3c3df002388d4bbe8dd8d4df7fe26ebc" concept="clcid-ci-ar:ShiFouShiYongYiNianNeiDaoQiDeFeiLiuDongZiChan" label="是否适用：一年内到期的非流动资产" selectOptions="_buildInAppliance" controlType="CustomCheckbox" cRanges="{&quot;StartName&quot;:&quot;_GBC_3c3df002388d4bbe8dd8d4df7fe26ebc&quot;,&quot;EndName&quot;:&quot;_GBC_b46cca262d82450dafd7a3161c7d790e&quot;,&quot;CType&quot;:1,&quot;DisplayText&quot;:null}"/>
      <m:item xlName="_GBC_14922dae03f44c28ac9ffa1215012f9c" concept="clcid-ci-ar:DanWeiCaiWuFuZhuYiNianNeiDaoQiDeFeiLiuDongZiChan" label="单位：财务附注：一年内到期的非流动资产" selectOptions="_buildInScales" controlType="Combobox" cellType="Scale" appId="_GBC_3c3df002388d4bbe8dd8d4df7fe26ebc"/>
      <m:item xlName="_GBC_82f0c618fc25413492c788e363214691" concept="clcid-ci-ar:BiZhongCaiWuFuZhuYiNianNeiDaoQiDeFeiLiuDongZiChan" label="币种：财务附注：一年内到期的非流动资产" selectOptions="_buildInISO4217" controlType="Combobox" cellType="Measure" appId="_GBC_3c3df002388d4bbe8dd8d4df7fe26ebc"/>
      <m:placeholder xlName="_PLD_3dd3ecdefaa34ef4b20ed16dfc08362c" addr="T0R0C0S1_1"/>
      <m:placeholder xlName="_PLD_480b5377d1d84a9c8b0deaaf24f342ff" addr="T0R0C1S1_1"/>
      <m:placeholder xlName="_PLD_a67b2de4a1a3451da84cbef4312398ed" addr="T0R0C2S1_1"/>
      <m:placeholder xlName="_PLD_003d4bc68cf84ff392cc97c55b902406" addr="T0R1C0S1_1"/>
      <m:item xlName="_GBC_32f159678f714ed69497338e8584f974" concept="clcid-pte:YiNianNeiDaoQiDeZhaiQuanTouZi" label="一年内到期的债权投资" mulRef="_GBC_14922dae03f44c28ac9ffa1215012f9c" unitRef="_GBC_82f0c618fc25413492c788e363214691" addr="T0R1C1S1_1" formatStyle="Comma" appId="_GBC_3c3df002388d4bbe8dd8d4df7fe26ebc"/>
      <m:item xlName="_GBC_d8c1184b011246f6be00bbd93d67bead" concept="clcid-pte:YiNianNeiDaoQiDeZhaiQuanTouZi" label="一年内到期的债权投资" periodRef="本期期初数" mulRef="_GBC_14922dae03f44c28ac9ffa1215012f9c" unitRef="_GBC_82f0c618fc25413492c788e363214691" addr="T0R1C2S1_1" formatStyle="Comma" appId="_GBC_3c3df002388d4bbe8dd8d4df7fe26ebc"/>
      <m:placeholder xlName="_PLD_0fd63677aa394648b423225e51efe77a" addr="T0R2C0S1_1"/>
      <m:item xlName="_GBC_0d7bb186542140899a2cd5027c4fb922" concept="clcid-pte:YiNianNeiDaoQiDeQiTaZhaiQuanTouZi" label="一年内到期的其他债权投资" mulRef="_GBC_14922dae03f44c28ac9ffa1215012f9c" unitRef="_GBC_82f0c618fc25413492c788e363214691" addr="T0R2C1S1_1" formatStyle="Comma" appId="_GBC_3c3df002388d4bbe8dd8d4df7fe26ebc"/>
      <m:item xlName="_GBC_eb26cfe7939f4754b323beb0ce242a6e" concept="clcid-pte:YiNianNeiDaoQiDeQiTaZhaiQuanTouZi" label="一年内到期的其他债权投资" periodRef="本期期初数" mulRef="_GBC_14922dae03f44c28ac9ffa1215012f9c" unitRef="_GBC_82f0c618fc25413492c788e363214691" addr="T0R2C2S1_1" formatStyle="Comma" appId="_GBC_3c3df002388d4bbe8dd8d4df7fe26ebc"/>
      <m:tuple xlName="_GBC_28cb8da7835241e682eaaa567efa24ff" concept="clcid-pte:YiNianNeiDaoQiDeFeiLiuDongZiChanMingXi" default_row="2" addr="T0R3C">
        <m:item xlName="_GBC_834d1b5d7ca745de984b695d1b581d3c" concept="clcid-pte:YiNianNeiDaoQiDeFeiLiuDongZiChanMingXiXiangMu" label="一年内到期的非流动资产明细-项目" addr="T0R3C0S1_1" appId="_GBC_3c3df002388d4bbe8dd8d4df7fe26ebc"/>
        <m:item xlName="_GBC_696b768a04724f2e9a236b844794bc26" concept="clcid-pte:YiNianNeiDaoQiDeFeiLiuDongZiChanMingXiJinE" label="一年内到期的非流动资产明细-金额" mulRef="_GBC_14922dae03f44c28ac9ffa1215012f9c" unitRef="_GBC_82f0c618fc25413492c788e363214691" addr="T0R3C1S1_1" formatStyle="Comma" appId="_GBC_3c3df002388d4bbe8dd8d4df7fe26ebc"/>
        <m:item xlName="_GBC_78ee308ca0da4ad88fe397ccad182f99" concept="clcid-pte:YiNianNeiDaoQiDeFeiLiuDongZiChanMingXiJinE" label="一年内到期的非流动资产明细-金额" periodRef="本期期初数" mulRef="_GBC_14922dae03f44c28ac9ffa1215012f9c" unitRef="_GBC_82f0c618fc25413492c788e363214691" addr="T0R3C2S1_1" formatStyle="Comma" appId="_GBC_3c3df002388d4bbe8dd8d4df7fe26ebc"/>
      </m:tuple>
      <m:placeholder xlName="_PLD_487fc28d4c564bc397743399f82b936a" addr="T0R5C0S1_1"/>
      <m:item xlName="_GBC_71a8f7efe69040f5a7c6ea67dd8365f5" concept="clcid-pte:YiNianNeiDaoQiDeFeiLiuDongZiChan" label="一年内到期的非流动资产" mulRef="_GBC_14922dae03f44c28ac9ffa1215012f9c" unitRef="_GBC_82f0c618fc25413492c788e363214691" addr="T0R5C1S1_1" formatStyle="Comma" appId="_GBC_3c3df002388d4bbe8dd8d4df7fe26ebc">
        <m:complexRule comparator="Eq" title="一年内到期的非流动资产" test="$_GBC_32f159678f714ed69497338e8584f974+$_GBC_0d7bb186542140899a2cd5027c4fb922+$_GBC_696b768a04724f2e9a236b844794bc26" id="Cbc4d16f7d6964e1c9dcc920ec4486d1c"/>
      </m:item>
      <m:item xlName="_GBC_a8e9421368f94f748501d5b9c71f27dc" concept="clcid-pte:YiNianNeiDaoQiDeFeiLiuDongZiChan" label="一年内到期的非流动资产" periodRef="本期期初数" mulRef="_GBC_14922dae03f44c28ac9ffa1215012f9c" unitRef="_GBC_82f0c618fc25413492c788e363214691" addr="T0R5C2S1_1" formatStyle="Comma" appId="_GBC_3c3df002388d4bbe8dd8d4df7fe26ebc">
        <m:complexRule comparator="Eq" title="一年内到期的非流动资产@本期期初数" test="$_GBC_d8c1184b011246f6be00bbd93d67bead+$_GBC_eb26cfe7939f4754b323beb0ce242a6e+$_GBC_78ee308ca0da4ad88fe397ccad182f99" id="C3ec8a8ebb771448a9a7d03f1faaf3408"/>
      </m:item>
      <m:item xlName="_GBC_48bf54d20bb74c9aaa661a2407efce08" concept="clcid-ci-ar:ShiFouShiYongYiNianNeiDaoQiDeFeiLiuDongZiChanZhongZhongYaoDeZhaiQuanTouZi" label="是否适用：一年内到期的非流动资产中重要的债权投资" selectOptions="_buildInAppliance" controlType="CustomCheckbox" cRanges="[{&quot;StartName&quot;:&quot;_GBC_48bf54d20bb74c9aaa661a2407efce08&quot;,&quot;EndName&quot;:&quot;_GBC_5789f1e32ca34285a30b3b5a7fbb2673&quot;,&quot;CType&quot;:1}]"/>
      <m:item xlName="_GBC_a6d4bf0fa0a5415383a62b985918eafa" concept="clcid-ci-ar:DanWeiYiNianNeiDaoQiDeFeiLiuDongZiChanZhongZhongYaoDeZhaiQuanTouZi" label="单位：一年内到期的非流动资产中重要的债权投资" selectOptions="_buildInScales" controlType="Combobox" cellType="Scale" appId="_GBC_48bf54d20bb74c9aaa661a2407efce08"/>
      <m:item xlName="_GBC_bd648d6297274f26be4ea7316fd418ae" concept="clcid-ci-ar:BiZhongYiNianNeiDaoQiDeFeiLiuDongZiChanZhongZhongYaoDeZhaiQuanTouZi" label="币种：一年内到期的非流动资产中重要的债权投资" selectOptions="_buildInISO4217" controlType="Combobox" cellType="Measure" appId="_GBC_48bf54d20bb74c9aaa661a2407efce08"/>
      <m:placeholder xlName="_PLD_84e73736baba4b0ea56696b85b475643" addr="T1R0C0S2_1"/>
      <m:placeholder xlName="_PLD_c34ab450b96141f4a0de2edb0dae461a" addr="T1R0C1S1_4"/>
      <m:placeholder xlName="_PLD_1b48c00ba31448ba9aa27c53365d8f49" addr="T1R0C5S1_4"/>
      <m:placeholder xlName="_PLD_63c4469b25be4e958de94dfe80fac499" addr="T1R1C1S1_1"/>
      <m:placeholder xlName="_PLD_aa92baf3ad254e4eb51d54b148ac0e92" addr="T1R1C2S1_1"/>
      <m:placeholder xlName="_PLD_2453a90afd3c4b69b40223cbeee848aa" addr="T1R1C3S1_1"/>
      <m:placeholder xlName="_PLD_4c8b0392ff424f1ab4255d0c8039c6f6" addr="T1R1C4S1_1"/>
      <m:placeholder xlName="_PLD_7405e2af87b14cb99a327f8fe82fd894" addr="T1R1C5S1_1"/>
      <m:placeholder xlName="_PLD_62afa4bc9fc84b18bc33688dcc0cad06" addr="T1R1C6S1_1"/>
      <m:placeholder xlName="_PLD_4eb7b4129f264ed6807facd3cb19eb60" addr="T1R1C7S1_1"/>
      <m:placeholder xlName="_PLD_3797e640aeb64955b687dea961e2e278" addr="T1R1C8S1_1"/>
      <m:tuple xlName="_TUP_b0ed090bffea4efc94dac96fd12d9216" concept="clcid-pte:YiNianNeiDaoQiDeFeiLiuDongZiChanZhongZhongYaoDeZhaiQuanTouZiMingXi" default_row="2" addr="T1R2C">
        <m:item xlName="_GBC_aee0bc09540449b69569b1fc3f2525ec" concept="clcid-pte:YiNianNeiDaoQiDeFeiLiuDongZiChanZhongZhongYaoDeZhaiQuanTouZiMingXiXiangMuMingCheng" label="一年内到期的非流动资产中重要的债权投资明细_项目名称" addr="T1R2C0S1_1" appId="_GBC_48bf54d20bb74c9aaa661a2407efce08"/>
        <m:item xlName="_GBC_3fc16b303796449499cb4b44a6c79654" concept="clcid-pte:YiNianNeiDaoQiDeFeiLiuDongZiChanZhongZhongYaoDeZhaiQuanTouZiMingXiMianZhi" label="一年内到期的非流动资产中重要的债权投资明细_面值" mulRef="_GBC_a6d4bf0fa0a5415383a62b985918eafa" unitRef="_GBC_bd648d6297274f26be4ea7316fd418ae" addr="T1R2C1S1_1" formatStyle="Comma" appId="_GBC_48bf54d20bb74c9aaa661a2407efce08"/>
        <m:item xlName="_GBC_4f9cce86d88c45998fec9ce94144e5ab" concept="clcid-pte:YiNianNeiDaoQiDeFeiLiuDongZiChanZhongZhongYaoDeZhaiQuanTouZiMingXiPiaoMianLiLv" label="一年内到期的非流动资产中重要的债权投资明细_票面利率" addr="T1R2C2S1_1" baseScale="0.01" formatStyle="Comma" appId="_GBC_48bf54d20bb74c9aaa661a2407efce08"/>
        <m:item xlName="_GBC_99669e55018b465fb447873def443967" concept="clcid-pte:YiNianNeiDaoQiDeFeiLiuDongZiChanZhongZhongYaoDeZhaiQuanTouZiMingXiShiJiLiLv" label="一年内到期的非流动资产中重要的债权投资明细_实际利率" addr="T1R2C3S1_1" baseScale="0.01" formatStyle="Comma" appId="_GBC_48bf54d20bb74c9aaa661a2407efce08"/>
        <m:item xlName="_GBC_0e51ed4571eb4f33933a967c15c17f03" concept="clcid-pte:YiNianNeiDaoQiDeFeiLiuDongZiChanZhongZhongYaoDeZhaiQuanTouZiMingXiDaoQiRi" label="一年内到期的非流动资产中重要的债权投资明细_到期日" addr="T1R2C4S1_1" appId="_GBC_48bf54d20bb74c9aaa661a2407efce08" keyAction="38"/>
        <m:item xlName="_GBC_838bbad7168841829cf2508aedbe9ef0" concept="clcid-pte:YiNianNeiDaoQiDeFeiLiuDongZiChanZhongZhongYaoDeZhaiQuanTouZiMingXiMianZhi" label="一年内到期的非流动资产中重要的债权投资明细_面值" periodRef="本期期初数" mulRef="_GBC_a6d4bf0fa0a5415383a62b985918eafa" unitRef="_GBC_bd648d6297274f26be4ea7316fd418ae" addr="T1R2C5S1_1" formatStyle="Comma" appId="_GBC_48bf54d20bb74c9aaa661a2407efce08"/>
        <m:item xlName="_GBC_42da5aadbbec46f8843250f47d1c37b0" concept="clcid-pte:YiNianNeiDaoQiDeFeiLiuDongZiChanZhongZhongYaoDeZhaiQuanTouZiMingXiPiaoMianLiLv" label="一年内到期的非流动资产中重要的债权投资明细_票面利率" periodRef="本期期初数" addr="T1R2C6S1_1" baseScale="0.01" formatStyle="Comma" appId="_GBC_48bf54d20bb74c9aaa661a2407efce08"/>
        <m:item xlName="_GBC_f211400639dd41a7acd7ec877aff8c75" concept="clcid-pte:YiNianNeiDaoQiDeFeiLiuDongZiChanZhongZhongYaoDeZhaiQuanTouZiMingXiShiJiLiLv" label="一年内到期的非流动资产中重要的债权投资明细_实际利率" periodRef="本期期初数" addr="T1R2C7S1_1" baseScale="0.01" formatStyle="Comma" appId="_GBC_48bf54d20bb74c9aaa661a2407efce08"/>
        <m:item xlName="_GBC_ccf4e0031dc34d01a4f9fd0015575270" concept="clcid-pte:YiNianNeiDaoQiDeFeiLiuDongZiChanZhongZhongYaoDeZhaiQuanTouZiMingXiDaoQiRi" label="一年内到期的非流动资产中重要的债权投资明细_到期日" periodRef="本期期初数" addr="T1R2C8S1_1" appId="_GBC_48bf54d20bb74c9aaa661a2407efce08" keyAction="38"/>
      </m:tuple>
      <m:placeholder xlName="_PLD_e929c50f2b4041eeabd19f8e75ec00e8" addr="T1R4C0S1_1"/>
      <m:item xlName="_GBC_0513f16899f943399ebd76de25f77b17" concept="clcid-pte:YiNianNeiDaoQiDeFeiLiuDongZiChanZhongZhongYaoDeZhaiQuanTouZiMianZhiHeJi" label="一年内到期的非流动资产中重要的债权投资面值合计" mulRef="_GBC_a6d4bf0fa0a5415383a62b985918eafa" unitRef="_GBC_bd648d6297274f26be4ea7316fd418ae" addr="T1R4C1S1_1" formatStyle="Comma" appId="_GBC_48bf54d20bb74c9aaa661a2407efce08">
        <m:complexRule comparator="Eq" title="一年内到期的非流动资产中重要的债权投资面值合计" test=" $_GBC_3fc16b303796449499cb4b44a6c79654" id="C3f30d4565a9d4ae590e901ecc792ab91"/>
      </m:item>
      <m:item xlName="_GBC_5789f1e32ca34285a30b3b5a7fbb2673" concept="clcid-pte:YiNianNeiDaoQiDeFeiLiuDongZiChanZhongZhongYaoDeZhaiQuanTouZiMianZhiHeJi" label="一年内到期的非流动资产中重要的债权投资面值合计" periodRef="本期期初数" mulRef="_GBC_a6d4bf0fa0a5415383a62b985918eafa" unitRef="_GBC_bd648d6297274f26be4ea7316fd418ae" addr="T1R4C5S1_1" formatStyle="Comma" appId="_GBC_48bf54d20bb74c9aaa661a2407efce08">
        <m:complexRule comparator="Eq" title="一年内到期的非流动资产中重要的债权投资面值合计" test=" $_GBC_838bbad7168841829cf2508aedbe9ef0" id="C76f91e3e6f6b4d7590d4d121b7ff4d2f"/>
      </m:item>
      <m:item xlName="_GBC_b46cca262d82450dafd7a3161c7d790e" concept="clcid-pte:YiNianNeiDaoQiDeFeiLiuDongZiChanQiTaShuoMing" label="一年内到期的非流动资产其他说明" appId="_GBC_3c3df002388d4bbe8dd8d4df7fe26ebc"/>
    </m:section>
    <m:section xlName="_GBC_e29fd29bee934fc3ab8325cf3625b905" title="其他流动资产" rules="R2015_R11_008" helpId="112002272">
      <m:item xlName="_GBC_7733d50365e24328b41020152f88028d" concept="clcid-ci-ar:ShiFouShiYongQiTaLiuDongZiChan" label="是否适用：其他流动资产" selectOptions="_buildInAppliance" controlType="CustomCheckbox" cRanges="{&quot;StartName&quot;:&quot;_GBC_7733d50365e24328b41020152f88028d&quot;,&quot;EndName&quot;:&quot;_GBC_7955e529151148f394eed0e26977270b&quot;,&quot;CType&quot;:1,&quot;DisplayText&quot;:null}"/>
      <m:item xlName="_GBC_d0c62fc75d164678ad203d9ddb106538" concept="clcid-ci-ar:DanWeiQiTaLiuDongZiChan" label="单位：其他流动资产" selectOptions="_buildInScales" controlType="Combobox" cellType="Scale" appId="_GBC_7733d50365e24328b41020152f88028d"/>
      <m:item xlName="_GBC_9196143d56d24a9ea7f7e31ce8a09024" concept="clcid-ci-ar:BiZhongQiTaLiuDongZiChan" label="币种：其他流动资产" selectOptions="_buildInISO4217" controlType="Combobox" cellType="Measure" appId="_GBC_7733d50365e24328b41020152f88028d"/>
      <m:placeholder xlName="_PLD_15bbfc7d41df4300abcae2e424cc6572" addr="T0R0C0S1_1"/>
      <m:placeholder xlName="_PLD_d2a222194eae4e958db2401139170ea2" addr="T0R0C1S1_1"/>
      <m:placeholder xlName="_PLD_0f3815799e9d4216b9506517d8e9b90c" addr="T0R0C2S1_1"/>
      <m:placeholder xlName="_PLD_5784c482c38842a295b3e360832ddcad" addr="T0R1C0S1_1"/>
      <m:item xlName="_GBC_6598642454bc4646b120091ac7fc4bbe" concept="clcid-pte:QiTaLiuDongZiChanHeTongQuDeChengBen" label="其他流动资产-合同取得成本" mulRef="_GBC_d0c62fc75d164678ad203d9ddb106538" unitRef="_GBC_9196143d56d24a9ea7f7e31ce8a09024" addr="T0R1C1S1_1" formatStyle="Comma" appId="_GBC_7733d50365e24328b41020152f88028d"/>
      <m:item xlName="_GBC_2ca43933d22f4234b3bc60ccaf55a3db" concept="clcid-pte:QiTaLiuDongZiChanHeTongQuDeChengBen" label="其他流动资产-合同取得成本" periodRef="本期期初数" mulRef="_GBC_d0c62fc75d164678ad203d9ddb106538" unitRef="_GBC_9196143d56d24a9ea7f7e31ce8a09024" addr="T0R1C2S1_1" formatStyle="Comma" appId="_GBC_7733d50365e24328b41020152f88028d"/>
      <m:placeholder xlName="_PLD_a697556166a54a12bb39e7c933ac01b6" addr="T0R2C0S1_1"/>
      <m:item xlName="_GBC_82b246dc88da4c009b4fd08fb45c45d1" concept="clcid-pte:QiTaLiuDongZiChanYingShouTuiHuoChengBen" label="其他流动资产-应收退货成本" mulRef="_GBC_d0c62fc75d164678ad203d9ddb106538" unitRef="_GBC_9196143d56d24a9ea7f7e31ce8a09024" addr="T0R2C1S1_1" formatStyle="Comma" appId="_GBC_7733d50365e24328b41020152f88028d"/>
      <m:item xlName="_GBC_22a206a799c944cbb9e0573e53e28dbe" concept="clcid-pte:QiTaLiuDongZiChanYingShouTuiHuoChengBen" label="其他流动资产-应收退货成本" periodRef="本期期初数" mulRef="_GBC_d0c62fc75d164678ad203d9ddb106538" unitRef="_GBC_9196143d56d24a9ea7f7e31ce8a09024" addr="T0R2C2S1_1" formatStyle="Comma" appId="_GBC_7733d50365e24328b41020152f88028d"/>
      <m:tuple xlName="_TUP_0bae324e6bd3444492796087e454ca12" concept="clcid-pte:QiTaLiuDongZiChanMingXi" default_row="2" addr="T0R3C">
        <m:item xlName="_GBC_d6f897ab9d6a4032ab7102ebccdbd165" concept="clcid-pte:QiTaLiuDongZiChanMingXiXiangMu" label="其他流动资产明细-项目" addr="T0R3C0S1_1" appId="_GBC_7733d50365e24328b41020152f88028d"/>
        <m:item xlName="_GBC_367bdb19258145e986035d3f6ae36ebe" concept="clcid-pte:QiTaLiuDongZiChanMingXiJinE" label="其他流动资产明细-金额" mulRef="_GBC_d0c62fc75d164678ad203d9ddb106538" unitRef="_GBC_9196143d56d24a9ea7f7e31ce8a09024" addr="T0R3C1S1_1" formatStyle="Comma" appId="_GBC_7733d50365e24328b41020152f88028d"/>
        <m:item xlName="_GBC_119c118067454f00bc6cfa8d3d7f6902" concept="clcid-pte:QiTaLiuDongZiChanMingXiJinE" label="其他流动资产明细-金额" periodRef="本期期初数" mulRef="_GBC_d0c62fc75d164678ad203d9ddb106538" unitRef="_GBC_9196143d56d24a9ea7f7e31ce8a09024" addr="T0R3C2S1_1" formatStyle="Comma" appId="_GBC_7733d50365e24328b41020152f88028d"/>
      </m:tuple>
      <m:placeholder xlName="_PLD_b6c346d1d68d4f27847794dad182ef24" addr="T0R5C0S1_1"/>
      <m:item xlName="_GBC_4e3696862add4a628c6713db4d520f24" concept="clcid-pte:QiTaLiuDongZiChan" label="其他流动资产" mulRef="_GBC_d0c62fc75d164678ad203d9ddb106538" unitRef="_GBC_9196143d56d24a9ea7f7e31ce8a09024" addr="T0R5C1S1_1" formatStyle="Comma" appId="_GBC_7733d50365e24328b41020152f88028d">
        <m:complexRule comparator="Eq" title="其他流动资产" test=" $_GBC_367bdb19258145e986035d3f6ae36ebe +  $_GBC_6598642454bc4646b120091ac7fc4bbe +  $_GBC_82b246dc88da4c009b4fd08fb45c45d1" id="Ca418807385674c69a6b985a03114b0b3"/>
      </m:item>
      <m:item xlName="_GBC_8f8f00a635a047d5913c9d27207e5406" concept="clcid-pte:QiTaLiuDongZiChan" label="其他流动资产" periodRef="本期期初数" mulRef="_GBC_d0c62fc75d164678ad203d9ddb106538" unitRef="_GBC_9196143d56d24a9ea7f7e31ce8a09024" addr="T0R5C2S1_1" formatStyle="Comma" appId="_GBC_7733d50365e24328b41020152f88028d">
        <m:complexRule comparator="Eq" title="其他流动资产@本期期初数" test=" $_GBC_119c118067454f00bc6cfa8d3d7f6902 +  $_GBC_2ca43933d22f4234b3bc60ccaf55a3db +  $_GBC_22a206a799c944cbb9e0573e53e28dbe" id="C298fb4b0599f4f6cbb3306fb9c15f283"/>
      </m:item>
      <m:item xlName="_GBC_7955e529151148f394eed0e26977270b" concept="clcid-pte:QiTaLiuDongZiChanShuoMing" label="其他流动资产说明" appId="_GBC_7733d50365e24328b41020152f88028d"/>
    </m:section>
    <m:section xlName="_SEC_949cb4eb7a744418a5a5c6266b7029c9" title="债权投资债权投资情况" helpId="112001057">
      <m:item xlName="_GBC_22cb0188d98c4d37a97e0c6a9e34e10d" concept="clcid-ci-ar:ShiFouShiYongYiTanYuChengBenJiLiangDeChangQiZhaiQuanTouZi" label="是否适用：以摊余成本计量的长期债权投资" selectOptions="_buildInAppliance" controlType="CustomCheckbox" cRanges="[{&quot;StartName&quot;:&quot;_GBC_22cb0188d98c4d37a97e0c6a9e34e10d&quot;,&quot;EndName&quot;:&quot;_GBC_df4124c9af1d46f58eb1009cb9f4f686&quot;,&quot;CType&quot;:1}]"/>
      <m:item xlName="_GBC_d157d561aaa849b7a4acf54b3b1a5555" concept="clcid-ci-ar:DanWeiYiTanYuChengBenJiLiangDeChangQiZhaiQuanTouZi" label="单位：以摊余成本计量的长期债权投资" selectOptions="_buildInScales" controlType="Combobox" cellType="Scale" appId="_GBC_22cb0188d98c4d37a97e0c6a9e34e10d"/>
      <m:item xlName="_GBC_f91a544cb754445eb1f89182fd9d2bc9" concept="clcid-ci-ar:BiZhongYiTanYuChengBenJiLiangDeChangQiZhaiQuanTouZi" label="币种：以摊余成本计量的长期债权投资" selectOptions="_buildInISO4217" controlType="Combobox" cellType="Measure" appId="_GBC_22cb0188d98c4d37a97e0c6a9e34e10d"/>
      <m:placeholder xlName="_PLD_ab7ac8c132214a18bfbfd03aafff6e18" addr="T0R0C0S2_1"/>
      <m:placeholder xlName="_PLD_f145772978644c72a42d71eab6e0dd9e" addr="T0R0C1S1_3"/>
      <m:placeholder xlName="_PLD_b94edb563b8846399940376494bf1d4b" addr="T0R0C4S1_3"/>
      <m:placeholder xlName="_PLD_d7d5b47a3f594d728ea4acdf1665ca49" addr="T0R1C1S1_1"/>
      <m:placeholder xlName="_PLD_a49055b1519a430d9baee4e055fd8542" addr="T0R1C2S1_1"/>
      <m:placeholder xlName="_PLD_f69e4a59e1194305b58aa89d755a2bf4" addr="T0R1C3S1_1"/>
      <m:placeholder xlName="_PLD_51392153cab04b3cbcea65509fa4da8b" addr="T0R1C4S1_1"/>
      <m:placeholder xlName="_PLD_9620f0e7ba554a45b700f15254d5afd4" addr="T0R1C5S1_1"/>
      <m:placeholder xlName="_PLD_c96b470dfca84d5485d4a3dda61936b8" addr="T0R1C6S1_1"/>
      <m:tuple xlName="_TUP_648ee22987aa42a69df86eba19f503fd" concept="clcid-pte:YiTanYuChengBenJiLiangDeChangQiZhaiQuanTouZiMingXi" default_row="2" addr="T0R2C">
        <m:item xlName="_GBC_c70a4e8837ad4e31b6df4bb9ba294590" concept="clcid-pte:YiTanYuChengBenJiLiangDeChangQiZhaiQuanTouZiMingXiXiangMu" label="以摊余成本计量的长期债权投资明细-项目" addr="T0R2C0S1_1" appId="_GBC_22cb0188d98c4d37a97e0c6a9e34e10d"/>
        <m:item xlName="_GBC_5dd9bceaf31e47e68b5f483b1a62e96e" concept="clcid-pte:YiTanYuChengBenJiLiangDeChangQiZhaiQuanTouZiMingXiZhangMianYuE" label="以摊余成本计量的长期债权投资明细-账面余额" mulRef="_GBC_d157d561aaa849b7a4acf54b3b1a5555" unitRef="_GBC_f91a544cb754445eb1f89182fd9d2bc9" addr="T0R2C1S1_1" formatStyle="Comma" appId="_GBC_22cb0188d98c4d37a97e0c6a9e34e10d"/>
        <m:item xlName="_GBC_ed9db03150304e21be9bbf47d6ef5806" concept="clcid-pte:YiTanYuChengBenJiLiangDeChangQiZhaiQuanTouZiMingXiJianZhiZhunBei" label="以摊余成本计量的长期债权投资明细-减值准备" mulRef="_GBC_d157d561aaa849b7a4acf54b3b1a5555" unitRef="_GBC_f91a544cb754445eb1f89182fd9d2bc9" addr="T0R2C2S1_1" formatStyle="Comma" appId="_GBC_22cb0188d98c4d37a97e0c6a9e34e10d"/>
        <m:item xlName="_GBC_4c03ebb279b748a1b29d8e0810790e94" concept="clcid-pte:YiTanYuChengBenJiLiangDeChangQiZhaiQuanTouZiMingXiZhangMianJiaZhi" label="以摊余成本计量的长期债权投资明细-账面价值" mulRef="_GBC_d157d561aaa849b7a4acf54b3b1a5555" unitRef="_GBC_f91a544cb754445eb1f89182fd9d2bc9" addr="T0R2C3S1_1" formatStyle="Comma" appId="_GBC_22cb0188d98c4d37a97e0c6a9e34e10d"/>
        <m:item xlName="_GBC_57c867b891a642b290f4d51457c7f1f9" concept="clcid-pte:YiTanYuChengBenJiLiangDeChangQiZhaiQuanTouZiMingXiZhangMianYuE" label="以摊余成本计量的长期债权投资明细-账面余额" periodRef="本期期初数" mulRef="_GBC_d157d561aaa849b7a4acf54b3b1a5555" unitRef="_GBC_f91a544cb754445eb1f89182fd9d2bc9" addr="T0R2C4S1_1" formatStyle="Comma" appId="_GBC_22cb0188d98c4d37a97e0c6a9e34e10d"/>
        <m:item xlName="_GBC_79591a3bcd4049f9bab6834a140d0b29" concept="clcid-pte:YiTanYuChengBenJiLiangDeChangQiZhaiQuanTouZiMingXiJianZhiZhunBei" label="以摊余成本计量的长期债权投资明细-减值准备" periodRef="本期期初数" mulRef="_GBC_d157d561aaa849b7a4acf54b3b1a5555" unitRef="_GBC_f91a544cb754445eb1f89182fd9d2bc9" addr="T0R2C5S1_1" formatStyle="Comma" appId="_GBC_22cb0188d98c4d37a97e0c6a9e34e10d"/>
        <m:item xlName="_GBC_9d3d4eafc4594457a09962d87dc89f8f" concept="clcid-pte:YiTanYuChengBenJiLiangDeChangQiZhaiQuanTouZiMingXiZhangMianJiaZhi" label="以摊余成本计量的长期债权投资明细-账面价值" periodRef="本期期初数" mulRef="_GBC_d157d561aaa849b7a4acf54b3b1a5555" unitRef="_GBC_f91a544cb754445eb1f89182fd9d2bc9" addr="T0R2C6S1_1" formatStyle="Comma" appId="_GBC_22cb0188d98c4d37a97e0c6a9e34e10d"/>
      </m:tuple>
      <m:placeholder xlName="_PLD_b2ca1066d00a4735bb5b3aa2bc6b8fdb" addr="T0R4C0S1_1"/>
      <m:item xlName="_GBC_b5620d3dd5de47eaadfe0db038a6c8f3" concept="clcid-pte:YiTanYuChengBenJiLiangDeChangQiZhaiQuanTouZiZhangMianYuEHeJi" label="以摊余成本计量的长期债权投资账面余额合计" mulRef="_GBC_d157d561aaa849b7a4acf54b3b1a5555" unitRef="_GBC_f91a544cb754445eb1f89182fd9d2bc9" addr="T0R4C1S1_1" formatStyle="Comma" appId="_GBC_22cb0188d98c4d37a97e0c6a9e34e10d">
        <m:complexRule comparator="Eq" title="以摊余成本计量的长期债权投资账面余额合计" test=" $_GBC_5dd9bceaf31e47e68b5f483b1a62e96e" id="Ca114ff02db4841d188494e54bf1cd6cd"/>
      </m:item>
      <m:item xlName="_GBC_69c776d4a5d44180afac1a7cba502a46" concept="clcid-pte:YiTanYuChengBenJiLiangDeChangQiZhaiQuanTouZiJianZhiZhunBeiHeJi" label="以摊余成本计量的长期债权投资减值准备合计" mulRef="_GBC_d157d561aaa849b7a4acf54b3b1a5555" unitRef="_GBC_f91a544cb754445eb1f89182fd9d2bc9" addr="T0R4C2S1_1" formatStyle="Comma" appId="_GBC_22cb0188d98c4d37a97e0c6a9e34e10d">
        <m:complexRule comparator="Eq" title="以摊余成本计量的长期债权投资减值准备合计" test=" $_GBC_ed9db03150304e21be9bbf47d6ef5806" id="C248270b392d44dfea005774faf3333ed"/>
      </m:item>
      <m:item xlName="_GBC_6db5c20551ef4ceea54d1134ac7f61e9" concept="clcid-pte:YiTanYuChengBenJiLiangDeChangQiZhaiQuanTouZiZhangMianJiaZhiHeJi" label="以摊余成本计量的长期债权投资账面价值合计" mulRef="_GBC_d157d561aaa849b7a4acf54b3b1a5555" unitRef="_GBC_f91a544cb754445eb1f89182fd9d2bc9" addr="T0R4C3S1_1" formatStyle="Comma" appId="_GBC_22cb0188d98c4d37a97e0c6a9e34e10d">
        <m:complexRule comparator="Eq" title="以摊余成本计量的长期债权投资账面价值合计" test=" $_GBC_4c03ebb279b748a1b29d8e0810790e94" id="Cdcb7cacf6b564f66ae175444527ae8e9"/>
      </m:item>
      <m:item xlName="_GBC_2788c45da8b7442987bc1a0a48a7931f" concept="clcid-pte:YiTanYuChengBenJiLiangDeChangQiZhaiQuanTouZiZhangMianYuEHeJi" label="以摊余成本计量的长期债权投资账面余额合计" periodRef="本期期初数" mulRef="_GBC_d157d561aaa849b7a4acf54b3b1a5555" unitRef="_GBC_f91a544cb754445eb1f89182fd9d2bc9" addr="T0R4C4S1_1" formatStyle="Comma" appId="_GBC_22cb0188d98c4d37a97e0c6a9e34e10d">
        <m:complexRule comparator="Eq" title="以摊余成本计量的长期债权投资账面余额合计@本期期初数" test=" $_GBC_57c867b891a642b290f4d51457c7f1f9" id="C1ac003a0b7384b168fdc9118e22781e1"/>
      </m:item>
      <m:item xlName="_GBC_b4503391ee9841179dcb79669d62177d" concept="clcid-pte:YiTanYuChengBenJiLiangDeChangQiZhaiQuanTouZiJianZhiZhunBeiHeJi" label="以摊余成本计量的长期债权投资减值准备合计" periodRef="本期期初数" mulRef="_GBC_d157d561aaa849b7a4acf54b3b1a5555" unitRef="_GBC_f91a544cb754445eb1f89182fd9d2bc9" addr="T0R4C5S1_1" formatStyle="Comma" appId="_GBC_22cb0188d98c4d37a97e0c6a9e34e10d">
        <m:complexRule comparator="Eq" title="以摊余成本计量的长期债权投资减值准备合计@本期期初数" test=" $_GBC_79591a3bcd4049f9bab6834a140d0b29" id="C2b4ebaef745441f890bb4f95b7bcc6e5"/>
      </m:item>
      <m:item xlName="_GBC_df4124c9af1d46f58eb1009cb9f4f686" concept="clcid-pte:YiTanYuChengBenJiLiangDeChangQiZhaiQuanTouZiZhangMianJiaZhiHeJi" label="以摊余成本计量的长期债权投资账面价值合计" periodRef="本期期初数" mulRef="_GBC_d157d561aaa849b7a4acf54b3b1a5555" unitRef="_GBC_f91a544cb754445eb1f89182fd9d2bc9" addr="T0R4C6S1_1" formatStyle="Comma" appId="_GBC_22cb0188d98c4d37a97e0c6a9e34e10d">
        <m:complexRule comparator="Eq" title="以摊余成本计量的长期债权投资账面价值合计@本期期初数" test=" $_GBC_9d3d4eafc4594457a09962d87dc89f8f" id="C4f2bdc6729b54e41b9fef2e78aa1408d"/>
      </m:item>
    </m:section>
    <m:section xlName="_SEC_b1d789cc522341caa1c75b1a7b84351c" title="期末重要的债权投资" helpId="112001057">
      <m:item xlName="_GBC_0ff84ccc1d234704b93c4e33c0d575ce" concept="clcid-ci-ar:ShiFouShiYongZhongYaoDeZhaiQuanTouZi" label="是否适用：重要的债权投资" selectOptions="_buildInAppliance" controlType="CustomCheckbox" cRanges="[{&quot;StartName&quot;:&quot;_GBC_0ff84ccc1d234704b93c4e33c0d575ce&quot;,&quot;EndName&quot;:&quot;_GBC_7496b69bed5746d29b0c446acec9d13e&quot;,&quot;CType&quot;:1}]"/>
      <m:item xlName="_GBC_045b5335286440e59af124539bf1337c" concept="clcid-ci-ar:DanWeiZhongYaoDeZhaiQuanTouZi" label="单位：重要的债权投资" selectOptions="_buildInScales" controlType="Combobox" cellType="Scale" appId="_GBC_0ff84ccc1d234704b93c4e33c0d575ce"/>
      <m:item xlName="_GBC_bd2ad09682a8496bba51942ff79d0c41" concept="clcid-ci-ar:BiZhongZhongYaoDeZhaiQuanTouZi" label="币种：重要的债权投资" selectOptions="_buildInISO4217" controlType="Combobox" cellType="Measure" appId="_GBC_0ff84ccc1d234704b93c4e33c0d575ce"/>
      <m:placeholder xlName="_PLD_61bc09ff8fa84b048e67fb3fd7541932" addr="T0R0C0S2_1"/>
      <m:placeholder xlName="_PLD_4aedea7fd9744450a4b3d7bc77e3aabc" addr="T0R0C1S1_4"/>
      <m:placeholder xlName="_PLD_e627b0cb14fc4170a0a9ee48b6b11b31" addr="T0R0C5S1_4"/>
      <m:placeholder xlName="_PLD_ebd9456f09eb4a7fa47263474b03fd2c" addr="T0R1C1S1_1"/>
      <m:placeholder xlName="_PLD_803d2430feda4eb8bf3a341132fcd1ce" addr="T0R1C2S1_1"/>
      <m:placeholder xlName="_PLD_3c32ca6c768d4c7da158845dd1743899" addr="T0R1C3S1_1"/>
      <m:placeholder xlName="_PLD_71303825517c4b379232ab2abb4ffe1c" addr="T0R1C4S1_1"/>
      <m:placeholder xlName="_PLD_2506de4c2b2e4be0b8a1edec3d6e5d78" addr="T0R1C5S1_1"/>
      <m:placeholder xlName="_PLD_cd984abbdc3d4ecf8b91c870b323ec76" addr="T0R1C6S1_1"/>
      <m:placeholder xlName="_PLD_da4967da01554c588a9a0412198760bd" addr="T0R1C7S1_1"/>
      <m:placeholder xlName="_PLD_503ec353b79e45e18784eb22acb2bff3" addr="T0R1C8S1_1"/>
      <m:tuple xlName="_TUP_e01fb25cbe3b43aa84d2611f0e350fb8" concept="clcid-pte:ZhongYaoDeZhaiQuanTouZiMingXi" default_row="2" addr="T0R2C">
        <m:item xlName="_GBC_43f39d8b6944410ab6b3ff53597c2855" concept="clcid-pte:ZhongYaoDeZhaiQuanTouZiMingXiXiangMu" label="重要的债权投资明细-项目" addr="T0R2C0S1_1" appId="_GBC_0ff84ccc1d234704b93c4e33c0d575ce"/>
        <m:item xlName="_GBC_0abb625cb9054913b27c52c76cfd6878" concept="clcid-pte:ZhongYaoDeZhaiQuanTouZiMingXiMianZhi" label="重要的债权投资明细-面值" mulRef="_GBC_045b5335286440e59af124539bf1337c" unitRef="_GBC_bd2ad09682a8496bba51942ff79d0c41" addr="T0R2C1S1_1" formatStyle="Comma" appId="_GBC_0ff84ccc1d234704b93c4e33c0d575ce"/>
        <m:item xlName="_GBC_ef9c7f97eaa346bf9662269bd1dec39f" concept="clcid-pte:ZhongYaoDeZhaiQuanTouZiMingXiPiaoMianLiLv" label="重要的债权投资明细-票面利率" addr="T0R2C2S1_1" baseScale="0.01" formatStyle="Comma" appId="_GBC_0ff84ccc1d234704b93c4e33c0d575ce"/>
        <m:item xlName="_GBC_516622da11274b129c559afe96a1f135" concept="clcid-pte:ZhongYaoDeZhaiQuanTouZiMingXiShiJiLiLv" label="重要的债权投资明细-实际利率" addr="T0R2C3S1_1" baseScale="0.01" formatStyle="Comma" appId="_GBC_0ff84ccc1d234704b93c4e33c0d575ce"/>
        <m:item xlName="_GBC_53657716a0134757b3db59e4cf407129" concept="clcid-pte:ZhongYaoDeZhaiQuanTouZiMingXiDaoQiRi" label="重要的债权投资明细-到期日" addr="T0R2C4S1_1" appId="_GBC_0ff84ccc1d234704b93c4e33c0d575ce"/>
        <m:item xlName="_GBC_4b19b4215c86446e8836fc67217bae94" concept="clcid-pte:ZhongYaoDeZhaiQuanTouZiMingXiMianZhi" label="重要的债权投资明细-面值" periodRef="本期期初数" mulRef="_GBC_045b5335286440e59af124539bf1337c" unitRef="_GBC_bd2ad09682a8496bba51942ff79d0c41" addr="T0R2C5S1_1" formatStyle="Comma" appId="_GBC_0ff84ccc1d234704b93c4e33c0d575ce"/>
        <m:item xlName="_GBC_53182d0aab904ca08aa297d3a68f4f62" concept="clcid-pte:ZhongYaoDeZhaiQuanTouZiMingXiPiaoMianLiLv" label="重要的债权投资明细-票面利率" periodRef="本期期初数" addr="T0R2C6S1_1" baseScale="0.01" formatStyle="Comma" appId="_GBC_0ff84ccc1d234704b93c4e33c0d575ce"/>
        <m:item xlName="_GBC_57926dc25edd4cc399dc05f81c4ae8a1" concept="clcid-pte:ZhongYaoDeZhaiQuanTouZiMingXiShiJiLiLv" label="重要的债权投资明细-实际利率" periodRef="本期期初数" addr="T0R2C7S1_1" baseScale="0.01" formatStyle="Comma" appId="_GBC_0ff84ccc1d234704b93c4e33c0d575ce"/>
        <m:item xlName="_GBC_4f1ae36e3cd7411c8d78f0131406430b" concept="clcid-pte:ZhongYaoDeZhaiQuanTouZiMingXiDaoQiRi" label="重要的债权投资明细-到期日" periodRef="本期期初数" addr="T0R2C8S1_1" appId="_GBC_0ff84ccc1d234704b93c4e33c0d575ce"/>
      </m:tuple>
      <m:placeholder xlName="_PLD_bac70ea2233041db81daf0e6cad134a7" addr="T0R4C0S1_1"/>
      <m:item xlName="_GBC_f73dbfedfa544bf3ae13ba1403daea0f" concept="clcid-pte:ZhongYaoDeZhaiQuanTouZiMianZhiHeJi" label="重要的债权投资面值合计" mulRef="_GBC_045b5335286440e59af124539bf1337c" unitRef="_GBC_bd2ad09682a8496bba51942ff79d0c41" addr="T0R4C1S1_1" formatStyle="Comma" appId="_GBC_0ff84ccc1d234704b93c4e33c0d575ce">
        <m:complexRule comparator="Eq" title="重要的债权投资面值合计" test=" $_GBC_0abb625cb9054913b27c52c76cfd6878" id="C2aaf232f900a4040b022291a2a4fd4fa"/>
      </m:item>
      <m:item xlName="_GBC_7496b69bed5746d29b0c446acec9d13e" concept="clcid-pte:ZhongYaoDeZhaiQuanTouZiMianZhiHeJi" label="重要的债权投资面值合计" periodRef="本期期初数" mulRef="_GBC_045b5335286440e59af124539bf1337c" unitRef="_GBC_bd2ad09682a8496bba51942ff79d0c41" addr="T0R4C5S1_1" formatStyle="Comma" appId="_GBC_0ff84ccc1d234704b93c4e33c0d575ce">
        <m:complexRule comparator="Eq" title="重要的债权投资面值合计@本期期初数" test=" $_GBC_4b19b4215c86446e8836fc67217bae94" id="Cb16a65606f404978b0f126863644f21c"/>
      </m:item>
    </m:section>
    <m:section xlName="_SEC_bff86b17d4774a4a9f8a3329635b5429" title="减值准备计提情况" helpId="112001057">
      <m:item xlName="_GBC_415a5cd43ad14136b13ac09b150da06f" concept="clcid-ci-ar:ShiFouShiYongZhaiQuanTouZiJianZhiZhunBeiTiaoJieBiao" label="是否适用：债权投资减值准备调节表" selectOptions="_buildInAppliance" controlType="CustomCheckbox" cRanges="[{&quot;StartName&quot;:&quot;_GBC_415a5cd43ad14136b13ac09b150da06f&quot;,&quot;EndName&quot;:&quot;_GBC_c0e1f66883e84f4f9f6083f00d4c9caf&quot;,&quot;CType&quot;:1}]"/>
      <m:item xlName="_GBC_f32f782022c946c2b40d9cf5794220cc" concept="clcid-ci-ar:DanWeiZhaiQuanTouZiJianZhiZhunBeiTiaoJieBiao" label="单位：债权投资减值准备调节表" selectOptions="_buildInScales" controlType="Combobox" cellType="Scale" appId="_GBC_415a5cd43ad14136b13ac09b150da06f"/>
      <m:item xlName="_GBC_4f35b1271a4848999e32a9fe60279aff" concept="clcid-ci-ar:BiZhongZhaiQuanTouZiJianZhiZhunBeiTiaoJieBiao" label="币种：债权投资减值准备调节表" selectOptions="_buildInISO4217" controlType="Combobox" cellType="Measure" appId="_GBC_415a5cd43ad14136b13ac09b150da06f"/>
      <m:placeholder xlName="_PLD_55dc925f91764d84828b2ba8d19eabd4" addr="T0R0C0S2_1"/>
      <m:placeholder xlName="_PLD_e78a092241964c9586f65e81a4ade20f" addr="T0R0C1S1_1"/>
      <m:placeholder xlName="_PLD_5f35bd6e8570496dbc5161f906ce4275" addr="T0R0C2S1_1"/>
      <m:placeholder xlName="_PLD_2e3be41a190748b9b540858b9049b0d0" addr="T0R0C3S1_1"/>
      <m:placeholder xlName="_PLD_7385828e216a44a397e6c0ca0c18cd34" addr="T0R0C4S2_1"/>
      <m:placeholder xlName="_PLD_dea8b4532f894fe799af8f177e39b8dc" addr="T0R1C1S1_1"/>
      <m:placeholder xlName="_PLD_43e47536bb3248b0b059fd124c4c9696" addr="T0R1C2S1_1"/>
      <m:placeholder xlName="_PLD_df815b818e234546bfe8ccc9270fadd9" addr="T0R1C3S1_1"/>
      <m:placeholder xlName="_PLD_cfeb6201cb434d089bc8bb10a29f3f0e" addr="T0R2C0S1_1"/>
      <m:item xlName="_GBC_45723448ea234ecc83f1b5550bc79338" concept="clcid-pte:ZhaiQuanTouZiJianZhiZhunBeiDiYiJieDuan" label="债权投资减值准备（第一阶段）" periodRef="本期期初数" mulRef="_GBC_f32f782022c946c2b40d9cf5794220cc" unitRef="_GBC_4f35b1271a4848999e32a9fe60279aff" addr="T0R2C1S1_1" formatStyle="Comma" appId="_GBC_415a5cd43ad14136b13ac09b150da06f"/>
      <m:item xlName="_GBC_be8c95059c6a48feb28e99788f29a82c" concept="clcid-pte:ZhaiQuanTouZiJianZhiZhunBeiDiErJieDuan" label="债权投资减值准备（第二阶段）" periodRef="本期期初数" mulRef="_GBC_f32f782022c946c2b40d9cf5794220cc" unitRef="_GBC_4f35b1271a4848999e32a9fe60279aff" addr="T0R2C2S1_1" formatStyle="Comma" appId="_GBC_415a5cd43ad14136b13ac09b150da06f"/>
      <m:item xlName="_GBC_79c7ce8701ed405b88e4a95f3c7869a2" concept="clcid-pte:ZhaiQuanTouZiJianZhiZhunBeiDiSanJieDuan" label="债权投资减值准备（第三阶段）" periodRef="本期期初数" mulRef="_GBC_f32f782022c946c2b40d9cf5794220cc" unitRef="_GBC_4f35b1271a4848999e32a9fe60279aff" addr="T0R2C3S1_1" formatStyle="Comma" appId="_GBC_415a5cd43ad14136b13ac09b150da06f"/>
      <m:item xlName="_GBC_c9dcfeeedcd24f9e951b48a624540128" concept="clcid-pte:ZhaiQuanTouZiJianZhiZhunBei" label="债权投资减值准备" periodRef="本期期初数" mulRef="_GBC_f32f782022c946c2b40d9cf5794220cc" unitRef="_GBC_4f35b1271a4848999e32a9fe60279aff" addr="T0R2C4S1_1" formatStyle="Comma" appId="_GBC_415a5cd43ad14136b13ac09b150da06f"/>
      <m:placeholder xlName="_PLD_c95049592e23495dae2ac0f198421248" addr="T0R3C0S1_1"/>
      <m:item xlName="_GBC_742f410f35614a7eafa5fed8b0c2a629" concept="clcid-pte:ZhaiQuanTouZiJianZhiZhunBeiBenQiZhuanRuHuoZhuanHuiDiYiJieDuan" label="债权投资减值准备本期转入或转回（第一阶段）" mulRef="_GBC_f32f782022c946c2b40d9cf5794220cc" unitRef="_GBC_4f35b1271a4848999e32a9fe60279aff" addr="T0R3C1S1_1" formatStyle="Comma" appId="_GBC_415a5cd43ad14136b13ac09b150da06f"/>
      <m:item xlName="_GBC_d60c9ac5c06348fb8c922ab1f0a10a64" concept="clcid-pte:ZhaiQuanTouZiJianZhiZhunBeiBenQiZhuanRuHuoZhuanHuiDiErJieDuan" label="债权投资减值准备本期转入或转回（第二阶段）" mulRef="_GBC_f32f782022c946c2b40d9cf5794220cc" unitRef="_GBC_4f35b1271a4848999e32a9fe60279aff" addr="T0R3C2S1_1" formatStyle="Comma" appId="_GBC_415a5cd43ad14136b13ac09b150da06f"/>
      <m:item xlName="_GBC_b29503393d024615a420c82b74a1ddb1" concept="clcid-pte:ZhaiQuanTouZiJianZhiZhunBeiBenQiZhuanRuHuoZhuanHuiDiSanJieDuan" label="债权投资减值准备本期转入或转回（第三阶段）" mulRef="_GBC_f32f782022c946c2b40d9cf5794220cc" unitRef="_GBC_4f35b1271a4848999e32a9fe60279aff" addr="T0R3C3S1_1" formatStyle="Comma" appId="_GBC_415a5cd43ad14136b13ac09b150da06f"/>
      <m:item xlName="_GBC_281ed39633ea474c8bec5e7b54d1c4b9" concept="clcid-pte:ZhaiQuanTouZiJianZhiZhunBeiBenQiZhuanRuHuoZhuanHuiJieDuanHeJi" label="债权投资减值准备本期转入或转回阶段合计" mulRef="_GBC_f32f782022c946c2b40d9cf5794220cc" unitRef="_GBC_4f35b1271a4848999e32a9fe60279aff" addr="T0R3C4S1_1" formatStyle="Comma" appId="_GBC_415a5cd43ad14136b13ac09b150da06f"/>
      <m:placeholder xlName="_PLD_507d63ddc16e473da1693050741f2e75" addr="T0R4C0S1_1"/>
      <m:item xlName="_GBC_2fe1771ab8174d9fbe4626f712933dc6" concept="clcid-pte:ZhaiQuanTouZiJianZhiZhunBeiBenQiZhuanRuDiErJieDuanDiYiJieDuan" label="债权投资减值准备本期转入第二阶段（第一阶段）" mulRef="_GBC_f32f782022c946c2b40d9cf5794220cc" unitRef="_GBC_4f35b1271a4848999e32a9fe60279aff" addr="T0R4C1S1_1" formatStyle="Comma" appId="_GBC_415a5cd43ad14136b13ac09b150da06f"/>
      <m:item xlName="_GBC_05990dec80e3499e801e5c34ae2687aa" concept="clcid-pte:ZhaiQuanTouZiJianZhiZhunBeiBenQiZhuanRuDiErJieDuanDiErJieDuan" label="债权投资减值准备本期转入第二阶段（第二阶段）" mulRef="_GBC_f32f782022c946c2b40d9cf5794220cc" unitRef="_GBC_4f35b1271a4848999e32a9fe60279aff" addr="T0R4C2S1_1" formatStyle="Comma" appId="_GBC_415a5cd43ad14136b13ac09b150da06f"/>
      <m:item xlName="_GBC_58fcb78fcc7b4b11b5cfa00a6697fcf4" concept="clcid-pte:ZhaiQuanTouZiJianZhiZhunBeiBenQiZhuanRuDiErJieDuanDiSanJieDuan" label="债权投资减值准备本期转入第二阶段（第三阶段）" mulRef="_GBC_f32f782022c946c2b40d9cf5794220cc" unitRef="_GBC_4f35b1271a4848999e32a9fe60279aff" addr="T0R4C3S1_1" formatStyle="Comma" appId="_GBC_415a5cd43ad14136b13ac09b150da06f"/>
      <m:item xlName="_GBC_03a5ed91102d47f9aa1310fc81de8778" concept="clcid-pte:ZhaiQuanTouZiJianZhiZhunBeiBenQiZhuanRuDiErJieDuanJieDuanHeJi" label="债权投资减值准备本期转入第二阶段阶段合计" mulRef="_GBC_f32f782022c946c2b40d9cf5794220cc" unitRef="_GBC_4f35b1271a4848999e32a9fe60279aff" addr="T0R4C4S1_1" formatStyle="Comma" appId="_GBC_415a5cd43ad14136b13ac09b150da06f"/>
      <m:placeholder xlName="_PLD_0a75e8184319478c9d335143523e48f0" addr="T0R5C0S1_1"/>
      <m:item xlName="_GBC_6414afdedee24dc6b861485dbd66502b" concept="clcid-pte:ZhaiQuanTouZiJianZhiZhunBeiBenQiZhuanRuDiSanJieDuanDiYiJieDuan" label="债权投资减值准备本期转入第三阶段（第一阶段）" mulRef="_GBC_f32f782022c946c2b40d9cf5794220cc" unitRef="_GBC_4f35b1271a4848999e32a9fe60279aff" addr="T0R5C1S1_1" formatStyle="Comma" appId="_GBC_415a5cd43ad14136b13ac09b150da06f"/>
      <m:item xlName="_GBC_6563252724a548a19fd5b6a6d947ad23" concept="clcid-pte:ZhaiQuanTouZiJianZhiZhunBeiBenQiZhuanRuDiSanJieDuanDiErJieDuan" label="债权投资减值准备本期转入第三阶段（第二阶段）" mulRef="_GBC_f32f782022c946c2b40d9cf5794220cc" unitRef="_GBC_4f35b1271a4848999e32a9fe60279aff" addr="T0R5C2S1_1" formatStyle="Comma" appId="_GBC_415a5cd43ad14136b13ac09b150da06f"/>
      <m:item xlName="_GBC_37b3ba56d2ee4dd7b11391873e5a62ce" concept="clcid-pte:ZhaiQuanTouZiJianZhiZhunBeiBenQiZhuanRuDiSanJieDuanDiSanJieDuan" label="债权投资减值准备本期转入第三阶段（第三阶段）" mulRef="_GBC_f32f782022c946c2b40d9cf5794220cc" unitRef="_GBC_4f35b1271a4848999e32a9fe60279aff" addr="T0R5C3S1_1" formatStyle="Comma" appId="_GBC_415a5cd43ad14136b13ac09b150da06f"/>
      <m:item xlName="_GBC_044dfb3dd2594014844a851f51d6d3b9" concept="clcid-pte:ZhaiQuanTouZiJianZhiZhunBeiBenQiZhuanRuDiSanJieDuanJieDuanHeJi" label="债权投资减值准备本期转入第三阶段阶段合计" mulRef="_GBC_f32f782022c946c2b40d9cf5794220cc" unitRef="_GBC_4f35b1271a4848999e32a9fe60279aff" addr="T0R5C4S1_1" formatStyle="Comma" appId="_GBC_415a5cd43ad14136b13ac09b150da06f"/>
      <m:placeholder xlName="_PLD_4e954582c3854fdebb395b71d83d62e6" addr="T0R6C0S1_1"/>
      <m:item xlName="_GBC_adf74bb14201490ab7fc9fa253711f9a" concept="clcid-pte:ZhaiQuanTouZiJianZhiZhunBeiBenQiZhuanHuiDiErJieDuanDiYiJieDuan" label="债权投资减值准备本期转回第二阶段（第一阶段）" mulRef="_GBC_f32f782022c946c2b40d9cf5794220cc" unitRef="_GBC_4f35b1271a4848999e32a9fe60279aff" addr="T0R6C1S1_1" formatStyle="Comma" appId="_GBC_415a5cd43ad14136b13ac09b150da06f"/>
      <m:item xlName="_GBC_ae1d9d2013c64f0e8f1fd23bf515a141" concept="clcid-pte:ZhaiQuanTouZiJianZhiZhunBeiBenQiZhuanHuiDiErJieDuanDiErJieDuan" label="债权投资减值准备本期转回第二阶段（第二阶段）" mulRef="_GBC_f32f782022c946c2b40d9cf5794220cc" unitRef="_GBC_4f35b1271a4848999e32a9fe60279aff" addr="T0R6C2S1_1" formatStyle="Comma" appId="_GBC_415a5cd43ad14136b13ac09b150da06f"/>
      <m:item xlName="_GBC_4f79461c3fe541eba9cd2c7382d735dd" concept="clcid-pte:ZhaiQuanTouZiJianZhiZhunBeiBenQiZhuanHuiDiErJieDuanDiSanJieDuan" label="债权投资减值准备本期转回第二阶段（第三阶段）" mulRef="_GBC_f32f782022c946c2b40d9cf5794220cc" unitRef="_GBC_4f35b1271a4848999e32a9fe60279aff" addr="T0R6C3S1_1" formatStyle="Comma" appId="_GBC_415a5cd43ad14136b13ac09b150da06f"/>
      <m:item xlName="_GBC_a1bd602b8a48480cad9d695a540f4b26" concept="clcid-pte:ZhaiQuanTouZiJianZhiZhunBeiBenQiZhuanHuiDiErJieDuanJieDuanHeJi" label="债权投资减值准备本期转回第二阶段阶段合计" mulRef="_GBC_f32f782022c946c2b40d9cf5794220cc" unitRef="_GBC_4f35b1271a4848999e32a9fe60279aff" addr="T0R6C4S1_1" formatStyle="Comma" appId="_GBC_415a5cd43ad14136b13ac09b150da06f"/>
      <m:placeholder xlName="_PLD_b9e3b3298b7a4cfca87e63549fccf0e8" addr="T0R7C0S1_1"/>
      <m:item xlName="_GBC_3c7287eee669496b8aebd32a0c4cdcdc" concept="clcid-pte:ZhaiQuanTouZiJianZhiZhunBeiBenQiZhuanHuiDiYiJieDuanDiYiJieDuan" label="债权投资减值准备本期转回第一阶段（第一阶段）" mulRef="_GBC_f32f782022c946c2b40d9cf5794220cc" unitRef="_GBC_4f35b1271a4848999e32a9fe60279aff" addr="T0R7C1S1_1" formatStyle="Comma" appId="_GBC_415a5cd43ad14136b13ac09b150da06f"/>
      <m:item xlName="_GBC_8a2f88713e2c48c18ff27f192d401bdb" concept="clcid-pte:ZhaiQuanTouZiJianZhiZhunBeiBenQiZhuanHuiDiYiJieDuanDiErJieDuan" label="债权投资减值准备本期转回第一阶段（第二阶段）" mulRef="_GBC_f32f782022c946c2b40d9cf5794220cc" unitRef="_GBC_4f35b1271a4848999e32a9fe60279aff" addr="T0R7C2S1_1" formatStyle="Comma" appId="_GBC_415a5cd43ad14136b13ac09b150da06f"/>
      <m:item xlName="_GBC_fb5bb11cc23e42f0ac32fdb3655aac93" concept="clcid-pte:ZhaiQuanTouZiJianZhiZhunBeiBenQiZhuanHuiDiYiJieDuanDiSanJieDuan" label="债权投资减值准备本期转回第一阶段（第三阶段）" mulRef="_GBC_f32f782022c946c2b40d9cf5794220cc" unitRef="_GBC_4f35b1271a4848999e32a9fe60279aff" addr="T0R7C3S1_1" formatStyle="Comma" appId="_GBC_415a5cd43ad14136b13ac09b150da06f"/>
      <m:item xlName="_GBC_ae4001a207ea41ecb9c2ab5183a768e7" concept="clcid-pte:ZhaiQuanTouZiJianZhiZhunBeiBenQiZhuanHuiDiYiJieDuanJieDuanHeJi" label="债权投资减值准备本期转回第一阶段阶段合计" mulRef="_GBC_f32f782022c946c2b40d9cf5794220cc" unitRef="_GBC_4f35b1271a4848999e32a9fe60279aff" addr="T0R7C4S1_1" formatStyle="Comma" appId="_GBC_415a5cd43ad14136b13ac09b150da06f"/>
      <m:placeholder xlName="_PLD_b40d4e79330248e3a8d36981d8fb6374" addr="T0R8C0S1_1"/>
      <m:item xlName="_GBC_451c6928d8984737a5cd3570308ad767" concept="clcid-pte:ZhaiQuanTouZiJianZhiZhunBeiBenQiXinZengJiTiDiYiJieDuan" label="债权投资减值准备本期新增计提（第一阶段）" mulRef="_GBC_f32f782022c946c2b40d9cf5794220cc" unitRef="_GBC_4f35b1271a4848999e32a9fe60279aff" addr="T0R8C1S1_1" formatStyle="Comma" appId="_GBC_415a5cd43ad14136b13ac09b150da06f"/>
      <m:item xlName="_GBC_1479adcf8b9c4406975d1a9b50ea5113" concept="clcid-pte:ZhaiQuanTouZiJianZhiZhunBeiBenQiXinZengJiTiDiErJieDuan" label="债权投资减值准备本期新增计提（第二阶段）" mulRef="_GBC_f32f782022c946c2b40d9cf5794220cc" unitRef="_GBC_4f35b1271a4848999e32a9fe60279aff" addr="T0R8C2S1_1" formatStyle="Comma" appId="_GBC_415a5cd43ad14136b13ac09b150da06f"/>
      <m:item xlName="_GBC_d49e51ba46de42449693e543e9940504" concept="clcid-pte:ZhaiQuanTouZiJianZhiZhunBeiBenQiXinZengJiTiDiSanJieDuan" label="债权投资减值准备本期新增计提（第三阶段）" mulRef="_GBC_f32f782022c946c2b40d9cf5794220cc" unitRef="_GBC_4f35b1271a4848999e32a9fe60279aff" addr="T0R8C3S1_1" formatStyle="Comma" appId="_GBC_415a5cd43ad14136b13ac09b150da06f"/>
      <m:item xlName="_GBC_e94b965ff1c54322ba0be8cedc91b91b" concept="clcid-pte:ZhaiQuanTouZiJianZhiZhunBeiBenQiXinZengJiTiJieDuanHeJi" label="债权投资减值准备本期新增计提阶段合计" mulRef="_GBC_f32f782022c946c2b40d9cf5794220cc" unitRef="_GBC_4f35b1271a4848999e32a9fe60279aff" addr="T0R8C4S1_1" formatStyle="Comma" appId="_GBC_415a5cd43ad14136b13ac09b150da06f"/>
      <m:placeholder xlName="_PLD_abed24858e9c43f2b26913bc428b6375" addr="T0R9C0S1_1"/>
      <m:item xlName="_GBC_0b5606e8732a4c229c4bef351f896404" concept="clcid-pte:ZhaiQuanTouZiJianZhiZhunBeiBenQiZhuanHuiDiYiJieDuan" label="债权投资减值准备本期转回（第一阶段）" mulRef="_GBC_f32f782022c946c2b40d9cf5794220cc" unitRef="_GBC_4f35b1271a4848999e32a9fe60279aff" addr="T0R9C1S1_1" formatStyle="Comma" appId="_GBC_415a5cd43ad14136b13ac09b150da06f"/>
      <m:item xlName="_GBC_79deea05c9b5456f9b2501334a744bc6" concept="clcid-pte:ZhaiQuanTouZiJianZhiZhunBeiBenQiZhuanHuiDiErJieDuan" label="债权投资减值准备本期转回（第二阶段）" mulRef="_GBC_f32f782022c946c2b40d9cf5794220cc" unitRef="_GBC_4f35b1271a4848999e32a9fe60279aff" addr="T0R9C2S1_1" formatStyle="Comma" appId="_GBC_415a5cd43ad14136b13ac09b150da06f"/>
      <m:item xlName="_GBC_64d1178e5a924470b10f7bdf41e3eece" concept="clcid-pte:ZhaiQuanTouZiJianZhiZhunBeiBenQiZhuanHuiDiSanJieDuan" label="债权投资减值准备本期转回（第三阶段）" mulRef="_GBC_f32f782022c946c2b40d9cf5794220cc" unitRef="_GBC_4f35b1271a4848999e32a9fe60279aff" addr="T0R9C3S1_1" formatStyle="Comma" appId="_GBC_415a5cd43ad14136b13ac09b150da06f"/>
      <m:item xlName="_GBC_848c012d44514d748a4e4332b282d178" concept="clcid-pte:ZhaiQuanTouZiJianZhiZhunBeiBenQiZhuanHuiJieDuanHeJi" label="债权投资减值准备本期转回阶段合计" mulRef="_GBC_f32f782022c946c2b40d9cf5794220cc" unitRef="_GBC_4f35b1271a4848999e32a9fe60279aff" addr="T0R9C4S1_1" formatStyle="Comma" appId="_GBC_415a5cd43ad14136b13ac09b150da06f"/>
      <m:placeholder xlName="_PLD_d026370f738d4592a48059278b5b8c6e" addr="T0R10C0S1_1"/>
      <m:item xlName="_GBC_c58bec2a80624f93b20952763e86cfb6" concept="clcid-pte:ZhaiQuanTouZiJianZhiZhunBeiBenQiZhuanXiaoDiYiJieDuan" label="债权投资减值准备本期转销（第一阶段）" mulRef="_GBC_f32f782022c946c2b40d9cf5794220cc" unitRef="_GBC_4f35b1271a4848999e32a9fe60279aff" addr="T0R10C1S1_1" formatStyle="Comma" appId="_GBC_415a5cd43ad14136b13ac09b150da06f"/>
      <m:item xlName="_GBC_2e9c989e96c24afb849a6b88caa950ae" concept="clcid-pte:ZhaiQuanTouZiJianZhiZhunBeiBenQiZhuanXiaoDiErJieDuan" label="债权投资减值准备本期转销（第二阶段）" mulRef="_GBC_f32f782022c946c2b40d9cf5794220cc" unitRef="_GBC_4f35b1271a4848999e32a9fe60279aff" addr="T0R10C2S1_1" formatStyle="Comma" appId="_GBC_415a5cd43ad14136b13ac09b150da06f"/>
      <m:item xlName="_GBC_151844b5b1304810ab6b77cf5028328f" concept="clcid-pte:ZhaiQuanTouZiJianZhiZhunBeiBenQiZhuanXiaoDiSanJieDuan" label="债权投资减值准备本期转销（第三阶段）" mulRef="_GBC_f32f782022c946c2b40d9cf5794220cc" unitRef="_GBC_4f35b1271a4848999e32a9fe60279aff" addr="T0R10C3S1_1" formatStyle="Comma" appId="_GBC_415a5cd43ad14136b13ac09b150da06f"/>
      <m:item xlName="_GBC_008fa3ede9e248c2a3b8988590f1d310" concept="clcid-pte:ZhaiQuanTouZiJianZhiZhunBeiBenQiZhuanXiaoJieDuanHeJi" label="债权投资减值准备本期转销阶段合计" mulRef="_GBC_f32f782022c946c2b40d9cf5794220cc" unitRef="_GBC_4f35b1271a4848999e32a9fe60279aff" addr="T0R10C4S1_1" formatStyle="Comma" appId="_GBC_415a5cd43ad14136b13ac09b150da06f"/>
      <m:placeholder xlName="_PLD_7f48bf3b68af4841a20876c23b50b552" addr="T0R11C0S1_1"/>
      <m:item xlName="_GBC_1b2180abefe34d6a8df148ea7b82777d" concept="clcid-pte:ZhaiQuanTouZiJianZhiZhunBeiBenQiHeXiaoDiYiJieDuan" label="债权投资减值准备本期核销（第一阶段）" mulRef="_GBC_f32f782022c946c2b40d9cf5794220cc" unitRef="_GBC_4f35b1271a4848999e32a9fe60279aff" addr="T0R11C1S1_1" formatStyle="Comma" appId="_GBC_415a5cd43ad14136b13ac09b150da06f"/>
      <m:item xlName="_GBC_28516fa918184893aa6e49a5cb18e619" concept="clcid-pte:ZhaiQuanTouZiJianZhiZhunBeiBenQiHeXiaoDiErJieDuan" label="债权投资减值准备本期核销（第二阶段）" mulRef="_GBC_f32f782022c946c2b40d9cf5794220cc" unitRef="_GBC_4f35b1271a4848999e32a9fe60279aff" addr="T0R11C2S1_1" formatStyle="Comma" appId="_GBC_415a5cd43ad14136b13ac09b150da06f"/>
      <m:item xlName="_GBC_11514c45a8f049d790d84db5d3fca619" concept="clcid-pte:ZhaiQuanTouZiJianZhiZhunBeiBenQiHeXiaoDiSanJieDuan" label="债权投资减值准备本期核销（第三阶段）" mulRef="_GBC_f32f782022c946c2b40d9cf5794220cc" unitRef="_GBC_4f35b1271a4848999e32a9fe60279aff" addr="T0R11C3S1_1" formatStyle="Comma" appId="_GBC_415a5cd43ad14136b13ac09b150da06f"/>
      <m:item xlName="_GBC_26d18d1c3aec4f1485949696548a81bd" concept="clcid-pte:ZhaiQuanTouZiJianZhiZhunBeiBenQiHeXiaoJieDuanHeJi" label="债权投资减值准备本期核销阶段合计" mulRef="_GBC_f32f782022c946c2b40d9cf5794220cc" unitRef="_GBC_4f35b1271a4848999e32a9fe60279aff" addr="T0R11C4S1_1" formatStyle="Comma" appId="_GBC_415a5cd43ad14136b13ac09b150da06f"/>
      <m:placeholder xlName="_PLD_45210c5ecd0f4d46ac1510be0d26bc4a" addr="T0R12C0S1_1"/>
      <m:item xlName="_GBC_0432067db5674f9294595400f19faa03" concept="clcid-pte:ZhaiQuanTouZiJianZhiZhunBeiBenQiQiTaBianDongDiYiJieDuan" label="债权投资减值准备本期其他变动（第一阶段）" mulRef="_GBC_f32f782022c946c2b40d9cf5794220cc" unitRef="_GBC_4f35b1271a4848999e32a9fe60279aff" addr="T0R12C1S1_1" formatStyle="Comma" appId="_GBC_415a5cd43ad14136b13ac09b150da06f"/>
      <m:item xlName="_GBC_10c634966ade4964bd83a03ce0ee9ab1" concept="clcid-pte:ZhaiQuanTouZiJianZhiZhunBeiBenQiQiTaBianDongDiErJieDuan" label="债权投资减值准备本期其他变动（第二阶段）" mulRef="_GBC_f32f782022c946c2b40d9cf5794220cc" unitRef="_GBC_4f35b1271a4848999e32a9fe60279aff" addr="T0R12C2S1_1" formatStyle="Comma" appId="_GBC_415a5cd43ad14136b13ac09b150da06f"/>
      <m:item xlName="_GBC_571b83d5f50245498b7d3234bd3f49aa" concept="clcid-pte:ZhaiQuanTouZiJianZhiZhunBeiBenQiQiTaBianDongDiSanJieDuan" label="债权投资减值准备本期其他变动（第三阶段）" mulRef="_GBC_f32f782022c946c2b40d9cf5794220cc" unitRef="_GBC_4f35b1271a4848999e32a9fe60279aff" addr="T0R12C3S1_1" formatStyle="Comma" appId="_GBC_415a5cd43ad14136b13ac09b150da06f"/>
      <m:item xlName="_GBC_7aed259ba1a24746a2c8b197b40de558" concept="clcid-pte:ZhaiQuanTouZiJianZhiZhunBeiBenQiQiTaBianDongJieDuanHeJi" label="债权投资减值准备本期其他变动阶段合计" mulRef="_GBC_f32f782022c946c2b40d9cf5794220cc" unitRef="_GBC_4f35b1271a4848999e32a9fe60279aff" addr="T0R12C4S1_1" formatStyle="Comma" appId="_GBC_415a5cd43ad14136b13ac09b150da06f"/>
      <m:placeholder xlName="_PLD_0429c7b8d6ed469fba640e5cf0a9d16e" addr="T0R13C0S1_1"/>
      <m:item xlName="_GBC_31bfa01beec24c99ac6e655487181c72" concept="clcid-pte:ZhaiQuanTouZiJianZhiZhunBeiDiYiJieDuan" label="债权投资减值准备（第一阶段）" mulRef="_GBC_f32f782022c946c2b40d9cf5794220cc" unitRef="_GBC_4f35b1271a4848999e32a9fe60279aff" addr="T0R13C1S1_1" formatStyle="Comma" appId="_GBC_415a5cd43ad14136b13ac09b150da06f"/>
      <m:item xlName="_GBC_518f13a6170749c090629510eb632c49" concept="clcid-pte:ZhaiQuanTouZiJianZhiZhunBeiDiErJieDuan" label="债权投资减值准备（第二阶段）" mulRef="_GBC_f32f782022c946c2b40d9cf5794220cc" unitRef="_GBC_4f35b1271a4848999e32a9fe60279aff" addr="T0R13C2S1_1" formatStyle="Comma" appId="_GBC_415a5cd43ad14136b13ac09b150da06f"/>
      <m:item xlName="_GBC_d93e833ee05a4e619d38d190ddaf37b1" concept="clcid-pte:ZhaiQuanTouZiJianZhiZhunBeiDiSanJieDuan" label="债权投资减值准备（第三阶段）" mulRef="_GBC_f32f782022c946c2b40d9cf5794220cc" unitRef="_GBC_4f35b1271a4848999e32a9fe60279aff" addr="T0R13C3S1_1" formatStyle="Comma" appId="_GBC_415a5cd43ad14136b13ac09b150da06f"/>
      <m:item xlName="_GBC_449084e3327f4ee689599e81776c61bc" concept="clcid-pte:ZhaiQuanTouZiJianZhiZhunBei" label="债权投资减值准备" mulRef="_GBC_f32f782022c946c2b40d9cf5794220cc" unitRef="_GBC_4f35b1271a4848999e32a9fe60279aff" addr="T0R13C4S1_1" formatStyle="Comma" appId="_GBC_415a5cd43ad14136b13ac09b150da06f"/>
      <m:item xlName="_GBC_c6e31a7a389c493bad1d2f0f97023e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c6e31a7a389c493bad1d2f0f97023edf&quot;,&quot;EndName&quot;:&quot;_GBC_c647991c3caf4ab4a2709b043a7db4db&quot;,&quot;CType&quot;:1}]"/>
      <m:item xlName="_GBC_c647991c3caf4ab4a2709b043a7db4db" concept="clcid-pte:ZhaiQuanTouZiBenQiFaShengSunShiZhunBeiBianDongQieZhangMianYuEXianZhuBianDongDeQingKuangShuoMing" label="债权投资本期发生损失准备变动且账面余额显著变动的情况说明" appId="_GBC_c6e31a7a389c493bad1d2f0f97023edf"/>
      <m:item xlName="_GBC_9f2bcc7ec6104c84a1b0f948b57b7e7a"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9f2bcc7ec6104c84a1b0f948b57b7e7a&quot;,&quot;EndName&quot;:&quot;_GBC_91cc20445b614e459914c2fd91a205fe&quot;,&quot;CType&quot;:1}]"/>
      <m:item xlName="_GBC_91cc20445b614e459914c2fd91a205fe" concept="clcid-pte:ZhaiQuanTouZiJianZhiZhunBeiJiTiJinEYiJiPingGuJinRongGongJuDeXinYongFengXianXianZhuZengJiaDeCaiYongYiJu" label="债权投资减值准备计提金额以及评估金融工具的信用风险显著增加的采用依据" appId="_GBC_9f2bcc7ec6104c84a1b0f948b57b7e7a"/>
      <m:item xlName="_GBC_c0e1f66883e84f4f9f6083f00d4c9caf" concept="clcid-pte:ZhaiQuanTouZiQiTaShuoMing" label="债权投资其他说明" appId="_GBC_415a5cd43ad14136b13ac09b150da06f"/>
    </m:section>
    <m:section xlName="_SEC_1af1e8e9eab94f10811b4e7aa91aa24d" title="其他债权投资" helpId="112001058">
      <m:item xlName="_GBC_a2d99fd3a665497694c6ad6801c54a4f" concept="clcid-ci-ar:ShiFouShiYongQiTaZhaiQuanTouZiQingKuang" label="是否适用：其他债权投资情况" selectOptions="_buildInAppliance" controlType="CustomCheckbox" cRanges="[{&quot;StartName&quot;:&quot;_GBC_a2d99fd3a665497694c6ad6801c54a4f&quot;,&quot;EndName&quot;:&quot;_GBC_19b9d902c08b4e99b08f8535f273e04f&quot;,&quot;CType&quot;:1}]"/>
      <m:item xlName="_GBC_957e1260fe41490ca8c84846505b1133" concept="clcid-ci-ar:DanWeiQiTaZhaiQuanTouZiQingKuang" label="单位：其他债权投资情况" cellType="Scale" appId="_GBC_a2d99fd3a665497694c6ad6801c54a4f"/>
      <m:item xlName="_GBC_c66b4e99741f4a04b72ce7b6889d2905" concept="clcid-ci-ar:BiZhongQiTaZhaiQuanTouZiQingKuang" label="币种：其他债权投资情况" cellType="Measure" appId="_GBC_a2d99fd3a665497694c6ad6801c54a4f"/>
      <m:placeholder xlName="_PLD_2f4e9f1818354a10b396960303be5b35" addr="T0R0C0S1_1"/>
      <m:placeholder xlName="_PLD_a130e0a6516e43c4b720730a054e148c" addr="T0R0C1S1_1"/>
      <m:placeholder xlName="_PLD_3f56d52b90074280b6e22465eb69f262" addr="T0R0C2S1_1"/>
      <m:placeholder xlName="_PLD_b5450e15d5034a848c3677bf65040d7b" addr="T0R0C3S1_1"/>
      <m:placeholder xlName="_PLD_12bde2431c4d4ff3a05bd79954c43732" addr="T0R0C4S1_1"/>
      <m:placeholder xlName="_PLD_3b38cabbfbd64386a1729f2ec508af0a" addr="T0R0C5S1_1"/>
      <m:placeholder xlName="_PLD_ee4b25aa037b46bd90f0ab51599e87ee" addr="T0R0C6S1_1"/>
      <m:placeholder xlName="_PLD_ef95a9edb3614bedafb4203df94631ff" addr="T0R0C7S1_1"/>
      <m:placeholder xlName="_PLD_e3b167932f6141e080fffbed2320ea76" addr="T0R0C8S1_1"/>
      <m:tuple xlName="_TUP_fb1989202e6241bea0b4880206358229" concept="clcid-pte:QiTaZhaiQuanTouZiQingKuangMingXi" default_row="2" addr="T0R1C">
        <m:item xlName="_GBC_217bde372a944d49a4676039d5db1642" concept="clcid-pte:QiTaZhaiQuanTouZiQingKuangMingXiXiangMu" label="其他债权投资情况明细-项目" addr="T0R1C0S1_1" appId="_GBC_a2d99fd3a665497694c6ad6801c54a4f"/>
        <m:item xlName="_GBC_6c0fb15e22144fbcaccb66afb458eeab" concept="clcid-pte:QiTaZhaiQuanTouZiQingKuangMingXiFaShengE" label="其他债权投资情况明细-发生额" periodRef="本期期初数" mulRef="_GBC_957e1260fe41490ca8c84846505b1133" unitRef="_GBC_c66b4e99741f4a04b72ce7b6889d2905" addr="T0R1C1S1_1" formatStyle="Comma" appId="_GBC_a2d99fd3a665497694c6ad6801c54a4f"/>
        <m:item xlName="_GBC_fa649d476bd541b89ed9931cd759c7c8" concept="clcid-pte:QiTaZhaiQuanTouZiQingKuangMingXiYingJiLiXi" label="其他债权投资情况明细-应计利息" mulRef="_GBC_957e1260fe41490ca8c84846505b1133" unitRef="_GBC_c66b4e99741f4a04b72ce7b6889d2905" addr="T0R1C2S1_1" formatStyle="Comma" appId="_GBC_a2d99fd3a665497694c6ad6801c54a4f"/>
        <m:item xlName="_GBC_98751c6a40774ecaae22a175af5410d1" concept="clcid-pte:QiTaZhaiQuanTouZiQingKuangMingXiBenQiGongYunJiaZhiBianDong" label="其他债权投资情况明细-本期公允价值变动" mulRef="_GBC_957e1260fe41490ca8c84846505b1133" unitRef="_GBC_c66b4e99741f4a04b72ce7b6889d2905" addr="T0R1C3S1_1" formatStyle="Comma" appId="_GBC_a2d99fd3a665497694c6ad6801c54a4f"/>
        <m:item xlName="_GBC_4c72d74eb2a944eab01ba2b49eac9f0e" concept="clcid-pte:QiTaZhaiQuanTouZiQingKuangMingXiFaShengE" label="其他债权投资情况明细-发生额" mulRef="_GBC_957e1260fe41490ca8c84846505b1133" unitRef="_GBC_c66b4e99741f4a04b72ce7b6889d2905" addr="T0R1C4S1_1" formatStyle="Comma" appId="_GBC_a2d99fd3a665497694c6ad6801c54a4f"/>
        <m:item xlName="_GBC_e0f7a5ab49f744d2a920758d70fcaed2" concept="clcid-pte:QiTaZhaiQuanTouZiQingKuangMingXiChengBen" label="其他债权投资情况明细-成本" mulRef="_GBC_957e1260fe41490ca8c84846505b1133" unitRef="_GBC_c66b4e99741f4a04b72ce7b6889d2905" addr="T0R1C5S1_1" formatStyle="Comma" appId="_GBC_a2d99fd3a665497694c6ad6801c54a4f"/>
        <m:item xlName="_GBC_bb713c95833a495db7283aac6d2f5153" concept="clcid-pte:QiTaZhaiQuanTouZiQingKuangMingXiLeiJiGongYunJiaZhiBianDong" label="其他债权投资情况明细-累计公允价值变动" mulRef="_GBC_957e1260fe41490ca8c84846505b1133" unitRef="_GBC_c66b4e99741f4a04b72ce7b6889d2905" addr="T0R1C6S1_1" formatStyle="Comma" appId="_GBC_a2d99fd3a665497694c6ad6801c54a4f"/>
        <m:item xlName="_GBC_ae3109831f074859ad86297829c1b1d2" concept="clcid-pte:QiTaZhaiQuanTouZiQingKuangMingXiLeiJiZaiQiTaZongHeShouYiZhongQueRenDeSunShiZhunBei" label="其他债权投资情况明细-累计在其他综合收益中确认的损失准备" mulRef="_GBC_957e1260fe41490ca8c84846505b1133" unitRef="_GBC_c66b4e99741f4a04b72ce7b6889d2905" addr="T0R1C7S1_1" formatStyle="Comma" appId="_GBC_a2d99fd3a665497694c6ad6801c54a4f"/>
        <m:item xlName="_GBC_bca692da43be41de863de9fc51931261" concept="clcid-pte:QiTaZhaiQuanTouZiQingKuangMingXiBeiZhu" label="其他债权投资情况明细-备注" addr="T0R1C8S1_1" appId="_GBC_a2d99fd3a665497694c6ad6801c54a4f"/>
      </m:tuple>
      <m:placeholder xlName="_PLD_875e0afecdbc4ceeaca83688e6e7cf90" addr="T0R3C0S1_1"/>
      <m:item xlName="_GBC_aee3316725ca4bac9a302209ca1a43f3" concept="clcid-pte:QiTaZhaiQuanTouZi" label="其他债权投资" periodRef="本期期初数" mulRef="_GBC_957e1260fe41490ca8c84846505b1133" unitRef="_GBC_c66b4e99741f4a04b72ce7b6889d2905" addr="T0R3C1S1_1" formatStyle="Comma" appId="_GBC_a2d99fd3a665497694c6ad6801c54a4f">
        <m:complexRule comparator="Eq" title="其他债权投资@本期期初数" test=" $_GBC_6c0fb15e22144fbcaccb66afb458eeab" id="C6de02022633f40bb9e604e126c89ab72"/>
      </m:item>
      <m:item xlName="_GBC_8876bf3e5b85491f9c6d926a58aa726b" concept="clcid-pte:QiTaZhaiQuanTouZiYingJiLiXiHeJi" label="其他债权投资应计利息合计" mulRef="_GBC_957e1260fe41490ca8c84846505b1133" unitRef="_GBC_c66b4e99741f4a04b72ce7b6889d2905" addr="T0R3C2S1_1" formatStyle="Comma" appId="_GBC_a2d99fd3a665497694c6ad6801c54a4f">
        <m:complexRule comparator="Eq" title="其他债权投资应计利息合计" test=" $_GBC_fa649d476bd541b89ed9931cd759c7c8" id="C22fabc4feb204709b38140d56b3c5693"/>
      </m:item>
      <m:item xlName="_GBC_1ee679bedfa94f5d897dcb00efc6f2f4" concept="clcid-pte:QiTaZhaiQuanTouZiBenQiGongYunJiaZhiBianDongHeJi" label="其他债权投资本期公允价值变动合计" mulRef="_GBC_957e1260fe41490ca8c84846505b1133" unitRef="_GBC_c66b4e99741f4a04b72ce7b6889d2905" addr="T0R3C3S1_1" formatStyle="Comma" appId="_GBC_a2d99fd3a665497694c6ad6801c54a4f">
        <m:complexRule comparator="Eq" title="其他债权投资本期公允价值变动合计" test=" $_GBC_98751c6a40774ecaae22a175af5410d1" id="Ce6f3643532a24a86bb4bdc1b5a82aa7c"/>
      </m:item>
      <m:item xlName="_GBC_53f7cc12c9a7456d9db1cac10bf5b93e" concept="clcid-pte:QiTaZhaiQuanTouZi" label="其他债权投资" mulRef="_GBC_957e1260fe41490ca8c84846505b1133" unitRef="_GBC_c66b4e99741f4a04b72ce7b6889d2905" addr="T0R3C4S1_1" formatStyle="Comma" appId="_GBC_a2d99fd3a665497694c6ad6801c54a4f">
        <m:complexRule comparator="Eq" title="其他债权投资" test=" $_GBC_4c72d74eb2a944eab01ba2b49eac9f0e" id="C49db0fcd3a4f45729e252be53a04093b"/>
      </m:item>
      <m:item xlName="_GBC_03d138052a7342eb8491a489b90e6ef6" concept="clcid-pte:QiTaZhaiQuanTouZiChengBenHeJi" label="其他债权投资成本合计" mulRef="_GBC_957e1260fe41490ca8c84846505b1133" unitRef="_GBC_c66b4e99741f4a04b72ce7b6889d2905" addr="T0R3C5S1_1" formatStyle="Comma" appId="_GBC_a2d99fd3a665497694c6ad6801c54a4f">
        <m:complexRule comparator="Eq" title="其他债权投资成本合计" test=" $_GBC_e0f7a5ab49f744d2a920758d70fcaed2" id="Cf1f86c05c0404aaaabf47b3fa259e830"/>
      </m:item>
      <m:item xlName="_GBC_888a061d48d748c78962537ff90bee53" concept="clcid-pte:QiTaZhaiQuanTouZiLeiJiGongYunJiaZhiBianDongHeJi" label="其他债权投资累计公允价值变动合计" mulRef="_GBC_957e1260fe41490ca8c84846505b1133" unitRef="_GBC_c66b4e99741f4a04b72ce7b6889d2905" addr="T0R3C6S1_1" formatStyle="Comma" appId="_GBC_a2d99fd3a665497694c6ad6801c54a4f">
        <m:complexRule comparator="Eq" title="其他债权投资累计公允价值变动合计" test=" $_GBC_bb713c95833a495db7283aac6d2f5153" id="Ca0593794217e4869953679f46cc1d158"/>
      </m:item>
      <m:item xlName="_GBC_19b9d902c08b4e99b08f8535f273e04f" concept="clcid-pte:QiTaZhaiQuanTouZiLeiJiZaiQiTaZongHeShouYiZhongQueRenDeSunShiZhunBeiHeJi" label="其他债权投资累计在其他综合收益中确认的损失准备合计" mulRef="_GBC_957e1260fe41490ca8c84846505b1133" unitRef="_GBC_c66b4e99741f4a04b72ce7b6889d2905" addr="T0R3C7S1_1" formatStyle="Comma" appId="_GBC_a2d99fd3a665497694c6ad6801c54a4f">
        <m:complexRule comparator="Eq" title="其他债权投资累计在其他综合收益中确认的损失准备合计" test=" $_GBC_ae3109831f074859ad86297829c1b1d2" id="Ca9fc82bcf6794feca7d696635f86039f"/>
      </m:item>
    </m:section>
    <m:section xlName="_SEC_052112d020944ec8b923dd106b2a0cbf" title="期末重要的其他债权投资" helpId="112001058">
      <m:item xlName="_GBC_e8808db892544b1ead740cddc4156455" concept="clcid-ci-ar:ShiFouShiYongZhongYaoDeQiTaZhaiQuanTouZi" label="是否适用：重要的其他债权投资" selectOptions="_buildInAppliance" controlType="CustomCheckbox" cRanges="[{&quot;StartName&quot;:&quot;_GBC_e8808db892544b1ead740cddc4156455&quot;,&quot;EndName&quot;:&quot;_GBC_d894b36a300e4d1d8f279c0f490192be&quot;,&quot;CType&quot;:1}]"/>
      <m:item xlName="_GBC_68a1c785409f46f6b03dfd01a602ae5c" concept="clcid-ci-ar:DanWeiZhongYaoDeQiTaZhaiQuanTouZi" label="单位：重要的其他债权投资" selectOptions="_buildInScales" controlType="Combobox" cellType="Scale" appId="_GBC_e8808db892544b1ead740cddc4156455"/>
      <m:item xlName="_GBC_e6d7d4874f6e475f8f538fc298fb4c7f" concept="clcid-ci-ar:BiZhongZhongYaoDeQiTaZhaiQuanTouZi" label="币种：重要的其他债权投资" selectOptions="_buildInISO4217" controlType="Combobox" cellType="Measure" appId="_GBC_e8808db892544b1ead740cddc4156455"/>
      <m:placeholder xlName="_PLD_4797556e832841fd845e39c512cbee0f" addr="T0R0C0S2_1"/>
      <m:placeholder xlName="_PLD_acf00ee7c5ed428fae2b43c0658688b4" addr="T0R0C1S1_4"/>
      <m:placeholder xlName="_PLD_044f555b0de74b699d9e058fefffb926" addr="T0R0C5S1_4"/>
      <m:placeholder xlName="_PLD_fca2e44f899d4d9ab97ea3a764860363" addr="T0R1C1S1_1"/>
      <m:placeholder xlName="_PLD_3fe99827f15040a2a3ada5d51a70929e" addr="T0R1C2S1_1"/>
      <m:placeholder xlName="_PLD_23abd83dc26841b3a472a91983177b51" addr="T0R1C3S1_1"/>
      <m:placeholder xlName="_PLD_169b681a519f4234a5effd191078eff5" addr="T0R1C4S1_1"/>
      <m:placeholder xlName="_PLD_14fcb9714e1242399d950d6bebab3f27" addr="T0R1C5S1_1"/>
      <m:placeholder xlName="_PLD_386ccdf1afaa47ed8c55799b56f26b83" addr="T0R1C6S1_1"/>
      <m:placeholder xlName="_PLD_0135f7a27179409fb76ad28377985252" addr="T0R1C7S1_1"/>
      <m:placeholder xlName="_PLD_6302ae3d5a294ef0a55f1735fbf08ede" addr="T0R1C8S1_1"/>
      <m:tuple xlName="_TUP_b11faf05e59b49d5a34f20f5502f2636" concept="clcid-pte:ZhongYaoDeQiTaZhaiQuanTouZiMingXi" default_row="2" addr="T0R2C">
        <m:item xlName="_GBC_beb7686e8c2a45fe93d892300fa2138e" concept="clcid-pte:ZhongYaoDeQiTaZhaiQuanTouZiMingXiXiangMu" label="重要的其他债权投资明细-项目" addr="T0R2C0S1_1" appId="_GBC_e8808db892544b1ead740cddc4156455"/>
        <m:item xlName="_GBC_3de15256e0e046fda700871cdee0f619" concept="clcid-pte:ZhongYaoDeQiTaZhaiQuanTouZiMingXiMianZhi" label="重要的其他债权投资明细-面值" mulRef="_GBC_68a1c785409f46f6b03dfd01a602ae5c" unitRef="_GBC_e6d7d4874f6e475f8f538fc298fb4c7f" addr="T0R2C1S1_1" formatStyle="Comma" appId="_GBC_e8808db892544b1ead740cddc4156455"/>
        <m:item xlName="_GBC_9ad0081c1af34dc8929e80c0a50e50a0" concept="clcid-pte:ZhongYaoDeQiTaZhaiQuanTouZiMingXiPiaoMianLiLv" label="重要的其他债权投资明细-票面利率" addr="T0R2C2S1_1" baseScale="0.01" formatStyle="Comma" appId="_GBC_e8808db892544b1ead740cddc4156455"/>
        <m:item xlName="_GBC_d54ea89d39f843abafd8b08a4dcccb9e" concept="clcid-pte:ZhongYaoDeQiTaZhaiQuanTouZiMingXiShiJiLiLv" label="重要的其他债权投资明细-实际利率" addr="T0R2C3S1_1" baseScale="0.01" formatStyle="Comma" appId="_GBC_e8808db892544b1ead740cddc4156455"/>
        <m:item xlName="_GBC_4f66545a874a4728ac0ef3b7a590c5de" concept="clcid-pte:ZhongYaoDeQiTaZhaiQuanTouZiMingXiDaoQiRi" label="重要的其他债权投资明细-到期日" addr="T0R2C4S1_1" formatStyle="Comma" appId="_GBC_e8808db892544b1ead740cddc4156455"/>
        <m:item xlName="_GBC_092b4eed5ff54c8b92137cac8eaf1511" concept="clcid-pte:ZhongYaoDeQiTaZhaiQuanTouZiMingXiMianZhi" label="重要的其他债权投资明细-面值" periodRef="本期期初数" mulRef="_GBC_68a1c785409f46f6b03dfd01a602ae5c" unitRef="_GBC_e6d7d4874f6e475f8f538fc298fb4c7f" addr="T0R2C5S1_1" formatStyle="Comma" appId="_GBC_e8808db892544b1ead740cddc4156455"/>
        <m:item xlName="_GBC_6d2ce7b02bc64352ac19341fc69a8356" concept="clcid-pte:ZhongYaoDeQiTaZhaiQuanTouZiMingXiPiaoMianLiLv" label="重要的其他债权投资明细-票面利率" periodRef="本期期初数" addr="T0R2C6S1_1" baseScale="0.01" formatStyle="Comma" appId="_GBC_e8808db892544b1ead740cddc4156455"/>
        <m:item xlName="_GBC_d540036d109d4245b115d4c069155240" concept="clcid-pte:ZhongYaoDeQiTaZhaiQuanTouZiMingXiShiJiLiLv" label="重要的其他债权投资明细-实际利率" periodRef="本期期初数" addr="T0R2C7S1_1" baseScale="0.01" formatStyle="Comma" appId="_GBC_e8808db892544b1ead740cddc4156455"/>
        <m:item xlName="_GBC_5906dea149e549ebb8d64fe5d5fce59d" concept="clcid-pte:ZhongYaoDeQiTaZhaiQuanTouZiMingXiDaoQiRi" label="重要的其他债权投资明细-到期日" periodRef="本期期初数" addr="T0R2C8S1_1" formatStyle="Comma" appId="_GBC_e8808db892544b1ead740cddc4156455"/>
      </m:tuple>
      <m:placeholder xlName="_PLD_5a3f83ae6270447194841451b8e8ba27" addr="T0R4C0S1_1"/>
      <m:item xlName="_GBC_7ae4b5e2be6a43c49c4ff6ae894ebf67" concept="clcid-pte:ZhongYaoDeQiTaZhaiQuanTouZiMianZhiHeJi" label="重要的其他债权投资面值合计" mulRef="_GBC_68a1c785409f46f6b03dfd01a602ae5c" unitRef="_GBC_e6d7d4874f6e475f8f538fc298fb4c7f" addr="T0R4C1S1_1" formatStyle="Comma" appId="_GBC_e8808db892544b1ead740cddc4156455">
        <m:complexRule comparator="Eq" title="重要的长期债权投资面值合计" test=" $_GBC_3de15256e0e046fda700871cdee0f619" id="Ccfb9e5b4fb7c450ababd98cd3036c9f4"/>
      </m:item>
      <m:item xlName="_GBC_d894b36a300e4d1d8f279c0f490192be" concept="clcid-pte:ZhongYaoDeQiTaZhaiQuanTouZiMianZhiHeJi" label="重要的其他债权投资面值合计" periodRef="本期期初数" mulRef="_GBC_68a1c785409f46f6b03dfd01a602ae5c" unitRef="_GBC_e6d7d4874f6e475f8f538fc298fb4c7f" addr="T0R4C5S1_1" formatStyle="Comma" appId="_GBC_e8808db892544b1ead740cddc4156455"/>
    </m:section>
    <m:section xlName="_SEC_a18c2d8250c64daf904816a57fe286bd" title="减值准备计提情况" helpId="112001058">
      <m:item xlName="_GBC_038e4a0a4815442e91a9309c128001c1" concept="clcid-ci-ar:ShiFouShiYongQiTaZhaiQuanTouZiJianZhiZhunBeiTiaoJieBiao" label="是否适用：其他债权投资减值准备调节表" selectOptions="_buildInAppliance" controlType="CustomCheckbox" cRanges="[{&quot;StartName&quot;:&quot;_GBC_038e4a0a4815442e91a9309c128001c1&quot;,&quot;EndName&quot;:&quot;_GBC_5af995b4fb8a414cbbcaf1426a9c6c42&quot;,&quot;CType&quot;:1}]"/>
      <m:item xlName="_GBC_754617dd27bd46f5a66234322846f33c" concept="clcid-ci-ar:DanWeiQiTaZhaiQuanTouZiJianZhiZhunBeiTiaoJieBiao" label="单位：其他债权投资减值准备调节表" selectOptions="_buildInScales" controlType="Combobox" cellType="Scale" appId="_GBC_038e4a0a4815442e91a9309c128001c1"/>
      <m:item xlName="_GBC_4bd55cf77604423c81dbad1c5a08ddd4" concept="clcid-ci-ar:BiZhongQiTaZhaiQuanTouZiJianZhiZhunBeiTiaoJieBiao" label="币种：其他债权投资减值准备调节表" selectOptions="_buildInISO4217" controlType="Combobox" cellType="Measure" appId="_GBC_038e4a0a4815442e91a9309c128001c1"/>
      <m:placeholder xlName="_PLD_fbb9a9ecb6464c7e9ca4e0455c5e22ed" addr="T0R0C0S2_1"/>
      <m:placeholder xlName="_PLD_844b63496bec4329807059164158a941" addr="T0R0C1S1_1"/>
      <m:placeholder xlName="_PLD_7e0abcaa0d0840cc832b2299f1c066a3" addr="T0R0C2S1_1"/>
      <m:placeholder xlName="_PLD_f77e6232c3dc4b1a8c9580ee48e5bbfe" addr="T0R0C3S1_1"/>
      <m:placeholder xlName="_PLD_ebfc81aeeece471bb6c6b3f24d8aa896" addr="T0R0C4S2_1"/>
      <m:placeholder xlName="_PLD_36d6cf9806954f0b99020e1d82b40170" addr="T0R1C1S1_1"/>
      <m:placeholder xlName="_PLD_5839062bce074063a7d0f8da7ba19c79" addr="T0R1C2S1_1"/>
      <m:placeholder xlName="_PLD_2e0aade57ef942e08d60885bd886b9f4" addr="T0R1C3S1_1"/>
      <m:placeholder xlName="_PLD_c3135582d49d4a24affd2d20d524abb5" addr="T0R2C0S1_1"/>
      <m:item xlName="_GBC_299979acce9042cabad62531983ef791" concept="clcid-pte:QiTaZhaiQuanTouZiJianZhiZhunBeiDiYiJieDuan" label="其他债权投资减值准备（第一阶段）" periodRef="本期期初数" mulRef="_GBC_754617dd27bd46f5a66234322846f33c" unitRef="_GBC_4bd55cf77604423c81dbad1c5a08ddd4" addr="T0R2C1S1_1" formatStyle="Comma" appId="_GBC_038e4a0a4815442e91a9309c128001c1"/>
      <m:item xlName="_GBC_a92afe19986741aeb050080bc51526d4" concept="clcid-pte:QiTaZhaiQuanTouZiJianZhiZhunBeiDiErJieDuan" label="其他债权投资减值准备（第二阶段）" periodRef="本期期初数" mulRef="_GBC_754617dd27bd46f5a66234322846f33c" unitRef="_GBC_4bd55cf77604423c81dbad1c5a08ddd4" addr="T0R2C2S1_1" formatStyle="Comma" appId="_GBC_038e4a0a4815442e91a9309c128001c1"/>
      <m:item xlName="_GBC_9ae59d8f7772413aa92019df01720983" concept="clcid-pte:QiTaZhaiQuanTouZiJianZhiZhunBeiDiSanJieDuan" label="其他债权投资减值准备（第三阶段）" periodRef="本期期初数" mulRef="_GBC_754617dd27bd46f5a66234322846f33c" unitRef="_GBC_4bd55cf77604423c81dbad1c5a08ddd4" addr="T0R2C3S1_1" formatStyle="Comma" appId="_GBC_038e4a0a4815442e91a9309c128001c1"/>
      <m:item xlName="_GBC_f07c3d83ef404bd8a213503b36e484b8" concept="clcid-pte:QiTaZhaiQuanTouZiJianZhiZhunBei" label="其他债权投资减值准备" periodRef="本期期初数" mulRef="_GBC_754617dd27bd46f5a66234322846f33c" unitRef="_GBC_4bd55cf77604423c81dbad1c5a08ddd4" addr="T0R2C4S1_1" formatStyle="Comma" appId="_GBC_038e4a0a4815442e91a9309c128001c1"/>
      <m:placeholder xlName="_PLD_fe736d1131af40bf80165000ef0c6c82" addr="T0R3C0S1_1"/>
      <m:item xlName="_GBC_2a39099d1ee14632ba10a834e220ce3a" concept="clcid-pte:QiTaZhaiQuanTouZiJianZhiZhunBeiBenQiZhuanRuHuoZhuanHuiDiYiJieDuan" label="其他债权投资减值准备本期转入或转回（第一阶段）" mulRef="_GBC_754617dd27bd46f5a66234322846f33c" unitRef="_GBC_4bd55cf77604423c81dbad1c5a08ddd4" addr="T0R3C1S1_1" formatStyle="Comma" appId="_GBC_038e4a0a4815442e91a9309c128001c1"/>
      <m:item xlName="_GBC_991463ed922d4ac0b7850527fb830e7a" concept="clcid-pte:QiTaZhaiQuanTouZiJianZhiZhunBeiBenQiZhuanRuHuoZhuanHuiDiErJieDuan" label="其他债权投资减值准备本期转入或转回（第二阶段）" mulRef="_GBC_754617dd27bd46f5a66234322846f33c" unitRef="_GBC_4bd55cf77604423c81dbad1c5a08ddd4" addr="T0R3C2S1_1" formatStyle="Comma" appId="_GBC_038e4a0a4815442e91a9309c128001c1"/>
      <m:item xlName="_GBC_df59a1152803463c9f58d040f33d4337" concept="clcid-pte:QiTaZhaiQuanTouZiJianZhiZhunBeiBenQiZhuanRuHuoZhuanHuiDiSanJieDuan" label="其他债权投资减值准备本期转入或转回（第三阶段）" mulRef="_GBC_754617dd27bd46f5a66234322846f33c" unitRef="_GBC_4bd55cf77604423c81dbad1c5a08ddd4" addr="T0R3C3S1_1" formatStyle="Comma" appId="_GBC_038e4a0a4815442e91a9309c128001c1"/>
      <m:item xlName="_GBC_5121e3684a4048d6b3c47bcd45bfb55f" concept="clcid-pte:QiTaZhaiQuanTouZiJianZhiZhunBeiBenQiZhuanRuHuoZhuanHuiJieDuanHeJi" label="其他债权投资减值准备本期转入或转回阶段合计" mulRef="_GBC_754617dd27bd46f5a66234322846f33c" unitRef="_GBC_4bd55cf77604423c81dbad1c5a08ddd4" addr="T0R3C4S1_1" formatStyle="Comma" appId="_GBC_038e4a0a4815442e91a9309c128001c1"/>
      <m:placeholder xlName="_PLD_6016b59c0a2d4f57ad91e4572ac1c746" addr="T0R4C0S1_1"/>
      <m:item xlName="_GBC_da6094a0e7e3402f96d0013a1592a431" concept="clcid-pte:QiTaZhaiQuanTouZiJianZhiZhunBeiBenQiZhuanRuDiErJieDuanDiYiJieDuan" label="其他债权投资减值准备本期转入第二阶段（第一阶段）" mulRef="_GBC_754617dd27bd46f5a66234322846f33c" unitRef="_GBC_4bd55cf77604423c81dbad1c5a08ddd4" addr="T0R4C1S1_1" formatStyle="Comma" appId="_GBC_038e4a0a4815442e91a9309c128001c1"/>
      <m:item xlName="_GBC_73ac9d0b89ea4ce3b41d1ebe05ab03a7" concept="clcid-pte:QiTaZhaiQuanTouZiJianZhiZhunBeiBenQiZhuanRuDiErJieDuanDiErJieDuan" label="其他债权投资减值准备本期转入第二阶段（第二阶段）" mulRef="_GBC_754617dd27bd46f5a66234322846f33c" unitRef="_GBC_4bd55cf77604423c81dbad1c5a08ddd4" addr="T0R4C2S1_1" formatStyle="Comma" appId="_GBC_038e4a0a4815442e91a9309c128001c1"/>
      <m:item xlName="_GBC_8839b40e83f54bef9c350db998639c1e" concept="clcid-pte:QiTaZhaiQuanTouZiJianZhiZhunBeiBenQiZhuanRuDiErJieDuanDiSanJieDuan" label="其他债权投资减值准备本期转入第二阶段（第三阶段）" mulRef="_GBC_754617dd27bd46f5a66234322846f33c" unitRef="_GBC_4bd55cf77604423c81dbad1c5a08ddd4" addr="T0R4C3S1_1" formatStyle="Comma" appId="_GBC_038e4a0a4815442e91a9309c128001c1"/>
      <m:item xlName="_GBC_153f410df22b40bca3290af7f2bd7372" concept="clcid-pte:QiTaZhaiQuanTouZiJianZhiZhunBeiBenQiZhuanRuDiErJieDuanJieDuanHeJi" label="其他债权投资减值准备本期转入第二阶段阶段合计" mulRef="_GBC_754617dd27bd46f5a66234322846f33c" unitRef="_GBC_4bd55cf77604423c81dbad1c5a08ddd4" addr="T0R4C4S1_1" formatStyle="Comma" appId="_GBC_038e4a0a4815442e91a9309c128001c1"/>
      <m:placeholder xlName="_PLD_7868c13f4a13476195e351bddc52228a" addr="T0R5C0S1_1"/>
      <m:item xlName="_GBC_44803882b8764749885b090f220e9c86" concept="clcid-pte:QiTaZhaiQuanTouZiJianZhiZhunBeiBenQiZhuanRuDiSanJieDuanDiYiJieDuan" label="其他债权投资减值准备本期转入第三阶段（第一阶段）" mulRef="_GBC_754617dd27bd46f5a66234322846f33c" unitRef="_GBC_4bd55cf77604423c81dbad1c5a08ddd4" addr="T0R5C1S1_1" formatStyle="Comma" appId="_GBC_038e4a0a4815442e91a9309c128001c1"/>
      <m:item xlName="_GBC_9849af2ebac24ce4872ab88e1d624f35" concept="clcid-pte:QiTaZhaiQuanTouZiJianZhiZhunBeiBenQiZhuanRuDiSanJieDuanDiErJieDuan" label="其他债权投资减值准备本期转入第三阶段（第二阶段）" mulRef="_GBC_754617dd27bd46f5a66234322846f33c" unitRef="_GBC_4bd55cf77604423c81dbad1c5a08ddd4" addr="T0R5C2S1_1" formatStyle="Comma" appId="_GBC_038e4a0a4815442e91a9309c128001c1"/>
      <m:item xlName="_GBC_52c9826eaf2a4653a8a49c948797454e" concept="clcid-pte:QiTaZhaiQuanTouZiJianZhiZhunBeiBenQiZhuanRuDiSanJieDuanDiSanJieDuan" label="其他债权投资减值准备本期转入第三阶段（第三阶段）" mulRef="_GBC_754617dd27bd46f5a66234322846f33c" unitRef="_GBC_4bd55cf77604423c81dbad1c5a08ddd4" addr="T0R5C3S1_1" formatStyle="Comma" appId="_GBC_038e4a0a4815442e91a9309c128001c1"/>
      <m:item xlName="_GBC_391871981a2443cdb7420700bbd38d25" concept="clcid-pte:QiTaZhaiQuanTouZiJianZhiZhunBeiBenQiZhuanRuDiSanJieDuanJieDuanHeJi" label="其他债权投资减值准备本期转入第三阶段阶段合计" mulRef="_GBC_754617dd27bd46f5a66234322846f33c" unitRef="_GBC_4bd55cf77604423c81dbad1c5a08ddd4" addr="T0R5C4S1_1" formatStyle="Comma" appId="_GBC_038e4a0a4815442e91a9309c128001c1"/>
      <m:placeholder xlName="_PLD_857e6f3286bb4aeb9461a18183c1827d" addr="T0R6C0S1_1"/>
      <m:item xlName="_GBC_a525547a96bb4f44a7ddb837af903aca" concept="clcid-pte:QiTaZhaiQuanTouZiJianZhiZhunBeiBenQiZhuanHuiDiErJieDuanDiYiJieDuan" label="其他债权投资减值准备本期转回第二阶段（第一阶段）" mulRef="_GBC_754617dd27bd46f5a66234322846f33c" unitRef="_GBC_4bd55cf77604423c81dbad1c5a08ddd4" addr="T0R6C1S1_1" formatStyle="Comma" appId="_GBC_038e4a0a4815442e91a9309c128001c1"/>
      <m:item xlName="_GBC_7fadeef5285e4411ab326bafbda041e9" concept="clcid-pte:QiTaZhaiQuanTouZiJianZhiZhunBeiBenQiZhuanHuiDiErJieDuanDiErJieDuan" label="其他债权投资减值准备本期转回第二阶段（第二阶段）" mulRef="_GBC_754617dd27bd46f5a66234322846f33c" unitRef="_GBC_4bd55cf77604423c81dbad1c5a08ddd4" addr="T0R6C2S1_1" formatStyle="Comma" appId="_GBC_038e4a0a4815442e91a9309c128001c1"/>
      <m:item xlName="_GBC_04c0f52184ba4329a31e3a1f65e6d4e2" concept="clcid-pte:QiTaZhaiQuanTouZiJianZhiZhunBeiBenQiZhuanHuiDiErJieDuanDiSanJieDuan" label="其他债权投资减值准备本期转回第二阶段（第三阶段）" mulRef="_GBC_754617dd27bd46f5a66234322846f33c" unitRef="_GBC_4bd55cf77604423c81dbad1c5a08ddd4" addr="T0R6C3S1_1" formatStyle="Comma" appId="_GBC_038e4a0a4815442e91a9309c128001c1"/>
      <m:item xlName="_GBC_3347f8f9104748bf92b6c1289e74d661" concept="clcid-pte:QiTaZhaiQuanTouZiJianZhiZhunBeiBenQiZhuanHuiDiErJieDuanJieDuanHeJi" label="其他债权投资减值准备本期转回第二阶段阶段合计" mulRef="_GBC_754617dd27bd46f5a66234322846f33c" unitRef="_GBC_4bd55cf77604423c81dbad1c5a08ddd4" addr="T0R6C4S1_1" formatStyle="Comma" appId="_GBC_038e4a0a4815442e91a9309c128001c1"/>
      <m:placeholder xlName="_PLD_057bde99b2cc4751a72a1224a95aaef6" addr="T0R7C0S1_1"/>
      <m:item xlName="_GBC_e4f6f0bedc0642938b801602aaa84bcb" concept="clcid-pte:QiTaZhaiQuanTouZiJianZhiZhunBeiBenQiZhuanHuiDiYiJieDuanDiYiJieDuan" label="其他债权投资减值准备本期转回第一阶段（第一阶段）" mulRef="_GBC_754617dd27bd46f5a66234322846f33c" unitRef="_GBC_4bd55cf77604423c81dbad1c5a08ddd4" addr="T0R7C1S1_1" formatStyle="Comma" appId="_GBC_038e4a0a4815442e91a9309c128001c1"/>
      <m:item xlName="_GBC_0970a7e04c804918bce8626715030b22" concept="clcid-pte:QiTaZhaiQuanTouZiJianZhiZhunBeiBenQiZhuanHuiDiYiJieDuanDiErJieDuan" label="其他债权投资减值准备本期转回第一阶段（第二阶段）" mulRef="_GBC_754617dd27bd46f5a66234322846f33c" unitRef="_GBC_4bd55cf77604423c81dbad1c5a08ddd4" addr="T0R7C2S1_1" formatStyle="Comma" appId="_GBC_038e4a0a4815442e91a9309c128001c1"/>
      <m:item xlName="_GBC_e64b25c10f5a432c85bd561a880706c4" concept="clcid-pte:QiTaZhaiQuanTouZiJianZhiZhunBeiBenQiZhuanHuiDiYiJieDuanDiSanJieDuan" label="其他债权投资减值准备本期转回第一阶段（第三阶段）" mulRef="_GBC_754617dd27bd46f5a66234322846f33c" unitRef="_GBC_4bd55cf77604423c81dbad1c5a08ddd4" addr="T0R7C3S1_1" formatStyle="Comma" appId="_GBC_038e4a0a4815442e91a9309c128001c1"/>
      <m:item xlName="_GBC_0ff05c92f307441eb02d9d8d992f0740" concept="clcid-pte:QiTaZhaiQuanTouZiJianZhiZhunBeiBenQiZhuanHuiDiYiJieDuanJieDuanHeJi" label="其他债权投资减值准备本期转回第一阶段阶段合计" mulRef="_GBC_754617dd27bd46f5a66234322846f33c" unitRef="_GBC_4bd55cf77604423c81dbad1c5a08ddd4" addr="T0R7C4S1_1" formatStyle="Comma" appId="_GBC_038e4a0a4815442e91a9309c128001c1"/>
      <m:placeholder xlName="_PLD_a2c092d4f61944cabee532444ae90d0e" addr="T0R8C0S1_1"/>
      <m:item xlName="_GBC_070d2b99ce464f969c54a3eaee8d8af0" concept="clcid-pte:QiTaZhaiQuanTouZiJianZhiZhunBeiBenQiXinZengJiTiDiYiJieDuan" label="其他债权投资减值准备本期新增计提（第一阶段）" mulRef="_GBC_754617dd27bd46f5a66234322846f33c" unitRef="_GBC_4bd55cf77604423c81dbad1c5a08ddd4" addr="T0R8C1S1_1" formatStyle="Comma" appId="_GBC_038e4a0a4815442e91a9309c128001c1"/>
      <m:item xlName="_GBC_7e4be976d5b64c4199adc0b70500b937" concept="clcid-pte:QiTaZhaiQuanTouZiJianZhiZhunBeiBenQiXinZengJiTiDiErJieDuan" label="其他债权投资减值准备本期新增计提（第二阶段）" mulRef="_GBC_754617dd27bd46f5a66234322846f33c" unitRef="_GBC_4bd55cf77604423c81dbad1c5a08ddd4" addr="T0R8C2S1_1" formatStyle="Comma" appId="_GBC_038e4a0a4815442e91a9309c128001c1"/>
      <m:item xlName="_GBC_995b78f3f02e4ff1a6fea09fb43be080" concept="clcid-pte:QiTaZhaiQuanTouZiJianZhiZhunBeiBenQiXinZengJiTiDiSanJieDuan" label="其他债权投资减值准备本期新增计提（第三阶段）" mulRef="_GBC_754617dd27bd46f5a66234322846f33c" unitRef="_GBC_4bd55cf77604423c81dbad1c5a08ddd4" addr="T0R8C3S1_1" formatStyle="Comma" appId="_GBC_038e4a0a4815442e91a9309c128001c1"/>
      <m:item xlName="_GBC_081b8af09045409d842ae60ef80cba74" concept="clcid-pte:QiTaZhaiQuanTouZiJianZhiZhunBeiBenQiXinZengJiTiJieDuanHeJi" label="其他债权投资减值准备本期新增计提阶段合计" mulRef="_GBC_754617dd27bd46f5a66234322846f33c" unitRef="_GBC_4bd55cf77604423c81dbad1c5a08ddd4" addr="T0R8C4S1_1" formatStyle="Comma" appId="_GBC_038e4a0a4815442e91a9309c128001c1"/>
      <m:placeholder xlName="_PLD_ed7388b358444eacad7cb100d12241da" addr="T0R9C0S1_1"/>
      <m:item xlName="_GBC_0f369ba434c949b3b595de70b178e047" concept="clcid-pte:QiTaZhaiQuanTouZiJianZhiZhunBeiBenQiZhuanHuiDiYiJieDuan" label="其他债权投资减值准备本期转回（第一阶段）" mulRef="_GBC_754617dd27bd46f5a66234322846f33c" unitRef="_GBC_4bd55cf77604423c81dbad1c5a08ddd4" addr="T0R9C1S1_1" formatStyle="Comma" appId="_GBC_038e4a0a4815442e91a9309c128001c1"/>
      <m:item xlName="_GBC_da4fc45304f9404f925ed95a36b7afb9" concept="clcid-pte:QiTaZhaiQuanTouZiJianZhiZhunBeiBenQiZhuanHuiDiErJieDuan" label="其他债权投资减值准备本期转回（第二阶段）" mulRef="_GBC_754617dd27bd46f5a66234322846f33c" unitRef="_GBC_4bd55cf77604423c81dbad1c5a08ddd4" addr="T0R9C2S1_1" formatStyle="Comma" appId="_GBC_038e4a0a4815442e91a9309c128001c1"/>
      <m:item xlName="_GBC_64255e30bc7c40699cf835d055833b23" concept="clcid-pte:QiTaZhaiQuanTouZiJianZhiZhunBeiBenQiZhuanHuiDiSanJieDuan" label="其他债权投资减值准备本期转回（第三阶段）" mulRef="_GBC_754617dd27bd46f5a66234322846f33c" unitRef="_GBC_4bd55cf77604423c81dbad1c5a08ddd4" addr="T0R9C3S1_1" formatStyle="Comma" appId="_GBC_038e4a0a4815442e91a9309c128001c1"/>
      <m:item xlName="_GBC_e59baa4f86b542b8a160e181bb746c16" concept="clcid-pte:QiTaZhaiQuanTouZiJianZhiZhunBeiBenQiZhuanHuiJieDuanHeJi" label="其他债权投资减值准备本期转回阶段合计" mulRef="_GBC_754617dd27bd46f5a66234322846f33c" unitRef="_GBC_4bd55cf77604423c81dbad1c5a08ddd4" addr="T0R9C4S1_1" formatStyle="Comma" appId="_GBC_038e4a0a4815442e91a9309c128001c1"/>
      <m:placeholder xlName="_PLD_6b6b85110c7e471b88aac9b583a642ee" addr="T0R10C0S1_1"/>
      <m:item xlName="_GBC_eba1e681eca641a7890812bf2c886c94" concept="clcid-pte:QiTaZhaiQuanTouZiJianZhiZhunBeiBenQiZhuanXiaoDiYiJieDuan" label="其他债权投资减值准备本期转销（第一阶段）" mulRef="_GBC_754617dd27bd46f5a66234322846f33c" unitRef="_GBC_4bd55cf77604423c81dbad1c5a08ddd4" addr="T0R10C1S1_1" formatStyle="Comma" appId="_GBC_038e4a0a4815442e91a9309c128001c1"/>
      <m:item xlName="_GBC_96dac069ecb94bb2b74ef908ceaeed90" concept="clcid-pte:QiTaZhaiQuanTouZiJianZhiZhunBeiBenQiZhuanXiaoDiErJieDuan" label="其他债权投资减值准备本期转销（第二阶段）" mulRef="_GBC_754617dd27bd46f5a66234322846f33c" unitRef="_GBC_4bd55cf77604423c81dbad1c5a08ddd4" addr="T0R10C2S1_1" formatStyle="Comma" appId="_GBC_038e4a0a4815442e91a9309c128001c1"/>
      <m:item xlName="_GBC_1249447d0d8e4d77ac38378b38f68be7" concept="clcid-pte:QiTaZhaiQuanTouZiJianZhiZhunBeiBenQiZhuanXiaoDiSanJieDuan" label="其他债权投资减值准备本期转销（第三阶段）" mulRef="_GBC_754617dd27bd46f5a66234322846f33c" unitRef="_GBC_4bd55cf77604423c81dbad1c5a08ddd4" addr="T0R10C3S1_1" formatStyle="Comma" appId="_GBC_038e4a0a4815442e91a9309c128001c1"/>
      <m:item xlName="_GBC_e163d665657b47878e7342ad7b24c025" concept="clcid-pte:QiTaZhaiQuanTouZiJianZhiZhunBeiBenQiZhuanXiaoJieDuanHeJi" label="其他债权投资减值准备本期转销阶段合计" mulRef="_GBC_754617dd27bd46f5a66234322846f33c" unitRef="_GBC_4bd55cf77604423c81dbad1c5a08ddd4" addr="T0R10C4S1_1" formatStyle="Comma" appId="_GBC_038e4a0a4815442e91a9309c128001c1"/>
      <m:placeholder xlName="_PLD_fc63486e153a4252b9e815f4f1a0d5b5" addr="T0R11C0S1_1"/>
      <m:item xlName="_GBC_96c40f82d9fd4dd4987c19bf17bd20f8" concept="clcid-pte:QiTaZhaiQuanTouZiJianZhiZhunBeiBenQiHeXiaoDiYiJieDuan" label="其他债权投资减值准备本期核销（第一阶段）" mulRef="_GBC_754617dd27bd46f5a66234322846f33c" unitRef="_GBC_4bd55cf77604423c81dbad1c5a08ddd4" addr="T0R11C1S1_1" formatStyle="Comma" appId="_GBC_038e4a0a4815442e91a9309c128001c1"/>
      <m:item xlName="_GBC_b9cd527e06504f3fa9f9482c85497a5a" concept="clcid-pte:QiTaZhaiQuanTouZiJianZhiZhunBeiBenQiHeXiaoDiErJieDuan" label="其他债权投资减值准备本期核销（第二阶段）" mulRef="_GBC_754617dd27bd46f5a66234322846f33c" unitRef="_GBC_4bd55cf77604423c81dbad1c5a08ddd4" addr="T0R11C2S1_1" formatStyle="Comma" appId="_GBC_038e4a0a4815442e91a9309c128001c1"/>
      <m:item xlName="_GBC_a3ea6220811840f484459298dcd73312" concept="clcid-pte:QiTaZhaiQuanTouZiJianZhiZhunBeiBenQiHeXiaoDiSanJieDuan" label="其他债权投资减值准备本期核销（第三阶段）" mulRef="_GBC_754617dd27bd46f5a66234322846f33c" unitRef="_GBC_4bd55cf77604423c81dbad1c5a08ddd4" addr="T0R11C3S1_1" formatStyle="Comma" appId="_GBC_038e4a0a4815442e91a9309c128001c1"/>
      <m:item xlName="_GBC_050462f900524793b8a27b56f47b6875" concept="clcid-pte:QiTaZhaiQuanTouZiJianZhiZhunBeiBenQiHeXiaoJieDuanHeJi" label="其他债权投资减值准备本期核销阶段合计" mulRef="_GBC_754617dd27bd46f5a66234322846f33c" unitRef="_GBC_4bd55cf77604423c81dbad1c5a08ddd4" addr="T0R11C4S1_1" formatStyle="Comma" appId="_GBC_038e4a0a4815442e91a9309c128001c1"/>
      <m:placeholder xlName="_PLD_4d56e424d12449d9827c1915cf190c03" addr="T0R12C0S1_1"/>
      <m:item xlName="_GBC_714faf0075b64a9aa978f5da6348c43d" concept="clcid-pte:QiTaZhaiQuanTouZiJianZhiZhunBeiBenQiQiTaBianDongDiYiJieDuan" label="其他债权投资减值准备本期其他变动（第一阶段）" mulRef="_GBC_754617dd27bd46f5a66234322846f33c" unitRef="_GBC_4bd55cf77604423c81dbad1c5a08ddd4" addr="T0R12C1S1_1" formatStyle="Comma" appId="_GBC_038e4a0a4815442e91a9309c128001c1"/>
      <m:item xlName="_GBC_5b6d03dbc7b248c2b08ab413a0ddcc3d" concept="clcid-pte:QiTaZhaiQuanTouZiJianZhiZhunBeiBenQiQiTaBianDongDiErJieDuan" label="其他债权投资减值准备本期其他变动（第二阶段）" mulRef="_GBC_754617dd27bd46f5a66234322846f33c" unitRef="_GBC_4bd55cf77604423c81dbad1c5a08ddd4" addr="T0R12C2S1_1" formatStyle="Comma" appId="_GBC_038e4a0a4815442e91a9309c128001c1"/>
      <m:item xlName="_GBC_12ce1d63e075484db3e5096086a8335f" concept="clcid-pte:QiTaZhaiQuanTouZiJianZhiZhunBeiBenQiQiTaBianDongDiSanJieDuan" label="其他债权投资减值准备本期其他变动（第三阶段）" mulRef="_GBC_754617dd27bd46f5a66234322846f33c" unitRef="_GBC_4bd55cf77604423c81dbad1c5a08ddd4" addr="T0R12C3S1_1" formatStyle="Comma" appId="_GBC_038e4a0a4815442e91a9309c128001c1"/>
      <m:item xlName="_GBC_a3e6f6251e5c4f6287ee20428e0b03f2" concept="clcid-pte:QiTaZhaiQuanTouZiJianZhiZhunBeiBenQiQiTaBianDongJieDuanHeJi" label="其他债权投资减值准备本期其他变动阶段合计" mulRef="_GBC_754617dd27bd46f5a66234322846f33c" unitRef="_GBC_4bd55cf77604423c81dbad1c5a08ddd4" addr="T0R12C4S1_1" formatStyle="Comma" appId="_GBC_038e4a0a4815442e91a9309c128001c1"/>
      <m:placeholder xlName="_PLD_d9825b9b5bb54d35b883481c3ea94675" addr="T0R13C0S1_1"/>
      <m:item xlName="_GBC_e6da3926ce094a69b6e1b51633f58391" concept="clcid-pte:QiTaZhaiQuanTouZiJianZhiZhunBeiDiYiJieDuan" label="其他债权投资减值准备（第一阶段）" mulRef="_GBC_754617dd27bd46f5a66234322846f33c" unitRef="_GBC_4bd55cf77604423c81dbad1c5a08ddd4" addr="T0R13C1S1_1" formatStyle="Comma" appId="_GBC_038e4a0a4815442e91a9309c128001c1"/>
      <m:item xlName="_GBC_dea0d3228ac44c7c92d206f3954b1e03" concept="clcid-pte:QiTaZhaiQuanTouZiJianZhiZhunBeiDiErJieDuan" label="其他债权投资减值准备（第二阶段）" mulRef="_GBC_754617dd27bd46f5a66234322846f33c" unitRef="_GBC_4bd55cf77604423c81dbad1c5a08ddd4" addr="T0R13C2S1_1" formatStyle="Comma" appId="_GBC_038e4a0a4815442e91a9309c128001c1"/>
      <m:item xlName="_GBC_b91b15a313184026b6c6354a1cb01b11" concept="clcid-pte:QiTaZhaiQuanTouZiJianZhiZhunBeiDiSanJieDuan" label="其他债权投资减值准备（第三阶段）" mulRef="_GBC_754617dd27bd46f5a66234322846f33c" unitRef="_GBC_4bd55cf77604423c81dbad1c5a08ddd4" addr="T0R13C3S1_1" formatStyle="Comma" appId="_GBC_038e4a0a4815442e91a9309c128001c1"/>
      <m:item xlName="_GBC_db1a53e921054aa9a91e892ca09b4c2e" concept="clcid-pte:QiTaZhaiQuanTouZiJianZhiZhunBei" label="其他债权投资减值准备" mulRef="_GBC_754617dd27bd46f5a66234322846f33c" unitRef="_GBC_4bd55cf77604423c81dbad1c5a08ddd4" addr="T0R13C4S1_1" formatStyle="Comma" appId="_GBC_038e4a0a4815442e91a9309c128001c1"/>
      <m:item xlName="_GBC_a5244e9c4dd54b3bb96887bf9918c394"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a5244e9c4dd54b3bb96887bf9918c394&quot;,&quot;EndName&quot;:&quot;_GBC_f2012893e3464f77816f3c0098b8487c&quot;,&quot;CType&quot;:1}]"/>
      <m:item xlName="_GBC_f2012893e3464f77816f3c0098b8487c" concept="clcid-pte:QiTaZhaiQuanTouZiBenQiFaShengSunShiZhunBeiBianDongQieZhangMianYuEXianZhuBianDongDeQingKuangShuoMing" label="其他债权投资本期发生损失准备变动且账面余额显著变动的情况说明" appId="_GBC_a5244e9c4dd54b3bb96887bf9918c394"/>
      <m:item xlName="_GBC_2483672e5ae74107960eb6f08eb3d449"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2483672e5ae74107960eb6f08eb3d449&quot;,&quot;EndName&quot;:&quot;_GBC_5af995b4fb8a414cbbcaf1426a9c6c42&quot;,&quot;CType&quot;:1}]"/>
      <m:item xlName="_GBC_5af995b4fb8a414cbbcaf1426a9c6c42" concept="clcid-pte:QiTaZhaiQuanTouZiBenQiHuaiZhangZhunBeiJiTiJinEYiJiPingGuJinRongGongJuDeXinYongFengXianXianZhuZengJiaDeCaiYongYiJu" label="其他债权投资本期坏账准备计提金额以及评估金融工具的信用风险显著增加的采用依据" appId="_GBC_2483672e5ae74107960eb6f08eb3d449"/>
    </m:section>
    <m:section xlName="_SEC_a6d7d62dd24747a08e0a132cf37e100c" title="其他说明：" helpId="112001058">
      <m:item xlName="_GBC_e37f3e78626b4cd0ad52d68ae2fcdecb" concept="clcid-ci-ar:ShiFouShiYongQiTaZhaiQuanTouZiQiTaShuoMing" label="是否适用：其他债权投资其他说明" selectOptions="_buildInAppliance" controlType="CustomCheckbox" cRanges="[{&quot;StartName&quot;:&quot;_GBC_e37f3e78626b4cd0ad52d68ae2fcdecb&quot;,&quot;EndName&quot;:&quot;_GBC_9f3f9ed46f334bd9a5c07b7026a0e125&quot;,&quot;CType&quot;:1}]"/>
      <m:item xlName="_GBC_9f3f9ed46f334bd9a5c07b7026a0e125" concept="clcid-pte:QiTaZhaiQuanTouZiQiTaShuoMing" label="其他债权投资其他说明" appId="_GBC_e37f3e78626b4cd0ad52d68ae2fcdecb"/>
    </m:section>
    <m:section xlName="_GBC_2642a454002a499399e1b643b91ef1ad" title="长期应收款" rules="R2015_R11_009" helpId="112001061">
      <m:item xlName="_GBC_03ba5a75d6d541f4a60fba2b18c9d548" concept="clcid-ci-ar:ShiFouShiYongChangQiYingShouKuanQingKuang" label="是否适用：长期应收款情况" selectOptions="_buildInAppliance" controlType="CustomCheckbox" cRanges="{&quot;StartName&quot;:&quot;_GBC_03ba5a75d6d541f4a60fba2b18c9d548&quot;,&quot;EndName&quot;:&quot;_GBC_145c9fdd27614d079d6c909857d05e2e&quot;,&quot;CType&quot;:1,&quot;DisplayText&quot;:null}"/>
      <m:item xlName="_GBC_95baf3ea634a4a60970b09906c240d55" concept="clcid-ci-ar:DanWeiCaiWuFuZhuChangQiYingShouKuan" label="单位：财务附注：长期应收款" selectOptions="_buildInScales" controlType="Combobox" cellType="Scale" appId="_GBC_03ba5a75d6d541f4a60fba2b18c9d548"/>
      <m:item xlName="_GBC_fe21d7e81e5548d09e30637bd81155e1" concept="clcid-ci-ar:BiZhongCaiWuFuZhuChangQiYingShouKuan" label="币种：财务附注：长期应收款" selectOptions="_buildInISO4217" controlType="Combobox" cellType="Measure" appId="_GBC_03ba5a75d6d541f4a60fba2b18c9d548"/>
      <m:placeholder xlName="_PLD_8e80648375054a09a15bfc6f9a7fb093" addr="T0R0C0S2_1"/>
      <m:placeholder xlName="_PLD_e9a93d1c2d6847be992e152b686ed22d" addr="T0R0C1S1_3"/>
      <m:placeholder xlName="_PLD_f41f953b597d46848a98bb222c5ebb8e" addr="T0R0C4S1_3"/>
      <m:placeholder xlName="_PLD_e23d00708e6c434eac89cf07e5b896e2" addr="T0R0C7S2_1"/>
      <m:placeholder xlName="_PLD_93de35b749ff4ac9a6b3c5ec236ed585" addr="T0R1C1S1_1"/>
      <m:placeholder xlName="_PLD_eccd0387c0f24fa5a972b6cd6e1d4d30" addr="T0R1C2S1_1"/>
      <m:placeholder xlName="_PLD_9016cddeb6f34d55a584d277237a8ac1" addr="T0R1C3S1_1"/>
      <m:placeholder xlName="_PLD_db7d979714524efcab7433361aaac461" addr="T0R1C4S1_1"/>
      <m:placeholder xlName="_PLD_395cf962072c462fb83f42db9e225402" addr="T0R1C5S1_1"/>
      <m:placeholder xlName="_PLD_505b96d943e341af8e22763be8ab91c7" addr="T0R1C6S1_1"/>
      <m:placeholder xlName="_PLD_44b22517c61942ddbf5f351c0b6e745f" addr="T0R2C0S1_1"/>
      <m:item xlName="_GBC_5399cd42908b4a468dd6fadb144c65d6" concept="clcid-pte:ChangQiYingShouKuanZhongRongZiZuLinJinE" label="长期应收款中融资租赁金额" mulRef="_GBC_95baf3ea634a4a60970b09906c240d55" unitRef="_GBC_fe21d7e81e5548d09e30637bd81155e1" addr="T0R2C1S1_1" formatStyle="Comma" appId="_GBC_03ba5a75d6d541f4a60fba2b18c9d548"/>
      <m:item xlName="_GBC_8760a220b0ef44cfabf4bee5a89991aa" concept="clcid-pte:ChangQiYingShouKuanZhongRongZiZuLinHuaiZhangZhunBei" label="长期应收款中融资租赁坏账准备" mulRef="_GBC_95baf3ea634a4a60970b09906c240d55" unitRef="_GBC_fe21d7e81e5548d09e30637bd81155e1" addr="T0R2C2S1_1" formatStyle="Comma" appId="_GBC_03ba5a75d6d541f4a60fba2b18c9d548"/>
      <m:item xlName="_GBC_b40439808652435bbabec59ea2eb39b0" concept="clcid-pte:ChangQiYingShouKuanZhongRongZiZuLinZhangMianJiaZhi" label="长期应收款中融资租赁账面价值" mulRef="_GBC_95baf3ea634a4a60970b09906c240d55" unitRef="_GBC_fe21d7e81e5548d09e30637bd81155e1" addr="T0R2C3S1_1" formatStyle="Comma" appId="_GBC_03ba5a75d6d541f4a60fba2b18c9d548"/>
      <m:item xlName="_GBC_406a73b4a413408ab1d99f9591844593" concept="clcid-pte:ChangQiYingShouKuanZhongRongZiZuLinJinE" label="长期应收款中融资租赁金额" periodRef="本期期初数" mulRef="_GBC_95baf3ea634a4a60970b09906c240d55" unitRef="_GBC_fe21d7e81e5548d09e30637bd81155e1" addr="T0R2C4S1_1" formatStyle="Comma" appId="_GBC_03ba5a75d6d541f4a60fba2b18c9d548"/>
      <m:item xlName="_GBC_cf446e3d18b44cad92ea3af073e1afe4" concept="clcid-pte:ChangQiYingShouKuanZhongRongZiZuLinHuaiZhangZhunBei" label="长期应收款中融资租赁坏账准备" periodRef="本期期初数" mulRef="_GBC_95baf3ea634a4a60970b09906c240d55" unitRef="_GBC_fe21d7e81e5548d09e30637bd81155e1" addr="T0R2C5S1_1" formatStyle="Comma" appId="_GBC_03ba5a75d6d541f4a60fba2b18c9d548"/>
      <m:item xlName="_GBC_008ca7c650b14305ac6b0a618988572a" concept="clcid-pte:ChangQiYingShouKuanZhongRongZiZuLinZhangMianJiaZhi" label="长期应收款中融资租赁账面价值" periodRef="本期期初数" mulRef="_GBC_95baf3ea634a4a60970b09906c240d55" unitRef="_GBC_fe21d7e81e5548d09e30637bd81155e1" addr="T0R2C6S1_1" formatStyle="Comma" appId="_GBC_03ba5a75d6d541f4a60fba2b18c9d548"/>
      <m:item xlName="_GBC_e42a718917074d3c9e3a9e44aa9164c4" concept="clcid-pte:RongZiZuLinKuanZheXianLvQuJian" label="融资租赁款折现率区间" addr="T0R2C7S1_1" appId="_GBC_03ba5a75d6d541f4a60fba2b18c9d548"/>
      <m:placeholder xlName="_PLD_82bbe5076aee43e28a8773131c01e1c5" addr="T0R3C0S1_1"/>
      <m:item xlName="_GBC_45f524856203460e996ece332531417f" concept="clcid-pte:ChangQiYingShouKuanZhongWeiShiXianRongZiShouYiJinE" label="长期应收款中未实现融资收益金额" mulRef="_GBC_95baf3ea634a4a60970b09906c240d55" unitRef="_GBC_fe21d7e81e5548d09e30637bd81155e1" addr="T0R3C1S1_1" formatStyle="Comma" appId="_GBC_03ba5a75d6d541f4a60fba2b18c9d548"/>
      <m:item xlName="_GBC_ea4176f8a3ed4323bafffbbad410a3ac" concept="clcid-pte:ChangQiYingShouKuanZhongWeiShiXianRongZiShouYiHuaiZhangZhunBei" label="长期应收款中未实现融资收益坏账准备" mulRef="_GBC_95baf3ea634a4a60970b09906c240d55" unitRef="_GBC_fe21d7e81e5548d09e30637bd81155e1" addr="T0R3C2S1_1" formatStyle="Comma" appId="_GBC_03ba5a75d6d541f4a60fba2b18c9d548"/>
      <m:item xlName="_GBC_1c4e8a0a7a7547c191de60e81955aa50" concept="clcid-pte:ChangQiYingShouKuanZhongWeiShiXianRongZiShouYiZhangMianJiaZhi" label="长期应收款中未实现融资收益账面价值" mulRef="_GBC_95baf3ea634a4a60970b09906c240d55" unitRef="_GBC_fe21d7e81e5548d09e30637bd81155e1" addr="T0R3C3S1_1" formatStyle="Comma" appId="_GBC_03ba5a75d6d541f4a60fba2b18c9d548"/>
      <m:item xlName="_GBC_986bb88ec4c34f4e92a4b9f47593ee6b" concept="clcid-pte:ChangQiYingShouKuanZhongWeiShiXianRongZiShouYiJinE" label="长期应收款中未实现融资收益金额" periodRef="本期期初数" mulRef="_GBC_95baf3ea634a4a60970b09906c240d55" unitRef="_GBC_fe21d7e81e5548d09e30637bd81155e1" addr="T0R3C4S1_1" formatStyle="Comma" appId="_GBC_03ba5a75d6d541f4a60fba2b18c9d548"/>
      <m:item xlName="_GBC_6c11e6f70f3b453b8ca9374cc1f58831" concept="clcid-pte:ChangQiYingShouKuanZhongWeiShiXianRongZiShouYiHuaiZhangZhunBei" label="长期应收款中未实现融资收益坏账准备" periodRef="本期期初数" mulRef="_GBC_95baf3ea634a4a60970b09906c240d55" unitRef="_GBC_fe21d7e81e5548d09e30637bd81155e1" addr="T0R3C5S1_1" formatStyle="Comma" appId="_GBC_03ba5a75d6d541f4a60fba2b18c9d548"/>
      <m:item xlName="_GBC_4655253df111437eb9aeee47f39d934b" concept="clcid-pte:ChangQiYingShouKuanZhongWeiShiXianRongZiShouYiZhangMianJiaZhi" label="长期应收款中未实现融资收益账面价值" periodRef="本期期初数" mulRef="_GBC_95baf3ea634a4a60970b09906c240d55" unitRef="_GBC_fe21d7e81e5548d09e30637bd81155e1" addr="T0R3C6S1_1" formatStyle="Comma" appId="_GBC_03ba5a75d6d541f4a60fba2b18c9d548"/>
      <m:item xlName="_GBC_56f61b39244a4480882ee60694ace5bd" concept="clcid-pte:WeiShiXianRongZiShouYiZheXianLvQuJian" label="未实现融资收益折现率区间" addr="T0R3C7S1_1" appId="_GBC_03ba5a75d6d541f4a60fba2b18c9d548"/>
      <m:placeholder xlName="_PLD_7e31ab337f9241e58c47845e66c25517" addr="T0R4C0S1_1"/>
      <m:item xlName="_GBC_b1398e360c5f4d8ba3fbebd8965c1b46" concept="clcid-pte:ChangQiYingShouKuanZhongFenQiShouKuanXiaoShouShangPinJinE" label="长期应收款中分期收款销售商品金额" mulRef="_GBC_95baf3ea634a4a60970b09906c240d55" unitRef="_GBC_fe21d7e81e5548d09e30637bd81155e1" addr="T0R4C1S1_1" formatStyle="Comma" appId="_GBC_03ba5a75d6d541f4a60fba2b18c9d548"/>
      <m:item xlName="_GBC_39d9eeae6e2e46d3b7ad2fd0c6a95e7d" concept="clcid-pte:ChangQiYingShouKuanZhongFenQiShouKuanXiaoShouShangPinHuaiZhangZhunBei" label="长期应收款中分期收款销售商品坏账准备" mulRef="_GBC_95baf3ea634a4a60970b09906c240d55" unitRef="_GBC_fe21d7e81e5548d09e30637bd81155e1" addr="T0R4C2S1_1" formatStyle="Comma" appId="_GBC_03ba5a75d6d541f4a60fba2b18c9d548"/>
      <m:item xlName="_GBC_9d39b1de217b4797a4950417fe23f8b2" concept="clcid-pte:ChangQiYingShouKuanZhongFenQiShouKuanXiaoShouShangPinZhangMianJiaZhi" label="长期应收款中分期收款销售商品账面价值" mulRef="_GBC_95baf3ea634a4a60970b09906c240d55" unitRef="_GBC_fe21d7e81e5548d09e30637bd81155e1" addr="T0R4C3S1_1" formatStyle="Comma" appId="_GBC_03ba5a75d6d541f4a60fba2b18c9d548"/>
      <m:item xlName="_GBC_07165a07b58c48248a0f894669b095d3" concept="clcid-pte:ChangQiYingShouKuanZhongFenQiShouKuanXiaoShouShangPinJinE" label="长期应收款中分期收款销售商品金额" periodRef="本期期初数" mulRef="_GBC_95baf3ea634a4a60970b09906c240d55" unitRef="_GBC_fe21d7e81e5548d09e30637bd81155e1" addr="T0R4C4S1_1" formatStyle="Comma" appId="_GBC_03ba5a75d6d541f4a60fba2b18c9d548"/>
      <m:item xlName="_GBC_1aa733cb25014b8dacfd5b328bfb3cf4" concept="clcid-pte:ChangQiYingShouKuanZhongFenQiShouKuanXiaoShouShangPinHuaiZhangZhunBei" label="长期应收款中分期收款销售商品坏账准备" periodRef="本期期初数" mulRef="_GBC_95baf3ea634a4a60970b09906c240d55" unitRef="_GBC_fe21d7e81e5548d09e30637bd81155e1" addr="T0R4C5S1_1" formatStyle="Comma" appId="_GBC_03ba5a75d6d541f4a60fba2b18c9d548"/>
      <m:item xlName="_GBC_8f09fbd7ee93489faff5e24a866771c3" concept="clcid-pte:ChangQiYingShouKuanZhongFenQiShouKuanXiaoShouShangPinZhangMianJiaZhi" label="长期应收款中分期收款销售商品账面价值" periodRef="本期期初数" mulRef="_GBC_95baf3ea634a4a60970b09906c240d55" unitRef="_GBC_fe21d7e81e5548d09e30637bd81155e1" addr="T0R4C6S1_1" formatStyle="Comma" appId="_GBC_03ba5a75d6d541f4a60fba2b18c9d548"/>
      <m:item xlName="_GBC_32f33bb718c947458780f61b1f9d046d" concept="clcid-pte:FenQiShouKuanXiaoShouShangPinZheXianLvQuJian" label="分期收款销售商品折现率区间" addr="T0R4C7S1_1" appId="_GBC_03ba5a75d6d541f4a60fba2b18c9d548"/>
      <m:placeholder xlName="_PLD_47e3b848af3a4fd8a34593f844419d02" addr="T0R5C0S1_1"/>
      <m:item xlName="_GBC_7f07df5a29e144ad9c675324437852e6" concept="clcid-pte:ChangQiYingShouKuanZhongFenQiShouKuanTiGongLaoWuJinE" label="长期应收款中分期收款提供劳务金额" mulRef="_GBC_95baf3ea634a4a60970b09906c240d55" unitRef="_GBC_fe21d7e81e5548d09e30637bd81155e1" addr="T0R5C1S1_1" formatStyle="Comma" appId="_GBC_03ba5a75d6d541f4a60fba2b18c9d548"/>
      <m:item xlName="_GBC_c55206c60f4d4207a55ec93dc80befd2" concept="clcid-pte:ChangQiYingShouKuanZhongFenQiShouKuanTiGongLaoWuHuaiZhangZhunBei" label="长期应收款中分期收款提供劳务坏账准备" mulRef="_GBC_95baf3ea634a4a60970b09906c240d55" unitRef="_GBC_fe21d7e81e5548d09e30637bd81155e1" addr="T0R5C2S1_1" formatStyle="Comma" appId="_GBC_03ba5a75d6d541f4a60fba2b18c9d548"/>
      <m:item xlName="_GBC_6cee3ceb6d224e8886677d8eca8bdbab" concept="clcid-pte:ChangQiYingShouKuanZhongFenQiShouKuanTiGongLaoWuZhangMianJiaZhi" label="长期应收款中分期收款提供劳务账面价值" mulRef="_GBC_95baf3ea634a4a60970b09906c240d55" unitRef="_GBC_fe21d7e81e5548d09e30637bd81155e1" addr="T0R5C3S1_1" formatStyle="Comma" appId="_GBC_03ba5a75d6d541f4a60fba2b18c9d548"/>
      <m:item xlName="_GBC_eecb7c9e00c84b79af552704fd2df4cc" concept="clcid-pte:ChangQiYingShouKuanZhongFenQiShouKuanTiGongLaoWuJinE" label="长期应收款中分期收款提供劳务金额" periodRef="本期期初数" mulRef="_GBC_95baf3ea634a4a60970b09906c240d55" unitRef="_GBC_fe21d7e81e5548d09e30637bd81155e1" addr="T0R5C4S1_1" formatStyle="Comma" appId="_GBC_03ba5a75d6d541f4a60fba2b18c9d548"/>
      <m:item xlName="_GBC_626c1c6d136a42f3beb30aed79faa9b7" concept="clcid-pte:ChangQiYingShouKuanZhongFenQiShouKuanTiGongLaoWuHuaiZhangZhunBei" label="长期应收款中分期收款提供劳务坏账准备" periodRef="本期期初数" mulRef="_GBC_95baf3ea634a4a60970b09906c240d55" unitRef="_GBC_fe21d7e81e5548d09e30637bd81155e1" addr="T0R5C5S1_1" formatStyle="Comma" appId="_GBC_03ba5a75d6d541f4a60fba2b18c9d548"/>
      <m:item xlName="_GBC_959f76c77fcf43709acd1310759ba88e" concept="clcid-pte:ChangQiYingShouKuanZhongFenQiShouKuanTiGongLaoWuZhangMianJiaZhi" label="长期应收款中分期收款提供劳务账面价值" periodRef="本期期初数" mulRef="_GBC_95baf3ea634a4a60970b09906c240d55" unitRef="_GBC_fe21d7e81e5548d09e30637bd81155e1" addr="T0R5C6S1_1" formatStyle="Comma" appId="_GBC_03ba5a75d6d541f4a60fba2b18c9d548"/>
      <m:item xlName="_GBC_56e74a842fd544b599bf2d6378859908" concept="clcid-pte:FenQiShouKuanTiGongLaoWuZheXianLvQuJian" label="分期收款提供劳务折现率区间" addr="T0R5C7S1_1" appId="_GBC_03ba5a75d6d541f4a60fba2b18c9d548"/>
      <m:tuple xlName="_GBC_5a41f105be7341e4bda68c15cf69c9e0" concept="clcid-pte:ChangQiYingShouKuanQingKuangMingXi" default_row="2" addr="T0R6C">
        <m:item xlName="_GBC_85eb5dbe841d43848849c406a0312866" concept="clcid-pte:ChangQiYingShouKuanQingKuangMingXiXiangMuMingCheng" label="长期应收款情况明细-项目名称" addr="T0R6C0S1_1" appId="_GBC_03ba5a75d6d541f4a60fba2b18c9d548" fixedType="EPS"/>
        <m:item xlName="_GBC_ff83a6aad635406dbd8ae692697edfd3" concept="clcid-pte:ChangQiYingShouKuanQingKuangMingXiZhangMianYuE" label="长期应收款情况明细-账面余额" mulRef="_GBC_95baf3ea634a4a60970b09906c240d55" unitRef="_GBC_fe21d7e81e5548d09e30637bd81155e1" addr="T0R6C1S1_1" formatStyle="Comma" appId="_GBC_03ba5a75d6d541f4a60fba2b18c9d548"/>
        <m:item xlName="_GBC_84c525fe54d140ef817783ee9bd7c3c0" concept="clcid-pte:ChangQiYingShouKuanQingKuangMingXiHuaiZhangZhunBei" label="长期应收款情况明细-坏账准备" mulRef="_GBC_95baf3ea634a4a60970b09906c240d55" unitRef="_GBC_fe21d7e81e5548d09e30637bd81155e1" addr="T0R6C2S1_1" formatStyle="Comma" appId="_GBC_03ba5a75d6d541f4a60fba2b18c9d548"/>
        <m:item xlName="_GBC_b216c0214d58490ea94ca6ebfd39a238" concept="clcid-pte:ChangQiYingShouKuanQingKuangMingXiZhangMianJiaZhi" label="长期应收款情况明细-账面价值" mulRef="_GBC_95baf3ea634a4a60970b09906c240d55" unitRef="_GBC_fe21d7e81e5548d09e30637bd81155e1" addr="T0R6C3S1_1" formatStyle="Comma" appId="_GBC_03ba5a75d6d541f4a60fba2b18c9d548"/>
        <m:item xlName="_GBC_d478d28db88a44f2ad81e24988a971cf" concept="clcid-pte:ChangQiYingShouKuanQingKuangMingXiZhangMianYuE" label="长期应收款情况明细-账面余额" periodRef="本期期初数" mulRef="_GBC_95baf3ea634a4a60970b09906c240d55" unitRef="_GBC_fe21d7e81e5548d09e30637bd81155e1" addr="T0R6C4S1_1" formatStyle="Comma" appId="_GBC_03ba5a75d6d541f4a60fba2b18c9d548"/>
        <m:item xlName="_GBC_6e62e948673043c4b0451a432558d3db" concept="clcid-pte:ChangQiYingShouKuanQingKuangMingXiHuaiZhangZhunBei" label="长期应收款情况明细-坏账准备" periodRef="本期期初数" mulRef="_GBC_95baf3ea634a4a60970b09906c240d55" unitRef="_GBC_fe21d7e81e5548d09e30637bd81155e1" addr="T0R6C5S1_1" formatStyle="Comma" appId="_GBC_03ba5a75d6d541f4a60fba2b18c9d548"/>
        <m:item xlName="_GBC_5c39d05a125846d3ae1045f5c8ebecf0" concept="clcid-pte:ChangQiYingShouKuanQingKuangMingXiZhangMianJiaZhi" label="长期应收款情况明细-账面价值" periodRef="本期期初数" mulRef="_GBC_95baf3ea634a4a60970b09906c240d55" unitRef="_GBC_fe21d7e81e5548d09e30637bd81155e1" addr="T0R6C6S1_1" formatStyle="Comma" appId="_GBC_03ba5a75d6d541f4a60fba2b18c9d548"/>
        <m:item xlName="_GBC_23b8c91d7bb24907aa9bc3c8a2a91d2f" concept="clcid-pte:ChangQiYingShouKuanQingKuangMingXiZheXianLvQuJian" label="长期应收款情况明细-折现率区间" addr="T0R6C7S1_1" appId="_GBC_03ba5a75d6d541f4a60fba2b18c9d548"/>
      </m:tuple>
      <m:placeholder xlName="_PLD_8bf46c35ccf64076b70a8027cfc753dc" addr="T0R8C0S1_1"/>
      <m:item xlName="_GBC_73b1c6c31e674a2a83ca986749cd4066" concept="clcid-pte:ChangQiYingShouKuanZhangMianYuE" label="长期应收款账面余额" mulRef="_GBC_95baf3ea634a4a60970b09906c240d55" unitRef="_GBC_fe21d7e81e5548d09e30637bd81155e1" addr="T0R8C1S1_1" formatStyle="Comma" appId="_GBC_03ba5a75d6d541f4a60fba2b18c9d548">
        <m:complexRule comparator="Eq" title="长期应收款" test=" $_GBC_5399cd42908b4a468dd6fadb144c65d6 +  $_GBC_b1398e360c5f4d8ba3fbebd8965c1b46 +  $_GBC_7f07df5a29e144ad9c675324437852e6 +  $_GBC_ff83a6aad635406dbd8ae692697edfd3" id="Cc38a4dbafb5840899dc8eff0324c41f3"/>
      </m:item>
      <m:item xlName="_GBC_443cb39c4b0d4f0c812ffe5563ab84a6" concept="clcid-pte:ChangQiYingShouKuanHuaiZhangZhunBeiHeJi" label="长期应收款坏账准备合计" mulRef="_GBC_95baf3ea634a4a60970b09906c240d55" unitRef="_GBC_fe21d7e81e5548d09e30637bd81155e1" addr="T0R8C2S1_1" formatStyle="Comma" appId="_GBC_03ba5a75d6d541f4a60fba2b18c9d548">
        <m:complexRule comparator="Eq" title="长期应收款坏账准备合计" test=" $_GBC_8760a220b0ef44cfabf4bee5a89991aa +  $_GBC_39d9eeae6e2e46d3b7ad2fd0c6a95e7d +  $_GBC_c55206c60f4d4207a55ec93dc80befd2 +  $_GBC_84c525fe54d140ef817783ee9bd7c3c0" id="Ce1b949873422482281e5f8e35a6654bc"/>
      </m:item>
      <m:item xlName="_GBC_8ccedacdf5834979bc0754d50db3c38e" concept="clcid-pte:ChangQiYingShouKuan" label="长期应收款" mulRef="_GBC_95baf3ea634a4a60970b09906c240d55" unitRef="_GBC_fe21d7e81e5548d09e30637bd81155e1" addr="T0R8C3S1_1" formatStyle="Comma" appId="_GBC_03ba5a75d6d541f4a60fba2b18c9d548">
        <m:complexRule comparator="Eq" title="长期应收款账面价值合计" test=" $_GBC_b40439808652435bbabec59ea2eb39b0 +  $_GBC_9d39b1de217b4797a4950417fe23f8b2 +  $_GBC_6cee3ceb6d224e8886677d8eca8bdbab +  $_GBC_b216c0214d58490ea94ca6ebfd39a238" id="Ca7156ef50484426fa4f4ce8c16612713"/>
      </m:item>
      <m:item xlName="_GBC_ef44c07b9ae741ddab666e9ed9d9cd66" concept="clcid-pte:ChangQiYingShouKuanZhangMianYuE" label="长期应收款账面余额" periodRef="本期期初数" mulRef="_GBC_95baf3ea634a4a60970b09906c240d55" unitRef="_GBC_fe21d7e81e5548d09e30637bd81155e1" addr="T0R8C4S1_1" formatStyle="Comma" appId="_GBC_03ba5a75d6d541f4a60fba2b18c9d548">
        <m:complexRule comparator="Eq" title="长期应收款@本期期初数" test=" $_GBC_406a73b4a413408ab1d99f9591844593 +  $_GBC_07165a07b58c48248a0f894669b095d3 +  $_GBC_eecb7c9e00c84b79af552704fd2df4cc +  $_GBC_d478d28db88a44f2ad81e24988a971cf" id="C42e2589e59a54eaea456439b9374c593"/>
      </m:item>
      <m:item xlName="_GBC_34ba5fe645014ea18f8ca5e982a2ad4c" concept="clcid-pte:ChangQiYingShouKuanHuaiZhangZhunBeiHeJi" label="长期应收款坏账准备合计" periodRef="本期期初数" mulRef="_GBC_95baf3ea634a4a60970b09906c240d55" unitRef="_GBC_fe21d7e81e5548d09e30637bd81155e1" addr="T0R8C5S1_1" formatStyle="Comma" appId="_GBC_03ba5a75d6d541f4a60fba2b18c9d548">
        <m:complexRule comparator="Eq" title="长期应收款坏账准备合计@本期期初数" test=" $_GBC_cf446e3d18b44cad92ea3af073e1afe4 +  $_GBC_1aa733cb25014b8dacfd5b328bfb3cf4 +  $_GBC_626c1c6d136a42f3beb30aed79faa9b7 +  $_GBC_6e62e948673043c4b0451a432558d3db" id="C732eb499520f4a1c901e54857e4c9223"/>
      </m:item>
      <m:item xlName="_GBC_145c9fdd27614d079d6c909857d05e2e" concept="clcid-pte:ChangQiYingShouKuan" label="长期应收款" periodRef="本期期初数" mulRef="_GBC_95baf3ea634a4a60970b09906c240d55" unitRef="_GBC_fe21d7e81e5548d09e30637bd81155e1" addr="T0R8C6S1_1" formatStyle="Comma" appId="_GBC_03ba5a75d6d541f4a60fba2b18c9d548">
        <m:complexRule comparator="Eq" title="长期应收款账面价值合计@本期期初数" test=" $_GBC_008ca7c650b14305ac6b0a618988572a +  $_GBC_8f09fbd7ee93489faff5e24a866771c3 +  $_GBC_959f76c77fcf43709acd1310759ba88e +  $_GBC_5c39d05a125846d3ae1045f5c8ebecf0" id="Cf263589bdc1449ca89acd00b5e367ba8"/>
      </m:item>
    </m:section>
    <m:section xlName="_SEC_a0520f64d4bd49e5a3638a0386a233ee" title="坏账准备计提情况">
      <m:item xlName="_GBC_f7e4bed7dbb84fbcb52f2226cf465bb3" concept="clcid-ci-ar:ShiFouShiYongChangQiYingShouKuanHuaiZhangZhunBeiTiaoJieBiao" label="是否适用：长期应收款坏账准备调节表" selectOptions="_buildInAppliance" controlType="CustomCheckbox" cRanges="[{&quot;StartName&quot;:&quot;_GBC_f7e4bed7dbb84fbcb52f2226cf465bb3&quot;,&quot;EndName&quot;:&quot;_GBC_0a0e13cb04c549d183b2c850fc6990bb&quot;,&quot;CType&quot;:1}]"/>
      <m:item xlName="_GBC_2bbd87eab11a481f80927dfd7342e232" concept="clcid-ci-ar:DanWeiChangQiYingShouKuanHuaiZhangZhunBeiTiaoJieBiao" label="单位：长期应收款坏账准备调节表" selectOptions="_buildInScales" controlType="Combobox" cellType="Scale" appId="_GBC_f7e4bed7dbb84fbcb52f2226cf465bb3"/>
      <m:item xlName="_GBC_a6d3fb90964748f494536b204e5bab68" concept="clcid-ci-ar:BiZhongChangQiYingShouKuanHuaiZhangZhunBeiTiaoJieBiao" label="币种：长期应收款坏账准备调节表" selectOptions="_buildInISO4217" controlType="Combobox" cellType="Measure" appId="_GBC_f7e4bed7dbb84fbcb52f2226cf465bb3"/>
      <m:placeholder xlName="_PLD_294e5bbfd4534d8cbbae3a90b20c447c" addr="T0R0C0S2_1"/>
      <m:placeholder xlName="_PLD_ace79c3416eb44e7b3a74c621384a23c" addr="T0R0C1S1_1"/>
      <m:placeholder xlName="_PLD_a72e5fdd446746579a277a4e75ad7bab" addr="T0R0C2S1_1"/>
      <m:placeholder xlName="_PLD_a754bd1abe98492398b5c00c97a6f42c" addr="T0R0C3S1_1"/>
      <m:placeholder xlName="_PLD_23f4843cece44eacbfbcf493f51395f4" addr="T0R0C4S2_1"/>
      <m:placeholder xlName="_PLD_0aa7c2cede1449e0abbc75ce6ccb5122" addr="T0R1C1S1_1"/>
      <m:placeholder xlName="_PLD_ac35bfd34bb64348af71d5e39e31efa9" addr="T0R1C2S1_1"/>
      <m:placeholder xlName="_PLD_a6de648cafb14afea0a52db889b45bef" addr="T0R1C3S1_1"/>
      <m:placeholder xlName="_PLD_b230a46cbf60446eb4dfe2c0b000d751" addr="T0R2C0S1_1"/>
      <m:item xlName="_GBC_1ac519b675464add88144a6551ce37e4" concept="clcid-pte:ChangQiYingShouKuanHuaiZhangZhunBeiDiYiJieDuan" label="长期应收款坏账准备（第一阶段）" periodRef="本期期初数" mulRef="_GBC_2bbd87eab11a481f80927dfd7342e232" unitRef="_GBC_a6d3fb90964748f494536b204e5bab68" addr="T0R2C1S1_1" formatStyle="Comma" appId="_GBC_f7e4bed7dbb84fbcb52f2226cf465bb3"/>
      <m:item xlName="_GBC_b6d055a165be4df8a0ab70dbb9c0c319" concept="clcid-pte:ChangQiYingShouKuanHuaiZhangZhunBeiDiErJieDuan" label="长期应收款坏账准备（第二阶段）" periodRef="本期期初数" mulRef="_GBC_2bbd87eab11a481f80927dfd7342e232" unitRef="_GBC_a6d3fb90964748f494536b204e5bab68" addr="T0R2C2S1_1" formatStyle="Comma" appId="_GBC_f7e4bed7dbb84fbcb52f2226cf465bb3"/>
      <m:item xlName="_GBC_382794a86a284ccbbb02f9ec16883cf8" concept="clcid-pte:ChangQiYingShouKuanHuaiZhangZhunBeiDiSanJieDuan" label="长期应收款坏账准备（第三阶段）" periodRef="本期期初数" mulRef="_GBC_2bbd87eab11a481f80927dfd7342e232" unitRef="_GBC_a6d3fb90964748f494536b204e5bab68" addr="T0R2C3S1_1" formatStyle="Comma" appId="_GBC_f7e4bed7dbb84fbcb52f2226cf465bb3"/>
      <m:item xlName="_GBC_bcb3e9e4187a49a4b5d90d112c03e8d6" concept="clcid-pte:ChangQiYingShouKuanHuaiZhangZhunBei" label="长期应收款坏账准备" periodRef="本期期初数" mulRef="_GBC_2bbd87eab11a481f80927dfd7342e232" unitRef="_GBC_a6d3fb90964748f494536b204e5bab68" addr="T0R2C4S1_1" formatStyle="Comma" appId="_GBC_f7e4bed7dbb84fbcb52f2226cf465bb3"/>
      <m:placeholder xlName="_PLD_86816a49f2ae408db0fd9f47c37368c4" addr="T0R3C0S1_1"/>
      <m:item xlName="_GBC_517870caa1f64594b1f50f0bb1669b85" concept="clcid-pte:ChangQiYingShouKuanHuaiZhangZhunBeiBenQiZhuanRuHuoZhuanHuiDiYiJieDuan" label="长期应收款坏账准备本期转入或转回（第一阶段）" mulRef="_GBC_2bbd87eab11a481f80927dfd7342e232" unitRef="_GBC_a6d3fb90964748f494536b204e5bab68" addr="T0R3C1S1_1" formatStyle="Comma" appId="_GBC_f7e4bed7dbb84fbcb52f2226cf465bb3"/>
      <m:item xlName="_GBC_c4cd4dbcaee741008c989b8fc007ed73" concept="clcid-pte:ChangQiYingShouKuanHuaiZhangZhunBeiBenQiZhuanRuHuoZhuanHuiDiErJieDuan" label="长期应收款坏账准备本期转入或转回（第二阶段）" mulRef="_GBC_2bbd87eab11a481f80927dfd7342e232" unitRef="_GBC_a6d3fb90964748f494536b204e5bab68" addr="T0R3C2S1_1" formatStyle="Comma" appId="_GBC_f7e4bed7dbb84fbcb52f2226cf465bb3"/>
      <m:item xlName="_GBC_b2797f9b80584f64a83f06f9ba225574" concept="clcid-pte:ChangQiYingShouKuanHuaiZhangZhunBeiBenQiZhuanRuHuoZhuanHuiDiSanJieDuan" label="长期应收款坏账准备本期转入或转回（第三阶段）" mulRef="_GBC_2bbd87eab11a481f80927dfd7342e232" unitRef="_GBC_a6d3fb90964748f494536b204e5bab68" addr="T0R3C3S1_1" formatStyle="Comma" appId="_GBC_f7e4bed7dbb84fbcb52f2226cf465bb3"/>
      <m:item xlName="_GBC_bc5688a0bf904723b23e6902723b3000" concept="clcid-pte:ChangQiYingShouKuanHuaiZhangZhunBeiBenQiZhuanRuHuoZhuanHuiJieDuanHeJi" label="长期应收款坏账准备本期转入或转回阶段合计" mulRef="_GBC_2bbd87eab11a481f80927dfd7342e232" unitRef="_GBC_a6d3fb90964748f494536b204e5bab68" addr="T0R3C4S1_1" formatStyle="Comma" appId="_GBC_f7e4bed7dbb84fbcb52f2226cf465bb3"/>
      <m:placeholder xlName="_PLD_c91cfe6023c543b48f51dca663734154" addr="T0R4C0S1_1"/>
      <m:item xlName="_GBC_cd6293daa5334a0b9898ece7c45b8301" concept="clcid-pte:ChangQiYingShouKuanHuaiZhangZhunBeiBenQiZhuanRuDiErJieDuanDiYiJieDuan" label="长期应收款坏账准备本期转入第二阶段（第一阶段）" mulRef="_GBC_2bbd87eab11a481f80927dfd7342e232" unitRef="_GBC_a6d3fb90964748f494536b204e5bab68" addr="T0R4C1S1_1" formatStyle="Comma" appId="_GBC_f7e4bed7dbb84fbcb52f2226cf465bb3"/>
      <m:item xlName="_GBC_f2617a890c9e4fb382fb0eaf4c85e6c3" concept="clcid-pte:ChangQiYingShouKuanHuaiZhangZhunBeiBenQiZhuanRuDiErJieDuanDiErJieDuan" label="长期应收款坏账准备本期转入第二阶段（第二阶段）" mulRef="_GBC_2bbd87eab11a481f80927dfd7342e232" unitRef="_GBC_a6d3fb90964748f494536b204e5bab68" addr="T0R4C2S1_1" formatStyle="Comma" appId="_GBC_f7e4bed7dbb84fbcb52f2226cf465bb3"/>
      <m:item xlName="_GBC_7366da5917ac4348a446e7d84aaa4ad7" concept="clcid-pte:ChangQiYingShouKuanHuaiZhangZhunBeiBenQiZhuanRuDiErJieDuanDiSanJieDuan" label="长期应收款坏账准备本期转入第二阶段（第三阶段）" mulRef="_GBC_2bbd87eab11a481f80927dfd7342e232" unitRef="_GBC_a6d3fb90964748f494536b204e5bab68" addr="T0R4C3S1_1" formatStyle="Comma" appId="_GBC_f7e4bed7dbb84fbcb52f2226cf465bb3"/>
      <m:item xlName="_GBC_c60352b56c294a719467954843d55566" concept="clcid-pte:ChangQiYingShouKuanHuaiZhangZhunBeiBenQiZhuanRuDiErJieDuanJieDuanHeJi" label="长期应收款坏账准备本期转入第二阶段阶段合计" mulRef="_GBC_2bbd87eab11a481f80927dfd7342e232" unitRef="_GBC_a6d3fb90964748f494536b204e5bab68" addr="T0R4C4S1_1" formatStyle="Comma" appId="_GBC_f7e4bed7dbb84fbcb52f2226cf465bb3"/>
      <m:placeholder xlName="_PLD_a950bce164c8477b8fb5a7d1dc4f7e59" addr="T0R5C0S1_1"/>
      <m:item xlName="_GBC_5fb6197672c94762b8434f7de7bf8713" concept="clcid-pte:ChangQiYingShouKuanHuaiZhangZhunBeiBenQiZhuanRuDiSanJieDuanDiYiJieDuan" label="长期应收款坏账准备本期转入第三阶段（第一阶段）" mulRef="_GBC_2bbd87eab11a481f80927dfd7342e232" unitRef="_GBC_a6d3fb90964748f494536b204e5bab68" addr="T0R5C1S1_1" formatStyle="Comma" appId="_GBC_f7e4bed7dbb84fbcb52f2226cf465bb3"/>
      <m:item xlName="_GBC_794cc37d687943598f22988fd7248516" concept="clcid-pte:ChangQiYingShouKuanHuaiZhangZhunBeiBenQiZhuanRuDiSanJieDuanDiErJieDuan" label="长期应收款坏账准备本期转入第三阶段（第二阶段）" mulRef="_GBC_2bbd87eab11a481f80927dfd7342e232" unitRef="_GBC_a6d3fb90964748f494536b204e5bab68" addr="T0R5C2S1_1" formatStyle="Comma" appId="_GBC_f7e4bed7dbb84fbcb52f2226cf465bb3"/>
      <m:item xlName="_GBC_1bc1955f2fab4243a3f37c06174bf90e" concept="clcid-pte:ChangQiYingShouKuanHuaiZhangZhunBeiBenQiZhuanRuDiSanJieDuanDiSanJieDuan" label="长期应收款坏账准备本期转入第三阶段（第三阶段）" mulRef="_GBC_2bbd87eab11a481f80927dfd7342e232" unitRef="_GBC_a6d3fb90964748f494536b204e5bab68" addr="T0R5C3S1_1" formatStyle="Comma" appId="_GBC_f7e4bed7dbb84fbcb52f2226cf465bb3"/>
      <m:item xlName="_GBC_74d53945b54a4144a39d8737fe6ffe26" concept="clcid-pte:ChangQiYingShouKuanHuaiZhangZhunBeiBenQiZhuanRuDiSanJieDuanJieDuanHeJi" label="长期应收款坏账准备本期转入第三阶段阶段合计" mulRef="_GBC_2bbd87eab11a481f80927dfd7342e232" unitRef="_GBC_a6d3fb90964748f494536b204e5bab68" addr="T0R5C4S1_1" formatStyle="Comma" appId="_GBC_f7e4bed7dbb84fbcb52f2226cf465bb3"/>
      <m:placeholder xlName="_PLD_80b01be34c3b4035a08d3423409c07d7" addr="T0R6C0S1_1"/>
      <m:item xlName="_GBC_0df18cd7f6214e9cbf2c3e29dea3fde1" concept="clcid-pte:ChangQiYingShouKuanHuaiZhangZhunBeiBenQiZhuanHuiDiErJieDuanDiYiJieDuan" label="长期应收款坏账准备本期转回第二阶段（第一阶段）" mulRef="_GBC_2bbd87eab11a481f80927dfd7342e232" unitRef="_GBC_a6d3fb90964748f494536b204e5bab68" addr="T0R6C1S1_1" formatStyle="Comma" appId="_GBC_f7e4bed7dbb84fbcb52f2226cf465bb3"/>
      <m:item xlName="_GBC_4b944c8272f547f98f772741e31a3179" concept="clcid-pte:ChangQiYingShouKuanHuaiZhangZhunBeiBenQiZhuanHuiDiErJieDuanDiErJieDuan" label="长期应收款坏账准备本期转回第二阶段（第二阶段）" mulRef="_GBC_2bbd87eab11a481f80927dfd7342e232" unitRef="_GBC_a6d3fb90964748f494536b204e5bab68" addr="T0R6C2S1_1" formatStyle="Comma" appId="_GBC_f7e4bed7dbb84fbcb52f2226cf465bb3"/>
      <m:item xlName="_GBC_e179c2ba4f5847039f7d03edc2ab297f" concept="clcid-pte:ChangQiYingShouKuanHuaiZhangZhunBeiBenQiZhuanHuiDiErJieDuanDiSanJieDuan" label="长期应收款坏账准备本期转回第二阶段（第三阶段）" mulRef="_GBC_2bbd87eab11a481f80927dfd7342e232" unitRef="_GBC_a6d3fb90964748f494536b204e5bab68" addr="T0R6C3S1_1" formatStyle="Comma" appId="_GBC_f7e4bed7dbb84fbcb52f2226cf465bb3"/>
      <m:item xlName="_GBC_df9c85c0127e469c8c75ffafa0c952de" concept="clcid-pte:ChangQiYingShouKuanHuaiZhangZhunBeiBenQiZhuanHuiDiErJieDuanJieDuanHeJi" label="长期应收款坏账准备本期转回第二阶段阶段合计" mulRef="_GBC_2bbd87eab11a481f80927dfd7342e232" unitRef="_GBC_a6d3fb90964748f494536b204e5bab68" addr="T0R6C4S1_1" formatStyle="Comma" appId="_GBC_f7e4bed7dbb84fbcb52f2226cf465bb3"/>
      <m:placeholder xlName="_PLD_200efa744e044677bffdebede2418f76" addr="T0R7C0S1_1"/>
      <m:item xlName="_GBC_a67dc8f5556d4c82a5793c84d089c34b" concept="clcid-pte:ChangQiYingShouKuanHuaiZhangZhunBeiBenQiZhuanHuiDiYiJieDuanDiYiJieDuan" label="长期应收款坏账准备本期转回第一阶段（第一阶段）" mulRef="_GBC_2bbd87eab11a481f80927dfd7342e232" unitRef="_GBC_a6d3fb90964748f494536b204e5bab68" addr="T0R7C1S1_1" formatStyle="Comma" appId="_GBC_f7e4bed7dbb84fbcb52f2226cf465bb3"/>
      <m:item xlName="_GBC_e76d386116774ed7a140e2d287b7c416" concept="clcid-pte:ChangQiYingShouKuanHuaiZhangZhunBeiBenQiZhuanHuiDiYiJieDuanDiErJieDuan" label="长期应收款坏账准备本期转回第一阶段（第二阶段）" mulRef="_GBC_2bbd87eab11a481f80927dfd7342e232" unitRef="_GBC_a6d3fb90964748f494536b204e5bab68" addr="T0R7C2S1_1" formatStyle="Comma" appId="_GBC_f7e4bed7dbb84fbcb52f2226cf465bb3"/>
      <m:item xlName="_GBC_6ad04b75e0bd4f9290129b618d34eae3" concept="clcid-pte:ChangQiYingShouKuanHuaiZhangZhunBeiBenQiZhuanHuiDiYiJieDuanDiSanJieDuan" label="长期应收款坏账准备本期转回第一阶段（第三阶段）" mulRef="_GBC_2bbd87eab11a481f80927dfd7342e232" unitRef="_GBC_a6d3fb90964748f494536b204e5bab68" addr="T0R7C3S1_1" formatStyle="Comma" appId="_GBC_f7e4bed7dbb84fbcb52f2226cf465bb3"/>
      <m:item xlName="_GBC_ca8f6555ddc94bb5b1ee79ae50a0ed54" concept="clcid-pte:ChangQiYingShouKuanHuaiZhangZhunBeiBenQiZhuanHuiDiYiJieDuanJieDuanHeJi" label="长期应收款坏账准备本期转回第一阶段阶段合计" mulRef="_GBC_2bbd87eab11a481f80927dfd7342e232" unitRef="_GBC_a6d3fb90964748f494536b204e5bab68" addr="T0R7C4S1_1" formatStyle="Comma" appId="_GBC_f7e4bed7dbb84fbcb52f2226cf465bb3"/>
      <m:placeholder xlName="_PLD_f2f4f1b9b1744ac0988cc3ac81ace38e" addr="T0R8C0S1_1"/>
      <m:item xlName="_GBC_afef3dfe693d4ebd8830f67a410d318e" concept="clcid-pte:ChangQiYingShouKuanHuaiZhangZhunBeiBenQiXinZengJiTiDiYiJieDuan" label="长期应收款坏账准备本期新增计提（第一阶段）" mulRef="_GBC_2bbd87eab11a481f80927dfd7342e232" unitRef="_GBC_a6d3fb90964748f494536b204e5bab68" addr="T0R8C1S1_1" formatStyle="Comma" appId="_GBC_f7e4bed7dbb84fbcb52f2226cf465bb3"/>
      <m:item xlName="_GBC_c5d50f78c6f846249b9f823c17775154" concept="clcid-pte:ChangQiYingShouKuanHuaiZhangZhunBeiBenQiXinZengJiTiDiErJieDuan" label="长期应收款坏账准备本期新增计提（第二阶段）" mulRef="_GBC_2bbd87eab11a481f80927dfd7342e232" unitRef="_GBC_a6d3fb90964748f494536b204e5bab68" addr="T0R8C2S1_1" formatStyle="Comma" appId="_GBC_f7e4bed7dbb84fbcb52f2226cf465bb3"/>
      <m:item xlName="_GBC_266c1fc8f3cf4a3a9821bdf6ee79f774" concept="clcid-pte:ChangQiYingShouKuanHuaiZhangZhunBeiBenQiXinZengJiTiDiSanJieDuan" label="长期应收款坏账准备本期新增计提（第三阶段）" mulRef="_GBC_2bbd87eab11a481f80927dfd7342e232" unitRef="_GBC_a6d3fb90964748f494536b204e5bab68" addr="T0R8C3S1_1" formatStyle="Comma" appId="_GBC_f7e4bed7dbb84fbcb52f2226cf465bb3"/>
      <m:item xlName="_GBC_76d33affa5fb433bb857bfe23a14c41b" concept="clcid-pte:ChangQiYingShouKuanHuaiZhangZhunBeiBenQiXinZengJiTiJieDuanHeJi" label="长期应收款坏账准备本期新增计提阶段合计" mulRef="_GBC_2bbd87eab11a481f80927dfd7342e232" unitRef="_GBC_a6d3fb90964748f494536b204e5bab68" addr="T0R8C4S1_1" formatStyle="Comma" appId="_GBC_f7e4bed7dbb84fbcb52f2226cf465bb3"/>
      <m:placeholder xlName="_PLD_e2387077844b4460b8e43f4c1bfef43e" addr="T0R9C0S1_1"/>
      <m:item xlName="_GBC_30b8306038184cdcb70c50e9ecd682b3" concept="clcid-pte:ChangQiYingShouKuanHuaiZhangZhunBeiBenQiZhuanHuiDiYiJieDuan" label="长期应收款坏账准备本期转回（第一阶段）" mulRef="_GBC_2bbd87eab11a481f80927dfd7342e232" unitRef="_GBC_a6d3fb90964748f494536b204e5bab68" addr="T0R9C1S1_1" formatStyle="Comma" appId="_GBC_f7e4bed7dbb84fbcb52f2226cf465bb3"/>
      <m:item xlName="_GBC_31f18d1a94dd4df6bdc63d9f237f8cd2" concept="clcid-pte:ChangQiYingShouKuanHuaiZhangZhunBeiBenQiZhuanHuiDiErJieDuan" label="长期应收款坏账准备本期转回（第二阶段）" mulRef="_GBC_2bbd87eab11a481f80927dfd7342e232" unitRef="_GBC_a6d3fb90964748f494536b204e5bab68" addr="T0R9C2S1_1" formatStyle="Comma" appId="_GBC_f7e4bed7dbb84fbcb52f2226cf465bb3"/>
      <m:item xlName="_GBC_a7a5722025204db78bea4ad68716d69f" concept="clcid-pte:ChangQiYingShouKuanHuaiZhangZhunBeiBenQiZhuanHuiDiSanJieDuan" label="长期应收款坏账准备本期转回（第三阶段）" mulRef="_GBC_2bbd87eab11a481f80927dfd7342e232" unitRef="_GBC_a6d3fb90964748f494536b204e5bab68" addr="T0R9C3S1_1" formatStyle="Comma" appId="_GBC_f7e4bed7dbb84fbcb52f2226cf465bb3"/>
      <m:item xlName="_GBC_f61dfcb80f954f089c9aed9e079f69f8" concept="clcid-pte:ChangQiYingShouKuanHuaiZhangZhunBeiBenQiZhuanHuiJieDuanHeJi" label="长期应收款坏账准备本期转回阶段合计" mulRef="_GBC_2bbd87eab11a481f80927dfd7342e232" unitRef="_GBC_a6d3fb90964748f494536b204e5bab68" addr="T0R9C4S1_1" formatStyle="Comma" appId="_GBC_f7e4bed7dbb84fbcb52f2226cf465bb3"/>
      <m:placeholder xlName="_PLD_aa19890b26f443ed9e213e6f29b85d71" addr="T0R10C0S1_1"/>
      <m:item xlName="_GBC_ba9e5dda68f142efa8fe2437714df2c3" concept="clcid-pte:ChangQiYingShouKuanHuaiZhangZhunBeiBenQiZhuanXiaoDiYiJieDuan" label="长期应收款坏账准备本期转销（第一阶段）" mulRef="_GBC_2bbd87eab11a481f80927dfd7342e232" unitRef="_GBC_a6d3fb90964748f494536b204e5bab68" addr="T0R10C1S1_1" formatStyle="Comma" appId="_GBC_f7e4bed7dbb84fbcb52f2226cf465bb3"/>
      <m:item xlName="_GBC_bee6b667cb9b46fc864a8bb3a1b1e7d9" concept="clcid-pte:ChangQiYingShouKuanHuaiZhangZhunBeiBenQiZhuanXiaoDiErJieDuan" label="长期应收款坏账准备本期转销（第二阶段）" mulRef="_GBC_2bbd87eab11a481f80927dfd7342e232" unitRef="_GBC_a6d3fb90964748f494536b204e5bab68" addr="T0R10C2S1_1" formatStyle="Comma" appId="_GBC_f7e4bed7dbb84fbcb52f2226cf465bb3"/>
      <m:item xlName="_GBC_c5bff6af4f83420394f5122754025a7a" concept="clcid-pte:ChangQiYingShouKuanHuaiZhangZhunBeiBenQiZhuanXiaoDiSanJieDuan" label="长期应收款坏账准备本期转销（第三阶段）" mulRef="_GBC_2bbd87eab11a481f80927dfd7342e232" unitRef="_GBC_a6d3fb90964748f494536b204e5bab68" addr="T0R10C3S1_1" formatStyle="Comma" appId="_GBC_f7e4bed7dbb84fbcb52f2226cf465bb3"/>
      <m:item xlName="_GBC_fc3d244987124a9f8ede0bc24248b3f9" concept="clcid-pte:ChangQiYingShouKuanHuaiZhangZhunBeiBenQiZhuanXiaoJieDuanHeJi" label="长期应收款坏账准备本期转销阶段合计" mulRef="_GBC_2bbd87eab11a481f80927dfd7342e232" unitRef="_GBC_a6d3fb90964748f494536b204e5bab68" addr="T0R10C4S1_1" formatStyle="Comma" appId="_GBC_f7e4bed7dbb84fbcb52f2226cf465bb3"/>
      <m:placeholder xlName="_PLD_4505add4f90d480c9e310bf0a1e87ff7" addr="T0R11C0S1_1"/>
      <m:item xlName="_GBC_8850472b0d4a47469bc028414dd31eca" concept="clcid-pte:ChangQiYingShouKuanHuaiZhangZhunBeiBenQiHeXiaoDiYiJieDuan" label="长期应收款坏账准备本期核销（第一阶段）" mulRef="_GBC_2bbd87eab11a481f80927dfd7342e232" unitRef="_GBC_a6d3fb90964748f494536b204e5bab68" addr="T0R11C1S1_1" formatStyle="Comma" appId="_GBC_f7e4bed7dbb84fbcb52f2226cf465bb3"/>
      <m:item xlName="_GBC_615118fe9b2f40b084521943fa37be84" concept="clcid-pte:ChangQiYingShouKuanHuaiZhangZhunBeiBenQiHeXiaoDiErJieDuan" label="长期应收款坏账准备本期核销（第二阶段）" mulRef="_GBC_2bbd87eab11a481f80927dfd7342e232" unitRef="_GBC_a6d3fb90964748f494536b204e5bab68" addr="T0R11C2S1_1" formatStyle="Comma" appId="_GBC_f7e4bed7dbb84fbcb52f2226cf465bb3"/>
      <m:item xlName="_GBC_22544b635fb149bda02c5fb469187362" concept="clcid-pte:ChangQiYingShouKuanHuaiZhangZhunBeiBenQiHeXiaoDiSanJieDuan" label="长期应收款坏账准备本期核销（第三阶段）" mulRef="_GBC_2bbd87eab11a481f80927dfd7342e232" unitRef="_GBC_a6d3fb90964748f494536b204e5bab68" addr="T0R11C3S1_1" formatStyle="Comma" appId="_GBC_f7e4bed7dbb84fbcb52f2226cf465bb3"/>
      <m:item xlName="_GBC_70e22ea34dc747c78811b46be886444d" concept="clcid-pte:ChangQiYingShouKuanHuaiZhangZhunBeiBenQiHeXiaoJieDuanHeJi" label="长期应收款坏账准备本期核销阶段合计" mulRef="_GBC_2bbd87eab11a481f80927dfd7342e232" unitRef="_GBC_a6d3fb90964748f494536b204e5bab68" addr="T0R11C4S1_1" formatStyle="Comma" appId="_GBC_f7e4bed7dbb84fbcb52f2226cf465bb3"/>
      <m:placeholder xlName="_PLD_93cb3f645f9f45558eed3ae8afc2f5e9" addr="T0R12C0S1_1"/>
      <m:item xlName="_GBC_7f2e4ae9fd444e379bd3eecebce3de7a" concept="clcid-pte:ChangQiYingShouKuanHuaiZhangZhunBeiBenQiQiTaBianDongDiYiJieDuan" label="长期应收款坏账准备本期其他变动（第一阶段）" mulRef="_GBC_2bbd87eab11a481f80927dfd7342e232" unitRef="_GBC_a6d3fb90964748f494536b204e5bab68" addr="T0R12C1S1_1" formatStyle="Comma" appId="_GBC_f7e4bed7dbb84fbcb52f2226cf465bb3"/>
      <m:item xlName="_GBC_59e2421e329048ec91c70b087704142f" concept="clcid-pte:ChangQiYingShouKuanHuaiZhangZhunBeiBenQiQiTaBianDongDiErJieDuan" label="长期应收款坏账准备本期其他变动（第二阶段）" mulRef="_GBC_2bbd87eab11a481f80927dfd7342e232" unitRef="_GBC_a6d3fb90964748f494536b204e5bab68" addr="T0R12C2S1_1" formatStyle="Comma" appId="_GBC_f7e4bed7dbb84fbcb52f2226cf465bb3"/>
      <m:item xlName="_GBC_4fa65c8a2c9b4ad398560087fd2d5852" concept="clcid-pte:ChangQiYingShouKuanHuaiZhangZhunBeiBenQiQiTaBianDongDiSanJieDuan" label="长期应收款坏账准备本期其他变动（第三阶段）" mulRef="_GBC_2bbd87eab11a481f80927dfd7342e232" unitRef="_GBC_a6d3fb90964748f494536b204e5bab68" addr="T0R12C3S1_1" formatStyle="Comma" appId="_GBC_f7e4bed7dbb84fbcb52f2226cf465bb3"/>
      <m:item xlName="_GBC_91adee30b5e044198bd19a719090a413" concept="clcid-pte:ChangQiYingShouKuanHuaiZhangZhunBeiBenQiQiTaBianDongJieDuanHeJi" label="长期应收款坏账准备本期其他变动阶段合计" mulRef="_GBC_2bbd87eab11a481f80927dfd7342e232" unitRef="_GBC_a6d3fb90964748f494536b204e5bab68" addr="T0R12C4S1_1" formatStyle="Comma" appId="_GBC_f7e4bed7dbb84fbcb52f2226cf465bb3"/>
      <m:placeholder xlName="_PLD_6026bcc031c2492189bd9398709c587d" addr="T0R13C0S1_1"/>
      <m:item xlName="_GBC_c23e93913db14f018ab132f5b476d7ef" concept="clcid-pte:ChangQiYingShouKuanHuaiZhangZhunBeiDiYiJieDuan" label="长期应收款坏账准备（第一阶段）" mulRef="_GBC_2bbd87eab11a481f80927dfd7342e232" unitRef="_GBC_a6d3fb90964748f494536b204e5bab68" addr="T0R13C1S1_1" formatStyle="Comma" appId="_GBC_f7e4bed7dbb84fbcb52f2226cf465bb3"/>
      <m:item xlName="_GBC_7898c54b184746a5bd738143bf7fa3d3" concept="clcid-pte:ChangQiYingShouKuanHuaiZhangZhunBeiDiErJieDuan" label="长期应收款坏账准备（第二阶段）" mulRef="_GBC_2bbd87eab11a481f80927dfd7342e232" unitRef="_GBC_a6d3fb90964748f494536b204e5bab68" addr="T0R13C2S1_1" formatStyle="Comma" appId="_GBC_f7e4bed7dbb84fbcb52f2226cf465bb3"/>
      <m:item xlName="_GBC_422148bb02784d1bbfcc65ae892311a0" concept="clcid-pte:ChangQiYingShouKuanHuaiZhangZhunBeiDiSanJieDuan" label="长期应收款坏账准备（第三阶段）" mulRef="_GBC_2bbd87eab11a481f80927dfd7342e232" unitRef="_GBC_a6d3fb90964748f494536b204e5bab68" addr="T0R13C3S1_1" formatStyle="Comma" appId="_GBC_f7e4bed7dbb84fbcb52f2226cf465bb3"/>
      <m:item xlName="_GBC_aa699ec1a84d42c09964f4cd5ff3ef61" concept="clcid-pte:ChangQiYingShouKuanHuaiZhangZhunBei" label="长期应收款坏账准备" mulRef="_GBC_2bbd87eab11a481f80927dfd7342e232" unitRef="_GBC_a6d3fb90964748f494536b204e5bab68" addr="T0R13C4S1_1" formatStyle="Comma" appId="_GBC_f7e4bed7dbb84fbcb52f2226cf465bb3"/>
      <m:item xlName="_GBC_105890c95e234852a3bb3a3f5acf6008"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105890c95e234852a3bb3a3f5acf6008&quot;,&quot;EndName&quot;:&quot;_GBC_c31cdb6db80c4b02a8e45681de914aec&quot;,&quot;CType&quot;:1}]"/>
      <m:item xlName="_GBC_c31cdb6db80c4b02a8e45681de914aec" concept="clcid-pte:ChangQiYingShouKuanBenQiFaShengSunShiZhunBeiBianDongQieZhangMianYuEXianZhuBianDongDeQingKuangShuoMing" label="长期应收款本期发生损失准备变动且账面余额显著变动的情况说明" appId="_GBC_105890c95e234852a3bb3a3f5acf6008"/>
      <m:item xlName="_GBC_9c13b337c4794abdbfceded7b319c34a"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9c13b337c4794abdbfceded7b319c34a&quot;,&quot;EndName&quot;:&quot;_GBC_0a0e13cb04c549d183b2c850fc6990bb&quot;,&quot;CType&quot;:1}]"/>
      <m:item xlName="_GBC_0a0e13cb04c549d183b2c850fc6990bb" concept="clcid-pte:ChangQiYingShouKuanHuaiZhangZhunBeiJiTiJinEYiJiPingGuJinRongGongJuDeXinYongFengXianXianZhuZengJiaDeCaiYongYiJu" label="长期应收款坏账准备计提金额以及评估金融工具的信用风险显著增加的采用依据" appId="_GBC_9c13b337c4794abdbfceded7b319c34a"/>
    </m:section>
    <m:section xlName="_GBC_928896eb74ab465199673a59201d4a8b" title="因金融资产转移而终止确认的长期应收款" rules="R2015_R11_009" helpId="112001061" helpText="注：说明金融资产转移的方式、终止确认的长期应收款金额，及与终止确认相关的利得或损失。">
      <m:item xlName="_GBC_f7aab2a321ef4781ad1595366bc02c5e" concept="clcid-ci-ar:ShiFouShiYongYinJinRongZiChanZhuanYiErZhongZhiQueRenDeChangQiYingShouKuan" label="是否适用：因金融资产转移而终止确认的长期应收款" selectOptions="_buildInAppliance" controlType="CustomCheckbox" cRanges="{&quot;StartName&quot;:&quot;_GBC_f7aab2a321ef4781ad1595366bc02c5e&quot;,&quot;EndName&quot;:&quot;_GBC_fbbed6ec0abd40749bdbcca3e6b10fe4&quot;,&quot;CType&quot;:1,&quot;DisplayText&quot;:null}"/>
      <m:item xlName="_GBC_fbbed6ec0abd40749bdbcca3e6b10fe4" concept="clcid-pte:YinJinRongZiChanZhuanYiErZhongZhiQueRenDeChangQiYingShouKuanDeShuoMing" label="因金融资产转移而终止确认的长期应收款的说明" appId="_GBC_f7aab2a321ef4781ad1595366bc02c5e"/>
    </m:section>
    <m:section xlName="_GBC_711f6e05c2eb42e595d774bdf837f823" title="转移长期应收款且继续涉入形成的资产、负债金额" rules="R2015_R11_009" helpId="112001061" helpText="注：说明金融资产转移的方式、分项列示继续涉入形成的资产、负债的金额。">
      <m:item xlName="_GBC_202f97bd4328472388c45157689d09e0" concept="clcid-ci-ar:ShiFouShiYongZhuanYiChangQiYingShouKuanQieJiXuSheRuXingChengDeZiChanFuZhaiJinE" label="是否适用：转移长期应收款且继续涉入形成的资产、负债金额" selectOptions="_buildInAppliance" controlType="CustomCheckbox" cRanges="{&quot;StartName&quot;:&quot;_GBC_202f97bd4328472388c45157689d09e0&quot;,&quot;EndName&quot;:&quot;_GBC_dbfcf6f9161d4ce1893b6351c40f6b38&quot;,&quot;CType&quot;:1,&quot;DisplayText&quot;:null}"/>
      <m:item xlName="_GBC_dbfcf6f9161d4ce1893b6351c40f6b38" concept="clcid-pte:ZhuanYiChangQiYingShouKuanQieJiXuSheRuXingChengDeZiChanFuZhaiJinEDeShuoMing" label="转移长期应收款且继续涉入形成的资产、负债金额的说明" appId="_GBC_202f97bd4328472388c45157689d09e0"/>
    </m:section>
    <m:section xlName="_GBC_2a6246644ca84dfdb1b5ecc95ea5c0c2" title="长期应收款的其他说明" rules="R2015_R11_009" helpId="112001061">
      <m:item xlName="_GBC_a368edfbd60c44cdaed5299529b44fa0" concept="clcid-ci-ar:ShiFouShiYongChangQiYingShouKuanDeQiTaShuoMing" label="是否适用：长期应收款的其他说明" selectOptions="_buildInAppliance" controlType="CustomCheckbox" cRanges="{&quot;StartName&quot;:&quot;_GBC_a368edfbd60c44cdaed5299529b44fa0&quot;,&quot;EndName&quot;:&quot;_GBC_5b46a0b1e7614a40b6a18cb84462664b&quot;,&quot;CType&quot;:1,&quot;DisplayText&quot;:null}"/>
      <m:item xlName="_GBC_5b46a0b1e7614a40b6a18cb84462664b" concept="clcid-pte:ChangQiYingShouKuanDeQiTaShuoMing" label="长期应收款的其他说明" appId="_GBC_a368edfbd60c44cdaed5299529b44fa0"/>
    </m:section>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item xlName="_GBC_63e30834d38e49658bec9056bc38e4e2" concept="clcid-ci-ar:DanWeiCaiWuFuZhuChangQiGuQuanTouZi" label="单位：财务附注：长期股权投资" selectOptions="_buildInScales" controlType="Combobox" cellType="Scale" appId="_GBC_bafa2cb2262c4c4ebc4eed8f4e4a81c6"/>
      <m:item xlName="_GBC_f72bca6b250e484887289a819bc62e7d" concept="clcid-ci-ar:BiZhongCaiWuFuZhuChangQiGuQuanTouZi" label="币种：财务附注：长期股权投资" selectOptions="_buildInISO4217" controlType="Combobox" cellType="Measure" appId="_GBC_bafa2cb2262c4c4ebc4eed8f4e4a81c6"/>
      <m:placeholder xlName="_PLD_f83b8af388eb4b51ac2d014806d1cf64" addr="T0R0C0S2_1"/>
      <m:placeholder xlName="_PLD_13e6a1fe1f124ad387aad52d77f70942" addr="T0R0C1S2_1"/>
      <m:placeholder xlName="_PLD_26fdf8bbc93c4727b9e370d1fdd1f305" addr="T0R0C2S1_8"/>
      <m:placeholder xlName="_PLD_26f512d0941441d6b65bf5cb83112461" addr="T0R0C10S2_1"/>
      <m:placeholder xlName="_PLD_0a22719961ad439599d68ae073360e65" addr="T0R0C11S2_1"/>
      <m:placeholder xlName="_PLD_51f40272a3ff4bacb9c71b19b5796e3e" addr="T0R1C2S1_1"/>
      <m:placeholder xlName="_PLD_e5464032b3a04113a9cc54a32d8ba16e" addr="T0R1C3S1_1"/>
      <m:placeholder xlName="_PLD_3e93bb423e264a59a4ee73dd513ac7a0" addr="T0R1C4S1_1"/>
      <m:placeholder xlName="_PLD_6d1d63a827674a6d9b4fd3b0738ccb44" addr="T0R1C5S1_1"/>
      <m:placeholder xlName="_PLD_2e31e12a1218445b9271cd0b2b46dfb3" addr="T0R1C6S1_1"/>
      <m:placeholder xlName="_PLD_35f9510bcc234f63a5879448c48131ac" addr="T0R1C7S1_1"/>
      <m:placeholder xlName="_PLD_ad3c3bd2b468443aab93d8cfe4bded11" addr="T0R1C8S1_1"/>
      <m:placeholder xlName="_PLD_1bf39451058c4b3c8ec7b49241e56e40" addr="T0R1C9S1_1"/>
      <m:placeholder xlName="_PLD_a4cee4ce080742218169c5adba891f8b" addr="T0R2C0S1_1"/>
      <m:tuple xlName="_GBC_69227c07b5a5404ba52ae2198dc394dc" concept="clcid-pte:HeYingQiYeTouZiXinXiMingXi" default_row="2" addr="T0R3C">
        <m:item xlName="_GBC_9f99fe149b9d4811917e3232a9b1281e" concept="clcid-pte:HeYingQiYeTouZiXinXiMingXiMingCheng" label="合营企业投资信息明细－名称" addr="T0R3C0S1_1" appId="_GBC_bafa2cb2262c4c4ebc4eed8f4e4a81c6"/>
        <m:item xlName="_GBC_c5f70676907745ffae60f922c68cb190"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70c8ddd3674340e388b4b52ed21ac749" concept="clcid-pte:HeYingQiYeTouZiMingXiZhuiJiaTouZi" label="合营企业投资明细-追加投资" mulRef="_GBC_63e30834d38e49658bec9056bc38e4e2" unitRef="_GBC_f72bca6b250e484887289a819bc62e7d" addr="T0R3C2S1_1" formatStyle="Comma" appId="_GBC_bafa2cb2262c4c4ebc4eed8f4e4a81c6"/>
        <m:item xlName="_GBC_26a4d74cfed44ada8a8c53c3afafb057" concept="clcid-pte:HeYingQiYeTouZiMingXiJianShaoTouZi" label="合营企业投资明细-减少投资" mulRef="_GBC_63e30834d38e49658bec9056bc38e4e2" unitRef="_GBC_f72bca6b250e484887289a819bc62e7d" addr="T0R3C3S1_1" formatStyle="Comma" appId="_GBC_bafa2cb2262c4c4ebc4eed8f4e4a81c6"/>
        <m:item xlName="_GBC_dca6d36576034d0990f125bed4a1df75"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c9bbd35f30ff43c0b1557711afcd3f9c"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371961b864584e45bd932cc7c4992d7c"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d9936b9aedcc423b87d352fce8422d9d" concept="clcid-pte:HeYingQiYeTouZiMingXiXuanGaoFaFangXianJinGuLiHuoLiRun" label="合营企业投资明细-宣告发放现金股利或利润" mulRef="_GBC_63e30834d38e49658bec9056bc38e4e2" unitRef="_GBC_f72bca6b250e484887289a819bc62e7d" addr="T0R3C7S1_1" formatStyle="Comma" appId="_GBC_bafa2cb2262c4c4ebc4eed8f4e4a81c6"/>
        <m:item xlName="_GBC_bb60a76d88fa4dec9dfc48827e68559d" concept="clcid-pte:HeYingQiYeTouZiMingXiJiTiJianZhiZhunBei" label="合营企业投资明细-计提减值准备" mulRef="_GBC_63e30834d38e49658bec9056bc38e4e2" unitRef="_GBC_f72bca6b250e484887289a819bc62e7d" addr="T0R3C8S1_1" formatStyle="Comma" appId="_GBC_bafa2cb2262c4c4ebc4eed8f4e4a81c6"/>
        <m:item xlName="_GBC_f58b6d2bc7ee440e8425a0534a3be69e"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9032a15691d94361a9e7db48476ebb91" concept="clcid-pte:HeYingQiYeTouZiMingXiYuE" label="合营企业投资明细-余额" mulRef="_GBC_63e30834d38e49658bec9056bc38e4e2" unitRef="_GBC_f72bca6b250e484887289a819bc62e7d" addr="T0R3C10S1_1" formatStyle="Comma" appId="_GBC_bafa2cb2262c4c4ebc4eed8f4e4a81c6"/>
        <m:item xlName="_GBC_64b732c18665447dace799e27254546d" concept="clcid-pte:HeYingQiYeTouZiMingXiJianZhiZhunBeiYuE" label="合营企业投资明细-减值准备余额" mulRef="_GBC_63e30834d38e49658bec9056bc38e4e2" unitRef="_GBC_f72bca6b250e484887289a819bc62e7d" addr="T0R3C11S1_1" formatStyle="Comma" appId="_GBC_bafa2cb2262c4c4ebc4eed8f4e4a81c6"/>
      </m:tuple>
      <m:placeholder xlName="_PLD_0f6b1bcaf84d416293b3177ddad0e0e0" addr="T0R5C0S1_1"/>
      <m:item xlName="_GBC_0505740aa7704549a61577650a3babc5"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c5f70676907745ffae60f922c68cb190" id="C479625afa9684554bf651d8cddec046e"/>
      </m:item>
      <m:item xlName="_GBC_9e6ee9a2c2e24db2afbc1da336850ac5"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70c8ddd3674340e388b4b52ed21ac749" id="C9caec32baeb449e9ba0008dd95a8353e"/>
      </m:item>
      <m:item xlName="_GBC_7cf483a4089b4ee5bf261d966bc51b02" concept="clcid-pte:HeYingQiYeJianShaoTouZiXiaoJi" label="合营企业-减少投资小计" mulRef="_GBC_63e30834d38e49658bec9056bc38e4e2" unitRef="_GBC_f72bca6b250e484887289a819bc62e7d" addr="T0R5C3S1_1" formatStyle="Comma" appId="_GBC_bafa2cb2262c4c4ebc4eed8f4e4a81c6">
        <m:complexRule comparator="Eq" title="合营企业-减少投资小计" test=" $_GBC_26a4d74cfed44ada8a8c53c3afafb057" id="Cf6995270afac41aaa22ce559dd7c5727"/>
      </m:item>
      <m:item xlName="_GBC_36176be425c346e4ac6b6eabadf074a7"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dca6d36576034d0990f125bed4a1df75" id="C7cf4e41402624be4ac67a0a36d1290d2"/>
      </m:item>
      <m:item xlName="_GBC_81a07dbf9513431a92a57993ffdd88ad"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c9bbd35f30ff43c0b1557711afcd3f9c" id="C402e3a4398a248ea9253e60e99390c49"/>
      </m:item>
      <m:item xlName="_GBC_762ffa89a1424957a509edb7e8c91a83"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371961b864584e45bd932cc7c4992d7c" id="Cf75db6cb70f142a797f16822679422d0"/>
      </m:item>
      <m:item xlName="_GBC_3f499f87ad2b4e3c8e241eb75895a0d3" concept="clcid-pte:HeYingQiYeXuanGaoFaFangXianJinGuLiHuoLiRunXiaoJi" label="合营企业-宣告发放现金股利或利润小计" mulRef="_GBC_63e30834d38e49658bec9056bc38e4e2" unitRef="_GBC_f72bca6b250e484887289a819bc62e7d" addr="T0R5C7S1_1" formatStyle="Comma" appId="_GBC_bafa2cb2262c4c4ebc4eed8f4e4a81c6">
        <m:complexRule comparator="Eq" title="合营企业-宣告发放现金股利或利润小计" test=" $_GBC_d9936b9aedcc423b87d352fce8422d9d" id="Ca9e6523f33864ba78d776c67cb600960"/>
      </m:item>
      <m:item xlName="_GBC_b96aaeaa0c074c4cb505c84c2863eb2d" concept="clcid-pte:HeYingQiYeJiTiJianZhiZhunBeiXiaoJi" label="合营企业-计提减值准备小计" mulRef="_GBC_63e30834d38e49658bec9056bc38e4e2" unitRef="_GBC_f72bca6b250e484887289a819bc62e7d" addr="T0R5C8S1_1" formatStyle="Comma" appId="_GBC_bafa2cb2262c4c4ebc4eed8f4e4a81c6">
        <m:complexRule comparator="Eq" title="合营企业-计提减值准备小计" test=" $_GBC_bb60a76d88fa4dec9dfc48827e68559d" id="Cb64add0557f1404faa15a6b7e7cc98aa"/>
      </m:item>
      <m:item xlName="_GBC_c04baf0c68ec47a7ab10d39c402006fc"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f58b6d2bc7ee440e8425a0534a3be69e" id="C1647defdfaf343b39c37b2bdaa286d1d"/>
      </m:item>
      <m:item xlName="_GBC_85da3080e2a64d7aa34f4a297e66941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9032a15691d94361a9e7db48476ebb91" id="Ccafd9755ffe04ebfb77ccb00e7d8c746"/>
      </m:item>
      <m:item xlName="_GBC_7a2dd706e873499db5fe89f81cdc2dc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64b732c18665447dace799e27254546d" id="C8bbc0b6a43a3482c8bdf2d6d8630883b"/>
      </m:item>
      <m:placeholder xlName="_PLD_a1bc1a1af5744195bb75f57f610f28b4" addr="T0R6C0S1_1"/>
      <m:tuple xlName="_GBC_49d1b98c49c34c26a2c4d55f0c1fdb21" concept="clcid-pte:LianYingQiYeTouZiXinXiMingXi" default_row="2" addr="T0R7C">
        <m:item xlName="_GBC_a4eb18bbc01043718dad4f3e4bfbaa56" concept="clcid-pte:LianYingQiYeTouZiXinXiMingXiMingCheng" label="联营企业投资信息明细－名称" addr="T0R7C0S1_1" appId="_GBC_bafa2cb2262c4c4ebc4eed8f4e4a81c6"/>
        <m:item xlName="_GBC_0f83deb7f2814d0585a2f953a5acd4a5"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8aa6af8bb94a4a34af053a167eb8afda" concept="clcid-pte:LianYingQiYeTouZiMingXiZhuiJiaTouZi" label="联营企业投资明细-追加投资" mulRef="_GBC_63e30834d38e49658bec9056bc38e4e2" unitRef="_GBC_f72bca6b250e484887289a819bc62e7d" addr="T0R7C2S1_1" formatStyle="Comma" appId="_GBC_bafa2cb2262c4c4ebc4eed8f4e4a81c6"/>
        <m:item xlName="_GBC_006cd52e170f40a9ae6ad85b8f3e193f" concept="clcid-pte:LianYingQiYeTouZiMingXiJianShaoTouZi" label="联营企业投资明细-减少投资" mulRef="_GBC_63e30834d38e49658bec9056bc38e4e2" unitRef="_GBC_f72bca6b250e484887289a819bc62e7d" addr="T0R7C3S1_1" formatStyle="Comma" appId="_GBC_bafa2cb2262c4c4ebc4eed8f4e4a81c6"/>
        <m:item xlName="_GBC_3093c751ad654c5a8e60e9539355e4c8"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2ed807b17874411886b14643c85732fc"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5a4a8da2e0274b33a078931ed39fb3bb"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19a6ad6bff2d486fa4d99ccfbbb92857" concept="clcid-pte:LianYingQiYeTouZiMingXiXuanGaoFaFangXianJinGuLiHuoLiRun" label="联营企业投资明细-宣告发放现金股利或利润" mulRef="_GBC_63e30834d38e49658bec9056bc38e4e2" unitRef="_GBC_f72bca6b250e484887289a819bc62e7d" addr="T0R7C7S1_1" formatStyle="Comma" appId="_GBC_bafa2cb2262c4c4ebc4eed8f4e4a81c6"/>
        <m:item xlName="_GBC_12ae6c8c8fe640f7b24cea0b6725d225" concept="clcid-pte:LianYingQiYeTouZiMingXiJiTiJianZhiZhunBei" label="联营企业投资明细-计提减值准备" mulRef="_GBC_63e30834d38e49658bec9056bc38e4e2" unitRef="_GBC_f72bca6b250e484887289a819bc62e7d" addr="T0R7C8S1_1" formatStyle="Comma" appId="_GBC_bafa2cb2262c4c4ebc4eed8f4e4a81c6"/>
        <m:item xlName="_GBC_b148926756484adc9061d220c26559d5"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9d7aa5fead0045fcafd480e493c68f0a" concept="clcid-pte:LianYingQiYeTouZiMingXiYuE" label="联营企业投资明细-余额" mulRef="_GBC_63e30834d38e49658bec9056bc38e4e2" unitRef="_GBC_f72bca6b250e484887289a819bc62e7d" addr="T0R7C10S1_1" formatStyle="Comma" appId="_GBC_bafa2cb2262c4c4ebc4eed8f4e4a81c6"/>
        <m:item xlName="_GBC_d789e489f11e46cea544577b2c08d57e" concept="clcid-pte:LianYingQiYeTouZiMingXiJianZhiZhunBeiYuE" label="联营企业投资明细-减值准备余额" mulRef="_GBC_63e30834d38e49658bec9056bc38e4e2" unitRef="_GBC_f72bca6b250e484887289a819bc62e7d" addr="T0R7C11S1_1" formatStyle="Comma" appId="_GBC_bafa2cb2262c4c4ebc4eed8f4e4a81c6"/>
      </m:tuple>
      <m:placeholder xlName="_PLD_b7a0008e0bed45f5924ac82e7bbf0d7c" addr="T0R9C0S1_1"/>
      <m:item xlName="_GBC_1eccfcb85f74482ea6ff8956334fcad5"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0f83deb7f2814d0585a2f953a5acd4a5" id="Cf0cf5314128a4b259c254c35920b4c6e"/>
      </m:item>
      <m:item xlName="_GBC_3bd9b14cad504d36bd88f76049a7d69e"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8aa6af8bb94a4a34af053a167eb8afda" id="C85a6724cf03246ada7b06a76a5590b7c"/>
      </m:item>
      <m:item xlName="_GBC_fc42c6e4b0cc4b17afa5502c6fdc3a61" concept="clcid-pte:LianYingQiYeJianShaoTouZiXiaoJi" label="联营企业-减少投资小计" mulRef="_GBC_63e30834d38e49658bec9056bc38e4e2" unitRef="_GBC_f72bca6b250e484887289a819bc62e7d" addr="T0R9C3S1_1" formatStyle="Comma" appId="_GBC_bafa2cb2262c4c4ebc4eed8f4e4a81c6">
        <m:complexRule comparator="Eq" title="联营企业-减少投资小计" test=" $_GBC_006cd52e170f40a9ae6ad85b8f3e193f" id="C7c537218658f457aa09c76734c560cb2"/>
      </m:item>
      <m:item xlName="_GBC_bed56f50c8f847c7895297635314004f"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3093c751ad654c5a8e60e9539355e4c8" id="Ce53fc3429b224cfea8938c54726c8edb"/>
      </m:item>
      <m:item xlName="_GBC_58eb6755b22f48fcba306d32bd40c261"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2ed807b17874411886b14643c85732fc" id="Cbf291acc51e44216aa4a8ccc4eb33475"/>
      </m:item>
      <m:item xlName="_GBC_d116865a33044700a499062f559a69bc"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5a4a8da2e0274b33a078931ed39fb3bb" id="C0effbbbf8cb04f56b004a2f32db6088f"/>
      </m:item>
      <m:item xlName="_GBC_0349262d721f42339347cc932aa2dd14" concept="clcid-pte:LianYingQiYeXuanGaoFaFangXianJinGuLiHuoLiRunXiaoJi" label="联营企业-宣告发放现金股利或利润小计" mulRef="_GBC_63e30834d38e49658bec9056bc38e4e2" unitRef="_GBC_f72bca6b250e484887289a819bc62e7d" addr="T0R9C7S1_1" formatStyle="Comma" appId="_GBC_bafa2cb2262c4c4ebc4eed8f4e4a81c6">
        <m:complexRule comparator="Eq" title="联营企业-宣告发放现金股利或利润小计" test=" $_GBC_19a6ad6bff2d486fa4d99ccfbbb92857" id="Cd32fd897aedf4764b9f4575b7dc916fd"/>
      </m:item>
      <m:item xlName="_GBC_fc00139c16784ea68fde0eaca6ecb174" concept="clcid-pte:LianYingQiYeJiTiJianZhiZhunBeiXiaoJi" label="联营企业-计提减值准备小计" mulRef="_GBC_63e30834d38e49658bec9056bc38e4e2" unitRef="_GBC_f72bca6b250e484887289a819bc62e7d" addr="T0R9C8S1_1" formatStyle="Comma" appId="_GBC_bafa2cb2262c4c4ebc4eed8f4e4a81c6">
        <m:complexRule comparator="Eq" title="联营企业-计提减值准备小计" test=" $_GBC_12ae6c8c8fe640f7b24cea0b6725d225" id="C4b1fa086d8e64f6b96dfe160f308c7d7"/>
      </m:item>
      <m:item xlName="_GBC_8cf36d100ec44503beda9c4dc0eb7212"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b148926756484adc9061d220c26559d5" id="Ce25220398e994cedb1e4e77323d80a7c"/>
      </m:item>
      <m:item xlName="_GBC_9e2652aa7f83482aa3387a8a5338cce1"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9d7aa5fead0045fcafd480e493c68f0a" id="Ca6a6a02bd8144678ac985b541e8526e4"/>
      </m:item>
      <m:item xlName="_GBC_75f6baa20f094c439497ec4091770753"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789e489f11e46cea544577b2c08d57e" id="Cc9c473bde1e347809889b9734ce36f76"/>
      </m:item>
      <m:placeholder xlName="_PLD_4650622d02e74721a67ca767c0e407f2" addr="T0R10C0S1_1"/>
      <m:item xlName="_GBC_116ff8dbdb1a4ddd917c94fb7cde37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0505740aa7704549a61577650a3babc5 +  $_GBC_1eccfcb85f74482ea6ff8956334fcad5" id="Cd6845d975c7a4f83a391e76bf42ed9d1"/>
      </m:item>
      <m:item xlName="_GBC_4d7d5701344c424abb2d8218a3713bb7"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9e6ee9a2c2e24db2afbc1da336850ac5 +  $_GBC_3bd9b14cad504d36bd88f76049a7d69e" id="C1102eaed3325481cad7bba0589c69c70"/>
      </m:item>
      <m:item xlName="_GBC_dd576bd203f64d968a23ec1662363877" concept="clcid-pte:ChangQiGuQuanTouZiBenQiJianShaoJianShaoTouZiHeJi" label="长期股权投资本期减少-减少投资合计" mulRef="_GBC_63e30834d38e49658bec9056bc38e4e2" unitRef="_GBC_f72bca6b250e484887289a819bc62e7d" addr="T0R10C3S1_1" formatStyle="Comma" appId="_GBC_bafa2cb2262c4c4ebc4eed8f4e4a81c6">
        <m:complexRule comparator="Eq" title="长期股权投资本期减少-减少投资合计" test=" $_GBC_7cf483a4089b4ee5bf261d966bc51b02 +  $_GBC_fc42c6e4b0cc4b17afa5502c6fdc3a61" id="C1917c18bbbde4d9c9015b0ded123ab77"/>
      </m:item>
      <m:item xlName="_GBC_df9c3ed5681646bd94f5894b79dd4935"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36176be425c346e4ac6b6eabadf074a7 +  $_GBC_bed56f50c8f847c7895297635314004f" id="Cc34610aba3a246ce9972f70e5a82218e"/>
      </m:item>
      <m:item xlName="_GBC_23af98dc8b2c41e4822a877562b1df7a"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81a07dbf9513431a92a57993ffdd88ad +  $_GBC_58eb6755b22f48fcba306d32bd40c261" id="C88952c20a9084ecea30e004e03b5739a"/>
      </m:item>
      <m:item xlName="_GBC_f1421a511340443da16b9ec231cef47e"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762ffa89a1424957a509edb7e8c91a83 +  $_GBC_d116865a33044700a499062f559a69bc" id="C8640f0f0492a4ccd93bd92fb4135e067"/>
      </m:item>
      <m:item xlName="_GBC_36f7988ba9154e29aff48c5d98c95191" concept="clcid-pte:ChangQiGuQuanTouZiXuanGaoFaFangXianJinGuLiHuoLiRunHeJi" label="长期股权投资宣告发放现金股利或利润合计" mulRef="_GBC_63e30834d38e49658bec9056bc38e4e2" unitRef="_GBC_f72bca6b250e484887289a819bc62e7d" addr="T0R10C7S1_1" formatStyle="Comma" appId="_GBC_bafa2cb2262c4c4ebc4eed8f4e4a81c6">
        <m:complexRule comparator="Eq" title="长期股权投资宣告发放现金股利或利润合计" test=" $_GBC_3f499f87ad2b4e3c8e241eb75895a0d3 +  $_GBC_0349262d721f42339347cc932aa2dd14" id="C70cc74687a1d4b39b3a67c8fe7f22f1b"/>
      </m:item>
      <m:item xlName="_GBC_adf7bceeb1054f2fb29666b07b2a1401" concept="clcid-pte:ChangQiGuQuanTouZiJianZhiZhunBeiDeBenQiZengJiaShu" label="长期股权投资减值准备_本期增加数" mulRef="_GBC_63e30834d38e49658bec9056bc38e4e2" unitRef="_GBC_f72bca6b250e484887289a819bc62e7d" addr="T0R10C8S1_1" formatStyle="Comma" appId="_GBC_bafa2cb2262c4c4ebc4eed8f4e4a81c6">
        <m:complexRule comparator="Eq" title="长期股权投资减值准备_本期增加数" test=" $_GBC_b96aaeaa0c074c4cb505c84c2863eb2d +  $_GBC_fc00139c16784ea68fde0eaca6ecb174" id="C24aaf8e23f1643aa90fb715da5d74a84"/>
      </m:item>
      <m:item xlName="_GBC_181b4e2f80d84c85af5cfc6cd46b1c5d"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c04baf0c68ec47a7ab10d39c402006fc +  $_GBC_8cf36d100ec44503beda9c4dc0eb7212" id="C259455f5b8064f4d82a9634e827dfe8f"/>
      </m:item>
      <m:item xlName="_GBC_b8d6a3b536204a5b9bbcaef085ac45b4"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85da3080e2a64d7aa34f4a297e669415 +  $_GBC_9e2652aa7f83482aa3387a8a5338cce1" id="C7d636d0f276f4f1aa59966943172d272"/>
      </m:item>
      <m:item xlName="_GBC_23d57936f736453a80e85522c6e1c933"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7a2dd706e873499db5fe89f81cdc2dcd +  $_GBC_75f6baa20f094c439497ec4091770753"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item xlName="_GBC_d175ecfe27dc4b7592725426a352847c" concept="clcid-ci-ar:ShiFouShiYongQiTaQuanYiGongJuTouZiQingKuang" label="是否适用：其他权益工具投资情况" selectOptions="_buildInAppliance" controlType="CustomCheckbox" cRanges="[{&quot;StartName&quot;:&quot;_GBC_d175ecfe27dc4b7592725426a352847c&quot;,&quot;EndName&quot;:&quot;_GBC_8efd960bbb664ee596606a0209d5fe01&quot;,&quot;CType&quot;:1}]"/>
      <m:item xlName="_GBC_5ba15972ed8942bcb12a0deb317c278c" concept="clcid-ci-ar:DanWeiQiTaQuanYiGongJuTouZiQingKuang" label="单位：其他权益工具投资情况" selectOptions="_buildInScales" controlType="Combobox" cellType="Scale" appId="_GBC_d175ecfe27dc4b7592725426a352847c"/>
      <m:item xlName="_GBC_8191cbe84b2c4761b07741ed60e5a890" concept="clcid-ci-ar:BiZhongQiTaQuanYiGongJuTouZiQingKuang" label="币种：其他权益工具投资情况" selectOptions="_buildInISO4217" controlType="Combobox" cellType="Measure" appId="_GBC_d175ecfe27dc4b7592725426a352847c"/>
      <m:placeholder xlName="_PLD_07475a7ed00c4147abad11fc989c691b" addr="T0R0C0S1_1"/>
      <m:placeholder xlName="_PLD_d7f2f3494b3446d8ae4631f63b2c7e8e" addr="T0R0C1S1_1"/>
      <m:placeholder xlName="_PLD_9f4168295fb3439f8426e5fe728b845b" addr="T0R0C2S1_1"/>
      <m:tuple xlName="_TUP_6afa3e8ae24c4d689dd00c7fc35b2c46" concept="clcid-pte:QiTaQuanYiGongJuTouZiMingXi" default_row="2" addr="T0R1C">
        <m:item xlName="_GBC_2dd8cbff8dee418189d5a40e648d044d" concept="clcid-pte:QiTaQuanYiGongJuTouZiMingXiXiangMu" label="其他权益工具投资明细-项目" addr="T0R1C0S1_1" appId="_GBC_d175ecfe27dc4b7592725426a352847c"/>
        <m:item xlName="_GBC_f133f2d9c69f42f7aa6c6c5ba8c2e6bc" concept="clcid-pte:QiTaQuanYiGongJuTouZiMingXiFaShengE" label="其他权益工具投资明细-发生额" mulRef="_GBC_5ba15972ed8942bcb12a0deb317c278c" unitRef="_GBC_8191cbe84b2c4761b07741ed60e5a890" addr="T0R1C1S1_1" formatStyle="Comma" appId="_GBC_d175ecfe27dc4b7592725426a352847c"/>
        <m:item xlName="_GBC_f7f1ab7e232a409a9cd4e0a62fc3d0e9" concept="clcid-pte:QiTaQuanYiGongJuTouZiMingXiFaShengE" label="其他权益工具投资明细-发生额" periodRef="本期期初数" mulRef="_GBC_5ba15972ed8942bcb12a0deb317c278c" unitRef="_GBC_8191cbe84b2c4761b07741ed60e5a890" addr="T0R1C2S1_1" formatStyle="Comma" appId="_GBC_d175ecfe27dc4b7592725426a352847c"/>
      </m:tuple>
      <m:placeholder xlName="_PLD_1e61ba0c2e3c4f1891477e6427f0532c" addr="T0R3C0S1_1"/>
      <m:item xlName="_GBC_16c00213e6684fff93cd6e96e29630d2" concept="clcid-pte:QiTaQuanYiGongJuTouZi" label="其他权益工具投资" mulRef="_GBC_5ba15972ed8942bcb12a0deb317c278c" unitRef="_GBC_8191cbe84b2c4761b07741ed60e5a890" addr="T0R3C1S1_1" formatStyle="Comma" appId="_GBC_d175ecfe27dc4b7592725426a352847c">
        <m:complexRule comparator="Eq" title="其他权益工具投资" test=" $_GBC_f133f2d9c69f42f7aa6c6c5ba8c2e6bc" id="C726c2ba773174552b0e595828c0a20a6"/>
      </m:item>
      <m:item xlName="_GBC_8efd960bbb664ee596606a0209d5fe01" concept="clcid-pte:QiTaQuanYiGongJuTouZi" label="其他权益工具投资" periodRef="本期期初数" mulRef="_GBC_5ba15972ed8942bcb12a0deb317c278c" unitRef="_GBC_8191cbe84b2c4761b07741ed60e5a890" addr="T0R3C2S1_1" formatStyle="Comma" appId="_GBC_d175ecfe27dc4b7592725426a352847c">
        <m:complexRule comparator="Eq" title="其他权益工具投资@本期期初数" test=" $_GBC_f7f1ab7e232a409a9cd4e0a62fc3d0e9" id="C1eef6bf78cdd4af88d4ae2fc7c59a1a7"/>
      </m:item>
    </m:section>
    <m:section xlName="_SEC_cfe1ba6c98894c1f8f64c41c9a5b8180" title="非交易性权益工具投资的情况" helpId="112001059">
      <m:item xlName="_GBC_5bc286b941b942a6afabd12760854b2c" concept="clcid-ci-ar:ShiFouShiYongFeiJiaoYiXingQuanYiGongJuTouZiQingKuang" label="是否适用：非交易性权益工具投资情况" selectOptions="_buildInAppliance" controlType="CustomCheckbox" cRanges="[{&quot;StartName&quot;:&quot;_GBC_5bc286b941b942a6afabd12760854b2c&quot;,&quot;EndName&quot;:&quot;_GBC_8ddf7186eec54a03a078e67e26a5df2d&quot;,&quot;CType&quot;:1}]"/>
      <m:item xlName="_GBC_24a73daa93104b4ea19d564a3c3c97e1" concept="clcid-ci-ar:DanWeiFeiJiaoYiXingQuanYiGongJuTouZiQingKuang" label="单位：非交易性权益工具投资情况" selectOptions="_buildInScales" controlType="Combobox" cellType="Scale" appId="_GBC_5bc286b941b942a6afabd12760854b2c"/>
      <m:item xlName="_GBC_aa2f55d9b37b492197f09a2900567cae" concept="clcid-ci-ar:BiZhongFeiJiaoYiXingQuanYiGongJuTouZiQingKuang" label="币种：非交易性权益工具投资情况" selectOptions="_buildInISO4217" controlType="Combobox" cellType="Measure" appId="_GBC_5bc286b941b942a6afabd12760854b2c"/>
      <m:placeholder xlName="_PLD_d06d252659634d18b7d4e58918fb73e5" addr="T0R0C0S1_1"/>
      <m:placeholder xlName="_PLD_e52742bf0c554cc1b48c5d5adef8e252" addr="T0R0C1S1_1"/>
      <m:placeholder xlName="_PLD_f2bab6835cbb4dca9c54431b8410da07" addr="T0R0C2S1_1"/>
      <m:placeholder xlName="_PLD_dcdff2fae0984174afb9659423a57ce5" addr="T0R0C3S1_1"/>
      <m:placeholder xlName="_PLD_cd4f58ef44f64eaeada88bb43d9c1bca" addr="T0R0C4S1_1"/>
      <m:placeholder xlName="_PLD_b92292a7b8f443118e623cbc170be8a4" addr="T0R0C5S1_1"/>
      <m:placeholder xlName="_PLD_db388ca434e6444ab28298438291ce2a" addr="T0R0C6S1_1"/>
      <m:tuple xlName="_TUP_14a75d39b9664231aa6975a07b0c79b1" concept="clcid-pte:FeiJiaoYiXingQuanYiGongJuTouZiMingXi" default_row="2" addr="T0R1C">
        <m:item xlName="_GBC_d4d465bac3fd4352a4fe6469d03eefee" concept="clcid-pte:FeiJiaoYiXingQuanYiGongJuTouZiMingXiXiangMu" label="非交易性权益工具投资明细-项目" addr="T0R1C0S1_1" appId="_GBC_5bc286b941b942a6afabd12760854b2c"/>
        <m:item xlName="_GBC_027671052a8f481c9ac8354d7c34979e" concept="clcid-pte:FeiJiaoYiXingQuanYiGongJuTouZiMingXiBenQiQueRenDeGuLiShouRu" label="非交易性权益工具投资明细-本期确认的股利收入" mulRef="_GBC_24a73daa93104b4ea19d564a3c3c97e1" unitRef="_GBC_aa2f55d9b37b492197f09a2900567cae" addr="T0R1C1S1_1" formatStyle="Comma" appId="_GBC_5bc286b941b942a6afabd12760854b2c"/>
        <m:item xlName="_GBC_3acc4a6f3d1c434ea7f0533b50453bba" concept="clcid-pte:FeiJiaoYiXingQuanYiGongJuTouZiMingXiLeiJiLiDe" label="非交易性权益工具投资明细-累计利得" mulRef="_GBC_24a73daa93104b4ea19d564a3c3c97e1" unitRef="_GBC_aa2f55d9b37b492197f09a2900567cae" addr="T0R1C2S1_1" formatStyle="Comma" appId="_GBC_5bc286b941b942a6afabd12760854b2c"/>
        <m:item xlName="_GBC_846ec41d19b548ddb6d85433ff94f116" concept="clcid-pte:FeiJiaoYiXingQuanYiGongJuTouZiMingXiLeiJiSunShi" label="非交易性权益工具投资明细-累计损失" mulRef="_GBC_24a73daa93104b4ea19d564a3c3c97e1" unitRef="_GBC_aa2f55d9b37b492197f09a2900567cae" addr="T0R1C3S1_1" formatStyle="Comma" appId="_GBC_5bc286b941b942a6afabd12760854b2c"/>
        <m:item xlName="_GBC_ae765b014c364b519e862ba6c444055d" concept="clcid-pte:FeiJiaoYiXingQuanYiGongJuTouZiMingXiQiTaZongHeShouYiZhuanRuLiuCunShouYiDeJinE" label="非交易性权益工具投资明细-其他综合收益转入留存收益的金额" mulRef="_GBC_24a73daa93104b4ea19d564a3c3c97e1" unitRef="_GBC_aa2f55d9b37b492197f09a2900567cae" addr="T0R1C4S1_1" formatStyle="Comma" appId="_GBC_5bc286b941b942a6afabd12760854b2c"/>
        <m:item xlName="_GBC_49e13e7203104c7e88182469726ecd19" concept="clcid-pte:FeiJiaoYiXingQuanYiGongJuTouZiMingXiZhiDingWeiYiGongYunJiaZhiJiLiangQieQiBianDongJiRuQiTaZongHeShouYiDeYuanYin" label="非交易性权益工具投资明细-指定为以公允价值计量且其变动计入其他综合收益的原因" addr="T0R1C5S1_1" appId="_GBC_5bc286b941b942a6afabd12760854b2c"/>
        <m:item xlName="_GBC_8ddf7186eec54a03a078e67e26a5df2d" concept="clcid-pte:FeiJiaoYiXingQuanYiGongJuTouZiMingXiZhuanRuYuanYin" label="非交易性权益工具投资明细-转入原因" addr="T0R1C6S1_1" appId="_GBC_5bc286b941b942a6afabd12760854b2c"/>
      </m:tuple>
    </m:section>
    <m:section xlName="_SEC_e3d4d5136ad847a0a66a1c4edca28c29" title="其他说明：" helpId="112001059">
      <m:item xlName="_GBC_9bd79d8d324a4f4c984344781e18ee35" concept="clcid-ci-ar:ShiFouShiYongQiTaQuanYiGongJuTouZiQiTaShuoMing" label="是否适用：其他权益工具投资其他说明" selectOptions="_buildInAppliance" controlType="CustomCheckbox" cRanges="[{&quot;StartName&quot;:&quot;_GBC_9bd79d8d324a4f4c984344781e18ee35&quot;,&quot;EndName&quot;:&quot;_GBC_2ddf2f7c39904ba79afaefe2bbb25ad8&quot;,&quot;CType&quot;:1}]"/>
      <m:item xlName="_GBC_2ddf2f7c39904ba79afaefe2bbb25ad8" concept="clcid-pte:QiTaQuanYiGongJuTouZiQiTaShuoMing" label="其他权益工具投资其他说明" appId="_GBC_9bd79d8d324a4f4c984344781e18ee35"/>
    </m:section>
    <m:section xlName="_SEC_6895bb6903584ff780f3500311ed1560" title="其他非流动金融资产">
      <m:item xlName="_GBC_39a16d6030db4b008bd8e70705c49dd5" concept="clcid-ci-ar:ShiFouShiYongQiTaFeiLiuDongJinRongZiChan" label="是否适用：其他非流动金融资产" selectOptions="_buildInAppliance" controlType="CustomCheckbox" cRanges="[{&quot;StartName&quot;:&quot;_GBC_39a16d6030db4b008bd8e70705c49dd5&quot;,&quot;EndName&quot;:&quot;_GBC_37b8dcc3b7224862a4fd92cb9cb0847a&quot;,&quot;CType&quot;:1}]"/>
      <m:item xlName="_GBC_5b71e344ee4a4b75b4e1ad6a64a64951" concept="clcid-ci-ar:DanWeiQiTaFeiLiuDongJinRongZiChan" label="单位：其他非流动金融资产" selectOptions="_buildInScales" controlType="Combobox" cellType="Scale" appId="_GBC_39a16d6030db4b008bd8e70705c49dd5"/>
      <m:item xlName="_GBC_328ac62ac4c04ba5a240d189e78801d2" concept="clcid-ci-ar:BiZhongQiTaFeiLiuDongJinRongZiChan" label="币种：其他非流动金融资产" selectOptions="_buildInISO4217" controlType="Combobox" cellType="Measure" appId="_GBC_39a16d6030db4b008bd8e70705c49dd5"/>
      <m:placeholder xlName="_PLD_368e897e0b6d4c33891110578462f85a" addr="T0R0C0S1_1"/>
      <m:placeholder xlName="_PLD_1b9292064fbf4f529dddfa8a709ecb23" addr="T0R0C1S1_1"/>
      <m:placeholder xlName="_PLD_eb417a8c21ba4afd967834600316003d" addr="T0R0C2S1_1"/>
      <m:tuple xlName="_TUP_ba201d1821ad43148235a005a3d4c647" concept="clcid-pte:QiTaFeiLiuDongJinRongZiChanMingXi" default_row="2" addr="T0R1C">
        <m:item xlName="_GBC_7063139aae364794af04f59e9de7131c" concept="clcid-pte:QiTaFeiLiuDongJinRongZiChanMingXiXiangMu" label="其他非流动金融资产明细-项目" addr="T0R1C0S1_1" appId="_GBC_39a16d6030db4b008bd8e70705c49dd5"/>
        <m:item xlName="_GBC_a31866e99b154280a93a05873b4c6f9e" concept="clcid-pte:QiTaFeiLiuDongJinRongZiChanMingXiFaShengE" label="其他非流动金融资产明细-发生额" mulRef="_GBC_5b71e344ee4a4b75b4e1ad6a64a64951" unitRef="_GBC_328ac62ac4c04ba5a240d189e78801d2" addr="T0R1C1S1_1" formatStyle="Comma" appId="_GBC_39a16d6030db4b008bd8e70705c49dd5"/>
        <m:item xlName="_GBC_63c1717f3e194671a5c5406d47a01682" concept="clcid-pte:QiTaFeiLiuDongJinRongZiChanMingXiFaShengE" label="其他非流动金融资产明细-发生额" periodRef="本期期初数" mulRef="_GBC_5b71e344ee4a4b75b4e1ad6a64a64951" unitRef="_GBC_328ac62ac4c04ba5a240d189e78801d2" addr="T0R1C2S1_1" formatStyle="Comma" appId="_GBC_39a16d6030db4b008bd8e70705c49dd5"/>
      </m:tuple>
      <m:placeholder xlName="_PLD_fab894f676854d2a96dbf6e1d97540a1" addr="T0R3C0S1_1"/>
      <m:item xlName="_GBC_4b00bebc683843578928f80d4b1cc861" concept="clcid-pte:QiTaFeiLiuDongJinRongZiChan" label="其他非流动金融资产" mulRef="_GBC_5b71e344ee4a4b75b4e1ad6a64a64951" unitRef="_GBC_328ac62ac4c04ba5a240d189e78801d2" addr="T0R3C1S1_1" formatStyle="Comma" appId="_GBC_39a16d6030db4b008bd8e70705c49dd5">
        <m:complexRule comparator="Eq" title="其他非流动金融资产" test=" $_GBC_a31866e99b154280a93a05873b4c6f9e" id="C956222263fed4dcc97ab717ee79e79df"/>
      </m:item>
      <m:item xlName="_GBC_31e9143a99bf47f3bd953b5e0336566a" concept="clcid-pte:QiTaFeiLiuDongJinRongZiChan" label="其他非流动金融资产" periodRef="本期期初数" mulRef="_GBC_5b71e344ee4a4b75b4e1ad6a64a64951" unitRef="_GBC_328ac62ac4c04ba5a240d189e78801d2" addr="T0R3C2S1_1" formatStyle="Comma" appId="_GBC_39a16d6030db4b008bd8e70705c49dd5">
        <m:complexRule comparator="Eq" title="其他非流动金融资产@本期期初数" test=" $_GBC_63c1717f3e194671a5c5406d47a01682" id="Cd4f7b93b829647afbb2c67744c1ebe4e"/>
      </m:item>
      <m:item xlName="_GBC_37b8dcc3b7224862a4fd92cb9cb0847a" concept="clcid-pte:QiTaFeiLiuDongJinRongZiChanQiTaShuoMing" label="其他非流动金融资产其他说明" appId="_GBC_39a16d6030db4b008bd8e70705c49dd5"/>
    </m:section>
    <m:section xlName="_GBC_f6dac261d9a74df7a48db85ed7768fd1" title="成本计量模式" rules="R2015_R11_011" checkKey="!公允价值计量"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item xlName="_GBC_3315dd1b9cb743c786e01b4b9e91b10d" concept="clcid-ci-ar:DanWeiCaiWuFuZhuTouZiXingFangDiChan" label="单位：财务附注：投资性房地产" selectOptions="_buildInScales" controlType="Combobox" cellType="Scale"/>
      <m:item xlName="_GBC_424f36c4f1bf48ce8d47b51437412ff8" concept="clcid-ci-ar:BiZhongCaiWuFuZhuTouZiXingFangDiChan" label="币种：财务附注：投资性房地产" selectOptions="_buildInISO4217" controlType="Combobox" cellType="Measure"/>
      <m:placeholder xlName="_PLD_f82c9789feaf4b508c71ad4b5e91a0e5" addr="T0R0C0S1_1"/>
      <m:placeholder xlName="_PLD_9acf20e2f08a4439b18de021843e599c" addr="T0R0C1S1_1"/>
      <m:placeholder xlName="_PLD_4f977bf68eee455fb4656653927db6b6" addr="T0R0C2S1_1"/>
      <m:placeholder xlName="_PLD_2cb3e53634aa4730a0686d5243244bc5" addr="T0R0C3S1_1"/>
      <m:placeholder xlName="_PLD_51485c0f99734a81b5c4137837506697" addr="T0R0C4S1_1"/>
      <m:placeholder xlName="_PLD_9e97c75701d54838ab5408284eada7b8" addr="T0R1C0S1_1"/>
      <m:placeholder xlName="_PLD_5b4a89b12d9f471d8810578431d22e03"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tuple>
      <m:placeholder xlName="_PLD_d251894485574bc58cf98bb5aa71739f"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tuple>
      <m:placeholder xlName="_PLD_7daa9ce704e447019c8f969015d9d0e8"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addr="T0R15C0S1_1"/>
      <m:placeholder xlName="_PLD_c947d0aa69174c1ba5672d010e59bdb7"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tuple>
      <m:placeholder xlName="_PLD_1101e9ce292b422bacfd16e7ed3bed19"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tuple>
      <m:placeholder xlName="_PLD_cca29cb0e3b6444ab5e6af06b9935847"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addr="T0R27C0S1_1"/>
      <m:placeholder xlName="_PLD_685647660ea448c692140eff28695e32"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tuple>
      <m:placeholder xlName="_PLD_3a80eedd98a0469eb67a1d60dbb03de7"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tuple>
      <m:placeholder xlName="_PLD_c25a5691f17f46c1b2ebb44b9889b35e"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addr="T0R39C0S1_1"/>
      <m:placeholder xlName="_PLD_9e2ff7b138194a18892eb08dcc0b7923"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addr="T1R0C0S1_1"/>
      <m:placeholder xlName="_PLD_09530227fc6641b8a91deec6d447dac0" addr="T1R0C1S1_1"/>
      <m:placeholder xlName="_PLD_4af635cb01b34ef8a8351309e6df2ec0" addr="T1R0C2S1_1"/>
      <m:tuple xlName="_TUP_b8488f9577fc4efca936aea5a22c3395" concept="clcid-pte:WeiBanTuoChanQuanZhengShuDeTouZiXingFangDiChanJinEJiYuanYinMingXi" default_row="2" addr="T1R1C">
        <m:item xlName="_GBC_00d703d19e9141f9913d3d588f4036bc"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placeholder xlName="_PLD_b96b9a0d652c42729d37043ca500e287"/>
    </m:section>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concept="clcid-ci-ar:DanWeiCaiWuFuZhuAnGongYunJiaZhiJiLiangDeTouZiXingFangDiChan" label="单位：财务附注：按公允价值计量的投资性房地产" selectOptions="_buildInScales" controlType="Combobox" cellType="Scale"/>
      <m:item xlName="_GBC_ab727728b2474f9faacae67c00bf0afe" concept="clcid-ci-ar:BiZhongCaiWuFuZhuAnGongYunJiaZhiJiLiangDeTouZiXingFangDiChan" label="币种：财务附注：按公允价值计量的投资性房地产" selectOptions="_buildInISO4217" controlType="Combobox" cellType="Measure"/>
      <m:placeholder xlName="_PLD_5c8971a7643e473e8da0cb49b691de17" addr="T0R0C0S1_1"/>
      <m:placeholder xlName="_PLD_6b7361d51ce54edfa90bd144c75a07e6" addr="T0R0C1S1_1"/>
      <m:placeholder xlName="_PLD_90a7ada9a96f4865a914c04b29f5e7a6" addr="T0R0C2S1_1"/>
      <m:placeholder xlName="_PLD_951d77d28c044e859f4e1f5fdcc625fa" addr="T0R0C3S1_1"/>
      <m:placeholder xlName="_PLD_089c0234bd304e26899493c36cb6a6e7" addr="T0R0C4S1_1"/>
      <m:placeholder xlName="_PLD_d61dcf5ae5e74a7bb03b2783082506fe"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addr="T1R0C0S1_1"/>
      <m:placeholder xlName="_PLD_90830921bf6f493d836d8802bd6ae4ec" addr="T1R0C1S1_1"/>
      <m:placeholder xlName="_PLD_6752183ecb424a7abe8607de6c2c60cf" addr="T1R0C2S1_1"/>
      <m:tuple xlName="_TUP_5c9770612a964e2d8a45bf9fb9cf560b" concept="clcid-pte:WeiBanTuoChanQuanZhengShuDeTouZiXingFangDiChanJinEJiYuanYinMingXi" default_row="2" addr="T1R1C">
        <m:item xlName="_GBC_eac367006e2047cca68cb3d8af67b928"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SEC_d216074d2ae442239dbb6f5f9b7a5d89" title="固定资产项目列示">
      <m:item xlName="_GBC_73d82e583dcc4330bebfeb83abd5f5bb" concept="clcid-ci-ar:ShiFouShiYongGuDingZiChanFenLeiLieShi" label="是否适用：固定资产分类列示" selectOptions="_buildInAppliance" controlType="CustomCheckbox" cRanges="[{&quot;StartName&quot;:&quot;_GBC_73d82e583dcc4330bebfeb83abd5f5bb&quot;,&quot;EndName&quot;:&quot;_GBC_4af95312f3fa4fb8b86c49471ccdb926&quot;,&quot;CType&quot;:1}]"/>
      <m:item xlName="_GBC_1ddbfde119544f109a3b12a48ffde12d" concept="clcid-ci-ar:DanWeiGuDingZiChanFenLeiLieShi" label="单位：固定资产分类列示" selectOptions="_buildInScales" controlType="Combobox" cellType="Scale" appId="_GBC_73d82e583dcc4330bebfeb83abd5f5bb"/>
      <m:item xlName="_GBC_fcb83ec59024431d9f3167f55c1ae7c0" concept="clcid-ci-ar:BiZhongGuDingZiChanFenLeiLieShi" label="币种：固定资产分类列示" selectOptions="_buildInISO4217" controlType="Combobox" cellType="Measure" appId="_GBC_73d82e583dcc4330bebfeb83abd5f5bb"/>
      <m:placeholder xlName="_PLD_8242dd3761084b5fa8943b910dbdbe45" addr="T0R0C0S1_1"/>
      <m:placeholder xlName="_PLD_666df388ce2f4405af4694ebf5c112ca" addr="T0R0C1S1_1"/>
      <m:placeholder xlName="_PLD_ca4fd9ec8b6a43259f78c36475f04e58" addr="T0R0C2S1_1"/>
      <m:placeholder xlName="_PLD_722c53058dad410fa612baf9cbff9bc1" addr="T0R1C0S1_1" helpText="此处的固定资产是指扣除固定资产清理后的固定资产"/>
      <m:item xlName="_GBC_96700def480c4fd78f1b70e983a549a7" concept="clcid-pte:GuDingZiChanHeJi" label="固定资产合计" mulRef="_GBC_1ddbfde119544f109a3b12a48ffde12d" unitRef="_GBC_fcb83ec59024431d9f3167f55c1ae7c0" addr="T0R1C1S1_1" formatStyle="Comma" helpText="此处的固定资产是指扣除固定资产清理后的固定资产" appId="_GBC_73d82e583dcc4330bebfeb83abd5f5bb"/>
      <m:item xlName="_GBC_9c06698be3c3475999c731f0fd0aa7d5" concept="clcid-pte:GuDingZiChanHeJi" label="固定资产合计" periodRef="本期期初数" mulRef="_GBC_1ddbfde119544f109a3b12a48ffde12d" unitRef="_GBC_fcb83ec59024431d9f3167f55c1ae7c0" addr="T0R1C2S1_1" formatStyle="Comma" helpText="此处的固定资产是指扣除固定资产清理后的固定资产" appId="_GBC_73d82e583dcc4330bebfeb83abd5f5bb"/>
      <m:placeholder xlName="_PLD_2f47b0a195064c638089bc384523b564" addr="T0R2C0S1_1"/>
      <m:item xlName="_GBC_7aa43a8edb364a30a2fc81d6ef47c553" concept="clcid-pte:GuDingZiChanQingLi" label="固定资产清理" mulRef="_GBC_1ddbfde119544f109a3b12a48ffde12d" unitRef="_GBC_fcb83ec59024431d9f3167f55c1ae7c0" addr="T0R2C1S1_1" formatStyle="Comma" appId="_GBC_73d82e583dcc4330bebfeb83abd5f5bb"/>
      <m:item xlName="_GBC_d91c1efeafb84f5698229c260b51fbf7" concept="clcid-pte:GuDingZiChanQingLi" label="固定资产清理" periodRef="本期期初数" mulRef="_GBC_1ddbfde119544f109a3b12a48ffde12d" unitRef="_GBC_fcb83ec59024431d9f3167f55c1ae7c0" addr="T0R2C2S1_1" formatStyle="Comma" appId="_GBC_73d82e583dcc4330bebfeb83abd5f5bb"/>
      <m:placeholder xlName="_PLD_c4125b2326324bf0b90cbe28b521a568" addr="T0R3C0S1_1"/>
      <m:item xlName="_GBC_f5b95b15abdd4642957869b18eb1a932" concept="clcid-pte:GuDingZiChanJingE" label="固定资产净额" mulRef="_GBC_1ddbfde119544f109a3b12a48ffde12d" unitRef="_GBC_fcb83ec59024431d9f3167f55c1ae7c0" addr="T0R3C1S1_1" formatStyle="Comma" appId="_GBC_73d82e583dcc4330bebfeb83abd5f5bb">
        <m:complexRule comparator="Eq" title="固定资产净额" test=" $_GBC_96700def480c4fd78f1b70e983a549a7 +  $_GBC_7aa43a8edb364a30a2fc81d6ef47c553" id="Cded1038339ef497cbc2c0475ebe3e136"/>
      </m:item>
      <m:item xlName="_GBC_4af95312f3fa4fb8b86c49471ccdb926" concept="clcid-pte:GuDingZiChanJingE" label="固定资产净额" periodRef="本期期初数" mulRef="_GBC_1ddbfde119544f109a3b12a48ffde12d" unitRef="_GBC_fcb83ec59024431d9f3167f55c1ae7c0" addr="T0R3C2S1_1" formatStyle="Comma" appId="_GBC_73d82e583dcc4330bebfeb83abd5f5bb">
        <m:complexRule comparator="Eq" title="固定资产净额@本期期初数" test=" $_GBC_9c06698be3c3475999c731f0fd0aa7d5 +  $_GBC_d91c1efeafb84f5698229c260b51fbf7" id="Cbe1a07fd12c842ba98e1840f6cd29d51"/>
      </m:item>
      <m:item xlName="_GBC_9028bab58a12485bb8ef4d316280f591" concept="clcid-pte:GuDingZiChanFenLeiLieShiQiTaShuoMing" label="固定资产分类列示其他说明"/>
    </m:section>
    <m:section xlName="_GBC_6b764c2f9af049ba98fb55c66fe083a9" title="固定资产情况" rules="R2015_R11_012" convertSummaryRule="NoConvert" helpId="112001065" helpText="注：公司根据自身实际情况确定类别，一般包括房屋及建筑物、机器设备、电子设备、运输设备等。">
      <m:item xlName="_GBC_dea1f620aab74d63b1372d831b5b450f" concept="clcid-ci-ar:ShiFouShiYongGuDingZiChanQingKuang" label="是否适用：固定资产情况" selectOptions="_buildInAppliance" controlType="CustomCheckbox" cRanges="{&quot;StartName&quot;:&quot;_GBC_dea1f620aab74d63b1372d831b5b450f&quot;,&quot;EndName&quot;:&quot;_GBC_51f53c66f9f6487e9d52c830e591b9e4&quot;,&quot;CType&quot;:1,&quot;DisplayText&quot;:null}"/>
      <m:item xlName="_GBC_563afa3e91c048118558af0713b1a1af" concept="clcid-ci-ar:DanWeiCaiWuFuZhuGuDingZiChanQingKuang" label="单位：财务附注：固定资产情况" selectOptions="_buildInScales" controlType="Combobox" cellType="Scale" appId="_GBC_dea1f620aab74d63b1372d831b5b450f"/>
      <m:item xlName="_GBC_c5ecae448dd948eca54add973afbe77b" concept="clcid-ci-ar:BiZhongCaiWuFuZhuGuDingZiChanQingKuang" label="币种：财务附注：固定资产情况" selectOptions="_buildInISO4217" controlType="Combobox" cellType="Measure" appId="_GBC_dea1f620aab74d63b1372d831b5b450f"/>
      <m:placeholder xlName="_PLD_1741958de41447b7ac4cbd15ce893c6c" addr="T0R0C0S1_1"/>
      <m:item xlName="_GBC_936a8499167f477aab1a2942b2fdbdaf" concept="clcid-pte:GuDingZiChanQingKuangMingXiXiangMuMingCheng" label="固定资产情况明细-项目名称" selectOptions="d5472213416240b398396a24a1cc1f3d" addr="T0R0C1S1_1" controlType="CellText" tagAction="1" tupleRef="clcid-pte:GuDingZiChanQingKuangMingXi" appId="_GBC_dea1f620aab74d63b1372d831b5b450f" iterateOptionValue="4" checkOption="Ignore"/>
      <m:placeholder xlName="_PLD_0b635f975b4949dbb798f88c3dcf1d8d" addr="T0R0C2S1_1"/>
      <m:placeholder xlName="_PLD_e1d4e79d72fd45cc925f8729ecef795c" addr="T0R1C0S1_1"/>
      <m:placeholder xlName="_PLD_76089fd0a4a0479c8c1f36c514cb7ecd" addr="T0R2C0S1_1"/>
      <m:item xlName="_GBC_fdb12b9524f749d5bc2a8298f5467522" concept="clcid-pte:GuDingZiChanQingKuangMingXiZhangMianYuanZhi" label="固定资产情况明细-账面原值" periodRef="本期期初数" mulRef="_GBC_563afa3e91c048118558af0713b1a1af" unitRef="_GBC_c5ecae448dd948eca54add973afbe77b" addr="T0R2C1S1_1" formatStyle="Comma" tupleRef="clcid-pte:GuDingZiChanQingKuangMingXi" appId="_GBC_dea1f620aab74d63b1372d831b5b450f">
        <m:complexRule comparator="Eq" title="固定资产情况明细-账面原值@本期期初数" id="C98c24a42ef3f4c5d832fe7c5d9b06983"/>
      </m:item>
      <m:item xlName="_GBC_8cc80c706a2f4873b00ef96d83cfc608" concept="clcid-pte:GuDingZiChanYuanJia" label="固定资产原价" periodRef="本期期初数" mulRef="_GBC_563afa3e91c048118558af0713b1a1af" unitRef="_GBC_c5ecae448dd948eca54add973afbe77b" addr="T0R2C2S1_1" formatStyle="Comma" appId="_GBC_dea1f620aab74d63b1372d831b5b450f">
        <m:complexRule comparator="Eq" title="固定资产原价@本期期初数" disabled="true" test=" $_GBC_fdb12b9524f749d5bc2a8298f5467522" id="C68b61b254ec949ecbb731a5d1cf1c8de" serialType="2"/>
      </m:item>
      <m:placeholder xlName="_PLD_ee436c0e086043f0a5f400c99fbf0df9" addr="T0R3C0S1_1"/>
      <m:item xlName="_GBC_1a237c31cdbf44199ea75b7e72cca64a" concept="clcid-pte:GuDingZiChanQingKuangMingXiYuanZhiBenQiZengJia" label="固定资产情况明细-原值本期增加" mulRef="_GBC_563afa3e91c048118558af0713b1a1af" unitRef="_GBC_c5ecae448dd948eca54add973afbe77b" addr="T0R3C1S1_1" formatStyle="Comma" tupleRef="clcid-pte:GuDingZiChanQingKuangMingXi" appId="_GBC_dea1f620aab74d63b1372d831b5b450f">
        <m:complexRule comparator="Eq" title="固定资产情况明细-原值本期增加" test=" $_GBC_ede2785556d64a79bbd34040351834a2 +  $_GBC_ea84dadfe66446b183bcd5e129e67533 +  $_GBC_4e16228c05ca4231becef71afcd9de59 +  $_GBC_c2ca665b86c0425dba69c4867b84d3f4" id="C87beee772b8b4e08a42fe0fc6aad5adf" serialType="1"/>
      </m:item>
      <m:item xlName="_GBC_654b01ad3c1a4e9285c6e05765d1bc38" concept="clcid-pte:GuDingZiChanYuanJiaHeJiZengJiaShu" label="固定资产原价合计增加数" mulRef="_GBC_563afa3e91c048118558af0713b1a1af" unitRef="_GBC_c5ecae448dd948eca54add973afbe77b" addr="T0R3C2S1_1" formatStyle="Comma" appId="_GBC_dea1f620aab74d63b1372d831b5b450f">
        <m:complexRule comparator="Eq" title="固定资产原价合计增加数" test=" $_GBC_13c07a1d1f9f45e5920009a6afe410c6 +  $_GBC_6da9f3b8ff3f4caea581c2cf1ee24ba8 +  $_GBC_363399ea6c25434d938bc8e25fc85706 +  $_GBC_001e75f32bd54007926becb1d5aa914d" id="Cea127e02b1a047c588cd2ea14f9ab2b0" serialType="1"/>
        <m:complexRule comparator="Eq" title="固定资产原价合计增加数横向合计" disabled="true" test=" $_GBC_1a237c31cdbf44199ea75b7e72cca64a" id="C62ac91f7626c4453a5ad3209ebdc3a3d" serialType="2"/>
      </m:item>
      <m:placeholder xlName="_PLD_52f208e0e9cd4154b48b25225e9d4e33" addr="T0R4C0S1_1"/>
      <m:item xlName="_GBC_ede2785556d64a79bbd34040351834a2" concept="clcid-pte:GuDingZiChanQingKuangMingXiGouZhi" label="固定资产情况明细-购置" mulRef="_GBC_563afa3e91c048118558af0713b1a1af" unitRef="_GBC_c5ecae448dd948eca54add973afbe77b" addr="T0R4C1S1_1" formatStyle="Comma" tupleRef="clcid-pte:GuDingZiChanQingKuangMingXi" appId="_GBC_dea1f620aab74d63b1372d831b5b450f"/>
      <m:item xlName="_GBC_13c07a1d1f9f45e5920009a6afe410c6" concept="clcid-pte:GouZhiDaoZhiDeGuDingZiChanYuanZhiBenQiZengJiaHeJi" label="购置导致的固定资产原值本期增加合计" mulRef="_GBC_563afa3e91c048118558af0713b1a1af" unitRef="_GBC_c5ecae448dd948eca54add973afbe77b" addr="T0R4C2S1_1" formatStyle="Comma" appId="_GBC_dea1f620aab74d63b1372d831b5b450f">
        <m:complexRule comparator="Eq" title="购置导致的固定资产原值本期增加合计" disabled="true" test=" $_GBC_ede2785556d64a79bbd34040351834a2" id="Cf34b5ea6f8dd407689b20187a68d3c04" serialType="2"/>
      </m:item>
      <m:placeholder xlName="_PLD_c449c35eb24a41ae87b7fabcc7ac49f2" addr="T0R5C0S1_1"/>
      <m:item xlName="_GBC_ea84dadfe66446b183bcd5e129e67533" concept="clcid-pte:GuDingZiChanQingKuangMingXiZaiJianGongChengZhuanRu" label="固定资产情况明细-在建工程转入" mulRef="_GBC_563afa3e91c048118558af0713b1a1af" unitRef="_GBC_c5ecae448dd948eca54add973afbe77b" addr="T0R5C1S1_1" formatStyle="Comma" tupleRef="clcid-pte:GuDingZiChanQingKuangMingXi" appId="_GBC_dea1f620aab74d63b1372d831b5b450f"/>
      <m:item xlName="_GBC_6da9f3b8ff3f4caea581c2cf1ee24ba8" concept="clcid-pte:ZaiJianGongChengZhuanRuDaoZhiDeGuDingZiChanYuanZhiBenQiZengJiaHeJi" label="在建工程转入导致的固定资产原值本期增加合计" mulRef="_GBC_563afa3e91c048118558af0713b1a1af" unitRef="_GBC_c5ecae448dd948eca54add973afbe77b" addr="T0R5C2S1_1" formatStyle="Comma" appId="_GBC_dea1f620aab74d63b1372d831b5b450f">
        <m:complexRule comparator="Eq" title="在建工程转入导致的固定资产原值本期增加合计" disabled="true" test=" $_GBC_ea84dadfe66446b183bcd5e129e67533" id="Cabc3f065736a43fab3ba9a282b341b6f" serialType="2"/>
      </m:item>
      <m:placeholder xlName="_PLD_1c36f9524fa147baa9fa4bde2c6a8612" addr="T0R6C0S1_1"/>
      <m:item xlName="_GBC_4e16228c05ca4231becef71afcd9de59" concept="clcid-pte:GuDingZiChanQingKuangMingXiQiYeHeBingZengJia" label="固定资产情况明细-企业合并增加" mulRef="_GBC_563afa3e91c048118558af0713b1a1af" unitRef="_GBC_c5ecae448dd948eca54add973afbe77b" addr="T0R6C1S1_1" formatStyle="Comma" tupleRef="clcid-pte:GuDingZiChanQingKuangMingXi" appId="_GBC_dea1f620aab74d63b1372d831b5b450f"/>
      <m:item xlName="_GBC_363399ea6c25434d938bc8e25fc85706" concept="clcid-pte:QiYeHeBingZengJiaDaoZhiDeGuDingZiChanYuanZhiBenQiZengJiaHeJi" label="企业合并增加导致的固定资产原值本期增加合计" mulRef="_GBC_563afa3e91c048118558af0713b1a1af" unitRef="_GBC_c5ecae448dd948eca54add973afbe77b" addr="T0R6C2S1_1" formatStyle="Comma" appId="_GBC_dea1f620aab74d63b1372d831b5b450f">
        <m:complexRule comparator="Eq" title="企业合并增加导致的固定资产原值本期增加合计" disabled="true" test=" $_GBC_4e16228c05ca4231becef71afcd9de59" id="Ce0299dfc3c194a56b90c875291376107" serialType="2"/>
      </m:item>
      <m:item xlName="_GBC_4d32d042060b4c8aa7f965b96f5580a8" concept="clcid-pte:GuDingZiChanZhangMianYuanZhiZengJiaXiangMuMingCheng1" label="固定资产账面原值增加项目名称1" addr="T0R7C0S1_1" tagAction="1" appId="_GBC_dea1f620aab74d63b1372d831b5b450f" isSerialConcept="true" serialDirection="1" serialDefaultCount="2"/>
      <m:item xlName="_GBC_c2ca665b86c0425dba69c4867b84d3f4" concept="clcid-pte:GuDingZiChanZhangMianYuanZhiZengJiaXiangMuJinE1" label="固定资产账面原值增加项目金额1" mulRef="_GBC_563afa3e91c048118558af0713b1a1af" unitRef="_GBC_c5ecae448dd948eca54add973afbe77b" addr="T0R7C1S1_1" tagAction="1" formatStyle="Comma" tupleRef="clcid-pte:GuDingZiChanQingKuangMingXi" appId="_GBC_dea1f620aab74d63b1372d831b5b450f" isSerialConcept="true" serialDirection="1" serialDefaultCount="2"/>
      <m:item xlName="_GBC_001e75f32bd54007926becb1d5aa914d" concept="clcid-pte:GuDingZiChanZhangMianYuanZhiZengJiaXiangMuHeJiJinE1" label="固定资产账面原值增加项目合计金额1" mulRef="_GBC_563afa3e91c048118558af0713b1a1af" unitRef="_GBC_c5ecae448dd948eca54add973afbe77b" addr="T0R7C2S1_1" tagAction="1" formatStyle="Comma" appId="_GBC_dea1f620aab74d63b1372d831b5b450f" isSerialConcept="true" serialDirection="1" serialDefaultCount="2">
        <m:complexRule comparator="Eq" title="固定资产账面原值增加项目合计金额1" disabled="true" test=" $_GBC_c2ca665b86c0425dba69c4867b84d3f4" id="C5e465998d5744cbeb761c75437e34049" serialType="2"/>
      </m:item>
      <m:placeholder xlName="_PLD_dfb162daa7694866a1c4e80fabb81d52" addr="T0R8C0S1_1"/>
      <m:item xlName="_GBC_bba2eb02b7c845aeac2541e0d892e8a1" concept="clcid-pte:GuDingZiChanQingKuangMingXiYuanZhiBenQiJianShao" label="固定资产情况明细-原值本期减少" mulRef="_GBC_563afa3e91c048118558af0713b1a1af" unitRef="_GBC_c5ecae448dd948eca54add973afbe77b" addr="T0R8C1S1_1" formatStyle="Comma" tupleRef="clcid-pte:GuDingZiChanQingKuangMingXi" appId="_GBC_dea1f620aab74d63b1372d831b5b450f">
        <m:complexRule comparator="Eq" title="固定资产情况明细-原值本期减少" test=" $_GBC_0e5821b8e0bb4582be47d7948aa2f358 +  $_GBC_86b298d954344511b012e84c48d4404f" id="C2f2d5db8eada49ef89cecf9dfcaee09f" serialType="1"/>
      </m:item>
      <m:item xlName="_GBC_218a61684e4b423d8b56b054b3fd5ee4" concept="clcid-pte:GuDingZiChanYuanJiaHeJiJianShaoShu" label="固定资产原价合计减少数" mulRef="_GBC_563afa3e91c048118558af0713b1a1af" unitRef="_GBC_c5ecae448dd948eca54add973afbe77b" addr="T0R8C2S1_1" formatStyle="Comma" appId="_GBC_dea1f620aab74d63b1372d831b5b450f">
        <m:complexRule comparator="Eq" title="固定资产原价合计减少数" test=" $_GBC_17b5ddaa5138418297825f6b267e3995 +  $_GBC_b75b8542395b4972ad2d3a1ea5c4c1d9" id="Ce12840040c80480180e6c5be07ef79e1" serialType="1"/>
        <m:complexRule comparator="Eq" title="固定资产原价合计减少数横向合计" disabled="true" test=" $_GBC_bba2eb02b7c845aeac2541e0d892e8a1" id="C2c44317d907743ef836d6bb0cee1af3c" serialType="2"/>
      </m:item>
      <m:placeholder xlName="_PLD_fee37578c2514ed28988969e830aeae7" addr="T0R9C0S1_1"/>
      <m:item xlName="_GBC_0e5821b8e0bb4582be47d7948aa2f358" concept="clcid-pte:GuDingZiChanQingKuangMingXiYuanZhiChuZhiHuoBaoFei" label="固定资产情况明细-原值处置或报废" mulRef="_GBC_563afa3e91c048118558af0713b1a1af" unitRef="_GBC_c5ecae448dd948eca54add973afbe77b" addr="T0R9C1S1_1" formatStyle="Comma" tupleRef="clcid-pte:GuDingZiChanQingKuangMingXi" appId="_GBC_dea1f620aab74d63b1372d831b5b450f"/>
      <m:item xlName="_GBC_17b5ddaa5138418297825f6b267e3995" concept="clcid-pte:ChuZhiHuoBaoFeiDaoZhiDeGuDingZiChanYuanZhiBenQiJianShaoHeJi" label="处置或报废导致的固定资产原值本期减少合计" mulRef="_GBC_563afa3e91c048118558af0713b1a1af" unitRef="_GBC_c5ecae448dd948eca54add973afbe77b" addr="T0R9C2S1_1" formatStyle="Comma" appId="_GBC_dea1f620aab74d63b1372d831b5b450f">
        <m:complexRule comparator="Eq" title="处置或报废导致的固定资产原值本期减少合计" disabled="true" test=" $_GBC_0e5821b8e0bb4582be47d7948aa2f358" id="Ca3b4d4dc37c049bc9866e2dd3a926eed" serialType="2"/>
      </m:item>
      <m:item xlName="_GBC_2f4e09d586974d5099e26de2e9f2268e" concept="clcid-pte:GuDingZiChanZhangMianYuanZhiJianShaoXiangMuMingCheng1" label="固定资产账面原值减少项目名称1" addr="T0R10C0S1_1" tagAction="1" appId="_GBC_dea1f620aab74d63b1372d831b5b450f" isSerialConcept="true" serialDirection="1" serialDefaultCount="2"/>
      <m:item xlName="_GBC_86b298d954344511b012e84c48d4404f" concept="clcid-pte:GuDingZiChanZhangMianYuanZhiJianShaoXiangMuJinE1" label="固定资产账面原值减少项目金额1" mulRef="_GBC_563afa3e91c048118558af0713b1a1af" unitRef="_GBC_c5ecae448dd948eca54add973afbe77b" addr="T0R10C1S1_1" tagAction="1" formatStyle="Comma" tupleRef="clcid-pte:GuDingZiChanQingKuangMingXi" appId="_GBC_dea1f620aab74d63b1372d831b5b450f" isSerialConcept="true" serialDirection="1" serialDefaultCount="2"/>
      <m:item xlName="_GBC_b75b8542395b4972ad2d3a1ea5c4c1d9" concept="clcid-pte:GuDingZiChanZhangMianYuanZhiJianShaoXiangMuHeJiJinE1" label="固定资产账面原值减少项目合计金额1" mulRef="_GBC_563afa3e91c048118558af0713b1a1af" unitRef="_GBC_c5ecae448dd948eca54add973afbe77b" addr="T0R10C2S1_1" tagAction="1" formatStyle="Comma" appId="_GBC_dea1f620aab74d63b1372d831b5b450f" isSerialConcept="true" serialDirection="1" serialDefaultCount="2">
        <m:complexRule comparator="Eq" title="固定资产账面原值减少项目合计金额1" disabled="true" test=" $_GBC_86b298d954344511b012e84c48d4404f" id="Cae9f38053a8a4d298b3d8ce6fa789264" serialType="2"/>
      </m:item>
      <m:placeholder xlName="_PLD_249206a916954d19ba9495bb5be5eb90" addr="T0R11C0S1_1"/>
      <m:item xlName="_GBC_ae4301c555384883ad2cdc7cd57b6f8e" concept="clcid-pte:GuDingZiChanQingKuangMingXiZhangMianYuanZhi" label="固定资产情况明细-账面原值" mulRef="_GBC_563afa3e91c048118558af0713b1a1af" unitRef="_GBC_c5ecae448dd948eca54add973afbe77b" addr="T0R11C1S1_1" formatStyle="Comma" tupleRef="clcid-pte:GuDingZiChanQingKuangMingXi" appId="_GBC_dea1f620aab74d63b1372d831b5b450f">
        <m:complexRule comparator="Eq" title="固定资产情况明细-账面原值" test=" $_GBC_fdb12b9524f749d5bc2a8298f5467522 +  $_GBC_1a237c31cdbf44199ea75b7e72cca64a -  $_GBC_bba2eb02b7c845aeac2541e0d892e8a1" id="C64c784d5bb8c4295bb8755154b567fd5"/>
      </m:item>
      <m:item xlName="_GBC_6df68d53bb1c42b0b8288c726103aa56" concept="clcid-pte:GuDingZiChanYuanJia" label="固定资产原价" mulRef="_GBC_563afa3e91c048118558af0713b1a1af" unitRef="_GBC_c5ecae448dd948eca54add973afbe77b" addr="T0R11C2S1_1" formatStyle="Comma" appId="_GBC_dea1f620aab74d63b1372d831b5b450f">
        <m:complexRule comparator="Eq" title="固定资产原价" test=" $_GBC_8cc80c706a2f4873b00ef96d83cfc608 +  $_GBC_654b01ad3c1a4e9285c6e05765d1bc38 -  $_GBC_218a61684e4b423d8b56b054b3fd5ee4" id="C47949a7d20544383926e605caf852f03"/>
        <m:complexRule comparator="Eq" title="固定资产原价横向合计" disabled="true" test=" $_GBC_ae4301c555384883ad2cdc7cd57b6f8e" id="Cfd6b3283ec6c4a3ebff08a6345e0d881" serialType="2"/>
      </m:item>
      <m:placeholder xlName="_PLD_3b9a984e6e834331844252acd1c6a321" addr="T0R12C0S1_1"/>
      <m:placeholder xlName="_PLD_f4ae2b083a314e62b85f562d3dbe5c24" addr="T0R13C0S1_1"/>
      <m:item xlName="_GBC_ad39a009e8014af3978c2943b2c9ca11" concept="clcid-pte:GuDingZiChanQingKuangMingXiLeiJiZheJiu" label="固定资产情况明细-累计折旧" periodRef="本期期初数" mulRef="_GBC_563afa3e91c048118558af0713b1a1af" unitRef="_GBC_c5ecae448dd948eca54add973afbe77b" addr="T0R13C1S1_1" formatStyle="Comma" tupleRef="clcid-pte:GuDingZiChanQingKuangMingXi" appId="_GBC_dea1f620aab74d63b1372d831b5b450f">
        <m:complexRule comparator="Eq" title="固定资产情况明细-累计折旧@本期期初数" id="C2ee86c78fb1c4c4094c2eb749ab501ed"/>
      </m:item>
      <m:item xlName="_GBC_7b3686383a1f4fc3ace0f36e24be6558" concept="clcid-pte:LeiJiZheJiu" label="累计折旧" periodRef="本期期初数" mulRef="_GBC_563afa3e91c048118558af0713b1a1af" unitRef="_GBC_c5ecae448dd948eca54add973afbe77b" addr="T0R13C2S1_1" formatStyle="Comma" appId="_GBC_dea1f620aab74d63b1372d831b5b450f">
        <m:complexRule comparator="Eq" title="累计折旧@本期期初数" disabled="true" test=" $_GBC_ad39a009e8014af3978c2943b2c9ca11" id="C64b0b725446a41aea5d9a3f0b99105d6" serialType="2"/>
      </m:item>
      <m:placeholder xlName="_PLD_5f15b887e02c4ec6b52b0f15c4e97c9c" addr="T0R14C0S1_1"/>
      <m:item xlName="_GBC_ee69c5ac0bca40419ac231cd08138a9c" concept="clcid-pte:GuDingZiChanQingKuangMingXiLeiJiZheJiuBenQiZengJia" label="固定资产情况明细-累计折旧本期增加" mulRef="_GBC_563afa3e91c048118558af0713b1a1af" unitRef="_GBC_c5ecae448dd948eca54add973afbe77b" addr="T0R14C1S1_1" formatStyle="Comma" tupleRef="clcid-pte:GuDingZiChanQingKuangMingXi" appId="_GBC_dea1f620aab74d63b1372d831b5b450f">
        <m:complexRule comparator="Eq" title="固定资产情况明细-累计折旧本期增加" test=" $_GBC_0418a1f1004541aeb387886cb94ff2fa +  $_GBC_4f471bfa60bb4fd284527a4bd35a106e" id="C9b4e6ec0d56c41d4a53772fc36aad258" serialType="1"/>
      </m:item>
      <m:item xlName="_GBC_40a3bbb5a0ed47a086f18b27e8d533f4" concept="clcid-pte:GuDingZiChanLeiJiZheJiuHeJiZengJiaShu" label="固定资产累计折旧增加数" mulRef="_GBC_563afa3e91c048118558af0713b1a1af" unitRef="_GBC_c5ecae448dd948eca54add973afbe77b" addr="T0R14C2S1_1" formatStyle="Comma" appId="_GBC_dea1f620aab74d63b1372d831b5b450f">
        <m:complexRule comparator="Eq" title="固定资产累计折旧增加数" test=" $_GBC_4bbe73d7ed664dddbcb899d48d203871 +  $_GBC_de0f633422eb40198165dd44928b321c" id="C88fb6c7a8ffd46c08378d05574299b6b" serialType="1"/>
        <m:complexRule comparator="Eq" title="固定资产累计折旧增加数横向合计" disabled="true" test=" $_GBC_ee69c5ac0bca40419ac231cd08138a9c" id="C1d08a521b8854f3999fd7cf4a6496c82" serialType="2"/>
      </m:item>
      <m:placeholder xlName="_PLD_8957ada504474bfcb99282b7912be7e4" addr="T0R15C0S1_1"/>
      <m:item xlName="_GBC_0418a1f1004541aeb387886cb94ff2fa" concept="clcid-pte:GuDingZiChanQingKuangMingXiLeiJiZheJiuJiTi" label="固定资产情况明细-累计折旧计提" mulRef="_GBC_563afa3e91c048118558af0713b1a1af" unitRef="_GBC_c5ecae448dd948eca54add973afbe77b" addr="T0R15C1S1_1" formatStyle="Comma" tupleRef="clcid-pte:GuDingZiChanQingKuangMingXi" appId="_GBC_dea1f620aab74d63b1372d831b5b450f"/>
      <m:item xlName="_GBC_4bbe73d7ed664dddbcb899d48d203871" concept="clcid-pte:GuDingZiChanLeiJiZheJiuJiTiShu" label="固定资产累计折旧计提数" mulRef="_GBC_563afa3e91c048118558af0713b1a1af" unitRef="_GBC_c5ecae448dd948eca54add973afbe77b" addr="T0R15C2S1_1" formatStyle="Comma" appId="_GBC_dea1f620aab74d63b1372d831b5b450f">
        <m:complexRule comparator="Eq" title="固定资产累计折旧计提数" disabled="true" test=" $_GBC_0418a1f1004541aeb387886cb94ff2fa" id="Cc451468fde4b48ccad05f4bb626487ac" serialType="2"/>
      </m:item>
      <m:item xlName="_GBC_0965865fe56240ca9467fb856bda8c28" concept="clcid-pte:GuDingZiChanLeiJiZheJiuZengJiaXiangMuMingCheng1" label="固定资产累计折旧增加项目名称1" addr="T0R16C0S1_1" tagAction="1" formatStyle="Comma" appId="_GBC_dea1f620aab74d63b1372d831b5b450f" isSerialConcept="true" serialDirection="1" serialDefaultCount="2"/>
      <m:item xlName="_GBC_4f471bfa60bb4fd284527a4bd35a106e" concept="clcid-pte:GuDingZiChanLeiJiZheJiuZengJiaXiangMuJinE1" label="固定资产累计折旧增加项目金额1" mulRef="_GBC_563afa3e91c048118558af0713b1a1af" unitRef="_GBC_c5ecae448dd948eca54add973afbe77b" addr="T0R16C1S1_1" tagAction="1" formatStyle="Comma" tupleRef="clcid-pte:GuDingZiChanQingKuangMingXi" appId="_GBC_dea1f620aab74d63b1372d831b5b450f" isSerialConcept="true" serialDirection="1" serialDefaultCount="2"/>
      <m:item xlName="_GBC_de0f633422eb40198165dd44928b321c" concept="clcid-pte:GuDingZiChanLeiJiZheJiuZengJiaXiangMuHeJiJinE1" label="固定资产累计折旧增加项目合计金额1" mulRef="_GBC_563afa3e91c048118558af0713b1a1af" unitRef="_GBC_c5ecae448dd948eca54add973afbe77b" addr="T0R16C2S1_1" tagAction="1" formatStyle="Comma" appId="_GBC_dea1f620aab74d63b1372d831b5b450f" isSerialConcept="true" serialDirection="1" serialDefaultCount="2">
        <m:complexRule comparator="Eq" title="固定资产累计折旧增加项目合计金额1" disabled="true" test=" $_GBC_4f471bfa60bb4fd284527a4bd35a106e" id="C2f9d6fd328b0499ca9ef1faf873aad5a" serialType="2"/>
      </m:item>
      <m:placeholder xlName="_PLD_ec9558ad6e194439bc7519617b9fda17" addr="T0R17C0S1_1"/>
      <m:item xlName="_GBC_436c919be5634a12910f34cb543417d1" concept="clcid-pte:GuDingZiChanQingKuangMingXiLeiJiZheJiuBenQiJianShao" label="固定资产情况明细-累计折旧本期减少" mulRef="_GBC_563afa3e91c048118558af0713b1a1af" unitRef="_GBC_c5ecae448dd948eca54add973afbe77b" addr="T0R17C1S1_1" formatStyle="Comma" tupleRef="clcid-pte:GuDingZiChanQingKuangMingXi" appId="_GBC_dea1f620aab74d63b1372d831b5b450f">
        <m:complexRule comparator="Eq" title="固定资产情况明细-累计折旧本期减少" test=" $_GBC_d0e1df142f454c7c9246e13250e1d7ef +  $_GBC_0475795030724aa4838f00440a8fdfe1" id="C9ee668a1d36f4e4d954751ca1245e6a2" serialType="1"/>
      </m:item>
      <m:item xlName="_GBC_d065d08ab55a4db395c4907b80e3b47d" concept="clcid-pte:GuDingZiChanLeiJiZheJiuHeJiJianShaoShu" label="固定资产累计折旧减少数" mulRef="_GBC_563afa3e91c048118558af0713b1a1af" unitRef="_GBC_c5ecae448dd948eca54add973afbe77b" addr="T0R17C2S1_1" formatStyle="Comma" appId="_GBC_dea1f620aab74d63b1372d831b5b450f">
        <m:complexRule comparator="Eq" title="固定资产累计折旧减少数" test=" $_GBC_8d7e58021b6c42b19f7283487b61c9d9 +  $_GBC_11178a6044164f9abd685ae39ec93217" id="C8958ca8d279b4fff96f628b129fcff43" serialType="1"/>
        <m:complexRule comparator="Eq" title="固定资产累计折旧减少数横向合计" disabled="true" test=" $_GBC_436c919be5634a12910f34cb543417d1" id="Ca8b2ebad548c4ebc8d6b3a59ef2c2a08" serialType="2"/>
      </m:item>
      <m:placeholder xlName="_PLD_5ee3d83bd53d480fa0f8ca39eef2375d" addr="T0R18C0S1_1"/>
      <m:item xlName="_GBC_d0e1df142f454c7c9246e13250e1d7ef" concept="clcid-pte:GuDingZiChanQingKuangMingXiLeiJiZheJiuChuZhiHuoBaoFei" label="固定资产情况明细-累计折旧处置或报废" mulRef="_GBC_563afa3e91c048118558af0713b1a1af" unitRef="_GBC_c5ecae448dd948eca54add973afbe77b" addr="T0R18C1S1_1" formatStyle="Comma" tupleRef="clcid-pte:GuDingZiChanQingKuangMingXi" appId="_GBC_dea1f620aab74d63b1372d831b5b450f"/>
      <m:item xlName="_GBC_8d7e58021b6c42b19f7283487b61c9d9" concept="clcid-pte:ChuZhiHuoBaoFeiDaoZhiDeGuDingZiChanLeiJiZheJiuBenQiJianShaoHeJi" label="处置或报废导致的固定资产累计折旧本期减少合计" mulRef="_GBC_563afa3e91c048118558af0713b1a1af" unitRef="_GBC_c5ecae448dd948eca54add973afbe77b" addr="T0R18C2S1_1" formatStyle="Comma" appId="_GBC_dea1f620aab74d63b1372d831b5b450f">
        <m:complexRule comparator="Eq" title="处置或报废导致的固定资产累计折旧本期减少合计" disabled="true" test=" $_GBC_d0e1df142f454c7c9246e13250e1d7ef" id="C3f4a7e9501904914bdd83a8f0520159a" serialType="2"/>
      </m:item>
      <m:item xlName="_GBC_4c9ad176f9f549d79f1ea8e8285e4304" concept="clcid-pte:GuDingZiChanLeiJiZheJiuJianShaoXiangMuMingCheng1" label="固定资产累计折旧减少项目名称1" addr="T0R19C0S1_1" tagAction="1" formatStyle="Comma" appId="_GBC_dea1f620aab74d63b1372d831b5b450f" isSerialConcept="true" serialDirection="1" serialDefaultCount="2"/>
      <m:item xlName="_GBC_0475795030724aa4838f00440a8fdfe1" concept="clcid-pte:GuDingZiChanLeiJiZheJiuJianShaoXiangMuJinE1" label="固定资产累计折旧减少项目金额1" mulRef="_GBC_563afa3e91c048118558af0713b1a1af" unitRef="_GBC_c5ecae448dd948eca54add973afbe77b" addr="T0R19C1S1_1" tagAction="1" formatStyle="Comma" tupleRef="clcid-pte:GuDingZiChanQingKuangMingXi" appId="_GBC_dea1f620aab74d63b1372d831b5b450f" isSerialConcept="true" serialDirection="1" serialDefaultCount="2"/>
      <m:item xlName="_GBC_11178a6044164f9abd685ae39ec93217" concept="clcid-pte:GuDingZiChanLeiJiZheJiuJianShaoXiangMuHeJiJinE1" label="固定资产累计折旧减少项目合计金额1" mulRef="_GBC_563afa3e91c048118558af0713b1a1af" unitRef="_GBC_c5ecae448dd948eca54add973afbe77b" addr="T0R19C2S1_1" tagAction="1" formatStyle="Comma" appId="_GBC_dea1f620aab74d63b1372d831b5b450f" isSerialConcept="true" serialDirection="1" serialDefaultCount="2">
        <m:complexRule comparator="Eq" title="固定资产累计折旧减少项目合计金额1" disabled="true" test=" $_GBC_0475795030724aa4838f00440a8fdfe1" id="C7e136d1b56dd4c7082ddbc5757076e57" serialType="2"/>
      </m:item>
      <m:placeholder xlName="_PLD_6eaa2035e58e4e21885400a2e0bb3a60" addr="T0R20C0S1_1"/>
      <m:item xlName="_GBC_1db984dbce634ada8b937a03368ec0a0" concept="clcid-pte:GuDingZiChanQingKuangMingXiLeiJiZheJiu" label="固定资产情况明细-累计折旧" mulRef="_GBC_563afa3e91c048118558af0713b1a1af" unitRef="_GBC_c5ecae448dd948eca54add973afbe77b" addr="T0R20C1S1_1" formatStyle="Comma" tupleRef="clcid-pte:GuDingZiChanQingKuangMingXi" appId="_GBC_dea1f620aab74d63b1372d831b5b450f">
        <m:complexRule comparator="Eq" title="固定资产情况明细-累计折旧" test=" $_GBC_ad39a009e8014af3978c2943b2c9ca11 +  $_GBC_ee69c5ac0bca40419ac231cd08138a9c -  $_GBC_436c919be5634a12910f34cb543417d1" id="C051b537cf3a847ab94e33340cbb69a34"/>
      </m:item>
      <m:item xlName="_GBC_c9387c26f97342eeae8ebab93c3854f5" concept="clcid-pte:LeiJiZheJiu" label="累计折旧" mulRef="_GBC_563afa3e91c048118558af0713b1a1af" unitRef="_GBC_c5ecae448dd948eca54add973afbe77b" addr="T0R20C2S1_1" formatStyle="Comma" appId="_GBC_dea1f620aab74d63b1372d831b5b450f">
        <m:complexRule comparator="Eq" title="累计折旧" test=" $_GBC_7b3686383a1f4fc3ace0f36e24be6558 +  $_GBC_40a3bbb5a0ed47a086f18b27e8d533f4 -  $_GBC_d065d08ab55a4db395c4907b80e3b47d" id="C09a280fe896146999f7309f66ecf08c7"/>
        <m:complexRule comparator="Eq" title="累计折旧横向合计" disabled="true" test=" $_GBC_1db984dbce634ada8b937a03368ec0a0" id="Cc07c122a6baf4adfb75709e2f4d4ce7f" serialType="2"/>
      </m:item>
      <m:placeholder xlName="_PLD_662c84047b6d41648e46d047cc9b134a" addr="T0R21C0S1_1"/>
      <m:placeholder xlName="_PLD_ca34fab5808d492588c9f9773f2bb656" addr="T0R22C0S1_1"/>
      <m:item xlName="_GBC_e5bec7f4c39c42f6a24e75d5b5c93c1a" concept="clcid-pte:GuDingZiChanQingKuangMingXiJianZhiZhunBei" label="固定资产情况明细-减值准备" periodRef="本期期初数" mulRef="_GBC_563afa3e91c048118558af0713b1a1af" unitRef="_GBC_c5ecae448dd948eca54add973afbe77b" addr="T0R22C1S1_1" formatStyle="Comma" tupleRef="clcid-pte:GuDingZiChanQingKuangMingXi" appId="_GBC_dea1f620aab74d63b1372d831b5b450f"/>
      <m:item xlName="_GBC_447390a2687d47609551e0b23667a7c4" concept="clcid-pte:GuDingZiChanJianZhiZhunBei" label="固定资产减值准备" periodRef="本期期初数" mulRef="_GBC_563afa3e91c048118558af0713b1a1af" unitRef="_GBC_c5ecae448dd948eca54add973afbe77b" addr="T0R22C2S1_1" formatStyle="Comma" appId="_GBC_dea1f620aab74d63b1372d831b5b450f">
        <m:complexRule comparator="Eq" title="固定资产减值准备@本期期初数" disabled="true" test=" $_GBC_e5bec7f4c39c42f6a24e75d5b5c93c1a" id="C8aa0d64e85f84ec49587f7ae6007f5dc" serialType="2"/>
      </m:item>
      <m:placeholder xlName="_PLD_558d8ea305db4595a0aa4db4612e68ec" addr="T0R23C0S1_1"/>
      <m:item xlName="_GBC_f792b674da2540b8a21ccb5996caa3be" concept="clcid-pte:GuDingZiChanQingKuangMingXiJianZhiZhunBeiBenQiZengJia" label="固定资产情况明细-减值准备本期增加" mulRef="_GBC_563afa3e91c048118558af0713b1a1af" unitRef="_GBC_c5ecae448dd948eca54add973afbe77b" addr="T0R23C1S1_1" formatStyle="Comma" tupleRef="clcid-pte:GuDingZiChanQingKuangMingXi" appId="_GBC_dea1f620aab74d63b1372d831b5b450f">
        <m:complexRule comparator="Eq" title="固定资产情况明细-减值准备本期增加" test=" $_GBC_787ca8b9655148c68a386b2f4ce1a6f0 +  $_GBC_f55c18250a6d4260aa1a4fc716b81fe1" id="C03f39e0f100d4e088dd5a02a09a7c83f" serialType="1"/>
      </m:item>
      <m:item xlName="_GBC_c9d1a31c42d0477ab8acf3b0ee132488" concept="clcid-pte:GuDingZiChanJianZhiZhunBeiBenQiZengJiaHeJi" label="固定资产减值准备本期增加合计" mulRef="_GBC_563afa3e91c048118558af0713b1a1af" unitRef="_GBC_c5ecae448dd948eca54add973afbe77b" addr="T0R23C2S1_1" formatStyle="Comma" appId="_GBC_dea1f620aab74d63b1372d831b5b450f">
        <m:complexRule comparator="Eq" title="固定资产减值准备本期增加合计" test=" $_GBC_92eff5eaacb94df1822880094b921013 +  $_GBC_88047d8723a840e3b605e1a8a9eb2480" id="C0be79b31151f4145ac2bbbba0494226d" serialType="1"/>
        <m:complexRule comparator="Eq" title="固定资产减值准备本期增加合计横向合计" test=" $_GBC_f792b674da2540b8a21ccb5996caa3be" id="C3e62e390e86947c8a9845b61f754e47a"/>
      </m:item>
      <m:placeholder xlName="_PLD_433ae6be63a842f9b3c972bb56b0616a" addr="T0R24C0S1_1"/>
      <m:item xlName="_GBC_787ca8b9655148c68a386b2f4ce1a6f0" concept="clcid-pte:GuDingZiChanQingKuangMingXiJianZhiZhunBeiJiTi" label="固定资产情况明细-减值准备计提" mulRef="_GBC_563afa3e91c048118558af0713b1a1af" unitRef="_GBC_c5ecae448dd948eca54add973afbe77b" addr="T0R24C1S1_1" formatStyle="Comma" tupleRef="clcid-pte:GuDingZiChanQingKuangMingXi" appId="_GBC_dea1f620aab74d63b1372d831b5b450f"/>
      <m:item xlName="_GBC_92eff5eaacb94df1822880094b921013" concept="clcid-pte:JiTiDaoZhiDeGuDingZiChanJianZhiZhunBeiBenQiZengJiaHeJi" label="计提导致的固定资产减值准备本期增加合计" mulRef="_GBC_563afa3e91c048118558af0713b1a1af" unitRef="_GBC_c5ecae448dd948eca54add973afbe77b" addr="T0R24C2S1_1" formatStyle="Comma" appId="_GBC_dea1f620aab74d63b1372d831b5b450f">
        <m:complexRule comparator="Eq" title="计提导致的固定资产减值准备本期增加合计" test=" $_GBC_787ca8b9655148c68a386b2f4ce1a6f0" id="C1a3f2913261947f49489840413b921fa"/>
      </m:item>
      <m:item xlName="_GBC_cd4874649a714a85b3aaac58f235f408" concept="clcid-pte:GuDingZiChanJianZhiZhunBeiZengJiaXiangMuMingCheng1" label="固定资产减值准备增加项目名称1" addr="T0R25C0S1_1" tagAction="1" formatStyle="Comma" appId="_GBC_dea1f620aab74d63b1372d831b5b450f" isSerialConcept="true" serialDirection="1" serialDefaultCount="2"/>
      <m:item xlName="_GBC_f55c18250a6d4260aa1a4fc716b81fe1" concept="clcid-pte:GuDingZiChanJianZhiZhunBeiZengJiaXiangMuJinE1" label="固定资产减值准备增加项目金额1" mulRef="_GBC_563afa3e91c048118558af0713b1a1af" unitRef="_GBC_c5ecae448dd948eca54add973afbe77b" addr="T0R25C1S1_1" tagAction="1" formatStyle="Comma" tupleRef="clcid-pte:GuDingZiChanQingKuangMingXi" appId="_GBC_dea1f620aab74d63b1372d831b5b450f" isSerialConcept="true" serialDirection="1" serialDefaultCount="2"/>
      <m:item xlName="_GBC_88047d8723a840e3b605e1a8a9eb2480" concept="clcid-pte:GuDingZiChanJianZhiZhunBeiZengJiaXiangMuHeJiJinE1" label="固定资产减值准备增加项目合计金额1" mulRef="_GBC_563afa3e91c048118558af0713b1a1af" unitRef="_GBC_c5ecae448dd948eca54add973afbe77b" addr="T0R25C2S1_1" tagAction="1" formatStyle="Comma" appId="_GBC_dea1f620aab74d63b1372d831b5b450f" isSerialConcept="true" serialDirection="1" serialDefaultCount="2">
        <m:complexRule comparator="Eq" title="固定资产减值准备增加项目合计金额1" disabled="true" test=" $_GBC_f55c18250a6d4260aa1a4fc716b81fe1" id="C35b340b366c94406a6e9bfb26c4055e0" serialType="2"/>
      </m:item>
      <m:placeholder xlName="_PLD_9f06e7f0e71e4a3aa190d3fcd09490fc" addr="T0R26C0S1_1"/>
      <m:item xlName="_GBC_dd439d9aabf14fb5b93b63090baf5a41" concept="clcid-pte:GuDingZiChanQingKuangMingXiJianZhiZhunBeiBenQiJianShao" label="固定资产情况明细-减值准备本期减少" mulRef="_GBC_563afa3e91c048118558af0713b1a1af" unitRef="_GBC_c5ecae448dd948eca54add973afbe77b" addr="T0R26C1S1_1" formatStyle="Comma" tupleRef="clcid-pte:GuDingZiChanQingKuangMingXi" appId="_GBC_dea1f620aab74d63b1372d831b5b450f">
        <m:complexRule comparator="Eq" title="固定资产情况明细-减值准备本期减少" test=" $_GBC_42880e0006ba4dea89bba29698a138f8 +  $_GBC_0fab043e13824e84b5ce3df5dc1f6117" id="Cecace7ba23c14d8bb55178f49837957f"/>
      </m:item>
      <m:item xlName="_GBC_f17bf994396741afbdf5ee6310d56f38" concept="clcid-pte:GuDingZiChanJianZhiZhunBeiBenQiJianShaoHeJi" label="固定资产减值准备本期减少合计" mulRef="_GBC_563afa3e91c048118558af0713b1a1af" unitRef="_GBC_c5ecae448dd948eca54add973afbe77b" addr="T0R26C2S1_1" formatStyle="Comma" appId="_GBC_dea1f620aab74d63b1372d831b5b450f">
        <m:complexRule comparator="Eq" title="固定资产减值准备本期减少合计" test=" $_GBC_4c170bb042a44bc3b50be1e0f65c410a +  $_GBC_f2b67b2f05f642f1a1a4741a8fd1878c" id="C8890ace6d36e4546956f4131fd6f2afc" serialType="1"/>
        <m:complexRule comparator="Eq" title="固定资产减值准备本期减少合计横向合计" test=" $_GBC_dd439d9aabf14fb5b93b63090baf5a41" id="C9c851e529715438fba04166ec9add673"/>
      </m:item>
      <m:placeholder xlName="_PLD_27997f63b30343a4a13f2ee412af0eba" addr="T0R27C0S1_1"/>
      <m:item xlName="_GBC_42880e0006ba4dea89bba29698a138f8" concept="clcid-pte:GuDingZiChanQingKuangMingXiJianZhiZhunBeiChuZhiHuoBaoFei" label="固定资产情况明细-减值准备处置或报废" mulRef="_GBC_563afa3e91c048118558af0713b1a1af" unitRef="_GBC_c5ecae448dd948eca54add973afbe77b" addr="T0R27C1S1_1" formatStyle="Comma" tupleRef="clcid-pte:GuDingZiChanQingKuangMingXi" appId="_GBC_dea1f620aab74d63b1372d831b5b450f"/>
      <m:item xlName="_GBC_4c170bb042a44bc3b50be1e0f65c410a" concept="clcid-pte:ChuZhiHuoBaoFeiDaoZhiDeGuDingZiChanJianZhiZhunBeiBenQiJianShaoHeJi" label="处置或报废导致的固定资产减值准备本期减少合计" mulRef="_GBC_563afa3e91c048118558af0713b1a1af" unitRef="_GBC_c5ecae448dd948eca54add973afbe77b" addr="T0R27C2S1_1" formatStyle="Comma" appId="_GBC_dea1f620aab74d63b1372d831b5b450f">
        <m:complexRule comparator="Eq" title="处置或报废导致的固定资产减值准备本期减少合计" disabled="true" test=" $_GBC_42880e0006ba4dea89bba29698a138f8" id="Cdaf3f61baa844d969525f6b6ddbcb7f2" serialType="2"/>
      </m:item>
      <m:item xlName="_GBC_93191e5a7f9541baa313dc06935eacfa" concept="clcid-pte:GuDingZiChanJianZhiZhunBeiJianShaoXiangMuMingCheng1" label="固定资产减值准备减少项目名称1" addr="T0R28C0S1_1" tagAction="1" formatStyle="Comma" appId="_GBC_dea1f620aab74d63b1372d831b5b450f" isSerialConcept="true" serialDirection="1" serialDefaultCount="2"/>
      <m:item xlName="_GBC_0fab043e13824e84b5ce3df5dc1f6117" concept="clcid-pte:GuDingZiChanJianZhiZhunBeiJianShaoXiangMuJinE1" label="固定资产减值准备减少项目金额1" mulRef="_GBC_563afa3e91c048118558af0713b1a1af" unitRef="_GBC_c5ecae448dd948eca54add973afbe77b" addr="T0R28C1S1_1" tagAction="1" formatStyle="Comma" tupleRef="clcid-pte:GuDingZiChanQingKuangMingXi" appId="_GBC_dea1f620aab74d63b1372d831b5b450f" isSerialConcept="true" serialDirection="1" serialDefaultCount="2"/>
      <m:item xlName="_GBC_f2b67b2f05f642f1a1a4741a8fd1878c" concept="clcid-pte:GuDingZiChanJianZhiZhunBeiJianShaoXiangMuHeJiJinE1" label="固定资产减值准备减少项目合计金额1" mulRef="_GBC_563afa3e91c048118558af0713b1a1af" unitRef="_GBC_c5ecae448dd948eca54add973afbe77b" addr="T0R28C2S1_1" tagAction="1" formatStyle="Comma" appId="_GBC_dea1f620aab74d63b1372d831b5b450f" isSerialConcept="true" serialDirection="1" serialDefaultCount="2">
        <m:complexRule comparator="Eq" title="固定资产减值准备减少项目合计金额1" disabled="true" test=" $_GBC_0fab043e13824e84b5ce3df5dc1f6117" id="Cb0b8daad82e14a75a452148138cdcbc0" serialType="2"/>
      </m:item>
      <m:placeholder xlName="_PLD_a3e5577c50494e858eeb7a95a5b17653" addr="T0R29C0S1_1"/>
      <m:item xlName="_GBC_0b7fdd62fa294d7786d1bb9ab92b6c87" concept="clcid-pte:GuDingZiChanQingKuangMingXiJianZhiZhunBei" label="固定资产情况明细-减值准备" mulRef="_GBC_563afa3e91c048118558af0713b1a1af" unitRef="_GBC_c5ecae448dd948eca54add973afbe77b" addr="T0R29C1S1_1" formatStyle="Comma" tupleRef="clcid-pte:GuDingZiChanQingKuangMingXi" appId="_GBC_dea1f620aab74d63b1372d831b5b450f">
        <m:complexRule comparator="Eq" title="固定资产情况明细-减值准备" test=" $_GBC_e5bec7f4c39c42f6a24e75d5b5c93c1a +  $_GBC_f792b674da2540b8a21ccb5996caa3be -  $_GBC_dd439d9aabf14fb5b93b63090baf5a41" id="Ce088f54133b64a558dcadbf9a3495e11"/>
      </m:item>
      <m:item xlName="_GBC_4e82c161f0154c69b7650cabb7a5afad" concept="clcid-pte:GuDingZiChanJianZhiZhunBei" label="固定资产减值准备" mulRef="_GBC_563afa3e91c048118558af0713b1a1af" unitRef="_GBC_c5ecae448dd948eca54add973afbe77b" addr="T0R29C2S1_1" formatStyle="Comma" appId="_GBC_dea1f620aab74d63b1372d831b5b450f">
        <m:complexRule comparator="Eq" title="固定资产减值准备" test=" $_GBC_447390a2687d47609551e0b23667a7c4 +  $_GBC_c9d1a31c42d0477ab8acf3b0ee132488 -  $_GBC_f17bf994396741afbdf5ee6310d56f38" id="Ccf3d83a7d2cf4352bd639504e88f0cd6"/>
        <m:complexRule comparator="Eq" title="固定资产减值准备横向合计" disabled="true" test=" $_GBC_0b7fdd62fa294d7786d1bb9ab92b6c87" id="Cf7131e72e53e4da592701d72f313fb5a" serialType="2"/>
      </m:item>
      <m:placeholder xlName="_PLD_bea29c32f5204124a483fa6e274ca7df" addr="T0R30C0S1_1"/>
      <m:placeholder xlName="_PLD_0cb15efd736e4fb48f835ee67e79495e" addr="T0R31C0S1_1"/>
      <m:item xlName="_GBC_168316aba1ef465484d8dc876dd10dbe" concept="clcid-pte:GuDingZiChanQingKuangMingXiZhangMianJiaZhi" label="固定资产情况明细-账面价值" mulRef="_GBC_563afa3e91c048118558af0713b1a1af" unitRef="_GBC_c5ecae448dd948eca54add973afbe77b" addr="T0R31C1S1_1" formatStyle="Comma" tupleRef="clcid-pte:GuDingZiChanQingKuangMingXi" appId="_GBC_dea1f620aab74d63b1372d831b5b450f"/>
      <m:item xlName="_GBC_103b4437bf3049c6b906939270e77728" concept="clcid-pte:GuDingZiChanHeJi" label="固定资产合计" mulRef="_GBC_563afa3e91c048118558af0713b1a1af" unitRef="_GBC_c5ecae448dd948eca54add973afbe77b" addr="T0R31C2S1_1" formatStyle="Comma" appId="_GBC_dea1f620aab74d63b1372d831b5b450f">
        <m:complexRule comparator="Eq" title="固定资产净额" disabled="true" test=" $_GBC_168316aba1ef465484d8dc876dd10dbe" id="C1ff8ca5de2914890b4f83511617a317d" serialType="2"/>
      </m:item>
      <m:placeholder xlName="_PLD_0a70238af5ae41dda386e3180cb5ac13" addr="T0R32C0S1_1"/>
      <m:item xlName="_GBC_9c84846127284c01a018f29e304736b5" concept="clcid-pte:GuDingZiChanQingKuangMingXiZhangMianJiaZhi" label="固定资产情况明细-账面价值" periodRef="本期期初数" mulRef="_GBC_563afa3e91c048118558af0713b1a1af" unitRef="_GBC_c5ecae448dd948eca54add973afbe77b" addr="T0R32C1S1_1" formatStyle="Comma" tupleRef="clcid-pte:GuDingZiChanQingKuangMingXi" appId="_GBC_dea1f620aab74d63b1372d831b5b450f"/>
      <m:item xlName="_GBC_51f53c66f9f6487e9d52c830e591b9e4" concept="clcid-pte:GuDingZiChanHeJi" label="固定资产合计" periodRef="本期期初数" mulRef="_GBC_563afa3e91c048118558af0713b1a1af" unitRef="_GBC_c5ecae448dd948eca54add973afbe77b" addr="T0R32C2S1_1" formatStyle="Comma" appId="_GBC_dea1f620aab74d63b1372d831b5b450f">
        <m:complexRule comparator="Eq" title="固定资产净额@本期期初数" disabled="true" test=" $_GBC_9c84846127284c01a018f29e304736b5" id="Cb151ee5499444fe1af8045992a9bc036" serialType="2"/>
      </m:item>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item xlName="_GBC_ca31f29118c7481f95f99a2655f8c1e1" concept="clcid-ci-ar:ShiFouShiYongZanShiXianZhiDeGuDingZiChanQingKuang" label="是否适用：暂时闲置的固定资产情况" selectOptions="_buildInAppliance" controlType="CustomCheckbox" cRanges="{&quot;StartName&quot;:&quot;_GBC_ca31f29118c7481f95f99a2655f8c1e1&quot;,&quot;EndName&quot;:&quot;_GBC_b44fc9116cba4925ad60bffd4855d393&quot;,&quot;CType&quot;:1,&quot;DisplayText&quot;:null}"/>
      <m:item xlName="_GBC_c0d208db81a447e9b9949f2b175cba30" concept="clcid-ci-ar:DanWeiCaiWuFuZhuZanShiXianZhiDeGuDingZiChanQingKuang" label="单位：财务附注：暂时闲置的固定资产情况" selectOptions="_buildInScales" controlType="Combobox" cellType="Scale" appId="_GBC_ca31f29118c7481f95f99a2655f8c1e1"/>
      <m:item xlName="_GBC_fbf07452daf745ea899de2cbc824ee75" concept="clcid-ci-ar:BiZhongCaiWuFuZhuZanShiXianZhiDeGuDingZiChanQingKuang" label="币种：财务附注：暂时闲置的固定资产情况" selectOptions="_buildInISO4217" controlType="Combobox" cellType="Measure" appId="_GBC_ca31f29118c7481f95f99a2655f8c1e1"/>
      <m:placeholder xlName="_PLD_e479b4fdefbf45068660c7df7422a5de" addr="T0R0C0S1_1"/>
      <m:placeholder xlName="_PLD_36daf085717e46eeb45863dfb97acc67" addr="T0R0C1S1_1"/>
      <m:placeholder xlName="_PLD_c01cccda6baa4a75a8e3f067e68a603e" addr="T0R0C2S1_1"/>
      <m:placeholder xlName="_PLD_3bce2223595140b489f9e15ef462c5ba" addr="T0R0C3S1_1"/>
      <m:placeholder xlName="_PLD_363b3c8e5d5d43a580d7bab508a70591" addr="T0R0C4S1_1"/>
      <m:placeholder xlName="_PLD_4a9bf932f0004f76987b4db5cef576e2" addr="T0R0C5S1_1"/>
      <m:tuple xlName="_GBC_62ededd5d71043b28231a5afe44f6376" concept="clcid-pte:ZanShiXianZhiDeGuDingZiChanMingXi" default_row="2" addr="T0R1C">
        <m:item xlName="_GBC_72c11d4109bb41abb98037f1152a0351" concept="clcid-pte:ZanShiXianZhiDeGuDingZiChanMingXiXiangMu" label="暂时闲置的固定资产明细－项目" addr="T0R1C0S1_1" cellConvertType="1" appId="_GBC_ca31f29118c7481f95f99a2655f8c1e1"/>
        <m:item xlName="_GBC_322928f40b8e4ca58d7021b77b401f7f" concept="clcid-pte:ZanShiXianZhiDeGuDingZiChanMingXiZhangMianYuanZhi" label="暂时闲置的固定资产明细－账面原值" mulRef="_GBC_c0d208db81a447e9b9949f2b175cba30" unitRef="_GBC_fbf07452daf745ea899de2cbc824ee75" addr="T0R1C1S1_1" formatStyle="Comma" appId="_GBC_ca31f29118c7481f95f99a2655f8c1e1"/>
        <m:item xlName="_GBC_ec8550e1302a4f5ca18cba46e74fc382" concept="clcid-pte:ZanShiXianZhiDeGuDingZiChanMingXiLeiJiZheJiu" label="暂时闲置的固定资产明细－累计折旧" mulRef="_GBC_c0d208db81a447e9b9949f2b175cba30" unitRef="_GBC_fbf07452daf745ea899de2cbc824ee75" addr="T0R1C2S1_1" formatStyle="Comma" appId="_GBC_ca31f29118c7481f95f99a2655f8c1e1"/>
        <m:item xlName="_GBC_8b76b554219846f6afd35d84facbf8bd" concept="clcid-pte:ZanShiXianZhiDeGuDingZiChanMingXiJianZhiZhunBei" label="暂时闲置的固定资产明细－减值准备" mulRef="_GBC_c0d208db81a447e9b9949f2b175cba30" unitRef="_GBC_fbf07452daf745ea899de2cbc824ee75" addr="T0R1C3S1_1" formatStyle="Comma" appId="_GBC_ca31f29118c7481f95f99a2655f8c1e1"/>
        <m:item xlName="_GBC_88d50abf001a45d282ea7fa88a0c17ba" concept="clcid-pte:ZanShiXianZhiDeGuDingZiChanMingXiZhangMianJingZhi" label="暂时闲置的固定资产明细－账面净值" mulRef="_GBC_c0d208db81a447e9b9949f2b175cba30" unitRef="_GBC_fbf07452daf745ea899de2cbc824ee75" addr="T0R1C4S1_1" formatStyle="Comma" appId="_GBC_ca31f29118c7481f95f99a2655f8c1e1"/>
        <m:item xlName="_GBC_b44fc9116cba4925ad60bffd4855d393" concept="clcid-pte:ZanShiXianZhiDeGuDingZiChanMingXiBeiZhu" label="暂时闲置的固定资产明细－备注" addr="T0R1C5S1_1" appId="_GBC_ca31f29118c7481f95f99a2655f8c1e1"/>
      </m:tuple>
    </m:section>
    <m:section xlName="_GBC_f8dc7bf0df9345f6a1581560999dd4d8" title="通过融资租赁租入的固定资产情况" rules="R2015_R11_012" convertSummaryRule="NoConvert" helpId="112001065" helpText="未执行新租赁准则的公司填写。">
      <m:item xlName="_GBC_17a138c76e604d1b9b48d7c64e72801d" concept="clcid-ci-ar:ShiFouShiYongTongGuoRongZiZuLinZuRuDeGuDingZiChanQingKuang" label="是否适用：通过融资租赁租入的固定资产情况" selectOptions="_buildInAppliance" controlType="CustomCheckbox" cRanges="{&quot;StartName&quot;:&quot;_GBC_17a138c76e604d1b9b48d7c64e72801d&quot;,&quot;EndName&quot;:&quot;_GBC_41c985bf6bb544f2a52a62951431e0e0&quot;,&quot;CType&quot;:1,&quot;DisplayText&quot;:null}"/>
      <m:item xlName="_GBC_20f5a1a209bf4da283677bc136e9eb76" concept="clcid-ci-ar:DanWeiCaiWuFuZhuTongGuoRongZiZuLinZuRuDeGuDingZiChanQingKuang" label="单位：财务附注：通过融资租赁租入的固定资产情况" selectOptions="_buildInScales" controlType="Combobox" cellType="Scale" appId="_GBC_17a138c76e604d1b9b48d7c64e72801d"/>
      <m:item xlName="_GBC_61f5e799747849ffbc16a7445a77d5d0" concept="clcid-ci-ar:BiZhongCaiWuFuZhuTongGuoRongZiZuLinZuRuDeGuDingZiChanQingKuang" label="币种：财务附注：通过融资租赁租入的固定资产情况" selectOptions="_buildInISO4217" controlType="Combobox" cellType="Measure" appId="_GBC_17a138c76e604d1b9b48d7c64e72801d"/>
      <m:placeholder xlName="_PLD_c6e2e4e23455496988b4b40156a3feb7" addr="T0R0C0S1_1"/>
      <m:placeholder xlName="_PLD_8cc9fd8c4ada481dbdf82a92bad693f9" addr="T0R0C1S1_1"/>
      <m:placeholder xlName="_PLD_217b44922b3042a1a80aedcbaef6d999" addr="T0R0C2S1_1"/>
      <m:placeholder xlName="_PLD_d828ca1e374045efa22c2869391c64d6" addr="T0R0C3S1_1"/>
      <m:placeholder xlName="_PLD_488ad46226e14664b08b36f4eac001e7" addr="T0R0C4S1_1"/>
      <m:tuple xlName="_GBC_31f95938ec054b67bbdbd5f74586568f" concept="clcid-pte:TongGuoRongZiZuLinZuRuDeDeGuDingZiChanMingXi" default_row="2" addr="T0R1C">
        <m:item xlName="_GBC_09f5dee951f14e4bb7584ea122c3371f" concept="clcid-pte:TongGuoRongZiZuLinZuRuDeDeGuDingZiChanMingXiXiangMu" label="通过融资租赁租入的的固定资产明细－项目" addr="T0R1C0S1_1" cellConvertType="1" appId="_GBC_17a138c76e604d1b9b48d7c64e72801d"/>
        <m:item xlName="_GBC_af80922f4ebe48218ffe98ea29310e40" concept="clcid-pte:TongGuoRongZiZuLinZuRuDeDeGuDingZiChanMingXiZhangMianYuanZhi" label="通过融资租赁租入的的固定资产明细－账面原值" mulRef="_GBC_20f5a1a209bf4da283677bc136e9eb76" unitRef="_GBC_61f5e799747849ffbc16a7445a77d5d0" addr="T0R1C1S1_1" formatStyle="Comma" appId="_GBC_17a138c76e604d1b9b48d7c64e72801d"/>
        <m:item xlName="_GBC_743703eab5464c849adf3576aa0df22b" concept="clcid-pte:TongGuoRongZiZuLinZuRuDeDeGuDingZiChanMingXiLeiJiZheJiu" label="通过融资租赁租入的的固定资产明细－累计折旧" mulRef="_GBC_20f5a1a209bf4da283677bc136e9eb76" unitRef="_GBC_61f5e799747849ffbc16a7445a77d5d0" addr="T0R1C2S1_1" formatStyle="Comma" appId="_GBC_17a138c76e604d1b9b48d7c64e72801d"/>
        <m:item xlName="_GBC_81c5d5150271458fa8d6d9ac5ac217ce" concept="clcid-pte:TongGuoRongZiZuLinZuRuDeDeGuDingZiChanMingXiJianZhiZhunBei" label="通过融资租赁租入的的固定资产明细－减值准备" mulRef="_GBC_20f5a1a209bf4da283677bc136e9eb76" unitRef="_GBC_61f5e799747849ffbc16a7445a77d5d0" addr="T0R1C3S1_1" formatStyle="Comma" appId="_GBC_17a138c76e604d1b9b48d7c64e72801d"/>
        <m:item xlName="_GBC_41c985bf6bb544f2a52a62951431e0e0" concept="clcid-pte:TongGuoRongZiZuLinZuRuDeDeGuDingZiChanMingXiZhangMianJingZhi" label="通过融资租赁租入的的固定资产明细－账面净值" mulRef="_GBC_20f5a1a209bf4da283677bc136e9eb76" unitRef="_GBC_61f5e799747849ffbc16a7445a77d5d0" addr="T0R1C4S1_1" formatStyle="Comma" appId="_GBC_17a138c76e604d1b9b48d7c64e72801d"/>
      </m:tuple>
    </m:section>
    <m:section xlName="_GBC_06e38c241c8a43a99fdd68c92888bab1" title="通过经营租赁租出的固定资产" rules="R2015_R11_012" helpId="112001065" helpText="未执行新租赁准则的公司填写。">
      <m:item xlName="_GBC_251e1c74f40b47869d759974b0f6a463" concept="clcid-ci-ar:ShiFouShiYongTongGuoJingYingZuLinZuChuDeGuDingZiChan" label="是否适用：通过经营租赁租出的固定资产" selectOptions="_buildInAppliance" controlType="CustomCheckbox" cRanges="{&quot;StartName&quot;:&quot;_GBC_251e1c74f40b47869d759974b0f6a463&quot;,&quot;EndName&quot;:&quot;_GBC_d9afd0ea2f524787b2d92b302b28c680&quot;,&quot;CType&quot;:1,&quot;DisplayText&quot;:null}"/>
      <m:item xlName="_GBC_a1b158033c164dbe8e4b29749873c766" concept="clcid-ci-ar:DanWeiCaiWuFuZhuTongGuoJingYingZuLinZuChuDeGuDingZiChan" label="单位：财务附注：通过经营租赁租出的固定资产" selectOptions="_buildInScales" controlType="Combobox" cellType="Scale" appId="_GBC_251e1c74f40b47869d759974b0f6a463"/>
      <m:item xlName="_GBC_e4a5a39e4afb42bc8f9ecc37f1fd4c4b" concept="clcid-ci-ar:BiZhongCaiWuFuZhuTongGuoJingYingZuLinZuChuDeGuDingZiChan" label="币种：财务附注：通过经营租赁租出的固定资产" selectOptions="_buildInISO4217" controlType="Combobox" cellType="Measure" appId="_GBC_251e1c74f40b47869d759974b0f6a463"/>
      <m:placeholder xlName="_PLD_8eb604de598c4a599cc90a86ae48c29e" addr="T0R0C0S1_1"/>
      <m:placeholder xlName="_PLD_87828bb122d64d2db1a342511bbbf1d2" addr="T0R0C1S1_1"/>
      <m:tuple xlName="_GBC_1054aa1f769943fd9ad29c6bcb27e5a1" concept="clcid-pte:TongGuoJingYingZuLinZuChuDeDeGuDingZiChanMingXi" default_row="2" addr="T0R1C">
        <m:item xlName="_GBC_0b4bcd07d75e4feba894c4fb60ab7b78" concept="clcid-pte:TongGuoJingYingZuLinZuChuDeDeGuDingZiChanMingXiXiangMu" label="通过经营租赁租出的的固定资产明细－项目" addr="T0R1C0S1_1" cellConvertType="1" appId="_GBC_251e1c74f40b47869d759974b0f6a463"/>
        <m:item xlName="_GBC_d9afd0ea2f524787b2d92b302b28c680" concept="clcid-pte:TongGuoJingYingZuLinZuChuDeDeGuDingZiChanMingXiZhangMianJiaZhi" label="通过经营租赁租出的的固定资产明细－账面价值" mulRef="_GBC_a1b158033c164dbe8e4b29749873c766" unitRef="_GBC_e4a5a39e4afb42bc8f9ecc37f1fd4c4b" addr="T0R1C1S1_1" formatStyle="Comma" appId="_GBC_251e1c74f40b47869d759974b0f6a463"/>
      </m:tuple>
    </m:section>
    <m:section xlName="_GBC_5b357259936442c38f67f17b533c7085" title="未办妥产权证书的固定资产情况" rules="R2015_R11_012" convertSummaryRule="NoConvert" helpId="112001065">
      <m:item xlName="_GBC_a26aa363313e4c8fbedf9041cd41bfc9" concept="clcid-ci-ar:ShiFouShiYongWeiBanTuoChanQuanZhengShuDeGuDingZiChanQingKuang" label="是否适用：未办妥产权证书的固定资产情况" selectOptions="_buildInAppliance" controlType="CustomCheckbox" cRanges="{&quot;StartName&quot;:&quot;_GBC_a26aa363313e4c8fbedf9041cd41bfc9&quot;,&quot;EndName&quot;:&quot;_GBC_c5fad4ac76d14989bb9187b7f3a46bda&quot;,&quot;CType&quot;:1,&quot;DisplayText&quot;:null}"/>
      <m:item xlName="_GBC_b7780eb99c5c47be9731dc6ebe1dea77" concept="clcid-ci-ar:DanWeiCaiWuFuZhuWeiBanTuoChanQuanZhengShuDeGuDingZiChanQingKuang" label="单位：财务附注：未办妥产权证书的固定资产情况" selectOptions="_buildInScales" controlType="Combobox" cellType="Scale" appId="_GBC_a26aa363313e4c8fbedf9041cd41bfc9"/>
      <m:item xlName="_GBC_07d37ddbabe745a3b375a7706f9047dc" concept="clcid-ci-ar:BiZhongCaiWuFuZhuWeiBanTuoChanQuanZhengShuDeGuDingZiChanQingKuang" label="币种：财务附注：未办妥产权证书的固定资产情况" selectOptions="_buildInISO4217" controlType="Combobox" cellType="Measure" appId="_GBC_a26aa363313e4c8fbedf9041cd41bfc9"/>
      <m:placeholder xlName="_PLD_1347e8d2222c4d13aa7c3569cd05e439" addr="T0R0C0S1_1"/>
      <m:placeholder xlName="_PLD_e14c4b6f9d874d4c86e835843a896497" addr="T0R0C1S1_1"/>
      <m:placeholder xlName="_PLD_0735ea1c6b5c4a2395fde5f63b614530" addr="T0R0C2S1_1"/>
      <m:tuple xlName="_GBC_197aee8b2edc4ea19721e86529111007" concept="clcid-pte:WeiBanTuoChanQuanZhengShuDeGuDingZiChanQingKuangMingXi" default_row="2" addr="T0R1C">
        <m:item xlName="_GBC_a3f30dd23b5545f88be56e78771b4ef2" concept="clcid-pte:WeiBanTuoChanQuanZhengShuDeGuDingZiChanQingKuangMingXiXiangMu" label="未办妥产权证书的固定资产情况明细-项目" addr="T0R1C0S1_1" cellConvertType="1" appId="_GBC_a26aa363313e4c8fbedf9041cd41bfc9"/>
        <m:item xlName="_GBC_8f87f9afc4ef44d7b333a4d4cb5921a0" concept="clcid-pte:WeiBanTuoChanQuanZhengShuDeGuDingZiChanQingKuangMingXiZhengShuZhangMianJiaZhi" label="未办妥产权证书的固定资产情况明细-证书账面价值" mulRef="_GBC_b7780eb99c5c47be9731dc6ebe1dea77" unitRef="_GBC_07d37ddbabe745a3b375a7706f9047dc" addr="T0R1C1S1_1" formatStyle="Comma" appId="_GBC_a26aa363313e4c8fbedf9041cd41bfc9"/>
        <m:item xlName="_GBC_c5fad4ac76d14989bb9187b7f3a46bda" concept="clcid-pte:WeiBanTuoChanQuanZhengShuDeGuDingZiChanQingKuangMingXiYuanYin" label="未办妥产权证书的固定资产情况明细-原因" addr="T0R1C2S1_1" appId="_GBC_a26aa363313e4c8fbedf9041cd41bfc9"/>
      </m:tuple>
    </m:section>
    <m:section xlName="_GBC_c93a179f84504ae59ee71556bc9afb64" title="固定资产说明" rules="R2015_R11_012" convertSummaryRule="NoConvert" helpId="112001065">
      <m:item xlName="_GBC_e2fd7087594d4949ada40807334de5fb" concept="clcid-ci-ar:ShiFouShiYongGuDingZiChanDeShuoMing" label="是否适用：固定资产的说明" selectOptions="_buildInAppliance" controlType="CustomCheckbox" cRanges="{&quot;StartName&quot;:&quot;_GBC_e2fd7087594d4949ada40807334de5fb&quot;,&quot;EndName&quot;:&quot;_GBC_1cd9f478e6f24b25af00fb54ff820976&quot;,&quot;CType&quot;:1,&quot;DisplayText&quot;:null}"/>
      <m:item xlName="_GBC_1cd9f478e6f24b25af00fb54ff820976" concept="clcid-pte:GuDingZiChanDeShuoMing" label="固定资产的说明" appId="_GBC_e2fd7087594d4949ada40807334de5fb"/>
    </m:section>
    <m:section xlName="_GBC_0de4677cdcb54eaa8c2b2afa938f1054" title="固定资产清理">
      <m:item xlName="_GBC_d005d220fbda4cd2a58ced6d0d7a1404" concept="clcid-ci-ar:ShiFouShiYongGuDingZiChanQingLi" label="是否适用：固定资产清理" selectOptions="_buildInAppliance" controlType="CustomCheckbox" cRanges="{&quot;StartName&quot;:&quot;_GBC_d005d220fbda4cd2a58ced6d0d7a1404&quot;,&quot;EndName&quot;:&quot;_GBC_6081244c5732468ea4c4358acf71ff4e&quot;,&quot;CType&quot;:1,&quot;DisplayText&quot;:null}"/>
      <m:item xlName="_GBC_c77c37d4be5244c98a73ad0829a868ca" concept="clcid-ci-ar:DanWeiCaiWuFuZhuGuDingZiChanQingLi" label="单位：财务附注：固定资产清理" selectOptions="_buildInScales" controlType="Combobox" cellType="Scale" appId="_GBC_d005d220fbda4cd2a58ced6d0d7a1404"/>
      <m:item xlName="_GBC_ebcb1df019d641a2bdbfc0fe4ec5e448" concept="clcid-ci-ar:BiZhongCaiWuFuZhuGuDingZiChanQingLi" label="币种：财务附注：固定资产清理" selectOptions="_buildInISO4217" controlType="Combobox" cellType="Measure" appId="_GBC_d005d220fbda4cd2a58ced6d0d7a1404"/>
      <m:placeholder xlName="_PLD_0c0b231ac6c548e1bff3e49f88bf6d0a" addr="T0R0C0S1_1"/>
      <m:placeholder xlName="_PLD_a026f90b6f2343ccbfe5d70bbff15ffc" addr="T0R0C1S1_1"/>
      <m:placeholder xlName="_PLD_3f30c69a4984493cb128422af65300e8" addr="T0R0C2S1_1"/>
      <m:tuple xlName="_GBC_f2a072a066774531bcac9187ea76157d" concept="clcid-pte:GuDingZiChanQingLiMingXi" default_row="2" addr="T0R1C">
        <m:item xlName="_GBC_08eb230f95394c1aaab4833e253f522e" concept="clcid-pte:GuDingZiChanQingLiXiangMuMingCheng" label="固定资产清理项目名称" addr="T0R1C0S1_1" appId="_GBC_d005d220fbda4cd2a58ced6d0d7a1404"/>
        <m:item xlName="_GBC_be4d0118955b4357aab54b497cd52836" concept="clcid-pte:GuDingZiChanQingLiXiangMuJinE" label="固定资产清理项目金额" mulRef="_GBC_c77c37d4be5244c98a73ad0829a868ca" unitRef="_GBC_ebcb1df019d641a2bdbfc0fe4ec5e448" addr="T0R1C1S1_1" formatStyle="Comma" appId="_GBC_d005d220fbda4cd2a58ced6d0d7a1404"/>
        <m:item xlName="_GBC_140c9c82044949b39c3fc7ea35c26de7" concept="clcid-pte:GuDingZiChanQingLiXiangMuJinE" label="固定资产清理项目金额" periodRef="本期期初数" mulRef="_GBC_c77c37d4be5244c98a73ad0829a868ca" unitRef="_GBC_ebcb1df019d641a2bdbfc0fe4ec5e448" addr="T0R1C2S1_1" formatStyle="Comma" appId="_GBC_d005d220fbda4cd2a58ced6d0d7a1404"/>
      </m:tuple>
      <m:placeholder xlName="_PLD_6b9c51fb7cb841b183f996903d83ba40" addr="T0R3C0S1_1"/>
      <m:item xlName="_GBC_258f1407745b4f6389892c0911c78064" concept="clcid-pte:GuDingZiChanQingLi" label="固定资产清理" mulRef="_GBC_c77c37d4be5244c98a73ad0829a868ca" unitRef="_GBC_ebcb1df019d641a2bdbfc0fe4ec5e448" addr="T0R3C1S1_1" formatStyle="Comma" appId="_GBC_d005d220fbda4cd2a58ced6d0d7a1404">
        <m:complexRule comparator="Eq" title="固定资产清理" test=" $_GBC_be4d0118955b4357aab54b497cd52836" id="Ce1ba86dcf16c420ab61b177615231b13"/>
      </m:item>
      <m:item xlName="_GBC_9d6f559e2ca847088b02b9133811640b" concept="clcid-pte:GuDingZiChanQingLi" label="固定资产清理" periodRef="本期期初数" mulRef="_GBC_c77c37d4be5244c98a73ad0829a868ca" unitRef="_GBC_ebcb1df019d641a2bdbfc0fe4ec5e448" addr="T0R3C2S1_1" formatStyle="Comma" appId="_GBC_d005d220fbda4cd2a58ced6d0d7a1404">
        <m:complexRule comparator="Eq" title="固定资产清理@本期期初数" test=" $_GBC_140c9c82044949b39c3fc7ea35c26de7" id="Cf20a8c6c26fc48bbb613bd5dd85a8011"/>
      </m:item>
      <m:item xlName="_GBC_6081244c5732468ea4c4358acf71ff4e" concept="clcid-pte:GuDingZiChanQingLiDeShuoMing" label="固定资产清理的说明" appId="_GBC_d005d220fbda4cd2a58ced6d0d7a1404"/>
    </m:section>
    <m:section xlName="_SEC_5259769a5b954eaaa39f8ab4268be07c" title="在建工程项目列示">
      <m:item xlName="_GBC_bcbd4315343844fc923825dd150041e5" concept="clcid-ci-ar:ShiFouShiYongZaiJianGongChengFenLeiLieShi" label="是否适用：在建工程分类列示" selectOptions="_buildInAppliance" controlType="CustomCheckbox" cRanges="[{&quot;StartName&quot;:&quot;_GBC_bcbd4315343844fc923825dd150041e5&quot;,&quot;EndName&quot;:&quot;_GBC_bf7c5de7968241e495701aa3387c2913&quot;,&quot;CType&quot;:1}]"/>
      <m:item xlName="_GBC_9df8e16a6fb54a76b384d11e7a6dd52d" concept="clcid-ci-ar:DanWeiZaiJianGongChengFenLeiLieShi" label="单位：在建工程分类列示" selectOptions="_buildInScales" controlType="Combobox" cellType="Scale" appId="_GBC_bcbd4315343844fc923825dd150041e5"/>
      <m:item xlName="_GBC_17b0bdb7b5f24e599fcea2e90510306a" concept="clcid-ci-ar:BiZhongZaiJianGongChengFenLeiLieShi" label="币种：在建工程分类列示" selectOptions="_buildInISO4217" controlType="Combobox" cellType="Measure" appId="_GBC_bcbd4315343844fc923825dd150041e5"/>
      <m:placeholder xlName="_PLD_3a34a6496ee4454093b17b19ba9b805d" addr="T0R0C0S1_1"/>
      <m:placeholder xlName="_PLD_88973d2835334cdbb31181ad26b55912" addr="T0R0C1S1_1"/>
      <m:placeholder xlName="_PLD_55f5bd8851c54b7897a165bee2df0273" addr="T0R0C2S1_1"/>
      <m:placeholder xlName="_PLD_65bb35f19246484caedfd539dfade78d" addr="T0R1C0S1_1" helpText="此处的在建工程是指扣除工程物资后的在建工程"/>
      <m:item xlName="_GBC_e08cff27b5ba408daea785dbf1d3112d" concept="clcid-pte:ZaiJianGongChengZhangMianJiaZhi" label="在建工程账面价值" mulRef="_GBC_9df8e16a6fb54a76b384d11e7a6dd52d" unitRef="_GBC_17b0bdb7b5f24e599fcea2e90510306a" addr="T0R1C1S1_1" formatStyle="Comma" helpText="此处的在建工程是指扣除工程物资后的在建工程" appId="_GBC_bcbd4315343844fc923825dd150041e5"/>
      <m:item xlName="_GBC_38bca32823de4b4faa5712ec30b77e62" concept="clcid-pte:ZaiJianGongChengZhangMianJiaZhi" label="在建工程账面价值" periodRef="本期期初数" mulRef="_GBC_9df8e16a6fb54a76b384d11e7a6dd52d" unitRef="_GBC_17b0bdb7b5f24e599fcea2e90510306a" addr="T0R1C2S1_1" formatStyle="Comma" helpText="此处的在建工程是指扣除工程物资后的在建工程" appId="_GBC_bcbd4315343844fc923825dd150041e5"/>
      <m:placeholder xlName="_PLD_6651d8420b62461b941e53c23e48454e" addr="T0R2C0S1_1"/>
      <m:item xlName="_GBC_eab1e2c9a2734ca2a988a74bb9f37062" concept="clcid-pte:GongChengWuZi" label="工程物资" mulRef="_GBC_9df8e16a6fb54a76b384d11e7a6dd52d" unitRef="_GBC_17b0bdb7b5f24e599fcea2e90510306a" addr="T0R2C1S1_1" formatStyle="Comma" appId="_GBC_bcbd4315343844fc923825dd150041e5"/>
      <m:item xlName="_GBC_9b03eba7652845f4bf07d231c5fe5884" concept="clcid-pte:GongChengWuZi" label="工程物资" periodRef="本期期初数" mulRef="_GBC_9df8e16a6fb54a76b384d11e7a6dd52d" unitRef="_GBC_17b0bdb7b5f24e599fcea2e90510306a" addr="T0R2C2S1_1" formatStyle="Comma" appId="_GBC_bcbd4315343844fc923825dd150041e5"/>
      <m:placeholder xlName="_PLD_e1778e13b3024450b5ac627563f1ed3a" addr="T0R3C0S1_1"/>
      <m:item xlName="_GBC_20534c53136b436db938642b96458942" concept="clcid-pte:ZaiJianGongCheng" label="在建工程" mulRef="_GBC_9df8e16a6fb54a76b384d11e7a6dd52d" unitRef="_GBC_17b0bdb7b5f24e599fcea2e90510306a" addr="T0R3C1S1_1" formatStyle="Comma" appId="_GBC_bcbd4315343844fc923825dd150041e5">
        <m:complexRule comparator="Eq" title="在建工程" test=" $_GBC_e08cff27b5ba408daea785dbf1d3112d +  $_GBC_eab1e2c9a2734ca2a988a74bb9f37062" id="C7131283418fd47c190cdf536d4416079"/>
      </m:item>
      <m:item xlName="_GBC_bf7c5de7968241e495701aa3387c2913" concept="clcid-pte:ZaiJianGongCheng" label="在建工程" periodRef="本期期初数" mulRef="_GBC_9df8e16a6fb54a76b384d11e7a6dd52d" unitRef="_GBC_17b0bdb7b5f24e599fcea2e90510306a" addr="T0R3C2S1_1" formatStyle="Comma" appId="_GBC_bcbd4315343844fc923825dd150041e5">
        <m:complexRule comparator="Eq" title="在建工程@本期期初数" test=" $_GBC_38bca32823de4b4faa5712ec30b77e62 +  $_GBC_9b03eba7652845f4bf07d231c5fe5884" id="C15e4e1a3cfe74e0994ef1b2bf87c3dd7"/>
      </m:item>
      <m:item xlName="_GBC_ebe1a06b82914095a2c469c32c78af71" concept="clcid-pte:ZaiJianGongChengFenLeiLieShiQiTaShuoMing" label="在建工程分类列示其他说明"/>
    </m:section>
    <m:section xlName="_GBC_88cd7483eb15414d84d17f5cc1a4bf78" title="在建工程情况" rules="R2015_R11_012" convertSummaryRule="NoConvert" helpId="112001067">
      <m:item xlName="_GBC_d9828cc7ad534f26902e1979f9d67530" concept="clcid-ci-ar:ShiFouShiYongZaiJianGongChengQingKuang" label="是否适用：在建工程情况" selectOptions="_buildInAppliance" controlType="CustomCheckbox" cRanges="{&quot;StartName&quot;:&quot;_GBC_d9828cc7ad534f26902e1979f9d67530&quot;,&quot;EndName&quot;:&quot;_GBC_0ff27c25f904418b807e90b3251b0c4e&quot;,&quot;CType&quot;:1,&quot;DisplayText&quot;:null}"/>
      <m:item xlName="_GBC_d20598ce3f5b4d21a9055de674936a9a" concept="clcid-ci-ar:DanWeiCaiWuFuZhuZaiJianGongCheng" label="单位：财务附注：在建工程" selectOptions="_buildInScales" controlType="Combobox" cellType="Scale" appId="_GBC_d9828cc7ad534f26902e1979f9d67530"/>
      <m:item xlName="_GBC_9e96d736daa247dd96af144329fff105" concept="clcid-ci-ar:BiZhongCaiWuFuZhuZaiJianGongCheng" label="币种：财务附注：在建工程" selectOptions="_buildInISO4217" controlType="Combobox" cellType="Measure" appId="_GBC_d9828cc7ad534f26902e1979f9d67530"/>
      <m:placeholder xlName="_PLD_27b31695edfd49cb9cafa333777d18c3" addr="T0R0C0S2_1"/>
      <m:placeholder xlName="_PLD_a5273bde7b2f4c6c8fbe3ea2d7a7eb84" addr="T0R0C1S1_3"/>
      <m:placeholder xlName="_PLD_ac57490b080449c8b91be5a872e19f79" addr="T0R0C4S1_3"/>
      <m:placeholder xlName="_PLD_1d60491359e245e7bc54655c8c8c15fd" addr="T0R1C1S1_1"/>
      <m:placeholder xlName="_PLD_d5d8fa5186d44c82b146ad7151830389" addr="T0R1C2S1_1"/>
      <m:placeholder xlName="_PLD_49aa1c2d25814b789479d76afb6fc844" addr="T0R1C3S1_1"/>
      <m:placeholder xlName="_PLD_4bba2db5e5a549ecafbf4e94a7af2e35" addr="T0R1C4S1_1"/>
      <m:placeholder xlName="_PLD_e054d8cd1e1b4672ae08a495b587bdce" addr="T0R1C5S1_1"/>
      <m:placeholder xlName="_PLD_bd3055c2713a44fa9cbd3fd973d34c6a" addr="T0R1C6S1_1"/>
      <m:tuple xlName="_GBC_5f073fecf2ff4f9ba33e687f80450c77" concept="clcid-pte:ZaiJianGongChengQingKuangMingXi" default_row="2" addr="T0R2C">
        <m:item xlName="_GBC_d66706bd026f4853bbc6b7af2859bef6" concept="clcid-pte:ZaiJianGongChengQingKuangMingXiXiangMu" label="在建工程情况明细－项目" addr="T0R2C0S1_1" appId="_GBC_d9828cc7ad534f26902e1979f9d67530"/>
        <m:item xlName="_GBC_0f9ca475d5c742eab7e658673f97ba10" concept="clcid-pte:ZaiJianGongChengQingKuangMingXiZhangMianYuanZhi" label="在建工程情况明细－账面原值" mulRef="_GBC_d20598ce3f5b4d21a9055de674936a9a" unitRef="_GBC_9e96d736daa247dd96af144329fff105" addr="T0R2C1S1_1" formatStyle="Comma" appId="_GBC_d9828cc7ad534f26902e1979f9d67530"/>
        <m:item xlName="_GBC_33dda012913d4809ac56bacd0c1409e7" concept="clcid-pte:ZaiJianGongChengQingKuangMingXiDieJiaZhunBei" label="在建工程情况明细－跌价准备" mulRef="_GBC_d20598ce3f5b4d21a9055de674936a9a" unitRef="_GBC_9e96d736daa247dd96af144329fff105" addr="T0R2C2S1_1" formatStyle="Comma" appId="_GBC_d9828cc7ad534f26902e1979f9d67530"/>
        <m:item xlName="_GBC_03cad967bd1041f3bf9cceba76a67028" concept="clcid-pte:ZaiJianGongChengQingKuangMingXiZhangMianJiaZhi" label="在建工程情况明细－账面价值" mulRef="_GBC_d20598ce3f5b4d21a9055de674936a9a" unitRef="_GBC_9e96d736daa247dd96af144329fff105" addr="T0R2C3S1_1" formatStyle="Comma" appId="_GBC_d9828cc7ad534f26902e1979f9d67530"/>
        <m:item xlName="_GBC_1eca25f3cd8c44a1a8fca3ffe7d88e3d" concept="clcid-pte:ZaiJianGongChengQingKuangMingXiZhangMianYuanZhi" label="在建工程情况明细－账面原值" periodRef="本期期初数" mulRef="_GBC_d20598ce3f5b4d21a9055de674936a9a" unitRef="_GBC_9e96d736daa247dd96af144329fff105" addr="T0R2C4S1_1" formatStyle="Comma" appId="_GBC_d9828cc7ad534f26902e1979f9d67530"/>
        <m:item xlName="_GBC_10aaae6c8e5740218121cb96b1904d71" concept="clcid-pte:ZaiJianGongChengQingKuangMingXiDieJiaZhunBei" label="在建工程情况明细－跌价准备" periodRef="本期期初数" mulRef="_GBC_d20598ce3f5b4d21a9055de674936a9a" unitRef="_GBC_9e96d736daa247dd96af144329fff105" addr="T0R2C5S1_1" formatStyle="Comma" appId="_GBC_d9828cc7ad534f26902e1979f9d67530"/>
        <m:item xlName="_GBC_e332cb077270441094620464bf4d6cd6" concept="clcid-pte:ZaiJianGongChengQingKuangMingXiZhangMianJiaZhi" label="在建工程情况明细－账面价值" periodRef="本期期初数" mulRef="_GBC_d20598ce3f5b4d21a9055de674936a9a" unitRef="_GBC_9e96d736daa247dd96af144329fff105" addr="T0R2C6S1_1" formatStyle="Comma" appId="_GBC_d9828cc7ad534f26902e1979f9d67530"/>
      </m:tuple>
      <m:placeholder xlName="_PLD_fb8a9351bc5144ab907a84376899a536" addr="T0R4C0S1_1"/>
      <m:item xlName="_GBC_5cc98e29ca064f5c9a7342bafe4a71f5" concept="clcid-pte:ZaiJianGongChengHeJi" label="在建工程合计" mulRef="_GBC_d20598ce3f5b4d21a9055de674936a9a" unitRef="_GBC_9e96d736daa247dd96af144329fff105" addr="T0R4C1S1_1" formatStyle="Comma" appId="_GBC_d9828cc7ad534f26902e1979f9d67530">
        <m:complexRule comparator="Eq" title="在建工程合计" test=" $_GBC_0f9ca475d5c742eab7e658673f97ba10" id="Cf50f1774d2274d69b9b306d972edf461"/>
      </m:item>
      <m:item xlName="_GBC_b4bc34bac1de49b5b7371fb6f84f07f7" concept="clcid-pte:ZaiJianGongChengJianZhiZhunBeiHeJiYuE" label="在建工程减值准备合计余额" mulRef="_GBC_d20598ce3f5b4d21a9055de674936a9a" unitRef="_GBC_9e96d736daa247dd96af144329fff105" addr="T0R4C2S1_1" formatStyle="Comma" appId="_GBC_d9828cc7ad534f26902e1979f9d67530">
        <m:complexRule comparator="Eq" title="在建工程减值准备合计余额" test=" $_GBC_33dda012913d4809ac56bacd0c1409e7" id="C6f1513a65fa34821bb0f6bb01ef754d2"/>
      </m:item>
      <m:item xlName="_GBC_f56f32e4dfe64301b1a618b54169c545" concept="clcid-pte:ZaiJianGongChengZhangMianJiaZhi" label="在建工程账面价值" mulRef="_GBC_d20598ce3f5b4d21a9055de674936a9a" unitRef="_GBC_9e96d736daa247dd96af144329fff105" addr="T0R4C3S1_1" formatStyle="Comma" appId="_GBC_d9828cc7ad534f26902e1979f9d67530">
        <m:complexRule comparator="Eq" title="在建工程" test=" $_GBC_03cad967bd1041f3bf9cceba76a67028" id="C074a445448d445cc92e995fb0242676e"/>
      </m:item>
      <m:item xlName="_GBC_3938a3cfea384231b30b8e149530b919" concept="clcid-pte:ZaiJianGongChengHeJi" label="在建工程合计" periodRef="本期期初数" mulRef="_GBC_d20598ce3f5b4d21a9055de674936a9a" unitRef="_GBC_9e96d736daa247dd96af144329fff105" addr="T0R4C4S1_1" formatStyle="Comma" appId="_GBC_d9828cc7ad534f26902e1979f9d67530">
        <m:complexRule comparator="Eq" title="在建工程合计@本期期初数" test=" $_GBC_1eca25f3cd8c44a1a8fca3ffe7d88e3d" id="C7787931ed2ed4afb8d0eacbf13441987"/>
      </m:item>
      <m:item xlName="_GBC_5272a3f809b3467d8aba8fdf5b040084" concept="clcid-pte:ZaiJianGongChengJianZhiZhunBeiHeJiYuE" label="在建工程减值准备合计余额" periodRef="本期期初数" mulRef="_GBC_d20598ce3f5b4d21a9055de674936a9a" unitRef="_GBC_9e96d736daa247dd96af144329fff105" addr="T0R4C5S1_1" formatStyle="Comma" appId="_GBC_d9828cc7ad534f26902e1979f9d67530">
        <m:complexRule comparator="Eq" title="在建工程减值准备合计余额@本期期初数" test=" $_GBC_10aaae6c8e5740218121cb96b1904d71" id="Ce8ac4b7d7edb43d4b3ef67b71b2daa65"/>
      </m:item>
      <m:item xlName="_GBC_0ff27c25f904418b807e90b3251b0c4e" concept="clcid-pte:ZaiJianGongChengZhangMianJiaZhi" label="在建工程账面价值" periodRef="本期期初数" mulRef="_GBC_d20598ce3f5b4d21a9055de674936a9a" unitRef="_GBC_9e96d736daa247dd96af144329fff105" addr="T0R4C6S1_1" formatStyle="Comma" appId="_GBC_d9828cc7ad534f26902e1979f9d67530">
        <m:complexRule comparator="Eq" title="在建工程@本期期初数" test=" $_GBC_e332cb077270441094620464bf4d6cd6" id="C471805dd8b894107a9473f6d8a6f5e5f"/>
      </m:item>
    </m:section>
    <m:section xlName="_GBC_b1eb75f465d7494995f17407201cfca9" title="重大在建工程项目变动情况" rules="R2015_R11_012"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addr="T0R0C0S1_1"/>
      <m:placeholder xlName="_PLD_667404be40294d63b853abf58a9d185f" addr="T0R0C1S1_1"/>
      <m:placeholder xlName="_PLD_25c75ebdcb434964b5f5e8b512151b0b" addr="T0R0C2S1_1"/>
      <m:placeholder xlName="_PLD_0117182ae7e24536a0996423ddcfa5f0" addr="T0R0C3S1_1"/>
      <m:placeholder xlName="_PLD_6db4feaec90f4eeeb4ed5fb04d298657" addr="T0R0C4S1_1"/>
      <m:placeholder xlName="_PLD_1fe85c3ed6f84f6f85209149a9931055" addr="T0R0C5S1_1"/>
      <m:placeholder xlName="_PLD_7954fe4b89f644d29865af249dfe8c3f" addr="T0R0C6S1_1"/>
      <m:placeholder xlName="_PLD_d9aa12b28eda4362b90372032218ea1a" addr="T0R0C7S1_1"/>
      <m:placeholder xlName="_PLD_9e610c25eba14177abc9b359511cb935" addr="T0R0C8S1_1"/>
      <m:placeholder xlName="_PLD_e89a95ddf6ab4a6abe2d40f64c95699a" addr="T0R0C9S1_1"/>
      <m:placeholder xlName="_PLD_211048c05b944d8f9bfd1d37edfd2f6d" addr="T0R0C10S1_1"/>
      <m:placeholder xlName="_PLD_2cbfddfcd5e6493ba68633d99551c05f" addr="T0R0C11S1_1"/>
      <m:placeholder xlName="_PLD_39440674746d4382a4f99328187752a9" addr="T0R0C12S1_1"/>
      <m:tuple xlName="_GBC_b84d9018f52b45beabeca7c2371cdc18" concept="clcid-pte:ZaiJianGongChengMingXi" default_row="2" addr="T0R1C">
        <m:item xlName="_GBC_cb285d56275840a19db40590398e9f1e"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tuple>
      <m:placeholder xlName="_PLD_942a3001646f41f087960bab251b2bbb"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item xlName="_GBC_b220fd94287f4b01997861dc2c72b0a6" concept="clcid-ci-ar:ShiFouShiYongBenQiJiTiZaiJianGongChengJianZhiZhunBeiQingKuang" label="是否适用：本期计提在建工程减值准备情况" selectOptions="_buildInAppliance" controlType="CustomCheckbox" cRanges="{&quot;StartName&quot;:&quot;_GBC_b220fd94287f4b01997861dc2c72b0a6&quot;,&quot;EndName&quot;:&quot;_GBC_4e46afd0a9fa434989d1b1d45cd91bb4&quot;,&quot;CType&quot;:1,&quot;DisplayText&quot;:null}"/>
      <m:item xlName="_GBC_f3e168e91f04414ab79bbd9f0ccb4e7a" concept="clcid-ci-ar:DanWeiCaiWuFuZhuZaiJianGongChengJianZhiZhunBei" label="单位：财务附注：在建工程减值准备" selectOptions="_buildInScales" controlType="Combobox" cellType="Scale" appId="_GBC_b220fd94287f4b01997861dc2c72b0a6"/>
      <m:item xlName="_GBC_893b5e30c8714cf8bacd62a32621fa5c" concept="clcid-ci-ar:BiZhongCaiWuFuZhuZaiJianGongChengJianZhiZhunBei" label="币种：财务附注：在建工程减值准备" selectOptions="_buildInISO4217" controlType="Combobox" cellType="Measure" appId="_GBC_b220fd94287f4b01997861dc2c72b0a6"/>
      <m:placeholder xlName="_PLD_92512d092d9547dc9dbd898cd38a90be" addr="T0R0C0S1_1"/>
      <m:placeholder xlName="_PLD_706182b41140401e814c2ced02969ff8" addr="T0R0C1S1_1"/>
      <m:placeholder xlName="_PLD_a1aa48550bb646549bf346f991864889" addr="T0R0C2S1_1"/>
      <m:tuple xlName="_GBC_b0984ab5904040059713eebb3a4f3e44" concept="clcid-pte:ZaiJianGongChengJianZhiZhunBeiXiangMu" default_row="2" addr="T0R1C">
        <m:item xlName="_GBC_3367d18a00394c6398b1cd9302e9eb9a" concept="clcid-pte:ZaiJianGongChengJianZhiZhunBeiXiangMuMingCheng" label="在建工程减值准备项目名称" addr="T0R1C0S1_1" appId="_GBC_b220fd94287f4b01997861dc2c72b0a6"/>
        <m:item xlName="_GBC_f97eeb96ce0542cf8d4121b7bc7de8b9" concept="clcid-pte:ZaiJianGongChengXiangMuJianZhiZhunBeiZengJiaShu" label="在建工程项目减值准备增加数" mulRef="_GBC_f3e168e91f04414ab79bbd9f0ccb4e7a" unitRef="_GBC_893b5e30c8714cf8bacd62a32621fa5c" addr="T0R1C1S1_1" formatStyle="Comma" appId="_GBC_b220fd94287f4b01997861dc2c72b0a6"/>
        <m:item xlName="_GBC_9ad7a913dc2346dba7dcf06d73bea397" concept="clcid-pte:ZaiJianGongChengXiangMuJianZhiZhunBeiDeJiTiYuanYin" label="在建工程项目减值准备的计提原因" addr="T0R1C2S1_1" appId="_GBC_b220fd94287f4b01997861dc2c72b0a6"/>
      </m:tuple>
      <m:placeholder xlName="_PLD_5b1e2fe481d34387a8508974e04af05a" addr="T0R3C0S1_1"/>
      <m:item xlName="_GBC_4e46afd0a9fa434989d1b1d45cd91bb4" concept="clcid-pte:ZaiJianGongChengJianZhiZhunBeiHeJiDeBenQiZengJiaShu" label="在建工程减值准备合计_本期增加数" mulRef="_GBC_f3e168e91f04414ab79bbd9f0ccb4e7a" unitRef="_GBC_893b5e30c8714cf8bacd62a32621fa5c" addr="T0R3C1S1_1" formatStyle="Comma" appId="_GBC_b220fd94287f4b01997861dc2c72b0a6">
        <m:complexRule comparator="Eq" title="在建工程减值准备合计余额" test=" $_GBC_f97eeb96ce0542cf8d4121b7bc7de8b9" id="C0ea7dfc0b1d740adbfdb29aec4723805"/>
      </m:item>
    </m:section>
    <m:section xlName="_GBC_d5aec612c6334d1b8a827f3f39a2781d" title="在建工程的说明" rules="R2015_R11_012" convertSummaryRule="NoConvert" helpId="112001067">
      <m:item xlName="_GBC_c0ffdfbb304348758da855627ba6d858" concept="clcid-ci-ar:ShiFouShiYongZaiJianGongChengDeShuoMing" label="是否适用：在建工程的说明" selectOptions="_buildInAppliance" controlType="CustomCheckbox" cRanges="{&quot;StartName&quot;:&quot;_GBC_c0ffdfbb304348758da855627ba6d858&quot;,&quot;EndName&quot;:&quot;_GBC_eaac445d9f29415cb063476e51d4f873&quot;,&quot;CType&quot;:1,&quot;DisplayText&quot;:null}"/>
      <m:item xlName="_GBC_eaac445d9f29415cb063476e51d4f873" concept="clcid-pte:ZaiJianGongChengDeShuoMing" label="在建工程的说明" appId="_GBC_c0ffdfbb304348758da855627ba6d858"/>
    </m:section>
    <m:section xlName="_GBC_12c2ea8f308b49c7b5e2baae867f1ec7" title="工程物资" convertSummaryRule="NoConvert" helpId="112001069">
      <m:item xlName="_GBC_0d711628566c4b08b883151766986b20" concept="clcid-ci-ar:ShiFouShiYongGongChengWuZi" label="是否适用：工程物资" selectOptions="_buildInAppliance" controlType="CustomCheckbox" cRanges="{&quot;StartName&quot;:&quot;_GBC_0d711628566c4b08b883151766986b20&quot;,&quot;EndName&quot;:&quot;_GBC_6e6a056654d34f4baea4f3cf22bcb183&quot;,&quot;CType&quot;:1,&quot;DisplayText&quot;:null}"/>
      <m:item xlName="_GBC_9e438118345a414ebb42540883d9d901" concept="clcid-ci-ar:DanWeiCaiWuFuZhuGongChengWuZi" label="单位：财务附注：工程物资" selectOptions="_buildInScales" controlType="Combobox" cellType="Scale" appId="_GBC_0d711628566c4b08b883151766986b20"/>
      <m:item xlName="_GBC_e98a8ba0f9c641038d6bc5d4e3b304b0" concept="clcid-ci-ar:BiZhongCaiWuFuZhuGongChengWuZi" label="币种：财务附注：工程物资" selectOptions="_buildInISO4217" controlType="Combobox" cellType="Measure" appId="_GBC_0d711628566c4b08b883151766986b20"/>
      <m:placeholder xlName="_PLD_47bf651b1b034a418fb1db38150aa4b4" addr="T0R0C0S2_1"/>
      <m:placeholder xlName="_PLD_48ff352fed3842f39a85665d17954846" addr="T0R0C1S1_3"/>
      <m:placeholder xlName="_PLD_c9bc4b861b7e44ed860c437763dc3d4e" addr="T0R0C4S1_3"/>
      <m:placeholder xlName="_PLD_8f94fed53e7d4891bdfe09802cfa0368" addr="T0R1C1S1_1"/>
      <m:placeholder xlName="_PLD_19c2095293fa4d6a9f54d246020cfdfd" addr="T0R1C2S1_1"/>
      <m:placeholder xlName="_PLD_4fd09ced029a4cbf99f63c809ae7a8b5" addr="T0R1C3S1_1"/>
      <m:placeholder xlName="_PLD_4195ac1a320648fa9510729303ab773b" addr="T0R1C4S1_1"/>
      <m:placeholder xlName="_PLD_abb3aec78259484caf3e737ff1d5aeae" addr="T0R1C5S1_1"/>
      <m:placeholder xlName="_PLD_58b22922dcb74a3689b431da73c3c35b" addr="T0R1C6S1_1"/>
      <m:tuple xlName="_TUP_558e201d31cd471d8607308d88b54f12" concept="clcid-pte:GongChengWuZiMingXi" default_row="2" addr="T0R2C">
        <m:item xlName="_GBC_f7c3335145dc48849a123a8b273df83d" concept="clcid-pte:GongChengWuZiXiangMu" label="工程物资项目" addr="T0R2C0S1_1" appId="_GBC_0d711628566c4b08b883151766986b20"/>
        <m:item xlName="_GBC_acfd90010c7b418096931eabffd5527d" concept="clcid-pte:GongChengWuZiMingXiZhangMianYuE" label="工程物资明细-账面余额" mulRef="_GBC_9e438118345a414ebb42540883d9d901" unitRef="_GBC_e98a8ba0f9c641038d6bc5d4e3b304b0" addr="T0R2C1S1_1" formatStyle="Comma" appId="_GBC_0d711628566c4b08b883151766986b20"/>
        <m:item xlName="_GBC_7cb1ec5129344e0082be62d3b9acefea" concept="clcid-pte:GongChengWuZiMingXiJianZhiZhunBei" label="工程物资明细-减值准备" mulRef="_GBC_9e438118345a414ebb42540883d9d901" unitRef="_GBC_e98a8ba0f9c641038d6bc5d4e3b304b0" addr="T0R2C2S1_1" formatStyle="Comma" appId="_GBC_0d711628566c4b08b883151766986b20"/>
        <m:item xlName="_GBC_c8d2b8c04a3843cbb571fe017a59170b" concept="clcid-pte:GongChengWuZiJinE" label="工程物资金额" mulRef="_GBC_9e438118345a414ebb42540883d9d901" unitRef="_GBC_e98a8ba0f9c641038d6bc5d4e3b304b0" addr="T0R2C3S1_1" formatStyle="Comma" appId="_GBC_0d711628566c4b08b883151766986b20"/>
        <m:item xlName="_GBC_81b7958c64174066897ca01ce66eeb0e" concept="clcid-pte:GongChengWuZiMingXiZhangMianYuE" label="工程物资明细-账面余额" periodRef="本期期初数" mulRef="_GBC_9e438118345a414ebb42540883d9d901" unitRef="_GBC_e98a8ba0f9c641038d6bc5d4e3b304b0" addr="T0R2C4S1_1" formatStyle="Comma" appId="_GBC_0d711628566c4b08b883151766986b20"/>
        <m:item xlName="_GBC_5d5c45a6fcbf43f6915719a7568f3484" concept="clcid-pte:GongChengWuZiMingXiJianZhiZhunBei" label="工程物资明细-减值准备" periodRef="本期期初数" mulRef="_GBC_9e438118345a414ebb42540883d9d901" unitRef="_GBC_e98a8ba0f9c641038d6bc5d4e3b304b0" addr="T0R2C5S1_1" formatStyle="Comma" appId="_GBC_0d711628566c4b08b883151766986b20"/>
        <m:item xlName="_GBC_a7b28cd4ce814de79b9ffe83bd0d3a9b" concept="clcid-pte:GongChengWuZiJinE" label="工程物资金额" periodRef="本期期初数" mulRef="_GBC_9e438118345a414ebb42540883d9d901" unitRef="_GBC_e98a8ba0f9c641038d6bc5d4e3b304b0" addr="T0R2C6S1_1" formatStyle="Comma" appId="_GBC_0d711628566c4b08b883151766986b20"/>
      </m:tuple>
      <m:placeholder xlName="_PLD_edc9342e3afd49bab04d6c03ddb6c611" addr="T0R4C0S1_1"/>
      <m:item xlName="_GBC_e7d20764cc0940e7936dbbd141938bfc" concept="clcid-pte:GongChengWuZiZhangMianYuE" label="工程物资账面余额" mulRef="_GBC_9e438118345a414ebb42540883d9d901" unitRef="_GBC_e98a8ba0f9c641038d6bc5d4e3b304b0" addr="T0R4C1S1_1" formatStyle="Comma" appId="_GBC_0d711628566c4b08b883151766986b20">
        <m:complexRule comparator="Eq" title="工程物资账面余额" test=" $_GBC_acfd90010c7b418096931eabffd5527d" id="C60ab0b473ea34ae3b45a64b36f7f0173"/>
      </m:item>
      <m:item xlName="_GBC_e2aee829f10442028b45c47b7c9c5611" concept="clcid-pte:GongChengWuZiJianZhiZhunBeiYuEHeJi" label="工程物资减值准备余额合计" mulRef="_GBC_9e438118345a414ebb42540883d9d901" unitRef="_GBC_e98a8ba0f9c641038d6bc5d4e3b304b0" addr="T0R4C2S1_1" formatStyle="Comma" appId="_GBC_0d711628566c4b08b883151766986b20">
        <m:complexRule comparator="Eq" title="工程物资减值准备余额合计" test=" $_GBC_7cb1ec5129344e0082be62d3b9acefea" id="C3f11d0f790594162801e473f09b7090c"/>
      </m:item>
      <m:item xlName="_GBC_b6dafc8fcb914bdea6a36e1423691684" concept="clcid-pte:GongChengWuZi" label="工程物资" mulRef="_GBC_9e438118345a414ebb42540883d9d901" unitRef="_GBC_e98a8ba0f9c641038d6bc5d4e3b304b0" addr="T0R4C3S1_1" formatStyle="Comma" appId="_GBC_0d711628566c4b08b883151766986b20">
        <m:complexRule comparator="Eq" title="工程物资" test=" $_GBC_c8d2b8c04a3843cbb571fe017a59170b" id="Ca260f2e668dd448ca25782e9d84aee57"/>
      </m:item>
      <m:item xlName="_GBC_40372f96afbe4697a5c3f91d4d30c4fd" concept="clcid-pte:GongChengWuZiZhangMianYuE" label="工程物资账面余额" periodRef="本期期初数" mulRef="_GBC_9e438118345a414ebb42540883d9d901" unitRef="_GBC_e98a8ba0f9c641038d6bc5d4e3b304b0" addr="T0R4C4S1_1" formatStyle="Comma" appId="_GBC_0d711628566c4b08b883151766986b20">
        <m:complexRule comparator="Eq" title="工程物资账面余额@本期期初数" test=" $_GBC_81b7958c64174066897ca01ce66eeb0e" id="C88eda08a1ff241809f9c747ea3ffa959"/>
      </m:item>
      <m:item xlName="_GBC_0a6005b15afa4ac9a8d3032061e9054d" concept="clcid-pte:GongChengWuZiJianZhiZhunBeiYuEHeJi" label="工程物资减值准备余额合计" periodRef="本期期初数" mulRef="_GBC_9e438118345a414ebb42540883d9d901" unitRef="_GBC_e98a8ba0f9c641038d6bc5d4e3b304b0" addr="T0R4C5S1_1" formatStyle="Comma" appId="_GBC_0d711628566c4b08b883151766986b20">
        <m:complexRule comparator="Eq" title="工程物资减值准备余额合计@本期期初数" test=" $_GBC_5d5c45a6fcbf43f6915719a7568f3484" id="C59cd76a905a545d89d1bbe371368a29f"/>
      </m:item>
      <m:item xlName="_GBC_8d0fb097f0c64ad88e4beb40c22b32f4" concept="clcid-pte:GongChengWuZi" label="工程物资" periodRef="本期期初数" mulRef="_GBC_9e438118345a414ebb42540883d9d901" unitRef="_GBC_e98a8ba0f9c641038d6bc5d4e3b304b0" addr="T0R4C6S1_1" formatStyle="Comma" appId="_GBC_0d711628566c4b08b883151766986b20">
        <m:complexRule comparator="Eq" title="工程物资@本期期初数" test=" $_GBC_a7b28cd4ce814de79b9ffe83bd0d3a9b" id="Ce2af6bb6888d4bedb0bd636d7fe3ddc6"/>
      </m:item>
      <m:item xlName="_GBC_6e6a056654d34f4baea4f3cf22bcb183" concept="clcid-pte:GongChengWuZiDeShuoMing" label="工程物资的说明" appId="_GBC_0d711628566c4b08b883151766986b20"/>
    </m:section>
    <m:section xlName="_GBC_e4aea5da03534f61818766a33b5ada09" title="采用成成本计量模式的生产性生物资产" helpId="112001070">
      <m:item xlName="_GBC_fca5101d9b46492484acd605f0ade969" concept="clcid-ci-ar:ShiFouShiYongCaiWuFuZhuYiChengBenJiLiangDeShengChanXingShengWuZiChan" label="是否适用：财务附注：以成本计量的生产性生物资产" selectOptions="_buildInAppliance" controlType="CustomCheckbox" cRanges="{&quot;StartName&quot;:&quot;_GBC_fca5101d9b46492484acd605f0ade969&quot;,&quot;EndName&quot;:&quot;_GBC_7da304d3fe39405d9c847a722a2e1c32&quot;,&quot;CType&quot;:1,&quot;DisplayText&quot;:null}"/>
      <m:item xlName="_GBC_8afc2b155d5243e2b4f3c22f6b7da2bd" concept="clcid-ci-ar:DanWeiCaiWuFuZhuShengChanXingShengWuZiChan" label="单位：财务附注：生产性生物资产" selectOptions="_buildInScales" controlType="Combobox" cellType="Scale" appId="_GBC_fca5101d9b46492484acd605f0ade969"/>
      <m:item xlName="_GBC_0d74af8d78954a0399a5033b09998e10" concept="clcid-ci-ar:BiZhongCaiWuFuZhuShengChanXingShengWuZiChan" label="币种：财务附注：生产性生物资产" selectOptions="_buildInISO4217" controlType="Combobox" cellType="Measure" appId="_GBC_fca5101d9b46492484acd605f0ade969"/>
      <m:placeholder xlName="_PLD_033689ced2c148d8a1360c219102b6ec" addr="T0R0C0S2_1"/>
      <m:item xlName="_GBC_37298d0873b742748b6534267b429e56"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fca5101d9b46492484acd605f0ade969" defaultGridSpan="2" iterateOptionValue="4" checkOption="Ignore"/>
      <m:placeholder xlName="_PLD_bcfdeaa5742542dfb6ae81ff9c1fada3" addr="T0R0C2S2_1"/>
      <m:item xlName="_GBC_10017da45eaf432f918b10956ddefd3a" concept="clcid-pte:CaiYongChengBenJiLiangMoShiDeShengChanXingShengWuZiChanMingXiMingXiLei" label="采用成本计量模式的生产性生物资产明细-明细类" addr="T0R1C1S1_1" tupleRef="clcid-pte:CaiYongChengBenJiLiangMoShiDeShengChanXingShengWuZiChanMingXi" appId="_GBC_fca5101d9b46492484acd605f0ade969" isCaption="true"/>
      <m:placeholder xlName="_PLD_fae6a4ba1c5f4338aa9495068a59f2cb" addr="T0R2C0S1_1"/>
      <m:placeholder xlName="_PLD_74701529fee347aa98c99bb5bc6ca22c" addr="T0R3C0S1_1"/>
      <m:item xlName="_GBC_45e397b9f81f49d9b8b13decbdfee191" concept="clcid-pte:CaiYongChengBenJiLiangMoShiDeShengChanXingShengWuZiChanMingXiZhangMianYuanZhi" label="采用成本计量模式的生产性生物资产明细-账面原值" periodRef="本期期初数" mulRef="_GBC_8afc2b155d5243e2b4f3c22f6b7da2bd" unitRef="_GBC_0d74af8d78954a0399a5033b09998e10" addr="T0R3C1S1_1" formatStyle="Comma" tupleRef="clcid-pte:CaiYongChengBenJiLiangMoShiDeShengChanXingShengWuZiChanMingXi" appId="_GBC_fca5101d9b46492484acd605f0ade969"/>
      <m:item xlName="_GBC_daded8b5b3fb4e8eb314b9fd424b73de" concept="clcid-pte:ShengChanXingShengWuZiChanZhangMianYuanZhi" label="生产性生物资产账面原值" periodRef="本期期初数" mulRef="_GBC_8afc2b155d5243e2b4f3c22f6b7da2bd" unitRef="_GBC_0d74af8d78954a0399a5033b09998e10" addr="T0R3C2S1_1" formatStyle="Comma" appId="_GBC_fca5101d9b46492484acd605f0ade969">
        <m:complexRule comparator="Eq" title="生产性生物资产@本期期初数" disabled="true" test=" $_GBC_45e397b9f81f49d9b8b13decbdfee191" id="C2a0a5454c1e04944a0528368d524e1e6" serialType="2"/>
      </m:item>
      <m:placeholder xlName="_PLD_d8d465f24a3440eba28399d3f700fb76" addr="T0R4C0S1_1"/>
      <m:item xlName="_GBC_42e4b4dbeb7f4eb5912c119a63cdec59" concept="clcid-pte:CaiYongChengBenJiLiangMoShiDeShengChanXingShengWuZiChanMingXiZhangMianYuanZhiBenQiZengJiaE" label="采用成本计量模式的生产性生物资产明细-账面原值本期增加额" mulRef="_GBC_8afc2b155d5243e2b4f3c22f6b7da2bd" unitRef="_GBC_0d74af8d78954a0399a5033b09998e10" addr="T0R4C1S1_1" formatStyle="Comma" tupleRef="clcid-pte:CaiYongChengBenJiLiangMoShiDeShengChanXingShengWuZiChanMingXi" appId="_GBC_fca5101d9b46492484acd605f0ade969">
        <m:complexRule comparator="Eq" title="采用成本计量模式的生产性生物资产明细-账面原值本期增加额" test=" $_GBC_b837381e8d164b7d895b52d1c860a00c +  $_GBC_24e5fdf7ab1b4b35bc8b177578c5d15e +  $_GBC_ceacce17814341aa90791beb05719d8a" id="C0cd8c8f085c54e1bac3c512f054e64f9" serialType="1"/>
      </m:item>
      <m:item xlName="_GBC_1a9204b794214f31af6dbd0d45fef3b6" concept="clcid-pte:ShengChanXingShengWuZiChanZhangMianYuanZhiZengJiaE" label="生产性生物资产账面原值增加额" mulRef="_GBC_8afc2b155d5243e2b4f3c22f6b7da2bd" unitRef="_GBC_0d74af8d78954a0399a5033b09998e10" addr="T0R4C2S1_1" formatStyle="Comma" appId="_GBC_fca5101d9b46492484acd605f0ade969">
        <m:complexRule comparator="Eq" title="生产性生物资产增加额" test=" $_GBC_5ea760103cc04d4491135be81375157d +  $_GBC_da23ae11f1bd453681ceca149a40575e +  $_GBC_1e565463aeb54465a0ae3a4fb217be28" id="Cb07a171755574d2a8b97e6e5387bc558" serialType="1"/>
        <m:complexRule comparator="Eq" title="生产性生物资产增加额横向合计" test=" $_GBC_42e4b4dbeb7f4eb5912c119a63cdec59" id="Cc933a6cf6c334f67a99952d868098b38"/>
      </m:item>
      <m:placeholder xlName="_PLD_d7ddfd56458246809e8177db3403c4ea" addr="T0R5C0S1_1"/>
      <m:item xlName="_GBC_b837381e8d164b7d895b52d1c860a00c" concept="clcid-pte:CaiYongChengBenJiLiangMoShiDeShengChanXingShengWuZiChanMingXiWaiGouDaoZhiDeZhangMianYuanZhiBenQiZengJiaE" label="采用成本计量模式的生产性生物资产明细-外购导致的账面原值本期增加额" mulRef="_GBC_8afc2b155d5243e2b4f3c22f6b7da2bd" unitRef="_GBC_0d74af8d78954a0399a5033b09998e10" addr="T0R5C1S1_1" formatStyle="Comma" tupleRef="clcid-pte:CaiYongChengBenJiLiangMoShiDeShengChanXingShengWuZiChanMingXi" appId="_GBC_fca5101d9b46492484acd605f0ade969"/>
      <m:item xlName="_GBC_5ea760103cc04d4491135be81375157d" concept="clcid-pte:WaiGouDaoZhiDeShengChanXingShengWuZiChanZhangMianYuanZhiBenQiZengJiaEHeJi" label="外购导致的生产性生物资产账面原值本期增加额合计" mulRef="_GBC_8afc2b155d5243e2b4f3c22f6b7da2bd" unitRef="_GBC_0d74af8d78954a0399a5033b09998e10" addr="T0R5C2S1_1" formatStyle="Comma" appId="_GBC_fca5101d9b46492484acd605f0ade969">
        <m:complexRule comparator="Eq" title="外购导致的生产性生物资产账面原值本期增加额合计" test=" $_GBC_b837381e8d164b7d895b52d1c860a00c" id="Cde90403df22c4d8b91eb7541bdca1ba4" serialType="1"/>
      </m:item>
      <m:placeholder xlName="_PLD_6e770d99c0434ba491ee7092a4f87392" addr="T0R6C0S1_1"/>
      <m:item xlName="_GBC_24e5fdf7ab1b4b35bc8b177578c5d15e" concept="clcid-pte:CaiYongChengBenJiLiangMoShiDeShengChanXingShengWuZiChanMingXiZiXingPeiYuDaoZhiDeZhangMianYuanZhiBenQiZengJiaE" label="采用成本计量模式的生产性生物资产明细-自行培育导致的账面原值本期增加额" mulRef="_GBC_8afc2b155d5243e2b4f3c22f6b7da2bd" unitRef="_GBC_0d74af8d78954a0399a5033b09998e10" addr="T0R6C1S1_1" formatStyle="Comma" tupleRef="clcid-pte:CaiYongChengBenJiLiangMoShiDeShengChanXingShengWuZiChanMingXi" appId="_GBC_fca5101d9b46492484acd605f0ade969"/>
      <m:item xlName="_GBC_da23ae11f1bd453681ceca149a40575e" concept="clcid-pte:ZiXingPeiYuDaoZhiDeShengChanXingShengWuZiChanZhangMianYuanZhiBenQiZengJiaEHeJi" label="自行培育导致的生产性生物资产账面原值本期增加额合计" mulRef="_GBC_8afc2b155d5243e2b4f3c22f6b7da2bd" unitRef="_GBC_0d74af8d78954a0399a5033b09998e10" addr="T0R6C2S1_1" formatStyle="Comma" appId="_GBC_fca5101d9b46492484acd605f0ade969">
        <m:complexRule comparator="Eq" title="自行培育导致的生产性生物资产账面原值本期增加额合计" test=" $_GBC_24e5fdf7ab1b4b35bc8b177578c5d15e" id="C609d83efcc5c4c9893133f9250ed7431"/>
      </m:item>
      <m:item xlName="_GBC_4d0805c4f983445295dae28c07018b9e" concept="clcid-pte:CaiYongChengBenJiLiangMoShiDeShengChanXingShengWuZiChanZhangMianYuanZhiZengJiaXiangMuMingCheng1" label="采用成本计量模式的生产性生物资产账面原值增加项目名称1" addr="T0R7C0S1_1" tagAction="1" formatStyle="Comma" appId="_GBC_fca5101d9b46492484acd605f0ade969" isSerialConcept="true" serialDirection="1" serialDefaultCount="2"/>
      <m:item xlName="_GBC_ceacce17814341aa90791beb05719d8a" concept="clcid-pte:CaiYongChengBenJiLiangMoShiDeShengChanXingShengWuZiChanZhangMianYuanZhiZengJiaXiangMuJinE1" label="采用成本计量模式的生产性生物资产账面原值增加项目金额1" mulRef="_GBC_8afc2b155d5243e2b4f3c22f6b7da2bd" unitRef="_GBC_0d74af8d78954a0399a5033b09998e10" addr="T0R7C1S1_1" tagAction="1" formatStyle="Comma" tupleRef="clcid-pte:CaiYongChengBenJiLiangMoShiDeShengChanXingShengWuZiChanMingXi" appId="_GBC_fca5101d9b46492484acd605f0ade969" isSerialConcept="true" serialDirection="1" serialDefaultCount="2"/>
      <m:item xlName="_GBC_1e565463aeb54465a0ae3a4fb217be28" concept="clcid-pte:CaiYongChengBenJiLiangMoShiDeShengChanXingShengWuZiChanZhangMianYuanZhiZengJiaXiangMuHeJiJinE1" label="采用成本计量模式的生产性生物资产账面原值增加项目合计金额1" mulRef="_GBC_8afc2b155d5243e2b4f3c22f6b7da2bd" unitRef="_GBC_0d74af8d78954a0399a5033b09998e10" addr="T0R7C2S1_1" tagAction="1" formatStyle="Comma" appId="_GBC_fca5101d9b46492484acd605f0ade969" isSerialConcept="true" serialDirection="1" serialDefaultCount="2">
        <m:complexRule comparator="Eq" title="采用成本计量模式的生产性生物资产账面原值增加项目合计金额1" disabled="true" test=" $_GBC_ceacce17814341aa90791beb05719d8a" id="C72afcf19b0a74bf0be81a83e901f8581" serialType="2"/>
      </m:item>
      <m:placeholder xlName="_PLD_79b76306de2046c79f53a049883252cf" addr="T0R8C0S1_1"/>
      <m:item xlName="_GBC_58200de48fa0454caa4393d8c17b1eea" concept="clcid-pte:CaiYongChengBenJiLiangMoShiDeShengChanXingShengWuZiChanMingXiZhangMianYuanZhiBenQiJianShaoE" label="采用成本计量模式的生产性生物资产明细-账面原值本期减少额" mulRef="_GBC_8afc2b155d5243e2b4f3c22f6b7da2bd" unitRef="_GBC_0d74af8d78954a0399a5033b09998e10" addr="T0R8C1S1_1" formatStyle="Comma" tupleRef="clcid-pte:CaiYongChengBenJiLiangMoShiDeShengChanXingShengWuZiChanMingXi" appId="_GBC_fca5101d9b46492484acd605f0ade969">
        <m:complexRule comparator="Eq" title="采用成本计量模式的生产性生物资产明细-账面原值本期减少额" test=" $_GBC_ce4dd2c5cd904302af7472f3d8b129e2 +  $_GBC_2ad160ff299045ac895a277d1589c2ac +  $_GBC_3c3c8023fc82427db4909dac7196d3ad" id="C3dd95a37b8e0418a9df8bcf5ea6602b6" serialType="1"/>
      </m:item>
      <m:item xlName="_GBC_6615c746fa334a57aeb97de85845ec72" concept="clcid-pte:ShengChanXingShengWuZiChanZhangMianYuanZhiJianShaoE" label="生产性生物资产账面原值减少额" mulRef="_GBC_8afc2b155d5243e2b4f3c22f6b7da2bd" unitRef="_GBC_0d74af8d78954a0399a5033b09998e10" addr="T0R8C2S1_1" formatStyle="Comma" appId="_GBC_fca5101d9b46492484acd605f0ade969">
        <m:complexRule comparator="Eq" title="生产性生物资产减少额" test=" $_GBC_c52d6cc9e02448a59fe35c295366184e +  $_GBC_3fea530e362d4cfaaf2ff3fbb31627c8 +  $_GBC_c966bdd9fff44840ba4f07846b21a1e5" id="Cd0600edadb00489d9edb45f20c85d6fb" serialType="1"/>
        <m:complexRule comparator="Eq" title="生产性生物资产减少额横向合计" disabled="true" test=" $_GBC_58200de48fa0454caa4393d8c17b1eea" id="Cf811b064ce3743fbb6f4ae40a6b37b4b" serialType="2"/>
      </m:item>
      <m:placeholder xlName="_PLD_745411f27adc43f185213471d94a8369" addr="T0R9C0S1_1"/>
      <m:item xlName="_GBC_ce4dd2c5cd904302af7472f3d8b129e2" concept="clcid-pte:CaiYongChengBenJiLiangMoShiDeShengChanXingShengWuZiChanMingXiChuZhiDaoZhiDeZhangMianYuanZhiBenQiJianShaoE" label="采用成本计量模式的生产性生物资产明细-处置导致的账面原值本期减少额" mulRef="_GBC_8afc2b155d5243e2b4f3c22f6b7da2bd" unitRef="_GBC_0d74af8d78954a0399a5033b09998e10" addr="T0R9C1S1_1" formatStyle="Comma" tupleRef="clcid-pte:CaiYongChengBenJiLiangMoShiDeShengChanXingShengWuZiChanMingXi" appId="_GBC_fca5101d9b46492484acd605f0ade969"/>
      <m:item xlName="_GBC_c52d6cc9e02448a59fe35c295366184e" concept="clcid-pte:ChuZhiDaoZhiDeShengChanXingShengWuZiChanZhangMianYuanZhiBenQiJianShaoEHeJi" label="处置导致的生产性生物资产账面原值本期减少额合计" mulRef="_GBC_8afc2b155d5243e2b4f3c22f6b7da2bd" unitRef="_GBC_0d74af8d78954a0399a5033b09998e10" addr="T0R9C2S1_1" formatStyle="Comma" appId="_GBC_fca5101d9b46492484acd605f0ade969">
        <m:complexRule comparator="Eq" title="处置导致的生产性生物资产账面原值本期减少额合计" disabled="true" test=" $_GBC_ce4dd2c5cd904302af7472f3d8b129e2" id="C4319834bb71d473aafbdeee8fca5795e" serialType="2"/>
      </m:item>
      <m:placeholder xlName="_PLD_c1e1ee0878064d1a91b253b725b77952" addr="T0R10C0S1_1"/>
      <m:item xlName="_GBC_2ad160ff299045ac895a277d1589c2ac" concept="clcid-pte:CaiYongChengBenJiLiangMoShiDeShengChanXingShengWuZiChanMingXiQiTaZhangMianYuanZhiBenQiJianShaoE" label="采用成本计量模式的生产性生物资产明细-其他账面原值本期减少额" mulRef="_GBC_8afc2b155d5243e2b4f3c22f6b7da2bd" unitRef="_GBC_0d74af8d78954a0399a5033b09998e10" addr="T0R10C1S1_1" formatStyle="Comma" tupleRef="clcid-pte:CaiYongChengBenJiLiangMoShiDeShengChanXingShengWuZiChanMingXi" appId="_GBC_fca5101d9b46492484acd605f0ade969"/>
      <m:item xlName="_GBC_3fea530e362d4cfaaf2ff3fbb31627c8" concept="clcid-pte:QiTaDaoZhiDeShengChanXingShengWuZiChanZhangMianYuanZhiBenQiJianShaoEHeJi" label="其他导致的生产性生物资产账面原值本期减少额合计" mulRef="_GBC_8afc2b155d5243e2b4f3c22f6b7da2bd" unitRef="_GBC_0d74af8d78954a0399a5033b09998e10" addr="T0R10C2S1_1" formatStyle="Comma" appId="_GBC_fca5101d9b46492484acd605f0ade969">
        <m:complexRule comparator="Eq" title="其他导致的生产性生物资产账面原值本期减少额合计" disabled="true" test=" $_GBC_2ad160ff299045ac895a277d1589c2ac" id="C4051aaa444f74b9aba36c3880595fe17" serialType="2"/>
      </m:item>
      <m:item xlName="_GBC_0d7b7d0a90cd4aa29728434e0901b510" concept="clcid-pte:CaiYongChengBenJiLiangMoShiDeShengChanXingShengWuZiChanZhangMianYuanZhiJianShaoXiangMuMingCheng1" label="采用成本计量模式的生产性生物资产账面原值减少项目名称1" addr="T0R11C0S1_1" tagAction="1" formatStyle="Comma" appId="_GBC_fca5101d9b46492484acd605f0ade969" isSerialConcept="true" serialDirection="1" serialDefaultCount="2"/>
      <m:item xlName="_GBC_3c3c8023fc82427db4909dac7196d3ad" concept="clcid-pte:CaiYongChengBenJiLiangMoShiDeShengChanXingShengWuZiChanZhangMianYuanZhiJianShaoXiangMuJinE1" label="采用成本计量模式的生产性生物资产账面原值减少项目金额1" mulRef="_GBC_8afc2b155d5243e2b4f3c22f6b7da2bd" unitRef="_GBC_0d74af8d78954a0399a5033b09998e10" addr="T0R11C1S1_1" tagAction="1" formatStyle="Comma" tupleRef="clcid-pte:CaiYongChengBenJiLiangMoShiDeShengChanXingShengWuZiChanMingXi" appId="_GBC_fca5101d9b46492484acd605f0ade969" isSerialConcept="true" serialDirection="1" serialDefaultCount="2"/>
      <m:item xlName="_GBC_c966bdd9fff44840ba4f07846b21a1e5" concept="clcid-pte:CaiYongChengBenJiLiangMoShiDeShengChanXingShengWuZiChanZhangMianYuanZhiJianShaoXiangMuHeJiJinE1" label="采用成本计量模式的生产性生物资产账面原值减少项目合计金额1" mulRef="_GBC_8afc2b155d5243e2b4f3c22f6b7da2bd" unitRef="_GBC_0d74af8d78954a0399a5033b09998e10" addr="T0R11C2S1_1" tagAction="1" formatStyle="Comma" appId="_GBC_fca5101d9b46492484acd605f0ade969" isSerialConcept="true" serialDirection="1" serialDefaultCount="2">
        <m:complexRule comparator="Eq" title="采用成本计量模式的生产性生物资产账面原值减少项目合计金额1" disabled="true" test=" $_GBC_3c3c8023fc82427db4909dac7196d3ad" id="C58e0bb10f3494e6f9fcf1d4679147b11" serialType="2"/>
      </m:item>
      <m:placeholder xlName="_PLD_953bb1f98fba42a28b62b60ab292588a" addr="T0R12C0S1_1"/>
      <m:item xlName="_GBC_a532eb1391f84b2da0545636b76180f0" concept="clcid-pte:CaiYongChengBenJiLiangMoShiDeShengChanXingShengWuZiChanMingXiZhangMianYuanZhi" label="采用成本计量模式的生产性生物资产明细-账面原值" mulRef="_GBC_8afc2b155d5243e2b4f3c22f6b7da2bd" unitRef="_GBC_0d74af8d78954a0399a5033b09998e10" addr="T0R12C1S1_1" formatStyle="Comma" tupleRef="clcid-pte:CaiYongChengBenJiLiangMoShiDeShengChanXingShengWuZiChanMingXi" appId="_GBC_fca5101d9b46492484acd605f0ade969">
        <m:complexRule comparator="Eq" title="采用成本计量模式的生产性生物资产明细-账面原值" test=" $_GBC_45e397b9f81f49d9b8b13decbdfee191 +  $_GBC_42e4b4dbeb7f4eb5912c119a63cdec59 -  $_GBC_58200de48fa0454caa4393d8c17b1eea" id="Cae2a63cc7b814e12a50ac4a45f657817"/>
      </m:item>
      <m:item xlName="_GBC_8176a610ec0547b4ba54281b6a076b4f" concept="clcid-pte:ShengChanXingShengWuZiChanZhangMianYuanZhi" label="生产性生物资产账面原值" mulRef="_GBC_8afc2b155d5243e2b4f3c22f6b7da2bd" unitRef="_GBC_0d74af8d78954a0399a5033b09998e10" addr="T0R12C2S1_1" formatStyle="Comma" appId="_GBC_fca5101d9b46492484acd605f0ade969">
        <m:complexRule comparator="Eq" title="生产性生物资产" test=" $_GBC_daded8b5b3fb4e8eb314b9fd424b73de +  $_GBC_1a9204b794214f31af6dbd0d45fef3b6 -  $_GBC_6615c746fa334a57aeb97de85845ec72" id="C04c58b9d4f4246f2a4388d9714ca220e"/>
        <m:complexRule comparator="Eq" title="生产性生物资产横向合计" disabled="true" test=" $_GBC_a532eb1391f84b2da0545636b76180f0" id="C212a793eaed4489fba7a662a04a90fbe" serialType="2"/>
      </m:item>
      <m:placeholder xlName="_PLD_3cd00c8a988242cea0be291c8cd07120" addr="T0R13C0S1_1"/>
      <m:placeholder xlName="_PLD_52af87366011479387aa87d0f3bf06f1" addr="T0R14C0S1_1"/>
      <m:item xlName="_GBC_407ac7dea8f24e859197354dc3e5dee2" concept="clcid-pte:CaiYongChengBenJiLiangMoShiDeShengChanXingShengWuZiChanMingXiLeiJiZheJiu" label="采用成本计量模式的生产性生物资产明细-累计折旧" periodRef="本期期初数" mulRef="_GBC_8afc2b155d5243e2b4f3c22f6b7da2bd" unitRef="_GBC_0d74af8d78954a0399a5033b09998e10" addr="T0R14C1S1_1" formatStyle="Comma" tupleRef="clcid-pte:CaiYongChengBenJiLiangMoShiDeShengChanXingShengWuZiChanMingXi" appId="_GBC_fca5101d9b46492484acd605f0ade969"/>
      <m:item xlName="_GBC_d73ade742c37412dacf3a9be99354bc9" concept="clcid-pte:ShengChanXingShengWuZiChanLeiJiZheJiuHeJi" label="生产性生物资产累计折旧合计" periodRef="本期期初数" mulRef="_GBC_8afc2b155d5243e2b4f3c22f6b7da2bd" unitRef="_GBC_0d74af8d78954a0399a5033b09998e10" addr="T0R14C2S1_1" formatStyle="Comma" appId="_GBC_fca5101d9b46492484acd605f0ade969">
        <m:complexRule comparator="Eq" title="生产性生物资产累计折旧合计@本期期初数" disabled="true" test=" $_GBC_407ac7dea8f24e859197354dc3e5dee2" id="C6e5c45ae7174438fa659b2e7f24fc165" serialType="2"/>
      </m:item>
      <m:placeholder xlName="_PLD_2172301b1e0d4bc99c8b119028a2485d" addr="T0R15C0S1_1"/>
      <m:item xlName="_GBC_655ba2d7ba8c4e4a9b218f50a966b902" concept="clcid-pte:CaiYongChengBenJiLiangMoShiDeShengChanXingShengWuZiChanMingXiLeiJiZheJiuBenQiZengJiaE" label="采用成本计量模式的生产性生物资产明细-累计折旧本期增加额" mulRef="_GBC_8afc2b155d5243e2b4f3c22f6b7da2bd" unitRef="_GBC_0d74af8d78954a0399a5033b09998e10" addr="T0R15C1S1_1" formatStyle="Comma" tupleRef="clcid-pte:CaiYongChengBenJiLiangMoShiDeShengChanXingShengWuZiChanMingXi" appId="_GBC_fca5101d9b46492484acd605f0ade969">
        <m:complexRule comparator="Eq" title="采用成本计量模式的生产性生物资产明细-累计折旧本期增加额" test=" $_GBC_b0520570a6ea4f38a9719d50cd48cbb8 +  $_GBC_e158b1bc8e194005ba886347af5a5564" id="C629c955a0e5544de8b72d608aff94a20" serialType="1"/>
      </m:item>
      <m:item xlName="_GBC_1450221ae9bf4caabce5ffe0add48dd7" concept="clcid-pte:ShengChanXingShengWuZiChanLeiJiZheJiuBenQiZengJiaEHeJi" label="生产性生物资产累计折旧本期增加额合计" mulRef="_GBC_8afc2b155d5243e2b4f3c22f6b7da2bd" unitRef="_GBC_0d74af8d78954a0399a5033b09998e10" addr="T0R15C2S1_1" formatStyle="Comma" appId="_GBC_fca5101d9b46492484acd605f0ade969">
        <m:complexRule comparator="Eq" title="生产性生物资产累计折旧本期增加额合计" test=" $_GBC_baba52c68fa14f29bd6328b8f950f913 +  $_GBC_d24a4fcaccd742b68e5a5c3cbd968ba6" id="C7e6e094eaa9d437bbca0cb4b67533d71" serialType="1"/>
        <m:complexRule comparator="Eq" title="生产性生物资产累计折旧本期增加额合计横向合计" disabled="true" test=" $_GBC_655ba2d7ba8c4e4a9b218f50a966b902" id="C99b57a6aba054e41be2abc990fdf1640" serialType="2"/>
      </m:item>
      <m:placeholder xlName="_PLD_783457d8dc1a4005adcf8d7a840e586d" addr="T0R16C0S1_1"/>
      <m:item xlName="_GBC_b0520570a6ea4f38a9719d50cd48cbb8" concept="clcid-pte:CaiYongChengBenJiLiangMoShiDeShengChanXingShengWuZiChanMingXiJiTiDaoZhiDeLeiJiZheJiuBenQiZengJiaE" label="采用成本计量模式的生产性生物资产明细-计提导致的累计折旧本期增加额" mulRef="_GBC_8afc2b155d5243e2b4f3c22f6b7da2bd" unitRef="_GBC_0d74af8d78954a0399a5033b09998e10" addr="T0R16C1S1_1" formatStyle="Comma" tupleRef="clcid-pte:CaiYongChengBenJiLiangMoShiDeShengChanXingShengWuZiChanMingXi" appId="_GBC_fca5101d9b46492484acd605f0ade969"/>
      <m:item xlName="_GBC_baba52c68fa14f29bd6328b8f950f913" concept="clcid-pte:ShengChanXingShengWuZiChanLeiJiZheJiuJiTiZengJiaEHeJi" label="生产性生物资产累计折旧计提增加额合计" mulRef="_GBC_8afc2b155d5243e2b4f3c22f6b7da2bd" unitRef="_GBC_0d74af8d78954a0399a5033b09998e10" addr="T0R16C2S1_1" formatStyle="Comma" appId="_GBC_fca5101d9b46492484acd605f0ade969">
        <m:complexRule comparator="Eq" title="生产性生物资产累计折旧计提增加额合计" disabled="true" test=" $_GBC_b0520570a6ea4f38a9719d50cd48cbb8" id="Cd743124ffdaa4ea592f4cba249838263" serialType="2"/>
      </m:item>
      <m:item xlName="_GBC_2d4145015c31420398c51b82a9e49903" concept="clcid-pte:CaiYongChengBenJiLiangMoShiDeShengChanXingShengWuZiChanLeiJiZheJiuZengJiaXiangMuMingCheng1" label="采用成本计量模式的生产性生物资产累计折旧增加项目名称1" addr="T0R17C0S1_1" tagAction="1" formatStyle="Comma" appId="_GBC_fca5101d9b46492484acd605f0ade969" isSerialConcept="true" serialDirection="1" serialDefaultCount="2"/>
      <m:item xlName="_GBC_e158b1bc8e194005ba886347af5a5564" concept="clcid-pte:CaiYongChengBenJiLiangMoShiDeShengChanXingShengWuZiChanLeiJiZheJiuZengJiaXiangMuJinE1" label="采用成本计量模式的生产性生物资产累计折旧增加项目金额1" mulRef="_GBC_8afc2b155d5243e2b4f3c22f6b7da2bd" unitRef="_GBC_0d74af8d78954a0399a5033b09998e10" addr="T0R17C1S1_1" tagAction="1" formatStyle="Comma" tupleRef="clcid-pte:CaiYongChengBenJiLiangMoShiDeShengChanXingShengWuZiChanMingXi" appId="_GBC_fca5101d9b46492484acd605f0ade969" isSerialConcept="true" serialDirection="1" serialDefaultCount="2"/>
      <m:item xlName="_GBC_d24a4fcaccd742b68e5a5c3cbd968ba6" concept="clcid-pte:CaiYongChengBenJiLiangMoShiDeShengChanXingShengWuZiChanLeiJiZheJiuZengJiaXiangMuHeJiJinE1" label="采用成本计量模式的生产性生物资产累计折旧增加项目合计金额1" mulRef="_GBC_8afc2b155d5243e2b4f3c22f6b7da2bd" unitRef="_GBC_0d74af8d78954a0399a5033b09998e10" addr="T0R17C2S1_1" tagAction="1" formatStyle="Comma" appId="_GBC_fca5101d9b46492484acd605f0ade969" isSerialConcept="true" serialDirection="1" serialDefaultCount="2">
        <m:complexRule comparator="Eq" title="采用成本计量模式的生产性生物资产累计折旧增加项目合计金额1" disabled="true" test=" $_GBC_e158b1bc8e194005ba886347af5a5564" id="C45613cd3dd7b4da8811a6a65484be0be" serialType="2"/>
      </m:item>
      <m:placeholder xlName="_PLD_7f91d94e75984f71aaa7434bd789b020" addr="T0R18C0S1_1"/>
      <m:item xlName="_GBC_84138ac4ee624ca58b47cef8e1e38a1b" concept="clcid-pte:CaiYongChengBenJiLiangMoShiDeShengChanXingShengWuZiChanMingXiLeiJiZheJiuBenQiJianShaoE" label="采用成本计量模式的生产性生物资产明细-累计折旧本期减少额" mulRef="_GBC_8afc2b155d5243e2b4f3c22f6b7da2bd" unitRef="_GBC_0d74af8d78954a0399a5033b09998e10" addr="T0R18C1S1_1" formatStyle="Comma" tupleRef="clcid-pte:CaiYongChengBenJiLiangMoShiDeShengChanXingShengWuZiChanMingXi" appId="_GBC_fca5101d9b46492484acd605f0ade969">
        <m:complexRule comparator="Eq" title="采用成本计量模式的生产性生物资产明细-累计折旧本期减少额" test=" $_GBC_2dbe8a82c68e4552a9d08b6621f3a1b8 +  $_GBC_a7ec33d019304e0086fedc4fcd2dbfc4 +  $_GBC_884a102fd93345c1a492ccf21ac60049" id="C5d15097264c04e3290f02cf2626a735a" serialType="1"/>
      </m:item>
      <m:item xlName="_GBC_3088523a603f4bb89a29559d6b98ed28" concept="clcid-pte:ShengChanXingShengWuZiChanLeiJiZheJiuBenQiJianShaoEHeJi" label="生产性生物资产累计折旧本期减少额合计" mulRef="_GBC_8afc2b155d5243e2b4f3c22f6b7da2bd" unitRef="_GBC_0d74af8d78954a0399a5033b09998e10" addr="T0R18C2S1_1" formatStyle="Comma" appId="_GBC_fca5101d9b46492484acd605f0ade969">
        <m:complexRule comparator="Eq" title="生产性生物资产累计折旧本期减少额合计" test=" $_GBC_46a947a77a874db18e345dfcc23d7723 +  $_GBC_8fac285180ba44a1ae94caa63b467765 +  $_GBC_1a4c1526aa804663b51d17c89cb5828a" id="Ca587c9463c8b4789b60f3da3b302113d" serialType="1"/>
        <m:complexRule comparator="Eq" title="生产性生物资产累计折旧本期减少额合计横向合计" disabled="true" test=" $_GBC_84138ac4ee624ca58b47cef8e1e38a1b" id="C4f7eb4a759554d1da5bb92473d4a50ea" serialType="2"/>
      </m:item>
      <m:placeholder xlName="_PLD_a51f33ec33594d2baeaa4ee759f74272" addr="T0R19C0S1_1"/>
      <m:item xlName="_GBC_2dbe8a82c68e4552a9d08b6621f3a1b8" concept="clcid-pte:CaiYongChengBenJiLiangMoShiDeShengChanXingShengWuZiChanMingXiChuZhiDaoZhiDeLeiJiZheJiuBenQiJianShaoE" label="采用成本计量模式的生产性生物资产明细-处置导致的累计折旧本期减少额" mulRef="_GBC_8afc2b155d5243e2b4f3c22f6b7da2bd" unitRef="_GBC_0d74af8d78954a0399a5033b09998e10" addr="T0R19C1S1_1" formatStyle="Comma" tupleRef="clcid-pte:CaiYongChengBenJiLiangMoShiDeShengChanXingShengWuZiChanMingXi" appId="_GBC_fca5101d9b46492484acd605f0ade969"/>
      <m:item xlName="_GBC_46a947a77a874db18e345dfcc23d7723" concept="clcid-pte:ShengChanXingShengWuZiChanLeiJiZheJiuChuZhiJianShaoEHeJi" label="生产性生物资产累计折旧处置减少额合计" mulRef="_GBC_8afc2b155d5243e2b4f3c22f6b7da2bd" unitRef="_GBC_0d74af8d78954a0399a5033b09998e10" addr="T0R19C2S1_1" formatStyle="Comma" appId="_GBC_fca5101d9b46492484acd605f0ade969">
        <m:complexRule comparator="Eq" title="生产性生物资产累计折旧处置减少额合计" disabled="true" test=" $_GBC_2dbe8a82c68e4552a9d08b6621f3a1b8" id="C2634cc002fd94ba0adeb8925d462f6d3" serialType="2"/>
      </m:item>
      <m:placeholder xlName="_PLD_34b1fedc3d644f74ae4a876bf64af60f" addr="T0R20C0S1_1"/>
      <m:item xlName="_GBC_a7ec33d019304e0086fedc4fcd2dbfc4" concept="clcid-pte:CaiYongChengBenJiLiangMoShiDeShengChanXingShengWuZiChanMingXiQiTaLeiJiZheJiuBenQiJianShaoE" label="采用成本计量模式的生产性生物资产明细-其他累计折旧本期减少额" mulRef="_GBC_8afc2b155d5243e2b4f3c22f6b7da2bd" unitRef="_GBC_0d74af8d78954a0399a5033b09998e10" addr="T0R20C1S1_1" formatStyle="Comma" tupleRef="clcid-pte:CaiYongChengBenJiLiangMoShiDeShengChanXingShengWuZiChanMingXi" appId="_GBC_fca5101d9b46492484acd605f0ade969"/>
      <m:item xlName="_GBC_8fac285180ba44a1ae94caa63b467765" concept="clcid-pte:ShengChanXingShengWuZiChanLeiJiZheJiuQiTaJianShaoEHeJi" label="生产性生物资产累计折旧其他减少额合计" mulRef="_GBC_8afc2b155d5243e2b4f3c22f6b7da2bd" unitRef="_GBC_0d74af8d78954a0399a5033b09998e10" addr="T0R20C2S1_1" formatStyle="Comma" appId="_GBC_fca5101d9b46492484acd605f0ade969">
        <m:complexRule comparator="Eq" title="生产性生物资产累计折旧其他减少额合计" disabled="true" test=" $_GBC_a7ec33d019304e0086fedc4fcd2dbfc4" id="C34e7a89accde4820b9f0ec89b58afd60" serialType="2"/>
      </m:item>
      <m:item xlName="_GBC_dd879676c3a04f138fb4cf4f1f1e6426" concept="clcid-pte:CaiYongChengBenJiLiangMoShiDeShengChanXingShengWuZiChanLeiJiZheJiuJianShaoXiangMuMingCheng1" label="采用成本计量模式的生产性生物资产累计折旧减少项目名称1" addr="T0R21C0S1_1" tagAction="1" formatStyle="Comma" appId="_GBC_fca5101d9b46492484acd605f0ade969" isSerialConcept="true" serialDirection="1" serialDefaultCount="2"/>
      <m:item xlName="_GBC_884a102fd93345c1a492ccf21ac60049" concept="clcid-pte:CaiYongChengBenJiLiangMoShiDeShengChanXingShengWuZiChanLeiJiZheJiuJianShaoXiangMuJinE1" label="采用成本计量模式的生产性生物资产累计折旧减少项目金额1" mulRef="_GBC_8afc2b155d5243e2b4f3c22f6b7da2bd" unitRef="_GBC_0d74af8d78954a0399a5033b09998e10" addr="T0R21C1S1_1" tagAction="1" formatStyle="Comma" tupleRef="clcid-pte:CaiYongChengBenJiLiangMoShiDeShengChanXingShengWuZiChanMingXi" appId="_GBC_fca5101d9b46492484acd605f0ade969" isSerialConcept="true" serialDirection="1" serialDefaultCount="2"/>
      <m:item xlName="_GBC_1a4c1526aa804663b51d17c89cb5828a" concept="clcid-pte:CaiYongChengBenJiLiangMoShiDeShengChanXingShengWuZiChanLeiJiZheJiuJianShaoXiangMuHeJiJinE1" label="采用成本计量模式的生产性生物资产累计折旧减少项目合计金额1" mulRef="_GBC_8afc2b155d5243e2b4f3c22f6b7da2bd" unitRef="_GBC_0d74af8d78954a0399a5033b09998e10" addr="T0R21C2S1_1" tagAction="1" formatStyle="Comma" appId="_GBC_fca5101d9b46492484acd605f0ade969" isSerialConcept="true" serialDirection="1" serialDefaultCount="2">
        <m:complexRule comparator="Eq" title="采用成本计量模式的生产性生物资产累计折旧减少项目合计金额1" disabled="true" test=" $_GBC_884a102fd93345c1a492ccf21ac60049" id="C265533c1c72d4579a9c2bdfd5c270c63" serialType="2"/>
      </m:item>
      <m:placeholder xlName="_PLD_2be34796111b498a93eac539b526c36e" addr="T0R22C0S1_1"/>
      <m:item xlName="_GBC_8a4ada0dde3b471dbb74dd4423dbb00f" concept="clcid-pte:CaiYongChengBenJiLiangMoShiDeShengChanXingShengWuZiChanMingXiLeiJiZheJiu" label="采用成本计量模式的生产性生物资产明细-累计折旧" mulRef="_GBC_8afc2b155d5243e2b4f3c22f6b7da2bd" unitRef="_GBC_0d74af8d78954a0399a5033b09998e10" addr="T0R22C1S1_1" formatStyle="Comma" tupleRef="clcid-pte:CaiYongChengBenJiLiangMoShiDeShengChanXingShengWuZiChanMingXi" appId="_GBC_fca5101d9b46492484acd605f0ade969">
        <m:complexRule comparator="Eq" title="采用成本计量模式的生产性生物资产明细-累计折旧" test=" $_GBC_407ac7dea8f24e859197354dc3e5dee2 +  $_GBC_655ba2d7ba8c4e4a9b218f50a966b902 -  $_GBC_84138ac4ee624ca58b47cef8e1e38a1b" id="C41aa642c63a945f694f6c8480261b915"/>
      </m:item>
      <m:item xlName="_GBC_b5f4ff468c7f4a9bb92f401596ba7c5b" concept="clcid-pte:ShengChanXingShengWuZiChanLeiJiZheJiuHeJi" label="生产性生物资产累计折旧合计" mulRef="_GBC_8afc2b155d5243e2b4f3c22f6b7da2bd" unitRef="_GBC_0d74af8d78954a0399a5033b09998e10" addr="T0R22C2S1_1" formatStyle="Comma" appId="_GBC_fca5101d9b46492484acd605f0ade969">
        <m:complexRule comparator="Eq" title="生产性生物资产累计折旧合计" test=" $_GBC_d73ade742c37412dacf3a9be99354bc9 +  $_GBC_1450221ae9bf4caabce5ffe0add48dd7 -  $_GBC_3088523a603f4bb89a29559d6b98ed28" id="C2a76cb614cbb4e4b9db1c89dca0fa985"/>
        <m:complexRule comparator="Eq" title="生产性生物资产累计折旧合计横向合计" test=" $_GBC_8a4ada0dde3b471dbb74dd4423dbb00f" id="Cb15226325430488087ba778dcea4d826"/>
      </m:item>
      <m:placeholder xlName="_PLD_13b380e570714d3997e34a56f7b6a343" addr="T0R23C0S1_1"/>
      <m:placeholder xlName="_PLD_e926515c148b4a10957bda0686511e11" addr="T0R24C0S1_1"/>
      <m:item xlName="_GBC_4c805f175a7246a3b8ce01db44d2f298" concept="clcid-pte:CaiYongChengBenJiLiangMoShiDeShengChanXingShengWuZiChanMingXiJianZhiZhunBei" label="采用成本计量模式的生产性生物资产明细-减值准备" periodRef="本期期初数" mulRef="_GBC_8afc2b155d5243e2b4f3c22f6b7da2bd" unitRef="_GBC_0d74af8d78954a0399a5033b09998e10" addr="T0R24C1S1_1" formatStyle="Comma" tupleRef="clcid-pte:CaiYongChengBenJiLiangMoShiDeShengChanXingShengWuZiChanMingXi" appId="_GBC_fca5101d9b46492484acd605f0ade969"/>
      <m:item xlName="_GBC_c7a89254bc1f4ae48c0132f92ff3fa5b" concept="clcid-pte:ShengChanXingShengWuZiChanJianZhiZhunBeiHeJi" label="生产性生物资产减值准备合计" periodRef="本期期初数" mulRef="_GBC_8afc2b155d5243e2b4f3c22f6b7da2bd" unitRef="_GBC_0d74af8d78954a0399a5033b09998e10" addr="T0R24C2S1_1" formatStyle="Comma" appId="_GBC_fca5101d9b46492484acd605f0ade969">
        <m:complexRule comparator="Eq" title="生产性生物资产减值准备合计@本期期初数" disabled="true" test=" $_GBC_4c805f175a7246a3b8ce01db44d2f298" id="C35e7786890d94462aba21e1f00c78615" serialType="2"/>
      </m:item>
      <m:placeholder xlName="_PLD_883ac9cc8670435dbe418d223d5980cd" addr="T0R25C0S1_1"/>
      <m:item xlName="_GBC_9b2aed5224bb404e9fd1bd856aa58913" concept="clcid-pte:CaiYongChengBenJiLiangMoShiDeShengChanXingShengWuZiChanMingXiJianZhiZhunBeiBenQiZengJiaE" label="采用成本计量模式的生产性生物资产明细-减值准备本期增加额" mulRef="_GBC_8afc2b155d5243e2b4f3c22f6b7da2bd" unitRef="_GBC_0d74af8d78954a0399a5033b09998e10" addr="T0R25C1S1_1" formatStyle="Comma" tupleRef="clcid-pte:CaiYongChengBenJiLiangMoShiDeShengChanXingShengWuZiChanMingXi" appId="_GBC_fca5101d9b46492484acd605f0ade969">
        <m:complexRule comparator="Eq" title="采用成本计量模式的生产性生物资产明细-减值准备本期增加额" test=" $_GBC_d67976ba494d4be180ddfd3516ece825 +  $_GBC_b8c0f11d859148688aeb5584681fb47f" id="C91225fb0b6234619b0e7047571ee7bac" serialType="1"/>
      </m:item>
      <m:item xlName="_GBC_4961bac2061a4102b5d8f98d017876b5" concept="clcid-pte:ShengChanXingShengWuZiChanJianZhiZhunBeiBenQiZengJiaEHeJi" label="生产性生物资产减值准备本期增加额合计" mulRef="_GBC_8afc2b155d5243e2b4f3c22f6b7da2bd" unitRef="_GBC_0d74af8d78954a0399a5033b09998e10" addr="T0R25C2S1_1" formatStyle="Comma" appId="_GBC_fca5101d9b46492484acd605f0ade969">
        <m:complexRule comparator="Eq" title="生产性生物资产减值准备本期增加额合计" test=" $_GBC_6f6936e3e00d40779b632b4a4c779d35 +  $_GBC_8d1b2df787364e69a3a17a58c34820f1" id="Cd240e878cb2c438eb75c2e52452966ed" serialType="1"/>
        <m:complexRule comparator="Eq" title="生产性生物资产减值准备本期增加额合计横向合计" disabled="true" test=" $_GBC_9b2aed5224bb404e9fd1bd856aa58913" id="Ccc93324307874429a5acfe43531e8070" serialType="2"/>
      </m:item>
      <m:placeholder xlName="_PLD_5d78c8f967db4e869300cb411ecb267c" addr="T0R26C0S1_1"/>
      <m:item xlName="_GBC_d67976ba494d4be180ddfd3516ece825" concept="clcid-pte:CaiYongChengBenJiLiangMoShiDeShengChanXingShengWuZiChanMingXiJiTiDaoZhiDeJianZhiZhunBeiBenQiZengJiaE" label="采用成本计量模式的生产性生物资产明细-计提导致的减值准备本期增加额" mulRef="_GBC_8afc2b155d5243e2b4f3c22f6b7da2bd" unitRef="_GBC_0d74af8d78954a0399a5033b09998e10" addr="T0R26C1S1_1" formatStyle="Comma" tupleRef="clcid-pte:CaiYongChengBenJiLiangMoShiDeShengChanXingShengWuZiChanMingXi" appId="_GBC_fca5101d9b46492484acd605f0ade969"/>
      <m:item xlName="_GBC_6f6936e3e00d40779b632b4a4c779d35" concept="clcid-pte:ShengChanXingShengWuZiChanJianZhiZhunBeiJiTiZengJiaEHeJi" label="生产性生物资产减值准备计提增加额合计" mulRef="_GBC_8afc2b155d5243e2b4f3c22f6b7da2bd" unitRef="_GBC_0d74af8d78954a0399a5033b09998e10" addr="T0R26C2S1_1" formatStyle="Comma" appId="_GBC_fca5101d9b46492484acd605f0ade969">
        <m:complexRule comparator="Eq" title="生产性生物资产减值准备计提增加额合计" disabled="true" test=" $_GBC_d67976ba494d4be180ddfd3516ece825" id="C95011dedf4b048d0bf4a0d05bdaa2a03" serialType="2"/>
      </m:item>
      <m:item xlName="_GBC_7e0ee06a6082462a83449406ab0acf6a" concept="clcid-pte:CaiYongChengBenJiLiangMoShiDeShengChanXingShengWuZiChanJianZhiZhunBeiZengJiaXiangMuMingCheng1" label="采用成本计量模式的生产性生物资产减值准备增加项目名称1" addr="T0R27C0S1_1" tagAction="1" formatStyle="Comma" appId="_GBC_fca5101d9b46492484acd605f0ade969" isSerialConcept="true" serialDirection="1" serialDefaultCount="2"/>
      <m:item xlName="_GBC_b8c0f11d859148688aeb5584681fb47f" concept="clcid-pte:CaiYongChengBenJiLiangMoShiDeShengChanXingShengWuZiChanJianZhiZhunBeiZengJiaXiangMuJinE1" label="采用成本计量模式的生产性生物资产减值准备增加项目金额1" mulRef="_GBC_8afc2b155d5243e2b4f3c22f6b7da2bd" unitRef="_GBC_0d74af8d78954a0399a5033b09998e10" addr="T0R27C1S1_1" tagAction="1" formatStyle="Comma" tupleRef="clcid-pte:CaiYongChengBenJiLiangMoShiDeShengChanXingShengWuZiChanMingXi" appId="_GBC_fca5101d9b46492484acd605f0ade969" isSerialConcept="true" serialDirection="1" serialDefaultCount="2"/>
      <m:item xlName="_GBC_8d1b2df787364e69a3a17a58c34820f1" concept="clcid-pte:CaiYongChengBenJiLiangMoShiDeShengChanXingShengWuZiChanJianZhiZhunBeiZengJiaXiangMuHeJiJinE1" label="采用成本计量模式的生产性生物资产减值准备增加项目合计金额1" mulRef="_GBC_8afc2b155d5243e2b4f3c22f6b7da2bd" unitRef="_GBC_0d74af8d78954a0399a5033b09998e10" addr="T0R27C2S1_1" tagAction="1" formatStyle="Comma" appId="_GBC_fca5101d9b46492484acd605f0ade969" isSerialConcept="true" serialDirection="1" serialDefaultCount="2">
        <m:complexRule comparator="Eq" title="采用成本计量模式的生产性生物资产减值准备增加项目合计金额1" disabled="true" test=" $_GBC_b8c0f11d859148688aeb5584681fb47f" id="Cd7e4fc0cba3b4558bf17e955651725b5" serialType="2"/>
      </m:item>
      <m:placeholder xlName="_PLD_6218b33f4cf74d7193ad7f05ce920d02" addr="T0R28C0S1_1"/>
      <m:item xlName="_GBC_655f59a50b5b4a488e18bdaa3cc64ef6" concept="clcid-pte:CaiYongChengBenJiLiangMoShiDeShengChanXingShengWuZiChanMingXiJianZhiZhunBeiBenQiJianShaoE" label="采用成本计量模式的生产性生物资产明细-减值准备本期减少额" mulRef="_GBC_8afc2b155d5243e2b4f3c22f6b7da2bd" unitRef="_GBC_0d74af8d78954a0399a5033b09998e10" addr="T0R28C1S1_1" formatStyle="Comma" tupleRef="clcid-pte:CaiYongChengBenJiLiangMoShiDeShengChanXingShengWuZiChanMingXi" appId="_GBC_fca5101d9b46492484acd605f0ade969">
        <m:complexRule comparator="Eq" title="采用成本计量模式的生产性生物资产明细-减值准备本期减少额" test=" $_GBC_7e842fa4a7964b528d4f64265fc5d2ce +  $_GBC_53e37e72027a4f5e8d7d678c34b5fa38 +  $_GBC_5c5937766b01458b9a3ba345bb6246a1" id="Cf9129acc85234abcb545a5122b6c32a0" serialType="1"/>
      </m:item>
      <m:item xlName="_GBC_a344de1913a0473c8c385eaee89d9359" concept="clcid-pte:ShengChanXingShengWuZiChanJianZhiZhunBeiBenQiJianShaoEHeJi" label="生产性生物资产减值准备本期减少额合计" mulRef="_GBC_8afc2b155d5243e2b4f3c22f6b7da2bd" unitRef="_GBC_0d74af8d78954a0399a5033b09998e10" addr="T0R28C2S1_1" formatStyle="Comma" appId="_GBC_fca5101d9b46492484acd605f0ade969">
        <m:complexRule comparator="Eq" title="生产性生物资产减值准备本期减少额合计" test=" $_GBC_1ab3748a95a84b2f81ce13f9c8da5387 +  $_GBC_7a505efdb93048ff90c1996dd5610766 +  $_GBC_af6647e43ac0423590120a88fda2ae64" id="C71551703fbfe444ea456a64f3fce8ce3" serialType="1"/>
      </m:item>
      <m:placeholder xlName="_PLD_71f25ab304cf42708788dd72aad2209b" addr="T0R29C0S1_1"/>
      <m:item xlName="_GBC_7e842fa4a7964b528d4f64265fc5d2ce" concept="clcid-pte:CaiYongChengBenJiLiangMoShiDeShengChanXingShengWuZiChanMingXiChuZhiDaoZhiDeJianZhiZhunBeiBenQiJianShaoE" label="采用成本计量模式的生产性生物资产明细-处置导致的减值准备本期减少额" mulRef="_GBC_8afc2b155d5243e2b4f3c22f6b7da2bd" unitRef="_GBC_0d74af8d78954a0399a5033b09998e10" addr="T0R29C1S1_1" formatStyle="Comma" tupleRef="clcid-pte:CaiYongChengBenJiLiangMoShiDeShengChanXingShengWuZiChanMingXi" appId="_GBC_fca5101d9b46492484acd605f0ade969"/>
      <m:item xlName="_GBC_1ab3748a95a84b2f81ce13f9c8da5387" concept="clcid-pte:ShengChanXingShengWuZiChanJianZhiZhunBeiChuZhiJianShaoEHeJi" label="生产性生物资产减值准备处置减少额合计" mulRef="_GBC_8afc2b155d5243e2b4f3c22f6b7da2bd" unitRef="_GBC_0d74af8d78954a0399a5033b09998e10" addr="T0R29C2S1_1" formatStyle="Comma" appId="_GBC_fca5101d9b46492484acd605f0ade969"/>
      <m:placeholder xlName="_PLD_a8376f04d493418d8c8e49513a6fad8a" addr="T0R30C0S1_1"/>
      <m:item xlName="_GBC_53e37e72027a4f5e8d7d678c34b5fa38" concept="clcid-pte:CaiYongChengBenJiLiangMoShiDeShengChanXingShengWuZiChanMingXiQiTaJianZhiZhunBeiBenQiJianShaoE" label="采用成本计量模式的生产性生物资产明细-其他减值准备本期减少额" mulRef="_GBC_8afc2b155d5243e2b4f3c22f6b7da2bd" unitRef="_GBC_0d74af8d78954a0399a5033b09998e10" addr="T0R30C1S1_1" formatStyle="Comma" tupleRef="clcid-pte:CaiYongChengBenJiLiangMoShiDeShengChanXingShengWuZiChanMingXi" appId="_GBC_fca5101d9b46492484acd605f0ade969"/>
      <m:item xlName="_GBC_7a505efdb93048ff90c1996dd5610766" concept="clcid-pte:ShengChanXingShengWuZiChanJianZhiZhunBeiQiTaJianShaoEHeJi" label="生产性生物资产减值准备其他减少额合计" mulRef="_GBC_8afc2b155d5243e2b4f3c22f6b7da2bd" unitRef="_GBC_0d74af8d78954a0399a5033b09998e10" addr="T0R30C2S1_1" formatStyle="Comma" appId="_GBC_fca5101d9b46492484acd605f0ade969"/>
      <m:item xlName="_GBC_56b89b34e0594f06b1b8a1a78b0673a7" concept="clcid-pte:CaiYongChengBenJiLiangMoShiDeShengChanXingShengWuZiChanJianZhiZhunBeiJianShaoXiangMuMingCheng1" label="采用成本计量模式的生产性生物资产减值准备减少项目名称1" addr="T0R31C0S1_1" tagAction="1" formatStyle="Comma" appId="_GBC_fca5101d9b46492484acd605f0ade969" isSerialConcept="true" serialDirection="1" serialDefaultCount="2"/>
      <m:item xlName="_GBC_5c5937766b01458b9a3ba345bb6246a1" concept="clcid-pte:CaiYongChengBenJiLiangMoShiDeShengChanXingShengWuZiChanJianZhiZhunBeiJianShaoXiangMuJinE1" label="采用成本计量模式的生产性生物资产减值准备减少项目金额1" mulRef="_GBC_8afc2b155d5243e2b4f3c22f6b7da2bd" unitRef="_GBC_0d74af8d78954a0399a5033b09998e10" addr="T0R31C1S1_1" tagAction="1" formatStyle="Comma" tupleRef="clcid-pte:CaiYongChengBenJiLiangMoShiDeShengChanXingShengWuZiChanMingXi" appId="_GBC_fca5101d9b46492484acd605f0ade969" isSerialConcept="true" serialDirection="1" serialDefaultCount="2"/>
      <m:item xlName="_GBC_af6647e43ac0423590120a88fda2ae64" concept="clcid-pte:CaiYongChengBenJiLiangMoShiDeShengChanXingShengWuZiChanJianZhiZhunBeiJianShaoXiangMuHeJiJinE1" label="采用成本计量模式的生产性生物资产减值准备减少项目合计金额1" mulRef="_GBC_8afc2b155d5243e2b4f3c22f6b7da2bd" unitRef="_GBC_0d74af8d78954a0399a5033b09998e10" addr="T0R31C2S1_1" tagAction="1" formatStyle="Comma" appId="_GBC_fca5101d9b46492484acd605f0ade969" isSerialConcept="true" serialDirection="1" serialDefaultCount="2"/>
      <m:placeholder xlName="_PLD_96380adaff4c445086627a9df62c9a45" addr="T0R32C0S1_1"/>
      <m:item xlName="_GBC_4d2090add55a4d3f81551c99cb650a77" concept="clcid-pte:CaiYongChengBenJiLiangMoShiDeShengChanXingShengWuZiChanMingXiJianZhiZhunBei" label="采用成本计量模式的生产性生物资产明细-减值准备" mulRef="_GBC_8afc2b155d5243e2b4f3c22f6b7da2bd" unitRef="_GBC_0d74af8d78954a0399a5033b09998e10" addr="T0R32C1S1_1" formatStyle="Comma" tupleRef="clcid-pte:CaiYongChengBenJiLiangMoShiDeShengChanXingShengWuZiChanMingXi" appId="_GBC_fca5101d9b46492484acd605f0ade969">
        <m:complexRule comparator="Eq" title="采用成本计量模式的生产性生物资产明细-减值准备" test=" $_GBC_4c805f175a7246a3b8ce01db44d2f298 +  $_GBC_9b2aed5224bb404e9fd1bd856aa58913 -  $_GBC_655f59a50b5b4a488e18bdaa3cc64ef6" id="Cc2af3f8ee71b41459f391d06494a69bb"/>
      </m:item>
      <m:item xlName="_GBC_61d53755578c4adcb3cac34b1dfe73d7" concept="clcid-pte:ShengChanXingShengWuZiChanJianZhiZhunBeiHeJi" label="生产性生物资产减值准备合计" mulRef="_GBC_8afc2b155d5243e2b4f3c22f6b7da2bd" unitRef="_GBC_0d74af8d78954a0399a5033b09998e10" addr="T0R32C2S1_1" formatStyle="Comma" appId="_GBC_fca5101d9b46492484acd605f0ade969">
        <m:complexRule comparator="Eq" title="生产性生物资产减值准备合计" test=" $_GBC_c7a89254bc1f4ae48c0132f92ff3fa5b +  $_GBC_4961bac2061a4102b5d8f98d017876b5 -  $_GBC_a344de1913a0473c8c385eaee89d9359" id="Ca44724f8f88d4afb9b523c44e3c9da42"/>
      </m:item>
      <m:placeholder xlName="_PLD_91520a736f6d4383ba612cecfae1b278" addr="T0R33C0S1_1"/>
      <m:placeholder xlName="_PLD_5f474bd7b1624beebfb948b2a7c34cd8" addr="T0R34C0S1_1"/>
      <m:item xlName="_GBC_746d9573fb8d49b59ed9ebfa33476054" concept="clcid-pte:CaiYongChengBenJiLiangMoShiDeShengChanXingShengWuZiChanMingXiZhangMianJiaZhi" label="采用成本计量模式的生产性生物资产明细-账面价值" mulRef="_GBC_8afc2b155d5243e2b4f3c22f6b7da2bd" unitRef="_GBC_0d74af8d78954a0399a5033b09998e10" addr="T0R34C1S1_1" formatStyle="Comma" tupleRef="clcid-pte:CaiYongChengBenJiLiangMoShiDeShengChanXingShengWuZiChanMingXi" appId="_GBC_fca5101d9b46492484acd605f0ade969"/>
      <m:item xlName="_GBC_0b3d391b7d3f41be8d165a830684a0d3" concept="clcid-pte:ShengChanXingShengWuZiChan" label="生产性生物资产" mulRef="_GBC_8afc2b155d5243e2b4f3c22f6b7da2bd" unitRef="_GBC_0d74af8d78954a0399a5033b09998e10" addr="T0R34C2S1_1" formatStyle="Comma" appId="_GBC_fca5101d9b46492484acd605f0ade969">
        <m:complexRule comparator="Eq" title="生产性生物资产账面价值合计" test=" $_GBC_746d9573fb8d49b59ed9ebfa33476054" id="Cfe1922eb44784942b05bbb082527c0da"/>
      </m:item>
      <m:placeholder xlName="_PLD_14939af24773451ea9d8cb025e8e23e5" addr="T0R35C0S1_1"/>
      <m:item xlName="_GBC_72237d40c4ea4ce79bc3fa382e3efef5" concept="clcid-pte:CaiYongChengBenJiLiangMoShiDeShengChanXingShengWuZiChanMingXiZhangMianJiaZhi" label="采用成本计量模式的生产性生物资产明细-账面价值" periodRef="本期期初数" mulRef="_GBC_8afc2b155d5243e2b4f3c22f6b7da2bd" unitRef="_GBC_0d74af8d78954a0399a5033b09998e10" addr="T0R35C1S1_1" formatStyle="Comma" tupleRef="clcid-pte:CaiYongChengBenJiLiangMoShiDeShengChanXingShengWuZiChanMingXi" appId="_GBC_fca5101d9b46492484acd605f0ade969"/>
      <m:item xlName="_GBC_7da304d3fe39405d9c847a722a2e1c32" concept="clcid-pte:ShengChanXingShengWuZiChan" label="生产性生物资产" periodRef="本期期初数" mulRef="_GBC_8afc2b155d5243e2b4f3c22f6b7da2bd" unitRef="_GBC_0d74af8d78954a0399a5033b09998e10" addr="T0R35C2S1_1" formatStyle="Comma" appId="_GBC_fca5101d9b46492484acd605f0ade969">
        <m:complexRule comparator="Eq" title="生产性生物资产账面价值合计@本期期初数" test=" $_GBC_72237d40c4ea4ce79bc3fa382e3efef5" id="Ce260e870c17340de84f1de4bb57a8524"/>
      </m:item>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item xlName="_GBC_3a67921e606f4abca6478a1ffb759394" concept="clcid-ci-ar:ShiFouShiYongCaiWuFuZhuYiGongYunJiaZhiJiLiangDeShengChanXingShengWuZiChan" label="是否适用：财务附注：以公允价值计量的生产性生物资产" selectOptions="_buildInAppliance" controlType="CustomCheckbox" cRanges="{&quot;StartName&quot;:&quot;_GBC_3a67921e606f4abca6478a1ffb759394&quot;,&quot;EndName&quot;:&quot;_GBC_7fafcd45c2374bc8b51b80fbb218316f&quot;,&quot;CType&quot;:1,&quot;DisplayText&quot;:null}"/>
      <m:item xlName="_GBC_4cd1897fc74e4c0f92c62bc50b91b6dc" concept="clcid-ci-ar:DanWeiCaiWuFuZhuYiGongYunJiaZhiJiLiangDeShengChanXingShengWuZiChan" label="单位：财务附注：以公允价值计量的生产性生物资产" selectOptions="_buildInScales" controlType="Combobox" cellType="Scale" appId="_GBC_3a67921e606f4abca6478a1ffb759394"/>
      <m:item xlName="_GBC_fcf7fe23d4a443288a9705c3b6fa5dc9" concept="clcid-ci-ar:BiZhongCaiWuFuZhuYiGongYunJiaZhiJiLiangDeShengChanXingShengWuZiChan" label="币种：财务附注：以公允价值计量的生产性生物资产" selectOptions="_buildInISO4217" controlType="Combobox" cellType="Measure" appId="_GBC_3a67921e606f4abca6478a1ffb759394"/>
      <m:placeholder xlName="_PLD_d4982e6c4d364741ae2d2c782f60ada3" addr="T0R0C0S2_1"/>
      <m:item xlName="_GBC_00c6f39b13e74b1ebb04ad68b586ca59"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3a67921e606f4abca6478a1ffb759394" defaultGridSpan="2" iterateOptionValue="4" checkOption="Ignore"/>
      <m:placeholder xlName="_PLD_d044065297884cd29d724d31fb2cdcb3" addr="T0R0C2S2_1"/>
      <m:item xlName="_GBC_5f4c38d1813b424f9ddb59464cefed44" concept="clcid-pte:CaiYongGongYunJiaZhiJiLiangMoShiDeShengChanXingShengWuZiChanMingXiMingXiLei" label="采用公允价值计量模式的生产性生物资产明细-明细类" addr="T0R1C1S1_1" tupleRef="clcid-pte:CaiYongGongYunJiaZhiJiLiangMoShiDeShengChanXingShengWuZiChanMingXi" appId="_GBC_3a67921e606f4abca6478a1ffb759394" isCaption="true"/>
      <m:placeholder xlName="_PLD_13aa3551f6584b32a6b857968b66223d" addr="T0R2C0S1_1"/>
      <m:item xlName="_GBC_8e3024fdd5464573a21ac5454cb53902" concept="clcid-pte:CaiYongGongYunJiaZhiJiLiangMoShiDeShengChanXingShengWuZiChanMingXiZhangMianYuE" label="采用公允价值计量模式的生产性生物资产明细-账面余额" periodRef="本期期初数" mulRef="_GBC_4cd1897fc74e4c0f92c62bc50b91b6dc" unitRef="_GBC_fcf7fe23d4a443288a9705c3b6fa5dc9" addr="T0R2C1S1_1" formatStyle="Comma" tupleRef="clcid-pte:CaiYongGongYunJiaZhiJiLiangMoShiDeShengChanXingShengWuZiChanMingXi" appId="_GBC_3a67921e606f4abca6478a1ffb759394"/>
      <m:item xlName="_GBC_abd01a099b784028a51f4fbb0ae1cce7" concept="clcid-pte:ShengChanXingShengWuZiChan" label="生产性生物资产" periodRef="本期期初数" mulRef="_GBC_4cd1897fc74e4c0f92c62bc50b91b6dc" unitRef="_GBC_fcf7fe23d4a443288a9705c3b6fa5dc9" addr="T0R2C2S1_1" formatStyle="Comma" appId="_GBC_3a67921e606f4abca6478a1ffb759394"/>
      <m:placeholder xlName="_PLD_667d429fa35147c8be768509d923136e" addr="T0R3C0S1_1"/>
      <m:item xlName="_GBC_ab11fb534d2e47399269f9a5e83e2f03" concept="clcid-pte:CaiYongGongYunJiaZhiJiLiangMoShiDeShengChanXingShengWuZiChanMingXiBenQiBianDong" label="采用公允价值计量模式的生产性生物资产明细-本期变动" mulRef="_GBC_4cd1897fc74e4c0f92c62bc50b91b6dc" unitRef="_GBC_fcf7fe23d4a443288a9705c3b6fa5dc9" addr="T0R3C1S1_1" formatStyle="Comma" tupleRef="clcid-pte:CaiYongGongYunJiaZhiJiLiangMoShiDeShengChanXingShengWuZiChanMingXi" appId="_GBC_3a67921e606f4abca6478a1ffb759394">
        <m:complexRule comparator="Eq" title="采用公允价值计量模式的生产性生物资产明细-本期变动" test=" $_GBC_f185ef8a8c7848949ecf909250de6b68 +  $_GBC_c0e0d6975392409ca22a9c58d33c44ec +  $_GBC_6039bb64944d4d02bbee9d707738d5b9 -  $_GBC_8f4182afe71b449d8b86dae9bab05ec2 -  $_GBC_62540ecd4ddb4f56a1baa86d94b1bcd3 +  $_GBC_00c9689abe2347258e51f4f0378c6cd8 +  $_GBC_2d44ebc2aa5a457e978be51c7d856e9f" id="Ca1e825f01fd54a02870dcc13c2ba3e77" serialType="1"/>
      </m:item>
      <m:item xlName="_GBC_a7c3a0ac6b0542d7b64fc152e44a207c" concept="clcid-pte:CaiYongGongYunJiaZhiJiLiangMoShiDeShengChanXingShengWuZiChanBenQiBianDongHeJi" label="采用公允价值计量模式的生产性生物资产本期变动合计" mulRef="_GBC_4cd1897fc74e4c0f92c62bc50b91b6dc" unitRef="_GBC_fcf7fe23d4a443288a9705c3b6fa5dc9" addr="T0R3C2S1_1" formatStyle="Comma" appId="_GBC_3a67921e606f4abca6478a1ffb759394">
        <m:complexRule comparator="Eq" title="采用公允价值计量模式的生产性生物资产本期变动合计" test=" $_GBC_9684d9855097493c873988fabccea876 +  $_GBC_9cb0b1164bf34d56a0aa83d3dd4a5f95 +  $_GBC_45f95699d46b442395a8e63841e96365 -  $_GBC_86c4b9e99299425e861967b8aade6ea2 -  $_GBC_93540e5d74644ba9b002281f27125816 +  $_GBC_18192fdc06d64656b74760922f17fc80 +  $_GBC_dff10da30baf4bb0b1134dff6952192a" id="C7d8dfada49f1464bb08ee9f903cd0854" serialType="1"/>
      </m:item>
      <m:placeholder xlName="_PLD_353cb66e30734cfca176c6062e6dc232" addr="T0R4C0S1_1"/>
      <m:item xlName="_GBC_f185ef8a8c7848949ecf909250de6b68" concept="clcid-pte:CaiYongGongYunJiaZhiJiLiangMoShiDeShengChanXingShengWuZiChanMingXiWaiGou" label="采用公允价值计量模式的生产性生物资产明细-外购" mulRef="_GBC_4cd1897fc74e4c0f92c62bc50b91b6dc" unitRef="_GBC_fcf7fe23d4a443288a9705c3b6fa5dc9" addr="T0R4C1S1_1" formatStyle="Comma" tupleRef="clcid-pte:CaiYongGongYunJiaZhiJiLiangMoShiDeShengChanXingShengWuZiChanMingXi" appId="_GBC_3a67921e606f4abca6478a1ffb759394"/>
      <m:item xlName="_GBC_9684d9855097493c873988fabccea876" concept="clcid-pte:CaiYongGongYunJiaZhiJiLiangMoShiDeShengChanXingShengWuZiChanWaiGouHeJi" label="采用公允价值计量模式的生产性生物资产外购合计" mulRef="_GBC_4cd1897fc74e4c0f92c62bc50b91b6dc" unitRef="_GBC_fcf7fe23d4a443288a9705c3b6fa5dc9" addr="T0R4C2S1_1" formatStyle="Comma" appId="_GBC_3a67921e606f4abca6478a1ffb759394"/>
      <m:placeholder xlName="_PLD_dd80096fc7ef4cb5ad4f1c39e7727b00" addr="T0R5C0S1_1"/>
      <m:item xlName="_GBC_c0e0d6975392409ca22a9c58d33c44ec" concept="clcid-pte:CaiYongGongYunJiaZhiJiLiangMoShiDeShengChanXingShengWuZiChanMingXiZiXingPeiYu" label="采用公允价值计量模式的生产性生物资产明细-自行培育" mulRef="_GBC_4cd1897fc74e4c0f92c62bc50b91b6dc" unitRef="_GBC_fcf7fe23d4a443288a9705c3b6fa5dc9" addr="T0R5C1S1_1" formatStyle="Comma" tupleRef="clcid-pte:CaiYongGongYunJiaZhiJiLiangMoShiDeShengChanXingShengWuZiChanMingXi" appId="_GBC_3a67921e606f4abca6478a1ffb759394"/>
      <m:item xlName="_GBC_9cb0b1164bf34d56a0aa83d3dd4a5f95" concept="clcid-pte:CaiYongGongYunJiaZhiJiLiangMoShiDeShengChanXingShengWuZiChanZiXingPeiYuHeJi" label="采用公允价值计量模式的生产性生物资产自行培育合计" mulRef="_GBC_4cd1897fc74e4c0f92c62bc50b91b6dc" unitRef="_GBC_fcf7fe23d4a443288a9705c3b6fa5dc9" addr="T0R5C2S1_1" formatStyle="Comma" appId="_GBC_3a67921e606f4abca6478a1ffb759394"/>
      <m:placeholder xlName="_PLD_0c4eff719c7047549f231dcf2e8bdea3" addr="T0R6C0S1_1"/>
      <m:item xlName="_GBC_6039bb64944d4d02bbee9d707738d5b9" concept="clcid-pte:CaiYongGongYunJiaZhiJiLiangMoShiDeShengChanXingShengWuZiChanMingXiQiYeHeBingZengJia" label="采用公允价值计量模式的生产性生物资产明细-企业合并增加" mulRef="_GBC_4cd1897fc74e4c0f92c62bc50b91b6dc" unitRef="_GBC_fcf7fe23d4a443288a9705c3b6fa5dc9" addr="T0R6C1S1_1" formatStyle="Comma" tupleRef="clcid-pte:CaiYongGongYunJiaZhiJiLiangMoShiDeShengChanXingShengWuZiChanMingXi" appId="_GBC_3a67921e606f4abca6478a1ffb759394"/>
      <m:item xlName="_GBC_45f95699d46b442395a8e63841e96365" concept="clcid-pte:CaiYongGongYunJiaZhiJiLiangMoShiDeShengChanXingShengWuZiChanQiYeHeBingZengJiaHeJi" label="采用公允价值计量模式的生产性生物资产企业合并增加合计" mulRef="_GBC_4cd1897fc74e4c0f92c62bc50b91b6dc" unitRef="_GBC_fcf7fe23d4a443288a9705c3b6fa5dc9" addr="T0R6C2S1_1" formatStyle="Comma" appId="_GBC_3a67921e606f4abca6478a1ffb759394"/>
      <m:placeholder xlName="_PLD_c787d2d42c5c4188b9b8fd7a77644b6e" addr="T0R7C0S1_1"/>
      <m:item xlName="_GBC_8f4182afe71b449d8b86dae9bab05ec2" concept="clcid-pte:CaiYongGongYunJiaZhiJiLiangMoShiDeShengChanXingShengWuZiChanMingXiChuZhi" label="采用公允价值计量模式的生产性生物资产明细-处置" mulRef="_GBC_4cd1897fc74e4c0f92c62bc50b91b6dc" unitRef="_GBC_fcf7fe23d4a443288a9705c3b6fa5dc9" addr="T0R7C1S1_1" formatStyle="Comma" tupleRef="clcid-pte:CaiYongGongYunJiaZhiJiLiangMoShiDeShengChanXingShengWuZiChanMingXi" appId="_GBC_3a67921e606f4abca6478a1ffb759394"/>
      <m:item xlName="_GBC_86c4b9e99299425e861967b8aade6ea2" concept="clcid-pte:CaiYongGongYunJiaZhiJiLiangMoShiDeShengChanXingShengWuZiChanChuZhiHeJi" label="采用公允价值计量模式的生产性生物资产处置合计" mulRef="_GBC_4cd1897fc74e4c0f92c62bc50b91b6dc" unitRef="_GBC_fcf7fe23d4a443288a9705c3b6fa5dc9" addr="T0R7C2S1_1" formatStyle="Comma" appId="_GBC_3a67921e606f4abca6478a1ffb759394"/>
      <m:placeholder xlName="_PLD_1769d0fad6b544f788f76aca498d156a" addr="T0R8C0S1_1"/>
      <m:item xlName="_GBC_62540ecd4ddb4f56a1baa86d94b1bcd3" concept="clcid-pte:CaiYongGongYunJiaZhiJiLiangMoShiDeShengChanXingShengWuZiChanMingXiQiTaZhuanChu" label="采用公允价值计量模式的生产性生物资产明细-其他转出" mulRef="_GBC_4cd1897fc74e4c0f92c62bc50b91b6dc" unitRef="_GBC_fcf7fe23d4a443288a9705c3b6fa5dc9" addr="T0R8C1S1_1" formatStyle="Comma" tupleRef="clcid-pte:CaiYongGongYunJiaZhiJiLiangMoShiDeShengChanXingShengWuZiChanMingXi" appId="_GBC_3a67921e606f4abca6478a1ffb759394"/>
      <m:item xlName="_GBC_93540e5d74644ba9b002281f27125816" concept="clcid-pte:CaiYongGongYunJiaZhiJiLiangMoShiDeShengChanXingShengWuZiChanQiTaZhuanChuHeJi" label="采用公允价值计量模式的生产性生物资产其他转出合计" mulRef="_GBC_4cd1897fc74e4c0f92c62bc50b91b6dc" unitRef="_GBC_fcf7fe23d4a443288a9705c3b6fa5dc9" addr="T0R8C2S1_1" formatStyle="Comma" appId="_GBC_3a67921e606f4abca6478a1ffb759394"/>
      <m:placeholder xlName="_PLD_0162e0fc16b04bea9848c4e1c20ccdad" addr="T0R9C0S1_1"/>
      <m:item xlName="_GBC_00c9689abe2347258e51f4f0378c6cd8" concept="clcid-pte:CaiYongGongYunJiaZhiJiLiangMoShiDeShengChanXingShengWuZiChanMingXiGongYunJiaZhiBianDong" label="采用公允价值计量模式的生产性生物资产明细-公允价值变动" mulRef="_GBC_4cd1897fc74e4c0f92c62bc50b91b6dc" unitRef="_GBC_fcf7fe23d4a443288a9705c3b6fa5dc9" addr="T0R9C1S1_1" formatStyle="Comma" tupleRef="clcid-pte:CaiYongGongYunJiaZhiJiLiangMoShiDeShengChanXingShengWuZiChanMingXi" appId="_GBC_3a67921e606f4abca6478a1ffb759394"/>
      <m:item xlName="_GBC_18192fdc06d64656b74760922f17fc80" concept="clcid-pte:CaiYongGongYunJiaZhiJiLiangMoShiDeShengChanXingShengWuZiChanGongYunJiaZhiBianDongHeJi" label="采用公允价值计量模式的生产性生物资产公允价值变动合计" mulRef="_GBC_4cd1897fc74e4c0f92c62bc50b91b6dc" unitRef="_GBC_fcf7fe23d4a443288a9705c3b6fa5dc9" addr="T0R9C2S1_1" formatStyle="Comma" appId="_GBC_3a67921e606f4abca6478a1ffb759394"/>
      <m:item xlName="_GBC_bd346fb9942b4d7b92baf41b55dda86a" concept="clcid-pte:CaiYongGongYunJiaZhiJiLiangMoShiDeShengChanXingShengWuZiChanBianDongXiangMuMingCheng1" label="采用公允价值计量模式的生产性生物资产变动项目名称1" addr="T0R10C0S1_1" tagAction="1" formatStyle="Comma" appId="_GBC_3a67921e606f4abca6478a1ffb759394" isSerialConcept="true" serialDirection="1" serialDefaultCount="2"/>
      <m:item xlName="_GBC_2d44ebc2aa5a457e978be51c7d856e9f" concept="clcid-pte:CaiYongGongYunJiaZhiJiLiangMoShiDeShengChanXingShengWuZiChanBianDongXiangMuMingChengJinE1" label="采用公允价值计量模式的生产性生物资产变动项目名称金额1" mulRef="_GBC_4cd1897fc74e4c0f92c62bc50b91b6dc" unitRef="_GBC_fcf7fe23d4a443288a9705c3b6fa5dc9" addr="T0R10C1S1_1" tagAction="1" formatStyle="Comma" tupleRef="clcid-pte:CaiYongGongYunJiaZhiJiLiangMoShiDeShengChanXingShengWuZiChanMingXi" appId="_GBC_3a67921e606f4abca6478a1ffb759394" isSerialConcept="true" serialDirection="1"/>
      <m:item xlName="_GBC_dff10da30baf4bb0b1134dff6952192a" concept="clcid-pte:CaiYongGongYunJiaZhiJiLiangMoShiDeShengChanXingShengWuZiChanBianDongXiangMuMingChengJinEHeJi1" label="采用公允价值计量模式的生产性生物资产变动项目名称金额合计1" mulRef="_GBC_4cd1897fc74e4c0f92c62bc50b91b6dc" unitRef="_GBC_fcf7fe23d4a443288a9705c3b6fa5dc9" addr="T0R10C2S1_1" tagAction="1" formatStyle="Comma" appId="_GBC_3a67921e606f4abca6478a1ffb759394" isSerialConcept="true" serialDirection="1"/>
      <m:placeholder xlName="_PLD_ff18f4f57e7146178ad4d18ed3fd2707" addr="T0R11C0S1_1"/>
      <m:item xlName="_GBC_45ff310d7bb54569971af44da56bfa43" concept="clcid-pte:CaiYongGongYunJiaZhiJiLiangMoShiDeShengChanXingShengWuZiChanMingXiZhangMianYuE" label="采用公允价值计量模式的生产性生物资产明细-账面余额" mulRef="_GBC_4cd1897fc74e4c0f92c62bc50b91b6dc" unitRef="_GBC_fcf7fe23d4a443288a9705c3b6fa5dc9" addr="T0R11C1S1_1" formatStyle="Comma" tupleRef="clcid-pte:CaiYongGongYunJiaZhiJiLiangMoShiDeShengChanXingShengWuZiChanMingXi" appId="_GBC_3a67921e606f4abca6478a1ffb759394">
        <m:complexRule comparator="Eq" title="采用公允价值计量模式的生产性生物资产明细-账面余额" test=" $_GBC_8e3024fdd5464573a21ac5454cb53902 +  $_GBC_ab11fb534d2e47399269f9a5e83e2f03" id="Cfe06308b052147d8a9677c6d7c15ba23"/>
      </m:item>
      <m:item xlName="_GBC_7fafcd45c2374bc8b51b80fbb218316f" concept="clcid-pte:ShengChanXingShengWuZiChan" label="生产性生物资产" mulRef="_GBC_4cd1897fc74e4c0f92c62bc50b91b6dc" unitRef="_GBC_fcf7fe23d4a443288a9705c3b6fa5dc9" addr="T0R11C2S1_1" formatStyle="Comma" appId="_GBC_3a67921e606f4abca6478a1ffb759394">
        <m:complexRule comparator="Eq" title="生产性生物资产" test=" $_GBC_abd01a099b784028a51f4fbb0ae1cce7 +  $_GBC_a7c3a0ac6b0542d7b64fc152e44a207c" id="C6a7923bd54ed4829891035e3cd3e2863"/>
      </m:item>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item xlName="_GBC_48247874e2c54937aabce9db1308bea7" concept="clcid-ci-ar:ShiFouShiYongShengChanXingShengWuZiChanDeShuoMing" label="是否适用：生产性生物资产的说明" selectOptions="_buildInAppliance" controlType="CustomCheckbox" cRanges="{&quot;StartName&quot;:&quot;_GBC_48247874e2c54937aabce9db1308bea7&quot;,&quot;EndName&quot;:&quot;_GBC_3a7912b6d3f44036b89ba24cc8c64fb4&quot;,&quot;CType&quot;:1,&quot;DisplayText&quot;:null}"/>
      <m:item xlName="_GBC_3a7912b6d3f44036b89ba24cc8c64fb4" concept="clcid-pte:ShengChanXingShengWuZiChanDeShuoMing" label="生产性生物资产的说明" appId="_GBC_48247874e2c54937aabce9db1308bea7"/>
    </m:section>
    <m:section xlName="_GBC_fe60430654f541aab1da59bd08202085" title="油气资产" convertSummaryRule="NoConvert" helpId="112001071">
      <m:item xlName="_GBC_7dce41817eb749dba0d132424020d250" concept="clcid-ci-ar:ShiFouShiYongYouQiZiChan" label="是否适用：油气资产" selectOptions="_buildInAppliance" controlType="CustomCheckbox" cRanges="{&quot;StartName&quot;:&quot;_GBC_7dce41817eb749dba0d132424020d250&quot;,&quot;EndName&quot;:&quot;_GBC_760d7a2d396d46499ac9ecc6f0bc5325&quot;,&quot;CType&quot;:1,&quot;DisplayText&quot;:null}"/>
      <m:item xlName="_GBC_3948c664b1134f4fb0d1f7c7f042d70b" concept="clcid-ci-ar:DanWeiCaiWuFuZhuYouQiZiChan" label="单位：财务附注：油气资产" selectOptions="_buildInScales" controlType="Combobox" cellType="Scale" appId="_GBC_7dce41817eb749dba0d132424020d250"/>
      <m:item xlName="_GBC_2ecabb9004854a42b2b7a67389aaa952" concept="clcid-ci-ar:BiZhongCaiWuFuZhuYouQiZiChan" label="币种：财务附注：油气资产" selectOptions="_buildInISO4217" controlType="Combobox" cellType="Measure" appId="_GBC_7dce41817eb749dba0d132424020d250"/>
      <m:placeholder xlName="_PLD_f44c41cac9a642c0ad77ab451d13e793" addr="T0R0C0S1_1"/>
      <m:placeholder xlName="_PLD_28e62c335ca94e22a381ac90286a857e" addr="T0R0C1S1_1"/>
      <m:placeholder xlName="_PLD_50a6c2cb61e44863a4dccfacfff42fb9" addr="T0R0C2S1_1"/>
      <m:placeholder xlName="_PLD_4d416dc59e5a44269153dda22e9c13f2" addr="T0R0C3S1_1"/>
      <m:item xlName="_GBC_077fb932cbaf41039425db51056c89ae" concept="clcid-pte:YouQiZiChanMingXiXiangMu" label="油气资产明细-项目" addr="T0R0C4S1_1" tagAction="1" tupleRef="clcid-pte:YouQiZiChanMingXi" appId="_GBC_7dce41817eb749dba0d132424020d250" isCaption="true"/>
      <m:placeholder xlName="_PLD_9e95d96ced5b421599cd9ed9cff44c17" addr="T0R0C5S1_1"/>
      <m:placeholder xlName="_PLD_99e183d5e353401489baffa115741f8c" addr="T0R1C0S1_1"/>
      <m:placeholder xlName="_PLD_d592f189997a4b9ea2020d3ca9d72031" addr="T0R2C0S1_1"/>
      <m:item xlName="_GBC_8be7687253ee47c7a033995f25c15560" concept="clcid-pte:TanMingKuangQuQuanYiYuanJiaZhangMianYuE" label="探明矿区权益原价账面余额" periodRef="本期期初数" mulRef="_GBC_3948c664b1134f4fb0d1f7c7f042d70b" unitRef="_GBC_2ecabb9004854a42b2b7a67389aaa952" addr="T0R2C1S1_1" formatStyle="Comma" appId="_GBC_7dce41817eb749dba0d132424020d250"/>
      <m:item xlName="_GBC_57b8cc60ddad4c04ac531d94637c1549" concept="clcid-pte:WeiTanMingKuangQuQuanYiYuanJiaZhangMianYuE" label="未探明矿区权益原价账面余额" periodRef="本期期初数" mulRef="_GBC_3948c664b1134f4fb0d1f7c7f042d70b" unitRef="_GBC_2ecabb9004854a42b2b7a67389aaa952" addr="T0R2C2S1_1" formatStyle="Comma" appId="_GBC_7dce41817eb749dba0d132424020d250"/>
      <m:item xlName="_GBC_fd31dda8a0ff49e690068eb8e73e86a7" concept="clcid-pte:JingJiXiangGuanSheShiYuanJiaZhangMianYuE" label="井及相关设施原价账面余额" periodRef="本期期初数" mulRef="_GBC_3948c664b1134f4fb0d1f7c7f042d70b" unitRef="_GBC_2ecabb9004854a42b2b7a67389aaa952" addr="T0R2C3S1_1" formatStyle="Comma" appId="_GBC_7dce41817eb749dba0d132424020d250"/>
      <m:item xlName="_GBC_761b3825df784ca49ab3e1651d8daf50" concept="clcid-pte:YouQiZiChanMingXiZhangMianYuE" label="油气资产明细-账面余额" periodRef="本期期初数" mulRef="_GBC_3948c664b1134f4fb0d1f7c7f042d70b" unitRef="_GBC_2ecabb9004854a42b2b7a67389aaa952" addr="T0R2C4S1_1" formatStyle="Comma" tupleRef="clcid-pte:YouQiZiChanMingXi" appId="_GBC_7dce41817eb749dba0d132424020d250"/>
      <m:item xlName="_GBC_620645f9f6ae44d0af3fa7080acb3beb" concept="clcid-pte:YouQiZiChanYuanJiaHeJiZhangMianYuE" label="油气资产原价合计账面余额" periodRef="本期期初数" mulRef="_GBC_3948c664b1134f4fb0d1f7c7f042d70b" unitRef="_GBC_2ecabb9004854a42b2b7a67389aaa952" addr="T0R2C5S1_1" formatStyle="Comma" appId="_GBC_7dce41817eb749dba0d132424020d250">
        <m:complexRule comparator="Eq" title="油气资产原价合计账面余额@本期期初数" test=" $_GBC_8be7687253ee47c7a033995f25c15560 +  $_GBC_57b8cc60ddad4c04ac531d94637c1549 +  $_GBC_fd31dda8a0ff49e690068eb8e73e86a7 +  $_GBC_761b3825df784ca49ab3e1651d8daf50" id="C77ee71ade13148f68187b3290a7319ac"/>
      </m:item>
      <m:placeholder xlName="_PLD_407bf28b48434baf8f9f6df4c20825ac" addr="T0R3C0S1_1"/>
      <m:item xlName="_GBC_ad4e2a9b9d984fb283946c6154aee2fb" concept="clcid-pte:TanMingKuangQuQuanYiYuanJiaZengJiaE" label="探明矿区权益原价增加额" mulRef="_GBC_3948c664b1134f4fb0d1f7c7f042d70b" unitRef="_GBC_2ecabb9004854a42b2b7a67389aaa952" addr="T0R3C1S1_1" formatStyle="Comma" appId="_GBC_7dce41817eb749dba0d132424020d250">
        <m:complexRule comparator="Eq" title="探明矿区权益原价增加额" test=" $_GBC_6c401ca7b82d4e1486caebf0895fd618 +  $_GBC_c1314bea01584186870b742200c26dec +  $_GBC_0e26a2b9935e4d909f2c0913e9a8d57a" id="Ce06228b473a14a489636ac201d848f2a" serialType="1"/>
      </m:item>
      <m:item xlName="_GBC_6a44277d77ab4210a989a9e7db85909a" concept="clcid-pte:WeiTanMingKuangQuQuanYiYuanJiaZengJiaE" label="未探明矿区权益原价增加额" mulRef="_GBC_3948c664b1134f4fb0d1f7c7f042d70b" unitRef="_GBC_2ecabb9004854a42b2b7a67389aaa952" addr="T0R3C2S1_1" formatStyle="Comma" appId="_GBC_7dce41817eb749dba0d132424020d250">
        <m:complexRule comparator="Eq" title="未探明矿区权益原价增加额" test=" $_GBC_a56afb32bdaa4b728e531dff780eb5e4 +  $_GBC_99b183edf03f4234a4897ba76704bdbc +  $_GBC_b602be4d9e2e42d092103e4dd2a30e98" id="Cf4c9f43c0cb84bd9b5dd36daac9ae521" serialType="1"/>
      </m:item>
      <m:item xlName="_GBC_d7a68c28a0ff4d85a71853bc187e15ba" concept="clcid-pte:JingJiXiangGuanSheShiYuanJiaZengJiaE" label="井及相关设施原价增加额" mulRef="_GBC_3948c664b1134f4fb0d1f7c7f042d70b" unitRef="_GBC_2ecabb9004854a42b2b7a67389aaa952" addr="T0R3C3S1_1" formatStyle="Comma" appId="_GBC_7dce41817eb749dba0d132424020d250">
        <m:complexRule comparator="Eq" title="井及相关设施原价增加额" test=" $_GBC_b99aca334c8e41358bfa5b0337053cde +  $_GBC_32d00378ead64121b32168a3dd46c91c +  $_GBC_4a737bd6720d4ab585d9ae50ea7fba25" id="C44a0cfe7523e41b6ac23011fe6ef3501" serialType="1"/>
      </m:item>
      <m:item xlName="_GBC_2c8b541832c14b4a8208575ce74d5067" concept="clcid-pte:YouQiZiChanMingXiZengJia" label="油气资产明细-增加" mulRef="_GBC_3948c664b1134f4fb0d1f7c7f042d70b" unitRef="_GBC_2ecabb9004854a42b2b7a67389aaa952" addr="T0R3C4S1_1" formatStyle="Comma" tupleRef="clcid-pte:YouQiZiChanMingXi" appId="_GBC_7dce41817eb749dba0d132424020d250">
        <m:complexRule comparator="Eq" title="油气资产明细-增加" test=" $_GBC_a81aabff95234a71960c08113e395d5f +  $_GBC_34ba260d23584580b25d4e1044e4d3c1 +  $_GBC_0344bf8351224a8dbc93af134ff99938" id="Cb2a909c842f946f18b3cf804e77e120e" serialType="1"/>
      </m:item>
      <m:item xlName="_GBC_3daefda58f2344ce8d8823f81e13eed8" concept="clcid-pte:YouQiZiChanYuanJiaHeJiZengJiaE" label="油气资产原价合计增加额" mulRef="_GBC_3948c664b1134f4fb0d1f7c7f042d70b" unitRef="_GBC_2ecabb9004854a42b2b7a67389aaa952" addr="T0R3C5S1_1" formatStyle="Comma" appId="_GBC_7dce41817eb749dba0d132424020d250">
        <m:complexRule comparator="Eq" title="油气资产原价合计增加额合计" test=" $_GBC_ad4e2a9b9d984fb283946c6154aee2fb +  $_GBC_6a44277d77ab4210a989a9e7db85909a +  $_GBC_d7a68c28a0ff4d85a71853bc187e15ba +  $_GBC_2c8b541832c14b4a8208575ce74d5067" id="C6062153a638c49048f98d72f9ef1e40f"/>
        <m:complexRule comparator="Eq" title="油气资产原价合计增加额" test=" $_GBC_8fbe532c422f41babbe645dd4aca2069 +  $_GBC_c22cff9b7836494a87141eea39e9bf72 +  $_GBC_f4a41f8d4c534160838c1459d8b73ffa" id="C43086a5bb48a4af1b4a054cad258a2f5" serialType="1"/>
      </m:item>
      <m:placeholder xlName="_PLD_955866b5d5324d9982260e3cd41ed9cb" addr="T0R4C0S1_1"/>
      <m:item xlName="_GBC_6c401ca7b82d4e1486caebf0895fd618" concept="clcid-pte:WaiGouDaoZhiDeTanMingKuangQuQuanYiZhangMianYuanZhiZengJiaE" label="外购导致的探明矿区权益账面原值增加额" mulRef="_GBC_3948c664b1134f4fb0d1f7c7f042d70b" unitRef="_GBC_2ecabb9004854a42b2b7a67389aaa952" addr="T0R4C1S1_1" formatStyle="Comma" appId="_GBC_7dce41817eb749dba0d132424020d250"/>
      <m:item xlName="_GBC_a56afb32bdaa4b728e531dff780eb5e4" concept="clcid-pte:WaiGouDaoZhiDeWeiTanMingKuangQuQuanYiZhangMianYuanZhiZengJiaE" label="外购导致的未探明矿区权益账面原值增加额" mulRef="_GBC_3948c664b1134f4fb0d1f7c7f042d70b" unitRef="_GBC_2ecabb9004854a42b2b7a67389aaa952" addr="T0R4C2S1_1" formatStyle="Comma" appId="_GBC_7dce41817eb749dba0d132424020d250"/>
      <m:item xlName="_GBC_b99aca334c8e41358bfa5b0337053cde" concept="clcid-pte:WaiGouDaoZhiDeJingJiXiangGuanSheShiZhangMianYuanZhiZengJiaE" label="外购导致的井及相关设施账面原值增加额" mulRef="_GBC_3948c664b1134f4fb0d1f7c7f042d70b" unitRef="_GBC_2ecabb9004854a42b2b7a67389aaa952" addr="T0R4C3S1_1" formatStyle="Comma" appId="_GBC_7dce41817eb749dba0d132424020d250"/>
      <m:item xlName="_GBC_a81aabff95234a71960c08113e395d5f" concept="clcid-pte:YouQiZiChanMingXiWaiGouDaoZhiDeYuanZhiZengJia" label="油气资产明细-外购导致的原值增加" mulRef="_GBC_3948c664b1134f4fb0d1f7c7f042d70b" unitRef="_GBC_2ecabb9004854a42b2b7a67389aaa952" addr="T0R4C4S1_1" formatStyle="Comma" tupleRef="clcid-pte:YouQiZiChanMingXi" appId="_GBC_7dce41817eb749dba0d132424020d250"/>
      <m:item xlName="_GBC_8fbe532c422f41babbe645dd4aca2069" concept="clcid-pte:WaiGouDaoZhiDeYouQiZiChanZhangMianYuanZhiZengJiaE" label="外购导致的油气资产账面原值增加额" mulRef="_GBC_3948c664b1134f4fb0d1f7c7f042d70b" unitRef="_GBC_2ecabb9004854a42b2b7a67389aaa952" addr="T0R4C5S1_1" formatStyle="Comma" appId="_GBC_7dce41817eb749dba0d132424020d250">
        <m:complexRule comparator="Eq" title="外购导致的油气资产账面原值增加额" test=" $_GBC_6c401ca7b82d4e1486caebf0895fd618 +  $_GBC_a56afb32bdaa4b728e531dff780eb5e4 +  $_GBC_b99aca334c8e41358bfa5b0337053cde +  $_GBC_a81aabff95234a71960c08113e395d5f" id="C824dbf7f5640414abc132f13edaa9bdb"/>
      </m:item>
      <m:placeholder xlName="_PLD_70094e6363ea4e9c8faa4b39fc81d87e" addr="T0R5C0S1_1"/>
      <m:item xlName="_GBC_c1314bea01584186870b742200c26dec" concept="clcid-pte:ZiXingJianZaoDaoZhiDeTanMingKuangQuQuanYiZhangMianYuanZhiZengJiaE" label="自行建造导致的探明矿区权益账面原值增加额" mulRef="_GBC_3948c664b1134f4fb0d1f7c7f042d70b" unitRef="_GBC_2ecabb9004854a42b2b7a67389aaa952" addr="T0R5C1S1_1" formatStyle="Comma" appId="_GBC_7dce41817eb749dba0d132424020d250"/>
      <m:item xlName="_GBC_99b183edf03f4234a4897ba76704bdbc" concept="clcid-pte:ZiXingJianZaoDaoZhiDeWeiTanMingKuangQuQuanYiZhangMianYuanZhiZengJiaE" label="自行建造导致的未探明矿区权益账面原值增加额" mulRef="_GBC_3948c664b1134f4fb0d1f7c7f042d70b" unitRef="_GBC_2ecabb9004854a42b2b7a67389aaa952" addr="T0R5C2S1_1" formatStyle="Comma" appId="_GBC_7dce41817eb749dba0d132424020d250"/>
      <m:item xlName="_GBC_32d00378ead64121b32168a3dd46c91c" concept="clcid-pte:ZiXingJianZaoDaoZhiDeJingJiXiangGuanSheShiZhangMianYuanZhiZengJiaE" label="自行建造导致的井及相关设施账面原值增加额" mulRef="_GBC_3948c664b1134f4fb0d1f7c7f042d70b" unitRef="_GBC_2ecabb9004854a42b2b7a67389aaa952" addr="T0R5C3S1_1" formatStyle="Comma" appId="_GBC_7dce41817eb749dba0d132424020d250"/>
      <m:item xlName="_GBC_34ba260d23584580b25d4e1044e4d3c1" concept="clcid-pte:YouQiZiChanMingXiZiXingJianZaoDaoZhiDeYuanZhiZengJia" label="油气资产明细-自行建造导致的原值增加" mulRef="_GBC_3948c664b1134f4fb0d1f7c7f042d70b" unitRef="_GBC_2ecabb9004854a42b2b7a67389aaa952" addr="T0R5C4S1_1" formatStyle="Comma" tupleRef="clcid-pte:YouQiZiChanMingXi" appId="_GBC_7dce41817eb749dba0d132424020d250"/>
      <m:item xlName="_GBC_c22cff9b7836494a87141eea39e9bf72" concept="clcid-pte:ZiXingJianZaoDaoZhiDeYouQiZiChanZhangMianYuanZhiZengJiaE" label="自行建造导致的油气资产账面原值增加额" mulRef="_GBC_3948c664b1134f4fb0d1f7c7f042d70b" unitRef="_GBC_2ecabb9004854a42b2b7a67389aaa952" addr="T0R5C5S1_1" formatStyle="Comma" appId="_GBC_7dce41817eb749dba0d132424020d250">
        <m:complexRule comparator="Eq" title="自行建造导致的油气资产账面原值增加额" test=" $_GBC_c1314bea01584186870b742200c26dec +  $_GBC_99b183edf03f4234a4897ba76704bdbc +  $_GBC_32d00378ead64121b32168a3dd46c91c +  $_GBC_34ba260d23584580b25d4e1044e4d3c1" id="C81ea05591f8241ba87970d4387486b73"/>
      </m:item>
      <m:item xlName="_GBC_6954d9f361e547c0bf3ffd2c033d90d0" concept="clcid-pte:YouQiZiChanZhangMianYuanZhiZengJiaXiangMuMingCheng1" label="油气资产账面原值增加项目名称1" addr="T0R6C0S1_1" tagAction="1" formatStyle="Comma" appId="_GBC_7dce41817eb749dba0d132424020d250" isSerialConcept="true" serialDirection="1" serialDefaultCount="2"/>
      <m:item xlName="_GBC_0e26a2b9935e4d909f2c0913e9a8d57a" concept="clcid-pte:YouQiZiChanTanMingKuangQuQuanYiZhangMianYuanZhiZengJiaXiangMuJinE1" label="油气资产探明矿区权益账面原值增加项目金额1" mulRef="_GBC_3948c664b1134f4fb0d1f7c7f042d70b" unitRef="_GBC_2ecabb9004854a42b2b7a67389aaa952" addr="T0R6C1S1_1" tagAction="1" formatStyle="Comma" appId="_GBC_7dce41817eb749dba0d132424020d250" isSerialConcept="true" serialDirection="1"/>
      <m:item xlName="_GBC_b602be4d9e2e42d092103e4dd2a30e98" concept="clcid-pte:YouQiZiChanWeiTanMingKuangQuQuanYiZhangMianYuanZhiZengJiaXiangMuJinE1" label="油气资产未探明矿区权益账面原值增加项目金额1" mulRef="_GBC_3948c664b1134f4fb0d1f7c7f042d70b" unitRef="_GBC_2ecabb9004854a42b2b7a67389aaa952" addr="T0R6C2S1_1" tagAction="1" formatStyle="Comma" appId="_GBC_7dce41817eb749dba0d132424020d250" isSerialConcept="true" serialDirection="1"/>
      <m:item xlName="_GBC_4a737bd6720d4ab585d9ae50ea7fba25" concept="clcid-pte:YouQiZiChanJingJiXiangGuanSheShiZhangMianYuanZhiZengJiaXiangMuJinE1" label="油气资产井及相关设施账面原值增加项目金额1" mulRef="_GBC_3948c664b1134f4fb0d1f7c7f042d70b" unitRef="_GBC_2ecabb9004854a42b2b7a67389aaa952" addr="T0R6C3S1_1" tagAction="1" formatStyle="Comma" appId="_GBC_7dce41817eb749dba0d132424020d250" isSerialConcept="true" serialDirection="1"/>
      <m:item xlName="_GBC_0344bf8351224a8dbc93af134ff99938" concept="clcid-pte:YouQiZiChanZhangMianYuanZhiZengJiaXiangMuJinE1" label="油气资产账面原值增加项目金额1" mulRef="_GBC_3948c664b1134f4fb0d1f7c7f042d70b" unitRef="_GBC_2ecabb9004854a42b2b7a67389aaa952" addr="T0R6C4S1_1" tagAction="1" formatStyle="Comma" tupleRef="clcid-pte:YouQiZiChanMingXi" appId="_GBC_7dce41817eb749dba0d132424020d250" isSerialConcept="true" serialDirection="1"/>
      <m:item xlName="_GBC_f4a41f8d4c534160838c1459d8b73ffa" concept="clcid-pte:YouQiZiChanZhangMianYuanZhiZengJiaXiangMuHeJiJinE1" label="油气资产账面原值增加项目合计金额1" mulRef="_GBC_3948c664b1134f4fb0d1f7c7f042d70b" unitRef="_GBC_2ecabb9004854a42b2b7a67389aaa952" addr="T0R6C5S1_1" tagAction="1" formatStyle="Comma" appId="_GBC_7dce41817eb749dba0d132424020d250" isSerialConcept="true" serialDirection="1">
        <m:complexRule comparator="Eq" title="油气资产账面原值增加项目合计金额1" disabled="true" test=" $_GBC_0e26a2b9935e4d909f2c0913e9a8d57a +  $_GBC_b602be4d9e2e42d092103e4dd2a30e98 +  $_GBC_4a737bd6720d4ab585d9ae50ea7fba25 +  $_GBC_0344bf8351224a8dbc93af134ff99938" id="C52d99883a4ee4d8eaa5636dad69f614a" serialType="2"/>
      </m:item>
      <m:placeholder xlName="_PLD_ea4a66486bd047428c61347a6e76bbc5" addr="T0R7C0S1_1"/>
      <m:item xlName="_GBC_cf6d36d26c1c4d4c81c4660afde354fc" concept="clcid-pte:TanMingKuangQuQuanYiYuanJiaJianShaoE" label="探明矿区权益原价减少额" mulRef="_GBC_3948c664b1134f4fb0d1f7c7f042d70b" unitRef="_GBC_2ecabb9004854a42b2b7a67389aaa952" addr="T0R7C1S1_1" formatStyle="Comma" appId="_GBC_7dce41817eb749dba0d132424020d250">
        <m:complexRule comparator="Eq" title="探明矿区权益原价减少额" test=" $_GBC_234f9180e39e48b1b68504806bdfe9a6 +  $_GBC_9c1da934e7894dc59ec34ad958ba6fed" id="C16179a520a7d4c09ad7409db86fe8185" serialType="1"/>
      </m:item>
      <m:item xlName="_GBC_2cc440b4d0f1464bab7a47b9bc4d7b7e" concept="clcid-pte:WeiTanMingKuangQuQuanYiYuanJiaJianShaoE" label="未探明矿区权益原价减少额" mulRef="_GBC_3948c664b1134f4fb0d1f7c7f042d70b" unitRef="_GBC_2ecabb9004854a42b2b7a67389aaa952" addr="T0R7C2S1_1" formatStyle="Comma" appId="_GBC_7dce41817eb749dba0d132424020d250">
        <m:complexRule comparator="Eq" title="未探明矿区权益原价减少额" test=" $_GBC_6acdaf31865c4af5a381677c57485e7d +  $_GBC_e19a4faa3d2445b4b79b2cfc83f1e8a2" id="C145cc6f209d54b1aaa83a9e548d4ada0" serialType="1"/>
      </m:item>
      <m:item xlName="_GBC_a6920792ff5744f48cf2661660ebf25e" concept="clcid-pte:JingJiXiangGuanSheShiYuanJiaJianShaoE" label="井及相关设施原价减少额" mulRef="_GBC_3948c664b1134f4fb0d1f7c7f042d70b" unitRef="_GBC_2ecabb9004854a42b2b7a67389aaa952" addr="T0R7C3S1_1" formatStyle="Comma" appId="_GBC_7dce41817eb749dba0d132424020d250">
        <m:complexRule comparator="Eq" title="井及相关设施原价减少额" test=" $_GBC_24ed9b10949b4f58983ec16b305d0351 +  $_GBC_0b7e691bb1584aad8c2d05a46c644161" id="C92419108074b4730aaf920a1bf77fca4" serialType="1"/>
      </m:item>
      <m:item xlName="_GBC_35b64c6115c846479b98285d08234192" concept="clcid-pte:YouQiZiChanMingXiJianShao" label="油气资产明细-减少" mulRef="_GBC_3948c664b1134f4fb0d1f7c7f042d70b" unitRef="_GBC_2ecabb9004854a42b2b7a67389aaa952" addr="T0R7C4S1_1" formatStyle="Comma" tupleRef="clcid-pte:YouQiZiChanMingXi" appId="_GBC_7dce41817eb749dba0d132424020d250">
        <m:complexRule comparator="Eq" title="油气资产明细-减少" test=" $_GBC_52aad121409c4058bcebbb36cbc04c84 +  $_GBC_226619f7ea7d4c08b6cfba2e868a29b0" id="Cfcdab4a540cc42a485356bc569352ce1" serialType="1"/>
      </m:item>
      <m:item xlName="_GBC_94998e707cb84662ba46ede02fcd3fa1" concept="clcid-pte:YouQiZiChanYuanJiaHeJiJianShaoE" label="油气资产原价合计减少额" mulRef="_GBC_3948c664b1134f4fb0d1f7c7f042d70b" unitRef="_GBC_2ecabb9004854a42b2b7a67389aaa952" addr="T0R7C5S1_1" formatStyle="Comma" appId="_GBC_7dce41817eb749dba0d132424020d250">
        <m:complexRule comparator="Eq" title="油气资产原价合计减少额合计" test=" $_GBC_cf6d36d26c1c4d4c81c4660afde354fc +  $_GBC_2cc440b4d0f1464bab7a47b9bc4d7b7e +  $_GBC_a6920792ff5744f48cf2661660ebf25e +  $_GBC_35b64c6115c846479b98285d08234192" id="C10ff3f5c7b2140508a0e1ef60e2e9039"/>
        <m:complexRule comparator="Eq" title="油气资产原价合计减少额" test=" $_GBC_53bfc47fed9d40359bd7799789204c0a +  $_GBC_48e7949fba99473588d758f4ad2b1fa8" id="C47b91772a57343f7b1d2724e38f7b133" serialType="1"/>
      </m:item>
      <m:placeholder xlName="_PLD_6244d6d47dd74eb9a2bd5f146d5d288d" addr="T0R8C0S1_1"/>
      <m:item xlName="_GBC_234f9180e39e48b1b68504806bdfe9a6" concept="clcid-pte:ChuZhiDaoZhiDeTanMingKuangQuQuanYiZhangMianYuanZhiJianShaoE" label="处置导致的探明矿区权益账面原值减少额" mulRef="_GBC_3948c664b1134f4fb0d1f7c7f042d70b" unitRef="_GBC_2ecabb9004854a42b2b7a67389aaa952" addr="T0R8C1S1_1" formatStyle="Comma" appId="_GBC_7dce41817eb749dba0d132424020d250"/>
      <m:item xlName="_GBC_6acdaf31865c4af5a381677c57485e7d" concept="clcid-pte:ChuZhiDaoZhiDeWeiTanMingKuangQuQuanYiZhangMianYuanZhiJianShaoE" label="处置导致的未探明矿区权益账面原值减少额" mulRef="_GBC_3948c664b1134f4fb0d1f7c7f042d70b" unitRef="_GBC_2ecabb9004854a42b2b7a67389aaa952" addr="T0R8C2S1_1" formatStyle="Comma" appId="_GBC_7dce41817eb749dba0d132424020d250"/>
      <m:item xlName="_GBC_24ed9b10949b4f58983ec16b305d0351" concept="clcid-pte:ChuZhiDaoZhiDeJingJiXiangGuanSheShiZhangMianYuanZhiJianShaoE" label="处置导致的井及相关设施账面原值减少额" mulRef="_GBC_3948c664b1134f4fb0d1f7c7f042d70b" unitRef="_GBC_2ecabb9004854a42b2b7a67389aaa952" addr="T0R8C3S1_1" formatStyle="Comma" appId="_GBC_7dce41817eb749dba0d132424020d250"/>
      <m:item xlName="_GBC_52aad121409c4058bcebbb36cbc04c84" concept="clcid-pte:YouQiZiChanMingXiChuZhiDaoZhiDeYuanZhiJianShao" label="油气资产明细-处置导致的原值减少" mulRef="_GBC_3948c664b1134f4fb0d1f7c7f042d70b" unitRef="_GBC_2ecabb9004854a42b2b7a67389aaa952" addr="T0R8C4S1_1" formatStyle="Comma" tupleRef="clcid-pte:YouQiZiChanMingXi" appId="_GBC_7dce41817eb749dba0d132424020d250"/>
      <m:item xlName="_GBC_53bfc47fed9d40359bd7799789204c0a" concept="clcid-pte:ChuZhiDaoZhiDeYouQiZiChanZhangMianYuanZhiJianShaoE" label="处置导致的油气资产账面原值减少额" mulRef="_GBC_3948c664b1134f4fb0d1f7c7f042d70b" unitRef="_GBC_2ecabb9004854a42b2b7a67389aaa952" addr="T0R8C5S1_1" formatStyle="Comma" appId="_GBC_7dce41817eb749dba0d132424020d250">
        <m:complexRule comparator="Eq" title="处置导致的油气资产账面原值减少额" test=" $_GBC_234f9180e39e48b1b68504806bdfe9a6 +  $_GBC_6acdaf31865c4af5a381677c57485e7d +  $_GBC_24ed9b10949b4f58983ec16b305d0351 +  $_GBC_52aad121409c4058bcebbb36cbc04c84" id="Cc7c00069d6794041abc1c5ade84fba67"/>
      </m:item>
      <m:item xlName="_GBC_b9f8c57094b74217b9156ba4cbbf31c6" concept="clcid-pte:YouQiZiChanZhangMianYuanZhiJianShaoXiangMuMingCheng1" label="油气资产账面原值减少项目名称1" addr="T0R9C0S1_1" tagAction="1" formatStyle="Comma" appId="_GBC_7dce41817eb749dba0d132424020d250" isSerialConcept="true" serialDirection="1" serialDefaultCount="2"/>
      <m:item xlName="_GBC_9c1da934e7894dc59ec34ad958ba6fed" concept="clcid-pte:YouQiZiChanTanMingKuangQuQuanYiZhangMianYuanZhiJianShaoXiangMuJinE1" label="油气资产探明矿区权益账面原值减少项目金额1" mulRef="_GBC_3948c664b1134f4fb0d1f7c7f042d70b" unitRef="_GBC_2ecabb9004854a42b2b7a67389aaa952" addr="T0R9C1S1_1" tagAction="1" formatStyle="Comma" appId="_GBC_7dce41817eb749dba0d132424020d250" isSerialConcept="true" serialDirection="1"/>
      <m:item xlName="_GBC_e19a4faa3d2445b4b79b2cfc83f1e8a2" concept="clcid-pte:YouQiZiChanWeiTanMingKuangQuQuanYiZhangMianYuanZhiJianShaoXiangMuJinE1" label="油气资产未探明矿区权益账面原值减少项目金额1" mulRef="_GBC_3948c664b1134f4fb0d1f7c7f042d70b" unitRef="_GBC_2ecabb9004854a42b2b7a67389aaa952" addr="T0R9C2S1_1" tagAction="1" formatStyle="Comma" appId="_GBC_7dce41817eb749dba0d132424020d250" isSerialConcept="true" serialDirection="1"/>
      <m:item xlName="_GBC_0b7e691bb1584aad8c2d05a46c644161" concept="clcid-pte:YouQiZiChanJingJiXiangGuanSheShiZhangMianYuanZhiJianShaoXiangMuJinE1" label="油气资产井及相关设施账面原值减少项目金额1" mulRef="_GBC_3948c664b1134f4fb0d1f7c7f042d70b" unitRef="_GBC_2ecabb9004854a42b2b7a67389aaa952" addr="T0R9C3S1_1" tagAction="1" formatStyle="Comma" appId="_GBC_7dce41817eb749dba0d132424020d250" isSerialConcept="true" serialDirection="1"/>
      <m:item xlName="_GBC_226619f7ea7d4c08b6cfba2e868a29b0" concept="clcid-pte:YouQiZiChanZhangMianYuanZhiJianShaoXiangMuJinE1" label="油气资产账面原值减少项目金额1" mulRef="_GBC_3948c664b1134f4fb0d1f7c7f042d70b" unitRef="_GBC_2ecabb9004854a42b2b7a67389aaa952" addr="T0R9C4S1_1" tagAction="1" formatStyle="Comma" tupleRef="clcid-pte:YouQiZiChanMingXi" appId="_GBC_7dce41817eb749dba0d132424020d250" isSerialConcept="true" serialDirection="1"/>
      <m:item xlName="_GBC_48e7949fba99473588d758f4ad2b1fa8" concept="clcid-pte:YouQiZiChanZhangMianYuanZhiJianShaoXiangMuHeJiJinE1" label="油气资产账面原值减少项目合计金额1" mulRef="_GBC_3948c664b1134f4fb0d1f7c7f042d70b" unitRef="_GBC_2ecabb9004854a42b2b7a67389aaa952" addr="T0R9C5S1_1" tagAction="1" formatStyle="Comma" appId="_GBC_7dce41817eb749dba0d132424020d250" isSerialConcept="true" serialDirection="1">
        <m:complexRule comparator="Eq" title="油气资产账面原值减少项目合计金额1" disabled="true" test=" $_GBC_9c1da934e7894dc59ec34ad958ba6fed +  $_GBC_e19a4faa3d2445b4b79b2cfc83f1e8a2 +  $_GBC_0b7e691bb1584aad8c2d05a46c644161 +  $_GBC_226619f7ea7d4c08b6cfba2e868a29b0" id="C846f5b66c68c4baa80c08cde3e402f02" serialType="2"/>
      </m:item>
      <m:placeholder xlName="_PLD_bad00ee915ac432dbbdf14d2f1c44e00" addr="T0R10C0S1_1"/>
      <m:item xlName="_GBC_58a3f806ea3648778303260a98683461" concept="clcid-pte:TanMingKuangQuQuanYiYuanJiaZhangMianYuE" label="探明矿区权益原价账面余额" mulRef="_GBC_3948c664b1134f4fb0d1f7c7f042d70b" unitRef="_GBC_2ecabb9004854a42b2b7a67389aaa952" addr="T0R10C1S1_1" formatStyle="Comma" appId="_GBC_7dce41817eb749dba0d132424020d250">
        <m:complexRule comparator="Eq" title="探明矿区权益原价账面余额" test=" $_GBC_8be7687253ee47c7a033995f25c15560 +  $_GBC_ad4e2a9b9d984fb283946c6154aee2fb -  $_GBC_cf6d36d26c1c4d4c81c4660afde354fc" id="Ca14e2842562e441fb7a7b806b44e9ef5"/>
      </m:item>
      <m:item xlName="_GBC_20f45a895afc4623a862e341569ad352" concept="clcid-pte:WeiTanMingKuangQuQuanYiYuanJiaZhangMianYuE" label="未探明矿区权益原价账面余额" mulRef="_GBC_3948c664b1134f4fb0d1f7c7f042d70b" unitRef="_GBC_2ecabb9004854a42b2b7a67389aaa952" addr="T0R10C2S1_1" formatStyle="Comma" appId="_GBC_7dce41817eb749dba0d132424020d250">
        <m:complexRule comparator="Eq" title="未探明矿区权益原价账面余额" test=" $_GBC_57b8cc60ddad4c04ac531d94637c1549 +  $_GBC_6a44277d77ab4210a989a9e7db85909a -  $_GBC_2cc440b4d0f1464bab7a47b9bc4d7b7e" id="Cbf36200e3d0a488b97c22381324ca782"/>
      </m:item>
      <m:item xlName="_GBC_e1784fab8326482ba3b8087548ff14e8" concept="clcid-pte:JingJiXiangGuanSheShiYuanJiaZhangMianYuE" label="井及相关设施原价账面余额" mulRef="_GBC_3948c664b1134f4fb0d1f7c7f042d70b" unitRef="_GBC_2ecabb9004854a42b2b7a67389aaa952" addr="T0R10C3S1_1" formatStyle="Comma" appId="_GBC_7dce41817eb749dba0d132424020d250">
        <m:complexRule comparator="Eq" title="井及相关设施原价账面余额" test=" $_GBC_fd31dda8a0ff49e690068eb8e73e86a7 +  $_GBC_d7a68c28a0ff4d85a71853bc187e15ba -  $_GBC_a6920792ff5744f48cf2661660ebf25e" id="Ca40cbedd61784edb868c885bac4a8be4"/>
      </m:item>
      <m:item xlName="_GBC_c4873f40aae04bd6a9445d88f0c4c41b" concept="clcid-pte:YouQiZiChanMingXiZhangMianYuE" label="油气资产明细-账面余额" mulRef="_GBC_3948c664b1134f4fb0d1f7c7f042d70b" unitRef="_GBC_2ecabb9004854a42b2b7a67389aaa952" addr="T0R10C4S1_1" formatStyle="Comma" tupleRef="clcid-pte:YouQiZiChanMingXi" appId="_GBC_7dce41817eb749dba0d132424020d250">
        <m:complexRule comparator="Eq" title="油气资产明细-账面余额" test=" $_GBC_761b3825df784ca49ab3e1651d8daf50 +  $_GBC_2c8b541832c14b4a8208575ce74d5067 -  $_GBC_35b64c6115c846479b98285d08234192" id="C107edd03d3fe4bb69817f6a8ab581590"/>
      </m:item>
      <m:item xlName="_GBC_f1f829627e4c4100b49431e927072ae8" concept="clcid-pte:YouQiZiChanYuanJiaHeJiZhangMianYuE" label="油气资产原价合计账面余额" mulRef="_GBC_3948c664b1134f4fb0d1f7c7f042d70b" unitRef="_GBC_2ecabb9004854a42b2b7a67389aaa952" addr="T0R10C5S1_1" formatStyle="Comma" appId="_GBC_7dce41817eb749dba0d132424020d250">
        <m:complexRule comparator="Eq" title="油气资产原价合计账面余额" test=" $_GBC_620645f9f6ae44d0af3fa7080acb3beb +  $_GBC_3daefda58f2344ce8d8823f81e13eed8 -  $_GBC_94998e707cb84662ba46ede02fcd3fa1" id="Cf5764726ab134526908c0aebbc81c5f4"/>
        <m:complexRule comparator="Eq" title="油气资产原价合计账面余额合计" test=" $_GBC_58a3f806ea3648778303260a98683461 +  $_GBC_20f45a895afc4623a862e341569ad352 +  $_GBC_e1784fab8326482ba3b8087548ff14e8 +  $_GBC_c4873f40aae04bd6a9445d88f0c4c41b" id="Ceca78158a14f484288f412d3ed8f209e"/>
      </m:item>
      <m:placeholder xlName="_PLD_4b99d04ae3fe46c29485c07160a2fdd3" addr="T0R11C0S1_1"/>
      <m:placeholder xlName="_PLD_77848a8210b140a5b281b67abf0352c6" addr="T0R12C0S1_1"/>
      <m:item xlName="_GBC_0a50cbbad5624c15a492edae97a2d91c" concept="clcid-pte:TanMingKuangQuQuanYiLeiJiZheHaoZhangMianYuE" label="探明矿区权益累计折耗账面余额" periodRef="本期期初数" mulRef="_GBC_3948c664b1134f4fb0d1f7c7f042d70b" unitRef="_GBC_2ecabb9004854a42b2b7a67389aaa952" addr="T0R12C1S1_1" formatStyle="Comma" appId="_GBC_7dce41817eb749dba0d132424020d250"/>
      <m:item xlName="_GBC_89de6d4ffad64c4c855e807f7d0c42aa" concept="clcid-pte:JingJiXiangGuanSheShiLeiJiZheHaoZhangMianYuE" label="井及相关设施累计折耗账面余额" periodRef="本期期初数" mulRef="_GBC_3948c664b1134f4fb0d1f7c7f042d70b" unitRef="_GBC_2ecabb9004854a42b2b7a67389aaa952" addr="T0R12C3S1_1" formatStyle="Comma" appId="_GBC_7dce41817eb749dba0d132424020d250"/>
      <m:item xlName="_GBC_5da7a30ca4ad45ac9b1d04659f4797e5" concept="clcid-pte:YouQiZiChanMingXiLeiJiZheJiu" label="油气资产明细-累计折旧" periodRef="本期期初数" mulRef="_GBC_3948c664b1134f4fb0d1f7c7f042d70b" unitRef="_GBC_2ecabb9004854a42b2b7a67389aaa952" addr="T0R12C4S1_1" formatStyle="Comma" tupleRef="clcid-pte:YouQiZiChanMingXi" appId="_GBC_7dce41817eb749dba0d132424020d250"/>
      <m:item xlName="_GBC_7d478fb815164be6868c232900153ae9" concept="clcid-pte:YouQiZiChanYuanJiaLeiJiZheHaoHeJiZhangMianYuE" label="油气资产原价累计折耗合计账面余额" periodRef="本期期初数" mulRef="_GBC_3948c664b1134f4fb0d1f7c7f042d70b" unitRef="_GBC_2ecabb9004854a42b2b7a67389aaa952" addr="T0R12C5S1_1" formatStyle="Comma" appId="_GBC_7dce41817eb749dba0d132424020d250">
        <m:complexRule comparator="Eq" title="油气资产原价累计折耗合计账面余额@本期期初数" test=" $_GBC_0a50cbbad5624c15a492edae97a2d91c +  $_GBC_89de6d4ffad64c4c855e807f7d0c42aa +  $_GBC_5da7a30ca4ad45ac9b1d04659f4797e5" id="Cff18b545441341f8abc3bc58ca45051d"/>
      </m:item>
      <m:placeholder xlName="_PLD_01e954e7bac04aa7a0848cba3351d88d" addr="T0R13C0S1_1"/>
      <m:item xlName="_GBC_099e2ab9d64d4f98bf5f8e06843cbbce" concept="clcid-pte:TanMingKuangQuQuanYiLeiJiZheHaoZengJiaE" label="探明矿区权益累计折耗增加额" mulRef="_GBC_3948c664b1134f4fb0d1f7c7f042d70b" unitRef="_GBC_2ecabb9004854a42b2b7a67389aaa952" addr="T0R13C1S1_1" formatStyle="Comma" appId="_GBC_7dce41817eb749dba0d132424020d250">
        <m:complexRule comparator="Eq" title="探明矿区权益累计折耗增加额" test=" $_GBC_6ddd6791e6ad497aab2015cd6ae3ef50 +  $_GBC_35da31cd279745cea43d8b3179773b02" id="C48a9edfc32244404b824ff5e790f0695" serialType="1"/>
      </m:item>
      <m:item xlName="_GBC_8c19b32b51fb4664a799b7a9f5ca5698" concept="clcid-pte:JingJiXiangGuanSheShiLeiJiZheHaoZengJiaE" label="井及相关设施累计折耗增加额" mulRef="_GBC_3948c664b1134f4fb0d1f7c7f042d70b" unitRef="_GBC_2ecabb9004854a42b2b7a67389aaa952" addr="T0R13C3S1_1" formatStyle="Comma" appId="_GBC_7dce41817eb749dba0d132424020d250">
        <m:complexRule comparator="Eq" title="井及相关设施累计折耗增加额" test=" $_GBC_4236b3dbed8a4d34a7f68099c6d09f37 +  $_GBC_975584f57bcf483e8d0c8ff7f8e9a989" id="Ca40a5cfcc2064122bab2ddf90da90251"/>
      </m:item>
      <m:item xlName="_GBC_659f4d45cbe24eb7bd0de393be69fa70" concept="clcid-pte:YouQiZiChanMingXiLeiJiZheJiuZengJia" label="油气资产明细-累计折旧增加" mulRef="_GBC_3948c664b1134f4fb0d1f7c7f042d70b" unitRef="_GBC_2ecabb9004854a42b2b7a67389aaa952" addr="T0R13C4S1_1" formatStyle="Comma" tupleRef="clcid-pte:YouQiZiChanMingXi" appId="_GBC_7dce41817eb749dba0d132424020d250">
        <m:complexRule comparator="Eq" title="油气资产明细-累计折旧增加" test=" $_GBC_bd5d9d7efb59446c97d0f4dab702d211 +  $_GBC_f556477eeb474b99bc721d30df93a810" id="Cafd5d5e351d542e5b89c9588c38cafe4" serialType="1"/>
      </m:item>
      <m:item xlName="_GBC_94aed26b33f84e198f2bceb037e4ad76" concept="clcid-pte:YouQiZiChanYuanJiaLeiJiZheHaoHeJiZengJiaE" label="油气资产原价累计折耗合计增加额" mulRef="_GBC_3948c664b1134f4fb0d1f7c7f042d70b" unitRef="_GBC_2ecabb9004854a42b2b7a67389aaa952" addr="T0R13C5S1_1" formatStyle="Comma" appId="_GBC_7dce41817eb749dba0d132424020d250">
        <m:complexRule comparator="Eq" title="油气资产原价累计折耗合计增加额横向合计" test=" $_GBC_099e2ab9d64d4f98bf5f8e06843cbbce +  $_GBC_8c19b32b51fb4664a799b7a9f5ca5698 +  $_GBC_659f4d45cbe24eb7bd0de393be69fa70" id="C80ac526fba154c7e960f1a291a20c6dc"/>
        <m:complexRule comparator="Eq" title="油气资产原价累计折耗合计增加额" test=" $_GBC_ab89d2fc60444b76bf4eaf58f3aab5b4 +  $_GBC_a0109ec0eb854c3481bf2d29f38a8a94" id="Cd50566246b594ada8484d65ee6c907ac" serialType="1"/>
      </m:item>
      <m:placeholder xlName="_PLD_41e177e5b3554c97b47186e4c12e6b7d" addr="T0R14C0S1_1"/>
      <m:item xlName="_GBC_6ddd6791e6ad497aab2015cd6ae3ef50" concept="clcid-pte:JiTiDaoZhiDeTanMingKuangQuQuanYiLeiJiZheJiuZengJiaE" label="计提导致的探明矿区权益累计折旧增加额" mulRef="_GBC_3948c664b1134f4fb0d1f7c7f042d70b" unitRef="_GBC_2ecabb9004854a42b2b7a67389aaa952" addr="T0R14C1S1_1" formatStyle="Comma" appId="_GBC_7dce41817eb749dba0d132424020d250"/>
      <m:item xlName="_GBC_4236b3dbed8a4d34a7f68099c6d09f37" concept="clcid-pte:JiTiDaoZhiDeJingJiXiangGuanSheShiLeiJiZheJiuZengJiaE" label="计提导致的井及相关设施累计折旧增加额" mulRef="_GBC_3948c664b1134f4fb0d1f7c7f042d70b" unitRef="_GBC_2ecabb9004854a42b2b7a67389aaa952" addr="T0R14C3S1_1" formatStyle="Comma" appId="_GBC_7dce41817eb749dba0d132424020d250"/>
      <m:item xlName="_GBC_bd5d9d7efb59446c97d0f4dab702d211" concept="clcid-pte:YouQiZiChanMingXiJiTiDaoZhiDeLeiJiZheJiuZengJia" label="油气资产明细-计提导致的累计折旧增加" mulRef="_GBC_3948c664b1134f4fb0d1f7c7f042d70b" unitRef="_GBC_2ecabb9004854a42b2b7a67389aaa952" addr="T0R14C4S1_1" formatStyle="Comma" tupleRef="clcid-pte:YouQiZiChanMingXi" appId="_GBC_7dce41817eb749dba0d132424020d250"/>
      <m:item xlName="_GBC_ab89d2fc60444b76bf4eaf58f3aab5b4" concept="clcid-pte:JiTiDaoZhiDeYouQiZiChanLeiJiZheJiuZengJiaE" label="计提导致的油气资产累计折旧增加额" mulRef="_GBC_3948c664b1134f4fb0d1f7c7f042d70b" unitRef="_GBC_2ecabb9004854a42b2b7a67389aaa952" addr="T0R14C5S1_1" formatStyle="Comma" appId="_GBC_7dce41817eb749dba0d132424020d250">
        <m:complexRule comparator="Eq" title="计提导致的油气资产累计折旧增加额" test=" $_GBC_6ddd6791e6ad497aab2015cd6ae3ef50 +  $_GBC_4236b3dbed8a4d34a7f68099c6d09f37 +  $_GBC_bd5d9d7efb59446c97d0f4dab702d211" id="C4c572dee40e94d6aa60279f8e16de6d1"/>
      </m:item>
      <m:item xlName="_GBC_dd14ad7044ad410aa5d0826e78d6b0d6" concept="clcid-pte:YouQiZiChanLeiJiZheJiuZengJiaXiangMuMingCheng1" label="油气资产累计折旧增加项目名称1" addr="T0R15C0S1_1" tagAction="1" formatStyle="Comma" appId="_GBC_7dce41817eb749dba0d132424020d250" isSerialConcept="true" serialDirection="1" serialDefaultCount="2"/>
      <m:item xlName="_GBC_35da31cd279745cea43d8b3179773b02" concept="clcid-pte:YouQiZiChanTanMingKuangQuQuanYiLeiJiZheJiuZengJiaXiangMuJinE1" label="油气资产探明矿区权益累计折旧增加项目金额1" mulRef="_GBC_3948c664b1134f4fb0d1f7c7f042d70b" unitRef="_GBC_2ecabb9004854a42b2b7a67389aaa952" addr="T0R15C1S1_1" tagAction="1" formatStyle="Comma" appId="_GBC_7dce41817eb749dba0d132424020d250" isSerialConcept="true" serialDirection="1"/>
      <m:item xlName="_GBC_975584f57bcf483e8d0c8ff7f8e9a989" concept="clcid-pte:YouQiZiChanJingJiXiangGuanSheShiLeiJiZheJiuZengJiaXiangMuJinE1" label="油气资产井及相关设施累计折旧增加项目金额1" mulRef="_GBC_3948c664b1134f4fb0d1f7c7f042d70b" unitRef="_GBC_2ecabb9004854a42b2b7a67389aaa952" addr="T0R15C3S1_1" tagAction="1" formatStyle="Comma" appId="_GBC_7dce41817eb749dba0d132424020d250" isSerialConcept="true" serialDirection="1"/>
      <m:item xlName="_GBC_f556477eeb474b99bc721d30df93a810" concept="clcid-pte:YouQiZiChanLeiJiZheJiuZengJiaXiangMuJinE1" label="油气资产累计折旧增加项目金额1" mulRef="_GBC_3948c664b1134f4fb0d1f7c7f042d70b" unitRef="_GBC_2ecabb9004854a42b2b7a67389aaa952" addr="T0R15C4S1_1" tagAction="1" formatStyle="Comma" tupleRef="clcid-pte:YouQiZiChanMingXi" appId="_GBC_7dce41817eb749dba0d132424020d250" isSerialConcept="true" serialDirection="1"/>
      <m:item xlName="_GBC_a0109ec0eb854c3481bf2d29f38a8a94" concept="clcid-pte:YouQiZiChanLeiJiZheJiuZengJiaXiangMuHeJiJinE1" label="油气资产累计折旧增加项目合计金额1" mulRef="_GBC_3948c664b1134f4fb0d1f7c7f042d70b" unitRef="_GBC_2ecabb9004854a42b2b7a67389aaa952" addr="T0R15C5S1_1" tagAction="1" formatStyle="Comma" appId="_GBC_7dce41817eb749dba0d132424020d250" isSerialConcept="true" serialDirection="1">
        <m:complexRule comparator="Eq" title="油气资产累计折旧增加项目合计金额1" disabled="true" test=" $_GBC_35da31cd279745cea43d8b3179773b02 +  $_GBC_975584f57bcf483e8d0c8ff7f8e9a989 +  $_GBC_f556477eeb474b99bc721d30df93a810" id="Ccd4bd8c88162411788341b6034ada042" serialType="2"/>
      </m:item>
      <m:placeholder xlName="_PLD_0359d4e9d2bd4aae81a0886d27907cdf" addr="T0R16C0S1_1"/>
      <m:item xlName="_GBC_583ab6387eaf4963b8151e317b5128e1" concept="clcid-pte:TanMingKuangQuQuanYiLeiJiZheHaoJianShaoE" label="探明矿区权益累计折耗减少额" mulRef="_GBC_3948c664b1134f4fb0d1f7c7f042d70b" unitRef="_GBC_2ecabb9004854a42b2b7a67389aaa952" addr="T0R16C1S1_1" formatStyle="Comma" appId="_GBC_7dce41817eb749dba0d132424020d250">
        <m:complexRule comparator="Eq" title="探明矿区权益累计折耗减少额" test=" $_GBC_38c4dfe60031484f91432a76ec089aef +  $_GBC_fae81c5adc24477c94be4c4c396fb152" id="Ceeecd47807c241198a959b6c99a3c9f5" serialType="1"/>
      </m:item>
      <m:item xlName="_GBC_38a05e94ebf14fb2a0fb7b9c012c5f0b" concept="clcid-pte:JingJiXiangGuanSheShiLeiJiZheHaoJianShaoE" label="井及相关设施累计折耗减少额" mulRef="_GBC_3948c664b1134f4fb0d1f7c7f042d70b" unitRef="_GBC_2ecabb9004854a42b2b7a67389aaa952" addr="T0R16C3S1_1" formatStyle="Comma" appId="_GBC_7dce41817eb749dba0d132424020d250">
        <m:complexRule comparator="Eq" title="井及相关设施累计折耗减少额" test=" $_GBC_fe4567a1a0de490f980449b6203f6e98 +  $_GBC_01f7e4d1dbdc4a81839a1cd496586fc7" id="C75346133cb66416f9214b1179c796716" serialType="1"/>
      </m:item>
      <m:item xlName="_GBC_c046e229d5344a23a2b0c55d112c8460" concept="clcid-pte:YouQiZiChanMingXiLeiJiZheJiuJianShao" label="油气资产明细-累计折旧减少" mulRef="_GBC_3948c664b1134f4fb0d1f7c7f042d70b" unitRef="_GBC_2ecabb9004854a42b2b7a67389aaa952" addr="T0R16C4S1_1" formatStyle="Comma" tupleRef="clcid-pte:YouQiZiChanMingXi" appId="_GBC_7dce41817eb749dba0d132424020d250">
        <m:complexRule comparator="Eq" title="油气资产明细-累计折旧减少" test=" $_GBC_0cee57c5577f46db8f45e542064c2ff3 +  $_GBC_0a2f2d3eeb864f6ba28ce516ebdd3067" id="Cdc2c99a07b3b4c59b2040b86c36c1f70" serialType="1"/>
      </m:item>
      <m:item xlName="_GBC_25b95a9011cf43da9794ae8b45784c0b" concept="clcid-pte:YouQiZiChanYuanJiaLeiJiZheHaoHeJiJianShaoE" label="油气资产原价累计折耗合计减少额" mulRef="_GBC_3948c664b1134f4fb0d1f7c7f042d70b" unitRef="_GBC_2ecabb9004854a42b2b7a67389aaa952" addr="T0R16C5S1_1" formatStyle="Comma" appId="_GBC_7dce41817eb749dba0d132424020d250">
        <m:complexRule comparator="Eq" title="油气资产原价累计折耗合计减少额横向合计" test=" $_GBC_583ab6387eaf4963b8151e317b5128e1 +  $_GBC_38a05e94ebf14fb2a0fb7b9c012c5f0b +  $_GBC_c046e229d5344a23a2b0c55d112c8460" id="C063e01ed45dc4e479a50fb3ae40c6403"/>
        <m:complexRule comparator="Eq" title="油气资产原价累计折耗合计减少额" test=" $_GBC_fd82f829f63d4d1d90d867c8c8c1bc56 +  $_GBC_770f8c838f7443c78d11e0a507e10385" id="C039eeb1e5d904339833ba32ea67d9b59" serialType="1"/>
      </m:item>
      <m:placeholder xlName="_PLD_2c0384a722f543b68918ff9a1301b62b" addr="T0R17C0S1_1"/>
      <m:item xlName="_GBC_38c4dfe60031484f91432a76ec089aef" concept="clcid-pte:ChuZhiDaoZhiDeTanMingKuangQuQuanYiLeiJiZheJiuJianShaoE" label="处置导致的探明矿区权益累计折旧减少额" mulRef="_GBC_3948c664b1134f4fb0d1f7c7f042d70b" unitRef="_GBC_2ecabb9004854a42b2b7a67389aaa952" addr="T0R17C1S1_1" formatStyle="Comma" appId="_GBC_7dce41817eb749dba0d132424020d250"/>
      <m:item xlName="_GBC_fe4567a1a0de490f980449b6203f6e98" concept="clcid-pte:ChuZhiDaoZhiDeJingJiXiangGuanSheShiLeiJiZheJiuJianShaoE" label="处置导致的井及相关设施累计折旧减少额" mulRef="_GBC_3948c664b1134f4fb0d1f7c7f042d70b" unitRef="_GBC_2ecabb9004854a42b2b7a67389aaa952" addr="T0R17C3S1_1" formatStyle="Comma" appId="_GBC_7dce41817eb749dba0d132424020d250"/>
      <m:item xlName="_GBC_0cee57c5577f46db8f45e542064c2ff3" concept="clcid-pte:YouQiZiChanMingXiChuZhiDaoZhiDeLeiJiZheJiuJianShao" label="油气资产明细-处置导致的累计折旧减少" mulRef="_GBC_3948c664b1134f4fb0d1f7c7f042d70b" unitRef="_GBC_2ecabb9004854a42b2b7a67389aaa952" addr="T0R17C4S1_1" formatStyle="Comma" tupleRef="clcid-pte:YouQiZiChanMingXi" appId="_GBC_7dce41817eb749dba0d132424020d250"/>
      <m:item xlName="_GBC_fd82f829f63d4d1d90d867c8c8c1bc56" concept="clcid-pte:ChuZhiDaoZhiDeYouQiZiChanLeiJiZheJiuJianShaoE" label="处置导致的油气资产累计折旧减少额" mulRef="_GBC_3948c664b1134f4fb0d1f7c7f042d70b" unitRef="_GBC_2ecabb9004854a42b2b7a67389aaa952" addr="T0R17C5S1_1" formatStyle="Comma" appId="_GBC_7dce41817eb749dba0d132424020d250">
        <m:complexRule comparator="Eq" title="处置导致的油气资产累计折旧减少额" test=" $_GBC_38c4dfe60031484f91432a76ec089aef +  $_GBC_fe4567a1a0de490f980449b6203f6e98 +  $_GBC_0cee57c5577f46db8f45e542064c2ff3" id="Cd53c6a0c44674efcb5c113aec0ac0af9"/>
      </m:item>
      <m:item xlName="_GBC_2fce78cce4904d4a89c8fa04d49d9279" concept="clcid-pte:YouQiZiChanLeiJiZheJiuJianShaoXiangMuMingCheng1" label="油气资产累计折旧减少项目名称1" addr="T0R18C0S1_1" tagAction="1" formatStyle="Comma" appId="_GBC_7dce41817eb749dba0d132424020d250" isSerialConcept="true" serialDirection="1" serialDefaultCount="2"/>
      <m:item xlName="_GBC_fae81c5adc24477c94be4c4c396fb152" concept="clcid-pte:YouQiZiChanTanMingKuangQuQuanYiLeiJiZheJiuJianShaoXiangMuJinE1" label="油气资产探明矿区权益累计折旧减少项目金额1" mulRef="_GBC_3948c664b1134f4fb0d1f7c7f042d70b" unitRef="_GBC_2ecabb9004854a42b2b7a67389aaa952" addr="T0R18C1S1_1" tagAction="1" formatStyle="Comma" appId="_GBC_7dce41817eb749dba0d132424020d250" isSerialConcept="true" serialDirection="1"/>
      <m:item xlName="_GBC_01f7e4d1dbdc4a81839a1cd496586fc7" concept="clcid-pte:YouQiZiChanJingJiXiangGuanSheShiLeiJiZheJiuJianShaoXiangMuJinE1" label="油气资产井及相关设施累计折旧减少项目金额1" mulRef="_GBC_3948c664b1134f4fb0d1f7c7f042d70b" unitRef="_GBC_2ecabb9004854a42b2b7a67389aaa952" addr="T0R18C3S1_1" tagAction="1" formatStyle="Comma" appId="_GBC_7dce41817eb749dba0d132424020d250" isSerialConcept="true" serialDirection="1"/>
      <m:item xlName="_GBC_0a2f2d3eeb864f6ba28ce516ebdd3067" concept="clcid-pte:YouQiZiChanLeiJiZheJiuJianShaoXiangMuJinE1" label="油气资产累计折旧减少项目金额1" mulRef="_GBC_3948c664b1134f4fb0d1f7c7f042d70b" unitRef="_GBC_2ecabb9004854a42b2b7a67389aaa952" addr="T0R18C4S1_1" tagAction="1" formatStyle="Comma" tupleRef="clcid-pte:YouQiZiChanMingXi" appId="_GBC_7dce41817eb749dba0d132424020d250" isSerialConcept="true" serialDirection="1"/>
      <m:item xlName="_GBC_770f8c838f7443c78d11e0a507e10385" concept="clcid-pte:YouQiZiChanLeiJiZheJiuJianShaoXiangMuHeJiJinE1" label="油气资产累计折旧减少项目合计金额1" mulRef="_GBC_3948c664b1134f4fb0d1f7c7f042d70b" unitRef="_GBC_2ecabb9004854a42b2b7a67389aaa952" addr="T0R18C5S1_1" tagAction="1" formatStyle="Comma" appId="_GBC_7dce41817eb749dba0d132424020d250" isSerialConcept="true" serialDirection="1">
        <m:complexRule comparator="Eq" title="油气资产累计折旧减少项目合计金额1" disabled="true" test=" $_GBC_fae81c5adc24477c94be4c4c396fb152 +  $_GBC_01f7e4d1dbdc4a81839a1cd496586fc7 +  $_GBC_0a2f2d3eeb864f6ba28ce516ebdd3067" id="Ca6cbfbc3589842548d9f0363efdbfc47" serialType="2"/>
      </m:item>
      <m:placeholder xlName="_PLD_8b6a083ff4484145be7ce35bac4e97a5" addr="T0R19C0S1_1"/>
      <m:item xlName="_GBC_bc89aada2177484b8b7412a2280e9bb9" concept="clcid-pte:TanMingKuangQuQuanYiLeiJiZheHaoZhangMianYuE" label="探明矿区权益累计折耗账面余额" mulRef="_GBC_3948c664b1134f4fb0d1f7c7f042d70b" unitRef="_GBC_2ecabb9004854a42b2b7a67389aaa952" addr="T0R19C1S1_1" formatStyle="Comma" appId="_GBC_7dce41817eb749dba0d132424020d250">
        <m:complexRule comparator="Eq" title="探明矿区权益累计折耗账面余额" test=" $_GBC_0a50cbbad5624c15a492edae97a2d91c +  $_GBC_099e2ab9d64d4f98bf5f8e06843cbbce -  $_GBC_583ab6387eaf4963b8151e317b5128e1" id="C562459249b6d4b1193940b4a26177d56"/>
      </m:item>
      <m:item xlName="_GBC_a72a731c48ed406a8ba52f28121e54f4" concept="clcid-pte:JingJiXiangGuanSheShiLeiJiZheHaoZhangMianYuE" label="井及相关设施累计折耗账面余额" mulRef="_GBC_3948c664b1134f4fb0d1f7c7f042d70b" unitRef="_GBC_2ecabb9004854a42b2b7a67389aaa952" addr="T0R19C3S1_1" formatStyle="Comma" appId="_GBC_7dce41817eb749dba0d132424020d250">
        <m:complexRule comparator="Eq" title="井及相关设施累计折耗账面余额" test=" $_GBC_89de6d4ffad64c4c855e807f7d0c42aa +  $_GBC_8c19b32b51fb4664a799b7a9f5ca5698 -  $_GBC_38a05e94ebf14fb2a0fb7b9c012c5f0b" id="Caab9e1c7391b48bbb15bdb63cb0feada"/>
      </m:item>
      <m:item xlName="_GBC_b92538dd1c174601b07bbba559b28fd4" concept="clcid-pte:YouQiZiChanMingXiLeiJiZheJiu" label="油气资产明细-累计折旧" mulRef="_GBC_3948c664b1134f4fb0d1f7c7f042d70b" unitRef="_GBC_2ecabb9004854a42b2b7a67389aaa952" addr="T0R19C4S1_1" formatStyle="Comma" tupleRef="clcid-pte:YouQiZiChanMingXi" appId="_GBC_7dce41817eb749dba0d132424020d250">
        <m:complexRule comparator="Eq" title="油气资产明细-累计折旧" test=" $_GBC_5da7a30ca4ad45ac9b1d04659f4797e5 +  $_GBC_659f4d45cbe24eb7bd0de393be69fa70 -  $_GBC_c046e229d5344a23a2b0c55d112c8460" id="C91601c5ab6a24f63afbe610e04dde9ad"/>
      </m:item>
      <m:item xlName="_GBC_69495194f6b04696a7b25801935abadb" concept="clcid-pte:YouQiZiChanYuanJiaLeiJiZheHaoHeJiZhangMianYuE" label="油气资产原价累计折耗合计账面余额" mulRef="_GBC_3948c664b1134f4fb0d1f7c7f042d70b" unitRef="_GBC_2ecabb9004854a42b2b7a67389aaa952" addr="T0R19C5S1_1" formatStyle="Comma" appId="_GBC_7dce41817eb749dba0d132424020d250">
        <m:complexRule comparator="Eq" title="油气资产原价累计折耗合计账面余额" test=" $_GBC_7d478fb815164be6868c232900153ae9 +  $_GBC_94aed26b33f84e198f2bceb037e4ad76 -  $_GBC_25b95a9011cf43da9794ae8b45784c0b" id="C9d189235464c4c2cbd6b4a23666250b3"/>
        <m:complexRule comparator="Eq" title="油气资产原价累计折耗合计账面余额横向合计" test=" $_GBC_bc89aada2177484b8b7412a2280e9bb9 +  $_GBC_a72a731c48ed406a8ba52f28121e54f4 +  $_GBC_b92538dd1c174601b07bbba559b28fd4" id="C3190079962a44035b3e5752bbed5131f"/>
      </m:item>
      <m:placeholder xlName="_PLD_629f1fdf735e4016beeafedd21c654a6" addr="T0R20C0S1_1"/>
      <m:placeholder xlName="_PLD_9e31f1a700de4406a51931b4c8ec7d64" addr="T0R21C0S1_1"/>
      <m:item xlName="_GBC_3d960548dd034ce6bcea662ce425e80e" concept="clcid-pte:TanMingKuangQuQuanYiJianZhiZhunBeiLeiJiZhangMianYuE" label="探明矿区权益减值准备累计账面余额" periodRef="本期期初数" mulRef="_GBC_3948c664b1134f4fb0d1f7c7f042d70b" unitRef="_GBC_2ecabb9004854a42b2b7a67389aaa952" addr="T0R21C1S1_1" formatStyle="Comma" appId="_GBC_7dce41817eb749dba0d132424020d250"/>
      <m:item xlName="_GBC_c3e39f57a4fe45948649b4368ac996ee" concept="clcid-pte:WeiTanMingKuangQuQuanYiJianZhiZhunBeiLeiJiZhangMianYuE" label="未探明矿区权益减值准备累计账面余额" periodRef="本期期初数" mulRef="_GBC_3948c664b1134f4fb0d1f7c7f042d70b" unitRef="_GBC_2ecabb9004854a42b2b7a67389aaa952" addr="T0R21C2S1_1" formatStyle="Comma" appId="_GBC_7dce41817eb749dba0d132424020d250"/>
      <m:item xlName="_GBC_b8b715dbcf5e44f498728f1dc85ae468" concept="clcid-pte:JingJiXiangGuanSheShiJianZhiZhunBeiLeiJiZhangMianYuE" label="井及相关设施减值准备累计账面余额" periodRef="本期期初数" mulRef="_GBC_3948c664b1134f4fb0d1f7c7f042d70b" unitRef="_GBC_2ecabb9004854a42b2b7a67389aaa952" addr="T0R21C3S1_1" formatStyle="Comma" appId="_GBC_7dce41817eb749dba0d132424020d250"/>
      <m:item xlName="_GBC_ca174996c9ef480fbd7be75f03c49aee" concept="clcid-pte:YouQiZiChanMingXiJianZhiZhunBei" label="油气资产明细-减值准备" periodRef="本期期初数" mulRef="_GBC_3948c664b1134f4fb0d1f7c7f042d70b" unitRef="_GBC_2ecabb9004854a42b2b7a67389aaa952" addr="T0R21C4S1_1" formatStyle="Comma" tupleRef="clcid-pte:YouQiZiChanMingXi" appId="_GBC_7dce41817eb749dba0d132424020d250"/>
      <m:item xlName="_GBC_aacd3f386cd445c9942be42eb695bb9b" concept="clcid-pte:YouQiZiChanJianZhiZhunBeiYuEHeJi" label="油气资产减值准备余额合计" periodRef="本期期初数" mulRef="_GBC_3948c664b1134f4fb0d1f7c7f042d70b" unitRef="_GBC_2ecabb9004854a42b2b7a67389aaa952" addr="T0R21C5S1_1" formatStyle="Comma" appId="_GBC_7dce41817eb749dba0d132424020d250">
        <m:complexRule comparator="Eq" title="油气资产减值准备余额合计@本期期初数" test=" $_GBC_3d960548dd034ce6bcea662ce425e80e +  $_GBC_c3e39f57a4fe45948649b4368ac996ee +  $_GBC_b8b715dbcf5e44f498728f1dc85ae468 +  $_GBC_ca174996c9ef480fbd7be75f03c49aee" id="Cff48958d4f6a4d4182a61165a8b5cbc7"/>
      </m:item>
      <m:placeholder xlName="_PLD_211e54964a9a45bcb252c59ae90bcc6f" addr="T0R22C0S1_1"/>
      <m:item xlName="_GBC_70bfd5b282bf4e46b5350001c3146df2" concept="clcid-pte:TanMingKuangQuQuanYiJianZhiZhunBeiLeiJiZengJiaE" label="探明矿区权益减值准备累计增加额" mulRef="_GBC_3948c664b1134f4fb0d1f7c7f042d70b" unitRef="_GBC_2ecabb9004854a42b2b7a67389aaa952" addr="T0R22C1S1_1" formatStyle="Comma" appId="_GBC_7dce41817eb749dba0d132424020d250">
        <m:complexRule comparator="Eq" title="探明矿区权益减值准备累计增加额" test=" $_GBC_f859439c118248c08b46efd269c9adc0 +  $_GBC_4d38fb349ba74ddd9fbc6d89bb8536ff" id="C346455e97cda41baa0e40f4331ae22be" serialType="1"/>
      </m:item>
      <m:item xlName="_GBC_6a47ab167be7470fbdc54d4df794e14d" concept="clcid-pte:WeiTanMingKuangQuQuanYiJianZhiZhunBeiLeiJiZengJiaE" label="未探明矿区权益减值准备累计增加额" mulRef="_GBC_3948c664b1134f4fb0d1f7c7f042d70b" unitRef="_GBC_2ecabb9004854a42b2b7a67389aaa952" addr="T0R22C2S1_1" formatStyle="Comma" appId="_GBC_7dce41817eb749dba0d132424020d250">
        <m:complexRule comparator="Eq" title="未探明矿区权益减值准备累计增加额" test=" $_GBC_11ece5dd527f4fc49578c325220ea7c4 +  $_GBC_0ef7c0084e25409ebe5dddf9762c1004" id="Cb7c68b47c1534dae886bb8259efdc4d4" serialType="1"/>
      </m:item>
      <m:item xlName="_GBC_13ec7b39972b4a4298e1cc6e386c1703" concept="clcid-pte:JingJiXiangGuanSheShiJianZhiZhunBeiLeiJiZengJiaE" label="井及相关设施减值准备累计增加额" mulRef="_GBC_3948c664b1134f4fb0d1f7c7f042d70b" unitRef="_GBC_2ecabb9004854a42b2b7a67389aaa952" addr="T0R22C3S1_1" formatStyle="Comma" appId="_GBC_7dce41817eb749dba0d132424020d250">
        <m:complexRule comparator="Eq" title="井及相关设施减值准备累计增加额" test=" $_GBC_92665b747bb64d3fb72292417e5150b1 +  $_GBC_f5cf573023874272964c8fbd8b1ed0d3" id="C0fd0a71c5c1e46b988b7fa5d659ee14f" serialType="1"/>
      </m:item>
      <m:item xlName="_GBC_26e4421ed5c84d53bad4e2a681b1520f" concept="clcid-pte:YouQiZiChanMingXiJianZhiZhunBeiZengJia" label="油气资产明细-减值准备增加" mulRef="_GBC_3948c664b1134f4fb0d1f7c7f042d70b" unitRef="_GBC_2ecabb9004854a42b2b7a67389aaa952" addr="T0R22C4S1_1" formatStyle="Comma" tupleRef="clcid-pte:YouQiZiChanMingXi" appId="_GBC_7dce41817eb749dba0d132424020d250">
        <m:complexRule comparator="Eq" title="油气资产明细-减值准备增加" test=" $_GBC_417395812bcf476b8462bce0d980ee3e +  $_GBC_aa4b1347c6464088a843aa2426bb76e5" id="C1aaac1910fd74e26bb21ec700c44cac8" serialType="1"/>
      </m:item>
      <m:item xlName="_GBC_86a6d1d4cfc14b96a07f149c98128914" concept="clcid-pte:YouQiZiChanJianZhiZhunBeiZengJiaShu" label="油气资产减值准备增加数" mulRef="_GBC_3948c664b1134f4fb0d1f7c7f042d70b" unitRef="_GBC_2ecabb9004854a42b2b7a67389aaa952" addr="T0R22C5S1_1" formatStyle="Comma" appId="_GBC_7dce41817eb749dba0d132424020d250">
        <m:complexRule comparator="Eq" title="油气资产减值准备增加数横向合计" test=" $_GBC_70bfd5b282bf4e46b5350001c3146df2 +  $_GBC_6a47ab167be7470fbdc54d4df794e14d +  $_GBC_13ec7b39972b4a4298e1cc6e386c1703 +  $_GBC_26e4421ed5c84d53bad4e2a681b1520f" id="Ccfd6e00e4d88478a9785f097d419826e"/>
        <m:complexRule comparator="Eq" title="油气资产减值准备增加数" test=" $_GBC_46f1274dbef347dcbc2f8dd09671ca4d +  $_GBC_e0a768a84d1b4b6a8c45727aa725f4bc" id="Ccb87691dc70b491e949d4faa29483351" serialType="1"/>
      </m:item>
      <m:placeholder xlName="_PLD_37c9ad81b0354ae6beb61ba90bace06e" addr="T0R23C0S1_1"/>
      <m:item xlName="_GBC_f859439c118248c08b46efd269c9adc0" concept="clcid-pte:JiTiDaoZhiDeTanMingKuangQuQuanYiJianZhiZhunBeiZengJiaE" label="计提导致的探明矿区权益减值准备增加额" mulRef="_GBC_3948c664b1134f4fb0d1f7c7f042d70b" unitRef="_GBC_2ecabb9004854a42b2b7a67389aaa952" addr="T0R23C1S1_1" formatStyle="Comma" appId="_GBC_7dce41817eb749dba0d132424020d250"/>
      <m:item xlName="_GBC_11ece5dd527f4fc49578c325220ea7c4" concept="clcid-pte:JiTiDaoZhiDeWeiTanMingKuangQuQuanYiJianZhiZhunBeiZengJiaE" label="计提导致的未探明矿区权益减值准备增加额" mulRef="_GBC_3948c664b1134f4fb0d1f7c7f042d70b" unitRef="_GBC_2ecabb9004854a42b2b7a67389aaa952" addr="T0R23C2S1_1" formatStyle="Comma" appId="_GBC_7dce41817eb749dba0d132424020d250"/>
      <m:item xlName="_GBC_92665b747bb64d3fb72292417e5150b1" concept="clcid-pte:JiTiDaoZhiDeJingJiXiangGuanSheShiJianZhiZhunBeiZengJiaE" label="计提导致的井及相关设施减值准备增加额" mulRef="_GBC_3948c664b1134f4fb0d1f7c7f042d70b" unitRef="_GBC_2ecabb9004854a42b2b7a67389aaa952" addr="T0R23C3S1_1" formatStyle="Comma" appId="_GBC_7dce41817eb749dba0d132424020d250"/>
      <m:item xlName="_GBC_417395812bcf476b8462bce0d980ee3e" concept="clcid-pte:YouQiZiChanMingXiJiTiDaoZhiJianZhiZhunBeiZengJia" label="油气资产明细-计提导致减值准备增加" mulRef="_GBC_3948c664b1134f4fb0d1f7c7f042d70b" unitRef="_GBC_2ecabb9004854a42b2b7a67389aaa952" addr="T0R23C4S1_1" formatStyle="Comma" tupleRef="clcid-pte:YouQiZiChanMingXi" appId="_GBC_7dce41817eb749dba0d132424020d250"/>
      <m:item xlName="_GBC_46f1274dbef347dcbc2f8dd09671ca4d" concept="clcid-pte:JiTiDaoZhiDeYouQiZiChanJianZhiZhunBeiZengJiaE" label="计提导致的油气资产减值准备增加额" mulRef="_GBC_3948c664b1134f4fb0d1f7c7f042d70b" unitRef="_GBC_2ecabb9004854a42b2b7a67389aaa952" addr="T0R23C5S1_1" formatStyle="Comma" appId="_GBC_7dce41817eb749dba0d132424020d250"/>
      <m:item xlName="_GBC_2a89001e32e8432ab63a588e7de490cf" concept="clcid-pte:YouQiZiChanJianZhiZhunBeiZengJiaXiangMuMingCheng1" label="油气资产减值准备增加项目名称1" addr="T0R24C0S1_1" tagAction="1" formatStyle="Comma" appId="_GBC_7dce41817eb749dba0d132424020d250" isSerialConcept="true" serialDirection="1" serialDefaultCount="2"/>
      <m:item xlName="_GBC_4d38fb349ba74ddd9fbc6d89bb8536ff" concept="clcid-pte:YouQiZiChanTanMingKuangQuQuanYiJianZhiZhunBeiZengJiaXiangMuJinE1" label="油气资产探明矿区权益减值准备增加项目金额1" mulRef="_GBC_3948c664b1134f4fb0d1f7c7f042d70b" unitRef="_GBC_2ecabb9004854a42b2b7a67389aaa952" addr="T0R24C1S1_1" tagAction="1" formatStyle="Comma" appId="_GBC_7dce41817eb749dba0d132424020d250" isSerialConcept="true" serialDirection="1"/>
      <m:item xlName="_GBC_0ef7c0084e25409ebe5dddf9762c1004" concept="clcid-pte:YouQiZiChanWeiTanMingKuangQuQuanYiJianZhiZhunBeiZengJiaXiangMuJinE1" label="油气资产未探明矿区权益减值准备增加项目金额1" mulRef="_GBC_3948c664b1134f4fb0d1f7c7f042d70b" unitRef="_GBC_2ecabb9004854a42b2b7a67389aaa952" addr="T0R24C2S1_1" tagAction="1" formatStyle="Comma" appId="_GBC_7dce41817eb749dba0d132424020d250" isSerialConcept="true" serialDirection="1"/>
      <m:item xlName="_GBC_f5cf573023874272964c8fbd8b1ed0d3" concept="clcid-pte:YouQiZiChanJingJiXiangGuanSheShiJianZhiZhunBeiZengJiaXiangMuJinE1" label="油气资产井及相关设施减值准备增加项目金额1" mulRef="_GBC_3948c664b1134f4fb0d1f7c7f042d70b" unitRef="_GBC_2ecabb9004854a42b2b7a67389aaa952" addr="T0R24C3S1_1" tagAction="1" formatStyle="Comma" appId="_GBC_7dce41817eb749dba0d132424020d250" isSerialConcept="true" serialDirection="1"/>
      <m:item xlName="_GBC_aa4b1347c6464088a843aa2426bb76e5" concept="clcid-pte:YouQiZiChanJianZhiZhunBeiZengJiaXiangMuJinE1" label="油气资产减值准备增加项目金额1" mulRef="_GBC_3948c664b1134f4fb0d1f7c7f042d70b" unitRef="_GBC_2ecabb9004854a42b2b7a67389aaa952" addr="T0R24C4S1_1" tagAction="1" formatStyle="Comma" tupleRef="clcid-pte:YouQiZiChanMingXi" appId="_GBC_7dce41817eb749dba0d132424020d250" isSerialConcept="true" serialDirection="1"/>
      <m:item xlName="_GBC_e0a768a84d1b4b6a8c45727aa725f4bc" concept="clcid-pte:YouQiZiChanJianZhiZhunBeiZengJiaXiangMuHeJiJinE1" label="油气资产减值准备增加项目合计金额1" mulRef="_GBC_3948c664b1134f4fb0d1f7c7f042d70b" unitRef="_GBC_2ecabb9004854a42b2b7a67389aaa952" addr="T0R24C5S1_1" tagAction="1" formatStyle="Comma" appId="_GBC_7dce41817eb749dba0d132424020d250" isSerialConcept="true" serialDirection="1"/>
      <m:placeholder xlName="_PLD_a0308d9b6bf949fc962bdaa5cf4eb7c1" addr="T0R25C0S1_1"/>
      <m:item xlName="_GBC_f04345e7753540b8ac98ea9daf01243a" concept="clcid-pte:TanMingKuangQuQuanYiJianZhiZhunBeiLeiJiJianShaoE" label="探明矿区权益减值准备累计减少额" mulRef="_GBC_3948c664b1134f4fb0d1f7c7f042d70b" unitRef="_GBC_2ecabb9004854a42b2b7a67389aaa952" addr="T0R25C1S1_1" formatStyle="Comma" appId="_GBC_7dce41817eb749dba0d132424020d250">
        <m:complexRule comparator="Eq" title="探明矿区权益减值准备累计减少额" test=" $_GBC_e6319675598a44ff89829378b2edd4ba +  $_GBC_5e4a218b1d984785bbe506abfa6d6914" id="C1cdf29361be1421c8f025481d161d502" serialType="1"/>
      </m:item>
      <m:item xlName="_GBC_1120155c4f994a738c25989246abd389" concept="clcid-pte:WeiTanMingKuangQuQuanYiJianZhiZhunBeiLeiJiJianShaoE" label="未探明矿区权益减值准备累计减少额" mulRef="_GBC_3948c664b1134f4fb0d1f7c7f042d70b" unitRef="_GBC_2ecabb9004854a42b2b7a67389aaa952" addr="T0R25C2S1_1" formatStyle="Comma" appId="_GBC_7dce41817eb749dba0d132424020d250">
        <m:complexRule comparator="Eq" title="未探明矿区权益减值准备累计减少额" test=" $_GBC_fa7d30ccc03947dd897ba334d357bbe5 +  $_GBC_2e42a19e0f0e41e0a5160c8780092315" id="C48859f21e3a34ad8b797b81d1cc53f0d" serialType="1"/>
      </m:item>
      <m:item xlName="_GBC_9da099cdc1e247e195431af119bbc617" concept="clcid-pte:JingJiXiangGuanSheShiJianZhiZhunBeiLeiJiJianShaoE" label="井及相关设施减值准备累计减少额" mulRef="_GBC_3948c664b1134f4fb0d1f7c7f042d70b" unitRef="_GBC_2ecabb9004854a42b2b7a67389aaa952" addr="T0R25C3S1_1" formatStyle="Comma" appId="_GBC_7dce41817eb749dba0d132424020d250">
        <m:complexRule comparator="Eq" title="井及相关设施减值准备累计减少额" test=" $_GBC_954dc3e453ad4f41be23164f509ff49c +  $_GBC_46b501200e934d49b9ab1dde8bce6ce0" id="Cbb8c5efbe416441dad79a4915f350808" serialType="1"/>
      </m:item>
      <m:item xlName="_GBC_f1221a19043e42a1af533d32426953c7" concept="clcid-pte:YouQiZiChanMingXiJianZhiZhunBeiJianShao" label="油气资产明细-减值准备减少" mulRef="_GBC_3948c664b1134f4fb0d1f7c7f042d70b" unitRef="_GBC_2ecabb9004854a42b2b7a67389aaa952" addr="T0R25C4S1_1" formatStyle="Comma" tupleRef="clcid-pte:YouQiZiChanMingXi" appId="_GBC_7dce41817eb749dba0d132424020d250">
        <m:complexRule comparator="Eq" title="油气资产明细-减值准备减少" test=" $_GBC_39dd164d3a1f4a4e873979a5cb091117 +  $_GBC_a852e61cab2b423e9e0ba208fe7d1a80" id="C6305a6352e144c4e8445539c3aceeaf3" serialType="1"/>
      </m:item>
      <m:item xlName="_GBC_cfa3450e889d41098b5a98b0230421fa" concept="clcid-pte:YouQiZiChanYuanJiaJianZhiZhunBeiLeiJiHeJiJianShaoE" label="油气资产原价减值准备累计合计减少额" mulRef="_GBC_3948c664b1134f4fb0d1f7c7f042d70b" unitRef="_GBC_2ecabb9004854a42b2b7a67389aaa952" addr="T0R25C5S1_1" formatStyle="Comma" appId="_GBC_7dce41817eb749dba0d132424020d250">
        <m:complexRule comparator="Eq" title="油气资产原价减值准备累计合计减少额横向合计" test=" $_GBC_f04345e7753540b8ac98ea9daf01243a +  $_GBC_1120155c4f994a738c25989246abd389 +  $_GBC_9da099cdc1e247e195431af119bbc617 +  $_GBC_f1221a19043e42a1af533d32426953c7" id="C69e46cd0b97f40bf946575276455b611"/>
        <m:complexRule comparator="Eq" title="油气资产原价减值准备累计合计减少额" test=" $_GBC_cb6c889d2b334bd08c04de65ee801be8 +  $_GBC_f5bf126b85204bfbaa1a54cc95c9bf2d" id="Cba06f4d2cf074651a86687df407842a4" serialType="1"/>
      </m:item>
      <m:placeholder xlName="_PLD_d3d40e09b2ad43d69bf0bec7b614727a" addr="T0R26C0S1_1"/>
      <m:item xlName="_GBC_e6319675598a44ff89829378b2edd4ba" concept="clcid-pte:ChuZhiDaoZhiDeTanMingKuangQuQuanYiJianZhiZhunBeiJianShaoE" label="处置导致的探明矿区权益减值准备减少额" mulRef="_GBC_3948c664b1134f4fb0d1f7c7f042d70b" unitRef="_GBC_2ecabb9004854a42b2b7a67389aaa952" addr="T0R26C1S1_1" formatStyle="Comma" appId="_GBC_7dce41817eb749dba0d132424020d250"/>
      <m:item xlName="_GBC_fa7d30ccc03947dd897ba334d357bbe5" concept="clcid-pte:ChuZhiDaoZhiDeWeiTanMingKuangQuQuanYiJianZhiZhunBeiJianShaoE" label="处置导致的未探明矿区权益减值准备减少额" mulRef="_GBC_3948c664b1134f4fb0d1f7c7f042d70b" unitRef="_GBC_2ecabb9004854a42b2b7a67389aaa952" addr="T0R26C2S1_1" formatStyle="Comma" appId="_GBC_7dce41817eb749dba0d132424020d250"/>
      <m:item xlName="_GBC_954dc3e453ad4f41be23164f509ff49c" concept="clcid-pte:ChuZhiDaoZhiDeJingJiXiangGuanSheShiJianZhiZhunBeiJianShaoE" label="处置导致的井及相关设施减值准备减少额" mulRef="_GBC_3948c664b1134f4fb0d1f7c7f042d70b" unitRef="_GBC_2ecabb9004854a42b2b7a67389aaa952" addr="T0R26C3S1_1" formatStyle="Comma" appId="_GBC_7dce41817eb749dba0d132424020d250"/>
      <m:item xlName="_GBC_39dd164d3a1f4a4e873979a5cb091117" concept="clcid-pte:YouQiZiChanMingXiChuZhiDaoZhiJianZhiZhunBeiJianShao" label="油气资产明细-处置导致减值准备减少" mulRef="_GBC_3948c664b1134f4fb0d1f7c7f042d70b" unitRef="_GBC_2ecabb9004854a42b2b7a67389aaa952" addr="T0R26C4S1_1" formatStyle="Comma" tupleRef="clcid-pte:YouQiZiChanMingXi" appId="_GBC_7dce41817eb749dba0d132424020d250"/>
      <m:item xlName="_GBC_cb6c889d2b334bd08c04de65ee801be8" concept="clcid-pte:ChuZhiDaoZhiDeYouQiZiChanJianZhiZhunBeiJianShaoE" label="处置导致的油气资产减值准备减少额" mulRef="_GBC_3948c664b1134f4fb0d1f7c7f042d70b" unitRef="_GBC_2ecabb9004854a42b2b7a67389aaa952" addr="T0R26C5S1_1" formatStyle="Comma" appId="_GBC_7dce41817eb749dba0d132424020d250"/>
      <m:item xlName="_GBC_8e8dc8f240014368927939e653c6cd4a" concept="clcid-pte:YouQiZiChanJianZhiZhunBeiJianShaoXiangMuMingCheng1" label="油气资产减值准备减少项目名称1" addr="T0R27C0S1_1" tagAction="1" formatStyle="Comma" appId="_GBC_7dce41817eb749dba0d132424020d250" isSerialConcept="true" serialDirection="1" serialDefaultCount="2"/>
      <m:item xlName="_GBC_5e4a218b1d984785bbe506abfa6d6914" concept="clcid-pte:YouQiZiChanTanMingKuangQuQuanYiJianZhiZhunBeiJianShaoXiangMuJinE1" label="油气资产探明矿区权益减值准备减少项目金额1" mulRef="_GBC_3948c664b1134f4fb0d1f7c7f042d70b" unitRef="_GBC_2ecabb9004854a42b2b7a67389aaa952" addr="T0R27C1S1_1" tagAction="1" formatStyle="Comma" appId="_GBC_7dce41817eb749dba0d132424020d250" isSerialConcept="true" serialDirection="1"/>
      <m:item xlName="_GBC_2e42a19e0f0e41e0a5160c8780092315" concept="clcid-pte:YouQiZiChanWeiTanMingKuangQuQuanYiJianZhiZhunBeiJianShaoXiangMuJinE1" label="油气资产未探明矿区权益减值准备减少项目金额1" mulRef="_GBC_3948c664b1134f4fb0d1f7c7f042d70b" unitRef="_GBC_2ecabb9004854a42b2b7a67389aaa952" addr="T0R27C2S1_1" tagAction="1" formatStyle="Comma" appId="_GBC_7dce41817eb749dba0d132424020d250" isSerialConcept="true" serialDirection="1"/>
      <m:item xlName="_GBC_46b501200e934d49b9ab1dde8bce6ce0" concept="clcid-pte:YouQiZiChanJingJiXiangGuanSheShiJianZhiZhunBeiJianShaoXiangMuJinE1" label="油气资产井及相关设施减值准备减少项目金额1" mulRef="_GBC_3948c664b1134f4fb0d1f7c7f042d70b" unitRef="_GBC_2ecabb9004854a42b2b7a67389aaa952" addr="T0R27C3S1_1" tagAction="1" formatStyle="Comma" appId="_GBC_7dce41817eb749dba0d132424020d250" isSerialConcept="true" serialDirection="1"/>
      <m:item xlName="_GBC_a852e61cab2b423e9e0ba208fe7d1a80" concept="clcid-pte:YouQiZiChanJianZhiZhunBeiJianShaoXiangMuJinE1" label="油气资产减值准备减少项目金额1" mulRef="_GBC_3948c664b1134f4fb0d1f7c7f042d70b" unitRef="_GBC_2ecabb9004854a42b2b7a67389aaa952" addr="T0R27C4S1_1" tagAction="1" formatStyle="Comma" tupleRef="clcid-pte:YouQiZiChanMingXi" appId="_GBC_7dce41817eb749dba0d132424020d250" isSerialConcept="true" serialDirection="1"/>
      <m:item xlName="_GBC_f5bf126b85204bfbaa1a54cc95c9bf2d" concept="clcid-pte:YouQiZiChanJianZhiZhunBeiJianShaoXiangMuHeJiJinE1" label="油气资产减值准备减少项目合计金额1" mulRef="_GBC_3948c664b1134f4fb0d1f7c7f042d70b" unitRef="_GBC_2ecabb9004854a42b2b7a67389aaa952" addr="T0R27C5S1_1" tagAction="1" formatStyle="Comma" appId="_GBC_7dce41817eb749dba0d132424020d250" isSerialConcept="true" serialDirection="1"/>
      <m:placeholder xlName="_PLD_47b38fdc50754c7990dddcefafefd05b" addr="T0R28C0S1_1"/>
      <m:item xlName="_GBC_1e88123ac07e4f57b1be167df2802e58" concept="clcid-pte:TanMingKuangQuQuanYiJianZhiZhunBeiLeiJiZhangMianYuE" label="探明矿区权益减值准备累计账面余额" mulRef="_GBC_3948c664b1134f4fb0d1f7c7f042d70b" unitRef="_GBC_2ecabb9004854a42b2b7a67389aaa952" addr="T0R28C1S1_1" formatStyle="Comma" appId="_GBC_7dce41817eb749dba0d132424020d250">
        <m:complexRule comparator="Eq" title="探明矿区权益减值准备累计账面余额" test=" $_GBC_3d960548dd034ce6bcea662ce425e80e +  $_GBC_70bfd5b282bf4e46b5350001c3146df2 -  $_GBC_f04345e7753540b8ac98ea9daf01243a" id="C375b2267fdc94108b59f7bc8de283489"/>
      </m:item>
      <m:item xlName="_GBC_93dd12685aaf4fad83cfcba90c4ad201" concept="clcid-pte:WeiTanMingKuangQuQuanYiJianZhiZhunBeiLeiJiZhangMianYuE" label="未探明矿区权益减值准备累计账面余额" mulRef="_GBC_3948c664b1134f4fb0d1f7c7f042d70b" unitRef="_GBC_2ecabb9004854a42b2b7a67389aaa952" addr="T0R28C2S1_1" formatStyle="Comma" appId="_GBC_7dce41817eb749dba0d132424020d250">
        <m:complexRule comparator="Eq" title="未探明矿区权益减值准备累计账面余额" test=" $_GBC_c3e39f57a4fe45948649b4368ac996ee +  $_GBC_6a47ab167be7470fbdc54d4df794e14d -  $_GBC_1120155c4f994a738c25989246abd389" id="Ce74dcb9dc1c74687b8c87c4b8ff05f99"/>
      </m:item>
      <m:item xlName="_GBC_f31a6947a51a4334869d20078ff4137d" concept="clcid-pte:JingJiXiangGuanSheShiJianZhiZhunBeiLeiJiZhangMianYuE" label="井及相关设施减值准备累计账面余额" mulRef="_GBC_3948c664b1134f4fb0d1f7c7f042d70b" unitRef="_GBC_2ecabb9004854a42b2b7a67389aaa952" addr="T0R28C3S1_1" formatStyle="Comma" appId="_GBC_7dce41817eb749dba0d132424020d250">
        <m:complexRule comparator="Eq" title="井及相关设施减值准备累计账面余额" test=" $_GBC_b8b715dbcf5e44f498728f1dc85ae468 +  $_GBC_13ec7b39972b4a4298e1cc6e386c1703 -  $_GBC_9da099cdc1e247e195431af119bbc617" id="C9259f7ba05c14d589eda11151fc2c0fa"/>
      </m:item>
      <m:item xlName="_GBC_fed1a6fba55c4ed089cb4dde95d3eb6d" concept="clcid-pte:YouQiZiChanMingXiJianZhiZhunBei" label="油气资产明细-减值准备" mulRef="_GBC_3948c664b1134f4fb0d1f7c7f042d70b" unitRef="_GBC_2ecabb9004854a42b2b7a67389aaa952" addr="T0R28C4S1_1" formatStyle="Comma" tupleRef="clcid-pte:YouQiZiChanMingXi" appId="_GBC_7dce41817eb749dba0d132424020d250">
        <m:complexRule comparator="Eq" title="油气资产明细-减值准备" test=" $_GBC_ca174996c9ef480fbd7be75f03c49aee +  $_GBC_26e4421ed5c84d53bad4e2a681b1520f -  $_GBC_f1221a19043e42a1af533d32426953c7" id="C938f30100ac54cc79bf9e49521bac5d0"/>
      </m:item>
      <m:item xlName="_GBC_eebac1e647ae4b87ba662d7b129b5a49" concept="clcid-pte:YouQiZiChanJianZhiZhunBeiYuEHeJi" label="油气资产减值准备余额合计" mulRef="_GBC_3948c664b1134f4fb0d1f7c7f042d70b" unitRef="_GBC_2ecabb9004854a42b2b7a67389aaa952" addr="T0R28C5S1_1" formatStyle="Comma" appId="_GBC_7dce41817eb749dba0d132424020d250">
        <m:complexRule comparator="Eq" title="油气资产减值准备余额合计" test=" $_GBC_aacd3f386cd445c9942be42eb695bb9b +  $_GBC_86a6d1d4cfc14b96a07f149c98128914 -  $_GBC_cfa3450e889d41098b5a98b0230421fa" id="Cee5edda58e73460a8ba38389c0256681"/>
        <m:complexRule comparator="Eq" title="油气资产减值准备余额合计横向合计" test=" $_GBC_1e88123ac07e4f57b1be167df2802e58 +  $_GBC_93dd12685aaf4fad83cfcba90c4ad201 +  $_GBC_f31a6947a51a4334869d20078ff4137d +  $_GBC_fed1a6fba55c4ed089cb4dde95d3eb6d" id="C35a5f76ac9244d4b904f03a56a775a1e"/>
      </m:item>
      <m:placeholder xlName="_PLD_947403db8c96478f9d4d18e8751c7997" addr="T0R29C0S1_1"/>
      <m:placeholder xlName="_PLD_d91b27edb042428fa3541e1fadde302d" addr="T0R30C0S1_1"/>
      <m:item xlName="_GBC_3f1e7c5705ed4091894590bc3a7fc196" concept="clcid-pte:TanMingKuangQuQuanYiZhangMianJiaZhiYuE" label="探明矿区权益账面价值余额" mulRef="_GBC_3948c664b1134f4fb0d1f7c7f042d70b" unitRef="_GBC_2ecabb9004854a42b2b7a67389aaa952" addr="T0R30C1S1_1" formatStyle="Comma" appId="_GBC_7dce41817eb749dba0d132424020d250"/>
      <m:item xlName="_GBC_a575f5ee8cd5412e89ca64e1fc439c6c" concept="clcid-pte:WeiTanMingKuangQuQuanYiZhangMianJiaZhiYuE" label="未探明矿区权益账面价值余额" mulRef="_GBC_3948c664b1134f4fb0d1f7c7f042d70b" unitRef="_GBC_2ecabb9004854a42b2b7a67389aaa952" addr="T0R30C2S1_1" formatStyle="Comma" appId="_GBC_7dce41817eb749dba0d132424020d250"/>
      <m:item xlName="_GBC_9212bb7e91bb474485787b56ece53ade" concept="clcid-pte:JingJiXiangGuanSheShiZhangMianJiaZhiYuE" label="井及相关设施账面价值余额" mulRef="_GBC_3948c664b1134f4fb0d1f7c7f042d70b" unitRef="_GBC_2ecabb9004854a42b2b7a67389aaa952" addr="T0R30C3S1_1" formatStyle="Comma" appId="_GBC_7dce41817eb749dba0d132424020d250"/>
      <m:item xlName="_GBC_46b1f305e53d45c88ad93125eccf5954" concept="clcid-pte:YouQiZiChanMingXiZhangMianJiaZhi" label="油气资产明细-账面价值" mulRef="_GBC_3948c664b1134f4fb0d1f7c7f042d70b" unitRef="_GBC_2ecabb9004854a42b2b7a67389aaa952" addr="T0R30C4S1_1" formatStyle="Comma" tupleRef="clcid-pte:YouQiZiChanMingXi" appId="_GBC_7dce41817eb749dba0d132424020d250"/>
      <m:item xlName="_GBC_2c3751c2edf049489ac7532d5502c0ec" concept="clcid-pte:YouQiZiChan" label="油气资产" mulRef="_GBC_3948c664b1134f4fb0d1f7c7f042d70b" unitRef="_GBC_2ecabb9004854a42b2b7a67389aaa952" addr="T0R30C5S1_1" formatStyle="Comma" appId="_GBC_7dce41817eb749dba0d132424020d250">
        <m:complexRule comparator="Eq" title="油气资产账面价值合计余额" test=" $_GBC_3f1e7c5705ed4091894590bc3a7fc196 +  $_GBC_a575f5ee8cd5412e89ca64e1fc439c6c +  $_GBC_9212bb7e91bb474485787b56ece53ade +  $_GBC_46b1f305e53d45c88ad93125eccf5954" id="C90fcbea812384270a9f36c4d4f21461d"/>
      </m:item>
      <m:placeholder xlName="_PLD_ab1bee11bdf440159fbd2575103b56a2" addr="T0R31C0S1_1"/>
      <m:item xlName="_GBC_90b470e3f16c4d0dac383118a14e73d7" concept="clcid-pte:TanMingKuangQuQuanYiZhangMianJiaZhiYuE" label="探明矿区权益账面价值余额" periodRef="本期期初数" mulRef="_GBC_3948c664b1134f4fb0d1f7c7f042d70b" unitRef="_GBC_2ecabb9004854a42b2b7a67389aaa952" addr="T0R31C1S1_1" formatStyle="Comma" appId="_GBC_7dce41817eb749dba0d132424020d250"/>
      <m:item xlName="_GBC_6025b1cbe37b48b98b6689ebb49fbe2d" concept="clcid-pte:WeiTanMingKuangQuQuanYiZhangMianJiaZhiYuE" label="未探明矿区权益账面价值余额" periodRef="本期期初数" mulRef="_GBC_3948c664b1134f4fb0d1f7c7f042d70b" unitRef="_GBC_2ecabb9004854a42b2b7a67389aaa952" addr="T0R31C2S1_1" formatStyle="Comma" appId="_GBC_7dce41817eb749dba0d132424020d250"/>
      <m:item xlName="_GBC_2190a078e9bb43eab299599652e08be7" concept="clcid-pte:JingJiXiangGuanSheShiZhangMianJiaZhiYuE" label="井及相关设施账面价值余额" periodRef="本期期初数" mulRef="_GBC_3948c664b1134f4fb0d1f7c7f042d70b" unitRef="_GBC_2ecabb9004854a42b2b7a67389aaa952" addr="T0R31C3S1_1" formatStyle="Comma" appId="_GBC_7dce41817eb749dba0d132424020d250"/>
      <m:item xlName="_GBC_f1966b339d0c4bffabe16310c0414a35" concept="clcid-pte:YouQiZiChanMingXiZhangMianJiaZhi" label="油气资产明细-账面价值" periodRef="本期期初数" mulRef="_GBC_3948c664b1134f4fb0d1f7c7f042d70b" unitRef="_GBC_2ecabb9004854a42b2b7a67389aaa952" addr="T0R31C4S1_1" formatStyle="Comma" tupleRef="clcid-pte:YouQiZiChanMingXi" appId="_GBC_7dce41817eb749dba0d132424020d250"/>
      <m:item xlName="_GBC_be56eb84f68f43fa8095eee73d3247b2" concept="clcid-pte:YouQiZiChan" label="油气资产" periodRef="本期期初数" mulRef="_GBC_3948c664b1134f4fb0d1f7c7f042d70b" unitRef="_GBC_2ecabb9004854a42b2b7a67389aaa952" addr="T0R31C5S1_1" formatStyle="Comma" appId="_GBC_7dce41817eb749dba0d132424020d250">
        <m:complexRule comparator="Eq" title="油气资产账面价值合计余额@本期期初数" test=" $_GBC_90b470e3f16c4d0dac383118a14e73d7 +  $_GBC_6025b1cbe37b48b98b6689ebb49fbe2d +  $_GBC_2190a078e9bb43eab299599652e08be7 +  $_GBC_f1966b339d0c4bffabe16310c0414a35" id="Ca308a02f2a724af9b144e9fde7edcc99"/>
      </m:item>
      <m:item xlName="_GBC_760d7a2d396d46499ac9ecc6f0bc5325" concept="clcid-pte:YouQiZiChanDeShuoMing" label="油气资产的说明" appId="_GBC_7dce41817eb749dba0d132424020d250"/>
      <m:virtualTuples>
        <m:virtualTuple id="391f4d5d-e2bb-4e43-a73b-1a879022eeed" tupleRef="clcid-pte:YouQiZiChanMingXi" extendDirection="2" splitWidth="1"/>
      </m:virtualTuples>
    </m:section>
    <m:section xlName="_SEC_42126bf96c7241e38ff33aae0d98dae2" title="使用权资产" tagAction="1" helpId="112001060">
      <m:item xlName="_GBC_3ac132175b304712af4889ae3914ef7d" concept="clcid-ci-ar:ShiFouShiYongShiYongQuanZiChan" label="是否适用：使用权资产" selectOptions="_buildInAppliance" controlType="CustomCheckbox" cRanges="[{&quot;StartName&quot;:&quot;_GBC_3ac132175b304712af4889ae3914ef7d&quot;,&quot;EndName&quot;:&quot;_GBC_59e827e1177d4b7b8daf26999a9ca64a&quot;,&quot;CType&quot;:1}]"/>
      <m:item xlName="_GBC_126de13c7c92490d95bdebd7efe2d59b" concept="clcid-ci-ar:DanWeiShiYongQuanZiChan" label="单位：使用权资产" selectOptions="_buildInScales" controlType="Combobox" cellType="Scale" appId="_GBC_3ac132175b304712af4889ae3914ef7d"/>
      <m:item xlName="_GBC_bb9e8b7096ab49fc95311a6c81431e95" concept="clcid-ci-ar:BiZhongShiYongQuanZiChan" label="币种：使用权资产" selectOptions="_buildInISO4217" controlType="Combobox" cellType="Measure" appId="_GBC_3ac132175b304712af4889ae3914ef7d"/>
      <m:placeholder xlName="_PLD_e7cc7a86c52f4dc596615cce534e6d6a" addr="T0R0C0S1_1"/>
      <m:item xlName="_GBC_ea9ffc7b81304e04ad88fe7fcccf7ec1" concept="clcid-pte:ShiYongQuanZiChanMingXiXiangMu" label="使用权资产明细-项目" addr="T0R0C1S1_1" tagAction="1" tupleRef="clcid-pte:ShiYongQuanZiChanMingXi" appId="_GBC_3ac132175b304712af4889ae3914ef7d" isCaption="true"/>
      <m:placeholder xlName="_PLD_8404013d36434d0f94f9d2e0e06379db" addr="T0R0C2S1_1"/>
      <m:placeholder xlName="_PLD_8a1172a4974b4db489d9ace1c9b06ff9" addr="T0R1C0S1_1"/>
      <m:placeholder xlName="_PLD_1bcbd6f040864936993405929e8f3c87" addr="T0R2C0S1_1"/>
      <m:item xlName="_GBC_6079549d75e44c4794dbbc33e1c33ad8" concept="clcid-pte:ShiYongQuanZiChanMingXiZhangMianYuanZhi" label="使用权资产明细-账面原值" periodRef="本期期初数" mulRef="_GBC_126de13c7c92490d95bdebd7efe2d59b" unitRef="_GBC_bb9e8b7096ab49fc95311a6c81431e95" addr="T0R2C1S1_1" formatStyle="Comma" tupleRef="clcid-pte:ShiYongQuanZiChanMingXi" appId="_GBC_3ac132175b304712af4889ae3914ef7d"/>
      <m:item xlName="_GBC_1a35fa4b8971434894a45baaca257b56" concept="clcid-pte:ShiYongQuanZiChanZhangMianYuanZhi" label="使用权资产账面原值" periodRef="本期期初数" mulRef="_GBC_126de13c7c92490d95bdebd7efe2d59b" unitRef="_GBC_bb9e8b7096ab49fc95311a6c81431e95" addr="T0R2C2S1_1" formatStyle="Comma" appId="_GBC_3ac132175b304712af4889ae3914ef7d"/>
      <m:placeholder xlName="_PLD_cb8705faa0dd4f71889eeb93b843f45e" addr="T0R3C0S1_1"/>
      <m:item xlName="_GBC_038693f88fd04c6e945c2a70721938c5" concept="clcid-pte:ShiYongQuanZiChanMingXiZhangMianYuanZhiZengJia" label="使用权资产明细-账面原值增加" mulRef="_GBC_126de13c7c92490d95bdebd7efe2d59b" unitRef="_GBC_bb9e8b7096ab49fc95311a6c81431e95" addr="T0R3C1S1_1" formatStyle="Comma" tupleRef="clcid-pte:ShiYongQuanZiChanMingXi" appId="_GBC_3ac132175b304712af4889ae3914ef7d"/>
      <m:item xlName="_GBC_8000655ddf3b4066924ff13958ca8787" concept="clcid-pte:ShiYongQuanZiChanZhangMianYuanZhiZengJia" label="使用权资产账面原值增加" mulRef="_GBC_126de13c7c92490d95bdebd7efe2d59b" unitRef="_GBC_bb9e8b7096ab49fc95311a6c81431e95" addr="T0R3C2S1_1" formatStyle="Comma" appId="_GBC_3ac132175b304712af4889ae3914ef7d"/>
      <m:item xlName="_GBC_1a6d831f9b1b40bfbbec3afae5f4701e" concept="clcid-pte:ShiYongQuanZiChanZhangMianYuanZhiZengJiaXiangMuMingCheng1" label="使用权资产账面原值增加项目名称1" addr="T0R4C0S1_1" tagAction="1" appId="_GBC_3ac132175b304712af4889ae3914ef7d" isSerialConcept="true" serialDirection="1" serialDefaultCount="2"/>
      <m:item xlName="_GBC_fea54c9079f8401280ded64a3f37ad3c" concept="clcid-pte:ShiYongQuanZiChanZhangMianYuanZhiZengJiaXiangMuJinE1" label="使用权资产账面原值增加项目金额1" mulRef="_GBC_126de13c7c92490d95bdebd7efe2d59b" unitRef="_GBC_bb9e8b7096ab49fc95311a6c81431e95" addr="T0R4C1S1_1" tagAction="1" formatStyle="Comma" tupleRef="clcid-pte:ShiYongQuanZiChanMingXi" appId="_GBC_3ac132175b304712af4889ae3914ef7d" isSerialConcept="true" serialDirection="1" serialDefaultCount="2"/>
      <m:item xlName="_GBC_a28fe7f9c36c4f208081a5dd677ef6b7" concept="clcid-pte:ShiYongQuanZiChanZhangMianYuanZhiZengJiaXiangMuHeJiJinE1" label="使用权资产账面原值增加项目合计金额1" mulRef="_GBC_126de13c7c92490d95bdebd7efe2d59b" unitRef="_GBC_bb9e8b7096ab49fc95311a6c81431e95" addr="T0R4C2S1_1" tagAction="1" formatStyle="Comma" appId="_GBC_3ac132175b304712af4889ae3914ef7d" isSerialConcept="true" serialDirection="1"/>
      <m:placeholder xlName="_PLD_5a836262bcb54f0aa73023d39e87cb70" addr="T0R5C0S1_1"/>
      <m:item xlName="_GBC_ad311ac7cd944c41ab0869eebfbbc2a9" concept="clcid-pte:ShiYongQuanZiChanMingXiZhangMianYuanZhiJianShao" label="使用权资产明细-账面原值减少" mulRef="_GBC_126de13c7c92490d95bdebd7efe2d59b" unitRef="_GBC_bb9e8b7096ab49fc95311a6c81431e95" addr="T0R5C1S1_1" formatStyle="Comma" tupleRef="clcid-pte:ShiYongQuanZiChanMingXi" appId="_GBC_3ac132175b304712af4889ae3914ef7d"/>
      <m:item xlName="_GBC_0f36d990434d47bd9f1a709a0a597c10" concept="clcid-pte:ShiYongQuanZiChanZhangMianYuanZhiJianShao" label="使用权资产账面原值减少" mulRef="_GBC_126de13c7c92490d95bdebd7efe2d59b" unitRef="_GBC_bb9e8b7096ab49fc95311a6c81431e95" addr="T0R5C2S1_1" formatStyle="Comma" appId="_GBC_3ac132175b304712af4889ae3914ef7d"/>
      <m:item xlName="_GBC_f534700ba5da4c9582fa43e92a4bb935" concept="clcid-pte:ShiYongQuanZiChanZhangMianYuanZhiJianShaoXiangMuMingCheng1" label="使用权资产账面原值减少项目名称1" addr="T0R6C0S1_1" tagAction="1" appId="_GBC_3ac132175b304712af4889ae3914ef7d" isSerialConcept="true" serialDirection="1" serialDefaultCount="2"/>
      <m:item xlName="_GBC_63c6f750d7344be9b23f8c4363a3cb39" concept="clcid-pte:ShiYongQuanZiChanZhangMianYuanZhiJianShaoXiangMuJinE1" label="使用权资产账面原值减少项目金额1" mulRef="_GBC_126de13c7c92490d95bdebd7efe2d59b" unitRef="_GBC_bb9e8b7096ab49fc95311a6c81431e95" addr="T0R6C1S1_1" tagAction="1" formatStyle="Comma" tupleRef="clcid-pte:ShiYongQuanZiChanMingXi" appId="_GBC_3ac132175b304712af4889ae3914ef7d" isSerialConcept="true" serialDirection="1" serialDefaultCount="2"/>
      <m:item xlName="_GBC_16a3134bd513450994cab10e2f01d80f" concept="clcid-pte:ShiYongQuanZiChanZhangMianYuanZhiJianShaoXiangMuHeJiJinE1" label="使用权资产账面原值减少项目合计金额1" mulRef="_GBC_126de13c7c92490d95bdebd7efe2d59b" unitRef="_GBC_bb9e8b7096ab49fc95311a6c81431e95" addr="T0R6C2S1_1" tagAction="1" formatStyle="Comma" appId="_GBC_3ac132175b304712af4889ae3914ef7d" isSerialConcept="true" serialDirection="1"/>
      <m:placeholder xlName="_PLD_d2ddd00acda84b158c10aa57a3b88766" addr="T0R7C0S1_1"/>
      <m:item xlName="_GBC_6a038554bb4d4aa789f64c8ccc710b07" concept="clcid-pte:ShiYongQuanZiChanMingXiZhangMianYuanZhi" label="使用权资产明细-账面原值" mulRef="_GBC_126de13c7c92490d95bdebd7efe2d59b" unitRef="_GBC_bb9e8b7096ab49fc95311a6c81431e95" addr="T0R7C1S1_1" formatStyle="Comma" tupleRef="clcid-pte:ShiYongQuanZiChanMingXi" appId="_GBC_3ac132175b304712af4889ae3914ef7d">
        <m:complexRule comparator="Eq" title="使用权资产明细-账面原值" test=" $_GBC_6079549d75e44c4794dbbc33e1c33ad8 +  $_GBC_038693f88fd04c6e945c2a70721938c5 -  $_GBC_ad311ac7cd944c41ab0869eebfbbc2a9" id="Cfe1bdff5333b4ead8412955953dea7ec"/>
      </m:item>
      <m:item xlName="_GBC_007c0f31392649b696a0d5d1c1e6a108" concept="clcid-pte:ShiYongQuanZiChanZhangMianYuanZhi" label="使用权资产账面原值" mulRef="_GBC_126de13c7c92490d95bdebd7efe2d59b" unitRef="_GBC_bb9e8b7096ab49fc95311a6c81431e95" addr="T0R7C2S1_1" formatStyle="Comma" appId="_GBC_3ac132175b304712af4889ae3914ef7d">
        <m:complexRule comparator="Eq" title="使用权资产账面原值" test=" $_GBC_1a35fa4b8971434894a45baaca257b56 +  $_GBC_8000655ddf3b4066924ff13958ca8787 -  $_GBC_0f36d990434d47bd9f1a709a0a597c10" id="C8a337005cfbf40938d363cb1953dfe4b"/>
      </m:item>
      <m:placeholder xlName="_PLD_c5fd254e7ed54ab8b2346f3d57a1cc54" addr="T0R8C0S1_1"/>
      <m:placeholder xlName="_PLD_9d84a55f4f2440dda7ca9f05e3bee994" addr="T0R9C0S1_1"/>
      <m:item xlName="_GBC_5c668c183c4043a5aade63b6e2f10e53" concept="clcid-pte:ShiYongQuanZiChanMingXiLeiJiZheJiu" label="使用权资产明细-累计折旧" periodRef="本期期初数" mulRef="_GBC_126de13c7c92490d95bdebd7efe2d59b" unitRef="_GBC_bb9e8b7096ab49fc95311a6c81431e95" addr="T0R9C1S1_1" formatStyle="Comma" tupleRef="clcid-pte:ShiYongQuanZiChanMingXi" appId="_GBC_3ac132175b304712af4889ae3914ef7d"/>
      <m:item xlName="_GBC_5c5976dca1a94e139da6fac64c954c50" concept="clcid-pte:ShiYongQuanZiChanLeiJiZheJiu" label="使用权资产累计折旧" periodRef="本期期初数" mulRef="_GBC_126de13c7c92490d95bdebd7efe2d59b" unitRef="_GBC_bb9e8b7096ab49fc95311a6c81431e95" addr="T0R9C2S1_1" formatStyle="Comma" appId="_GBC_3ac132175b304712af4889ae3914ef7d"/>
      <m:placeholder xlName="_PLD_217b7f3bca984b1e9148b657f60c578a" addr="T0R10C0S1_1"/>
      <m:item xlName="_GBC_30e838b31a2344d0acb83c67997b16d1" concept="clcid-pte:ShiYongQuanZiChanMingXiLeiJiZheJiuZengJia" label="使用权资产明细-累计折旧增加" mulRef="_GBC_126de13c7c92490d95bdebd7efe2d59b" unitRef="_GBC_bb9e8b7096ab49fc95311a6c81431e95" addr="T0R10C1S1_1" formatStyle="Comma" tupleRef="clcid-pte:ShiYongQuanZiChanMingXi" appId="_GBC_3ac132175b304712af4889ae3914ef7d"/>
      <m:item xlName="_GBC_04fdf39eca0f40e2abbf616fa83850c0" concept="clcid-pte:ShiYongQuanZiChanLeiJiZheJiuZengJia" label="使用权资产累计折旧增加" mulRef="_GBC_126de13c7c92490d95bdebd7efe2d59b" unitRef="_GBC_bb9e8b7096ab49fc95311a6c81431e95" addr="T0R10C2S1_1" formatStyle="Comma" appId="_GBC_3ac132175b304712af4889ae3914ef7d"/>
      <m:placeholder xlName="_PLD_c5cff13f53f547b2b4c43791a1454f16" addr="T0R11C0S1_1"/>
      <m:item xlName="_GBC_eca0c64a8da54245b08a966a6139eee7" concept="clcid-pte:ShiYongQuanZiChanMingXiJiTiDaoZhiDeLeiJiZheJiuZengJia" label="使用权资产明细-计提导致的累计折旧增加" mulRef="_GBC_126de13c7c92490d95bdebd7efe2d59b" unitRef="_GBC_bb9e8b7096ab49fc95311a6c81431e95" addr="T0R11C1S1_1" formatStyle="Comma" tupleRef="clcid-pte:ShiYongQuanZiChanMingXi" appId="_GBC_3ac132175b304712af4889ae3914ef7d"/>
      <m:item xlName="_GBC_99e847bff39043dfad6af7a482c70a79" concept="clcid-pte:ShiYongQuanZiChanJiTiDaoZhiDeLeiJiZheJiuZengJia" label="使用权资产计提导致的累计折旧增加" mulRef="_GBC_126de13c7c92490d95bdebd7efe2d59b" unitRef="_GBC_bb9e8b7096ab49fc95311a6c81431e95" addr="T0R11C2S1_1" formatStyle="Comma" appId="_GBC_3ac132175b304712af4889ae3914ef7d"/>
      <m:item xlName="_GBC_ad0a9abd74b14da4af63396afd0be609" concept="clcid-pte:ShiYongQuanZiChanLeiJiTanXiaoZengJiaXiangMuMingCheng1" label="使用权资产累计摊销增加项目名称1" addr="T0R12C0S1_1" tagAction="1" appId="_GBC_3ac132175b304712af4889ae3914ef7d" isSerialConcept="true" serialDirection="1" serialDefaultCount="2"/>
      <m:item xlName="_GBC_574ca06ad2e24c269140cbae3c525b8e" concept="clcid-pte:ShiYongQuanZiChanLeiJiTanXiaoZengJiaXiangMuJinE1" label="使用权资产累计摊销增加项目金额1" mulRef="_GBC_126de13c7c92490d95bdebd7efe2d59b" unitRef="_GBC_bb9e8b7096ab49fc95311a6c81431e95" addr="T0R12C1S1_1" tagAction="1" formatStyle="Comma" tupleRef="clcid-pte:ShiYongQuanZiChanMingXi" appId="_GBC_3ac132175b304712af4889ae3914ef7d" isSerialConcept="true" serialDirection="1" serialDefaultCount="2"/>
      <m:item xlName="_GBC_0b7d750bc62949549bb49a286ef62b71" concept="clcid-pte:ShiYongQuanZiChanLeiJiTanXiaoZengJiaXiangMuHeJiJinE1" label="使用权资产累计摊销增加项目合计金额1" mulRef="_GBC_126de13c7c92490d95bdebd7efe2d59b" unitRef="_GBC_bb9e8b7096ab49fc95311a6c81431e95" addr="T0R12C2S1_1" tagAction="1" formatStyle="Comma" appId="_GBC_3ac132175b304712af4889ae3914ef7d" isSerialConcept="true" serialDirection="1"/>
      <m:placeholder xlName="_PLD_74a88ffcb94e429ba842908a6c9f7dea" addr="T0R13C0S1_1"/>
      <m:item xlName="_GBC_fb6b3d96d26e4d50a9282198926a5a46" concept="clcid-pte:ShiYongQuanZiChanMingXiLeiJiZheJiuJianShao" label="使用权资产明细-累计折旧减少" mulRef="_GBC_126de13c7c92490d95bdebd7efe2d59b" unitRef="_GBC_bb9e8b7096ab49fc95311a6c81431e95" addr="T0R13C1S1_1" formatStyle="Comma" tupleRef="clcid-pte:ShiYongQuanZiChanMingXi" appId="_GBC_3ac132175b304712af4889ae3914ef7d"/>
      <m:item xlName="_GBC_182c07412ff64d06a77c86487db48ffa" concept="clcid-pte:ShiYongQuanZiChanLeiJiZheJiuJianShao" label="使用权资产累计折旧减少" mulRef="_GBC_126de13c7c92490d95bdebd7efe2d59b" unitRef="_GBC_bb9e8b7096ab49fc95311a6c81431e95" addr="T0R13C2S1_1" formatStyle="Comma" appId="_GBC_3ac132175b304712af4889ae3914ef7d"/>
      <m:placeholder xlName="_PLD_9d1f18a4d0d64b789c36d13861afaa48" addr="T0R14C0S1_1"/>
      <m:item xlName="_GBC_0f8695aa2415494c89174c1fee60af1d" concept="clcid-pte:ShiYongQuanZiChanMingXiChuZhiDaoZhiDeLeiJiZheJiuJianShao" label="使用权资产明细-处置导致的累计折旧减少" mulRef="_GBC_126de13c7c92490d95bdebd7efe2d59b" unitRef="_GBC_bb9e8b7096ab49fc95311a6c81431e95" addr="T0R14C1S1_1" formatStyle="Comma" tupleRef="clcid-pte:ShiYongQuanZiChanMingXi" appId="_GBC_3ac132175b304712af4889ae3914ef7d"/>
      <m:item xlName="_GBC_c527122e6a23425f84c18b75a8c11bdd" concept="clcid-pte:ShiYongQuanZiChanChuZhiDaoZhiDeLeiJiZheJiuJianShao" label="使用权资产处置导致的累计折旧减少" mulRef="_GBC_126de13c7c92490d95bdebd7efe2d59b" unitRef="_GBC_bb9e8b7096ab49fc95311a6c81431e95" addr="T0R14C2S1_1" formatStyle="Comma" appId="_GBC_3ac132175b304712af4889ae3914ef7d"/>
      <m:item xlName="_GBC_eeb2a28e58984bcc904289ee5f949843" concept="clcid-pte:ShiYongQuanZiChanLeiJiTanXiaoJianShaoXiangMuMingCheng1" label="使用权资产累计摊销减少项目名称1" addr="T0R15C0S1_1" tagAction="1" appId="_GBC_3ac132175b304712af4889ae3914ef7d" isSerialConcept="true" serialDirection="1" serialDefaultCount="2"/>
      <m:item xlName="_GBC_652e1dbe13f545bb973000ba9e0f3426" concept="clcid-pte:ShiYongQuanZiChanLeiJiTanXiaoJianShaoXiangMuJinE1" label="使用权资产累计摊销减少项目金额1" mulRef="_GBC_126de13c7c92490d95bdebd7efe2d59b" unitRef="_GBC_bb9e8b7096ab49fc95311a6c81431e95" addr="T0R15C1S1_1" tagAction="1" formatStyle="Comma" tupleRef="clcid-pte:ShiYongQuanZiChanMingXi" appId="_GBC_3ac132175b304712af4889ae3914ef7d" isSerialConcept="true" serialDirection="1" serialDefaultCount="2"/>
      <m:item xlName="_GBC_5700cc82223545fd8ce096d7ba30e3d7" concept="clcid-pte:ShiYongQuanZiChanLeiJiTanXiaoJianShaoXiangMuHeJiJinE1" label="使用权资产累计摊销减少项目合计金额1" mulRef="_GBC_126de13c7c92490d95bdebd7efe2d59b" unitRef="_GBC_bb9e8b7096ab49fc95311a6c81431e95" addr="T0R15C2S1_1" tagAction="1" formatStyle="Comma" appId="_GBC_3ac132175b304712af4889ae3914ef7d" isSerialConcept="true" serialDirection="1"/>
      <m:placeholder xlName="_PLD_7acfb13844c6472295c20fd22554cb75" addr="T0R16C0S1_1"/>
      <m:item xlName="_GBC_710540a263bf464f92e9c57efeb7876e" concept="clcid-pte:ShiYongQuanZiChanMingXiLeiJiZheJiu" label="使用权资产明细-累计折旧" mulRef="_GBC_126de13c7c92490d95bdebd7efe2d59b" unitRef="_GBC_bb9e8b7096ab49fc95311a6c81431e95" addr="T0R16C1S1_1" formatStyle="Comma" tupleRef="clcid-pte:ShiYongQuanZiChanMingXi" appId="_GBC_3ac132175b304712af4889ae3914ef7d">
        <m:complexRule comparator="Eq" title="使用权资产明细-累计折旧" test=" $_GBC_5c668c183c4043a5aade63b6e2f10e53 +  $_GBC_30e838b31a2344d0acb83c67997b16d1 -  $_GBC_fb6b3d96d26e4d50a9282198926a5a46" id="C2a67854f1c204aac8f097d2c5b5eb254"/>
      </m:item>
      <m:item xlName="_GBC_99b7e0aec39c48708e812ece4f57f7df" concept="clcid-pte:ShiYongQuanZiChanLeiJiZheJiu" label="使用权资产累计折旧" mulRef="_GBC_126de13c7c92490d95bdebd7efe2d59b" unitRef="_GBC_bb9e8b7096ab49fc95311a6c81431e95" addr="T0R16C2S1_1" formatStyle="Comma" appId="_GBC_3ac132175b304712af4889ae3914ef7d">
        <m:complexRule comparator="Eq" title="使用权资产累计折旧" test=" $_GBC_5c5976dca1a94e139da6fac64c954c50 +  $_GBC_04fdf39eca0f40e2abbf616fa83850c0 -  $_GBC_182c07412ff64d06a77c86487db48ffa" id="Cb1aec67b7bcc4cd8b78299e0fd48643c"/>
      </m:item>
      <m:placeholder xlName="_PLD_977579b288954e92aacbdc72b4e58579" addr="T0R17C0S1_1"/>
      <m:placeholder xlName="_PLD_451a3431a02f424d82ced950a4aa62d1" addr="T0R18C0S1_1"/>
      <m:item xlName="_GBC_27e6e6a665bc4f7cb75fdccfac703399" concept="clcid-pte:ShiYongQuanZiChanMingXiJianZhiZhunBei" label="使用权资产明细-减值准备" periodRef="本期期初数" mulRef="_GBC_126de13c7c92490d95bdebd7efe2d59b" unitRef="_GBC_bb9e8b7096ab49fc95311a6c81431e95" addr="T0R18C1S1_1" formatStyle="Comma" tupleRef="clcid-pte:ShiYongQuanZiChanMingXi" appId="_GBC_3ac132175b304712af4889ae3914ef7d"/>
      <m:item xlName="_GBC_c069caa344d649e8bf37ff39e190f387" concept="clcid-pte:ShiYongQuanZiChanJianZhiZhunBei" label="使用权资产减值准备" periodRef="本期期初数" mulRef="_GBC_126de13c7c92490d95bdebd7efe2d59b" unitRef="_GBC_bb9e8b7096ab49fc95311a6c81431e95" addr="T0R18C2S1_1" formatStyle="Comma" appId="_GBC_3ac132175b304712af4889ae3914ef7d"/>
      <m:placeholder xlName="_PLD_47a737a9b30f4d8da4048f1415893c19" addr="T0R19C0S1_1"/>
      <m:item xlName="_GBC_f1f8b2d4952a4850be8769576373251c" concept="clcid-pte:ShiYongQuanZiChanMingXiJianZhiZhunBeiZengJia" label="使用权资产明细-减值准备增加" mulRef="_GBC_126de13c7c92490d95bdebd7efe2d59b" unitRef="_GBC_bb9e8b7096ab49fc95311a6c81431e95" addr="T0R19C1S1_1" formatStyle="Comma" tupleRef="clcid-pte:ShiYongQuanZiChanMingXi" appId="_GBC_3ac132175b304712af4889ae3914ef7d"/>
      <m:item xlName="_GBC_cf1909d3485d4a3787a1dbcefa412814" concept="clcid-pte:ShiYongQuanZiChanJianZhiZhunBeiZengJia" label="使用权资产减值准备增加" mulRef="_GBC_126de13c7c92490d95bdebd7efe2d59b" unitRef="_GBC_bb9e8b7096ab49fc95311a6c81431e95" addr="T0R19C2S1_1" formatStyle="Comma" appId="_GBC_3ac132175b304712af4889ae3914ef7d"/>
      <m:placeholder xlName="_PLD_26be3676b9774a9b8396fa4fa9f17098" addr="T0R20C0S1_1"/>
      <m:item xlName="_GBC_5d4a64a97dc94c19805438da8c6ab478" concept="clcid-pte:ShiYongQuanZiChanMingXiJiTiDaoZhiDeJianZhiZhunBeiZengJia" label="使用权资产明细-计提导致的减值准备增加" mulRef="_GBC_126de13c7c92490d95bdebd7efe2d59b" unitRef="_GBC_bb9e8b7096ab49fc95311a6c81431e95" addr="T0R20C1S1_1" formatStyle="Comma" tupleRef="clcid-pte:ShiYongQuanZiChanMingXi" appId="_GBC_3ac132175b304712af4889ae3914ef7d"/>
      <m:item xlName="_GBC_283120a8dc6944b9a690320018e1c280" concept="clcid-pte:ShiYongQuanZiChanJiTiDaoZhiDeJianZhiZhunBeiZengJia" label="使用权资产计提导致的减值准备增加" mulRef="_GBC_126de13c7c92490d95bdebd7efe2d59b" unitRef="_GBC_bb9e8b7096ab49fc95311a6c81431e95" addr="T0R20C2S1_1" formatStyle="Comma" appId="_GBC_3ac132175b304712af4889ae3914ef7d"/>
      <m:item xlName="_GBC_3f68846af47346a78c0bbd37fda2e94c" concept="clcid-pte:ShiYongQuanZiChanJianZhiZhunBeiZengJiaXiangMuMingCheng1" label="使用权资产减值准备增加项目名称1" addr="T0R21C0S1_1" tagAction="1" appId="_GBC_3ac132175b304712af4889ae3914ef7d" isSerialConcept="true" serialDirection="1" serialDefaultCount="2"/>
      <m:item xlName="_GBC_bab50aee06d84f1e8fc4fdeafe69534b" concept="clcid-pte:ShiYongQuanZiChanJianZhiZhunBeiZengJiaXiangMuJinE1" label="使用权资产减值准备增加项目金额1" mulRef="_GBC_126de13c7c92490d95bdebd7efe2d59b" unitRef="_GBC_bb9e8b7096ab49fc95311a6c81431e95" addr="T0R21C1S1_1" tagAction="1" formatStyle="Comma" tupleRef="clcid-pte:ShiYongQuanZiChanMingXi" appId="_GBC_3ac132175b304712af4889ae3914ef7d" isSerialConcept="true" serialDirection="1" serialDefaultCount="2"/>
      <m:item xlName="_GBC_2701d42012d640a9aea2252eb6e597c5" concept="clcid-pte:ShiYongQuanZiChanJianZhiZhunBeiZengJiaXiangMuHeJiJinE1" label="使用权资产减值准备增加项目合计金额1" mulRef="_GBC_126de13c7c92490d95bdebd7efe2d59b" unitRef="_GBC_bb9e8b7096ab49fc95311a6c81431e95" addr="T0R21C2S1_1" tagAction="1" formatStyle="Comma" appId="_GBC_3ac132175b304712af4889ae3914ef7d" isSerialConcept="true" serialDirection="1"/>
      <m:placeholder xlName="_PLD_fd8e2e2eb1c94e01bbb88fa8f1e8d273" addr="T0R22C0S1_1"/>
      <m:item xlName="_GBC_b575c68addb54ddb8041c85aa9e131d6" concept="clcid-pte:ShiYongQuanZiChanMingXiJianZhiZhunBeiJianShao" label="使用权资产明细-减值准备减少" mulRef="_GBC_126de13c7c92490d95bdebd7efe2d59b" unitRef="_GBC_bb9e8b7096ab49fc95311a6c81431e95" addr="T0R22C1S1_1" formatStyle="Comma" tupleRef="clcid-pte:ShiYongQuanZiChanMingXi" appId="_GBC_3ac132175b304712af4889ae3914ef7d"/>
      <m:item xlName="_GBC_8508e68e7521428db971997c1ccf68f1" concept="clcid-pte:ShiYongQuanZiChanJianZhiZhunBeiJianShao" label="使用权资产减值准备减少" mulRef="_GBC_126de13c7c92490d95bdebd7efe2d59b" unitRef="_GBC_bb9e8b7096ab49fc95311a6c81431e95" addr="T0R22C2S1_1" formatStyle="Comma" appId="_GBC_3ac132175b304712af4889ae3914ef7d"/>
      <m:placeholder xlName="_PLD_039436c52bad480cb82e28e945ac6011" addr="T0R23C0S1_1"/>
      <m:item xlName="_GBC_fc379f4f5e874264a0b7917e8e5f7b8f" concept="clcid-pte:ShiYongQuanZiChanMingXiChuZhiDaoZhiDeJianZhiZhunBeiJianShao" label="使用权资产明细-处置导致的减值准备减少" mulRef="_GBC_126de13c7c92490d95bdebd7efe2d59b" unitRef="_GBC_bb9e8b7096ab49fc95311a6c81431e95" addr="T0R23C1S1_1" formatStyle="Comma" tupleRef="clcid-pte:ShiYongQuanZiChanMingXi" appId="_GBC_3ac132175b304712af4889ae3914ef7d"/>
      <m:item xlName="_GBC_b12f4ebe26a3412bb18711415fec7659" concept="clcid-pte:ShiYongQuanZiChanChuZhiDaoZhiDeJianZhiZhunBeiJianShao" label="使用权资产处置导致的减值准备减少" mulRef="_GBC_126de13c7c92490d95bdebd7efe2d59b" unitRef="_GBC_bb9e8b7096ab49fc95311a6c81431e95" addr="T0R23C2S1_1" formatStyle="Comma" appId="_GBC_3ac132175b304712af4889ae3914ef7d"/>
      <m:item xlName="_GBC_b1f235b19b1047cbb42ea691621f197a" concept="clcid-pte:ShiYongQuanZiChanJianZhiZhunBeiJianShaoXiangMuMingCheng1" label="使用权资产减值准备减少项目名称1" addr="T0R24C0S1_1" tagAction="1" appId="_GBC_3ac132175b304712af4889ae3914ef7d" isSerialConcept="true" serialDirection="1" serialDefaultCount="2"/>
      <m:item xlName="_GBC_15bdb60bca894da49b6071cad9b647e1" concept="clcid-pte:ShiYongQuanZiChanJianZhiZhunBeiJianShaoXiangMuJinE1" label="使用权资产减值准备减少项目金额1" mulRef="_GBC_126de13c7c92490d95bdebd7efe2d59b" unitRef="_GBC_bb9e8b7096ab49fc95311a6c81431e95" addr="T0R24C1S1_1" tagAction="1" formatStyle="Comma" tupleRef="clcid-pte:ShiYongQuanZiChanMingXi" appId="_GBC_3ac132175b304712af4889ae3914ef7d" isSerialConcept="true" serialDirection="1" serialDefaultCount="2"/>
      <m:item xlName="_GBC_cfcbfe7fdc054065914617f243ab282b" concept="clcid-pte:ShiYongQuanZiChanJianZhiZhunBeiJianShaoXiangMuHeJiJinE1" label="使用权资产减值准备减少项目合计金额1" mulRef="_GBC_126de13c7c92490d95bdebd7efe2d59b" unitRef="_GBC_bb9e8b7096ab49fc95311a6c81431e95" addr="T0R24C2S1_1" tagAction="1" formatStyle="Comma" appId="_GBC_3ac132175b304712af4889ae3914ef7d" isSerialConcept="true" serialDirection="1"/>
      <m:placeholder xlName="_PLD_3170291c2496403c8098c91bdd6cebcd" addr="T0R25C0S1_1"/>
      <m:item xlName="_GBC_d0d02d2ebed7413da2c65b876a24d32c" concept="clcid-pte:ShiYongQuanZiChanMingXiJianZhiZhunBei" label="使用权资产明细-减值准备" mulRef="_GBC_126de13c7c92490d95bdebd7efe2d59b" unitRef="_GBC_bb9e8b7096ab49fc95311a6c81431e95" addr="T0R25C1S1_1" formatStyle="Comma" tupleRef="clcid-pte:ShiYongQuanZiChanMingXi" appId="_GBC_3ac132175b304712af4889ae3914ef7d">
        <m:complexRule comparator="Eq" title="使用权资产明细-减值准备" test=" $_GBC_27e6e6a665bc4f7cb75fdccfac703399 +  $_GBC_f1f8b2d4952a4850be8769576373251c -  $_GBC_b575c68addb54ddb8041c85aa9e131d6" id="C046d621de11c46e1ae2091a0faa958b3"/>
      </m:item>
      <m:item xlName="_GBC_41ce3320f4f948c69e0325d66e1fc514" concept="clcid-pte:ShiYongQuanZiChanJianZhiZhunBei" label="使用权资产减值准备" mulRef="_GBC_126de13c7c92490d95bdebd7efe2d59b" unitRef="_GBC_bb9e8b7096ab49fc95311a6c81431e95" addr="T0R25C2S1_1" formatStyle="Comma" appId="_GBC_3ac132175b304712af4889ae3914ef7d">
        <m:complexRule comparator="Eq" title="使用权资产减值准备" test=" $_GBC_c069caa344d649e8bf37ff39e190f387 +  $_GBC_cf1909d3485d4a3787a1dbcefa412814 -  $_GBC_8508e68e7521428db971997c1ccf68f1" id="C960b6e14e1cc4843956368d83cf8a052"/>
      </m:item>
      <m:placeholder xlName="_PLD_a609076f16da4fedb37d9fc1d72dfd8f" addr="T0R26C0S1_1"/>
      <m:placeholder xlName="_PLD_4674f60ab7b34201a998a840d9d08d8a" addr="T0R27C0S1_1"/>
      <m:item xlName="_GBC_2bb664ccfd7e4285b84d8fb7955354cb" concept="clcid-pte:ShiYongQuanZiChanMingXiZhangMianJiaZhi" label="使用权资产明细-账面价值" mulRef="_GBC_126de13c7c92490d95bdebd7efe2d59b" unitRef="_GBC_bb9e8b7096ab49fc95311a6c81431e95" addr="T0R27C1S1_1" formatStyle="Comma" tupleRef="clcid-pte:ShiYongQuanZiChanMingXi" appId="_GBC_3ac132175b304712af4889ae3914ef7d"/>
      <m:item xlName="_GBC_edf5285955b448ed844183547d426f66" concept="clcid-pte:ShiYongQuanZiChan" label="使用权资产" mulRef="_GBC_126de13c7c92490d95bdebd7efe2d59b" unitRef="_GBC_bb9e8b7096ab49fc95311a6c81431e95" addr="T0R27C2S1_1" formatStyle="Comma" appId="_GBC_3ac132175b304712af4889ae3914ef7d"/>
      <m:placeholder xlName="_PLD_a7e06de99a79495a885da295fe9ce70c" addr="T0R28C0S1_1"/>
      <m:item xlName="_GBC_fb48ddba17ca41f48409ce6b3fc26277" concept="clcid-pte:ShiYongQuanZiChanMingXiZhangMianJiaZhi" label="使用权资产明细-账面价值" periodRef="本期期初数" mulRef="_GBC_126de13c7c92490d95bdebd7efe2d59b" unitRef="_GBC_bb9e8b7096ab49fc95311a6c81431e95" addr="T0R28C1S1_1" formatStyle="Comma" tupleRef="clcid-pte:ShiYongQuanZiChanMingXi" appId="_GBC_3ac132175b304712af4889ae3914ef7d"/>
      <m:item xlName="_GBC_c5f95837b99940e9bff8f606a3972d0a" concept="clcid-pte:ShiYongQuanZiChan" label="使用权资产" periodRef="本期期初数" mulRef="_GBC_126de13c7c92490d95bdebd7efe2d59b" unitRef="_GBC_bb9e8b7096ab49fc95311a6c81431e95" addr="T0R28C2S1_1" formatStyle="Comma" appId="_GBC_3ac132175b304712af4889ae3914ef7d"/>
      <m:item xlName="_GBC_59e827e1177d4b7b8daf26999a9ca64a" concept="clcid-pte:ShiYongQuanZiChanQiTaShuoMing" label="使用权资产其他说明" appId="_GBC_3ac132175b304712af4889ae3914ef7d"/>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item xlName="_GBC_e04514c8858e489490302ba7c2e1448a" concept="clcid-ci-ar:DanWeiCaiWuFuZhuWuXingZiChanQingKuang" label="单位：财务附注：无形资产情况" selectOptions="_buildInScales" controlType="Combobox" cellType="Scale" appId="_GBC_0882d05501f84259b91efc5f2eae98cf"/>
      <m:item xlName="_GBC_5ac7324577934f838e3655199c980c1c" concept="clcid-ci-ar:BiZhongCaiWuFuZhuWuXingZiChanQingKuang" label="币种：财务附注：无形资产情况" selectOptions="_buildInISO4217" controlType="Combobox" cellType="Measure" appId="_GBC_0882d05501f84259b91efc5f2eae98cf"/>
      <m:placeholder xlName="_PLD_16e062da10ef4301a1526b8633f88a31" addr="T0R0C0S1_1"/>
      <m:placeholder xlName="_PLD_8b465b50cb10415c8931fdb66ee29ca3" addr="T0R0C1S1_1"/>
      <m:placeholder xlName="_PLD_55a0c34977f7438f8a4e60b2ec43e654" addr="T0R0C2S1_1"/>
      <m:placeholder xlName="_PLD_624f8e9465f646f5a305cf5fc59a830c" addr="T0R0C3S1_1"/>
      <m:item xlName="_GBC_ee2531f58c0a420e83919cd1efe46139" concept="clcid-pte:WuXingZiChanMingXiXiangMu" label="无形资产明细－项目" addr="T0R0C4S1_1" tagAction="1" tupleRef="clcid-pte:WuXingZiChanMingXi" appId="_GBC_0882d05501f84259b91efc5f2eae98cf" isCaption="true"/>
      <m:placeholder xlName="_PLD_57620ddc57e34012a99d49f2280a99e2" addr="T0R0C5S1_1"/>
      <m:placeholder xlName="_PLD_97ce5956782c457c89e9607c943b01d4" addr="T0R1C0S1_1"/>
      <m:placeholder xlName="_PLD_3ece69191bc64684a4f52dc219040125" addr="T0R2C0S1_1"/>
      <m:item xlName="_GBC_84311a28b60b4d4a97862433d2b17db9" concept="clcid-pte:WuXingZiChanZhongTuDiShiYongQuanYuanZhi" label="无形资产中土地使用权原值" periodRef="本期期初数" mulRef="_GBC_e04514c8858e489490302ba7c2e1448a" unitRef="_GBC_5ac7324577934f838e3655199c980c1c" addr="T0R2C1S1_1" formatStyle="Comma" appId="_GBC_0882d05501f84259b91efc5f2eae98cf"/>
      <m:item xlName="_GBC_ea934986596744ef8c877ba655d0a3e6" concept="clcid-pte:WuXingZiChanZhongZhuanLiQuanYuanZhi" label="无形资产中专利权原值" periodRef="本期期初数" mulRef="_GBC_e04514c8858e489490302ba7c2e1448a" unitRef="_GBC_5ac7324577934f838e3655199c980c1c" addr="T0R2C2S1_1" formatStyle="Comma" appId="_GBC_0882d05501f84259b91efc5f2eae98cf"/>
      <m:item xlName="_GBC_3bb4f5a66189475790a7c08a2e6e8dc7" concept="clcid-pte:WuXingZiChanZhongFeiZhuanLiJiShuYuanZhi" label="无形资产中非专利技术原值" periodRef="本期期初数" mulRef="_GBC_e04514c8858e489490302ba7c2e1448a" unitRef="_GBC_5ac7324577934f838e3655199c980c1c" addr="T0R2C3S1_1" formatStyle="Comma" appId="_GBC_0882d05501f84259b91efc5f2eae98cf"/>
      <m:item xlName="_GBC_8ed1b843ec96488c8cfebd82c238ebba" concept="clcid-pte:WuXingZiChanMingXiZhangMianYuE" label="无形资产明细－账面余额" periodRef="本期期初数" mulRef="_GBC_e04514c8858e489490302ba7c2e1448a" unitRef="_GBC_5ac7324577934f838e3655199c980c1c" addr="T0R2C4S1_1" formatStyle="Comma" tupleRef="clcid-pte:WuXingZiChanMingXi" appId="_GBC_0882d05501f84259b91efc5f2eae98cf"/>
      <m:item xlName="_GBC_68af9123af3e492898f486cf5049e1e7" concept="clcid-pte:WuXingZiChanYuanJiaZhangMianYuE" label="无形资产原价" periodRef="本期期初数" mulRef="_GBC_e04514c8858e489490302ba7c2e1448a" unitRef="_GBC_5ac7324577934f838e3655199c980c1c" addr="T0R2C5S1_1" formatStyle="Comma" appId="_GBC_0882d05501f84259b91efc5f2eae98cf">
        <m:complexRule comparator="Eq" title="无形资产原价@本期期初数" test=" $_GBC_84311a28b60b4d4a97862433d2b17db9 +  $_GBC_ea934986596744ef8c877ba655d0a3e6 +  $_GBC_3bb4f5a66189475790a7c08a2e6e8dc7 +  $_GBC_8ed1b843ec96488c8cfebd82c238ebba" id="C3fa87386bf424c00a7e403880cbc5930" serialType="1"/>
      </m:item>
      <m:placeholder xlName="_PLD_619b832ec5e340dc899fb93538a5459d" addr="T0R3C0S1_1"/>
      <m:item xlName="_GBC_2490e1c5e0334092b98b32ae9bf9660f" concept="clcid-pte:WuXingZiChanZhongTuDiShiYongQuanYuanZhiBenQiZengJiaE" label="无形资产中土地使用权原值本期增加额" mulRef="_GBC_e04514c8858e489490302ba7c2e1448a" unitRef="_GBC_5ac7324577934f838e3655199c980c1c" addr="T0R3C1S1_1" formatStyle="Comma" appId="_GBC_0882d05501f84259b91efc5f2eae98cf">
        <m:complexRule comparator="Eq" title="无形资产中土地使用权原值本期增加额" test=" $_GBC_01a22813014d488181247b90973b290e +  $_GBC_818547ee84264a7b929c42c13575210a +  $_GBC_855a4e99349a4daca719c383c5cc51de +  $_GBC_68b1c1634d8b430b8d2430ed0a1d6a19" id="Cc0658cd44f5b4dfd9de73c2cd9d403a9" serialType="1"/>
      </m:item>
      <m:item xlName="_GBC_46ffd3d0b13f4dfcbc9c7d08bd4ff3ba" concept="clcid-pte:WuXingZiChanZhongZhuanLiQuanYuanZhiBenQiZengJiaE" label="无形资产中专利权原值本期增加额" mulRef="_GBC_e04514c8858e489490302ba7c2e1448a" unitRef="_GBC_5ac7324577934f838e3655199c980c1c" addr="T0R3C2S1_1" formatStyle="Comma" appId="_GBC_0882d05501f84259b91efc5f2eae98cf">
        <m:complexRule comparator="Eq" title="无形资产中专利权原值本期增加额" test=" $_GBC_900513b870b94267b90988de2224aeb2 +  $_GBC_8e7b477916194f60a0a49fc428d611a5 +  $_GBC_1fa8897bfb304370bf6264bad0a6ddca +  $_GBC_b5f009ab3fd1422a997d83f901d96e2e" id="Cf8cc9f4bd5474bd9a57d07a5fc7cf4cc" serialType="1"/>
      </m:item>
      <m:item xlName="_GBC_04c00f8129544e3f866a94b8219b588f" concept="clcid-pte:WuXingZiChanZhongFeiZhuanLiJiShuYuanZhiBenQiZengJiaE" label="无形资产中非专利技术原值本期增加额" mulRef="_GBC_e04514c8858e489490302ba7c2e1448a" unitRef="_GBC_5ac7324577934f838e3655199c980c1c" addr="T0R3C3S1_1" formatStyle="Comma" appId="_GBC_0882d05501f84259b91efc5f2eae98cf">
        <m:complexRule comparator="Eq" title="无形资产中非专利技术原值本期增加额" test=" $_GBC_4a0881c3f69c467b9ad11ead5a08fb47 +  $_GBC_98701f1c9f1640798243f9786940829a +  $_GBC_114e417e56564e249e646a5aa12c2130 +  $_GBC_993f412620f445e88bd61968f7459ec9" id="C13d682a21cf047fb99283c3e2540269a" serialType="1"/>
      </m:item>
      <m:item xlName="_GBC_905ba25b782f4a7082c8b3e700b7f969" concept="clcid-pte:WuXingZiChanMingXiZengJiaE" label="无形资产明细－增加额" mulRef="_GBC_e04514c8858e489490302ba7c2e1448a" unitRef="_GBC_5ac7324577934f838e3655199c980c1c" addr="T0R3C4S1_1" formatStyle="Comma" tupleRef="clcid-pte:WuXingZiChanMingXi" appId="_GBC_0882d05501f84259b91efc5f2eae98cf">
        <m:complexRule comparator="Eq" title="无形资产明细－增加额" test=" $_GBC_061adecadeb547209c5e5f50531f645d +  $_GBC_363a3fe997ac41db92e0efaf59508e3b +  $_GBC_4bfbae9913d64064ac4ddc68edc55e8e +  $_GBC_0c66eaa614d14da0b0b87a56942737ed" id="C1c201b987748492a9b5741c58fe02783" serialType="1"/>
      </m:item>
      <m:item xlName="_GBC_a0ddbba821054ece8a919407e8bb4c9a" concept="clcid-pte:WuXingZiChanYuanJiaZengJiaE" label="无形资产原价（增加额）" mulRef="_GBC_e04514c8858e489490302ba7c2e1448a" unitRef="_GBC_5ac7324577934f838e3655199c980c1c" addr="T0R3C5S1_1" formatStyle="Comma" appId="_GBC_0882d05501f84259b91efc5f2eae98cf">
        <m:complexRule comparator="Eq" title="无形资产原价（增加额）" test=" $_GBC_3b54166a98d6430892ede08e3ea1368f +  $_GBC_026315d867d5429ca6cbe162f61d9b26 +  $_GBC_73a2938dc8dd494d93fb427a21906fcf +  $_GBC_29ad01d7f03a4139909a42289d945b78" id="Ce3c92cacb48f4427b0c3405ea013a4ea" serialType="1"/>
        <m:complexRule comparator="Eq" title="无形资产原价（增加额）横向合计" test=" $_GBC_2490e1c5e0334092b98b32ae9bf9660f +  $_GBC_46ffd3d0b13f4dfcbc9c7d08bd4ff3ba +  $_GBC_04c00f8129544e3f866a94b8219b588f +  $_GBC_905ba25b782f4a7082c8b3e700b7f969" id="C970b8955c1fa4881b22fde929fa59b07" serialType="1"/>
      </m:item>
      <m:placeholder xlName="_PLD_90ef4a07fa3c4f969161b700396d9ac5" addr="T0R4C0S1_1"/>
      <m:item xlName="_GBC_01a22813014d488181247b90973b290e" concept="clcid-pte:WaiGouDaoZhiDeTuDiShiYongQuanZhangMianYuanZhiZengJiaE" label="外购导致的土地使用权账面原值增加额" mulRef="_GBC_e04514c8858e489490302ba7c2e1448a" unitRef="_GBC_5ac7324577934f838e3655199c980c1c" addr="T0R4C1S1_1" formatStyle="Comma" appId="_GBC_0882d05501f84259b91efc5f2eae98cf"/>
      <m:item xlName="_GBC_900513b870b94267b90988de2224aeb2" concept="clcid-pte:WaiGouDaoZhiDeZhuanLiQuanZhangMianYuanZhiZengJiaE" label="外购导致的专利权账面原值增加额" mulRef="_GBC_e04514c8858e489490302ba7c2e1448a" unitRef="_GBC_5ac7324577934f838e3655199c980c1c" addr="T0R4C2S1_1" formatStyle="Comma" appId="_GBC_0882d05501f84259b91efc5f2eae98cf"/>
      <m:item xlName="_GBC_4a0881c3f69c467b9ad11ead5a08fb47" concept="clcid-pte:WaiGouDaoZhiDeFeiZhuanLiJiShuZhangMianYuanZhiZengJiaE" label="外购导致的非专利技术账面原值增加额" mulRef="_GBC_e04514c8858e489490302ba7c2e1448a" unitRef="_GBC_5ac7324577934f838e3655199c980c1c" addr="T0R4C3S1_1" formatStyle="Comma" appId="_GBC_0882d05501f84259b91efc5f2eae98cf"/>
      <m:item xlName="_GBC_061adecadeb547209c5e5f50531f645d" concept="clcid-pte:WuXingZiChanMingXiWaiGouDaoZhiDeYuanZhiZengJia" label="无形资产明细-外购导致的原值增加" mulRef="_GBC_e04514c8858e489490302ba7c2e1448a" unitRef="_GBC_5ac7324577934f838e3655199c980c1c" addr="T0R4C4S1_1" formatStyle="Comma" tupleRef="clcid-pte:WuXingZiChanMingXi" appId="_GBC_0882d05501f84259b91efc5f2eae98cf"/>
      <m:item xlName="_GBC_3b54166a98d6430892ede08e3ea1368f" concept="clcid-pte:WaiGouDaoZhiDeWuXingZiChanZhangMianYuanZhiZengJiaE" label="外购导致的无形资产账面原值增加额" mulRef="_GBC_e04514c8858e489490302ba7c2e1448a" unitRef="_GBC_5ac7324577934f838e3655199c980c1c" addr="T0R4C5S1_1" formatStyle="Comma" appId="_GBC_0882d05501f84259b91efc5f2eae98cf">
        <m:complexRule comparator="Eq" title="外购导致的无形资产账面原值增加额" test=" $_GBC_01a22813014d488181247b90973b290e +  $_GBC_900513b870b94267b90988de2224aeb2 +  $_GBC_4a0881c3f69c467b9ad11ead5a08fb47 +  $_GBC_061adecadeb547209c5e5f50531f645d" id="C67af77d1284d46cc8c5e1291d4c03e55" serialType="1"/>
      </m:item>
      <m:placeholder xlName="_PLD_fdfb103746a24d0281c1e921b5c8be79" addr="T0R5C0S1_1"/>
      <m:item xlName="_GBC_818547ee84264a7b929c42c13575210a" concept="clcid-pte:NeiBuYanFaDaoZhiDeTuDiShiYongQuanZhangMianYuanZhiZengJiaE" label="内部研发导致的土地使用权账面原值增加额" mulRef="_GBC_e04514c8858e489490302ba7c2e1448a" unitRef="_GBC_5ac7324577934f838e3655199c980c1c" addr="T0R5C1S1_1" formatStyle="Comma" appId="_GBC_0882d05501f84259b91efc5f2eae98cf"/>
      <m:item xlName="_GBC_8e7b477916194f60a0a49fc428d611a5" concept="clcid-pte:NeiBuYanFaDaoZhiDeZhuanLiQuanZhangMianYuanZhiZengJiaE" label="内部研发导致的专利权账面原值增加额" mulRef="_GBC_e04514c8858e489490302ba7c2e1448a" unitRef="_GBC_5ac7324577934f838e3655199c980c1c" addr="T0R5C2S1_1" formatStyle="Comma" appId="_GBC_0882d05501f84259b91efc5f2eae98cf"/>
      <m:item xlName="_GBC_98701f1c9f1640798243f9786940829a" concept="clcid-pte:NeiBuYanFaDaoZhiDeFeiZhuanLiJiShuZhangMianYuanZhiZengJiaE" label="内部研发导致的非专利技术账面原值增加额" mulRef="_GBC_e04514c8858e489490302ba7c2e1448a" unitRef="_GBC_5ac7324577934f838e3655199c980c1c" addr="T0R5C3S1_1" formatStyle="Comma" appId="_GBC_0882d05501f84259b91efc5f2eae98cf"/>
      <m:item xlName="_GBC_363a3fe997ac41db92e0efaf59508e3b" concept="clcid-pte:WuXingZiChanMingXiNeiBuYanFaDaoZhiDeYuanZhiZengJia" label="无形资产明细-内部研发导致的原值增加" mulRef="_GBC_e04514c8858e489490302ba7c2e1448a" unitRef="_GBC_5ac7324577934f838e3655199c980c1c" addr="T0R5C4S1_1" formatStyle="Comma" tupleRef="clcid-pte:WuXingZiChanMingXi" appId="_GBC_0882d05501f84259b91efc5f2eae98cf"/>
      <m:item xlName="_GBC_026315d867d5429ca6cbe162f61d9b26" concept="clcid-pte:NeiBuYanFaDaoZhiDeWuXingZiChanZhangMianYuanZhiZengJiaE" label="内部研发导致的无形资产账面原值增加额" mulRef="_GBC_e04514c8858e489490302ba7c2e1448a" unitRef="_GBC_5ac7324577934f838e3655199c980c1c" addr="T0R5C5S1_1" formatStyle="Comma" appId="_GBC_0882d05501f84259b91efc5f2eae98cf">
        <m:complexRule comparator="Eq" title="内部研发导致的无形资产账面原值增加额" test=" $_GBC_818547ee84264a7b929c42c13575210a +  $_GBC_8e7b477916194f60a0a49fc428d611a5 +  $_GBC_98701f1c9f1640798243f9786940829a +  $_GBC_363a3fe997ac41db92e0efaf59508e3b" id="C6c10bfb6451e462ab04e86b2b4759b68" serialType="1"/>
      </m:item>
      <m:placeholder xlName="_PLD_a843f8687ca145b0abf8bd1ef13c7d8f" addr="T0R6C0S1_1"/>
      <m:item xlName="_GBC_855a4e99349a4daca719c383c5cc51de" concept="clcid-pte:QiYeHeBingZengJiaDaoZhiDeTuDiShiYongQuanZhangMianYuanZhiZengJiaE" label="企业合并增加导致的土地使用权账面原值增加额" mulRef="_GBC_e04514c8858e489490302ba7c2e1448a" unitRef="_GBC_5ac7324577934f838e3655199c980c1c" addr="T0R6C1S1_1" formatStyle="Comma" appId="_GBC_0882d05501f84259b91efc5f2eae98cf"/>
      <m:item xlName="_GBC_1fa8897bfb304370bf6264bad0a6ddca" concept="clcid-pte:QiYeHeBingZengJiaDaoZhiDeZhuanLiQuanZhangMianYuanZhiZengJiaE" label="企业合并增加导致的专利权账面原值增加额" mulRef="_GBC_e04514c8858e489490302ba7c2e1448a" unitRef="_GBC_5ac7324577934f838e3655199c980c1c" addr="T0R6C2S1_1" formatStyle="Comma" appId="_GBC_0882d05501f84259b91efc5f2eae98cf"/>
      <m:item xlName="_GBC_114e417e56564e249e646a5aa12c2130" concept="clcid-pte:QiYeHeBingZengJiaDaoZhiDeFeiZhuanLiJiShuZhangMianYuanZhiZengJiaE" label="企业合并增加导致的非专利技术账面原值增加额" mulRef="_GBC_e04514c8858e489490302ba7c2e1448a" unitRef="_GBC_5ac7324577934f838e3655199c980c1c" addr="T0R6C3S1_1" formatStyle="Comma" appId="_GBC_0882d05501f84259b91efc5f2eae98cf"/>
      <m:item xlName="_GBC_4bfbae9913d64064ac4ddc68edc55e8e" concept="clcid-pte:WuXingZiChanMingXiQiYeHeBingZengJiaDaoZhiDeYuanZhiZengJia" label="无形资产明细-企业合并增加导致的原值增加" mulRef="_GBC_e04514c8858e489490302ba7c2e1448a" unitRef="_GBC_5ac7324577934f838e3655199c980c1c" addr="T0R6C4S1_1" formatStyle="Comma" tupleRef="clcid-pte:WuXingZiChanMingXi" appId="_GBC_0882d05501f84259b91efc5f2eae98cf"/>
      <m:item xlName="_GBC_73a2938dc8dd494d93fb427a21906fcf" concept="clcid-pte:QiYeHeBingZengJiaDaoZhiDeWuXingZiChanZhangMianYuanZhiZengJiaE" label="企业合并增加导致的无形资产账面原值增加额" mulRef="_GBC_e04514c8858e489490302ba7c2e1448a" unitRef="_GBC_5ac7324577934f838e3655199c980c1c" addr="T0R6C5S1_1" formatStyle="Comma" appId="_GBC_0882d05501f84259b91efc5f2eae98cf">
        <m:complexRule comparator="Eq" title="企业合并增加导致的无形资产账面原值增加额" test=" $_GBC_855a4e99349a4daca719c383c5cc51de +  $_GBC_1fa8897bfb304370bf6264bad0a6ddca +  $_GBC_114e417e56564e249e646a5aa12c2130 +  $_GBC_4bfbae9913d64064ac4ddc68edc55e8e" id="C4e5ae33458c146aaaa3bd74b461d73cb" serialType="1"/>
      </m:item>
      <m:item xlName="_GBC_23146e7638324faaa7da0b428a22d186" concept="clcid-pte:WuXingZiChanZhangMianYuanZhiZengJiaXiangMuMingCheng1" label="无形资产账面原值增加项目名称1" addr="T0R7C0S1_1" tagAction="1" formatStyle="Comma" appId="_GBC_0882d05501f84259b91efc5f2eae98cf" isSerialConcept="true" serialDirection="1" serialDefaultCount="2"/>
      <m:item xlName="_GBC_68b1c1634d8b430b8d2430ed0a1d6a19" concept="clcid-pte:WuXingZiChanTuDiShiYongQuanZhangMianYuanZhiZengJiaXiangMuJinE1" label="无形资产土地使用权账面原值增加项目金额1" mulRef="_GBC_e04514c8858e489490302ba7c2e1448a" unitRef="_GBC_5ac7324577934f838e3655199c980c1c" addr="T0R7C1S1_1" tagAction="1" formatStyle="Comma" appId="_GBC_0882d05501f84259b91efc5f2eae98cf" isSerialConcept="true" serialDirection="1"/>
      <m:item xlName="_GBC_b5f009ab3fd1422a997d83f901d96e2e" concept="clcid-pte:WuXingZiChanZhuanLiQuanZhangMianYuanZhiZengJiaXiangMuJinE1" label="无形资产专利权账面原值增加项目金额1" mulRef="_GBC_e04514c8858e489490302ba7c2e1448a" unitRef="_GBC_5ac7324577934f838e3655199c980c1c" addr="T0R7C2S1_1" tagAction="1" formatStyle="Comma" appId="_GBC_0882d05501f84259b91efc5f2eae98cf" isSerialConcept="true" serialDirection="1"/>
      <m:item xlName="_GBC_993f412620f445e88bd61968f7459ec9" concept="clcid-pte:WuXingZiChanFeiZhuanLiJiShuZhangMianYuanZhiZengJiaXiangMuJinE1" label="无形资产非专利技术账面原值增加项目金额1" mulRef="_GBC_e04514c8858e489490302ba7c2e1448a" unitRef="_GBC_5ac7324577934f838e3655199c980c1c" addr="T0R7C3S1_1" tagAction="1" formatStyle="Comma" appId="_GBC_0882d05501f84259b91efc5f2eae98cf" isSerialConcept="true" serialDirection="1"/>
      <m:item xlName="_GBC_0c66eaa614d14da0b0b87a56942737ed" concept="clcid-pte:WuXingZiChanZhangMianYuanZhiZengJiaXiangMuJinE1" label="无形资产账面原值增加项目金额1" mulRef="_GBC_e04514c8858e489490302ba7c2e1448a" unitRef="_GBC_5ac7324577934f838e3655199c980c1c" addr="T0R7C4S1_1" tagAction="1" formatStyle="Comma" tupleRef="clcid-pte:WuXingZiChanMingXi" appId="_GBC_0882d05501f84259b91efc5f2eae98cf" isSerialConcept="true" serialDirection="1"/>
      <m:item xlName="_GBC_29ad01d7f03a4139909a42289d945b78" concept="clcid-pte:WuXingZiChanZhangMianYuanZhiZengJiaXiangMuHeJiJinE1" label="无形资产账面原值增加项目合计金额1" mulRef="_GBC_e04514c8858e489490302ba7c2e1448a" unitRef="_GBC_5ac7324577934f838e3655199c980c1c" addr="T0R7C5S1_1" tagAction="1" formatStyle="Comma" appId="_GBC_0882d05501f84259b91efc5f2eae98cf" isSerialConcept="true" serialDirection="1">
        <m:complexRule comparator="Eq" title="无形资产账面原值增加项目合计金额1" disabled="true" test=" $_GBC_68b1c1634d8b430b8d2430ed0a1d6a19 +  $_GBC_b5f009ab3fd1422a997d83f901d96e2e +  $_GBC_993f412620f445e88bd61968f7459ec9 +  $_GBC_0c66eaa614d14da0b0b87a56942737ed" id="C32cd768ce541464db712d3111d31057e" serialType="2"/>
      </m:item>
      <m:placeholder xlName="_PLD_e2ff397d9d9a4a48baa098333a2effda" addr="T0R8C0S1_1"/>
      <m:item xlName="_GBC_7f2502b17635416c9bd8c37c69c705ad" concept="clcid-pte:WuXingZiChanZhongTuDiShiYongQuanYuanZhiBenQiJianShaoE" label="无形资产中土地使用权原值本期减少额" mulRef="_GBC_e04514c8858e489490302ba7c2e1448a" unitRef="_GBC_5ac7324577934f838e3655199c980c1c" addr="T0R8C1S1_1" formatStyle="Comma" appId="_GBC_0882d05501f84259b91efc5f2eae98cf">
        <m:complexRule comparator="Eq" title="无形资产中土地使用权原值本期减少额" test=" $_GBC_38e1e2ef62954a879be67b4ad80f2cd8 +  $_GBC_5791b9cc56d34ed3a6b1bb5619046fd4" id="C825922985c664bffb697a4b3f1cdec2c" serialType="1"/>
      </m:item>
      <m:item xlName="_GBC_3e69e7df8f7047ef85df3430d84b3fc6" concept="clcid-pte:WuXingZiChanZhongZhuanLiQuanYuanZhiBenQiJianShaoE" label="无形资产中专利权原值本期减少额" mulRef="_GBC_e04514c8858e489490302ba7c2e1448a" unitRef="_GBC_5ac7324577934f838e3655199c980c1c" addr="T0R8C2S1_1" formatStyle="Comma" appId="_GBC_0882d05501f84259b91efc5f2eae98cf">
        <m:complexRule comparator="Eq" title="无形资产中专利权原值本期减少额" test=" $_GBC_5faa2ab4a90640699295dd102f4ac082 +  $_GBC_a187b12be46c4986a6845dc33026b70e" id="C41b0db80c6124fd3848b1162cd403a17" serialType="1"/>
      </m:item>
      <m:item xlName="_GBC_1ab7be4c9e0f4ee4b4a29aaf2aea692c" concept="clcid-pte:WuXingZiChanZhongFeiZhuanLiJiShuYuanZhiBenQiJianShaoE" label="无形资产中非专利技术原值本期减少额" mulRef="_GBC_e04514c8858e489490302ba7c2e1448a" unitRef="_GBC_5ac7324577934f838e3655199c980c1c" addr="T0R8C3S1_1" formatStyle="Comma" appId="_GBC_0882d05501f84259b91efc5f2eae98cf">
        <m:complexRule comparator="Eq" title="无形资产中非专利技术原值本期减少额" test=" $_GBC_7e3fa1c8f2154d9b84228afa0e226317 +  $_GBC_3d6177bde73241c09725cc86b9009958" id="Cf5eb9d04a5de4ab2aa41af2d9f4c870d" serialType="1"/>
      </m:item>
      <m:item xlName="_GBC_c7d9968657264583a47e05aa9cc3dd3c" concept="clcid-pte:WuXingZiChanMingXiJianShaoE" label="无形资产明细－减少额" mulRef="_GBC_e04514c8858e489490302ba7c2e1448a" unitRef="_GBC_5ac7324577934f838e3655199c980c1c" addr="T0R8C4S1_1" formatStyle="Comma" tupleRef="clcid-pte:WuXingZiChanMingXi" appId="_GBC_0882d05501f84259b91efc5f2eae98cf">
        <m:complexRule comparator="Eq" title="无形资产明细－减少额" test=" $_GBC_49e3cb5d0688407ab28f31b1694e1f65 +  $_GBC_6bbb19b31f594798a9421218462f8883" id="Ce81e3bee4cae4c09ad2fcd9e8bd84c89" serialType="1"/>
      </m:item>
      <m:item xlName="_GBC_2417eac70b8a496d88ab6c27726f91f6" concept="clcid-pte:WuXingZiChanYuanJiaJianShaoE" label="无形资产原价（减少额）" mulRef="_GBC_e04514c8858e489490302ba7c2e1448a" unitRef="_GBC_5ac7324577934f838e3655199c980c1c" addr="T0R8C5S1_1" formatStyle="Comma" appId="_GBC_0882d05501f84259b91efc5f2eae98cf">
        <m:complexRule comparator="Eq" title="无形资产原价（减少额）" test=" $_GBC_b9a2cc50e53f4ebcb98cada67cc26f44 +  $_GBC_333bceb4bfb942ca90170e359bb81b89" id="C1e53e5bf5ab2496d947e21eae273c225" serialType="1"/>
        <m:complexRule comparator="Eq" title="无形资产原价（减少额）横向合计" test=" $_GBC_7f2502b17635416c9bd8c37c69c705ad +  $_GBC_3e69e7df8f7047ef85df3430d84b3fc6 +  $_GBC_1ab7be4c9e0f4ee4b4a29aaf2aea692c +  $_GBC_c7d9968657264583a47e05aa9cc3dd3c" id="Cca0008e4855d44da90fe03504b7f016a" serialType="1"/>
      </m:item>
      <m:placeholder xlName="_PLD_01039cac859c46279f030f4ef8891ef8" addr="T0R9C0S1_1"/>
      <m:item xlName="_GBC_38e1e2ef62954a879be67b4ad80f2cd8" concept="clcid-pte:ChuZhiDaoZhiDeTuDiShiYongQuanZhangMianYuanZhiJianShaoE" label="处置导致的土地使用权账面原值减少额" mulRef="_GBC_e04514c8858e489490302ba7c2e1448a" unitRef="_GBC_5ac7324577934f838e3655199c980c1c" addr="T0R9C1S1_1" formatStyle="Comma" appId="_GBC_0882d05501f84259b91efc5f2eae98cf"/>
      <m:item xlName="_GBC_5faa2ab4a90640699295dd102f4ac082" concept="clcid-pte:ChuZhiDaoZhiDeZhuanLiQuanZhangMianYuanZhiJianShaoE" label="处置导致的专利权账面原值减少额" mulRef="_GBC_e04514c8858e489490302ba7c2e1448a" unitRef="_GBC_5ac7324577934f838e3655199c980c1c" addr="T0R9C2S1_1" formatStyle="Comma" appId="_GBC_0882d05501f84259b91efc5f2eae98cf"/>
      <m:item xlName="_GBC_7e3fa1c8f2154d9b84228afa0e226317" concept="clcid-pte:ChuZhiDaoZhiDeFeiZhuanLiJiShuZhangMianYuanZhiJianShaoE" label="处置导致的非专利技术账面原值减少额" mulRef="_GBC_e04514c8858e489490302ba7c2e1448a" unitRef="_GBC_5ac7324577934f838e3655199c980c1c" addr="T0R9C3S1_1" formatStyle="Comma" appId="_GBC_0882d05501f84259b91efc5f2eae98cf"/>
      <m:item xlName="_GBC_49e3cb5d0688407ab28f31b1694e1f65" concept="clcid-pte:WuXingZiChanMingXiChuZhiDaoZhiDeYuanZhiJianShao" label="无形资产明细-处置导致的原值减少" mulRef="_GBC_e04514c8858e489490302ba7c2e1448a" unitRef="_GBC_5ac7324577934f838e3655199c980c1c" addr="T0R9C4S1_1" formatStyle="Comma" tupleRef="clcid-pte:WuXingZiChanMingXi" appId="_GBC_0882d05501f84259b91efc5f2eae98cf"/>
      <m:item xlName="_GBC_b9a2cc50e53f4ebcb98cada67cc26f44" concept="clcid-pte:ChuZhiDaoZhiDeWuXingZiChanZhangMianYuanZhiJianShaoE" label="处置导致的无形资产账面原值减少额" mulRef="_GBC_e04514c8858e489490302ba7c2e1448a" unitRef="_GBC_5ac7324577934f838e3655199c980c1c" addr="T0R9C5S1_1" formatStyle="Comma" appId="_GBC_0882d05501f84259b91efc5f2eae98cf">
        <m:complexRule comparator="Eq" title="处置导致的无形资产账面原值减少额" test=" $_GBC_38e1e2ef62954a879be67b4ad80f2cd8 +  $_GBC_5faa2ab4a90640699295dd102f4ac082 +  $_GBC_7e3fa1c8f2154d9b84228afa0e226317 +  $_GBC_49e3cb5d0688407ab28f31b1694e1f65" id="Cbe2d8bc8b0c74435a4a812f7c1e6da18" serialType="1"/>
      </m:item>
      <m:item xlName="_GBC_75be63f1efb54632be12885a949e8472" concept="clcid-pte:WuXingZiChanZhangMianYuanZhiJianShaoXiangMuMingCheng1" label="无形资产账面原值减少项目名称1" addr="T0R10C0S1_1" tagAction="1" formatStyle="Comma" appId="_GBC_0882d05501f84259b91efc5f2eae98cf" isSerialConcept="true" serialDirection="1" serialDefaultCount="2"/>
      <m:item xlName="_GBC_5791b9cc56d34ed3a6b1bb5619046fd4" concept="clcid-pte:WuXingZiChanTuDiShiYongQuanZhangMianYuanZhiJianShaoXiangMuJinE1" label="无形资产土地使用权账面原值减少项目金额1" mulRef="_GBC_e04514c8858e489490302ba7c2e1448a" unitRef="_GBC_5ac7324577934f838e3655199c980c1c" addr="T0R10C1S1_1" tagAction="1" formatStyle="Comma" appId="_GBC_0882d05501f84259b91efc5f2eae98cf" isSerialConcept="true" serialDirection="1"/>
      <m:item xlName="_GBC_a187b12be46c4986a6845dc33026b70e" concept="clcid-pte:WuXingZiChanZhuanLiQuanZhangMianYuanZhiJianShaoXiangMuJinE1" label="无形资产专利权账面原值减少项目金额1" mulRef="_GBC_e04514c8858e489490302ba7c2e1448a" unitRef="_GBC_5ac7324577934f838e3655199c980c1c" addr="T0R10C2S1_1" tagAction="1" formatStyle="Comma" appId="_GBC_0882d05501f84259b91efc5f2eae98cf" isSerialConcept="true" serialDirection="1"/>
      <m:item xlName="_GBC_3d6177bde73241c09725cc86b9009958" concept="clcid-pte:WuXingZiChanFeiZhuanLiJiShuZhangMianYuanZhiJianShaoXiangMuJinE1" label="无形资产非专利技术账面原值减少项目金额1" mulRef="_GBC_e04514c8858e489490302ba7c2e1448a" unitRef="_GBC_5ac7324577934f838e3655199c980c1c" addr="T0R10C3S1_1" tagAction="1" formatStyle="Comma" appId="_GBC_0882d05501f84259b91efc5f2eae98cf" isSerialConcept="true" serialDirection="1"/>
      <m:item xlName="_GBC_6bbb19b31f594798a9421218462f8883" concept="clcid-pte:WuXingZiChanZhangMianYuanZhiJianShaoXiangMuJinE1" label="无形资产账面原值减少项目金额1" mulRef="_GBC_e04514c8858e489490302ba7c2e1448a" unitRef="_GBC_5ac7324577934f838e3655199c980c1c" addr="T0R10C4S1_1" tagAction="1" formatStyle="Comma" tupleRef="clcid-pte:WuXingZiChanMingXi" appId="_GBC_0882d05501f84259b91efc5f2eae98cf" isSerialConcept="true" serialDirection="1"/>
      <m:item xlName="_GBC_333bceb4bfb942ca90170e359bb81b89" concept="clcid-pte:WuXingZiChanZhangMianYuanZhiJianShaoXiangMuHeJiJinE1" label="无形资产账面原值减少项目合计金额1" mulRef="_GBC_e04514c8858e489490302ba7c2e1448a" unitRef="_GBC_5ac7324577934f838e3655199c980c1c" addr="T0R10C5S1_1" tagAction="1" formatStyle="Comma" appId="_GBC_0882d05501f84259b91efc5f2eae98cf" isSerialConcept="true" serialDirection="1">
        <m:complexRule comparator="Eq" title="无形资产账面原值减少项目合计金额1" disabled="true" test=" $_GBC_5791b9cc56d34ed3a6b1bb5619046fd4 +  $_GBC_a187b12be46c4986a6845dc33026b70e +  $_GBC_3d6177bde73241c09725cc86b9009958 +  $_GBC_6bbb19b31f594798a9421218462f8883" id="C68fa3f70d6ff430fa39529cdc373b2f0" serialType="2"/>
      </m:item>
      <m:placeholder xlName="_PLD_4f7e6faa1a2a40ff9644db9d2bcd8070" addr="T0R11C0S1_1"/>
      <m:item xlName="_GBC_678513d0cfc34461a07bb4b42557f615" concept="clcid-pte:WuXingZiChanZhongTuDiShiYongQuanYuanZhi" label="无形资产中土地使用权原值" mulRef="_GBC_e04514c8858e489490302ba7c2e1448a" unitRef="_GBC_5ac7324577934f838e3655199c980c1c" addr="T0R11C1S1_1" formatStyle="Comma" appId="_GBC_0882d05501f84259b91efc5f2eae98cf">
        <m:complexRule comparator="Eq" title="无形资产中土地使用权原值" test=" $_GBC_84311a28b60b4d4a97862433d2b17db9 +  $_GBC_2490e1c5e0334092b98b32ae9bf9660f -  $_GBC_7f2502b17635416c9bd8c37c69c705ad" id="Ca05d55389e884e14bdf92a44c5ba3b9b"/>
      </m:item>
      <m:item xlName="_GBC_7de1974243c44ad6a5bf7ab578402947" concept="clcid-pte:WuXingZiChanZhongZhuanLiQuanYuanZhi" label="无形资产中专利权原值" mulRef="_GBC_e04514c8858e489490302ba7c2e1448a" unitRef="_GBC_5ac7324577934f838e3655199c980c1c" addr="T0R11C2S1_1" formatStyle="Comma" appId="_GBC_0882d05501f84259b91efc5f2eae98cf">
        <m:complexRule comparator="Eq" title="无形资产中专利权原值" test=" $_GBC_ea934986596744ef8c877ba655d0a3e6 +  $_GBC_46ffd3d0b13f4dfcbc9c7d08bd4ff3ba -  $_GBC_3e69e7df8f7047ef85df3430d84b3fc6" id="C17cb23b757574fa890dd14c2e5d7e302"/>
      </m:item>
      <m:item xlName="_GBC_b74bc16d48e5471e915171e376340f4c" concept="clcid-pte:WuXingZiChanZhongFeiZhuanLiJiShuYuanZhi" label="无形资产中非专利技术原值" mulRef="_GBC_e04514c8858e489490302ba7c2e1448a" unitRef="_GBC_5ac7324577934f838e3655199c980c1c" addr="T0R11C3S1_1" formatStyle="Comma" appId="_GBC_0882d05501f84259b91efc5f2eae98cf">
        <m:complexRule comparator="Eq" title="无形资产中非专利技术原值" test=" $_GBC_3bb4f5a66189475790a7c08a2e6e8dc7 +  $_GBC_04c00f8129544e3f866a94b8219b588f -  $_GBC_1ab7be4c9e0f4ee4b4a29aaf2aea692c" id="C73a12ed993da40c4bb5d0d274a85ca84"/>
      </m:item>
      <m:item xlName="_GBC_46b9177ac878454cb5553a1537791fcb" concept="clcid-pte:WuXingZiChanMingXiZhangMianYuE" label="无形资产明细－账面余额" mulRef="_GBC_e04514c8858e489490302ba7c2e1448a" unitRef="_GBC_5ac7324577934f838e3655199c980c1c" addr="T0R11C4S1_1" formatStyle="Comma" tupleRef="clcid-pte:WuXingZiChanMingXi" appId="_GBC_0882d05501f84259b91efc5f2eae98cf">
        <m:complexRule comparator="Eq" title="无形资产明细－账面余额" test=" $_GBC_8ed1b843ec96488c8cfebd82c238ebba +  $_GBC_905ba25b782f4a7082c8b3e700b7f969 -  $_GBC_c7d9968657264583a47e05aa9cc3dd3c" id="C08d430f2a1ad44b08dd55f9040dd7217"/>
      </m:item>
      <m:item xlName="_GBC_7f0f3d498a1a42448f8de9f919187d1c" concept="clcid-pte:WuXingZiChanYuanJiaZhangMianYuE" label="无形资产原价" mulRef="_GBC_e04514c8858e489490302ba7c2e1448a" unitRef="_GBC_5ac7324577934f838e3655199c980c1c" addr="T0R11C5S1_1" formatStyle="Comma" appId="_GBC_0882d05501f84259b91efc5f2eae98cf">
        <m:complexRule comparator="Eq" title="无形资产原价" test=" $_GBC_68af9123af3e492898f486cf5049e1e7 +  $_GBC_a0ddbba821054ece8a919407e8bb4c9a -  $_GBC_2417eac70b8a496d88ab6c27726f91f6" id="Cd174f2bfad68445a94aa13d12f724d3e"/>
      </m:item>
      <m:placeholder xlName="_PLD_3d92ef615d3b41e5abb58e018e2db72b" addr="T0R12C0S1_1"/>
      <m:placeholder xlName="_PLD_193e5febfa90446ca630ebb42ca96e06" addr="T0R13C0S1_1"/>
      <m:item xlName="_GBC_ff9de93c3a1a4dc287c5d01fb920e1f8" concept="clcid-pte:WuXingZiChanZhongTuDiShiYongQuanLeiJiTanXiao" label="无形资产中土地使用权累计摊销" periodRef="本期期初数" mulRef="_GBC_e04514c8858e489490302ba7c2e1448a" unitRef="_GBC_5ac7324577934f838e3655199c980c1c" addr="T0R13C1S1_1" formatStyle="Comma" appId="_GBC_0882d05501f84259b91efc5f2eae98cf"/>
      <m:item xlName="_GBC_3c167241ce744930825e3aedf9aee145" concept="clcid-pte:WuXingZiChanZhongZhuanLiQuanLeiJiTanXiao" label="无形资产中专利权累计摊销" periodRef="本期期初数" mulRef="_GBC_e04514c8858e489490302ba7c2e1448a" unitRef="_GBC_5ac7324577934f838e3655199c980c1c" addr="T0R13C2S1_1" formatStyle="Comma" appId="_GBC_0882d05501f84259b91efc5f2eae98cf"/>
      <m:item xlName="_GBC_140cd590f13e4bdcac61cf8b7ffe2eca" concept="clcid-pte:WuXingZiChanZhongFeiZhuanLiJiShuLeiJiTanXiao" label="无形资产中非专利技术累计摊销" periodRef="本期期初数" mulRef="_GBC_e04514c8858e489490302ba7c2e1448a" unitRef="_GBC_5ac7324577934f838e3655199c980c1c" addr="T0R13C3S1_1" formatStyle="Comma" appId="_GBC_0882d05501f84259b91efc5f2eae98cf"/>
      <m:item xlName="_GBC_2359121a20ca4225a2448deab3264ff4" concept="clcid-pte:WuXingZiChanZhongLeiLeiJiTanXiaoShu" label="无形资产累计摊销数" periodRef="本期期初数" mulRef="_GBC_e04514c8858e489490302ba7c2e1448a" unitRef="_GBC_5ac7324577934f838e3655199c980c1c" addr="T0R13C4S1_1" formatStyle="Comma" tupleRef="clcid-pte:WuXingZiChanMingXi" appId="_GBC_0882d05501f84259b91efc5f2eae98cf"/>
      <m:item xlName="_GBC_8a7994a435d54ec0b3cdfd2352127809" concept="clcid-pte:WuXingZiChanLeiJiTanXiaoZhangMianYuE" label="无形资产累计折旧" periodRef="本期期初数" mulRef="_GBC_e04514c8858e489490302ba7c2e1448a" unitRef="_GBC_5ac7324577934f838e3655199c980c1c" addr="T0R13C5S1_1" formatStyle="Comma" appId="_GBC_0882d05501f84259b91efc5f2eae98cf">
        <m:complexRule comparator="Eq" title="无形资产累计折旧@本期期初数" test=" $_GBC_ff9de93c3a1a4dc287c5d01fb920e1f8 +  $_GBC_3c167241ce744930825e3aedf9aee145 +  $_GBC_140cd590f13e4bdcac61cf8b7ffe2eca +  $_GBC_2359121a20ca4225a2448deab3264ff4" id="C90ab721d3aaa4f7b969476e8a252dd90" serialType="1"/>
      </m:item>
      <m:placeholder xlName="_PLD_1002de94b721483c99b3b05a42a37601" addr="T0R14C0S1_1"/>
      <m:item xlName="_GBC_03a73d1176364216bc1f71726d6bc318" concept="clcid-pte:WuXingZiChanZhongTuDiShiYongQuanLeiJiTanXiaoBenQiZengJiaE" label="无形资产中土地使用权累计摊销本期增加额" mulRef="_GBC_e04514c8858e489490302ba7c2e1448a" unitRef="_GBC_5ac7324577934f838e3655199c980c1c" addr="T0R14C1S1_1" formatStyle="Comma" appId="_GBC_0882d05501f84259b91efc5f2eae98cf">
        <m:complexRule comparator="Eq" title="无形资产中土地使用权累计摊销本期增加额" test=" $_GBC_7d8736e604d346f48a9434acd32a15ab +  $_GBC_6f3b78a39f1f45348d4b4dcd0d2b0569" id="Cca1ac5d5f4c4464fa08b677500355628" serialType="1"/>
      </m:item>
      <m:item xlName="_GBC_6dd28179fe9043acabbbb791a72aed06" concept="clcid-pte:WuXingZiChanZhongZhuanLiQuanLeiJiTanXiaoBenQiZengJiaE" label="无形资产中专利权累计摊销本期增加额" mulRef="_GBC_e04514c8858e489490302ba7c2e1448a" unitRef="_GBC_5ac7324577934f838e3655199c980c1c" addr="T0R14C2S1_1" formatStyle="Comma" appId="_GBC_0882d05501f84259b91efc5f2eae98cf">
        <m:complexRule comparator="Eq" title="无形资产中专利权累计摊销本期增加额" test=" $_GBC_79a8aa1b02b54b2d98be49c27b468705 +  $_GBC_5324450a41a94517b586eb91c729ea6d" id="C33066c2cf15c485da1c38de4a1f0d1bc" serialType="1"/>
      </m:item>
      <m:item xlName="_GBC_c1336df70d684a37a00a0668d2744b9b" concept="clcid-pte:WuXingZiChanZhongFeiZhuanLiJiShuLeiJiTanXiaoBenQiZengJiaE" label="无形资产中非专利技术累计摊销本期增加额" mulRef="_GBC_e04514c8858e489490302ba7c2e1448a" unitRef="_GBC_5ac7324577934f838e3655199c980c1c" addr="T0R14C3S1_1" formatStyle="Comma" appId="_GBC_0882d05501f84259b91efc5f2eae98cf">
        <m:complexRule comparator="Eq" title="无形资产中非专利技术累计摊销本期增加额" test=" $_GBC_0e2486c2835943e4a38b1bdf52c2c5d7 +  $_GBC_4a761a5ccfea4b0dac40e38b69d5d86f" id="C3e752fe575f1433187cd9bcf7fdbfe0d" serialType="1"/>
      </m:item>
      <m:item xlName="_GBC_6d0fb5e1546e4bdbbe45afe320b93957" concept="clcid-pte:WuXingZiChanMingXiLeiJiTanXiaoZengJia" label="无形资产明细-累计摊销增加" mulRef="_GBC_e04514c8858e489490302ba7c2e1448a" unitRef="_GBC_5ac7324577934f838e3655199c980c1c" addr="T0R14C4S1_1" formatStyle="Comma" tupleRef="clcid-pte:WuXingZiChanMingXi" appId="_GBC_0882d05501f84259b91efc5f2eae98cf">
        <m:complexRule comparator="Eq" title="无形资产明细-累计摊销增加" test=" $_GBC_117f68a975584ca9b609adbc990291b2 +  $_GBC_be793f363ede4d81a059f7c3f73d8e7c" id="C48f397e6f7654ccfadee879af010ca64" serialType="1"/>
      </m:item>
      <m:item xlName="_GBC_27a3ac9901e7429796cc375a0e5f97cb" concept="clcid-pte:WuXingZiChanLeiJiTanXiaoZengJiaE" label="无形资产累计折旧（增加额）" mulRef="_GBC_e04514c8858e489490302ba7c2e1448a" unitRef="_GBC_5ac7324577934f838e3655199c980c1c" addr="T0R14C5S1_1" formatStyle="Comma" appId="_GBC_0882d05501f84259b91efc5f2eae98cf">
        <m:complexRule comparator="Eq" title="无形资产累计折旧（增加额）" test=" $_GBC_69e01be95f71432095c7e4ca5b92f201 +  $_GBC_2786960157f34a39a4cf247d142f7392" id="Cd9e5d7ced4cc43deaf96ec3bab9fa348" serialType="1"/>
        <m:complexRule comparator="Eq" title="无形资产累计折旧（增加额）横向合计" test=" $_GBC_03a73d1176364216bc1f71726d6bc318 +  $_GBC_6dd28179fe9043acabbbb791a72aed06 +  $_GBC_c1336df70d684a37a00a0668d2744b9b +  $_GBC_6d0fb5e1546e4bdbbe45afe320b93957" id="C07fe2e03923b476ab6f0ed922b66e4f9" serialType="1"/>
      </m:item>
      <m:placeholder xlName="_PLD_8a3c7c560c054537b4caae539fe46c59" addr="T0R15C0S1_1"/>
      <m:item xlName="_GBC_7d8736e604d346f48a9434acd32a15ab" concept="clcid-pte:JiTiDaoZhiDeTuDiShiYongQuanLeiJiTanXiaoZengJiaE" label="计提导致的土地使用权累计摊销增加额" mulRef="_GBC_e04514c8858e489490302ba7c2e1448a" unitRef="_GBC_5ac7324577934f838e3655199c980c1c" addr="T0R15C1S1_1" formatStyle="Comma" appId="_GBC_0882d05501f84259b91efc5f2eae98cf"/>
      <m:item xlName="_GBC_79a8aa1b02b54b2d98be49c27b468705" concept="clcid-pte:JiTiDaoZhiDeZhuanLiQuanLeiJiTanXiaoZengJiaE" label="计提导致的专利权累计摊销增加额" mulRef="_GBC_e04514c8858e489490302ba7c2e1448a" unitRef="_GBC_5ac7324577934f838e3655199c980c1c" addr="T0R15C2S1_1" formatStyle="Comma" appId="_GBC_0882d05501f84259b91efc5f2eae98cf"/>
      <m:item xlName="_GBC_0e2486c2835943e4a38b1bdf52c2c5d7" concept="clcid-pte:JiTiDaoZhiDeFeiZhuanLiJiShuLeiJiTanXiaoZengJiaE" label="计提导致的非专利技术累计摊销增加额" mulRef="_GBC_e04514c8858e489490302ba7c2e1448a" unitRef="_GBC_5ac7324577934f838e3655199c980c1c" addr="T0R15C3S1_1" formatStyle="Comma" appId="_GBC_0882d05501f84259b91efc5f2eae98cf"/>
      <m:item xlName="_GBC_117f68a975584ca9b609adbc990291b2" concept="clcid-pte:WuXingZiChanMingXiJiTiDaoZhiDeLeiJiTanXiaoZengJia" label="无形资产明细-计提导致的累计摊销增加" mulRef="_GBC_e04514c8858e489490302ba7c2e1448a" unitRef="_GBC_5ac7324577934f838e3655199c980c1c" addr="T0R15C4S1_1" formatStyle="Comma" tupleRef="clcid-pte:WuXingZiChanMingXi" appId="_GBC_0882d05501f84259b91efc5f2eae98cf"/>
      <m:item xlName="_GBC_69e01be95f71432095c7e4ca5b92f201" concept="clcid-pte:JiTiDaoZhiDeWuXingZiChanLeiJiTanXiaoZengJiaE" label="计提导致的无形资产累计摊销增加额" mulRef="_GBC_e04514c8858e489490302ba7c2e1448a" unitRef="_GBC_5ac7324577934f838e3655199c980c1c" addr="T0R15C5S1_1" formatStyle="Comma" appId="_GBC_0882d05501f84259b91efc5f2eae98cf">
        <m:complexRule comparator="Eq" title="计提导致的无形资产累计摊销增加额" test=" $_GBC_7d8736e604d346f48a9434acd32a15ab +  $_GBC_79a8aa1b02b54b2d98be49c27b468705 +  $_GBC_0e2486c2835943e4a38b1bdf52c2c5d7 +  $_GBC_117f68a975584ca9b609adbc990291b2" id="C37c7c3f0792b457eb720a97d6ab3aebb" serialType="1"/>
      </m:item>
      <m:item xlName="_GBC_4c50300c8d7948e29642049bd51cde3e" concept="clcid-pte:WuXingZiChanLeiJiTanXiaoZengJiaXiangMuMingCheng1" label="无形资产累计摊销增加项目名称1" addr="T0R16C0S1_1" tagAction="1" formatStyle="Comma" appId="_GBC_0882d05501f84259b91efc5f2eae98cf" isSerialConcept="true" serialDirection="1" serialDefaultCount="2"/>
      <m:item xlName="_GBC_6f3b78a39f1f45348d4b4dcd0d2b0569" concept="clcid-pte:WuXingZiChanTuDiShiYongQuanLeiJiTanXiaoZengJiaXiangMuJinE1" label="无形资产土地使用权累计摊销增加项目金额1" mulRef="_GBC_e04514c8858e489490302ba7c2e1448a" unitRef="_GBC_5ac7324577934f838e3655199c980c1c" addr="T0R16C1S1_1" tagAction="1" formatStyle="Comma" appId="_GBC_0882d05501f84259b91efc5f2eae98cf" isSerialConcept="true" serialDirection="1"/>
      <m:item xlName="_GBC_5324450a41a94517b586eb91c729ea6d" concept="clcid-pte:WuXingZiChanZhuanLiJiShuLeiJiTanXiaoZengJiaXiangMuJinE1" label="无形资产专利技术累计摊销增加项目金额1" mulRef="_GBC_e04514c8858e489490302ba7c2e1448a" unitRef="_GBC_5ac7324577934f838e3655199c980c1c" addr="T0R16C2S1_1" tagAction="1" formatStyle="Comma" appId="_GBC_0882d05501f84259b91efc5f2eae98cf" isSerialConcept="true" serialDirection="1"/>
      <m:item xlName="_GBC_4a761a5ccfea4b0dac40e38b69d5d86f" concept="clcid-pte:WuXingZiChanFeiZhuanLiJiShuLeiJiTanXiaoZengJiaXiangMuJinE1" label="无形资产非专利技术累计摊销增加项目金额1" mulRef="_GBC_e04514c8858e489490302ba7c2e1448a" unitRef="_GBC_5ac7324577934f838e3655199c980c1c" addr="T0R16C3S1_1" tagAction="1" formatStyle="Comma" appId="_GBC_0882d05501f84259b91efc5f2eae98cf" isSerialConcept="true" serialDirection="1"/>
      <m:item xlName="_GBC_be793f363ede4d81a059f7c3f73d8e7c" concept="clcid-pte:WuXingZiChanLeiJiTanXiaoZengJiaXiangMuJinE1" label="无形资产累计摊销增加项目金额1" mulRef="_GBC_e04514c8858e489490302ba7c2e1448a" unitRef="_GBC_5ac7324577934f838e3655199c980c1c" addr="T0R16C4S1_1" tagAction="1" formatStyle="Comma" tupleRef="clcid-pte:WuXingZiChanMingXi" appId="_GBC_0882d05501f84259b91efc5f2eae98cf" isSerialConcept="true" serialDirection="1"/>
      <m:item xlName="_GBC_2786960157f34a39a4cf247d142f7392" concept="clcid-pte:WuXingZiChanLeiJiTanXiaoZengJiaXiangMuHeJiJinE1" label="无形资产累计摊销增加项目合计金额1" mulRef="_GBC_e04514c8858e489490302ba7c2e1448a" unitRef="_GBC_5ac7324577934f838e3655199c980c1c" addr="T0R16C5S1_1" tagAction="1" formatStyle="Comma" appId="_GBC_0882d05501f84259b91efc5f2eae98cf" isSerialConcept="true" serialDirection="1">
        <m:complexRule comparator="Eq" title="无形资产累计摊销增加项目合计金额1" disabled="true" test=" $_GBC_6f3b78a39f1f45348d4b4dcd0d2b0569 +  $_GBC_5324450a41a94517b586eb91c729ea6d +  $_GBC_4a761a5ccfea4b0dac40e38b69d5d86f +  $_GBC_be793f363ede4d81a059f7c3f73d8e7c" id="C9d2790d4b8da4a1aa1e52227c545e2bd" serialType="2"/>
      </m:item>
      <m:placeholder xlName="_PLD_915cb31bb4224f868e630c1166a0d717" addr="T0R17C0S1_1"/>
      <m:item xlName="_GBC_1f5f0d0334bd483bb5d0cc3d38671c5c" concept="clcid-pte:WuXingZiChanZhongTuDiShiYongQuanLeiJiTanXiaoBenQiJianShaoE" label="无形资产中土地使用权累计摊销本期减少额" mulRef="_GBC_e04514c8858e489490302ba7c2e1448a" unitRef="_GBC_5ac7324577934f838e3655199c980c1c" addr="T0R17C1S1_1" formatStyle="Comma" appId="_GBC_0882d05501f84259b91efc5f2eae98cf">
        <m:complexRule comparator="Eq" title="无形资产中土地使用权累计摊销本期减少额" test=" $_GBC_747ee358c482442799aad7f6665bb99e +  $_GBC_987ef0db30024afcb4aface24a92b120" id="C6fdd82c355ba4524b676ba9bd22dd708" serialType="1"/>
      </m:item>
      <m:item xlName="_GBC_928a474b3889413e80dd28ebc9ce6625" concept="clcid-pte:WuXingZiChanZhongZhuanLiQuanLeiJiTanXiaoBenQiJianShaoE" label="无形资产中专利权累计摊销本期减少额" mulRef="_GBC_e04514c8858e489490302ba7c2e1448a" unitRef="_GBC_5ac7324577934f838e3655199c980c1c" addr="T0R17C2S1_1" formatStyle="Comma" appId="_GBC_0882d05501f84259b91efc5f2eae98cf">
        <m:complexRule comparator="Eq" title="无形资产中专利权累计摊销本期减少额" test=" $_GBC_ad693cb347f0453e9f6d5c81303f2477 +  $_GBC_78c34a803d9e49378c074a1e28eb4c3a" id="C498f1a1a756146489b3db0611e4eb501" serialType="1"/>
      </m:item>
      <m:item xlName="_GBC_b7026e195b5044a5a6144acd9956f1c6" concept="clcid-pte:WuXingZiChanZhongFeiZhuanLiJiShuLeiJiTanXiaoBenQiJianShaoE" label="无形资产中非专利技术累计摊销本期减少额" mulRef="_GBC_e04514c8858e489490302ba7c2e1448a" unitRef="_GBC_5ac7324577934f838e3655199c980c1c" addr="T0R17C3S1_1" formatStyle="Comma" appId="_GBC_0882d05501f84259b91efc5f2eae98cf">
        <m:complexRule comparator="Eq" title="无形资产中非专利技术累计摊销本期减少额" test=" $_GBC_90d807313bf0421180b1d1e070a0a920 +  $_GBC_2382de0ed7df4e29a7e6cf61e594373f" id="C833009490aa843fabbe5faf67b75585e" serialType="1"/>
      </m:item>
      <m:item xlName="_GBC_3892915ecbd7460b8484b6c43112c1d3" concept="clcid-pte:WuXingZiChanMingXiLeiJiTanXiaoJianShao" label="无形资产明细-累计摊销减少" mulRef="_GBC_e04514c8858e489490302ba7c2e1448a" unitRef="_GBC_5ac7324577934f838e3655199c980c1c" addr="T0R17C4S1_1" formatStyle="Comma" tupleRef="clcid-pte:WuXingZiChanMingXi" appId="_GBC_0882d05501f84259b91efc5f2eae98cf">
        <m:complexRule comparator="Eq" title="无形资产明细-累计摊销减少" test=" $_GBC_c38e431713ca4cb493161ea03e6b44ab +  $_GBC_d780250aa2144176a5374f9330f1e913" id="C71a125b0c8bd4303a0416a0e228da577" serialType="1"/>
      </m:item>
      <m:item xlName="_GBC_176b59254baa47a29ecc0544c51d94ef" concept="clcid-pte:WuXingZiChanLeiJiTanXiaoJianShaoE" label="无形资产累计折旧（减少额）" mulRef="_GBC_e04514c8858e489490302ba7c2e1448a" unitRef="_GBC_5ac7324577934f838e3655199c980c1c" addr="T0R17C5S1_1" formatStyle="Comma" appId="_GBC_0882d05501f84259b91efc5f2eae98cf">
        <m:complexRule comparator="Eq" title="无形资产累计折旧（减少额）横向合计" test=" $_GBC_1f5f0d0334bd483bb5d0cc3d38671c5c +  $_GBC_928a474b3889413e80dd28ebc9ce6625 +  $_GBC_b7026e195b5044a5a6144acd9956f1c6 +  $_GBC_3892915ecbd7460b8484b6c43112c1d3" id="C4c82dae1442e4b2b8b1e812131c56c3f" serialType="1"/>
        <m:complexRule comparator="Eq" title="无形资产累计折旧（减少额）" test=" $_GBC_122fa9662d194f238bca4b25db2921ff +  $_GBC_ce3de533f641438f96cdd26f528b12f9" id="C1b5196530b0c416da269b18afb809ff1" serialType="1"/>
      </m:item>
      <m:placeholder xlName="_PLD_0d3cdfa6a81e4a8ab3796288b6ac246d" addr="T0R18C0S1_1"/>
      <m:item xlName="_GBC_747ee358c482442799aad7f6665bb99e" concept="clcid-pte:ChuZhiDaoZhiDeTuDiShiYongQuanLeiJiTanXiaoJianShaoE" label="处置导致的土地使用权累计摊销减少额" mulRef="_GBC_e04514c8858e489490302ba7c2e1448a" unitRef="_GBC_5ac7324577934f838e3655199c980c1c" addr="T0R18C1S1_1" formatStyle="Comma" appId="_GBC_0882d05501f84259b91efc5f2eae98cf"/>
      <m:item xlName="_GBC_ad693cb347f0453e9f6d5c81303f2477" concept="clcid-pte:ChuZhiDaoZhiDeZhuanLiQuanLeiJiTanXiaoJianShaoE" label="处置导致的专利权累计摊销减少额" mulRef="_GBC_e04514c8858e489490302ba7c2e1448a" unitRef="_GBC_5ac7324577934f838e3655199c980c1c" addr="T0R18C2S1_1" formatStyle="Comma" appId="_GBC_0882d05501f84259b91efc5f2eae98cf"/>
      <m:item xlName="_GBC_90d807313bf0421180b1d1e070a0a920" concept="clcid-pte:ChuZhiDaoZhiDeFeiZhuanLiJiShuLeiJiTanXiaoJianShaoE" label="处置导致的非专利技术累计摊销减少额" mulRef="_GBC_e04514c8858e489490302ba7c2e1448a" unitRef="_GBC_5ac7324577934f838e3655199c980c1c" addr="T0R18C3S1_1" formatStyle="Comma" appId="_GBC_0882d05501f84259b91efc5f2eae98cf"/>
      <m:item xlName="_GBC_c38e431713ca4cb493161ea03e6b44ab" concept="clcid-pte:WuXingZiChanMingXiChuZhiDaoZhiDeLeiJiTanXiaoJianShao" label="无形资产明细-处置导致的累计摊销减少" mulRef="_GBC_e04514c8858e489490302ba7c2e1448a" unitRef="_GBC_5ac7324577934f838e3655199c980c1c" addr="T0R18C4S1_1" formatStyle="Comma" tupleRef="clcid-pte:WuXingZiChanMingXi" appId="_GBC_0882d05501f84259b91efc5f2eae98cf"/>
      <m:item xlName="_GBC_122fa9662d194f238bca4b25db2921ff" concept="clcid-pte:ChuZhiDaoZhiDeWuXingZiChanLeiJiTanXiaoJianShaoE" label="处置导致的无形资产累计摊销减少额" mulRef="_GBC_e04514c8858e489490302ba7c2e1448a" unitRef="_GBC_5ac7324577934f838e3655199c980c1c" addr="T0R18C5S1_1" formatStyle="Comma" appId="_GBC_0882d05501f84259b91efc5f2eae98cf">
        <m:complexRule comparator="Eq" title="处置导致的无形资产累计摊销减少额" test=" $_GBC_747ee358c482442799aad7f6665bb99e +  $_GBC_ad693cb347f0453e9f6d5c81303f2477 +  $_GBC_90d807313bf0421180b1d1e070a0a920 +  $_GBC_c38e431713ca4cb493161ea03e6b44ab" id="C3eabdb53f42d4c519a8cbac09cdba627" serialType="1"/>
      </m:item>
      <m:item xlName="_GBC_8d1d573ce9514131bd88f011a71031e5" concept="clcid-pte:WuXingZiChanLeiJiTanXiaoJianShaoXiangMuMingCheng1" label="无形资产累计摊销减少项目名称1" addr="T0R19C0S1_1" tagAction="1" formatStyle="Comma" appId="_GBC_0882d05501f84259b91efc5f2eae98cf" isSerialConcept="true" serialDirection="1" serialDefaultCount="2"/>
      <m:item xlName="_GBC_987ef0db30024afcb4aface24a92b120" concept="clcid-pte:WuXingZiChanTuDiShiYongQuanLeiJiTanXiaoJianShaoXiangMuJinE1" label="无形资产土地使用权累计摊销减少项目金额1" mulRef="_GBC_e04514c8858e489490302ba7c2e1448a" unitRef="_GBC_5ac7324577934f838e3655199c980c1c" addr="T0R19C1S1_1" tagAction="1" formatStyle="Comma" appId="_GBC_0882d05501f84259b91efc5f2eae98cf" isSerialConcept="true" serialDirection="1"/>
      <m:item xlName="_GBC_78c34a803d9e49378c074a1e28eb4c3a" concept="clcid-pte:WuXingZiChanZhuanLiJiShuLeiJiTanXiaoJianShaoXiangMuJinE1" label="无形资产专利技术累计摊销减少项目金额1" mulRef="_GBC_e04514c8858e489490302ba7c2e1448a" unitRef="_GBC_5ac7324577934f838e3655199c980c1c" addr="T0R19C2S1_1" tagAction="1" formatStyle="Comma" appId="_GBC_0882d05501f84259b91efc5f2eae98cf" isSerialConcept="true" serialDirection="1"/>
      <m:item xlName="_GBC_2382de0ed7df4e29a7e6cf61e594373f" concept="clcid-pte:WuXingZiChanFeiZhuanLiJiShuLeiJiTanXiaoJianShaoXiangMuJinE1" label="无形资产非专利技术累计摊销减少项目金额1" mulRef="_GBC_e04514c8858e489490302ba7c2e1448a" unitRef="_GBC_5ac7324577934f838e3655199c980c1c" addr="T0R19C3S1_1" tagAction="1" formatStyle="Comma" appId="_GBC_0882d05501f84259b91efc5f2eae98cf" isSerialConcept="true" serialDirection="1"/>
      <m:item xlName="_GBC_d780250aa2144176a5374f9330f1e913" concept="clcid-pte:WuXingZiChanLeiJiTanXiaoJianShaoXiangMuJinE1" label="无形资产累计摊销减少项目金额1" mulRef="_GBC_e04514c8858e489490302ba7c2e1448a" unitRef="_GBC_5ac7324577934f838e3655199c980c1c" addr="T0R19C4S1_1" tagAction="1" formatStyle="Comma" tupleRef="clcid-pte:WuXingZiChanMingXi" appId="_GBC_0882d05501f84259b91efc5f2eae98cf" isSerialConcept="true" serialDirection="1"/>
      <m:item xlName="_GBC_ce3de533f641438f96cdd26f528b12f9" concept="clcid-pte:WuXingZiChanLeiJiTanXiaoJianShaoXiangMuHeJiJinE1" label="无形资产累计摊销减少项目合计金额1" mulRef="_GBC_e04514c8858e489490302ba7c2e1448a" unitRef="_GBC_5ac7324577934f838e3655199c980c1c" addr="T0R19C5S1_1" tagAction="1" formatStyle="Comma" appId="_GBC_0882d05501f84259b91efc5f2eae98cf" isSerialConcept="true" serialDirection="1">
        <m:complexRule comparator="Eq" title="无形资产累计摊销减少项目合计金额1" disabled="true" test=" $_GBC_987ef0db30024afcb4aface24a92b120 +  $_GBC_78c34a803d9e49378c074a1e28eb4c3a +  $_GBC_2382de0ed7df4e29a7e6cf61e594373f +  $_GBC_d780250aa2144176a5374f9330f1e913" id="Ce4f8990c78514bddb0fd316dcf50154a" serialType="2"/>
      </m:item>
      <m:placeholder xlName="_PLD_6b52e77de021464b99b9a2d55cb6dc5b" addr="T0R20C0S1_1"/>
      <m:item xlName="_GBC_6f116d958918434893fad1ebd9719d99" concept="clcid-pte:WuXingZiChanZhongTuDiShiYongQuanLeiJiTanXiao" label="无形资产中土地使用权累计摊销" mulRef="_GBC_e04514c8858e489490302ba7c2e1448a" unitRef="_GBC_5ac7324577934f838e3655199c980c1c" addr="T0R20C1S1_1" formatStyle="Comma" appId="_GBC_0882d05501f84259b91efc5f2eae98cf">
        <m:complexRule comparator="Eq" title="无形资产中土地使用权累计摊销" test=" $_GBC_ff9de93c3a1a4dc287c5d01fb920e1f8 +  $_GBC_03a73d1176364216bc1f71726d6bc318 -  $_GBC_1f5f0d0334bd483bb5d0cc3d38671c5c" id="C75d9a08305e14552ade5156a1f3aa5a5"/>
      </m:item>
      <m:item xlName="_GBC_a9ddf47d1dac49d295871268addadcee" concept="clcid-pte:WuXingZiChanZhongZhuanLiQuanLeiJiTanXiao" label="无形资产中专利权累计摊销" mulRef="_GBC_e04514c8858e489490302ba7c2e1448a" unitRef="_GBC_5ac7324577934f838e3655199c980c1c" addr="T0R20C2S1_1" formatStyle="Comma" appId="_GBC_0882d05501f84259b91efc5f2eae98cf">
        <m:complexRule comparator="Eq" title="无形资产中专利权累计摊销" test=" $_GBC_3c167241ce744930825e3aedf9aee145 +  $_GBC_6dd28179fe9043acabbbb791a72aed06 -  $_GBC_928a474b3889413e80dd28ebc9ce6625" id="C707f35badbb0468d95c9b781e9982c56"/>
      </m:item>
      <m:item xlName="_GBC_43c1f4f8b2a845629e187a80d6c7bb14" concept="clcid-pte:WuXingZiChanZhongFeiZhuanLiJiShuLeiJiTanXiao" label="无形资产中非专利技术累计摊销" mulRef="_GBC_e04514c8858e489490302ba7c2e1448a" unitRef="_GBC_5ac7324577934f838e3655199c980c1c" addr="T0R20C3S1_1" formatStyle="Comma" appId="_GBC_0882d05501f84259b91efc5f2eae98cf">
        <m:complexRule comparator="Eq" title="无形资产中非专利技术累计摊销" test=" $_GBC_140cd590f13e4bdcac61cf8b7ffe2eca +  $_GBC_c1336df70d684a37a00a0668d2744b9b -  $_GBC_b7026e195b5044a5a6144acd9956f1c6" id="C8325db4d4dfa48b287151c4b390f873a"/>
      </m:item>
      <m:item xlName="_GBC_bed0186bd4494e36959e9aaf728d4bfa" concept="clcid-pte:WuXingZiChanZhongLeiLeiJiTanXiaoShu" label="无形资产累计摊销数" mulRef="_GBC_e04514c8858e489490302ba7c2e1448a" unitRef="_GBC_5ac7324577934f838e3655199c980c1c" addr="T0R20C4S1_1" formatStyle="Comma" tupleRef="clcid-pte:WuXingZiChanMingXi" appId="_GBC_0882d05501f84259b91efc5f2eae98cf">
        <m:complexRule comparator="Eq" title="无形资产累计摊销数" test=" $_GBC_2359121a20ca4225a2448deab3264ff4 +  $_GBC_6d0fb5e1546e4bdbbe45afe320b93957 -  $_GBC_3892915ecbd7460b8484b6c43112c1d3" id="C2001fcfd5a16411894b24fa360dbf7ca"/>
      </m:item>
      <m:item xlName="_GBC_251a778336314e959b3e7c43bebf6e3c" concept="clcid-pte:WuXingZiChanLeiJiTanXiaoZhangMianYuE" label="无形资产累计折旧" mulRef="_GBC_e04514c8858e489490302ba7c2e1448a" unitRef="_GBC_5ac7324577934f838e3655199c980c1c" addr="T0R20C5S1_1" formatStyle="Comma" appId="_GBC_0882d05501f84259b91efc5f2eae98cf">
        <m:complexRule comparator="Eq" title="无形资产累计折旧" test=" $_GBC_8a7994a435d54ec0b3cdfd2352127809 +  $_GBC_27a3ac9901e7429796cc375a0e5f97cb -  $_GBC_176b59254baa47a29ecc0544c51d94ef" id="C16d768df98a04f05a4c9e8eb624e6d4b"/>
        <m:complexRule comparator="Eq" title="无形资产累计折旧横向合计" test=" $_GBC_6f116d958918434893fad1ebd9719d99 +  $_GBC_a9ddf47d1dac49d295871268addadcee +  $_GBC_43c1f4f8b2a845629e187a80d6c7bb14 +  $_GBC_bed0186bd4494e36959e9aaf728d4bfa" id="C4ab31b9c08af4b41ac056c7cd247a06b" serialType="1"/>
      </m:item>
      <m:placeholder xlName="_PLD_100d3bc56cc142c1b30c3998528f8af2" addr="T0R21C0S1_1"/>
      <m:placeholder xlName="_PLD_420f955ca82e4f579c5533e44e7054ff" addr="T0R22C0S1_1"/>
      <m:item xlName="_GBC_41074e17c85644af96895d6074aaf69d" concept="clcid-pte:WuXingZiChanZhongTuDiShiYongQuanJianZhiZhunBei" label="无形资产中土地使用权减值准备" periodRef="本期期初数" mulRef="_GBC_e04514c8858e489490302ba7c2e1448a" unitRef="_GBC_5ac7324577934f838e3655199c980c1c" addr="T0R22C1S1_1" formatStyle="Comma" appId="_GBC_0882d05501f84259b91efc5f2eae98cf"/>
      <m:item xlName="_GBC_681053ec27ca4af3bdabd9339c6a87dc" concept="clcid-pte:WuXingZiChanZhongZhuanLiQuanJianZhiZhunBei" label="无形资产中专利权减值准备" periodRef="本期期初数" mulRef="_GBC_e04514c8858e489490302ba7c2e1448a" unitRef="_GBC_5ac7324577934f838e3655199c980c1c" addr="T0R22C2S1_1" formatStyle="Comma" appId="_GBC_0882d05501f84259b91efc5f2eae98cf"/>
      <m:item xlName="_GBC_0625025fb5cf41e4b9d5bae783b54951" concept="clcid-pte:WuXingZiChanZhongFeiZhuanLiJiShuJianZhiZhunBei" label="无形资产中非专利技术减值准备" periodRef="本期期初数" mulRef="_GBC_e04514c8858e489490302ba7c2e1448a" unitRef="_GBC_5ac7324577934f838e3655199c980c1c" addr="T0R22C3S1_1" formatStyle="Comma" appId="_GBC_0882d05501f84259b91efc5f2eae98cf"/>
      <m:item xlName="_GBC_8bf8d7058c2442feb5904258e13f5de2" concept="clcid-pte:WuXingZiChanMingXiJianZhiZhunBei" label="无形资产明细-减值准备" periodRef="本期期初数" mulRef="_GBC_e04514c8858e489490302ba7c2e1448a" unitRef="_GBC_5ac7324577934f838e3655199c980c1c" addr="T0R22C4S1_1" formatStyle="Comma" tupleRef="clcid-pte:WuXingZiChanMingXi" appId="_GBC_0882d05501f84259b91efc5f2eae98cf"/>
      <m:item xlName="_GBC_fec3d18329a64758bb70120cc9606e1b" concept="clcid-pte:WuXingZiChanJianZhiZhunBeiHeJiYuE" label="无形资产减值准备合计余额" periodRef="本期期初数" mulRef="_GBC_e04514c8858e489490302ba7c2e1448a" unitRef="_GBC_5ac7324577934f838e3655199c980c1c" addr="T0R22C5S1_1" formatStyle="Comma" appId="_GBC_0882d05501f84259b91efc5f2eae98cf">
        <m:complexRule comparator="Eq" title="无形资产减值准备合计余额@本期期初数" test=" $_GBC_41074e17c85644af96895d6074aaf69d +  $_GBC_681053ec27ca4af3bdabd9339c6a87dc +  $_GBC_0625025fb5cf41e4b9d5bae783b54951 +  $_GBC_8bf8d7058c2442feb5904258e13f5de2" id="C9c0fd90905f5461b97b7faed5e10c2f5" serialType="1"/>
      </m:item>
      <m:placeholder xlName="_PLD_7efb2ccf9b504b529547ebac5b8ce675" addr="T0R23C0S1_1"/>
      <m:item xlName="_GBC_c605e611f07640248c7fa0b752866482" concept="clcid-pte:WuXingZiChanZhongTuDiShiYongQuanJianZhiZhunBeiBenQiZengJiaE" label="无形资产中土地使用权减值准备本期增加额" mulRef="_GBC_e04514c8858e489490302ba7c2e1448a" unitRef="_GBC_5ac7324577934f838e3655199c980c1c" addr="T0R23C1S1_1" formatStyle="Comma" appId="_GBC_0882d05501f84259b91efc5f2eae98cf">
        <m:complexRule comparator="Eq" title="无形资产中土地使用权减值准备本期增加额" test=" $_GBC_5cdf9bd2c18c43cba95dc7a8ea53688f +  $_GBC_12b871fdd57041608a822a4b7df86aab" id="C32526180606f42a8a2a2cddcdc18e78f" serialType="1"/>
      </m:item>
      <m:item xlName="_GBC_4f79dfb5768648dea82a4af56be07fb7" concept="clcid-pte:WuXingZiChanZhongZhuanLiQuanJianZhiZhunBeiBenQiZengJiaE" label="无形资产中专利权减值准备本期增加额" mulRef="_GBC_e04514c8858e489490302ba7c2e1448a" unitRef="_GBC_5ac7324577934f838e3655199c980c1c" addr="T0R23C2S1_1" formatStyle="Comma" appId="_GBC_0882d05501f84259b91efc5f2eae98cf">
        <m:complexRule comparator="Eq" title="无形资产中专利权减值准备本期增加额" test=" $_GBC_a9af315533ab42a9bf35516612a883d2 +  $_GBC_67beba23fec84cc8bdab0a5541f34763" id="C63e72ca01a8142bfa3fef703b5350189" serialType="1"/>
      </m:item>
      <m:item xlName="_GBC_ac5cd98a05704a2aabacee2b63e19991" concept="clcid-pte:WuXingZiChanZhongFeiZhuanLiJiShuJianZhiZhunBeiBenQiZengJiaE" label="无形资产中非专利技术减值准备本期增加额" mulRef="_GBC_e04514c8858e489490302ba7c2e1448a" unitRef="_GBC_5ac7324577934f838e3655199c980c1c" addr="T0R23C3S1_1" formatStyle="Comma" appId="_GBC_0882d05501f84259b91efc5f2eae98cf">
        <m:complexRule comparator="Eq" title="无形资产中非专利技术减值准备本期增加额" test=" $_GBC_fd2529b0a54e474094b03d0e58b0ca02 +  $_GBC_be68ae2985d7460081ee248b41918fc0" id="Cb066199f8e794badab15f93479e86a1f" serialType="1"/>
      </m:item>
      <m:item xlName="_GBC_e423d7b4643a465c87045822dfb9029c" concept="clcid-pte:WuXingZiChanMingXiJianZhiZhunBeiZengJia" label="无形资产明细-减值准备增加" mulRef="_GBC_e04514c8858e489490302ba7c2e1448a" unitRef="_GBC_5ac7324577934f838e3655199c980c1c" addr="T0R23C4S1_1" formatStyle="Comma" tupleRef="clcid-pte:WuXingZiChanMingXi" appId="_GBC_0882d05501f84259b91efc5f2eae98cf">
        <m:complexRule comparator="Eq" title="无形资产明细-减值准备增加" test=" $_GBC_3f16951381124fac8cc48f45b5c43f94 +  $_GBC_63b957dd4ae94826a33c2bd5cab283a2" id="C1bab9a4b077c4331bbafd3a2ea30bd3f" serialType="1"/>
      </m:item>
      <m:item xlName="_GBC_71af989262974f398f6090f42dbabfc1" concept="clcid-pte:WuXingZiChanJianZhiZhunBeiHeJiDeBenQiZengJiaShu" label="无形资产减值准备合计_本期增加数" mulRef="_GBC_e04514c8858e489490302ba7c2e1448a" unitRef="_GBC_5ac7324577934f838e3655199c980c1c" addr="T0R23C5S1_1" formatStyle="Comma" appId="_GBC_0882d05501f84259b91efc5f2eae98cf">
        <m:complexRule comparator="Eq" title="无形资产减值准备合计_本期增加数横向合计" test=" $_GBC_c605e611f07640248c7fa0b752866482 +  $_GBC_4f79dfb5768648dea82a4af56be07fb7 +  $_GBC_ac5cd98a05704a2aabacee2b63e19991 +  $_GBC_e423d7b4643a465c87045822dfb9029c" id="C102b13b758fd44c6ae2ff94a6855a82e" serialType="1"/>
        <m:complexRule comparator="Eq" title="无形资产减值准备合计_本期增加数" test=" $_GBC_c20aef741c894dbd85574008dfe89085 +  $_GBC_d898031c95ba4f18aa304513f88d8510" id="C6a53ae09d8d641939902196d89d7e942" serialType="1"/>
      </m:item>
      <m:placeholder xlName="_PLD_c13e2ead7b5f41d0891abcff97ced932" addr="T0R24C0S1_1"/>
      <m:item xlName="_GBC_5cdf9bd2c18c43cba95dc7a8ea53688f" concept="clcid-pte:JiTiDaoZhiDeTuDiShiYongQuanJianZhiZhunBeiZengJiaE" label="计提导致的土地使用权减值准备增加额" mulRef="_GBC_e04514c8858e489490302ba7c2e1448a" unitRef="_GBC_5ac7324577934f838e3655199c980c1c" addr="T0R24C1S1_1" formatStyle="Comma" appId="_GBC_0882d05501f84259b91efc5f2eae98cf"/>
      <m:item xlName="_GBC_a9af315533ab42a9bf35516612a883d2" concept="clcid-pte:JiTiDaoZhiDeZhuanLiQuanJianZhiZhunBeiZengJiaE" label="计提导致的专利权减值准备增加额" mulRef="_GBC_e04514c8858e489490302ba7c2e1448a" unitRef="_GBC_5ac7324577934f838e3655199c980c1c" addr="T0R24C2S1_1" formatStyle="Comma" appId="_GBC_0882d05501f84259b91efc5f2eae98cf"/>
      <m:item xlName="_GBC_fd2529b0a54e474094b03d0e58b0ca02" concept="clcid-pte:JiTiDaoZhiDeFeiZhuanLiJiShuJianZhiZhunBeiZengJiaE" label="计提导致的非专利技术减值准备增加额" mulRef="_GBC_e04514c8858e489490302ba7c2e1448a" unitRef="_GBC_5ac7324577934f838e3655199c980c1c" addr="T0R24C3S1_1" formatStyle="Comma" appId="_GBC_0882d05501f84259b91efc5f2eae98cf"/>
      <m:item xlName="_GBC_3f16951381124fac8cc48f45b5c43f94" concept="clcid-pte:WuXingZiChanMingXiJiTiDaoZhiJianZhiZhunBeiZengJia" label="无形资产明细-计提导致减值准备增加" mulRef="_GBC_e04514c8858e489490302ba7c2e1448a" unitRef="_GBC_5ac7324577934f838e3655199c980c1c" addr="T0R24C4S1_1" formatStyle="Comma" tupleRef="clcid-pte:WuXingZiChanMingXi" appId="_GBC_0882d05501f84259b91efc5f2eae98cf"/>
      <m:item xlName="_GBC_c20aef741c894dbd85574008dfe89085" concept="clcid-pte:JiTiDaoZhiDeWuXingZiChanJianZhiZhunBeiZengJiaE" label="计提导致的无形资产减值准备增加额" mulRef="_GBC_e04514c8858e489490302ba7c2e1448a" unitRef="_GBC_5ac7324577934f838e3655199c980c1c" addr="T0R24C5S1_1" formatStyle="Comma" appId="_GBC_0882d05501f84259b91efc5f2eae98cf">
        <m:complexRule comparator="Eq" title="计提导致的无形资产减值准备增加额" test=" $_GBC_5cdf9bd2c18c43cba95dc7a8ea53688f +  $_GBC_a9af315533ab42a9bf35516612a883d2 +  $_GBC_fd2529b0a54e474094b03d0e58b0ca02 +  $_GBC_3f16951381124fac8cc48f45b5c43f94" id="Cdd442a659f224f659748fea5e47d0a96" serialType="1"/>
      </m:item>
      <m:item xlName="_GBC_a07f98d210fd4636be10f5bfad0425cc" concept="clcid-pte:WuXingZiChanJianZhiZhunBeiZengJiaXiangMuMingCheng1" label="无形资产减值准备增加项目名称1" addr="T0R25C0S1_1" tagAction="1" formatStyle="Comma" appId="_GBC_0882d05501f84259b91efc5f2eae98cf" isSerialConcept="true" serialDirection="1" serialDefaultCount="2"/>
      <m:item xlName="_GBC_12b871fdd57041608a822a4b7df86aab" concept="clcid-pte:WuXingZiChanTuDiShiYongQuanJianZhiZhunBeiZengJiaXiangMuJinE1" label="无形资产土地使用权减值准备增加项目金额1" mulRef="_GBC_e04514c8858e489490302ba7c2e1448a" unitRef="_GBC_5ac7324577934f838e3655199c980c1c" addr="T0R25C1S1_1" tagAction="1" formatStyle="Comma" appId="_GBC_0882d05501f84259b91efc5f2eae98cf" isSerialConcept="true" serialDirection="1"/>
      <m:item xlName="_GBC_67beba23fec84cc8bdab0a5541f34763" concept="clcid-pte:WuXingZiChanZhuanLiQuanJianZhiZhunBeiZengJiaXiangMuJinE1" label="无形资产专利权减值准备增加项目金额1" mulRef="_GBC_e04514c8858e489490302ba7c2e1448a" unitRef="_GBC_5ac7324577934f838e3655199c980c1c" addr="T0R25C2S1_1" tagAction="1" formatStyle="Comma" appId="_GBC_0882d05501f84259b91efc5f2eae98cf" isSerialConcept="true" serialDirection="1"/>
      <m:item xlName="_GBC_be68ae2985d7460081ee248b41918fc0" concept="clcid-pte:WuXingZiChanFeiZhuanLiJiShuJianZhiZhunBeiZengJiaXiangMuJinE1" label="无形资产非专利技术减值准备增加项目金额1" mulRef="_GBC_e04514c8858e489490302ba7c2e1448a" unitRef="_GBC_5ac7324577934f838e3655199c980c1c" addr="T0R25C3S1_1" tagAction="1" formatStyle="Comma" appId="_GBC_0882d05501f84259b91efc5f2eae98cf" isSerialConcept="true" serialDirection="1"/>
      <m:item xlName="_GBC_63b957dd4ae94826a33c2bd5cab283a2" concept="clcid-pte:WuXingZiChanJianZhiZhunBeiZengJiaXiangMuJinE1" label="无形资产减值准备增加项目金额1" mulRef="_GBC_e04514c8858e489490302ba7c2e1448a" unitRef="_GBC_5ac7324577934f838e3655199c980c1c" addr="T0R25C4S1_1" tagAction="1" formatStyle="Comma" tupleRef="clcid-pte:WuXingZiChanMingXi" appId="_GBC_0882d05501f84259b91efc5f2eae98cf" isSerialConcept="true" serialDirection="1"/>
      <m:item xlName="_GBC_d898031c95ba4f18aa304513f88d8510" concept="clcid-pte:WuXingZiChanJianZhiZhunBeiZengJiaXiangMuHeJiJinE1" label="无形资产减值准备增加项目合计金额1" mulRef="_GBC_e04514c8858e489490302ba7c2e1448a" unitRef="_GBC_5ac7324577934f838e3655199c980c1c" addr="T0R25C5S1_1" tagAction="1" formatStyle="Comma" appId="_GBC_0882d05501f84259b91efc5f2eae98cf" isSerialConcept="true" serialDirection="1">
        <m:complexRule comparator="Eq" title="无形资产减值准备增加项目合计金额1" disabled="true" test=" $_GBC_12b871fdd57041608a822a4b7df86aab +  $_GBC_67beba23fec84cc8bdab0a5541f34763 +  $_GBC_be68ae2985d7460081ee248b41918fc0 +  $_GBC_63b957dd4ae94826a33c2bd5cab283a2" id="C8f1523440f484ee49045d6bdb8bf9fb1" serialType="2"/>
      </m:item>
      <m:placeholder xlName="_PLD_80ddaa0f1cfd432483c808ea875d3645" addr="T0R26C0S1_1"/>
      <m:item xlName="_GBC_036b5de3a2ea49acb82d4f4cfe433c90" concept="clcid-pte:WuXingZiChanZhongTuDiShiYongQuanJianZhiZhunBeiBenQiJianShaoE" label="无形资产中土地使用权减值准备本期减少额" mulRef="_GBC_e04514c8858e489490302ba7c2e1448a" unitRef="_GBC_5ac7324577934f838e3655199c980c1c" addr="T0R26C1S1_1" formatStyle="Comma" appId="_GBC_0882d05501f84259b91efc5f2eae98cf">
        <m:complexRule comparator="Eq" title="无形资产中土地使用权减值准备本期减少额" test=" $_GBC_e7743f8490004a958e95cdf37f9a26dc +  $_GBC_8b708dfdfdc84533925e407c20772767" id="C9d0265ac4c1b48529a8aac54f2119479" serialType="1"/>
      </m:item>
      <m:item xlName="_GBC_b42f702ba8ee469cb7a591f0cee4e02d" concept="clcid-pte:WuXingZiChanZhongZhuanLiQuanJianZhiZhunBeiBenQiJianShaoE" label="无形资产中专利权减值准备本期减少额" mulRef="_GBC_e04514c8858e489490302ba7c2e1448a" unitRef="_GBC_5ac7324577934f838e3655199c980c1c" addr="T0R26C2S1_1" formatStyle="Comma" appId="_GBC_0882d05501f84259b91efc5f2eae98cf">
        <m:complexRule comparator="Eq" title="无形资产中专利权减值准备本期减少额" test=" $_GBC_85039edc1a16489b8ca72b462ac097c8 +  $_GBC_3a32133737c54fadbe7b669399eade67" id="C96250d2b9a364c02be4ac7235af1b00e" serialType="1"/>
      </m:item>
      <m:item xlName="_GBC_e9b5b6f3e0e84e4cbbc9fab34e2a7821" concept="clcid-pte:WuXingZiChanZhongFeiZhuanLiJiShuJianZhiZhunBeiBenQiJianShaoE" label="无形资产中非专利技术减值准备本期减少额" mulRef="_GBC_e04514c8858e489490302ba7c2e1448a" unitRef="_GBC_5ac7324577934f838e3655199c980c1c" addr="T0R26C3S1_1" formatStyle="Comma" appId="_GBC_0882d05501f84259b91efc5f2eae98cf">
        <m:complexRule comparator="Eq" title="无形资产中非专利技术减值准备本期减少额" test=" $_GBC_f373486600d64cee998c204fe1e64336 +  $_GBC_622a25c623bd4d4597996470399d3fec" id="C20e6c704ded64e66bcd6fd479eeac582" serialType="1"/>
      </m:item>
      <m:item xlName="_GBC_bec46dab1f944018aca326e67b1af82c" concept="clcid-pte:WuXingZiChanMingXiJianZhiZhunBeiJianShao" label="无形资产明细-减值准备减少" mulRef="_GBC_e04514c8858e489490302ba7c2e1448a" unitRef="_GBC_5ac7324577934f838e3655199c980c1c" addr="T0R26C4S1_1" formatStyle="Comma" tupleRef="clcid-pte:WuXingZiChanMingXi" appId="_GBC_0882d05501f84259b91efc5f2eae98cf">
        <m:complexRule comparator="Eq" title="无形资产明细-减值准备减少" test=" $_GBC_1b8a47c675f048b88f59a185cfb0de0b +  $_GBC_ecce1bc844c84420aded1f54f86b612a" id="C016d299081a040838a713ecfa7768003" serialType="1"/>
      </m:item>
      <m:item xlName="_GBC_21a7356393e946bd9ce9dac8e5b006b0" concept="clcid-pte:WuXingZiChanJianZhiZhunBeiHeJiDeBenQiJianShaoShuHeJi" label="无形资产减值准备合计_本期减少数合计" mulRef="_GBC_e04514c8858e489490302ba7c2e1448a" unitRef="_GBC_5ac7324577934f838e3655199c980c1c" addr="T0R26C5S1_1" formatStyle="Comma" appId="_GBC_0882d05501f84259b91efc5f2eae98cf">
        <m:complexRule comparator="Eq" title="无形资产减值准备合计_本期减少数合计" test=" $_GBC_76c0d24040e54a9caed1afdc582dbb02 +  $_GBC_af92ed28d10c4c6ea5a7119a7ab5bcd4" id="C2d87d1ec0499454f94ecf282afe7d762" serialType="1"/>
      </m:item>
      <m:placeholder xlName="_PLD_2737286ed2dd4f3f95206ad01cd11070" addr="T0R27C0S1_1"/>
      <m:item xlName="_GBC_e7743f8490004a958e95cdf37f9a26dc" concept="clcid-pte:WuXingZiChanZhongChuZhiDaoZhiDeTuDiShiYongQuanJianShaoE" label="无形资产中处置导致的土地使用权减值准备减少额" mulRef="_GBC_e04514c8858e489490302ba7c2e1448a" unitRef="_GBC_5ac7324577934f838e3655199c980c1c" addr="T0R27C1S1_1" formatStyle="Comma" appId="_GBC_0882d05501f84259b91efc5f2eae98cf"/>
      <m:item xlName="_GBC_85039edc1a16489b8ca72b462ac097c8" concept="clcid-pte:ChuZhiDaoZhiDeZhuanLiQuanJianZhiZhunBeiJianShaoE" label="处置导致的专利权减值准备减少额" mulRef="_GBC_e04514c8858e489490302ba7c2e1448a" unitRef="_GBC_5ac7324577934f838e3655199c980c1c" addr="T0R27C2S1_1" formatStyle="Comma" appId="_GBC_0882d05501f84259b91efc5f2eae98cf"/>
      <m:item xlName="_GBC_f373486600d64cee998c204fe1e64336" concept="clcid-pte:ChuZhiDaoZhiDeFeiZhuanLiJiShuJianZhiZhunBeiJianShaoE" label="处置导致的非专利技术减值准备减少额" mulRef="_GBC_e04514c8858e489490302ba7c2e1448a" unitRef="_GBC_5ac7324577934f838e3655199c980c1c" addr="T0R27C3S1_1" formatStyle="Comma" appId="_GBC_0882d05501f84259b91efc5f2eae98cf"/>
      <m:item xlName="_GBC_1b8a47c675f048b88f59a185cfb0de0b" concept="clcid-pte:WuXingZiChanMingXiChuZhiDaoZhiJianZhiZhunBeiJianShao" label="无形资产明细-处置导致减值准备减少" mulRef="_GBC_e04514c8858e489490302ba7c2e1448a" unitRef="_GBC_5ac7324577934f838e3655199c980c1c" addr="T0R27C4S1_1" formatStyle="Comma" tupleRef="clcid-pte:WuXingZiChanMingXi" appId="_GBC_0882d05501f84259b91efc5f2eae98cf"/>
      <m:item xlName="_GBC_76c0d24040e54a9caed1afdc582dbb02" concept="clcid-pte:ChuZhiDaoZhiDeWuXingZiChanJianZhiZhunBeiJianShaoE" label="处置导致的无形资产减值准备减少额" mulRef="_GBC_e04514c8858e489490302ba7c2e1448a" unitRef="_GBC_5ac7324577934f838e3655199c980c1c" addr="T0R27C5S1_1" formatStyle="Comma" appId="_GBC_0882d05501f84259b91efc5f2eae98cf">
        <m:complexRule comparator="Eq" title="处置导致的无形资产减值准备减少额" test=" $_GBC_e7743f8490004a958e95cdf37f9a26dc +  $_GBC_85039edc1a16489b8ca72b462ac097c8 +  $_GBC_f373486600d64cee998c204fe1e64336 +  $_GBC_1b8a47c675f048b88f59a185cfb0de0b" id="C9548cdba202d4d30b2c6f3d509187f50" serialType="1"/>
      </m:item>
      <m:item xlName="_GBC_8272bbfdd02345b8ad44a88b8a41de10" concept="clcid-pte:WuXingZiChanJianZhiZhunBeiJianShaoXiangMuMingCheng1" label="无形资产减值准备减少项目名称1" addr="T0R28C0S1_1" tagAction="1" formatStyle="Comma" appId="_GBC_0882d05501f84259b91efc5f2eae98cf" isSerialConcept="true" serialDirection="1" serialDefaultCount="2"/>
      <m:item xlName="_GBC_8b708dfdfdc84533925e407c20772767" concept="clcid-pte:WuXingZiChanTuDiShiYongQuanJianZhiZhunBeiJianShaoXiangMuJinE1" label="无形资产土地使用权减值准备减少项目金额1" mulRef="_GBC_e04514c8858e489490302ba7c2e1448a" unitRef="_GBC_5ac7324577934f838e3655199c980c1c" addr="T0R28C1S1_1" tagAction="1" formatStyle="Comma" appId="_GBC_0882d05501f84259b91efc5f2eae98cf" isSerialConcept="true" serialDirection="1"/>
      <m:item xlName="_GBC_3a32133737c54fadbe7b669399eade67" concept="clcid-pte:WuXingZiChanZhuanLiQuanJianZhiZhunBeiJianShaoXiangMuJinE1" label="无形资产专利权减值准备减少项目金额1" mulRef="_GBC_e04514c8858e489490302ba7c2e1448a" unitRef="_GBC_5ac7324577934f838e3655199c980c1c" addr="T0R28C2S1_1" tagAction="1" formatStyle="Comma" appId="_GBC_0882d05501f84259b91efc5f2eae98cf" isSerialConcept="true" serialDirection="1"/>
      <m:item xlName="_GBC_622a25c623bd4d4597996470399d3fec" concept="clcid-pte:WuXingZiChanFeiZhuanLiJiShuJianZhiZhunBeiJianShaoXiangMuJinE1" label="无形资产非专利技术减值准备减少项目金额1" mulRef="_GBC_e04514c8858e489490302ba7c2e1448a" unitRef="_GBC_5ac7324577934f838e3655199c980c1c" addr="T0R28C3S1_1" tagAction="1" formatStyle="Comma" appId="_GBC_0882d05501f84259b91efc5f2eae98cf" isSerialConcept="true" serialDirection="1"/>
      <m:item xlName="_GBC_ecce1bc844c84420aded1f54f86b612a" concept="clcid-pte:WuXingZiChanJianZhiZhunBeiJianShaoXiangMuJinE1" label="无形资产减值准备减少项目金额1" mulRef="_GBC_e04514c8858e489490302ba7c2e1448a" unitRef="_GBC_5ac7324577934f838e3655199c980c1c" addr="T0R28C4S1_1" tagAction="1" formatStyle="Comma" tupleRef="clcid-pte:WuXingZiChanMingXi" appId="_GBC_0882d05501f84259b91efc5f2eae98cf" isSerialConcept="true" serialDirection="1"/>
      <m:item xlName="_GBC_af92ed28d10c4c6ea5a7119a7ab5bcd4" concept="clcid-pte:WuXingZiChanJianZhiZhunBeiJianShaoXiangMuHeJiJinE1" label="无形资产减值准备减少项目合计金额1" mulRef="_GBC_e04514c8858e489490302ba7c2e1448a" unitRef="_GBC_5ac7324577934f838e3655199c980c1c" addr="T0R28C5S1_1" tagAction="1" formatStyle="Comma" appId="_GBC_0882d05501f84259b91efc5f2eae98cf" isSerialConcept="true" serialDirection="1">
        <m:complexRule comparator="Eq" title="无形资产减值准备减少项目合计金额1" disabled="true" test=" $_GBC_8b708dfdfdc84533925e407c20772767 +  $_GBC_3a32133737c54fadbe7b669399eade67 +  $_GBC_622a25c623bd4d4597996470399d3fec +  $_GBC_ecce1bc844c84420aded1f54f86b612a" id="C884a9e4074d54616a16dcef729c6da0d" serialType="2"/>
      </m:item>
      <m:placeholder xlName="_PLD_4a919606beac465fb30f547b86305b00" addr="T0R29C0S1_1"/>
      <m:item xlName="_GBC_680e4cd14cf84434a8ef2a93b6430782" concept="clcid-pte:WuXingZiChanZhongTuDiShiYongQuanJianZhiZhunBei" label="无形资产中土地使用权减值准备" mulRef="_GBC_e04514c8858e489490302ba7c2e1448a" unitRef="_GBC_5ac7324577934f838e3655199c980c1c" addr="T0R29C1S1_1" formatStyle="Comma" appId="_GBC_0882d05501f84259b91efc5f2eae98cf">
        <m:complexRule comparator="Eq" title="无形资产中土地使用权减值准备" test=" $_GBC_41074e17c85644af96895d6074aaf69d +  $_GBC_c605e611f07640248c7fa0b752866482 -  $_GBC_036b5de3a2ea49acb82d4f4cfe433c90" id="C0de01b43d3804f2c8228661330016ae9"/>
      </m:item>
      <m:item xlName="_GBC_6b59932dfd83498ebd440e0c45287c5e" concept="clcid-pte:WuXingZiChanZhongZhuanLiQuanJianZhiZhunBei" label="无形资产中专利权减值准备" mulRef="_GBC_e04514c8858e489490302ba7c2e1448a" unitRef="_GBC_5ac7324577934f838e3655199c980c1c" addr="T0R29C2S1_1" formatStyle="Comma" appId="_GBC_0882d05501f84259b91efc5f2eae98cf">
        <m:complexRule comparator="Eq" title="无形资产中专利权减值准备" test=" $_GBC_681053ec27ca4af3bdabd9339c6a87dc +  $_GBC_4f79dfb5768648dea82a4af56be07fb7 -  $_GBC_b42f702ba8ee469cb7a591f0cee4e02d" id="Cacf8b651806c4a6c91fc0a256604e289"/>
      </m:item>
      <m:item xlName="_GBC_72ad8fb8de1f44ad951851f7caf8d11e" concept="clcid-pte:WuXingZiChanZhongFeiZhuanLiJiShuJianZhiZhunBei" label="无形资产中非专利技术减值准备" mulRef="_GBC_e04514c8858e489490302ba7c2e1448a" unitRef="_GBC_5ac7324577934f838e3655199c980c1c" addr="T0R29C3S1_1" formatStyle="Comma" appId="_GBC_0882d05501f84259b91efc5f2eae98cf">
        <m:complexRule comparator="Eq" title="无形资产中非专利技术减值准备" test=" $_GBC_0625025fb5cf41e4b9d5bae783b54951 +  $_GBC_ac5cd98a05704a2aabacee2b63e19991 -  $_GBC_e9b5b6f3e0e84e4cbbc9fab34e2a7821" id="C258dee171e534f20bba08d1212183084"/>
      </m:item>
      <m:item xlName="_GBC_c29328f8277d4090a45a447ef2c4ee17" concept="clcid-pte:WuXingZiChanMingXiJianZhiZhunBei" label="无形资产明细-减值准备" mulRef="_GBC_e04514c8858e489490302ba7c2e1448a" unitRef="_GBC_5ac7324577934f838e3655199c980c1c" addr="T0R29C4S1_1" formatStyle="Comma" tupleRef="clcid-pte:WuXingZiChanMingXi" appId="_GBC_0882d05501f84259b91efc5f2eae98cf">
        <m:complexRule comparator="Eq" title="无形资产明细-减值准备" test=" $_GBC_8bf8d7058c2442feb5904258e13f5de2 +  $_GBC_e423d7b4643a465c87045822dfb9029c -  $_GBC_bec46dab1f944018aca326e67b1af82c" id="C02d2ff240a0b4ade91007f7208bfed0c"/>
      </m:item>
      <m:item xlName="_GBC_f5c4a177f5c447ec81cf48caca6293aa" concept="clcid-pte:WuXingZiChanJianZhiZhunBeiHeJiYuE" label="无形资产减值准备合计余额" mulRef="_GBC_e04514c8858e489490302ba7c2e1448a" unitRef="_GBC_5ac7324577934f838e3655199c980c1c" addr="T0R29C5S1_1" formatStyle="Comma" appId="_GBC_0882d05501f84259b91efc5f2eae98cf">
        <m:complexRule comparator="Eq" title="无形资产减值准备合计余额" test=" $_GBC_fec3d18329a64758bb70120cc9606e1b +  $_GBC_71af989262974f398f6090f42dbabfc1 -  $_GBC_21a7356393e946bd9ce9dac8e5b006b0" id="C88bcd0ecb33846d9b52abd93e976b2b4"/>
        <m:complexRule comparator="Eq" title="无形资产减值准备合计余额横向合计" test=" $_GBC_680e4cd14cf84434a8ef2a93b6430782 +  $_GBC_6b59932dfd83498ebd440e0c45287c5e +  $_GBC_72ad8fb8de1f44ad951851f7caf8d11e +  $_GBC_c29328f8277d4090a45a447ef2c4ee17" id="C97ac7f0b03034b23aa8e2cc9674b10ae" serialType="1"/>
      </m:item>
      <m:placeholder xlName="_PLD_77aceef1b70d43c0846f7e8f529b7784" addr="T0R30C0S1_1"/>
      <m:placeholder xlName="_PLD_7b3cabd4024540c8bf9dc83469ecf7d4" addr="T0R31C0S1_1"/>
      <m:item xlName="_GBC_790d4169f7ba4560a06ed84c0370ecf1" concept="clcid-pte:WuXingZiChanZhongTuDiShiYongQuanZhangMianJiaZhi" label="无形资产中土地使用权账面价值" mulRef="_GBC_e04514c8858e489490302ba7c2e1448a" unitRef="_GBC_5ac7324577934f838e3655199c980c1c" addr="T0R31C1S1_1" formatStyle="Comma" appId="_GBC_0882d05501f84259b91efc5f2eae98cf"/>
      <m:item xlName="_GBC_2e911d18cd09418fb39abf2aec940ded" concept="clcid-pte:WuXingZiChanZhongZhuanLiQuanZhangMianJiaZhi" label="无形资产中专利权账面价值" mulRef="_GBC_e04514c8858e489490302ba7c2e1448a" unitRef="_GBC_5ac7324577934f838e3655199c980c1c" addr="T0R31C2S1_1" formatStyle="Comma" appId="_GBC_0882d05501f84259b91efc5f2eae98cf"/>
      <m:item xlName="_GBC_9bffcc18f3f24694ba9aafc81e5d3bd8" concept="clcid-pte:WuXingZiChanZhongFeiZhuanLiJiShuZhangMianJiaZhi" label="无形资产中非专利技术账面价值" mulRef="_GBC_e04514c8858e489490302ba7c2e1448a" unitRef="_GBC_5ac7324577934f838e3655199c980c1c" addr="T0R31C3S1_1" formatStyle="Comma" appId="_GBC_0882d05501f84259b91efc5f2eae98cf"/>
      <m:item xlName="_GBC_eb96de1cb8de4c89bf10eb5d9727f15d" concept="clcid-pte:WuXingZiChanMingXiZhangMianJiaZhi" label="无形资产明细-账面价值" mulRef="_GBC_e04514c8858e489490302ba7c2e1448a" unitRef="_GBC_5ac7324577934f838e3655199c980c1c" addr="T0R31C4S1_1" formatStyle="Comma" tupleRef="clcid-pte:WuXingZiChanMingXi" appId="_GBC_0882d05501f84259b91efc5f2eae98cf"/>
      <m:item xlName="_GBC_96304a2e34a246ebb80d3170cf011bd5" concept="clcid-pte:WuXingZiChan" label="无形资产" mulRef="_GBC_e04514c8858e489490302ba7c2e1448a" unitRef="_GBC_5ac7324577934f838e3655199c980c1c" addr="T0R31C5S1_1" formatStyle="Comma" appId="_GBC_0882d05501f84259b91efc5f2eae98cf">
        <m:complexRule comparator="Eq" title="无形资产" test=" $_GBC_790d4169f7ba4560a06ed84c0370ecf1 +  $_GBC_2e911d18cd09418fb39abf2aec940ded +  $_GBC_9bffcc18f3f24694ba9aafc81e5d3bd8 +  $_GBC_eb96de1cb8de4c89bf10eb5d9727f15d" id="C2b09cbd49db5463391b204218b2ca13c" serialType="1"/>
      </m:item>
      <m:placeholder xlName="_PLD_04cb9e53cf0d4d8b83570453ac161e64" addr="T0R32C0S1_1"/>
      <m:item xlName="_GBC_163ae315d6a24e13a92c5be89e0afae2" concept="clcid-pte:WuXingZiChanZhongTuDiShiYongQuanZhangMianJiaZhi" label="无形资产中土地使用权账面价值" periodRef="本期期初数" mulRef="_GBC_e04514c8858e489490302ba7c2e1448a" unitRef="_GBC_5ac7324577934f838e3655199c980c1c" addr="T0R32C1S1_1" formatStyle="Comma" appId="_GBC_0882d05501f84259b91efc5f2eae98cf"/>
      <m:item xlName="_GBC_14f5e52ed6db41f99bff7e23f8cbb7c9" concept="clcid-pte:WuXingZiChanZhongZhuanLiQuanZhangMianJiaZhi" label="无形资产中专利权账面价值" periodRef="本期期初数" mulRef="_GBC_e04514c8858e489490302ba7c2e1448a" unitRef="_GBC_5ac7324577934f838e3655199c980c1c" addr="T0R32C2S1_1" formatStyle="Comma" appId="_GBC_0882d05501f84259b91efc5f2eae98cf"/>
      <m:item xlName="_GBC_b270a58c48964831a474e63a112f36cb" concept="clcid-pte:WuXingZiChanZhongFeiZhuanLiJiShuZhangMianJiaZhi" label="无形资产中非专利技术账面价值" periodRef="本期期初数" mulRef="_GBC_e04514c8858e489490302ba7c2e1448a" unitRef="_GBC_5ac7324577934f838e3655199c980c1c" addr="T0R32C3S1_1" formatStyle="Comma" appId="_GBC_0882d05501f84259b91efc5f2eae98cf"/>
      <m:item xlName="_GBC_0b19a4c648ba480089434ba288096fad" concept="clcid-pte:WuXingZiChanMingXiZhangMianJiaZhi" label="无形资产明细-账面价值" periodRef="本期期初数" mulRef="_GBC_e04514c8858e489490302ba7c2e1448a" unitRef="_GBC_5ac7324577934f838e3655199c980c1c" addr="T0R32C4S1_1" formatStyle="Comma" tupleRef="clcid-pte:WuXingZiChanMingXi" appId="_GBC_0882d05501f84259b91efc5f2eae98cf"/>
      <m:item xlName="_GBC_a8688ea6652a4b4ca2c2198b23869c46" concept="clcid-pte:WuXingZiChan" label="无形资产" periodRef="本期期初数" mulRef="_GBC_e04514c8858e489490302ba7c2e1448a" unitRef="_GBC_5ac7324577934f838e3655199c980c1c" addr="T0R32C5S1_1" formatStyle="Comma" appId="_GBC_0882d05501f84259b91efc5f2eae98cf">
        <m:complexRule comparator="Eq" title="无形资产@本期期初数" test=" $_GBC_163ae315d6a24e13a92c5be89e0afae2 +  $_GBC_14f5e52ed6db41f99bff7e23f8cbb7c9 +  $_GBC_b270a58c48964831a474e63a112f36cb +  $_GBC_0b19a4c648ba480089434ba288096fad" id="Cc691145ea80e4f75ada62f4a4312a19e" serialType="1"/>
      </m:item>
      <m:item xlName="_GBC_4eb0f3140a674bd1899e2bd836d51bbb" concept="clcid-pte:TongGuoGongSiNeiBuYanFaXingChengDeWuXingZiChanZhanWuXingZiChanZhangMianJiaZhiDeBiLi" label="通过公司内部研发形成的无形资产占无形资产账面价值的比例" baseScale="0.01" formatStyle="Comma" appId="_GBC_0882d05501f84259b91efc5f2eae98cf"/>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item xlName="_GBC_e8ff0641401a44f19fe64ad31dc15c58" concept="clcid-ci-ar:ShiFouShiYongWeiBanTuoChanQuanZhengShuDeTuDiShiYongQuanQingKuang" label="是否适用：未办妥产权证书的土地使用权情况" selectOptions="_buildInAppliance" controlType="CustomCheckbox" cRanges="{&quot;StartName&quot;:&quot;_GBC_e8ff0641401a44f19fe64ad31dc15c58&quot;,&quot;EndName&quot;:&quot;_GBC_b269d9f263af4e2e818042d4d0d45329&quot;,&quot;CType&quot;:1,&quot;DisplayText&quot;:null}"/>
      <m:item xlName="_GBC_6d7518e23389454d8aa2c26272e90959" concept="clcid-ci-ar:DanWeiCaiWuFuZhuWeiBanTuoChanQuanZhengShuDeTuDiShiYongQuanQingKuang" label="单位：财务附注：未办妥产权证书的土地使用权情况" selectOptions="_buildInScales" controlType="Combobox" cellType="Scale" appId="_GBC_e8ff0641401a44f19fe64ad31dc15c58"/>
      <m:item xlName="_GBC_27007ebda6594c4a9f41f6d4effd1d62" concept="clcid-ci-ar:BiZhongCaiWuFuZhuWeiBanTuoChanQuanZhengShuDeTuDiShiYongQuanQingKuang" label="币种：财务附注：未办妥产权证书的土地使用权情况" selectOptions="_buildInISO4217" controlType="Combobox" cellType="Measure" appId="_GBC_e8ff0641401a44f19fe64ad31dc15c58"/>
      <m:placeholder xlName="_PLD_4efb019848394f1b84d6df16ceb61a30" addr="T0R0C0S1_1"/>
      <m:placeholder xlName="_PLD_dd62230db4d04e378a4a470f0f0ef863" addr="T0R0C1S1_1"/>
      <m:placeholder xlName="_PLD_f1c8cdf0044a4f9199725c6ef167bb29" addr="T0R0C2S1_1"/>
      <m:tuple xlName="_GBC_109499b5d2b34860aa856972401fcb6e" concept="clcid-pte:WeiBanTuoChanQuanZhengShuDeTuDiShiYongQuanQingKuangMingXi" default_row="2" addr="T0R1C">
        <m:item xlName="_GBC_0e01d5862cdb40a0bc91f79a764ff544" concept="clcid-pte:WeiBanTuoChanQuanZhengShuDeTuDiShiYongQuanQingKuangMingXiXiangMuMingCheng" label="未办妥产权证书的土地使用权情况明细-项目名称" addr="T0R1C0S1_1" appId="_GBC_e8ff0641401a44f19fe64ad31dc15c58"/>
        <m:item xlName="_GBC_021dbca301304ed58aec4757eda986a3" concept="clcid-pte:WeiBanTuoChanQuanZhengShuDeTuDiShiYongQuanQingKuangMingXiWeiBanTuoChanQuanZhengShuZhangMianJiaZhi" label="未办妥产权证书的土地使用权情况明细-未办妥产权证书账面价值" mulRef="_GBC_6d7518e23389454d8aa2c26272e90959" unitRef="_GBC_27007ebda6594c4a9f41f6d4effd1d62" addr="T0R1C1S1_1" formatStyle="Comma" appId="_GBC_e8ff0641401a44f19fe64ad31dc15c58"/>
        <m:item xlName="_GBC_b269d9f263af4e2e818042d4d0d45329" concept="clcid-pte:WeiBanTuoChanQuanZhengShuDeTuDiShiYongQuanQingKuangMingXiWeiBanTuoChanQuanZhengShuDeYuanYin" label="未办妥产权证书的土地使用权情况明细-未办妥产权证书的原因" addr="T0R1C2S1_1" appId="_GBC_e8ff0641401a44f19fe64ad31dc15c58"/>
      </m:tuple>
    </m:section>
    <m:section xlName="_GBC_c2d02a8bb1274cb1bf0330030cc64229" title="无形资产说明" rules="R2015_R11_013" helpId="112001072">
      <m:item xlName="_GBC_dc3c687f3c2c457e9024304c14129458" concept="clcid-ci-ar:ShiFouShiYongWuXingZiChanDeShuoMing" label="是否适用：无形资产的说明" selectOptions="_buildInAppliance" controlType="CustomCheckbox" cRanges="{&quot;StartName&quot;:&quot;_GBC_dc3c687f3c2c457e9024304c14129458&quot;,&quot;EndName&quot;:&quot;_GBC_1f281f7116944d4bacd2204d25895376&quot;,&quot;CType&quot;:1,&quot;DisplayText&quot;:null}"/>
      <m:item xlName="_GBC_1f281f7116944d4bacd2204d25895376" concept="clcid-pte:WuXingZiChanDeShuoMing" label="无形资产的说明" appId="_GBC_dc3c687f3c2c457e9024304c14129458"/>
    </m:section>
    <m:section xlName="_GBC_41dea900f659431692960536981b1d8d" title="公司开发项目支出" helpId="112001073">
      <m:item xlName="_GBC_a62fb6e641b048a49c12233ba47c4939" concept="clcid-ci-ar:ShiFouShiYongKaiFaZhiChu" label="是否适用：开发支出" selectOptions="_buildInAppliance" controlType="CustomCheckbox" cRanges="{&quot;StartName&quot;:&quot;_GBC_a62fb6e641b048a49c12233ba47c4939&quot;,&quot;EndName&quot;:&quot;_GBC_796df64279a041b78d7ceed29a190cbe&quot;,&quot;CType&quot;:1,&quot;DisplayText&quot;:null}"/>
      <m:item xlName="_GBC_165fafab9dd34128b1db9906fb0f8041" concept="clcid-ci-ar:DanWeiCaiWuFuZhuGongSiNeiBuYanJiuKaiFaXiangMuZhiChu" label="单位：财务附注：公司内部研究开发项目支出" selectOptions="_buildInScales" controlType="Combobox" cellType="Scale" appId="_GBC_a62fb6e641b048a49c12233ba47c4939"/>
      <m:item xlName="_GBC_7f94dcb30ef74b2c8ce5d661f9d29e58" concept="clcid-ci-ar:BiZhongCaiWuFuZhuGongSiNeiBuYanJiuKaiFaXiangMuZhiChu" label="币种：财务附注：公司内部研究开发项目支出" selectOptions="_buildInISO4217" controlType="Combobox" cellType="Measure" appId="_GBC_a62fb6e641b048a49c12233ba47c4939"/>
      <m:placeholder xlName="_PLD_8084d7645b82454f8ae5ba39a9c3bebf" addr="T0R0C0S2_1"/>
      <m:placeholder xlName="_PLD_850767b977e54ef4801cc7e5a382a115" addr="T0R0C1S2_1"/>
      <m:placeholder xlName="_PLD_c25048af34674accb23d591157790b81" addr="T0R0C2S1_3"/>
      <m:placeholder xlName="_PLD_b9cbae5bd3f6433caa9035b55100654b" addr="T0R0C5S1_3"/>
      <m:placeholder xlName="_PLD_9a475c63fb714e6a8a977e4fedf97164" addr="T0R0C8S2_1"/>
      <m:placeholder xlName="_PLD_d6aff82c56dd4ef4afdf03372978ff3a" addr="T0R1C2S1_1"/>
      <m:placeholder xlName="_PLD_edaf3d2038314858896f72a3bbf5807c" addr="T0R1C3S1_1"/>
      <m:item xlName="_GBC_3dd1a6e64b524d9995cbdbb01a10ed46" concept="clcid-pte:KaiFaZhiChuBenQiZengJiaEXiangMuMingCheng1" label="开发支出本期增加额项目名称1" addr="T0R1C4S1_1" appId="_GBC_a62fb6e641b048a49c12233ba47c4939" isSerialConcept="true" serialDirection="2" splitWidth="1" isCaption="true"/>
      <m:placeholder xlName="_PLD_c2216fc5dc1147a4ab9206675d7567d7" addr="T0R1C5S1_1"/>
      <m:placeholder xlName="_PLD_2e751aeabbe741609bdaa128f3d34de6" addr="T0R1C6S1_1"/>
      <m:item xlName="_GBC_ea6bb0b5d1364a6999980f96f731ec9a" concept="clcid-pte:KaiFaZhiChuBenQiJianShaoEXiangMuMingCheng1" label="开发支出本期减少额项目名称1" addr="T0R1C7S1_1" appId="_GBC_a62fb6e641b048a49c12233ba47c4939" isSerialConcept="true" serialDirection="2" splitWidth="1" isCaption="true"/>
      <m:tuple xlName="_GBC_12a9b93b72934528bfa3c11027367082" concept="clcid-pte:GongSiKaiFaXiangMuZhiChuMingXi" default_row="2" addr="T0R2C">
        <m:item xlName="_GBC_19bb28649ab742c1b0d3b90081f924b3" concept="clcid-pte:GongSiKaiFaXiangMuZhiChuMingXiXiangMu" label="公司开发项目支出明细-项目" addr="T0R2C0S1_1" cellConvertType="1" appId="_GBC_a62fb6e641b048a49c12233ba47c4939"/>
        <m:item xlName="_GBC_d758f8e17f974f2a9b57ca5992258f3e" concept="clcid-pte:GongSiKaiFaXiangMuZhiChuMingXiJinE" label="公司开发项目支出明细-金额" periodRef="本期期初数" mulRef="_GBC_165fafab9dd34128b1db9906fb0f8041" unitRef="_GBC_7f94dcb30ef74b2c8ce5d661f9d29e58" addr="T0R2C1S1_1" formatStyle="Comma" appId="_GBC_a62fb6e641b048a49c12233ba47c4939"/>
        <m:item xlName="_GBC_9228d132177c4b6a833a4350bc18573a" concept="clcid-pte:GongSiKaiFaXiangMuZhiChuMingXiNeiBuKaiFaZhiChu" label="公司开发项目支出明细-内部开发支出" mulRef="_GBC_165fafab9dd34128b1db9906fb0f8041" unitRef="_GBC_7f94dcb30ef74b2c8ce5d661f9d29e58" addr="T0R2C2S1_1" formatStyle="Comma" appId="_GBC_a62fb6e641b048a49c12233ba47c4939"/>
        <m:item xlName="_GBC_37da052e705647d494f81423ce93ce86" concept="clcid-pte:GongSiKaiFaXiangMuZhiChuMingXiQiTaZengJiaE" label="公司开发项目支出明细-其他增加额" mulRef="_GBC_165fafab9dd34128b1db9906fb0f8041" unitRef="_GBC_7f94dcb30ef74b2c8ce5d661f9d29e58" addr="T0R2C3S1_1" formatStyle="Comma" appId="_GBC_a62fb6e641b048a49c12233ba47c4939"/>
        <m:item xlName="_GBC_93295d218c9d4841aba7f00af95ac3a4" concept="clcid-pte:KaiFaZhiChuBenQiZengJiaEXiangMuMingChengJinE1" label="开发支出本期增加额项目名称金额1" mulRef="_GBC_165fafab9dd34128b1db9906fb0f8041" unitRef="_GBC_7f94dcb30ef74b2c8ce5d661f9d29e58" addr="T0R2C4S1_1" formatStyle="Comma" appId="_GBC_a62fb6e641b048a49c12233ba47c4939" isSerialConcept="true" serialDirection="2"/>
        <m:item xlName="_GBC_43a635f23cf74a518d3491d941e128d8" concept="clcid-pte:GongSiKaiFaXiangMuZhiChuMingXiQueRenWeiWuXingZiChan" label="公司开发项目支出明细-确认为无形资产" mulRef="_GBC_165fafab9dd34128b1db9906fb0f8041" unitRef="_GBC_7f94dcb30ef74b2c8ce5d661f9d29e58" addr="T0R2C5S1_1" formatStyle="Comma" appId="_GBC_a62fb6e641b048a49c12233ba47c4939"/>
        <m:item xlName="_GBC_e6f1f3bf60c64c13b871f7184997b694" concept="clcid-pte:GongSiKaiFaXiangMuZhiChuMingXiJiRuDangQiSunYi" label="公司开发项目支出明细-计入当期损益" mulRef="_GBC_165fafab9dd34128b1db9906fb0f8041" unitRef="_GBC_7f94dcb30ef74b2c8ce5d661f9d29e58" addr="T0R2C6S1_1" formatStyle="Comma" appId="_GBC_a62fb6e641b048a49c12233ba47c4939"/>
        <m:item xlName="_GBC_b792857e3fea4627a20bca7e83353a74" concept="clcid-pte:KaiFaZhiChuBenQiJianShaoEXiangMuMingChengJinE1" label="开发支出本期减少额项目名称金额1" mulRef="_GBC_165fafab9dd34128b1db9906fb0f8041" unitRef="_GBC_7f94dcb30ef74b2c8ce5d661f9d29e58" addr="T0R2C7S1_1" formatStyle="Comma" appId="_GBC_a62fb6e641b048a49c12233ba47c4939" isSerialConcept="true" serialDirection="2"/>
        <m:item xlName="_GBC_846d7ca9baa54d6da1a77321683c3346" concept="clcid-pte:GongSiKaiFaXiangMuZhiChuMingXiJinE" label="公司开发项目支出明细-金额" mulRef="_GBC_165fafab9dd34128b1db9906fb0f8041" unitRef="_GBC_7f94dcb30ef74b2c8ce5d661f9d29e58" addr="T0R2C8S1_1" formatStyle="Comma" appId="_GBC_a62fb6e641b048a49c12233ba47c4939">
          <m:complexRule comparator="Eq" title="公司开发项目支出明细-金额" test=" $_GBC_d758f8e17f974f2a9b57ca5992258f3e +  $_GBC_9228d132177c4b6a833a4350bc18573a +  $_GBC_37da052e705647d494f81423ce93ce86 +  $_GBC_93295d218c9d4841aba7f00af95ac3a4 -  $_GBC_e6f1f3bf60c64c13b871f7184997b694 -  $_GBC_43a635f23cf74a518d3491d941e128d8 -  $_GBC_b792857e3fea4627a20bca7e83353a74" id="C24fb92f0d4f844a0836526fda8ee45ce" serialType="1"/>
        </m:item>
      </m:tuple>
      <m:placeholder xlName="_PLD_b7de6b17dda7496b8f95850a42d021b9" addr="T0R4C0S1_1"/>
      <m:item xlName="_GBC_7c2deba22f6546a4a2a3adec81f6d3ef" concept="clcid-pte:GongSiJiRuYanJiuKaiFaXiangMuZhiChuHeJi" label="公司计入研究开发项目支出合计" periodRef="本期期初数" mulRef="_GBC_165fafab9dd34128b1db9906fb0f8041" unitRef="_GBC_7f94dcb30ef74b2c8ce5d661f9d29e58" addr="T0R4C1S1_1" formatStyle="Comma" appId="_GBC_a62fb6e641b048a49c12233ba47c4939">
        <m:complexRule comparator="Eq" title="公司计入研究开发项目支出合计@本期期初数" test=" $_GBC_d758f8e17f974f2a9b57ca5992258f3e" id="C73941948897f47cdb8793427f0d6c73d"/>
      </m:item>
      <m:item xlName="_GBC_449a99b0e9eb419c98eba3b7dd6151b8" concept="clcid-pte:GongSiJiRuYanJiuKaiFaXiangMuZhiChuHeJiZengJiaE" label="公司计入研究开发项目支出合计（增加额）" mulRef="_GBC_165fafab9dd34128b1db9906fb0f8041" unitRef="_GBC_7f94dcb30ef74b2c8ce5d661f9d29e58" addr="T0R4C2S1_1" formatStyle="Comma" appId="_GBC_a62fb6e641b048a49c12233ba47c4939">
        <m:complexRule comparator="Eq" title="公司计入研究开发项目支出合计（增加额）" test=" $_GBC_9228d132177c4b6a833a4350bc18573a" id="C80af492629ce45af9bc4df943fce8001"/>
      </m:item>
      <m:item xlName="_GBC_4a9b65a8816246fdb6777b8f51e4f09f" concept="clcid-pte:GongSiJiRuYanJiuKaiFaXiangMuZhiChuHeJiQiTaZengJiaE" label="公司计入研究开发项目支出合计（其他增加额）" mulRef="_GBC_165fafab9dd34128b1db9906fb0f8041" unitRef="_GBC_7f94dcb30ef74b2c8ce5d661f9d29e58" addr="T0R4C3S1_1" formatStyle="Comma" appId="_GBC_a62fb6e641b048a49c12233ba47c4939">
        <m:complexRule comparator="Eq" title="公司计入研究开发项目支出合计（其他增加额）" test=" $_GBC_37da052e705647d494f81423ce93ce86" id="C3f79e319b10c4afd9e2abe58c40c65c6"/>
      </m:item>
      <m:item xlName="_GBC_7560826900a842f3ab160314402f893d" concept="clcid-pte:KaiFaZhiChuBenQiZengJiaEXiangMuMingChengJinEHeJi1" label="开发支出本期增加额项目名称金额合计1" mulRef="_GBC_165fafab9dd34128b1db9906fb0f8041" unitRef="_GBC_7f94dcb30ef74b2c8ce5d661f9d29e58" addr="T0R4C4S1_1" formatStyle="Comma" appId="_GBC_a62fb6e641b048a49c12233ba47c4939" isSerialConcept="true" serialDirection="2">
        <m:complexRule comparator="Eq" title="开发支出本期增加额项目名称金额合计1" disabled="true" test=" $_GBC_93295d218c9d4841aba7f00af95ac3a4" id="C1f5343fcc85d44788a13c76d80ef1178" serialType="2"/>
      </m:item>
      <m:item xlName="_GBC_4ae242e84f014135baf0320a8a66b384" concept="clcid-pte:GongSiJiRuYanJiuKaiFaXiangMuZhiChuQueRenWeiWuXingZiChanHeJiZhuanChuE" label="公司计入研究开发项目支出确认为无形资产合计（转出额）" mulRef="_GBC_165fafab9dd34128b1db9906fb0f8041" unitRef="_GBC_7f94dcb30ef74b2c8ce5d661f9d29e58" addr="T0R4C5S1_1" formatStyle="Comma" appId="_GBC_a62fb6e641b048a49c12233ba47c4939">
        <m:complexRule comparator="Eq" title="公司计入研究开发项目支出确认为无形资产合计（转出额）" test=" $_GBC_43a635f23cf74a518d3491d941e128d8" id="Cbb9a4d199b6545e887795602b9ca799b"/>
      </m:item>
      <m:item xlName="_GBC_3d00f98a840a45c09305938d9fd87ca0" concept="clcid-pte:GongSiJiRuYanJiuKaiFaXiangMuZhiChuJiRuDangQiSunYiHeJiZhuanChuE" label="公司计入研究开发项目支出计入当期损益合计（转出额）" mulRef="_GBC_165fafab9dd34128b1db9906fb0f8041" unitRef="_GBC_7f94dcb30ef74b2c8ce5d661f9d29e58" addr="T0R4C6S1_1" formatStyle="Comma" appId="_GBC_a62fb6e641b048a49c12233ba47c4939">
        <m:complexRule comparator="Eq" title="公司计入研究开发项目支出计入当期损益合计（转出额）" test=" $_GBC_e6f1f3bf60c64c13b871f7184997b694" id="Cc08e3f3c5bc14db3ad8a1552ca26848a"/>
      </m:item>
      <m:item xlName="_GBC_b5e4741d0ca14fe49bda2bb492cfa2d7" concept="clcid-pte:KaiFaZhiChuBenQiJianShaoEXiangMuMingChengJinEHeJi1" label="开发支出本期减少额项目名称金额合计1" mulRef="_GBC_165fafab9dd34128b1db9906fb0f8041" unitRef="_GBC_7f94dcb30ef74b2c8ce5d661f9d29e58" addr="T0R4C7S1_1" formatStyle="Comma" appId="_GBC_a62fb6e641b048a49c12233ba47c4939" isSerialConcept="true" serialDirection="2">
        <m:complexRule comparator="Eq" title="开发支出本期减少额项目名称金额合计1" disabled="true" test=" $_GBC_b792857e3fea4627a20bca7e83353a74" id="C13edcad1e35b45d999a6353d31dba89b" serialType="2"/>
      </m:item>
      <m:item xlName="_GBC_eb73dec1ec7d4687835ece35f36de690" concept="clcid-pte:GongSiJiRuYanJiuKaiFaXiangMuZhiChuHeJi" label="公司计入研究开发项目支出合计" mulRef="_GBC_165fafab9dd34128b1db9906fb0f8041" unitRef="_GBC_7f94dcb30ef74b2c8ce5d661f9d29e58" addr="T0R4C8S1_1" formatStyle="Comma" appId="_GBC_a62fb6e641b048a49c12233ba47c4939">
        <m:complexRule comparator="Eq" title="公司计入研究开发项目支出合计" test=" $_GBC_846d7ca9baa54d6da1a77321683c3346" id="C544e1c25f7df4bb88411f94815e5d614"/>
        <m:complexRule comparator="Eq" title="公司计入研究开发项目支出合计横向合计" test=" $_GBC_7c2deba22f6546a4a2a3adec81f6d3ef +  $_GBC_449a99b0e9eb419c98eba3b7dd6151b8 +  $_GBC_4a9b65a8816246fdb6777b8f51e4f09f +  $_GBC_7560826900a842f3ab160314402f893d -  $_GBC_4ae242e84f014135baf0320a8a66b384 -  $_GBC_3d00f98a840a45c09305938d9fd87ca0 -  $_GBC_b5e4741d0ca14fe49bda2bb492cfa2d7" id="Cbdc7bd5a3ce1448993dc25495822ec72" serialType="1"/>
      </m:item>
      <m:item xlName="_GBC_796df64279a041b78d7ceed29a190cbe" concept="clcid-pte:GongSiNeiBuYanJiuKaiFaXiangMuDeShuoMing" label="公司内部研究开发项目的说明" appId="_GBC_a62fb6e641b048a49c12233ba47c4939"/>
    </m:section>
    <m:section xlName="_SEC_0d13253f4b004ecdaea8960cfb92cf26" title="商誉账面原值">
      <m:item xlName="_GBC_e2a869d440cf4b7f9f592f3e22cea85d" concept="clcid-ci-ar:ShiFouShiYongShangYuZhangMianYuanZhi" label="是否适用：商誉账面原值" selectOptions="_buildInAppliance" controlType="CustomCheckbox" cRanges="{&quot;StartName&quot;:&quot;_GBC_e2a869d440cf4b7f9f592f3e22cea85d&quot;,&quot;EndName&quot;:&quot;_GBC_eb6bb4b9169a415e983637807b907223&quot;,&quot;CType&quot;:1,&quot;DisplayText&quot;:null}"/>
      <m:item xlName="_GBC_4797b6084eb24fe79f24d181640f3283" concept="clcid-ci-ar:DanWeiCaiWuFuZhuShangYu" label="单位：财务附注：商誉" selectOptions="_buildInScales" controlType="Combobox" cellType="Scale" appId="_GBC_e2a869d440cf4b7f9f592f3e22cea85d"/>
      <m:item xlName="_GBC_7cd9149d9bea4da8974b80b14b1c0e44" concept="clcid-ci-ar:BiZhongCaiWuFuZhuShangYu" label="币种：财务附注：商誉" selectOptions="_buildInISO4217" controlType="Combobox" cellType="Measure" appId="_GBC_e2a869d440cf4b7f9f592f3e22cea85d"/>
      <m:placeholder xlName="_PLD_b248be5460bf4bb299c4579815256238" addr="T0R0C0S2_1"/>
      <m:placeholder xlName="_PLD_a25f69a57b624da887f74ab27a20ba0b" addr="T0R0C1S2_1"/>
      <m:placeholder xlName="_PLD_c348d952dc8b438289897d2014b7d310" addr="T0R0C2S1_2"/>
      <m:placeholder xlName="_PLD_5560c6ea7650430a8c304ee861d4bc25" addr="T0R0C4S1_2"/>
      <m:placeholder xlName="_PLD_075635973edd4d94a997d2ed78e56d8b" addr="T0R0C6S2_1"/>
      <m:placeholder xlName="_PLD_1553ab7e041e4cd0bdd59c30d303dc84" addr="T0R1C2S1_1"/>
      <m:item xlName="_GBC_c14b754516e24efd9115d33500cd04df" concept="clcid-pte:ShangYuZhangMianYuanZhiBenQiZengJiaEXiangMuMingCheng1" label="商誉账面原值本期增加额项目名称1" addr="T0R1C3S1_1" appId="_GBC_e2a869d440cf4b7f9f592f3e22cea85d" isSerialConcept="true" serialDirection="2" isCaption="true"/>
      <m:placeholder xlName="_PLD_52f6eef41a0247f195c94af6823a4b67" addr="T0R1C4S1_1"/>
      <m:item xlName="_GBC_5ba36aaca8144cb8979636970f4c6ae3" concept="clcid-pte:ShangYuZhangMianYuanZhiBenQiJianShaoEXiangMuMingCheng1" label="商誉账面原值本期减少额项目名称1" addr="T0R1C5S1_1" appId="_GBC_e2a869d440cf4b7f9f592f3e22cea85d" isSerialConcept="true" serialDirection="2" isCaption="true"/>
      <m:tuple xlName="_GBC_916c5c3712e44d7db6b8c9e16bcf5865" concept="clcid-pte:ShangYuMingXi" default_row="2" addr="T0R2C">
        <m:item xlName="_GBC_aaf4252b1f824ac5a3ff5cee8bf7b35d" concept="clcid-pte:ShangYuMingXiXiangMu" label="商誉明细－项目" addr="T0R2C0S1_1" appId="_GBC_e2a869d440cf4b7f9f592f3e22cea85d"/>
        <m:item xlName="_GBC_d09583c777a04446b4bd80c52b786358" concept="clcid-pte:ShangYuMingXiJinE" label="商誉明细－金额" periodRef="本期期初数" mulRef="_GBC_4797b6084eb24fe79f24d181640f3283" unitRef="_GBC_7cd9149d9bea4da8974b80b14b1c0e44" addr="T0R2C1S1_1" formatStyle="Comma" appId="_GBC_e2a869d440cf4b7f9f592f3e22cea85d"/>
        <m:item xlName="_GBC_8fc20f1dae86434a91a5bcc41634469e" concept="clcid-pte:ShangYuZhangMianYuanZhiMingXiQiYeHeBingXingChengDeBenQiZengJia" label="商誉账面原值明细-企业合并形成的本期增加" mulRef="_GBC_4797b6084eb24fe79f24d181640f3283" unitRef="_GBC_7cd9149d9bea4da8974b80b14b1c0e44" addr="T0R2C2S1_1" formatStyle="Comma" appId="_GBC_e2a869d440cf4b7f9f592f3e22cea85d"/>
        <m:item xlName="_GBC_d41daf330c7b45c3a931028b4ea490ea" concept="clcid-pte:ShangYuZhangMianYuanZhiBenQiZengJiaEXiangMuMingChengJinE1" label="商誉账面原值本期增加额项目名称金额1" mulRef="_GBC_4797b6084eb24fe79f24d181640f3283" unitRef="_GBC_7cd9149d9bea4da8974b80b14b1c0e44" addr="T0R2C3S1_1" formatStyle="Comma" appId="_GBC_e2a869d440cf4b7f9f592f3e22cea85d" isSerialConcept="true" serialDirection="2"/>
        <m:item xlName="_GBC_fbe1974502db476c81a8b9260e95f421" concept="clcid-pte:ShangYuZhangMianYuanZhiMingXiChuZhiDaoZhiDeBenQiJianShao" label="商誉账面原值明细-处置导致的本期减少" mulRef="_GBC_4797b6084eb24fe79f24d181640f3283" unitRef="_GBC_7cd9149d9bea4da8974b80b14b1c0e44" addr="T0R2C4S1_1" formatStyle="Comma" appId="_GBC_e2a869d440cf4b7f9f592f3e22cea85d"/>
        <m:item xlName="_GBC_f6d5d0ab21774131a822d28f2034e1b6" concept="clcid-pte:ShangYuZhangMianYuanZhiBenQiJianShaoEXiangMuMingChengJinE1" label="商誉账面原值本期减少额项目名称金额1" mulRef="_GBC_4797b6084eb24fe79f24d181640f3283" unitRef="_GBC_7cd9149d9bea4da8974b80b14b1c0e44" addr="T0R2C5S1_1" formatStyle="Comma" appId="_GBC_e2a869d440cf4b7f9f592f3e22cea85d" isSerialConcept="true" serialDirection="2"/>
        <m:item xlName="_GBC_37769d1de91143f2a95167a586f7eafa" concept="clcid-pte:ShangYuMingXiJinE" label="商誉明细－金额" mulRef="_GBC_4797b6084eb24fe79f24d181640f3283" unitRef="_GBC_7cd9149d9bea4da8974b80b14b1c0e44" addr="T0R2C6S1_1" formatStyle="Comma" appId="_GBC_e2a869d440cf4b7f9f592f3e22cea85d">
          <m:complexRule comparator="Eq" title="商誉明细－金额" test=" $_GBC_d09583c777a04446b4bd80c52b786358 +  $_GBC_8fc20f1dae86434a91a5bcc41634469e +  $_GBC_d41daf330c7b45c3a931028b4ea490ea -  $_GBC_fbe1974502db476c81a8b9260e95f421 -  $_GBC_f6d5d0ab21774131a822d28f2034e1b6" id="C591acef140dd44aa9b09e73486089aa7" serialType="1"/>
        </m:item>
      </m:tuple>
      <m:placeholder xlName="_PLD_e45c45262afc495e90b6033bd7a17ec4" addr="T0R4C0S1_1"/>
      <m:item xlName="_GBC_88959dc89c8d4c829a2e80f80a2b5c24" concept="clcid-pte:ShangYuYuE" label="商誉余额" periodRef="本期期初数" mulRef="_GBC_4797b6084eb24fe79f24d181640f3283" unitRef="_GBC_7cd9149d9bea4da8974b80b14b1c0e44" addr="T0R4C1S1_1" formatStyle="Comma" appId="_GBC_e2a869d440cf4b7f9f592f3e22cea85d">
        <m:complexRule comparator="Eq" title="商誉余额@本期期初数" test=" $_GBC_d09583c777a04446b4bd80c52b786358" id="C99714893acf54ffaaa5763ccdac40149"/>
      </m:item>
      <m:item xlName="_GBC_a9809745492c4b5ba3c4a90690d91c49" concept="clcid-pte:QiYeHeBingXingChengDeShangYuZhangMianYuanZhiBenQiZengJiaHeJi" label="企业合并形成的商誉账面原值本期增加合计" mulRef="_GBC_4797b6084eb24fe79f24d181640f3283" unitRef="_GBC_7cd9149d9bea4da8974b80b14b1c0e44" addr="T0R4C2S1_1" formatStyle="Comma" appId="_GBC_e2a869d440cf4b7f9f592f3e22cea85d">
        <m:complexRule comparator="Eq" title="企业合并形成的商誉账面原值本期增加合计" test=" $_GBC_8fc20f1dae86434a91a5bcc41634469e" id="C6d418e93927144f0a90485e53f13c05a"/>
      </m:item>
      <m:item xlName="_GBC_8677bda70bdb4789baa605b60dd9d77d" concept="clcid-pte:ShangYuZhangMianYuanZhiBenQiZengJiaEXiangMuMingChengJinEHeJi1" label="商誉账面原值本期增加额项目名称金额合计1" mulRef="_GBC_4797b6084eb24fe79f24d181640f3283" unitRef="_GBC_7cd9149d9bea4da8974b80b14b1c0e44" addr="T0R4C3S1_1" formatStyle="Comma" appId="_GBC_e2a869d440cf4b7f9f592f3e22cea85d" isSerialConcept="true" serialDirection="2">
        <m:complexRule comparator="Eq" title="商誉账面原值本期增加额项目名称金额合计1" disabled="true" test=" $_GBC_d41daf330c7b45c3a931028b4ea490ea" id="C1868ad29bf344a0ea9e1d5994e0ba213" serialType="2"/>
      </m:item>
      <m:item xlName="_GBC_78df440f75bd48bab3068b4c72bb5a31" concept="clcid-pte:ChuZhiDaoZhiDeShangYuZhangMianYuanZhiBenQiJianShaoHeJi" label="处置导致的商誉账面原值本期减少合计" mulRef="_GBC_4797b6084eb24fe79f24d181640f3283" unitRef="_GBC_7cd9149d9bea4da8974b80b14b1c0e44" addr="T0R4C4S1_1" formatStyle="Comma" appId="_GBC_e2a869d440cf4b7f9f592f3e22cea85d">
        <m:complexRule comparator="Eq" title="处置导致的商誉账面原值本期减少合计" test=" $_GBC_fbe1974502db476c81a8b9260e95f421" id="C322538abab584a59a4ebce64779d6b59"/>
      </m:item>
      <m:item xlName="_GBC_0cf2ad41fa69468098f5986639dfc2df" concept="clcid-pte:ShangYuZhangMianYuanZhiBenQiJianShaoEXiangMuMingChengJinEHeJi1" label="商誉账面原值本期减少额项目名称金额合计1" mulRef="_GBC_4797b6084eb24fe79f24d181640f3283" unitRef="_GBC_7cd9149d9bea4da8974b80b14b1c0e44" addr="T0R4C5S1_1" formatStyle="Comma" appId="_GBC_e2a869d440cf4b7f9f592f3e22cea85d" isSerialConcept="true" serialDirection="2">
        <m:complexRule comparator="Eq" title="商誉账面原值本期减少额项目名称金额合计1" disabled="true" test=" $_GBC_f6d5d0ab21774131a822d28f2034e1b6" id="Cf3031d902d10467590d4f79a7d01dc85" serialType="2"/>
      </m:item>
      <m:item xlName="_GBC_eb6bb4b9169a415e983637807b907223" concept="clcid-pte:ShangYuYuE" label="商誉余额" mulRef="_GBC_4797b6084eb24fe79f24d181640f3283" unitRef="_GBC_7cd9149d9bea4da8974b80b14b1c0e44" addr="T0R4C6S1_1" formatStyle="Comma" appId="_GBC_e2a869d440cf4b7f9f592f3e22cea85d">
        <m:complexRule comparator="Eq" title="商誉余额" test=" $_GBC_37769d1de91143f2a95167a586f7eafa" id="C704306ef5834463e9d7d1372dbf32c53"/>
        <m:complexRule comparator="Eq" title="商誉余额横向合计" test=" $_GBC_88959dc89c8d4c829a2e80f80a2b5c24 +  $_GBC_a9809745492c4b5ba3c4a90690d91c49 +  $_GBC_8677bda70bdb4789baa605b60dd9d77d -  $_GBC_78df440f75bd48bab3068b4c72bb5a31 -  $_GBC_0cf2ad41fa69468098f5986639dfc2df" id="Cff705ad0ec194bc791fdaec789a614f0" serialType="1"/>
      </m:item>
    </m:section>
    <m:section xlName="_SEC_6fe538077d4746d4ba51a5610b4bd03b" title="商誉减值准备">
      <m:item xlName="_GBC_743c9a20b5c043668f28664eb36decf8" concept="clcid-ci-ar:ShiFouShiYongShangYuJianZhiZhunBei" label="是否适用：商誉减值准备" selectOptions="_buildInAppliance" controlType="CustomCheckbox" cRanges="{&quot;StartName&quot;:&quot;_GBC_743c9a20b5c043668f28664eb36decf8&quot;,&quot;EndName&quot;:&quot;_GBC_404f20773b8f4c5da6dcced81bc6c86a&quot;,&quot;CType&quot;:1,&quot;DisplayText&quot;:null}"/>
      <m:item xlName="_GBC_81f58baed09c46a3bf97830ea3adfd98" concept="clcid-ci-ar:DanWeiCaiWuFuZhuShangYuJianZhiZhunBei" label="单位：财务附注：商誉减值准备" selectOptions="_buildInScales" controlType="Combobox" cellType="Scale" appId="_GBC_743c9a20b5c043668f28664eb36decf8"/>
      <m:item xlName="_GBC_67c9edd209fb4492bdb662edf79314f5" concept="clcid-ci-ar:BiZhongCaiWuFuZhuShangYuJianZhiZhunBei" label="币种：财务附注：商誉减值准备" selectOptions="_buildInISO4217" controlType="Combobox" cellType="Measure" appId="_GBC_743c9a20b5c043668f28664eb36decf8"/>
      <m:placeholder xlName="_PLD_d1a517071536478f9f7187c625e93763" addr="T0R0C0S2_1"/>
      <m:placeholder xlName="_PLD_a1ccc5eef6a041ffadb4dd09605c43f5" addr="T0R0C1S2_1"/>
      <m:placeholder xlName="_PLD_3dc4c2fbed8640a6acf5f19dd5073967" addr="T0R0C2S1_2"/>
      <m:placeholder xlName="_PLD_36789e440c5d4e70969760ec1adf11d6" addr="T0R0C4S1_2"/>
      <m:placeholder xlName="_PLD_b4bf3be5aa6c45bea85b5ae1c027be47" addr="T0R0C6S2_1"/>
      <m:placeholder xlName="_PLD_fe6ebe6f95b64eeabc2aef23beee858c" addr="T0R1C2S1_1"/>
      <m:item xlName="_GBC_65d86954675d4b4f82e4fbc3d21ace02" concept="clcid-pte:ShangYuJianZhiZhunBeiBenQiZengJiaEXiangMuMingCheng1" label="商誉减值准备本期增加额项目名称1" addr="T0R1C3S1_1" appId="_GBC_743c9a20b5c043668f28664eb36decf8" isSerialConcept="true" serialDirection="2" isCaption="true"/>
      <m:placeholder xlName="_PLD_aaaa2d8a1fae404e9bab86b79225c7e3" addr="T0R1C4S1_1"/>
      <m:item xlName="_GBC_aa48e25b6e1f4be9b1276fe009dabf0e" concept="clcid-pte:ShangYuJianZhiZhunBeiBenQiJianShaoEXiangMuMingCheng1" label="商誉减值准备本期减少额项目名称1" addr="T0R1C5S1_1" appId="_GBC_743c9a20b5c043668f28664eb36decf8" isSerialConcept="true" serialDirection="2" isCaption="true"/>
      <m:tuple xlName="_GBC_98340a952ec045d0bd3e053903c6a9f6" concept="clcid-pte:ShangYuJianZhiZhunBeiMingXi" default_row="2" addr="T0R2C">
        <m:item xlName="_GBC_9cbe6cb901264cab9a56e6e3c2e51437" concept="clcid-pte:ShangYuJianZhiZhunBeiMingXiBeiTouZiDanWeiMingChengHuoXingChengShangYuDeShiXiang" label="商誉减值准备明细-被投资单位名称或形成商誉的事项" addr="T0R2C0S1_1" appId="_GBC_743c9a20b5c043668f28664eb36decf8"/>
        <m:item xlName="_GBC_d8da81b955dd43bea69fb4c1af4d3117" concept="clcid-pte:ShangYuJianZhiZhunBeiMingXiJinE" label="商誉减值准备明细-金额" periodRef="本期期初数" mulRef="_GBC_81f58baed09c46a3bf97830ea3adfd98" unitRef="_GBC_67c9edd209fb4492bdb662edf79314f5" addr="T0R2C1S1_1" formatStyle="Comma" appId="_GBC_743c9a20b5c043668f28664eb36decf8"/>
        <m:item xlName="_GBC_0b70d6ada103421094e2401ddcf7cbd5" concept="clcid-pte:ShangYuJianZhiZhunBeiMingXiJiTiDaoZhiBenQiZengJia" label="商誉减值准备明细-计提导致本期增加" mulRef="_GBC_81f58baed09c46a3bf97830ea3adfd98" unitRef="_GBC_67c9edd209fb4492bdb662edf79314f5" addr="T0R2C2S1_1" formatStyle="Comma" appId="_GBC_743c9a20b5c043668f28664eb36decf8"/>
        <m:item xlName="_GBC_d4174637d5494788942ea0e269a45ed0" concept="clcid-pte:ShangYuJianZhiZhunBeiBenQiZengJiaEXiangMuMingChengJinE1" label="商誉减值准备本期增加额项目名称金额1" mulRef="_GBC_81f58baed09c46a3bf97830ea3adfd98" unitRef="_GBC_67c9edd209fb4492bdb662edf79314f5" addr="T0R2C3S1_1" formatStyle="Comma" appId="_GBC_743c9a20b5c043668f28664eb36decf8" isSerialConcept="true" serialDirection="2"/>
        <m:item xlName="_GBC_6e60acd9ae91441b9b512b16cc0e986d" concept="clcid-pte:ShangYuJianZhiZhunBeiMingXiChuZhiDaoZhiDeBenQiJianShao" label="商誉减值准备明细-处置导致的本期减少" mulRef="_GBC_81f58baed09c46a3bf97830ea3adfd98" unitRef="_GBC_67c9edd209fb4492bdb662edf79314f5" addr="T0R2C4S1_1" formatStyle="Comma" appId="_GBC_743c9a20b5c043668f28664eb36decf8"/>
        <m:item xlName="_GBC_e023562122364d4a89c97b0bc4c098fc" concept="clcid-pte:ShangYuJianZhiZhunBeiBenQiJianShaoEXiangMuMingChengJinE1" label="商誉减值准备本期减少额项目名称金额1" mulRef="_GBC_81f58baed09c46a3bf97830ea3adfd98" unitRef="_GBC_67c9edd209fb4492bdb662edf79314f5" addr="T0R2C5S1_1" formatStyle="Comma" appId="_GBC_743c9a20b5c043668f28664eb36decf8" isSerialConcept="true" serialDirection="2"/>
        <m:item xlName="_GBC_db0bab26772a4121a32f11c07833d385" concept="clcid-pte:ShangYuJianZhiZhunBeiMingXiJinE" label="商誉减值准备明细-金额" mulRef="_GBC_81f58baed09c46a3bf97830ea3adfd98" unitRef="_GBC_67c9edd209fb4492bdb662edf79314f5" addr="T0R2C6S1_1" formatStyle="Comma" appId="_GBC_743c9a20b5c043668f28664eb36decf8">
          <m:complexRule comparator="Eq" title="商誉减值准备明细-金额" test=" $_GBC_d8da81b955dd43bea69fb4c1af4d3117 +  $_GBC_0b70d6ada103421094e2401ddcf7cbd5 +  $_GBC_d4174637d5494788942ea0e269a45ed0 -  $_GBC_6e60acd9ae91441b9b512b16cc0e986d -  $_GBC_e023562122364d4a89c97b0bc4c098fc" id="C55a2b2375e7549a3b152383d3ea1cb53" serialType="1"/>
        </m:item>
      </m:tuple>
      <m:placeholder xlName="_PLD_8723cba7d5f5468da42c45507923f6de" addr="T0R4C0S1_1"/>
      <m:item xlName="_GBC_af6b6ac3115f4542a6be1c64e4416c8d" concept="clcid-pte:ShangYuJianZhiZhunBei" label="商誉减值准备" periodRef="本期期初数" mulRef="_GBC_81f58baed09c46a3bf97830ea3adfd98" unitRef="_GBC_67c9edd209fb4492bdb662edf79314f5" addr="T0R4C1S1_1" formatStyle="Comma" appId="_GBC_743c9a20b5c043668f28664eb36decf8">
        <m:complexRule comparator="Eq" title="商誉减值准备@本期期初数" test=" $_GBC_d8da81b955dd43bea69fb4c1af4d3117" id="C8544de8fc4e448fab94af842ffd9d127"/>
      </m:item>
      <m:item xlName="_GBC_a4b935e1b66240978222cdcb5c218c4f" concept="clcid-pte:ShangYuJianZhiZhunBeiJiTiBenQiZengJiaHeJi" label="商誉减值准备计提本期增加合计" mulRef="_GBC_81f58baed09c46a3bf97830ea3adfd98" unitRef="_GBC_67c9edd209fb4492bdb662edf79314f5" addr="T0R4C2S1_1" formatStyle="Comma" appId="_GBC_743c9a20b5c043668f28664eb36decf8">
        <m:complexRule comparator="Eq" title="商誉减值准备计提本期增加合计" test=" $_GBC_0b70d6ada103421094e2401ddcf7cbd5" id="C787194c0f99e43ec907cd177c346ae7b"/>
      </m:item>
      <m:item xlName="_GBC_55bfac9717d64e6f9773b74e6012f83f" concept="clcid-pte:ShangYuJianZhiZhunBeiBenQiZengJiaEXiangMuMingChengJinEHeJi1" label="商誉减值准备本期增加额项目名称金额合计1" mulRef="_GBC_81f58baed09c46a3bf97830ea3adfd98" unitRef="_GBC_67c9edd209fb4492bdb662edf79314f5" addr="T0R4C3S1_1" formatStyle="Comma" appId="_GBC_743c9a20b5c043668f28664eb36decf8" isSerialConcept="true" serialDirection="2">
        <m:complexRule comparator="Eq" title="商誉减值准备本期增加额项目名称金额合计1" disabled="true" test=" $_GBC_d4174637d5494788942ea0e269a45ed0" id="Cf6768f9e63ad4aca82ae7602936f705a" serialType="2"/>
      </m:item>
      <m:item xlName="_GBC_b88f95660f1b4e16a0b15f41522958a2" concept="clcid-pte:ChuZhiDaoZhiDeShangYuJianZhiZhunBeiBenQiJianShaoHeJi" label="处置导致的商誉减值准备本期减少合计" mulRef="_GBC_81f58baed09c46a3bf97830ea3adfd98" unitRef="_GBC_67c9edd209fb4492bdb662edf79314f5" addr="T0R4C4S1_1" formatStyle="Comma" appId="_GBC_743c9a20b5c043668f28664eb36decf8">
        <m:complexRule comparator="Eq" title="处置导致的商誉减值准备本期减少合计" test=" $_GBC_6e60acd9ae91441b9b512b16cc0e986d" id="Cb218d96d6d264502a16fd03e79e7c52a"/>
      </m:item>
      <m:item xlName="_GBC_e2314c7d33404e10805b0367b5e7a9db" concept="clcid-pte:ShangYuJianZhiZhunBeiBenQiJianShaoEXiangMuMingChengJinEHeJi1" label="商誉减值准备本期减少额项目名称金额合计1" mulRef="_GBC_81f58baed09c46a3bf97830ea3adfd98" unitRef="_GBC_67c9edd209fb4492bdb662edf79314f5" addr="T0R4C5S1_1" formatStyle="Comma" appId="_GBC_743c9a20b5c043668f28664eb36decf8" isSerialConcept="true" serialDirection="2">
        <m:complexRule comparator="Eq" title="商誉减值准备本期减少额项目名称金额合计1" disabled="true" test=" $_GBC_e023562122364d4a89c97b0bc4c098fc" id="Cfa1bc29ab3ef4add87e02a1b74e0fd0b" serialType="2"/>
      </m:item>
      <m:item xlName="_GBC_404f20773b8f4c5da6dcced81bc6c86a" concept="clcid-pte:ShangYuJianZhiZhunBei" label="商誉减值准备" mulRef="_GBC_81f58baed09c46a3bf97830ea3adfd98" unitRef="_GBC_67c9edd209fb4492bdb662edf79314f5" addr="T0R4C6S1_1" formatStyle="Comma" appId="_GBC_743c9a20b5c043668f28664eb36decf8">
        <m:complexRule comparator="Eq" title="商誉减值准备" test=" $_GBC_db0bab26772a4121a32f11c07833d385" id="C804bf4ab276e4f3890ff36ce7b22a530"/>
        <m:complexRule comparator="Eq" title="商誉减值准备横向合计" test=" $_GBC_af6b6ac3115f4542a6be1c64e4416c8d +  $_GBC_a4b935e1b66240978222cdcb5c218c4f +  $_GBC_55bfac9717d64e6f9773b74e6012f83f -  $_GBC_b88f95660f1b4e16a0b15f41522958a2 -  $_GBC_e2314c7d33404e10805b0367b5e7a9db" id="C9563e6b460704220a07ccbfa039d7d65" serialType="1"/>
      </m:item>
    </m:section>
    <m:section xlName="_SEC_d66ac36383ac40138e90a678094ff1a4" title="商誉所在资产组或资产组组合的相关信息">
      <m:item xlName="_GBC_a40a76b7512a45b79930a13f56d19c6d" concept="clcid-ci-ar:ShiFouShiYongShangYuSuoZaiZiChanZuHuoZiChanZuZuHeDeXiangGuanXinXi" label="是否适用：商誉所在资产组或资产组组合的相关信息" selectOptions="_buildInAppliance" controlType="CustomCheckbox" cRanges="[{&quot;StartName&quot;:&quot;_GBC_a40a76b7512a45b79930a13f56d19c6d&quot;,&quot;EndName&quot;:&quot;_GBC_1ac8119b0b2242f092f3a42ca82cb1af&quot;,&quot;CType&quot;:1}]"/>
      <m:item xlName="_GBC_1ac8119b0b2242f092f3a42ca82cb1af" concept="clcid-pte:ShangYuSuoZaiZiChanZuHuoZiChanZuZuHeDeXiangGuanXinXi" label="商誉所在资产组或资产组组合的相关信息" appId="_GBC_a40a76b7512a45b79930a13f56d19c6d"/>
    </m:section>
    <m:section xlName="_SEC_6b753aafd7bf484f982e228cd4c0dde3" title="说明商誉减值测试过程、关键参数（例如预计未来现金流量现值时的...">
      <m:item xlName="_GBC_3e5dd9e04d73479f9a70e665366f9d11"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3e5dd9e04d73479f9a70e665366f9d11&quot;,&quot;EndName&quot;:&quot;_GBC_4c83760c9f4e43ccbd87360399af577c&quot;,&quot;CType&quot;:1,&quot;DisplayText&quot;:null}"/>
      <m:item xlName="_GBC_4c83760c9f4e43ccbd87360399af577c" concept="clcid-pte:ShangYuDeShuoMing" label="商誉的说明" appId="_GBC_3e5dd9e04d73479f9a70e665366f9d11"/>
    </m:section>
    <m:section xlName="_SEC_fd017e302f8c4189978aac3dc8581f09" title="商誉减值测试的影响">
      <m:item xlName="_GBC_24d2ea865aff4dda9d4cd3c8b1eb71cc" concept="clcid-ci-ar:ShiFouShiYongShangYuJianZhiCeShiDeYingXiang" label="是否适用：商誉减值测试的影响" selectOptions="_buildInAppliance" controlType="CustomCheckbox" cRanges="[{&quot;StartName&quot;:&quot;_GBC_24d2ea865aff4dda9d4cd3c8b1eb71cc&quot;,&quot;EndName&quot;:&quot;_GBC_7659b75cae2748628ee4ba495e4c3c49&quot;,&quot;CType&quot;:1}]"/>
      <m:item xlName="_GBC_7659b75cae2748628ee4ba495e4c3c49" concept="clcid-pte:ShangYuJianZhiCeShiDeYingXiangShuoMing" label="商誉减值测试的影响说明" appId="_GBC_24d2ea865aff4dda9d4cd3c8b1eb71cc"/>
    </m:section>
    <m:section xlName="_SEC_fd9f0a21b0c44e29ba84ddb7842fe32a" title="其他说明">
      <m:item xlName="_GBC_6b2c2377a4a6486b9a4ba845bd2192f6" concept="clcid-ci-ar:ShiFouShiYongShangYuQiTaXuYaoShuoMingDeShiXiang" label="是否适用：商誉其他需要说明的事项" selectOptions="_buildInAppliance" controlType="CustomCheckbox" cRanges="{&quot;StartName&quot;:&quot;_GBC_6b2c2377a4a6486b9a4ba845bd2192f6&quot;,&quot;EndName&quot;:&quot;_GBC_d8d9e39e2ef648d5a2c7e1d4d5582914&quot;,&quot;CType&quot;:1,&quot;DisplayText&quot;:null}"/>
      <m:item xlName="_GBC_d8d9e39e2ef648d5a2c7e1d4d5582914" concept="clcid-pte:ShangYuQiTaXuYaoShuoMingDeShiXiang" label="商誉其他需要说明的事项" appId="_GBC_6b2c2377a4a6486b9a4ba845bd2192f6"/>
    </m:section>
    <m:section xlName="_GBC_c7f901dce89846cbbbab6c51c3213a6f" title="长期待摊费用" convertSummaryRule="NoConvert" helpId="112001076">
      <m:item xlName="_GBC_9bec8f9516c84b19bae2fb8a7292063f" concept="clcid-ci-ar:ShiFouShiYongChangQiDaiTanFeiYong" label="是否适用：长期待摊费用" selectOptions="_buildInAppliance" controlType="CustomCheckbox" cRanges="{&quot;StartName&quot;:&quot;_GBC_9bec8f9516c84b19bae2fb8a7292063f&quot;,&quot;EndName&quot;:&quot;_GBC_5b31c466b60f433faaa37d443fae74be&quot;,&quot;CType&quot;:1,&quot;DisplayText&quot;:null}"/>
      <m:item xlName="_GBC_aa74f67aac374e54a7768a8434ab0c08" concept="clcid-ci-ar:DanWeiCaiWuFuZhuChangQiDaiTanFeiYong" label="单位：财务附注：长期待摊费用" selectOptions="_buildInScales" controlType="Combobox" cellType="Scale" appId="_GBC_9bec8f9516c84b19bae2fb8a7292063f"/>
      <m:item xlName="_GBC_767b9b701cf8425c9d588b0398c42e90" concept="clcid-ci-ar:BiZhongCaiWuFuZhuChangQiDaiTanFeiYong" label="币种：财务附注：长期待摊费用" selectOptions="_buildInISO4217" controlType="Combobox" cellType="Measure" appId="_GBC_9bec8f9516c84b19bae2fb8a7292063f"/>
      <m:placeholder xlName="_PLD_20e665ce568e49a5aa1c687384d611b3" addr="T0R0C0S1_1"/>
      <m:placeholder xlName="_PLD_e3597a5d560b48d59d41cd3dc72b1a3a" addr="T0R0C1S1_1"/>
      <m:placeholder xlName="_PLD_2edffaf8b24b489e97f2d4a6a5ec5711" addr="T0R0C2S1_1"/>
      <m:placeholder xlName="_PLD_f6bc6a07519e4f6cab5889776aa0ecbd" addr="T0R0C3S1_1"/>
      <m:placeholder xlName="_PLD_f987bb682c974016898d37b474ce35c6" addr="T0R0C4S1_1"/>
      <m:placeholder xlName="_PLD_dab738986fbc4bd7b942faf77cb39605" addr="T0R0C5S1_1"/>
      <m:tuple xlName="_GBC_68b20aeabd8c4ce8bf5df712206206af" concept="clcid-pte:ChangQiDaiTanFeiYongMingXi" default_row="2" addr="T0R1C">
        <m:item xlName="_GBC_9d6a51ba248a47c6b91b0f261c6fa8e8" concept="clcid-pte:ChangQiDaiTanFeiYongZhongLei" label="长期待摊费用种类" addr="T0R1C0S1_1" cellConvertType="1" appId="_GBC_9bec8f9516c84b19bae2fb8a7292063f"/>
        <m:item xlName="_GBC_b14929afd0c342748c1d8243fc4910e3" concept="clcid-pte:ChangQiDaiTanFeiYongZhongLeiJinE" label="长期待摊费用金额" periodRef="本期期初数" mulRef="_GBC_aa74f67aac374e54a7768a8434ab0c08" unitRef="_GBC_767b9b701cf8425c9d588b0398c42e90" addr="T0R1C1S1_1" formatStyle="Comma" appId="_GBC_9bec8f9516c84b19bae2fb8a7292063f"/>
        <m:item xlName="_GBC_6cfec0ad72e54555b4cdcf2f307a967d" concept="clcid-pte:ChangQiDaiTanFeiYongMingXiZengJiaE" label="长期待摊费用明细-增加额" mulRef="_GBC_aa74f67aac374e54a7768a8434ab0c08" unitRef="_GBC_767b9b701cf8425c9d588b0398c42e90" addr="T0R1C2S1_1" formatStyle="Comma" appId="_GBC_9bec8f9516c84b19bae2fb8a7292063f"/>
        <m:item xlName="_GBC_b6335fca5217411c9a43c8a8e2701c2c" concept="clcid-pte:ChangQiDaiTanFeiYongMingXiTanXiaoE" label="长期待摊费用明细-摊销额" mulRef="_GBC_aa74f67aac374e54a7768a8434ab0c08" unitRef="_GBC_767b9b701cf8425c9d588b0398c42e90" addr="T0R1C3S1_1" formatStyle="Comma" appId="_GBC_9bec8f9516c84b19bae2fb8a7292063f"/>
        <m:item xlName="_GBC_55008f38074e4da889e976190b207a58" concept="clcid-pte:ChangQiDaiTanFeiYongMingXiQiTaJianShaoE" label="长期待摊费用明细-其他减少额" mulRef="_GBC_aa74f67aac374e54a7768a8434ab0c08" unitRef="_GBC_767b9b701cf8425c9d588b0398c42e90" addr="T0R1C4S1_1" formatStyle="Comma" appId="_GBC_9bec8f9516c84b19bae2fb8a7292063f"/>
        <m:item xlName="_GBC_1c7338f7a840495e8bd2bbc845120f74" concept="clcid-pte:ChangQiDaiTanFeiYongZhongLeiJinE" label="长期待摊费用金额" mulRef="_GBC_aa74f67aac374e54a7768a8434ab0c08" unitRef="_GBC_767b9b701cf8425c9d588b0398c42e90" addr="T0R1C5S1_1" formatStyle="Comma" appId="_GBC_9bec8f9516c84b19bae2fb8a7292063f">
          <m:complexRule comparator="Eq" title="长期待摊费用金额" test=" $_GBC_b14929afd0c342748c1d8243fc4910e3 +  $_GBC_6cfec0ad72e54555b4cdcf2f307a967d -  $_GBC_b6335fca5217411c9a43c8a8e2701c2c -  $_GBC_55008f38074e4da889e976190b207a58" id="C08a403d618944193a89631eaf6dac222"/>
        </m:item>
      </m:tuple>
      <m:placeholder xlName="_PLD_bd1d6a8046344014824f3cd45e5475be" addr="T0R3C0S1_1"/>
      <m:item xlName="_GBC_9f923e6126f248f8a5b31c087b99143f" concept="clcid-pte:ChangQiDaiTanFeiYong" label="长期待摊费用" periodRef="本期期初数" mulRef="_GBC_aa74f67aac374e54a7768a8434ab0c08" unitRef="_GBC_767b9b701cf8425c9d588b0398c42e90" addr="T0R3C1S1_1" formatStyle="Comma" appId="_GBC_9bec8f9516c84b19bae2fb8a7292063f">
        <m:complexRule comparator="Eq" title="长期待摊费用@本期期初数" test=" $_GBC_b14929afd0c342748c1d8243fc4910e3" id="C0358d22727ff46a8b09440c77df8879f"/>
      </m:item>
      <m:item xlName="_GBC_81b95c62a8e94a25b10f37c8c97019c6" concept="clcid-pte:ChangQiDaiTanFeiYongZengJiaEHeJi" label="长期待摊费用增加额合计" mulRef="_GBC_aa74f67aac374e54a7768a8434ab0c08" unitRef="_GBC_767b9b701cf8425c9d588b0398c42e90" addr="T0R3C2S1_1" formatStyle="Comma" appId="_GBC_9bec8f9516c84b19bae2fb8a7292063f">
        <m:complexRule comparator="Eq" title="长期待摊费用增加额合计" test=" $_GBC_6cfec0ad72e54555b4cdcf2f307a967d" id="C2acbe531bb4547f0b24117e66c059421"/>
      </m:item>
      <m:item xlName="_GBC_08c2b0bb37d84bd880262001af42fd96" concept="clcid-pte:ChangQiDaiTanFeiYongTanXiaoEHeJi" label="长期待摊费用摊销额合计" mulRef="_GBC_aa74f67aac374e54a7768a8434ab0c08" unitRef="_GBC_767b9b701cf8425c9d588b0398c42e90" addr="T0R3C3S1_1" formatStyle="Comma" appId="_GBC_9bec8f9516c84b19bae2fb8a7292063f">
        <m:complexRule comparator="Eq" title="长期待摊费用摊销额合计" test=" $_GBC_b6335fca5217411c9a43c8a8e2701c2c" id="Cfda21d70a111443c9e4572292cf8a09e"/>
      </m:item>
      <m:item xlName="_GBC_87a81fda53d34352b3709636481da7f8" concept="clcid-pte:ChangQiDaiTanFeiYongQiTaJianShaoEHeJi" label="长期待摊费用其他减少额合计" mulRef="_GBC_aa74f67aac374e54a7768a8434ab0c08" unitRef="_GBC_767b9b701cf8425c9d588b0398c42e90" addr="T0R3C4S1_1" formatStyle="Comma" appId="_GBC_9bec8f9516c84b19bae2fb8a7292063f">
        <m:complexRule comparator="Eq" title="长期待摊费用其他减少额合计" test=" $_GBC_55008f38074e4da889e976190b207a58" id="Cf66826cfaf274a21af32609032d76abb"/>
      </m:item>
      <m:item xlName="_GBC_b8f453d589a94127b91751cd03a6b6eb" concept="clcid-pte:ChangQiDaiTanFeiYong" label="长期待摊费用" mulRef="_GBC_aa74f67aac374e54a7768a8434ab0c08" unitRef="_GBC_767b9b701cf8425c9d588b0398c42e90" addr="T0R3C5S1_1" formatStyle="Comma" appId="_GBC_9bec8f9516c84b19bae2fb8a7292063f">
        <m:complexRule comparator="Eq" title="长期待摊费用" test=" $_GBC_1c7338f7a840495e8bd2bbc845120f74" id="C0f5fdc7fe4c3410bbdbc973890299120"/>
        <m:complexRule comparator="Eq" title="长期待摊费用横向合计" test=" $_GBC_9f923e6126f248f8a5b31c087b99143f +  $_GBC_81b95c62a8e94a25b10f37c8c97019c6 -  $_GBC_08c2b0bb37d84bd880262001af42fd96 -  $_GBC_87a81fda53d34352b3709636481da7f8" id="Cafcb83297b414858b60fec08a02216df"/>
      </m:item>
      <m:item xlName="_GBC_5b31c466b60f433faaa37d443fae74be" concept="clcid-pte:ChangQiDaiTanFeiYongDeShuoMing" label="长期待摊费用的说明" appId="_GBC_9bec8f9516c84b19bae2fb8a7292063f"/>
    </m:section>
    <m:section xlName="_SEC_24cb6110bf5143448478343c289c754e" title="未经抵销的递延所得税资产">
      <m:item xlName="_GBC_fc6e77974a404dc3bef5fc386ae4e1e7" concept="clcid-ci-ar:ShiFouShiYongWeiJingDiXiaoDeDiYanSuoDeShuiZiChan" label="是否适用：未经抵销的递延所得税资产" selectOptions="_buildInAppliance" controlType="CustomCheckbox" cRanges="{&quot;StartName&quot;:&quot;_GBC_fc6e77974a404dc3bef5fc386ae4e1e7&quot;,&quot;EndName&quot;:&quot;_GBC_6682a9b2fb9448aaa0e75bcdc165a3c3&quot;,&quot;CType&quot;:1,&quot;DisplayText&quot;:null}"/>
      <m:item xlName="_GBC_7be724d3c6f14974914db7d02bb734f9" concept="clcid-ci-ar:DanWeiCaiWuFuZhuYiQueRenDeDiYanSuoDeShuiZiChanHeDiYanSuoDeShuiFuZhai" label="单位：财务附注：已确认的递延所得税资产和递延所得税负债" selectOptions="_buildInScales" controlType="Combobox" cellType="Scale" appId="_GBC_fc6e77974a404dc3bef5fc386ae4e1e7"/>
      <m:item xlName="_GBC_a48237f045494aa9a0ea8c2cb35b1c0f" concept="clcid-ci-ar:BiZhongCaiWuFuZhuYiQueRenDeDiYanSuoDeShuiZiChanHeDiYanSuoDeShuiFuZhai" label="币种：财务附注：已确认的递延所得税资产和递延所得税负债" selectOptions="_buildInISO4217" controlType="Combobox" cellType="Measure" appId="_GBC_fc6e77974a404dc3bef5fc386ae4e1e7"/>
      <m:placeholder xlName="_PLD_e45101b3a01946f19f22657bb959574e" addr="T0R0C0S2_1"/>
      <m:placeholder xlName="_PLD_dd892ffecd234c819059bf10f71b1910" addr="T0R0C1S1_2"/>
      <m:placeholder xlName="_PLD_be855fcb002344d6ae2c74083e90b1c1" addr="T0R0C3S1_2"/>
      <m:placeholder xlName="_PLD_c82eb64547054aa39a1b7bfe7c532e2e" addr="T0R1C1S1_1"/>
      <m:placeholder xlName="_PLD_ad2e47975c52486d8bfc7fec079252de" addr="T0R1C2S1_1"/>
      <m:placeholder xlName="_PLD_0e0e7aabb5f8432ea9da8b4066b2e897" addr="T0R1C3S1_1"/>
      <m:placeholder xlName="_PLD_34147e3346eb4b24b314e0dadaab6983" addr="T0R1C4S1_1"/>
      <m:placeholder xlName="_PLD_1bf7e1aa06884192bd26302547776324" addr="T0R2C0S1_1"/>
      <m:item xlName="_GBC_6d51676b3ee84bfda41a839b4a7d22fc" concept="clcid-pte:KeDiKouZanShiXingChaYiZhongZiChanJianZhiZhunBei" label="可抵扣暂时性差异中资产减值准备" mulRef="_GBC_7be724d3c6f14974914db7d02bb734f9" unitRef="_GBC_a48237f045494aa9a0ea8c2cb35b1c0f" addr="T0R2C1S1_1" formatStyle="Comma" appId="_GBC_fc6e77974a404dc3bef5fc386ae4e1e7"/>
      <m:item xlName="_GBC_618bf8272ee64687bf85fa7a7e475cde" concept="clcid-pte:DiYanSuoDeShuiZiChanZhongZiChanJianZhiZhunBei" label="递延所得税资产中资产减值准备" mulRef="_GBC_7be724d3c6f14974914db7d02bb734f9" unitRef="_GBC_a48237f045494aa9a0ea8c2cb35b1c0f" addr="T0R2C2S1_1" formatStyle="Comma" appId="_GBC_fc6e77974a404dc3bef5fc386ae4e1e7"/>
      <m:item xlName="_GBC_a2ac6a6318af4f3a8b27ac077f0bc73e" concept="clcid-pte:KeDiKouZanShiXingChaYiZhongZiChanJianZhiZhunBei" label="可抵扣暂时性差异中资产减值准备" periodRef="本期期初数" mulRef="_GBC_7be724d3c6f14974914db7d02bb734f9" unitRef="_GBC_a48237f045494aa9a0ea8c2cb35b1c0f" addr="T0R2C3S1_1" formatStyle="Comma" appId="_GBC_fc6e77974a404dc3bef5fc386ae4e1e7"/>
      <m:item xlName="_GBC_831e74e19af3424d98655c2082efd5b3" concept="clcid-pte:DiYanSuoDeShuiZiChanZhongZiChanJianZhiZhunBei" label="递延所得税资产中资产减值准备" periodRef="本期期初数" mulRef="_GBC_7be724d3c6f14974914db7d02bb734f9" unitRef="_GBC_a48237f045494aa9a0ea8c2cb35b1c0f" addr="T0R2C4S1_1" formatStyle="Comma" appId="_GBC_fc6e77974a404dc3bef5fc386ae4e1e7"/>
      <m:placeholder xlName="_PLD_024091818f2b4c9386a36ed63f88f791" addr="T0R3C0S1_1"/>
      <m:item xlName="_GBC_6d37dbee31df4815859fb8a03c0ee68c" concept="clcid-pte:KeDiKouZanShiXingChaYiZhongNeiBuJiaoYiWeiShiXianLiRun" label="可抵扣暂时性差异中内部交易未实现利润" mulRef="_GBC_7be724d3c6f14974914db7d02bb734f9" unitRef="_GBC_a48237f045494aa9a0ea8c2cb35b1c0f" addr="T0R3C1S1_1" formatStyle="Comma" appId="_GBC_fc6e77974a404dc3bef5fc386ae4e1e7"/>
      <m:item xlName="_GBC_b804bdfeef894d3c8f7e8fbcd1373230" concept="clcid-pte:DiYanSuoDeShuiZiChanZhongNeiBuJiaoYiWeiShiXianLiRun" label="递延所得税资产中内部交易未实现利润" mulRef="_GBC_7be724d3c6f14974914db7d02bb734f9" unitRef="_GBC_a48237f045494aa9a0ea8c2cb35b1c0f" addr="T0R3C2S1_1" formatStyle="Comma" appId="_GBC_fc6e77974a404dc3bef5fc386ae4e1e7"/>
      <m:item xlName="_GBC_6e08b6595d144b63a97fdc8af54c972b" concept="clcid-pte:KeDiKouZanShiXingChaYiZhongNeiBuJiaoYiWeiShiXianLiRun" label="可抵扣暂时性差异中内部交易未实现利润" periodRef="本期期初数" mulRef="_GBC_7be724d3c6f14974914db7d02bb734f9" unitRef="_GBC_a48237f045494aa9a0ea8c2cb35b1c0f" addr="T0R3C3S1_1" formatStyle="Comma" appId="_GBC_fc6e77974a404dc3bef5fc386ae4e1e7"/>
      <m:item xlName="_GBC_19c5d7aca0004fb4a648e67e157a5f46" concept="clcid-pte:DiYanSuoDeShuiZiChanZhongNeiBuJiaoYiWeiShiXianLiRun" label="递延所得税资产中内部交易未实现利润" periodRef="本期期初数" mulRef="_GBC_7be724d3c6f14974914db7d02bb734f9" unitRef="_GBC_a48237f045494aa9a0ea8c2cb35b1c0f" addr="T0R3C4S1_1" formatStyle="Comma" appId="_GBC_fc6e77974a404dc3bef5fc386ae4e1e7"/>
      <m:placeholder xlName="_PLD_cab9951be3e845939320c38b7e9544d7" addr="T0R4C0S1_1"/>
      <m:item xlName="_GBC_68ae027995004ea68395dd1d13a50ab5" concept="clcid-pte:KeDiKouZanShiXingChaYiZhongKeDiKouKuiSun" label="可抵扣暂时性差异中可抵扣亏损" mulRef="_GBC_7be724d3c6f14974914db7d02bb734f9" unitRef="_GBC_a48237f045494aa9a0ea8c2cb35b1c0f" addr="T0R4C1S1_1" formatStyle="Comma" appId="_GBC_fc6e77974a404dc3bef5fc386ae4e1e7"/>
      <m:item xlName="_GBC_1956d7e8d7ca4ee7aaade35bc13e2a64" concept="clcid-pte:DiYanSuoDeShuiZiChanZhongKeDiKouKuiSun" label="递延所得税资产中可抵扣亏损" mulRef="_GBC_7be724d3c6f14974914db7d02bb734f9" unitRef="_GBC_a48237f045494aa9a0ea8c2cb35b1c0f" addr="T0R4C2S1_1" formatStyle="Comma" appId="_GBC_fc6e77974a404dc3bef5fc386ae4e1e7"/>
      <m:item xlName="_GBC_eda0508b03304f029c5f8003aacce666" concept="clcid-pte:KeDiKouZanShiXingChaYiZhongKeDiKouKuiSun" label="可抵扣暂时性差异中可抵扣亏损" periodRef="本期期初数" mulRef="_GBC_7be724d3c6f14974914db7d02bb734f9" unitRef="_GBC_a48237f045494aa9a0ea8c2cb35b1c0f" addr="T0R4C3S1_1" formatStyle="Comma" appId="_GBC_fc6e77974a404dc3bef5fc386ae4e1e7"/>
      <m:item xlName="_GBC_db539460030b4f53bcf14c2114948827" concept="clcid-pte:DiYanSuoDeShuiZiChanZhongKeDiKouKuiSun" label="递延所得税资产中可抵扣亏损" periodRef="本期期初数" mulRef="_GBC_7be724d3c6f14974914db7d02bb734f9" unitRef="_GBC_a48237f045494aa9a0ea8c2cb35b1c0f" addr="T0R4C4S1_1" formatStyle="Comma" appId="_GBC_fc6e77974a404dc3bef5fc386ae4e1e7"/>
      <m:tuple xlName="_GBC_78d44848a87d4473a54948d3e2adbb46" concept="clcid-pte:DiYanSuoDeShuiZiChanMingXi" default_row="2" addr="T0R5C">
        <m:item xlName="_GBC_bd8030a345ae42bf95c7e8b40d82722c" concept="clcid-pte:DiYanSuoDeShuiZiChanXiangMu" label="递延所得税资产明细－项目" addr="T0R5C0S1_1" appId="_GBC_fc6e77974a404dc3bef5fc386ae4e1e7"/>
        <m:item xlName="_GBC_f1ae481d08c24bcda2206f50204eec7f" concept="clcid-pte:DiYanSuoDeShuiZiChanMingXiKeDiKouZanShiXingChaYi" label="递延所得税资产明细－可抵扣暂时性差异" mulRef="_GBC_7be724d3c6f14974914db7d02bb734f9" unitRef="_GBC_a48237f045494aa9a0ea8c2cb35b1c0f" addr="T0R5C1S1_1" formatStyle="Comma" appId="_GBC_fc6e77974a404dc3bef5fc386ae4e1e7"/>
        <m:item xlName="_GBC_fb9c9e1857f2417fb6d01ea0bcc5953b" concept="clcid-pte:DiYanSuoDeShuiZiChanJinE" label="递延所得税资产明细－金额" mulRef="_GBC_7be724d3c6f14974914db7d02bb734f9" unitRef="_GBC_a48237f045494aa9a0ea8c2cb35b1c0f" addr="T0R5C2S1_1" formatStyle="Comma" appId="_GBC_fc6e77974a404dc3bef5fc386ae4e1e7"/>
        <m:item xlName="_GBC_a4214b329d5b47f3a865f0a607a502a2" concept="clcid-pte:DiYanSuoDeShuiZiChanMingXiKeDiKouZanShiXingChaYi" label="递延所得税资产明细－可抵扣暂时性差异" periodRef="本期期初数" mulRef="_GBC_7be724d3c6f14974914db7d02bb734f9" unitRef="_GBC_a48237f045494aa9a0ea8c2cb35b1c0f" addr="T0R5C3S1_1" formatStyle="Comma" appId="_GBC_fc6e77974a404dc3bef5fc386ae4e1e7"/>
        <m:item xlName="_GBC_7c846c51cea94f52ae95cd3b930b31a7" concept="clcid-pte:DiYanSuoDeShuiZiChanJinE" label="递延所得税资产明细－金额" periodRef="本期期初数" mulRef="_GBC_7be724d3c6f14974914db7d02bb734f9" unitRef="_GBC_a48237f045494aa9a0ea8c2cb35b1c0f" addr="T0R5C4S1_1" formatStyle="Comma" appId="_GBC_fc6e77974a404dc3bef5fc386ae4e1e7"/>
      </m:tuple>
      <m:placeholder xlName="_PLD_aff9781bbd7249709be440b59752c5c2" addr="T0R7C0S1_1"/>
      <m:item xlName="_GBC_e228e103fd09470fac76e5feb0968db6" concept="clcid-pte:YiQueRenDeKeDiKouZanShiXingChaYiHeJi" label="已确认的可抵扣暂时性差异合计" mulRef="_GBC_7be724d3c6f14974914db7d02bb734f9" unitRef="_GBC_a48237f045494aa9a0ea8c2cb35b1c0f" addr="T0R7C1S1_1" formatStyle="Comma" appId="_GBC_fc6e77974a404dc3bef5fc386ae4e1e7">
        <m:complexRule comparator="Eq" title="已确认的可抵扣暂时性差异合计" test=" $_GBC_6d51676b3ee84bfda41a839b4a7d22fc +  $_GBC_6d37dbee31df4815859fb8a03c0ee68c +  $_GBC_68ae027995004ea68395dd1d13a50ab5 +  $_GBC_f1ae481d08c24bcda2206f50204eec7f" id="C3a2e815509664b629d8d3b1b2076c5dd" serialType="1"/>
        <m:complexRule comparator="Eq" title="已确认的可抵扣暂时性差异合计" test="$_GBC_6d51676b3ee84bfda41a839b4a7d22fc+$_GBC_6d37dbee31df4815859fb8a03c0ee68c+$_GBC_68ae027995004ea68395dd1d13a50ab5+$_GBC_f1ae481d08c24bcda2206f50204eec7f" id="Cff2da3226c5c45e39a10fede1b757423"/>
      </m:item>
      <m:item xlName="_GBC_2d6926921f6c4ac384eb4906735a38be" concept="clcid-pte:YiQueRenDeDiYanSuoDeShuiZiChanXiaoJi" label="已确认的递延所得税资产小计" mulRef="_GBC_7be724d3c6f14974914db7d02bb734f9" unitRef="_GBC_a48237f045494aa9a0ea8c2cb35b1c0f" addr="T0R7C2S1_1" formatStyle="Comma" appId="_GBC_fc6e77974a404dc3bef5fc386ae4e1e7">
        <m:complexRule comparator="Eq" title="已确认的递延所得税资产小计" test=" $_GBC_618bf8272ee64687bf85fa7a7e475cde +  $_GBC_b804bdfeef894d3c8f7e8fbcd1373230 +  $_GBC_1956d7e8d7ca4ee7aaade35bc13e2a64 +  $_GBC_fb9c9e1857f2417fb6d01ea0bcc5953b" id="C64186af434244a23bed03b6c2bf28f1a" serialType="1"/>
        <m:complexRule comparator="Eq" title="已确认的递延所得税资产小计" test="$_GBC_618bf8272ee64687bf85fa7a7e475cde+$_GBC_b804bdfeef894d3c8f7e8fbcd1373230+$_GBC_1956d7e8d7ca4ee7aaade35bc13e2a64+$_GBC_fb9c9e1857f2417fb6d01ea0bcc5953b" id="C42a6f0451e4f4ee8a38f47d08d6af93e"/>
      </m:item>
      <m:item xlName="_GBC_aef89081a1b6463db592e54d6f165f64" concept="clcid-pte:YiQueRenDeKeDiKouZanShiXingChaYiHeJi" label="已确认的可抵扣暂时性差异合计" periodRef="本期期初数" mulRef="_GBC_7be724d3c6f14974914db7d02bb734f9" unitRef="_GBC_a48237f045494aa9a0ea8c2cb35b1c0f" addr="T0R7C3S1_1" formatStyle="Comma" appId="_GBC_fc6e77974a404dc3bef5fc386ae4e1e7">
        <m:complexRule comparator="Eq" title="已确认的可抵扣暂时性差异合计@本期期初数" test=" $_GBC_a2ac6a6318af4f3a8b27ac077f0bc73e +  $_GBC_6e08b6595d144b63a97fdc8af54c972b +  $_GBC_eda0508b03304f029c5f8003aacce666 +  $_GBC_a4214b329d5b47f3a865f0a607a502a2" id="C167db8bda8b440158487b4240177ac77" serialType="1"/>
        <m:complexRule comparator="Eq" title="已确认的可抵扣暂时性差异合计@本期期初数" test="$_GBC_a2ac6a6318af4f3a8b27ac077f0bc73e+$_GBC_6e08b6595d144b63a97fdc8af54c972b+$_GBC_eda0508b03304f029c5f8003aacce666+$_GBC_a4214b329d5b47f3a865f0a607a502a2" id="Ccaf5929a3ae84110aec69b10ddaa60c5"/>
      </m:item>
      <m:item xlName="_GBC_6682a9b2fb9448aaa0e75bcdc165a3c3" concept="clcid-pte:YiQueRenDeDiYanSuoDeShuiZiChanXiaoJi" label="已确认的递延所得税资产小计" periodRef="本期期初数" mulRef="_GBC_7be724d3c6f14974914db7d02bb734f9" unitRef="_GBC_a48237f045494aa9a0ea8c2cb35b1c0f" addr="T0R7C4S1_1" formatStyle="Comma" appId="_GBC_fc6e77974a404dc3bef5fc386ae4e1e7">
        <m:complexRule comparator="Eq" title="已确认的递延所得税资产小计@本期期初数" test=" $_GBC_831e74e19af3424d98655c2082efd5b3 +  $_GBC_19c5d7aca0004fb4a648e67e157a5f46 +  $_GBC_db539460030b4f53bcf14c2114948827 +  $_GBC_7c846c51cea94f52ae95cd3b930b31a7" id="C731052bdca7c48aaa35dde172acc4816" serialType="1"/>
        <m:complexRule comparator="Eq" title="已确认的递延所得税资产小计@本期期初数" test="$_GBC_831e74e19af3424d98655c2082efd5b3+$_GBC_19c5d7aca0004fb4a648e67e157a5f46+$_GBC_db539460030b4f53bcf14c2114948827+$_GBC_7c846c51cea94f52ae95cd3b930b31a7" id="C8f6e4c9ddaff425eb93749dfcae57ad0"/>
      </m:item>
    </m:section>
    <m:section xlName="_SEC_022eb52f9e1542cbb5aaa5a287b8ee2a" title="未经抵销的递延所得税负债">
      <m:item xlName="_GBC_e9cf2825b61d4a9ca57e90c2ed017173" concept="clcid-ci-ar:ShiFouShiYongWeiJingDiXiaoDeDiYanSuoDeShuiFuZhai" label="是否适用：未经抵销的递延所得税负债" selectOptions="_buildInAppliance" controlType="CustomCheckbox" cRanges="{&quot;StartName&quot;:&quot;_GBC_e9cf2825b61d4a9ca57e90c2ed017173&quot;,&quot;EndName&quot;:&quot;_GBC_a7274a68a2c94b77b79a8c15ff0ecebe&quot;,&quot;CType&quot;:1,&quot;DisplayText&quot;:null}"/>
      <m:item xlName="_GBC_7fa4a7048e284eb79ceb0dee5165516f" concept="clcid-ci-ar:DanWeiCaiWuFuZhuWeiJingDiXiaoDeDiYanSuoDeShuiFuZhai" label="单位：财务附注：未经抵销的递延所得税负债" selectOptions="_buildInScales" controlType="Combobox" cellType="Scale" appId="_GBC_e9cf2825b61d4a9ca57e90c2ed017173"/>
      <m:item xlName="_GBC_85beae3a7d624858bfe37a33da15472b" concept="clcid-ci-ar:BiZhongCaiWuFuZhuWeiJingDiXiaoDeDiYanSuoDeShuiFuZhai" label="币种：财务附注：未经抵销的递延所得税负债" selectOptions="_buildInISO4217" controlType="Combobox" cellType="Measure" appId="_GBC_e9cf2825b61d4a9ca57e90c2ed017173"/>
      <m:placeholder xlName="_PLD_66ef6111bb2d4b3792b581d6ff38c8d2" addr="T0R0C0S2_1"/>
      <m:placeholder xlName="_PLD_b850d4f63866495f80e69799c9ea1b37" addr="T0R0C1S1_2"/>
      <m:placeholder xlName="_PLD_951c3eee882c4aaa862f620814f6ce4e" addr="T0R0C3S1_2"/>
      <m:placeholder xlName="_PLD_f33e3c528ff14a2bac81ec99970641f6" addr="T0R1C1S1_1"/>
      <m:placeholder xlName="_PLD_0cb734f9904e4a57a5107d601b9b38d1" addr="T0R1C2S1_1"/>
      <m:placeholder xlName="_PLD_ddf3980c66a840e782386c14bb078052" addr="T0R1C3S1_1"/>
      <m:placeholder xlName="_PLD_590dc17e8304449fbff47c3b3cd45eb5" addr="T0R1C4S1_1"/>
      <m:placeholder xlName="_PLD_82ac8bb49f704e4d94c96a530da54377" addr="T0R2C0S1_1"/>
      <m:item xlName="_GBC_85ea063ba98f47679c77e58c15e843a6" concept="clcid-pte:YingNaShuiZanShiXingChaYiZhongFeiTongYiKongZhiQiYeHeBingZiChanPingGuZengZhi" label="应纳税暂时性差异中非同一控制企业合并资产评估增值" mulRef="_GBC_7fa4a7048e284eb79ceb0dee5165516f" unitRef="_GBC_85beae3a7d624858bfe37a33da15472b" addr="T0R2C1S1_1" formatStyle="Comma" appId="_GBC_e9cf2825b61d4a9ca57e90c2ed017173"/>
      <m:item xlName="_GBC_39f712024ca0472f94c46cbfc4aa32a7" concept="clcid-pte:DiYanSuoDeShuiFuZhaiZhongFeiTongYiKongZhiQiYeHeBingZiChanPingGuZengZhi" label="递延所得税负债中非同一控制企业合并资产评估增值" mulRef="_GBC_7fa4a7048e284eb79ceb0dee5165516f" unitRef="_GBC_85beae3a7d624858bfe37a33da15472b" addr="T0R2C2S1_1" formatStyle="Comma" appId="_GBC_e9cf2825b61d4a9ca57e90c2ed017173"/>
      <m:item xlName="_GBC_e5421bf9172a481694b094e3fdb42f54" concept="clcid-pte:YingNaShuiZanShiXingChaYiZhongFeiTongYiKongZhiQiYeHeBingZiChanPingGuZengZhi" label="应纳税暂时性差异中非同一控制企业合并资产评估增值" periodRef="本期期初数" mulRef="_GBC_7fa4a7048e284eb79ceb0dee5165516f" unitRef="_GBC_85beae3a7d624858bfe37a33da15472b" addr="T0R2C3S1_1" formatStyle="Comma" appId="_GBC_e9cf2825b61d4a9ca57e90c2ed017173"/>
      <m:item xlName="_GBC_3fe09e7a905d4886b26a031226441850" concept="clcid-pte:DiYanSuoDeShuiFuZhaiZhongFeiTongYiKongZhiQiYeHeBingZiChanPingGuZengZhi" label="递延所得税负债中非同一控制企业合并资产评估增值" periodRef="本期期初数" mulRef="_GBC_7fa4a7048e284eb79ceb0dee5165516f" unitRef="_GBC_85beae3a7d624858bfe37a33da15472b" addr="T0R2C4S1_1" formatStyle="Comma" appId="_GBC_e9cf2825b61d4a9ca57e90c2ed017173"/>
      <m:placeholder xlName="_PLD_c10a6dcf7ba2404bb74bab955cd90441" addr="T0R3C0S1_1"/>
      <m:item xlName="_GBC_fa42d93b01e24a058103c48940fac582" concept="clcid-pte:YingNaShuiZanShiXingChaYiZhongQiTaZhaiQuanTouZiGongYunJiaZhiBianDong" label="应纳税暂时性差异中其他债权投资公允价值变动" mulRef="_GBC_7fa4a7048e284eb79ceb0dee5165516f" unitRef="_GBC_85beae3a7d624858bfe37a33da15472b" addr="T0R3C1S1_1" formatStyle="Comma" appId="_GBC_e9cf2825b61d4a9ca57e90c2ed017173"/>
      <m:item xlName="_GBC_deb3451c74164b7182b98180a3908096" concept="clcid-pte:DiYanSuoDeShuiFuZhaiZhongQiTaZhaiQuanTouZiGongYunJiaZhiBianDong" label="递延所得税负债中其他债权投资公允价值变动" mulRef="_GBC_7fa4a7048e284eb79ceb0dee5165516f" unitRef="_GBC_85beae3a7d624858bfe37a33da15472b" addr="T0R3C2S1_1" formatStyle="Comma" appId="_GBC_e9cf2825b61d4a9ca57e90c2ed017173"/>
      <m:item xlName="_GBC_8e842daa9f7a467f8bdaf9dca3e55218" concept="clcid-pte:YingNaShuiZanShiXingChaYiZhongQiTaZhaiQuanTouZiGongYunJiaZhiBianDong" label="应纳税暂时性差异中其他债权投资公允价值变动" periodRef="本期期初数" mulRef="_GBC_7fa4a7048e284eb79ceb0dee5165516f" unitRef="_GBC_85beae3a7d624858bfe37a33da15472b" addr="T0R3C3S1_1" formatStyle="Comma" appId="_GBC_e9cf2825b61d4a9ca57e90c2ed017173"/>
      <m:item xlName="_GBC_23c3e6c7502d4e468e2df8ec0db11f76" concept="clcid-pte:DiYanSuoDeShuiFuZhaiZhongQiTaZhaiQuanTouZiGongYunJiaZhiBianDong" label="递延所得税负债中其他债权投资公允价值变动" periodRef="本期期初数" mulRef="_GBC_7fa4a7048e284eb79ceb0dee5165516f" unitRef="_GBC_85beae3a7d624858bfe37a33da15472b" addr="T0R3C4S1_1" formatStyle="Comma" appId="_GBC_e9cf2825b61d4a9ca57e90c2ed017173"/>
      <m:placeholder xlName="_PLD_c4d1e5f508084b6f99fe550210fa1b02" addr="T0R4C0S1_1"/>
      <m:item xlName="_GBC_f33f507bb6934abb8f97b6069c563722" concept="clcid-pte:YingNaShuiZanShiXingChaYiZhongQiTaQuanYiGongJuTouZiGongYunJiaZhiBianDong" label="应纳税暂时性差异中其他权益工具投资公允价值变动" mulRef="_GBC_7fa4a7048e284eb79ceb0dee5165516f" unitRef="_GBC_85beae3a7d624858bfe37a33da15472b" addr="T0R4C1S1_1" formatStyle="Comma" appId="_GBC_e9cf2825b61d4a9ca57e90c2ed017173"/>
      <m:item xlName="_GBC_dc922e514d1b45b392fc2cf4e1c15ee2" concept="clcid-pte:DiYanSuoDeShuiFuZhaiZhongQiTaQuanYiGongJuTouZiGongYunJiaZhiBianDong" label="递延所得税负债中其他权益工具投资公允价值变动" mulRef="_GBC_7fa4a7048e284eb79ceb0dee5165516f" unitRef="_GBC_85beae3a7d624858bfe37a33da15472b" addr="T0R4C2S1_1" formatStyle="Comma" appId="_GBC_e9cf2825b61d4a9ca57e90c2ed017173"/>
      <m:item xlName="_GBC_c32c1c7674dd4de9bfee0a3dc7e5f749" concept="clcid-pte:YingNaShuiZanShiXingChaYiZhongQiTaQuanYiGongJuTouZiGongYunJiaZhiBianDong" label="应纳税暂时性差异中其他权益工具投资公允价值变动" periodRef="本期期初数" mulRef="_GBC_7fa4a7048e284eb79ceb0dee5165516f" unitRef="_GBC_85beae3a7d624858bfe37a33da15472b" addr="T0R4C3S1_1" formatStyle="Comma" appId="_GBC_e9cf2825b61d4a9ca57e90c2ed017173"/>
      <m:item xlName="_GBC_e749e00f2bc8473cb2f7116ccc6e63e3" concept="clcid-pte:DiYanSuoDeShuiFuZhaiZhongQiTaQuanYiGongJuTouZiGongYunJiaZhiBianDong" label="递延所得税负债中其他权益工具投资公允价值变动" periodRef="本期期初数" mulRef="_GBC_7fa4a7048e284eb79ceb0dee5165516f" unitRef="_GBC_85beae3a7d624858bfe37a33da15472b" addr="T0R4C4S1_1" formatStyle="Comma" appId="_GBC_e9cf2825b61d4a9ca57e90c2ed017173"/>
      <m:tuple xlName="_GBC_b1614c80d1bd478fbd0f56aa84238e04" concept="clcid-pte:DiYanSuoDeShuiFuZhaiMingXi" default_row="2" addr="T0R5C">
        <m:item xlName="_GBC_081810a3e27043bc8137d50d7e759fe1" concept="clcid-pte:DiYanSuoDeShuiFuZhaiMingXiXiangMu" label="递延所得税负债明细－项目" addr="T0R5C0S1_1" appId="_GBC_e9cf2825b61d4a9ca57e90c2ed017173"/>
        <m:item xlName="_GBC_e59513f17d184405ba2dfe384dc43e95" concept="clcid-pte:DiYanSuoDeShuiFuZhaiMingXiYingNaShuiZanShiXingChaYi" label="递延所得税负债明细－应纳税暂时性差异" mulRef="_GBC_7fa4a7048e284eb79ceb0dee5165516f" unitRef="_GBC_85beae3a7d624858bfe37a33da15472b" addr="T0R5C1S1_1" formatStyle="Comma" appId="_GBC_e9cf2825b61d4a9ca57e90c2ed017173"/>
        <m:item xlName="_GBC_c2031652f8a04ae89c31168b0d5c8505" concept="clcid-pte:DiYanSuoDeShuiFuZhaiMingXiJinE" label="递延所得税负债明细－金额" mulRef="_GBC_7fa4a7048e284eb79ceb0dee5165516f" unitRef="_GBC_85beae3a7d624858bfe37a33da15472b" addr="T0R5C2S1_1" formatStyle="Comma" appId="_GBC_e9cf2825b61d4a9ca57e90c2ed017173"/>
        <m:item xlName="_GBC_cd6e82a115ba4d05bce019eaf43826b3" concept="clcid-pte:DiYanSuoDeShuiFuZhaiMingXiYingNaShuiZanShiXingChaYi" label="递延所得税负债明细－应纳税暂时性差异" periodRef="本期期初数" mulRef="_GBC_7fa4a7048e284eb79ceb0dee5165516f" unitRef="_GBC_85beae3a7d624858bfe37a33da15472b" addr="T0R5C3S1_1" formatStyle="Comma" appId="_GBC_e9cf2825b61d4a9ca57e90c2ed017173"/>
        <m:item xlName="_GBC_08fb571357d14c349ed3d30218d59470" concept="clcid-pte:DiYanSuoDeShuiFuZhaiMingXiJinE" label="递延所得税负债明细－金额" periodRef="本期期初数" mulRef="_GBC_7fa4a7048e284eb79ceb0dee5165516f" unitRef="_GBC_85beae3a7d624858bfe37a33da15472b" addr="T0R5C4S1_1" formatStyle="Comma" appId="_GBC_e9cf2825b61d4a9ca57e90c2ed017173"/>
      </m:tuple>
      <m:placeholder xlName="_PLD_382351978b994852b2d36dbea92fd0cc" addr="T0R7C0S1_1"/>
      <m:item xlName="_GBC_fb4ebf8740334460b3e2c6e879c5881a" concept="clcid-pte:YiQueRenDeYingNaShuiZanShiXingChaYiHeJi" label="已确认的应纳税暂时性差异合计" mulRef="_GBC_7fa4a7048e284eb79ceb0dee5165516f" unitRef="_GBC_85beae3a7d624858bfe37a33da15472b" addr="T0R7C1S1_1" formatStyle="Comma" appId="_GBC_e9cf2825b61d4a9ca57e90c2ed017173">
        <m:complexRule comparator="Eq" title="已确认的应纳税暂时性差异合计" test="$_GBC_85ea063ba98f47679c77e58c15e843a6+$_GBC_fa42d93b01e24a058103c48940fac582+$_GBC_f33f507bb6934abb8f97b6069c563722+$_GBC_e59513f17d184405ba2dfe384dc43e95" id="C924dc63feea04320a69e4063e04e2e60"/>
      </m:item>
      <m:item xlName="_GBC_b6d412a1d8384ee8ac43a6e057a69333" concept="clcid-pte:YiQueRenDeDiYanSuoDeShuiFuZhaiXiaoJi" label="已确认的递延所得税负债小计" mulRef="_GBC_7fa4a7048e284eb79ceb0dee5165516f" unitRef="_GBC_85beae3a7d624858bfe37a33da15472b" addr="T0R7C2S1_1" formatStyle="Comma" appId="_GBC_e9cf2825b61d4a9ca57e90c2ed017173">
        <m:complexRule comparator="Eq" title="已确认的递延所得税负债小计" test="$_GBC_39f712024ca0472f94c46cbfc4aa32a7+$_GBC_deb3451c74164b7182b98180a3908096+$_GBC_dc922e514d1b45b392fc2cf4e1c15ee2+$_GBC_c2031652f8a04ae89c31168b0d5c8505" id="C74f1aed69b3d45fd9c7099672b894271"/>
      </m:item>
      <m:item xlName="_GBC_ca3dc13830ec4677b29dc31016921171" concept="clcid-pte:YiQueRenDeYingNaShuiZanShiXingChaYiHeJi" label="已确认的应纳税暂时性差异合计" periodRef="本期期初数" mulRef="_GBC_7fa4a7048e284eb79ceb0dee5165516f" unitRef="_GBC_85beae3a7d624858bfe37a33da15472b" addr="T0R7C3S1_1" formatStyle="Comma" appId="_GBC_e9cf2825b61d4a9ca57e90c2ed017173">
        <m:complexRule comparator="Eq" title="已确认的应纳税暂时性差异合计@本期期初数" test="$_GBC_e5421bf9172a481694b094e3fdb42f54+$_GBC_8e842daa9f7a467f8bdaf9dca3e55218+$_GBC_c32c1c7674dd4de9bfee0a3dc7e5f749+$_GBC_cd6e82a115ba4d05bce019eaf43826b3" id="Cab20ee387eb9439bb221d872bae0d5bf"/>
      </m:item>
      <m:item xlName="_GBC_a7274a68a2c94b77b79a8c15ff0ecebe" concept="clcid-pte:YiQueRenDeDiYanSuoDeShuiFuZhaiXiaoJi" label="已确认的递延所得税负债小计" periodRef="本期期初数" mulRef="_GBC_7fa4a7048e284eb79ceb0dee5165516f" unitRef="_GBC_85beae3a7d624858bfe37a33da15472b" addr="T0R7C4S1_1" formatStyle="Comma" appId="_GBC_e9cf2825b61d4a9ca57e90c2ed017173">
        <m:complexRule comparator="Eq" title="已确认的递延所得税负债小计@本期期初数" test=" $_GBC_3fe09e7a905d4886b26a031226441850 +  $_GBC_23c3e6c7502d4e468e2df8ec0db11f76 +  $_GBC_e749e00f2bc8473cb2f7116ccc6e63e3 +  $_GBC_08fb571357d14c349ed3d30218d59470" id="Cd01f3947dce340c797344134414abe7e"/>
      </m:item>
    </m:section>
    <m:section xlName="_SEC_393d53219fe44274aa0bc5257c75c762" title="以抵销后净额列示的递延所得税资产或负债">
      <m:item xlName="_GBC_d6419a9d2dc94127a5f6aea72cb2a94d" concept="clcid-ci-ar:ShiFouShiYongYiDiXiaoHouJingELieShiDeDiYanSuoDeShuiZiChanHuoFuZhai" label="是否适用：以抵销后净额列示的递延所得税资产或负债" selectOptions="_buildInAppliance" controlType="CustomCheckbox" cRanges="{&quot;StartName&quot;:&quot;_GBC_d6419a9d2dc94127a5f6aea72cb2a94d&quot;,&quot;EndName&quot;:&quot;_GBC_e16048adf13149fc83327fed1843cc3b&quot;,&quot;CType&quot;:1,&quot;DisplayText&quot;:null}"/>
      <m:item xlName="_GBC_87248a34ce3042a5abe2f7b24ba6f68f" concept="clcid-ci-ar:DanWeiCaiWuFuZhuHuDiHouDeDiYanSuoDeShuiZiChanJiFuZhaiDeZuChengXiangMu" label="单位：财务附注：互抵后的递延所得税资产及负债的组成项目" selectOptions="_buildInScales" controlType="Combobox" cellType="Scale" appId="_GBC_d6419a9d2dc94127a5f6aea72cb2a94d"/>
      <m:item xlName="_GBC_cd0e5c76f450471280579335020253cf" concept="clcid-ci-ar:BiZhongCaiWuFuZhuHuDiHouDeDiYanSuoDeShuiZiChanJiFuZhaiDeZuChengXiangMu" label="币种：财务附注：互抵后的递延所得税资产及负债的组成项目" selectOptions="_buildInISO4217" controlType="Combobox" cellType="Measure" appId="_GBC_d6419a9d2dc94127a5f6aea72cb2a94d"/>
      <m:placeholder xlName="_PLD_8eec3f5c36d74a4f98b09e1d2c84ffe5" addr="T0R0C0S1_1"/>
      <m:placeholder xlName="_PLD_834fe5ba2d834f8f9b67482b5dbbbc14" addr="T0R0C1S1_1"/>
      <m:placeholder xlName="_PLD_1d423a6acdc84a9b86a8f4cfef14d1bc" addr="T0R0C2S1_1"/>
      <m:placeholder xlName="_PLD_7e951a92ca604006b07c34e19fd86c46" addr="T0R0C3S1_1"/>
      <m:placeholder xlName="_PLD_357e55134bfb4d68a713600691a595cb" addr="T0R0C4S1_1"/>
      <m:placeholder xlName="_PLD_b85c5c0825fb4aeda1d64a7aaa00d23d" addr="T0R1C0S1_1"/>
      <m:item xlName="_GBC_7e88c6a15cdb4522a53db0d2926c95f9" concept="clcid-pte:DiYanSuoDeShuiZiChanHeFuZhaiHuDiJinEDiYanSuoDeShuiZiChan" label="递延所得税资产和负债互抵金额-递延所得税资产" mulRef="_GBC_87248a34ce3042a5abe2f7b24ba6f68f" unitRef="_GBC_cd0e5c76f450471280579335020253cf" addr="T0R1C1S1_1" formatStyle="Comma" appId="_GBC_d6419a9d2dc94127a5f6aea72cb2a94d"/>
      <m:item xlName="_GBC_88dbb9e9aa5c43edafc1928042d9ceac" concept="clcid-pte:HuDiHouDeDiYanSuoDeShuiZiChanZanShiXingChaYiXiaoJi" label="互抵后的递延所得税资产暂时性差异小计" mulRef="_GBC_87248a34ce3042a5abe2f7b24ba6f68f" unitRef="_GBC_cd0e5c76f450471280579335020253cf" addr="T0R1C2S1_1" formatStyle="Comma" appId="_GBC_d6419a9d2dc94127a5f6aea72cb2a94d"/>
      <m:item xlName="_GBC_0cbf203737234ec485e0d2856c493d44" concept="clcid-pte:DiYanSuoDeShuiZiChanHeFuZhaiHuDiJinEDiYanSuoDeShuiZiChan" label="递延所得税资产和负债互抵金额-递延所得税资产" periodRef="本期期初数" mulRef="_GBC_87248a34ce3042a5abe2f7b24ba6f68f" unitRef="_GBC_cd0e5c76f450471280579335020253cf" addr="T0R1C3S1_1" formatStyle="Comma" appId="_GBC_d6419a9d2dc94127a5f6aea72cb2a94d"/>
      <m:item xlName="_GBC_dd02bd48ff564375affe9fb393ebb32b" concept="clcid-pte:HuDiHouDeDiYanSuoDeShuiZiChanZanShiXingChaYiXiaoJi" label="互抵后的递延所得税资产暂时性差异小计" periodRef="本期期初数" mulRef="_GBC_87248a34ce3042a5abe2f7b24ba6f68f" unitRef="_GBC_cd0e5c76f450471280579335020253cf" addr="T0R1C4S1_1" formatStyle="Comma" appId="_GBC_d6419a9d2dc94127a5f6aea72cb2a94d"/>
      <m:placeholder xlName="_PLD_1a23f829080a4a7ba2f4056eba60e1bb" addr="T0R2C0S1_1"/>
      <m:item xlName="_GBC_a26d93e816dd498094d957aaebf73875" concept="clcid-pte:DiYanSuoDeShuiZiChanHeFuZhaiHuDiJinEDiYanSuoDeShuiFuZhai" label="递延所得税资产和负债互抵金额-递延所得税负债" mulRef="_GBC_87248a34ce3042a5abe2f7b24ba6f68f" unitRef="_GBC_cd0e5c76f450471280579335020253cf" addr="T0R2C1S1_1" formatStyle="Comma" appId="_GBC_d6419a9d2dc94127a5f6aea72cb2a94d"/>
      <m:item xlName="_GBC_3492da584cc443c19aa139d283c7fc95" concept="clcid-pte:HuDiHouDeDiYanSuoDeShuiFuZhaiZanShiXingChaYiXiaoJi" label="互抵后的递延所得税负债暂时性差异小计" mulRef="_GBC_87248a34ce3042a5abe2f7b24ba6f68f" unitRef="_GBC_cd0e5c76f450471280579335020253cf" addr="T0R2C2S1_1" formatStyle="Comma" appId="_GBC_d6419a9d2dc94127a5f6aea72cb2a94d"/>
      <m:item xlName="_GBC_caa4c5f1dfd84c09883afaf23142da20" concept="clcid-pte:DiYanSuoDeShuiZiChanHeFuZhaiHuDiJinEDiYanSuoDeShuiFuZhai" label="递延所得税资产和负债互抵金额-递延所得税负债" periodRef="本期期初数" mulRef="_GBC_87248a34ce3042a5abe2f7b24ba6f68f" unitRef="_GBC_cd0e5c76f450471280579335020253cf" addr="T0R2C3S1_1" formatStyle="Comma" appId="_GBC_d6419a9d2dc94127a5f6aea72cb2a94d"/>
      <m:item xlName="_GBC_e16048adf13149fc83327fed1843cc3b" concept="clcid-pte:HuDiHouDeDiYanSuoDeShuiFuZhaiZanShiXingChaYiXiaoJi" label="互抵后的递延所得税负债暂时性差异小计" periodRef="本期期初数" mulRef="_GBC_87248a34ce3042a5abe2f7b24ba6f68f" unitRef="_GBC_cd0e5c76f450471280579335020253cf" addr="T0R2C4S1_1" formatStyle="Comma" appId="_GBC_d6419a9d2dc94127a5f6aea72cb2a94d"/>
    </m:section>
    <m:section xlName="_SEC_858c4743950048c4949e354ac068e8af" title="未确认递延所得税资产明细">
      <m:item xlName="_GBC_f210878b05204277b5f70ed9ae786ea7" concept="clcid-ci-ar:ShiFouShiYongWeiQueRenDiYanSuoDeShuiZiChanMingXi" label="是否适用：未确认递延所得税资产明细" selectOptions="_buildInAppliance" controlType="CustomCheckbox" cRanges="{&quot;StartName&quot;:&quot;_GBC_f210878b05204277b5f70ed9ae786ea7&quot;,&quot;EndName&quot;:&quot;_GBC_5700c96669774c97814eafc654c0ae46&quot;,&quot;CType&quot;:1,&quot;DisplayText&quot;:null}"/>
      <m:item xlName="_GBC_ce13c0c07be34b60aa76bbbf1260928d" concept="clcid-ci-ar:DanWeiCaiWuFuZhuWeiQueRenDiYanSuoDeShuiZiChanMingXi" label="单位：财务附注：未确认递延所得税资产明细" selectOptions="_buildInScales" controlType="Combobox" cellType="Scale" appId="_GBC_f210878b05204277b5f70ed9ae786ea7"/>
      <m:item xlName="_GBC_8f1c08c0092d44718e258d0b64b7bf6f" concept="clcid-ci-ar:BiZhongCaiWuFuZhuWeiQueRenDiYanSuoDeShuiZiChanMingXi" label="币种：财务附注：未确认递延所得税资产明细" selectOptions="_buildInISO4217" controlType="Combobox" cellType="Measure" appId="_GBC_f210878b05204277b5f70ed9ae786ea7"/>
      <m:placeholder xlName="_PLD_bfd226eac09b4e2fb1cc66684c879c9b" addr="T0R0C0S1_1"/>
      <m:placeholder xlName="_PLD_bba7988c74a34dcf950349beb6df1c0b" addr="T0R0C1S1_1"/>
      <m:placeholder xlName="_PLD_36004da9855d4469bf16ab328077f444" addr="T0R0C2S1_1"/>
      <m:placeholder xlName="_PLD_381c26214cb146ecba0c66da7cccbb9b" addr="T0R1C0S1_1"/>
      <m:item xlName="_GBC_ae10d574c54a420086fb8e291829e266" concept="clcid-pte:WeiQueRenDiYanSuoDeShuiZiChanZhongKeDiKouZanShiXingChaYi" label="未确认递延所得税资产中可抵扣暂时性差异" mulRef="_GBC_ce13c0c07be34b60aa76bbbf1260928d" unitRef="_GBC_8f1c08c0092d44718e258d0b64b7bf6f" addr="T0R1C1S1_1" formatStyle="Comma" appId="_GBC_f210878b05204277b5f70ed9ae786ea7"/>
      <m:item xlName="_GBC_3429bd2a96634a22a8bd22a692a9f915" concept="clcid-pte:WeiQueRenDiYanSuoDeShuiZiChanZhongKeDiKouZanShiXingChaYi" label="未确认递延所得税资产中可抵扣暂时性差异" periodRef="本期期初数" mulRef="_GBC_ce13c0c07be34b60aa76bbbf1260928d" unitRef="_GBC_8f1c08c0092d44718e258d0b64b7bf6f" addr="T0R1C2S1_1" formatStyle="Comma" appId="_GBC_f210878b05204277b5f70ed9ae786ea7"/>
      <m:placeholder xlName="_PLD_7d61d57f3afe461287d338be31b7f128" addr="T0R2C0S1_1"/>
      <m:item xlName="_GBC_e681acd3890a44c28ccd863d27cfb240" concept="clcid-pte:WeiQueRenDiYanSuoDeShuiZiChanZhongKeDiKouKuiSun" label="未确认递延所得税资产中可抵扣亏损" mulRef="_GBC_ce13c0c07be34b60aa76bbbf1260928d" unitRef="_GBC_8f1c08c0092d44718e258d0b64b7bf6f" addr="T0R2C1S1_1" formatStyle="Comma" appId="_GBC_f210878b05204277b5f70ed9ae786ea7"/>
      <m:item xlName="_GBC_af587d97ea124b11b5da629129d1f814" concept="clcid-pte:WeiQueRenDiYanSuoDeShuiZiChanZhongKeDiKouKuiSun" label="未确认递延所得税资产中可抵扣亏损" periodRef="本期期初数" mulRef="_GBC_ce13c0c07be34b60aa76bbbf1260928d" unitRef="_GBC_8f1c08c0092d44718e258d0b64b7bf6f" addr="T0R2C2S1_1" formatStyle="Comma" appId="_GBC_f210878b05204277b5f70ed9ae786ea7"/>
      <m:tuple xlName="_GBC_dececa13e6ec42e9a7b6dc670fa5ccbb" concept="clcid-pte:WeiQueRenDiYanSuoDeShuiZiChanMingXi" default_row="2" addr="T0R3C">
        <m:item xlName="_GBC_6cd147c04e7b456bafea6098b3fba004" concept="clcid-pte:WeiQueRenDiYanSuoDeShuiZiChanMingXiXiangMu" label="未确认递延所得税资产明细-项目" addr="T0R3C0S1_1" cellConvertType="1" appId="_GBC_f210878b05204277b5f70ed9ae786ea7"/>
        <m:item xlName="_GBC_b0aaa53b82ed44b1b1a435d21f9e32fc" concept="clcid-pte:WeiQueRenDiYanSuoDeShuiZiChanMingXiJinE" label="未确认递延所得税资产明细-金额" mulRef="_GBC_ce13c0c07be34b60aa76bbbf1260928d" unitRef="_GBC_8f1c08c0092d44718e258d0b64b7bf6f" addr="T0R3C1S1_1" formatStyle="Comma" appId="_GBC_f210878b05204277b5f70ed9ae786ea7"/>
        <m:item xlName="_GBC_61899a22b1dd49e0b47e74099814da30" concept="clcid-pte:WeiQueRenDiYanSuoDeShuiZiChanMingXiJinE" label="未确认递延所得税资产明细-金额" periodRef="本期期初数" mulRef="_GBC_ce13c0c07be34b60aa76bbbf1260928d" unitRef="_GBC_8f1c08c0092d44718e258d0b64b7bf6f" addr="T0R3C2S1_1" formatStyle="Comma" appId="_GBC_f210878b05204277b5f70ed9ae786ea7"/>
      </m:tuple>
      <m:placeholder xlName="_PLD_a867b83c897e41619f1515baeb2b55ff" addr="T0R5C0S1_1"/>
      <m:item xlName="_GBC_ac84e0734d984a47b7b991f91d47c06a" concept="clcid-pte:WeiQueRenDiYanSuoDeShuiZiChanXiaoJi" label="未确认递延所得税资产小计" mulRef="_GBC_ce13c0c07be34b60aa76bbbf1260928d" unitRef="_GBC_8f1c08c0092d44718e258d0b64b7bf6f" addr="T0R5C1S1_1" formatStyle="Comma" appId="_GBC_f210878b05204277b5f70ed9ae786ea7">
        <m:complexRule comparator="Eq" title="未确认递延所得税资产小计" test=" $_GBC_ae10d574c54a420086fb8e291829e266 +  $_GBC_e681acd3890a44c28ccd863d27cfb240 +  $_GBC_b0aaa53b82ed44b1b1a435d21f9e32fc" id="Cf262b81ad49f405db975eaeb8a54cb46" serialType="1"/>
      </m:item>
      <m:item xlName="_GBC_5700c96669774c97814eafc654c0ae46" concept="clcid-pte:WeiQueRenDiYanSuoDeShuiZiChanXiaoJi" label="未确认递延所得税资产小计" periodRef="本期期初数" mulRef="_GBC_ce13c0c07be34b60aa76bbbf1260928d" unitRef="_GBC_8f1c08c0092d44718e258d0b64b7bf6f" addr="T0R5C2S1_1" formatStyle="Comma" appId="_GBC_f210878b05204277b5f70ed9ae786ea7">
        <m:complexRule comparator="Eq" title="未确认递延所得税资产小计@本期期初数" test=" $_GBC_3429bd2a96634a22a8bd22a692a9f915 +  $_GBC_af587d97ea124b11b5da629129d1f814 +  $_GBC_61899a22b1dd49e0b47e74099814da30" id="Cd5992a12483e4ee7bc6cb249d9a43563" serialType="1"/>
      </m:item>
    </m:section>
    <m:section xlName="_SEC_a5f2b329395b406fa4b30b710f4a81e0" title="未确认递延所得税资产的可抵扣亏损将于以下年度到期">
      <m:item xlName="_GBC_10d31911cedc4147b90ab71d35742bf4" concept="clcid-ci-ar:ShiFouShiYongWeiQueRenDiYanSuoDeShuiZiChanDeKeDiKouKuiSunJiangYuYiXiaNianDuDaoQi" label="是否适用：未确认递延所得税资产的可抵扣亏损将于以下年度到期" selectOptions="_buildInAppliance" controlType="CustomCheckbox" cRanges="{&quot;StartName&quot;:&quot;_GBC_10d31911cedc4147b90ab71d35742bf4&quot;,&quot;EndName&quot;:&quot;_GBC_d873ca0b9f114cfd90985d6eaf6b0548&quot;,&quot;CType&quot;:1,&quot;DisplayText&quot;:null}"/>
      <m:item xlName="_GBC_e5ae9be2f02b49aa93ff11e0e7a11cca" concept="clcid-ci-ar:DanWeiCaiWuFuZhuWeiQueRenDiYanSuoDeShuiZiChanDeKeDiKouKuiSunJiangYuYiXiaNianDuDaoQi" label="单位：财务附注：未确认递延所得税资产的可抵扣亏损将于以下年度到期" selectOptions="_buildInScales" controlType="Combobox" cellType="Scale" appId="_GBC_10d31911cedc4147b90ab71d35742bf4"/>
      <m:item xlName="_GBC_83b0fc2196304484aa53ef2b9e2e191a" concept="clcid-ci-ar:BiZhongCaiWuFuZhuWeiQueRenDiYanSuoDeShuiZiChanDeKeDiKouKuiSunJiangYuYiXiaNianDuDaoQi" label="币种：财务附注：未确认递延所得税资产的可抵扣亏损将于以下年度到期" selectOptions="_buildInISO4217" controlType="Combobox" cellType="Measure" appId="_GBC_10d31911cedc4147b90ab71d35742bf4"/>
      <m:placeholder xlName="_PLD_710a470de2b84ef593de891faad46b6b" addr="T0R0C0S1_1"/>
      <m:placeholder xlName="_PLD_a6335ab4fba14ab8946b823c64f03503" addr="T0R0C1S1_1"/>
      <m:placeholder xlName="_PLD_7582e6645cec4513a5606c104f2d83f1" addr="T0R0C2S1_1"/>
      <m:placeholder xlName="_PLD_1a030fe5a0564bed845b9b81b2eda8b8" addr="T0R0C3S1_1"/>
      <m:tuple xlName="_GBC_a44a3a947eba4ff199b2b5473e07ff8b" concept="clcid-pte:WeiQueRenDiYanSuoDeShuiZiChanDeKeDiKouKuiSunDaoQiMingXi" default_row="2" addr="T0R1C">
        <m:item xlName="_GBC_fec84c8e4cb242739b5ec782cbea0254" concept="clcid-pte:WeiQueRenDiYanSuoDeShuiZiChanDeKeDiKouKuiSunDaoQiMingXiNianFen" label="未确认递延所得税资产的可抵扣亏损到期明细-年份" addr="T0R1C0S1_1" formatStyle="NoComma" cellConvertType="1" appId="_GBC_10d31911cedc4147b90ab71d35742bf4"/>
        <m:item xlName="_GBC_6dff318c81f64beb8d22d27087c4d29a" concept="clcid-pte:WeiQueRenDiYanSuoDeShuiZiChanDeKeDiKouKuiSunDaoQiMingXiJinE" label="未确认递延所得税资产的可抵扣亏损到期明细-金额" mulRef="_GBC_e5ae9be2f02b49aa93ff11e0e7a11cca" unitRef="_GBC_83b0fc2196304484aa53ef2b9e2e191a" addr="T0R1C1S1_1" formatStyle="Comma" appId="_GBC_10d31911cedc4147b90ab71d35742bf4"/>
        <m:item xlName="_GBC_06435fa122c24a659e15b62fea2938bc" concept="clcid-pte:WeiQueRenDiYanSuoDeShuiZiChanDeKeDiKouKuiSunDaoQiMingXiJinE" label="未确认递延所得税资产的可抵扣亏损到期明细-金额" periodRef="本期期初数" mulRef="_GBC_e5ae9be2f02b49aa93ff11e0e7a11cca" unitRef="_GBC_83b0fc2196304484aa53ef2b9e2e191a" addr="T0R1C2S1_1" formatStyle="Comma" appId="_GBC_10d31911cedc4147b90ab71d35742bf4"/>
        <m:item xlName="_GBC_5f9163b7b4ef4be098d32439505f48ff" concept="clcid-pte:WeiQueRenDiYanSuoDeShuiZiChanDeKeDiKouKuiSunDaoQiMingXiBeiZhu" label="未确认递延所得税资产的可抵扣亏损到期明细-备注" addr="T0R1C3S1_1" appId="_GBC_10d31911cedc4147b90ab71d35742bf4"/>
      </m:tuple>
      <m:placeholder xlName="_PLD_46168047d07447b6bd845849845604bb" addr="T0R3C0S1_1"/>
      <m:item xlName="_GBC_8c9a9424bfa549b7951b31566ca7c100" concept="clcid-pte:WeiQueRenDiYanSuoDeShuiZiChanZhongKeDiKouKuiSunHeJi" label="未确认递延所得税资产中可抵扣亏损合计" mulRef="_GBC_e5ae9be2f02b49aa93ff11e0e7a11cca" unitRef="_GBC_83b0fc2196304484aa53ef2b9e2e191a" addr="T0R3C1S1_1" formatStyle="Comma" appId="_GBC_10d31911cedc4147b90ab71d35742bf4">
        <m:complexRule comparator="Eq" title="未确认递延所得税资产中可抵扣亏损合计" test=" $_GBC_6dff318c81f64beb8d22d27087c4d29a" id="C2987e3d72688408890297c77d1334f4f"/>
      </m:item>
      <m:item xlName="_GBC_d873ca0b9f114cfd90985d6eaf6b0548" concept="clcid-pte:WeiQueRenDiYanSuoDeShuiZiChanZhongKeDiKouKuiSunHeJi" label="未确认递延所得税资产中可抵扣亏损合计" periodRef="本期期初数" mulRef="_GBC_e5ae9be2f02b49aa93ff11e0e7a11cca" unitRef="_GBC_83b0fc2196304484aa53ef2b9e2e191a" addr="T0R3C2S1_1" formatStyle="Comma" appId="_GBC_10d31911cedc4147b90ab71d35742bf4">
        <m:complexRule comparator="Eq" title="未确认递延所得税资产中可抵扣亏损合计@本期期初数" test=" $_GBC_06435fa122c24a659e15b62fea2938bc" id="Cb1bfc91cade44e46b0d0ac5d3df3f053"/>
      </m:item>
    </m:section>
    <m:section xlName="_GBC_057749240d604d9ab0db94f6e505935f" title="递延所得税资产和递延所得税负债的说明" rules="R2015_R11_015" convertSummaryRule="NoConvert" helpId="112001077">
      <m:item xlName="_GBC_06478ceb6b7447a791a4a5cbf8cc7e95" concept="clcid-ci-ar:ShiFouShiYongDiYanSuoDeShuiZiChanHeDiYanSuoDeShuiFuZhaiDeShuoMing" label="是否适用：递延所得税资产和递延所得税负债的说明" selectOptions="_buildInAppliance" controlType="CustomCheckbox" cRanges="{&quot;StartName&quot;:&quot;_GBC_06478ceb6b7447a791a4a5cbf8cc7e95&quot;,&quot;EndName&quot;:&quot;_GBC_542c1a23126f46c398ae6907555a7cf5&quot;,&quot;CType&quot;:1,&quot;DisplayText&quot;:null}"/>
      <m:item xlName="_GBC_542c1a23126f46c398ae6907555a7cf5" concept="clcid-pte:DiYanSuoDeShuiZiChanHeDiYanSuoDeShuiFuZhaiDeShuoMing" label="递延所得税资产和递延所得税负债的说明" appId="_GBC_06478ceb6b7447a791a4a5cbf8cc7e95"/>
    </m:section>
    <m:section xlName="_GBC_b8db472f168c433c9cdb46a39ab78b50" title="其他非流动资产" rules="R2015_R11_016"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concept="clcid-ci-ar:DanWeiCaiWuFuZhuQiTaFeiLiuDongZiChan" label="单位：财务附注：其他非流动资产" selectOptions="_buildInScales" controlType="Combobox" cellType="Scale" appId="_GBC_227882aeaa9b4aa98d6af8bcac2af7a5"/>
      <m:item xlName="_GBC_4cd5c26035ba4f7384dee597c98f0cb6" concept="clcid-ci-ar:BiZhongCaiWuFuZhuQiTaFeiLiuDongZiChan" label="币种：财务附注：其他非流动资产" selectOptions="_buildInISO4217" controlType="Combobox" cellType="Measure" appId="_GBC_227882aeaa9b4aa98d6af8bcac2af7a5"/>
      <m:placeholder xlName="_PLD_a0072e7adb6c49bb95cec91e0b7ec491" addr="T0R0C0S2_1"/>
      <m:placeholder xlName="_PLD_9557fd4b49c84b3db8c9ae69c7346562" addr="T0R0C1S1_3"/>
      <m:placeholder xlName="_PLD_dad73a13c6c344aaa0bec642175f96c3" addr="T0R0C4S1_3"/>
      <m:placeholder xlName="_PLD_93d316b5ed8d45ea95cfce051b0f999d" addr="T0R1C1S1_1"/>
      <m:placeholder xlName="_PLD_ce9573e9b47f4859912e77c530974f87" addr="T0R1C2S1_1"/>
      <m:placeholder xlName="_PLD_4b72c2cb7df84a3a9384f2eaa1acaf3a" addr="T0R1C3S1_1"/>
      <m:placeholder xlName="_PLD_31abd03025c54702bba8f28fbcd435be" addr="T0R1C4S1_1"/>
      <m:placeholder xlName="_PLD_5650816a035d4b9d999e9f87d1506d3b" addr="T0R1C5S1_1"/>
      <m:placeholder xlName="_PLD_76b67d2d1c1543c0b22ec33e5ae8e28a" addr="T0R1C6S1_1"/>
      <m:placeholder xlName="_PLD_9f43b36b71d04985ba53ac007747aff7"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tuple>
      <m:placeholder xlName="_PLD_baa34d661ffd46a3a68ebd63193a4444"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m:item xlName="_GBC_1074387a68b64f6b9270b522de53ad85" concept="clcid-ci-ar:ShiFouShiYongDuanQiJieKuanFenLei" label="是否适用：短期借款分类" selectOptions="_buildInAppliance" controlType="CustomCheckbox" cRanges="{&quot;StartName&quot;:&quot;_GBC_1074387a68b64f6b9270b522de53ad85&quot;,&quot;EndName&quot;:&quot;_GBC_fc19e133dd4f4dbdb9d583e76175b714&quot;,&quot;CType&quot;:1,&quot;DisplayText&quot;:null}"/>
      <m:item xlName="_GBC_f3353209b65c4921b63143340e11aac9" concept="clcid-ci-ar:DanWeiCaiWuFuZhuDuanQiJieKuanFenLei" label="单位：财务附注：短期借款分类" selectOptions="_buildInScales" controlType="Combobox" cellType="Scale" appId="_GBC_1074387a68b64f6b9270b522de53ad85"/>
      <m:item xlName="_GBC_b3a1802faad14eae96cfab316b25f639" concept="clcid-ci-ar:BiZhongCaiWuFuZhuDuanQiJieKuanFenLei" label="币种：财务附注：短期借款分类" selectOptions="_buildInISO4217" controlType="Combobox" cellType="Measure" appId="_GBC_1074387a68b64f6b9270b522de53ad85"/>
      <m:placeholder xlName="_PLD_3476605067da474199aa03dc83e3d88c" addr="T0R0C0S1_1"/>
      <m:placeholder xlName="_PLD_ccd6dc2751cc421e8a2f26f78a44b4c5" addr="T0R0C1S1_1"/>
      <m:placeholder xlName="_PLD_c16f582c583d4324abc605c4bc563081" addr="T0R0C2S1_1"/>
      <m:placeholder xlName="_PLD_0e8c36451cb04874b50771df2ac75104" addr="T0R1C0S1_1"/>
      <m:item xlName="_GBC_c5a40cae7303449c9b9987a3f59fe53e" concept="clcid-pte:DuanQiJieKuanZhongDeZhiYaJieKuanJinE" label="短期借款中的质押借款金额" mulRef="_GBC_f3353209b65c4921b63143340e11aac9" unitRef="_GBC_b3a1802faad14eae96cfab316b25f639" addr="T0R1C1S1_1" formatStyle="Comma" appId="_GBC_1074387a68b64f6b9270b522de53ad85"/>
      <m:item xlName="_GBC_736ea85d58344e97ade3f28fd3ac53e1" concept="clcid-pte:DuanQiJieKuanZhongDeZhiYaJieKuanJinE" label="短期借款中的质押借款金额" periodRef="本期期初数" mulRef="_GBC_f3353209b65c4921b63143340e11aac9" unitRef="_GBC_b3a1802faad14eae96cfab316b25f639" addr="T0R1C2S1_1" formatStyle="Comma" appId="_GBC_1074387a68b64f6b9270b522de53ad85"/>
      <m:placeholder xlName="_PLD_175aee4cc1e24ae397a153f47913ca90" addr="T0R2C0S1_1"/>
      <m:item xlName="_GBC_abf77ce187004c66881f44e9b55ecb43" concept="clcid-pte:DuanQiJieKuanZhongDeDiYaJieKuanJinE" label="短期借款中的抵押借款金额" mulRef="_GBC_f3353209b65c4921b63143340e11aac9" unitRef="_GBC_b3a1802faad14eae96cfab316b25f639" addr="T0R2C1S1_1" formatStyle="Comma" appId="_GBC_1074387a68b64f6b9270b522de53ad85"/>
      <m:item xlName="_GBC_03ed3c0164e1467baae9d9cf13dad016" concept="clcid-pte:DuanQiJieKuanZhongDeDiYaJieKuanJinE" label="短期借款中的抵押借款金额" periodRef="本期期初数" mulRef="_GBC_f3353209b65c4921b63143340e11aac9" unitRef="_GBC_b3a1802faad14eae96cfab316b25f639" addr="T0R2C2S1_1" formatStyle="Comma" appId="_GBC_1074387a68b64f6b9270b522de53ad85"/>
      <m:placeholder xlName="_PLD_683943eeaad3404fa9922b66239868d3" addr="T0R3C0S1_1"/>
      <m:item xlName="_GBC_d083a663d10c4f6abcc1725ba665ace2" concept="clcid-pte:DuanQiJieKuanZhongDeDanBaoJieKuanJinE" label="短期借款中的担保借款金额" mulRef="_GBC_f3353209b65c4921b63143340e11aac9" unitRef="_GBC_b3a1802faad14eae96cfab316b25f639" addr="T0R3C1S1_1" formatStyle="Comma" appId="_GBC_1074387a68b64f6b9270b522de53ad85"/>
      <m:item xlName="_GBC_738784d505b74f349dad8f3a01cfd860" concept="clcid-pte:DuanQiJieKuanZhongDeDanBaoJieKuanJinE" label="短期借款中的担保借款金额" periodRef="本期期初数" mulRef="_GBC_f3353209b65c4921b63143340e11aac9" unitRef="_GBC_b3a1802faad14eae96cfab316b25f639" addr="T0R3C2S1_1" formatStyle="Comma" appId="_GBC_1074387a68b64f6b9270b522de53ad85"/>
      <m:placeholder xlName="_PLD_ac3f684241c3446d8157cc100dc691d8" addr="T0R4C0S1_1"/>
      <m:item xlName="_GBC_e637a7b6e76d4f24a85bc88dcc649ff3" concept="clcid-pte:DuanQiJieKuanZhongDeXinYongJieKuanJinE" label="短期借款中的信用借款金额" mulRef="_GBC_f3353209b65c4921b63143340e11aac9" unitRef="_GBC_b3a1802faad14eae96cfab316b25f639" addr="T0R4C1S1_1" formatStyle="Comma" appId="_GBC_1074387a68b64f6b9270b522de53ad85"/>
      <m:item xlName="_GBC_48bfc7183ced41c8b31fbd0bf439ff9b" concept="clcid-pte:DuanQiJieKuanZhongDeXinYongJieKuanJinE" label="短期借款中的信用借款金额" periodRef="本期期初数" mulRef="_GBC_f3353209b65c4921b63143340e11aac9" unitRef="_GBC_b3a1802faad14eae96cfab316b25f639" addr="T0R4C2S1_1" formatStyle="Comma" appId="_GBC_1074387a68b64f6b9270b522de53ad85"/>
      <m:tuple xlName="_GBC_3776cbdd3bc741b1b701033ef7f4c80d" concept="clcid-pte:QiTaDuanQiJieKuan" default_row="2" addr="T0R5C">
        <m:item xlName="_GBC_3f47c28d459445088cc608024cbf9bea" concept="clcid-pte:QiTaDuanQiJieKuanXiangMu" label="其他短期借款项目" addr="T0R5C0S1_1" appId="_GBC_1074387a68b64f6b9270b522de53ad85"/>
        <m:item xlName="_GBC_bf17002ca795448ea65f2bc727d8e877" concept="clcid-pte:QiTaDuanQiJieKuanXiangMuJinE" label="其他短期借款项目金额" mulRef="_GBC_f3353209b65c4921b63143340e11aac9" unitRef="_GBC_b3a1802faad14eae96cfab316b25f639" addr="T0R5C1S1_1" formatStyle="Comma" appId="_GBC_1074387a68b64f6b9270b522de53ad85"/>
        <m:item xlName="_GBC_9e9f8961967e480b9c0c5ab084c89360" concept="clcid-pte:QiTaDuanQiJieKuanXiangMuJinE" label="其他短期借款项目金额" periodRef="本期期初数" mulRef="_GBC_f3353209b65c4921b63143340e11aac9" unitRef="_GBC_b3a1802faad14eae96cfab316b25f639" addr="T0R5C2S1_1" formatStyle="Comma" appId="_GBC_1074387a68b64f6b9270b522de53ad85"/>
      </m:tuple>
      <m:placeholder xlName="_PLD_d743f636779d41b799b60f4fd4a017df" addr="T0R7C0S1_1"/>
      <m:item xlName="_GBC_5eb472958e814414bc4920ab10d0406f" concept="clcid-pte:DuanQiJieKuan" label="短期借款" mulRef="_GBC_f3353209b65c4921b63143340e11aac9" unitRef="_GBC_b3a1802faad14eae96cfab316b25f639" addr="T0R7C1S1_1" formatStyle="Comma" appId="_GBC_1074387a68b64f6b9270b522de53ad85">
        <m:complexRule comparator="Eq" title="短期借款" test=" $_GBC_c5a40cae7303449c9b9987a3f59fe53e +  $_GBC_abf77ce187004c66881f44e9b55ecb43 +  $_GBC_d083a663d10c4f6abcc1725ba665ace2 +  $_GBC_e637a7b6e76d4f24a85bc88dcc649ff3 +  $_GBC_bf17002ca795448ea65f2bc727d8e877" id="Ccad4cf81a898446fba4f27f3b1aa82e2" serialType="1"/>
      </m:item>
      <m:item xlName="_GBC_c626e59e1d454982b8822a88245af715" concept="clcid-pte:DuanQiJieKuan" label="短期借款" periodRef="本期期初数" mulRef="_GBC_f3353209b65c4921b63143340e11aac9" unitRef="_GBC_b3a1802faad14eae96cfab316b25f639" addr="T0R7C2S1_1" formatStyle="Comma" appId="_GBC_1074387a68b64f6b9270b522de53ad85">
        <m:complexRule comparator="Eq" title="短期借款@本期期初数" test=" $_GBC_736ea85d58344e97ade3f28fd3ac53e1 +  $_GBC_03ed3c0164e1467baae9d9cf13dad016 +  $_GBC_738784d505b74f349dad8f3a01cfd860 +  $_GBC_48bfc7183ced41c8b31fbd0bf439ff9b +  $_GBC_9e9f8961967e480b9c0c5ab084c89360" id="C7e18b1a570dd42c381eca34c8bd2563a" serialType="1"/>
      </m:item>
      <m:item xlName="_GBC_fc19e133dd4f4dbdb9d583e76175b714" concept="clcid-pte:DuanQiJieKuanFenLeiDeShuoMing" label="短期借款分类的说明" appId="_GBC_1074387a68b64f6b9270b522de53ad85"/>
    </m:section>
    <m:section xlName="_GBC_ed2a6c31b7cf49cda098dbe4c44cf674" title="已到期未偿还的短期借款情况" convertSummaryRule="NoConvert" helpId="112001079">
      <m:item xlName="_GBC_57f74ff95a304f19a7c06d7996fc30c7" concept="clcid-ci-ar:ShiFouShiYongYiYuQiWeiChangHuanDeDuanQiJieKuanQingKuang" label="是否适用：已逾期未偿还的短期借款情况" selectOptions="_buildInAppliance" controlType="CustomCheckbox" cRanges="{&quot;StartName&quot;:&quot;_GBC_57f74ff95a304f19a7c06d7996fc30c7&quot;,&quot;EndName&quot;:&quot;_GBC_789bf43c9344433ea58dafd9c88e07df&quot;,&quot;CType&quot;:1,&quot;DisplayText&quot;:null}"/>
      <m:item xlName="_GBC_911918a56f604df086a75a603773f510" concept="clcid-pte:YiYuQiWeiChangHuanDeDuanQiJieKuanZongE" label="已逾期未偿还的短期借款总额" formatStyle="Comma" appId="_GBC_57f74ff95a304f19a7c06d7996fc30c7"/>
      <m:item xlName="_GBC_f4579f14bfdd49cf8b15f0c692d1bd3a" concept="clcid-ci-ar:ShiFouShiYongQiZhongZhongYaoDeYiYuQiWeiChangHuanDeDuanQiJieKuanQingKuang" label="是否适用：其中重要的已逾期未偿还的短期借款情况" selectOptions="_buildInAppliance" controlType="CustomCheckbox" cRanges="{&quot;StartName&quot;:&quot;_GBC_f4579f14bfdd49cf8b15f0c692d1bd3a&quot;,&quot;EndName&quot;:&quot;_GBC_789bf43c9344433ea58dafd9c88e07df&quot;,&quot;CType&quot;:1,&quot;DisplayText&quot;:null}"/>
      <m:item xlName="_GBC_7d30478d5f844c2ca0da6a5b5b3bafe9" concept="clcid-ci-ar:DanWeiCaiWuFuZhuYuQiDuanQiJieKuanQingKuang" label="单位：财务附注：逾期短期借款情况" selectOptions="_buildInScales" controlType="Combobox" cellType="Scale" appId="_GBC_f4579f14bfdd49cf8b15f0c692d1bd3a"/>
      <m:item xlName="_GBC_ed4aafef38ca4ce88156a77498889cc0" concept="clcid-ci-ar:BiZhongCaiWuFuZhuYuQiDuanQiJieKuanQingKuang" label="币种：财务附注：逾期短期借款情况" selectOptions="_buildInISO4217" controlType="Combobox" cellType="Measure" appId="_GBC_f4579f14bfdd49cf8b15f0c692d1bd3a"/>
      <m:placeholder xlName="_PLD_2210a03223ab401ba4c85c4fb5afe8b2" addr="T0R0C0S1_1"/>
      <m:placeholder xlName="_PLD_d39a1cccde8a4579b7fc94147b2c929c" addr="T0R0C1S1_1"/>
      <m:placeholder xlName="_PLD_efc2dca90264430f8d87975be4a9621b" addr="T0R0C2S1_1"/>
      <m:placeholder xlName="_PLD_cfb0c586c0644f2e9810d0fa2feadcd7" addr="T0R0C3S1_1"/>
      <m:placeholder xlName="_PLD_dd5529cab9104dda9802896c2e831108" addr="T0R0C4S1_1"/>
      <m:tuple xlName="_GBC_6792aa12cd734b65a819341987ce812e" concept="clcid-pte:YuQiJieKuanDaiKuanMingXi" default_row="2" addr="T0R1C">
        <m:item xlName="_GBC_511100af2d674dfda483b6bae511f213" concept="clcid-pte:YuQiJieKuanDaiKuanDanWei" label="逾期借款贷款单位" addr="T0R1C0S1_1" appId="_GBC_f4579f14bfdd49cf8b15f0c692d1bd3a"/>
        <m:item xlName="_GBC_8a01de4192374c3996b79480036f8d2b" concept="clcid-pte:YuQiJieKuanDaiKuanJinE" label="逾期借款贷款金额" mulRef="_GBC_7d30478d5f844c2ca0da6a5b5b3bafe9" unitRef="_GBC_ed4aafef38ca4ce88156a77498889cc0" addr="T0R1C1S1_1" formatStyle="Comma" appId="_GBC_f4579f14bfdd49cf8b15f0c692d1bd3a"/>
        <m:item xlName="_GBC_196ca555318b45889dc958991a1adc47" concept="clcid-pte:YuQiJieKuanDaiKuanLiLv" label="逾期借款贷款利率" addr="T0R1C2S1_1" baseScale="0.01" formatStyle="Comma" appId="_GBC_f4579f14bfdd49cf8b15f0c692d1bd3a"/>
        <m:item xlName="_GBC_6fb768381b96457882a201b537030e5e" concept="clcid-pte:YuQiJieKuanYuQiShiJian" label="逾期借款逾期时间" addr="T0R1C3S1_1" appId="_GBC_f4579f14bfdd49cf8b15f0c692d1bd3a"/>
        <m:item xlName="_GBC_a8a4a61b80954beea2759df8fabbdeca" concept="clcid-pte:YuQiJieKuanYuQiLiLv" label="逾期借款逾期利率" addr="T0R1C4S1_1" baseScale="0.01" formatStyle="Comma" appId="_GBC_f4579f14bfdd49cf8b15f0c692d1bd3a"/>
      </m:tuple>
      <m:placeholder xlName="_PLD_780bf9282cb345949ae29a39038ad95f" addr="T0R3C0S1_1"/>
      <m:item xlName="_GBC_789bf43c9344433ea58dafd9c88e07df" concept="clcid-pte:YuQiJieKuanDaiKuanJinEHeJi" label="逾期借款贷款金额合计" mulRef="_GBC_7d30478d5f844c2ca0da6a5b5b3bafe9" unitRef="_GBC_ed4aafef38ca4ce88156a77498889cc0" addr="T0R3C1S1_1" formatStyle="Comma" appId="_GBC_f4579f14bfdd49cf8b15f0c692d1bd3a">
        <m:complexRule comparator="Eq" title="逾期借款贷款金额合计" test=" $_GBC_8a01de4192374c3996b79480036f8d2b" id="C4ce28c13d73f4ae283c9824a4b25b551"/>
      </m:item>
    </m:section>
    <m:section xlName="_GBC_46c6d163213144f484acc37c597c42f6" title="短期借款的说明" helpId="112001079">
      <m:item xlName="_GBC_663e3ee6df014147bb9c7daa18ccb062" concept="clcid-ci-ar:ShiFouShiYongDuanQiJieKuanDeShuoMing" label="是否适用：短期借款的说明" selectOptions="_buildInAppliance" controlType="CustomCheckbox" cRanges="{&quot;StartName&quot;:&quot;_GBC_663e3ee6df014147bb9c7daa18ccb062&quot;,&quot;EndName&quot;:&quot;_GBC_f83a01e6af164b4da13676c844a2f2a5&quot;,&quot;CType&quot;:1,&quot;DisplayText&quot;:null}"/>
      <m:item xlName="_GBC_f83a01e6af164b4da13676c844a2f2a5" concept="clcid-pte:DuanQiJieKuanDeShuoMing" label="短期借款的说明" appId="_GBC_663e3ee6df014147bb9c7daa18ccb062"/>
    </m:section>
    <m:section xlName="_SEC_354c17e0a096493bbae36dd9bb3f3774" title="交易性金融负债" helpId="112001080">
      <m:item xlName="_GBC_ed513d792f1f4a5f8256d125428aafdf" concept="clcid-ci-ar:ShiFouShiYongJiaoYiXingJinRongFuZhai" label="是否适用：交易性金融负债" selectOptions="_buildInAppliance" controlType="CustomCheckbox" cRanges="[{&quot;StartName&quot;:&quot;_GBC_ed513d792f1f4a5f8256d125428aafdf&quot;,&quot;EndName&quot;:&quot;_GBC_aafdc3030d4340e1ab058e7d1332c4e8&quot;,&quot;CType&quot;:1}]"/>
      <m:item xlName="_GBC_1dc20daf2baa4ecf8204efdfde0a6ee9" concept="clcid-ci-ar:DanWeiCaiWuFuZhuJiaoYiXingJinRongFuZhai" label="单位：财务附注：交易性金融负债" selectOptions="_buildInScales" controlType="Combobox" cellType="Scale" appId="_GBC_ed513d792f1f4a5f8256d125428aafdf"/>
      <m:item xlName="_GBC_97bc5d3ab9974410ae8f5c7781372913" concept="clcid-ci-ar:BiZhongCaiWuFuZhuJiaoYiXingJinRongFuZhai" label="币种：财务附注：交易性金融负债" selectOptions="_buildInISO4217" controlType="Combobox" cellType="Measure" appId="_GBC_ed513d792f1f4a5f8256d125428aafdf"/>
      <m:placeholder xlName="_PLD_5615d2f63ba94188a20d5f7ebdf0fd58" addr="T0R0C0S1_1"/>
      <m:placeholder xlName="_PLD_900c78c6462b443ababd9f2baf479a92" addr="T0R0C1S1_1"/>
      <m:placeholder xlName="_PLD_b58721c00efa45d781dfea78ff87bfbb" addr="T0R0C2S1_1"/>
      <m:placeholder xlName="_PLD_f65af984f03d4a08b36bd2a019abf581" addr="T0R0C3S1_1"/>
      <m:placeholder xlName="_PLD_ef10f504d30a4f55b424ee4285ac0359" addr="T0R0C4S1_1"/>
      <m:placeholder xlName="_PLD_1f7652b4e4c04c25b80b5975ddf13f96" addr="T0R1C0S1_1"/>
      <m:item xlName="_GBC_c113aa88b6254a9f80f4291fbc09b913" concept="clcid-pte:JiaoYiXingJinRongFuZhaiZhongDeJiaoYiXingJinRongFuZhai" label="交易性金融负债中的交易性金融负债" periodRef="本期期初数" mulRef="_GBC_1dc20daf2baa4ecf8204efdfde0a6ee9" unitRef="_GBC_97bc5d3ab9974410ae8f5c7781372913" addr="T0R1C1S1_1" formatStyle="Comma" appId="_GBC_ed513d792f1f4a5f8256d125428aafdf">
        <m:complexRule comparator="Eq" title="交易性金融负债中的交易性金融负债@本期期初数" id="C462d97ea9a774bc696fd9c803a3f749a"/>
      </m:item>
      <m:item xlName="_GBC_0f60b936bc924f459cc5cf6b82172fef" concept="clcid-pte:JiaoYiXingJinRongFuZhaiZhongDeJiaoYiXingJinRongFuZhaiBenQiZengJia" label="交易性金融负债中的交易性金融负债本期增加" mulRef="_GBC_1dc20daf2baa4ecf8204efdfde0a6ee9" unitRef="_GBC_97bc5d3ab9974410ae8f5c7781372913" addr="T0R1C2S1_1" formatStyle="Comma" appId="_GBC_ed513d792f1f4a5f8256d125428aafdf">
        <m:complexRule comparator="Eq" title="交易性金融负债中的交易性金融负债本期增加" id="C05c783a4b12442c4a0c8a8006573d18a"/>
      </m:item>
      <m:item xlName="_GBC_32dde5f5996d418abdd018f70f383ef4" concept="clcid-pte:JiaoYiXingJinRongFuZhaiZhongDeJiaoYiXingJinRongFuZhaiBenQiJianShao" label="交易性金融负债中的交易性金融负债本期减少" mulRef="_GBC_1dc20daf2baa4ecf8204efdfde0a6ee9" unitRef="_GBC_97bc5d3ab9974410ae8f5c7781372913" addr="T0R1C3S1_1" formatStyle="Comma" appId="_GBC_ed513d792f1f4a5f8256d125428aafdf">
        <m:complexRule comparator="Eq" title="交易性金融负债中的交易性金融负债本期减少" id="C9eb237a0eb5943dc95ada5a89922ee61"/>
      </m:item>
      <m:item xlName="_GBC_8813bf4c962e44da9c4d2e80b6badd2f" concept="clcid-pte:JiaoYiXingJinRongFuZhaiZhongDeJiaoYiXingJinRongFuZhai" label="交易性金融负债中的交易性金融负债" mulRef="_GBC_1dc20daf2baa4ecf8204efdfde0a6ee9" unitRef="_GBC_97bc5d3ab9974410ae8f5c7781372913" addr="T0R1C4S1_1" formatStyle="Comma" appId="_GBC_ed513d792f1f4a5f8256d125428aafdf">
        <m:complexRule comparator="Eq" title="交易性金融负债中的交易性金融负债" id="C5fa3170d12674ffa80883fcd37c9ed7f"/>
      </m:item>
      <m:placeholder xlName="_PLD_82be8dfe57904cc6925d6bc9bbee9545" addr="T0R2C0S1_1"/>
      <m:tuple xlName="_TUP_51bedfcba7b241499b1ab09eac5ef2bc" concept="clcid-pte:JiaoYiXingJinRongFuZhaiZhongDeJiaoYiXingJinRongFuZhaiMingXi" default_row="2" addr="T0R3C">
        <m:item xlName="_GBC_2aad325d33124213b4e13c784bbc9ec9" concept="clcid-pte:JiaoYiXingJinRongFuZhaiZhongDeJiaoYiXingJinRongFuZhaiMingXiXiangMu" label="交易性金融负债中的交易性金融负债明细-项目" addr="T0R3C0S1_1" appId="_GBC_ed513d792f1f4a5f8256d125428aafdf"/>
        <m:item xlName="_GBC_7a83f8ce3e6b44c8a732bf539a690844" concept="clcid-pte:JiaoYiXingJinRongFuZhaiZhongDeJiaoYiXingJinRongFuZhaiMingXiFaShengE" label="交易性金融负债中的交易性金融负债明细-发生额" periodRef="本期期初数" mulRef="_GBC_1dc20daf2baa4ecf8204efdfde0a6ee9" unitRef="_GBC_97bc5d3ab9974410ae8f5c7781372913" addr="T0R3C1S1_1" formatStyle="Comma" appId="_GBC_ed513d792f1f4a5f8256d125428aafdf"/>
        <m:item xlName="_GBC_651f2a4bc7ca41a683b004ca39d2a4ca" concept="clcid-pte:JiaoYiXingJinRongFuZhaiZhongDeJiaoYiXingJinRongFuZhaiMingXiBenQiZengJia" label="交易性金融负债中的交易性金融负债明细-本期增加" mulRef="_GBC_1dc20daf2baa4ecf8204efdfde0a6ee9" unitRef="_GBC_97bc5d3ab9974410ae8f5c7781372913" addr="T0R3C2S1_1" formatStyle="Comma" appId="_GBC_ed513d792f1f4a5f8256d125428aafdf"/>
        <m:item xlName="_GBC_86614b42355748339841ebb0282307ce" concept="clcid-pte:JiaoYiXingJinRongFuZhaiZhongDeJiaoYiXingJinRongFuZhaiMingXiBenQiJianShao" label="交易性金融负债中的交易性金融负债明细-本期减少" mulRef="_GBC_1dc20daf2baa4ecf8204efdfde0a6ee9" unitRef="_GBC_97bc5d3ab9974410ae8f5c7781372913" addr="T0R3C3S1_1" formatStyle="Comma" appId="_GBC_ed513d792f1f4a5f8256d125428aafdf"/>
        <m:item xlName="_GBC_9ee7f1e73ceb4caab49f78edd99fd877" concept="clcid-pte:JiaoYiXingJinRongFuZhaiZhongDeJiaoYiXingJinRongFuZhaiMingXiFaShengE" label="交易性金融负债中的交易性金融负债明细-发生额" mulRef="_GBC_1dc20daf2baa4ecf8204efdfde0a6ee9" unitRef="_GBC_97bc5d3ab9974410ae8f5c7781372913" addr="T0R3C4S1_1" formatStyle="Comma" appId="_GBC_ed513d792f1f4a5f8256d125428aafdf"/>
      </m:tuple>
      <m:placeholder xlName="_PLD_113feca5074b424ab0e2bb871a4235e4" addr="T0R5C0S1_1"/>
      <m:item xlName="_GBC_edc71ce7b3fb4c158bdd2abcaabedc53" concept="clcid-pte:ZhiDingWeiYiGongYunJiaZhiJiLiangQieQiBianDongJiRuDangQiSunYiDeJinRongFuZhai" label="指定为以公允价值计量且其变动计入当期损益的金融负债" periodRef="本期期初数" mulRef="_GBC_1dc20daf2baa4ecf8204efdfde0a6ee9" unitRef="_GBC_97bc5d3ab9974410ae8f5c7781372913" addr="T0R5C1S1_1" formatStyle="Comma" appId="_GBC_ed513d792f1f4a5f8256d125428aafdf">
        <m:complexRule comparator="Eq" title="指定为以公允价值计量且其变动计入当期损益的金融负债@本期期初数" id="Cbf6908c98c08423ba6b81a7df7b40297"/>
      </m:item>
      <m:item xlName="_GBC_1b383cb6794e473585fe71336f4fa97a" concept="clcid-pte:ZhiDingWeiYiGongYunJiaZhiJiLiangQieQiBianDongJiRuDangQiSunYiDeJinRongFuZhaiBenQiZengJia" label="指定为以公允价值计量且其变动计入当期损益的金融负债本期增加" mulRef="_GBC_1dc20daf2baa4ecf8204efdfde0a6ee9" unitRef="_GBC_97bc5d3ab9974410ae8f5c7781372913" addr="T0R5C2S1_1" formatStyle="Comma" appId="_GBC_ed513d792f1f4a5f8256d125428aafdf">
        <m:complexRule comparator="Eq" title="指定为以公允价值计量且其变动计入当期损益的金融负债本期增加" id="C81e45879a99b40f399f5cc712c035a65"/>
      </m:item>
      <m:item xlName="_GBC_506b5948a43c4bb4969fc7d5c9762502" concept="clcid-pte:ZhiDingWeiYiGongYunJiaZhiJiLiangQieQiBianDongJiRuDangQiSunYiDeJinRongFuZhaiBenQiJianShao" label="指定为以公允价值计量且其变动计入当期损益的金融负债本期减少" mulRef="_GBC_1dc20daf2baa4ecf8204efdfde0a6ee9" unitRef="_GBC_97bc5d3ab9974410ae8f5c7781372913" addr="T0R5C3S1_1" formatStyle="Comma" appId="_GBC_ed513d792f1f4a5f8256d125428aafdf">
        <m:complexRule comparator="Eq" title="指定为以公允价值计量且其变动计入当期损益的金融负债本期减少" id="Cb4fca96ffe6445edbf3db6afa5f7e7c3"/>
      </m:item>
      <m:item xlName="_GBC_7eb9687b965a4f5f85c63016a1828347" concept="clcid-pte:ZhiDingWeiYiGongYunJiaZhiJiLiangQieQiBianDongJiRuDangQiSunYiDeJinRongFuZhai" label="指定为以公允价值计量且其变动计入当期损益的金融负债" mulRef="_GBC_1dc20daf2baa4ecf8204efdfde0a6ee9" unitRef="_GBC_97bc5d3ab9974410ae8f5c7781372913" addr="T0R5C4S1_1" formatStyle="Comma" appId="_GBC_ed513d792f1f4a5f8256d125428aafdf">
        <m:complexRule comparator="Eq" title="指定为以公允价值计量且其变动计入当期损益的金融负债" id="C7fd773215e9049d68173da8c944cb8b6"/>
      </m:item>
      <m:placeholder xlName="_PLD_e64804f1e4af4d8b93c4f892c424123b" addr="T0R6C0S1_1"/>
      <m:tuple xlName="_TUP_b420eca960d54f38802934b1eed087ba" concept="clcid-pte:ZhiDingWeiYiGongYunJiaZhiJiLiangQieQiBianDongJiRuDangQiSunYiDeJinRongFuZhaiMingXi" default_row="2" addr="T0R7C">
        <m:item xlName="_GBC_caae5465b4834c2785c85b78e7013f03" concept="clcid-pte:ZhiDingWeiYiGongYunJiaZhiJiLiangQieQiBianDongJiRuDangQiSunYiDeJinRongFuZhaiMingXiXiangMuMingCheng" label="指定为以公允价值计量且其变动计入当期损益的金融负债明细-项目名称" addr="T0R7C0S1_1" appId="_GBC_ed513d792f1f4a5f8256d125428aafdf"/>
        <m:item xlName="_GBC_a2c6af9b60f84c26ab74b6cd9d66fc42" concept="clcid-pte:ZhiDingWeiYiGongYunJiaZhiJiLiangQieQiBianDongJiRuDangQiSunYiDeJinRongFuZhaiMingXiGongYunJiaZhi" label="指定为以公允价值计量且其变动计入当期损益的金融负债明细-公允价值" periodRef="本期期初数" mulRef="_GBC_1dc20daf2baa4ecf8204efdfde0a6ee9" unitRef="_GBC_97bc5d3ab9974410ae8f5c7781372913" addr="T0R7C1S1_1" formatStyle="Comma" appId="_GBC_ed513d792f1f4a5f8256d125428aafdf"/>
        <m:item xlName="_GBC_8ebf858ff45c4990bad7297d582f042d" concept="clcid-pte:ZhiDingWeiYiGongYunJiaZhiJiLiangQieQiBianDongJiRuDangQiSunYiDeJinRongFuZhaiMingXiBenQiZengJia" label="指定为以公允价值计量且其变动计入当期损益的金融负债明细-本期增加" mulRef="_GBC_1dc20daf2baa4ecf8204efdfde0a6ee9" unitRef="_GBC_97bc5d3ab9974410ae8f5c7781372913" addr="T0R7C2S1_1" formatStyle="Comma" appId="_GBC_ed513d792f1f4a5f8256d125428aafdf"/>
        <m:item xlName="_GBC_17406320616a425b832415250838e1d4" concept="clcid-pte:ZhiDingWeiYiGongYunJiaZhiJiLiangQieQiBianDongJiRuDangQiSunYiDeJinRongFuZhaiMingXiBenQiJianShao" label="指定为以公允价值计量且其变动计入当期损益的金融负债明细-本期减少" mulRef="_GBC_1dc20daf2baa4ecf8204efdfde0a6ee9" unitRef="_GBC_97bc5d3ab9974410ae8f5c7781372913" addr="T0R7C3S1_1" formatStyle="Comma" appId="_GBC_ed513d792f1f4a5f8256d125428aafdf"/>
        <m:item xlName="_GBC_296db7f7712e44d59a2b28958f7e2adc" concept="clcid-pte:ZhiDingWeiYiGongYunJiaZhiJiLiangQieQiBianDongJiRuDangQiSunYiDeJinRongFuZhaiMingXiGongYunJiaZhi" label="指定为以公允价值计量且其变动计入当期损益的金融负债明细-公允价值" mulRef="_GBC_1dc20daf2baa4ecf8204efdfde0a6ee9" unitRef="_GBC_97bc5d3ab9974410ae8f5c7781372913" addr="T0R7C4S1_1" formatStyle="Comma" appId="_GBC_ed513d792f1f4a5f8256d125428aafdf"/>
      </m:tuple>
      <m:placeholder xlName="_PLD_dbb272cef0fd4fc09c175cb77ce43d81" addr="T0R9C0S1_1"/>
      <m:item xlName="_GBC_cc36378b69e6405e97418a4630b41136" concept="clcid-pte:JiaoYiXingJinRongFuZhai" label="交易性金融负债" periodRef="本期期初数" mulRef="_GBC_1dc20daf2baa4ecf8204efdfde0a6ee9" unitRef="_GBC_97bc5d3ab9974410ae8f5c7781372913" addr="T0R9C1S1_1" formatStyle="Comma" appId="_GBC_ed513d792f1f4a5f8256d125428aafdf">
        <m:complexRule comparator="Eq" title="交易性金融负债@本期期初数" test=" $_GBC_c113aa88b6254a9f80f4291fbc09b913 +  $_GBC_edc71ce7b3fb4c158bdd2abcaabedc53" id="C73beefe3dbf34ac3885c919eee0cedf3"/>
      </m:item>
      <m:item xlName="_GBC_0442c02682a141e0b98c5cbd8c8faf7f" concept="clcid-pte:JiaoYiXingJinRongFuZhaiBenQiZengJia" label="交易性金融负债本期增加" mulRef="_GBC_1dc20daf2baa4ecf8204efdfde0a6ee9" unitRef="_GBC_97bc5d3ab9974410ae8f5c7781372913" addr="T0R9C2S1_1" formatStyle="Comma" appId="_GBC_ed513d792f1f4a5f8256d125428aafdf">
        <m:complexRule comparator="Eq" title="交易性金融负债本期增加" test=" $_GBC_0f60b936bc924f459cc5cf6b82172fef +  $_GBC_1b383cb6794e473585fe71336f4fa97a" id="C9fbcaa95d5da44339f4df06f06eeaac9"/>
      </m:item>
      <m:item xlName="_GBC_9209b0bad8584a07bb9303a6111fc827" concept="clcid-pte:JiaoYiXingJinRongFuZhaiBenQiJianShao" label="交易性金融负债本期减少" mulRef="_GBC_1dc20daf2baa4ecf8204efdfde0a6ee9" unitRef="_GBC_97bc5d3ab9974410ae8f5c7781372913" addr="T0R9C3S1_1" formatStyle="Comma" appId="_GBC_ed513d792f1f4a5f8256d125428aafdf">
        <m:complexRule comparator="Eq" title="交易性金融负债本期减少" test=" $_GBC_32dde5f5996d418abdd018f70f383ef4 +  $_GBC_506b5948a43c4bb4969fc7d5c9762502" id="Ccde233ea7b014130996594a2834eed39"/>
      </m:item>
      <m:item xlName="_GBC_dcdae81f0b4b4d8aac627ea73c488a76" concept="clcid-pte:JiaoYiXingJinRongFuZhai" label="交易性金融负债" mulRef="_GBC_1dc20daf2baa4ecf8204efdfde0a6ee9" unitRef="_GBC_97bc5d3ab9974410ae8f5c7781372913" addr="T0R9C4S1_1" formatStyle="Comma" appId="_GBC_ed513d792f1f4a5f8256d125428aafdf">
        <m:complexRule comparator="Eq" title="交易性金融负债" test=" $_GBC_8813bf4c962e44da9c4d2e80b6badd2f +  $_GBC_7eb9687b965a4f5f85c63016a1828347" id="C7d1013d4d0f14bdd94dfe8933ab03d6a"/>
      </m:item>
      <m:item xlName="_GBC_aafdc3030d4340e1ab058e7d1332c4e8" concept="clcid-pte:JiaoYiXingJinRongFuZhaiDeShuoMing" label="交易性金融负债的说明" appId="_GBC_ed513d792f1f4a5f8256d125428aafdf"/>
    </m:section>
    <m:section xlName="_GBC_c6a901495ec44a7798e3a75ddb5e06bf" title="衍生金融负债" helpId="112001081" helpText="注：说明衍生金融工具形成原因及相关会计处理等。">
      <m:item xlName="_GBC_3a60c0d3d0534eba80b93475b0a6411f" concept="clcid-pte:ShiFouShiYongYanShengJinRongFuZhai" label="是否适用：衍生金融负债" selectOptions="_buildInAppliance" controlType="CustomCheckbox" helpText="注：如公司衍生金融工具业务具有重要性的，需单独列示该项目" cRanges="{&quot;StartName&quot;:&quot;_GBC_3a60c0d3d0534eba80b93475b0a6411f&quot;,&quot;EndName&quot;:&quot;_GBC_f77906c141cc495fbf965565aa6438cd&quot;,&quot;CType&quot;:1,&quot;DisplayText&quot;:null}"/>
      <m:item xlName="_GBC_e4465a6c3a5d41de9b6c9ca0df37fadb" concept="clcid-ci-ar:DanWeiCaiWuFuZhuYanShengJinRongFuZhai" label="单位：财务附注：衍生金融负债" selectOptions="_buildInScales" controlType="Combobox" cellType="Scale" appId="_GBC_3a60c0d3d0534eba80b93475b0a6411f"/>
      <m:item xlName="_GBC_7a8b644a29214cf99cb16f1d1f6cab29" concept="clcid-ci-ar:BiZhongCaiWuFuZhuYanShengJinRongFuZhai" label="币种：财务附注：衍生金融负债" selectOptions="_buildInISO4217" controlType="Combobox" cellType="Measure" appId="_GBC_3a60c0d3d0534eba80b93475b0a6411f"/>
      <m:placeholder xlName="_PLD_d47441d2c9284b37a6077ca58651a585" addr="T0R0C0S1_1"/>
      <m:placeholder xlName="_PLD_84b5673c7466477c8d70e75002f809a7" addr="T0R0C1S1_1"/>
      <m:placeholder xlName="_PLD_bb36d5aa63944957bd973d914e547bb0" addr="T0R0C2S1_1"/>
      <m:tuple xlName="_GBC_0c820de248e140ef91e71d85afe01751" concept="clcid-pte:YanShengJinRongFuZhaiMingXi" default_row="2" addr="T0R1C">
        <m:item xlName="_GBC_d20b268d70e4405fa1023d3bcbd86d73" concept="clcid-pte:clcid-pte_YanShengJinRongFuZhaiMingXiXiangMuMingCheng" label="衍生金融负债明细-项目名称" addr="T0R1C0S1_1" appId="_GBC_3a60c0d3d0534eba80b93475b0a6411f"/>
        <m:item xlName="_GBC_0eabe06b79e64f73a9a53394d8c79b6e" concept="clcid-pte:YanShengJinRongFuZhaiMingXiJinE" label="衍生金融负债明细-金额" mulRef="_GBC_e4465a6c3a5d41de9b6c9ca0df37fadb" unitRef="_GBC_7a8b644a29214cf99cb16f1d1f6cab29" addr="T0R1C1S1_1" formatStyle="Comma" appId="_GBC_3a60c0d3d0534eba80b93475b0a6411f"/>
        <m:item xlName="_GBC_ae8bc64526bc467abc44c1ec41326581" concept="clcid-pte:YanShengJinRongFuZhaiMingXiJinE" label="衍生金融负债明细-金额" periodRef="本期期初数" mulRef="_GBC_e4465a6c3a5d41de9b6c9ca0df37fadb" unitRef="_GBC_7a8b644a29214cf99cb16f1d1f6cab29" addr="T0R1C2S1_1" formatStyle="Comma" appId="_GBC_3a60c0d3d0534eba80b93475b0a6411f"/>
      </m:tuple>
      <m:placeholder xlName="_PLD_b1d5ac7ade8c40298846c8c39da311ae" addr="T0R3C0S1_1"/>
      <m:item xlName="_GBC_de9e06c774854898b4dbb17b189cd2a5" concept="clcid-pte:YanShengJinRongFuZhai" label="衍生金融负债" mulRef="_GBC_e4465a6c3a5d41de9b6c9ca0df37fadb" unitRef="_GBC_7a8b644a29214cf99cb16f1d1f6cab29" addr="T0R3C1S1_1" formatStyle="Comma" appId="_GBC_3a60c0d3d0534eba80b93475b0a6411f">
        <m:complexRule comparator="Eq" title="衍生金融负债" test=" $_GBC_0eabe06b79e64f73a9a53394d8c79b6e" id="C6abe988cfd39427b827abaacacaaa2ed"/>
      </m:item>
      <m:item xlName="_GBC_301e1fd6d08543b595e0adcb4c5c3579" concept="clcid-pte:YanShengJinRongFuZhai" label="衍生金融负债" periodRef="本期期初数" mulRef="_GBC_e4465a6c3a5d41de9b6c9ca0df37fadb" unitRef="_GBC_7a8b644a29214cf99cb16f1d1f6cab29" addr="T0R3C2S1_1" formatStyle="Comma" appId="_GBC_3a60c0d3d0534eba80b93475b0a6411f">
        <m:complexRule comparator="Eq" title="衍生金融负债@本期期初数" test=" $_GBC_ae8bc64526bc467abc44c1ec41326581" id="C40520f3cfced4bc0a57a3062a719712c"/>
      </m:item>
      <m:item xlName="_GBC_f77906c141cc495fbf965565aa6438cd" concept="clcid-pte:YanShengJinRongFuZhaiQiTaShuoMing" label="衍生金融负债其他说明" appId="_GBC_3a60c0d3d0534eba80b93475b0a6411f"/>
    </m:section>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item xlName="_GBC_db69c246a0d14735805df636930e34ba" concept="clcid-ci-ar:DanWeiCaiWuFuZhuYingFuPiaoJu" label="单位：财务附注：应付票据" selectOptions="_buildInScales" controlType="Combobox" cellType="Scale" appId="_GBC_57c67181b34944e782b23a48b1843e8f"/>
      <m:item xlName="_GBC_f734b21fc72c43feb20eaf84762dfd7f" concept="clcid-ci-ar:BiZhongCaiWuFuZhuYingFuPiaoJu" label="币种：财务附注：应付票据" selectOptions="_buildInISO4217" controlType="Combobox" cellType="Measure" appId="_GBC_57c67181b34944e782b23a48b1843e8f"/>
      <m:placeholder xlName="_PLD_faa4f5cfe5ae4b0a9c786ca922191e7e" addr="T0R0C0S1_1"/>
      <m:placeholder xlName="_PLD_b51f0f25994640289becfaca28eb1d5c" addr="T0R0C1S1_1"/>
      <m:placeholder xlName="_PLD_996d96c1a15e479289fa9e0699e2822e" addr="T0R0C2S1_1"/>
      <m:placeholder xlName="_PLD_612dd94d183548b6a311a7688699608c" addr="T0R1C0S1_1"/>
      <m:item xlName="_GBC_122c50c67f1649a18e3711b4a93b7730" concept="clcid-pte:ShangYeChengDuiHuiPiao" label="商业承兑汇票" mulRef="_GBC_db69c246a0d14735805df636930e34ba" unitRef="_GBC_f734b21fc72c43feb20eaf84762dfd7f" addr="T0R1C1S1_1" formatStyle="Comma" appId="_GBC_57c67181b34944e782b23a48b1843e8f"/>
      <m:item xlName="_GBC_7849a59f75fa44ffa258666040824cdd" concept="clcid-pte:ShangYeChengDuiHuiPiao" label="商业承兑汇票" periodRef="本期期初数" mulRef="_GBC_db69c246a0d14735805df636930e34ba" unitRef="_GBC_f734b21fc72c43feb20eaf84762dfd7f" addr="T0R1C2S1_1" formatStyle="Comma" appId="_GBC_57c67181b34944e782b23a48b1843e8f"/>
      <m:placeholder xlName="_PLD_a78177bc2f9c4e819670fb289b9d6192" addr="T0R2C0S1_1"/>
      <m:item xlName="_GBC_c5ec7eae32c542a28a0840d4979ad029" concept="clcid-pte:YinHangChengDuiHuiPiao" label="银行承兑汇票" mulRef="_GBC_db69c246a0d14735805df636930e34ba" unitRef="_GBC_f734b21fc72c43feb20eaf84762dfd7f" addr="T0R2C1S1_1" formatStyle="Comma" appId="_GBC_57c67181b34944e782b23a48b1843e8f"/>
      <m:item xlName="_GBC_5122f1303dc54020be0903edc9f641f3" concept="clcid-pte:YinHangChengDuiHuiPiao" label="银行承兑汇票" periodRef="本期期初数" mulRef="_GBC_db69c246a0d14735805df636930e34ba" unitRef="_GBC_f734b21fc72c43feb20eaf84762dfd7f" addr="T0R2C2S1_1" formatStyle="Comma" appId="_GBC_57c67181b34944e782b23a48b1843e8f"/>
      <m:tuple xlName="_TUP_a5ea2bde9c2145ab9443e9a86b5162f5" concept="clcid-pte:YingFuPiaoJuMingXi" default_row="2" addr="T0R3C">
        <m:item xlName="_GBC_7b8504ec0afa42dd93ffcc37f5e8ecf6" concept="clcid-pte:YingFuPiaoJuZhongLei" label="应付票据种类" addr="T0R3C0S1_1" appId="_GBC_57c67181b34944e782b23a48b1843e8f"/>
        <m:item xlName="_GBC_3130e686c6ed43cc9805bb07cbe18848" concept="clcid-pte:YingFuPiaoJuJinE" label="应付票据金额" mulRef="_GBC_db69c246a0d14735805df636930e34ba" unitRef="_GBC_f734b21fc72c43feb20eaf84762dfd7f" addr="T0R3C1S1_1" formatStyle="Comma" appId="_GBC_57c67181b34944e782b23a48b1843e8f"/>
        <m:item xlName="_GBC_123e5cc78b83409f86e0df14a255687b" concept="clcid-pte:YingFuPiaoJuJinE" label="应付票据金额" periodRef="本期期初数" mulRef="_GBC_db69c246a0d14735805df636930e34ba" unitRef="_GBC_f734b21fc72c43feb20eaf84762dfd7f" addr="T0R3C2S1_1" formatStyle="Comma" appId="_GBC_57c67181b34944e782b23a48b1843e8f"/>
      </m:tuple>
      <m:placeholder xlName="_PLD_91c7e1de96284cd2994cfcf7c0e798dc" addr="T0R5C0S1_1"/>
      <m:item xlName="_GBC_a8c1459a3cf84611b62330a576328107" concept="clcid-pte:YingFuPiaoJu" label="应付票据" mulRef="_GBC_db69c246a0d14735805df636930e34ba" unitRef="_GBC_f734b21fc72c43feb20eaf84762dfd7f" addr="T0R5C1S1_1" formatStyle="Comma" appId="_GBC_57c67181b34944e782b23a48b1843e8f">
        <m:complexRule comparator="Eq" title="应付票据" test=" $_GBC_122c50c67f1649a18e3711b4a93b7730 +  $_GBC_c5ec7eae32c542a28a0840d4979ad029 +  $_GBC_3130e686c6ed43cc9805bb07cbe18848" id="C58cd105017534d6fa860f8f4cd1718d2"/>
      </m:item>
      <m:item xlName="_GBC_b7f448a95a9a488e84070a8ba1c903b9" concept="clcid-pte:YingFuPiaoJu" label="应付票据" periodRef="本期期初数" mulRef="_GBC_db69c246a0d14735805df636930e34ba" unitRef="_GBC_f734b21fc72c43feb20eaf84762dfd7f" addr="T0R5C2S1_1" formatStyle="Comma" appId="_GBC_57c67181b34944e782b23a48b1843e8f">
        <m:complexRule comparator="Eq" title="应付票据@本期期初数" test=" $_GBC_7849a59f75fa44ffa258666040824cdd +  $_GBC_5122f1303dc54020be0903edc9f641f3 +  $_GBC_123e5cc78b83409f86e0df14a255687b" id="C3354cc6761034653917a1b71fbe72401"/>
      </m:item>
      <m:item xlName="_GBC_c9651441e218453780f22db83f133e6a" concept="clcid-pte:YiDaoQiWeiZhiFuDeYingFuPiaoJuZongE" label="已到期未支付的应付票据总额" formatStyle="Comma" appId="_GBC_57c67181b34944e782b23a48b1843e8f"/>
    </m:section>
    <m:section xlName="_GBC_0f1b98b90c3845e1a1ad65786460f84b" title="应付账款情况" rules="R2015_R11_018" convertSummaryRule="NoConvert" helpId="112001084">
      <m:item xlName="_GBC_8531771c226a4fb0b98e3cdaf7271c71" concept="clcid-ci-ar:ShiFouShiYongYingFuZhangKuanLieShi" label="是否适用：应付账款列示" selectOptions="_buildInAppliance" controlType="CustomCheckbox" cRanges="{&quot;StartName&quot;:&quot;_GBC_8531771c226a4fb0b98e3cdaf7271c71&quot;,&quot;EndName&quot;:&quot;_GBC_00bb4f8f38914c7ab69df9aed6c35ae2&quot;,&quot;CType&quot;:1,&quot;DisplayText&quot;:null}"/>
      <m:item xlName="_GBC_53c05e3ea1bb4f08bbe5cf204a0947b9" concept="clcid-ci-ar:DanWeiCaiWuFuZhuYingFuZhangKuanQingKuang" label="单位：财务附注：应付账款情况" selectOptions="_buildInScales" controlType="Combobox" cellType="Scale" appId="_GBC_8531771c226a4fb0b98e3cdaf7271c71"/>
      <m:item xlName="_GBC_e10cb0a664ca4400817c8a2bcf9247fc" concept="clcid-ci-ar:BiZhongCaiWuFuZhuYingFuZhangKuanQingKuang" label="币种：财务附注：应付账款情况" selectOptions="_buildInISO4217" controlType="Combobox" cellType="Measure" appId="_GBC_8531771c226a4fb0b98e3cdaf7271c71"/>
      <m:placeholder xlName="_PLD_7dae27caeee34d74add24cd985083c75" addr="T0R0C0S1_1"/>
      <m:placeholder xlName="_PLD_136ba417561e421ea02da8004fdf8b33" addr="T0R0C1S1_1"/>
      <m:placeholder xlName="_PLD_bc4b311c1ee54bd48b7b2ba2ab79c364" addr="T0R0C2S1_1"/>
      <m:tuple xlName="_GBC_6a9eb940fbe64774bcca168078c6adaa" concept="clcid-pte:YingFuZhangKuanQingKuangMingXi" default_row="2" addr="T0R1C">
        <m:item xlName="_GBC_2a5ca7d6b8ce4779bf0cc64e60d7eb11" concept="clcid-pte:YingFuZhangKuanQingKuangMingXiXiangMu" label="应付账款情况明细-项目" addr="T0R1C0S1_1" appId="_GBC_8531771c226a4fb0b98e3cdaf7271c71"/>
        <m:item xlName="_GBC_53a813ae89824f53924534b614cd8aed" concept="clcid-pte:YingFuZhangKuanQingKuangMingXiJinE" label="应付账款情况明细-金额" mulRef="_GBC_53c05e3ea1bb4f08bbe5cf204a0947b9" unitRef="_GBC_e10cb0a664ca4400817c8a2bcf9247fc" addr="T0R1C1S1_1" formatStyle="Comma" appId="_GBC_8531771c226a4fb0b98e3cdaf7271c71"/>
        <m:item xlName="_GBC_e193f0720fe448129a597233119eee2c" concept="clcid-pte:YingFuZhangKuanQingKuangMingXiJinE" label="应付账款情况明细-金额" periodRef="本期期初数" mulRef="_GBC_53c05e3ea1bb4f08bbe5cf204a0947b9" unitRef="_GBC_e10cb0a664ca4400817c8a2bcf9247fc" addr="T0R1C2S1_1" formatStyle="Comma" appId="_GBC_8531771c226a4fb0b98e3cdaf7271c71"/>
      </m:tuple>
      <m:placeholder xlName="_PLD_b82b4cb1d4fa4c8fb75bed463f2da31b" addr="T0R3C0S1_1"/>
      <m:item xlName="_GBC_cefa0b9aa50840dfb31c319757043efd" concept="clcid-pte:YingFuZhangKuan" label="应付帐款" mulRef="_GBC_53c05e3ea1bb4f08bbe5cf204a0947b9" unitRef="_GBC_e10cb0a664ca4400817c8a2bcf9247fc" addr="T0R3C1S1_1" formatStyle="Comma" appId="_GBC_8531771c226a4fb0b98e3cdaf7271c71">
        <m:complexRule comparator="Eq" title="应付帐款" test=" $_GBC_53a813ae89824f53924534b614cd8aed" id="C09663117227f4074a58c7957ac8be262"/>
      </m:item>
      <m:item xlName="_GBC_00bb4f8f38914c7ab69df9aed6c35ae2" concept="clcid-pte:YingFuZhangKuan" label="应付帐款" periodRef="本期期初数" mulRef="_GBC_53c05e3ea1bb4f08bbe5cf204a0947b9" unitRef="_GBC_e10cb0a664ca4400817c8a2bcf9247fc" addr="T0R3C2S1_1" formatStyle="Comma" appId="_GBC_8531771c226a4fb0b98e3cdaf7271c71">
        <m:complexRule comparator="Eq" title="应付帐款@本期期初数" test=" $_GBC_e193f0720fe448129a597233119eee2c" id="C122c1064e8254227bd8fb310b355011d"/>
      </m:item>
    </m:section>
    <m:section xlName="_GBC_5fffbd1416eb408d959645d37f190cf5" title="重要的账龄超过1年的应付账款单位：元币种：人民币项目期末..." rules="R2015_R11_018" helpId="112001084">
      <m:item xlName="_GBC_02c6e7ed8ae149e8a09f5b80217deb89" concept="clcid-ci-ar:ShiFouShiYongZhangLingChaoGuoNianDeZhongYaoYingFuZhangKuan" label="是否适用：账龄超过1年的重要应付账款" selectOptions="_buildInAppliance" controlType="CustomCheckbox" cRanges="{&quot;StartName&quot;:&quot;_GBC_02c6e7ed8ae149e8a09f5b80217deb89&quot;,&quot;EndName&quot;:&quot;_GBC_2fe395320f8f4b3fa28841324e8271ff&quot;,&quot;CType&quot;:1,&quot;DisplayText&quot;:null}"/>
      <m:item xlName="_GBC_4828fbb06386477f83dfc0c7b55875e7" concept="clcid-ci-ar:DanWeiCaiWuFuZhuZhongYaoDeZhangLingChaoGuoNianDeYingFuZhangKuan" label="单位：财务附注：重要的账龄超过1年的应付账款" selectOptions="_buildInScales" controlType="Combobox" cellType="Scale" appId="_GBC_02c6e7ed8ae149e8a09f5b80217deb89"/>
      <m:item xlName="_GBC_56837a7d36f94902b75d8fe132af82b6" concept="clcid-ci-ar:BiZhongCaiWuFuZhuZhongYaoDeZhangLingChaoGuoNianDeYingFuZhangKuan" label="币种：财务附注：重要的账龄超过1年的应付账款" selectOptions="_buildInISO4217" controlType="Combobox" cellType="Measure" appId="_GBC_02c6e7ed8ae149e8a09f5b80217deb89"/>
      <m:placeholder xlName="_PLD_31272c72b1bc41e2a47d7fbfb0839e2b" addr="T0R0C0S1_1"/>
      <m:placeholder xlName="_PLD_41b9d7d7e0c84d6c9f8c3a0a59e37c14" addr="T0R0C1S1_1"/>
      <m:placeholder xlName="_PLD_49e0f43ba09d42649fabb4ecc22986ca" addr="T0R0C2S1_1"/>
      <m:tuple xlName="_GBC_3c24b8450a0a47bd8859f88e883aa952" concept="clcid-pte:ZhongYaoDeZhangLingChaoGuoNianDeYingFuZhangKuanMingXi" default_row="2" addr="T0R1C">
        <m:item xlName="_GBC_141773d28dd34c8295b18c94cc85ece4" concept="clcid-pte:ZhongYaoDeZhangLingChaoGuoNianDeYingFuZhangKuanMingXiXiangMuMingCheng" label="重要的账龄超过1年的应付账款明细-项目名称" addr="T0R1C0S1_1" appId="_GBC_02c6e7ed8ae149e8a09f5b80217deb89"/>
        <m:item xlName="_GBC_32e43573b68c4a82aab17146178f18f2" concept="clcid-pte:ZhongYaoDeZhangLingChaoGuoNianDeYingFuZhangKuanMingXiYuE" label="重要的账龄超过1年的应付账款明细-余额" mulRef="_GBC_4828fbb06386477f83dfc0c7b55875e7" unitRef="_GBC_56837a7d36f94902b75d8fe132af82b6" addr="T0R1C1S1_1" formatStyle="Comma" appId="_GBC_02c6e7ed8ae149e8a09f5b80217deb89"/>
        <m:item xlName="_GBC_113967d4dd114818b559c2795509b2fb" concept="clcid-pte:ZhongYaoDeZhangLingChaoGuoNianDeYingFuZhangKuanMingXiWeiChangHuanHuoJieZhuanDeYuanYin" label="重要的账龄超过1年的应付账款明细-未偿还或结转的原因" addr="T0R1C2S1_1" appId="_GBC_02c6e7ed8ae149e8a09f5b80217deb89"/>
      </m:tuple>
      <m:placeholder xlName="_PLD_eca4761bb44d46c18cd4488e72a6e130" addr="T0R3C0S1_1"/>
      <m:item xlName="_GBC_2fe395320f8f4b3fa28841324e8271ff" concept="clcid-pte:ZhongYaoDeZhangLingChaoGuoNianDeYingFuZhangKuanJinEHeJi" label="重要的账龄超过1年的应付账款金额合计" mulRef="_GBC_4828fbb06386477f83dfc0c7b55875e7" unitRef="_GBC_56837a7d36f94902b75d8fe132af82b6" addr="T0R3C1S1_1" formatStyle="Comma" appId="_GBC_02c6e7ed8ae149e8a09f5b80217deb89">
        <m:complexRule comparator="Eq" title="重要的账龄超过1年的应付账款金额合计" test=" $_GBC_32e43573b68c4a82aab17146178f18f2" id="C5d0c711ad8cb4f3fbdc826312eca2c94"/>
      </m:item>
    </m:section>
    <m:section xlName="_GBC_aecd44efc3ea456b9149dd662d0a5085" title="应付账款的其他说明" rules="R2015_R11_018" convertSummaryRule="NoConvert" helpId="112001084">
      <m:item xlName="_GBC_9a797e83ea1747e9aca4221e6cdfe89f" concept="clcid-ci-ar:ShiFouShiYongYingFuZhangKuanDeQiTaShuoMing" label="是否适用：应付账款的其他说明" selectOptions="_buildInAppliance" controlType="CustomCheckbox" cRanges="{&quot;StartName&quot;:&quot;_GBC_9a797e83ea1747e9aca4221e6cdfe89f&quot;,&quot;EndName&quot;:&quot;_GBC_ce49b41e552042498c99840916063218&quot;,&quot;CType&quot;:1,&quot;DisplayText&quot;:null}"/>
      <m:item xlName="_GBC_ce49b41e552042498c99840916063218" concept="clcid-pte:YingFuZhangKuanDeQiTaShuoMing" label="应付账款的其他说明" appId="_GBC_9a797e83ea1747e9aca4221e6cdfe89f"/>
    </m:section>
    <m:section xlName="_GBC_d7dac18f0444439d83469555857c3195" title="预收账款情况" convertSummaryRule="NoConvert" helpId="112002200">
      <m:item xlName="_GBC_cf9ab7f5f12c4f788a9bbb6e3ef9c9de" concept="clcid-ci-ar:ShiFouShiYongYuShouZhangKuanXiangLieShi" label="是否适用：预收账款项列示" selectOptions="_buildInAppliance" controlType="CustomCheckbox" cRanges="{&quot;StartName&quot;:&quot;_GBC_cf9ab7f5f12c4f788a9bbb6e3ef9c9de&quot;,&quot;EndName&quot;:&quot;_GBC_04d89426e20b4bf09fca0e90c932358a&quot;,&quot;CType&quot;:1,&quot;DisplayText&quot;:null}"/>
      <m:item xlName="_GBC_f4564e0d7a8a4a9589aae9168c4c8fdb" concept="clcid-ci-ar:DanWeiCaiWuFuZhuYuShouZhangKuanQingKuang" label="单位：财务附注：预收账款情况" selectOptions="_buildInScales" controlType="Combobox" cellType="Scale" appId="_GBC_cf9ab7f5f12c4f788a9bbb6e3ef9c9de"/>
      <m:item xlName="_GBC_e993db46bf3641c59c10bd3e14a930d9" concept="clcid-ci-ar:BiZhongCaiWuFuZhuYuShouZhangKuanQingKuang" label="币种：财务附注：预收账款情况" selectOptions="_buildInISO4217" controlType="Combobox" cellType="Measure" appId="_GBC_cf9ab7f5f12c4f788a9bbb6e3ef9c9de"/>
      <m:placeholder xlName="_PLD_d5dd98b095374d108e2df93a96e434bb" addr="T0R0C0S1_1"/>
      <m:placeholder xlName="_PLD_9fc077db74354318b54c7ec24cd1ce0c" addr="T0R0C1S1_1"/>
      <m:placeholder xlName="_PLD_aa9447699c054ad4b698586b835a3180" addr="T0R0C2S1_1"/>
      <m:tuple xlName="_GBC_230853c1febc415e90da55e0c713ce54" concept="clcid-pte:YuShouZhangKuanQingKuangMingXi" default_row="2" addr="T0R1C">
        <m:item xlName="_GBC_761e1f97d6a9400c8bf77837fd5e54ca" concept="clcid-pte:YuShouZhangKuanQingKuangMingXiXiangMu" label="预收账款情况明细-项目" addr="T0R1C0S1_1" appId="_GBC_cf9ab7f5f12c4f788a9bbb6e3ef9c9de"/>
        <m:item xlName="_GBC_7396c58eea384244964498ccbc83cfde" concept="clcid-pte:YuShouZhangKuanQingKuangMingXiJinE" label="预收账款情况明细-金额" mulRef="_GBC_f4564e0d7a8a4a9589aae9168c4c8fdb" unitRef="_GBC_e993db46bf3641c59c10bd3e14a930d9" addr="T0R1C1S1_1" formatStyle="Comma" appId="_GBC_cf9ab7f5f12c4f788a9bbb6e3ef9c9de"/>
        <m:item xlName="_GBC_fe2b16a0aeac49a2a1b8710bf9023453" concept="clcid-pte:YuShouZhangKuanQingKuangMingXiJinE" label="预收账款情况明细-金额" periodRef="本期期初数" mulRef="_GBC_f4564e0d7a8a4a9589aae9168c4c8fdb" unitRef="_GBC_e993db46bf3641c59c10bd3e14a930d9" addr="T0R1C2S1_1" formatStyle="Comma" appId="_GBC_cf9ab7f5f12c4f788a9bbb6e3ef9c9de"/>
      </m:tuple>
      <m:placeholder xlName="_PLD_dbdcdc98ceee47408e8ac7a0d53c5b39" addr="T0R3C0S1_1"/>
      <m:item xlName="_GBC_4ad518083c254dc292b5cadbe2bc550c" concept="clcid-pte:YuShouZhangKuan" label="预收帐款" mulRef="_GBC_f4564e0d7a8a4a9589aae9168c4c8fdb" unitRef="_GBC_e993db46bf3641c59c10bd3e14a930d9" addr="T0R3C1S1_1" formatStyle="Comma" appId="_GBC_cf9ab7f5f12c4f788a9bbb6e3ef9c9de">
        <m:complexRule comparator="Eq" title="预收帐款" test=" $_GBC_7396c58eea384244964498ccbc83cfde" id="C206da55078294ff39511e94ddcb5d8b2"/>
      </m:item>
      <m:item xlName="_GBC_04d89426e20b4bf09fca0e90c932358a" concept="clcid-pte:YuShouZhangKuan" label="预收帐款" periodRef="本期期初数" mulRef="_GBC_f4564e0d7a8a4a9589aae9168c4c8fdb" unitRef="_GBC_e993db46bf3641c59c10bd3e14a930d9" addr="T0R3C2S1_1" formatStyle="Comma" appId="_GBC_cf9ab7f5f12c4f788a9bbb6e3ef9c9de">
        <m:complexRule comparator="Eq" title="预收帐款@本期期初数" test=" $_GBC_fe2b16a0aeac49a2a1b8710bf9023453" id="C78f4f30876324510a535b9e3791a94b1"/>
      </m:item>
    </m:section>
    <m:section xlName="_GBC_59300802f7ac43e3ab1ce4a570fb0267" title="账龄超过1年的重要预收款项" helpId="112002200">
      <m:item xlName="_GBC_ae7ea5bab4b04b2cb170af5020f86302" concept="clcid-ci-ar:ShiFouShiYongZhangLingChaoGuoNianDeZhongYaoYuShouKuanXiang" label="是否适用：账龄超过1年的重要预收款项" selectOptions="_buildInAppliance" controlType="CustomCheckbox" cRanges="{&quot;StartName&quot;:&quot;_GBC_ae7ea5bab4b04b2cb170af5020f86302&quot;,&quot;EndName&quot;:&quot;_GBC_b584c73932da484cb43a0325dabe2067&quot;,&quot;CType&quot;:1,&quot;DisplayText&quot;:null}"/>
      <m:item xlName="_GBC_42b95b40c556404fb356ffbe5874de55" concept="clcid-ci-ar:DanWeiCaiWuFuZhuZhongYaoDeZhangLingChaoGuoNianDeYuShouZhangKuan" label="单位：财务附注：重要的账龄超过1年的预收账款" selectOptions="_buildInScales" controlType="Combobox" cellType="Scale" appId="_GBC_ae7ea5bab4b04b2cb170af5020f86302"/>
      <m:item xlName="_GBC_3b5cf8cf0f1d44548bc9470ab19fc397" concept="clcid-ci-ar:BiZhongCaiWuFuZhuZhongYaoDeZhangLingChaoGuoNianDeYuShouZhangKuan" label="币种：财务附注：重要的账龄超过1年的预收账款" selectOptions="_buildInISO4217" controlType="Combobox" cellType="Measure" appId="_GBC_ae7ea5bab4b04b2cb170af5020f86302"/>
      <m:placeholder xlName="_PLD_a4e03e2e9e4349419f13fec568395d55" addr="T0R0C0S1_1"/>
      <m:placeholder xlName="_PLD_8dd80b4c0ac3400bb1beb0c7f576a2f6" addr="T0R0C1S1_1"/>
      <m:placeholder xlName="_PLD_d7bc2edb811346f1ae4479ea07f0f622" addr="T0R0C2S1_1"/>
      <m:tuple xlName="_GBC_36a567eab8e7428283e75f2fe80c7041" concept="clcid-pte:ZhongYaoDeZhangLingChaoGuoNianDeYuShouZhangKuanMingXi" default_row="2" addr="T0R1C">
        <m:item xlName="_GBC_bb6d26087e724b99999013f619596b12" concept="clcid-pte:ZhongYaoDeZhangLingChaoGuoNianDeYuShouZhangKuanMingXiXiangMuMingCheng" label="重要的账龄超过1年的预收账款明细-项目名称" addr="T0R1C0S1_1" appId="_GBC_ae7ea5bab4b04b2cb170af5020f86302"/>
        <m:item xlName="_GBC_505b2104d6dc4242b280b1a858949c5e" concept="clcid-pte:ZhongYaoDeZhangLingChaoGuoNianDeYuShouZhangKuanMingXiYuE" label="重要的账龄超过1年的预收账款明细-余额" mulRef="_GBC_42b95b40c556404fb356ffbe5874de55" unitRef="_GBC_3b5cf8cf0f1d44548bc9470ab19fc397" addr="T0R1C1S1_1" formatStyle="Comma" appId="_GBC_ae7ea5bab4b04b2cb170af5020f86302"/>
        <m:item xlName="_GBC_249ef1e2d12948aeb8a8011a742a171f" concept="clcid-pte:ZhongYaoDeZhangLingChaoGuoNianDeYuShouZhangKuanMingXiWeiChangHuanHuoJieZhuanDeYuanYin" label="重要的账龄超过1年的预收账款明细-未偿还或结转的原因" addr="T0R1C2S1_1" appId="_GBC_ae7ea5bab4b04b2cb170af5020f86302"/>
      </m:tuple>
      <m:placeholder xlName="_PLD_4b71806cf8d4402a8570d8a456143f9e" addr="T0R3C0S1_1"/>
      <m:item xlName="_GBC_b584c73932da484cb43a0325dabe2067" concept="clcid-pte:ZhongYaoDeZhangLingChaoGuoNianDeYuShouZhangKuanJinEHeJi" label="重要的账龄超过1年的预收账款金额合计" mulRef="_GBC_42b95b40c556404fb356ffbe5874de55" unitRef="_GBC_3b5cf8cf0f1d44548bc9470ab19fc397" addr="T0R3C1S1_1" formatStyle="Comma" appId="_GBC_ae7ea5bab4b04b2cb170af5020f86302">
        <m:complexRule comparator="Eq" title="重要的账龄超过1年的预收账款金额合计" test=" $_GBC_505b2104d6dc4242b280b1a858949c5e" id="C83e2b3feaa4c4d7cb95e0b77ff170193"/>
      </m:item>
    </m:section>
    <m:section xlName="_GBC_3b693e8055374a80821823cdad74f225" title="账龄超过1年的大额预收款项情况的说明" convertSummaryRule="NoConvert" helpId="112002200">
      <m:item xlName="_GBC_f473b6b28a104ffc812e6da4cf5177e5" concept="clcid-ci-ar:ShiFouShiYongYuShouZhangKuanDeQiTaShuoMing" label="是否适用：预收账款的其他说明" selectOptions="_buildInAppliance" controlType="CustomCheckbox" cRanges="{&quot;StartName&quot;:&quot;_GBC_f473b6b28a104ffc812e6da4cf5177e5&quot;,&quot;EndName&quot;:&quot;_GBC_b8db95ae8fdb4ee6b08199edc79a282c&quot;,&quot;CType&quot;:1,&quot;DisplayText&quot;:null}"/>
      <m:item xlName="_GBC_b8db95ae8fdb4ee6b08199edc79a282c" concept="clcid-pte:YuShouZhangKuanDeQiTaShuoMing" label="预收账款的其他说明" appId="_GBC_f473b6b28a104ffc812e6da4cf5177e5"/>
    </m:section>
    <m:section xlName="_SEC_c98a59ac0d184ea5b3b590c23bf7ff8d" title="合同负债" helpId="112002271">
      <m:item xlName="_GBC_2b6238a8ea00438eab947f83a5f6451d" concept="clcid-ci-ar:ShiFouShiYongHeTongFuZhaiQingKuang" label="是否适用：合同负债情况" selectOptions="_buildInAppliance" controlType="CustomCheckbox" cRanges="[{&quot;StartName&quot;:&quot;_GBC_2b6238a8ea00438eab947f83a5f6451d&quot;,&quot;EndName&quot;:&quot;_GBC_a1896f23c2f34ab0983e4f19b2553064&quot;,&quot;CType&quot;:1}]"/>
      <m:item xlName="_GBC_0024c0ddc3514b009e8166b63dc10ae9" concept="clcid-ci-ar:DanWeiHeTongFuZhaiQingKuang" label="单位：合同负债情况" selectOptions="_buildInScales" controlType="Combobox" cellType="Scale" appId="_GBC_2b6238a8ea00438eab947f83a5f6451d"/>
      <m:item xlName="_GBC_154d9411b9764a4f8e1412d0a22c8375" concept="clcid-ci-ar:BiZhongHeTongFuZhaiQingKuang" label="币种：合同负债情况" selectOptions="_buildInISO4217" controlType="Combobox" cellType="Measure" appId="_GBC_2b6238a8ea00438eab947f83a5f6451d"/>
      <m:placeholder xlName="_PLD_c5e783ac966e416184ff57e436f98be2" addr="T0R0C0S1_1"/>
      <m:placeholder xlName="_PLD_a4f8a9567271447e9f7bc01f59c6eed6" addr="T0R0C1S1_1"/>
      <m:placeholder xlName="_PLD_b8f751ec83834a96b0e87c862d2ae80b" addr="T0R0C2S1_1"/>
      <m:tuple xlName="_TUP_d1c7a7f050fb40619e0f52b844ab99a2" concept="clcid-pte:HeTongFuZhaiMingXi" default_row="2" addr="T0R1C">
        <m:item xlName="_GBC_054f76a71eb1427780c026eda5390528" concept="clcid-pte:HeTongFuZhaiMingXiXiangMu" label="合同负债明细-项目" addr="T0R1C0S1_1" appId="_GBC_2b6238a8ea00438eab947f83a5f6451d"/>
        <m:item xlName="_GBC_127bfacb9a9a4315a33b106efc3d0a81" concept="clcid-pte:HeTongFuZhaiMingXiFaShengE" label="合同负债明细-发生额" mulRef="_GBC_0024c0ddc3514b009e8166b63dc10ae9" unitRef="_GBC_154d9411b9764a4f8e1412d0a22c8375" addr="T0R1C1S1_1" formatStyle="Comma" appId="_GBC_2b6238a8ea00438eab947f83a5f6451d"/>
        <m:item xlName="_GBC_488a1ab5c4354c078f1aff5734a4e172" concept="clcid-pte:HeTongFuZhaiMingXiFaShengE" label="合同负债明细-发生额" periodRef="本期期初数" mulRef="_GBC_0024c0ddc3514b009e8166b63dc10ae9" unitRef="_GBC_154d9411b9764a4f8e1412d0a22c8375" addr="T0R1C2S1_1" formatStyle="Comma" appId="_GBC_2b6238a8ea00438eab947f83a5f6451d"/>
      </m:tuple>
      <m:placeholder xlName="_PLD_749720f346f74db784b99fec9408ed39" addr="T0R3C0S1_1"/>
      <m:item xlName="_GBC_21d2fd093fe84ba4a2f8f3a0390784b0" concept="clcid-pte:HeTongFuZhai" label="合同负债" mulRef="_GBC_0024c0ddc3514b009e8166b63dc10ae9" unitRef="_GBC_154d9411b9764a4f8e1412d0a22c8375" addr="T0R3C1S1_1" formatStyle="Comma" appId="_GBC_2b6238a8ea00438eab947f83a5f6451d">
        <m:complexRule comparator="Eq" title="合同负债" test=" $_GBC_127bfacb9a9a4315a33b106efc3d0a81" id="Cd969b1c8dd234331a8004bb1a5dd87d1"/>
      </m:item>
      <m:item xlName="_GBC_a1896f23c2f34ab0983e4f19b2553064" concept="clcid-pte:HeTongFuZhai" label="合同负债" periodRef="本期期初数" mulRef="_GBC_0024c0ddc3514b009e8166b63dc10ae9" unitRef="_GBC_154d9411b9764a4f8e1412d0a22c8375" addr="T0R3C2S1_1" formatStyle="Comma" appId="_GBC_2b6238a8ea00438eab947f83a5f6451d">
        <m:complexRule comparator="Eq" title="合同负债@本期期初数" test=" $_GBC_488a1ab5c4354c078f1aff5734a4e172" id="C85832f684681417aa9b0c8d81e389ec4"/>
      </m:item>
    </m:section>
    <m:section xlName="_SEC_c824c488dbc74824b379bb9187c7bdf0" title="报告期内账面价值发生重大变动的金额和原因" helpId="112002271">
      <m:item xlName="_GBC_18d9cdd7095d4bda8f22860c58746248" concept="clcid-ci-ar:ShiFouShiYongHeTongFuZhaiZhangMianJiaZhiFaShengZhongDaBianDong" label="是否适用：合同负债账面价值发生重大变动" selectOptions="_buildInAppliance" controlType="CustomCheckbox" cRanges="[{&quot;StartName&quot;:&quot;_GBC_18d9cdd7095d4bda8f22860c58746248&quot;,&quot;EndName&quot;:&quot;_GBC_7c8301d237bc4778b8a9bdd5baa59457&quot;,&quot;CType&quot;:1}]"/>
      <m:item xlName="_GBC_f8571349a979427e95720ea6d80148be" concept="clcid-ci-ar:DanWeiHeTongFuZhaiZhangMianJiaZhiFaShengZhongDaBianDong" label="单位：合同负债账面价值发生重大变动" selectOptions="_buildInScales" controlType="Combobox" cellType="Scale" appId="_GBC_18d9cdd7095d4bda8f22860c58746248"/>
      <m:item xlName="_GBC_506b60e6017d42d6bd62e2eb32d9ff24" concept="clcid-ci-ar:BiZhongHeTongFuZhaiZhangMianJiaZhiFaShengZhongDaBianDong" label="币种：合同负债账面价值发生重大变动" selectOptions="_buildInISO4217" controlType="Combobox" cellType="Measure" appId="_GBC_18d9cdd7095d4bda8f22860c58746248"/>
      <m:placeholder xlName="_PLD_124e76fbb225426299e248c8b16f2c45" addr="T0R0C0S1_1"/>
      <m:placeholder xlName="_PLD_98f88acd254544aaa8399ec779146141" addr="T0R0C1S1_1"/>
      <m:placeholder xlName="_PLD_5b2ed7fb74544813a6c606e9bbabc854" addr="T0R0C2S1_1"/>
      <m:tuple xlName="_TUP_b9206c314c0944be893fc867e651a8bc" concept="clcid-pte:HeTongFuZhaiZhangMianJiaZhiFaShengZhongDaBianDongMingXi" default_row="2" addr="T0R1C">
        <m:item xlName="_GBC_e5895b572f354432a2218e49c31ea696" concept="clcid-pte:HeTongFuZhaiZhangMianJiaZhiFaShengZhongDaBianDongMingXiXiangMu" label="合同负债账面价值发生重大变动明细-项目" addr="T0R1C0S1_1" appId="_GBC_18d9cdd7095d4bda8f22860c58746248"/>
        <m:item xlName="_GBC_7e067dee14d24783a03be4524097dec5" concept="clcid-pte:HeTongFuZhaiZhangMianJiaZhiFaShengZhongDaBianDongMingXiBianDongJinE" label="合同负债账面价值发生重大变动明细-变动金额" mulRef="_GBC_f8571349a979427e95720ea6d80148be" unitRef="_GBC_506b60e6017d42d6bd62e2eb32d9ff24" addr="T0R1C1S1_1" formatStyle="Comma" appId="_GBC_18d9cdd7095d4bda8f22860c58746248"/>
        <m:item xlName="_GBC_fad6bc92ba7e42109952e31e61a52d56" concept="clcid-pte:HeTongFuZhaiZhangMianJiaZhiFaShengZhongDaBianDongMingXiBianDongYuanYin" label="合同负债账面价值发生重大变动明细-变动原因" addr="T0R1C2S1_1" appId="_GBC_18d9cdd7095d4bda8f22860c58746248"/>
      </m:tuple>
      <m:placeholder xlName="_PLD_63b3475721444c0d9daf910fd9ff1709" addr="T0R3C0S1_1"/>
      <m:item xlName="_GBC_7c8301d237bc4778b8a9bdd5baa59457" concept="clcid-pte:HeTongFuZhaiZhangMianJiaZhiFaShengZhongDaBianDongJinEHeJi" label="合同负债账面价值发生重大变动金额合计" mulRef="_GBC_f8571349a979427e95720ea6d80148be" unitRef="_GBC_506b60e6017d42d6bd62e2eb32d9ff24" addr="T0R3C1S1_1" formatStyle="Comma" appId="_GBC_18d9cdd7095d4bda8f22860c58746248">
        <m:complexRule comparator="Eq" title="合同负债账面价值发生重大变动金额合计" test=" $_GBC_7e067dee14d24783a03be4524097dec5" id="C40411c8481e3494f9c34a40d9636bba2"/>
      </m:item>
    </m:section>
    <m:section xlName="_SEC_1910d69cccc04d3fb0422784d0b1dd58" title="其他说明：" helpId="112002271">
      <m:item xlName="_GBC_f73cf097b72042508657c656d4dc0c08" concept="clcid-ci-ar:ShiFouShiYongHeTongFuZhaiQiTaShuoMing" label="是否适用：合同负债其他说明" selectOptions="_buildInAppliance" controlType="CustomCheckbox" cRanges="[{&quot;StartName&quot;:&quot;_GBC_f73cf097b72042508657c656d4dc0c08&quot;,&quot;EndName&quot;:&quot;_GBC_0797daeaea704437a372be9b93f1c1d4&quot;,&quot;CType&quot;:1}]"/>
      <m:item xlName="_GBC_0797daeaea704437a372be9b93f1c1d4" concept="clcid-pte:HeTongFuZhaiQiTaShuoMing" label="合同负债其他说明" appId="_GBC_f73cf097b72042508657c656d4dc0c08"/>
    </m:section>
    <m:section xlName="_GBC_fa609950067149f1a5c0a6c3ba353431" title="应付职工薪酬列示：" helpId="112001085">
      <m:item xlName="_GBC_88faccc480a843dca589c1af0d3fee37" concept="clcid-ci-ar:ShiFouShiYongYingFuZhiGongXinChouLieShi" label="是否适用：应付职工薪酬列示" selectOptions="_buildInAppliance" controlType="CustomCheckbox" cRanges="{&quot;StartName&quot;:&quot;_GBC_88faccc480a843dca589c1af0d3fee37&quot;,&quot;EndName&quot;:&quot;_GBC_7dd3254db2d941febf038603922e4457&quot;,&quot;CType&quot;:1,&quot;DisplayText&quot;:null}"/>
      <m:item xlName="_GBC_5c4cdcd7cd924c4ca8e87f806bc459b0" concept="clcid-ci-ar:DanWeiCaiWuFuZhuYingFuZhiGongXinChou" label="单位：财务附注：应付职工薪酬" selectOptions="_buildInScales" controlType="Combobox" cellType="Scale" appId="_GBC_88faccc480a843dca589c1af0d3fee37"/>
      <m:item xlName="_GBC_1b7f0fd0ca54470ca12f1037c092be9a" concept="clcid-ci-ar:BiZhongCaiWuFuZhuYingFuZhiGongXinChou" label="币种：财务附注：应付职工薪酬" selectOptions="_buildInISO4217" controlType="Combobox" cellType="Measure" appId="_GBC_88faccc480a843dca589c1af0d3fee37"/>
      <m:placeholder xlName="_PLD_481bea2acb8f49ac9b4cfc92cd4a426e" addr="T0R0C0S1_1"/>
      <m:placeholder xlName="_PLD_ff27c0f5bcb94d9b932762b91edf2ff1" addr="T0R0C1S1_1"/>
      <m:placeholder xlName="_PLD_7274636f27ae4e048ade60bfddaa8164" addr="T0R0C2S1_1"/>
      <m:placeholder xlName="_PLD_07ae572963de436aa2308d649a28c23b" addr="T0R0C3S1_1"/>
      <m:placeholder xlName="_PLD_27069329d7654e34bc45ca7dee532204" addr="T0R0C4S1_1"/>
      <m:placeholder xlName="_PLD_8272d2e82a6f45a197d65c1251ac79c7" addr="T0R1C0S1_1"/>
      <m:item xlName="_GBC_e330b62b4bd247cd917e2f0ee3ae0991" concept="clcid-pte:YingFuDuanQiXinChou" label="应付短期薪酬" periodRef="本期期初数" mulRef="_GBC_5c4cdcd7cd924c4ca8e87f806bc459b0" unitRef="_GBC_1b7f0fd0ca54470ca12f1037c092be9a" addr="T0R1C1S1_1" formatStyle="Comma" appId="_GBC_88faccc480a843dca589c1af0d3fee37"/>
      <m:item xlName="_GBC_861a3218b6024b5cbfcd8719a063d82c" concept="clcid-pte:YingFuDuanQiXinChouZengJiaE" label="应付短期薪酬增加额" mulRef="_GBC_5c4cdcd7cd924c4ca8e87f806bc459b0" unitRef="_GBC_1b7f0fd0ca54470ca12f1037c092be9a" addr="T0R1C2S1_1" formatStyle="Comma" appId="_GBC_88faccc480a843dca589c1af0d3fee37"/>
      <m:item xlName="_GBC_d9e2ce417b824d24b2b16dd48c833632" concept="clcid-pte:YingFuDuanQiXinChouJianShaoE" label="应付短期薪酬减少额" mulRef="_GBC_5c4cdcd7cd924c4ca8e87f806bc459b0" unitRef="_GBC_1b7f0fd0ca54470ca12f1037c092be9a" addr="T0R1C3S1_1" formatStyle="Comma" appId="_GBC_88faccc480a843dca589c1af0d3fee37"/>
      <m:item xlName="_GBC_da586680297045feb248fcd4c0478616" concept="clcid-pte:YingFuDuanQiXinChou" label="应付短期薪酬" mulRef="_GBC_5c4cdcd7cd924c4ca8e87f806bc459b0" unitRef="_GBC_1b7f0fd0ca54470ca12f1037c092be9a" addr="T0R1C4S1_1" formatStyle="Comma" appId="_GBC_88faccc480a843dca589c1af0d3fee37">
        <m:complexRule comparator="Eq" title="应付短期薪酬" test=" $_GBC_e330b62b4bd247cd917e2f0ee3ae0991 +  $_GBC_861a3218b6024b5cbfcd8719a063d82c -  $_GBC_d9e2ce417b824d24b2b16dd48c833632" id="C751c6ff8fe5c4db7b99bccf22c3cfed8"/>
      </m:item>
      <m:placeholder xlName="_PLD_e3c7b981b4f64fe3993a41cabeb3d888" addr="T0R2C0S1_1"/>
      <m:item xlName="_GBC_40a882ee6871408d8be50b2d6759bbf6" concept="clcid-pte:YingFuSheDingTiCunJiHua" label="应付设定提存计划" periodRef="本期期初数" mulRef="_GBC_5c4cdcd7cd924c4ca8e87f806bc459b0" unitRef="_GBC_1b7f0fd0ca54470ca12f1037c092be9a" addr="T0R2C1S1_1" formatStyle="Comma" appId="_GBC_88faccc480a843dca589c1af0d3fee37"/>
      <m:item xlName="_GBC_068ff01b53d8443dae8b28850ef6b430" concept="clcid-pte:YingFuSheDingTiCunJiHuaZengJiaE" label="应付设定提存计划增加额" mulRef="_GBC_5c4cdcd7cd924c4ca8e87f806bc459b0" unitRef="_GBC_1b7f0fd0ca54470ca12f1037c092be9a" addr="T0R2C2S1_1" formatStyle="Comma" appId="_GBC_88faccc480a843dca589c1af0d3fee37"/>
      <m:item xlName="_GBC_30fc80f0d84b4736b6b6fe0b5e930b1a" concept="clcid-pte:YingFuSheDingTiCunJiHuaJianShaoE" label="应付设定提存计划减少额" mulRef="_GBC_5c4cdcd7cd924c4ca8e87f806bc459b0" unitRef="_GBC_1b7f0fd0ca54470ca12f1037c092be9a" addr="T0R2C3S1_1" formatStyle="Comma" appId="_GBC_88faccc480a843dca589c1af0d3fee37"/>
      <m:item xlName="_GBC_d9860664b6b54929914d1dcaeb98166a" concept="clcid-pte:YingFuSheDingTiCunJiHua" label="应付设定提存计划" mulRef="_GBC_5c4cdcd7cd924c4ca8e87f806bc459b0" unitRef="_GBC_1b7f0fd0ca54470ca12f1037c092be9a" addr="T0R2C4S1_1" formatStyle="Comma" appId="_GBC_88faccc480a843dca589c1af0d3fee37">
        <m:complexRule comparator="Eq" title="应付设定提存计划" test=" $_GBC_40a882ee6871408d8be50b2d6759bbf6 +  $_GBC_068ff01b53d8443dae8b28850ef6b430 -  $_GBC_30fc80f0d84b4736b6b6fe0b5e930b1a" id="C6c82489c93084a7f96ae429d4e2878b6"/>
      </m:item>
      <m:placeholder xlName="_PLD_d615e4da2a4948e5994fcc5682898c56" addr="T0R3C0S1_1"/>
      <m:item xlName="_GBC_0b26633471de4a1c9b48136041099a2d" concept="clcid-pte:YingFuCiTuiFuLiZhangMianYuE" label="应付辞退福利账面余额" periodRef="本期期初数" mulRef="_GBC_5c4cdcd7cd924c4ca8e87f806bc459b0" unitRef="_GBC_1b7f0fd0ca54470ca12f1037c092be9a" addr="T0R3C1S1_1" formatStyle="Comma" appId="_GBC_88faccc480a843dca589c1af0d3fee37"/>
      <m:item xlName="_GBC_6e52320981cd413db959d1b9788a1871" concept="clcid-pte:YingFuCiTuiFuLiZengJiaE" label="应付辞退福利增加额" mulRef="_GBC_5c4cdcd7cd924c4ca8e87f806bc459b0" unitRef="_GBC_1b7f0fd0ca54470ca12f1037c092be9a" addr="T0R3C2S1_1" formatStyle="Comma" appId="_GBC_88faccc480a843dca589c1af0d3fee37"/>
      <m:item xlName="_GBC_c014046b0dec4d5a9ef6db8bcaf20263" concept="clcid-pte:YingFuCiTuiFuLiZhiFuE" label="应付辞退福利支付额" mulRef="_GBC_5c4cdcd7cd924c4ca8e87f806bc459b0" unitRef="_GBC_1b7f0fd0ca54470ca12f1037c092be9a" addr="T0R3C3S1_1" formatStyle="Comma" appId="_GBC_88faccc480a843dca589c1af0d3fee37"/>
      <m:item xlName="_GBC_3fc5f78530484e79b1ab4bcafff14a57" concept="clcid-pte:YingFuCiTuiFuLiZhangMianYuE" label="应付辞退福利账面余额" mulRef="_GBC_5c4cdcd7cd924c4ca8e87f806bc459b0" unitRef="_GBC_1b7f0fd0ca54470ca12f1037c092be9a" addr="T0R3C4S1_1" formatStyle="Comma" appId="_GBC_88faccc480a843dca589c1af0d3fee37">
        <m:complexRule comparator="Eq" title="应付辞退福利账面余额" test=" $_GBC_0b26633471de4a1c9b48136041099a2d +  $_GBC_6e52320981cd413db959d1b9788a1871 -  $_GBC_c014046b0dec4d5a9ef6db8bcaf20263" id="C55769ee9e64041af9caf660a0897e08c"/>
      </m:item>
      <m:placeholder xlName="_PLD_f85ecebc2b9f455eb675b5c3c3edb84c" addr="T0R4C0S1_1"/>
      <m:item xlName="_GBC_c67e2c3cc62d4954ab00bc79a7e030fe" concept="clcid-pte:YiNianNeiDaoQiDeQiTaFuLi" label="一年内到期的其他福利" periodRef="本期期初数" mulRef="_GBC_5c4cdcd7cd924c4ca8e87f806bc459b0" unitRef="_GBC_1b7f0fd0ca54470ca12f1037c092be9a" addr="T0R4C1S1_1" formatStyle="Comma" appId="_GBC_88faccc480a843dca589c1af0d3fee37"/>
      <m:item xlName="_GBC_fbdfeac6519041ff891ea7ae79da984d" concept="clcid-pte:YiNianNeiDaoQiDeQiTaFuLiZengJiaE" label="一年内到期的其他福利增加额" mulRef="_GBC_5c4cdcd7cd924c4ca8e87f806bc459b0" unitRef="_GBC_1b7f0fd0ca54470ca12f1037c092be9a" addr="T0R4C2S1_1" formatStyle="Comma" appId="_GBC_88faccc480a843dca589c1af0d3fee37"/>
      <m:item xlName="_GBC_d5f526e560d547399f71c9c429951d0e" concept="clcid-pte:YiNianNeiDaoQiDeQiTaFuLiJianShaoE" label="一年内到期的其他福利减少额" mulRef="_GBC_5c4cdcd7cd924c4ca8e87f806bc459b0" unitRef="_GBC_1b7f0fd0ca54470ca12f1037c092be9a" addr="T0R4C3S1_1" formatStyle="Comma" appId="_GBC_88faccc480a843dca589c1af0d3fee37"/>
      <m:item xlName="_GBC_ca57e48609f541b4949f0e6776cc3be4" concept="clcid-pte:YiNianNeiDaoQiDeQiTaFuLi" label="一年内到期的其他福利" mulRef="_GBC_5c4cdcd7cd924c4ca8e87f806bc459b0" unitRef="_GBC_1b7f0fd0ca54470ca12f1037c092be9a" addr="T0R4C4S1_1" formatStyle="Comma" appId="_GBC_88faccc480a843dca589c1af0d3fee37">
        <m:complexRule comparator="Eq" title="一年内到期的其他福利" test=" $_GBC_c67e2c3cc62d4954ab00bc79a7e030fe +  $_GBC_fbdfeac6519041ff891ea7ae79da984d -  $_GBC_d5f526e560d547399f71c9c429951d0e" id="Ce1dd138ecb3a445494767a7a27b0187c"/>
      </m:item>
      <m:tuple xlName="_GBC_6ee0b500781e4fffb019cdc104a0467e" concept="clcid-pte:YingFuZhiGongXinChouLieShiMingXi" default_row="2" addr="T0R5C">
        <m:item xlName="_GBC_e4ab099aa822414fbda2a7bf5422d215" concept="clcid-pte:YingFuZhiGongXinChouLieShiMingXiXiangMuMingCheng" label="应付职工薪酬列示明细-项目名称" addr="T0R5C0S1_1" appId="_GBC_88faccc480a843dca589c1af0d3fee37"/>
        <m:item xlName="_GBC_bbf189b1ad3d43fda2fe5e1132ecbb44" concept="clcid-pte:YingFuZhiGongXinChouLieShiMingXiYuE" label="应付职工薪酬列示明细-余额" periodRef="本期期初数" mulRef="_GBC_5c4cdcd7cd924c4ca8e87f806bc459b0" unitRef="_GBC_1b7f0fd0ca54470ca12f1037c092be9a" addr="T0R5C1S1_1" formatStyle="Comma" appId="_GBC_88faccc480a843dca589c1af0d3fee37"/>
        <m:item xlName="_GBC_271386a17bc24410ac72f06af6bc8d8a" concept="clcid-pte:YingFuZhiGongXinChouLieShiMingXiBenQiZengJiaE" label="应付职工薪酬列示明细-本期增加额" mulRef="_GBC_5c4cdcd7cd924c4ca8e87f806bc459b0" unitRef="_GBC_1b7f0fd0ca54470ca12f1037c092be9a" addr="T0R5C2S1_1" formatStyle="Comma" appId="_GBC_88faccc480a843dca589c1af0d3fee37"/>
        <m:item xlName="_GBC_750e3f96eaed43c8bc0a7d2777b0fd31" concept="clcid-pte:YingFuZhiGongXinChouLieShiMingXiBenQiJianShaoE" label="应付职工薪酬列示明细-本期减少额" mulRef="_GBC_5c4cdcd7cd924c4ca8e87f806bc459b0" unitRef="_GBC_1b7f0fd0ca54470ca12f1037c092be9a" addr="T0R5C3S1_1" formatStyle="Comma" appId="_GBC_88faccc480a843dca589c1af0d3fee37"/>
        <m:item xlName="_GBC_938f8fbe6748414bb19ba75778d48a52" concept="clcid-pte:YingFuZhiGongXinChouLieShiMingXiYuE" label="应付职工薪酬列示明细-余额" mulRef="_GBC_5c4cdcd7cd924c4ca8e87f806bc459b0" unitRef="_GBC_1b7f0fd0ca54470ca12f1037c092be9a" addr="T0R5C4S1_1" formatStyle="Comma" appId="_GBC_88faccc480a843dca589c1af0d3fee37">
          <m:complexRule comparator="Eq" title="应付职工薪酬列示明细-余额" test=" $_GBC_bbf189b1ad3d43fda2fe5e1132ecbb44 +  $_GBC_271386a17bc24410ac72f06af6bc8d8a -  $_GBC_750e3f96eaed43c8bc0a7d2777b0fd31" id="Cd9652d620046497382b507146a0a187b"/>
        </m:item>
      </m:tuple>
      <m:placeholder xlName="_PLD_5ce2e7ac546346f4a7bec33299c89503" addr="T0R7C0S1_1"/>
      <m:item xlName="_GBC_f6cba87c07f3429db6a05e9b4c470ea9" concept="clcid-pte:YingFuZhiGongXinChou" label="应付职工薪酬" periodRef="本期期初数" mulRef="_GBC_5c4cdcd7cd924c4ca8e87f806bc459b0" unitRef="_GBC_1b7f0fd0ca54470ca12f1037c092be9a" addr="T0R7C1S1_1" formatStyle="Comma" appId="_GBC_88faccc480a843dca589c1af0d3fee37">
        <m:complexRule comparator="Eq" title="应付职工薪酬@本期期初数" test=" $_GBC_e330b62b4bd247cd917e2f0ee3ae0991 +  $_GBC_40a882ee6871408d8be50b2d6759bbf6 +  $_GBC_0b26633471de4a1c9b48136041099a2d +  $_GBC_c67e2c3cc62d4954ab00bc79a7e030fe +  $_GBC_bbf189b1ad3d43fda2fe5e1132ecbb44" id="C746c463761144463a89c99258654cefc" serialType="1"/>
      </m:item>
      <m:item xlName="_GBC_16690e9a41be42d1bdd086d5a7d96c32" concept="clcid-pte:YingFuZhiGongXinChouZengJiaE" label="应付职工薪酬增加额" mulRef="_GBC_5c4cdcd7cd924c4ca8e87f806bc459b0" unitRef="_GBC_1b7f0fd0ca54470ca12f1037c092be9a" addr="T0R7C2S1_1" formatStyle="Comma" appId="_GBC_88faccc480a843dca589c1af0d3fee37">
        <m:complexRule comparator="Eq" title="应付职工薪酬增加额" test=" $_GBC_861a3218b6024b5cbfcd8719a063d82c +  $_GBC_068ff01b53d8443dae8b28850ef6b430 +  $_GBC_6e52320981cd413db959d1b9788a1871 +  $_GBC_fbdfeac6519041ff891ea7ae79da984d +  $_GBC_271386a17bc24410ac72f06af6bc8d8a" id="C34817ccba25947a3aa9b1594c7a57406" serialType="1"/>
      </m:item>
      <m:item xlName="_GBC_1204491c87e5433fbe78d8d95c7015c8" concept="clcid-pte:YingFuZhiGongXinChouJianShaoE" label="应付职工薪酬减少额" mulRef="_GBC_5c4cdcd7cd924c4ca8e87f806bc459b0" unitRef="_GBC_1b7f0fd0ca54470ca12f1037c092be9a" addr="T0R7C3S1_1" formatStyle="Comma" appId="_GBC_88faccc480a843dca589c1af0d3fee37">
        <m:complexRule comparator="Eq" title="应付职工薪酬减少额" test=" $_GBC_d9e2ce417b824d24b2b16dd48c833632 +  $_GBC_30fc80f0d84b4736b6b6fe0b5e930b1a +  $_GBC_c014046b0dec4d5a9ef6db8bcaf20263 +  $_GBC_d5f526e560d547399f71c9c429951d0e +  $_GBC_750e3f96eaed43c8bc0a7d2777b0fd31" id="C82677bd62a2742fa8eb6a53d52d76b42" serialType="1"/>
      </m:item>
      <m:item xlName="_GBC_7dd3254db2d941febf038603922e4457" concept="clcid-pte:YingFuZhiGongXinChou" label="应付职工薪酬" mulRef="_GBC_5c4cdcd7cd924c4ca8e87f806bc459b0" unitRef="_GBC_1b7f0fd0ca54470ca12f1037c092be9a" addr="T0R7C4S1_1" formatStyle="Comma" appId="_GBC_88faccc480a843dca589c1af0d3fee37">
        <m:complexRule comparator="Eq" title="应付职工薪酬横向合计" test=" $_GBC_f6cba87c07f3429db6a05e9b4c470ea9 +  $_GBC_16690e9a41be42d1bdd086d5a7d96c32 -  $_GBC_1204491c87e5433fbe78d8d95c7015c8" id="C65ab818e9d1046b78a59e31154df5712"/>
        <m:complexRule comparator="Eq" title="应付职工薪酬" test=" $_GBC_da586680297045feb248fcd4c0478616 +  $_GBC_d9860664b6b54929914d1dcaeb98166a +  $_GBC_3fc5f78530484e79b1ab4bcafff14a57 +  $_GBC_ca57e48609f541b4949f0e6776cc3be4 +  $_GBC_938f8fbe6748414bb19ba75778d48a52" id="C5a50dc08ad9b4653a40e994767597685" serialType="1"/>
      </m:item>
    </m:section>
    <m:section xlName="_GBC_8889528627cf49dfa80ba4d972a53405" title="短期薪酬列示" helpId="112001085">
      <m:item xlName="_GBC_fe9cc4ffdf524f4695448b31c76167ce" concept="clcid-ci-ar:ShiFouShiYongDuanQiXinChouLieShi" label="是否适用：短期薪酬列示" selectOptions="_buildInAppliance" controlType="CustomCheckbox" cRanges="{&quot;StartName&quot;:&quot;_GBC_fe9cc4ffdf524f4695448b31c76167ce&quot;,&quot;EndName&quot;:&quot;_GBC_8b37632e2acb41b6a57a06cf5da9f56a&quot;,&quot;CType&quot;:1,&quot;DisplayText&quot;:null}"/>
      <m:item xlName="_GBC_f5a2a934147944d68f11ca2bcce4d80f" concept="clcid-ci-ar:DanWeiCaiWuFuZhuDuanQiXinChou" label="单位：财务附注：短期薪酬" selectOptions="_buildInScales" controlType="Combobox" cellType="Scale" appId="_GBC_fe9cc4ffdf524f4695448b31c76167ce"/>
      <m:item xlName="_GBC_ded097d86a7d48b8a8b1d9689a73bd5d" concept="clcid-ci-ar:BiZhongCaiWuFuZhuDuanQiXinChou" label="币种：财务附注：短期薪酬" selectOptions="_buildInISO4217" controlType="Combobox" cellType="Measure" appId="_GBC_fe9cc4ffdf524f4695448b31c76167ce"/>
      <m:placeholder xlName="_PLD_7b5378bc64e24511ae79d643c80f9c98" addr="T0R0C0S1_1"/>
      <m:placeholder xlName="_PLD_0144fa4bad154236aa75e1dcc0a89e56" addr="T0R0C1S1_1"/>
      <m:placeholder xlName="_PLD_2d15a4a9e10b4386a7ed67bc2137e04a" addr="T0R0C2S1_1"/>
      <m:placeholder xlName="_PLD_12a2bbefe0874cde83fdb77f4a4158a1" addr="T0R0C3S1_1"/>
      <m:placeholder xlName="_PLD_190d6bcbbde148ffb48f230c6d9d7186" addr="T0R0C4S1_1"/>
      <m:placeholder xlName="_PLD_b24db0ed8285493c9b46db6af314618d" addr="T0R1C0S1_1"/>
      <m:item xlName="_GBC_b1143a92285c4eaea88052e80c078319" concept="clcid-pte:YingFuGongZiJiangJinJinTieHeBuTieZhangMianYuE" label="应付工资、奖金、津贴和补贴账面余额" periodRef="本期期初数" mulRef="_GBC_f5a2a934147944d68f11ca2bcce4d80f" unitRef="_GBC_ded097d86a7d48b8a8b1d9689a73bd5d" addr="T0R1C1S1_1" formatStyle="Comma" appId="_GBC_fe9cc4ffdf524f4695448b31c76167ce"/>
      <m:item xlName="_GBC_def6166209884878b4164c3adff90105" concept="clcid-pte:YingFuGongZiJiangJinJinTieHeBuTieZengJiaE" label="应付工资、奖金、津贴和补贴增加额" mulRef="_GBC_f5a2a934147944d68f11ca2bcce4d80f" unitRef="_GBC_ded097d86a7d48b8a8b1d9689a73bd5d" addr="T0R1C2S1_1" formatStyle="Comma" appId="_GBC_fe9cc4ffdf524f4695448b31c76167ce"/>
      <m:item xlName="_GBC_743efb8171e94f57b13cfa02c4e17d78" concept="clcid-pte:YingFuGongZiJiangJinJinTieHeBuTieJianShaoE" label="应付工资、奖金、津贴和补贴减少额" mulRef="_GBC_f5a2a934147944d68f11ca2bcce4d80f" unitRef="_GBC_ded097d86a7d48b8a8b1d9689a73bd5d" addr="T0R1C3S1_1" formatStyle="Comma" appId="_GBC_fe9cc4ffdf524f4695448b31c76167ce"/>
      <m:item xlName="_GBC_b2b7d59d6adf4036bbbb84d1899290e5" concept="clcid-pte:YingFuGongZiJiangJinJinTieHeBuTieZhangMianYuE" label="应付工资、奖金、津贴和补贴账面余额" mulRef="_GBC_f5a2a934147944d68f11ca2bcce4d80f" unitRef="_GBC_ded097d86a7d48b8a8b1d9689a73bd5d" addr="T0R1C4S1_1" formatStyle="Comma" appId="_GBC_fe9cc4ffdf524f4695448b31c76167ce">
        <m:complexRule comparator="Eq" title="应付工资、奖金、津贴和补贴账面余额" test=" $_GBC_b1143a92285c4eaea88052e80c078319 +  $_GBC_def6166209884878b4164c3adff90105 -  $_GBC_743efb8171e94f57b13cfa02c4e17d78" id="C994a1aa7cf5b47aea1dc87246747f9cb"/>
      </m:item>
      <m:placeholder xlName="_PLD_f557df41d0484816863da6fa2f5bb6e0" addr="T0R2C0S1_1"/>
      <m:item xlName="_GBC_56c61ae3fb924c8e865359046b3995ce" concept="clcid-pte:YingFuZhiGongFuLiFeiZhangMianYuE" label="应付职工福利费账面余额" periodRef="本期期初数" mulRef="_GBC_f5a2a934147944d68f11ca2bcce4d80f" unitRef="_GBC_ded097d86a7d48b8a8b1d9689a73bd5d" addr="T0R2C1S1_1" formatStyle="Comma" appId="_GBC_fe9cc4ffdf524f4695448b31c76167ce"/>
      <m:item xlName="_GBC_b1c60cca5c0d40cd8bc358cb35bb5d05" concept="clcid-pte:YingFuZhiGongFuLiFeiZengJiaE" label="应付职工福利费增加额" mulRef="_GBC_f5a2a934147944d68f11ca2bcce4d80f" unitRef="_GBC_ded097d86a7d48b8a8b1d9689a73bd5d" addr="T0R2C2S1_1" formatStyle="Comma" appId="_GBC_fe9cc4ffdf524f4695448b31c76167ce"/>
      <m:item xlName="_GBC_673fa1b514fd4f5e9f7629d93dd5bd85" concept="clcid-pte:YingFuZhiGongFuLiFeiJianShaoE" label="应付职工福利费减少额" mulRef="_GBC_f5a2a934147944d68f11ca2bcce4d80f" unitRef="_GBC_ded097d86a7d48b8a8b1d9689a73bd5d" addr="T0R2C3S1_1" formatStyle="Comma" appId="_GBC_fe9cc4ffdf524f4695448b31c76167ce"/>
      <m:item xlName="_GBC_5fe822f30b594e7abd529e072f150998" concept="clcid-pte:YingFuZhiGongFuLiFeiZhangMianYuE" label="应付职工福利费账面余额" mulRef="_GBC_f5a2a934147944d68f11ca2bcce4d80f" unitRef="_GBC_ded097d86a7d48b8a8b1d9689a73bd5d" addr="T0R2C4S1_1" formatStyle="Comma" appId="_GBC_fe9cc4ffdf524f4695448b31c76167ce">
        <m:complexRule comparator="Eq" title="应付职工福利费账面余额" test=" $_GBC_56c61ae3fb924c8e865359046b3995ce +  $_GBC_b1c60cca5c0d40cd8bc358cb35bb5d05 -  $_GBC_673fa1b514fd4f5e9f7629d93dd5bd85" id="C0172a3b2de654e4e90b8db9d61f5edf9"/>
      </m:item>
      <m:placeholder xlName="_PLD_dbac61dc87104ba08157258eaf632c94" addr="T0R3C0S1_1"/>
      <m:item xlName="_GBC_a0791472840248a183ac165e6a509317" concept="clcid-pte:YingFuSheHuiBaoXianFeiZhangMianYuE" label="应付社会保险费账面余额" periodRef="本期期初数" mulRef="_GBC_f5a2a934147944d68f11ca2bcce4d80f" unitRef="_GBC_ded097d86a7d48b8a8b1d9689a73bd5d" addr="T0R3C1S1_1" formatStyle="Comma" appId="_GBC_fe9cc4ffdf524f4695448b31c76167ce">
        <m:complexRule comparator="Eq" title="应付社会保险费账面余额@本期期初数" test=" $_GBC_d60e62102cc9475d87937da798a3b56e +  $_GBC_926ece33c9c54acb8aca21b8f9eda916 +  $_GBC_a9063177816e4200a390209fe877ce6d +  $_GBC_3410b63fabe743eb92f6632dc4e327ff" id="C171f88a9ba6a4b3595c38bb031ba9a28" serialType="1"/>
      </m:item>
      <m:item xlName="_GBC_f3dea0626fc24c55b9e261fb445c3645" concept="clcid-pte:YingFuSheHuiBaoXianFeiZengJiaE" label="应付社会保险费增加额" mulRef="_GBC_f5a2a934147944d68f11ca2bcce4d80f" unitRef="_GBC_ded097d86a7d48b8a8b1d9689a73bd5d" addr="T0R3C2S1_1" formatStyle="Comma" appId="_GBC_fe9cc4ffdf524f4695448b31c76167ce">
        <m:complexRule comparator="Eq" title="应付社会保险费增加额" test=" $_GBC_e117d238154f478fad9cd36abcc8534f +  $_GBC_fd7253c5229f4f709828b1c8a333457f +  $_GBC_f165777ae3e544bc9a171388de18e463 +  $_GBC_43d50b4de78d4845a4dbdc3cc4f16564" id="C9d573246e7f44c6bab87ee542813bf64" serialType="1"/>
      </m:item>
      <m:item xlName="_GBC_7f7caa8444b848ca8f2ba14fc258990c" concept="clcid-pte:YingFuSheHuiBaoXianFeiJianShaoE" label="应付社会保险费减少额" mulRef="_GBC_f5a2a934147944d68f11ca2bcce4d80f" unitRef="_GBC_ded097d86a7d48b8a8b1d9689a73bd5d" addr="T0R3C3S1_1" formatStyle="Comma" appId="_GBC_fe9cc4ffdf524f4695448b31c76167ce">
        <m:complexRule comparator="Eq" title="应付社会保险费减少额" test=" $_GBC_3c7d42d0eb164aabbefccbc324125c81 +  $_GBC_0fde263eaa0f4e629f105039d640c427 +  $_GBC_f2b27f5fb59445988c16e80670ae180e +  $_GBC_e2a88611e43d4d4bbf787783afa5693f" id="C6b42fcbff8984809b932942213e54573" serialType="1"/>
      </m:item>
      <m:item xlName="_GBC_b9b9399246c448b583536d4509d825a3" concept="clcid-pte:YingFuSheHuiBaoXianFeiZhangMianYuE" label="应付社会保险费账面余额" mulRef="_GBC_f5a2a934147944d68f11ca2bcce4d80f" unitRef="_GBC_ded097d86a7d48b8a8b1d9689a73bd5d" addr="T0R3C4S1_1" formatStyle="Comma" appId="_GBC_fe9cc4ffdf524f4695448b31c76167ce">
        <m:complexRule comparator="Eq" title="应付社会保险费账面余额纵向合计" test=" $_GBC_090dcd7e70b649da901325d29ff5be51 +  $_GBC_8d06786b8e254524a9bb764b15ab1bd0 +  $_GBC_2e9764d3238e4430b8d383b080bd3fff +  $_GBC_146fcb7a17624371ba7af45a6aef977d" id="C220a5e52323d405c8f4a8dad0fc34caa"/>
        <m:complexRule comparator="Eq" title="应付社会保险费账面余额" test=" $_GBC_a0791472840248a183ac165e6a509317 +  $_GBC_f3dea0626fc24c55b9e261fb445c3645 -  $_GBC_7f7caa8444b848ca8f2ba14fc258990c" id="C08e9ba1949904d2da6161c0393fffd57" serialType="1"/>
      </m:item>
      <m:placeholder xlName="_PLD_1ae6ec180f494dc4bdbe2a71caadcf9d" addr="T0R4C0S1_1"/>
      <m:item xlName="_GBC_d60e62102cc9475d87937da798a3b56e" concept="clcid-pte:YingFuYiLiaoBaoXianFeiZhangMianYuE" label="应付医疗保险费账面余额" periodRef="本期期初数" mulRef="_GBC_f5a2a934147944d68f11ca2bcce4d80f" unitRef="_GBC_ded097d86a7d48b8a8b1d9689a73bd5d" addr="T0R4C1S1_1" formatStyle="Comma" appId="_GBC_fe9cc4ffdf524f4695448b31c76167ce"/>
      <m:item xlName="_GBC_e117d238154f478fad9cd36abcc8534f" concept="clcid-pte:YingFuYiLiaoBaoXianFeiZengJiaE" label="应付医疗保险费增加额" mulRef="_GBC_f5a2a934147944d68f11ca2bcce4d80f" unitRef="_GBC_ded097d86a7d48b8a8b1d9689a73bd5d" addr="T0R4C2S1_1" formatStyle="Comma" appId="_GBC_fe9cc4ffdf524f4695448b31c76167ce"/>
      <m:item xlName="_GBC_3c7d42d0eb164aabbefccbc324125c81" concept="clcid-pte:YingFuYiLiaoBaoXianFeiJianShaoE" label="应付医疗保险费减少额" mulRef="_GBC_f5a2a934147944d68f11ca2bcce4d80f" unitRef="_GBC_ded097d86a7d48b8a8b1d9689a73bd5d" addr="T0R4C3S1_1" formatStyle="Comma" appId="_GBC_fe9cc4ffdf524f4695448b31c76167ce"/>
      <m:item xlName="_GBC_090dcd7e70b649da901325d29ff5be51" concept="clcid-pte:YingFuYiLiaoBaoXianFeiZhangMianYuE" label="应付医疗保险费账面余额" mulRef="_GBC_f5a2a934147944d68f11ca2bcce4d80f" unitRef="_GBC_ded097d86a7d48b8a8b1d9689a73bd5d" addr="T0R4C4S1_1" formatStyle="Comma" appId="_GBC_fe9cc4ffdf524f4695448b31c76167ce"/>
      <m:placeholder xlName="_PLD_a5396281963e4191a16040ecc2da4b44" addr="T0R5C0S1_1"/>
      <m:item xlName="_GBC_926ece33c9c54acb8aca21b8f9eda916" concept="clcid-pte:YingFuGongShangBaoXianFeiZhangMianYuE" label="应付工伤保险费账面余额" periodRef="本期期初数" mulRef="_GBC_f5a2a934147944d68f11ca2bcce4d80f" unitRef="_GBC_ded097d86a7d48b8a8b1d9689a73bd5d" addr="T0R5C1S1_1" formatStyle="Comma" appId="_GBC_fe9cc4ffdf524f4695448b31c76167ce"/>
      <m:item xlName="_GBC_fd7253c5229f4f709828b1c8a333457f" concept="clcid-pte:YingFuGongShangBaoXianFeiZengJiaE" label="应付工伤保险费增加额" mulRef="_GBC_f5a2a934147944d68f11ca2bcce4d80f" unitRef="_GBC_ded097d86a7d48b8a8b1d9689a73bd5d" addr="T0R5C2S1_1" formatStyle="Comma" appId="_GBC_fe9cc4ffdf524f4695448b31c76167ce"/>
      <m:item xlName="_GBC_0fde263eaa0f4e629f105039d640c427" concept="clcid-pte:YingFuGongShangBaoXianFeiJianShaoE" label="应付工伤保险费减少额" mulRef="_GBC_f5a2a934147944d68f11ca2bcce4d80f" unitRef="_GBC_ded097d86a7d48b8a8b1d9689a73bd5d" addr="T0R5C3S1_1" formatStyle="Comma" appId="_GBC_fe9cc4ffdf524f4695448b31c76167ce"/>
      <m:item xlName="_GBC_8d06786b8e254524a9bb764b15ab1bd0" concept="clcid-pte:YingFuGongShangBaoXianFeiZhangMianYuE" label="应付工伤保险费账面余额" mulRef="_GBC_f5a2a934147944d68f11ca2bcce4d80f" unitRef="_GBC_ded097d86a7d48b8a8b1d9689a73bd5d" addr="T0R5C4S1_1" formatStyle="Comma" appId="_GBC_fe9cc4ffdf524f4695448b31c76167ce">
        <m:complexRule comparator="Eq" title="应付工伤保险费账面余额" test=" $_GBC_926ece33c9c54acb8aca21b8f9eda916 +  $_GBC_fd7253c5229f4f709828b1c8a333457f -  $_GBC_0fde263eaa0f4e629f105039d640c427" id="Cf804127b0ca14c93925532382d39a7ce"/>
      </m:item>
      <m:placeholder xlName="_PLD_804a3b1683d741ebb83bd99deed156d6" addr="T0R6C0S1_1"/>
      <m:item xlName="_GBC_a9063177816e4200a390209fe877ce6d" concept="clcid-pte:YingFuShengYuBaoXianFeiZhangMianYuE" label="应付生育保险费账面余额" periodRef="本期期初数" mulRef="_GBC_f5a2a934147944d68f11ca2bcce4d80f" unitRef="_GBC_ded097d86a7d48b8a8b1d9689a73bd5d" addr="T0R6C1S1_1" formatStyle="Comma" appId="_GBC_fe9cc4ffdf524f4695448b31c76167ce"/>
      <m:item xlName="_GBC_f165777ae3e544bc9a171388de18e463" concept="clcid-pte:YingFuShengYuBaoXianFeiZengJiaE" label="应付生育保险费增加额" mulRef="_GBC_f5a2a934147944d68f11ca2bcce4d80f" unitRef="_GBC_ded097d86a7d48b8a8b1d9689a73bd5d" addr="T0R6C2S1_1" formatStyle="Comma" appId="_GBC_fe9cc4ffdf524f4695448b31c76167ce"/>
      <m:item xlName="_GBC_f2b27f5fb59445988c16e80670ae180e" concept="clcid-pte:YingFuShengYuBaoXianFeiJianShaoE" label="应付生育保险费减少额" mulRef="_GBC_f5a2a934147944d68f11ca2bcce4d80f" unitRef="_GBC_ded097d86a7d48b8a8b1d9689a73bd5d" addr="T0R6C3S1_1" formatStyle="Comma" appId="_GBC_fe9cc4ffdf524f4695448b31c76167ce"/>
      <m:item xlName="_GBC_2e9764d3238e4430b8d383b080bd3fff" concept="clcid-pte:YingFuShengYuBaoXianFeiZhangMianYuE" label="应付生育保险费账面余额" mulRef="_GBC_f5a2a934147944d68f11ca2bcce4d80f" unitRef="_GBC_ded097d86a7d48b8a8b1d9689a73bd5d" addr="T0R6C4S1_1" formatStyle="Comma" appId="_GBC_fe9cc4ffdf524f4695448b31c76167ce">
        <m:complexRule comparator="Eq" title="应付生育保险费账面余额" test=" $_GBC_a9063177816e4200a390209fe877ce6d +  $_GBC_f165777ae3e544bc9a171388de18e463 -  $_GBC_f2b27f5fb59445988c16e80670ae180e" id="C41f6340562c14945ad0d37ff0273336f"/>
      </m:item>
      <m:tuple xlName="_GBC_5265fa6813104866908e166950473449" concept="clcid-pte:YingFuZhiGongXinChouZhongDeSheHuiBaoXianFeiMingXi" default_row="2" addr="T0R7C">
        <m:item xlName="_GBC_ae2d48ce0b32494a94edff23aea5f19e" concept="clcid-pte:YingFuZhiGongXinChouZhongDeSheHuiBaoXianFeiMingXiXiangMu" label="应付职工薪酬中的社会保险费明细－项目" addr="T0R7C0S1_1" appId="_GBC_fe9cc4ffdf524f4695448b31c76167ce"/>
        <m:item xlName="_GBC_3410b63fabe743eb92f6632dc4e327ff" concept="clcid-pte:YingFuZhiGongXinChouZhongDeSheHuiBaoXianFeiMingXiZhangMianYuE" label="应付职工薪酬中的社会保险费明细－账面余额" periodRef="本期期初数" mulRef="_GBC_f5a2a934147944d68f11ca2bcce4d80f" unitRef="_GBC_ded097d86a7d48b8a8b1d9689a73bd5d" addr="T0R7C1S1_1" formatStyle="Comma" appId="_GBC_fe9cc4ffdf524f4695448b31c76167ce"/>
        <m:item xlName="_GBC_43d50b4de78d4845a4dbdc3cc4f16564" concept="clcid-pte:YingFuZhiGongXinChouZhongDeSheHuiBaoXianFeiMingXiZengJiaE" label="应付职工薪酬中的社会保险费明细－增加额" mulRef="_GBC_f5a2a934147944d68f11ca2bcce4d80f" unitRef="_GBC_ded097d86a7d48b8a8b1d9689a73bd5d" addr="T0R7C2S1_1" formatStyle="Comma" appId="_GBC_fe9cc4ffdf524f4695448b31c76167ce"/>
        <m:item xlName="_GBC_e2a88611e43d4d4bbf787783afa5693f" concept="clcid-pte:YingFuZhiGongXinChouZhongDeSheHuiBaoXianFeiMingXiZhiFuE" label="应付职工薪酬中的社会保险费明细－支付额" mulRef="_GBC_f5a2a934147944d68f11ca2bcce4d80f" unitRef="_GBC_ded097d86a7d48b8a8b1d9689a73bd5d" addr="T0R7C3S1_1" formatStyle="Comma" appId="_GBC_fe9cc4ffdf524f4695448b31c76167ce"/>
        <m:item xlName="_GBC_146fcb7a17624371ba7af45a6aef977d" concept="clcid-pte:YingFuZhiGongXinChouZhongDeSheHuiBaoXianFeiMingXiZhangMianYuE" label="应付职工薪酬中的社会保险费明细－账面余额" mulRef="_GBC_f5a2a934147944d68f11ca2bcce4d80f" unitRef="_GBC_ded097d86a7d48b8a8b1d9689a73bd5d" addr="T0R7C4S1_1" formatStyle="Comma" appId="_GBC_fe9cc4ffdf524f4695448b31c76167ce">
          <m:complexRule comparator="Eq" title="应付职工薪酬中的社会保险费明细－账面余额" test=" $_GBC_3410b63fabe743eb92f6632dc4e327ff +  $_GBC_43d50b4de78d4845a4dbdc3cc4f16564 -  $_GBC_e2a88611e43d4d4bbf787783afa5693f" id="Cb37f07ed2eaa45e4abd49cb72214d5e6"/>
        </m:item>
      </m:tuple>
      <m:placeholder xlName="_PLD_7cd8935ff2544a81820fdc14f7afe2b7" addr="T0R9C0S1_1"/>
      <m:item xlName="_GBC_6649c8659b91405c90b8e5045f3ac9fa" concept="clcid-pte:YingFuZhuFangGongJiJinZhangMianYuE" label="应付住房公积金账面余额" periodRef="本期期初数" mulRef="_GBC_f5a2a934147944d68f11ca2bcce4d80f" unitRef="_GBC_ded097d86a7d48b8a8b1d9689a73bd5d" addr="T0R9C1S1_1" formatStyle="Comma" appId="_GBC_fe9cc4ffdf524f4695448b31c76167ce"/>
      <m:item xlName="_GBC_c06da4b976484d9eb20df9b07ef193a6" concept="clcid-pte:YingFuZhuFangGongJiJinZengJiaE" label="应付住房公积金增加额" mulRef="_GBC_f5a2a934147944d68f11ca2bcce4d80f" unitRef="_GBC_ded097d86a7d48b8a8b1d9689a73bd5d" addr="T0R9C2S1_1" formatStyle="Comma" appId="_GBC_fe9cc4ffdf524f4695448b31c76167ce"/>
      <m:item xlName="_GBC_794153bbac4e49e99aca3db568d69000" concept="clcid-pte:YingFuZhuFangGongJiJinJianShaoE" label="应付住房公积金减少额" mulRef="_GBC_f5a2a934147944d68f11ca2bcce4d80f" unitRef="_GBC_ded097d86a7d48b8a8b1d9689a73bd5d" addr="T0R9C3S1_1" formatStyle="Comma" appId="_GBC_fe9cc4ffdf524f4695448b31c76167ce"/>
      <m:item xlName="_GBC_6383eb9d3e8a4e299b74ae27d79f0b2e" concept="clcid-pte:YingFuZhuFangGongJiJinZhangMianYuE" label="应付住房公积金账面余额" mulRef="_GBC_f5a2a934147944d68f11ca2bcce4d80f" unitRef="_GBC_ded097d86a7d48b8a8b1d9689a73bd5d" addr="T0R9C4S1_1" formatStyle="Comma" appId="_GBC_fe9cc4ffdf524f4695448b31c76167ce">
        <m:complexRule comparator="Eq" title="应付住房公积金账面余额" test=" $_GBC_6649c8659b91405c90b8e5045f3ac9fa +  $_GBC_c06da4b976484d9eb20df9b07ef193a6 -  $_GBC_794153bbac4e49e99aca3db568d69000" id="Ccdc37268694440f38fe80a3edf6e5ad6"/>
      </m:item>
      <m:placeholder xlName="_PLD_9a4d3040fb464e23a007dcea5588dfc0" addr="T0R10C0S1_1"/>
      <m:item xlName="_GBC_0b4c270e773e4ad6a5b5402082a99854" concept="clcid-pte:YingFuGongHuiJingFeiHeZhiGongJiaoYuJingFei" label="应付工会经费和职工教育经费" periodRef="本期期初数" mulRef="_GBC_f5a2a934147944d68f11ca2bcce4d80f" unitRef="_GBC_ded097d86a7d48b8a8b1d9689a73bd5d" addr="T0R10C1S1_1" formatStyle="Comma" appId="_GBC_fe9cc4ffdf524f4695448b31c76167ce"/>
      <m:item xlName="_GBC_40160aa03d164d03bcc05a9085c79703" concept="clcid-pte:YingFuGongHuiJingFeiHeZhiGongJiaoYuJingFeiZengJiaE" label="应付工会经费和职工教育经费增加额" mulRef="_GBC_f5a2a934147944d68f11ca2bcce4d80f" unitRef="_GBC_ded097d86a7d48b8a8b1d9689a73bd5d" addr="T0R10C2S1_1" formatStyle="Comma" appId="_GBC_fe9cc4ffdf524f4695448b31c76167ce"/>
      <m:item xlName="_GBC_3e1d6f34a0244c7ab1f716f7c3d00c5b" concept="clcid-pte:YingFuGongHuiJingFeiHeZhiGongJiaoYuJingFeiJianShaoE" label="应付工会经费和职工教育经费减少额" mulRef="_GBC_f5a2a934147944d68f11ca2bcce4d80f" unitRef="_GBC_ded097d86a7d48b8a8b1d9689a73bd5d" addr="T0R10C3S1_1" formatStyle="Comma" appId="_GBC_fe9cc4ffdf524f4695448b31c76167ce"/>
      <m:item xlName="_GBC_2060f240c23f443c8a406059b03de936" concept="clcid-pte:YingFuGongHuiJingFeiHeZhiGongJiaoYuJingFei" label="应付工会经费和职工教育经费" mulRef="_GBC_f5a2a934147944d68f11ca2bcce4d80f" unitRef="_GBC_ded097d86a7d48b8a8b1d9689a73bd5d" addr="T0R10C4S1_1" formatStyle="Comma" appId="_GBC_fe9cc4ffdf524f4695448b31c76167ce">
        <m:complexRule comparator="Eq" title="应付工会经费和职工教育经费" test=" $_GBC_0b4c270e773e4ad6a5b5402082a99854 +  $_GBC_40160aa03d164d03bcc05a9085c79703 -  $_GBC_3e1d6f34a0244c7ab1f716f7c3d00c5b" id="Ca2ab3a124ea141b8b7f06c28f25f13bd"/>
      </m:item>
      <m:placeholder xlName="_PLD_bc842d3a1ac64d43805380b3757b59de" addr="T0R11C0S1_1"/>
      <m:item xlName="_GBC_6ca4f421a8ad43e5a1ae357dd190c6b5" concept="clcid-pte:YingFuDuanQiDaiXinQueQin" label="应付短期带薪缺勤" periodRef="本期期初数" mulRef="_GBC_f5a2a934147944d68f11ca2bcce4d80f" unitRef="_GBC_ded097d86a7d48b8a8b1d9689a73bd5d" addr="T0R11C1S1_1" formatStyle="Comma" appId="_GBC_fe9cc4ffdf524f4695448b31c76167ce"/>
      <m:item xlName="_GBC_235e681431274e6ba4642ce92c7cb93a" concept="clcid-pte:YingFuDuanQiDaiXinQueQinBenQiZengJiaE" label="应付短期带薪缺勤本期增加额" mulRef="_GBC_f5a2a934147944d68f11ca2bcce4d80f" unitRef="_GBC_ded097d86a7d48b8a8b1d9689a73bd5d" addr="T0R11C2S1_1" formatStyle="Comma" appId="_GBC_fe9cc4ffdf524f4695448b31c76167ce"/>
      <m:item xlName="_GBC_b765afb94dfc4a8ebaa12841d8e6ad41" concept="clcid-pte:YingFuDuanQiDaiXinQueQinBenQiJianShaoE" label="应付短期带薪缺勤本期减少额" mulRef="_GBC_f5a2a934147944d68f11ca2bcce4d80f" unitRef="_GBC_ded097d86a7d48b8a8b1d9689a73bd5d" addr="T0R11C3S1_1" formatStyle="Comma" appId="_GBC_fe9cc4ffdf524f4695448b31c76167ce"/>
      <m:item xlName="_GBC_2c04b46eeef2458eb604ccacfb9fc922" concept="clcid-pte:YingFuDuanQiDaiXinQueQin" label="应付短期带薪缺勤" mulRef="_GBC_f5a2a934147944d68f11ca2bcce4d80f" unitRef="_GBC_ded097d86a7d48b8a8b1d9689a73bd5d" addr="T0R11C4S1_1" formatStyle="Comma" appId="_GBC_fe9cc4ffdf524f4695448b31c76167ce">
        <m:complexRule comparator="Eq" title="应付短期带薪缺勤" test=" $_GBC_6ca4f421a8ad43e5a1ae357dd190c6b5 +  $_GBC_235e681431274e6ba4642ce92c7cb93a -  $_GBC_b765afb94dfc4a8ebaa12841d8e6ad41" id="Ca63f28fc9e84410b8bef8b4b441658f9"/>
      </m:item>
      <m:placeholder xlName="_PLD_54541d44000e431dabc3b1ad9c535a6b" addr="T0R12C0S1_1"/>
      <m:item xlName="_GBC_df48f5fa375446e2b15ed6e64c57050b" concept="clcid-pte:YingFuDuanQiLiRunFenXiangJiHua" label="应付短期利润分享计划" periodRef="本期期初数" mulRef="_GBC_f5a2a934147944d68f11ca2bcce4d80f" unitRef="_GBC_ded097d86a7d48b8a8b1d9689a73bd5d" addr="T0R12C1S1_1" formatStyle="Comma" appId="_GBC_fe9cc4ffdf524f4695448b31c76167ce"/>
      <m:item xlName="_GBC_6568aa763cec419191baf1fd7139e20e" concept="clcid-pte:DuanQiLiRunFenXiangJiHuaBenQiZengJiaE" label="短期利润分享计划本期增加额" mulRef="_GBC_f5a2a934147944d68f11ca2bcce4d80f" unitRef="_GBC_ded097d86a7d48b8a8b1d9689a73bd5d" addr="T0R12C2S1_1" formatStyle="Comma" appId="_GBC_fe9cc4ffdf524f4695448b31c76167ce"/>
      <m:item xlName="_GBC_45368c2c630e48eea149aade9cced42d" concept="clcid-pte:DuanQiLiRunFenXiangJiHuaBenQiJianShaoE" label="短期利润分享计划本期减少额" mulRef="_GBC_f5a2a934147944d68f11ca2bcce4d80f" unitRef="_GBC_ded097d86a7d48b8a8b1d9689a73bd5d" addr="T0R12C3S1_1" formatStyle="Comma" appId="_GBC_fe9cc4ffdf524f4695448b31c76167ce"/>
      <m:item xlName="_GBC_6dde6944ea5243baa339d456235e587b" concept="clcid-pte:YingFuDuanQiLiRunFenXiangJiHua" label="应付短期利润分享计划" mulRef="_GBC_f5a2a934147944d68f11ca2bcce4d80f" unitRef="_GBC_ded097d86a7d48b8a8b1d9689a73bd5d" addr="T0R12C4S1_1" formatStyle="Comma" appId="_GBC_fe9cc4ffdf524f4695448b31c76167ce">
        <m:complexRule comparator="Eq" title="应付短期利润分享计划" test=" $_GBC_df48f5fa375446e2b15ed6e64c57050b +  $_GBC_6568aa763cec419191baf1fd7139e20e -  $_GBC_45368c2c630e48eea149aade9cced42d" id="C345065f098c5421bb03b80b874c7590a"/>
      </m:item>
      <m:tuple xlName="_GBC_68e70a06bfb74c23922ba3755003afbc" concept="clcid-pte:YingFuZhiGongXinChouZhongDeQiTaYingFuXinChouMingXi" default_row="2" addr="T0R13C">
        <m:item xlName="_GBC_1fc03c88441a45c6b2181a5cde7454d5" concept="clcid-pte:YingFuZhiGongXinChouZhongDeQiTaYingFuXinChouMingXiXiangMu" label="应付职工薪酬中的其他应付薪酬明细－项目" addr="T0R13C0S1_1" appId="_GBC_fe9cc4ffdf524f4695448b31c76167ce"/>
        <m:item xlName="_GBC_e21c75bc9e9b4b768ed1a07e6c3d0bc0" concept="clcid-pte:YingFuZhiGongXinChouZhongDeQiTaYingFuXinChouMingXiZhangMianYuE" label="应付职工薪酬中的其他应付薪酬明细－账面余额" periodRef="本期期初数" mulRef="_GBC_f5a2a934147944d68f11ca2bcce4d80f" unitRef="_GBC_ded097d86a7d48b8a8b1d9689a73bd5d" addr="T0R13C1S1_1" formatStyle="Comma" appId="_GBC_fe9cc4ffdf524f4695448b31c76167ce"/>
        <m:item xlName="_GBC_2c91311ac2434f26b76a157e6fbcb6af" concept="clcid-pte:YingFuZhiGongXinChouZhongDeQiTaYingFuXinChouMingXiZengJiaE" label="应付职工薪酬中的其他应付薪酬明细－增加额" mulRef="_GBC_f5a2a934147944d68f11ca2bcce4d80f" unitRef="_GBC_ded097d86a7d48b8a8b1d9689a73bd5d" addr="T0R13C2S1_1" formatStyle="Comma" appId="_GBC_fe9cc4ffdf524f4695448b31c76167ce"/>
        <m:item xlName="_GBC_14466bcf5c4b40fe82cbc3a8bc7997f0" concept="clcid-pte:YingFuZhiGongXinChouZhongDeQiTaYingFuXinChouMingXiZhiFuE" label="应付职工薪酬中的其他应付薪酬明细－支付额" mulRef="_GBC_f5a2a934147944d68f11ca2bcce4d80f" unitRef="_GBC_ded097d86a7d48b8a8b1d9689a73bd5d" addr="T0R13C3S1_1" formatStyle="Comma" appId="_GBC_fe9cc4ffdf524f4695448b31c76167ce"/>
        <m:item xlName="_GBC_db4da47959e1498fa7dc8f9f3688b2d3" concept="clcid-pte:YingFuZhiGongXinChouZhongDeQiTaYingFuXinChouMingXiZhangMianYuE" label="应付职工薪酬中的其他应付薪酬明细－账面余额" mulRef="_GBC_f5a2a934147944d68f11ca2bcce4d80f" unitRef="_GBC_ded097d86a7d48b8a8b1d9689a73bd5d" addr="T0R13C4S1_1" formatStyle="Comma" appId="_GBC_fe9cc4ffdf524f4695448b31c76167ce">
          <m:complexRule comparator="Eq" title="应付职工薪酬中的其他应付薪酬明细－账面余额" test=" $_GBC_e21c75bc9e9b4b768ed1a07e6c3d0bc0 +  $_GBC_2c91311ac2434f26b76a157e6fbcb6af -  $_GBC_14466bcf5c4b40fe82cbc3a8bc7997f0" id="Cb6e4627bf64c475f98fc06ac9cba5e4a"/>
        </m:item>
      </m:tuple>
      <m:placeholder xlName="_PLD_9abbed23473c4b4bb51ec9b7d667e31c" addr="T0R15C0S1_1"/>
      <m:item xlName="_GBC_414b577f55864b1ab2433e1337265869" concept="clcid-pte:YingFuDuanQiXinChou" label="应付短期薪酬" periodRef="本期期初数" mulRef="_GBC_f5a2a934147944d68f11ca2bcce4d80f" unitRef="_GBC_ded097d86a7d48b8a8b1d9689a73bd5d" addr="T0R15C1S1_1" formatStyle="Comma" appId="_GBC_fe9cc4ffdf524f4695448b31c76167ce">
        <m:complexRule comparator="Eq" title="应付短期薪酬@本期期初数" test=" $_GBC_b1143a92285c4eaea88052e80c078319 +  $_GBC_56c61ae3fb924c8e865359046b3995ce +  $_GBC_a0791472840248a183ac165e6a509317 +  $_GBC_6649c8659b91405c90b8e5045f3ac9fa +  $_GBC_0b4c270e773e4ad6a5b5402082a99854 +  $_GBC_6ca4f421a8ad43e5a1ae357dd190c6b5 +  $_GBC_e21c75bc9e9b4b768ed1a07e6c3d0bc0 +  $_GBC_df48f5fa375446e2b15ed6e64c57050b" id="C9da903eac2104f9f8b8e3a1342cdc46c" serialType="1"/>
      </m:item>
      <m:item xlName="_GBC_1c84508e02e34fbcbc13c637cbb96743" concept="clcid-pte:YingFuDuanQiXinChouZengJiaE" label="应付短期薪酬增加额" mulRef="_GBC_f5a2a934147944d68f11ca2bcce4d80f" unitRef="_GBC_ded097d86a7d48b8a8b1d9689a73bd5d" addr="T0R15C2S1_1" formatStyle="Comma" appId="_GBC_fe9cc4ffdf524f4695448b31c76167ce">
        <m:complexRule comparator="Eq" title="应付短期薪酬增加额" test=" $_GBC_def6166209884878b4164c3adff90105 +  $_GBC_b1c60cca5c0d40cd8bc358cb35bb5d05 +  $_GBC_f3dea0626fc24c55b9e261fb445c3645 +  $_GBC_c06da4b976484d9eb20df9b07ef193a6 +  $_GBC_40160aa03d164d03bcc05a9085c79703 +  $_GBC_235e681431274e6ba4642ce92c7cb93a +  $_GBC_6568aa763cec419191baf1fd7139e20e +  $_GBC_2c91311ac2434f26b76a157e6fbcb6af" id="C1774c18e130a485c9490c9333bc8c5fa" serialType="1"/>
      </m:item>
      <m:item xlName="_GBC_949ab015733e4f26b3cd33ff62ad2e25" concept="clcid-pte:YingFuDuanQiXinChouJianShaoE" label="应付短期薪酬减少额" mulRef="_GBC_f5a2a934147944d68f11ca2bcce4d80f" unitRef="_GBC_ded097d86a7d48b8a8b1d9689a73bd5d" addr="T0R15C3S1_1" formatStyle="Comma" appId="_GBC_fe9cc4ffdf524f4695448b31c76167ce">
        <m:complexRule comparator="Eq" title="应付短期薪酬减少额" test=" $_GBC_743efb8171e94f57b13cfa02c4e17d78 +  $_GBC_673fa1b514fd4f5e9f7629d93dd5bd85 +  $_GBC_7f7caa8444b848ca8f2ba14fc258990c +  $_GBC_794153bbac4e49e99aca3db568d69000 +  $_GBC_3e1d6f34a0244c7ab1f716f7c3d00c5b +  $_GBC_b765afb94dfc4a8ebaa12841d8e6ad41 +  $_GBC_45368c2c630e48eea149aade9cced42d +  $_GBC_14466bcf5c4b40fe82cbc3a8bc7997f0" id="C74f63af305ed49d786d995ad21e9cdf0" serialType="1"/>
      </m:item>
      <m:item xlName="_GBC_8b37632e2acb41b6a57a06cf5da9f56a" concept="clcid-pte:YingFuDuanQiXinChou" label="应付短期薪酬" mulRef="_GBC_f5a2a934147944d68f11ca2bcce4d80f" unitRef="_GBC_ded097d86a7d48b8a8b1d9689a73bd5d" addr="T0R15C4S1_1" formatStyle="Comma" appId="_GBC_fe9cc4ffdf524f4695448b31c76167ce">
        <m:complexRule comparator="Eq" title="应付短期薪酬横向合计" test=" $_GBC_414b577f55864b1ab2433e1337265869 +  $_GBC_1c84508e02e34fbcbc13c637cbb96743 -  $_GBC_949ab015733e4f26b3cd33ff62ad2e25" id="C7e399d46b2a0438ba5570caae47db5bb"/>
        <m:complexRule comparator="Eq" title="应付短期薪酬" test=" $_GBC_b2b7d59d6adf4036bbbb84d1899290e5 +  $_GBC_5fe822f30b594e7abd529e072f150998 +  $_GBC_b9b9399246c448b583536d4509d825a3 +  $_GBC_6383eb9d3e8a4e299b74ae27d79f0b2e +  $_GBC_2060f240c23f443c8a406059b03de936 +  $_GBC_2c04b46eeef2458eb604ccacfb9fc922 +  $_GBC_6dde6944ea5243baa339d456235e587b +  $_GBC_db4da47959e1498fa7dc8f9f3688b2d3" id="Cf48f78d1463c45a3887d53c85ca8d84a" serialType="1"/>
      </m:item>
    </m:section>
    <m:section xlName="_GBC_b98ebc9fce454755bd30d763bee0283a" title="设定提存计划列示" helpId="112001085">
      <m:item xlName="_GBC_107b7eec6d75473e8809e93d01e00021" concept="clcid-ci-ar:ShiFouShiYongSheDingTiCunJiHuaLieShi" label="是否适用：设定提存计划列示" selectOptions="_buildInAppliance" controlType="CustomCheckbox" cRanges="{&quot;StartName&quot;:&quot;_GBC_107b7eec6d75473e8809e93d01e00021&quot;,&quot;EndName&quot;:&quot;_GBC_b6ece78b3868415581d1e9e7686c0df3&quot;,&quot;CType&quot;:1,&quot;DisplayText&quot;:null}"/>
      <m:item xlName="_GBC_744d8f829e6040c78616ef1951ef7e59" concept="clcid-ci-ar:DanWeiCaiWuFuZhuSheDingTiCunJiHuaLieShi" label="单位：财务附注：设定提存计划列示" selectOptions="_buildInScales" controlType="Combobox" cellType="Scale" appId="_GBC_107b7eec6d75473e8809e93d01e00021"/>
      <m:item xlName="_GBC_433e4a4ae9d648a2973673cbec959f23" concept="clcid-ci-ar:BiZhongCaiWuFuZhuSheDingTiCunJiHuaLieShi" label="币种：财务附注：设定提存计划列示" selectOptions="_buildInISO4217" controlType="Combobox" cellType="Measure" appId="_GBC_107b7eec6d75473e8809e93d01e00021"/>
      <m:placeholder xlName="_PLD_f8a9011ca6bd4cc895a50279da6547e9" addr="T0R0C0S1_1"/>
      <m:placeholder xlName="_PLD_db9ecea0e08e4c1bb5fe2474183a8480" addr="T0R0C1S1_1"/>
      <m:placeholder xlName="_PLD_11b6b53867b44c92b19ef791cad0c8c4" addr="T0R0C2S1_1"/>
      <m:placeholder xlName="_PLD_c2cbd009dd4248ceb9040da5fc326084" addr="T0R0C3S1_1"/>
      <m:placeholder xlName="_PLD_0ded00fbf217420ebfe8ace86c12086d" addr="T0R0C4S1_1"/>
      <m:placeholder xlName="_PLD_b93c5842361145079010296748b2acbc" addr="T0R1C0S1_1"/>
      <m:item xlName="_GBC_c500333479bc468a8b3afcc4788799dc" concept="clcid-pte:YingFuJiBenYangLaoBaoXianFeiZhangMianYuE" label="应付基本养老保险费账面余额" periodRef="本期期初数" mulRef="_GBC_744d8f829e6040c78616ef1951ef7e59" unitRef="_GBC_433e4a4ae9d648a2973673cbec959f23" addr="T0R1C1S1_1" formatStyle="Comma" appId="_GBC_107b7eec6d75473e8809e93d01e00021"/>
      <m:item xlName="_GBC_c7ee78d16ce64fd382c8c0eaba6f1ae0" concept="clcid-pte:YingFuJiBenYangLaoBaoXianFeiZengJiaE" label="应付基本养老保险费增加额" mulRef="_GBC_744d8f829e6040c78616ef1951ef7e59" unitRef="_GBC_433e4a4ae9d648a2973673cbec959f23" addr="T0R1C2S1_1" formatStyle="Comma" appId="_GBC_107b7eec6d75473e8809e93d01e00021"/>
      <m:item xlName="_GBC_af4dbe91d9b6443d84e75afe26abb21d" concept="clcid-pte:YingFuJiBenYangLaoBaoXianFeiJianShaoE" label="应付基本养老保险费减少额" mulRef="_GBC_744d8f829e6040c78616ef1951ef7e59" unitRef="_GBC_433e4a4ae9d648a2973673cbec959f23" addr="T0R1C3S1_1" formatStyle="Comma" appId="_GBC_107b7eec6d75473e8809e93d01e00021"/>
      <m:item xlName="_GBC_619e586630bd419ebf636866fcbd1c6f" concept="clcid-pte:YingFuJiBenYangLaoBaoXianFeiZhangMianYuE" label="应付基本养老保险费账面余额" mulRef="_GBC_744d8f829e6040c78616ef1951ef7e59" unitRef="_GBC_433e4a4ae9d648a2973673cbec959f23" addr="T0R1C4S1_1" formatStyle="Comma" appId="_GBC_107b7eec6d75473e8809e93d01e00021">
        <m:complexRule comparator="Eq" title="应付基本养老保险费账面余额" test=" $_GBC_c500333479bc468a8b3afcc4788799dc +  $_GBC_c7ee78d16ce64fd382c8c0eaba6f1ae0 -  $_GBC_af4dbe91d9b6443d84e75afe26abb21d" id="C646df944204b4452af14efe8879a4cf8"/>
      </m:item>
      <m:placeholder xlName="_PLD_909a72476f78427892237821bb7d583f" addr="T0R2C0S1_1"/>
      <m:item xlName="_GBC_f3df7c8308474d5e80b2009c0f34cf8c" concept="clcid-pte:YingFuShiYeBaoXianFeiZhangMianYuE" label="应付失业保险费账面余额" periodRef="本期期初数" mulRef="_GBC_744d8f829e6040c78616ef1951ef7e59" unitRef="_GBC_433e4a4ae9d648a2973673cbec959f23" addr="T0R2C1S1_1" formatStyle="Comma" appId="_GBC_107b7eec6d75473e8809e93d01e00021"/>
      <m:item xlName="_GBC_33bb20e928de4dfdb0d61e7c3a41b39a" concept="clcid-pte:YingFuShiYeBaoXianFeiZengJiaE" label="应付失业保险费增加额" mulRef="_GBC_744d8f829e6040c78616ef1951ef7e59" unitRef="_GBC_433e4a4ae9d648a2973673cbec959f23" addr="T0R2C2S1_1" formatStyle="Comma" appId="_GBC_107b7eec6d75473e8809e93d01e00021"/>
      <m:item xlName="_GBC_afdeee5ddf0c4e4ebb31400e6f220528" concept="clcid-pte:YingFuShiYeBaoXianFeiJianShaoE" label="应付失业保险费减少额" mulRef="_GBC_744d8f829e6040c78616ef1951ef7e59" unitRef="_GBC_433e4a4ae9d648a2973673cbec959f23" addr="T0R2C3S1_1" formatStyle="Comma" appId="_GBC_107b7eec6d75473e8809e93d01e00021"/>
      <m:item xlName="_GBC_7d5eedf934be4fc68ec2f9f3bda5c3a0" concept="clcid-pte:YingFuShiYeBaoXianFeiZhangMianYuE" label="应付失业保险费账面余额" mulRef="_GBC_744d8f829e6040c78616ef1951ef7e59" unitRef="_GBC_433e4a4ae9d648a2973673cbec959f23" addr="T0R2C4S1_1" formatStyle="Comma" appId="_GBC_107b7eec6d75473e8809e93d01e00021">
        <m:complexRule comparator="Eq" title="应付失业保险费账面余额" test=" $_GBC_f3df7c8308474d5e80b2009c0f34cf8c +  $_GBC_33bb20e928de4dfdb0d61e7c3a41b39a -  $_GBC_afdeee5ddf0c4e4ebb31400e6f220528" id="C9b51022366384111aaa02a4369e8408d"/>
      </m:item>
      <m:placeholder xlName="_PLD_f2bb08099d4d4b2a96054f71c4e23a24" addr="T0R3C0S1_1"/>
      <m:item xlName="_GBC_bfcf2a4d4ea145fb810dcbbf2cf22375" concept="clcid-pte:YingFuNianJinJiaoFeiZhangMianYuE" label="应付年金缴费账面余额" periodRef="本期期初数" mulRef="_GBC_744d8f829e6040c78616ef1951ef7e59" unitRef="_GBC_433e4a4ae9d648a2973673cbec959f23" addr="T0R3C1S1_1" formatStyle="Comma" appId="_GBC_107b7eec6d75473e8809e93d01e00021"/>
      <m:item xlName="_GBC_f3c23a3b3fe14b94aa2d46c4fe43015c" concept="clcid-pte:YingFuNianJinJiaoFeiZengJiaE" label="应付年金缴费增加额" mulRef="_GBC_744d8f829e6040c78616ef1951ef7e59" unitRef="_GBC_433e4a4ae9d648a2973673cbec959f23" addr="T0R3C2S1_1" formatStyle="Comma" appId="_GBC_107b7eec6d75473e8809e93d01e00021"/>
      <m:item xlName="_GBC_256ce68f43624121a54900d764b16766" concept="clcid-pte:YingFuNianJinJiaoFeiJianShaoE" label="应付年金缴费减少额" mulRef="_GBC_744d8f829e6040c78616ef1951ef7e59" unitRef="_GBC_433e4a4ae9d648a2973673cbec959f23" addr="T0R3C3S1_1" formatStyle="Comma" appId="_GBC_107b7eec6d75473e8809e93d01e00021"/>
      <m:item xlName="_GBC_4017311004a044468233a0d9835e79bd" concept="clcid-pte:YingFuNianJinJiaoFeiZhangMianYuE" label="应付年金缴费账面余额" mulRef="_GBC_744d8f829e6040c78616ef1951ef7e59" unitRef="_GBC_433e4a4ae9d648a2973673cbec959f23" addr="T0R3C4S1_1" formatStyle="Comma" appId="_GBC_107b7eec6d75473e8809e93d01e00021">
        <m:complexRule comparator="Eq" title="应付年金缴费账面余额" test=" $_GBC_bfcf2a4d4ea145fb810dcbbf2cf22375 +  $_GBC_f3c23a3b3fe14b94aa2d46c4fe43015c -  $_GBC_256ce68f43624121a54900d764b16766" id="Ccf877f2ef1a94e7caf245e20574ed849"/>
      </m:item>
      <m:tuple xlName="_GBC_6c9a77db5f0f415aad1d5ad8dadbf91a" concept="clcid-pte:SheDingTiCunJiHuaLieShiMingXi" default_row="2" addr="T0R4C">
        <m:item xlName="_GBC_1353f74b2bde4a3a85629115b4e5979b" concept="clcid-pte:SheDingTiCunJiHuaLieShiMingXiXiangMuMingCheng" label="设定提存计划列示明细-项目名称" addr="T0R4C0S1_1" appId="_GBC_107b7eec6d75473e8809e93d01e00021"/>
        <m:item xlName="_GBC_2015dfd3e46648eb9f0a6308997c1893" concept="clcid-pte:SheDingTiCunJiHuaLieShiMingXiYuE" label="设定提存计划列示明细-余额" periodRef="本期期初数" mulRef="_GBC_744d8f829e6040c78616ef1951ef7e59" unitRef="_GBC_433e4a4ae9d648a2973673cbec959f23" addr="T0R4C1S1_1" formatStyle="Comma" appId="_GBC_107b7eec6d75473e8809e93d01e00021"/>
        <m:item xlName="_GBC_cb9711cbeb104ee4b967792ff31d4c97" concept="clcid-pte:SheDingTiCunJiHuaLieShiMingXiBenQiZengJia" label="设定提存计划列示明细-本期增加" mulRef="_GBC_744d8f829e6040c78616ef1951ef7e59" unitRef="_GBC_433e4a4ae9d648a2973673cbec959f23" addr="T0R4C2S1_1" formatStyle="Comma" appId="_GBC_107b7eec6d75473e8809e93d01e00021"/>
        <m:item xlName="_GBC_d0f988f9e7504852bd1e798c2e45732c" concept="clcid-pte:SheDingTiCunJiHuaLieShiMingXiBenQiJianShao" label="设定提存计划列示明细-本期减少" mulRef="_GBC_744d8f829e6040c78616ef1951ef7e59" unitRef="_GBC_433e4a4ae9d648a2973673cbec959f23" addr="T0R4C3S1_1" formatStyle="Comma" appId="_GBC_107b7eec6d75473e8809e93d01e00021"/>
        <m:item xlName="_GBC_50cd3bf967814d7ab711919ab2d53e31" concept="clcid-pte:SheDingTiCunJiHuaLieShiMingXiYuE" label="设定提存计划列示明细-余额" mulRef="_GBC_744d8f829e6040c78616ef1951ef7e59" unitRef="_GBC_433e4a4ae9d648a2973673cbec959f23" addr="T0R4C4S1_1" formatStyle="Comma" appId="_GBC_107b7eec6d75473e8809e93d01e00021">
          <m:complexRule comparator="Eq" title="设定提存计划列示明细-余额" test=" $_GBC_2015dfd3e46648eb9f0a6308997c1893 +  $_GBC_cb9711cbeb104ee4b967792ff31d4c97 -  $_GBC_d0f988f9e7504852bd1e798c2e45732c" id="C3c0a5a98db6e40e9a867a7e63f8fb0d4"/>
        </m:item>
      </m:tuple>
      <m:placeholder xlName="_PLD_258ec0cea28b41718457ba73ff6955af" addr="T0R6C0S1_1"/>
      <m:item xlName="_GBC_4ca45ab025f44404a9d45c63f983db8f" concept="clcid-pte:YingFuSheDingTiCunJiHua" label="应付设定提存计划" periodRef="本期期初数" mulRef="_GBC_744d8f829e6040c78616ef1951ef7e59" unitRef="_GBC_433e4a4ae9d648a2973673cbec959f23" addr="T0R6C1S1_1" formatStyle="Comma" appId="_GBC_107b7eec6d75473e8809e93d01e00021">
        <m:complexRule comparator="Eq" title="应付设定提存计划@本期期初数" test=" $_GBC_c500333479bc468a8b3afcc4788799dc +  $_GBC_f3df7c8308474d5e80b2009c0f34cf8c +  $_GBC_bfcf2a4d4ea145fb810dcbbf2cf22375 +  $_GBC_2015dfd3e46648eb9f0a6308997c1893" id="C8aaf952bca1046799d1114c3b4f430f6" serialType="1"/>
      </m:item>
      <m:item xlName="_GBC_f24d6a5d984d4b69b632eb4320f5e2d6" concept="clcid-pte:YingFuSheDingTiCunJiHuaZengJiaE" label="应付设定提存计划增加额" mulRef="_GBC_744d8f829e6040c78616ef1951ef7e59" unitRef="_GBC_433e4a4ae9d648a2973673cbec959f23" addr="T0R6C2S1_1" formatStyle="Comma" appId="_GBC_107b7eec6d75473e8809e93d01e00021">
        <m:complexRule comparator="Eq" title="应付设定提存计划增加额" test=" $_GBC_c7ee78d16ce64fd382c8c0eaba6f1ae0 +  $_GBC_33bb20e928de4dfdb0d61e7c3a41b39a +  $_GBC_f3c23a3b3fe14b94aa2d46c4fe43015c +  $_GBC_cb9711cbeb104ee4b967792ff31d4c97" id="C2d03bb3038b842a9a3b05495b4ca1d7b" serialType="1"/>
      </m:item>
      <m:item xlName="_GBC_9ff4ee7bbd53466d96cc6c6922f2e19f" concept="clcid-pte:YingFuSheDingTiCunJiHuaJianShaoE" label="应付设定提存计划减少额" mulRef="_GBC_744d8f829e6040c78616ef1951ef7e59" unitRef="_GBC_433e4a4ae9d648a2973673cbec959f23" addr="T0R6C3S1_1" formatStyle="Comma" appId="_GBC_107b7eec6d75473e8809e93d01e00021">
        <m:complexRule comparator="Eq" title="应付设定提存计划减少额" test=" $_GBC_af4dbe91d9b6443d84e75afe26abb21d +  $_GBC_afdeee5ddf0c4e4ebb31400e6f220528 +  $_GBC_256ce68f43624121a54900d764b16766 +  $_GBC_d0f988f9e7504852bd1e798c2e45732c" id="C813889f2ed904e5c81413c314ea8bdd4" serialType="1"/>
      </m:item>
      <m:item xlName="_GBC_b6ece78b3868415581d1e9e7686c0df3" concept="clcid-pte:YingFuSheDingTiCunJiHua" label="应付设定提存计划" mulRef="_GBC_744d8f829e6040c78616ef1951ef7e59" unitRef="_GBC_433e4a4ae9d648a2973673cbec959f23" addr="T0R6C4S1_1" formatStyle="Comma" appId="_GBC_107b7eec6d75473e8809e93d01e00021">
        <m:complexRule comparator="Eq" title="应付设定提存计划横向合计" test=" $_GBC_4ca45ab025f44404a9d45c63f983db8f +  $_GBC_f24d6a5d984d4b69b632eb4320f5e2d6 -  $_GBC_9ff4ee7bbd53466d96cc6c6922f2e19f" id="C041cc7162dec43dd87fabdd5049d3d44"/>
        <m:complexRule comparator="Eq" title="应付设定提存计划" test=" $_GBC_619e586630bd419ebf636866fcbd1c6f +  $_GBC_7d5eedf934be4fc68ec2f9f3bda5c3a0 +  $_GBC_4017311004a044468233a0d9835e79bd +  $_GBC_50cd3bf967814d7ab711919ab2d53e31" id="C031245a12f0d46e38d7328c316f42b23" serialType="1"/>
      </m:item>
    </m:section>
    <m:section xlName="_GBC_9173eff793e04226ba65f69088a27313" title="应付职工薪酬说明" helpId="112001085">
      <m:item xlName="_GBC_f41ecc08d4994ba99707111806caa376" concept="clcid-ci-ar:ShiFouShiYongYingFuZhiGongXinChouDeShuoMing" label="是否适用：应付职工薪酬的说明" selectOptions="_buildInAppliance" controlType="CustomCheckbox" cRanges="{&quot;StartName&quot;:&quot;_GBC_f41ecc08d4994ba99707111806caa376&quot;,&quot;EndName&quot;:&quot;_GBC_566b260e713e4778a8ad979f259c9c78&quot;,&quot;CType&quot;:1,&quot;DisplayText&quot;:null}"/>
      <m:item xlName="_GBC_566b260e713e4778a8ad979f259c9c78" concept="clcid-pte:YingFuZhiGongXinChouDeShuoMing" label="应付职工薪酬的说明" appId="_GBC_f41ecc08d4994ba99707111806caa376"/>
    </m:section>
    <m:section xlName="_GBC_50fc9ef51868432e98c401f69097dfc6" title="应交税费" convertSummaryRule="NoConvert" helpId="112001086">
      <m:item xlName="_GBC_e7e2664720b9408384c5d3cd6d97c132" concept="clcid-ci-ar:ShiFouShiYongYingJiaoShuiFei" label="是否适用：应交税费" selectOptions="_buildInAppliance" controlType="CustomCheckbox" cRanges="{&quot;StartName&quot;:&quot;_GBC_e7e2664720b9408384c5d3cd6d97c132&quot;,&quot;EndName&quot;:&quot;_GBC_fb59f8f9de2d41c3aaf0dc3b0970dd91&quot;,&quot;CType&quot;:1,&quot;DisplayText&quot;:null}"/>
      <m:item xlName="_GBC_a6162c9f021640929018406be611b834" concept="clcid-ci-ar:DanWeiCaiWuFuZhuYingJiaoShuiFei" label="单位：财务附注：应交税费" selectOptions="_buildInScales" controlType="Combobox" cellType="Scale" appId="_GBC_e7e2664720b9408384c5d3cd6d97c132"/>
      <m:item xlName="_GBC_d787fa1c70604797889c69c4c364e711" concept="clcid-ci-ar:BiZhongCaiWuFuZhuYingJiaoShuiFei" label="币种：财务附注：应交税费" selectOptions="_buildInISO4217" controlType="Combobox" cellType="Measure" appId="_GBC_e7e2664720b9408384c5d3cd6d97c132"/>
      <m:placeholder xlName="_PLD_ab0019be2d10489d885d15626d85168f" addr="T0R0C0S1_1"/>
      <m:placeholder xlName="_PLD_4d086e8f4e004ee3aa116a5d10a7ecbd" addr="T0R0C1S1_1"/>
      <m:placeholder xlName="_PLD_8b866f731e474c6ebfb67cd903ab95c8" addr="T0R0C2S1_1"/>
      <m:placeholder xlName="_PLD_25992e1feab349b78cb44e1cc32b16bd" addr="T0R1C0S1_1"/>
      <m:item xlName="_GBC_9791315efde34cb8ab2be460016403a0" concept="clcid-pte:YingJiaoShuiJinZhongDeZengZhiShui" label="应交税金中的增值税" mulRef="_GBC_a6162c9f021640929018406be611b834" unitRef="_GBC_d787fa1c70604797889c69c4c364e711" addr="T0R1C1S1_1" formatStyle="Comma" appId="_GBC_e7e2664720b9408384c5d3cd6d97c132"/>
      <m:item xlName="_GBC_dfacf334f07c4a968402ec78a3b659aa" concept="clcid-pte:YingJiaoShuiJinZhongDeZengZhiShui" label="应交税金中的增值税" periodRef="本期期初数" mulRef="_GBC_a6162c9f021640929018406be611b834" unitRef="_GBC_d787fa1c70604797889c69c4c364e711" addr="T0R1C2S1_1" formatStyle="Comma" appId="_GBC_e7e2664720b9408384c5d3cd6d97c132"/>
      <m:placeholder xlName="_PLD_4d9ef2a484e444dba2c245f9e9e27dcd" addr="T0R2C0S1_1"/>
      <m:item xlName="_GBC_100014df17764a6d96054c2edb1bea3c" concept="clcid-pte:YingJiaoShuiJinZhongDeXiaoFeiShui" label="应交税金中的消费税" mulRef="_GBC_a6162c9f021640929018406be611b834" unitRef="_GBC_d787fa1c70604797889c69c4c364e711" addr="T0R2C1S1_1" formatStyle="Comma" appId="_GBC_e7e2664720b9408384c5d3cd6d97c132"/>
      <m:item xlName="_GBC_afb3b052bab8491db3c646750fb7ef1b" concept="clcid-pte:YingJiaoShuiJinZhongDeXiaoFeiShui" label="应交税金中的消费税" periodRef="本期期初数" mulRef="_GBC_a6162c9f021640929018406be611b834" unitRef="_GBC_d787fa1c70604797889c69c4c364e711" addr="T0R2C2S1_1" formatStyle="Comma" appId="_GBC_e7e2664720b9408384c5d3cd6d97c132"/>
      <m:placeholder xlName="_PLD_799e4fa122204cd899b6ef7435fc12c3" addr="T0R3C0S1_1"/>
      <m:item xlName="_GBC_75a3d06681d2458e97d79fb5d740246c" concept="clcid-pte:YingJiaoShuiJinZhongDeYingYeShui" label="应交税金中的营业税" mulRef="_GBC_a6162c9f021640929018406be611b834" unitRef="_GBC_d787fa1c70604797889c69c4c364e711" addr="T0R3C1S1_1" formatStyle="Comma" appId="_GBC_e7e2664720b9408384c5d3cd6d97c132"/>
      <m:item xlName="_GBC_99610c7bb6ad4316aa620df83e6353b3" concept="clcid-pte:YingJiaoShuiJinZhongDeYingYeShui" label="应交税金中的营业税" periodRef="本期期初数" mulRef="_GBC_a6162c9f021640929018406be611b834" unitRef="_GBC_d787fa1c70604797889c69c4c364e711" addr="T0R3C2S1_1" formatStyle="Comma" appId="_GBC_e7e2664720b9408384c5d3cd6d97c132"/>
      <m:placeholder xlName="_PLD_6069f9b576594e2eaf73c76c1080318c" addr="T0R4C0S1_1"/>
      <m:item xlName="_GBC_9cdcf101b84840ccb31e20f0802254e4" concept="clcid-pte:YingJiaoShuiJinZhongDeSuoDeShui" label="应交税金中的所得税" mulRef="_GBC_a6162c9f021640929018406be611b834" unitRef="_GBC_d787fa1c70604797889c69c4c364e711" addr="T0R4C1S1_1" formatStyle="Comma" appId="_GBC_e7e2664720b9408384c5d3cd6d97c132"/>
      <m:item xlName="_GBC_77931a7112384acbb9eb873d450c8fe8" concept="clcid-pte:YingJiaoShuiJinZhongDeSuoDeShui" label="应交税金中的所得税" periodRef="本期期初数" mulRef="_GBC_a6162c9f021640929018406be611b834" unitRef="_GBC_d787fa1c70604797889c69c4c364e711" addr="T0R4C2S1_1" formatStyle="Comma" appId="_GBC_e7e2664720b9408384c5d3cd6d97c132"/>
      <m:placeholder xlName="_PLD_7034b2e69b80422baeee1441e6830886" addr="T0R5C0S1_1"/>
      <m:item xlName="_GBC_31f3632bdeaa4c8e84638419aa942a90" concept="clcid-pte:YingJiaoShuiJinZhongDeGeRenSuoDeShui" label="应交税金中的个人所得税" mulRef="_GBC_a6162c9f021640929018406be611b834" unitRef="_GBC_d787fa1c70604797889c69c4c364e711" addr="T0R5C1S1_1" formatStyle="Comma" appId="_GBC_e7e2664720b9408384c5d3cd6d97c132"/>
      <m:item xlName="_GBC_6023fbb8ef134cb49427803c19ad5d53" concept="clcid-pte:YingJiaoShuiJinZhongDeGeRenSuoDeShui" label="应交税金中的个人所得税" periodRef="本期期初数" mulRef="_GBC_a6162c9f021640929018406be611b834" unitRef="_GBC_d787fa1c70604797889c69c4c364e711" addr="T0R5C2S1_1" formatStyle="Comma" appId="_GBC_e7e2664720b9408384c5d3cd6d97c132"/>
      <m:placeholder xlName="_PLD_76c030e64d064b19abe68ec0d74ffc7b" addr="T0R6C0S1_1"/>
      <m:item xlName="_GBC_24766beecbd94a09b66c519d4ce2eb4b" concept="clcid-pte:YingJiaoShuiJinZhongDeChengJianShui" label="应交税金中的城建税" mulRef="_GBC_a6162c9f021640929018406be611b834" unitRef="_GBC_d787fa1c70604797889c69c4c364e711" addr="T0R6C1S1_1" formatStyle="Comma" appId="_GBC_e7e2664720b9408384c5d3cd6d97c132"/>
      <m:item xlName="_GBC_522c4bb7bd76425489b513d37bee42e5" concept="clcid-pte:YingJiaoShuiJinZhongDeChengJianShui" label="应交税金中的城建税" periodRef="本期期初数" mulRef="_GBC_a6162c9f021640929018406be611b834" unitRef="_GBC_d787fa1c70604797889c69c4c364e711" addr="T0R6C2S1_1" formatStyle="Comma" appId="_GBC_e7e2664720b9408384c5d3cd6d97c132"/>
      <m:tuple xlName="_GBC_0480c028aa8b4cf2885f8f1d9b64c155" concept="clcid-pte:YingJiaoShuiJinMingXi" default_row="2" addr="T0R7C">
        <m:item xlName="_GBC_9cf1df576f6a4ca6864c93966bcbe89a" concept="clcid-pte:YingJiaoShuiJinZhongLei" label="应交税金种类" addr="T0R7C0S1_1" appId="_GBC_e7e2664720b9408384c5d3cd6d97c132"/>
        <m:item xlName="_GBC_60a396ea7f8a444db2807e7ff869b8f7" concept="clcid-pte:YingJiaoShuiJinJinE" label="应交税金金额" mulRef="_GBC_a6162c9f021640929018406be611b834" unitRef="_GBC_d787fa1c70604797889c69c4c364e711" addr="T0R7C1S1_1" formatStyle="Comma" appId="_GBC_e7e2664720b9408384c5d3cd6d97c132"/>
        <m:item xlName="_GBC_bfbdd4e901504b1b962e744df3b97d11" concept="clcid-pte:YingJiaoShuiJinJinE" label="应交税金金额" periodRef="本期期初数" mulRef="_GBC_a6162c9f021640929018406be611b834" unitRef="_GBC_d787fa1c70604797889c69c4c364e711" addr="T0R7C2S1_1" formatStyle="Comma" appId="_GBC_e7e2664720b9408384c5d3cd6d97c132"/>
      </m:tuple>
      <m:placeholder xlName="_PLD_ad567219cf614829af1a2928b1fa259b" addr="T0R9C0S1_1"/>
      <m:item xlName="_GBC_b4b20da52fcb4ab1b64aaec0bea772ef" concept="clcid-pte:YingJiaoShuiJin" label="应交税金" mulRef="_GBC_a6162c9f021640929018406be611b834" unitRef="_GBC_d787fa1c70604797889c69c4c364e711" addr="T0R9C1S1_1" formatStyle="Comma" appId="_GBC_e7e2664720b9408384c5d3cd6d97c132">
        <m:complexRule comparator="Eq" title="应交税金" test=" $_GBC_9791315efde34cb8ab2be460016403a0 +  $_GBC_100014df17764a6d96054c2edb1bea3c +  $_GBC_75a3d06681d2458e97d79fb5d740246c +  $_GBC_9cdcf101b84840ccb31e20f0802254e4 +  $_GBC_31f3632bdeaa4c8e84638419aa942a90 +  $_GBC_24766beecbd94a09b66c519d4ce2eb4b +  $_GBC_60a396ea7f8a444db2807e7ff869b8f7" id="C0d65097942374b49bc7196f7e09bc52a" serialType="1"/>
      </m:item>
      <m:item xlName="_GBC_bf00b425eb424f4d975ef5db71f96d94" concept="clcid-pte:YingJiaoShuiJin" label="应交税金" periodRef="本期期初数" mulRef="_GBC_a6162c9f021640929018406be611b834" unitRef="_GBC_d787fa1c70604797889c69c4c364e711" addr="T0R9C2S1_1" formatStyle="Comma" appId="_GBC_e7e2664720b9408384c5d3cd6d97c132">
        <m:complexRule comparator="Eq" title="应交税金@本期期初数" test=" $_GBC_dfacf334f07c4a968402ec78a3b659aa +  $_GBC_afb3b052bab8491db3c646750fb7ef1b +  $_GBC_99610c7bb6ad4316aa620df83e6353b3 +  $_GBC_77931a7112384acbb9eb873d450c8fe8 +  $_GBC_6023fbb8ef134cb49427803c19ad5d53 +  $_GBC_522c4bb7bd76425489b513d37bee42e5 +  $_GBC_bfbdd4e901504b1b962e744df3b97d11" id="Ce160605c35a0442a98ef9cd065e74542" serialType="1"/>
      </m:item>
      <m:item xlName="_GBC_fb59f8f9de2d41c3aaf0dc3b0970dd91" concept="clcid-pte:YingJiaoShuiJinDeShuoMing" label="应交税金的说明" appId="_GBC_e7e2664720b9408384c5d3cd6d97c132"/>
    </m:section>
    <m:section xlName="_SEC_d4a31631d4c141d39fd547efdfcde484" title="项目列示">
      <m:item xlName="_GBC_8136b8c1140049519ac46075abed3220" concept="clcid-ci-ar:ShiFouShiYongQiTaYingFuKuanFenLeiLieShi" label="是否适用：其他应付款分类列示" selectOptions="_buildInAppliance" controlType="CustomCheckbox" cRanges="[{&quot;StartName&quot;:&quot;_GBC_8136b8c1140049519ac46075abed3220&quot;,&quot;EndName&quot;:&quot;_GBC_8fa93aac828f4ed1ab8ba954856081f1&quot;,&quot;CType&quot;:1}]"/>
      <m:item xlName="_GBC_f725af1ac18e4ea28ff0b171fd9076b1" concept="clcid-ci-ar:DanWeiQiTaYingFuKuanFenLeiLieShi" label="单位：其他应付款分类列示" selectOptions="_buildInScales" controlType="Combobox" cellType="Scale" appId="_GBC_8136b8c1140049519ac46075abed3220"/>
      <m:item xlName="_GBC_9e26b8e601ae4c3b9b2f73c2946bed3c" concept="clcid-ci-ar:BiZhongQiTaYingFuKuanFenLeiLieShi" label="币种：其他应付款分类列示" selectOptions="_buildInISO4217" controlType="Combobox" cellType="Measure" appId="_GBC_8136b8c1140049519ac46075abed3220"/>
      <m:placeholder xlName="_PLD_d301d6d0c6f244d3b16ca7922fb1eae1" addr="T0R0C0S1_1"/>
      <m:placeholder xlName="_PLD_14a27299981b44e8a51ddedd6261c7cb" addr="T0R0C1S1_1"/>
      <m:placeholder xlName="_PLD_3ada436da03540938e5f25706fc839ab" addr="T0R0C2S1_1"/>
      <m:placeholder xlName="_PLD_d66a9d37a92f4ab8ae47e30c7542c8f2" addr="T0R1C0S1_1"/>
      <m:item xlName="_GBC_ca0687801a00464bac42a5e91e0db78d" concept="clcid-pte:YingFuLiXi" label="应付利息" mulRef="_GBC_f725af1ac18e4ea28ff0b171fd9076b1" unitRef="_GBC_9e26b8e601ae4c3b9b2f73c2946bed3c" addr="T0R1C1S1_1" formatStyle="Comma" appId="_GBC_8136b8c1140049519ac46075abed3220"/>
      <m:item xlName="_GBC_92318bd5c8c74fc3927393dd102d812c" concept="clcid-pte:YingFuLiXi" label="应付利息" periodRef="本期期初数" mulRef="_GBC_f725af1ac18e4ea28ff0b171fd9076b1" unitRef="_GBC_9e26b8e601ae4c3b9b2f73c2946bed3c" addr="T0R1C2S1_1" formatStyle="Comma" appId="_GBC_8136b8c1140049519ac46075abed3220"/>
      <m:placeholder xlName="_PLD_f7c963c0ee7f4ae9a9ee01376e1c10a3" addr="T0R2C0S1_1"/>
      <m:item xlName="_GBC_015162b412d946439c1c61331425d8e8" concept="clcid-pte:YingFuGuLi" label="应付股利" mulRef="_GBC_f725af1ac18e4ea28ff0b171fd9076b1" unitRef="_GBC_9e26b8e601ae4c3b9b2f73c2946bed3c" addr="T0R2C1S1_1" formatStyle="Comma" appId="_GBC_8136b8c1140049519ac46075abed3220"/>
      <m:item xlName="_GBC_38a026d49887456881f03806a93756a6" concept="clcid-pte:YingFuGuLi" label="应付股利" periodRef="本期期初数" mulRef="_GBC_f725af1ac18e4ea28ff0b171fd9076b1" unitRef="_GBC_9e26b8e601ae4c3b9b2f73c2946bed3c" addr="T0R2C2S1_1" formatStyle="Comma" appId="_GBC_8136b8c1140049519ac46075abed3220"/>
      <m:placeholder xlName="_PLD_bef380fd911e4f2a9e651243d4593795" addr="T0R3C0S1_1" helpText="此处的其他应付款是指扣除应付利息、应付股利后的其他应付款"/>
      <m:item xlName="_GBC_975c6b055be24c908da01f9d505df20d" concept="clcid-pte:QiTaYingFuKuanQiTa" label="其他应付款-其他" mulRef="_GBC_f725af1ac18e4ea28ff0b171fd9076b1" unitRef="_GBC_9e26b8e601ae4c3b9b2f73c2946bed3c" addr="T0R3C1S1_1" formatStyle="Comma" helpText="此处的其他应付款是指扣除应付利息、应付股利后的其他应付款" appId="_GBC_8136b8c1140049519ac46075abed3220"/>
      <m:item xlName="_GBC_16301a8091fd42c0b78ff3ff27b1d7e7" concept="clcid-pte:QiTaYingFuKuanQiTa" label="其他应付款-其他" periodRef="本期期初数" mulRef="_GBC_f725af1ac18e4ea28ff0b171fd9076b1" unitRef="_GBC_9e26b8e601ae4c3b9b2f73c2946bed3c" addr="T0R3C2S1_1" formatStyle="Comma" helpText="此处的其他应付款是指扣除应付利息、应付股利后的其他应付款" appId="_GBC_8136b8c1140049519ac46075abed3220"/>
      <m:placeholder xlName="_PLD_90dc33535197444a8eb7c8a4e477d9b7" addr="T0R4C0S1_1"/>
      <m:item xlName="_GBC_ee80cfcd543d4a5bb14412dcf4626d6b" concept="clcid-pte:QiTaYingFuKuan" label="其他应付款" mulRef="_GBC_f725af1ac18e4ea28ff0b171fd9076b1" unitRef="_GBC_9e26b8e601ae4c3b9b2f73c2946bed3c" addr="T0R4C1S1_1" formatStyle="Comma" appId="_GBC_8136b8c1140049519ac46075abed3220">
        <m:complexRule comparator="Eq" title="其他应付款" test=" $_GBC_ca0687801a00464bac42a5e91e0db78d +  $_GBC_015162b412d946439c1c61331425d8e8 +  $_GBC_975c6b055be24c908da01f9d505df20d" id="C1057743ff0ad49deacaf91244b60b2e5"/>
      </m:item>
      <m:item xlName="_GBC_a0e511b73953499fa2315306219540f2" concept="clcid-pte:QiTaYingFuKuan" label="其他应付款" periodRef="本期期初数" mulRef="_GBC_f725af1ac18e4ea28ff0b171fd9076b1" unitRef="_GBC_9e26b8e601ae4c3b9b2f73c2946bed3c" addr="T0R4C2S1_1" formatStyle="Comma" appId="_GBC_8136b8c1140049519ac46075abed3220">
        <m:complexRule comparator="Eq" title="其他应付款@本期期初数" test=" $_GBC_92318bd5c8c74fc3927393dd102d812c +  $_GBC_38a026d49887456881f03806a93756a6 +  $_GBC_16301a8091fd42c0b78ff3ff27b1d7e7" id="C5a3e7cb0f8cd4e8d91f47b1e97c3dad0"/>
      </m:item>
      <m:item xlName="_GBC_8fa93aac828f4ed1ab8ba954856081f1" concept="clcid-pte:QiTaYingFuKuanFenLeiLieShiQiTaShuoMing" label="其他应付款分类列示其他说明" appId="_GBC_8136b8c1140049519ac46075abed3220"/>
    </m:section>
    <m:section xlName="_SEC_60feb8ef6f7c4655a263f50d12c222d8" title="应付利息">
      <m:item xlName="_GBC_9058c1c6b0a94f6a8c531ec2dbd35706" concept="clcid-ci-ar:ShiFouShiYongYingFuLiXi" label="是否适用：应付利息" selectOptions="_buildInAppliance" controlType="CustomCheckbox" cRanges="[{&quot;StartName&quot;:&quot;_GBC_9058c1c6b0a94f6a8c531ec2dbd35706&quot;,&quot;EndName&quot;:&quot;_GBC_aa5492947246429e88fb7fa3d4136aff&quot;,&quot;CType&quot;:1}]"/>
      <m:item xlName="_GBC_e9907c009de64097a89479217dbdc838" concept="clcid-ci-ar:DanWeiCaiWuFuZhuYingFuLiXi" label="单位：财务附注：应付利息" selectOptions="_buildInScales" controlType="Combobox" cellType="Scale" appId="_GBC_9058c1c6b0a94f6a8c531ec2dbd35706"/>
      <m:item xlName="_GBC_228df0cb4ea54d139c46410a0dcee74f" concept="clcid-ci-ar:BiZhongCaiWuFuZhuYingFuLiXi" label="币种：财务附注：应付利息" selectOptions="_buildInISO4217" controlType="Combobox" cellType="Measure" appId="_GBC_9058c1c6b0a94f6a8c531ec2dbd35706"/>
      <m:placeholder xlName="_PLD_fd292d41e49846139b4ab78a4f19d473" addr="T0R0C0S1_1"/>
      <m:placeholder xlName="_PLD_6c7e9f13ec1e438b94631b9105180a42" addr="T0R0C1S1_1"/>
      <m:placeholder xlName="_PLD_d562962f373f4d1588c525f99393fe5a" addr="T0R0C2S1_1"/>
      <m:placeholder xlName="_PLD_dda670c1dc154bbb9f8be682744dace8" addr="T0R1C0S1_1"/>
      <m:item xlName="_GBC_915be9d90f0446bc9406424b8d61a344" concept="clcid-pte:YingFuLiXiZhongFenQiFuXiDaoQiHuanBenDeChangQiJieKuanLiXi" label="应付利息中分期付息到期还本的长期借款利息" mulRef="_GBC_e9907c009de64097a89479217dbdc838" unitRef="_GBC_228df0cb4ea54d139c46410a0dcee74f" addr="T0R1C1S1_1" formatStyle="Comma" appId="_GBC_9058c1c6b0a94f6a8c531ec2dbd35706"/>
      <m:item xlName="_GBC_bbd3a34db54748af8fbcbfe7eb6159b6" concept="clcid-pte:YingFuLiXiZhongFenQiFuXiDaoQiHuanBenDeChangQiJieKuanLiXi" label="应付利息中分期付息到期还本的长期借款利息" periodRef="本期期初数" mulRef="_GBC_e9907c009de64097a89479217dbdc838" unitRef="_GBC_228df0cb4ea54d139c46410a0dcee74f" addr="T0R1C2S1_1" formatStyle="Comma" appId="_GBC_9058c1c6b0a94f6a8c531ec2dbd35706"/>
      <m:placeholder xlName="_PLD_37dd060698fc4ca9b76df713b6c556fa" addr="T0R2C0S1_1"/>
      <m:item xlName="_GBC_f7a343b28eb34b39a838d5a72ff5909e" concept="clcid-pte:YingFuLiXiZhongQiYeZhaiQuanLiXi" label="应付利息中企业债券利息" mulRef="_GBC_e9907c009de64097a89479217dbdc838" unitRef="_GBC_228df0cb4ea54d139c46410a0dcee74f" addr="T0R2C1S1_1" formatStyle="Comma" appId="_GBC_9058c1c6b0a94f6a8c531ec2dbd35706"/>
      <m:item xlName="_GBC_8fbed1d484aa4a029142782cc0064d7a" concept="clcid-pte:YingFuLiXiZhongQiYeZhaiQuanLiXi" label="应付利息中企业债券利息" periodRef="本期期初数" mulRef="_GBC_e9907c009de64097a89479217dbdc838" unitRef="_GBC_228df0cb4ea54d139c46410a0dcee74f" addr="T0R2C2S1_1" formatStyle="Comma" appId="_GBC_9058c1c6b0a94f6a8c531ec2dbd35706"/>
      <m:placeholder xlName="_PLD_e8ff5729d39a4356b15b6c7288c3bc7f" addr="T0R3C0S1_1"/>
      <m:item xlName="_GBC_cce643dd00d144d8a5253af2aaa025da" concept="clcid-pte:YingFuLiXiZhongDuanQiJieKuanYingFuLiXi" label="应付利息中短期借款应付利息" mulRef="_GBC_e9907c009de64097a89479217dbdc838" unitRef="_GBC_228df0cb4ea54d139c46410a0dcee74f" addr="T0R3C1S1_1" formatStyle="Comma" appId="_GBC_9058c1c6b0a94f6a8c531ec2dbd35706"/>
      <m:item xlName="_GBC_7734cd332ba54927972ba9aa2d0d70d0" concept="clcid-pte:YingFuLiXiZhongDuanQiJieKuanYingFuLiXi" label="应付利息中短期借款应付利息" periodRef="本期期初数" mulRef="_GBC_e9907c009de64097a89479217dbdc838" unitRef="_GBC_228df0cb4ea54d139c46410a0dcee74f" addr="T0R3C2S1_1" formatStyle="Comma" appId="_GBC_9058c1c6b0a94f6a8c531ec2dbd35706"/>
      <m:placeholder xlName="_PLD_9dd61f0de2b942bc85752d5a181df6f3" addr="T0R4C0S1_1"/>
      <m:item xlName="_GBC_956c2b6914764bf1bbc89a24fc9a3e4c" concept="clcid-pte:HuaFenWeiJinRongFuZhaiDeYouXianGuHuoYongXuZhaiLiXi" label="划分为金融负债的优先股或永续债利息" mulRef="_GBC_e9907c009de64097a89479217dbdc838" unitRef="_GBC_228df0cb4ea54d139c46410a0dcee74f" addr="T0R4C1S1_1" formatStyle="Comma" appId="_GBC_9058c1c6b0a94f6a8c531ec2dbd35706">
        <m:complexRule comparator="Eq" title="划分为金融负债的优先股或永续债利息" test=" $_GBC_babde697abb84911ad950c2fcc09a8db" id="C5da6802af860445894628b356b43ac14"/>
      </m:item>
      <m:item xlName="_GBC_c68468eb795044f99e00681dd29cd85f" concept="clcid-pte:HuaFenWeiJinRongFuZhaiDeYouXianGuHuoYongXuZhaiLiXi" label="划分为金融负债的优先股或永续债利息" periodRef="本期期初数" mulRef="_GBC_e9907c009de64097a89479217dbdc838" unitRef="_GBC_228df0cb4ea54d139c46410a0dcee74f" addr="T0R4C2S1_1" formatStyle="Comma" appId="_GBC_9058c1c6b0a94f6a8c531ec2dbd35706">
        <m:complexRule comparator="Eq" title="划分为金融负债的优先股或永续债利息@本期期初数" test=" $_GBC_682040c09b634505b922a3883c61d7bc" id="Cbffd4d9d9ae1436593dcec06eab83b66"/>
      </m:item>
      <m:tuple xlName="_TUP_c5f250bf33f14963b545b83aa42c9ea3" concept="clcid-pte:HuaFenWeiJinRongFuZhaiDeYouXianGuHuoYongXuZhaiLiXiMingXi" default_row="2" addr="T0R5C">
        <m:item xlName="_GBC_e123f46f6aec48a39877aecf12243c5c" concept="clcid-pte:HuaFenWeiJinRongFuZhaiDeYouXianGuHuoYongXuZhaiLiXiMingXiGongJuMingCheng" label="划分为金融负债的优先股或永续债利息明细-工具名称" addr="T0R5C0S1_1" appId="_GBC_9058c1c6b0a94f6a8c531ec2dbd35706"/>
        <m:item xlName="_GBC_babde697abb84911ad950c2fcc09a8db" concept="clcid-pte:HuaFenWeiJinRongFuZhaiDeYouXianGuHuoYongXuZhaiLiXiMingXiYingFuLiXi" label="划分为金融负债的优先股或永续债利息明细-应付利息" mulRef="_GBC_e9907c009de64097a89479217dbdc838" unitRef="_GBC_228df0cb4ea54d139c46410a0dcee74f" addr="T0R5C1S1_1" formatStyle="Comma" appId="_GBC_9058c1c6b0a94f6a8c531ec2dbd35706"/>
        <m:item xlName="_GBC_682040c09b634505b922a3883c61d7bc" concept="clcid-pte:HuaFenWeiJinRongFuZhaiDeYouXianGuHuoYongXuZhaiLiXiMingXiYingFuLiXi" label="划分为金融负债的优先股或永续债利息明细-应付利息" periodRef="本期期初数" mulRef="_GBC_e9907c009de64097a89479217dbdc838" unitRef="_GBC_228df0cb4ea54d139c46410a0dcee74f" addr="T0R5C2S1_1" formatStyle="Comma" appId="_GBC_9058c1c6b0a94f6a8c531ec2dbd35706"/>
      </m:tuple>
      <m:tuple xlName="_TUP_18550d8d948d4637adb945b044592efe" concept="clcid-pte:YingFuLiXiMingXi" default_row="2" addr="T0R7C">
        <m:item xlName="_GBC_fdc81b4d886543e1a25ed351ff68889e" concept="clcid-pte:YingFuLiXiMingXiXiangMu" label="应付利息明细-项目" addr="T0R7C0S1_1" appId="_GBC_9058c1c6b0a94f6a8c531ec2dbd35706"/>
        <m:item xlName="_GBC_4d1ef89a6bf34bef8b4a35319e314246" concept="clcid-pte:YingFuLiXiMingXiJinE" label="应付利息明细-金额" mulRef="_GBC_e9907c009de64097a89479217dbdc838" unitRef="_GBC_228df0cb4ea54d139c46410a0dcee74f" addr="T0R7C1S1_1" formatStyle="Comma" appId="_GBC_9058c1c6b0a94f6a8c531ec2dbd35706"/>
        <m:item xlName="_GBC_99e454f04d8c40a0bd182451999e4117" concept="clcid-pte:YingFuLiXiMingXiJinE" label="应付利息明细-金额" periodRef="本期期初数" mulRef="_GBC_e9907c009de64097a89479217dbdc838" unitRef="_GBC_228df0cb4ea54d139c46410a0dcee74f" addr="T0R7C2S1_1" formatStyle="Comma" appId="_GBC_9058c1c6b0a94f6a8c531ec2dbd35706"/>
      </m:tuple>
      <m:placeholder xlName="_PLD_a26d3928217a4cb48de388997f862e51" addr="T0R9C0S1_1"/>
      <m:item xlName="_GBC_cd77fe7abc02414e8b98c7c0c5d64bba" concept="clcid-pte:YingFuLiXi" label="应付利息" mulRef="_GBC_e9907c009de64097a89479217dbdc838" unitRef="_GBC_228df0cb4ea54d139c46410a0dcee74f" addr="T0R9C1S1_1" formatStyle="Comma" appId="_GBC_9058c1c6b0a94f6a8c531ec2dbd35706">
        <m:complexRule comparator="Eq" title="应付利息" test=" $_GBC_915be9d90f0446bc9406424b8d61a344 +  $_GBC_f7a343b28eb34b39a838d5a72ff5909e +  $_GBC_cce643dd00d144d8a5253af2aaa025da +  $_GBC_956c2b6914764bf1bbc89a24fc9a3e4c +  $_GBC_4d1ef89a6bf34bef8b4a35319e314246" id="C14b7ddbcba6d43248e9cb93a59b882fd" serialType="1"/>
      </m:item>
      <m:item xlName="_GBC_5ef6566fc10b4a34b24ca9278290d28f" concept="clcid-pte:YingFuLiXi" label="应付利息" periodRef="本期期初数" mulRef="_GBC_e9907c009de64097a89479217dbdc838" unitRef="_GBC_228df0cb4ea54d139c46410a0dcee74f" addr="T0R9C2S1_1" formatStyle="Comma" appId="_GBC_9058c1c6b0a94f6a8c531ec2dbd35706">
        <m:complexRule comparator="Eq" title="应付利息@本期期初数" test=" $_GBC_bbd3a34db54748af8fbcbfe7eb6159b6 +  $_GBC_8fbed1d484aa4a029142782cc0064d7a +  $_GBC_7734cd332ba54927972ba9aa2d0d70d0 +  $_GBC_c68468eb795044f99e00681dd29cd85f +  $_GBC_99e454f04d8c40a0bd182451999e4117" id="C5389d596182e4bf686cee1fb9e15a36b" serialType="1"/>
      </m:item>
      <m:item xlName="_GBC_467048e0118b400abf781e8a74db94e2" concept="clcid-ci-ar:ShiFouShiYongZhongYaoDeYiYuQiWeiZhiFuDeLiXiQingKuang" label="是否适用：重要的已逾期未支付的利息情况" selectOptions="_buildInAppliance" controlType="CustomCheckbox" cRanges="[{&quot;StartName&quot;:&quot;_GBC_467048e0118b400abf781e8a74db94e2&quot;,&quot;EndName&quot;:&quot;_GBC_5a920c0ba6794556b3a7c7e28f7e1018&quot;,&quot;CType&quot;:1}]"/>
      <m:item xlName="_GBC_e306ecb1196c4992bd64f8b41d9f2a5e" concept="clcid-ci-ar:DanWeiCaiWuFuZhuYiYuQiWeiZhiFuDeLiXiQingKuang" label="单位：财务附注：已逾期未支付的利息情况" selectOptions="_buildInScales" controlType="Combobox" cellType="Scale" appId="_GBC_467048e0118b400abf781e8a74db94e2"/>
      <m:item xlName="_GBC_33bdb00da90044288cdf489a0b1a15e6" concept="clcid-ci-ar:BiZhongCaiWuFuZhuYiYuQiWeiZhiFuDeLiXiQingKuang" label="币种：财务附注：已逾期未支付的利息情况" selectOptions="_buildInISO4217" controlType="Combobox" cellType="Measure" appId="_GBC_467048e0118b400abf781e8a74db94e2"/>
      <m:placeholder xlName="_PLD_3f124ce35b344bff93d0a1273ce91e80" addr="T1R0C0S1_1"/>
      <m:placeholder xlName="_PLD_aa818f580f9247528f24483708539f51" addr="T1R0C1S1_1"/>
      <m:placeholder xlName="_PLD_3de69e65e1ee4bbfadc8a318fed1189f" addr="T1R0C2S1_1"/>
      <m:tuple xlName="_TUP_0067d0c604e9432688c80dfd416b5b30" concept="clcid-pte:YiYuQiWeiZhiFuDeLiXiQingKuangMingXi" default_row="2" addr="T1R1C">
        <m:item xlName="_GBC_3b7cecdac98f435ba7e1a666bab42977" concept="clcid-pte:YiYuQiWeiZhiFuDeLiXiQingKuangMingXiJieKuanDanWei" label="已逾期未支付的利息情况明细-借款单位" addr="T1R1C0S1_1" appId="_GBC_467048e0118b400abf781e8a74db94e2"/>
        <m:item xlName="_GBC_e9900c4ac7f943dca9d645d512d9f761" concept="clcid-pte:YiYuQiWeiZhiFuDeLiXiQingKuangMingXiYuQiJinE" label="已逾期未支付的利息情况明细-逾期金额" mulRef="_GBC_e306ecb1196c4992bd64f8b41d9f2a5e" unitRef="_GBC_33bdb00da90044288cdf489a0b1a15e6" addr="T1R1C1S1_1" formatStyle="Comma" appId="_GBC_467048e0118b400abf781e8a74db94e2"/>
        <m:item xlName="_GBC_cffeb2c7149e49038192c57414220316" concept="clcid-pte:YiYuQiWeiZhiFuDeLiXiQingKuangMingXiYuQiYuanYin" label="已逾期未支付的利息情况明细-逾期原因" addr="T1R1C2S1_1" appId="_GBC_467048e0118b400abf781e8a74db94e2"/>
      </m:tuple>
      <m:placeholder xlName="_PLD_b6a6a7edda204e76b3e825f0f1fd2189" addr="T1R3C0S1_1"/>
      <m:item xlName="_GBC_5a920c0ba6794556b3a7c7e28f7e1018" concept="clcid-pte:YiYuQiWeiZhiFuDeLiXiYuQiJinEHeJi" label="已逾期未支付的利息逾期金额合计" mulRef="_GBC_e306ecb1196c4992bd64f8b41d9f2a5e" unitRef="_GBC_33bdb00da90044288cdf489a0b1a15e6" addr="T1R3C1S1_1" formatStyle="Comma" appId="_GBC_467048e0118b400abf781e8a74db94e2">
        <m:complexRule comparator="Eq" title="已逾期未支付的利息逾期金额合计" test=" $_GBC_e9900c4ac7f943dca9d645d512d9f761" id="Cc105c25b8775486f8ef2fac36abcf243"/>
      </m:item>
      <m:item xlName="_GBC_7fa89c7d8b4b40bb9885811bf3463d04" concept="clcid-ci-ar:ShiFouShiYongYingFuLiXiShuoMing" label="是否适用：应付利息说明" selectOptions="_buildInAppliance" controlType="CustomCheckbox" cRanges="[{&quot;StartName&quot;:&quot;_GBC_7fa89c7d8b4b40bb9885811bf3463d04&quot;,&quot;EndName&quot;:&quot;_GBC_aa5492947246429e88fb7fa3d4136aff&quot;,&quot;CType&quot;:1}]"/>
      <m:item xlName="_GBC_aa5492947246429e88fb7fa3d4136aff" concept="clcid-pte:YingFuLiXiShuoMing" label="应付利息说明" appId="_GBC_7fa89c7d8b4b40bb9885811bf3463d04"/>
    </m:section>
    <m:section xlName="_SEC_454db7ed64ca40e48e42eb6c38ae54ca" title="应付股利">
      <m:item xlName="_GBC_09dc75ba10d44acfb18b03320a40e4c5" concept="clcid-ci-ar:ShiFouShiYongYingFuGuLi" label="是否适用：应付股利" selectOptions="_buildInAppliance" controlType="CustomCheckbox" cRanges="[{&quot;StartName&quot;:&quot;_GBC_09dc75ba10d44acfb18b03320a40e4c5&quot;,&quot;EndName&quot;:&quot;_GBC_44da1c5f7ab647d2891e8b1c5f5bd521&quot;,&quot;CType&quot;:1}]"/>
      <m:item xlName="_GBC_794436f63bf446c4b4d5d09922a87476" concept="clcid-ci-ar:DanWeiCaiWuFuZhuYingFuGuLi" label="单位：财务附注：应付股利" selectOptions="_buildInScales" controlType="Combobox" cellType="Scale" appId="_GBC_09dc75ba10d44acfb18b03320a40e4c5"/>
      <m:item xlName="_GBC_3ac9f6019d6040e79214de869765e7c9" concept="clcid-ci-ar:BiZhongCaiWuFuZhuYingFuGuLi" label="币种：财务附注：应付股利" selectOptions="_buildInISO4217" controlType="Combobox" cellType="Measure" appId="_GBC_09dc75ba10d44acfb18b03320a40e4c5"/>
      <m:placeholder xlName="_PLD_9d58938574b04fdbb97abe896d2ae73a" addr="T0R0C0S1_1"/>
      <m:placeholder xlName="_PLD_464a3e2801194be5b8f549044d634880" addr="T0R0C1S1_1"/>
      <m:placeholder xlName="_PLD_b96a666c25174aeab9bab423f51ae94f" addr="T0R0C2S1_1"/>
      <m:placeholder xlName="_PLD_ccc30ab30e5a4b788d1af42d774d7b85" addr="T0R1C0S1_1"/>
      <m:item xlName="_GBC_aab1d8c40c7c476e92d954bc065bb323" concept="clcid-pte:YingFuGuLiPuTongGuGuLi" label="应付股利普通股股利" mulRef="_GBC_794436f63bf446c4b4d5d09922a87476" unitRef="_GBC_3ac9f6019d6040e79214de869765e7c9" addr="T0R1C1S1_1" formatStyle="Comma" appId="_GBC_09dc75ba10d44acfb18b03320a40e4c5"/>
      <m:item xlName="_GBC_88b1b6f4208d47cc9db273fe0e779fa3" concept="clcid-pte:YingFuGuLiPuTongGuGuLi" label="应付股利普通股股利" periodRef="本期期初数" mulRef="_GBC_794436f63bf446c4b4d5d09922a87476" unitRef="_GBC_3ac9f6019d6040e79214de869765e7c9" addr="T0R1C2S1_1" formatStyle="Comma" appId="_GBC_09dc75ba10d44acfb18b03320a40e4c5"/>
      <m:placeholder xlName="_PLD_1da43d46c8414d219fbac9c9b182033c" addr="T0R2C0S1_1"/>
      <m:item xlName="_GBC_271abeae3dab43b7ba5ce6bcfe85fcf1" concept="clcid-pte:HuaFenWeiQuanYiGongJuDeYouXianGuHuoYongXuZhaiGuLi" label="划分为权益工具的优先股或永续债股利" mulRef="_GBC_794436f63bf446c4b4d5d09922a87476" unitRef="_GBC_3ac9f6019d6040e79214de869765e7c9" addr="T0R2C1S1_1" formatStyle="Comma" appId="_GBC_09dc75ba10d44acfb18b03320a40e4c5">
        <m:complexRule comparator="Eq" title="划分为权益工具的优先股或永续债股利" test=" $_GBC_0564fed055f14cb1850479ac1a8b04c4" id="Cd1bb8fb54d9641248fd4494abb28cf25"/>
      </m:item>
      <m:item xlName="_GBC_942340197aac4842a19c31350c5ccebf" concept="clcid-pte:HuaFenWeiQuanYiGongJuDeYouXianGuHuoYongXuZhaiGuLi" label="划分为权益工具的优先股或永续债股利" periodRef="本期期初数" mulRef="_GBC_794436f63bf446c4b4d5d09922a87476" unitRef="_GBC_3ac9f6019d6040e79214de869765e7c9" addr="T0R2C2S1_1" formatStyle="Comma" appId="_GBC_09dc75ba10d44acfb18b03320a40e4c5">
        <m:complexRule comparator="Eq" title="划分为权益工具的优先股或永续债股利@本期期初数" test=" $_GBC_532553c9b2d546b89a5b45d7bc249c2a" id="C1a6c4100b7144784b788a2c73ea052ae"/>
      </m:item>
      <m:tuple xlName="_TUP_d6439173d6c4448487f407a2363e7581" concept="clcid-pte:HuaFenWeiQuanYiGongJuDeYouXianGuHuoYongXuZhaiGuLiMingXi" default_row="2" addr="T0R3C">
        <m:item xlName="_GBC_e747d93d696b4915a2c6ba559542eb25" concept="clcid-pte:HuaFenWeiQuanYiGongJuDeYouXianGuHuoYongXuZhaiGuLiMingXiGongJuMingCheng" label="划分为权益工具的优先股或永续债股利明细-工具名称 " addr="T0R3C0S1_1" appId="_GBC_09dc75ba10d44acfb18b03320a40e4c5"/>
        <m:item xlName="_GBC_0564fed055f14cb1850479ac1a8b04c4" concept="clcid-pte:HuaFenWeiQuanYiGongJuDeYouXianGuHuoYongXuZhaiGuLiMingXiYingFuGuLi" label="划分为权益工具的优先股或永续债股利明细-应付股利" mulRef="_GBC_794436f63bf446c4b4d5d09922a87476" unitRef="_GBC_3ac9f6019d6040e79214de869765e7c9" addr="T0R3C1S1_1" formatStyle="Comma" appId="_GBC_09dc75ba10d44acfb18b03320a40e4c5"/>
        <m:item xlName="_GBC_532553c9b2d546b89a5b45d7bc249c2a" concept="clcid-pte:HuaFenWeiQuanYiGongJuDeYouXianGuHuoYongXuZhaiGuLiMingXiYingFuGuLi" label="划分为权益工具的优先股或永续债股利明细-应付股利" periodRef="本期期初数" mulRef="_GBC_794436f63bf446c4b4d5d09922a87476" unitRef="_GBC_3ac9f6019d6040e79214de869765e7c9" addr="T0R3C2S1_1" formatStyle="Comma" appId="_GBC_09dc75ba10d44acfb18b03320a40e4c5"/>
      </m:tuple>
      <m:tuple xlName="_TUP_890b98326bfc4362bc188f72b0b43632" concept="clcid-pte:YingFuGuLiMingXi" default_row="2" addr="T0R5C">
        <m:item xlName="_GBC_e1ed8078cd194cfbaa85ef7557ad8734" concept="clcid-pte:YingFuGuLiXiangMuMingCheng" label="应付股利项目名称" addr="T0R5C0S1_1" appId="_GBC_09dc75ba10d44acfb18b03320a40e4c5"/>
        <m:item xlName="_GBC_4cd4ee92861f47389a6dcb182f34e9e9" concept="clcid-pte:YingFuGuLiJinE" label="应付股利金额" mulRef="_GBC_794436f63bf446c4b4d5d09922a87476" unitRef="_GBC_3ac9f6019d6040e79214de869765e7c9" addr="T0R5C1S1_1" formatStyle="Comma" appId="_GBC_09dc75ba10d44acfb18b03320a40e4c5"/>
        <m:item xlName="_GBC_762d58668deb407899293aa5c7d1b068" concept="clcid-pte:YingFuGuLiJinE" label="应付股利金额" periodRef="本期期初数" mulRef="_GBC_794436f63bf446c4b4d5d09922a87476" unitRef="_GBC_3ac9f6019d6040e79214de869765e7c9" addr="T0R5C2S1_1" formatStyle="Comma" appId="_GBC_09dc75ba10d44acfb18b03320a40e4c5"/>
      </m:tuple>
      <m:placeholder xlName="_PLD_2b0d3d581f184538a143c7836e38c7fd" addr="T0R7C0S1_1"/>
      <m:item xlName="_GBC_635dd1c64ac941ba8607bd324db2bd61" concept="clcid-pte:YingFuGuLi" label="应付股利" mulRef="_GBC_794436f63bf446c4b4d5d09922a87476" unitRef="_GBC_3ac9f6019d6040e79214de869765e7c9" addr="T0R7C1S1_1" formatStyle="Comma" appId="_GBC_09dc75ba10d44acfb18b03320a40e4c5">
        <m:complexRule comparator="Eq" title="应付股利" test=" $_GBC_271abeae3dab43b7ba5ce6bcfe85fcf1 +  $_GBC_aab1d8c40c7c476e92d954bc065bb323 +  $_GBC_4cd4ee92861f47389a6dcb182f34e9e9" id="C380f0c08330348c9b019e12b8648c584" serialType="1"/>
      </m:item>
      <m:item xlName="_GBC_32ae8e911cd24feb927bedd2ce7b547d" concept="clcid-pte:YingFuGuLi" label="应付股利" periodRef="本期期初数" mulRef="_GBC_794436f63bf446c4b4d5d09922a87476" unitRef="_GBC_3ac9f6019d6040e79214de869765e7c9" addr="T0R7C2S1_1" formatStyle="Comma" appId="_GBC_09dc75ba10d44acfb18b03320a40e4c5">
        <m:complexRule comparator="Eq" title="应付股利@本期期初数" test=" $_GBC_942340197aac4842a19c31350c5ccebf +  $_GBC_88b1b6f4208d47cc9db273fe0e779fa3 +  $_GBC_762d58668deb407899293aa5c7d1b068" id="C14a6b093258a47d5a8ab930075a85c01" serialType="1"/>
      </m:item>
      <m:item xlName="_GBC_44da1c5f7ab647d2891e8b1c5f5bd521" concept="clcid-pte:YingFuGuLiDeShuoMing" label="应付股利的说明" appId="_GBC_09dc75ba10d44acfb18b03320a40e4c5"/>
    </m:section>
    <m:section xlName="_SEC_df361e68406f49208d47d08674984872" title="按款项性质列示其他应付款">
      <m:item xlName="_GBC_a099ebd596de4984814ff6b49af92e86" concept="clcid-ci-ar:ShiFouShiYongAnKuanXiangXingZhiLieShiQiTaYingFuKuan" label="是否适用：按款项性质列示其他应付款" selectOptions="_buildInAppliance" controlType="CustomCheckbox" cRanges="[{&quot;StartName&quot;:&quot;_GBC_a099ebd596de4984814ff6b49af92e86&quot;,&quot;EndName&quot;:&quot;_GBC_966b448f97e94adbb7adcfd22314a78e&quot;,&quot;CType&quot;:1}]"/>
      <m:item xlName="_GBC_781a05c0c742470b88557fa8878adf9c" concept="clcid-ci-ar:DanWeiCaiWuFuZhuQiTaYingFuKuanQingKuang" label="单位：财务附注：其他应付款情况" selectOptions="_buildInScales" controlType="Combobox" cellType="Scale" appId="_GBC_a099ebd596de4984814ff6b49af92e86"/>
      <m:item xlName="_GBC_19bba6af93f1445cbfdc13ddfb71a0ea" concept="clcid-ci-ar:BiZhongCaiWuFuZhuQiTaYingFuKuanQingKuang" label="币种：财务附注：其他应付款情况" selectOptions="_buildInISO4217" controlType="Combobox" cellType="Measure" appId="_GBC_a099ebd596de4984814ff6b49af92e86"/>
      <m:placeholder xlName="_PLD_3991c4118c8d4069811e5f758978143f" addr="T0R0C0S1_1"/>
      <m:placeholder xlName="_PLD_c1bcea3523f040f08da3a1bd0d135ad5" addr="T0R0C1S1_1"/>
      <m:placeholder xlName="_PLD_b89663858245498c995c58e2bab384aa" addr="T0R0C2S1_1"/>
      <m:tuple xlName="_TUP_d68cb62e22fc4f99ab4d25c145efcd43" concept="clcid-pte:QiTaYingFuKuanQingKuangMingXi" default_row="2" addr="T0R1C">
        <m:item xlName="_GBC_58a65c3037684e66a17e84bc8016ca61" concept="clcid-pte:QiTaYingFuKuanQingKuangMingXiXiangMu" label="其他应付款情况明细-项目" addr="T0R1C0S1_1" appId="_GBC_a099ebd596de4984814ff6b49af92e86"/>
        <m:item xlName="_GBC_efc6914f323344ffbae13cb6cd09d3b8" concept="clcid-pte:QiTaYingFuKuanQingKuangMingXiJinE" label="其他应付款情况明细-金额" mulRef="_GBC_781a05c0c742470b88557fa8878adf9c" unitRef="_GBC_19bba6af93f1445cbfdc13ddfb71a0ea" addr="T0R1C1S1_1" formatStyle="Comma" appId="_GBC_a099ebd596de4984814ff6b49af92e86"/>
        <m:item xlName="_GBC_e7650fb393054fde9cf32b9e9a294c78" concept="clcid-pte:QiTaYingFuKuanQingKuangMingXiJinE" label="其他应付款情况明细-金额" periodRef="本期期初数" mulRef="_GBC_781a05c0c742470b88557fa8878adf9c" unitRef="_GBC_19bba6af93f1445cbfdc13ddfb71a0ea" addr="T0R1C2S1_1" formatStyle="Comma" appId="_GBC_a099ebd596de4984814ff6b49af92e86"/>
      </m:tuple>
      <m:placeholder xlName="_PLD_dc1df66b4e6549929c6b91b265854e4c" addr="T0R3C0S1_1"/>
      <m:item xlName="_GBC_a7e20c8489914e7e96ede9a30e0df6be" concept="clcid-pte:QiTaYingFuKuanQiTa" label="其他应付款-其他" mulRef="_GBC_781a05c0c742470b88557fa8878adf9c" unitRef="_GBC_19bba6af93f1445cbfdc13ddfb71a0ea" addr="T0R3C1S1_1" formatStyle="Comma" appId="_GBC_a099ebd596de4984814ff6b49af92e86">
        <m:complexRule comparator="Eq" title="其他应付款" test=" $_GBC_efc6914f323344ffbae13cb6cd09d3b8" id="Ce50e2ef3aad046c79634063bcbc65d20"/>
      </m:item>
      <m:item xlName="_GBC_966b448f97e94adbb7adcfd22314a78e" concept="clcid-pte:QiTaYingFuKuanQiTa" label="其他应付款-其他" periodRef="本期期初数" mulRef="_GBC_781a05c0c742470b88557fa8878adf9c" unitRef="_GBC_19bba6af93f1445cbfdc13ddfb71a0ea" addr="T0R3C2S1_1" formatStyle="Comma" appId="_GBC_a099ebd596de4984814ff6b49af92e86">
        <m:complexRule comparator="Eq" title="其他应付款@本期期初数" test=" $_GBC_e7650fb393054fde9cf32b9e9a294c78" id="C2c4bb309e3d74d7195e7913f828adb53"/>
      </m:item>
    </m:section>
    <m:section xlName="_SEC_83408720712d4902a68e6c9ddd4c67ae" title="账龄超过1年的重要其他应付款">
      <m:item xlName="_GBC_484cd63ee8b54a41978c822ae4ec5689" concept="clcid-ci-ar:ShiFouShiYongZhangLingChaoGuoNianDeZhongYaoQiTaYingFuKuan" label="是否适用：账龄超过1年的重要其他应付款" selectOptions="_buildInAppliance" controlType="CustomCheckbox" cRanges="[{&quot;StartName&quot;:&quot;_GBC_484cd63ee8b54a41978c822ae4ec5689&quot;,&quot;EndName&quot;:&quot;_GBC_98ffe1332fd94997908e1cdef29d9d3f&quot;,&quot;CType&quot;:1}]"/>
      <m:item xlName="_GBC_70627db7610a4aaf857bc90322d6cdfe" concept="clcid-ci-ar:DanWeiCaiWuFuZhuZhangLingChaoGuoYiNianDeZhongYaoQiTaYingFuKuan" label="单位：财务附注：账龄超过1年的重要其他应付款" selectOptions="_buildInScales" controlType="Combobox" cellType="Scale" appId="_GBC_484cd63ee8b54a41978c822ae4ec5689"/>
      <m:item xlName="_GBC_8ef8bcf4c1a64fecb8d1bc26dcf905d1" concept="clcid-ci-ar:BiZhongCaiWuFuZhuZhangLingChaoGuoYiNianDeZhongYaoQiTaYingFuKuan" label="币种：财务附注：账龄超过1年的重要其他应付款" selectOptions="_buildInISO4217" controlType="Combobox" cellType="Measure" appId="_GBC_484cd63ee8b54a41978c822ae4ec5689"/>
      <m:placeholder xlName="_PLD_a2b3ff41455140df9be8564e6380c550" addr="T0R0C0S1_1"/>
      <m:placeholder xlName="_PLD_e96da55b57ef4b128b17e8730df5f38e" addr="T0R0C1S1_1"/>
      <m:placeholder xlName="_PLD_a0a7c81595d2416d898e57939ff78dd7" addr="T0R0C2S1_1"/>
      <m:tuple xlName="_TUP_107abfb893f149c8878e75d2528d9efe" concept="clcid-pte:ZhongYaoDeZhangLingChaoGuoNianDeQiTaYingFuKuanMingXi" default_row="2" addr="T0R1C">
        <m:item xlName="_GBC_ab9c23d62dbc4f7797c8e36dc17314fb" concept="clcid-pte:ZhongYaoDeZhangLingChaoGuoNianDeQiTaYingFuKuanMingXiXiangMuMingCheng" label="重要的账龄超过1年的其他应付款明细-项目名称" addr="T0R1C0S1_1" appId="_GBC_484cd63ee8b54a41978c822ae4ec5689"/>
        <m:item xlName="_GBC_9459826e5f7a41faa909975fa489188b" concept="clcid-pte:ZhongYaoDeZhangLingChaoGuoNianDeQiTaYingFuKuanMingXiQiMoYuE" label="重要的账龄超过1年的其他应付款明细-期末余额" mulRef="_GBC_70627db7610a4aaf857bc90322d6cdfe" unitRef="_GBC_8ef8bcf4c1a64fecb8d1bc26dcf905d1" addr="T0R1C1S1_1" formatStyle="Comma" appId="_GBC_484cd63ee8b54a41978c822ae4ec5689"/>
        <m:item xlName="_GBC_9243505e5509478b919312e262af55a8" concept="clcid-pte:ZhongYaoDeZhangLingChaoGuoNianDeQiTaYingFuKuanMingXiWeiChangHuanHuoJieZhuanDeYuanYin" label="重要的账龄超过1年的其他应付款明细-未偿还或结转的原因" addr="T0R1C2S1_1" appId="_GBC_484cd63ee8b54a41978c822ae4ec5689"/>
      </m:tuple>
      <m:placeholder xlName="_PLD_ea766d57335d427393a67dd762f0167b" addr="T0R3C0S1_1"/>
      <m:item xlName="_GBC_98ffe1332fd94997908e1cdef29d9d3f" concept="clcid-pte:ZhongYaoDeZhangLingChaoGuoNianDeQiTaYingFuKuanJinEHeJi" label="重要的账龄超过1年的其他应付款金额合计" mulRef="_GBC_70627db7610a4aaf857bc90322d6cdfe" unitRef="_GBC_8ef8bcf4c1a64fecb8d1bc26dcf905d1" addr="T0R3C1S1_1" formatStyle="Comma" appId="_GBC_484cd63ee8b54a41978c822ae4ec5689">
        <m:complexRule comparator="Eq" title="重要的账龄超过1年的其他应付款金额合计" test=" $_GBC_9459826e5f7a41faa909975fa489188b" id="C2fc05dfbe82e4c5daa932af5eb269d56"/>
      </m:item>
    </m:section>
    <m:section xlName="_SEC_b03fcb02b4b747249703cbc2e0a127fd" title="其他说明">
      <m:item xlName="_GBC_c968ec386e144657884a6b5b483acbfd" concept="clcid-ci-ar:ShiFouShiYongQiTaYingFuKuanDeQiTaShuoMing" label="是否适用：其他应付款的其他说明" selectOptions="_buildInAppliance" controlType="CustomCheckbox" cRanges="[{&quot;StartName&quot;:&quot;_GBC_c968ec386e144657884a6b5b483acbfd&quot;,&quot;EndName&quot;:&quot;_GBC_873f35ab785048d7ad0b90c5775691ba&quot;,&quot;CType&quot;:1}]"/>
      <m:item xlName="_GBC_873f35ab785048d7ad0b90c5775691ba" concept="clcid-pte:QiTaYingFuKuanDeQiTaShuoMing" label="其他应付款的其他说明" appId="_GBC_c968ec386e144657884a6b5b483acbfd"/>
    </m:section>
    <m:section xlName="_GBC_b863defdccbc448695ee82953f3da273" title="划分为持有待售的负债" helpId="112001091" helpText="注：说明划分为持有待售的负债的原因等。">
      <m:item xlName="_GBC_039b9e06b132407a89f578be468d6ec8" concept="clcid-ci-ar:ShiFouShiYongHuaFenWeiChiYouDaiShouDeFuZhai" label="是否适用：划分为持有待售的负债" selectOptions="_buildInAppliance" controlType="CustomCheckbox" cRanges="{&quot;StartName&quot;:&quot;_GBC_039b9e06b132407a89f578be468d6ec8&quot;,&quot;EndName&quot;:&quot;_GBC_2f3bfc8db07c4f2a9dadcb23e00a530c&quot;,&quot;CType&quot;:1,&quot;DisplayText&quot;:null}"/>
      <m:item xlName="_GBC_f30d181a7819468b83daa3ad26c4a933" concept="clcid-ci-ar:DanWeiCaiWuFuZhuHuaFenWeiChiYouDaiShouDeFuZhai" label="单位：财务附注：划分为持有待售的负债" selectOptions="_buildInScales" controlType="Combobox" cellType="Scale" appId="_GBC_039b9e06b132407a89f578be468d6ec8"/>
      <m:item xlName="_GBC_e07b1003088949a59945ab27fc1ac345" concept="clcid-ci-ar:BiZhongCaiWuFuZhuHuaFenWeiChiYouDaiShouDeFuZhai" label="币种：财务附注：划分为持有待售的负债" selectOptions="_buildInISO4217" controlType="Combobox" cellType="Measure" appId="_GBC_039b9e06b132407a89f578be468d6ec8"/>
      <m:placeholder xlName="_PLD_fbbe002e1be9478e8f72695ac5a8b25e" addr="T0R0C0S1_1"/>
      <m:placeholder xlName="_PLD_0f740cf0fbed46c5a8ebeee683fb98dd" addr="T0R0C1S1_1"/>
      <m:placeholder xlName="_PLD_000a9b47d64e4a23b371e0600abd571e" addr="T0R0C2S1_1"/>
      <m:tuple xlName="_GBC_a92f4aeba78e4645976782551c0782a4" concept="clcid-pte:HuaFenWeiChiYouDaiShouDeFuZhaiMingXi" default_row="2" addr="T0R1C">
        <m:item xlName="_GBC_1ffaf9f0be044f0e8f3399ded0f63953" concept="clcid-pte:HuaFenWeiChiYouDaiShouDeFuZhaiMingXiXiangMuMingCheng" label="划分为持有待售的负债明细-项目名称" addr="T0R1C0S1_1" appId="_GBC_039b9e06b132407a89f578be468d6ec8"/>
        <m:item xlName="_GBC_9c5e106e8f62427aba6100762e63e87e" concept="clcid-pte:HuaFenWeiChiYouDaiShouDeFuZhaiMingXiYuE" label="划分为持有待售的负债明细-余额" mulRef="_GBC_f30d181a7819468b83daa3ad26c4a933" unitRef="_GBC_e07b1003088949a59945ab27fc1ac345" addr="T0R1C1S1_1" formatStyle="Comma" appId="_GBC_039b9e06b132407a89f578be468d6ec8"/>
        <m:item xlName="_GBC_19d04039e05c4586bcebbb608272f026" concept="clcid-pte:HuaFenWeiChiYouDaiShouDeFuZhaiMingXiYuE" label="划分为持有待售的负债明细-余额" periodRef="本期期初数" mulRef="_GBC_f30d181a7819468b83daa3ad26c4a933" unitRef="_GBC_e07b1003088949a59945ab27fc1ac345" addr="T0R1C2S1_1" formatStyle="Comma" appId="_GBC_039b9e06b132407a89f578be468d6ec8"/>
      </m:tuple>
      <m:placeholder xlName="_PLD_a4e6ab5d42974b7c88fb1d6bc5d559e6" addr="T0R3C0S1_1"/>
      <m:item xlName="_GBC_d505354f0a1547418301820e5d049460" concept="clcid-pte:HuaFenWeiChiYouDaiShouDeFuZhai" label="划分为持有待售的负债" mulRef="_GBC_f30d181a7819468b83daa3ad26c4a933" unitRef="_GBC_e07b1003088949a59945ab27fc1ac345" addr="T0R3C1S1_1" formatStyle="Comma" appId="_GBC_039b9e06b132407a89f578be468d6ec8">
        <m:complexRule comparator="Eq" title="划分为持有待售的负债" test=" $_GBC_9c5e106e8f62427aba6100762e63e87e" id="C7c3d2b3b12cb46ef8d0a82cadcf34518"/>
      </m:item>
      <m:item xlName="_GBC_b2bd3705c5334f8c8a74fd68b1ffba87" concept="clcid-pte:HuaFenWeiChiYouDaiShouDeFuZhai" label="划分为持有待售的负债" periodRef="本期期初数" mulRef="_GBC_f30d181a7819468b83daa3ad26c4a933" unitRef="_GBC_e07b1003088949a59945ab27fc1ac345" addr="T0R3C2S1_1" formatStyle="Comma" appId="_GBC_039b9e06b132407a89f578be468d6ec8">
        <m:complexRule comparator="Eq" title="划分为持有待售的负债@本期期初数" test=" $_GBC_19d04039e05c4586bcebbb608272f026" id="C747d112ab87848d0bc2eab0f5a8eaa9a"/>
      </m:item>
      <m:item xlName="_GBC_2f3bfc8db07c4f2a9dadcb23e00a530c" concept="clcid-pte:HuaFenWeiChiYouDaiShouDeFuZhaiDeQiTaShuoMing" label="划分为持有待售的负债的其他说明" appId="_GBC_039b9e06b132407a89f578be468d6ec8"/>
    </m:section>
    <m:section xlName="_GBC_d5b7f9c02d494f85b85a36713895b9f8" title="1年内到期的非流动负债"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concept="clcid-ci-ar:DanWei1NianNeiDaoQiDeFeiLiuDongFuZhaiQingKuang" label="单位：1年内到期的非流动负债情况" selectOptions="_buildInScales" controlType="Combobox" cellType="Scale" appId="_GBC_9b606bc3f0cf4f77be9b0f299d212c73"/>
      <m:item xlName="_GBC_25aa805434d340a6ade79870522c9640" concept="clcid-ci-ar:BiZhong1NianNeiDaoQiDeFeiLiuDongFuZhaiQingKuang" label="币种：1年内到期的非流动负债情况" selectOptions="_buildInISO4217" controlType="Combobox" cellType="Measure" appId="_GBC_9b606bc3f0cf4f77be9b0f299d212c73"/>
      <m:placeholder xlName="_PLD_bf2815b84ebe4a1e94909ee96ec31ac1" addr="T0R0C0S1_1"/>
      <m:placeholder xlName="_PLD_db7abcf611bc4296ad7bd9c8177202e0" addr="T0R0C1S1_1"/>
      <m:placeholder xlName="_PLD_371959274ef4493ca1fe426c930e0bf2" addr="T0R0C2S1_1"/>
      <m:placeholder xlName="_PLD_d604ff944003432285ae67c4dffb978f"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tuple>
      <m:placeholder xlName="_PLD_f9405fec461a4b079f93c72be0490bbf"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item xlName="_GBC_6d31349460124941a4929421727aab0e" concept="clcid-ci-ar:DanWeiCaiWuFuZhuQiTaLiuDongFuZhai" label="单位：财务附注：其他流动负债" selectOptions="_buildInScales" controlType="Combobox" cellType="Scale" appId="_GBC_80907e3e53c44260b850f42646eb3d63"/>
      <m:item xlName="_GBC_7d8c93066ac541859a45d371953d3cdc" concept="clcid-ci-ar:BiZhongCaiWuFuZhuQiTaLiuDongFuZhai" label="币种：财务附注：其他流动负债" selectOptions="_buildInISO4217" controlType="Combobox" cellType="Measure" appId="_GBC_80907e3e53c44260b850f42646eb3d63"/>
      <m:placeholder xlName="_PLD_8fb682e3d6ad4a60b648ec38137fbf9d" addr="T0R0C0S1_1"/>
      <m:placeholder xlName="_PLD_0c0b762dc58f486f9f736b7ace21e9a0" addr="T0R0C1S1_1"/>
      <m:placeholder xlName="_PLD_942d693f41424f82b813e282a8210643" addr="T0R0C2S1_1"/>
      <m:placeholder xlName="_PLD_ded88bf4ef70481a9765df686ab4ec99" addr="T0R1C0S1_1"/>
      <m:item xlName="_GBC_2429d1b9c4ac48fd82fba4deb51a2d3c" concept="clcid-pte:DuanQiYingFuZhaiQuan" label="短期应付债券" mulRef="_GBC_6d31349460124941a4929421727aab0e" unitRef="_GBC_7d8c93066ac541859a45d371953d3cdc" addr="T0R1C1S1_1" formatStyle="Comma" appId="_GBC_80907e3e53c44260b850f42646eb3d63"/>
      <m:item xlName="_GBC_fd70aba6092d4880b79a3affdf6a543b" concept="clcid-pte:DuanQiYingFuZhaiQuan" label="短期应付债券" periodRef="本期期初数" mulRef="_GBC_6d31349460124941a4929421727aab0e" unitRef="_GBC_7d8c93066ac541859a45d371953d3cdc" addr="T0R1C2S1_1" formatStyle="Comma" appId="_GBC_80907e3e53c44260b850f42646eb3d63"/>
      <m:placeholder xlName="_PLD_8a3ee9fb31a7471489501bd0334950d5" addr="T0R2C0S1_1"/>
      <m:item xlName="_GBC_0d967adb92294e618ccc732e03a38291" concept="clcid-pte:QiTaLiuDongFuZhaiYingFuTuiHuoKuan" label="其他流动负债-应付退货款" mulRef="_GBC_6d31349460124941a4929421727aab0e" unitRef="_GBC_7d8c93066ac541859a45d371953d3cdc" addr="T0R2C1S1_1" formatStyle="Comma" appId="_GBC_80907e3e53c44260b850f42646eb3d63"/>
      <m:item xlName="_GBC_8b2b67410a43452f9a271ac11af38f7b" concept="clcid-pte:QiTaLiuDongFuZhaiYingFuTuiHuoKuan" label="其他流动负债-应付退货款" periodRef="本期期初数" mulRef="_GBC_6d31349460124941a4929421727aab0e" unitRef="_GBC_7d8c93066ac541859a45d371953d3cdc" addr="T0R2C2S1_1" formatStyle="Comma" appId="_GBC_80907e3e53c44260b850f42646eb3d63"/>
      <m:tuple xlName="_GBC_6ad57a8cdfbd4161b9e29fe9e473fce8" concept="clcid-pte:QiTaLiuDongFuZhaiMingXi" default_row="2" addr="T0R3C">
        <m:item xlName="_GBC_352c778f39354fc0bc4a3a91aa4eae74" concept="clcid-pte:QiTaLiuDongFuZhaiMingXiXiangMu" label="其他流动负债明细-项目" addr="T0R3C0S1_1" appId="_GBC_80907e3e53c44260b850f42646eb3d63"/>
        <m:item xlName="_GBC_72cc47e7eb4e4ea6ab273538443052f5" concept="clcid-pte:QiTaLiuDongFuZhaiMingXiZhangMianYuE" label="其他流动负债明细-账面余额" mulRef="_GBC_6d31349460124941a4929421727aab0e" unitRef="_GBC_7d8c93066ac541859a45d371953d3cdc" addr="T0R3C1S1_1" formatStyle="Comma" appId="_GBC_80907e3e53c44260b850f42646eb3d63"/>
        <m:item xlName="_GBC_57be80f91b9b44af8eb6994ce0c68f5c" concept="clcid-pte:QiTaLiuDongFuZhaiMingXiZhangMianYuE" label="其他流动负债明细-账面余额" periodRef="本期期初数" mulRef="_GBC_6d31349460124941a4929421727aab0e" unitRef="_GBC_7d8c93066ac541859a45d371953d3cdc" addr="T0R3C2S1_1" formatStyle="Comma" appId="_GBC_80907e3e53c44260b850f42646eb3d63"/>
      </m:tuple>
      <m:placeholder xlName="_PLD_3835b041db764a298b09897ff76b9cf1" addr="T0R5C0S1_1"/>
      <m:item xlName="_GBC_fb283a276dc14cf8818db5e0cbc75ffc" concept="clcid-pte:QiTaLiuDongFuZhai" label="其他流动负债" mulRef="_GBC_6d31349460124941a4929421727aab0e" unitRef="_GBC_7d8c93066ac541859a45d371953d3cdc" addr="T0R5C1S1_1" formatStyle="Comma" appId="_GBC_80907e3e53c44260b850f42646eb3d63">
        <m:complexRule comparator="Eq" title="其他流动负债" test="$_GBC_2429d1b9c4ac48fd82fba4deb51a2d3c+$_GBC_0d967adb92294e618ccc732e03a38291+$_GBC_72cc47e7eb4e4ea6ab273538443052f5" id="Ca402576f1d5a4426a37287cfe4847092"/>
      </m:item>
      <m:item xlName="_GBC_6a6f0ad4754f4bfe87e56d18e8997c34" concept="clcid-pte:QiTaLiuDongFuZhai" label="其他流动负债" periodRef="本期期初数" mulRef="_GBC_6d31349460124941a4929421727aab0e" unitRef="_GBC_7d8c93066ac541859a45d371953d3cdc" addr="T0R5C2S1_1" formatStyle="Comma" appId="_GBC_80907e3e53c44260b850f42646eb3d63">
        <m:complexRule comparator="Eq" title="其他流动负债@本期期初数" test="$_GBC_fd70aba6092d4880b79a3affdf6a543b+$_GBC_8b2b67410a43452f9a271ac11af38f7b+$_GBC_57be80f91b9b44af8eb6994ce0c68f5c" id="C20a024211bb848d998c0d452556f6749"/>
      </m:item>
    </m:section>
    <m:section xlName="_GBC_4577b030bbab4faa991328e6acd5a589" title="短期应付债券的增减变动" convertSummaryRule="NoConvert" helpId="112001093">
      <m:item xlName="_GBC_82d0c6ce58744d20918b6a0221dbac6b" concept="clcid-ci-ar:ShiFouShiYongDuanQiYingFuZhaiQuanDeZengJianBianDong" label="是否适用：短期应付债券的增减变动" selectOptions="_buildInAppliance" controlType="CustomCheckbox" cRanges="{&quot;StartName&quot;:&quot;_GBC_82d0c6ce58744d20918b6a0221dbac6b&quot;,&quot;EndName&quot;:&quot;_GBC_194ce6f9bbd4443390f3c55b0cee1f47&quot;,&quot;CType&quot;:1,&quot;DisplayText&quot;:null}"/>
      <m:item xlName="_GBC_77aaa92de5de4505bd6b482014e7cf6b" concept="clcid-ci-ar:DanWeiCaiWuFuZhuDuanQiYingFuZhaiQuanDeZengJianBianDong" label="单位：财务附注：短期应付债券的增减变动" selectOptions="_buildInScales" controlType="Combobox" cellType="Scale" appId="_GBC_82d0c6ce58744d20918b6a0221dbac6b"/>
      <m:item xlName="_GBC_be6c70f7ccdc4344bdde801a6b0bb3a6" concept="clcid-ci-ar:BiZhongCaiWuFuZhuDuanQiYingFuZhaiQuanDeZengJianBianDong" label="币种：财务附注：短期应付债券的增减变动" selectOptions="_buildInISO4217" controlType="Combobox" cellType="Measure" appId="_GBC_82d0c6ce58744d20918b6a0221dbac6b"/>
      <m:placeholder xlName="_PLD_16817769f19f45ac9c46df788b579d1c" addr="T0R0C0S1_1"/>
      <m:placeholder xlName="_PLD_b64770d90b334eb1a037fdb31a538d36" addr="T0R0C1S1_1"/>
      <m:placeholder xlName="_PLD_d384f007cfed4552826071d001810b87" addr="T0R0C2S1_1"/>
      <m:placeholder xlName="_PLD_02b0b0cda7b14d5eb4d5c37c17fb4d3b" addr="T0R0C3S1_1"/>
      <m:placeholder xlName="_PLD_a8b9f211416c4764859b1ecbb67d7338" addr="T0R0C4S1_1"/>
      <m:placeholder xlName="_PLD_a0e12e62a0ce4b78b139e5d1ffd5611e" addr="T0R0C5S1_1"/>
      <m:placeholder xlName="_PLD_0d7f8012461b4f7388cc653ce721a2af" addr="T0R0C6S1_1"/>
      <m:placeholder xlName="_PLD_4203a9a167d241c193135a89949e50d1" addr="T0R0C7S1_1"/>
      <m:placeholder xlName="_PLD_32e9f8bb93f84ec79eaaee43454a1694" addr="T0R0C8S1_1"/>
      <m:placeholder xlName="_PLD_7e3967d502ee43a8a740aec0c4372b76" addr="T0R0C9S1_1"/>
      <m:placeholder xlName="_PLD_bbd9c2a0e44642eda11733198d3795d9" addr="T0R0C10S1_1"/>
      <m:tuple xlName="_GBC_550226a5f8464e86bf34017674f48f7f" concept="clcid-pte:DuanQiYingFuZhaiQuanDeZengJianBianDongMingXi" default_row="2" addr="T0R1C">
        <m:item xlName="_GBC_a2be1ed554934448970665ac619bcc56" concept="clcid-pte:DuanQiYingFuZhaiQuanDeZengJianBianDongMingXiZhaiQuanMingCheng" label="短期应付债券的增减变动明细-债券名称" addr="T0R1C0S1_1" appId="_GBC_82d0c6ce58744d20918b6a0221dbac6b"/>
        <m:item xlName="_GBC_5b868d55f81c4820800e32202c0ff981" concept="clcid-pte:DuanQiYingFuZhaiQuanDeZengJianBianDongMingXiMianZhi" label="短期应付债券的增减变动明细-面值" mulRef="_GBC_77aaa92de5de4505bd6b482014e7cf6b" unitRef="_GBC_be6c70f7ccdc4344bdde801a6b0bb3a6" addr="T0R1C1S1_1" formatStyle="Comma" appId="_GBC_82d0c6ce58744d20918b6a0221dbac6b">
          <m:simpleRule dataType="Decimal" comparator="Eq" minValue="100" level="Warn"/>
        </m:item>
        <m:item xlName="_GBC_60795b0bf6f4435e8aa876b26fa2de8d" concept="clcid-pte:DuanQiYingFuZhaiQuanDeZengJianBianDongMingXiFaXingRiQi" label="短期应付债券的增减变动明细-发行日期" addr="T0R1C2S1_1" appId="_GBC_82d0c6ce58744d20918b6a0221dbac6b" keyAction="38"/>
        <m:item xlName="_GBC_ae16bf59f337488791d4c1b61672590d" concept="clcid-pte:DuanQiYingFuZhaiQuanDeZengJianBianDongMingXiZhaiQuanQiXian" label="短期应付债券的增减变动明细-债券期限" addr="T0R1C3S1_1" appId="_GBC_82d0c6ce58744d20918b6a0221dbac6b"/>
        <m:item xlName="_GBC_e9a9fc01b2cc4235b729f84d7357e667" concept="clcid-pte:DuanQiYingFuZhaiQuanDeZengJianBianDongMingXiFaXingJinE" label="短期应付债券的增减变动明细-发行金额" mulRef="_GBC_77aaa92de5de4505bd6b482014e7cf6b" unitRef="_GBC_be6c70f7ccdc4344bdde801a6b0bb3a6" addr="T0R1C4S1_1" formatStyle="Comma" appId="_GBC_82d0c6ce58744d20918b6a0221dbac6b"/>
        <m:item xlName="_GBC_92895ad384ac47d79560e9da4b330f83" concept="clcid-pte:DuanQiYingFuZhaiQuanDeZengJianBianDongMingXiYuE" label="短期应付债券的增减变动明细-余额" periodRef="本期期初数" mulRef="_GBC_77aaa92de5de4505bd6b482014e7cf6b" unitRef="_GBC_be6c70f7ccdc4344bdde801a6b0bb3a6" addr="T0R1C5S1_1" formatStyle="Comma" appId="_GBC_82d0c6ce58744d20918b6a0221dbac6b"/>
        <m:item xlName="_GBC_10c59e55a45c4be6bb7efe28f07dc003" concept="clcid-pte:DuanQiYingFuZhaiQuanDeZengJianBianDongMingXiBenQiFaXing" label="短期应付债券的增减变动明细-本期发行" mulRef="_GBC_77aaa92de5de4505bd6b482014e7cf6b" unitRef="_GBC_be6c70f7ccdc4344bdde801a6b0bb3a6" addr="T0R1C6S1_1" formatStyle="Comma" appId="_GBC_82d0c6ce58744d20918b6a0221dbac6b"/>
        <m:item xlName="_GBC_eb580b5cae43437c99c109af617af3e0" concept="clcid-pte:DuanQiYingFuZhaiQuanDeZengJianBianDongMingXiAnMianZhiJiTiLiXi" label="短期应付债券的增减变动明细-按面值计提利息" mulRef="_GBC_77aaa92de5de4505bd6b482014e7cf6b" unitRef="_GBC_be6c70f7ccdc4344bdde801a6b0bb3a6" addr="T0R1C7S1_1" formatStyle="Comma" appId="_GBC_82d0c6ce58744d20918b6a0221dbac6b"/>
        <m:item xlName="_GBC_ea5b14250b3c43e786237388ea142be6" concept="clcid-pte:DuanQiYingFuZhaiQuanDeZengJianBianDongMingXiYiZheJiaTanXiao" label="短期应付债券的增减变动明细-溢折价摊销" mulRef="_GBC_77aaa92de5de4505bd6b482014e7cf6b" unitRef="_GBC_be6c70f7ccdc4344bdde801a6b0bb3a6" addr="T0R1C8S1_1" formatStyle="Comma" appId="_GBC_82d0c6ce58744d20918b6a0221dbac6b"/>
        <m:item xlName="_GBC_d64b41b498f34ab4b01fef843f58c854" concept="clcid-pte:DuanQiYingFuZhaiQuanDeZengJianBianDongMingXiBenQiChangHuan" label="短期应付债券的增减变动明细-本期偿还" mulRef="_GBC_77aaa92de5de4505bd6b482014e7cf6b" unitRef="_GBC_be6c70f7ccdc4344bdde801a6b0bb3a6" addr="T0R1C9S1_1" formatStyle="Comma" appId="_GBC_82d0c6ce58744d20918b6a0221dbac6b"/>
        <m:item xlName="_GBC_387350810a7b4e4c978a35c7e6bbd09f" concept="clcid-pte:DuanQiYingFuZhaiQuanDeZengJianBianDongMingXiYuE" label="短期应付债券的增减变动明细-余额" mulRef="_GBC_77aaa92de5de4505bd6b482014e7cf6b" unitRef="_GBC_be6c70f7ccdc4344bdde801a6b0bb3a6" addr="T0R1C10S1_1" formatStyle="Comma" appId="_GBC_82d0c6ce58744d20918b6a0221dbac6b"/>
      </m:tuple>
      <m:placeholder xlName="_PLD_15782e589e5649d192db034a7f0f7a7f" addr="T0R3C0S1_1"/>
      <m:item xlName="_GBC_ad9b1758bc6a40fc982216a25cd38a34" concept="clcid-pte:DuanQiYingFuZhaiQuanDeZengJianBianDongFaXingJinEHeJi" label="短期应付债券的增减变动-发行金额合计" mulRef="_GBC_77aaa92de5de4505bd6b482014e7cf6b" unitRef="_GBC_be6c70f7ccdc4344bdde801a6b0bb3a6" addr="T0R3C4S1_1" formatStyle="Comma" appId="_GBC_82d0c6ce58744d20918b6a0221dbac6b">
        <m:complexRule comparator="Eq" title="短期应付债券的增减变动-发行金额合计" test=" $_GBC_e9a9fc01b2cc4235b729f84d7357e667" id="C0f7fb700050a457983ce6ab5aa99f982"/>
      </m:item>
      <m:item xlName="_GBC_e222b1dc156741ca99a4de31de328fbe" concept="clcid-pte:DuanQiYingFuZhaiQuanDeZengJianBianDongYuEHeJi" label="短期应付债券的增减变动-余额合计" periodRef="本期期初数" mulRef="_GBC_77aaa92de5de4505bd6b482014e7cf6b" unitRef="_GBC_be6c70f7ccdc4344bdde801a6b0bb3a6" addr="T0R3C5S1_1" formatStyle="Comma" appId="_GBC_82d0c6ce58744d20918b6a0221dbac6b">
        <m:complexRule comparator="Eq" title="短期应付债券的增减变动-余额合计@本期期初数" test=" $_GBC_92895ad384ac47d79560e9da4b330f83" id="C233d3b21d8d04044bf5a8ca23b14948c"/>
      </m:item>
      <m:item xlName="_GBC_a7de46fe58064425962cdc4c776f5abb" concept="clcid-pte:DuanQiYingFuZhaiQuanDeZengJianBianDongBenQiFaXingHeJi" label="短期应付债券的增减变动-本期发行合计" mulRef="_GBC_77aaa92de5de4505bd6b482014e7cf6b" unitRef="_GBC_be6c70f7ccdc4344bdde801a6b0bb3a6" addr="T0R3C6S1_1" formatStyle="Comma" appId="_GBC_82d0c6ce58744d20918b6a0221dbac6b">
        <m:complexRule comparator="Eq" title="短期应付债券的增减变动-本期发行合计" test=" $_GBC_10c59e55a45c4be6bb7efe28f07dc003" id="C29f3a43bf02c4730af0cd55ef54694a9"/>
      </m:item>
      <m:item xlName="_GBC_8b614d3aa2a44a21b32f6bb941787c1a" concept="clcid-pte:DuanQiYingFuZhaiQuanDeZengJianBianDongAnMianZhiJiTiLiXiHeJi" label="短期应付债券的增减变动-按面值计提利息合计" mulRef="_GBC_77aaa92de5de4505bd6b482014e7cf6b" unitRef="_GBC_be6c70f7ccdc4344bdde801a6b0bb3a6" addr="T0R3C7S1_1" formatStyle="Comma" appId="_GBC_82d0c6ce58744d20918b6a0221dbac6b">
        <m:complexRule comparator="Eq" title="短期应付债券的增减变动-按面值计提利息合计" test=" $_GBC_eb580b5cae43437c99c109af617af3e0" id="Ce22fac5077a24e5e8930698c2d42c865"/>
      </m:item>
      <m:item xlName="_GBC_cf3fbb3a7ca24c529a708b1c810152d5" concept="clcid-pte:DuanQiYingFuZhaiQuanDeZengJianBianDongYiZheJiaTanXiaoHeJi" label="短期应付债券的增减变动-溢折价摊销合计" mulRef="_GBC_77aaa92de5de4505bd6b482014e7cf6b" unitRef="_GBC_be6c70f7ccdc4344bdde801a6b0bb3a6" addr="T0R3C8S1_1" formatStyle="Comma" appId="_GBC_82d0c6ce58744d20918b6a0221dbac6b">
        <m:complexRule comparator="Eq" title="短期应付债券的增减变动-溢折价摊销合计" test=" $_GBC_ea5b14250b3c43e786237388ea142be6" id="C60afaad29d2d4706b42cae49b7ed0aaa"/>
      </m:item>
      <m:item xlName="_GBC_6b2a000f2c184f32a48b7f54de485740" concept="clcid-pte:DuanQiYingFuZhaiQuanDeZengJianBianDongBenQiChangHuanHeJi" label="短期应付债券的增减变动-本期偿还合计" mulRef="_GBC_77aaa92de5de4505bd6b482014e7cf6b" unitRef="_GBC_be6c70f7ccdc4344bdde801a6b0bb3a6" addr="T0R3C9S1_1" formatStyle="Comma" appId="_GBC_82d0c6ce58744d20918b6a0221dbac6b">
        <m:complexRule comparator="Eq" title="短期应付债券的增减变动-本期偿还合计" test=" $_GBC_d64b41b498f34ab4b01fef843f58c854" id="C95667aac28224b39a2cdf85b7a2b6769"/>
      </m:item>
      <m:item xlName="_GBC_194ce6f9bbd4443390f3c55b0cee1f47" concept="clcid-pte:DuanQiYingFuZhaiQuanDeZengJianBianDongYuEHeJi" label="短期应付债券的增减变动-余额合计" mulRef="_GBC_77aaa92de5de4505bd6b482014e7cf6b" unitRef="_GBC_be6c70f7ccdc4344bdde801a6b0bb3a6" addr="T0R3C10S1_1" formatStyle="Comma" appId="_GBC_82d0c6ce58744d20918b6a0221dbac6b">
        <m:complexRule comparator="Eq" title="短期应付债券的增减变动-余额合计" test=" $_GBC_387350810a7b4e4c978a35c7e6bbd09f" id="C3cc1f2cac29c4c68afe55742e12ca532"/>
      </m:item>
    </m:section>
    <m:section xlName="_GBC_b1cb6faf7bad41e4868a075c1a423566" title="其他流动负债说明" helpId="112001093">
      <m:item xlName="_GBC_6ebc9e220fb04ea584ed56f756d92d59" concept="clcid-ci-ar:ShiFouShiYongQiTaLiuDongFuZhaiShuoMing" label="是否适用：其他流动负债说明" selectOptions="_buildInAppliance" controlType="CustomCheckbox" cRanges="{&quot;StartName&quot;:&quot;_GBC_6ebc9e220fb04ea584ed56f756d92d59&quot;,&quot;EndName&quot;:&quot;_GBC_3cd232d71e3848fca1973467931a1cbd&quot;,&quot;CType&quot;:1,&quot;DisplayText&quot;:null}"/>
      <m:item xlName="_GBC_3cd232d71e3848fca1973467931a1cbd" concept="clcid-pte:QiTaLiuDongFuZhaiShuoMing" label="其他流动负债说明" appId="_GBC_6ebc9e220fb04ea584ed56f756d92d59"/>
    </m:section>
    <m:section xlName="_GBC_8b6acb9acc4745f09cf8ff1a98787eb9" title="长期借款分类 " convertSummaryRule="NoConvert" helpId="112001094">
      <m:item xlName="_GBC_6ef43a5268e7491db189883a31952469" concept="clcid-ci-ar:ShiFouShiYongChangQiJieKuanFenLei" label="是否适用：长期借款分类" selectOptions="_buildInAppliance" controlType="CustomCheckbox" cRanges="{&quot;StartName&quot;:&quot;_GBC_6ef43a5268e7491db189883a31952469&quot;,&quot;EndName&quot;:&quot;_GBC_c93626a5eade42f48eca926da85f3afb&quot;,&quot;CType&quot;:1,&quot;DisplayText&quot;:null}"/>
      <m:item xlName="_GBC_146f044f7fd14a45bf9247f0af389a14" concept="clcid-ci-ar:DanWeiCaiWuFuZhuChangQiJieKuanFenLei" label="单位：财务附注：长期借款分类" selectOptions="_buildInScales" controlType="Combobox" cellType="Scale" appId="_GBC_6ef43a5268e7491db189883a31952469"/>
      <m:item xlName="_GBC_7570ad6f1fd04c3d939be649ce4cfc30" concept="clcid-ci-ar:BiZhongCaiWuFuZhuChangQiJieKuanFenLei" label="币种：财务附注：长期借款分类" selectOptions="_buildInISO4217" controlType="Combobox" cellType="Measure" appId="_GBC_6ef43a5268e7491db189883a31952469"/>
      <m:placeholder xlName="_PLD_3ee60507a6384334b819485e73faa1f4" addr="T0R0C0S1_1"/>
      <m:placeholder xlName="_PLD_d2a4fabfb296457384b1523a60233642" addr="T0R0C1S1_1"/>
      <m:placeholder xlName="_PLD_aab598d4b37f4953a2ee9b7475cb43e6" addr="T0R0C2S1_1"/>
      <m:placeholder xlName="_PLD_e89d9c6de3ff4da98f7949a63d0f927d" addr="T0R1C0S1_1"/>
      <m:item xlName="_GBC_a43fb0b4d73b455eb43fc38efd972c21" concept="clcid-pte:ChangQiJieKuanZhongDeZhiYaJieKuan" label="长期借款中的质押借款" mulRef="_GBC_146f044f7fd14a45bf9247f0af389a14" unitRef="_GBC_7570ad6f1fd04c3d939be649ce4cfc30" addr="T0R1C1S1_1" formatStyle="Comma" appId="_GBC_6ef43a5268e7491db189883a31952469"/>
      <m:item xlName="_GBC_3763069c5a8547c9b598592a13e932dc" concept="clcid-pte:ChangQiJieKuanZhongDeZhiYaJieKuan" label="长期借款中的质押借款" periodRef="本期期初数" mulRef="_GBC_146f044f7fd14a45bf9247f0af389a14" unitRef="_GBC_7570ad6f1fd04c3d939be649ce4cfc30" addr="T0R1C2S1_1" formatStyle="Comma" appId="_GBC_6ef43a5268e7491db189883a31952469"/>
      <m:placeholder xlName="_PLD_0b1001d1355e4c59a134f674ebe8204e" addr="T0R2C0S1_1"/>
      <m:item xlName="_GBC_ee285e6751c94cbca847a1743c1b2633" concept="clcid-pte:ChangQiJieKuanZhongDeDiYaJieKuan" label="长期借款中的抵押借款" mulRef="_GBC_146f044f7fd14a45bf9247f0af389a14" unitRef="_GBC_7570ad6f1fd04c3d939be649ce4cfc30" addr="T0R2C1S1_1" formatStyle="Comma" appId="_GBC_6ef43a5268e7491db189883a31952469"/>
      <m:item xlName="_GBC_7aceaaf427ae40b19c09b5380c411db8" concept="clcid-pte:ChangQiJieKuanZhongDeDiYaJieKuan" label="长期借款中的抵押借款" periodRef="本期期初数" mulRef="_GBC_146f044f7fd14a45bf9247f0af389a14" unitRef="_GBC_7570ad6f1fd04c3d939be649ce4cfc30" addr="T0R2C2S1_1" formatStyle="Comma" appId="_GBC_6ef43a5268e7491db189883a31952469"/>
      <m:placeholder xlName="_PLD_669e61b5dd004cb5a74065b7b27bba92" addr="T0R3C0S1_1"/>
      <m:item xlName="_GBC_e46ecfda9d0c47cd818c2eaf258d7607" concept="clcid-pte:ChangQiJieKuanZhongDeDanBaoJieKuan" label="长期借款中的担保借款" mulRef="_GBC_146f044f7fd14a45bf9247f0af389a14" unitRef="_GBC_7570ad6f1fd04c3d939be649ce4cfc30" addr="T0R3C1S1_1" formatStyle="Comma" appId="_GBC_6ef43a5268e7491db189883a31952469"/>
      <m:item xlName="_GBC_f7cfaba146b34178a09ba44911c4b5b0" concept="clcid-pte:ChangQiJieKuanZhongDeDanBaoJieKuan" label="长期借款中的担保借款" periodRef="本期期初数" mulRef="_GBC_146f044f7fd14a45bf9247f0af389a14" unitRef="_GBC_7570ad6f1fd04c3d939be649ce4cfc30" addr="T0R3C2S1_1" formatStyle="Comma" appId="_GBC_6ef43a5268e7491db189883a31952469"/>
      <m:placeholder xlName="_PLD_2312ba41d50b4809827a433abcf13e0a" addr="T0R4C0S1_1"/>
      <m:item xlName="_GBC_99fa2cbfb6c14b5287c5fb89d09b68a8" concept="clcid-pte:ChangQiJieKuanZhongDeXinYongJieKuan" label="长期借款中的信用借款" mulRef="_GBC_146f044f7fd14a45bf9247f0af389a14" unitRef="_GBC_7570ad6f1fd04c3d939be649ce4cfc30" addr="T0R4C1S1_1" formatStyle="Comma" appId="_GBC_6ef43a5268e7491db189883a31952469"/>
      <m:item xlName="_GBC_7a25ed18e646409daaf6c299985a4b36" concept="clcid-pte:ChangQiJieKuanZhongDeXinYongJieKuan" label="长期借款中的信用借款" periodRef="本期期初数" mulRef="_GBC_146f044f7fd14a45bf9247f0af389a14" unitRef="_GBC_7570ad6f1fd04c3d939be649ce4cfc30" addr="T0R4C2S1_1" formatStyle="Comma" appId="_GBC_6ef43a5268e7491db189883a31952469"/>
      <m:tuple xlName="_GBC_85f6347d2f774278af8459ee853b41e0" concept="clcid-pte:QiTaChangQiJieKuan" default_row="2" addr="T0R5C">
        <m:item xlName="_GBC_767e4bf95ace42a9916b0b7007910616" concept="clcid-pte:QiTaChangQiJieKuanXiangMu" label="其他长期借款项目" addr="T0R5C0S1_1" appId="_GBC_6ef43a5268e7491db189883a31952469"/>
        <m:item xlName="_GBC_09dd58ef20d543199cafdc69a8e94263" concept="clcid-pte:QiTaChangQiJieKuanXiangMuJinE" label="其他长期借款项目金额" mulRef="_GBC_146f044f7fd14a45bf9247f0af389a14" unitRef="_GBC_7570ad6f1fd04c3d939be649ce4cfc30" addr="T0R5C1S1_1" formatStyle="Comma" appId="_GBC_6ef43a5268e7491db189883a31952469"/>
        <m:item xlName="_GBC_11ddd8770bfb427d80f2c196e4d83d30" concept="clcid-pte:QiTaChangQiJieKuanXiangMuJinE" label="其他长期借款项目金额" periodRef="本期期初数" mulRef="_GBC_146f044f7fd14a45bf9247f0af389a14" unitRef="_GBC_7570ad6f1fd04c3d939be649ce4cfc30" addr="T0R5C2S1_1" formatStyle="Comma" appId="_GBC_6ef43a5268e7491db189883a31952469"/>
      </m:tuple>
      <m:placeholder xlName="_PLD_f7e631a83103405986891624f37b155a" addr="T0R7C0S1_1"/>
      <m:item xlName="_GBC_6e43c5f69f874fc58773222686a59941" concept="clcid-pte:ChangQiJieKuan" label="长期借款" mulRef="_GBC_146f044f7fd14a45bf9247f0af389a14" unitRef="_GBC_7570ad6f1fd04c3d939be649ce4cfc30" addr="T0R7C1S1_1" formatStyle="Comma" appId="_GBC_6ef43a5268e7491db189883a31952469">
        <m:complexRule comparator="Eq" title="长期借款" test=" $_GBC_a43fb0b4d73b455eb43fc38efd972c21 +  $_GBC_ee285e6751c94cbca847a1743c1b2633 +  $_GBC_e46ecfda9d0c47cd818c2eaf258d7607 +  $_GBC_99fa2cbfb6c14b5287c5fb89d09b68a8 +  $_GBC_09dd58ef20d543199cafdc69a8e94263" id="C1c9de1a2b4f643e2970783555ffee2c8" serialType="1"/>
      </m:item>
      <m:item xlName="_GBC_43350650305f416580a80b9aac14e006" concept="clcid-pte:ChangQiJieKuan" label="长期借款" periodRef="本期期初数" mulRef="_GBC_146f044f7fd14a45bf9247f0af389a14" unitRef="_GBC_7570ad6f1fd04c3d939be649ce4cfc30" addr="T0R7C2S1_1" formatStyle="Comma" appId="_GBC_6ef43a5268e7491db189883a31952469">
        <m:complexRule comparator="Eq" title="长期借款@本期期初数" test=" $_GBC_3763069c5a8547c9b598592a13e932dc +  $_GBC_7aceaaf427ae40b19c09b5380c411db8 +  $_GBC_f7cfaba146b34178a09ba44911c4b5b0 +  $_GBC_7a25ed18e646409daaf6c299985a4b36 +  $_GBC_11ddd8770bfb427d80f2c196e4d83d30" id="C8f3c4c74fabb45589c747e2c88f260fb" serialType="1"/>
      </m:item>
      <m:item xlName="_GBC_c93626a5eade42f48eca926da85f3afb" concept="clcid-pte:ChangQiJieKuanFenLeiDeShuoMing" label="长期借款分类的说明" appId="_GBC_6ef43a5268e7491db189883a31952469"/>
    </m:section>
    <m:section xlName="_GBC_7195bfed3c6d4a6fb2b17f01aa73f311" title="长期借款的说明" helpId="112001094">
      <m:item xlName="_GBC_1dc67be6516c4de3956a80023674c75a" concept="clcid-ci-ar:ShiFouShiYongChangQiJieKuanDeShuoMing" label="是否适用：长期借款的说明" selectOptions="_buildInAppliance" controlType="CustomCheckbox" cRanges="{&quot;StartName&quot;:&quot;_GBC_1dc67be6516c4de3956a80023674c75a&quot;,&quot;EndName&quot;:&quot;_GBC_05c1a5b23bdb44ee812f7f625a395fd0&quot;,&quot;CType&quot;:1,&quot;DisplayText&quot;:null}"/>
      <m:item xlName="_GBC_05c1a5b23bdb44ee812f7f625a395fd0" concept="clcid-pte:ChangQiJieKuanDeShuoMing" label="长期借款的说明" appId="_GBC_1dc67be6516c4de3956a80023674c75a"/>
    </m:section>
    <m:section xlName="_GBC_cd8e29427b9b4eecb46188c744528e27" title="应付债券" helpId="112001095">
      <m:item xlName="_GBC_b07c291c892844efaca56bc1d52b1566" concept="clcid-ci-ar:ShiFouShiYongYingFuZhaiQuan" label="是否适用：应付债券" selectOptions="_buildInAppliance" controlType="CustomCheckbox" cRanges="{&quot;StartName&quot;:&quot;_GBC_b07c291c892844efaca56bc1d52b1566&quot;,&quot;EndName&quot;:&quot;_GBC_ae984f8f86a449a1897a70a541efddcd&quot;,&quot;CType&quot;:1,&quot;DisplayText&quot;:null}"/>
      <m:item xlName="_GBC_5c0626b48a2b47e5b1fa30bc0936ae68" concept="clcid-ci-ar:DanWeiCaiWuFuZhuYingFuZhaiQuan" label="单位：财务附注：应付债券" selectOptions="_buildInScales" controlType="Combobox" cellType="Scale" appId="_GBC_b07c291c892844efaca56bc1d52b1566"/>
      <m:item xlName="_GBC_5dd240124fc44a14b0361901a2a8b897" concept="clcid-ci-ar:BiZhongCaiWuFuZhuYingFuZhaiQuan" label="币种：财务附注：应付债券" selectOptions="_buildInISO4217" controlType="Combobox" cellType="Measure" appId="_GBC_b07c291c892844efaca56bc1d52b1566"/>
      <m:placeholder xlName="_PLD_dacb6f47868c48c4a5180256022d0c07" addr="T0R0C0S1_1"/>
      <m:placeholder xlName="_PLD_30efa3a744404b8e898a2f8f653f7f19" addr="T0R0C1S1_1"/>
      <m:placeholder xlName="_PLD_faff9d38659a4878bf966d1b9dd493b9" addr="T0R0C2S1_1"/>
      <m:tuple xlName="_GBC_ce87ca4ab7a54773927187961fdc2d7d" concept="clcid-pte:YingFuZhaiQuanQingKuangMingXi" default_row="2" addr="T0R1C">
        <m:item xlName="_GBC_3640f317dfd74d469eb460dd218d9424" concept="clcid-pte:YingFuZhaiQuanQingKuangMingXiXiangMuMingCheng" label="应付债券情况明细-项目名称" addr="T0R1C0S1_1" appId="_GBC_b07c291c892844efaca56bc1d52b1566"/>
        <m:item xlName="_GBC_8e3ef9271017457fbbf4f2cf840b3f38" concept="clcid-pte:YingFuZhaiQuanQingKuangMingXiJinE" label="应付债券情况明细-金额" mulRef="_GBC_5c0626b48a2b47e5b1fa30bc0936ae68" unitRef="_GBC_5dd240124fc44a14b0361901a2a8b897" addr="T0R1C1S1_1" formatStyle="Comma" appId="_GBC_b07c291c892844efaca56bc1d52b1566"/>
        <m:item xlName="_GBC_20e6891ccd2e4a12a50eef0b0a2ee781" concept="clcid-pte:YingFuZhaiQuanQingKuangMingXiJinE" label="应付债券情况明细-金额" periodRef="本期期初数" mulRef="_GBC_5c0626b48a2b47e5b1fa30bc0936ae68" unitRef="_GBC_5dd240124fc44a14b0361901a2a8b897" addr="T0R1C2S1_1" formatStyle="Comma" appId="_GBC_b07c291c892844efaca56bc1d52b1566"/>
      </m:tuple>
      <m:placeholder xlName="_PLD_4bc5d2895572448eb50b2ba82f0a9f34" addr="T0R3C0S1_1"/>
      <m:item xlName="_GBC_9904962a86214036a33e2db0a976248c" concept="clcid-pte:YingFuZhaiQuan" label="应付债券" mulRef="_GBC_5c0626b48a2b47e5b1fa30bc0936ae68" unitRef="_GBC_5dd240124fc44a14b0361901a2a8b897" addr="T0R3C1S1_1" formatStyle="Comma" appId="_GBC_b07c291c892844efaca56bc1d52b1566">
        <m:complexRule comparator="Eq" title="应付债券" test=" $_GBC_8e3ef9271017457fbbf4f2cf840b3f38" id="Cd1fab461d40d485083533bbdabf92d61"/>
      </m:item>
      <m:item xlName="_GBC_ae984f8f86a449a1897a70a541efddcd" concept="clcid-pte:YingFuZhaiQuan" label="应付债券" periodRef="本期期初数" mulRef="_GBC_5c0626b48a2b47e5b1fa30bc0936ae68" unitRef="_GBC_5dd240124fc44a14b0361901a2a8b897" addr="T0R3C2S1_1" formatStyle="Comma" appId="_GBC_b07c291c892844efaca56bc1d52b1566">
        <m:complexRule comparator="Eq" title="应付债券@本期期初数" test=" $_GBC_20e6891ccd2e4a12a50eef0b0a2ee781" id="C79d1a214beb2467a9561eef150076739"/>
      </m:item>
    </m:section>
    <m:section xlName="_GBC_93c3424329ce41edbb49a50ffbdbc9d7" title="应付债券的增减变动"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concept="clcid-ci-ar:DanWeiCaiWuFuZhuYingFuZhaiQuanDeZengJianBianDong" label="单位：财务附注：应付债券的增减变动" selectOptions="_buildInScales" controlType="Combobox" cellType="Scale" appId="_GBC_4b9b2c6cc76845b79e52a5d821e1cf5a"/>
      <m:item xlName="_GBC_0e52a0719da945bab24d9f1419aafdbf"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addr="T0R0C0S1_1"/>
      <m:placeholder xlName="_PLD_c5ae7cf1050d4b6db695378cb85e6bf6" addr="T0R0C1S1_1"/>
      <m:placeholder xlName="_PLD_b24c8421982a45ce9c2cbcbe4c427338" addr="T0R0C2S1_1"/>
      <m:placeholder xlName="_PLD_cfe1f059778e41a2a06c9174e37fc9a6" addr="T0R0C3S1_1"/>
      <m:placeholder xlName="_PLD_6de77ae8046a4df5864b434026fff480" addr="T0R0C4S1_1"/>
      <m:placeholder xlName="_PLD_15ad5334c6b949f3abd32dba93f5409a" addr="T0R0C5S1_1"/>
      <m:placeholder xlName="_PLD_070f511ab8b84b29adb30e353d60f6d7" addr="T0R0C6S1_1"/>
      <m:placeholder xlName="_PLD_9063b0ae4adc4179ab1f05fdafd1ca18" addr="T0R0C7S1_1"/>
      <m:placeholder xlName="_PLD_52f37b4f678547c2b994ed9088b195d4" addr="T0R0C8S1_1"/>
      <m:placeholder xlName="_PLD_80e06ce471504396b7d99cd1b3af5c58" addr="T0R0C9S1_1"/>
      <m:placeholder xlName="_PLD_a920c6074a20468c93bd4cd5b15289a1" addr="T0R0C10S1_1"/>
      <m:tuple xlName="_GBC_e9f1ad9ee738418d9ed393ae3a98ece9" concept="clcid-pte:YingFuZhaiQuanMingXi" default_row="2" addr="T0R1C">
        <m:item xlName="_GBC_1612fb670935479f949aae347a3c3e61"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tuple>
      <m:placeholder xlName="_PLD_ab2a5f4526d74087b1adaa1bdfb92c75"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item xlName="_GBC_bdbcbf7db2194e929d8f2f4945774241" concept="clcid-ci-ar:ShiFouShiYongKeZhuanHuanGongSiZhaiQuanDeZhuanGuTiaoJianZhuanGuShiJianShuoMing" label="是否适用：可转换公司债券的转股条件、转股时间说明" selectOptions="_buildInAppliance" controlType="CustomCheckbox" cRanges="{&quot;StartName&quot;:&quot;_GBC_bdbcbf7db2194e929d8f2f4945774241&quot;,&quot;EndName&quot;:&quot;_GBC_41daef97e86046e5a591ed1f8fdd2a28&quot;,&quot;CType&quot;:1,&quot;DisplayText&quot;:null}"/>
      <m:item xlName="_GBC_41daef97e86046e5a591ed1f8fdd2a28" concept="clcid-pte:YingFuZhaiQuanDeShuoMing" label="应付债券的说明" appId="_GBC_bdbcbf7db2194e929d8f2f4945774241"/>
    </m:section>
    <m:section xlName="_GBC_d031ed2380884bb4aa3cb2efb2740308" title="划分为金融负债的其他金融工具说明" helpId="112001095">
      <m:item xlName="_GBC_61542231aba54618ab4bd6d781bfab05" concept="clcid-ci-ar:ShiFouShiYongHuaFenWeiJinRongFuZhaiDeQiTaJinRongGongJuShuoMing" label="是否适用：划分为金融负债的其他金融工具说明" selectOptions="_buildInAppliance" controlType="CustomCheckbox" cRanges="{&quot;StartName&quot;:&quot;_GBC_61542231aba54618ab4bd6d781bfab05&quot;,&quot;EndName&quot;:&quot;_GBC_23d64a8c21864e238019890d2181c49f&quot;,&quot;CType&quot;:1,&quot;DisplayText&quot;:null}"/>
      <m:item xlName="_GBC_23d64a8c21864e238019890d2181c49f" concept="clcid-pte:QiMoFaXingZaiWaiDeYouXianGuYongXuZhaiDengQiTaJinRongGongJuJiBenQingKuangShuoMing" label="期末发行在外的优先股、永续债等其他金融工具基本情况说明" appId="_GBC_61542231aba54618ab4bd6d781bfab05"/>
      <m:item xlName="_GBC_4cf6ed9dc37d42fc946f2268e90eee97"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4cf6ed9dc37d42fc946f2268e90eee97&quot;,&quot;EndName&quot;:&quot;_GBC_5f382791ee4e42699a68047c219b4fd9&quot;,&quot;CType&quot;:1,&quot;DisplayText&quot;:null}"/>
      <m:item xlName="_GBC_b92adf2138954272a80867568f3c95db" concept="clcid-ci-ar:DanWeiCaiWuFuZhuQiMoFaXingZaiWaiDeYouXianGuYongXuZhaiDengJinRongGongJuBianDongQingKuangBiaoYingFuZhaiQuan" label="单位：财务附注：期末发行在外的优先股、永续债等金融工具变动情况表（应付债券）" selectOptions="_buildInScales" controlType="Combobox" cellType="Scale" appId="_GBC_4cf6ed9dc37d42fc946f2268e90eee97"/>
      <m:item xlName="_GBC_4031d1b56bb448239a16e77cfa757d93" concept="clcid-ci-ar:BiZhongCaiWuFuZhuQiMoFaXingZaiWaiDeYouXianGuYongXuZhaiDengJinRongGongJuBianDongQingKuangBiaoYingFuZhaiQuan" label="币种：财务附注：期末发行在外的优先股、永续债等金融工具变动情况表（应付债券）" selectOptions="_buildInISO4217" controlType="Combobox" cellType="Measure" appId="_GBC_4cf6ed9dc37d42fc946f2268e90eee97"/>
      <m:placeholder xlName="_PLD_d1d67483b4e34abea2a73e72e9aa398d" addr="T0R0C0S2_1"/>
      <m:placeholder xlName="_PLD_710c752850c4452a97d539e59bf29ec6" addr="T0R0C1S1_2"/>
      <m:placeholder xlName="_PLD_cda4622a20fa41c9a02022b531f1335c" addr="T0R0C3S1_2"/>
      <m:placeholder xlName="_PLD_3bcd542e38c8475886c48d45708bdba2" addr="T0R0C5S1_2"/>
      <m:placeholder xlName="_PLD_d369a2bc689041838cf3faa887adf91d" addr="T0R0C7S1_2"/>
      <m:placeholder xlName="_PLD_bdcf70db5be1426485161ac770b6208a" addr="T0R1C1S1_1"/>
      <m:placeholder xlName="_PLD_8f6359be741b4a2cbce38ca2837dec0c" addr="T0R1C2S1_1"/>
      <m:placeholder xlName="_PLD_64cef0eedf5a40739c49340225745f2a" addr="T0R1C3S1_1"/>
      <m:placeholder xlName="_PLD_3daca12809ae45dea7739b66c128ebdc" addr="T0R1C4S1_1"/>
      <m:placeholder xlName="_PLD_afca8a2b4f56415495d60a4ca25fc579" addr="T0R1C5S1_1"/>
      <m:placeholder xlName="_PLD_aaf2e497345b4b2d99a09812d73e795a" addr="T0R1C6S1_1"/>
      <m:placeholder xlName="_PLD_a07f63824dde4cce9ef15a1dacdc2ef9" addr="T0R1C7S1_1"/>
      <m:placeholder xlName="_PLD_6293cef557ba4cf48980bd49c2251339" addr="T0R1C8S1_1"/>
      <m:tuple xlName="_GBC_0ec28ea4f64d48e1ac7bdab5ad3c7af7" concept="clcid-pte:HuaFenWeiJinRongFuZhaiXiaFaXingZaiWaiDeYouXianGuYongXuZhaiDengJinRongGongJuBianDongQingKuangBiaoMingXi" default_row="2" addr="T0R2C">
        <m:item xlName="_GBC_cc14416146a4409b9b4fee727f96b7c3"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4cf6ed9dc37d42fc946f2268e90eee97"/>
        <m:item xlName="_GBC_f86c4cc9be45449cb1be708b99969e3f"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4cf6ed9dc37d42fc946f2268e90eee97"/>
        <m:item xlName="_GBC_4ecc843e3ae04c00bfdfe4e251484245" concept="clcid-pte:HuaFenWeiJinRongFuZhaiXiaFaXingZaiWaiDeYouXianGuYongXuZhaiDengJinRongGongJuBianDongQingKuangBiaoMingXiZhangMianJiaZhi" label="划分为金融负债下发行在外的优先股、永续债等金融工具变动情况表明细-账面价值" periodRef="本期期初数" mulRef="_GBC_b92adf2138954272a80867568f3c95db" unitRef="_GBC_4031d1b56bb448239a16e77cfa757d93" addr="T0R2C2S1_1" formatStyle="Comma" appId="_GBC_4cf6ed9dc37d42fc946f2268e90eee97"/>
        <m:item xlName="_GBC_b6773af150ce495cada59bcf0b1025d3"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4cf6ed9dc37d42fc946f2268e90eee97"/>
        <m:item xlName="_GBC_a1187bd9aa8d41ef943bb5ff79dfb1a4" concept="clcid-pte:HuaFenWeiJinRongFuZhaiXiaFaXingZaiWaiDeYouXianGuYongXuZhaiDengJinRongGongJuBianDongQingKuangBiaoMingXiBenQiZengJiaZhangMianJiaZhi" label="划分为金融负债下发行在外的优先股、永续债等金融工具变动情况表明细-本期增加账面价值" mulRef="_GBC_b92adf2138954272a80867568f3c95db" unitRef="_GBC_4031d1b56bb448239a16e77cfa757d93" addr="T0R2C4S1_1" formatStyle="Comma" appId="_GBC_4cf6ed9dc37d42fc946f2268e90eee97"/>
        <m:item xlName="_GBC_e019a4661dd24e338d546f086e438eb4"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4cf6ed9dc37d42fc946f2268e90eee97"/>
        <m:item xlName="_GBC_c909646a85654a0ba810ffd7aa24bd36" concept="clcid-pte:HuaFenWeiJinRongFuZhaiXiaFaXingZaiWaiDeYouXianGuYongXuZhaiDengJinRongGongJuBianDongQingKuangBiaoMingXiBenQiJianShaoZhangMianJiaZhi" label="划分为金融负债下发行在外的优先股、永续债等金融工具变动情况表明细-本期减少账面价值" mulRef="_GBC_b92adf2138954272a80867568f3c95db" unitRef="_GBC_4031d1b56bb448239a16e77cfa757d93" addr="T0R2C6S1_1" formatStyle="Comma" appId="_GBC_4cf6ed9dc37d42fc946f2268e90eee97"/>
        <m:item xlName="_GBC_1592108041ce4f77abc73f55e0c1b523" concept="clcid-pte:HuaFenWeiJinRongFuZhaiXiaFaXingZaiWaiDeYouXianGuYongXuZhaiDengJinRongGongJuBianDongQingKuangBiaoMingXiShuLiang" label="划分为金融负债下发行在外的优先股、永续债等金融工具变动情况表明细-数量" addr="T0R2C7S1_1" formatStyle="Comma" appId="_GBC_4cf6ed9dc37d42fc946f2268e90eee97">
          <m:complexRule comparator="Eq" title="划分为金融负债下发行在外的优先股、永续债等金融工具变动情况表明细-数量" test=" $_GBC_f86c4cc9be45449cb1be708b99969e3f +  $_GBC_b6773af150ce495cada59bcf0b1025d3 -  $_GBC_e019a4661dd24e338d546f086e438eb4" id="Cbcb5460d5e5f4f9dafadb43e54051e1b"/>
        </m:item>
        <m:item xlName="_GBC_8fe3096f9da34f1c8c586eb13b9e554c" concept="clcid-pte:HuaFenWeiJinRongFuZhaiXiaFaXingZaiWaiDeYouXianGuYongXuZhaiDengJinRongGongJuBianDongQingKuangBiaoMingXiZhangMianJiaZhi" label="划分为金融负债下发行在外的优先股、永续债等金融工具变动情况表明细-账面价值" mulRef="_GBC_b92adf2138954272a80867568f3c95db" unitRef="_GBC_4031d1b56bb448239a16e77cfa757d93" addr="T0R2C8S1_1" formatStyle="Comma" appId="_GBC_4cf6ed9dc37d42fc946f2268e90eee97">
          <m:complexRule comparator="Eq" title="划分为金融负债下发行在外的优先股、永续债等金融工具变动情况表明细-账面价值" test=" $_GBC_4ecc843e3ae04c00bfdfe4e251484245 +  $_GBC_a1187bd9aa8d41ef943bb5ff79dfb1a4 -  $_GBC_c909646a85654a0ba810ffd7aa24bd36" id="C761a15d189f74f05b7423def99c69045"/>
        </m:item>
      </m:tuple>
      <m:placeholder xlName="_PLD_96dc2be0dca041b9a1e3aed04dbf6d19" addr="T0R4C0S1_1"/>
      <m:item xlName="_GBC_1358a2be8a144374b1d6eb2b46dac8d2" concept="clcid-pte:HuaFenWeiJinRongFuZhaiXiaFaXingZaiWaiDeYouXianGuYongXuZhaiDengJinRongGongJuBianDongShuLiangHeJi" label="划分为金融负债下发行在外的优先股、永续债等金融工具变动数量合计" periodRef="本期期初数" addr="T0R4C1S1_1" formatStyle="Comma" appId="_GBC_4cf6ed9dc37d42fc946f2268e90eee97">
        <m:complexRule comparator="Eq" title="划分为金融负债下发行在外的优先股、永续债等金融工具变动数量合计@本期期初数" test=" $_GBC_f86c4cc9be45449cb1be708b99969e3f" id="C7912003ee5a94ac8823e41ca88d30145"/>
      </m:item>
      <m:item xlName="_GBC_237afcd327c242f9ae0bd9905d996b18" concept="clcid-pte:HuaFenWeiJinRongFuZhaiXiaFaXingZaiWaiDeYouXianGuYongXuZhaiDengJinRongGongJuBianDongZhangMianJiaZhiHeJi" label="划分为金融负债下发行在外的优先股、永续债等金融工具变动账面价值合计" periodRef="本期期初数" mulRef="_GBC_b92adf2138954272a80867568f3c95db" unitRef="_GBC_4031d1b56bb448239a16e77cfa757d93" addr="T0R4C2S1_1" formatStyle="Comma" appId="_GBC_4cf6ed9dc37d42fc946f2268e90eee97">
        <m:complexRule comparator="Eq" title="划分为金融负债下发行在外的优先股、永续债等金融工具变动账面价值合计@本期期初数" test=" $_GBC_4ecc843e3ae04c00bfdfe4e251484245" id="C4315a14650434bb1868ae9d9914942ef"/>
      </m:item>
      <m:item xlName="_GBC_1290f1c4f5f745c5abe34b2ba0905392" concept="clcid-pte:HuaFenWeiJinRongFuZhaiXiaFaXingZaiWaiDeYouXianGuYongXuZhaiDengJinRongGongJuBianDongBenQiZengJiaShuLiangHeJi" label="划分为金融负债下发行在外的优先股、永续债等金融工具变动本期增加数量合计" addr="T0R4C3S1_1" formatStyle="Comma" appId="_GBC_4cf6ed9dc37d42fc946f2268e90eee97">
        <m:complexRule comparator="Eq" title="划分为金融负债下发行在外的优先股、永续债等金融工具变动本期增加数量合计" test=" $_GBC_b6773af150ce495cada59bcf0b1025d3" id="C2a171aca98d04189a4b3c921caf680c3"/>
      </m:item>
      <m:item xlName="_GBC_0ba484eed447488ab30fbea12c4e39b5" concept="clcid-pte:HuaFenWeiJinRongFuZhaiXiaFaXingZaiWaiDeYouXianGuYongXuZhaiDengJinRongGongJuBianDongBenQiZengJiaZhangMianJiaZhiHeJi" label="划分为金融负债下发行在外的优先股、永续债等金融工具变动本期增加账面价值合计" mulRef="_GBC_b92adf2138954272a80867568f3c95db" unitRef="_GBC_4031d1b56bb448239a16e77cfa757d93" addr="T0R4C4S1_1" formatStyle="Comma" appId="_GBC_4cf6ed9dc37d42fc946f2268e90eee97">
        <m:complexRule comparator="Eq" title="划分为金融负债下发行在外的优先股、永续债等金融工具变动本期增加账面价值合计" test=" $_GBC_a1187bd9aa8d41ef943bb5ff79dfb1a4" id="Ccb054e7f7d3a4756b33cb606a1eee438"/>
      </m:item>
      <m:item xlName="_GBC_9ee0a39c761c4f26ad9d37615b5f051f" concept="clcid-pte:HuaFenWeiJinRongFuZhaiXiaFaXingZaiWaiDeYouXianGuYongXuZhaiDengJinRongGongJuBianDongBenQiJianShaoShuLiangHeJi" label="划分为金融负债下发行在外的优先股、永续债等金融工具变动本期减少数量合计" addr="T0R4C5S1_1" formatStyle="Comma" appId="_GBC_4cf6ed9dc37d42fc946f2268e90eee97">
        <m:complexRule comparator="Eq" title="划分为金融负债下发行在外的优先股、永续债等金融工具变动本期减少数量合计" test=" $_GBC_e019a4661dd24e338d546f086e438eb4" id="C9c2f47fa5fea4f13aea5a0391bbb38ad"/>
      </m:item>
      <m:item xlName="_GBC_8a2ab57e4a0744aabbbeee629a65d654" concept="clcid-pte:HuaFenWeiJinRongFuZhaiXiaFaXingZaiWaiDeYouXianGuYongXuZhaiDengJinRongGongJuBianDongBenQiJianShaoZhangMianJiaZhiHeJi" label="划分为金融负债下发行在外的优先股、永续债等金融工具变动本期减少账面价值合计" mulRef="_GBC_b92adf2138954272a80867568f3c95db" unitRef="_GBC_4031d1b56bb448239a16e77cfa757d93" addr="T0R4C6S1_1" formatStyle="Comma" appId="_GBC_4cf6ed9dc37d42fc946f2268e90eee97">
        <m:complexRule comparator="Eq" title="划分为金融负债下发行在外的优先股、永续债等金融工具变动本期减少账面价值合计" test=" $_GBC_c909646a85654a0ba810ffd7aa24bd36" id="Ce8e2e5d8bce547dba605f9ea201ce97c"/>
      </m:item>
      <m:item xlName="_GBC_59b01d36065643348df4e48a07b5a39e" concept="clcid-pte:HuaFenWeiJinRongFuZhaiXiaFaXingZaiWaiDeYouXianGuYongXuZhaiDengJinRongGongJuBianDongShuLiangHeJi" label="划分为金融负债下发行在外的优先股、永续债等金融工具变动数量合计" addr="T0R4C7S1_1" formatStyle="Comma" appId="_GBC_4cf6ed9dc37d42fc946f2268e90eee97">
        <m:complexRule comparator="Eq" title="划分为金融负债下发行在外的优先股、永续债等金融工具变动数量合计" test=" $_GBC_1592108041ce4f77abc73f55e0c1b523" id="C5276f0fdf3a441279e727c4b0f02f3aa"/>
        <m:complexRule comparator="Eq" title="划分为金融负债下发行在外的优先股、永续债等金融工具变动数量合计横向合计" test=" $_GBC_1358a2be8a144374b1d6eb2b46dac8d2 +  $_GBC_1290f1c4f5f745c5abe34b2ba0905392 -  $_GBC_9ee0a39c761c4f26ad9d37615b5f051f" id="Cb017b84d0dd5487ea41b583f9e7426ac"/>
      </m:item>
      <m:item xlName="_GBC_5f382791ee4e42699a68047c219b4fd9" concept="clcid-pte:HuaFenWeiJinRongFuZhaiXiaFaXingZaiWaiDeYouXianGuYongXuZhaiDengJinRongGongJuBianDongZhangMianJiaZhiHeJi" label="划分为金融负债下发行在外的优先股、永续债等金融工具变动账面价值合计" mulRef="_GBC_b92adf2138954272a80867568f3c95db" unitRef="_GBC_4031d1b56bb448239a16e77cfa757d93" addr="T0R4C8S1_1" formatStyle="Comma" appId="_GBC_4cf6ed9dc37d42fc946f2268e90eee97">
        <m:complexRule comparator="Eq" title="划分为金融负债下发行在外的优先股、永续债等金融工具变动账面价值合计" test=" $_GBC_237afcd327c242f9ae0bd9905d996b18 +  $_GBC_0ba484eed447488ab30fbea12c4e39b5 -  $_GBC_8a2ab57e4a0744aabbbeee629a65d654" id="Caa50e42cb1664b9ba51935a79f7ca121"/>
      </m:item>
      <m:item xlName="_GBC_aec0ba7f99624a559a5f92bcd8e57e4f" concept="clcid-ci-ar:ShiFouShiYongQiTaJinRongGongJuHuaFenWeiJinRongFuZhaiDeYiJuShuoMing" label="是否适用：其他金融工具划分为金融负债的依据说明" selectOptions="_buildInAppliance" controlType="CustomCheckbox" cRanges="{&quot;StartName&quot;:&quot;_GBC_aec0ba7f99624a559a5f92bcd8e57e4f&quot;,&quot;EndName&quot;:&quot;_GBC_ac0219f9b34f440a9f54551666aa230d&quot;,&quot;CType&quot;:1,&quot;DisplayText&quot;:null}"/>
      <m:item xlName="_GBC_ac0219f9b34f440a9f54551666aa230d" concept="clcid-pte:QiTaJinRongGongJuHuaFenWeiJinRongFuZhaiDeYiJuShuoMing" label="其他金融工具划分为金融负债的依据说明" appId="_GBC_aec0ba7f99624a559a5f92bcd8e57e4f"/>
    </m:section>
    <m:section xlName="_GBC_32fb23173d7a4a4fa8cb056982254a59" title="应付债券其他说明" helpId="112001095">
      <m:item xlName="_GBC_34ea80305b6a4fafaf2943f684877d08" concept="clcid-ci-ar:ShiFouShiYongYingFuZhaiQuanDeQiTaShuoMing" label="是否适用：应付债券的其他说明" selectOptions="_buildInAppliance" controlType="CustomCheckbox" cRanges="{&quot;StartName&quot;:&quot;_GBC_34ea80305b6a4fafaf2943f684877d08&quot;,&quot;EndName&quot;:&quot;_GBC_0c0b32a1cd734af1a8603dcacbfccb01&quot;,&quot;CType&quot;:1,&quot;DisplayText&quot;:null}"/>
      <m:item xlName="_GBC_0c0b32a1cd734af1a8603dcacbfccb01" concept="clcid-pte:YingFuZhaiQuanDeQiTaShuoMing" label="应付债券的其他说明" appId="_GBC_34ea80305b6a4fafaf2943f684877d08"/>
    </m:section>
    <m:section xlName="_SEC_6bd3f432494344eb8aaf6d133dbbfdc8" title="租赁负债" helpId="112002270">
      <m:item xlName="_GBC_cec9aedf0aa8427d9bd5dbf17e698298" concept="clcid-ci-ar:ShiFouShiYongZuLinFuZhai" label="是否适用：租赁负债" selectOptions="_buildInAppliance" controlType="CustomCheckbox" cRanges="[{&quot;StartName&quot;:&quot;_GBC_cec9aedf0aa8427d9bd5dbf17e698298&quot;,&quot;EndName&quot;:&quot;_GBC_cbaaaf9b0adf45f6a0dd93d6de03a6ea&quot;,&quot;CType&quot;:1}]"/>
      <m:item xlName="_GBC_3f1d18295bfb4156905ee3935811bc9f" concept="clcid-ci-ar:DanWeiZuLinFuZhai" label="单位：租赁负债" selectOptions="_buildInScales" controlType="Combobox" cellType="Scale" appId="_GBC_cec9aedf0aa8427d9bd5dbf17e698298"/>
      <m:item xlName="_GBC_1ce63c76adb74c2f8d53dbdb5d73a87c" concept="clcid-ci-ar:BiZhongZuLinFuZhai" label="币种：租赁负债" selectOptions="_buildInISO4217" controlType="Combobox" cellType="Measure" appId="_GBC_cec9aedf0aa8427d9bd5dbf17e698298"/>
      <m:placeholder xlName="_PLD_27afd78cc4b04fa19a7adaa593b83cc4" addr="T0R0C0S1_1"/>
      <m:placeholder xlName="_PLD_473fbb207ad34f58a8a0f0451332e555" addr="T0R0C1S1_1"/>
      <m:placeholder xlName="_PLD_81cf17ce1aff4bad8deb2792f3b6570d" addr="T0R0C2S1_1"/>
      <m:tuple xlName="_TUP_4f6c01aec10540a980fbed5fbec5a5f6" concept="clcid-pte:ZuLinFuZhaiMingXi" default_row="2" addr="T0R1C">
        <m:item xlName="_GBC_fa05c77714a5475c8e86d25f5bab879e" concept="clcid-pte:ZuLinFuZhaiMingXiXiangMu" label="租赁负债明细-项目" addr="T0R1C0S1_1" appId="_GBC_cec9aedf0aa8427d9bd5dbf17e698298"/>
        <m:item xlName="_GBC_cce43c4747124f3ab95887d769fb8db8" concept="clcid-pte:ZuLinFuZhaiMingXiJinE" label="租赁负债明细-金额" mulRef="_GBC_3f1d18295bfb4156905ee3935811bc9f" unitRef="_GBC_1ce63c76adb74c2f8d53dbdb5d73a87c" addr="T0R1C1S1_1" formatStyle="Comma" appId="_GBC_cec9aedf0aa8427d9bd5dbf17e698298"/>
        <m:item xlName="_GBC_24f02b2b62a14eb5920477dcca62f1ae" concept="clcid-pte:ZuLinFuZhaiMingXiJinE" label="租赁负债明细-金额" periodRef="本期期初数" mulRef="_GBC_3f1d18295bfb4156905ee3935811bc9f" unitRef="_GBC_1ce63c76adb74c2f8d53dbdb5d73a87c" addr="T0R1C2S1_1" formatStyle="Comma" appId="_GBC_cec9aedf0aa8427d9bd5dbf17e698298"/>
      </m:tuple>
      <m:placeholder xlName="_PLD_807a786371564fa194bf829b6d063d21" addr="T0R3C0S1_1"/>
      <m:item xlName="_GBC_7f7f3cd4cb8c45bf9e309da71f136222" concept="clcid-pte:ZuLinFuZhai" label="租赁负债" mulRef="_GBC_3f1d18295bfb4156905ee3935811bc9f" unitRef="_GBC_1ce63c76adb74c2f8d53dbdb5d73a87c" addr="T0R3C1S1_1" formatStyle="Comma" appId="_GBC_cec9aedf0aa8427d9bd5dbf17e698298">
        <m:complexRule comparator="Eq" title="租赁负债" test="$_GBC_cce43c4747124f3ab95887d769fb8db8" id="Ccac6b5f43d5d4b56bcac98ab2f60fa91"/>
      </m:item>
      <m:item xlName="_GBC_290da050496a40b2b2d8a415e4c575ef" concept="clcid-pte:ZuLinFuZhai" label="租赁负债" periodRef="本期期初数" mulRef="_GBC_3f1d18295bfb4156905ee3935811bc9f" unitRef="_GBC_1ce63c76adb74c2f8d53dbdb5d73a87c" addr="T0R3C2S1_1" formatStyle="Comma" appId="_GBC_cec9aedf0aa8427d9bd5dbf17e698298">
        <m:complexRule comparator="Eq" title="租赁负债@本期期初数" test="$_GBC_24f02b2b62a14eb5920477dcca62f1ae" id="C667cba5781ae4ac0ade8010967662a41"/>
      </m:item>
      <m:item xlName="_GBC_cbaaaf9b0adf45f6a0dd93d6de03a6ea" concept="clcid-pte:ZuLinFuZhaiQiTaShuoMing" label="租赁负债其他说明" appId="_GBC_cec9aedf0aa8427d9bd5dbf17e698298"/>
    </m:section>
    <m:section xlName="_SEC_c0e96ee0f49e415f98873dfb1c798446" title="项目列示">
      <m:item xlName="_GBC_dc1496c33e4a4cabb259020dbf46be93" concept="clcid-ci-ar:ShiFouShiYongChangQiYingFuKuanFenLeiLieShi" label="是否适用：长期应付款分类列示" selectOptions="_buildInAppliance" controlType="CustomCheckbox" cRanges="[{&quot;StartName&quot;:&quot;_GBC_dc1496c33e4a4cabb259020dbf46be93&quot;,&quot;EndName&quot;:&quot;_GBC_431a8b84aeeb4e0fa07aef9d9af1a46d&quot;,&quot;CType&quot;:1}]"/>
      <m:item xlName="_GBC_ebfc605e57a44e54b3e33ac2adbd49b3" concept="clcid-ci-ar:DanWeiChangQiYingFuKuanFenLeiLieShi" label="单位：长期应付款分类列示" selectOptions="_buildInScales" controlType="Combobox" cellType="Scale" appId="_GBC_dc1496c33e4a4cabb259020dbf46be93"/>
      <m:item xlName="_GBC_3e0811a7722a450c98b76253621cc253" concept="clcid-ci-ar:BiZhongChangQiYingFuKuanFenLeiLieShi" label="币种：长期应付款分类列示" selectOptions="_buildInISO4217" controlType="Combobox" cellType="Measure" appId="_GBC_dc1496c33e4a4cabb259020dbf46be93"/>
      <m:placeholder xlName="_PLD_c3a93bba75a94d61a6bb41116821520d" addr="T0R0C0S1_1"/>
      <m:placeholder xlName="_PLD_4cef3b6e993d4efeab53c68db46274b8" addr="T0R0C1S1_1"/>
      <m:placeholder xlName="_PLD_d7980fd6d7084f6bb108abf1cc53570a" addr="T0R0C2S1_1"/>
      <m:placeholder xlName="_PLD_5e2f309101aa42679809229e6373eaeb" addr="T0R1C0S1_1" helpText="此处的长期应付款指扣除专项应付款后的长期应付款"/>
      <m:item xlName="_GBC_e9d3a617e4e84e319b96669ffe719e15" concept="clcid-pte:ChangQiYingFuKuanChangQi" label="长期应付款-长期" mulRef="_GBC_ebfc605e57a44e54b3e33ac2adbd49b3" unitRef="_GBC_3e0811a7722a450c98b76253621cc253" addr="T0R1C1S1_1" formatStyle="Comma" helpText="此处的长期应付款指扣除专项应付款后的长期应付款" appId="_GBC_dc1496c33e4a4cabb259020dbf46be93"/>
      <m:item xlName="_GBC_4f18e301082d4eef8a3f653183f4f6b8" concept="clcid-pte:ChangQiYingFuKuanChangQi" label="长期应付款-长期" periodRef="本期期初数" mulRef="_GBC_ebfc605e57a44e54b3e33ac2adbd49b3" unitRef="_GBC_3e0811a7722a450c98b76253621cc253" addr="T0R1C2S1_1" formatStyle="Comma" helpText="此处的长期应付款指扣除专项应付款后的长期应付款" appId="_GBC_dc1496c33e4a4cabb259020dbf46be93"/>
      <m:placeholder xlName="_PLD_c99f5008eb7c496ab0332c6e3c621269" addr="T0R2C0S1_1"/>
      <m:item xlName="_GBC_99e274f017fa45dcad882885244dda64" concept="clcid-pte:ZhuanXiangYingFuKuan" label="专项应付款" mulRef="_GBC_ebfc605e57a44e54b3e33ac2adbd49b3" unitRef="_GBC_3e0811a7722a450c98b76253621cc253" addr="T0R2C1S1_1" formatStyle="Comma" appId="_GBC_dc1496c33e4a4cabb259020dbf46be93"/>
      <m:item xlName="_GBC_7c680929ec4245c9b4e75bea72242f51" concept="clcid-pte:ZhuanXiangYingFuKuan" label="专项应付款" periodRef="本期期初数" mulRef="_GBC_ebfc605e57a44e54b3e33ac2adbd49b3" unitRef="_GBC_3e0811a7722a450c98b76253621cc253" addr="T0R2C2S1_1" formatStyle="Comma" appId="_GBC_dc1496c33e4a4cabb259020dbf46be93"/>
      <m:placeholder xlName="_PLD_cba41f27288e4eb38b01308f50786168" addr="T0R3C0S1_1"/>
      <m:item xlName="_GBC_39775c4a30344481ac7824470b299b12" concept="clcid-pte:ChangQiYingFuKuan" label="长期应付款" mulRef="_GBC_ebfc605e57a44e54b3e33ac2adbd49b3" unitRef="_GBC_3e0811a7722a450c98b76253621cc253" addr="T0R3C1S1_1" formatStyle="Comma" appId="_GBC_dc1496c33e4a4cabb259020dbf46be93">
        <m:complexRule comparator="Eq" title="长期应付款" test=" $_GBC_e9d3a617e4e84e319b96669ffe719e15 +  $_GBC_99e274f017fa45dcad882885244dda64" id="C3586f308c711417ea9184a3b7a2aa181"/>
      </m:item>
      <m:item xlName="_GBC_34d1878bdc6b4d11983ac692bce011f4" concept="clcid-pte:ChangQiYingFuKuan" label="长期应付款" periodRef="本期期初数" mulRef="_GBC_ebfc605e57a44e54b3e33ac2adbd49b3" unitRef="_GBC_3e0811a7722a450c98b76253621cc253" addr="T0R3C2S1_1" formatStyle="Comma" appId="_GBC_dc1496c33e4a4cabb259020dbf46be93">
        <m:complexRule comparator="Eq" title="长期应付款@本期期初数" test=" $_GBC_4f18e301082d4eef8a3f653183f4f6b8 +  $_GBC_7c680929ec4245c9b4e75bea72242f51" id="C6a238e8fad08439488aef9a77ebd6adb"/>
      </m:item>
      <m:item xlName="_GBC_431a8b84aeeb4e0fa07aef9d9af1a46d" concept="clcid-pte:ChangQiYingFuKuanFenLeiLieShiQiTaShuoMing" label="长期应付款分类列示其他说明" appId="_GBC_dc1496c33e4a4cabb259020dbf46be93"/>
    </m:section>
    <m:section xlName="_SEC_1ac73daea3484386b92787e79e677fbb" title="长期应付款">
      <m:item xlName="_GBC_a9fa9a5286484f4bb853b1eff824e621" concept="clcid-ci-ar:ShiFouShiYongAnKuanXiangXingZhiLieShiChangQiYingFuKuan" label="是否适用：按款项性质列示长期应付款" selectOptions="_buildInAppliance" controlType="CustomCheckbox" cRanges="[{&quot;StartName&quot;:&quot;_GBC_a9fa9a5286484f4bb853b1eff824e621&quot;,&quot;EndName&quot;:&quot;_GBC_26dfebab321040728d621ff8ca8d9de0&quot;,&quot;CType&quot;:1}]"/>
      <m:item xlName="_GBC_8d90e4088fac4efe85a76cd0e30766e1" concept="clcid-ci-ar:DanWeiCaiWuFuZhuChangQiYingFuKuan" label="单位：财务附注：长期应付款" selectOptions="_buildInScales" controlType="Combobox" cellType="Scale" appId="_GBC_a9fa9a5286484f4bb853b1eff824e621"/>
      <m:item xlName="_GBC_571b1adfcb634dcbb4fbdf0991f3e029" concept="clcid-ci-ar:BiZhongCaiWuFuZhuChangQiYingFuKuan" label="币种：财务附注：长期应付款" selectOptions="_buildInISO4217" controlType="Combobox" cellType="Measure" appId="_GBC_a9fa9a5286484f4bb853b1eff824e621"/>
      <m:placeholder xlName="_PLD_35c3ed078068475db04283d6d6c22bb5" addr="T0R0C0S1_1"/>
      <m:placeholder xlName="_PLD_b59846bd1adb4f398cd1737332e81edb" addr="T0R0C1S1_1"/>
      <m:placeholder xlName="_PLD_184e30079df94f509e7e7ea9142928df" addr="T0R0C2S1_1"/>
      <m:tuple xlName="_TUP_618fba5b46de42ad8e723e9585c5f36d" concept="clcid-pte:AnKuanXiangXingZhiLieShiChangQiYingFuKuanMingXi" default_row="2" addr="T0R1C">
        <m:item xlName="_GBC_82475a1440a745aa822ffea041dbb437" concept="clcid-pte:AnKuanXiangXingZhiLieShiChangQiYingFuKuanMingXiXiangMuMingCheng" label="按款项性质列示长期应付款明细-项目名称" addr="T0R1C0S1_1" appId="_GBC_a9fa9a5286484f4bb853b1eff824e621"/>
        <m:item xlName="_GBC_f91159e991da41d493345a24ec8d9581" concept="clcid-pte:AnKuanXiangXingZhiLieShiChangQiYingFuKuanMingXiJinE" label="按款项性质列示长期应付款明细-金额" mulRef="_GBC_8d90e4088fac4efe85a76cd0e30766e1" unitRef="_GBC_571b1adfcb634dcbb4fbdf0991f3e029" addr="T0R1C1S1_1" formatStyle="Comma" appId="_GBC_a9fa9a5286484f4bb853b1eff824e621"/>
        <m:item xlName="_GBC_a852db581b5a44069d5cd96bfee3949d" concept="clcid-pte:AnKuanXiangXingZhiLieShiChangQiYingFuKuanMingXiJinE" label="按款项性质列示长期应付款明细-金额" periodRef="本期期初数" mulRef="_GBC_8d90e4088fac4efe85a76cd0e30766e1" unitRef="_GBC_571b1adfcb634dcbb4fbdf0991f3e029" addr="T0R1C2S1_1" formatStyle="Comma" appId="_GBC_a9fa9a5286484f4bb853b1eff824e621"/>
      </m:tuple>
      <m:placeholder xlName="_PLD_b9d5f725e3e04d2eb1e0e4d55b521e84" addr="T0R3C0S1_1"/>
      <m:item xlName="_GBC_f972f44214ed4d89b5c703cb259d0585" concept="clcid-pte:ChangQiYingFuKuanChangQi" label="长期应付款-长期" mulRef="_GBC_8d90e4088fac4efe85a76cd0e30766e1" unitRef="_GBC_571b1adfcb634dcbb4fbdf0991f3e029" addr="T0R3C1S1_1" formatStyle="Comma" appId="_GBC_a9fa9a5286484f4bb853b1eff824e621">
        <m:complexRule comparator="Eq" title="长期应付款" test=" $_GBC_f91159e991da41d493345a24ec8d9581" id="C4f3152c896e6499cac2130bc2f31041c"/>
      </m:item>
      <m:item xlName="_GBC_1053206569754f5195c20d2729e997a2" concept="clcid-pte:ChangQiYingFuKuanChangQi" label="长期应付款-长期" periodRef="本期期初数" mulRef="_GBC_8d90e4088fac4efe85a76cd0e30766e1" unitRef="_GBC_571b1adfcb634dcbb4fbdf0991f3e029" addr="T0R3C2S1_1" formatStyle="Comma" appId="_GBC_a9fa9a5286484f4bb853b1eff824e621">
        <m:complexRule comparator="Eq" title="长期应付款@本期期初数" test=" $_GBC_a852db581b5a44069d5cd96bfee3949d" id="Cf241cbacefa0478a9619b16bd75954af"/>
      </m:item>
      <m:item xlName="_GBC_26dfebab321040728d621ff8ca8d9de0" concept="clcid-pte:ChangQiYingFuKuanDeShuoMing" label="长期应付款的说明" appId="_GBC_a9fa9a5286484f4bb853b1eff824e621"/>
    </m:section>
    <m:section xlName="_GBC_6847689be8c1493eb5db4e6dbab0fdbe" title="专项应付款"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concept="clcid-ci-ar:DanWeiCaiWuFuZhuZhuanXiangYingFuKuan" label="单位：财务附注：专项应付款" selectOptions="_buildInScales" controlType="Combobox" cellType="Scale" appId="_GBC_f70a824e87784429a75fa648d7634cf8"/>
      <m:item xlName="_GBC_db6088dd197e44658d5eb4ad92eace1a" concept="clcid-ci-ar:BiZhongCaiWuFuZhuZhuanXiangYingFuKuan" label="币种：财务附注：专项应付款" selectOptions="_buildInISO4217" controlType="Combobox" cellType="Measure" appId="_GBC_f70a824e87784429a75fa648d7634cf8"/>
      <m:placeholder xlName="_PLD_cd0bf128e15a4ba9af42624758d0f741" addr="T0R0C0S1_1"/>
      <m:placeholder xlName="_PLD_0273ec8ee2454cc3b513b4d9bc176584" addr="T0R0C1S1_1"/>
      <m:placeholder xlName="_PLD_8af6034e00f845329602a9fdcfc9b2dc" addr="T0R0C2S1_1"/>
      <m:placeholder xlName="_PLD_013b3bd484664b418b2949897aaba93a" addr="T0R0C3S1_1"/>
      <m:placeholder xlName="_PLD_99498b7622144415a46b3eb203e33536" addr="T0R0C4S1_1"/>
      <m:placeholder xlName="_PLD_435f222fb1ac40efb8892f65ff2d7efe" addr="T0R0C5S1_1"/>
      <m:tuple xlName="_GBC_cc0d870710d646f3adaaac92c6d0ce7e" concept="clcid-pte:ZhuanXiangYingFuKuanMingXi" default_row="2" addr="T0R1C">
        <m:item xlName="_GBC_d75faeb5cdcf4543b3cf5874b7f8c3c1"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tuple>
      <m:placeholder xlName="_PLD_b9429a61eab944fab8cf1cb493279d7f"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item xlName="_GBC_7391cd215aaf4a7595c44b639646aa7a" concept="clcid-ci-ar:ShiFouShiYongChangQiYingFuZhiGongXinChouBiao" label="是否适用：长期应付职工薪酬表" selectOptions="_buildInAppliance" controlType="CustomCheckbox" cRanges="{&quot;StartName&quot;:&quot;_GBC_7391cd215aaf4a7595c44b639646aa7a&quot;,&quot;EndName&quot;:&quot;_GBC_59bcbe4f8e5e41c6adee2968fa3edcdf&quot;,&quot;CType&quot;:1,&quot;DisplayText&quot;:null}"/>
      <m:item xlName="_GBC_9da16ecedc40480a9563f61db11afc75" concept="clcid-ci-ar:DanWeiCaiWuFuZhuChangQiYingFuZhiGongXinChou" label="单位：财务附注：长期应付职工薪酬" selectOptions="_buildInScales" controlType="Combobox" cellType="Scale" appId="_GBC_7391cd215aaf4a7595c44b639646aa7a"/>
      <m:item xlName="_GBC_4b18e9847cbc49689b57ca163e3c5f6f" concept="clcid-ci-ar:BiZhongCaiWuFuZhuChangQiYingFuZhiGongXinChou" label="币种：财务附注：长期应付职工薪酬" selectOptions="_buildInISO4217" controlType="Combobox" cellType="Measure" appId="_GBC_7391cd215aaf4a7595c44b639646aa7a"/>
      <m:placeholder xlName="_PLD_cd74fa482412415587e08c0e74b1531a" addr="T0R0C0S1_1"/>
      <m:placeholder xlName="_PLD_d4b575d8eb6648c09575eeeca2ce8fae" addr="T0R0C1S1_1"/>
      <m:placeholder xlName="_PLD_686b97eea8314637bed99bbd2be9e3af" addr="T0R0C2S1_1"/>
      <m:placeholder xlName="_PLD_bdc3d864f9914ace9337d47a53645c11" addr="T0R1C0S1_1"/>
      <m:item xlName="_GBC_d045225c5117412cb5178fed7fb01429" concept="clcid-pte:LiZhiHouFuLiSheDingShouYiJiHuaJingFuZhai" label="离职后福利-设定受益计划净负债" mulRef="_GBC_9da16ecedc40480a9563f61db11afc75" unitRef="_GBC_4b18e9847cbc49689b57ca163e3c5f6f" addr="T0R1C1S1_1" formatStyle="Comma" appId="_GBC_7391cd215aaf4a7595c44b639646aa7a"/>
      <m:item xlName="_GBC_969607b7d0f44a30bae00b62312771d5" concept="clcid-pte:LiZhiHouFuLiSheDingShouYiJiHuaJingFuZhai" label="离职后福利-设定受益计划净负债" periodRef="本期期初数" mulRef="_GBC_9da16ecedc40480a9563f61db11afc75" unitRef="_GBC_4b18e9847cbc49689b57ca163e3c5f6f" addr="T0R1C2S1_1" formatStyle="Comma" appId="_GBC_7391cd215aaf4a7595c44b639646aa7a"/>
      <m:placeholder xlName="_PLD_fa41c48347a64d5a92c101ae2e85bac0" addr="T0R2C0S1_1"/>
      <m:item xlName="_GBC_ef618fb68fa14429951b8945f7ca69dc" concept="clcid-pte:ChangQiYingFuZhiGongXinChouZhongDeCiTuiFuLi" label="长期应付职工薪酬中的辞退福利" mulRef="_GBC_9da16ecedc40480a9563f61db11afc75" unitRef="_GBC_4b18e9847cbc49689b57ca163e3c5f6f" addr="T0R2C1S1_1" formatStyle="Comma" appId="_GBC_7391cd215aaf4a7595c44b639646aa7a"/>
      <m:item xlName="_GBC_46935b25c01546218cc93b2c0391c548" concept="clcid-pte:ChangQiYingFuZhiGongXinChouZhongDeCiTuiFuLi" label="长期应付职工薪酬中的辞退福利" periodRef="本期期初数" mulRef="_GBC_9da16ecedc40480a9563f61db11afc75" unitRef="_GBC_4b18e9847cbc49689b57ca163e3c5f6f" addr="T0R2C2S1_1" formatStyle="Comma" appId="_GBC_7391cd215aaf4a7595c44b639646aa7a"/>
      <m:placeholder xlName="_PLD_ce9866eefc4148f6ac089213063a2b94" addr="T0R3C0S1_1"/>
      <m:item xlName="_GBC_e7f10ac92f194b4eaf5720c44ed9af17" concept="clcid-pte:QiTaChangQiFuLi" label="其他长期福利" mulRef="_GBC_9da16ecedc40480a9563f61db11afc75" unitRef="_GBC_4b18e9847cbc49689b57ca163e3c5f6f" addr="T0R3C1S1_1" formatStyle="Comma" appId="_GBC_7391cd215aaf4a7595c44b639646aa7a"/>
      <m:item xlName="_GBC_62dc5db864d74e2782aadcc94533ea7e" concept="clcid-pte:QiTaChangQiFuLi" label="其他长期福利" periodRef="本期期初数" mulRef="_GBC_9da16ecedc40480a9563f61db11afc75" unitRef="_GBC_4b18e9847cbc49689b57ca163e3c5f6f" addr="T0R3C2S1_1" formatStyle="Comma" appId="_GBC_7391cd215aaf4a7595c44b639646aa7a"/>
      <m:tuple xlName="_GBC_291a7f60bc8c4456a834398318782169" concept="clcid-pte:ChangQiYingFuZhiGongXinChouMingXi" default_row="2" addr="T0R4C">
        <m:item xlName="_GBC_639ad4ae0e824d2ea43febb06b6a3c3c" concept="clcid-pte:ChangQiYingFuZhiGongXinChouMingXiXiangMuMingCheng" label="长期应付职工薪酬明细-项目名称" addr="T0R4C0S1_1" appId="_GBC_7391cd215aaf4a7595c44b639646aa7a"/>
        <m:item xlName="_GBC_f744d236a7084a1797bab13a5154f22f" concept="clcid-pte:ChangQiYingFuZhiGongXinChouMingXiYuE" label="长期应付职工薪酬明细-余额" mulRef="_GBC_9da16ecedc40480a9563f61db11afc75" unitRef="_GBC_4b18e9847cbc49689b57ca163e3c5f6f" addr="T0R4C1S1_1" formatStyle="Comma" appId="_GBC_7391cd215aaf4a7595c44b639646aa7a"/>
        <m:item xlName="_GBC_c7ad0d522e414e58b7c05976024479bb" concept="clcid-pte:ChangQiYingFuZhiGongXinChouMingXiYuE" label="长期应付职工薪酬明细-余额" periodRef="本期期初数" mulRef="_GBC_9da16ecedc40480a9563f61db11afc75" unitRef="_GBC_4b18e9847cbc49689b57ca163e3c5f6f" addr="T0R4C2S1_1" formatStyle="Comma" appId="_GBC_7391cd215aaf4a7595c44b639646aa7a"/>
      </m:tuple>
      <m:placeholder xlName="_PLD_9ad91a051a134d5b8b48745d2fe3ca24" addr="T0R6C0S1_1"/>
      <m:item xlName="_GBC_2334748c90a64981b25cc318033edc6f" concept="clcid-pte:ChangQiYingFuZhiGongXinChou" label="长期应付职工薪酬" mulRef="_GBC_9da16ecedc40480a9563f61db11afc75" unitRef="_GBC_4b18e9847cbc49689b57ca163e3c5f6f" addr="T0R6C1S1_1" formatStyle="Comma" appId="_GBC_7391cd215aaf4a7595c44b639646aa7a">
        <m:complexRule comparator="Eq" title="长期应付职工薪酬" test=" $_GBC_d045225c5117412cb5178fed7fb01429 +  $_GBC_ef618fb68fa14429951b8945f7ca69dc +  $_GBC_e7f10ac92f194b4eaf5720c44ed9af17 +  $_GBC_f744d236a7084a1797bab13a5154f22f" id="C8e717d518771461cb2e8c13e25a0cf38" serialType="1"/>
      </m:item>
      <m:item xlName="_GBC_59bcbe4f8e5e41c6adee2968fa3edcdf" concept="clcid-pte:ChangQiYingFuZhiGongXinChou" label="长期应付职工薪酬" periodRef="本期期初数" mulRef="_GBC_9da16ecedc40480a9563f61db11afc75" unitRef="_GBC_4b18e9847cbc49689b57ca163e3c5f6f" addr="T0R6C2S1_1" formatStyle="Comma" appId="_GBC_7391cd215aaf4a7595c44b639646aa7a">
        <m:complexRule comparator="Eq" title="长期应付职工薪酬@本期期初数" test=" $_GBC_969607b7d0f44a30bae00b62312771d5 +  $_GBC_46935b25c01546218cc93b2c0391c548 +  $_GBC_62dc5db864d74e2782aadcc94533ea7e +  $_GBC_c7ad0d522e414e58b7c05976024479bb" id="Cc58bd063e2654ba9a8cc04d882d4c44c" serialType="1"/>
      </m:item>
    </m:section>
    <m:section xlName="_GBC_afdd9211c159429fa2d6540cc92dda04" title="设定受益计划变动情况" helpId="112001097">
      <m:item xlName="_GBC_c4bc86b406e44d69b9ab0374bad05246" concept="clcid-ci-ar:ShiFouShiYongSheDingShouYiJiHuaYiWuXianZhi" label="是否适用：设定受益计划义务现值" selectOptions="_buildInAppliance" controlType="CustomCheckbox" cRanges="{&quot;StartName&quot;:&quot;_GBC_c4bc86b406e44d69b9ab0374bad05246&quot;,&quot;EndName&quot;:&quot;_GBC_8107bddd70f34582859fb08c4d7a6f51&quot;,&quot;CType&quot;:1,&quot;DisplayText&quot;:null}"/>
      <m:item xlName="_GBC_b0c9e6ca28a2421c9518371c2be78bd5" concept="clcid-ci-ar:DanWeiCaiWuFuZhuSheDingShouYiJiHuaYiWuXianZhi" label="单位：财务附注：设定受益计划义务现值" selectOptions="_buildInScales" controlType="Combobox" cellType="Scale" appId="_GBC_c4bc86b406e44d69b9ab0374bad05246"/>
      <m:item xlName="_GBC_7f65fb2b67b845e9afe96325d0d11808" concept="clcid-ci-ar:BiZhongCaiWuFuZhuSheDingShouYiJiHuaYiWuXianZhi" label="币种：财务附注：设定受益计划义务现值" selectOptions="_buildInISO4217" controlType="Combobox" cellType="Measure" appId="_GBC_c4bc86b406e44d69b9ab0374bad05246"/>
      <m:placeholder xlName="_PLD_84c74226f1574a22ae5617c1cc5d2a1e" addr="T0R0C0S1_1"/>
      <m:placeholder xlName="_PLD_6fe51f04c3fe45b7b35326132992646b" addr="T0R0C1S1_1"/>
      <m:placeholder xlName="_PLD_6fe47bc6584f4f9eb937a9db9062e226" addr="T0R0C2S1_1"/>
      <m:placeholder xlName="_PLD_6a962937a21d464a8d71bfbe0424670e" addr="T0R1C0S1_1"/>
      <m:item xlName="_GBC_7cf6232ff467487488b4bab37295a76e" concept="clcid-pte:SheDingShouYiJiHuaYiWuXianZhi" label="设定受益计划义务现值" periodRef="本期期初数" mulRef="_GBC_b0c9e6ca28a2421c9518371c2be78bd5" unitRef="_GBC_7f65fb2b67b845e9afe96325d0d11808" addr="T0R1C1S1_1" formatStyle="Comma" appId="_GBC_c4bc86b406e44d69b9ab0374bad05246">
        <m:complexRule comparator="Eq" title="设定受益计划义务现值@本期期初数" id="C05d0da5b4c9e437499d2815a9b574499"/>
      </m:item>
      <m:item xlName="_GBC_72230ca8f44743319207a522bda1f84b" concept="clcid-pte:SheDingShouYiJiHuaYiWuXianZhi" label="设定受益计划义务现值" periodRef="上年同期期初数" mulRef="_GBC_b0c9e6ca28a2421c9518371c2be78bd5" unitRef="_GBC_7f65fb2b67b845e9afe96325d0d11808" addr="T0R1C2S1_1" formatStyle="Comma" appId="_GBC_c4bc86b406e44d69b9ab0374bad05246"/>
      <m:placeholder xlName="_PLD_391694c54b6f44458ef39a8b33707c29" addr="T0R2C0S1_1"/>
      <m:item xlName="_GBC_a3c87fa46e784b898733bec0622d77c8" concept="clcid-pte:SheDingShouYiJiHuaYiWuXianZhiJiRuDangQiSunYiDeSheDingShouYiChengBen" label="设定受益计划义务现值-计入当期损益的设定受益成本" mulRef="_GBC_b0c9e6ca28a2421c9518371c2be78bd5" unitRef="_GBC_7f65fb2b67b845e9afe96325d0d11808" addr="T0R2C1S1_1" formatStyle="Comma" appId="_GBC_c4bc86b406e44d69b9ab0374bad05246">
        <m:complexRule comparator="Eq" title="设定受益计划义务现值-计入当期损益的设定受益成本" test=" $_GBC_57854d20aa224d379b795146b0a5c120 +  $_GBC_4c0a5f9a7f404af8a3528aa34482b944 +  $_GBC_184a1cd21c5f49fcb73c3308880907ba +  $_GBC_7ea80aac59284d7bb168324dc6f03e03" id="C79cdd646097644ad894717b7c2e6221a"/>
      </m:item>
      <m:item xlName="_GBC_dad2a9527eb347f8873113fd437b9da3" concept="clcid-pte:SheDingShouYiJiHuaYiWuXianZhiJiRuDangQiSunYiDeSheDingShouYiChengBen" label="设定受益计划义务现值-计入当期损益的设定受益成本" periodRef="上年同期数" mulRef="_GBC_b0c9e6ca28a2421c9518371c2be78bd5" unitRef="_GBC_7f65fb2b67b845e9afe96325d0d11808" addr="T0R2C2S1_1" formatStyle="Comma" appId="_GBC_c4bc86b406e44d69b9ab0374bad05246">
        <m:complexRule comparator="Eq" title="设定受益计划义务现值-计入当期损益的设定受益成本@上年同期数" test=" $_GBC_a57b59367c7d48a1b1e55d5557501059 +  $_GBC_3c4b9c360ea04651a0d592d5005e2bf8 +  $_GBC_67c98cf9634f439ca3698cc782ea80a2 +  $_GBC_7e79a6c7f5c04bfdbd9db2ad77b3c922" id="Cdb8e14a5ed684363a68bcf2ea55b9cd6"/>
      </m:item>
      <m:placeholder xlName="_PLD_1321571e94834eea82d242dbd1ffce8e" addr="T0R3C0S1_1"/>
      <m:item xlName="_GBC_57854d20aa224d379b795146b0a5c120" concept="clcid-pte:SheDingShouYiJiHuaYiWuXianZhiDangQiFuWuChengBen" label="设定受益计划义务现值-当期服务成本" mulRef="_GBC_b0c9e6ca28a2421c9518371c2be78bd5" unitRef="_GBC_7f65fb2b67b845e9afe96325d0d11808" addr="T0R3C1S1_1" formatStyle="Comma" appId="_GBC_c4bc86b406e44d69b9ab0374bad05246"/>
      <m:item xlName="_GBC_a57b59367c7d48a1b1e55d5557501059" concept="clcid-pte:SheDingShouYiJiHuaYiWuXianZhiDangQiFuWuChengBen" label="设定受益计划义务现值-当期服务成本" periodRef="上年同期数" mulRef="_GBC_b0c9e6ca28a2421c9518371c2be78bd5" unitRef="_GBC_7f65fb2b67b845e9afe96325d0d11808" addr="T0R3C2S1_1" formatStyle="Comma" appId="_GBC_c4bc86b406e44d69b9ab0374bad05246"/>
      <m:placeholder xlName="_PLD_33835dbae78f4139aa449bf2c3c3b8d3" addr="T0R4C0S1_1"/>
      <m:item xlName="_GBC_4c0a5f9a7f404af8a3528aa34482b944" concept="clcid-pte:SheDingShouYiJiHuaYiWuXianZhiGuoQuFuWuChengBen" label="设定受益计划义务现值-过去服务成本" mulRef="_GBC_b0c9e6ca28a2421c9518371c2be78bd5" unitRef="_GBC_7f65fb2b67b845e9afe96325d0d11808" addr="T0R4C1S1_1" formatStyle="Comma" appId="_GBC_c4bc86b406e44d69b9ab0374bad05246"/>
      <m:item xlName="_GBC_3c4b9c360ea04651a0d592d5005e2bf8" concept="clcid-pte:SheDingShouYiJiHuaYiWuXianZhiGuoQuFuWuChengBen" label="设定受益计划义务现值-过去服务成本" periodRef="上年同期数" mulRef="_GBC_b0c9e6ca28a2421c9518371c2be78bd5" unitRef="_GBC_7f65fb2b67b845e9afe96325d0d11808" addr="T0R4C2S1_1" formatStyle="Comma" appId="_GBC_c4bc86b406e44d69b9ab0374bad05246"/>
      <m:placeholder xlName="_PLD_fff0c1ee7da7435091d0797d53046881" addr="T0R5C0S1_1"/>
      <m:item xlName="_GBC_184a1cd21c5f49fcb73c3308880907ba" concept="clcid-pte:SheDingShouYiJiHuaYiWuXianZhiJieSuanLiDe" label="设定受益计划义务现值-结算利得" mulRef="_GBC_b0c9e6ca28a2421c9518371c2be78bd5" unitRef="_GBC_7f65fb2b67b845e9afe96325d0d11808" addr="T0R5C1S1_1" formatStyle="Comma" appId="_GBC_c4bc86b406e44d69b9ab0374bad05246"/>
      <m:item xlName="_GBC_67c98cf9634f439ca3698cc782ea80a2" concept="clcid-pte:SheDingShouYiJiHuaYiWuXianZhiJieSuanLiDe" label="设定受益计划义务现值-结算利得" periodRef="上年同期数" mulRef="_GBC_b0c9e6ca28a2421c9518371c2be78bd5" unitRef="_GBC_7f65fb2b67b845e9afe96325d0d11808" addr="T0R5C2S1_1" formatStyle="Comma" appId="_GBC_c4bc86b406e44d69b9ab0374bad05246"/>
      <m:placeholder xlName="_PLD_6fd0a80267714436833bd7083e5853ee" addr="T0R6C0S1_1"/>
      <m:item xlName="_GBC_7ea80aac59284d7bb168324dc6f03e03" concept="clcid-pte:SheDingShouYiJiHuaYiWuXianZhiLiXiJingE" label="设定受益计划义务现值-利息净额" mulRef="_GBC_b0c9e6ca28a2421c9518371c2be78bd5" unitRef="_GBC_7f65fb2b67b845e9afe96325d0d11808" addr="T0R6C1S1_1" formatStyle="Comma" appId="_GBC_c4bc86b406e44d69b9ab0374bad05246"/>
      <m:item xlName="_GBC_7e79a6c7f5c04bfdbd9db2ad77b3c922" concept="clcid-pte:SheDingShouYiJiHuaYiWuXianZhiLiXiJingE" label="设定受益计划义务现值-利息净额" periodRef="上年同期数" mulRef="_GBC_b0c9e6ca28a2421c9518371c2be78bd5" unitRef="_GBC_7f65fb2b67b845e9afe96325d0d11808" addr="T0R6C2S1_1" formatStyle="Comma" appId="_GBC_c4bc86b406e44d69b9ab0374bad05246"/>
      <m:placeholder xlName="_PLD_83f071c9dd794c1fb00470b92c79bef6" addr="T0R7C0S1_1"/>
      <m:item xlName="_GBC_47668ffb46d74c3888cef0bc28b83dda" concept="clcid-pte:SheDingShouYiJiHuaYiWuXianZhiJiRuQiTaZongHeShouYiDeSheDingShouYiChengBen" label="设定受益计划义务现值-计入其他综合收益的设定收益成本" mulRef="_GBC_b0c9e6ca28a2421c9518371c2be78bd5" unitRef="_GBC_7f65fb2b67b845e9afe96325d0d11808" addr="T0R7C1S1_1" formatStyle="Comma" appId="_GBC_c4bc86b406e44d69b9ab0374bad05246">
        <m:complexRule comparator="Eq" title="设定受益计划义务现值-计入其他综合收益的设定收益成本" test=" $_GBC_c0ce248fb2a9408094af508774b5bab8 +  $_GBC_7c95063530284decb8f19195018d38ad" id="Ca36a75e91d7147a28250efe7c80eb3b2" serialType="1"/>
      </m:item>
      <m:item xlName="_GBC_07ff09b85a034bf0a02616d17be45744" concept="clcid-pte:SheDingShouYiJiHuaYiWuXianZhiJiRuQiTaZongHeShouYiDeSheDingShouYiChengBen" label="设定受益计划义务现值-计入其他综合收益的设定收益成本" periodRef="上年同期数" mulRef="_GBC_b0c9e6ca28a2421c9518371c2be78bd5" unitRef="_GBC_7f65fb2b67b845e9afe96325d0d11808" addr="T0R7C2S1_1" formatStyle="Comma" appId="_GBC_c4bc86b406e44d69b9ab0374bad05246">
        <m:complexRule comparator="Eq" title="设定受益计划义务现值-计入其他综合收益的设定收益成本@上年同期数" test=" $_GBC_e24cd9d6bc8640c7afc5dfcdc30872af +  $_GBC_1eebf46a77a04a8b9ff2423a31b1b81c" id="C1d9b798439ad4f729ee02d9ac7b340d4" serialType="1"/>
      </m:item>
      <m:placeholder xlName="_PLD_0f6e179974d34980adeb9d782e7681d9" addr="T0R8C0S1_1"/>
      <m:item xlName="_GBC_c0ce248fb2a9408094af508774b5bab8" concept="clcid-pte:SheDingShouYiJiHuaYiWuXianZhiJingSuanLiDe" label="设定受益计划义务现值-精算利得" mulRef="_GBC_b0c9e6ca28a2421c9518371c2be78bd5" unitRef="_GBC_7f65fb2b67b845e9afe96325d0d11808" addr="T0R8C1S1_1" formatStyle="Comma" appId="_GBC_c4bc86b406e44d69b9ab0374bad05246"/>
      <m:item xlName="_GBC_e24cd9d6bc8640c7afc5dfcdc30872af" concept="clcid-pte:SheDingShouYiJiHuaYiWuXianZhiJingSuanLiDe" label="设定受益计划义务现值-精算利得" periodRef="上年同期数" mulRef="_GBC_b0c9e6ca28a2421c9518371c2be78bd5" unitRef="_GBC_7f65fb2b67b845e9afe96325d0d11808" addr="T0R8C2S1_1" formatStyle="Comma" appId="_GBC_c4bc86b406e44d69b9ab0374bad05246"/>
      <m:tuple xlName="_GBC_67c47024df97426aa5b7c5bd281f18d8" concept="clcid-pte:SheDingShouYiJiHuaYiWuXianZhiJiRuQiTaZongHeShouYiDeSheDingShouYiChengBenMingXi" default_row="2" addr="T0R9C">
        <m:item xlName="_GBC_8d0bff6cda6e472ea346bac5ce51b9dd" concept="clcid-pte:SheDingShouYiJiHuaYiWuXianZhiJiRuQiTaZongHeShouYiDeSheDingShouYiChengBenMingXiXiangMuMingCheng" label="设定受益计划义务现值-计入其他综合收益的设定收益成本明细-项目名称" addr="T0R9C0S1_1" appId="_GBC_c4bc86b406e44d69b9ab0374bad05246"/>
        <m:item xlName="_GBC_7c95063530284decb8f19195018d38ad" concept="clcid-pte:SheDingShouYiJiHuaYiWuXianZhiJiRuQiTaZongHeShouYiDeSheDingShouYiChengBenMingXiJinE" label="设定受益计划义务现值-计入其他综合收益的设定收益成本明细-金额" mulRef="_GBC_b0c9e6ca28a2421c9518371c2be78bd5" unitRef="_GBC_7f65fb2b67b845e9afe96325d0d11808" addr="T0R9C1S1_1" formatStyle="Comma" appId="_GBC_c4bc86b406e44d69b9ab0374bad05246"/>
        <m:item xlName="_GBC_1eebf46a77a04a8b9ff2423a31b1b81c" concept="clcid-pte:SheDingShouYiJiHuaYiWuXianZhiJiRuQiTaZongHeShouYiDeSheDingShouYiChengBenMingXiJinE" label="设定受益计划义务现值-计入其他综合收益的设定收益成本明细-金额" periodRef="上年同期数" mulRef="_GBC_b0c9e6ca28a2421c9518371c2be78bd5" unitRef="_GBC_7f65fb2b67b845e9afe96325d0d11808" addr="T0R9C2S1_1" formatStyle="Comma" appId="_GBC_c4bc86b406e44d69b9ab0374bad05246"/>
      </m:tuple>
      <m:placeholder xlName="_PLD_c729a872b31940918796b9ddc8b3d264" addr="T0R11C0S1_1"/>
      <m:item xlName="_GBC_e53485a5eaa84bb4899e804e010aff4f" concept="clcid-pte:SheDingShouYiJiHuaYiWuXianZhiQiTaBianDong" label="设定受益计划义务现值-其他变动" mulRef="_GBC_b0c9e6ca28a2421c9518371c2be78bd5" unitRef="_GBC_7f65fb2b67b845e9afe96325d0d11808" addr="T0R11C1S1_1" formatStyle="Comma" appId="_GBC_c4bc86b406e44d69b9ab0374bad05246">
        <m:complexRule comparator="Eq" title="设定受益计划义务现值-其他变动" test=" $_GBC_262f7585de7b440bac429d67c58d3ba5 +  $_GBC_53fc78bccbd949f1bba09a9b768901ff +  $_GBC_9b66a499db5e495d9e442a9206412273" id="C1686c98489cd4c1abf5d4739b2b1550e" serialType="1"/>
      </m:item>
      <m:item xlName="_GBC_2e4b2b4c396944c69e2c12acef8de9eb" concept="clcid-pte:SheDingShouYiJiHuaYiWuXianZhiQiTaBianDong" label="设定受益计划义务现值-其他变动" periodRef="上年同期数" mulRef="_GBC_b0c9e6ca28a2421c9518371c2be78bd5" unitRef="_GBC_7f65fb2b67b845e9afe96325d0d11808" addr="T0R11C2S1_1" formatStyle="Comma" appId="_GBC_c4bc86b406e44d69b9ab0374bad05246">
        <m:complexRule comparator="Eq" title="设定受益计划义务现值-其他变动@上年同期数" test=" $_GBC_4e965afcf70b4ddbb4127483cab01f52 +  $_GBC_8125e120718b4686955e3152a5c41089 +  $_GBC_3ccbb727315e4731959c8528f046a902" id="Cdea3a11bdc4e4336b55bf09563b667d2" serialType="1"/>
      </m:item>
      <m:placeholder xlName="_PLD_b62cb34fbb5f49ada8114d2fa0b2744b" addr="T0R12C0S1_1"/>
      <m:item xlName="_GBC_262f7585de7b440bac429d67c58d3ba5" concept="clcid-pte:SheDingShouYiJiHuaYiWuXianZhiJieSuanShiZhiFuDeDuiJia" label="设定受益计划义务现值-结算时支付的对价" mulRef="_GBC_b0c9e6ca28a2421c9518371c2be78bd5" unitRef="_GBC_7f65fb2b67b845e9afe96325d0d11808" addr="T0R12C1S1_1" formatStyle="Comma" appId="_GBC_c4bc86b406e44d69b9ab0374bad05246"/>
      <m:item xlName="_GBC_4e965afcf70b4ddbb4127483cab01f52" concept="clcid-pte:SheDingShouYiJiHuaYiWuXianZhiJieSuanShiZhiFuDeDuiJia" label="设定受益计划义务现值-结算时支付的对价" periodRef="上年同期数" mulRef="_GBC_b0c9e6ca28a2421c9518371c2be78bd5" unitRef="_GBC_7f65fb2b67b845e9afe96325d0d11808" addr="T0R12C2S1_1" formatStyle="Comma" appId="_GBC_c4bc86b406e44d69b9ab0374bad05246"/>
      <m:placeholder xlName="_PLD_21f834174727463abc6e4576bb81dace" addr="T0R13C0S1_1"/>
      <m:item xlName="_GBC_53fc78bccbd949f1bba09a9b768901ff" concept="clcid-pte:SheDingShouYiJiHuaYiWuXianZhiYiZhiFuDeFuLi" label="设定受益计划义务现值-已支付的福利" mulRef="_GBC_b0c9e6ca28a2421c9518371c2be78bd5" unitRef="_GBC_7f65fb2b67b845e9afe96325d0d11808" addr="T0R13C1S1_1" formatStyle="Comma" appId="_GBC_c4bc86b406e44d69b9ab0374bad05246"/>
      <m:item xlName="_GBC_8125e120718b4686955e3152a5c41089" concept="clcid-pte:SheDingShouYiJiHuaYiWuXianZhiYiZhiFuDeFuLi" label="设定受益计划义务现值-已支付的福利" periodRef="上年同期数" mulRef="_GBC_b0c9e6ca28a2421c9518371c2be78bd5" unitRef="_GBC_7f65fb2b67b845e9afe96325d0d11808" addr="T0R13C2S1_1" formatStyle="Comma" appId="_GBC_c4bc86b406e44d69b9ab0374bad05246"/>
      <m:tuple xlName="_GBC_9822ec4b942b4732922c8717e4230169" concept="clcid-pte:SheDingShouYiJiHuaYiWuXianZhiQiTaBianDongMingXi" default_row="2" addr="T0R14C">
        <m:item xlName="_GBC_a1bb73121fcb45ebbbb3d0f2f732cbac" concept="clcid-pte:SheDingShouYiJiHuaYiWuXianZhiQiTaBianDongMingXiXiangMuMingCheng" label="设定受益计划义务现值-其他变动明细-项目名称" addr="T0R14C0S1_1" appId="_GBC_c4bc86b406e44d69b9ab0374bad05246"/>
        <m:item xlName="_GBC_9b66a499db5e495d9e442a9206412273" concept="clcid-pte:SheDingShouYiJiHuaYiWuXianZhiQiTaBianDongMingXiJinE" label="设定受益计划义务现值-其他变动明细-金额" mulRef="_GBC_b0c9e6ca28a2421c9518371c2be78bd5" unitRef="_GBC_7f65fb2b67b845e9afe96325d0d11808" addr="T0R14C1S1_1" formatStyle="Comma" appId="_GBC_c4bc86b406e44d69b9ab0374bad05246"/>
        <m:item xlName="_GBC_3ccbb727315e4731959c8528f046a902" concept="clcid-pte:SheDingShouYiJiHuaYiWuXianZhiQiTaBianDongMingXiJinE" label="设定受益计划义务现值-其他变动明细-金额" periodRef="上年同期数" mulRef="_GBC_b0c9e6ca28a2421c9518371c2be78bd5" unitRef="_GBC_7f65fb2b67b845e9afe96325d0d11808" addr="T0R14C2S1_1" formatStyle="Comma" appId="_GBC_c4bc86b406e44d69b9ab0374bad05246"/>
      </m:tuple>
      <m:placeholder xlName="_PLD_5e3f7fa86b304b8eb90c329578680944" addr="T0R16C0S1_1"/>
      <m:item xlName="_GBC_b67c1f7a9a49431ab7053626af0163a3" concept="clcid-pte:SheDingShouYiJiHuaYiWuXianZhi" label="设定受益计划义务现值" mulRef="_GBC_b0c9e6ca28a2421c9518371c2be78bd5" unitRef="_GBC_7f65fb2b67b845e9afe96325d0d11808" addr="T0R16C1S1_1" formatStyle="Comma" appId="_GBC_c4bc86b406e44d69b9ab0374bad05246">
        <m:complexRule comparator="Eq" title="设定受益计划义务现值" test=" $_GBC_7cf6232ff467487488b4bab37295a76e +  $_GBC_a3c87fa46e784b898733bec0622d77c8 +  $_GBC_47668ffb46d74c3888cef0bc28b83dda +  $_GBC_e53485a5eaa84bb4899e804e010aff4f" id="C9082da7c508146d2a184af389551ef7a"/>
      </m:item>
      <m:item xlName="_GBC_8107bddd70f34582859fb08c4d7a6f51" concept="clcid-pte:SheDingShouYiJiHuaYiWuXianZhi" label="设定受益计划义务现值" periodRef="上年同期期末数" mulRef="_GBC_b0c9e6ca28a2421c9518371c2be78bd5" unitRef="_GBC_7f65fb2b67b845e9afe96325d0d11808" addr="T0R16C2S1_1" formatStyle="Comma" appId="_GBC_c4bc86b406e44d69b9ab0374bad05246">
        <m:complexRule comparator="Eq" title="设定受益计划义务现值@上年同期期末数" test=" $_GBC_72230ca8f44743319207a522bda1f84b +  $_GBC_dad2a9527eb347f8873113fd437b9da3 +  $_GBC_07ff09b85a034bf0a02616d17be45744 +  $_GBC_2e4b2b4c396944c69e2c12acef8de9eb" id="Cc53054ddab6c4ae4b80bd0265c66b4a3"/>
      </m:item>
      <m:item xlName="_GBC_c2b590ce2cf24711a0d840605c251bba" concept="clcid-ci-ar:ShiFouShiYongSheDingShouYiJiHuaBianDongQingKuangJiHuaZiChan" label="是否适用：设定受益计划变动情况_计划资产" selectOptions="_buildInAppliance" controlType="CustomCheckbox" cRanges="{&quot;StartName&quot;:&quot;_GBC_c2b590ce2cf24711a0d840605c251bba&quot;,&quot;EndName&quot;:&quot;_GBC_d3d17bb6f5cd4608861f8bd73a0a0bca&quot;,&quot;CType&quot;:1,&quot;DisplayText&quot;:null}"/>
      <m:item xlName="_GBC_e2f2f776472347f48722fbaddc3282d0" concept="clcid-ci-ar:DanWeiCaiWuFuZhuJiHuaZiChan" label="单位：财务附注：计划资产" selectOptions="_buildInScales" controlType="Combobox" cellType="Scale" appId="_GBC_c2b590ce2cf24711a0d840605c251bba"/>
      <m:item xlName="_GBC_c41e1d42554f4820aca13e7c23b5fe50" concept="clcid-ci-ar:BiZhongCaiWuFuZhuJiHuaZiChan" label="币种：财务附注：计划资产" selectOptions="_buildInISO4217" controlType="Combobox" cellType="Measure" appId="_GBC_c2b590ce2cf24711a0d840605c251bba"/>
      <m:placeholder xlName="_PLD_2786e103196641ac96d94f9df5dd1923" addr="T1R0C0S1_1"/>
      <m:placeholder xlName="_PLD_97ca5e0455dc40d498481101398ba996" addr="T1R0C1S1_1"/>
      <m:placeholder xlName="_PLD_9d65c160b077493590d47b8d79c9c165" addr="T1R0C2S1_1"/>
      <m:placeholder xlName="_PLD_00cbf0639d7e4a2d964983d9c9308cf3" addr="T1R1C0S1_1"/>
      <m:item xlName="_GBC_19f3af04492c481e88c31990a2bfef3e" concept="clcid-pte:JiHuaZiChanDeGongYunJiaZhi" label="计划资产的公允价值" periodRef="本期期初数" mulRef="_GBC_b0c9e6ca28a2421c9518371c2be78bd5" unitRef="_GBC_7f65fb2b67b845e9afe96325d0d11808" addr="T1R1C1S1_1" formatStyle="Comma" appId="_GBC_c2b590ce2cf24711a0d840605c251bba"/>
      <m:item xlName="_GBC_27d67b0dd1ae4f0f9cac25a8efb19dcb" concept="clcid-pte:JiHuaZiChanDeGongYunJiaZhi" label="计划资产的公允价值" periodRef="上年同期期初数" mulRef="_GBC_b0c9e6ca28a2421c9518371c2be78bd5" unitRef="_GBC_7f65fb2b67b845e9afe96325d0d11808" addr="T1R1C2S1_1" formatStyle="Comma" appId="_GBC_c2b590ce2cf24711a0d840605c251bba"/>
      <m:placeholder xlName="_PLD_6097543c6b8346b587119ad7659b3be9" addr="T1R2C0S1_1"/>
      <m:item xlName="_GBC_1150ef4c5a7a42aba570ff686ae402d6" concept="clcid-pte:JiHuaZiChanDeGongYunJiaZhiJiRuDangQiSunYiDeSheDingShouYiChengBen" label="计划资产的公允价值-计入当期损益的设定受益成本" mulRef="_GBC_b0c9e6ca28a2421c9518371c2be78bd5" unitRef="_GBC_7f65fb2b67b845e9afe96325d0d11808" addr="T1R2C1S1_1" formatStyle="Comma" appId="_GBC_c2b590ce2cf24711a0d840605c251bba">
        <m:complexRule comparator="Eq" title="计划资产的公允价值-计入当期损益的设定受益成本" test=" $_GBC_f9b09d4d7d904c37a01fc7bb29ff187d +  $_GBC_9cf8aed5291f43479be7c933268b17dd" id="Cf234a6602e944c919f9996f7a44f41ba" serialType="1"/>
      </m:item>
      <m:item xlName="_GBC_9ff6190379e148f09d5abe83e9cb5f85" concept="clcid-pte:JiHuaZiChanDeGongYunJiaZhiJiRuDangQiSunYiDeSheDingShouYiChengBen" label="计划资产的公允价值-计入当期损益的设定受益成本" periodRef="上年同期数" mulRef="_GBC_b0c9e6ca28a2421c9518371c2be78bd5" unitRef="_GBC_7f65fb2b67b845e9afe96325d0d11808" addr="T1R2C2S1_1" formatStyle="Comma" appId="_GBC_c2b590ce2cf24711a0d840605c251bba">
        <m:complexRule comparator="Eq" title="计划资产的公允价值-计入当期损益的设定受益成本@上年同期数" test=" $_GBC_98ede4ea9570443db7e8e7925152e04b +  $_GBC_088e1deaaf39498a9a72a8e37e5eb4bc" id="C9a869925f17e45939ed887feb6d6ef87" serialType="1"/>
      </m:item>
      <m:placeholder xlName="_PLD_42891269fd1d40d2a01313882c0d6510" addr="T1R3C0S1_1"/>
      <m:item xlName="_GBC_f9b09d4d7d904c37a01fc7bb29ff187d" concept="clcid-pte:JiHuaZiChanDeGongYunJiaZhiLiXiJingE" label="计划资产的公允价值-利息净额" mulRef="_GBC_b0c9e6ca28a2421c9518371c2be78bd5" unitRef="_GBC_7f65fb2b67b845e9afe96325d0d11808" addr="T1R3C1S1_1" formatStyle="Comma" appId="_GBC_c2b590ce2cf24711a0d840605c251bba"/>
      <m:item xlName="_GBC_98ede4ea9570443db7e8e7925152e04b" concept="clcid-pte:JiHuaZiChanDeGongYunJiaZhiLiXiJingE" label="计划资产的公允价值-利息净额" periodRef="上年同期数" mulRef="_GBC_b0c9e6ca28a2421c9518371c2be78bd5" unitRef="_GBC_7f65fb2b67b845e9afe96325d0d11808" addr="T1R3C2S1_1" formatStyle="Comma" appId="_GBC_c2b590ce2cf24711a0d840605c251bba"/>
      <m:tuple xlName="_GBC_7ba976b998ac4a8e8f8ec15cec06ed7c" concept="clcid-pte:JiHuaZiChanJiRuDangQiSunYiDeSheDingShouYiChengBenMingXi" default_row="2" addr="T1R4C">
        <m:item xlName="_GBC_01c9316d9d4b4ac19183d2aafe450e4e" concept="clcid-pte:JiHuaZiChanJiRuDangQiSunYiDeSheDingShouYiChengBenMingXiXiangMuMingCheng" label="计划资产-计入当期损益的设定受益成本明细-项目名称" addr="T1R4C0S1_1" appId="_GBC_c2b590ce2cf24711a0d840605c251bba"/>
        <m:item xlName="_GBC_9cf8aed5291f43479be7c933268b17dd" concept="clcid-pte:JiHuaZiChanJiRuDangQiSunYiDeSheDingShouYiChengBenMingXiJinE" label="计划资产-计入当期损益的设定受益成本明细-金额" mulRef="_GBC_b0c9e6ca28a2421c9518371c2be78bd5" unitRef="_GBC_7f65fb2b67b845e9afe96325d0d11808" addr="T1R4C1S1_1" formatStyle="Comma" appId="_GBC_c2b590ce2cf24711a0d840605c251bba"/>
        <m:item xlName="_GBC_088e1deaaf39498a9a72a8e37e5eb4bc" concept="clcid-pte:JiHuaZiChanJiRuDangQiSunYiDeSheDingShouYiChengBenMingXiJinE" label="计划资产-计入当期损益的设定受益成本明细-金额" periodRef="上年同期数" mulRef="_GBC_b0c9e6ca28a2421c9518371c2be78bd5" unitRef="_GBC_7f65fb2b67b845e9afe96325d0d11808" addr="T1R4C2S1_1" formatStyle="Comma" appId="_GBC_c2b590ce2cf24711a0d840605c251bba"/>
      </m:tuple>
      <m:placeholder xlName="_PLD_fa4cbf6772604ff5b04bed99f16947c6" addr="T1R6C0S1_1"/>
      <m:item xlName="_GBC_3818b0c779a44dcdaf510869552df39f" concept="clcid-pte:JiHuaZiChanDeGongYunJiaZhiJiRuQiTaZongHeShouYiDeSheDingShouYiChengBen" label="计划资产的公允价值-计入其他综合收益的设定收益成本" mulRef="_GBC_b0c9e6ca28a2421c9518371c2be78bd5" unitRef="_GBC_7f65fb2b67b845e9afe96325d0d11808" addr="T1R6C1S1_1" formatStyle="Comma" appId="_GBC_c2b590ce2cf24711a0d840605c251bba">
        <m:complexRule comparator="Eq" title="计划资产的公允价值-计入其他综合收益的设定收益成本" test=" $_GBC_91e58c4265f84b248eb096c936e8a50d +  $_GBC_93c60fc2d3d84a428c4a3ecfa117d9f6 +  $_GBC_8f28c72ed4dc4ecc8385992471768285" id="Ca99f53c4229a49cfb7cace916b648413" serialType="1"/>
      </m:item>
      <m:item xlName="_GBC_ec78f7464e19474b92660010ee1ade68" concept="clcid-pte:JiHuaZiChanDeGongYunJiaZhiJiRuQiTaZongHeShouYiDeSheDingShouYiChengBen" label="计划资产的公允价值-计入其他综合收益的设定收益成本" periodRef="上年同期数" mulRef="_GBC_b0c9e6ca28a2421c9518371c2be78bd5" unitRef="_GBC_7f65fb2b67b845e9afe96325d0d11808" addr="T1R6C2S1_1" formatStyle="Comma" appId="_GBC_c2b590ce2cf24711a0d840605c251bba">
        <m:complexRule comparator="Eq" title="计划资产-计入其他综合收益的设定收益成本明细-金额@上年同期数" test=" $_GBC_b3f648feffd14851979ac34b7c2b1ef1 +  $_GBC_7c4f791599fd4ff1867de4a79e217b21 +  $_GBC_d3b856d9d833484ea7f7d2ef50904691" id="C0040802d03c043f68f919ac49ace47dc" serialType="1"/>
      </m:item>
      <m:placeholder xlName="_PLD_64a65211882040339277e398b798ee06" addr="T1R7C0S1_1"/>
      <m:item xlName="_GBC_91e58c4265f84b248eb096c936e8a50d" concept="clcid-pte:JiHuaZiChanDeGongYunJiaZhiJiHuaZiChanHuiBao" label="计划资产的公允价值-计划资产回报" mulRef="_GBC_b0c9e6ca28a2421c9518371c2be78bd5" unitRef="_GBC_7f65fb2b67b845e9afe96325d0d11808" addr="T1R7C1S1_1" formatStyle="Comma" appId="_GBC_c2b590ce2cf24711a0d840605c251bba"/>
      <m:item xlName="_GBC_b3f648feffd14851979ac34b7c2b1ef1" concept="clcid-pte:JiHuaZiChanDeGongYunJiaZhiJiHuaZiChanHuiBao" label="计划资产的公允价值-计划资产回报" periodRef="上年同期数" mulRef="_GBC_b0c9e6ca28a2421c9518371c2be78bd5" unitRef="_GBC_7f65fb2b67b845e9afe96325d0d11808" addr="T1R7C2S1_1" formatStyle="Comma" appId="_GBC_c2b590ce2cf24711a0d840605c251bba"/>
      <m:placeholder xlName="_PLD_4aa22ad1fc5f4373b744208381334e70" addr="T1R8C0S1_1"/>
      <m:item xlName="_GBC_93c60fc2d3d84a428c4a3ecfa117d9f6" concept="clcid-pte:JiHuaZiChanDeGongYunJiaZhiZiChanShangXianYingXiangDeBianDong" label="计划资产的公允价值-资产上限影响的变动" mulRef="_GBC_b0c9e6ca28a2421c9518371c2be78bd5" unitRef="_GBC_7f65fb2b67b845e9afe96325d0d11808" addr="T1R8C1S1_1" formatStyle="Comma" appId="_GBC_c2b590ce2cf24711a0d840605c251bba"/>
      <m:item xlName="_GBC_7c4f791599fd4ff1867de4a79e217b21" concept="clcid-pte:JiHuaZiChanDeGongYunJiaZhiZiChanShangXianYingXiangDeBianDong" label="计划资产的公允价值-资产上限影响的变动" periodRef="上年同期数" mulRef="_GBC_b0c9e6ca28a2421c9518371c2be78bd5" unitRef="_GBC_7f65fb2b67b845e9afe96325d0d11808" addr="T1R8C2S1_1" formatStyle="Comma" appId="_GBC_c2b590ce2cf24711a0d840605c251bba"/>
      <m:tuple xlName="_GBC_e33978c42efe4ec89fb11ad731b9745a" concept="clcid-pte:JiHuaZiChanJiRuQiTaZongHeShouYiDeSheDingShouYiChengBenMingXi" default_row="2" addr="T1R9C">
        <m:item xlName="_GBC_6f80a3ce858d47a0b3857c8dab6bff37" concept="clcid-pte:JiHuaZiChanJiRuQiTaZongHeShouYiDeSheDingShouYiChengBenMingXiXiangMuMingCheng" label="计划资产-计入其他综合收益的设定收益成本明细-项目名称" addr="T1R9C0S1_1" appId="_GBC_c2b590ce2cf24711a0d840605c251bba"/>
        <m:item xlName="_GBC_8f28c72ed4dc4ecc8385992471768285" concept="clcid-pte:JiHuaZiChanJiRuQiTaZongHeShouYiDeSheDingShouYiChengBenMingXiJinE" label="计划资产-计入其他综合收益的设定收益成本明细-金额" mulRef="_GBC_b0c9e6ca28a2421c9518371c2be78bd5" unitRef="_GBC_7f65fb2b67b845e9afe96325d0d11808" addr="T1R9C1S1_1" formatStyle="Comma" appId="_GBC_c2b590ce2cf24711a0d840605c251bba"/>
        <m:item xlName="_GBC_d3b856d9d833484ea7f7d2ef50904691" concept="clcid-pte:JiHuaZiChanJiRuQiTaZongHeShouYiDeSheDingShouYiChengBenMingXiJinE" label="计划资产-计入其他综合收益的设定收益成本明细-金额" periodRef="上年同期数" mulRef="_GBC_b0c9e6ca28a2421c9518371c2be78bd5" unitRef="_GBC_7f65fb2b67b845e9afe96325d0d11808" addr="T1R9C2S1_1" formatStyle="Comma" appId="_GBC_c2b590ce2cf24711a0d840605c251bba"/>
      </m:tuple>
      <m:placeholder xlName="_PLD_adea70a9bc974dc6988382bcf5cf44cd" addr="T1R11C0S1_1"/>
      <m:item xlName="_GBC_fe4197f3a4dd4e888f2cd1ff52a1e88d" concept="clcid-pte:JiHuaZiChanDeGongYunJiaZhiQiTaBianDong" label="计划资产的公允价值-其他变动" mulRef="_GBC_b0c9e6ca28a2421c9518371c2be78bd5" unitRef="_GBC_7f65fb2b67b845e9afe96325d0d11808" addr="T1R11C1S1_1" formatStyle="Comma" appId="_GBC_c2b590ce2cf24711a0d840605c251bba">
        <m:complexRule comparator="Eq" title="计划资产的公允价值-其他变动" id="Cdf24f980a6984ae8b7ebeeada5caef0a"/>
      </m:item>
      <m:item xlName="_GBC_d1b97523465a44e1be111207b9434e50" concept="clcid-pte:JiHuaZiChanDeGongYunJiaZhiQiTaBianDong" label="计划资产的公允价值-其他变动" periodRef="上年同期数" mulRef="_GBC_b0c9e6ca28a2421c9518371c2be78bd5" unitRef="_GBC_7f65fb2b67b845e9afe96325d0d11808" addr="T1R11C2S1_1" formatStyle="Comma" appId="_GBC_c2b590ce2cf24711a0d840605c251bba"/>
      <m:tuple xlName="_GBC_9464fa7cfd8f4b93820b97b6af3f1541" concept="clcid-pte:JiHuaZiChanQiTaBianDongMingXi" default_row="2" addr="T1R12C">
        <m:item xlName="_GBC_356345146fc6488a874dddca6f1cf928" concept="clcid-pte:JiHuaZiChanQiTaBianDongMingXiXiangMuMingCheng" label="计划资产-其他变动明细-项目名称" addr="T1R12C0S1_1" appId="_GBC_c2b590ce2cf24711a0d840605c251bba"/>
        <m:item xlName="_GBC_356aeacba1414de4a32095f88e57f378" concept="clcid-pte:JiHuaZiChanQiTaBianDongMingXiJinE" label="计划资产-其他变动明细-金额" mulRef="_GBC_b0c9e6ca28a2421c9518371c2be78bd5" unitRef="_GBC_7f65fb2b67b845e9afe96325d0d11808" addr="T1R12C1S1_1" formatStyle="Comma" appId="_GBC_c2b590ce2cf24711a0d840605c251bba"/>
        <m:item xlName="_GBC_5a3c306b1ef84b2b8a9f50cb0b623e26" concept="clcid-pte:JiHuaZiChanQiTaBianDongMingXiJinE" label="计划资产-其他变动明细-金额" periodRef="上年同期数" mulRef="_GBC_b0c9e6ca28a2421c9518371c2be78bd5" unitRef="_GBC_7f65fb2b67b845e9afe96325d0d11808" addr="T1R12C2S1_1" formatStyle="Comma" appId="_GBC_c2b590ce2cf24711a0d840605c251bba"/>
      </m:tuple>
      <m:placeholder xlName="_PLD_798e25c8897640e6b7c18ee2685d1f73" addr="T1R14C0S1_1"/>
      <m:item xlName="_GBC_e732f8d2514940178d0e0342925bc4ac" concept="clcid-pte:JiHuaZiChanDeGongYunJiaZhi" label="计划资产的公允价值" mulRef="_GBC_b0c9e6ca28a2421c9518371c2be78bd5" unitRef="_GBC_7f65fb2b67b845e9afe96325d0d11808" addr="T1R14C1S1_1" formatStyle="Comma" appId="_GBC_c2b590ce2cf24711a0d840605c251bba">
        <m:complexRule comparator="Eq" title="计划资产的公允价值" test=" $_GBC_19f3af04492c481e88c31990a2bfef3e +  $_GBC_1150ef4c5a7a42aba570ff686ae402d6 +  $_GBC_3818b0c779a44dcdaf510869552df39f +  $_GBC_fe4197f3a4dd4e888f2cd1ff52a1e88d" id="Cefdb3797283a456ca16c938580436822"/>
      </m:item>
      <m:item xlName="_GBC_d3d17bb6f5cd4608861f8bd73a0a0bca" concept="clcid-pte:JiHuaZiChanDeGongYunJiaZhi" label="计划资产的公允价值" periodRef="上年同期期末数" mulRef="_GBC_b0c9e6ca28a2421c9518371c2be78bd5" unitRef="_GBC_7f65fb2b67b845e9afe96325d0d11808" addr="T1R14C2S1_1" formatStyle="Comma" appId="_GBC_c2b590ce2cf24711a0d840605c251bba">
        <m:complexRule comparator="Eq" title="计划资产的公允价值@上年同期期末数" test=" $_GBC_27d67b0dd1ae4f0f9cac25a8efb19dcb +  $_GBC_9ff6190379e148f09d5abe83e9cb5f85 +  $_GBC_ec78f7464e19474b92660010ee1ade68 +  $_GBC_d1b97523465a44e1be111207b9434e50" id="C20b4066d3863443793844205fa1d8ae3"/>
      </m:item>
      <m:item xlName="_GBC_c9a00f9cf02f40478b9c06d7ded58e74" concept="clcid-ci-ar:ShiFouShiYongSheDingShouYiJiHuaBianDongQingKuangSheDingShouYiJiHuaJingFuZhai" label="是否适用：设定受益计划变动情况_设定受益计划净负债" selectOptions="_buildInAppliance" controlType="CustomCheckbox" cRanges="{&quot;StartName&quot;:&quot;_GBC_c9a00f9cf02f40478b9c06d7ded58e74&quot;,&quot;EndName&quot;:&quot;_GBC_d07fc758a0e042f58b15ca0a5f290e22&quot;,&quot;CType&quot;:1,&quot;DisplayText&quot;:null}"/>
      <m:item xlName="_GBC_54fbb7ef15b042f89b56d20b667a2060" concept="clcid-ci-ar:DanWeiCaiWuFuZhuSheDingShouYiJiHuaJingFuZhai" label="单位：财务附注：设定受益计划净负债" selectOptions="_buildInScales" controlType="Combobox" cellType="Scale" appId="_GBC_c9a00f9cf02f40478b9c06d7ded58e74"/>
      <m:item xlName="_GBC_2d5d717f2c854d76a0297479a4e0a843" concept="clcid-ci-ar:BiZhongCaiWuFuZhuSheDingShouYiJiHuaJingFuZhai" label="币种：财务附注：设定受益计划净负债" selectOptions="_buildInISO4217" controlType="Combobox" cellType="Measure" appId="_GBC_c9a00f9cf02f40478b9c06d7ded58e74"/>
      <m:placeholder xlName="_PLD_61ac687fac4043bda02be8394aecf94d" addr="T2R0C0S1_1"/>
      <m:placeholder xlName="_PLD_d4b13d12aa5c4ca19b6be5bdcebb5d2b" addr="T2R0C1S1_1"/>
      <m:placeholder xlName="_PLD_0512a503d7614b0594f8c1afa3ea96b1" addr="T2R0C2S1_1"/>
      <m:placeholder xlName="_PLD_13ab00000a374a44beda4a3cdc90def7" addr="T2R1C0S1_1"/>
      <m:item xlName="_GBC_9cb9c2cb1ea040ffa69802cfe9f8a9e6" concept="clcid-pte:SheDingShouYiJiHuaJingFuZhai" label="设定受益计划净负债" periodRef="本期期初数" mulRef="_GBC_54fbb7ef15b042f89b56d20b667a2060" unitRef="_GBC_2d5d717f2c854d76a0297479a4e0a843" addr="T2R1C1S1_1" formatStyle="Comma" appId="_GBC_c9a00f9cf02f40478b9c06d7ded58e74"/>
      <m:item xlName="_GBC_9ea15028b3d24825924a7fb610011774" concept="clcid-pte:SheDingShouYiJiHuaJingFuZhai" label="设定受益计划净负债" periodRef="上年同期期初数" mulRef="_GBC_54fbb7ef15b042f89b56d20b667a2060" unitRef="_GBC_2d5d717f2c854d76a0297479a4e0a843" addr="T2R1C2S1_1" formatStyle="Comma" appId="_GBC_c9a00f9cf02f40478b9c06d7ded58e74"/>
      <m:placeholder xlName="_PLD_e11e10f9c7ab4595ad3a9ed8cae1dd8c" addr="T2R2C0S1_1"/>
      <m:item xlName="_GBC_62d237468c5b4264864475739d5544dd" concept="clcid-pte:SheDingShouYiJiHuaJingFuZhaiJiRuDangQiSunYiDeSheDingShouYiChengBen" label="设定受益计划净负债-计入当期损益的设定受益成本" mulRef="_GBC_54fbb7ef15b042f89b56d20b667a2060" unitRef="_GBC_2d5d717f2c854d76a0297479a4e0a843" addr="T2R2C1S1_1" formatStyle="Comma" appId="_GBC_c9a00f9cf02f40478b9c06d7ded58e74"/>
      <m:item xlName="_GBC_68fa8198c58e4c40b60cd352e225c12c" concept="clcid-pte:SheDingShouYiJiHuaJingFuZhaiJiRuDangQiSunYiDeSheDingShouYiChengBen" label="设定受益计划净负债-计入当期损益的设定受益成本" periodRef="上年同期数" mulRef="_GBC_54fbb7ef15b042f89b56d20b667a2060" unitRef="_GBC_2d5d717f2c854d76a0297479a4e0a843" addr="T2R2C2S1_1" formatStyle="Comma" appId="_GBC_c9a00f9cf02f40478b9c06d7ded58e74"/>
      <m:placeholder xlName="_PLD_739df71bdc8643a58d9597c01d63f131" addr="T2R3C0S1_1"/>
      <m:item xlName="_GBC_c8d18e9b3ff94e5da05c67ce21045fa5" concept="clcid-pte:SheDingShouYiJiHuaJingFuZhaiJiRuQiTaZongHeShouYiDeSheDingShouYiChengBen" label="设定受益计划净负债-计入其他综合收益的设定收益成本" mulRef="_GBC_54fbb7ef15b042f89b56d20b667a2060" unitRef="_GBC_2d5d717f2c854d76a0297479a4e0a843" addr="T2R3C1S1_1" formatStyle="Comma" appId="_GBC_c9a00f9cf02f40478b9c06d7ded58e74"/>
      <m:item xlName="_GBC_ff4f93a311974d558785d14e7967b581" concept="clcid-pte:SheDingShouYiJiHuaJingFuZhaiJiRuQiTaZongHeShouYiDeSheDingShouYiChengBen" label="设定受益计划净负债-计入其他综合收益的设定收益成本" periodRef="上年同期数" mulRef="_GBC_54fbb7ef15b042f89b56d20b667a2060" unitRef="_GBC_2d5d717f2c854d76a0297479a4e0a843" addr="T2R3C2S1_1" formatStyle="Comma" appId="_GBC_c9a00f9cf02f40478b9c06d7ded58e74"/>
      <m:placeholder xlName="_PLD_306d25d71297462192a74d9e1e9a6900" addr="T2R4C0S1_1"/>
      <m:item xlName="_GBC_d0028e85a08845378c1c8822ef113749" concept="clcid-pte:SheDingShouYiJiHuaJingFuZhaiQiTaBianDong" label="设定受益计划净负债-其他变动" mulRef="_GBC_54fbb7ef15b042f89b56d20b667a2060" unitRef="_GBC_2d5d717f2c854d76a0297479a4e0a843" addr="T2R4C1S1_1" formatStyle="Comma" appId="_GBC_c9a00f9cf02f40478b9c06d7ded58e74"/>
      <m:item xlName="_GBC_819e81f2061d4648b9a5315ebc2f4d7c" concept="clcid-pte:SheDingShouYiJiHuaJingFuZhaiQiTaBianDong" label="设定受益计划净负债-其他变动" periodRef="上年同期数" mulRef="_GBC_54fbb7ef15b042f89b56d20b667a2060" unitRef="_GBC_2d5d717f2c854d76a0297479a4e0a843" addr="T2R4C2S1_1" formatStyle="Comma" appId="_GBC_c9a00f9cf02f40478b9c06d7ded58e74"/>
      <m:placeholder xlName="_PLD_27a294264bfe47ec8f16ebbbb9d266ed" addr="T2R5C0S1_1"/>
      <m:item xlName="_GBC_04e4e289183a4ead8d513aa1ad8825b1" concept="clcid-pte:SheDingShouYiJiHuaJingFuZhai" label="设定受益计划净负债" mulRef="_GBC_54fbb7ef15b042f89b56d20b667a2060" unitRef="_GBC_2d5d717f2c854d76a0297479a4e0a843" addr="T2R5C1S1_1" formatStyle="Comma" appId="_GBC_c9a00f9cf02f40478b9c06d7ded58e74">
        <m:complexRule comparator="Eq" title="设定受益计划净负债" test=" $_GBC_9cb9c2cb1ea040ffa69802cfe9f8a9e6 +  $_GBC_62d237468c5b4264864475739d5544dd +  $_GBC_c8d18e9b3ff94e5da05c67ce21045fa5 +  $_GBC_d0028e85a08845378c1c8822ef113749" id="C164ae421bd2d400da8eb4e35c63bbdf4"/>
      </m:item>
      <m:item xlName="_GBC_d07fc758a0e042f58b15ca0a5f290e22" concept="clcid-pte:SheDingShouYiJiHuaJingFuZhai" label="设定受益计划净负债" periodRef="上年同期期末数" mulRef="_GBC_54fbb7ef15b042f89b56d20b667a2060" unitRef="_GBC_2d5d717f2c854d76a0297479a4e0a843" addr="T2R5C2S1_1" formatStyle="Comma" appId="_GBC_c9a00f9cf02f40478b9c06d7ded58e74">
        <m:complexRule comparator="Eq" title="设定受益计划净负债@上年同期期末数" test=" $_GBC_9ea15028b3d24825924a7fb610011774 +  $_GBC_68fa8198c58e4c40b60cd352e225c12c +  $_GBC_ff4f93a311974d558785d14e7967b581 +  $_GBC_819e81f2061d4648b9a5315ebc2f4d7c" id="Cdc3a5e9d480146e6b42399708cb21561"/>
      </m:item>
      <m:item xlName="_GBC_2e34365c15bf476d97ccb2c983bcb127"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2e34365c15bf476d97ccb2c983bcb127&quot;,&quot;EndName&quot;:&quot;_GBC_f8515160622040f69e1004dae9dd0f07&quot;,&quot;CType&quot;:1,&quot;DisplayText&quot;:null}"/>
      <m:item xlName="_GBC_f8515160622040f69e1004dae9dd0f07" concept="clcid-pte:SheDingShouYiJiHuaDeNeiRongJiYuZhiXiangGuanFengXianDuiGongSiWeiLaiXianJinLiuLiangShiJianHeBuQueDingXingDeYingXiangShuoMing" label="设定受益计划的内容及与之相关风险、对公司未来现金流量、时间和不确定性的影响说明" appId="_GBC_2e34365c15bf476d97ccb2c983bcb127"/>
      <m:item xlName="_GBC_ca3d6135d7d142dba45a1fa5a5c4591a" concept="clcid-ci-ar:ShiFouShiYongSheDingShouYiJiHuaZhongDaJingSuanJiaSheJiMinGanXingFenXiJieGuoShuoMing" label="是否适用：设定受益计划重大精算假设及敏感性分析结果说明" selectOptions="_buildInAppliance" controlType="CustomCheckbox" cRanges="{&quot;StartName&quot;:&quot;_GBC_ca3d6135d7d142dba45a1fa5a5c4591a&quot;,&quot;EndName&quot;:&quot;_GBC_88568cc694784f799327f2375603537e&quot;,&quot;CType&quot;:1,&quot;DisplayText&quot;:null}"/>
      <m:item xlName="_GBC_88568cc694784f799327f2375603537e" concept="clcid-pte:SheDingShouYiJiHuaZhongDaJingSuanJiaSheJiMinGanXingFenXiJieGuoShuoMing" label="设定受益计划重大精算假设及敏感性分析结果说明" appId="_GBC_ca3d6135d7d142dba45a1fa5a5c4591a"/>
    </m:section>
    <m:section xlName="_GBC_9d7ebc39babc43788a550e83deca7fdc" title="长期应付职工薪酬的其他说明" helpId="112001097">
      <m:item xlName="_GBC_9621d9da5c12475c9b0ae742a1372566" concept="clcid-ci-ar:ShiFouShiYongChangQiYingFuZhiGongXinChouDeQiTaShuoMing" label="是否适用：长期应付职工薪酬的其他说明" selectOptions="_buildInAppliance" controlType="CustomCheckbox" cRanges="{&quot;StartName&quot;:&quot;_GBC_9621d9da5c12475c9b0ae742a1372566&quot;,&quot;EndName&quot;:&quot;_GBC_11b0805a85104151b95464d0af701946&quot;,&quot;CType&quot;:1,&quot;DisplayText&quot;:null}"/>
      <m:item xlName="_GBC_11b0805a85104151b95464d0af701946" concept="clcid-pte:ChangQiYingFuZhiGongXinChouDeQiTaShuoMing" label="长期应付职工薪酬的其他说明" appId="_GBC_9621d9da5c12475c9b0ae742a1372566"/>
    </m:section>
    <m:section xlName="_GBC_6b41f75046264d5392c8786bf4fd2da4" title="预计负债" convertSummaryRule="NoConvert" helpId="112001099">
      <m:item xlName="_GBC_1687da235caf410f866f00240cee7fdb" concept="clcid-ci-ar:ShiFouShiYongJiFuZhai" label="是否适用：预计负债" selectOptions="_buildInAppliance" controlType="CustomCheckbox" cRanges="{&quot;StartName&quot;:&quot;_GBC_1687da235caf410f866f00240cee7fdb&quot;,&quot;EndName&quot;:&quot;_GBC_d674f22c00c1425092bd34d8a8834fad&quot;,&quot;CType&quot;:1,&quot;DisplayText&quot;:null}"/>
      <m:item xlName="_GBC_cb4f52bf31e64f4c951a1d03c8737c2c" concept="clcid-ci-ar:DanWeiCaiWuFuZhuYuJiFuZhai" label="单位：财务附注：预计负债" selectOptions="_buildInScales" controlType="Combobox" cellType="Scale" appId="_GBC_1687da235caf410f866f00240cee7fdb"/>
      <m:item xlName="_GBC_c1e0a0d54ae34f37b10682c1542f4496" concept="clcid-ci-ar:BiZhongCaiWuFuZhuYuJiFuZhai" label="币种：财务附注：预计负债" selectOptions="_buildInISO4217" controlType="Combobox" cellType="Measure" appId="_GBC_1687da235caf410f866f00240cee7fdb"/>
      <m:placeholder xlName="_PLD_fc927e21b7894351850a5341390e71f1" addr="T0R0C0S1_1"/>
      <m:placeholder xlName="_PLD_6f816d98e70940cfbbbbb868b0aeb358" addr="T0R0C1S1_1"/>
      <m:placeholder xlName="_PLD_5448bfd35d2348cfac66de5cdfbc78a4" addr="T0R0C2S1_1"/>
      <m:placeholder xlName="_PLD_987f713faa85401c883cbd6dd67e70b8" addr="T0R0C3S1_1"/>
      <m:placeholder xlName="_PLD_93649cbf68b54d57809d9f333071f9a2" addr="T0R1C0S1_1"/>
      <m:item xlName="_GBC_66aa1a103caf4b3eac7bfcb429307180" concept="clcid-pte:YuJiFuZhaiZhongDeDuiWaiTiGongDanBao" label="预计负债中的对外提供担保" periodRef="本期期初数" mulRef="_GBC_cb4f52bf31e64f4c951a1d03c8737c2c" unitRef="_GBC_c1e0a0d54ae34f37b10682c1542f4496" addr="T0R1C1S1_1" formatStyle="Comma" appId="_GBC_1687da235caf410f866f00240cee7fdb"/>
      <m:item xlName="_GBC_a6f4939038604bea85aa904a010f9e7d" concept="clcid-pte:YuJiFuZhaiZhongDeDuiWaiTiGongDanBao" label="预计负债中的对外提供担保" mulRef="_GBC_cb4f52bf31e64f4c951a1d03c8737c2c" unitRef="_GBC_c1e0a0d54ae34f37b10682c1542f4496" addr="T0R1C2S1_1" formatStyle="Comma" appId="_GBC_1687da235caf410f866f00240cee7fdb"/>
      <m:item xlName="_GBC_bba6fc1ebadb4f93bf280a74d752ac4c" concept="clcid-pte:YuJiFuZhaiZhongDeDuiWaiTiGongDanBaoXingChengYuanYin" label="预计负债中的对外提供担保形成原因" addr="T0R1C3S1_1" appId="_GBC_1687da235caf410f866f00240cee7fdb"/>
      <m:placeholder xlName="_PLD_81fc69a2cce74d41b4a3275d0b854217" addr="T0R2C0S1_1"/>
      <m:item xlName="_GBC_ccd71168d5cd4da8a03828bfb8553614" concept="clcid-pte:YuJiFuZhaiZhongDeWeiJueSuSong" label="预计负债中的未决诉讼" periodRef="本期期初数" mulRef="_GBC_cb4f52bf31e64f4c951a1d03c8737c2c" unitRef="_GBC_c1e0a0d54ae34f37b10682c1542f4496" addr="T0R2C1S1_1" formatStyle="Comma" appId="_GBC_1687da235caf410f866f00240cee7fdb"/>
      <m:item xlName="_GBC_a9ba7326e9624987a49f2bf68c5d950d" concept="clcid-pte:YuJiFuZhaiZhongDeWeiJueSuSong" label="预计负债中的未决诉讼" mulRef="_GBC_cb4f52bf31e64f4c951a1d03c8737c2c" unitRef="_GBC_c1e0a0d54ae34f37b10682c1542f4496" addr="T0R2C2S1_1" formatStyle="Comma" appId="_GBC_1687da235caf410f866f00240cee7fdb"/>
      <m:item xlName="_GBC_8c39e555ca264a5c872947df97930445" concept="clcid-pte:YuJiFuZhaiZhongDeWeiJueSuSongXingChengYuanYin" label="预计负债中的未决诉讼形成原因" addr="T0R2C3S1_1" appId="_GBC_1687da235caf410f866f00240cee7fdb"/>
      <m:placeholder xlName="_PLD_48494f857e0740f6a4114136294a97a7" addr="T0R3C0S1_1"/>
      <m:item xlName="_GBC_086e28f2f6c943128a0ed41c4bbc3df1" concept="clcid-pte:YuJiFuZhaiZhongDeChanPinZhiLiangBaoZheng" label="预计负债中的产品质量保证" periodRef="本期期初数" mulRef="_GBC_cb4f52bf31e64f4c951a1d03c8737c2c" unitRef="_GBC_c1e0a0d54ae34f37b10682c1542f4496" addr="T0R3C1S1_1" formatStyle="Comma" appId="_GBC_1687da235caf410f866f00240cee7fdb"/>
      <m:item xlName="_GBC_d172817b2a9f43f9939c2d8a7606bba2" concept="clcid-pte:YuJiFuZhaiZhongDeChanPinZhiLiangBaoZheng" label="预计负债中的产品质量保证" mulRef="_GBC_cb4f52bf31e64f4c951a1d03c8737c2c" unitRef="_GBC_c1e0a0d54ae34f37b10682c1542f4496" addr="T0R3C2S1_1" formatStyle="Comma" appId="_GBC_1687da235caf410f866f00240cee7fdb"/>
      <m:item xlName="_GBC_7d3288bcd56b4d01b4a021daa54c4c4f" concept="clcid-pte:YuJiFuZhaiZhongDeChanPinZhiLiangBaoZhengXingChengYuanYin" label="预计负债中的产品质量保证形成原因" addr="T0R3C3S1_1" appId="_GBC_1687da235caf410f866f00240cee7fdb"/>
      <m:placeholder xlName="_PLD_fb0c4fb2f77842b284bbfd3e992ef2c5" addr="T0R4C0S1_1"/>
      <m:item xlName="_GBC_c433bd153c0b4f0db6ce3103a5065c17" concept="clcid-pte:YuJiFuZhaiZhongDeZhongZuYiWu" label="预计负债中的重组义务" periodRef="本期期初数" mulRef="_GBC_cb4f52bf31e64f4c951a1d03c8737c2c" unitRef="_GBC_c1e0a0d54ae34f37b10682c1542f4496" addr="T0R4C1S1_1" formatStyle="Comma" appId="_GBC_1687da235caf410f866f00240cee7fdb"/>
      <m:item xlName="_GBC_1a6d3ea76ee141f5b26883b9d38ccb07" concept="clcid-pte:YuJiFuZhaiZhongDeZhongZuYiWu" label="预计负债中的重组义务" mulRef="_GBC_cb4f52bf31e64f4c951a1d03c8737c2c" unitRef="_GBC_c1e0a0d54ae34f37b10682c1542f4496" addr="T0R4C2S1_1" formatStyle="Comma" appId="_GBC_1687da235caf410f866f00240cee7fdb"/>
      <m:item xlName="_GBC_fbc6a348fbde4caeb6f891d87d65bbf2" concept="clcid-pte:YuJiFuZhaiZhongDeZhongZuYiWuXingChengYuanYin" label="预计负债中的重组义务形成原因" addr="T0R4C3S1_1" appId="_GBC_1687da235caf410f866f00240cee7fdb"/>
      <m:placeholder xlName="_PLD_ae406fbfbb59463e918f766883c4e3a3" addr="T0R5C0S1_1"/>
      <m:item xlName="_GBC_4b3f7bfe012a49a18ab8878e21c440a9" concept="clcid-pte:YuJiFuZhaiZhongDeDaiZhiXingDeKuiSunHeTong" label="预计负债中的待执行的亏损合同" periodRef="本期期初数" mulRef="_GBC_cb4f52bf31e64f4c951a1d03c8737c2c" unitRef="_GBC_c1e0a0d54ae34f37b10682c1542f4496" addr="T0R5C1S1_1" formatStyle="Comma" appId="_GBC_1687da235caf410f866f00240cee7fdb"/>
      <m:item xlName="_GBC_b21a4a51f1ac4ca0941e5e55491b4482" concept="clcid-pte:YuJiFuZhaiZhongDeDaiZhiXingDeKuiSunHeTong" label="预计负债中的待执行的亏损合同" mulRef="_GBC_cb4f52bf31e64f4c951a1d03c8737c2c" unitRef="_GBC_c1e0a0d54ae34f37b10682c1542f4496" addr="T0R5C2S1_1" formatStyle="Comma" appId="_GBC_1687da235caf410f866f00240cee7fdb"/>
      <m:item xlName="_GBC_ea8bcc5f43f84cb1a5a7da06949a8592" concept="clcid-pte:YuJiFuZhaiZhongDeDaiZhiXingDeKuiSunHeTongXingChengYuanYin" label="预计负债中的待执行的亏损合同形成原因" addr="T0R5C3S1_1" appId="_GBC_1687da235caf410f866f00240cee7fdb"/>
      <m:placeholder xlName="_PLD_5fd9d95a8aca464da14aac9b5612ef83" addr="T0R6C0S1_1"/>
      <m:item xlName="_GBC_3051478662fc4b8c86f669a0b231b348" concept="clcid-pte:YuJiFuZhaiZhongDeYingFuTuiHuoKuan" label="预计负债中的应付退货款" periodRef="本期期初数" mulRef="_GBC_cb4f52bf31e64f4c951a1d03c8737c2c" unitRef="_GBC_c1e0a0d54ae34f37b10682c1542f4496" addr="T0R6C1S1_1" formatStyle="Comma" appId="_GBC_1687da235caf410f866f00240cee7fdb"/>
      <m:item xlName="_GBC_bea2f0fe7da04582a9c89c5e3d71298f" concept="clcid-pte:YuJiFuZhaiZhongDeYingFuTuiHuoKuan" label="预计负债中的应付退货款" mulRef="_GBC_cb4f52bf31e64f4c951a1d03c8737c2c" unitRef="_GBC_c1e0a0d54ae34f37b10682c1542f4496" addr="T0R6C2S1_1" formatStyle="Comma" appId="_GBC_1687da235caf410f866f00240cee7fdb"/>
      <m:item xlName="_GBC_f651daf39c524e79a3c896de33513da3" concept="clcid-pte:YuJiFuZhaiZhongDeYingFuTuiHuoKuanXingChengYuanYin" label="预计负债中的应付退货款形成原因" addr="T0R6C3S1_1" appId="_GBC_1687da235caf410f866f00240cee7fdb"/>
      <m:placeholder xlName="_PLD_96e768c848ec42e8bcab0dbff16e2b4b" addr="T0R7C0S1_1"/>
      <m:item xlName="_GBC_d5edd180cf9c4f0288c295734dcc079f" concept="clcid-pte:YuJiFuZhaiZhongDeQiTaYuJiFuZhai" label="预计负债中的其他预计负债" periodRef="本期期初数" mulRef="_GBC_cb4f52bf31e64f4c951a1d03c8737c2c" unitRef="_GBC_c1e0a0d54ae34f37b10682c1542f4496" addr="T0R7C1S1_1" formatStyle="Comma" appId="_GBC_1687da235caf410f866f00240cee7fdb"/>
      <m:item xlName="_GBC_a2e82d3162df48d8bae5da440354464c" concept="clcid-pte:YuJiFuZhaiZhongDeQiTaYuJiFuZhai" label="预计负债中的其他预计负债" mulRef="_GBC_cb4f52bf31e64f4c951a1d03c8737c2c" unitRef="_GBC_c1e0a0d54ae34f37b10682c1542f4496" addr="T0R7C2S1_1" formatStyle="Comma" appId="_GBC_1687da235caf410f866f00240cee7fdb"/>
      <m:item xlName="_GBC_3ada733d25f444b3ba16ac0ed3abdf07" concept="clcid-pte:YuJiFuZhaiZhongDeQiTaXingChengYuanYin" label="预计负债中的其他形成原因" addr="T0R7C3S1_1" appId="_GBC_1687da235caf410f866f00240cee7fdb"/>
      <m:tuple xlName="_GBC_5cf700910cc340f9a6a8c98630e6dc69" concept="clcid-pte:YuJiFuZhaiMingXi" default_row="2" addr="T0R8C">
        <m:item xlName="_GBC_12dade77ea9e44e1be696945d2ae95bc" concept="clcid-pte:YuJiFuZhaiXiangMu" label="预计负债项目" addr="T0R8C0S1_1" appId="_GBC_1687da235caf410f866f00240cee7fdb"/>
        <m:item xlName="_GBC_51dab7726bbe4768ad47b0f676b60b88" concept="clcid-pte:YuJiFuZhaiJinE" label="预计负债金额" periodRef="本期期初数" mulRef="_GBC_cb4f52bf31e64f4c951a1d03c8737c2c" unitRef="_GBC_c1e0a0d54ae34f37b10682c1542f4496" addr="T0R8C1S1_1" formatStyle="Comma" appId="_GBC_1687da235caf410f866f00240cee7fdb"/>
        <m:item xlName="_GBC_7f31dd0b57174702a92adf813870cfa5" concept="clcid-pte:YuJiFuZhaiJinE" label="预计负债金额" mulRef="_GBC_cb4f52bf31e64f4c951a1d03c8737c2c" unitRef="_GBC_c1e0a0d54ae34f37b10682c1542f4496" addr="T0R8C2S1_1" formatStyle="Comma" appId="_GBC_1687da235caf410f866f00240cee7fdb"/>
        <m:item xlName="_GBC_870e81c434a84b3586581ac1d64023b6" concept="clcid-pte:YuJiFuZhaiMingXiXingChengYuanYin" label="预计负债明细-形成原因" addr="T0R8C3S1_1" appId="_GBC_1687da235caf410f866f00240cee7fdb"/>
      </m:tuple>
      <m:placeholder xlName="_PLD_b9cf5ec4363246d39880d8a9118c7375" addr="T0R10C0S1_1"/>
      <m:item xlName="_GBC_1ac65c5665284bf9a04e820d33241a6c" concept="clcid-pte:YuJiFuZhai" label="预计负债" periodRef="本期期初数" mulRef="_GBC_cb4f52bf31e64f4c951a1d03c8737c2c" unitRef="_GBC_c1e0a0d54ae34f37b10682c1542f4496" addr="T0R10C1S1_1" formatStyle="Comma" appId="_GBC_1687da235caf410f866f00240cee7fdb"/>
      <m:item xlName="_GBC_effbcbbbf28c4cf0b29a42f0afc779f1" concept="clcid-pte:YuJiFuZhai" label="预计负债" mulRef="_GBC_cb4f52bf31e64f4c951a1d03c8737c2c" unitRef="_GBC_c1e0a0d54ae34f37b10682c1542f4496" addr="T0R10C2S1_1" formatStyle="Comma" appId="_GBC_1687da235caf410f866f00240cee7fdb"/>
      <m:item xlName="_GBC_d674f22c00c1425092bd34d8a8834fad" concept="clcid-pte:YuJiFuZhaiDeShuoMing" label="预计负债的说明" appId="_GBC_1687da235caf410f866f00240cee7fdb"/>
    </m:section>
    <m:section xlName="_GBC_8d74a4d69f6940c3968ca9c4cf2a1b4c" title="递延收益" rules="R2015_R11_019" helpId="112001100">
      <m:item xlName="_GBC_2c1393684e764245824b2390014e92f1" concept="clcid-ci-ar:ShiFouShiYongDiYanShouYiQingKuang" label="是否适用：递延收益情况 " selectOptions="_buildInAppliance" controlType="CustomCheckbox" cRanges="{&quot;StartName&quot;:&quot;_GBC_2c1393684e764245824b2390014e92f1&quot;,&quot;EndName&quot;:&quot;_GBC_681db72cbf574a7f9099bff382709b4d&quot;,&quot;CType&quot;:1,&quot;DisplayText&quot;:null}"/>
      <m:item xlName="_GBC_cf9505178ef64cd8b1a42757a7aaf77d" concept="clcid-ci-ar:DanWeiCaiWuFuZhuDiYanShouYi" label="单位：财务附注：递延收益" selectOptions="_buildInScales" controlType="Combobox" cellType="Scale" appId="_GBC_2c1393684e764245824b2390014e92f1"/>
      <m:item xlName="_GBC_b7ba9c3d835b413e83140a438bc5c413" concept="clcid-ci-ar:BiZhongCaiWuFuZhuDiYanShouYi" label="币种：财务附注：递延收益" selectOptions="_buildInISO4217" controlType="Combobox" cellType="Measure" appId="_GBC_2c1393684e764245824b2390014e92f1"/>
      <m:placeholder xlName="_PLD_eeb45564af314089916105a5217e0ff6" addr="T0R0C0S1_1"/>
      <m:placeholder xlName="_PLD_e0613743f99d4af58a75406a4e2ba5a1" addr="T0R0C1S1_1"/>
      <m:placeholder xlName="_PLD_a27f928ad4574fe594e5f995d7a37059" addr="T0R0C2S1_1"/>
      <m:placeholder xlName="_PLD_ed95bef3663d40fb90dd15d113f7f2c1" addr="T0R0C3S1_1"/>
      <m:placeholder xlName="_PLD_367cd0591009413e93857494eaf8170a" addr="T0R0C4S1_1"/>
      <m:placeholder xlName="_PLD_d61ffc61194047d79611cccd8488aece" addr="T0R0C5S1_1"/>
      <m:placeholder xlName="_PLD_c4ae7ac076814abda447ee2261fb9baa" addr="T0R1C0S1_1"/>
      <m:item xlName="_GBC_b657d9296d2044eabbbb653cc5eab10b" concept="clcid-pte:DiYanShouYiZhengFuBuZhu" label="递延收益-政府补助" periodRef="本期期初数" mulRef="_GBC_cf9505178ef64cd8b1a42757a7aaf77d" unitRef="_GBC_b7ba9c3d835b413e83140a438bc5c413" addr="T0R1C1S1_1" formatStyle="Comma" appId="_GBC_2c1393684e764245824b2390014e92f1"/>
      <m:item xlName="_GBC_730a8c53f26b4594acdb2f164c255243" concept="clcid-pte:ZhengFuBuZhuBenQiZengJia" label="政府补助本期增加" mulRef="_GBC_cf9505178ef64cd8b1a42757a7aaf77d" unitRef="_GBC_b7ba9c3d835b413e83140a438bc5c413" addr="T0R1C2S1_1" formatStyle="Comma" appId="_GBC_2c1393684e764245824b2390014e92f1"/>
      <m:item xlName="_GBC_e5ba873ccf7b44688d3c06f283366192" concept="clcid-pte:ZhengFuBuZhuBenQiJianShao" label="政府补助本期减少" mulRef="_GBC_cf9505178ef64cd8b1a42757a7aaf77d" unitRef="_GBC_b7ba9c3d835b413e83140a438bc5c413" addr="T0R1C3S1_1" formatStyle="Comma" appId="_GBC_2c1393684e764245824b2390014e92f1"/>
      <m:item xlName="_GBC_cd0a04c9cc4a417482e650e0ed4dd0d5" concept="clcid-pte:DiYanShouYiZhengFuBuZhu" label="递延收益-政府补助" mulRef="_GBC_cf9505178ef64cd8b1a42757a7aaf77d" unitRef="_GBC_b7ba9c3d835b413e83140a438bc5c413" addr="T0R1C4S1_1" formatStyle="Comma" appId="_GBC_2c1393684e764245824b2390014e92f1"/>
      <m:item xlName="_GBC_5b0a81571f124a40835b50a81d54519d" concept="clcid-pte:ZhengFuBuZhuXingChengDiYanShouYiDeYuanYin" label="政府补助形成递延收益的原因" addr="T0R1C5S1_1" appId="_GBC_2c1393684e764245824b2390014e92f1"/>
      <m:tuple xlName="_GBC_b0fa056469b546388c2961108a7e62c7" concept="clcid-pte:DiYanShouYiMingXi" default_row="2" addr="T0R2C">
        <m:item xlName="_GBC_763492dae3c64b0f805ea383696f07be" concept="clcid-pte:DiYanShouYiMingXiXiangMuMingCheng" label="递延收益明细-项目名称" addr="T0R2C0S1_1" appId="_GBC_2c1393684e764245824b2390014e92f1"/>
        <m:item xlName="_GBC_a357e1d156304c03baeb6f54e6537da8" concept="clcid-pte:DiYanShouYiMingXiXingJinE" label="递延收益明细-金额" periodRef="本期期初数" mulRef="_GBC_cf9505178ef64cd8b1a42757a7aaf77d" unitRef="_GBC_b7ba9c3d835b413e83140a438bc5c413" addr="T0R2C1S1_1" formatStyle="Comma" appId="_GBC_2c1393684e764245824b2390014e92f1"/>
        <m:item xlName="_GBC_89bbbbcdcc51496a9e20ecbb58669909" concept="clcid-pte:DiYanShouYiMingXiBenQiZengJia" label="递延收益明细-本期增加" mulRef="_GBC_cf9505178ef64cd8b1a42757a7aaf77d" unitRef="_GBC_b7ba9c3d835b413e83140a438bc5c413" addr="T0R2C2S1_1" formatStyle="Comma" appId="_GBC_2c1393684e764245824b2390014e92f1"/>
        <m:item xlName="_GBC_b3742b7cdaf4438bbdea23c48d383ed9" concept="clcid-pte:DiYanShouYiMingXiBenQiJianShao" label="递延收益明细-本期减少" mulRef="_GBC_cf9505178ef64cd8b1a42757a7aaf77d" unitRef="_GBC_b7ba9c3d835b413e83140a438bc5c413" addr="T0R2C3S1_1" formatStyle="Comma" appId="_GBC_2c1393684e764245824b2390014e92f1"/>
        <m:item xlName="_GBC_4051fb95115d440582fc865c01ba27c5" concept="clcid-pte:DiYanShouYiMingXiXingJinE" label="递延收益明细-金额" mulRef="_GBC_cf9505178ef64cd8b1a42757a7aaf77d" unitRef="_GBC_b7ba9c3d835b413e83140a438bc5c413" addr="T0R2C4S1_1" formatStyle="Comma" appId="_GBC_2c1393684e764245824b2390014e92f1">
          <m:complexRule comparator="Eq" title="递延收益" test=" $_GBC_a357e1d156304c03baeb6f54e6537da8 +  $_GBC_89bbbbcdcc51496a9e20ecbb58669909 -  $_GBC_b3742b7cdaf4438bbdea23c48d383ed9" id="C748e5fc625a64f319a147a3eea3f2c9a"/>
        </m:item>
        <m:item xlName="_GBC_4a655c08c1994cb49a32e636715e9d47" concept="clcid-pte:DiYanShouYiMingXiXingChengYuanYin" label="递延收益明细-形成原因" addr="T0R2C5S1_1" appId="_GBC_2c1393684e764245824b2390014e92f1"/>
      </m:tuple>
      <m:placeholder xlName="_PLD_dc5eff4e97a943cb9b913ed360e42749" addr="T0R4C0S1_1"/>
      <m:item xlName="_GBC_5ef81e0fa40b412eb33596c3e2d53fa5" concept="clcid-pte:DiYanShouYi" label="递延收益" periodRef="本期期初数" mulRef="_GBC_cf9505178ef64cd8b1a42757a7aaf77d" unitRef="_GBC_b7ba9c3d835b413e83140a438bc5c413" addr="T0R4C1S1_1" formatStyle="Comma" appId="_GBC_2c1393684e764245824b2390014e92f1">
        <m:complexRule comparator="Eq" title="递延收益@本期期初数" test=" $_GBC_b657d9296d2044eabbbb653cc5eab10b +  $_GBC_a357e1d156304c03baeb6f54e6537da8" id="C0bf5c07501744df69f905007b0a4bdca" serialType="1"/>
      </m:item>
      <m:item xlName="_GBC_b1796283e6e34c28b324eed55d0162db" concept="clcid-pte:DiYanShouYiBenQiZengJia" label="递延收益本期增加" mulRef="_GBC_cf9505178ef64cd8b1a42757a7aaf77d" unitRef="_GBC_b7ba9c3d835b413e83140a438bc5c413" addr="T0R4C2S1_1" formatStyle="Comma" appId="_GBC_2c1393684e764245824b2390014e92f1">
        <m:complexRule comparator="Eq" title="递延收益本期增加" test=" $_GBC_730a8c53f26b4594acdb2f164c255243 +  $_GBC_89bbbbcdcc51496a9e20ecbb58669909" id="Ca0320454b7ee48c99848f389dc8a3c9a" serialType="1"/>
      </m:item>
      <m:item xlName="_GBC_7c83e7ac416f4427893ae0f716c64e05" concept="clcid-pte:DiYanShouYiBenQiJianShao" label="递延收益本期减少" mulRef="_GBC_cf9505178ef64cd8b1a42757a7aaf77d" unitRef="_GBC_b7ba9c3d835b413e83140a438bc5c413" addr="T0R4C3S1_1" formatStyle="Comma" appId="_GBC_2c1393684e764245824b2390014e92f1">
        <m:complexRule comparator="Eq" title="递延收益本期减少" test=" $_GBC_e5ba873ccf7b44688d3c06f283366192 +  $_GBC_b3742b7cdaf4438bbdea23c48d383ed9" id="C86377996f0704c2093ea80045d535167" serialType="1"/>
      </m:item>
      <m:item xlName="_GBC_681db72cbf574a7f9099bff382709b4d" concept="clcid-pte:DiYanShouYi" label="递延收益" mulRef="_GBC_cf9505178ef64cd8b1a42757a7aaf77d" unitRef="_GBC_b7ba9c3d835b413e83140a438bc5c413" addr="T0R4C4S1_1" formatStyle="Comma" appId="_GBC_2c1393684e764245824b2390014e92f1">
        <m:complexRule comparator="Eq" title="递延收益横向合计" test=" $_GBC_5ef81e0fa40b412eb33596c3e2d53fa5 +  $_GBC_b1796283e6e34c28b324eed55d0162db -  $_GBC_7c83e7ac416f4427893ae0f716c64e05" id="C3dec845a18a54c1e810591e727e86461"/>
        <m:complexRule comparator="Eq" title="递延收益" test=" $_GBC_cd0a04c9cc4a417482e650e0ed4dd0d5 +  $_GBC_4051fb95115d440582fc865c01ba27c5" id="C1703b06b91904f078bc37b5ec667c905" serialType="1"/>
      </m:item>
    </m:section>
    <m:section xlName="_GBC_e1594f7b2d3e4b13b3e32c6cde5b210a" title="涉及政府补助的负债项目" rules="R2015_R11_019" convertSummaryRule="NoConvert" helpId="112001100">
      <m:item xlName="_GBC_4c2c8447eb53428b988a5a364f2b236d" concept="clcid-ci-ar:ShiFouShiYongSheJiZhengFuBuZhuDeXiangMuDiYanShouYi" label="是否适用：涉及政府补助的项目_递延收益" selectOptions="_buildInAppliance" controlType="CustomCheckbox" cRanges="[{&quot;StartName&quot;:&quot;_GBC_4c2c8447eb53428b988a5a364f2b236d&quot;,&quot;EndName&quot;:&quot;_GBC_d6d1e32b88e34a59a6aae48aaa41f022&quot;,&quot;CType&quot;:1}]"/>
      <m:item xlName="_GBC_4f9266926e0c4363993dcb162380db9b" concept="clcid-ci-ar:DanWeiCaiWuFuZhuSheJiZhengFuBuZhuDeFuZhaiXiangMu" label="单位：财务附注：涉及政府补助的负债项目" selectOptions="_buildInScales" controlType="Combobox" cellType="Scale" appId="_GBC_4c2c8447eb53428b988a5a364f2b236d"/>
      <m:item xlName="_GBC_f798b0de29de4c7da52adfc6a422901f" concept="clcid-ci-ar:BiZhongCaiWuFuZhuSheJiZhengFuBuZhuDeFuZhaiXiangMu" label="币种：财务附注：涉及政府补助的负债项目" selectOptions="_buildInISO4217" controlType="Combobox" cellType="Measure" appId="_GBC_4c2c8447eb53428b988a5a364f2b236d"/>
      <m:placeholder xlName="_PLD_1bd0a5248adb4713bfd06318a3648ceb" addr="T0R0C0S1_1"/>
      <m:placeholder xlName="_PLD_11c88b40e8554a8db9e52728554ced53" addr="T0R0C1S1_1"/>
      <m:placeholder xlName="_PLD_7b99be0925d1402da7bf5455be12c194" addr="T0R0C2S1_1"/>
      <m:placeholder xlName="_PLD_d945d90b68594904a9453791791d4ffa" addr="T0R0C3S1_1"/>
      <m:placeholder xlName="_PLD_ac6886b89ddd4b75abc97b3f03668943" addr="T0R0C4S1_1"/>
      <m:placeholder xlName="_PLD_822d9fedb3374c6199e425909b88c066" addr="T0R0C5S1_1"/>
      <m:placeholder xlName="_PLD_1a96043f63c146309b6472d84b4d7aa6" addr="T0R0C6S1_1"/>
      <m:placeholder xlName="_PLD_b9b21d1fe20343d597f3219a3532324a" addr="T0R0C7S1_1"/>
      <m:tuple xlName="_GBC_57fa178d03fa46a3befea9bbb3ebc131" concept="clcid-pte:SheJiZhengFuBuZhuDeFuZhaiXiangMuMingXi" default_row="2" addr="T0R1C">
        <m:item xlName="_GBC_62f99116d4d14c2298ca2201ae2a7a17" concept="clcid-pte:SheJiZhengFuBuZhuDeFuZhaiXiangMuMingCheng" label="涉及政府补助的负债项目名称" addr="T0R1C0S1_1" appId="_GBC_4c2c8447eb53428b988a5a364f2b236d"/>
        <m:item xlName="_GBC_ef257545368740859560069795cfb7dc" concept="clcid-pte:SheJiZhengFuBuZhuDeFuZhaiXiangMuJinE" label="涉及政府补助的负债项目金额" periodRef="本期期初数" mulRef="_GBC_4f9266926e0c4363993dcb162380db9b" unitRef="_GBC_f798b0de29de4c7da52adfc6a422901f" addr="T0R1C1S1_1" formatStyle="Comma" appId="_GBC_4c2c8447eb53428b988a5a364f2b236d"/>
        <m:item xlName="_GBC_f407996d442746c488477c744a3acb48" concept="clcid-pte:SheJiZhengFuBuZhuDeFuZhaiXiangMuBenQiXinZengBuZhuJinE" label="涉及政府补助的负债项目-本期新增补助金额" mulRef="_GBC_4f9266926e0c4363993dcb162380db9b" unitRef="_GBC_f798b0de29de4c7da52adfc6a422901f" addr="T0R1C2S1_1" formatStyle="Comma" appId="_GBC_4c2c8447eb53428b988a5a364f2b236d"/>
        <m:item xlName="_GBC_07f7b686aa1541a5bdb3f6bc4b36b662" concept="clcid-pte:SheJiZhengFuBuZhuDeFuZhaiXiangMuBenQiXinJiRuYingYeWaiShouRuJinE" label="涉及政府补助的负债项目-本期新计入营业外收入金额" mulRef="_GBC_4f9266926e0c4363993dcb162380db9b" unitRef="_GBC_f798b0de29de4c7da52adfc6a422901f" addr="T0R1C3S1_1" formatStyle="Comma" appId="_GBC_4c2c8447eb53428b988a5a364f2b236d"/>
        <m:item xlName="_GBC_342144f65e924443ab3a12e556691f12" concept="clcid-pte:SheJiZhengFuBuZhuDeFuZhaiXiangMuBenQiXinJiRuQiTaSunYiJinE" label="涉及政府补助的负债项目-本期新计入其他损益金额" mulRef="_GBC_4f9266926e0c4363993dcb162380db9b" unitRef="_GBC_f798b0de29de4c7da52adfc6a422901f" addr="T0R1C4S1_1" formatStyle="Comma" appId="_GBC_4c2c8447eb53428b988a5a364f2b236d"/>
        <m:item xlName="_GBC_04cf6bdbca1343b5b36c8a4f7c0e1f11" concept="clcid-pte:SheJiZhengFuBuZhuDeFuZhaiXiangMuQiTaBianDong" label="涉及政府补助的负债项目-其他变动" mulRef="_GBC_4f9266926e0c4363993dcb162380db9b" unitRef="_GBC_f798b0de29de4c7da52adfc6a422901f" addr="T0R1C5S1_1" formatStyle="Comma" appId="_GBC_4c2c8447eb53428b988a5a364f2b236d"/>
        <m:item xlName="_GBC_33a049bb868f49f991ca71e72942e2ab" concept="clcid-pte:SheJiZhengFuBuZhuDeFuZhaiXiangMuJinE" label="涉及政府补助的负债项目金额" mulRef="_GBC_4f9266926e0c4363993dcb162380db9b" unitRef="_GBC_f798b0de29de4c7da52adfc6a422901f" addr="T0R1C6S1_1" formatStyle="Comma" appId="_GBC_4c2c8447eb53428b988a5a364f2b236d"/>
        <m:item xlName="_GBC_d6d1e32b88e34a59a6aae48aaa41f022" concept="clcid-pte:SheJiZhengFuBuZhuDeFuZhaiXiangMuYuZiChanXiangGuanYuShouYiXiangGuan" label="涉及政府补助的负债项目-与资产相关/与收益相关" addr="T0R1C7S1_1" appId="_GBC_4c2c8447eb53428b988a5a364f2b236d"/>
      </m:tuple>
    </m:section>
    <m:section xlName="_GBC_3e5bdbca1c524ed19d397da3dfaf83a9" title="递延收益其他说明" rules="R2015_R11_019" helpId="112001100">
      <m:item xlName="_GBC_da5e8f76ba934c9e8efb4ab4d41c9f8c" concept="clcid-ci-ar:ShiFouShiYongDiYanShouYiDeQiTaShuoMing" label="是否适用：递延收益的其他说明" selectOptions="_buildInAppliance" controlType="CustomCheckbox" cRanges="{&quot;StartName&quot;:&quot;_GBC_da5e8f76ba934c9e8efb4ab4d41c9f8c&quot;,&quot;EndName&quot;:&quot;_GBC_e8c5cb3f7d5541eda9cccad5c92bc633&quot;,&quot;CType&quot;:1,&quot;DisplayText&quot;:null}"/>
      <m:item xlName="_GBC_e8c5cb3f7d5541eda9cccad5c92bc633" concept="clcid-pte:DiYanShouYiDeQiTaShuoMing" label="递延收益的其他说明" appId="_GBC_da5e8f76ba934c9e8efb4ab4d41c9f8c"/>
    </m:section>
    <m:section xlName="_GBC_ebdcd37ba77540d78079b1e51c20b6ce" title="其他非流动负债" convertSummaryRule="NoConvert" helpId="112001235">
      <m:item xlName="_GBC_bb8a5c7236564ec0823cbced5ea78e62" concept="clcid-ci-ar:ShiFouShiYongQiTaFeiLiuDongFuZhai" label="是否适用：其他非流动负债" selectOptions="_buildInAppliance" controlType="CustomCheckbox" cRanges="{&quot;StartName&quot;:&quot;_GBC_bb8a5c7236564ec0823cbced5ea78e62&quot;,&quot;EndName&quot;:&quot;_GBC_8424078e59404c4a8aa6644833876098&quot;,&quot;CType&quot;:1,&quot;DisplayText&quot;:null}"/>
      <m:item xlName="_GBC_56e598e0f2684388ba1e16051e8df70a" concept="clcid-ci-ar:DanWeiCaiWuFuZhuQiTaFeiLiuDongFuZhai" label="单位：财务附注：其他非流动负债" selectOptions="_buildInScales" controlType="Combobox" cellType="Scale" appId="_GBC_bb8a5c7236564ec0823cbced5ea78e62"/>
      <m:item xlName="_GBC_ae4dfd619eb84b209c018d043a83dfcf" concept="clcid-ci-ar:BiZhongCaiWuFuZhuQiTaFeiLiuDongFuZhai" label="币种：财务附注：其他非流动负债" selectOptions="_buildInISO4217" controlType="Combobox" cellType="Measure" appId="_GBC_bb8a5c7236564ec0823cbced5ea78e62"/>
      <m:placeholder xlName="_PLD_a28f7f3041514231843ad3ee7ffea03b" addr="T0R0C0S1_1"/>
      <m:placeholder xlName="_PLD_57665fafbbe043c5bf52499c94bca1a1" addr="T0R0C1S1_1"/>
      <m:placeholder xlName="_PLD_dcebd4f9b4a649088465ddfef12fdcb8" addr="T0R0C2S1_1"/>
      <m:placeholder xlName="_PLD_bb889565b63247f69d629f45f72434df" addr="T0R1C0S1_1"/>
      <m:item xlName="_GBC_87cf55cc12ea4201adb81264f69622e8" concept="clcid-pte:QiTaFeiLiuDongFuZhaiHeTongFuZhai" label="其他非流动负债-合同负债" mulRef="_GBC_56e598e0f2684388ba1e16051e8df70a" unitRef="_GBC_ae4dfd619eb84b209c018d043a83dfcf" addr="T0R1C1S1_1" formatStyle="Comma" appId="_GBC_bb8a5c7236564ec0823cbced5ea78e62"/>
      <m:item xlName="_GBC_8056e926408f48a8ad75b9e45f16a235" concept="clcid-pte:QiTaFeiLiuDongFuZhaiHeTongFuZhai" label="其他非流动负债-合同负债" periodRef="本期期初数" mulRef="_GBC_56e598e0f2684388ba1e16051e8df70a" unitRef="_GBC_ae4dfd619eb84b209c018d043a83dfcf" addr="T0R1C2S1_1" formatStyle="Comma" appId="_GBC_bb8a5c7236564ec0823cbced5ea78e62"/>
      <m:tuple xlName="_GBC_ff830f571df54af4807198be0e187a23" concept="clcid-pte:QiTaFeiLiuDongFuZhaiMingXi" default_row="2" addr="T0R2C">
        <m:item xlName="_GBC_609949f31f264cc4b405aea71c52ffd5" concept="clcid-pte:QiTaFeiLiuDongFuZhaiMingXiXiangMu" label="其他非流动负债明细-项目" addr="T0R2C0S1_1" appId="_GBC_bb8a5c7236564ec0823cbced5ea78e62"/>
        <m:item xlName="_GBC_3fbf648900944e37a37d8ff3c31bae7e" concept="clcid-pte:QiTaFeiLiuDongFuZhaiMingXiZhangMianYuE" label="其他非流动负债明细-账面余额" mulRef="_GBC_56e598e0f2684388ba1e16051e8df70a" unitRef="_GBC_ae4dfd619eb84b209c018d043a83dfcf" addr="T0R2C1S1_1" formatStyle="Comma" appId="_GBC_bb8a5c7236564ec0823cbced5ea78e62"/>
        <m:item xlName="_GBC_3779b958a3374ff78d6096dfb9cc1ca7" concept="clcid-pte:QiTaFeiLiuDongFuZhaiMingXiZhangMianYuE" label="其他非流动负债明细-账面余额" periodRef="本期期初数" mulRef="_GBC_56e598e0f2684388ba1e16051e8df70a" unitRef="_GBC_ae4dfd619eb84b209c018d043a83dfcf" addr="T0R2C2S1_1" formatStyle="Comma" appId="_GBC_bb8a5c7236564ec0823cbced5ea78e62"/>
      </m:tuple>
      <m:placeholder xlName="_PLD_04fbc805c16c4bee8284be6ff421cbe8" addr="T0R4C0S1_1"/>
      <m:item xlName="_GBC_147a675eae3546f1ba5051b471c8bb85" concept="clcid-pte:QiTaChangQiFuZhai" label="其他长期负债" mulRef="_GBC_56e598e0f2684388ba1e16051e8df70a" unitRef="_GBC_ae4dfd619eb84b209c018d043a83dfcf" addr="T0R4C1S1_1" formatStyle="Comma" appId="_GBC_bb8a5c7236564ec0823cbced5ea78e62">
        <m:complexRule comparator="Eq" title="其他长期负债" test=" $_GBC_87cf55cc12ea4201adb81264f69622e8 +  $_GBC_3fbf648900944e37a37d8ff3c31bae7e" id="C5bc23477010f42f3ad792915ed0d60a9"/>
      </m:item>
      <m:item xlName="_GBC_34026a728a9b4d099ef3bf7700801371" concept="clcid-pte:QiTaChangQiFuZhai" label="其他长期负债" periodRef="本期期初数" mulRef="_GBC_56e598e0f2684388ba1e16051e8df70a" unitRef="_GBC_ae4dfd619eb84b209c018d043a83dfcf" addr="T0R4C2S1_1" formatStyle="Comma" appId="_GBC_bb8a5c7236564ec0823cbced5ea78e62">
        <m:complexRule comparator="Eq" title="其他长期负债@本期期初数" test=" $_GBC_3779b958a3374ff78d6096dfb9cc1ca7 +  $_GBC_8056e926408f48a8ad75b9e45f16a235" id="C64756499fbf8468c865eeaa8eb65589d"/>
      </m:item>
      <m:item xlName="_GBC_8424078e59404c4a8aa6644833876098" concept="clcid-pte:QiTaFeiLiuDongFuZhaiShuoMing" label="其他非流动负债说明" appId="_GBC_bb8a5c7236564ec0823cbced5ea78e62"/>
    </m:section>
    <m:section xlName="_GBC_7f4b2f9bba854132af4bbd6504a10383" title="股本" convertSummaryRule="NoConvert" helpId="112001101">
      <m:item xlName="_GBC_a88b08589cbb4302b29839808faa8a3b" concept="clcid-ci-ar:ShiFouShiYongGuBen" label="是否适用：股本" selectOptions="_buildInAppliance" controlType="CustomCheckbox" cRanges="{&quot;StartName&quot;:&quot;_GBC_a88b08589cbb4302b29839808faa8a3b&quot;,&quot;EndName&quot;:&quot;_GBC_752687f835754470ad7a125ef32391e4&quot;,&quot;CType&quot;:1,&quot;DisplayText&quot;:null}"/>
      <m:item xlName="_GBC_cf915ea45a234de2a2455824dedc3c82" concept="clcid-ci-ar:DanWeiCaiWuFuZhuGuBen" label="单位：财务附注：股本" selectOptions="_buildInScales" controlType="Combobox" cellType="Scale" appId="_GBC_a88b08589cbb4302b29839808faa8a3b"/>
      <m:item xlName="_GBC_2dcc7ff328cf480296bdddce64b88cf1" concept="clcid-ci-ar:BiZhongCaiWuFuZhuGuBen" label="币种：财务附注：股本" selectOptions="_buildInISO4217" controlType="Combobox" cellType="Measure" appId="_GBC_a88b08589cbb4302b29839808faa8a3b"/>
      <m:placeholder xlName="_PLD_7ad9a0911e364e48bc565dc3ed809692" addr="T0R0C1S2_1"/>
      <m:placeholder xlName="_PLD_33945fdb28e344edaa7d118a9aa07d7d" addr="T0R0C2S1_5"/>
      <m:placeholder xlName="_PLD_a0390714e323429ab6e793f9a610df70" addr="T0R0C7S2_1"/>
      <m:placeholder xlName="_PLD_fe0b182c33854e5bb51d2d2a3cd1dd7f" addr="T0R1C2S1_1"/>
      <m:placeholder xlName="_PLD_80e7c94a1831488d89d22be722443897" addr="T0R1C3S1_1"/>
      <m:placeholder xlName="_PLD_c1d7f04883eb4aaa9c52067f145ec081" addr="T0R1C4S1_1"/>
      <m:placeholder xlName="_PLD_6e44c9cf090243e19b20f1e88e8231ef" addr="T0R1C5S1_1"/>
      <m:placeholder xlName="_PLD_0cee72421f954c94ba296c709c84ef52" addr="T0R1C6S1_1"/>
      <m:placeholder xlName="_PLD_0c4dca616a0e4126a03d9e8b2ef3c6bc" addr="T0R2C0S1_1"/>
      <m:item xlName="_GBC_3238f68701ef45a6a860fa08dc7db876" concept="clcid-cgi:CaiWuFuZhuGuFenZongShu" label="财务附注股份总数" periodRef="本期期初数" mulRef="_GBC_cf915ea45a234de2a2455824dedc3c82" unitRef="_GBC_2dcc7ff328cf480296bdddce64b88cf1" addr="T0R2C1S1_1" formatStyle="Comma" appId="_GBC_a88b08589cbb4302b29839808faa8a3b"/>
      <m:item xlName="_GBC_ad7c54ae59ef49a4a42d76e67d5de746" concept="clcid-cgi:CaiWuFuZhuGuFenZongShuFaXingXinGuBianDongZengJian" label="财务附注股份总数发行新股变动增减" mulRef="_GBC_cf915ea45a234de2a2455824dedc3c82" unitRef="_GBC_2dcc7ff328cf480296bdddce64b88cf1" addr="T0R2C2S1_1" formatStyle="Comma" appId="_GBC_a88b08589cbb4302b29839808faa8a3b"/>
      <m:item xlName="_GBC_1b1faa7c6eee4b858b186fbef7f0b3a1" concept="clcid-cgi:CaiWuFuZhuGuFenZongShuSongGuBianDongZengJian" label="财务附注股份总数送股变动增减" mulRef="_GBC_cf915ea45a234de2a2455824dedc3c82" unitRef="_GBC_2dcc7ff328cf480296bdddce64b88cf1" addr="T0R2C3S1_1" formatStyle="Comma" appId="_GBC_a88b08589cbb4302b29839808faa8a3b"/>
      <m:item xlName="_GBC_61a9b62b42a84fbcb3e47c33c15ed77e" concept="clcid-cgi:CaiWuFuZhuGuFenZongShuGongJiJinZhuanGuBianDongZengJian" label="财务附注股份总数公积金转股变动增减" mulRef="_GBC_cf915ea45a234de2a2455824dedc3c82" unitRef="_GBC_2dcc7ff328cf480296bdddce64b88cf1" addr="T0R2C4S1_1" formatStyle="Comma" appId="_GBC_a88b08589cbb4302b29839808faa8a3b"/>
      <m:item xlName="_GBC_de98feb25e4a41e19dc1c566579c91ca" concept="clcid-cgi:CaiWuFuZhuGuFenZongShuQiTaBianDongZengJian" label="财务附注股份总数其他变动增减" mulRef="_GBC_cf915ea45a234de2a2455824dedc3c82" unitRef="_GBC_2dcc7ff328cf480296bdddce64b88cf1" addr="T0R2C5S1_1" formatStyle="Comma" appId="_GBC_a88b08589cbb4302b29839808faa8a3b"/>
      <m:item xlName="_GBC_e39f7d1df6974d2cb4eae4a4653c2a3f" concept="clcid-cgi:CaiWuFuZhuGuFenZongShuBianDongZengJianXiaoJi" label="财务附注股份总数变动增减小计" mulRef="_GBC_cf915ea45a234de2a2455824dedc3c82" unitRef="_GBC_2dcc7ff328cf480296bdddce64b88cf1" addr="T0R2C6S1_1" formatStyle="Comma" appId="_GBC_a88b08589cbb4302b29839808faa8a3b">
        <m:complexRule comparator="Eq" title="财务附注股份总数变动增减小计" test=" $_GBC_ad7c54ae59ef49a4a42d76e67d5de746 +  $_GBC_1b1faa7c6eee4b858b186fbef7f0b3a1 +  $_GBC_61a9b62b42a84fbcb3e47c33c15ed77e +  $_GBC_de98feb25e4a41e19dc1c566579c91ca" id="Cd7a74e37861e4800a46bfc646e8ef41d"/>
      </m:item>
      <m:item xlName="_GBC_87fc7bdf791d4145927d4b5882dcdacd" concept="clcid-cgi:CaiWuFuZhuGuFenZongShu" label="财务附注股份总数" mulRef="_GBC_cf915ea45a234de2a2455824dedc3c82" unitRef="_GBC_2dcc7ff328cf480296bdddce64b88cf1" addr="T0R2C7S1_1" formatStyle="Comma" appId="_GBC_a88b08589cbb4302b29839808faa8a3b">
        <m:complexRule comparator="Eq" title="财务附注股份总数" test=" $_GBC_3238f68701ef45a6a860fa08dc7db876 +  $_GBC_e39f7d1df6974d2cb4eae4a4653c2a3f" id="C03e382513ecb4d05b572f8a6db19c785"/>
      </m:item>
      <m:item xlName="_GBC_752687f835754470ad7a125ef32391e4" concept="clcid-cgi:GuBenBianDongQingKuangShuoMing" label="股本变动情况说明" appId="_GBC_a88b08589cbb4302b29839808faa8a3b"/>
    </m:section>
    <m:section xlName="_GBC_4f862512b6914630932c1857df6db6e4" title="其他权益工具" helpId="112001102">
      <m:item xlName="_GBC_54d54ac45fe745e1aad9be61a846261f"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54d54ac45fe745e1aad9be61a846261f&quot;,&quot;EndName&quot;:&quot;_GBC_b6d48d750caa456ab1f6c2c1e7dc6e80&quot;,&quot;CType&quot;:1,&quot;DisplayText&quot;:null}"/>
      <m:item xlName="_GBC_b6d48d750caa456ab1f6c2c1e7dc6e80" concept="clcid-pte:QiTaQuanYiGongJuXiaQiMoFaXingZaiWaiDeYouXianGuYongXuZhaiDengQiTaJinRongGongJuJiBenQingKuangDeShuoMing" label="其他权益工具下期末发行在外的优先股、永续债等其他金融工具基本情况的说明" appId="_GBC_54d54ac45fe745e1aad9be61a846261f"/>
      <m:item xlName="_GBC_e8c53693e19e485cba80f7cd2a15ab4c"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e8c53693e19e485cba80f7cd2a15ab4c&quot;,&quot;EndName&quot;:&quot;_GBC_8bbc9af94f7c40c09f06f91408ae8a2a&quot;,&quot;CType&quot;:1,&quot;DisplayText&quot;:null}"/>
      <m:item xlName="_GBC_51d3c8d018b845ab94e8869d86fc9e62" concept="clcid-ci-ar:DanWeiCaiWuFuZhuQiMoFaXingZaiWaiDeYouXianGuYongXuZhaiDengJinRongGongJuBianDongQingKuangBiaoQiTaQuanYiGongJu" label="单位：财务附注：期末发行在外的优先股、永续债等金融工具变动情况表（其他权益工具）" selectOptions="_buildInScales" controlType="Combobox" cellType="Scale" appId="_GBC_e8c53693e19e485cba80f7cd2a15ab4c"/>
      <m:item xlName="_GBC_d1b7e1db232f48c18444ea05ff987879" concept="clcid-ci-ar:BiZhongCaiWuFuZhuQiMoFaXingZaiWaiDeYouXianGuYongXuZhaiDengJinRongGongJuBianDongQingKuangBiaoQiTaQuanYiGongJu" label="币种：财务附注：期末发行在外的优先股、永续债等金融工具变动情况表（其他权益工具）" selectOptions="_buildInISO4217" controlType="Combobox" cellType="Measure" appId="_GBC_e8c53693e19e485cba80f7cd2a15ab4c"/>
      <m:placeholder xlName="_PLD_3e0e6f84e37d485086b05b3ef0c4d78f" addr="T0R0C0S2_1"/>
      <m:placeholder xlName="_PLD_903b0562622c4a3698e9b65b1f69abae" addr="T0R0C1S1_2"/>
      <m:placeholder xlName="_PLD_fd88122bcaa44cf58030ce837d1651d5" addr="T0R0C3S1_2"/>
      <m:placeholder xlName="_PLD_74b91cad66b54154ad74ec67fd76efbe" addr="T0R0C5S1_2"/>
      <m:placeholder xlName="_PLD_35d10d2bfc784a68a424614d2047ccd4" addr="T0R0C7S1_2"/>
      <m:placeholder xlName="_PLD_67ee2e5b20fe47e2920574240ec4bae0" addr="T0R1C1S1_1"/>
      <m:placeholder xlName="_PLD_6d0220433d65493a85d718d809113628" addr="T0R1C2S1_1"/>
      <m:placeholder xlName="_PLD_e5f9ce4cefe7442e9151ec0470a684ce" addr="T0R1C3S1_1"/>
      <m:placeholder xlName="_PLD_18daed53b0344e2abbe426fced4e46e3" addr="T0R1C4S1_1"/>
      <m:placeholder xlName="_PLD_80d1bf173c3d424ca6a5e203df652bfe" addr="T0R1C5S1_1"/>
      <m:placeholder xlName="_PLD_bbc352b5fb614d588d39ec42b9facf67" addr="T0R1C6S1_1"/>
      <m:placeholder xlName="_PLD_c397d08facdc4b048a485e1790f164a9" addr="T0R1C7S1_1"/>
      <m:placeholder xlName="_PLD_fa9501b27ffb47a2974cdc54edda39da" addr="T0R1C8S1_1"/>
      <m:tuple xlName="_GBC_20f230eab0284a7693900d7a33813e89" concept="clcid-pte:QiTaQuanYiGongJuXiaFaXingZaiWaiDeYouXianGuYongXuZhaiDengJinRongGongJuBianDongQingKuangBiaoMingXi" default_row="2" addr="T0R2C">
        <m:item xlName="_GBC_39b26fef9af148b1910b287f06973360"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e8c53693e19e485cba80f7cd2a15ab4c"/>
        <m:item xlName="_GBC_5bac8f6282a24811834201c646980942"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e8c53693e19e485cba80f7cd2a15ab4c"/>
        <m:item xlName="_GBC_9b4ac2f65160447bbbb6f56761bd329f" concept="clcid-pte:QiTaQuanYiGongJuXiaFaXingZaiWaiDeYouXianGuYongXuZhaiDengJinRongGongJuBianDongQingKuangBiaoMingXiZhangMianJiaZhi" label="其他权益工具下发行在外的优先股、永续债等金融工具变动情况表明细-账面价值" periodRef="本期期初数" mulRef="_GBC_51d3c8d018b845ab94e8869d86fc9e62" unitRef="_GBC_d1b7e1db232f48c18444ea05ff987879" addr="T0R2C2S1_1" formatStyle="Comma" appId="_GBC_e8c53693e19e485cba80f7cd2a15ab4c"/>
        <m:item xlName="_GBC_e701f82db57c40859d73703091366622"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e8c53693e19e485cba80f7cd2a15ab4c"/>
        <m:item xlName="_GBC_2cdfa2f811394acb82981a1be915107d" concept="clcid-pte:QiTaQuanYiGongJuXiaFaXingZaiWaiDeYouXianGuYongXuZhaiDengJinRongGongJuBianDongQingKuangBiaoMingXiBenQiZengJiaZhangMianJiaZhi" label="其他权益工具下发行在外的优先股、永续债等金融工具变动情况表明细-本期增加账面价值" mulRef="_GBC_51d3c8d018b845ab94e8869d86fc9e62" unitRef="_GBC_d1b7e1db232f48c18444ea05ff987879" addr="T0R2C4S1_1" formatStyle="Comma" appId="_GBC_e8c53693e19e485cba80f7cd2a15ab4c"/>
        <m:item xlName="_GBC_06394679afca477d9405157a38246f55"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e8c53693e19e485cba80f7cd2a15ab4c"/>
        <m:item xlName="_GBC_347723ef2d244650a9f684841d7181ca" concept="clcid-pte:QiTaQuanYiGongJuXiaFaXingZaiWaiDeYouXianGuYongXuZhaiDengJinRongGongJuBianDongQingKuangBiaoMingXiBenQiJianShaoZhangMianJiaZhi" label="其他权益工具下发行在外的优先股、永续债等金融工具变动情况表明细-本期减少账面价值" mulRef="_GBC_51d3c8d018b845ab94e8869d86fc9e62" unitRef="_GBC_d1b7e1db232f48c18444ea05ff987879" addr="T0R2C6S1_1" formatStyle="Comma" appId="_GBC_e8c53693e19e485cba80f7cd2a15ab4c"/>
        <m:item xlName="_GBC_1535b707f6e446ba94defffeeaa630aa" concept="clcid-pte:QiTaQuanYiGongJuXiaFaXingZaiWaiDeYouXianGuYongXuZhaiDengJinRongGongJuBianDongQingKuangBiaoMingXiShuLiang" label="其他权益工具下发行在外的优先股、永续债等金融工具变动情况表明细-数量" addr="T0R2C7S1_1" formatStyle="Comma" appId="_GBC_e8c53693e19e485cba80f7cd2a15ab4c"/>
        <m:item xlName="_GBC_61a5b018ce1845cdb4eba78cea67e4a5" concept="clcid-pte:QiTaQuanYiGongJuXiaFaXingZaiWaiDeYouXianGuYongXuZhaiDengJinRongGongJuBianDongQingKuangBiaoMingXiZhangMianJiaZhi" label="其他权益工具下发行在外的优先股、永续债等金融工具变动情况表明细-账面价值" mulRef="_GBC_51d3c8d018b845ab94e8869d86fc9e62" unitRef="_GBC_d1b7e1db232f48c18444ea05ff987879" addr="T0R2C8S1_1" formatStyle="Comma" appId="_GBC_e8c53693e19e485cba80f7cd2a15ab4c"/>
      </m:tuple>
      <m:placeholder xlName="_PLD_67617dc816b24eba9c28348f2efa0cc1" addr="T0R4C0S1_1"/>
      <m:item xlName="_GBC_da61210746644e47be18d2c7823036bd" concept="clcid-pte:QiTaQuanYiGongJuXiaFaXingZaiWaiDeYouXianGuYongXuZhaiDengJinRongGongJuBianDongShuLiangHeJi" label="其他权益工具下发行在外的优先股、永续债等金融工具变动数量合计" periodRef="本期期初数" addr="T0R4C1S1_1" formatStyle="Comma" appId="_GBC_e8c53693e19e485cba80f7cd2a15ab4c">
        <m:complexRule comparator="Eq" title="其他权益工具下发行在外的优先股、永续债等金融工具变动数量合计@本期期初数" test=" $_GBC_5bac8f6282a24811834201c646980942" id="C9230c896bbd3448090695e5ce7d25c1a"/>
      </m:item>
      <m:item xlName="_GBC_5fcd9fe523e64d5f83f9ae7cbf790bc6" concept="clcid-pte:QiTaQuanYiGongJuXiaFaXingZaiWaiDeYouXianGuYongXuZhaiDengJinRongGongJuBianDongZhangMianJiaZhiHeJi" label="其他权益工具下发行在外的优先股、永续债等金融工具变动账面价值合计" periodRef="本期期初数" mulRef="_GBC_51d3c8d018b845ab94e8869d86fc9e62" unitRef="_GBC_d1b7e1db232f48c18444ea05ff987879" addr="T0R4C2S1_1" formatStyle="Comma" appId="_GBC_e8c53693e19e485cba80f7cd2a15ab4c">
        <m:complexRule comparator="Eq" title="其他权益工具下发行在外的优先股、永续债等金融工具变动账面价值合计@本期期初数" test=" $_GBC_9b4ac2f65160447bbbb6f56761bd329f" id="C71eb1b24884449c4b610cdff19a41829"/>
      </m:item>
      <m:item xlName="_GBC_c071f15cd89b4c0d8a4ef96d0224ce09" concept="clcid-pte:QiTaQuanYiGongJuXiaFaXingZaiWaiDeYouXianGuYongXuZhaiDengJinRongGongJuBianDongBenQiZengJiaShuLiangHeJi" label="其他权益工具下发行在外的优先股、永续债等金融工具变动本期增加数量合计" addr="T0R4C3S1_1" formatStyle="Comma" appId="_GBC_e8c53693e19e485cba80f7cd2a15ab4c">
        <m:complexRule comparator="Eq" title="其他权益工具下发行在外的优先股、永续债等金融工具变动本期增加数量合计" test=" $_GBC_e701f82db57c40859d73703091366622" id="C4228569ee0164daeabad04830a5aa90f"/>
      </m:item>
      <m:item xlName="_GBC_0d24a2c350464c8c9b19ffc9af372994" concept="clcid-pte:QiTaQuanYiGongJuXiaFaXingZaiWaiDeYouXianGuYongXuZhaiDengJinRongGongJuBianDongBenQiZengJiaZhangMianJiaZhiHeJi" label="其他权益工具下发行在外的优先股、永续债等金融工具变动本期增加账面价值合计" mulRef="_GBC_51d3c8d018b845ab94e8869d86fc9e62" unitRef="_GBC_d1b7e1db232f48c18444ea05ff987879" addr="T0R4C4S1_1" formatStyle="Comma" appId="_GBC_e8c53693e19e485cba80f7cd2a15ab4c">
        <m:complexRule comparator="Eq" title="其他权益工具下发行在外的优先股、永续债等金融工具变动本期增加账面价值合计" test=" $_GBC_2cdfa2f811394acb82981a1be915107d" id="C0dfa103ff3344ab8b523ae8430ca923d"/>
      </m:item>
      <m:item xlName="_GBC_4bc4dd7e57294919957db20b0c37c734" concept="clcid-pte:QiTaQuanYiGongJuXiaFaXingZaiWaiDeYouXianGuYongXuZhaiDengJinRongGongJuBianDongBenQiJianShaoShuLiangHeJi" label="其他权益工具下发行在外的优先股、永续债等金融工具变动本期减少数量合计" addr="T0R4C5S1_1" formatStyle="Comma" appId="_GBC_e8c53693e19e485cba80f7cd2a15ab4c">
        <m:complexRule comparator="Eq" title="其他权益工具下发行在外的优先股、永续债等金融工具变动本期减少数量合计" test=" $_GBC_06394679afca477d9405157a38246f55" id="C3a273ddaf99f4300804d93e68a11c467"/>
      </m:item>
      <m:item xlName="_GBC_a7f272ced17e4e3fb64a775dec98b094" concept="clcid-pte:QiTaQuanYiGongJuXiaFaXingZaiWaiDeYouXianGuYongXuZhaiDengJinRongGongJuBianDongBenQiJianShaoZhangMianJiaZhiHeJi" label="其他权益工具下发行在外的优先股、永续债等金融工具变动本期减少账面价值合计" mulRef="_GBC_51d3c8d018b845ab94e8869d86fc9e62" unitRef="_GBC_d1b7e1db232f48c18444ea05ff987879" addr="T0R4C6S1_1" formatStyle="Comma" appId="_GBC_e8c53693e19e485cba80f7cd2a15ab4c">
        <m:complexRule comparator="Eq" title="其他权益工具下发行在外的优先股、永续债等金融工具变动本期减少账面价值合计" test=" $_GBC_347723ef2d244650a9f684841d7181ca" id="C4744d69e1da6479eb109f89ec0da6112"/>
      </m:item>
      <m:item xlName="_GBC_98953ce465cc46d9bc66a1f8852b6272" concept="clcid-pte:QiTaQuanYiGongJuXiaFaXingZaiWaiDeYouXianGuYongXuZhaiDengJinRongGongJuBianDongShuLiangHeJi" label="其他权益工具下发行在外的优先股、永续债等金融工具变动数量合计" addr="T0R4C7S1_1" formatStyle="Comma" appId="_GBC_e8c53693e19e485cba80f7cd2a15ab4c">
        <m:complexRule comparator="Eq" title="其他权益工具下发行在外的优先股、永续债等金融工具变动数量合计" test=" $_GBC_1535b707f6e446ba94defffeeaa630aa" id="C14b7d56c75e64bec8afbcdb6902c2da8"/>
      </m:item>
      <m:item xlName="_GBC_8bbc9af94f7c40c09f06f91408ae8a2a" concept="clcid-pte:QiTaQuanYiGongJuXiaFaXingZaiWaiDeYouXianGuYongXuZhaiDengJinRongGongJuBianDongZhangMianJiaZhiHeJi" label="其他权益工具下发行在外的优先股、永续债等金融工具变动账面价值合计" mulRef="_GBC_51d3c8d018b845ab94e8869d86fc9e62" unitRef="_GBC_d1b7e1db232f48c18444ea05ff987879" addr="T0R4C8S1_1" formatStyle="Comma" appId="_GBC_e8c53693e19e485cba80f7cd2a15ab4c">
        <m:complexRule comparator="Eq" title="其他权益工具下发行在外的优先股、永续债等金融工具变动账面价值合计" test=" $_GBC_61a5b018ce1845cdb4eba78cea67e4a5" id="C53312e13cc5f48b0b7658c813f61cb5b"/>
      </m:item>
      <m:item xlName="_GBC_6229f0070f0a4c838e1e39f678f8a7bb"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6229f0070f0a4c838e1e39f678f8a7bb&quot;,&quot;EndName&quot;:&quot;_GBC_b349bde68ba643038f1fc6068db580e8&quot;,&quot;CType&quot;:1,&quot;DisplayText&quot;:null}"/>
      <m:item xlName="_GBC_b349bde68ba643038f1fc6068db580e8" concept="clcid-pte:QiTaQuanYiGongJuBianDongYuanYinJiXiangGuanHuiJiChuLiDeYiJu" label="其他权益工具变动原因及相关会计处理的依据" appId="_GBC_6229f0070f0a4c838e1e39f678f8a7bb"/>
      <m:item xlName="_GBC_297d299126b041159b18d012f9a18c2e" concept="clcid-ci-ar:ShiFouShiYongQiTaQuanYiGongJuDeQiTaShuoMing" label="是否适用：其他权益工具的其他说明" selectOptions="_buildInAppliance" controlType="CustomCheckbox" cRanges="{&quot;StartName&quot;:&quot;_GBC_297d299126b041159b18d012f9a18c2e&quot;,&quot;EndName&quot;:&quot;_GBC_a3b870c59c2c47ed894220f5ff982b19&quot;,&quot;CType&quot;:1,&quot;DisplayText&quot;:null}"/>
      <m:item xlName="_GBC_a3b870c59c2c47ed894220f5ff982b19" concept="clcid-pte:QiTaQuanYiGongJuDeQiTaShuoMing" label="其他权益工具的其他说明" appId="_GBC_297d299126b041159b18d012f9a18c2e"/>
    </m:section>
    <m:section xlName="_GBC_23fef1c643714b9f82710e33a1bef935" title="资本公积" convertSummaryRule="NoConvert" helpId="112001105">
      <m:item xlName="_GBC_70f32b67ce344a03adfc93d4ed72949a" concept="clcid-ci-ar:ShiFouShiYongZiBenGongJi" label="是否适用：资本公积" selectOptions="_buildInAppliance" controlType="CustomCheckbox" cRanges="{&quot;StartName&quot;:&quot;_GBC_70f32b67ce344a03adfc93d4ed72949a&quot;,&quot;EndName&quot;:&quot;_GBC_014f0762b4274266bec2aa5231aa0981&quot;,&quot;CType&quot;:1,&quot;DisplayText&quot;:null}"/>
      <m:item xlName="_GBC_88633009fdc64f4e8238c38541b33615" concept="clcid-ci-ar:DanWeiCaiWuFuZhuZiBenGongJi" label="单位：财务附注：资本公积" selectOptions="_buildInScales" controlType="Combobox" cellType="Scale" appId="_GBC_70f32b67ce344a03adfc93d4ed72949a"/>
      <m:item xlName="_GBC_636aa96d47cb426abc64fc00b61c9353" concept="clcid-ci-ar:BiZhongCaiWuFuZhuZiBenGongJi" label="币种：财务附注：资本公积" selectOptions="_buildInISO4217" controlType="Combobox" cellType="Measure" appId="_GBC_70f32b67ce344a03adfc93d4ed72949a"/>
      <m:placeholder xlName="_PLD_177c011500e64862903c4c16dbb2f31f" addr="T0R0C0S1_1"/>
      <m:placeholder xlName="_PLD_1519f0add67f49df9173f37c00215eef" addr="T0R0C1S1_1"/>
      <m:placeholder xlName="_PLD_dcbf1fd9bcaa41fc8ff4def2d0e55143" addr="T0R0C2S1_1"/>
      <m:placeholder xlName="_PLD_9d88d0ce99474d389c660c414306497d" addr="T0R0C3S1_1"/>
      <m:placeholder xlName="_PLD_4c3f2255a4a24c1cae63eb0cc7781f12" addr="T0R0C4S1_1"/>
      <m:placeholder xlName="_PLD_6f0c6094ea774cff87e6eacd4eb8ba12" addr="T0R1C0S1_1"/>
      <m:item xlName="_GBC_bcaa5e7e997a4a56a916d4f332fd4b6b" concept="clcid-pte:ZiBenGongJiHeJiGuBenYiJia" label="股本溢价合计" periodRef="本期期初数" mulRef="_GBC_88633009fdc64f4e8238c38541b33615" unitRef="_GBC_636aa96d47cb426abc64fc00b61c9353" addr="T0R1C1S1_1" formatStyle="Comma" appId="_GBC_70f32b67ce344a03adfc93d4ed72949a"/>
      <m:item xlName="_GBC_4a92a82def81420fa3337b8dedcf823b" concept="clcid-pte:ZiBenGongJiZengJiaShuGuBenYiJia" label="股本溢价增加数" mulRef="_GBC_88633009fdc64f4e8238c38541b33615" unitRef="_GBC_636aa96d47cb426abc64fc00b61c9353" addr="T0R1C2S1_1" formatStyle="Comma" appId="_GBC_70f32b67ce344a03adfc93d4ed72949a"/>
      <m:item xlName="_GBC_0a283b035846438093c0edaba0828964" concept="clcid-pte:ZiBenGongJiJianShaoShuGuBenYiJia" label="股本溢价减少数" mulRef="_GBC_88633009fdc64f4e8238c38541b33615" unitRef="_GBC_636aa96d47cb426abc64fc00b61c9353" addr="T0R1C3S1_1" formatStyle="Comma" appId="_GBC_70f32b67ce344a03adfc93d4ed72949a"/>
      <m:item xlName="_GBC_382d3f38e1a941b0849dd26c338ec0ac" concept="clcid-pte:ZiBenGongJiHeJiGuBenYiJia" label="股本溢价合计" mulRef="_GBC_88633009fdc64f4e8238c38541b33615" unitRef="_GBC_636aa96d47cb426abc64fc00b61c9353" addr="T0R1C4S1_1" formatStyle="Comma" appId="_GBC_70f32b67ce344a03adfc93d4ed72949a">
        <m:complexRule comparator="Eq" title="股本溢价合计" test=" $_GBC_bcaa5e7e997a4a56a916d4f332fd4b6b +  $_GBC_4a92a82def81420fa3337b8dedcf823b -  $_GBC_0a283b035846438093c0edaba0828964" id="C256a809e284a4298a1ebe216a9152c7c"/>
      </m:item>
      <m:placeholder xlName="_PLD_0d65c4a2c84c464d8e7b1cc66155d272" addr="T0R2C0S1_1"/>
      <m:item xlName="_GBC_5de2b14c3f594719bfad283f58bdf3a3" concept="clcid-pte:ZiBenGongJiHeJiQiTaZiBenGongJi" label="其他资本公积合计" periodRef="本期期初数" mulRef="_GBC_88633009fdc64f4e8238c38541b33615" unitRef="_GBC_636aa96d47cb426abc64fc00b61c9353" addr="T0R2C1S1_1" formatStyle="Comma" appId="_GBC_70f32b67ce344a03adfc93d4ed72949a"/>
      <m:item xlName="_GBC_7b1e5ba355544e11992dda6ba9ca6db8" concept="clcid-pte:ZiBenGongJiZengJiaShuQiTaZiBenGongJi" label="其他资本公积增加数" mulRef="_GBC_88633009fdc64f4e8238c38541b33615" unitRef="_GBC_636aa96d47cb426abc64fc00b61c9353" addr="T0R2C2S1_1" formatStyle="Comma" appId="_GBC_70f32b67ce344a03adfc93d4ed72949a"/>
      <m:item xlName="_GBC_76732842982849228ec23453c08a6781" concept="clcid-pte:ZiBenGongJiJianShaoShuQiTaZiBenGongJi" label="其他资本公积减少数" mulRef="_GBC_88633009fdc64f4e8238c38541b33615" unitRef="_GBC_636aa96d47cb426abc64fc00b61c9353" addr="T0R2C3S1_1" formatStyle="Comma" appId="_GBC_70f32b67ce344a03adfc93d4ed72949a"/>
      <m:item xlName="_GBC_13e889c1d3a74bc6af7e58d5b022515a" concept="clcid-pte:ZiBenGongJiHeJiQiTaZiBenGongJi" label="其他资本公积合计" mulRef="_GBC_88633009fdc64f4e8238c38541b33615" unitRef="_GBC_636aa96d47cb426abc64fc00b61c9353" addr="T0R2C4S1_1" formatStyle="Comma" appId="_GBC_70f32b67ce344a03adfc93d4ed72949a">
        <m:complexRule comparator="Eq" title="其他资本公积合计" test=" $_GBC_5de2b14c3f594719bfad283f58bdf3a3 +  $_GBC_7b1e5ba355544e11992dda6ba9ca6db8 -  $_GBC_76732842982849228ec23453c08a6781" id="Cf4d649c8d88a4f6f8b5b3da4b83d9c98"/>
      </m:item>
      <m:tuple xlName="_GBC_902bf873b0134f1f82fab45d702c1204" concept="clcid-pte:ZiBenGongJiLieXiangMingXi" default_row="2" addr="T0R3C">
        <m:item xlName="_GBC_726d1dd0e6824c1eb79f9a2bb063ebe0" concept="clcid-pte:ZiBenGongJiLieXiangMingXiXiangMuMingCheng" label="资本公积列项明细－项目名称" addr="T0R3C0S1_1" appId="_GBC_70f32b67ce344a03adfc93d4ed72949a"/>
        <m:item xlName="_GBC_4225e577e60e40f2a2e932adabac3393" concept="clcid-pte:ZiBenGongJiLieXiangMingXiJinE" label="资本公积列项明细－金额" periodRef="本期期初数" mulRef="_GBC_88633009fdc64f4e8238c38541b33615" unitRef="_GBC_636aa96d47cb426abc64fc00b61c9353" addr="T0R3C1S1_1" formatStyle="Comma" appId="_GBC_70f32b67ce344a03adfc93d4ed72949a"/>
        <m:item xlName="_GBC_7d26c0cad9214e22a93343f51b497a1d" concept="clcid-pte:ZiBenGongJiLieXiangMingXiBenQiZengJia" label="资本公积列项明细－本期增加" mulRef="_GBC_88633009fdc64f4e8238c38541b33615" unitRef="_GBC_636aa96d47cb426abc64fc00b61c9353" addr="T0R3C2S1_1" formatStyle="Comma" appId="_GBC_70f32b67ce344a03adfc93d4ed72949a"/>
        <m:item xlName="_GBC_df2e953f06534de690d8d2d75a85a390" concept="clcid-pte:ZiBenGongJiLieXiangMingXiBenQiJianShao" label="资本公积列项明细－本期减少" mulRef="_GBC_88633009fdc64f4e8238c38541b33615" unitRef="_GBC_636aa96d47cb426abc64fc00b61c9353" addr="T0R3C3S1_1" formatStyle="Comma" appId="_GBC_70f32b67ce344a03adfc93d4ed72949a"/>
        <m:item xlName="_GBC_83bed5b617cf4ef184cae2eaf70adf4d" concept="clcid-pte:ZiBenGongJiLieXiangMingXiJinE" label="资本公积列项明细－金额" mulRef="_GBC_88633009fdc64f4e8238c38541b33615" unitRef="_GBC_636aa96d47cb426abc64fc00b61c9353" addr="T0R3C4S1_1" formatStyle="Comma" appId="_GBC_70f32b67ce344a03adfc93d4ed72949a">
          <m:complexRule comparator="Eq" title="资本公积列项明细－金额" test=" $_GBC_4225e577e60e40f2a2e932adabac3393 +  $_GBC_7d26c0cad9214e22a93343f51b497a1d -  $_GBC_df2e953f06534de690d8d2d75a85a390" id="C3161c2b3fd674c819f23bf3313144124"/>
        </m:item>
      </m:tuple>
      <m:placeholder xlName="_PLD_2d6988ed902d4f2a9c423d885cfc336e" addr="T0R5C0S1_1"/>
      <m:item xlName="_GBC_f16b7eac40224ebba251f379f3eca94d" concept="clcid-pte:ZiBenGongJi" label="资本公积" periodRef="本期期初数" mulRef="_GBC_88633009fdc64f4e8238c38541b33615" unitRef="_GBC_636aa96d47cb426abc64fc00b61c9353" addr="T0R5C1S1_1" formatStyle="Comma" appId="_GBC_70f32b67ce344a03adfc93d4ed72949a">
        <m:complexRule comparator="Eq" title="资本公积@本期期初数" test=" $_GBC_bcaa5e7e997a4a56a916d4f332fd4b6b +  $_GBC_5de2b14c3f594719bfad283f58bdf3a3 +  $_GBC_4225e577e60e40f2a2e932adabac3393" id="C4abd9a4de71e411884a1f35aee62ac4d" serialType="1"/>
      </m:item>
      <m:item xlName="_GBC_4c116f82aee542d79046afccabb520a9" concept="clcid-pte:ZiBenGongJiZengJia" label="资本公积增加" mulRef="_GBC_88633009fdc64f4e8238c38541b33615" unitRef="_GBC_636aa96d47cb426abc64fc00b61c9353" addr="T0R5C2S1_1" formatStyle="Comma" appId="_GBC_70f32b67ce344a03adfc93d4ed72949a">
        <m:complexRule comparator="Eq" title="资本公积增加" test=" $_GBC_4a92a82def81420fa3337b8dedcf823b +  $_GBC_7b1e5ba355544e11992dda6ba9ca6db8 +  $_GBC_7d26c0cad9214e22a93343f51b497a1d" id="Cd49e671de8f24a308bad2463340ff0d1" serialType="1"/>
      </m:item>
      <m:item xlName="_GBC_2280e9b60d174ff79d09fce9f737a0a9" concept="clcid-pte:ZiBenGongJiJianShao" label="资本公积减少" mulRef="_GBC_88633009fdc64f4e8238c38541b33615" unitRef="_GBC_636aa96d47cb426abc64fc00b61c9353" addr="T0R5C3S1_1" formatStyle="Comma" appId="_GBC_70f32b67ce344a03adfc93d4ed72949a">
        <m:complexRule comparator="Eq" title="资本公积减少" test=" $_GBC_0a283b035846438093c0edaba0828964 +  $_GBC_76732842982849228ec23453c08a6781 +  $_GBC_df2e953f06534de690d8d2d75a85a390" id="C148872b51e1f4b6d912380922c1dc31e" serialType="1"/>
      </m:item>
      <m:item xlName="_GBC_287f6b70dde348fd8a673d12b82fbd23" concept="clcid-pte:ZiBenGongJi" label="资本公积" mulRef="_GBC_88633009fdc64f4e8238c38541b33615" unitRef="_GBC_636aa96d47cb426abc64fc00b61c9353" addr="T0R5C4S1_1" formatStyle="Comma" appId="_GBC_70f32b67ce344a03adfc93d4ed72949a">
        <m:complexRule comparator="Eq" title="资本公积-横向公式" test=" $_GBC_f16b7eac40224ebba251f379f3eca94d +  $_GBC_4c116f82aee542d79046afccabb520a9 -  $_GBC_2280e9b60d174ff79d09fce9f737a0a9" id="C4e2b14b22f7644748dac9e41b8aedc8e"/>
        <m:complexRule comparator="Eq" title="资本公积" test=" $_GBC_382d3f38e1a941b0849dd26c338ec0ac +  $_GBC_13e889c1d3a74bc6af7e58d5b022515a +  $_GBC_83bed5b617cf4ef184cae2eaf70adf4d" id="Ca6407390aa764681b44f8b76e2b09719" serialType="1"/>
      </m:item>
      <m:item xlName="_GBC_014f0762b4274266bec2aa5231aa0981" concept="clcid-pte:ZiBenGongJiShuoMing" label="资本公积说明" appId="_GBC_70f32b67ce344a03adfc93d4ed72949a"/>
    </m:section>
    <m:section xlName="_GBC_02198eb4b89045c5af2f3bcd240e18af" title="库存股" convertSummaryRule="NoConvert" helpId="112001103">
      <m:item xlName="_GBC_4aa47a6d9b1044aa8a049146d42c3e9c" concept="clcid-ci-ar:ShiFouShiYongKuCunGu" label="是否适用：库存股" selectOptions="_buildInAppliance" controlType="CustomCheckbox" cRanges="{&quot;StartName&quot;:&quot;_GBC_4aa47a6d9b1044aa8a049146d42c3e9c&quot;,&quot;EndName&quot;:&quot;_GBC_aeb361adcbde44daaa852df07259812c&quot;,&quot;CType&quot;:1,&quot;DisplayText&quot;:null}"/>
      <m:item xlName="_GBC_2ec7280618184a6dbf8764020927134a" concept="clcid-ci-ar:DanWeiCaiWuFuZhuKuCunGu" label="单位：财务附注：库存股" selectOptions="_buildInScales" controlType="Combobox" cellType="Scale" appId="_GBC_4aa47a6d9b1044aa8a049146d42c3e9c"/>
      <m:item xlName="_GBC_bcf1b0dc9f44435981af64b6d69d6045" concept="clcid-ci-ar:BiZhongCaiWuFuZhuKuCunGu" label="币种：财务附注：库存股" selectOptions="_buildInISO4217" controlType="Combobox" cellType="Measure" appId="_GBC_4aa47a6d9b1044aa8a049146d42c3e9c"/>
      <m:placeholder xlName="_PLD_b46e14f0143b428d91ebe5e1885be6ac" addr="T0R0C0S1_1"/>
      <m:placeholder xlName="_PLD_6db0262d3f8842b4a7eba04e09be9d8a" addr="T0R0C1S1_1"/>
      <m:placeholder xlName="_PLD_6f585f2d8d254ed6a108b145b56ff7cc" addr="T0R0C2S1_1"/>
      <m:placeholder xlName="_PLD_20354e1f567449a9b9021901b2252d15" addr="T0R0C3S1_1"/>
      <m:placeholder xlName="_PLD_94daf05bbefc4d829f1bc3b83d11b6ca" addr="T0R0C4S1_1"/>
      <m:tuple xlName="_GBC_a5ebfe7fe0f34697935e4de42efcb598" concept="clcid-pte:KuCunGuMingXi" default_row="2" addr="T0R1C">
        <m:item xlName="_GBC_13fe95bfcb73426ebdc496fdfbaede6e" concept="clcid-pte:KuCunGuMingXiXiangMuMingCheng" label="库存股明细-项目名称" addr="T0R1C0S1_1" appId="_GBC_4aa47a6d9b1044aa8a049146d42c3e9c"/>
        <m:item xlName="_GBC_e35a443faac34abeaa461227d2fd5373" concept="clcid-pte:KuCunGuMingXiJinE" label="库存股明细-金额" periodRef="本期期初数" mulRef="_GBC_2ec7280618184a6dbf8764020927134a" unitRef="_GBC_bcf1b0dc9f44435981af64b6d69d6045" addr="T0R1C1S1_1" formatStyle="Comma" appId="_GBC_4aa47a6d9b1044aa8a049146d42c3e9c"/>
        <m:item xlName="_GBC_cd5a3f448d6e4e3eb4b1a9a2a69b7366" concept="clcid-pte:KuCunGuMingXiBenQiZengJia" label="库存股明细-本期增加" mulRef="_GBC_2ec7280618184a6dbf8764020927134a" unitRef="_GBC_bcf1b0dc9f44435981af64b6d69d6045" addr="T0R1C2S1_1" formatStyle="Comma" appId="_GBC_4aa47a6d9b1044aa8a049146d42c3e9c"/>
        <m:item xlName="_GBC_cc0847a4cecd4a18b5d67e008f110d47" concept="clcid-pte:KuCunGuMingXiBenQiJianShao" label="库存股明细-本期减少" mulRef="_GBC_2ec7280618184a6dbf8764020927134a" unitRef="_GBC_bcf1b0dc9f44435981af64b6d69d6045" addr="T0R1C3S1_1" formatStyle="Comma" appId="_GBC_4aa47a6d9b1044aa8a049146d42c3e9c"/>
        <m:item xlName="_GBC_694b892722e74638b4914738b36c8e40" concept="clcid-pte:KuCunGuMingXiJinE" label="库存股明细-金额" mulRef="_GBC_2ec7280618184a6dbf8764020927134a" unitRef="_GBC_bcf1b0dc9f44435981af64b6d69d6045" addr="T0R1C4S1_1" formatStyle="Comma" appId="_GBC_4aa47a6d9b1044aa8a049146d42c3e9c">
          <m:complexRule comparator="Eq" title="库存股" test=" $_GBC_e35a443faac34abeaa461227d2fd5373 +  $_GBC_cd5a3f448d6e4e3eb4b1a9a2a69b7366 -  $_GBC_cc0847a4cecd4a18b5d67e008f110d47" id="Cabad8309721948fdbd0f9006ee35de5c"/>
        </m:item>
      </m:tuple>
      <m:placeholder xlName="_PLD_a82f645de2dc45b39a10692d00c40095" addr="T0R3C0S1_1"/>
      <m:item xlName="_GBC_74ad540b63b8472c89aea4f0a685647a" concept="clcid-pte:KuCunGu" label="库存股" periodRef="本期期初数" mulRef="_GBC_2ec7280618184a6dbf8764020927134a" unitRef="_GBC_bcf1b0dc9f44435981af64b6d69d6045" addr="T0R3C1S1_1" formatStyle="Comma" appId="_GBC_4aa47a6d9b1044aa8a049146d42c3e9c">
        <m:complexRule comparator="Eq" title="库存股@本期期初数" test=" $_GBC_e35a443faac34abeaa461227d2fd5373" id="Cd511f758bb2a4f58b32859f084e03601"/>
      </m:item>
      <m:item xlName="_GBC_efcfd3960050454ba7b3ebec230cc234" concept="clcid-pte:KuCunGuBenQiZengJiaE" label="库存股本期增加额" mulRef="_GBC_2ec7280618184a6dbf8764020927134a" unitRef="_GBC_bcf1b0dc9f44435981af64b6d69d6045" addr="T0R3C2S1_1" formatStyle="Comma" appId="_GBC_4aa47a6d9b1044aa8a049146d42c3e9c">
        <m:complexRule comparator="Eq" title="库存股本期增加额" test=" $_GBC_cd5a3f448d6e4e3eb4b1a9a2a69b7366" id="C1e1894e1fcd24dec91394c97b789a3ab"/>
      </m:item>
      <m:item xlName="_GBC_b1a44eb2248a454e9a8201e03c0985cd" concept="clcid-pte:KuCunGuBenQiJianShaoE" label="库存股本期减少额" mulRef="_GBC_2ec7280618184a6dbf8764020927134a" unitRef="_GBC_bcf1b0dc9f44435981af64b6d69d6045" addr="T0R3C3S1_1" formatStyle="Comma" appId="_GBC_4aa47a6d9b1044aa8a049146d42c3e9c">
        <m:complexRule comparator="Eq" title="库存股本期减少额" test=" $_GBC_cc0847a4cecd4a18b5d67e008f110d47" id="C5446d0421b78436ab38707dc2ea877dc"/>
      </m:item>
      <m:item xlName="_GBC_851181dacd5d44239f9840bf39a85537" concept="clcid-pte:KuCunGu" label="库存股" mulRef="_GBC_2ec7280618184a6dbf8764020927134a" unitRef="_GBC_bcf1b0dc9f44435981af64b6d69d6045" addr="T0R3C4S1_1" formatStyle="Comma" appId="_GBC_4aa47a6d9b1044aa8a049146d42c3e9c">
        <m:complexRule comparator="Eq" title="库存股" test=" $_GBC_694b892722e74638b4914738b36c8e40" id="C0aae723bca9240bfb31488c00ee30b83"/>
        <m:complexRule comparator="Eq" title="库存股横向合计" test=" $_GBC_efcfd3960050454ba7b3ebec230cc234 +  $_GBC_74ad540b63b8472c89aea4f0a685647a -  $_GBC_b1a44eb2248a454e9a8201e03c0985cd" id="C7dd880b0d61545699a3d5b6afd5b369d"/>
      </m:item>
      <m:item xlName="_GBC_aeb361adcbde44daaa852df07259812c" concept="clcid-pte:KuCunGuQingKuangShuoMing" label="库存股情况说明" appId="_GBC_4aa47a6d9b1044aa8a049146d42c3e9c"/>
    </m:section>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item xlName="_GBC_a53cc67f2be24dfbbe3af1b633d9bd6d" concept="clcid-ci-ar:ShiFouShiYongQiTaZongHeShouYi" label="是否适用：其他综合收益" selectOptions="_buildInAppliance" controlType="CustomCheckbox" cRanges="{&quot;StartName&quot;:&quot;_GBC_a53cc67f2be24dfbbe3af1b633d9bd6d&quot;,&quot;EndName&quot;:&quot;_GBC_c389c92b3ef04746a88c157ed2e05698&quot;,&quot;CType&quot;:1,&quot;DisplayText&quot;:null}"/>
      <m:item xlName="_GBC_3fcad98da74248809a759048ca194814" concept="clcid-ci-ar:DanWeiCaiWuFuZhuQiTaZongHeShouYiQingKuang" label="单位：财务附注：其他综合收益情况" selectOptions="_buildInScales" controlType="Combobox" cellType="Scale" appId="_GBC_a53cc67f2be24dfbbe3af1b633d9bd6d"/>
      <m:item xlName="_GBC_3909f37aa0cc4eda82ff1503a6abe503" concept="clcid-ci-ar:BiZhongCaiWuFuZhuQiTaZongHeShouYiQingKuang" label="币种：财务附注：其他综合收益情况" selectOptions="_buildInISO4217" controlType="Combobox" cellType="Measure" appId="_GBC_a53cc67f2be24dfbbe3af1b633d9bd6d"/>
      <m:placeholder xlName="_PLD_965475dfd86e41c29d1b9f1fdff70ee0" addr="T0R0C0S2_1"/>
      <m:placeholder xlName="_PLD_8a675a3cac5041d29cfb92203b87e9a6" addr="T0R0C1S2_1"/>
      <m:placeholder xlName="_PLD_5ff455f3c2164019b5e694c1e00e4104" addr="T0R0C2S1_6"/>
      <m:placeholder xlName="_PLD_e74e1b8e6f7d453b8d88ebfc65c302f4" addr="T0R0C8S2_1"/>
      <m:placeholder xlName="_PLD_17c016c4311444368218ab16d2bc7a4c" addr="T0R1C2S1_1"/>
      <m:placeholder xlName="_PLD_8f95da21a802457ea1d7d10d5c90efb0" addr="T0R1C3S1_1"/>
      <m:placeholder xlName="_PLD_7f99e647a5874f909c48e6c0bbc8d50a" addr="T0R1C4S1_1"/>
      <m:placeholder xlName="_PLD_6ee499a1144a462687fb064cc4588343" addr="T0R1C5S1_1"/>
      <m:placeholder xlName="_PLD_97d686c5a0f042d49d097afc52b9ab56" addr="T0R1C6S1_1"/>
      <m:placeholder xlName="_PLD_dc8c642f883f4ca1b1bbacf56198209b" addr="T0R1C7S1_1"/>
      <m:placeholder xlName="_PLD_3f00f48c9230468fa9ebc3f871b6cb34" addr="T0R2C0S1_1"/>
      <m:item xlName="_GBC_e2de66f3d0ff45c8b9236045779902ae" concept="clcid-pte:YiHouBuNengZhongFenLeiJinSunYiDeQiTaZongHeShouYiZiChanFuZhaiBiaoXiangMu" label="以后不能重分类进损益的其他综合收益（资产负债表项目）" periodRef="本期期初数" mulRef="_GBC_3fcad98da74248809a759048ca194814" unitRef="_GBC_3909f37aa0cc4eda82ff1503a6abe503" addr="T0R2C1S1_1" formatStyle="Comma" appId="_GBC_a53cc67f2be24dfbbe3af1b633d9bd6d">
        <m:complexRule comparator="Eq" title="以后不能重分类进损益的其他综合收益（资产负债表项目）@本期期初数" test=" $_GBC_a7b5832042b844cc9ef42b449d1c35c9 +  $_GBC_f152c3bb7b274343b55bb403df0f82d7 +  $_GBC_7e077fb0abd744c699c094b0293b2e5e +  $_GBC_f234e99702764881b5340aca40dadada +  $_GBC_eb2075665e624bbc90a86cee64b16594" id="Cc51df17a427e4588a394cc339653cbba" serialType="1"/>
      </m:item>
      <m:item xlName="_GBC_7de15fba1e054b8f91c7fa7ee8e7319b" concept="clcid-pte:YiHouBuNengZhongFenLeiJinSunYiDeQiTaZongHeShouYiBenQiSuoDeShuiQianFaShengE" label="以后不能重分类进损益的其他综合收益本期所得税前发生额" mulRef="_GBC_3fcad98da74248809a759048ca194814" unitRef="_GBC_3909f37aa0cc4eda82ff1503a6abe503" addr="T0R2C2S1_1" formatStyle="Comma" appId="_GBC_a53cc67f2be24dfbbe3af1b633d9bd6d">
        <m:complexRule comparator="Eq" title="以后不能重分类进损益的其他综合收益本期所得税前发生额" test=" $_GBC_a54a3083859d48c2b4f28822aeb3369c +  $_GBC_c934c202b9ca4c6694954feb52b8e063 +  $_GBC_5b3f46f8a66d4d09a4ff84eff3cc84ca +  $_GBC_bc8c359c30ea4e609d8dd5ddaeca7b6c +  $_GBC_e4647cdaf7ab44d59f9eb9610387051a" id="C6e291f3b050749588cbe05d61fe13017" serialType="1"/>
      </m:item>
      <m:item xlName="_GBC_043684988a5347f2a6e0fe8c8c1a0e7b" concept="clcid-pte:YiHouBuNengZhongFenLeiJinSunYiDeQiTaZongHeShouYiQiZhongQianQiJiRuQiTaZongHeShouYiDangQiZhuanRuSunYi" label="以后不能重分类进损益的其他综合收益-其中：前期计入其他综合收益当期转入损益" mulRef="_GBC_3fcad98da74248809a759048ca194814" unitRef="_GBC_3909f37aa0cc4eda82ff1503a6abe503" addr="T0R2C3S1_1" formatStyle="Comma" appId="_GBC_a53cc67f2be24dfbbe3af1b633d9bd6d">
        <m:complexRule comparator="Eq" title="以后不能重分类进损益的其他综合收益-其中：前期计入其他综合收益当期转入损益" test=" $_GBC_1390316662a44f6dbbc7897cf7a454af +  $_GBC_bcb1dc7906c045a89c8bd901f991984e +  $_GBC_841260e2392e463fa72d7d89effb8633 +  $_GBC_3a8585430b9f42cc990c873b98124f6c +  $_GBC_144f5097c9474d1c8dd964628b0feb0c" id="Ca8e89c26467040f6b55872eb49041290" serialType="1"/>
      </m:item>
      <m:item xlName="_GBC_bd45fe5da0464410af26e48ce2a50ef6" concept="clcid-pte:YiHouBuNengZhongFenLeiJinSunYiDeQiTaZongHeShouYiQiZhongQianQiJiRuQiTaZongHeShouYiDangQiZhuanRuLiuCunShouYi" label="以后不能重分类进损益的其他综合收益-其中:前期计入其他综合收益当期转入留存收益" mulRef="_GBC_3fcad98da74248809a759048ca194814" unitRef="_GBC_3909f37aa0cc4eda82ff1503a6abe503" addr="T0R2C4S1_1" formatStyle="Comma" appId="_GBC_a53cc67f2be24dfbbe3af1b633d9bd6d">
        <m:complexRule comparator="Eq" title="以后不能重分类进损益的其他综合收益-其中:前期计入其他综合收益当期转入留存收益" test=" $_GBC_ba00880fbf344ad6a4d059d9a74186a4 +  $_GBC_8876f5eb2bcd4996a50d9f57cde8a03d +  $_GBC_ab3052b83c9d405e8f086583a7ba7568 +  $_GBC_4c7ae4d4bfeb48d084507b5a2df66624 +  $_GBC_d70a1caacc5346e6a177fe9fd8f01b68" id="C686b05c52b9f4f338879ef0550715c44"/>
      </m:item>
      <m:item xlName="_GBC_53262a6ec9e048bc8f4130b5aa021238" concept="clcid-pte:YiHouBuNengZhongFenLeiJinSunYiDeQiTaZongHeShouYiDeSuoDeShui" label="以后不能重分类进损益的其他综合收益的所得税" mulRef="_GBC_3fcad98da74248809a759048ca194814" unitRef="_GBC_3909f37aa0cc4eda82ff1503a6abe503" addr="T0R2C5S1_1" formatStyle="Comma" appId="_GBC_a53cc67f2be24dfbbe3af1b633d9bd6d">
        <m:complexRule comparator="Eq" title="以后不能重分类进损益的其他综合收益的所得税" test=" $_GBC_1bcc1d2d065044b19add09a48df9875d +  $_GBC_3701899e4a4f4f4397e863833b3a9d0b +  $_GBC_e213e65a5fdb48849d396feef1a4cda3 +  $_GBC_27f82dc9414b43acb4303ee32e24ba5a +  $_GBC_6423dafe61d644428e18d775a0915ece" id="C6fde624b2d1c4493b787525de3913a09" serialType="1"/>
      </m:item>
      <m:item xlName="_GBC_85d145546e3b4f72908bbefe16244d13" concept="clcid-pte:YiHouBuNengZhongFenLeiJinSunYiDeQiTaZongHeShouYiDeShuiHouGuiShuYuMuGongSi" label="以后不能重分类进损益的其他综合收益的税后归属于母公司" mulRef="_GBC_3fcad98da74248809a759048ca194814" unitRef="_GBC_3909f37aa0cc4eda82ff1503a6abe503" addr="T0R2C6S1_1" formatStyle="Comma" appId="_GBC_a53cc67f2be24dfbbe3af1b633d9bd6d">
        <m:complexRule comparator="Eq" title="以后不能重分类进损益的其他综合收益的税后归属于母公司" test=" $_GBC_7e57106f35d2459f90bbf29911d34de1 +  $_GBC_f6815bb984344e17b740f84b3adada74 +  $_GBC_8689bdb7e04047c69877839b78d5710b +  $_GBC_ebefb0a7d7ee4fa5bce2848d6b7a7351 +  $_GBC_aa266fa52dca4157a1387a40770382b6" id="C33e7af5f1cc94380b90af53bbf807554" serialType="1"/>
      </m:item>
      <m:item xlName="_GBC_1500787ae0ae4b4abcd2de62024866aa" concept="clcid-pte:YiHouBuNengZhongFenLeiJinSunYiDeQiTaZongHeShouYiDeShuiHouGuiShuYuShaoShuGuDong" label="以后不能重分类进损益的其他综合收益的税后归属于少数股东" mulRef="_GBC_3fcad98da74248809a759048ca194814" unitRef="_GBC_3909f37aa0cc4eda82ff1503a6abe503" addr="T0R2C7S1_1" formatStyle="Comma" appId="_GBC_a53cc67f2be24dfbbe3af1b633d9bd6d">
        <m:complexRule comparator="Eq" title="以后不能重分类进损益的其他综合收益的税后归属于少数股东" test=" $_GBC_8369cf3ddab143e48a6c2270ace193c4 +  $_GBC_3f230d54ee6c4d448a43b32067dec21a +  $_GBC_b2a5102c04e64c4c852419b2193e495d +  $_GBC_0095efaedfcd43d99bd73655937f80ea +  $_GBC_31ce1fd66bbb4ad5a7d118a5259b0602" id="C8215fe0f40134e0da08d7f547dfd682d" serialType="1"/>
      </m:item>
      <m:item xlName="_GBC_ef85990f3d1549c99f748bd71e4c8ef8" concept="clcid-pte:YiHouBuNengZhongFenLeiJinSunYiDeQiTaZongHeShouYiZiChanFuZhaiBiaoXiangMu" label="以后不能重分类进损益的其他综合收益（资产负债表项目）" mulRef="_GBC_3fcad98da74248809a759048ca194814" unitRef="_GBC_3909f37aa0cc4eda82ff1503a6abe503" addr="T0R2C8S1_1" formatStyle="Comma" appId="_GBC_a53cc67f2be24dfbbe3af1b633d9bd6d">
        <m:complexRule comparator="Eq" title="以后不能重分类进损益的其他综合收益（资产负债表项目）" test=" $_GBC_336cdf89e4f4467f9bf4020f3db1f453 +  $_GBC_98d721f86d1e4e82ba12a76621d2cccf +  $_GBC_f2df212f607b427da6ad0c5cc4c8d5b7 +  $_GBC_36a68c46ab4f49e8be8b7020827c8368 +  $_GBC_2b0900c7717a463f9c11797689aa85f3" id="Cb2b702188c35412d8d0fc772c244d2e8" serialType="1"/>
        <m:complexRule comparator="Eq" title="以后不能重分类进损益的其他综合收益（资产负债表项目）" test=" $_GBC_e2de66f3d0ff45c8b9236045779902ae +  $_GBC_85d145546e3b4f72908bbefe16244d13" id="Cd9e9ebcb12cf403e96b242753e6dc5d4"/>
      </m:item>
      <m:placeholder xlName="_PLD_aad1fbfb983445dfa58a193c37b83e24" addr="T0R3C0S1_1"/>
      <m:item xlName="_GBC_a7b5832042b844cc9ef42b449d1c35c9" concept="clcid-pte:ChongXinJiSuanSheDingShouYiJiHuaJingFuZhaiHeJingZiChanDeBianDongZiChanFuZhaiBiaoXiangMu" label="重新计算设定受益计划净负债和净资产的变动（资产负债表项目） " periodRef="本期期初数" mulRef="_GBC_3fcad98da74248809a759048ca194814" unitRef="_GBC_3909f37aa0cc4eda82ff1503a6abe503" addr="T0R3C1S1_1" formatStyle="Comma" appId="_GBC_a53cc67f2be24dfbbe3af1b633d9bd6d"/>
      <m:item xlName="_GBC_a54a3083859d48c2b4f28822aeb3369c" concept="clcid-pte:ZhongXinJiSuanSheDingShouYiJiHuaJingFuZhaiHeJingZiChanDeBianDongBenQiSuoDeShuiQianFaShengE" label="重新计算设定受益计划净负债和净资产的变动本期所得税前发生额" mulRef="_GBC_3fcad98da74248809a759048ca194814" unitRef="_GBC_3909f37aa0cc4eda82ff1503a6abe503" addr="T0R3C2S1_1" formatStyle="Comma" appId="_GBC_a53cc67f2be24dfbbe3af1b633d9bd6d"/>
      <m:item xlName="_GBC_1390316662a44f6dbbc7897cf7a454af" concept="clcid-pte:ZhongXinJiSuanSheDingShouYiJiHuaJingFuZhaiHeJingZiChanDeBianDongQiZhongQianQiJiRuQiTaZongHeShouYiDangQiZhuanRuSunYi" label="重新计算设定受益计划净负债和净资产的变动-其中：前期计入其他综合收益当期转入损益" mulRef="_GBC_3fcad98da74248809a759048ca194814" unitRef="_GBC_3909f37aa0cc4eda82ff1503a6abe503" addr="T0R3C3S1_1" formatStyle="Comma" appId="_GBC_a53cc67f2be24dfbbe3af1b633d9bd6d"/>
      <m:item xlName="_GBC_ba00880fbf344ad6a4d059d9a74186a4" concept="clcid-pte:ZhongXinJiLiangSheDingShouYiJiHuaBianDongEQiZhongQianQiJiRuQiTaZongHeShouYiDangQiZhuanRuLiuCunShouYi" label="重新计量设定受益计划变动额-其中:前期计入其他综合收益当期转入留存收益" mulRef="_GBC_3fcad98da74248809a759048ca194814" unitRef="_GBC_3909f37aa0cc4eda82ff1503a6abe503" addr="T0R3C4S1_1" formatStyle="Comma" appId="_GBC_a53cc67f2be24dfbbe3af1b633d9bd6d"/>
      <m:item xlName="_GBC_1bcc1d2d065044b19add09a48df9875d" concept="clcid-pte:ZhongXinJiSuanSheDingShouYiJiHuaJingFuZhaiHeJingZiChanDeBianDongDeSuoDeShui" label="重新计算设定受益计划净负债和净资产的变动的所得税" mulRef="_GBC_3fcad98da74248809a759048ca194814" unitRef="_GBC_3909f37aa0cc4eda82ff1503a6abe503" addr="T0R3C5S1_1" formatStyle="Comma" appId="_GBC_a53cc67f2be24dfbbe3af1b633d9bd6d"/>
      <m:item xlName="_GBC_7e57106f35d2459f90bbf29911d34de1" concept="clcid-pte:ZhongXinJiSuanSheDingShouYiJiHuaJingFuZhaiHeJingZiChanDeBianDongDeShuiHouGuiShuYuMuGongSi" label="重新计算设定受益计划净负债和净资产的变动的税后归属于母公司" mulRef="_GBC_3fcad98da74248809a759048ca194814" unitRef="_GBC_3909f37aa0cc4eda82ff1503a6abe503" addr="T0R3C6S1_1" formatStyle="Comma" appId="_GBC_a53cc67f2be24dfbbe3af1b633d9bd6d"/>
      <m:item xlName="_GBC_8369cf3ddab143e48a6c2270ace193c4" concept="clcid-pte:ZhongXinJiSuanSheDingShouYiJiHuaJingFuZhaiHeJingZiChanDeBianDongDeShuiHouGuiShuYuShaoShuGuDong" label="重新计算设定受益计划净负债和净资产的变动的税后归属于少数股东" mulRef="_GBC_3fcad98da74248809a759048ca194814" unitRef="_GBC_3909f37aa0cc4eda82ff1503a6abe503" addr="T0R3C7S1_1" formatStyle="Comma" appId="_GBC_a53cc67f2be24dfbbe3af1b633d9bd6d"/>
      <m:item xlName="_GBC_336cdf89e4f4467f9bf4020f3db1f453" concept="clcid-pte:ChongXinJiSuanSheDingShouYiJiHuaJingFuZhaiHeJingZiChanDeBianDongZiChanFuZhaiBiaoXiangMu" label="重新计算设定受益计划净负债和净资产的变动（资产负债表项目） " mulRef="_GBC_3fcad98da74248809a759048ca194814" unitRef="_GBC_3909f37aa0cc4eda82ff1503a6abe503" addr="T0R3C8S1_1" formatStyle="Comma" appId="_GBC_a53cc67f2be24dfbbe3af1b633d9bd6d">
        <m:complexRule comparator="Eq" title="重新计算设定受益计划净负债和净资产的变动（资产负债表项目）" test=" $_GBC_a7b5832042b844cc9ef42b449d1c35c9 +  $_GBC_7e57106f35d2459f90bbf29911d34de1" id="C1cf1381cbd604509bc7fbd1ae4ec92a2"/>
      </m:item>
      <m:placeholder xlName="_PLD_00edb91bbb194fa5b7655c196b9adc24" addr="T0R4C0S1_1"/>
      <m:item xlName="_GBC_f152c3bb7b274343b55bb403df0f82d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3fcad98da74248809a759048ca194814" unitRef="_GBC_3909f37aa0cc4eda82ff1503a6abe503" addr="T0R4C1S1_1" formatStyle="Comma" appId="_GBC_a53cc67f2be24dfbbe3af1b633d9bd6d"/>
      <m:item xlName="_GBC_c934c202b9ca4c6694954feb52b8e063" concept="clcid-pte:QuanYiFaXiaZaiBeiTouZiDanWeiBuNengZhongFenLeiJinSunYiDeQiTaZongHeShouYiZhongXiangYouDeFenEBenQiSuoDeShuiQianFaShengE" label="权益法下在被投资单位不能重分类进损益的其他综合收益中享有的份额本期所得税前发生额" mulRef="_GBC_3fcad98da74248809a759048ca194814" unitRef="_GBC_3909f37aa0cc4eda82ff1503a6abe503" addr="T0R4C2S1_1" formatStyle="Comma" appId="_GBC_a53cc67f2be24dfbbe3af1b633d9bd6d"/>
      <m:item xlName="_GBC_bcb1dc7906c045a89c8bd901f991984e"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3fcad98da74248809a759048ca194814" unitRef="_GBC_3909f37aa0cc4eda82ff1503a6abe503" addr="T0R4C3S1_1" formatStyle="Comma" appId="_GBC_a53cc67f2be24dfbbe3af1b633d9bd6d"/>
      <m:item xlName="_GBC_8876f5eb2bcd4996a50d9f57cde8a03d" concept="clcid-pte:QuanYiFaXiaBuNengZhuanSunYiDeQiTaZongHeShouYiQiZhongQianQiJiRuQiTaZongHeShouYiDangQiZhuanRuLiuCunShouYi" label="权益法下不能转损益的其他综合收益-其中:前期计入其他综合收益当期转入留存收益" mulRef="_GBC_3fcad98da74248809a759048ca194814" unitRef="_GBC_3909f37aa0cc4eda82ff1503a6abe503" addr="T0R4C4S1_1" formatStyle="Comma" appId="_GBC_a53cc67f2be24dfbbe3af1b633d9bd6d"/>
      <m:item xlName="_GBC_3701899e4a4f4f4397e863833b3a9d0b" concept="clcid-pte:QuanYiFaXiaZaiBeiTouZiDanWeiBuNengZhongFenLeiJinSunYiDeQiTaZongHeShouYiZhongXiangYouDeFenEDeSuoDeShui" label="权益法下在被投资单位不能重分类进损益的其他综合收益中享有的份额的所得税" mulRef="_GBC_3fcad98da74248809a759048ca194814" unitRef="_GBC_3909f37aa0cc4eda82ff1503a6abe503" addr="T0R4C5S1_1" formatStyle="Comma" appId="_GBC_a53cc67f2be24dfbbe3af1b633d9bd6d"/>
      <m:item xlName="_GBC_f6815bb984344e17b740f84b3adada74" concept="clcid-pte:QuanYiFaXiaZaiBeiTouZiDanWeiBuNengZhongFenLeiJinSunYiDeQiTaZongHeShouYiZhongXiangYouDeFenEDeShuiHouGuiShuYuMuGongSi" label="权益法下在被投资单位不能重分类进损益的其他综合收益中享有的份额的税后归属于母公司" mulRef="_GBC_3fcad98da74248809a759048ca194814" unitRef="_GBC_3909f37aa0cc4eda82ff1503a6abe503" addr="T0R4C6S1_1" formatStyle="Comma" appId="_GBC_a53cc67f2be24dfbbe3af1b633d9bd6d"/>
      <m:item xlName="_GBC_3f230d54ee6c4d448a43b32067dec21a" concept="clcid-pte:QuanYiFaXiaZaiBeiTouZiDanWeiBuNengZhongFenLeiJinSunYiDeQiTaZongHeShouYiZhongXiangYouDeFenEDeShuiHouGuiShuYuShaoShuGuDong" label="权益法下在被投资单位不能重分类进损益的其他综合收益中享有的份额的税后归属于少数股东" mulRef="_GBC_3fcad98da74248809a759048ca194814" unitRef="_GBC_3909f37aa0cc4eda82ff1503a6abe503" addr="T0R4C7S1_1" formatStyle="Comma" appId="_GBC_a53cc67f2be24dfbbe3af1b633d9bd6d"/>
      <m:item xlName="_GBC_98d721f86d1e4e82ba12a76621d2cccf" concept="clcid-pte:QuanYiFaXiaZaiBeiTouZiDanWeiBuNengZhongFenLeiJinSunYiDeQiTaZongHeShouYiZhongXiangYouDeFenEZiChanFuZhaiBiaoXiangMu" label="权益法下在被投资单位不能重分类进损益的其他综合收益中享有的份额（资产负债表项目）" mulRef="_GBC_3fcad98da74248809a759048ca194814" unitRef="_GBC_3909f37aa0cc4eda82ff1503a6abe503" addr="T0R4C8S1_1" formatStyle="Comma" appId="_GBC_a53cc67f2be24dfbbe3af1b633d9bd6d">
        <m:complexRule comparator="Eq" title="权益法下在被投资单位不能重分类进损益的其他综合收益中享有的份额（资产负债表项目）" test=" $_GBC_f152c3bb7b274343b55bb403df0f82d7 +  $_GBC_f6815bb984344e17b740f84b3adada74" id="C7c2228e8a811424b8cb6ad8fb712e241"/>
      </m:item>
      <m:placeholder xlName="_PLD_296624bab915467fb3ca81e8914cb225" addr="T0R5C0S1_1"/>
      <m:item xlName="_GBC_f234e99702764881b5340aca40dadada" concept="clcid-pte:QiTaQuanYiGongJuTouZiGongYunJiaZhiBianDongZiChanFuZhaiBiaoXiangMu" label="其他权益工具投资公允价值变动（资产负债表项目）" periodRef="本期期初数" mulRef="_GBC_3fcad98da74248809a759048ca194814" unitRef="_GBC_3909f37aa0cc4eda82ff1503a6abe503" addr="T0R5C1S1_1" formatStyle="Comma" appId="_GBC_a53cc67f2be24dfbbe3af1b633d9bd6d"/>
      <m:item xlName="_GBC_bc8c359c30ea4e609d8dd5ddaeca7b6c" concept="clcid-pte:QiTaQuanYiGongJuTouZiGongYunJiaZhiBianDongBenQiSuoDeShuiQianFaShengE" label="其他权益工具投资公允价值变动本期所得税前发生额" mulRef="_GBC_3fcad98da74248809a759048ca194814" unitRef="_GBC_3909f37aa0cc4eda82ff1503a6abe503" addr="T0R5C2S1_1" formatStyle="Comma" appId="_GBC_a53cc67f2be24dfbbe3af1b633d9bd6d"/>
      <m:item xlName="_GBC_3a8585430b9f42cc990c873b98124f6c" concept="clcid-pte:QiTaQuanYiGongJuTouZiGongYunJiaZhiBianDongQianQiJiRuQiTaZongHeShouYiDangQiZhuanRuSunYi" label="其他权益工具投资公允价值变动-前期计入其他综合收益当期转入损益" mulRef="_GBC_3fcad98da74248809a759048ca194814" unitRef="_GBC_3909f37aa0cc4eda82ff1503a6abe503" addr="T0R5C3S1_1" formatStyle="Comma" appId="_GBC_a53cc67f2be24dfbbe3af1b633d9bd6d"/>
      <m:item xlName="_GBC_ab3052b83c9d405e8f086583a7ba7568" concept="clcid-pte:QiTaQuanYiGongJuTouZiGongYunJiaZhiBianDongQiZhongQianQiJiRuQiTaZongHeShouYiDangQiZhuanRuLiuCunShouYi" label="其他权益工具投资公允价值变动-其中:前期计入其他综合收益当期转入留存收益" mulRef="_GBC_3fcad98da74248809a759048ca194814" unitRef="_GBC_3909f37aa0cc4eda82ff1503a6abe503" addr="T0R5C4S1_1" formatStyle="Comma" appId="_GBC_a53cc67f2be24dfbbe3af1b633d9bd6d"/>
      <m:item xlName="_GBC_27f82dc9414b43acb4303ee32e24ba5a" concept="clcid-pte:QiTaQuanYiGongJuTouZiGongYunJiaZhiBianDongDeSuoDeShuiFeiYong" label="其他权益工具投资公允价值变动的所得税费用" mulRef="_GBC_3fcad98da74248809a759048ca194814" unitRef="_GBC_3909f37aa0cc4eda82ff1503a6abe503" addr="T0R5C5S1_1" formatStyle="Comma" appId="_GBC_a53cc67f2be24dfbbe3af1b633d9bd6d"/>
      <m:item xlName="_GBC_ebefb0a7d7ee4fa5bce2848d6b7a7351" concept="clcid-pte:QiTaQuanYiGongJuTouZiGongYunJiaZhiBianDongShuiHouGuiShuYuMuGongSi" label="其他权益工具投资公允价值变动税后归属于母公司" mulRef="_GBC_3fcad98da74248809a759048ca194814" unitRef="_GBC_3909f37aa0cc4eda82ff1503a6abe503" addr="T0R5C6S1_1" formatStyle="Comma" appId="_GBC_a53cc67f2be24dfbbe3af1b633d9bd6d"/>
      <m:item xlName="_GBC_0095efaedfcd43d99bd73655937f80ea" concept="clcid-pte:QiTaQuanYiGongJuTouZiGongYunJiaZhiBianDongShuiHouGuiShuYuShaoShuGuDong" label="其他权益工具投资公允价值变动税后归属于少数股东" mulRef="_GBC_3fcad98da74248809a759048ca194814" unitRef="_GBC_3909f37aa0cc4eda82ff1503a6abe503" addr="T0R5C7S1_1" formatStyle="Comma" appId="_GBC_a53cc67f2be24dfbbe3af1b633d9bd6d"/>
      <m:item xlName="_GBC_36a68c46ab4f49e8be8b7020827c8368" concept="clcid-pte:QiTaQuanYiGongJuTouZiGongYunJiaZhiBianDongZiChanFuZhaiBiaoXiangMu" label="其他权益工具投资公允价值变动（资产负债表项目）" mulRef="_GBC_3fcad98da74248809a759048ca194814" unitRef="_GBC_3909f37aa0cc4eda82ff1503a6abe503" addr="T0R5C8S1_1" formatStyle="Comma" appId="_GBC_a53cc67f2be24dfbbe3af1b633d9bd6d">
        <m:complexRule comparator="Eq" title="其他权益工具投资公允价值变动（资产负债表项目）" test=" $_GBC_f234e99702764881b5340aca40dadada +  $_GBC_ebefb0a7d7ee4fa5bce2848d6b7a7351" id="C08c7268b476f4897a6062233ef47e641"/>
      </m:item>
      <m:placeholder xlName="_PLD_1ab24655d3604e7a8b8f0a20c2590d22" addr="T0R6C0S1_1"/>
      <m:item xlName="_GBC_eb2075665e624bbc90a86cee64b16594" concept="clcid-pte:QiYeZiShenXinYongFengXianGongYunJiaZhiBianDongZiChanFuZhaiBiaoXiangMu" label="企业自身信用风险公允价值变动（资产负债表项目）" periodRef="本期期初数" mulRef="_GBC_3fcad98da74248809a759048ca194814" unitRef="_GBC_3909f37aa0cc4eda82ff1503a6abe503" addr="T0R6C1S1_1" formatStyle="Comma" appId="_GBC_a53cc67f2be24dfbbe3af1b633d9bd6d"/>
      <m:item xlName="_GBC_e4647cdaf7ab44d59f9eb9610387051a" concept="clcid-pte:QiYeZiShenXinYongFengXianGongYunJiaZhiBianDongBenQiSuoDeShuiQianFaShengE" label="企业自身信用风险公允价值变动本期所得税前发生额" mulRef="_GBC_3fcad98da74248809a759048ca194814" unitRef="_GBC_3909f37aa0cc4eda82ff1503a6abe503" addr="T0R6C2S1_1" formatStyle="Comma" appId="_GBC_a53cc67f2be24dfbbe3af1b633d9bd6d"/>
      <m:item xlName="_GBC_144f5097c9474d1c8dd964628b0feb0c" concept="clcid-pte:QiYeZiShenXinYongFengXianGongYunJiaZhiBianDongQianQiJiRuQiTaZongHeShouYiDangQiZhuanRuSunYi" label="企业自身信用风险公允价值变动-前期计入其他综合收益当期转入损益" mulRef="_GBC_3fcad98da74248809a759048ca194814" unitRef="_GBC_3909f37aa0cc4eda82ff1503a6abe503" addr="T0R6C3S1_1" formatStyle="Comma" appId="_GBC_a53cc67f2be24dfbbe3af1b633d9bd6d"/>
      <m:item xlName="_GBC_4c7ae4d4bfeb48d084507b5a2df66624" concept="clcid-pte:QiYeZiShenXinYongFengXianGongYunJiaZhiBianDongQiZhongQianQiJiRuQiTaZongHeShouYiDangQiZhuanRuLiuCunShouYi" label="企业自身信用风险公允价值变动-其中:前期计入其他综合收益当期转入留存收益" mulRef="_GBC_3fcad98da74248809a759048ca194814" unitRef="_GBC_3909f37aa0cc4eda82ff1503a6abe503" addr="T0R6C4S1_1" formatStyle="Comma" appId="_GBC_a53cc67f2be24dfbbe3af1b633d9bd6d"/>
      <m:item xlName="_GBC_6423dafe61d644428e18d775a0915ece" concept="clcid-pte:QiYeZiShenXinYongFengXianGongYunJiaZhiBianDongDeSuoDeShuiFeiYong" label="企业自身信用风险公允价值变动的所得税费用" mulRef="_GBC_3fcad98da74248809a759048ca194814" unitRef="_GBC_3909f37aa0cc4eda82ff1503a6abe503" addr="T0R6C5S1_1" formatStyle="Comma" appId="_GBC_a53cc67f2be24dfbbe3af1b633d9bd6d"/>
      <m:item xlName="_GBC_aa266fa52dca4157a1387a40770382b6" concept="clcid-pte:QiYeZiShenXinYongFengXianGongYunJiaZhiBianDongShuiHouGuiShuYuMuGongSi" label="企业自身信用风险公允价值变动税后归属于母公司" mulRef="_GBC_3fcad98da74248809a759048ca194814" unitRef="_GBC_3909f37aa0cc4eda82ff1503a6abe503" addr="T0R6C6S1_1" formatStyle="Comma" appId="_GBC_a53cc67f2be24dfbbe3af1b633d9bd6d"/>
      <m:item xlName="_GBC_31ce1fd66bbb4ad5a7d118a5259b0602" concept="clcid-pte:QiYeZiShenXinYongFengXianGongYunJiaZhiBianDongShuiHouGuiShuYuShaoShuGuDong" label="企业自身信用风险公允价值变动税后归属于少数股东" mulRef="_GBC_3fcad98da74248809a759048ca194814" unitRef="_GBC_3909f37aa0cc4eda82ff1503a6abe503" addr="T0R6C7S1_1" formatStyle="Comma" appId="_GBC_a53cc67f2be24dfbbe3af1b633d9bd6d"/>
      <m:item xlName="_GBC_2b0900c7717a463f9c11797689aa85f3" concept="clcid-pte:QiYeZiShenXinYongFengXianGongYunJiaZhiBianDongZiChanFuZhaiBiaoXiangMu" label="企业自身信用风险公允价值变动（资产负债表项目）" mulRef="_GBC_3fcad98da74248809a759048ca194814" unitRef="_GBC_3909f37aa0cc4eda82ff1503a6abe503" addr="T0R6C8S1_1" formatStyle="Comma" appId="_GBC_a53cc67f2be24dfbbe3af1b633d9bd6d">
        <m:complexRule comparator="Eq" title="企业自身信用风险公允价值变动（资产负债表项目）" test=" $_GBC_eb2075665e624bbc90a86cee64b16594 +  $_GBC_aa266fa52dca4157a1387a40770382b6" id="Ccbf9d635c9d444aa844ebbe51170438a"/>
      </m:item>
      <m:tuple xlName="_TUP_6bc82a2204c3421d8f43f9411fd8c0fe" concept="clcid-pte:YiHouBuNengZhongFenLeiJinSunYiDeQiTaZongHeShouYiMingXi" default_row="2" addr="T0R7C">
        <m:item xlName="_GBC_da1cc886fb094c65a1d32d788b957136" concept="clcid-pte:YiHouBuNengZhongFenLeiJinSunYiDeQiTaZongHeShouYiMingXiXiangMuMingCheng" label="以后不能重分类进损益的其他综合收益明细-项目名称" addr="T0R7C0S1_1" appId="_GBC_a53cc67f2be24dfbbe3af1b633d9bd6d"/>
        <m:item xlName="_GBC_7e077fb0abd744c699c094b0293b2e5e" concept="clcid-pte:YiHouBuNengZhongFenLeiJinSunYiDeQiTaZongHeShouYiMingXiYuE" label="以后不能重分类进损益的其他综合收益明细-余额" periodRef="本期期初数" mulRef="_GBC_3fcad98da74248809a759048ca194814" unitRef="_GBC_3909f37aa0cc4eda82ff1503a6abe503" addr="T0R7C1S1_1" formatStyle="Comma" appId="_GBC_a53cc67f2be24dfbbe3af1b633d9bd6d"/>
        <m:item xlName="_GBC_5b3f46f8a66d4d09a4ff84eff3cc84ca" concept="clcid-pte:YiHouBuNengZhongFenLeiJinSunYiDeQiTaZongHeShouYiMingXiBenQiSuoDeShuiQianFaShengE" label="以后不能重分类进损益的其他综合收益明细-本期所得税前发生额" mulRef="_GBC_3fcad98da74248809a759048ca194814" unitRef="_GBC_3909f37aa0cc4eda82ff1503a6abe503" addr="T0R7C2S1_1" formatStyle="Comma" appId="_GBC_a53cc67f2be24dfbbe3af1b633d9bd6d"/>
        <m:item xlName="_GBC_841260e2392e463fa72d7d89effb8633" concept="clcid-pte:YiHouBuNengZhongFenLeiJinSunYiDeQiTaZongHeShouYiMingXiQiZhongQianQiJiRuQiTaZongHeShouYiDangQiZhuanRuSunYi" label="以后不能重分类进损益的其他综合收益明细-其中：前期计入其他综合收益当期转入损益" mulRef="_GBC_3fcad98da74248809a759048ca194814" unitRef="_GBC_3909f37aa0cc4eda82ff1503a6abe503" addr="T0R7C3S1_1" formatStyle="Comma" appId="_GBC_a53cc67f2be24dfbbe3af1b633d9bd6d"/>
        <m:item xlName="_GBC_d70a1caacc5346e6a177fe9fd8f01b68" concept="clcid-pte:YiHouBuNengZhongFenLeiJinSunYiDeQiTaZongHeShouYiMingXiQiZhongQianQiJiRuQiTaZongHeShouYiDangQiZhuanRuLiuCunShouYi" label="以后不能重分类进损益的其他综合收益明细-其中:前期计入其他综合收益当期转入留存收益" mulRef="_GBC_3fcad98da74248809a759048ca194814" unitRef="_GBC_3909f37aa0cc4eda82ff1503a6abe503" addr="T0R7C4S1_1" formatStyle="Comma" appId="_GBC_a53cc67f2be24dfbbe3af1b633d9bd6d"/>
        <m:item xlName="_GBC_e213e65a5fdb48849d396feef1a4cda3" concept="clcid-pte:YiHouBuNengZhongFenLeiJinSunYiDeQiTaZongHeShouYiMingXiSuoDeShui" label="以后不能重分类进损益的其他综合收益明细-所得税" mulRef="_GBC_3fcad98da74248809a759048ca194814" unitRef="_GBC_3909f37aa0cc4eda82ff1503a6abe503" addr="T0R7C5S1_1" formatStyle="Comma" appId="_GBC_a53cc67f2be24dfbbe3af1b633d9bd6d"/>
        <m:item xlName="_GBC_8689bdb7e04047c69877839b78d5710b" concept="clcid-pte:YiHouBuNengZhongFenLeiJinSunYiDeQiTaZongHeShouYiMingXiShuiHouGuiShuYuMuGongSi" label="以后不能重分类进损益的其他综合收益明细-税后归属于母公司" mulRef="_GBC_3fcad98da74248809a759048ca194814" unitRef="_GBC_3909f37aa0cc4eda82ff1503a6abe503" addr="T0R7C6S1_1" formatStyle="Comma" appId="_GBC_a53cc67f2be24dfbbe3af1b633d9bd6d"/>
        <m:item xlName="_GBC_b2a5102c04e64c4c852419b2193e495d" concept="clcid-pte:YiHouBuNengZhongFenLeiJinSunYiDeQiTaZongHeShouYiMingXiShuiHouGuiShuYuShaoShuGuDong" label="以后不能重分类进损益的其他综合收益明细-税后归属于少数股东" mulRef="_GBC_3fcad98da74248809a759048ca194814" unitRef="_GBC_3909f37aa0cc4eda82ff1503a6abe503" addr="T0R7C7S1_1" formatStyle="Comma" appId="_GBC_a53cc67f2be24dfbbe3af1b633d9bd6d"/>
        <m:item xlName="_GBC_f2df212f607b427da6ad0c5cc4c8d5b7" concept="clcid-pte:YiHouBuNengZhongFenLeiJinSunYiDeQiTaZongHeShouYiMingXiYuE" label="以后不能重分类进损益的其他综合收益明细-余额" mulRef="_GBC_3fcad98da74248809a759048ca194814" unitRef="_GBC_3909f37aa0cc4eda82ff1503a6abe503" addr="T0R7C8S1_1" formatStyle="Comma" appId="_GBC_a53cc67f2be24dfbbe3af1b633d9bd6d">
          <m:complexRule comparator="Eq" title="以后不能重分类进损益的其他综合收益明细-余额" test=" $_GBC_7e077fb0abd744c699c094b0293b2e5e +  $_GBC_8689bdb7e04047c69877839b78d5710b" id="C8cfdb7c8842c4780b397a865a5cf6a5f"/>
        </m:item>
      </m:tuple>
      <m:placeholder xlName="_PLD_4316f8eb3def474d974d5bd228f05848" addr="T0R9C0S1_1"/>
      <m:item xlName="_GBC_5c655a0ef59a4277bc39216e66537c6f" concept="clcid-pte:YiHouJiangZhongFenLeiJinSunYiDeQiTaZongHeShouYiZiChanFuZhaiBiaoXiangMu" label="以后将重分类进损益的其他综合收益（资产负债表项目）" periodRef="本期期初数" mulRef="_GBC_3fcad98da74248809a759048ca194814" unitRef="_GBC_3909f37aa0cc4eda82ff1503a6abe503" addr="T0R9C1S1_1" formatStyle="Comma" appId="_GBC_a53cc67f2be24dfbbe3af1b633d9bd6d">
        <m:complexRule comparator="Eq" title="以后将重分类进损益的其他综合收益（资产负债表项目）@本期期初数" test="$_GBC_db8101e98e2d49059591ee4b92535cbc+$_GBC_090f6e896a3749878fca75087d1741de+$_GBC_09e29a576b2b486b8b34f42d23fb754b+$_GBC_de9c32ac6e4e40efa3baa3fcb04b4f23+$_GBC_ad9b12b21e7744aeafe55aeb98771e63+$_GBC_cabcd9aaec98438eb609e9351a6f637b+$_GBC_1a9e128756874dc5b313ddadb5b50dcb" id="Ce989895197f24d318ab3b01d0383a6be"/>
      </m:item>
      <m:item xlName="_GBC_9097040f02864f6fb3f004c78756dabe" concept="clcid-pte:YiHouJiangZhongFenLeiJinSunYiDeQiTaZongHeShouYiBenQiSuoDeShuiQianFaShengE" label="以后将重分类进损益的其他综合收益本期所得税前发生额" mulRef="_GBC_3fcad98da74248809a759048ca194814" unitRef="_GBC_3909f37aa0cc4eda82ff1503a6abe503" addr="T0R9C2S1_1" formatStyle="Comma" appId="_GBC_a53cc67f2be24dfbbe3af1b633d9bd6d">
        <m:complexRule comparator="Eq" title="以后将重分类进损益的其他综合收益本期所得税前发生额" test="$_GBC_8fabb079f50544c29cfea7d6758a66d4+$_GBC_a00ac4405b894ad38902889601d7d9be+$_GBC_bf5976a574ac41628bc8fc95ae258e37+$_GBC_3fb7d9acbd644f6ea0572e1736b9d5c9+$_GBC_9a20d639edad4ccc91a502f3baf10297+$_GBC_7b43c19fb1154331a38b2f5c048adcd2+$_GBC_1484b6cf8dac449388991f698cb5a6a2" id="Cdd47c655b2e04d27bf85eaf37bd7a2fd"/>
      </m:item>
      <m:item xlName="_GBC_6ffea5e1ac8d41d09fe19a41b4348992" concept="clcid-pte:YiHouJiangZhongFenLeiJinSunYiDeQiTaZongHeShouYiQiZhongQianQiJiRuQiTaZongHeShouYiDangQiZhuanRuSunYi" label="以后将重分类进损益的其他综合收益-其中：前期计入其他综合收益当期转入损益" mulRef="_GBC_3fcad98da74248809a759048ca194814" unitRef="_GBC_3909f37aa0cc4eda82ff1503a6abe503" addr="T0R9C3S1_1" formatStyle="Comma" appId="_GBC_a53cc67f2be24dfbbe3af1b633d9bd6d">
        <m:complexRule comparator="Eq" title="以后将重分类进损益的其他综合收益-其中：前期计入其他综合收益当期转入损益" test="$_GBC_74fb1918f1584f308f86397f49bb0124+$_GBC_6d5ea5dd8058484eae725a73bb202454+$_GBC_ff1ae3ee7548468e979a035df04a1d12+$_GBC_6c3ce8997a254a03bed5c1c96ba56671+$_GBC_4a339c08642d4828bb8c04959184270f+$_GBC_4499f4dfa28b452ca87509f7079df472+$_GBC_91d1d8f666694a7483107186efbd3806" id="Cb8dd37dc8b1c4d9ebe3c7689778ed006"/>
      </m:item>
      <m:item xlName="_GBC_3c586710a7554d53a726a15a0984f7cf" concept="clcid-pte:YiHouJiangZhongFenLeiJinSunYiDeQiTaZongHeShouYiQiZhongQianQiJiRuQiTaZongHeShouYiDangQiZhuanRuLiuCunShouYi" label="以后将重分类进损益的其他综合收益-其中:前期计入其他综合收益当期转入留存收益" mulRef="_GBC_3fcad98da74248809a759048ca194814" unitRef="_GBC_3909f37aa0cc4eda82ff1503a6abe503" addr="T0R9C4S1_1" formatStyle="Comma" appId="_GBC_a53cc67f2be24dfbbe3af1b633d9bd6d">
        <m:complexRule comparator="Eq" title="以后将重分类进损益的其他综合收益-其中:前期计入其他综合收益当期转入留存收益" test=" $_GBC_b2b77fdb3eab4922896136e2d44ef59c +  $_GBC_722b721db36d40af85edb392af5bb38c +  $_GBC_8d9d8e06b924436e986bc2d97835f504 +  $_GBC_586df99427c4461ca5c287b38a9ecaac +  $_GBC_cc4404b69dc54598ba9df95b821f236e +  $_GBC_0061c3f63e54481a9ad137cdcd15377e +  $_GBC_5a68f69710484c7e9eb70e52a27757c0" id="C883b65cd4bb6444d89d535025e3dce14"/>
      </m:item>
      <m:item xlName="_GBC_3731b93bf1b7418a93ab305f92a85636" concept="clcid-pte:YiHouJiangZhongFenLeiJinSunYiDeQiTaZongHeShouYiDeSuoDeShui" label="以后将重分类进损益的其他综合收益的所得税" mulRef="_GBC_3fcad98da74248809a759048ca194814" unitRef="_GBC_3909f37aa0cc4eda82ff1503a6abe503" addr="T0R9C5S1_1" formatStyle="Comma" appId="_GBC_a53cc67f2be24dfbbe3af1b633d9bd6d">
        <m:complexRule comparator="Eq" title="以后将重分类进损益的其他综合收益的所得税" test="$_GBC_5ff26103ef5747739c7067e0d4a56e04+$_GBC_68532ea7757840ba9bf2995d5e419651+$_GBC_a998b9658572479e9387d31e162a0bbc+$_GBC_a11e89753dd747c987cf302845d64098+$_GBC_b5a29c19c5864bd9b242c1f204dda93f+$_GBC_5f56660cb1314f6e8317a179dc5fb191+$_GBC_2a4a3074c64849bb9117812035da8092" id="C1c81f37efbb2423f9cbbbaa5b8ca6737"/>
      </m:item>
      <m:item xlName="_GBC_89a43a67e3e544edbf44809c00131299" concept="clcid-pte:YiHouJiangZhongFenLeiJinSunYiDeQiTaZongHeShouYiDeShuiHouGuiShuYuMuGongSi" label="以后将重分类进损益的其他综合收益的税后归属于母公司" mulRef="_GBC_3fcad98da74248809a759048ca194814" unitRef="_GBC_3909f37aa0cc4eda82ff1503a6abe503" addr="T0R9C6S1_1" formatStyle="Comma" appId="_GBC_a53cc67f2be24dfbbe3af1b633d9bd6d">
        <m:complexRule comparator="Eq" title="以后将重分类进损益的其他综合收益的税后归属于母公司" test="$_GBC_d8df9c5017144eddb039da2a8a5e7b3b+$_GBC_9b0f31c8231d4c9298933c6b471f83c9+$_GBC_024cc46f334049e29216b5106db3ad9c+$_GBC_696aeb2f79e344ef9d6306fbd9075f97+$_GBC_4169538128be4200b8b00e72913b926b+$_GBC_a73c921cf3964e01baf7abe54a28e477+$_GBC_05c76e8df2724676b0fa728fa577101b" id="Ce5a414b24cea4a57a9496cbcc8754d37"/>
      </m:item>
      <m:item xlName="_GBC_dac05e318b5942de888da7ef528c2b23" concept="clcid-pte:YiHouJiangZhongFenLeiJinSunYiDeQiTaZongHeShouYiDeShuiHouGuiShuYuShaoShuGuDong" label="以后将重分类进损益的其他综合收益的税后归属于少数股东" mulRef="_GBC_3fcad98da74248809a759048ca194814" unitRef="_GBC_3909f37aa0cc4eda82ff1503a6abe503" addr="T0R9C7S1_1" formatStyle="Comma" appId="_GBC_a53cc67f2be24dfbbe3af1b633d9bd6d">
        <m:complexRule comparator="Eq" title="以后将重分类进损益的其他综合收益的税后归属于少数股东" test="$_GBC_0d307fb56be749a3802a7e62632d5c8e+$_GBC_76735100e3564a51bb188b0eb85ab05a+$_GBC_1707a4afbdec4fa58b5ecea12bc3bbc2+$_GBC_110f44ed64794ac58517bf975cf9a902+$_GBC_4ba9bded9c2646c48b2493487345d772+$_GBC_4138f4c466bb4a1aa6d60f7ea4c63f29+$_GBC_a93e7983394c4092b83b7b9f8631e2db" id="C26535e91c75145ee8b49e6cd30cdbcac"/>
      </m:item>
      <m:item xlName="_GBC_e110b3abe19241479fa28dadc62117e9" concept="clcid-pte:YiHouJiangZhongFenLeiJinSunYiDeQiTaZongHeShouYiZiChanFuZhaiBiaoXiangMu" label="以后将重分类进损益的其他综合收益（资产负债表项目）" mulRef="_GBC_3fcad98da74248809a759048ca194814" unitRef="_GBC_3909f37aa0cc4eda82ff1503a6abe503" addr="T0R9C8S1_1" formatStyle="Comma" appId="_GBC_a53cc67f2be24dfbbe3af1b633d9bd6d">
        <m:complexRule comparator="Eq" title="以后将重分类进损益的其他综合收益（资产负债表项目）" test=" $_GBC_5c655a0ef59a4277bc39216e66537c6f +  $_GBC_89a43a67e3e544edbf44809c00131299" id="C38cb0141ed874308bb9c0514a75906c4"/>
        <m:complexRule comparator="Eq" title="以后将重分类进损益的其他综合收益（资产负债表项目）" test="$_GBC_628551bdbca54da287738a803cbd14d4+$_GBC_cecb8cd4932445feb6381261422faf52+$_GBC_3825d6c77eb6484096e08e8a76e545ba+$_GBC_a42ed4a509e841c5af32484504db41b2+$_GBC_792b58da631141b49509130781b1fcd0+$_GBC_24be8d3f771640d793b63cf06c2a9700+$_GBC_6c32ed14aefb45b4a96f139d91c996f6" id="Cdb4ac9565b7a4e63951d59b9317efdc0"/>
      </m:item>
      <m:placeholder xlName="_PLD_c943cf2f4cb34d3c9fb95405c1a3062c" addr="T0R10C0S1_1"/>
      <m:item xlName="_GBC_db8101e98e2d49059591ee4b92535cb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3fcad98da74248809a759048ca194814" unitRef="_GBC_3909f37aa0cc4eda82ff1503a6abe503" addr="T0R10C1S1_1" formatStyle="Comma" appId="_GBC_a53cc67f2be24dfbbe3af1b633d9bd6d"/>
      <m:item xlName="_GBC_8fabb079f50544c29cfea7d6758a66d4" concept="clcid-pte:QuanYiFaXiaZaiBeiTouZiDanWeiYiHouJiangZhongFenLeiJinSunYiDeQiTaZongHeShouYiZhongXiangYouDeFenEBenQiSuoDeShuiQianFaShengE" label="权益法下在被投资单位以后将重分类进损益的其他综合收益中享有的份额本期所得税前发生额" mulRef="_GBC_3fcad98da74248809a759048ca194814" unitRef="_GBC_3909f37aa0cc4eda82ff1503a6abe503" addr="T0R10C2S1_1" formatStyle="Comma" appId="_GBC_a53cc67f2be24dfbbe3af1b633d9bd6d"/>
      <m:item xlName="_GBC_74fb1918f1584f308f86397f49bb0124"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3fcad98da74248809a759048ca194814" unitRef="_GBC_3909f37aa0cc4eda82ff1503a6abe503" addr="T0R10C3S1_1" formatStyle="Comma" appId="_GBC_a53cc67f2be24dfbbe3af1b633d9bd6d"/>
      <m:item xlName="_GBC_b2b77fdb3eab4922896136e2d44ef59c" concept="clcid-pte:QuanYiFaXiaKeZhuanSunYiDeQiTaZongHeShouYiQiZhongQianQiJiRuQiTaZongHeShouYiDangQiZhuanRuLiuCunShouYi" label="权益法下可转损益的其他综合收益-其中:前期计入其他综合收益当期转入留存收益" mulRef="_GBC_3fcad98da74248809a759048ca194814" unitRef="_GBC_3909f37aa0cc4eda82ff1503a6abe503" addr="T0R10C4S1_1" formatStyle="Comma" appId="_GBC_a53cc67f2be24dfbbe3af1b633d9bd6d"/>
      <m:item xlName="_GBC_5ff26103ef5747739c7067e0d4a56e04" concept="clcid-pte:QuanYiFaXiaZaiBeiTouZiDanWeiYiHouJiangZhongFenLeiJinSunYiDeQiTaZongHeShouYiZhongXiangYouDeFenEDeSuoDeShui" label="权益法下在被投资单位以后将重分类进损益的其他综合收益中享有的份额的所得税" mulRef="_GBC_3fcad98da74248809a759048ca194814" unitRef="_GBC_3909f37aa0cc4eda82ff1503a6abe503" addr="T0R10C5S1_1" formatStyle="Comma" appId="_GBC_a53cc67f2be24dfbbe3af1b633d9bd6d"/>
      <m:item xlName="_GBC_d8df9c5017144eddb039da2a8a5e7b3b" concept="clcid-pte:QuanYiFaXiaZaiBeiTouZiDanWeiYiHouJiangZhongFenLeiJinSunYiDeQiTaZongHeShouYiZhongXiangYouDeFenEDeShuiHouGuiShuYuMuGongSi" label="权益法下在被投资单位以后将重分类进损益的其他综合收益中享有的份额的税后归属于母公司" mulRef="_GBC_3fcad98da74248809a759048ca194814" unitRef="_GBC_3909f37aa0cc4eda82ff1503a6abe503" addr="T0R10C6S1_1" formatStyle="Comma" appId="_GBC_a53cc67f2be24dfbbe3af1b633d9bd6d"/>
      <m:item xlName="_GBC_0d307fb56be749a3802a7e62632d5c8e"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3fcad98da74248809a759048ca194814" unitRef="_GBC_3909f37aa0cc4eda82ff1503a6abe503" addr="T0R10C7S1_1" formatStyle="Comma" appId="_GBC_a53cc67f2be24dfbbe3af1b633d9bd6d"/>
      <m:item xlName="_GBC_628551bdbca54da287738a803cbd14d4" concept="clcid-pte:QuanYiFaXiaZaiBeiTouZiDanWeiYiHouJiangZhongFenLeiJinSunYiDeQiTaZongHeShouYiZhongXiangYouDeFenEZiChanFuZhaiBiaoXiangMu" label="权益法下在被投资单位以后将重分类进损益的其他综合收益中享有的份额（资产负债表项目）" mulRef="_GBC_3fcad98da74248809a759048ca194814" unitRef="_GBC_3909f37aa0cc4eda82ff1503a6abe503" addr="T0R10C8S1_1" formatStyle="Comma" appId="_GBC_a53cc67f2be24dfbbe3af1b633d9bd6d">
        <m:complexRule comparator="Eq" title="权益法下在被投资单位以后将重分类进损益的其他综合收益中享有的份额（资产负债表项目）" test=" $_GBC_db8101e98e2d49059591ee4b92535cbc +  $_GBC_d8df9c5017144eddb039da2a8a5e7b3b" id="C84e911ccd3404b0c8a992b27dbe8ebe0"/>
      </m:item>
      <m:placeholder xlName="_PLD_05c7e2483e664174af98c56352aea31b" addr="T0R11C0S1_1"/>
      <m:item xlName="_GBC_090f6e896a3749878fca75087d1741de" concept="clcid-pte:QiTaZhaiQuanTouZiGongYunJiaZhiBianDongZiChanFuZhaiBiaoXiangMu" label="其他债权投资公允价值变动（资产负债表项目）" periodRef="本期期初数" mulRef="_GBC_3fcad98da74248809a759048ca194814" unitRef="_GBC_3909f37aa0cc4eda82ff1503a6abe503" addr="T0R11C1S1_1" formatStyle="Comma" appId="_GBC_a53cc67f2be24dfbbe3af1b633d9bd6d"/>
      <m:item xlName="_GBC_a00ac4405b894ad38902889601d7d9be" concept="clcid-pte:QiTaZhaiQuanTouZiGongYunJiaZhiBianDongBenQiSuoDeShuiQianFaShengE" label="其他债权投资公允价值变动本期所得税前发生额" mulRef="_GBC_3fcad98da74248809a759048ca194814" unitRef="_GBC_3909f37aa0cc4eda82ff1503a6abe503" addr="T0R11C2S1_1" formatStyle="Comma" appId="_GBC_a53cc67f2be24dfbbe3af1b633d9bd6d"/>
      <m:item xlName="_GBC_6d5ea5dd8058484eae725a73bb202454" concept="clcid-pte:QiTaZhaiQuanTouZiGongYunJiaZhiBianDongQianQiJiRuQiTaZongHeShouYiDangQiZhuanRuSunYi" label="其他债权投资公允价值变动-前期计入其他综合收益当期转入损益" mulRef="_GBC_3fcad98da74248809a759048ca194814" unitRef="_GBC_3909f37aa0cc4eda82ff1503a6abe503" addr="T0R11C3S1_1" formatStyle="Comma" appId="_GBC_a53cc67f2be24dfbbe3af1b633d9bd6d"/>
      <m:item xlName="_GBC_722b721db36d40af85edb392af5bb38c" concept="clcid-pte:QiTaZhaiQuanTouZiGongYunJiaZhiBianDongQiZhongQianQiJiRuQiTaZongHeShouYiDangQiZhuanRuLiuCunShouYi" label="其他债权投资公允价值变动-其中:前期计入其他综合收益当期转入留存收益" mulRef="_GBC_3fcad98da74248809a759048ca194814" unitRef="_GBC_3909f37aa0cc4eda82ff1503a6abe503" addr="T0R11C4S1_1" formatStyle="Comma" appId="_GBC_a53cc67f2be24dfbbe3af1b633d9bd6d"/>
      <m:item xlName="_GBC_68532ea7757840ba9bf2995d5e419651" concept="clcid-pte:QiTaZhaiQuanTouZiGongYunJiaZhiBianDongDeSuoDeShuiFeiYong" label="其他债权投资公允价值变动的所得税费用" mulRef="_GBC_3fcad98da74248809a759048ca194814" unitRef="_GBC_3909f37aa0cc4eda82ff1503a6abe503" addr="T0R11C5S1_1" formatStyle="Comma" appId="_GBC_a53cc67f2be24dfbbe3af1b633d9bd6d"/>
      <m:item xlName="_GBC_9b0f31c8231d4c9298933c6b471f83c9" concept="clcid-pte:QiTaZhaiQuanTouZiGongYunJiaZhiBianDongShuiHouGuiShuYuMuGongSi" label="其他债权投资公允价值变动税后归属于母公司" mulRef="_GBC_3fcad98da74248809a759048ca194814" unitRef="_GBC_3909f37aa0cc4eda82ff1503a6abe503" addr="T0R11C6S1_1" formatStyle="Comma" appId="_GBC_a53cc67f2be24dfbbe3af1b633d9bd6d"/>
      <m:item xlName="_GBC_76735100e3564a51bb188b0eb85ab05a" concept="clcid-pte:QiTaZhaiQuanTouZiGongYunJiaZhiBianDongShuiHouGuiShuYuShaoShuGuDong" label="其他债权投资公允价值变动税后归属于少数股东" mulRef="_GBC_3fcad98da74248809a759048ca194814" unitRef="_GBC_3909f37aa0cc4eda82ff1503a6abe503" addr="T0R11C7S1_1" formatStyle="Comma" appId="_GBC_a53cc67f2be24dfbbe3af1b633d9bd6d"/>
      <m:item xlName="_GBC_cecb8cd4932445feb6381261422faf52" concept="clcid-pte:QiTaZhaiQuanTouZiGongYunJiaZhiBianDongZiChanFuZhaiBiaoXiangMu" label="其他债权投资公允价值变动（资产负债表项目）" mulRef="_GBC_3fcad98da74248809a759048ca194814" unitRef="_GBC_3909f37aa0cc4eda82ff1503a6abe503" addr="T0R11C8S1_1" formatStyle="Comma" appId="_GBC_a53cc67f2be24dfbbe3af1b633d9bd6d">
        <m:complexRule comparator="Eq" title="其他债权投资公允价值变动（资产负债表项目）" test=" $_GBC_090f6e896a3749878fca75087d1741de +  $_GBC_9b0f31c8231d4c9298933c6b471f83c9" id="C2c4ad7c987564696a0eb38aab2a0f4a9"/>
      </m:item>
      <m:placeholder xlName="_PLD_67d6f101a03d467d995419510214a616" addr="T0R12C0S1_1"/>
      <m:item xlName="_GBC_09e29a576b2b486b8b34f42d23fb754b" concept="clcid-pte:JinRongZiChanZhongFenLeiJiRuQiTaZongHeShouYiDeJinEZiChanFuZhaiBiaoXiangMu" label="金融资产重分类计入其他综合收益的金额（资产负债表项目）" periodRef="本期期初数" mulRef="_GBC_3fcad98da74248809a759048ca194814" unitRef="_GBC_3909f37aa0cc4eda82ff1503a6abe503" addr="T0R12C1S1_1" formatStyle="Comma" appId="_GBC_a53cc67f2be24dfbbe3af1b633d9bd6d"/>
      <m:item xlName="_GBC_bf5976a574ac41628bc8fc95ae258e37" concept="clcid-pte:JinRongZiChanZhongFenLeiJiRuQiTaZongHeShouYiDeJinEBenQiSuoDeShuiQianFaShengE" label="金融资产重分类计入其他综合收益的金额本期所得税前发生额" mulRef="_GBC_3fcad98da74248809a759048ca194814" unitRef="_GBC_3909f37aa0cc4eda82ff1503a6abe503" addr="T0R12C2S1_1" formatStyle="Comma" appId="_GBC_a53cc67f2be24dfbbe3af1b633d9bd6d"/>
      <m:item xlName="_GBC_ff1ae3ee7548468e979a035df04a1d12" concept="clcid-pte:JinRongZiChanZhongFenLeiJiRuQiTaZongHeShouYiDeJinEQianQiJiRuQiTaZongHeShouYiDangQiZhuanRuSunYi" label="金融资产重分类计入其他综合收益的金额-前期计入其他综合收益当期转入损益" mulRef="_GBC_3fcad98da74248809a759048ca194814" unitRef="_GBC_3909f37aa0cc4eda82ff1503a6abe503" addr="T0R12C3S1_1" formatStyle="Comma" appId="_GBC_a53cc67f2be24dfbbe3af1b633d9bd6d"/>
      <m:item xlName="_GBC_8d9d8e06b924436e986bc2d97835f504" concept="clcid-pte:JinRongZiChanZhongFenLeiJiRuQiTaZongHeShouYiDeJinEQiZhongQianQiJiRuQiTaZongHeShouYiDangQiZhuanRuLiuCunShouYi" label="金融资产重分类计入其他综合收益的金额-其中:前期计入其他综合收益当期转入留存收益" mulRef="_GBC_3fcad98da74248809a759048ca194814" unitRef="_GBC_3909f37aa0cc4eda82ff1503a6abe503" addr="T0R12C4S1_1" formatStyle="Comma" appId="_GBC_a53cc67f2be24dfbbe3af1b633d9bd6d"/>
      <m:item xlName="_GBC_a998b9658572479e9387d31e162a0bbc" concept="clcid-pte:JinRongZiChanZhongFenLeiJiRuQiTaZongHeShouYiDeJinEDeSuoDeShuiFeiYong" label="金融资产重分类计入其他综合收益的金额的所得税费用" mulRef="_GBC_3fcad98da74248809a759048ca194814" unitRef="_GBC_3909f37aa0cc4eda82ff1503a6abe503" addr="T0R12C5S1_1" formatStyle="Comma" appId="_GBC_a53cc67f2be24dfbbe3af1b633d9bd6d"/>
      <m:item xlName="_GBC_024cc46f334049e29216b5106db3ad9c" concept="clcid-pte:JinRongZiChanZhongFenLeiJiRuQiTaZongHeShouYiDeJinEShuiHouGuiShuYuMuGongSi" label="金融资产重分类计入其他综合收益的金额税后归属于母公司" mulRef="_GBC_3fcad98da74248809a759048ca194814" unitRef="_GBC_3909f37aa0cc4eda82ff1503a6abe503" addr="T0R12C6S1_1" formatStyle="Comma" appId="_GBC_a53cc67f2be24dfbbe3af1b633d9bd6d"/>
      <m:item xlName="_GBC_1707a4afbdec4fa58b5ecea12bc3bbc2" concept="clcid-pte:JinRongZiChanZhongFenLeiJiRuQiTaZongHeShouYiDeJinEShuiHouGuiShuYuShaoShuGuDong" label="金融资产重分类计入其他综合收益的金额税后归属于少数股东" mulRef="_GBC_3fcad98da74248809a759048ca194814" unitRef="_GBC_3909f37aa0cc4eda82ff1503a6abe503" addr="T0R12C7S1_1" formatStyle="Comma" appId="_GBC_a53cc67f2be24dfbbe3af1b633d9bd6d"/>
      <m:item xlName="_GBC_3825d6c77eb6484096e08e8a76e545ba" concept="clcid-pte:JinRongZiChanZhongFenLeiJiRuQiTaZongHeShouYiDeJinEZiChanFuZhaiBiaoXiangMu" label="金融资产重分类计入其他综合收益的金额（资产负债表项目）" mulRef="_GBC_3fcad98da74248809a759048ca194814" unitRef="_GBC_3909f37aa0cc4eda82ff1503a6abe503" addr="T0R12C8S1_1" formatStyle="Comma" appId="_GBC_a53cc67f2be24dfbbe3af1b633d9bd6d">
        <m:complexRule comparator="Eq" title="金融资产重分类计入其他综合收益的金额（资产负债表项目）" test=" $_GBC_09e29a576b2b486b8b34f42d23fb754b +  $_GBC_024cc46f334049e29216b5106db3ad9c" id="C3f56f2339b6b46c7b6357873e5911029"/>
      </m:item>
      <m:placeholder xlName="_PLD_b7f5af5728364a0f8a18e5ed26751100" addr="T0R13C0S1_1"/>
      <m:item xlName="_GBC_de9c32ac6e4e40efa3baa3fcb04b4f23" concept="clcid-pte:QiTaZhaiQuanTouZiXinYongJianZhiZhunBeiZiChanFuZhaiBiaoXiangMu" label="其他债权投资信用减值准备（资产负债表项目）" periodRef="本期期初数" mulRef="_GBC_3fcad98da74248809a759048ca194814" unitRef="_GBC_3909f37aa0cc4eda82ff1503a6abe503" addr="T0R13C1S1_1" formatStyle="Comma" appId="_GBC_a53cc67f2be24dfbbe3af1b633d9bd6d"/>
      <m:item xlName="_GBC_3fb7d9acbd644f6ea0572e1736b9d5c9" concept="clcid-pte:QiTaZhaiQuanTouZiXinYongJianZhiZhunBeiBenQiSuoDeShuiQianFaShengE" label="其他债权投资信用减值准备本期所得税前发生额" mulRef="_GBC_3fcad98da74248809a759048ca194814" unitRef="_GBC_3909f37aa0cc4eda82ff1503a6abe503" addr="T0R13C2S1_1" formatStyle="Comma" appId="_GBC_a53cc67f2be24dfbbe3af1b633d9bd6d"/>
      <m:item xlName="_GBC_6c3ce8997a254a03bed5c1c96ba56671" concept="clcid-pte:QiTaZhaiQuanTouZiXinYongJianZhiZhunBeiQianQiJiRuQiTaZongHeShouYiDangQiZhuanRuSunYi" label="其他债权投资信用减值准备-前期计入其他综合收益当期转入损益" mulRef="_GBC_3fcad98da74248809a759048ca194814" unitRef="_GBC_3909f37aa0cc4eda82ff1503a6abe503" addr="T0R13C3S1_1" formatStyle="Comma" appId="_GBC_a53cc67f2be24dfbbe3af1b633d9bd6d"/>
      <m:item xlName="_GBC_586df99427c4461ca5c287b38a9ecaac" concept="clcid-pte:QiTaZhaiQuanTouZiXinYongJianZhiZhunBeiQiZhongQianQiJiRuQiTaZongHeShouYiDangQiZhuanRuLiuCunShouYi" label="其他债权投资信用减值准备-其中:前期计入其他综合收益当期转入留存收益" mulRef="_GBC_3fcad98da74248809a759048ca194814" unitRef="_GBC_3909f37aa0cc4eda82ff1503a6abe503" addr="T0R13C4S1_1" formatStyle="Comma" appId="_GBC_a53cc67f2be24dfbbe3af1b633d9bd6d"/>
      <m:item xlName="_GBC_a11e89753dd747c987cf302845d64098" concept="clcid-pte:QiTaZhaiQuanTouZiXinYongJianZhiZhunBeiDeSuoDeShuiFeiYong" label="其他债权投资信用减值准备的所得税费用" mulRef="_GBC_3fcad98da74248809a759048ca194814" unitRef="_GBC_3909f37aa0cc4eda82ff1503a6abe503" addr="T0R13C5S1_1" formatStyle="Comma" appId="_GBC_a53cc67f2be24dfbbe3af1b633d9bd6d"/>
      <m:item xlName="_GBC_696aeb2f79e344ef9d6306fbd9075f97" concept="clcid-pte:QiTaZhaiQuanTouZiXinYongJianZhiZhunBeiShuiHouGuiShuYuMuGongSi" label="其他债权投资信用减值准备税后归属于母公司" mulRef="_GBC_3fcad98da74248809a759048ca194814" unitRef="_GBC_3909f37aa0cc4eda82ff1503a6abe503" addr="T0R13C6S1_1" formatStyle="Comma" appId="_GBC_a53cc67f2be24dfbbe3af1b633d9bd6d"/>
      <m:item xlName="_GBC_110f44ed64794ac58517bf975cf9a902" concept="clcid-pte:QiTaZhaiQuanTouZiXinYongJianZhiZhunBeiShuiHouGuiShuYuShaoShuGuDong" label="其他债权投资信用减值准备税后归属于少数股东" mulRef="_GBC_3fcad98da74248809a759048ca194814" unitRef="_GBC_3909f37aa0cc4eda82ff1503a6abe503" addr="T0R13C7S1_1" formatStyle="Comma" appId="_GBC_a53cc67f2be24dfbbe3af1b633d9bd6d"/>
      <m:item xlName="_GBC_a42ed4a509e841c5af32484504db41b2" concept="clcid-pte:QiTaZhaiQuanTouZiXinYongJianZhiZhunBeiZiChanFuZhaiBiaoXiangMu" label="其他债权投资信用减值准备（资产负债表项目）" mulRef="_GBC_3fcad98da74248809a759048ca194814" unitRef="_GBC_3909f37aa0cc4eda82ff1503a6abe503" addr="T0R13C8S1_1" formatStyle="Comma" appId="_GBC_a53cc67f2be24dfbbe3af1b633d9bd6d">
        <m:complexRule comparator="Eq" title="其他债权投资信用减值准备本期所得税前发生额" test=" $_GBC_de9c32ac6e4e40efa3baa3fcb04b4f23 +  $_GBC_696aeb2f79e344ef9d6306fbd9075f97" id="Cfad1b49eea5242c3833543dd05604b94"/>
      </m:item>
      <m:placeholder xlName="_PLD_87be35a6f331456eb4e213fe998f1437" addr="T0R14C0S1_1"/>
      <m:item xlName="_GBC_ad9b12b21e7744aeafe55aeb98771e63" concept="clcid-pte:XianJinLiuLiangTaoQiSunYiDeYouXiaoBuFenZiChanFuZhaiBiaoXiangMu" label="现金流量套期损益的有效部分（资产负债表项目）" periodRef="本期期初数" mulRef="_GBC_3fcad98da74248809a759048ca194814" unitRef="_GBC_3909f37aa0cc4eda82ff1503a6abe503" addr="T0R14C1S1_1" formatStyle="Comma" appId="_GBC_a53cc67f2be24dfbbe3af1b633d9bd6d"/>
      <m:item xlName="_GBC_9a20d639edad4ccc91a502f3baf10297" concept="clcid-pte:XianJinLiuLiangTaoQiSunYiDeYouXiaoBuFenBenQiSuoDeShuiQianFaShengE" label="现金流量套期损益的有效部分本期所得税前发生额" mulRef="_GBC_3fcad98da74248809a759048ca194814" unitRef="_GBC_3909f37aa0cc4eda82ff1503a6abe503" addr="T0R14C2S1_1" formatStyle="Comma" appId="_GBC_a53cc67f2be24dfbbe3af1b633d9bd6d"/>
      <m:item xlName="_GBC_4a339c08642d4828bb8c04959184270f" concept="clcid-pte:XianJinLiuLiangTaoQiSunYiDeYouXiaoBuFenQiZhongQianQiJiRuQiTaZongHeShouYiDangQiZhuanRuSunYi" label="现金流量套期损益的有效部分-其中：前期计入其他综合收益当期转入损益" mulRef="_GBC_3fcad98da74248809a759048ca194814" unitRef="_GBC_3909f37aa0cc4eda82ff1503a6abe503" addr="T0R14C3S1_1" formatStyle="Comma" appId="_GBC_a53cc67f2be24dfbbe3af1b633d9bd6d"/>
      <m:item xlName="_GBC_cc4404b69dc54598ba9df95b821f236e" concept="clcid-pte:XianJinLiuLiangTaoQiChuBeiQiZhongQianQiJiRuQiTaZongHeShouYiDangQiZhuanRuLiuCunShouYi" label="现金流量套期储备-其中:前期计入其他综合收益当期转入留存收益" mulRef="_GBC_3fcad98da74248809a759048ca194814" unitRef="_GBC_3909f37aa0cc4eda82ff1503a6abe503" addr="T0R14C4S1_1" formatStyle="Comma" appId="_GBC_a53cc67f2be24dfbbe3af1b633d9bd6d"/>
      <m:item xlName="_GBC_b5a29c19c5864bd9b242c1f204dda93f" concept="clcid-pte:XianJinLiuLiangTaoQiSunYiDeYouXiaoBuFenDeSuoDeShui" label="现金流量套期损益的有效部分的所得税" mulRef="_GBC_3fcad98da74248809a759048ca194814" unitRef="_GBC_3909f37aa0cc4eda82ff1503a6abe503" addr="T0R14C5S1_1" formatStyle="Comma" appId="_GBC_a53cc67f2be24dfbbe3af1b633d9bd6d"/>
      <m:item xlName="_GBC_4169538128be4200b8b00e72913b926b" concept="clcid-pte:XianJinLiuLiangTaoQiSunYiDeYouXiaoBuFenDeShuiHouGuiShuYuMuGongSi" label="现金流量套期损益的有效部分的税后归属于母公司" mulRef="_GBC_3fcad98da74248809a759048ca194814" unitRef="_GBC_3909f37aa0cc4eda82ff1503a6abe503" addr="T0R14C6S1_1" formatStyle="Comma" appId="_GBC_a53cc67f2be24dfbbe3af1b633d9bd6d"/>
      <m:item xlName="_GBC_4ba9bded9c2646c48b2493487345d772" concept="clcid-pte:XianJinLiuLiangTaoQiSunYiDeYouXiaoBuFenDeShuiHouGuiShuYuShaoShuGuDong" label="现金流量套期损益的有效部分的税后归属于少数股东" mulRef="_GBC_3fcad98da74248809a759048ca194814" unitRef="_GBC_3909f37aa0cc4eda82ff1503a6abe503" addr="T0R14C7S1_1" formatStyle="Comma" appId="_GBC_a53cc67f2be24dfbbe3af1b633d9bd6d"/>
      <m:item xlName="_GBC_792b58da631141b49509130781b1fcd0" concept="clcid-pte:XianJinLiuLiangTaoQiSunYiDeYouXiaoBuFenZiChanFuZhaiBiaoXiangMu" label="现金流量套期损益的有效部分（资产负债表项目）" mulRef="_GBC_3fcad98da74248809a759048ca194814" unitRef="_GBC_3909f37aa0cc4eda82ff1503a6abe503" addr="T0R14C8S1_1" formatStyle="Comma" appId="_GBC_a53cc67f2be24dfbbe3af1b633d9bd6d">
        <m:complexRule comparator="Eq" title="现金流量套期损益的有效部分（资产负债表项目）" test=" $_GBC_ad9b12b21e7744aeafe55aeb98771e63 +  $_GBC_4169538128be4200b8b00e72913b926b" id="C7a7dfb5f02c84967bb92d87514947b60"/>
      </m:item>
      <m:placeholder xlName="_PLD_7096ad729dde4fc1a4c67915bc5f19df" addr="T0R15C0S1_1"/>
      <m:item xlName="_GBC_cabcd9aaec98438eb609e9351a6f637b" concept="clcid-pte:WaiBiBaoBiaoZheSuanChaE" label="外币报表折算差额" periodRef="本期期初数" mulRef="_GBC_3fcad98da74248809a759048ca194814" unitRef="_GBC_3909f37aa0cc4eda82ff1503a6abe503" addr="T0R15C1S1_1" formatStyle="Comma" appId="_GBC_a53cc67f2be24dfbbe3af1b633d9bd6d"/>
      <m:item xlName="_GBC_7b43c19fb1154331a38b2f5c048adcd2" concept="clcid-pte:WaiBiCaiWuBaoBiaoZheSuanChaEBenQiSuoDeShuiQianFaShengE" label="外币财务报表折算差额本期所得税前发生额" mulRef="_GBC_3fcad98da74248809a759048ca194814" unitRef="_GBC_3909f37aa0cc4eda82ff1503a6abe503" addr="T0R15C2S1_1" formatStyle="Comma" appId="_GBC_a53cc67f2be24dfbbe3af1b633d9bd6d"/>
      <m:item xlName="_GBC_4499f4dfa28b452ca87509f7079df472" concept="clcid-pte:WaiBiCaiWuBaoBiaoZheSuanChaEQiZhongQianQiJiRuQiTaZongHeShouYiDangQiZhuanRuSunYi" label="外币财务报表折算差额-其中：前期计入其他综合收益当期转入损益" mulRef="_GBC_3fcad98da74248809a759048ca194814" unitRef="_GBC_3909f37aa0cc4eda82ff1503a6abe503" addr="T0R15C3S1_1" formatStyle="Comma" appId="_GBC_a53cc67f2be24dfbbe3af1b633d9bd6d"/>
      <m:item xlName="_GBC_0061c3f63e54481a9ad137cdcd15377e" concept="clcid-pte:WaiBiCaiWuBaoBiaoZheSuanChaEQiZhongQianQiJiRuQiTaZongHeShouYiDangQiZhuanRuLiuCunShouYi" label="外币财务报表折算差额-其中:前期计入其他综合收益当期转入留存收益" mulRef="_GBC_3fcad98da74248809a759048ca194814" unitRef="_GBC_3909f37aa0cc4eda82ff1503a6abe503" addr="T0R15C4S1_1" formatStyle="Comma" appId="_GBC_a53cc67f2be24dfbbe3af1b633d9bd6d"/>
      <m:item xlName="_GBC_5f56660cb1314f6e8317a179dc5fb191" concept="clcid-pte:WaiBiCaiWuBaoBiaoZheSuanChaEDeSuoDeShui" label="外币财务报表折算差额的所得税" mulRef="_GBC_3fcad98da74248809a759048ca194814" unitRef="_GBC_3909f37aa0cc4eda82ff1503a6abe503" addr="T0R15C5S1_1" formatStyle="Comma" appId="_GBC_a53cc67f2be24dfbbe3af1b633d9bd6d"/>
      <m:item xlName="_GBC_a73c921cf3964e01baf7abe54a28e477" concept="clcid-pte:WaiBiCaiWuBaoBiaoZheSuanChaEDeShuiHouGuiShuYuMuGongSi" label="外币财务报表折算差额的税后归属于母公司" mulRef="_GBC_3fcad98da74248809a759048ca194814" unitRef="_GBC_3909f37aa0cc4eda82ff1503a6abe503" addr="T0R15C6S1_1" formatStyle="Comma" appId="_GBC_a53cc67f2be24dfbbe3af1b633d9bd6d"/>
      <m:item xlName="_GBC_4138f4c466bb4a1aa6d60f7ea4c63f29" concept="clcid-pte:WaiBiCaiWuBaoBiaoZheSuanChaEDeShuiHouGuiShuYuShaoShuGuDong" label="外币财务报表折算差额的税后归属于少数股东" mulRef="_GBC_3fcad98da74248809a759048ca194814" unitRef="_GBC_3909f37aa0cc4eda82ff1503a6abe503" addr="T0R15C7S1_1" formatStyle="Comma" appId="_GBC_a53cc67f2be24dfbbe3af1b633d9bd6d"/>
      <m:item xlName="_GBC_24be8d3f771640d793b63cf06c2a9700" concept="clcid-pte:WaiBiBaoBiaoZheSuanChaE" label="外币报表折算差额" mulRef="_GBC_3fcad98da74248809a759048ca194814" unitRef="_GBC_3909f37aa0cc4eda82ff1503a6abe503" addr="T0R15C8S1_1" formatStyle="Comma" appId="_GBC_a53cc67f2be24dfbbe3af1b633d9bd6d">
        <m:complexRule comparator="Eq" title="外币报表折算差额" test=" $_GBC_cabcd9aaec98438eb609e9351a6f637b +  $_GBC_a73c921cf3964e01baf7abe54a28e477" id="Cd617303d689946c78f20d507bb230f30"/>
      </m:item>
      <m:tuple xlName="_TUP_56d4648d761a4a9a9f94fac2aeb735b6" concept="clcid-pte:YiHouJiangZhongFenLeiJinSunYiDeQiTaZongHeShouYiMingXi" default_row="2" addr="T0R16C">
        <m:item xlName="_GBC_fa7f46e29b2046c3b668314d9203c45c" concept="clcid-pte:YiHouJiangZhongFenLeiJinSunYiDeQiTaZongHeShouYiMingXiXiangMuMingCheng" label="以后将重分类进损益的其他综合收益明细-项目名称" addr="T0R16C0S1_1" appId="_GBC_a53cc67f2be24dfbbe3af1b633d9bd6d"/>
        <m:item xlName="_GBC_1a9e128756874dc5b313ddadb5b50dcb" concept="clcid-pte:YiHouJiangZhongFenLeiJinSunYiDeQiTaZongHeShouYiMingXiYuE" label="以后将重分类进损益的其他综合收益明细-余额" periodRef="本期期初数" mulRef="_GBC_3fcad98da74248809a759048ca194814" unitRef="_GBC_3909f37aa0cc4eda82ff1503a6abe503" addr="T0R16C1S1_1" formatStyle="Comma" appId="_GBC_a53cc67f2be24dfbbe3af1b633d9bd6d"/>
        <m:item xlName="_GBC_1484b6cf8dac449388991f698cb5a6a2" concept="clcid-pte:YiHouJiangZhongFenLeiJinSunYiDeQiTaZongHeShouYiMingXiBenQiSuoDeShuiQianFaShengE" label="以后将重分类进损益的其他综合收益明细-本期所得税前发生额" mulRef="_GBC_3fcad98da74248809a759048ca194814" unitRef="_GBC_3909f37aa0cc4eda82ff1503a6abe503" addr="T0R16C2S1_1" formatStyle="Comma" appId="_GBC_a53cc67f2be24dfbbe3af1b633d9bd6d"/>
        <m:item xlName="_GBC_91d1d8f666694a7483107186efbd3806" concept="clcid-pte:YiHouJiangZhongFenLeiJinSunYiDeQiTaZongHeShouYiMingXiQiZhongQianQiJiRuQiTaZongHeShouYiDangQiZhuanRuSunYi" label="以后将重分类进损益的其他综合收益明细-其中：前期计入其他综合收益当期转入损益" mulRef="_GBC_3fcad98da74248809a759048ca194814" unitRef="_GBC_3909f37aa0cc4eda82ff1503a6abe503" addr="T0R16C3S1_1" formatStyle="Comma" appId="_GBC_a53cc67f2be24dfbbe3af1b633d9bd6d"/>
        <m:item xlName="_GBC_5a68f69710484c7e9eb70e52a27757c0" concept="clcid-pte:YiHouJiangZhongFenLeiJinSunYiDeQiTaZongHeShouYiMingXiQiZhongQianQiJiRuQiTaZongHeShouYiDangQiZhuanRuLiuCunShouYi" label="以后将重分类进损益的其他综合收益明细-其中:前期计入其他综合收益当期转入留存收益" mulRef="_GBC_3fcad98da74248809a759048ca194814" unitRef="_GBC_3909f37aa0cc4eda82ff1503a6abe503" addr="T0R16C4S1_1" formatStyle="Comma" appId="_GBC_a53cc67f2be24dfbbe3af1b633d9bd6d"/>
        <m:item xlName="_GBC_2a4a3074c64849bb9117812035da8092" concept="clcid-pte:YiHouJiangZhongFenLeiJinSunYiDeQiTaZongHeShouYiMingXiSuoDeShui" label="以后将重分类进损益的其他综合收益明细-所得税" mulRef="_GBC_3fcad98da74248809a759048ca194814" unitRef="_GBC_3909f37aa0cc4eda82ff1503a6abe503" addr="T0R16C5S1_1" formatStyle="Comma" appId="_GBC_a53cc67f2be24dfbbe3af1b633d9bd6d"/>
        <m:item xlName="_GBC_05c76e8df2724676b0fa728fa577101b" concept="clcid-pte:YiHouJiangZhongFenLeiJinSunYiDeQiTaZongHeShouYiMingXiShuiHouGuiShuYuMuGongSi" label="以后将重分类进损益的其他综合收益明细-税后归属于母公司" mulRef="_GBC_3fcad98da74248809a759048ca194814" unitRef="_GBC_3909f37aa0cc4eda82ff1503a6abe503" addr="T0R16C6S1_1" formatStyle="Comma" appId="_GBC_a53cc67f2be24dfbbe3af1b633d9bd6d"/>
        <m:item xlName="_GBC_a93e7983394c4092b83b7b9f8631e2db" concept="clcid-pte:YiHouJiangZhongFenLeiJinSunYiDeQiTaZongHeShouYiMingXiShuiHouGuiShuYuShaoShuGuDong" label="以后将重分类进损益的其他综合收益明细-税后归属于少数股东" mulRef="_GBC_3fcad98da74248809a759048ca194814" unitRef="_GBC_3909f37aa0cc4eda82ff1503a6abe503" addr="T0R16C7S1_1" formatStyle="Comma" appId="_GBC_a53cc67f2be24dfbbe3af1b633d9bd6d"/>
        <m:item xlName="_GBC_6c32ed14aefb45b4a96f139d91c996f6" concept="clcid-pte:YiHouJiangZhongFenLeiJinSunYiDeQiTaZongHeShouYiMingXiYuE" label="以后将重分类进损益的其他综合收益明细-余额" mulRef="_GBC_3fcad98da74248809a759048ca194814" unitRef="_GBC_3909f37aa0cc4eda82ff1503a6abe503" addr="T0R16C8S1_1" formatStyle="Comma" appId="_GBC_a53cc67f2be24dfbbe3af1b633d9bd6d">
          <m:complexRule comparator="Eq" title="以后将重分类进损益的其他综合收益明细-余额" test=" $_GBC_1a9e128756874dc5b313ddadb5b50dcb +  $_GBC_05c76e8df2724676b0fa728fa577101b" id="Cd1d46251b3ad452191d567863bf1fa19"/>
        </m:item>
      </m:tuple>
      <m:placeholder xlName="_PLD_da397a12577f4c5f8c92faa7b167ad8e" addr="T0R18C0S1_1"/>
      <m:item xlName="_GBC_7d7534c6cb1c4ffdb0ccec0f16bb954b" concept="clcid-pte:QiTaZongHeShouYiZiChanFuZhaiBiaoXiangMu" label="其他综合收益（资产负债表项目）" periodRef="本期期初数" mulRef="_GBC_3fcad98da74248809a759048ca194814" unitRef="_GBC_3909f37aa0cc4eda82ff1503a6abe503" addr="T0R18C1S1_1" formatStyle="Comma" appId="_GBC_a53cc67f2be24dfbbe3af1b633d9bd6d">
        <m:complexRule comparator="Eq" title="其他综合收益（资产负债表项目）@本期期初数" test=" $_GBC_e2de66f3d0ff45c8b9236045779902ae +  $_GBC_5c655a0ef59a4277bc39216e66537c6f" id="C2adb36de120b49ed83027054a5b9d548"/>
      </m:item>
      <m:item xlName="_GBC_f7610283a95e4f7395abaebd290353b2" concept="clcid-pte:QiTaZongHeShouYiBenQiSuoDeShuiQianFaShengE" label="其他综合收益本期所得税前发生额" mulRef="_GBC_3fcad98da74248809a759048ca194814" unitRef="_GBC_3909f37aa0cc4eda82ff1503a6abe503" addr="T0R18C2S1_1" formatStyle="Comma" appId="_GBC_a53cc67f2be24dfbbe3af1b633d9bd6d">
        <m:complexRule comparator="Eq" title="其他综合收益本期所得税前发生额" test=" $_GBC_7de15fba1e054b8f91c7fa7ee8e7319b +  $_GBC_9097040f02864f6fb3f004c78756dabe" id="C0b9d6319140146949a1304d2da4dcdca"/>
      </m:item>
      <m:item xlName="_GBC_42b70a6763e445999c4d8105f6762eca" concept="clcid-pte:QiTaZongHeShouYiQiZhongQianQiJiRuQiTaZongHeShouYiDangQiZhuanRuSunYi" label="其他综合收益-其中：前期计入其他综合收益当期转入损益" mulRef="_GBC_3fcad98da74248809a759048ca194814" unitRef="_GBC_3909f37aa0cc4eda82ff1503a6abe503" addr="T0R18C3S1_1" formatStyle="Comma" appId="_GBC_a53cc67f2be24dfbbe3af1b633d9bd6d">
        <m:complexRule comparator="Eq" title="其他综合收益-其中：前期计入其他综合收益当期转入损益" test=" $_GBC_043684988a5347f2a6e0fe8c8c1a0e7b +  $_GBC_6ffea5e1ac8d41d09fe19a41b4348992" id="C7e146ca146d443c8a13460f2b8da43f5"/>
      </m:item>
      <m:item xlName="_GBC_a11f3011d8674a6aa5ed7c69a7e588cd" concept="clcid-pte:QiTaZongHeShouYiQiZhongQianQiJiRuQiTaZongHeShouYiDangQiZhuanRuLiuCunShouYi" label="其他综合收益-其中：前期计入其他综合收益当期转入留存收益" mulRef="_GBC_3fcad98da74248809a759048ca194814" unitRef="_GBC_3909f37aa0cc4eda82ff1503a6abe503" addr="T0R18C4S1_1" formatStyle="Comma" appId="_GBC_a53cc67f2be24dfbbe3af1b633d9bd6d">
        <m:complexRule comparator="Eq" title="其他综合收益-其中：前期计入其他综合收益当期转入留存收益" test=" $_GBC_bd45fe5da0464410af26e48ce2a50ef6 +  $_GBC_3c586710a7554d53a726a15a0984f7cf" id="Ce7b62d657bfc4cb9b5405f5b5389cbaa"/>
      </m:item>
      <m:item xlName="_GBC_4216738323074a78bd6414fbc909d317" concept="clcid-pte:QiTaZongHeShouYiChanShengDeSuoDeShuiYingXiang" label="其他综合收益产生的所得税影响" mulRef="_GBC_3fcad98da74248809a759048ca194814" unitRef="_GBC_3909f37aa0cc4eda82ff1503a6abe503" addr="T0R18C5S1_1" formatStyle="Comma" appId="_GBC_a53cc67f2be24dfbbe3af1b633d9bd6d">
        <m:complexRule comparator="Eq" title="其他综合收益产生的所得税影响" test=" $_GBC_53262a6ec9e048bc8f4130b5aa021238 +  $_GBC_3731b93bf1b7418a93ab305f92a85636" id="C38704a1a59d04355b44a08b2a41572c8"/>
      </m:item>
      <m:item xlName="_GBC_b5118f0af02749fc806db9326d754991" concept="clcid-pte:QiTaZongHeShouYiShuiHouGuiShuYuMuGongSi" label="其他综合收益税后归属于母公司" mulRef="_GBC_3fcad98da74248809a759048ca194814" unitRef="_GBC_3909f37aa0cc4eda82ff1503a6abe503" addr="T0R18C6S1_1" formatStyle="Comma" appId="_GBC_a53cc67f2be24dfbbe3af1b633d9bd6d">
        <m:complexRule comparator="Eq" title="其他综合收益税后归属于母公司" test=" $_GBC_85d145546e3b4f72908bbefe16244d13 +  $_GBC_89a43a67e3e544edbf44809c00131299" id="C2c250e440e7d4820a3ad31a24736c7a2"/>
      </m:item>
      <m:item xlName="_GBC_c6a0876415e54e03bba63f06fb05286e" concept="clcid-pte:QiTaZongHeShouYiShuiHouGuiShuYuShaoShuGuDong" label="其他综合收益税后归属于少数股东" mulRef="_GBC_3fcad98da74248809a759048ca194814" unitRef="_GBC_3909f37aa0cc4eda82ff1503a6abe503" addr="T0R18C7S1_1" formatStyle="Comma" appId="_GBC_a53cc67f2be24dfbbe3af1b633d9bd6d">
        <m:complexRule comparator="Eq" title="其他综合收益税后归属于少数股东" test=" $_GBC_1500787ae0ae4b4abcd2de62024866aa +  $_GBC_dac05e318b5942de888da7ef528c2b23" id="C7bc094093cf84a70839fee4b370caa83"/>
      </m:item>
      <m:item xlName="_GBC_0dbee349a9e94f788424baef436dd53a" concept="clcid-pte:QiTaZongHeShouYiZiChanFuZhaiBiaoXiangMu" label="其他综合收益（资产负债表项目）" mulRef="_GBC_3fcad98da74248809a759048ca194814" unitRef="_GBC_3909f37aa0cc4eda82ff1503a6abe503" addr="T0R18C8S1_1" formatStyle="Comma" appId="_GBC_a53cc67f2be24dfbbe3af1b633d9bd6d">
        <m:complexRule comparator="Eq" title="其他综合收益（资产负债表项目）" test=" $_GBC_ef85990f3d1549c99f748bd71e4c8ef8 +  $_GBC_e110b3abe19241479fa28dadc62117e9" id="Cbd67b8dbbee34813a537c069e1945dee"/>
        <m:complexRule comparator="Eq" title="其他综合收益（资产负债表项目）" test=" $_GBC_7d7534c6cb1c4ffdb0ccec0f16bb954b +  $_GBC_b5118f0af02749fc806db9326d754991" id="Ce787305098984083b77e054473394f3d"/>
      </m:item>
      <m:item xlName="_GBC_c389c92b3ef04746a88c157ed2e05698" concept="clcid-pte:ZongHeShouYiQingKuang" label="综合收益情况" appId="_GBC_a53cc67f2be24dfbbe3af1b633d9bd6d"/>
    </m:section>
    <m:section xlName="_GBC_8a08fa7a416e4e52a104ea9b06479f9e" title="专项储备" convertSummaryRule="NoConvert" helpId="112001104">
      <m:item xlName="_GBC_291ec3c1c38144a3ac0bde67edb318cc" concept="clcid-ci-ar:ShiFouShiYongZhuanXiangChuBei" label="是否适用：专项储备" selectOptions="_buildInAppliance" controlType="CustomCheckbox" cRanges="{&quot;StartName&quot;:&quot;_GBC_291ec3c1c38144a3ac0bde67edb318cc&quot;,&quot;EndName&quot;:&quot;_GBC_758f99495b434b96aea70b74014caac7&quot;,&quot;CType&quot;:1,&quot;DisplayText&quot;:null}"/>
      <m:item xlName="_GBC_98a0a00169d7461b91b431ef8a517eb1" concept="clcid-ci-ar:DanWeiCaiWuFuZhuZhuanXiangChuBei" label="单位：财务附注：专项储备" selectOptions="_buildInScales" controlType="Combobox" cellType="Scale" appId="_GBC_291ec3c1c38144a3ac0bde67edb318cc"/>
      <m:item xlName="_GBC_95059903151b47a0a2c8b7569f80df5e" concept="clcid-ci-ar:BiZhongCaiWuFuZhuZhuanXiangChuBei" label="币种：财务附注：专项储备" selectOptions="_buildInISO4217" controlType="Combobox" cellType="Measure" appId="_GBC_291ec3c1c38144a3ac0bde67edb318cc"/>
      <m:placeholder xlName="_PLD_10185f3f00484e34ab2fc5b633938a01" addr="T0R0C0S1_1"/>
      <m:placeholder xlName="_PLD_3a7d7c052d7c403a8ae004d68db8fa4c" addr="T0R0C1S1_1"/>
      <m:placeholder xlName="_PLD_e06fab4ca3b8451eb31df81e9b4922ec" addr="T0R0C2S1_1"/>
      <m:placeholder xlName="_PLD_2900f17d2ba041e9a7331e5ca367f7b9" addr="T0R0C3S1_1"/>
      <m:placeholder xlName="_PLD_7fcbcb783b95484a87e1a335f06dfcc3" addr="T0R0C4S1_1"/>
      <m:placeholder xlName="_PLD_f928310ca4874f07bdca7291bba391b0" addr="T0R1C0S1_1"/>
      <m:item xlName="_GBC_e42b1e0118ac4f21bc48fdff109e1a5f" concept="clcid-pte:ZhuanXiangChuBeiZhongDeAnQuanShengChanFei" label="专项储备中的安全生产费" periodRef="本期期初数" mulRef="_GBC_98a0a00169d7461b91b431ef8a517eb1" unitRef="_GBC_95059903151b47a0a2c8b7569f80df5e" addr="T0R1C1S1_1" formatStyle="Comma" appId="_GBC_291ec3c1c38144a3ac0bde67edb318cc"/>
      <m:item xlName="_GBC_a167d15a22be47a6850be32e2fa62da7" concept="clcid-pte:ZhuanXiangChuBeiZhongDeAnQuanShengChanFeiBenQiZengJia" label="专项储备中的安全生产费本期增加" mulRef="_GBC_98a0a00169d7461b91b431ef8a517eb1" unitRef="_GBC_95059903151b47a0a2c8b7569f80df5e" addr="T0R1C2S1_1" formatStyle="Comma" appId="_GBC_291ec3c1c38144a3ac0bde67edb318cc"/>
      <m:item xlName="_GBC_91782ed55bf643ad807b0a87a310b130" concept="clcid-pte:ZhuanXiangChuBeiZhongDeAnQuanShengChanFeiBenQiJianShao" label="专项储备中的安全生产费本期减少" mulRef="_GBC_98a0a00169d7461b91b431ef8a517eb1" unitRef="_GBC_95059903151b47a0a2c8b7569f80df5e" addr="T0R1C3S1_1" formatStyle="Comma" appId="_GBC_291ec3c1c38144a3ac0bde67edb318cc"/>
      <m:item xlName="_GBC_a2fb462c6f08430db24c071a0ed480b9" concept="clcid-pte:ZhuanXiangChuBeiZhongDeAnQuanShengChanFei" label="专项储备中的安全生产费" mulRef="_GBC_98a0a00169d7461b91b431ef8a517eb1" unitRef="_GBC_95059903151b47a0a2c8b7569f80df5e" addr="T0R1C4S1_1" formatStyle="Comma" appId="_GBC_291ec3c1c38144a3ac0bde67edb318cc">
        <m:complexRule comparator="Eq" title="专项储备中的安全生产费" test=" $_GBC_e42b1e0118ac4f21bc48fdff109e1a5f +  $_GBC_a167d15a22be47a6850be32e2fa62da7 -  $_GBC_91782ed55bf643ad807b0a87a310b130" id="Cd9ce802efdda479088ffe260f23162b4"/>
      </m:item>
      <m:tuple xlName="_GBC_d8c163e8c76f4b0a9c5d938259a2d9ed" concept="clcid-pte:ZhuanXiangChuBeiMingXi" default_row="2" addr="T0R2C">
        <m:item xlName="_GBC_bd948e2ad93744b18d87eb1d097da970" concept="clcid-pte:ZhuanXiangChuBeiMingXiXiangMuMingCheng" label="专项储备明细-项目名称" addr="T0R2C0S1_1" appId="_GBC_291ec3c1c38144a3ac0bde67edb318cc"/>
        <m:item xlName="_GBC_e6876b2d461343089c09e2ad3d1f2177" concept="clcid-pte:ZhuanXiangChuBeiMingXiYuE" label="专项储备明细-余额" periodRef="本期期初数" mulRef="_GBC_98a0a00169d7461b91b431ef8a517eb1" unitRef="_GBC_95059903151b47a0a2c8b7569f80df5e" addr="T0R2C1S1_1" formatStyle="Comma" appId="_GBC_291ec3c1c38144a3ac0bde67edb318cc"/>
        <m:item xlName="_GBC_f04dbea18db54a11ac68b472c8dcb455" concept="clcid-pte:ZhuanXiangChuBeiMingXiBenQiZengJiaE" label="专项储备明细-本期增加额" mulRef="_GBC_98a0a00169d7461b91b431ef8a517eb1" unitRef="_GBC_95059903151b47a0a2c8b7569f80df5e" addr="T0R2C2S1_1" formatStyle="Comma" appId="_GBC_291ec3c1c38144a3ac0bde67edb318cc"/>
        <m:item xlName="_GBC_7dc136fb4716408ab58ba03494b8060a" concept="clcid-pte:ZhuanXiangChuBeiMingXiBenQiJianShaoE" label="专项储备明细-本期减少额" mulRef="_GBC_98a0a00169d7461b91b431ef8a517eb1" unitRef="_GBC_95059903151b47a0a2c8b7569f80df5e" addr="T0R2C3S1_1" formatStyle="Comma" appId="_GBC_291ec3c1c38144a3ac0bde67edb318cc"/>
        <m:item xlName="_GBC_9173a4ae967446cb80f8668dad363c44" concept="clcid-pte:ZhuanXiangChuBeiMingXiYuE" label="专项储备明细-余额" mulRef="_GBC_98a0a00169d7461b91b431ef8a517eb1" unitRef="_GBC_95059903151b47a0a2c8b7569f80df5e" addr="T0R2C4S1_1" formatStyle="Comma" appId="_GBC_291ec3c1c38144a3ac0bde67edb318cc">
          <m:complexRule comparator="Eq" title="专项储备明细-余额" test=" $_GBC_e6876b2d461343089c09e2ad3d1f2177 +  $_GBC_f04dbea18db54a11ac68b472c8dcb455 -  $_GBC_7dc136fb4716408ab58ba03494b8060a" id="C2879174c7d834284b4abb9f8ecb0e4be"/>
        </m:item>
      </m:tuple>
      <m:placeholder xlName="_PLD_3a889f9961a349319c123f6dc0197cb7" addr="T0R4C0S1_1"/>
      <m:item xlName="_GBC_cd48a77e1c6144669e85114fdd4dfdb0" concept="clcid-pte:ZhuanXiangChuBei" label="专项储备" periodRef="本期期初数" mulRef="_GBC_98a0a00169d7461b91b431ef8a517eb1" unitRef="_GBC_95059903151b47a0a2c8b7569f80df5e" addr="T0R4C1S1_1" formatStyle="Comma" appId="_GBC_291ec3c1c38144a3ac0bde67edb318cc">
        <m:complexRule comparator="Eq" title="专项储备@本期期初数" test=" $_GBC_e42b1e0118ac4f21bc48fdff109e1a5f +  $_GBC_e6876b2d461343089c09e2ad3d1f2177" id="Ce7b83144051e4820b3d71decc24855ba" serialType="1"/>
      </m:item>
      <m:item xlName="_GBC_0ab3e0cb13ac471d9edac7a61ca5c0ab" concept="clcid-pte:ZhuanXiangChuBeiBenQiZengJiaE" label="专项储备本期增加额" mulRef="_GBC_98a0a00169d7461b91b431ef8a517eb1" unitRef="_GBC_95059903151b47a0a2c8b7569f80df5e" addr="T0R4C2S1_1" formatStyle="Comma" appId="_GBC_291ec3c1c38144a3ac0bde67edb318cc">
        <m:complexRule comparator="Eq" title="专项储备本期增加额" test=" $_GBC_a167d15a22be47a6850be32e2fa62da7 +  $_GBC_f04dbea18db54a11ac68b472c8dcb455" id="C18ad28e3178f4a0683eedd7a873c7650" serialType="1"/>
      </m:item>
      <m:item xlName="_GBC_0c896cd45b024e18b1bade42f9eddf05" concept="clcid-pte:ZhuanXiangChuBeiBenQiJianShaoE" label="专项储备本期减少额" mulRef="_GBC_98a0a00169d7461b91b431ef8a517eb1" unitRef="_GBC_95059903151b47a0a2c8b7569f80df5e" addr="T0R4C3S1_1" formatStyle="Comma" appId="_GBC_291ec3c1c38144a3ac0bde67edb318cc">
        <m:complexRule comparator="Eq" title="专项储备本期减少额" test=" $_GBC_91782ed55bf643ad807b0a87a310b130 +  $_GBC_7dc136fb4716408ab58ba03494b8060a" id="Cbabf50cd62c848aa82d6099073e8a0c3" serialType="1"/>
      </m:item>
      <m:item xlName="_GBC_eb63f3cd30bd40fab1c9cf48858f3d54" concept="clcid-pte:ZhuanXiangChuBei" label="专项储备" mulRef="_GBC_98a0a00169d7461b91b431ef8a517eb1" unitRef="_GBC_95059903151b47a0a2c8b7569f80df5e" addr="T0R4C4S1_1" formatStyle="Comma" appId="_GBC_291ec3c1c38144a3ac0bde67edb318cc">
        <m:complexRule comparator="Eq" title="专项储备横向合计" test=" $_GBC_cd48a77e1c6144669e85114fdd4dfdb0 +  $_GBC_0ab3e0cb13ac471d9edac7a61ca5c0ab -  $_GBC_0c896cd45b024e18b1bade42f9eddf05" id="Cee047335a9e84408b334d561bae7ecad"/>
        <m:complexRule comparator="Eq" title="专项储备" test=" $_GBC_a2fb462c6f08430db24c071a0ed480b9 +  $_GBC_9173a4ae967446cb80f8668dad363c44" id="Cf08370a6c4f84df5acc50074c953a13c" serialType="1"/>
      </m:item>
      <m:item xlName="_GBC_758f99495b434b96aea70b74014caac7" concept="clcid-pte:ZhuanXiangChuBeiQingKuangShuoMing" label="专项储备情况说明" appId="_GBC_291ec3c1c38144a3ac0bde67edb318cc"/>
    </m:section>
    <m:section xlName="_GBC_fc97b66d150f4d31ba9096ec58341715" title="盈余公积" convertSummaryRule="NoConvert" helpId="112001108">
      <m:item xlName="_GBC_52b9917fb423490bb32a9d6648a07db9" concept="clcid-ci-ar:ShiFouShiYongYingYuGongJi" label="是否适用：盈余公积" selectOptions="_buildInAppliance" controlType="CustomCheckbox" cRanges="{&quot;StartName&quot;:&quot;_GBC_52b9917fb423490bb32a9d6648a07db9&quot;,&quot;EndName&quot;:&quot;_GBC_33c5d1ed862f4b36950b5ea2188f5b09&quot;,&quot;CType&quot;:1,&quot;DisplayText&quot;:null}"/>
      <m:item xlName="_GBC_ea3204141ce3498eaccd14c833f64973" concept="clcid-ci-ar:DanWeiCaiWuFuZhuYingYuGongJi" label="单位：财务附注：盈余公积" selectOptions="_buildInScales" controlType="Combobox" cellType="Scale" appId="_GBC_52b9917fb423490bb32a9d6648a07db9"/>
      <m:item xlName="_GBC_f5c6664d47b9454d919a38095dd3c48d" concept="clcid-ci-ar:BiZhongCaiWuFuZhuYingYuGongJi" label="币种：财务附注：盈余公积" selectOptions="_buildInISO4217" controlType="Combobox" cellType="Measure" appId="_GBC_52b9917fb423490bb32a9d6648a07db9"/>
      <m:placeholder xlName="_PLD_70f0cea3df9b4646bf8f9454719b4599" addr="T0R0C0S1_1"/>
      <m:placeholder xlName="_PLD_5466d5e3c2b64aeb9abc2e1a21f2e6c0" addr="T0R0C1S1_1"/>
      <m:placeholder xlName="_PLD_44b0c825c55949b98cff671f8777dd39" addr="T0R0C2S1_1"/>
      <m:placeholder xlName="_PLD_111b02bee52f4f1a879468aa2243106f" addr="T0R0C3S1_1"/>
      <m:placeholder xlName="_PLD_e6d9dff1341d44c99d9c3f51d8fd2c2f" addr="T0R0C4S1_1"/>
      <m:placeholder xlName="_PLD_fc05a7682db944fc88b1d5bf0888fab6" addr="T0R1C0S1_1"/>
      <m:item xlName="_GBC_0e8cc71d78cd4ef5ac851dfa600977db" concept="clcid-pte:YingYuGongJiHeJiFaDingYingYuGongJi" label="法定盈余公积合计" periodRef="本期期初数" mulRef="_GBC_ea3204141ce3498eaccd14c833f64973" unitRef="_GBC_f5c6664d47b9454d919a38095dd3c48d" addr="T0R1C1S1_1" formatStyle="Comma" appId="_GBC_52b9917fb423490bb32a9d6648a07db9"/>
      <m:item xlName="_GBC_8f3954bb0c354b4fae0c2bbe672f3d75" concept="clcid-pte:YingYuGongJiZengJiaShuCongJingLiRunZhongTiQuShuFaDingYingYuGongJi" label="法定盈余公积增加数" mulRef="_GBC_ea3204141ce3498eaccd14c833f64973" unitRef="_GBC_f5c6664d47b9454d919a38095dd3c48d" addr="T0R1C2S1_1" formatStyle="Comma" appId="_GBC_52b9917fb423490bb32a9d6648a07db9"/>
      <m:item xlName="_GBC_064c6e4020c94d7b82caaa61d1c143ab" concept="clcid-pte:YingYuGongJiJianShaoShuFaDingYingYuGongJi" label="法定盈余公积减少数" mulRef="_GBC_ea3204141ce3498eaccd14c833f64973" unitRef="_GBC_f5c6664d47b9454d919a38095dd3c48d" addr="T0R1C3S1_1" formatStyle="Comma" appId="_GBC_52b9917fb423490bb32a9d6648a07db9"/>
      <m:item xlName="_GBC_5823a23ab30d4df3b9485fc6a56fad37" concept="clcid-pte:YingYuGongJiHeJiFaDingYingYuGongJi" label="法定盈余公积合计" mulRef="_GBC_ea3204141ce3498eaccd14c833f64973" unitRef="_GBC_f5c6664d47b9454d919a38095dd3c48d" addr="T0R1C4S1_1" formatStyle="Comma" appId="_GBC_52b9917fb423490bb32a9d6648a07db9">
        <m:complexRule comparator="Eq" title="法定盈余公积合计" test=" $_GBC_0e8cc71d78cd4ef5ac851dfa600977db +  $_GBC_8f3954bb0c354b4fae0c2bbe672f3d75 -  $_GBC_064c6e4020c94d7b82caaa61d1c143ab" id="Cbd2b7a5c8036427995e340b80137303a"/>
      </m:item>
      <m:placeholder xlName="_PLD_d129220e9acf4011b78a05d75624a2b7" addr="T0R2C0S1_1"/>
      <m:item xlName="_GBC_99f3e93a28ce415d9d34f162d3c9150a" concept="clcid-pte:YingYuGongJiHeJiRenYiYingYuGongJi" label="任意盈余公积合计" periodRef="本期期初数" mulRef="_GBC_ea3204141ce3498eaccd14c833f64973" unitRef="_GBC_f5c6664d47b9454d919a38095dd3c48d" addr="T0R2C1S1_1" formatStyle="Comma" appId="_GBC_52b9917fb423490bb32a9d6648a07db9"/>
      <m:item xlName="_GBC_e8ef547fdcdb42c6b6faf9741678464d" concept="clcid-pte:YingYuGongJiZengJiaShuCongJingLiRunZhongTiQuShuRenYiYingYuGongJi" label="任意盈余公积增加数" mulRef="_GBC_ea3204141ce3498eaccd14c833f64973" unitRef="_GBC_f5c6664d47b9454d919a38095dd3c48d" addr="T0R2C2S1_1" formatStyle="Comma" appId="_GBC_52b9917fb423490bb32a9d6648a07db9"/>
      <m:item xlName="_GBC_ceb1d15251bc44c69f77069343165dbb" concept="clcid-pte:YingYuGongJiJianShaoShuRenYiYingYuGongJi" label="任意盈余公积减少数" mulRef="_GBC_ea3204141ce3498eaccd14c833f64973" unitRef="_GBC_f5c6664d47b9454d919a38095dd3c48d" addr="T0R2C3S1_1" formatStyle="Comma" appId="_GBC_52b9917fb423490bb32a9d6648a07db9"/>
      <m:item xlName="_GBC_87ff74b4bfac4070becb588336d70f45" concept="clcid-pte:YingYuGongJiHeJiRenYiYingYuGongJi" label="任意盈余公积合计" mulRef="_GBC_ea3204141ce3498eaccd14c833f64973" unitRef="_GBC_f5c6664d47b9454d919a38095dd3c48d" addr="T0R2C4S1_1" formatStyle="Comma" appId="_GBC_52b9917fb423490bb32a9d6648a07db9">
        <m:complexRule comparator="Eq" title="任意盈余公积合计" test=" $_GBC_99f3e93a28ce415d9d34f162d3c9150a +  $_GBC_e8ef547fdcdb42c6b6faf9741678464d -  $_GBC_ceb1d15251bc44c69f77069343165dbb" id="C33c1b9c6e5cf48dd9b8bae8df8dd4097"/>
      </m:item>
      <m:placeholder xlName="_PLD_ec6472288a1e40028c081a6dc314eaf7" addr="T0R3C0S1_1"/>
      <m:item xlName="_GBC_b742e37a326c40afa59624967251e801" concept="clcid-pte:YingYuGongJiHeJiChuBeiJiJin" label="储备基金合计" periodRef="本期期初数" mulRef="_GBC_ea3204141ce3498eaccd14c833f64973" unitRef="_GBC_f5c6664d47b9454d919a38095dd3c48d" addr="T0R3C1S1_1" formatStyle="Comma" appId="_GBC_52b9917fb423490bb32a9d6648a07db9"/>
      <m:item xlName="_GBC_7a38bfe6db1e44e7a0be11b0286b469d" concept="clcid-pte:YingYuGongJiZengJiaShuCongJingLiRunZhongTiQuShuChuBeiJiJin" label="储备基金增加数" mulRef="_GBC_ea3204141ce3498eaccd14c833f64973" unitRef="_GBC_f5c6664d47b9454d919a38095dd3c48d" addr="T0R3C2S1_1" formatStyle="Comma" appId="_GBC_52b9917fb423490bb32a9d6648a07db9"/>
      <m:item xlName="_GBC_e698f7184f9e481092e250d5994e072a" concept="clcid-pte:YingYuGongJiJianShaoShuChuBeiJiJin" label="储备基金减少数" mulRef="_GBC_ea3204141ce3498eaccd14c833f64973" unitRef="_GBC_f5c6664d47b9454d919a38095dd3c48d" addr="T0R3C3S1_1" formatStyle="Comma" appId="_GBC_52b9917fb423490bb32a9d6648a07db9"/>
      <m:item xlName="_GBC_e72752d77f824e15a0419b6bbfbed7cb" concept="clcid-pte:YingYuGongJiHeJiChuBeiJiJin" label="储备基金合计" mulRef="_GBC_ea3204141ce3498eaccd14c833f64973" unitRef="_GBC_f5c6664d47b9454d919a38095dd3c48d" addr="T0R3C4S1_1" formatStyle="Comma" appId="_GBC_52b9917fb423490bb32a9d6648a07db9">
        <m:complexRule comparator="Eq" title="储备基金合计" test=" $_GBC_b742e37a326c40afa59624967251e801 +  $_GBC_7a38bfe6db1e44e7a0be11b0286b469d -  $_GBC_e698f7184f9e481092e250d5994e072a" id="Cfb3a07e32469484f93d37c5c776f9a43"/>
      </m:item>
      <m:placeholder xlName="_PLD_52c035d80b984cfb905e017b1d87986d" addr="T0R4C0S1_1"/>
      <m:item xlName="_GBC_300bd60ca4e64ff9a561aa0596109efd" concept="clcid-pte:YingYuGongJiHeJiQiYeFaZhanJiJin" label="企业发展基金合计" periodRef="本期期初数" mulRef="_GBC_ea3204141ce3498eaccd14c833f64973" unitRef="_GBC_f5c6664d47b9454d919a38095dd3c48d" addr="T0R4C1S1_1" formatStyle="Comma" appId="_GBC_52b9917fb423490bb32a9d6648a07db9"/>
      <m:item xlName="_GBC_a0438322fe204144a5c6c90e69652547" concept="clcid-pte:YingYuGongJiZengJiaShuCongJingLiRunZhongTiQuShuQiYeFaZhanJiJin" label="企业发展基金增加数" mulRef="_GBC_ea3204141ce3498eaccd14c833f64973" unitRef="_GBC_f5c6664d47b9454d919a38095dd3c48d" addr="T0R4C2S1_1" formatStyle="Comma" appId="_GBC_52b9917fb423490bb32a9d6648a07db9"/>
      <m:item xlName="_GBC_338d6c10013e4804847554c487a12f26" concept="clcid-pte:YingYuGongJiJianShaoShuQiYeFaZhanJiJin" label="企业发展基金减少数" mulRef="_GBC_ea3204141ce3498eaccd14c833f64973" unitRef="_GBC_f5c6664d47b9454d919a38095dd3c48d" addr="T0R4C3S1_1" formatStyle="Comma" appId="_GBC_52b9917fb423490bb32a9d6648a07db9"/>
      <m:item xlName="_GBC_dadb07a3df8b4fc18c849d3482dccc2e" concept="clcid-pte:YingYuGongJiHeJiQiYeFaZhanJiJin" label="企业发展基金合计" mulRef="_GBC_ea3204141ce3498eaccd14c833f64973" unitRef="_GBC_f5c6664d47b9454d919a38095dd3c48d" addr="T0R4C4S1_1" formatStyle="Comma" appId="_GBC_52b9917fb423490bb32a9d6648a07db9">
        <m:complexRule comparator="Eq" title="企业发展基金合计" test=" $_GBC_300bd60ca4e64ff9a561aa0596109efd +  $_GBC_a0438322fe204144a5c6c90e69652547 -  $_GBC_338d6c10013e4804847554c487a12f26" id="Cd1c65b18982243ef9d9a7da74ef556e8"/>
      </m:item>
      <m:placeholder xlName="_PLD_cad42018de8f4c088028eed7649f24a3" addr="T0R5C0S1_1"/>
      <m:item xlName="_GBC_20e6b61f2ba049aba895d839f53c5810" concept="clcid-pte:QiTaYingYuGongJi" label="其他盈余公积" periodRef="本期期初数" mulRef="_GBC_ea3204141ce3498eaccd14c833f64973" unitRef="_GBC_f5c6664d47b9454d919a38095dd3c48d" addr="T0R5C1S1_1" formatStyle="Comma" appId="_GBC_52b9917fb423490bb32a9d6648a07db9"/>
      <m:item xlName="_GBC_592d5c84597044e19bfcce383f199240" concept="clcid-pte:QiTaYingYuGongJiZengJiaShu" label="其他盈余公积增加数" mulRef="_GBC_ea3204141ce3498eaccd14c833f64973" unitRef="_GBC_f5c6664d47b9454d919a38095dd3c48d" addr="T0R5C2S1_1" formatStyle="Comma" appId="_GBC_52b9917fb423490bb32a9d6648a07db9"/>
      <m:item xlName="_GBC_e400e47a63b44859b7755e3117a9f6f7" concept="clcid-pte:QiTaYingYuGongJiJianShaoShu" label="其他盈余公积减少数" mulRef="_GBC_ea3204141ce3498eaccd14c833f64973" unitRef="_GBC_f5c6664d47b9454d919a38095dd3c48d" addr="T0R5C3S1_1" formatStyle="Comma" appId="_GBC_52b9917fb423490bb32a9d6648a07db9"/>
      <m:item xlName="_GBC_eaf36cbead8c4671b9859e6af7d83bcf" concept="clcid-pte:QiTaYingYuGongJi" label="其他盈余公积" mulRef="_GBC_ea3204141ce3498eaccd14c833f64973" unitRef="_GBC_f5c6664d47b9454d919a38095dd3c48d" addr="T0R5C4S1_1" formatStyle="Comma" appId="_GBC_52b9917fb423490bb32a9d6648a07db9">
        <m:complexRule comparator="Eq" title="其他盈余公积" test=" $_GBC_20e6b61f2ba049aba895d839f53c5810 +  $_GBC_592d5c84597044e19bfcce383f199240 -  $_GBC_e400e47a63b44859b7755e3117a9f6f7" id="Cd0dada1df7f9464680cca2ccb57cc597"/>
      </m:item>
      <m:placeholder xlName="_PLD_f8e1917adbcf4318b4ab05bf11aaef0c" addr="T0R6C0S1_1"/>
      <m:item xlName="_GBC_ca9bb1119ada4253ad07f3c27595c03a" concept="clcid-pte:YingYuGongJi" label="盈余公积" periodRef="本期期初数" mulRef="_GBC_ea3204141ce3498eaccd14c833f64973" unitRef="_GBC_f5c6664d47b9454d919a38095dd3c48d" addr="T0R6C1S1_1" formatStyle="Comma" appId="_GBC_52b9917fb423490bb32a9d6648a07db9">
        <m:complexRule comparator="Eq" title="盈余公积@本期期初数" test=" $_GBC_0e8cc71d78cd4ef5ac851dfa600977db +  $_GBC_99f3e93a28ce415d9d34f162d3c9150a +  $_GBC_b742e37a326c40afa59624967251e801 +  $_GBC_300bd60ca4e64ff9a561aa0596109efd +  $_GBC_20e6b61f2ba049aba895d839f53c5810" id="Cb5ffa6a2d86e4577b5f83e53ea3f1945"/>
      </m:item>
      <m:item xlName="_GBC_c61727c2ffbd4fbab644cff2c4826090" concept="clcid-pte:YingYuGongJiZengJia" label="盈余公积增加" mulRef="_GBC_ea3204141ce3498eaccd14c833f64973" unitRef="_GBC_f5c6664d47b9454d919a38095dd3c48d" addr="T0R6C2S1_1" formatStyle="Comma" appId="_GBC_52b9917fb423490bb32a9d6648a07db9">
        <m:complexRule comparator="Eq" title="盈余公积增加" test=" $_GBC_8f3954bb0c354b4fae0c2bbe672f3d75 +  $_GBC_e8ef547fdcdb42c6b6faf9741678464d +  $_GBC_7a38bfe6db1e44e7a0be11b0286b469d +  $_GBC_a0438322fe204144a5c6c90e69652547 +  $_GBC_592d5c84597044e19bfcce383f199240" id="C3f0b4eb64f4a4eb5bbd6c44f16d4d71e"/>
      </m:item>
      <m:item xlName="_GBC_9cc176398dfd4135a144afc53cb1f3f4" concept="clcid-pte:YingYuGongJiJianShao" label="盈余公积减少" mulRef="_GBC_ea3204141ce3498eaccd14c833f64973" unitRef="_GBC_f5c6664d47b9454d919a38095dd3c48d" addr="T0R6C3S1_1" formatStyle="Comma" appId="_GBC_52b9917fb423490bb32a9d6648a07db9">
        <m:complexRule comparator="Eq" title="盈余公积减少" test=" $_GBC_064c6e4020c94d7b82caaa61d1c143ab +  $_GBC_ceb1d15251bc44c69f77069343165dbb +  $_GBC_e698f7184f9e481092e250d5994e072a +  $_GBC_338d6c10013e4804847554c487a12f26 +  $_GBC_e400e47a63b44859b7755e3117a9f6f7" id="C49c1fd94fa504a0a802c4659099cb19f"/>
      </m:item>
      <m:item xlName="_GBC_3039f81cf7e045369f504a0b96294727" concept="clcid-pte:YingYuGongJi" label="盈余公积" mulRef="_GBC_ea3204141ce3498eaccd14c833f64973" unitRef="_GBC_f5c6664d47b9454d919a38095dd3c48d" addr="T0R6C4S1_1" formatStyle="Comma" appId="_GBC_52b9917fb423490bb32a9d6648a07db9">
        <m:complexRule comparator="Eq" title="盈余公积" test=" $_GBC_5823a23ab30d4df3b9485fc6a56fad37 +  $_GBC_87ff74b4bfac4070becb588336d70f45 +  $_GBC_e72752d77f824e15a0419b6bbfbed7cb +  $_GBC_dadb07a3df8b4fc18c849d3482dccc2e +  $_GBC_eaf36cbead8c4671b9859e6af7d83bcf" id="C16131e8b46784d5398d310e158c99c9b"/>
        <m:complexRule comparator="Eq" title="盈余公积横向合计" test=" $_GBC_ca9bb1119ada4253ad07f3c27595c03a +  $_GBC_c61727c2ffbd4fbab644cff2c4826090 -  $_GBC_9cc176398dfd4135a144afc53cb1f3f4" id="C30b46bc56ee141e2a4b3525aa73f0a95"/>
      </m:item>
      <m:item xlName="_GBC_33c5d1ed862f4b36950b5ea2188f5b09" concept="clcid-pte:YingYuGongJiShuoMing" label="盈余公积说明" appId="_GBC_52b9917fb423490bb32a9d6648a07db9"/>
    </m:section>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item xlName="_GBC_cfb07ff3eded4b49916cfc42d821bab6" concept="clcid-ci-ar:DanWeiCaiWuFuZhuWeiFenPeiLiRun" label="单位：财务附注：未分配利润" selectOptions="_buildInScales" controlType="Combobox" cellType="Scale" appId="_GBC_32c558bdbb77445cabeee783e5ff910e"/>
      <m:item xlName="_GBC_55c70fe731be4b84be72ea88afd989b8" concept="clcid-ci-ar:BiZhongCaiWuFuZhuWeiFenPeiLiRun" label="币种：财务附注：未分配利润" selectOptions="_buildInISO4217" controlType="Combobox" cellType="Measure" appId="_GBC_32c558bdbb77445cabeee783e5ff910e"/>
      <m:placeholder xlName="_PLD_b6dc2bd7eebb4e6d9f1ccea8d86e6f47" addr="T0R0C0S1_1"/>
      <m:placeholder xlName="_PLD_6e60054e3c3747d1a0ffc87edacae2b6" addr="T0R0C1S1_1"/>
      <m:placeholder xlName="_PLD_9afd54e9959d4b22b00bfe92596a2a16" addr="T0R0C2S1_1"/>
      <m:placeholder xlName="_PLD_3790b8d7d129484381d1c2fa2fa8d23c" addr="T0R1C0S1_1"/>
      <m:item xlName="_GBC_b122bf93ea494fc1ba56264f3ef4cc6b" concept="clcid-pte:WeiFenPeiLiRun" label="未分配利润" periodRef="上年期末数" mulRef="_GBC_cfb07ff3eded4b49916cfc42d821bab6" unitRef="_GBC_55c70fe731be4b84be72ea88afd989b8" addr="T0R1C1S1_1" formatStyle="Comma" appId="_GBC_32c558bdbb77445cabeee783e5ff910e">
        <m:axisValue occRef="调整前的值"/>
      </m:item>
      <m:item xlName="_GBC_3b60b81a3b7a41358769befa9a27265b" concept="clcid-pte:WeiFenPeiLiRun" label="未分配利润" periodRef="上上年度期末数" mulRef="_GBC_cfb07ff3eded4b49916cfc42d821bab6" unitRef="_GBC_55c70fe731be4b84be72ea88afd989b8" addr="T0R1C2S1_1" formatStyle="Comma" appId="_GBC_32c558bdbb77445cabeee783e5ff910e">
        <m:axisValue occRef="调整前的值"/>
      </m:item>
      <m:placeholder xlName="_PLD_99b1e9805f3e4b93aa362504b83793b1" addr="T0R2C0S1_1"/>
      <m:item xlName="_GBC_f068ffe2209140629fb08448b2aa6667" concept="clcid-pte:WeiFenPeiLiRunTiaoZhengHeJiShu" label="未分配利润调整合计数" periodRef="本期期初数" mulRef="_GBC_cfb07ff3eded4b49916cfc42d821bab6" unitRef="_GBC_55c70fe731be4b84be72ea88afd989b8" addr="T0R2C1S1_1" formatStyle="Comma" appId="_GBC_32c558bdbb77445cabeee783e5ff910e"/>
      <m:item xlName="_GBC_ccc265f084114dfeb4d96a2bd00c8692" concept="clcid-pte:WeiFenPeiLiRunTiaoZhengHeJiShu" label="未分配利润调整合计数" periodRef="上年期初数" mulRef="_GBC_cfb07ff3eded4b49916cfc42d821bab6" unitRef="_GBC_55c70fe731be4b84be72ea88afd989b8" addr="T0R2C2S1_1" formatStyle="Comma" appId="_GBC_32c558bdbb77445cabeee783e5ff910e"/>
      <m:placeholder xlName="_PLD_7a98e2bc7c1b48d785851921473e7f5f" addr="T0R3C0S1_1"/>
      <m:item xlName="_GBC_1b019340056a4d1c96b0aa8871b84020" concept="clcid-pte:WeiFenPeiLiRun" label="未分配利润" periodRef="本期期初数" mulRef="_GBC_cfb07ff3eded4b49916cfc42d821bab6" unitRef="_GBC_55c70fe731be4b84be72ea88afd989b8" addr="T0R3C1S1_1" formatStyle="Comma" appId="_GBC_32c558bdbb77445cabeee783e5ff910e">
        <m:complexRule comparator="Eq" title="未分配利润@本期期初数" test=" $_GBC_b122bf93ea494fc1ba56264f3ef4cc6b +  $_GBC_f068ffe2209140629fb08448b2aa6667" id="C735ca092a11a41eda59bef64caa7c592"/>
      </m:item>
      <m:item xlName="_GBC_1f9ef975a8bd404eb5e068444fe9afc4" concept="clcid-pte:WeiFenPeiLiRun" label="未分配利润" periodRef="上年期初数" mulRef="_GBC_cfb07ff3eded4b49916cfc42d821bab6" unitRef="_GBC_55c70fe731be4b84be72ea88afd989b8" addr="T0R3C2S1_1" formatStyle="Comma" appId="_GBC_32c558bdbb77445cabeee783e5ff910e">
        <m:complexRule comparator="Eq" title="未分配利润@上年期初数" test=" $_GBC_3b60b81a3b7a41358769befa9a27265b +  $_GBC_ccc265f084114dfeb4d96a2bd00c8692" id="Caf6c7d388be94302848d222a0dc8dafe"/>
      </m:item>
      <m:placeholder xlName="_PLD_2a8ba0dc26a946cbb60b0ff473f157c1" addr="T0R4C0S1_1"/>
      <m:item xlName="_GBC_af6403d9f9d848f2a194c6ba17837064" concept="clcid-pte:GuiShuYuMuGongSiSuoYouZheDeJingLiRun" label="归属于母公司所有者的净利润" mulRef="_GBC_cfb07ff3eded4b49916cfc42d821bab6" unitRef="_GBC_55c70fe731be4b84be72ea88afd989b8" addr="T0R4C1S1_1" formatStyle="Comma" appId="_GBC_32c558bdbb77445cabeee783e5ff910e"/>
      <m:item xlName="_GBC_c1aa48dc3baa423a947b20ce66d52264" concept="clcid-pte:GuiShuYuMuGongSiSuoYouZheDeJingLiRun" label="归属于母公司所有者的净利润" periodRef="上年数" mulRef="_GBC_cfb07ff3eded4b49916cfc42d821bab6" unitRef="_GBC_55c70fe731be4b84be72ea88afd989b8" addr="T0R4C2S1_1" formatStyle="Comma" appId="_GBC_32c558bdbb77445cabeee783e5ff910e"/>
      <m:placeholder xlName="_PLD_97aab68ad9b74921a7946fa4d2999e51" addr="T0R5C0S1_1"/>
      <m:item xlName="_GBC_763ccacdfd5e4b4da0afeaa6cca36081" concept="clcid-pte:TiQuFaDingYingYuGongJi" label="提取法定盈余公积" mulRef="_GBC_cfb07ff3eded4b49916cfc42d821bab6" unitRef="_GBC_55c70fe731be4b84be72ea88afd989b8" addr="T0R5C1S1_1" formatStyle="Comma" appId="_GBC_32c558bdbb77445cabeee783e5ff910e"/>
      <m:item xlName="_GBC_17f218a5ccde40269d16f6b6eb3214e0" concept="clcid-pte:TiQuFaDingYingYuGongJi" label="提取法定盈余公积" periodRef="上年数" mulRef="_GBC_cfb07ff3eded4b49916cfc42d821bab6" unitRef="_GBC_55c70fe731be4b84be72ea88afd989b8" addr="T0R5C2S1_1" formatStyle="Comma" appId="_GBC_32c558bdbb77445cabeee783e5ff910e"/>
      <m:placeholder xlName="_PLD_76ebcf558d244f77a28b1f8b843a2b3a" addr="T0R6C0S1_1"/>
      <m:item xlName="_GBC_c232ce46af814700a3aa6b177bf1981b" concept="clcid-pte:TiQuRenYiYingYuGongJi" label="提取任意盈余公积" mulRef="_GBC_cfb07ff3eded4b49916cfc42d821bab6" unitRef="_GBC_55c70fe731be4b84be72ea88afd989b8" addr="T0R6C1S1_1" formatStyle="Comma" appId="_GBC_32c558bdbb77445cabeee783e5ff910e"/>
      <m:item xlName="_GBC_124993fe56f3444888067d0ccec0b7fb" concept="clcid-pte:TiQuRenYiYingYuGongJi" label="提取任意盈余公积" periodRef="上年数" mulRef="_GBC_cfb07ff3eded4b49916cfc42d821bab6" unitRef="_GBC_55c70fe731be4b84be72ea88afd989b8" addr="T0R6C2S1_1" formatStyle="Comma" appId="_GBC_32c558bdbb77445cabeee783e5ff910e"/>
      <m:placeholder xlName="_PLD_c773909db1b34f04acac84ec73864a3f" addr="T0R7C0S1_1"/>
      <m:item xlName="_GBC_69e19fe79ac746a5919ab6a6b63f3b0b" concept="clcid-pte:TiQianYiBanFengXianZhunBei" label="提取一般风险准备" mulRef="_GBC_cfb07ff3eded4b49916cfc42d821bab6" unitRef="_GBC_55c70fe731be4b84be72ea88afd989b8" addr="T0R7C1S1_1" formatStyle="Comma" appId="_GBC_32c558bdbb77445cabeee783e5ff910e"/>
      <m:item xlName="_GBC_7f8d67d25889414c900e08c4c41b8cfd" concept="clcid-pte:TiQianYiBanFengXianZhunBei" label="提取一般风险准备" periodRef="上年数" mulRef="_GBC_cfb07ff3eded4b49916cfc42d821bab6" unitRef="_GBC_55c70fe731be4b84be72ea88afd989b8" addr="T0R7C2S1_1" formatStyle="Comma" appId="_GBC_32c558bdbb77445cabeee783e5ff910e"/>
      <m:placeholder xlName="_PLD_d2ba40ebcadd4931bdef6468fc324069" addr="T0R8C0S1_1"/>
      <m:item xlName="_GBC_59672b5a12f14724937dddcb3ddb9932" concept="clcid-pte:YingFuPuTongGuGuLi" label="应付普通股股利" mulRef="_GBC_cfb07ff3eded4b49916cfc42d821bab6" unitRef="_GBC_55c70fe731be4b84be72ea88afd989b8" addr="T0R8C1S1_1" formatStyle="Comma" appId="_GBC_32c558bdbb77445cabeee783e5ff910e"/>
      <m:item xlName="_GBC_e7104dae1039405196626a183d74cd0f" concept="clcid-pte:YingFuPuTongGuGuLi" label="应付普通股股利" periodRef="上年数" mulRef="_GBC_cfb07ff3eded4b49916cfc42d821bab6" unitRef="_GBC_55c70fe731be4b84be72ea88afd989b8" addr="T0R8C2S1_1" formatStyle="Comma" appId="_GBC_32c558bdbb77445cabeee783e5ff910e"/>
      <m:placeholder xlName="_PLD_d8041f36a4744fe893cd617b9149d704" addr="T0R9C0S1_1"/>
      <m:item xlName="_GBC_b54e0497c8c24638828eb92b92a65f53" concept="clcid-pte:ZhuanZuoGuBenDePuTongGuGuLi" label="转作股本的普通股股利" mulRef="_GBC_cfb07ff3eded4b49916cfc42d821bab6" unitRef="_GBC_55c70fe731be4b84be72ea88afd989b8" addr="T0R9C1S1_1" formatStyle="Comma" appId="_GBC_32c558bdbb77445cabeee783e5ff910e"/>
      <m:item xlName="_GBC_642ccecbf9a54c0fb0eff296477777d9" concept="clcid-pte:ZhuanZuoGuBenDePuTongGuGuLi" label="转作股本的普通股股利" periodRef="上年数" mulRef="_GBC_cfb07ff3eded4b49916cfc42d821bab6" unitRef="_GBC_55c70fe731be4b84be72ea88afd989b8" addr="T0R9C2S1_1" formatStyle="Comma" appId="_GBC_32c558bdbb77445cabeee783e5ff910e"/>
      <m:tuple xlName="_GBC_7def170558744ebdb1f4975e27e4042b" concept="clcid-pte:BenQiQiTaLiRunFenPei" default_row="2" addr="T0R10C">
        <m:item xlName="_GBC_97d088ff984a42238db1b1e520f938eb" concept="clcid-pte:BenQiQiTaLiRunFenPeiQingKuang" label="本期其他利润分配情况" addr="T0R10C0S1_1" appId="_GBC_32c558bdbb77445cabeee783e5ff910e"/>
        <m:item xlName="_GBC_d822cbafe859425c9f8c537caca32c36" concept="clcid-pte:BenQiQiTaLiRunFenPeiJinE" label="本期其他利润分配金额" mulRef="_GBC_cfb07ff3eded4b49916cfc42d821bab6" unitRef="_GBC_55c70fe731be4b84be72ea88afd989b8" addr="T0R10C1S1_1" formatStyle="Comma" appId="_GBC_32c558bdbb77445cabeee783e5ff910e"/>
        <m:item xlName="_GBC_4e2d404266534096ad8785252de2f8ee" concept="clcid-pte:BenQiQiTaLiRunFenPeiJinE" label="本期其他利润分配金额" periodRef="上年数" mulRef="_GBC_cfb07ff3eded4b49916cfc42d821bab6" unitRef="_GBC_55c70fe731be4b84be72ea88afd989b8" addr="T0R10C2S1_1" formatStyle="Comma" appId="_GBC_32c558bdbb77445cabeee783e5ff910e"/>
      </m:tuple>
      <m:placeholder xlName="_PLD_0654c3e21e6d4aa0a63a12e93a24988a" addr="T0R12C0S1_1"/>
      <m:item xlName="_GBC_2bf8433ea0174a8aba70c9083f9a8416" concept="clcid-pte:WeiFenPeiLiRun" label="未分配利润" mulRef="_GBC_cfb07ff3eded4b49916cfc42d821bab6" unitRef="_GBC_55c70fe731be4b84be72ea88afd989b8" addr="T0R12C1S1_1" formatStyle="Comma" appId="_GBC_32c558bdbb77445cabeee783e5ff910e">
        <m:complexRule comparator="Eq" title="未分配利润" test=" $_GBC_1b019340056a4d1c96b0aa8871b84020 +  $_GBC_af6403d9f9d848f2a194c6ba17837064 -  $_GBC_763ccacdfd5e4b4da0afeaa6cca36081 -  $_GBC_c232ce46af814700a3aa6b177bf1981b -  $_GBC_69e19fe79ac746a5919ab6a6b63f3b0b -  $_GBC_59672b5a12f14724937dddcb3ddb9932 -  $_GBC_b54e0497c8c24638828eb92b92a65f53 -  $_GBC_d822cbafe859425c9f8c537caca32c36" id="Ca0a28ca7dc7340a68c694f33b77ba70c" serialType="1"/>
      </m:item>
      <m:item xlName="_GBC_d6e7c166319e45a59a512ab38071b75b" concept="clcid-pte:WeiFenPeiLiRun" label="未分配利润" periodRef="上年度期末数" mulRef="_GBC_cfb07ff3eded4b49916cfc42d821bab6" unitRef="_GBC_55c70fe731be4b84be72ea88afd989b8" addr="T0R12C2S1_1" formatStyle="Comma" appId="_GBC_32c558bdbb77445cabeee783e5ff910e">
        <m:complexRule comparator="Eq" title="未分配利润@上年期末数" test=" $_GBC_1f9ef975a8bd404eb5e068444fe9afc4 +  $_GBC_c1aa48dc3baa423a947b20ce66d52264 -  $_GBC_17f218a5ccde40269d16f6b6eb3214e0 -  $_GBC_124993fe56f3444888067d0ccec0b7fb -  $_GBC_7f8d67d25889414c900e08c4c41b8cfd -  $_GBC_e7104dae1039405196626a183d74cd0f -  $_GBC_642ccecbf9a54c0fb0eff296477777d9 -  $_GBC_4e2d404266534096ad8785252de2f8ee" id="Ce23fe9a1e8da4a389f894ab60ad6b407" serialType="1"/>
      </m:item>
      <m:item xlName="_GBC_a54a245e74754754a6239606b5ebbb06" concept="clcid-pte:YiJuQiYeKuaiJiZhunZeJiQiXiangGuanGuiDingJinXingZhuiSuTiaoZhengYingXiangNianChuWeiFenPeiLiRunHeJi" label="依据《企业会计准则》及其相关规定进行追溯调整影响年初未分配利润合计" formatStyle="Comma" appId="_GBC_32c558bdbb77445cabeee783e5ff910e"/>
      <m:item xlName="_GBC_8295d6891c8842f58b58e4223b4e1700" concept="clcid-pte:YouYuKuaiJiZhengCeBianGengYingXiangNianChuWeiFenPeiLiRun" label="由于会计政策变更影响年初未分配利润" formatStyle="Comma" appId="_GBC_32c558bdbb77445cabeee783e5ff910e"/>
      <m:item xlName="_GBC_34728ea6faff41218abab9b8fede268c" concept="clcid-pte:YouYuZhongDaKuaiJiChaCuoGengZhengYingXiangNianChuWeiFenPeiLiRun" label="由于重大会计差错更正影响年初未分配利润" formatStyle="Comma" appId="_GBC_32c558bdbb77445cabeee783e5ff910e"/>
      <m:item xlName="_GBC_4d9b7a873cb94aba9044210a45f81108" concept="clcid-pte:TongYiKongZhiDaoZhiDeHeBingFanWeiBianGengYingXiangNianChuWeiFenPeiLiRun" label="同一控制导致的合并范围变更影响年初未分配利润" formatStyle="Comma" appId="_GBC_32c558bdbb77445cabeee783e5ff910e"/>
      <m:item xlName="_GBC_ccd86b3788e04a70a2e6a2167027d7cb" concept="clcid-pte:QiTaTiaoZhengHeJiYingXiangNianChuWeiFenPeiLiRun" label="其他调整合计影响年初未分配利润" formatStyle="Comma" appId="_GBC_32c558bdbb77445cabeee783e5ff910e"/>
    </m:section>
    <m:section xlName="_GBC_a3a22662ec3d4fb69e12845051ced996" title="营业收入和营业成本" rules="R2015_R11_020" helpId="112001110">
      <m:item xlName="_GBC_876680c4ba6b433896b625efff84d599" concept="clcid-ci-ar:ShiFouShiYongYingYeShouRuHeYingYeChengBen" label="是否适用：营业收入和营业成本" selectOptions="_buildInAppliance" controlType="CustomCheckbox" cRanges="{&quot;StartName&quot;:&quot;_GBC_876680c4ba6b433896b625efff84d599&quot;,&quot;EndName&quot;:&quot;_GBC_57d09d16f7ec462a953cc902058015c9&quot;,&quot;CType&quot;:1,&quot;DisplayText&quot;:null}"/>
      <m:item xlName="_GBC_611ed6dd25a247cf86a0fb98cd86e68f" concept="clcid-ci-ar:DanWeiCaiWuFuZhuYingYeShouRu" label="单位：财务附注：营业收入" selectOptions="_buildInScales" controlType="Combobox" cellType="Scale" appId="_GBC_876680c4ba6b433896b625efff84d599"/>
      <m:item xlName="_GBC_ba5cd3776b804cc291ae4c216c605f02" concept="clcid-ci-ar:BiZhongCaiWuFuZhuYingYeShouRu" label="币种：财务附注：营业收入" selectOptions="_buildInISO4217" controlType="Combobox" cellType="Measure" appId="_GBC_876680c4ba6b433896b625efff84d599"/>
      <m:placeholder xlName="_PLD_d41752618c6a4ee08ca01f5944b34b81" addr="T0R0C0S2_1"/>
      <m:placeholder xlName="_PLD_f88658ae6cb94ea390736e112b0d5ffc" addr="T0R0C1S1_2"/>
      <m:placeholder xlName="_PLD_0840d72efce94f22bdf4d566046b2e87" addr="T0R0C3S1_2"/>
      <m:placeholder xlName="_PLD_39942ac1f2654fa6bda80d7116d83859" addr="T0R1C1S1_1"/>
      <m:placeholder xlName="_PLD_5075262c52564bf09f90a67ee6a84b17" addr="T0R1C2S1_1"/>
      <m:placeholder xlName="_PLD_33a1015c666d49cba108bce6aafea1f7" addr="T0R1C3S1_1"/>
      <m:placeholder xlName="_PLD_d09deaa2e4d443459a3584a1d7e92203" addr="T0R1C4S1_1"/>
      <m:placeholder xlName="_PLD_b7bfcd00fb124eaf81fd672b23a24a00" addr="T0R2C0S1_1"/>
      <m:item xlName="_GBC_0e81d350bb4546808837bfe2c11e2ede" concept="clcid-pte:ZhuYingYeWuShouRu" label="主营业务收入" mulRef="_GBC_611ed6dd25a247cf86a0fb98cd86e68f" unitRef="_GBC_ba5cd3776b804cc291ae4c216c605f02" addr="T0R2C1S1_1" formatStyle="Comma" appId="_GBC_876680c4ba6b433896b625efff84d599"/>
      <m:item xlName="_GBC_6e5d8e6ddb3440efab04a25c2ab5a855" concept="clcid-pte:ZhuYingYeWuChengBen" label="主营业务成本" mulRef="_GBC_611ed6dd25a247cf86a0fb98cd86e68f" unitRef="_GBC_ba5cd3776b804cc291ae4c216c605f02" addr="T0R2C2S1_1" formatStyle="Comma" appId="_GBC_876680c4ba6b433896b625efff84d599"/>
      <m:item xlName="_GBC_e7f2c09e6608410aaf9ebc9062cf1af1" concept="clcid-pte:ZhuYingYeWuShouRu" label="主营业务收入" periodRef="上年同期数" mulRef="_GBC_611ed6dd25a247cf86a0fb98cd86e68f" unitRef="_GBC_ba5cd3776b804cc291ae4c216c605f02" addr="T0R2C3S1_1" formatStyle="Comma" appId="_GBC_876680c4ba6b433896b625efff84d599"/>
      <m:item xlName="_GBC_ce2ffafbd69b4d3ab96f53b97f7ebfb5" concept="clcid-pte:ZhuYingYeWuChengBen" label="主营业务成本" periodRef="上年同期数" mulRef="_GBC_611ed6dd25a247cf86a0fb98cd86e68f" unitRef="_GBC_ba5cd3776b804cc291ae4c216c605f02" addr="T0R2C4S1_1" formatStyle="Comma" appId="_GBC_876680c4ba6b433896b625efff84d599"/>
      <m:placeholder xlName="_PLD_a17f3dcab1c140c8a4254ddfe38c4d7d" addr="T0R3C0S1_1"/>
      <m:item xlName="_GBC_34596ac1a3cf4e79bfdca768f0b505d1" concept="clcid-pte:QiTaYeWuShouRuHeJi" label="其他业务收入" mulRef="_GBC_611ed6dd25a247cf86a0fb98cd86e68f" unitRef="_GBC_ba5cd3776b804cc291ae4c216c605f02" addr="T0R3C1S1_1" formatStyle="Comma" appId="_GBC_876680c4ba6b433896b625efff84d599"/>
      <m:item xlName="_GBC_1556f31478ae4a17a90c8c9b7a841466" concept="clcid-pte:QiTaYeWuChengBenHeJi" label="其他业务成本" mulRef="_GBC_611ed6dd25a247cf86a0fb98cd86e68f" unitRef="_GBC_ba5cd3776b804cc291ae4c216c605f02" addr="T0R3C2S1_1" formatStyle="Comma" appId="_GBC_876680c4ba6b433896b625efff84d599"/>
      <m:item xlName="_GBC_3d94e2d85cc14347858ec94433920ac2" concept="clcid-pte:QiTaYeWuShouRuHeJi" label="其他业务收入" periodRef="上年同期数" mulRef="_GBC_611ed6dd25a247cf86a0fb98cd86e68f" unitRef="_GBC_ba5cd3776b804cc291ae4c216c605f02" addr="T0R3C3S1_1" formatStyle="Comma" appId="_GBC_876680c4ba6b433896b625efff84d599"/>
      <m:item xlName="_GBC_47102a524dd840bda0509612407a93c9" concept="clcid-pte:QiTaYeWuChengBenHeJi" label="其他业务成本" periodRef="上年同期数" mulRef="_GBC_611ed6dd25a247cf86a0fb98cd86e68f" unitRef="_GBC_ba5cd3776b804cc291ae4c216c605f02" addr="T0R3C4S1_1" formatStyle="Comma" appId="_GBC_876680c4ba6b433896b625efff84d599"/>
      <m:placeholder xlName="_PLD_d6cf597d82bf4ed089aa5592301f1642" addr="T0R4C0S1_1"/>
      <m:item xlName="_GBC_85e1a3922c6a4f24b7e2185b9729e4f3" concept="clcid-pte:YingYeShouRu" label="营业收入" mulRef="_GBC_611ed6dd25a247cf86a0fb98cd86e68f" unitRef="_GBC_ba5cd3776b804cc291ae4c216c605f02" addr="T0R4C1S1_1" formatStyle="Comma" appId="_GBC_876680c4ba6b433896b625efff84d599">
        <m:complexRule comparator="Eq" title="营业收入" test=" $_GBC_0e81d350bb4546808837bfe2c11e2ede +  $_GBC_34596ac1a3cf4e79bfdca768f0b505d1" id="Cb8468e9fa3e84f6c94ede9440abd5be8"/>
      </m:item>
      <m:item xlName="_GBC_9d034a7c437e4be58c5e5218d6e41d44" concept="clcid-pte:YingYeChengBen" label="营业成本" mulRef="_GBC_611ed6dd25a247cf86a0fb98cd86e68f" unitRef="_GBC_ba5cd3776b804cc291ae4c216c605f02" addr="T0R4C2S1_1" formatStyle="Comma" appId="_GBC_876680c4ba6b433896b625efff84d599">
        <m:complexRule comparator="Eq" title="营业成本" test=" $_GBC_6e5d8e6ddb3440efab04a25c2ab5a855 +  $_GBC_1556f31478ae4a17a90c8c9b7a841466" id="C561a9aa52eb04285a560006727b54d17"/>
      </m:item>
      <m:item xlName="_GBC_b5c6749f74a648d99107c757ff318b7a" concept="clcid-pte:YingYeShouRu" label="营业收入" periodRef="上年同期数" mulRef="_GBC_611ed6dd25a247cf86a0fb98cd86e68f" unitRef="_GBC_ba5cd3776b804cc291ae4c216c605f02" addr="T0R4C3S1_1" formatStyle="Comma" appId="_GBC_876680c4ba6b433896b625efff84d599">
        <m:complexRule comparator="Eq" title="营业收入@上年同期数" test=" $_GBC_e7f2c09e6608410aaf9ebc9062cf1af1 +  $_GBC_3d94e2d85cc14347858ec94433920ac2" id="Cfa14d80645c144608be611b4e78a4d8c"/>
      </m:item>
      <m:item xlName="_GBC_57d09d16f7ec462a953cc902058015c9" concept="clcid-pte:YingYeChengBen" label="营业成本" periodRef="上年同期数" mulRef="_GBC_611ed6dd25a247cf86a0fb98cd86e68f" unitRef="_GBC_ba5cd3776b804cc291ae4c216c605f02" addr="T0R4C4S1_1" formatStyle="Comma" appId="_GBC_876680c4ba6b433896b625efff84d599">
        <m:complexRule comparator="Eq" title="营业成本@上年同期数" test=" $_GBC_ce2ffafbd69b4d3ab96f53b97f7ebfb5 +  $_GBC_47102a524dd840bda0509612407a93c9" id="Cc633c470e42b47808fadb1377e53b9a6"/>
      </m:item>
    </m:section>
    <m:section xlName="_SEC_a8e15093e1ef4b64a05aa66b1647502c" title="合同产生的收入的情况" tagAction="1">
      <m:item xlName="_GBC_c21770085a2f4dd3922bd8eb4c58558c" concept="clcid-ci-ar:ShiFouShiYongHeTongChanShengDeShouRu" label="是否适用：合同产生的收入" selectOptions="_buildInAppliance" controlType="CustomCheckbox" cRanges="[{&quot;StartName&quot;:&quot;_GBC_c21770085a2f4dd3922bd8eb4c58558c&quot;,&quot;EndName&quot;:&quot;_GBC_5df8a240d4764103ad340ee5d91d16d6&quot;,&quot;CType&quot;:1}]"/>
      <m:item xlName="_GBC_ad3fa206b47145cea9728c5ff60d9346" concept="clcid-ci-ar:DanWeiHeTongChanShengDeShouRu" label="单位：合同产生的收入" selectOptions="_buildInScales" controlType="Combobox" cellType="Scale" appId="_GBC_c21770085a2f4dd3922bd8eb4c58558c"/>
      <m:item xlName="_GBC_bbe175f0f61a42949a1146ca1734e362" concept="clcid-ci-ar:BiZhongHeTongChanShengDeShouRu" label="币种：合同产生的收入" selectOptions="_buildInISO4217" controlType="Combobox" cellType="Measure" appId="_GBC_c21770085a2f4dd3922bd8eb4c58558c"/>
      <m:placeholder xlName="_PLD_bf90fdfeb0c2419ba1ce17d060f1056f" addr="T0R0C0S1_1"/>
      <m:item xlName="_GBC_6b75b59ddb224134b8ea11484825b0a5" concept="clcid-pte:HeTongChanShengDeShouRuFenBuMingCheng" label="合同产生的收入分部名称" mulRef="_GBC_ad3fa206b47145cea9728c5ff60d9346" unitRef="_GBC_bbe175f0f61a42949a1146ca1734e362" addr="T0R0C1S1_1" tagAction="1" formatStyle="Comma" tupleRef="clcid-pte:HeTongChanShengDeShouRuFenBuMingXi" appId="_GBC_c21770085a2f4dd3922bd8eb4c58558c" isCaption="true"/>
      <m:placeholder xlName="_PLD_db6b6651438f4eec8a8c96f0e8c1dca2" addr="T0R0C2S1_1"/>
      <m:placeholder xlName="_PLD_b01740e1773145b8849df786a44184de" addr="T0R1C0S1_1"/>
      <m:item xlName="_GBC_2b2f7aef2e674442b228005d07274e05" concept="clcid-pte:FenBuShangPinLeiXingHeTongChanShengDeShouRu" label="分部商品类型合同产生的收入" mulRef="_GBC_ad3fa206b47145cea9728c5ff60d9346" unitRef="_GBC_bbe175f0f61a42949a1146ca1734e362" addr="T0R1C1S1_1" formatStyle="Comma" tupleRef="clcid-pte:HeTongChanShengDeShouRuFenBuMingXi" appId="_GBC_c21770085a2f4dd3922bd8eb4c58558c"/>
      <m:item xlName="_GBC_d7e93835acce452384af33551ba7f585" concept="clcid-pte:ShangPinLeiXingHeTongChanShengDeShouRu" label="商品类型合同产生的收入" mulRef="_GBC_ad3fa206b47145cea9728c5ff60d9346" unitRef="_GBC_bbe175f0f61a42949a1146ca1734e362" addr="T0R1C2S1_1" formatStyle="Comma" appId="_GBC_c21770085a2f4dd3922bd8eb4c58558c"/>
      <m:item xlName="_GBC_9b24d072ad6f4b69a94ec304db6192c3" concept="clcid-pte:FenBuShangPinLeiXingMingXiMingCheng1" label="分部商品类型明细名称1" addr="T0R2C0S1_1" tagAction="1" appId="_GBC_c21770085a2f4dd3922bd8eb4c58558c" isSerialConcept="true" serialDirection="1" serialDefaultCount="2"/>
      <m:item xlName="_GBC_5d3d3176f1784cb08da754a9734f9bb2" concept="clcid-pte:FenBuShangPinLeiXingMingXiHeTongChanShengDeShouRu1" label="分部商品类型明细合同产生的收入1" mulRef="_GBC_ad3fa206b47145cea9728c5ff60d9346" unitRef="_GBC_bbe175f0f61a42949a1146ca1734e362" addr="T0R2C1S1_1" formatStyle="Comma" tupleRef="clcid-pte:HeTongChanShengDeShouRuFenBuMingXi" appId="_GBC_c21770085a2f4dd3922bd8eb4c58558c" isSerialConcept="true" serialDirection="1" serialDefaultCount="2"/>
      <m:item xlName="_GBC_4e6bfa20e78f4111b81144120f593c56" concept="clcid-pte:ShangPinLeiXingMingXiHeTongChanShengDeShouRu1" label="商品类型明细合同产生的收入1" mulRef="_GBC_ad3fa206b47145cea9728c5ff60d9346" unitRef="_GBC_bbe175f0f61a42949a1146ca1734e362" addr="T0R2C2S1_1" formatStyle="Comma" appId="_GBC_c21770085a2f4dd3922bd8eb4c58558c" isSerialConcept="true" serialDirection="1" serialDefaultCount="2"/>
      <m:placeholder xlName="_PLD_0753f1e3ffaa40ba888fec6a046a67fa" addr="T0R3C0S1_1"/>
      <m:item xlName="_GBC_92d84352ddd14bdf9016c5678cbbdb22" concept="clcid-pte:FenBuAnJingYingDiQuFenLeiHeTongChanShengDeShouRu" label="分部按经营地区分类合同产生的收入" mulRef="_GBC_ad3fa206b47145cea9728c5ff60d9346" unitRef="_GBC_bbe175f0f61a42949a1146ca1734e362" addr="T0R3C1S1_1" formatStyle="Comma" tupleRef="clcid-pte:HeTongChanShengDeShouRuFenBuMingXi" appId="_GBC_c21770085a2f4dd3922bd8eb4c58558c"/>
      <m:item xlName="_GBC_c7c210722fd54724bfc6fc92bceb1fb7" concept="clcid-pte:AnJingYingDiQuFenLeiHeTongChanShengDeShouRu" label="按经营地区分类合同产生的收入" mulRef="_GBC_ad3fa206b47145cea9728c5ff60d9346" unitRef="_GBC_bbe175f0f61a42949a1146ca1734e362" addr="T0R3C2S1_1" formatStyle="Comma" appId="_GBC_c21770085a2f4dd3922bd8eb4c58558c"/>
      <m:item xlName="_GBC_2164a57364264b61b1897be5a1ac0855" concept="clcid-pte:FenBuAnJingYingDiQuFenLeiMingXiMingCheng1" label="分部按经营地区分类明细名称1" addr="T0R4C0S1_1" tagAction="1" appId="_GBC_c21770085a2f4dd3922bd8eb4c58558c" isSerialConcept="true" serialDirection="1" serialDefaultCount="2"/>
      <m:item xlName="_GBC_541813ff577a4b7299e84962610e8d5e" concept="clcid-pte:FenBuAnJingYingDiQuFenLeiMingXiHeTongChanShengDeShouRu1" label="分部按经营地区分类明细合同产生的收入1" mulRef="_GBC_ad3fa206b47145cea9728c5ff60d9346" unitRef="_GBC_bbe175f0f61a42949a1146ca1734e362" addr="T0R4C1S1_1" formatStyle="Comma" tupleRef="clcid-pte:HeTongChanShengDeShouRuFenBuMingXi" appId="_GBC_c21770085a2f4dd3922bd8eb4c58558c" isSerialConcept="true" serialDirection="1" serialDefaultCount="2"/>
      <m:item xlName="_GBC_74f78b337dec41cb88520f72ad77f2e2" concept="clcid-pte:AnJingYingDiQuFenLeiMingXiHeTongChanShengDeShouRu1" label="按经营地区分类明细合同产生的收入1" mulRef="_GBC_ad3fa206b47145cea9728c5ff60d9346" unitRef="_GBC_bbe175f0f61a42949a1146ca1734e362" addr="T0R4C2S1_1" formatStyle="Comma" appId="_GBC_c21770085a2f4dd3922bd8eb4c58558c" isSerialConcept="true" serialDirection="1" serialDefaultCount="2"/>
      <m:placeholder xlName="_PLD_f3015d8e4f6f44f98d89060b6c75233c" addr="T0R5C0S1_1"/>
      <m:item xlName="_GBC_45395aa7854d48de9016fdbebd64be59" concept="clcid-pte:FenBuShiChangHuoKeHuLeiXingHeTongChanShengDeShouRu" label="分部市场或客户类型合同产生的收入" mulRef="_GBC_ad3fa206b47145cea9728c5ff60d9346" unitRef="_GBC_bbe175f0f61a42949a1146ca1734e362" addr="T0R5C1S1_1" formatStyle="Comma" tupleRef="clcid-pte:HeTongChanShengDeShouRuFenBuMingXi" appId="_GBC_c21770085a2f4dd3922bd8eb4c58558c"/>
      <m:item xlName="_GBC_6777bb26db2942879a19d2c08e185734" concept="clcid-pte:ShiChangHuoKeHuLeiXingHeTongChanShengDeShouRu" label="市场或客户类型合同产生的收入" mulRef="_GBC_ad3fa206b47145cea9728c5ff60d9346" unitRef="_GBC_bbe175f0f61a42949a1146ca1734e362" addr="T0R5C2S1_1" formatStyle="Comma" appId="_GBC_c21770085a2f4dd3922bd8eb4c58558c"/>
      <m:item xlName="_GBC_46263ca243a5438eb43ca6bbb6d7b5e0" concept="clcid-pte:FenBuShiChangHuoKeHuLeiXingMingXiMingCheng1" label="分部市场或客户类型明细名称1" addr="T0R6C0S1_1" tagAction="1" appId="_GBC_c21770085a2f4dd3922bd8eb4c58558c" isSerialConcept="true" serialDirection="1" serialDefaultCount="2"/>
      <m:item xlName="_GBC_dc6db667ec2c47e09a12ad430142267e" concept="clcid-pte:FenBuShiChangHuoKeHuLeiXingMingXiHeTongChanShengDeShouRu1" label="分部市场或客户类型明细合同产生的收入1" mulRef="_GBC_ad3fa206b47145cea9728c5ff60d9346" unitRef="_GBC_bbe175f0f61a42949a1146ca1734e362" addr="T0R6C1S1_1" formatStyle="Comma" tupleRef="clcid-pte:HeTongChanShengDeShouRuFenBuMingXi" appId="_GBC_c21770085a2f4dd3922bd8eb4c58558c" isSerialConcept="true" serialDirection="1" serialDefaultCount="2"/>
      <m:item xlName="_GBC_d6738395127e4cf2b746f96bafd73a5b" concept="clcid-pte:ShiChangHuoKeHuLeiXingMingXiHeTongChanShengDeShouRu1" label="市场或客户类型明细合同产生的收入1" mulRef="_GBC_ad3fa206b47145cea9728c5ff60d9346" unitRef="_GBC_bbe175f0f61a42949a1146ca1734e362" addr="T0R6C2S1_1" formatStyle="Comma" appId="_GBC_c21770085a2f4dd3922bd8eb4c58558c" isSerialConcept="true" serialDirection="1" serialDefaultCount="2"/>
      <m:placeholder xlName="_PLD_ccff2704278f451594422937a2c2e3a6" addr="T0R7C0S1_1"/>
      <m:item xlName="_GBC_671c784348ea4c6ea945a3f1c82e1010" concept="clcid-pte:FenBuHeTongLeiXingHeTongChanShengDeShouRu" label="分部合同类型合同产生的收入" mulRef="_GBC_ad3fa206b47145cea9728c5ff60d9346" unitRef="_GBC_bbe175f0f61a42949a1146ca1734e362" addr="T0R7C1S1_1" formatStyle="Comma" tupleRef="clcid-pte:HeTongChanShengDeShouRuFenBuMingXi" appId="_GBC_c21770085a2f4dd3922bd8eb4c58558c"/>
      <m:item xlName="_GBC_a97a78c90f714313a04ad4488720c929" concept="clcid-pte:HeTongLeiXingHeTongChanShengDeShouRu" label="合同类型合同产生的收入" mulRef="_GBC_ad3fa206b47145cea9728c5ff60d9346" unitRef="_GBC_bbe175f0f61a42949a1146ca1734e362" addr="T0R7C2S1_1" formatStyle="Comma" appId="_GBC_c21770085a2f4dd3922bd8eb4c58558c"/>
      <m:item xlName="_GBC_a02cc814630948fcb4dd9235544cdf25" concept="clcid-pte:FenBuHeTongLeiXingMingXiMingCheng1" label="分部合同类型明细名称1" addr="T0R8C0S1_1" tagAction="1" appId="_GBC_c21770085a2f4dd3922bd8eb4c58558c" isSerialConcept="true" serialDirection="1" serialDefaultCount="2"/>
      <m:item xlName="_GBC_c3662a3e1fe648eb964a3e0a28468a54" concept="clcid-pte:FenBuHeTongLeiXingMingXiHeTongChanShengDeShouRu1" label="分部合同类型明细合同产生的收入1" mulRef="_GBC_ad3fa206b47145cea9728c5ff60d9346" unitRef="_GBC_bbe175f0f61a42949a1146ca1734e362" addr="T0R8C1S1_1" formatStyle="Comma" tupleRef="clcid-pte:HeTongChanShengDeShouRuFenBuMingXi" appId="_GBC_c21770085a2f4dd3922bd8eb4c58558c" isSerialConcept="true" serialDirection="1" serialDefaultCount="2"/>
      <m:item xlName="_GBC_82778718ce4e48d9bebb3ace296a4a51" concept="clcid-pte:HeTongLeiXingMingXiHeTongChanShengDeShouRu1" label="合同类型明细合同产生的收入1" mulRef="_GBC_ad3fa206b47145cea9728c5ff60d9346" unitRef="_GBC_bbe175f0f61a42949a1146ca1734e362" addr="T0R8C2S1_1" formatStyle="Comma" appId="_GBC_c21770085a2f4dd3922bd8eb4c58558c" isSerialConcept="true" serialDirection="1" serialDefaultCount="2"/>
      <m:placeholder xlName="_PLD_85dc2e765fac44eaa8eca35d3e66ca6e" addr="T0R9C0S1_1"/>
      <m:item xlName="_GBC_aada5a73cae841a0b32866ddce5745fe" concept="clcid-pte:FenBuAnShangPinZhuanRangDeShiJianFenLeiHeTongChanShengDeShouRu" label="分部按商品转让的时间分类合同产生的收入" mulRef="_GBC_ad3fa206b47145cea9728c5ff60d9346" unitRef="_GBC_bbe175f0f61a42949a1146ca1734e362" addr="T0R9C1S1_1" formatStyle="Comma" tupleRef="clcid-pte:HeTongChanShengDeShouRuFenBuMingXi" appId="_GBC_c21770085a2f4dd3922bd8eb4c58558c"/>
      <m:item xlName="_GBC_3106a8573ba34af395e99aa3da3b88eb" concept="clcid-pte:AnShangPinZhuanRangDeShiJianFenLeiHeTongChanShengDeShouRu" label="按商品转让的时间分类合同产生的收入" mulRef="_GBC_ad3fa206b47145cea9728c5ff60d9346" unitRef="_GBC_bbe175f0f61a42949a1146ca1734e362" addr="T0R9C2S1_1" formatStyle="Comma" appId="_GBC_c21770085a2f4dd3922bd8eb4c58558c"/>
      <m:item xlName="_GBC_e7756cba04264ef8a2d621d20a3d8041" concept="clcid-pte:FenBuAnShangPinZhuanRangDeShiJianFenLeiMingXiMingCheng1" label="分部按商品转让的时间分类明细名称1" addr="T0R10C0S1_1" tagAction="1" appId="_GBC_c21770085a2f4dd3922bd8eb4c58558c" isSerialConcept="true" serialDirection="1" serialDefaultCount="2"/>
      <m:item xlName="_GBC_1c8dd9830e434fd99756948161fe5a30" concept="clcid-pte:FenBuAnShangPinZhuanRangDeShiJianFenLeiMingXiHeTongChanShengDeShouRu1" label="分部按商品转让的时间分类明细合同产生的收入1" mulRef="_GBC_ad3fa206b47145cea9728c5ff60d9346" unitRef="_GBC_bbe175f0f61a42949a1146ca1734e362" addr="T0R10C1S1_1" formatStyle="Comma" tupleRef="clcid-pte:HeTongChanShengDeShouRuFenBuMingXi" appId="_GBC_c21770085a2f4dd3922bd8eb4c58558c" isSerialConcept="true" serialDirection="1" serialDefaultCount="2"/>
      <m:item xlName="_GBC_735990eb00f647478a43e2b07fec3bd5" concept="clcid-pte:AnShangPinZhuanRangDeShiJianFenLeiMingXiHeTongChanShengDeShouRu1" label="按商品转让的时间分类明细合同产生的收入1" mulRef="_GBC_ad3fa206b47145cea9728c5ff60d9346" unitRef="_GBC_bbe175f0f61a42949a1146ca1734e362" addr="T0R10C2S1_1" formatStyle="Comma" appId="_GBC_c21770085a2f4dd3922bd8eb4c58558c" isSerialConcept="true" serialDirection="1" serialDefaultCount="2"/>
      <m:placeholder xlName="_PLD_6d3cfe1f5ad9443593e2e5b1d5b8a567" addr="T0R11C0S1_1"/>
      <m:item xlName="_GBC_ee392408f9d24b9bac0c8265eaa743a7" concept="clcid-pte:FenBuAnHeTongQiXianFenLeiHeTongChanShengDeShouRu" label="分部按合同期限分类合同产生的收入" mulRef="_GBC_ad3fa206b47145cea9728c5ff60d9346" unitRef="_GBC_bbe175f0f61a42949a1146ca1734e362" addr="T0R11C1S1_1" formatStyle="Comma" tupleRef="clcid-pte:HeTongChanShengDeShouRuFenBuMingXi" appId="_GBC_c21770085a2f4dd3922bd8eb4c58558c"/>
      <m:item xlName="_GBC_33b3bfe2df1f44958c8eb3172fa9c28e" concept="clcid-pte:AnHeTongQiXianFenLeiHeTongChanShengDeShouRu" label="按合同期限分类合同产生的收入" mulRef="_GBC_ad3fa206b47145cea9728c5ff60d9346" unitRef="_GBC_bbe175f0f61a42949a1146ca1734e362" addr="T0R11C2S1_1" formatStyle="Comma" appId="_GBC_c21770085a2f4dd3922bd8eb4c58558c"/>
      <m:item xlName="_GBC_264557d9e22748239eb705abd00aea51" concept="clcid-pte:FenBuAnHeTongQiXianFenLeiMingXiMingCheng1" label="分部按合同期限分类明细名称1" addr="T0R12C0S1_1" tagAction="1" appId="_GBC_c21770085a2f4dd3922bd8eb4c58558c" isSerialConcept="true" serialDirection="1" serialDefaultCount="2"/>
      <m:item xlName="_GBC_bba3520df74c4bb88b0bd471375cab8b" concept="clcid-pte:FenBuAnHeTongQiXianFenLeiMingXiHeTongChanShengDeShouRu1" label="分部按合同期限分类明细合同产生的收入1" mulRef="_GBC_ad3fa206b47145cea9728c5ff60d9346" unitRef="_GBC_bbe175f0f61a42949a1146ca1734e362" addr="T0R12C1S1_1" formatStyle="Comma" tupleRef="clcid-pte:HeTongChanShengDeShouRuFenBuMingXi" appId="_GBC_c21770085a2f4dd3922bd8eb4c58558c" isSerialConcept="true" serialDirection="1" serialDefaultCount="2"/>
      <m:item xlName="_GBC_d94f61bfa5c5407a8cb762ebdebcbd72" concept="clcid-pte:AnHeTongQiXianFenLeiMingXiHeTongChanShengDeShouRu1" label="按合同期限分类明细合同产生的收入1" mulRef="_GBC_ad3fa206b47145cea9728c5ff60d9346" unitRef="_GBC_bbe175f0f61a42949a1146ca1734e362" addr="T0R12C2S1_1" formatStyle="Comma" appId="_GBC_c21770085a2f4dd3922bd8eb4c58558c" isSerialConcept="true" serialDirection="1" serialDefaultCount="2"/>
      <m:placeholder xlName="_PLD_088d8e12be9a4705973169ff95637f45" addr="T0R13C0S1_1"/>
      <m:item xlName="_GBC_99b1a3761d1342c1bdfc233b86bdb847" concept="clcid-pte:FenBuAnXiaoShouQuDaoFenLeiHeTongChanShengDeShouRu" label="分部按销售渠道分类合同产生的收入" mulRef="_GBC_ad3fa206b47145cea9728c5ff60d9346" unitRef="_GBC_bbe175f0f61a42949a1146ca1734e362" addr="T0R13C1S1_1" formatStyle="Comma" tupleRef="clcid-pte:HeTongChanShengDeShouRuFenBuMingXi" appId="_GBC_c21770085a2f4dd3922bd8eb4c58558c"/>
      <m:item xlName="_GBC_9d2cba1cfc5248c989fd290b828270d4" concept="clcid-pte:AnXiaoShouQuDaoFenLeiHeTongChanShengDeShouRu" label="按销售渠道分类合同产生的收入" mulRef="_GBC_ad3fa206b47145cea9728c5ff60d9346" unitRef="_GBC_bbe175f0f61a42949a1146ca1734e362" addr="T0R13C2S1_1" formatStyle="Comma" appId="_GBC_c21770085a2f4dd3922bd8eb4c58558c"/>
      <m:item xlName="_GBC_01f774d622044391beae4b26ef21c9e7" concept="clcid-pte:FenBuAnXiaoShouQuDaoFenLeiMingXiMingCheng1" label="分部按销售渠道分类明细名称1" addr="T0R14C0S1_1" tagAction="1" appId="_GBC_c21770085a2f4dd3922bd8eb4c58558c" isSerialConcept="true" serialDirection="1" serialDefaultCount="2"/>
      <m:item xlName="_GBC_8bc3b3a2733846d0b236678a583fbf9f" concept="clcid-pte:FenBuAnXiaoShouQuDaoFenLeiMingXiHeTongChanShengDeShouRu1" label="分部按销售渠道分类明细合同产生的收入1" mulRef="_GBC_ad3fa206b47145cea9728c5ff60d9346" unitRef="_GBC_bbe175f0f61a42949a1146ca1734e362" addr="T0R14C1S1_1" formatStyle="Comma" tupleRef="clcid-pte:HeTongChanShengDeShouRuFenBuMingXi" appId="_GBC_c21770085a2f4dd3922bd8eb4c58558c" isSerialConcept="true" serialDirection="1" serialDefaultCount="2"/>
      <m:item xlName="_GBC_6359bcd7ec8b4a57acdd46bbef587551" concept="clcid-pte:AnXiaoShouQuDaoFenLeiMingXiHeTongChanShengDeShouRu1" label="按销售渠道分类明细合同产生的收入1" mulRef="_GBC_ad3fa206b47145cea9728c5ff60d9346" unitRef="_GBC_bbe175f0f61a42949a1146ca1734e362" addr="T0R14C2S1_1" formatStyle="Comma" appId="_GBC_c21770085a2f4dd3922bd8eb4c58558c" isSerialConcept="true" serialDirection="1" serialDefaultCount="2"/>
      <m:placeholder xlName="_PLD_61453ad2ba3743f2bbbec0bd3c2e2bce" addr="T0R15C0S1_1"/>
      <m:item xlName="_GBC_fdd22a21fd224e86b18a5661ccb86b4e" concept="clcid-pte:FenBuHeTongChanShengDeShouRu" label="分部合同产生的收入" mulRef="_GBC_ad3fa206b47145cea9728c5ff60d9346" unitRef="_GBC_bbe175f0f61a42949a1146ca1734e362" addr="T0R15C1S1_1" formatStyle="Comma" tupleRef="clcid-pte:HeTongChanShengDeShouRuFenBuMingXi" appId="_GBC_c21770085a2f4dd3922bd8eb4c58558c"/>
      <m:item xlName="_GBC_463fdb24770148078bc9ecdf4126a76b" concept="clcid-pte:HeTongChanShengDeShouRu" label="合同产生的收入" mulRef="_GBC_ad3fa206b47145cea9728c5ff60d9346" unitRef="_GBC_bbe175f0f61a42949a1146ca1734e362" addr="T0R15C2S1_1" formatStyle="Comma" appId="_GBC_c21770085a2f4dd3922bd8eb4c58558c"/>
      <m:item xlName="_GBC_5df8a240d4764103ad340ee5d91d16d6" concept="clcid-pte:HeTongChanShengDeShouRuShuoMing" label="合同产生的收入说明" appId="_GBC_c21770085a2f4dd3922bd8eb4c58558c"/>
      <m:virtualTuples>
        <m:virtualTuple id="8d739792-33d7-41f0-87f9-da1ca2166542" tupleRef="clcid-pte:HeTongChanShengDeShouRuFenBuMingXi" extendDirection="2"/>
      </m:virtualTuples>
    </m:section>
    <m:section xlName="_SEC_c2d2612c37d449d6b1ff5194855fc52c" title="履约义务的说明">
      <m:item xlName="_GBC_cb7f024e61b74dffae341dc41978348f" concept="clcid-ci-ar:ShiFouShiYongLvYueYiWuDeShuoMing" label="是否适用：履约义务的说明" selectOptions="_buildInAppliance" controlType="CustomCheckbox" cRanges="[{&quot;StartName&quot;:&quot;_GBC_cb7f024e61b74dffae341dc41978348f&quot;,&quot;EndName&quot;:&quot;_GBC_6630c6fe771842c38c46817107ddd376&quot;,&quot;CType&quot;:1}]"/>
      <m:item xlName="_GBC_6630c6fe771842c38c46817107ddd376" concept="clcid-pte:LvYueYiWuDeShuoMing" label="履约义务的说明" appId="_GBC_cb7f024e61b74dffae341dc41978348f"/>
    </m:section>
    <m:section xlName="_SEC_52c497559d5c4501875a7b175ab4b1eb" title="分摊至剩余履约义务的说明" helpText="如需删除段落，请通过模块-删除段落进行删除。">
      <m:item xlName="_GBC_3e12eb65fc9e4c7b80815a7392be58f2" concept="clcid-ci-ar:ShiFouShiYongFenTanZhiShengYuLvYueYiWuDeShuoMing" label="是否适用：分摊至剩余履约义务的说明" selectOptions="_buildInAppliance" controlType="CustomCheckbox" cRanges="[{&quot;StartName&quot;:&quot;_GBC_3e12eb65fc9e4c7b80815a7392be58f2&quot;,&quot;EndName&quot;:&quot;_TUP_f971966e7ee4488e86e4dff8073181f4&quot;,&quot;CType&quot;:1}]"/>
      <m:item xlName="_GBC_bb850c2c04f94140b58413bcd7db31a5" concept="clcid-pte:ShengYuLvYueYiWuShouRuJinE" label="剩余履约义务收入金额" formatStyle="Comma" appId="_GBC_3e12eb65fc9e4c7b80815a7392be58f2"/>
      <m:tuple xlName="_TUP_f971966e7ee4488e86e4dff8073181f4" concept="clcid-pte:ShengYuLvYueYiWuShouRuJinEMingXi" default_row="3" supportExtendColumn="false" usage="3">
        <m:item xlName="_GBC_98c249455feb4cf5ae3ef4d2e69f463c" concept="clcid-pte:ShengYuLvYueYiWuShouRuJinEMingXiJinE" label="剩余履约义务收入金额明细-金额" formatStyle="Comma" appId="_GBC_3e12eb65fc9e4c7b80815a7392be58f2"/>
        <m:item xlName="_GBC_e6b6b9da5d444b7db8b751f0a00e3b06" concept="clcid-pte:ShengYuLvYueYiWuShouRuJinEMingXiNianDu" label="剩余履约义务收入金额明细-年度" formatStyle="Integer" appId="_GBC_3e12eb65fc9e4c7b80815a7392be58f2"/>
      </m:tuple>
    </m:section>
    <m:section xlName="_SEC_530aa03318f04819b92848bd4d1e0874" title="营业收入和营业成本的说明">
      <m:item xlName="_GBC_72a96250960e4e188d2fa1097869655e" concept="clcid-pte:ZhuYingYeWuShuoMing" label="主营业务说明"/>
    </m:section>
    <m:section xlName="_GBC_38185835049143dd873ff3e7d0941647" title="税金及附加" rules="R2015_R11_021" convertSummaryRule="NoConvert" helpId="112001112">
      <m:item xlName="_GBC_e6e37ca7fd2a435e8e042586945bb4d2" concept="clcid-ci-ar:ShiFouShiYongYingYeShuiJinJiFuJia" label="是否适用：税金及附加" selectOptions="_buildInAppliance" controlType="CustomCheckbox" cRanges="{&quot;StartName&quot;:&quot;_GBC_e6e37ca7fd2a435e8e042586945bb4d2&quot;,&quot;EndName&quot;:&quot;_GBC_f78e413320ad4d20a3dab91dff935491&quot;,&quot;CType&quot;:1,&quot;DisplayText&quot;:null}"/>
      <m:item xlName="_GBC_bdd382ceb0b74413bcc8ce354afae4a8" concept="clcid-ci-ar:DanWeiCaiWuFuZhuYingYeShuiJinJiFuJia" label="单位：财务附注：税金及附加" selectOptions="_buildInScales" controlType="Combobox" cellType="Scale" appId="_GBC_e6e37ca7fd2a435e8e042586945bb4d2"/>
      <m:item xlName="_GBC_ecf8b53c11ec4336b91007df3f6b5f78" concept="clcid-ci-ar:BiZhongCaiWuFuZhuYingYeShuiJinJiFuJia" label="币种：财务附注：税金及附加" selectOptions="_buildInISO4217" controlType="Combobox" cellType="Measure" appId="_GBC_e6e37ca7fd2a435e8e042586945bb4d2"/>
      <m:placeholder xlName="_PLD_444bcf5500dc4f7f9041afd20c147408" addr="T0R0C0S1_1"/>
      <m:placeholder xlName="_PLD_986496e04f5841889074687e953bf8a9" addr="T0R0C1S1_1"/>
      <m:placeholder xlName="_PLD_4ab1376344dc484195a5459c78069a64" addr="T0R0C2S1_1"/>
      <m:placeholder xlName="_PLD_8e35b9a5fb67490d9247e452751213f6" addr="T0R1C0S1_1"/>
      <m:item xlName="_GBC_566e60f1a39244f6aedfc4a000a3e8da" concept="clcid-pte:ZhuYingYeWuShuiJinJiFuJiaZhongDeXiaoFeiShui" label="税金及附加中的消费税" mulRef="_GBC_bdd382ceb0b74413bcc8ce354afae4a8" unitRef="_GBC_ecf8b53c11ec4336b91007df3f6b5f78" addr="T0R1C1S1_1" formatStyle="Comma" appId="_GBC_e6e37ca7fd2a435e8e042586945bb4d2"/>
      <m:item xlName="_GBC_b6c8e86df3194fde91061c1caf00fdd3" concept="clcid-pte:ZhuYingYeWuShuiJinJiFuJiaZhongDeXiaoFeiShui" label="税金及附加中的消费税" periodRef="上年同期数" mulRef="_GBC_bdd382ceb0b74413bcc8ce354afae4a8" unitRef="_GBC_ecf8b53c11ec4336b91007df3f6b5f78" addr="T0R1C2S1_1" formatStyle="Comma" appId="_GBC_e6e37ca7fd2a435e8e042586945bb4d2"/>
      <m:placeholder xlName="_PLD_96613ba294b7436e815c20ce0acaf4b5" addr="T0R2C0S1_1"/>
      <m:item xlName="_GBC_789e15df997b43ebb85ea314e952a1b2" concept="clcid-pte:ZhuYingYeWuShuiJinJiFuJiaZhongDeYingYeShui" label="税金及附加中的营业税" mulRef="_GBC_bdd382ceb0b74413bcc8ce354afae4a8" unitRef="_GBC_ecf8b53c11ec4336b91007df3f6b5f78" addr="T0R2C1S1_1" formatStyle="Comma" appId="_GBC_e6e37ca7fd2a435e8e042586945bb4d2"/>
      <m:item xlName="_GBC_8f14b7e6090d40b4a3ea8c459d56088f" concept="clcid-pte:ZhuYingYeWuShuiJinJiFuJiaZhongDeYingYeShui" label="税金及附加中的营业税" periodRef="上年同期数" mulRef="_GBC_bdd382ceb0b74413bcc8ce354afae4a8" unitRef="_GBC_ecf8b53c11ec4336b91007df3f6b5f78" addr="T0R2C2S1_1" formatStyle="Comma" appId="_GBC_e6e37ca7fd2a435e8e042586945bb4d2"/>
      <m:placeholder xlName="_PLD_8cf16cf7ff9548dc8b24e9b30e22cdcc" addr="T0R3C0S1_1"/>
      <m:item xlName="_GBC_99ae83b9b46e4d358225980e1c44a755" concept="clcid-pte:ZhuYingYeWuShuiJinJiFuJiaZhongDeChengJianShui" label="税金及附加中的城建税" mulRef="_GBC_bdd382ceb0b74413bcc8ce354afae4a8" unitRef="_GBC_ecf8b53c11ec4336b91007df3f6b5f78" addr="T0R3C1S1_1" formatStyle="Comma" appId="_GBC_e6e37ca7fd2a435e8e042586945bb4d2"/>
      <m:item xlName="_GBC_fca0c8477fc14f29904fa56b28d8c837" concept="clcid-pte:ZhuYingYeWuShuiJinJiFuJiaZhongDeChengJianShui" label="税金及附加中的城建税" periodRef="上年同期数" mulRef="_GBC_bdd382ceb0b74413bcc8ce354afae4a8" unitRef="_GBC_ecf8b53c11ec4336b91007df3f6b5f78" addr="T0R3C2S1_1" formatStyle="Comma" appId="_GBC_e6e37ca7fd2a435e8e042586945bb4d2"/>
      <m:placeholder xlName="_PLD_a93da99d2b574d26b1c4d61b4ee79236" addr="T0R4C0S1_1"/>
      <m:item xlName="_GBC_f71211a902d941f0ac5442494117f8e0" concept="clcid-pte:ZhuYingYeWuShuiJinJiFuJiaZhongDeJiaoYuFeiFuJia" label="税金及附加中的教育费附加" mulRef="_GBC_bdd382ceb0b74413bcc8ce354afae4a8" unitRef="_GBC_ecf8b53c11ec4336b91007df3f6b5f78" addr="T0R4C1S1_1" formatStyle="Comma" appId="_GBC_e6e37ca7fd2a435e8e042586945bb4d2"/>
      <m:item xlName="_GBC_775dcee278324c7e878fa01de0243ab0" concept="clcid-pte:ZhuYingYeWuShuiJinJiFuJiaZhongDeJiaoYuFeiFuJia" label="税金及附加中的教育费附加" periodRef="上年同期数" mulRef="_GBC_bdd382ceb0b74413bcc8ce354afae4a8" unitRef="_GBC_ecf8b53c11ec4336b91007df3f6b5f78" addr="T0R4C2S1_1" formatStyle="Comma" appId="_GBC_e6e37ca7fd2a435e8e042586945bb4d2"/>
      <m:placeholder xlName="_PLD_dff1a5ad8e734dc1aa2e23b417599ecc" addr="T0R5C0S1_1"/>
      <m:item xlName="_GBC_67bb537339584456bd1d67de6a889ed1" concept="clcid-pte:ZhuYingYeWuShuiJinJiFuJiaZhongDeZiYuanShui" label="税金及附加中的资源税" mulRef="_GBC_bdd382ceb0b74413bcc8ce354afae4a8" unitRef="_GBC_ecf8b53c11ec4336b91007df3f6b5f78" addr="T0R5C1S1_1" formatStyle="Comma" appId="_GBC_e6e37ca7fd2a435e8e042586945bb4d2"/>
      <m:item xlName="_GBC_79872da1c8e34c76b4d7e6f174940d0b" concept="clcid-pte:ZhuYingYeWuShuiJinJiFuJiaZhongDeZiYuanShui" label="税金及附加中的资源税" periodRef="上年同期数" mulRef="_GBC_bdd382ceb0b74413bcc8ce354afae4a8" unitRef="_GBC_ecf8b53c11ec4336b91007df3f6b5f78" addr="T0R5C2S1_1" formatStyle="Comma" appId="_GBC_e6e37ca7fd2a435e8e042586945bb4d2"/>
      <m:placeholder xlName="_PLD_b9d06144a0444b1fa73f16e038275ef3" addr="T0R6C0S1_1"/>
      <m:item xlName="_GBC_cfa2cbf9e3bf4e9c8e85d538a9477e5d" concept="clcid-pte:ShuiJinJiFuJiaZhongDeFangChanShui" label="税金及附加中的房产税" mulRef="_GBC_bdd382ceb0b74413bcc8ce354afae4a8" unitRef="_GBC_ecf8b53c11ec4336b91007df3f6b5f78" addr="T0R6C1S1_1" formatStyle="Comma" appId="_GBC_e6e37ca7fd2a435e8e042586945bb4d2"/>
      <m:item xlName="_GBC_d991ef42728e4acaad0ffa610669752c" concept="clcid-pte:ShuiJinJiFuJiaZhongDeFangChanShui" label="税金及附加中的房产税" periodRef="上年同期数" mulRef="_GBC_bdd382ceb0b74413bcc8ce354afae4a8" unitRef="_GBC_ecf8b53c11ec4336b91007df3f6b5f78" addr="T0R6C2S1_1" formatStyle="Comma" appId="_GBC_e6e37ca7fd2a435e8e042586945bb4d2"/>
      <m:placeholder xlName="_PLD_56542612dda549b3b872b8d74818af22" addr="T0R7C0S1_1"/>
      <m:item xlName="_GBC_94a3b7536b5347339c9ebf4e25ae1559" concept="clcid-pte:ShuiJinJiFuJiaZhongDeTuDiShiYongShui" label="税金及附加中的土地使用税" mulRef="_GBC_bdd382ceb0b74413bcc8ce354afae4a8" unitRef="_GBC_ecf8b53c11ec4336b91007df3f6b5f78" addr="T0R7C1S1_1" formatStyle="Comma" appId="_GBC_e6e37ca7fd2a435e8e042586945bb4d2"/>
      <m:item xlName="_GBC_59c6c986747f411c98689fdc714a418c" concept="clcid-pte:ShuiJinJiFuJiaZhongDeTuDiShiYongShui" label="税金及附加中的土地使用税" periodRef="上年同期数" mulRef="_GBC_bdd382ceb0b74413bcc8ce354afae4a8" unitRef="_GBC_ecf8b53c11ec4336b91007df3f6b5f78" addr="T0R7C2S1_1" formatStyle="Comma" appId="_GBC_e6e37ca7fd2a435e8e042586945bb4d2"/>
      <m:placeholder xlName="_PLD_d9fbd1807768486db09587132cc0eacf" addr="T0R8C0S1_1"/>
      <m:item xlName="_GBC_5ada4bf6007b4becb2722ab17e912236" concept="clcid-pte:ShuiJinJiFuJiaZhongDeCheChuanShiYongShui" label="税金及附加中的车船使用税" mulRef="_GBC_bdd382ceb0b74413bcc8ce354afae4a8" unitRef="_GBC_ecf8b53c11ec4336b91007df3f6b5f78" addr="T0R8C1S1_1" formatStyle="Comma" appId="_GBC_e6e37ca7fd2a435e8e042586945bb4d2"/>
      <m:item xlName="_GBC_3f35639260a441408cb49b62e2d4e527" concept="clcid-pte:ShuiJinJiFuJiaZhongDeCheChuanShiYongShui" label="税金及附加中的车船使用税" periodRef="上年同期数" mulRef="_GBC_bdd382ceb0b74413bcc8ce354afae4a8" unitRef="_GBC_ecf8b53c11ec4336b91007df3f6b5f78" addr="T0R8C2S1_1" formatStyle="Comma" appId="_GBC_e6e37ca7fd2a435e8e042586945bb4d2"/>
      <m:placeholder xlName="_PLD_a0bc60e9b74b40a288471dbbe366af2d" addr="T0R9C0S1_1"/>
      <m:item xlName="_GBC_1ceee1b6dd2449a09bcc44dbe0023939" concept="clcid-pte:ShuiJinJiFuJiaZhongDeYinHuaShui" label="税金及附加中的印花税" mulRef="_GBC_bdd382ceb0b74413bcc8ce354afae4a8" unitRef="_GBC_ecf8b53c11ec4336b91007df3f6b5f78" addr="T0R9C1S1_1" formatStyle="Comma" appId="_GBC_e6e37ca7fd2a435e8e042586945bb4d2"/>
      <m:item xlName="_GBC_ae98d8ae7c0f40a195bd1acdd528f1fb" concept="clcid-pte:ShuiJinJiFuJiaZhongDeYinHuaShui" label="税金及附加中的印花税" periodRef="上年同期数" mulRef="_GBC_bdd382ceb0b74413bcc8ce354afae4a8" unitRef="_GBC_ecf8b53c11ec4336b91007df3f6b5f78" addr="T0R9C2S1_1" formatStyle="Comma" appId="_GBC_e6e37ca7fd2a435e8e042586945bb4d2"/>
      <m:tuple xlName="_GBC_ec40da632a7e4b998c9f045c23f7af1b" concept="clcid-pte:ZhuYingYeWuShuiJinJiFuJiaMingXi" default_row="2" addr="T0R10C">
        <m:item xlName="_GBC_e7a293e19dfc4c7f9c4db152417d94c7" concept="clcid-pte:ZhuYingYeWuShuiJinJiFuJiaXiangMu" label="税金及附加项目" addr="T0R10C0S1_1" appId="_GBC_e6e37ca7fd2a435e8e042586945bb4d2"/>
        <m:item xlName="_GBC_49b45785ff5740b5a642493f5636e867" concept="clcid-pte:ZhuYingYeWuShuiJinJiFuJiaJinE" label="税金及附加金额" mulRef="_GBC_bdd382ceb0b74413bcc8ce354afae4a8" unitRef="_GBC_ecf8b53c11ec4336b91007df3f6b5f78" addr="T0R10C1S1_1" formatStyle="Comma" appId="_GBC_e6e37ca7fd2a435e8e042586945bb4d2"/>
        <m:item xlName="_GBC_22e612c862b54b288db105376369baa8" concept="clcid-pte:ZhuYingYeWuShuiJinJiFuJiaJinE" label="税金及附加金额" periodRef="上年同期数" mulRef="_GBC_bdd382ceb0b74413bcc8ce354afae4a8" unitRef="_GBC_ecf8b53c11ec4336b91007df3f6b5f78" addr="T0R10C2S1_1" formatStyle="Comma" appId="_GBC_e6e37ca7fd2a435e8e042586945bb4d2"/>
      </m:tuple>
      <m:placeholder xlName="_PLD_447085d4b34d4e7e8574b5b78f65bf27" addr="T0R12C0S1_1"/>
      <m:item xlName="_GBC_70490f6ad6024f3e97fca0b36eeaca52" concept="clcid-pte:YingYeShuiJinJiFuJia" label="税金及附加" mulRef="_GBC_bdd382ceb0b74413bcc8ce354afae4a8" unitRef="_GBC_ecf8b53c11ec4336b91007df3f6b5f78" addr="T0R12C1S1_1" formatStyle="Comma" appId="_GBC_e6e37ca7fd2a435e8e042586945bb4d2">
        <m:complexRule comparator="Eq" title="营业税金及附加" test=" $_GBC_566e60f1a39244f6aedfc4a000a3e8da +  $_GBC_789e15df997b43ebb85ea314e952a1b2 +  $_GBC_99ae83b9b46e4d358225980e1c44a755 +  $_GBC_f71211a902d941f0ac5442494117f8e0 +  $_GBC_67bb537339584456bd1d67de6a889ed1 +  $_GBC_cfa2cbf9e3bf4e9c8e85d538a9477e5d +  $_GBC_94a3b7536b5347339c9ebf4e25ae1559 +  $_GBC_5ada4bf6007b4becb2722ab17e912236 +  $_GBC_1ceee1b6dd2449a09bcc44dbe0023939 +  $_GBC_49b45785ff5740b5a642493f5636e867" id="Cabe64a3ac11b47559579dae8cc39edb0" serialType="1"/>
      </m:item>
      <m:item xlName="_GBC_cee091a4f6ad48598a3b06851369535a" concept="clcid-pte:YingYeShuiJinJiFuJia" label="税金及附加" periodRef="上年同期数" mulRef="_GBC_bdd382ceb0b74413bcc8ce354afae4a8" unitRef="_GBC_ecf8b53c11ec4336b91007df3f6b5f78" addr="T0R12C2S1_1" formatStyle="Comma" appId="_GBC_e6e37ca7fd2a435e8e042586945bb4d2">
        <m:complexRule comparator="Eq" title="营业税金及附加@上年同期数" test=" $_GBC_b6c8e86df3194fde91061c1caf00fdd3 +  $_GBC_8f14b7e6090d40b4a3ea8c459d56088f +  $_GBC_fca0c8477fc14f29904fa56b28d8c837 +  $_GBC_775dcee278324c7e878fa01de0243ab0 +  $_GBC_79872da1c8e34c76b4d7e6f174940d0b +  $_GBC_d991ef42728e4acaad0ffa610669752c +  $_GBC_59c6c986747f411c98689fdc714a418c +  $_GBC_3f35639260a441408cb49b62e2d4e527 +  $_GBC_ae98d8ae7c0f40a195bd1acdd528f1fb +  $_GBC_22e612c862b54b288db105376369baa8" id="Cb169bedba9e044be86017d66851e7e35" serialType="1"/>
      </m:item>
      <m:item xlName="_GBC_f78e413320ad4d20a3dab91dff935491" concept="clcid-pte:ZhuYingYeWuShuiJinJiFuJiaShuoMing" label="税金及附加说明" appId="_GBC_e6e37ca7fd2a435e8e042586945bb4d2"/>
    </m:section>
    <m:section xlName="_GBC_3faa14b862dd44e8a54b6137b70adace" title="成本费用" rules="R2015_R11_022" convertSummaryRule="NoConvert" helpId="112001111">
      <m:item xlName="_GBC_5302d6af48674660a2279c7c8a87bb8c" concept="clcid-ci-ar:ShiFouShiYongXiaoShouFeiYong" label="是否适用：销售费用" selectOptions="_buildInAppliance" controlType="CustomCheckbox" cRanges="{&quot;StartName&quot;:&quot;_GBC_5302d6af48674660a2279c7c8a87bb8c&quot;,&quot;EndName&quot;:&quot;_GBC_42921bca5478449e9dd3932a8303975a&quot;,&quot;CType&quot;:1,&quot;DisplayText&quot;:null}"/>
      <m:item xlName="_GBC_893203a5a3df44649aef388407d22c68" concept="clcid-ci-ar:DanWeiXiaoShouFeiYong" label="单位：销售费用" selectOptions="_buildInScales" controlType="Combobox" cellType="Scale" appId="_GBC_5302d6af48674660a2279c7c8a87bb8c"/>
      <m:item xlName="_GBC_4954a9fca98d4f279270fb28f987aa6f" concept="clcid-ci-ar:BiZhongXiaoShouFeiYong" label="币种：销售费用" selectOptions="_buildInISO4217" controlType="Combobox" cellType="Measure" appId="_GBC_5302d6af48674660a2279c7c8a87bb8c"/>
      <m:placeholder xlName="_PLD_16c47970a3b145c98f438f3cb34ff636" addr="T0R0C0S1_1"/>
      <m:placeholder xlName="_PLD_b3ce435531054240b373e649bc9ae7a1" addr="T0R0C1S1_1"/>
      <m:placeholder xlName="_PLD_9480cd5806624557b975b5d0ce06575b" addr="T0R0C2S1_1"/>
      <m:tuple xlName="_GBC_8b0e6f0534ed42879aaed18b46dbec7d" concept="clcid-pte:XiaoShouFeiYongMingXi" default_row="2" addr="T0R1C">
        <m:item xlName="_GBC_0dfad3e8a44b4b988b5a72005ec9d958" concept="clcid-pte:XiaoShouFeiYongMingXiXiangMu" label="销售费用明细-项目" addr="T0R1C0S1_1" appId="_GBC_5302d6af48674660a2279c7c8a87bb8c"/>
        <m:item xlName="_GBC_bf937ca458f44a2aa46196044b5d6101" concept="clcid-pte:XiaoShouFeiYongMingXiFaShengE" label="销售费用明细-发生额" mulRef="_GBC_893203a5a3df44649aef388407d22c68" unitRef="_GBC_4954a9fca98d4f279270fb28f987aa6f" addr="T0R1C1S1_1" formatStyle="Comma" appId="_GBC_5302d6af48674660a2279c7c8a87bb8c"/>
        <m:item xlName="_GBC_a14ae17576664ecaa7fde44aa4e3edf9" concept="clcid-pte:XiaoShouFeiYongMingXiFaShengE" label="销售费用明细-发生额" periodRef="上年同期数" mulRef="_GBC_893203a5a3df44649aef388407d22c68" unitRef="_GBC_4954a9fca98d4f279270fb28f987aa6f" addr="T0R1C2S1_1" formatStyle="Comma" appId="_GBC_5302d6af48674660a2279c7c8a87bb8c"/>
      </m:tuple>
      <m:placeholder xlName="_PLD_bb83cc20a1fb4ed7973343e471dad9ef" addr="T0R3C0S1_1"/>
      <m:item xlName="_GBC_6147d70307aa4964a40cfe174548fe20" concept="clcid-pte:XiaoShouFeiYong" label="销售费用" mulRef="_GBC_893203a5a3df44649aef388407d22c68" unitRef="_GBC_4954a9fca98d4f279270fb28f987aa6f" addr="T0R3C1S1_1" formatStyle="Comma" appId="_GBC_5302d6af48674660a2279c7c8a87bb8c">
        <m:complexRule comparator="Eq" title="销售费用" test=" $_GBC_bf937ca458f44a2aa46196044b5d6101" id="C21a039b7f37a4415863b86a3cfdf20db"/>
      </m:item>
      <m:item xlName="_GBC_9f9f134c261e44559e079c1608567b61" concept="clcid-pte:XiaoShouFeiYong" label="销售费用" periodRef="上年同期数" mulRef="_GBC_893203a5a3df44649aef388407d22c68" unitRef="_GBC_4954a9fca98d4f279270fb28f987aa6f" addr="T0R3C2S1_1" formatStyle="Comma" appId="_GBC_5302d6af48674660a2279c7c8a87bb8c">
        <m:complexRule comparator="Eq" title="销售费用@上年同期数" test=" $_GBC_a14ae17576664ecaa7fde44aa4e3edf9" id="Cd1df214b71c54426b6d62c50d616405b"/>
      </m:item>
      <m:item xlName="_GBC_42921bca5478449e9dd3932a8303975a" concept="clcid-pte:XiaoShouFeiYongDeQiTaShuoMingShiXiang" label="销售费用的其他说明事项" appId="_GBC_5302d6af48674660a2279c7c8a87bb8c"/>
    </m:section>
    <m:section xlName="_GBC_d5a6283bdea64513980a0cc618e2ec60" title="管理费用" rules="R2015_R11_023" helpId="112001111">
      <m:item xlName="_GBC_864c9dd9adce435698261f1da02ab8fb" concept="clcid-ci-ar:ShiFouShiYongGuanLiFeiYong" label="是否适用：管理费用" selectOptions="_buildInAppliance" controlType="CustomCheckbox" cRanges="{&quot;StartName&quot;:&quot;_GBC_864c9dd9adce435698261f1da02ab8fb&quot;,&quot;EndName&quot;:&quot;_GBC_2ddba7c397f842b2a457e4f7fe020aca&quot;,&quot;CType&quot;:1,&quot;DisplayText&quot;:null}"/>
      <m:item xlName="_GBC_b8198aec3f7748d28785c1eebbf02df7" concept="clcid-ci-ar:DanWeiGuanLiFeiYong" label="单位：管理费用" selectOptions="_buildInScales" controlType="Combobox" cellType="Scale" appId="_GBC_864c9dd9adce435698261f1da02ab8fb"/>
      <m:item xlName="_GBC_f92af61f8b3b45ba9ec818ede9725428" concept="clcid-ci-ar:BiZhongGuanLiFeiYong" label="币种：管理费用" selectOptions="_buildInISO4217" controlType="Combobox" cellType="Measure" appId="_GBC_864c9dd9adce435698261f1da02ab8fb"/>
      <m:placeholder xlName="_PLD_249fd0c096ba421285089a0fada9d43a" addr="T0R0C0S1_1"/>
      <m:placeholder xlName="_PLD_acf5bcbf929244268be56ad5d0f3ea18" addr="T0R0C1S1_1"/>
      <m:placeholder xlName="_PLD_d37d8a59d4d74c26ac22dc33983efa29" addr="T0R0C2S1_1"/>
      <m:tuple xlName="_GBC_1330575ab4a44e46920401d3d7599402" concept="clcid-pte:GuanLiFeiYongMingXi" default_row="2" addr="T0R1C">
        <m:item xlName="_GBC_3dd179bcf7cc43269d34395fcadc01f0" concept="clcid-pte:GuanLiFeiYongMingXiXiangMu" label="管理费用明细-项目" addr="T0R1C0S1_1" appId="_GBC_864c9dd9adce435698261f1da02ab8fb"/>
        <m:item xlName="_GBC_76404805a678432890905704f7eacb78" concept="clcid-pte:GuanLiFeiYongMingXiFaShengE" label="管理费用明细-发生额" mulRef="_GBC_b8198aec3f7748d28785c1eebbf02df7" unitRef="_GBC_f92af61f8b3b45ba9ec818ede9725428" addr="T0R1C1S1_1" formatStyle="Comma" appId="_GBC_864c9dd9adce435698261f1da02ab8fb"/>
        <m:item xlName="_GBC_352a9285c7e04404bc36c71a1cee91f4" concept="clcid-pte:GuanLiFeiYongMingXiFaShengE" label="管理费用明细-发生额" periodRef="上年同期数" mulRef="_GBC_b8198aec3f7748d28785c1eebbf02df7" unitRef="_GBC_f92af61f8b3b45ba9ec818ede9725428" addr="T0R1C2S1_1" formatStyle="Comma" appId="_GBC_864c9dd9adce435698261f1da02ab8fb"/>
      </m:tuple>
      <m:placeholder xlName="_PLD_a1574943c0c74f868555494c72b6afa6" addr="T0R3C0S1_1"/>
      <m:item xlName="_GBC_d05d3fa41bb1438b81d51b8b60168503" concept="clcid-pte:GuanLiFeiYong" label="管理费用" mulRef="_GBC_b8198aec3f7748d28785c1eebbf02df7" unitRef="_GBC_f92af61f8b3b45ba9ec818ede9725428" addr="T0R3C1S1_1" formatStyle="Comma" appId="_GBC_864c9dd9adce435698261f1da02ab8fb">
        <m:complexRule comparator="Eq" title="管理费用" test=" $_GBC_76404805a678432890905704f7eacb78" id="Cf4539c1190c042eeb0fb5834ca08a775"/>
      </m:item>
      <m:item xlName="_GBC_b25c969bd54746cf83f30d0a2bc5e71e" concept="clcid-pte:GuanLiFeiYong" label="管理费用" periodRef="上年同期数" mulRef="_GBC_b8198aec3f7748d28785c1eebbf02df7" unitRef="_GBC_f92af61f8b3b45ba9ec818ede9725428" addr="T0R3C2S1_1" formatStyle="Comma" appId="_GBC_864c9dd9adce435698261f1da02ab8fb">
        <m:complexRule comparator="Eq" title="管理费用@上年同期数" test=" $_GBC_352a9285c7e04404bc36c71a1cee91f4" id="Cacd78e976d934b97b688f70fe424f6f6"/>
      </m:item>
      <m:item xlName="_GBC_2ddba7c397f842b2a457e4f7fe020aca" concept="clcid-pte:GuanLiFeiYongDeQiTaShuoMingShiXiang" label="管理费用的其他说明事项" appId="_GBC_864c9dd9adce435698261f1da02ab8fb"/>
    </m:section>
    <m:section xlName="_SEC_5070ecc0a0324b189a4ec7d6e218c5d7" title="研发费用" helpId="112002273">
      <m:item xlName="_GBC_48b4a6beb6f54c3ba7c01af3727337bb" concept="clcid-ci-ar:ShiFouShiYongYanFaFeiYong" label="是否适用：研发费用" selectOptions="_buildInAppliance" controlType="CustomCheckbox" cRanges="[{&quot;StartName&quot;:&quot;_GBC_48b4a6beb6f54c3ba7c01af3727337bb&quot;,&quot;EndName&quot;:&quot;_GBC_f09ad1e9748e43059f8db34f9454426c&quot;,&quot;CType&quot;:1}]"/>
      <m:item xlName="_GBC_a0292321d82f46b8823ab163b1084fea" concept="clcid-ci-ar:DanWeiYanFaFeiYong" label="单位：研发费用" selectOptions="_buildInScales" controlType="Combobox" cellType="Scale" appId="_GBC_48b4a6beb6f54c3ba7c01af3727337bb"/>
      <m:item xlName="_GBC_a0b2b92cacc24641a2d69fc025b920ea" concept="clcid-ci-ar:BiZhongYanFaFeiYong" label="币种：研发费用" selectOptions="_buildInISO4217" controlType="Combobox" cellType="Measure" appId="_GBC_48b4a6beb6f54c3ba7c01af3727337bb"/>
      <m:placeholder xlName="_PLD_878c2bf88dff43e8bf48fe187921cf85" addr="T0R0C0S1_1"/>
      <m:placeholder xlName="_PLD_043e1c3ae76a497c9be9c1eef3db33c6" addr="T0R0C1S1_1"/>
      <m:placeholder xlName="_PLD_d0588c88282b4dae9e42d7ffd38d27c6" addr="T0R0C2S1_1"/>
      <m:tuple xlName="_TUP_78c47ce77ce942a2a4c5b824fc4daeaa" concept="clcid-pte:YanFaFeiYongMingXi" default_row="2" addr="T0R1C">
        <m:item xlName="_GBC_62965139362e4f2097acf4788a5a9c49" concept="clcid-pte:YanFaFeiYongMingXiXiangMu" label="研发费用明细-项目" addr="T0R1C0S1_1" appId="_GBC_48b4a6beb6f54c3ba7c01af3727337bb"/>
        <m:item xlName="_GBC_7293fb842f4749b3a15fed910d2e19e2" concept="clcid-pte:YanFaFeiYongMingXiFaShengE" label="研发费用明细-发生额" mulRef="_GBC_a0292321d82f46b8823ab163b1084fea" unitRef="_GBC_a0b2b92cacc24641a2d69fc025b920ea" addr="T0R1C1S1_1" formatStyle="Comma" appId="_GBC_48b4a6beb6f54c3ba7c01af3727337bb"/>
        <m:item xlName="_GBC_cf59eec88aa04b92ba285410fef7d9b5" concept="clcid-pte:YanFaFeiYongMingXiFaShengE" label="研发费用明细-发生额" periodRef="上年同期数" mulRef="_GBC_a0292321d82f46b8823ab163b1084fea" unitRef="_GBC_a0b2b92cacc24641a2d69fc025b920ea" addr="T0R1C2S1_1" formatStyle="Comma" appId="_GBC_48b4a6beb6f54c3ba7c01af3727337bb"/>
      </m:tuple>
      <m:placeholder xlName="_PLD_5a23b545f4d04be78e814a8fcf71e521" addr="T0R3C0S1_1"/>
      <m:item xlName="_GBC_50a4908582a04450b4b7bdbf82ef2c1f" concept="clcid-pte:YanFaFeiYong" label="研发费用" mulRef="_GBC_a0292321d82f46b8823ab163b1084fea" unitRef="_GBC_a0b2b92cacc24641a2d69fc025b920ea" addr="T0R3C1S1_1" formatStyle="Comma" appId="_GBC_48b4a6beb6f54c3ba7c01af3727337bb">
        <m:complexRule comparator="Eq" title="研发费用" test=" $_GBC_7293fb842f4749b3a15fed910d2e19e2" id="C1b30070f024e46faa0741bf4b6d8511c"/>
      </m:item>
      <m:item xlName="_GBC_a8c79ef0aa1246cab3b38c088894c69d" concept="clcid-pte:YanFaFeiYong" label="研发费用" periodRef="上年同期数" mulRef="_GBC_a0292321d82f46b8823ab163b1084fea" unitRef="_GBC_a0b2b92cacc24641a2d69fc025b920ea" addr="T0R3C2S1_1" formatStyle="Comma" appId="_GBC_48b4a6beb6f54c3ba7c01af3727337bb">
        <m:complexRule comparator="Eq" title="研发费用@上年同期数" test=" $_GBC_cf59eec88aa04b92ba285410fef7d9b5" id="Ca605e156294d4e469be5ef88822ed70e"/>
      </m:item>
      <m:item xlName="_GBC_f09ad1e9748e43059f8db34f9454426c" concept="clcid-pte:YanFaFeiYongQiTaShuoMing" label="研发费用其他说明" appId="_GBC_48b4a6beb6f54c3ba7c01af3727337bb"/>
    </m:section>
    <m:section xlName="_GBC_aeeadad5456b4097a79668e5a1cadb17" title="财务费用" rules="R2015_R11_024" helpId="112002274">
      <m:item xlName="_GBC_699d8bdb2f1f4504a0ea4ccbc8889cfa" concept="clcid-ci-ar:ShiFouShiYongCaiWuFeiYong" label="是否适用：财务费用" selectOptions="_buildInAppliance" controlType="CustomCheckbox" cRanges="{&quot;StartName&quot;:&quot;_GBC_699d8bdb2f1f4504a0ea4ccbc8889cfa&quot;,&quot;EndName&quot;:&quot;_GBC_5bd15645edcc4a51b94ddca48ee9be98&quot;,&quot;CType&quot;:1,&quot;DisplayText&quot;:null}"/>
      <m:item xlName="_GBC_eb9e02dce68144759561a3427fb3099a" concept="clcid-ci-ar:DanWeiCaiWuFeiYong" label="单位：财务费用" selectOptions="_buildInScales" controlType="Combobox" cellType="Scale" appId="_GBC_699d8bdb2f1f4504a0ea4ccbc8889cfa"/>
      <m:item xlName="_GBC_8e992a76854b4bd0a3f5cd49b31a4604" concept="clcid-ci-ar:BiZhongCaiWuFeiYong" label="币种：财务费用" selectOptions="_buildInISO4217" controlType="Combobox" cellType="Measure" appId="_GBC_699d8bdb2f1f4504a0ea4ccbc8889cfa"/>
      <m:placeholder xlName="_PLD_c57c227174f044c4bfa2c0fda1e37156" addr="T0R0C0S1_1"/>
      <m:placeholder xlName="_PLD_d7b23aa0bcb6433894875c858270ab7f" addr="T0R0C1S1_1"/>
      <m:placeholder xlName="_PLD_d79245f93e3d475b953b3e44bb1c6425" addr="T0R0C2S1_1"/>
      <m:tuple xlName="_GBC_6315cf92135646dfa5694359777c36b0" concept="clcid-pte:CaiWuFeiYongMingXi" default_row="2" addr="T0R1C">
        <m:item xlName="_GBC_16254f64718b48be8fdb631a5bd9bed2" concept="clcid-pte:CaiWuFeiYongMingXiXiangMu" label="财务费用明细-项目" addr="T0R1C0S1_1" appId="_GBC_699d8bdb2f1f4504a0ea4ccbc8889cfa"/>
        <m:item xlName="_GBC_914eb0eedb6c4235a2b42fda40991c48" concept="clcid-pte:CaiWuFeiYongMingXiFaShengE" label="财务费用明细-发生额" mulRef="_GBC_eb9e02dce68144759561a3427fb3099a" unitRef="_GBC_8e992a76854b4bd0a3f5cd49b31a4604" addr="T0R1C1S1_1" formatStyle="Comma" appId="_GBC_699d8bdb2f1f4504a0ea4ccbc8889cfa"/>
        <m:item xlName="_GBC_e12b432aad5d45f8ba844b35483466e3" concept="clcid-pte:CaiWuFeiYongMingXiFaShengE" label="财务费用明细-发生额" periodRef="上年同期数" mulRef="_GBC_eb9e02dce68144759561a3427fb3099a" unitRef="_GBC_8e992a76854b4bd0a3f5cd49b31a4604" addr="T0R1C2S1_1" formatStyle="Comma" appId="_GBC_699d8bdb2f1f4504a0ea4ccbc8889cfa"/>
      </m:tuple>
      <m:placeholder xlName="_PLD_27965316bcaf4972b01a6dd60323d7f4" addr="T0R3C0S1_1"/>
      <m:item xlName="_GBC_1e2924c832b34ebb91afc9337eb24a4d" concept="clcid-pte:CaiWuFeiYong" label="财务费用" mulRef="_GBC_eb9e02dce68144759561a3427fb3099a" unitRef="_GBC_8e992a76854b4bd0a3f5cd49b31a4604" addr="T0R3C1S1_1" formatStyle="Comma" appId="_GBC_699d8bdb2f1f4504a0ea4ccbc8889cfa">
        <m:complexRule comparator="Eq" title="财务费用" test=" $_GBC_914eb0eedb6c4235a2b42fda40991c48" id="C0888137654ab434589bfc0caa793aedb"/>
      </m:item>
      <m:item xlName="_GBC_98a269cadd2b4ff4b90e96352657f2ce" concept="clcid-pte:CaiWuFeiYong" label="财务费用" periodRef="上年同期数" mulRef="_GBC_eb9e02dce68144759561a3427fb3099a" unitRef="_GBC_8e992a76854b4bd0a3f5cd49b31a4604" addr="T0R3C2S1_1" formatStyle="Comma" appId="_GBC_699d8bdb2f1f4504a0ea4ccbc8889cfa">
        <m:complexRule comparator="Eq" title="财务费用@上年同期数" test=" $_GBC_e12b432aad5d45f8ba844b35483466e3" id="C7de736e6e4eb4786866f4c3310ad2c7e"/>
      </m:item>
      <m:item xlName="_GBC_5bd15645edcc4a51b94ddca48ee9be98" concept="clcid-pte:CaiWuFeiYongDeQiTaShuoMingShiXiang" label="财务费用的其他说明事项" appId="_GBC_699d8bdb2f1f4504a0ea4ccbc8889cfa"/>
    </m:section>
    <m:section xlName="_SEC_b7dd1353107541ffa3a1d66fbb85a037" title="其他收益" helpId="112002275">
      <m:item xlName="_GBC_86fde94b0d4e4b1f997adc6f063babf7" concept="clcid-pte:ShiFouShiYongCaiWuBaoBiaoQiTaShouYi" label="是否适用：财务报表其他收益" selectOptions="_buildInAppliance" controlType="CustomCheckbox" cRanges="[{&quot;StartName&quot;:&quot;_GBC_86fde94b0d4e4b1f997adc6f063babf7&quot;,&quot;EndName&quot;:&quot;_GBC_9489a93c45754a9ea78d3a872093a735&quot;,&quot;CType&quot;:1}]"/>
      <m:item xlName="_GBC_12755937dc3b48a489abda6cc5cda8d6" concept="clcid-pte:DanWeiCaiWuBaoBiaoQiTaShouYiMingXi" label="单位：财务报表其他收益明细" selectOptions="_buildInScales" controlType="Combobox" cellType="Scale" appId="_GBC_86fde94b0d4e4b1f997adc6f063babf7"/>
      <m:item xlName="_GBC_3daaaf66c73e4201b067378f3d17e13f" concept="clcid-pte:BiZhongCaiWuBaoBiaoQiTaShouYiMingXi" label="币种：财务报表其他收益明细" selectOptions="_buildInISO4217" controlType="Combobox" cellType="Measure" appId="_GBC_86fde94b0d4e4b1f997adc6f063babf7"/>
      <m:placeholder xlName="_PLD_92b33ced889140b7b84894c5f486f4e6" addr="T0R0C0S1_1"/>
      <m:placeholder xlName="_PLD_73b3023fbaed423bbb8ca1ec42a2eaf9" addr="T0R0C1S1_1"/>
      <m:placeholder xlName="_PLD_9f39351a333c497da22a0955aff07b4c" addr="T0R0C2S1_1"/>
      <m:tuple xlName="_TUP_6fbc2b9298bf4c818dfcc7c62d7fcd6c" concept="clcid-pte:CaiWuBaoBiaoQiTaShouYiMingXi" default_row="2" addr="T0R1C">
        <m:item xlName="_GBC_5189606dfecb498095d6aa9b3279de9c" concept="clcid-pte:CaiWuBaoBiaoQiTaShouYiXiangMu" label="财务报表其他收益项目" addr="T0R1C0S1_1" appId="_GBC_86fde94b0d4e4b1f997adc6f063babf7"/>
        <m:item xlName="_GBC_cf5f9ae5a16145ab8b9ab7aa638a44da" concept="clcid-pte:CaiWuBaoBiaoQiTaShouYiFaShengE" label="财务报表其他收益发生额" mulRef="_GBC_12755937dc3b48a489abda6cc5cda8d6" unitRef="_GBC_3daaaf66c73e4201b067378f3d17e13f" addr="T0R1C1S1_1" formatStyle="Comma" appId="_GBC_86fde94b0d4e4b1f997adc6f063babf7"/>
        <m:item xlName="_GBC_3b10f9a2ed7a401c97d14f8c6f2c4515" concept="clcid-pte:CaiWuBaoBiaoQiTaShouYiFaShengE" label="财务报表其他收益发生额" periodRef="上年同期数" mulRef="_GBC_12755937dc3b48a489abda6cc5cda8d6" unitRef="_GBC_3daaaf66c73e4201b067378f3d17e13f" addr="T0R1C2S1_1" formatStyle="Comma" appId="_GBC_86fde94b0d4e4b1f997adc6f063babf7"/>
      </m:tuple>
      <m:placeholder xlName="_PLD_895bf64d897b4d94b2d45a7ce9849ec7" addr="T0R3C0S1_1"/>
      <m:item xlName="_GBC_cda510d275c245e9a256fa7cae286de8" concept="clcid-pte:QiTaShouYi" label="其他收益" mulRef="_GBC_12755937dc3b48a489abda6cc5cda8d6" unitRef="_GBC_3daaaf66c73e4201b067378f3d17e13f" addr="T0R3C1S1_1" formatStyle="Comma" appId="_GBC_86fde94b0d4e4b1f997adc6f063babf7">
        <m:complexRule comparator="Eq" title="其他收益" test=" $_GBC_cf5f9ae5a16145ab8b9ab7aa638a44da" id="C518b78697f35434ebc90c586049c0f48"/>
      </m:item>
      <m:item xlName="_GBC_acb1a94c1dfd4cf18e740daaa1c1150f" concept="clcid-pte:QiTaShouYi" label="其他收益" periodRef="上年同期数" mulRef="_GBC_12755937dc3b48a489abda6cc5cda8d6" unitRef="_GBC_3daaaf66c73e4201b067378f3d17e13f" addr="T0R3C2S1_1" formatStyle="Comma" appId="_GBC_86fde94b0d4e4b1f997adc6f063babf7">
        <m:complexRule comparator="Eq" title="其他收益@上年同期数" test=" $_GBC_3b10f9a2ed7a401c97d14f8c6f2c4515" id="C99ea9cd088a44fd99e1e1823ad676346"/>
      </m:item>
      <m:item xlName="_GBC_9489a93c45754a9ea78d3a872093a735" concept="clcid-pte:CaiWuBaoBiaoQiTaShouYiQiTaShuoMing" label="财务报表其他收益其他说明" appId="_GBC_86fde94b0d4e4b1f997adc6f063babf7"/>
    </m:section>
    <m:section xlName="_SEC_56e74a133dff4dcebe7ed76c1a92a2e5" title="投资收益   单位：元币种：人民币项目本期发生额上期发..." isPatch="true" helpText="填写时注意区分新会计准则和旧会计准则适用的明细科目">
      <m:item xlName="_GBC_39356fd9dd9e4f5497d61d781210b2fe" concept="clcid-ci-ar:ShiFouShiYongTouZiShouYi" label="是否适用：投资收益" selectOptions="_buildInAppliance" controlType="CustomCheckbox" cRanges="[{&quot;StartName&quot;:&quot;_GBC_39356fd9dd9e4f5497d61d781210b2fe&quot;,&quot;EndName&quot;:&quot;_GBC_911712f239a14e98b4c6c89180ceef27&quot;,&quot;CType&quot;:1}]"/>
      <m:item xlName="_GBC_8785b82a02ca4b0db1de3227128775b4" concept="clcid-ci-ar:DanWeiCaiWuFuZhuKuaiJiBaoBiaoZhongDeTouZiShouYiXiangMuZengJia" label="单位：财务附注：会计报表中的投资收益项目增加" selectOptions="_buildInScales" controlType="Combobox" cellType="Scale" appId="_GBC_39356fd9dd9e4f5497d61d781210b2fe"/>
      <m:item xlName="_GBC_c4394dc445a94e9a8a4b83889c79fcb1" concept="clcid-ci-ar:BiZhongCaiWuFuZhuKuaiJiBaoBiaoZhongDeTouZiShouYiXiangMuZengJia" label="币种：财务附注：会计报表中的投资收益项目增加" selectOptions="_buildInISO4217" controlType="Combobox" cellType="Measure" appId="_GBC_39356fd9dd9e4f5497d61d781210b2fe"/>
      <m:placeholder xlName="_PLD_2fef67a5db2c453288257a2dfe03fd6e" addr="T0R0C0S1_1"/>
      <m:placeholder xlName="_PLD_3f927d0ff25c47abb0f9b18794554af6" addr="T0R0C1S1_1"/>
      <m:placeholder xlName="_PLD_a6cbfed1438f48b7947079a5821a9eba" addr="T0R0C2S1_1"/>
      <m:placeholder xlName="_PLD_095c5821555f4f22a6901c43ff8cf9ed" addr="T0R1C0S1_1"/>
      <m:item xlName="_GBC_f5d11618944647f1b50dc038b6d44450" concept="clcid-pte:ChangQiTouZiQuanYiFaHeJi" label="长期投资权益法合计" mulRef="_GBC_8785b82a02ca4b0db1de3227128775b4" unitRef="_GBC_c4394dc445a94e9a8a4b83889c79fcb1" addr="T0R1C1S1_1" formatStyle="Comma" appId="_GBC_39356fd9dd9e4f5497d61d781210b2fe"/>
      <m:item xlName="_GBC_300ce56c731944f9ac620991627f6b39" concept="clcid-pte:ChangQiTouZiQuanYiFaHeJi" label="长期投资权益法合计" periodRef="上年同期数" mulRef="_GBC_8785b82a02ca4b0db1de3227128775b4" unitRef="_GBC_c4394dc445a94e9a8a4b83889c79fcb1" addr="T0R1C2S1_1" formatStyle="Comma" appId="_GBC_39356fd9dd9e4f5497d61d781210b2fe"/>
      <m:placeholder xlName="_PLD_bf1f8f83597a458db5a601500b855dc3" addr="T0R2C0S1_1"/>
      <m:item xlName="_GBC_8d072e4d3f184d8e99f255d3973463db" concept="clcid-pte:ChuZhiChangQiGuQuanTouZiChanShengDeTouZiShouYi" label="处置长期股权投资产生的投资收益" mulRef="_GBC_8785b82a02ca4b0db1de3227128775b4" unitRef="_GBC_c4394dc445a94e9a8a4b83889c79fcb1" addr="T0R2C1S1_1" formatStyle="Comma" appId="_GBC_39356fd9dd9e4f5497d61d781210b2fe"/>
      <m:item xlName="_GBC_1ea8fee3294944f196d95a059594896e" concept="clcid-pte:ChuZhiChangQiGuQuanTouZiChanShengDeTouZiShouYi" label="处置长期股权投资产生的投资收益" periodRef="上年同期数" mulRef="_GBC_8785b82a02ca4b0db1de3227128775b4" unitRef="_GBC_c4394dc445a94e9a8a4b83889c79fcb1" addr="T0R2C2S1_1" formatStyle="Comma" appId="_GBC_39356fd9dd9e4f5497d61d781210b2fe"/>
      <m:placeholder xlName="_PLD_6531b310ca654e5892cc88bec130b5fa" addr="T0R3C0S1_1"/>
      <m:item xlName="_GBC_54e2176d15ac4cd18cfed0e8dbaec488" concept="clcid-pte:ChiYouJiaoYiXingJinRongZiChanQiJianQuDeDeTouZiShouYi" label="持有交易性金融资产期间取得的投资收益" mulRef="_GBC_8785b82a02ca4b0db1de3227128775b4" unitRef="_GBC_c4394dc445a94e9a8a4b83889c79fcb1" addr="T0R3C1S1_1" formatStyle="Comma" appId="_GBC_39356fd9dd9e4f5497d61d781210b2fe"/>
      <m:item xlName="_GBC_18f45f04fc214bec917e7dc18dae7bba" concept="clcid-pte:ChiYouJiaoYiXingJinRongZiChanQiJianQuDeDeTouZiShouYi" label="持有交易性金融资产期间取得的投资收益" periodRef="上年同期数" mulRef="_GBC_8785b82a02ca4b0db1de3227128775b4" unitRef="_GBC_c4394dc445a94e9a8a4b83889c79fcb1" addr="T0R3C2S1_1" formatStyle="Comma" appId="_GBC_39356fd9dd9e4f5497d61d781210b2fe"/>
      <m:placeholder xlName="_PLD_28dcbb5f7e914848bb4a21be0e982758" addr="T0R4C0S1_1"/>
      <m:item xlName="_GBC_26ba22b71d2643a59a4ee1af60d875a9" concept="clcid-pte:QiTaQuanYiGongJuTouZiChiYouQiJianQuDeDeGuLiShouRu" label="其他权益工具投资持有期间取得的股利收入" mulRef="_GBC_8785b82a02ca4b0db1de3227128775b4" unitRef="_GBC_c4394dc445a94e9a8a4b83889c79fcb1" addr="T0R4C1S1_1" formatStyle="Comma" appId="_GBC_39356fd9dd9e4f5497d61d781210b2fe"/>
      <m:item xlName="_GBC_01c89ce1edf84edd8a6672292f1c131b" concept="clcid-pte:QiTaQuanYiGongJuTouZiChiYouQiJianQuDeDeGuLiShouRu" label="其他权益工具投资持有期间取得的股利收入" periodRef="上年同期数" mulRef="_GBC_8785b82a02ca4b0db1de3227128775b4" unitRef="_GBC_c4394dc445a94e9a8a4b83889c79fcb1" addr="T0R4C2S1_1" formatStyle="Comma" appId="_GBC_39356fd9dd9e4f5497d61d781210b2fe"/>
      <m:placeholder xlName="_PLD_b254e5b9458e464aa9729f2f2c372a99" addr="T0R5C0S1_1"/>
      <m:item xlName="_GBC_76c44ab45c594994b6548b07a44b07a8" concept="clcid-pte:ZhaiQuanTouZiChiYouQiJianQuDeDeLiXiShouRu" label="债权投资持有期间取得的利息收入" mulRef="_GBC_8785b82a02ca4b0db1de3227128775b4" unitRef="_GBC_c4394dc445a94e9a8a4b83889c79fcb1" addr="T0R5C1S1_1" formatStyle="Comma" appId="_GBC_39356fd9dd9e4f5497d61d781210b2fe"/>
      <m:item xlName="_GBC_a9068aae37ff4fc6836c4baac5d86d51" concept="clcid-pte:ZhaiQuanTouZiChiYouQiJianQuDeDeLiXiShouRu" label="债权投资持有期间取得的利息收入" periodRef="上年同期数" mulRef="_GBC_8785b82a02ca4b0db1de3227128775b4" unitRef="_GBC_c4394dc445a94e9a8a4b83889c79fcb1" addr="T0R5C2S1_1" formatStyle="Comma" appId="_GBC_39356fd9dd9e4f5497d61d781210b2fe"/>
      <m:placeholder xlName="_PLD_ded52f1fb6684e51b89c9ed12a41c791" addr="T0R6C0S1_1"/>
      <m:item xlName="_GBC_9382392f6af940bfa43f58403db7dcf2" concept="clcid-pte:QiTaZhaiQuanTouZiChiYouQiJianQuDeDeLiXiShouRu" label="其他债权投资持有期间取得的利息收入" mulRef="_GBC_8785b82a02ca4b0db1de3227128775b4" unitRef="_GBC_c4394dc445a94e9a8a4b83889c79fcb1" addr="T0R6C1S1_1" formatStyle="Comma" appId="_GBC_39356fd9dd9e4f5497d61d781210b2fe"/>
      <m:item xlName="_GBC_5affefe8b3ca42189b4569881c820a29" concept="clcid-pte:QiTaZhaiQuanTouZiChiYouQiJianQuDeDeLiXiShouRu" label="其他债权投资持有期间取得的利息收入" periodRef="上年同期数" mulRef="_GBC_8785b82a02ca4b0db1de3227128775b4" unitRef="_GBC_c4394dc445a94e9a8a4b83889c79fcb1" addr="T0R6C2S1_1" formatStyle="Comma" appId="_GBC_39356fd9dd9e4f5497d61d781210b2fe"/>
      <m:placeholder xlName="_PLD_3fb066cc533f4905803faa53dcf2b7bb" addr="T0R7C0S1_1"/>
      <m:item xlName="_GBC_483da96c674d4ce5ac0bb8c8ac165206" concept="clcid-pte:ChuZhiJiaoYiXingJinRongZiChanQuDeDeTouZiShouYi" label="处置交易性金融资产取得的投资收益" mulRef="_GBC_8785b82a02ca4b0db1de3227128775b4" unitRef="_GBC_c4394dc445a94e9a8a4b83889c79fcb1" addr="T0R7C1S1_1" formatStyle="Comma" appId="_GBC_39356fd9dd9e4f5497d61d781210b2fe"/>
      <m:item xlName="_GBC_78e160ac64eb4fa695a4bfcb3014fe6f" concept="clcid-pte:ChuZhiJiaoYiXingJinRongZiChanQuDeDeTouZiShouYi" label="处置交易性金融资产取得的投资收益" periodRef="上年同期数" mulRef="_GBC_8785b82a02ca4b0db1de3227128775b4" unitRef="_GBC_c4394dc445a94e9a8a4b83889c79fcb1" addr="T0R7C2S1_1" formatStyle="Comma" appId="_GBC_39356fd9dd9e4f5497d61d781210b2fe"/>
      <m:placeholder xlName="_PLD_dcb9706cbed545dd9e65917962412de7" addr="T0R8C0S1_1"/>
      <m:item xlName="_GBC_6a8afa810bc7449394be6a4c6589569a" concept="clcid-pte:ChuZhiQiTaQuanYiGongJuTouZiQuDeDeTouZiShouYi" label="处置其他权益工具投资取得的投资收益" mulRef="_GBC_8785b82a02ca4b0db1de3227128775b4" unitRef="_GBC_c4394dc445a94e9a8a4b83889c79fcb1" addr="T0R8C1S1_1" formatStyle="Comma" appId="_GBC_39356fd9dd9e4f5497d61d781210b2fe"/>
      <m:item xlName="_GBC_bab5b0d75edb4042a74b9ba854235171" concept="clcid-pte:ChuZhiQiTaQuanYiGongJuTouZiQuDeDeTouZiShouYi" label="处置其他权益工具投资取得的投资收益" periodRef="上年同期数" mulRef="_GBC_8785b82a02ca4b0db1de3227128775b4" unitRef="_GBC_c4394dc445a94e9a8a4b83889c79fcb1" addr="T0R8C2S1_1" formatStyle="Comma" appId="_GBC_39356fd9dd9e4f5497d61d781210b2fe"/>
      <m:placeholder xlName="_PLD_edb592df302047c68b5387ad8d561632" addr="T0R9C0S1_1"/>
      <m:item xlName="_GBC_b4a76353b645469ea79d7e54f64e1968" concept="clcid-pte:ChuZhiZhaiQuanTouZiQuDeDeTouZiShouYi" label="处置债权投资取得的投资收益" mulRef="_GBC_8785b82a02ca4b0db1de3227128775b4" unitRef="_GBC_c4394dc445a94e9a8a4b83889c79fcb1" addr="T0R9C1S1_1" formatStyle="Comma" appId="_GBC_39356fd9dd9e4f5497d61d781210b2fe"/>
      <m:item xlName="_GBC_2fefbe2c188e4d96921dd3122f20930c" concept="clcid-pte:ChuZhiZhaiQuanTouZiQuDeDeTouZiShouYi" label="处置债权投资取得的投资收益" periodRef="上年同期数" mulRef="_GBC_8785b82a02ca4b0db1de3227128775b4" unitRef="_GBC_c4394dc445a94e9a8a4b83889c79fcb1" addr="T0R9C2S1_1" formatStyle="Comma" appId="_GBC_39356fd9dd9e4f5497d61d781210b2fe"/>
      <m:placeholder xlName="_PLD_dc0f3709523f48178820977d785b7da6" addr="T0R10C0S1_1"/>
      <m:item xlName="_GBC_ef1617029324446d9e1674cf8ca9f6c0" concept="clcid-pte:ChuZhiQiTaZhaiQuanTouZiQuDeDeTouZiShouYi" label="处置其他债权投资取得的投资收益" mulRef="_GBC_8785b82a02ca4b0db1de3227128775b4" unitRef="_GBC_c4394dc445a94e9a8a4b83889c79fcb1" addr="T0R10C1S1_1" formatStyle="Comma" appId="_GBC_39356fd9dd9e4f5497d61d781210b2fe"/>
      <m:item xlName="_GBC_ca38b5f549494976bd9bd57d91836097" concept="clcid-pte:ChuZhiQiTaZhaiQuanTouZiQuDeDeTouZiShouYi" label="处置其他债权投资取得的投资收益" periodRef="上年同期数" mulRef="_GBC_8785b82a02ca4b0db1de3227128775b4" unitRef="_GBC_c4394dc445a94e9a8a4b83889c79fcb1" addr="T0R10C2S1_1" formatStyle="Comma" appId="_GBC_39356fd9dd9e4f5497d61d781210b2fe"/>
      <m:placeholder xlName="_PLD_812e73981fc945d6b1b6932dbb8af108" addr="T0R11C0S1_1"/>
      <m:item xlName="_GBC_56f3e13cc885478992d9bd7c2f91c4ee" concept="clcid-pte:ZhaiWuZhongZuShouYi" label="债务重组收益" mulRef="_GBC_8785b82a02ca4b0db1de3227128775b4" unitRef="_GBC_c4394dc445a94e9a8a4b83889c79fcb1" addr="T0R11C1S1_1" formatStyle="Comma" appId="_GBC_39356fd9dd9e4f5497d61d781210b2fe"/>
      <m:item xlName="_GBC_d2c01e18cf56462e87f1ebbfa7d1646d" concept="clcid-pte:ZhaiWuZhongZuShouYi" label="债务重组收益" periodRef="上年同期数" mulRef="_GBC_8785b82a02ca4b0db1de3227128775b4" unitRef="_GBC_c4394dc445a94e9a8a4b83889c79fcb1" addr="T0R11C2S1_1" formatStyle="Comma" appId="_GBC_39356fd9dd9e4f5497d61d781210b2fe"/>
      <m:tuple xlName="_TUP_1e4670059c8948749cda0c0baf7948f3" concept="clcid-pte:QiTaTouZiShouYi" default_row="2" addr="T0R12C">
        <m:item xlName="_GBC_fa25812a0c9742388774f748ef44bfa0" concept="clcid-pte:QiTaTouZiShouYiXiangMu" label="其他投资收益项目" addr="T0R12C0S1_1" appId="_GBC_39356fd9dd9e4f5497d61d781210b2fe"/>
        <m:item xlName="_GBC_95ffd1a5c5624235b271063543c35698" concept="clcid-pte:QiTaTouZiShouYiMingXiJinE" label="其他投资收益明细－金额" mulRef="_GBC_8785b82a02ca4b0db1de3227128775b4" unitRef="_GBC_c4394dc445a94e9a8a4b83889c79fcb1" addr="T0R12C1S1_1" formatStyle="Comma" appId="_GBC_39356fd9dd9e4f5497d61d781210b2fe"/>
        <m:item xlName="_GBC_e40609e0362942a298870d4d09d12e0f" concept="clcid-pte:QiTaTouZiShouYiMingXiJinE" label="其他投资收益明细－金额" periodRef="上年同期数" mulRef="_GBC_8785b82a02ca4b0db1de3227128775b4" unitRef="_GBC_c4394dc445a94e9a8a4b83889c79fcb1" addr="T0R12C2S1_1" formatStyle="Comma" appId="_GBC_39356fd9dd9e4f5497d61d781210b2fe"/>
      </m:tuple>
      <m:placeholder xlName="_PLD_11e45f17edee4a0fa17110849cf94fad" addr="T0R14C0S1_1"/>
      <m:item xlName="_GBC_414bcb87789a46beb9f15fc91b8a0fbe" concept="clcid-pte:TouZiShouYi" label="投资收益" mulRef="_GBC_8785b82a02ca4b0db1de3227128775b4" unitRef="_GBC_c4394dc445a94e9a8a4b83889c79fcb1" addr="T0R14C1S1_1" formatStyle="Comma" appId="_GBC_39356fd9dd9e4f5497d61d781210b2fe">
        <m:complexRule comparator="Eq" title="投资收益" test=" $_GBC_f5d11618944647f1b50dc038b6d44450 +  $_GBC_8d072e4d3f184d8e99f255d3973463db +  $_GBC_54e2176d15ac4cd18cfed0e8dbaec488 +  $_GBC_26ba22b71d2643a59a4ee1af60d875a9 +  $_GBC_76c44ab45c594994b6548b07a44b07a8 +  $_GBC_9382392f6af940bfa43f58403db7dcf2 +  $_GBC_483da96c674d4ce5ac0bb8c8ac165206 +  $_GBC_6a8afa810bc7449394be6a4c6589569a +  $_GBC_b4a76353b645469ea79d7e54f64e1968 +  $_GBC_ef1617029324446d9e1674cf8ca9f6c0 +  $_GBC_95ffd1a5c5624235b271063543c35698 +  $_GBC_56f3e13cc885478992d9bd7c2f91c4ee" id="C1b37bf1aea8c480e968eb3267bd3c22c"/>
      </m:item>
      <m:item xlName="_GBC_25501bef0eb04710a73ba16d68a0c462" concept="clcid-pte:TouZiShouYi" label="投资收益" periodRef="上年同期数" mulRef="_GBC_8785b82a02ca4b0db1de3227128775b4" unitRef="_GBC_c4394dc445a94e9a8a4b83889c79fcb1" addr="T0R14C2S1_1" formatStyle="Comma" appId="_GBC_39356fd9dd9e4f5497d61d781210b2fe">
        <m:complexRule comparator="Eq" title="投资收益@上年同期数" test=" $_GBC_300ce56c731944f9ac620991627f6b39 +  $_GBC_1ea8fee3294944f196d95a059594896e +  $_GBC_18f45f04fc214bec917e7dc18dae7bba +  $_GBC_01c89ce1edf84edd8a6672292f1c131b +  $_GBC_a9068aae37ff4fc6836c4baac5d86d51 +  $_GBC_5affefe8b3ca42189b4569881c820a29 +  $_GBC_78e160ac64eb4fa695a4bfcb3014fe6f +  $_GBC_bab5b0d75edb4042a74b9ba854235171 +  $_GBC_2fefbe2c188e4d96921dd3122f20930c +  $_GBC_ca38b5f549494976bd9bd57d91836097 +  $_GBC_e40609e0362942a298870d4d09d12e0f +  $_GBC_d2c01e18cf56462e87f1ebbfa7d1646d" id="Ce3e0f22bfa9a4a9abb673908cfdb6b32"/>
      </m:item>
      <m:item xlName="_GBC_911712f239a14e98b4c6c89180ceef27" concept="clcid-pte:TouZiShouYiShuoMing" label="投资收益说明" appId="_GBC_39356fd9dd9e4f5497d61d781210b2fe"/>
    </m:section>
    <m:section xlName="_SEC_cbd8186e9cf3452cab63fa24a69149bc" title="净敞口套期收益" helpId="112002276">
      <m:item xlName="_GBC_33e106b71ec640cd9126570421557bda" concept="clcid-ci-ar:ShiFouShiYongJingChangKouTaoQiShouYi" label="是否适用：净敞口套期收益" selectOptions="_buildInAppliance" controlType="CustomCheckbox" cRanges="[{&quot;StartName&quot;:&quot;_GBC_33e106b71ec640cd9126570421557bda&quot;,&quot;EndName&quot;:&quot;_GBC_7fa3b1cc5e10497f8025b9d557c9f47d&quot;,&quot;CType&quot;:1}]"/>
      <m:item xlName="_GBC_2da41f74f3384a2cbb420c44f3789bf2" concept="clcid-ci-ar:DanWeiJingChangKouTaoQiShouYi" label="单位：净敞口套期收益" selectOptions="_buildInScales" controlType="Combobox" cellType="Scale" appId="_GBC_33e106b71ec640cd9126570421557bda"/>
      <m:item xlName="_GBC_5c2a5fb8565c4407a283c6073b989a3e" concept="clcid-ci-ar:BiZhongJingChangKouTaoQiShouYi" label="币种：净敞口套期收益" selectOptions="_buildInISO4217" controlType="Combobox" cellType="Measure" appId="_GBC_33e106b71ec640cd9126570421557bda"/>
      <m:placeholder xlName="_PLD_21405f5115ce4df7ae312068797d44de" addr="T0R0C0S1_1"/>
      <m:placeholder xlName="_PLD_1d3cd0bf88524496a6fefc70ebdcce18" addr="T0R0C1S1_1"/>
      <m:placeholder xlName="_PLD_61c9557f73574a508c07a2ccfeab8719" addr="T0R0C2S1_1"/>
      <m:tuple xlName="_TUP_deed899ed483409dbb174289697098e2" concept="clcid-pte:JingChangKouTaoQiShouYiMingXi" default_row="2" addr="T0R1C">
        <m:item xlName="_GBC_60ae6bddc197463088b89e0c10edcd65" concept="clcid-pte:JingChangKouTaoQiShouYiMingXiXiangMu" label="净敞口套期收益明细-项目" addr="T0R1C0S1_1" appId="_GBC_33e106b71ec640cd9126570421557bda"/>
        <m:item xlName="_GBC_4af87978b2544513b64f14018a2864fe" concept="clcid-pte:JingChangKouTaoQiShouYiMingXiFaShengE" label="净敞口套期收益明细-发生额" mulRef="_GBC_2da41f74f3384a2cbb420c44f3789bf2" unitRef="_GBC_5c2a5fb8565c4407a283c6073b989a3e" addr="T0R1C1S1_1" formatStyle="Comma" appId="_GBC_33e106b71ec640cd9126570421557bda"/>
        <m:item xlName="_GBC_ed180ea7622e49fe82f3e3056971663d" concept="clcid-pte:JingChangKouTaoQiShouYiMingXiFaShengE" label="净敞口套期收益明细-发生额" periodRef="上年同期数" mulRef="_GBC_2da41f74f3384a2cbb420c44f3789bf2" unitRef="_GBC_5c2a5fb8565c4407a283c6073b989a3e" addr="T0R1C2S1_1" formatStyle="Comma" appId="_GBC_33e106b71ec640cd9126570421557bda"/>
      </m:tuple>
      <m:placeholder xlName="_PLD_3e47f8605726453da6e6239d56f7e5e5" addr="T0R3C0S1_1"/>
      <m:item xlName="_GBC_13e13e0aba714a7b986a03fc146f60a7" concept="clcid-pte:JingChangKouTaoQiShouYi" label="净敞口套期收益" mulRef="_GBC_2da41f74f3384a2cbb420c44f3789bf2" unitRef="_GBC_5c2a5fb8565c4407a283c6073b989a3e" addr="T0R3C1S1_1" formatStyle="Comma" appId="_GBC_33e106b71ec640cd9126570421557bda">
        <m:complexRule comparator="Eq" title="净敞口套期收益" test=" $_GBC_4af87978b2544513b64f14018a2864fe" id="C01e29faa64d34eca8962f21eabb73d7d"/>
      </m:item>
      <m:item xlName="_GBC_bc11f9de05e14fdc907dfe6310dc81ef" concept="clcid-pte:JingChangKouTaoQiShouYi" label="净敞口套期收益" periodRef="上年同期数" mulRef="_GBC_2da41f74f3384a2cbb420c44f3789bf2" unitRef="_GBC_5c2a5fb8565c4407a283c6073b989a3e" addr="T0R3C2S1_1" formatStyle="Comma" appId="_GBC_33e106b71ec640cd9126570421557bda">
        <m:complexRule comparator="Eq" title="净敞口套期收益@上年同期数" test=" $_GBC_ed180ea7622e49fe82f3e3056971663d" id="C2a8559b060674ee1bf91dd375433eda0"/>
      </m:item>
      <m:item xlName="_GBC_7fa3b1cc5e10497f8025b9d557c9f47d" concept="clcid-pte:JingChangKouTaoQiShouYiQiTaShuoMing" label="净敞口套期收益其他说明" appId="_GBC_33e106b71ec640cd9126570421557bda"/>
    </m:section>
    <m:section xlName="_GBC_66e6cb51ec7740408a31ff233ae3330d" title="公允价值变动收益" rules="R2015_R11_025" convertSummaryRule="NoConvert" helpId="112001113">
      <m:item xlName="_GBC_21669fdeb74c4273a55facece1a56109" concept="clcid-ci-ar:ShiFouShiYongGongYunJiaZhiBianDongShouYi" label="是否适用：公允价值变动收益" selectOptions="_buildInAppliance" controlType="CustomCheckbox" cRanges="{&quot;StartName&quot;:&quot;_GBC_21669fdeb74c4273a55facece1a56109&quot;,&quot;EndName&quot;:&quot;_GBC_ca97bf4455704ba1b8c90a97a9d856f0&quot;,&quot;CType&quot;:1,&quot;DisplayText&quot;:null}"/>
      <m:item xlName="_GBC_a2b6fb2423244bbaa3600e1be3b4d548" concept="clcid-ci-ar:DanWeiCaiWuFuZhuGongYunJiaZhiBianDongShouYi" label="单位：财务附注：公允价值变动收益" selectOptions="_buildInScales" controlType="Combobox" cellType="Scale" appId="_GBC_21669fdeb74c4273a55facece1a56109"/>
      <m:item xlName="_GBC_0343c5436a0742acbf5d87cc18c51638" concept="clcid-ci-ar:BiZhongCaiWuFuZhuGongYunJiaZhiBianDongShouYi" label="币种：财务附注：公允价值变动收益" selectOptions="_buildInISO4217" controlType="Combobox" cellType="Measure" appId="_GBC_21669fdeb74c4273a55facece1a56109"/>
      <m:placeholder xlName="_PLD_a07c0df95be549039f5bf24c4a595cbd" addr="T0R0C0S1_1"/>
      <m:placeholder xlName="_PLD_b9803e3282e549d5b5e179588ec75dc3" addr="T0R0C1S1_1"/>
      <m:placeholder xlName="_PLD_943dd94af7be43cd9f57756acf9a8c19" addr="T0R0C2S1_1"/>
      <m:placeholder xlName="_PLD_402b5413aaec4e358e056ca8d9f87b4c" addr="T0R1C0S1_1"/>
      <m:item xlName="_GBC_07ef5f59bb13421a818417254c1e689e" concept="clcid-pte:JiaoYiXingJinRongZiChanChanShengDeGongYunJiaZhiBianDongShouYi" label="交易性金融资产产生的公允价值变动收益" mulRef="_GBC_a2b6fb2423244bbaa3600e1be3b4d548" unitRef="_GBC_0343c5436a0742acbf5d87cc18c51638" addr="T0R1C1S1_1" formatStyle="Comma" appId="_GBC_21669fdeb74c4273a55facece1a56109"/>
      <m:item xlName="_GBC_93831c83463c4836880a1d0962b774ec" concept="clcid-pte:JiaoYiXingJinRongZiChanChanShengDeGongYunJiaZhiBianDongShouYi" label="交易性金融资产产生的公允价值变动收益" periodRef="上年同期数" mulRef="_GBC_a2b6fb2423244bbaa3600e1be3b4d548" unitRef="_GBC_0343c5436a0742acbf5d87cc18c51638" addr="T0R1C2S1_1" formatStyle="Comma" appId="_GBC_21669fdeb74c4273a55facece1a56109"/>
      <m:placeholder xlName="_PLD_8673a4a9fddf4ed2911a769bece72d7a" addr="T0R2C0S1_1"/>
      <m:item xlName="_GBC_305f87c37dac47be8a8a2913f728f44f" concept="clcid-pte:YanShengJinRongGongJuChanShengDeGongYunJiaZhiBianDongShouYi" label="衍生金融工具产生的公允价值变动收益" mulRef="_GBC_a2b6fb2423244bbaa3600e1be3b4d548" unitRef="_GBC_0343c5436a0742acbf5d87cc18c51638" addr="T0R2C1S1_1" formatStyle="Comma" appId="_GBC_21669fdeb74c4273a55facece1a56109"/>
      <m:item xlName="_GBC_87745c3b5811495c97223f41465c45a0" concept="clcid-pte:YanShengJinRongGongJuChanShengDeGongYunJiaZhiBianDongShouYi" label="衍生金融工具产生的公允价值变动收益" periodRef="上年同期数" mulRef="_GBC_a2b6fb2423244bbaa3600e1be3b4d548" unitRef="_GBC_0343c5436a0742acbf5d87cc18c51638" addr="T0R2C2S1_1" formatStyle="Comma" appId="_GBC_21669fdeb74c4273a55facece1a56109"/>
      <m:placeholder xlName="_PLD_3d96c34a09624753b34e51d2472f2a1b" addr="T0R3C0S1_1"/>
      <m:item xlName="_GBC_40bb09630c2c48ec9f8798e5aca84b13" concept="clcid-pte:JiaoYiXingJinRongFuZhaiChanShengDeGongYunJiaZhiBianDongShouYi" label="交易性金融负债（公允价值变动）" mulRef="_GBC_a2b6fb2423244bbaa3600e1be3b4d548" unitRef="_GBC_0343c5436a0742acbf5d87cc18c51638" addr="T0R3C1S1_1" formatStyle="Comma" appId="_GBC_21669fdeb74c4273a55facece1a56109"/>
      <m:item xlName="_GBC_db177fdffd89474da5832977739318f3" concept="clcid-pte:JiaoYiXingJinRongFuZhaiChanShengDeGongYunJiaZhiBianDongShouYi" label="交易性金融负债（公允价值变动）" periodRef="上年同期数" mulRef="_GBC_a2b6fb2423244bbaa3600e1be3b4d548" unitRef="_GBC_0343c5436a0742acbf5d87cc18c51638" addr="T0R3C2S1_1" formatStyle="Comma" appId="_GBC_21669fdeb74c4273a55facece1a56109"/>
      <m:placeholder xlName="_PLD_0b07ec0c5dc249068527848b698bc82a" addr="T0R4C0S1_1"/>
      <m:item xlName="_GBC_7c746b5bd23247b597a1c9886914cd27" concept="clcid-pte:TouZiXingFangDiChanChanShengDeGongYunJiaZhiBianDongShouYi" label="投资性房地产产生的公允价值变动收益" mulRef="_GBC_a2b6fb2423244bbaa3600e1be3b4d548" unitRef="_GBC_0343c5436a0742acbf5d87cc18c51638" addr="T0R4C1S1_1" formatStyle="Comma" appId="_GBC_21669fdeb74c4273a55facece1a56109"/>
      <m:item xlName="_GBC_5440288836c7423ea97829c4ac8e645e" concept="clcid-pte:TouZiXingFangDiChanChanShengDeGongYunJiaZhiBianDongShouYi" label="投资性房地产产生的公允价值变动收益" periodRef="上年同期数" mulRef="_GBC_a2b6fb2423244bbaa3600e1be3b4d548" unitRef="_GBC_0343c5436a0742acbf5d87cc18c51638" addr="T0R4C2S1_1" formatStyle="Comma" appId="_GBC_21669fdeb74c4273a55facece1a56109"/>
      <m:tuple xlName="_TUP_901043d70806435fbba28aa3c0d298b6" concept="clcid-pte:ChanShengGongYunJiaZhiBianDongShouYiDeLaiYuanDeMingXi" default_row="2" addr="T0R5C">
        <m:item xlName="_GBC_78db29cf169742e5927c1107cae8b9fc" concept="clcid-pte:ChanShengGongYunJiaZhiBianDongShouYiDeLaiYuanDeMingXiLaiYuanXiangMu" label="产生公允价值变动收益的来源的明细－来源项目" addr="T0R5C0S1_1" appId="_GBC_21669fdeb74c4273a55facece1a56109"/>
        <m:item xlName="_GBC_3d3c75cfec374363a62dc05e0622fd3f" concept="clcid-pte:ChanShengGongYunJiaZhiBianDongShouYiDeLaiYuanDeMingXiFaShengE" label="产生公允价值变动收益的来源的明细－发生额" mulRef="_GBC_a2b6fb2423244bbaa3600e1be3b4d548" unitRef="_GBC_0343c5436a0742acbf5d87cc18c51638" addr="T0R5C1S1_1" formatStyle="Comma" appId="_GBC_21669fdeb74c4273a55facece1a56109"/>
        <m:item xlName="_GBC_1a7cd06749ab432e82da0e39eabfd31c" concept="clcid-pte:ChanShengGongYunJiaZhiBianDongShouYiDeLaiYuanDeMingXiFaShengE" label="产生公允价值变动收益的来源的明细－发生额" periodRef="上年同期数" mulRef="_GBC_a2b6fb2423244bbaa3600e1be3b4d548" unitRef="_GBC_0343c5436a0742acbf5d87cc18c51638" addr="T0R5C2S1_1" formatStyle="Comma" appId="_GBC_21669fdeb74c4273a55facece1a56109"/>
      </m:tuple>
      <m:placeholder xlName="_PLD_5eb386e2c7144b76b7f1061a9d9942d9" addr="T0R7C0S1_1"/>
      <m:item xlName="_GBC_410dce1ecfef492fb37335e10c577e5d" concept="clcid-pte:GongYunJiaZhiBianDongShouYi" label="公允价值变动收益" mulRef="_GBC_a2b6fb2423244bbaa3600e1be3b4d548" unitRef="_GBC_0343c5436a0742acbf5d87cc18c51638" addr="T0R7C1S1_1" formatStyle="Comma" appId="_GBC_21669fdeb74c4273a55facece1a56109">
        <m:complexRule comparator="Eq" title="公允价值变动收益" test=" $_GBC_07ef5f59bb13421a818417254c1e689e +  $_GBC_40bb09630c2c48ec9f8798e5aca84b13 +  $_GBC_7c746b5bd23247b597a1c9886914cd27 +  $_GBC_3d3c75cfec374363a62dc05e0622fd3f" id="C27b8b5ee53f248b7a24210df021f306a" serialType="1"/>
      </m:item>
      <m:item xlName="_GBC_f421dda9fe9a42dba2a65d3a4c47b75c" concept="clcid-pte:GongYunJiaZhiBianDongShouYi" label="公允价值变动收益" periodRef="上年同期数" mulRef="_GBC_a2b6fb2423244bbaa3600e1be3b4d548" unitRef="_GBC_0343c5436a0742acbf5d87cc18c51638" addr="T0R7C2S1_1" formatStyle="Comma" appId="_GBC_21669fdeb74c4273a55facece1a56109">
        <m:complexRule comparator="Eq" title="公允价值变动收益@上年同期数" test=" $_GBC_93831c83463c4836880a1d0962b774ec +  $_GBC_db177fdffd89474da5832977739318f3 +  $_GBC_5440288836c7423ea97829c4ac8e645e +  $_GBC_1a7cd06749ab432e82da0e39eabfd31c" id="C2b90454c05714f98afec7dbbf68d63f4" serialType="1"/>
      </m:item>
      <m:item xlName="_GBC_ca97bf4455704ba1b8c90a97a9d856f0" concept="clcid-pte:GongYunJiaZhiBianDongShouYiDeShuoMing" label="公允价值变动收益的说明" appId="_GBC_21669fdeb74c4273a55facece1a56109"/>
    </m:section>
    <m:section xlName="_SEC_70d8d5b3aa9043efbb5b3370294ba932" title="信用减值损失">
      <m:item xlName="_GBC_e913221809224be0b38ff200833e616b" concept="clcid-ci-ar:ShiFouShiYongXinYongJianZhiSunShi" label="是否适用：信用减值损失" selectOptions="_buildInAppliance" controlType="CustomCheckbox" cRanges="[{&quot;StartName&quot;:&quot;_GBC_e913221809224be0b38ff200833e616b&quot;,&quot;EndName&quot;:&quot;_GBC_de5202106fc44e069082da55c08c20a1&quot;,&quot;CType&quot;:1}]"/>
      <m:item xlName="_GBC_2a082de888ce4960b6b2feaa9b6683fe" concept="clcid-ci-ar:DanWeiXinYongJianZhiSunShi" label="单位：信用减值损失" selectOptions="_buildInScales" controlType="Combobox" cellType="Scale" appId="_GBC_e913221809224be0b38ff200833e616b"/>
      <m:item xlName="_GBC_b0aeb4008d574ed494dd40c7258d54d4" concept="clcid-ci-ar:BiZhongXinYongJianZhiSunShi" label="币种：信用减值损失" selectOptions="_buildInISO4217" controlType="Combobox" cellType="Measure" appId="_GBC_e913221809224be0b38ff200833e616b"/>
      <m:placeholder xlName="_PLD_e2aa46c0d69c4fc1aba016d70de46e39" addr="T0R0C0S1_1"/>
      <m:placeholder xlName="_PLD_a1760fea03894d16851c4eee1f1798de" addr="T0R0C1S1_1"/>
      <m:placeholder xlName="_PLD_4bee1cb5128941aa9c9ac0718129ca58" addr="T0R0C2S1_1"/>
      <m:placeholder xlName="_PLD_9a6dc47e68924b3bba4780a7f25d33a3" addr="T0R1C0S1_1"/>
      <m:item xlName="_GBC_cde4be6d4863422999443b26843af5e6" concept="clcid-pte:YingShouPiaoJuHuaiZhangSunShi" label="应收票据坏账损失" mulRef="_GBC_2a082de888ce4960b6b2feaa9b6683fe" unitRef="_GBC_b0aeb4008d574ed494dd40c7258d54d4" addr="T0R1C1S1_1" formatStyle="Comma" appId="_GBC_e913221809224be0b38ff200833e616b"/>
      <m:item xlName="_GBC_5ae6eb62f9054dce85094b1f68e3f9b8" concept="clcid-pte:YingShouPiaoJuHuaiZhangSunShi" label="应收票据坏账损失" periodRef="上年同期数" mulRef="_GBC_2a082de888ce4960b6b2feaa9b6683fe" unitRef="_GBC_b0aeb4008d574ed494dd40c7258d54d4" addr="T0R1C2S1_1" formatStyle="Comma" appId="_GBC_e913221809224be0b38ff200833e616b"/>
      <m:placeholder xlName="_PLD_cffcb1a576f9463cb93f6ca5300b13a6" addr="T0R2C0S1_1"/>
      <m:item xlName="_GBC_c56a18a34fc7449a891bf50044eb34c4" concept="clcid-pte:YingShouZhangKuanHuaiZhangSunShi" label="应收账款坏账损失" mulRef="_GBC_2a082de888ce4960b6b2feaa9b6683fe" unitRef="_GBC_b0aeb4008d574ed494dd40c7258d54d4" addr="T0R2C1S1_1" formatStyle="Comma" appId="_GBC_e913221809224be0b38ff200833e616b"/>
      <m:item xlName="_GBC_9dbd57f862bb449cac12d9735d95ef73" concept="clcid-pte:YingShouZhangKuanHuaiZhangSunShi" label="应收账款坏账损失" periodRef="上年同期数" mulRef="_GBC_2a082de888ce4960b6b2feaa9b6683fe" unitRef="_GBC_b0aeb4008d574ed494dd40c7258d54d4" addr="T0R2C2S1_1" formatStyle="Comma" appId="_GBC_e913221809224be0b38ff200833e616b"/>
      <m:placeholder xlName="_PLD_8f7ebcf67db94293a0f59556f571fc77" addr="T0R3C0S1_1"/>
      <m:item xlName="_GBC_24cd1be2e88c4a9c9dab78c0a3382e56" concept="clcid-pte:QiTaYingShouKuanHuaiZhangSunShi" label="其他应收款坏账损失" mulRef="_GBC_2a082de888ce4960b6b2feaa9b6683fe" unitRef="_GBC_b0aeb4008d574ed494dd40c7258d54d4" addr="T0R3C1S1_1" formatStyle="Comma" appId="_GBC_e913221809224be0b38ff200833e616b"/>
      <m:item xlName="_GBC_429ed91c887449cf9fe4abda9f49d203" concept="clcid-pte:QiTaYingShouKuanHuaiZhangSunShi" label="其他应收款坏账损失" periodRef="上年同期数" mulRef="_GBC_2a082de888ce4960b6b2feaa9b6683fe" unitRef="_GBC_b0aeb4008d574ed494dd40c7258d54d4" addr="T0R3C2S1_1" formatStyle="Comma" appId="_GBC_e913221809224be0b38ff200833e616b"/>
      <m:placeholder xlName="_PLD_81de9d4266e34608bdaf5b4bac8ed794" addr="T0R4C0S1_1"/>
      <m:item xlName="_GBC_0dd94db51279496489a408a34af3fc5d" concept="clcid-pte:ZhaiQuanTouZiJianZhiSunShi" label="债权投资减值损失" mulRef="_GBC_2a082de888ce4960b6b2feaa9b6683fe" unitRef="_GBC_b0aeb4008d574ed494dd40c7258d54d4" addr="T0R4C1S1_1" formatStyle="Comma" appId="_GBC_e913221809224be0b38ff200833e616b"/>
      <m:item xlName="_GBC_43549823a1f84417b73313c44562c40d" concept="clcid-pte:ZhaiQuanTouZiJianZhiSunShi" label="债权投资减值损失" periodRef="上年同期数" mulRef="_GBC_2a082de888ce4960b6b2feaa9b6683fe" unitRef="_GBC_b0aeb4008d574ed494dd40c7258d54d4" addr="T0R4C2S1_1" formatStyle="Comma" appId="_GBC_e913221809224be0b38ff200833e616b"/>
      <m:placeholder xlName="_PLD_178faf0579fe4477957be0943562a7ae" addr="T0R5C0S1_1"/>
      <m:item xlName="_GBC_a4dd868238a54dc08b90178eaffefa57" concept="clcid-pte:QiTaZhaiQuanTouZiJianZhiSunShi" label="其他债权投资减值损失" mulRef="_GBC_2a082de888ce4960b6b2feaa9b6683fe" unitRef="_GBC_b0aeb4008d574ed494dd40c7258d54d4" addr="T0R5C1S1_1" formatStyle="Comma" appId="_GBC_e913221809224be0b38ff200833e616b"/>
      <m:item xlName="_GBC_7f4d5f1292b14262951fd95d0c36b3c9" concept="clcid-pte:QiTaZhaiQuanTouZiJianZhiSunShi" label="其他债权投资减值损失" periodRef="上年同期数" mulRef="_GBC_2a082de888ce4960b6b2feaa9b6683fe" unitRef="_GBC_b0aeb4008d574ed494dd40c7258d54d4" addr="T0R5C2S1_1" formatStyle="Comma" appId="_GBC_e913221809224be0b38ff200833e616b"/>
      <m:placeholder xlName="_PLD_4a253c2ea86848a68e667ef991e7bece" addr="T0R6C0S1_1"/>
      <m:item xlName="_GBC_e7235615ba064a2b89695e11f21e43e5" concept="clcid-pte:ChangQiYingShouKuanHuaiZhangSunShi" label="长期应收款坏账损失" mulRef="_GBC_2a082de888ce4960b6b2feaa9b6683fe" unitRef="_GBC_b0aeb4008d574ed494dd40c7258d54d4" addr="T0R6C1S1_1" formatStyle="Comma" appId="_GBC_e913221809224be0b38ff200833e616b"/>
      <m:item xlName="_GBC_b2593eb84cca4524b75dfea7655e065e" concept="clcid-pte:ChangQiYingShouKuanHuaiZhangSunShi" label="长期应收款坏账损失" periodRef="上年同期数" mulRef="_GBC_2a082de888ce4960b6b2feaa9b6683fe" unitRef="_GBC_b0aeb4008d574ed494dd40c7258d54d4" addr="T0R6C2S1_1" formatStyle="Comma" appId="_GBC_e913221809224be0b38ff200833e616b"/>
      <m:placeholder xlName="_PLD_7fa1defc646144588ffa3aa8d3b126a1" addr="T0R7C0S1_1"/>
      <m:item xlName="_GBC_b317a21b03c44917872ba335c6ac91b2" concept="clcid-pte:HeTongZiChanJianZhiSunShi" label="合同资产减值损失" mulRef="_GBC_2a082de888ce4960b6b2feaa9b6683fe" unitRef="_GBC_b0aeb4008d574ed494dd40c7258d54d4" addr="T0R7C1S1_1" formatStyle="Comma" appId="_GBC_e913221809224be0b38ff200833e616b"/>
      <m:item xlName="_GBC_43d0b1d5d8384ac79c245d3777c3f82c" concept="clcid-pte:HeTongZiChanJianZhiSunShi" label="合同资产减值损失" periodRef="上年同期数" mulRef="_GBC_2a082de888ce4960b6b2feaa9b6683fe" unitRef="_GBC_b0aeb4008d574ed494dd40c7258d54d4" addr="T0R7C2S1_1" formatStyle="Comma" appId="_GBC_e913221809224be0b38ff200833e616b"/>
      <m:tuple xlName="_TUP_937332d438154419ac74224462ec6904" concept="clcid-pte:XinYongJianZhiSunShiMingXi" default_row="2" addr="T0R8C">
        <m:item xlName="_GBC_516e01aa1a1c42ddb1906c795ded1dd6" concept="clcid-pte:XinYongJianZhiSunShiMingXiXiangMu" label="信用减值损失明细-项目" unitRef="_GBC_b0aeb4008d574ed494dd40c7258d54d4" addr="T0R8C0S1_1" appId="_GBC_e913221809224be0b38ff200833e616b"/>
        <m:item xlName="_GBC_e0bda5eef1ba4b0891635fcdff79da54" concept="clcid-pte:XinYongJianZhiSunShiMingXiFaShengE" label="信用减值损失明细-发生额" mulRef="_GBC_2a082de888ce4960b6b2feaa9b6683fe" unitRef="_GBC_b0aeb4008d574ed494dd40c7258d54d4" addr="T0R8C1S1_1" formatStyle="Comma" appId="_GBC_e913221809224be0b38ff200833e616b"/>
        <m:item xlName="_GBC_b7c00fc9fa8a488d91f03027b8d59835" concept="clcid-pte:XinYongJianZhiSunShiMingXiFaShengE" label="信用减值损失明细-发生额" periodRef="上年同期数" mulRef="_GBC_2a082de888ce4960b6b2feaa9b6683fe" unitRef="_GBC_b0aeb4008d574ed494dd40c7258d54d4" addr="T0R8C2S1_1" formatStyle="Comma" appId="_GBC_e913221809224be0b38ff200833e616b"/>
      </m:tuple>
      <m:placeholder xlName="_PLD_620d86e5efd246a7a9c7100814de6fda" addr="T0R10C0S1_1"/>
      <m:item xlName="_GBC_8fe18ecdea3e4cddb1aaea534190c378" concept="clcid-pte:XinYongJianZhiSunShiJinE" label="信用减值损失金额" mulRef="_GBC_2a082de888ce4960b6b2feaa9b6683fe" unitRef="_GBC_b0aeb4008d574ed494dd40c7258d54d4" addr="T0R10C1S1_1" formatStyle="Comma" appId="_GBC_e913221809224be0b38ff200833e616b">
        <m:complexRule comparator="Eq" title="信用减值损失" test=" $_GBC_24cd1be2e88c4a9c9dab78c0a3382e56 +  $_GBC_0dd94db51279496489a408a34af3fc5d +  $_GBC_a4dd868238a54dc08b90178eaffefa57 +  $_GBC_e7235615ba064a2b89695e11f21e43e5 +  $_GBC_b317a21b03c44917872ba335c6ac91b2 +  $_GBC_e0bda5eef1ba4b0891635fcdff79da54 +  $_GBC_cde4be6d4863422999443b26843af5e6 +  $_GBC_c56a18a34fc7449a891bf50044eb34c4" id="C2685187ae26a4270baf3ed5a70688289"/>
      </m:item>
      <m:item xlName="_GBC_6903cb6b2cd34e629b178cd219a55329" concept="clcid-pte:XinYongJianZhiSunShiJinE" label="信用减值损失金额" periodRef="上年同期数" mulRef="_GBC_2a082de888ce4960b6b2feaa9b6683fe" unitRef="_GBC_b0aeb4008d574ed494dd40c7258d54d4" addr="T0R10C2S1_1" formatStyle="Comma" appId="_GBC_e913221809224be0b38ff200833e616b">
        <m:complexRule comparator="Eq" title="信用减值损失@上年同期数" test=" $_GBC_429ed91c887449cf9fe4abda9f49d203 +  $_GBC_43549823a1f84417b73313c44562c40d +  $_GBC_7f4d5f1292b14262951fd95d0c36b3c9 +  $_GBC_b2593eb84cca4524b75dfea7655e065e +  $_GBC_43d0b1d5d8384ac79c245d3777c3f82c +  $_GBC_b7c00fc9fa8a488d91f03027b8d59835 +  $_GBC_5ae6eb62f9054dce85094b1f68e3f9b8 +  $_GBC_9dbd57f862bb449cac12d9735d95ef73" id="C51601ce0299443b4bc8c3e27774781cd"/>
      </m:item>
      <m:item xlName="_GBC_de5202106fc44e069082da55c08c20a1" concept="clcid-pte:XinYongJianZhiSunShiQiTaShuoMing" label="信用减值损失其他说明" appId="_GBC_e913221809224be0b38ff200833e616b"/>
    </m:section>
    <m:section xlName="_GBC_e0187e33fb024605af673daabe2f7861" title="资产减值损失" rules="R2015_R11_027" helpId="112001115">
      <m:item xlName="_GBC_08b38400504e4508ad53b7e18d3618a6" concept="clcid-ci-ar:ShiFouShiYongZiChanJianZhiSunShi" label="是否适用：资产减值损失" selectOptions="_buildInAppliance" controlType="CustomCheckbox" cRanges="[{&quot;StartName&quot;:&quot;_GBC_08b38400504e4508ad53b7e18d3618a6&quot;,&quot;EndName&quot;:&quot;_GBC_436129c1b6334c439a0fbad40ea7de7a&quot;,&quot;CType&quot;:1}]"/>
      <m:item xlName="_GBC_0db318808f4e48299086cdd6a41d48bc" concept="clcid-ci-ar:DanWeiCaiWuFuZhuZiChanJianZhiSunShi" label="单位：财务附注：资产减值损失" selectOptions="_buildInScales" controlType="Combobox" cellType="Scale" appId="_GBC_08b38400504e4508ad53b7e18d3618a6"/>
      <m:item xlName="_GBC_8ee385f569ac4368b9fe9c34840f608d" concept="clcid-ci-ar:BiZhongCaiWuFuZhuZiChanJianZhiSunShi" label="币种：财务附注：资产减值损失" selectOptions="_buildInISO4217" controlType="Combobox" cellType="Measure" appId="_GBC_08b38400504e4508ad53b7e18d3618a6"/>
      <m:placeholder xlName="_PLD_07ea10224a3a46ab8ea93a8b0209426a" addr="T0R0C0S1_1"/>
      <m:placeholder xlName="_PLD_56affef2b4a141a499dbc9968437eea7" addr="T0R0C1S1_1"/>
      <m:placeholder xlName="_PLD_d4f5bea8c37f457e9fa92e57119c1b9a" addr="T0R0C2S1_1"/>
      <m:placeholder xlName="_PLD_12ae3dcd35e6422392f62827a9edef4c" keyAction="62" addr="T0R1C0S1_1"/>
      <m:item xlName="_GBC_94ea08a7342945adaf10ee04f7d0ab01" concept="clcid-pte:HuaiZhangSunShi" label="坏账损失" mulRef="_GBC_0db318808f4e48299086cdd6a41d48bc" unitRef="_GBC_8ee385f569ac4368b9fe9c34840f608d" addr="T0R1C1S1_1" formatStyle="Comma" appId="_GBC_08b38400504e4508ad53b7e18d3618a6"/>
      <m:item xlName="_GBC_8d43157260d84bb488b455ecceb47b3e" concept="clcid-pte:HuaiZhangSunShi" label="坏账损失" periodRef="上年同期数" mulRef="_GBC_0db318808f4e48299086cdd6a41d48bc" unitRef="_GBC_8ee385f569ac4368b9fe9c34840f608d" addr="T0R1C2S1_1" formatStyle="Comma" appId="_GBC_08b38400504e4508ad53b7e18d3618a6"/>
      <m:placeholder xlName="_PLD_1d03f17bc6fb4a8694896f1778a79fff" keyAction="62" addr="T0R2C0S1_1"/>
      <m:item xlName="_GBC_57a0464f2c294527be28e914b5aad9b2" concept="clcid-pte:CunHuoDieJiaSunShi" label="存货跌价损失" mulRef="_GBC_0db318808f4e48299086cdd6a41d48bc" unitRef="_GBC_8ee385f569ac4368b9fe9c34840f608d" addr="T0R2C1S1_1" formatStyle="Comma" appId="_GBC_08b38400504e4508ad53b7e18d3618a6"/>
      <m:item xlName="_GBC_7789b172e2244d23b7463e3bf7c7f754" concept="clcid-pte:CunHuoDieJiaSunShi" label="存货跌价损失" periodRef="上年同期数" mulRef="_GBC_0db318808f4e48299086cdd6a41d48bc" unitRef="_GBC_8ee385f569ac4368b9fe9c34840f608d" addr="T0R2C2S1_1" formatStyle="Comma" appId="_GBC_08b38400504e4508ad53b7e18d3618a6"/>
      <m:placeholder xlName="_PLD_0298218d5c4c430d98c333df169e421d" keyAction="62" addr="T0R3C0S1_1"/>
      <m:item xlName="_GBC_3f460471482a47c3a4dae7c9365300c0" concept="clcid-pte:ChangQiGuQuanTouZiJianZhiSunShi" label="长期股权投资减值损失" mulRef="_GBC_0db318808f4e48299086cdd6a41d48bc" unitRef="_GBC_8ee385f569ac4368b9fe9c34840f608d" addr="T0R3C1S1_1" formatStyle="Comma" appId="_GBC_08b38400504e4508ad53b7e18d3618a6"/>
      <m:item xlName="_GBC_79e63116dd7448188e5eb4754e47a9d9" concept="clcid-pte:ChangQiGuQuanTouZiJianZhiSunShi" label="长期股权投资减值损失" periodRef="上年同期数" mulRef="_GBC_0db318808f4e48299086cdd6a41d48bc" unitRef="_GBC_8ee385f569ac4368b9fe9c34840f608d" addr="T0R3C2S1_1" formatStyle="Comma" appId="_GBC_08b38400504e4508ad53b7e18d3618a6"/>
      <m:placeholder xlName="_PLD_4334f3780fde4b0f8e5befa5631b519b" keyAction="62" addr="T0R4C0S1_1"/>
      <m:item xlName="_GBC_b8a1a12f45644f4ca66452de699615c7" concept="clcid-pte:TouZiXingFangDiChanJianZhiSunShi" label="投资性房地产减值损失" mulRef="_GBC_0db318808f4e48299086cdd6a41d48bc" unitRef="_GBC_8ee385f569ac4368b9fe9c34840f608d" addr="T0R4C1S1_1" formatStyle="Comma" appId="_GBC_08b38400504e4508ad53b7e18d3618a6"/>
      <m:item xlName="_GBC_f957ab3f12bc44efaeb8528153dc2b83" concept="clcid-pte:TouZiXingFangDiChanJianZhiSunShi" label="投资性房地产减值损失" periodRef="上年同期数" mulRef="_GBC_0db318808f4e48299086cdd6a41d48bc" unitRef="_GBC_8ee385f569ac4368b9fe9c34840f608d" addr="T0R4C2S1_1" formatStyle="Comma" appId="_GBC_08b38400504e4508ad53b7e18d3618a6"/>
      <m:placeholder xlName="_PLD_d81a4c2a938c4fcba7c05cd48f22bbda" keyAction="62" addr="T0R5C0S1_1"/>
      <m:item xlName="_GBC_6edb7cc2557a4fa2aaea9b99ed20672f" concept="clcid-pte:GuDingZiChanJianZhiSunShi" label="固定资产减值损失" mulRef="_GBC_0db318808f4e48299086cdd6a41d48bc" unitRef="_GBC_8ee385f569ac4368b9fe9c34840f608d" addr="T0R5C1S1_1" formatStyle="Comma" appId="_GBC_08b38400504e4508ad53b7e18d3618a6"/>
      <m:item xlName="_GBC_40bd4b026a9b41eaaee98554c38295bf" concept="clcid-pte:GuDingZiChanJianZhiSunShi" label="固定资产减值损失" periodRef="上年同期数" mulRef="_GBC_0db318808f4e48299086cdd6a41d48bc" unitRef="_GBC_8ee385f569ac4368b9fe9c34840f608d" addr="T0R5C2S1_1" formatStyle="Comma" appId="_GBC_08b38400504e4508ad53b7e18d3618a6"/>
      <m:placeholder xlName="_PLD_8177f13313364353a46c79433bceb155" keyAction="62" addr="T0R6C0S1_1"/>
      <m:item xlName="_GBC_49e6619dcc7e4d679d2b0ae81dd15b96" concept="clcid-pte:GongChengWuZiJianZhiSunShi" label="工程物资减值损失" mulRef="_GBC_0db318808f4e48299086cdd6a41d48bc" unitRef="_GBC_8ee385f569ac4368b9fe9c34840f608d" addr="T0R6C1S1_1" formatStyle="Comma" appId="_GBC_08b38400504e4508ad53b7e18d3618a6"/>
      <m:item xlName="_GBC_649f252b2a8e4a06b4178bc536a25023" concept="clcid-pte:GongChengWuZiJianZhiSunShi" label="工程物资减值损失" periodRef="上年同期数" mulRef="_GBC_0db318808f4e48299086cdd6a41d48bc" unitRef="_GBC_8ee385f569ac4368b9fe9c34840f608d" addr="T0R6C2S1_1" formatStyle="Comma" appId="_GBC_08b38400504e4508ad53b7e18d3618a6"/>
      <m:placeholder xlName="_PLD_7a10a43391734ad197626c5dd0ad89f8" keyAction="62" addr="T0R7C0S1_1"/>
      <m:item xlName="_GBC_f2f3d425dd7447eeb278f904e2751fc2" concept="clcid-pte:ZaiJianGongChengJianZhiSunShi" label="在建工程减值损失" mulRef="_GBC_0db318808f4e48299086cdd6a41d48bc" unitRef="_GBC_8ee385f569ac4368b9fe9c34840f608d" addr="T0R7C1S1_1" formatStyle="Comma" appId="_GBC_08b38400504e4508ad53b7e18d3618a6"/>
      <m:item xlName="_GBC_8d4892192e534a0badf1e1ae7c51c5c6" concept="clcid-pte:ZaiJianGongChengJianZhiSunShi" label="在建工程减值损失" periodRef="上年同期数" mulRef="_GBC_0db318808f4e48299086cdd6a41d48bc" unitRef="_GBC_8ee385f569ac4368b9fe9c34840f608d" addr="T0R7C2S1_1" formatStyle="Comma" appId="_GBC_08b38400504e4508ad53b7e18d3618a6"/>
      <m:placeholder xlName="_PLD_27f1ce4332df40ab83c79b2cce65e62c" keyAction="62" addr="T0R8C0S1_1"/>
      <m:item xlName="_GBC_85649934f85b4f738e0c4e3a4cb48f80" concept="clcid-pte:ShengChanXingShengWuZiChanJianZhiSunShi" label="生产性生物资产减值损失" mulRef="_GBC_0db318808f4e48299086cdd6a41d48bc" unitRef="_GBC_8ee385f569ac4368b9fe9c34840f608d" addr="T0R8C1S1_1" formatStyle="Comma" appId="_GBC_08b38400504e4508ad53b7e18d3618a6"/>
      <m:item xlName="_GBC_df4e27737fd44336874574db354b97c7" concept="clcid-pte:ShengChanXingShengWuZiChanJianZhiSunShi" label="生产性生物资产减值损失" periodRef="上年同期数" mulRef="_GBC_0db318808f4e48299086cdd6a41d48bc" unitRef="_GBC_8ee385f569ac4368b9fe9c34840f608d" addr="T0R8C2S1_1" formatStyle="Comma" appId="_GBC_08b38400504e4508ad53b7e18d3618a6"/>
      <m:placeholder xlName="_PLD_01f787258aef40bb99f99c5d035fe6d8" keyAction="62" addr="T0R9C0S1_1"/>
      <m:item xlName="_GBC_07e02f29625343a3a2ac95294a4b1257" concept="clcid-pte:YouQiZiChanJianZhiSunShi" label="油气资产减值损失" mulRef="_GBC_0db318808f4e48299086cdd6a41d48bc" unitRef="_GBC_8ee385f569ac4368b9fe9c34840f608d" addr="T0R9C1S1_1" formatStyle="Comma" appId="_GBC_08b38400504e4508ad53b7e18d3618a6"/>
      <m:item xlName="_GBC_cc816dfb6ba64393a0d277f2a7ce6cea" concept="clcid-pte:YouQiZiChanJianZhiSunShi" label="油气资产减值损失" periodRef="上年同期数" mulRef="_GBC_0db318808f4e48299086cdd6a41d48bc" unitRef="_GBC_8ee385f569ac4368b9fe9c34840f608d" addr="T0R9C2S1_1" formatStyle="Comma" appId="_GBC_08b38400504e4508ad53b7e18d3618a6"/>
      <m:placeholder xlName="_PLD_7a5a6b66663c421d845eafad8b101bdc" keyAction="62" addr="T0R10C0S1_1"/>
      <m:item xlName="_GBC_bf3406386c7a4ab5bf4bb110b5b9c105" concept="clcid-pte:WuXingZiChanJianZhiSunShi" label="无形资产减值损失" mulRef="_GBC_0db318808f4e48299086cdd6a41d48bc" unitRef="_GBC_8ee385f569ac4368b9fe9c34840f608d" addr="T0R10C1S1_1" formatStyle="Comma" appId="_GBC_08b38400504e4508ad53b7e18d3618a6"/>
      <m:item xlName="_GBC_cd0eaaa50d6540e1b14183a778755d48" concept="clcid-pte:WuXingZiChanJianZhiSunShi" label="无形资产减值损失" periodRef="上年同期数" mulRef="_GBC_0db318808f4e48299086cdd6a41d48bc" unitRef="_GBC_8ee385f569ac4368b9fe9c34840f608d" addr="T0R10C2S1_1" formatStyle="Comma" appId="_GBC_08b38400504e4508ad53b7e18d3618a6"/>
      <m:placeholder xlName="_PLD_0b12ea0bbf6e4d859351720d01be2307" keyAction="62" addr="T0R11C0S1_1"/>
      <m:item xlName="_GBC_a69999180d874229b66fb81af7460cff" concept="clcid-pte:ShangYuJianZhiSunShi" label="商誉减值损失" mulRef="_GBC_0db318808f4e48299086cdd6a41d48bc" unitRef="_GBC_8ee385f569ac4368b9fe9c34840f608d" addr="T0R11C1S1_1" formatStyle="Comma" appId="_GBC_08b38400504e4508ad53b7e18d3618a6"/>
      <m:item xlName="_GBC_229459b942404a978c9743f2df8346d1" concept="clcid-pte:ShangYuJianZhiSunShi" label="商誉减值损失" periodRef="上年同期数" mulRef="_GBC_0db318808f4e48299086cdd6a41d48bc" unitRef="_GBC_8ee385f569ac4368b9fe9c34840f608d" addr="T0R11C2S1_1" formatStyle="Comma" appId="_GBC_08b38400504e4508ad53b7e18d3618a6"/>
      <m:placeholder xlName="_PLD_1ad84ec7d61f44d091427e0cc3e7b12d" keyAction="62" addr="T0R12C0S1_1"/>
      <m:item xlName="_GBC_7f069ebe29124f51a4dca69228a7b015" concept="clcid-pte:QiTaZiChanJianZhiSunShi" label="其他资产减值损失" mulRef="_GBC_0db318808f4e48299086cdd6a41d48bc" unitRef="_GBC_8ee385f569ac4368b9fe9c34840f608d" addr="T0R12C1S1_1" formatStyle="Comma" appId="_GBC_08b38400504e4508ad53b7e18d3618a6"/>
      <m:item xlName="_GBC_178c5c57ace442e6bee9f43625764cbf" concept="clcid-pte:QiTaZiChanJianZhiSunShi" label="其他资产减值损失" periodRef="上年同期数" mulRef="_GBC_0db318808f4e48299086cdd6a41d48bc" unitRef="_GBC_8ee385f569ac4368b9fe9c34840f608d" addr="T0R12C2S1_1" formatStyle="Comma" appId="_GBC_08b38400504e4508ad53b7e18d3618a6"/>
      <m:tuple xlName="_TUP_716328458b674d728602f4060ffd6e7a" concept="clcid-pte:ZiChanJianZhiSunShiMingXi" default_row="2" addr="T0R13C">
        <m:item xlName="_GBC_e52527cfd52f44bab8a30f609287d94d" concept="clcid-pte:ZiChanJianZhiSunShiMingXiXiangMu" label="资产减值损失明细－项目" addr="T0R13C0S1_1" appId="_GBC_08b38400504e4508ad53b7e18d3618a6"/>
        <m:item xlName="_GBC_85f4d5d443f04a9fb816345cb10ad238" concept="clcid-pte:ZiChanJianZhiSunShiMingXiJinE" label="资产减值损失明细－金额" mulRef="_GBC_0db318808f4e48299086cdd6a41d48bc" unitRef="_GBC_8ee385f569ac4368b9fe9c34840f608d" addr="T0R13C1S1_1" formatStyle="Comma" appId="_GBC_08b38400504e4508ad53b7e18d3618a6"/>
        <m:item xlName="_GBC_9f123b21f7444cf5835f6eebb31e0d45" concept="clcid-pte:ZiChanJianZhiSunShiMingXiJinE" label="资产减值损失明细－金额" periodRef="上年同期数" mulRef="_GBC_0db318808f4e48299086cdd6a41d48bc" unitRef="_GBC_8ee385f569ac4368b9fe9c34840f608d" addr="T0R13C2S1_1" formatStyle="Comma" appId="_GBC_08b38400504e4508ad53b7e18d3618a6"/>
      </m:tuple>
      <m:placeholder xlName="_PLD_9d101a8a5c1741ac9e4ba486b2d458ba" addr="T0R15C0S1_1"/>
      <m:item xlName="_GBC_f2799faedee745b4bd45f2c6c5182a72" concept="clcid-pte:ZiChanJianZhiSunShiJinE" label="资产减值损失金额" mulRef="_GBC_0db318808f4e48299086cdd6a41d48bc" unitRef="_GBC_8ee385f569ac4368b9fe9c34840f608d" addr="T0R15C1S1_1" formatStyle="Comma" appId="_GBC_08b38400504e4508ad53b7e18d3618a6">
        <m:complexRule comparator="Eq" title="资产减值损失" test=" $_GBC_94ea08a7342945adaf10ee04f7d0ab01 +  $_GBC_57a0464f2c294527be28e914b5aad9b2 +  $_GBC_3f460471482a47c3a4dae7c9365300c0 +  $_GBC_b8a1a12f45644f4ca66452de699615c7 +  $_GBC_6edb7cc2557a4fa2aaea9b99ed20672f +  $_GBC_49e6619dcc7e4d679d2b0ae81dd15b96 +  $_GBC_f2f3d425dd7447eeb278f904e2751fc2 +  $_GBC_85649934f85b4f738e0c4e3a4cb48f80 +  $_GBC_07e02f29625343a3a2ac95294a4b1257 +  $_GBC_bf3406386c7a4ab5bf4bb110b5b9c105 +  $_GBC_a69999180d874229b66fb81af7460cff +  $_GBC_7f069ebe29124f51a4dca69228a7b015 +  $_GBC_85f4d5d443f04a9fb816345cb10ad238" id="Ce82298723ab34eccb83f92526abc985b"/>
      </m:item>
      <m:item xlName="_GBC_7aa0f208ae69449caa696dba4ed1e8db" concept="clcid-pte:ZiChanJianZhiSunShiJinE" label="资产减值损失金额" periodRef="上年同期数" mulRef="_GBC_0db318808f4e48299086cdd6a41d48bc" unitRef="_GBC_8ee385f569ac4368b9fe9c34840f608d" addr="T0R15C2S1_1" formatStyle="Comma" appId="_GBC_08b38400504e4508ad53b7e18d3618a6">
        <m:complexRule comparator="Eq" title="资产减值损失@上年同期数" test=" $_GBC_8d43157260d84bb488b455ecceb47b3e +  $_GBC_7789b172e2244d23b7463e3bf7c7f754 +  $_GBC_79e63116dd7448188e5eb4754e47a9d9 +  $_GBC_f957ab3f12bc44efaeb8528153dc2b83 +  $_GBC_40bd4b026a9b41eaaee98554c38295bf +  $_GBC_649f252b2a8e4a06b4178bc536a25023 +  $_GBC_8d4892192e534a0badf1e1ae7c51c5c6 +  $_GBC_df4e27737fd44336874574db354b97c7 +  $_GBC_cc816dfb6ba64393a0d277f2a7ce6cea +  $_GBC_cd0eaaa50d6540e1b14183a778755d48 +  $_GBC_229459b942404a978c9743f2df8346d1 +  $_GBC_178c5c57ace442e6bee9f43625764cbf +  $_GBC_9f123b21f7444cf5835f6eebb31e0d45" id="C50f0eeb87e6b4597a723d28c9e52f6ac"/>
      </m:item>
      <m:item xlName="_GBC_436129c1b6334c439a0fbad40ea7de7a" concept="clcid-pte:ZiChanJianZhiSunShiDeShuoMing" label="资产减值损失的说明" appId="_GBC_08b38400504e4508ad53b7e18d3618a6"/>
    </m:section>
    <m:section xlName="_SEC_32e84127ca0a46b8896ad8e149c91048" title="资产处置收益"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concept="clcid-pte:DanWeiZiChanChuZhiShouYiMingXi" label="单位：资产处置收益明细" selectOptions="_buildInScales" controlType="Combobox" cellType="Scale" appId="_GBC_9e584d6f46c648d195946caa434a4619"/>
      <m:item xlName="_GBC_d68880ec5b074fdc8846b703ead631e2" concept="clcid-pte:BiZhongZiChanChuZhiShouYiMingXi" label="币种：资产处置收益明细" selectOptions="_buildInISO4217" controlType="Combobox" cellType="Measure" appId="_GBC_9e584d6f46c648d195946caa434a4619"/>
      <m:placeholder xlName="_PLD_5ae5d7d7d48342e7bc1da8d90a245459" addr="T0R0C0S1_1"/>
      <m:placeholder xlName="_PLD_879cf215b86c45c790218e646c831e7d" addr="T0R0C1S1_1"/>
      <m:placeholder xlName="_PLD_8860a002ccc44e14bf36aa3e10fb5d70" addr="T0R0C2S1_1"/>
      <m:tuple xlName="_TUP_4fb92e1c2e6d48c3ba0fd0e082ed3be0" concept="clcid-pte:ZiChanChuZhiShouYiMingXi" default_row="2" addr="T0R1C">
        <m:item xlName="_GBC_5ab69b13ea4d4808910031ee4286a1d3"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tuple>
      <m:placeholder xlName="_PLD_8313ddfe5809449c9ba5acf78ad5340a"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isPatch="true">
      <m:item xlName="_GBC_dd93a692e0c045038f9ddf46f86e7289" concept="clcid-ci-ar:DanWeiCaiWuFuZhuYingYeWaiShouRu" label="单位：财务附注：营业外收入" selectOptions="_buildInScales" controlType="Combobox" cellType="Scale" appId="_GBC_b6e9df1124844122abb2dde58392c605"/>
      <m:item xlName="_GBC_598cac7504eb4ef39ddc19fb969bdd53" concept="clcid-ci-ar:BiZhongCaiWuFuZhuYingYeWaiShouRu" label="币种：财务附注：营业外收入" selectOptions="_buildInISO4217" controlType="Combobox" cellType="Measure" appId="_GBC_b6e9df1124844122abb2dde58392c605"/>
      <m:placeholder xlName="_PLD_d649e0d07dd047a497e69591bf3e322c" addr="T0R0C0S1_1"/>
      <m:placeholder xlName="_PLD_eabf358cb2c947a9b4e7bacb394074db" addr="T0R0C1S1_1"/>
      <m:placeholder xlName="_PLD_0469d808d7334ff0ab3460273b0c8f8f" addr="T0R0C2S1_1"/>
      <m:placeholder xlName="_PLD_121bda757dda46918753fabf9329298f" addr="T0R0C3S1_1"/>
      <m:placeholder xlName="_PLD_cb24834fdd0f46c3836c51084196565f" addr="T0R1C0S1_1"/>
      <m:item xlName="_GBC_f3176b2bf10b428290a0a24b479a97d2" concept="clcid-pte:FeiLiuDongZiChanChuZhiLiDeHeJi" label="非流动资产处置利得合计" mulRef="_GBC_dd93a692e0c045038f9ddf46f86e7289" unitRef="_GBC_598cac7504eb4ef39ddc19fb969bdd53" addr="T0R1C1S1_1" formatStyle="Comma" appId="_GBC_b6e9df1124844122abb2dde58392c605"/>
      <m:item xlName="_GBC_13751e0d0cf74655a932a129dcb09b89" concept="clcid-pte:FeiLiuDongZiChanChuZhiLiDeHeJi" label="非流动资产处置利得合计" periodRef="上年同期数" mulRef="_GBC_dd93a692e0c045038f9ddf46f86e7289" unitRef="_GBC_598cac7504eb4ef39ddc19fb969bdd53" addr="T0R1C2S1_1" formatStyle="Comma" appId="_GBC_b6e9df1124844122abb2dde58392c605"/>
      <m:item xlName="_GBC_18f48df7ef094d47b4ec84ff0b2ff107" concept="clcid-pte:FeiLiuDongZiChanChuZhiLiDeHeJiJiRuDangQiFeiJingChangXingSunYiDeJinE" label="非流动资产处置利得合计计入当期非经常性损益的金额" mulRef="_GBC_dd93a692e0c045038f9ddf46f86e7289" unitRef="_GBC_598cac7504eb4ef39ddc19fb969bdd53" addr="T0R1C3S1_1" formatStyle="Comma" appId="_GBC_b6e9df1124844122abb2dde58392c605"/>
      <m:placeholder xlName="_PLD_51e6628966d84807a93193ac3fd8a88e" addr="T0R2C0S1_1"/>
      <m:item xlName="_GBC_f2834cd6e9fd4429aba0727eb4da2363" concept="clcid-pte:GuDingZiChanChuZhiLiDe" label="固定资产处置利得" mulRef="_GBC_dd93a692e0c045038f9ddf46f86e7289" unitRef="_GBC_598cac7504eb4ef39ddc19fb969bdd53" addr="T0R2C1S1_1" formatStyle="Comma" appId="_GBC_b6e9df1124844122abb2dde58392c605"/>
      <m:item xlName="_GBC_dfc58119dafd4450a4856bca1dda45a6" concept="clcid-pte:GuDingZiChanChuZhiLiDe" label="固定资产处置利得" periodRef="上年同期数" mulRef="_GBC_dd93a692e0c045038f9ddf46f86e7289" unitRef="_GBC_598cac7504eb4ef39ddc19fb969bdd53" addr="T0R2C2S1_1" formatStyle="Comma" appId="_GBC_b6e9df1124844122abb2dde58392c605"/>
      <m:item xlName="_GBC_cf9db279aeba41da89d3323f61df280f" concept="clcid-pte:GuDingZiChanChuZhiLiDeJiRuDangQiFeiJingChangXingSunYiDeJinE" label="固定资产处置利得计入当期非经常性损益的金额" mulRef="_GBC_dd93a692e0c045038f9ddf46f86e7289" unitRef="_GBC_598cac7504eb4ef39ddc19fb969bdd53" addr="T0R2C3S1_1" formatStyle="Comma" appId="_GBC_b6e9df1124844122abb2dde58392c605"/>
      <m:placeholder xlName="_PLD_7f803529327b4f529b4acbc8b4633c6e" addr="T0R3C0S1_1"/>
      <m:item xlName="_GBC_47457940cf1648ee9a104f562252c620" concept="clcid-pte:WuXingZiChanChuZhiLiDe" label="无形资产处置利得" mulRef="_GBC_dd93a692e0c045038f9ddf46f86e7289" unitRef="_GBC_598cac7504eb4ef39ddc19fb969bdd53" addr="T0R3C1S1_1" formatStyle="Comma" appId="_GBC_b6e9df1124844122abb2dde58392c605"/>
      <m:item xlName="_GBC_d34d489342114be3a25068249f4eaf7f" concept="clcid-pte:WuXingZiChanChuZhiLiDe" label="无形资产处置利得" periodRef="上年同期数" mulRef="_GBC_dd93a692e0c045038f9ddf46f86e7289" unitRef="_GBC_598cac7504eb4ef39ddc19fb969bdd53" addr="T0R3C2S1_1" formatStyle="Comma" appId="_GBC_b6e9df1124844122abb2dde58392c605"/>
      <m:item xlName="_GBC_d3c83ec6693645a1a87cd1e819307563" concept="clcid-pte:WuXingZiChanChuZhiLiDeJiRuDangQiFeiJingChangXingSunYiDeJinE" label="无形资产处置利得计入当期非经常性损益的金额" mulRef="_GBC_dd93a692e0c045038f9ddf46f86e7289" unitRef="_GBC_598cac7504eb4ef39ddc19fb969bdd53" addr="T0R3C3S1_1" formatStyle="Comma" appId="_GBC_b6e9df1124844122abb2dde58392c605"/>
      <m:placeholder xlName="_PLD_d78c2dfb458d4a20adeaa192d260fc6a" addr="T0R4C0S1_1"/>
      <m:item xlName="_GBC_5f2a9d44e0ad48d48b81691287cf38c3" concept="clcid-pte:ZhaiWuZhongZuShouYi" label="债务重组收益" mulRef="_GBC_dd93a692e0c045038f9ddf46f86e7289" unitRef="_GBC_598cac7504eb4ef39ddc19fb969bdd53" addr="T0R4C1S1_1" formatStyle="Comma" appId="_GBC_b6e9df1124844122abb2dde58392c605"/>
      <m:item xlName="_GBC_866099afbd284e29a7983f71dd0dabd4" concept="clcid-pte:ZhaiWuZhongZuShouYi" label="债务重组收益" periodRef="上年同期数" mulRef="_GBC_dd93a692e0c045038f9ddf46f86e7289" unitRef="_GBC_598cac7504eb4ef39ddc19fb969bdd53" addr="T0R4C2S1_1" formatStyle="Comma" appId="_GBC_b6e9df1124844122abb2dde58392c605"/>
      <m:item xlName="_GBC_a1bad5cf500842f198d7a8122139b5ae" concept="clcid-pte:ZhaiWuZhongZuLiDeJiRuDangQiFeiJingChangXingSunYiDeJinE" label="债务重组利得计入当期非经常性损益的金额" mulRef="_GBC_dd93a692e0c045038f9ddf46f86e7289" unitRef="_GBC_598cac7504eb4ef39ddc19fb969bdd53" addr="T0R4C3S1_1" formatStyle="Comma" appId="_GBC_b6e9df1124844122abb2dde58392c605"/>
      <m:placeholder xlName="_PLD_addf757476b14e0a866d589088e59325" addr="T0R5C0S1_1"/>
      <m:item xlName="_GBC_764d1883a3c84708ba2349c2b536e978" concept="clcid-pte:FeiHuoBiXingZiChanJiaoHuanLiDe" label="非货币性资产交换利得(营业外收入)" mulRef="_GBC_dd93a692e0c045038f9ddf46f86e7289" unitRef="_GBC_598cac7504eb4ef39ddc19fb969bdd53" addr="T0R5C1S1_1" formatStyle="Comma" appId="_GBC_b6e9df1124844122abb2dde58392c605"/>
      <m:item xlName="_GBC_4690c9dd66f04256b76dedcb66331d7d" concept="clcid-pte:FeiHuoBiXingZiChanJiaoHuanLiDe" label="非货币性资产交换利得(营业外收入)" periodRef="上年同期数" mulRef="_GBC_dd93a692e0c045038f9ddf46f86e7289" unitRef="_GBC_598cac7504eb4ef39ddc19fb969bdd53" addr="T0R5C2S1_1" formatStyle="Comma" appId="_GBC_b6e9df1124844122abb2dde58392c605"/>
      <m:item xlName="_GBC_4cfbf8d4963d45649cc657c045016eee" concept="clcid-pte:FeiHuoBiXingZiChanJiaoHuanLiDeJiRuDangQiFeiJingChangXingSunYiDeJinE" label="非货币性资产交换利得计入当期非经常性损益的金额" mulRef="_GBC_dd93a692e0c045038f9ddf46f86e7289" unitRef="_GBC_598cac7504eb4ef39ddc19fb969bdd53" addr="T0R5C3S1_1" formatStyle="Comma" appId="_GBC_b6e9df1124844122abb2dde58392c605"/>
      <m:placeholder xlName="_PLD_2039c4d9907c4ef7bb8a71fc4f7dd7fa" addr="T0R6C0S1_1"/>
      <m:item xlName="_GBC_947edb019e7d4783ae5f76f22ab3df3f" concept="clcid-pte:JieShouJuanZeng" label="接受捐赠" mulRef="_GBC_dd93a692e0c045038f9ddf46f86e7289" unitRef="_GBC_598cac7504eb4ef39ddc19fb969bdd53" addr="T0R6C1S1_1" formatStyle="Comma" appId="_GBC_b6e9df1124844122abb2dde58392c605"/>
      <m:item xlName="_GBC_3f21474a242b45a38c16492ef4b508b0" concept="clcid-pte:JieShouJuanZeng" label="接受捐赠" periodRef="上年同期数" mulRef="_GBC_dd93a692e0c045038f9ddf46f86e7289" unitRef="_GBC_598cac7504eb4ef39ddc19fb969bdd53" addr="T0R6C2S1_1" formatStyle="Comma" appId="_GBC_b6e9df1124844122abb2dde58392c605"/>
      <m:item xlName="_GBC_958bbb04a52a4e24bd0a0bd47b3a3b1e" concept="clcid-pte:JieShouJuanZengJiRuDangQiFeiJingChangXingSunYiDeJinE" label="接受捐赠计入当期非经常性损益的金额" mulRef="_GBC_dd93a692e0c045038f9ddf46f86e7289" unitRef="_GBC_598cac7504eb4ef39ddc19fb969bdd53" addr="T0R6C3S1_1" formatStyle="Comma" appId="_GBC_b6e9df1124844122abb2dde58392c605"/>
      <m:placeholder xlName="_PLD_b627183426d3462198209d98f8e60215" addr="T0R7C0S1_1"/>
      <m:item xlName="_GBC_71f31ea0cbee4c9caeb9190787aff53c" concept="clcid-pte:BuTieShouRu" label="补贴收入" mulRef="_GBC_dd93a692e0c045038f9ddf46f86e7289" unitRef="_GBC_598cac7504eb4ef39ddc19fb969bdd53" addr="T0R7C1S1_1" formatStyle="Comma" appId="_GBC_b6e9df1124844122abb2dde58392c605"/>
      <m:item xlName="_GBC_da75a27492574b9899e34369b97ea38b" concept="clcid-pte:BuTieShouRu" label="补贴收入" periodRef="上年同期数" mulRef="_GBC_dd93a692e0c045038f9ddf46f86e7289" unitRef="_GBC_598cac7504eb4ef39ddc19fb969bdd53" addr="T0R7C2S1_1" formatStyle="Comma" appId="_GBC_b6e9df1124844122abb2dde58392c605"/>
      <m:item xlName="_GBC_cc0b8564b9114bbb8eb034e441fb13a2" concept="clcid-pte:ZhengFuBuZhuJiRuDangQiFeiJingChangXingSunYiDeJinE" label="政府补助计入当期非经常性损益的金额" mulRef="_GBC_dd93a692e0c045038f9ddf46f86e7289" unitRef="_GBC_598cac7504eb4ef39ddc19fb969bdd53" addr="T0R7C3S1_1" formatStyle="Comma" appId="_GBC_b6e9df1124844122abb2dde58392c605"/>
      <m:tuple xlName="_GBC_fd02acc867064481b957560afa744c85" concept="clcid-pte:YingYeWaiShouRuMingXi" default_row="2" addr="T0R8C">
        <m:item xlName="_GBC_0722783346e64733b889d400c5359b83" concept="clcid-pte:YingYeWaiShouRuXiangMu" label="营业外收入项目" addr="T0R8C0S1_1" appId="_GBC_b6e9df1124844122abb2dde58392c605"/>
        <m:item xlName="_GBC_3101d54a60a24215b544aeea9b39db09" concept="clcid-pte:YingYeWaiShouRuJinE" label="营业外收入金额" mulRef="_GBC_dd93a692e0c045038f9ddf46f86e7289" unitRef="_GBC_598cac7504eb4ef39ddc19fb969bdd53" addr="T0R8C1S1_1" formatStyle="Comma" appId="_GBC_b6e9df1124844122abb2dde58392c605"/>
        <m:item xlName="_GBC_e9ae46edac3941c589ce62d2ed02eeed" concept="clcid-pte:YingYeWaiShouRuJinE" label="营业外收入金额" periodRef="上年同期数" mulRef="_GBC_dd93a692e0c045038f9ddf46f86e7289" unitRef="_GBC_598cac7504eb4ef39ddc19fb969bdd53" addr="T0R8C2S1_1" formatStyle="Comma" appId="_GBC_b6e9df1124844122abb2dde58392c605"/>
        <m:item xlName="_GBC_a89289989344493a98dcbade4c2948a3" concept="clcid-pte:YingYeWaiShouRuJinEJiRuDangQiFeiJingChangXingSunYiDeJinE" label="营业外收入金额计入当期非经常性损益的金额" mulRef="_GBC_dd93a692e0c045038f9ddf46f86e7289" unitRef="_GBC_598cac7504eb4ef39ddc19fb969bdd53" addr="T0R8C3S1_1" formatStyle="Comma" appId="_GBC_b6e9df1124844122abb2dde58392c605"/>
      </m:tuple>
      <m:placeholder xlName="_PLD_25918db321f1404aaddb2a14d0bd05fc" addr="T0R10C0S1_1"/>
      <m:item xlName="_GBC_f862f9e2b0ac45afac769a2d8f7d1d95" concept="clcid-pte:YingYeWaiShouRu" label="营业外收入" mulRef="_GBC_dd93a692e0c045038f9ddf46f86e7289" unitRef="_GBC_598cac7504eb4ef39ddc19fb969bdd53" addr="T0R10C1S1_1" formatStyle="Comma" appId="_GBC_b6e9df1124844122abb2dde58392c605">
        <m:complexRule comparator="Eq" title="营业外收入" test=" $_GBC_f3176b2bf10b428290a0a24b479a97d2 +  $_GBC_764d1883a3c84708ba2349c2b536e978 +  $_GBC_947edb019e7d4783ae5f76f22ab3df3f +  $_GBC_71f31ea0cbee4c9caeb9190787aff53c +  $_GBC_3101d54a60a24215b544aeea9b39db09" id="Cfe8a39f6dede4d0da4d887af64843ff9" serialType="1"/>
      </m:item>
      <m:item xlName="_GBC_bfd10b1f3c7d4101bc21fc0f9fbc1617" concept="clcid-pte:YingYeWaiShouRu" label="营业外收入" periodRef="上年同期数" mulRef="_GBC_dd93a692e0c045038f9ddf46f86e7289" unitRef="_GBC_598cac7504eb4ef39ddc19fb969bdd53" addr="T0R10C2S1_1" formatStyle="Comma" appId="_GBC_b6e9df1124844122abb2dde58392c605">
        <m:complexRule comparator="Eq" title="营业外收入@上年同期数" test=" $_GBC_13751e0d0cf74655a932a129dcb09b89 +  $_GBC_4690c9dd66f04256b76dedcb66331d7d +  $_GBC_3f21474a242b45a38c16492ef4b508b0 +  $_GBC_da75a27492574b9899e34369b97ea38b +  $_GBC_e9ae46edac3941c589ce62d2ed02eeed" id="C4f9ea40cd3304ad0bf8365c44898c6f2" serialType="1"/>
      </m:item>
      <m:item xlName="_GBC_a0bc3b5bfca54265833010a3a5fb2ce8" concept="clcid-pte:YingYeWaiShouRuHeJiJiRuDangQiFeiJingChangXingSunYiDeJinE" label="营业外收入合计计入当期非经常性损益的金额" mulRef="_GBC_dd93a692e0c045038f9ddf46f86e7289" unitRef="_GBC_598cac7504eb4ef39ddc19fb969bdd53" addr="T0R10C3S1_1" formatStyle="Comma" appId="_GBC_b6e9df1124844122abb2dde58392c605">
        <m:complexRule comparator="Eq" title="营业外收入合计计入当期非经常性损益的金额" test=" $_GBC_18f48df7ef094d47b4ec84ff0b2ff107 +  $_GBC_a1bad5cf500842f198d7a8122139b5ae +  $_GBC_4cfbf8d4963d45649cc657c045016eee +  $_GBC_958bbb04a52a4e24bd0a0bd47b3a3b1e +  $_GBC_cc0b8564b9114bbb8eb034e441fb13a2 +  $_GBC_a89289989344493a98dcbade4c2948a3" id="Cc79e7137332343199daa3bd408b40dd1" serialType="1"/>
      </m:item>
    </m:section>
    <m:section xlName="_GBC_941e4c9023f94b758b05afb87d550363" title="计入当期损益的政府补助" rules="R2015_R11_028"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concept="clcid-ci-ar:DanWeiCaiWuFuZhuJiRuDangQiSunYiDeZhengFuBuZhu" label="单位：财务附注：计入当期损益的政府补助" selectOptions="_buildInScales" controlType="Combobox" cellType="Scale" appId="_GBC_c8882fe165a24797aca3c402f799f006"/>
      <m:item xlName="_GBC_23bf9a9e0ac34ffd9e7e1d78597a87d0"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addr="T0R0C0S1_1"/>
      <m:placeholder xlName="_PLD_b153949e35ca47018467de6ef3800cf5" addr="T0R0C1S1_1"/>
      <m:placeholder xlName="_PLD_bf693dd17f244c38afd88855e4186d7d" addr="T0R0C2S1_1"/>
      <m:placeholder xlName="_PLD_532c78ae9a7849fe9994cace73120659" addr="T0R0C3S1_1"/>
      <m:tuple xlName="_GBC_8d8ea3026a664e94a38609c0bcec2101" concept="clcid-pte:JiRuDangQiSunYiDeZhengFuBuZhuMingXi" default_row="2" addr="T0R1C">
        <m:item xlName="_GBC_e5afa976691d4951955d16fae878bcdd"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tuple>
    </m:section>
    <m:section xlName="_GBC_613f834d57f34b828d1fb937ee139a13" title="营业外收入说明" rules="R2015_R11_028" convertSummaryRule="NoConvert" helpId="112001116">
      <m:item xlName="_GBC_9bd4fc9f0fcc4e85bee85b3ce60c8b2c" concept="clcid-ci-ar:ShiFouShiYongYingYeWaiShouRuShuoMing" label="是否适用：营业外收入说明" selectOptions="_buildInAppliance" controlType="CustomCheckbox" cRanges="{&quot;StartName&quot;:&quot;_GBC_9bd4fc9f0fcc4e85bee85b3ce60c8b2c&quot;,&quot;EndName&quot;:&quot;_GBC_16317ee6171e4de2aa4eeba65e7b2cae&quot;,&quot;CType&quot;:1,&quot;DisplayText&quot;:null}"/>
      <m:item xlName="_GBC_16317ee6171e4de2aa4eeba65e7b2cae" concept="clcid-pte:YingYeWaiShouRuShuoMing" label="营业外收入说明" appId="_GBC_9bd4fc9f0fcc4e85bee85b3ce60c8b2c"/>
    </m:section>
    <m:section xlName="_GBC_7c51aa70be1f405d954dc316ed26b5b4" title="营业外支出" convertSummaryRule="NoConvert" helpId="112001117">
      <m:item xlName="_GBC_6d4b8ac674ce425b8c798e92aa1fe455" concept="clcid-ci-ar:ShiFouShiYongYingYeWaiZhiChu" label="是否适用：营业外支出" selectOptions="_buildInAppliance" controlType="CustomCheckbox" cRanges="{&quot;StartName&quot;:&quot;_GBC_6d4b8ac674ce425b8c798e92aa1fe455&quot;,&quot;EndName&quot;:&quot;_GBC_948d4d2c5cfc43b999d968de3476bc75&quot;,&quot;CType&quot;:1,&quot;DisplayText&quot;:null}"/>
      <m:item xlName="_GBC_f8678a9a1bbf4b0697744c5d21146839" concept="clcid-ci-ar:DanWeiCaiWuFuZhuYingYeWaiZhiChu" label="单位：财务附注：营业外支出" selectOptions="_buildInScales" controlType="Combobox" cellType="Scale" appId="_GBC_6d4b8ac674ce425b8c798e92aa1fe455"/>
      <m:item xlName="_GBC_61e3e82ad5404a9987623525ac03d95e" concept="clcid-ci-ar:BiZhongCaiWuFuZhuYingYeWaiZhiChu" label="币种：财务附注：营业外支出" selectOptions="_buildInISO4217" controlType="Combobox" cellType="Measure" appId="_GBC_6d4b8ac674ce425b8c798e92aa1fe455"/>
      <m:placeholder xlName="_PLD_6abf292cb0a7463788e39d1bdabb85fc" addr="T0R0C0S1_1"/>
      <m:placeholder xlName="_PLD_36a30142728e41bb9c215b73cfe3204c" addr="T0R0C1S1_1"/>
      <m:placeholder xlName="_PLD_16b0936bf8024bdf99cf883b1827419f" addr="T0R0C2S1_1"/>
      <m:placeholder xlName="_PLD_92014506c2824f6fbe79731f91aa61bc" addr="T0R0C3S1_1"/>
      <m:placeholder xlName="_PLD_062273c2b8444b53b1d55cd4655089a0" addr="T0R1C0S1_1"/>
      <m:item xlName="_GBC_ced1163ad2a24db6b7b2944202eaac93" concept="clcid-pte:FeiLiuDongZiChanChuZhiSunShiHeJi" label="非流动资产处置损失合计" mulRef="_GBC_f8678a9a1bbf4b0697744c5d21146839" unitRef="_GBC_61e3e82ad5404a9987623525ac03d95e" addr="T0R1C1S1_1" formatStyle="Comma" appId="_GBC_6d4b8ac674ce425b8c798e92aa1fe455"/>
      <m:item xlName="_GBC_d164bec9726d444584f86c9e23a53595" concept="clcid-pte:FeiLiuDongZiChanChuZhiSunShiHeJi" label="非流动资产处置损失合计" periodRef="上年同期数" mulRef="_GBC_f8678a9a1bbf4b0697744c5d21146839" unitRef="_GBC_61e3e82ad5404a9987623525ac03d95e" addr="T0R1C2S1_1" formatStyle="Comma" appId="_GBC_6d4b8ac674ce425b8c798e92aa1fe455"/>
      <m:item xlName="_GBC_f8278aa8803f434a9979e846ea71bcb1" concept="clcid-pte:FeiLiuDongZiChanChuZhiSunShiHeJiJiRuDangQiFeiJingChangXingSunYiDeJinE" label="非流动资产处置损失合计计入当期非经常性损益的金额" mulRef="_GBC_f8678a9a1bbf4b0697744c5d21146839" unitRef="_GBC_61e3e82ad5404a9987623525ac03d95e" addr="T0R1C3S1_1" formatStyle="Comma" appId="_GBC_6d4b8ac674ce425b8c798e92aa1fe455"/>
      <m:placeholder xlName="_PLD_0af592ee0cc24d8e8fa527035897eeb0" addr="T0R2C0S1_1"/>
      <m:item xlName="_GBC_3606e3c0d2284967aab0342305d69eeb" concept="clcid-pte:GuDingZiChanChuZhiSunShi" label="固定资产处置损失" mulRef="_GBC_f8678a9a1bbf4b0697744c5d21146839" unitRef="_GBC_61e3e82ad5404a9987623525ac03d95e" addr="T0R2C1S1_1" formatStyle="Comma" appId="_GBC_6d4b8ac674ce425b8c798e92aa1fe455"/>
      <m:item xlName="_GBC_a2d2c57e9de648609a67bfce198d8643" concept="clcid-pte:GuDingZiChanChuZhiSunShi" label="固定资产处置损失" periodRef="上年同期数" mulRef="_GBC_f8678a9a1bbf4b0697744c5d21146839" unitRef="_GBC_61e3e82ad5404a9987623525ac03d95e" addr="T0R2C2S1_1" formatStyle="Comma" appId="_GBC_6d4b8ac674ce425b8c798e92aa1fe455"/>
      <m:item xlName="_GBC_f7f425aaefa94df6aa7b7aadae93d5c8" concept="clcid-pte:GuDingZiChanChuZhiSunShiJiRuDangQiFeiJingChangXingSunYiDeJinE" label="固定资产处置损失计入当期非经常性损益的金额" mulRef="_GBC_f8678a9a1bbf4b0697744c5d21146839" unitRef="_GBC_61e3e82ad5404a9987623525ac03d95e" addr="T0R2C3S1_1" formatStyle="Comma" appId="_GBC_6d4b8ac674ce425b8c798e92aa1fe455"/>
      <m:placeholder xlName="_PLD_043b2a1cd6f242659d5a5fd4529789d4" addr="T0R3C0S1_1"/>
      <m:item xlName="_GBC_177ea6b3b9f94e09b783c0da7d997b51" concept="clcid-pte:WuXingZiChanChuZhiSunShi" label="无形资产处置损失" mulRef="_GBC_f8678a9a1bbf4b0697744c5d21146839" unitRef="_GBC_61e3e82ad5404a9987623525ac03d95e" addr="T0R3C1S1_1" formatStyle="Comma" appId="_GBC_6d4b8ac674ce425b8c798e92aa1fe455"/>
      <m:item xlName="_GBC_df51c1a92ea047af8469ba2da651e159" concept="clcid-pte:WuXingZiChanChuZhiSunShi" label="无形资产处置损失" periodRef="上年同期数" mulRef="_GBC_f8678a9a1bbf4b0697744c5d21146839" unitRef="_GBC_61e3e82ad5404a9987623525ac03d95e" addr="T0R3C2S1_1" formatStyle="Comma" appId="_GBC_6d4b8ac674ce425b8c798e92aa1fe455"/>
      <m:item xlName="_GBC_7fb5c7e66af54c8586b9d0feed2bb57e" concept="clcid-pte:WuXingZiChanChuZhiSunShiJiRuDangQiFeiJingChangXingSunYiDeJinE" label="无形资产处置损失计入当期非经常性损益的金额" mulRef="_GBC_f8678a9a1bbf4b0697744c5d21146839" unitRef="_GBC_61e3e82ad5404a9987623525ac03d95e" addr="T0R3C3S1_1" formatStyle="Comma" appId="_GBC_6d4b8ac674ce425b8c798e92aa1fe455"/>
      <m:placeholder xlName="_PLD_0f53d1ad8d2b4caaa20b1148cb431ce5" addr="T0R4C0S1_1"/>
      <m:item xlName="_GBC_a5bc6323729f4af18b1e0f22b4943cb8" concept="clcid-pte:ZhaiWuZhongZuSunShi" label="债务重组损失" mulRef="_GBC_f8678a9a1bbf4b0697744c5d21146839" unitRef="_GBC_61e3e82ad5404a9987623525ac03d95e" addr="T0R4C1S1_1" formatStyle="Comma" appId="_GBC_6d4b8ac674ce425b8c798e92aa1fe455"/>
      <m:item xlName="_GBC_9e1064b9e81f4c7aa7909056d64122da" concept="clcid-pte:ZhaiWuZhongZuSunShi" label="债务重组损失" periodRef="上年同期数" mulRef="_GBC_f8678a9a1bbf4b0697744c5d21146839" unitRef="_GBC_61e3e82ad5404a9987623525ac03d95e" addr="T0R4C2S1_1" formatStyle="Comma" appId="_GBC_6d4b8ac674ce425b8c798e92aa1fe455"/>
      <m:item xlName="_GBC_4a432e528451447da5b21217365f944a" concept="clcid-pte:ZhaiWuZhongZuSunShiJiRuDangQiFeiJingChangXingSunYiDeJinE" label="债务重组损失计入当期非经常性损益的金额" mulRef="_GBC_f8678a9a1bbf4b0697744c5d21146839" unitRef="_GBC_61e3e82ad5404a9987623525ac03d95e" addr="T0R4C3S1_1" formatStyle="Comma" appId="_GBC_6d4b8ac674ce425b8c798e92aa1fe455"/>
      <m:placeholder xlName="_PLD_ff6c8e36ebb64fad860979a13314fa7a" addr="T0R5C0S1_1"/>
      <m:item xlName="_GBC_851b1c832d204931a254a78ec0a6ddf8" concept="clcid-pte:FeiHuoBiXingZiChanJiaoHuanSunShi" label="非货币性资产交换损失(营业外支出)" mulRef="_GBC_f8678a9a1bbf4b0697744c5d21146839" unitRef="_GBC_61e3e82ad5404a9987623525ac03d95e" addr="T0R5C1S1_1" formatStyle="Comma" appId="_GBC_6d4b8ac674ce425b8c798e92aa1fe455"/>
      <m:item xlName="_GBC_86e780b0f5aa44d7a3d9beda378178cd" concept="clcid-pte:FeiHuoBiXingZiChanJiaoHuanSunShi" label="非货币性资产交换损失(营业外支出)" periodRef="上年同期数" mulRef="_GBC_f8678a9a1bbf4b0697744c5d21146839" unitRef="_GBC_61e3e82ad5404a9987623525ac03d95e" addr="T0R5C2S1_1" formatStyle="Comma" appId="_GBC_6d4b8ac674ce425b8c798e92aa1fe455"/>
      <m:item xlName="_GBC_6f6825d08e1844ab88290237e1a73015" concept="clcid-pte:FeiHuoBiXingZiChanJiaoHuanSunShiJiRuDangQiFeiJingChangXingSunYiDeJinE" label="非货币性资产交换损失计入当期非经常性损益的金额" mulRef="_GBC_f8678a9a1bbf4b0697744c5d21146839" unitRef="_GBC_61e3e82ad5404a9987623525ac03d95e" addr="T0R5C3S1_1" formatStyle="Comma" appId="_GBC_6d4b8ac674ce425b8c798e92aa1fe455"/>
      <m:placeholder xlName="_PLD_e707af1f17d74e7e8797d89b47050da8" addr="T0R6C0S1_1"/>
      <m:item xlName="_GBC_e583e7b02dab44dbbf633c4d5dae746b" concept="clcid-pte:DuiWaiJuanZeng" label="对外捐赠" mulRef="_GBC_f8678a9a1bbf4b0697744c5d21146839" unitRef="_GBC_61e3e82ad5404a9987623525ac03d95e" addr="T0R6C1S1_1" formatStyle="Comma" appId="_GBC_6d4b8ac674ce425b8c798e92aa1fe455"/>
      <m:item xlName="_GBC_f00f1f464d56426ca391a5e406ccf039" concept="clcid-pte:DuiWaiJuanZeng" label="对外捐赠" periodRef="上年同期数" mulRef="_GBC_f8678a9a1bbf4b0697744c5d21146839" unitRef="_GBC_61e3e82ad5404a9987623525ac03d95e" addr="T0R6C2S1_1" formatStyle="Comma" appId="_GBC_6d4b8ac674ce425b8c798e92aa1fe455"/>
      <m:item xlName="_GBC_fde785e651b74623ada089488400c47d" concept="clcid-pte:DuiWaiJuanZengJiRuDangQiFeiJingChangXingSunYiDeJinE" label="对外捐赠计入当期非经常性损益的金额" mulRef="_GBC_f8678a9a1bbf4b0697744c5d21146839" unitRef="_GBC_61e3e82ad5404a9987623525ac03d95e" addr="T0R6C3S1_1" formatStyle="Comma" appId="_GBC_6d4b8ac674ce425b8c798e92aa1fe455"/>
      <m:tuple xlName="_GBC_5b9df89383994b599a7029fc70bb3881" concept="clcid-pte:YingYeWaiZhiChuMingXi" default_row="2" addr="T0R7C">
        <m:item xlName="_GBC_f6927f1ee5b54465a9030c5dccab7653" concept="clcid-pte:YingYeWaiZhiChuXiangMu" label="营业外支出项目" addr="T0R7C0S1_1" appId="_GBC_6d4b8ac674ce425b8c798e92aa1fe455"/>
        <m:item xlName="_GBC_d8bd7284bb7b4491bc8b59df9f927218" concept="clcid-pte:YingYeWaiZhiChuJinE" label="营业外支出金额" mulRef="_GBC_f8678a9a1bbf4b0697744c5d21146839" unitRef="_GBC_61e3e82ad5404a9987623525ac03d95e" addr="T0R7C1S1_1" formatStyle="Comma" appId="_GBC_6d4b8ac674ce425b8c798e92aa1fe455"/>
        <m:item xlName="_GBC_99b51394d56848118bf4cf216e08322c" concept="clcid-pte:YingYeWaiZhiChuJinE" label="营业外支出金额" periodRef="上年同期数" mulRef="_GBC_f8678a9a1bbf4b0697744c5d21146839" unitRef="_GBC_61e3e82ad5404a9987623525ac03d95e" addr="T0R7C2S1_1" formatStyle="Comma" appId="_GBC_6d4b8ac674ce425b8c798e92aa1fe455"/>
        <m:item xlName="_GBC_61d600f278e24d4487b6d8c411a2c8ab" concept="clcid-pte:YingYeWaiZhiChuJinEJiRuDangQiFeiJingChangXingSunYiDeJinE" label="营业外支出金额计入当期非经常性损益的金额" mulRef="_GBC_f8678a9a1bbf4b0697744c5d21146839" unitRef="_GBC_61e3e82ad5404a9987623525ac03d95e" addr="T0R7C3S1_1" formatStyle="Comma" appId="_GBC_6d4b8ac674ce425b8c798e92aa1fe455"/>
      </m:tuple>
      <m:placeholder xlName="_PLD_c2b9d5e76f4549198980f8ca24fe3112" addr="T0R9C0S1_1"/>
      <m:item xlName="_GBC_085ac86af74e486781bc9e70d758e2e8" concept="clcid-pte:YingYeWaiZhiChu" label="营业外支出" mulRef="_GBC_f8678a9a1bbf4b0697744c5d21146839" unitRef="_GBC_61e3e82ad5404a9987623525ac03d95e" addr="T0R9C1S1_1" formatStyle="Comma" appId="_GBC_6d4b8ac674ce425b8c798e92aa1fe455">
        <m:complexRule comparator="Eq" title="营业外支出" test=" $_GBC_ced1163ad2a24db6b7b2944202eaac93 +  $_GBC_a5bc6323729f4af18b1e0f22b4943cb8 +  $_GBC_851b1c832d204931a254a78ec0a6ddf8 +  $_GBC_e583e7b02dab44dbbf633c4d5dae746b +  $_GBC_d8bd7284bb7b4491bc8b59df9f927218" id="Ca34dd39bf4384cd6a709e6660e950c75" serialType="1"/>
      </m:item>
      <m:item xlName="_GBC_53de334f8694468290e02ab55ff1d33c" concept="clcid-pte:YingYeWaiZhiChu" label="营业外支出" periodRef="上年同期数" mulRef="_GBC_f8678a9a1bbf4b0697744c5d21146839" unitRef="_GBC_61e3e82ad5404a9987623525ac03d95e" addr="T0R9C2S1_1" formatStyle="Comma" appId="_GBC_6d4b8ac674ce425b8c798e92aa1fe455">
        <m:complexRule comparator="Eq" title="营业外支出@上年同期数" test=" $_GBC_d164bec9726d444584f86c9e23a53595 +  $_GBC_9e1064b9e81f4c7aa7909056d64122da +  $_GBC_86e780b0f5aa44d7a3d9beda378178cd +  $_GBC_f00f1f464d56426ca391a5e406ccf039 +  $_GBC_99b51394d56848118bf4cf216e08322c" id="Cbf08fadd6ca04f2695c1e7d467225304" serialType="1"/>
      </m:item>
      <m:item xlName="_GBC_1455bcffc4334a26bd8d01694824cf65" concept="clcid-pte:YingYeWaiZhiChuHeJiJiRuDangQiFeiJingChangXingSunYiDeJinE" label="营业外支出合计计入当期非经常性损益的金额" mulRef="_GBC_f8678a9a1bbf4b0697744c5d21146839" unitRef="_GBC_61e3e82ad5404a9987623525ac03d95e" addr="T0R9C3S1_1" formatStyle="Comma" appId="_GBC_6d4b8ac674ce425b8c798e92aa1fe455">
        <m:complexRule comparator="Eq" title="营业外支出合计计入当期非经常性损益的金额" test=" $_GBC_f8278aa8803f434a9979e846ea71bcb1 +  $_GBC_4a432e528451447da5b21217365f944a +  $_GBC_6f6825d08e1844ab88290237e1a73015 +  $_GBC_fde785e651b74623ada089488400c47d +  $_GBC_61d600f278e24d4487b6d8c411a2c8ab" id="C1ac7c7ad4bd64c449c4184b200409738" serialType="1"/>
      </m:item>
      <m:item xlName="_GBC_948d4d2c5cfc43b999d968de3476bc75" concept="clcid-pte:YingYeWaiZhiChuShuoMing" label="营业外支出说明" appId="_GBC_6d4b8ac674ce425b8c798e92aa1fe455"/>
    </m:section>
    <m:section xlName="_GBC_c8eb4731730a4ca395e992a85b3eafe1" title="所得税费用" convertSummaryRule="NoConvert" helpId="112001119">
      <m:item xlName="_GBC_61ff35087b014685a6e03347957ab922" concept="clcid-ci-ar:ShiFouShiYongSuoDeShuiFeiYongBiao" label="是否适用：所得税费用表" selectOptions="_buildInAppliance" controlType="CustomCheckbox" cRanges="{&quot;StartName&quot;:&quot;_GBC_61ff35087b014685a6e03347957ab922&quot;,&quot;EndName&quot;:&quot;_GBC_0d584eb8603b4573bd92a1a8466aeae4&quot;,&quot;CType&quot;:1,&quot;DisplayText&quot;:null}"/>
      <m:item xlName="_GBC_18ed8ed511fe4791a90ee25fc956bd2b" concept="clcid-ci-ar:DanWeiCaiWuFuZhuSuoDeShuiFeiYong" label="单位：财务附注：所得税费用" selectOptions="_buildInScales" controlType="Combobox" cellType="Scale" appId="_GBC_61ff35087b014685a6e03347957ab922"/>
      <m:item xlName="_GBC_ecc6df02f1744ff084d6c0d30045219a" concept="clcid-ci-ar:BiZhongCaiWuFuZhuSuoDeShuiFeiYong" label="币种：财务附注：所得税费用" selectOptions="_buildInISO4217" controlType="Combobox" cellType="Measure" appId="_GBC_61ff35087b014685a6e03347957ab922"/>
      <m:placeholder xlName="_PLD_951f380ec376457cb80126c7d6018f65" addr="T0R0C0S1_1"/>
      <m:placeholder xlName="_PLD_1e59791ce9d340b7b60e63b833f13708" addr="T0R0C1S1_1"/>
      <m:placeholder xlName="_PLD_23c0825dcbc74481a17a7811dee40e02" addr="T0R0C2S1_1"/>
      <m:placeholder xlName="_PLD_b39e72286fda4bb1bc103f3a09099c07" addr="T0R1C0S1_1"/>
      <m:item xlName="_GBC_b03d15b67fa440059f0578002cbf319e" concept="clcid-pte:SuoDeShuiFeiYongHeJi" label="所得税费用合计" mulRef="_GBC_18ed8ed511fe4791a90ee25fc956bd2b" unitRef="_GBC_ecc6df02f1744ff084d6c0d30045219a" addr="T0R1C1S1_1" formatStyle="Comma" appId="_GBC_61ff35087b014685a6e03347957ab922"/>
      <m:item xlName="_GBC_62a3e70600c64d6a98faccca7a25dc9b" concept="clcid-pte:SuoDeShuiFeiYongHeJi" label="所得税费用合计" periodRef="上年同期数" mulRef="_GBC_18ed8ed511fe4791a90ee25fc956bd2b" unitRef="_GBC_ecc6df02f1744ff084d6c0d30045219a" addr="T0R1C2S1_1" formatStyle="Comma" appId="_GBC_61ff35087b014685a6e03347957ab922"/>
      <m:placeholder xlName="_PLD_50b3fec6faac445b9c252906a5bcf507" addr="T0R2C0S1_1"/>
      <m:item xlName="_GBC_42e37273657d4b47ad3ca4a4c41ae12f" concept="clcid-pte:DiYanSuoDeShuiFeiYong" label="递延所得税费用" mulRef="_GBC_18ed8ed511fe4791a90ee25fc956bd2b" unitRef="_GBC_ecc6df02f1744ff084d6c0d30045219a" addr="T0R2C1S1_1" formatStyle="Comma" appId="_GBC_61ff35087b014685a6e03347957ab922"/>
      <m:item xlName="_GBC_aed55a3da9544323914e68d6c647c49f" concept="clcid-pte:DiYanSuoDeShuiFeiYong" label="递延所得税费用" periodRef="上年同期数" mulRef="_GBC_18ed8ed511fe4791a90ee25fc956bd2b" unitRef="_GBC_ecc6df02f1744ff084d6c0d30045219a" addr="T0R2C2S1_1" formatStyle="Comma" appId="_GBC_61ff35087b014685a6e03347957ab922"/>
      <m:tuple xlName="_GBC_addf9f4d91c7433594594e23cb371f51" concept="clcid-pte:SuoDeShuiMingXi" default_row="2" addr="T0R3C">
        <m:item xlName="_GBC_c9bc66af6f3e42929a8f2754ecfdde5c" concept="clcid-pte:SuoDeShuiXiangMu" label="所得税项目" addr="T0R3C0S1_1" appId="_GBC_61ff35087b014685a6e03347957ab922"/>
        <m:item xlName="_GBC_83ed33b4dda04265becfe105072b3ccc" concept="clcid-pte:SuoDeShuiJinE" label="所得税金额" mulRef="_GBC_18ed8ed511fe4791a90ee25fc956bd2b" unitRef="_GBC_ecc6df02f1744ff084d6c0d30045219a" addr="T0R3C1S1_1" formatStyle="Comma" appId="_GBC_61ff35087b014685a6e03347957ab922"/>
        <m:item xlName="_GBC_2527bb4b55b249e1ae0f464c4721304a" concept="clcid-pte:SuoDeShuiJinE" label="所得税金额" periodRef="上年同期数" mulRef="_GBC_18ed8ed511fe4791a90ee25fc956bd2b" unitRef="_GBC_ecc6df02f1744ff084d6c0d30045219a" addr="T0R3C2S1_1" formatStyle="Comma" appId="_GBC_61ff35087b014685a6e03347957ab922"/>
      </m:tuple>
      <m:placeholder xlName="_PLD_10ad171e28bb4cf3957eba2cca611ce8" addr="T0R5C0S1_1"/>
      <m:item xlName="_GBC_91ee4b106ed6479b8d14b09554ebf054" concept="clcid-pte:SuoDeShui" label="所得税" mulRef="_GBC_18ed8ed511fe4791a90ee25fc956bd2b" unitRef="_GBC_ecc6df02f1744ff084d6c0d30045219a" addr="T0R5C1S1_1" formatStyle="Comma" appId="_GBC_61ff35087b014685a6e03347957ab922">
        <m:complexRule comparator="Eq" title="所得税" test=" $_GBC_b03d15b67fa440059f0578002cbf319e +  $_GBC_42e37273657d4b47ad3ca4a4c41ae12f +  $_GBC_83ed33b4dda04265becfe105072b3ccc" id="C37901e2a6cee482faeea7a4d1d1050c0" serialType="1"/>
      </m:item>
      <m:item xlName="_GBC_0d584eb8603b4573bd92a1a8466aeae4" concept="clcid-pte:SuoDeShui" label="所得税" periodRef="上年同期数" mulRef="_GBC_18ed8ed511fe4791a90ee25fc956bd2b" unitRef="_GBC_ecc6df02f1744ff084d6c0d30045219a" addr="T0R5C2S1_1" formatStyle="Comma" appId="_GBC_61ff35087b014685a6e03347957ab922">
        <m:complexRule comparator="Eq" title="所得税@上年同期数" test=" $_GBC_62a3e70600c64d6a98faccca7a25dc9b +  $_GBC_aed55a3da9544323914e68d6c647c49f +  $_GBC_2527bb4b55b249e1ae0f464c4721304a" id="C44a77671fd9347019c20b1a732838ea6" serialType="1"/>
      </m:item>
      <m:item xlName="_GBC_92a49ce6320645cc9101c809f426c9db" concept="clcid-ci-ar:ShiFouShiYongHuiJiLiRunYuSuoDeShuiFeiYongDiaoZhengGuoCheng" label="是否适用：会计利润与所得税费用调整过程" selectOptions="_buildInAppliance" controlType="CustomCheckbox" cRanges="{&quot;StartName&quot;:&quot;_GBC_92a49ce6320645cc9101c809f426c9db&quot;,&quot;EndName&quot;:&quot;_GBC_9b0f279282f24d3f94a9cd24362ffd8f&quot;,&quot;CType&quot;:1,&quot;DisplayText&quot;:null}"/>
      <m:item xlName="_GBC_8b3d0d6296b944dcbc6077158d5eb7ca" concept="clcid-ci-ar:DanWeiHuiJiLiRunYuSuoDeShuiFeiYongDiaoZhengGuoCheng" label="单位：会计利润与所得税费用调整过程" selectOptions="_buildInScales" controlType="Combobox" cellType="Scale" appId="_GBC_92a49ce6320645cc9101c809f426c9db"/>
      <m:item xlName="_GBC_f07b399def8f4b49bdebcbb56994fb61" concept="clcid-ci-ar:BiZhongHuiJiLiRunYuSuoDeShuiFeiYongDiaoZhengGuoCheng" label="币种：会计利润与所得税费用调整过程" selectOptions="_buildInISO4217" controlType="Combobox" cellType="Measure" appId="_GBC_92a49ce6320645cc9101c809f426c9db"/>
      <m:placeholder xlName="_PLD_762c770e68ab4734ab4b1455db567f92" addr="T1R0C0S1_1"/>
      <m:placeholder xlName="_PLD_dbffde77b3344828a64e53b9962d0e3a" addr="T1R0C1S1_1"/>
      <m:placeholder xlName="_PLD_e49aa9df3fa0441889c07b63b32585c5" addr="T1R1C0S1_1"/>
      <m:item xlName="_GBC_d88a4b81141c4f5c919b30670b11c15b" concept="clcid-pte:LiRunZongE" label="利润总额" mulRef="_GBC_8b3d0d6296b944dcbc6077158d5eb7ca" unitRef="_GBC_f07b399def8f4b49bdebcbb56994fb61" addr="T1R1C1S1_1" formatStyle="Comma" appId="_GBC_92a49ce6320645cc9101c809f426c9db"/>
      <m:placeholder xlName="_PLD_bcfd0d413e444c6f881fc95e048d73ce" addr="T1R2C0S1_1"/>
      <m:item xlName="_GBC_f868e27441744485acc21b8ada0237aa" concept="clcid-pte:AnFaDingShiYongShuiLvJiSuanDeSuoDeShuiFeiYong" label="按法定/适用税率计算的所得税费用" mulRef="_GBC_8b3d0d6296b944dcbc6077158d5eb7ca" unitRef="_GBC_f07b399def8f4b49bdebcbb56994fb61" addr="T1R2C1S1_1" formatStyle="Comma" appId="_GBC_92a49ce6320645cc9101c809f426c9db"/>
      <m:placeholder xlName="_PLD_dc5f6e856113456cb1312b5cf234201d" addr="T1R3C0S1_1"/>
      <m:item xlName="_GBC_bd377be4e62d4327a364073ab5736d62" concept="clcid-pte:ZiGongSiShiYongBuTongShuiLvDeYingXiang" label="子公司适用不同税率的影响" mulRef="_GBC_8b3d0d6296b944dcbc6077158d5eb7ca" unitRef="_GBC_f07b399def8f4b49bdebcbb56994fb61" addr="T1R3C1S1_1" formatStyle="Comma" appId="_GBC_92a49ce6320645cc9101c809f426c9db"/>
      <m:placeholder xlName="_PLD_a18b0f1e64674563b277a2e43b991ab6" addr="T1R4C0S1_1"/>
      <m:item xlName="_GBC_a5f3fb06aacb46f29557bd74e21e5994" concept="clcid-pte:DiaoZhengYiQianQiJianSuoDeShuiDeYingXiang" label="调整以前期间所得税的影响" mulRef="_GBC_8b3d0d6296b944dcbc6077158d5eb7ca" unitRef="_GBC_f07b399def8f4b49bdebcbb56994fb61" addr="T1R4C1S1_1" formatStyle="Comma" appId="_GBC_92a49ce6320645cc9101c809f426c9db"/>
      <m:placeholder xlName="_PLD_451dd13012144866aaf62c35812344d7" addr="T1R5C0S1_1"/>
      <m:item xlName="_GBC_5b629954b60145cebb272dcd75719140" concept="clcid-pte:FeiYingShuiShouRuDeYingXiang" label="非应税收入的影响" mulRef="_GBC_8b3d0d6296b944dcbc6077158d5eb7ca" unitRef="_GBC_f07b399def8f4b49bdebcbb56994fb61" addr="T1R5C1S1_1" formatStyle="Comma" appId="_GBC_92a49ce6320645cc9101c809f426c9db"/>
      <m:placeholder xlName="_PLD_0906044dc7ff47d6ba8d4be46514c623" addr="T1R6C0S1_1"/>
      <m:item xlName="_GBC_d4611f12fa144d3ab7f01b27be0c2dbc" concept="clcid-pte:BuKeDiKouDeChengBenFeiYongHeSunShiDeYingXiang" label="不可抵扣的成本、费用和损失的影响" mulRef="_GBC_8b3d0d6296b944dcbc6077158d5eb7ca" unitRef="_GBC_f07b399def8f4b49bdebcbb56994fb61" addr="T1R6C1S1_1" formatStyle="Comma" appId="_GBC_92a49ce6320645cc9101c809f426c9db"/>
      <m:placeholder xlName="_PLD_958280e6456341698f323fb9f71bf973" addr="T1R7C0S1_1"/>
      <m:item xlName="_GBC_749fe7a96afd4f1faef276a87947ff0e" concept="clcid-pte:ShiYongQianQiWeiQueRenDiYanSuoDeShuiZiChanDeKeDiKouKuiSunDeYingXiang" label="使用前期未确认递延所得税资产的可抵扣亏损的影响" mulRef="_GBC_8b3d0d6296b944dcbc6077158d5eb7ca" unitRef="_GBC_f07b399def8f4b49bdebcbb56994fb61" addr="T1R7C1S1_1" formatStyle="Comma" appId="_GBC_92a49ce6320645cc9101c809f426c9db"/>
      <m:placeholder xlName="_PLD_ba3d89f087964402b8cb1b2a58f5d0ba" addr="T1R8C0S1_1"/>
      <m:item xlName="_GBC_67e51bf233ba4e2eaec71a8b8dc082ce" concept="clcid-pte:BenQiWeiQueRenDiYanSuoDeShuiZiChanDeKeDiKouZanShiXingChaYiHuoKeDiKouKuiSunDeYingXiang" label="本期未确认递延所得税资产的可抵扣暂时性差异或可抵扣亏损的影响" mulRef="_GBC_8b3d0d6296b944dcbc6077158d5eb7ca" unitRef="_GBC_f07b399def8f4b49bdebcbb56994fb61" addr="T1R8C1S1_1" formatStyle="Comma" appId="_GBC_92a49ce6320645cc9101c809f426c9db"/>
      <m:tuple xlName="_GBC_60d81dc4e69b413a8b1a7ba0bc4ad0f0" concept="clcid-pte:HuiJiLiRunYuSuoDeShuiFeiYongDiaoZhengGuoChengMingXi" default_row="2" addr="T1R9C">
        <m:item xlName="_GBC_208b4ba3724848e495b1905219c5c7bc" concept="clcid-pte:HuiJiLiRunYuSuoDeShuiFeiYongDiaoZhengGuoChengMingXiXiangMuMingCheng" label="会计利润与所得税费用调整过程明细-项目名称" addr="T1R9C0S1_1" appId="_GBC_92a49ce6320645cc9101c809f426c9db"/>
        <m:item xlName="_GBC_51b843ab4a0e4b5d8ff311ce587a3e24" concept="clcid-pte:HuiJiLiRunYuSuoDeShuiFeiYongDiaoZhengGuoChengMingXiFaShengE" label="会计利润与所得税费用调整过程明细-发生额" mulRef="_GBC_8b3d0d6296b944dcbc6077158d5eb7ca" unitRef="_GBC_f07b399def8f4b49bdebcbb56994fb61" addr="T1R9C1S1_1" formatStyle="Comma" appId="_GBC_92a49ce6320645cc9101c809f426c9db"/>
      </m:tuple>
      <m:placeholder xlName="_PLD_2fe3b63863164c92a5502c41abff42f1" addr="T1R11C0S1_1"/>
      <m:item xlName="_GBC_9b0f279282f24d3f94a9cd24362ffd8f" concept="clcid-pte:AnShiJiShuiLvJiSuanDeSuoDeShuiFeiYong" label="按实际税率计算的所得税费用" mulRef="_GBC_8b3d0d6296b944dcbc6077158d5eb7ca" unitRef="_GBC_f07b399def8f4b49bdebcbb56994fb61" addr="T1R11C1S1_1" formatStyle="Comma" appId="_GBC_92a49ce6320645cc9101c809f426c9db"/>
      <m:item xlName="_GBC_0363d79a647b4d96aa5d7b72c93b1e45" concept="clcid-ci-ar:ShiFouShiYongSuoDeShuiFeiYongDeShuoMing" label="是否适用：所得税费用的说明" selectOptions="_buildInAppliance" controlType="CustomCheckbox" cRanges="{&quot;StartName&quot;:&quot;_GBC_0363d79a647b4d96aa5d7b72c93b1e45&quot;,&quot;EndName&quot;:&quot;_GBC_1ef974b057044ea3b8708f5ded819a45&quot;,&quot;CType&quot;:1,&quot;DisplayText&quot;:null}"/>
      <m:item xlName="_GBC_1ef974b057044ea3b8708f5ded819a45" concept="clcid-pte:SuoDeShuiFeiYongDeShuoMing" label="所得税费用的说明" appId="_GBC_0363d79a647b4d96aa5d7b72c93b1e45"/>
    </m:section>
    <m:section xlName="_GBC_a490950b62a146d9901e0aeb01787f97" title="其他综合收益" helpId="112001121">
      <m:item xlName="_GBC_bef6c47936994e5e94c77d5dd812be30" concept="clcid-ci-ar:ShiFouShiYongQiTaZongHeShouYi" label="是否适用：其他综合收益" selectOptions="_buildInAppliance" controlType="CustomCheckbox" cRanges="{&quot;StartName&quot;:&quot;_GBC_bef6c47936994e5e94c77d5dd812be30&quot;,&quot;EndName&quot;:&quot;_GBC_6f59ae7e2b78472ea4fa736cbb8f062d&quot;,&quot;CType&quot;:1,&quot;DisplayText&quot;:null}"/>
      <m:item xlName="_GBC_6f59ae7e2b78472ea4fa736cbb8f062d" concept="clcid-pte:QiTaZongHeShouYiXiangJianFuZhu" label="其他综合收益详见附注" appId="_GBC_bef6c47936994e5e94c77d5dd812be30"/>
    </m:section>
    <m:section xlName="_GBC_aebbed0d25f14d50b64339a751dec4bd" title="收到的其他与经营活动有关的现金" rules="R2015_R11_029" convertSummaryRule="NoConvert" helpId="112002201">
      <m:item xlName="_GBC_c5c1fd7856fd40f88e814da378eb1220" concept="clcid-ci-ar:ShiFouShiYongShouDaoDeQiTaYuJingYingHuoDongYouGuanDeXianJin" label="是否适用：收到的其他与经营活动有关的现金" selectOptions="_buildInAppliance" controlType="CustomCheckbox" cRanges="{&quot;StartName&quot;:&quot;_GBC_c5c1fd7856fd40f88e814da378eb1220&quot;,&quot;EndName&quot;:&quot;_GBC_1204b17e37bf4cc187a1ffb6f9463f05&quot;,&quot;CType&quot;:1,&quot;DisplayText&quot;:null}"/>
      <m:item xlName="_GBC_5ccae82b68484e708f12fda90762616a" concept="clcid-ci-ar:DanWeiCaiWuFuZhuShouDaoDeQiTaYuJingYingHuoDongYouGuanDeXianJin" label="单位：财务附注：收到的其他与经营活动有关的现金" selectOptions="_buildInScales" controlType="Combobox" cellType="Scale" appId="_GBC_c5c1fd7856fd40f88e814da378eb1220"/>
      <m:item xlName="_GBC_fab1e143b1314991a3aebb857ed68a09" concept="clcid-ci-ar:BiZhongCaiWuFuZhuShouDaoDeQiTaYuJingYingHuoDongYouGuanDeXianJin" label="币种：财务附注：收到的其他与经营活动有关的现金" selectOptions="_buildInISO4217" controlType="Combobox" cellType="Measure" appId="_GBC_c5c1fd7856fd40f88e814da378eb1220"/>
      <m:placeholder xlName="_PLD_37a08d49f8e14506929ae8c9544c259e" addr="T0R0C0S1_1"/>
      <m:placeholder xlName="_PLD_f6cb8d17057e4de79000a7b7c263b07e" addr="T0R0C1S1_1"/>
      <m:placeholder xlName="_PLD_28d6db3ec51c43eb8751b53e93c8f270" addr="T0R0C2S1_1"/>
      <m:tuple xlName="_GBC_339bc885f058400ca0c6b375c3f5b0d5" concept="clcid-pte:ShouDaoDeQiTaYuJingYingHuoDongYouGuanDeXianJinMingXi" default_row="2" addr="T0R1C">
        <m:item xlName="_GBC_b84fa5b87b9b424dae0eeeff46ae13f8" concept="clcid-pte:ShouDaoDeQiTaYuJingYingHuoDongYouGuanDeXianJinXiangMu" label="收到的其他与经营活动有关的现金项目" addr="T0R1C0S1_1" appId="_GBC_c5c1fd7856fd40f88e814da378eb1220"/>
        <m:item xlName="_GBC_bb8678f5c017409091d8bfa8cca11173" concept="clcid-pte:ShouDaoDeQiTaYuJingYingHuoDongYouGuanDeXianJinJinE" label="收到的其他与经营活动有关的现金金额" mulRef="_GBC_5ccae82b68484e708f12fda90762616a" unitRef="_GBC_fab1e143b1314991a3aebb857ed68a09" addr="T0R1C1S1_1" formatStyle="Comma" appId="_GBC_c5c1fd7856fd40f88e814da378eb1220"/>
        <m:item xlName="_GBC_ee0f08e779c048378d4aad4d40e5b1e5" concept="clcid-pte:ShouDaoDeQiTaYuJingYingHuoDongYouGuanDeXianJinJinE" label="收到的其他与经营活动有关的现金金额" periodRef="上年同期数" mulRef="_GBC_5ccae82b68484e708f12fda90762616a" unitRef="_GBC_fab1e143b1314991a3aebb857ed68a09" addr="T0R1C2S1_1" formatStyle="Comma" appId="_GBC_c5c1fd7856fd40f88e814da378eb1220"/>
      </m:tuple>
      <m:placeholder xlName="_PLD_68684c586fce4c6e95f718cded68b47c" addr="T0R3C0S1_1"/>
      <m:item xlName="_GBC_490e407e9d6643a6ac8fc5694655ad58" concept="clcid-pte:ShouDaoDeQiTaYuJingYingHuoDongYouGuanDeXianJin" label="收到的其他与经营活动有关的现金" mulRef="_GBC_5ccae82b68484e708f12fda90762616a" unitRef="_GBC_fab1e143b1314991a3aebb857ed68a09" addr="T0R3C1S1_1" formatStyle="Comma" appId="_GBC_c5c1fd7856fd40f88e814da378eb1220">
        <m:complexRule comparator="Eq" title="收到的其他与经营活动有关的现金" test=" $_GBC_bb8678f5c017409091d8bfa8cca11173" id="C305c691287464ee8ad4f6a3f975326c0"/>
      </m:item>
      <m:item xlName="_GBC_149cbaa792354b53aacf64d69a51aaeb" concept="clcid-pte:ShouDaoDeQiTaYuJingYingHuoDongYouGuanDeXianJin" label="收到的其他与经营活动有关的现金" periodRef="上年同期数" mulRef="_GBC_5ccae82b68484e708f12fda90762616a" unitRef="_GBC_fab1e143b1314991a3aebb857ed68a09" addr="T0R3C2S1_1" formatStyle="Comma" appId="_GBC_c5c1fd7856fd40f88e814da378eb1220">
        <m:complexRule comparator="Eq" title="收到的其他与经营活动有关的现金@上年同期数" test=" $_GBC_ee0f08e779c048378d4aad4d40e5b1e5" id="C460af9582a1b4a329270c58d6e9f6b85"/>
      </m:item>
      <m:item xlName="_GBC_1204b17e37bf4cc187a1ffb6f9463f05" concept="clcid-pte:ShouDaoDeQiTaYuJingYingHuoDongYouGuanDeXianJinShuoMing" label="收到的其他与经营活动有关的现金说明" appId="_GBC_c5c1fd7856fd40f88e814da378eb1220"/>
    </m:section>
    <m:section xlName="_GBC_3c8453861c4b4e94956633ec6c228388" title="支付的其他与经营活动有关的现金" rules="R2015_R11_030" convertSummaryRule="NoConvert" helpId="112002201">
      <m:item xlName="_GBC_73331002c48743d9a4438c6eb4a07c95" concept="clcid-ci-ar:ShiFouShiYongZhiFuDeQiTaYuJingYingHuoDongYouGuanDeXianJin" label="是否适用：支付的其他与经营活动有关的现金" selectOptions="_buildInAppliance" controlType="CustomCheckbox" cRanges="{&quot;StartName&quot;:&quot;_GBC_73331002c48743d9a4438c6eb4a07c95&quot;,&quot;EndName&quot;:&quot;_GBC_632dc3caefd547b5b57f9340a021af22&quot;,&quot;CType&quot;:1,&quot;DisplayText&quot;:null}"/>
      <m:item xlName="_GBC_8252d4ac9be64f04b08b1dc08e270310" concept="clcid-ci-ar:DanWeiCaiWuFuZhuZhiFuDeQiTaYuJingYingHuoDongYouGuanDeXianJin" label="单位：财务附注：支付的其他与经营活动有关的现金" selectOptions="_buildInScales" controlType="Combobox" cellType="Scale" appId="_GBC_73331002c48743d9a4438c6eb4a07c95"/>
      <m:item xlName="_GBC_37de812db19b41c8a01d10d8b0365268" concept="clcid-ci-ar:BiZhongCaiWuFuZhuZhiFuDeQiTaYuJingYingHuoDongYouGuanDeXianJin" label="币种：财务附注：支付的其他与经营活动有关的现金" selectOptions="_buildInISO4217" controlType="Combobox" cellType="Measure" appId="_GBC_73331002c48743d9a4438c6eb4a07c95"/>
      <m:placeholder xlName="_PLD_164da6d2b96e42688b06fe557d996ac2" addr="T0R0C0S1_1"/>
      <m:placeholder xlName="_PLD_69d21b5f023448adbd8c69a7e96e585d" addr="T0R0C1S1_1"/>
      <m:placeholder xlName="_PLD_fccf4811cdbb443297a0ce875715525f" addr="T0R0C2S1_1"/>
      <m:tuple xlName="_GBC_9880266c0e6f4e6b92c7692ef64ec140" concept="clcid-pte:ZhiFuDeQiTaYuJingYingHuoDongYouGuanDeXianJinMingXi" default_row="2" addr="T0R1C">
        <m:item xlName="_GBC_af198a7f9e404a7a9ca4111e01159ef1" concept="clcid-pte:ZhiFuDeQiTaYuJingYingHuoDongYouGuanDeXianJinXiangMu" label="支付的其他与经营活动有关的现金项目" addr="T0R1C0S1_1" appId="_GBC_73331002c48743d9a4438c6eb4a07c95"/>
        <m:item xlName="_GBC_11a2c447ed864bc9a8bd22f55e3c9ea6" concept="clcid-pte:ZhiFuDeQiTaYuJingYingHuoDongYouGuanDeXianJinJinE" label="支付的其他与经营活动有关的现金金额" mulRef="_GBC_8252d4ac9be64f04b08b1dc08e270310" unitRef="_GBC_37de812db19b41c8a01d10d8b0365268" addr="T0R1C1S1_1" formatStyle="Comma" appId="_GBC_73331002c48743d9a4438c6eb4a07c95"/>
        <m:item xlName="_GBC_3dd1786623e24d0b86c0704a9b11d743" concept="clcid-pte:ZhiFuDeQiTaYuJingYingHuoDongYouGuanDeXianJinJinE" label="支付的其他与经营活动有关的现金金额" periodRef="上年同期数" mulRef="_GBC_8252d4ac9be64f04b08b1dc08e270310" unitRef="_GBC_37de812db19b41c8a01d10d8b0365268" addr="T0R1C2S1_1" formatStyle="Comma" appId="_GBC_73331002c48743d9a4438c6eb4a07c95"/>
      </m:tuple>
      <m:placeholder xlName="_PLD_4b68c0729f8e49a4ac82fb1d64daa6dc" addr="T0R3C0S1_1"/>
      <m:item xlName="_GBC_f47f73900ce94eb29c10ba090c34f24e" concept="clcid-pte:ZhiFuDeQiTaYuJingYingHuoDongYouGuanDeXianJin" label="支付的其他与经营活动有关的现金" mulRef="_GBC_8252d4ac9be64f04b08b1dc08e270310" unitRef="_GBC_37de812db19b41c8a01d10d8b0365268" addr="T0R3C1S1_1" formatStyle="Comma" appId="_GBC_73331002c48743d9a4438c6eb4a07c95">
        <m:complexRule comparator="Eq" title="支付的其他与经营活动有关的现金" test=" $_GBC_11a2c447ed864bc9a8bd22f55e3c9ea6" id="C4b4fc767a9bd412f919190bfb231344f"/>
      </m:item>
      <m:item xlName="_GBC_ad3a5ba3e77c4ed4aeb154f9fed2d831" concept="clcid-pte:ZhiFuDeQiTaYuJingYingHuoDongYouGuanDeXianJin" label="支付的其他与经营活动有关的现金" periodRef="上年同期数" mulRef="_GBC_8252d4ac9be64f04b08b1dc08e270310" unitRef="_GBC_37de812db19b41c8a01d10d8b0365268" addr="T0R3C2S1_1" formatStyle="Comma" appId="_GBC_73331002c48743d9a4438c6eb4a07c95">
        <m:complexRule comparator="Eq" title="支付的其他与经营活动有关的现金@上年同期数" test=" $_GBC_3dd1786623e24d0b86c0704a9b11d743" id="C526b73943671450caf09d019418cc317"/>
      </m:item>
      <m:item xlName="_GBC_632dc3caefd547b5b57f9340a021af22" concept="clcid-pte:ZhiFuDeQiTaYuJingYingHuoDongYouGuanDeXianJinShuoMing" label="支付的其他与经营活动有关的现金说明" appId="_GBC_73331002c48743d9a4438c6eb4a07c95"/>
    </m:section>
    <m:section xlName="_GBC_7d29c8348da547cab82786074f1b3249" title="收到的其他与投资活动有关的现金" convertSummaryRule="NoConvert" helpId="112002201">
      <m:item xlName="_GBC_ae3b1cf9e3aa408a8867e76d71769712" concept="clcid-ci-ar:ShiFouShiYongShouDaoDeQiTaYuTouZiHuoDongYouGuanDeXianJin" label="是否适用：收到的其他与投资活动有关的现金" selectOptions="_buildInAppliance" controlType="CustomCheckbox" cRanges="{&quot;StartName&quot;:&quot;_GBC_ae3b1cf9e3aa408a8867e76d71769712&quot;,&quot;EndName&quot;:&quot;_GBC_10ad2bcf624d4c49924f65fcffdeebbc&quot;,&quot;CType&quot;:1,&quot;DisplayText&quot;:null}"/>
      <m:item xlName="_GBC_864c08420ed74aa18dcf838d10153475" concept="clcid-ci-ar:DanWeiCaiWuFuZhuShouDaoDeQiTaYuTouZiHuoDongYouGuanDeXianJin" label="单位：财务附注：收到的其他与投资活动有关的现金" selectOptions="_buildInScales" controlType="Combobox" cellType="Scale" appId="_GBC_ae3b1cf9e3aa408a8867e76d71769712"/>
      <m:item xlName="_GBC_557bfe9cc4b045ff8684fc828911efc1" concept="clcid-ci-ar:BiZhongCaiWuFuZhuShouDaoDeQiTaYuTouZiHuoDongYouGuanDeXianJin" label="币种：财务附注：收到的其他与投资活动有关的现金" selectOptions="_buildInISO4217" controlType="Combobox" cellType="Measure" appId="_GBC_ae3b1cf9e3aa408a8867e76d71769712"/>
      <m:placeholder xlName="_PLD_fe329b3300fe449c869fda5c957ed9e6" addr="T0R0C0S1_1"/>
      <m:placeholder xlName="_PLD_e828a524680d4faeb14e148b152d9982" addr="T0R0C1S1_1"/>
      <m:placeholder xlName="_PLD_a8eb20dbb1b143d399d3bde1f6e00fa3" addr="T0R0C2S1_1"/>
      <m:tuple xlName="_GBC_e6aac5cfd8c841e780dd4702b059b16c" concept="clcid-pte:ShouDaoDeQiTaYuTouZiHuoDongYouGuanDeXianJinMingXi" default_row="2" addr="T0R1C">
        <m:item xlName="_GBC_81bfa5b716074397950a21939b7f4533" concept="clcid-pte:ShouDaoDeQiTaYuTouZiHuoDongYouGuanDeXianJinXiangMu" label="收到的其他与投资活动有关的现金项目" addr="T0R1C0S1_1" appId="_GBC_ae3b1cf9e3aa408a8867e76d71769712"/>
        <m:item xlName="_GBC_8e2c2ec41fe6477ca2d5efa7e98d1146" concept="clcid-pte:ShouDaoDeQiTaYuTouZiHuoDongYouGuanDeXianJinJinE" label="收到的其他与投资活动有关的现金金额" mulRef="_GBC_864c08420ed74aa18dcf838d10153475" unitRef="_GBC_557bfe9cc4b045ff8684fc828911efc1" addr="T0R1C1S1_1" formatStyle="Comma" appId="_GBC_ae3b1cf9e3aa408a8867e76d71769712"/>
        <m:item xlName="_GBC_aed0e0d97e55414792279c110badf116" concept="clcid-pte:ShouDaoDeQiTaYuTouZiHuoDongYouGuanDeXianJinJinE" label="收到的其他与投资活动有关的现金金额" periodRef="上年同期数" mulRef="_GBC_864c08420ed74aa18dcf838d10153475" unitRef="_GBC_557bfe9cc4b045ff8684fc828911efc1" addr="T0R1C2S1_1" formatStyle="Comma" appId="_GBC_ae3b1cf9e3aa408a8867e76d71769712"/>
      </m:tuple>
      <m:placeholder xlName="_PLD_7a5b8e3355174a5f94c83cb81ed0821b" addr="T0R3C0S1_1"/>
      <m:item xlName="_GBC_4715425c89ac46069f7acc83fbdd655f" concept="clcid-pte:ShouDaoDeQiTaYuTouZiHuoDongYouGuanDeXianJin" label="收到的其他与投资活动有关的现金" mulRef="_GBC_864c08420ed74aa18dcf838d10153475" unitRef="_GBC_557bfe9cc4b045ff8684fc828911efc1" addr="T0R3C1S1_1" formatStyle="Comma" appId="_GBC_ae3b1cf9e3aa408a8867e76d71769712">
        <m:complexRule comparator="Eq" title="收到的其他与投资活动有关的现金" test=" $_GBC_8e2c2ec41fe6477ca2d5efa7e98d1146" id="C789c8cfbf9e8469fb79e8298b2408127"/>
      </m:item>
      <m:item xlName="_GBC_1d25e868d5df4197af0b17550f5b4ebd" concept="clcid-pte:ShouDaoDeQiTaYuTouZiHuoDongYouGuanDeXianJin" label="收到的其他与投资活动有关的现金" periodRef="上年同期数" mulRef="_GBC_864c08420ed74aa18dcf838d10153475" unitRef="_GBC_557bfe9cc4b045ff8684fc828911efc1" addr="T0R3C2S1_1" formatStyle="Comma" appId="_GBC_ae3b1cf9e3aa408a8867e76d71769712">
        <m:complexRule comparator="Eq" title="收到的其他与投资活动有关的现金@上年同期数" test=" $_GBC_aed0e0d97e55414792279c110badf116" id="C735758a411cc4cc28f967fe17d662c2c"/>
      </m:item>
      <m:item xlName="_GBC_10ad2bcf624d4c49924f65fcffdeebbc" concept="clcid-pte:ShouDaoDeQiTaYuTouZiHuoDongYouGuanDeXianJinShuoMing" label="收到的其他与投资活动有关的现金说明" appId="_GBC_ae3b1cf9e3aa408a8867e76d71769712"/>
    </m:section>
    <m:section xlName="_GBC_fa501b3ede254af6bdfad826e328392a" title="支付的其他与投资活动有关的现金" convertSummaryRule="NoConvert" helpId="112002201">
      <m:item xlName="_GBC_8862c0a38548482cb3b55a82757e3e33" concept="clcid-ci-ar:ShiFouShiYongZhiFuDeQiTaYuTouZiHuoDongYouGuanDeXianJin" label="是否适用：支付的其他与投资活动有关的现金" selectOptions="_buildInAppliance" controlType="CustomCheckbox" cRanges="{&quot;StartName&quot;:&quot;_GBC_8862c0a38548482cb3b55a82757e3e33&quot;,&quot;EndName&quot;:&quot;_GBC_01ca6e937c9f400c901d9f734e0a827f&quot;,&quot;CType&quot;:1,&quot;DisplayText&quot;:null}"/>
      <m:item xlName="_GBC_d10892949aa14ffe8488e5fb3e554708" concept="clcid-ci-ar:DanWeiCaiWuFuZhuZhiFuDeQiTaYuTouZiHuoDongYouGuanDeXianJin" label="单位：财务附注：支付的其他与投资活动有关的现金" selectOptions="_buildInScales" controlType="Combobox" cellType="Scale" appId="_GBC_8862c0a38548482cb3b55a82757e3e33"/>
      <m:item xlName="_GBC_699764a41036486da9355782e929009a" concept="clcid-ci-ar:BiZhongCaiWuFuZhuZhiFuDeQiTaYuTouZiHuoDongYouGuanDeXianJin" label="币种：财务附注：支付的其他与投资活动有关的现金" selectOptions="_buildInISO4217" controlType="Combobox" cellType="Measure" appId="_GBC_8862c0a38548482cb3b55a82757e3e33"/>
      <m:placeholder xlName="_PLD_9d1eae9c142b4411afe63077d56be240" addr="T0R0C0S1_1"/>
      <m:placeholder xlName="_PLD_c15b0147904647a286b23a6481ce17ad" addr="T0R0C1S1_1"/>
      <m:placeholder xlName="_PLD_be0073208a034a9ea119993745bed906" addr="T0R0C2S1_1"/>
      <m:tuple xlName="_GBC_6a364cf9eb8d40e78f70a7d87a1664fd" concept="clcid-pte:ZhiFuDeQiTaYuTouZiHuoDongYouGuanDeXianJinMingXi" default_row="2" addr="T0R1C">
        <m:item xlName="_GBC_cf0772b80f9040959a96fd5102cf6a61" concept="clcid-pte:ZhiFuDeQiTaYuTouZiHuoDongYouGuanDeXianJinXiangMu" label="支付的其他与投资活动有关的现金项目" addr="T0R1C0S1_1" appId="_GBC_8862c0a38548482cb3b55a82757e3e33"/>
        <m:item xlName="_GBC_b91f75d4e2f7417dab66a4df56ba3292" concept="clcid-pte:ZhiFuDeQiTaYuTouZiHuoDongYouGuanDeXianJinJinE" label="支付的其他与投资活动有关的现金金额" mulRef="_GBC_d10892949aa14ffe8488e5fb3e554708" unitRef="_GBC_699764a41036486da9355782e929009a" addr="T0R1C1S1_1" formatStyle="Comma" appId="_GBC_8862c0a38548482cb3b55a82757e3e33"/>
        <m:item xlName="_GBC_49ccf8ed149c4047bd98e5f8e729f9b4" concept="clcid-pte:ZhiFuDeQiTaYuTouZiHuoDongYouGuanDeXianJinJinE" label="支付的其他与投资活动有关的现金金额" periodRef="上年同期数" mulRef="_GBC_d10892949aa14ffe8488e5fb3e554708" unitRef="_GBC_699764a41036486da9355782e929009a" addr="T0R1C2S1_1" formatStyle="Comma" appId="_GBC_8862c0a38548482cb3b55a82757e3e33"/>
      </m:tuple>
      <m:placeholder xlName="_PLD_25eb93d584614399905435b78bc647a8" addr="T0R3C0S1_1"/>
      <m:item xlName="_GBC_9e2d4207551f46488196bc635e487069" concept="clcid-pte:ZhiFuDeQiTaYuTouZiHuoDongYouGuanDeXianJin" label="支付的其他与投资活动有关的现金" mulRef="_GBC_d10892949aa14ffe8488e5fb3e554708" unitRef="_GBC_699764a41036486da9355782e929009a" addr="T0R3C1S1_1" formatStyle="Comma" appId="_GBC_8862c0a38548482cb3b55a82757e3e33">
        <m:complexRule comparator="Eq" title="支付的其他与投资活动有关的现金" test=" $_GBC_b91f75d4e2f7417dab66a4df56ba3292" id="C5bf03a09923a4287a6b673f87e7a7556"/>
      </m:item>
      <m:item xlName="_GBC_5d9d40a767174760926b507590b42888" concept="clcid-pte:ZhiFuDeQiTaYuTouZiHuoDongYouGuanDeXianJin" label="支付的其他与投资活动有关的现金" periodRef="上年同期数" mulRef="_GBC_d10892949aa14ffe8488e5fb3e554708" unitRef="_GBC_699764a41036486da9355782e929009a" addr="T0R3C2S1_1" formatStyle="Comma" appId="_GBC_8862c0a38548482cb3b55a82757e3e33">
        <m:complexRule comparator="Eq" title="支付的其他与投资活动有关的现金@上年同期数" test=" $_GBC_49ccf8ed149c4047bd98e5f8e729f9b4" id="C18a3f0fb03df44b68100c034a3a6d94b"/>
      </m:item>
      <m:item xlName="_GBC_01ca6e937c9f400c901d9f734e0a827f" concept="clcid-pte:ZhiFuDeQiTaYuTouZiHuoDongYouGuanDeXianJinShuoMing" label="支付的其他与投资活动有关的现金说明" appId="_GBC_8862c0a38548482cb3b55a82757e3e33"/>
    </m:section>
    <m:section xlName="_GBC_6e57c618c25c498db37f205341e0c66a" title="收到的其他与筹资活动有关的现金" convertSummaryRule="NoConvert" helpId="112002201">
      <m:item xlName="_GBC_6e82da4b55134cf6aacd6132e71f2c27" concept="clcid-ci-ar:ShiFouShiYongShouDaoDeQiTaYuChouZiHuoDongYouGuanDeXianJin" label="是否适用：收到的其他与筹资活动有关的现金" selectOptions="_buildInAppliance" controlType="CustomCheckbox" cRanges="{&quot;StartName&quot;:&quot;_GBC_6e82da4b55134cf6aacd6132e71f2c27&quot;,&quot;EndName&quot;:&quot;_GBC_cf160106b6d34224a1fbd183426812af&quot;,&quot;CType&quot;:1,&quot;DisplayText&quot;:null}"/>
      <m:item xlName="_GBC_54c629439974499c9df52a114b0272b9" concept="clcid-ci-ar:DanWeiCaiWuFuZhuShouDaoDeQiTaYuChouZiHuoDongYouGuanDeXianJin" label="单位：财务附注：收到的其他与筹资活动有关的现金" selectOptions="_buildInScales" controlType="Combobox" cellType="Scale" appId="_GBC_6e82da4b55134cf6aacd6132e71f2c27"/>
      <m:item xlName="_GBC_0d3b28d58a83411db264b55c970f7fc6" concept="clcid-ci-ar:BiZhongCaiWuFuZhuShouDaoDeQiTaYuChouZiHuoDongYouGuanDeXianJin" label="币种：财务附注：收到的其他与筹资活动有关的现金" selectOptions="_buildInISO4217" controlType="Combobox" cellType="Measure" appId="_GBC_6e82da4b55134cf6aacd6132e71f2c27"/>
      <m:placeholder xlName="_PLD_45e71f75634d40e399bff943b12676a7" addr="T0R0C0S1_1"/>
      <m:placeholder xlName="_PLD_f7b1d7d1151a486eb8533f96d22cda73" addr="T0R0C1S1_1"/>
      <m:placeholder xlName="_PLD_fcd73629839441d485ad661b0568d6af" addr="T0R0C2S1_1"/>
      <m:tuple xlName="_GBC_c32e781f55dd414ab2ff5887b711a905" concept="clcid-pte:ShouDaoDeQiTaYuChouZiHuoDongYouGuanDeXianJinMingXi" default_row="2" addr="T0R1C">
        <m:item xlName="_GBC_319426d7e906474294bbd3b8be5b9bf3" concept="clcid-pte:ShouDaoDeQiTaYuChouZiHuoDongYouGuanDeXianJinXiangMu" label="收到的其他与筹资活动有关的现金项目" addr="T0R1C0S1_1" appId="_GBC_6e82da4b55134cf6aacd6132e71f2c27"/>
        <m:item xlName="_GBC_23a4df945e5c4c59964efc4d9dd8b8f8" concept="clcid-pte:ShouDaoDeQiTaYuChouZiHuoDongYouGuanDeXianJinJinE" label="收到的其他与筹资活动有关的现金金额" mulRef="_GBC_54c629439974499c9df52a114b0272b9" unitRef="_GBC_0d3b28d58a83411db264b55c970f7fc6" addr="T0R1C1S1_1" formatStyle="Comma" appId="_GBC_6e82da4b55134cf6aacd6132e71f2c27"/>
        <m:item xlName="_GBC_8ea97bea035e4c74b0e89c9e01afb822" concept="clcid-pte:ShouDaoDeQiTaYuChouZiHuoDongYouGuanDeXianJinJinE" label="收到的其他与筹资活动有关的现金金额" periodRef="上年同期数" mulRef="_GBC_54c629439974499c9df52a114b0272b9" unitRef="_GBC_0d3b28d58a83411db264b55c970f7fc6" addr="T0R1C2S1_1" formatStyle="Comma" appId="_GBC_6e82da4b55134cf6aacd6132e71f2c27"/>
      </m:tuple>
      <m:placeholder xlName="_PLD_1959febe6b254266b4985c8aadec7ed6" addr="T0R3C0S1_1"/>
      <m:item xlName="_GBC_99de565110b64f909ec6e8d894f3f800" concept="clcid-pte:ShouDaoQiTaYuChouZiHuoDongYouGuanDeXianJin" label="收到其他与筹资活动有关的现金" mulRef="_GBC_54c629439974499c9df52a114b0272b9" unitRef="_GBC_0d3b28d58a83411db264b55c970f7fc6" addr="T0R3C1S1_1" formatStyle="Comma" appId="_GBC_6e82da4b55134cf6aacd6132e71f2c27">
        <m:complexRule comparator="Eq" title="收到其他与筹资活动有关的现金" test=" $_GBC_23a4df945e5c4c59964efc4d9dd8b8f8" id="C2a4b3ba9ecb4467fadba4292beb2a944"/>
      </m:item>
      <m:item xlName="_GBC_98c36aadb94c42b29942afad6b95cf32" concept="clcid-pte:ShouDaoQiTaYuChouZiHuoDongYouGuanDeXianJin" label="收到其他与筹资活动有关的现金" periodRef="上年同期数" mulRef="_GBC_54c629439974499c9df52a114b0272b9" unitRef="_GBC_0d3b28d58a83411db264b55c970f7fc6" addr="T0R3C2S1_1" formatStyle="Comma" appId="_GBC_6e82da4b55134cf6aacd6132e71f2c27">
        <m:complexRule comparator="Eq" title="收到其他与筹资活动有关的现金@上年同期数" test=" $_GBC_8ea97bea035e4c74b0e89c9e01afb822" id="C99e72ac03aa0410b9c9ceb48b7b64d02"/>
      </m:item>
      <m:item xlName="_GBC_cf160106b6d34224a1fbd183426812af" concept="clcid-pte:ShouDaoDeQiTaYuChouZiHuoDongYouGuanDeXianJinShuoMing" label="收到的其他与筹资活动有关的现金说明" appId="_GBC_6e82da4b55134cf6aacd6132e71f2c27"/>
    </m:section>
    <m:section xlName="_GBC_96162aa406234e2485524876a03968e7" title="支付的其他与筹资活动有关的现金" convertSummaryRule="NoConvert" helpId="112002201">
      <m:item xlName="_GBC_cf7fd4869f8d4d98a07243e22bf22793" concept="clcid-ci-ar:ShiFouShiYongZhiFuDeQiTaYuChouZiHuoDongYouGuanDeXianJin" label="是否适用：支付的其他与筹资活动有关的现金" selectOptions="_buildInAppliance" controlType="CustomCheckbox" cRanges="{&quot;StartName&quot;:&quot;_GBC_cf7fd4869f8d4d98a07243e22bf22793&quot;,&quot;EndName&quot;:&quot;_GBC_7240a9be12a64ca5b011a2561db068a1&quot;,&quot;CType&quot;:1,&quot;DisplayText&quot;:null}"/>
      <m:item xlName="_GBC_323ca3d874214911880818d387e0c63b" concept="clcid-ci-ar:DanWeiCaiWuFuZhuZhiFuDeQiTaYuChouZiHuoDongYouGuanDeXianJin" label="单位：财务附注：支付的其他与筹资活动有关的现金" selectOptions="_buildInScales" controlType="Combobox" cellType="Scale" appId="_GBC_cf7fd4869f8d4d98a07243e22bf22793"/>
      <m:item xlName="_GBC_d6726952256941209f32bac8fffa568d" concept="clcid-ci-ar:BiZhongCaiWuFuZhuZhiFuDeQiTaYuChouZiHuoDongYouGuanDeXianJin" label="币种：财务附注：支付的其他与筹资活动有关的现金" selectOptions="_buildInISO4217" controlType="Combobox" cellType="Measure" appId="_GBC_cf7fd4869f8d4d98a07243e22bf22793"/>
      <m:placeholder xlName="_PLD_2b9da6111f3f4cacb3afcfc0de00e1e9" addr="T0R0C0S1_1"/>
      <m:placeholder xlName="_PLD_b6791a7f5c234d80be8964d8fb7b3ce6" addr="T0R0C1S1_1"/>
      <m:placeholder xlName="_PLD_b4a33da4012d47bd8013a6c570bcad87" addr="T0R0C2S1_1"/>
      <m:tuple xlName="_GBC_67ad8c2e4b094cd980237b364226db90" concept="clcid-pte:ZhiFuDeQiTaYuChouZiHuoDongYouGuanDeXianJinMingXi" default_row="2" addr="T0R1C">
        <m:item xlName="_GBC_5ec95a8ad3af47bca79d590691ad8f34" concept="clcid-pte:ZhiFuDeQiTaYuChouZiHuoDongYouGuanDeXianJinXiangMu" label="支付的其他与筹资活动有关的现金项目" addr="T0R1C0S1_1" appId="_GBC_cf7fd4869f8d4d98a07243e22bf22793"/>
        <m:item xlName="_GBC_832d95f732f84417afff23c05d4bb487" concept="clcid-pte:ZhiFuDeQiTaYuChouZiHuoDongYouGuanDeXianJinJinE" label="支付的其他与筹资活动有关的现金金额" mulRef="_GBC_323ca3d874214911880818d387e0c63b" unitRef="_GBC_d6726952256941209f32bac8fffa568d" addr="T0R1C1S1_1" formatStyle="Comma" appId="_GBC_cf7fd4869f8d4d98a07243e22bf22793"/>
        <m:item xlName="_GBC_a5da9807fe004dd1b234bd2f9152108b" concept="clcid-pte:ZhiFuDeQiTaYuChouZiHuoDongYouGuanDeXianJinJinE" label="支付的其他与筹资活动有关的现金金额" periodRef="上年同期数" mulRef="_GBC_323ca3d874214911880818d387e0c63b" unitRef="_GBC_d6726952256941209f32bac8fffa568d" addr="T0R1C2S1_1" formatStyle="Comma" appId="_GBC_cf7fd4869f8d4d98a07243e22bf22793"/>
      </m:tuple>
      <m:placeholder xlName="_PLD_22dc5e1e835f424c922e14021ea4fcda" addr="T0R3C0S1_1"/>
      <m:item xlName="_GBC_0dedc3d9b0cd4188ae5a0c5faf1c3861" concept="clcid-pte:ZhiFuDeQiTaYuChouZiHuoDongYouGuanDeXianJin" label="支付的其他与筹资活动有关的现金" mulRef="_GBC_323ca3d874214911880818d387e0c63b" unitRef="_GBC_d6726952256941209f32bac8fffa568d" addr="T0R3C1S1_1" formatStyle="Comma" appId="_GBC_cf7fd4869f8d4d98a07243e22bf22793">
        <m:complexRule comparator="Eq" title="支付的其他与筹资活动有关的现金" test=" $_GBC_832d95f732f84417afff23c05d4bb487" id="C1df54508c9624b77badf44430b86f858"/>
      </m:item>
      <m:item xlName="_GBC_838fe3f3dcd94199b1701cdf0a830683" concept="clcid-pte:ZhiFuDeQiTaYuChouZiHuoDongYouGuanDeXianJin" label="支付的其他与筹资活动有关的现金" periodRef="上年同期数" mulRef="_GBC_323ca3d874214911880818d387e0c63b" unitRef="_GBC_d6726952256941209f32bac8fffa568d" addr="T0R3C2S1_1" formatStyle="Comma" appId="_GBC_cf7fd4869f8d4d98a07243e22bf22793">
        <m:complexRule comparator="Eq" title="支付的其他与筹资活动有关的现金@上年同期数" test=" $_GBC_a5da9807fe004dd1b234bd2f9152108b" id="Cefbb61d307de4099a819c225ac214fbb"/>
      </m:item>
      <m:item xlName="_GBC_7240a9be12a64ca5b011a2561db068a1" concept="clcid-pte:ZhiFuDeQiTaYuChouZiHuoDongYouGuanDeXianJinShuoMing" label="支付的其他与筹资活动有关的现金说明" appId="_GBC_cf7fd4869f8d4d98a07243e22bf22793"/>
    </m:section>
    <m:section xlName="_GBC_7c9a174810ac4558be4e54f8019d5a1a" title="现金流量表补充资料" extended="true"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concept="clcid-ci-ar:DanWeiCaiWuFuZhuXianJinLiuLiangBiaoBuChongZiLiao" label="单位：财务附注：现金流量表补充资料" selectOptions="_buildInScales" controlType="Combobox" cellType="Scale" appId="_GBC_3ee8e178479245ea907bff86e4dcd54a"/>
      <m:item xlName="_GBC_715164ef2f2b4f258a0908b254229361"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wordText="补充资料" addr="T0R0C0S1_1"/>
      <m:placeholder xlName="_PLD_0687e3743a4e4e2db7b08855f23641e8" wordText="本期金额" addr="T0R0C1S1_1"/>
      <m:placeholder xlName="_PLD_f90342638d124edea40aa264bbe65e8e" wordText="上期金额" addr="T0R0C2S1_1"/>
      <m:placeholder xlName="_PLD_0a799a1250f946df9181881c4b1f3829" wordText="1．将净利润调节为经营活动现金流量：" addr="T0R1C0S1_1"/>
      <m:placeholder xlName="_PLD_e8ba8a255d384555b8eb4380916342fb" wordText="净利润"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wordText="加：资产减值准备"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wordText="信用减值损失"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wordText="固定资产折旧、油气资产折耗、生产性生物资产折旧"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wordText="使用权资产摊销"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wordText="无形资产摊销"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wordText="长期待摊费用摊销"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wordText="处置固定资产、无形资产和其他长期资产的损失（收益以“－”号填列）"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wordText="固定资产报废损失（收益以“－”号填列）"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wordText="公允价值变动损失（收益以“－”号填列）"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wordText="财务费用（收益以“－”号填列）"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wordText="投资损失（收益以“－”号填列）"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wordText="递延所得税资产减少（增加以“－”号填列）"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wordText="递延所得税负债增加（减少以“－”号填列）"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wordText="存货的减少（增加以“－”号填列）"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wordText="经营性应收项目的减少（增加以“－”号填列）"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wordText="经营性应付项目的增加（减少以“－”号填列）"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wordText="其他"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wordText="经营活动产生的现金流量净额"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wordText="2．不涉及现金收支的重大投资和筹资活动：" addr="T0R21C0S1_1"/>
      <m:placeholder xlName="_PLD_e0d4eb4cfadc41e79028384d476793f6" wordText="债务转为资本"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wordText="一年内到期的可转换公司债券"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wordText="融资租入固定资产"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wordText="3．现金及现金等价物净变动情况：" addr="T0R25C0S1_1"/>
      <m:placeholder xlName="_PLD_2082c840cddc45338520bd3516ed16c9" wordText="现金的期末余额"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wordText="减：现金的期初余额"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wordText="加：现金等价物的期末余额"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wordText="减：现金等价物的期初余额"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wordText="现金及现金等价物净增加额"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tuple xlName="_TUP_1d860bd64f034fb9b592ff6efa63e95e" concept="" xtype="item">
        <m:extendConcept standardLabel="项目合同资产的减少(增加以“-”号填列)" shortLabel="合同资产的减少（增加以“－”号填列）"/>
        <m:item xlName="_GBC_243a0f3c913148aeb0a4c0e3d6213b73" concept="clcid-ci-ar:ZiDingYiKeMuMingCheng" label="自定义科目名称" isCaption="true"/>
        <m:item xlName="VIRTUAL_GBC_403255fd049740e7a9e77e4ec0e10dfa" concept="clcid-ci-ar:ZiDingYiKeMuWeiZhi" label="自定义科目位置"/>
        <m:item xlName="_GBC_7329cd59ba4049df9f53e895c8dd1d71" pickName="" concept="" mulRef="_GBC_ba7cd13a54fa44929e0fd4c276876d0e" unitRef="_GBC_715164ef2f2b4f258a0908b254229361" formatStyle="Comma" appId="_GBC_3ee8e178479245ea907bff86e4dcd54a">
          <m:extendConcept standardLabel="补充资料现金流量表合同资产的减少(增加以“-”号填列)" referenceConcept="clcid-pte:CunHuoDeJianShao"/>
        </m:item>
        <m:item xlName="_GBC_60d27400b9b741bc8babc1f2a89a923b" pickName="" concept="" periodRef="上年同期数" mulRef="_GBC_ba7cd13a54fa44929e0fd4c276876d0e" unitRef="_GBC_715164ef2f2b4f258a0908b254229361" formatStyle="Comma" appId="_GBC_3ee8e178479245ea907bff86e4dcd54a">
          <m:extendConcept standardLabel="补充资料现金流量表合同资产的减少(增加以“-”号填列)" referenceConcept="clcid-pte:CunHuoDeJianShao"/>
        </m:item>
      </m:tuple>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item xlName="_GBC_903abae67cad448caac446eb8c11fd79" concept="clcid-ci-ar:ShiFouShiYongBenQiZhiFuDeQuDeZiGongSiDeXianJinJingE" label="是否适用：本期支付的取得子公司的现金净额" selectOptions="_buildInAppliance" controlType="CustomCheckbox" cRanges="{&quot;StartName&quot;:&quot;_GBC_903abae67cad448caac446eb8c11fd79&quot;,&quot;EndName&quot;:&quot;_GBC_1b859cf90bee441a822a7f514940be48&quot;,&quot;CType&quot;:1,&quot;DisplayText&quot;:null}"/>
      <m:item xlName="_GBC_8c471c67a05c46ad9fc2bff120d8e053" concept="clcid-ci-ar:DanWeiCaiWuFuZhuBenQiZhiFuDeQuDeZiGongSiDeXianJinJingE" label="单位：财务附注：本期支付的取得子公司的现金净额" selectOptions="_buildInScales" controlType="Combobox" cellType="Scale" appId="_GBC_903abae67cad448caac446eb8c11fd79"/>
      <m:item xlName="_GBC_630c30e8574b4cd999b5ae9b7fac52db" concept="clcid-ci-ar:BiZhongCaiWuFuZhuBenQiZhiFuDeQuDeZiGongSiDeXianJinJingE" label="币种：财务附注：本期支付的取得子公司的现金净额" selectOptions="_buildInISO4217" controlType="Combobox" cellType="Measure" appId="_GBC_903abae67cad448caac446eb8c11fd79"/>
      <m:placeholder xlName="_PLD_ced6d418dab74c35bb2988f2cda32118" addr="T0R0C1S1_1"/>
      <m:placeholder xlName="_PLD_6ddcbfa544c745a1af4d1a44c5755c38" addr="T0R1C0S1_1"/>
      <m:item xlName="_GBC_2f96c1fe16d64ef097338fc3fdce2904" concept="clcid-pte:BenQiFaShengDeQiYeHeBingYuBenQiZhiFuDeXianJinHuoXianJinDengJiaWu" label="本期发生的企业合并于本期支付的现金或现金等价物" mulRef="_GBC_8c471c67a05c46ad9fc2bff120d8e053" unitRef="_GBC_630c30e8574b4cd999b5ae9b7fac52db" addr="T0R1C1S1_1" formatStyle="Comma" appId="_GBC_903abae67cad448caac446eb8c11fd79">
        <m:complexRule comparator="Eq" title="本期发生的企业合并于本期支付的现金或现金等价物" test=" $_GBC_2b03ea7eb54a4e78bea944764ec96210" id="C84437829f8cc47819b81ff98b5a5b325"/>
      </m:item>
      <m:tuple xlName="_GBC_82b0f66957fd4a54b6dae621c7644ae1" concept="clcid-pte:BenQiFaShengDeQiYeHeBingYuBenQiZhiFuDeXianJinHuoXianJinDengJiaWuMingXi" default_row="2" addr="T0R2C">
        <m:item xlName="_GBC_634a673fc308495399e741939157a313" concept="clcid-pte:BenQiFaShengDeQiYeHeBingYuBenQiZhiFuDeXianJinHuoXianJinDengJiaWuMingXiGongSiMingCheng" label="本期发生的企业合并于本期支付的现金或现金等价物明细-公司名称" addr="T0R2C0S1_1" appId="_GBC_903abae67cad448caac446eb8c11fd79"/>
        <m:item xlName="_GBC_2b03ea7eb54a4e78bea944764ec96210" concept="clcid-pte:BenQiFaShengDeQiYeHeBingYuBenQiZhiFuDeXianJinHuoXianJinDengJiaWuMingXiJinE" label="本期发生的企业合并于本期支付的现金或现金等价物明细-金额" mulRef="_GBC_8c471c67a05c46ad9fc2bff120d8e053" unitRef="_GBC_630c30e8574b4cd999b5ae9b7fac52db" addr="T0R2C1S1_1" formatStyle="Comma" appId="_GBC_903abae67cad448caac446eb8c11fd79"/>
      </m:tuple>
      <m:placeholder xlName="_PLD_366e6af260304473bb06e017de2f2a09" addr="T0R4C0S1_1"/>
      <m:item xlName="_GBC_250b5f8042d049aa94ff16a8ac1c1cd6" concept="clcid-pte:GouMaiRiZiGongSiChiYouDeXianJinJiXianJinDengJiaWu" label="购买日子公司持有的现金及现金等价物" mulRef="_GBC_8c471c67a05c46ad9fc2bff120d8e053" unitRef="_GBC_630c30e8574b4cd999b5ae9b7fac52db" addr="T0R4C1S1_1" formatStyle="Comma" appId="_GBC_903abae67cad448caac446eb8c11fd79">
        <m:complexRule comparator="Eq" title="购买日子公司持有的现金及现金等价物" test=" $_GBC_6d3433e6f8c1477998eafebe14503050" id="C65537805dcb046648d4cf1fcd7dfc0ea"/>
      </m:item>
      <m:tuple xlName="_GBC_1fea72668a6147c498d16541739999d5" concept="clcid-pte:GouMaiRiZiGongSiChiYouDeXianJinJiXianJinDengJiaWuMingXi" default_row="2" addr="T0R5C">
        <m:item xlName="_GBC_032f1b9de6b949e0a5b64abc647e93ab" concept="clcid-pte:GouMaiRiZiGongSiChiYouDeXianJinJiXianJinDengJiaWuMingXiGongSiMingCheng" label="购买日子公司持有的现金及现金等价物明细-公司名称" addr="T0R5C0S1_1" appId="_GBC_903abae67cad448caac446eb8c11fd79"/>
        <m:item xlName="_GBC_6d3433e6f8c1477998eafebe14503050" concept="clcid-pte:GouMaiRiZiGongSiChiYouDeXianJinJiXianJinDengJiaWuMingXiJinE" label="购买日子公司持有的现金及现金等价物明细-金额" mulRef="_GBC_8c471c67a05c46ad9fc2bff120d8e053" unitRef="_GBC_630c30e8574b4cd999b5ae9b7fac52db" addr="T0R5C1S1_1" formatStyle="Comma" appId="_GBC_903abae67cad448caac446eb8c11fd79"/>
      </m:tuple>
      <m:placeholder xlName="_PLD_41c75809759f487996d3053b5c930f4f" addr="T0R7C0S1_1"/>
      <m:item xlName="_GBC_f529454246c14162bebeb3a507934126" concept="clcid-pte:YiQianQiJianFaShengDeQiYeHeBingYuBenQiZhiFuDeXianJinHuoXianJinDengJiaWu" label="以前期间发生的企业合并于本期支付的现金或现金等价物" mulRef="_GBC_8c471c67a05c46ad9fc2bff120d8e053" unitRef="_GBC_630c30e8574b4cd999b5ae9b7fac52db" addr="T0R7C1S1_1" formatStyle="Comma" appId="_GBC_903abae67cad448caac446eb8c11fd79">
        <m:complexRule comparator="Eq" title="以前期间发生的企业合并于本期支付的现金或现金等价物" test=" $_GBC_8da49bdbc3464dae9d77cb604e1491c1" id="C8d7973620da24e7a9d40b366a42d6297"/>
      </m:item>
      <m:tuple xlName="_GBC_07571659d440437ea590214dd22a86a5" concept="clcid-pte:YiQianQiJianFaShengDeQiYeHeBingYuBenQiZhiFuDeXianJinHuoXianJinDengJiaWuMingXi" default_row="2" addr="T0R8C">
        <m:item xlName="_GBC_74a45311f7934b38a3c8ab26dccc734b" concept="clcid-pte:YiQianQiJianFaShengDeQiYeHeBingYuBenQiZhiFuDeXianJinHuoXianJinDengJiaWuMingXiGongSiMingCheng" label="以前期间发生的企业合并于本期支付的现金或现金等价物明细-公司名称" addr="T0R8C0S1_1" appId="_GBC_903abae67cad448caac446eb8c11fd79"/>
        <m:item xlName="_GBC_8da49bdbc3464dae9d77cb604e1491c1" concept="clcid-pte:YiQianQiJianFaShengDeQiYeHeBingYuBenQiZhiFuDeXianJinHuoXianJinDengJiaWuMingXiJinE" label="以前期间发生的企业合并于本期支付的现金或现金等价物明细-金额" mulRef="_GBC_8c471c67a05c46ad9fc2bff120d8e053" unitRef="_GBC_630c30e8574b4cd999b5ae9b7fac52db" addr="T0R8C1S1_1" formatStyle="Comma" appId="_GBC_903abae67cad448caac446eb8c11fd79"/>
      </m:tuple>
      <m:placeholder xlName="_PLD_28249f19317c485ebcc5d4a86d718c91" addr="T0R10C0S1_1"/>
      <m:item xlName="_GBC_622e8fa30ad54281b73b08546b443fdb" concept="clcid-pte:XianJinLiuLiangBiaoBuChongZiLiaoZhongDeQuDeZiGongSiZhiFuDeXianJinJingE" label="现金流量表补充资料中的取得子公司支付的现金净额" mulRef="_GBC_8c471c67a05c46ad9fc2bff120d8e053" unitRef="_GBC_630c30e8574b4cd999b5ae9b7fac52db" addr="T0R10C1S1_1" formatStyle="Comma" appId="_GBC_903abae67cad448caac446eb8c11fd79">
        <m:complexRule comparator="Eq" title="现金流量表补充资料中的取得子公司支付的现金净额" test=" $_GBC_2f96c1fe16d64ef097338fc3fdce2904 -  $_GBC_250b5f8042d049aa94ff16a8ac1c1cd6 +  $_GBC_f529454246c14162bebeb3a507934126" id="C1d62d7e30d814036b1bdf5a344d15755"/>
      </m:item>
      <m:item xlName="_GBC_1b859cf90bee441a822a7f514940be48" concept="clcid-pte:QuDeZiGongSiZhiFuDeXianJinJingEDeQiTaShuoMing" label="取得子公司支付的现金净额的其他说明" appId="_GBC_903abae67cad448caac446eb8c11fd79"/>
    </m:section>
    <m:section xlName="_GBC_2b15b115b2104b8ba327581d943203fc" title="处置子公司收到的现金净额" helpId="112001123">
      <m:item xlName="_GBC_2b4b13c85bb94d13bb7b7edebe0a9f5a" concept="clcid-ci-ar:ShiFouShiYongBenQiShouDaoDeChuZhiZiGongSiDeXianJinJingE" label="是否适用：本期收到的处置子公司的现金净额" selectOptions="_buildInAppliance" controlType="CustomCheckbox" cRanges="{&quot;StartName&quot;:&quot;_GBC_2b4b13c85bb94d13bb7b7edebe0a9f5a&quot;,&quot;EndName&quot;:&quot;_GBC_832bdab473c74eca866291099d3bd834&quot;,&quot;CType&quot;:1,&quot;DisplayText&quot;:null}"/>
      <m:item xlName="_GBC_b8f558a6c7ea4df9bdecf023dc5e7f6d" concept="clcid-ci-ar:DanWeiCaiWuFuZhuBenQiShouDaoDeChuZhiZiGongSiDeXianJinJingE" label="单位：财务附注：本期收到的处置子公司的现金净额" selectOptions="_buildInScales" controlType="Combobox" cellType="Scale" appId="_GBC_2b4b13c85bb94d13bb7b7edebe0a9f5a"/>
      <m:item xlName="_GBC_aabc7f14e423432c85fbfdaba3624aff" concept="clcid-ci-ar:BiZhongCaiWuFuZhuBenQiShouDaoDeChuZhiZiGongSiDeXianJinJingE" label="币种：财务附注：本期收到的处置子公司的现金净额" selectOptions="_buildInISO4217" controlType="Combobox" cellType="Measure" appId="_GBC_2b4b13c85bb94d13bb7b7edebe0a9f5a"/>
      <m:placeholder xlName="_PLD_03eee480e0eb4c079c767d3b7d110519" addr="T0R0C1S1_1"/>
      <m:placeholder xlName="_PLD_f9b42eeed79b403292a782b3d79ae1d1" addr="T0R1C0S1_1"/>
      <m:item xlName="_GBC_3260da1e77b9471eb051eaf309ed3ccd" concept="clcid-pte:BenQiChuZhiZiGongSiYuBenQiShouDaoDeXianJinHuoXianJinDengJiaWu" label="本期处置子公司于本期收到的现金或现金等价物" mulRef="_GBC_b8f558a6c7ea4df9bdecf023dc5e7f6d" unitRef="_GBC_aabc7f14e423432c85fbfdaba3624aff" addr="T0R1C1S1_1" formatStyle="Comma" appId="_GBC_2b4b13c85bb94d13bb7b7edebe0a9f5a">
        <m:complexRule comparator="Eq" title="本期处置子公司于本期收到的现金或现金等价物" test=" $_GBC_99d25beeff06443f9c12c4afac299084" id="Cfcb833c77bbb431ebb5792f58cf5c4ed"/>
      </m:item>
      <m:tuple xlName="_GBC_0e39112787754039b0fd23fbf233d803" concept="clcid-pte:BenQiChuZhiZiGongSiYuBenQiShouDaoDeXianJinHuoXianJinDengJiaWuMingXi" default_row="2" addr="T0R2C">
        <m:item xlName="_GBC_116172e34f514d26910aa6e11881cf24" concept="clcid-pte:BenQiChuZhiZiGongSiYuBenQiShouDaoDeXianJinHuoXianJinDengJiaWuMingXiGongSiMingCheng" label="本期处置子公司于本期收到的现金或现金等价物明细-公司名称" addr="T0R2C0S1_1" appId="_GBC_2b4b13c85bb94d13bb7b7edebe0a9f5a"/>
        <m:item xlName="_GBC_99d25beeff06443f9c12c4afac299084" concept="clcid-pte:BenQiChuZhiZiGongSiYuBenQiShouDaoDeXianJinHuoXianJinDengJiaWuMingXiJinE" label="本期处置子公司于本期收到的现金或现金等价物明细-金额" mulRef="_GBC_b8f558a6c7ea4df9bdecf023dc5e7f6d" unitRef="_GBC_aabc7f14e423432c85fbfdaba3624aff" addr="T0R2C1S1_1" formatStyle="Comma" appId="_GBC_2b4b13c85bb94d13bb7b7edebe0a9f5a"/>
      </m:tuple>
      <m:placeholder xlName="_PLD_0dc2d90684984f8a938c63e4c1ea2538" addr="T0R4C0S1_1"/>
      <m:item xlName="_GBC_fd3a87e16cde498fa38bb3202058c82d" concept="clcid-pte:SangShiKongZhiQuanRiZiGongSiChiYouDeXianJinJiXianJinDengJiaWu" label="丧失控制权日子公司持有的现金及现金等价物" mulRef="_GBC_b8f558a6c7ea4df9bdecf023dc5e7f6d" unitRef="_GBC_aabc7f14e423432c85fbfdaba3624aff" addr="T0R4C1S1_1" formatStyle="Comma" appId="_GBC_2b4b13c85bb94d13bb7b7edebe0a9f5a">
        <m:complexRule comparator="Eq" title="丧失控制权日子公司持有的现金及现金等价物" test=" $_GBC_b05f0f3e44a5435eb80b6dcf75b4718c" id="Cc1f8d5333fbf494f84494a762133594b"/>
      </m:item>
      <m:tuple xlName="_GBC_ad5a7cb5d7a848898ee1b5bf7b9d09c2" concept="clcid-pte:SangShiKongZhiQuanRiZiGongSiChiYouDeXianJinJiXianJinDengJiaWuMingXi" default_row="2" addr="T0R5C">
        <m:item xlName="_GBC_ec4836e6c6ba4ad7aeb1a2d14f84a4aa" concept="clcid-pte:SangShiKongZhiQuanRiZiGongSiChiYouDeXianJinJiXianJinDengJiaWuMingXiGongSiMingCheng" label="丧失控制权日子公司持有的现金及现金等价物明细-公司名称" addr="T0R5C0S1_1" appId="_GBC_2b4b13c85bb94d13bb7b7edebe0a9f5a"/>
        <m:item xlName="_GBC_b05f0f3e44a5435eb80b6dcf75b4718c" concept="clcid-pte:SangShiKongZhiQuanRiZiGongSiChiYouDeXianJinJiXianJinDengJiaWuMingXiJinE" label="丧失控制权日子公司持有的现金及现金等价物明细-金额" mulRef="_GBC_b8f558a6c7ea4df9bdecf023dc5e7f6d" unitRef="_GBC_aabc7f14e423432c85fbfdaba3624aff" addr="T0R5C1S1_1" formatStyle="Comma" appId="_GBC_2b4b13c85bb94d13bb7b7edebe0a9f5a"/>
      </m:tuple>
      <m:placeholder xlName="_PLD_d9997352f02d44149747eeb0267d39f7" addr="T0R7C0S1_1"/>
      <m:item xlName="_GBC_699a5170c0be4a8baa8b052efc5235cf" concept="clcid-pte:YiQianQiJianChuZhiZiGongSiYuBenQiShouDaoDeXianJinHuoXianJinDengJiaWu" label="以前期间处置子公司于本期收到的现金或现金等价物" mulRef="_GBC_b8f558a6c7ea4df9bdecf023dc5e7f6d" unitRef="_GBC_aabc7f14e423432c85fbfdaba3624aff" addr="T0R7C1S1_1" formatStyle="Comma" appId="_GBC_2b4b13c85bb94d13bb7b7edebe0a9f5a">
        <m:complexRule comparator="Eq" title="以前期间处置子公司于本期收到的现金或现金等价物" test=" $_GBC_448d4b4861f34c88adbe070d05a8b1cd" id="Cb9e8ee2a265643769988a16d0872f9b8"/>
      </m:item>
      <m:tuple xlName="_GBC_0857e9d8dcfb4e89af5d1387bd7efc94" concept="clcid-pte:YiQianQiJianChuZhiZiGongSiYuBenQiShouDaoDeXianJinHuoXianJinDengJiaWuMingXi" default_row="2" addr="T0R8C">
        <m:item xlName="_GBC_2789f8e54ccd430486bb8777a95ac344" concept="clcid-pte:YiQianQiJianChuZhiZiGongSiYuBenQiShouDaoDeXianJinHuoXianJinDengJiaWuMingXiGongSiMingCheng" label="以前期间处置子公司于本期收到的现金或现金等价物明细-公司名称" addr="T0R8C0S1_1" appId="_GBC_2b4b13c85bb94d13bb7b7edebe0a9f5a"/>
        <m:item xlName="_GBC_448d4b4861f34c88adbe070d05a8b1cd" concept="clcid-pte:YiQianQiJianChuZhiZiGongSiYuBenQiShouDaoDeXianJinHuoXianJinDengJiaWuMingXiJinE" label="以前期间处置子公司于本期收到的现金或现金等价物明细-金额" mulRef="_GBC_b8f558a6c7ea4df9bdecf023dc5e7f6d" unitRef="_GBC_aabc7f14e423432c85fbfdaba3624aff" addr="T0R8C1S1_1" formatStyle="Comma" appId="_GBC_2b4b13c85bb94d13bb7b7edebe0a9f5a"/>
      </m:tuple>
      <m:placeholder xlName="_PLD_49fd221f37cb4fb5b2d1a99d7fd97250" addr="T0R10C0S1_1"/>
      <m:item xlName="_GBC_b62010db24714766826e9ae1d032745d" concept="clcid-pte:ChuZhiZiGongSiShouDaoDeXianJinJingE" label="处置子公司收到的现金净额" mulRef="_GBC_b8f558a6c7ea4df9bdecf023dc5e7f6d" unitRef="_GBC_aabc7f14e423432c85fbfdaba3624aff" addr="T0R10C1S1_1" formatStyle="Comma" appId="_GBC_2b4b13c85bb94d13bb7b7edebe0a9f5a">
        <m:complexRule comparator="Eq" title="处置子公司收到的现金净额" test=" $_GBC_3260da1e77b9471eb051eaf309ed3ccd -  $_GBC_fd3a87e16cde498fa38bb3202058c82d +  $_GBC_699a5170c0be4a8baa8b052efc5235cf" id="C6a3449029157497f9d49a5fd88802f61"/>
      </m:item>
      <m:item xlName="_GBC_832bdab473c74eca866291099d3bd834" concept="clcid-pte:ChuZhiZiGongSiShouDaoDeXianJinJingEDeQiTaShuoMing" label="处置子公司收到的现金净额的其他说明" appId="_GBC_2b4b13c85bb94d13bb7b7edebe0a9f5a"/>
    </m:section>
    <m:section xlName="_GBC_b19766ead83d4bb4825af61147af6138" title="现金和现金等价物的构成" helpId="112001123">
      <m:item xlName="_GBC_4f1d477972634410a6ea7bdfaf766947" concept="clcid-ci-ar:ShiFouShiYongXianJinHeXianJinDengJiaWuDeGouCheng" label="是否适用：现金和现金等价物的构成" selectOptions="_buildInAppliance" controlType="CustomCheckbox" cRanges="{&quot;StartName&quot;:&quot;_GBC_4f1d477972634410a6ea7bdfaf766947&quot;,&quot;EndName&quot;:&quot;_GBC_55fd0ff880e64139bb49cd0325cf9320&quot;,&quot;CType&quot;:1,&quot;DisplayText&quot;:null}"/>
      <m:item xlName="_GBC_b65333ba6aec402382c4acbbb6696560" concept="clcid-ci-ar:DanWeiCaiWuFuZhuXianJinHeXianJinDengJiaWuDeGouCheng" label="单位：财务附注：现金和现金等价物的构成" selectOptions="_buildInScales" controlType="Combobox" cellType="Scale" appId="_GBC_4f1d477972634410a6ea7bdfaf766947"/>
      <m:item xlName="_GBC_15cada3a52264083942ef83a40fa25a0" concept="clcid-ci-ar:BiZhongCaiWuFuZhuXianJinHeXianJinDengJiaWuDeGouCheng" label="币种：财务附注：现金和现金等价物的构成" selectOptions="_buildInISO4217" controlType="Combobox" cellType="Measure" appId="_GBC_4f1d477972634410a6ea7bdfaf766947"/>
      <m:placeholder xlName="_PLD_d5bf85e9303e4843a7623f09eae933c6" addr="T0R0C0S1_1"/>
      <m:placeholder xlName="_PLD_e3a960d2f6474687b9cbaec3f1075e19" addr="T0R0C1S1_1"/>
      <m:placeholder xlName="_PLD_0d0909eba9344c8ab96c7fb88f0b117a" addr="T0R0C2S1_1"/>
      <m:placeholder xlName="_PLD_6a173ce99a864661a21d726eff0af5b3" addr="T0R1C0S1_1"/>
      <m:item xlName="_GBC_12bcd5d1472642bb900bce8b4d6476ba" concept="clcid-pte:XianJinYuE" label="现金余额" mulRef="_GBC_b65333ba6aec402382c4acbbb6696560" unitRef="_GBC_15cada3a52264083942ef83a40fa25a0" addr="T0R1C1S1_1" formatStyle="Comma" appId="_GBC_4f1d477972634410a6ea7bdfaf766947"/>
      <m:item xlName="_GBC_5c8c0dbee7524ee5a0670db7cfee724a" concept="clcid-pte:XianJinYuE" label="现金余额" periodRef="本期期初数" mulRef="_GBC_b65333ba6aec402382c4acbbb6696560" unitRef="_GBC_15cada3a52264083942ef83a40fa25a0" addr="T0R1C2S1_1" formatStyle="Comma" appId="_GBC_4f1d477972634410a6ea7bdfaf766947"/>
      <m:placeholder xlName="_PLD_00026e2b0a3d4b39803714a078a9949d" addr="T0R2C0S1_1"/>
      <m:item xlName="_GBC_72bd3125a8f6427188e14d93b6c82021" concept="clcid-pte:KuCunXianJin" label="库存现金" mulRef="_GBC_b65333ba6aec402382c4acbbb6696560" unitRef="_GBC_15cada3a52264083942ef83a40fa25a0" addr="T0R2C1S1_1" formatStyle="Comma" appId="_GBC_4f1d477972634410a6ea7bdfaf766947"/>
      <m:item xlName="_GBC_bbf2e82cafe3421c9024cb43f311bb78" concept="clcid-pte:KuCunXianJin" label="库存现金" periodRef="本期期初数" mulRef="_GBC_b65333ba6aec402382c4acbbb6696560" unitRef="_GBC_15cada3a52264083942ef83a40fa25a0" addr="T0R2C2S1_1" formatStyle="Comma" appId="_GBC_4f1d477972634410a6ea7bdfaf766947"/>
      <m:placeholder xlName="_PLD_703c5ac82ddb4fd7bf9d7372c95ca92f" addr="T0R3C0S1_1"/>
      <m:item xlName="_GBC_9dfe028e260b4d13ab95fb6294d32435" concept="clcid-pte:KeSuiShiYongYuZhiFuDeYinHangCunKuan" label="可随时用于支付的银行存款" mulRef="_GBC_b65333ba6aec402382c4acbbb6696560" unitRef="_GBC_15cada3a52264083942ef83a40fa25a0" addr="T0R3C1S1_1" formatStyle="Comma" appId="_GBC_4f1d477972634410a6ea7bdfaf766947"/>
      <m:item xlName="_GBC_4397e19c728c4f568a97412d972ad605" concept="clcid-pte:KeSuiShiYongYuZhiFuDeYinHangCunKuan" label="可随时用于支付的银行存款" periodRef="本期期初数" mulRef="_GBC_b65333ba6aec402382c4acbbb6696560" unitRef="_GBC_15cada3a52264083942ef83a40fa25a0" addr="T0R3C2S1_1" formatStyle="Comma" appId="_GBC_4f1d477972634410a6ea7bdfaf766947"/>
      <m:placeholder xlName="_PLD_39dc74346d4643c0b32e781621749a55" addr="T0R4C0S1_1"/>
      <m:item xlName="_GBC_30a4d13b3ea44e84a04118430aa30478" concept="clcid-pte:KeSuiShiYongYuZhiFuDeQiTaHuoBiZiJin" label="可随时用于支付的其他货币资金" mulRef="_GBC_b65333ba6aec402382c4acbbb6696560" unitRef="_GBC_15cada3a52264083942ef83a40fa25a0" addr="T0R4C1S1_1" formatStyle="Comma" appId="_GBC_4f1d477972634410a6ea7bdfaf766947"/>
      <m:item xlName="_GBC_ea5be5a89f1a415ab373a35132ac8173" concept="clcid-pte:KeSuiShiYongYuZhiFuDeQiTaHuoBiZiJin" label="可随时用于支付的其他货币资金" periodRef="本期期初数" mulRef="_GBC_b65333ba6aec402382c4acbbb6696560" unitRef="_GBC_15cada3a52264083942ef83a40fa25a0" addr="T0R4C2S1_1" formatStyle="Comma" appId="_GBC_4f1d477972634410a6ea7bdfaf766947"/>
      <m:placeholder xlName="_PLD_7097f486896a4d4b9e7684bc82f808ad" addr="T0R5C0S1_1"/>
      <m:item xlName="_GBC_2440ad84e59c49b391d6b85662e1b0cb" concept="clcid-pte:KeYongYuZhiFuDeCunFangZhongYangYinHangKuanXiang" label="可用于支付的存放中央银行款项" mulRef="_GBC_b65333ba6aec402382c4acbbb6696560" unitRef="_GBC_15cada3a52264083942ef83a40fa25a0" addr="T0R5C1S1_1" formatStyle="Comma" appId="_GBC_4f1d477972634410a6ea7bdfaf766947"/>
      <m:item xlName="_GBC_bb6bbb489f874a06bcebde0d1b052382" concept="clcid-pte:KeYongYuZhiFuDeCunFangZhongYangYinHangKuanXiang" label="可用于支付的存放中央银行款项" periodRef="本期期初数" mulRef="_GBC_b65333ba6aec402382c4acbbb6696560" unitRef="_GBC_15cada3a52264083942ef83a40fa25a0" addr="T0R5C2S1_1" formatStyle="Comma" appId="_GBC_4f1d477972634410a6ea7bdfaf766947"/>
      <m:placeholder xlName="_PLD_8fe90894e50c435a91887b8f6baf82f7" addr="T0R6C0S1_1"/>
      <m:item xlName="_GBC_39805dd4d79644a794b85f43ab030bff" concept="clcid-pte:XianJinZhongDeCunFangTongYeKuanXiang" label="现金中的存放同业款项" mulRef="_GBC_b65333ba6aec402382c4acbbb6696560" unitRef="_GBC_15cada3a52264083942ef83a40fa25a0" addr="T0R6C1S1_1" formatStyle="Comma" appId="_GBC_4f1d477972634410a6ea7bdfaf766947"/>
      <m:item xlName="_GBC_ec3c2b042edc4ad782918e180f06faa8" concept="clcid-pte:XianJinZhongDeCunFangTongYeKuanXiang" label="现金中的存放同业款项" periodRef="本期期初数" mulRef="_GBC_b65333ba6aec402382c4acbbb6696560" unitRef="_GBC_15cada3a52264083942ef83a40fa25a0" addr="T0R6C2S1_1" formatStyle="Comma" appId="_GBC_4f1d477972634410a6ea7bdfaf766947"/>
      <m:placeholder xlName="_PLD_5808644810d54676897d0089359a83b2" addr="T0R7C0S1_1"/>
      <m:item xlName="_GBC_ccf2ee830e2a43fd83889f078276a005" concept="clcid-pte:XianJinZhongDeChaiFangTongYeKuanXiang" label="现金中的拆放同业款项" mulRef="_GBC_b65333ba6aec402382c4acbbb6696560" unitRef="_GBC_15cada3a52264083942ef83a40fa25a0" addr="T0R7C1S1_1" formatStyle="Comma" appId="_GBC_4f1d477972634410a6ea7bdfaf766947"/>
      <m:item xlName="_GBC_fc17e06aa4fb46af8859901b09b25e72" concept="clcid-pte:XianJinZhongDeChaiFangTongYeKuanXiang" label="现金中的拆放同业款项" periodRef="本期期初数" mulRef="_GBC_b65333ba6aec402382c4acbbb6696560" unitRef="_GBC_15cada3a52264083942ef83a40fa25a0" addr="T0R7C2S1_1" formatStyle="Comma" appId="_GBC_4f1d477972634410a6ea7bdfaf766947"/>
      <m:placeholder xlName="_PLD_908c5e073add4fa8a13ed054455379d9" addr="T0R8C0S1_1"/>
      <m:item xlName="_GBC_6e0752d041a4476e9d70d499e381e424" concept="clcid-pte:JiaXianJinDengJiaWuYuE" label="现金等价物余额" mulRef="_GBC_b65333ba6aec402382c4acbbb6696560" unitRef="_GBC_15cada3a52264083942ef83a40fa25a0" addr="T0R8C1S1_1" formatStyle="Comma" appId="_GBC_4f1d477972634410a6ea7bdfaf766947"/>
      <m:item xlName="_GBC_c83f0f382fb645a5bb1a1ec405c1db80" concept="clcid-pte:JiaXianJinDengJiaWuYuE" label="现金等价物余额" periodRef="本期期初数" mulRef="_GBC_b65333ba6aec402382c4acbbb6696560" unitRef="_GBC_15cada3a52264083942ef83a40fa25a0" addr="T0R8C2S1_1" formatStyle="Comma" appId="_GBC_4f1d477972634410a6ea7bdfaf766947"/>
      <m:placeholder xlName="_PLD_652a861f17ac4cdd9702ff63844d42cc" addr="T0R9C0S1_1"/>
      <m:item xlName="_GBC_a062d28b88cc4bb892d470019249a225" concept="clcid-pte:SanGeYueNeiDaoQiDeZhaiQuanTouZi" label="三个月内到期的债券投资" mulRef="_GBC_b65333ba6aec402382c4acbbb6696560" unitRef="_GBC_15cada3a52264083942ef83a40fa25a0" addr="T0R9C1S1_1" formatStyle="Comma" appId="_GBC_4f1d477972634410a6ea7bdfaf766947"/>
      <m:item xlName="_GBC_092dc3284c5f4e809c9f8303a8550b46" concept="clcid-pte:SanGeYueNeiDaoQiDeZhaiQuanTouZi" label="三个月内到期的债券投资" periodRef="本期期初数" mulRef="_GBC_b65333ba6aec402382c4acbbb6696560" unitRef="_GBC_15cada3a52264083942ef83a40fa25a0" addr="T0R9C2S1_1" formatStyle="Comma" appId="_GBC_4f1d477972634410a6ea7bdfaf766947"/>
      <m:tuple xlName="_GBC_bf462c693b1047ea944cb9d373647912" concept="clcid-pte:XianJinDengJiaWuMingXi" default_row="2" addr="T0R10C">
        <m:item xlName="_GBC_93b9259827244abaa01cc66d145a82b6" concept="clcid-pte:XianJinDengJiaWuMingXiXiangMuMingCheng" label="现金等价物明细-项目名称" addr="T0R10C0S1_1" appId="_GBC_4f1d477972634410a6ea7bdfaf766947"/>
        <m:item xlName="_GBC_7b574361670640dca59ab5b246caa54b" concept="clcid-pte:XianJinDengJiaWuMingXiJinE" label="现金等价物明细-金额" mulRef="_GBC_b65333ba6aec402382c4acbbb6696560" unitRef="_GBC_15cada3a52264083942ef83a40fa25a0" addr="T0R10C1S1_1" formatStyle="Comma" appId="_GBC_4f1d477972634410a6ea7bdfaf766947"/>
        <m:item xlName="_GBC_1ad2f7a7b6d84a1bb5639e9fb685a93d" concept="clcid-pte:XianJinDengJiaWuMingXiJinE" label="现金等价物明细-金额" periodRef="本期期初数" mulRef="_GBC_b65333ba6aec402382c4acbbb6696560" unitRef="_GBC_15cada3a52264083942ef83a40fa25a0" addr="T0R10C2S1_1" formatStyle="Comma" appId="_GBC_4f1d477972634410a6ea7bdfaf766947"/>
      </m:tuple>
      <m:placeholder xlName="_PLD_4d07bfc591df4d5483e486621c246fa5" addr="T0R12C0S1_1"/>
      <m:item xlName="_GBC_994860e7281c46d8a63c4394fbf35a68" concept="clcid-pte:XianJinJiXianJinDengJiaWuYuE" label="现金及现金等价物余额" mulRef="_GBC_b65333ba6aec402382c4acbbb6696560" unitRef="_GBC_15cada3a52264083942ef83a40fa25a0" addr="T0R12C1S1_1" formatStyle="Comma" appId="_GBC_4f1d477972634410a6ea7bdfaf766947"/>
      <m:item xlName="_GBC_4842c2062e4d476e8888191dfc8c7baa" concept="clcid-pte:XianJinJiXianJinDengJiaWuYuE" label="现金及现金等价物余额" periodRef="本期期初数" mulRef="_GBC_b65333ba6aec402382c4acbbb6696560" unitRef="_GBC_15cada3a52264083942ef83a40fa25a0" addr="T0R12C2S1_1" formatStyle="Comma" appId="_GBC_4f1d477972634410a6ea7bdfaf766947"/>
      <m:placeholder xlName="_PLD_a7dfcdf890714f1c879ddf8d09d45801" addr="T0R13C0S1_1"/>
      <m:item xlName="_GBC_2e02331aee0349688df35e83c3c91338" concept="clcid-pte:MuGongSiHuoJiTuanNeiZiGongSiShiYongShouXianZhiDeXianJinHeXianJinDengJiaWu" label="母公司或集团内子公司使用受限制的现金和现金等价物" mulRef="_GBC_b65333ba6aec402382c4acbbb6696560" unitRef="_GBC_15cada3a52264083942ef83a40fa25a0" addr="T0R13C1S1_1" formatStyle="Comma" appId="_GBC_4f1d477972634410a6ea7bdfaf766947"/>
      <m:item xlName="_GBC_55fd0ff880e64139bb49cd0325cf9320" concept="clcid-pte:MuGongSiHuoJiTuanNeiZiGongSiShiYongShouXianZhiDeXianJinHeXianJinDengJiaWu" label="母公司或集团内子公司使用受限制的现金和现金等价物" periodRef="本期期初数" mulRef="_GBC_b65333ba6aec402382c4acbbb6696560" unitRef="_GBC_15cada3a52264083942ef83a40fa25a0" addr="T0R13C2S1_1" formatStyle="Comma" appId="_GBC_4f1d477972634410a6ea7bdfaf766947"/>
      <m:item xlName="_GBC_2212775a699e4804b260767f3ce34d12" concept="clcid-ci-ar:ShiFouShiYongXianJinLiuLiangBiaoBuChongZiLiaoDeShuoMing" label="是否适用：现金流量表补充资料的说明" selectOptions="_buildInAppliance" controlType="CustomCheckbox" cRanges="{&quot;StartName&quot;:&quot;_GBC_2212775a699e4804b260767f3ce34d12&quot;,&quot;EndName&quot;:&quot;_GBC_3debcbde5c274a28b3adc3b1d98dbe47&quot;,&quot;CType&quot;:1,&quot;DisplayText&quot;:null}"/>
      <m:item xlName="_GBC_3debcbde5c274a28b3adc3b1d98dbe47" concept="clcid-pte:XianJinLiuLiangBiaoBuChongZiLiaoDeShuoMing" label="现金流量表补充资料的说明" appId="_GBC_2212775a699e4804b260767f3ce34d12"/>
    </m:section>
    <m:section xlName="_GBC_f67b410d6123403caa2cee84fe191372" title="所有者权益变动表项目注释" convertSummaryRule="NoConvert" helpId="112001124">
      <m:item xlName="_GBC_61e84760a3fd4a58bb2421e95114d9b8" concept="clcid-ci-ar:ShiFouShiYongSuoYouZheQuanYiBianDongBiaoXiangMuZhuShi" label="是否适用：所有者权益变动表项目注释" selectOptions="_buildInAppliance" controlType="CustomCheckbox" cRanges="{&quot;StartName&quot;:&quot;_GBC_61e84760a3fd4a58bb2421e95114d9b8&quot;,&quot;EndName&quot;:&quot;_GBC_e17ba0ef3f2e4e5ca45ad21c6269f3ad&quot;,&quot;CType&quot;:1,&quot;DisplayText&quot;:null}"/>
      <m:item xlName="_GBC_e17ba0ef3f2e4e5ca45ad21c6269f3ad" concept="clcid-pte:SuoYouZheQuanYiBianDongBiaoXiangMuZhuShi" label="所有者权益变动表项目注释" appId="_GBC_61e84760a3fd4a58bb2421e95114d9b8"/>
    </m:section>
    <m:section xlName="_GBC_5707fab016f94974bd447e81a88f0183" title="所有权或使用权受到限制的资产" helpId="112001235">
      <m:item xlName="_GBC_52ae2d0e78d54772b7a0dc510205909b" concept="clcid-ci-ar:ShiFouShiYongSuoYouQuanHuoShiYongQuanShouDaoXianZhiDeZiChan" label="是否适用：所有权或使用权受到限制的资产" selectOptions="_buildInAppliance" controlType="CustomCheckbox" cRanges="{&quot;StartName&quot;:&quot;_GBC_52ae2d0e78d54772b7a0dc510205909b&quot;,&quot;EndName&quot;:&quot;_GBC_8c900f9a43384e3baa58823305552176&quot;,&quot;CType&quot;:1,&quot;DisplayText&quot;:null}"/>
      <m:item xlName="_GBC_41b1006bd71a4064aa99aa2d8750f726" concept="clcid-ci-ar:DanWeiCaiWuFuZhuSuoYouQuanHuoShiYongQuanShouDaoXianZhiDeZiChan" label="单位：财务附注：所有权或使用权受到限制的资产" selectOptions="_buildInScales" controlType="Combobox" cellType="Scale" appId="_GBC_52ae2d0e78d54772b7a0dc510205909b"/>
      <m:item xlName="_GBC_065bcf44f5b34330834a869f23aa83bc" concept="clcid-ci-ar:BiZhongCaiWuFuZhuSuoYouQuanHuoShiYongQuanShouDaoXianZhiDeZiChan" label="币种：财务附注：所有权或使用权受到限制的资产" selectOptions="_buildInISO4217" controlType="Combobox" cellType="Measure" appId="_GBC_52ae2d0e78d54772b7a0dc510205909b"/>
      <m:placeholder xlName="_PLD_e7174293a57c4a70b40b8a0fb698e34e" addr="T0R0C0S1_1"/>
      <m:placeholder xlName="_PLD_67814dca9df1416c87e0ce7ca03c3bf6" addr="T0R0C1S1_1"/>
      <m:placeholder xlName="_PLD_874205b57d36493284671995a440c448" addr="T0R0C2S1_1"/>
      <m:placeholder xlName="_PLD_ea504ac4c8814083a63e01e1e73c7bb1" addr="T0R1C0S1_1"/>
      <m:item xlName="_GBC_997e479d986f429e835303e5c68160f7" concept="clcid-pte:SuoYouQuanHuoShiYongQuanShouDaoXianZhiDeZiChanZhongHuoBiZiJinJinE" label="所有权或使用权受到限制的资产中货币资金金额" mulRef="_GBC_41b1006bd71a4064aa99aa2d8750f726" unitRef="_GBC_065bcf44f5b34330834a869f23aa83bc" addr="T0R1C1S1_1" formatStyle="Comma" appId="_GBC_52ae2d0e78d54772b7a0dc510205909b"/>
      <m:item xlName="_GBC_85a2d8c8b7c34cfeb14640abb4f80e66" concept="clcid-pte:SuoYouQuanHuoShiYongQuanShouDaoXianZhiDeZiChanZhongHuoBiZiJinShouXianYuanYin" label="所有权或使用权受到限制的资产中货币资金受限原因" addr="T0R1C2S1_1" appId="_GBC_52ae2d0e78d54772b7a0dc510205909b"/>
      <m:placeholder xlName="_PLD_29d7ce9d4f0e46dc8162a37d33a610d9" addr="T0R2C0S1_1"/>
      <m:item xlName="_GBC_e756eda7e8584b58a5b651e3453d7fa7" concept="clcid-pte:SuoYouQuanHuoShiYongQuanShouDaoXianZhiDeZiChanZhongYingShouPiaoJuJinE" label="所有权或使用权受到限制的资产中应收票据金额" mulRef="_GBC_41b1006bd71a4064aa99aa2d8750f726" unitRef="_GBC_065bcf44f5b34330834a869f23aa83bc" addr="T0R2C1S1_1" formatStyle="Comma" appId="_GBC_52ae2d0e78d54772b7a0dc510205909b"/>
      <m:item xlName="_GBC_fdbfad34b7b04a728c485fee34ff4c0e" concept="clcid-pte:SuoYouQuanHuoShiYongQuanShouDaoXianZhiDeZiChanZhongYingShouPiaoJuShouXianYuanYin" label="所有权或使用权受到限制的资产中应收票据受限原因" addr="T0R2C2S1_1" appId="_GBC_52ae2d0e78d54772b7a0dc510205909b"/>
      <m:placeholder xlName="_PLD_afab4a544bf94c1a837389ec2ede9565" addr="T0R3C0S1_1"/>
      <m:item xlName="_GBC_360ca329dc504fce8e7a3f6edb6fbf44" concept="clcid-pte:SuoYouQuanHuoShiYongQuanShouDaoXianZhiDeZiChanZhongCunHuoJinE" label="所有权或使用权受到限制的资产中存货金额" mulRef="_GBC_41b1006bd71a4064aa99aa2d8750f726" unitRef="_GBC_065bcf44f5b34330834a869f23aa83bc" addr="T0R3C1S1_1" formatStyle="Comma" appId="_GBC_52ae2d0e78d54772b7a0dc510205909b"/>
      <m:item xlName="_GBC_40409429d6de49d48969319a6caa7347" concept="clcid-pte:SuoYouQuanHuoShiYongQuanShouDaoXianZhiDeZiChanZhongCunHuoShouXianYuanYin" label="所有权或使用权受到限制的资产中存货受限原因" addr="T0R3C2S1_1" appId="_GBC_52ae2d0e78d54772b7a0dc510205909b"/>
      <m:placeholder xlName="_PLD_366d52197ef54558981550776d6d004d" addr="T0R4C0S1_1"/>
      <m:item xlName="_GBC_acb2981252d24bcaa42953989f93a0e0" concept="clcid-pte:SuoYouQuanHuoShiYongQuanShouDaoXianZhiDeZiChanZhongGuDingZiChanJinE" label="所有权或使用权受到限制的资产中固定资产金额" mulRef="_GBC_41b1006bd71a4064aa99aa2d8750f726" unitRef="_GBC_065bcf44f5b34330834a869f23aa83bc" addr="T0R4C1S1_1" formatStyle="Comma" appId="_GBC_52ae2d0e78d54772b7a0dc510205909b"/>
      <m:item xlName="_GBC_3de3e9493ddf426193a66c147fa87f21" concept="clcid-pte:SuoYouQuanHuoShiYongQuanShouDaoXianZhiDeZiChanZhongGuDingZiChanShouXianYuanYin" label="所有权或使用权受到限制的资产中固定资产受限原因" addr="T0R4C2S1_1" appId="_GBC_52ae2d0e78d54772b7a0dc510205909b"/>
      <m:placeholder xlName="_PLD_3eaf386fa309448faa19910851d581a5" addr="T0R5C0S1_1"/>
      <m:item xlName="_GBC_11ab2ab8e3ba4afaac37af7380687af6" concept="clcid-pte:SuoYouQuanHuoShiYongQuanShouDaoXianZhiDeZiChanZhongWuXingZiChanJinE" label="所有权或使用权受到限制的资产中无形资产金额" mulRef="_GBC_41b1006bd71a4064aa99aa2d8750f726" unitRef="_GBC_065bcf44f5b34330834a869f23aa83bc" addr="T0R5C1S1_1" formatStyle="Comma" appId="_GBC_52ae2d0e78d54772b7a0dc510205909b"/>
      <m:item xlName="_GBC_6c4a886e6ad8423ea8f92c65be950853" concept="clcid-pte:SuoYouQuanHuoShiYongQuanShouDaoXianZhiDeZiChanZhongWuXingZiChanShouXianYuanYin" label="所有权或使用权受到限制的资产中无形资产受限原因" addr="T0R5C2S1_1" appId="_GBC_52ae2d0e78d54772b7a0dc510205909b"/>
      <m:tuple xlName="_GBC_b386bbb44d7a46daaa4b82f327a68c3f" concept="clcid-pte:SuoYouQuanHuoShiYongQuanShouDaoXianZhiDeZiChanMingXi" default_row="2" addr="T0R6C">
        <m:item xlName="_GBC_b3cf15b3772a4c0fa4b67ce2331f0541" concept="clcid-pte:SuoYouQuanHuoShiYongQuanShouDaoXianZhiDeZiChanMingXiXiangMuMingCheng" label="所有权或使用权受到限制的资产明细-项目名称" addr="T0R6C0S1_1" appId="_GBC_52ae2d0e78d54772b7a0dc510205909b"/>
        <m:item xlName="_GBC_656371a98c2b46d5900f7b471eb98a7d" concept="clcid-pte:SuoYouQuanHuoShiYongQuanShouDaoXianZhiDeZiChanMingXiJinE" label="所有权或使用权受到限制的资产明细-金额" mulRef="_GBC_41b1006bd71a4064aa99aa2d8750f726" unitRef="_GBC_065bcf44f5b34330834a869f23aa83bc" addr="T0R6C1S1_1" formatStyle="Comma" appId="_GBC_52ae2d0e78d54772b7a0dc510205909b"/>
        <m:item xlName="_GBC_bd136b298c55446481d52dde11dad411" concept="clcid-pte:SuoYouQuanHuoShiYongQuanShouDaoXianZhiDeZiChanMingXiShouXianYuanYin" label="所有权或使用权受到限制的资产明细-受限原因" addr="T0R6C2S1_1" appId="_GBC_52ae2d0e78d54772b7a0dc510205909b"/>
      </m:tuple>
      <m:placeholder xlName="_PLD_82f734ac5ef74ac0a808bf747f7a4e5a" addr="T0R8C0S1_1"/>
      <m:item xlName="_GBC_147fedb34cae49dba7c15d09bd5d05da" concept="clcid-pte:SuoYouQuanHuoShiYongQuanShouDaoXianZhiDeZiChan" label="所有权或使用权受到限制的资产" mulRef="_GBC_41b1006bd71a4064aa99aa2d8750f726" unitRef="_GBC_065bcf44f5b34330834a869f23aa83bc" addr="T0R8C1S1_1" formatStyle="Comma" appId="_GBC_52ae2d0e78d54772b7a0dc510205909b">
        <m:complexRule comparator="Eq" title="所有权或使用权受到限制的资产" test=" $_GBC_997e479d986f429e835303e5c68160f7 +  $_GBC_e756eda7e8584b58a5b651e3453d7fa7 +  $_GBC_360ca329dc504fce8e7a3f6edb6fbf44 +  $_GBC_acb2981252d24bcaa42953989f93a0e0 +  $_GBC_656371a98c2b46d5900f7b471eb98a7d +  $_GBC_11ab2ab8e3ba4afaac37af7380687af6" id="C1ca8def83cec4c6f8370edf7da2044b1" serialType="1"/>
      </m:item>
      <m:item xlName="_GBC_8c900f9a43384e3baa58823305552176" concept="clcid-pte:SuoYouQuanHuoShiYongQuanShouDaoXianZhiDeZiChanDeQiTaShuoMing" label="所有权或使用权受到限制的资产的其他说明" appId="_GBC_52ae2d0e78d54772b7a0dc510205909b"/>
    </m:section>
    <m:section xlName="_GBC_7a80c9b78caf4e6686905c555fe61f9a" title="外币货币性项目" resetControlTag="true" helpId="112001118" axisType="Column" keyAction="48" keyCode="currency">
      <m:item xlName="_GBC_7b0870ec262840d78495babcff3639aa" concept="clcid-ci-ar:ShiFouShiYongWaiBiHuoBiXingXiangMu" label="是否适用：外币货币性项目" selectOptions="_buildInAppliance" controlType="CustomCheckbox" cRanges="{&quot;StartName&quot;:&quot;_GBC_7b0870ec262840d78495babcff3639aa&quot;,&quot;EndName&quot;:&quot;_GBC_a16b850d98e24762adbee5a1d5628893&quot;,&quot;CType&quot;:1,&quot;DisplayText&quot;:null}"/>
      <m:item xlName="_GBC_52ed5330bd884651892991446f0f1ae0" concept="clcid-ci-ar:DanWeiCaiWuFuZhuWaiBiHuoBiXingXiangMu" label="单位：财务附注：外币货币性项目" selectOptions="_buildInScales" controlType="Combobox" cellType="Scale" appId="_GBC_7b0870ec262840d78495babcff3639aa"/>
      <m:placeholder xlName="_PLD_28ce5153e9cf4914a550a6d253e7c465" addr="T0R0C0S1_1"/>
      <m:placeholder xlName="_PLD_295b6f310e534b62bde0e2c632482ed9" addr="T0R0C1S1_1"/>
      <m:placeholder xlName="_PLD_aa43af2545cb40668f2670b6f1569a92" addr="T0R0C2S1_1"/>
      <m:placeholder xlName="_PLD_8cdd9579b3964f01966c0b0c4cbacb2f" addr="T0R0C3S1_1"/>
      <m:item xlName="_GBC_3e7b744d0e3b4f3daf788a37da9c18b9" defaultRowGroupCount="3" concept="clcid-pte:YiWaiBiHeSuanDeXiangMuMingXiXiangMuMingCheng" label="以外币核算的项目明细-项目名称" selectOptions="fc57f4fbe4844f958280d11fabe8fb08" addr="T0R1C0S1_1" controlType="CellText" tagAction="1" appId="_GBC_7b0870ec262840d78495babcff3639aa"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3abd0f3cfae24ce3a624abd27363e1e1" concept="clcid-pte:YiWaiBiHeSuanDeXiangMuMingXiRenMinBiYuE" label="以外币核算的项目明细-人民币余额" mulRef="_GBC_52ed5330bd884651892991446f0f1ae0" addr="T0R1C3S1_1" formatStyle="Comma" appId="_GBC_7b0870ec262840d78495babcff3639aa" rowGroupKey="外币核算" groupRowType="1" rowGroupTuple="clcid-pte:YiWaiBiHeSuanDeXiangMuMingXi"/>
      <m:tuple xlName="_TUP_969e3a4d4027443f96aa20db7d6840da" concept="clcid-pte:YiWaiBiHeSuanDeBiZhongMingXi" default_row="3" addr="T0R2C">
        <m:item xlName="_GBC_21765b5e64364f62971250478e4ff572" textBefore="其中：" concept="clcid-pte:YiWaiBiHeSuanDeBiZhongMingXiBiZhongMingCheng" label="以外币核算的币种明细-币种名称" selectOptions="cdc05b520d654aa68a7f4c52007fb697" addr="T0R2C0S1_1" controlType="Combobox" tagAction="1" appId="_GBC_7b0870ec262840d78495babcff3639aa"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95f5474d9e25438abcdee27421fbe0aa" concept="clcid-pte:YiWaiBiHeSuanDeBiZhongMingXiWaiBiYuE" label="以外币核算的币种明细-外币余额" mulRef="_GBC_52ed5330bd884651892991446f0f1ae0" addr="T0R2C1S1_1" formatStyle="Comma" appId="_GBC_7b0870ec262840d78495babcff3639aa" rowGroupKey="外币核算" groupRowType="5" rowGroupTuple="clcid-pte:YiWaiBiHeSuanDeXiangMuMingXi"/>
        <m:item xlName="_GBC_50dcc7fc0b95413f8af76fff2505f866" concept="clcid-pte:YiWaiBiHeSuanDeBiZhongMingXiZheSuanHuiLv" label="以外币核算的币种明细-折算汇率" addr="T0R2C2S1_1" formatStyle="Comma" appId="_GBC_7b0870ec262840d78495babcff3639aa" rowGroupKey="外币核算" groupRowType="5" rowGroupTuple="clcid-pte:YiWaiBiHeSuanDeXiangMuMingXi"/>
        <m:item xlName="_GBC_066635d7a70542be8a96f6ed7887ff19" concept="clcid-pte:YiWaiBiHeSuanDeBiZhongMingXiRenMinBiYuE" label="以外币核算的币种明细-人民币余额" mulRef="_GBC_52ed5330bd884651892991446f0f1ae0" addr="T0R2C3S1_1" formatStyle="Comma" appId="_GBC_7b0870ec262840d78495babcff3639aa" rowGroupKey="外币核算" groupRowType="5" rowGroupTuple="clcid-pte:YiWaiBiHeSuanDeXiangMuMingXi"/>
      </m:tuple>
      <m:item xlName="_GBC_a16b850d98e24762adbee5a1d5628893" concept="clcid-pte:WaiBiHuoBiXingXiangMuDeQiTaShuoMing" label="外币货币性项目的其他说明" appId="_GBC_7b0870ec262840d78495babcff3639aa"/>
      <m:item xlName="_GBC_4ad16f5c306d4c6ead144dfd007fb925" concept="clcid-pte:ShiFouShiYongJingWaiJingYingShiTiZhuYaoBaoBiaoXiangMuDeZheSuanHuiLv" label="是否适用：境外经营实体主要报表项目的折算汇率" selectOptions="_buildInAppliance" controlType="CustomCheckbox" cRanges="{&quot;StartName&quot;:&quot;_GBC_4ad16f5c306d4c6ead144dfd007fb925&quot;,&quot;EndName&quot;:&quot;_GBC_4148864437ea4c5bb9934a188232a73c&quot;,&quot;CType&quot;:1,&quot;DisplayText&quot;:null}"/>
      <m:item xlName="_GBC_4148864437ea4c5bb9934a188232a73c" concept="clcid-pte:JingWaiJingYingShiTiZhuYaoBaoBiaoXiangMuDeZheSuanHuiLv" label="境外经营实体主要报表项目的折算汇率" appId="_GBC_4ad16f5c306d4c6ead144dfd007fb925"/>
    </m:section>
    <m:section xlName="_GBC_e37f7bfcfa2f4a9e92bdd5e8593a6fd8" title="按照套期类别披露套期及相关套期工具、被套期风险的相关的定性定" helpId="112001120">
      <m:item xlName="_GBC_bca8fe779ada470c87241e7b3e12387a" concept="clcid-ci-ar:ShiFouShiYongTaoQi" label="是否适用：套期" selectOptions="_buildInAppliance" controlType="CustomCheckbox" cRanges="{&quot;StartName&quot;:&quot;_GBC_bca8fe779ada470c87241e7b3e12387a&quot;,&quot;EndName&quot;:&quot;_GBC_8ef0bd7ba6d74bcda07e9f5021f37fbb&quot;,&quot;CType&quot;:1,&quot;DisplayText&quot;:null}"/>
      <m:item xlName="_GBC_8ef0bd7ba6d74bcda07e9f5021f37fbb" concept="clcid-pte:AnZhaoTaoQiLeiBiePiLuTaoQiJiXiangGuanTaoQiGongJuBeiTaoQiFengXianDeXiangGuanDeDingXingDingLiangXinXi" label="按照套期类别披露套期及相关套期工具、被套期风险的相关的定性定量信息" appId="_GBC_bca8fe779ada470c87241e7b3e12387a"/>
    </m:section>
    <m:section xlName="_SEC_8b247fe8025b433290c47017eb23d965" title="政府补助" helpId="112002267">
      <m:item xlName="_GBC_8a025998848a4a4d930f199d57736e15" concept="clcid-ci-ar:ShiFouShiYongZhengFuBuZhuJiBenQingKuang" label="是否适用：政府补助基本情况" selectOptions="_buildInAppliance" controlType="CustomCheckbox" cRanges="{&quot;StartName&quot;:&quot;_GBC_8a025998848a4a4d930f199d57736e15&quot;,&quot;EndName&quot;:&quot;_GBC_9dc2697190974521a5c2abf7544b4b7b&quot;,&quot;CType&quot;:1,&quot;DisplayText&quot;:null}"/>
      <m:item xlName="_GBC_49d8ad9a78444187ab5ec6859fc38653" concept="clcid-ci-ar:DanWeiZhengFuBuZhuJiBenQingKuang" label="单位：政府补助基本情况" selectOptions="_buildInScales" controlType="Combobox" cellType="Scale" appId="_GBC_8a025998848a4a4d930f199d57736e15"/>
      <m:item xlName="_GBC_6dc43bbe785a4771883308e15c8d77e2" concept="clcid-ci-ar:BiZhongZhengFuBuZhuJiBenQingKuang" label="币种：政府补助基本情况" selectOptions="_buildInISO4217" controlType="Combobox" cellType="Measure" appId="_GBC_8a025998848a4a4d930f199d57736e15"/>
      <m:placeholder xlName="_PLD_20198135e9724233ad4bece3169fd38a" addr="T0R0C0S1_1"/>
      <m:placeholder xlName="_PLD_50674c48b51140b28f91e26b50ec3ca3" addr="T0R0C1S1_1"/>
      <m:placeholder xlName="_PLD_89c889fd1e0e48039263b92a213ea66d" addr="T0R0C2S1_1"/>
      <m:placeholder xlName="_PLD_edddb4c4d0cf4f88861cbb3e2b5c9ca7" addr="T0R0C3S1_1"/>
      <m:tuple xlName="_TUP_6721ef78150942db8758c3d102513424" concept="clcid-pte:ZhengFuBuZhuJiBenQingKuangMingXi" default_row="2" addr="T0R1C">
        <m:item xlName="_GBC_26847384211246b9b04d5ad688880398" concept="clcid-pte:ZhengFuBuZhuJiBenQingKuangMingXiZhongLei" label="政府补助基本情况明细_种类" addr="T0R1C0S1_1" appId="_GBC_8a025998848a4a4d930f199d57736e15"/>
        <m:item xlName="_GBC_631fc39703364b71a97cc715c9692ef8" concept="clcid-pte:ZhengFuBuZhuJiBenQingKuangMingXiJinE" label="政府补助基本情况明细_金额" mulRef="_GBC_49d8ad9a78444187ab5ec6859fc38653" unitRef="_GBC_6dc43bbe785a4771883308e15c8d77e2" addr="T0R1C1S1_1" formatStyle="Comma" appId="_GBC_8a025998848a4a4d930f199d57736e15"/>
        <m:item xlName="_GBC_0a4438b953d044838ed222fd31637482" concept="clcid-pte:ZhengFuBuZhuJiBenQingKuangMingXiLieBaoXiangMu" label="政府补助基本情况明细_列报项目" addr="T0R1C2S1_1" appId="_GBC_8a025998848a4a4d930f199d57736e15"/>
        <m:item xlName="_GBC_9dc2697190974521a5c2abf7544b4b7b" concept="clcid-pte:ZhengFuBuZhuJiBenQingKuangMingXiJiRuDangQiSunYiDeJinE" label="政府补助基本情况明细_计入当期损益的金额" mulRef="_GBC_49d8ad9a78444187ab5ec6859fc38653" unitRef="_GBC_6dc43bbe785a4771883308e15c8d77e2" addr="T0R1C3S1_1" formatStyle="Comma" appId="_GBC_8a025998848a4a4d930f199d57736e15"/>
      </m:tuple>
      <m:item xlName="_GBC_d6d1c427ffcb427184f1234527bb5b16" concept="clcid-ci-ar:ShiFouShiYongZhengFuBuZhuTuiHuiQingKuang" label="是否适用：政府补助退回情况" selectOptions="_buildInAppliance" controlType="CustomCheckbox" cRanges="{&quot;StartName&quot;:&quot;_GBC_d6d1c427ffcb427184f1234527bb5b16&quot;,&quot;EndName&quot;:&quot;_GBC_719fb5f7abf140b285bbb4072849be44&quot;,&quot;CType&quot;:1,&quot;DisplayText&quot;:null}"/>
      <m:item xlName="_GBC_6ad0870aa2504d3baa3dee04e28cbbaa" concept="clcid-ci-ar:DanWeiZhengFuBuZhuTuiHuiQingKuang" label="单位：政府补助退回情况" selectOptions="_buildInScales" controlType="Combobox" cellType="Scale" appId="_GBC_d6d1c427ffcb427184f1234527bb5b16"/>
      <m:item xlName="_GBC_edeed420eb064158ac7cfea964816c65" concept="clcid-ci-ar:BiZhongZhengFuBuZhuTuiHuiQingKuang" label="币种：政府补助退回情况" selectOptions="_buildInISO4217" controlType="Combobox" cellType="Measure" appId="_GBC_d6d1c427ffcb427184f1234527bb5b16"/>
      <m:placeholder xlName="_PLD_05cd2c1246b04f15a056044d7e9232de" addr="T1R0C0S1_1"/>
      <m:placeholder xlName="_PLD_527e29fffec04e598d9f2c02a9dbf0fd" addr="T1R0C1S1_1"/>
      <m:placeholder xlName="_PLD_a54ebd2c488243ab926e25f4607ca3be" addr="T1R0C2S1_1"/>
      <m:tuple xlName="_TUP_550d6c6e9def46089997f136b5905822" concept="clcid-pte:ZhengFuBuZhuTuiHuiQingKuangMingXi" default_row="2" addr="T1R1C">
        <m:item xlName="_GBC_c0df02d595fb4fce922bc1d8a39c2db0" concept="clcid-pte:ZhengFuBuZhuTuiHuiQingKuangMingXiXiangMu" label="政府补助退回情况明细_项目" addr="T1R1C0S1_1" appId="_GBC_d6d1c427ffcb427184f1234527bb5b16"/>
        <m:item xlName="_GBC_a8ccb8e8550041f99a1ba39d6c9582da" concept="clcid-pte:ZhengFuBuZhuTuiHuiQingKuangMingXiJinE" label="政府补助退回情况明细_金额" mulRef="_GBC_6ad0870aa2504d3baa3dee04e28cbbaa" unitRef="_GBC_edeed420eb064158ac7cfea964816c65" addr="T1R1C1S1_1" formatStyle="Comma" appId="_GBC_d6d1c427ffcb427184f1234527bb5b16"/>
        <m:item xlName="_GBC_719fb5f7abf140b285bbb4072849be44" concept="clcid-pte:ZhengFuBuZhuTuiHuiQingKuangMingXiYuanYin" label="政府补助退回情况明细_原因" addr="T1R1C2S1_1" appId="_GBC_d6d1c427ffcb427184f1234527bb5b16"/>
      </m:tuple>
      <m:item xlName="_GBC_f71d7a3695a84c0c9e67640c00a61dad" concept="clcid-pte:ZhengFuBuZhuShuoMing" label="政府补助说明"/>
    </m:section>
    <m:section xlName="_GBC_f027b70d30154df58ffdc310123f3e1f" title="合并财务报表项目注释其他需要说明的事项" helpId="112001122">
      <m:item xlName="_GBC_d9335575f6594653aa8718dc633c644c" concept="clcid-ci-ar:ShiFouShiYongHeBingCaiWuBaoBiaoXiangMuZhuShiQiTaXuYaoShuoMingDeShiXiang" label="是否适用：合并财务报表项目注释其他需要说明的事项" selectOptions="_buildInAppliance" controlType="CustomCheckbox" cRanges="{&quot;StartName&quot;:&quot;_GBC_d9335575f6594653aa8718dc633c644c&quot;,&quot;EndName&quot;:&quot;_GBC_80f37a02cda14573a72e973b2a94432d&quot;,&quot;CType&quot;:1,&quot;DisplayText&quot;:null}"/>
      <m:item xlName="_GBC_80f37a02cda14573a72e973b2a94432d" concept="clcid-pte:HeBingCaiWuBaoBiaoXiangMuZhuShiQiTaXuYaoShuoMingDeShiXiang" label="合并财务报表项目注释其他需要说明的事项" appId="_GBC_d9335575f6594653aa8718dc633c644c"/>
    </m:section>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86ecffe4880149ccb2d960b428bd8d79" concept="clcid-ci-ar:ShiFouShiYongBenQiFaShengDeFeiTongYiKongZhiXiaQiYeHeBing" label="是否适用：本期发生的非同一控制下企业合并" selectOptions="_buildInAppliance" controlType="CustomCheckbox" cRanges="{&quot;StartName&quot;:&quot;_GBC_86ecffe4880149ccb2d960b428bd8d79&quot;,&quot;EndName&quot;:&quot;_GBC_9f52af1a761046fc9cae3b45ad2de483&quot;,&quot;CType&quot;:1,&quot;DisplayText&quot;:null}"/>
      <m:item xlName="_GBC_e485987044bf46d89b1e8cb5cfafd51a" concept="clcid-ci-ar:DanWeiFeiTongYiKongZhiXiaQiYeHeBingQuDeDeZiGongSi" label="单位：非同一控制下企业合并取得的子公司" selectOptions="_buildInScales" controlType="Combobox" cellType="Scale" appId="_GBC_86ecffe4880149ccb2d960b428bd8d79"/>
      <m:item xlName="_GBC_e126454e4f594efc91b7467d929b9731" concept="clcid-ci-ar:BiZhongFeiTongYiKongZhiXiaQiYeHeBingQuDeDeZiGongSi" label="币种：非同一控制下企业合并取得的子公司" selectOptions="_buildInISO4217" controlType="Combobox" cellType="Measure" appId="_GBC_86ecffe4880149ccb2d960b428bd8d79"/>
      <m:placeholder xlName="_PLD_8c2a3aa8cbc54957a614a719496eade0" addr="T0R0C0S1_1"/>
      <m:placeholder xlName="_PLD_9310e8eb3f4b4a4994bae6aa816a49f0" addr="T0R0C1S1_1"/>
      <m:placeholder xlName="_PLD_7d6705daa6ed41c69646f5e7ce71f6dc" addr="T0R0C2S1_1"/>
      <m:placeholder xlName="_PLD_e9f94b51d88f4cf18fbe980b5d881989" addr="T0R0C3S1_1"/>
      <m:placeholder xlName="_PLD_e7ff21191034402c9f2c7a6520ff9aee" addr="T0R0C4S1_1"/>
      <m:placeholder xlName="_PLD_a52ef8d17e9f487b812ae41f2d665800" addr="T0R0C5S1_1"/>
      <m:placeholder xlName="_PLD_0eb7342597574eb1b043a7e34f67567a" addr="T0R0C6S1_1"/>
      <m:placeholder xlName="_PLD_8a922c3f35084a21b4995750c481bcaf" addr="T0R0C7S1_1"/>
      <m:placeholder xlName="_PLD_817a84f6f3074ec1a6c78f49ea2f3142" addr="T0R0C8S1_1"/>
      <m:tuple xlName="_GBC_75cf0138d64c45fe9341d645f310237b" concept="clcid-pte:FeiTongYiKongZhiXiaQiYeHeBingMingXi" default_row="2" addr="T0R1C">
        <m:item xlName="_GBC_c9df9c7b458241138011024dfc88509e" concept="clcid-pte:FeiTongYiKongZhiXiaQiYeHeBingMingXiBeiHeBingFang" label="非同一控制下企业合并明细-被合并方" addr="T0R1C0S1_1" appId="_GBC_86ecffe4880149ccb2d960b428bd8d79"/>
        <m:item xlName="_GBC_fea900ee0cbc4e8e84426d3fd2b6de40" concept="clcid-pte:FeiTongYiKongZhiXiaQiYeHeBingMingXiGuQuanQuDeShiDian" label="非同一控制下企业合并明细-股权取得时点" addr="T0R1C1S1_1" formatStyle="Comma" appId="_GBC_86ecffe4880149ccb2d960b428bd8d79"/>
        <m:item xlName="_GBC_0991237da4dd416382b7515612897a5b" concept="clcid-pte:FeiTongYiKongZhiXiaQiYeHeBingMingXiGuQuanQuDeChengBen" label="非同一控制下企业合并明细-股权取得成本" mulRef="_GBC_e485987044bf46d89b1e8cb5cfafd51a" unitRef="_GBC_e126454e4f594efc91b7467d929b9731" addr="T0R1C2S1_1" formatStyle="Comma" appId="_GBC_86ecffe4880149ccb2d960b428bd8d79"/>
        <m:item xlName="_GBC_2cd7f0d0c88443d5b2997a98d8dd5d99" concept="clcid-pte:FeiTongYiKongZhiXiaQiYeHeBingMingXiGuQuanQuDeBiLi" label="非同一控制下企业合并明细-股权取得比例" addr="T0R1C3S1_1" baseScale="0.01" formatStyle="Comma" appId="_GBC_86ecffe4880149ccb2d960b428bd8d79"/>
        <m:item xlName="_GBC_5fae328a96ea4cc9b155ce2b0a40eefc" concept="clcid-pte:FeiTongYiKongZhiXiaQiYeHeBingMingXiGuQuanQuDeFangShi" label="非同一控制下企业合并明细-股权取得方式" addr="T0R1C4S1_1" appId="_GBC_86ecffe4880149ccb2d960b428bd8d79"/>
        <m:item xlName="_GBC_f999d6b4193643899cbafaf565eaebab" concept="clcid-pte:FeiTongYiKongZhiXiaQiYeHeBingMingXiGouMaiRi" label="非同一控制下企业合并明细-购买日" addr="T0R1C5S1_1" appId="_GBC_86ecffe4880149ccb2d960b428bd8d79" keyAction="38"/>
        <m:item xlName="_GBC_07e8632d2a0043f3a025aca33021e18f" concept="clcid-pte:FeiTongYiKongZhiXiaQiYeHeBingMingXiGouMaiRiDeQueDingYiJu" label="非同一控制下企业合并明细-购买日的确定依据" addr="T0R1C6S1_1" appId="_GBC_86ecffe4880149ccb2d960b428bd8d79"/>
        <m:item xlName="_GBC_a1fdf37742b74a23a9125c17ef0c436b" concept="clcid-pte:FeiTongYiKongZhiXiaQiYeHeBingMingXiGouMaiRiZhiQiMoBeiGouMaiFangDeShouRu" label="非同一控制下企业合并明细-购买日至期末被购买方的收入" mulRef="_GBC_e485987044bf46d89b1e8cb5cfafd51a" unitRef="_GBC_e126454e4f594efc91b7467d929b9731" addr="T0R1C7S1_1" formatStyle="Comma" appId="_GBC_86ecffe4880149ccb2d960b428bd8d79"/>
        <m:item xlName="_GBC_3006da1091104375b414e336b79c7145" concept="clcid-pte:FeiTongYiKongZhiXiaQiYeHeBingMingXiGouMaiRiZhiQiMoBeiGouMaiFangDeJingLiRun" label="非同一控制下企业合并明细-购买日至期末被购买方的净利润" mulRef="_GBC_e485987044bf46d89b1e8cb5cfafd51a" unitRef="_GBC_e126454e4f594efc91b7467d929b9731" addr="T0R1C8S1_1" formatStyle="Comma" appId="_GBC_86ecffe4880149ccb2d960b428bd8d79"/>
      </m:tuple>
      <m:item xlName="_GBC_9f52af1a761046fc9cae3b45ad2de483" concept="clcid-pte:BenQiFaShengDeFeiTongYiKongZhiXiaQiYeHeBingDeQiTaShuoMing" label="本期发生的非同一控制下企业合并的其他说明" appId="_GBC_86ecffe4880149ccb2d960b428bd8d79"/>
    </m:section>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concept="clcid-ci-ar:DanWeiCaiWuFuZhuHeBingChengBenJiShangYu" label="单位：财务附注：合并成本及商誉" selectOptions="_buildInScales" controlType="Combobox" cellType="Scale" appId="_GBC_56d9f6aa774c4776ac65c41472b0a280"/>
    <m:item xlName="_GBC_1d4f1604e6724ad4aa12235f8be81df0"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placeholder xlName="_PLD_90e0a910c2c54a11a6666bf7ea3e769c" addr="T0R0C0S1_1"/>
      <m:item xlName="_GBC_469a7483e3b446c4ac515b62fe192804" concept="clcid-pte:FeiTongYiKongZhiXiaQiYeHeBingChengBenJiShangYuMingXiGongSiMingCheng" label="非同一控制下企业合并成本及商誉明细-公司名称" addr="T0R0C1S1_1" tagAction="1" tupleRef="clcid-pte:FeiTongYiKongZhiXiaQiYeHeBingChengBenJiShangYuMingXi" appId="_GBC_56d9f6aa774c4776ac65c41472b0a280" isCaption="true"/>
      <m:placeholder xlName="_PLD_ffd129825bc84b56819a63052af77f9f" addr="T0R1C0S1_1"/>
      <m:item xlName="_GBC_fa64e73b23884656a4a66116bb4a25b0" concept="clcid-pte:FeiTongYiKongZhiXiaQiYeHeBingChengBenJiShangYuMingXiXianJin" label="非同一控制下企业合并成本及商誉明细-现金" mulRef="_GBC_7dcc905e1cc54d7da6ff3999e09e0f1f" unitRef="_GBC_1d4f1604e6724ad4aa12235f8be81df0" addr="T0R1C1S1_1" formatStyle="Comma" tupleRef="clcid-pte:FeiTongYiKongZhiXiaQiYeHeBingChengBenJiShangYuMingXi" appId="_GBC_56d9f6aa774c4776ac65c41472b0a280"/>
      <m:placeholder xlName="_PLD_9fa50cbcc2cd42889d033d59eb093dd9" addr="T0R2C0S1_1"/>
      <m:item xlName="_GBC_154878afab744c1ab5b6f75ee92c6795" concept="clcid-pte:FeiTongYiKongZhiXiaQiYeHeBingChengBenJiShangYuMingXiFeiXianJinZiChanDeGongYunJiaZhi" label="非同一控制下企业合并成本及商誉明细-非现金资产的公允价值" mulRef="_GBC_7dcc905e1cc54d7da6ff3999e09e0f1f" unitRef="_GBC_1d4f1604e6724ad4aa12235f8be81df0" addr="T0R2C1S1_1" formatStyle="Comma" tupleRef="clcid-pte:FeiTongYiKongZhiXiaQiYeHeBingChengBenJiShangYuMingXi" appId="_GBC_56d9f6aa774c4776ac65c41472b0a280"/>
      <m:placeholder xlName="_PLD_0af7de5f68a9405f89405b001a5979e4" addr="T0R3C0S1_1"/>
      <m:item xlName="_GBC_fb76a1a8097a4eec876fa0686c0236f0" concept="clcid-pte:FeiTongYiKongZhiXiaQiYeHeBingChengBenJiShangYuMingXiFaXingHuoChengDanDeZhaiWuDeGongYunJiaZhi" label="非同一控制下企业合并成本及商誉明细-发行或承担的债务的公允价值" mulRef="_GBC_7dcc905e1cc54d7da6ff3999e09e0f1f" unitRef="_GBC_1d4f1604e6724ad4aa12235f8be81df0" addr="T0R3C1S1_1" formatStyle="Comma" tupleRef="clcid-pte:FeiTongYiKongZhiXiaQiYeHeBingChengBenJiShangYuMingXi" appId="_GBC_56d9f6aa774c4776ac65c41472b0a280"/>
      <m:placeholder xlName="_PLD_4b54569f1b15468e9cd99b4447c42a6b" addr="T0R4C0S1_1"/>
      <m:item xlName="_GBC_20f9dc7c601c443b9d6a85fa9a6f796c" concept="clcid-pte:FeiTongYiKongZhiXiaQiYeHeBingChengBenJiShangYuMingXiFaXingDeQuanYiXingZhengQuanDeGongYunJiaZhi" label="非同一控制下企业合并成本及商誉明细-发行的权益性证券的公允价值" mulRef="_GBC_7dcc905e1cc54d7da6ff3999e09e0f1f" unitRef="_GBC_1d4f1604e6724ad4aa12235f8be81df0" addr="T0R4C1S1_1" formatStyle="Comma" tupleRef="clcid-pte:FeiTongYiKongZhiXiaQiYeHeBingChengBenJiShangYuMingXi" appId="_GBC_56d9f6aa774c4776ac65c41472b0a280"/>
      <m:placeholder xlName="_PLD_b09f27de74ca41d6841f5082ae2b8524" addr="T0R5C0S1_1"/>
      <m:item xlName="_GBC_e119a3d9e83c43f7aaad229a35c4386e" concept="clcid-pte:FeiTongYiKongZhiXiaQiYeHeBingChengBenJiShangYuMingXiHuoYouDuiJiaDeGongYunJiaZhi" label="非同一控制下企业合并成本及商誉明细-或有对价的公允价值" mulRef="_GBC_7dcc905e1cc54d7da6ff3999e09e0f1f" unitRef="_GBC_1d4f1604e6724ad4aa12235f8be81df0" addr="T0R5C1S1_1" formatStyle="Comma" tupleRef="clcid-pte:FeiTongYiKongZhiXiaQiYeHeBingChengBenJiShangYuMingXi" appId="_GBC_56d9f6aa774c4776ac65c41472b0a280"/>
      <m:placeholder xlName="_PLD_529b9bf03b8a46828911ba410b669377" addr="T0R6C0S1_1"/>
      <m:item xlName="_GBC_e748e88b5e954b9aa3eb37bf9e47cb8b" concept="clcid-pte:FeiTongYiKongZhiXiaQiYeHeBingChengBenJiShangYuMingXiGouMaiRiZhiQianChiYouDeGuQuanYuGouMaiRiDeGongYunJiaZhi" label="非同一控制下企业合并成本及商誉明细-购买日之前持有的股权于购买日的公允价值" mulRef="_GBC_7dcc905e1cc54d7da6ff3999e09e0f1f" unitRef="_GBC_1d4f1604e6724ad4aa12235f8be81df0" addr="T0R6C1S1_1" formatStyle="Comma" tupleRef="clcid-pte:FeiTongYiKongZhiXiaQiYeHeBingChengBenJiShangYuMingXi" appId="_GBC_56d9f6aa774c4776ac65c41472b0a280"/>
      <m:placeholder xlName="_PLD_3f58118910054d60835741b5341be0aa" addr="T0R7C0S1_1"/>
      <m:item xlName="_GBC_c3967cd1abd348cfb4c6a38201662cb7" concept="clcid-pte:FeiTongYiKongZhiXiaQiYeHeBingChengBenJiShangYuMingXiQiTa" label="非同一控制下企业合并成本及商誉明细-其他" mulRef="_GBC_7dcc905e1cc54d7da6ff3999e09e0f1f" unitRef="_GBC_1d4f1604e6724ad4aa12235f8be81df0" addr="T0R7C1S1_1" formatStyle="Comma" tupleRef="clcid-pte:FeiTongYiKongZhiXiaQiYeHeBingChengBenJiShangYuMingXi" appId="_GBC_56d9f6aa774c4776ac65c41472b0a280"/>
      <m:placeholder xlName="_PLD_ad494e3b2e714cc89a2ea5ed850f2f44" addr="T0R8C0S1_1"/>
      <m:item xlName="_GBC_a8e1d71290b2400baffeea62eb105cfc" concept="clcid-pte:FeiTongYiKongZhiXiaQiYeHeBingChengBenJiShangYuMingXiHeBingChengBenHeJi" label="非同一控制下企业合并成本及商誉明细-合并成本合计" mulRef="_GBC_7dcc905e1cc54d7da6ff3999e09e0f1f" unitRef="_GBC_1d4f1604e6724ad4aa12235f8be81df0" addr="T0R8C1S1_1" formatStyle="Comma" tupleRef="clcid-pte:FeiTongYiKongZhiXiaQiYeHeBingChengBenJiShangYuMingXi" appId="_GBC_56d9f6aa774c4776ac65c41472b0a280">
        <m:complexRule comparator="Eq" title="非同一控制下企业合并成本及商誉明细-合并成本合计" test=" $_GBC_fa64e73b23884656a4a66116bb4a25b0 +  $_GBC_154878afab744c1ab5b6f75ee92c6795 +  $_GBC_fb76a1a8097a4eec876fa0686c0236f0 +  $_GBC_20f9dc7c601c443b9d6a85fa9a6f796c +  $_GBC_e119a3d9e83c43f7aaad229a35c4386e +  $_GBC_e748e88b5e954b9aa3eb37bf9e47cb8b +  $_GBC_c3967cd1abd348cfb4c6a38201662cb7" id="C2db592b4734844d9ba96b2c348e6e6dd"/>
      </m:item>
      <m:placeholder xlName="_PLD_459d6e4c73d847999eb2c8bd9b403293" addr="T0R9C0S1_1"/>
      <m:item xlName="_GBC_a82f508b9fc04c19933594d33e3870a1" concept="clcid-pte:FeiTongYiKongZhiXiaQiYeHeBingChengBenJiShangYuMingXiQuDeDeKeBianRenJingZiChanGongYunJiaZhiFenE" label="非同一控制下企业合并成本及商誉明细-取得的可辨认净资产公允价值份额" mulRef="_GBC_7dcc905e1cc54d7da6ff3999e09e0f1f" unitRef="_GBC_1d4f1604e6724ad4aa12235f8be81df0" addr="T0R9C1S1_1" formatStyle="Comma" tupleRef="clcid-pte:FeiTongYiKongZhiXiaQiYeHeBingChengBenJiShangYuMingXi" appId="_GBC_56d9f6aa774c4776ac65c41472b0a280"/>
      <m:placeholder xlName="_PLD_83a4ed1b12994814b00d33e954496874" addr="T0R10C0S1_1"/>
      <m:item xlName="_GBC_64e5a7cbb63b4147804f5af6855b21f0"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7dcc905e1cc54d7da6ff3999e09e0f1f" unitRef="_GBC_1d4f1604e6724ad4aa12235f8be81df0" addr="T0R10C1S1_1" formatStyle="Comma" tupleRef="clcid-pte:FeiTongYiKongZhiXiaQiYeHeBingChengBenJiShangYuMingXi" appId="_GBC_56d9f6aa774c4776ac65c41472b0a280">
        <m:complexRule comparator="Eq" title="非同一控制下企业合并成本及商誉明细-商誉或合并成本小于取得的可辨认净资产公允价值份额的金额" test=" $_GBC_a8e1d71290b2400baffeea62eb105cfc -  $_GBC_a82f508b9fc04c19933594d33e3870a1" id="Cb84c10ee777947819c40268b88173edc"/>
      </m:item>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ea5b31de0643497fae5fe7cd77cbb2e1"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56d9f6aa774c4776ac65c41472b0a280"/>
      <m:item xlName="_GBC_6db5d4c7090447f49f6ba9e7d90dcda6" concept="clcid-pte:ShangYuGouChengDeShuoMing" label="商誉构成的说明" appId="_GBC_56d9f6aa774c4776ac65c41472b0a280"/>
      <m:item xlName="_GBC_ec269e60a21f404198a0210772e1ec2d" concept="clcid-pte:FeiTongYiKongZhiXiaQiYeHeBingChengBenJiShangYuDeQiTaShuoMing" label="非同一控制下企业合并成本及商誉的其他说明" appId="_GBC_56d9f6aa774c4776ac65c41472b0a280"/>
    </m:section>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m:item xlName="_GBC_d4fb67d4c1514739bef962c72f680d84" concept="clcid-pte:BeiGouMaiFangYuGouMaiRiKeBianRenZiChanFuZhaiMingXiGongSiMingCheng" label="被购买方于购买日可辨认资产、负债明细-公司名称" addr="T0R0C1S1_2" tagAction="1" tupleRef="clcid-pte:BeiGouMaiFangYuGouMaiRiKeBianRenZiChanFuZhaiMingXi" appId="_GBC_b192e56c8e2242b3bf12a08de6dc76d4" colGroupKey="被购买企业" isCaption="true"/>
      <m:item xlName="_GBC_58fbe0c4801445c1b7ad93b0bde874fc" concept="clcid-pte:BeiGouMaiFangYuGouMaiRiKeBianRenZiChanFuZhaiMingXiGouMaiRiJiaZhiLeiXing" label="被购买方于购买日可辨认资产、负债明细-购买日价值类型" addr="T0R1C1S1_1" formatStyle="Comma" tupleRef="clcid-pte:BeiGouMaiFangYuGouMaiRiKeBianRenZiChanFuZhaiMingXi" appId="_GBC_b192e56c8e2242b3bf12a08de6dc76d4" colGroupKey="被购买企业" groupColType="1" isCaption="true" iterateOptionValue="2"/>
      <m:item xlName="_GBC_b349cefb15ba4d06b4a942d0efc32ba8" concept="clcid-pte:BeiGouMaiFangYuGouMaiRiKeBianRenZiChanFuZhaiMingXiGouMaiRiJiaZhiLeiXing" label="被购买方于购买日可辨认资产、负债明细-购买日价值类型" addr="T0R1C2S1_1" formatStyle="Comma" tupleRef="clcid-pte:BeiGouMaiFangYuGouMaiRiKeBianRenZiChanFuZhaiMingXi" appId="_GBC_b192e56c8e2242b3bf12a08de6dc76d4" colGroupKey="被购买企业" groupColType="5" isCaption="true"/>
      <m:placeholder xlName="_GBC_5d80303e8f2a44ab83c1cb4ae132eb16" fixedColumnWidth="true" addr="T0R2C0S1_1"/>
      <m:item xlName="_GBC_e6631f7028614352aeea0f5da83cac10" concept="clcid-pte:BeiGouMaiFangYuGouMaiRiKeBianRenZiChanFuZhaiMingXiZiChan" label="被购买方于购买日可辨认资产、负债明细-资产" mulRef="_GBC_fe3b0ed5978941cd84d579dc509a4b5e" unitRef="_GBC_83c566a361664b7c893465ef7708f711" addr="T0R2C1S1_1" formatStyle="Comma" tupleRef="clcid-pte:BeiGouMaiFangYuGouMaiRiKeBianRenZiChanFuZhaiMingXi" appId="_GBC_b192e56c8e2242b3bf12a08de6dc76d4" colGroupKey="被购买企业" groupColType="1">
        <m:complexRule comparator="Eq" title="被购买方于购买日可辨认资产、负债明细-资产" test=" $_GBC_1d556236f14345b4b16a7735c478045e +  $_GBC_d9e0966c778b4435a7fc37278025496f +  $_GBC_c915364e09904bc48723feee92fc8860 +  $_GBC_7b02084a888645b1acf84e807694d36b +  $_GBC_c24753be5dce48cb8b50ef7876170fd4 +  $_GBC_d51e495e22e24f78a5a72442e29f3b8c" id="C82f6372f5fb34f2e80d1aa3072c33e9d" serialType="1"/>
      </m:item>
      <m:item xlName="_GBC_8c7d208bb13e4d83872ccdb8290618d0" concept="clcid-pte:BeiGouMaiFangYuGouMaiRiKeBianRenZiChanFuZhaiMingXiZiChan" label="被购买方于购买日可辨认资产、负债明细-资产" mulRef="_GBC_fe3b0ed5978941cd84d579dc509a4b5e" unitRef="_GBC_83c566a361664b7c893465ef7708f711" addr="T0R2C2S1_1" formatStyle="Comma" tupleRef="clcid-pte:BeiGouMaiFangYuGouMaiRiKeBianRenZiChanFuZhaiMingXi" appId="_GBC_b192e56c8e2242b3bf12a08de6dc76d4" colGroupKey="被购买企业" groupColType="5"/>
      <m:placeholder xlName="_PLD_0fc5ba3971cf4118baa44f9220f8f1f8" addr="T0R3C0S1_1"/>
      <m:item xlName="_GBC_1d556236f14345b4b16a7735c478045e" concept="clcid-pte:BeiGouMaiFangYuGouMaiRiKeBianRenZiChanFuZhaiMingXiHuoBiZiJin" label="被购买方于购买日可辨认资产、负债明细-货币资金" mulRef="_GBC_fe3b0ed5978941cd84d579dc509a4b5e" unitRef="_GBC_83c566a361664b7c893465ef7708f711" addr="T0R3C1S1_1" formatStyle="Comma" tupleRef="clcid-pte:BeiGouMaiFangYuGouMaiRiKeBianRenZiChanFuZhaiMingXi" appId="_GBC_b192e56c8e2242b3bf12a08de6dc76d4" colGroupKey="被购买企业" groupColType="1"/>
      <m:item xlName="_GBC_730ba8275404495ba25561254f9c6410" concept="clcid-pte:BeiGouMaiFangYuGouMaiRiKeBianRenZiChanFuZhaiMingXiHuoBiZiJin" label="被购买方于购买日可辨认资产、负债明细-货币资金" mulRef="_GBC_fe3b0ed5978941cd84d579dc509a4b5e" unitRef="_GBC_83c566a361664b7c893465ef7708f711" addr="T0R3C2S1_1" formatStyle="Comma" tupleRef="clcid-pte:BeiGouMaiFangYuGouMaiRiKeBianRenZiChanFuZhaiMingXi" appId="_GBC_b192e56c8e2242b3bf12a08de6dc76d4" colGroupKey="被购买企业" groupColType="5"/>
      <m:placeholder xlName="_PLD_f442e30e685949768a8d8a10360a5e05" addr="T0R4C0S1_1"/>
      <m:item xlName="_GBC_d9e0966c778b4435a7fc37278025496f" concept="clcid-pte:BeiGouMaiFangYuGouMaiRiKeBianRenZiChanFuZhaiMingXiYingShouKuanXiang" label="被购买方于购买日可辨认资产、负债明细-应收款项" mulRef="_GBC_fe3b0ed5978941cd84d579dc509a4b5e" unitRef="_GBC_83c566a361664b7c893465ef7708f711" addr="T0R4C1S1_1" formatStyle="Comma" tupleRef="clcid-pte:BeiGouMaiFangYuGouMaiRiKeBianRenZiChanFuZhaiMingXi" appId="_GBC_b192e56c8e2242b3bf12a08de6dc76d4" colGroupKey="被购买企业" groupColType="1"/>
      <m:item xlName="_GBC_12814a9d2aff4287a01187a662c83992" concept="clcid-pte:BeiGouMaiFangYuGouMaiRiKeBianRenZiChanFuZhaiMingXiYingShouKuanXiang" label="被购买方于购买日可辨认资产、负债明细-应收款项" mulRef="_GBC_fe3b0ed5978941cd84d579dc509a4b5e" unitRef="_GBC_83c566a361664b7c893465ef7708f711" addr="T0R4C2S1_1" formatStyle="Comma" tupleRef="clcid-pte:BeiGouMaiFangYuGouMaiRiKeBianRenZiChanFuZhaiMingXi" appId="_GBC_b192e56c8e2242b3bf12a08de6dc76d4" colGroupKey="被购买企业" groupColType="5"/>
      <m:placeholder xlName="_PLD_66e643b0465b436790ac369f16cc4073" addr="T0R5C0S1_1"/>
      <m:item xlName="_GBC_c915364e09904bc48723feee92fc8860" concept="clcid-pte:BeiGouMaiFangYuGouMaiRiKeBianRenZiChanFuZhaiMingXiCunHuo" label="被购买方于购买日可辨认资产、负债明细-存货" mulRef="_GBC_fe3b0ed5978941cd84d579dc509a4b5e" unitRef="_GBC_83c566a361664b7c893465ef7708f711" addr="T0R5C1S1_1" formatStyle="Comma" tupleRef="clcid-pte:BeiGouMaiFangYuGouMaiRiKeBianRenZiChanFuZhaiMingXi" appId="_GBC_b192e56c8e2242b3bf12a08de6dc76d4" colGroupKey="被购买企业" groupColType="1"/>
      <m:item xlName="_GBC_bf9267cb18414bd5b8cbe74f0bb2a452" concept="clcid-pte:BeiGouMaiFangYuGouMaiRiKeBianRenZiChanFuZhaiMingXiCunHuo" label="被购买方于购买日可辨认资产、负债明细-存货" mulRef="_GBC_fe3b0ed5978941cd84d579dc509a4b5e" unitRef="_GBC_83c566a361664b7c893465ef7708f711" addr="T0R5C2S1_1" formatStyle="Comma" tupleRef="clcid-pte:BeiGouMaiFangYuGouMaiRiKeBianRenZiChanFuZhaiMingXi" appId="_GBC_b192e56c8e2242b3bf12a08de6dc76d4" colGroupKey="被购买企业" groupColType="5"/>
      <m:placeholder xlName="_PLD_7e0cf9e9f8484a1ea70f8fec40bb63f4" addr="T0R6C0S1_1"/>
      <m:item xlName="_GBC_7b02084a888645b1acf84e807694d36b" concept="clcid-pte:BeiGouMaiFangYuGouMaiRiKeBianRenZiChanFuZhaiMingXiGuDingZiChan" label="被购买方于购买日可辨认资产、负债明细-固定资产" mulRef="_GBC_fe3b0ed5978941cd84d579dc509a4b5e" unitRef="_GBC_83c566a361664b7c893465ef7708f711" addr="T0R6C1S1_1" formatStyle="Comma" tupleRef="clcid-pte:BeiGouMaiFangYuGouMaiRiKeBianRenZiChanFuZhaiMingXi" appId="_GBC_b192e56c8e2242b3bf12a08de6dc76d4" colGroupKey="被购买企业" groupColType="1"/>
      <m:item xlName="_GBC_5d4dcfd96c5a42b0bc5b633ee7a98da5" concept="clcid-pte:BeiGouMaiFangYuGouMaiRiKeBianRenZiChanFuZhaiMingXiGuDingZiChan" label="被购买方于购买日可辨认资产、负债明细-固定资产" mulRef="_GBC_fe3b0ed5978941cd84d579dc509a4b5e" unitRef="_GBC_83c566a361664b7c893465ef7708f711" addr="T0R6C2S1_1" formatStyle="Comma" tupleRef="clcid-pte:BeiGouMaiFangYuGouMaiRiKeBianRenZiChanFuZhaiMingXi" appId="_GBC_b192e56c8e2242b3bf12a08de6dc76d4" colGroupKey="被购买企业" groupColType="5"/>
      <m:placeholder xlName="_PLD_0d6d9030f13d41658c1f2807fc7f8a74" addr="T0R7C0S1_1"/>
      <m:item xlName="_GBC_c24753be5dce48cb8b50ef7876170fd4" concept="clcid-pte:BeiGouMaiFangYuGouMaiRiKeBianRenZiChanFuZhaiMingXiWuXingZiChan" label="被购买方于购买日可辨认资产、负债明细-无形资产" mulRef="_GBC_fe3b0ed5978941cd84d579dc509a4b5e" unitRef="_GBC_83c566a361664b7c893465ef7708f711" addr="T0R7C1S1_1" formatStyle="Comma" tupleRef="clcid-pte:BeiGouMaiFangYuGouMaiRiKeBianRenZiChanFuZhaiMingXi" appId="_GBC_b192e56c8e2242b3bf12a08de6dc76d4" colGroupKey="被购买企业" groupColType="1"/>
      <m:item xlName="_GBC_74db3d68b6034cf6bad93edf2e2d2f56" concept="clcid-pte:BeiGouMaiFangYuGouMaiRiKeBianRenZiChanFuZhaiMingXiWuXingZiChan" label="被购买方于购买日可辨认资产、负债明细-无形资产" mulRef="_GBC_fe3b0ed5978941cd84d579dc509a4b5e" unitRef="_GBC_83c566a361664b7c893465ef7708f711" addr="T0R7C2S1_1" formatStyle="Comma" tupleRef="clcid-pte:BeiGouMaiFangYuGouMaiRiKeBianRenZiChanFuZhaiMingXi" appId="_GBC_b192e56c8e2242b3bf12a08de6dc76d4" colGroupKey="被购买企业" groupColType="5"/>
      <m:item xlName="_GBC_78f1e20dfd7a44eca07704e894e49d93" concept="clcid-pte:BeiGouMaiFangYuGouMaiRiKeBianRenZiChanKeMuMingCheng1" label="被购买方于购买日可辨认资产科目名称1" addr="T0R8C0S1_1" tagAction="1" appId="_GBC_b192e56c8e2242b3bf12a08de6dc76d4" isSerialConcept="true" serialDirection="1" isCaption="true" serialDefaultCount="2"/>
      <m:item xlName="_GBC_d51e495e22e24f78a5a72442e29f3b8c" concept="clcid-pte:BeiGouMaiFangYuGouMaiRiKeBianRenZiChanKeMuMingChengJinE1" label="被购买方于购买日可辨认资产科目名称金额1" mulRef="_GBC_fe3b0ed5978941cd84d579dc509a4b5e" unitRef="_GBC_83c566a361664b7c893465ef7708f711" addr="T0R8C1S1_1" tagAction="1" formatStyle="Comma" tupleRef="clcid-pte:BeiGouMaiFangYuGouMaiRiKeBianRenZiChanFuZhaiMingXi" appId="_GBC_b192e56c8e2242b3bf12a08de6dc76d4" colGroupKey="被购买企业" groupColType="1" isSerialConcept="true" serialDirection="1" serialDefaultCount="2"/>
      <m:item xlName="_GBC_a72f7d7905574334939cbb323c57da67" concept="clcid-pte:BeiGouMaiFangYuGouMaiRiKeBianRenZiChanKeMuMingChengJinE1" label="被购买方于购买日可辨认资产科目名称金额1" mulRef="_GBC_fe3b0ed5978941cd84d579dc509a4b5e" unitRef="_GBC_83c566a361664b7c893465ef7708f711" addr="T0R8C2S1_1" tagAction="1" formatStyle="Comma" tupleRef="clcid-pte:BeiGouMaiFangYuGouMaiRiKeBianRenZiChanFuZhaiMingXi" appId="_GBC_b192e56c8e2242b3bf12a08de6dc76d4" colGroupKey="被购买企业" groupColType="5" isSerialConcept="true" serialDirection="1" serialDefaultCount="2"/>
      <m:placeholder xlName="_PLD_daf6849c8015478c89ee15518e19b8bd" addr="T0R9C0S1_1"/>
      <m:item xlName="_GBC_901034f7b19d48fea5120f0b6bb05613" concept="clcid-pte:BeiGouMaiFangYuGouMaiRiKeBianRenZiChanFuZhaiMingXiFuZhai" label="被购买方于购买日可辨认资产、负债明细-负债" mulRef="_GBC_fe3b0ed5978941cd84d579dc509a4b5e" unitRef="_GBC_83c566a361664b7c893465ef7708f711" addr="T0R9C1S1_1" formatStyle="Comma" tupleRef="clcid-pte:BeiGouMaiFangYuGouMaiRiKeBianRenZiChanFuZhaiMingXi" appId="_GBC_b192e56c8e2242b3bf12a08de6dc76d4" colGroupKey="被购买企业" groupColType="1">
        <m:complexRule comparator="Eq" title="被购买方于购买日可辨认资产、负债明细-负债" test=" $_GBC_9ef6233154d841a8b18556c0681cfd91 +  $_GBC_73d600fe62d246548962e6988a75139c +  $_GBC_fe24bc5b88b24e08ad3e118b68314489 +  $_GBC_ec665ce5e8dd4420a27de5c03b05d188" id="C0daab86fad42478c8375d8216322fced" serialType="1"/>
      </m:item>
      <m:item xlName="_GBC_0dbae1f04a9a4259a5307cf206058d66" concept="clcid-pte:BeiGouMaiFangYuGouMaiRiKeBianRenZiChanFuZhaiMingXiFuZhai" label="被购买方于购买日可辨认资产、负债明细-负债" mulRef="_GBC_fe3b0ed5978941cd84d579dc509a4b5e" unitRef="_GBC_83c566a361664b7c893465ef7708f711" addr="T0R9C2S1_1" formatStyle="Comma" tupleRef="clcid-pte:BeiGouMaiFangYuGouMaiRiKeBianRenZiChanFuZhaiMingXi" appId="_GBC_b192e56c8e2242b3bf12a08de6dc76d4" colGroupKey="被购买企业" groupColType="5"/>
      <m:placeholder xlName="_PLD_f63c233f164040789feceafb364ff339" addr="T0R10C0S1_1"/>
      <m:item xlName="_GBC_9ef6233154d841a8b18556c0681cfd91" concept="clcid-pte:BeiGouMaiFangYuGouMaiRiKeBianRenZiChanFuZhaiMingXiJieKuan" label="被购买方于购买日可辨认资产、负债明细-借款" mulRef="_GBC_fe3b0ed5978941cd84d579dc509a4b5e" unitRef="_GBC_83c566a361664b7c893465ef7708f711" addr="T0R10C1S1_1" formatStyle="Comma" tupleRef="clcid-pte:BeiGouMaiFangYuGouMaiRiKeBianRenZiChanFuZhaiMingXi" appId="_GBC_b192e56c8e2242b3bf12a08de6dc76d4" colGroupKey="被购买企业" groupColType="1"/>
      <m:item xlName="_GBC_a3c6d476e5d247cdb08f427253587f04" concept="clcid-pte:BeiGouMaiFangYuGouMaiRiKeBianRenZiChanFuZhaiMingXiJieKuan" label="被购买方于购买日可辨认资产、负债明细-借款" mulRef="_GBC_fe3b0ed5978941cd84d579dc509a4b5e" unitRef="_GBC_83c566a361664b7c893465ef7708f711" addr="T0R10C2S1_1" formatStyle="Comma" tupleRef="clcid-pte:BeiGouMaiFangYuGouMaiRiKeBianRenZiChanFuZhaiMingXi" appId="_GBC_b192e56c8e2242b3bf12a08de6dc76d4" colGroupKey="被购买企业" groupColType="5"/>
      <m:placeholder xlName="_PLD_e3ab4607832d47d98d128c1ebb778789" addr="T0R11C0S1_1"/>
      <m:item xlName="_GBC_73d600fe62d246548962e6988a75139c" concept="clcid-pte:BeiGouMaiFangYuGouMaiRiKeBianRenZiChanFuZhaiMingXiYingFuKuanXiang" label="被购买方于购买日可辨认资产、负债明细-应付款项" mulRef="_GBC_fe3b0ed5978941cd84d579dc509a4b5e" unitRef="_GBC_83c566a361664b7c893465ef7708f711" addr="T0R11C1S1_1" formatStyle="Comma" tupleRef="clcid-pte:BeiGouMaiFangYuGouMaiRiKeBianRenZiChanFuZhaiMingXi" appId="_GBC_b192e56c8e2242b3bf12a08de6dc76d4" colGroupKey="被购买企业" groupColType="1"/>
      <m:item xlName="_GBC_e3149e5182f04acfb0b8af643db47c12" concept="clcid-pte:BeiGouMaiFangYuGouMaiRiKeBianRenZiChanFuZhaiMingXiYingFuKuanXiang" label="被购买方于购买日可辨认资产、负债明细-应付款项" mulRef="_GBC_fe3b0ed5978941cd84d579dc509a4b5e" unitRef="_GBC_83c566a361664b7c893465ef7708f711" addr="T0R11C2S1_1" formatStyle="Comma" tupleRef="clcid-pte:BeiGouMaiFangYuGouMaiRiKeBianRenZiChanFuZhaiMingXi" appId="_GBC_b192e56c8e2242b3bf12a08de6dc76d4" colGroupKey="被购买企业" groupColType="5"/>
      <m:placeholder xlName="_PLD_87ac9342cc484bbca7b24f57ed10fbe3" addr="T0R12C0S1_1"/>
      <m:item xlName="_GBC_fe24bc5b88b24e08ad3e118b68314489" concept="clcid-pte:BeiGouMaiFangYuGouMaiRiKeBianRenZiChanFuZhaiMingXiDiYanSuoDeShuiFuZhai" label="被购买方于购买日可辨认资产、负债明细-递延所得税负债" mulRef="_GBC_fe3b0ed5978941cd84d579dc509a4b5e" unitRef="_GBC_83c566a361664b7c893465ef7708f711" addr="T0R12C1S1_1" formatStyle="Comma" tupleRef="clcid-pte:BeiGouMaiFangYuGouMaiRiKeBianRenZiChanFuZhaiMingXi" appId="_GBC_b192e56c8e2242b3bf12a08de6dc76d4" colGroupKey="被购买企业" groupColType="1"/>
      <m:item xlName="_GBC_f33a2ac30cd24b8b880e9d1cc6559841" concept="clcid-pte:BeiGouMaiFangYuGouMaiRiKeBianRenZiChanFuZhaiMingXiDiYanSuoDeShuiFuZhai" label="被购买方于购买日可辨认资产、负债明细-递延所得税负债" mulRef="_GBC_fe3b0ed5978941cd84d579dc509a4b5e" unitRef="_GBC_83c566a361664b7c893465ef7708f711" addr="T0R12C2S1_1" formatStyle="Comma" tupleRef="clcid-pte:BeiGouMaiFangYuGouMaiRiKeBianRenZiChanFuZhaiMingXi" appId="_GBC_b192e56c8e2242b3bf12a08de6dc76d4" colGroupKey="被购买企业" groupColType="5"/>
      <m:item xlName="_GBC_3fdac5176d054c96826b1316e391834a" concept="clcid-pte:BeiGouMaiFangYuGouMaiRiKeBianRenFuZhaiKeMuMingCheng1" label="被购买方于购买日可辨认负债科目名称1" addr="T0R13C0S1_1" tagAction="1" appId="_GBC_b192e56c8e2242b3bf12a08de6dc76d4" isSerialConcept="true" serialDirection="1" serialDefaultCount="2"/>
      <m:item xlName="_GBC_ec665ce5e8dd4420a27de5c03b05d188" concept="clcid-pte:BeiGouMaiFangYuGouMaiRiKeBianRenFuZhaiKeMuMingChengJinE1" label="被购买方于购买日可辨认负债科目名称金额1" mulRef="_GBC_fe3b0ed5978941cd84d579dc509a4b5e" unitRef="_GBC_83c566a361664b7c893465ef7708f711" addr="T0R13C1S1_1" tagAction="1" formatStyle="Comma" tupleRef="clcid-pte:BeiGouMaiFangYuGouMaiRiKeBianRenZiChanFuZhaiMingXi" appId="_GBC_b192e56c8e2242b3bf12a08de6dc76d4" colGroupKey="被购买企业" groupColType="1" isSerialConcept="true" serialDirection="1" serialDefaultCount="2"/>
      <m:item xlName="_GBC_8902caf41ddc42bd9a806ec934cb8d57" concept="clcid-pte:BeiGouMaiFangYuGouMaiRiKeBianRenFuZhaiKeMuMingChengJinE1" label="被购买方于购买日可辨认负债科目名称金额1" mulRef="_GBC_fe3b0ed5978941cd84d579dc509a4b5e" unitRef="_GBC_83c566a361664b7c893465ef7708f711" addr="T0R13C2S1_1" tagAction="1" formatStyle="Comma" tupleRef="clcid-pte:BeiGouMaiFangYuGouMaiRiKeBianRenZiChanFuZhaiMingXi" appId="_GBC_b192e56c8e2242b3bf12a08de6dc76d4" colGroupKey="被购买企业" groupColType="5" isSerialConcept="true" serialDirection="1" serialDefaultCount="2"/>
      <m:placeholder xlName="_PLD_31f4f78f54f44b42ba45229f2588c644" addr="T0R14C0S1_1"/>
      <m:item xlName="_GBC_07c468902fe64b5b8448155e03051113" concept="clcid-pte:BeiGouMaiFangYuGouMaiRiKeBianRenZiChanFuZhaiMingXiJingZiChan" label="被购买方于购买日可辨认资产、负债明细-净资产" mulRef="_GBC_fe3b0ed5978941cd84d579dc509a4b5e" unitRef="_GBC_83c566a361664b7c893465ef7708f711" addr="T0R14C1S1_1" formatStyle="Comma" tupleRef="clcid-pte:BeiGouMaiFangYuGouMaiRiKeBianRenZiChanFuZhaiMingXi" appId="_GBC_b192e56c8e2242b3bf12a08de6dc76d4" colGroupKey="被购买企业" groupColType="1">
        <m:complexRule comparator="Eq" title="被购买方于购买日可辨认资产、负债明细-净资产" test=" $_GBC_e6631f7028614352aeea0f5da83cac10 -  $_GBC_901034f7b19d48fea5120f0b6bb05613" id="C27723124ae07483285ffd767877efdda"/>
      </m:item>
      <m:item xlName="_GBC_4a360e8ff28943859c0185076e2ef2fe" concept="clcid-pte:BeiGouMaiFangYuGouMaiRiKeBianRenZiChanFuZhaiMingXiJingZiChan" label="被购买方于购买日可辨认资产、负债明细-净资产" mulRef="_GBC_fe3b0ed5978941cd84d579dc509a4b5e" unitRef="_GBC_83c566a361664b7c893465ef7708f711" addr="T0R14C2S1_1" formatStyle="Comma" tupleRef="clcid-pte:BeiGouMaiFangYuGouMaiRiKeBianRenZiChanFuZhaiMingXi" appId="_GBC_b192e56c8e2242b3bf12a08de6dc76d4" colGroupKey="被购买企业" groupColType="5"/>
      <m:placeholder xlName="_PLD_27db97bb2e9e4ed29f664661ab32633e" addr="T0R15C0S1_1"/>
      <m:item xlName="_GBC_032cd254403e4c259983e94b227d1e5f" concept="clcid-pte:BeiGouMaiFangYuGouMaiRiKeBianRenZiChanFuZhaiMingXiShaoShuGuDongQuanYi" label="被购买方于购买日可辨认资产、负债明细-少数股东权益" mulRef="_GBC_fe3b0ed5978941cd84d579dc509a4b5e" unitRef="_GBC_83c566a361664b7c893465ef7708f711" addr="T0R15C1S1_1" formatStyle="Comma" tupleRef="clcid-pte:BeiGouMaiFangYuGouMaiRiKeBianRenZiChanFuZhaiMingXi" appId="_GBC_b192e56c8e2242b3bf12a08de6dc76d4" colGroupKey="被购买企业" groupColType="1"/>
      <m:item xlName="_GBC_393bb00decf34a0ba8dbcd87bd950539" concept="clcid-pte:BeiGouMaiFangYuGouMaiRiKeBianRenZiChanFuZhaiMingXiShaoShuGuDongQuanYi" label="被购买方于购买日可辨认资产、负债明细-少数股东权益" mulRef="_GBC_fe3b0ed5978941cd84d579dc509a4b5e" unitRef="_GBC_83c566a361664b7c893465ef7708f711" addr="T0R15C2S1_1" formatStyle="Comma" tupleRef="clcid-pte:BeiGouMaiFangYuGouMaiRiKeBianRenZiChanFuZhaiMingXi" appId="_GBC_b192e56c8e2242b3bf12a08de6dc76d4" colGroupKey="被购买企业" groupColType="5"/>
      <m:placeholder xlName="_PLD_7551e2dca54c417abfe6eda16c3c98be" addr="T0R16C0S1_1"/>
      <m:item xlName="_GBC_f603dbc89ca14b81aaaa63811607f846" concept="clcid-pte:BeiGouMaiFangYuGouMaiRiKeBianRenZiChanFuZhaiMingXiQuDeDeJingZiChan" label="被购买方于购买日可辨认资产、负债明细-取得的净资产" mulRef="_GBC_fe3b0ed5978941cd84d579dc509a4b5e" unitRef="_GBC_83c566a361664b7c893465ef7708f711" addr="T0R16C1S1_1" formatStyle="Comma" tupleRef="clcid-pte:BeiGouMaiFangYuGouMaiRiKeBianRenZiChanFuZhaiMingXi" appId="_GBC_b192e56c8e2242b3bf12a08de6dc76d4" colGroupKey="被购买企业" groupColType="1">
        <m:complexRule comparator="Eq" title="被购买方于购买日可辨认资产、负债明细-取得的净资产" test=" $_GBC_07c468902fe64b5b8448155e03051113 -  $_GBC_032cd254403e4c259983e94b227d1e5f" id="C95fa83d82fa947b5b61364a9c89145a4"/>
      </m:item>
      <m:item xlName="_GBC_44c16a19089244d38319dd2c626060bc" concept="clcid-pte:BeiGouMaiFangYuGouMaiRiKeBianRenZiChanFuZhaiMingXiQuDeDeJingZiChan" label="被购买方于购买日可辨认资产、负债明细-取得的净资产" mulRef="_GBC_fe3b0ed5978941cd84d579dc509a4b5e" unitRef="_GBC_83c566a361664b7c893465ef7708f711" addr="T0R16C2S1_1" formatStyle="Comma" tupleRef="clcid-pte:BeiGouMaiFangYuGouMaiRiKeBianRenZiChanFuZhaiMingXi" appId="_GBC_b192e56c8e2242b3bf12a08de6dc76d4" colGroupKey="被购买企业" groupColType="5"/>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item xlName="_GBC_45e7c286832e451897a1af3914036802" concept="clcid-pte:KeBianRenZiChanFuZhaiGongYunJiaZhiDeQueDingFangFa" label="可辨认资产、负债公允价值的确定方法" appId="_GBC_b192e56c8e2242b3bf12a08de6dc76d4"/>
      <m:item xlName="_GBC_474a94bc8d6940a487785a6accd26b87" concept="clcid-pte:QiYeHeBingZhongChengDanDeBeiGouMaiFangDeHuoYouFuZhai" label="企业合并中承担的被购买方的或有负债" appId="_GBC_b192e56c8e2242b3bf12a08de6dc76d4"/>
      <m:item xlName="_GBC_dd8b59b904e64ba0bb442dee8b4568e6" concept="clcid-pte:BeiGouMaiFangYuGouMaiRiKeBianRenZiChanFuZhaiDeQiTaShuoMing" label="被购买方于购买日可辨认资产、负债的其他说明" appId="_GBC_b192e56c8e2242b3bf12a08de6dc76d4"/>
    </m:section>
    <m:section xlName="_GBC_c06b2dfb69424beba587aec68ad18063" title="购买日之前持有的股权按照公允价值重新计量产生的利得或损失" helpId="112001130">
      <m:item xlName="_GBC_5e89e7cd9baa4cf1adc884c8dae9fbee"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5e89e7cd9baa4cf1adc884c8dae9fbee&quot;,&quot;EndName&quot;:&quot;_GBC_2c7a71a1d0aa4658b4df7bdcfa5e54e3&quot;,&quot;CType&quot;:1,&quot;DisplayText&quot;:null}"/>
      <m:item xlName="_GBC_870b37f7f10540ada68dca6886952a47"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5e89e7cd9baa4cf1adc884c8dae9fbee"/>
      <m:item xlName="_GBC_6626cec0e7cf4f709a2626556d9ff9d4"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5e89e7cd9baa4cf1adc884c8dae9fbee"/>
      <m:placeholder xlName="_PLD_19bbf155da164dbdbe3a369a3cd6c6c4" addr="T0R0C0S1_1"/>
      <m:placeholder xlName="_PLD_85e06e03028c4daa8096f204eedbdea0" addr="T0R0C1S1_1"/>
      <m:placeholder xlName="_PLD_c507779d62174643b2cbe80e79bd1998" addr="T0R0C2S1_1"/>
      <m:placeholder xlName="_PLD_3262c477521d43ed89bcc4a633b133c2" addr="T0R0C3S1_1"/>
      <m:placeholder xlName="_PLD_a532b5da3cc6497990737995215f3a23" addr="T0R0C4S1_1"/>
      <m:placeholder xlName="_PLD_fd039f6c80414b5382c11ae05708fcef" addr="T0R0C5S1_1"/>
      <m:tuple xlName="_GBC_595d40b13409465fbc1ba5ba0f08da0a" concept="clcid-pte:GouMaiRiZhiQianChiYouDeGuQuanAnZhaoGongYunJiaZhiZhongXinJiLiangChanShengDeLiDeHuoSunShiMingXi" default_row="2" addr="T0R1C">
        <m:item xlName="_GBC_ecd51cbe6f67463292fced87906a1dc3" concept="clcid-pte:GouMaiRiZhiQianChiYouDeGuQuanAnZhaoGongYunJiaZhiZhongXinJiLiangChanShengDeLiDeHuoSunShiMingXiBeiGouMaiFangMingCheng" label="购买日之前持有的股权按照公允价值重新计量产生的利得或损失明细-被购买方名称" addr="T0R1C0S1_1" appId="_GBC_5e89e7cd9baa4cf1adc884c8dae9fbee"/>
        <m:item xlName="_GBC_c5fec10ab8b8480bb4556d0a2ec02e3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870b37f7f10540ada68dca6886952a47" unitRef="_GBC_6626cec0e7cf4f709a2626556d9ff9d4" addr="T0R1C1S1_1" formatStyle="Comma" appId="_GBC_5e89e7cd9baa4cf1adc884c8dae9fbee"/>
        <m:item xlName="_GBC_2056b51b8a8d424eb7b9e67959002e5e"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870b37f7f10540ada68dca6886952a47" unitRef="_GBC_6626cec0e7cf4f709a2626556d9ff9d4" addr="T0R1C2S1_1" formatStyle="Comma" appId="_GBC_5e89e7cd9baa4cf1adc884c8dae9fbee"/>
        <m:item xlName="_GBC_07305bc3926f4ac19ede9412320f6223"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870b37f7f10540ada68dca6886952a47" unitRef="_GBC_6626cec0e7cf4f709a2626556d9ff9d4" addr="T0R1C3S1_1" formatStyle="Comma" appId="_GBC_5e89e7cd9baa4cf1adc884c8dae9fbee"/>
        <m:item xlName="_GBC_ba60c14bcb784756b2c748e5f566dfef"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5e89e7cd9baa4cf1adc884c8dae9fbee"/>
        <m:item xlName="_GBC_39a258f0228b492584c871896539d210"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870b37f7f10540ada68dca6886952a47" unitRef="_GBC_6626cec0e7cf4f709a2626556d9ff9d4" addr="T0R1C5S1_1" formatStyle="Comma" appId="_GBC_5e89e7cd9baa4cf1adc884c8dae9fbee"/>
      </m:tuple>
      <m:item xlName="_GBC_2c7a71a1d0aa4658b4df7bdcfa5e54e3" concept="clcid-pte:GouMaiRiZhiQianChiYouDeGuQuanAnZhaoGongYunJiaZhiZhongXinJiLiangChanShengDeLiDeHuoSunShiDeQiTaShuoMing" label="购买日之前持有的股权按照公允价值重新计量产生的利得或损失的其他说明" appId="_GBC_5e89e7cd9baa4cf1adc884c8dae9fbee"/>
    </m:section>
    <m:section xlName="_GBC_fec890c9a924410f898d02e5323920ad" title="购买日或合并当期期末无法合理确定合并对价或被购买方可辨认资产..." helpId="112001131">
      <m:item xlName="_GBC_e8a75ceb0d7e4c35bfc03d5c6782889f"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e8a75ceb0d7e4c35bfc03d5c6782889f&quot;,&quot;EndName&quot;:&quot;_GBC_7e6e5e19d7784e1fa5cdb0811c203af5&quot;,&quot;CType&quot;:1,&quot;DisplayText&quot;:null}"/>
      <m:item xlName="_GBC_7e6e5e19d7784e1fa5cdb0811c203af5" concept="clcid-pte:GouMaiRiHuoHeBingDangQiQiMoWuFaHeLiQueDingHeBingDuiJiaHuoBeiGouMaiFangKeBianRenZiChanFuZhaiGongYunJiaZhiDeShuoMing" label="购买日或合并当期期末无法合理确定合并对价或被购买方可辨认资产、负债公允价值的说明" appId="_GBC_e8a75ceb0d7e4c35bfc03d5c6782889f"/>
    </m:section>
    <m:section xlName="_GBC_a8e368f1c89042528538f003b17f5f6e" title="非同一控制下企业合并其他说明">
      <m:item xlName="_GBC_ab58bf6b03504b3d88a49a138127fd98" concept="clcid-ci-ar:ShiFouShiYongFeiTongYiKongZhiXiaQiYeHeBingQiTaXuYaoShuoMingDeShiXiang" label="是否适用：非同一控制下企业合并其他需要说明的事项" selectOptions="_buildInAppliance" controlType="CustomCheckbox" cRanges="{&quot;StartName&quot;:&quot;_GBC_ab58bf6b03504b3d88a49a138127fd98&quot;,&quot;EndName&quot;:&quot;_GBC_104861340b8d4887a133f4a5c2fbf12c&quot;,&quot;CType&quot;:1,&quot;DisplayText&quot;:null}"/>
      <m:item xlName="_GBC_104861340b8d4887a133f4a5c2fbf12c" concept="clcid-pte:FeiTongYiKongZhiXiaQiYeHeBingQiTaXuYaoShuoMingDeShiXiang" label="非同一控制下企业合并其他需要说明的事项" appId="_GBC_ab58bf6b03504b3d88a49a138127fd98"/>
    </m:section>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ab717a33fda94a748576343d4e39503a" concept="clcid-ci-ar:ShiFouShiYongBenQiFaShengDeTongYiKongZhiXiaQiYeHeBing" label="是否适用：本期发生的同一控制下企业合并" selectOptions="_buildInAppliance" controlType="CustomCheckbox" cRanges="{&quot;StartName&quot;:&quot;_GBC_ab717a33fda94a748576343d4e39503a&quot;,&quot;EndName&quot;:&quot;_GBC_f3ef1d038fce470195b040e165806239&quot;,&quot;CType&quot;:1,&quot;DisplayText&quot;:null}"/>
      <m:item xlName="_GBC_7ef60e31a04244d2a76ac88954f51f4f" concept="clcid-ci-ar:DanWeiFaShengDeTongYiKongZhiXiaQiYeHeBing" label="单位：发生的同一控制下企业合并" selectOptions="_buildInScales" controlType="Combobox" cellType="Scale" appId="_GBC_ab717a33fda94a748576343d4e39503a"/>
      <m:item xlName="_GBC_50b99d3e8cf64b3692d016bffc27b738" concept="clcid-ci-ar:BiZhongFaShengDeTongYiKongZhiXiaQiYeHeBing" label="币种：发生的同一控制下企业合并" selectOptions="_buildInISO4217" controlType="Combobox" cellType="Measure" appId="_GBC_ab717a33fda94a748576343d4e39503a"/>
      <m:placeholder xlName="_PLD_9a84fe6700be4529b42f0630c100bad5" addr="T0R0C0S1_1"/>
      <m:placeholder xlName="_PLD_772aef6b3bd84e969cbfe004eb90ca3b" addr="T0R0C1S1_1"/>
      <m:placeholder xlName="_PLD_3a04f8c07ff744338399a3511fdf71fa" addr="T0R0C2S1_1"/>
      <m:placeholder xlName="_PLD_bb612cba2f114eeda591ffa8ae7dada7" addr="T0R0C3S1_1"/>
      <m:placeholder xlName="_PLD_4518c5d955a84fd8a528d31cc027d2e6" addr="T0R0C4S1_1"/>
      <m:placeholder xlName="_PLD_7b627338651f44ef90f335007680658b" addr="T0R0C5S1_1"/>
      <m:placeholder xlName="_PLD_ea59e2277ab54ec7b1674071fa42bb90" addr="T0R0C6S1_1"/>
      <m:placeholder xlName="_PLD_a9cadced78ac49dfab0e472f98b845d8" addr="T0R0C7S1_1"/>
      <m:placeholder xlName="_PLD_758fb76e2b7c4a3cbe8ac72cc1402762" addr="T0R0C8S1_1"/>
      <m:tuple xlName="_GBC_3f64a9f2034f48e58accc710fc184e52" concept="clcid-pte:TongYiKongZhiXiaQiYeHeBingMingXi" default_row="2" addr="T0R1C">
        <m:item xlName="_GBC_2a2c8580b9554f03ae796f326e18f8bf" concept="clcid-pte:TongYiKongZhiXiaQiYeHeBingMingXiBeiHeBingFang" label="同一控制下企业合并明细-被合并方" addr="T0R1C0S1_1" appId="_GBC_ab717a33fda94a748576343d4e39503a"/>
        <m:item xlName="_GBC_7c1bf6cc70054d0194b9d72de348e4c6" concept="clcid-pte:TongYiKongZhiXiaQiYeHeBingMingXiQiYeHeBingZhongQuDeDeQuanYiBiLi" label="同一控制下企业合并明细-企业合并中取得的权益比例" addr="T0R1C1S1_1" baseScale="0.01" formatStyle="Comma" appId="_GBC_ab717a33fda94a748576343d4e39503a"/>
        <m:item xlName="_GBC_a280b391f27146dcb4688e4de4c5af4c" concept="clcid-pte:TongYiKongZhiXiaQiYeHeBingMingXiPanDuanYiJu" label="同一控制下企业合并明细-判断依据" addr="T0R1C2S1_1" appId="_GBC_ab717a33fda94a748576343d4e39503a"/>
        <m:item xlName="_GBC_b722d24a888d41929785a40f2c9058c9" concept="clcid-pte:TongYiKongZhiXiaQiYeHeBingMingXiHeBingRi" label="同一控制下企业合并明细-合并日" addr="T0R1C3S1_1" appId="_GBC_ab717a33fda94a748576343d4e39503a" keyAction="38"/>
        <m:item xlName="_GBC_a2fe981a98104edaa7a929efe13df9ec" concept="clcid-pte:TongYiKongZhiXiaQiYeHeBingMingXiHeBingRiDeQueDingYiJu" label="同一控制下企业合并明细-合并日的确定依据" addr="T0R1C4S1_1" appId="_GBC_ab717a33fda94a748576343d4e39503a"/>
        <m:item xlName="_GBC_4cf4d147e8fe4be09e9bfe3549f6ef84" concept="clcid-pte:TongYiKongZhiXiaQiYeHeBingMingXiShouRu" label="同一控制下企业合并明细-收入" mulRef="_GBC_7ef60e31a04244d2a76ac88954f51f4f" unitRef="_GBC_50b99d3e8cf64b3692d016bffc27b738" addr="T0R1C5S1_1" formatStyle="Comma" appId="_GBC_ab717a33fda94a748576343d4e39503a"/>
        <m:item xlName="_GBC_916c09ec1f334fbc94450759041307d9" concept="clcid-pte:TongYiKongZhiXiaQiYeHeBingMingXiJingLiRun" label="同一控制下企业合并明细-净利润" mulRef="_GBC_7ef60e31a04244d2a76ac88954f51f4f" unitRef="_GBC_50b99d3e8cf64b3692d016bffc27b738" addr="T0R1C6S1_1" formatStyle="Comma" appId="_GBC_ab717a33fda94a748576343d4e39503a"/>
        <m:item xlName="_GBC_1d8d3026959f4e6290820877c5defdaa" concept="clcid-pte:TongYiKongZhiXiaQiYeHeBingMingXiBiJiaoQiJianBeiHeBingFangDeShouRu" label="同一控制下企业合并明细-比较期间被合并方的收入" mulRef="_GBC_7ef60e31a04244d2a76ac88954f51f4f" unitRef="_GBC_50b99d3e8cf64b3692d016bffc27b738" addr="T0R1C7S1_1" formatStyle="Comma" appId="_GBC_ab717a33fda94a748576343d4e39503a"/>
        <m:item xlName="_GBC_d838694b4bd540d38d885b130e113db6" concept="clcid-pte:TongYiKongZhiXiaQiYeHeBingMingXiBiJiaoQiJianBeiHeBingFangDeJingLiRun" label="同一控制下企业合并明细-比较期间被合并方的净利润" mulRef="_GBC_7ef60e31a04244d2a76ac88954f51f4f" unitRef="_GBC_50b99d3e8cf64b3692d016bffc27b738" addr="T0R1C8S1_1" formatStyle="Comma" appId="_GBC_ab717a33fda94a748576343d4e39503a"/>
      </m:tuple>
      <m:item xlName="_GBC_f3ef1d038fce470195b040e165806239" concept="clcid-pte:TongYiKongZhiXiaQiYeHeBingDeShuoMing" label="同一控制下企业合并的说明" appId="_GBC_ab717a33fda94a748576343d4e39503a"/>
    </m:section>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concept="clcid-ci-ar:DanWeiHeBingChengBen" label="单位：合并成本" selectOptions="_buildInScales" controlType="Combobox" cellType="Scale" appId="_GBC_1e3feddd46da4a95805d8f480f4c84d9"/>
    <m:item xlName="_GBC_f6f12759e0c84fb0a180a147cec7432e" concept="clcid-ci-ar:BiZhongHeBingChengBen" label="币种：合并成本" selectOptions="_buildInISO4217" controlType="Combobox" cellType="Measure" appId="_GBC_1e3feddd46da4a95805d8f480f4c84d9"/>
    <m:section xlName="_GBC_e51629db13fd46dd9d30ae3e3729cd68" title="合并成本" repeatable="1" helpId="112001133">
      <m:placeholder xlName="_PLD_c2594d5f6b59411381c833ffaa91415b" addr="T0R0C0S1_1"/>
      <m:item xlName="_GBC_caee3afd0e4e48af9069011dfbbfced0" concept="clcid-pte:TongYiKongZhiXiaQiYeHeBingChengBenMingXiGongSiMingCheng" label="同一控制下企业合并成本明细-公司名称" addr="T0R0C1S1_1" tagAction="1" tupleRef="clcid-pte:TongYiKongZhiXiaQiYeHeBingChengBenMingXi" appId="_GBC_1e3feddd46da4a95805d8f480f4c84d9" isCaption="true"/>
      <m:placeholder xlName="_PLD_0abf838490f54a93b897f4416517f03b" addr="T0R1C0S1_1"/>
      <m:item xlName="_GBC_0dbd4cd3e7154d28af26b565088f92c0" concept="clcid-pte:TongYiKongZhiXiaQiYeHeBingChengBenMingXiXianJin" label="同一控制下企业合并成本明细-现金" mulRef="_GBC_b32867fe2f6f4a26bbf31a8eed01cc85" unitRef="_GBC_f6f12759e0c84fb0a180a147cec7432e" addr="T0R1C1S1_1" formatStyle="Comma" tupleRef="clcid-pte:TongYiKongZhiXiaQiYeHeBingChengBenMingXi" appId="_GBC_1e3feddd46da4a95805d8f480f4c84d9"/>
      <m:placeholder xlName="_PLD_1e1cd0fab2b44be4a2af6a95aeb5c48d" addr="T0R2C0S1_1"/>
      <m:item xlName="_GBC_326a61c756c343deaa72c4a224ed9af1" concept="clcid-pte:TongYiKongZhiXiaQiYeHeBingChengBenMingXiFeiXianJinZiChanDeZhangMianJiaZhi" label="同一控制下企业合并成本明细-非现金资产的账面价值" mulRef="_GBC_b32867fe2f6f4a26bbf31a8eed01cc85" unitRef="_GBC_f6f12759e0c84fb0a180a147cec7432e" addr="T0R2C1S1_1" formatStyle="Comma" tupleRef="clcid-pte:TongYiKongZhiXiaQiYeHeBingChengBenMingXi" appId="_GBC_1e3feddd46da4a95805d8f480f4c84d9"/>
      <m:placeholder xlName="_PLD_9fe47a30767c4fb682f4e4915db10915" addr="T0R3C0S1_1"/>
      <m:item xlName="_GBC_55af9549c0f7451ca8efa80b79d5adf4" concept="clcid-pte:TongYiKongZhiXiaQiYeHeBingChengBenMingXiFaXingHuoChengDanDeZhaiWuDeZhangMianJiaZhi" label="同一控制下企业合并成本明细-发行或承担的债务的账面价值" mulRef="_GBC_b32867fe2f6f4a26bbf31a8eed01cc85" unitRef="_GBC_f6f12759e0c84fb0a180a147cec7432e" addr="T0R3C1S1_1" formatStyle="Comma" tupleRef="clcid-pte:TongYiKongZhiXiaQiYeHeBingChengBenMingXi" appId="_GBC_1e3feddd46da4a95805d8f480f4c84d9"/>
      <m:placeholder xlName="_PLD_a71f6c3158ec4043ad076b10227cdc82" addr="T0R4C0S1_1"/>
      <m:item xlName="_GBC_7a73fbd3210d4d44a39c7e51ccb6cedc" concept="clcid-pte:TongYiKongZhiXiaQiYeHeBingChengBenMingXiFaXingDeQuanYiXingZhengQuanDeMianZhi" label="同一控制下企业合并成本明细-发行的权益性证券的面值" mulRef="_GBC_b32867fe2f6f4a26bbf31a8eed01cc85" unitRef="_GBC_f6f12759e0c84fb0a180a147cec7432e" addr="T0R4C1S1_1" formatStyle="Comma" tupleRef="clcid-pte:TongYiKongZhiXiaQiYeHeBingChengBenMingXi" appId="_GBC_1e3feddd46da4a95805d8f480f4c84d9"/>
      <m:placeholder xlName="_PLD_910fbb0b17e94a0ab3339b75b5766890" addr="T0R5C0S1_1"/>
      <m:item xlName="_GBC_cc9863686ec74433858e735a0357b9b3" concept="clcid-pte:TongYiKongZhiXiaQiYeHeBingChengBenMingXiHuoYouDuiJia" label="同一控制下企业合并成本明细-或有对价" mulRef="_GBC_b32867fe2f6f4a26bbf31a8eed01cc85" unitRef="_GBC_f6f12759e0c84fb0a180a147cec7432e" addr="T0R5C1S1_1" formatStyle="Comma" tupleRef="clcid-pte:TongYiKongZhiXiaQiYeHeBingChengBenMingXi" appId="_GBC_1e3feddd46da4a95805d8f480f4c84d9"/>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f205ab3df7b04449a9db4e898dcef9a3" concept="clcid-pte:HuoYouDuiJiaJiQiBianDongDeShuoMing" label="或有对价及其变动的说明" helpText="注：以前期间发生的企业合并相关或有对价的变动及其原因应在或有对价形成的资产、负债项目中予以说明。" appId="_GBC_1e3feddd46da4a95805d8f480f4c84d9"/>
      <m:item xlName="_GBC_a0ee203625d34810a8524893f5e0e4f2" concept="clcid-pte:TongYiKongZhiXiaQiYeHeBingChengBenDeShuoMing" label="同一控制下企业合并成本的说明" appId="_GBC_1e3feddd46da4a95805d8f480f4c84d9"/>
    </m:section>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placeholder xlName="_PLD_58114727e83841f2bafd80742d24a9c1" addr="T0R0C0S2_1"/>
      <m:item xlName="_GBC_6ca427c99fac4bb4bd87047863e2e941" concept="clcid-pte:BeiHeBingFangDeZiChanFuZhaiMingXiGongSiMingCheng" label="被合并方的资产、负债明细-公司名称" addr="T0R0C1S1_2" tagAction="1" tupleRef="clcid-pte:BeiHeBingFangDeZiChanFuZhaiMingXi" appId="_GBC_b46a615b0ac64c019a83debe19fe4c1c" colGroupKey="被合并企业" isCaption="true"/>
      <m:placeholder xlName="_PLD_bd87a9dc13f44667ad89e5ec106dd289" addr="T0R1C1S1_1"/>
      <m:placeholder xlName="_PLD_cedec14f78fa454eb6bbd2c6d79b0750" addr="T0R1C2S1_1"/>
      <m:placeholder xlName="_PLD_08138cc5241b466a9f983bdc31dd6bee" addr="T0R2C0S1_1"/>
      <m:item xlName="_GBC_9c167d25a865496bb831f69c0d307c81" concept="clcid-pte:BeiHeBingFangDeZiChanFuZhaiMingXiZiChan" label="被合并方的资产、负债明细-资产" mulRef="_GBC_1e8d25398f6745efac6012e964de837a" unitRef="_GBC_80b9c60fc85e443f9c97e5d91db031a4" addr="T0R2C1S1_1" formatStyle="Comma" tupleRef="clcid-pte:BeiHeBingFangDeZiChanFuZhaiMingXi" appId="_GBC_b46a615b0ac64c019a83debe19fe4c1c" colGroupKey="被合并企业" groupColType="1">
        <m:complexRule comparator="Eq" title="被合并方的资产、负债明细-资产" test=" $_GBC_4224d22465454ba2abd265c3024cb75f +  $_GBC_a3f339888ff64e4a834ee2e63e0cc739 +  $_GBC_6bf93cde2de74b4385a043bd5fea7b96 +  $_GBC_1209a46c6b8643a8a2768e7da8935a37 +  $_GBC_731b073a00154e618795280699923322 +  $_GBC_08e1f7a2ae0446178176901f06ac05e1" id="C91218078657448f086c73b7b53cca477" serialType="1"/>
      </m:item>
      <m:item xlName="_GBC_f1c17778621d4f0e98f6606d9a66495d" concept="clcid-pte:BeiHeBingFangDeZiChanFuZhaiMingXiZiChan" label="被合并方的资产、负债明细-资产" periodRef="上年期末数" mulRef="_GBC_1e8d25398f6745efac6012e964de837a" unitRef="_GBC_80b9c60fc85e443f9c97e5d91db031a4" addr="T0R2C2S1_1" formatStyle="Comma" tupleRef="clcid-pte:BeiHeBingFangDeZiChanFuZhaiMingXi" appId="_GBC_b46a615b0ac64c019a83debe19fe4c1c" colGroupKey="被合并企业" groupColType="5">
        <m:complexRule comparator="Eq" title="被合并方的资产、负债明细-资产@上年期末数" test=" $_GBC_58baf7eb63674120881202b2c97daa50 +  $_GBC_76f81628c33648e2a29cc0610a125eb9 +  $_GBC_3a460edf2a1742cc872225d7419b5390 +  $_GBC_456fd196933b43e19b53773c7240448f +  $_GBC_516e106ab6884d04a8921b72c953598a +  $_GBC_765e3348af384b95aaef28ebd772087a" id="C105d7873ba4b46f18d2cc7f64d73ee0c" serialType="1"/>
      </m:item>
      <m:placeholder xlName="_PLD_1ed0e6b6efe74f0398dcf9daf06840d7" addr="T0R3C0S1_1"/>
      <m:item xlName="_GBC_4224d22465454ba2abd265c3024cb75f" concept="clcid-pte:BeiHeBingFangDeZiChanFuZhaiMingXiHuoBiZiJin" label="被合并方的资产、负债明细-货币资金" mulRef="_GBC_1e8d25398f6745efac6012e964de837a" unitRef="_GBC_80b9c60fc85e443f9c97e5d91db031a4" addr="T0R3C1S1_1" formatStyle="Comma" tupleRef="clcid-pte:BeiHeBingFangDeZiChanFuZhaiMingXi" appId="_GBC_b46a615b0ac64c019a83debe19fe4c1c"/>
      <m:item xlName="_GBC_58baf7eb63674120881202b2c97daa50" concept="clcid-pte:BeiHeBingFangDeZiChanFuZhaiMingXiHuoBiZiJin" label="被合并方的资产、负债明细-货币资金" periodRef="上年期末数" mulRef="_GBC_1e8d25398f6745efac6012e964de837a" unitRef="_GBC_80b9c60fc85e443f9c97e5d91db031a4" addr="T0R3C2S1_1" formatStyle="Comma" tupleRef="clcid-pte:BeiHeBingFangDeZiChanFuZhaiMingXi" appId="_GBC_b46a615b0ac64c019a83debe19fe4c1c"/>
      <m:placeholder xlName="_PLD_145083bcdf6248e49370adfdaef1e0ae" addr="T0R4C0S1_1"/>
      <m:item xlName="_GBC_a3f339888ff64e4a834ee2e63e0cc739" concept="clcid-pte:BeiHeBingFangDeZiChanFuZhaiMingXiYingShouKuanXiang" label="被合并方的资产、负债明细-应收款项" mulRef="_GBC_1e8d25398f6745efac6012e964de837a" unitRef="_GBC_80b9c60fc85e443f9c97e5d91db031a4" addr="T0R4C1S1_1" formatStyle="Comma" tupleRef="clcid-pte:BeiHeBingFangDeZiChanFuZhaiMingXi" appId="_GBC_b46a615b0ac64c019a83debe19fe4c1c"/>
      <m:item xlName="_GBC_76f81628c33648e2a29cc0610a125eb9" concept="clcid-pte:BeiHeBingFangDeZiChanFuZhaiMingXiYingShouKuanXiang" label="被合并方的资产、负债明细-应收款项" periodRef="上年期末数" mulRef="_GBC_1e8d25398f6745efac6012e964de837a" unitRef="_GBC_80b9c60fc85e443f9c97e5d91db031a4" addr="T0R4C2S1_1" formatStyle="Comma" tupleRef="clcid-pte:BeiHeBingFangDeZiChanFuZhaiMingXi" appId="_GBC_b46a615b0ac64c019a83debe19fe4c1c"/>
      <m:placeholder xlName="_PLD_e8fc8f98c4a3439db6bb7212a8532887" addr="T0R5C0S1_1"/>
      <m:item xlName="_GBC_6bf93cde2de74b4385a043bd5fea7b96" concept="clcid-pte:BeiHeBingFangDeZiChanFuZhaiMingXiCunHuo" label="被合并方的资产、负债明细-存货" mulRef="_GBC_1e8d25398f6745efac6012e964de837a" unitRef="_GBC_80b9c60fc85e443f9c97e5d91db031a4" addr="T0R5C1S1_1" formatStyle="Comma" tupleRef="clcid-pte:BeiHeBingFangDeZiChanFuZhaiMingXi" appId="_GBC_b46a615b0ac64c019a83debe19fe4c1c"/>
      <m:item xlName="_GBC_3a460edf2a1742cc872225d7419b5390" concept="clcid-pte:BeiHeBingFangDeZiChanFuZhaiMingXiCunHuo" label="被合并方的资产、负债明细-存货" periodRef="上年期末数" mulRef="_GBC_1e8d25398f6745efac6012e964de837a" unitRef="_GBC_80b9c60fc85e443f9c97e5d91db031a4" addr="T0R5C2S1_1" formatStyle="Comma" tupleRef="clcid-pte:BeiHeBingFangDeZiChanFuZhaiMingXi" appId="_GBC_b46a615b0ac64c019a83debe19fe4c1c"/>
      <m:placeholder xlName="_PLD_126c13e00005436ba81b984c6cd6d8f6" addr="T0R6C0S1_1"/>
      <m:item xlName="_GBC_1209a46c6b8643a8a2768e7da8935a37" concept="clcid-pte:BeiHeBingFangDeZiChanFuZhaiMingXiGuDingZiChan" label="被合并方的资产、负债明细-固定资产" mulRef="_GBC_1e8d25398f6745efac6012e964de837a" unitRef="_GBC_80b9c60fc85e443f9c97e5d91db031a4" addr="T0R6C1S1_1" formatStyle="Comma" tupleRef="clcid-pte:BeiHeBingFangDeZiChanFuZhaiMingXi" appId="_GBC_b46a615b0ac64c019a83debe19fe4c1c"/>
      <m:item xlName="_GBC_456fd196933b43e19b53773c7240448f" concept="clcid-pte:BeiHeBingFangDeZiChanFuZhaiMingXiGuDingZiChan" label="被合并方的资产、负债明细-固定资产" periodRef="上年期末数" mulRef="_GBC_1e8d25398f6745efac6012e964de837a" unitRef="_GBC_80b9c60fc85e443f9c97e5d91db031a4" addr="T0R6C2S1_1" formatStyle="Comma" tupleRef="clcid-pte:BeiHeBingFangDeZiChanFuZhaiMingXi" appId="_GBC_b46a615b0ac64c019a83debe19fe4c1c"/>
      <m:placeholder xlName="_PLD_19c539503231427b9465068d70b4a204" addr="T0R7C0S1_1"/>
      <m:item xlName="_GBC_731b073a00154e618795280699923322" concept="clcid-pte:BeiHeBingFangDeZiChanFuZhaiMingXiWuXingZiChan" label="被合并方的资产、负债明细-无形资产" mulRef="_GBC_1e8d25398f6745efac6012e964de837a" unitRef="_GBC_80b9c60fc85e443f9c97e5d91db031a4" addr="T0R7C1S1_1" formatStyle="Comma" tupleRef="clcid-pte:BeiHeBingFangDeZiChanFuZhaiMingXi" appId="_GBC_b46a615b0ac64c019a83debe19fe4c1c"/>
      <m:item xlName="_GBC_516e106ab6884d04a8921b72c953598a" concept="clcid-pte:BeiHeBingFangDeZiChanFuZhaiMingXiWuXingZiChan" label="被合并方的资产、负债明细-无形资产" periodRef="上年期末数" mulRef="_GBC_1e8d25398f6745efac6012e964de837a" unitRef="_GBC_80b9c60fc85e443f9c97e5d91db031a4" addr="T0R7C2S1_1" formatStyle="Comma" tupleRef="clcid-pte:BeiHeBingFangDeZiChanFuZhaiMingXi" appId="_GBC_b46a615b0ac64c019a83debe19fe4c1c"/>
      <m:item xlName="_GBC_eed5db0f5ff44906bbb063643961683a" concept="clcid-pte:BeiHeBingFangDeZiChanKeMuMingCheng1" label="被合并方的资产科目名称1" addr="T0R8C0S1_1" tagAction="1" appId="_GBC_b46a615b0ac64c019a83debe19fe4c1c" isSerialConcept="true" serialDirection="1" serialDefaultCount="2"/>
      <m:item xlName="_GBC_08e1f7a2ae0446178176901f06ac05e1" concept="clcid-pte:BeiHeBingFangDeZiChanKeMuMingChengJinE1" label="被合并方的资产科目名称金额1" mulRef="_GBC_1e8d25398f6745efac6012e964de837a" unitRef="_GBC_80b9c60fc85e443f9c97e5d91db031a4" addr="T0R8C1S1_1" tagAction="1" formatStyle="Comma" tupleRef="clcid-pte:BeiHeBingFangDeZiChanFuZhaiMingXi" appId="_GBC_b46a615b0ac64c019a83debe19fe4c1c" isSerialConcept="true" serialDirection="1" serialDefaultCount="2"/>
      <m:item xlName="_GBC_765e3348af384b95aaef28ebd772087a" concept="clcid-pte:BeiHeBingFangDeZiChanKeMuMingChengJinE1" label="被合并方的资产科目名称金额1" periodRef="上年期末数" mulRef="_GBC_1e8d25398f6745efac6012e964de837a" unitRef="_GBC_80b9c60fc85e443f9c97e5d91db031a4" addr="T0R8C2S1_1" tagAction="1" formatStyle="Comma" tupleRef="clcid-pte:BeiHeBingFangDeZiChanFuZhaiMingXi" appId="_GBC_b46a615b0ac64c019a83debe19fe4c1c" isSerialConcept="true" serialDirection="1" serialDefaultCount="2"/>
      <m:placeholder xlName="_PLD_01d16f9d1fe143b7ba2cb96741725061" addr="T0R9C0S1_1"/>
      <m:item xlName="_GBC_e5cfe93ac39f4d11adb41988ae74a93b" concept="clcid-pte:BeiHeBingFangDeZiChanFuZhaiMingXiFuZhai" label="被合并方的资产、负债明细-负债" mulRef="_GBC_1e8d25398f6745efac6012e964de837a" unitRef="_GBC_80b9c60fc85e443f9c97e5d91db031a4" addr="T0R9C1S1_1" formatStyle="Comma" tupleRef="clcid-pte:BeiHeBingFangDeZiChanFuZhaiMingXi" appId="_GBC_b46a615b0ac64c019a83debe19fe4c1c">
        <m:complexRule comparator="Eq" title="被合并方的资产、负债明细-负债" test=" $_GBC_9ed467470b47463f83c41bf8a0c51f73 +  $_GBC_99d34773c17c42699553c88d8fc81f27 +  $_GBC_b1a42e64883b4803a5a890b24fa205f7" id="C540921b25b7c4f9eb926180e53034b8d" serialType="1"/>
      </m:item>
      <m:item xlName="_GBC_ca9555feaff343afb712de261b80c819" concept="clcid-pte:BeiHeBingFangDeZiChanFuZhaiMingXiFuZhai" label="被合并方的资产、负债明细-负债" periodRef="上年期末数" mulRef="_GBC_1e8d25398f6745efac6012e964de837a" unitRef="_GBC_80b9c60fc85e443f9c97e5d91db031a4" addr="T0R9C2S1_1" formatStyle="Comma" tupleRef="clcid-pte:BeiHeBingFangDeZiChanFuZhaiMingXi" appId="_GBC_b46a615b0ac64c019a83debe19fe4c1c">
        <m:complexRule comparator="Eq" title="被合并方的资产、负债明细-负债@上年期末数" test=" $_GBC_559f59d7c5f746c7ab798327545dc74b +  $_GBC_3020e1c7a02848749c17316c32a8e607 +  $_GBC_c31b6cc7973c447387379320e52860a0" id="C29c64cae9c4b4bd0bf5bef6f4180ce45" serialType="1"/>
      </m:item>
      <m:placeholder xlName="_PLD_9b701e01a4b540e091c284f447266046" addr="T0R10C0S1_1"/>
      <m:item xlName="_GBC_9ed467470b47463f83c41bf8a0c51f73" concept="clcid-pte:BeiHeBingFangDeZiChanFuZhaiMingXiJieKuan" label="被合并方的资产、负债明细-借款" mulRef="_GBC_1e8d25398f6745efac6012e964de837a" unitRef="_GBC_80b9c60fc85e443f9c97e5d91db031a4" addr="T0R10C1S1_1" formatStyle="Comma" tupleRef="clcid-pte:BeiHeBingFangDeZiChanFuZhaiMingXi" appId="_GBC_b46a615b0ac64c019a83debe19fe4c1c"/>
      <m:item xlName="_GBC_559f59d7c5f746c7ab798327545dc74b" concept="clcid-pte:BeiHeBingFangDeZiChanFuZhaiMingXiJieKuan" label="被合并方的资产、负债明细-借款" periodRef="上年期末数" mulRef="_GBC_1e8d25398f6745efac6012e964de837a" unitRef="_GBC_80b9c60fc85e443f9c97e5d91db031a4" addr="T0R10C2S1_1" formatStyle="Comma" tupleRef="clcid-pte:BeiHeBingFangDeZiChanFuZhaiMingXi" appId="_GBC_b46a615b0ac64c019a83debe19fe4c1c"/>
      <m:placeholder xlName="_PLD_feaf5cfa764440419f10acb9bdf5748d" addr="T0R11C0S1_1"/>
      <m:item xlName="_GBC_99d34773c17c42699553c88d8fc81f27" concept="clcid-pte:BeiHeBingFangDeZiChanFuZhaiMingXiYingFuKuanXiang" label="被合并方的资产、负债明细-应付款项" mulRef="_GBC_1e8d25398f6745efac6012e964de837a" unitRef="_GBC_80b9c60fc85e443f9c97e5d91db031a4" addr="T0R11C1S1_1" formatStyle="Comma" tupleRef="clcid-pte:BeiHeBingFangDeZiChanFuZhaiMingXi" appId="_GBC_b46a615b0ac64c019a83debe19fe4c1c"/>
      <m:item xlName="_GBC_3020e1c7a02848749c17316c32a8e607" concept="clcid-pte:BeiHeBingFangDeZiChanFuZhaiMingXiYingFuKuanXiang" label="被合并方的资产、负债明细-应付款项" periodRef="上年期末数" mulRef="_GBC_1e8d25398f6745efac6012e964de837a" unitRef="_GBC_80b9c60fc85e443f9c97e5d91db031a4" addr="T0R11C2S1_1" formatStyle="Comma" tupleRef="clcid-pte:BeiHeBingFangDeZiChanFuZhaiMingXi" appId="_GBC_b46a615b0ac64c019a83debe19fe4c1c"/>
      <m:item xlName="_GBC_1292b33d606d4ad3b2ce579b199b2150" concept="clcid-pte:BeiHeBingFangDeFuZhaiKeMuMingCheng1" label="被合并方的负债科目名称1" addr="T0R12C0S1_1" tagAction="1" appId="_GBC_b46a615b0ac64c019a83debe19fe4c1c" isSerialConcept="true" serialDirection="1" serialDefaultCount="2"/>
      <m:item xlName="_GBC_b1a42e64883b4803a5a890b24fa205f7" concept="clcid-pte:BeiHeBingFangDeFuZhaiKeMuMingChengJinE1" label="被合并方的负债科目名称金额1" mulRef="_GBC_1e8d25398f6745efac6012e964de837a" unitRef="_GBC_80b9c60fc85e443f9c97e5d91db031a4" addr="T0R12C1S1_1" tagAction="1" formatStyle="Comma" tupleRef="clcid-pte:BeiHeBingFangDeZiChanFuZhaiMingXi" appId="_GBC_b46a615b0ac64c019a83debe19fe4c1c" isSerialConcept="true" serialDirection="1" serialDefaultCount="2"/>
      <m:item xlName="_GBC_c31b6cc7973c447387379320e52860a0" concept="clcid-pte:BeiHeBingFangDeFuZhaiKeMuMingChengJinE1" label="被合并方的负债科目名称金额1" periodRef="上年期末数" mulRef="_GBC_1e8d25398f6745efac6012e964de837a" unitRef="_GBC_80b9c60fc85e443f9c97e5d91db031a4" addr="T0R12C2S1_1" tagAction="1" formatStyle="Comma" tupleRef="clcid-pte:BeiHeBingFangDeZiChanFuZhaiMingXi" appId="_GBC_b46a615b0ac64c019a83debe19fe4c1c" isSerialConcept="true" serialDirection="1" serialDefaultCount="2"/>
      <m:placeholder xlName="_PLD_406360920d3744b0aed296189e0211d1" addr="T0R13C0S1_1"/>
      <m:item xlName="_GBC_bc3027d1fbb44e2eb5b0c9f27f79543b" concept="clcid-pte:BeiHeBingFangDeZiChanFuZhaiMingXiJingZiChan" label="被合并方的资产、负债明细-净资产" mulRef="_GBC_1e8d25398f6745efac6012e964de837a" unitRef="_GBC_80b9c60fc85e443f9c97e5d91db031a4" addr="T0R13C1S1_1" formatStyle="Comma" tupleRef="clcid-pte:BeiHeBingFangDeZiChanFuZhaiMingXi" appId="_GBC_b46a615b0ac64c019a83debe19fe4c1c">
        <m:complexRule comparator="Eq" title="被合并方的资产、负债明细-净资产" test=" $_GBC_9c167d25a865496bb831f69c0d307c81 -  $_GBC_e5cfe93ac39f4d11adb41988ae74a93b" id="C6d17749318e5492a8671f80a337d2cf6"/>
      </m:item>
      <m:item xlName="_GBC_742b6802c9694674a184ede5f5e5120e" concept="clcid-pte:BeiHeBingFangDeZiChanFuZhaiMingXiJingZiChan" label="被合并方的资产、负债明细-净资产" periodRef="上年期末数" mulRef="_GBC_1e8d25398f6745efac6012e964de837a" unitRef="_GBC_80b9c60fc85e443f9c97e5d91db031a4" addr="T0R13C2S1_1" formatStyle="Comma" tupleRef="clcid-pte:BeiHeBingFangDeZiChanFuZhaiMingXi" appId="_GBC_b46a615b0ac64c019a83debe19fe4c1c">
        <m:complexRule comparator="Eq" title="被合并方的资产、负债明细-净资产@上年期末数" test=" $_GBC_f1c17778621d4f0e98f6606d9a66495d -  $_GBC_ca9555feaff343afb712de261b80c819" id="C191c88d991244637b07be4531ad21230"/>
      </m:item>
      <m:placeholder xlName="_PLD_ecf6de7ef31148af86f6fcb22f19e442" addr="T0R14C0S1_1"/>
      <m:item xlName="_GBC_0b1eac0eff4b447d8cea75b9d74e0de1" concept="clcid-pte:BeiHeBingFangDeZiChanFuZhaiMingXiShaoShuGuDongQuanYi" label="被合并方的资产、负债明细-少数股东权益" mulRef="_GBC_1e8d25398f6745efac6012e964de837a" unitRef="_GBC_80b9c60fc85e443f9c97e5d91db031a4" addr="T0R14C1S1_1" formatStyle="Comma" tupleRef="clcid-pte:BeiHeBingFangDeZiChanFuZhaiMingXi" appId="_GBC_b46a615b0ac64c019a83debe19fe4c1c"/>
      <m:item xlName="_GBC_5af7edc7b1f94b54a6fb15dc41b57508" concept="clcid-pte:BeiHeBingFangDeZiChanFuZhaiMingXiShaoShuGuDongQuanYi" label="被合并方的资产、负债明细-少数股东权益" periodRef="上年期末数" mulRef="_GBC_1e8d25398f6745efac6012e964de837a" unitRef="_GBC_80b9c60fc85e443f9c97e5d91db031a4" addr="T0R14C2S1_1" formatStyle="Comma" tupleRef="clcid-pte:BeiHeBingFangDeZiChanFuZhaiMingXi" appId="_GBC_b46a615b0ac64c019a83debe19fe4c1c"/>
      <m:placeholder xlName="_PLD_4003e9198b9349ec895edb1af9372138" addr="T0R15C0S1_1"/>
      <m:item xlName="_GBC_d7cfb77093c14a0698835cd5820322cc" concept="clcid-pte:BeiHeBingFangDeZiChanFuZhaiMingXiQuDeDeJingZiChan" label="被合并方的资产、负债明细-取得的净资产" mulRef="_GBC_1e8d25398f6745efac6012e964de837a" unitRef="_GBC_80b9c60fc85e443f9c97e5d91db031a4" addr="T0R15C1S1_1" formatStyle="Comma" tupleRef="clcid-pte:BeiHeBingFangDeZiChanFuZhaiMingXi" appId="_GBC_b46a615b0ac64c019a83debe19fe4c1c">
        <m:complexRule comparator="Eq" title="被合并方的资产、负债明细-取得的净资产" test=" $_GBC_bc3027d1fbb44e2eb5b0c9f27f79543b -  $_GBC_0b1eac0eff4b447d8cea75b9d74e0de1" id="Cadcdffc79bd9458eadfae6deda0f18fd"/>
      </m:item>
      <m:item xlName="_GBC_47cb3236e7a541ca89e8bef5a17995c6" concept="clcid-pte:BeiHeBingFangDeZiChanFuZhaiMingXiQuDeDeJingZiChan" label="被合并方的资产、负债明细-取得的净资产" periodRef="上年期末数" mulRef="_GBC_1e8d25398f6745efac6012e964de837a" unitRef="_GBC_80b9c60fc85e443f9c97e5d91db031a4" addr="T0R15C2S1_1" formatStyle="Comma" tupleRef="clcid-pte:BeiHeBingFangDeZiChanFuZhaiMingXi" appId="_GBC_b46a615b0ac64c019a83debe19fe4c1c">
        <m:complexRule comparator="Eq" title="被合并方的资产、负债明细-取得的净资产@上年期末数" test=" $_GBC_742b6802c9694674a184ede5f5e5120e -  $_GBC_5af7edc7b1f94b54a6fb15dc41b57508" id="C92efbb98a5d34947b6561b37efcbaa8d"/>
      </m:item>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item xlName="_GBC_4df082d3ef224e9da8a3c0d1e4a1a615" concept="clcid-pte:QiYeHeBingZhongChengDanDeBeiHeBingFangDeHuoYouFuZhai" label="企业合并中承担的被合并方的或有负债" appId="_GBC_b46a615b0ac64c019a83debe19fe4c1c"/>
    </m:section>
    <m:section xlName="_GBC_487797176f3744a7a99d390be05f0a8a" title="被合并方的资产、负债的说明" helpId="112001135">
      <m:item xlName="_GBC_8f372a5c0c69446aabb6ef4fb8f7c20e" concept="clcid-ci-ar:ShiFouShiYongBeiHeBingFangDeZiChanFuZhaiDeShuoMing" label="是否适用：被合并方的资产、负债的说明" selectOptions="_buildInAppliance" controlType="CustomCheckbox" cRanges="{&quot;StartName&quot;:&quot;_GBC_8f372a5c0c69446aabb6ef4fb8f7c20e&quot;,&quot;EndName&quot;:&quot;_GBC_45f2c993f85c41ddb0e95466222d56b9&quot;,&quot;CType&quot;:1,&quot;DisplayText&quot;:null}"/>
      <m:item xlName="_GBC_45f2c993f85c41ddb0e95466222d56b9" concept="clcid-pte:BeiHeBingFangDeZiChanFuZhaiDeShuoMing" label="被合并方的资产、负债的说明" appId="_GBC_8f372a5c0c69446aabb6ef4fb8f7c20e"/>
    </m:section>
    <m:section xlName="_SEC_e0818786830d42ce99957d3ef113691a" title="反向购买" helpId="112001137" helpText="注：上市公司保留的资产、负债构成业务的，同时还应按照非同一控制下企业合并披露相关信息。">
      <m:item xlName="_GBC_973cde3cea5d460790de47cc49169bde" concept="clcid-ci-ar:ShiFouShiYongFanXiangGouMai" label="是否适用：反向购买" selectOptions="_buildInAppliance" controlType="CustomCheckbox" cRanges="{&quot;StartName&quot;:&quot;_GBC_973cde3cea5d460790de47cc49169bde&quot;,&quot;EndName&quot;:&quot;_GBC_8d64aeab44b14bf295e15a417955500d&quot;,&quot;CType&quot;:1,&quot;DisplayText&quot;:null}"/>
      <m:item xlName="_GBC_8d64aeab44b14bf295e15a417955500d" concept="clcid-pte:FanXiangGouMaiDeShuoMing" label="反向购买的说明" appId="_GBC_973cde3cea5d460790de47cc49169bde"/>
    </m:section>
    <m:section xlName="_GBC_cc6d41993eca4369a3cdb3c33d4f3299" title="处置子公司" helpId="112001139">
      <m:item xlName="_GBC_a2b81d1c138141d5bea164d8b7f9ce19" concept="clcid-pte:ShiFouCunZaiDanCiJiaoYiChuZhiDuiZiGongSiTouZiJiSangShiKongZhiQuanDeQingXing" label="是否存在单次交易处置对子公司投资即丧失控制权的情形" selectOptions="_buildInAppliance" controlType="CustomCheckbox" cRanges="{&quot;StartName&quot;:&quot;_GBC_a2b81d1c138141d5bea164d8b7f9ce19&quot;,&quot;EndName&quot;:&quot;_GBC_a6b001d69e414d28a7d40f8f2e78869a&quot;,&quot;CType&quot;:1,&quot;DisplayText&quot;:null}"/>
      <m:item xlName="_GBC_2b6e668c718848ce9f3f499942bba35e" concept="clcid-ci-ar:DanWeiCaiWuFuZhuDanCiJiaoYiChuZhiDuiZiGongSiTouZiJiSangShiKongZhiQuanDeQingXing" label="单位：财务附注：单次交易处置对子公司投资即丧失控制权的情形" selectOptions="_buildInScales" controlType="Combobox" cellType="Scale" appId="_GBC_a2b81d1c138141d5bea164d8b7f9ce19"/>
      <m:item xlName="_GBC_488d10a953f0495ea7291e5bd27a3841" concept="clcid-ci-ar:BiZhongCaiWuFuZhuDanCiJiaoYiChuZhiDuiZiGongSiTouZiJiSangShiKongZhiQuanDeQingXing" label="币种：财务附注：单次交易处置对子公司投资即丧失控制权的情形" selectOptions="_buildInISO4217" controlType="Combobox" cellType="Measure" appId="_GBC_a2b81d1c138141d5bea164d8b7f9ce19"/>
      <m:placeholder xlName="_PLD_378aea9564a646de9b59c80e8c82b514" addr="T0R0C0S1_1"/>
      <m:placeholder xlName="_PLD_a4ae2e5cfd7a4ae8a53fdc228198ac5d" addr="T0R0C1S1_1"/>
      <m:placeholder xlName="_PLD_53b848af349f4926b5d12bf2fdd5fdbe" addr="T0R0C2S1_1"/>
      <m:placeholder xlName="_PLD_a31fbb83aaca4f759a983c5925b1021a" addr="T0R0C3S1_1"/>
      <m:placeholder xlName="_PLD_1ac108ce885f4f89af65629549aaaae3" addr="T0R0C4S1_1"/>
      <m:placeholder xlName="_PLD_e1056533b2d3461b998f86f70f13edfb" addr="T0R0C5S1_1"/>
      <m:placeholder xlName="_PLD_7bb70d131e884ca78fc311299bb18e9e" addr="T0R0C6S1_1"/>
      <m:placeholder xlName="_PLD_d88b7aac80fa4a5b860434fbeb807045" addr="T0R0C7S1_1"/>
      <m:placeholder xlName="_PLD_daa05563cb094e388653d7b036844afe" addr="T0R0C8S1_1"/>
      <m:placeholder xlName="_PLD_6e0f9d67b2f74ac09b117916f3717d21" addr="T0R0C9S1_1"/>
      <m:placeholder xlName="_PLD_5ae8468ebfcb4ba2a16158e6f77af518" addr="T0R0C10S1_1"/>
      <m:placeholder xlName="_PLD_d87d432aeb794901b667eede063e6fc7" addr="T0R0C11S1_1"/>
      <m:placeholder xlName="_PLD_42d555167a5c486b8e0ef0a373e5a693" addr="T0R0C12S1_1"/>
      <m:tuple xlName="_GBC_9f67c018665c48da9358f68137ab395b" concept="clcid-pte:DanCiJiaoYiChuZhiDuiZiGongSiTouZiJiSangShiKongZhiQuanDeQingXingMingXi" default_row="2" addr="T0R1C">
        <m:item xlName="_GBC_f6b1ecde6f064a7ba84731a9dc080645" concept="clcid-pte:DanCiJiaoYiChuZhiDuiZiGongSiTouZiJiSangShiKongZhiQuanDeQingXingMingXiZiGongSiMingCheng" label="单次交易处置对子公司投资即丧失控制权的情形明细-子公司名称" addr="T0R1C0S1_1" appId="_GBC_a2b81d1c138141d5bea164d8b7f9ce19"/>
        <m:item xlName="_GBC_d3a1c3522ad4481ba67f6d631bd34102" concept="clcid-pte:DanCiJiaoYiChuZhiDuiZiGongSiTouZiJiSangShiKongZhiQuanDeQingXingMingXiGuQuanChuZhiJiaKuan" label="单次交易处置对子公司投资即丧失控制权的情形明细-股权处置价款" mulRef="_GBC_2b6e668c718848ce9f3f499942bba35e" unitRef="_GBC_488d10a953f0495ea7291e5bd27a3841" addr="T0R1C1S1_1" formatStyle="Comma" appId="_GBC_a2b81d1c138141d5bea164d8b7f9ce19"/>
        <m:item xlName="_GBC_74721666dc0f47bab2a17e3a773814bb" concept="clcid-pte:DanCiJiaoYiChuZhiDuiZiGongSiTouZiJiSangShiKongZhiQuanDeQingXingMingXiGuQuanChuZhiBiLi" label="单次交易处置对子公司投资即丧失控制权的情形明细-股权处置比例" addr="T0R1C2S1_1" baseScale="0.01" formatStyle="Comma" appId="_GBC_a2b81d1c138141d5bea164d8b7f9ce19"/>
        <m:item xlName="_GBC_765459012c714fd289e12188868144a3" concept="clcid-pte:DanCiJiaoYiChuZhiDuiZiGongSiTouZiJiSangShiKongZhiQuanDeQingXingMingXiGuQuanChuZhiFangShi" label="单次交易处置对子公司投资即丧失控制权的情形明细-股权处置方式" addr="T0R1C3S1_1" appId="_GBC_a2b81d1c138141d5bea164d8b7f9ce19"/>
        <m:item xlName="_GBC_6bc91168a2154b1b9702e04bcfb6629b" concept="clcid-pte:DanCiJiaoYiChuZhiDuiZiGongSiTouZiJiSangShiKongZhiQuanDeQingXingMingXiSangShiKongZhiQuanDeShiDian" label="单次交易处置对子公司投资即丧失控制权的情形明细-丧失控制权的时点" addr="T0R1C4S1_1" appId="_GBC_a2b81d1c138141d5bea164d8b7f9ce19"/>
        <m:item xlName="_GBC_55cfa4d0f5e847c79e39d2d85022d18c" concept="clcid-pte:DanCiJiaoYiChuZhiDuiZiGongSiTouZiJiSangShiKongZhiQuanDeQingXingMingXiSangShiKongZhiQuanShiDianDeQueDingYiJu" label="单次交易处置对子公司投资即丧失控制权的情形明细-丧失控制权时点的确定依据" addr="T0R1C5S1_1" appId="_GBC_a2b81d1c138141d5bea164d8b7f9ce19"/>
        <m:item xlName="_GBC_ffe4eef1784648b6bd7c82e3c193fd51"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2b6e668c718848ce9f3f499942bba35e" unitRef="_GBC_488d10a953f0495ea7291e5bd27a3841" addr="T0R1C6S1_1" formatStyle="Comma" appId="_GBC_a2b81d1c138141d5bea164d8b7f9ce19"/>
        <m:item xlName="_GBC_492f1b779d2d4c5c8b69f446386fb81d"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a2b81d1c138141d5bea164d8b7f9ce19"/>
        <m:item xlName="_GBC_081286342c92485d85a38c2b43065fc2" concept="clcid-pte:DanCiJiaoYiChuZhiDuiZiGongSiTouZiJiSangShiKongZhiQuanDeQingXingMingXiSangShiKongZhiQuanZhiRiShengYuGuQuanDeZhangMianJiaZhi" label="单次交易处置对子公司投资即丧失控制权的情形明细-丧失控制权之日剩余股权的账面价值" mulRef="_GBC_2b6e668c718848ce9f3f499942bba35e" unitRef="_GBC_488d10a953f0495ea7291e5bd27a3841" addr="T0R1C8S1_1" formatStyle="Comma" appId="_GBC_a2b81d1c138141d5bea164d8b7f9ce19"/>
        <m:item xlName="_GBC_99d6fa6c2bc942e097ab098fcdbaf636" concept="clcid-pte:DanCiJiaoYiChuZhiDuiZiGongSiTouZiJiSangShiKongZhiQuanDeQingXingMingXiSangShiKongZhiQuanZhiRiShengYuGuQuanDeGongYunJiaZhi" label="单次交易处置对子公司投资即丧失控制权的情形明细-丧失控制权之日剩余股权的公允价值" mulRef="_GBC_2b6e668c718848ce9f3f499942bba35e" unitRef="_GBC_488d10a953f0495ea7291e5bd27a3841" addr="T0R1C9S1_1" formatStyle="Comma" appId="_GBC_a2b81d1c138141d5bea164d8b7f9ce19"/>
        <m:item xlName="_GBC_bfbd9376f0434d7f8d52ddb74bf0999f"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2b6e668c718848ce9f3f499942bba35e" unitRef="_GBC_488d10a953f0495ea7291e5bd27a3841" addr="T0R1C10S1_1" formatStyle="Comma" appId="_GBC_a2b81d1c138141d5bea164d8b7f9ce19"/>
        <m:item xlName="_GBC_2fd79c09de11459392f519c62123b040"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a2b81d1c138141d5bea164d8b7f9ce19"/>
        <m:item xlName="_GBC_a6b001d69e414d28a7d40f8f2e78869a"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2b6e668c718848ce9f3f499942bba35e" unitRef="_GBC_488d10a953f0495ea7291e5bd27a3841" addr="T0R1C12S1_1" formatStyle="Comma" appId="_GBC_a2b81d1c138141d5bea164d8b7f9ce19"/>
      </m:tuple>
      <m:item xlName="_GBC_28bcdbd3ff45497eb8fc02428c0c76e4"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28bcdbd3ff45497eb8fc02428c0c76e4&quot;,&quot;EndName&quot;:&quot;_GBC_cc98b1e6c31b43fda0eef28bae94d1d5&quot;,&quot;CType&quot;:1,&quot;DisplayText&quot;:null}"/>
      <m:item xlName="_GBC_cc98b1e6c31b43fda0eef28bae94d1d5" concept="clcid-pte:DanCiJiaoYiChuZhiDuiZiGongSiTouZiJiSangShiKongZhiQuanDeQingXingDeShuoMing" label="单次交易处置对子公司投资即丧失控制权的情形的说明" appId="_GBC_28bcdbd3ff45497eb8fc02428c0c76e4"/>
    </m:section>
    <m:section xlName="_GBC_4d8df8ad82924ee296922a66106c2fad" title="是否存在通过多次交易分步处置对子公司投资且在本期丧失控制权的" helpId="112001139">
      <m:item xlName="_GBC_af0bdb782b8c4c81b7d0f6f588b3cf6b"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GBC_4d8df8ad82924ee296922a66106c2fad&quot;,&quot;EndName&quot;:&quot;_GBC_2bb504c17d764763a1c53c9e8495e036&quot;,&quot;CType&quot;:1,&quot;DisplayText&quot;:null}"/>
    </m:section>
    <m:section xlName="_GBC_48deb7e41c8340258f6187578de62d24" title="一揽子交易" helpText="注：分别说明前期和本期处置股权的时点、价款、比例及方式。">
      <m:item xlName="_GBC_e6f3d37855e449019a6622e1be89743b" concept="clcid-pte:ShiFouShiYongYiLanZiJiaoYi" label="是否适用：一揽子交易" selectOptions="_buildInAppliance" controlType="CustomCheckbox" cRanges="{&quot;StartName&quot;:&quot;_GBC_e6f3d37855e449019a6622e1be89743b&quot;,&quot;EndName&quot;:&quot;_GBC_3f60af2f826f4d358c70310ac7ceed06&quot;,&quot;CType&quot;:1,&quot;DisplayText&quot;:null}"/>
      <m:item xlName="_GBC_61f63e18388a4e04b8e63aad24ea4894" concept="clcid-ci-ar:DanWeiCaiWuFuZhuYiLanZiJiaoYi" label="单位：财务附注：一揽子交易" selectOptions="_buildInScales" controlType="Combobox" cellType="Scale" appId="_GBC_e6f3d37855e449019a6622e1be89743b"/>
      <m:item xlName="_GBC_df8e0aaf1a094719ba673b20c876505d" concept="clcid-ci-ar:BiZhongCaiWuFuZhuYiLanZiJiaoYi" label="币种：财务附注：一揽子交易" selectOptions="_buildInISO4217" controlType="Combobox" cellType="Measure" appId="_GBC_e6f3d37855e449019a6622e1be89743b"/>
      <m:placeholder xlName="_PLD_353ac45570904f73ad2ea83fed92fa1e" addr="T0R0C0S1_1"/>
      <m:placeholder xlName="_PLD_e9be63be6535461abcf598c9c70e7b24" addr="T0R0C1S1_1"/>
      <m:placeholder xlName="_PLD_914fed41a6c04d489adbcd4e9d8c652d" addr="T0R0C2S1_1"/>
      <m:placeholder xlName="_PLD_c7cba20e1cdd43a7b8750b32fd7a24c8" addr="T0R0C3S1_1"/>
      <m:placeholder xlName="_PLD_69c370eebb494af3b1c2da3f51cfd7b8" addr="T0R0C4S1_1"/>
      <m:placeholder xlName="_PLD_b172b137e40843baabec87a1d1e047cc" addr="T0R0C5S1_1"/>
      <m:placeholder xlName="_PLD_72e839d538ca4b438b6f292ecbf645d3" addr="T0R0C6S1_1"/>
      <m:placeholder xlName="_PLD_ce17fe8f006349109c322fff5ef96b41" addr="T0R0C7S1_1"/>
      <m:placeholder xlName="_PLD_68211bf42df44c359346566575c7c05e" addr="T0R0C8S1_1"/>
      <m:placeholder xlName="_PLD_4d8f658f0d2a448daeca76f336a59d23" addr="T0R0C9S1_1"/>
      <m:placeholder xlName="_PLD_d04cf5ced0534093aec1047037006dd8" addr="T0R0C10S1_1"/>
      <m:placeholder xlName="_PLD_935936455b3248e4a021d727967158db" addr="T0R0C11S1_1"/>
      <m:placeholder xlName="_PLD_ac2e6f7198ec4535a1d1ee9273abe883" addr="T0R0C12S1_1"/>
      <m:placeholder xlName="_PLD_077ebbf0cef94b25b89f584519eacaff" addr="T0R0C13S1_1"/>
      <m:placeholder xlName="_PLD_248d4357adbe496f8c8762787e96b620" addr="T0R0C14S1_1"/>
      <m:tuple xlName="_GBC_eaad2c22c7674139a0bf80a712d53017" concept="clcid-pte:YiLanZiJiaoYiMingXi" default_row="2" addr="T0R1C">
        <m:item xlName="_GBC_d2c9e9870fb84ef4b879694940f39fed" concept="clcid-pte:YiLanZiJiaoYiMingXiZiGongSiMingCheng" label="一揽子交易明细-子公司名称" addr="T0R1C0S1_1" appId="_GBC_e6f3d37855e449019a6622e1be89743b"/>
        <m:item xlName="_GBC_3e641193789f44259c840b4feb52eb0b" concept="clcid-pte:YiLanZiJiaoYiMingXiGuQuanChuZhiShiDian" label="一揽子交易明细-股权处置时点" addr="T0R1C1S1_1" appId="_GBC_e6f3d37855e449019a6622e1be89743b"/>
        <m:item xlName="_GBC_a91984e91a6d4887bf378370d48d2b1f" concept="clcid-pte:YiLanZiJiaoYiMingXiGuQuanChuZhiJiaKuan" label="一揽子交易明细-股权处置价款" mulRef="_GBC_61f63e18388a4e04b8e63aad24ea4894" unitRef="_GBC_df8e0aaf1a094719ba673b20c876505d" addr="T0R1C2S1_1" formatStyle="Comma" appId="_GBC_e6f3d37855e449019a6622e1be89743b"/>
        <m:item xlName="_GBC_e7d5ac14fdf74635bf10d6d45cc554f3" concept="clcid-pte:YiLanZiJiaoYiMingXiGuQuanChuZhiBiLi" label="一揽子交易明细-股权处置比例" addr="T0R1C3S1_1" baseScale="0.01" formatStyle="Comma" appId="_GBC_e6f3d37855e449019a6622e1be89743b"/>
        <m:item xlName="_GBC_d77fa9d73a614a1c882c5b953a639181" concept="clcid-pte:YiLanZiJiaoYiMingXiGuQuanChuZhiFangShi" label="一揽子交易明细-股权处置方式" addr="T0R1C4S1_1" appId="_GBC_e6f3d37855e449019a6622e1be89743b"/>
        <m:item xlName="_GBC_7771093a2d61435dbdbf9b4d6df5fb3b" concept="clcid-pte:YiLanZiJiaoYiMingXiChuZhiJiaKuanYuChuZhiTouZiDuiYingDeHeBingCaiWuBaoBiaoCengMianXiangYouGaiZiGongSiJingZiChanFenEDeChaE" label="一揽子交易明细-处置价款与处置投资对应的合并财务报表层面享有该子公司净资产份额的差额" mulRef="_GBC_61f63e18388a4e04b8e63aad24ea4894" unitRef="_GBC_df8e0aaf1a094719ba673b20c876505d" addr="T0R1C5S1_1" formatStyle="Comma" appId="_GBC_e6f3d37855e449019a6622e1be89743b"/>
        <m:item xlName="_GBC_9e334246f0ce4a9795d8b5600fbbd02d" concept="clcid-pte:YiLanZiJiaoYiMingXiSangShiKongZhiQuanDeShiDian" label="一揽子交易明细-丧失控制权的时点" addr="T0R1C6S1_1" appId="_GBC_e6f3d37855e449019a6622e1be89743b"/>
        <m:item xlName="_GBC_25eadf54522c4def81aa0d03c868a23a" concept="clcid-pte:YiLanZiJiaoYiMingXiSangShiKongZhiQuanShiDianDeQueDingYiJu" label="一揽子交易明细-丧失控制权时点的确定依据" addr="T0R1C7S1_1" appId="_GBC_e6f3d37855e449019a6622e1be89743b"/>
        <m:item xlName="_GBC_ba08b17085cb468c8d21725852896486" concept="clcid-pte:YiLanZiJiaoYiMingXiSangShiKongZhiQuanZhiRiShengYuGuQuanDeBiLi" label="一揽子交易明细-丧失控制权之日剩余股权的比例" addr="T0R1C8S1_1" baseScale="0.01" formatStyle="Comma" appId="_GBC_e6f3d37855e449019a6622e1be89743b"/>
        <m:item xlName="_GBC_f400430387c443c1a3f78b81ffa8867a" concept="clcid-pte:YiLanZiJiaoYiMingXiSangShiKongZhiQuanZhiRiShengYuGuQuanDeZhangMianJiaZhi" label="一揽子交易明细-丧失控制权之日剩余股权的账面价值" mulRef="_GBC_61f63e18388a4e04b8e63aad24ea4894" unitRef="_GBC_df8e0aaf1a094719ba673b20c876505d" addr="T0R1C9S1_1" formatStyle="Comma" appId="_GBC_e6f3d37855e449019a6622e1be89743b"/>
        <m:item xlName="_GBC_5182f74812594520afa74ccbe74d1fa3" concept="clcid-pte:YiLanZiJiaoYiMingXiSangShiKongZhiQuanZhiRiShengYuGuQuanDeGongYunJiaZhi" label="一揽子交易明细-丧失控制权之日剩余股权的公允价值" mulRef="_GBC_61f63e18388a4e04b8e63aad24ea4894" unitRef="_GBC_df8e0aaf1a094719ba673b20c876505d" addr="T0R1C10S1_1" formatStyle="Comma" appId="_GBC_e6f3d37855e449019a6622e1be89743b"/>
        <m:item xlName="_GBC_4a28f7bc1bbf426ca9cc90eeb477d558" concept="clcid-pte:YiLanZiJiaoYiMingXiAnZhaoGongYunJiaZhiZhongXinJiLiangShengYuGuQuanChanShengDeLiDeHuoSunShi" label="一揽子交易明细-按照公允价值重新计量剩余股权产生的利得或损失" mulRef="_GBC_61f63e18388a4e04b8e63aad24ea4894" unitRef="_GBC_df8e0aaf1a094719ba673b20c876505d" addr="T0R1C11S1_1" formatStyle="Comma" appId="_GBC_e6f3d37855e449019a6622e1be89743b"/>
        <m:item xlName="_GBC_8bfa2ef7d41a4e9d8a0ca48e2233c18c" concept="clcid-pte:YiLanZiJiaoYiMingXiSangShiKongZhiQuanZhiRiShengYuGuQuanGongYunJiaZhiDeQueDingFangFaJiZhuYaoJiaShe" label="一揽子交易明细-丧失控制权之日剩余股权公允价值的确定方法及主要假设" addr="T0R1C12S1_1" appId="_GBC_e6f3d37855e449019a6622e1be89743b"/>
        <m:item xlName="_GBC_d951df761dea439b89f60c43123fad67" concept="clcid-pte:YiLanZiJiaoYiMingXiYuYuanZiGongSiGuQuanTouZiXiangGuanDeQiTaZongHeShouYiZhuanRuTouZiSunYiDeJinE" label="一揽子交易明细-与原子公司股权投资相关的其他综合收益转入投资损益的金额" mulRef="_GBC_61f63e18388a4e04b8e63aad24ea4894" unitRef="_GBC_df8e0aaf1a094719ba673b20c876505d" addr="T0R1C13S1_1" formatStyle="Comma" appId="_GBC_e6f3d37855e449019a6622e1be89743b"/>
        <m:item xlName="_GBC_af594877d3ef4f47a3c2966e9b37bd24"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61f63e18388a4e04b8e63aad24ea4894" unitRef="_GBC_df8e0aaf1a094719ba673b20c876505d" addr="T0R1C14S1_1" formatStyle="Comma" appId="_GBC_e6f3d37855e449019a6622e1be89743b"/>
      </m:tuple>
      <m:item xlName="_GBC_22b91da1d9624ccd88886467936abc29"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22b91da1d9624ccd88886467936abc29&quot;,&quot;EndName&quot;:&quot;_GBC_785c455eb8564b0d91b12fb720dfd42c&quot;,&quot;CType&quot;:1,&quot;DisplayText&quot;:null}"/>
      <m:item xlName="_GBC_785c455eb8564b0d91b12fb720dfd42c" concept="clcid-pte:FenBuChuZhiGuQuanZhiSangShiKongZhiQuanGuoChengZhongDeGeXiangJiaoYiGouChengYiLanZiJiaoYiDeYuanYin" label="分步处置股权至丧失控制权过程中的各项交易构成一揽子交易的原因" appId="_GBC_22b91da1d9624ccd88886467936abc29"/>
      <m:item xlName="_GBC_9f5d19019df14d818c7df2aeed9d641c" concept="clcid-ci-ar:ShiFouShiYongYiLanZiJiaoYiDeShuoMing" label="是否适用：一揽子交易的说明" selectOptions="_buildInAppliance" controlType="CustomCheckbox" cRanges="{&quot;StartName&quot;:&quot;_GBC_9f5d19019df14d818c7df2aeed9d641c&quot;,&quot;EndName&quot;:&quot;_GBC_3f60af2f826f4d358c70310ac7ceed06&quot;,&quot;CType&quot;:1,&quot;DisplayText&quot;:null}"/>
      <m:item xlName="_GBC_3f60af2f826f4d358c70310ac7ceed06" concept="clcid-pte:YiLanZiJiaoYiDeShuoMing" label="一揽子交易的说明" appId="_GBC_9f5d19019df14d818c7df2aeed9d641c"/>
    </m:section>
    <m:section xlName="_GBC_2bb504c17d764763a1c53c9e8495e036" title="非一揽子交易" helpId="112001139" helpText="注：分别说明前期和本期处置股权的时点、价款、比例及方式。">
      <m:item xlName="_GBC_6cb4822dc1ff49b5bec1b20f3c5764c6" concept="clcid-pte:ShiFouShiYongFeiYiLanZiJiaoYi" label="是否适用：非一揽子交易" selectOptions="_buildInAppliance" controlType="CustomCheckbox" cRanges="{&quot;StartName&quot;:&quot;_GBC_6cb4822dc1ff49b5bec1b20f3c5764c6&quot;,&quot;EndName&quot;:&quot;_GBC_af04e0e50b4c4b289cbc6f7eefb7b82d&quot;,&quot;CType&quot;:1,&quot;DisplayText&quot;:null}"/>
      <m:item xlName="_GBC_65ab6123c1ba4d7eb89a331cbded88aa" concept="clcid-ci-ar:DanWeiCaiWuFuZhuFeiYiLanZiJiaoYi" label="单位：财务附注：非一揽子交易" selectOptions="_buildInScales" controlType="Combobox" cellType="Scale" appId="_GBC_6cb4822dc1ff49b5bec1b20f3c5764c6"/>
      <m:item xlName="_GBC_2e4a884dcf6941c6aa7805a3b6ed2898" concept="clcid-ci-ar:BiZhongCaiWuFuZhuFeiYiLanZiJiaoYi" label="币种：财务附注：非一揽子交易" selectOptions="_buildInISO4217" controlType="Combobox" cellType="Measure" appId="_GBC_6cb4822dc1ff49b5bec1b20f3c5764c6"/>
      <m:placeholder xlName="_PLD_13eadff5ac0645df8a502ac8d1ffe8aa" addr="T0R0C0S1_1"/>
      <m:placeholder xlName="_PLD_7c4a357494b04fd380d4deb12271902a" addr="T0R0C1S1_1"/>
      <m:placeholder xlName="_PLD_373714825b074789a201322741212d13" addr="T0R0C2S1_1"/>
      <m:placeholder xlName="_PLD_92aff9aa94784cdc891268d80b130071" addr="T0R0C3S1_1"/>
      <m:placeholder xlName="_PLD_78ad440c6f2a483b9342639dacd1a6e5" addr="T0R0C4S1_1"/>
      <m:placeholder xlName="_PLD_4b1e53c4aaa34b5a86265cc4ed9c6b0d" addr="T0R0C5S1_1"/>
      <m:placeholder xlName="_PLD_c7ffc573d8a3449998f3f779c2a74f64" addr="T0R0C6S1_1"/>
      <m:placeholder xlName="_PLD_e54bab9c4e23497495f16188936df7a8" addr="T0R0C7S1_1"/>
      <m:placeholder xlName="_PLD_7f0d018e2415481a9c7025f74ffc2db5" addr="T0R0C8S1_1"/>
      <m:placeholder xlName="_PLD_4f09afcac253414e80d0edd1548cdf0e" addr="T0R0C9S1_1"/>
      <m:placeholder xlName="_PLD_630ea6fb1b0c4d83b3ee4deb3514ef02" addr="T0R0C10S1_1"/>
      <m:placeholder xlName="_PLD_141e55c7830f4864b93f717b80d5feab" addr="T0R0C11S1_1"/>
      <m:placeholder xlName="_PLD_056d2391d2704cfabdeec6fb54159406" addr="T0R0C12S1_1"/>
      <m:placeholder xlName="_PLD_e97478b5b261428aa650fc654b53d7c2" addr="T0R0C13S1_1"/>
      <m:tuple xlName="_GBC_0f89324cceca4c7089da6fd75f48862b" concept="clcid-pte:FeiYiLanZiJiaoYiMingXi" default_row="2" addr="T0R1C">
        <m:item xlName="_GBC_ec73ad0ee30c4e6ea4dd9e7eb83d400e" concept="clcid-pte:FeiYiLanZiJiaoYiMingXiZiGongSiMingCheng" label="非一揽子交易明细-子公司名称" addr="T0R1C0S1_1" appId="_GBC_6cb4822dc1ff49b5bec1b20f3c5764c6"/>
        <m:item xlName="_GBC_fc373ced6ee54d989dcff5b3ed9e52e9" concept="clcid-pte:FeiYiLanZiJiaoYiMingXiGuQuanChuZhiShiDian" label="非一揽子交易明细-股权处置时点" addr="T0R1C1S1_1" appId="_GBC_6cb4822dc1ff49b5bec1b20f3c5764c6"/>
        <m:item xlName="_GBC_d049c2099b214818a3dc0ae4b4ec3ab3" concept="clcid-pte:FeiYiLanZiJiaoYiMingXiGuQuanChuZhiJiaKuan" label="非一揽子交易明细-股权处置价款" mulRef="_GBC_65ab6123c1ba4d7eb89a331cbded88aa" unitRef="_GBC_2e4a884dcf6941c6aa7805a3b6ed2898" addr="T0R1C2S1_1" formatStyle="Comma" appId="_GBC_6cb4822dc1ff49b5bec1b20f3c5764c6"/>
        <m:item xlName="_GBC_2460f3063a4d4e7db4748255d16d8d8c" concept="clcid-pte:FeiYiLanZiJiaoYiMingXiGuQuanChuZhiBiLi" label="非一揽子交易明细-股权处置比例" addr="T0R1C3S1_1" baseScale="0.01" formatStyle="Comma" appId="_GBC_6cb4822dc1ff49b5bec1b20f3c5764c6"/>
        <m:item xlName="_GBC_ca8b3d4914234596a495381fec431c02" concept="clcid-pte:FeiYiLanZiJiaoYiMingXiGuQuanChuZhiFangShi" label="非一揽子交易明细-股权处置方式" addr="T0R1C4S1_1" appId="_GBC_6cb4822dc1ff49b5bec1b20f3c5764c6"/>
        <m:item xlName="_GBC_087c9d4afec0450381b725620a9bbb0d"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65ab6123c1ba4d7eb89a331cbded88aa" unitRef="_GBC_2e4a884dcf6941c6aa7805a3b6ed2898" addr="T0R1C5S1_1" formatStyle="Comma" appId="_GBC_6cb4822dc1ff49b5bec1b20f3c5764c6"/>
        <m:item xlName="_GBC_fbbe1dcbaa6343dca4b32964dc68b63e" concept="clcid-pte:FeiYiLanZiJiaoYiMingXiSangShiKongZhiQuanDeShiDian" label="非一揽子交易明细-丧失控制权的时点" addr="T0R1C6S1_1" appId="_GBC_6cb4822dc1ff49b5bec1b20f3c5764c6"/>
        <m:item xlName="_GBC_787ac1f8c6d54856918eb08e4f5b61f8" concept="clcid-pte:FeiYiLanZiJiaoYiMingXiSangShiKongZhiQuanShiDianDeQueDingYiJu" label="非一揽子交易明细-丧失控制权时点的确定依据" addr="T0R1C7S1_1" appId="_GBC_6cb4822dc1ff49b5bec1b20f3c5764c6"/>
        <m:item xlName="_GBC_0d8c30d88d5b48ddb0a8276045eadb90" concept="clcid-pte:FeiYiLanZiJiaoYiMingXiSangShiKongZhiQuanZhiRiShengYuGuQuanDeBiLi" label="非一揽子交易明细-丧失控制权之日剩余股权的比例" addr="T0R1C8S1_1" baseScale="0.01" formatStyle="Comma" appId="_GBC_6cb4822dc1ff49b5bec1b20f3c5764c6"/>
        <m:item xlName="_GBC_434354ecd3af45a9a04b372c0908310b" concept="clcid-pte:FeiYiLanZiJiaoYiMingXiSangShiKongZhiQuanZhiRiShengYuGuQuanDeZhangMianJiaZhi" label="非一揽子交易明细-丧失控制权之日剩余股权的账面价值" mulRef="_GBC_65ab6123c1ba4d7eb89a331cbded88aa" unitRef="_GBC_2e4a884dcf6941c6aa7805a3b6ed2898" addr="T0R1C9S1_1" formatStyle="Comma" appId="_GBC_6cb4822dc1ff49b5bec1b20f3c5764c6"/>
        <m:item xlName="_GBC_25df0224a4d148b88c9a23fc57efd4f4" concept="clcid-pte:FeiYiLanZiJiaoYiMingXiSangShiKongZhiQuanZhiRiShengYuGuQuanDeGongYunJiaZhi" label="非一揽子交易明细-丧失控制权之日剩余股权的公允价值" mulRef="_GBC_65ab6123c1ba4d7eb89a331cbded88aa" unitRef="_GBC_2e4a884dcf6941c6aa7805a3b6ed2898" addr="T0R1C10S1_1" formatStyle="Comma" appId="_GBC_6cb4822dc1ff49b5bec1b20f3c5764c6"/>
        <m:item xlName="_GBC_0943cd8758104b75897251a54a6d14e6" concept="clcid-pte:FeiYiLanZiJiaoYiMingXiAnZhaoGongYunJiaZhiZhongXinJiLiangShengYuGuQuanChanShengDeLiDeHuoSunShi" label="非一揽子交易明细-按照公允价值重新计量剩余股权产生的利得或损失" mulRef="_GBC_65ab6123c1ba4d7eb89a331cbded88aa" unitRef="_GBC_2e4a884dcf6941c6aa7805a3b6ed2898" addr="T0R1C11S1_1" formatStyle="Comma" appId="_GBC_6cb4822dc1ff49b5bec1b20f3c5764c6"/>
        <m:item xlName="_GBC_a045b16fa3624834becefa8683a08e63" concept="clcid-pte:FeiYiLanZiJiaoYiMingXiSangShiKongZhiQuanZhiRiShengYuGuQuanGongYunJiaZhiDeQueDingFangFaJiZhuYaoJiaShe" label="非一揽子交易明细-丧失控制权之日剩余股权公允价值的确定方法及主要假设" addr="T0R1C12S1_1" appId="_GBC_6cb4822dc1ff49b5bec1b20f3c5764c6"/>
        <m:item xlName="_GBC_2c5e015a60a447b4a494ffbf8b58f9f2" concept="clcid-pte:FeiYiLanZiJiaoYiMingXiYuYuanZiGongSiGuQuanTouZiXiangGuanDeQiTaZongHeShouYiZhuanRuTouZiSunYiDeJinE" label="非一揽子交易明细-与原子公司股权投资相关的其他综合收益转入投资损益的金额" mulRef="_GBC_65ab6123c1ba4d7eb89a331cbded88aa" unitRef="_GBC_2e4a884dcf6941c6aa7805a3b6ed2898" addr="T0R1C13S1_1" formatStyle="Comma" appId="_GBC_6cb4822dc1ff49b5bec1b20f3c5764c6"/>
      </m:tuple>
      <m:item xlName="_GBC_ed0c2c04b4764c7c921e13cad75bcc8c"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ed0c2c04b4764c7c921e13cad75bcc8c&quot;,&quot;EndName&quot;:&quot;_GBC_3e1adf630d02402c9239401911521c9e&quot;,&quot;CType&quot;:1,&quot;DisplayText&quot;:null}"/>
      <m:item xlName="_GBC_3e1adf630d02402c9239401911521c9e" concept="clcid-pte:FenBuChuZhiGuQuanZhiSangShiKongZhiQuanGuoChengZhongDeGeXiangJiaoYiBuGouChengYiLanZiJiaoYiDeYuanYin" label="分步处置股权至丧失控制权过程中的各项交易不构成一揽子交易的原因" appId="_GBC_ed0c2c04b4764c7c921e13cad75bcc8c"/>
      <m:item xlName="_GBC_a8cf3e1f7e05466998a3fe94e2bcb19c" concept="clcid-ci-ar:ShiFouShiYongFeiYiLanZiJiaoYiDeShuoMing" label="是否适用：非一揽子交易的说明" selectOptions="_buildInAppliance" controlType="CustomCheckbox" cRanges="{&quot;StartName&quot;:&quot;_GBC_a8cf3e1f7e05466998a3fe94e2bcb19c&quot;,&quot;EndName&quot;:&quot;_GBC_af04e0e50b4c4b289cbc6f7eefb7b82d&quot;,&quot;CType&quot;:1,&quot;DisplayText&quot;:null}"/>
      <m:item xlName="_GBC_af04e0e50b4c4b289cbc6f7eefb7b82d" concept="clcid-pte:FeiYiLanZiJiaoYiDeShuoMing" label="非一揽子交易的说明" appId="_GBC_a8cf3e1f7e05466998a3fe94e2bcb19c"/>
    </m:section>
    <m:section xlName="_GBC_c61d869cb31c439992bb2118c8eaac1e" title="其他原因的合并范围变动" helpId="112001141">
      <m:item xlName="_GBC_55cbf4f78793498cb1532f08bfbb61f4" concept="clcid-ci-ar:ShiFouShiYongQiTaYuanYinDaoZhiDeHeBingFanWeiBianDongJiQiXiangGuanQingKuang" label="是否适用：其他原因导致的合并范围变动及其相关情况" selectOptions="_buildInAppliance" controlType="CustomCheckbox" cRanges="{&quot;StartName&quot;:&quot;_GBC_55cbf4f78793498cb1532f08bfbb61f4&quot;,&quot;EndName&quot;:&quot;_GBC_c83a0d19a27e42c0927cf85c8c6221e2&quot;,&quot;CType&quot;:1,&quot;DisplayText&quot;:null}"/>
      <m:item xlName="_GBC_c83a0d19a27e42c0927cf85c8c6221e2" concept="clcid-pte:QiTaYuanYinDeHeBingFanWeiBianDong" label="其他原因的合并范围变动" appId="_GBC_55cbf4f78793498cb1532f08bfbb61f4"/>
    </m:section>
    <m:section xlName="_GBC_8ddcb59af8af49d295c61727d65b8301" title="同一控制下企业合并其他" helpId="112001142">
      <m:item xlName="_GBC_cca0ea12df6c44878cdcbeced06ed993" concept="clcid-ci-ar:ShiFouShiYongHeBingFanWeiDeBianGengQiTaShuoMing" label="是否适用：合并范围的变更-其他说明" selectOptions="_buildInAppliance" controlType="CustomCheckbox" cRanges="{&quot;StartName&quot;:&quot;_GBC_cca0ea12df6c44878cdcbeced06ed993&quot;,&quot;EndName&quot;:&quot;_GBC_3c0ba58e11b748c98de8632d20e4e46a&quot;,&quot;CType&quot;:1,&quot;DisplayText&quot;:null}"/>
      <m:item xlName="_GBC_3c0ba58e11b748c98de8632d20e4e46a" concept="clcid-pte:HeBingFanWeiDeBianGengQiTaShuoMing" label="合并范围的变更-其他说明" appId="_GBC_cca0ea12df6c44878cdcbeced06ed993"/>
    </m:section>
    <m:section xlName="_GBC_47f8b786d9024ebb977349f022d18c1c" title="企业集团的构成" rules="R2015_R11_031" helpId="112001143">
      <m:item xlName="_GBC_34a27c9c622e483cb4651d6ff3bc0d5a" concept="clcid-ci-ar:ShiFouShiYongQiYeJiTuanDeGouCheng" label="是否适用：企业集团的构成" selectOptions="_buildInAppliance" controlType="CustomCheckbox" cRanges="{&quot;StartName&quot;:&quot;_GBC_34a27c9c622e483cb4651d6ff3bc0d5a&quot;,&quot;EndName&quot;:&quot;_GBC_7dc3099f920f4546b2a983c0eb4c2ce0&quot;,&quot;CType&quot;:1,&quot;DisplayText&quot;:null}"/>
      <m:placeholder xlName="_PLD_e6e24505838941c88a7f70e573a1261c" addr="T0R0C0S2_1"/>
      <m:placeholder xlName="_PLD_056e18f052024978add90fe8aacf887d" addr="T0R0C1S2_1"/>
      <m:placeholder xlName="_PLD_591af8ff23104790a7ac5dbb3278e185" addr="T0R0C2S2_1"/>
      <m:placeholder xlName="_PLD_00f166f7d07d4fab80fa91c95fb5d089" addr="T0R0C3S2_1"/>
      <m:placeholder xlName="_PLD_312b40f444994b628fc2b8c3e4c90fdc" addr="T0R0C4S1_2"/>
      <m:placeholder xlName="_PLD_7955b51c085a48948cb5518baa55ee50" addr="T0R0C6S2_1"/>
      <m:placeholder xlName="_PLD_ab045acafe9d4890848568705ddd5475" addr="T0R1C4S1_1"/>
      <m:placeholder xlName="_PLD_78e5db032e5044cba22bc40c16ee940a"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34a27c9c622e483cb4651d6ff3bc0d5a"/>
        <m:item xlName="_GBC_8a77a8471b3246608e70115994bf107d" concept="clcid-pte:QiYeHeBingJiHeBingCaiWuBaoBiaoMingXiZhuYaoJingYingDi" label="企业合并及合并财务报表明细－主要经营地" addr="T0R2C1S1_1" appId="_GBC_34a27c9c622e483cb4651d6ff3bc0d5a"/>
        <m:item xlName="_GBC_8830a6b9b2b449babcaa6668f8fd88a8" concept="clcid-pte:QiYeHeBingJiHeBingCaiWuBaoBiaoMingXiZhuCeDi" label="企业合并及合并财务报表明细－注册地" addr="T0R2C2S1_1" appId="_GBC_34a27c9c622e483cb4651d6ff3bc0d5a"/>
        <m:item xlName="_GBC_66cd68062d3f4d66bf1a834bace109a7" concept="clcid-pte:QiYeHeBingJiHeBingCaiWuBaoBiaoMingXiYeWuXingZhi" label="企业合并及合并财务报表明细－业务性质" addr="T0R2C3S1_1" appId="_GBC_34a27c9c622e483cb4651d6ff3bc0d5a"/>
        <m:item xlName="_GBC_181e436e62c34b88ba2844c3b8684a70" concept="clcid-pte:QiYeHeBingJiHeBingCaiWuBaoBiaoMingXiZhiJieChiGuBiLi" label="企业合并及合并财务报表明细－直接持股比例" addr="T0R2C4S1_1" baseScale="0.01" formatStyle="Comma" appId="_GBC_34a27c9c622e483cb4651d6ff3bc0d5a"/>
        <m:item xlName="_GBC_209ebbd586724df5983e017cc514344f" concept="clcid-pte:QiYeHeBingJiHeBingCaiWuBaoBiaoMingXiJianJieChiGuBiLi" label="企业合并及合并财务报表明细－间接持股比例" addr="T0R2C5S1_1" baseScale="0.01" formatStyle="Comma" appId="_GBC_34a27c9c622e483cb4651d6ff3bc0d5a"/>
        <m:item xlName="_GBC_e214440b23e04cb09f1d3c16109a2005" concept="clcid-pte:QiYeHeBingJiHeBingCaiWuBaoBiaoMingXiQuDeFangShi" label="企业合并及合并财务报表明细－取得方式" addr="T0R2C6S1_1" appId="_GBC_34a27c9c622e483cb4651d6ff3bc0d5a"/>
      </m:tuple>
      <m:item xlName="_GBC_b7be591163dc47e4b00f98006e6fbb0b" concept="clcid-pte:ZaiZiGongSiDeChiGuBiLiBuTongYuBiaoJueQuanBiLiDeShuoMing" label="在子公司的持股比例不同于表决权比例的说明" appId="_GBC_34a27c9c622e483cb4651d6ff3bc0d5a"/>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34a27c9c622e483cb4651d6ff3bc0d5a"/>
      <m:item xlName="_GBC_254d83ec47cd4003902f2d0f6017d432" concept="clcid-pte:DuiYuNaRuHeBingFanWeiDeZhongYaoDeJieGouHuaZhuTiKongZhiDeYiJu" label="对于纳入合并范围的重要的结构化主体，控制的依据" appId="_GBC_34a27c9c622e483cb4651d6ff3bc0d5a"/>
      <m:item xlName="_GBC_f515cb0c8a654271b5991b0accabe800" concept="clcid-pte:QueDingGongSiShiDaiLiRenHuanShiWeiTuoRenDeYiJu" label="确定公司是代理人还是委托人的依据" appId="_GBC_34a27c9c622e483cb4651d6ff3bc0d5a"/>
      <m:item xlName="_GBC_7dc3099f920f4546b2a983c0eb4c2ce0" concept="clcid-pte:QiYeJiTuanDeGouChengDeQiTaXuYaoShuoMingDeShiXiang" label="企业集团的构成的其他需要说明的事项" appId="_GBC_34a27c9c622e483cb4651d6ff3bc0d5a"/>
    </m:section>
    <m:section xlName="_GBC_a2ec6e05ebd34d2fa14b1ba6b3ba8eb1" title="重要的非全资子公司" rules="R2015_R11_031" helpId="112001144">
      <m:item xlName="_GBC_b83f349d0d754e2d93b12d2112b4c3ec" concept="clcid-ci-ar:ShiFouShiYongZhongYaoDeFeiQuanZiZiGongSi" label="是否适用：重要的非全资子公司" selectOptions="_buildInAppliance" controlType="CustomCheckbox" cRanges="{&quot;StartName&quot;:&quot;_GBC_b83f349d0d754e2d93b12d2112b4c3ec&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b83f349d0d754e2d93b12d2112b4c3ec"/>
      <m:item xlName="_GBC_5ffac6aa0e464031b94de604fccc76c7" concept="clcid-ci-ar:BiZhongCaiWuFuZhuZhongYaoDeFeiQuanZiZiGongSi" label="币种：财务附注：重要的非全资子公司" selectOptions="_buildInISO4217" controlType="Combobox" cellType="Measure" appId="_GBC_b83f349d0d754e2d93b12d2112b4c3ec"/>
      <m:placeholder xlName="_PLD_214f5d23d0ff4cd08577f444026e3bf2" addr="T0R0C0S1_1"/>
      <m:placeholder xlName="_PLD_8f337a5f047e4f5eb2e03caf3b5ce2bb" addr="T0R0C1S1_1"/>
      <m:placeholder xlName="_PLD_70aca7c8f09a4a579e632e06c25a6ab5" addr="T0R0C2S1_1"/>
      <m:placeholder xlName="_PLD_4154a89239e54416bb4c7ab182b0ae5a" addr="T0R0C3S1_1"/>
      <m:placeholder xlName="_PLD_cea34ef7af164cc8816d90890b528f36"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b83f349d0d754e2d93b12d2112b4c3ec"/>
        <m:item xlName="_GBC_3a47d0653eb74c8c9194e31dd10ed288" concept="clcid-pte:ZhongYaoDeFeiQuanZiZiGongSiMingXiShaoShuGuDongDeChiGuBiLi" label="重要的非全资子公司明细-少数股东的持股比例" addr="T0R1C1S1_1" baseScale="0.01" formatStyle="Comma" appId="_GBC_b83f349d0d754e2d93b12d2112b4c3ec"/>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b83f349d0d754e2d93b12d2112b4c3ec"/>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b83f349d0d754e2d93b12d2112b4c3ec"/>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b83f349d0d754e2d93b12d2112b4c3ec"/>
      </m:tuple>
      <m:item xlName="_GBC_8bf91d6e05c644d1b37f5d88e434cb9e" concept="clcid-ci-ar:ShiFouShiYongZiGongSiShaoShuGuDongDeChiGuBiLiBuTongYuBiaoJueQuanBiLiDeShuoMing" label="是否适用：子公司少数股东的持股比例不同于表决权比例的说明" selectOptions="_buildInAppliance" controlType="CustomCheckbox" cRanges="{&quot;StartName&quot;:&quot;_GBC_8bf91d6e05c644d1b37f5d88e434cb9e&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8bf91d6e05c644d1b37f5d88e434cb9e"/>
      <m:item xlName="_GBC_c511ac7f8f1f42bfa9130e28b68d1f19" concept="clcid-ci-ar:ShiFouShiYongZhongYaoDeFeiQuanZiZiGongSiQiTaShuoMing" label="是否适用：重要的非全资子公司其他说明" selectOptions="_buildInAppliance" controlType="CustomCheckbox" cRanges="{&quot;StartName&quot;:&quot;_GBC_c511ac7f8f1f42bfa9130e28b68d1f19&quot;,&quot;EndName&quot;:&quot;_GBC_e8d23efad2b8462e86d46785d27ff7c9&quot;,&quot;CType&quot;:1,&quot;DisplayText&quot;:null}"/>
      <m:item xlName="_GBC_e8d23efad2b8462e86d46785d27ff7c9" concept="clcid-pte:ZhongYaoDeFeiQuanZiZiGongSiDeQiTaShuoMing" label="重要的非全资子公司的其他说明" appId="_GBC_c511ac7f8f1f42bfa9130e28b68d1f19"/>
    </m:section>
    <m:section xlName="_GBC_501222dd8f884fabbdeaec6fe7e79709" title="重要非全资子公司的主要财务信息" rules="R2015_R11_031"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addr="T0R0C0S2_1"/>
      <m:placeholder xlName="_PLD_878e21e6ce5e466eb427e7200cc9e5bb" addr="T0R0C1S1_6"/>
      <m:placeholder xlName="_PLD_86b93e4e78424106874bd84d54fb24df" addr="T0R0C7S1_6"/>
      <m:placeholder xlName="_PLD_0154d63f3f2c482ebe0cf00460d87fbd" addr="T0R1C1S1_1"/>
      <m:placeholder xlName="_PLD_0f817c02730447aca042c6a931d447e8" addr="T0R1C2S1_1"/>
      <m:placeholder xlName="_PLD_553e0814e94f491784b88cc5aa7d6adb" addr="T0R1C3S1_1"/>
      <m:placeholder xlName="_PLD_3db84901ffa544afb174531f0384a82f" addr="T0R1C4S1_1"/>
      <m:placeholder xlName="_PLD_50c217cc437b4c3496e1aab622fba053" addr="T0R1C5S1_1"/>
      <m:placeholder xlName="_PLD_ccd9a8d3652e4485a763cfb37eb6fa37" addr="T0R1C6S1_1"/>
      <m:placeholder xlName="_PLD_ec07cd6513b74d49b586125d4b66dd0a" addr="T0R1C7S1_1"/>
      <m:placeholder xlName="_PLD_fb97ce65ab144768b4fb9978546fce37" addr="T0R1C8S1_1"/>
      <m:placeholder xlName="_PLD_412845ecfd2e45e8ae03b43cf8ca32f4" addr="T0R1C9S1_1"/>
      <m:placeholder xlName="_PLD_2a24724c66b442e994f401266a55d5df" addr="T0R1C10S1_1"/>
      <m:placeholder xlName="_PLD_937f557a5cdb4ea99a0a914e755f781f" addr="T0R1C11S1_1"/>
      <m:placeholder xlName="_PLD_c4b998a44f394e1eb0924a4f19409ff8"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tuple>
      <m:placeholder xlName="_PLD_87ab97227e5642b988e110c5a28abb39" addr="T1R0C0S2_1"/>
      <m:placeholder xlName="_PLD_85f8737cebf641b2aa266052f4118ba8" addr="T1R0C1S1_4"/>
      <m:placeholder xlName="_PLD_32dac50c80854f268b3afdebef20332e" addr="T1R0C5S1_4"/>
      <m:placeholder xlName="_PLD_29407a86c6924579a6442f5b24e6decd" addr="T1R1C1S1_1"/>
      <m:placeholder xlName="_PLD_bc59f1076f2243f8984efa8df921ad2c" addr="T1R1C2S1_1"/>
      <m:placeholder xlName="_PLD_90f87c27e3fb4843892cceb85599a3b1" addr="T1R1C3S1_1"/>
      <m:placeholder xlName="_PLD_3126fb1798f346de95a39458603c4301" addr="T1R1C4S1_1"/>
      <m:placeholder xlName="_PLD_44ccfb27fc6943ac84654ba7c7bef20e" addr="T1R1C5S1_1"/>
      <m:placeholder xlName="_PLD_c08aebbf24fa4b1aa2c4f79232c7c630" addr="T1R1C6S1_1"/>
      <m:placeholder xlName="_PLD_0a377a03553f4d909179190a153a31b7" addr="T1R1C7S1_1"/>
      <m:placeholder xlName="_PLD_400ec1e5e2cf42e5a9eea23ddbdbd572"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item xlName="_GBC_d4aaeca51c634ffea892b86812441771" concept="clcid-ci-ar:ShiFouShiYongShiYongQiYeJiTuanZiChanHeQingChangQiYeJiTuanZhaiWuDeZhongDaXianZhi" label="是否适用：使用企业集团资产和清偿企业集团债务的重大限制" selectOptions="_buildInAppliance" controlType="CustomCheckbox" cRanges="{&quot;StartName&quot;:&quot;_GBC_d4aaeca51c634ffea892b86812441771&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d4aaeca51c634ffea892b86812441771"/>
    </m:section>
    <m:section xlName="_GBC_114877d69a2e4b56b15fb618155127e3" title="向纳入合并财务报表范围的结构化主体提供的财务支持或其他支持" rules="R2015_R11_031" helpId="112001147">
      <m:item xlName="_GBC_3ee0b326ed544ace8060843f29d4cd3a"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ee0b326ed544ace8060843f29d4cd3a&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ee0b326ed544ace8060843f29d4cd3a"/>
    </m:section>
    <m:section xlName="_GBC_a0f68dc0a3a24efaa431a8c8d768eb0f" title="在子公司中的权益其他说明" rules="R2015_R11_031">
      <m:item xlName="_GBC_e4c33fb40d7a42bc88681a9facbf5ba5" concept="clcid-ci-ar:ShiFouShiYongZaiZiGongSiZhongDeQuanYiQiTaShuoMing" label="是否适用：在子公司中的权益其他说明" selectOptions="_buildInAppliance" controlType="CustomCheckbox" cRanges="{&quot;StartName&quot;:&quot;_GBC_e4c33fb40d7a42bc88681a9facbf5ba5&quot;,&quot;EndName&quot;:&quot;_GBC_ad30ae2d72e243c1a0376f0e3c4f0aae&quot;,&quot;CType&quot;:1,&quot;DisplayText&quot;:null}"/>
      <m:item xlName="_GBC_ad30ae2d72e243c1a0376f0e3c4f0aae" concept="clcid-pte:ZaiZiGongSiZhongDeQuanYiQiTaShuoMing" label="在子公司中的权益其他说明" appId="_GBC_e4c33fb40d7a42bc88681a9facbf5ba5"/>
    </m:section>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item xlName="_GBC_5c947dd5a782480db6a7bc23f9bdc87b" concept="clcid-ci-ar:ShiFouShiYongZaiZiGongSiSuoYouZheQuanYiFenEDeBianHuaQingKuangDeShuoMing" label="是否适用：在子公司所有者权益份额的变化情况的说明" selectOptions="_buildInAppliance" controlType="CustomCheckbox" cRanges="{&quot;StartName&quot;:&quot;_GBC_5c947dd5a782480db6a7bc23f9bdc87b&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5c947dd5a782480db6a7bc23f9bdc87b"/>
    </m:section>
    <m:section xlName="_GBC_6c711c3ca3c84136960924716eba5afd" title="交易对于少数股东权益及归属于母公司所有者权益的影响" rules="R2015_R11_031" repeatable="2" helpId="112001148">
      <m:item xlName="_GBC_69fd0bf0624a469082601f65caf81470"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69fd0bf0624a469082601f65caf81470&quot;,&quot;EndName&quot;:&quot;_GBC_a96eb3c292014285bcb2b6ac24fac5df&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51b903d8f50944dc91e91048eba723cd"/>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51b903d8f50944dc91e91048eba723cd"/>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69fd0bf0624a469082601f65caf81470" isCaption="true"/>
      <m:placeholder xlName="_PLD_41335b9d94714d50b7c3bc1db050ee28" addr="T0R1C0S1_2"/>
      <m:placeholder xlName="_PLD_fe11e212fd024265859c2b64afb3b15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69fd0bf0624a469082601f65caf81470"/>
      <m:placeholder xlName="_PLD_94104652466e4907992718d25ff3eba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69fd0bf0624a469082601f65caf81470"/>
      <m:item xlName="_GBC_627eb663e3114afdaa6d41212cd51fd0" concept="clcid-pte:GouMaiChengBenHuoChuZhiDuiJiaKeMuMingCheng1" label="购买成本或处置对价科目名称1" addr="T0R4C0S1_1" tagAction="1" appId="_GBC_69fd0bf0624a469082601f65caf81470"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69fd0bf0624a469082601f65caf81470" isSerialConcept="true" serialDirection="1"/>
      <m:placeholder xlName="_PLD_ae2e27c8cd9d41f781f411ff8a921684"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69fd0bf0624a469082601f65caf81470">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837ec3f4b2a7400ca6084c2167cd8a09"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69fd0bf0624a469082601f65caf81470"/>
      <m:placeholder xlName="_PLD_57afdb429f754f0795030cc5322632d6"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69fd0bf0624a469082601f65caf81470">
        <m:complexRule comparator="Eq" title="交易对于少数股东权益及归属于母公司所有者权益的影响明细-差额" test=" $_GBC_77d1b37cd91c4d08b47b156df3bab09d -  $_GBC_24c956471305437a964c3c5402c49d6a" id="C66911cab984c46fa802bcc1a9f3790bd"/>
      </m:item>
      <m:placeholder xlName="_PLD_797f4b37902241fcb19b821db5fb3a40"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69fd0bf0624a469082601f65caf81470"/>
      <m:placeholder xlName="_PLD_9b13f3ff4b3c4f4cbb3e587894033d8e"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69fd0bf0624a469082601f65caf81470"/>
      <m:placeholder xlName="_PLD_08623083664b410cab5b974bbcb2906b"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69fd0bf0624a469082601f65caf81470"/>
      <m:item xlName="_GBC_6634a1e782124f6cbe61f6956908ceac"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6634a1e782124f6cbe61f6956908ceac&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6634a1e782124f6cbe61f6956908ceac"/>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9973f58b324442d5879a5d16db0cd410" concept="clcid-ci-ar:ShiFouShiYongZhongYaoDeHeYingQiYeHuoLianYingQiYe" label="是否适用：重要的合营企业或联营企业" selectOptions="_buildInAppliance" controlType="CustomCheckbox" cRanges="{&quot;StartName&quot;:&quot;_GBC_9973f58b324442d5879a5d16db0cd410&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31c0fe2068fd4a898e4269df4925aa76"/>
      <m:item xlName="_GBC_95704750d12047c58739551fa2558d6f" concept="clcid-ci-ar:BiZhongCaiWuFuZhuZhongYaoDeHeYingQiYeHuoLianYingQiYe" label="币种：财务附注：重要的合营企业或联营企业" selectOptions="_buildInISO4217" controlType="Combobox" cellType="Measure" appId="_GBC_31c0fe2068fd4a898e4269df4925aa76"/>
      <m:placeholder xlName="_PLD_bb6c91c88e754a5da79068d0b040e152" addr="T0R0C0S2_1"/>
      <m:placeholder xlName="_PLD_4c91d89257574ee1a96260d900b3fdde" addr="T0R0C1S2_1"/>
      <m:placeholder xlName="_PLD_4a3c73442b1947fdae2c0b554e7271a4" addr="T0R0C2S2_1"/>
      <m:placeholder xlName="_PLD_07a3d19678c44b0db85c15fb74bf76d2" addr="T0R0C3S2_1"/>
      <m:placeholder xlName="_PLD_cb67afe7283245a29754ca96c69b89fc" addr="T0R0C4S1_2"/>
      <m:placeholder xlName="_PLD_0fddec4e9b2a4b3aa0f9a08859cf498e" addr="T0R0C6S2_1"/>
      <m:placeholder xlName="_PLD_42f14f52720a4c87819c9bd5211ded18" addr="T0R1C4S1_1"/>
      <m:placeholder xlName="_PLD_e87318e11f6c4411aa17083e3a10cd90"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73f58b324442d5879a5d16db0cd410"/>
        <m:item xlName="_GBC_ef30cc704c124c95a209c58df521b41e" concept="clcid-pte:ZhongYaoDeHeYingQiYeHuoLianYingQiYeMingXiZhuYaoJingYingDi" label="重要的合营企业或联营企业明细-主要经营地" addr="T0R2C1S1_1" appId="_GBC_9973f58b324442d5879a5d16db0cd410"/>
        <m:item xlName="_GBC_15b7a7fea18b45519acd2ab5159490a8" concept="clcid-pte:ZhongYaoDeHeYingQiYeHuoLianYingQiYeMingXiZhuCeDi" label="重要的合营企业或联营企业明细-注册地" addr="T0R2C2S1_1" appId="_GBC_9973f58b324442d5879a5d16db0cd410"/>
        <m:item xlName="_GBC_6e3df046930f4577aed2e2f0d183f386" concept="clcid-pte:ZhongYaoDeHeYingQiYeHuoLianYingQiYeMingXiYeWuXingZhi" label="重要的合营企业或联营企业明细-业务性质" addr="T0R2C3S1_1" appId="_GBC_9973f58b324442d5879a5d16db0cd410"/>
        <m:item xlName="_GBC_45b510b1f8bd4167b53720c6d055ce31" concept="clcid-pte:ZhongYaoDeHeYingQiYeHuoLianYingQiYeMingXiZhiJieChiGuBiLi" label="重要的合营企业或联营企业明细-直接持股比例" addr="T0R2C4S1_1" baseScale="0.01" formatStyle="Comma" appId="_GBC_9973f58b324442d5879a5d16db0cd410"/>
        <m:item xlName="_GBC_2fb425eda7a04343a70fc45ef307b870" concept="clcid-pte:ZhongYaoDeHeYingQiYeHuoLianYingQiYeMingXiJianJieChiGuBiLi" label="重要的合营企业或联营企业明细-间接持股比例" addr="T0R2C5S1_1" baseScale="0.01" formatStyle="Comma" appId="_GBC_9973f58b324442d5879a5d16db0cd410"/>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73f58b324442d5879a5d16db0cd410"/>
      </m:tuple>
      <m:item xlName="_GBC_b18385c11aff4424b360bd0cb4f81376" concept="clcid-pte:ZaiHeYingQiYeHuoLianYingQiYeDeChiGuBiLiBuTongYuBiaoJueQuanBiLiDeShuoMing" label="在合营企业或联营企业的持股比例不同于表决权比例的说明" appId="_GBC_9973f58b324442d5879a5d16db0cd410"/>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73f58b324442d5879a5d16db0cd410"/>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item xlName="_GBC_da11830a5c6b42c39530416552c12c01" concept="clcid-pte:ZhongYaoHeYingQiYeDeZhuYaoCaiWuXinXiFaShengQiJian" label="重要合营企业的主要财务信息-发生期间" addr="T0R0C1S1_1" tagAction="1" tupleRef="clcid-pte:ZhongYaoHeYingQiYeDeZhuYaoCaiWuXinXiMingXi" appId="_GBC_6241cde567c342139ae6186afeea9fb4"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6241cde567c342139ae6186afeea9fb4" isCaption="true" defaultGridSpan="2"/>
      <m:item xlName="_GBC_e077e2339b1f4658bf544e31ba3de781" concept="clcid-pte:ZhongYaoHeYingQiYeDeZhuYaoCaiWuXinXiMingXiQiYeMingCheng" label="重要合营企业的主要财务信息明细-企业名称" addr="T0R1C1S1_1" tupleRef="clcid-pte:ZhongYaoHeYingQiYeDeZhuYaoCaiWuXinXiMingXi" appId="_GBC_6241cde567c342139ae6186afeea9fb4" isCaption="true" iterateOptionValue="2"/>
      <m:item xlName="_GBC_91821fbf821f4c84aab1cef27fefc9c3" concept="clcid-pte:ZhongYaoHeYingQiYeDeZhuYaoCaiWuXinXiMingXiQiYeMingCheng" label="重要合营企业的主要财务信息明细-企业名称" periodRef="上年同期数" addr="T0R1C2S1_1" tupleRef="clcid-pte:ZhongYaoHeYingQiYeDeZhuYaoCaiWuXinXiMingXi" appId="_GBC_6241cde567c342139ae6186afeea9fb4" isCaption="true" iterateOptionValue="2"/>
      <m:placeholder xlName="_PLD_9ffd789dbb7c4e31a572484ad2a45296"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6241cde567c342139ae6186afeea9fb4"/>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6241cde567c342139ae6186afeea9fb4"/>
      <m:placeholder xlName="_PLD_4a1cb8726d22436e8ba85b1197592f0a"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6241cde567c342139ae6186afeea9fb4"/>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6241cde567c342139ae6186afeea9fb4"/>
      <m:placeholder xlName="_PLD_8daba09b5ed94a8aa6505b7dca05cf2d"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6241cde567c342139ae6186afeea9fb4"/>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6241cde567c342139ae6186afeea9fb4"/>
      <m:placeholder xlName="_PLD_209fecb4fe724c6b82edb31261c6cd74"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6241cde567c342139ae6186afeea9fb4">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6241cde567c342139ae6186afeea9fb4">
        <m:complexRule comparator="Eq" title="重要合营企业的主要财务信息明细-资产合计@本期期初数" test=" $_GBC_663e3dc578cd420abbc76ddede78c2e9 +  $_GBC_28ff5bb4f0f240d682ce4684e206a2e5" id="C1fd9eca78c994074bf82b440433ea06c"/>
      </m:item>
      <m:placeholder xlName="_PLD_291f61d225924e5da921a8e369c7fcde"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6241cde567c342139ae6186afeea9fb4"/>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6241cde567c342139ae6186afeea9fb4"/>
      <m:placeholder xlName="_PLD_643910084d97437289ebe011c14a7740"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6241cde567c342139ae6186afeea9fb4"/>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6241cde567c342139ae6186afeea9fb4"/>
      <m:placeholder xlName="_PLD_be9244ec1126466da3e10cb989b74143"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6241cde567c342139ae6186afeea9fb4">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6241cde567c342139ae6186afeea9fb4">
        <m:complexRule comparator="Eq" title="重要合营企业的主要财务信息明细-负债合计@本期期初数" test=" $_GBC_724883561bcd4460920c9c26754127b8 +  $_GBC_cc374a0081644258bf243ab1b8c55eb2" id="C99114026cd324a8688f1dde030f3fc7f"/>
      </m:item>
      <m:placeholder xlName="_PLD_6bb24344915e4616893091f1510047ca"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6241cde567c342139ae6186afeea9fb4"/>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6241cde567c342139ae6186afeea9fb4"/>
      <m:placeholder xlName="_PLD_78dbb2bbc4344f2bb85c89b981e5b2df"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6241cde567c342139ae6186afeea9fb4"/>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6241cde567c342139ae6186afeea9fb4"/>
      <m:placeholder xlName="_PLD_e5e5729910924035948ea1a5c54ad11d"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6241cde567c342139ae6186afeea9fb4"/>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6241cde567c342139ae6186afeea9fb4"/>
      <m:placeholder xlName="_PLD_87081b99a5224e8aae8c08980f703430"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6241cde567c342139ae6186afeea9fb4">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6241cde567c342139ae6186afeea9fb4">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b0dd15e8ca4f40a2b270d8c2f895a375"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6241cde567c342139ae6186afeea9fb4"/>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6241cde567c342139ae6186afeea9fb4"/>
      <m:placeholder xlName="_PLD_eae342256b83445e90d37ce603db15dc"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6241cde567c342139ae6186afeea9fb4"/>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6241cde567c342139ae6186afeea9fb4"/>
      <m:placeholder xlName="_PLD_0ad459b52a86446d9d6ad4a22cc4f4a1"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6241cde567c342139ae6186afeea9fb4"/>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6241cde567c342139ae6186afeea9fb4"/>
      <m:placeholder xlName="_PLD_f78fb3279ec849b0916e018a989f4c0b"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6241cde567c342139ae6186afeea9fb4"/>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6241cde567c342139ae6186afeea9fb4"/>
      <m:placeholder xlName="_PLD_d5ba41b43763490f82ea9f2e3274b85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6241cde567c342139ae6186afeea9fb4"/>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6241cde567c342139ae6186afeea9fb4"/>
      <m:placeholder xlName="_PLD_7681be0032f74e06af113991cdcbcc6f"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6241cde567c342139ae6186afeea9fb4"/>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6241cde567c342139ae6186afeea9fb4"/>
      <m:placeholder xlName="_PLD_efb10239f1f246c0b37959f181152094"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6241cde567c342139ae6186afeea9fb4"/>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6241cde567c342139ae6186afeea9fb4"/>
      <m:placeholder xlName="_PLD_ec95d25137b44045a46788915c35288d"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6241cde567c342139ae6186afeea9fb4"/>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6241cde567c342139ae6186afeea9fb4"/>
      <m:placeholder xlName="_PLD_e6233a8b7eec48fbbde96bc4d4dfb8a6"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6241cde567c342139ae6186afeea9fb4"/>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6241cde567c342139ae6186afeea9fb4"/>
      <m:placeholder xlName="_PLD_8841bd6dee6e4d83926ea592c6cb4c8b"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6241cde567c342139ae6186afeea9fb4"/>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6241cde567c342139ae6186afeea9fb4"/>
      <m:placeholder xlName="_PLD_1434b71e3c6f4ca6ad287048a1dea2c2"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6241cde567c342139ae6186afeea9fb4"/>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6241cde567c342139ae6186afeea9fb4"/>
      <m:placeholder xlName="_PLD_b138005ba76446bda2b20395dbec27f3"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6241cde567c342139ae6186afeea9fb4"/>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6241cde567c342139ae6186afeea9fb4"/>
      <m:placeholder xlName="_PLD_825923176f594b0db521bb7b5e85a1f2"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6241cde567c342139ae6186afeea9fb4"/>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6241cde567c342139ae6186afeea9fb4"/>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2eee1d37a6f94778acc1b70493f48755" concept="clcid-pte:ZhongYaoHeYingQiYeDeZhuYaoCaiWuXinXiQiTaShuoMingFangFa" label="重要合营企业的主要财务信息其他说明方法" appId="_GBC_6241cde567c342139ae6186afeea9fb4"/>
    </m:section>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item xlName="_GBC_3985273c74d84e5d9e0004348ff54fc3" concept="clcid-pte:ZhongYaoLianYingQiYeDeZhuYaoCaiWuXinXiFaShengQiJian" label="重要联营企业的主要财务信息-发生期间" addr="T0R0C1S1_1" tagAction="1" tupleRef="clcid-pte:ZhongYaoLianYingQiYeDeZhuYaoCaiWuXinXiMingXi" appId="_GBC_e304b69adb6f449495c3916754024763"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304b69adb6f449495c3916754024763" isCaption="true" defaultGridSpan="2"/>
      <m:item xlName="_GBC_0cae03adb6fc417da51f1e06cc077a6b" concept="clcid-pte:ZhongYaoLianYingQiYeDeZhuYaoCaiWuXinXiMingXiQiYeMingCheng" label="重要联营企业的主要财务信息明细-企业名称" addr="T0R1C1S1_1" tupleRef="clcid-pte:ZhongYaoLianYingQiYeDeZhuYaoCaiWuXinXiMingXi" appId="_GBC_e304b69adb6f449495c3916754024763" isCaption="true" iterateOptionValue="2"/>
      <m:item xlName="_GBC_dabfa87f0eff42149952cca99a0db3a2" concept="clcid-pte:ZhongYaoLianYingQiYeDeZhuYaoCaiWuXinXiMingXiQiYeMingCheng" label="重要联营企业的主要财务信息明细-企业名称" periodRef="上年同期数" addr="T0R1C2S1_1" tupleRef="clcid-pte:ZhongYaoLianYingQiYeDeZhuYaoCaiWuXinXiMingXi" appId="_GBC_e304b69adb6f449495c3916754024763" isCaption="true" iterateOptionValue="2"/>
      <m:placeholder xlName="_PLD_fef15ffbfdea4cb5a3d708c5ea8068c9"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304b69adb6f449495c3916754024763"/>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304b69adb6f449495c3916754024763"/>
      <m:placeholder xlName="_PLD_f31bdbdda3c24ef0ad64c4480cfaf1e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304b69adb6f449495c3916754024763"/>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304b69adb6f449495c3916754024763"/>
      <m:placeholder xlName="_PLD_d1755220e8944b638b853a5090d054ac"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304b69adb6f449495c3916754024763">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304b69adb6f449495c3916754024763">
        <m:complexRule comparator="Eq" title="重要联营企业的主要财务信息明细-资产合计@本期期初数" test=" $_GBC_c07e000c46a84750b69e77357de07e59 +  $_GBC_c327e922fa634d829a92be320a353b87" id="C731a8618593a4da0ab0c87e25e52829d"/>
      </m:item>
      <m:placeholder xlName="_PLD_da177c33d2a4452285f3e4329499be2b"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304b69adb6f449495c3916754024763"/>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304b69adb6f449495c3916754024763"/>
      <m:placeholder xlName="_PLD_69db2a7507214ff988c587702b84292a"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304b69adb6f449495c3916754024763"/>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304b69adb6f449495c3916754024763"/>
      <m:placeholder xlName="_PLD_93196651961549cc968f034a6735b70d"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304b69adb6f449495c3916754024763">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304b69adb6f449495c3916754024763">
        <m:complexRule comparator="Eq" title="重要联营企业的主要财务信息明细-负债合计@本期期初数" test=" $_GBC_d65a44385ca34313a8825d0164ace28e +  $_GBC_415c0b1613a84e478e854bc81c00c28e" id="C028d6f9a69284ac58c648775e1aad5c7"/>
      </m:item>
      <m:placeholder xlName="_PLD_f8ce7c22e39a4e18a87552ab1793dbb8"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304b69adb6f449495c3916754024763"/>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304b69adb6f449495c3916754024763"/>
      <m:placeholder xlName="_PLD_5a7b4c15f9cc46f796db15ddf6bdcb12"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304b69adb6f449495c3916754024763"/>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304b69adb6f449495c3916754024763"/>
      <m:placeholder xlName="_PLD_8582e33fffa94878a3ba47a9591f38b8"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304b69adb6f449495c3916754024763"/>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304b69adb6f449495c3916754024763"/>
      <m:placeholder xlName="_PLD_4155423a13664f79a1deecda99eb64f1"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304b69adb6f449495c3916754024763">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304b69adb6f449495c3916754024763">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bac24ebdbd9b48db9964fa3d371a3d1a"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304b69adb6f449495c3916754024763"/>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304b69adb6f449495c3916754024763"/>
      <m:placeholder xlName="_PLD_975fd21cf7f04f898ba9a18af77d6240"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304b69adb6f449495c3916754024763"/>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304b69adb6f449495c3916754024763"/>
      <m:placeholder xlName="_PLD_24a86660be95444c9447cafd3bbfe1ca"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304b69adb6f449495c3916754024763"/>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304b69adb6f449495c3916754024763"/>
      <m:placeholder xlName="_PLD_2be4185c2e6a44dfb7339347b64720df"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304b69adb6f449495c3916754024763"/>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304b69adb6f449495c3916754024763"/>
      <m:placeholder xlName="_PLD_89f7288bf5124b4794da7c1329ad7dff"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304b69adb6f449495c3916754024763"/>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304b69adb6f449495c3916754024763"/>
      <m:placeholder xlName="_PLD_3dda32d2f0f749c2b0d95dc4c3753c29"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304b69adb6f449495c3916754024763"/>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304b69adb6f449495c3916754024763"/>
      <m:placeholder xlName="_PLD_2700e40e30734ccda4fc19f6731bfd23"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304b69adb6f449495c3916754024763"/>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304b69adb6f449495c3916754024763"/>
      <m:placeholder xlName="_PLD_7123283d145f4e83a026dd1ab301c96a"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304b69adb6f449495c3916754024763"/>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304b69adb6f449495c3916754024763"/>
      <m:placeholder xlName="_PLD_45e6a45abde34643910c58dce10e37dd"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304b69adb6f449495c3916754024763"/>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304b69adb6f449495c3916754024763"/>
      <m:placeholder xlName="_PLD_46271de88b51495b853f579968062473"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304b69adb6f449495c3916754024763"/>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304b69adb6f449495c3916754024763"/>
      <m:placeholder xlName="_PLD_45708a7f3d4a4100b1e84bcc428b4104"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304b69adb6f449495c3916754024763"/>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304b69adb6f449495c3916754024763"/>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item xlName="_GBC_49602fee37fb4c848eee594868d16caa" concept="clcid-pte:ZhongYaoLianYingQiYeDeZhuYaoCaiWuXinXiQiTaShuoMingDeFangFa" label="重要联营企业的主要财务信息其他说明的方法" appId="_GBC_e304b69adb6f449495c3916754024763"/>
    </m:section>
    <m:section xlName="_GBC_7592afe8201c4b36a34fa177ca124037" title="不重要的合营企业和联营企业的汇总财务信息" rules="R2015_R11_031" helpId="112001151">
      <m:item xlName="_GBC_eb809f81680b42f794ba04df499e52dc" concept="clcid-ci-ar:ShiFouShiYongBuZhongYaoDeHeYingQiYeHeLianYingQiYeDeHuiZongCaiWuXinXi" label="是否适用：不重要的合营企业和联营企业的汇总财务信息" selectOptions="_buildInAppliance" controlType="CustomCheckbox" cRanges="{&quot;StartName&quot;:&quot;_GBC_eb809f81680b42f794ba04df499e52dc&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31c0fe2068fd4a898e4269df4925aa76"/>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31c0fe2068fd4a898e4269df4925aa76"/>
      <m:placeholder xlName="_PLD_7dc69fc7f68243e6b4f46db3a94dd47f" addr="T0R0C1S1_1"/>
      <m:placeholder xlName="_PLD_ffe9f9922ada461388adfb92ed1e3072" addr="T0R0C2S1_1"/>
      <m:placeholder xlName="_PLD_01c0860c93244a3f94a1c91bec25150e" addr="T0R1C0S1_3"/>
      <m:placeholder xlName="_PLD_01912ad1144f412393cdaeb8d4f1f35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eb809f81680b42f794ba04df499e52dc"/>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eb809f81680b42f794ba04df499e52dc"/>
      <m:placeholder xlName="_PLD_d574603998c340988b76ed4abbb39d0f" addr="T0R3C0S1_3"/>
      <m:placeholder xlName="_PLD_6a9719a93a5947a99f4faab9ddfeb484"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eb809f81680b42f794ba04df499e52dc"/>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eb809f81680b42f794ba04df499e52dc"/>
      <m:placeholder xlName="_PLD_cee08c7e01b746408c5d373112665e6e"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eb809f81680b42f794ba04df499e52dc"/>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eb809f81680b42f794ba04df499e52dc"/>
      <m:placeholder xlName="_PLD_f3f65d3b731f4b4ca71b1e3491b1154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eb809f81680b42f794ba04df499e52dc"/>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eb809f81680b42f794ba04df499e52dc"/>
      <m:placeholder xlName="_PLD_1bd24e2b6e8f4bddad27bea53e1b1b0a" addr="T0R8C0S1_3"/>
      <m:placeholder xlName="_PLD_96f92a97765344699f3fe74a7c29502b"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eb809f81680b42f794ba04df499e52dc"/>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eb809f81680b42f794ba04df499e52dc"/>
      <m:placeholder xlName="_PLD_31587dee61f14709a752f002668255e6" addr="T0R10C0S1_3"/>
      <m:placeholder xlName="_PLD_4bb9c04db78d44db8ec834da9e330d51"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eb809f81680b42f794ba04df499e52dc"/>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eb809f81680b42f794ba04df499e52dc"/>
      <m:placeholder xlName="_PLD_861ee8b21c034bf6a2fe80950a41eead"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eb809f81680b42f794ba04df499e52dc"/>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eb809f81680b42f794ba04df499e52dc"/>
      <m:placeholder xlName="_PLD_53750ad8db9448d19b3096748652d9b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eb809f81680b42f794ba04df499e52dc"/>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eb809f81680b42f794ba04df499e52dc"/>
      <m:item xlName="_GBC_78096995ca9848409e6780ab5f1386f8" concept="clcid-pte:BuZhongYaoDeHeYingQiYeHeLianYingQiYeDeHuiZongCaiWuXinXiQiTaShuoMing" label="不重要的合营企业和联营企业的汇总财务信息其他说明" appId="_GBC_eb809f81680b42f794ba04df499e52dc"/>
    </m:section>
    <m:section xlName="_GBC_2874973c28b34357bf81a60947721baa" title="合营企业或联营企业向公司转移资金的能力存在重大限制的说明" rules="R2015_R11_031" helpId="112001152">
      <m:item xlName="_GBC_73dfba3df3e24fc2a5b5ede5fa8d6f09"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73dfba3df3e24fc2a5b5ede5fa8d6f09&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73dfba3df3e24fc2a5b5ede5fa8d6f09"/>
    </m:section>
    <m:section xlName="_GBC_a9980062c82d44acae24fae7368ea42f" title="合营企业或联营企业发生的超额亏损" rules="R2015_R11_031" helpId="112001153">
      <m:item xlName="_GBC_c30af0beca864d788c2fe12f47f13428" concept="clcid-ci-ar:ShiFouShiYongHeYingQiYeHuoLianYingQiYeFaShengDeChaoEKuiSun" label="是否适用：合营企业或联营企业发生的超额亏损" selectOptions="_buildInAppliance" controlType="CustomCheckbox" cRanges="{&quot;StartName&quot;:&quot;_GBC_c30af0beca864d788c2fe12f47f13428&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31c0fe2068fd4a898e4269df4925aa76"/>
      <m:item xlName="_GBC_7d2c2ed8c3ee46d0b970983fec01e300" concept="clcid-ci-ar:BiZhongCaiWuFuZhuHeYingQiYeHuoLianYingQiYeFaShengDeChaoEKuiSun" label="币种：财务附注：合营企业或联营企业发生的超额亏损" selectOptions="_buildInISO4217" controlType="Combobox" cellType="Measure" appId="_GBC_31c0fe2068fd4a898e4269df4925aa76"/>
      <m:placeholder xlName="_PLD_cfae10af261f4c818e8ad4071177e98a" addr="T0R0C0S1_1"/>
      <m:placeholder xlName="_PLD_bf584a5933ac41b186166a4a8dae846e" addr="T0R0C1S1_1"/>
      <m:placeholder xlName="_PLD_1b45f7d4d7a14cdabeaa4bc0da033964" addr="T0R0C2S1_1"/>
      <m:placeholder xlName="_PLD_239b4d282a024f0282cd9d6f560337f1"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c30af0beca864d788c2fe12f47f13428"/>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c30af0beca864d788c2fe12f47f13428"/>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c30af0beca864d788c2fe12f47f13428"/>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c30af0beca864d788c2fe12f47f13428"/>
      </m:tuple>
      <m:item xlName="_GBC_cd40de2e5da84ad9ada2436c92f0269a" concept="clcid-pte:HeYingQiYeHuoLianYingQiYeFaShengDeChaoEKuiSunDeQiTaShuoMing" label="合营企业或联营企业发生的超额亏损的其他说明" appId="_GBC_c30af0beca864d788c2fe12f47f13428"/>
    </m:section>
    <m:section xlName="_GBC_da055842bf8c4e9598b87bd760d969ec" title="与合营企业投资相关的未确认承诺" rules="R2015_R11_031" helpId="112001154">
      <m:item xlName="_GBC_9d014d8b476148b59476808a5cda81d8" concept="clcid-ci-ar:ShiFouShiYongYuHeYingQiYeTouZiXiangGuanDeWeiQueRenChengNuo" label="是否适用：与合营企业投资相关的未确认承诺" selectOptions="_buildInAppliance" controlType="CustomCheckbox" cRanges="{&quot;StartName&quot;:&quot;_GBC_9d014d8b476148b59476808a5cda81d8&quot;,&quot;EndName&quot;:&quot;_GBC_304f742025af4d29b1146cb79b0e720f&quot;,&quot;CType&quot;:1,&quot;DisplayText&quot;:null}"/>
      <m:item xlName="_GBC_304f742025af4d29b1146cb79b0e720f" concept="clcid-pte:YuHeYingQiYeTouZiXiangGuanDeWeiQueRenChengNuo" label="与合营企业投资相关的未确认承诺" appId="_GBC_9d014d8b476148b59476808a5cda81d8"/>
    </m:section>
    <m:section xlName="_GBC_1f803def681a42ba91cdde709a067b3f" title="与合营企业或联营企业投资相关的或有负债" rules="R2015_R11_031" helpId="112001154">
      <m:item xlName="_GBC_caba618be81b4cb1acf89073549a456a" concept="clcid-ci-ar:ShiFouShiYongYuHeYingQiYeHuoLianYingQiYeTouZiXiangGuanDeHuoYouFuZhai" label="是否适用：与合营企业或联营企业投资相关的或有负债" selectOptions="_buildInAppliance" controlType="CustomCheckbox" cRanges="{&quot;StartName&quot;:&quot;_GBC_caba618be81b4cb1acf89073549a456a&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caba618be81b4cb1acf89073549a456a"/>
    </m:section>
    <m:section xlName="_GBC_90d44eb1222944759107483908112493" title="重要的共同经营" rules="R2015_R11_031" helpId="112001155">
      <m:item xlName="_GBC_7911b1c8195d4c20b2800b1c5ac94a93" concept="clcid-ci-ar:ShiFouShiYongZhongYaoDeGongTongJingYing" label="是否适用：重要的共同经营" selectOptions="_buildInAppliance" controlType="CustomCheckbox" cRanges="{&quot;StartName&quot;:&quot;_GBC_7911b1c8195d4c20b2800b1c5ac94a93&quot;,&quot;EndName&quot;:&quot;_GBC_510515104d3643d08c75fbeed5d17407&quot;,&quot;CType&quot;:1,&quot;DisplayText&quot;:null}"/>
      <m:placeholder xlName="_PLD_18da2280e64143b29675b54aeccd4c30" addr="T0R0C0S2_1"/>
      <m:placeholder xlName="_PLD_9423e97553894f53b7adefef4a490ec6" addr="T0R0C1S2_1"/>
      <m:placeholder xlName="_PLD_9a58315aa2f64fc6baaeb781f713cbc1" addr="T0R0C2S2_1"/>
      <m:placeholder xlName="_PLD_68da5ecb4b58486d8d513adb517ce81f" addr="T0R0C3S2_1"/>
      <m:placeholder xlName="_PLD_8c6fef9fec8141039c0eb78472057860" addr="T0R0C4S1_2"/>
      <m:placeholder xlName="_PLD_6e5762d6d81840768248bd4954a97c52" addr="T0R1C4S1_1"/>
      <m:placeholder xlName="_PLD_51d6dd667e1e4b31b6055b5cbf5952cd"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7911b1c8195d4c20b2800b1c5ac94a93"/>
        <m:item xlName="_GBC_38c927d9cf1b42ffa0af5b3e7c52628c" concept="clcid-pte:ZhongYaoDeGongTongJingYingMingXiZhuYaoJingYingDi" label="重要的共同经营明细-主要经营地" addr="T0R2C1S1_1" appId="_GBC_7911b1c8195d4c20b2800b1c5ac94a93"/>
        <m:item xlName="_GBC_fdefeb4695d1422da1ffe3b89d54e6f3" concept="clcid-pte:ZhongYaoDeGongTongJingYingMingXiZhuCeDi" label="重要的共同经营明细-注册地" addr="T0R2C2S1_1" appId="_GBC_7911b1c8195d4c20b2800b1c5ac94a93"/>
        <m:item xlName="_GBC_d9bbb0f464754fa4a1dec02691058630" concept="clcid-pte:ZhongYaoDeGongTongJingYingMingXiYeWuXingZhi" label="重要的共同经营明细-业务性质" addr="T0R2C3S1_1" appId="_GBC_7911b1c8195d4c20b2800b1c5ac94a93"/>
        <m:item xlName="_GBC_e1fafff709554f618ca8bf3b186d047f" concept="clcid-pte:ZhongYaoDeGongTongJingYingMingXiZhiJieChiGuBiLi" label="重要的共同经营明细-直接持股比例" addr="T0R2C4S1_1" baseScale="0.01" formatStyle="Comma" appId="_GBC_7911b1c8195d4c20b2800b1c5ac94a93"/>
        <m:item xlName="_GBC_3db2809d20cc4b92bac806acde18e9b7" concept="clcid-pte:ZhongYaoDeGongTongJingYingMingXiJianJieChiGuBiLi" label="重要的共同经营明细-间接持股比例" addr="T0R2C5S1_1" baseScale="0.01" formatStyle="Comma" appId="_GBC_7911b1c8195d4c20b2800b1c5ac94a93"/>
      </m:tuple>
      <m:item xlName="_GBC_264985a41418431daf8836a891fcda66" concept="clcid-pte:ZaiGongTongJingYingZhongDeChiGuBiLiHuoXiangYouDeFenEBuTongYuBiaoJueQuanBiLiDeShuoMing" label="在共同经营中的持股比例或享有的份额不同于表决权比例的说明" appId="_GBC_7911b1c8195d4c20b2800b1c5ac94a93"/>
      <m:item xlName="_GBC_951fe1b8195f4373a4acbba7dd4813a1" concept="clcid-pte:GongTongJingYingWeiDanDuZhuTiDeFenLeiWeiGongTongJingYingDeYiJu" label="共同经营为单独主体的，分类为共同经营的依据" appId="_GBC_7911b1c8195d4c20b2800b1c5ac94a93"/>
      <m:item xlName="_GBC_510515104d3643d08c75fbeed5d17407" concept="clcid-pte:ZhongYaoDeGongTongJingYingDeQiTaShuoMing" label="重要的共同经营的其他说明" appId="_GBC_7911b1c8195d4c20b2800b1c5ac94a93"/>
    </m:section>
    <m:section xlName="_GBC_5cfea65e45c44f1b9fdec762be35880d" title="在未纳入合并财务报表范围的结构化主体中的权益" rules="R2015_R11_031" helpId="112001156">
      <m:item xlName="_GBC_48eb6d215e5341c694f98d18f5889902" concept="clcid-ci-ar:ShiFouShiYongWeiNaRuHeBingCaiWuBaoBiaoFanWeiDeJieGouHuaZhuTiDeXiangGuanShuoMing" label="是否适用：未纳入合并财务报表范围的结构化主体的相关说明" selectOptions="_buildInAppliance" controlType="CustomCheckbox" cRanges="{&quot;StartName&quot;:&quot;_GBC_48eb6d215e5341c694f98d18f5889902&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48eb6d215e5341c694f98d18f5889902"/>
    </m:section>
    <m:section xlName="_GBC_b24eb633f5244c748225389f3b3cedd1" title="在其他主体中的权益其他需要说明的事项" rules="R2015_R11_031" helpId="112001157">
      <m:item xlName="_GBC_ad8b7a7df0724efaa681a931c91befff" concept="clcid-ci-ar:ShiFouShiYongZaiQiTaZhuTiZhongDeQuanYiQiTaXuYaoShuoMingDeShiXiang" label="是否适用：在其他主体中的权益其他需要说明的事项" selectOptions="_buildInAppliance" controlType="CustomCheckbox" cRanges="{&quot;StartName&quot;:&quot;_GBC_ad8b7a7df0724efaa681a931c91befff&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ad8b7a7df0724efaa681a931c91befff"/>
    </m:section>
    <m:section xlName="_GBC_815d628fea814e7191d23a3fcbe2783c" title="与金融工具相关的风险" helpId="112001158">
      <m:item xlName="_GBC_c64d1e82474c4f20aebea3bef4cc2f0f" concept="clcid-ci-ar:ShiFouShiYongYuJinRongGongJuXiangGuanDeFengXian" label="是否适用：与金融工具相关的风险" selectOptions="_buildInAppliance" controlType="CustomCheckbox" cRanges="{&quot;StartName&quot;:&quot;_GBC_c64d1e82474c4f20aebea3bef4cc2f0f&quot;,&quot;EndName&quot;:&quot;_GBC_f6714dfdbb554edeb7e7fde71c65346d&quot;,&quot;CType&quot;:1,&quot;DisplayText&quot;:null}"/>
      <m:item xlName="_GBC_f6714dfdbb554edeb7e7fde71c65346d" concept="clcid-pte:YuJinRongGongJuXiangGuanDeFengXian" label="与金融工具相关的风险" appId="_GBC_c64d1e82474c4f20aebea3bef4cc2f0f"/>
    </m:section>
    <m:section xlName="_GBC_b5067cea5bbf475388ac2623e2c669d7" title="以公允价值计量的资产和负债的期末公允价值" helpId="112001159">
      <m:item xlName="_GBC_291486261b6a4e8092eea55d961b7664" concept="clcid-ci-ar:ShiFouShiYongYiGongYunJiaZhiJiLiangDeZiChanHeFuZhaiDeQiMoGongYunJiaZhi" label="是否适用：以公允价值计量的资产和负债的期末公允价值" selectOptions="_buildInAppliance" controlType="CustomCheckbox" cRanges="[{&quot;StartName&quot;:&quot;_GBC_291486261b6a4e8092eea55d961b7664&quot;,&quot;EndName&quot;:&quot;_GBC_39b36811d81545a0901942bc693d3afe&quot;,&quot;CType&quot;:1}]"/>
      <m:item xlName="_GBC_4b785696cde44d3f8a4a7d28ab963e38" concept="clcid-ci-ar:DanWeiCaiWuFuZhuYiGongYunJiaZhiJiLiangDeZiChanHeFuZhaiDeQiMoGongYunJiaZhi" label="单位：财务附注：以公允价值计量的资产和负债的期末公允价值" selectOptions="_buildInScales" controlType="Combobox" cellType="Scale" appId="_GBC_291486261b6a4e8092eea55d961b7664"/>
      <m:item xlName="_GBC_3bb5670d72804a4b8298edc3e439955a" concept="clcid-ci-ar:BiZhongCaiWuFuZhuYiGongYunJiaZhiJiLiangDeZiChanHeFuZhaiDeQiMoGongYunJiaZhi" label="币种：财务附注：以公允价值计量的资产和负债的期末公允价值" selectOptions="_buildInISO4217" controlType="Combobox" cellType="Measure" appId="_GBC_291486261b6a4e8092eea55d961b7664"/>
      <m:placeholder xlName="_PLD_25e2bb7801744f08a089c0e6a2b31b9b" addr="T0R0C0S2_1"/>
      <m:placeholder xlName="_PLD_ad919f08ba5040a28e31328eb66da0bf" addr="T0R0C1S1_4"/>
      <m:placeholder xlName="_PLD_4bb34c3d92bf450fb80f7c0c95977a2b" addr="T0R1C1S1_1"/>
      <m:placeholder xlName="_PLD_08753059c9e04a10af2918fbc1559bed" addr="T0R1C2S1_1"/>
      <m:placeholder xlName="_PLD_b263de838c9c4afa9fddb6dee6409a62" addr="T0R1C3S1_1"/>
      <m:placeholder xlName="_PLD_50eba344a451417c8072228a7a4959c5" addr="T0R1C4S1_1"/>
      <m:placeholder xlName="_PLD_0df07aa5429843d5898a68994e53f99c" addr="T0R2C0S1_1"/>
      <m:item xlName="_GBC_9302ae40086e4706bbcee7f6612e7ac6" concept="clcid-pte:DiYiCengCiGongYunJiaZhiJiLiangChiXuDeGongYunJiaZhi" label="第一层次公允价值计量持续的公允价值" mulRef="_GBC_4b785696cde44d3f8a4a7d28ab963e38" unitRef="_GBC_3bb5670d72804a4b8298edc3e439955a" addr="T0R2C1S1_1" formatStyle="Comma" appId="_GBC_291486261b6a4e8092eea55d961b7664">
        <m:complexRule comparator="Eq" title="第一层次公允价值计量持续的公允价值" id="C209383bc1b58491caae66bfafe4fdb93"/>
      </m:item>
      <m:item xlName="_GBC_dc87ce28f0c842fb918a5c43d3898375" concept="clcid-pte:DiErCengCiGongYunJiaZhiJiLiangChiXuDeGongYunJiaZhi" label="第二层次公允价值计量持续的公允价值" mulRef="_GBC_4b785696cde44d3f8a4a7d28ab963e38" unitRef="_GBC_3bb5670d72804a4b8298edc3e439955a" addr="T0R2C2S1_1" formatStyle="Comma" appId="_GBC_291486261b6a4e8092eea55d961b7664"/>
      <m:item xlName="_GBC_82b0ba3b977d47008c0a3dd1c2eec5c4" concept="clcid-pte:DiSanCengCiGongYunJiaZhiJiLiangChiXuDeGongYunJiaZhi" label="第三层次公允价值计量持续的公允价值" mulRef="_GBC_4b785696cde44d3f8a4a7d28ab963e38" unitRef="_GBC_3bb5670d72804a4b8298edc3e439955a" addr="T0R2C3S1_1" formatStyle="Comma" appId="_GBC_291486261b6a4e8092eea55d961b7664"/>
      <m:item xlName="_GBC_bef2d2676c9040f7b8ebbcf6c7717756" concept="clcid-pte:ChiXuDeGongYunJiaZhiJiLiangHeJi" label="持续的公允价值计量合计" mulRef="_GBC_4b785696cde44d3f8a4a7d28ab963e38" unitRef="_GBC_3bb5670d72804a4b8298edc3e439955a" addr="T0R2C4S1_1" formatStyle="Comma" appId="_GBC_291486261b6a4e8092eea55d961b7664">
        <m:complexRule comparator="Eq" title="持续的公允价值计量合计" test=" $_GBC_9302ae40086e4706bbcee7f6612e7ac6 +  $_GBC_dc87ce28f0c842fb918a5c43d3898375 +  $_GBC_82b0ba3b977d47008c0a3dd1c2eec5c4" id="C31ae3f9a1c924adfbe4ba5d2fb13ca25"/>
      </m:item>
      <m:placeholder xlName="_PLD_8e41e2365fb54f2a8e82acb6d5327c25" addr="T0R3C0S1_1"/>
      <m:item xlName="_GBC_b06566bad57947cca7ef58dfa8c9dc0b" concept="clcid-pte:XinZhunZeDiYiCengCiGongYunJiaZhiJiLiangDeJiaoYiXingJinRongZiChan" label="新准则第一层次公允价值计量的交易性金融资产" mulRef="_GBC_4b785696cde44d3f8a4a7d28ab963e38" unitRef="_GBC_3bb5670d72804a4b8298edc3e439955a" addr="T0R3C1S1_1" formatStyle="Comma" appId="_GBC_291486261b6a4e8092eea55d961b7664">
        <m:complexRule comparator="Eq" title="第一层次公允价值计量的交易性金融资产" test=" $_GBC_77d6bea585a041f9abe2c2b6ec7b95ef +  $_GBC_4709730cec2540809111e608ac9ab51d" id="Cd91cd7b9ddeb4be2aaecfc135de21ded"/>
      </m:item>
      <m:item xlName="_GBC_de6b7db6d03e4b60a6a0a5f71ef22385" concept="clcid-pte:XinZhunZeDiErCengCiGongYunJiaZhiJiLiangDeJiaoYiXingJinRongZiChan" label="新准则第二层次公允价值计量的交易性金融资产" mulRef="_GBC_4b785696cde44d3f8a4a7d28ab963e38" unitRef="_GBC_3bb5670d72804a4b8298edc3e439955a" addr="T0R3C2S1_1" formatStyle="Comma" appId="_GBC_291486261b6a4e8092eea55d961b7664">
        <m:complexRule comparator="Eq" title="第二层次公允价值计量的交易性金融资产" test=" $_GBC_b594f084a0c7464ea7538e7ceabb48e0 +  $_GBC_1c0a9b4303b44b9f9442b4fc24fa77da" id="C30d33df6646442da9fccc5a79d4b91e9"/>
      </m:item>
      <m:item xlName="_GBC_847b83d0f42845d5903d9b7a05117abf" concept="clcid-pte:XinZhunZeDiSanCengCiGongYunJiaZhiJiLiangDeJiaoYiXingJinRongZiChan" label="新准则第三层次公允价值计量的交易性金融资产" mulRef="_GBC_4b785696cde44d3f8a4a7d28ab963e38" unitRef="_GBC_3bb5670d72804a4b8298edc3e439955a" addr="T0R3C3S1_1" formatStyle="Comma" appId="_GBC_291486261b6a4e8092eea55d961b7664">
        <m:complexRule comparator="Eq" title="第三层次公允价值计量的交易性金融资产" test=" $_GBC_63e31ee2e7114da2b4a71c11957a7c31 +  $_GBC_04d4677fa08f40c1b07438ff009a7d65" id="C881af99eac6942848b700228b01a9adc"/>
      </m:item>
      <m:item xlName="_GBC_3914c328b93c4849bad40b074d412d2e" concept="clcid-pte:XinZhunZeJiaoYiXingJinRongZiChanGongYunJiaZhiHeJi" label="新准则交易性金融资产公允价值合计" mulRef="_GBC_4b785696cde44d3f8a4a7d28ab963e38" unitRef="_GBC_3bb5670d72804a4b8298edc3e439955a" addr="T0R3C4S1_1" formatStyle="Comma" appId="_GBC_291486261b6a4e8092eea55d961b7664">
        <m:complexRule comparator="Eq" title="交易性金融资产公允价值合计" test=" $_GBC_0cefce2c997d4e7b89a4989e4eb17e59 +  $_GBC_927c6366638b4bd78b7043d358c0a8b9" id="C9f98d0c5785f45f6ba486c35292748d9"/>
      </m:item>
      <m:placeholder xlName="_PLD_ec78ce9b24c54617a7a100b54d80834e" addr="T0R4C0S1_1"/>
      <m:item xlName="_GBC_77d6bea585a041f9abe2c2b6ec7b95ef" concept="clcid-pte:XinZhunZeDiYiCengCiGongYunJiaZhiJiLiangDeYiGongYunJiaZhiJiLiangQieBianDongJiRuDangQiSunYiDeJinRongZiChan" label="新准则第一层次公允价值计量的以公允价值计量且变动计入当期损益的金融资产" mulRef="_GBC_4b785696cde44d3f8a4a7d28ab963e38" unitRef="_GBC_3bb5670d72804a4b8298edc3e439955a" addr="T0R4C1S1_1" formatStyle="Comma" appId="_GBC_291486261b6a4e8092eea55d961b7664"/>
      <m:item xlName="_GBC_b594f084a0c7464ea7538e7ceabb48e0" concept="clcid-pte:XinZhunZeDiErCengCiGongYunJiaZhiJiLiangDeYiGongYunJiaZhiJiLiangQieBianDongJiRuDangQiSunYiDeJinRongZiChan" label="新准则第二层次公允价值计量的以公允价值计量且变动计入当期损益的金融资产" mulRef="_GBC_4b785696cde44d3f8a4a7d28ab963e38" unitRef="_GBC_3bb5670d72804a4b8298edc3e439955a" addr="T0R4C2S1_1" formatStyle="Comma" appId="_GBC_291486261b6a4e8092eea55d961b7664"/>
      <m:item xlName="_GBC_04d4677fa08f40c1b07438ff009a7d65" concept="clcid-pte:XinZhunZeDiSanCengCiGongYunJiaZhiJiLiangDeYiGongYunJiaZhiJiLiangQieBianDongJiRuDangQiSunYiDeJinRongZiChan" label="新准则第三层次公允价值计量的以公允价值计量且变动计入当期损益的金融资产" mulRef="_GBC_4b785696cde44d3f8a4a7d28ab963e38" unitRef="_GBC_3bb5670d72804a4b8298edc3e439955a" addr="T0R4C3S1_1" formatStyle="Comma" appId="_GBC_291486261b6a4e8092eea55d961b7664"/>
      <m:item xlName="_GBC_0cefce2c997d4e7b89a4989e4eb17e59" concept="clcid-pte:XinZhunZeGongYunJiaZhiJiLiangQieQiBianDongJiRuDangQiSunYiDeJinRongZiChanHeJi" label="新准则公允价值计量且其变动计入当期损益的金融资产合计" mulRef="_GBC_4b785696cde44d3f8a4a7d28ab963e38" unitRef="_GBC_3bb5670d72804a4b8298edc3e439955a" addr="T0R4C4S1_1" formatStyle="Comma" appId="_GBC_291486261b6a4e8092eea55d961b7664"/>
      <m:placeholder xlName="_PLD_1978a795a85148b4b91da91d8626cc66" addr="T0R5C0S1_1"/>
      <m:item xlName="_GBC_b0610cfb40354c19a6b61b6ca5838542" concept="clcid-pte:DiYiCengCiGongYunJiaZhiJiLiangDeJiaoYiXingJinRongZiChanZhongDeZhaiWuGongJuTouZi" label="第一层次公允价值计量的交易性金融资产中的债务工具投资" mulRef="_GBC_4b785696cde44d3f8a4a7d28ab963e38" unitRef="_GBC_3bb5670d72804a4b8298edc3e439955a" addr="T0R5C1S1_1" formatStyle="Comma" appId="_GBC_291486261b6a4e8092eea55d961b7664"/>
      <m:item xlName="_GBC_bd1d7bfe7e70424685e58b672d9f5cdf" concept="clcid-pte:DiErCengCiGongYunJiaZhiJiLiangDeJiaoYiXingJinRongZiChanZhongDeZhaiWuGongJuTouZi" label="第二层次公允价值计量的交易性金融资产中的债务工具投资" mulRef="_GBC_4b785696cde44d3f8a4a7d28ab963e38" unitRef="_GBC_3bb5670d72804a4b8298edc3e439955a" addr="T0R5C2S1_1" formatStyle="Comma" appId="_GBC_291486261b6a4e8092eea55d961b7664"/>
      <m:item xlName="_GBC_a411b3f0fb1a4187a1bcb95246783a66" concept="clcid-pte:DiSanCengCiGongYunJiaZhiJiLiangDeJiaoYiXingJinRongZiChanZhongDeZhaiWuGongJuTouZi" label="第三层次公允价值计量的交易性金融资产中的债务工具投资" mulRef="_GBC_4b785696cde44d3f8a4a7d28ab963e38" unitRef="_GBC_3bb5670d72804a4b8298edc3e439955a" addr="T0R5C3S1_1" formatStyle="Comma" appId="_GBC_291486261b6a4e8092eea55d961b7664"/>
      <m:item xlName="_GBC_18e20595f94a449eb4351445fe1a0b86" concept="clcid-pte:JiaoYiXingJinRongZiChanZhongDeZhaiWuGongJuTouZiGongYunJiaZhiHeJi" label="交易性金融资产中的债务工具投资公允价值合计" mulRef="_GBC_4b785696cde44d3f8a4a7d28ab963e38" unitRef="_GBC_3bb5670d72804a4b8298edc3e439955a" addr="T0R5C4S1_1" formatStyle="Comma" appId="_GBC_291486261b6a4e8092eea55d961b7664">
        <m:complexRule comparator="Eq" title="交易性金融资产中的债务工具投资公允价值合计" test=" $_GBC_b0610cfb40354c19a6b61b6ca5838542 +  $_GBC_bd1d7bfe7e70424685e58b672d9f5cdf +  $_GBC_a411b3f0fb1a4187a1bcb95246783a66" id="Cb8da8219b02347888c12d0b2c8a4c389"/>
      </m:item>
      <m:placeholder xlName="_PLD_77996810365c481083bed5a411822288" addr="T0R6C0S1_1"/>
      <m:item xlName="_GBC_a54af18a4db24bd8b3cc13f52a9ec5d7" concept="clcid-pte:DiYiCengCiGongYunJiaZhiJiLiangDeJiaoYiXingJinRongZiChanZhongDeQuanYiGongJuTouZi" label="第一层次公允价值计量的交易性金融资产中的权益工具投资" mulRef="_GBC_4b785696cde44d3f8a4a7d28ab963e38" unitRef="_GBC_3bb5670d72804a4b8298edc3e439955a" addr="T0R6C1S1_1" formatStyle="Comma" appId="_GBC_291486261b6a4e8092eea55d961b7664"/>
      <m:item xlName="_GBC_96fc974a1a3f4eb69d61591e2e192550" concept="clcid-pte:DiErCengCiGongYunJiaZhiJiLiangDeJiaoYiXingJinRongZiChanZhongDeQuanYiGongJuTouZi" label="第二层次公允价值计量的交易性金融资产中的权益工具投资" mulRef="_GBC_4b785696cde44d3f8a4a7d28ab963e38" unitRef="_GBC_3bb5670d72804a4b8298edc3e439955a" addr="T0R6C2S1_1" formatStyle="Comma" appId="_GBC_291486261b6a4e8092eea55d961b7664"/>
      <m:item xlName="_GBC_b16180d6b03f49cea2c8db7d4fb6bb72" concept="clcid-pte:DiSanCengCiGongYunJiaZhiJiLiangDeJiaoYiXingJinRongZiChanZhongDeQuanYiGongJuTouZi" label="第三层次公允价值计量的交易性金融资产中的权益工具投资" mulRef="_GBC_4b785696cde44d3f8a4a7d28ab963e38" unitRef="_GBC_3bb5670d72804a4b8298edc3e439955a" addr="T0R6C3S1_1" formatStyle="Comma" appId="_GBC_291486261b6a4e8092eea55d961b7664"/>
      <m:item xlName="_GBC_13c4a98f1e154612ab62518ad0828761" concept="clcid-pte:JiaoYiXingJinRongZiChanZhongDeQuanYiGongJuTouZiGongYunJiaZhiHeJi" label="交易性金融资产中的权益工具投资公允价值合计" mulRef="_GBC_4b785696cde44d3f8a4a7d28ab963e38" unitRef="_GBC_3bb5670d72804a4b8298edc3e439955a" addr="T0R6C4S1_1" formatStyle="Comma" appId="_GBC_291486261b6a4e8092eea55d961b7664">
        <m:complexRule comparator="Eq" title="交易性金融资产中的权益工具投资公允价值合计" test=" $_GBC_a54af18a4db24bd8b3cc13f52a9ec5d7 +  $_GBC_96fc974a1a3f4eb69d61591e2e192550 +  $_GBC_b16180d6b03f49cea2c8db7d4fb6bb72" id="C5c8a2cb25bf44ed88003f4f7c642d0cc"/>
      </m:item>
      <m:placeholder xlName="_PLD_7417bbdf88f74ca7abe6826af039046b" addr="T0R7C0S1_1"/>
      <m:item xlName="_GBC_23ec6a5b2dbd40bb9ef5676a1a0b290c" concept="clcid-pte:DiYiCengCiGongYunJiaZhiJiLiangDeJiaoYiXingJinRongZiChanZhongDeYanShengJinRongZiChan" label="第一层次公允价值计量的交易性金融资产中的衍生金融资产" mulRef="_GBC_4b785696cde44d3f8a4a7d28ab963e38" unitRef="_GBC_3bb5670d72804a4b8298edc3e439955a" addr="T0R7C1S1_1" formatStyle="Comma" appId="_GBC_291486261b6a4e8092eea55d961b7664"/>
      <m:item xlName="_GBC_1e70e525e4c045ceb15488bddc23cfc5" concept="clcid-pte:DiErCengCiGongYunJiaZhiJiLiangDeJiaoYiXingJinRongZiChanZhongDeYanShengJinRongZiChan" label="第二层次公允价值计量的交易性金融资产中的衍生金融资产" mulRef="_GBC_4b785696cde44d3f8a4a7d28ab963e38" unitRef="_GBC_3bb5670d72804a4b8298edc3e439955a" addr="T0R7C2S1_1" formatStyle="Comma" appId="_GBC_291486261b6a4e8092eea55d961b7664"/>
      <m:item xlName="_GBC_bd24dfa77f26423b878071075819ab2d" concept="clcid-pte:DiSanCengCiGongYunJiaZhiJiLiangDeJiaoYiXingJinRongZiChanZhongDeYanShengJinRongZiChan" label="第三层次公允价值计量的交易性金融资产中的衍生金融资产" mulRef="_GBC_4b785696cde44d3f8a4a7d28ab963e38" unitRef="_GBC_3bb5670d72804a4b8298edc3e439955a" addr="T0R7C3S1_1" formatStyle="Comma" appId="_GBC_291486261b6a4e8092eea55d961b7664"/>
      <m:item xlName="_GBC_ced3b697282043448a157bfc3e021dd8" concept="clcid-pte:JiaoYiXingJinRongZiChanZhongDeYanShengJinRongZiChanGongYunJiaZhiHeJi" label="交易性金融资产中的衍生金融资产公允价值合计" mulRef="_GBC_4b785696cde44d3f8a4a7d28ab963e38" unitRef="_GBC_3bb5670d72804a4b8298edc3e439955a" addr="T0R7C4S1_1" formatStyle="Comma" appId="_GBC_291486261b6a4e8092eea55d961b7664">
        <m:complexRule comparator="Eq" title="交易性金融资产中的衍生金融资产公允价值合计" test=" $_GBC_23ec6a5b2dbd40bb9ef5676a1a0b290c +  $_GBC_1e70e525e4c045ceb15488bddc23cfc5 +  $_GBC_bd24dfa77f26423b878071075819ab2d" id="Cdaf93647cb7849ac8916e76c5289ff17"/>
      </m:item>
      <m:placeholder xlName="_PLD_8f2dd6e8cd7d4b6f8a25ea84b5be71b1" addr="T0R8C0S1_1"/>
      <m:item xlName="_GBC_4709730cec2540809111e608ac9ab51d" concept="clcid-pte:DiYiCengCiGongYunJiaZhiJiLiangDeZhiDingYiGongYunJiaZhiJiLiangQieBianDongJiRuDangQiSunYiDeJinRongZiChan" label="第一层次公允价值计量的指定以公允价值计量且变动计入当期损益的金融资产" mulRef="_GBC_4b785696cde44d3f8a4a7d28ab963e38" unitRef="_GBC_3bb5670d72804a4b8298edc3e439955a" addr="T0R8C1S1_1" formatStyle="Comma" appId="_GBC_291486261b6a4e8092eea55d961b7664"/>
      <m:item xlName="_GBC_1c0a9b4303b44b9f9442b4fc24fa77da" concept="clcid-pte:DiErCengCiGongYunJiaZhiJiLiangDeZhiDingYiGongYunJiaZhiJiLiangQieBianDongJiRuDangQiSunYiDeJinRongZiChan" label="第二层次公允价值计量的指定以公允价值计量且变动计入当期损益的金融资产" mulRef="_GBC_4b785696cde44d3f8a4a7d28ab963e38" unitRef="_GBC_3bb5670d72804a4b8298edc3e439955a" addr="T0R8C2S1_1" formatStyle="Comma" appId="_GBC_291486261b6a4e8092eea55d961b7664"/>
      <m:item xlName="_GBC_63e31ee2e7114da2b4a71c11957a7c31" concept="clcid-pte:DiSanCengCiGongYunJiaZhiJiLiangDeZhiDingYiGongYunJiaZhiJiLiangQieBianDongJiRuDangQiSunYiDeJinRongZiChan" label="第三层次公允价值计量的指定以公允价值计量且变动计入当期损益的金融资产" mulRef="_GBC_4b785696cde44d3f8a4a7d28ab963e38" unitRef="_GBC_3bb5670d72804a4b8298edc3e439955a" addr="T0R8C3S1_1" formatStyle="Comma" appId="_GBC_291486261b6a4e8092eea55d961b7664"/>
      <m:item xlName="_GBC_927c6366638b4bd78b7043d358c0a8b9" concept="clcid-pte:ZhiDingYiGongYunJiaZhiJiLiangQieBianDongJiRuDangQiSunYiDeJinRongZiChanGongYunJiaZhiHeJi" label="指定以公允价值计量且变动计入当期损益的金融资产公允价值合计" mulRef="_GBC_4b785696cde44d3f8a4a7d28ab963e38" unitRef="_GBC_3bb5670d72804a4b8298edc3e439955a" addr="T0R8C4S1_1" formatStyle="Comma" appId="_GBC_291486261b6a4e8092eea55d961b7664">
        <m:complexRule comparator="Eq" title="指定以公允价值计量且变动计入当期损益的金融资产公允价值合计" test=" $_GBC_4709730cec2540809111e608ac9ab51d +  $_GBC_1c0a9b4303b44b9f9442b4fc24fa77da +  $_GBC_63e31ee2e7114da2b4a71c11957a7c31" id="C51cbacb1677c4790baa9c4705e8c5632"/>
      </m:item>
      <m:placeholder xlName="_PLD_bd6d0cf9e96e4bebb25f8dcdf55d029f" addr="T0R9C0S1_1"/>
      <m:item xlName="_GBC_216f9ade4eaa48ea981dc11510904e11"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4b785696cde44d3f8a4a7d28ab963e38" unitRef="_GBC_3bb5670d72804a4b8298edc3e439955a" addr="T0R9C1S1_1" formatStyle="Comma" appId="_GBC_291486261b6a4e8092eea55d961b7664"/>
      <m:item xlName="_GBC_86abad0a9f26488d89dc880a952ed2da"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4b785696cde44d3f8a4a7d28ab963e38" unitRef="_GBC_3bb5670d72804a4b8298edc3e439955a" addr="T0R9C2S1_1" formatStyle="Comma" appId="_GBC_291486261b6a4e8092eea55d961b7664"/>
      <m:item xlName="_GBC_2ed92854f4c24e619517ce5425fe57d3"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4b785696cde44d3f8a4a7d28ab963e38" unitRef="_GBC_3bb5670d72804a4b8298edc3e439955a" addr="T0R9C3S1_1" formatStyle="Comma" appId="_GBC_291486261b6a4e8092eea55d961b7664"/>
      <m:item xlName="_GBC_3f2fc8262daf4df981616126bde4da40" concept="clcid-pte:ZhiDingYiGongYunJiaZhiJiLiangQieBianDongJiRuDangQiSunYiDeJinRongZiChanZhongDeZhaiWuGongJuTouZiGongYunJiaZhiHeJi" label="指定以公允价值计量且变动计入当期损益的金融资产中的债务工具投资公允价值合计" mulRef="_GBC_4b785696cde44d3f8a4a7d28ab963e38" unitRef="_GBC_3bb5670d72804a4b8298edc3e439955a" addr="T0R9C4S1_1" formatStyle="Comma" appId="_GBC_291486261b6a4e8092eea55d961b7664">
        <m:complexRule comparator="Eq" title="指定以公允价值计量且变动计入当期损益的金融资产中的债务工具投资公允价值合计" test=" $_GBC_216f9ade4eaa48ea981dc11510904e11 +  $_GBC_86abad0a9f26488d89dc880a952ed2da +  $_GBC_2ed92854f4c24e619517ce5425fe57d3" id="C47891637af344b1eba37e94b786cd288"/>
      </m:item>
      <m:placeholder xlName="_PLD_9cde8bbc3a5e4a2a8e2cc318e0a0d8d4" addr="T0R10C0S1_1"/>
      <m:item xlName="_GBC_e8d175ba91064983b36ae98776cb1b69"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4b785696cde44d3f8a4a7d28ab963e38" unitRef="_GBC_3bb5670d72804a4b8298edc3e439955a" addr="T0R10C1S1_1" formatStyle="Comma" appId="_GBC_291486261b6a4e8092eea55d961b7664"/>
      <m:item xlName="_GBC_b466909842ff41d88025a339f8d3e467"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4b785696cde44d3f8a4a7d28ab963e38" unitRef="_GBC_3bb5670d72804a4b8298edc3e439955a" addr="T0R10C2S1_1" formatStyle="Comma" appId="_GBC_291486261b6a4e8092eea55d961b7664"/>
      <m:item xlName="_GBC_cd8357cea2874cc99db5e6bfe384da37"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4b785696cde44d3f8a4a7d28ab963e38" unitRef="_GBC_3bb5670d72804a4b8298edc3e439955a" addr="T0R10C3S1_1" formatStyle="Comma" appId="_GBC_291486261b6a4e8092eea55d961b7664"/>
      <m:item xlName="_GBC_69670edf3283451ea3894cb5ed41c598" concept="clcid-pte:ZhiDingYiGongYunJiaZhiJiLiangQieBianDongJiRuDangQiSunYiDeJinRongZiChanZhongDeQuanYiGongJuTouZiGongYunJiaZhiHeJi" label="指定以公允价值计量且变动计入当期损益的金融资产中的权益工具投资公允价值合计" mulRef="_GBC_4b785696cde44d3f8a4a7d28ab963e38" unitRef="_GBC_3bb5670d72804a4b8298edc3e439955a" addr="T0R10C4S1_1" formatStyle="Comma" appId="_GBC_291486261b6a4e8092eea55d961b7664">
        <m:complexRule comparator="Eq" title="指定以公允价值计量且变动计入当期损益的金融资产中的权益工具投资公允价值合计" test=" $_GBC_e8d175ba91064983b36ae98776cb1b69 +  $_GBC_b466909842ff41d88025a339f8d3e467 +  $_GBC_cd8357cea2874cc99db5e6bfe384da37" id="Ccb0a0cc4d66f4cf7a5e92ab28f2f1913"/>
      </m:item>
      <m:placeholder xlName="_PLD_0ef7eb1654ce4d2395b91be52c1c05a7" addr="T0R11C0S1_1"/>
      <m:item xlName="_GBC_bed11e7b63064d5ba189b10679aa2235" concept="clcid-pte:DiYiCengCiGongYunJiaZhiJiLiangDeQiTaZhaiQuanTouZi" label="第一层次公允价值计量的其他债权投资" mulRef="_GBC_4b785696cde44d3f8a4a7d28ab963e38" unitRef="_GBC_3bb5670d72804a4b8298edc3e439955a" addr="T0R11C1S1_1" formatStyle="Comma" appId="_GBC_291486261b6a4e8092eea55d961b7664"/>
      <m:item xlName="_GBC_f34dc28121c64637ad425e93f51b1098" concept="clcid-pte:DiErCengCiGongYunJiaZhiJiLiangDeQiTaZhaiQuanTouZi" label="第二层次公允价值计量的其他债权投资" mulRef="_GBC_4b785696cde44d3f8a4a7d28ab963e38" unitRef="_GBC_3bb5670d72804a4b8298edc3e439955a" addr="T0R11C2S1_1" formatStyle="Comma" appId="_GBC_291486261b6a4e8092eea55d961b7664"/>
      <m:item xlName="_GBC_82a406cec1ee4f5a988a57d9aa885f36" concept="clcid-pte:DiSanCengCiGongYunJiaZhiJiLiangDeQiTaZhaiQuanTouZi" label="第三层次公允价值计量的其他债权投资" mulRef="_GBC_4b785696cde44d3f8a4a7d28ab963e38" unitRef="_GBC_3bb5670d72804a4b8298edc3e439955a" addr="T0R11C3S1_1" formatStyle="Comma" appId="_GBC_291486261b6a4e8092eea55d961b7664"/>
      <m:item xlName="_GBC_a19837093d494907bfa57b2ab7c39e5f" concept="clcid-pte:QiTaZhaiQuanTouZiGongYunJiaZhiHeJi" label="其他债权投资公允价值合计" mulRef="_GBC_4b785696cde44d3f8a4a7d28ab963e38" unitRef="_GBC_3bb5670d72804a4b8298edc3e439955a" addr="T0R11C4S1_1" formatStyle="Comma" appId="_GBC_291486261b6a4e8092eea55d961b7664"/>
      <m:placeholder xlName="_PLD_26c080e935a648bda25a9c513fb13567" addr="T0R12C0S1_1"/>
      <m:item xlName="_GBC_bb5376dce5e8482cb7392f4c5d673dbd" concept="clcid-pte:DiYiCengCiGongYunJiaZhiJiLiangDeQiTaQuanYiGongJuTouZi" label="第一层次公允价值计量的其他权益工具投资" mulRef="_GBC_4b785696cde44d3f8a4a7d28ab963e38" unitRef="_GBC_3bb5670d72804a4b8298edc3e439955a" addr="T0R12C1S1_1" formatStyle="Comma" appId="_GBC_291486261b6a4e8092eea55d961b7664"/>
      <m:item xlName="_GBC_fd8cc7abca734cc0b845c0a6487f2db7" concept="clcid-pte:DiErCengCiGongYunJiaZhiJiLiangDeQiTaQuanYiGongJuTouZi" label="第二层次公允价值计量的其他权益工具投资" mulRef="_GBC_4b785696cde44d3f8a4a7d28ab963e38" unitRef="_GBC_3bb5670d72804a4b8298edc3e439955a" addr="T0R12C2S1_1" formatStyle="Comma" appId="_GBC_291486261b6a4e8092eea55d961b7664"/>
      <m:item xlName="_GBC_bfd0cecde7db4541b48b11486d673e26" concept="clcid-pte:DiSanCengCiGongYunJiaZhiJiLiangDeQiTaQuanYiGongJuTouZi" label="第三层次公允价值计量的其他权益工具投资" mulRef="_GBC_4b785696cde44d3f8a4a7d28ab963e38" unitRef="_GBC_3bb5670d72804a4b8298edc3e439955a" addr="T0R12C3S1_1" formatStyle="Comma" appId="_GBC_291486261b6a4e8092eea55d961b7664"/>
      <m:item xlName="_GBC_5efa96427e60430daace16792e16c0f8" concept="clcid-pte:GongYunJiaZhiJiLiangDeQiTaQuanYiGongJuTouZi" label="公允价值计量的其他权益工具投资" mulRef="_GBC_4b785696cde44d3f8a4a7d28ab963e38" unitRef="_GBC_3bb5670d72804a4b8298edc3e439955a" addr="T0R12C4S1_1" formatStyle="Comma" appId="_GBC_291486261b6a4e8092eea55d961b7664"/>
      <m:placeholder xlName="_PLD_e521af2dbeb842efa65b7582d9470c19" addr="T0R13C0S1_1"/>
      <m:item xlName="_GBC_667d6514694245f0ba1a8420c9a9cd89" concept="clcid-pte:DiYiCengCiGongYunJiaZhiJiLiangDeTouZiXingFangDiChan" label="第一层次公允价值计量的投资性房地产" mulRef="_GBC_4b785696cde44d3f8a4a7d28ab963e38" unitRef="_GBC_3bb5670d72804a4b8298edc3e439955a" addr="T0R13C1S1_1" formatStyle="Comma" appId="_GBC_291486261b6a4e8092eea55d961b7664">
        <m:complexRule comparator="Eq" title="第一层次公允价值计量的投资性房地产" test=" $_GBC_ea12b3cc492941df8831ee8b020b9484 +  $_GBC_590bc15f892445e0bd1119c85ceb13f0 +  $_GBC_1ea1a692297d421da2a4dfbc6faef52b" id="Ca2a3df44261146c0a00bd169f3db216a"/>
      </m:item>
      <m:item xlName="_GBC_3fcb270c426643c891376c81d3de03ac" concept="clcid-pte:DiErCengCiGongYunJiaZhiJiLiangDeTouZiXingFangDiChan" label="第二层次公允价值计量的投资性房地产" mulRef="_GBC_4b785696cde44d3f8a4a7d28ab963e38" unitRef="_GBC_3bb5670d72804a4b8298edc3e439955a" addr="T0R13C2S1_1" formatStyle="Comma" appId="_GBC_291486261b6a4e8092eea55d961b7664">
        <m:complexRule comparator="Eq" title="第二层次公允价值计量的投资性房地产" test=" $_GBC_ffdb6997079749d4aaf71779ef693907 +  $_GBC_b6694e2453ba48a0a293078652bed3b0 +  $_GBC_a3289e3a31ce4d57b5a177b24bc175e2" id="Ca649b0bce47a4792bbd7ff6aa58aaa6d"/>
      </m:item>
      <m:item xlName="_GBC_7711df4fc17643ea961b5a9fbf349022" concept="clcid-pte:DiSanCengCiGongYunJiaZhiJiLiangDeTouZiXingFangDiChan" label="第三层次公允价值计量的投资性房地产" mulRef="_GBC_4b785696cde44d3f8a4a7d28ab963e38" unitRef="_GBC_3bb5670d72804a4b8298edc3e439955a" addr="T0R13C3S1_1" formatStyle="Comma" appId="_GBC_291486261b6a4e8092eea55d961b7664">
        <m:complexRule comparator="Eq" title="第三层次公允价值计量的投资性房地产" test=" $_GBC_a265f0d90c34449d955a92beca7ab95d +  $_GBC_95e5cc98d82b452aa797bf0e9a1d7d16 +  $_GBC_16a83afa5c38408bb45d46f68ed3e248" id="Cc7b46046e5854c1c9e222301ecddafe4"/>
      </m:item>
      <m:item xlName="_GBC_b46989f8f4ae447f95ecfc1468b06892" concept="clcid-pte:GongYunJiaZhiJiLiangDeTouZiXingFangDiChan" label="公允价值计量的投资性房地产" mulRef="_GBC_4b785696cde44d3f8a4a7d28ab963e38" unitRef="_GBC_3bb5670d72804a4b8298edc3e439955a" addr="T0R13C4S1_1" formatStyle="Comma" appId="_GBC_291486261b6a4e8092eea55d961b7664">
        <m:complexRule comparator="Eq" title="公允价值计量的投资性房地产" test=" $_GBC_667d6514694245f0ba1a8420c9a9cd89 +  $_GBC_3fcb270c426643c891376c81d3de03ac +  $_GBC_7711df4fc17643ea961b5a9fbf349022" id="Cc2fda6b9f6484106bdb9234dd49e90ac"/>
        <m:complexRule comparator="Eq" title="公允价值计量的投资性房地产" test=" $_GBC_e7e28549eb50427ea5deb306dde1c7f9 +  $_GBC_6f85caf58b1c4a92af1d6fd1bd7112e7 +  $_GBC_f3e347007bc740509ebac1446125cccf" id="Ceeffb7650138441b85c11cc017f69a09"/>
      </m:item>
      <m:placeholder xlName="_PLD_57edf64645394a44a2d92d5afc4d538a" addr="T0R14C0S1_1"/>
      <m:item xlName="_GBC_ea12b3cc492941df8831ee8b020b9484" concept="clcid-pte:DiYiCengCiGongYunJiaZhiJiLiangDeTouZiXingFangDiChanZhongDeChuZuYongDeTuDiShiYongQuan" label="第一层次公允价值计量的投资性房地产中的出租用的土地使用权" mulRef="_GBC_4b785696cde44d3f8a4a7d28ab963e38" unitRef="_GBC_3bb5670d72804a4b8298edc3e439955a" addr="T0R14C1S1_1" formatStyle="Comma" appId="_GBC_291486261b6a4e8092eea55d961b7664"/>
      <m:item xlName="_GBC_ffdb6997079749d4aaf71779ef693907" concept="clcid-pte:DiErCengCiGongYunJiaZhiJiLiangDeTouZiXingFangDiChanZhongDeChuZuYongDeTuDiShiYongQuan" label="第二层次公允价值计量的投资性房地产中的出租用的土地使用权" mulRef="_GBC_4b785696cde44d3f8a4a7d28ab963e38" unitRef="_GBC_3bb5670d72804a4b8298edc3e439955a" addr="T0R14C2S1_1" formatStyle="Comma" appId="_GBC_291486261b6a4e8092eea55d961b7664"/>
      <m:item xlName="_GBC_a265f0d90c34449d955a92beca7ab95d" concept="clcid-pte:DiSanCengCiGongYunJiaZhiJiLiangDeTouZiXingFangDiChanZhongDeChuZuYongDeTuDiShiYongQuan" label="第三层次公允价值计量的投资性房地产中的出租用的土地使用权" mulRef="_GBC_4b785696cde44d3f8a4a7d28ab963e38" unitRef="_GBC_3bb5670d72804a4b8298edc3e439955a" addr="T0R14C3S1_1" formatStyle="Comma" appId="_GBC_291486261b6a4e8092eea55d961b7664"/>
      <m:item xlName="_GBC_e7e28549eb50427ea5deb306dde1c7f9" concept="clcid-pte:TouZiXingFangDiChanZhongDeChuZuYongDeTuDiShiYongQuanGongYunJiaZhiHeJi" label="投资性房地产中的出租用的土地使用权公允价值合计" mulRef="_GBC_4b785696cde44d3f8a4a7d28ab963e38" unitRef="_GBC_3bb5670d72804a4b8298edc3e439955a" addr="T0R14C4S1_1" formatStyle="Comma" appId="_GBC_291486261b6a4e8092eea55d961b7664">
        <m:complexRule comparator="Eq" title="投资性房地产中的出租用的土地使用权公允价值合计" test=" $_GBC_ea12b3cc492941df8831ee8b020b9484 +  $_GBC_ffdb6997079749d4aaf71779ef693907 +  $_GBC_a265f0d90c34449d955a92beca7ab95d" id="Cb1b3d8f27fc0492f9577804df01d4e5f"/>
      </m:item>
      <m:placeholder xlName="_PLD_6d74812087eb4d618df7ab958a1a93e7" addr="T0R15C0S1_1"/>
      <m:item xlName="_GBC_590bc15f892445e0bd1119c85ceb13f0" concept="clcid-pte:DiYiCengCiGongYunJiaZhiJiLiangDeTouZiXingFangDiChanZhongDeChuZuDeJianZhuWu" label="第一层次公允价值计量的投资性房地产中的出租的建筑物" mulRef="_GBC_4b785696cde44d3f8a4a7d28ab963e38" unitRef="_GBC_3bb5670d72804a4b8298edc3e439955a" addr="T0R15C1S1_1" formatStyle="Comma" appId="_GBC_291486261b6a4e8092eea55d961b7664"/>
      <m:item xlName="_GBC_b6694e2453ba48a0a293078652bed3b0" concept="clcid-pte:DiErCengCiGongYunJiaZhiJiLiangDeTouZiXingFangDiChanZhongDeChuZuDeJianZhuWu" label="第二层次公允价值计量的投资性房地产中的出租的建筑物" mulRef="_GBC_4b785696cde44d3f8a4a7d28ab963e38" unitRef="_GBC_3bb5670d72804a4b8298edc3e439955a" addr="T0R15C2S1_1" formatStyle="Comma" appId="_GBC_291486261b6a4e8092eea55d961b7664"/>
      <m:item xlName="_GBC_95e5cc98d82b452aa797bf0e9a1d7d16" concept="clcid-pte:DiSanCengCiGongYunJiaZhiJiLiangDeTouZiXingFangDiChanZhongDeChuZuDeJianZhuWu" label="第三层次公允价值计量的投资性房地产中的出租的建筑物" mulRef="_GBC_4b785696cde44d3f8a4a7d28ab963e38" unitRef="_GBC_3bb5670d72804a4b8298edc3e439955a" addr="T0R15C3S1_1" formatStyle="Comma" appId="_GBC_291486261b6a4e8092eea55d961b7664"/>
      <m:item xlName="_GBC_6f85caf58b1c4a92af1d6fd1bd7112e7" concept="clcid-pte:TouZiXingFangDiChanZhongDeChuZuDeJianZhuWuGongYunJiaZhiHeJi" label="投资性房地产中的出租的建筑物公允价值合计" mulRef="_GBC_4b785696cde44d3f8a4a7d28ab963e38" unitRef="_GBC_3bb5670d72804a4b8298edc3e439955a" addr="T0R15C4S1_1" formatStyle="Comma" appId="_GBC_291486261b6a4e8092eea55d961b7664">
        <m:complexRule comparator="Eq" title="投资性房地产中的出租的建筑物公允价值合计" test=" $_GBC_590bc15f892445e0bd1119c85ceb13f0 +  $_GBC_b6694e2453ba48a0a293078652bed3b0 +  $_GBC_95e5cc98d82b452aa797bf0e9a1d7d16" id="C26cb012fb05340349beb754dbf4e38c2"/>
      </m:item>
      <m:placeholder xlName="_PLD_cd8170692aa8491292e4c34925248dd8" addr="T0R16C0S1_1"/>
      <m:item xlName="_GBC_1ea1a692297d421da2a4dfbc6faef52b" concept="clcid-pte:DiYiCengCiGongYunJiaZhiJiLiangDeTouZiXingFangDiChanZhongDeChiYouBingZhunBeiZengZhiHouZhuanRangDeTuDiShiYongQuan" label="第一层次公允价值计量的投资性房地产中的持有并准备增值后转让的土地使用权" mulRef="_GBC_4b785696cde44d3f8a4a7d28ab963e38" unitRef="_GBC_3bb5670d72804a4b8298edc3e439955a" addr="T0R16C1S1_1" formatStyle="Comma" appId="_GBC_291486261b6a4e8092eea55d961b7664"/>
      <m:item xlName="_GBC_a3289e3a31ce4d57b5a177b24bc175e2" concept="clcid-pte:DiErCengCiGongYunJiaZhiJiLiangDeTouZiXingFangDiChanZhongDeChiYouBingZhunBeiZengZhiHouZhuanRangDeTuDiShiYongQuan" label="第二层次公允价值计量的投资性房地产中的持有并准备增值后转让的土地使用权" mulRef="_GBC_4b785696cde44d3f8a4a7d28ab963e38" unitRef="_GBC_3bb5670d72804a4b8298edc3e439955a" addr="T0R16C2S1_1" formatStyle="Comma" appId="_GBC_291486261b6a4e8092eea55d961b7664"/>
      <m:item xlName="_GBC_16a83afa5c38408bb45d46f68ed3e248" concept="clcid-pte:DiSanCengCiGongYunJiaZhiJiLiangDeTouZiXingFangDiChanZhongDeChiYouBingZhunBeiZengZhiHouZhuanRangDeTuDiShiYongQuan" label="第三层次公允价值计量的投资性房地产中的持有并准备增值后转让的土地使用权" mulRef="_GBC_4b785696cde44d3f8a4a7d28ab963e38" unitRef="_GBC_3bb5670d72804a4b8298edc3e439955a" addr="T0R16C3S1_1" formatStyle="Comma" appId="_GBC_291486261b6a4e8092eea55d961b7664"/>
      <m:item xlName="_GBC_f3e347007bc740509ebac1446125cccf" concept="clcid-pte:TouZiXingFangDiChanZhongDeChiYouBingZhunBeiZengZhiHouZhuanRangDeTuDiShiYongQuanGongYunJiaZhiHeJi" label="投资性房地产中的持有并准备增值后转让的土地使用权公允价值合计" mulRef="_GBC_4b785696cde44d3f8a4a7d28ab963e38" unitRef="_GBC_3bb5670d72804a4b8298edc3e439955a" addr="T0R16C4S1_1" formatStyle="Comma" appId="_GBC_291486261b6a4e8092eea55d961b7664">
        <m:complexRule comparator="Eq" title="投资性房地产中的持有并准备增值后转让的土地使用权公允价值合计" test=" $_GBC_1ea1a692297d421da2a4dfbc6faef52b +  $_GBC_a3289e3a31ce4d57b5a177b24bc175e2 +  $_GBC_16a83afa5c38408bb45d46f68ed3e248" id="C66d75377c74f4f98a9f9ec362bf437d1"/>
      </m:item>
      <m:placeholder xlName="_PLD_17df5add0fe54a5e960e67a648bdf930" addr="T0R17C0S1_1"/>
      <m:item xlName="_GBC_127a44ee2f4d45eabce130b60697e0ca" concept="clcid-pte:DiYiCengCiGongYunJiaZhiJiLiangDeShengWuZiChan" label="第一层次公允价值计量的生物资产" mulRef="_GBC_4b785696cde44d3f8a4a7d28ab963e38" unitRef="_GBC_3bb5670d72804a4b8298edc3e439955a" addr="T0R17C1S1_1" formatStyle="Comma" appId="_GBC_291486261b6a4e8092eea55d961b7664"/>
      <m:item xlName="_GBC_96b489f42dca4f65a250f566f8e35f4d" concept="clcid-pte:DiErCengCiGongYunJiaZhiJiLiangDeShengWuZiChan" label="第二层次公允价值计量的生物资产" mulRef="_GBC_4b785696cde44d3f8a4a7d28ab963e38" unitRef="_GBC_3bb5670d72804a4b8298edc3e439955a" addr="T0R17C2S1_1" formatStyle="Comma" appId="_GBC_291486261b6a4e8092eea55d961b7664"/>
      <m:item xlName="_GBC_fd8c3c42aa8747d38a60067a4084c893" concept="clcid-pte:DiSanCengCiGongYunJiaZhiJiLiangDeShengWuZiChan" label="第三层次公允价值计量的生物资产" mulRef="_GBC_4b785696cde44d3f8a4a7d28ab963e38" unitRef="_GBC_3bb5670d72804a4b8298edc3e439955a" addr="T0R17C3S1_1" formatStyle="Comma" appId="_GBC_291486261b6a4e8092eea55d961b7664"/>
      <m:item xlName="_GBC_8beeb73d57af412f9e97409873973855" concept="clcid-pte:ShengWuZiChanGongYunJiaZhiHeJi" label="生物资产公允价值合计" mulRef="_GBC_4b785696cde44d3f8a4a7d28ab963e38" unitRef="_GBC_3bb5670d72804a4b8298edc3e439955a" addr="T0R17C4S1_1" formatStyle="Comma" appId="_GBC_291486261b6a4e8092eea55d961b7664">
        <m:complexRule comparator="Eq" title="生物资产公允价值合计" test=" $_GBC_127a44ee2f4d45eabce130b60697e0ca +  $_GBC_96b489f42dca4f65a250f566f8e35f4d +  $_GBC_fd8c3c42aa8747d38a60067a4084c893" id="Cd42868b2bd67411cb34008339ce9f0c6"/>
      </m:item>
      <m:placeholder xlName="_PLD_a56923a5772c443c8378f09a59e35325" addr="T0R18C0S1_1"/>
      <m:item xlName="_GBC_efdf623f67304f9a94f0a57a6d2233d1" concept="clcid-pte:DiYiCengCiGongYunJiaZhiJiLiangDeShengWuZiChanZhongDeXiaoHaoXingShengWuZiChan" label="第一层次公允价值计量的生物资产中的消耗性生物资产" mulRef="_GBC_4b785696cde44d3f8a4a7d28ab963e38" unitRef="_GBC_3bb5670d72804a4b8298edc3e439955a" addr="T0R18C1S1_1" formatStyle="Comma" appId="_GBC_291486261b6a4e8092eea55d961b7664"/>
      <m:item xlName="_GBC_aa88f15fd63d4970ba78d4dda192bd68" concept="clcid-pte:DiErCengCiGongYunJiaZhiJiLiangDeShengWuZiChanZhongDeXiaoHaoXingShengWuZiChan" label="第二层次公允价值计量的生物资产中的消耗性生物资产" mulRef="_GBC_4b785696cde44d3f8a4a7d28ab963e38" unitRef="_GBC_3bb5670d72804a4b8298edc3e439955a" addr="T0R18C2S1_1" formatStyle="Comma" appId="_GBC_291486261b6a4e8092eea55d961b7664"/>
      <m:item xlName="_GBC_ec5514915cc848f9b2538a1b3f9b994b" concept="clcid-pte:DiSanCengCiGongYunJiaZhiJiLiangDeShengWuZiChanZhongDeXiaoHaoXingShengWuZiChan" label="第三层次公允价值计量的生物资产中的消耗性生物资产" mulRef="_GBC_4b785696cde44d3f8a4a7d28ab963e38" unitRef="_GBC_3bb5670d72804a4b8298edc3e439955a" addr="T0R18C3S1_1" formatStyle="Comma" appId="_GBC_291486261b6a4e8092eea55d961b7664"/>
      <m:item xlName="_GBC_d0c8dc0d838c4444af4ce3cb987a8bff" concept="clcid-pte:ShengWuZiChanZhongDeXiaoHaoXingShengWuZiChanGongYunJiaZhiHeJi" label="生物资产中的消耗性生物资产公允价值合计" mulRef="_GBC_4b785696cde44d3f8a4a7d28ab963e38" unitRef="_GBC_3bb5670d72804a4b8298edc3e439955a" addr="T0R18C4S1_1" formatStyle="Comma" appId="_GBC_291486261b6a4e8092eea55d961b7664">
        <m:complexRule comparator="Eq" title="生物资产中的消耗性生物资产公允价值合计" test=" $_GBC_efdf623f67304f9a94f0a57a6d2233d1 +  $_GBC_aa88f15fd63d4970ba78d4dda192bd68 +  $_GBC_ec5514915cc848f9b2538a1b3f9b994b" id="C4be0c9b43c7348e9be9f9b7f89c7eab5"/>
      </m:item>
      <m:placeholder xlName="_PLD_255f970805f24da69438fbd6d7d1a094" addr="T0R19C0S1_1"/>
      <m:item xlName="_GBC_66489e1752694f4995b5ce877a0f2eb9" concept="clcid-pte:DiYiCengCiGongYunJiaZhiJiLiangDeShengWuZiChanZhongDeShengChanXingShengWuZiChan" label="第一层次公允价值计量的生物资产中的生产性生物资产" mulRef="_GBC_4b785696cde44d3f8a4a7d28ab963e38" unitRef="_GBC_3bb5670d72804a4b8298edc3e439955a" addr="T0R19C1S1_1" formatStyle="Comma" appId="_GBC_291486261b6a4e8092eea55d961b7664"/>
      <m:item xlName="_GBC_425a1b3af0fa4435902acb6e1b8d9835" concept="clcid-pte:DiErCengCiGongYunJiaZhiJiLiangDeShengWuZiChanZhongDeShengChanXingShengWuZiChan" label="第二层次公允价值计量的生物资产中的生产性生物资产" mulRef="_GBC_4b785696cde44d3f8a4a7d28ab963e38" unitRef="_GBC_3bb5670d72804a4b8298edc3e439955a" addr="T0R19C2S1_1" formatStyle="Comma" appId="_GBC_291486261b6a4e8092eea55d961b7664"/>
      <m:item xlName="_GBC_befb500ec9594580a422ff7439e73f24" concept="clcid-pte:DiSanCengCiGongYunJiaZhiJiLiangDeShengWuZiChanZhongDeShengChanXingShengWuZiChan" label="第三层次公允价值计量的生物资产中的生产性生物资产" mulRef="_GBC_4b785696cde44d3f8a4a7d28ab963e38" unitRef="_GBC_3bb5670d72804a4b8298edc3e439955a" addr="T0R19C3S1_1" formatStyle="Comma" appId="_GBC_291486261b6a4e8092eea55d961b7664"/>
      <m:item xlName="_GBC_aed48f9023974d15b9710f0f14fc6215" concept="clcid-pte:GongYunJiaZhiJiLiangDeShengChanXingShengWuZiChan" label="公允价值计量的生产性生物资产" mulRef="_GBC_4b785696cde44d3f8a4a7d28ab963e38" unitRef="_GBC_3bb5670d72804a4b8298edc3e439955a" addr="T0R19C4S1_1" formatStyle="Comma" appId="_GBC_291486261b6a4e8092eea55d961b7664">
        <m:complexRule comparator="Eq" title="公允价值计量的生产性生物资产" test=" $_GBC_66489e1752694f4995b5ce877a0f2eb9 +  $_GBC_425a1b3af0fa4435902acb6e1b8d9835 +  $_GBC_befb500ec9594580a422ff7439e73f24" id="C9d5b519fa475429f82bac0b48cd73d4c"/>
      </m:item>
      <m:tuple xlName="_TUP_e78f47dfe89a44bda0f59b05bd53aa70" concept="clcid-pte:ChiXuYiGongYunJiaZhiJiLiangDeZiChanZongEMingXi" default_row="2" addr="T0R20C">
        <m:item xlName="_GBC_a5806587b54b4e248d193507d0f5c6a0" concept="clcid-pte:ChiXuYiGongYunJiaZhiJiLiangDeZiChanZongEMingXiXiangMuMingCheng" label="持续以公允价值计量的资产总额明细-项目名称" addr="T0R20C0S1_1" appId="_GBC_291486261b6a4e8092eea55d961b7664"/>
        <m:item xlName="_GBC_cde9b6c333b3433c95ce940d9b65b256" concept="clcid-pte:ChiXuYiGongYunJiaZhiJiLiangDeZiChanZongEMingXiDiYiCengCiGongYunJiaZhiJiLiang" label="持续以公允价值计量的资产总额明细-第一层次公允价值计量" mulRef="_GBC_4b785696cde44d3f8a4a7d28ab963e38" unitRef="_GBC_3bb5670d72804a4b8298edc3e439955a" addr="T0R20C1S1_1" formatStyle="Comma" appId="_GBC_291486261b6a4e8092eea55d961b7664"/>
        <m:item xlName="_GBC_f038b5c79c3747df839a0968b97cc754" concept="clcid-pte:ChiXuYiGongYunJiaZhiJiLiangDeZiChanZongEMingXiDiErCengCiGongYunJiaZhiJiLiang" label="持续以公允价值计量的资产总额明细-第二层次公允价值计量" mulRef="_GBC_4b785696cde44d3f8a4a7d28ab963e38" unitRef="_GBC_3bb5670d72804a4b8298edc3e439955a" addr="T0R20C2S1_1" formatStyle="Comma" appId="_GBC_291486261b6a4e8092eea55d961b7664"/>
        <m:item xlName="_GBC_126b7ce9f9144aa480c77faff2d824ad" concept="clcid-pte:ChiXuYiGongYunJiaZhiJiLiangDeZiChanZongEMingXiDiSanCengCiGongYunJiaZhiJiLiang" label="持续以公允价值计量的资产总额明细-第三层次公允价值计量" mulRef="_GBC_4b785696cde44d3f8a4a7d28ab963e38" unitRef="_GBC_3bb5670d72804a4b8298edc3e439955a" addr="T0R20C3S1_1" formatStyle="Comma" appId="_GBC_291486261b6a4e8092eea55d961b7664"/>
        <m:item xlName="_GBC_5f48ea3af27e40d79c98f5afac528fa1" concept="clcid-pte:ChiXuYiGongYunJiaZhiJiLiangDeZiChanZongEMingXiHeJi" label="持续以公允价值计量的资产总额明细-合计" mulRef="_GBC_4b785696cde44d3f8a4a7d28ab963e38" unitRef="_GBC_3bb5670d72804a4b8298edc3e439955a" addr="T0R20C4S1_1" formatStyle="Comma" appId="_GBC_291486261b6a4e8092eea55d961b7664">
          <m:complexRule comparator="Eq" title="持续以公允价值计量的资产总额明细-合计" test=" $_GBC_cde9b6c333b3433c95ce940d9b65b256 +  $_GBC_f038b5c79c3747df839a0968b97cc754 +  $_GBC_126b7ce9f9144aa480c77faff2d824ad" id="Cfb5e27179b3246849f4a1e0a8af51927"/>
        </m:item>
      </m:tuple>
      <m:placeholder xlName="_PLD_5f085d8452914c828c6cb5c210cfc97c" addr="T0R22C0S1_1"/>
      <m:item xlName="_GBC_420ff5ead8c54cedbeb0df45a7db6de9" concept="clcid-pte:DiYiCengCiGongYunJiaZhiJiLiangDeChiXuYiGongYunJiaZhiJiLiangDeZiChanZongE" label="第一层次公允价值计量的持续以公允价值计量的资产总额" mulRef="_GBC_4b785696cde44d3f8a4a7d28ab963e38" unitRef="_GBC_3bb5670d72804a4b8298edc3e439955a" addr="T0R22C1S1_1" formatStyle="Comma" appId="_GBC_291486261b6a4e8092eea55d961b7664">
        <m:complexRule comparator="Eq" title="第一层次公允价值计量的持续以公允价值计量的资产总额" test=" $_GBC_b06566bad57947cca7ef58dfa8c9dc0b +  $_GBC_667d6514694245f0ba1a8420c9a9cd89 +  $_GBC_bed11e7b63064d5ba189b10679aa2235 +  $_GBC_bb5376dce5e8482cb7392f4c5d673dbd +  $_GBC_127a44ee2f4d45eabce130b60697e0ca +  $_GBC_cde9b6c333b3433c95ce940d9b65b256" id="Cb975357f76d849058e34d17f559733b0" serialType="1"/>
      </m:item>
      <m:item xlName="_GBC_0955dd5d3e734fc0a84c7cf7c2af6a4a" concept="clcid-pte:DiErCengCiGongYunJiaZhiJiLiangDeChiXuYiGongYunJiaZhiJiLiangDeZiChanZongE" label="第二层次公允价值计量的持续以公允价值计量的资产总额" mulRef="_GBC_4b785696cde44d3f8a4a7d28ab963e38" unitRef="_GBC_3bb5670d72804a4b8298edc3e439955a" addr="T0R22C2S1_1" formatStyle="Comma" appId="_GBC_291486261b6a4e8092eea55d961b7664">
        <m:complexRule comparator="Eq" title="第二层次公允价值计量的持续以公允价值计量的资产总额" test=" $_GBC_de6b7db6d03e4b60a6a0a5f71ef22385 +  $_GBC_f34dc28121c64637ad425e93f51b1098 +  $_GBC_fd8cc7abca734cc0b845c0a6487f2db7 +  $_GBC_3fcb270c426643c891376c81d3de03ac +  $_GBC_96b489f42dca4f65a250f566f8e35f4d +  $_GBC_f038b5c79c3747df839a0968b97cc754" id="Cacb66862e4cd4ff99e1de004d016a5bc" serialType="1"/>
      </m:item>
      <m:item xlName="_GBC_1f7b3dac315c4078b7c6b69712e61b40" concept="clcid-pte:DiSanCengCiGongYunJiaZhiJiLiangDeChiXuYiGongYunJiaZhiJiLiangDeZiChanZongE" label="第三层次公允价值计量的持续以公允价值计量的资产总额" mulRef="_GBC_4b785696cde44d3f8a4a7d28ab963e38" unitRef="_GBC_3bb5670d72804a4b8298edc3e439955a" addr="T0R22C3S1_1" formatStyle="Comma" appId="_GBC_291486261b6a4e8092eea55d961b7664">
        <m:complexRule comparator="Eq" title="第三层次公允价值计量的持续以公允价值计量的资产总额" test=" $_GBC_847b83d0f42845d5903d9b7a05117abf +  $_GBC_82a406cec1ee4f5a988a57d9aa885f36 +  $_GBC_bfd0cecde7db4541b48b11486d673e26 +  $_GBC_7711df4fc17643ea961b5a9fbf349022 +  $_GBC_fd8c3c42aa8747d38a60067a4084c893 +  $_GBC_126b7ce9f9144aa480c77faff2d824ad" id="C58544500f50540b8b217686f6ebb3e30" serialType="1"/>
      </m:item>
      <m:item xlName="_GBC_ea45143d40d745968b984358b29b7f37" concept="clcid-pte:ChiXuYiGongYunJiaZhiJiLiangDeZiChanZongEHeJi" label="持续以公允价值计量的资产总额合计" mulRef="_GBC_4b785696cde44d3f8a4a7d28ab963e38" unitRef="_GBC_3bb5670d72804a4b8298edc3e439955a" addr="T0R22C4S1_1" formatStyle="Comma" appId="_GBC_291486261b6a4e8092eea55d961b7664">
        <m:complexRule comparator="Eq" title="持续以公允价值计量的资产总额合计" test=" $_GBC_420ff5ead8c54cedbeb0df45a7db6de9 +  $_GBC_0955dd5d3e734fc0a84c7cf7c2af6a4a +  $_GBC_1f7b3dac315c4078b7c6b69712e61b40" id="C845482d7a1e945c488d71ccdb6004b93"/>
        <m:complexRule comparator="Eq" title="持续以公允价值计量的资产总额合计" test=" $_GBC_3914c328b93c4849bad40b074d412d2e +  $_GBC_b46989f8f4ae447f95ecfc1468b06892 +  $_GBC_a19837093d494907bfa57b2ab7c39e5f +  $_GBC_5efa96427e60430daace16792e16c0f8 +  $_GBC_8beeb73d57af412f9e97409873973855 +  $_GBC_5f48ea3af27e40d79c98f5afac528fa1" id="C4dca751dbbdd4d2bbe5c9338c7d1feac" serialType="1"/>
      </m:item>
      <m:placeholder xlName="_PLD_cc157d5ce186429f9c96a03dc3e4daa5" addr="T0R23C0S1_1"/>
      <m:item xlName="_GBC_b87b59381f984295a32165a53c2499b1" concept="clcid-pte:DiYiCengCiGongYunJiaZhiJiLiangDeJiaoYiXingJinRongFuZhai" label="第一层次公允价值计量的交易性金融负债" mulRef="_GBC_4b785696cde44d3f8a4a7d28ab963e38" unitRef="_GBC_3bb5670d72804a4b8298edc3e439955a" addr="T0R23C1S1_1" formatStyle="Comma" appId="_GBC_291486261b6a4e8092eea55d961b7664"/>
      <m:item xlName="_GBC_18a42dcc4f144417b397b2ca1f4ff91f" concept="clcid-pte:DiErCengCiGongYunJiaZhiJiLiangDeJiaoYiXingJinRongFuZhai" label="第二层次公允价值计量的交易性金融负债" mulRef="_GBC_4b785696cde44d3f8a4a7d28ab963e38" unitRef="_GBC_3bb5670d72804a4b8298edc3e439955a" addr="T0R23C2S1_1" formatStyle="Comma" appId="_GBC_291486261b6a4e8092eea55d961b7664"/>
      <m:item xlName="_GBC_2eb5f8d0ea3a4ee48139c65ed2c09963" concept="clcid-pte:DiSanCengCiGongYunJiaZhiJiLiangDeJiaoYiXingJinRongFuZhai" label="第三层次公允价值计量的交易性金融负债" mulRef="_GBC_4b785696cde44d3f8a4a7d28ab963e38" unitRef="_GBC_3bb5670d72804a4b8298edc3e439955a" addr="T0R23C3S1_1" formatStyle="Comma" appId="_GBC_291486261b6a4e8092eea55d961b7664"/>
      <m:item xlName="_GBC_874e6fb1f55e4dfbaffc3e4a8da3c518" concept="clcid-pte:JiaoYiXingJinRongFuZhaiGongYunJiaZhiHeJi" label="交易性金融负债公允价值合计" mulRef="_GBC_4b785696cde44d3f8a4a7d28ab963e38" unitRef="_GBC_3bb5670d72804a4b8298edc3e439955a" addr="T0R23C4S1_1" formatStyle="Comma" appId="_GBC_291486261b6a4e8092eea55d961b7664"/>
      <m:placeholder xlName="_PLD_eb6384ebff854706abc6b9d2b2078934" addr="T0R24C0S1_1"/>
      <m:item xlName="_GBC_c831e2d5f74f4740ab7bd873598b98f1" concept="clcid-pte:DiYiCengCiGongYunJiaZhiJiLiangDeYiGongYunJiaZhiJiLiangQieBianDongJiRuDangQiSunYiDeJinRongFuZhai" label="第一层次公允价值计量的以公允价值计量且变动计入当期损益的金融负债" mulRef="_GBC_4b785696cde44d3f8a4a7d28ab963e38" unitRef="_GBC_3bb5670d72804a4b8298edc3e439955a" addr="T0R24C1S1_1" formatStyle="Comma" appId="_GBC_291486261b6a4e8092eea55d961b7664"/>
      <m:item xlName="_GBC_b4ec880ccd6e4af98e17b0528e61c550" concept="clcid-pte:DiErCengCiGongYunJiaZhiJiLiangDeYiGongYunJiaZhiJiLiangQieBianDongJiRuDangQiSunYiDeJinRongFuZhai" label="第二层次公允价值计量的以公允价值计量且变动计入当期损益的金融负债" mulRef="_GBC_4b785696cde44d3f8a4a7d28ab963e38" unitRef="_GBC_3bb5670d72804a4b8298edc3e439955a" addr="T0R24C2S1_1" formatStyle="Comma" appId="_GBC_291486261b6a4e8092eea55d961b7664"/>
      <m:item xlName="_GBC_2e12957e869a4e67ae27d5c0f5939d66" concept="clcid-pte:DiSanCengCiGongYunJiaZhiJiLiangDeYiGongYunJiaZhiJiLiangQieBianDongJiRuDangQiSunYiDeJinRongFuZhai" label="第三层次公允价值计量的以公允价值计量且变动计入当期损益的金融负债" mulRef="_GBC_4b785696cde44d3f8a4a7d28ab963e38" unitRef="_GBC_3bb5670d72804a4b8298edc3e439955a" addr="T0R24C3S1_1" formatStyle="Comma" appId="_GBC_291486261b6a4e8092eea55d961b7664"/>
      <m:item xlName="_GBC_75099a5459c649a586f3b07182431d7a" concept="clcid-pte:YiGongYunJiaZhiJiLiangQieBianDongJiRuDangQiSunYiDeJinRongFuZhaiGongYunJiaZhiHeJi" label="以公允价值计量且变动计入当期损益的金融负债公允价值合计" mulRef="_GBC_4b785696cde44d3f8a4a7d28ab963e38" unitRef="_GBC_3bb5670d72804a4b8298edc3e439955a" addr="T0R24C4S1_1" formatStyle="Comma" appId="_GBC_291486261b6a4e8092eea55d961b7664"/>
      <m:placeholder xlName="_PLD_ab3489e8472645f1a23a90c81a64fec3" addr="T0R25C0S1_1"/>
      <m:item xlName="_GBC_a8ac452e1e2e4877bcdc5fabd408e3b6" concept="clcid-pte:DiYiCengCiGongYunJiaZhiJiLiangDeFaXingDeJiaoYiXingZhaiQuan" label="第一层次公允价值计量的发行的交易性债券" mulRef="_GBC_4b785696cde44d3f8a4a7d28ab963e38" unitRef="_GBC_3bb5670d72804a4b8298edc3e439955a" addr="T0R25C1S1_1" formatStyle="Comma" appId="_GBC_291486261b6a4e8092eea55d961b7664"/>
      <m:item xlName="_GBC_e021196982484dbc9ed68de4b5981a53" concept="clcid-pte:DiErCengCiGongYunJiaZhiJiLiangDeFaXingDeJiaoYiXingZhaiQuan" label="第二层次公允价值计量的发行的交易性债券" mulRef="_GBC_4b785696cde44d3f8a4a7d28ab963e38" unitRef="_GBC_3bb5670d72804a4b8298edc3e439955a" addr="T0R25C2S1_1" formatStyle="Comma" appId="_GBC_291486261b6a4e8092eea55d961b7664"/>
      <m:item xlName="_GBC_5f271c8ccc8048e8b82eb304b1373945" concept="clcid-pte:DiSanCengCiGongYunJiaZhiJiLiangDeFaXingDeJiaoYiXingZhaiQuan" label="第三层次公允价值计量的发行的交易性债券" mulRef="_GBC_4b785696cde44d3f8a4a7d28ab963e38" unitRef="_GBC_3bb5670d72804a4b8298edc3e439955a" addr="T0R25C3S1_1" formatStyle="Comma" appId="_GBC_291486261b6a4e8092eea55d961b7664"/>
      <m:item xlName="_GBC_47c87a97410a4c84b14759b15642d729" concept="clcid-pte:FaXingDeJiaoYiXingZhaiQuanGongYunJiaZhiHeJi" label="发行的交易性债券公允价值合计" mulRef="_GBC_4b785696cde44d3f8a4a7d28ab963e38" unitRef="_GBC_3bb5670d72804a4b8298edc3e439955a" addr="T0R25C4S1_1" formatStyle="Comma" appId="_GBC_291486261b6a4e8092eea55d961b7664"/>
      <m:placeholder xlName="_PLD_78b2b3a16d0b40e8b29ab580ecc53877" addr="T0R26C0S1_1"/>
      <m:item xlName="_GBC_da3a294c30eb41b0ba49762021539516" concept="clcid-pte:DiYiCengCiGongYunJiaZhiJiLiangDeYanShengJinRongFuZhai" label="第一层次公允价值计量的衍生金融负债" mulRef="_GBC_4b785696cde44d3f8a4a7d28ab963e38" unitRef="_GBC_3bb5670d72804a4b8298edc3e439955a" addr="T0R26C1S1_1" formatStyle="Comma" appId="_GBC_291486261b6a4e8092eea55d961b7664"/>
      <m:item xlName="_GBC_0ecf2f87254c47f98afef18c7f742223" concept="clcid-pte:DiErCengCiGongYunJiaZhiJiLiangDeYanShengJinRongFuZhai" label="第二层次公允价值计量的衍生金融负债" mulRef="_GBC_4b785696cde44d3f8a4a7d28ab963e38" unitRef="_GBC_3bb5670d72804a4b8298edc3e439955a" addr="T0R26C2S1_1" formatStyle="Comma" appId="_GBC_291486261b6a4e8092eea55d961b7664"/>
      <m:item xlName="_GBC_0f6417d6cfe144658d849ee330ae7502" concept="clcid-pte:DiSanCengCiGongYunJiaZhiJiLiangDeYanShengJinRongFuZhai" label="第三层次公允价值计量的衍生金融负债" mulRef="_GBC_4b785696cde44d3f8a4a7d28ab963e38" unitRef="_GBC_3bb5670d72804a4b8298edc3e439955a" addr="T0R26C3S1_1" formatStyle="Comma" appId="_GBC_291486261b6a4e8092eea55d961b7664"/>
      <m:item xlName="_GBC_46bf40264ed441ba8905989cf3e6eece" concept="clcid-pte:YanShengJinRongFuZhaiGongYunJiaZhiHeJi" label="衍生金融负债公允价值合计" mulRef="_GBC_4b785696cde44d3f8a4a7d28ab963e38" unitRef="_GBC_3bb5670d72804a4b8298edc3e439955a" addr="T0R26C4S1_1" formatStyle="Comma" appId="_GBC_291486261b6a4e8092eea55d961b7664"/>
      <m:placeholder xlName="_PLD_6e5dd1c748b04c09b7a17c31799de512" addr="T0R27C0S1_1"/>
      <m:item xlName="_GBC_ad4ebfd1ba9643eca38b77cb8da92a90" concept="clcid-pte:DiYiCengCiGongYunJiaZhiJiLiangDeQiTaJiaoYiXingJinRongFuZhai" label="第一层次公允价值计量的其他交易性金融负债" mulRef="_GBC_4b785696cde44d3f8a4a7d28ab963e38" unitRef="_GBC_3bb5670d72804a4b8298edc3e439955a" addr="T0R27C1S1_1" formatStyle="Comma" appId="_GBC_291486261b6a4e8092eea55d961b7664"/>
      <m:item xlName="_GBC_7135125ca90f43ce938062787efaf037" concept="clcid-pte:DiErCengCiGongYunJiaZhiJiLiangDeQiTaJiaoYiXingJinRongFuZhai" label="第二层次公允价值计量的其他交易性金融负债" mulRef="_GBC_4b785696cde44d3f8a4a7d28ab963e38" unitRef="_GBC_3bb5670d72804a4b8298edc3e439955a" addr="T0R27C2S1_1" formatStyle="Comma" appId="_GBC_291486261b6a4e8092eea55d961b7664"/>
      <m:item xlName="_GBC_57b671d73d64402180c7efd5f0b92812" concept="clcid-pte:DiSanCengCiGongYunJiaZhiJiLiangDeQiTaJiaoYiXingJinRongFuZhai" label="第三层次公允价值计量的其他交易性金融负债" mulRef="_GBC_4b785696cde44d3f8a4a7d28ab963e38" unitRef="_GBC_3bb5670d72804a4b8298edc3e439955a" addr="T0R27C3S1_1" formatStyle="Comma" appId="_GBC_291486261b6a4e8092eea55d961b7664"/>
      <m:item xlName="_GBC_87c6ba5bef2c48b7bdb8ef590baeb848" concept="clcid-pte:QiTaJiaoYiXingJinRongFuZhaiGongYunJiaZhiHeJi" label="其他交易性金融负债公允价值合计" mulRef="_GBC_4b785696cde44d3f8a4a7d28ab963e38" unitRef="_GBC_3bb5670d72804a4b8298edc3e439955a" addr="T0R27C4S1_1" formatStyle="Comma" appId="_GBC_291486261b6a4e8092eea55d961b7664"/>
      <m:placeholder xlName="_PLD_0b3835804c874ab6ada0c339f3ba564e" addr="T0R28C0S1_1"/>
      <m:item xlName="_GBC_529717112d2e4f56882a3ada3ca7e316" concept="clcid-pte:DiYiCengCiGongYunJiaZhiJiLiangDeZhiDingWeiYiGongYunJiaZhiJiLiangQieQiBianDongJiRuDangQiSunYiDeJinRongFuZhai" label="第一层次公允价值计量的指定为以公允价值计量且其变动计入当期损益的金融负债" mulRef="_GBC_4b785696cde44d3f8a4a7d28ab963e38" unitRef="_GBC_3bb5670d72804a4b8298edc3e439955a" addr="T0R28C1S1_1" formatStyle="Comma" appId="_GBC_291486261b6a4e8092eea55d961b7664">
        <m:complexRule comparator="Eq" title="第一层次公允价值计量的以公允价值计量且变动计入当期损益的金融负债" id="Cea2f003eb9c744c78c4f4b804f9a182d"/>
      </m:item>
      <m:item xlName="_GBC_fed27202c38c47f5833715fa11283fd9" concept="clcid-pte:DiErCengCiGongYunJiaZhiJiLiangDeZhiDingWeiYiGongYunJiaZhiJiLiangQieQiBianDongJiRuDangQiSunYiDeJinRongFuZhai" label="第二层次公允价值计量的指定为以公允价值计量且其变动计入当期损益的金融负债" mulRef="_GBC_4b785696cde44d3f8a4a7d28ab963e38" unitRef="_GBC_3bb5670d72804a4b8298edc3e439955a" addr="T0R28C2S1_1" formatStyle="Comma" appId="_GBC_291486261b6a4e8092eea55d961b7664">
        <m:complexRule comparator="Eq" title="第二层次公允价值计量的以公允价值计量且变动计入当期损益的金融负债" id="C5877603d099f4149ae1222faf07b790a"/>
      </m:item>
      <m:item xlName="_GBC_16a4347ad5504a5c92511d14a936ecd2" concept="clcid-pte:DiSanCengCiGongYunJiaZhiJiLiangDeZhiDingWeiYiGongYunJiaZhiJiLiangQieQiBianDongJiRuDangQiSunYiDeJinRongFuZhai" label="第三层次公允价值计量的指定为以公允价值计量且其变动计入当期损益的金融负债" mulRef="_GBC_4b785696cde44d3f8a4a7d28ab963e38" unitRef="_GBC_3bb5670d72804a4b8298edc3e439955a" addr="T0R28C3S1_1" formatStyle="Comma" appId="_GBC_291486261b6a4e8092eea55d961b7664">
        <m:complexRule comparator="Eq" title="第三层次公允价值计量的以公允价值计量且变动计入当期损益的金融负债" id="Cc67d47952e9341088d6ee019d3602007"/>
      </m:item>
      <m:item xlName="_GBC_64c6b8cafd5142c1baef87a309f2b299" concept="clcid-pte:ZhiDingWeiYiGongYunJiaZhiJiLiangQieQiBianDongJiRuDangQiSunYiDeJinRongFuZhaiGongYunJiaZhiHeJi" label="指定为以公允价值计量且其变动计入当期损益的金融负债公允价值合计" mulRef="_GBC_4b785696cde44d3f8a4a7d28ab963e38" unitRef="_GBC_3bb5670d72804a4b8298edc3e439955a" addr="T0R28C4S1_1" formatStyle="Comma" appId="_GBC_291486261b6a4e8092eea55d961b7664">
        <m:complexRule comparator="Eq" title="以公允价值计量且变动计入当期损益的金融负债公允价值合计" test=" $_GBC_529717112d2e4f56882a3ada3ca7e316 +  $_GBC_fed27202c38c47f5833715fa11283fd9 +  $_GBC_16a4347ad5504a5c92511d14a936ecd2" id="C041637405f1448e6b892cce3e3948c89"/>
      </m:item>
      <m:tuple xlName="_TUP_172ed93d1efa4937b93762fbf0b55638" concept="clcid-pte:ChiXuYiGongYunJiaZhiJiLiangDeFuZhaiZongEMingXi" default_row="2" addr="T0R29C">
        <m:item xlName="_GBC_66e314949ee24902a30964d8708d0a3c" concept="clcid-pte:ChiXuYiGongYunJiaZhiJiLiangDeFuZhaiZongEMingXiXiangMuMingCheng" label="持续以公允价值计量的负债总额明细-项目名称" addr="T0R29C0S1_1" appId="_GBC_291486261b6a4e8092eea55d961b7664"/>
        <m:item xlName="_GBC_f2afdf4a07274d8da55a5028f71b9102" concept="clcid-pte:ChiXuYiGongYunJiaZhiJiLiangDeFuZhaiZongEMingXiDiYiCengCiGongYunJiaZhiJiLiang" label="持续以公允价值计量的负债总额明细-第一层次公允价值计量" mulRef="_GBC_4b785696cde44d3f8a4a7d28ab963e38" unitRef="_GBC_3bb5670d72804a4b8298edc3e439955a" addr="T0R29C1S1_1" formatStyle="Comma" appId="_GBC_291486261b6a4e8092eea55d961b7664"/>
        <m:item xlName="_GBC_d852d552ee4543b7847cc423eee66cd3" concept="clcid-pte:ChiXuYiGongYunJiaZhiJiLiangDeFuZhaiZongEMingXiDiErCengCiGongYunJiaZhiJiLiang" label="持续以公允价值计量的负债总额明细-第二层次公允价值计量" mulRef="_GBC_4b785696cde44d3f8a4a7d28ab963e38" unitRef="_GBC_3bb5670d72804a4b8298edc3e439955a" addr="T0R29C2S1_1" formatStyle="Comma" appId="_GBC_291486261b6a4e8092eea55d961b7664"/>
        <m:item xlName="_GBC_cc0dc47036aa468f83e1955ce9c9bc6a" concept="clcid-pte:ChiXuYiGongYunJiaZhiJiLiangDeFuZhaiZongEMingXiDiSanCengCiGongYunJiaZhiJiLiang" label="持续以公允价值计量的负债总额明细-第三层次公允价值计量" mulRef="_GBC_4b785696cde44d3f8a4a7d28ab963e38" unitRef="_GBC_3bb5670d72804a4b8298edc3e439955a" addr="T0R29C3S1_1" formatStyle="Comma" appId="_GBC_291486261b6a4e8092eea55d961b7664"/>
        <m:item xlName="_GBC_a1b84f48286742bca3181573533b705f" concept="clcid-pte:ChiXuYiGongYunJiaZhiJiLiangDeFuZhaiZongEMingXiHeJi" label="持续以公允价值计量的负债总额明细-合计" mulRef="_GBC_4b785696cde44d3f8a4a7d28ab963e38" unitRef="_GBC_3bb5670d72804a4b8298edc3e439955a" addr="T0R29C4S1_1" formatStyle="Comma" appId="_GBC_291486261b6a4e8092eea55d961b7664">
          <m:complexRule comparator="Eq" title="持续以公允价值计量的负债总额明细-合计" test=" $_GBC_f2afdf4a07274d8da55a5028f71b9102 +  $_GBC_d852d552ee4543b7847cc423eee66cd3 +  $_GBC_cc0dc47036aa468f83e1955ce9c9bc6a" id="Ca391a73046e54ba48fcdfa7cd0126ea9"/>
        </m:item>
      </m:tuple>
      <m:placeholder xlName="_PLD_55f0f867d07f4493bbf5709a51eefe65" addr="T0R31C0S1_1"/>
      <m:item xlName="_GBC_ba1d9335ce14443f83c464a6d2fa30ff" concept="clcid-pte:DiYiCengCiGongYunJiaZhiJiLiangDeChiXuYiGongYunJiaZhiJiLiangDeFuZhaiZongE" label="第一层次公允价值计量的持续以公允价值计量的负债总额" mulRef="_GBC_4b785696cde44d3f8a4a7d28ab963e38" unitRef="_GBC_3bb5670d72804a4b8298edc3e439955a" addr="T0R31C1S1_1" formatStyle="Comma" appId="_GBC_291486261b6a4e8092eea55d961b7664">
        <m:complexRule comparator="Eq" title="第一层次公允价值计量的持续以公允价值计量的负债总额" test=" $_GBC_f2afdf4a07274d8da55a5028f71b9102 +  $_GBC_b87b59381f984295a32165a53c2499b1" id="Cac2606ba228940bbb7da9f423b2c3404" serialType="1"/>
      </m:item>
      <m:item xlName="_GBC_b65e687291194d1292c3fc0b702fdb31" concept="clcid-pte:DiErCengCiGongYunJiaZhiJiLiangDeChiXuYiGongYunJiaZhiJiLiangDeFuZhaiZongE" label="第二层次公允价值计量的持续以公允价值计量的负债总额" mulRef="_GBC_4b785696cde44d3f8a4a7d28ab963e38" unitRef="_GBC_3bb5670d72804a4b8298edc3e439955a" addr="T0R31C2S1_1" formatStyle="Comma" appId="_GBC_291486261b6a4e8092eea55d961b7664">
        <m:complexRule comparator="Eq" title="第二层次公允价值计量的持续以公允价值计量的负债总额" test=" $_GBC_d852d552ee4543b7847cc423eee66cd3 +  $_GBC_18a42dcc4f144417b397b2ca1f4ff91f" id="C5b0dd399dac44e5884320954c6237037" serialType="1"/>
      </m:item>
      <m:item xlName="_GBC_8d184bd940064fecb891480416abaf63" concept="clcid-pte:DiSanCengCiGongYunJiaZhiJiLiangDeChiXuYiGongYunJiaZhiJiLiangDeFuZhaiZongE" label="第三层次公允价值计量的持续以公允价值计量的负债总额" mulRef="_GBC_4b785696cde44d3f8a4a7d28ab963e38" unitRef="_GBC_3bb5670d72804a4b8298edc3e439955a" addr="T0R31C3S1_1" formatStyle="Comma" appId="_GBC_291486261b6a4e8092eea55d961b7664">
        <m:complexRule comparator="Eq" title="第三层次公允价值计量的持续以公允价值计量的负债总额" test=" $_GBC_cc0dc47036aa468f83e1955ce9c9bc6a +  $_GBC_2eb5f8d0ea3a4ee48139c65ed2c09963" id="C8b4b93c59c884efa9a0c35ef9cd91e0b" serialType="1"/>
      </m:item>
      <m:item xlName="_GBC_1472771a21644740b6a464637852aecb" concept="clcid-pte:ChiXuYiGongYunJiaZhiJiLiangDeFuZhaiZongEHeJi" label="持续以公允价值计量的负债总额合计" mulRef="_GBC_4b785696cde44d3f8a4a7d28ab963e38" unitRef="_GBC_3bb5670d72804a4b8298edc3e439955a" addr="T0R31C4S1_1" formatStyle="Comma" appId="_GBC_291486261b6a4e8092eea55d961b7664">
        <m:complexRule comparator="Eq" title="持续以公允价值计量的负债总额合计" test=" $_GBC_ba1d9335ce14443f83c464a6d2fa30ff +  $_GBC_b65e687291194d1292c3fc0b702fdb31 +  $_GBC_8d184bd940064fecb891480416abaf63" id="Cf6ba008be2a7425b8da8a0a5746c89bd"/>
        <m:complexRule comparator="Eq" title="持续以公允价值计量的负债总额合计" test=" $_GBC_a1b84f48286742bca3181573533b705f +  $_GBC_874e6fb1f55e4dfbaffc3e4a8da3c518" id="Ccac15d4a859f4c4c85461b3e1e541900" serialType="1"/>
      </m:item>
      <m:placeholder xlName="_PLD_4459ed4c85024af2b9f72ebfc4538cf7" addr="T0R32C0S1_1"/>
      <m:item xlName="_GBC_10642698efb94f018a93afbe3865dcea" concept="clcid-pte:DiYiCengCiGongYunJiaZhiJiLiangFeiChiXuDeGongYunJiaZhi" label="第一层次公允价值计量非持续的公允价值" mulRef="_GBC_4b785696cde44d3f8a4a7d28ab963e38" unitRef="_GBC_3bb5670d72804a4b8298edc3e439955a" addr="T0R32C1S1_1" formatStyle="Comma" appId="_GBC_291486261b6a4e8092eea55d961b7664"/>
      <m:item xlName="_GBC_ecef78d499e54d44b139dcbfdb721dd2" concept="clcid-pte:DiErCengCiGongYunJiaZhiJiLiangFeiChiXuDeGongYunJiaZhi" label="第二层次公允价值计量非持续的公允价值" mulRef="_GBC_4b785696cde44d3f8a4a7d28ab963e38" unitRef="_GBC_3bb5670d72804a4b8298edc3e439955a" addr="T0R32C2S1_1" formatStyle="Comma" appId="_GBC_291486261b6a4e8092eea55d961b7664"/>
      <m:item xlName="_GBC_5a2b8173840244a1a5881d28d4ce330d" concept="clcid-pte:DiSanCengCiGongYunJiaZhiJiLiangFeiChiXuDeGongYunJiaZhi" label="第三层次公允价值计量非持续的公允价值" mulRef="_GBC_4b785696cde44d3f8a4a7d28ab963e38" unitRef="_GBC_3bb5670d72804a4b8298edc3e439955a" addr="T0R32C3S1_1" formatStyle="Comma" appId="_GBC_291486261b6a4e8092eea55d961b7664"/>
      <m:item xlName="_GBC_5a958f3a61d34417ac6a49035e9fe1e1" concept="clcid-pte:FeiChiXuDeGongYunJiaZhiJiLiangHeJi" label="非持续的公允价值计量合计" mulRef="_GBC_4b785696cde44d3f8a4a7d28ab963e38" unitRef="_GBC_3bb5670d72804a4b8298edc3e439955a" addr="T0R32C4S1_1" formatStyle="Comma" appId="_GBC_291486261b6a4e8092eea55d961b7664">
        <m:complexRule comparator="Eq" title="非持续的公允价值计量合计" test=" $_GBC_10642698efb94f018a93afbe3865dcea +  $_GBC_ecef78d499e54d44b139dcbfdb721dd2 +  $_GBC_5a2b8173840244a1a5881d28d4ce330d" id="C4961e8ec214344aea085ba3748b6eda7"/>
      </m:item>
      <m:placeholder xlName="_PLD_17836ddde96f42d9960d4a0147639c54" addr="T0R33C0S1_1"/>
      <m:item xlName="_GBC_30dc7574b3a048f4934b1c480c6b6337" concept="clcid-pte:DiYiCengCiGongYunJiaZhiJiLiangDeChiYouDaiShouZiChan" label="第一层次公允价值计量的持有待售资产" mulRef="_GBC_4b785696cde44d3f8a4a7d28ab963e38" unitRef="_GBC_3bb5670d72804a4b8298edc3e439955a" addr="T0R33C1S1_1" formatStyle="Comma" appId="_GBC_291486261b6a4e8092eea55d961b7664"/>
      <m:item xlName="_GBC_eeae4807e2f448f9913d9fafa37a79cc" concept="clcid-pte:DiErCengCiGongYunJiaZhiJiLiangDeChiYouDaiShouZiChan" label="第二层次公允价值计量的持有待售资产" mulRef="_GBC_4b785696cde44d3f8a4a7d28ab963e38" unitRef="_GBC_3bb5670d72804a4b8298edc3e439955a" addr="T0R33C2S1_1" formatStyle="Comma" appId="_GBC_291486261b6a4e8092eea55d961b7664"/>
      <m:item xlName="_GBC_4369808f46b2442aac27cf274485d5c8" concept="clcid-pte:DiSanCengCiGongYunJiaZhiJiLiangDeChiYouDaiShouZiChan" label="第三层次公允价值计量的持有待售资产" mulRef="_GBC_4b785696cde44d3f8a4a7d28ab963e38" unitRef="_GBC_3bb5670d72804a4b8298edc3e439955a" addr="T0R33C3S1_1" formatStyle="Comma" appId="_GBC_291486261b6a4e8092eea55d961b7664"/>
      <m:item xlName="_GBC_c31cce05b7054b96aed6dcf98271c28c" concept="clcid-pte:ChiYouDaiShouZiChanGongYunJiaZhiHeJi" label="持有待售资产公允价值合计" mulRef="_GBC_4b785696cde44d3f8a4a7d28ab963e38" unitRef="_GBC_3bb5670d72804a4b8298edc3e439955a" addr="T0R33C4S1_1" formatStyle="Comma" appId="_GBC_291486261b6a4e8092eea55d961b7664">
        <m:complexRule comparator="Eq" title="持有待售资产公允价值合计" test=" $_GBC_30dc7574b3a048f4934b1c480c6b6337 +  $_GBC_eeae4807e2f448f9913d9fafa37a79cc +  $_GBC_4369808f46b2442aac27cf274485d5c8" id="Cf84bb52f505d45c8954122dadc9b7ddf"/>
      </m:item>
      <m:tuple xlName="_TUP_03808ad2d95243fa986b48559b276876" concept="clcid-pte:FeiChiXuYiGongYunJiaZhiJiLiangDeZiChanZongEMingXi" default_row="2" addr="T0R34C">
        <m:item xlName="_GBC_daea315ca3894c47a3e8fd03b226c146" concept="clcid-pte:FeiChiXuYiGongYunJiaZhiJiLiangDeZiChanZongEMingXiXiangMuMingCheng" label="非持续以公允价值计量的资产总额明细-项目名称" addr="T0R34C0S1_1" appId="_GBC_291486261b6a4e8092eea55d961b7664"/>
        <m:item xlName="_GBC_a76b23abd3cd4c9a8813e4d4fc5f1e7c" concept="clcid-pte:FeiChiXuYiGongYunJiaZhiJiLiangDeZiChanZongEMingXiDiYiCengCiGongYunJiaZhiJiLiang" label="非持续以公允价值计量的资产总额明细-第一层次公允价值计量" mulRef="_GBC_4b785696cde44d3f8a4a7d28ab963e38" unitRef="_GBC_3bb5670d72804a4b8298edc3e439955a" addr="T0R34C1S1_1" formatStyle="Comma" appId="_GBC_291486261b6a4e8092eea55d961b7664"/>
        <m:item xlName="_GBC_0ff4cbb0bba540da8e5aff9e00549573" concept="clcid-pte:FeiChiXuYiGongYunJiaZhiJiLiangDeZiChanZongEMingXiDiErCengCiGongYunJiaZhiJiLiang" label="非持续以公允价值计量的资产总额明细-第二层次公允价值计量" mulRef="_GBC_4b785696cde44d3f8a4a7d28ab963e38" unitRef="_GBC_3bb5670d72804a4b8298edc3e439955a" addr="T0R34C2S1_1" formatStyle="Comma" appId="_GBC_291486261b6a4e8092eea55d961b7664"/>
        <m:item xlName="_GBC_ff14db178a7346ae8a37200a180492d8" concept="clcid-pte:FeiChiXuYiGongYunJiaZhiJiLiangDeZiChanZongEMingXiDiSanCengCiGongYunJiaZhiJiLiang" label="非持续以公允价值计量的资产总额明细-第三层次公允价值计量" mulRef="_GBC_4b785696cde44d3f8a4a7d28ab963e38" unitRef="_GBC_3bb5670d72804a4b8298edc3e439955a" addr="T0R34C3S1_1" formatStyle="Comma" appId="_GBC_291486261b6a4e8092eea55d961b7664"/>
        <m:item xlName="_GBC_36dcc8b5f9ad428e9e1f92dd4b5fb088" concept="clcid-pte:FeiChiXuYiGongYunJiaZhiJiLiangDeZiChanZongEMingXiHeJi" label="非持续以公允价值计量的资产总额明细-合计" mulRef="_GBC_4b785696cde44d3f8a4a7d28ab963e38" unitRef="_GBC_3bb5670d72804a4b8298edc3e439955a" addr="T0R34C4S1_1" formatStyle="Comma" appId="_GBC_291486261b6a4e8092eea55d961b7664">
          <m:complexRule comparator="Eq" title="非持续以公允价值计量的资产总额明细-合计" test=" $_GBC_a76b23abd3cd4c9a8813e4d4fc5f1e7c +  $_GBC_0ff4cbb0bba540da8e5aff9e00549573 +  $_GBC_ff14db178a7346ae8a37200a180492d8" id="Caee068b2c4264cf8b873b47241c34584"/>
        </m:item>
      </m:tuple>
      <m:placeholder xlName="_PLD_5606f89679c6406591acd746a38b1e22" addr="T0R36C0S1_1"/>
      <m:item xlName="_GBC_dcab00377d8f4b67a07b743a7b2e2186" concept="clcid-pte:DiYiCengCiGongYunJiaZhiJiLiangFeiChiXuYiGongYunJiaZhiJiLiangDeZiChanZongE" label="第一层次公允价值计量非持续以公允价值计量的资产总额" mulRef="_GBC_4b785696cde44d3f8a4a7d28ab963e38" unitRef="_GBC_3bb5670d72804a4b8298edc3e439955a" addr="T0R36C1S1_1" formatStyle="Comma" appId="_GBC_291486261b6a4e8092eea55d961b7664">
        <m:complexRule comparator="Eq" title="第一层次公允价值计量非持续以公允价值计量的资产总额" test=" $_GBC_30dc7574b3a048f4934b1c480c6b6337 +  $_GBC_a76b23abd3cd4c9a8813e4d4fc5f1e7c" id="C0bfe2ac46e1142e4a9be4956ff636015" serialType="1"/>
      </m:item>
      <m:item xlName="_GBC_8ced729334a44b0682682f89f8bd5f53" concept="clcid-pte:DiErCengCiGongYunJiaZhiJiLiangFeiChiXuYiGongYunJiaZhiJiLiangDeZiChanZongE" label="第二层次公允价值计量非持续以公允价值计量的资产总额" mulRef="_GBC_4b785696cde44d3f8a4a7d28ab963e38" unitRef="_GBC_3bb5670d72804a4b8298edc3e439955a" addr="T0R36C2S1_1" formatStyle="Comma" appId="_GBC_291486261b6a4e8092eea55d961b7664">
        <m:complexRule comparator="Eq" title="第二层次公允价值计量非持续以公允价值计量的资产总额" test=" $_GBC_eeae4807e2f448f9913d9fafa37a79cc +  $_GBC_0ff4cbb0bba540da8e5aff9e00549573" id="C3b685e87280b421190d67c7d3750e303" serialType="1"/>
      </m:item>
      <m:item xlName="_GBC_a99b0d86220e451ba9b3dbe6cecf8d18" concept="clcid-pte:DiSanCengCiGongYunJiaZhiJiLiangFeiChiXuYiGongYunJiaZhiJiLiangDeZiChanZongE" label="第三层次公允价值计量非持续以公允价值计量的资产总额" mulRef="_GBC_4b785696cde44d3f8a4a7d28ab963e38" unitRef="_GBC_3bb5670d72804a4b8298edc3e439955a" addr="T0R36C3S1_1" formatStyle="Comma" appId="_GBC_291486261b6a4e8092eea55d961b7664">
        <m:complexRule comparator="Eq" title="第三层次公允价值计量非持续以公允价值计量的资产总额" test=" $_GBC_4369808f46b2442aac27cf274485d5c8 +  $_GBC_ff14db178a7346ae8a37200a180492d8" id="C4a12eb6e12cc42d6a9947b18cc278dbf" serialType="1"/>
      </m:item>
      <m:item xlName="_GBC_a670782296204e66830a0abf658db653" concept="clcid-pte:FeiChiXuYiGongYunJiaZhiJiLiangDeZiChanZongE" label="非持续以公允价值计量的资产总额" mulRef="_GBC_4b785696cde44d3f8a4a7d28ab963e38" unitRef="_GBC_3bb5670d72804a4b8298edc3e439955a" addr="T0R36C4S1_1" formatStyle="Comma" appId="_GBC_291486261b6a4e8092eea55d961b7664">
        <m:complexRule comparator="Eq" title="非持续以公允价值计量的资产总额" test=" $_GBC_dcab00377d8f4b67a07b743a7b2e2186 +  $_GBC_8ced729334a44b0682682f89f8bd5f53 +  $_GBC_a99b0d86220e451ba9b3dbe6cecf8d18" id="C31c92519956d471b927fe930f40e0aa1"/>
        <m:complexRule comparator="Eq" title="非持续以公允价值计量的资产总额" test=" $_GBC_c31cce05b7054b96aed6dcf98271c28c +  $_GBC_36dcc8b5f9ad428e9e1f92dd4b5fb088" id="C0710b497f25f4be18baaa666fb25049f" serialType="1"/>
      </m:item>
      <m:tuple xlName="_TUP_4425d7aee7f44bc08cf8906bad5b10f3" concept="clcid-pte:FeiChiXuYiGongYunJiaZhiJiLiangDeFuZhaiZongEMingXi" default_row="2" addr="T0R37C">
        <m:item xlName="_GBC_27b2ac46b1d04d9385ef1dbde1fbae10" concept="clcid-pte:FeiChiXuYiGongYunJiaZhiJiLiangDeFuZhaiZongEMingXiXiangMuMingCheng" label="非持续以公允价值计量的负债总额明细-项目名称" addr="T0R37C0S1_1" appId="_GBC_291486261b6a4e8092eea55d961b7664"/>
        <m:item xlName="_GBC_d3d26ce7272044a0b7d34e8a938e8d2c" concept="clcid-pte:FeiChiXuYiGongYunJiaZhiJiLiangDeFuZhaiZongEMingXiDiYiCengCiGongYunJiaZhiJiLiang" label="非持续以公允价值计量的负债总额明细-第一层次公允价值计量" mulRef="_GBC_4b785696cde44d3f8a4a7d28ab963e38" unitRef="_GBC_3bb5670d72804a4b8298edc3e439955a" addr="T0R37C1S1_1" formatStyle="Comma" appId="_GBC_291486261b6a4e8092eea55d961b7664"/>
        <m:item xlName="_GBC_b247e040de874d2ba2b868f9dc0fea76" concept="clcid-pte:FeiChiXuYiGongYunJiaZhiJiLiangDeFuZhaiZongEMingXiDiErCengCiGongYunJiaZhiJiLiang" label="非持续以公允价值计量的负债总额明细-第二层次公允价值计量" mulRef="_GBC_4b785696cde44d3f8a4a7d28ab963e38" unitRef="_GBC_3bb5670d72804a4b8298edc3e439955a" addr="T0R37C2S1_1" formatStyle="Comma" appId="_GBC_291486261b6a4e8092eea55d961b7664"/>
        <m:item xlName="_GBC_d591d07f33f94a48b8ec6a2407f53d7a" concept="clcid-pte:FeiChiXuYiGongYunJiaZhiJiLiangDeFuZhaiZongEMingXiDiSanCengCiGongYunJiaZhiJiLiang" label="非持续以公允价值计量的负债总额明细-第三层次公允价值计量" mulRef="_GBC_4b785696cde44d3f8a4a7d28ab963e38" unitRef="_GBC_3bb5670d72804a4b8298edc3e439955a" addr="T0R37C3S1_1" formatStyle="Comma" appId="_GBC_291486261b6a4e8092eea55d961b7664"/>
        <m:item xlName="_GBC_ce9474a5776f438fbafac8f48ba04954" concept="clcid-pte:FeiChiXuYiGongYunJiaZhiJiLiangDeFuZhaiZongEMingXiHeJi" label="非持续以公允价值计量的负债总额明细-合计" mulRef="_GBC_4b785696cde44d3f8a4a7d28ab963e38" unitRef="_GBC_3bb5670d72804a4b8298edc3e439955a" addr="T0R37C4S1_1" formatStyle="Comma" appId="_GBC_291486261b6a4e8092eea55d961b7664">
          <m:complexRule comparator="Eq" title="非持续以公允价值计量的负债总额明细-合计" test=" $_GBC_d3d26ce7272044a0b7d34e8a938e8d2c +  $_GBC_b247e040de874d2ba2b868f9dc0fea76 +  $_GBC_d591d07f33f94a48b8ec6a2407f53d7a" id="C50db856ec0584cad9efffdee5de641bc"/>
        </m:item>
      </m:tuple>
      <m:placeholder xlName="_PLD_2ad2f17c0f784900bcd5d8acb5d78381" addr="T0R39C0S1_1"/>
      <m:item xlName="_GBC_697b62b58a344fe6928fa976ad616a32" concept="clcid-pte:DiYiCengCiGongYunJiaZhiJiLiangFeiChiXuYiGongYunJiaZhiJiLiangDeFuZhaiZongE" label="第一层次公允价值计量非持续以公允价值计量的负债总额" mulRef="_GBC_4b785696cde44d3f8a4a7d28ab963e38" unitRef="_GBC_3bb5670d72804a4b8298edc3e439955a" addr="T0R39C1S1_1" formatStyle="Comma" appId="_GBC_291486261b6a4e8092eea55d961b7664">
        <m:complexRule comparator="Eq" title="第一层次公允价值计量非持续以公允价值计量的负债总额" test=" $_GBC_d3d26ce7272044a0b7d34e8a938e8d2c" id="C456fefec713d465ebaacf94f6526ae13"/>
      </m:item>
      <m:item xlName="_GBC_f99b61d8d0d548479056b1f66735d850" concept="clcid-pte:DiErCengCiGongYunJiaZhiJiLiangFeiChiXuYiGongYunJiaZhiJiLiangDeFuZhaiZongE" label="第二层次公允价值计量非持续以公允价值计量的负债总额" mulRef="_GBC_4b785696cde44d3f8a4a7d28ab963e38" unitRef="_GBC_3bb5670d72804a4b8298edc3e439955a" addr="T0R39C2S1_1" formatStyle="Comma" appId="_GBC_291486261b6a4e8092eea55d961b7664">
        <m:complexRule comparator="Eq" title="第二层次公允价值计量非持续以公允价值计量的负债总额" test=" $_GBC_b247e040de874d2ba2b868f9dc0fea76" id="C61324ba7d58e4a89a67b4228f34ca99d"/>
      </m:item>
      <m:item xlName="_GBC_fc1730fce9a24669b5e07d0fcb85f6e9" concept="clcid-pte:DiSanCengCiGongYunJiaZhiJiLiangFeiChiXuYiGongYunJiaZhiJiLiangDeFuZhaiZongE" label="第三层次公允价值计量非持续以公允价值计量的负债总额" mulRef="_GBC_4b785696cde44d3f8a4a7d28ab963e38" unitRef="_GBC_3bb5670d72804a4b8298edc3e439955a" addr="T0R39C3S1_1" formatStyle="Comma" appId="_GBC_291486261b6a4e8092eea55d961b7664">
        <m:complexRule comparator="Eq" title="第三层次公允价值计量非持续以公允价值计量的负债总额" test=" $_GBC_d591d07f33f94a48b8ec6a2407f53d7a" id="C81ce644cd6b641c789def7c675790ab1"/>
      </m:item>
      <m:item xlName="_GBC_39b36811d81545a0901942bc693d3afe" concept="clcid-pte:FeiChiXuYiGongYunJiaZhiJiLiangDeFuZhaiZongE" label="非持续以公允价值计量的负债总额" mulRef="_GBC_4b785696cde44d3f8a4a7d28ab963e38" unitRef="_GBC_3bb5670d72804a4b8298edc3e439955a" addr="T0R39C4S1_1" formatStyle="Comma" appId="_GBC_291486261b6a4e8092eea55d961b7664">
        <m:complexRule comparator="Eq" title="非持续以公允价值计量的负债总额" test=" $_GBC_697b62b58a344fe6928fa976ad616a32 +  $_GBC_f99b61d8d0d548479056b1f66735d850 +  $_GBC_fc1730fce9a24669b5e07d0fcb85f6e9" id="Cee63ce500fe140fdac2617c36ec69225"/>
        <m:complexRule comparator="Eq" title="非持续以公允价值计量的负债总额" test=" $_GBC_ce9474a5776f438fbafac8f48ba04954" id="C1d94e04f5c25409193369faaba2ed23c"/>
      </m:item>
    </m:section>
    <m:section xlName="_GBC_9cf59ced96b14247921100dffef5784f" title="持续和非持续第一层次公允价值计量项目市价的确定依据" helpId="112001160">
      <m:item xlName="_GBC_699178e78c6743f697df07ed34d59216"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699178e78c6743f697df07ed34d59216&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699178e78c6743f697df07ed34d59216"/>
    </m:section>
    <m:section xlName="_GBC_8e00be36ed6245f895b032b3059a4854" title="持续和非持续第二层次公允价值计量项目，采用的估值技术和重要参数的定性及定量信息" helpId="112001161">
      <m:item xlName="_GBC_8bee9b1c9bf241d5ae1f2c4578fc3b6c"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8bee9b1c9bf241d5ae1f2c4578fc3b6c&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8bee9b1c9bf241d5ae1f2c4578fc3b6c"/>
    </m:section>
    <m:section xlName="_GBC_5d389bac3ad747a292eb45fd87ce5896" title="持续和非持续第三层次公允价值计量项目，采用的估值技术和重要参数的定性及定量信息" helpId="112001161">
      <m:item xlName="_GBC_4feedb18bf344f2ebff0035f82f30e3c"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4feedb18bf344f2ebff0035f82f30e3c&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4feedb18bf344f2ebff0035f82f30e3c"/>
    </m:section>
    <m:section xlName="_GBC_353ab3e0cb19455ab2c2c2a397421afe" title="持续的第三层次公允价值计量的项目期初与期末账面价值之间的调节信息及不可观察参数的敏感性分析" helpId="112001162">
      <m:item xlName="_GBC_fbb80659fa8c4cbba85b32b2b514495c"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fbb80659fa8c4cbba85b32b2b514495c&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fbb80659fa8c4cbba85b32b2b514495c"/>
    </m:section>
    <m:section xlName="_GBC_a9200ec73b8d485e80b76f1a9ee34c49" title="持续的公允价值计量项目，本期内发生各层级之间转换的，转换的原因及确定转换时点的政策" helpId="112001163">
      <m:item xlName="_GBC_e3d16a79a58242bc9c7be1f3a6f00898"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3d16a79a58242bc9c7be1f3a6f00898&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3d16a79a58242bc9c7be1f3a6f00898"/>
    </m:section>
    <m:section xlName="_GBC_8e563310a4b84a5d9dfe74fdbc178926" title="本期内发生的估值技术变更及变更原因" helpId="112001164">
      <m:item xlName="_GBC_b070160060a9485c87417fe5a8b5e02f" concept="clcid-ci-ar:ShiFouShiYongBenQiNeiFaShengDeGuZhiJiShuBianGengJiBianGengYuanYin" label="是否适用：本期内发生的估值技术变更及变更原因" selectOptions="_buildInAppliance" controlType="CustomCheckbox" cRanges="{&quot;StartName&quot;:&quot;_GBC_b070160060a9485c87417fe5a8b5e02f&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b070160060a9485c87417fe5a8b5e02f"/>
    </m:section>
    <m:section xlName="_GBC_e354e1f41f824854b8f3345d52a9cfab" title="不以公允价值计量的金融资产和金融负债的公允价值情况" helpId="112001165">
      <m:item xlName="_GBC_848a058035fb408c922e66294e86defb"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848a058035fb408c922e66294e86defb&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848a058035fb408c922e66294e86defb"/>
    </m:section>
    <m:section xlName="_GBC_1551c1b4fedc4ac0ae859b67b4b79904" title="公允价值其他需要披露的事项" helpId="112001166">
      <m:item xlName="_GBC_9174a0e7dec04e80924ee384dabe783a" concept="clcid-ci-ar:ShiFouShiYongGongYunJiaZhiQiTaXuYaoPiLuDeShiXiang" label="是否适用：公允价值其他需要披露的事项" selectOptions="_buildInAppliance" controlType="CustomCheckbox" cRanges="{&quot;StartName&quot;:&quot;_GBC_9174a0e7dec04e80924ee384dabe783a&quot;,&quot;EndName&quot;:&quot;_GBC_d990a97560794b80ae14f8657c7564ac&quot;,&quot;CType&quot;:1,&quot;DisplayText&quot;:null}"/>
      <m:item xlName="_GBC_d990a97560794b80ae14f8657c7564ac" concept="clcid-pte:GongYunJiaZhiQiTaXuYaoPiLuDeShiXiang" label="公允价值其他需要披露的事项" appId="_GBC_9174a0e7dec04e80924ee384dabe783a"/>
    </m:section>
    <m:section xlName="_GBC_29e1f7491caa4c3e96eef8c84532de84" title="本企业的母公司情况" rules="R2015_R11_032" helpId="112001167">
      <m:item xlName="_GBC_ead7e4ec9cc847adb62aa8efd8005802" concept="clcid-ci-ar:ShiFouShiYongBenQiYeDeMuGongSiQingKuang" label="是否适用：本企业的母公司情况" selectOptions="_buildInAppliance" controlType="CustomCheckbox" cRanges="{&quot;StartName&quot;:&quot;_GBC_ead7e4ec9cc847adb62aa8efd8005802&quot;,&quot;EndName&quot;:&quot;_GBC_72b4ca7a02944263a74be4174baff4cf&quot;,&quot;CType&quot;:1,&quot;DisplayText&quot;:null}"/>
      <m:item xlName="_GBC_6deea75122314a599b3383585a0f5cfe" concept="clcid-ci-ar:DanWeiBenQiYeDeMuGongSiQingKuang" label="单位：本企业的母公司情况" selectOptions="48229e22d31b46d897c0ecffb7a3d5b1" controlType="Combobox" cellType="Scale" appId="_GBC_ead7e4ec9cc847adb62aa8efd8005802"/>
      <m:item xlName="_GBC_3d5eae3a190749288b0c0bc9b1b1a3a3" concept="clcid-ci-ar:BiZhongBenQiYeDeMuGongSiQingKuang" label="币种：本企业的母公司情况" selectOptions="_buildInISO4217" controlType="Combobox" cellType="Measure" appId="_GBC_ead7e4ec9cc847adb62aa8efd8005802"/>
      <m:placeholder xlName="_PLD_19f86fac20c44d648212d3b573ca4c90" addr="T0R0C0S1_1"/>
      <m:placeholder xlName="_PLD_d0e9e84346084d4db76e60afa87cf85a" addr="T0R0C1S1_1"/>
      <m:placeholder xlName="_PLD_862851f8ff08431ea28c3420f555e42d" addr="T0R0C2S1_1"/>
      <m:placeholder xlName="_PLD_77ed8bc59084448aa6eced74a15c106f" addr="T0R0C3S1_1"/>
      <m:placeholder xlName="_PLD_360f61c4c6c14f0abe6480ef7f30e958" addr="T0R0C4S1_1"/>
      <m:placeholder xlName="_PLD_3ef945e24ca64fc394d2e6b861604fcf"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ead7e4ec9cc847adb62aa8efd8005802"/>
        <m:item xlName="_GBC_ef7c1fb8363d4da3914f4e1bd7dfac51" concept="clcid-pte:BenQiYeDeMuGongSiQingKuangMingXiZhuCeDi" label="本企业的母公司情况明细－注册地" addr="T0R1C1S1_1" appId="_GBC_ead7e4ec9cc847adb62aa8efd8005802"/>
        <m:item xlName="_GBC_12d20a71038a4dcd8c75fb5c37ef3a6b" concept="clcid-pte:BenQiYeDeMuGongSiQingKuangMingXiYeWuXingZhi" label="本企业的母公司情况明细－业务性质" addr="T0R1C2S1_1" appId="_GBC_ead7e4ec9cc847adb62aa8efd8005802"/>
        <m:item xlName="_GBC_58531a5f2fb54d41a49166c50c3b7feb" concept="clcid-pte:BenQiYeDeMuGongSiQingKuangMingXiZhuCeZiBen" label="本企业的母公司情况明细－注册资本" mulRef="_GBC_6deea75122314a599b3383585a0f5cfe" unitRef="_GBC_3d5eae3a190749288b0c0bc9b1b1a3a3" addr="T0R1C3S1_1" formatStyle="Comma" appId="_GBC_ead7e4ec9cc847adb62aa8efd8005802">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ead7e4ec9cc847adb62aa8efd8005802"/>
        <m:item xlName="_GBC_3687dfa048c7443badaa9e67fc8ed6b8" concept="clcid-pte:BenQiYeDeMuGongSiQingKuangMingXiMuGongSiDuiBenQiYeDeBiaoJueQuanBiLi" label="本企业的母公司情况明细－母公司对本企业的表决权比例" addr="T0R1C5S1_1" baseScale="0.01" formatStyle="Comma" appId="_GBC_ead7e4ec9cc847adb62aa8efd8005802"/>
      </m:tuple>
      <m:item xlName="_GBC_23f67537c1df4d9d9ede9fbc78ad06a4" concept="clcid-pte:BenQiYeDeMuGongSiQingKuangDeShuoMing" label="本企业的母公司情况的说明" appId="_GBC_ead7e4ec9cc847adb62aa8efd8005802"/>
      <m:item xlName="_GBC_951a676520994ab7a3822c5f58c20b7d" concept="clcid-pte:BenQiYeZuiZhongKongZhiFang" label="本企业最终控制方" appId="_GBC_ead7e4ec9cc847adb62aa8efd8005802"/>
      <m:item xlName="_GBC_72b4ca7a02944263a74be4174baff4cf" concept="clcid-pte:BenQiYeDeMuGongSiQingKuangDeQiTaShuoMing" label="本企业的母公司情况的其他说明" appId="_GBC_ead7e4ec9cc847adb62aa8efd8005802"/>
    </m:section>
    <m:section xlName="_GBC_244a434a920446c1838410fee0ac8ba8" title="本企业的子公司情况" rules="R2015_R11_032" helpId="112001167">
      <m:item xlName="_GBC_a8d551b9f62149d3bf9322adae2c671f" concept="clcid-ci-ar:ShiFouShiYongBenGongSiDeZiGongSiQingKuangXiangJianFuZhu" label="是否适用：本公司的子公司情况详见附注" selectOptions="_buildInAppliance" controlType="CustomCheckbox" cRanges="{&quot;StartName&quot;:&quot;_GBC_a8d551b9f62149d3bf9322adae2c671f&quot;,&quot;EndName&quot;:&quot;_GBC_bb3e2669c3cc45d0a6637b1809087708&quot;,&quot;CType&quot;:1,&quot;DisplayText&quot;:null}"/>
      <m:item xlName="_GBC_bb3e2669c3cc45d0a6637b1809087708" concept="clcid-pte:BenGongSiDeZiGongSiQingKuangXiangJianFuZhu" label="本公司的子公司情况详见附注" appId="_GBC_a8d551b9f62149d3bf9322adae2c671f"/>
    </m:section>
    <m:section xlName="_GBC_a5638b7fd6a848a19564209060b6909a" title="存在关联方交易或余额的合营和联营企业情况" rules="R2015_R11_032" helpId="112001167">
      <m:item xlName="_GBC_2a369d3377e94598b2a744dfe59973e2" concept="clcid-ci-ar:ShiFouShiYongBenQiYeZhongYaoDeHeYingHuoLianYingQiYeXiangJianFuZhu" label="是否适用：本企业重要的合营或联营企业详见附注" selectOptions="_buildInAppliance" controlType="CustomCheckbox" cRanges="{&quot;StartName&quot;:&quot;_GBC_2a369d3377e94598b2a744dfe59973e2&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2a369d3377e94598b2a744dfe59973e2"/>
      <m:item xlName="_GBC_cab97913a7cc4573b25c34077eadbc4c"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cab97913a7cc4573b25c34077eadbc4c&quot;,&quot;EndName&quot;:&quot;_GBC_afdc74851c8d46aabe2bd15b0fcb9f8e&quot;,&quot;CType&quot;:1,&quot;DisplayText&quot;:null}"/>
      <m:placeholder xlName="_PLD_e5c009b9730d40bc93f36e5e672cbe84" addr="T0R0C0S1_1"/>
      <m:placeholder xlName="_PLD_84c60036e8b849288542661d1d1b9890"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cab97913a7cc4573b25c34077eadbc4c"/>
        <m:item xlName="_GBC_cdb335cd22974656be08c7a7ff3cbc96" concept="clcid-pte:CunZaiGuanLianFangJiaoYiHuoYuEDeHeYingHeLianYingQiYeQingKuangMingXiYuBenJiTuanGuanXi" label="存在关联方交易或余额的合营和联营企业情况明细-与本集团关系" addr="T0R1C1S1_1" appId="_GBC_cab97913a7cc4573b25c34077eadbc4c"/>
      </m:tuple>
      <m:item xlName="_GBC_6d56e8a9eaca4f499d758b2eb96268bf" concept="clcid-ci-ar:ShiFouShiYongCunZaiGuanLianFangJiaoYiHuoYuEDeHeYingHeLianYingQiYeQingKuangShuoMing" label="是否适用：存在关联方交易或余额的合营和联营企业情况说明" selectOptions="_buildInAppliance" controlType="CustomCheckbox" cRanges="{&quot;StartName&quot;:&quot;_GBC_6d56e8a9eaca4f499d758b2eb96268bf&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6d56e8a9eaca4f499d758b2eb96268bf"/>
    </m:section>
    <m:section xlName="_GBC_047a0ce3dc594d779db6d4cbc1623727" title="其他关联方情况" rules="R2015_R11_032"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addr="T0R0C0S1_1"/>
      <m:placeholder xlName="_PLD_c1304840da1e482f80286e0c7ca19002" addr="T0R0C1S1_1"/>
      <m:tuple xlName="_GBC_2ec4adf7a1ce48faaeba9536b2bf6d81" concept="clcid-pte:BenQiYeDeQiTaGuanLianFangQingKuangMingXi" default_row="2" addr="T0R1C">
        <m:item xlName="_GBC_82d7a1b281b64889ba8c7ea32e982256"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item xlName="_GBC_ba304c7536f34a3f9d88448fb11ca349" concept="clcid-ci-ar:ShiFouShiYongCaiGouShangPinHuoJieShouLaoWuQingKuangBiao" label="是否适用：采购商品或接受劳务情况表" selectOptions="_buildInAppliance" controlType="CustomCheckbox" cRanges="{&quot;StartName&quot;:&quot;_GBC_ba304c7536f34a3f9d88448fb11ca349&quot;,&quot;EndName&quot;:&quot;_GBC_2c42b1852c684e87aee4f148431ec7d8&quot;,&quot;CType&quot;:1,&quot;DisplayText&quot;:null}"/>
      <m:item xlName="_GBC_e8711f0989ee42659555a9f5631abd88" concept="clcid-ci-ar:DanWeiCaiGouShangPinJieShouLaoWuQingKuangBiao" label="单位：采购商品接受劳务情况表" selectOptions="_buildInScales" controlType="Combobox" cellType="Scale" appId="_GBC_ba304c7536f34a3f9d88448fb11ca349"/>
      <m:item xlName="_GBC_dc28b68caa744ea9a5230887b822319a" concept="clcid-ci-ar:BiZhongCaiGouShangPinJieShouLaoWuQingKuangBiao" label="币种：采购商品接受劳务情况表" selectOptions="_buildInISO4217" controlType="Combobox" cellType="Measure" appId="_GBC_ba304c7536f34a3f9d88448fb11ca349"/>
      <m:placeholder xlName="_PLD_5b37ccbdc11a45c3bbc2cf6527561c9d" addr="T0R0C0S1_1"/>
      <m:placeholder xlName="_PLD_2d7b095c1f35485da0de73d655b7a571" addr="T0R0C1S1_1"/>
      <m:placeholder xlName="_PLD_2d255188abfa41f4af0fad1a74ac6d6d" addr="T0R0C2S1_1"/>
      <m:placeholder xlName="_PLD_60fc9f0737164f9694363f102a4420bb" addr="T0R0C3S1_1"/>
      <m:tuple xlName="_GBC_0c9767805cb8416eaba14f759181aa29" concept="clcid-ie:CaiGouShangPinJieShouLaoWuQingKuangMingXi" default_row="2" addr="T0R1C">
        <m:item xlName="_GBC_bc4eb4a455cb4683982b52fd68baedbf" concept="clcid-ie:CaiGouShangPinJieShouLaoWuQingKuangMingXiGuanLianFang" label="采购商品接受劳务情况明细-关联方" addr="T0R1C0S1_1" appId="_GBC_ba304c7536f34a3f9d88448fb11ca349"/>
        <m:item xlName="_GBC_42addd9ef16845b68e716a5b498cd013" concept="clcid-ie:CaiGouShangPinJieShouLaoWuQingKuangMingXiGuanLianJiaoYiNeiRong" label="采购商品接受劳务情况明细-关联交易内容" addr="T0R1C1S1_1" appId="_GBC_ba304c7536f34a3f9d88448fb11ca349"/>
        <m:item xlName="_GBC_51d916455e984678b83e9f0ec4cb14bd" concept="clcid-ie:CaiGouShangPinJieShouLaoWuQingKuangMingXiFaShengE" label="采购商品接受劳务情况明细-发生额" mulRef="_GBC_e8711f0989ee42659555a9f5631abd88" unitRef="_GBC_dc28b68caa744ea9a5230887b822319a" addr="T0R1C2S1_1" formatStyle="Comma" appId="_GBC_ba304c7536f34a3f9d88448fb11ca349"/>
        <m:item xlName="_GBC_2c42b1852c684e87aee4f148431ec7d8" concept="clcid-ie:CaiGouShangPinJieShouLaoWuQingKuangMingXiFaShengE" label="采购商品接受劳务情况明细-发生额" periodRef="上年同期数" mulRef="_GBC_e8711f0989ee42659555a9f5631abd88" unitRef="_GBC_dc28b68caa744ea9a5230887b822319a" addr="T0R1C3S1_1" formatStyle="Comma" appId="_GBC_ba304c7536f34a3f9d88448fb11ca349"/>
      </m:tuple>
    </m:section>
    <m:section xlName="_GBC_a4e1c0efe9f741ecbb648a33c9afb8fd" title="出售商品/提供劳务情况" rules="R2015_R11_032"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concept="clcid-ci-ar:DanWeiChuShouShangPinTiGongLaoWuQingKuangBiao" label="单位：出售商品提供劳务情况表" selectOptions="_buildInScales" controlType="Combobox" cellType="Scale" appId="_GBC_18ae630e2f3641959d3a9fc1a3f3ccf3"/>
      <m:item xlName="_GBC_d298f57687684d2eafef1d8c13d51722" concept="clcid-ci-ar:BiZhongChuShouShangPinTiGongLaoWuQingKuangBiao" label="币种：出售商品提供劳务情况表" selectOptions="_buildInISO4217" controlType="Combobox" cellType="Measure" appId="_GBC_18ae630e2f3641959d3a9fc1a3f3ccf3"/>
      <m:placeholder xlName="_PLD_70510986aab647e99b00ba57c32e64cd" addr="T0R0C0S1_1"/>
      <m:placeholder xlName="_PLD_66da90262f3d401c8151235b4c6f5e93" addr="T0R0C1S1_1"/>
      <m:placeholder xlName="_PLD_09c424bd80324eb49dafea569ce1931b" addr="T0R0C2S1_1"/>
      <m:placeholder xlName="_PLD_fd0f9e0691744db49d5ceaf95d42197c" addr="T0R0C3S1_1"/>
      <m:tuple xlName="_GBC_d6e24b6ca62645f180ecf5d4621afdc6" concept="clcid-ie:ChuShouShangPinTiGongLaoWuQingKuangMingXi" default_row="2" addr="T0R1C">
        <m:item xlName="_GBC_ea3a50f2f6084641a06e7e84b4f31731"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item xlName="_GBC_3810b3cad54c4b2f9754e7d6be3e9480" concept="clcid-ci-ar:ShiFouShiYongBenGongSiShouTuoGuanLiHuoChengBaoQingKuangBiao" label="是否适用：本公司受托管理或承包情况表" selectOptions="_buildInAppliance" controlType="CustomCheckbox" cRanges="{&quot;StartName&quot;:&quot;_GBC_3810b3cad54c4b2f9754e7d6be3e9480&quot;,&quot;EndName&quot;:&quot;_GBC_ed070dc146334809a9b1d213a1809716&quot;,&quot;CType&quot;:1,&quot;DisplayText&quot;:null}"/>
      <m:item xlName="_GBC_7460ea86bc294c8ba8faff72368c88e3" concept="clcid-ci-ar:DanWeiGongSiShouTuoGuanLiChengBaoQingKuangBiao" label="单位：公司受托管理承包情况表" selectOptions="_buildInScales" controlType="Combobox" cellType="Scale" appId="_GBC_3810b3cad54c4b2f9754e7d6be3e9480"/>
      <m:item xlName="_GBC_d190629e89564714b4766328b9a5eef1" concept="clcid-ci-ar:BiZhongGongSiShouTuoGuanLiChengBaoQingKuangBiao" label="币种：公司受托管理承包情况表" selectOptions="_buildInISO4217" controlType="Combobox" cellType="Measure" appId="_GBC_3810b3cad54c4b2f9754e7d6be3e9480"/>
      <m:placeholder xlName="_PLD_38a55a692fa64a7384cba229fa39379d" addr="T0R0C0S1_1"/>
      <m:placeholder xlName="_PLD_e2103795e1894b179a99afbd1768d8f1" addr="T0R0C1S1_1"/>
      <m:placeholder xlName="_PLD_ebd0a6921db9441c88f45bacb935261a" addr="T0R0C2S1_1"/>
      <m:placeholder xlName="_PLD_08aae14adb684768b346519128ac7f41" addr="T0R0C3S1_1"/>
      <m:placeholder xlName="_PLD_99503b83e5c640fd8acdda1166c45099" addr="T0R0C4S1_1"/>
      <m:placeholder xlName="_PLD_826b60df658740988929494ad74bfd52" addr="T0R0C5S1_1"/>
      <m:placeholder xlName="_PLD_915775ad6cb94354bc03acbec01a2df4" addr="T0R0C6S1_1"/>
      <m:tuple xlName="_GBC_187bb23a11a144189738797191fc2622" concept="clcid-ie:GongSiShouTuoGuanLiChengBaoMingXi" default_row="2" addr="T0R1C">
        <m:item xlName="_GBC_8703cf0238ff4294adb077bfa86d3783" concept="clcid-ie:GongSiShouTuoGuanLiChengBaoMingXiWeiTuoFangChuBaoFangMingCheng" label="公司受托管理承包明细-委托方出包方名称" addr="T0R1C0S1_1" appId="_GBC_3810b3cad54c4b2f9754e7d6be3e9480"/>
        <m:item xlName="_GBC_6ebd865e77c34b29ab02428fabb4e18b" concept="clcid-ie:GongSiShouTuoGuanLiChengBaoMingXiShouTuoFangChengBaoFangMingCheng" label="公司受托管理承包明细-受托方承包方名称" addr="T0R1C1S1_1" appId="_GBC_3810b3cad54c4b2f9754e7d6be3e9480"/>
        <m:item xlName="_GBC_33fea577ceef4cd6b1bf9e21c6ecc42c" concept="clcid-ie:GongSiShouTuoGuanLiChengBaoMingXiShouTuoChengBaoZiChanLeiXing" label="公司受托管理承包明细-受托承包资产类型" selectOptions="263c229707074b389f5c9ef96917fe18" addr="T0R1C2S1_1" controlType="Combobox" appId="_GBC_3810b3cad54c4b2f9754e7d6be3e9480"/>
        <m:item xlName="_GBC_93ce4b1479eb49548ffb32397835ad5e" concept="clcid-ie:GongSiShouTuoGuanLiChengBaoMingXiShouTuoChengBaoQiShiRi" label="公司受托管理承包明细-受托承包起始日" addr="T0R1C3S1_1" appId="_GBC_3810b3cad54c4b2f9754e7d6be3e9480" keyAction="38"/>
        <m:item xlName="_GBC_cd45ea7c4c5f439796af9a5293f36289" concept="clcid-ie:GongSiShouTuoGuanLiChengBaoMingXiShouTuoChengBaoZhongZhiRi" label="公司受托管理承包明细-受托承包终止日" addr="T0R1C4S1_1" appId="_GBC_3810b3cad54c4b2f9754e7d6be3e9480" keyAction="38"/>
        <m:item xlName="_GBC_f48c85c24ce4422a978343b9130895b0" concept="clcid-ie:GongSiShouTuoGuanLiChengBaoMingXiTuoGuanShouYiChengBaoShouYiDingJiaYiJu" label="公司受托管理承包明细-托管收益承包收益定价依据" addr="T0R1C5S1_1" appId="_GBC_3810b3cad54c4b2f9754e7d6be3e9480"/>
        <m:item xlName="_GBC_ed070dc146334809a9b1d213a1809716" concept="clcid-ie:GongSiShouTuoGuanLiChengBaoMingXiQueRenDeTuoGuanShouYiChengBaoShouYi" label="公司受托管理承包明细-确认的托管收益承包收益" mulRef="_GBC_7460ea86bc294c8ba8faff72368c88e3" unitRef="_GBC_d190629e89564714b4766328b9a5eef1" addr="T0R1C6S1_1" formatStyle="Comma" appId="_GBC_3810b3cad54c4b2f9754e7d6be3e9480"/>
      </m:tuple>
      <m:item xlName="_GBC_42ec6e3170b04610899c528ce7bda003" concept="clcid-ci-ar:ShiFouShiYongGuanLianTuoGuanHuoChengBaoQingKuangShuoMing" label="是否适用：关联托管或承包情况说明" selectOptions="_buildInAppliance" controlType="CustomCheckbox" cRanges="{&quot;StartName&quot;:&quot;_GBC_42ec6e3170b04610899c528ce7bda003&quot;,&quot;EndName&quot;:&quot;_GBC_b57de92981b242d09d3295da16c1b5d2&quot;,&quot;CType&quot;:1,&quot;DisplayText&quot;:null}"/>
      <m:item xlName="_GBC_b57de92981b242d09d3295da16c1b5d2" concept="clcid-ie:GuanLianTuoGuanChengBaoQingKuangShuoMing" label="关联托管承包情况说明" appId="_GBC_42ec6e3170b04610899c528ce7bda003"/>
      <m:item xlName="_GBC_37bf111a27194665b76f71bb5418d53c" concept="clcid-ci-ar:ShiFouShiYongBenGongSiWeiTuoGuanLiHuoChuBaoQingKuangBiao" label="是否适用：本公司委托管理或出包情况表" selectOptions="_buildInAppliance" controlType="CustomCheckbox" cRanges="{&quot;StartName&quot;:&quot;_GBC_37bf111a27194665b76f71bb5418d53c&quot;,&quot;EndName&quot;:&quot;_GBC_6023afb8c2544932be5bfd0a59f3b0f6&quot;,&quot;CType&quot;:1,&quot;DisplayText&quot;:null}"/>
      <m:item xlName="_GBC_294c32e4090845cfb901300e8d47c254" concept="clcid-ci-ar:DanWeiGongSiWeiTuoGuanLiChuBaoQingKuangBiao" label="单位：公司委托管理出包情况表" selectOptions="_buildInScales" controlType="Combobox" cellType="Scale" appId="_GBC_37bf111a27194665b76f71bb5418d53c"/>
      <m:item xlName="_GBC_35d9f92c0b6b4bbba28a4a5d319eab84" concept="clcid-ci-ar:BiZhongGongSiWeiTuoGuanLiChuBaoQingKuangBiao" label="币种：公司委托管理出包情况表" selectOptions="_buildInISO4217" controlType="Combobox" cellType="Measure" appId="_GBC_37bf111a27194665b76f71bb5418d53c"/>
      <m:placeholder xlName="_PLD_e65c4e8224f34db790c7925224eb27af" addr="T1R0C0S1_1"/>
      <m:placeholder xlName="_PLD_cbdbd84171cf4f15a566c32d941a4c6d" addr="T1R0C1S1_1"/>
      <m:placeholder xlName="_PLD_b8a79b7919884b15bb7d139e78348af0" addr="T1R0C2S1_1"/>
      <m:placeholder xlName="_PLD_0411f27b92fe4b4da5e12c3bdb52d543" addr="T1R0C3S1_1"/>
      <m:placeholder xlName="_PLD_4827ac1c3ebd4e3cbd6a323a001c059c" addr="T1R0C4S1_1"/>
      <m:placeholder xlName="_PLD_56632aaeb1f1487a8a8d63ae455f474a" addr="T1R0C5S1_1"/>
      <m:placeholder xlName="_PLD_29768752e7cc4718b3ef316ad16af520" addr="T1R0C6S1_1"/>
      <m:tuple xlName="_GBC_94b96a6fb30e443a858c2b8e03301aca" concept="clcid-ie:GongSiWeiTuoGuanLiChuBaoMingXi" default_row="2" addr="T1R1C">
        <m:item xlName="_GBC_fc1182a97c354291b11b66d0079570ec" concept="clcid-ie:GongSiWeiTuoGuanLiChuBaoMingXiWeiTuoFangChuBaoFangMingCheng" label="公司委托管理出包明细-委托方出包方名称" addr="T1R1C0S1_1" appId="_GBC_37bf111a27194665b76f71bb5418d53c"/>
        <m:item xlName="_GBC_22effe74e06d429093086f4f4b8c363a" concept="clcid-ie:GongSiWeiTuoGuanLiChuBaoMingXiShouTuoFangChengBaoFangMingCheng" label="公司委托管理出包明细-受托方承包方名称" addr="T1R1C1S1_1" appId="_GBC_37bf111a27194665b76f71bb5418d53c"/>
        <m:item xlName="_GBC_43ead7990f8d41b59615f8bacdcb1f16" concept="clcid-ie:GongSiWeiTuoGuanLiChuBaoMingXiWeiTuoChuBaoZiChanLeiXing" label="公司委托管理出包明细-委托出包资产类型" selectOptions="263c229707074b389f5c9ef96917fe18" addr="T1R1C2S1_1" controlType="Combobox" appId="_GBC_37bf111a27194665b76f71bb5418d53c"/>
        <m:item xlName="_GBC_9e829574b61044f39ea10e572ce8ffe6" concept="clcid-ie:GongSiWeiTuoGuanLiChuBaoMingXiWeiTuoChuBaoQiShiRi" label="公司委托管理出包明细-委托出包起始日" addr="T1R1C3S1_1" appId="_GBC_37bf111a27194665b76f71bb5418d53c" keyAction="38"/>
        <m:item xlName="_GBC_3e7041ad26364f909f73ca27dc4b9419" concept="clcid-ie:GongSiWeiTuoGuanLiChuBaoMingXiWeiTuoChuBaoZhongZhiRi" label="公司委托管理出包明细-委托出包终止日" addr="T1R1C4S1_1" appId="_GBC_37bf111a27194665b76f71bb5418d53c" keyAction="38"/>
        <m:item xlName="_GBC_c89fdb07c9244b168510cdc1b0e2b751" concept="clcid-ie:GongSiWeiTuoGuanLiChuBaoMingXiTuoGuanFeiChuBaoFeiDingJiaYiJu" label="公司委托管理出包明细-托管费出包费定价依据" addr="T1R1C5S1_1" appId="_GBC_37bf111a27194665b76f71bb5418d53c"/>
        <m:item xlName="_GBC_6023afb8c2544932be5bfd0a59f3b0f6" concept="clcid-ie:GongSiWeiTuoGuanLiChuBaoMingXiQueDingDeTuoGuanFeiChuBaoFei" label="公司委托管理出包明细-确定的托管费出包费" mulRef="_GBC_294c32e4090845cfb901300e8d47c254" unitRef="_GBC_35d9f92c0b6b4bbba28a4a5d319eab84" addr="T1R1C6S1_1" formatStyle="Comma" appId="_GBC_37bf111a27194665b76f71bb5418d53c"/>
      </m:tuple>
      <m:item xlName="_GBC_0b0339c118c542eb8a6e3a68fab8e375" concept="clcid-ci-ar:ShiFouShiYongGuanLianGuanLiHuoChuBaoQingKuangShuoMing" label="是否适用：关联管理或出包情况说明" selectOptions="_buildInAppliance" controlType="CustomCheckbox" cRanges="{&quot;StartName&quot;:&quot;_GBC_0b0339c118c542eb8a6e3a68fab8e375&quot;,&quot;EndName&quot;:&quot;_GBC_3090c8d6dded401e8965b68c3246021b&quot;,&quot;CType&quot;:1,&quot;DisplayText&quot;:null}"/>
      <m:item xlName="_GBC_3090c8d6dded401e8965b68c3246021b" concept="clcid-ie:GuanLianGuanLiHuoChuBaoQingKuangShuoMing" label="关联管理或出包情况说明" appId="_GBC_0b0339c118c542eb8a6e3a68fab8e375"/>
    </m:section>
    <m:section xlName="_GBC_17f3281299e640aa88ca71463490c054" title="关联租赁情况" rules="R2015_R11_032" helpId="112001168">
      <m:item xlName="_GBC_f12cb8266cbd482b93c6a4bba1b05fb7" concept="clcid-ci-ar:ShiFouShiYongBenGongSiZuoWeiChuZuFangDeZuLinQingKuangBiao" label="是否适用：本公司作为出租方的租赁情况表" selectOptions="_buildInAppliance" controlType="CustomCheckbox" cRanges="{&quot;StartName&quot;:&quot;_GBC_f12cb8266cbd482b93c6a4bba1b05fb7&quot;,&quot;EndName&quot;:&quot;_GBC_ac14eac24a004daab56c9a7bbc3f45f1&quot;,&quot;CType&quot;:1,&quot;DisplayText&quot;:null}"/>
      <m:item xlName="_GBC_b6ac4f0274e84bf2bac59898fb55e11d" concept="clcid-ci-ar:DanWeiGuanLianZuLinQingKuang" label="单位：关联租赁情况" selectOptions="_buildInScales" controlType="Combobox" cellType="Scale" appId="_GBC_f12cb8266cbd482b93c6a4bba1b05fb7"/>
      <m:item xlName="_GBC_268dafb121cf40fdbb2bbe55df2badf0" concept="clcid-ci-ar:BiZhongGuanLianZuLinQingKuang" label="币种：关联租赁情况" selectOptions="_buildInISO4217" controlType="Combobox" cellType="Measure" appId="_GBC_f12cb8266cbd482b93c6a4bba1b05fb7"/>
      <m:placeholder xlName="_PLD_d0bc662d818f4cea8a5953be241f0994" addr="T0R0C0S1_1"/>
      <m:placeholder xlName="_PLD_b201e1ba80ff4620b34885e088e03080" addr="T0R0C1S1_1"/>
      <m:placeholder xlName="_PLD_2247dbd372c64f6bb229457f3849c03a" addr="T0R0C2S1_1"/>
      <m:placeholder xlName="_PLD_94eb47eaf858403e8c39eab08f54efb9" addr="T0R0C3S1_1"/>
      <m:tuple xlName="_GBC_b0112b4dc9284dc5a94109344af1edea" concept="clcid-ie:GuanLianZuLinQingKuang" default_row="2" addr="T0R1C">
        <m:item xlName="_GBC_baf7f6162943428a9d49dd3c7e4abac3" concept="clcid-ie:GuanLianZuLinChengZuFangMingCheng" label="关联承租方名称" addr="T0R1C0S1_1" appId="_GBC_f12cb8266cbd482b93c6a4bba1b05fb7"/>
        <m:item xlName="_GBC_2da965d1cfde40a18e72f259e7e18944" concept="clcid-ie:GuanLianZuLinZiChanQingKuang" label="关联租赁资产情况" addr="T0R1C1S1_1" appId="_GBC_f12cb8266cbd482b93c6a4bba1b05fb7"/>
        <m:item xlName="_GBC_0d10e589a06c44078bfe53dec21f5e6d" concept="clcid-ie:GuanLianZuLinShouYi" label="关联租赁收益" mulRef="_GBC_b6ac4f0274e84bf2bac59898fb55e11d" unitRef="_GBC_268dafb121cf40fdbb2bbe55df2badf0" addr="T0R1C2S1_1" formatStyle="Comma" appId="_GBC_f12cb8266cbd482b93c6a4bba1b05fb7"/>
        <m:item xlName="_GBC_ac14eac24a004daab56c9a7bbc3f45f1" concept="clcid-ie:GuanLianZuLinShouYi" label="关联租赁收益" periodRef="上年同期数" mulRef="_GBC_b6ac4f0274e84bf2bac59898fb55e11d" unitRef="_GBC_268dafb121cf40fdbb2bbe55df2badf0" addr="T0R1C3S1_1" formatStyle="Comma" appId="_GBC_f12cb8266cbd482b93c6a4bba1b05fb7"/>
      </m:tuple>
      <m:item xlName="_GBC_e3319fb4cbb04bb0ab5516046d7e77a4" concept="clcid-ci-ar:ShiFouShiYongBenGongSiZuoWeiChengZuFangDeZuLinQingKuangBiao" label="是否适用：本公司作为承租方的租赁情况表" selectOptions="_buildInAppliance" controlType="CustomCheckbox" cRanges="{&quot;StartName&quot;:&quot;_GBC_e3319fb4cbb04bb0ab5516046d7e77a4&quot;,&quot;EndName&quot;:&quot;_GBC_6fa18be5c33943f29569d1d7a17e272b&quot;,&quot;CType&quot;:1,&quot;DisplayText&quot;:null}"/>
      <m:item xlName="_GBC_c4f9d2e7743f429a85c30d009abea834" concept="clcid-ci-ar:DanWeiGongSiChengZuQingKuangBiao" label="单位：公司承租情况表" selectOptions="_buildInScales" controlType="Combobox" cellType="Scale" appId="_GBC_e3319fb4cbb04bb0ab5516046d7e77a4"/>
      <m:item xlName="_GBC_bad2c4d4779f4dc2bace6d7ca19d4585" concept="clcid-ci-ar:BiZhongGongSiChengZuQingKuangBiao" label="币种：公司承租情况表" selectOptions="_buildInISO4217" controlType="Combobox" cellType="Measure" appId="_GBC_e3319fb4cbb04bb0ab5516046d7e77a4"/>
      <m:placeholder xlName="_PLD_0a09d4d001e74fe3a6d865aeb5fab910" addr="T1R0C0S1_1"/>
      <m:placeholder xlName="_PLD_8f2b6c0b27fc41c19bc3ddb5e8c23d38" addr="T1R0C1S1_1"/>
      <m:placeholder xlName="_PLD_1a07095594554b409b72dea609345e26" addr="T1R0C2S1_1"/>
      <m:placeholder xlName="_PLD_719d99d0e51d4f5eb9d74441d044bfe5" addr="T1R0C3S1_1"/>
      <m:tuple xlName="_GBC_2cb90c924bac4d8690c03cd1fa4f690b" concept="clcid-ie:GongSiChengZuQingKuangMingXi" default_row="2" addr="T1R1C">
        <m:item xlName="_GBC_7bd3aacfb8134550b49b609a74965b32" concept="clcid-ie:GongSiChengZuQingKuangMingXiChuZuFangMingCheng" label="公司承租情况明细-出租方名称" addr="T1R1C0S1_1" appId="_GBC_e3319fb4cbb04bb0ab5516046d7e77a4"/>
        <m:item xlName="_GBC_7de0a4b4edcc418eb027bbb623394ee9" concept="clcid-ie:GongSiChengZuQingKuangMingXiZuLinZiChanQingKuang" label="公司承租情况明细-租赁资产情况" addr="T1R1C1S1_1" appId="_GBC_e3319fb4cbb04bb0ab5516046d7e77a4"/>
        <m:item xlName="_GBC_3ee2b5d5ae6d4731a833e843f0c80200" concept="clcid-ie:GongSiChengZuQingKuangMingXiZuLinFeiYong" label="公司承租情况明细-租赁费用" mulRef="_GBC_c4f9d2e7743f429a85c30d009abea834" unitRef="_GBC_bad2c4d4779f4dc2bace6d7ca19d4585" addr="T1R1C2S1_1" formatStyle="Comma" appId="_GBC_e3319fb4cbb04bb0ab5516046d7e77a4"/>
        <m:item xlName="_GBC_6fa18be5c33943f29569d1d7a17e272b" concept="clcid-ie:GongSiChengZuQingKuangMingXiZuLinFeiYong" label="公司承租情况明细-租赁费用" periodRef="上年同期数" mulRef="_GBC_c4f9d2e7743f429a85c30d009abea834" unitRef="_GBC_bad2c4d4779f4dc2bace6d7ca19d4585" addr="T1R1C3S1_1" formatStyle="Comma" appId="_GBC_e3319fb4cbb04bb0ab5516046d7e77a4"/>
      </m:tuple>
      <m:item xlName="_GBC_a8d25c1a27d24bbeb9dd0063be85a310" concept="clcid-ci-ar:ShiFouShiYongGuanLianZuLinQingKuangShuoMing" label="是否适用：关联租赁情况说明" selectOptions="_buildInAppliance" controlType="CustomCheckbox" cRanges="{&quot;StartName&quot;:&quot;_GBC_a8d25c1a27d24bbeb9dd0063be85a310&quot;,&quot;EndName&quot;:&quot;_GBC_84584ca23f8f450e9e44b9587b57665d&quot;,&quot;CType&quot;:1,&quot;DisplayText&quot;:null}"/>
      <m:item xlName="_GBC_84584ca23f8f450e9e44b9587b57665d" concept="clcid-ie:GuanLianZuLinShuoMing" label="关联租赁说明" appId="_GBC_a8d25c1a27d24bbeb9dd0063be85a310"/>
    </m:section>
    <m:section xlName="_GBC_a87b2e666bc14a67817d2d3189396350" title="关联担保情况" rules="R2015_R11_032"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concept="clcid-ci-ar:DanWeiGuanLianDanBaoQingKuang" label="单位：关联担保情况" selectOptions="_buildInScales" controlType="Combobox" cellType="Scale" appId="_GBC_f0150417f8ec4c5281b86683570391cb"/>
      <m:item xlName="_GBC_30ef1648c7d34b02b08d4b5c5e962498" concept="clcid-ci-ar:BiZhongGuanLianDanBaoQingKuang" label="币种：关联担保情况" selectOptions="_buildInISO4217" controlType="Combobox" cellType="Measure" appId="_GBC_f0150417f8ec4c5281b86683570391cb"/>
      <m:placeholder xlName="_PLD_7fb310b8c01a472093d9d29e302daa4b" addr="T0R0C0S1_1"/>
      <m:placeholder xlName="_PLD_cd6852cb7c5a4dea84a100ea01b8219f" addr="T0R0C1S1_1"/>
      <m:placeholder xlName="_PLD_bb272624fc77442486c7a9b0b734043e" addr="T0R0C2S1_1"/>
      <m:placeholder xlName="_PLD_a35eb33b3ab1461794f97ed15e18ee6a" addr="T0R0C3S1_1"/>
      <m:placeholder xlName="_PLD_4d5bb53717184afaad59a41f21a18bd1" addr="T0R0C4S1_1"/>
      <m:tuple xlName="_GBC_26ae64a16be64ca7926417c455e176fc" concept="clcid-pte:BenGongSiZuoWeiDanBaoFangDeGuanLianDanBaoQingKuangMingXi" default_row="2" addr="T0R1C">
        <m:item xlName="_GBC_e18ad9ff04a141bb9ddb7ce6ab40e7a0"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d7c54b58f693435fbb78b065d1e813da&quot;,&quot;CType&quot;:1,&quot;DisplayText&quot;:null}"/>
      <m:item xlName="_GBC_af3d3d55d9c648f8b2e94dcdd804c683" concept="clcid-ci-ar:DanWeiCaiWuFuZhuBenGongSiZuoWeiBeiDanBaoFang" label="单位：财务附注：本公司作为被担保方" selectOptions="_buildInScales" controlType="Combobox" cellType="Scale" appId="_GBC_3686094d29c941dd91bd168e3ef88833"/>
      <m:item xlName="_GBC_684efbccec674b3abab20e6aa5c20b55" concept="clcid-ci-ar:BiZhongCaiWuFuZhuBenGongSiZuoWeiBeiDanBaoFang" label="币种：财务附注：本公司作为被担保方" selectOptions="_buildInISO4217" controlType="Combobox" cellType="Measure" appId="_GBC_3686094d29c941dd91bd168e3ef88833"/>
      <m:placeholder xlName="_PLD_ac54f32073154fadb7bb88f234c3975e" addr="T1R0C0S1_1"/>
      <m:placeholder xlName="_PLD_7f8c0504748f429fb56091b7c979ae8f" addr="T1R0C1S1_1"/>
      <m:placeholder xlName="_PLD_420586bc450946f7ade316af068ebd3c" addr="T1R0C2S1_1"/>
      <m:placeholder xlName="_PLD_06d4f9d2aefd4b9abe4a16528e7585c3" addr="T1R0C3S1_1"/>
      <m:placeholder xlName="_PLD_ed59b0fcb59a47dc868f0dc283143858" addr="T1R0C4S1_1"/>
      <m:tuple xlName="_GBC_849e7f7a42044b3eaf135f12bb01887f" concept="clcid-pte:BenGongSiZuoWeiBeiDanBaoFangDeGuanLianDanBaoQingKuangMingXi" default_row="2" addr="T1R1C">
        <m:item xlName="_GBC_c70a2becb712468aa7a5d62f80483ef4" concept="clcid-pte:BenGongSiZuoWeiBeiDanBaoFangDeGuanLianDanBaoQingKuangMingXiDanBaoFang" label="本公司作为被担保方的关联担保情况明细-担保方" addr="T1R1C0S1_1" appId="_GBC_3686094d29c941dd91bd168e3ef88833"/>
        <m:item xlName="_GBC_567b674c631a4b22b65103d9adf5a5e2"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5a85421cd0ef4e33b302d599e653a476" concept="clcid-pte:BenGongSiZuoWeiBeiDanBaoFangDeGuanLianDanBaoQingKuangMingXiDanBaoQiShiRi" label="本公司作为被担保方的关联担保情况明细-担保起始日" addr="T1R1C2S1_1" appId="_GBC_3686094d29c941dd91bd168e3ef88833" keyAction="38"/>
        <m:item xlName="_GBC_8c8407365b454db2818a81bf1f4b57d0" concept="clcid-pte:BenGongSiZuoWeiBeiDanBaoFangDeGuanLianDanBaoQingKuangMingXiDanBaoDaoQiRi" label="本公司作为被担保方的关联担保情况明细-担保到期日" addr="T1R1C3S1_1" appId="_GBC_3686094d29c941dd91bd168e3ef88833" keyAction="38"/>
        <m:item xlName="_GBC_d7c54b58f693435fbb78b065d1e813da"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7d2bd012d603474581988dd360e12e05" title="关联方资金拆借">
      <m:item xlName="_GBC_e55ef48de9d9452e8bf635a97242b92c" concept="clcid-ci-ar:ShiFouShiYongGuanLianFangZiJinChaiJie" label="是否适用：关联方资金拆借" selectOptions="_buildInAppliance" controlType="CustomCheckbox" cRanges="[{&quot;StartName&quot;:&quot;_GBC_e55ef48de9d9452e8bf635a97242b92c&quot;,&quot;EndName&quot;:&quot;_GBC_79305c4550b84b7bab838dc65dfea5ac&quot;,&quot;CType&quot;:1}]"/>
      <m:item xlName="_GBC_277a8703dd984d6db39597b3504ebb47" concept="clcid-ci-ar:DanWeiGuanLianFangZiJinChaiJie" label="单位：关联方资金拆借" selectOptions="_buildInScales" controlType="Combobox" cellType="Scale" appId="_GBC_e55ef48de9d9452e8bf635a97242b92c"/>
      <m:item xlName="_GBC_085d2184792c4a31b64483b81886f223" concept="clcid-ci-ar:BiZhongGuanLianFangZiJinChaiJie" label="币种：关联方资金拆借" selectOptions="_buildInISO4217" controlType="Combobox" cellType="Measure" appId="_GBC_e55ef48de9d9452e8bf635a97242b92c"/>
      <m:placeholder xlName="_PLD_92e38b94a8e14210afdd923161c6398a" addr="T0R0C0S1_1"/>
      <m:placeholder xlName="_PLD_3f3533a477114604bda88ee7ed39c694" addr="T0R0C1S1_1"/>
      <m:placeholder xlName="_PLD_3eea634fae534596942dfc3d673dd609" addr="T0R0C2S1_1"/>
      <m:placeholder xlName="_PLD_daf3a6b316064f4f8dc025cc7c23bb06" addr="T0R0C3S1_1"/>
      <m:placeholder xlName="_PLD_1ee2eb9211ef4660b316ba59ef8931b2" addr="T0R0C4S1_1"/>
      <m:placeholder xlName="_PLD_3d30d0b5e2e340cdad842d496b062230" addr="T0R1C0S1_5"/>
      <m:tuple xlName="_TUP_a2ec627ba07e4075955cd1c4b684c2d2" concept="clcid-pte:GuanLianFangZiJinChaiRuMingXi" default_row="2" addr="T0R2C">
        <m:item xlName="_GBC_59c7cb2ad960427cacd9904525a57fc2" concept="clcid-pte:GuanLianFangZiJinChaiRuMingXiGuanLianFang" label="关联方资金拆入明细-关联方" addr="T0R2C0S1_1" appId="_GBC_e55ef48de9d9452e8bf635a97242b92c"/>
        <m:item xlName="_GBC_fafa60b72f81423295e2e6e7e114898a" concept="clcid-pte:GuanLianFangZiJinChaiRuMingXiJinE" label="关联方资金拆入明细-金额" mulRef="_GBC_277a8703dd984d6db39597b3504ebb47" unitRef="_GBC_085d2184792c4a31b64483b81886f223" addr="T0R2C1S1_1" formatStyle="Comma" appId="_GBC_e55ef48de9d9452e8bf635a97242b92c"/>
        <m:item xlName="_GBC_eff473d0177a4f1c910324ade23afb06" concept="clcid-pte:GuanLianFangZiJinChaiRuMingXiQiShiRi" label="关联方资金拆入明细-起始日" addr="T0R2C2S1_1" appId="_GBC_e55ef48de9d9452e8bf635a97242b92c" keyAction="38"/>
        <m:item xlName="_GBC_ad9e63a4865e46358ae4d4a9dd90891b" concept="clcid-pte:GuanLianFangZiJinChaiRuMingXiDaoQiRi" label="关联方资金拆入明细-到期日" addr="T0R2C3S1_1" appId="_GBC_e55ef48de9d9452e8bf635a97242b92c" keyAction="38"/>
        <m:item xlName="_GBC_96146d62f8134f1b8301f5560be97ce6" concept="clcid-pte:GuanLianFangZiJinChaiRuMingXiShuoMing" label="关联方资金拆入明细-说明" addr="T0R2C4S1_1" appId="_GBC_e55ef48de9d9452e8bf635a97242b92c"/>
      </m:tuple>
      <m:placeholder xlName="_PLD_46b73a8c070a471ebecb7ab5c0ae59c7" addr="T1R0C0S1_1"/>
      <m:placeholder xlName="_PLD_38b8fc5d438e4cfb875bf6c75a073832" addr="T1R0C1S1_1"/>
      <m:placeholder xlName="_PLD_072ab540c1c7496387770d1ebc8b5c1c" addr="T1R0C2S1_1"/>
      <m:placeholder xlName="_PLD_8aa955e3bbb04adb9a328aeb0316975c" addr="T1R0C3S1_1"/>
      <m:placeholder xlName="_PLD_80844490173a46e98d9fa6d56a56ac41" addr="T1R0C4S1_1"/>
      <m:placeholder xlName="_PLD_0e8b93f564ec4b07a35642b5ac01f864" addr="T1R1C0S1_5"/>
      <m:tuple xlName="_TUP_669f95dca2f94d6daee90e492c38af4c" concept="clcid-pte:GuanLianFangZiJinChaiChuMingXi" default_row="2" addr="T1R2C">
        <m:item xlName="_GBC_f0c14a96c7d64899a7e82f3af4d5df05" concept="clcid-pte:GuanLianFangZiJinChaiChuMingXiGuanLianFang" label="关联方资金拆出明细-关联方" addr="T1R2C0S1_1" appId="_GBC_e55ef48de9d9452e8bf635a97242b92c"/>
        <m:item xlName="_GBC_14d25dffda584357bfe818d277acf968" concept="clcid-pte:GuanLianFangZiJinChaiChuMingXiJinE" label="关联方资金拆出明细-金额" mulRef="_GBC_277a8703dd984d6db39597b3504ebb47" unitRef="_GBC_085d2184792c4a31b64483b81886f223" addr="T1R2C1S1_1" formatStyle="Comma" appId="_GBC_e55ef48de9d9452e8bf635a97242b92c"/>
        <m:item xlName="_GBC_da84125b906044d9b5eb68a9a563b4ce" concept="clcid-pte:GuanLianFangZiJinChaiChuMingXiQiShiRi" label="关联方资金拆出明细-起始日" addr="T1R2C2S1_1" appId="_GBC_e55ef48de9d9452e8bf635a97242b92c"/>
        <m:item xlName="_GBC_c9e8632078c341c7a58eb88aa5caea9a" concept="clcid-pte:GuanLianFangZiJinChaiChuMingXiDaoQiRi" label="关联方资金拆出明细-到期日" addr="T1R2C3S1_1" appId="_GBC_e55ef48de9d9452e8bf635a97242b92c"/>
        <m:item xlName="_GBC_79305c4550b84b7bab838dc65dfea5ac" concept="clcid-pte:GuanLianFangZiJinChaiChuMingXiShuoMing" label="关联方资金拆出明细-说明" addr="T1R2C4S1_1" appId="_GBC_e55ef48de9d9452e8bf635a97242b92c"/>
      </m:tuple>
    </m:section>
    <m:section xlName="_GBC_9319584d30f7446b9ff3e2a3d50022d5" title="关联方资产转让、债务重组情况" rules="R2015_R11_032">
      <m:item xlName="_GBC_c590c66abdbe454e89c4c55269fb6adf" concept="clcid-ci-ar:ShiFouShiYongGuanLianFangZiChanZhuanRangZhaiWuZhongZuQingKuang" label="是否适用：关联方资产转让、债务重组情况" selectOptions="_buildInAppliance" controlType="CustomCheckbox" cRanges="{&quot;StartName&quot;:&quot;_GBC_c590c66abdbe454e89c4c55269fb6adf&quot;,&quot;EndName&quot;:&quot;_GBC_f0001d8d803b414fab949bb8939fc1ec&quot;,&quot;CType&quot;:1,&quot;DisplayText&quot;:null}"/>
      <m:item xlName="_GBC_8ecfa997e28f44a388d0514524136136" concept="clcid-ci-ar:DanWeiGuanLianFangZiChanZhuanRangZhaiWuZhongZuQingKuang" label="单位：关联方资产转让、债务重组情况" selectOptions="_buildInScales" controlType="Combobox" cellType="Scale" appId="_GBC_c590c66abdbe454e89c4c55269fb6adf"/>
      <m:item xlName="_GBC_594f0fc142624d8587e52999305498cd" concept="clcid-ci-ar:BiZhongGuanLianFangZiChanZhuanRangZhaiWuZhongZuQingKuang" label="币种：关联方资产转让、债务重组情况" selectOptions="_buildInISO4217" controlType="Combobox" cellType="Measure" appId="_GBC_c590c66abdbe454e89c4c55269fb6adf"/>
      <m:placeholder xlName="_PLD_5e8f9678ed884c36ad8c2217d7465b3d" addr="T0R0C0S1_1"/>
      <m:placeholder xlName="_PLD_2ce4af22f85d494bb75fefd5e94879ce" addr="T0R0C1S1_1"/>
      <m:placeholder xlName="_PLD_89dc5f29c1b8438f88df73151ef5b043" addr="T0R0C2S1_1"/>
      <m:placeholder xlName="_PLD_d6943f21ebd14ccb8251b17b93927f85" addr="T0R0C3S1_1"/>
      <m:tuple xlName="_GBC_846a8a0aa97e4864a1c957a69d7d5e2c" concept="clcid-pte:GuanLianFangZiChanZhuanRangZhaiWuZhongZuQingKuangMingXi" default_row="2" addr="T0R1C">
        <m:item xlName="_GBC_6a329efac4e04e4b9a4cea0cb2c370a7" concept="clcid-pte:GuanLianFangZiChanZhuanRangZhaiWuZhongZuQingKuangMingXiGuanLianFangMingCheng" label="关联方资产转让、债务重组情况明细－关联方名称" addr="T0R1C0S1_1" appId="_GBC_c590c66abdbe454e89c4c55269fb6adf"/>
        <m:item xlName="_GBC_2df978215249403eaf9c99fe84cb668b" concept="clcid-pte:GuanLianFangZiChanZhuanRangZhaiWuZhongZuQingKuangMingXiGuanLianJiaoYiNeiRong" label="关联方资产转让、债务重组情况明细－关联交易内容" addr="T0R1C1S1_1" appId="_GBC_c590c66abdbe454e89c4c55269fb6adf"/>
        <m:item xlName="_GBC_181f3646a10040f4bf160df2235f9899" concept="clcid-pte:GuanLianFangZiChanZhuanRangZhaiWuZhongZuQingKuangMingXiGuanLianJiaoYiJinE" label="关联方资产转让、债务重组情况明细－关联交易金额" mulRef="_GBC_8ecfa997e28f44a388d0514524136136" unitRef="_GBC_594f0fc142624d8587e52999305498cd" addr="T0R1C2S1_1" formatStyle="Comma" appId="_GBC_c590c66abdbe454e89c4c55269fb6adf"/>
        <m:item xlName="_GBC_f0001d8d803b414fab949bb8939fc1ec" concept="clcid-pte:GuanLianFangZiChanZhuanRangZhaiWuZhongZuQingKuangMingXiGuanLianJiaoYiJinE" label="关联方资产转让、债务重组情况明细－关联交易金额" periodRef="上年同期数" mulRef="_GBC_8ecfa997e28f44a388d0514524136136" unitRef="_GBC_594f0fc142624d8587e52999305498cd" addr="T0R1C3S1_1" formatStyle="Comma" appId="_GBC_c590c66abdbe454e89c4c55269fb6adf"/>
      </m:tuple>
    </m:section>
    <m:section xlName="_GBC_16da1beac91f4544809058bfda2ad3bf" title="关键管理人员报酬" rules="R2015_R11_032" helpId="112001168">
      <m:item xlName="_GBC_48379e9c7f5743bb916ac1cb044f4057" concept="clcid-ci-ar:ShiFouShiYongGuanJianGuanLiRenYuanBaoChou" label="是否适用：关键管理人员报酬" selectOptions="_buildInAppliance" controlType="CustomCheckbox" cRanges="{&quot;StartName&quot;:&quot;_GBC_48379e9c7f5743bb916ac1cb044f4057&quot;,&quot;EndName&quot;:&quot;_GBC_4719ee6cfe3f4a9189cc498f5ac2b0ac&quot;,&quot;CType&quot;:1,&quot;DisplayText&quot;:null}"/>
      <m:item xlName="_GBC_ce83ed5df8424f9a845da83f15361f10" concept="clcid-ci-ar:DanWeiCaiWuFuZhuGuanJianGuanLiRenYuanBaoChou" label="单位：财务附注：关键管理人员报酬" selectOptions="48229e22d31b46d897c0ecffb7a3d5b1" controlType="Combobox" cellType="Scale" appId="_GBC_48379e9c7f5743bb916ac1cb044f4057"/>
      <m:item xlName="_GBC_f493c9ef199846639115d5bc3032a26e" concept="clcid-ci-ar:BiZhongCaiWuFuZhuGuanJianGuanLiRenYuanBaoChou" label="币种：财务附注：关键管理人员报酬" selectOptions="_buildInISO4217" controlType="Combobox" cellType="Measure" appId="_GBC_48379e9c7f5743bb916ac1cb044f4057"/>
      <m:placeholder xlName="_PLD_67f843efe3664c9fbe7a215b63622ea0" addr="T0R0C0S1_1"/>
      <m:placeholder xlName="_PLD_30a169af324e457e93d304c688a55945" addr="T0R0C1S1_1"/>
      <m:placeholder xlName="_PLD_bf5a91780f544d6eade38e70db331a30" addr="T0R0C2S1_1"/>
      <m:placeholder xlName="_PLD_bc4e2a2d92044454966304594fcd32da" addr="T0R1C0S1_1"/>
      <m:item xlName="_GBC_6a5eeb7876bb47a6bf6c201c66529695" concept="clcid-ie:GuanJianGuanLiRenYuanBaoChou" label="关键管理人员报酬" mulRef="_GBC_ce83ed5df8424f9a845da83f15361f10" unitRef="_GBC_f493c9ef199846639115d5bc3032a26e" addr="T0R1C1S1_1" formatStyle="Comma" appId="_GBC_48379e9c7f5743bb916ac1cb044f4057">
        <m:simpleRule dataType="Decimal" comparator="In" minValue="100000" maxValue="1000000000" level="Warn" em="“关键管理人员报酬”数值可能异常，请确认。"/>
      </m:item>
      <m:item xlName="_GBC_4719ee6cfe3f4a9189cc498f5ac2b0ac" concept="clcid-ie:GuanJianGuanLiRenYuanBaoChou" label="关键管理人员报酬" periodRef="上年同期数" mulRef="_GBC_ce83ed5df8424f9a845da83f15361f10" unitRef="_GBC_f493c9ef199846639115d5bc3032a26e" addr="T0R1C2S1_1" formatStyle="Comma" appId="_GBC_48379e9c7f5743bb916ac1cb044f4057">
        <m:simpleRule dataType="Decimal" comparator="In" minValue="100000" maxValue="1000000000" level="Warn" em="“关键管理人员报酬”数值可能异常，请确认。"/>
      </m:item>
    </m:section>
    <m:section xlName="_GBC_45e2e59b0d6145b48f7cfd576edaa9e6" title="其他关联交易" rules="R2015_R11_032" convertSummaryRule="NoConvert" helpId="112001168">
      <m:item xlName="_GBC_9768a300838a499089a7b814ff3d817d" concept="clcid-ci-ar:ShiFouShiYongQiTaGuanLianJiaoYi" label="是否适用：其他关联交易" selectOptions="_buildInAppliance" controlType="CustomCheckbox" cRanges="{&quot;StartName&quot;:&quot;_GBC_9768a300838a499089a7b814ff3d817d&quot;,&quot;EndName&quot;:&quot;_GBC_6032ff15164341538a97d5ac05a80e23&quot;,&quot;CType&quot;:1,&quot;DisplayText&quot;:null}"/>
      <m:item xlName="_GBC_6032ff15164341538a97d5ac05a80e23" concept="clcid-ie:QiTaGuanLianJiaoYi" label="其他关联交易的情况" appId="_GBC_9768a300838a499089a7b814ff3d817d"/>
    </m:section>
    <m:section xlName="_GBC_a8ddb53cf3424889a48a1749b5a1d910" title="上市公司应收关联方款项" rules="R2015_R11_032" convertSummaryRule="NoConvert" helpId="112001168" helpText="注：关联交易约定以净额结算的，应收关联方款项可以抵销后金额填列。">
      <m:item xlName="_GBC_e5475e28b21641f6895ac4770b2631b5" concept="clcid-ci-ar:ShiFouShiYongYingShouXiangMu" label="是否适用：应收项目" selectOptions="_buildInAppliance" controlType="CustomCheckbox" cRanges="{&quot;StartName&quot;:&quot;_GBC_e5475e28b21641f6895ac4770b2631b5&quot;,&quot;EndName&quot;:&quot;_GBC_5863f5c59166487cb6350da179170e3b&quot;,&quot;CType&quot;:1,&quot;DisplayText&quot;:null}"/>
      <m:item xlName="_GBC_04d0c208b4494e01aba7984c41905093" concept="clcid-ci-ar:DanWeiShangShiGongSiYingShouGuanLianFangKuanXiang" label="单位：上市公司应收关联方款项" selectOptions="_buildInScales" controlType="Combobox" cellType="Scale" appId="_GBC_e5475e28b21641f6895ac4770b2631b5"/>
      <m:item xlName="_GBC_b106fdd467084a62837eebe1d06bbbee" concept="clcid-ci-ar:BiZhongShangShiGongSiYingShouGuanLianFangKuanXiang" label="币种：上市公司应收关联方款项" selectOptions="_buildInISO4217" controlType="Combobox" cellType="Measure" appId="_GBC_e5475e28b21641f6895ac4770b2631b5"/>
      <m:placeholder xlName="_PLD_75750bc8ac464afa98573c85adea097c" addr="T0R0C0S2_1"/>
      <m:placeholder xlName="_PLD_5006be842c534839b3dabcf833329dd5" addr="T0R0C1S2_1"/>
      <m:placeholder xlName="_PLD_f8f3c28b2f064090a27f319875eb1b52" addr="T0R0C2S1_2"/>
      <m:placeholder xlName="_PLD_fdab8cbff0b74f19a916d61075f629a0" addr="T0R0C4S1_2"/>
      <m:placeholder xlName="_PLD_5c085d18049644c9860a00b248b7c0ba" addr="T0R1C2S1_1"/>
      <m:placeholder xlName="_PLD_8262489c05a6417a883e2c877ded6170" addr="T0R1C3S1_1"/>
      <m:placeholder xlName="_PLD_46c6d827df3f47a3bc83a6dd8718f17e" addr="T0R1C4S1_1"/>
      <m:placeholder xlName="_PLD_fca2aa8baf8a48a7a4cdc730d7420d47" addr="T0R1C5S1_1"/>
      <m:tuple xlName="_GBC_203fd12dc6be4a978fe2a9d9f5ad1070" concept="clcid-ie:ShangShiGongSiYingShouGuanLianFangKuanXiangMingXi" default_row="2" addr="T0R2C">
        <m:item xlName="_GBC_eb7149f813b9428790f9901e6260a63d" concept="clcid-ie:ShangShiGongSiYingShouGuanLianFangKuanXiangMingXiXiangMuMingCheng" label="上市公司应收关联方款项明细-项目名称" addr="T0R2C0S1_1" appId="_GBC_e5475e28b21641f6895ac4770b2631b5" keyAction="37"/>
        <m:item xlName="_GBC_2380079fc0d04ce4b3122fd1fd87f272" concept="clcid-ie:ShangShiGongSiYingShouGuanLianFangKuanXiangMingXiGuanLianFang" label="上市公司应收关联方款项明细-关联方" addr="T0R2C1S1_1" appId="_GBC_e5475e28b21641f6895ac4770b2631b5"/>
        <m:item xlName="_GBC_cc588a6f792141019f0d3e640cfbfc35" concept="clcid-ie:ShangShiGongSiYingShouGuanLianFangKuanXiangMingXiJinE" label="上市公司应收关联方款项明细-金额" mulRef="_GBC_04d0c208b4494e01aba7984c41905093" unitRef="_GBC_b106fdd467084a62837eebe1d06bbbee" addr="T0R2C2S1_1" formatStyle="Comma" appId="_GBC_e5475e28b21641f6895ac4770b2631b5"/>
        <m:item xlName="_GBC_bafd30cf7fb84997ba02375616bce0f8" concept="clcid-ie:ShangShiGongSiYingShouGuanLianFangKuanXiangMingXiJiTiJianZhiJinE" label="上市公司应收关联方款项明细-计提减值金额" mulRef="_GBC_04d0c208b4494e01aba7984c41905093" unitRef="_GBC_b106fdd467084a62837eebe1d06bbbee" addr="T0R2C3S1_1" formatStyle="Comma" appId="_GBC_e5475e28b21641f6895ac4770b2631b5"/>
        <m:item xlName="_GBC_bd240354d5f04ea48630518eeb22d989" concept="clcid-ie:ShangShiGongSiYingShouGuanLianFangKuanXiangMingXiJinE" label="上市公司应收关联方款项明细-金额" periodRef="本期期初数" mulRef="_GBC_04d0c208b4494e01aba7984c41905093" unitRef="_GBC_b106fdd467084a62837eebe1d06bbbee" addr="T0R2C4S1_1" formatStyle="Comma" appId="_GBC_e5475e28b21641f6895ac4770b2631b5"/>
        <m:item xlName="_GBC_5863f5c59166487cb6350da179170e3b" concept="clcid-ie:ShangShiGongSiYingShouGuanLianFangKuanXiangMingXiJiTiJianZhiJinE" label="上市公司应收关联方款项明细-计提减值金额" periodRef="本期期初数" mulRef="_GBC_04d0c208b4494e01aba7984c41905093" unitRef="_GBC_b106fdd467084a62837eebe1d06bbbee" addr="T0R2C5S1_1" formatStyle="Comma" appId="_GBC_e5475e28b21641f6895ac4770b2631b5"/>
      </m:tuple>
    </m:section>
    <m:section xlName="_GBC_e7a5511f50dd4f05a897cdfaeac4023f" title="上市公司应付关联方款项" rules="R2015_R11_032" convertSummaryRule="NoConvert" helpId="112001168" helpText="注：关联交易约定以净额结算的，应付关联方款项可以抵销后金额填列。">
      <m:item xlName="_GBC_9dbefb51b716471b878d2e2863524a53" concept="clcid-ci-ar:ShiFouShiYongYingFuXiangMu" label="是否适用：应付项目" selectOptions="_buildInAppliance" controlType="CustomCheckbox" cRanges="{&quot;StartName&quot;:&quot;_GBC_9dbefb51b716471b878d2e2863524a53&quot;,&quot;EndName&quot;:&quot;_GBC_c2152582304d4e45a85f442e3a66d522&quot;,&quot;CType&quot;:1,&quot;DisplayText&quot;:null}"/>
      <m:item xlName="_GBC_08d04faee6a64768877db8f6ab14663e" concept="clcid-ci-ar:DanWeiShangShiGongSiYingFuGuanLianFangKuanXiang" label="单位：上市公司应付关联方款项" selectOptions="_buildInScales" controlType="Combobox" cellType="Scale" appId="_GBC_9dbefb51b716471b878d2e2863524a53"/>
      <m:item xlName="_GBC_124ea57c07fc4e23931a125a103e711c" concept="clcid-ci-ar:BiZhongShangShiGongSiYingFuGuanLianFangKuanXiang" label="币种：上市公司应付关联方款项" selectOptions="_buildInISO4217" controlType="Combobox" cellType="Measure" appId="_GBC_9dbefb51b716471b878d2e2863524a53"/>
      <m:placeholder xlName="_PLD_cf838d28f8e94c899328f1b9cd175b08" addr="T0R0C0S1_1"/>
      <m:placeholder xlName="_PLD_25173a15407f4af6adbf91389dcc2257" addr="T0R0C1S1_1"/>
      <m:placeholder xlName="_PLD_a8551739db0f47cab1b1a6ea0e700367" addr="T0R0C2S1_1"/>
      <m:placeholder xlName="_PLD_83bc027cb7f1401db7a26beffe77ce00" addr="T0R0C3S1_1"/>
      <m:tuple xlName="_GBC_bb3d19486f2b460b856a135056bd0897" concept="clcid-ie:ShangShiGongSiYingFuGuanLianFangKuanXiangMingXi" default_row="2" addr="T0R1C">
        <m:item xlName="_GBC_6233adb0f6b54f128938af25d0d69653" concept="clcid-ie:ShangShiGongSiYingFuGuanLianFangKuanXiangMingXiXiangMuMingCheng" label="上市公司应付关联方款项明细-项目名称" addr="T0R1C0S1_1" appId="_GBC_9dbefb51b716471b878d2e2863524a53" keyAction="37"/>
        <m:item xlName="_GBC_8f117d3e5aee4c22ad9a5df3b284d78f" concept="clcid-ie:ShangShiGongSiYingFuGuanLianFangKuanXiangMingXiGuanLianFang" label="上市公司应付关联方款项明细-关联方" addr="T0R1C1S1_1" appId="_GBC_9dbefb51b716471b878d2e2863524a53"/>
        <m:item xlName="_GBC_c0b3b7a0b8574da2b1f8c7b47eb7dc95" concept="clcid-ie:ShangShiGongSiYingFuGuanLianFangKuanXiangMingXiJinE" label="上市公司应付关联方款项明细-金额" mulRef="_GBC_08d04faee6a64768877db8f6ab14663e" unitRef="_GBC_124ea57c07fc4e23931a125a103e711c" addr="T0R1C2S1_1" formatStyle="Comma" appId="_GBC_9dbefb51b716471b878d2e2863524a53"/>
        <m:item xlName="_GBC_c2152582304d4e45a85f442e3a66d522" concept="clcid-ie:ShangShiGongSiYingFuGuanLianFangKuanXiangMingXiJinE" label="上市公司应付关联方款项明细-金额" periodRef="本期期初数" mulRef="_GBC_08d04faee6a64768877db8f6ab14663e" unitRef="_GBC_124ea57c07fc4e23931a125a103e711c" addr="T0R1C3S1_1" formatStyle="Comma" appId="_GBC_9dbefb51b716471b878d2e2863524a53"/>
      </m:tuple>
    </m:section>
    <m:section xlName="_GBC_945a5f0033de4c9786bb7245eedc88e3" title="关联方承诺" rules="R2015_R11_032" helpId="112001168">
      <m:item xlName="_GBC_b906cacab2e94825966fa70e345656b5" concept="clcid-ci-ar:ShiFouShiYongGuanLianFangChengNuo" label="是否适用：关联方承诺" selectOptions="_buildInAppliance" controlType="CustomCheckbox" cRanges="{&quot;StartName&quot;:&quot;_GBC_b906cacab2e94825966fa70e345656b5&quot;,&quot;EndName&quot;:&quot;_GBC_07be2fbf22ab46319cf1aeac8c65a417&quot;,&quot;CType&quot;:1,&quot;DisplayText&quot;:null}"/>
      <m:item xlName="_GBC_07be2fbf22ab46319cf1aeac8c65a417" concept="clcid-ie:GuanLianFangXiangGuanChengNuo" label="关联方相关承诺" appId="_GBC_b906cacab2e94825966fa70e345656b5"/>
    </m:section>
    <m:section xlName="_GBC_f467d909644e4ab6b08e0abfbea78eb8" title="关联方及关联情况的其他说明" rules="R2015_R11_032" helpId="112001166">
      <m:item xlName="_GBC_87161343db8b4a0b9e041c62c0df5e87" concept="clcid-ci-ar:ShiFouShiYongGuanLianFangJiGuanLianQingKuangDeQiTaShuoMing" label="是否适用：关联方及关联情况的其他说明" selectOptions="_buildInAppliance" controlType="CustomCheckbox" cRanges="{&quot;StartName&quot;:&quot;_GBC_87161343db8b4a0b9e041c62c0df5e87&quot;,&quot;EndName&quot;:&quot;_GBC_6845e44cf1734e368534cfc0fc2ba9a1&quot;,&quot;CType&quot;:1,&quot;DisplayText&quot;:null}"/>
      <m:item xlName="_GBC_6845e44cf1734e368534cfc0fc2ba9a1" concept="clcid-pte:GuanLianFangJiGuanLianQingKuangDeQiTaShuoMing" label="关联方及关联情况的其他说明" appId="_GBC_87161343db8b4a0b9e041c62c0df5e87"/>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d7309f1ffdd74e96bbe9117fb0f5e1b9" addr="T0R0C0S1_1"/>
      <m:item xlName="_GBC_dd12b1ed77584020922f313628635576" concept="clcid-pte:GongSiShouYuDeGeXiangQuanYiGongJuZongE" label="公司授予的各项权益工具总额" mulRef="_GBC_f5e2ed83520249e5b48a08b8c1ad1260" unitRef="_GBC_d5de89e0bf554dac952f5dd6d6bdab46" addr="T0R0C1S1_1" tagAction="1" formatStyle="Comma" appId="_GBC_7d36569622d040fb870ad46d99420cd2"/>
      <m:placeholder xlName="_PLD_146e6da96bc540e7959da2befd0af3a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5d9dbe6a5627408baf489b5f4f8eb99c"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6694d6ef994a4b3cb878a90cef433735"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b6fe32b3793c46aca2c7a724ec090ff5"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3971ccf7eba24e5a8c55531fb5d27dd3" addr="T0R0C0S1_1"/>
      <m:item xlName="_GBC_494fdab9066346439f2b34f644c563da" concept="clcid-pte:ShouYuRiQuanYiGongJuGongYunJiaZhiDeQueDingFangFa" label="授予日权益工具公允价值的确定方法" addr="T0R0C1S1_1" tagAction="1" appId="_GBC_5d901e3b36be4331aac030c8e4b9b1a5"/>
      <m:placeholder xlName="_PLD_196af183586047b8b91c11e4d618d989"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f7ccac85f9f04eae859b36511ee5887a" addr="T0R2C0S1_1"/>
      <m:item xlName="_GBC_1cc4c50cb92b4993a17fd9fbc9d19572" concept="clcid-pte:BenQiGuJiYuShangQiGuJiYouZhongDaChaYiDeYuanYin" label="本期估计与上期估计有重大差异的原因" addr="T0R2C1S1_1" appId="_GBC_5d901e3b36be4331aac030c8e4b9b1a5"/>
      <m:placeholder xlName="_PLD_41ed08de46e64e0f85ab68a2dd7015cc"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f82f407e90bf4db287ed1a5428fbac34"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a755d4df30b447d8abaadeef809887d0"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tagAction="1" appId="_GBC_aa134f611909486bb3a2d6258058f88d"/>
      <m:placeholder xlName="_PLD_b226c98b984746ada7b204b31ad4d1f1"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522bc6f7f6f341f3b1f2a0c7f47340f7"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794cdee9be3b4b478fa83b914d22ea66" concept="clcid-ci-ar:ShiFouShiYongGuFenZhiFuDeXiuGaiZhongZhiQingKuang" label="是否适用：股份支付的修改、终止情况" selectOptions="_buildInAppliance" controlType="CustomCheckbox" cRanges="{&quot;StartName&quot;:&quot;_GBC_794cdee9be3b4b478fa83b914d22ea66&quot;,&quot;EndName&quot;:&quot;_GBC_bdf63f45ac534948af5a8f6c35f23836&quot;,&quot;CType&quot;:1,&quot;DisplayText&quot;:null}"/>
      <m:item xlName="_GBC_bdf63f45ac534948af5a8f6c35f23836" concept="clcid-pte:GuFenZhiFuDeXiuGaiYuanYinZhuYaoXiuGaiTiaoKuan" label="股份支付的修改原因、主要修改条款" appId="_GBC_794cdee9be3b4b478fa83b914d22ea66"/>
    </m:section>
    <m:section xlName="_GBC_d9554f13d811474eab6fe8ab0c5c8811" title="股份支付的其他情况说明" helpId="112001166">
      <m:item xlName="_GBC_b8be1a19715949cab94dc673580d61a2" concept="clcid-ci-ar:ShiFouShiYongGuFenZhiFuDeQiTaQingKuangShuoMing" label="是否适用：股份支付的其他情况说明" selectOptions="_buildInAppliance" controlType="CustomCheckbox" cRanges="{&quot;StartName&quot;:&quot;_GBC_b8be1a19715949cab94dc673580d61a2&quot;,&quot;EndName&quot;:&quot;_GBC_34f3c698919f47499e75e283dae3162c&quot;,&quot;CType&quot;:1,&quot;DisplayText&quot;:null}"/>
      <m:item xlName="_GBC_34f3c698919f47499e75e283dae3162c" concept="clcid-pte:GuFenZhiFuDeQiTaQingKuangShuoMing" label="股份支付的其他情况说明" appId="_GBC_b8be1a19715949cab94dc673580d61a2"/>
    </m:section>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item xlName="_GBC_b0cd6a8a93e142e5926c06e28f794da3" concept="clcid-pte:ZiChanFuZhaiBiaoRiCunZaiDeZhongYaoChengNuo" label="资产负债表日存在的重要承诺" appId="_GBC_3ee02d2bff5e4dd69f75cc6148bdda8f"/>
    </m:section>
    <m:section xlName="_GBC_c667d796bd114ba58f4592903a5601f3" title="资产负债表日存在的或有事项" helpId="112002204" helpText="注：与合营企业或联营企业投资相关的或有负债索引至“附注九、在其他主体中的权益”部分相应内容。">
      <m:item xlName="_GBC_dea854a30b4642f6b78351afe6791c32" concept="clcid-ci-ar:ShiFouShiYongZiChanFuZhaiBiaoRiCunZaiDeZhongYaoHuoYouShiXiang" label="是否适用：资产负债表日存在的重要或有事项" selectOptions="_buildInAppliance" controlType="CustomCheckbox" cRanges="{&quot;StartName&quot;:&quot;_GBC_dea854a30b4642f6b78351afe6791c32&quot;,&quot;EndName&quot;:&quot;_GBC_9aacda4c45eb44bcb0d1f17e53741a1f&quot;,&quot;CType&quot;:1,&quot;DisplayText&quot;:null}"/>
      <m:item xlName="_GBC_9aacda4c45eb44bcb0d1f17e53741a1f" concept="clcid-pte:ZiChanFuZhaiBiaoRiCunZaiDeZhongYaoHuoYouShiXiang" label="资产负债表日存在的重要或有事项" appId="_GBC_dea854a30b4642f6b78351afe6791c32"/>
    </m:section>
    <m:section xlName="_GBC_428b07d001974f7390d8bb4142377be9" title="公司没有需要披露的或有事项，也应予以说明" helpId="112002206">
      <m:item xlName="_GBC_a0545390a9694adcaaee8509e290303c" concept="clcid-ci-ar:ShiFouShiYongGongSiMeiYouXuYaoPiLuDeZhongYaoHuoYouShiXiangYeYingYuYiShuoMing" label="是否适用：公司没有需要披露的重要或有事项，也应予以说明" selectOptions="_buildInAppliance" controlType="CustomCheckbox" cRanges="{&quot;StartName&quot;:&quot;_GBC_a0545390a9694adcaaee8509e290303c&quot;,&quot;EndName&quot;:&quot;_GBC_1e05c633c4cd4e74a64494260267ab03&quot;,&quot;CType&quot;:1,&quot;DisplayText&quot;:null}"/>
      <m:item xlName="_GBC_1e05c633c4cd4e74a64494260267ab03" concept="clcid-pte:GongSiMeiYouXuYaoPiLuDeHuoYouShiXiangDeZhongYaoShuoMing" label="公司没有需要披露的重要或有事项的说明" appId="_GBC_a0545390a9694adcaaee8509e290303c"/>
    </m:section>
    <m:section xlName="_GBC_7967de77d1eb4fa3968e072c7d0d24ca" title="承诺及或有事项的其他情况说明" helpId="112001166">
      <m:item xlName="_GBC_ff33b21a56eb4d3291f2b4875be5a2b2" concept="clcid-ci-ar:ShiFouShiYongChengNuoJiHuoYouShiXiangDeQiTaQingKuangShuoMing" label="是否适用：承诺及或有事项的其他情况说明" selectOptions="_buildInAppliance" controlType="CustomCheckbox" cRanges="{&quot;StartName&quot;:&quot;_GBC_ff33b21a56eb4d3291f2b4875be5a2b2&quot;,&quot;EndName&quot;:&quot;_GBC_e0f8ccd14cf74ea9a31e64a057404173&quot;,&quot;CType&quot;:1,&quot;DisplayText&quot;:null}"/>
      <m:item xlName="_GBC_e0f8ccd14cf74ea9a31e64a057404173" concept="clcid-pte:ChengNuoJiHuoYouShiXiangDeQiTaQingKuangShuoMing" label="承诺及或有事项的其他情况说明" appId="_GBC_ff33b21a56eb4d3291f2b4875be5a2b2"/>
    </m:section>
    <m:section xlName="_GBC_5d1bcf8f61b9443ba6ffa54897c724fc" title="重要的非调整事项" helpId="112001176">
      <m:item xlName="_GBC_ab366a8fb12748d6aa2a8401b360857c" concept="clcid-ci-ar:ShiFouShiYongZhongYaoDeFeiDiaoZhengShiXiang" label="是否适用：重要的非调整事项" selectOptions="_buildInAppliance" controlType="CustomCheckbox" cRanges="{&quot;StartName&quot;:&quot;_GBC_ab366a8fb12748d6aa2a8401b360857c&quot;,&quot;EndName&quot;:&quot;_GBC_f7c7aec8ea2e41ab87c3f716d3c2bd74&quot;,&quot;CType&quot;:1,&quot;DisplayText&quot;:null}"/>
      <m:item xlName="_GBC_0f7699e14e674e3caaeea9641b053f7f" concept="clcid-ci-ar:DanWeiCaiWuFuZhuZhongYaoDeZiChanFuZhaiBiaoRiHouShiXiangShuoMing" label="单位：财务附注：重要的资产负债表日后事项说明" selectOptions="_buildInScales" controlType="Combobox" cellType="Scale" appId="_GBC_ab366a8fb12748d6aa2a8401b360857c"/>
      <m:item xlName="_GBC_8f41a55758654959b3e9fe18b99d7d6a" concept="clcid-ci-ar:BiZhongCaiWuFuZhuZhongYaoDeZiChanFuZhaiBiaoRiHouShiXiangShuoMing" label="币种：财务附注：重要的资产负债表日后事项说明" selectOptions="_buildInISO4217" controlType="Combobox" cellType="Measure" appId="_GBC_ab366a8fb12748d6aa2a8401b360857c"/>
      <m:placeholder xlName="_PLD_f8f55b749df34e64ad7b8656792e2d0e" addr="T0R0C0S1_1"/>
      <m:placeholder xlName="_PLD_9c9575d09dbd455d90d734c97accfab0" addr="T0R0C1S1_1"/>
      <m:placeholder xlName="_PLD_a32cee7e07294bd0a92bd3e02ac7e912" addr="T0R0C2S1_1"/>
      <m:placeholder xlName="_PLD_641fb19dcfd34516b2e8a85a6729b621" addr="T0R0C3S1_1"/>
      <m:placeholder xlName="_PLD_720339c426c64a3cb7aaedb5ddf6ff92" addr="T0R1C0S1_1"/>
      <m:item xlName="_GBC_1aa1a143667f4c799fd09a7d8e4ec729" concept="clcid-pte:GuPiaoHeZhaiQuanDeFaXingNeiRong" label="股票和债券的发行内容" addr="T0R1C1S1_1" appId="_GBC_ab366a8fb12748d6aa2a8401b360857c"/>
      <m:item xlName="_GBC_d6b8c545e0f94307840e35bead9d2b0e" concept="clcid-pte:GuPiaoHeZhaiQuanDeFaXingDuiCaiWuZhuangKuangHeJingYingChengGuoDeYingXiangShu" label="股票和债券的发行对财务状况和经营成果的影响数" mulRef="_GBC_0f7699e14e674e3caaeea9641b053f7f" unitRef="_GBC_8f41a55758654959b3e9fe18b99d7d6a" addr="T0R1C2S1_1" formatStyle="Comma" appId="_GBC_ab366a8fb12748d6aa2a8401b360857c"/>
      <m:item xlName="_GBC_0ca8dfb923ad4908a630718d07a91c0d" concept="clcid-pte:GuPiaoHeZhaiQuanDeFaXingWuFaGuJiYingXiangShuDeYuanYin" label="股票和债券的发行无法估计影响数的原因" addr="T0R1C3S1_1" appId="_GBC_ab366a8fb12748d6aa2a8401b360857c"/>
      <m:placeholder xlName="_PLD_d76817bdb0014840ad23d35ea75d9657" addr="T0R2C0S1_1"/>
      <m:item xlName="_GBC_93c67ec621e6451aaefb9489de865715" concept="clcid-pte:DuiWaiZhongYaoTouZiNeiRong" label="对外重要投资内容" addr="T0R2C1S1_1" appId="_GBC_ab366a8fb12748d6aa2a8401b360857c"/>
      <m:item xlName="_GBC_f0f37ceaf0ee4cefa43ab0a1534f10f9" concept="clcid-pte:DuiWaiZhongYaoTouZiDuiCaiWuZhuangKuangHeJingYingChengGuoDeYingXiangShu" label="对外重要投资对财务状况和经营成果的影响数" mulRef="_GBC_0f7699e14e674e3caaeea9641b053f7f" unitRef="_GBC_8f41a55758654959b3e9fe18b99d7d6a" addr="T0R2C2S1_1" formatStyle="Comma" appId="_GBC_ab366a8fb12748d6aa2a8401b360857c"/>
      <m:item xlName="_GBC_8afb8dbe6d68486b87d3ae5f6604b16e" concept="clcid-pte:DuiWaiZhongYaoTouZiWuFaGuJiYingXiangShuDeYuanYin" label="对外重要投资无法估计影响数的原因" addr="T0R2C3S1_1" appId="_GBC_ab366a8fb12748d6aa2a8401b360857c"/>
      <m:placeholder xlName="_PLD_4d528a9635e34f5080e9430e77072ae2" addr="T0R3C0S1_1"/>
      <m:item xlName="_GBC_060b6ce875244b2280098569394c361f" concept="clcid-pte:ZhongYaoDeZhaiWuZhongZuNeiRong" label="重要的债务重组内容" addr="T0R3C1S1_1" appId="_GBC_ab366a8fb12748d6aa2a8401b360857c"/>
      <m:item xlName="_GBC_76c8ae19b7034522aee2a1faaff16212" concept="clcid-pte:ZhongYaoDeZhaiWuZhongZuDuiCaiWuZhuangKuangHeJingYingChengGuoDeYingXiangShu" label="重要的债务重组对财务状况和经营成果的影响数" mulRef="_GBC_0f7699e14e674e3caaeea9641b053f7f" unitRef="_GBC_8f41a55758654959b3e9fe18b99d7d6a" addr="T0R3C2S1_1" formatStyle="Comma" appId="_GBC_ab366a8fb12748d6aa2a8401b360857c"/>
      <m:item xlName="_GBC_9bd4ba7ce62c47a9917cb191435efe0a" concept="clcid-pte:ZhongYaoDeZhaiWuZhongZuWuFaGuJiYingXiangShuDeYuanYin" label="重要的债务重组无法估计影响数的原因" addr="T0R3C3S1_1" appId="_GBC_ab366a8fb12748d6aa2a8401b360857c"/>
      <m:placeholder xlName="_PLD_45b6b03a0cf546fd94d12eb858372a88" addr="T0R4C0S1_1"/>
      <m:item xlName="_GBC_625bf2ad92e34f31b7af09e6c57af748" concept="clcid-pte:ZiRanZaiHaiNeiRong" label="自然灾害内容" addr="T0R4C1S1_1" appId="_GBC_ab366a8fb12748d6aa2a8401b360857c"/>
      <m:item xlName="_GBC_b647ba7f0df4440dac5c14ce1fe7b878" concept="clcid-pte:ZiRanZaiHaiDuiCaiWuZhuangKuangHeJingYingChengGuoDeYingXiangShu" label="自然灾害对财务状况和经营成果的影响数" mulRef="_GBC_0f7699e14e674e3caaeea9641b053f7f" unitRef="_GBC_8f41a55758654959b3e9fe18b99d7d6a" addr="T0R4C2S1_1" formatStyle="Comma" appId="_GBC_ab366a8fb12748d6aa2a8401b360857c"/>
      <m:item xlName="_GBC_1daa712dff1a42388fab25441791d54a" concept="clcid-pte:ZiRanZaiHaiWuFaGuJiYingXiangShuDeYuanYin" label="自然灾害无法估计影响数的原因" addr="T0R4C3S1_1" appId="_GBC_ab366a8fb12748d6aa2a8401b360857c"/>
      <m:placeholder xlName="_PLD_fb9782ce816349babfd878a283b50046" addr="T0R5C0S1_1"/>
      <m:item xlName="_GBC_328c7d36b3964bbe93ec1f1330df7381" concept="clcid-pte:WaiHuiHuiLvZhongYaoBianDongNeiRong" label="外汇汇率重要变动内容" addr="T0R5C1S1_1" appId="_GBC_ab366a8fb12748d6aa2a8401b360857c"/>
      <m:item xlName="_GBC_95c060cea53144518104dd7c2d802f28" concept="clcid-pte:WaiHuiHuiLvZhongYaoBianDongDuiCaiWuZhuangKuangHeJingYingChengGuoDeYingXiangShu" label="外汇汇率重要变动对财务状况和经营成果的影响数" mulRef="_GBC_0f7699e14e674e3caaeea9641b053f7f" unitRef="_GBC_8f41a55758654959b3e9fe18b99d7d6a" addr="T0R5C2S1_1" formatStyle="Comma" appId="_GBC_ab366a8fb12748d6aa2a8401b360857c"/>
      <m:item xlName="_GBC_c1d3d2a9374f49f6b51ca0b4c1f243d9" concept="clcid-pte:WaiHuiHuiLvZhongYaoBianDongWuFaGuJiYingXiangShuDeYuanYin" label="外汇汇率重要变动无法估计影响数的原因" addr="T0R5C3S1_1" appId="_GBC_ab366a8fb12748d6aa2a8401b360857c"/>
      <m:tuple xlName="_GBC_2df4e3da32d94f93b0f58c9459053c18" concept="clcid-pte:ZhongYaoDeZiChanFuZhaiBiaoRiHouShiXiangMingXi" default_row="2" addr="T0R6C">
        <m:item xlName="_GBC_f7c7aec8ea2e41ab87c3f716d3c2bd74" concept="clcid-pte:ZhongYaoDeZiChanFuZhaiBiaoRiHouShiXiangMingXiXiangMu" label="重要的资产负债表日后事项明细-项目" addr="T0R6C0S1_1" appId="_GBC_ab366a8fb12748d6aa2a8401b360857c"/>
        <m:item xlName="_GBC_1166990fb437445285e880a581795dfa" concept="clcid-pte:ZhongYaoDeZiChanFuZhaiBiaoRiHouShiXiangMingXiNeiRong" label="重要的资产负债表日后事项明细-内容" addr="T0R6C1S1_1" appId="_GBC_ab366a8fb12748d6aa2a8401b360857c"/>
        <m:item xlName="_GBC_dba2a8358e864529a46eb3dd9705072f" concept="clcid-pte:ZhongYaoDeZiChanFuZhaiBiaoRiHouShiXiangMingXiYingXiangShu" label="重要的资产负债表日后事项明细-影响数" mulRef="_GBC_0f7699e14e674e3caaeea9641b053f7f" unitRef="_GBC_8f41a55758654959b3e9fe18b99d7d6a" addr="T0R6C2S1_1" formatStyle="Comma" appId="_GBC_ab366a8fb12748d6aa2a8401b360857c"/>
        <m:item xlName="_GBC_1725c95842d644f4b0da0a406a43231a" concept="clcid-pte:ZhongYaoDeZiChanFuZhaiBiaoRiHouShiXiangMingXiWuFaGuJiYingXiangShuDeYuanYin" label="重要的资产负债表日后事项明细-无法估计影响数的原因" addr="T0R6C3S1_1" appId="_GBC_ab366a8fb12748d6aa2a8401b360857c"/>
      </m:tuple>
    </m:section>
    <m:section xlName="_GBC_0fa3d44599d34674894cec144baccd50" title="资产负债表日后利润分配情况说明" convertSummaryRule="NoConvert" helpId="112001177">
      <m:item xlName="_GBC_a2ea8cd0604f474db0e7e62eb7fc0435" concept="clcid-ci-ar:ShiFouShiYongLiRunFenPeiQingKuang" label="是否适用：利润分配情况" selectOptions="_buildInAppliance" controlType="CustomCheckbox" cRanges="{&quot;StartName&quot;:&quot;_GBC_a2ea8cd0604f474db0e7e62eb7fc0435&quot;,&quot;EndName&quot;:&quot;_GBC_aef887f57e264fb99cad3a01d98b8409&quot;,&quot;CType&quot;:1,&quot;DisplayText&quot;:null}"/>
      <m:item xlName="_GBC_2cd50742f31e450d918c4d757ac95355" concept="clcid-ci-ar:DanWeiCaiWuFuZhuZiChanFuZhaiBiaoRiHouLiRunFenPeiQingKuangShuoMing" label="单位：财务附注：资产负债表日后利润分配情况说明" selectOptions="_buildInScales" controlType="Combobox" cellType="Scale" appId="_GBC_a2ea8cd0604f474db0e7e62eb7fc0435"/>
      <m:item xlName="_GBC_3cd32df399a942d9a0192661fd8c3923" concept="clcid-ci-ar:BiZhongCaiWuFuZhuZiChanFuZhaiBiaoRiHouLiRunFenPeiQingKuangShuoMing" label="币种：财务附注：资产负债表日后利润分配情况说明" selectOptions="_buildInISO4217" controlType="Combobox" cellType="Measure" appId="_GBC_a2ea8cd0604f474db0e7e62eb7fc0435"/>
      <m:placeholder xlName="_PLD_f4a775ccd0d34abaa265b70cdda01da4" addr="T0R0C0S1_1"/>
      <m:item xlName="_GBC_0673339193f94043bd739ad6bed78c34" concept="clcid-pte:ZiChanFuZhaiBiaoRiHouNiFenPeiDeLiRunHuoGuLi" label="资产负债表日后拟分配的利润或股利" mulRef="_GBC_2cd50742f31e450d918c4d757ac95355" unitRef="_GBC_3cd32df399a942d9a0192661fd8c3923" addr="T0R0C1S1_1" tagAction="1" formatStyle="Comma" appId="_GBC_a2ea8cd0604f474db0e7e62eb7fc0435"/>
      <m:placeholder xlName="_PLD_67f6844582964688a629c2072b6188b4" addr="T0R1C0S1_1"/>
      <m:item xlName="_GBC_aef887f57e264fb99cad3a01d98b8409" concept="clcid-pte:ZiChanFuZhaiBiaoRiHouJingShenYiPiZhunXuanGaoFaFangDeLiRunHuoGuLi" label="资产负债表日后经审议批准宣告发放的利润或股利" mulRef="_GBC_2cd50742f31e450d918c4d757ac95355" unitRef="_GBC_3cd32df399a942d9a0192661fd8c3923" addr="T0R1C1S1_1" formatStyle="Comma" appId="_GBC_a2ea8cd0604f474db0e7e62eb7fc0435"/>
    </m:section>
    <m:section xlName="_GBC_189c429afb95427192d478a4da4061cd" title="资产负债表日后事项-销售退回说明" helpId="112001178" helpText="注：说明在资产负债表日后发生重要销售退回的相关情况及对报表的影响。">
      <m:item xlName="_GBC_4175c0e820fa43cd98dd2d05c0dea8a8" concept="clcid-ci-ar:ShiFouShiYongXiaoShouTuiHui" label="是否适用：销售退回" selectOptions="_buildInAppliance" controlType="CustomCheckbox" cRanges="{&quot;StartName&quot;:&quot;_GBC_4175c0e820fa43cd98dd2d05c0dea8a8&quot;,&quot;EndName&quot;:&quot;_GBC_5f6b7d2df4d849858c289cf7a2ab110a&quot;,&quot;CType&quot;:1,&quot;DisplayText&quot;:null}"/>
      <m:item xlName="_GBC_5f6b7d2df4d849858c289cf7a2ab110a" concept="clcid-pte:ZiChanFuZhaiBiaoRiHouShiXiangXiaoShouTuiHuiShuoMing" label="资产负债表日后事项-销售退回说明" appId="_GBC_4175c0e820fa43cd98dd2d05c0dea8a8"/>
    </m:section>
    <m:section xlName="_GBC_90d185c72bfe452398767dd3a98447a5" title="其他资产负债表日后事项说明" helpId="112001166">
      <m:item xlName="_GBC_3da0e7092a0048ed9e147e2e860785f5" concept="clcid-ci-ar:ShiFouShiYongQiTaZiChanFuZhaiBiaoRiHouShiXiangShuoMing" label="是否适用：其他资产负债表日后事项说明" selectOptions="_buildInAppliance" controlType="CustomCheckbox" cRanges="{&quot;StartName&quot;:&quot;_GBC_3da0e7092a0048ed9e147e2e860785f5&quot;,&quot;EndName&quot;:&quot;_GBC_b095fb5e765c447f82bb8e8b5a26cbea&quot;,&quot;CType&quot;:1,&quot;DisplayText&quot;:null}"/>
      <m:item xlName="_GBC_b095fb5e765c447f82bb8e8b5a26cbea" concept="clcid-pte:ZiChanFuZhaiBiaoRiHouShiXiangDeShuoMing" label="资产负债表日后事项的说明" appId="_GBC_3da0e7092a0048ed9e147e2e860785f5"/>
    </m:section>
    <m:section xlName="_GBC_cb1f61a36a2a43b0ad30697c25cce450" title="会计差错更正(追溯重述)" convertSummaryRule="ConvertDefinedText" convertText="无" helpId="112001180">
      <m:item xlName="_GBC_9d59987ec8f64e568cc0874cd76bb5ce" concept="clcid-ci-ar:ShiFouShiYongZhuiSuZhongShuFa" label="是否适用：追溯重述法" selectOptions="_buildInAppliance" controlType="CustomCheckbox" cRanges="{&quot;StartName&quot;:&quot;_GBC_9d59987ec8f64e568cc0874cd76bb5ce&quot;,&quot;EndName&quot;:&quot;_GBC_b7e2835909724ba6a6f2c5e7ccd35b64&quot;,&quot;CType&quot;:1,&quot;DisplayText&quot;:null}"/>
      <m:item xlName="_GBC_84fd89476c3a407293b5371f9035921d" concept="clcid-ci-ar:DanWeiZhuiSuZhongShuFa" label="单位：追溯重述法" selectOptions="_buildInScales" controlType="Combobox" cellType="Scale" appId="_GBC_9d59987ec8f64e568cc0874cd76bb5ce"/>
      <m:item xlName="_GBC_3f9edf319b694da7b5b1bedc882fd801" concept="clcid-ci-ar:BiZhongZhuiSuZhongShuFa" label="币种：追溯重述法" selectOptions="_buildInISO4217" controlType="Combobox" cellType="Measure" appId="_GBC_9d59987ec8f64e568cc0874cd76bb5ce"/>
      <m:placeholder xlName="_PLD_31146369dcf94f72979c81c992854388" addr="T0R0C0S1_1"/>
      <m:placeholder xlName="_PLD_706236a8120c44d49f91877bfbe0ab29" addr="T0R0C1S1_1"/>
      <m:placeholder xlName="_PLD_565b268456c34ee8bc13971f5f323e5c" addr="T0R0C2S1_1"/>
      <m:placeholder xlName="_PLD_a2dc5195f6c3463697c4b284dbfa7d46" addr="T0R0C3S1_1"/>
      <m:tuple xlName="_GBC_018b7b7571454bd080ac4e6d0741eb43" concept="clcid-pte:CaiYongZhuiSuZhongShuFaDeQianQiKuaiJiChaCuoMingXi" default_row="2" addr="T0R1C">
        <m:item xlName="_GBC_f809a5572ce14a8fa47d734075cbb1ff" concept="clcid-pte:CaiYongZhuiSuZhongShuFaDeQianQiKuaiJiChaCuoMingXiKuaiJiChaCuoGengZhengDeNeiRong" label="采用追溯重述法的前期会计差错明细-会计差错更正的内容" addr="T0R1C0S1_1" appId="_GBC_9d59987ec8f64e568cc0874cd76bb5ce"/>
        <m:item xlName="_GBC_8a4a954f67cb48e3a4c34c6c57974dc1" concept="clcid-pte:CaiYongZhuiSuZhongShuFaDeQianQiKuaiJiChaCuoMingXiChuLiChengXu" label="采用追溯重述法的前期会计差错明细-处理程序" addr="T0R1C1S1_1" appId="_GBC_9d59987ec8f64e568cc0874cd76bb5ce"/>
        <m:item xlName="_GBC_b06ee9bfca104723ae5278cedb4cf46b" concept="clcid-pte:CaiYongZhuiSuZhongShuFaDeQianQiKuaiJiChaCuoMingXiShouYingXiangDeGeGeBiJiaoQiJianBaoBiaoXiangMuMingCheng" label="采用追溯重述法的前期会计差错明细-受影响的各个比较期间报表项目名称" addr="T0R1C2S1_1" appId="_GBC_9d59987ec8f64e568cc0874cd76bb5ce"/>
        <m:item xlName="_GBC_b7e2835909724ba6a6f2c5e7ccd35b64" concept="clcid-pte:CaiYongZhuiSuZhongShuFaDeQianQiKuaiJiChaCuoMingXiLeiJiYingXiangShu" label="采用追溯重述法的前期会计差错明细-累积影响数" mulRef="_GBC_84fd89476c3a407293b5371f9035921d" unitRef="_GBC_3f9edf319b694da7b5b1bedc882fd801" addr="T0R1C3S1_1" formatStyle="Comma" appId="_GBC_9d59987ec8f64e568cc0874cd76bb5ce"/>
      </m:tuple>
    </m:section>
    <m:section xlName="_GBC_6bd40de18d9047e48f182803eefc5581" title="未来适用法本报告期是否发现采用未来适用法的前期会计差错：（..." helpId="112001180">
      <m:item xlName="_GBC_add0977272ee43e7938e3e96c6aaa92d" concept="clcid-ci-ar:ShiFouShiYongWeiLaiShiYongFa" label="是否适用：未来适用法" selectOptions="_buildInAppliance" controlType="CustomCheckbox" cRanges="{&quot;StartName&quot;:&quot;_GBC_add0977272ee43e7938e3e96c6aaa92d&quot;,&quot;EndName&quot;:&quot;_GBC_797a4efcc51d44e494efa34585fc9145&quot;,&quot;CType&quot;:1,&quot;DisplayText&quot;:null}"/>
      <m:placeholder xlName="_PLD_6ea225742a6b45f5832b3f31ede26368" addr="T0R0C0S1_1"/>
      <m:placeholder xlName="_PLD_460ec73671234128855a8c2d087af470" addr="T0R0C1S1_1"/>
      <m:placeholder xlName="_PLD_566577f19f9949508cdaebf6f382028f" addr="T0R0C2S1_1"/>
      <m:tuple xlName="_GBC_83b96713e4ac485babfe370f5353b39c" concept="clcid-pte:CaiYongWeiLaiShiYongFaDeQianQiKuaiJiChaCuoMingXi" default_row="2" addr="T0R1C">
        <m:item xlName="_GBC_073af39d74f942be96c3f039013c22d4" concept="clcid-pte:CaiYongWeiLaiShiYongFaDeQianQiKuaiJiChaCuoMingXiKuaiJiChaCuoGengZhengDeNeiRong" label="采用未来适用法的前期会计差错明细-会计差错更正的内容" addr="T0R1C0S1_1" appId="_GBC_add0977272ee43e7938e3e96c6aaa92d"/>
        <m:item xlName="_GBC_bba0520631b449a7959eca749a911007" concept="clcid-pte:CaiYongWeiLaiShiYongFaDeQianQiKuaiJiChaCuoMingXiPiZhunChengXu" label="采用未来适用法的前期会计差错明细-批准程序" addr="T0R1C1S1_1" appId="_GBC_add0977272ee43e7938e3e96c6aaa92d"/>
        <m:item xlName="_GBC_797a4efcc51d44e494efa34585fc9145" concept="clcid-pte:CaiYongWeiLaiShiYongFaDeQianQiKuaiJiChaCuoMingXiCaiYongWeiLaiShiYongFaDeYuanYin" label="采用未来适用法的前期会计差错明细-采用未来适用法的原因" addr="T0R1C2S1_1" appId="_GBC_add0977272ee43e7938e3e96c6aaa92d"/>
      </m:tuple>
    </m:section>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a39e02df9c5d42f2bd7e116f823b8615" concept="clcid-ci-ar:ShiFouShiYongZhaiWuZhongZu" label="是否适用：债务重组" selectOptions="_buildInAppliance" controlType="CustomCheckbox" cRanges="{&quot;StartName&quot;:&quot;_GBC_a39e02df9c5d42f2bd7e116f823b8615&quot;,&quot;EndName&quot;:&quot;_GBC_5dff1aea5b6c49fd915a9c4eb1714bb6&quot;,&quot;CType&quot;:1,&quot;DisplayText&quot;:null}"/>
      <m:item xlName="_GBC_5dff1aea5b6c49fd915a9c4eb1714bb6" concept="clcid-pte:ZhaiWuZhongZu" label="债务重组" appId="_GBC_a39e02df9c5d42f2bd7e116f823b8615"/>
    </m:section>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1e8378570c9a4db08ad001118944af2e" concept="clcid-ci-ar:ShiFouShiYongFeiHuoBiXingZiChanJiaoHuan" label="是否适用：非货币性资产交换" selectOptions="_buildInAppliance" controlType="CustomCheckbox" cRanges="{&quot;StartName&quot;:&quot;_GBC_1e8378570c9a4db08ad001118944af2e&quot;,&quot;EndName&quot;:&quot;_GBC_b7df2b797795465e8d3c4b856455e219&quot;,&quot;CType&quot;:1,&quot;DisplayText&quot;:null}"/>
      <m:item xlName="_GBC_b7df2b797795465e8d3c4b856455e219" concept="clcid-pte:FeiHuoBiXingZiChanJiaoHuan" label="非货币性资产交换" appId="_GBC_1e8378570c9a4db08ad001118944af2e"/>
    </m:section>
    <m:section xlName="_GBC_a7d8a797c78a4fb398d42fc923a0a5dc" title="其他资产置换资产说明" helpId="112001183" helpText="注：说明重要资产置换、转让及出售的情况，包括资产账面价值、转让金额、对财务状况与经营成果的影响、转让原因等。">
      <m:item xlName="_GBC_e20be5fc12b94f43a4090c14cc3aec63" concept="clcid-ci-ar:ShiFouShiYongQiTaZiChanZhiHuan" label="是否适用：其他资产置换" selectOptions="_buildInAppliance" controlType="CustomCheckbox" cRanges="{&quot;StartName&quot;:&quot;_GBC_e20be5fc12b94f43a4090c14cc3aec63&quot;,&quot;EndName&quot;:&quot;_GBC_ee3d4fc5f1d14a008a48cc77e7773a70&quot;,&quot;CType&quot;:1,&quot;DisplayText&quot;:null}"/>
      <m:item xlName="_GBC_ee3d4fc5f1d14a008a48cc77e7773a70" concept="clcid-pte:QiTaZiChanZhiHuanZiChanDeShuoMing" label="其他资产置换资产的说明" appId="_GBC_e20be5fc12b94f43a4090c14cc3aec63"/>
    </m:section>
    <m:section xlName="_GBC_868ef73c1ce14e36a7c8c41a6c9d1268" title="年金计划主要内容及重大变化" convertSummaryRule="NoConvert" helpId="112001185" helpText="注：说明年金计划的主要内容及重要变化。">
      <m:item xlName="_GBC_f69a163f78f74a54a6443aaa7388f0dd" concept="clcid-ci-ar:ShiFouShiYongNianJinJiHua" label="是否适用：年金计划" selectOptions="_buildInAppliance" controlType="CustomCheckbox" cRanges="{&quot;StartName&quot;:&quot;_GBC_f69a163f78f74a54a6443aaa7388f0dd&quot;,&quot;EndName&quot;:&quot;_GBC_4896cf8afc8a41c4aa0548113ded491e&quot;,&quot;CType&quot;:1,&quot;DisplayText&quot;:null}"/>
      <m:item xlName="_GBC_4896cf8afc8a41c4aa0548113ded491e" concept="clcid-pte:GongSiNianJinJiHuaDeShuoMing" label="公司年金计划的说明" appId="_GBC_f69a163f78f74a54a6443aaa7388f0dd"/>
    </m:section>
    <m:section xlName="_GBC_eb9f713a39454ce1a2b0b09086ca70cc" title="终止经营" convertSummaryRule="NoConvert" helpId="112001187">
      <m:item xlName="_GBC_8e88002e405543f593111633f63e4d8b" concept="clcid-ci-ar:ShiFouShiYongZhongZhiJingYing" label="是否适用：终止经营" selectOptions="_buildInAppliance" controlType="CustomCheckbox" cRanges="{&quot;StartName&quot;:&quot;_GBC_8e88002e405543f593111633f63e4d8b&quot;,&quot;EndName&quot;:&quot;_GBC_be459227e51b461d9a247ed15aa34779&quot;,&quot;CType&quot;:1,&quot;DisplayText&quot;:null}"/>
      <m:item xlName="_GBC_cb731ef6d91e47b99c7cdf5a6c8f9143" concept="clcid-ci-ar:DanWeiCaiWuFuZhuZhongZhiJingYing" label="单位：财务附注：终止经营" selectOptions="_buildInScales" controlType="Combobox" cellType="Scale" appId="_GBC_8e88002e405543f593111633f63e4d8b"/>
      <m:item xlName="_GBC_66508253491842418e3b00ba5fe035f8" concept="clcid-ci-ar:BiZhongCaiWuFuZhuZhongZhiJingYing" label="币种：财务附注：终止经营" selectOptions="_buildInISO4217" controlType="Combobox" cellType="Measure" appId="_GBC_8e88002e405543f593111633f63e4d8b"/>
      <m:placeholder xlName="_PLD_f5a1f57108b14ba090806185928f4618" addr="T0R0C0S1_1"/>
      <m:placeholder xlName="_PLD_261bbaec1d6544b0848dc9eb7d0d639d" addr="T0R0C1S1_1"/>
      <m:placeholder xlName="_PLD_30dd812de5fd42a48a1afdb27818f569" addr="T0R0C2S1_1"/>
      <m:placeholder xlName="_PLD_dc4a36c3f03b4a11ad58fe508b7ca274" addr="T0R0C3S1_1"/>
      <m:placeholder xlName="_PLD_0f963e1539eb400da4e96effd9730f42" addr="T0R0C4S1_1"/>
      <m:placeholder xlName="_PLD_08aa8edcca3d446e9d09355326f320d8" addr="T0R0C5S1_1"/>
      <m:placeholder xlName="_PLD_b6c88fdabef34a3ab89676c8a3e3f153" addr="T0R0C6S1_1"/>
      <m:tuple xlName="_GBC_79870db98e0d47c19dcf08ff9f5079ba" concept="clcid-pte:ZhongZhiJingYingMingXi" default_row="2" addr="T0R1C">
        <m:item xlName="_GBC_fdde581b0aa441fc88184c5f8578cba8" concept="clcid-pte:ZhongZhiJingYingMingXiXiangMuMingCheng" label="终止经营明细-项目名称" addr="T0R1C0S1_1" appId="_GBC_8e88002e405543f593111633f63e4d8b"/>
        <m:item xlName="_GBC_ab8b3fd2647041e294fb396ebb313c7a" concept="clcid-pte:ZhongZhiJingYingMingXiShouRu" label="终止经营明细-收入" mulRef="_GBC_cb731ef6d91e47b99c7cdf5a6c8f9143" unitRef="_GBC_66508253491842418e3b00ba5fe035f8" addr="T0R1C1S1_1" formatStyle="Comma" appId="_GBC_8e88002e405543f593111633f63e4d8b"/>
        <m:item xlName="_GBC_516776cf06974e39bfd39e27c810a88d" concept="clcid-pte:ZhongZhiJingYingMingXiFeiYong" label="终止经营明细-费用" mulRef="_GBC_cb731ef6d91e47b99c7cdf5a6c8f9143" unitRef="_GBC_66508253491842418e3b00ba5fe035f8" addr="T0R1C2S1_1" formatStyle="Comma" appId="_GBC_8e88002e405543f593111633f63e4d8b"/>
        <m:item xlName="_GBC_839314b1f2364f2da229f44ef16c4962" concept="clcid-pte:ZhongZhiJingYingMingXiLiRunZongE" label="终止经营明细-利润总额" mulRef="_GBC_cb731ef6d91e47b99c7cdf5a6c8f9143" unitRef="_GBC_66508253491842418e3b00ba5fe035f8" addr="T0R1C3S1_1" formatStyle="Comma" appId="_GBC_8e88002e405543f593111633f63e4d8b"/>
        <m:item xlName="_GBC_f111483b26424519ab4c78719d1626fa" concept="clcid-pte:ZhongZhiJingYingMingXiSuoDeShuiFeiYong" label="终止经营明细-所得税费用" mulRef="_GBC_cb731ef6d91e47b99c7cdf5a6c8f9143" unitRef="_GBC_66508253491842418e3b00ba5fe035f8" addr="T0R1C4S1_1" formatStyle="Comma" appId="_GBC_8e88002e405543f593111633f63e4d8b"/>
        <m:item xlName="_GBC_49fb0d29f71f4544a03eca346b9c350d" concept="clcid-pte:ZhongZhiJingYingMingXiJingLiRun" label="终止经营明细-净利润" mulRef="_GBC_cb731ef6d91e47b99c7cdf5a6c8f9143" unitRef="_GBC_66508253491842418e3b00ba5fe035f8" addr="T0R1C5S1_1" formatStyle="Comma" appId="_GBC_8e88002e405543f593111633f63e4d8b"/>
        <m:item xlName="_GBC_c97c52bfcf224e1bb21840e640c16f82" concept="clcid-pte:ZhongZhiJingYingMingXiGuiShuYuMuGongSiSuoYouZheDeZhongZhiJingYingLiRun" label="终止经营明细-归属于母公司所有者的终止经营利润" mulRef="_GBC_cb731ef6d91e47b99c7cdf5a6c8f9143" unitRef="_GBC_66508253491842418e3b00ba5fe035f8" addr="T0R1C6S1_1" formatStyle="Comma" appId="_GBC_8e88002e405543f593111633f63e4d8b"/>
      </m:tuple>
      <m:item xlName="_GBC_be459227e51b461d9a247ed15aa34779" concept="clcid-pte:ZhongZhiJingYingDeQiTaShuoMing" label="终止经营的其他说明" appId="_GBC_8e88002e405543f593111633f63e4d8b"/>
    </m:section>
    <m:section xlName="_GBC_a659f5b3817d4a3394d1850cd82bbbab" title="分部信息报告分部的确定依据与会计政策" rules="R2015_R11_033" helpId="112001188">
      <m:item xlName="_GBC_3684a11ce06644529eba619783a75583" concept="clcid-ci-ar:ShiFouShiYongBaoGaoFenBuDeQueDingYiJuYuHuiJiZhengCe" label="是否适用：报告分部的确定依据与会计政策" selectOptions="_buildInAppliance" controlType="CustomCheckbox" cRanges="{&quot;StartName&quot;:&quot;_GBC_3684a11ce06644529eba619783a75583&quot;,&quot;EndName&quot;:&quot;_GBC_025e15951a494fa2845d296cf8db1fdb&quot;,&quot;CType&quot;:1,&quot;DisplayText&quot;:null}"/>
      <m:item xlName="_GBC_025e15951a494fa2845d296cf8db1fdb" concept="clcid-pte:BaoGaoFenBuDeQueDingYiJuYuKuaiJiZhengCe" label="报告分部的确定依据与会计政策" appId="_GBC_3684a11ce06644529eba619783a75583"/>
    </m:section>
    <m:section xlName="_GBC_7bcfc6b35dea4597b05ae9db882c542b" title="报告分部的财务信息" rules="R2015_R11_033" helpId="112001188" helpText="注：报告分部的财务信息应结合公司具体情况披露，包括主营业务收入、主营业务成本等信息。">
      <m:item xlName="_GBC_25e6ee3686524d959ae273bb5aaa9cfb" concept="clcid-ci-ar:ShiFouShiYongBaoGaoFenBuDeCaiWuXinXi" label="是否适用：报告分部的财务信息" selectOptions="_buildInAppliance" controlType="CustomCheckbox" cRanges="{&quot;StartName&quot;:&quot;_GBC_25e6ee3686524d959ae273bb5aaa9cfb&quot;,&quot;EndName&quot;:&quot;_GBC_7abf22de2222480690e5ba99c4cd8156&quot;,&quot;CType&quot;:1,&quot;DisplayText&quot;:null}"/>
      <m:item xlName="_GBC_bed196c2a65649e69e8eda77c9168933" concept="clcid-ci-ar:DanWeiCaiWuFuZhuBaoGaoFenBuDeCaiWuXinXi" label="单位：财务附注：报告分部的财务信息" selectOptions="_buildInScales" controlType="Combobox" cellType="Scale" appId="_GBC_25e6ee3686524d959ae273bb5aaa9cfb"/>
      <m:item xlName="_GBC_22cbe62652b3461e90f84a6c3cef03c1" concept="clcid-ci-ar:BiZhongCaiWuFuZhuBaoGaoFenBuDeCaiWuXinXi" label="币种：财务附注：报告分部的财务信息" selectOptions="_buildInISO4217" controlType="Combobox" cellType="Measure" appId="_GBC_25e6ee3686524d959ae273bb5aaa9cfb"/>
      <m:placeholder xlName="_PLD_2124bd1595e9432ab250a15c084078c3" addr="T0R0C0S1_1"/>
      <m:item xlName="_GBC_24843a4914494260b42de1b13e529c2d" concept="clcid-pte:FenBuBaoGaoKeMuMingCheng1" label="分部报告科目名称1" addr="T0R0C1S1_1" tagAction="1" appId="_GBC_25e6ee3686524d959ae273bb5aaa9cfb" isSerialConcept="true" serialDirection="2" splitWidth="1" isCaption="true"/>
      <m:placeholder xlName="_PLD_bbb5338509514804b5ec1d4ec145b14b" addr="T0R0C2S1_1"/>
      <m:placeholder xlName="_PLD_fa3be9e49ff54f5f94b69f487029a441" addr="T0R0C3S1_1"/>
      <m:tuple xlName="_GBC_435f11a5acef4777992074d40da0f5c0" concept="clcid-pte:BaoGaoFenBuDeCaiWuXinXiMingXi" default_row="2" addr="T0R1C">
        <m:item xlName="_GBC_3c7a14aa0b02467ca0683736f7cb1cde" concept="clcid-pte:BaoGaoFenBuDeCaiWuXinXiMingXiXiangMuMingCheng" label="报告分部的财务信息明细-项目名称" addr="T0R1C0S1_1" appId="_GBC_25e6ee3686524d959ae273bb5aaa9cfb"/>
        <m:item xlName="_GBC_672f823840d3452d926a004cb2d29173" concept="clcid-pte:BaoGaoFenBuDeCaiWuXinXiMingXiFenBu1" label="报告分部的财务信息明细-分部1" mulRef="_GBC_bed196c2a65649e69e8eda77c9168933" unitRef="_GBC_22cbe62652b3461e90f84a6c3cef03c1" addr="T0R1C1S1_1" formatStyle="Comma" appId="_GBC_25e6ee3686524d959ae273bb5aaa9cfb" isSerialConcept="true" serialDirection="2"/>
        <m:item xlName="_GBC_a4d0a56534e14beb8240601e835e4093" concept="clcid-pte:BaoGaoFenBuDeCaiWuXinXiMingXiFenBuJianDiXiao" label="报告分部的财务信息明细-分部间抵销" mulRef="_GBC_bed196c2a65649e69e8eda77c9168933" unitRef="_GBC_22cbe62652b3461e90f84a6c3cef03c1" addr="T0R1C2S1_1" formatStyle="Comma" appId="_GBC_25e6ee3686524d959ae273bb5aaa9cfb"/>
        <m:item xlName="_GBC_7abf22de2222480690e5ba99c4cd8156" concept="clcid-pte:BaoGaoFenBuDeCaiWuXinXiMingXiHeJi" label="报告分部的财务信息明细-合计" mulRef="_GBC_bed196c2a65649e69e8eda77c9168933" unitRef="_GBC_22cbe62652b3461e90f84a6c3cef03c1" addr="T0R1C3S1_1" formatStyle="Comma" appId="_GBC_25e6ee3686524d959ae273bb5aaa9cfb">
          <m:complexRule comparator="Eq" title="报告分部的财务信息明细-合计" test=" $_GBC_672f823840d3452d926a004cb2d29173 -  $_GBC_a4d0a56534e14beb8240601e835e4093" id="C48361e4e8daf407ca5df3487158dbde7" serialType="1"/>
        </m:item>
      </m:tuple>
    </m:section>
    <m:section xlName="_GBC_0a73290869524182a42675dee97eaa48" title="公司无报告分部的，或者不能披露各报告分部的资产总额和负债总额的，应说明原因" rules="R2015_R11_033" helpId="112001188">
      <m:item xlName="_GBC_de327191b263431db97d3ba75838aba8"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de327191b263431db97d3ba75838aba8&quot;,&quot;EndName&quot;:&quot;_GBC_f34372121b174f8f80682bee16e070e9&quot;,&quot;CType&quot;:1,&quot;DisplayText&quot;:null}"/>
      <m:item xlName="_GBC_f34372121b174f8f80682bee16e070e9" concept="clcid-pte:GongSiWuBaoGaoFenBuDeHuoZheBuNengPiLuGeBaoGaoFenBuDeZiChanZongEHeFuZhaiZongEDeYingShuoMingYuanYin" label="公司无报告分部的，或者不能披露各报告分部的资产总额和负债总额的，应说明原因" appId="_GBC_de327191b263431db97d3ba75838aba8"/>
    </m:section>
    <m:section xlName="_GBC_bf8b759cb5b84035861b501b67f52f53" title="分部信息其他说明" rules="R2015_R11_033" helpId="112001188">
      <m:item xlName="_GBC_d4186588d0fd49e5b2642a9422c2353f" concept="clcid-ci-ar:ShiFouShiYongFenBuXinXiDeQiTaShuoMing" label="是否适用：分部信息的其他说明" selectOptions="_buildInAppliance" controlType="CustomCheckbox" cRanges="{&quot;StartName&quot;:&quot;_GBC_d4186588d0fd49e5b2642a9422c2353f&quot;,&quot;EndName&quot;:&quot;_GBC_333753eb3ff7499fa22dfb068e000940&quot;,&quot;CType&quot;:1,&quot;DisplayText&quot;:null}"/>
      <m:item xlName="_GBC_333753eb3ff7499fa22dfb068e000940" concept="clcid-pte:FenBuXinXiDeQiTaShuoMing" label="分部信息的其他说明" appId="_GBC_d4186588d0fd49e5b2642a9422c2353f"/>
    </m:section>
    <m:section xlName="_GBC_0e2af5e32a53408bb340218a0c352be0" title="其他重要事项说明" convertSummaryRule="NoConvert" helpId="112001190" helpText="注：说明其他对投资者决策有影响的重要交易和事项，包括具体情况、判断依据及相关会计处理。">
      <m:item xlName="_GBC_6bb0ea1e73f644b99b2bccc9d2ea19e9" concept="clcid-ci-ar:ShiFouShiYongQiTaDuiTouZiZheJueCeYouYingXiangDeZhongYaoJiaoYiHeShiXiang" label="是否适用：其他对投资者决策有影响的重要交易和事项" selectOptions="_buildInAppliance" controlType="CustomCheckbox" cRanges="{&quot;StartName&quot;:&quot;_GBC_6bb0ea1e73f644b99b2bccc9d2ea19e9&quot;,&quot;EndName&quot;:&quot;_GBC_b7577a1312e14bffa0ac720ced1b00ca&quot;,&quot;CType&quot;:1,&quot;DisplayText&quot;:null}"/>
      <m:item xlName="_GBC_b7577a1312e14bffa0ac720ced1b00ca" concept="clcid-pte:QiTaDuiTouZiZheJueCeYouYingXiangDeZhongYaoJiaoYiHeShiXiang" label="其他对投资者决策有影响的重要交易和事项" appId="_GBC_6bb0ea1e73f644b99b2bccc9d2ea19e9"/>
    </m:section>
    <m:section xlName="_GBC_a9d998641356411784b3ec54387f322d" title="其他重要事项的说明" helpId="112001166">
      <m:item xlName="_GBC_518cb9b615c44ff597f57c3bba95c7fa" concept="clcid-ci-ar:ShiFouShiYongQiTaZhongYaoShiXiangDeShuoMing" label="是否适用：其他重要事项的说明" selectOptions="_buildInAppliance" controlType="CustomCheckbox" cRanges="{&quot;StartName&quot;:&quot;_GBC_518cb9b615c44ff597f57c3bba95c7fa&quot;,&quot;EndName&quot;:&quot;_GBC_3a09ecc703144c23b6afd2a11890c0c6&quot;,&quot;CType&quot;:1,&quot;DisplayText&quot;:null}"/>
      <m:item xlName="_GBC_3a09ecc703144c23b6afd2a11890c0c6" concept="clcid-pte:QiTaZhongYaoShiXiangDeShuoMing" label="其他重要事项的说明" appId="_GBC_518cb9b615c44ff597f57c3bba95c7fa"/>
    </m:section>
    <m:section xlName="_GBC_f44cec1af5094a96a29dd8e92ee27b70" title="组合中，按账龄分析法计提坏账准备的应收账款" helpId="112002207" helpText="表里的“期末账面余额”指的是包含单项计提和组合计提的期末账面余额。">
      <m:item xlName="_GBC_0a11a3bd15dd4fa882e7b9f16b5e3b07" concept="clcid-ci-ar:ShiFouShiYongMuGongSiZuHeZhongAnZhangLingFenXiFaJiTiHuaiZhangZhunBeiDeYingShouZhangKuan" label="是否适用：母公司组合中，按账龄分析法计提坏账准备的应收账款" selectOptions="_buildInAppliance" controlType="CustomCheckbox" cRanges="[{&quot;StartName&quot;:&quot;_GBC_0a11a3bd15dd4fa882e7b9f16b5e3b07&quot;,&quot;EndName&quot;:&quot;_GBC_188376e073034b1d97ed3868b7432d99&quot;,&quot;CType&quot;:1}]">
        <m:axisValue occRef="母公司"/>
      </m:item>
      <m:item xlName="_GBC_aa1a4a5ddfb84d718faa91649e7ae14f" concept="clcid-ci-ar:DanWeiMuGongSiCaiWuFuZhuDanXiangJinEBuZhongDaDanAnXinYongFengXianTeZhengZuHeHouGaiZuHeDeFengXianJiaoDaDeYingShouZhangKuan" label="单位：母公司财务附注：单项金额不重大但按信用风险特征组合后该组合的风险较大的应收账款" selectOptions="_buildInScales" controlType="Combobox" cellType="Scale" appId="_GBC_0a11a3bd15dd4fa882e7b9f16b5e3b07"/>
      <m:item xlName="_GBC_1ea3e296336a485b8444219f6e288f72" concept="clcid-ci-ar:BiZhongMuGongSiCaiWuFuZhuDanXiangJinEBuZhongDaDanAnXinYongFengXianTeZhengZuHeHouGaiZuHeDeFengXianJiaoDaDeYingShouZhangKuan" label="币种：母公司财务附注：单项金额不重大但按信用风险特征组合后该组合的风险较大的应收账款" selectOptions="_buildInISO4217" controlType="Combobox" cellType="Measure" appId="_GBC_0a11a3bd15dd4fa882e7b9f16b5e3b07"/>
      <m:placeholder xlName="_PLD_4026a1c8ce2b4be2bd188240c5c6b81c" addr="T0R0C0S1_1"/>
      <m:placeholder xlName="_PLD_fe83f44c599f47c3bdf1b2e0ce971295" addr="T0R0C1S1_1"/>
      <m:placeholder xlName="_PLD_a5dc7903ae85448482649ed563a32218" addr="T0R1C0S1_2"/>
      <m:placeholder xlName="_PLD_ca8c7c0a863443708eb10fe9a0661323" addr="T0R2C0S1_2"/>
      <m:tuple xlName="_GBC_58a8ae94fc284eb6b1f51702547a5032" concept="clcid-pte:YiNianYiNeiYingShouZhangKuanJinEMingXi" default_row="2" addr="T0R3C">
        <m:item xlName="_GBC_2986efc1908a43438621c52c0fb4cbad" concept="clcid-pte:YiNianYiNeiYingShouZhangKuanZhangLingMingCheng" label="一年以内应收账款金额明细－帐龄名称" addr="T0R3C0S1_1" appId="_GBC_0a11a3bd15dd4fa882e7b9f16b5e3b07">
          <m:axisValue occRef="母公司"/>
        </m:item>
        <m:item xlName="_GBC_071b1f6e0a154130ad51e3d90e632d09" concept="clcid-pte:YiNianYiNeiYingShouZhangKuanZhangMianYuE" label="一年以内应收账款金额明细－账面余额" mulRef="_GBC_aa1a4a5ddfb84d718faa91649e7ae14f" unitRef="_GBC_1ea3e296336a485b8444219f6e288f72" addr="T0R3C1S1_1" formatStyle="Comma" appId="_GBC_0a11a3bd15dd4fa882e7b9f16b5e3b07">
          <m:axisValue occRef="母公司"/>
        </m:item>
      </m:tuple>
      <m:placeholder xlName="_PLD_8074f2321fd640f1a4a8fa6c86ad1e9b" addr="T0R5C0S1_1"/>
      <m:item xlName="_GBC_b333c709cf05461786399144626ee980" concept="clcid-pte:YingShouZhangKuanYiNianYiNeiHeJi" label="应收账款一年以内合计" mulRef="_GBC_aa1a4a5ddfb84d718faa91649e7ae14f" unitRef="_GBC_1ea3e296336a485b8444219f6e288f72" addr="T0R5C1S1_1" formatStyle="Comma" appId="_GBC_0a11a3bd15dd4fa882e7b9f16b5e3b07">
        <m:axisValue occRef="母公司"/>
      </m:item>
      <m:placeholder xlName="_PLD_0aaa32d7ecc44007a6fdfe2ba5a15150" addr="T0R6C0S1_1"/>
      <m:item xlName="_GBC_d942dc3e597b4f6f9a3076e3453481de" concept="clcid-pte:YingShouZhangKuanYiZhiErNianHeJi" label="应收账款一至二年合计" mulRef="_GBC_aa1a4a5ddfb84d718faa91649e7ae14f" unitRef="_GBC_1ea3e296336a485b8444219f6e288f72" addr="T0R6C1S1_1" formatStyle="Comma" appId="_GBC_0a11a3bd15dd4fa882e7b9f16b5e3b07">
        <m:axisValue occRef="母公司"/>
      </m:item>
      <m:placeholder xlName="_PLD_461abed3956d480b918c3859e2a0e880" addr="T0R7C0S1_1"/>
      <m:item xlName="_GBC_5abc2ce7b8c24ec484bee25596627b9d" concept="clcid-pte:YingShouZhangKuanErZhiSanNianHeJi" label="应收账款二至三年合计" mulRef="_GBC_aa1a4a5ddfb84d718faa91649e7ae14f" unitRef="_GBC_1ea3e296336a485b8444219f6e288f72" addr="T0R7C1S1_1" formatStyle="Comma" appId="_GBC_0a11a3bd15dd4fa882e7b9f16b5e3b07">
        <m:axisValue occRef="母公司"/>
      </m:item>
      <m:placeholder xlName="_PLD_3bcedd27187c4006a5bf76fe5e353650" addr="T0R8C0S1_1"/>
      <m:item xlName="_GBC_05a1939ee4a64190aa47435c49a19f3d" concept="clcid-pte:YingShouZhangKuanSanNianYiShangHeJi" label="应收账款三年以上合计" mulRef="_GBC_aa1a4a5ddfb84d718faa91649e7ae14f" unitRef="_GBC_1ea3e296336a485b8444219f6e288f72" addr="T0R8C1S1_1" formatStyle="Comma" appId="_GBC_0a11a3bd15dd4fa882e7b9f16b5e3b07">
        <m:axisValue occRef="母公司"/>
      </m:item>
      <m:placeholder xlName="_PLD_a4745b0ed8a140ae99b3917b2a6aa90b" addr="T0R9C0S1_1"/>
      <m:item xlName="_GBC_ba59b1c811d941028157159b37e1ffb0" concept="clcid-pte:YingShouZhangKuanSanZhiSiNianZhangMianYuE" label="应收账款三至四年账面余额" mulRef="_GBC_aa1a4a5ddfb84d718faa91649e7ae14f" unitRef="_GBC_1ea3e296336a485b8444219f6e288f72" addr="T0R9C1S1_1" formatStyle="Comma" appId="_GBC_0a11a3bd15dd4fa882e7b9f16b5e3b07">
        <m:axisValue occRef="母公司"/>
      </m:item>
      <m:placeholder xlName="_PLD_f4ed1d71e017423691a066ea5df5fab6" addr="T0R10C0S1_1"/>
      <m:item xlName="_GBC_bb2b1c586632487c8670ab0cb01d894e" concept="clcid-pte:YingShouZhangKuanSiZhiWuNianZhangMianYuE" label="应收账款四至五年账面余额" mulRef="_GBC_aa1a4a5ddfb84d718faa91649e7ae14f" unitRef="_GBC_1ea3e296336a485b8444219f6e288f72" addr="T0R10C1S1_1" formatStyle="Comma" appId="_GBC_0a11a3bd15dd4fa882e7b9f16b5e3b07">
        <m:axisValue occRef="母公司"/>
      </m:item>
      <m:placeholder xlName="_PLD_fccdd41cea9b4ca08e7b40f163262e5e" addr="T0R11C0S1_1"/>
      <m:item xlName="_GBC_1f60117d29f2496ebdb5f1b7cbd1663b" concept="clcid-pte:YingShouZhangKuanWuNianYiShangZhangMianYuE" label="应收账款五年以上账面余额" mulRef="_GBC_aa1a4a5ddfb84d718faa91649e7ae14f" unitRef="_GBC_1ea3e296336a485b8444219f6e288f72" addr="T0R11C1S1_1" formatStyle="Comma" appId="_GBC_0a11a3bd15dd4fa882e7b9f16b5e3b07">
        <m:axisValue occRef="母公司"/>
      </m:item>
      <m:tuple xlName="_TUP_10f7f1cf42084e9a947b1590ddb306e5" concept="clcid-pte:AnZhangLingFenXiFaJiTiHuaiZhangZhunBeiDeYingShouZhangKuanMingXi" default_row="2" addr="T0R12C">
        <m:item xlName="_GBC_a1fbc2f26f974425afb97ae2bae9c093" concept="clcid-pte:AnZhangLingFenXiFaJiTiHuaiZhangZhunBeiDeYingShouZhangKuanMingXiZhangLing" label="按账龄分析法计提坏账准备的应收账款明细_账龄" addr="T0R12C0S1_1" appId="_GBC_0a11a3bd15dd4fa882e7b9f16b5e3b07">
          <m:axisValue occRef="母公司"/>
        </m:item>
        <m:item xlName="_GBC_d0b69f1534e14fe8ad63ffeab3fefee3" concept="clcid-pte:AnZhangLingFenXiFaJiTiHuaiZhangZhunBeiDeYingShouZhangKuanMingXiYingShouZhangKuan" label="按账龄分析法计提坏账准备的应收账款明细_应收账款" mulRef="_GBC_aa1a4a5ddfb84d718faa91649e7ae14f" unitRef="_GBC_1ea3e296336a485b8444219f6e288f72" addr="T0R12C1S1_1" formatStyle="Comma" appId="_GBC_0a11a3bd15dd4fa882e7b9f16b5e3b07">
          <m:axisValue occRef="母公司"/>
        </m:item>
      </m:tuple>
      <m:placeholder xlName="_PLD_b8d2a9cd21d944ea8f8433cfaeb85cb3" addr="T0R14C0S1_1"/>
      <m:item xlName="_GBC_188376e073034b1d97ed3868b7432d99" concept="clcid-pte:DanXiangJinEBuZhongDaDanAnXinYongFengXianTeZhengZuHeHouGaiZuHeDeFengXianJiaoDaDeYingShouZhangKuanHeJi" label="单项金额不重大但按信用风险特征组合后该组合的风险较大的应收账款合计" mulRef="_GBC_aa1a4a5ddfb84d718faa91649e7ae14f" unitRef="_GBC_1ea3e296336a485b8444219f6e288f72" addr="T0R14C1S1_1" formatStyle="Comma" appId="_GBC_0a11a3bd15dd4fa882e7b9f16b5e3b07">
        <m:complexRule comparator="Eq" title="母公司单项金额不重大但按信用风险特征组合后该组合的风险较大的应收账款合计" test=" $_GBC_b333c709cf05461786399144626ee980 +  $_GBC_d942dc3e597b4f6f9a3076e3453481de +  $_GBC_5abc2ce7b8c24ec484bee25596627b9d +  $_GBC_05a1939ee4a64190aa47435c49a19f3d +  $_GBC_ba59b1c811d941028157159b37e1ffb0 +  $_GBC_bb2b1c586632487c8670ab0cb01d894e +  $_GBC_1f60117d29f2496ebdb5f1b7cbd1663b +  $_GBC_d0b69f1534e14fe8ad63ffeab3fefee3" id="C1025fd4e6fd641119fafd5ef223f9634"/>
        <m:axisValue occRef="母公司"/>
      </m:item>
    </m:section>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item xlName="_GBC_03786e76a9b246d5a93eac5a8936de3a" concept="clcid-ci-ar:DanWeiMuGongSiYingShouZhangKuanAnHuaiZhangJiTiFangFaFenLeiPiLu" label="单位：母公司应收账款按坏账计提方法分类披露" selectOptions="_buildInScales" controlType="Combobox" cellType="Scale" appId="_GBC_bd7fb52eb7f647d5aa6c10677b261ee1"/>
      <m:item xlName="_GBC_1360c31492654a38991cae4cf45e7b4a" concept="clcid-ci-ar:BiZhongMuGongSiYingShouZhangKuanAnHuaiZhangJiTiFangFaFenLeiPiLu" label="币种：母公司应收账款按坏账计提方法分类披露" selectOptions="_buildInISO4217" controlType="Combobox" cellType="Measure" appId="_GBC_bd7fb52eb7f647d5aa6c10677b261ee1"/>
      <m:placeholder xlName="_PLD_2f021e03341f49af95f8857da6272a92" addr="T0R0C0S3_1"/>
      <m:placeholder xlName="_PLD_468e18ccdf48449f8e43799e7c3f622e" addr="T0R0C1S1_5"/>
      <m:placeholder xlName="_PLD_e387c0f70bd6484cafb1ada234d075bd" addr="T0R0C6S1_5"/>
      <m:placeholder xlName="_PLD_73365edbfe354cb683cc42de4c1c9f49" addr="T0R1C1S1_2"/>
      <m:placeholder xlName="_PLD_11f34c9ee2d5429280d0d85b2c50756a" addr="T0R1C3S1_2"/>
      <m:placeholder xlName="_PLD_6ade046afd0c47c0aae9506cc9d47486" addr="T0R1C5S2_1"/>
      <m:placeholder xlName="_PLD_abd9bd4831b9473aabae7411a299a204" addr="T0R1C6S1_2"/>
      <m:placeholder xlName="_PLD_76d8f3a48cba41949b5870f6cbb124af" addr="T0R1C8S1_2"/>
      <m:placeholder xlName="_PLD_5062ab8e678b49c0bba488dc029ff27b" addr="T0R1C10S2_1"/>
      <m:placeholder xlName="_PLD_f6bdd572740240b5a7a2e643c29db5eb" addr="T0R2C1S1_1"/>
      <m:placeholder xlName="_PLD_0a09779b6e354e32b6df9b1e891e1509" addr="T0R2C2S1_1"/>
      <m:placeholder xlName="_PLD_dd9c9061f11b453c8775ca1a11382d92" addr="T0R2C3S1_1"/>
      <m:placeholder xlName="_PLD_988b69362ac14c0e94c26191e76b1e3a" addr="T0R2C4S1_1"/>
      <m:placeholder xlName="_PLD_a5c1af5c86d545b993971c3da029159d" addr="T0R2C6S1_1"/>
      <m:placeholder xlName="_PLD_fd80073c74724a799d0de2171d95f241" addr="T0R2C7S1_1"/>
      <m:placeholder xlName="_PLD_917059b3ee7f4b52afe8c3fa58f3e369" addr="T0R2C8S1_1"/>
      <m:placeholder xlName="_PLD_ea90ccc029834397956c79bbe869d343" addr="T0R2C9S1_1"/>
      <m:placeholder xlName="_PLD_d8f2e8353bc54fe8b730d8cdf873f57c" addr="T0R3C0S1_1"/>
      <m:item xlName="_GBC_52b6bfa8415849fab2e22bf8a5111149" concept="clcid-pte:AnDanXiangJiTiHuaiZhangZhunBeiDeYingShouZhangKuanZhangMianYuE" label="按单项计提坏账准备的应收账款账面余额" mulRef="_GBC_03786e76a9b246d5a93eac5a8936de3a" unitRef="_GBC_1360c31492654a38991cae4cf45e7b4a" addr="T0R3C1S1_1" formatStyle="Comma" appId="_GBC_bd7fb52eb7f647d5aa6c10677b261ee1">
        <m:axisValue occRef="母公司"/>
      </m:item>
      <m:item xlName="_GBC_15a64d6b69214ad38042c6d3e1cef5d2" concept="clcid-pte:AnDanXiangJiTiHuaiZhangZhunBeiDeYingShouZhangKuanZhangMianYuEBiLi" label="按单项计提坏账准备的应收账款账面余额比例" addr="T0R3C2S1_1" baseScale="0.01" formatStyle="Comma" appId="_GBC_bd7fb52eb7f647d5aa6c10677b261ee1">
        <m:axisValue occRef="母公司"/>
      </m:item>
      <m:item xlName="_GBC_d129b1ebf546473c96d7667e3df84b5b" concept="clcid-pte:AnDanXiangJiTiHuaiZhangZhunBeiDeYingShouZhangKuanHuaiZhangZhunBei" label="按单项计提坏账准备的应收账款坏账准备" mulRef="_GBC_03786e76a9b246d5a93eac5a8936de3a" unitRef="_GBC_1360c31492654a38991cae4cf45e7b4a" addr="T0R3C3S1_1" formatStyle="Comma" appId="_GBC_bd7fb52eb7f647d5aa6c10677b261ee1">
        <m:axisValue occRef="母公司"/>
      </m:item>
      <m:item xlName="_GBC_b8f1e76b3e794848a6d73acba9cfb92e" concept="clcid-pte:AnDanXiangJiTiHuaiZhangZhunBeiDeYingShouZhangKuanHuaiZhangZhunBeiJiTiBiLi" label="按单项计提坏账准备的应收账款坏账准备计提比例" addr="T0R3C4S1_1" baseScale="0.01" formatStyle="Comma" appId="_GBC_bd7fb52eb7f647d5aa6c10677b261ee1">
        <m:axisValue occRef="母公司"/>
      </m:item>
      <m:item xlName="_GBC_ba2acf832f5c45a69c8521bd97bcddee" concept="clcid-pte:AnDanXiangJiTiHuaiZhangZhunBeiDeYingShouZhangKuanZhangMianJiaZhi" label="按单项计提坏账准备的应收账款账面价值" mulRef="_GBC_03786e76a9b246d5a93eac5a8936de3a" unitRef="_GBC_1360c31492654a38991cae4cf45e7b4a" addr="T0R3C5S1_1" formatStyle="Comma" appId="_GBC_bd7fb52eb7f647d5aa6c10677b261ee1">
        <m:axisValue occRef="母公司"/>
      </m:item>
      <m:item xlName="_GBC_9e41d44756ad412bb7c2dba55ab1498b" concept="clcid-pte:AnDanXiangJiTiHuaiZhangZhunBeiDeYingShouZhangKuanZhangMianYuE" label="按单项计提坏账准备的应收账款账面余额" periodRef="本期期初数" mulRef="_GBC_03786e76a9b246d5a93eac5a8936de3a" unitRef="_GBC_1360c31492654a38991cae4cf45e7b4a" addr="T0R3C6S1_1" formatStyle="Comma" appId="_GBC_bd7fb52eb7f647d5aa6c10677b261ee1">
        <m:axisValue occRef="母公司"/>
      </m:item>
      <m:item xlName="_GBC_de4b2980acd340df928766afe13e1a19" concept="clcid-pte:AnDanXiangJiTiHuaiZhangZhunBeiDeYingShouZhangKuanZhangMianYuEBiLi" label="按单项计提坏账准备的应收账款账面余额比例" periodRef="本期期初数" addr="T0R3C7S1_1" baseScale="0.01" formatStyle="Comma" appId="_GBC_bd7fb52eb7f647d5aa6c10677b261ee1">
        <m:axisValue occRef="母公司"/>
      </m:item>
      <m:item xlName="_GBC_983aad4c450348bc9b2a953be896d89d" concept="clcid-pte:AnDanXiangJiTiHuaiZhangZhunBeiDeYingShouZhangKuanHuaiZhangZhunBei" label="按单项计提坏账准备的应收账款坏账准备" periodRef="本期期初数" mulRef="_GBC_03786e76a9b246d5a93eac5a8936de3a" unitRef="_GBC_1360c31492654a38991cae4cf45e7b4a" addr="T0R3C8S1_1" formatStyle="Comma" appId="_GBC_bd7fb52eb7f647d5aa6c10677b261ee1">
        <m:axisValue occRef="母公司"/>
      </m:item>
      <m:item xlName="_GBC_60d16f617c5e42ea9db2835c4de6ff48" concept="clcid-pte:AnDanXiangJiTiHuaiZhangZhunBeiDeYingShouZhangKuanHuaiZhangZhunBeiJiTiBiLi" label="按单项计提坏账准备的应收账款坏账准备计提比例" periodRef="本期期初数" addr="T0R3C9S1_1" baseScale="0.01" formatStyle="Comma" appId="_GBC_bd7fb52eb7f647d5aa6c10677b261ee1">
        <m:axisValue occRef="母公司"/>
      </m:item>
      <m:item xlName="_GBC_02750fa524c84b57b92968f97dbc9ddc" concept="clcid-pte:AnDanXiangJiTiHuaiZhangZhunBeiDeYingShouZhangKuanZhangMianJiaZhi" label="按单项计提坏账准备的应收账款账面价值" periodRef="本期期初数" mulRef="_GBC_03786e76a9b246d5a93eac5a8936de3a" unitRef="_GBC_1360c31492654a38991cae4cf45e7b4a" addr="T0R3C10S1_1" formatStyle="Comma" appId="_GBC_bd7fb52eb7f647d5aa6c10677b261ee1">
        <m:axisValue occRef="母公司"/>
      </m:item>
      <m:placeholder xlName="_PLD_8ec8b92b0ab24a78ae82ff991696133e" addr="T0R4C0S1_11"/>
      <m:tuple xlName="_TUP_55ed2cba36cc42ad9f79258891365b58" concept="clcid-pte:AnDanXiangJiTiHuaiZhangZhunBeiDeYingShouZhangKuanMingXi" default_row="2" addr="T0R5C">
        <m:item xlName="_GBC_d2aff18c0a9246d69b8b1f262666166e" contributeOptionTo="_GBC_8f78fdbea12b4ac894e4ebc3eb0fb04b" concept="clcid-pte:AnDanXiangJiTiHuaiZhangZhunBeiDeYingShouZhangKuanMingXiLeiBie" label="按单项计提坏账准备的应收账款明细-类别" unitRef="_GBC_1360c31492654a38991cae4cf45e7b4a" addr="T0R5C0S1_1" tagAction="1" appId="_GBC_bd7fb52eb7f647d5aa6c10677b261ee1">
          <m:axisValue occRef="母公司"/>
        </m:item>
        <m:item xlName="_GBC_ec3390bfa90a41d89c463b17848895d0" concept="clcid-pte:AnDanXiangJiTiHuaiZhangZhunBeiDeYingShouZhangKuanMingXiZhangMianYuE" label="按单项计提坏账准备的应收账款明细-账面余额" mulRef="_GBC_03786e76a9b246d5a93eac5a8936de3a" unitRef="_GBC_1360c31492654a38991cae4cf45e7b4a" addr="T0R5C1S1_1" formatStyle="Comma" appId="_GBC_bd7fb52eb7f647d5aa6c10677b261ee1">
          <m:axisValue occRef="母公司"/>
        </m:item>
        <m:item xlName="_GBC_0d325d2a168248acb2ab8802e3acf11e" concept="clcid-pte:AnDanXiangJiTiHuaiZhangZhunBeiDeYingShouZhangKuanMingXiYuEBiLi" label="按单项计提坏账准备的应收账款明细-余额比例" addr="T0R5C2S1_1" baseScale="0.01" formatStyle="Comma" appId="_GBC_bd7fb52eb7f647d5aa6c10677b261ee1">
          <m:axisValue occRef="母公司"/>
        </m:item>
        <m:item xlName="_GBC_6bd22552bfd84d79b360d171e39b10a1" concept="clcid-pte:AnDanXiangJiTiHuaiZhangZhunBeiDeYingShouZhangKuanMingXiHuaiZhangZhunBei" label="按单项计提坏账准备的应收账款明细-坏账准备" mulRef="_GBC_03786e76a9b246d5a93eac5a8936de3a" unitRef="_GBC_1360c31492654a38991cae4cf45e7b4a" addr="T0R5C3S1_1" formatStyle="Comma" appId="_GBC_bd7fb52eb7f647d5aa6c10677b261ee1">
          <m:axisValue occRef="母公司"/>
        </m:item>
        <m:item xlName="_GBC_48f1a33e117246609e805a887072f3cd" concept="clcid-pte:AnDanXiangJiTiHuaiZhangZhunBeiDeYingShouZhangKuanMingXiHuaiZhangZhunBeiJiTiBiLi" label="按单项计提坏账准备的应收账款明细-坏账准备计提比例" addr="T0R5C4S1_1" baseScale="0.01" formatStyle="Comma" appId="_GBC_bd7fb52eb7f647d5aa6c10677b261ee1">
          <m:axisValue occRef="母公司"/>
        </m:item>
        <m:item xlName="_GBC_daeafe3f190f4f23a3b9c533ea6cd798" concept="clcid-pte:AnDanXiangJiTiHuaiZhangZhunBeiDeYingShouZhangKuanMingXiZhangMianJiaZhi" label="按单项计提坏账准备的应收账款明细-账面价值" mulRef="_GBC_03786e76a9b246d5a93eac5a8936de3a" unitRef="_GBC_1360c31492654a38991cae4cf45e7b4a" addr="T0R5C5S1_1" formatStyle="Comma" appId="_GBC_bd7fb52eb7f647d5aa6c10677b261ee1">
          <m:axisValue occRef="母公司"/>
        </m:item>
        <m:item xlName="_GBC_f751100ce93b48a081f1f2de503950fd" concept="clcid-pte:AnDanXiangJiTiHuaiZhangZhunBeiDeYingShouZhangKuanMingXiZhangMianYuE" label="按单项计提坏账准备的应收账款明细-账面余额" periodRef="本期期初数" mulRef="_GBC_03786e76a9b246d5a93eac5a8936de3a" unitRef="_GBC_1360c31492654a38991cae4cf45e7b4a" addr="T0R5C6S1_1" formatStyle="Comma" appId="_GBC_bd7fb52eb7f647d5aa6c10677b261ee1">
          <m:axisValue occRef="母公司"/>
        </m:item>
        <m:item xlName="_GBC_30bff0ac20ea4f43b065620baa3e2aef" concept="clcid-pte:AnDanXiangJiTiHuaiZhangZhunBeiDeYingShouZhangKuanMingXiYuEBiLi" label="按单项计提坏账准备的应收账款明细-余额比例" periodRef="本期期初数" addr="T0R5C7S1_1" baseScale="0.01" formatStyle="Comma" appId="_GBC_bd7fb52eb7f647d5aa6c10677b261ee1">
          <m:axisValue occRef="母公司"/>
        </m:item>
        <m:item xlName="_GBC_fc9f0dc1132d4e85b339a8443b0ab7ed" concept="clcid-pte:AnDanXiangJiTiHuaiZhangZhunBeiDeYingShouZhangKuanMingXiHuaiZhangZhunBei" label="按单项计提坏账准备的应收账款明细-坏账准备" periodRef="本期期初数" mulRef="_GBC_03786e76a9b246d5a93eac5a8936de3a" unitRef="_GBC_1360c31492654a38991cae4cf45e7b4a" addr="T0R5C8S1_1" formatStyle="Comma" appId="_GBC_bd7fb52eb7f647d5aa6c10677b261ee1">
          <m:axisValue occRef="母公司"/>
        </m:item>
        <m:item xlName="_GBC_3a845408272f44af9b42793e8f681acf" concept="clcid-pte:AnDanXiangJiTiHuaiZhangZhunBeiDeYingShouZhangKuanMingXiHuaiZhangZhunBeiJiTiBiLi" label="按单项计提坏账准备的应收账款明细-坏账准备计提比例" periodRef="本期期初数" addr="T0R5C9S1_1" baseScale="0.01" formatStyle="Comma" appId="_GBC_bd7fb52eb7f647d5aa6c10677b261ee1">
          <m:axisValue occRef="母公司"/>
        </m:item>
        <m:item xlName="_GBC_66657c74c3d548ae9e82dca361c33785" concept="clcid-pte:AnDanXiangJiTiHuaiZhangZhunBeiDeYingShouZhangKuanMingXiZhangMianJiaZhi" label="按单项计提坏账准备的应收账款明细-账面价值" periodRef="本期期初数" mulRef="_GBC_03786e76a9b246d5a93eac5a8936de3a" unitRef="_GBC_1360c31492654a38991cae4cf45e7b4a" addr="T0R5C10S1_1" formatStyle="Comma" appId="_GBC_bd7fb52eb7f647d5aa6c10677b261ee1">
          <m:axisValue occRef="母公司"/>
        </m:item>
      </m:tuple>
      <m:placeholder xlName="_PLD_c2fb108392ea494fbb3dda9bd8528dd0" addr="T0R7C0S1_1"/>
      <m:item xlName="_GBC_ad1f100944cd4dccb290c99eb31aad67" concept="clcid-pte:AnZuHeJiTiHuaiZhangZhunBeiDeYingShouZhangKuanZhangMianYuE" label="按组合计提坏账准备的应收账款账面余额" mulRef="_GBC_03786e76a9b246d5a93eac5a8936de3a" unitRef="_GBC_1360c31492654a38991cae4cf45e7b4a" addr="T0R7C1S1_1" formatStyle="Comma" appId="_GBC_bd7fb52eb7f647d5aa6c10677b261ee1">
        <m:axisValue occRef="母公司"/>
      </m:item>
      <m:item xlName="_GBC_dbb17d1067994f2da5420a32bac265fa" concept="clcid-pte:AnZuHeJiTiHuaiZhangZhunBeiDeYingShouZhangKuanZhangMianYuEBiLi" label="按组合计提坏账准备的应收账款账面余额比例" addr="T0R7C2S1_1" baseScale="0.01" formatStyle="Comma" appId="_GBC_bd7fb52eb7f647d5aa6c10677b261ee1">
        <m:axisValue occRef="母公司"/>
      </m:item>
      <m:item xlName="_GBC_578d9d6ba1a542f2948095507c47f217" concept="clcid-pte:AnZuHeJiTiHuaiZhangZhunBeiDeYingShouZhangKuanHuaiZhangZhunBei" label="按组合计提坏账准备的应收账款坏账准备" mulRef="_GBC_03786e76a9b246d5a93eac5a8936de3a" unitRef="_GBC_1360c31492654a38991cae4cf45e7b4a" addr="T0R7C3S1_1" formatStyle="Comma" appId="_GBC_bd7fb52eb7f647d5aa6c10677b261ee1">
        <m:axisValue occRef="母公司"/>
      </m:item>
      <m:item xlName="_GBC_8e01b959ef144d92b038d4158f5f9245" concept="clcid-pte:AnZuHeJiTiHuaiZhangZhunBeiDeYingShouZhangKuanHuaiZhangZhunBeiJiTiBiLi" label="按组合计提坏账准备的应收账款坏账准备计提比例" addr="T0R7C4S1_1" baseScale="0.01" formatStyle="Comma" appId="_GBC_bd7fb52eb7f647d5aa6c10677b261ee1">
        <m:axisValue occRef="母公司"/>
      </m:item>
      <m:item xlName="_GBC_a5bf6a356b5d4f79bd23c26c5ad1bead" concept="clcid-pte:AnZuHeJiTiHuaiZhangZhunBeiDeYingShouZhangKuanZhangMianJiaZhi" label="按组合计提坏账准备的应收账款账面价值" mulRef="_GBC_03786e76a9b246d5a93eac5a8936de3a" unitRef="_GBC_1360c31492654a38991cae4cf45e7b4a" addr="T0R7C5S1_1" formatStyle="Comma" appId="_GBC_bd7fb52eb7f647d5aa6c10677b261ee1">
        <m:axisValue occRef="母公司"/>
      </m:item>
      <m:item xlName="_GBC_0396ab90da7a4596b1276fa7639fe2c6" concept="clcid-pte:AnZuHeJiTiHuaiZhangZhunBeiDeYingShouZhangKuanZhangMianYuE" label="按组合计提坏账准备的应收账款账面余额" periodRef="本期期初数" mulRef="_GBC_03786e76a9b246d5a93eac5a8936de3a" unitRef="_GBC_1360c31492654a38991cae4cf45e7b4a" addr="T0R7C6S1_1" formatStyle="Comma" appId="_GBC_bd7fb52eb7f647d5aa6c10677b261ee1">
        <m:axisValue occRef="母公司"/>
      </m:item>
      <m:item xlName="_GBC_112ff7211fb04186a734a10a821170d5" concept="clcid-pte:AnZuHeJiTiHuaiZhangZhunBeiDeYingShouZhangKuanZhangMianYuEBiLi" label="按组合计提坏账准备的应收账款账面余额比例" periodRef="本期期初数" addr="T0R7C7S1_1" baseScale="0.01" formatStyle="Comma" appId="_GBC_bd7fb52eb7f647d5aa6c10677b261ee1">
        <m:axisValue occRef="母公司"/>
      </m:item>
      <m:item xlName="_GBC_9bd044f976664d14ba9dc71117fd254c" concept="clcid-pte:AnZuHeJiTiHuaiZhangZhunBeiDeYingShouZhangKuanHuaiZhangZhunBei" label="按组合计提坏账准备的应收账款坏账准备" periodRef="本期期初数" mulRef="_GBC_03786e76a9b246d5a93eac5a8936de3a" unitRef="_GBC_1360c31492654a38991cae4cf45e7b4a" addr="T0R7C8S1_1" formatStyle="Comma" appId="_GBC_bd7fb52eb7f647d5aa6c10677b261ee1">
        <m:axisValue occRef="母公司"/>
      </m:item>
      <m:item xlName="_GBC_d377e7707b234073bee62607528c197b" concept="clcid-pte:AnZuHeJiTiHuaiZhangZhunBeiDeYingShouZhangKuanHuaiZhangZhunBeiJiTiBiLi" label="按组合计提坏账准备的应收账款坏账准备计提比例" periodRef="本期期初数" addr="T0R7C9S1_1" baseScale="0.01" formatStyle="Comma" appId="_GBC_bd7fb52eb7f647d5aa6c10677b261ee1">
        <m:axisValue occRef="母公司"/>
      </m:item>
      <m:item xlName="_GBC_16676da357d7444e938adfd8c526b923" concept="clcid-pte:AnZuHeJiTiHuaiZhangZhunBeiDeYingShouZhangKuanZhangMianJiaZhi" label="按组合计提坏账准备的应收账款账面价值" periodRef="本期期初数" mulRef="_GBC_03786e76a9b246d5a93eac5a8936de3a" unitRef="_GBC_1360c31492654a38991cae4cf45e7b4a" addr="T0R7C10S1_1" formatStyle="Comma" appId="_GBC_bd7fb52eb7f647d5aa6c10677b261ee1">
        <m:axisValue occRef="母公司"/>
      </m:item>
      <m:placeholder xlName="_PLD_bd68cdc38a0e426ea1ec99be844140b3" addr="T0R8C0S1_11"/>
      <m:tuple xlName="_TUP_d12105eecf1f43bb9d549b5dd7af65bd" concept="clcid-pte:AnZuHeJiTiHuaiZhangZhunBeiDeYingShouZhangKuanMingXi" default_row="2" addr="T0R9C">
        <m:item xlName="_GBC_1d1150cff5254d829cba03da56c2e941" contributeOptionTo="_GBC_c2c49e08c13c49f5b854cd65f748bccc" concept="clcid-pte:AnZuHeJiTiHuaiZhangZhunBeiDeYingShouZhangKuanMingXiZuHeMingCheng" label="按组合计提坏账准备的应收账款明细-组合名称" unitRef="_GBC_1360c31492654a38991cae4cf45e7b4a" addr="T0R9C0S1_1" tagAction="1" appId="_GBC_bd7fb52eb7f647d5aa6c10677b261ee1">
          <m:axisValue occRef="母公司"/>
        </m:item>
        <m:item xlName="_GBC_612f495d567045eea00c94d33afd40ab" concept="clcid-pte:AnZuHeJiTiHuaiZhangZhunBeiDeYingShouZhangKuanMingXiZhangMianYuE" label="按组合计提坏账准备的应收账款明细-账面余额" mulRef="_GBC_03786e76a9b246d5a93eac5a8936de3a" unitRef="_GBC_1360c31492654a38991cae4cf45e7b4a" addr="T0R9C1S1_1" formatStyle="Comma" appId="_GBC_bd7fb52eb7f647d5aa6c10677b261ee1">
          <m:axisValue occRef="母公司"/>
        </m:item>
        <m:item xlName="_GBC_693ec42946f24b82ad0272cd56b9be14" concept="clcid-pte:AnZuHeJiTiHuaiZhangZhunBeiDeYingShouZhangKuanMingXiZhangMianYuEBiLi" label="按组合计提坏账准备的应收账款明细-账面余额比例" addr="T0R9C2S1_1" baseScale="0.01" formatStyle="Comma" appId="_GBC_bd7fb52eb7f647d5aa6c10677b261ee1">
          <m:axisValue occRef="母公司"/>
        </m:item>
        <m:item xlName="_GBC_1096b011a02641a5bda62e12880c8e9b" concept="clcid-pte:AnZuHeJiTiHuaiZhangZhunBeiDeYingShouZhangKuanMingXiHuaiZhangZhunBeiJinE" label="按组合计提坏账准备的应收账款明细-坏账准备金额" mulRef="_GBC_03786e76a9b246d5a93eac5a8936de3a" unitRef="_GBC_1360c31492654a38991cae4cf45e7b4a" addr="T0R9C3S1_1" formatStyle="Comma" appId="_GBC_bd7fb52eb7f647d5aa6c10677b261ee1">
          <m:axisValue occRef="母公司"/>
        </m:item>
        <m:item xlName="_GBC_ead3062f2c1c4d878501623c55cffc63" concept="clcid-pte:AnZuHeJiTiHuaiZhangZhunBeiDeYingShouZhangKuanMingXiHuaiZhangZhunBeiBiLi" label="按组合计提坏账准备的应收账款明细-坏账准备比例" addr="T0R9C4S1_1" baseScale="0.01" formatStyle="Comma" appId="_GBC_bd7fb52eb7f647d5aa6c10677b261ee1">
          <m:axisValue occRef="母公司"/>
        </m:item>
        <m:item xlName="_GBC_5a47523978d647bc8fc3bf957541ca4d" concept="clcid-pte:AnZuHeJiTiHuaiZhangZhunBeiDeYingShouZhangKuanMingXiZhangMianJiaZhi" label="按组合计提坏账准备的应收账款明细-账面价值" mulRef="_GBC_03786e76a9b246d5a93eac5a8936de3a" unitRef="_GBC_1360c31492654a38991cae4cf45e7b4a" addr="T0R9C5S1_1" formatStyle="Comma" appId="_GBC_bd7fb52eb7f647d5aa6c10677b261ee1">
          <m:axisValue occRef="母公司"/>
        </m:item>
        <m:item xlName="_GBC_275532838631438a90acdd6bf0f0666b" concept="clcid-pte:AnZuHeJiTiHuaiZhangZhunBeiDeYingShouZhangKuanMingXiZhangMianYuE" label="按组合计提坏账准备的应收账款明细-账面余额" periodRef="本期期初数" mulRef="_GBC_03786e76a9b246d5a93eac5a8936de3a" unitRef="_GBC_1360c31492654a38991cae4cf45e7b4a" addr="T0R9C6S1_1" formatStyle="Comma" appId="_GBC_bd7fb52eb7f647d5aa6c10677b261ee1">
          <m:axisValue occRef="母公司"/>
        </m:item>
        <m:item xlName="_GBC_75b577bdc62d4c02b7ef4bccdba515e0" concept="clcid-pte:AnZuHeJiTiHuaiZhangZhunBeiDeYingShouZhangKuanMingXiZhangMianYuEBiLi" label="按组合计提坏账准备的应收账款明细-账面余额比例" periodRef="本期期初数" addr="T0R9C7S1_1" baseScale="0.01" formatStyle="Comma" appId="_GBC_bd7fb52eb7f647d5aa6c10677b261ee1">
          <m:axisValue occRef="母公司"/>
        </m:item>
        <m:item xlName="_GBC_ffebad056d1a446a8a7ea38b7ae4f1f1" concept="clcid-pte:AnZuHeJiTiHuaiZhangZhunBeiDeYingShouZhangKuanMingXiHuaiZhangZhunBeiJinE" label="按组合计提坏账准备的应收账款明细-坏账准备金额" periodRef="本期期初数" mulRef="_GBC_03786e76a9b246d5a93eac5a8936de3a" unitRef="_GBC_1360c31492654a38991cae4cf45e7b4a" addr="T0R9C8S1_1" formatStyle="Comma" appId="_GBC_bd7fb52eb7f647d5aa6c10677b261ee1">
          <m:axisValue occRef="母公司"/>
        </m:item>
        <m:item xlName="_GBC_388007f119184809af836ff816e39532" concept="clcid-pte:AnZuHeJiTiHuaiZhangZhunBeiDeYingShouZhangKuanMingXiHuaiZhangZhunBeiBiLi" label="按组合计提坏账准备的应收账款明细-坏账准备比例" periodRef="本期期初数" addr="T0R9C9S1_1" baseScale="0.01" formatStyle="Comma" appId="_GBC_bd7fb52eb7f647d5aa6c10677b261ee1">
          <m:axisValue occRef="母公司"/>
        </m:item>
        <m:item xlName="_GBC_cb6a49a54a0f478ca1bcba6578597ada" concept="clcid-pte:AnZuHeJiTiHuaiZhangZhunBeiDeYingShouZhangKuanMingXiZhangMianJiaZhi" label="按组合计提坏账准备的应收账款明细-账面价值" periodRef="本期期初数" mulRef="_GBC_03786e76a9b246d5a93eac5a8936de3a" unitRef="_GBC_1360c31492654a38991cae4cf45e7b4a" addr="T0R9C10S1_1" formatStyle="Comma" appId="_GBC_bd7fb52eb7f647d5aa6c10677b261ee1">
          <m:axisValue occRef="母公司"/>
        </m:item>
      </m:tuple>
      <m:placeholder xlName="_PLD_da40eb921a044acabfd44df1104701c2" addr="T0R11C0S1_1"/>
      <m:item xlName="_GBC_49b34cab43024b1aaa888ff46b51ac62" concept="clcid-pte:YingShouZhangKuanHeJi" label="应收账款合计" mulRef="_GBC_03786e76a9b246d5a93eac5a8936de3a" unitRef="_GBC_1360c31492654a38991cae4cf45e7b4a" addr="T0R11C1S1_1" formatStyle="Comma" appId="_GBC_bd7fb52eb7f647d5aa6c10677b261ee1">
        <m:complexRule comparator="Eq" title="应收账款合计" test=" $_GBC_52b6bfa8415849fab2e22bf8a5111149 +  $_GBC_ad1f100944cd4dccb290c99eb31aad67" id="C4df1b23424f2445eb68fd8b5da88e563"/>
        <m:axisValue occRef="母公司"/>
      </m:item>
      <m:item xlName="_GBC_5e429e5fa6a04b518193867f08406523" concept="clcid-pte:YingShouZhangKuanJiTiDeHuaiZhangZhunBeiYuE" label="应收账款计提的坏账准备余额" mulRef="_GBC_03786e76a9b246d5a93eac5a8936de3a" unitRef="_GBC_1360c31492654a38991cae4cf45e7b4a" addr="T0R11C3S1_1" formatStyle="Comma" appId="_GBC_bd7fb52eb7f647d5aa6c10677b261ee1">
        <m:complexRule comparator="Eq" title="应收账款计提的坏账准备余额" test=" $_GBC_d129b1ebf546473c96d7667e3df84b5b +  $_GBC_578d9d6ba1a542f2948095507c47f217" id="C7044619a6e51425097e4ad565c4df93d"/>
        <m:axisValue occRef="母公司"/>
      </m:item>
      <m:item xlName="_GBC_487f917ae8c94ce192bc09be80305bf2" concept="clcid-pte:YingShouZhangKuanZhangMianJiaZhiHeJi" label="应收账款账面价值合计" mulRef="_GBC_03786e76a9b246d5a93eac5a8936de3a" unitRef="_GBC_1360c31492654a38991cae4cf45e7b4a" addr="T0R11C5S1_1" formatStyle="Comma" appId="_GBC_bd7fb52eb7f647d5aa6c10677b261ee1">
        <m:complexRule comparator="Eq" title="应收账款账面价值合计" test=" $_GBC_ba2acf832f5c45a69c8521bd97bcddee +  $_GBC_a5bf6a356b5d4f79bd23c26c5ad1bead" id="Cbaaaabd6c07e403e90b0f131b83ac25d"/>
        <m:axisValue occRef="母公司"/>
      </m:item>
      <m:item xlName="_GBC_0f94e14f1f1249b2ab30eda38967ca18" concept="clcid-pte:YingShouZhangKuanHeJi" label="应收账款合计" periodRef="本期期初数" mulRef="_GBC_03786e76a9b246d5a93eac5a8936de3a" unitRef="_GBC_1360c31492654a38991cae4cf45e7b4a" addr="T0R11C6S1_1" formatStyle="Comma" appId="_GBC_bd7fb52eb7f647d5aa6c10677b261ee1">
        <m:complexRule comparator="Eq" title="应收账款合计@本期期初数" test=" $_GBC_9e41d44756ad412bb7c2dba55ab1498b +  $_GBC_0396ab90da7a4596b1276fa7639fe2c6" id="C5e02106482fb4b3badd1c0dd0ec52719"/>
        <m:axisValue occRef="母公司"/>
      </m:item>
      <m:item xlName="_GBC_0128fbeaad764578a707dd13379cd61e" concept="clcid-pte:YingShouZhangKuanJiTiDeHuaiZhangZhunBeiYuE" label="应收账款计提的坏账准备余额" periodRef="本期期初数" mulRef="_GBC_03786e76a9b246d5a93eac5a8936de3a" unitRef="_GBC_1360c31492654a38991cae4cf45e7b4a" addr="T0R11C8S1_1" formatStyle="Comma" appId="_GBC_bd7fb52eb7f647d5aa6c10677b261ee1">
        <m:complexRule comparator="Eq" title="应收账款计提的坏账准备余额@本期期初数" test=" $_GBC_983aad4c450348bc9b2a953be896d89d +  $_GBC_9bd044f976664d14ba9dc71117fd254c" id="C648d75a316184b44803ac9bded542e57"/>
        <m:axisValue occRef="母公司"/>
      </m:item>
      <m:item xlName="_GBC_bb4258a0a8734c69b62e73712a4076aa" concept="clcid-pte:YingShouZhangKuanZhangMianJiaZhiHeJi" label="应收账款账面价值合计" periodRef="本期期初数" mulRef="_GBC_03786e76a9b246d5a93eac5a8936de3a" unitRef="_GBC_1360c31492654a38991cae4cf45e7b4a" addr="T0R11C10S1_1" formatStyle="Comma" appId="_GBC_bd7fb52eb7f647d5aa6c10677b261ee1">
        <m:complexRule comparator="Eq" title="应收账款账面价值合计@本期期初数" test=" $_GBC_02750fa524c84b57b92968f97dbc9ddc +  $_GBC_16676da357d7444e938adfd8c526b923" id="C79e8f2e60a154c08bad1caa8ca86268a"/>
        <m:axisValue occRef="母公司"/>
      </m:item>
    </m:section>
    <m:section xlName="_SEC_25fdb1db4e684b509f2d87c2a7766da9" title="按单项计提坏账准备：">
      <m:item xlName="_GBC_6aa7698e624f4481b0cf894058a63961" concept="clcid-ci-ar:ShiFouShiYongMuGongSiYingShouZhangKuanAnDanXiangJiTiHuaiZhangZhunBei" label="是否适用：母公司应收账款按单项计提坏账准备" selectOptions="_buildInAppliance" controlType="CustomCheckbox" cRanges="[{&quot;StartName&quot;:&quot;_GBC_6aa7698e624f4481b0cf894058a63961&quot;,&quot;EndName&quot;:&quot;_GBC_708cb271301645c19ed60229f1893d86&quot;,&quot;CType&quot;:1}]"/>
      <m:item xlName="_GBC_78b604bf7ffb4c31ab3ee677554e3137" concept="clcid-pte:DanWeiMuGongSiYingShouZhangKuanAnDanXiangJiTiHuaiZhangZhunBei" label="单位：母公司应收账款按单项计提坏账准备" selectOptions="_buildInScales" controlType="Combobox" cellType="Scale" appId="_GBC_6aa7698e624f4481b0cf894058a63961"/>
      <m:item xlName="_GBC_4b1174efa36f426fad7996f19b12a196" concept="clcid-pte:BiZhongMuGongSiYingShouZhangKuanAnDanXiangJiTiHuaiZhangZhunBei" label="币种：母公司应收账款按单项计提坏账准备" selectOptions="_buildInISO4217" controlType="Combobox" cellType="Measure" appId="_GBC_6aa7698e624f4481b0cf894058a63961"/>
      <m:placeholder xlName="_PLD_c9f375faf7b545a188ebedb1a01654f0" addr="T0R0C0S2_1"/>
      <m:placeholder xlName="_PLD_c86d7b0ec7994bbf9c32d3c6e0d2adda" addr="T0R0C1S1_4"/>
      <m:placeholder xlName="_PLD_7bbf6380a8804f6c8a717a338f6be3fd" addr="T0R1C1S1_1"/>
      <m:placeholder xlName="_PLD_c15d611dc2404462bf82049172a2f8e5" addr="T0R1C2S1_1"/>
      <m:placeholder xlName="_PLD_54a8956eb15646cfa69cc0c723b11525" addr="T0R1C3S1_1"/>
      <m:placeholder xlName="_PLD_b9a45c0c48a240cba3863633ee15a99c" addr="T0R1C4S1_1"/>
      <m:tuple xlName="_TUP_2c953ac7b56244699de69986e4bf6b72" concept="clcid-pte:AnDanXiangJiTiHuaiZhangZhunBeiDeYingShouZhangKuanXiangXiMingChengMingXi" default_row="2" addr="T0R2C">
        <m:item xlName="_GBC_6b2eff7060594d3b9f646ed81f9c5b5a" concept="clcid-pte:AnDanXiangJiTiHuaiZhangZhunBeiDeYingShouZhangKuanXiangXiMingChengMingXiMingCheng" label="按单项计提坏账准备的应收账款详细名称明细-名称" addr="T0R2C0S1_1" appId="_GBC_6aa7698e624f4481b0cf894058a63961">
          <m:axisValue occRef="母公司"/>
        </m:item>
        <m:item xlName="_GBC_5b4a9f99bd534acb8c664560b0f52159" concept="clcid-pte:AnDanXiangJiTiHuaiZhangZhunBeiDeYingShouZhangKuanXiangXiMingChengMingXiZhangMianYuE" label="按单项计提坏账准备的应收账款详细名称明细-账面余额" mulRef="_GBC_78b604bf7ffb4c31ab3ee677554e3137" unitRef="_GBC_4b1174efa36f426fad7996f19b12a196" addr="T0R2C1S1_1" formatStyle="Comma" appId="_GBC_6aa7698e624f4481b0cf894058a63961">
          <m:axisValue occRef="母公司"/>
        </m:item>
        <m:item xlName="_GBC_26e84448d9914528b3a5cfa0964fc87d" concept="clcid-pte:AnDanXiangJiTiHuaiZhangZhunBeiDeYingShouZhangKuanXiangXiMingChengMingXiHuaiZhangZhunBei" label="按单项计提坏账准备的应收账款详细名称明细-坏账准备" mulRef="_GBC_78b604bf7ffb4c31ab3ee677554e3137" unitRef="_GBC_4b1174efa36f426fad7996f19b12a196" addr="T0R2C2S1_1" formatStyle="Comma" appId="_GBC_6aa7698e624f4481b0cf894058a63961">
          <m:axisValue occRef="母公司"/>
        </m:item>
        <m:item xlName="_GBC_426982e0078941eba7e29c805514d322" concept="clcid-pte:AnDanXiangJiTiHuaiZhangZhunBeiDeYingShouZhangKuanXiangXiMingChengMingXiHuaiZhangZhunBeiJiTiBiLi" label="按单项计提坏账准备的应收账款详细名称明细-坏账准备计提比例" addr="T0R2C3S1_1" baseScale="0.01" formatStyle="Comma" appId="_GBC_6aa7698e624f4481b0cf894058a63961">
          <m:axisValue occRef="母公司"/>
        </m:item>
        <m:item xlName="_GBC_f43ecb84afbe443780a471f1725d6957" concept="clcid-pte:AnDanXiangJiTiHuaiZhangZhunBeiDeYingShouZhangKuanXiangXiMingChengMingXiHuaiZhangZhunBeiJiTiLiYou" label="按单项计提坏账准备的应收账款详细名称明细-坏账准备计提理由" addr="T0R2C4S1_1" appId="_GBC_6aa7698e624f4481b0cf894058a63961">
          <m:axisValue occRef="母公司"/>
        </m:item>
      </m:tuple>
      <m:placeholder xlName="_PLD_ae2160629a8e476ca13f19742070e947" addr="T0R4C0S1_1"/>
      <m:item xlName="_GBC_fe708361c9e54285816d14dbc23234ca" concept="clcid-pte:AnDanXiangJiTiHuaiZhangZhunBeiDeYingShouZhangKuanZhangMianYuE" label="按单项计提坏账准备的应收账款账面余额" mulRef="_GBC_78b604bf7ffb4c31ab3ee677554e3137" unitRef="_GBC_4b1174efa36f426fad7996f19b12a196" addr="T0R4C1S1_1" formatStyle="Comma" appId="_GBC_6aa7698e624f4481b0cf894058a63961">
        <m:complexRule comparator="Eq" title="按单项计提坏账准备的应收账款明细-账面余额" test=" $_GBC_5b4a9f99bd534acb8c664560b0f52159" id="Cd7e4260838d14f76b9242a97c0b587a6"/>
        <m:axisValue occRef="母公司"/>
      </m:item>
      <m:item xlName="_GBC_ef3a289946484cc5b54e994d0beed55e" concept="clcid-pte:AnDanXiangJiTiHuaiZhangZhunBeiDeYingShouZhangKuanHuaiZhangZhunBei" label="按单项计提坏账准备的应收账款坏账准备" mulRef="_GBC_78b604bf7ffb4c31ab3ee677554e3137" unitRef="_GBC_4b1174efa36f426fad7996f19b12a196" addr="T0R4C2S1_1" formatStyle="Comma" appId="_GBC_6aa7698e624f4481b0cf894058a63961">
        <m:complexRule comparator="Eq" title="按单项计提坏账准备的应收账款明细-坏账准备" test=" $_GBC_26e84448d9914528b3a5cfa0964fc87d" id="Ccc5bb5942ca8423185889863133c3b68"/>
        <m:axisValue occRef="母公司"/>
      </m:item>
      <m:item xlName="_GBC_c6bd386d263144a580fddac668d8a087" concept="clcid-pte:AnDanXiangJiTiHuaiZhangZhunBeiDeYingShouZhangKuanHuaiZhangZhunBeiJiTiBiLi" label="按单项计提坏账准备的应收账款坏账准备计提比例" addr="T0R4C3S1_1" baseScale="0.01" formatStyle="Comma" appId="_GBC_6aa7698e624f4481b0cf894058a63961">
        <m:complexRule comparator="Eq" title="按单项计提坏账准备的应收账款明细-坏账准备计提比例" id="C67a89d9fa74e4c54b50c0b9366db173d"/>
        <m:axisValue occRef="母公司"/>
      </m:item>
      <m:item xlName="_GBC_4623c8695a494e53b6a615e5a9c7e0ea" concept="clcid-pte:ShiFouShiYongMuGongSiYingShouZhangKuanAnDanXiangJiTiHuaiZhangZhunBeiDeShuoMing" label="是否适用：母公司应收账款按单项计提坏账准备的说明" selectOptions="_buildInAppliance" controlType="CustomCheckbox" cRanges="[{&quot;StartName&quot;:&quot;_GBC_4623c8695a494e53b6a615e5a9c7e0ea&quot;,&quot;EndName&quot;:&quot;_GBC_708cb271301645c19ed60229f1893d86&quot;,&quot;CType&quot;:1}]"/>
      <m:item xlName="_GBC_708cb271301645c19ed60229f1893d86" concept="clcid-pte:AnDanXiangJiTiHuaiZhangZhunBeiDeYingShouZhangKuanShuoMing" label="按单项计提坏账准备的应收账款说明" appId="_GBC_4623c8695a494e53b6a615e5a9c7e0ea">
        <m:axisValue occRef="母公司"/>
      </m:item>
    </m:section>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item xlName="_GBC_c2c49e08c13c49f5b854cd65f748bccc" isNeedToFill="true" contributeOptionTo="_GBC_1d1150cff5254d829cba03da56c2e941" concept="clcid-pte:AnZuHeJiTiHuaiZhangZhunBeiDeYingShouZhangKuanMingXiZuHeMingCheng" label="按组合计提坏账准备的应收账款明细-组合名称" controlType="Combobox" appId="_GBC_bf96e631f2cf4f6a876dff49863ee9d3">
        <m:axisValue occRef="母公司"/>
      </m:item>
      <m:item xlName="_GBC_eddb8416e4854df0b69f43851a8eba2b" concept="clcid-pte:DanWeiMuGongSiYingShouZhangKuanAnZuHeJiTiHuaiZhangZhunBei" label="单位：母公司应收账款按组合计提坏账准备" selectOptions="_buildInScales" controlType="Combobox" cellType="Scale" appId="_GBC_bf96e631f2cf4f6a876dff49863ee9d3"/>
      <m:item xlName="_GBC_326d8b8532c4476aa9c90eaa469806e2" concept="clcid-pte:BiZhongMuGongSiYingShouZhangKuanAnZuHeJiTiHuaiZhangZhunBei" label="币种：母公司应收账款按组合计提坏账准备" selectOptions="_buildInISO4217" controlType="Combobox" cellType="Measure" appId="_GBC_bf96e631f2cf4f6a876dff49863ee9d3"/>
      <m:placeholder xlName="_PLD_017679ab9c8247c6b2e334fd90bf61e9" addr="T0R0C0S2_1"/>
      <m:placeholder xlName="_PLD_5135cd56467d4853affa6d0ae484f326" addr="T0R0C1S1_3"/>
      <m:placeholder xlName="_PLD_6853d362c1364938aec50c34a4c1b2be" addr="T0R1C1S1_1"/>
      <m:placeholder xlName="_PLD_497956cded5b48c4b4741462475810da" addr="T0R1C2S1_1"/>
      <m:placeholder xlName="_PLD_abeb28def5684beab5ea48273044d861" addr="T0R1C3S1_1"/>
      <m:tuple xlName="_TUP_f0c1437e418b477abdaa018db20308d6" concept="clcid-pte:AnZuHeJiTiHuaiZhangZhunBeiDeYingShouZhangKuanXiangXiMingChengMingXi" default_row="2" addr="T0R2C">
        <m:item xlName="_GBC_da31079ce88a4f0689633881f997456e" concept="clcid-pte:AnZuHeJiTiHuaiZhangZhunBeiDeYingShouZhangKuanXiangXiMingChengMingXiMingCheng" label="按组合计提坏账准备的应收账款详细名称明细-名称" addr="T0R2C0S1_1" appId="_GBC_bf96e631f2cf4f6a876dff49863ee9d3">
          <m:axisValue occRef="母公司"/>
        </m:item>
        <m:item xlName="_GBC_d3d58aa07f7b448b8889295e7d0cfddc" concept="clcid-pte:AnZuHeJiTiHuaiZhangZhunBeiDeYingShouZhangKuanXiangXiMingChengMingXiZhangMianYuE" label="按组合计提坏账准备的应收账款详细名称明细-账面余额" mulRef="_GBC_eddb8416e4854df0b69f43851a8eba2b" unitRef="_GBC_326d8b8532c4476aa9c90eaa469806e2" addr="T0R2C1S1_1" formatStyle="Comma" appId="_GBC_bf96e631f2cf4f6a876dff49863ee9d3">
          <m:axisValue occRef="母公司"/>
        </m:item>
        <m:item xlName="_GBC_58219ebacad1469fa36a770842ab4a78" concept="clcid-pte:AnZuHeJiTiHuaiZhangZhunBeiDeYingShouZhangKuanXiangXiMingChengMingXiHuaiZhangZhunBei" label="按组合计提坏账准备的应收账款详细名称明细-坏账准备" mulRef="_GBC_eddb8416e4854df0b69f43851a8eba2b" unitRef="_GBC_326d8b8532c4476aa9c90eaa469806e2" addr="T0R2C2S1_1" formatStyle="Comma" appId="_GBC_bf96e631f2cf4f6a876dff49863ee9d3">
          <m:axisValue occRef="母公司"/>
        </m:item>
        <m:item xlName="_GBC_86e6f28d315f403a83a9765ee831077e" concept="clcid-pte:AnZuHeJiTiHuaiZhangZhunBeiDeYingShouZhangKuanXiangXiMingChengMingXiHuaiZhangZhunBeiJiTiBiLi" label="按组合计提坏账准备的应收账款详细名称明细-坏账准备计提比例" addr="T0R2C3S1_1" baseScale="0.01" formatStyle="Comma" appId="_GBC_bf96e631f2cf4f6a876dff49863ee9d3">
          <m:axisValue occRef="母公司"/>
        </m:item>
      </m:tuple>
      <m:placeholder xlName="_PLD_435948144728481980336a881622f9ca" addr="T0R4C0S1_1"/>
      <m:item xlName="_GBC_9f838edfeeb4469da797263d5dad3416" concept="clcid-pte:AnZuHeJiTiHuaiZhangZhunBeiDeYingShouZhangKuanMingXiZhangMianYuE" label="按组合计提坏账准备的应收账款明细-账面余额" mulRef="_GBC_eddb8416e4854df0b69f43851a8eba2b" unitRef="_GBC_326d8b8532c4476aa9c90eaa469806e2" addr="T0R4C1S1_1" formatStyle="Comma" appId="_GBC_bf96e631f2cf4f6a876dff49863ee9d3">
        <m:complexRule comparator="Eq" title="按组合计提坏账准备的应收账款明细-账面余额" id="C82a9056f965947cb9fb6f079df56df13"/>
        <m:axisValue occRef="母公司"/>
      </m:item>
      <m:item xlName="_GBC_d657c0336e4347c386a61ef250f5fb08" concept="clcid-pte:AnZuHeJiTiHuaiZhangZhunBeiDeYingShouZhangKuanMingXiHuaiZhangZhunBeiJinE" label="按组合计提坏账准备的应收账款明细-坏账准备金额" mulRef="_GBC_eddb8416e4854df0b69f43851a8eba2b" unitRef="_GBC_326d8b8532c4476aa9c90eaa469806e2" addr="T0R4C2S1_1" formatStyle="Comma" appId="_GBC_bf96e631f2cf4f6a876dff49863ee9d3">
        <m:complexRule comparator="Eq" title="按组合计提坏账准备的应收账款明细-坏账准备金额" id="Cc76f9eee35d54df4bd8181f1696c277b"/>
        <m:axisValue occRef="母公司"/>
      </m:item>
      <m:item xlName="_GBC_f7a05bb085ca4688a5d938329a1c6947" concept="clcid-pte:AnZuHeJiTiHuaiZhangZhunBeiDeYingShouZhangKuanMingXiHuaiZhangZhunBeiBiLi" label="按组合计提坏账准备的应收账款明细-坏账准备比例" addr="T0R4C3S1_1" baseScale="0.01" formatStyle="Comma" appId="_GBC_bf96e631f2cf4f6a876dff49863ee9d3">
        <m:complexRule comparator="Eq" title="按组合计提坏账准备的应收账款明细-坏账准备比例" id="Ca08f6b683bda437688b51783d8dd0f46"/>
        <m:axisValue occRef="母公司"/>
      </m:item>
      <m:item xlName="_GBC_186c78f5430148f29cc239ac6b530e5e" concept="clcid-pte:ShiFouShiYongMuGongSiYingShouZhangKuanAnZuHeJiTiHuaiZhangDeQueRenBiaoZhunJiShuoMing" label="是否适用：母公司应收账款按组合计提坏账的确认标准及说明" selectOptions="_buildInAppliance" controlType="CustomCheckbox" cRanges="[{&quot;StartName&quot;:&quot;_GBC_186c78f5430148f29cc239ac6b530e5e&quot;,&quot;EndName&quot;:&quot;_GBC_44764ec9190a45788b0ca783ff9fb361&quot;,&quot;CType&quot;:1}]"/>
      <m:item xlName="_GBC_44764ec9190a45788b0ca783ff9fb361" concept="clcid-pte:AnZuHeJiTiHuaiZhangZhunBeiDeYingShouZhangKuanQueRenBiaoZhun" label="按组合计提坏账准备的应收账款确认标准" appId="_GBC_186c78f5430148f29cc239ac6b530e5e">
        <m:axisValue occRef="母公司"/>
      </m:item>
    </m:section>
    <m:section xlName="_SEC_0daf1df16ecd4ddb95ab2ba88474abac" title="如按预期信用损失一般模型计提坏账准备，请参照其他应收款披露：">
      <m:item xlName="_GBC_549d8a07d3e545ee8ada79b15a8ba3e9" concept="clcid-ci-ar:ShiFouShiYongMuGongSiYingShouZhangKuanAnYiBanYuJiXinYongSunShiMoXingJiTiHuaiZhang" label="是否适用：母公司应收账款按一般预计信用损失模型计提坏账" selectOptions="_buildInAppliance" controlType="CustomCheckbox" cRanges="[{&quot;StartName&quot;:&quot;_GBC_549d8a07d3e545ee8ada79b15a8ba3e9&quot;,&quot;EndName&quot;:&quot;_GBC_24917a473dda4a44b7dd5ccf2901f2d4&quot;,&quot;CType&quot;:1}]"/>
      <m:item xlName="_GBC_24917a473dda4a44b7dd5ccf2901f2d4" concept="clcid-pte:YingShouZhangKuanAnYiBanYuJiXinYongSunShiMoXingJiTiHuaiZhang" label="应收账款按一般预计信用损失模型计提坏账" appId="_GBC_549d8a07d3e545ee8ada79b15a8ba3e9">
        <m:axisValue occRef="母公司"/>
      </m:item>
    </m:section>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item xlName="_GBC_b1cb6a2ed32f4cbba0ff71c0724458cf" concept="clcid-ci-ar:DanWeiMuGongSiYingShouZhangKuanHuaiZhangZhunBeiQingKuang" label="单位：母公司应收账款坏账准备情况" selectOptions="_buildInScales" controlType="Combobox" cellType="Scale" appId="_GBC_f73789de2ecf49c4bad380c8767c93cf"/>
      <m:item xlName="_GBC_d354bf362fbe459f823a08ebfd7e3967" concept="clcid-ci-ar:BiZhongMuGongSiYingShouZhangKuanHuaiZhangZhunBeiQingKuang" label="币种：母公司应收账款坏账准备情况" selectOptions="_buildInISO4217" controlType="Combobox" cellType="Measure" appId="_GBC_f73789de2ecf49c4bad380c8767c93cf"/>
      <m:placeholder xlName="_PLD_f6bf13992bdc4b06bd6f364458e0df47" addr="T0R0C0S2_1"/>
      <m:placeholder xlName="_PLD_579b33cd0d7e490d998a64c9f202ccfb" addr="T0R0C1S2_1"/>
      <m:placeholder xlName="_PLD_2cbc55bce2ef44bbb40e4050dfe846f1" addr="T0R0C2S1_4"/>
      <m:placeholder xlName="_PLD_dcc9f714adf8465eb1a49da61466de1f" addr="T0R0C6S2_1"/>
      <m:placeholder xlName="_PLD_e4e43f7257b14faaaaf4b09b161bf7b7" addr="T0R1C2S1_1"/>
      <m:placeholder xlName="_PLD_bf7fb55a6c2a4d18926896fd921fc857" addr="T0R1C3S1_1"/>
      <m:placeholder xlName="_PLD_536d31c824d74db3baaa7f5b6cd0a9ec" addr="T0R1C4S1_1"/>
      <m:placeholder xlName="_PLD_32a7ce101f6b48d68c39e1edb6e78b82" addr="T0R1C5S1_1"/>
      <m:tuple xlName="_TUP_b4b5569b724a48fcad53c89b4a37cb1c" concept="clcid-pte:YingShouZhangKuanHuaiZhangZhunBeiMingXi" default_row="2" addr="T0R2C">
        <m:item xlName="_GBC_a22a719487324a76b0f54832cdd0a547" concept="clcid-pte:YingShouZhangKuanHuaiZhangZhunBeiMingXiLeiBie" label="应收账款坏账准备明细-类别" addr="T0R2C0S1_1" appId="_GBC_f73789de2ecf49c4bad380c8767c93cf">
          <m:axisValue occRef="母公司"/>
        </m:item>
        <m:item xlName="_GBC_1ad7331922d9491cb67594702952534a" concept="clcid-pte:YingShouZhangKuanHuaiZhangZhunBeiMingXiFaShengE" label="应收账款坏账准备明细-发生额" periodRef="本期期初数" mulRef="_GBC_b1cb6a2ed32f4cbba0ff71c0724458cf" unitRef="_GBC_d354bf362fbe459f823a08ebfd7e3967" addr="T0R2C1S1_1" formatStyle="Comma" appId="_GBC_f73789de2ecf49c4bad380c8767c93cf">
          <m:axisValue occRef="母公司"/>
        </m:item>
        <m:item xlName="_GBC_2a698a7a7bf9408ebedee52b7dfc294d" concept="clcid-pte:YingShouZhangKuanHuaiZhangZhunBeiMingXiBenQiJiTi" label="应收账款坏账准备明细-本期计提" mulRef="_GBC_b1cb6a2ed32f4cbba0ff71c0724458cf" unitRef="_GBC_d354bf362fbe459f823a08ebfd7e3967" addr="T0R2C2S1_1" formatStyle="Comma" appId="_GBC_f73789de2ecf49c4bad380c8767c93cf">
          <m:axisValue occRef="母公司"/>
        </m:item>
        <m:item xlName="_GBC_7db0ba6377bc4d57bc6a23b86de8f13a" concept="clcid-pte:YingShouZhangKuanHuaiZhangZhunBeiMingXiShouHuiHuoZhuanHui" label="应收账款坏账准备明细-收回或转回" mulRef="_GBC_b1cb6a2ed32f4cbba0ff71c0724458cf" unitRef="_GBC_d354bf362fbe459f823a08ebfd7e3967" addr="T0R2C3S1_1" formatStyle="Comma" appId="_GBC_f73789de2ecf49c4bad380c8767c93cf">
          <m:axisValue occRef="母公司"/>
        </m:item>
        <m:item xlName="_GBC_5ec29f833df34a3eab3d2909fbf83940" concept="clcid-pte:YingShouZhangKuanHuaiZhangZhunBeiMingXiZhuanXiaoHuoHeXiao" label="应收账款坏账准备明细-转销或核销" mulRef="_GBC_b1cb6a2ed32f4cbba0ff71c0724458cf" unitRef="_GBC_d354bf362fbe459f823a08ebfd7e3967" addr="T0R2C4S1_1" formatStyle="Comma" appId="_GBC_f73789de2ecf49c4bad380c8767c93cf">
          <m:axisValue occRef="母公司"/>
        </m:item>
        <m:item xlName="_GBC_82bd51f250e14aeca385e047491520e5" concept="clcid-pte:YingShouZhangKuanHuaiZhangZhunBeiMingXiQiTaBianDong" label="应收账款坏账准备明细-其他变动" mulRef="_GBC_b1cb6a2ed32f4cbba0ff71c0724458cf" unitRef="_GBC_d354bf362fbe459f823a08ebfd7e3967" addr="T0R2C5S1_1" formatStyle="Comma" appId="_GBC_f73789de2ecf49c4bad380c8767c93cf">
          <m:axisValue occRef="母公司"/>
        </m:item>
        <m:item xlName="_GBC_2a659978374b4fde933f4de1712eb945" concept="clcid-pte:YingShouZhangKuanHuaiZhangZhunBeiMingXiFaShengE" label="应收账款坏账准备明细-发生额" mulRef="_GBC_b1cb6a2ed32f4cbba0ff71c0724458cf" unitRef="_GBC_d354bf362fbe459f823a08ebfd7e3967" addr="T0R2C6S1_1" formatStyle="Comma" appId="_GBC_f73789de2ecf49c4bad380c8767c93cf">
          <m:axisValue occRef="母公司"/>
        </m:item>
      </m:tuple>
      <m:placeholder xlName="_PLD_305ead24b9654c709cb715b961cef894" addr="T0R4C0S1_1"/>
      <m:item xlName="_GBC_e2bfdf74c39c471b9120ff22e01cea8d" concept="clcid-pte:YingShouZhangKuanJiTiDeHuaiZhangZhunBeiYuE" label="应收账款计提的坏账准备余额" periodRef="本期期初数" mulRef="_GBC_b1cb6a2ed32f4cbba0ff71c0724458cf" unitRef="_GBC_d354bf362fbe459f823a08ebfd7e3967" addr="T0R4C1S1_1" formatStyle="Comma" appId="_GBC_f73789de2ecf49c4bad380c8767c93cf">
        <m:complexRule comparator="Eq" title="应收账款计提的坏账准备余额@本期期初数" test=" $_GBC_1ad7331922d9491cb67594702952534a" id="C664003222c914a208d5d33df219f8344"/>
        <m:axisValue occRef="母公司"/>
      </m:item>
      <m:item xlName="_GBC_a4f45c78b13e40c99f9e8b20838560d4" concept="clcid-pte:YingShouZhangKuanHuaiZhangZhunBeiBenQiJiTi" label="应收账款坏账准备本期计提" mulRef="_GBC_b1cb6a2ed32f4cbba0ff71c0724458cf" unitRef="_GBC_d354bf362fbe459f823a08ebfd7e3967" addr="T0R4C2S1_1" formatStyle="Comma" appId="_GBC_f73789de2ecf49c4bad380c8767c93cf">
        <m:complexRule comparator="Eq" title="应收账款坏账准备本期计提" test=" $_GBC_2a698a7a7bf9408ebedee52b7dfc294d" id="C33a6b94570d940d589788d9c37d0e97e"/>
        <m:axisValue occRef="母公司"/>
      </m:item>
      <m:item xlName="_GBC_7c0076aaed71499a96b705b4af1e4304" concept="clcid-pte:YingShouZhangKuanHuaiZhangZhunBeiBenQiShouHuiHuoZhuanHui" label="应收账款坏账准备本期收回或转回" mulRef="_GBC_b1cb6a2ed32f4cbba0ff71c0724458cf" unitRef="_GBC_d354bf362fbe459f823a08ebfd7e3967" addr="T0R4C3S1_1" formatStyle="Comma" appId="_GBC_f73789de2ecf49c4bad380c8767c93cf">
        <m:complexRule comparator="Eq" title="应收账款坏账准备本期收回或转回" test=" $_GBC_7db0ba6377bc4d57bc6a23b86de8f13a" id="Ca16c2438a96645788b17e86cb1dcb18c"/>
        <m:axisValue occRef="母公司"/>
      </m:item>
      <m:item xlName="_GBC_e108e533a000445e9b2911236f06acc8" concept="clcid-pte:YingShouZhangKuanHuaiZhangZhunBeiBenQiZhuanXiaoHuoHeXiao" label="应收账款坏账准备本期转销或核销" mulRef="_GBC_b1cb6a2ed32f4cbba0ff71c0724458cf" unitRef="_GBC_d354bf362fbe459f823a08ebfd7e3967" addr="T0R4C4S1_1" formatStyle="Comma" appId="_GBC_f73789de2ecf49c4bad380c8767c93cf">
        <m:complexRule comparator="Eq" title="应收账款坏账准备本期转销或核销" test=" $_GBC_5ec29f833df34a3eab3d2909fbf83940" id="Ccdcf59d4a44d441c87e78e956c062a0f"/>
        <m:axisValue occRef="母公司"/>
      </m:item>
      <m:item xlName="_GBC_47dc48192e2d4d14b0a1363aac34513a" concept="clcid-pte:YingShouZhangKuanHuaiZhangZhunBeiBenQiQiTaBianDong" label="应收账款坏账准备本期其他变动" mulRef="_GBC_b1cb6a2ed32f4cbba0ff71c0724458cf" unitRef="_GBC_d354bf362fbe459f823a08ebfd7e3967" addr="T0R4C5S1_1" formatStyle="Comma" appId="_GBC_f73789de2ecf49c4bad380c8767c93cf">
        <m:axisValue occRef="母公司"/>
      </m:item>
      <m:item xlName="_GBC_24a78b66029548179c3857193a4bc40e" concept="clcid-pte:YingShouZhangKuanJiTiDeHuaiZhangZhunBeiYuE" label="应收账款计提的坏账准备余额" mulRef="_GBC_b1cb6a2ed32f4cbba0ff71c0724458cf" unitRef="_GBC_d354bf362fbe459f823a08ebfd7e3967" addr="T0R4C6S1_1" formatStyle="Comma" appId="_GBC_f73789de2ecf49c4bad380c8767c93cf">
        <m:complexRule comparator="Eq" title="应收账款计提的坏账准备余额" test=" $_GBC_2a659978374b4fde933f4de1712eb945" id="Cef9aa176122341bf8284f7fe16ed2178"/>
        <m:axisValue occRef="母公司"/>
      </m:item>
    </m:section>
    <m:section xlName="_SEC_cfbe6c51f19042a4ad507f8066423e41" title="其中本期坏账准备收回或转回金额重要的：">
      <m:item xlName="_GBC_a6aa75dceb1749caaf0ac8239ed005c1" concept="clcid-ci-ar:ShiFouShiYongMuGongSiQiZhongBenQiHuaiZhangZhunBeiShouHuiHuoZhuanHuiJinEZhongYaoDe" label="是否适用：母公司其中本期坏账准备收回或转回金额重要的" selectOptions="_buildInAppliance" controlType="CustomCheckbox" cRanges="[{&quot;StartName&quot;:&quot;_GBC_a6aa75dceb1749caaf0ac8239ed005c1&quot;,&quot;EndName&quot;:&quot;_GBC_147b0884ea4943c49082d4a127fec8ce&quot;,&quot;CType&quot;:1}]"/>
      <m:item xlName="_GBC_0f2ffa12bc214f5887b3dcdcdf40e2ab" concept="clcid-ci-ar:DanWeiMuGongSiZhuanHuiHuoShouHuiQingKuang" label="单位：母公司转回或收回情况" selectOptions="_buildInScales" controlType="Combobox" cellType="Scale" appId="_GBC_a6aa75dceb1749caaf0ac8239ed005c1"/>
      <m:item xlName="_GBC_51d5bc27b08749808719bd3440c332a4" concept="clcid-ci-ar:BiZhongMuGongSiZhuanHuiHuoShouHuiQingKuang" label="币种：母公司转回或收回情况" selectOptions="_buildInISO4217" controlType="Combobox" cellType="Measure" appId="_GBC_a6aa75dceb1749caaf0ac8239ed005c1"/>
      <m:placeholder xlName="_PLD_d8eda78450f848ac8c53761e719df794" addr="T0R0C0S1_1"/>
      <m:placeholder xlName="_PLD_e5b9b940d42148628e083552aa383c3d" addr="T0R0C1S1_1"/>
      <m:placeholder xlName="_PLD_eaaccfc5ede647ba8a8bf3ee51cda569" addr="T0R0C2S1_1"/>
      <m:tuple xlName="_TUP_2a9b7abd9ab342f0b9daec84f599de06" concept="clcid-pte:ZhuanHuiHuoShouHuiDeYingShouZhangKuanMingXi" default_row="2" addr="T0R1C">
        <m:item xlName="_GBC_1864964933f14f22a4f6ccf38231b8d0" concept="clcid-pte:ZhuanHuiHuoShouHuiDeYingShouZhangKuanMingXiDanWeiMingCheng" label="转回或收回的应收账款明细-单位名称" addr="T0R1C0S1_1" appId="_GBC_a6aa75dceb1749caaf0ac8239ed005c1">
          <m:axisValue occRef="母公司"/>
        </m:item>
        <m:item xlName="_GBC_81e4156c4b3146eca5f61dbc3d3e6bef" concept="clcid-pte:ZhuanHuiHuoShouHuiDeYingShouZhangKuanMingXiZhuanHuiHuoShouHuiJinE" label="转回或收回的应收账款明细-转回或收回金额" mulRef="_GBC_0f2ffa12bc214f5887b3dcdcdf40e2ab" unitRef="_GBC_51d5bc27b08749808719bd3440c332a4" addr="T0R1C1S1_1" formatStyle="Comma" appId="_GBC_a6aa75dceb1749caaf0ac8239ed005c1">
          <m:axisValue occRef="母公司"/>
        </m:item>
        <m:item xlName="_GBC_b9298d442792495fb917c120c5e8860c" concept="clcid-pte:ZhuanHuiHuoShouHuiDeYingShouZhangKuanMingXiShouHuiFangShi" label="转回或收回的应收账款明细-收回方式" addr="T0R1C2S1_1" appId="_GBC_a6aa75dceb1749caaf0ac8239ed005c1">
          <m:axisValue occRef="母公司"/>
        </m:item>
      </m:tuple>
      <m:placeholder xlName="_PLD_0b375d6834d647d1a88cfeeb13a12e39" addr="T0R3C0S1_1"/>
      <m:item xlName="_GBC_4c57988650344181b61f503cc2eb1369" concept="clcid-pte:HuaiZhangZhunBeiZhuanHuiHuoShouHuiJinEHeJi" label="坏账准备转回或收回金额合计" mulRef="_GBC_0f2ffa12bc214f5887b3dcdcdf40e2ab" unitRef="_GBC_51d5bc27b08749808719bd3440c332a4" addr="T0R3C1S1_1" formatStyle="Comma" appId="_GBC_a6aa75dceb1749caaf0ac8239ed005c1">
        <m:complexRule comparator="Eq" title="母公司坏账准备转回或收回金额合计" test=" $_GBC_81e4156c4b3146eca5f61dbc3d3e6bef" id="C37210223878e45eab73b9621d9996654"/>
        <m:axisValue occRef="母公司"/>
      </m:item>
      <m:item xlName="_GBC_147b0884ea4943c49082d4a127fec8ce" concept="clcid-pte:YingShouZhangKuanHuaiZhangZhunBeiZhuanHuiHuoShouHuiJinEZhongYaoDeShuoMing" label="应收账款坏账准备转回或收回金额重要的说明" appId="_GBC_a6aa75dceb1749caaf0ac8239ed005c1">
        <m:axisValue occRef="母公司"/>
      </m:item>
    </m:section>
    <m:section xlName="_GBC_72fe1bcd09e2470f910107f1e159af49" title="本报告期实际核销的应收账款情况" convertSummaryRule="NoConvert" helpId="112002207">
      <m:item xlName="_GBC_a8b9861b74fa43bdb4a98d13449f8f5e" concept="clcid-ci-ar:ShiFouShiYongMuGongSiBenQiShiJiHeXiaoDeYingShouZhangKuanQingKuang" label="是否适用：母公司本期实际核销的应收账款情况" selectOptions="_buildInAppliance" controlType="CustomCheckbox" cRanges="{&quot;StartName&quot;:&quot;_GBC_a8b9861b74fa43bdb4a98d13449f8f5e&quot;,&quot;EndName&quot;:&quot;_GBC_aaf3aaa6543846d984e1272afb995b3c&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8b9861b74fa43bdb4a98d13449f8f5e"/>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8b9861b74fa43bdb4a98d13449f8f5e"/>
      <m:placeholder xlName="_PLD_06977e71d2fd4a558bb710c9c93c8d7e" addr="T0R0C0S1_1"/>
      <m:placeholder xlName="_PLD_d549a895a6504e78a6d7b9940814436d" addr="T0R0C1S1_1"/>
      <m:placeholder xlName="_PLD_d38750470cd147d58cc07b1163eb4417"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8b9861b74fa43bdb4a98d13449f8f5e">
        <m:axisValue occRef="母公司"/>
      </m:item>
      <m:item xlName="_GBC_827c9c10930747bc8ba843d89c64f1fb" concept="clcid-ci-ar:ShiFouShiYongMuGongSiQiZhongZhongYaoDeYingShouZhangKuanHeXiaoQingKuang" label="是否适用：母公司其中重要的应收账款核销情况" selectOptions="_buildInAppliance" controlType="CustomCheckbox" cRanges="{&quot;StartName&quot;:&quot;_GBC_827c9c10930747bc8ba843d89c64f1fb&quot;,&quot;EndName&quot;:&quot;_GBC_eadde2d2f26143c68fda0c66a77368e8&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827c9c10930747bc8ba843d89c64f1fb"/>
      <m:item xlName="_GBC_e25c115617324a93949598680908bd5e" concept="clcid-ci-ar:BiZhongMuGongSiCaiWuFuZhuZhongYaoDeYingShouZhangKuanHeXiaoQingKuang" label="币种：母公司财务附注：重要的应收账款核销情况" selectOptions="_buildInISO4217" controlType="Combobox" cellType="Measure" appId="_GBC_827c9c10930747bc8ba843d89c64f1fb"/>
      <m:placeholder xlName="_PLD_ef822e79b4f744b2bfebb5ba13644c02" addr="T1R0C0S1_1"/>
      <m:placeholder xlName="_PLD_c7e063993f9f4478bcd1a8defcc467dd" addr="T1R0C1S1_1"/>
      <m:placeholder xlName="_PLD_7b53aea078f24908bf0a45041b28c094" addr="T1R0C2S1_1"/>
      <m:placeholder xlName="_PLD_690faca8f6204788aa83e4fe9af646e5" addr="T1R0C3S1_1"/>
      <m:placeholder xlName="_PLD_081c5756edf44eb38dff613405e6dbf3" addr="T1R0C4S1_1"/>
      <m:placeholder xlName="_PLD_e5dee4a72a6d48a1b9ea4fbf142f41ef"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827c9c10930747bc8ba843d89c64f1fb">
          <m:axisValue occRef="母公司"/>
        </m:item>
        <m:item xlName="_GBC_107145a032ca4e52bc8ffa6edd123a1e" concept="clcid-pte:ZhongYaoDeYingShouZhangKuanHeXiaoMingXiYingShouZhangKuanXingZhi" label="重要的应收账款核销明细-应收账款性质" addr="T1R1C1S1_1" appId="_GBC_827c9c10930747bc8ba843d89c64f1fb">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827c9c10930747bc8ba843d89c64f1fb">
          <m:axisValue occRef="母公司"/>
        </m:item>
        <m:item xlName="_GBC_7f87d8491a684f8c97e6e3f733d8b79a" concept="clcid-pte:ZhongYaoDeYingShouZhangKuanHeXiaoMingXiHeXiaoYuanYin" label="重要的应收账款核销明细-核销原因" addr="T1R1C3S1_1" appId="_GBC_827c9c10930747bc8ba843d89c64f1fb">
          <m:axisValue occRef="母公司"/>
        </m:item>
        <m:item xlName="_GBC_09fa040002cf4a419a86177a0a0d0ecf" concept="clcid-pte:ZhongYaoDeYingShouZhangKuanHeXiaoMingXiLvXingDeHeXiaoChengXu" label="重要的应收账款核销明细-履行的核销程序" addr="T1R1C4S1_1" appId="_GBC_827c9c10930747bc8ba843d89c64f1fb">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827c9c10930747bc8ba843d89c64f1fb">
          <m:axisValue occRef="母公司"/>
        </m:item>
      </m:tuple>
      <m:placeholder xlName="_PLD_cea02fcff7304f15a6a7bb0cd670d592"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827c9c10930747bc8ba843d89c64f1fb">
        <m:complexRule comparator="Eq" title="母公司重要的应收账款核销金额合计" test=" $_GBC_ffe3ab1aa5a845cdb14315444832e5fe" id="C895496da734c496f9d4be70c071d1946"/>
        <m:axisValue occRef="母公司"/>
      </m:item>
      <m:item xlName="_GBC_36d2cef3128f4b3389b38ed29442e2b3" concept="clcid-ci-ar:ShiFouShiYongMuGongSiYingShouZhangKuanHeXiaoShuoMing" label="是否适用：母公司应收账款核销说明" selectOptions="_buildInAppliance" controlType="CustomCheckbox" cRanges="{&quot;StartName&quot;:&quot;_GBC_36d2cef3128f4b3389b38ed29442e2b3&quot;,&quot;EndName&quot;:&quot;_GBC_aaf3aaa6543846d984e1272afb995b3c&quot;,&quot;CType&quot;:1,&quot;DisplayText&quot;:null}"/>
      <m:item xlName="_GBC_aaf3aaa6543846d984e1272afb995b3c" concept="clcid-pte:YingShouZhangKuanChongXiaoHuaiZhangMingXiDeShuoMing" label="应收帐款冲销坏帐明细的说明" appId="_GBC_36d2cef3128f4b3389b38ed29442e2b3">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6ebf56800d554857af86eb226ac98f28"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6ebf56800d554857af86eb226ac98f28&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6ebf56800d554857af86eb226ac98f28">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452701102453497e8ab0df8e4c523df9" concept="clcid-ci-ar:ShiFouShiYongMuGongSiYinJinRongZiChanZhuanYiErZhongZhiQueRenDeYingShouZhangKuan" label="是否适用：母公司因金融资产转移而终止确认的应收账款" selectOptions="_buildInAppliance" controlType="CustomCheckbox" cRanges="{&quot;StartName&quot;:&quot;_GBC_452701102453497e8ab0df8e4c523df9&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452701102453497e8ab0df8e4c523df9">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18ab0f336ea34b009b496f240cc35a39" concept="clcid-ci-ar:ShiFouShiYongMuGongSiZhuanYiYingShouZhangKuanQieJiXuSheRuXingChengDeZiChanFuZhaiJinE" label="是否适用：母公司转移应收账款且继续涉入形成的资产、负债金额" selectOptions="_buildInAppliance" controlType="CustomCheckbox" cRanges="{&quot;StartName&quot;:&quot;_GBC_18ab0f336ea34b009b496f240cc35a39&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18ab0f336ea34b009b496f240cc35a39">
        <m:axisValue occRef="母公司"/>
      </m:item>
    </m:section>
    <m:section xlName="_GBC_eac4abdf299a4312a10e680c5fc79ef9" title="其他说明：" helpId="112002207">
      <m:item xlName="_GBC_22a2c0a255e04aacadf1c076323bc980" concept="clcid-ci-ar:ShiFouShiYongMuGongSiYingShouZhangKuanQiTaShuoMing" label="是否适用：母公司应收账款其他说明" selectOptions="_buildInAppliance" controlType="CustomCheckbox" cRanges="{&quot;StartName&quot;:&quot;_GBC_22a2c0a255e04aacadf1c076323bc980&quot;,&quot;EndName&quot;:&quot;_GBC_050ad4436a034bc991ef13e9e868e8f8&quot;,&quot;CType&quot;:1,&quot;DisplayText&quot;:null}"/>
      <m:item xlName="_GBC_050ad4436a034bc991ef13e9e868e8f8" concept="clcid-pte:YingShouZhangKuanQiTaShuoMing" label="应收账款其他说明" appId="_GBC_22a2c0a255e04aacadf1c076323bc980">
        <m:axisValue occRef="母公司"/>
      </m:item>
    </m:section>
    <m:section xlName="_SEC_e2f0b728ae404babbb57dfbc1fafed13" title="项目列示">
      <m:item xlName="_GBC_529e259f053b47d993fd4e3216204522" concept="clcid-ci-ar:ShiFouShiYongMuGongSiQiTaYingShouKuanFenLeiLieShi" label="是否适用：母公司其他应收款分类列示" selectOptions="_buildInAppliance" controlType="CustomCheckbox" cRanges="[{&quot;StartName&quot;:&quot;_GBC_529e259f053b47d993fd4e3216204522&quot;,&quot;EndName&quot;:&quot;_GBC_a49fda555b9b4c9682e3ad5b3045d642&quot;,&quot;CType&quot;:1}]"/>
      <m:item xlName="_GBC_306e86db57e64b00a9602dc7cbf81457" concept="clcid-ci-ar:DanWeiMuGongSiQiTaYingShouKuanFenLeiLieShi" label="单位：母公司其他应收款分类列示" selectOptions="_buildInScales" controlType="Combobox" cellType="Scale" appId="_GBC_529e259f053b47d993fd4e3216204522"/>
      <m:item xlName="_GBC_cd5866350ae3491e87e9f82a7ed2a7c3" concept="clcid-ci-ar:BiZhongMuGongSiQiTaYingShouKuanFenLeiLieShi" label="币种：母公司其他应收款分类列示" selectOptions="_buildInISO4217" controlType="Combobox" cellType="Measure" appId="_GBC_529e259f053b47d993fd4e3216204522"/>
      <m:placeholder xlName="_PLD_9b14d51b79194bdea749a527966a0a2e" addr="T0R0C0S1_1"/>
      <m:placeholder xlName="_PLD_1dd12447c07a4bf5b8eef82f2f9f5577" addr="T0R0C1S1_1"/>
      <m:placeholder xlName="_PLD_2701e42352ac4ea1ae4d64adf5d28e89" addr="T0R0C2S1_1"/>
      <m:placeholder xlName="_PLD_e88397c1546740a1aa89497da3258f71" addr="T0R1C0S1_1"/>
      <m:item xlName="_GBC_c16146fbb33e4c20a40a8ed198eb0779" concept="clcid-pte:YingShouLiXi" label="应收利息" mulRef="_GBC_306e86db57e64b00a9602dc7cbf81457" unitRef="_GBC_cd5866350ae3491e87e9f82a7ed2a7c3" addr="T0R1C1S1_1" formatStyle="Comma" appId="_GBC_529e259f053b47d993fd4e3216204522">
        <m:axisValue occRef="母公司"/>
      </m:item>
      <m:item xlName="_GBC_15dc49e4a2044819ab26f51780676bee" concept="clcid-pte:YingShouLiXi" label="应收利息" periodRef="本期期初数" mulRef="_GBC_306e86db57e64b00a9602dc7cbf81457" unitRef="_GBC_cd5866350ae3491e87e9f82a7ed2a7c3" addr="T0R1C2S1_1" formatStyle="Comma" appId="_GBC_529e259f053b47d993fd4e3216204522">
        <m:axisValue occRef="母公司"/>
      </m:item>
      <m:placeholder xlName="_PLD_11d00ac8309b4e85ac5c0ecfc4e39fdf" addr="T0R2C0S1_1"/>
      <m:item xlName="_GBC_2c27997eabfa49b9a3bd13231591f3db" concept="clcid-pte:YingShouGuLi" label="应收股利" mulRef="_GBC_306e86db57e64b00a9602dc7cbf81457" unitRef="_GBC_cd5866350ae3491e87e9f82a7ed2a7c3" addr="T0R2C1S1_1" formatStyle="Comma" appId="_GBC_529e259f053b47d993fd4e3216204522">
        <m:axisValue occRef="母公司"/>
      </m:item>
      <m:item xlName="_GBC_b21535adf3014f2481efc6b0729a984b" concept="clcid-pte:YingShouGuLi" label="应收股利" periodRef="本期期初数" mulRef="_GBC_306e86db57e64b00a9602dc7cbf81457" unitRef="_GBC_cd5866350ae3491e87e9f82a7ed2a7c3" addr="T0R2C2S1_1" formatStyle="Comma" appId="_GBC_529e259f053b47d993fd4e3216204522">
        <m:axisValue occRef="母公司"/>
      </m:item>
      <m:placeholder xlName="_PLD_42c4df4453344bc0910f3b3e20b096a2" addr="T0R3C0S1_1" helpText="此处的其他应收款指扣除应收利息、应收股利后的其他应收款"/>
      <m:item xlName="_GBC_608d6ef0d69c4384b93f952eed8e6382" concept="clcid-pte:QiTaYingShouKuanZhangMianJiaZhiHeJi" label="其他应收款账面价值合计" mulRef="_GBC_306e86db57e64b00a9602dc7cbf81457" unitRef="_GBC_cd5866350ae3491e87e9f82a7ed2a7c3" addr="T0R3C1S1_1" formatStyle="Comma" helpText="此处的其他应收款指扣除应收利息、应收股利后的其他应收款" appId="_GBC_529e259f053b47d993fd4e3216204522">
        <m:axisValue occRef="母公司"/>
      </m:item>
      <m:item xlName="_GBC_80a191c085e840b79126876acf101e94" concept="clcid-pte:QiTaYingShouKuanZhangMianJiaZhiHeJi" label="其他应收款账面价值合计" periodRef="本期期初数" mulRef="_GBC_306e86db57e64b00a9602dc7cbf81457" unitRef="_GBC_cd5866350ae3491e87e9f82a7ed2a7c3" addr="T0R3C2S1_1" formatStyle="Comma" helpText="此处的其他应收款指扣除应收利息、应收股利后的其他应收款" appId="_GBC_529e259f053b47d993fd4e3216204522">
        <m:axisValue occRef="母公司"/>
      </m:item>
      <m:placeholder xlName="_PLD_657f57c42bdf4019ba2e4df3e8e8d440" addr="T0R4C0S1_1"/>
      <m:item xlName="_GBC_ad581ca4c0b347e3b64d77eadcf492f4" concept="clcid-pte:QiTaYingShouKuan" label="其他应收款" mulRef="_GBC_306e86db57e64b00a9602dc7cbf81457" unitRef="_GBC_cd5866350ae3491e87e9f82a7ed2a7c3" addr="T0R4C1S1_1" formatStyle="Comma" appId="_GBC_529e259f053b47d993fd4e3216204522">
        <m:complexRule comparator="Eq" title="其他应收款" test=" $_GBC_c16146fbb33e4c20a40a8ed198eb0779 +  $_GBC_2c27997eabfa49b9a3bd13231591f3db +  $_GBC_608d6ef0d69c4384b93f952eed8e6382" id="Ccef31507f5a84583a69e82d65fbfb5e2"/>
        <m:axisValue occRef="母公司"/>
      </m:item>
      <m:item xlName="_GBC_16ebb84268e74bd4b2b2136e67803fa8" concept="clcid-pte:QiTaYingShouKuan" label="其他应收款" periodRef="本期期初数" mulRef="_GBC_306e86db57e64b00a9602dc7cbf81457" unitRef="_GBC_cd5866350ae3491e87e9f82a7ed2a7c3" addr="T0R4C2S1_1" formatStyle="Comma" appId="_GBC_529e259f053b47d993fd4e3216204522">
        <m:complexRule comparator="Eq" title="其他应收款@本期期初数" test=" $_GBC_15dc49e4a2044819ab26f51780676bee +  $_GBC_b21535adf3014f2481efc6b0729a984b +  $_GBC_80a191c085e840b79126876acf101e94" id="Ce0acab3071204f46a7d8a760d1cbd1ec"/>
        <m:axisValue occRef="母公司"/>
      </m:item>
      <m:item xlName="_GBC_87c9afe4c5c54a4b93c9b78663bd8bf3" concept="clcid-ci-ar:ShiFouShiYongMuGongSiQiTaYingShouKuanFenLeiLieShiQiTaShuoMing" label="是否适用：母公司其他应收款分类列示其他说明" selectOptions="_buildInAppliance" controlType="CustomCheckbox" cRanges="[{&quot;StartName&quot;:&quot;_GBC_87c9afe4c5c54a4b93c9b78663bd8bf3&quot;,&quot;EndName&quot;:&quot;_GBC_a49fda555b9b4c9682e3ad5b3045d642&quot;,&quot;CType&quot;:1}]"/>
      <m:item xlName="_GBC_a49fda555b9b4c9682e3ad5b3045d642" concept="clcid-pte:QiTaYingShouKuanFenLeiLieShiQiTaShuoMing" label="其他应收款分类列示其他说明" appId="_GBC_87c9afe4c5c54a4b93c9b78663bd8bf3">
        <m:axisValue occRef="母公司"/>
      </m:item>
    </m:section>
    <m:section xlName="_SEC_91e08163b2464f8cb5d135fd131f631f" title="应收利息分类">
      <m:item xlName="_GBC_7b29d5fc39c94a909c39eedf47c8008f" concept="clcid-ci-ar:ShiFouShiYongMuGongSiYingShouLiXiFenLei" label="是否适用：母公司应收利息分类" selectOptions="_buildInAppliance" controlType="CustomCheckbox" cRanges="[{&quot;StartName&quot;:&quot;_GBC_7b29d5fc39c94a909c39eedf47c8008f&quot;,&quot;EndName&quot;:&quot;_GBC_fdf5c8369b834eec9d26ba527f16bfc0&quot;,&quot;CType&quot;:1}]"/>
      <m:item xlName="_GBC_408b4f91762b4062b2ff33bf6cd2f04a" concept="clcid-ci-ar:DanWeiMuGongSiYingShouLiXiFenLei" label="单位：母公司应收利息分类" selectOptions="_buildInScales" controlType="Combobox" cellType="Scale" appId="_GBC_7b29d5fc39c94a909c39eedf47c8008f"/>
      <m:item xlName="_GBC_d9e4522b2a3a4b999e2ea654ffe832f2" concept="clcid-ci-ar:BiZhongMuGongSiYingShouLiXiFenLei" label="币种：母公司应收利息分类" selectOptions="_buildInISO4217" controlType="Combobox" cellType="Measure" appId="_GBC_7b29d5fc39c94a909c39eedf47c8008f"/>
      <m:placeholder xlName="_PLD_8f65ffa073004814b7588e5d550e6d55" addr="T0R0C0S1_1"/>
      <m:placeholder xlName="_PLD_8d7c73e7970a4d649b30978c67eac30e" addr="T0R0C1S1_1"/>
      <m:placeholder xlName="_PLD_8e50ae20c9bb42bab157bb221e1a1d60" addr="T0R0C2S1_1"/>
      <m:placeholder xlName="_PLD_993322770b68461a9a05d819496be75e" addr="T0R1C0S1_1"/>
      <m:item xlName="_GBC_96b7401c165d4b93b93bd3b91c465bf6" concept="clcid-pte:DingQiCunKuanYingShouLiXi" label="定期存款应收利息" mulRef="_GBC_408b4f91762b4062b2ff33bf6cd2f04a" unitRef="_GBC_d9e4522b2a3a4b999e2ea654ffe832f2" addr="T0R1C1S1_1" formatStyle="Comma" appId="_GBC_7b29d5fc39c94a909c39eedf47c8008f">
        <m:axisValue occRef="母公司"/>
      </m:item>
      <m:item xlName="_GBC_c40a070e117946239855dffc8f966a00" concept="clcid-pte:DingQiCunKuanYingShouLiXi" label="定期存款应收利息" periodRef="本期期初数" mulRef="_GBC_408b4f91762b4062b2ff33bf6cd2f04a" unitRef="_GBC_d9e4522b2a3a4b999e2ea654ffe832f2" addr="T0R1C2S1_1" formatStyle="Comma" appId="_GBC_7b29d5fc39c94a909c39eedf47c8008f">
        <m:axisValue occRef="母公司"/>
      </m:item>
      <m:placeholder xlName="_PLD_5c80041458084005ba79799c069b6a80" addr="T0R2C0S1_1"/>
      <m:item xlName="_GBC_3cf2d47b144e42b2928b99a2d6c10a2b" concept="clcid-pte:WeiTuoDaiKuanYingShouLiXi" label="委托贷款应收利息" mulRef="_GBC_408b4f91762b4062b2ff33bf6cd2f04a" unitRef="_GBC_d9e4522b2a3a4b999e2ea654ffe832f2" addr="T0R2C1S1_1" formatStyle="Comma" appId="_GBC_7b29d5fc39c94a909c39eedf47c8008f">
        <m:axisValue occRef="母公司"/>
      </m:item>
      <m:item xlName="_GBC_0d5b1aedc6a84a73a5ccce03f7fa4dd8" concept="clcid-pte:WeiTuoDaiKuanYingShouLiXi" label="委托贷款应收利息" periodRef="本期期初数" mulRef="_GBC_408b4f91762b4062b2ff33bf6cd2f04a" unitRef="_GBC_d9e4522b2a3a4b999e2ea654ffe832f2" addr="T0R2C2S1_1" formatStyle="Comma" appId="_GBC_7b29d5fc39c94a909c39eedf47c8008f">
        <m:axisValue occRef="母公司"/>
      </m:item>
      <m:placeholder xlName="_PLD_98c8decfd4f147f1ab3cfcfb4dd4f63a" addr="T0R3C0S1_1"/>
      <m:item xlName="_GBC_4d7cb8a1b4ab4b3f999513437a66f3f8" concept="clcid-pte:ZhaiQuanTouZiYingShouLiXi" label="债券投资应收利息" mulRef="_GBC_408b4f91762b4062b2ff33bf6cd2f04a" unitRef="_GBC_d9e4522b2a3a4b999e2ea654ffe832f2" addr="T0R3C1S1_1" formatStyle="Comma" appId="_GBC_7b29d5fc39c94a909c39eedf47c8008f">
        <m:axisValue occRef="母公司"/>
      </m:item>
      <m:item xlName="_GBC_8d36c4920bab4735a2322b22ca033ce2" concept="clcid-pte:ZhaiQuanTouZiYingShouLiXi" label="债券投资应收利息" periodRef="本期期初数" mulRef="_GBC_408b4f91762b4062b2ff33bf6cd2f04a" unitRef="_GBC_d9e4522b2a3a4b999e2ea654ffe832f2" addr="T0R3C2S1_1" formatStyle="Comma" appId="_GBC_7b29d5fc39c94a909c39eedf47c8008f">
        <m:axisValue occRef="母公司"/>
      </m:item>
      <m:tuple xlName="_TUP_982ca42804af4c67affad02172ac76ee" concept="clcid-pte:YingShouLiXiMingXi" default_row="2" addr="T0R4C">
        <m:item xlName="_GBC_303847c3b5a8461695dceb1733e48085" concept="clcid-pte:YingShouLiXiXiangMu" label="应收利息项目" addr="T0R4C0S1_1" appId="_GBC_7b29d5fc39c94a909c39eedf47c8008f">
          <m:axisValue occRef="母公司"/>
        </m:item>
        <m:item xlName="_GBC_788fc810358745ecac16284bf1dd07ad" concept="clcid-pte:YingShouLiXiJinE" label="应收利息金额" mulRef="_GBC_408b4f91762b4062b2ff33bf6cd2f04a" unitRef="_GBC_d9e4522b2a3a4b999e2ea654ffe832f2" addr="T0R4C1S1_1" formatStyle="Comma" appId="_GBC_7b29d5fc39c94a909c39eedf47c8008f">
          <m:axisValue occRef="母公司"/>
        </m:item>
        <m:item xlName="_GBC_dacac9d5d3dc48ebb6b72a80cd7f1072" concept="clcid-pte:YingShouLiXiJinE" label="应收利息金额" periodRef="本期期初数" mulRef="_GBC_408b4f91762b4062b2ff33bf6cd2f04a" unitRef="_GBC_d9e4522b2a3a4b999e2ea654ffe832f2" addr="T0R4C2S1_1" formatStyle="Comma" appId="_GBC_7b29d5fc39c94a909c39eedf47c8008f">
          <m:axisValue occRef="母公司"/>
        </m:item>
      </m:tuple>
      <m:placeholder xlName="_PLD_6b8d66cbd97048a6ac7807011ad94717" addr="T0R6C0S1_1"/>
      <m:item xlName="_GBC_938d6a2c969741249f641932d1892f22" concept="clcid-pte:YingShouLiXi" label="应收利息" mulRef="_GBC_408b4f91762b4062b2ff33bf6cd2f04a" unitRef="_GBC_d9e4522b2a3a4b999e2ea654ffe832f2" addr="T0R6C1S1_1" formatStyle="Comma" appId="_GBC_7b29d5fc39c94a909c39eedf47c8008f">
        <m:complexRule comparator="Eq" title="应收利息" test=" $_GBC_96b7401c165d4b93b93bd3b91c465bf6 +  $_GBC_3cf2d47b144e42b2928b99a2d6c10a2b +  $_GBC_4d7cb8a1b4ab4b3f999513437a66f3f8 +  $_GBC_788fc810358745ecac16284bf1dd07ad" id="C23857f0a941e4cfdb9073ff3912a07c4"/>
        <m:axisValue occRef="母公司"/>
      </m:item>
      <m:item xlName="_GBC_fdf5c8369b834eec9d26ba527f16bfc0" concept="clcid-pte:YingShouLiXi" label="应收利息" periodRef="本期期初数" mulRef="_GBC_408b4f91762b4062b2ff33bf6cd2f04a" unitRef="_GBC_d9e4522b2a3a4b999e2ea654ffe832f2" addr="T0R6C2S1_1" formatStyle="Comma" appId="_GBC_7b29d5fc39c94a909c39eedf47c8008f">
        <m:complexRule comparator="Eq" title="应收利息@本期期初数" test=" $_GBC_c40a070e117946239855dffc8f966a00 +  $_GBC_0d5b1aedc6a84a73a5ccce03f7fa4dd8 +  $_GBC_8d36c4920bab4735a2322b22ca033ce2 +  $_GBC_dacac9d5d3dc48ebb6b72a80cd7f1072" id="C928ea65005cf4f3da5cb16504a8f82ec"/>
        <m:axisValue occRef="母公司"/>
      </m:item>
    </m:section>
    <m:section xlName="_SEC_e80bd789f30b40de829902e04129ef49" title="重要逾期利息">
      <m:item xlName="_GBC_2527ddfc737d4b8c8fa3ca7d6387408d" concept="clcid-ci-ar:ShiFouShiYongMuGongSiZhongYaoYuQiLiXi" label="是否适用：母公司重要逾期利息" selectOptions="_buildInAppliance" controlType="CustomCheckbox" cRanges="[{&quot;StartName&quot;:&quot;_GBC_2527ddfc737d4b8c8fa3ca7d6387408d&quot;,&quot;EndName&quot;:&quot;_GBC_2b833524f8d44a83b8ae2c0c4a2a4500&quot;,&quot;CType&quot;:1}]"/>
      <m:item xlName="_GBC_4264fabe7dea4e739b95d5002b25e360" concept="clcid-ci-ar:DanWeiMuGongSiZhongYaoYuQiLiXi" label="单位：母公司重要逾期利息" selectOptions="_buildInScales" controlType="Combobox" cellType="Scale" appId="_GBC_2527ddfc737d4b8c8fa3ca7d6387408d"/>
      <m:item xlName="_GBC_07851debaf07493989d798ce7f4ecbc6" concept="clcid-ci-ar:BiZhongMuGongSiZhongYaoYuQiLiXi" label="币种：母公司重要逾期利息" selectOptions="_buildInISO4217" controlType="Combobox" cellType="Measure" appId="_GBC_2527ddfc737d4b8c8fa3ca7d6387408d"/>
      <m:placeholder xlName="_PLD_1e9ef27b9e9640988e70aca2d2401c74" addr="T0R0C0S1_1"/>
      <m:placeholder xlName="_PLD_a2624a28fdf040558179f7797119296f" addr="T0R0C1S1_1"/>
      <m:placeholder xlName="_PLD_ac4ab5be46834d0eb37cab36364a53d6" addr="T0R0C2S1_1"/>
      <m:placeholder xlName="_PLD_c1e2f97caf0d4dedb0308e78a303ca9e" addr="T0R0C3S1_1"/>
      <m:placeholder xlName="_PLD_b3b406b3433b48afb552d58e9ceaeedc" addr="T0R0C4S1_1"/>
      <m:tuple xlName="_TUP_ce2148e247b74579a41f88d6c7dfb9db" concept="clcid-pte:YuQiLiXiMingXi" default_row="2" addr="T0R1C">
        <m:item xlName="_GBC_3c7556f703664e0a84f652f1eb9ce108" concept="clcid-pte:YuQiLiXiMingXiDaiKuanDanWei" label="逾期利息明细-贷款单位" addr="T0R1C0S1_1" appId="_GBC_2527ddfc737d4b8c8fa3ca7d6387408d">
          <m:axisValue occRef="母公司"/>
        </m:item>
        <m:item xlName="_GBC_f267384305694c44b7df5b0348245d0f" concept="clcid-pte:YuQiLiXiMingXiJinE" label="逾期利息明细-金额" mulRef="_GBC_4264fabe7dea4e739b95d5002b25e360" unitRef="_GBC_07851debaf07493989d798ce7f4ecbc6" addr="T0R1C1S1_1" formatStyle="Comma" appId="_GBC_2527ddfc737d4b8c8fa3ca7d6387408d">
          <m:axisValue occRef="母公司"/>
        </m:item>
        <m:item xlName="_GBC_eefaab281fab46ab808c418ff728b231" concept="clcid-pte:YuQiLiXiMingXiYuQiShiJian" label="逾期利息明细-逾期时间" addr="T0R1C2S1_1" appId="_GBC_2527ddfc737d4b8c8fa3ca7d6387408d">
          <m:axisValue occRef="母公司"/>
        </m:item>
        <m:item xlName="_GBC_9bb73569d7e74669b92b6d9a271c18a5" concept="clcid-pte:YuQiLiXiMingXiYuQiYuanYin" label="逾期利息明细-逾期原因" addr="T0R1C3S1_1" appId="_GBC_2527ddfc737d4b8c8fa3ca7d6387408d">
          <m:axisValue occRef="母公司"/>
        </m:item>
        <m:item xlName="_GBC_96a8554dd7ff449ab699f5622dccc5e7" concept="clcid-pte:YuQiLiXiMingXiShiFouFaShengJianZhiJiQiPanDuanYiJu" label="逾期利息明细-是否发生减值及其判断依据" selectOptions="_buildInYesNo" addr="T0R1C4S1_1" controlType="Combobox" appId="_GBC_2527ddfc737d4b8c8fa3ca7d6387408d">
          <m:axisValue occRef="母公司"/>
        </m:item>
      </m:tuple>
      <m:placeholder xlName="_PLD_2ca1f0be581d4831a094187bc24c7bde" addr="T0R3C0S1_1"/>
      <m:item xlName="_GBC_2b833524f8d44a83b8ae2c0c4a2a4500" concept="clcid-pte:YuQiLiXiJinEHeJi" label="逾期利息金额合计" mulRef="_GBC_4264fabe7dea4e739b95d5002b25e360" unitRef="_GBC_07851debaf07493989d798ce7f4ecbc6" addr="T0R3C1S1_1" formatStyle="Comma" appId="_GBC_2527ddfc737d4b8c8fa3ca7d6387408d">
        <m:complexRule comparator="Eq" title="逾期利息金额合计" test=" $_GBC_f267384305694c44b7df5b0348245d0f" id="C3925a88ab7e24bb49cdf248b2e99ad41"/>
        <m:axisValue occRef="母公司"/>
      </m:item>
    </m:section>
    <m:section xlName="_SEC_ce38368754b54030878f7a4b3d48648e" title="坏账准备计提情况">
      <m:item xlName="_GBC_051d1f4329834464b99226954bb8040d" concept="clcid-ci-ar:ShiFouShiYongMuGongSiYingShouLiXiHuaiZhangZhunBeiTiaoJieBiao" label="是否适用：母公司应收利息坏账准备调节表" selectOptions="_buildInAppliance" controlType="CustomCheckbox" cRanges="[{&quot;StartName&quot;:&quot;_GBC_051d1f4329834464b99226954bb8040d&quot;,&quot;EndName&quot;:&quot;_GBC_e10c791cc3524294907eeb010c979091&quot;,&quot;CType&quot;:1}]"/>
      <m:item xlName="_GBC_91d0e50dfc6e4042b45f3f826280f750" concept="clcid-ci-ar:DanWeiMuGongSiYingShouLiXiHuaiZhangZhunBeiTiaoJieBiao" label="单位：母公司应收利息坏账准备调节表" selectOptions="_buildInScales" controlType="Combobox" cellType="Scale" appId="_GBC_051d1f4329834464b99226954bb8040d"/>
      <m:item xlName="_GBC_c6fcf42899c94105a43e5a0649e48385" concept="clcid-ci-ar:BiZhongMuGongSiYingShouLiXiHuaiZhangZhunBeiTiaoJieBiao" label="币种：母公司应收利息坏账准备调节表" selectOptions="_buildInISO4217" controlType="Combobox" cellType="Measure" appId="_GBC_051d1f4329834464b99226954bb8040d"/>
      <m:placeholder xlName="_PLD_a31d03a8c6c94789a214d56dc4545f88" addr="T0R0C0S2_1"/>
      <m:placeholder xlName="_PLD_ed78d7d0799747c79998ff3accf1efc6" addr="T0R0C1S1_1"/>
      <m:placeholder xlName="_PLD_d17dcc770cb043cbb83989cc189b0148" addr="T0R0C2S1_1"/>
      <m:placeholder xlName="_PLD_c78e4f24fa634fd79e6e3d7e8a2c2242" addr="T0R0C3S1_1"/>
      <m:placeholder xlName="_PLD_20e4adc8bc374e19a8c658607c78832d" addr="T0R0C4S2_1"/>
      <m:placeholder xlName="_PLD_27951ef790924bc79d00dd6419552c09" addr="T0R1C1S1_1"/>
      <m:placeholder xlName="_PLD_af54e5421fff4e4caf2986c4b520f5a2" addr="T0R1C2S1_1"/>
      <m:placeholder xlName="_PLD_1960fa0b0f1d4c66a3ad5452de1bba80" addr="T0R1C3S1_1"/>
      <m:placeholder xlName="_PLD_547e61bcefe2405bb109e7cba8e3082e" addr="T0R2C0S1_1"/>
      <m:item xlName="_GBC_c148720946dd475689a728a34671a049" concept="clcid-pte:YingShouLiXiHuaiZhangZhunBeiDiYiJieDuan" label="应收利息坏账准备（第一阶段）" periodRef="本期期初数" mulRef="_GBC_91d0e50dfc6e4042b45f3f826280f750" unitRef="_GBC_c6fcf42899c94105a43e5a0649e48385" addr="T0R2C1S1_1" formatStyle="Comma" appId="_GBC_051d1f4329834464b99226954bb8040d">
        <m:axisValue occRef="母公司"/>
      </m:item>
      <m:item xlName="_GBC_44e6e1791a324655b8febf45436a7a19" concept="clcid-pte:YingShouLiXiHuaiZhangZhunBeiDiErJieDuan" label="应收利息坏账准备（第二阶段）" periodRef="本期期初数" mulRef="_GBC_91d0e50dfc6e4042b45f3f826280f750" unitRef="_GBC_c6fcf42899c94105a43e5a0649e48385" addr="T0R2C2S1_1" formatStyle="Comma" appId="_GBC_051d1f4329834464b99226954bb8040d">
        <m:axisValue occRef="母公司"/>
      </m:item>
      <m:item xlName="_GBC_d3770c4776fa4175bd87292fefb77e95" concept="clcid-pte:YingShouLiXiHuaiZhangZhunBeiDiSanJieDuan" label="应收利息坏账准备（第三阶段）" periodRef="本期期初数" mulRef="_GBC_91d0e50dfc6e4042b45f3f826280f750" unitRef="_GBC_c6fcf42899c94105a43e5a0649e48385" addr="T0R2C3S1_1" formatStyle="Comma" appId="_GBC_051d1f4329834464b99226954bb8040d">
        <m:axisValue occRef="母公司"/>
      </m:item>
      <m:item xlName="_GBC_f95e978e3fa3443fa020c80eb13db409" concept="clcid-pte:YingShouLiXiHuaiZhangZhunBei" label="应收利息坏账准备" periodRef="本期期初数" mulRef="_GBC_91d0e50dfc6e4042b45f3f826280f750" unitRef="_GBC_c6fcf42899c94105a43e5a0649e48385" addr="T0R2C4S1_1" formatStyle="Comma" appId="_GBC_051d1f4329834464b99226954bb8040d">
        <m:axisValue occRef="母公司"/>
      </m:item>
      <m:placeholder xlName="_PLD_9280825b075041a2b964e4236a61317e" addr="T0R3C0S1_1"/>
      <m:item xlName="_GBC_49bdfeb240864acd987a5f14138f1819" concept="clcid-pte:YingShouLiXiHuaiZhangZhunBeiBenQiZhuanRuHuoZhuanHuiDiYiJieDuan" label="应收利息坏账准备本期转入或转回（第一阶段）" mulRef="_GBC_91d0e50dfc6e4042b45f3f826280f750" unitRef="_GBC_c6fcf42899c94105a43e5a0649e48385" addr="T0R3C1S1_1" formatStyle="Comma" appId="_GBC_051d1f4329834464b99226954bb8040d">
        <m:axisValue occRef="母公司"/>
      </m:item>
      <m:item xlName="_GBC_3b30fa2ca4734c1d961431150fda9b03" concept="clcid-pte:YingShouLiXiHuaiZhangZhunBeiBenQiZhuanRuHuoZhuanHuiDiErJieDuan" label="应收利息坏账准备本期转入或转回（第二阶段）" mulRef="_GBC_91d0e50dfc6e4042b45f3f826280f750" unitRef="_GBC_c6fcf42899c94105a43e5a0649e48385" addr="T0R3C2S1_1" formatStyle="Comma" appId="_GBC_051d1f4329834464b99226954bb8040d">
        <m:axisValue occRef="母公司"/>
      </m:item>
      <m:item xlName="_GBC_99eced32a01644748cd298f047aaf102" concept="clcid-pte:YingShouLiXiHuaiZhangZhunBeiBenQiZhuanRuHuoZhuanHuiDiSanJieDuan" label="应收利息坏账准备本期转入或转回（第三阶段）" mulRef="_GBC_91d0e50dfc6e4042b45f3f826280f750" unitRef="_GBC_c6fcf42899c94105a43e5a0649e48385" addr="T0R3C3S1_1" formatStyle="Comma" appId="_GBC_051d1f4329834464b99226954bb8040d">
        <m:axisValue occRef="母公司"/>
      </m:item>
      <m:item xlName="_GBC_d26fe73207d6464696a85c37c1041c88" concept="clcid-pte:YingShouLiXiHuaiZhangZhunBeiBenQiZhuanRuHuoZhuanHuiJieDuanHeJi" label="应收利息坏账准备本期转入或转回阶段合计" mulRef="_GBC_91d0e50dfc6e4042b45f3f826280f750" unitRef="_GBC_c6fcf42899c94105a43e5a0649e48385" addr="T0R3C4S1_1" formatStyle="Comma" appId="_GBC_051d1f4329834464b99226954bb8040d">
        <m:axisValue occRef="母公司"/>
      </m:item>
      <m:placeholder xlName="_PLD_80c176ede9964979bce374b7b66d2c47" addr="T0R4C0S1_1"/>
      <m:item xlName="_GBC_5eb7828e246b43469a58bbb78754ecb6" concept="clcid-pte:YingShouLiXiHuaiZhangZhunBeiBenQiZhuanRuDiErJieDuanDiYiJieDuan" label="应收利息坏账准备本期转入第二阶段（第一阶段）" mulRef="_GBC_91d0e50dfc6e4042b45f3f826280f750" unitRef="_GBC_c6fcf42899c94105a43e5a0649e48385" addr="T0R4C1S1_1" formatStyle="Comma" appId="_GBC_051d1f4329834464b99226954bb8040d">
        <m:axisValue occRef="母公司"/>
      </m:item>
      <m:item xlName="_GBC_22df06a4cdbc4758bd4230c38c669d2f" concept="clcid-pte:YingShouLiXiHuaiZhangZhunBeiBenQiZhuanRuDiErJieDuanDiErJieDuan" label="应收利息坏账准备本期转入第二阶段（第二阶段）" mulRef="_GBC_91d0e50dfc6e4042b45f3f826280f750" unitRef="_GBC_c6fcf42899c94105a43e5a0649e48385" addr="T0R4C2S1_1" formatStyle="Comma" appId="_GBC_051d1f4329834464b99226954bb8040d">
        <m:axisValue occRef="母公司"/>
      </m:item>
      <m:item xlName="_GBC_f5f4f9bcb62445de94b52dc46f7b3cec" concept="clcid-pte:YingShouLiXiHuaiZhangZhunBeiBenQiZhuanRuDiErJieDuanDiSanJieDuan" label="应收利息坏账准备本期转入第二阶段（第三阶段）" mulRef="_GBC_91d0e50dfc6e4042b45f3f826280f750" unitRef="_GBC_c6fcf42899c94105a43e5a0649e48385" addr="T0R4C3S1_1" formatStyle="Comma" appId="_GBC_051d1f4329834464b99226954bb8040d">
        <m:axisValue occRef="母公司"/>
      </m:item>
      <m:item xlName="_GBC_941c891467084ae2a31f863205251f21" concept="clcid-pte:YingShouLiXiHuaiZhangZhunBeiBenQiZhuanRuDiErJieDuanJieDuanHeJi" label="应收利息坏账准备本期转入第二阶段阶段合计" mulRef="_GBC_91d0e50dfc6e4042b45f3f826280f750" unitRef="_GBC_c6fcf42899c94105a43e5a0649e48385" addr="T0R4C4S1_1" formatStyle="Comma" appId="_GBC_051d1f4329834464b99226954bb8040d">
        <m:axisValue occRef="母公司"/>
      </m:item>
      <m:placeholder xlName="_PLD_7beeedd017a34c1298bd4308d17e6457" addr="T0R5C0S1_1"/>
      <m:item xlName="_GBC_8679ea45770142308829fc8c9ad93e7c" concept="clcid-pte:YingShouLiXiHuaiZhangZhunBeiBenQiZhuanRuDiSanJieDuanDiYiJieDuan" label="应收利息坏账准备本期转入第三阶段（第一阶段）" mulRef="_GBC_91d0e50dfc6e4042b45f3f826280f750" unitRef="_GBC_c6fcf42899c94105a43e5a0649e48385" addr="T0R5C1S1_1" formatStyle="Comma" appId="_GBC_051d1f4329834464b99226954bb8040d">
        <m:axisValue occRef="母公司"/>
      </m:item>
      <m:item xlName="_GBC_85c3eb0417f8440bb441eb43a4e7eecf" concept="clcid-pte:YingShouLiXiHuaiZhangZhunBeiBenQiZhuanRuDiSanJieDuanDiErJieDuan" label="应收利息坏账准备本期转入第三阶段（第二阶段）" mulRef="_GBC_91d0e50dfc6e4042b45f3f826280f750" unitRef="_GBC_c6fcf42899c94105a43e5a0649e48385" addr="T0R5C2S1_1" formatStyle="Comma" appId="_GBC_051d1f4329834464b99226954bb8040d">
        <m:axisValue occRef="母公司"/>
      </m:item>
      <m:item xlName="_GBC_5c9a0e9ea176459cb5de54d9ff8f76fa" concept="clcid-pte:YingShouLiXiHuaiZhangZhunBeiBenQiZhuanRuDiSanJieDuanDiSanJieDuan" label="应收利息坏账准备本期转入第三阶段（第三阶段）" mulRef="_GBC_91d0e50dfc6e4042b45f3f826280f750" unitRef="_GBC_c6fcf42899c94105a43e5a0649e48385" addr="T0R5C3S1_1" formatStyle="Comma" appId="_GBC_051d1f4329834464b99226954bb8040d">
        <m:axisValue occRef="母公司"/>
      </m:item>
      <m:item xlName="_GBC_23172acdf4894a91a40e2b539d7c2eda" concept="clcid-pte:YingShouLiXiHuaiZhangZhunBeiBenQiZhuanRuDiSanJieDuanJieDuanHeJi" label="应收利息坏账准备本期转入第三阶段阶段合计" mulRef="_GBC_91d0e50dfc6e4042b45f3f826280f750" unitRef="_GBC_c6fcf42899c94105a43e5a0649e48385" addr="T0R5C4S1_1" formatStyle="Comma" appId="_GBC_051d1f4329834464b99226954bb8040d">
        <m:axisValue occRef="母公司"/>
      </m:item>
      <m:placeholder xlName="_PLD_21ab0652461a4b5db5c9d9beb471f0f7" addr="T0R6C0S1_1"/>
      <m:item xlName="_GBC_db73dec25eed4bb3b2ff06de4f431439" concept="clcid-pte:YingShouLiXiHuaiZhangZhunBeiBenQiZhuanHuiDiErJieDuanDiYiJieDuan" label="应收利息坏账准备本期转回第二阶段（第一阶段）" mulRef="_GBC_91d0e50dfc6e4042b45f3f826280f750" unitRef="_GBC_c6fcf42899c94105a43e5a0649e48385" addr="T0R6C1S1_1" formatStyle="Comma" appId="_GBC_051d1f4329834464b99226954bb8040d">
        <m:axisValue occRef="母公司"/>
      </m:item>
      <m:item xlName="_GBC_0f896c94964247d2883376475be2217c" concept="clcid-pte:YingShouLiXiHuaiZhangZhunBeiBenQiZhuanHuiDiErJieDuanDiErJieDuan" label="应收利息坏账准备本期转回第二阶段（第二阶段）" mulRef="_GBC_91d0e50dfc6e4042b45f3f826280f750" unitRef="_GBC_c6fcf42899c94105a43e5a0649e48385" addr="T0R6C2S1_1" formatStyle="Comma" appId="_GBC_051d1f4329834464b99226954bb8040d">
        <m:axisValue occRef="母公司"/>
      </m:item>
      <m:item xlName="_GBC_a8348677770f427db809a3903dbec608" concept="clcid-pte:YingShouLiXiHuaiZhangZhunBeiBenQiZhuanHuiDiErJieDuanDiSanJieDuan" label="应收利息坏账准备本期转回第二阶段（第三阶段）" mulRef="_GBC_91d0e50dfc6e4042b45f3f826280f750" unitRef="_GBC_c6fcf42899c94105a43e5a0649e48385" addr="T0R6C3S1_1" formatStyle="Comma" appId="_GBC_051d1f4329834464b99226954bb8040d">
        <m:axisValue occRef="母公司"/>
      </m:item>
      <m:item xlName="_GBC_58d6d81cdd8f4e4dbeea46a70dba1f9b" concept="clcid-pte:YingShouLiXiHuaiZhangZhunBeiBenQiZhuanHuiDiErJieDuanJieDuanHeJi" label="应收利息坏账准备本期转回第二阶段阶段合计" mulRef="_GBC_91d0e50dfc6e4042b45f3f826280f750" unitRef="_GBC_c6fcf42899c94105a43e5a0649e48385" addr="T0R6C4S1_1" formatStyle="Comma" appId="_GBC_051d1f4329834464b99226954bb8040d">
        <m:axisValue occRef="母公司"/>
      </m:item>
      <m:placeholder xlName="_PLD_f3da6e9a5e384ac68a22c4a7bed46b8f" addr="T0R7C0S1_1"/>
      <m:item xlName="_GBC_a81ec3c98e62469090b09d518b8a1c94" concept="clcid-pte:YingShouLiXiHuaiZhangZhunBeiBenQiZhuanHuiDiYiJieDuanDiYiJieDuan" label="应收利息坏账准备本期转回第一阶段（第一阶段）" mulRef="_GBC_91d0e50dfc6e4042b45f3f826280f750" unitRef="_GBC_c6fcf42899c94105a43e5a0649e48385" addr="T0R7C1S1_1" formatStyle="Comma" appId="_GBC_051d1f4329834464b99226954bb8040d">
        <m:axisValue occRef="母公司"/>
      </m:item>
      <m:item xlName="_GBC_e134bacbfcc14850a098fd1fa1291154" concept="clcid-pte:YingShouLiXiHuaiZhangZhunBeiBenQiZhuanHuiDiYiJieDuanDiErJieDuan" label="应收利息坏账准备本期转回第一阶段（第二阶段）" mulRef="_GBC_91d0e50dfc6e4042b45f3f826280f750" unitRef="_GBC_c6fcf42899c94105a43e5a0649e48385" addr="T0R7C2S1_1" formatStyle="Comma" appId="_GBC_051d1f4329834464b99226954bb8040d">
        <m:axisValue occRef="母公司"/>
      </m:item>
      <m:item xlName="_GBC_cad72b9f414e444088d55737e038503d" concept="clcid-pte:YingShouLiXiHuaiZhangZhunBeiBenQiZhuanHuiDiYiJieDuanDiSanJieDuan" label="应收利息坏账准备本期转回第一阶段（第三阶段）" mulRef="_GBC_91d0e50dfc6e4042b45f3f826280f750" unitRef="_GBC_c6fcf42899c94105a43e5a0649e48385" addr="T0R7C3S1_1" formatStyle="Comma" appId="_GBC_051d1f4329834464b99226954bb8040d">
        <m:axisValue occRef="母公司"/>
      </m:item>
      <m:item xlName="_GBC_34ab028dceb14c2484af2539839e7a71" concept="clcid-pte:YingShouLiXiHuaiZhangZhunBeiBenQiZhuanHuiDiYiJieDuanJieDuanHeJi" label="应收利息坏账准备本期转回第一阶段阶段合计" mulRef="_GBC_91d0e50dfc6e4042b45f3f826280f750" unitRef="_GBC_c6fcf42899c94105a43e5a0649e48385" addr="T0R7C4S1_1" formatStyle="Comma" appId="_GBC_051d1f4329834464b99226954bb8040d">
        <m:axisValue occRef="母公司"/>
      </m:item>
      <m:placeholder xlName="_PLD_585d333337ef415eaf1163f926d9970e" addr="T0R8C0S1_1"/>
      <m:item xlName="_GBC_f27ceaa17ffa4894a8f65a61a726164f" concept="clcid-pte:YingShouLiXiHuaiZhangZhunBeiBenQiXinZengJiTiDiYiJieDuan" label="应收利息坏账准备本期新增计提（第一阶段）" mulRef="_GBC_91d0e50dfc6e4042b45f3f826280f750" unitRef="_GBC_c6fcf42899c94105a43e5a0649e48385" addr="T0R8C1S1_1" formatStyle="Comma" appId="_GBC_051d1f4329834464b99226954bb8040d">
        <m:axisValue occRef="母公司"/>
      </m:item>
      <m:item xlName="_GBC_68878b24ed1447de9fb76274a8b6bc3a" concept="clcid-pte:YingShouLiXiHuaiZhangZhunBeiBenQiXinZengJiTiDiErJieDuan" label="应收利息坏账准备本期新增计提（第二阶段）" mulRef="_GBC_91d0e50dfc6e4042b45f3f826280f750" unitRef="_GBC_c6fcf42899c94105a43e5a0649e48385" addr="T0R8C2S1_1" formatStyle="Comma" appId="_GBC_051d1f4329834464b99226954bb8040d">
        <m:axisValue occRef="母公司"/>
      </m:item>
      <m:item xlName="_GBC_d040a03d03c64f1386972ce795eb1694" concept="clcid-pte:YingShouLiXiHuaiZhangZhunBeiBenQiXinZengJiTiDiSanJieDuan" label="应收利息坏账准备本期新增计提（第三阶段）" mulRef="_GBC_91d0e50dfc6e4042b45f3f826280f750" unitRef="_GBC_c6fcf42899c94105a43e5a0649e48385" addr="T0R8C3S1_1" formatStyle="Comma" appId="_GBC_051d1f4329834464b99226954bb8040d">
        <m:axisValue occRef="母公司"/>
      </m:item>
      <m:item xlName="_GBC_f4dba85b3fa44aa694224e4297db7929" concept="clcid-pte:YingShouLiXiHuaiZhangZhunBeiBenQiXinZengJiTiJieDuanHeJi" label="应收利息坏账准备本期新增计提阶段合计" mulRef="_GBC_91d0e50dfc6e4042b45f3f826280f750" unitRef="_GBC_c6fcf42899c94105a43e5a0649e48385" addr="T0R8C4S1_1" formatStyle="Comma" appId="_GBC_051d1f4329834464b99226954bb8040d">
        <m:axisValue occRef="母公司"/>
      </m:item>
      <m:placeholder xlName="_PLD_c38dca7099fb4bc2b2a106593a4ff33c" addr="T0R9C0S1_1"/>
      <m:item xlName="_GBC_5d2bbce1e86340639b3e05e097c7496c" concept="clcid-pte:YingShouLiXiHuaiZhangZhunBeiBenQiZhuanHuiDiYiJieDuan" label="应收利息坏账准备本期转回（第一阶段）" mulRef="_GBC_91d0e50dfc6e4042b45f3f826280f750" unitRef="_GBC_c6fcf42899c94105a43e5a0649e48385" addr="T0R9C1S1_1" formatStyle="Comma" appId="_GBC_051d1f4329834464b99226954bb8040d">
        <m:axisValue occRef="母公司"/>
      </m:item>
      <m:item xlName="_GBC_ee8e120afd7f4ca68aed3f8b37798b02" concept="clcid-pte:YingShouLiXiHuaiZhangZhunBeiBenQiZhuanHuiDiErJieDuan" label="应收利息坏账准备本期转回（第二阶段）" mulRef="_GBC_91d0e50dfc6e4042b45f3f826280f750" unitRef="_GBC_c6fcf42899c94105a43e5a0649e48385" addr="T0R9C2S1_1" formatStyle="Comma" appId="_GBC_051d1f4329834464b99226954bb8040d">
        <m:axisValue occRef="母公司"/>
      </m:item>
      <m:item xlName="_GBC_c6c30d88519545fcba96c2bb3fee9274" concept="clcid-pte:YingShouLiXiHuaiZhangZhunBeiBenQiZhuanHuiDiSanJieDuan" label="应收利息坏账准备本期转回（第三阶段）" mulRef="_GBC_91d0e50dfc6e4042b45f3f826280f750" unitRef="_GBC_c6fcf42899c94105a43e5a0649e48385" addr="T0R9C3S1_1" formatStyle="Comma" appId="_GBC_051d1f4329834464b99226954bb8040d">
        <m:axisValue occRef="母公司"/>
      </m:item>
      <m:item xlName="_GBC_64468c205cd242dcbc6f99509aa8e746" concept="clcid-pte:YingShouLiXiHuaiZhangZhunBeiBenQiZhuanHuiJieDuanHeJi" label="应收利息坏账准备本期转回阶段合计" mulRef="_GBC_91d0e50dfc6e4042b45f3f826280f750" unitRef="_GBC_c6fcf42899c94105a43e5a0649e48385" addr="T0R9C4S1_1" formatStyle="Comma" appId="_GBC_051d1f4329834464b99226954bb8040d">
        <m:axisValue occRef="母公司"/>
      </m:item>
      <m:placeholder xlName="_PLD_1e019604ee4a4f76849cc2b49ecd47f0" addr="T0R10C0S1_1"/>
      <m:item xlName="_GBC_eba7f5645e7840488726eff28c9e0161" concept="clcid-pte:YingShouLiXiHuaiZhangZhunBeiBenQiZhuanXiaoDiYiJieDuan" label="应收利息坏账准备本期转销（第一阶段）" mulRef="_GBC_91d0e50dfc6e4042b45f3f826280f750" unitRef="_GBC_c6fcf42899c94105a43e5a0649e48385" addr="T0R10C1S1_1" formatStyle="Comma" appId="_GBC_051d1f4329834464b99226954bb8040d">
        <m:axisValue occRef="母公司"/>
      </m:item>
      <m:item xlName="_GBC_0a5d3b2b754b47ff9d2533e00039edcb" concept="clcid-pte:YingShouLiXiHuaiZhangZhunBeiBenQiZhuanXiaoDiErJieDuan" label="应收利息坏账准备本期转销（第二阶段）" mulRef="_GBC_91d0e50dfc6e4042b45f3f826280f750" unitRef="_GBC_c6fcf42899c94105a43e5a0649e48385" addr="T0R10C2S1_1" formatStyle="Comma" appId="_GBC_051d1f4329834464b99226954bb8040d">
        <m:axisValue occRef="母公司"/>
      </m:item>
      <m:item xlName="_GBC_6fdee152336742c6833acf2bbddb20c3" concept="clcid-pte:YingShouLiXiHuaiZhangZhunBeiBenQiZhuanXiaoDiSanJieDuan" label="应收利息坏账准备本期转销（第三阶段）" mulRef="_GBC_91d0e50dfc6e4042b45f3f826280f750" unitRef="_GBC_c6fcf42899c94105a43e5a0649e48385" addr="T0R10C3S1_1" formatStyle="Comma" appId="_GBC_051d1f4329834464b99226954bb8040d">
        <m:axisValue occRef="母公司"/>
      </m:item>
      <m:item xlName="_GBC_e8c085b6dd0743b79a63105aefbc326a" concept="clcid-pte:YingShouLiXiHuaiZhangZhunBeiBenQiZhuanXiaoJieDuanHeJi" label="应收利息坏账准备本期转销阶段合计" mulRef="_GBC_91d0e50dfc6e4042b45f3f826280f750" unitRef="_GBC_c6fcf42899c94105a43e5a0649e48385" addr="T0R10C4S1_1" formatStyle="Comma" appId="_GBC_051d1f4329834464b99226954bb8040d">
        <m:axisValue occRef="母公司"/>
      </m:item>
      <m:placeholder xlName="_PLD_321ace74746845afbeccd687db7aa64e" addr="T0R11C0S1_1"/>
      <m:item xlName="_GBC_8717ab7186fb40cda0a6df30081e05e2" concept="clcid-pte:YingShouLiXiHuaiZhangZhunBeiBenQiHeXiaoDiYiJieDuan" label="应收利息坏账准备本期核销（第一阶段）" mulRef="_GBC_91d0e50dfc6e4042b45f3f826280f750" unitRef="_GBC_c6fcf42899c94105a43e5a0649e48385" addr="T0R11C1S1_1" formatStyle="Comma" appId="_GBC_051d1f4329834464b99226954bb8040d">
        <m:axisValue occRef="母公司"/>
      </m:item>
      <m:item xlName="_GBC_a84ce7047082487ba963a2d7dcae93d9" concept="clcid-pte:YingShouLiXiHuaiZhangZhunBeiBenQiHeXiaoDiErJieDuan" label="应收利息坏账准备本期核销（第二阶段）" mulRef="_GBC_91d0e50dfc6e4042b45f3f826280f750" unitRef="_GBC_c6fcf42899c94105a43e5a0649e48385" addr="T0R11C2S1_1" formatStyle="Comma" appId="_GBC_051d1f4329834464b99226954bb8040d">
        <m:axisValue occRef="母公司"/>
      </m:item>
      <m:item xlName="_GBC_0b2b3ce26f4e4c2bb25524d3e8b3f8e8" concept="clcid-pte:YingShouLiXiHuaiZhangZhunBeiBenQiHeXiaoDiSanJieDuan" label="应收利息坏账准备本期核销（第三阶段）" mulRef="_GBC_91d0e50dfc6e4042b45f3f826280f750" unitRef="_GBC_c6fcf42899c94105a43e5a0649e48385" addr="T0R11C3S1_1" formatStyle="Comma" appId="_GBC_051d1f4329834464b99226954bb8040d">
        <m:axisValue occRef="母公司"/>
      </m:item>
      <m:item xlName="_GBC_1f97f301a4ce47caa34dfaad77b894ce" concept="clcid-pte:YingShouLiXiHuaiZhangZhunBeiBenQiHeXiaoJieDuanHeJi" label="应收利息坏账准备本期核销阶段合计" mulRef="_GBC_91d0e50dfc6e4042b45f3f826280f750" unitRef="_GBC_c6fcf42899c94105a43e5a0649e48385" addr="T0R11C4S1_1" formatStyle="Comma" appId="_GBC_051d1f4329834464b99226954bb8040d">
        <m:axisValue occRef="母公司"/>
      </m:item>
      <m:placeholder xlName="_PLD_40176b8e8edc41f6921f9b1264ca90ad" addr="T0R12C0S1_1"/>
      <m:item xlName="_GBC_89f966669cc3492ba3a34320a78f6240" concept="clcid-pte:YingShouLiXiHuaiZhangZhunBeiBenQiQiTaBianDongDiYiJieDuan" label="应收利息坏账准备本期其他变动（第一阶段）" mulRef="_GBC_91d0e50dfc6e4042b45f3f826280f750" unitRef="_GBC_c6fcf42899c94105a43e5a0649e48385" addr="T0R12C1S1_1" formatStyle="Comma" appId="_GBC_051d1f4329834464b99226954bb8040d">
        <m:axisValue occRef="母公司"/>
      </m:item>
      <m:item xlName="_GBC_0382f5c0c2464589aa1439b358c3fcf2" concept="clcid-pte:YingShouLiXiHuaiZhangZhunBeiBenQiQiTaBianDongDiErJieDuan" label="应收利息坏账准备本期其他变动（第二阶段）" mulRef="_GBC_91d0e50dfc6e4042b45f3f826280f750" unitRef="_GBC_c6fcf42899c94105a43e5a0649e48385" addr="T0R12C2S1_1" formatStyle="Comma" appId="_GBC_051d1f4329834464b99226954bb8040d">
        <m:axisValue occRef="母公司"/>
      </m:item>
      <m:item xlName="_GBC_997075b763184c2ebcbf7955be59dbac" concept="clcid-pte:YingShouLiXiHuaiZhangZhunBeiBenQiQiTaBianDongDiSanJieDuan" label="应收利息坏账准备本期其他变动（第三阶段）" mulRef="_GBC_91d0e50dfc6e4042b45f3f826280f750" unitRef="_GBC_c6fcf42899c94105a43e5a0649e48385" addr="T0R12C3S1_1" formatStyle="Comma" appId="_GBC_051d1f4329834464b99226954bb8040d">
        <m:axisValue occRef="母公司"/>
      </m:item>
      <m:item xlName="_GBC_d508c85217b34cb9a08a067a88dd8dca" concept="clcid-pte:YingShouLiXiHuaiZhangZhunBeiBenQiQiTaBianDongJieDuanHeJi" label="应收利息坏账准备本期其他变动阶段合计" mulRef="_GBC_91d0e50dfc6e4042b45f3f826280f750" unitRef="_GBC_c6fcf42899c94105a43e5a0649e48385" addr="T0R12C4S1_1" formatStyle="Comma" appId="_GBC_051d1f4329834464b99226954bb8040d">
        <m:axisValue occRef="母公司"/>
      </m:item>
      <m:placeholder xlName="_PLD_7fb23627da614557acf857cbfd6c2aef" addr="T0R13C0S1_1"/>
      <m:item xlName="_GBC_b5c939d4b4c947759734b6aab31c09f6" concept="clcid-pte:YingShouLiXiHuaiZhangZhunBeiDiYiJieDuan" label="应收利息坏账准备（第一阶段）" mulRef="_GBC_91d0e50dfc6e4042b45f3f826280f750" unitRef="_GBC_c6fcf42899c94105a43e5a0649e48385" addr="T0R13C1S1_1" formatStyle="Comma" appId="_GBC_051d1f4329834464b99226954bb8040d">
        <m:axisValue occRef="母公司"/>
      </m:item>
      <m:item xlName="_GBC_69108c498bae40038c653c4f73d751b6" concept="clcid-pte:YingShouLiXiHuaiZhangZhunBeiDiErJieDuan" label="应收利息坏账准备（第二阶段）" mulRef="_GBC_91d0e50dfc6e4042b45f3f826280f750" unitRef="_GBC_c6fcf42899c94105a43e5a0649e48385" addr="T0R13C2S1_1" formatStyle="Comma" appId="_GBC_051d1f4329834464b99226954bb8040d">
        <m:axisValue occRef="母公司"/>
      </m:item>
      <m:item xlName="_GBC_32244f9c42334fd69f45efada385ebd1" concept="clcid-pte:YingShouLiXiHuaiZhangZhunBeiDiSanJieDuan" label="应收利息坏账准备（第三阶段）" mulRef="_GBC_91d0e50dfc6e4042b45f3f826280f750" unitRef="_GBC_c6fcf42899c94105a43e5a0649e48385" addr="T0R13C3S1_1" formatStyle="Comma" appId="_GBC_051d1f4329834464b99226954bb8040d">
        <m:axisValue occRef="母公司"/>
      </m:item>
      <m:item xlName="_GBC_584f26185bab46bca71eebf51631f573" concept="clcid-pte:YingShouLiXiHuaiZhangZhunBei" label="应收利息坏账准备" mulRef="_GBC_91d0e50dfc6e4042b45f3f826280f750" unitRef="_GBC_c6fcf42899c94105a43e5a0649e48385" addr="T0R13C4S1_1" formatStyle="Comma" appId="_GBC_051d1f4329834464b99226954bb8040d">
        <m:axisValue occRef="母公司"/>
      </m:item>
      <m:item xlName="_GBC_f5bf34a2ff3e412f91098237fdd60e5f"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f5bf34a2ff3e412f91098237fdd60e5f&quot;,&quot;EndName&quot;:&quot;_GBC_e10c791cc3524294907eeb010c979091&quot;,&quot;CType&quot;:1}]"/>
      <m:item xlName="_GBC_e10c791cc3524294907eeb010c979091" concept="clcid-pte:YingShouLiXiBenQiFaShengSunShiZhunBeiBianDongQieZhangMianYuEXianZhuBianDongDeQingKuangShuoMing" label="应收利息本期发生损失准备变动且账面余额显著变动的情况说明" appId="_GBC_f5bf34a2ff3e412f91098237fdd60e5f">
        <m:axisValue occRef="母公司"/>
      </m:item>
    </m:section>
    <m:section xlName="_SEC_ad2b0daa52af481d8a56e5f8f2ccc52e" title="其他说明：">
      <m:item xlName="_GBC_936c374258514f469f2c9bb36b889c43" concept="clcid-ci-ar:ShiFouShiYongMuGongSiYingShouLiXiQiTaShuoMing" label="是否适用：母公司应收利息其他说明" selectOptions="_buildInAppliance" controlType="CustomCheckbox" cRanges="[{&quot;StartName&quot;:&quot;_GBC_936c374258514f469f2c9bb36b889c43&quot;,&quot;EndName&quot;:&quot;_GBC_615220208d82476ba953310e879c18bb&quot;,&quot;CType&quot;:1}]"/>
      <m:item xlName="_GBC_615220208d82476ba953310e879c18bb" concept="clcid-pte:YingShouLiXiDeShuoMing" label="应收利息的说明" appId="_GBC_936c374258514f469f2c9bb36b889c43">
        <m:axisValue occRef="母公司"/>
      </m:item>
    </m:section>
    <m:section xlName="_SEC_18f0cc3557ff45749d07d7a27d7c9620" title="应收股利">
      <m:item xlName="_GBC_3f36acb68ddd426b990a146c5c14da80" concept="clcid-ci-ar:ShiFouShiYongMuGongSiYingShouGuLi" label="是否适用：母公司应收股利" selectOptions="_buildInAppliance" controlType="CustomCheckbox" cRanges="[{&quot;StartName&quot;:&quot;_GBC_3f36acb68ddd426b990a146c5c14da80&quot;,&quot;EndName&quot;:&quot;_GBC_77f1f6d8ea2d437686c7b280854714c1&quot;,&quot;CType&quot;:1}]"/>
      <m:item xlName="_GBC_e366134590994916ad440e1f86811baf" concept="clcid-ci-ar:DanWeiMuGongSiYingShouGuLi" label="单位：母公司应收股利" selectOptions="_buildInScales" controlType="Combobox" cellType="Scale" appId="_GBC_3f36acb68ddd426b990a146c5c14da80"/>
      <m:item xlName="_GBC_775e6a0d5c9a4f36b4b0b9f8ccda5bad" concept="clcid-ci-ar:BiZhongMuGongSiYingShouGuLi" label="币种：母公司应收股利" selectOptions="_buildInISO4217" controlType="Combobox" cellType="Measure" appId="_GBC_3f36acb68ddd426b990a146c5c14da80"/>
      <m:placeholder xlName="_PLD_b87c7fccab6c455e8950ee7fa77c8733" addr="T0R0C0S1_1"/>
      <m:placeholder xlName="_PLD_71bd546e51944d7e86945cae947ca7e3" addr="T0R0C1S1_1"/>
      <m:placeholder xlName="_PLD_a057b5b882e84e6e85ec2267d16598c0" addr="T0R0C2S1_1"/>
      <m:tuple xlName="_TUP_1ff5f8f45a2949f1b9c94eaf933424a7" concept="clcid-pte:YingShouGuLiMingXi" default_row="2" addr="T0R1C">
        <m:item xlName="_GBC_bb8337923a144430bd5c70d3fa9ef4ee" concept="clcid-pte:YingShouGuLiXiangMu" label="应收股利项目" addr="T0R1C0S1_1" appId="_GBC_3f36acb68ddd426b990a146c5c14da80">
          <m:axisValue occRef="母公司"/>
        </m:item>
        <m:item xlName="_GBC_e762ee92beb5489ab67e80cecc667a56" concept="clcid-pte:YingShouGuLiJinE" label="应收股利金额" mulRef="_GBC_e366134590994916ad440e1f86811baf" unitRef="_GBC_775e6a0d5c9a4f36b4b0b9f8ccda5bad" addr="T0R1C1S1_1" formatStyle="Comma" appId="_GBC_3f36acb68ddd426b990a146c5c14da80">
          <m:axisValue occRef="母公司"/>
        </m:item>
        <m:item xlName="_GBC_77c0a877b8b544639afedc28a5291db5" concept="clcid-pte:YingShouGuLiJinE" label="应收股利金额" periodRef="本期期初数" mulRef="_GBC_e366134590994916ad440e1f86811baf" unitRef="_GBC_775e6a0d5c9a4f36b4b0b9f8ccda5bad" addr="T0R1C2S1_1" formatStyle="Comma" appId="_GBC_3f36acb68ddd426b990a146c5c14da80">
          <m:axisValue occRef="母公司"/>
        </m:item>
      </m:tuple>
      <m:placeholder xlName="_PLD_e1484a84dae543fcb190b5d5f8a4e713" addr="T0R3C0S1_1"/>
      <m:item xlName="_GBC_61db59175637415286fbc5da1eb28670" concept="clcid-pte:YingShouGuLi" label="应收股利" mulRef="_GBC_e366134590994916ad440e1f86811baf" unitRef="_GBC_775e6a0d5c9a4f36b4b0b9f8ccda5bad" addr="T0R3C1S1_1" formatStyle="Comma" appId="_GBC_3f36acb68ddd426b990a146c5c14da80">
        <m:complexRule comparator="Eq" title="应收股利" test=" $_GBC_e762ee92beb5489ab67e80cecc667a56" id="C9bee3eddca63416284ac062dd0c9897b"/>
        <m:axisValue occRef="母公司"/>
      </m:item>
      <m:item xlName="_GBC_77f1f6d8ea2d437686c7b280854714c1" concept="clcid-pte:YingShouGuLi" label="应收股利" periodRef="本期期初数" mulRef="_GBC_e366134590994916ad440e1f86811baf" unitRef="_GBC_775e6a0d5c9a4f36b4b0b9f8ccda5bad" addr="T0R3C2S1_1" formatStyle="Comma" appId="_GBC_3f36acb68ddd426b990a146c5c14da80">
        <m:complexRule comparator="Eq" title="应收股利@本期期初数" test=" $_GBC_77c0a877b8b544639afedc28a5291db5" id="Ccf98bd74b41149c1b1e3dce7807ff168"/>
        <m:axisValue occRef="母公司"/>
      </m:item>
    </m:section>
    <m:section xlName="_SEC_ccfd129beeb14f31b282a062cd845e5e" title="重要的账龄超过1年的应收股利">
      <m:item xlName="_GBC_5ce593c40926400393bed620009e5006" concept="clcid-ci-ar:ShiFouShiYongMuGongSiZhongYaoDeZhangLingChaoGuo1NianDeYingShouGuLi" label="是否适用：母公司重要的账龄超过1年的应收股利" selectOptions="_buildInAppliance" controlType="CustomCheckbox" cRanges="[{&quot;StartName&quot;:&quot;_GBC_5ce593c40926400393bed620009e5006&quot;,&quot;EndName&quot;:&quot;_GBC_af3c973ad3f94b6f9db848081c0d8f2f&quot;,&quot;CType&quot;:1}]"/>
      <m:item xlName="_GBC_09188aa6f5ff485991c423defe329875" concept="clcid-ci-ar:DanWeiMuGongSiZhongYaoDeZhangLingChaoGuo1NianDeYingShouGuLi" label="单位：母公司重要的账龄超过1年的应收股利" selectOptions="_buildInScales" controlType="Combobox" cellType="Scale" appId="_GBC_5ce593c40926400393bed620009e5006"/>
      <m:item xlName="_GBC_228261b7a6c74be6bb1887c8be9607e9" concept="clcid-ci-ar:BiZhongMuGongSiZhongYaoDeZhangLingChaoGuo1NianDeYingShouGuLi" label="币种：母公司重要的账龄超过1年的应收股利" selectOptions="_buildInISO4217" controlType="Combobox" cellType="Measure" appId="_GBC_5ce593c40926400393bed620009e5006"/>
      <m:placeholder xlName="_PLD_2864c81ef88b4613912acc52345d3ba1" addr="T0R0C0S1_1"/>
      <m:placeholder xlName="_PLD_b05f476471f44abd8478bfab2f3c522f" addr="T0R0C1S1_1"/>
      <m:placeholder xlName="_PLD_184ea8a4ee2d4969bf52a5e9b113334b" addr="T0R0C2S1_1"/>
      <m:placeholder xlName="_PLD_5118cdcaebf348a2a460626e6d895e83" addr="T0R0C3S1_1"/>
      <m:placeholder xlName="_PLD_6b70580f3c734de79a8c5b19dc50eeed" addr="T0R0C4S1_1"/>
      <m:tuple xlName="_TUP_8a4f09e5e4284919bbd44c0886dde541" concept="clcid-pte:ZhangLingYiNianYiShangDeYingShouGuLiMingXi" default_row="2" addr="T0R1C">
        <m:item xlName="_GBC_3204043b738c4b43b14c88dd087b61c4" concept="clcid-pte:ZhangLingYiNianYiShangDeYingShouGuLiMingXiXiangMu" label="账龄一年以上的应收股利明细-项目" addr="T0R1C0S1_1" appId="_GBC_5ce593c40926400393bed620009e5006">
          <m:axisValue occRef="母公司"/>
        </m:item>
        <m:item xlName="_GBC_5b20772214df4e7680304afc8bc436d0" concept="clcid-pte:ZhangLingYiNianYiShangDeYingShouGuLiMingXiJinE" label="账龄一年以上的应收股利明细-金额" mulRef="_GBC_09188aa6f5ff485991c423defe329875" unitRef="_GBC_228261b7a6c74be6bb1887c8be9607e9" addr="T0R1C1S1_1" formatStyle="Comma" appId="_GBC_5ce593c40926400393bed620009e5006">
          <m:axisValue occRef="母公司"/>
        </m:item>
        <m:item xlName="_GBC_5b5ffa2cf12d4f8a87f30d37db109a81" concept="clcid-pte:ZhangLingYiNianYiShangDeYingShouGuLiMingXiZhangLing" label="账龄一年以上的应收股利明细-账龄" addr="T0R1C2S1_1" appId="_GBC_5ce593c40926400393bed620009e5006">
          <m:axisValue occRef="母公司"/>
        </m:item>
        <m:item xlName="_GBC_d567e4b3d89742c6b8641af5cc037147" concept="clcid-pte:ZhangLingYiNianYiShangDeYingShouGuLiMingXiWeiShouHuiDeYuanYin" label="账龄一年以上的应收股利明细-未收回的原因" addr="T0R1C3S1_1" appId="_GBC_5ce593c40926400393bed620009e5006">
          <m:axisValue occRef="母公司"/>
        </m:item>
        <m:item xlName="_GBC_2d305898769643e79f4e7041dbb3da60" concept="clcid-pte:ZhangLingYiNianYiShangDeYingShouGuLiMingXiXiangGuanKuanXiangShiFouFaShengJianZhiJiQiPanDuanYiJu" label="账龄一年以上的应收股利明细-相关款项是否发生减值及其判断依据" selectOptions="_buildInYesNo" addr="T0R1C4S1_1" controlType="Combobox" appId="_GBC_5ce593c40926400393bed620009e5006">
          <m:axisValue occRef="母公司"/>
        </m:item>
      </m:tuple>
      <m:placeholder xlName="_PLD_2cfd081a6d9a41aca2f3f973d84c14ac" addr="T0R3C0S1_1"/>
      <m:item xlName="_GBC_af3c973ad3f94b6f9db848081c0d8f2f" concept="clcid-pte:ZhangLingYiNianYiShangDeYingShouGuLi" label="账龄一年以上的应收股利" mulRef="_GBC_09188aa6f5ff485991c423defe329875" unitRef="_GBC_228261b7a6c74be6bb1887c8be9607e9" addr="T0R3C1S1_1" formatStyle="Comma" appId="_GBC_5ce593c40926400393bed620009e5006">
        <m:complexRule comparator="Eq" title="账龄一年以上的应收股利" test=" $_GBC_5b20772214df4e7680304afc8bc436d0" id="Cbf3feb0876b146e9927194431b36610b"/>
        <m:axisValue occRef="母公司"/>
      </m:item>
    </m:section>
    <m:section xlName="_SEC_3d41530a7b3d408cbfe627f818ea914c" title="坏账准备计提情况">
      <m:item xlName="_GBC_9d130aecb6cb4874ac083fcdce5ee739" concept="clcid-ci-ar:ShiFouShiYongMuGongSiYingShouGuLiHuaiZhangZhunBeiTiaoJieBiao" label="是否适用：母公司应收股利坏账准备调节表" selectOptions="_buildInAppliance" controlType="CustomCheckbox" cRanges="[{&quot;StartName&quot;:&quot;_GBC_9d130aecb6cb4874ac083fcdce5ee739&quot;,&quot;EndName&quot;:&quot;_GBC_efc147d73ebb4dffb5c687414786de61&quot;,&quot;CType&quot;:1}]"/>
      <m:item xlName="_GBC_eac39dbdbbaf489fba6c52caa6a3378a" concept="clcid-ci-ar:DanWeiMuGongSiYingShouGuLiHuaiZhangZhunBeiTiaoJieBiao" label="单位：母公司应收股利坏账准备调节表" selectOptions="_buildInScales" controlType="Combobox" cellType="Scale" appId="_GBC_9d130aecb6cb4874ac083fcdce5ee739"/>
      <m:item xlName="_GBC_bb2d135fd3d04eb4a7862d2afc968eea" concept="clcid-ci-ar:BiZhongMuGongSiYingShouGuLiHuaiZhangZhunBeiTiaoJieBiao" label="币种：母公司应收股利坏账准备调节表" selectOptions="_buildInISO4217" controlType="Combobox" cellType="Measure" appId="_GBC_9d130aecb6cb4874ac083fcdce5ee739"/>
      <m:placeholder xlName="_PLD_eec2e190ca654f898d813215917b195d" addr="T0R0C0S2_1"/>
      <m:placeholder xlName="_PLD_7da4c78ebe384cb3b77b6d26441b43f6" addr="T0R0C1S1_1"/>
      <m:placeholder xlName="_PLD_c497e191720d468c9a64e824961a9d3c" addr="T0R0C2S1_1"/>
      <m:placeholder xlName="_PLD_e1070eefdc5942f59215f316439de4af" addr="T0R0C3S1_1"/>
      <m:placeholder xlName="_PLD_fdef873cdff245958ac90b14baaff9d8" addr="T0R0C4S2_1"/>
      <m:placeholder xlName="_PLD_9639cdcd4db64d9ab1203103777d827f" addr="T0R1C1S1_1"/>
      <m:placeholder xlName="_PLD_8dece4c7ad984778bbb567c7ca516ef8" addr="T0R1C2S1_1"/>
      <m:placeholder xlName="_PLD_11dddfcb2195410499cac8f93497c0a5" addr="T0R1C3S1_1"/>
      <m:placeholder xlName="_PLD_e92d1a4c8cfd480e8fea0751ad0423e9" addr="T0R2C0S1_1"/>
      <m:item xlName="_GBC_f8aa7103dd684340b19d05370cfd50bc" concept="clcid-pte:YingShouGuLiHuaiZhangZhunBeiDiYiJieDuan" label="应收股利坏账准备（第一阶段）" periodRef="本期期初数" mulRef="_GBC_eac39dbdbbaf489fba6c52caa6a3378a" unitRef="_GBC_bb2d135fd3d04eb4a7862d2afc968eea" addr="T0R2C1S1_1" formatStyle="Comma" appId="_GBC_9d130aecb6cb4874ac083fcdce5ee739">
        <m:axisValue occRef="母公司"/>
      </m:item>
      <m:item xlName="_GBC_d381eaec8f97469aa0f8b0d0dae6700f" concept="clcid-pte:YingShouGuLiHuaiZhangZhunBeiDiErJieDuan" label="应收股利坏账准备（第二阶段）" periodRef="本期期初数" mulRef="_GBC_eac39dbdbbaf489fba6c52caa6a3378a" unitRef="_GBC_bb2d135fd3d04eb4a7862d2afc968eea" addr="T0R2C2S1_1" formatStyle="Comma" appId="_GBC_9d130aecb6cb4874ac083fcdce5ee739">
        <m:axisValue occRef="母公司"/>
      </m:item>
      <m:item xlName="_GBC_e957a081089d4085a34fa23c6c537973" concept="clcid-pte:YingShouGuLiHuaiZhangZhunBeiDiSanJieDuan" label="应收股利坏账准备（第三阶段）" periodRef="本期期初数" mulRef="_GBC_eac39dbdbbaf489fba6c52caa6a3378a" unitRef="_GBC_bb2d135fd3d04eb4a7862d2afc968eea" addr="T0R2C3S1_1" formatStyle="Comma" appId="_GBC_9d130aecb6cb4874ac083fcdce5ee739">
        <m:axisValue occRef="母公司"/>
      </m:item>
      <m:item xlName="_GBC_5b457641f65c4d61b652c52aef9fb89b" concept="clcid-pte:YingShouGuLiHuaiZhangZhunBei" label="应收股利坏账准备" periodRef="本期期初数" mulRef="_GBC_eac39dbdbbaf489fba6c52caa6a3378a" unitRef="_GBC_bb2d135fd3d04eb4a7862d2afc968eea" addr="T0R2C4S1_1" formatStyle="Comma" appId="_GBC_9d130aecb6cb4874ac083fcdce5ee739">
        <m:axisValue occRef="母公司"/>
      </m:item>
      <m:placeholder xlName="_PLD_5b9c10f155eb4d6aa8fb59110f3c12ee" addr="T0R3C0S1_1"/>
      <m:item xlName="_GBC_38907cc74356448d93122da8a9ead2ff" concept="clcid-pte:YingShouGuLiHuaiZhangZhunBeiBenQiZhuanRuHuoZhuanHuiDiYiJieDuan" label="应收股利坏账准备本期转入或转回（第一阶段）" mulRef="_GBC_eac39dbdbbaf489fba6c52caa6a3378a" unitRef="_GBC_bb2d135fd3d04eb4a7862d2afc968eea" addr="T0R3C1S1_1" formatStyle="Comma" appId="_GBC_9d130aecb6cb4874ac083fcdce5ee739">
        <m:axisValue occRef="母公司"/>
      </m:item>
      <m:item xlName="_GBC_6b326aaddb2d4b7bb8d5021b0f551812" concept="clcid-pte:YingShouGuLiHuaiZhangZhunBeiBenQiZhuanRuHuoZhuanHuiDiErJieDuan" label="应收股利坏账准备本期转入或转回（第二阶段）" mulRef="_GBC_eac39dbdbbaf489fba6c52caa6a3378a" unitRef="_GBC_bb2d135fd3d04eb4a7862d2afc968eea" addr="T0R3C2S1_1" formatStyle="Comma" appId="_GBC_9d130aecb6cb4874ac083fcdce5ee739">
        <m:axisValue occRef="母公司"/>
      </m:item>
      <m:item xlName="_GBC_d6d92226a7544f478e4324ec94b3458a" concept="clcid-pte:YingShouGuLiHuaiZhangZhunBeiBenQiZhuanRuHuoZhuanHuiDiSanJieDuan" label="应收股利坏账准备本期转入或转回（第三阶段）" mulRef="_GBC_eac39dbdbbaf489fba6c52caa6a3378a" unitRef="_GBC_bb2d135fd3d04eb4a7862d2afc968eea" addr="T0R3C3S1_1" formatStyle="Comma" appId="_GBC_9d130aecb6cb4874ac083fcdce5ee739">
        <m:axisValue occRef="母公司"/>
      </m:item>
      <m:item xlName="_GBC_0c2c9d35666f4e5f859064bfe5c6e97a" concept="clcid-pte:YingShouGuLiHuaiZhangZhunBeiBenQiZhuanRuHuoZhuanHuiJieDuanHeJi" label="应收股利坏账准备本期转入或转回阶段合计" mulRef="_GBC_eac39dbdbbaf489fba6c52caa6a3378a" unitRef="_GBC_bb2d135fd3d04eb4a7862d2afc968eea" addr="T0R3C4S1_1" formatStyle="Comma" appId="_GBC_9d130aecb6cb4874ac083fcdce5ee739">
        <m:axisValue occRef="母公司"/>
      </m:item>
      <m:placeholder xlName="_PLD_59c38928029444c19a136a06684c6310" addr="T0R4C0S1_1"/>
      <m:item xlName="_GBC_5e68da1adb394371b422be096149f712" concept="clcid-pte:YingShouGuLiHuaiZhangZhunBeiBenQiZhuanRuDiErJieDuanDiYiJieDuan" label="应收股利坏账准备本期转入第二阶段（第一阶段）" mulRef="_GBC_eac39dbdbbaf489fba6c52caa6a3378a" unitRef="_GBC_bb2d135fd3d04eb4a7862d2afc968eea" addr="T0R4C1S1_1" formatStyle="Comma" appId="_GBC_9d130aecb6cb4874ac083fcdce5ee739">
        <m:axisValue occRef="母公司"/>
      </m:item>
      <m:item xlName="_GBC_120b3626de3041d2a72dacf6a77e7057" concept="clcid-pte:YingShouGuLiHuaiZhangZhunBeiBenQiZhuanRuDiErJieDuanDiErJieDuan" label="应收股利坏账准备本期转入第二阶段（第二阶段）" mulRef="_GBC_eac39dbdbbaf489fba6c52caa6a3378a" unitRef="_GBC_bb2d135fd3d04eb4a7862d2afc968eea" addr="T0R4C2S1_1" formatStyle="Comma" appId="_GBC_9d130aecb6cb4874ac083fcdce5ee739">
        <m:axisValue occRef="母公司"/>
      </m:item>
      <m:item xlName="_GBC_d967761aee7e4b02ad3a715c06e3c0da" concept="clcid-pte:YingShouGuLiHuaiZhangZhunBeiBenQiZhuanRuDiErJieDuanDiSanJieDuan" label="应收股利坏账准备本期转入第二阶段（第三阶段）" mulRef="_GBC_eac39dbdbbaf489fba6c52caa6a3378a" unitRef="_GBC_bb2d135fd3d04eb4a7862d2afc968eea" addr="T0R4C3S1_1" formatStyle="Comma" appId="_GBC_9d130aecb6cb4874ac083fcdce5ee739">
        <m:axisValue occRef="母公司"/>
      </m:item>
      <m:item xlName="_GBC_03bde0591db546a69e00c1fd56cd9c49" concept="clcid-pte:YingShouGuLiHuaiZhangZhunBeiBenQiZhuanRuDiErJieDuanJieDuanHeJi" label="应收股利坏账准备本期转入第二阶段阶段合计" mulRef="_GBC_eac39dbdbbaf489fba6c52caa6a3378a" unitRef="_GBC_bb2d135fd3d04eb4a7862d2afc968eea" addr="T0R4C4S1_1" formatStyle="Comma" appId="_GBC_9d130aecb6cb4874ac083fcdce5ee739">
        <m:axisValue occRef="母公司"/>
      </m:item>
      <m:placeholder xlName="_PLD_28818985dbd243b5a784035e8e1088bf" addr="T0R5C0S1_1"/>
      <m:item xlName="_GBC_54d3bbd733ca4022aa7d7918e5991f4d" concept="clcid-pte:YingShouGuLiHuaiZhangZhunBeiBenQiZhuanRuDiSanJieDuanDiYiJieDuan" label="应收股利坏账准备本期转入第三阶段（第一阶段）" mulRef="_GBC_eac39dbdbbaf489fba6c52caa6a3378a" unitRef="_GBC_bb2d135fd3d04eb4a7862d2afc968eea" addr="T0R5C1S1_1" formatStyle="Comma" appId="_GBC_9d130aecb6cb4874ac083fcdce5ee739">
        <m:axisValue occRef="母公司"/>
      </m:item>
      <m:item xlName="_GBC_56a9330f29824458b2e04743bae0f68f" concept="clcid-pte:YingShouGuLiHuaiZhangZhunBeiBenQiZhuanRuDiSanJieDuanDiErJieDuan" label="应收股利坏账准备本期转入第三阶段（第二阶段）" mulRef="_GBC_eac39dbdbbaf489fba6c52caa6a3378a" unitRef="_GBC_bb2d135fd3d04eb4a7862d2afc968eea" addr="T0R5C2S1_1" formatStyle="Comma" appId="_GBC_9d130aecb6cb4874ac083fcdce5ee739">
        <m:axisValue occRef="母公司"/>
      </m:item>
      <m:item xlName="_GBC_8afe5978f4564af594802e39ccaf7432" concept="clcid-pte:YingShouGuLiHuaiZhangZhunBeiBenQiZhuanRuDiSanJieDuanDiSanJieDuan" label="应收股利坏账准备本期转入第三阶段（第三阶段）" mulRef="_GBC_eac39dbdbbaf489fba6c52caa6a3378a" unitRef="_GBC_bb2d135fd3d04eb4a7862d2afc968eea" addr="T0R5C3S1_1" formatStyle="Comma" appId="_GBC_9d130aecb6cb4874ac083fcdce5ee739">
        <m:axisValue occRef="母公司"/>
      </m:item>
      <m:item xlName="_GBC_942b8f55aa4d4713a24f8fc95f41792d" concept="clcid-pte:YingShouGuLiHuaiZhangZhunBeiBenQiZhuanRuDiSanJieDuanJieDuanHeJi" label="应收股利坏账准备本期转入第三阶段阶段合计" mulRef="_GBC_eac39dbdbbaf489fba6c52caa6a3378a" unitRef="_GBC_bb2d135fd3d04eb4a7862d2afc968eea" addr="T0R5C4S1_1" formatStyle="Comma" appId="_GBC_9d130aecb6cb4874ac083fcdce5ee739">
        <m:axisValue occRef="母公司"/>
      </m:item>
      <m:placeholder xlName="_PLD_b5049cf1c0bb4fa7b3ec065594e76507" addr="T0R6C0S1_1"/>
      <m:item xlName="_GBC_a146f11287884effac556e6517400d43" concept="clcid-pte:YingShouGuLiHuaiZhangZhunBeiBenQiZhuanHuiDiErJieDuanDiYiJieDuan" label="应收股利坏账准备本期转回第二阶段（第一阶段）" mulRef="_GBC_eac39dbdbbaf489fba6c52caa6a3378a" unitRef="_GBC_bb2d135fd3d04eb4a7862d2afc968eea" addr="T0R6C1S1_1" formatStyle="Comma" appId="_GBC_9d130aecb6cb4874ac083fcdce5ee739">
        <m:axisValue occRef="母公司"/>
      </m:item>
      <m:item xlName="_GBC_f80cf0b2609946ceaa2612dbcf4c16d3" concept="clcid-pte:YingShouGuLiHuaiZhangZhunBeiBenQiZhuanHuiDiErJieDuanDiErJieDuan" label="应收股利坏账准备本期转回第二阶段（第二阶段）" mulRef="_GBC_eac39dbdbbaf489fba6c52caa6a3378a" unitRef="_GBC_bb2d135fd3d04eb4a7862d2afc968eea" addr="T0R6C2S1_1" formatStyle="Comma" appId="_GBC_9d130aecb6cb4874ac083fcdce5ee739">
        <m:axisValue occRef="母公司"/>
      </m:item>
      <m:item xlName="_GBC_20dd292137da4d89a8cdd4afe661a903" concept="clcid-pte:YingShouGuLiHuaiZhangZhunBeiBenQiZhuanHuiDiErJieDuanDiSanJieDuan" label="应收股利坏账准备本期转回第二阶段（第三阶段）" mulRef="_GBC_eac39dbdbbaf489fba6c52caa6a3378a" unitRef="_GBC_bb2d135fd3d04eb4a7862d2afc968eea" addr="T0R6C3S1_1" formatStyle="Comma" appId="_GBC_9d130aecb6cb4874ac083fcdce5ee739">
        <m:axisValue occRef="母公司"/>
      </m:item>
      <m:item xlName="_GBC_cf8ec886f1fe486490ebe85997bd54d0" concept="clcid-pte:YingShouGuLiHuaiZhangZhunBeiBenQiZhuanHuiDiErJieDuanJieDuanHeJi" label="应收股利坏账准备本期转回第二阶段阶段合计" mulRef="_GBC_eac39dbdbbaf489fba6c52caa6a3378a" unitRef="_GBC_bb2d135fd3d04eb4a7862d2afc968eea" addr="T0R6C4S1_1" formatStyle="Comma" appId="_GBC_9d130aecb6cb4874ac083fcdce5ee739">
        <m:axisValue occRef="母公司"/>
      </m:item>
      <m:placeholder xlName="_PLD_f09636fe24594b3da18fe9fe59e58b7b" addr="T0R7C0S1_1"/>
      <m:item xlName="_GBC_c190d718b175402997550b1434bd55f5" concept="clcid-pte:YingShouGuLiHuaiZhangZhunBeiBenQiZhuanHuiDiYiJieDuanDiYiJieDuan" label="应收股利坏账准备本期转回第一阶段（第一阶段）" mulRef="_GBC_eac39dbdbbaf489fba6c52caa6a3378a" unitRef="_GBC_bb2d135fd3d04eb4a7862d2afc968eea" addr="T0R7C1S1_1" formatStyle="Comma" appId="_GBC_9d130aecb6cb4874ac083fcdce5ee739">
        <m:axisValue occRef="母公司"/>
      </m:item>
      <m:item xlName="_GBC_ad56fb71cfce4a6bac4bc399e79852e1" concept="clcid-pte:YingShouGuLiHuaiZhangZhunBeiBenQiZhuanHuiDiYiJieDuanDiErJieDuan" label="应收股利坏账准备本期转回第一阶段（第二阶段）" mulRef="_GBC_eac39dbdbbaf489fba6c52caa6a3378a" unitRef="_GBC_bb2d135fd3d04eb4a7862d2afc968eea" addr="T0R7C2S1_1" formatStyle="Comma" appId="_GBC_9d130aecb6cb4874ac083fcdce5ee739">
        <m:axisValue occRef="母公司"/>
      </m:item>
      <m:item xlName="_GBC_e923a8037be24c0082b1184e9a068bcb" concept="clcid-pte:YingShouGuLiHuaiZhangZhunBeiBenQiZhuanHuiDiYiJieDuanDiSanJieDuan" label="应收股利坏账准备本期转回第一阶段（第三阶段）" mulRef="_GBC_eac39dbdbbaf489fba6c52caa6a3378a" unitRef="_GBC_bb2d135fd3d04eb4a7862d2afc968eea" addr="T0R7C3S1_1" formatStyle="Comma" appId="_GBC_9d130aecb6cb4874ac083fcdce5ee739">
        <m:axisValue occRef="母公司"/>
      </m:item>
      <m:item xlName="_GBC_712d59a2772e470eb7f992810a7ef05b" concept="clcid-pte:YingShouGuLiHuaiZhangZhunBeiBenQiZhuanHuiDiYiJieDuanJieDuanHeJi" label="应收股利坏账准备本期转回第一阶段阶段合计" mulRef="_GBC_eac39dbdbbaf489fba6c52caa6a3378a" unitRef="_GBC_bb2d135fd3d04eb4a7862d2afc968eea" addr="T0R7C4S1_1" formatStyle="Comma" appId="_GBC_9d130aecb6cb4874ac083fcdce5ee739">
        <m:axisValue occRef="母公司"/>
      </m:item>
      <m:placeholder xlName="_PLD_17da12cd4800440a8af54284be912e1b" addr="T0R8C0S1_1"/>
      <m:item xlName="_GBC_7854b99370c2425ba112431e07b58a1f" concept="clcid-pte:YingShouGuLiHuaiZhangZhunBeiBenQiXinZengJiTiDiYiJieDuan" label="应收股利坏账准备本期新增计提（第一阶段）" mulRef="_GBC_eac39dbdbbaf489fba6c52caa6a3378a" unitRef="_GBC_bb2d135fd3d04eb4a7862d2afc968eea" addr="T0R8C1S1_1" formatStyle="Comma" appId="_GBC_9d130aecb6cb4874ac083fcdce5ee739">
        <m:axisValue occRef="母公司"/>
      </m:item>
      <m:item xlName="_GBC_c06fba84f7da4981a089ba7f326ad701" concept="clcid-pte:YingShouGuLiHuaiZhangZhunBeiBenQiXinZengJiTiDiErJieDuan" label="应收股利坏账准备本期新增计提（第二阶段）" mulRef="_GBC_eac39dbdbbaf489fba6c52caa6a3378a" unitRef="_GBC_bb2d135fd3d04eb4a7862d2afc968eea" addr="T0R8C2S1_1" formatStyle="Comma" appId="_GBC_9d130aecb6cb4874ac083fcdce5ee739">
        <m:axisValue occRef="母公司"/>
      </m:item>
      <m:item xlName="_GBC_984c375f0f4146809ba45dda228382c1" concept="clcid-pte:YingShouGuLiHuaiZhangZhunBeiBenQiXinZengJiTiDiSanJieDuan" label="应收股利坏账准备本期新增计提（第三阶段）" mulRef="_GBC_eac39dbdbbaf489fba6c52caa6a3378a" unitRef="_GBC_bb2d135fd3d04eb4a7862d2afc968eea" addr="T0R8C3S1_1" formatStyle="Comma" appId="_GBC_9d130aecb6cb4874ac083fcdce5ee739">
        <m:axisValue occRef="母公司"/>
      </m:item>
      <m:item xlName="_GBC_fd2b835af72b4fc2906c36949e940c2e" concept="clcid-pte:YingShouGuLiHuaiZhangZhunBeiBenQiXinZengJiTiJieDuanHeJi" label="应收股利坏账准备本期新增计提阶段合计" mulRef="_GBC_eac39dbdbbaf489fba6c52caa6a3378a" unitRef="_GBC_bb2d135fd3d04eb4a7862d2afc968eea" addr="T0R8C4S1_1" formatStyle="Comma" appId="_GBC_9d130aecb6cb4874ac083fcdce5ee739">
        <m:axisValue occRef="母公司"/>
      </m:item>
      <m:placeholder xlName="_PLD_157965a826ab473d958db9f8254b8f4f" addr="T0R9C0S1_1"/>
      <m:item xlName="_GBC_32e4c5de77a14d6da0ba3c91c576d569" concept="clcid-pte:YingShouGuLiHuaiZhangZhunBeiBenQiZhuanHuiDiYiJieDuan" label="应收股利坏账准备本期转回（第一阶段）" mulRef="_GBC_eac39dbdbbaf489fba6c52caa6a3378a" unitRef="_GBC_bb2d135fd3d04eb4a7862d2afc968eea" addr="T0R9C1S1_1" formatStyle="Comma" appId="_GBC_9d130aecb6cb4874ac083fcdce5ee739">
        <m:axisValue occRef="母公司"/>
      </m:item>
      <m:item xlName="_GBC_063427be8054479d8c807baf68cc719c" concept="clcid-pte:YingShouGuLiHuaiZhangZhunBeiBenQiZhuanHuiDiErJieDuan" label="应收股利坏账准备本期转回（第二阶段）" mulRef="_GBC_eac39dbdbbaf489fba6c52caa6a3378a" unitRef="_GBC_bb2d135fd3d04eb4a7862d2afc968eea" addr="T0R9C2S1_1" formatStyle="Comma" appId="_GBC_9d130aecb6cb4874ac083fcdce5ee739">
        <m:axisValue occRef="母公司"/>
      </m:item>
      <m:item xlName="_GBC_09ff8e19227b405cad2990b2f0d771fe" concept="clcid-pte:YingShouGuLiHuaiZhangZhunBeiBenQiZhuanHuiDiSanJieDuan" label="应收股利坏账准备本期转回（第三阶段）" mulRef="_GBC_eac39dbdbbaf489fba6c52caa6a3378a" unitRef="_GBC_bb2d135fd3d04eb4a7862d2afc968eea" addr="T0R9C3S1_1" formatStyle="Comma" appId="_GBC_9d130aecb6cb4874ac083fcdce5ee739">
        <m:axisValue occRef="母公司"/>
      </m:item>
      <m:item xlName="_GBC_061d71c3f3cd41a0b7d61102b46d380d" concept="clcid-pte:YingShouGuLiHuaiZhangZhunBeiBenQiZhuanHuiJieDuanHeJi" label="应收股利坏账准备本期转回阶段合计" mulRef="_GBC_eac39dbdbbaf489fba6c52caa6a3378a" unitRef="_GBC_bb2d135fd3d04eb4a7862d2afc968eea" addr="T0R9C4S1_1" formatStyle="Comma" appId="_GBC_9d130aecb6cb4874ac083fcdce5ee739">
        <m:axisValue occRef="母公司"/>
      </m:item>
      <m:placeholder xlName="_PLD_1ed4d146b5504654a503cfbf33e864f1" addr="T0R10C0S1_1"/>
      <m:item xlName="_GBC_8d7d564bfec5493d8eb5e500130f2766" concept="clcid-pte:YingShouGuLiHuaiZhangZhunBeiBenQiZhuanXiaoDiYiJieDuan" label="应收股利坏账准备本期转销（第一阶段）" mulRef="_GBC_eac39dbdbbaf489fba6c52caa6a3378a" unitRef="_GBC_bb2d135fd3d04eb4a7862d2afc968eea" addr="T0R10C1S1_1" formatStyle="Comma" appId="_GBC_9d130aecb6cb4874ac083fcdce5ee739">
        <m:axisValue occRef="母公司"/>
      </m:item>
      <m:item xlName="_GBC_fad16abde2454d45be855b841ce2d710" concept="clcid-pte:YingShouGuLiHuaiZhangZhunBeiBenQiZhuanXiaoDiErJieDuan" label="应收股利坏账准备本期转销（第二阶段）" mulRef="_GBC_eac39dbdbbaf489fba6c52caa6a3378a" unitRef="_GBC_bb2d135fd3d04eb4a7862d2afc968eea" addr="T0R10C2S1_1" formatStyle="Comma" appId="_GBC_9d130aecb6cb4874ac083fcdce5ee739">
        <m:axisValue occRef="母公司"/>
      </m:item>
      <m:item xlName="_GBC_8948eb1ab263452f808d4b32dec21d72" concept="clcid-pte:YingShouGuLiHuaiZhangZhunBeiBenQiZhuanXiaoDiSanJieDuan" label="应收股利坏账准备本期转销（第三阶段）" mulRef="_GBC_eac39dbdbbaf489fba6c52caa6a3378a" unitRef="_GBC_bb2d135fd3d04eb4a7862d2afc968eea" addr="T0R10C3S1_1" formatStyle="Comma" appId="_GBC_9d130aecb6cb4874ac083fcdce5ee739">
        <m:axisValue occRef="母公司"/>
      </m:item>
      <m:item xlName="_GBC_3ba9c9815aa14fa18a6086795833881b" concept="clcid-pte:YingShouGuLiHuaiZhangZhunBeiBenQiZhuanXiaoJieDuanHeJi" label="应收股利坏账准备本期转销阶段合计" mulRef="_GBC_eac39dbdbbaf489fba6c52caa6a3378a" unitRef="_GBC_bb2d135fd3d04eb4a7862d2afc968eea" addr="T0R10C4S1_1" formatStyle="Comma" appId="_GBC_9d130aecb6cb4874ac083fcdce5ee739">
        <m:axisValue occRef="母公司"/>
      </m:item>
      <m:placeholder xlName="_PLD_d70a4cb63dab411fbbc9f1b815a0bca0" addr="T0R11C0S1_1"/>
      <m:item xlName="_GBC_f54870fe370c40d782eb6e0a60db83b2" concept="clcid-pte:YingShouGuLiHuaiZhangZhunBeiBenQiHeXiaoDiYiJieDuan" label="应收股利坏账准备本期核销（第一阶段）" mulRef="_GBC_eac39dbdbbaf489fba6c52caa6a3378a" unitRef="_GBC_bb2d135fd3d04eb4a7862d2afc968eea" addr="T0R11C1S1_1" formatStyle="Comma" appId="_GBC_9d130aecb6cb4874ac083fcdce5ee739">
        <m:axisValue occRef="母公司"/>
      </m:item>
      <m:item xlName="_GBC_1f4bb8e96a3240599176f6787f8d5bf9" concept="clcid-pte:YingShouGuLiHuaiZhangZhunBeiBenQiHeXiaoDiErJieDuan" label="应收股利坏账准备本期核销（第二阶段）" mulRef="_GBC_eac39dbdbbaf489fba6c52caa6a3378a" unitRef="_GBC_bb2d135fd3d04eb4a7862d2afc968eea" addr="T0R11C2S1_1" formatStyle="Comma" appId="_GBC_9d130aecb6cb4874ac083fcdce5ee739">
        <m:axisValue occRef="母公司"/>
      </m:item>
      <m:item xlName="_GBC_c2fbcd0ad3ee4210b9537b672629160c" concept="clcid-pte:YingShouGuLiHuaiZhangZhunBeiBenQiHeXiaoDiSanJieDuan" label="应收股利坏账准备本期核销（第三阶段）" mulRef="_GBC_eac39dbdbbaf489fba6c52caa6a3378a" unitRef="_GBC_bb2d135fd3d04eb4a7862d2afc968eea" addr="T0R11C3S1_1" formatStyle="Comma" appId="_GBC_9d130aecb6cb4874ac083fcdce5ee739">
        <m:axisValue occRef="母公司"/>
      </m:item>
      <m:item xlName="_GBC_11c8f6dea2cb4d71a9e4b3bece07ef46" concept="clcid-pte:YingShouGuLiHuaiZhangZhunBeiBenQiHeXiaoJieDuanHeJi" label="应收股利坏账准备本期核销阶段合计" mulRef="_GBC_eac39dbdbbaf489fba6c52caa6a3378a" unitRef="_GBC_bb2d135fd3d04eb4a7862d2afc968eea" addr="T0R11C4S1_1" formatStyle="Comma" appId="_GBC_9d130aecb6cb4874ac083fcdce5ee739">
        <m:axisValue occRef="母公司"/>
      </m:item>
      <m:placeholder xlName="_PLD_5b90dc99bf564a60a06d20275defafdc" addr="T0R12C0S1_1"/>
      <m:item xlName="_GBC_5bc1cd070c8a44299f26143fca2ba130" concept="clcid-pte:YingShouGuLiHuaiZhangZhunBeiBenQiQiTaBianDongDiYiJieDuan" label="应收股利坏账准备本期其他变动（第一阶段）" mulRef="_GBC_eac39dbdbbaf489fba6c52caa6a3378a" unitRef="_GBC_bb2d135fd3d04eb4a7862d2afc968eea" addr="T0R12C1S1_1" formatStyle="Comma" appId="_GBC_9d130aecb6cb4874ac083fcdce5ee739">
        <m:axisValue occRef="母公司"/>
      </m:item>
      <m:item xlName="_GBC_9b81d5d07de94d80883c1f3011d85450" concept="clcid-pte:YingShouGuLiHuaiZhangZhunBeiBenQiQiTaBianDongDiErJieDuan" label="应收股利坏账准备本期其他变动（第二阶段）" mulRef="_GBC_eac39dbdbbaf489fba6c52caa6a3378a" unitRef="_GBC_bb2d135fd3d04eb4a7862d2afc968eea" addr="T0R12C2S1_1" formatStyle="Comma" appId="_GBC_9d130aecb6cb4874ac083fcdce5ee739">
        <m:axisValue occRef="母公司"/>
      </m:item>
      <m:item xlName="_GBC_0e8e1936da2b4879a3daadd74aa9ca4d" concept="clcid-pte:YingShouGuLiHuaiZhangZhunBeiBenQiQiTaBianDongDiSanJieDuan" label="应收股利坏账准备本期其他变动（第三阶段）" mulRef="_GBC_eac39dbdbbaf489fba6c52caa6a3378a" unitRef="_GBC_bb2d135fd3d04eb4a7862d2afc968eea" addr="T0R12C3S1_1" formatStyle="Comma" appId="_GBC_9d130aecb6cb4874ac083fcdce5ee739">
        <m:axisValue occRef="母公司"/>
      </m:item>
      <m:item xlName="_GBC_cbec58fe942d47ba8362915d18b7165c" concept="clcid-pte:YingShouGuLiHuaiZhangZhunBeiBenQiQiTaBianDongJieDuanHeJi" label="应收股利坏账准备本期其他变动阶段合计" mulRef="_GBC_eac39dbdbbaf489fba6c52caa6a3378a" unitRef="_GBC_bb2d135fd3d04eb4a7862d2afc968eea" addr="T0R12C4S1_1" formatStyle="Comma" appId="_GBC_9d130aecb6cb4874ac083fcdce5ee739">
        <m:axisValue occRef="母公司"/>
      </m:item>
      <m:placeholder xlName="_PLD_48573082782749b3b80882540f9c5f8a" addr="T0R13C0S1_1"/>
      <m:item xlName="_GBC_dd84f04cdc6f46e2acb48269040fbe8a" concept="clcid-pte:YingShouGuLiHuaiZhangZhunBeiDiYiJieDuan" label="应收股利坏账准备（第一阶段）" mulRef="_GBC_eac39dbdbbaf489fba6c52caa6a3378a" unitRef="_GBC_bb2d135fd3d04eb4a7862d2afc968eea" addr="T0R13C1S1_1" formatStyle="Comma" appId="_GBC_9d130aecb6cb4874ac083fcdce5ee739">
        <m:axisValue occRef="母公司"/>
      </m:item>
      <m:item xlName="_GBC_dcad311ee73548d3898e64bf3bf36f8b" concept="clcid-pte:YingShouGuLiHuaiZhangZhunBeiDiErJieDuan" label="应收股利坏账准备（第二阶段）" mulRef="_GBC_eac39dbdbbaf489fba6c52caa6a3378a" unitRef="_GBC_bb2d135fd3d04eb4a7862d2afc968eea" addr="T0R13C2S1_1" formatStyle="Comma" appId="_GBC_9d130aecb6cb4874ac083fcdce5ee739">
        <m:axisValue occRef="母公司"/>
      </m:item>
      <m:item xlName="_GBC_08fd857a438d4cfbae6fe404413ddce8" concept="clcid-pte:YingShouGuLiHuaiZhangZhunBeiDiSanJieDuan" label="应收股利坏账准备（第三阶段）" mulRef="_GBC_eac39dbdbbaf489fba6c52caa6a3378a" unitRef="_GBC_bb2d135fd3d04eb4a7862d2afc968eea" addr="T0R13C3S1_1" formatStyle="Comma" appId="_GBC_9d130aecb6cb4874ac083fcdce5ee739">
        <m:axisValue occRef="母公司"/>
      </m:item>
      <m:item xlName="_GBC_fa4e4af5bc9b40588bcfdbb5c8581b25" concept="clcid-pte:YingShouGuLiHuaiZhangZhunBei" label="应收股利坏账准备" mulRef="_GBC_eac39dbdbbaf489fba6c52caa6a3378a" unitRef="_GBC_bb2d135fd3d04eb4a7862d2afc968eea" addr="T0R13C4S1_1" formatStyle="Comma" appId="_GBC_9d130aecb6cb4874ac083fcdce5ee739">
        <m:axisValue occRef="母公司"/>
      </m:item>
      <m:item xlName="_GBC_8f395d86d7614020a70e572e2ca4a521"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8f395d86d7614020a70e572e2ca4a521&quot;,&quot;EndName&quot;:&quot;_GBC_efc147d73ebb4dffb5c687414786de61&quot;,&quot;CType&quot;:1}]"/>
      <m:item xlName="_GBC_efc147d73ebb4dffb5c687414786de61" concept="clcid-pte:YingShouGuLiBenQiFaShengSunShiZhunBeiBianDongQieZhangMianYuEXianZhuBianDongDeQingKuangShuoMing" label="应收股利本期发生损失准备变动且账面余额显著变动的情况说明" appId="_GBC_8f395d86d7614020a70e572e2ca4a521">
        <m:axisValue occRef="母公司"/>
      </m:item>
    </m:section>
    <m:section xlName="_SEC_2b03a6eb53a24c76a6dc28f0478009f2" title="其他说明：">
      <m:item xlName="_GBC_79a2eb8844e84fe3b78bb5ffcf2a57d5" concept="clcid-ci-ar:ShiFouShiYongMuGongSiYingShouGuLiQiTaShuoMing" label="是否适用：母公司应收股利其他说明" selectOptions="_buildInAppliance" controlType="CustomCheckbox" cRanges="[{&quot;StartName&quot;:&quot;_GBC_79a2eb8844e84fe3b78bb5ffcf2a57d5&quot;,&quot;EndName&quot;:&quot;_GBC_9b25e69aff38417a977a1e2668b081cc&quot;,&quot;CType&quot;:1}]"/>
      <m:item xlName="_GBC_9b25e69aff38417a977a1e2668b081cc" concept="clcid-pte:YingShouGuLiDeShuoMing" label="应收股利的说明" appId="_GBC_79a2eb8844e84fe3b78bb5ffcf2a57d5">
        <m:axisValue occRef="母公司"/>
      </m:item>
    </m:section>
    <m:section xlName="_GBC_7633445fb4f445e9a99e716971900a22" title="组合中，按账龄分析法计提坏账准备的其他应收款" helpId="112002209">
      <m:item xlName="_GBC_b8ebebf3180a48e4b61282a3ad0f26ab" concept="clcid-ci-ar:ShiFouShiYongMuGongSiZuHeZhongAnZhangLingFenXiFaJiTiHuaiZhangZhunBeiDeQiTaYingShouZhangKuan" label="是否适用：母公司组合中，按账龄分析法计提坏账准备的其他应收账款" selectOptions="_buildInAppliance" controlType="CustomCheckbox" cRanges="[{&quot;StartName&quot;:&quot;_GBC_b8ebebf3180a48e4b61282a3ad0f26ab&quot;,&quot;EndName&quot;:&quot;_GBC_627060d6e4514f6c8fc89af2250a031b&quot;,&quot;CType&quot;:1}]"/>
      <m:item xlName="_GBC_ede5d9b4f8594f95a95f3ab6c9f60baf" concept="clcid-ci-ar:DanWeiMuGongSiCaiWuFuZhuDanXiangJinEBuZhongDaDanAnXinYongFengXianTeZhengZuHeHouGaiZuHeDeFengXianJiaoDaDeQiTaYingShouZhangKuan" label="单位：母公司财务附注：单项金额不重大但按信用风险特征组合后该组合的风险较大的其他应收账款" selectOptions="_buildInScales" controlType="Combobox" cellType="Scale" appId="_GBC_b8ebebf3180a48e4b61282a3ad0f26ab"/>
      <m:item xlName="_GBC_f568e72906c2467eaad01f9cc2c58e38" concept="clcid-ci-ar:BiZhongMuGongSiCaiWuFuZhuDanXiangJinEBuZhongDaDanAnXinYongFengXianTeZhengZuHeHouGaiZuHeDeFengXianJiaoDaDeQiTaYingShouZhangKuan" label="币种：母公司财务附注：单项金额不重大但按信用风险特征组合后该组合的风险较大的其他应收账款" selectOptions="_buildInISO4217" controlType="Combobox" cellType="Measure" appId="_GBC_b8ebebf3180a48e4b61282a3ad0f26ab"/>
      <m:placeholder xlName="_PLD_ea421152d78d40388e20d700f11c5b7c" addr="T0R0C0S1_1"/>
      <m:placeholder xlName="_PLD_041d6c971e464a898746e2aa12807b27" addr="T0R0C1S1_1"/>
      <m:placeholder xlName="_PLD_e7e6a5399aea4d5c9e5e7d69deb45784" addr="T0R1C0S1_2"/>
      <m:placeholder xlName="_PLD_56f450290f844bc78a2cfb244e386bfb" addr="T0R2C0S1_2"/>
      <m:tuple xlName="_GBC_860af2b8105d4e3eb381eb65866b7c4e" concept="clcid-pte:YiNianYiNeiQiTaYingShouKuanJinEMingXi" default_row="2" addr="T0R3C">
        <m:item xlName="_GBC_16219c7205cd4fd2b2e397a9f56f3406" concept="clcid-pte:YiNianYiNeiQiTaYingShouKuanZhangLingMingCheng" label="一年以内其他应收款金额明细－帐龄名称" addr="T0R3C0S1_1" appId="_GBC_b8ebebf3180a48e4b61282a3ad0f26ab">
          <m:axisValue occRef="母公司"/>
        </m:item>
        <m:item xlName="_GBC_e976b4c71c8d406cbe67f96b665e76a1" concept="clcid-pte:YiNianYiNeiQiTaYingShouKuanZhangMianYuE" label="一年以内其他应收款金额明细－账面余额" mulRef="_GBC_ede5d9b4f8594f95a95f3ab6c9f60baf" unitRef="_GBC_f568e72906c2467eaad01f9cc2c58e38" addr="T0R3C1S1_1" formatStyle="Comma" appId="_GBC_b8ebebf3180a48e4b61282a3ad0f26ab">
          <m:axisValue occRef="母公司"/>
        </m:item>
      </m:tuple>
      <m:placeholder xlName="_PLD_2003791af21f466bb07049d42fca0a81" addr="T0R5C0S1_1"/>
      <m:item xlName="_GBC_4207c1063cdb4ac195800efa46a396f8" concept="clcid-pte:QiTaYingShouKuanYiNianYiNeiHeJi" label="其他应收款一年以内合计" mulRef="_GBC_ede5d9b4f8594f95a95f3ab6c9f60baf" unitRef="_GBC_f568e72906c2467eaad01f9cc2c58e38" addr="T0R5C1S1_1" formatStyle="Comma" appId="_GBC_b8ebebf3180a48e4b61282a3ad0f26ab">
        <m:axisValue occRef="母公司"/>
      </m:item>
      <m:placeholder xlName="_PLD_95c5c36c109842ad8ca939ca66051b89" addr="T0R6C0S1_1"/>
      <m:item xlName="_GBC_3bcdbf3baaef46ac8a4714608ae97586" concept="clcid-pte:QiTaYingShouKuanYiZhiErNianHeJi" label="其他应收款一至二年合计" mulRef="_GBC_ede5d9b4f8594f95a95f3ab6c9f60baf" unitRef="_GBC_f568e72906c2467eaad01f9cc2c58e38" addr="T0R6C1S1_1" formatStyle="Comma" appId="_GBC_b8ebebf3180a48e4b61282a3ad0f26ab">
        <m:axisValue occRef="母公司"/>
      </m:item>
      <m:placeholder xlName="_PLD_95bded3dfef44f398326fefdfdfa13a1" addr="T0R7C0S1_1"/>
      <m:item xlName="_GBC_1bd37fb29861445c9814df55f3dde5b7" concept="clcid-pte:QiTaYingShouKuanErZhiSanNianHeJi" label="其他应收款二至三年合计" mulRef="_GBC_ede5d9b4f8594f95a95f3ab6c9f60baf" unitRef="_GBC_f568e72906c2467eaad01f9cc2c58e38" addr="T0R7C1S1_1" formatStyle="Comma" appId="_GBC_b8ebebf3180a48e4b61282a3ad0f26ab">
        <m:axisValue occRef="母公司"/>
      </m:item>
      <m:placeholder xlName="_PLD_8e60c19da192420eac3e17635db6643f" addr="T0R8C0S1_1"/>
      <m:item xlName="_GBC_d5ec8065b39e49c0a7f331d769f66d99" concept="clcid-pte:QiTaYingShouKuanSanNianYiShangHeJi" label="其他应收款三年以上合计" mulRef="_GBC_ede5d9b4f8594f95a95f3ab6c9f60baf" unitRef="_GBC_f568e72906c2467eaad01f9cc2c58e38" addr="T0R8C1S1_1" formatStyle="Comma" appId="_GBC_b8ebebf3180a48e4b61282a3ad0f26ab">
        <m:axisValue occRef="母公司"/>
      </m:item>
      <m:placeholder xlName="_PLD_f2ed966c1e274f61b24a1143926bf921" addr="T0R9C0S1_1"/>
      <m:item xlName="_GBC_560e2a5482904d3095a1da34fe62ba00" concept="clcid-pte:QiTaYingShouKuanSanZhiSiNianZhangMianYuE" label="其他应收款三至四年账面余额" mulRef="_GBC_ede5d9b4f8594f95a95f3ab6c9f60baf" unitRef="_GBC_f568e72906c2467eaad01f9cc2c58e38" addr="T0R9C1S1_1" formatStyle="Comma" appId="_GBC_b8ebebf3180a48e4b61282a3ad0f26ab">
        <m:axisValue occRef="母公司"/>
      </m:item>
      <m:placeholder xlName="_PLD_b619e0e2723e468294b0f0499cb87825" addr="T0R10C0S1_1"/>
      <m:item xlName="_GBC_b1c5ad7096d34166ab9ea6ff4fa3073b" concept="clcid-pte:QiTaYingShouKuanSiZhiWuNianZhangMianYuE" label="其他应收款四至五年账面余额" mulRef="_GBC_ede5d9b4f8594f95a95f3ab6c9f60baf" unitRef="_GBC_f568e72906c2467eaad01f9cc2c58e38" addr="T0R10C1S1_1" formatStyle="Comma" appId="_GBC_b8ebebf3180a48e4b61282a3ad0f26ab">
        <m:axisValue occRef="母公司"/>
      </m:item>
      <m:placeholder xlName="_PLD_ba74cee717434a10956280b38ade6234" addr="T0R11C0S1_1"/>
      <m:item xlName="_GBC_c3af7e686b224976bc74c460707ec27b" concept="clcid-pte:QiTaYingShouKuanWuNianYiShangZhangMianYuE" label="其他应收款五年以上账面余额" mulRef="_GBC_ede5d9b4f8594f95a95f3ab6c9f60baf" unitRef="_GBC_f568e72906c2467eaad01f9cc2c58e38" addr="T0R11C1S1_1" formatStyle="Comma" appId="_GBC_b8ebebf3180a48e4b61282a3ad0f26ab">
        <m:axisValue occRef="母公司"/>
      </m:item>
      <m:tuple xlName="_TUP_ab0660a380d2476f8d5fb3374184cc89" concept="clcid-pte:AnZhangLingFenXiFaJiTiHuaiZhangZhunBeiDeQiTaYingShouKuanMingXi" default_row="2" addr="T0R12C">
        <m:item xlName="_GBC_74d97096b4b3496986c065368241a5af" concept="clcid-pte:AnZhangLingFenXiFaJiTiHuaiZhangZhunBeiDeQiTaYingShouKuanMingXiZhangLing" label="按账龄分析法计提坏账准备的其他应收款明细_账龄" addr="T0R12C0S1_1" appId="_GBC_b8ebebf3180a48e4b61282a3ad0f26ab">
          <m:axisValue occRef="母公司"/>
        </m:item>
        <m:item xlName="_GBC_530de5ac9dfa43caafc70e0f9fcec975" concept="clcid-pte:AnZhangLingFenXiFaJiTiHuaiZhangZhunBeiDeQiTaYingShouKuanMingXiQiTaYingShouKuan" label="按账龄分析法计提坏账准备的其他应收款明细_其他应收款" mulRef="_GBC_ede5d9b4f8594f95a95f3ab6c9f60baf" unitRef="_GBC_f568e72906c2467eaad01f9cc2c58e38" addr="T0R12C1S1_1" formatStyle="Comma" appId="_GBC_b8ebebf3180a48e4b61282a3ad0f26ab">
          <m:axisValue occRef="母公司"/>
        </m:item>
      </m:tuple>
      <m:placeholder xlName="_PLD_b07c72d6667b4b8198e844363dff5967" addr="T0R14C0S1_1"/>
      <m:item xlName="_GBC_627060d6e4514f6c8fc89af2250a031b" concept="clcid-pte:DanXiangJinEBuZhongDaDanAnXinYongFengXianTeZhengZuHeHouGaiZuHeDeFengXianJiaoDaDeQiTaYingShouZhangKuanHeJi" label="单项金额不重大但按信用风险特征组合后该组合的风险较大的其他应收账款合计" mulRef="_GBC_ede5d9b4f8594f95a95f3ab6c9f60baf" unitRef="_GBC_f568e72906c2467eaad01f9cc2c58e38" addr="T0R14C1S1_1" formatStyle="Comma" appId="_GBC_b8ebebf3180a48e4b61282a3ad0f26ab">
        <m:complexRule comparator="Eq" title="母公司单项金额不重大但按信用风险特征组合后该组合的风险较大的其他应收账款合计" test=" $_GBC_4207c1063cdb4ac195800efa46a396f8 +  $_GBC_3bcdbf3baaef46ac8a4714608ae97586 +  $_GBC_1bd37fb29861445c9814df55f3dde5b7 +  $_GBC_d5ec8065b39e49c0a7f331d769f66d99 +  $_GBC_560e2a5482904d3095a1da34fe62ba00 +  $_GBC_b1c5ad7096d34166ab9ea6ff4fa3073b +  $_GBC_c3af7e686b224976bc74c460707ec27b +  $_GBC_530de5ac9dfa43caafc70e0f9fcec975" id="C48a8d10fa1ba4b3488e9bf8eb62f51b7"/>
        <m:axisValue occRef="母公司"/>
      </m:item>
    </m:section>
    <m:section xlName="_GBC_c9f7dc8489b74105a28800b5cfad23af" title="其他应收款按款项性质分类情况" helpId="112002209">
      <m:item xlName="_GBC_101fec10ac1f41f39330610cac041192" concept="clcid-ci-ar:ShiFouShiYongMuGongSiQiTaYingShouKuanAnKuanXiangXingZhiFenLeiQingKuang" label="是否适用：母公司其他应收款按款项性质分类情况" selectOptions="_buildInAppliance" controlType="CustomCheckbox" cRanges="{&quot;StartName&quot;:&quot;_GBC_101fec10ac1f41f39330610cac041192&quot;,&quot;EndName&quot;:&quot;_GBC_cfd03d515bf54180b8164d2a9f38821b&quot;,&quot;CType&quot;:1,&quot;DisplayText&quot;:null}"/>
      <m:item xlName="_GBC_cdfadb9bdd864b32a99df11dec001a83" concept="clcid-ci-ar:DanWeiCaiWuFuZhuMuGongSiQiTaYingShouKuanAnKuanXiangXingZhiFenLeiQingKuang" label="单位：财务附注：母公司其他应收款按款项性质分类情况" selectOptions="_buildInScales" controlType="Combobox" cellType="Scale" appId="_GBC_101fec10ac1f41f39330610cac041192"/>
      <m:item xlName="_GBC_cac854cfb75144bc86635f44f78d6611" concept="clcid-ci-ar:BiZhongCaiWuFuZhuMuGongSiQiTaYingShouKuanAnKuanXiangXingZhiFenLeiQingKuang" label="币种：财务附注：母公司其他应收款按款项性质分类情况" selectOptions="_buildInISO4217" controlType="Combobox" cellType="Measure" appId="_GBC_101fec10ac1f41f39330610cac041192"/>
      <m:placeholder xlName="_PLD_797d39f4d1fd488e93d36af61d0bebfd" addr="T0R0C0S1_1"/>
      <m:placeholder xlName="_PLD_7853db088d0a4b218482e741ebbac8e0" addr="T0R0C1S1_1"/>
      <m:placeholder xlName="_PLD_56ab744bffee4ad28664bdf9e16551e2" addr="T0R0C2S1_1"/>
      <m:tuple xlName="_GBC_2dbe9c87fcc94933b5e1adb6fa3a30df" concept="clcid-pte:QiTaYingShouKuanAnKuanXiangXingZhiFenLeiQingKuangMingXi" default_row="2" addr="T0R1C">
        <m:item xlName="_GBC_0f2d8ffacf5a459a8ecd84c7b0d4791c" concept="clcid-pte:QiTaYingShouKuanAnKuanXiangXingZhiFenLeiQingKuangMingXiKuanXiangXingZhi" label="其他应收款按款项性质分类情况明细-款项性质" addr="T0R1C0S1_1" appId="_GBC_101fec10ac1f41f39330610cac041192">
          <m:axisValue occRef="母公司"/>
        </m:item>
        <m:item xlName="_GBC_984e1242fcf64d4cad97de9746e19d71" concept="clcid-pte:QiTaYingShouKuanAnKuanXiangXingZhiFenLeiQingKuangMingXiJinE" label="其他应收款按款项性质分类情况明细-金额" mulRef="_GBC_cdfadb9bdd864b32a99df11dec001a83" unitRef="_GBC_cac854cfb75144bc86635f44f78d6611" addr="T0R1C1S1_1" formatStyle="Comma" appId="_GBC_101fec10ac1f41f39330610cac041192">
          <m:axisValue occRef="母公司"/>
        </m:item>
        <m:item xlName="_GBC_e8be72806f3341efb00614c18d995c62" concept="clcid-pte:QiTaYingShouKuanAnKuanXiangXingZhiFenLeiQingKuangMingXiJinE" label="其他应收款按款项性质分类情况明细-金额" periodRef="本期期初数" mulRef="_GBC_cdfadb9bdd864b32a99df11dec001a83" unitRef="_GBC_cac854cfb75144bc86635f44f78d6611" addr="T0R1C2S1_1" formatStyle="Comma" appId="_GBC_101fec10ac1f41f39330610cac041192">
          <m:axisValue occRef="母公司"/>
        </m:item>
      </m:tuple>
      <m:placeholder xlName="_PLD_2c3163c0b1c149f7a6fc1dfe5449335d" addr="T0R3C0S1_1"/>
      <m:item xlName="_GBC_73a8d59f91c94ee695a4ae56177672a6" concept="clcid-pte:QiTaYingShouKuanAnKuanXiangXingZhiFenLeiQingKuangJinEHeJi" label="其他应收款按款项性质分类情况金额合计" mulRef="_GBC_cdfadb9bdd864b32a99df11dec001a83" unitRef="_GBC_cac854cfb75144bc86635f44f78d6611" addr="T0R3C1S1_1" formatStyle="Comma" appId="_GBC_101fec10ac1f41f39330610cac041192">
        <m:complexRule comparator="Eq" title="母公司其他应收款按款项性质分类情况金额合计" test=" $_GBC_984e1242fcf64d4cad97de9746e19d71" id="C55567299ca97441aba2feb6b81dd426a"/>
        <m:axisValue occRef="母公司"/>
      </m:item>
      <m:item xlName="_GBC_cfd03d515bf54180b8164d2a9f38821b" concept="clcid-pte:QiTaYingShouKuanAnKuanXiangXingZhiFenLeiQingKuangJinEHeJi" label="其他应收款按款项性质分类情况金额合计" periodRef="本期期初数" mulRef="_GBC_cdfadb9bdd864b32a99df11dec001a83" unitRef="_GBC_cac854cfb75144bc86635f44f78d6611" addr="T0R3C2S1_1" formatStyle="Comma" appId="_GBC_101fec10ac1f41f39330610cac041192">
        <m:complexRule comparator="Eq" title="母公司其他应收款按款项性质分类情况金额合计@本期期初数" test=" $_GBC_e8be72806f3341efb00614c18d995c62" id="C5a250599ef07401e9487f2fafd8d346d"/>
        <m:axisValue occRef="母公司"/>
      </m:item>
    </m:section>
    <m:section xlName="_SEC_15d9e20371d54bec9233b27dd50b301d" title="坏账准备计提情况" helpText="如存在坏账准备，应按照财政部企业会计准则第37号第83条规定，披露损失准备期初余额与期末余额的调节表">
      <m:item xlName="_GBC_550996ad46c8493eb98c011d7acf7dfb" concept="clcid-ci-ar:ShiFouShiYongMuGongSiQiTaYingShouKuanHuaiZhangZhunBeiTiaoJieBiao" label="是否适用：母公司其他应收款坏账准备调节表" selectOptions="_buildInAppliance" controlType="CustomCheckbox" cRanges="[{&quot;StartName&quot;:&quot;_GBC_550996ad46c8493eb98c011d7acf7dfb&quot;,&quot;EndName&quot;:&quot;_GBC_609f536caff4403c80cde11bb3c55f04&quot;,&quot;CType&quot;:1}]"/>
      <m:item xlName="_GBC_10c7491cbac54cf6a1a375367db16baf" concept="clcid-ci-ar:DanWeiMuGongSiQiTaYingShouKuanHuaiZhangZhunBeiTiaoJieBiao" label="单位：母公司其他应收款坏账准备调节表" selectOptions="_buildInScales" controlType="Combobox" cellType="Scale" appId="_GBC_550996ad46c8493eb98c011d7acf7dfb"/>
      <m:item xlName="_GBC_01762fded69841c1b87d684f3bcfb97f" concept="clcid-ci-ar:BiZhongMuGongSiQiTaYingShouKuanHuaiZhangZhunBeiTiaoJieBiao" label="币种：母公司其他应收款坏账准备调节表" selectOptions="_buildInISO4217" controlType="Combobox" cellType="Measure" appId="_GBC_550996ad46c8493eb98c011d7acf7dfb"/>
      <m:placeholder xlName="_PLD_a620ef8c0fe0407b955c4f58530e0b21" addr="T0R0C0S2_1"/>
      <m:placeholder xlName="_PLD_8699e9827a744831bf2fdadfa1ac52e1" addr="T0R0C1S1_1"/>
      <m:placeholder xlName="_PLD_d2f5c6d4cf0d4a86b39dc41f67fe87db" addr="T0R0C2S1_1"/>
      <m:placeholder xlName="_PLD_a09c7daba8c14a6498c7b83b77c97c72" addr="T0R0C3S1_1"/>
      <m:placeholder xlName="_PLD_1ec064a14a75404dac24adc5e6ddd253" addr="T0R0C4S2_1"/>
      <m:placeholder xlName="_PLD_506da2a2f1db4ead819aa958edd702e2" addr="T0R1C1S1_1"/>
      <m:placeholder xlName="_PLD_23a6590eef0649d4af75d4845c12f263" addr="T0R1C2S1_1"/>
      <m:placeholder xlName="_PLD_44518f4265ac43078f96c79efe9dd487" addr="T0R1C3S1_1"/>
      <m:placeholder xlName="_PLD_2304f8a656bf488e9c1b48987574a2b8" addr="T0R2C0S1_1"/>
      <m:item xlName="_GBC_1a4497d607f84e2ca7afb22716d0b06d" concept="clcid-pte:QiTaYingShouKuanHuaiZhangZhunBeiDiYiJieDuan" label="其他应收款坏账准备（第一阶段）" periodRef="本期期初数" mulRef="_GBC_10c7491cbac54cf6a1a375367db16baf" unitRef="_GBC_01762fded69841c1b87d684f3bcfb97f" addr="T0R2C1S1_1" formatStyle="Comma" appId="_GBC_550996ad46c8493eb98c011d7acf7dfb">
        <m:axisValue occRef="母公司"/>
      </m:item>
      <m:item xlName="_GBC_4b16e9a2648549a2a476f8132ab782b5" concept="clcid-pte:QiTaYingShouKuanHuaiZhangZhunBeiDiErJieDuan" label="其他应收款坏账准备（第二阶段）" periodRef="本期期初数" mulRef="_GBC_10c7491cbac54cf6a1a375367db16baf" unitRef="_GBC_01762fded69841c1b87d684f3bcfb97f" addr="T0R2C2S1_1" formatStyle="Comma" appId="_GBC_550996ad46c8493eb98c011d7acf7dfb">
        <m:axisValue occRef="母公司"/>
      </m:item>
      <m:item xlName="_GBC_9ae5c4dccba64ec09c00e79829ebf58b" concept="clcid-pte:QiTaYingShouKuanHuaiZhangZhunBeiDiSanJieDuan" label="其他应收款坏账准备（第三阶段）" periodRef="本期期初数" mulRef="_GBC_10c7491cbac54cf6a1a375367db16baf" unitRef="_GBC_01762fded69841c1b87d684f3bcfb97f" addr="T0R2C3S1_1" formatStyle="Comma" appId="_GBC_550996ad46c8493eb98c011d7acf7dfb">
        <m:axisValue occRef="母公司"/>
      </m:item>
      <m:item xlName="_GBC_57bbd6e25aa949958f6450d870beb68a" concept="clcid-pte:QiTaYingShouKuanHuaiZhangZhunBei" label="其他应收款坏账准备" periodRef="本期期初数" mulRef="_GBC_10c7491cbac54cf6a1a375367db16baf" unitRef="_GBC_01762fded69841c1b87d684f3bcfb97f" addr="T0R2C4S1_1" formatStyle="Comma" appId="_GBC_550996ad46c8493eb98c011d7acf7dfb">
        <m:axisValue occRef="母公司"/>
      </m:item>
      <m:placeholder xlName="_PLD_796e9b523fc242849d2f6df5b04e1b9e" addr="T0R3C0S1_1"/>
      <m:item xlName="_GBC_29b829a89b3440cf95ec70c80b968c9a" concept="clcid-pte:QiTaYingShouKuanHuaiZhangZhunBeiBenQiZhuanRuHuoZhuanHuiDiYiJieDuan" label="其他应收款坏账准备本期转入或转回（第一阶段）" mulRef="_GBC_10c7491cbac54cf6a1a375367db16baf" unitRef="_GBC_01762fded69841c1b87d684f3bcfb97f" addr="T0R3C1S1_1" formatStyle="Comma" appId="_GBC_550996ad46c8493eb98c011d7acf7dfb">
        <m:axisValue occRef="母公司"/>
      </m:item>
      <m:item xlName="_GBC_b6d9a6bc9f3745a9a09c366022fd732b" concept="clcid-pte:QiTaYingShouKuanHuaiZhangZhunBeiBenQiZhuanRuHuoZhuanHuiDiErJieDuan" label="其他应收款坏账准备本期转入或转回（第二阶段）" mulRef="_GBC_10c7491cbac54cf6a1a375367db16baf" unitRef="_GBC_01762fded69841c1b87d684f3bcfb97f" addr="T0R3C2S1_1" formatStyle="Comma" appId="_GBC_550996ad46c8493eb98c011d7acf7dfb">
        <m:axisValue occRef="母公司"/>
      </m:item>
      <m:item xlName="_GBC_5c605e2b6b8847c1aa3ee047cea07fa7" concept="clcid-pte:QiTaYingShouKuanHuaiZhangZhunBeiBenQiZhuanRuHuoZhuanHuiDiSanJieDuan" label="其他应收款坏账准备本期转入或转回（第三阶段）" mulRef="_GBC_10c7491cbac54cf6a1a375367db16baf" unitRef="_GBC_01762fded69841c1b87d684f3bcfb97f" addr="T0R3C3S1_1" formatStyle="Comma" appId="_GBC_550996ad46c8493eb98c011d7acf7dfb">
        <m:axisValue occRef="母公司"/>
      </m:item>
      <m:item xlName="_GBC_55e1de82250e4eac9febf2088ba9fd63" concept="clcid-pte:QiTaYingShouKuanHuaiZhangZhunBeiBenQiZhuanRuHuoZhuanHuiJieDuanHeJi" label="其他应收款坏账准备本期转入或转回阶段合计" mulRef="_GBC_10c7491cbac54cf6a1a375367db16baf" unitRef="_GBC_01762fded69841c1b87d684f3bcfb97f" addr="T0R3C4S1_1" formatStyle="Comma" appId="_GBC_550996ad46c8493eb98c011d7acf7dfb">
        <m:axisValue occRef="母公司"/>
      </m:item>
      <m:placeholder xlName="_PLD_aad55d025f3841e2bffcc3792a62e67f" addr="T0R4C0S1_1"/>
      <m:item xlName="_GBC_d3483fdec57a40fa822e67f627e0e794" concept="clcid-pte:QiTaYingShouKuanHuaiZhangZhunBeiBenQiZhuanRuDiErJieDuanDiYiJieDuan" label="其他应收款坏账准备本期转入第二阶段（第一阶段）" mulRef="_GBC_10c7491cbac54cf6a1a375367db16baf" unitRef="_GBC_01762fded69841c1b87d684f3bcfb97f" addr="T0R4C1S1_1" formatStyle="Comma" appId="_GBC_550996ad46c8493eb98c011d7acf7dfb">
        <m:axisValue occRef="母公司"/>
      </m:item>
      <m:item xlName="_GBC_a2847b88968648c1a4de11f13a8bf546" concept="clcid-pte:QiTaYingShouKuanHuaiZhangZhunBeiBenQiZhuanRuDiErJieDuanDiErJieDuan" label="其他应收款坏账准备本期转入第二阶段（第二阶段）" mulRef="_GBC_10c7491cbac54cf6a1a375367db16baf" unitRef="_GBC_01762fded69841c1b87d684f3bcfb97f" addr="T0R4C2S1_1" formatStyle="Comma" appId="_GBC_550996ad46c8493eb98c011d7acf7dfb">
        <m:axisValue occRef="母公司"/>
      </m:item>
      <m:item xlName="_GBC_82d4d111ca814e6e8bc6333372aa0397" concept="clcid-pte:QiTaYingShouKuanHuaiZhangZhunBeiBenQiZhuanRuDiErJieDuanDiSanJieDuan" label="其他应收款坏账准备本期转入第二阶段（第三阶段）" mulRef="_GBC_10c7491cbac54cf6a1a375367db16baf" unitRef="_GBC_01762fded69841c1b87d684f3bcfb97f" addr="T0R4C3S1_1" formatStyle="Comma" appId="_GBC_550996ad46c8493eb98c011d7acf7dfb">
        <m:axisValue occRef="母公司"/>
      </m:item>
      <m:item xlName="_GBC_e3a6e34bacd645f19c997c962a80d69e" concept="clcid-pte:QiTaYingShouKuanHuaiZhangZhunBeiBenQiZhuanRuDiErJieDuanJieDuanHeJi" label="其他应收款坏账准备本期转入第二阶段阶段合计" mulRef="_GBC_10c7491cbac54cf6a1a375367db16baf" unitRef="_GBC_01762fded69841c1b87d684f3bcfb97f" addr="T0R4C4S1_1" formatStyle="Comma" appId="_GBC_550996ad46c8493eb98c011d7acf7dfb">
        <m:axisValue occRef="母公司"/>
      </m:item>
      <m:placeholder xlName="_PLD_d51399c00ed54bda86e4c2bd21c762c0" addr="T0R5C0S1_1"/>
      <m:item xlName="_GBC_26bef5529a254d7db56dba59ba9e5782" concept="clcid-pte:QiTaYingShouKuanHuaiZhangZhunBeiBenQiZhuanRuDiSanJieDuanDiYiJieDuan" label="其他应收款坏账准备本期转入第三阶段（第一阶段）" mulRef="_GBC_10c7491cbac54cf6a1a375367db16baf" unitRef="_GBC_01762fded69841c1b87d684f3bcfb97f" addr="T0R5C1S1_1" formatStyle="Comma" appId="_GBC_550996ad46c8493eb98c011d7acf7dfb">
        <m:axisValue occRef="母公司"/>
      </m:item>
      <m:item xlName="_GBC_4ab91a1b87814b228a93ceb49ebcbf15" concept="clcid-pte:QiTaYingShouKuanHuaiZhangZhunBeiBenQiZhuanRuDiSanJieDuanDiErJieDuan" label="其他应收款坏账准备本期转入第三阶段（第二阶段）" mulRef="_GBC_10c7491cbac54cf6a1a375367db16baf" unitRef="_GBC_01762fded69841c1b87d684f3bcfb97f" addr="T0R5C2S1_1" formatStyle="Comma" appId="_GBC_550996ad46c8493eb98c011d7acf7dfb">
        <m:axisValue occRef="母公司"/>
      </m:item>
      <m:item xlName="_GBC_42a0abe0554c40b7b594374a8d8de469" concept="clcid-pte:QiTaYingShouKuanHuaiZhangZhunBeiBenQiZhuanRuDiSanJieDuanDiSanJieDuan" label="其他应收款坏账准备本期转入第三阶段（第三阶段）" mulRef="_GBC_10c7491cbac54cf6a1a375367db16baf" unitRef="_GBC_01762fded69841c1b87d684f3bcfb97f" addr="T0R5C3S1_1" formatStyle="Comma" appId="_GBC_550996ad46c8493eb98c011d7acf7dfb">
        <m:axisValue occRef="母公司"/>
      </m:item>
      <m:item xlName="_GBC_d1e9253074b147beb6d3d09dc5d04d54" concept="clcid-pte:QiTaYingShouKuanHuaiZhangZhunBeiBenQiZhuanRuDiSanJieDuanJieDuanHeJi" label="其他应收款坏账准备本期转入第三阶段阶段合计" mulRef="_GBC_10c7491cbac54cf6a1a375367db16baf" unitRef="_GBC_01762fded69841c1b87d684f3bcfb97f" addr="T0R5C4S1_1" formatStyle="Comma" appId="_GBC_550996ad46c8493eb98c011d7acf7dfb">
        <m:axisValue occRef="母公司"/>
      </m:item>
      <m:placeholder xlName="_PLD_263f4e1c664a4834a814f0a366c8e919" addr="T0R6C0S1_1"/>
      <m:item xlName="_GBC_64855b0928d84833bc126a71975be1b7" concept="clcid-pte:QiTaYingShouKuanHuaiZhangZhunBeiBenQiZhuanHuiDiErJieDuanDiYiJieDuan" label="其他应收款坏账准备本期转回第二阶段（第一阶段）" mulRef="_GBC_10c7491cbac54cf6a1a375367db16baf" unitRef="_GBC_01762fded69841c1b87d684f3bcfb97f" addr="T0R6C1S1_1" formatStyle="Comma" appId="_GBC_550996ad46c8493eb98c011d7acf7dfb">
        <m:axisValue occRef="母公司"/>
      </m:item>
      <m:item xlName="_GBC_80a83aed4f5346e5b5785f593355b620" concept="clcid-pte:QiTaYingShouKuanHuaiZhangZhunBeiBenQiZhuanHuiDiErJieDuanDiErJieDuan" label="其他应收款坏账准备本期转回第二阶段（第二阶段）" mulRef="_GBC_10c7491cbac54cf6a1a375367db16baf" unitRef="_GBC_01762fded69841c1b87d684f3bcfb97f" addr="T0R6C2S1_1" formatStyle="Comma" appId="_GBC_550996ad46c8493eb98c011d7acf7dfb">
        <m:axisValue occRef="母公司"/>
      </m:item>
      <m:item xlName="_GBC_0e7d8340a2f143968f64a283a89dfe0a" concept="clcid-pte:QiTaYingShouKuanHuaiZhangZhunBeiBenQiZhuanHuiDiErJieDuanDiSanJieDuan" label="其他应收款坏账准备本期转回第二阶段（第三阶段）" mulRef="_GBC_10c7491cbac54cf6a1a375367db16baf" unitRef="_GBC_01762fded69841c1b87d684f3bcfb97f" addr="T0R6C3S1_1" formatStyle="Comma" appId="_GBC_550996ad46c8493eb98c011d7acf7dfb">
        <m:axisValue occRef="母公司"/>
      </m:item>
      <m:item xlName="_GBC_3c3b65f79c1742b093a530a66c179ad2" concept="clcid-pte:QiTaYingShouKuanHuaiZhangZhunBeiBenQiZhuanHuiDiErJieDuanJieDuanHeJi" label="其他应收款坏账准备本期转回第二阶段阶段合计" mulRef="_GBC_10c7491cbac54cf6a1a375367db16baf" unitRef="_GBC_01762fded69841c1b87d684f3bcfb97f" addr="T0R6C4S1_1" formatStyle="Comma" appId="_GBC_550996ad46c8493eb98c011d7acf7dfb">
        <m:axisValue occRef="母公司"/>
      </m:item>
      <m:placeholder xlName="_PLD_7103eee28f42440cb40df55e6701cb49" addr="T0R7C0S1_1"/>
      <m:item xlName="_GBC_5490db1cb2d14c09bd79e8e3dec34fdc" concept="clcid-pte:QiTaYingShouKuanHuaiZhangZhunBeiBenQiZhuanHuiDiYiJieDuanDiYiJieDuan" label="其他应收款坏账准备本期转回第一阶段（第一阶段）" mulRef="_GBC_10c7491cbac54cf6a1a375367db16baf" unitRef="_GBC_01762fded69841c1b87d684f3bcfb97f" addr="T0R7C1S1_1" formatStyle="Comma" appId="_GBC_550996ad46c8493eb98c011d7acf7dfb">
        <m:axisValue occRef="母公司"/>
      </m:item>
      <m:item xlName="_GBC_71e5e9f5b45c4816b2420bb0c224f56e" concept="clcid-pte:QiTaYingShouKuanHuaiZhangZhunBeiBenQiZhuanHuiDiYiJieDuanDiErJieDuan" label="其他应收款坏账准备本期转回第一阶段（第二阶段）" mulRef="_GBC_10c7491cbac54cf6a1a375367db16baf" unitRef="_GBC_01762fded69841c1b87d684f3bcfb97f" addr="T0R7C2S1_1" formatStyle="Comma" appId="_GBC_550996ad46c8493eb98c011d7acf7dfb">
        <m:axisValue occRef="母公司"/>
      </m:item>
      <m:item xlName="_GBC_5448e568f2524d79a92a6d3e3e567189" concept="clcid-pte:QiTaYingShouKuanHuaiZhangZhunBeiBenQiZhuanHuiDiYiJieDuanDiSanJieDuan" label="其他应收款坏账准备本期转回第一阶段（第三阶段）" mulRef="_GBC_10c7491cbac54cf6a1a375367db16baf" unitRef="_GBC_01762fded69841c1b87d684f3bcfb97f" addr="T0R7C3S1_1" formatStyle="Comma" appId="_GBC_550996ad46c8493eb98c011d7acf7dfb">
        <m:axisValue occRef="母公司"/>
      </m:item>
      <m:item xlName="_GBC_257f92b8b57f42d8beeab21dfe80d1d1" concept="clcid-pte:QiTaYingShouKuanHuaiZhangZhunBeiBenQiZhuanHuiDiYiJieDuanJieDuanHeJi" label="其他应收款坏账准备本期转回第一阶段阶段合计" mulRef="_GBC_10c7491cbac54cf6a1a375367db16baf" unitRef="_GBC_01762fded69841c1b87d684f3bcfb97f" addr="T0R7C4S1_1" formatStyle="Comma" appId="_GBC_550996ad46c8493eb98c011d7acf7dfb">
        <m:axisValue occRef="母公司"/>
      </m:item>
      <m:placeholder xlName="_PLD_bb1ed7ee4d284f95847b09a20e54710f" addr="T0R8C0S1_1"/>
      <m:item xlName="_GBC_5776a833b1cb431483976959301b10c0" concept="clcid-pte:QiTaYingShouKuanHuaiZhangZhunBeiBenQiXinZengJiTiDiYiJieDuan" label="其他应收款坏账准备本期新增计提（第一阶段）" mulRef="_GBC_10c7491cbac54cf6a1a375367db16baf" unitRef="_GBC_01762fded69841c1b87d684f3bcfb97f" addr="T0R8C1S1_1" formatStyle="Comma" appId="_GBC_550996ad46c8493eb98c011d7acf7dfb">
        <m:axisValue occRef="母公司"/>
      </m:item>
      <m:item xlName="_GBC_8ab4b11e56e747238d8e884bb85015c9" concept="clcid-pte:QiTaYingShouKuanHuaiZhangZhunBeiBenQiXinZengJiTiDiErJieDuan" label="其他应收款坏账准备本期新增计提（第二阶段）" mulRef="_GBC_10c7491cbac54cf6a1a375367db16baf" unitRef="_GBC_01762fded69841c1b87d684f3bcfb97f" addr="T0R8C2S1_1" formatStyle="Comma" appId="_GBC_550996ad46c8493eb98c011d7acf7dfb">
        <m:axisValue occRef="母公司"/>
      </m:item>
      <m:item xlName="_GBC_5f3d774dccc147159f7e65914bbfd97b" concept="clcid-pte:QiTaYingShouKuanHuaiZhangZhunBeiBenQiXinZengJiTiDiSanJieDuan" label="其他应收款坏账准备本期新增计提（第三阶段）" mulRef="_GBC_10c7491cbac54cf6a1a375367db16baf" unitRef="_GBC_01762fded69841c1b87d684f3bcfb97f" addr="T0R8C3S1_1" formatStyle="Comma" appId="_GBC_550996ad46c8493eb98c011d7acf7dfb">
        <m:axisValue occRef="母公司"/>
      </m:item>
      <m:item xlName="_GBC_5b4d46e12fe246449d9c72e6b9199c14" concept="clcid-pte:QiTaYingShouKuanHuaiZhangZhunBeiBenQiXinZengJiTiJieDuanHeJi" label="其他应收款坏账准备本期新增计提阶段合计" mulRef="_GBC_10c7491cbac54cf6a1a375367db16baf" unitRef="_GBC_01762fded69841c1b87d684f3bcfb97f" addr="T0R8C4S1_1" formatStyle="Comma" appId="_GBC_550996ad46c8493eb98c011d7acf7dfb">
        <m:axisValue occRef="母公司"/>
      </m:item>
      <m:placeholder xlName="_PLD_4f4ae619a7e049d7a297497cfaf7c7a3" addr="T0R9C0S1_1"/>
      <m:item xlName="_GBC_09f493746f944267b74cc3153905b420" concept="clcid-pte:QiTaYingShouKuanHuaiZhangZhunBeiBenQiZhuanHuiDiYiJieDuan" label="其他应收款坏账准备本期转回（第一阶段）" mulRef="_GBC_10c7491cbac54cf6a1a375367db16baf" unitRef="_GBC_01762fded69841c1b87d684f3bcfb97f" addr="T0R9C1S1_1" formatStyle="Comma" appId="_GBC_550996ad46c8493eb98c011d7acf7dfb">
        <m:axisValue occRef="母公司"/>
      </m:item>
      <m:item xlName="_GBC_c5a6409d02904fa8bd39008869504390" concept="clcid-pte:QiTaYingShouKuanHuaiZhangZhunBeiBenQiZhuanHuiDiErJieDuan" label="其他应收款坏账准备本期转回（第二阶段）" mulRef="_GBC_10c7491cbac54cf6a1a375367db16baf" unitRef="_GBC_01762fded69841c1b87d684f3bcfb97f" addr="T0R9C2S1_1" formatStyle="Comma" appId="_GBC_550996ad46c8493eb98c011d7acf7dfb">
        <m:axisValue occRef="母公司"/>
      </m:item>
      <m:item xlName="_GBC_3eede7fcfbba414f97c1d824e3481967" concept="clcid-pte:QiTaYingShouKuanHuaiZhangZhunBeiBenQiZhuanHuiDiSanJieDuan" label="其他应收款坏账准备本期转回（第三阶段）" mulRef="_GBC_10c7491cbac54cf6a1a375367db16baf" unitRef="_GBC_01762fded69841c1b87d684f3bcfb97f" addr="T0R9C3S1_1" formatStyle="Comma" appId="_GBC_550996ad46c8493eb98c011d7acf7dfb">
        <m:axisValue occRef="母公司"/>
      </m:item>
      <m:item xlName="_GBC_712e8fe5718948698513bb9f409acb7e" concept="clcid-pte:QiTaYingShouKuanHuaiZhangZhunBeiBenQiZhuanHuiJieDuanHeJi" label="其他应收款坏账准备本期转回阶段合计" mulRef="_GBC_10c7491cbac54cf6a1a375367db16baf" unitRef="_GBC_01762fded69841c1b87d684f3bcfb97f" addr="T0R9C4S1_1" formatStyle="Comma" appId="_GBC_550996ad46c8493eb98c011d7acf7dfb">
        <m:axisValue occRef="母公司"/>
      </m:item>
      <m:placeholder xlName="_PLD_f623f4998cf8469785fccf1dc23e23f4" addr="T0R10C0S1_1"/>
      <m:item xlName="_GBC_6fcbd4f08f8d4f1db7ff0524e5762dfd" concept="clcid-pte:QiTaYingShouKuanHuaiZhangZhunBeiBenQiZhuanXiaoDiYiJieDuan" label="其他应收款坏账准备本期转销（第一阶段）" mulRef="_GBC_10c7491cbac54cf6a1a375367db16baf" unitRef="_GBC_01762fded69841c1b87d684f3bcfb97f" addr="T0R10C1S1_1" formatStyle="Comma" appId="_GBC_550996ad46c8493eb98c011d7acf7dfb">
        <m:axisValue occRef="母公司"/>
      </m:item>
      <m:item xlName="_GBC_092034092f6a40c79a0b3e6d1ab81e5a" concept="clcid-pte:QiTaYingShouKuanHuaiZhangZhunBeiBenQiZhuanXiaoDiErJieDuan" label="其他应收款坏账准备本期转销（第二阶段）" mulRef="_GBC_10c7491cbac54cf6a1a375367db16baf" unitRef="_GBC_01762fded69841c1b87d684f3bcfb97f" addr="T0R10C2S1_1" formatStyle="Comma" appId="_GBC_550996ad46c8493eb98c011d7acf7dfb">
        <m:axisValue occRef="母公司"/>
      </m:item>
      <m:item xlName="_GBC_d47618fd61fb4322a470bf60f6849e08" concept="clcid-pte:QiTaYingShouKuanHuaiZhangZhunBeiBenQiZhuanXiaoDiSanJieDuan" label="其他应收款坏账准备本期转销（第三阶段）" mulRef="_GBC_10c7491cbac54cf6a1a375367db16baf" unitRef="_GBC_01762fded69841c1b87d684f3bcfb97f" addr="T0R10C3S1_1" formatStyle="Comma" appId="_GBC_550996ad46c8493eb98c011d7acf7dfb">
        <m:axisValue occRef="母公司"/>
      </m:item>
      <m:item xlName="_GBC_c65a46dd8b5e4c14b7f3a9d90e452f16" concept="clcid-pte:QiTaYingShouKuanHuaiZhangZhunBeiBenQiZhuanXiaoJieDuanHeJi" label="其他应收款坏账准备本期转销阶段合计" mulRef="_GBC_10c7491cbac54cf6a1a375367db16baf" unitRef="_GBC_01762fded69841c1b87d684f3bcfb97f" addr="T0R10C4S1_1" formatStyle="Comma" appId="_GBC_550996ad46c8493eb98c011d7acf7dfb">
        <m:axisValue occRef="母公司"/>
      </m:item>
      <m:placeholder xlName="_PLD_7d1faf2fb9f748e597402d52d41da0c3" addr="T0R11C0S1_1"/>
      <m:item xlName="_GBC_721e4d8a6cf143b1ae7ceefc973d2afc" concept="clcid-pte:QiTaYingShouKuanHuaiZhangZhunBeiBenQiHeXiaoDiYiJieDuan" label="其他应收款坏账准备本期核销（第一阶段）" mulRef="_GBC_10c7491cbac54cf6a1a375367db16baf" unitRef="_GBC_01762fded69841c1b87d684f3bcfb97f" addr="T0R11C1S1_1" formatStyle="Comma" appId="_GBC_550996ad46c8493eb98c011d7acf7dfb">
        <m:axisValue occRef="母公司"/>
      </m:item>
      <m:item xlName="_GBC_5970db667d47466e932f6d20e5d1780e" concept="clcid-pte:QiTaYingShouKuanHuaiZhangZhunBeiBenQiHeXiaoDiErJieDuan" label="其他应收款坏账准备本期核销（第二阶段）" mulRef="_GBC_10c7491cbac54cf6a1a375367db16baf" unitRef="_GBC_01762fded69841c1b87d684f3bcfb97f" addr="T0R11C2S1_1" formatStyle="Comma" appId="_GBC_550996ad46c8493eb98c011d7acf7dfb">
        <m:axisValue occRef="母公司"/>
      </m:item>
      <m:item xlName="_GBC_9807173c34b8471c9ddcaf9d4b4082c3" concept="clcid-pte:QiTaYingShouKuanHuaiZhangZhunBeiBenQiHeXiaoDiSanJieDuan" label="其他应收款坏账准备本期核销（第三阶段）" mulRef="_GBC_10c7491cbac54cf6a1a375367db16baf" unitRef="_GBC_01762fded69841c1b87d684f3bcfb97f" addr="T0R11C3S1_1" formatStyle="Comma" appId="_GBC_550996ad46c8493eb98c011d7acf7dfb">
        <m:axisValue occRef="母公司"/>
      </m:item>
      <m:item xlName="_GBC_1e976e02919a4c4fb113865da9ff7864" concept="clcid-pte:QiTaYingShouKuanHuaiZhangZhunBeiBenQiHeXiaoJieDuanHeJi" label="其他应收款坏账准备本期核销阶段合计" mulRef="_GBC_10c7491cbac54cf6a1a375367db16baf" unitRef="_GBC_01762fded69841c1b87d684f3bcfb97f" addr="T0R11C4S1_1" formatStyle="Comma" appId="_GBC_550996ad46c8493eb98c011d7acf7dfb">
        <m:axisValue occRef="母公司"/>
      </m:item>
      <m:placeholder xlName="_PLD_fd84f390e6184019aab02c9d3845e31d" addr="T0R12C0S1_1"/>
      <m:item xlName="_GBC_09c6e8d2e9ad40688dc34883c876fb4e" concept="clcid-pte:QiTaYingShouKuanHuaiZhangZhunBeiBenQiQiTaBianDongDiYiJieDuan" label="其他应收款坏账准备本期其他变动（第一阶段）" mulRef="_GBC_10c7491cbac54cf6a1a375367db16baf" unitRef="_GBC_01762fded69841c1b87d684f3bcfb97f" addr="T0R12C1S1_1" formatStyle="Comma" appId="_GBC_550996ad46c8493eb98c011d7acf7dfb">
        <m:axisValue occRef="母公司"/>
      </m:item>
      <m:item xlName="_GBC_cae6d3828ee24bd18fe8eb6fec4ef349" concept="clcid-pte:QiTaYingShouKuanHuaiZhangZhunBeiBenQiQiTaBianDongDiErJieDuan" label="其他应收款坏账准备本期其他变动（第二阶段）" mulRef="_GBC_10c7491cbac54cf6a1a375367db16baf" unitRef="_GBC_01762fded69841c1b87d684f3bcfb97f" addr="T0R12C2S1_1" formatStyle="Comma" appId="_GBC_550996ad46c8493eb98c011d7acf7dfb">
        <m:axisValue occRef="母公司"/>
      </m:item>
      <m:item xlName="_GBC_6f1c6bcbefd245ad941f967a3bff8f18" concept="clcid-pte:QiTaYingShouKuanHuaiZhangZhunBeiBenQiQiTaBianDongDiSanJieDuan" label="其他应收款坏账准备本期其他变动（第三阶段）" mulRef="_GBC_10c7491cbac54cf6a1a375367db16baf" unitRef="_GBC_01762fded69841c1b87d684f3bcfb97f" addr="T0R12C3S1_1" formatStyle="Comma" appId="_GBC_550996ad46c8493eb98c011d7acf7dfb">
        <m:axisValue occRef="母公司"/>
      </m:item>
      <m:item xlName="_GBC_c6efe2c58299478b893738c6b495f42b" concept="clcid-pte:QiTaYingShouKuanHuaiZhangZhunBeiBenQiQiTaBianDongJieDuanHeJi" label="其他应收款坏账准备本期其他变动阶段合计" mulRef="_GBC_10c7491cbac54cf6a1a375367db16baf" unitRef="_GBC_01762fded69841c1b87d684f3bcfb97f" addr="T0R12C4S1_1" formatStyle="Comma" appId="_GBC_550996ad46c8493eb98c011d7acf7dfb">
        <m:axisValue occRef="母公司"/>
      </m:item>
      <m:placeholder xlName="_PLD_04cab04851ab496e8220fc8c946b10a5" addr="T0R13C0S1_1"/>
      <m:item xlName="_GBC_4f29faea14be4c278ac70ac3908bcfad" concept="clcid-pte:QiTaYingShouKuanHuaiZhangZhunBeiDiYiJieDuan" label="其他应收款坏账准备（第一阶段）" mulRef="_GBC_10c7491cbac54cf6a1a375367db16baf" unitRef="_GBC_01762fded69841c1b87d684f3bcfb97f" addr="T0R13C1S1_1" formatStyle="Comma" appId="_GBC_550996ad46c8493eb98c011d7acf7dfb">
        <m:axisValue occRef="母公司"/>
      </m:item>
      <m:item xlName="_GBC_d37140e79caf443b9c0962742bdcab0a" concept="clcid-pte:QiTaYingShouKuanHuaiZhangZhunBeiDiErJieDuan" label="其他应收款坏账准备（第二阶段）" mulRef="_GBC_10c7491cbac54cf6a1a375367db16baf" unitRef="_GBC_01762fded69841c1b87d684f3bcfb97f" addr="T0R13C2S1_1" formatStyle="Comma" appId="_GBC_550996ad46c8493eb98c011d7acf7dfb">
        <m:axisValue occRef="母公司"/>
      </m:item>
      <m:item xlName="_GBC_6ae9309617fd48848cf660a9b1bde4ec" concept="clcid-pte:QiTaYingShouKuanHuaiZhangZhunBeiDiSanJieDuan" label="其他应收款坏账准备（第三阶段）" mulRef="_GBC_10c7491cbac54cf6a1a375367db16baf" unitRef="_GBC_01762fded69841c1b87d684f3bcfb97f" addr="T0R13C3S1_1" formatStyle="Comma" appId="_GBC_550996ad46c8493eb98c011d7acf7dfb">
        <m:axisValue occRef="母公司"/>
      </m:item>
      <m:item xlName="_GBC_e928a248b23942189b6bcf444f472147" concept="clcid-pte:QiTaYingShouKuanHuaiZhangZhunBei" label="其他应收款坏账准备" mulRef="_GBC_10c7491cbac54cf6a1a375367db16baf" unitRef="_GBC_01762fded69841c1b87d684f3bcfb97f" addr="T0R13C4S1_1" formatStyle="Comma" appId="_GBC_550996ad46c8493eb98c011d7acf7dfb">
        <m:axisValue occRef="母公司"/>
      </m:item>
      <m:item xlName="_GBC_51a7e143899e4bf4887327bb018327b9"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51a7e143899e4bf4887327bb018327b9&quot;,&quot;EndName&quot;:&quot;_GBC_0e658f1d57fa4ea09e73b239d6077cef&quot;,&quot;CType&quot;:1}]"/>
      <m:item xlName="_GBC_0e658f1d57fa4ea09e73b239d6077cef" concept="clcid-pte:QiTaYingShouKuanBenQiFaShengSunShiZhunBeiBianDongQieZhangMianYuEXianZhuBianDongDeQingKuangShuoMing" label="其他应收款本期发生损失准备变动且账面余额显著变动的情况说明" appId="_GBC_51a7e143899e4bf4887327bb018327b9">
        <m:axisValue occRef="母公司"/>
      </m:item>
      <m:item xlName="_GBC_d5682930254743bebaaf3c46f4513c04"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d5682930254743bebaaf3c46f4513c04&quot;,&quot;EndName&quot;:&quot;_GBC_609f536caff4403c80cde11bb3c55f04&quot;,&quot;CType&quot;:1}]"/>
      <m:item xlName="_GBC_609f536caff4403c80cde11bb3c55f04" concept="clcid-pte:QiTaYingShouKuanBenQiHuaiZhangZhunBeiJiTiJinEYiJiPingGuJinRongGongJuDeXinYongFengXianXianZhuZengJiaDeCaiYongYiJu" label="其他应收款本期坏账准备计提金额以及评估金融工具的信用风险显著增加的采用依据" appId="_GBC_d5682930254743bebaaf3c46f4513c04">
        <m:axisValue occRef="母公司"/>
      </m:item>
    </m:section>
    <m:section xlName="_SEC_7efe43f77bc44437a16fe9cc44dc64d6" title="坏账准备的情况">
      <m:item xlName="_GBC_746f45a984d44f56a795e5587d8e7cf2" concept="clcid-ci-ar:ShiFouShiYongMuGongSiQiTaYingShouKuanHuaiZhangZhunBeiQingKuang" label="是否适用：母公司其他应收款坏账准备情况" selectOptions="_buildInAppliance" controlType="CustomCheckbox" cRanges="[{&quot;StartName&quot;:&quot;_GBC_746f45a984d44f56a795e5587d8e7cf2&quot;,&quot;EndName&quot;:&quot;_GBC_9629b74871f94f868c257918565ec205&quot;,&quot;CType&quot;:1}]"/>
      <m:item xlName="_GBC_61bb3d08ce2d41d5ad87b4c691e409ad" concept="clcid-ci-ar:DanWeiQiTaYingShouKuanHuaiZhangZhunBei" label="单位：其他应收款坏账准备" selectOptions="_buildInScales" controlType="Combobox" cellType="Scale" appId="_GBC_746f45a984d44f56a795e5587d8e7cf2"/>
      <m:item xlName="_GBC_d9e85c814c564e7782149971f7c23ba2" concept="clcid-ci-ar:BiZhongQiTaYingShouKuanHuaiZhangZhunBei" label="币种：其他应收款坏账准备" selectOptions="_buildInISO4217" controlType="Combobox" cellType="Measure" appId="_GBC_746f45a984d44f56a795e5587d8e7cf2"/>
      <m:placeholder xlName="_PLD_eb515a63c0e744098c94b279d63caf4e" addr="T0R0C0S2_1"/>
      <m:placeholder xlName="_PLD_a39850dac4d142e8b7a712dce9edad36" addr="T0R0C1S2_1"/>
      <m:placeholder xlName="_PLD_96686c7add8a4f2a8fa109c753f44a0b" addr="T0R0C2S1_4"/>
      <m:placeholder xlName="_PLD_2aef0abd937f4f5283fac84c8a1afc2d" addr="T0R0C6S2_1"/>
      <m:placeholder xlName="_PLD_0d882cd108804ecc85c8ea70ca9a0022" addr="T0R1C2S1_1"/>
      <m:placeholder xlName="_PLD_e2116bf770074307b5326d2e261c8b91" addr="T0R1C3S1_1"/>
      <m:placeholder xlName="_PLD_ecb1755ff206448580b99e0999e516f9" addr="T0R1C4S1_1"/>
      <m:placeholder xlName="_PLD_1b39a62bca3c4844a14e6b043f874971" addr="T0R1C5S1_1"/>
      <m:tuple xlName="_TUP_57c26c8d4c2d4626b7f224edb53fa9e6" concept="clcid-pte:QiTaYingShouKuanHuaiZhangZhunBeiMingXi" default_row="2" addr="T0R2C">
        <m:item xlName="_GBC_813da58f85c2405e8983e9ce80356984" concept="clcid-pte:QiTaYingShouKuanHuaiZhangZhunBeiMingXiLeiBie" label="其他应收款坏账准备明细-类别" addr="T0R2C0S1_1" appId="_GBC_746f45a984d44f56a795e5587d8e7cf2">
          <m:axisValue occRef="母公司"/>
        </m:item>
        <m:item xlName="_GBC_5abf71a9abae451aaa14c165be95766d" concept="clcid-pte:QiTaYingShouKuanHuaiZhangZhunBeiMingXiFaShengE" label="其他应收款坏账准备明细-发生额" periodRef="本期期初数" mulRef="_GBC_61bb3d08ce2d41d5ad87b4c691e409ad" unitRef="_GBC_d9e85c814c564e7782149971f7c23ba2" addr="T0R2C1S1_1" formatStyle="Comma" appId="_GBC_746f45a984d44f56a795e5587d8e7cf2">
          <m:axisValue occRef="母公司"/>
        </m:item>
        <m:item xlName="_GBC_15756492c21b4153871706fa2118e439" concept="clcid-pte:QiTaYingShouKuanHuaiZhangZhunBeiMingXiBenQiJiTi" label="其他应收款坏账准备明细-本期计提" mulRef="_GBC_61bb3d08ce2d41d5ad87b4c691e409ad" unitRef="_GBC_d9e85c814c564e7782149971f7c23ba2" addr="T0R2C2S1_1" formatStyle="Comma" appId="_GBC_746f45a984d44f56a795e5587d8e7cf2">
          <m:axisValue occRef="母公司"/>
        </m:item>
        <m:item xlName="_GBC_7c7cfe91aca1431d823d02c9ac751d43" concept="clcid-pte:QiTaYingShouKuanHuaiZhangZhunBeiMingXiShouHuiHuoZhuanHui" label="其他应收款坏账准备明细-收回或转回" mulRef="_GBC_61bb3d08ce2d41d5ad87b4c691e409ad" unitRef="_GBC_d9e85c814c564e7782149971f7c23ba2" addr="T0R2C3S1_1" formatStyle="Comma" appId="_GBC_746f45a984d44f56a795e5587d8e7cf2">
          <m:axisValue occRef="母公司"/>
        </m:item>
        <m:item xlName="_GBC_d465819d7cc546f8ad6dd78ad6fac001" concept="clcid-pte:QiTaYingShouKuanHuaiZhangZhunBeiMingXiZhuanXiaoHuoHeXiao" label="其他应收款坏账准备明细-转销或核销" mulRef="_GBC_61bb3d08ce2d41d5ad87b4c691e409ad" unitRef="_GBC_d9e85c814c564e7782149971f7c23ba2" addr="T0R2C4S1_1" formatStyle="Comma" appId="_GBC_746f45a984d44f56a795e5587d8e7cf2">
          <m:axisValue occRef="母公司"/>
        </m:item>
        <m:item xlName="_GBC_cbf6f827d2d74707bc3e329b349d4593" concept="clcid-pte:QiTaYingShouKuanHuaiZhangZhunBeiMingXiQiTaBianDong" label="其他应收款坏账准备明细-其他变动" mulRef="_GBC_61bb3d08ce2d41d5ad87b4c691e409ad" unitRef="_GBC_d9e85c814c564e7782149971f7c23ba2" addr="T0R2C5S1_1" formatStyle="Comma" appId="_GBC_746f45a984d44f56a795e5587d8e7cf2">
          <m:axisValue occRef="母公司"/>
        </m:item>
        <m:item xlName="_GBC_4d9aa623c0214015ba241e228f5b509e" concept="clcid-pte:QiTaYingShouKuanHuaiZhangZhunBeiMingXiFaShengE" label="其他应收款坏账准备明细-发生额" mulRef="_GBC_61bb3d08ce2d41d5ad87b4c691e409ad" unitRef="_GBC_d9e85c814c564e7782149971f7c23ba2" addr="T0R2C6S1_1" formatStyle="Comma" appId="_GBC_746f45a984d44f56a795e5587d8e7cf2">
          <m:axisValue occRef="母公司"/>
        </m:item>
      </m:tuple>
      <m:placeholder xlName="_PLD_6ecf64f375dd47799ee393325abe39ea" addr="T0R4C0S1_1"/>
      <m:item xlName="_GBC_4d74fb9586e2473ba7d17ce0cd4a9cd4" concept="clcid-pte:QiTaYingShouKuanJiTiDeHuaiZhangZhunBeiYuE" label="其他应收款计提的坏账准备余额" periodRef="本期期初数" mulRef="_GBC_61bb3d08ce2d41d5ad87b4c691e409ad" unitRef="_GBC_d9e85c814c564e7782149971f7c23ba2" addr="T0R4C1S1_1" formatStyle="Comma" appId="_GBC_746f45a984d44f56a795e5587d8e7cf2">
        <m:complexRule comparator="Eq" title="母公司其他应收款计提的坏账准备余额@本期期初数" test=" $_GBC_5abf71a9abae451aaa14c165be95766d" id="C2921d773a1434e2388e7d97a1a550979"/>
        <m:axisValue occRef="母公司"/>
      </m:item>
      <m:item xlName="_GBC_f1a77673f83c463c913a83f2a45c281a" concept="clcid-pte:QiTaYingShouKuanHuaiZhangZhunBeiBenQiJiTi" label="其他应收款坏账准备本期计提" mulRef="_GBC_61bb3d08ce2d41d5ad87b4c691e409ad" unitRef="_GBC_d9e85c814c564e7782149971f7c23ba2" addr="T0R4C2S1_1" formatStyle="Comma" appId="_GBC_746f45a984d44f56a795e5587d8e7cf2">
        <m:complexRule comparator="Eq" title="母公司其他应收款坏账准备本期计提" test=" $_GBC_15756492c21b4153871706fa2118e439" id="C8cd347753e554b9288ae8f1cf531f80a"/>
        <m:axisValue occRef="母公司"/>
      </m:item>
      <m:item xlName="_GBC_00557fede4944c43a2ede9426da3853b" concept="clcid-pte:QiTaYingShouKuanHuaiZhangZhunBeiBenQiShouHuiHuoZhuanHui" label="其他应收款坏账准备本期收回或转回" mulRef="_GBC_61bb3d08ce2d41d5ad87b4c691e409ad" unitRef="_GBC_d9e85c814c564e7782149971f7c23ba2" addr="T0R4C3S1_1" formatStyle="Comma" appId="_GBC_746f45a984d44f56a795e5587d8e7cf2">
        <m:complexRule comparator="Eq" title="母公司其他应收款坏账准备本期收回或转回" test=" $_GBC_7c7cfe91aca1431d823d02c9ac751d43" id="C57d90ee719a746dab1ecd21ee041d453"/>
        <m:axisValue occRef="母公司"/>
      </m:item>
      <m:item xlName="_GBC_710b145927754d75b6cbb35f12f4a51b" concept="clcid-pte:QiTaYingShouKuanHuaiZhangZhunBeiBenQiZhuanXiaoHuoHeXiao" label="其他应收款坏账准备本期转销或核销" mulRef="_GBC_61bb3d08ce2d41d5ad87b4c691e409ad" unitRef="_GBC_d9e85c814c564e7782149971f7c23ba2" addr="T0R4C4S1_1" formatStyle="Comma" appId="_GBC_746f45a984d44f56a795e5587d8e7cf2">
        <m:complexRule comparator="Eq" title="母公司其他应收款坏账准备本期转销或核销" test=" $_GBC_d465819d7cc546f8ad6dd78ad6fac001" id="Cf7cf2f832a2c48be8b0183a6adbcb50d"/>
        <m:axisValue occRef="母公司"/>
      </m:item>
      <m:item xlName="_GBC_211402f9d719401397625758a8109109" concept="clcid-pte:QiTaYingShouKuanHuaiZhangZhunBeiBenQiQiTaBianDong" label="其他应收款坏账准备本期其他变动" mulRef="_GBC_61bb3d08ce2d41d5ad87b4c691e409ad" unitRef="_GBC_d9e85c814c564e7782149971f7c23ba2" addr="T0R4C5S1_1" formatStyle="Comma" appId="_GBC_746f45a984d44f56a795e5587d8e7cf2">
        <m:complexRule comparator="Eq" title="母公司其他应收款坏账准备本期其他变动" test=" $_GBC_cbf6f827d2d74707bc3e329b349d4593" id="Cfb622668be4949f88c1d657744b77238"/>
        <m:axisValue occRef="母公司"/>
      </m:item>
      <m:item xlName="_GBC_9629b74871f94f868c257918565ec205" concept="clcid-pte:QiTaYingShouKuanJiTiDeHuaiZhangZhunBeiYuE" label="其他应收款计提的坏账准备余额" mulRef="_GBC_61bb3d08ce2d41d5ad87b4c691e409ad" unitRef="_GBC_d9e85c814c564e7782149971f7c23ba2" addr="T0R4C6S1_1" formatStyle="Comma" appId="_GBC_746f45a984d44f56a795e5587d8e7cf2">
        <m:complexRule comparator="Eq" title="母公司其他应收款计提的坏账准备余额" test=" $_GBC_4d9aa623c0214015ba241e228f5b509e" id="C2ecaab4b44be49439d4e647b598b566e"/>
        <m:axisValue occRef="母公司"/>
      </m:item>
      <m:item xlName="_GBC_4d2439aebd644da7889b9f279d8a4ec0" concept="clcid-ci-ar:ShiFouShiYongMuGongSiQiTaYingShouKuanHuaiZhangZhunBeiZhuanHuiHuoShouHuiJinEZhongYaoDe" label="是否适用：母公司其他应收款坏账准备转回或收回金额重要的" selectOptions="_buildInAppliance" controlType="CustomCheckbox" cRanges="[{&quot;StartName&quot;:&quot;_GBC_4d2439aebd644da7889b9f279d8a4ec0&quot;,&quot;EndName&quot;:&quot;_GBC_284ed9194b9e455b8779c04fbbee8484&quot;,&quot;CType&quot;:1}]"/>
      <m:item xlName="_GBC_f9bd8a37a7eb408cbc77eb121a926934" concept="clcid-ci-ar:DanWeiZhuanHuiHuoShouHuiQingKuang" label="单位：转回或收回情况" selectOptions="_buildInScales" controlType="Combobox" cellType="Scale" appId="_GBC_4d2439aebd644da7889b9f279d8a4ec0"/>
      <m:item xlName="_GBC_a001ddc6dd5d4f60b2ae534226e105c4" concept="clcid-ci-ar:BiZhongZhuanHuiHuoShouHuiQingKuang" label="币种：转回或收回情况" selectOptions="_buildInISO4217" controlType="Combobox" cellType="Measure" appId="_GBC_4d2439aebd644da7889b9f279d8a4ec0"/>
      <m:placeholder xlName="_PLD_2e113079e9de4ccda41bf9642c2e84e3" addr="T1R0C0S1_1"/>
      <m:placeholder xlName="_PLD_15dbdd7166a849f297796fe8ad53b07e" addr="T1R0C1S1_1"/>
      <m:placeholder xlName="_PLD_a69297614b4a4866978f3208191afe93" addr="T1R0C2S1_1"/>
      <m:tuple xlName="_TUP_b77e83e8058048b4b01864f85765fe67" concept="clcid-pte:ZhuanHuiHuoShouHuiDeQiTaYingShouZhangKuanMingXi" default_row="2" addr="T1R1C">
        <m:item xlName="_GBC_2c6e596a537347e4955e65750aed1aa9" concept="clcid-pte:ZhuanHuiHuoShouHuiDeQiTaYingShouZhangKuanMingXiDanWeiMingCheng" label="转回或收回的其他应收账款明细-单位名称" addr="T1R1C0S1_1" appId="_GBC_4d2439aebd644da7889b9f279d8a4ec0">
          <m:axisValue occRef="母公司"/>
        </m:item>
        <m:item xlName="_GBC_3c3d01a15d53445b9f7f33716185cc84" concept="clcid-pte:ZhuanHuiHuoShouHuiDeQiTaYingShouZhangKuanMingXiZhuanHuiHuoShouHuiJinE" label="转回或收回的其他应收账款明细-转回或收回金额" mulRef="_GBC_f9bd8a37a7eb408cbc77eb121a926934" unitRef="_GBC_a001ddc6dd5d4f60b2ae534226e105c4" addr="T1R1C1S1_1" formatStyle="Comma" appId="_GBC_4d2439aebd644da7889b9f279d8a4ec0">
          <m:axisValue occRef="母公司"/>
        </m:item>
        <m:item xlName="_GBC_55c88e9563ed4cc5894d37d81c76fcbb" concept="clcid-pte:ZhuanHuiHuoShouHuiDeQiTaYingShouZhangKuanMingXiShouHuiFangShi" label="转回或收回的其他应收账款明细-收回方式" addr="T1R1C2S1_1" appId="_GBC_4d2439aebd644da7889b9f279d8a4ec0">
          <m:axisValue occRef="母公司"/>
        </m:item>
      </m:tuple>
      <m:placeholder xlName="_PLD_a542ab364da44e658fb9e79c88d442b5" addr="T1R3C0S1_1"/>
      <m:item xlName="_GBC_284ed9194b9e455b8779c04fbbee8484" concept="clcid-pte:BenBaoGaoQiQiTaYingShouKuanHuaiZhangZhunBeiZhuanHuiHuoShouHuiJinEHeJi" label="本报告期其他应收款坏账准备转回或收回金额合计" mulRef="_GBC_f9bd8a37a7eb408cbc77eb121a926934" unitRef="_GBC_a001ddc6dd5d4f60b2ae534226e105c4" addr="T1R3C1S1_1" formatStyle="Comma" appId="_GBC_4d2439aebd644da7889b9f279d8a4ec0">
        <m:complexRule comparator="Eq" title="本报告期其他应收款坏账准备转回或收回金额合计" test=" $_GBC_3c3d01a15d53445b9f7f33716185cc84" id="C7ee146c1bec8485cacf6fd79e9616769"/>
        <m:axisValue occRef="母公司"/>
      </m:item>
    </m:section>
    <m:section xlName="_SEC_ffe6c87a4f4a49bd9769cbeb746b444b" title="本期实际核销的其他应收款情况">
      <m:item xlName="_GBC_dd1095756d2b471688ce5b700380fafc" concept="clcid-ci-ar:ShiFouShiYongMuGongSiBenQiShiJiHeXiaoDeQiTaYingShouKuanQingKuang" label="是否适用：母公司本期实际核销的其他应收款情况" selectOptions="_buildInAppliance" controlType="CustomCheckbox" cRanges="[{&quot;StartName&quot;:&quot;_GBC_dd1095756d2b471688ce5b700380fafc&quot;,&quot;EndName&quot;:&quot;_GBC_74af769c5c9b475e82f5208460c37431&quot;,&quot;CType&quot;:1}]"/>
      <m:item xlName="_GBC_6bfb7b987dd0421ca8824f9ee0b789b6" concept="clcid-ci-ar:DanWeiMuGongSiCaiWuFuZhuBenBaoGaoQiShiJiHeXiaoDeQiTaYingShouKuanXiangQingKuang" label="单位：母公司财务附注：本报告期实际核销的其他应收款项情况" selectOptions="_buildInScales" controlType="Combobox" cellType="Scale" appId="_GBC_dd1095756d2b471688ce5b700380fafc"/>
      <m:item xlName="_GBC_25dd773e7ed148488e339621c5c5cd77" concept="clcid-ci-ar:BiZhongMuGongSiCaiWuFuZhuBenBaoGaoQiShiJiHeXiaoDeQiTaYingShouKuanXiangQingKuang" label="币种：母公司财务附注：本报告期实际核销的其他应收款项情况" selectOptions="_buildInISO4217" controlType="Combobox" cellType="Measure" appId="_GBC_dd1095756d2b471688ce5b700380fafc"/>
      <m:placeholder xlName="_PLD_3bda66a88a0f43378c0d9cdba5902b4e" addr="T0R0C0S1_1"/>
      <m:placeholder xlName="_PLD_8cfc3ffe2fb944188661469f397542a4" addr="T0R0C1S1_1"/>
      <m:placeholder xlName="_PLD_1f1c1d43dd134d0e9e288123eac494e1" addr="T0R1C0S1_1"/>
      <m:item xlName="_GBC_3327faccde5d4322bd05d33acd51073e" concept="clcid-pte:QiTaYingShouKuanQianKuanChongXiaoHuaiZhangHeJi" label="其他应收款欠款冲销坏帐合计" mulRef="_GBC_6bfb7b987dd0421ca8824f9ee0b789b6" unitRef="_GBC_25dd773e7ed148488e339621c5c5cd77" addr="T0R1C1S1_1" formatStyle="Comma" appId="_GBC_dd1095756d2b471688ce5b700380fafc">
        <m:axisValue occRef="母公司"/>
      </m:item>
      <m:item xlName="_GBC_5dff1eacde3a41d6914cb7afef2e2acf" concept="clcid-ci-ar:ShiFouShiYongMuGongSiQiZhongZhongYaoDeQiTaYingShouKuanHeXiaoQingKuang" label="是否适用：母公司其中重要的其他应收款核销情况" selectOptions="_buildInAppliance" controlType="CustomCheckbox" cRanges="{&quot;StartName&quot;:&quot;_GBC_5dff1eacde3a41d6914cb7afef2e2acf&quot;,&quot;EndName&quot;:&quot;_GBC_74af769c5c9b475e82f5208460c37431&quot;,&quot;CType&quot;:1,&quot;DisplayText&quot;:null}"/>
      <m:item xlName="_GBC_1af4660a35e54341961319e9d3289f24" concept="clcid-ci-ar:DanWeiMuGongSiCaiWuFuZhuZhongYaoDeQiTaYingShouZhangKuanHeXiaoQingKuang" label="单位：母公司财务附注：重要的其他应收款核销情况" selectOptions="_buildInScales" controlType="Combobox" cellType="Scale" appId="_GBC_5dff1eacde3a41d6914cb7afef2e2acf"/>
      <m:item xlName="_GBC_d2094e5c242349d0b5573bd889e3019f" concept="clcid-ci-ar:BiZhongMuGongSiCaiWuFuZhuZhongYaoDeQiTaYingShouZhangKuanHeXiaoQingKuang" label="币种：母公司财务附注：重要的其他应收款核销情况" selectOptions="_buildInISO4217" controlType="Combobox" cellType="Measure" appId="_GBC_5dff1eacde3a41d6914cb7afef2e2acf"/>
      <m:placeholder xlName="_PLD_25d1f7aa76554bd3928fe23368151969" addr="T1R0C0S1_1"/>
      <m:placeholder xlName="_PLD_da16de5d67564adaa26efd51db5a40a8" addr="T1R0C1S1_1"/>
      <m:placeholder xlName="_PLD_4632f5c17a01474b9d41f945e56dc5a0" addr="T1R0C2S1_1"/>
      <m:placeholder xlName="_PLD_6ab805d83ff14e31850f1bb1fc9f4c9a" addr="T1R0C3S1_1"/>
      <m:placeholder xlName="_PLD_7336723b547041c3accef6787e5d14fd" addr="T1R0C4S1_1"/>
      <m:placeholder xlName="_PLD_b95a7b2dd38841fca5541e7277c68318" addr="T1R0C5S1_1"/>
      <m:tuple xlName="_GBC_b19b338bba604aff885640d6429bbf50" concept="clcid-pte:ZhongYaoDeQiTaYingShouZhangKuanHeXiaoMingXi" default_row="2" addr="T1R1C">
        <m:item xlName="_GBC_c3545230e35647e586ccc254b4d62be7" concept="clcid-pte:ZhongYaoDeQiTaYingShouZhangKuanHeXiaoMingXiDanWeiMingCheng" label="重要的其他应收账款核销明细-单位名称" addr="T1R1C0S1_1" appId="_GBC_5dff1eacde3a41d6914cb7afef2e2acf">
          <m:axisValue occRef="母公司"/>
        </m:item>
        <m:item xlName="_GBC_1aee5bec19db4d4481372bb4fd690dd7" concept="clcid-pte:ZhongYaoDeQiTaYingShouZhangKuanHeXiaoMingXiQiTaYingShouKuanXingZhi" label="重要的其他应收账款核销明细-其他应收款性质" addr="T1R1C1S1_1" appId="_GBC_5dff1eacde3a41d6914cb7afef2e2acf">
          <m:axisValue occRef="母公司"/>
        </m:item>
        <m:item xlName="_GBC_8da910204e554568ae2e13a642436f96" concept="clcid-pte:ZhongYaoDeQiTaYingShouZhangKuanHeXiaoMingXiHeXiaoJinE" label="重要的其他应收账款核销明细-核销金额" mulRef="_GBC_1af4660a35e54341961319e9d3289f24" unitRef="_GBC_d2094e5c242349d0b5573bd889e3019f" addr="T1R1C2S1_1" formatStyle="Comma" appId="_GBC_5dff1eacde3a41d6914cb7afef2e2acf">
          <m:axisValue occRef="母公司"/>
        </m:item>
        <m:item xlName="_GBC_c8d8fde9b65e4cc588231ab3959f771d" concept="clcid-pte:ZhongYaoDeQiTaYingShouZhangKuanHeXiaoMingXiHeXiaoYuanYin" label="重要的其他应收账款核销明细-核销原因" addr="T1R1C3S1_1" appId="_GBC_5dff1eacde3a41d6914cb7afef2e2acf">
          <m:axisValue occRef="母公司"/>
        </m:item>
        <m:item xlName="_GBC_e5a2e8fe574c4a3e819451643247eba9" concept="clcid-pte:ZhongYaoDeQiTaYingShouZhangKuanHeXiaoMingXiLvXingDeHeXiaoChengXu" label="重要的其他应收账款核销明细-履行的核销程序" addr="T1R1C4S1_1" appId="_GBC_5dff1eacde3a41d6914cb7afef2e2acf">
          <m:axisValue occRef="母公司"/>
        </m:item>
        <m:item xlName="_GBC_339c8f36829f4a73903ff720c97dd8c8" concept="clcid-pte:ZhongYaoDeQiTaYingShouZhangKuanHeXiaoMingXiKuanXiangShiFouYinGuanLianJiaoYiChanSheng" label="重要的其他应收账款核销明细-款项是否因关联交易产生" selectOptions="_buildInYesNo" addr="T1R1C5S1_1" controlType="Combobox" appId="_GBC_5dff1eacde3a41d6914cb7afef2e2acf">
          <m:axisValue occRef="母公司"/>
        </m:item>
      </m:tuple>
      <m:placeholder xlName="_PLD_c2e8b02576dd4813a97e591fa45dd3a1" addr="T1R3C0S1_1"/>
      <m:item xlName="_GBC_74af769c5c9b475e82f5208460c37431" concept="clcid-pte:ZhongYaoDeQiTaYingShouZhangKuanHeXiaoJinEHeJi" label="重要的其他应收账款核销金额合计" mulRef="_GBC_1af4660a35e54341961319e9d3289f24" unitRef="_GBC_d2094e5c242349d0b5573bd889e3019f" addr="T1R3C2S1_1" formatStyle="Comma" appId="_GBC_5dff1eacde3a41d6914cb7afef2e2acf">
        <m:complexRule comparator="Eq" title="母公司重要的其他应收账款核销金额合计" test=" $_GBC_8da910204e554568ae2e13a642436f96" id="C2f84e1e3dfb34ed98eff1c43377e6bd7"/>
        <m:axisValue occRef="母公司"/>
      </m:item>
    </m:section>
    <m:section xlName="_SEC_6c44e00a54d34fb1a03f38b7cf5b8a5d" title="其他应收款核销说明：  ">
      <m:item xlName="_GBC_7e98a555990349648a39fba0c7228ab7" concept="clcid-ci-ar:ShiFouShiYongMuGongSiQiTaYingShouKuanHeXiaoShuoMing" label="是否适用：母公司其他应收款核销说明" selectOptions="_buildInAppliance" controlType="CustomCheckbox" cRanges="{&quot;StartName&quot;:&quot;_GBC_7e98a555990349648a39fba0c7228ab7&quot;,&quot;EndName&quot;:&quot;_GBC_4e2ce9316cca415ebb6562c1d3f5512d&quot;,&quot;CType&quot;:1,&quot;DisplayText&quot;:null}"/>
      <m:item xlName="_GBC_4e2ce9316cca415ebb6562c1d3f5512d" concept="clcid-pte:QiTaYingShouKuanChongXiaoHuaiZhangMingXiDeShuoMing" label="其他应收款冲销坏帐明细的说明" appId="_GBC_7e98a555990349648a39fba0c7228ab7">
        <m:axisValue occRef="母公司"/>
      </m:item>
    </m:section>
    <m:section xlName="_GBC_c77f7efeabc1402191807946a9bfe714" title="按欠款方归集的期末余额前五名的其他应收款情况" helpId="112002209">
      <m:item xlName="_GBC_c31bd7806af645a4b98780e353753bee"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c31bd7806af645a4b98780e353753bee&quot;,&quot;EndName&quot;:&quot;_GBC_69dfe7e67dd14571921bc600b58ea20c&quot;,&quot;CType&quot;:1,&quot;DisplayText&quot;:null}"/>
      <m:item xlName="_GBC_5eaec4085c10422f90a7a09ee515d922" concept="clcid-ci-ar:DanWeiMuGongSiCaiWuFuZhuQiTaYingShouZhangKuanQianWuMingQianKuanQingKuang" label="单位：母公司财务附注：其他应收账款前五名欠款情况" selectOptions="_buildInScales" controlType="Combobox" cellType="Scale" appId="_GBC_c31bd7806af645a4b98780e353753bee"/>
      <m:item xlName="_GBC_76fb156b47fb495eb1748f1f6ffdfc64" concept="clcid-ci-ar:BiZhongMuGongSiCaiWuFuZhuQiTaYingShouZhangKuanQianWuMingQianKuanQingKuang" label="币种：母公司财务附注：其他应收账款前五名欠款情况" selectOptions="_buildInISO4217" controlType="Combobox" cellType="Measure" appId="_GBC_c31bd7806af645a4b98780e353753bee"/>
      <m:placeholder xlName="_PLD_1bf4103fa73c4527ab273af4182bdac9" addr="T0R0C0S1_1"/>
      <m:placeholder xlName="_PLD_13e90710aaf8432b8989b8a8d1ceae0c" addr="T0R0C1S1_1"/>
      <m:placeholder xlName="_PLD_2272ceae47e74a6489bfeb2c73aa1f4a" addr="T0R0C2S1_1"/>
      <m:placeholder xlName="_PLD_fcefa3ecef954c579974ef8beaeadf3a" addr="T0R0C3S1_1"/>
      <m:placeholder xlName="_PLD_13e1362304be4663873f1e8f72848948" addr="T0R0C4S1_1"/>
      <m:placeholder xlName="_PLD_f2c7137b0fd6426d9d9640429eb47701" addr="T0R0C5S1_1"/>
      <m:tuple xlName="_GBC_3912a12d540a40c8946b4121501bca53" concept="clcid-pte:QiTaYingShouKuanQianKuanHuMingXi" default_row="5" addr="T0R1C">
        <m:item xlName="_GBC_c5151d2da69a4e92ba25abae40b9550b" concept="clcid-pte:QiTaYingShouKuanQianKuanHuMingCheng" label="其他应收款欠款户名称" addr="T0R1C0S1_1" appId="_GBC_c31bd7806af645a4b98780e353753bee">
          <m:axisValue occRef="母公司"/>
        </m:item>
        <m:item xlName="_GBC_59816833ccea4e0c95b6ae878f66b3f2" concept="clcid-pte:QiTaYingShouKuanQianKuanHuKuanXiangDeXingZhi" label="其他应收款欠款户款项的性质" addr="T0R1C1S1_1" appId="_GBC_c31bd7806af645a4b98780e353753bee">
          <m:axisValue occRef="母公司"/>
        </m:item>
        <m:item xlName="_GBC_b60917c876fe488a9de57a8cfc9c1179" concept="clcid-pte:QiTaYingShouKuanQianKuanHuQianKuanJinE" label="其他应收款欠款户欠款金额" mulRef="_GBC_5eaec4085c10422f90a7a09ee515d922" unitRef="_GBC_76fb156b47fb495eb1748f1f6ffdfc64" addr="T0R1C2S1_1" formatStyle="Comma" appId="_GBC_c31bd7806af645a4b98780e353753bee">
          <m:axisValue occRef="母公司"/>
        </m:item>
        <m:item xlName="_GBC_b96d265c768c4304b5641928388e754f" concept="clcid-pte:QiTaYingShouKuanQianKuanHuQianKuanShiJian" label="其他应收款欠款户欠款时间" addr="T0R1C3S1_1" appId="_GBC_c31bd7806af645a4b98780e353753bee">
          <m:axisValue occRef="母公司"/>
        </m:item>
        <m:item xlName="_GBC_0d953a24963a443da254f2ff9521ab37" concept="clcid-pte:QiTaYingShouZhangKuanQianKuanHuZhanQiTaYingShouZhangKuanZongEDeBiLi" label="其他应收帐款欠款户占其他应收账款总额的比例" addr="T0R1C4S1_1" baseScale="0.01" formatStyle="Comma" appId="_GBC_c31bd7806af645a4b98780e353753bee">
          <m:axisValue occRef="母公司"/>
        </m:item>
        <m:item xlName="_GBC_3327f520563e4bd9ac6c403c762115f9" concept="clcid-pte:QiTaYingShouKuanQianKuanHuHuaiZhangZhunBeiQiMoYuE" label="其他应收款欠款户坏账准备期末余额" mulRef="_GBC_5eaec4085c10422f90a7a09ee515d922" unitRef="_GBC_76fb156b47fb495eb1748f1f6ffdfc64" addr="T0R1C5S1_1" formatStyle="Comma" appId="_GBC_c31bd7806af645a4b98780e353753bee">
          <m:axisValue occRef="母公司"/>
        </m:item>
      </m:tuple>
      <m:placeholder xlName="_PLD_4b94fa57164840a68859b565c2ebabb5" addr="T0R6C0S1_1"/>
      <m:item xlName="_GBC_6800001bd782487d9bd35087d272fb11" concept="clcid-pte:QiTaYingShouKuanQianKuanHuQianKuanJinEHeJi" label="其他应收款欠款户欠款金额合计" mulRef="_GBC_5eaec4085c10422f90a7a09ee515d922" unitRef="_GBC_76fb156b47fb495eb1748f1f6ffdfc64" addr="T0R6C2S1_1" formatStyle="Comma" appId="_GBC_c31bd7806af645a4b98780e353753bee">
        <m:complexRule comparator="Eq" title="母公司其他应收款欠款户欠款金额合计" test=" $_GBC_b60917c876fe488a9de57a8cfc9c1179" id="C1c58d057f07049ca97db70726d7d47a3"/>
        <m:axisValue occRef="母公司"/>
      </m:item>
      <m:item xlName="_GBC_cf13c73d3e224b4484de8ceb483b6ad4" concept="clcid-pte:QiTaYingShouZhangKuanQianKuanHuZhanQiTaYingShouZhangKuanZongEDeBiLiHeJi" label="其他应收帐款欠款户占其他应收账款总额的比例合计" addr="T0R6C4S1_1" baseScale="0.01" formatStyle="Comma" appId="_GBC_c31bd7806af645a4b98780e353753bee">
        <m:complexRule comparator="Eq" title="母公司其他应收帐款欠款户占其他应收账款总额的比例合计" test=" $_GBC_0d953a24963a443da254f2ff9521ab37" id="Cc12efcae2ec4473899646c5059caaa23"/>
        <m:axisValue occRef="母公司"/>
      </m:item>
      <m:item xlName="_GBC_69dfe7e67dd14571921bc600b58ea20c" concept="clcid-pte:QiTaYingShouKuanQianKuanHuHuaiZhangZhunBeiQiMoYuEHeJi" label="其他应收款欠款户坏账准备期末余额合计" mulRef="_GBC_5eaec4085c10422f90a7a09ee515d922" unitRef="_GBC_76fb156b47fb495eb1748f1f6ffdfc64" addr="T0R6C5S1_1" formatStyle="Comma" appId="_GBC_c31bd7806af645a4b98780e353753bee">
        <m:complexRule comparator="Eq" title="母公司其他应收款欠款户坏账准备期末余额合计" test=" $_GBC_3327f520563e4bd9ac6c403c762115f9" id="C209f240f373044d3a36b2d3307baa5bf"/>
        <m:axisValue occRef="母公司"/>
      </m:item>
    </m:section>
    <m:section xlName="_GBC_52bd0b171cc64f85aa1100213c81523c" title="按应收金额确认的政府补助" helpId="112002209" helpText="注：公司未能在预计时点收到预计金额的政府补助，应说明原因。">
      <m:item xlName="_GBC_42f77b49fc014baab239badfde6e4fcf" concept="clcid-ci-ar:ShiFouShiYongMuGongSiSheJiZhengFuBuZhuDeYingShouKuanXiang" label="是否适用：母公司涉及政府补助的应收款项" selectOptions="_buildInAppliance" controlType="CustomCheckbox" cRanges="{&quot;StartName&quot;:&quot;_GBC_42f77b49fc014baab239badfde6e4fcf&quot;,&quot;EndName&quot;:&quot;_GBC_0f39c6aabc134a06bdb4e9184731b7ea&quot;,&quot;CType&quot;:1,&quot;DisplayText&quot;:null}"/>
      <m:item xlName="_GBC_375cad87568541ee9b178aef6bd1cd70" concept="clcid-ci-ar:DanWeiMuGongSiCaiWuFuZhuAnYingShouJinEQueRenDeZhengFuBuZhu" label="单位：母公司财务附注：按应收金额确认的政府补助" selectOptions="_buildInScales" controlType="Combobox" cellType="Scale" appId="_GBC_42f77b49fc014baab239badfde6e4fcf"/>
      <m:item xlName="_GBC_94e058ba5ed74fe7bad50b701cc4ba73" concept="clcid-ci-ar:BiZhongMuGongSiCaiWuFuZhuAnYingShouJinEQueRenDeZhengFuBuZhu" label="币种：母公司财务附注：按应收金额确认的政府补助" selectOptions="_buildInISO4217" controlType="Combobox" cellType="Measure" appId="_GBC_42f77b49fc014baab239badfde6e4fcf"/>
      <m:placeholder xlName="_PLD_0d0a8dede2224410ab8dea8badd738c5" addr="T0R0C0S1_1"/>
      <m:placeholder xlName="_PLD_bce3573ee8cb49018108f0d432615e7c" addr="T0R0C1S1_1"/>
      <m:placeholder xlName="_PLD_78d0731378a04682b3f4c91c1b1057d0" addr="T0R0C2S1_1"/>
      <m:placeholder xlName="_PLD_965abe504b504a1db7f5adf083c4e014" addr="T0R0C3S1_1"/>
      <m:placeholder xlName="_PLD_4ac0cf0529914e839f425da27a762d10" addr="T0R0C4S1_1"/>
      <m:tuple xlName="_GBC_e04fc849778f4bbeb685440421d621ea" concept="clcid-pte:AnYingShouJinEQueRenDeZhengFuBuZhuMingXi" default_row="2" addr="T0R1C">
        <m:item xlName="_GBC_9e165c02904447e7aca9e66aa2b84e85" concept="clcid-pte:AnYingShouJinEQueRenDeZhengFuBuZhuDanWeiMingCheng" label="按应收金额确认的政府补助-单位名称" addr="T0R1C0S1_1" appId="_GBC_42f77b49fc014baab239badfde6e4fcf">
          <m:axisValue occRef="母公司"/>
        </m:item>
        <m:item xlName="_GBC_c2dc56f0263a40b2b4c255ccd785bb11" concept="clcid-pte:AnYingShouJinEQueRenDeZhengFuBuZhuXiangMuMingCheng" label="按应收金额确认的政府补助-政府补助项目名称" addr="T0R1C1S1_1" appId="_GBC_42f77b49fc014baab239badfde6e4fcf">
          <m:axisValue occRef="母公司"/>
        </m:item>
        <m:item xlName="_GBC_5f94c38fa9454fa7a983ecd293763977" concept="clcid-pte:AnYingShouJinEQueRenDeZhengFuBuZhu" label="按应收金额确认的政府补助" mulRef="_GBC_375cad87568541ee9b178aef6bd1cd70" unitRef="_GBC_94e058ba5ed74fe7bad50b701cc4ba73" addr="T0R1C2S1_1" formatStyle="Comma" appId="_GBC_42f77b49fc014baab239badfde6e4fcf">
          <m:axisValue occRef="母公司"/>
        </m:item>
        <m:item xlName="_GBC_31bfc9b6fe254691acc0046872ea0a86" concept="clcid-pte:AnYingShouJinEQueRenDeZhengFuBuZhuQiMoZhangLing" label="按应收金额确认的政府补助-期末账龄" addr="T0R1C3S1_1" appId="_GBC_42f77b49fc014baab239badfde6e4fcf">
          <m:axisValue occRef="母公司"/>
        </m:item>
        <m:item xlName="_GBC_7dc66d36e16a42ef8055cc9f6c550bd8" concept="clcid-pte:AnYingShouJinEQueRenDeZhengFuBuZhuYuJiShouQuDeShiJianJinEJiYiJu" label="按应收金额确认的政府补助-预计收取的时间、金额及依据" addr="T0R1C4S1_1" appId="_GBC_42f77b49fc014baab239badfde6e4fcf">
          <m:axisValue occRef="母公司"/>
        </m:item>
      </m:tuple>
      <m:item xlName="_GBC_0f39c6aabc134a06bdb4e9184731b7ea" concept="clcid-pte:SheJiZhengFuBuZhuDeYingShouKuanXiangDeShuoMing" label="涉及政府补助的应收款项说明" appId="_GBC_42f77b49fc014baab239badfde6e4fcf">
        <m:axisValue occRef="母公司"/>
      </m:item>
    </m:section>
    <m:section xlName="_GBC_338c72ace78c4ba79d60f19b8dbabe9a" title="因金融资产转移而终止确认的其他应收款" helpId="112002209" helpText="注：说明金融资产转移的方式、终止确认的其他应收款金额，及与终止确认相关的利得或损失。">
      <m:item xlName="_GBC_1512780d2c254c8787e470194d450391" concept="clcid-ci-ar:ShiFouShiYongMuGongSiYinJinRongZiChanZhuanYiErZhongZhiQueRenDeQiTaYingShouKuan" label="是否适用：母公司因金融资产转移而终止确认的其他应收款" selectOptions="_buildInAppliance" controlType="CustomCheckbox" cRanges="{&quot;StartName&quot;:&quot;_GBC_1512780d2c254c8787e470194d450391&quot;,&quot;EndName&quot;:&quot;_GBC_061fdf15cc77422694b65eff7c987f3c&quot;,&quot;CType&quot;:1,&quot;DisplayText&quot;:null}"/>
      <m:item xlName="_GBC_061fdf15cc77422694b65eff7c987f3c" concept="clcid-pte:YinJinRongZiChanZhuanYiErZhongZhiQueRenDeQiTaYingShouKuan" label="因金融资产转移而终止确认的其他应收款" formatStyle="Comma" appId="_GBC_1512780d2c254c8787e470194d450391">
        <m:axisValue occRef="母公司"/>
      </m:item>
    </m:section>
    <m:section xlName="_GBC_86d729c7494a406ba4f51afb2c881955" title="转移其他应收款且继续涉入的，分项列示继续涉入形成的资产、负债..." helpId="112002209" helpText="注：说明金融资产转移的方式、分项列示继续涉入形成的资产、负债的金额。">
      <m:item xlName="_GBC_bab484b2a177457b977e28c0385a5b5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bab484b2a177457b977e28c0385a5b58&quot;,&quot;EndName&quot;:&quot;_GBC_a097344c6b54427b8edd1df78bc3778b&quot;,&quot;CType&quot;:1,&quot;DisplayText&quot;:null}"/>
      <m:item xlName="_GBC_a097344c6b54427b8edd1df78bc3778b" concept="clcid-pte:ZhuanYiQiTaYingShouKuanQieJiXuSheRuXingChengDeZiChanFuZhaiJinEShuoMing" label="转移其他应收款且继续涉入形成的资产、负债金额的说明" appId="_GBC_bab484b2a177457b977e28c0385a5b58">
        <m:axisValue occRef="母公司"/>
      </m:item>
    </m:section>
    <m:section xlName="_GBC_4b6cd384bee54ff79269fa4457c70d49" title="其他应收款其他说明" helpId="112002209">
      <m:item xlName="_GBC_2e0f632cbc7d4916b89bf8824f4b71f0" concept="clcid-ci-ar:ShiFouShiYongMuGongSiQiTaYingShouKuanDeQiTaShuoMing" label="是否适用：母公司其他应收款的其他说明" selectOptions="_buildInAppliance" controlType="CustomCheckbox" cRanges="{&quot;StartName&quot;:&quot;_GBC_2e0f632cbc7d4916b89bf8824f4b71f0&quot;,&quot;EndName&quot;:&quot;_GBC_c50e5b5f7e4c4ab88b09d66d59362ac8&quot;,&quot;CType&quot;:1,&quot;DisplayText&quot;:null}"/>
      <m:item xlName="_GBC_c50e5b5f7e4c4ab88b09d66d59362ac8" concept="clcid-pte:QiTaYingShouKuanDeQiTaShuoMing" label="其他应收款的其他说明" appId="_GBC_2e0f632cbc7d4916b89bf8824f4b71f0">
        <m:axisValue occRef="母公司"/>
      </m:item>
    </m:section>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item xlName="_GBC_ee2c3454a2494dfca9c0a07bba82ed3d" concept="clcid-ci-ar:DanWeiMuGongSiCaiWuFuZhuChangQiGuQuanTouZi" label="单位：母公司财务附注：长期股权投资" selectOptions="_buildInScales" controlType="Combobox" cellType="Scale" appId="_GBC_61071b9a58624e83bfc4232808751b95"/>
      <m:item xlName="_GBC_4b4d1a2b986f475e8058a041d2f5a6f9" concept="clcid-ci-ar:BiZhongMuGongSiCaiWuFuZhuChangQiGuQuanTouZi" label="币种：母公司财务附注：长期股权投资" selectOptions="_buildInISO4217" controlType="Combobox" cellType="Measure" appId="_GBC_61071b9a58624e83bfc4232808751b95"/>
      <m:placeholder xlName="_PLD_69c4a2f49545484e8b3a149f64c9d21f" addr="T0R0C0S2_1"/>
      <m:placeholder xlName="_PLD_f7d0566caa554c4c823029a05c5319eb" addr="T0R0C1S1_3"/>
      <m:placeholder xlName="_PLD_9d2cfae2492a49c2b441d1371a5e4673" addr="T0R0C4S1_3"/>
      <m:placeholder xlName="_PLD_9f664b17996c45f08a57544a9ec7e340" addr="T0R1C1S1_1"/>
      <m:placeholder xlName="_PLD_5c150a7367994fc29e7f8b50d7ff2eab" addr="T0R1C2S1_1"/>
      <m:placeholder xlName="_PLD_3db48da0eacd49568929884577dae51b" addr="T0R1C3S1_1"/>
      <m:placeholder xlName="_PLD_00d8a1d3b6754b52929b2c46a2e716c9" addr="T0R1C4S1_1"/>
      <m:placeholder xlName="_PLD_0f2c77fc41ea456bab34653dee178805" addr="T0R1C5S1_1"/>
      <m:placeholder xlName="_PLD_9ae07ed9769c419fa280d4c5ad3f03d7" addr="T0R1C6S1_1"/>
      <m:placeholder xlName="_PLD_b2ce03f2519c40d0a152124161e4337f" addr="T0R2C0S1_1"/>
      <m:item xlName="_GBC_1b45d910bb6f4690b0c8ff0ec47e8c4c" concept="clcid-pte:DuiZiGongSiTouZiZhangMianYuE" label="对子公司投资账面余额" mulRef="_GBC_ee2c3454a2494dfca9c0a07bba82ed3d" unitRef="_GBC_4b4d1a2b986f475e8058a041d2f5a6f9" addr="T0R2C1S1_1" formatStyle="Comma" appId="_GBC_61071b9a58624e83bfc4232808751b95">
        <m:axisValue occRef="母公司"/>
      </m:item>
      <m:item xlName="_GBC_9517a6431afb43f5a6a2fc8362708bf7" concept="clcid-pte:DuiZiGongSiTouZiJianZhiZhunBei" label="对子公司投资减值准备" mulRef="_GBC_ee2c3454a2494dfca9c0a07bba82ed3d" unitRef="_GBC_4b4d1a2b986f475e8058a041d2f5a6f9" addr="T0R2C2S1_1" formatStyle="Comma" appId="_GBC_61071b9a58624e83bfc4232808751b95">
        <m:axisValue occRef="母公司"/>
      </m:item>
      <m:item xlName="_GBC_239c34b076fd4ebf95c61aa43dedde7e" concept="clcid-pte:DuiZiGongSiTouZiZhangMianJiaZhi" label="对子公司投资账面价值" mulRef="_GBC_ee2c3454a2494dfca9c0a07bba82ed3d" unitRef="_GBC_4b4d1a2b986f475e8058a041d2f5a6f9" addr="T0R2C3S1_1" formatStyle="Comma" appId="_GBC_61071b9a58624e83bfc4232808751b95">
        <m:complexRule comparator="Eq" title="母公司对子公司投资账面价值" test=" $_GBC_1b45d910bb6f4690b0c8ff0ec47e8c4c -  $_GBC_9517a6431afb43f5a6a2fc8362708bf7" id="C0e0e59d3ab8d433d933a6fd1194e07f6"/>
        <m:axisValue occRef="母公司"/>
      </m:item>
      <m:item xlName="_GBC_ad2ca27a0b3247d7b4b8f45d25293b9b" concept="clcid-pte:DuiZiGongSiTouZiZhangMianYuE" label="对子公司投资账面余额" periodRef="本期期初数" mulRef="_GBC_ee2c3454a2494dfca9c0a07bba82ed3d" unitRef="_GBC_4b4d1a2b986f475e8058a041d2f5a6f9" addr="T0R2C4S1_1" formatStyle="Comma" appId="_GBC_61071b9a58624e83bfc4232808751b95">
        <m:axisValue occRef="母公司"/>
      </m:item>
      <m:item xlName="_GBC_63117ddc7dd34bc39c519c41ef84c9fe" concept="clcid-pte:DuiZiGongSiTouZiJianZhiZhunBei" label="对子公司投资减值准备" periodRef="本期期初数" mulRef="_GBC_ee2c3454a2494dfca9c0a07bba82ed3d" unitRef="_GBC_4b4d1a2b986f475e8058a041d2f5a6f9" addr="T0R2C5S1_1" formatStyle="Comma" appId="_GBC_61071b9a58624e83bfc4232808751b95">
        <m:axisValue occRef="母公司"/>
      </m:item>
      <m:item xlName="_GBC_e6d676b78f1f43eb871e133236586681" concept="clcid-pte:DuiZiGongSiTouZiZhangMianJiaZhi" label="对子公司投资账面价值" periodRef="本期期初数" mulRef="_GBC_ee2c3454a2494dfca9c0a07bba82ed3d" unitRef="_GBC_4b4d1a2b986f475e8058a041d2f5a6f9" addr="T0R2C6S1_1" formatStyle="Comma" appId="_GBC_61071b9a58624e83bfc4232808751b95">
        <m:complexRule comparator="Eq" title="母公司对子公司投资账面价值@本期期初数" test=" $_GBC_ad2ca27a0b3247d7b4b8f45d25293b9b -  $_GBC_63117ddc7dd34bc39c519c41ef84c9fe" id="C147545444db545b392db3b3efa081204"/>
        <m:axisValue occRef="母公司"/>
      </m:item>
      <m:placeholder xlName="_PLD_da68a71aef6a46449e56205bf88b68ae" addr="T0R3C0S1_1"/>
      <m:item xlName="_GBC_dc37861952d0469bb3f8afda0ba99841" concept="clcid-pte:DuiLianYingHeYingQiYeTouZiZhangMianYuE" label="对联营、合营企业投资账面余额" mulRef="_GBC_ee2c3454a2494dfca9c0a07bba82ed3d" unitRef="_GBC_4b4d1a2b986f475e8058a041d2f5a6f9" addr="T0R3C1S1_1" formatStyle="Comma" appId="_GBC_61071b9a58624e83bfc4232808751b95">
        <m:axisValue occRef="母公司"/>
      </m:item>
      <m:item xlName="_GBC_ff4ec744c62042539e5e2684b0bbe579" concept="clcid-pte:DuiLianYingHeYingQiYeTouZiJianZhiZhunBei" label="对联营、合营企业投资减值准备" mulRef="_GBC_ee2c3454a2494dfca9c0a07bba82ed3d" unitRef="_GBC_4b4d1a2b986f475e8058a041d2f5a6f9" addr="T0R3C2S1_1" formatStyle="Comma" appId="_GBC_61071b9a58624e83bfc4232808751b95">
        <m:axisValue occRef="母公司"/>
      </m:item>
      <m:item xlName="_GBC_c2f3fe4e1809402589dd48b31238fe67" concept="clcid-pte:DuiLianYingHeYingQiYeTouZiZhangMianJiaZhi" label="对联营、合营企业投资账面价值" mulRef="_GBC_ee2c3454a2494dfca9c0a07bba82ed3d" unitRef="_GBC_4b4d1a2b986f475e8058a041d2f5a6f9" addr="T0R3C3S1_1" formatStyle="Comma" appId="_GBC_61071b9a58624e83bfc4232808751b95">
        <m:complexRule comparator="Eq" title="母公司对联营、合营企业投资账面价值" test=" $_GBC_dc37861952d0469bb3f8afda0ba99841 -  $_GBC_ff4ec744c62042539e5e2684b0bbe579" id="C3c6156b0985640ff94356587f9383a15"/>
        <m:axisValue occRef="母公司"/>
      </m:item>
      <m:item xlName="_GBC_6d2aed7e912e431f8161c6fe00f18a96" concept="clcid-pte:DuiLianYingHeYingQiYeTouZiZhangMianYuE" label="对联营、合营企业投资账面余额" periodRef="本期期初数" mulRef="_GBC_ee2c3454a2494dfca9c0a07bba82ed3d" unitRef="_GBC_4b4d1a2b986f475e8058a041d2f5a6f9" addr="T0R3C4S1_1" formatStyle="Comma" appId="_GBC_61071b9a58624e83bfc4232808751b95">
        <m:axisValue occRef="母公司"/>
      </m:item>
      <m:item xlName="_GBC_30a7f28b5ba442109807cc796a15a2da" concept="clcid-pte:DuiLianYingHeYingQiYeTouZiJianZhiZhunBei" label="对联营、合营企业投资减值准备" periodRef="本期期初数" mulRef="_GBC_ee2c3454a2494dfca9c0a07bba82ed3d" unitRef="_GBC_4b4d1a2b986f475e8058a041d2f5a6f9" addr="T0R3C5S1_1" formatStyle="Comma" appId="_GBC_61071b9a58624e83bfc4232808751b95">
        <m:axisValue occRef="母公司"/>
      </m:item>
      <m:item xlName="_GBC_46698e64d54d46dcb0b7122d09639941" concept="clcid-pte:DuiLianYingHeYingQiYeTouZiZhangMianJiaZhi" label="对联营、合营企业投资账面价值" periodRef="本期期初数" mulRef="_GBC_ee2c3454a2494dfca9c0a07bba82ed3d" unitRef="_GBC_4b4d1a2b986f475e8058a041d2f5a6f9" addr="T0R3C6S1_1" formatStyle="Comma" appId="_GBC_61071b9a58624e83bfc4232808751b95">
        <m:complexRule comparator="Eq" title="母公司对联营、合营企业投资账面价值@本期期初数" test=" $_GBC_6d2aed7e912e431f8161c6fe00f18a96 -  $_GBC_30a7f28b5ba442109807cc796a15a2da" id="Cbc4e0dce9aae4768b5eae979581129da"/>
        <m:axisValue occRef="母公司"/>
      </m:item>
      <m:placeholder xlName="_PLD_5c8b8837c4fd4f29a39327cb72d5dcbf" addr="T0R4C0S1_1"/>
      <m:item xlName="_GBC_0f4a7b7c0c9a4364a80a0cf21ab5da16" concept="clcid-pte:ChangQiGuQuanTouZiZhangMianYuE" label="长期股权投资账面余额" mulRef="_GBC_ee2c3454a2494dfca9c0a07bba82ed3d" unitRef="_GBC_4b4d1a2b986f475e8058a041d2f5a6f9" addr="T0R4C1S1_1" formatStyle="Comma" appId="_GBC_61071b9a58624e83bfc4232808751b95">
        <m:complexRule comparator="Eq" title="母公司长期股权投资" test=" $_GBC_1b45d910bb6f4690b0c8ff0ec47e8c4c +  $_GBC_dc37861952d0469bb3f8afda0ba99841" id="Ca67911a1d12f47c9bb61f586e2823511"/>
        <m:axisValue occRef="母公司"/>
      </m:item>
      <m:item xlName="_GBC_394f3b4b0d0a47aca2ba00cd7c4c2e5e" concept="clcid-pte:ChangQiGuQuanTouZiJianZhiZhunBeiYuE" label="长期股权投资减值准备余额" mulRef="_GBC_ee2c3454a2494dfca9c0a07bba82ed3d" unitRef="_GBC_4b4d1a2b986f475e8058a041d2f5a6f9" addr="T0R4C2S1_1" formatStyle="Comma" appId="_GBC_61071b9a58624e83bfc4232808751b95">
        <m:complexRule comparator="Eq" title="母公司长期股权投资减值准备余额" test=" $_GBC_9517a6431afb43f5a6a2fc8362708bf7 +  $_GBC_ff4ec744c62042539e5e2684b0bbe579" id="C6a8bef1aa0cc42fd907dcac1dc7f97e8"/>
        <m:axisValue occRef="母公司"/>
      </m:item>
      <m:item xlName="_GBC_0c4bc60de438402687538b8a20e8730c" concept="clcid-pte:ChangQiGuQuanTouZi" label="长期股权投资" mulRef="_GBC_ee2c3454a2494dfca9c0a07bba82ed3d" unitRef="_GBC_4b4d1a2b986f475e8058a041d2f5a6f9" addr="T0R4C3S1_1" formatStyle="Comma" appId="_GBC_61071b9a58624e83bfc4232808751b95">
        <m:complexRule comparator="Eq" title="母公司长期股权投资账面价值" test=" $_GBC_239c34b076fd4ebf95c61aa43dedde7e +  $_GBC_c2f3fe4e1809402589dd48b31238fe67" id="Cb6522b08979d42a9a68f4e60ed266718"/>
        <m:complexRule comparator="Eq" title="母公司长期股权投资账面价值2" test=" $_GBC_0f4a7b7c0c9a4364a80a0cf21ab5da16 -  $_GBC_394f3b4b0d0a47aca2ba00cd7c4c2e5e" id="C6a07438ecb44445ea33f80d948ac01fc"/>
        <m:axisValue occRef="母公司"/>
      </m:item>
      <m:item xlName="_GBC_80722093c8084d8a9a467595050d25e2" concept="clcid-pte:ChangQiGuQuanTouZiZhangMianYuE" label="长期股权投资账面余额" periodRef="本期期初数" mulRef="_GBC_ee2c3454a2494dfca9c0a07bba82ed3d" unitRef="_GBC_4b4d1a2b986f475e8058a041d2f5a6f9" addr="T0R4C4S1_1" formatStyle="Comma" appId="_GBC_61071b9a58624e83bfc4232808751b95">
        <m:complexRule comparator="Eq" title="母公司长期股权投资@本期期初数" test=" $_GBC_ad2ca27a0b3247d7b4b8f45d25293b9b +  $_GBC_6d2aed7e912e431f8161c6fe00f18a96" id="Cf82ff7b0dc2e4136bdea439fb78966f2"/>
        <m:axisValue occRef="母公司"/>
      </m:item>
      <m:item xlName="_GBC_63ccb7aa6861455cadf81c4f9aadac83" concept="clcid-pte:ChangQiGuQuanTouZiJianZhiZhunBeiYuE" label="长期股权投资减值准备余额" periodRef="本期期初数" mulRef="_GBC_ee2c3454a2494dfca9c0a07bba82ed3d" unitRef="_GBC_4b4d1a2b986f475e8058a041d2f5a6f9" addr="T0R4C5S1_1" formatStyle="Comma" appId="_GBC_61071b9a58624e83bfc4232808751b95">
        <m:complexRule comparator="Eq" title="母公司长期股权投资减值准备余额@本期期初数" test=" $_GBC_63117ddc7dd34bc39c519c41ef84c9fe +  $_GBC_30a7f28b5ba442109807cc796a15a2da" id="Cc81d03e4fe304867b30307c9a5f16aa0"/>
        <m:axisValue occRef="母公司"/>
      </m:item>
      <m:item xlName="_GBC_3f53e266466441c1a0a2e7f61835b127" concept="clcid-pte:ChangQiGuQuanTouZi" label="长期股权投资" periodRef="本期期初数" mulRef="_GBC_ee2c3454a2494dfca9c0a07bba82ed3d" unitRef="_GBC_4b4d1a2b986f475e8058a041d2f5a6f9" addr="T0R4C6S1_1" formatStyle="Comma" appId="_GBC_61071b9a58624e83bfc4232808751b95">
        <m:complexRule comparator="Eq" title="母公司长期股权投资账面价值@本期期初数" test=" $_GBC_e6d676b78f1f43eb871e133236586681 +  $_GBC_46698e64d54d46dcb0b7122d09639941" id="C7f96477634d14673b265bb0f382baea6"/>
        <m:complexRule comparator="Eq" title="母公司长期股权投资账面价值@本期期初数2" test=" $_GBC_80722093c8084d8a9a467595050d25e2 -  $_GBC_63ccb7aa6861455cadf81c4f9aadac83" id="C698db7defa944c8792f6be6a07f6c03a"/>
        <m:axisValue occRef="母公司"/>
      </m:item>
    </m:section>
    <m:section xlName="_GBC_354d808d545e41aab5b25112222d90f9" title="对子公司投资" helpId="112002211">
      <m:item xlName="_GBC_c52cee49247d42a9a79deabbd4c8635c" concept="clcid-ci-ar:ShiFouShiYongMuGongSiDuiZiGongSiTouZi" label="是否适用：母公司对子公司投资" selectOptions="_buildInAppliance" controlType="CustomCheckbox" cRanges="{&quot;StartName&quot;:&quot;_GBC_c52cee49247d42a9a79deabbd4c8635c&quot;,&quot;EndName&quot;:&quot;_GBC_dec6f87ecdd446b19e42b02bf8ad77d2&quot;,&quot;CType&quot;:1,&quot;DisplayText&quot;:null}"/>
      <m:item xlName="_GBC_84c410d0b81f42e3adfddc3699487310" concept="clcid-ci-ar:DanWeiMuGongSiCaiWuFuZhuDuiZiGongSiTouZi" label="单位：母公司财务附注：对子公司投资" selectOptions="_buildInScales" controlType="Combobox" cellType="Scale" appId="_GBC_c52cee49247d42a9a79deabbd4c8635c"/>
      <m:item xlName="_GBC_97fad72310ba4b849377b0e1cebf7303" concept="clcid-ci-ar:BiZhongMuGongSiCaiWuFuZhuDuiZiGongSiTouZi" label="币种：母公司财务附注：对子公司投资" selectOptions="_buildInISO4217" controlType="Combobox" cellType="Measure" appId="_GBC_c52cee49247d42a9a79deabbd4c8635c"/>
      <m:placeholder xlName="_PLD_c6f1ebfed2274883870089cc90c0b5b3" addr="T0R0C0S1_1"/>
      <m:placeholder xlName="_PLD_c8b6275a3567432ba7b63d4485a9cce5" addr="T0R0C1S1_1"/>
      <m:placeholder xlName="_PLD_a192e1f764d54f39ad94a065019bc4f2" addr="T0R0C2S1_1"/>
      <m:placeholder xlName="_PLD_3a74d3e1bc0e43debb3fdd0f1f6de769" addr="T0R0C3S1_1"/>
      <m:placeholder xlName="_PLD_62acff2435cd434284a753ea8ebfa201" addr="T0R0C4S1_1"/>
      <m:placeholder xlName="_PLD_67b1a9b1d215409ebb6ceb131ad5e8bf" addr="T0R0C5S1_1"/>
      <m:placeholder xlName="_PLD_bfab2049a5684d7d922489b57382b080" addr="T0R0C6S1_1"/>
      <m:tuple xlName="_GBC_daf82e8df55d4ba9bf351c25fd5a63c2" concept="clcid-pte:ChangQiGuQuanTouZiMingXi" default_row="2" addr="T0R1C">
        <m:item xlName="_GBC_cb6e61acce5545c0a45605fa614d6297" concept="clcid-pte:ChangQiGuQuanTouZiMingXiBeiTouZiDanWei" label="长期股权投资明细－被投资单位" addr="T0R1C0S1_1" appId="_GBC_c52cee49247d42a9a79deabbd4c8635c">
          <m:axisValue occRef="母公司"/>
        </m:item>
        <m:item xlName="_GBC_ae02ff4612194b3f9bc56ebf3f559e5d" concept="clcid-pte:ChangQiGuQuanTouZiMingXiZhangMianYuE" label="长期股权投资明细－账面余额" periodRef="本期期初数" mulRef="_GBC_84c410d0b81f42e3adfddc3699487310" unitRef="_GBC_97fad72310ba4b849377b0e1cebf7303" addr="T0R1C1S1_1" formatStyle="Comma" appId="_GBC_c52cee49247d42a9a79deabbd4c8635c">
          <m:axisValue occRef="母公司"/>
        </m:item>
        <m:item xlName="_GBC_4092736ec85d4fd8bbfd4327f22ba5c9" concept="clcid-pte:ChangQiGuQuanTouZiMingXiBenQiZengJia" label="长期股权投资明细-本期增加" mulRef="_GBC_84c410d0b81f42e3adfddc3699487310" unitRef="_GBC_97fad72310ba4b849377b0e1cebf7303" addr="T0R1C2S1_1" formatStyle="Comma" appId="_GBC_c52cee49247d42a9a79deabbd4c8635c">
          <m:axisValue occRef="母公司"/>
        </m:item>
        <m:item xlName="_GBC_dc4e67c31bf841569762ead71e6c7538" concept="clcid-pte:ChangQiGuQuanTouZiMingXiBenQiJianShao" label="长期股权投资明细-本期减少" mulRef="_GBC_84c410d0b81f42e3adfddc3699487310" unitRef="_GBC_97fad72310ba4b849377b0e1cebf7303" addr="T0R1C3S1_1" formatStyle="Comma" appId="_GBC_c52cee49247d42a9a79deabbd4c8635c">
          <m:axisValue occRef="母公司"/>
        </m:item>
        <m:item xlName="_GBC_1c036f7f8eba4038bdf216c7bdf771be" concept="clcid-pte:ChangQiGuQuanTouZiMingXiZhangMianYuE" label="长期股权投资明细－账面余额" mulRef="_GBC_84c410d0b81f42e3adfddc3699487310" unitRef="_GBC_97fad72310ba4b849377b0e1cebf7303" addr="T0R1C4S1_1" formatStyle="Comma" appId="_GBC_c52cee49247d42a9a79deabbd4c8635c">
          <m:complexRule comparator="Eq" title="母公司长期股权投资明细－账面余额" test=" $_GBC_ae02ff4612194b3f9bc56ebf3f559e5d +  $_GBC_4092736ec85d4fd8bbfd4327f22ba5c9 -  $_GBC_dc4e67c31bf841569762ead71e6c7538" id="Cb898d0412bd449b2b27593eaed2b72f4"/>
          <m:axisValue occRef="母公司"/>
        </m:item>
        <m:item xlName="_GBC_add33600e509433fbc71aa6661481152" concept="clcid-pte:ChangQiGuQuanTouZiBenQiJiTiJianZhiZhunBei" label="长期股权投资明细－本期计提减值准备" mulRef="_GBC_84c410d0b81f42e3adfddc3699487310" unitRef="_GBC_97fad72310ba4b849377b0e1cebf7303" addr="T0R1C5S1_1" formatStyle="Comma" appId="_GBC_c52cee49247d42a9a79deabbd4c8635c">
          <m:axisValue occRef="母公司"/>
        </m:item>
        <m:item xlName="_GBC_daf675e5dea44f7d81d0825beab05945" concept="clcid-pte:ChangQiGuQuanTouZiMingXiJianZhiZhunBei" label="长期股权投资明细－减值准备" mulRef="_GBC_84c410d0b81f42e3adfddc3699487310" unitRef="_GBC_97fad72310ba4b849377b0e1cebf7303" addr="T0R1C6S1_1" formatStyle="Comma" appId="_GBC_c52cee49247d42a9a79deabbd4c8635c">
          <m:axisValue occRef="母公司"/>
        </m:item>
      </m:tuple>
      <m:placeholder xlName="_PLD_9515e88574304b2da64302e50d23e6cf" addr="T0R3C0S1_1"/>
      <m:item xlName="_GBC_bfbfaaec3fd54025af02d508881aaa33" concept="clcid-pte:ChangQiGuQuanTouZiDuiZiGongSiTouZiHeJi" label="长期股权投资对子公司投资合计" periodRef="本期期初数" mulRef="_GBC_84c410d0b81f42e3adfddc3699487310" unitRef="_GBC_97fad72310ba4b849377b0e1cebf7303" addr="T0R3C1S1_1" formatStyle="Comma" appId="_GBC_c52cee49247d42a9a79deabbd4c8635c">
        <m:complexRule comparator="Eq" title="母公司长期股权投资合计@本期期初数" test=" $_GBC_ae02ff4612194b3f9bc56ebf3f559e5d" id="Ce9fd8def8bf541b6a4c601bfd9b2bd47"/>
        <m:axisValue occRef="母公司"/>
      </m:item>
      <m:item xlName="_GBC_10743c6db1194cf099a45da8031e8a65" concept="clcid-pte:ChangQiGuQuanTouZiBenQiZengJiaHeJi" label="长期股权投资本期增加合计" mulRef="_GBC_84c410d0b81f42e3adfddc3699487310" unitRef="_GBC_97fad72310ba4b849377b0e1cebf7303" addr="T0R3C2S1_1" formatStyle="Comma" appId="_GBC_c52cee49247d42a9a79deabbd4c8635c">
        <m:complexRule comparator="Eq" title="母公司长期股权投资本期增加合计" test=" $_GBC_4092736ec85d4fd8bbfd4327f22ba5c9" id="C988886c0011e4314af8213a1765b3afa"/>
        <m:axisValue occRef="母公司"/>
      </m:item>
      <m:item xlName="_GBC_770424b228bd45ed8734fc9b05cca45f" concept="clcid-pte:ChangQiGuQuanTouZiBenQiJianShaoHeJi" label="长期股权投资本期减少合计" mulRef="_GBC_84c410d0b81f42e3adfddc3699487310" unitRef="_GBC_97fad72310ba4b849377b0e1cebf7303" addr="T0R3C3S1_1" formatStyle="Comma" appId="_GBC_c52cee49247d42a9a79deabbd4c8635c">
        <m:complexRule comparator="Eq" title="母公司长期股权投资本期减少合计" test=" $_GBC_dc4e67c31bf841569762ead71e6c7538" id="C742cf47dcdb24e9498b1810e7b3db27a"/>
        <m:axisValue occRef="母公司"/>
      </m:item>
      <m:item xlName="_GBC_91ac0cc9d79141a1ab4ffb29bcdce712" concept="clcid-pte:ChangQiGuQuanTouZiDuiZiGongSiTouZiHeJi" label="长期股权投资对子公司投资合计" mulRef="_GBC_84c410d0b81f42e3adfddc3699487310" unitRef="_GBC_97fad72310ba4b849377b0e1cebf7303" addr="T0R3C4S1_1" formatStyle="Comma" appId="_GBC_c52cee49247d42a9a79deabbd4c8635c">
        <m:complexRule comparator="Eq" title="母公司长期股权投资合计" test=" $_GBC_1c036f7f8eba4038bdf216c7bdf771be" id="C7254e77126064b8590d2bc0a00ff77fb"/>
        <m:complexRule comparator="Eq" title="母公司长期股权投资合计2" test=" $_GBC_bfbfaaec3fd54025af02d508881aaa33 +  $_GBC_10743c6db1194cf099a45da8031e8a65 -  $_GBC_770424b228bd45ed8734fc9b05cca45f" id="Ceb55f6abaa2a44168576030e59a53046"/>
        <m:axisValue occRef="母公司"/>
      </m:item>
      <m:item xlName="_GBC_3ed16bc56d6f49b2a77320c5ced9f160" concept="clcid-pte:ChangQiGuQuanTouZiDuiZiGongSiTouZiBenQiJiTiJianZhiZhunBei" label="长期股权投资对子公司投资_本期计提减值准备" mulRef="_GBC_84c410d0b81f42e3adfddc3699487310" unitRef="_GBC_97fad72310ba4b849377b0e1cebf7303" addr="T0R3C5S1_1" formatStyle="Comma" appId="_GBC_c52cee49247d42a9a79deabbd4c8635c">
        <m:complexRule comparator="Eq" title="母公司长期股权投资减值准备_本期增加数" test=" $_GBC_add33600e509433fbc71aa6661481152" id="Cf9d43390429c43a888d7cc08340c39ff"/>
        <m:axisValue occRef="母公司"/>
      </m:item>
      <m:item xlName="_GBC_dec6f87ecdd446b19e42b02bf8ad77d2" concept="clcid-pte:DuiZiGongSiTouZiJianZhiZhunBeiYuEHeJi" label="对子公司投资减值准备余额的合计" mulRef="_GBC_84c410d0b81f42e3adfddc3699487310" unitRef="_GBC_97fad72310ba4b849377b0e1cebf7303" addr="T0R3C6S1_1" formatStyle="Comma" appId="_GBC_c52cee49247d42a9a79deabbd4c8635c">
        <m:complexRule comparator="Eq" title="母公司对子公司投资减值准备余额的合计" test=" $_GBC_daf675e5dea44f7d81d0825beab05945" id="Caeccbc5a3caf4d55ae28439e17e91c4b"/>
        <m:axisValue occRef="母公司"/>
      </m:item>
    </m:section>
    <m:section xlName="_GBC_eb61534d0a614526b319605aeaa9bf73" title="对联营、合营企业投资" helpId="112002211">
      <m:item xlName="_GBC_0837f60a15fc4684b64085618adca8d2" concept="clcid-ci-ar:ShiFouShiYongMuGongSiDuiLianYingHeYingQiYeTouZi" label="是否适用：母公司对联营、合营企业投资" selectOptions="_buildInAppliance" controlType="CustomCheckbox" cRanges="{&quot;StartName&quot;:&quot;_GBC_0837f60a15fc4684b64085618adca8d2&quot;,&quot;EndName&quot;:&quot;_GBC_e582fa421f3e4fc186bc7cd638f7c914&quot;,&quot;CType&quot;:1,&quot;DisplayText&quot;:null}"/>
      <m:item xlName="_GBC_d8af48cd34c54e749df777d4e6a5e2ed" concept="clcid-ci-ar:DanWeiMuGongSiCaiWuFuZhuDuiLianYingHeYingQiYeTouZi" label="单位：母公司财务附注：对联营、合营企业投资" selectOptions="_buildInScales" controlType="Combobox" cellType="Scale" appId="_GBC_0837f60a15fc4684b64085618adca8d2"/>
      <m:item xlName="_GBC_5b4bb22c6cca42989bcd538938127ee2" concept="clcid-ci-ar:BiZhongMuGongSiCaiWuFuZhuDuiLianYingHeYingQiYeTouZi" label="币种：母公司财务附注：对联营、合营企业投资" selectOptions="_buildInISO4217" controlType="Combobox" cellType="Measure" appId="_GBC_0837f60a15fc4684b64085618adca8d2"/>
      <m:placeholder xlName="_PLD_6cc6b034108e400a8f245ccad05ac887" addr="T0R0C0S2_1"/>
      <m:placeholder xlName="_PLD_4e363a39fcae421c9a049aefb0d049c6" addr="T0R0C1S2_1"/>
      <m:placeholder xlName="_PLD_675bbbad11dc4d23934e356c8b45872c" addr="T0R0C2S1_8"/>
      <m:placeholder xlName="_PLD_60650c529731423a8920dee24235a743" addr="T0R0C10S2_1"/>
      <m:placeholder xlName="_PLD_015da9aade664ef1a73ffb5d14b36a29" addr="T0R0C11S2_1"/>
      <m:placeholder xlName="_PLD_cbd2bf523863474c84cf8d516b6c392e" addr="T0R1C2S1_1"/>
      <m:placeholder xlName="_PLD_2fb99239d0d745539b34e49e3410ad3d" addr="T0R1C3S1_1"/>
      <m:placeholder xlName="_PLD_1f3056d1910848f8b6a706479b4259a5" addr="T0R1C4S1_1"/>
      <m:placeholder xlName="_PLD_0e97178fddec48888aefa92a2830b812" addr="T0R1C5S1_1"/>
      <m:placeholder xlName="_PLD_29b9a15716dc4441a8dcb4c045a92f6b" addr="T0R1C6S1_1"/>
      <m:placeholder xlName="_PLD_e428cfe75ea541779cc82a8596f56242" addr="T0R1C7S1_1"/>
      <m:placeholder xlName="_PLD_747f8a7789454ec8a102293ecaa63e28" addr="T0R1C8S1_1"/>
      <m:placeholder xlName="_PLD_c4dc0e381f9742f7b6c469b5b71f2b6b" addr="T0R1C9S1_1"/>
      <m:placeholder xlName="_PLD_22240ea193154bf4937c6cd3a9c9805f" addr="T0R2C0S1_1"/>
      <m:tuple xlName="_GBC_d8ad1583f4e8417c9255e24b2477f285" concept="clcid-pte:HeYingQiYeTouZiXinXiMingXi" default_row="2" addr="T0R3C">
        <m:item xlName="_GBC_b8e59370a3324b0990d4647b2f2c16a0" concept="clcid-pte:HeYingQiYeTouZiXinXiMingXiMingCheng" label="合营企业投资信息明细－名称" addr="T0R3C0S1_1" appId="_GBC_0837f60a15fc4684b64085618adca8d2">
          <m:axisValue occRef="母公司"/>
        </m:item>
        <m:item xlName="_GBC_2707a173c6ea4725956e26d1a84a4220" concept="clcid-pte:HeYingQiYeTouZiMingXiYuE" label="合营企业投资明细-余额" periodRef="本期期初数" mulRef="_GBC_d8af48cd34c54e749df777d4e6a5e2ed" unitRef="_GBC_5b4bb22c6cca42989bcd538938127ee2" addr="T0R3C1S1_1" formatStyle="Comma" appId="_GBC_0837f60a15fc4684b64085618adca8d2">
          <m:axisValue occRef="母公司"/>
        </m:item>
        <m:item xlName="_GBC_9fb95dc05332435da69d9cbd68960303" concept="clcid-pte:HeYingQiYeTouZiMingXiZhuiJiaTouZi" label="合营企业投资明细-追加投资" mulRef="_GBC_d8af48cd34c54e749df777d4e6a5e2ed" unitRef="_GBC_5b4bb22c6cca42989bcd538938127ee2" addr="T0R3C2S1_1" formatStyle="Comma" appId="_GBC_0837f60a15fc4684b64085618adca8d2">
          <m:axisValue occRef="母公司"/>
        </m:item>
        <m:item xlName="_GBC_1684be6bec4e4096975e20fe51b9f5c5" concept="clcid-pte:HeYingQiYeTouZiMingXiJianShaoTouZi" label="合营企业投资明细-减少投资" mulRef="_GBC_d8af48cd34c54e749df777d4e6a5e2ed" unitRef="_GBC_5b4bb22c6cca42989bcd538938127ee2" addr="T0R3C3S1_1" formatStyle="Comma" appId="_GBC_0837f60a15fc4684b64085618adca8d2">
          <m:axisValue occRef="母公司"/>
        </m:item>
        <m:item xlName="_GBC_09d92a29b1f74e7a83561e1abb74f020" concept="clcid-pte:HeYingQiYeTouZiMingXiQuanYiFaXiaQueRenDeTouZiSunYi" label="合营企业投资明细-权益法下确认的投资损益" mulRef="_GBC_d8af48cd34c54e749df777d4e6a5e2ed" unitRef="_GBC_5b4bb22c6cca42989bcd538938127ee2" addr="T0R3C4S1_1" formatStyle="Comma" appId="_GBC_0837f60a15fc4684b64085618adca8d2">
          <m:axisValue occRef="母公司"/>
        </m:item>
        <m:item xlName="_GBC_6c45a77074254a57b5aee70005e2b3f2" concept="clcid-pte:HeYingQiYeTouZiMingXiQiTaZongHeShouYiDiaoZheng" label="合营企业投资明细-其他综合收益调整" mulRef="_GBC_d8af48cd34c54e749df777d4e6a5e2ed" unitRef="_GBC_5b4bb22c6cca42989bcd538938127ee2" addr="T0R3C5S1_1" formatStyle="Comma" appId="_GBC_0837f60a15fc4684b64085618adca8d2">
          <m:axisValue occRef="母公司"/>
        </m:item>
        <m:item xlName="_GBC_f01940793fd4461db722785365d92bb4" concept="clcid-pte:HeYingQiYeTouZiMingXiQiTaQuanYiBianDong" label="合营企业投资明细-其他权益变动" mulRef="_GBC_d8af48cd34c54e749df777d4e6a5e2ed" unitRef="_GBC_5b4bb22c6cca42989bcd538938127ee2" addr="T0R3C6S1_1" formatStyle="Comma" appId="_GBC_0837f60a15fc4684b64085618adca8d2">
          <m:axisValue occRef="母公司"/>
        </m:item>
        <m:item xlName="_GBC_cd0c908eadd049269a7f3000c4583b32" concept="clcid-pte:HeYingQiYeTouZiMingXiXuanGaoFaFangXianJinGuLiHuoLiRun" label="合营企业投资明细-宣告发放现金股利或利润" mulRef="_GBC_d8af48cd34c54e749df777d4e6a5e2ed" unitRef="_GBC_5b4bb22c6cca42989bcd538938127ee2" addr="T0R3C7S1_1" formatStyle="Comma" appId="_GBC_0837f60a15fc4684b64085618adca8d2">
          <m:axisValue occRef="母公司"/>
        </m:item>
        <m:item xlName="_GBC_544598775af14b679c8adb4f51b82c38" concept="clcid-pte:HeYingQiYeTouZiMingXiJiTiJianZhiZhunBei" label="合营企业投资明细-计提减值准备" mulRef="_GBC_d8af48cd34c54e749df777d4e6a5e2ed" unitRef="_GBC_5b4bb22c6cca42989bcd538938127ee2" addr="T0R3C8S1_1" formatStyle="Comma" appId="_GBC_0837f60a15fc4684b64085618adca8d2">
          <m:axisValue occRef="母公司"/>
        </m:item>
        <m:item xlName="_GBC_54e49d9769d14f14a307ef6e14e81cac" concept="clcid-pte:HeYingQiYeTouZiMingXiQiTaZengJianBianDong" label="合营企业投资明细-其他增减变动" mulRef="_GBC_d8af48cd34c54e749df777d4e6a5e2ed" unitRef="_GBC_5b4bb22c6cca42989bcd538938127ee2" addr="T0R3C9S1_1" formatStyle="Comma" appId="_GBC_0837f60a15fc4684b64085618adca8d2">
          <m:axisValue occRef="母公司"/>
        </m:item>
        <m:item xlName="_GBC_ee49b79029ec402395b009f4f1d46e6e" concept="clcid-pte:HeYingQiYeTouZiMingXiYuE" label="合营企业投资明细-余额" mulRef="_GBC_d8af48cd34c54e749df777d4e6a5e2ed" unitRef="_GBC_5b4bb22c6cca42989bcd538938127ee2" addr="T0R3C10S1_1" formatStyle="Comma" appId="_GBC_0837f60a15fc4684b64085618adca8d2">
          <m:complexRule comparator="Eq" title="母公司合营企业投资明细-余额" test=" $_GBC_2707a173c6ea4725956e26d1a84a4220 +  $_GBC_9fb95dc05332435da69d9cbd68960303 -  $_GBC_1684be6bec4e4096975e20fe51b9f5c5 +  $_GBC_09d92a29b1f74e7a83561e1abb74f020 +  $_GBC_6c45a77074254a57b5aee70005e2b3f2 +  $_GBC_f01940793fd4461db722785365d92bb4 -  $_GBC_cd0c908eadd049269a7f3000c4583b32 -  $_GBC_544598775af14b679c8adb4f51b82c38 +  $_GBC_54e49d9769d14f14a307ef6e14e81cac" id="Ca581b84fb6f34c12b949f105c3a5871e"/>
          <m:axisValue occRef="母公司"/>
        </m:item>
        <m:item xlName="_GBC_79150e976cab4a589704cafcdba03189" concept="clcid-pte:HeYingQiYeTouZiMingXiJianZhiZhunBeiYuE" label="合营企业投资明细-减值准备余额" mulRef="_GBC_d8af48cd34c54e749df777d4e6a5e2ed" unitRef="_GBC_5b4bb22c6cca42989bcd538938127ee2" addr="T0R3C11S1_1" formatStyle="Comma" appId="_GBC_0837f60a15fc4684b64085618adca8d2">
          <m:axisValue occRef="母公司"/>
        </m:item>
      </m:tuple>
      <m:placeholder xlName="_PLD_1ef29a5fe0804efc98d9ca8c92ee91f3" addr="T0R5C0S1_1"/>
      <m:item xlName="_GBC_f49714f87b9b4f6586a02192e0318b10" concept="clcid-pte:HeYingQiYeYuEXiaoJi" label="合营企业-余额小计" periodRef="本期期初数" mulRef="_GBC_d8af48cd34c54e749df777d4e6a5e2ed" unitRef="_GBC_5b4bb22c6cca42989bcd538938127ee2" addr="T0R5C1S1_1" formatStyle="Comma" appId="_GBC_0837f60a15fc4684b64085618adca8d2">
        <m:complexRule comparator="Eq" title="母公司合营企业-余额小计@本期期初数" test=" $_GBC_2707a173c6ea4725956e26d1a84a4220" id="Ced0a056f7b084d9a8b0352e6328229e2"/>
        <m:axisValue occRef="母公司"/>
      </m:item>
      <m:item xlName="_GBC_e689ad7bb01c41fbb444ba2b6a7c612c" concept="clcid-pte:HeYingQiYeZhuiJiaTouZiXiaoJi" label="合营企业-追加投资小计" mulRef="_GBC_d8af48cd34c54e749df777d4e6a5e2ed" unitRef="_GBC_5b4bb22c6cca42989bcd538938127ee2" addr="T0R5C2S1_1" formatStyle="Comma" appId="_GBC_0837f60a15fc4684b64085618adca8d2">
        <m:complexRule comparator="Eq" title="母公司合营企业-追加投资小计" test=" $_GBC_9fb95dc05332435da69d9cbd68960303" id="C86c70a020569482bb17ca4f2d644d7ff"/>
        <m:axisValue occRef="母公司"/>
      </m:item>
      <m:item xlName="_GBC_6b95d93dd63445ef9c8cb7a1a934a700" concept="clcid-pte:HeYingQiYeJianShaoTouZiXiaoJi" label="合营企业-减少投资小计" mulRef="_GBC_d8af48cd34c54e749df777d4e6a5e2ed" unitRef="_GBC_5b4bb22c6cca42989bcd538938127ee2" addr="T0R5C3S1_1" formatStyle="Comma" appId="_GBC_0837f60a15fc4684b64085618adca8d2">
        <m:complexRule comparator="Eq" title="母公司合营企业-减少投资小计" test=" $_GBC_1684be6bec4e4096975e20fe51b9f5c5" id="C041857a7ce104ead8e62c99279c91c10"/>
        <m:axisValue occRef="母公司"/>
      </m:item>
      <m:item xlName="_GBC_328cb9f31ce341948f097fe233244124" concept="clcid-pte:HeYingQiYeQuanYiFaXiaQueRenDeTouZiSunYiXiaoJi" label="合营企业-权益法下确认的投资损益小计" mulRef="_GBC_d8af48cd34c54e749df777d4e6a5e2ed" unitRef="_GBC_5b4bb22c6cca42989bcd538938127ee2" addr="T0R5C4S1_1" formatStyle="Comma" appId="_GBC_0837f60a15fc4684b64085618adca8d2">
        <m:complexRule comparator="Eq" title="母公司合营企业-权益法下确认的投资损益小计" test=" $_GBC_09d92a29b1f74e7a83561e1abb74f020" id="C802f0f21f3794bd2a8be0d1fff4d85cd"/>
        <m:axisValue occRef="母公司"/>
      </m:item>
      <m:item xlName="_GBC_a9d6413715ba4034811c2e7b8bb28d8b" concept="clcid-pte:HeYingQiYeQiTaZongHeShouYiDiaoZhengXiaoJi" label="合营企业-其他综合收益调整小计" mulRef="_GBC_d8af48cd34c54e749df777d4e6a5e2ed" unitRef="_GBC_5b4bb22c6cca42989bcd538938127ee2" addr="T0R5C5S1_1" formatStyle="Comma" appId="_GBC_0837f60a15fc4684b64085618adca8d2">
        <m:complexRule comparator="Eq" title="母公司合营企业-其他综合收益调整小计" test=" $_GBC_6c45a77074254a57b5aee70005e2b3f2" id="Cf41d8a0d4b67494b9ce52bc65d745fcf"/>
        <m:axisValue occRef="母公司"/>
      </m:item>
      <m:item xlName="_GBC_de6d0a51963244ab9f323c37ce1e4bd6" concept="clcid-pte:HeYingQiYeQiTaQuanYiBianDongXiaoJi" label="合营企业-其他权益变动小计" mulRef="_GBC_d8af48cd34c54e749df777d4e6a5e2ed" unitRef="_GBC_5b4bb22c6cca42989bcd538938127ee2" addr="T0R5C6S1_1" formatStyle="Comma" appId="_GBC_0837f60a15fc4684b64085618adca8d2">
        <m:complexRule comparator="Eq" title="母公司合营企业-其他权益变动小计" test=" $_GBC_f01940793fd4461db722785365d92bb4" id="C95b9fcc405b845c2984d4d7948a50904"/>
        <m:axisValue occRef="母公司"/>
      </m:item>
      <m:item xlName="_GBC_dc90b3182d3a4be48a18e9d13e5d152c" concept="clcid-pte:HeYingQiYeXuanGaoFaFangXianJinGuLiHuoLiRunXiaoJi" label="合营企业-宣告发放现金股利或利润小计" mulRef="_GBC_d8af48cd34c54e749df777d4e6a5e2ed" unitRef="_GBC_5b4bb22c6cca42989bcd538938127ee2" addr="T0R5C7S1_1" formatStyle="Comma" appId="_GBC_0837f60a15fc4684b64085618adca8d2">
        <m:complexRule comparator="Eq" title="母公司合营企业-宣告发放现金股利或利润小计" test=" $_GBC_cd0c908eadd049269a7f3000c4583b32" id="C18c07a47eeb342b2a20d3317b06e0179"/>
        <m:axisValue occRef="母公司"/>
      </m:item>
      <m:item xlName="_GBC_8c4fc031204843579efe0f9d9f243d24" concept="clcid-pte:HeYingQiYeJiTiJianZhiZhunBeiXiaoJi" label="合营企业-计提减值准备小计" mulRef="_GBC_d8af48cd34c54e749df777d4e6a5e2ed" unitRef="_GBC_5b4bb22c6cca42989bcd538938127ee2" addr="T0R5C8S1_1" formatStyle="Comma" appId="_GBC_0837f60a15fc4684b64085618adca8d2">
        <m:complexRule comparator="Eq" title="母公司合营企业-计提减值准备小计" test=" $_GBC_544598775af14b679c8adb4f51b82c38" id="C85051d22b0ad401db80e51be1027cf7f"/>
        <m:axisValue occRef="母公司"/>
      </m:item>
      <m:item xlName="_GBC_3cff28c355e84a2491ed9ea785e54526" concept="clcid-pte:HeYingQiYeQiTaZengJianBianDongXiaoJi" label="合营企业-其他增减变动小计" mulRef="_GBC_d8af48cd34c54e749df777d4e6a5e2ed" unitRef="_GBC_5b4bb22c6cca42989bcd538938127ee2" addr="T0R5C9S1_1" formatStyle="Comma" appId="_GBC_0837f60a15fc4684b64085618adca8d2">
        <m:complexRule comparator="Eq" title="母公司合营企业-其他增减变动小计" test=" $_GBC_54e49d9769d14f14a307ef6e14e81cac" id="Caf05b66f2c3147f9971481f0383aed62"/>
        <m:axisValue occRef="母公司"/>
      </m:item>
      <m:item xlName="_GBC_1c527107124243e68996a64549430d10" concept="clcid-pte:HeYingQiYeYuEXiaoJi" label="合营企业-余额小计" mulRef="_GBC_d8af48cd34c54e749df777d4e6a5e2ed" unitRef="_GBC_5b4bb22c6cca42989bcd538938127ee2" addr="T0R5C10S1_1" formatStyle="Comma" appId="_GBC_0837f60a15fc4684b64085618adca8d2">
        <m:complexRule comparator="Eq" title="母公司合营企业-余额小计" test=" $_GBC_ee49b79029ec402395b009f4f1d46e6e" id="C2a20cf949e89491c97cffe0378fab45c"/>
        <m:complexRule comparator="Eq" title="母公司合营企业-余额小计2" test=" $_GBC_f49714f87b9b4f6586a02192e0318b10 +  $_GBC_e689ad7bb01c41fbb444ba2b6a7c612c -  $_GBC_6b95d93dd63445ef9c8cb7a1a934a700 +  $_GBC_328cb9f31ce341948f097fe233244124 +  $_GBC_a9d6413715ba4034811c2e7b8bb28d8b +  $_GBC_de6d0a51963244ab9f323c37ce1e4bd6 -  $_GBC_dc90b3182d3a4be48a18e9d13e5d152c -  $_GBC_8c4fc031204843579efe0f9d9f243d24 +  $_GBC_3cff28c355e84a2491ed9ea785e54526" id="C62af67231122414eacc611782c765d0f"/>
        <m:axisValue occRef="母公司"/>
      </m:item>
      <m:item xlName="_GBC_aca4fbc1d5be4ab8adc1127f9fdedec5" concept="clcid-pte:HeYingQiYeJianZhiZhunBeiXiaoJi" label="合营企业-减值准备小计" mulRef="_GBC_d8af48cd34c54e749df777d4e6a5e2ed" unitRef="_GBC_5b4bb22c6cca42989bcd538938127ee2" addr="T0R5C11S1_1" formatStyle="Comma" appId="_GBC_0837f60a15fc4684b64085618adca8d2">
        <m:complexRule comparator="Eq" title="母公司合营企业-减值准备小计" test=" $_GBC_79150e976cab4a589704cafcdba03189" id="C824c5ffd72d640c9bff87393b2ec4142"/>
        <m:axisValue occRef="母公司"/>
      </m:item>
      <m:placeholder xlName="_PLD_8013411a41154576a259c00146d87236" addr="T0R6C0S1_1"/>
      <m:tuple xlName="_GBC_4b68840ef16441539a17ee71688111ed" concept="clcid-pte:LianYingQiYeTouZiXinXiMingXi" default_row="2" addr="T0R7C">
        <m:item xlName="_GBC_9def3bce201140c6b5591547a9b0748a" concept="clcid-pte:LianYingQiYeTouZiXinXiMingXiMingCheng" label="联营企业投资信息明细－名称" addr="T0R7C0S1_1" appId="_GBC_0837f60a15fc4684b64085618adca8d2">
          <m:axisValue occRef="母公司"/>
        </m:item>
        <m:item xlName="_GBC_2a4b687150024fd8b5058268a3033eec" concept="clcid-pte:LianYingQiYeTouZiMingXiYuE" label="联营企业投资明细-余额" periodRef="本期期初数" mulRef="_GBC_d8af48cd34c54e749df777d4e6a5e2ed" unitRef="_GBC_5b4bb22c6cca42989bcd538938127ee2" addr="T0R7C1S1_1" formatStyle="Comma" appId="_GBC_0837f60a15fc4684b64085618adca8d2">
          <m:axisValue occRef="母公司"/>
        </m:item>
        <m:item xlName="_GBC_9f8bd758d73648bfad32a95373392f1c" concept="clcid-pte:LianYingQiYeTouZiMingXiZhuiJiaTouZi" label="联营企业投资明细-追加投资" mulRef="_GBC_d8af48cd34c54e749df777d4e6a5e2ed" unitRef="_GBC_5b4bb22c6cca42989bcd538938127ee2" addr="T0R7C2S1_1" formatStyle="Comma" appId="_GBC_0837f60a15fc4684b64085618adca8d2">
          <m:axisValue occRef="母公司"/>
        </m:item>
        <m:item xlName="_GBC_cf36bb2f8859450f8ef983ba3e47b624" concept="clcid-pte:LianYingQiYeTouZiMingXiJianShaoTouZi" label="联营企业投资明细-减少投资" mulRef="_GBC_d8af48cd34c54e749df777d4e6a5e2ed" unitRef="_GBC_5b4bb22c6cca42989bcd538938127ee2" addr="T0R7C3S1_1" formatStyle="Comma" appId="_GBC_0837f60a15fc4684b64085618adca8d2">
          <m:axisValue occRef="母公司"/>
        </m:item>
        <m:item xlName="_GBC_5f9b07c086884b25bd44d7740a9c2e8e" concept="clcid-pte:LianYingQiYeTouZiMingXiQuanYiFaXiaQueRenDeTouZiSunYi" label="联营企业投资明细-权益法下确认的投资损益" mulRef="_GBC_d8af48cd34c54e749df777d4e6a5e2ed" unitRef="_GBC_5b4bb22c6cca42989bcd538938127ee2" addr="T0R7C4S1_1" formatStyle="Comma" appId="_GBC_0837f60a15fc4684b64085618adca8d2">
          <m:axisValue occRef="母公司"/>
        </m:item>
        <m:item xlName="_GBC_c2106e32aab64c439a074b257642e344" concept="clcid-pte:LianYingQiYeTouZiMingXiQiTaZongHeShouYiDiaoZheng" label="联营企业投资明细-其他综合收益调整" mulRef="_GBC_d8af48cd34c54e749df777d4e6a5e2ed" unitRef="_GBC_5b4bb22c6cca42989bcd538938127ee2" addr="T0R7C5S1_1" formatStyle="Comma" appId="_GBC_0837f60a15fc4684b64085618adca8d2">
          <m:axisValue occRef="母公司"/>
        </m:item>
        <m:item xlName="_GBC_10279813047f4812975536c44cda59de" concept="clcid-pte:LianYingQiYeTouZiMingXiQiTaQuanYiBianDong" label="联营企业投资明细-其他权益变动" mulRef="_GBC_d8af48cd34c54e749df777d4e6a5e2ed" unitRef="_GBC_5b4bb22c6cca42989bcd538938127ee2" addr="T0R7C6S1_1" formatStyle="Comma" appId="_GBC_0837f60a15fc4684b64085618adca8d2">
          <m:axisValue occRef="母公司"/>
        </m:item>
        <m:item xlName="_GBC_80a12b09ff8249ac86644b831fde213f" concept="clcid-pte:LianYingQiYeTouZiMingXiXuanGaoFaFangXianJinGuLiHuoLiRun" label="联营企业投资明细-宣告发放现金股利或利润" mulRef="_GBC_d8af48cd34c54e749df777d4e6a5e2ed" unitRef="_GBC_5b4bb22c6cca42989bcd538938127ee2" addr="T0R7C7S1_1" formatStyle="Comma" appId="_GBC_0837f60a15fc4684b64085618adca8d2">
          <m:axisValue occRef="母公司"/>
        </m:item>
        <m:item xlName="_GBC_c32b64fe2f0840078239d5344509ecbe" concept="clcid-pte:LianYingQiYeTouZiMingXiJiTiJianZhiZhunBei" label="联营企业投资明细-计提减值准备" mulRef="_GBC_d8af48cd34c54e749df777d4e6a5e2ed" unitRef="_GBC_5b4bb22c6cca42989bcd538938127ee2" addr="T0R7C8S1_1" formatStyle="Comma" appId="_GBC_0837f60a15fc4684b64085618adca8d2">
          <m:axisValue occRef="母公司"/>
        </m:item>
        <m:item xlName="_GBC_d8b7b875d94b4cdca789f5ca38111ed6" concept="clcid-pte:LianYingQiYeTouZiMingXiQiTaZengJianBianDong" label="联营企业投资明细-其他增减变动" mulRef="_GBC_d8af48cd34c54e749df777d4e6a5e2ed" unitRef="_GBC_5b4bb22c6cca42989bcd538938127ee2" addr="T0R7C9S1_1" formatStyle="Comma" appId="_GBC_0837f60a15fc4684b64085618adca8d2">
          <m:axisValue occRef="母公司"/>
        </m:item>
        <m:item xlName="_GBC_40662f32ef744d2ca5e56532c63fcd49" concept="clcid-pte:LianYingQiYeTouZiMingXiYuE" label="联营企业投资明细-余额" mulRef="_GBC_d8af48cd34c54e749df777d4e6a5e2ed" unitRef="_GBC_5b4bb22c6cca42989bcd538938127ee2" addr="T0R7C10S1_1" formatStyle="Comma" appId="_GBC_0837f60a15fc4684b64085618adca8d2">
          <m:complexRule comparator="Eq" title="母公司联营企业投资明细-余额" test=" $_GBC_2a4b687150024fd8b5058268a3033eec +  $_GBC_9f8bd758d73648bfad32a95373392f1c -  $_GBC_cf36bb2f8859450f8ef983ba3e47b624 +  $_GBC_5f9b07c086884b25bd44d7740a9c2e8e +  $_GBC_c2106e32aab64c439a074b257642e344 +  $_GBC_10279813047f4812975536c44cda59de -  $_GBC_80a12b09ff8249ac86644b831fde213f -  $_GBC_c32b64fe2f0840078239d5344509ecbe +  $_GBC_d8b7b875d94b4cdca789f5ca38111ed6" id="Cfe4258255e9f4bc09f1e4102da5b2336"/>
          <m:axisValue occRef="母公司"/>
        </m:item>
        <m:item xlName="_GBC_cb0018df5881484b924e2c7e4549ceda" concept="clcid-pte:LianYingQiYeTouZiMingXiJianZhiZhunBeiYuE" label="联营企业投资明细-减值准备余额" mulRef="_GBC_d8af48cd34c54e749df777d4e6a5e2ed" unitRef="_GBC_5b4bb22c6cca42989bcd538938127ee2" addr="T0R7C11S1_1" formatStyle="Comma" appId="_GBC_0837f60a15fc4684b64085618adca8d2">
          <m:axisValue occRef="母公司"/>
        </m:item>
      </m:tuple>
      <m:placeholder xlName="_PLD_f36fba62bb9a4b2687619bd8e6a90779" addr="T0R9C0S1_1"/>
      <m:item xlName="_GBC_735cb25b37584647897fff47883f401d" concept="clcid-pte:LianYingQiYeYuEXiaoJi" label="联营企业-余额小计" periodRef="本期期初数" mulRef="_GBC_d8af48cd34c54e749df777d4e6a5e2ed" unitRef="_GBC_5b4bb22c6cca42989bcd538938127ee2" addr="T0R9C1S1_1" formatStyle="Comma" appId="_GBC_0837f60a15fc4684b64085618adca8d2">
        <m:complexRule comparator="Eq" title="母公司联营企业-余额小计@本期期初数" test=" $_GBC_2a4b687150024fd8b5058268a3033eec" id="Cce54f1bd2449472697eed01968539826"/>
        <m:axisValue occRef="母公司"/>
      </m:item>
      <m:item xlName="_GBC_8fc25172d5594d64af88defb1271b416" concept="clcid-pte:LianYingQiYeZhuiJiaTouZiXiaoJi" label="联营企业-追加投资小计" mulRef="_GBC_d8af48cd34c54e749df777d4e6a5e2ed" unitRef="_GBC_5b4bb22c6cca42989bcd538938127ee2" addr="T0R9C2S1_1" formatStyle="Comma" appId="_GBC_0837f60a15fc4684b64085618adca8d2">
        <m:complexRule comparator="Eq" title="母公司联营企业-追加投资小计" test=" $_GBC_9f8bd758d73648bfad32a95373392f1c" id="C7e3d97549b5343f18068324a9e840456"/>
        <m:axisValue occRef="母公司"/>
      </m:item>
      <m:item xlName="_GBC_32e7bc0c6b4540d4adddb2b1229bcf0e" concept="clcid-pte:LianYingQiYeJianShaoTouZiXiaoJi" label="联营企业-减少投资小计" mulRef="_GBC_d8af48cd34c54e749df777d4e6a5e2ed" unitRef="_GBC_5b4bb22c6cca42989bcd538938127ee2" addr="T0R9C3S1_1" formatStyle="Comma" appId="_GBC_0837f60a15fc4684b64085618adca8d2">
        <m:complexRule comparator="Eq" title="母公司联营企业-减少投资小计" test=" $_GBC_cf36bb2f8859450f8ef983ba3e47b624" id="C80976326a51644499eb898b20118252b"/>
        <m:axisValue occRef="母公司"/>
      </m:item>
      <m:item xlName="_GBC_487cbf57f8524271a1b863650f9a1b19" concept="clcid-pte:LianYingQiYeQuanYiFaXiaQueRenDeTouZiSunYiXiaoJi" label="联营企业-权益法下确认的投资损益小计" mulRef="_GBC_d8af48cd34c54e749df777d4e6a5e2ed" unitRef="_GBC_5b4bb22c6cca42989bcd538938127ee2" addr="T0R9C4S1_1" formatStyle="Comma" appId="_GBC_0837f60a15fc4684b64085618adca8d2">
        <m:complexRule comparator="Eq" title="母公司联营企业-权益法下确认的投资损益小计" test=" $_GBC_5f9b07c086884b25bd44d7740a9c2e8e" id="C6b2fdc3a36204365bb372a694156eb9e"/>
        <m:axisValue occRef="母公司"/>
      </m:item>
      <m:item xlName="_GBC_f7ee620d85af477cb428438e2d392430" concept="clcid-pte:LianYingQiYeQiTaZongHeShouYiDiaoZhengXiaoJi" label="联营企业-其他综合收益调整小计" mulRef="_GBC_d8af48cd34c54e749df777d4e6a5e2ed" unitRef="_GBC_5b4bb22c6cca42989bcd538938127ee2" addr="T0R9C5S1_1" formatStyle="Comma" appId="_GBC_0837f60a15fc4684b64085618adca8d2">
        <m:complexRule comparator="Eq" title="母公司联营企业-其他综合收益调整小计" test=" $_GBC_c2106e32aab64c439a074b257642e344" id="C5cd9305a5a1c435fa09f9a4702a3ce89"/>
        <m:axisValue occRef="母公司"/>
      </m:item>
      <m:item xlName="_GBC_7244431c57714a59beead222169ac8f0" concept="clcid-pte:LianYingQiYeQiTaQuanYiBianDongXiaoJi" label="联营企业-其他权益变动小计" mulRef="_GBC_d8af48cd34c54e749df777d4e6a5e2ed" unitRef="_GBC_5b4bb22c6cca42989bcd538938127ee2" addr="T0R9C6S1_1" formatStyle="Comma" appId="_GBC_0837f60a15fc4684b64085618adca8d2">
        <m:complexRule comparator="Eq" title="母公司联营企业-其他权益变动小计" test=" $_GBC_10279813047f4812975536c44cda59de" id="C1a67504b4e3446558c56f1253c6df924"/>
        <m:axisValue occRef="母公司"/>
      </m:item>
      <m:item xlName="_GBC_73bee21777d447b1bc7c4d357f0ec8a4" concept="clcid-pte:LianYingQiYeXuanGaoFaFangXianJinGuLiHuoLiRunXiaoJi" label="联营企业-宣告发放现金股利或利润小计" mulRef="_GBC_d8af48cd34c54e749df777d4e6a5e2ed" unitRef="_GBC_5b4bb22c6cca42989bcd538938127ee2" addr="T0R9C7S1_1" formatStyle="Comma" appId="_GBC_0837f60a15fc4684b64085618adca8d2">
        <m:complexRule comparator="Eq" title="母公司联营企业-宣告发放现金股利或利润小计" test=" $_GBC_80a12b09ff8249ac86644b831fde213f" id="Cae18538574ac4d90873bff940da5e854"/>
        <m:axisValue occRef="母公司"/>
      </m:item>
      <m:item xlName="_GBC_26eb2d7480f44228a249ed435d117b75" concept="clcid-pte:LianYingQiYeJiTiJianZhiZhunBeiXiaoJi" label="联营企业-计提减值准备小计" mulRef="_GBC_d8af48cd34c54e749df777d4e6a5e2ed" unitRef="_GBC_5b4bb22c6cca42989bcd538938127ee2" addr="T0R9C8S1_1" formatStyle="Comma" appId="_GBC_0837f60a15fc4684b64085618adca8d2">
        <m:complexRule comparator="Eq" title="母公司联营企业-计提减值准备小计" test=" $_GBC_c32b64fe2f0840078239d5344509ecbe" id="Cf99e7160611a4f6293a4cda6277dea1a"/>
        <m:axisValue occRef="母公司"/>
      </m:item>
      <m:item xlName="_GBC_ad9ad8a9d7224698a7649df33088607e" concept="clcid-pte:LianYingQiYeQiTaZengJianBianDongXiaoJi" label="联营企业-其他增减变动小计" mulRef="_GBC_d8af48cd34c54e749df777d4e6a5e2ed" unitRef="_GBC_5b4bb22c6cca42989bcd538938127ee2" addr="T0R9C9S1_1" formatStyle="Comma" appId="_GBC_0837f60a15fc4684b64085618adca8d2">
        <m:complexRule comparator="Eq" title="母公司联营企业-其他增减变动小计" test=" $_GBC_d8b7b875d94b4cdca789f5ca38111ed6" id="C2b44d17442bc45f385b6710219a60b94"/>
        <m:axisValue occRef="母公司"/>
      </m:item>
      <m:item xlName="_GBC_fdcc905f926240529c1e95b8f1904ac5" concept="clcid-pte:LianYingQiYeYuEXiaoJi" label="联营企业-余额小计" mulRef="_GBC_d8af48cd34c54e749df777d4e6a5e2ed" unitRef="_GBC_5b4bb22c6cca42989bcd538938127ee2" addr="T0R9C10S1_1" formatStyle="Comma" appId="_GBC_0837f60a15fc4684b64085618adca8d2">
        <m:complexRule comparator="Eq" title="母公司联营企业-余额小计" test=" $_GBC_40662f32ef744d2ca5e56532c63fcd49" id="Cb89e8e287e9c4e3f8483a4ea9e9ed19c"/>
        <m:complexRule comparator="Eq" title="母公司联营企业-余额小计2" test=" $_GBC_735cb25b37584647897fff47883f401d +  $_GBC_8fc25172d5594d64af88defb1271b416 -  $_GBC_32e7bc0c6b4540d4adddb2b1229bcf0e +  $_GBC_487cbf57f8524271a1b863650f9a1b19 +  $_GBC_f7ee620d85af477cb428438e2d392430 +  $_GBC_7244431c57714a59beead222169ac8f0 -  $_GBC_73bee21777d447b1bc7c4d357f0ec8a4 -  $_GBC_26eb2d7480f44228a249ed435d117b75 +  $_GBC_ad9ad8a9d7224698a7649df33088607e" id="C364f6784eeec4e75a781a08087fbd3cf"/>
        <m:axisValue occRef="母公司"/>
      </m:item>
      <m:item xlName="_GBC_ae648a5f63a44b8bab0f3093f0dc68ac" concept="clcid-pte:LianYingQiYeJianZhiZhunBeiXiaoJi" label="联营企业-减值准备小计" mulRef="_GBC_d8af48cd34c54e749df777d4e6a5e2ed" unitRef="_GBC_5b4bb22c6cca42989bcd538938127ee2" addr="T0R9C11S1_1" formatStyle="Comma" appId="_GBC_0837f60a15fc4684b64085618adca8d2">
        <m:complexRule comparator="Eq" title="母公司联营企业-减值准备小计" test=" $_GBC_cb0018df5881484b924e2c7e4549ceda" id="Ca7698a20c7bc4640840ea910972378c2"/>
        <m:axisValue occRef="母公司"/>
      </m:item>
      <m:placeholder xlName="_PLD_928d9068468e4b46a39499f6e5372e2a" addr="T0R10C0S1_1"/>
      <m:item xlName="_GBC_21af77dd601f4350a78ac99dcf8fed6d" concept="clcid-pte:DuiLianYingHeYingQiYeTouZiZhangMianYuEDeHeJi" label="对联营、合营企业投资账面余额的合计" periodRef="本期期初数" mulRef="_GBC_d8af48cd34c54e749df777d4e6a5e2ed" unitRef="_GBC_5b4bb22c6cca42989bcd538938127ee2" addr="T0R10C1S1_1" formatStyle="Comma" appId="_GBC_0837f60a15fc4684b64085618adca8d2">
        <m:complexRule comparator="Eq" title="母公司对联营、合营企业投资账面余额的合计@本期期初数" test=" $_GBC_f49714f87b9b4f6586a02192e0318b10 +  $_GBC_735cb25b37584647897fff47883f401d" id="Cf8128be2643d4a669cd8e6a5a77cfd19"/>
        <m:axisValue occRef="母公司"/>
      </m:item>
      <m:item xlName="_GBC_f95f08785a164065b51b3da334aa398b" concept="clcid-pte:DuiLianYingQiYeHeYingQiYeTouZiZhuiJiaTouZiHeJi" label="对联营企业、合营企业投资_追加投资合计" mulRef="_GBC_d8af48cd34c54e749df777d4e6a5e2ed" unitRef="_GBC_5b4bb22c6cca42989bcd538938127ee2" addr="T0R10C2S1_1" formatStyle="Comma" appId="_GBC_0837f60a15fc4684b64085618adca8d2">
        <m:complexRule comparator="Eq" title="母公司长期股权投资本期增加-追加投资合计" test=" $_GBC_e689ad7bb01c41fbb444ba2b6a7c612c +  $_GBC_8fc25172d5594d64af88defb1271b416" id="C735bfbe0b8ea4998b6891cfec35d3dd4"/>
        <m:axisValue occRef="母公司"/>
      </m:item>
      <m:item xlName="_GBC_4a45b01a8c2947b6a8dc7b1d31b0b459" concept="clcid-pte:DuiLianYingQiYeHeYingQiYeTouZiJianShaoTouZiHeJi" label="对联营企业、合营企业投资_减少投资合计" mulRef="_GBC_d8af48cd34c54e749df777d4e6a5e2ed" unitRef="_GBC_5b4bb22c6cca42989bcd538938127ee2" addr="T0R10C3S1_1" formatStyle="Comma" appId="_GBC_0837f60a15fc4684b64085618adca8d2">
        <m:complexRule comparator="Eq" title="母公司长期股权投资本期减少-减少投资合计" test=" $_GBC_6b95d93dd63445ef9c8cb7a1a934a700 +  $_GBC_32e7bc0c6b4540d4adddb2b1229bcf0e" id="Cc5486057b929440198ace417c7060666"/>
        <m:axisValue occRef="母公司"/>
      </m:item>
      <m:item xlName="_GBC_c4c31b236d6e4010910884790310b2c2" concept="clcid-pte:DuiLianYingQiYeHeYingQiYeTouZiQuanYiFaXiaQueRenDeTouZiSunYiHeJi" label="对联营企业、合营企业投资_权益法下确认的投资损益合计" mulRef="_GBC_d8af48cd34c54e749df777d4e6a5e2ed" unitRef="_GBC_5b4bb22c6cca42989bcd538938127ee2" addr="T0R10C4S1_1" formatStyle="Comma" appId="_GBC_0837f60a15fc4684b64085618adca8d2">
        <m:complexRule comparator="Eq" title="母公司长期股权投资本期增加-权益法下确认的投资收益合计" test=" $_GBC_328cb9f31ce341948f097fe233244124 +  $_GBC_487cbf57f8524271a1b863650f9a1b19" id="Cc7edac0448f2464cab9533bf43ee80e9"/>
        <m:axisValue occRef="母公司"/>
      </m:item>
      <m:item xlName="_GBC_8b97dbafbaed4134a7fc3cbb236d3a11" concept="clcid-pte:DuiLianYingQiYeHeYingQiYeQiTouZiTaZongHeShouYiTiaoZhengHeJi" label="对联营企业、合营企业投资_其他综合收益调整合计" mulRef="_GBC_d8af48cd34c54e749df777d4e6a5e2ed" unitRef="_GBC_5b4bb22c6cca42989bcd538938127ee2" addr="T0R10C5S1_1" formatStyle="Comma" appId="_GBC_0837f60a15fc4684b64085618adca8d2">
        <m:complexRule comparator="Eq" title="母公司长期股权投资本期增加-其他综合收益调整合计" test=" $_GBC_a9d6413715ba4034811c2e7b8bb28d8b +  $_GBC_f7ee620d85af477cb428438e2d392430" id="Cec6f8dd29e014126bbe6e50d773750b8"/>
        <m:axisValue occRef="母公司"/>
      </m:item>
      <m:item xlName="_GBC_928ddf6612c24816b0dea19771cbf11b" concept="clcid-pte:DuiLianYingQiYeHeYingQiYeTouZiQiTaQuanYiBianDongHeJi" label="对联营企业、合营企业投资_其他权益变动合计" mulRef="_GBC_d8af48cd34c54e749df777d4e6a5e2ed" unitRef="_GBC_5b4bb22c6cca42989bcd538938127ee2" addr="T0R10C6S1_1" formatStyle="Comma" appId="_GBC_0837f60a15fc4684b64085618adca8d2">
        <m:complexRule comparator="Eq" title="母公司长期股权投资本期增加-其他权益变动合计" test=" $_GBC_de6d0a51963244ab9f323c37ce1e4bd6 +  $_GBC_7244431c57714a59beead222169ac8f0" id="C84c3efacca254a368bb511f618cf468b"/>
        <m:axisValue occRef="母公司"/>
      </m:item>
      <m:item xlName="_GBC_cfc6b5ee752c4cb596c6bcc2063e534e" concept="clcid-pte:DuiLianYingQiYeHeYingQiYeTouZiXuanGaoFaFangXianJinGuLiHuoLiRunHeJi" label="对联营企业、合营企业投资_宣告发放现金股利或利润合计" mulRef="_GBC_d8af48cd34c54e749df777d4e6a5e2ed" unitRef="_GBC_5b4bb22c6cca42989bcd538938127ee2" addr="T0R10C7S1_1" formatStyle="Comma" appId="_GBC_0837f60a15fc4684b64085618adca8d2">
        <m:complexRule comparator="Eq" title="母公司长期股权投资宣告发放现金股利或利润合计" test=" $_GBC_dc90b3182d3a4be48a18e9d13e5d152c +  $_GBC_73bee21777d447b1bc7c4d357f0ec8a4" id="Cd54212057ba34cbe820fb265444d4a34"/>
        <m:axisValue occRef="母公司"/>
      </m:item>
      <m:item xlName="_GBC_41b7dfdfacbd468bbbe4c4582689d464" concept="clcid-pte:DuiLianYingQiYeHeYingQiYeTouZiJiTiJianZhiZhunBeiHeJi" label="对联营企业、合营企业投资_计提减值准备合计" mulRef="_GBC_d8af48cd34c54e749df777d4e6a5e2ed" unitRef="_GBC_5b4bb22c6cca42989bcd538938127ee2" addr="T0R10C8S1_1" formatStyle="Comma" appId="_GBC_0837f60a15fc4684b64085618adca8d2">
        <m:complexRule comparator="Eq" title="母公司长期股权投资减值准备_本期增加数" test=" $_GBC_8c4fc031204843579efe0f9d9f243d24 +  $_GBC_26eb2d7480f44228a249ed435d117b75" id="Caf93815c7aa5485a91ac368dc9638cc6"/>
        <m:axisValue occRef="母公司"/>
      </m:item>
      <m:item xlName="_GBC_6758fc0a248643cca047b560324fb421" concept="clcid-pte:DuiLianYingQiYeHeYingQiYeTouZiQiTa" label="对联营企业、合营企业投资_其他合计" mulRef="_GBC_d8af48cd34c54e749df777d4e6a5e2ed" unitRef="_GBC_5b4bb22c6cca42989bcd538938127ee2" addr="T0R10C9S1_1" formatStyle="Comma" appId="_GBC_0837f60a15fc4684b64085618adca8d2">
        <m:complexRule comparator="Eq" title="母公司长期股权投资本期其他增减变动合计" test=" $_GBC_3cff28c355e84a2491ed9ea785e54526 +  $_GBC_ad9ad8a9d7224698a7649df33088607e" id="C8e6e28bada2e487f9ee53b55a841452b"/>
        <m:axisValue occRef="母公司"/>
      </m:item>
      <m:item xlName="_GBC_c2e69364237f4fd8b69a40bd54367e49" concept="clcid-pte:DuiLianYingHeYingQiYeTouZiZhangMianYuEDeHeJi" label="对联营、合营企业投资账面余额的合计" mulRef="_GBC_d8af48cd34c54e749df777d4e6a5e2ed" unitRef="_GBC_5b4bb22c6cca42989bcd538938127ee2" addr="T0R10C10S1_1" formatStyle="Comma" appId="_GBC_0837f60a15fc4684b64085618adca8d2">
        <m:complexRule comparator="Eq" title="母公司对联营、合营企业投资账面余额的合计" test=" $_GBC_1c527107124243e68996a64549430d10 +  $_GBC_fdcc905f926240529c1e95b8f1904ac5" id="C7e8f9736157f4cd39319624618e35658"/>
        <m:complexRule comparator="Eq" title="母公司对联营、合营企业投资账面余额的合计2" test=" $_GBC_21af77dd601f4350a78ac99dcf8fed6d +  $_GBC_f95f08785a164065b51b3da334aa398b -  $_GBC_4a45b01a8c2947b6a8dc7b1d31b0b459 +  $_GBC_c4c31b236d6e4010910884790310b2c2 +  $_GBC_8b97dbafbaed4134a7fc3cbb236d3a11 +  $_GBC_928ddf6612c24816b0dea19771cbf11b -  $_GBC_cfc6b5ee752c4cb596c6bcc2063e534e -  $_GBC_41b7dfdfacbd468bbbe4c4582689d464 +  $_GBC_6758fc0a248643cca047b560324fb421" id="C9e72f08071974643a3bcd9d0663f8f92"/>
        <m:axisValue occRef="母公司"/>
      </m:item>
      <m:item xlName="_GBC_e582fa421f3e4fc186bc7cd638f7c914" concept="clcid-pte:DuiLianYingHeYingQiYeTouZiJianZhiZhunBeiYuEHeJi" label="对联营、合营企业投资减值准备的合计" mulRef="_GBC_d8af48cd34c54e749df777d4e6a5e2ed" unitRef="_GBC_5b4bb22c6cca42989bcd538938127ee2" addr="T0R10C11S1_1" formatStyle="Comma" appId="_GBC_0837f60a15fc4684b64085618adca8d2">
        <m:complexRule comparator="Eq" title="母公司对联营、合营企业投资减值准备的合计" test=" $_GBC_aca4fbc1d5be4ab8adc1127f9fdedec5 +  $_GBC_ae648a5f63a44b8bab0f3093f0dc68ac" id="C17ec2465b6d749568134e611467d4964"/>
        <m:axisValue occRef="母公司"/>
      </m:item>
    </m:section>
    <m:section xlName="_GBC_1577b793bbce4a50b07decde0e07491e" title="长期股权投资的说明" helpId="112002211">
      <m:item xlName="_GBC_8b70582854684459adc77f46cbf4aac7" concept="clcid-ci-ar:ShiFouShiYongMuGongSiChangQiGuQuanTouZiQiTaShuoMing" label="是否适用：母公司长期股权投资其他说明" selectOptions="_buildInAppliance" controlType="CustomCheckbox" cRanges="{&quot;StartName&quot;:&quot;_GBC_8b70582854684459adc77f46cbf4aac7&quot;,&quot;EndName&quot;:&quot;_GBC_7d6b12a95420485fa78b9e4ed1488020&quot;,&quot;CType&quot;:1,&quot;DisplayText&quot;:null}"/>
      <m:item xlName="_GBC_7d6b12a95420485fa78b9e4ed1488020" concept="clcid-pte:ChangQiGuQuanTouZiDeShuoMing" label="长期股权投资的说明" appId="_GBC_8b70582854684459adc77f46cbf4aac7">
        <m:axisValue occRef="母公司"/>
      </m:item>
    </m:section>
    <m:section xlName="_SEC_c20353238d924d35bff1a3e0cee4af4b" title="营业收入和营业成本情况">
      <m:item xlName="_GBC_f62d83b1068f4bfaae3a590b0ac9f4d7" concept="clcid-ci-ar:ShiFouShiYongMuGongSiYingYeShouRuHeYingYeChengBen" label="是否适用：母公司营业收入和营业成本" selectOptions="_buildInAppliance" controlType="CustomCheckbox" cRanges="[{&quot;StartName&quot;:&quot;_GBC_f62d83b1068f4bfaae3a590b0ac9f4d7&quot;,&quot;EndName&quot;:&quot;_GBC_18ebc2af1c8b4412b6ce51d3beb0e196&quot;,&quot;CType&quot;:1}]"/>
      <m:item xlName="_GBC_40a730bb869a41578a25e9cb66f4e28e" concept="clcid-ci-ar:DanWeiMuGongSiCaiWuFuZhuYingYeShouRu" label="单位：母公司财务附注：营业收入" selectOptions="_buildInScales" controlType="Combobox" cellType="Scale" appId="_GBC_f62d83b1068f4bfaae3a590b0ac9f4d7"/>
      <m:item xlName="_GBC_1b6056b90b2c445a9b1bcdc97aa104ec" concept="clcid-ci-ar:BiZhongMuGongSiCaiWuFuZhuYingYeShouRu" label="币种：母公司财务附注：营业收入" selectOptions="_buildInISO4217" controlType="Combobox" cellType="Measure" appId="_GBC_f62d83b1068f4bfaae3a590b0ac9f4d7"/>
      <m:placeholder xlName="_PLD_3dc9ae0da47e49d097992a176784945a" addr="T0R0C0S2_1"/>
      <m:placeholder xlName="_PLD_b47efcaea8ca428781485b2625b4c252" addr="T0R0C1S1_2"/>
      <m:placeholder xlName="_PLD_44320683f4394adcaf1711775bb320ef" addr="T0R0C3S1_2"/>
      <m:placeholder xlName="_PLD_efb75dfbe3924c3a9f286eefd26b357f" addr="T0R1C1S1_1"/>
      <m:placeholder xlName="_PLD_9ecc7b9050c24dcebd801ee01e950a91" addr="T0R1C2S1_1"/>
      <m:placeholder xlName="_PLD_b2940b2f59f24f969eea718c85f99dda" addr="T0R1C3S1_1"/>
      <m:placeholder xlName="_PLD_971c170c70c24975ba7524e53623bf00" addr="T0R1C4S1_1"/>
      <m:placeholder xlName="_PLD_f2b4fe0479f44a60a5badd071c9f1f86" addr="T0R2C0S1_1"/>
      <m:item xlName="_GBC_f048af69ebec4513a0be379b3b240780" concept="clcid-pte:ZhuYingYeWuShouRu" label="主营业务收入" mulRef="_GBC_40a730bb869a41578a25e9cb66f4e28e" unitRef="_GBC_1b6056b90b2c445a9b1bcdc97aa104ec" addr="T0R2C1S1_1" formatStyle="Comma" appId="_GBC_f62d83b1068f4bfaae3a590b0ac9f4d7">
        <m:axisValue occRef="母公司"/>
      </m:item>
      <m:item xlName="_GBC_a3d083c6330647efaf8e25a96cf46e49" concept="clcid-pte:ZhuYingYeWuChengBen" label="主营业务成本" mulRef="_GBC_40a730bb869a41578a25e9cb66f4e28e" unitRef="_GBC_1b6056b90b2c445a9b1bcdc97aa104ec" addr="T0R2C2S1_1" formatStyle="Comma" appId="_GBC_f62d83b1068f4bfaae3a590b0ac9f4d7">
        <m:axisValue occRef="母公司"/>
      </m:item>
      <m:item xlName="_GBC_bfa7e8cad5a2405cb71b2af5ce002eef" concept="clcid-pte:ZhuYingYeWuShouRu" label="主营业务收入" periodRef="上年同期数" mulRef="_GBC_40a730bb869a41578a25e9cb66f4e28e" unitRef="_GBC_1b6056b90b2c445a9b1bcdc97aa104ec" addr="T0R2C3S1_1" formatStyle="Comma" appId="_GBC_f62d83b1068f4bfaae3a590b0ac9f4d7">
        <m:axisValue occRef="母公司"/>
      </m:item>
      <m:item xlName="_GBC_c609478af4ee4fe883f941c6880a3b71" concept="clcid-pte:ZhuYingYeWuChengBen" label="主营业务成本" periodRef="上年同期数" mulRef="_GBC_40a730bb869a41578a25e9cb66f4e28e" unitRef="_GBC_1b6056b90b2c445a9b1bcdc97aa104ec" addr="T0R2C4S1_1" formatStyle="Comma" appId="_GBC_f62d83b1068f4bfaae3a590b0ac9f4d7">
        <m:axisValue occRef="母公司"/>
      </m:item>
      <m:placeholder xlName="_PLD_afc897eb0cea4fd1aa59bd1823fab728" addr="T0R3C0S1_1"/>
      <m:item xlName="_GBC_4d2c15e1923448c19576493fcb17d95f" concept="clcid-pte:QiTaYeWuShouRuHeJi" label="其他业务收入" mulRef="_GBC_40a730bb869a41578a25e9cb66f4e28e" unitRef="_GBC_1b6056b90b2c445a9b1bcdc97aa104ec" addr="T0R3C1S1_1" formatStyle="Comma" appId="_GBC_f62d83b1068f4bfaae3a590b0ac9f4d7">
        <m:axisValue occRef="母公司"/>
      </m:item>
      <m:item xlName="_GBC_62a0f7bc33ee487f8886f608fe79d175" concept="clcid-pte:QiTaYeWuChengBenHeJi" label="其他业务成本" mulRef="_GBC_40a730bb869a41578a25e9cb66f4e28e" unitRef="_GBC_1b6056b90b2c445a9b1bcdc97aa104ec" addr="T0R3C2S1_1" formatStyle="Comma" appId="_GBC_f62d83b1068f4bfaae3a590b0ac9f4d7">
        <m:axisValue occRef="母公司"/>
      </m:item>
      <m:item xlName="_GBC_314f630e111d4be29d772376e59dad56" concept="clcid-pte:QiTaYeWuShouRuHeJi" label="其他业务收入" periodRef="上年同期数" mulRef="_GBC_40a730bb869a41578a25e9cb66f4e28e" unitRef="_GBC_1b6056b90b2c445a9b1bcdc97aa104ec" addr="T0R3C3S1_1" formatStyle="Comma" appId="_GBC_f62d83b1068f4bfaae3a590b0ac9f4d7">
        <m:axisValue occRef="母公司"/>
      </m:item>
      <m:item xlName="_GBC_84c453d8e2ba412db8fe6efbb667ab12" concept="clcid-pte:QiTaYeWuChengBenHeJi" label="其他业务成本" periodRef="上年同期数" mulRef="_GBC_40a730bb869a41578a25e9cb66f4e28e" unitRef="_GBC_1b6056b90b2c445a9b1bcdc97aa104ec" addr="T0R3C4S1_1" formatStyle="Comma" appId="_GBC_f62d83b1068f4bfaae3a590b0ac9f4d7">
        <m:axisValue occRef="母公司"/>
      </m:item>
      <m:placeholder xlName="_PLD_209c319d43f848d2a0456ecaa5150b62" addr="T0R4C0S1_1"/>
      <m:item xlName="_GBC_d7644884014b46588f12c846a5b08ba5" concept="clcid-pte:YingYeShouRu" label="营业收入" mulRef="_GBC_40a730bb869a41578a25e9cb66f4e28e" unitRef="_GBC_1b6056b90b2c445a9b1bcdc97aa104ec" addr="T0R4C1S1_1" formatStyle="Comma" appId="_GBC_f62d83b1068f4bfaae3a590b0ac9f4d7">
        <m:complexRule comparator="Eq" title="母公司营业收入" test=" $_GBC_f048af69ebec4513a0be379b3b240780 +  $_GBC_4d2c15e1923448c19576493fcb17d95f" id="C0a867d1b7cad4b9cb1a65bdc86d07605"/>
        <m:axisValue occRef="母公司"/>
      </m:item>
      <m:item xlName="_GBC_021c440ec6914757a06bb5812a00ea43" concept="clcid-pte:YingYeChengBen" label="营业成本" mulRef="_GBC_40a730bb869a41578a25e9cb66f4e28e" unitRef="_GBC_1b6056b90b2c445a9b1bcdc97aa104ec" addr="T0R4C2S1_1" formatStyle="Comma" appId="_GBC_f62d83b1068f4bfaae3a590b0ac9f4d7">
        <m:complexRule comparator="Eq" title="母公司营业成本" test=" $_GBC_a3d083c6330647efaf8e25a96cf46e49 +  $_GBC_62a0f7bc33ee487f8886f608fe79d175" id="Cd3dc0bf5359644dd9d76e6a78d819638"/>
        <m:axisValue occRef="母公司"/>
      </m:item>
      <m:item xlName="_GBC_306d9c37818c4777a4e4100dc84e5d06" concept="clcid-pte:YingYeShouRu" label="营业收入" periodRef="上年同期数" mulRef="_GBC_40a730bb869a41578a25e9cb66f4e28e" unitRef="_GBC_1b6056b90b2c445a9b1bcdc97aa104ec" addr="T0R4C3S1_1" formatStyle="Comma" appId="_GBC_f62d83b1068f4bfaae3a590b0ac9f4d7">
        <m:complexRule comparator="Eq" title="母公司营业收入@上年同期数" test=" $_GBC_bfa7e8cad5a2405cb71b2af5ce002eef +  $_GBC_314f630e111d4be29d772376e59dad56" id="C56343c72aa524f63bccc8817b4a24a95"/>
        <m:axisValue occRef="母公司"/>
      </m:item>
      <m:item xlName="_GBC_18ebc2af1c8b4412b6ce51d3beb0e196" concept="clcid-pte:YingYeChengBen" label="营业成本" periodRef="上年同期数" mulRef="_GBC_40a730bb869a41578a25e9cb66f4e28e" unitRef="_GBC_1b6056b90b2c445a9b1bcdc97aa104ec" addr="T0R4C4S1_1" formatStyle="Comma" appId="_GBC_f62d83b1068f4bfaae3a590b0ac9f4d7">
        <m:complexRule comparator="Eq" title="母公司营业成本@上年同期数" test=" $_GBC_c609478af4ee4fe883f941c6880a3b71 +  $_GBC_84c453d8e2ba412db8fe6efbb667ab12" id="C084baaf3bc4b409ebe2a922c07bc6e89"/>
        <m:axisValue occRef="母公司"/>
      </m:item>
    </m:section>
    <m:section xlName="_SEC_2713156f501a4b5a86eb4ab43bcaf25e" title="合同产生的收入情况：" tagAction="1">
      <m:item xlName="_GBC_f4f1c383538f4a76af749e49b3462b68" concept="clcid-ci-ar:ShiFouShiYongMuGongSiHeTongChanShengDeShouRu" label="是否适用：母公司合同产生的收入" selectOptions="_buildInAppliance" controlType="CustomCheckbox" cRanges="[{&quot;StartName&quot;:&quot;_GBC_f4f1c383538f4a76af749e49b3462b68&quot;,&quot;EndName&quot;:&quot;_GBC_c2196d03cc34409a8d0cc1794273d065&quot;,&quot;CType&quot;:1}]"/>
      <m:item xlName="_GBC_4adc58883ef44e8ebea1762f0434d596" concept="clcid-ci-ar:DanWeiMuGongSiHeTongChanShengDeShouRu" label="单位：母公司合同产生的收入" selectOptions="_buildInScales" controlType="Combobox" cellType="Scale" appId="_GBC_f4f1c383538f4a76af749e49b3462b68"/>
      <m:item xlName="_GBC_046c678d71314293a7965e974e75c9e4" concept="clcid-ci-ar:BiZhongMuGongSiHeTongChanShengDeShouRu" label="币种：母公司合同产生的收入" selectOptions="_buildInISO4217" controlType="Combobox" cellType="Measure" appId="_GBC_f4f1c383538f4a76af749e49b3462b68"/>
      <m:placeholder xlName="_PLD_a5020ef155ec4602ad2241de5811b002" addr="T0R0C0S1_1"/>
      <m:item xlName="_GBC_566b9fd630f94068954d989f3f3aa2a1" concept="clcid-pte:HeTongChanShengDeShouRuFenBuMingCheng" label="合同产生的收入分部名称" addr="T0R0C1S1_1" tagAction="1" formatStyle="Comma" tupleRef="clcid-pte:HeTongChanShengDeShouRuFenBuMingXi" appId="_GBC_f4f1c383538f4a76af749e49b3462b68" isCaption="true">
        <m:axisValue occRef="母公司"/>
      </m:item>
      <m:placeholder xlName="_PLD_41ad04c6bfff489086b0fa845d0103e5" addr="T0R0C2S1_1"/>
      <m:placeholder xlName="_PLD_018eb49e1d474c289ed3e92a54bf05b0" addr="T0R1C0S1_1"/>
      <m:item xlName="_GBC_457299f1db664ebaa1f15654a7ad8c45" concept="clcid-pte:FenBuShangPinLeiXingHeTongChanShengDeShouRu" label="分部商品类型合同产生的收入" mulRef="_GBC_4adc58883ef44e8ebea1762f0434d596" unitRef="_GBC_046c678d71314293a7965e974e75c9e4" addr="T0R1C1S1_1" formatStyle="Comma" tupleRef="clcid-pte:HeTongChanShengDeShouRuFenBuMingXi" appId="_GBC_f4f1c383538f4a76af749e49b3462b68">
        <m:axisValue occRef="母公司"/>
      </m:item>
      <m:item xlName="_GBC_982888e9c6e3414481401fd1c18edfc8" concept="clcid-pte:ShangPinLeiXingHeTongChanShengDeShouRu" label="商品类型合同产生的收入" mulRef="_GBC_4adc58883ef44e8ebea1762f0434d596" unitRef="_GBC_046c678d71314293a7965e974e75c9e4" addr="T0R1C2S1_1" formatStyle="Comma" appId="_GBC_f4f1c383538f4a76af749e49b3462b68">
        <m:axisValue occRef="母公司"/>
      </m:item>
      <m:item xlName="_GBC_7d77a723cfc44d24984418966764a288" concept="clcid-pte:FenBuShangPinLeiXingMingXiMingCheng1" label="分部商品类型明细名称1" addr="T0R2C0S1_1" tagAction="1" appId="_GBC_f4f1c383538f4a76af749e49b3462b68" isSerialConcept="true" serialDirection="1" serialDefaultCount="2">
        <m:axisValue occRef="母公司"/>
      </m:item>
      <m:item xlName="_GBC_77dcdfb6aac7469a84674b6b2d7ed31a" concept="clcid-pte:FenBuShangPinLeiXingMingXiHeTongChanShengDeShouRu1" label="分部商品类型明细合同产生的收入1" mulRef="_GBC_4adc58883ef44e8ebea1762f0434d596" unitRef="_GBC_046c678d71314293a7965e974e75c9e4" addr="T0R2C1S1_1" formatStyle="Comma" tupleRef="clcid-pte:HeTongChanShengDeShouRuFenBuMingXi" appId="_GBC_f4f1c383538f4a76af749e49b3462b68" isSerialConcept="true" serialDirection="1" serialDefaultCount="2">
        <m:axisValue occRef="母公司"/>
      </m:item>
      <m:item xlName="_GBC_f169ddc15e6740c1a86c1edd56735ef7" concept="clcid-pte:ShangPinLeiXingMingXiHeTongChanShengDeShouRu1" label="商品类型明细合同产生的收入1" mulRef="_GBC_4adc58883ef44e8ebea1762f0434d596" unitRef="_GBC_046c678d71314293a7965e974e75c9e4" addr="T0R2C2S1_1" formatStyle="Comma" appId="_GBC_f4f1c383538f4a76af749e49b3462b68" isSerialConcept="true" serialDirection="1" serialDefaultCount="2">
        <m:axisValue occRef="母公司"/>
      </m:item>
      <m:placeholder xlName="_PLD_a32d1f02723e42859b87a947df092350" addr="T0R3C0S1_1"/>
      <m:item xlName="_GBC_fec4b744ccb54cc1b960f7eb26a5533c" concept="clcid-pte:FenBuAnJingYingDiQuFenLeiHeTongChanShengDeShouRu" label="分部按经营地区分类合同产生的收入" mulRef="_GBC_4adc58883ef44e8ebea1762f0434d596" unitRef="_GBC_046c678d71314293a7965e974e75c9e4" addr="T0R3C1S1_1" formatStyle="Comma" tupleRef="clcid-pte:HeTongChanShengDeShouRuFenBuMingXi" appId="_GBC_f4f1c383538f4a76af749e49b3462b68">
        <m:axisValue occRef="母公司"/>
      </m:item>
      <m:item xlName="_GBC_d7ef9308e944423793a94d1b1ab03bb4" concept="clcid-pte:AnJingYingDiQuFenLeiHeTongChanShengDeShouRu" label="按经营地区分类合同产生的收入" mulRef="_GBC_4adc58883ef44e8ebea1762f0434d596" unitRef="_GBC_046c678d71314293a7965e974e75c9e4" addr="T0R3C2S1_1" formatStyle="Comma" appId="_GBC_f4f1c383538f4a76af749e49b3462b68">
        <m:axisValue occRef="母公司"/>
      </m:item>
      <m:item xlName="_GBC_4f36206bab1c46aeb874e45c11f31378" concept="clcid-pte:FenBuAnJingYingDiQuFenLeiMingXiMingCheng1" label="分部按经营地区分类明细名称1" addr="T0R4C0S1_1" tagAction="1" appId="_GBC_f4f1c383538f4a76af749e49b3462b68" isSerialConcept="true" serialDirection="1" serialDefaultCount="2">
        <m:axisValue occRef="母公司"/>
      </m:item>
      <m:item xlName="_GBC_64bd1ffc9d084e059e3999b46a1bfa51" concept="clcid-pte:FenBuAnJingYingDiQuFenLeiMingXiHeTongChanShengDeShouRu1" label="分部按经营地区分类明细合同产生的收入1" mulRef="_GBC_4adc58883ef44e8ebea1762f0434d596" unitRef="_GBC_046c678d71314293a7965e974e75c9e4" addr="T0R4C1S1_1" formatStyle="Comma" tupleRef="clcid-pte:HeTongChanShengDeShouRuFenBuMingXi" appId="_GBC_f4f1c383538f4a76af749e49b3462b68" isSerialConcept="true" serialDirection="1" serialDefaultCount="2">
        <m:axisValue occRef="母公司"/>
      </m:item>
      <m:item xlName="_GBC_00ecfebde54a4674ba0475ba1d0c08fc" concept="clcid-pte:AnJingYingDiQuFenLeiMingXiHeTongChanShengDeShouRu1" label="按经营地区分类明细合同产生的收入1" mulRef="_GBC_4adc58883ef44e8ebea1762f0434d596" unitRef="_GBC_046c678d71314293a7965e974e75c9e4" addr="T0R4C2S1_1" formatStyle="Comma" appId="_GBC_f4f1c383538f4a76af749e49b3462b68" isSerialConcept="true" serialDirection="1" serialDefaultCount="2">
        <m:axisValue occRef="母公司"/>
      </m:item>
      <m:placeholder xlName="_PLD_9c85221f749e4f7a8d2720257c752ec4" addr="T0R5C0S1_1"/>
      <m:item xlName="_GBC_bef07487d1334e90854e510f50f6ecd4" concept="clcid-pte:FenBuShiChangHuoKeHuLeiXingHeTongChanShengDeShouRu" label="分部市场或客户类型合同产生的收入" mulRef="_GBC_4adc58883ef44e8ebea1762f0434d596" unitRef="_GBC_046c678d71314293a7965e974e75c9e4" addr="T0R5C1S1_1" formatStyle="Comma" tupleRef="clcid-pte:HeTongChanShengDeShouRuFenBuMingXi" appId="_GBC_f4f1c383538f4a76af749e49b3462b68">
        <m:axisValue occRef="母公司"/>
      </m:item>
      <m:item xlName="_GBC_2ede684af16a43c79aad41300113f71f" concept="clcid-pte:ShiChangHuoKeHuLeiXingHeTongChanShengDeShouRu" label="市场或客户类型合同产生的收入" mulRef="_GBC_4adc58883ef44e8ebea1762f0434d596" unitRef="_GBC_046c678d71314293a7965e974e75c9e4" addr="T0R5C2S1_1" formatStyle="Comma" appId="_GBC_f4f1c383538f4a76af749e49b3462b68">
        <m:axisValue occRef="母公司"/>
      </m:item>
      <m:item xlName="_GBC_419fb37d8e834833b15b98a4d5e1d2a6" concept="clcid-pte:FenBuShiChangHuoKeHuLeiXingMingXiMingCheng1" label="分部市场或客户类型明细名称1" addr="T0R6C0S1_1" tagAction="1" appId="_GBC_f4f1c383538f4a76af749e49b3462b68" isSerialConcept="true" serialDirection="1" serialDefaultCount="2">
        <m:axisValue occRef="母公司"/>
      </m:item>
      <m:item xlName="_GBC_da4e95c0b7e54c7096653bc32de21437" concept="clcid-pte:FenBuShiChangHuoKeHuLeiXingMingXiHeTongChanShengDeShouRu1" label="分部市场或客户类型明细合同产生的收入1" mulRef="_GBC_4adc58883ef44e8ebea1762f0434d596" unitRef="_GBC_046c678d71314293a7965e974e75c9e4" addr="T0R6C1S1_1" formatStyle="Comma" tupleRef="clcid-pte:HeTongChanShengDeShouRuFenBuMingXi" appId="_GBC_f4f1c383538f4a76af749e49b3462b68" isSerialConcept="true" serialDirection="1" serialDefaultCount="2">
        <m:axisValue occRef="母公司"/>
      </m:item>
      <m:item xlName="_GBC_46a51bbc1b084fd6aca35bc0115b0519" concept="clcid-pte:ShiChangHuoKeHuLeiXingMingXiHeTongChanShengDeShouRu1" label="市场或客户类型明细合同产生的收入1" mulRef="_GBC_4adc58883ef44e8ebea1762f0434d596" unitRef="_GBC_046c678d71314293a7965e974e75c9e4" addr="T0R6C2S1_1" formatStyle="Comma" appId="_GBC_f4f1c383538f4a76af749e49b3462b68" isSerialConcept="true" serialDirection="1" serialDefaultCount="2">
        <m:axisValue occRef="母公司"/>
      </m:item>
      <m:placeholder xlName="_PLD_5fe8ea9ba9cc42ec9fbd83eb038e507f" addr="T0R7C0S1_1"/>
      <m:item xlName="_GBC_197ddef88fa64b919f21e29671d49773" concept="clcid-pte:FenBuHeTongLeiXingHeTongChanShengDeShouRu" label="分部合同类型合同产生的收入" mulRef="_GBC_4adc58883ef44e8ebea1762f0434d596" unitRef="_GBC_046c678d71314293a7965e974e75c9e4" addr="T0R7C1S1_1" formatStyle="Comma" tupleRef="clcid-pte:HeTongChanShengDeShouRuFenBuMingXi" appId="_GBC_f4f1c383538f4a76af749e49b3462b68">
        <m:axisValue occRef="母公司"/>
      </m:item>
      <m:item xlName="_GBC_2f457e2a73e5456c89a6b7473b659d6f" concept="clcid-pte:HeTongLeiXingHeTongChanShengDeShouRu" label="合同类型合同产生的收入" mulRef="_GBC_4adc58883ef44e8ebea1762f0434d596" unitRef="_GBC_046c678d71314293a7965e974e75c9e4" addr="T0R7C2S1_1" formatStyle="Comma" appId="_GBC_f4f1c383538f4a76af749e49b3462b68">
        <m:axisValue occRef="母公司"/>
      </m:item>
      <m:item xlName="_GBC_97fb8cb3e4314f7aa3442130bb1f353a" concept="clcid-pte:FenBuHeTongLeiXingMingXiMingCheng1" label="分部合同类型明细名称1" addr="T0R8C0S1_1" tagAction="1" appId="_GBC_f4f1c383538f4a76af749e49b3462b68" isSerialConcept="true" serialDirection="1" serialDefaultCount="2">
        <m:axisValue occRef="母公司"/>
      </m:item>
      <m:item xlName="_GBC_665207a26bde43c983891e6e300b30c2" concept="clcid-pte:FenBuHeTongLeiXingMingXiHeTongChanShengDeShouRu1" label="分部合同类型明细合同产生的收入1" mulRef="_GBC_4adc58883ef44e8ebea1762f0434d596" unitRef="_GBC_046c678d71314293a7965e974e75c9e4" addr="T0R8C1S1_1" formatStyle="Comma" tupleRef="clcid-pte:HeTongChanShengDeShouRuFenBuMingXi" appId="_GBC_f4f1c383538f4a76af749e49b3462b68" isSerialConcept="true" serialDirection="1" serialDefaultCount="2">
        <m:axisValue occRef="母公司"/>
      </m:item>
      <m:item xlName="_GBC_420b81e2c549496494fe6a4d3f2a37dd" concept="clcid-pte:HeTongLeiXingMingXiHeTongChanShengDeShouRu1" label="合同类型明细合同产生的收入1" mulRef="_GBC_4adc58883ef44e8ebea1762f0434d596" unitRef="_GBC_046c678d71314293a7965e974e75c9e4" addr="T0R8C2S1_1" formatStyle="Comma" appId="_GBC_f4f1c383538f4a76af749e49b3462b68" isSerialConcept="true" serialDirection="1" serialDefaultCount="2">
        <m:axisValue occRef="母公司"/>
      </m:item>
      <m:placeholder xlName="_PLD_5e3441d2c5df46c994f8ec8cb9a7bed7" addr="T0R9C0S1_1"/>
      <m:item xlName="_GBC_cd9d39f68ae547838f0198357eb49d8d" concept="clcid-pte:FenBuAnShangPinZhuanRangDeShiJianFenLeiHeTongChanShengDeShouRu" label="分部按商品转让的时间分类合同产生的收入" mulRef="_GBC_4adc58883ef44e8ebea1762f0434d596" unitRef="_GBC_046c678d71314293a7965e974e75c9e4" addr="T0R9C1S1_1" formatStyle="Comma" tupleRef="clcid-pte:HeTongChanShengDeShouRuFenBuMingXi" appId="_GBC_f4f1c383538f4a76af749e49b3462b68">
        <m:axisValue occRef="母公司"/>
      </m:item>
      <m:item xlName="_GBC_e72d99d0ef7040f2a9f4ed7e8bc87af5" concept="clcid-pte:AnShangPinZhuanRangDeShiJianFenLeiHeTongChanShengDeShouRu" label="按商品转让的时间分类合同产生的收入" mulRef="_GBC_4adc58883ef44e8ebea1762f0434d596" unitRef="_GBC_046c678d71314293a7965e974e75c9e4" addr="T0R9C2S1_1" formatStyle="Comma" appId="_GBC_f4f1c383538f4a76af749e49b3462b68">
        <m:axisValue occRef="母公司"/>
      </m:item>
      <m:item xlName="_GBC_f64c3e3d002949309c2146e7df25a5cf" concept="clcid-pte:FenBuAnShangPinZhuanRangDeShiJianFenLeiMingXiMingCheng1" label="分部按商品转让的时间分类明细名称1" addr="T0R10C0S1_1" tagAction="1" appId="_GBC_f4f1c383538f4a76af749e49b3462b68" isSerialConcept="true" serialDirection="1" serialDefaultCount="2">
        <m:axisValue occRef="母公司"/>
      </m:item>
      <m:item xlName="_GBC_17d69f6dfbc04825b4362fd6e3ec49f0" concept="clcid-pte:FenBuAnShangPinZhuanRangDeShiJianFenLeiMingXiHeTongChanShengDeShouRu1" label="分部按商品转让的时间分类明细合同产生的收入1" mulRef="_GBC_4adc58883ef44e8ebea1762f0434d596" unitRef="_GBC_046c678d71314293a7965e974e75c9e4" addr="T0R10C1S1_1" formatStyle="Comma" tupleRef="clcid-pte:HeTongChanShengDeShouRuFenBuMingXi" appId="_GBC_f4f1c383538f4a76af749e49b3462b68" isSerialConcept="true" serialDirection="1" serialDefaultCount="2">
        <m:axisValue occRef="母公司"/>
      </m:item>
      <m:item xlName="_GBC_3a884b3480ad43b8826185d870e1e3f0" concept="clcid-pte:AnShangPinZhuanRangDeShiJianFenLeiMingXiHeTongChanShengDeShouRu1" label="按商品转让的时间分类明细合同产生的收入1" mulRef="_GBC_4adc58883ef44e8ebea1762f0434d596" unitRef="_GBC_046c678d71314293a7965e974e75c9e4" addr="T0R10C2S1_1" formatStyle="Comma" appId="_GBC_f4f1c383538f4a76af749e49b3462b68" isSerialConcept="true" serialDirection="1" serialDefaultCount="2">
        <m:axisValue occRef="母公司"/>
      </m:item>
      <m:placeholder xlName="_PLD_3716e0d062c2454296e10d380dc273c2" addr="T0R11C0S1_1"/>
      <m:item xlName="_GBC_156c0852a7394203b0d0e913d3675773" concept="clcid-pte:FenBuAnHeTongQiXianFenLeiHeTongChanShengDeShouRu" label="分部按合同期限分类合同产生的收入" mulRef="_GBC_4adc58883ef44e8ebea1762f0434d596" unitRef="_GBC_046c678d71314293a7965e974e75c9e4" addr="T0R11C1S1_1" formatStyle="Comma" tupleRef="clcid-pte:HeTongChanShengDeShouRuFenBuMingXi" appId="_GBC_f4f1c383538f4a76af749e49b3462b68">
        <m:axisValue occRef="母公司"/>
      </m:item>
      <m:item xlName="_GBC_b296414452e142528045e211d32d5b9f" concept="clcid-pte:AnHeTongQiXianFenLeiHeTongChanShengDeShouRu" label="按合同期限分类合同产生的收入" mulRef="_GBC_4adc58883ef44e8ebea1762f0434d596" unitRef="_GBC_046c678d71314293a7965e974e75c9e4" addr="T0R11C2S1_1" formatStyle="Comma" appId="_GBC_f4f1c383538f4a76af749e49b3462b68">
        <m:axisValue occRef="母公司"/>
      </m:item>
      <m:item xlName="_GBC_cfd5ea94781e49d0827c4b83bb8cd1f4" concept="clcid-pte:FenBuAnHeTongQiXianFenLeiMingXiMingCheng1" label="分部按合同期限分类明细名称1" addr="T0R12C0S1_1" tagAction="1" appId="_GBC_f4f1c383538f4a76af749e49b3462b68" isSerialConcept="true" serialDirection="1" serialDefaultCount="2">
        <m:axisValue occRef="母公司"/>
      </m:item>
      <m:item xlName="_GBC_1aa6790aa7c240eb8c0005c63ae3ceed" concept="clcid-pte:FenBuAnHeTongQiXianFenLeiMingXiHeTongChanShengDeShouRu1" label="分部按合同期限分类明细合同产生的收入1" mulRef="_GBC_4adc58883ef44e8ebea1762f0434d596" unitRef="_GBC_046c678d71314293a7965e974e75c9e4" addr="T0R12C1S1_1" formatStyle="Comma" tupleRef="clcid-pte:HeTongChanShengDeShouRuFenBuMingXi" appId="_GBC_f4f1c383538f4a76af749e49b3462b68" isSerialConcept="true" serialDirection="1" serialDefaultCount="2">
        <m:axisValue occRef="母公司"/>
      </m:item>
      <m:item xlName="_GBC_5bf53b74c5404bc0b0f826351fb80652" concept="clcid-pte:AnHeTongQiXianFenLeiMingXiHeTongChanShengDeShouRu1" label="按合同期限分类明细合同产生的收入1" mulRef="_GBC_4adc58883ef44e8ebea1762f0434d596" unitRef="_GBC_046c678d71314293a7965e974e75c9e4" addr="T0R12C2S1_1" formatStyle="Comma" appId="_GBC_f4f1c383538f4a76af749e49b3462b68" isSerialConcept="true" serialDirection="1" serialDefaultCount="2">
        <m:axisValue occRef="母公司"/>
      </m:item>
      <m:placeholder xlName="_PLD_97af5b97aa90420b81726ed94761cb81" addr="T0R13C0S1_1"/>
      <m:item xlName="_GBC_b419f4fd86e346c5acb0c6beff6cf0db" concept="clcid-pte:FenBuAnXiaoShouQuDaoFenLeiHeTongChanShengDeShouRu" label="分部按销售渠道分类合同产生的收入" mulRef="_GBC_4adc58883ef44e8ebea1762f0434d596" unitRef="_GBC_046c678d71314293a7965e974e75c9e4" addr="T0R13C1S1_1" formatStyle="Comma" tupleRef="clcid-pte:HeTongChanShengDeShouRuFenBuMingXi" appId="_GBC_f4f1c383538f4a76af749e49b3462b68">
        <m:axisValue occRef="母公司"/>
      </m:item>
      <m:item xlName="_GBC_fbcd75ffd86a4ddc99ada80cc3997471" concept="clcid-pte:AnXiaoShouQuDaoFenLeiHeTongChanShengDeShouRu" label="按销售渠道分类合同产生的收入" mulRef="_GBC_4adc58883ef44e8ebea1762f0434d596" unitRef="_GBC_046c678d71314293a7965e974e75c9e4" addr="T0R13C2S1_1" formatStyle="Comma" appId="_GBC_f4f1c383538f4a76af749e49b3462b68">
        <m:axisValue occRef="母公司"/>
      </m:item>
      <m:item xlName="_GBC_798f5103fd6f46e5863eb58aa68786a7" concept="clcid-pte:FenBuAnXiaoShouQuDaoFenLeiMingXiMingCheng1" label="分部按销售渠道分类明细名称1" addr="T0R14C0S1_1" tagAction="1" appId="_GBC_f4f1c383538f4a76af749e49b3462b68" isSerialConcept="true" serialDirection="1" serialDefaultCount="2">
        <m:axisValue occRef="母公司"/>
      </m:item>
      <m:item xlName="_GBC_8e3da5d742204202a4c0bcb50dc8250a" concept="clcid-pte:FenBuAnXiaoShouQuDaoFenLeiMingXiHeTongChanShengDeShouRu1" label="分部按销售渠道分类明细合同产生的收入1" mulRef="_GBC_4adc58883ef44e8ebea1762f0434d596" unitRef="_GBC_046c678d71314293a7965e974e75c9e4" addr="T0R14C1S1_1" formatStyle="Comma" tupleRef="clcid-pte:HeTongChanShengDeShouRuFenBuMingXi" appId="_GBC_f4f1c383538f4a76af749e49b3462b68" isSerialConcept="true" serialDirection="1" serialDefaultCount="2">
        <m:axisValue occRef="母公司"/>
      </m:item>
      <m:item xlName="_GBC_f82f479c78f148fba22097f87c015a97" concept="clcid-pte:AnXiaoShouQuDaoFenLeiMingXiHeTongChanShengDeShouRu1" label="按销售渠道分类明细合同产生的收入1" mulRef="_GBC_4adc58883ef44e8ebea1762f0434d596" unitRef="_GBC_046c678d71314293a7965e974e75c9e4" addr="T0R14C2S1_1" formatStyle="Comma" appId="_GBC_f4f1c383538f4a76af749e49b3462b68" isSerialConcept="true" serialDirection="1" serialDefaultCount="2">
        <m:axisValue occRef="母公司"/>
      </m:item>
      <m:placeholder xlName="_PLD_0efe914344914868bb1c5857f7815d0d" addr="T0R15C0S1_1"/>
      <m:item xlName="_GBC_4bad588daedd4514b8106aa88f8d3cd4" concept="clcid-pte:FenBuHeTongChanShengDeShouRu" label="分部合同产生的收入" mulRef="_GBC_4adc58883ef44e8ebea1762f0434d596" unitRef="_GBC_046c678d71314293a7965e974e75c9e4" addr="T0R15C1S1_1" formatStyle="Comma" tupleRef="clcid-pte:HeTongChanShengDeShouRuFenBuMingXi" appId="_GBC_f4f1c383538f4a76af749e49b3462b68">
        <m:axisValue occRef="母公司"/>
      </m:item>
      <m:item xlName="_GBC_153b4b2b62b0477fa6bff78d1b2a4ef8" concept="clcid-pte:HeTongChanShengDeShouRu" label="合同产生的收入" mulRef="_GBC_4adc58883ef44e8ebea1762f0434d596" unitRef="_GBC_046c678d71314293a7965e974e75c9e4" addr="T0R15C2S1_1" formatStyle="Comma" appId="_GBC_f4f1c383538f4a76af749e49b3462b68">
        <m:axisValue occRef="母公司"/>
      </m:item>
      <m:item xlName="_GBC_4e9f72abba74469a841384eb05af7e06" concept="clcid-ci-ar:ShiFouShiYongMuGongSiHeTongChanShengDeShouRuShuoMing" label="是否适用：母公司合同产生的收入说明" selectOptions="_buildInAppliance" controlType="CustomCheckbox" cRanges="[{&quot;StartName&quot;:&quot;_GBC_4e9f72abba74469a841384eb05af7e06&quot;,&quot;EndName&quot;:&quot;_GBC_c2196d03cc34409a8d0cc1794273d065&quot;,&quot;CType&quot;:1}]"/>
      <m:item xlName="_GBC_c2196d03cc34409a8d0cc1794273d065" concept="clcid-pte:HeTongChanShengDeShouRuShuoMing" label="合同产生的收入说明" appId="_GBC_4e9f72abba74469a841384eb05af7e06">
        <m:axisValue occRef="母公司"/>
      </m:item>
      <m:virtualTuples>
        <m:virtualTuple id="9c48938d-9db4-49c7-90b7-47a508f5c7fd" tupleRef="clcid-pte:HeTongChanShengDeShouRuFenBuMingXi" extendDirection="2"/>
      </m:virtualTuples>
    </m:section>
    <m:section xlName="_SEC_53d5f13d55ef41a88538eb4a1cd87f53" title="履约义务的说明">
      <m:item xlName="_GBC_9fa12dfead42484a96c713de3deeb146" concept="clcid-ci-ar:ShiFouShiYongMuGongSiLvYueYiWuDeShuoMing" label="是否适用：母公司履约义务的说明" selectOptions="_buildInAppliance" controlType="CustomCheckbox" cRanges="[{&quot;StartName&quot;:&quot;_GBC_9fa12dfead42484a96c713de3deeb146&quot;,&quot;EndName&quot;:&quot;_GBC_9874bcd845bb477eaaaf7f4e1c8ef2cc&quot;,&quot;CType&quot;:1}]"/>
      <m:item xlName="_GBC_9874bcd845bb477eaaaf7f4e1c8ef2cc" concept="clcid-pte:LvYueYiWuDeShuoMing" label="履约义务的说明" appId="_GBC_9fa12dfead42484a96c713de3deeb146">
        <m:axisValue occRef="母公司"/>
      </m:item>
    </m:section>
    <m:section xlName="_SEC_70d7b3f4762b43eabe7e1ecc83c000d4" title="分摊至剩余履约义务的说明">
      <m:item xlName="_GBC_ed475c258e94496384f686833dfaebba" concept="clcid-ci-ar:ShiFouShiYongMuGongSiFenTanZhiShengYuLvYueYiWuDeShuoMing" label="是否适用：母公司分摊至剩余履约义务的说明" selectOptions="_buildInAppliance" controlType="CustomCheckbox" cRanges="[{&quot;StartName&quot;:&quot;_GBC_ed475c258e94496384f686833dfaebba&quot;,&quot;EndName&quot;:&quot;_TUP_14059b203ba14ab5ad17797b558bb12f&quot;,&quot;CType&quot;:1}]"/>
      <m:item xlName="_GBC_5c16bc4947a94086809979f950677dab" concept="clcid-pte:ShengYuLvYueYiWuShouRuJinE" label="剩余履约义务收入金额" formatStyle="Comma" appId="_GBC_ed475c258e94496384f686833dfaebba">
        <m:axisValue occRef="母公司"/>
      </m:item>
      <m:tuple xlName="_TUP_14059b203ba14ab5ad17797b558bb12f" concept="clcid-pte:ShengYuLvYueYiWuShouRuJinEMingXi" default_row="3" supportExtendColumn="false" usage="3">
        <m:item xlName="_GBC_42fa857f607d4396ac00b845463a8f7f" concept="clcid-pte:ShengYuLvYueYiWuShouRuJinEMingXiJinE" label="剩余履约义务收入金额明细-金额" formatStyle="Comma" appId="_GBC_ed475c258e94496384f686833dfaebba">
          <m:axisValue occRef="母公司"/>
        </m:item>
        <m:item xlName="_GBC_3ac5965c56594d0193f97e9d06fa07ed" concept="clcid-pte:ShengYuLvYueYiWuShouRuJinEMingXiNianDu" label="剩余履约义务收入金额明细-年度" formatStyle="Integer" appId="_GBC_ed475c258e94496384f686833dfaebba">
          <m:axisValue occRef="母公司"/>
        </m:item>
      </m:tuple>
    </m:section>
    <m:item xlName="_GBC_67059ac627994738bbd2a2272a5068c8" concept="clcid-pte:ZhuYingYeWuShuoMing" label="主营业务说明">
      <m:axisValue occRef="母公司"/>
    </m:item>
    <m:section xlName="_SEC_69cb0c27d0a845f8ab1383f9a47646b6" title="投资收益" isPatch="true">
      <m:item xlName="_GBC_bdba48f0322747499f6908fbbf78a16f" concept="clcid-ci-ar:ShiFouShiYongMuGongSiTouZiShouYi" label="是否适用：母公司投资收益" selectOptions="_buildInAppliance" controlType="CustomCheckbox" cRanges="[{&quot;StartName&quot;:&quot;_GBC_bdba48f0322747499f6908fbbf78a16f&quot;,&quot;EndName&quot;:&quot;_GBC_1edb083aec3d4ebf8eee2e7be5e34df5&quot;,&quot;CType&quot;:1}]"/>
      <m:item xlName="_GBC_613aeed04bd941b2899e7b84fac67e3a" concept="clcid-ci-ar:DanWeiCaiWuFuZhuKuaiJiBaoBiaoZhongDeTouZiShouYiXiangMuZengJia" label="单位：财务附注：会计报表中的投资收益项目增加" selectOptions="_buildInScales" controlType="Combobox" cellType="Scale" appId="_GBC_bdba48f0322747499f6908fbbf78a16f">
        <m:axisValue occRef="母公司"/>
      </m:item>
      <m:item xlName="_GBC_8976301949824df2a90aa6f83aad84f0" concept="clcid-ci-ar:BiZhongCaiWuFuZhuKuaiJiBaoBiaoZhongDeTouZiShouYiXiangMuZengJia" label="币种：财务附注：会计报表中的投资收益项目增加" selectOptions="_buildInISO4217" controlType="Combobox" cellType="Measure" appId="_GBC_bdba48f0322747499f6908fbbf78a16f">
        <m:axisValue occRef="母公司"/>
      </m:item>
      <m:placeholder xlName="_PLD_1263506df19847a5a86c9b873a7b7673" addr="T0R0C0S1_1"/>
      <m:placeholder xlName="_PLD_6da456fe7d784e789fe8204c2cc499b3" addr="T0R0C1S1_1"/>
      <m:placeholder xlName="_PLD_d81207d79e9643e0a08aec2616f96432" addr="T0R0C2S1_1"/>
      <m:placeholder xlName="_PLD_870ae6a50052496389b9552b95a7d523" addr="T0R1C0S1_1"/>
      <m:item xlName="_GBC_7016f94c060d485c83de17d01053d8f0" concept="clcid-pte:ChangQiTouZiChengBenFaHeJi" label="长期投资成本法合计" mulRef="_GBC_613aeed04bd941b2899e7b84fac67e3a" unitRef="_GBC_8976301949824df2a90aa6f83aad84f0" addr="T0R1C1S1_1" formatStyle="Comma" appId="_GBC_bdba48f0322747499f6908fbbf78a16f">
        <m:axisValue occRef="母公司"/>
      </m:item>
      <m:item xlName="_GBC_4e9355c07d2042f0a1ac2f4ba3c1d114" concept="clcid-pte:ChangQiTouZiChengBenFaHeJi" label="长期投资成本法合计" periodRef="上年同期数" mulRef="_GBC_613aeed04bd941b2899e7b84fac67e3a" unitRef="_GBC_8976301949824df2a90aa6f83aad84f0" addr="T0R1C2S1_1" formatStyle="Comma" appId="_GBC_bdba48f0322747499f6908fbbf78a16f">
        <m:axisValue occRef="母公司"/>
      </m:item>
      <m:placeholder xlName="_PLD_41f01afe4c29429eb16be2099b93f262" addr="T0R2C0S1_1"/>
      <m:item xlName="_GBC_febdaabcad5d48c3a0af711a78c4f862" concept="clcid-pte:ChangQiTouZiQuanYiFaHeJi" label="长期投资权益法合计" mulRef="_GBC_613aeed04bd941b2899e7b84fac67e3a" unitRef="_GBC_8976301949824df2a90aa6f83aad84f0" addr="T0R2C1S1_1" formatStyle="Comma" appId="_GBC_bdba48f0322747499f6908fbbf78a16f">
        <m:axisValue occRef="母公司"/>
      </m:item>
      <m:item xlName="_GBC_a8378fb4a22944919c236ee6c27deedb" concept="clcid-pte:ChangQiTouZiQuanYiFaHeJi" label="长期投资权益法合计" periodRef="上年同期数" mulRef="_GBC_613aeed04bd941b2899e7b84fac67e3a" unitRef="_GBC_8976301949824df2a90aa6f83aad84f0" addr="T0R2C2S1_1" formatStyle="Comma" appId="_GBC_bdba48f0322747499f6908fbbf78a16f">
        <m:axisValue occRef="母公司"/>
      </m:item>
      <m:placeholder xlName="_PLD_c9888c5105384b509e21047066f0ba8e" addr="T0R3C0S1_1"/>
      <m:item xlName="_GBC_b6daa78ca13a4aebb5011b0fa365ae38" concept="clcid-pte:ChuZhiChangQiGuQuanTouZiChanShengDeTouZiShouYi" label="处置长期股权投资产生的投资收益" mulRef="_GBC_613aeed04bd941b2899e7b84fac67e3a" unitRef="_GBC_8976301949824df2a90aa6f83aad84f0" addr="T0R3C1S1_1" formatStyle="Comma" appId="_GBC_bdba48f0322747499f6908fbbf78a16f">
        <m:axisValue occRef="母公司"/>
      </m:item>
      <m:item xlName="_GBC_b78d166386c343b983be29152e80e93b" concept="clcid-pte:ChuZhiChangQiGuQuanTouZiChanShengDeTouZiShouYi" label="处置长期股权投资产生的投资收益" periodRef="上年同期数" mulRef="_GBC_613aeed04bd941b2899e7b84fac67e3a" unitRef="_GBC_8976301949824df2a90aa6f83aad84f0" addr="T0R3C2S1_1" formatStyle="Comma" appId="_GBC_bdba48f0322747499f6908fbbf78a16f">
        <m:axisValue occRef="母公司"/>
      </m:item>
      <m:placeholder xlName="_PLD_4d41e47e736f47ec9240189b7e0260aa" addr="T0R4C0S1_1"/>
      <m:item xlName="_GBC_2bcb2df575644d05ade26464e29b57f3" concept="clcid-pte:ChiYouJiaoYiXingJinRongZiChanQiJianQuDeDeTouZiShouYi" label="持有交易性金融资产期间取得的投资收益" mulRef="_GBC_613aeed04bd941b2899e7b84fac67e3a" unitRef="_GBC_8976301949824df2a90aa6f83aad84f0" addr="T0R4C1S1_1" formatStyle="Comma" appId="_GBC_bdba48f0322747499f6908fbbf78a16f">
        <m:axisValue occRef="母公司"/>
      </m:item>
      <m:item xlName="_GBC_5eca834a34314b7a872a318b7ff33ecc" concept="clcid-pte:ChiYouJiaoYiXingJinRongZiChanQiJianQuDeDeTouZiShouYi" label="持有交易性金融资产期间取得的投资收益" periodRef="上年同期数" mulRef="_GBC_613aeed04bd941b2899e7b84fac67e3a" unitRef="_GBC_8976301949824df2a90aa6f83aad84f0" addr="T0R4C2S1_1" formatStyle="Comma" appId="_GBC_bdba48f0322747499f6908fbbf78a16f">
        <m:axisValue occRef="母公司"/>
      </m:item>
      <m:placeholder xlName="_PLD_176d54ac29944675be59911eb486bccf" addr="T0R5C0S1_1"/>
      <m:item xlName="_GBC_aa4b6f5b92da4517a1bc1a0a7ab2ea07" concept="clcid-pte:QiTaQuanYiGongJuTouZiChiYouQiJianQuDeDeGuLiShouRu" label="其他权益工具投资持有期间取得的股利收入" mulRef="_GBC_613aeed04bd941b2899e7b84fac67e3a" unitRef="_GBC_8976301949824df2a90aa6f83aad84f0" addr="T0R5C1S1_1" formatStyle="Comma" appId="_GBC_bdba48f0322747499f6908fbbf78a16f">
        <m:axisValue occRef="母公司"/>
      </m:item>
      <m:item xlName="_GBC_dc1603cf82d640ff8ea8e5e6fe37a5f8" concept="clcid-pte:QiTaQuanYiGongJuTouZiChiYouQiJianQuDeDeGuLiShouRu" label="其他权益工具投资持有期间取得的股利收入" periodRef="上年同期数" mulRef="_GBC_613aeed04bd941b2899e7b84fac67e3a" unitRef="_GBC_8976301949824df2a90aa6f83aad84f0" addr="T0R5C2S1_1" formatStyle="Comma" appId="_GBC_bdba48f0322747499f6908fbbf78a16f">
        <m:axisValue occRef="母公司"/>
      </m:item>
      <m:placeholder xlName="_PLD_2a4065545b0144db9c3fe9cfb135e218" addr="T0R6C0S1_1"/>
      <m:item xlName="_GBC_7669e582289e4683a4ab11085d0e8222" concept="clcid-pte:ZhaiQuanTouZiChiYouQiJianQuDeDeLiXiShouRu" label="债权投资持有期间取得的利息收入" mulRef="_GBC_613aeed04bd941b2899e7b84fac67e3a" unitRef="_GBC_8976301949824df2a90aa6f83aad84f0" addr="T0R6C1S1_1" formatStyle="Comma" appId="_GBC_bdba48f0322747499f6908fbbf78a16f">
        <m:axisValue occRef="母公司"/>
      </m:item>
      <m:item xlName="_GBC_03133a9dd26b42a08a895be0f3555e40" concept="clcid-pte:ZhaiQuanTouZiChiYouQiJianQuDeDeLiXiShouRu" label="债权投资持有期间取得的利息收入" periodRef="上年同期数" mulRef="_GBC_613aeed04bd941b2899e7b84fac67e3a" unitRef="_GBC_8976301949824df2a90aa6f83aad84f0" addr="T0R6C2S1_1" formatStyle="Comma" appId="_GBC_bdba48f0322747499f6908fbbf78a16f">
        <m:axisValue occRef="母公司"/>
      </m:item>
      <m:placeholder xlName="_PLD_baa6118a368348e59b66911712bfb1f0" addr="T0R7C0S1_1"/>
      <m:item xlName="_GBC_e092bd66cc4b4a5bbcd22d7887b808ad" concept="clcid-pte:QiTaZhaiQuanTouZiChiYouQiJianQuDeDeLiXiShouRu" label="其他债权投资持有期间取得的利息收入" mulRef="_GBC_613aeed04bd941b2899e7b84fac67e3a" unitRef="_GBC_8976301949824df2a90aa6f83aad84f0" addr="T0R7C1S1_1" formatStyle="Comma" appId="_GBC_bdba48f0322747499f6908fbbf78a16f">
        <m:axisValue occRef="母公司"/>
      </m:item>
      <m:item xlName="_GBC_af0658ddf5cd42f19cc0ada8093ca74f" concept="clcid-pte:QiTaZhaiQuanTouZiChiYouQiJianQuDeDeLiXiShouRu" label="其他债权投资持有期间取得的利息收入" periodRef="上年同期数" mulRef="_GBC_613aeed04bd941b2899e7b84fac67e3a" unitRef="_GBC_8976301949824df2a90aa6f83aad84f0" addr="T0R7C2S1_1" formatStyle="Comma" appId="_GBC_bdba48f0322747499f6908fbbf78a16f">
        <m:axisValue occRef="母公司"/>
      </m:item>
      <m:placeholder xlName="_PLD_3518bbf343564460a1ee75040bb06283" addr="T0R8C0S1_1"/>
      <m:item xlName="_GBC_dac7b656e381428080b960a67f4619fd" concept="clcid-pte:ChuZhiJiaoYiXingJinRongZiChanQuDeDeTouZiShouYi" label="处置交易性金融资产取得的投资收益" mulRef="_GBC_613aeed04bd941b2899e7b84fac67e3a" unitRef="_GBC_8976301949824df2a90aa6f83aad84f0" addr="T0R8C1S1_1" formatStyle="Comma" appId="_GBC_bdba48f0322747499f6908fbbf78a16f">
        <m:axisValue occRef="母公司"/>
      </m:item>
      <m:item xlName="_GBC_0fe28130f69348b381feb8df642b9123" concept="clcid-pte:ChuZhiJiaoYiXingJinRongZiChanQuDeDeTouZiShouYi" label="处置交易性金融资产取得的投资收益" periodRef="上年同期数" mulRef="_GBC_613aeed04bd941b2899e7b84fac67e3a" unitRef="_GBC_8976301949824df2a90aa6f83aad84f0" addr="T0R8C2S1_1" formatStyle="Comma" appId="_GBC_bdba48f0322747499f6908fbbf78a16f">
        <m:axisValue occRef="母公司"/>
      </m:item>
      <m:placeholder xlName="_PLD_615e70879e844a1f9cb4942f058d9187" addr="T0R9C0S1_1"/>
      <m:item xlName="_GBC_77eb8b7abcfd4d0b9c1fb1eaefda0e23" concept="clcid-pte:ChuZhiQiTaQuanYiGongJuTouZiQuDeDeTouZiShouYi" label="处置其他权益工具投资取得的投资收益" mulRef="_GBC_613aeed04bd941b2899e7b84fac67e3a" unitRef="_GBC_8976301949824df2a90aa6f83aad84f0" addr="T0R9C1S1_1" formatStyle="Comma" appId="_GBC_bdba48f0322747499f6908fbbf78a16f">
        <m:axisValue occRef="母公司"/>
      </m:item>
      <m:item xlName="_GBC_cfae4ad039704e5ebd1e8d1b9b7bd596" concept="clcid-pte:ChuZhiQiTaQuanYiGongJuTouZiQuDeDeTouZiShouYi" label="处置其他权益工具投资取得的投资收益" periodRef="上年同期数" mulRef="_GBC_613aeed04bd941b2899e7b84fac67e3a" unitRef="_GBC_8976301949824df2a90aa6f83aad84f0" addr="T0R9C2S1_1" formatStyle="Comma" appId="_GBC_bdba48f0322747499f6908fbbf78a16f">
        <m:axisValue occRef="母公司"/>
      </m:item>
      <m:placeholder xlName="_PLD_5791f90c46904593b9a349ce96ff4017" addr="T0R10C0S1_1"/>
      <m:item xlName="_GBC_28d4ff203ed746c09acabd2bcfada72b" concept="clcid-pte:ChuZhiZhaiQuanTouZiQuDeDeTouZiShouYi" label="处置债权投资取得的投资收益" mulRef="_GBC_613aeed04bd941b2899e7b84fac67e3a" unitRef="_GBC_8976301949824df2a90aa6f83aad84f0" addr="T0R10C1S1_1" formatStyle="Comma" appId="_GBC_39356fd9dd9e4f5497d61d781210b2fe">
        <m:axisValue occRef="母公司"/>
      </m:item>
      <m:item xlName="_GBC_d79b5d39edf1486daca3ed4491f7583b" concept="clcid-pte:ChuZhiZhaiQuanTouZiQuDeDeTouZiShouYi" label="处置债权投资取得的投资收益" periodRef="上年同期数" mulRef="_GBC_613aeed04bd941b2899e7b84fac67e3a" unitRef="_GBC_8976301949824df2a90aa6f83aad84f0" addr="T0R10C2S1_1" formatStyle="Comma" appId="_GBC_39356fd9dd9e4f5497d61d781210b2fe">
        <m:axisValue occRef="母公司"/>
      </m:item>
      <m:placeholder xlName="_PLD_fc9fa31f61f74b38ad51643215c4ff51" addr="T0R11C0S1_1"/>
      <m:item xlName="_GBC_d11cdac66bcc45d19b765b9dca9366a6" concept="clcid-pte:ChuZhiQiTaZhaiQuanTouZiQuDeDeTouZiShouYi" label="处置其他债权投资取得的投资收益" mulRef="_GBC_613aeed04bd941b2899e7b84fac67e3a" unitRef="_GBC_8976301949824df2a90aa6f83aad84f0" addr="T0R11C1S1_1" formatStyle="Comma" appId="_GBC_bdba48f0322747499f6908fbbf78a16f">
        <m:axisValue occRef="母公司"/>
      </m:item>
      <m:item xlName="_GBC_98c7b343bd5e4c7d8f26eec39e12d80f" concept="clcid-pte:ChuZhiQiTaZhaiQuanTouZiQuDeDeTouZiShouYi" label="处置其他债权投资取得的投资收益" periodRef="上年同期数" mulRef="_GBC_613aeed04bd941b2899e7b84fac67e3a" unitRef="_GBC_8976301949824df2a90aa6f83aad84f0" addr="T0R11C2S1_1" formatStyle="Comma" appId="_GBC_bdba48f0322747499f6908fbbf78a16f">
        <m:axisValue occRef="母公司"/>
      </m:item>
      <m:placeholder xlName="_PLD_074db49655f54e3abf006d2fef18ee4c" addr="T0R12C0S1_1"/>
      <m:item xlName="_GBC_b965970e8e424bf7b0bc8d9691ed190b" concept="clcid-pte:ZhaiWuZhongZuShouYi" label="债务重组收益" mulRef="_GBC_613aeed04bd941b2899e7b84fac67e3a" unitRef="_GBC_8976301949824df2a90aa6f83aad84f0" addr="T0R12C1S1_1" formatStyle="Comma" appId="_GBC_bdba48f0322747499f6908fbbf78a16f">
        <m:axisValue occRef="母公司"/>
      </m:item>
      <m:item xlName="_GBC_9548e9929fed4023a86abcb6eec019d5" concept="clcid-pte:ZhaiWuZhongZuShouYi" label="债务重组收益" periodRef="上年同期数" mulRef="_GBC_613aeed04bd941b2899e7b84fac67e3a" unitRef="_GBC_8976301949824df2a90aa6f83aad84f0" addr="T0R12C2S1_1" formatStyle="Comma" appId="_GBC_bdba48f0322747499f6908fbbf78a16f">
        <m:axisValue occRef="母公司"/>
      </m:item>
      <m:tuple xlName="_TUP_f44efb3bce1c4834a89700be3e9e6a1f" concept="clcid-pte:QiTaTouZiShouYi" default_row="2" addr="T0R13C">
        <m:item xlName="_GBC_9246b6e915074b81b66887e8130486a6" concept="clcid-pte:QiTaTouZiShouYiXiangMu" label="其他投资收益项目" addr="T0R13C0S1_1" appId="_GBC_bdba48f0322747499f6908fbbf78a16f">
          <m:axisValue occRef="母公司"/>
        </m:item>
        <m:item xlName="_GBC_b69a98a418434d2282fa733e30ad4677" concept="clcid-pte:QiTaTouZiShouYiMingXiJinE" label="其他投资收益明细－金额" mulRef="_GBC_613aeed04bd941b2899e7b84fac67e3a" unitRef="_GBC_8976301949824df2a90aa6f83aad84f0" addr="T0R13C1S1_1" formatStyle="Comma" appId="_GBC_bdba48f0322747499f6908fbbf78a16f">
          <m:axisValue occRef="母公司"/>
        </m:item>
        <m:item xlName="_GBC_e20de71d04ab4d77b059d4f956bf9b5d" concept="clcid-pte:QiTaTouZiShouYiMingXiJinE" label="其他投资收益明细－金额" periodRef="上年同期数" mulRef="_GBC_613aeed04bd941b2899e7b84fac67e3a" unitRef="_GBC_8976301949824df2a90aa6f83aad84f0" addr="T0R13C2S1_1" formatStyle="Comma" appId="_GBC_bdba48f0322747499f6908fbbf78a16f">
          <m:axisValue occRef="母公司"/>
        </m:item>
      </m:tuple>
      <m:placeholder xlName="_PLD_032fb4caa4bf4a6e968a012892b6f16b" addr="T0R15C0S1_1"/>
      <m:item xlName="_GBC_e4448a96f1464669b8fa2cf6db2b28ca" concept="clcid-pte:TouZiShouYi" label="投资收益" mulRef="_GBC_613aeed04bd941b2899e7b84fac67e3a" unitRef="_GBC_8976301949824df2a90aa6f83aad84f0" addr="T0R15C1S1_1" formatStyle="Comma" appId="_GBC_bdba48f0322747499f6908fbbf78a16f">
        <m:complexRule comparator="Eq" title="投资收益" test=" $_GBC_febdaabcad5d48c3a0af711a78c4f862 +  $_GBC_b6daa78ca13a4aebb5011b0fa365ae38 +  $_GBC_2bcb2df575644d05ade26464e29b57f3 +  $_GBC_aa4b6f5b92da4517a1bc1a0a7ab2ea07 +  $_GBC_7669e582289e4683a4ab11085d0e8222 +  $_GBC_e092bd66cc4b4a5bbcd22d7887b808ad +  $_GBC_dac7b656e381428080b960a67f4619fd +  $_GBC_77eb8b7abcfd4d0b9c1fb1eaefda0e23 +  $_GBC_28d4ff203ed746c09acabd2bcfada72b +  $_GBC_d11cdac66bcc45d19b765b9dca9366a6 +  $_GBC_7016f94c060d485c83de17d01053d8f0 +  $_GBC_b69a98a418434d2282fa733e30ad4677 +  $_GBC_b965970e8e424bf7b0bc8d9691ed190b" id="C9e81b0cab13a4e6996bdcf97e10ce79a"/>
        <m:axisValue occRef="母公司"/>
      </m:item>
      <m:item xlName="_GBC_1edb083aec3d4ebf8eee2e7be5e34df5" concept="clcid-pte:TouZiShouYi" label="投资收益" periodRef="上年同期数" mulRef="_GBC_613aeed04bd941b2899e7b84fac67e3a" unitRef="_GBC_8976301949824df2a90aa6f83aad84f0" addr="T0R15C2S1_1" formatStyle="Comma" appId="_GBC_bdba48f0322747499f6908fbbf78a16f">
        <m:complexRule comparator="Eq" title="投资收益@上年同期数" test=" $_GBC_a8378fb4a22944919c236ee6c27deedb +  $_GBC_b78d166386c343b983be29152e80e93b +  $_GBC_5eca834a34314b7a872a318b7ff33ecc +  $_GBC_dc1603cf82d640ff8ea8e5e6fe37a5f8 +  $_GBC_03133a9dd26b42a08a895be0f3555e40 +  $_GBC_af0658ddf5cd42f19cc0ada8093ca74f +  $_GBC_0fe28130f69348b381feb8df642b9123 +  $_GBC_cfae4ad039704e5ebd1e8d1b9b7bd596 +  $_GBC_d79b5d39edf1486daca3ed4491f7583b +  $_GBC_98c7b343bd5e4c7d8f26eec39e12d80f +  $_GBC_4e9355c07d2042f0a1ac2f4ba3c1d114 +  $_GBC_e20de71d04ab4d77b059d4f956bf9b5d +  $_GBC_9548e9929fed4023a86abcb6eec019d5" id="C59a358aa0f614a32bfe196e57ac13eac"/>
        <m:axisValue occRef="母公司"/>
      </m:item>
      <m:item xlName="_GBC_e91b47a8afc84e119383bf071cb9a50d" concept="clcid-pte:TouZiShouYiShuoMing" label="投资收益说明">
        <m:axisValue occRef="母公司"/>
      </m:item>
    </m:section>
    <m:section xlName="_GBC_23958e5452684882b98c8317e400c8d6" title="母公司会计报表附注的其他说明事项">
      <m:item xlName="_GBC_198503cdf8c8448ea7bb4de3243a4de8" concept="clcid-ci-ar:ShiFouShiYongMuGongSiHuiJiBaoBiaoFuZhuDeQiTaShuoMingShiXiang" label="是否适用：母公司会计报表附注的其他说明事项" selectOptions="_buildInAppliance" controlType="CustomCheckbox" cRanges="{&quot;StartName&quot;:&quot;_GBC_198503cdf8c8448ea7bb4de3243a4de8&quot;,&quot;EndName&quot;:&quot;_GBC_b720b2670a3948abb04f3e624a5b04ac&quot;,&quot;CType&quot;:1,&quot;DisplayText&quot;:null}"/>
      <m:item xlName="_GBC_b720b2670a3948abb04f3e624a5b04ac" concept="clcid-pte:MuGongSiHuiJiBaoBiaoFuZhuDeQiTaShuoMingShiXiang" label="母公司会计报表附注的其他说明事项" appId="_GBC_198503cdf8c8448ea7bb4de3243a4de8">
        <m:axisValue occRef="母公司"/>
      </m:item>
    </m:section>
    <m:section xlName="_GBC_08eb8d7076584daebd23121ab43f25e0" title="当期非经常性损益明细" helpId="112001192" helpText="注：各非经常性损益项目按税前金额列示。">
      <m:item xlName="_GBC_8fceb8da54a2446e9747e9ca62cb6a1a" concept="clcid-ci-ar:ShiFouShiYongDangQiFeiJingChangXingSunYiMingXiBiao" label="是否适用：当期非经常性损益明细表" selectOptions="_buildInAppliance" controlType="CustomCheckbox" cRanges="{&quot;StartName&quot;:&quot;_GBC_8fceb8da54a2446e9747e9ca62cb6a1a&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8fceb8da54a2446e9747e9ca62cb6a1a"/>
      <m:item xlName="_GBC_1075279105e04a71a72ba148188834c9" concept="clcid-ci-ar:BiZhongKouChuFeiJingChangXingSunYiXiangMuHeJinE" label="币种：扣除非经常性损益项目和金额" selectOptions="_buildInISO4217" controlType="Combobox" cellType="Measure" binding="true" appId="_GBC_8fceb8da54a2446e9747e9ca62cb6a1a"/>
      <m:placeholder xlName="_PLD_4d447086960c4639856414679d1dbf26" addr="T0R0C0S1_1"/>
      <m:placeholder xlName="_PLD_4124386579a74ebabf17d2fb03dfbacc" addr="T0R0C1S1_1"/>
      <m:placeholder xlName="_PLD_d8bc4effaf7140f69603e5c1fdd518e2" addr="T0R0C2S1_1"/>
      <m:placeholder xlName="_PLD_a4c284eee58641a284682b8ca51165ce"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8fceb8da54a2446e9747e9ca62cb6a1a"/>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8fceb8da54a2446e9747e9ca62cb6a1a"/>
      <m:placeholder xlName="_PLD_111eb25532774c11acc9ef9b04526b48"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8fceb8da54a2446e9747e9ca62cb6a1a"/>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8fceb8da54a2446e9747e9ca62cb6a1a"/>
      <m:placeholder xlName="_PLD_1c23f9d3aa08475185cdc79972a7d629"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8fceb8da54a2446e9747e9ca62cb6a1a"/>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8fceb8da54a2446e9747e9ca62cb6a1a"/>
      <m:placeholder xlName="_PLD_19747bb2b9f64964bff74d0b6c962639"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8fceb8da54a2446e9747e9ca62cb6a1a"/>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8fceb8da54a2446e9747e9ca62cb6a1a"/>
      <m:placeholder xlName="_PLD_6663cd4a4b5d4648b8602f1db92c8537"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8fceb8da54a2446e9747e9ca62cb6a1a"/>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8fceb8da54a2446e9747e9ca62cb6a1a"/>
      <m:placeholder xlName="_PLD_e784ffc777444dfdb842e34d13c29737"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8fceb8da54a2446e9747e9ca62cb6a1a"/>
      <m:item xlName="_GBC_0c3795502b03479fa5ac233060ebd95d" concept="clcid-pte:FeiJingChangXingSunYiZhongZiChanZhiHuanSunYiShuoMing" label="非货币性资产交换损益的说明（非经常性损益项目）" addr="T0R6C2S1_1" binding="true" appId="_GBC_8fceb8da54a2446e9747e9ca62cb6a1a"/>
      <m:placeholder xlName="_PLD_e05dd2ebe9c4478baeb0638a8ae0cb06"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8fceb8da54a2446e9747e9ca62cb6a1a"/>
      <m:item xlName="_GBC_556f9aa856334b9cba18fb2f97b39cc5" concept="clcid-pte:WeiTuoTaRenTouZiHuoGuanLiZiChanDeSunYiFeiJingChangXingSunYiXiangMuShuoMing" label="委托他人投资或管理资产的损益的说明（非经常性损益项目）" addr="T0R7C2S1_1" binding="true" appId="_GBC_8fceb8da54a2446e9747e9ca62cb6a1a"/>
      <m:placeholder xlName="_PLD_ceb3f10c4ad1406d91b44f6719ebf8fb"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8fceb8da54a2446e9747e9ca62cb6a1a"/>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8fceb8da54a2446e9747e9ca62cb6a1a"/>
      <m:placeholder xlName="_PLD_176b3ea3b8024c5c8cfe828e8d88f77b"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8fceb8da54a2446e9747e9ca62cb6a1a"/>
      <m:item xlName="_GBC_f43aef808f214d7383de39e3b6c398f4" concept="clcid-pte:FeiJingChangXingSunYiZhongZhaiWuZhongZuSunYiShuoMing" label="债务重组损益的说明（非经常性损益项目）" addr="T0R9C2S1_1" binding="true" appId="_GBC_8fceb8da54a2446e9747e9ca62cb6a1a"/>
      <m:placeholder xlName="_PLD_36690c4bef8e47aa953ed83e202e410d"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8fceb8da54a2446e9747e9ca62cb6a1a"/>
      <m:item xlName="_GBC_a7c33259b38d4d119cc648f5a3558bfe" concept="clcid-pte:QiYeZhongZuFeiYongRuAnZhiZhiGongDeZhiChuZhengHeFeiYongDengShuoMing" label="企业重组费用，如安置职工的支出、整合费用等的说明（非经常性损益项目）" addr="T0R10C2S1_1" binding="true" appId="_GBC_8fceb8da54a2446e9747e9ca62cb6a1a"/>
      <m:placeholder xlName="_PLD_96c460441b004ae1a19c7e13461c5c75"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8fceb8da54a2446e9747e9ca62cb6a1a"/>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8fceb8da54a2446e9747e9ca62cb6a1a"/>
      <m:placeholder xlName="_PLD_42cb9feac45d475db521c5436a75bf7e"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8fceb8da54a2446e9747e9ca62cb6a1a"/>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8fceb8da54a2446e9747e9ca62cb6a1a"/>
      <m:placeholder xlName="_PLD_7fc55b419222469eac67ff689744c277"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8fceb8da54a2446e9747e9ca62cb6a1a"/>
      <m:item xlName="_GBC_c092dcb18a4049e7b48c3f5c5a57f1aa" concept="clcid-pte:YuGongSiZhuYingYeWuWuGuanDeYuJiFuZhaiChanShengDeSunYiShuoMing" label="与公司正常经营业务无关的或有事项产生的损益的说明（非经常性损益项目）" addr="T0R13C2S1_1" binding="true" appId="_GBC_8fceb8da54a2446e9747e9ca62cb6a1a"/>
      <m:placeholder xlName="_PLD_c8d1dda81a0f44c187552ba8e70f0013" addr="T0R14C0S1_1"/>
      <m:item xlName="_GBC_30456754229745f0b97eaee273d2a4a1"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8fceb8da54a2446e9747e9ca62cb6a1a"/>
      <m:item xlName="_GBC_e550f874b5b44395a6eea0cd28e58b6c"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8fceb8da54a2446e9747e9ca62cb6a1a"/>
      <m:placeholder xlName="_PLD_96504db5fe914312bc672892fec5c25b" addr="T0R15C0S1_1"/>
      <m:item xlName="_GBC_0dad62375b814507ac0f44483df2a2b4"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8fceb8da54a2446e9747e9ca62cb6a1a"/>
      <m:item xlName="_GBC_9bfa6a8beae249d79097f549d5202e73" concept="clcid-pte:DanDuJinXingJianZhiCeShiDeYingShouKuanXiangHeTongZiChanJianZhiZhunBeiZhuanHuiDeShuoMingFeiJingChangXingSunYiXiangMu" label="单独进行减值测试的应收款项、合同资产减值准备转回的说明（非经常性损益项目）" addr="T0R15C2S1_1" binding="true" appId="_GBC_8fceb8da54a2446e9747e9ca62cb6a1a"/>
      <m:placeholder xlName="_PLD_0d0ce84cff764cbf94ba500578ddc45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8fceb8da54a2446e9747e9ca62cb6a1a"/>
      <m:item xlName="_GBC_72c375360c99465bb8170713ed413fe3" concept="clcid-pte:DuiWaiWeiTuoDaiKuanQuDeDeSunYiShuoMing" label="对外委托贷款取得的损益的说明（非经常性损益项目）" addr="T0R16C2S1_1" binding="true" appId="_GBC_8fceb8da54a2446e9747e9ca62cb6a1a"/>
      <m:placeholder xlName="_PLD_7681bf6967df4b049ee6f75b59a7329f"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8fceb8da54a2446e9747e9ca62cb6a1a"/>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8fceb8da54a2446e9747e9ca62cb6a1a"/>
      <m:placeholder xlName="_PLD_2df64da7b21b4209afb1b2e1c87793a4"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8fceb8da54a2446e9747e9ca62cb6a1a"/>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8fceb8da54a2446e9747e9ca62cb6a1a"/>
      <m:placeholder xlName="_PLD_65e2f6f2a865433a904f980d5ad452f3"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8fceb8da54a2446e9747e9ca62cb6a1a"/>
      <m:item xlName="_GBC_55cffaeec7534a328908ea82413d2702" concept="clcid-pte:ShouTuoJingYingQuDeDeTuoGuanFeiShouRuShuoMing" label="受托经营取得的托管费收入的说明（非经常性损益项目）" addr="T0R19C2S1_1" binding="true" appId="_GBC_8fceb8da54a2446e9747e9ca62cb6a1a"/>
      <m:placeholder xlName="_PLD_b0f68967a04b4a8a89df6132091b7461"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8fceb8da54a2446e9747e9ca62cb6a1a"/>
      <m:item xlName="_GBC_c4fc3e35307e455db3b9161cb811a087" concept="clcid-pte:ChuShangShuGeXiangZhiWaiDeQiTaYingYeWaiShouZhiJingEShuoMing" label="除上述各项之外的其他营业外收入和支出的说明（非经常性损益项目）" addr="T0R20C2S1_1" binding="true" appId="_GBC_8fceb8da54a2446e9747e9ca62cb6a1a"/>
      <m:placeholder xlName="_PLD_659b510fa20e419f93068876515ea27a"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8fceb8da54a2446e9747e9ca62cb6a1a"/>
      <m:item xlName="_GBC_88d5aaf5624d44b4a912d7c291f5337b" concept="clcid-pte:QiTaFeiJingChangXingSunYiXiangMuShuoMing" label="其他符合非经常性损益定义的损益项目说明（非经常性损益项目）" addr="T0R21C2S1_1" binding="true" appId="_GBC_8fceb8da54a2446e9747e9ca62cb6a1a"/>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8fceb8da54a2446e9747e9ca62cb6a1a"/>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8fceb8da54a2446e9747e9ca62cb6a1a"/>
        <m:item xlName="_GBC_0d6726c6b4bc460dab4b54da495c75f4" concept="clcid-pte:KouChuFeiJingChangXingSunYiXiangMuShuoMing" label="扣除的非经常性损益明细－项目说明" addr="T0R22C2S1_1" appId="_GBC_8fceb8da54a2446e9747e9ca62cb6a1a"/>
      </m:tuple>
      <m:placeholder xlName="_PLD_8cbcd160f56e4221a63548c56021b209"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8fceb8da54a2446e9747e9ca62cb6a1a"/>
      <m:item xlName="_GBC_7ed1b962000f41dc8da48b033f074791" concept="clcid-pte:FeiJingChangXingSunYiDeKouChuXiangMuDuiSuoDeShuiDeYingXiangShuoMing" label="所得税影响额的说明（非经常性损益项目）" addr="T0R24C2S1_1" binding="true" appId="_GBC_8fceb8da54a2446e9747e9ca62cb6a1a"/>
      <m:placeholder xlName="_PLD_f8bdffd50d284f23ab4d0b1e6b4b1b9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8fceb8da54a2446e9747e9ca62cb6a1a"/>
      <m:item xlName="_GBC_c9a288fb29d348cbb8d20de9f399a549" concept="clcid-pte:FeiJingChangXingSunYiXiangMuZhongShaoShuGuDongQuanYiYingXiangEShuoMing" label="少数股东权益影响额的说明（非经常性损益项目）" addr="T0R25C2S1_1" binding="true" appId="_GBC_8fceb8da54a2446e9747e9ca62cb6a1a"/>
      <m:placeholder xlName="_PLD_f4375b3f262d423d9aed45796f2bf18d"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8fceb8da54a2446e9747e9ca62cb6a1a">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30456754229745f0b97eaee273d2a4a1 +  $_GBC_0dad62375b814507ac0f44483df2a2b4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2b863e1ae93d4666bbf2572a3b38fd87"/>
      </m:item>
      <m:item xlName="_GBC_fd47d890fc7a493192e451b6575f5e8a" concept="clcid-pte:KouChuDeFeiJingChangXingSunYiHeJiShuoMing" label="扣除的非经常性损益合计说明" addr="T0R26C2S1_1" binding="true" appId="_GBC_8fceb8da54a2446e9747e9ca62cb6a1a"/>
    </m:section>
    <m:section xlName="_GBC_7944e47348cd4cd186b958ba1902ea3f" title="对公司根据《公开发行证券的公司信息披露解释性公告第1号——非..." convertSummaryRule="NoConvert" helpId="112001192">
      <m:item xlName="_GBC_5f8a059d4da1440d8ef10197ecd89cd6" concept="clcid-ci-ar:ShiFouShiYongJiangFeiJingChangXingSunYiXiangMuJieDingWeiJingChangXingSunYiXiangMu" label="是否适用：将非经常性损益项目界定为经常性损益项目" selectOptions="_buildInAppliance" controlType="CustomCheckbox" cRanges="{&quot;StartName&quot;:&quot;_GBC_5f8a059d4da1440d8ef10197ecd89cd6&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5f8a059d4da1440d8ef10197ecd89cd6"/>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5f8a059d4da1440d8ef10197ecd89cd6"/>
      <m:placeholder xlName="_PLD_332aba6ed4f148bfa1f6aac5610baaa6" addr="T0R0C0S1_1"/>
      <m:placeholder xlName="_PLD_b0f4462192174715b550b7f3f1d928bf" addr="T0R0C1S1_1"/>
      <m:placeholder xlName="_PLD_f0b8ba2261d04130bb740019ecf35d71"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5f8a059d4da1440d8ef10197ecd89cd6"/>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5f8a059d4da1440d8ef10197ecd89cd6"/>
        <m:item xlName="_GBC_51ffa137cb704dbb93362e3cb413dc3b" concept="clcid-pte:JiangFeiJingChangXingSunYiXiangMuJieDingWeiJingChangXingSunYiXiangMuXiangMuShuoMing" label="将非经常性损益项目界定为经常性损益项目明细－说明" addr="T0R1C2S1_1" appId="_GBC_5f8a059d4da1440d8ef10197ecd89cd6"/>
      </m:tuple>
    </m:section>
    <m:section xlName="_GBC_146d888914ac4591bea1ff0ea9e89617" title="净资产收益率及每股收益" helpId="112001194">
      <m:item xlName="_GBC_75866ebc8d184cdd988e79330ad3b083" concept="clcid-ci-ar:ShiFouShiYongJingZiChanShouYiLvJiMeiGuShouYi" label="是否适用：净资产收益率及每股收益" selectOptions="_buildInAppliance" controlType="CustomCheckbox" cRanges="{&quot;StartName&quot;:&quot;_GBC_75866ebc8d184cdd988e79330ad3b083&quot;,&quot;EndName&quot;:&quot;_GBC_f88322ba56fd43f08018a17c09004acb&quot;,&quot;CType&quot;:1,&quot;DisplayText&quot;:null}"/>
      <m:placeholder xlName="_PLD_680a8ba0e71a45459c0939cd6c78c07f" addr="T0R0C0S2_1"/>
      <m:placeholder xlName="_PLD_608d0086e1154f8ca6d3c34247132ef0" addr="T0R0C1S2_1"/>
      <m:placeholder xlName="_PLD_8b4a0bf973be4a19862ac5168193db93" addr="T0R0C2S1_2"/>
      <m:placeholder xlName="_PLD_45472770a81744249d77e54c2efc412a" addr="T0R1C2S1_1"/>
      <m:placeholder xlName="_PLD_c4e5be0bbc134fa28e28895e1a12e02c" addr="T0R1C3S1_1"/>
      <m:placeholder xlName="_PLD_c94607fd97d648bd8ca7517a2c7054ea" addr="T0R2C0S1_1"/>
      <m:item xlName="_GBC_026b323a686e48499f98029382f6f764" concept="clcid-pte:JingLiRunJiaQuanPingJunJingZiChanShouYiLv" label="净利润_加权平均_净资产收益率" addr="T0R2C1S1_1" baseScale="0.01" formatStyle="Comma" appId="_GBC_75866ebc8d184cdd988e79330ad3b083"/>
      <m:item xlName="_GBC_10d67acd88064ddf9123ebd6730a06b1" concept="clcid-pte:JiBenMeiGuShouYi" label="基本每股收益" addr="T0R2C2S1_1" formatStyle="Comma" appId="_GBC_75866ebc8d184cdd988e79330ad3b083" fixedType="EPS"/>
      <m:item xlName="_GBC_b152853b6d3840e3b286703ab921b166" concept="clcid-pte:XiShiMeiGuShouYi" label="稀释每股收益" addr="T0R2C3S1_1" formatStyle="Comma" appId="_GBC_75866ebc8d184cdd988e79330ad3b083" fixedType="EPS"/>
      <m:placeholder xlName="_PLD_0794afc706e94e77876df1281577a7d9"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75866ebc8d184cdd988e79330ad3b083"/>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75866ebc8d184cdd988e79330ad3b083"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75866ebc8d184cdd988e79330ad3b083" fixedType="EPS"/>
    </m:section>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d4b99094c68c4643b25e25a564d131d1"/>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d4b99094c68c4643b25e25a564d131d1"/>
      <m:placeholder xlName="_PLD_d2e998b7f1964581959c59b0179e4faf" addr="T0R0C1S1_2"/>
      <m:placeholder xlName="_PLD_279a892065ac4145b12538757697201d" addr="T0R0C3S1_2"/>
      <m:placeholder xlName="_PLD_3a9dd13d99c0471aa6ab71d59b592ee9" addr="T0R1C1S1_1"/>
      <m:placeholder xlName="_PLD_5ff701042adc4944a3e91465025f2c43" addr="T0R1C2S1_1"/>
      <m:placeholder xlName="_PLD_efa0de1833974fd786e7538d6c280b26" addr="T0R1C3S1_1"/>
      <m:placeholder xlName="_PLD_dc796fe7c9a94aba9a6a63513361ab28" addr="T0R1C4S1_1"/>
      <m:placeholder xlName="_PLD_bb7345578f99401891563fdea1e50cdd"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d4b99094c68c4643b25e25a564d131d1"/>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d4b99094c68c4643b25e25a564d131d1"/>
      <m:item xlName="_GBC_45f546bdb5a44dceb6a2deff44246b7b" concept="clcid-pte:GuiShuYuMuGongSiSuoYouZheQuanYiHeJi" label="归属于母公司所有者权益合计" mulRef="_GBC_4a9c4891050f46febb181a926ba461ae" unitRef="_GBC_aa48a8ffe5904da68453612258b0bfaa" addr="T0R2C3S1_1" formatStyle="Comma" appId="_GBC_d4b99094c68c4643b25e25a564d131d1"/>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d4b99094c68c4643b25e25a564d131d1"/>
      <m:placeholder xlName="_PLD_78a11dad0fa347a3886ae302fc573cdb"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d4b99094c68c4643b25e25a564d131d1"/>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d4b99094c68c4643b25e25a564d131d1"/>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d4b99094c68c4643b25e25a564d131d1"/>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d4b99094c68c4643b25e25a564d131d1"/>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d4b99094c68c4643b25e25a564d131d1"/>
      </m:tuple>
      <m:placeholder xlName="_PLD_e4ec423f5072427e90b472a3d1f26190"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d4b99094c68c4643b25e25a564d131d1"/>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d4b99094c68c4643b25e25a564d131d1"/>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d4b99094c68c4643b25e25a564d131d1"/>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d4b99094c68c4643b25e25a564d131d1"/>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843a3e6ff7b04c838cebdbe1b6b920a2"/>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843a3e6ff7b04c838cebdbe1b6b920a2"/>
      <m:placeholder xlName="_PLD_75b0bfcfc99249938b224ea0b1a5922b" addr="T0R0C1S1_2"/>
      <m:placeholder xlName="_PLD_12c8a21bf2624c9faea81630bd2dc83e" addr="T0R0C3S1_2"/>
      <m:placeholder xlName="_PLD_9f3c0a5098d44e1c94b9aeb496da574e" addr="T0R1C1S1_1"/>
      <m:placeholder xlName="_PLD_c6134d7080d4417d9ec4507a9cbdfee1" addr="T0R1C2S1_1"/>
      <m:placeholder xlName="_PLD_39999d00bbb24f3abeef1d64f24c3c14" addr="T0R1C3S1_1"/>
      <m:placeholder xlName="_PLD_777ed9eb8fb84940891f7b36d3f0b51c" addr="T0R1C4S1_1"/>
      <m:placeholder xlName="_PLD_858ed7fb33a04f469491d62f58c50d64"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843a3e6ff7b04c838cebdbe1b6b920a2"/>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843a3e6ff7b04c838cebdbe1b6b920a2"/>
      <m:item xlName="_GBC_545ee37e182c44fb8818a279b8395226" concept="clcid-pte:GuiShuYuMuGongSiSuoYouZheQuanYiHeJi" label="归属于母公司所有者权益合计" mulRef="_GBC_09d5dc6ba7274b13912cb0c21a184489" unitRef="_GBC_39cce272b43846b99e500a74d442731e" addr="T0R2C3S1_1" formatStyle="Comma" appId="_GBC_843a3e6ff7b04c838cebdbe1b6b920a2"/>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843a3e6ff7b04c838cebdbe1b6b920a2"/>
      <m:placeholder xlName="_PLD_b787cf805b2949a59c4efe9943af54a4" addr="T0R3C0S1_5"/>
      <m:tuple xlName="_GBC_21f51a638c4349d88da218be025a72bf" concept="clcid-pte:AnJingWaiKuaiJiZhunZeTiaoZhengDeJingLiRunHeGuDongQuanYi" default_row="2" addr="T0R4C">
        <m:item xlName="_GBC_5253dd56d99543ffac2b2ef28926b8d5" concept="clcid-pte:GuoNeiWaiKuaiJiZhunZeChaYiTiaoZhengXiangMu" label="国内外会计准则差异调整项目" addr="T0R4C0S1_1" appId="_GBC_843a3e6ff7b04c838cebdbe1b6b920a2"/>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843a3e6ff7b04c838cebdbe1b6b920a2"/>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843a3e6ff7b04c838cebdbe1b6b920a2"/>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843a3e6ff7b04c838cebdbe1b6b920a2"/>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843a3e6ff7b04c838cebdbe1b6b920a2"/>
      </m:tuple>
      <m:placeholder xlName="_PLD_373725c58ceb421483158ca84b6a07b4"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843a3e6ff7b04c838cebdbe1b6b920a2"/>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843a3e6ff7b04c838cebdbe1b6b920a2"/>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843a3e6ff7b04c838cebdbe1b6b920a2"/>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843a3e6ff7b04c838cebdbe1b6b920a2"/>
    </m:section>
    <m:section xlName="_GBC_28e04aa78d514ffaa91bd2d93b36d312" title="境内外会计准则下会计数据差异说明" convertSummaryRule="NoConvert" helpId="112001195">
      <m:item xlName="_GBC_62334d128084435e95edd8130b5dec58" concept="clcid-ci-ar:ShiFouShiYongJingNeiWaiHuiJiZhunZeXiaHuiJiShuJuChaYiShuoMing" label="是否适用：境内外会计准则下会计数据差异说明" selectOptions="_buildInAppliance" controlType="CustomCheckbox" cRanges="{&quot;StartName&quot;:&quot;_GBC_62334d128084435e95edd8130b5dec58&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62334d128084435e95edd8130b5dec58"/>
    </m:section>
    <m:section xlName="_GBC_a60672e5f86e422cbb864ef991c9106b" title="补充资料其他说明事项" helpId="112001166">
      <m:item xlName="_GBC_8954f89f8426424c966f1b658de53fe5" concept="clcid-ci-ar:ShiFouShiYongBuChongZiLiaoQiTaShuoMingShiXiang" label="是否适用：补充资料其他说明事项" selectOptions="_buildInAppliance" controlType="CustomCheckbox" cRanges="{&quot;StartName&quot;:&quot;_GBC_8954f89f8426424c966f1b658de53fe5&quot;,&quot;EndName&quot;:&quot;_GBC_44dc80633c8948be87b68b0c5b9c539c&quot;,&quot;CType&quot;:1,&quot;DisplayText&quot;:null}"/>
      <m:item xlName="_GBC_44dc80633c8948be87b68b0c5b9c539c" concept="clcid-pte:BuChongZiLiaoQiTaShuoMingShiXiang" label="补充资料其他说明事项" appId="_GBC_8954f89f8426424c966f1b658de53fe5"/>
    </m:section>
    <m:section xlName="_SEC_3a999fad32fc404495a2a1a7ff9f623f" title="落款" convertSummaryRule="NoConvert" helpId="110002018">
      <m:item xlName="_GBC_9199ea6dcc6548aea244713f06e04d9e" concept="clcid-gcd:BaoGaoFaBuRen" label="报告发布人">
        <m:simpleRule dataType="Any" comparator="None" minOccurs="1"/>
      </m:item>
      <m:item xlName="_GBC_ac84387027e04290a3c3238973538156"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77b96fad3b8a43478db82cf4cb9686be" concept="clcid-ci-ar:ShiFouShiYongXiuDingXinXiBiao" label="是否适用：修订信息表" selectOptions="_buildInAppliance" controlType="CustomCheckbox" cRanges="{&quot;StartName&quot;:&quot;_GBC_77b96fad3b8a43478db82cf4cb9686be&quot;,&quot;EndName&quot;:&quot;_GBC_df2ad9b1abb94ac291d968d6014e2d66&quot;,&quot;CType&quot;:1,&quot;DisplayText&quot;:null}"/>
      <m:placeholder xlName="_PLD_f7872a6549994d2dbcda490f36e4d3db" addr="T0R0C0S1_1"/>
      <m:placeholder xlName="_PLD_a9a83b5040dc4f539daf354c06be2102" addr="T0R0C1S1_1"/>
      <m:placeholder xlName="_PLD_17ab3b612df44237884869df0a022a34" addr="T0R0C2S1_1"/>
      <m:tuple xlName="_GBC_54551da69d2343308a1d31e49f356b9b" concept="clcid-gcd:XiuDingXinXi" default_row="2" addr="T0R1C">
        <m:item xlName="_GBC_6ab57e5041b143a0b2bf18b82c2fe507" concept="clcid-gcd:BanBenHao" label="报告版本号" addr="T0R1C0S1_1" appId="_GBC_77b96fad3b8a43478db82cf4cb9686be"/>
        <m:item xlName="_GBC_934c38d3f4b5429482e81c84b3a4d590" concept="clcid-gcd:BaoGaoXiuDingHeGengZhengBuChongGongGaoFaBuShiJian" label="报告修订和更正、补充公告发布时间" addr="T0R1C1S1_1" appId="_GBC_77b96fad3b8a43478db82cf4cb9686be" keyAction="38"/>
        <m:item xlName="_GBC_df2ad9b1abb94ac291d968d6014e2d66" concept="clcid-gcd:GengZhengBuChongGongGao" label="更正、补充公告" addr="T0R1C2S1_1" appId="_GBC_77b96fad3b8a43478db82cf4cb9686be"/>
      </m:tuple>
    </m:section>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]]></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85EE188D-BE3C-4FA4-A85E-0AD7A6E15799}">
  <ds:schemaRefs>
    <ds:schemaRef ds:uri="http://mapping.word.org/2012/mapping"/>
  </ds:schemaRefs>
</ds:datastoreItem>
</file>

<file path=customXml/itemProps4.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5.xml><?xml version="1.0" encoding="utf-8"?>
<ds:datastoreItem xmlns:ds="http://schemas.openxmlformats.org/officeDocument/2006/customXml" ds:itemID="{A840AC0E-4259-49EC-AF6D-26B16FCDCD4A}">
  <ds:schemaRefs>
    <ds:schemaRef ds:uri="http://mapping.word.org/2012/template"/>
  </ds:schemaRefs>
</ds:datastoreItem>
</file>

<file path=customXml/itemProps6.xml><?xml version="1.0" encoding="utf-8"?>
<ds:datastoreItem xmlns:ds="http://schemas.openxmlformats.org/officeDocument/2006/customXml" ds:itemID="{0A6A1B4C-1BB3-45F0-854C-A8477799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204</TotalTime>
  <Pages>1</Pages>
  <Words>35479</Words>
  <Characters>202234</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股份有限公司</vt:lpstr>
    </vt:vector>
  </TitlesOfParts>
  <Company>Sky123.Org</Company>
  <LinksUpToDate>false</LinksUpToDate>
  <CharactersWithSpaces>237239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季先萍</cp:lastModifiedBy>
  <cp:revision>34</cp:revision>
  <cp:lastPrinted>2021-08-23T09:45:00Z</cp:lastPrinted>
  <dcterms:created xsi:type="dcterms:W3CDTF">2021-08-27T02:29:00Z</dcterms:created>
  <dcterms:modified xsi:type="dcterms:W3CDTF">2021-08-27T08:14:00Z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4E884248A30A49478BDF34B348527A75</vt:lpwstr>
  </property>
</Properties>
</file>